
<file path=[Content_Types].xml><?xml version="1.0" encoding="utf-8"?>
<Types xmlns="http://schemas.openxmlformats.org/package/2006/content-types">
  <Override PartName="/word/footnotes.xml" ContentType="application/vnd.openxmlformats-officedocument.wordprocessingml.footnotes+xml"/>
  <Override PartName="/word/diagrams/quickStyle2.xml" ContentType="application/vnd.openxmlformats-officedocument.drawingml.diagramStyle+xml"/>
  <Override PartName="/word/diagrams/data3.xml" ContentType="application/vnd.openxmlformats-officedocument.drawingml.diagramData+xml"/>
  <Override PartName="/word/diagrams/colors5.xml" ContentType="application/vnd.openxmlformats-officedocument.drawingml.diagramColors+xml"/>
  <Override PartName="/customXml/itemProps1.xml" ContentType="application/vnd.openxmlformats-officedocument.customXmlProperties+xml"/>
  <Override PartName="/word/diagrams/data1.xml" ContentType="application/vnd.openxmlformats-officedocument.drawingml.diagramData+xml"/>
  <Override PartName="/word/diagrams/colors3.xml" ContentType="application/vnd.openxmlformats-officedocument.drawingml.diagramColors+xml"/>
  <Override PartName="/word/diagrams/drawing8.xml" ContentType="application/vnd.ms-office.drawingml.diagramDrawing+xml"/>
  <Default Extension="wmf" ContentType="image/x-wmf"/>
  <Override PartName="/word/diagrams/colors1.xml" ContentType="application/vnd.openxmlformats-officedocument.drawingml.diagramColors+xml"/>
  <Override PartName="/word/diagrams/drawing6.xml" ContentType="application/vnd.ms-office.drawingml.diagramDrawing+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diagrams/drawing4.xml" ContentType="application/vnd.ms-office.drawingml.diagramDrawing+xml"/>
  <Override PartName="/word/diagrams/layout9.xml" ContentType="application/vnd.openxmlformats-officedocument.drawingml.diagramLayout+xml"/>
  <Override PartName="/word/diagrams/data10.xml" ContentType="application/vnd.openxmlformats-officedocument.drawingml.diagramData+xml"/>
  <Override PartName="/word/diagrams/layout10.xml" ContentType="application/vnd.openxmlformats-officedocument.drawingml.diagramLayout+xml"/>
  <Override PartName="/word/stylesWithEffects.xml" ContentType="application/vnd.ms-word.stylesWithEffects+xml"/>
  <Override PartName="/word/diagrams/drawing2.xml" ContentType="application/vnd.ms-office.drawingml.diagramDrawing+xml"/>
  <Override PartName="/word/diagrams/layout7.xml" ContentType="application/vnd.openxmlformats-officedocument.drawingml.diagramLayout+xml"/>
  <Override PartName="/word/diagrams/quickStyle9.xml" ContentType="application/vnd.openxmlformats-officedocument.drawingml.diagramStyle+xml"/>
  <Override PartName="/word/footer3.xml" ContentType="application/vnd.openxmlformats-officedocument.wordprocessingml.footer+xml"/>
  <Override PartName="/word/footer1.xml" ContentType="application/vnd.openxmlformats-officedocument.wordprocessingml.footer+xml"/>
  <Override PartName="/word/diagrams/layout5.xml" ContentType="application/vnd.openxmlformats-officedocument.drawingml.diagramLayout+xml"/>
  <Override PartName="/word/diagrams/layout6.xml" ContentType="application/vnd.openxmlformats-officedocument.drawingml.diagramLayout+xml"/>
  <Override PartName="/word/diagrams/quickStyle7.xml" ContentType="application/vnd.openxmlformats-officedocument.drawingml.diagramStyle+xml"/>
  <Override PartName="/word/diagrams/quickStyle8.xml" ContentType="application/vnd.openxmlformats-officedocument.drawingml.diagramStyle+xml"/>
  <Override PartName="/word/diagrams/data9.xml" ContentType="application/vnd.openxmlformats-officedocument.drawingml.diagramData+xml"/>
  <Override PartName="/word/diagrams/colors10.xml" ContentType="application/vnd.openxmlformats-officedocument.drawingml.diagramColors+xml"/>
  <Override PartName="/word/theme/theme1.xml" ContentType="application/vnd.openxmlformats-officedocument.theme+xml"/>
  <Override PartName="/word/header2.xml" ContentType="application/vnd.openxmlformats-officedocument.wordprocessingml.header+xml"/>
  <Default Extension="xlsx" ContentType="application/vnd.openxmlformats-officedocument.spreadsheetml.sheet"/>
  <Override PartName="/word/diagrams/layout3.xml" ContentType="application/vnd.openxmlformats-officedocument.drawingml.diagramLayout+xml"/>
  <Override PartName="/word/diagrams/layout4.xml" ContentType="application/vnd.openxmlformats-officedocument.drawingml.diagramLayout+xml"/>
  <Override PartName="/word/diagrams/quickStyle5.xml" ContentType="application/vnd.openxmlformats-officedocument.drawingml.diagramStyle+xml"/>
  <Override PartName="/word/diagrams/quickStyle6.xml" ContentType="application/vnd.openxmlformats-officedocument.drawingml.diagramStyle+xml"/>
  <Override PartName="/word/diagrams/data7.xml" ContentType="application/vnd.openxmlformats-officedocument.drawingml.diagramData+xml"/>
  <Override PartName="/word/diagrams/data8.xml" ContentType="application/vnd.openxmlformats-officedocument.drawingml.diagramData+xml"/>
  <Override PartName="/word/diagrams/colors8.xml" ContentType="application/vnd.openxmlformats-officedocument.drawingml.diagramColors+xml"/>
  <Override PartName="/word/diagrams/colors9.xml" ContentType="application/vnd.openxmlformats-officedocument.drawingml.diagramColors+xml"/>
  <Override PartName="/word/diagrams/drawing10.xml" ContentType="application/vnd.ms-office.drawingml.diagramDrawing+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word/diagrams/layout1.xml" ContentType="application/vnd.openxmlformats-officedocument.drawingml.diagramLayout+xml"/>
  <Override PartName="/word/diagrams/layout2.xml" ContentType="application/vnd.openxmlformats-officedocument.drawingml.diagramLayout+xml"/>
  <Override PartName="/word/diagrams/quickStyle3.xml" ContentType="application/vnd.openxmlformats-officedocument.drawingml.diagramStyle+xml"/>
  <Override PartName="/word/diagrams/quickStyle4.xml" ContentType="application/vnd.openxmlformats-officedocument.drawingml.diagramStyle+xml"/>
  <Override PartName="/word/diagrams/data5.xml" ContentType="application/vnd.openxmlformats-officedocument.drawingml.diagramData+xml"/>
  <Override PartName="/word/diagrams/data6.xml" ContentType="application/vnd.openxmlformats-officedocument.drawingml.diagramData+xml"/>
  <Override PartName="/word/diagrams/colors6.xml" ContentType="application/vnd.openxmlformats-officedocument.drawingml.diagramColors+xml"/>
  <Override PartName="/word/diagrams/colors7.xml" ContentType="application/vnd.openxmlformats-officedocument.drawingml.diagramColors+xml"/>
  <Override PartName="/docProps/core.xml" ContentType="application/vnd.openxmlformats-package.core-properties+xml"/>
  <Default Extension="png" ContentType="image/png"/>
  <Default Extension="bin" ContentType="application/vnd.openxmlformats-officedocument.oleObject"/>
  <Override PartName="/word/diagrams/quickStyle1.xml" ContentType="application/vnd.openxmlformats-officedocument.drawingml.diagramStyle+xml"/>
  <Override PartName="/word/diagrams/data4.xml" ContentType="application/vnd.openxmlformats-officedocument.drawingml.diagramData+xml"/>
  <Override PartName="/word/diagrams/colors4.xml" ContentType="application/vnd.openxmlformats-officedocument.drawingml.diagramColors+xml"/>
  <Override PartName="/word/diagrams/drawing9.xml" ContentType="application/vnd.ms-office.drawingml.diagramDrawing+xml"/>
  <Override PartName="/word/diagrams/quickStyle10.xml" ContentType="application/vnd.openxmlformats-officedocument.drawingml.diagramStyle+xml"/>
  <Override PartName="/word/diagrams/data2.xml" ContentType="application/vnd.openxmlformats-officedocument.drawingml.diagramData+xml"/>
  <Override PartName="/word/diagrams/colors2.xml" ContentType="application/vnd.openxmlformats-officedocument.drawingml.diagramColors+xml"/>
  <Override PartName="/word/diagrams/drawing7.xml" ContentType="application/vnd.ms-office.drawingml.diagramDrawing+xml"/>
  <Default Extension="jpeg" ContentType="image/jpeg"/>
  <Override PartName="/word/diagrams/drawing5.xml" ContentType="application/vnd.ms-office.drawingml.diagramDrawing+xml"/>
  <Override PartName="/word/numbering.xml" ContentType="application/vnd.openxmlformats-officedocument.wordprocessingml.numbering+xml"/>
  <Override PartName="/word/endnotes.xml" ContentType="application/vnd.openxmlformats-officedocument.wordprocessingml.endnotes+xml"/>
  <Override PartName="/word/diagrams/drawing3.xml" ContentType="application/vnd.ms-office.drawingml.diagramDrawing+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diagrams/drawing1.xml" ContentType="application/vnd.ms-office.drawingml.diagramDrawing+xml"/>
  <Override PartName="/word/diagrams/layout8.xml" ContentType="application/vnd.openxmlformats-officedocument.drawingml.diagramLayout+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70A4" w:rsidRDefault="0043168D">
      <w:pPr>
        <w:autoSpaceDE w:val="0"/>
        <w:autoSpaceDN w:val="0"/>
        <w:adjustRightInd w:val="0"/>
        <w:rPr>
          <w:rFonts w:ascii="Calibri" w:hAnsi="Calibri" w:cs="Calibri"/>
          <w:color w:val="3366FF"/>
          <w:sz w:val="28"/>
          <w:szCs w:val="48"/>
        </w:rPr>
      </w:pPr>
      <w:r>
        <w:rPr>
          <w:noProof/>
        </w:rPr>
        <w:drawing>
          <wp:anchor distT="0" distB="0" distL="114300" distR="114300" simplePos="0" relativeHeight="251662848" behindDoc="0" locked="0" layoutInCell="1" allowOverlap="1">
            <wp:simplePos x="0" y="0"/>
            <wp:positionH relativeFrom="column">
              <wp:align>left</wp:align>
            </wp:positionH>
            <wp:positionV relativeFrom="paragraph">
              <wp:align>top</wp:align>
            </wp:positionV>
            <wp:extent cx="2305050" cy="990600"/>
            <wp:effectExtent l="19050" t="0" r="0" b="0"/>
            <wp:wrapSquare wrapText="bothSides"/>
            <wp:docPr id="122" name="Obraz 1" descr="http://www.bytomodnowa.pl/uploads/20150915gfx/bytom-odnowa-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http://www.bytomodnowa.pl/uploads/20150915gfx/bytom-odnowa-logo.png"/>
                    <pic:cNvPicPr>
                      <a:picLocks noChangeAspect="1" noChangeArrowheads="1"/>
                    </pic:cNvPicPr>
                  </pic:nvPicPr>
                  <pic:blipFill>
                    <a:blip r:embed="rId8" cstate="print"/>
                    <a:srcRect/>
                    <a:stretch>
                      <a:fillRect/>
                    </a:stretch>
                  </pic:blipFill>
                  <pic:spPr bwMode="auto">
                    <a:xfrm>
                      <a:off x="0" y="0"/>
                      <a:ext cx="2305050" cy="990600"/>
                    </a:xfrm>
                    <a:prstGeom prst="rect">
                      <a:avLst/>
                    </a:prstGeom>
                    <a:noFill/>
                    <a:ln w="9525">
                      <a:noFill/>
                      <a:miter lim="800000"/>
                      <a:headEnd/>
                      <a:tailEnd/>
                    </a:ln>
                  </pic:spPr>
                </pic:pic>
              </a:graphicData>
            </a:graphic>
          </wp:anchor>
        </w:drawing>
      </w:r>
      <w:r w:rsidR="00EF514F">
        <w:rPr>
          <w:rFonts w:ascii="Calibri" w:hAnsi="Calibri" w:cs="Calibri"/>
          <w:color w:val="3366FF"/>
          <w:sz w:val="28"/>
          <w:szCs w:val="48"/>
        </w:rPr>
        <w:br w:type="textWrapping" w:clear="all"/>
      </w:r>
    </w:p>
    <w:p w:rsidR="000C70A4" w:rsidRDefault="000C70A4">
      <w:pPr>
        <w:autoSpaceDE w:val="0"/>
        <w:autoSpaceDN w:val="0"/>
        <w:adjustRightInd w:val="0"/>
        <w:rPr>
          <w:rFonts w:ascii="Calibri" w:hAnsi="Calibri" w:cs="Calibri"/>
          <w:b/>
          <w:color w:val="3366FF"/>
          <w:sz w:val="96"/>
          <w:szCs w:val="44"/>
        </w:rPr>
      </w:pPr>
    </w:p>
    <w:tbl>
      <w:tblPr>
        <w:tblW w:w="12100" w:type="dxa"/>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606060"/>
        <w:tblCellMar>
          <w:left w:w="70" w:type="dxa"/>
          <w:right w:w="70" w:type="dxa"/>
        </w:tblCellMar>
        <w:tblLook w:val="0000"/>
      </w:tblPr>
      <w:tblGrid>
        <w:gridCol w:w="12100"/>
      </w:tblGrid>
      <w:tr w:rsidR="000C70A4">
        <w:trPr>
          <w:trHeight w:val="3958"/>
        </w:trPr>
        <w:tc>
          <w:tcPr>
            <w:tcW w:w="12100" w:type="dxa"/>
            <w:shd w:val="clear" w:color="auto" w:fill="606060"/>
          </w:tcPr>
          <w:p w:rsidR="000C70A4" w:rsidRDefault="000C70A4">
            <w:pPr>
              <w:autoSpaceDE w:val="0"/>
              <w:autoSpaceDN w:val="0"/>
              <w:adjustRightInd w:val="0"/>
              <w:jc w:val="center"/>
              <w:rPr>
                <w:rFonts w:ascii="Calibri" w:hAnsi="Calibri" w:cs="Calibri"/>
                <w:b/>
                <w:color w:val="FFFFFF"/>
                <w:sz w:val="96"/>
                <w:szCs w:val="44"/>
              </w:rPr>
            </w:pPr>
            <w:r>
              <w:rPr>
                <w:rFonts w:ascii="Calibri" w:hAnsi="Calibri" w:cs="Calibri"/>
                <w:b/>
                <w:color w:val="FFFFFF"/>
                <w:sz w:val="96"/>
                <w:szCs w:val="44"/>
              </w:rPr>
              <w:t xml:space="preserve">Gminny Program Rewitalizacji. </w:t>
            </w:r>
          </w:p>
          <w:p w:rsidR="000C70A4" w:rsidRDefault="000C70A4">
            <w:pPr>
              <w:autoSpaceDE w:val="0"/>
              <w:autoSpaceDN w:val="0"/>
              <w:adjustRightInd w:val="0"/>
              <w:jc w:val="center"/>
              <w:rPr>
                <w:rFonts w:ascii="Calibri" w:hAnsi="Calibri" w:cs="Calibri"/>
                <w:b/>
                <w:color w:val="FFFFFF"/>
                <w:sz w:val="96"/>
                <w:szCs w:val="44"/>
              </w:rPr>
            </w:pPr>
            <w:r>
              <w:rPr>
                <w:rFonts w:ascii="Calibri" w:hAnsi="Calibri" w:cs="Calibri"/>
                <w:b/>
                <w:color w:val="FFFFFF"/>
                <w:sz w:val="96"/>
                <w:szCs w:val="44"/>
              </w:rPr>
              <w:t>Bytom 2020+</w:t>
            </w:r>
          </w:p>
        </w:tc>
      </w:tr>
    </w:tbl>
    <w:p w:rsidR="000C70A4" w:rsidRDefault="000C70A4">
      <w:pPr>
        <w:autoSpaceDE w:val="0"/>
        <w:autoSpaceDN w:val="0"/>
        <w:adjustRightInd w:val="0"/>
        <w:jc w:val="center"/>
      </w:pPr>
    </w:p>
    <w:bookmarkStart w:id="0" w:name="_MON_1534010675"/>
    <w:bookmarkEnd w:id="0"/>
    <w:p w:rsidR="000C70A4" w:rsidRPr="007022D9" w:rsidRDefault="000C70A4" w:rsidP="007022D9">
      <w:pPr>
        <w:autoSpaceDE w:val="0"/>
        <w:autoSpaceDN w:val="0"/>
        <w:adjustRightInd w:val="0"/>
        <w:ind w:left="-1418"/>
        <w:rPr>
          <w:rFonts w:ascii="Calibri" w:hAnsi="Calibri" w:cs="Calibri"/>
          <w:color w:val="3366FF"/>
          <w:sz w:val="28"/>
          <w:szCs w:val="48"/>
        </w:rPr>
      </w:pPr>
      <w:r>
        <w:object w:dxaOrig="14681" w:dyaOrig="49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banner" style="width:733.35pt;height:248.9pt" o:ole="">
            <v:imagedata r:id="rId9" o:title=""/>
          </v:shape>
          <o:OLEObject Type="Embed" ProgID="Word.Picture.8" ShapeID="_x0000_i1025" DrawAspect="Content" ObjectID="_1813748496" r:id="rId10"/>
        </w:object>
      </w:r>
    </w:p>
    <w:p w:rsidR="000C70A4" w:rsidRPr="007022D9" w:rsidRDefault="00463955" w:rsidP="00463955">
      <w:pPr>
        <w:pStyle w:val="Spistreci1"/>
        <w:shd w:val="clear" w:color="auto" w:fill="F2F2F2" w:themeFill="background1" w:themeFillShade="F2"/>
      </w:pPr>
      <w:r>
        <w:t>Bytom</w:t>
      </w:r>
      <w:r w:rsidR="007022D9" w:rsidRPr="007022D9">
        <w:t xml:space="preserve"> 2025</w:t>
      </w:r>
    </w:p>
    <w:p w:rsidR="007022D9" w:rsidRPr="00463955" w:rsidRDefault="00463955" w:rsidP="00463955">
      <w:pPr>
        <w:shd w:val="clear" w:color="auto" w:fill="F2F2F2" w:themeFill="background1" w:themeFillShade="F2"/>
        <w:jc w:val="center"/>
        <w:rPr>
          <w:rFonts w:cstheme="minorHAnsi"/>
          <w:color w:val="000000" w:themeColor="text1"/>
          <w:sz w:val="22"/>
          <w:szCs w:val="22"/>
        </w:rPr>
      </w:pPr>
      <w:r w:rsidRPr="00463955">
        <w:rPr>
          <w:rFonts w:cstheme="minorHAnsi"/>
          <w:color w:val="000000" w:themeColor="text1"/>
          <w:sz w:val="22"/>
          <w:szCs w:val="22"/>
        </w:rPr>
        <w:t>Z</w:t>
      </w:r>
      <w:r w:rsidR="007022D9" w:rsidRPr="00463955">
        <w:rPr>
          <w:rFonts w:cstheme="minorHAnsi"/>
          <w:color w:val="000000" w:themeColor="text1"/>
          <w:sz w:val="22"/>
          <w:szCs w:val="22"/>
        </w:rPr>
        <w:t xml:space="preserve">miany </w:t>
      </w:r>
      <w:r w:rsidRPr="00463955">
        <w:rPr>
          <w:rFonts w:cstheme="minorHAnsi"/>
          <w:color w:val="000000" w:themeColor="text1"/>
          <w:sz w:val="22"/>
          <w:szCs w:val="22"/>
        </w:rPr>
        <w:t xml:space="preserve">wprowadzone w ramach aktualizacji dokumentu </w:t>
      </w:r>
      <w:r w:rsidR="007022D9" w:rsidRPr="00463955">
        <w:rPr>
          <w:rFonts w:cstheme="minorHAnsi"/>
          <w:color w:val="000000" w:themeColor="text1"/>
          <w:sz w:val="22"/>
          <w:szCs w:val="22"/>
        </w:rPr>
        <w:t>wyróżniono kolorem szarym</w:t>
      </w:r>
      <w:r w:rsidRPr="00463955">
        <w:rPr>
          <w:rFonts w:cstheme="minorHAnsi"/>
          <w:color w:val="000000" w:themeColor="text1"/>
          <w:sz w:val="22"/>
          <w:szCs w:val="22"/>
        </w:rPr>
        <w:t>.</w:t>
      </w:r>
    </w:p>
    <w:p w:rsidR="007022D9" w:rsidRPr="007022D9" w:rsidRDefault="007022D9" w:rsidP="00463955">
      <w:pPr>
        <w:shd w:val="clear" w:color="auto" w:fill="F2F2F2" w:themeFill="background1" w:themeFillShade="F2"/>
        <w:jc w:val="center"/>
      </w:pPr>
    </w:p>
    <w:p w:rsidR="000C70A4" w:rsidRDefault="000C70A4">
      <w:pPr>
        <w:sectPr w:rsidR="000C70A4" w:rsidSect="0055039E">
          <w:headerReference w:type="default" r:id="rId11"/>
          <w:footerReference w:type="default" r:id="rId12"/>
          <w:headerReference w:type="first" r:id="rId13"/>
          <w:pgSz w:w="11906" w:h="16838"/>
          <w:pgMar w:top="1418" w:right="1418" w:bottom="1418" w:left="1418" w:header="708" w:footer="708" w:gutter="0"/>
          <w:cols w:space="708"/>
          <w:titlePg/>
          <w:docGrid w:linePitch="600" w:charSpace="32768"/>
        </w:sectPr>
      </w:pPr>
    </w:p>
    <w:p w:rsidR="00FF413B" w:rsidRDefault="00FF413B" w:rsidP="00FF413B">
      <w:pPr>
        <w:pStyle w:val="Tekstpodstawowy"/>
        <w:jc w:val="both"/>
        <w:rPr>
          <w:rFonts w:ascii="Calibri" w:hAnsi="Calibri"/>
        </w:rPr>
      </w:pPr>
      <w:r>
        <w:rPr>
          <w:rFonts w:ascii="Calibri" w:hAnsi="Calibri"/>
        </w:rPr>
        <w:lastRenderedPageBreak/>
        <w:t>„Gminny Pro</w:t>
      </w:r>
      <w:r w:rsidR="006D2D29">
        <w:rPr>
          <w:rFonts w:ascii="Calibri" w:hAnsi="Calibri"/>
        </w:rPr>
        <w:t>gram Rewitalizacji. Bytom 2020+”</w:t>
      </w:r>
      <w:r>
        <w:rPr>
          <w:rFonts w:ascii="Calibri" w:hAnsi="Calibri"/>
        </w:rPr>
        <w:t xml:space="preserve"> powstał przy dofinansowaniu ze środków Unii Europejskiej, w</w:t>
      </w:r>
      <w:r w:rsidR="006D2D29">
        <w:rPr>
          <w:rFonts w:ascii="Calibri" w:hAnsi="Calibri"/>
        </w:rPr>
        <w:t> </w:t>
      </w:r>
      <w:r>
        <w:rPr>
          <w:rFonts w:ascii="Calibri" w:hAnsi="Calibri"/>
        </w:rPr>
        <w:t>ramach projektu „</w:t>
      </w:r>
      <w:r w:rsidR="007F6938" w:rsidRPr="00F923F6">
        <w:rPr>
          <w:szCs w:val="20"/>
        </w:rPr>
        <w:t>B</w:t>
      </w:r>
      <w:r w:rsidR="007F6938">
        <w:rPr>
          <w:szCs w:val="20"/>
        </w:rPr>
        <w:t>YTOM odNOWA</w:t>
      </w:r>
      <w:r>
        <w:rPr>
          <w:rFonts w:ascii="Calibri" w:hAnsi="Calibri"/>
        </w:rPr>
        <w:t xml:space="preserve"> - innowacyjne projekty mieszkaniowe i rozwój inicjatyw społecznych”, który współfinansowany jest ze środków Funduszu Spójności w ramach Programu Operacyjnego Pomoc Techniczna na lata 2014-2020 </w:t>
      </w:r>
      <w:r w:rsidR="006D2D29">
        <w:rPr>
          <w:rFonts w:ascii="Calibri" w:hAnsi="Calibri"/>
        </w:rPr>
        <w:t xml:space="preserve">oraz budżetu państwa </w:t>
      </w:r>
      <w:r>
        <w:rPr>
          <w:rFonts w:ascii="Calibri" w:hAnsi="Calibri"/>
        </w:rPr>
        <w:t xml:space="preserve">na podstawie umowy o udzielenie dotacji celowej zawartej pomiędzy Ministrem Rozwoju a Gminą Bytom. </w:t>
      </w:r>
    </w:p>
    <w:p w:rsidR="00FF413B" w:rsidRDefault="00FF413B" w:rsidP="00FF413B">
      <w:pPr>
        <w:jc w:val="both"/>
        <w:rPr>
          <w:rFonts w:ascii="TiepoloItcTEEBoo" w:hAnsi="TiepoloItcTEEBoo"/>
        </w:rPr>
      </w:pPr>
    </w:p>
    <w:p w:rsidR="00FF413B" w:rsidRDefault="00FF413B" w:rsidP="00FF413B">
      <w:pPr>
        <w:jc w:val="both"/>
        <w:rPr>
          <w:rFonts w:ascii="TiepoloItcTEEBoo" w:hAnsi="TiepoloItcTEEBoo"/>
        </w:rPr>
      </w:pPr>
    </w:p>
    <w:p w:rsidR="00FF413B" w:rsidRDefault="00FF413B" w:rsidP="00FF413B">
      <w:pPr>
        <w:jc w:val="both"/>
        <w:rPr>
          <w:rFonts w:ascii="TiepoloItcTEEBoo" w:hAnsi="TiepoloItcTEEBoo"/>
        </w:rPr>
      </w:pPr>
    </w:p>
    <w:p w:rsidR="00FF413B" w:rsidRDefault="00FF413B" w:rsidP="00FF413B">
      <w:pPr>
        <w:jc w:val="both"/>
        <w:rPr>
          <w:rFonts w:ascii="TiepoloItcTEEBoo" w:hAnsi="TiepoloItcTEEBoo"/>
        </w:rPr>
      </w:pPr>
    </w:p>
    <w:p w:rsidR="00FF413B" w:rsidRDefault="00FF413B" w:rsidP="00FF413B">
      <w:pPr>
        <w:jc w:val="both"/>
        <w:rPr>
          <w:rFonts w:ascii="TiepoloItcTEEBoo" w:hAnsi="TiepoloItcTEEBoo"/>
        </w:rPr>
      </w:pPr>
    </w:p>
    <w:p w:rsidR="00FF413B" w:rsidRDefault="00FF413B" w:rsidP="00FF413B">
      <w:pPr>
        <w:jc w:val="both"/>
        <w:rPr>
          <w:rFonts w:ascii="TiepoloItcTEEBoo" w:hAnsi="TiepoloItcTEEBoo"/>
        </w:rPr>
      </w:pPr>
    </w:p>
    <w:p w:rsidR="00FF413B" w:rsidRDefault="00FF413B" w:rsidP="00FF413B">
      <w:pPr>
        <w:jc w:val="both"/>
        <w:rPr>
          <w:rFonts w:ascii="TiepoloItcTEEBoo" w:hAnsi="TiepoloItcTEEBoo"/>
        </w:rPr>
      </w:pPr>
    </w:p>
    <w:p w:rsidR="00FF413B" w:rsidRDefault="00FF413B" w:rsidP="00FF413B">
      <w:pPr>
        <w:jc w:val="both"/>
        <w:rPr>
          <w:rFonts w:ascii="TiepoloItcTEEBoo" w:hAnsi="TiepoloItcTEEBoo"/>
        </w:rPr>
      </w:pPr>
    </w:p>
    <w:p w:rsidR="00FF413B" w:rsidRDefault="00FF413B" w:rsidP="00FF413B">
      <w:pPr>
        <w:jc w:val="both"/>
        <w:rPr>
          <w:rFonts w:ascii="TiepoloItcTEEBoo" w:hAnsi="TiepoloItcTEEBoo"/>
        </w:rPr>
      </w:pPr>
    </w:p>
    <w:p w:rsidR="00FF413B" w:rsidRDefault="00FF413B" w:rsidP="00FF413B">
      <w:pPr>
        <w:jc w:val="both"/>
        <w:rPr>
          <w:rFonts w:ascii="TiepoloItcTEEBoo" w:hAnsi="TiepoloItcTEEBoo"/>
        </w:rPr>
      </w:pPr>
    </w:p>
    <w:p w:rsidR="00FF413B" w:rsidRDefault="00FF413B" w:rsidP="00FF413B">
      <w:pPr>
        <w:jc w:val="both"/>
        <w:rPr>
          <w:rFonts w:ascii="TiepoloItcTEEBoo" w:hAnsi="TiepoloItcTEEBoo"/>
        </w:rPr>
      </w:pPr>
    </w:p>
    <w:p w:rsidR="00FF413B" w:rsidRDefault="00FF413B" w:rsidP="00FF413B">
      <w:pPr>
        <w:jc w:val="both"/>
        <w:rPr>
          <w:rFonts w:ascii="TiepoloItcTEEBoo" w:hAnsi="TiepoloItcTEEBoo"/>
        </w:rPr>
      </w:pPr>
    </w:p>
    <w:p w:rsidR="00FF413B" w:rsidRDefault="00FF413B" w:rsidP="00FF413B">
      <w:pPr>
        <w:jc w:val="both"/>
        <w:rPr>
          <w:rFonts w:ascii="TiepoloItcTEEBoo" w:hAnsi="TiepoloItcTEEBoo"/>
        </w:rPr>
      </w:pPr>
    </w:p>
    <w:p w:rsidR="00FF413B" w:rsidRDefault="00FF413B" w:rsidP="00FF413B">
      <w:pPr>
        <w:jc w:val="both"/>
        <w:rPr>
          <w:rFonts w:ascii="TiepoloItcTEEBoo" w:hAnsi="TiepoloItcTEEBoo"/>
        </w:rPr>
      </w:pPr>
    </w:p>
    <w:p w:rsidR="00FF413B" w:rsidRDefault="00FF413B" w:rsidP="00FF413B">
      <w:pPr>
        <w:jc w:val="both"/>
        <w:rPr>
          <w:rFonts w:ascii="TiepoloItcTEEBoo" w:hAnsi="TiepoloItcTEEBoo"/>
        </w:rPr>
      </w:pPr>
    </w:p>
    <w:p w:rsidR="00FF413B" w:rsidRDefault="00FF413B" w:rsidP="00FF413B">
      <w:pPr>
        <w:jc w:val="both"/>
        <w:rPr>
          <w:rFonts w:ascii="TiepoloItcTEEBoo" w:hAnsi="TiepoloItcTEEBoo"/>
        </w:rPr>
      </w:pPr>
    </w:p>
    <w:p w:rsidR="00E76B04" w:rsidRDefault="00E76B04" w:rsidP="00FF413B">
      <w:pPr>
        <w:jc w:val="both"/>
        <w:rPr>
          <w:rFonts w:ascii="TiepoloItcTEEBoo" w:hAnsi="TiepoloItcTEEBoo"/>
        </w:rPr>
      </w:pPr>
    </w:p>
    <w:p w:rsidR="00E76B04" w:rsidRDefault="00E76B04" w:rsidP="00FF413B">
      <w:pPr>
        <w:jc w:val="both"/>
        <w:rPr>
          <w:rFonts w:ascii="TiepoloItcTEEBoo" w:hAnsi="TiepoloItcTEEBoo"/>
        </w:rPr>
      </w:pPr>
    </w:p>
    <w:p w:rsidR="00FF413B" w:rsidRDefault="00FF413B" w:rsidP="00FF413B">
      <w:pPr>
        <w:jc w:val="both"/>
        <w:rPr>
          <w:rFonts w:ascii="TiepoloItcTEEBoo" w:hAnsi="TiepoloItcTEEBoo"/>
        </w:rPr>
      </w:pPr>
    </w:p>
    <w:p w:rsidR="00FF413B" w:rsidRDefault="00FF413B" w:rsidP="00795D7B">
      <w:pPr>
        <w:pStyle w:val="Tekstpodstawowy"/>
        <w:jc w:val="both"/>
        <w:rPr>
          <w:rFonts w:ascii="Calibri" w:hAnsi="Calibri"/>
        </w:rPr>
      </w:pPr>
      <w:r>
        <w:rPr>
          <w:rFonts w:ascii="Calibri" w:hAnsi="Calibri"/>
        </w:rPr>
        <w:t xml:space="preserve">Niniejszy dokument został opracowany w pionie I Zastępcy Prezydenta, Andrzeja Panka przez pracowników Wydziału Strategii i Funduszy Europejskich. Dokument powstał przy udziale </w:t>
      </w:r>
      <w:r w:rsidR="00E76B04">
        <w:rPr>
          <w:rFonts w:ascii="Calibri" w:hAnsi="Calibri"/>
        </w:rPr>
        <w:t>społeczności lokalnej</w:t>
      </w:r>
      <w:r>
        <w:rPr>
          <w:rFonts w:ascii="Calibri" w:hAnsi="Calibri"/>
        </w:rPr>
        <w:t xml:space="preserve"> oraz współpracowników z wydziałów i jednostek organizacyjnych Urzędu Miejskiego w Bytomiu. </w:t>
      </w:r>
    </w:p>
    <w:p w:rsidR="00FF413B" w:rsidRDefault="00FF413B" w:rsidP="00D2657B">
      <w:pPr>
        <w:pStyle w:val="Tekstpodstawowy"/>
        <w:spacing w:after="0"/>
        <w:rPr>
          <w:rFonts w:ascii="Calibri" w:hAnsi="Calibri"/>
        </w:rPr>
      </w:pPr>
    </w:p>
    <w:p w:rsidR="00FF413B" w:rsidRDefault="00FF413B" w:rsidP="00FF413B">
      <w:pPr>
        <w:pStyle w:val="Tekstpodstawowy"/>
        <w:rPr>
          <w:rFonts w:ascii="Calibri" w:hAnsi="Calibri"/>
          <w:b/>
          <w:bCs/>
        </w:rPr>
      </w:pPr>
      <w:r>
        <w:rPr>
          <w:rFonts w:ascii="Calibri" w:hAnsi="Calibri"/>
          <w:b/>
          <w:bCs/>
        </w:rPr>
        <w:t xml:space="preserve">Kierownictwo i redakcja opracowania: </w:t>
      </w:r>
      <w:r>
        <w:rPr>
          <w:rFonts w:ascii="Calibri" w:hAnsi="Calibri"/>
        </w:rPr>
        <w:t>Izabela Domogała</w:t>
      </w:r>
    </w:p>
    <w:p w:rsidR="00FF413B" w:rsidRDefault="00FF413B" w:rsidP="00D2657B">
      <w:pPr>
        <w:pStyle w:val="Tekstpodstawowy"/>
        <w:spacing w:after="0"/>
        <w:rPr>
          <w:rFonts w:ascii="Calibri" w:hAnsi="Calibri"/>
          <w:b/>
          <w:bCs/>
        </w:rPr>
      </w:pPr>
    </w:p>
    <w:p w:rsidR="00FF413B" w:rsidRDefault="00FF413B" w:rsidP="00FF413B">
      <w:pPr>
        <w:pStyle w:val="Tekstpodstawowy"/>
        <w:spacing w:after="0"/>
        <w:rPr>
          <w:rFonts w:ascii="Calibri" w:hAnsi="Calibri"/>
          <w:b/>
          <w:bCs/>
        </w:rPr>
      </w:pPr>
      <w:r>
        <w:rPr>
          <w:rFonts w:ascii="Calibri" w:hAnsi="Calibri"/>
          <w:b/>
          <w:bCs/>
        </w:rPr>
        <w:t>Zespół redakcyjny:</w:t>
      </w:r>
    </w:p>
    <w:p w:rsidR="00FF413B" w:rsidRDefault="00795D7B" w:rsidP="00795D7B">
      <w:pPr>
        <w:pStyle w:val="Tekstpodstawowy"/>
        <w:spacing w:after="0"/>
        <w:jc w:val="both"/>
        <w:rPr>
          <w:rFonts w:ascii="Calibri" w:hAnsi="Calibri"/>
        </w:rPr>
      </w:pPr>
      <w:r>
        <w:rPr>
          <w:rFonts w:ascii="Calibri" w:hAnsi="Calibri"/>
        </w:rPr>
        <w:t xml:space="preserve">Zofia Ćwikła, </w:t>
      </w:r>
      <w:r w:rsidR="00FF413B">
        <w:rPr>
          <w:rFonts w:ascii="Calibri" w:hAnsi="Calibri"/>
        </w:rPr>
        <w:t>Tomasz Janik, Magdalena Malesza, Agnieszka Potkańska – Ćwikła, Anna Szwarc, Małgorzata Wieczorek</w:t>
      </w:r>
    </w:p>
    <w:p w:rsidR="001D143D" w:rsidRPr="00581E59" w:rsidRDefault="001D143D" w:rsidP="00463955">
      <w:pPr>
        <w:pStyle w:val="Tekstpodstawowy"/>
        <w:shd w:val="clear" w:color="auto" w:fill="F2F2F2" w:themeFill="background1" w:themeFillShade="F2"/>
        <w:spacing w:after="0"/>
        <w:rPr>
          <w:rFonts w:ascii="Calibri" w:hAnsi="Calibri"/>
          <w:b/>
          <w:bCs/>
        </w:rPr>
      </w:pPr>
      <w:r w:rsidRPr="00581E59">
        <w:rPr>
          <w:rFonts w:ascii="Calibri" w:hAnsi="Calibri"/>
          <w:b/>
          <w:bCs/>
        </w:rPr>
        <w:t xml:space="preserve">Zespół redakcyjny aktualizacji: </w:t>
      </w:r>
    </w:p>
    <w:p w:rsidR="001D143D" w:rsidRPr="00581E59" w:rsidRDefault="001D143D" w:rsidP="00463955">
      <w:pPr>
        <w:pStyle w:val="Tekstpodstawowy"/>
        <w:shd w:val="clear" w:color="auto" w:fill="F2F2F2" w:themeFill="background1" w:themeFillShade="F2"/>
        <w:spacing w:after="0"/>
        <w:rPr>
          <w:rFonts w:ascii="Calibri" w:hAnsi="Calibri"/>
          <w:bCs/>
        </w:rPr>
      </w:pPr>
      <w:r w:rsidRPr="00581E59">
        <w:rPr>
          <w:rFonts w:ascii="Calibri" w:hAnsi="Calibri"/>
          <w:bCs/>
        </w:rPr>
        <w:t>Andrzej Roterman, Magdalena Mazurkiewicz</w:t>
      </w:r>
    </w:p>
    <w:p w:rsidR="00FF413B" w:rsidRDefault="00FF413B" w:rsidP="00FF413B">
      <w:pPr>
        <w:pStyle w:val="Tekstpodstawowy"/>
        <w:spacing w:after="0"/>
        <w:rPr>
          <w:rFonts w:ascii="Calibri" w:hAnsi="Calibri"/>
        </w:rPr>
      </w:pPr>
    </w:p>
    <w:p w:rsidR="00FF413B" w:rsidRDefault="00FF413B" w:rsidP="00FF413B">
      <w:pPr>
        <w:pStyle w:val="Tekstpodstawowy"/>
        <w:spacing w:after="0"/>
        <w:rPr>
          <w:rFonts w:ascii="Calibri" w:hAnsi="Calibri"/>
          <w:b/>
          <w:bCs/>
        </w:rPr>
      </w:pPr>
      <w:r>
        <w:rPr>
          <w:rFonts w:ascii="Calibri" w:hAnsi="Calibri"/>
          <w:b/>
          <w:bCs/>
        </w:rPr>
        <w:t xml:space="preserve">Merytoryczna opieka: </w:t>
      </w:r>
    </w:p>
    <w:p w:rsidR="00FF413B" w:rsidRDefault="00FF413B" w:rsidP="00FF413B">
      <w:pPr>
        <w:pStyle w:val="Tekstpodstawowy"/>
        <w:spacing w:after="0"/>
        <w:rPr>
          <w:rFonts w:ascii="Calibri" w:hAnsi="Calibri"/>
          <w:b/>
          <w:bCs/>
        </w:rPr>
      </w:pPr>
      <w:r>
        <w:rPr>
          <w:rFonts w:ascii="Calibri" w:hAnsi="Calibri"/>
          <w:b/>
          <w:bCs/>
        </w:rPr>
        <w:t>zespół ek</w:t>
      </w:r>
      <w:r w:rsidR="00B907DE">
        <w:rPr>
          <w:rFonts w:ascii="Calibri" w:hAnsi="Calibri"/>
          <w:b/>
          <w:bCs/>
        </w:rPr>
        <w:t>spertów Instytutu Rozwoju Miast</w:t>
      </w:r>
      <w:r>
        <w:rPr>
          <w:rFonts w:ascii="Calibri" w:hAnsi="Calibri"/>
          <w:b/>
          <w:bCs/>
        </w:rPr>
        <w:t xml:space="preserve"> w Krakowie: </w:t>
      </w:r>
    </w:p>
    <w:p w:rsidR="00DF03B7" w:rsidRDefault="00FF413B" w:rsidP="0044572A">
      <w:pPr>
        <w:pStyle w:val="Tekstpodstawowy"/>
        <w:spacing w:after="0"/>
        <w:jc w:val="both"/>
      </w:pPr>
      <w:r>
        <w:rPr>
          <w:rFonts w:ascii="Calibri" w:hAnsi="Calibri"/>
        </w:rPr>
        <w:t>dr Aleksan</w:t>
      </w:r>
      <w:r w:rsidR="00DF03B7">
        <w:rPr>
          <w:rFonts w:ascii="Calibri" w:hAnsi="Calibri"/>
        </w:rPr>
        <w:t>dra Jadach-Sepioło, Beata Bujak-</w:t>
      </w:r>
      <w:r>
        <w:rPr>
          <w:rFonts w:ascii="Calibri" w:hAnsi="Calibri"/>
        </w:rPr>
        <w:t>Szwa</w:t>
      </w:r>
      <w:r w:rsidR="00795D7B">
        <w:rPr>
          <w:rFonts w:ascii="Calibri" w:hAnsi="Calibri"/>
        </w:rPr>
        <w:t>czka, Bogusław Ciastek, Tadeusz</w:t>
      </w:r>
      <w:r>
        <w:rPr>
          <w:rFonts w:ascii="Calibri" w:hAnsi="Calibri"/>
        </w:rPr>
        <w:t xml:space="preserve"> Kaźmierak,</w:t>
      </w:r>
      <w:r w:rsidR="00435161">
        <w:rPr>
          <w:rFonts w:ascii="Calibri" w:hAnsi="Calibri"/>
        </w:rPr>
        <w:t xml:space="preserve"> </w:t>
      </w:r>
      <w:r>
        <w:rPr>
          <w:rFonts w:ascii="Calibri" w:hAnsi="Calibri"/>
        </w:rPr>
        <w:t>Jarosław</w:t>
      </w:r>
      <w:r w:rsidR="00DF03B7">
        <w:rPr>
          <w:rFonts w:ascii="Calibri" w:hAnsi="Calibri"/>
        </w:rPr>
        <w:t> </w:t>
      </w:r>
      <w:r>
        <w:rPr>
          <w:rFonts w:ascii="Calibri" w:hAnsi="Calibri"/>
        </w:rPr>
        <w:t>Ogrodowski</w:t>
      </w:r>
    </w:p>
    <w:p w:rsidR="00E76B04" w:rsidRDefault="00DF03B7" w:rsidP="00E76B04">
      <w:pPr>
        <w:pStyle w:val="Tekstpodstawowy"/>
        <w:jc w:val="both"/>
        <w:rPr>
          <w:rFonts w:ascii="Calibri" w:hAnsi="Calibri"/>
        </w:rPr>
      </w:pPr>
      <w:r>
        <w:t>W</w:t>
      </w:r>
      <w:r w:rsidR="00E76B04">
        <w:t xml:space="preserve">spółpraca i doradztwo </w:t>
      </w:r>
      <w:r w:rsidR="00FF413B">
        <w:rPr>
          <w:rFonts w:ascii="Calibri" w:hAnsi="Calibri"/>
        </w:rPr>
        <w:t xml:space="preserve">w ramach realizacji umowy </w:t>
      </w:r>
      <w:r w:rsidR="00E76B04">
        <w:rPr>
          <w:rFonts w:ascii="Calibri" w:hAnsi="Calibri"/>
        </w:rPr>
        <w:t xml:space="preserve">o udzielenie dotacji celowej zawartej pomiędzy Ministrem Rozwoju a Gminą Bytom. </w:t>
      </w:r>
    </w:p>
    <w:p w:rsidR="00FF413B" w:rsidRDefault="00FF413B" w:rsidP="00FF413B">
      <w:pPr>
        <w:pStyle w:val="Tekstpodstawowy"/>
        <w:spacing w:after="0"/>
        <w:rPr>
          <w:rFonts w:ascii="Calibri" w:hAnsi="Calibri"/>
        </w:rPr>
      </w:pPr>
    </w:p>
    <w:p w:rsidR="00FF413B" w:rsidRDefault="00FF413B" w:rsidP="00FF413B">
      <w:pPr>
        <w:pStyle w:val="Tekstpodstawowy"/>
        <w:spacing w:after="0"/>
        <w:rPr>
          <w:rFonts w:ascii="Calibri" w:hAnsi="Calibri"/>
          <w:b/>
          <w:bCs/>
        </w:rPr>
      </w:pPr>
      <w:r>
        <w:rPr>
          <w:rFonts w:ascii="Calibri" w:hAnsi="Calibri"/>
          <w:b/>
          <w:bCs/>
        </w:rPr>
        <w:t xml:space="preserve">ekspert z ramienia Gminy Bytom </w:t>
      </w:r>
    </w:p>
    <w:p w:rsidR="00FF413B" w:rsidRDefault="00FF413B" w:rsidP="00FF413B">
      <w:pPr>
        <w:pStyle w:val="Tekstpodstawowy"/>
        <w:spacing w:after="0"/>
        <w:rPr>
          <w:rFonts w:ascii="Calibri" w:hAnsi="Calibri"/>
        </w:rPr>
      </w:pPr>
      <w:r>
        <w:rPr>
          <w:rFonts w:ascii="Calibri" w:hAnsi="Calibri"/>
        </w:rPr>
        <w:t xml:space="preserve">dr Krzysztof Wrana </w:t>
      </w:r>
    </w:p>
    <w:p w:rsidR="00FF413B" w:rsidRDefault="00FF413B" w:rsidP="00FF413B">
      <w:pPr>
        <w:pStyle w:val="Tekstpodstawowy"/>
        <w:spacing w:after="0"/>
        <w:rPr>
          <w:rFonts w:ascii="Calibri" w:hAnsi="Calibri"/>
        </w:rPr>
      </w:pPr>
    </w:p>
    <w:p w:rsidR="00FF413B" w:rsidRDefault="00FF413B" w:rsidP="00FF413B">
      <w:pPr>
        <w:pStyle w:val="Tekstpodstawowy"/>
        <w:spacing w:after="0"/>
        <w:rPr>
          <w:rFonts w:ascii="Calibri" w:hAnsi="Calibri"/>
        </w:rPr>
      </w:pPr>
      <w:r>
        <w:rPr>
          <w:rFonts w:ascii="Calibri" w:hAnsi="Calibri"/>
          <w:b/>
          <w:bCs/>
        </w:rPr>
        <w:t xml:space="preserve">Skład i oprawa graficzna: </w:t>
      </w:r>
      <w:r>
        <w:rPr>
          <w:rFonts w:ascii="Calibri" w:hAnsi="Calibri"/>
        </w:rPr>
        <w:t>Katarzyna Mieszała</w:t>
      </w:r>
    </w:p>
    <w:p w:rsidR="00FF413B" w:rsidRDefault="00FF413B" w:rsidP="00FF413B">
      <w:pPr>
        <w:pStyle w:val="Tekstpodstawowy"/>
        <w:spacing w:after="0"/>
        <w:rPr>
          <w:rFonts w:ascii="Calibri" w:hAnsi="Calibri"/>
        </w:rPr>
      </w:pPr>
    </w:p>
    <w:p w:rsidR="00FF413B" w:rsidRDefault="00FF413B" w:rsidP="00FF413B">
      <w:pPr>
        <w:pStyle w:val="Tekstpodstawowy"/>
        <w:spacing w:after="0"/>
        <w:rPr>
          <w:rFonts w:ascii="Calibri" w:hAnsi="Calibri"/>
        </w:rPr>
      </w:pPr>
      <w:r>
        <w:rPr>
          <w:rFonts w:ascii="Calibri" w:hAnsi="Calibri"/>
          <w:b/>
          <w:bCs/>
        </w:rPr>
        <w:t xml:space="preserve">Zdjęcia: </w:t>
      </w:r>
      <w:r>
        <w:rPr>
          <w:rFonts w:ascii="Calibri" w:hAnsi="Calibri"/>
        </w:rPr>
        <w:t>Wydziały i jednostki organizacyjne Urzędu Miejskiego w Bytomiu</w:t>
      </w:r>
    </w:p>
    <w:p w:rsidR="000C70A4" w:rsidRPr="00363EFA" w:rsidRDefault="000C70A4">
      <w:pPr>
        <w:rPr>
          <w:rFonts w:ascii="Calibri" w:hAnsi="Calibri" w:cs="Calibri"/>
          <w:b/>
          <w:bCs/>
          <w:color w:val="3366FF"/>
          <w:sz w:val="40"/>
          <w:szCs w:val="22"/>
        </w:rPr>
      </w:pPr>
      <w:r w:rsidRPr="00363EFA">
        <w:rPr>
          <w:rFonts w:ascii="Calibri" w:hAnsi="Calibri" w:cs="Calibri"/>
          <w:b/>
          <w:bCs/>
          <w:color w:val="3366FF"/>
          <w:sz w:val="40"/>
          <w:szCs w:val="22"/>
        </w:rPr>
        <w:lastRenderedPageBreak/>
        <w:t xml:space="preserve">SPIS TREŚCI </w:t>
      </w:r>
      <w:r w:rsidR="00C5390D" w:rsidRPr="00363EFA">
        <w:rPr>
          <w:rFonts w:ascii="Calibri" w:hAnsi="Calibri" w:cs="Calibri"/>
          <w:b/>
          <w:bCs/>
          <w:color w:val="3366FF"/>
          <w:sz w:val="40"/>
          <w:szCs w:val="22"/>
        </w:rPr>
        <w:t xml:space="preserve"> </w:t>
      </w:r>
    </w:p>
    <w:p w:rsidR="00B80F21" w:rsidRDefault="00F93E5C" w:rsidP="005F3253">
      <w:pPr>
        <w:pStyle w:val="Spistreci1"/>
      </w:pPr>
      <w:r>
        <w:t xml:space="preserve"> </w:t>
      </w:r>
      <w:r w:rsidR="003972D8" w:rsidRPr="003972D8">
        <w:rPr>
          <w:color w:val="808080"/>
        </w:rPr>
        <w:fldChar w:fldCharType="begin"/>
      </w:r>
      <w:r w:rsidR="00FE4FA1" w:rsidRPr="00A34C02">
        <w:instrText xml:space="preserve"> TOC \o "1-3" \h \z \u </w:instrText>
      </w:r>
      <w:r w:rsidR="003972D8" w:rsidRPr="003972D8">
        <w:rPr>
          <w:color w:val="808080"/>
        </w:rPr>
        <w:fldChar w:fldCharType="separate"/>
      </w:r>
    </w:p>
    <w:p w:rsidR="00B80F21" w:rsidRDefault="003972D8" w:rsidP="005F3253">
      <w:pPr>
        <w:pStyle w:val="Spistreci1"/>
        <w:rPr>
          <w:rFonts w:asciiTheme="minorHAnsi" w:eastAsiaTheme="minorEastAsia" w:hAnsiTheme="minorHAnsi" w:cstheme="minorBidi"/>
          <w:sz w:val="22"/>
          <w:szCs w:val="22"/>
        </w:rPr>
      </w:pPr>
      <w:hyperlink w:anchor="_Toc474924869" w:history="1">
        <w:r w:rsidR="00B80F21" w:rsidRPr="00962D72">
          <w:rPr>
            <w:rStyle w:val="Hipercze"/>
          </w:rPr>
          <w:t>1.</w:t>
        </w:r>
        <w:r w:rsidR="00B80F21">
          <w:rPr>
            <w:rFonts w:asciiTheme="minorHAnsi" w:eastAsiaTheme="minorEastAsia" w:hAnsiTheme="minorHAnsi" w:cstheme="minorBidi"/>
            <w:sz w:val="22"/>
            <w:szCs w:val="22"/>
          </w:rPr>
          <w:tab/>
        </w:r>
        <w:r w:rsidR="00B80F21" w:rsidRPr="00962D72">
          <w:rPr>
            <w:rStyle w:val="Hipercze"/>
          </w:rPr>
          <w:t>WPROWADZENIE</w:t>
        </w:r>
        <w:r w:rsidR="00B80F21">
          <w:rPr>
            <w:webHidden/>
          </w:rPr>
          <w:tab/>
        </w:r>
        <w:r>
          <w:rPr>
            <w:webHidden/>
          </w:rPr>
          <w:fldChar w:fldCharType="begin"/>
        </w:r>
        <w:r w:rsidR="00B80F21">
          <w:rPr>
            <w:webHidden/>
          </w:rPr>
          <w:instrText xml:space="preserve"> PAGEREF _Toc474924869 \h </w:instrText>
        </w:r>
        <w:r>
          <w:rPr>
            <w:webHidden/>
          </w:rPr>
        </w:r>
        <w:r>
          <w:rPr>
            <w:webHidden/>
          </w:rPr>
          <w:fldChar w:fldCharType="separate"/>
        </w:r>
        <w:r w:rsidR="00413FFE">
          <w:rPr>
            <w:webHidden/>
          </w:rPr>
          <w:t>5</w:t>
        </w:r>
        <w:r>
          <w:rPr>
            <w:webHidden/>
          </w:rPr>
          <w:fldChar w:fldCharType="end"/>
        </w:r>
      </w:hyperlink>
    </w:p>
    <w:p w:rsidR="00B80F21" w:rsidRDefault="003972D8">
      <w:pPr>
        <w:pStyle w:val="Spistreci2"/>
        <w:tabs>
          <w:tab w:val="left" w:pos="880"/>
        </w:tabs>
        <w:rPr>
          <w:rFonts w:asciiTheme="minorHAnsi" w:eastAsiaTheme="minorEastAsia" w:hAnsiTheme="minorHAnsi" w:cstheme="minorBidi"/>
          <w:sz w:val="22"/>
          <w:szCs w:val="22"/>
        </w:rPr>
      </w:pPr>
      <w:hyperlink w:anchor="_Toc474924870" w:history="1">
        <w:r w:rsidR="00B80F21" w:rsidRPr="00962D72">
          <w:rPr>
            <w:rStyle w:val="Hipercze"/>
          </w:rPr>
          <w:t>1.1.</w:t>
        </w:r>
        <w:r w:rsidR="00B80F21">
          <w:rPr>
            <w:rFonts w:asciiTheme="minorHAnsi" w:eastAsiaTheme="minorEastAsia" w:hAnsiTheme="minorHAnsi" w:cstheme="minorBidi"/>
            <w:sz w:val="22"/>
            <w:szCs w:val="22"/>
          </w:rPr>
          <w:tab/>
        </w:r>
        <w:r w:rsidR="00B80F21" w:rsidRPr="00962D72">
          <w:rPr>
            <w:rStyle w:val="Hipercze"/>
          </w:rPr>
          <w:t>Bytom jako rewitalizowany ośrodek miejski w kontekście zapisów lokalnych, regionalnych i</w:t>
        </w:r>
        <w:r w:rsidR="00B80F21">
          <w:rPr>
            <w:rStyle w:val="Hipercze"/>
          </w:rPr>
          <w:t> </w:t>
        </w:r>
        <w:r w:rsidR="00B80F21" w:rsidRPr="00962D72">
          <w:rPr>
            <w:rStyle w:val="Hipercze"/>
          </w:rPr>
          <w:t>krajowych dokumentów strategicznych i programowych</w:t>
        </w:r>
        <w:r w:rsidR="00B80F21">
          <w:rPr>
            <w:webHidden/>
          </w:rPr>
          <w:tab/>
        </w:r>
        <w:r>
          <w:rPr>
            <w:webHidden/>
          </w:rPr>
          <w:fldChar w:fldCharType="begin"/>
        </w:r>
        <w:r w:rsidR="00B80F21">
          <w:rPr>
            <w:webHidden/>
          </w:rPr>
          <w:instrText xml:space="preserve"> PAGEREF _Toc474924870 \h </w:instrText>
        </w:r>
        <w:r>
          <w:rPr>
            <w:webHidden/>
          </w:rPr>
        </w:r>
        <w:r>
          <w:rPr>
            <w:webHidden/>
          </w:rPr>
          <w:fldChar w:fldCharType="separate"/>
        </w:r>
        <w:r w:rsidR="00413FFE">
          <w:rPr>
            <w:webHidden/>
          </w:rPr>
          <w:t>7</w:t>
        </w:r>
        <w:r>
          <w:rPr>
            <w:webHidden/>
          </w:rPr>
          <w:fldChar w:fldCharType="end"/>
        </w:r>
      </w:hyperlink>
    </w:p>
    <w:p w:rsidR="00B80F21" w:rsidRDefault="003972D8">
      <w:pPr>
        <w:pStyle w:val="Spistreci3"/>
        <w:rPr>
          <w:rFonts w:eastAsiaTheme="minorEastAsia" w:cstheme="minorBidi"/>
          <w:noProof/>
          <w:sz w:val="22"/>
          <w:szCs w:val="22"/>
        </w:rPr>
      </w:pPr>
      <w:hyperlink w:anchor="_Toc474924877" w:history="1">
        <w:r w:rsidR="00B80F21" w:rsidRPr="00962D72">
          <w:rPr>
            <w:rStyle w:val="Hipercze"/>
            <w:noProof/>
          </w:rPr>
          <w:t>1.1.1.</w:t>
        </w:r>
        <w:r w:rsidR="00B80F21">
          <w:rPr>
            <w:rFonts w:eastAsiaTheme="minorEastAsia" w:cstheme="minorBidi"/>
            <w:noProof/>
            <w:sz w:val="22"/>
            <w:szCs w:val="22"/>
          </w:rPr>
          <w:tab/>
        </w:r>
        <w:r w:rsidR="00B80F21" w:rsidRPr="00962D72">
          <w:rPr>
            <w:rStyle w:val="Hipercze"/>
            <w:noProof/>
          </w:rPr>
          <w:t>Lokalne dokumenty strategiczne i programowe</w:t>
        </w:r>
        <w:r w:rsidR="00B80F21">
          <w:rPr>
            <w:noProof/>
            <w:webHidden/>
          </w:rPr>
          <w:tab/>
        </w:r>
        <w:r>
          <w:rPr>
            <w:noProof/>
            <w:webHidden/>
          </w:rPr>
          <w:fldChar w:fldCharType="begin"/>
        </w:r>
        <w:r w:rsidR="00B80F21">
          <w:rPr>
            <w:noProof/>
            <w:webHidden/>
          </w:rPr>
          <w:instrText xml:space="preserve"> PAGEREF _Toc474924877 \h </w:instrText>
        </w:r>
        <w:r>
          <w:rPr>
            <w:noProof/>
            <w:webHidden/>
          </w:rPr>
        </w:r>
        <w:r>
          <w:rPr>
            <w:noProof/>
            <w:webHidden/>
          </w:rPr>
          <w:fldChar w:fldCharType="separate"/>
        </w:r>
        <w:r w:rsidR="00413FFE">
          <w:rPr>
            <w:noProof/>
            <w:webHidden/>
          </w:rPr>
          <w:t>7</w:t>
        </w:r>
        <w:r>
          <w:rPr>
            <w:noProof/>
            <w:webHidden/>
          </w:rPr>
          <w:fldChar w:fldCharType="end"/>
        </w:r>
      </w:hyperlink>
    </w:p>
    <w:p w:rsidR="00B80F21" w:rsidRDefault="003972D8">
      <w:pPr>
        <w:pStyle w:val="Spistreci3"/>
        <w:rPr>
          <w:rFonts w:eastAsiaTheme="minorEastAsia" w:cstheme="minorBidi"/>
          <w:noProof/>
          <w:sz w:val="22"/>
          <w:szCs w:val="22"/>
        </w:rPr>
      </w:pPr>
      <w:hyperlink w:anchor="_Toc474924878" w:history="1">
        <w:r w:rsidR="00B80F21" w:rsidRPr="00962D72">
          <w:rPr>
            <w:rStyle w:val="Hipercze"/>
            <w:noProof/>
          </w:rPr>
          <w:t>1.1.2.</w:t>
        </w:r>
        <w:r w:rsidR="00B80F21">
          <w:rPr>
            <w:rFonts w:eastAsiaTheme="minorEastAsia" w:cstheme="minorBidi"/>
            <w:noProof/>
            <w:sz w:val="22"/>
            <w:szCs w:val="22"/>
          </w:rPr>
          <w:tab/>
        </w:r>
        <w:r w:rsidR="00B80F21" w:rsidRPr="00962D72">
          <w:rPr>
            <w:rStyle w:val="Hipercze"/>
            <w:noProof/>
          </w:rPr>
          <w:t>Regionalne dokumenty strategiczne i programowe</w:t>
        </w:r>
        <w:r w:rsidR="00B80F21">
          <w:rPr>
            <w:noProof/>
            <w:webHidden/>
          </w:rPr>
          <w:tab/>
        </w:r>
        <w:r>
          <w:rPr>
            <w:noProof/>
            <w:webHidden/>
          </w:rPr>
          <w:fldChar w:fldCharType="begin"/>
        </w:r>
        <w:r w:rsidR="00B80F21">
          <w:rPr>
            <w:noProof/>
            <w:webHidden/>
          </w:rPr>
          <w:instrText xml:space="preserve"> PAGEREF _Toc474924878 \h </w:instrText>
        </w:r>
        <w:r>
          <w:rPr>
            <w:noProof/>
            <w:webHidden/>
          </w:rPr>
        </w:r>
        <w:r>
          <w:rPr>
            <w:noProof/>
            <w:webHidden/>
          </w:rPr>
          <w:fldChar w:fldCharType="separate"/>
        </w:r>
        <w:r w:rsidR="00413FFE">
          <w:rPr>
            <w:noProof/>
            <w:webHidden/>
          </w:rPr>
          <w:t>30</w:t>
        </w:r>
        <w:r>
          <w:rPr>
            <w:noProof/>
            <w:webHidden/>
          </w:rPr>
          <w:fldChar w:fldCharType="end"/>
        </w:r>
      </w:hyperlink>
    </w:p>
    <w:p w:rsidR="00B80F21" w:rsidRDefault="003972D8">
      <w:pPr>
        <w:pStyle w:val="Spistreci3"/>
        <w:rPr>
          <w:rFonts w:eastAsiaTheme="minorEastAsia" w:cstheme="minorBidi"/>
          <w:noProof/>
          <w:sz w:val="22"/>
          <w:szCs w:val="22"/>
        </w:rPr>
      </w:pPr>
      <w:hyperlink w:anchor="_Toc474924879" w:history="1">
        <w:r w:rsidR="00B80F21" w:rsidRPr="00962D72">
          <w:rPr>
            <w:rStyle w:val="Hipercze"/>
            <w:noProof/>
          </w:rPr>
          <w:t>1.1.3.</w:t>
        </w:r>
        <w:r w:rsidR="00B80F21">
          <w:rPr>
            <w:rFonts w:eastAsiaTheme="minorEastAsia" w:cstheme="minorBidi"/>
            <w:noProof/>
            <w:sz w:val="22"/>
            <w:szCs w:val="22"/>
          </w:rPr>
          <w:tab/>
        </w:r>
        <w:r w:rsidR="00B80F21" w:rsidRPr="00962D72">
          <w:rPr>
            <w:rStyle w:val="Hipercze"/>
            <w:noProof/>
          </w:rPr>
          <w:t>Krajowe dokumenty strategiczne i programowe</w:t>
        </w:r>
        <w:r w:rsidR="00B80F21">
          <w:rPr>
            <w:noProof/>
            <w:webHidden/>
          </w:rPr>
          <w:tab/>
        </w:r>
        <w:r>
          <w:rPr>
            <w:noProof/>
            <w:webHidden/>
          </w:rPr>
          <w:fldChar w:fldCharType="begin"/>
        </w:r>
        <w:r w:rsidR="00B80F21">
          <w:rPr>
            <w:noProof/>
            <w:webHidden/>
          </w:rPr>
          <w:instrText xml:space="preserve"> PAGEREF _Toc474924879 \h </w:instrText>
        </w:r>
        <w:r>
          <w:rPr>
            <w:noProof/>
            <w:webHidden/>
          </w:rPr>
        </w:r>
        <w:r>
          <w:rPr>
            <w:noProof/>
            <w:webHidden/>
          </w:rPr>
          <w:fldChar w:fldCharType="separate"/>
        </w:r>
        <w:r w:rsidR="00413FFE">
          <w:rPr>
            <w:noProof/>
            <w:webHidden/>
          </w:rPr>
          <w:t>36</w:t>
        </w:r>
        <w:r>
          <w:rPr>
            <w:noProof/>
            <w:webHidden/>
          </w:rPr>
          <w:fldChar w:fldCharType="end"/>
        </w:r>
      </w:hyperlink>
    </w:p>
    <w:p w:rsidR="00B80F21" w:rsidRDefault="003972D8" w:rsidP="005F3253">
      <w:pPr>
        <w:pStyle w:val="Spistreci1"/>
        <w:rPr>
          <w:rFonts w:asciiTheme="minorHAnsi" w:eastAsiaTheme="minorEastAsia" w:hAnsiTheme="minorHAnsi" w:cstheme="minorBidi"/>
          <w:sz w:val="22"/>
          <w:szCs w:val="22"/>
        </w:rPr>
      </w:pPr>
      <w:hyperlink w:anchor="_Toc474924880" w:history="1">
        <w:r w:rsidR="00B80F21" w:rsidRPr="00962D72">
          <w:rPr>
            <w:rStyle w:val="Hipercze"/>
          </w:rPr>
          <w:t>2.</w:t>
        </w:r>
        <w:r w:rsidR="00B80F21">
          <w:rPr>
            <w:rFonts w:asciiTheme="minorHAnsi" w:eastAsiaTheme="minorEastAsia" w:hAnsiTheme="minorHAnsi" w:cstheme="minorBidi"/>
            <w:sz w:val="22"/>
            <w:szCs w:val="22"/>
          </w:rPr>
          <w:tab/>
        </w:r>
        <w:r w:rsidR="00B80F21" w:rsidRPr="00962D72">
          <w:rPr>
            <w:rStyle w:val="Hipercze"/>
          </w:rPr>
          <w:t>DIAGNOZA</w:t>
        </w:r>
        <w:r w:rsidR="00B80F21">
          <w:rPr>
            <w:webHidden/>
          </w:rPr>
          <w:tab/>
        </w:r>
        <w:r>
          <w:rPr>
            <w:webHidden/>
          </w:rPr>
          <w:fldChar w:fldCharType="begin"/>
        </w:r>
        <w:r w:rsidR="00B80F21">
          <w:rPr>
            <w:webHidden/>
          </w:rPr>
          <w:instrText xml:space="preserve"> PAGEREF _Toc474924880 \h </w:instrText>
        </w:r>
        <w:r>
          <w:rPr>
            <w:webHidden/>
          </w:rPr>
        </w:r>
        <w:r>
          <w:rPr>
            <w:webHidden/>
          </w:rPr>
          <w:fldChar w:fldCharType="separate"/>
        </w:r>
        <w:r w:rsidR="00413FFE">
          <w:rPr>
            <w:webHidden/>
          </w:rPr>
          <w:t>38</w:t>
        </w:r>
        <w:r>
          <w:rPr>
            <w:webHidden/>
          </w:rPr>
          <w:fldChar w:fldCharType="end"/>
        </w:r>
      </w:hyperlink>
    </w:p>
    <w:p w:rsidR="00B80F21" w:rsidRDefault="003972D8">
      <w:pPr>
        <w:pStyle w:val="Spistreci2"/>
        <w:tabs>
          <w:tab w:val="left" w:pos="880"/>
        </w:tabs>
        <w:rPr>
          <w:rFonts w:asciiTheme="minorHAnsi" w:eastAsiaTheme="minorEastAsia" w:hAnsiTheme="minorHAnsi" w:cstheme="minorBidi"/>
          <w:sz w:val="22"/>
          <w:szCs w:val="22"/>
        </w:rPr>
      </w:pPr>
      <w:hyperlink w:anchor="_Toc474924882" w:history="1">
        <w:r w:rsidR="00B80F21" w:rsidRPr="00962D72">
          <w:rPr>
            <w:rStyle w:val="Hipercze"/>
          </w:rPr>
          <w:t>2.1.</w:t>
        </w:r>
        <w:r w:rsidR="00B80F21">
          <w:rPr>
            <w:rFonts w:asciiTheme="minorHAnsi" w:eastAsiaTheme="minorEastAsia" w:hAnsiTheme="minorHAnsi" w:cstheme="minorBidi"/>
            <w:sz w:val="22"/>
            <w:szCs w:val="22"/>
          </w:rPr>
          <w:tab/>
        </w:r>
        <w:r w:rsidR="00B80F21" w:rsidRPr="00962D72">
          <w:rPr>
            <w:rStyle w:val="Hipercze"/>
          </w:rPr>
          <w:t>Obszar rewitalizacji</w:t>
        </w:r>
        <w:r w:rsidR="00B80F21">
          <w:rPr>
            <w:webHidden/>
          </w:rPr>
          <w:tab/>
        </w:r>
        <w:r>
          <w:rPr>
            <w:webHidden/>
          </w:rPr>
          <w:fldChar w:fldCharType="begin"/>
        </w:r>
        <w:r w:rsidR="00B80F21">
          <w:rPr>
            <w:webHidden/>
          </w:rPr>
          <w:instrText xml:space="preserve"> PAGEREF _Toc474924882 \h </w:instrText>
        </w:r>
        <w:r>
          <w:rPr>
            <w:webHidden/>
          </w:rPr>
        </w:r>
        <w:r>
          <w:rPr>
            <w:webHidden/>
          </w:rPr>
          <w:fldChar w:fldCharType="separate"/>
        </w:r>
        <w:r w:rsidR="00413FFE">
          <w:rPr>
            <w:webHidden/>
          </w:rPr>
          <w:t>38</w:t>
        </w:r>
        <w:r>
          <w:rPr>
            <w:webHidden/>
          </w:rPr>
          <w:fldChar w:fldCharType="end"/>
        </w:r>
      </w:hyperlink>
    </w:p>
    <w:p w:rsidR="00B80F21" w:rsidRDefault="003972D8">
      <w:pPr>
        <w:pStyle w:val="Spistreci2"/>
        <w:tabs>
          <w:tab w:val="left" w:pos="880"/>
        </w:tabs>
        <w:rPr>
          <w:rFonts w:asciiTheme="minorHAnsi" w:eastAsiaTheme="minorEastAsia" w:hAnsiTheme="minorHAnsi" w:cstheme="minorBidi"/>
          <w:sz w:val="22"/>
          <w:szCs w:val="22"/>
        </w:rPr>
      </w:pPr>
      <w:hyperlink w:anchor="_Toc474924883" w:history="1">
        <w:r w:rsidR="00B80F21" w:rsidRPr="00962D72">
          <w:rPr>
            <w:rStyle w:val="Hipercze"/>
          </w:rPr>
          <w:t>2.2.</w:t>
        </w:r>
        <w:r w:rsidR="00B80F21">
          <w:rPr>
            <w:rFonts w:asciiTheme="minorHAnsi" w:eastAsiaTheme="minorEastAsia" w:hAnsiTheme="minorHAnsi" w:cstheme="minorBidi"/>
            <w:sz w:val="22"/>
            <w:szCs w:val="22"/>
          </w:rPr>
          <w:tab/>
        </w:r>
        <w:r w:rsidR="00B80F21" w:rsidRPr="00962D72">
          <w:rPr>
            <w:rStyle w:val="Hipercze"/>
          </w:rPr>
          <w:t>Metodyka diagnozy</w:t>
        </w:r>
        <w:r w:rsidR="00B80F21">
          <w:rPr>
            <w:webHidden/>
          </w:rPr>
          <w:tab/>
        </w:r>
        <w:r>
          <w:rPr>
            <w:webHidden/>
          </w:rPr>
          <w:fldChar w:fldCharType="begin"/>
        </w:r>
        <w:r w:rsidR="00B80F21">
          <w:rPr>
            <w:webHidden/>
          </w:rPr>
          <w:instrText xml:space="preserve"> PAGEREF _Toc474924883 \h </w:instrText>
        </w:r>
        <w:r>
          <w:rPr>
            <w:webHidden/>
          </w:rPr>
        </w:r>
        <w:r>
          <w:rPr>
            <w:webHidden/>
          </w:rPr>
          <w:fldChar w:fldCharType="separate"/>
        </w:r>
        <w:r w:rsidR="00413FFE">
          <w:rPr>
            <w:webHidden/>
          </w:rPr>
          <w:t>41</w:t>
        </w:r>
        <w:r>
          <w:rPr>
            <w:webHidden/>
          </w:rPr>
          <w:fldChar w:fldCharType="end"/>
        </w:r>
      </w:hyperlink>
    </w:p>
    <w:p w:rsidR="00B80F21" w:rsidRDefault="003972D8">
      <w:pPr>
        <w:pStyle w:val="Spistreci3"/>
        <w:rPr>
          <w:rFonts w:eastAsiaTheme="minorEastAsia" w:cstheme="minorBidi"/>
          <w:noProof/>
          <w:sz w:val="22"/>
          <w:szCs w:val="22"/>
        </w:rPr>
      </w:pPr>
      <w:hyperlink w:anchor="_Toc474924893" w:history="1">
        <w:r w:rsidR="00B80F21" w:rsidRPr="00962D72">
          <w:rPr>
            <w:rStyle w:val="Hipercze"/>
            <w:noProof/>
          </w:rPr>
          <w:t>2.2.1.</w:t>
        </w:r>
        <w:r w:rsidR="00B80F21">
          <w:rPr>
            <w:rFonts w:eastAsiaTheme="minorEastAsia" w:cstheme="minorBidi"/>
            <w:noProof/>
            <w:sz w:val="22"/>
            <w:szCs w:val="22"/>
          </w:rPr>
          <w:tab/>
        </w:r>
        <w:r w:rsidR="00B80F21" w:rsidRPr="00962D72">
          <w:rPr>
            <w:rStyle w:val="Hipercze"/>
            <w:noProof/>
          </w:rPr>
          <w:t>Cel diagnozy</w:t>
        </w:r>
        <w:r w:rsidR="00B80F21">
          <w:rPr>
            <w:noProof/>
            <w:webHidden/>
          </w:rPr>
          <w:tab/>
        </w:r>
        <w:r>
          <w:rPr>
            <w:noProof/>
            <w:webHidden/>
          </w:rPr>
          <w:fldChar w:fldCharType="begin"/>
        </w:r>
        <w:r w:rsidR="00B80F21">
          <w:rPr>
            <w:noProof/>
            <w:webHidden/>
          </w:rPr>
          <w:instrText xml:space="preserve"> PAGEREF _Toc474924893 \h </w:instrText>
        </w:r>
        <w:r>
          <w:rPr>
            <w:noProof/>
            <w:webHidden/>
          </w:rPr>
        </w:r>
        <w:r>
          <w:rPr>
            <w:noProof/>
            <w:webHidden/>
          </w:rPr>
          <w:fldChar w:fldCharType="separate"/>
        </w:r>
        <w:r w:rsidR="00413FFE">
          <w:rPr>
            <w:noProof/>
            <w:webHidden/>
          </w:rPr>
          <w:t>41</w:t>
        </w:r>
        <w:r>
          <w:rPr>
            <w:noProof/>
            <w:webHidden/>
          </w:rPr>
          <w:fldChar w:fldCharType="end"/>
        </w:r>
      </w:hyperlink>
    </w:p>
    <w:p w:rsidR="00B80F21" w:rsidRDefault="003972D8">
      <w:pPr>
        <w:pStyle w:val="Spistreci3"/>
        <w:rPr>
          <w:rFonts w:eastAsiaTheme="minorEastAsia" w:cstheme="minorBidi"/>
          <w:noProof/>
          <w:sz w:val="22"/>
          <w:szCs w:val="22"/>
        </w:rPr>
      </w:pPr>
      <w:hyperlink w:anchor="_Toc474924897" w:history="1">
        <w:r w:rsidR="00B80F21" w:rsidRPr="00962D72">
          <w:rPr>
            <w:rStyle w:val="Hipercze"/>
            <w:noProof/>
          </w:rPr>
          <w:t>2.2.2.</w:t>
        </w:r>
        <w:r w:rsidR="00B80F21">
          <w:rPr>
            <w:rFonts w:eastAsiaTheme="minorEastAsia" w:cstheme="minorBidi"/>
            <w:noProof/>
            <w:sz w:val="22"/>
            <w:szCs w:val="22"/>
          </w:rPr>
          <w:tab/>
        </w:r>
        <w:r w:rsidR="00B80F21" w:rsidRPr="00962D72">
          <w:rPr>
            <w:rStyle w:val="Hipercze"/>
            <w:noProof/>
          </w:rPr>
          <w:t>Struktura części diagnostycznej</w:t>
        </w:r>
        <w:r w:rsidR="00B80F21">
          <w:rPr>
            <w:noProof/>
            <w:webHidden/>
          </w:rPr>
          <w:tab/>
        </w:r>
        <w:r>
          <w:rPr>
            <w:noProof/>
            <w:webHidden/>
          </w:rPr>
          <w:fldChar w:fldCharType="begin"/>
        </w:r>
        <w:r w:rsidR="00B80F21">
          <w:rPr>
            <w:noProof/>
            <w:webHidden/>
          </w:rPr>
          <w:instrText xml:space="preserve"> PAGEREF _Toc474924897 \h </w:instrText>
        </w:r>
        <w:r>
          <w:rPr>
            <w:noProof/>
            <w:webHidden/>
          </w:rPr>
        </w:r>
        <w:r>
          <w:rPr>
            <w:noProof/>
            <w:webHidden/>
          </w:rPr>
          <w:fldChar w:fldCharType="separate"/>
        </w:r>
        <w:r w:rsidR="00413FFE">
          <w:rPr>
            <w:noProof/>
            <w:webHidden/>
          </w:rPr>
          <w:t>42</w:t>
        </w:r>
        <w:r>
          <w:rPr>
            <w:noProof/>
            <w:webHidden/>
          </w:rPr>
          <w:fldChar w:fldCharType="end"/>
        </w:r>
      </w:hyperlink>
    </w:p>
    <w:p w:rsidR="00B80F21" w:rsidRDefault="003972D8">
      <w:pPr>
        <w:pStyle w:val="Spistreci3"/>
        <w:rPr>
          <w:rFonts w:eastAsiaTheme="minorEastAsia" w:cstheme="minorBidi"/>
          <w:noProof/>
          <w:sz w:val="22"/>
          <w:szCs w:val="22"/>
        </w:rPr>
      </w:pPr>
      <w:hyperlink w:anchor="_Toc474924898" w:history="1">
        <w:r w:rsidR="00B80F21" w:rsidRPr="00962D72">
          <w:rPr>
            <w:rStyle w:val="Hipercze"/>
            <w:noProof/>
          </w:rPr>
          <w:t>2.2.3.</w:t>
        </w:r>
        <w:r w:rsidR="00B80F21">
          <w:rPr>
            <w:rFonts w:eastAsiaTheme="minorEastAsia" w:cstheme="minorBidi"/>
            <w:noProof/>
            <w:sz w:val="22"/>
            <w:szCs w:val="22"/>
          </w:rPr>
          <w:tab/>
        </w:r>
        <w:r w:rsidR="00B80F21" w:rsidRPr="00962D72">
          <w:rPr>
            <w:rStyle w:val="Hipercze"/>
            <w:noProof/>
          </w:rPr>
          <w:t>Metody badawcze i mierniki stosowane w części diagnostycznej</w:t>
        </w:r>
        <w:r w:rsidR="00B80F21">
          <w:rPr>
            <w:noProof/>
            <w:webHidden/>
          </w:rPr>
          <w:tab/>
        </w:r>
        <w:r>
          <w:rPr>
            <w:noProof/>
            <w:webHidden/>
          </w:rPr>
          <w:fldChar w:fldCharType="begin"/>
        </w:r>
        <w:r w:rsidR="00B80F21">
          <w:rPr>
            <w:noProof/>
            <w:webHidden/>
          </w:rPr>
          <w:instrText xml:space="preserve"> PAGEREF _Toc474924898 \h </w:instrText>
        </w:r>
        <w:r>
          <w:rPr>
            <w:noProof/>
            <w:webHidden/>
          </w:rPr>
        </w:r>
        <w:r>
          <w:rPr>
            <w:noProof/>
            <w:webHidden/>
          </w:rPr>
          <w:fldChar w:fldCharType="separate"/>
        </w:r>
        <w:r w:rsidR="00413FFE">
          <w:rPr>
            <w:noProof/>
            <w:webHidden/>
          </w:rPr>
          <w:t>43</w:t>
        </w:r>
        <w:r>
          <w:rPr>
            <w:noProof/>
            <w:webHidden/>
          </w:rPr>
          <w:fldChar w:fldCharType="end"/>
        </w:r>
      </w:hyperlink>
    </w:p>
    <w:p w:rsidR="00B80F21" w:rsidRDefault="003972D8">
      <w:pPr>
        <w:pStyle w:val="Spistreci2"/>
        <w:tabs>
          <w:tab w:val="left" w:pos="880"/>
        </w:tabs>
        <w:rPr>
          <w:rFonts w:asciiTheme="minorHAnsi" w:eastAsiaTheme="minorEastAsia" w:hAnsiTheme="minorHAnsi" w:cstheme="minorBidi"/>
          <w:sz w:val="22"/>
          <w:szCs w:val="22"/>
        </w:rPr>
      </w:pPr>
      <w:hyperlink w:anchor="_Toc474924899" w:history="1">
        <w:r w:rsidR="00B80F21" w:rsidRPr="00962D72">
          <w:rPr>
            <w:rStyle w:val="Hipercze"/>
          </w:rPr>
          <w:t>2.3.</w:t>
        </w:r>
        <w:r w:rsidR="00B80F21">
          <w:rPr>
            <w:rFonts w:asciiTheme="minorHAnsi" w:eastAsiaTheme="minorEastAsia" w:hAnsiTheme="minorHAnsi" w:cstheme="minorBidi"/>
            <w:sz w:val="22"/>
            <w:szCs w:val="22"/>
          </w:rPr>
          <w:tab/>
        </w:r>
        <w:r w:rsidR="00B80F21" w:rsidRPr="00962D72">
          <w:rPr>
            <w:rStyle w:val="Hipercze"/>
          </w:rPr>
          <w:t>Analiza negatywnych zjawisk i czynników w sferze społecznej na obszarze rewitalizacji z</w:t>
        </w:r>
        <w:r w:rsidR="00B80F21">
          <w:rPr>
            <w:rStyle w:val="Hipercze"/>
          </w:rPr>
          <w:t> </w:t>
        </w:r>
        <w:r w:rsidR="00B80F21" w:rsidRPr="00962D72">
          <w:rPr>
            <w:rStyle w:val="Hipercze"/>
          </w:rPr>
          <w:t>odniesieniem do całej gminy</w:t>
        </w:r>
        <w:r w:rsidR="00B80F21">
          <w:rPr>
            <w:webHidden/>
          </w:rPr>
          <w:tab/>
        </w:r>
        <w:r>
          <w:rPr>
            <w:webHidden/>
          </w:rPr>
          <w:fldChar w:fldCharType="begin"/>
        </w:r>
        <w:r w:rsidR="00B80F21">
          <w:rPr>
            <w:webHidden/>
          </w:rPr>
          <w:instrText xml:space="preserve"> PAGEREF _Toc474924899 \h </w:instrText>
        </w:r>
        <w:r>
          <w:rPr>
            <w:webHidden/>
          </w:rPr>
        </w:r>
        <w:r>
          <w:rPr>
            <w:webHidden/>
          </w:rPr>
          <w:fldChar w:fldCharType="separate"/>
        </w:r>
        <w:r w:rsidR="00413FFE">
          <w:rPr>
            <w:webHidden/>
          </w:rPr>
          <w:t>43</w:t>
        </w:r>
        <w:r>
          <w:rPr>
            <w:webHidden/>
          </w:rPr>
          <w:fldChar w:fldCharType="end"/>
        </w:r>
      </w:hyperlink>
    </w:p>
    <w:p w:rsidR="00B80F21" w:rsidRDefault="003972D8">
      <w:pPr>
        <w:pStyle w:val="Spistreci3"/>
        <w:rPr>
          <w:rFonts w:eastAsiaTheme="minorEastAsia" w:cstheme="minorBidi"/>
          <w:noProof/>
          <w:sz w:val="22"/>
          <w:szCs w:val="22"/>
        </w:rPr>
      </w:pPr>
      <w:hyperlink w:anchor="_Toc474924906" w:history="1">
        <w:r w:rsidR="00B80F21" w:rsidRPr="00962D72">
          <w:rPr>
            <w:rStyle w:val="Hipercze"/>
            <w:noProof/>
          </w:rPr>
          <w:t>2.3.1.</w:t>
        </w:r>
        <w:r w:rsidR="00B80F21">
          <w:rPr>
            <w:rFonts w:eastAsiaTheme="minorEastAsia" w:cstheme="minorBidi"/>
            <w:noProof/>
            <w:sz w:val="22"/>
            <w:szCs w:val="22"/>
          </w:rPr>
          <w:tab/>
        </w:r>
        <w:r w:rsidR="00B80F21" w:rsidRPr="00962D72">
          <w:rPr>
            <w:rStyle w:val="Hipercze"/>
            <w:noProof/>
          </w:rPr>
          <w:t>Bezrobocie</w:t>
        </w:r>
        <w:r w:rsidR="00B80F21">
          <w:rPr>
            <w:noProof/>
            <w:webHidden/>
          </w:rPr>
          <w:tab/>
        </w:r>
        <w:r>
          <w:rPr>
            <w:noProof/>
            <w:webHidden/>
          </w:rPr>
          <w:fldChar w:fldCharType="begin"/>
        </w:r>
        <w:r w:rsidR="00B80F21">
          <w:rPr>
            <w:noProof/>
            <w:webHidden/>
          </w:rPr>
          <w:instrText xml:space="preserve"> PAGEREF _Toc474924906 \h </w:instrText>
        </w:r>
        <w:r>
          <w:rPr>
            <w:noProof/>
            <w:webHidden/>
          </w:rPr>
        </w:r>
        <w:r>
          <w:rPr>
            <w:noProof/>
            <w:webHidden/>
          </w:rPr>
          <w:fldChar w:fldCharType="separate"/>
        </w:r>
        <w:r w:rsidR="00413FFE">
          <w:rPr>
            <w:noProof/>
            <w:webHidden/>
          </w:rPr>
          <w:t>43</w:t>
        </w:r>
        <w:r>
          <w:rPr>
            <w:noProof/>
            <w:webHidden/>
          </w:rPr>
          <w:fldChar w:fldCharType="end"/>
        </w:r>
      </w:hyperlink>
    </w:p>
    <w:p w:rsidR="00B80F21" w:rsidRDefault="003972D8">
      <w:pPr>
        <w:pStyle w:val="Spistreci3"/>
        <w:rPr>
          <w:rFonts w:eastAsiaTheme="minorEastAsia" w:cstheme="minorBidi"/>
          <w:noProof/>
          <w:sz w:val="22"/>
          <w:szCs w:val="22"/>
        </w:rPr>
      </w:pPr>
      <w:hyperlink w:anchor="_Toc474924907" w:history="1">
        <w:r w:rsidR="00B80F21" w:rsidRPr="00962D72">
          <w:rPr>
            <w:rStyle w:val="Hipercze"/>
            <w:noProof/>
          </w:rPr>
          <w:t>2.3.2.</w:t>
        </w:r>
        <w:r w:rsidR="00B80F21">
          <w:rPr>
            <w:rFonts w:eastAsiaTheme="minorEastAsia" w:cstheme="minorBidi"/>
            <w:noProof/>
            <w:sz w:val="22"/>
            <w:szCs w:val="22"/>
          </w:rPr>
          <w:tab/>
        </w:r>
        <w:r w:rsidR="00B80F21" w:rsidRPr="00962D72">
          <w:rPr>
            <w:rStyle w:val="Hipercze"/>
            <w:noProof/>
          </w:rPr>
          <w:t>Ubóstwo</w:t>
        </w:r>
        <w:r w:rsidR="00B80F21">
          <w:rPr>
            <w:noProof/>
            <w:webHidden/>
          </w:rPr>
          <w:tab/>
        </w:r>
        <w:r>
          <w:rPr>
            <w:noProof/>
            <w:webHidden/>
          </w:rPr>
          <w:fldChar w:fldCharType="begin"/>
        </w:r>
        <w:r w:rsidR="00B80F21">
          <w:rPr>
            <w:noProof/>
            <w:webHidden/>
          </w:rPr>
          <w:instrText xml:space="preserve"> PAGEREF _Toc474924907 \h </w:instrText>
        </w:r>
        <w:r>
          <w:rPr>
            <w:noProof/>
            <w:webHidden/>
          </w:rPr>
        </w:r>
        <w:r>
          <w:rPr>
            <w:noProof/>
            <w:webHidden/>
          </w:rPr>
          <w:fldChar w:fldCharType="separate"/>
        </w:r>
        <w:r w:rsidR="00413FFE">
          <w:rPr>
            <w:noProof/>
            <w:webHidden/>
          </w:rPr>
          <w:t>50</w:t>
        </w:r>
        <w:r>
          <w:rPr>
            <w:noProof/>
            <w:webHidden/>
          </w:rPr>
          <w:fldChar w:fldCharType="end"/>
        </w:r>
      </w:hyperlink>
    </w:p>
    <w:p w:rsidR="00B80F21" w:rsidRDefault="003972D8">
      <w:pPr>
        <w:pStyle w:val="Spistreci3"/>
        <w:rPr>
          <w:rFonts w:eastAsiaTheme="minorEastAsia" w:cstheme="minorBidi"/>
          <w:noProof/>
          <w:sz w:val="22"/>
          <w:szCs w:val="22"/>
        </w:rPr>
      </w:pPr>
      <w:hyperlink w:anchor="_Toc474924908" w:history="1">
        <w:r w:rsidR="00B80F21" w:rsidRPr="00962D72">
          <w:rPr>
            <w:rStyle w:val="Hipercze"/>
            <w:noProof/>
          </w:rPr>
          <w:t>2.3.3.</w:t>
        </w:r>
        <w:r w:rsidR="00B80F21">
          <w:rPr>
            <w:rFonts w:eastAsiaTheme="minorEastAsia" w:cstheme="minorBidi"/>
            <w:noProof/>
            <w:sz w:val="22"/>
            <w:szCs w:val="22"/>
          </w:rPr>
          <w:tab/>
        </w:r>
        <w:r w:rsidR="00B80F21" w:rsidRPr="00962D72">
          <w:rPr>
            <w:rStyle w:val="Hipercze"/>
            <w:noProof/>
          </w:rPr>
          <w:t>Przestępczość</w:t>
        </w:r>
        <w:r w:rsidR="00B80F21">
          <w:rPr>
            <w:noProof/>
            <w:webHidden/>
          </w:rPr>
          <w:tab/>
        </w:r>
        <w:r>
          <w:rPr>
            <w:noProof/>
            <w:webHidden/>
          </w:rPr>
          <w:fldChar w:fldCharType="begin"/>
        </w:r>
        <w:r w:rsidR="00B80F21">
          <w:rPr>
            <w:noProof/>
            <w:webHidden/>
          </w:rPr>
          <w:instrText xml:space="preserve"> PAGEREF _Toc474924908 \h </w:instrText>
        </w:r>
        <w:r>
          <w:rPr>
            <w:noProof/>
            <w:webHidden/>
          </w:rPr>
        </w:r>
        <w:r>
          <w:rPr>
            <w:noProof/>
            <w:webHidden/>
          </w:rPr>
          <w:fldChar w:fldCharType="separate"/>
        </w:r>
        <w:r w:rsidR="00413FFE">
          <w:rPr>
            <w:noProof/>
            <w:webHidden/>
          </w:rPr>
          <w:t>57</w:t>
        </w:r>
        <w:r>
          <w:rPr>
            <w:noProof/>
            <w:webHidden/>
          </w:rPr>
          <w:fldChar w:fldCharType="end"/>
        </w:r>
      </w:hyperlink>
    </w:p>
    <w:p w:rsidR="00B80F21" w:rsidRDefault="003972D8">
      <w:pPr>
        <w:pStyle w:val="Spistreci3"/>
        <w:rPr>
          <w:rFonts w:eastAsiaTheme="minorEastAsia" w:cstheme="minorBidi"/>
          <w:noProof/>
          <w:sz w:val="22"/>
          <w:szCs w:val="22"/>
        </w:rPr>
      </w:pPr>
      <w:hyperlink w:anchor="_Toc474924909" w:history="1">
        <w:r w:rsidR="00B80F21" w:rsidRPr="00962D72">
          <w:rPr>
            <w:rStyle w:val="Hipercze"/>
            <w:noProof/>
          </w:rPr>
          <w:t>2.3.4.</w:t>
        </w:r>
        <w:r w:rsidR="00B80F21">
          <w:rPr>
            <w:rFonts w:eastAsiaTheme="minorEastAsia" w:cstheme="minorBidi"/>
            <w:noProof/>
            <w:sz w:val="22"/>
            <w:szCs w:val="22"/>
          </w:rPr>
          <w:tab/>
        </w:r>
        <w:r w:rsidR="00B80F21" w:rsidRPr="00962D72">
          <w:rPr>
            <w:rStyle w:val="Hipercze"/>
            <w:noProof/>
          </w:rPr>
          <w:t>Inne problemy społeczne i dysfunkcje</w:t>
        </w:r>
        <w:r w:rsidR="00B80F21">
          <w:rPr>
            <w:noProof/>
            <w:webHidden/>
          </w:rPr>
          <w:tab/>
        </w:r>
        <w:r>
          <w:rPr>
            <w:noProof/>
            <w:webHidden/>
          </w:rPr>
          <w:fldChar w:fldCharType="begin"/>
        </w:r>
        <w:r w:rsidR="00B80F21">
          <w:rPr>
            <w:noProof/>
            <w:webHidden/>
          </w:rPr>
          <w:instrText xml:space="preserve"> PAGEREF _Toc474924909 \h </w:instrText>
        </w:r>
        <w:r>
          <w:rPr>
            <w:noProof/>
            <w:webHidden/>
          </w:rPr>
        </w:r>
        <w:r>
          <w:rPr>
            <w:noProof/>
            <w:webHidden/>
          </w:rPr>
          <w:fldChar w:fldCharType="separate"/>
        </w:r>
        <w:r w:rsidR="00413FFE">
          <w:rPr>
            <w:noProof/>
            <w:webHidden/>
          </w:rPr>
          <w:t>59</w:t>
        </w:r>
        <w:r>
          <w:rPr>
            <w:noProof/>
            <w:webHidden/>
          </w:rPr>
          <w:fldChar w:fldCharType="end"/>
        </w:r>
      </w:hyperlink>
    </w:p>
    <w:p w:rsidR="00B80F21" w:rsidRDefault="003972D8">
      <w:pPr>
        <w:pStyle w:val="Spistreci3"/>
        <w:rPr>
          <w:rFonts w:eastAsiaTheme="minorEastAsia" w:cstheme="minorBidi"/>
          <w:noProof/>
          <w:sz w:val="22"/>
          <w:szCs w:val="22"/>
        </w:rPr>
      </w:pPr>
      <w:hyperlink w:anchor="_Toc474924919" w:history="1">
        <w:r w:rsidR="00B80F21" w:rsidRPr="00962D72">
          <w:rPr>
            <w:rStyle w:val="Hipercze"/>
            <w:rFonts w:eastAsia="Calibri"/>
            <w:noProof/>
          </w:rPr>
          <w:t>2.3.5.</w:t>
        </w:r>
        <w:r w:rsidR="00B80F21">
          <w:rPr>
            <w:rFonts w:eastAsiaTheme="minorEastAsia" w:cstheme="minorBidi"/>
            <w:noProof/>
            <w:sz w:val="22"/>
            <w:szCs w:val="22"/>
          </w:rPr>
          <w:tab/>
        </w:r>
        <w:r w:rsidR="00B80F21" w:rsidRPr="00962D72">
          <w:rPr>
            <w:rStyle w:val="Hipercze"/>
            <w:rFonts w:eastAsia="Calibri"/>
            <w:noProof/>
          </w:rPr>
          <w:t>Osoby starsze na obszarze rewitalizacji</w:t>
        </w:r>
        <w:r w:rsidR="00B80F21">
          <w:rPr>
            <w:noProof/>
            <w:webHidden/>
          </w:rPr>
          <w:tab/>
        </w:r>
        <w:r>
          <w:rPr>
            <w:noProof/>
            <w:webHidden/>
          </w:rPr>
          <w:fldChar w:fldCharType="begin"/>
        </w:r>
        <w:r w:rsidR="00B80F21">
          <w:rPr>
            <w:noProof/>
            <w:webHidden/>
          </w:rPr>
          <w:instrText xml:space="preserve"> PAGEREF _Toc474924919 \h </w:instrText>
        </w:r>
        <w:r>
          <w:rPr>
            <w:noProof/>
            <w:webHidden/>
          </w:rPr>
        </w:r>
        <w:r>
          <w:rPr>
            <w:noProof/>
            <w:webHidden/>
          </w:rPr>
          <w:fldChar w:fldCharType="separate"/>
        </w:r>
        <w:r w:rsidR="00413FFE">
          <w:rPr>
            <w:noProof/>
            <w:webHidden/>
          </w:rPr>
          <w:t>66</w:t>
        </w:r>
        <w:r>
          <w:rPr>
            <w:noProof/>
            <w:webHidden/>
          </w:rPr>
          <w:fldChar w:fldCharType="end"/>
        </w:r>
      </w:hyperlink>
    </w:p>
    <w:p w:rsidR="00B80F21" w:rsidRDefault="003972D8">
      <w:pPr>
        <w:pStyle w:val="Spistreci3"/>
        <w:rPr>
          <w:rFonts w:eastAsiaTheme="minorEastAsia" w:cstheme="minorBidi"/>
          <w:noProof/>
          <w:sz w:val="22"/>
          <w:szCs w:val="22"/>
        </w:rPr>
      </w:pPr>
      <w:hyperlink w:anchor="_Toc474924929" w:history="1">
        <w:r w:rsidR="00B80F21" w:rsidRPr="00962D72">
          <w:rPr>
            <w:rStyle w:val="Hipercze"/>
            <w:rFonts w:eastAsia="Calibri"/>
            <w:noProof/>
          </w:rPr>
          <w:t>2.3.6.</w:t>
        </w:r>
        <w:r w:rsidR="00B80F21">
          <w:rPr>
            <w:rFonts w:eastAsiaTheme="minorEastAsia" w:cstheme="minorBidi"/>
            <w:noProof/>
            <w:sz w:val="22"/>
            <w:szCs w:val="22"/>
          </w:rPr>
          <w:tab/>
        </w:r>
        <w:r w:rsidR="00B80F21" w:rsidRPr="00962D72">
          <w:rPr>
            <w:rStyle w:val="Hipercze"/>
            <w:noProof/>
          </w:rPr>
          <w:t>Kapitał społeczny i organizacje pozarządowe</w:t>
        </w:r>
        <w:r w:rsidR="00B80F21">
          <w:rPr>
            <w:noProof/>
            <w:webHidden/>
          </w:rPr>
          <w:tab/>
        </w:r>
        <w:r>
          <w:rPr>
            <w:noProof/>
            <w:webHidden/>
          </w:rPr>
          <w:fldChar w:fldCharType="begin"/>
        </w:r>
        <w:r w:rsidR="00B80F21">
          <w:rPr>
            <w:noProof/>
            <w:webHidden/>
          </w:rPr>
          <w:instrText xml:space="preserve"> PAGEREF _Toc474924929 \h </w:instrText>
        </w:r>
        <w:r>
          <w:rPr>
            <w:noProof/>
            <w:webHidden/>
          </w:rPr>
        </w:r>
        <w:r>
          <w:rPr>
            <w:noProof/>
            <w:webHidden/>
          </w:rPr>
          <w:fldChar w:fldCharType="separate"/>
        </w:r>
        <w:r w:rsidR="00413FFE">
          <w:rPr>
            <w:noProof/>
            <w:webHidden/>
          </w:rPr>
          <w:t>69</w:t>
        </w:r>
        <w:r>
          <w:rPr>
            <w:noProof/>
            <w:webHidden/>
          </w:rPr>
          <w:fldChar w:fldCharType="end"/>
        </w:r>
      </w:hyperlink>
    </w:p>
    <w:p w:rsidR="00B80F21" w:rsidRDefault="003972D8">
      <w:pPr>
        <w:pStyle w:val="Spistreci3"/>
        <w:rPr>
          <w:rFonts w:eastAsiaTheme="minorEastAsia" w:cstheme="minorBidi"/>
          <w:noProof/>
          <w:sz w:val="22"/>
          <w:szCs w:val="22"/>
        </w:rPr>
      </w:pPr>
      <w:hyperlink w:anchor="_Toc474924941" w:history="1">
        <w:r w:rsidR="00B80F21" w:rsidRPr="00962D72">
          <w:rPr>
            <w:rStyle w:val="Hipercze"/>
            <w:rFonts w:eastAsia="Calibri"/>
            <w:noProof/>
          </w:rPr>
          <w:t>2.3.7.</w:t>
        </w:r>
        <w:r w:rsidR="00B80F21">
          <w:rPr>
            <w:rFonts w:eastAsiaTheme="minorEastAsia" w:cstheme="minorBidi"/>
            <w:noProof/>
            <w:sz w:val="22"/>
            <w:szCs w:val="22"/>
          </w:rPr>
          <w:tab/>
        </w:r>
        <w:r w:rsidR="00B80F21" w:rsidRPr="00962D72">
          <w:rPr>
            <w:rStyle w:val="Hipercze"/>
            <w:noProof/>
          </w:rPr>
          <w:t>Edukacja</w:t>
        </w:r>
        <w:r w:rsidR="00B80F21">
          <w:rPr>
            <w:noProof/>
            <w:webHidden/>
          </w:rPr>
          <w:tab/>
        </w:r>
        <w:r>
          <w:rPr>
            <w:noProof/>
            <w:webHidden/>
          </w:rPr>
          <w:fldChar w:fldCharType="begin"/>
        </w:r>
        <w:r w:rsidR="00B80F21">
          <w:rPr>
            <w:noProof/>
            <w:webHidden/>
          </w:rPr>
          <w:instrText xml:space="preserve"> PAGEREF _Toc474924941 \h </w:instrText>
        </w:r>
        <w:r>
          <w:rPr>
            <w:noProof/>
            <w:webHidden/>
          </w:rPr>
        </w:r>
        <w:r>
          <w:rPr>
            <w:noProof/>
            <w:webHidden/>
          </w:rPr>
          <w:fldChar w:fldCharType="separate"/>
        </w:r>
        <w:r w:rsidR="00413FFE">
          <w:rPr>
            <w:noProof/>
            <w:webHidden/>
          </w:rPr>
          <w:t>74</w:t>
        </w:r>
        <w:r>
          <w:rPr>
            <w:noProof/>
            <w:webHidden/>
          </w:rPr>
          <w:fldChar w:fldCharType="end"/>
        </w:r>
      </w:hyperlink>
    </w:p>
    <w:p w:rsidR="00B80F21" w:rsidRDefault="003972D8">
      <w:pPr>
        <w:pStyle w:val="Spistreci2"/>
        <w:tabs>
          <w:tab w:val="left" w:pos="880"/>
        </w:tabs>
        <w:rPr>
          <w:rFonts w:asciiTheme="minorHAnsi" w:eastAsiaTheme="minorEastAsia" w:hAnsiTheme="minorHAnsi" w:cstheme="minorBidi"/>
          <w:sz w:val="22"/>
          <w:szCs w:val="22"/>
        </w:rPr>
      </w:pPr>
      <w:hyperlink w:anchor="_Toc474924942" w:history="1">
        <w:r w:rsidR="00B80F21" w:rsidRPr="00962D72">
          <w:rPr>
            <w:rStyle w:val="Hipercze"/>
          </w:rPr>
          <w:t>2.4.</w:t>
        </w:r>
        <w:r w:rsidR="00B80F21">
          <w:rPr>
            <w:rFonts w:asciiTheme="minorHAnsi" w:eastAsiaTheme="minorEastAsia" w:hAnsiTheme="minorHAnsi" w:cstheme="minorBidi"/>
            <w:sz w:val="22"/>
            <w:szCs w:val="22"/>
          </w:rPr>
          <w:tab/>
        </w:r>
        <w:r w:rsidR="00B80F21" w:rsidRPr="00962D72">
          <w:rPr>
            <w:rStyle w:val="Hipercze"/>
          </w:rPr>
          <w:t>Analiza negatywnych zjawisk i czynników w pozostałych sferach na obszarze rewitalizacji w</w:t>
        </w:r>
        <w:r w:rsidR="00B80F21">
          <w:rPr>
            <w:rStyle w:val="Hipercze"/>
          </w:rPr>
          <w:t> </w:t>
        </w:r>
        <w:r w:rsidR="00B80F21" w:rsidRPr="00962D72">
          <w:rPr>
            <w:rStyle w:val="Hipercze"/>
          </w:rPr>
          <w:t>kontekście całej gminy</w:t>
        </w:r>
        <w:r w:rsidR="00B80F21">
          <w:rPr>
            <w:webHidden/>
          </w:rPr>
          <w:tab/>
        </w:r>
        <w:r>
          <w:rPr>
            <w:webHidden/>
          </w:rPr>
          <w:fldChar w:fldCharType="begin"/>
        </w:r>
        <w:r w:rsidR="00B80F21">
          <w:rPr>
            <w:webHidden/>
          </w:rPr>
          <w:instrText xml:space="preserve"> PAGEREF _Toc474924942 \h </w:instrText>
        </w:r>
        <w:r>
          <w:rPr>
            <w:webHidden/>
          </w:rPr>
        </w:r>
        <w:r>
          <w:rPr>
            <w:webHidden/>
          </w:rPr>
          <w:fldChar w:fldCharType="separate"/>
        </w:r>
        <w:r w:rsidR="00413FFE">
          <w:rPr>
            <w:webHidden/>
          </w:rPr>
          <w:t>75</w:t>
        </w:r>
        <w:r>
          <w:rPr>
            <w:webHidden/>
          </w:rPr>
          <w:fldChar w:fldCharType="end"/>
        </w:r>
      </w:hyperlink>
    </w:p>
    <w:p w:rsidR="00B80F21" w:rsidRDefault="003972D8">
      <w:pPr>
        <w:pStyle w:val="Spistreci3"/>
        <w:rPr>
          <w:rFonts w:eastAsiaTheme="minorEastAsia" w:cstheme="minorBidi"/>
          <w:noProof/>
          <w:sz w:val="22"/>
          <w:szCs w:val="22"/>
        </w:rPr>
      </w:pPr>
      <w:hyperlink w:anchor="_Toc474924943" w:history="1">
        <w:r w:rsidR="00B80F21" w:rsidRPr="00962D72">
          <w:rPr>
            <w:rStyle w:val="Hipercze"/>
            <w:noProof/>
          </w:rPr>
          <w:t>2.4.1.</w:t>
        </w:r>
        <w:r w:rsidR="00B80F21">
          <w:rPr>
            <w:rFonts w:eastAsiaTheme="minorEastAsia" w:cstheme="minorBidi"/>
            <w:noProof/>
            <w:sz w:val="22"/>
            <w:szCs w:val="22"/>
          </w:rPr>
          <w:tab/>
        </w:r>
        <w:r w:rsidR="00B80F21" w:rsidRPr="00962D72">
          <w:rPr>
            <w:rStyle w:val="Hipercze"/>
            <w:noProof/>
          </w:rPr>
          <w:t>Sfera gospodarcza: Rynek pracy i przemysł</w:t>
        </w:r>
        <w:r w:rsidR="00B80F21">
          <w:rPr>
            <w:noProof/>
            <w:webHidden/>
          </w:rPr>
          <w:tab/>
        </w:r>
        <w:r>
          <w:rPr>
            <w:noProof/>
            <w:webHidden/>
          </w:rPr>
          <w:fldChar w:fldCharType="begin"/>
        </w:r>
        <w:r w:rsidR="00B80F21">
          <w:rPr>
            <w:noProof/>
            <w:webHidden/>
          </w:rPr>
          <w:instrText xml:space="preserve"> PAGEREF _Toc474924943 \h </w:instrText>
        </w:r>
        <w:r>
          <w:rPr>
            <w:noProof/>
            <w:webHidden/>
          </w:rPr>
        </w:r>
        <w:r>
          <w:rPr>
            <w:noProof/>
            <w:webHidden/>
          </w:rPr>
          <w:fldChar w:fldCharType="separate"/>
        </w:r>
        <w:r w:rsidR="00413FFE">
          <w:rPr>
            <w:noProof/>
            <w:webHidden/>
          </w:rPr>
          <w:t>75</w:t>
        </w:r>
        <w:r>
          <w:rPr>
            <w:noProof/>
            <w:webHidden/>
          </w:rPr>
          <w:fldChar w:fldCharType="end"/>
        </w:r>
      </w:hyperlink>
    </w:p>
    <w:p w:rsidR="00B80F21" w:rsidRDefault="003972D8">
      <w:pPr>
        <w:pStyle w:val="Spistreci3"/>
        <w:rPr>
          <w:rFonts w:eastAsiaTheme="minorEastAsia" w:cstheme="minorBidi"/>
          <w:noProof/>
          <w:sz w:val="22"/>
          <w:szCs w:val="22"/>
        </w:rPr>
      </w:pPr>
      <w:hyperlink w:anchor="_Toc474924944" w:history="1">
        <w:r w:rsidR="00B80F21" w:rsidRPr="00962D72">
          <w:rPr>
            <w:rStyle w:val="Hipercze"/>
            <w:noProof/>
          </w:rPr>
          <w:t>2.4.2.</w:t>
        </w:r>
        <w:r w:rsidR="00B80F21">
          <w:rPr>
            <w:rFonts w:eastAsiaTheme="minorEastAsia" w:cstheme="minorBidi"/>
            <w:noProof/>
            <w:sz w:val="22"/>
            <w:szCs w:val="22"/>
          </w:rPr>
          <w:tab/>
        </w:r>
        <w:r w:rsidR="00B80F21" w:rsidRPr="00962D72">
          <w:rPr>
            <w:rStyle w:val="Hipercze"/>
            <w:noProof/>
          </w:rPr>
          <w:t>Sfera techniczna: Zły stan i standard budynków komunalnych</w:t>
        </w:r>
        <w:r w:rsidR="00B80F21">
          <w:rPr>
            <w:noProof/>
            <w:webHidden/>
          </w:rPr>
          <w:tab/>
        </w:r>
        <w:r>
          <w:rPr>
            <w:noProof/>
            <w:webHidden/>
          </w:rPr>
          <w:fldChar w:fldCharType="begin"/>
        </w:r>
        <w:r w:rsidR="00B80F21">
          <w:rPr>
            <w:noProof/>
            <w:webHidden/>
          </w:rPr>
          <w:instrText xml:space="preserve"> PAGEREF _Toc474924944 \h </w:instrText>
        </w:r>
        <w:r>
          <w:rPr>
            <w:noProof/>
            <w:webHidden/>
          </w:rPr>
        </w:r>
        <w:r>
          <w:rPr>
            <w:noProof/>
            <w:webHidden/>
          </w:rPr>
          <w:fldChar w:fldCharType="separate"/>
        </w:r>
        <w:r w:rsidR="00413FFE">
          <w:rPr>
            <w:noProof/>
            <w:webHidden/>
          </w:rPr>
          <w:t>83</w:t>
        </w:r>
        <w:r>
          <w:rPr>
            <w:noProof/>
            <w:webHidden/>
          </w:rPr>
          <w:fldChar w:fldCharType="end"/>
        </w:r>
      </w:hyperlink>
    </w:p>
    <w:p w:rsidR="00B80F21" w:rsidRDefault="003972D8">
      <w:pPr>
        <w:pStyle w:val="Spistreci3"/>
        <w:rPr>
          <w:rFonts w:eastAsiaTheme="minorEastAsia" w:cstheme="minorBidi"/>
          <w:noProof/>
          <w:sz w:val="22"/>
          <w:szCs w:val="22"/>
        </w:rPr>
      </w:pPr>
      <w:hyperlink w:anchor="_Toc474924945" w:history="1">
        <w:r w:rsidR="00B80F21" w:rsidRPr="00962D72">
          <w:rPr>
            <w:rStyle w:val="Hipercze"/>
            <w:noProof/>
          </w:rPr>
          <w:t>2.4.3.</w:t>
        </w:r>
        <w:r w:rsidR="00B80F21">
          <w:rPr>
            <w:rFonts w:eastAsiaTheme="minorEastAsia" w:cstheme="minorBidi"/>
            <w:noProof/>
            <w:sz w:val="22"/>
            <w:szCs w:val="22"/>
          </w:rPr>
          <w:tab/>
        </w:r>
        <w:r w:rsidR="00B80F21" w:rsidRPr="00962D72">
          <w:rPr>
            <w:rStyle w:val="Hipercze"/>
            <w:noProof/>
          </w:rPr>
          <w:t>Sfera przestrzenno-funkcjonalna: Przestrzeń publiczna i aspekty funkcjonalne</w:t>
        </w:r>
        <w:r w:rsidR="00B80F21">
          <w:rPr>
            <w:noProof/>
            <w:webHidden/>
          </w:rPr>
          <w:tab/>
        </w:r>
        <w:r>
          <w:rPr>
            <w:noProof/>
            <w:webHidden/>
          </w:rPr>
          <w:fldChar w:fldCharType="begin"/>
        </w:r>
        <w:r w:rsidR="00B80F21">
          <w:rPr>
            <w:noProof/>
            <w:webHidden/>
          </w:rPr>
          <w:instrText xml:space="preserve"> PAGEREF _Toc474924945 \h </w:instrText>
        </w:r>
        <w:r>
          <w:rPr>
            <w:noProof/>
            <w:webHidden/>
          </w:rPr>
        </w:r>
        <w:r>
          <w:rPr>
            <w:noProof/>
            <w:webHidden/>
          </w:rPr>
          <w:fldChar w:fldCharType="separate"/>
        </w:r>
        <w:r w:rsidR="00413FFE">
          <w:rPr>
            <w:noProof/>
            <w:webHidden/>
          </w:rPr>
          <w:t>92</w:t>
        </w:r>
        <w:r>
          <w:rPr>
            <w:noProof/>
            <w:webHidden/>
          </w:rPr>
          <w:fldChar w:fldCharType="end"/>
        </w:r>
      </w:hyperlink>
    </w:p>
    <w:p w:rsidR="00B80F21" w:rsidRDefault="003972D8">
      <w:pPr>
        <w:pStyle w:val="Spistreci3"/>
        <w:rPr>
          <w:rFonts w:eastAsiaTheme="minorEastAsia" w:cstheme="minorBidi"/>
          <w:noProof/>
          <w:sz w:val="22"/>
          <w:szCs w:val="22"/>
        </w:rPr>
      </w:pPr>
      <w:hyperlink w:anchor="_Toc474924946" w:history="1">
        <w:r w:rsidR="00B80F21" w:rsidRPr="00962D72">
          <w:rPr>
            <w:rStyle w:val="Hipercze"/>
            <w:noProof/>
          </w:rPr>
          <w:t>2.4.4.</w:t>
        </w:r>
        <w:r w:rsidR="00B80F21">
          <w:rPr>
            <w:rFonts w:eastAsiaTheme="minorEastAsia" w:cstheme="minorBidi"/>
            <w:noProof/>
            <w:sz w:val="22"/>
            <w:szCs w:val="22"/>
          </w:rPr>
          <w:tab/>
        </w:r>
        <w:r w:rsidR="00B80F21" w:rsidRPr="00962D72">
          <w:rPr>
            <w:rStyle w:val="Hipercze"/>
            <w:noProof/>
          </w:rPr>
          <w:t>Sfera środowiskowa: Szkody górnicze, niska emisja i hałas</w:t>
        </w:r>
        <w:r w:rsidR="00B80F21">
          <w:rPr>
            <w:noProof/>
            <w:webHidden/>
          </w:rPr>
          <w:tab/>
        </w:r>
        <w:r>
          <w:rPr>
            <w:noProof/>
            <w:webHidden/>
          </w:rPr>
          <w:fldChar w:fldCharType="begin"/>
        </w:r>
        <w:r w:rsidR="00B80F21">
          <w:rPr>
            <w:noProof/>
            <w:webHidden/>
          </w:rPr>
          <w:instrText xml:space="preserve"> PAGEREF _Toc474924946 \h </w:instrText>
        </w:r>
        <w:r>
          <w:rPr>
            <w:noProof/>
            <w:webHidden/>
          </w:rPr>
        </w:r>
        <w:r>
          <w:rPr>
            <w:noProof/>
            <w:webHidden/>
          </w:rPr>
          <w:fldChar w:fldCharType="separate"/>
        </w:r>
        <w:r w:rsidR="00413FFE">
          <w:rPr>
            <w:noProof/>
            <w:webHidden/>
          </w:rPr>
          <w:t>98</w:t>
        </w:r>
        <w:r>
          <w:rPr>
            <w:noProof/>
            <w:webHidden/>
          </w:rPr>
          <w:fldChar w:fldCharType="end"/>
        </w:r>
      </w:hyperlink>
    </w:p>
    <w:p w:rsidR="00B80F21" w:rsidRDefault="003972D8">
      <w:pPr>
        <w:pStyle w:val="Spistreci2"/>
        <w:tabs>
          <w:tab w:val="left" w:pos="880"/>
        </w:tabs>
        <w:rPr>
          <w:rFonts w:asciiTheme="minorHAnsi" w:eastAsiaTheme="minorEastAsia" w:hAnsiTheme="minorHAnsi" w:cstheme="minorBidi"/>
          <w:sz w:val="22"/>
          <w:szCs w:val="22"/>
        </w:rPr>
      </w:pPr>
      <w:hyperlink w:anchor="_Toc474924947" w:history="1">
        <w:r w:rsidR="00B80F21" w:rsidRPr="00962D72">
          <w:rPr>
            <w:rStyle w:val="Hipercze"/>
          </w:rPr>
          <w:t>2.5.</w:t>
        </w:r>
        <w:r w:rsidR="00B80F21">
          <w:rPr>
            <w:rFonts w:asciiTheme="minorHAnsi" w:eastAsiaTheme="minorEastAsia" w:hAnsiTheme="minorHAnsi" w:cstheme="minorBidi"/>
            <w:sz w:val="22"/>
            <w:szCs w:val="22"/>
          </w:rPr>
          <w:tab/>
        </w:r>
        <w:r w:rsidR="00B80F21" w:rsidRPr="00962D72">
          <w:rPr>
            <w:rStyle w:val="Hipercze"/>
          </w:rPr>
          <w:t>Analiza lokalnych potencjałów obszaru rewitalizacji</w:t>
        </w:r>
        <w:r w:rsidR="00B80F21">
          <w:rPr>
            <w:webHidden/>
          </w:rPr>
          <w:tab/>
        </w:r>
        <w:r>
          <w:rPr>
            <w:webHidden/>
          </w:rPr>
          <w:fldChar w:fldCharType="begin"/>
        </w:r>
        <w:r w:rsidR="00B80F21">
          <w:rPr>
            <w:webHidden/>
          </w:rPr>
          <w:instrText xml:space="preserve"> PAGEREF _Toc474924947 \h </w:instrText>
        </w:r>
        <w:r>
          <w:rPr>
            <w:webHidden/>
          </w:rPr>
        </w:r>
        <w:r>
          <w:rPr>
            <w:webHidden/>
          </w:rPr>
          <w:fldChar w:fldCharType="separate"/>
        </w:r>
        <w:r w:rsidR="00413FFE">
          <w:rPr>
            <w:webHidden/>
          </w:rPr>
          <w:t>102</w:t>
        </w:r>
        <w:r>
          <w:rPr>
            <w:webHidden/>
          </w:rPr>
          <w:fldChar w:fldCharType="end"/>
        </w:r>
      </w:hyperlink>
    </w:p>
    <w:p w:rsidR="00B80F21" w:rsidRDefault="003972D8">
      <w:pPr>
        <w:pStyle w:val="Spistreci3"/>
        <w:rPr>
          <w:rFonts w:eastAsiaTheme="minorEastAsia" w:cstheme="minorBidi"/>
          <w:noProof/>
          <w:sz w:val="22"/>
          <w:szCs w:val="22"/>
        </w:rPr>
      </w:pPr>
      <w:hyperlink w:anchor="_Toc474924948" w:history="1">
        <w:r w:rsidR="00B80F21" w:rsidRPr="00962D72">
          <w:rPr>
            <w:rStyle w:val="Hipercze"/>
            <w:noProof/>
          </w:rPr>
          <w:t>2.5.1.</w:t>
        </w:r>
        <w:r w:rsidR="00B80F21">
          <w:rPr>
            <w:rFonts w:eastAsiaTheme="minorEastAsia" w:cstheme="minorBidi"/>
            <w:noProof/>
            <w:sz w:val="22"/>
            <w:szCs w:val="22"/>
          </w:rPr>
          <w:tab/>
        </w:r>
        <w:r w:rsidR="00B80F21" w:rsidRPr="00962D72">
          <w:rPr>
            <w:rStyle w:val="Hipercze"/>
            <w:noProof/>
          </w:rPr>
          <w:t>Organizacje pozarządowe</w:t>
        </w:r>
        <w:r w:rsidR="00B80F21">
          <w:rPr>
            <w:noProof/>
            <w:webHidden/>
          </w:rPr>
          <w:tab/>
        </w:r>
        <w:r>
          <w:rPr>
            <w:noProof/>
            <w:webHidden/>
          </w:rPr>
          <w:fldChar w:fldCharType="begin"/>
        </w:r>
        <w:r w:rsidR="00B80F21">
          <w:rPr>
            <w:noProof/>
            <w:webHidden/>
          </w:rPr>
          <w:instrText xml:space="preserve"> PAGEREF _Toc474924948 \h </w:instrText>
        </w:r>
        <w:r>
          <w:rPr>
            <w:noProof/>
            <w:webHidden/>
          </w:rPr>
        </w:r>
        <w:r>
          <w:rPr>
            <w:noProof/>
            <w:webHidden/>
          </w:rPr>
          <w:fldChar w:fldCharType="separate"/>
        </w:r>
        <w:r w:rsidR="00413FFE">
          <w:rPr>
            <w:noProof/>
            <w:webHidden/>
          </w:rPr>
          <w:t>102</w:t>
        </w:r>
        <w:r>
          <w:rPr>
            <w:noProof/>
            <w:webHidden/>
          </w:rPr>
          <w:fldChar w:fldCharType="end"/>
        </w:r>
      </w:hyperlink>
    </w:p>
    <w:p w:rsidR="00B80F21" w:rsidRDefault="003972D8">
      <w:pPr>
        <w:pStyle w:val="Spistreci3"/>
        <w:rPr>
          <w:rFonts w:eastAsiaTheme="minorEastAsia" w:cstheme="minorBidi"/>
          <w:noProof/>
          <w:sz w:val="22"/>
          <w:szCs w:val="22"/>
        </w:rPr>
      </w:pPr>
      <w:hyperlink w:anchor="_Toc474924949" w:history="1">
        <w:r w:rsidR="00B80F21" w:rsidRPr="00962D72">
          <w:rPr>
            <w:rStyle w:val="Hipercze"/>
            <w:noProof/>
          </w:rPr>
          <w:t>2.5.2.</w:t>
        </w:r>
        <w:r w:rsidR="00B80F21">
          <w:rPr>
            <w:rFonts w:eastAsiaTheme="minorEastAsia" w:cstheme="minorBidi"/>
            <w:noProof/>
            <w:sz w:val="22"/>
            <w:szCs w:val="22"/>
          </w:rPr>
          <w:tab/>
        </w:r>
        <w:r w:rsidR="00B80F21" w:rsidRPr="00962D72">
          <w:rPr>
            <w:rStyle w:val="Hipercze"/>
            <w:noProof/>
          </w:rPr>
          <w:t>Instytucje kultury</w:t>
        </w:r>
        <w:r w:rsidR="00B80F21">
          <w:rPr>
            <w:noProof/>
            <w:webHidden/>
          </w:rPr>
          <w:tab/>
        </w:r>
        <w:r>
          <w:rPr>
            <w:noProof/>
            <w:webHidden/>
          </w:rPr>
          <w:fldChar w:fldCharType="begin"/>
        </w:r>
        <w:r w:rsidR="00B80F21">
          <w:rPr>
            <w:noProof/>
            <w:webHidden/>
          </w:rPr>
          <w:instrText xml:space="preserve"> PAGEREF _Toc474924949 \h </w:instrText>
        </w:r>
        <w:r>
          <w:rPr>
            <w:noProof/>
            <w:webHidden/>
          </w:rPr>
        </w:r>
        <w:r>
          <w:rPr>
            <w:noProof/>
            <w:webHidden/>
          </w:rPr>
          <w:fldChar w:fldCharType="separate"/>
        </w:r>
        <w:r w:rsidR="00413FFE">
          <w:rPr>
            <w:noProof/>
            <w:webHidden/>
          </w:rPr>
          <w:t>107</w:t>
        </w:r>
        <w:r>
          <w:rPr>
            <w:noProof/>
            <w:webHidden/>
          </w:rPr>
          <w:fldChar w:fldCharType="end"/>
        </w:r>
      </w:hyperlink>
    </w:p>
    <w:p w:rsidR="00B80F21" w:rsidRDefault="003972D8">
      <w:pPr>
        <w:pStyle w:val="Spistreci3"/>
        <w:rPr>
          <w:rFonts w:eastAsiaTheme="minorEastAsia" w:cstheme="minorBidi"/>
          <w:noProof/>
          <w:sz w:val="22"/>
          <w:szCs w:val="22"/>
        </w:rPr>
      </w:pPr>
      <w:hyperlink w:anchor="_Toc474924950" w:history="1">
        <w:r w:rsidR="00B80F21" w:rsidRPr="00962D72">
          <w:rPr>
            <w:rStyle w:val="Hipercze"/>
            <w:noProof/>
          </w:rPr>
          <w:t>2.5.3.</w:t>
        </w:r>
        <w:r w:rsidR="00B80F21">
          <w:rPr>
            <w:rFonts w:eastAsiaTheme="minorEastAsia" w:cstheme="minorBidi"/>
            <w:noProof/>
            <w:sz w:val="22"/>
            <w:szCs w:val="22"/>
          </w:rPr>
          <w:tab/>
        </w:r>
        <w:r w:rsidR="00B80F21" w:rsidRPr="00962D72">
          <w:rPr>
            <w:rStyle w:val="Hipercze"/>
            <w:noProof/>
          </w:rPr>
          <w:t>Walory przestrzenne i zabytki</w:t>
        </w:r>
        <w:r w:rsidR="00B80F21">
          <w:rPr>
            <w:noProof/>
            <w:webHidden/>
          </w:rPr>
          <w:tab/>
        </w:r>
        <w:r>
          <w:rPr>
            <w:noProof/>
            <w:webHidden/>
          </w:rPr>
          <w:fldChar w:fldCharType="begin"/>
        </w:r>
        <w:r w:rsidR="00B80F21">
          <w:rPr>
            <w:noProof/>
            <w:webHidden/>
          </w:rPr>
          <w:instrText xml:space="preserve"> PAGEREF _Toc474924950 \h </w:instrText>
        </w:r>
        <w:r>
          <w:rPr>
            <w:noProof/>
            <w:webHidden/>
          </w:rPr>
        </w:r>
        <w:r>
          <w:rPr>
            <w:noProof/>
            <w:webHidden/>
          </w:rPr>
          <w:fldChar w:fldCharType="separate"/>
        </w:r>
        <w:r w:rsidR="00413FFE">
          <w:rPr>
            <w:noProof/>
            <w:webHidden/>
          </w:rPr>
          <w:t>109</w:t>
        </w:r>
        <w:r>
          <w:rPr>
            <w:noProof/>
            <w:webHidden/>
          </w:rPr>
          <w:fldChar w:fldCharType="end"/>
        </w:r>
      </w:hyperlink>
    </w:p>
    <w:p w:rsidR="00B80F21" w:rsidRDefault="003972D8">
      <w:pPr>
        <w:pStyle w:val="Spistreci3"/>
        <w:rPr>
          <w:rFonts w:eastAsiaTheme="minorEastAsia" w:cstheme="minorBidi"/>
          <w:noProof/>
          <w:sz w:val="22"/>
          <w:szCs w:val="22"/>
        </w:rPr>
      </w:pPr>
      <w:hyperlink w:anchor="_Toc474924951" w:history="1">
        <w:r w:rsidR="00B80F21" w:rsidRPr="00962D72">
          <w:rPr>
            <w:rStyle w:val="Hipercze"/>
            <w:noProof/>
          </w:rPr>
          <w:t>2.5.4.</w:t>
        </w:r>
        <w:r w:rsidR="00B80F21">
          <w:rPr>
            <w:rFonts w:eastAsiaTheme="minorEastAsia" w:cstheme="minorBidi"/>
            <w:noProof/>
            <w:sz w:val="22"/>
            <w:szCs w:val="22"/>
          </w:rPr>
          <w:tab/>
        </w:r>
        <w:r w:rsidR="00B80F21" w:rsidRPr="00962D72">
          <w:rPr>
            <w:rStyle w:val="Hipercze"/>
            <w:noProof/>
          </w:rPr>
          <w:t>Zieleń miejska</w:t>
        </w:r>
        <w:r w:rsidR="00B80F21">
          <w:rPr>
            <w:noProof/>
            <w:webHidden/>
          </w:rPr>
          <w:tab/>
        </w:r>
        <w:r>
          <w:rPr>
            <w:noProof/>
            <w:webHidden/>
          </w:rPr>
          <w:fldChar w:fldCharType="begin"/>
        </w:r>
        <w:r w:rsidR="00B80F21">
          <w:rPr>
            <w:noProof/>
            <w:webHidden/>
          </w:rPr>
          <w:instrText xml:space="preserve"> PAGEREF _Toc474924951 \h </w:instrText>
        </w:r>
        <w:r>
          <w:rPr>
            <w:noProof/>
            <w:webHidden/>
          </w:rPr>
        </w:r>
        <w:r>
          <w:rPr>
            <w:noProof/>
            <w:webHidden/>
          </w:rPr>
          <w:fldChar w:fldCharType="separate"/>
        </w:r>
        <w:r w:rsidR="00413FFE">
          <w:rPr>
            <w:noProof/>
            <w:webHidden/>
          </w:rPr>
          <w:t>110</w:t>
        </w:r>
        <w:r>
          <w:rPr>
            <w:noProof/>
            <w:webHidden/>
          </w:rPr>
          <w:fldChar w:fldCharType="end"/>
        </w:r>
      </w:hyperlink>
    </w:p>
    <w:p w:rsidR="00B80F21" w:rsidRDefault="003972D8">
      <w:pPr>
        <w:pStyle w:val="Spistreci3"/>
        <w:rPr>
          <w:rFonts w:eastAsiaTheme="minorEastAsia" w:cstheme="minorBidi"/>
          <w:noProof/>
          <w:sz w:val="22"/>
          <w:szCs w:val="22"/>
        </w:rPr>
      </w:pPr>
      <w:hyperlink w:anchor="_Toc474924952" w:history="1">
        <w:r w:rsidR="00B80F21" w:rsidRPr="00962D72">
          <w:rPr>
            <w:rStyle w:val="Hipercze"/>
            <w:noProof/>
          </w:rPr>
          <w:t>2.5.5.</w:t>
        </w:r>
        <w:r w:rsidR="00B80F21">
          <w:rPr>
            <w:rFonts w:eastAsiaTheme="minorEastAsia" w:cstheme="minorBidi"/>
            <w:noProof/>
            <w:sz w:val="22"/>
            <w:szCs w:val="22"/>
          </w:rPr>
          <w:tab/>
        </w:r>
        <w:r w:rsidR="00B80F21" w:rsidRPr="00962D72">
          <w:rPr>
            <w:rStyle w:val="Hipercze"/>
            <w:noProof/>
          </w:rPr>
          <w:t>Niezamieszkałe obszary rewitalizacji</w:t>
        </w:r>
        <w:r w:rsidR="00B80F21">
          <w:rPr>
            <w:noProof/>
            <w:webHidden/>
          </w:rPr>
          <w:tab/>
        </w:r>
        <w:r>
          <w:rPr>
            <w:noProof/>
            <w:webHidden/>
          </w:rPr>
          <w:fldChar w:fldCharType="begin"/>
        </w:r>
        <w:r w:rsidR="00B80F21">
          <w:rPr>
            <w:noProof/>
            <w:webHidden/>
          </w:rPr>
          <w:instrText xml:space="preserve"> PAGEREF _Toc474924952 \h </w:instrText>
        </w:r>
        <w:r>
          <w:rPr>
            <w:noProof/>
            <w:webHidden/>
          </w:rPr>
        </w:r>
        <w:r>
          <w:rPr>
            <w:noProof/>
            <w:webHidden/>
          </w:rPr>
          <w:fldChar w:fldCharType="separate"/>
        </w:r>
        <w:r w:rsidR="00413FFE">
          <w:rPr>
            <w:noProof/>
            <w:webHidden/>
          </w:rPr>
          <w:t>111</w:t>
        </w:r>
        <w:r>
          <w:rPr>
            <w:noProof/>
            <w:webHidden/>
          </w:rPr>
          <w:fldChar w:fldCharType="end"/>
        </w:r>
      </w:hyperlink>
    </w:p>
    <w:p w:rsidR="00B80F21" w:rsidRDefault="003972D8">
      <w:pPr>
        <w:pStyle w:val="Spistreci2"/>
        <w:tabs>
          <w:tab w:val="left" w:pos="880"/>
        </w:tabs>
        <w:rPr>
          <w:rFonts w:asciiTheme="minorHAnsi" w:eastAsiaTheme="minorEastAsia" w:hAnsiTheme="minorHAnsi" w:cstheme="minorBidi"/>
          <w:sz w:val="22"/>
          <w:szCs w:val="22"/>
        </w:rPr>
      </w:pPr>
      <w:hyperlink w:anchor="_Toc474924953" w:history="1">
        <w:r w:rsidR="00B80F21" w:rsidRPr="00962D72">
          <w:rPr>
            <w:rStyle w:val="Hipercze"/>
          </w:rPr>
          <w:t>2.6.</w:t>
        </w:r>
        <w:r w:rsidR="00B80F21">
          <w:rPr>
            <w:rFonts w:asciiTheme="minorHAnsi" w:eastAsiaTheme="minorEastAsia" w:hAnsiTheme="minorHAnsi" w:cstheme="minorBidi"/>
            <w:sz w:val="22"/>
            <w:szCs w:val="22"/>
          </w:rPr>
          <w:tab/>
        </w:r>
        <w:r w:rsidR="00B80F21" w:rsidRPr="00962D72">
          <w:rPr>
            <w:rStyle w:val="Hipercze"/>
          </w:rPr>
          <w:t>Podsumowanie skali i charakteru potrzeb rewitalizacyjnych w poszczególnych podobszarach</w:t>
        </w:r>
        <w:r w:rsidR="00B80F21">
          <w:rPr>
            <w:webHidden/>
          </w:rPr>
          <w:tab/>
        </w:r>
        <w:r>
          <w:rPr>
            <w:webHidden/>
          </w:rPr>
          <w:fldChar w:fldCharType="begin"/>
        </w:r>
        <w:r w:rsidR="00B80F21">
          <w:rPr>
            <w:webHidden/>
          </w:rPr>
          <w:instrText xml:space="preserve"> PAGEREF _Toc474924953 \h </w:instrText>
        </w:r>
        <w:r>
          <w:rPr>
            <w:webHidden/>
          </w:rPr>
        </w:r>
        <w:r>
          <w:rPr>
            <w:webHidden/>
          </w:rPr>
          <w:fldChar w:fldCharType="separate"/>
        </w:r>
        <w:r w:rsidR="00413FFE">
          <w:rPr>
            <w:webHidden/>
          </w:rPr>
          <w:t>114</w:t>
        </w:r>
        <w:r>
          <w:rPr>
            <w:webHidden/>
          </w:rPr>
          <w:fldChar w:fldCharType="end"/>
        </w:r>
      </w:hyperlink>
    </w:p>
    <w:p w:rsidR="00B80F21" w:rsidRDefault="003972D8">
      <w:pPr>
        <w:pStyle w:val="Spistreci2"/>
        <w:tabs>
          <w:tab w:val="left" w:pos="880"/>
        </w:tabs>
        <w:rPr>
          <w:rFonts w:asciiTheme="minorHAnsi" w:eastAsiaTheme="minorEastAsia" w:hAnsiTheme="minorHAnsi" w:cstheme="minorBidi"/>
          <w:sz w:val="22"/>
          <w:szCs w:val="22"/>
        </w:rPr>
      </w:pPr>
      <w:hyperlink w:anchor="_Toc474924954" w:history="1">
        <w:r w:rsidR="00B80F21" w:rsidRPr="00962D72">
          <w:rPr>
            <w:rStyle w:val="Hipercze"/>
          </w:rPr>
          <w:t>2.7.</w:t>
        </w:r>
        <w:r w:rsidR="00B80F21">
          <w:rPr>
            <w:rFonts w:asciiTheme="minorHAnsi" w:eastAsiaTheme="minorEastAsia" w:hAnsiTheme="minorHAnsi" w:cstheme="minorBidi"/>
            <w:sz w:val="22"/>
            <w:szCs w:val="22"/>
          </w:rPr>
          <w:tab/>
        </w:r>
        <w:r w:rsidR="00B80F21" w:rsidRPr="00962D72">
          <w:rPr>
            <w:rStyle w:val="Hipercze"/>
          </w:rPr>
          <w:t>Geneza wiązek</w:t>
        </w:r>
        <w:r w:rsidR="00B80F21">
          <w:rPr>
            <w:webHidden/>
          </w:rPr>
          <w:tab/>
        </w:r>
        <w:r>
          <w:rPr>
            <w:webHidden/>
          </w:rPr>
          <w:fldChar w:fldCharType="begin"/>
        </w:r>
        <w:r w:rsidR="00B80F21">
          <w:rPr>
            <w:webHidden/>
          </w:rPr>
          <w:instrText xml:space="preserve"> PAGEREF _Toc474924954 \h </w:instrText>
        </w:r>
        <w:r>
          <w:rPr>
            <w:webHidden/>
          </w:rPr>
        </w:r>
        <w:r>
          <w:rPr>
            <w:webHidden/>
          </w:rPr>
          <w:fldChar w:fldCharType="separate"/>
        </w:r>
        <w:r w:rsidR="00413FFE">
          <w:rPr>
            <w:webHidden/>
          </w:rPr>
          <w:t>124</w:t>
        </w:r>
        <w:r>
          <w:rPr>
            <w:webHidden/>
          </w:rPr>
          <w:fldChar w:fldCharType="end"/>
        </w:r>
      </w:hyperlink>
    </w:p>
    <w:p w:rsidR="00B80F21" w:rsidRDefault="003972D8" w:rsidP="005F3253">
      <w:pPr>
        <w:pStyle w:val="Spistreci1"/>
        <w:rPr>
          <w:rFonts w:asciiTheme="minorHAnsi" w:eastAsiaTheme="minorEastAsia" w:hAnsiTheme="minorHAnsi" w:cstheme="minorBidi"/>
          <w:sz w:val="22"/>
          <w:szCs w:val="22"/>
        </w:rPr>
      </w:pPr>
      <w:hyperlink w:anchor="_Toc474924955" w:history="1">
        <w:r w:rsidR="00B80F21" w:rsidRPr="00962D72">
          <w:rPr>
            <w:rStyle w:val="Hipercze"/>
          </w:rPr>
          <w:t>3. PLANOWANIE REWITALIZACJI</w:t>
        </w:r>
        <w:r w:rsidR="00B80F21">
          <w:rPr>
            <w:webHidden/>
          </w:rPr>
          <w:tab/>
        </w:r>
        <w:r>
          <w:rPr>
            <w:webHidden/>
          </w:rPr>
          <w:fldChar w:fldCharType="begin"/>
        </w:r>
        <w:r w:rsidR="00B80F21">
          <w:rPr>
            <w:webHidden/>
          </w:rPr>
          <w:instrText xml:space="preserve"> PAGEREF _Toc474924955 \h </w:instrText>
        </w:r>
        <w:r>
          <w:rPr>
            <w:webHidden/>
          </w:rPr>
        </w:r>
        <w:r>
          <w:rPr>
            <w:webHidden/>
          </w:rPr>
          <w:fldChar w:fldCharType="separate"/>
        </w:r>
        <w:r w:rsidR="00413FFE">
          <w:rPr>
            <w:webHidden/>
          </w:rPr>
          <w:t>130</w:t>
        </w:r>
        <w:r>
          <w:rPr>
            <w:webHidden/>
          </w:rPr>
          <w:fldChar w:fldCharType="end"/>
        </w:r>
      </w:hyperlink>
    </w:p>
    <w:p w:rsidR="00B80F21" w:rsidRDefault="003972D8">
      <w:pPr>
        <w:pStyle w:val="Spistreci2"/>
        <w:rPr>
          <w:rFonts w:asciiTheme="minorHAnsi" w:eastAsiaTheme="minorEastAsia" w:hAnsiTheme="minorHAnsi" w:cstheme="minorBidi"/>
          <w:sz w:val="22"/>
          <w:szCs w:val="22"/>
        </w:rPr>
      </w:pPr>
      <w:hyperlink w:anchor="_Toc474924956" w:history="1">
        <w:r w:rsidR="00B80F21" w:rsidRPr="00962D72">
          <w:rPr>
            <w:rStyle w:val="Hipercze"/>
          </w:rPr>
          <w:t>3.1.     Wizja, cele i kierunki działań rewitalizacyjnych</w:t>
        </w:r>
        <w:r w:rsidR="00B80F21">
          <w:rPr>
            <w:webHidden/>
          </w:rPr>
          <w:tab/>
        </w:r>
        <w:r>
          <w:rPr>
            <w:webHidden/>
          </w:rPr>
          <w:fldChar w:fldCharType="begin"/>
        </w:r>
        <w:r w:rsidR="00B80F21">
          <w:rPr>
            <w:webHidden/>
          </w:rPr>
          <w:instrText xml:space="preserve"> PAGEREF _Toc474924956 \h </w:instrText>
        </w:r>
        <w:r>
          <w:rPr>
            <w:webHidden/>
          </w:rPr>
        </w:r>
        <w:r>
          <w:rPr>
            <w:webHidden/>
          </w:rPr>
          <w:fldChar w:fldCharType="separate"/>
        </w:r>
        <w:r w:rsidR="00413FFE">
          <w:rPr>
            <w:webHidden/>
          </w:rPr>
          <w:t>130</w:t>
        </w:r>
        <w:r>
          <w:rPr>
            <w:webHidden/>
          </w:rPr>
          <w:fldChar w:fldCharType="end"/>
        </w:r>
      </w:hyperlink>
    </w:p>
    <w:p w:rsidR="00B80F21" w:rsidRDefault="003972D8">
      <w:pPr>
        <w:pStyle w:val="Spistreci3"/>
        <w:rPr>
          <w:rFonts w:eastAsiaTheme="minorEastAsia" w:cstheme="minorBidi"/>
          <w:noProof/>
          <w:sz w:val="22"/>
          <w:szCs w:val="22"/>
        </w:rPr>
      </w:pPr>
      <w:hyperlink w:anchor="_Toc474924957" w:history="1">
        <w:r w:rsidR="00B80F21" w:rsidRPr="00962D72">
          <w:rPr>
            <w:rStyle w:val="Hipercze"/>
            <w:noProof/>
          </w:rPr>
          <w:t>3.1.1.</w:t>
        </w:r>
        <w:r w:rsidR="00B80F21">
          <w:rPr>
            <w:rFonts w:eastAsiaTheme="minorEastAsia" w:cstheme="minorBidi"/>
            <w:noProof/>
            <w:sz w:val="22"/>
            <w:szCs w:val="22"/>
          </w:rPr>
          <w:tab/>
        </w:r>
        <w:r w:rsidR="00B80F21" w:rsidRPr="00962D72">
          <w:rPr>
            <w:rStyle w:val="Hipercze"/>
            <w:noProof/>
          </w:rPr>
          <w:t>Wizja rewitalizacji w podobszarach rewitalizacji</w:t>
        </w:r>
        <w:r w:rsidR="00B80F21">
          <w:rPr>
            <w:noProof/>
            <w:webHidden/>
          </w:rPr>
          <w:tab/>
        </w:r>
        <w:r>
          <w:rPr>
            <w:noProof/>
            <w:webHidden/>
          </w:rPr>
          <w:fldChar w:fldCharType="begin"/>
        </w:r>
        <w:r w:rsidR="00B80F21">
          <w:rPr>
            <w:noProof/>
            <w:webHidden/>
          </w:rPr>
          <w:instrText xml:space="preserve"> PAGEREF _Toc474924957 \h </w:instrText>
        </w:r>
        <w:r>
          <w:rPr>
            <w:noProof/>
            <w:webHidden/>
          </w:rPr>
        </w:r>
        <w:r>
          <w:rPr>
            <w:noProof/>
            <w:webHidden/>
          </w:rPr>
          <w:fldChar w:fldCharType="separate"/>
        </w:r>
        <w:r w:rsidR="00413FFE">
          <w:rPr>
            <w:noProof/>
            <w:webHidden/>
          </w:rPr>
          <w:t>130</w:t>
        </w:r>
        <w:r>
          <w:rPr>
            <w:noProof/>
            <w:webHidden/>
          </w:rPr>
          <w:fldChar w:fldCharType="end"/>
        </w:r>
      </w:hyperlink>
    </w:p>
    <w:p w:rsidR="00B80F21" w:rsidRDefault="003972D8">
      <w:pPr>
        <w:pStyle w:val="Spistreci3"/>
        <w:rPr>
          <w:rFonts w:eastAsiaTheme="minorEastAsia" w:cstheme="minorBidi"/>
          <w:noProof/>
          <w:sz w:val="22"/>
          <w:szCs w:val="22"/>
        </w:rPr>
      </w:pPr>
      <w:hyperlink w:anchor="_Toc474924958" w:history="1">
        <w:r w:rsidR="00B80F21" w:rsidRPr="00962D72">
          <w:rPr>
            <w:rStyle w:val="Hipercze"/>
            <w:noProof/>
          </w:rPr>
          <w:t>3.1.2.</w:t>
        </w:r>
        <w:r w:rsidR="00B80F21">
          <w:rPr>
            <w:rFonts w:eastAsiaTheme="minorEastAsia" w:cstheme="minorBidi"/>
            <w:noProof/>
            <w:sz w:val="22"/>
            <w:szCs w:val="22"/>
          </w:rPr>
          <w:tab/>
        </w:r>
        <w:r w:rsidR="00B80F21" w:rsidRPr="00962D72">
          <w:rPr>
            <w:rStyle w:val="Hipercze"/>
            <w:noProof/>
          </w:rPr>
          <w:t>Wizja obszaru rewitalizacji Bytomia</w:t>
        </w:r>
        <w:r w:rsidR="00B80F21">
          <w:rPr>
            <w:noProof/>
            <w:webHidden/>
          </w:rPr>
          <w:tab/>
        </w:r>
        <w:r>
          <w:rPr>
            <w:noProof/>
            <w:webHidden/>
          </w:rPr>
          <w:fldChar w:fldCharType="begin"/>
        </w:r>
        <w:r w:rsidR="00B80F21">
          <w:rPr>
            <w:noProof/>
            <w:webHidden/>
          </w:rPr>
          <w:instrText xml:space="preserve"> PAGEREF _Toc474924958 \h </w:instrText>
        </w:r>
        <w:r>
          <w:rPr>
            <w:noProof/>
            <w:webHidden/>
          </w:rPr>
        </w:r>
        <w:r>
          <w:rPr>
            <w:noProof/>
            <w:webHidden/>
          </w:rPr>
          <w:fldChar w:fldCharType="separate"/>
        </w:r>
        <w:r w:rsidR="00413FFE">
          <w:rPr>
            <w:noProof/>
            <w:webHidden/>
          </w:rPr>
          <w:t>136</w:t>
        </w:r>
        <w:r>
          <w:rPr>
            <w:noProof/>
            <w:webHidden/>
          </w:rPr>
          <w:fldChar w:fldCharType="end"/>
        </w:r>
      </w:hyperlink>
    </w:p>
    <w:p w:rsidR="00B80F21" w:rsidRDefault="003972D8">
      <w:pPr>
        <w:pStyle w:val="Spistreci3"/>
        <w:rPr>
          <w:rFonts w:eastAsiaTheme="minorEastAsia" w:cstheme="minorBidi"/>
          <w:noProof/>
          <w:sz w:val="22"/>
          <w:szCs w:val="22"/>
        </w:rPr>
      </w:pPr>
      <w:hyperlink w:anchor="_Toc474924959" w:history="1">
        <w:r w:rsidR="00B80F21" w:rsidRPr="00962D72">
          <w:rPr>
            <w:rStyle w:val="Hipercze"/>
            <w:noProof/>
          </w:rPr>
          <w:t>3.1.3.</w:t>
        </w:r>
        <w:r w:rsidR="00B80F21">
          <w:rPr>
            <w:rFonts w:eastAsiaTheme="minorEastAsia" w:cstheme="minorBidi"/>
            <w:noProof/>
            <w:sz w:val="22"/>
            <w:szCs w:val="22"/>
          </w:rPr>
          <w:tab/>
        </w:r>
        <w:r w:rsidR="00B80F21" w:rsidRPr="00962D72">
          <w:rPr>
            <w:rStyle w:val="Hipercze"/>
            <w:noProof/>
          </w:rPr>
          <w:t>Hasło promocyjne rewitalizacji</w:t>
        </w:r>
        <w:r w:rsidR="00B80F21">
          <w:rPr>
            <w:noProof/>
            <w:webHidden/>
          </w:rPr>
          <w:tab/>
        </w:r>
        <w:r>
          <w:rPr>
            <w:noProof/>
            <w:webHidden/>
          </w:rPr>
          <w:fldChar w:fldCharType="begin"/>
        </w:r>
        <w:r w:rsidR="00B80F21">
          <w:rPr>
            <w:noProof/>
            <w:webHidden/>
          </w:rPr>
          <w:instrText xml:space="preserve"> PAGEREF _Toc474924959 \h </w:instrText>
        </w:r>
        <w:r>
          <w:rPr>
            <w:noProof/>
            <w:webHidden/>
          </w:rPr>
        </w:r>
        <w:r>
          <w:rPr>
            <w:noProof/>
            <w:webHidden/>
          </w:rPr>
          <w:fldChar w:fldCharType="separate"/>
        </w:r>
        <w:r w:rsidR="00413FFE">
          <w:rPr>
            <w:noProof/>
            <w:webHidden/>
          </w:rPr>
          <w:t>138</w:t>
        </w:r>
        <w:r>
          <w:rPr>
            <w:noProof/>
            <w:webHidden/>
          </w:rPr>
          <w:fldChar w:fldCharType="end"/>
        </w:r>
      </w:hyperlink>
    </w:p>
    <w:p w:rsidR="00B80F21" w:rsidRDefault="003972D8">
      <w:pPr>
        <w:pStyle w:val="Spistreci3"/>
        <w:rPr>
          <w:rFonts w:eastAsiaTheme="minorEastAsia" w:cstheme="minorBidi"/>
          <w:noProof/>
          <w:sz w:val="22"/>
          <w:szCs w:val="22"/>
        </w:rPr>
      </w:pPr>
      <w:hyperlink w:anchor="_Toc474924960" w:history="1">
        <w:r w:rsidR="00B80F21" w:rsidRPr="00962D72">
          <w:rPr>
            <w:rStyle w:val="Hipercze"/>
            <w:noProof/>
          </w:rPr>
          <w:t>3.1.4.</w:t>
        </w:r>
        <w:r w:rsidR="00B80F21">
          <w:rPr>
            <w:rFonts w:eastAsiaTheme="minorEastAsia" w:cstheme="minorBidi"/>
            <w:noProof/>
            <w:sz w:val="22"/>
            <w:szCs w:val="22"/>
          </w:rPr>
          <w:tab/>
        </w:r>
        <w:r w:rsidR="00B80F21" w:rsidRPr="00962D72">
          <w:rPr>
            <w:rStyle w:val="Hipercze"/>
            <w:noProof/>
          </w:rPr>
          <w:t>Cele rewitalizacji w Bytomiu</w:t>
        </w:r>
        <w:r w:rsidR="00B80F21">
          <w:rPr>
            <w:noProof/>
            <w:webHidden/>
          </w:rPr>
          <w:tab/>
        </w:r>
        <w:r>
          <w:rPr>
            <w:noProof/>
            <w:webHidden/>
          </w:rPr>
          <w:fldChar w:fldCharType="begin"/>
        </w:r>
        <w:r w:rsidR="00B80F21">
          <w:rPr>
            <w:noProof/>
            <w:webHidden/>
          </w:rPr>
          <w:instrText xml:space="preserve"> PAGEREF _Toc474924960 \h </w:instrText>
        </w:r>
        <w:r>
          <w:rPr>
            <w:noProof/>
            <w:webHidden/>
          </w:rPr>
        </w:r>
        <w:r>
          <w:rPr>
            <w:noProof/>
            <w:webHidden/>
          </w:rPr>
          <w:fldChar w:fldCharType="separate"/>
        </w:r>
        <w:r w:rsidR="00413FFE">
          <w:rPr>
            <w:noProof/>
            <w:webHidden/>
          </w:rPr>
          <w:t>138</w:t>
        </w:r>
        <w:r>
          <w:rPr>
            <w:noProof/>
            <w:webHidden/>
          </w:rPr>
          <w:fldChar w:fldCharType="end"/>
        </w:r>
      </w:hyperlink>
    </w:p>
    <w:p w:rsidR="00B80F21" w:rsidRDefault="003972D8">
      <w:pPr>
        <w:pStyle w:val="Spistreci3"/>
        <w:rPr>
          <w:rFonts w:eastAsiaTheme="minorEastAsia" w:cstheme="minorBidi"/>
          <w:noProof/>
          <w:sz w:val="22"/>
          <w:szCs w:val="22"/>
        </w:rPr>
      </w:pPr>
      <w:hyperlink w:anchor="_Toc474924961" w:history="1">
        <w:r w:rsidR="00B80F21" w:rsidRPr="00962D72">
          <w:rPr>
            <w:rStyle w:val="Hipercze"/>
            <w:noProof/>
          </w:rPr>
          <w:t>3.1.5.</w:t>
        </w:r>
        <w:r w:rsidR="00B80F21">
          <w:rPr>
            <w:rFonts w:eastAsiaTheme="minorEastAsia" w:cstheme="minorBidi"/>
            <w:noProof/>
            <w:sz w:val="22"/>
            <w:szCs w:val="22"/>
          </w:rPr>
          <w:tab/>
        </w:r>
        <w:r w:rsidR="00B80F21" w:rsidRPr="00962D72">
          <w:rPr>
            <w:rStyle w:val="Hipercze"/>
            <w:noProof/>
          </w:rPr>
          <w:t>Kierunki działań służących eliminacji lub ograniczeniu negatywnych zjawisk</w:t>
        </w:r>
        <w:r w:rsidR="00B80F21">
          <w:rPr>
            <w:noProof/>
            <w:webHidden/>
          </w:rPr>
          <w:tab/>
        </w:r>
        <w:r>
          <w:rPr>
            <w:noProof/>
            <w:webHidden/>
          </w:rPr>
          <w:fldChar w:fldCharType="begin"/>
        </w:r>
        <w:r w:rsidR="00B80F21">
          <w:rPr>
            <w:noProof/>
            <w:webHidden/>
          </w:rPr>
          <w:instrText xml:space="preserve"> PAGEREF _Toc474924961 \h </w:instrText>
        </w:r>
        <w:r>
          <w:rPr>
            <w:noProof/>
            <w:webHidden/>
          </w:rPr>
        </w:r>
        <w:r>
          <w:rPr>
            <w:noProof/>
            <w:webHidden/>
          </w:rPr>
          <w:fldChar w:fldCharType="separate"/>
        </w:r>
        <w:r w:rsidR="00413FFE">
          <w:rPr>
            <w:noProof/>
            <w:webHidden/>
          </w:rPr>
          <w:t>140</w:t>
        </w:r>
        <w:r>
          <w:rPr>
            <w:noProof/>
            <w:webHidden/>
          </w:rPr>
          <w:fldChar w:fldCharType="end"/>
        </w:r>
      </w:hyperlink>
    </w:p>
    <w:p w:rsidR="00B80F21" w:rsidRDefault="003972D8">
      <w:pPr>
        <w:pStyle w:val="Spistreci2"/>
        <w:rPr>
          <w:rFonts w:asciiTheme="minorHAnsi" w:eastAsiaTheme="minorEastAsia" w:hAnsiTheme="minorHAnsi" w:cstheme="minorBidi"/>
          <w:sz w:val="22"/>
          <w:szCs w:val="22"/>
        </w:rPr>
      </w:pPr>
      <w:hyperlink w:anchor="_Toc474924962" w:history="1">
        <w:r w:rsidR="00B80F21" w:rsidRPr="00962D72">
          <w:rPr>
            <w:rStyle w:val="Hipercze"/>
          </w:rPr>
          <w:t>3.2. Włączenie interesariuszy rewitalizacji – partycypacja w procesie tworzenia i wdrażania „Gminnego Programu Rewitalizacji. Bytom 2020+”</w:t>
        </w:r>
        <w:r w:rsidR="00B80F21">
          <w:rPr>
            <w:webHidden/>
          </w:rPr>
          <w:tab/>
        </w:r>
        <w:r>
          <w:rPr>
            <w:webHidden/>
          </w:rPr>
          <w:fldChar w:fldCharType="begin"/>
        </w:r>
        <w:r w:rsidR="00B80F21">
          <w:rPr>
            <w:webHidden/>
          </w:rPr>
          <w:instrText xml:space="preserve"> PAGEREF _Toc474924962 \h </w:instrText>
        </w:r>
        <w:r>
          <w:rPr>
            <w:webHidden/>
          </w:rPr>
        </w:r>
        <w:r>
          <w:rPr>
            <w:webHidden/>
          </w:rPr>
          <w:fldChar w:fldCharType="separate"/>
        </w:r>
        <w:r w:rsidR="00413FFE">
          <w:rPr>
            <w:webHidden/>
          </w:rPr>
          <w:t>145</w:t>
        </w:r>
        <w:r>
          <w:rPr>
            <w:webHidden/>
          </w:rPr>
          <w:fldChar w:fldCharType="end"/>
        </w:r>
      </w:hyperlink>
    </w:p>
    <w:p w:rsidR="00B80F21" w:rsidRDefault="003972D8">
      <w:pPr>
        <w:pStyle w:val="Spistreci3"/>
        <w:rPr>
          <w:rFonts w:eastAsiaTheme="minorEastAsia" w:cstheme="minorBidi"/>
          <w:noProof/>
          <w:sz w:val="22"/>
          <w:szCs w:val="22"/>
        </w:rPr>
      </w:pPr>
      <w:hyperlink w:anchor="_Toc474924968" w:history="1">
        <w:r w:rsidR="00B80F21" w:rsidRPr="00962D72">
          <w:rPr>
            <w:rStyle w:val="Hipercze"/>
            <w:noProof/>
          </w:rPr>
          <w:t>3.2.1.</w:t>
        </w:r>
        <w:r w:rsidR="00B80F21">
          <w:rPr>
            <w:rFonts w:eastAsiaTheme="minorEastAsia" w:cstheme="minorBidi"/>
            <w:noProof/>
            <w:sz w:val="22"/>
            <w:szCs w:val="22"/>
          </w:rPr>
          <w:tab/>
        </w:r>
        <w:r w:rsidR="00B80F21" w:rsidRPr="00962D72">
          <w:rPr>
            <w:rStyle w:val="Hipercze"/>
            <w:noProof/>
          </w:rPr>
          <w:t>Udział interesariuszy w procesie tworzenia GPR</w:t>
        </w:r>
        <w:r w:rsidR="00B80F21">
          <w:rPr>
            <w:noProof/>
            <w:webHidden/>
          </w:rPr>
          <w:tab/>
        </w:r>
        <w:r>
          <w:rPr>
            <w:noProof/>
            <w:webHidden/>
          </w:rPr>
          <w:fldChar w:fldCharType="begin"/>
        </w:r>
        <w:r w:rsidR="00B80F21">
          <w:rPr>
            <w:noProof/>
            <w:webHidden/>
          </w:rPr>
          <w:instrText xml:space="preserve"> PAGEREF _Toc474924968 \h </w:instrText>
        </w:r>
        <w:r>
          <w:rPr>
            <w:noProof/>
            <w:webHidden/>
          </w:rPr>
        </w:r>
        <w:r>
          <w:rPr>
            <w:noProof/>
            <w:webHidden/>
          </w:rPr>
          <w:fldChar w:fldCharType="separate"/>
        </w:r>
        <w:r w:rsidR="00413FFE">
          <w:rPr>
            <w:noProof/>
            <w:webHidden/>
          </w:rPr>
          <w:t>145</w:t>
        </w:r>
        <w:r>
          <w:rPr>
            <w:noProof/>
            <w:webHidden/>
          </w:rPr>
          <w:fldChar w:fldCharType="end"/>
        </w:r>
      </w:hyperlink>
    </w:p>
    <w:p w:rsidR="00B80F21" w:rsidRDefault="003972D8">
      <w:pPr>
        <w:pStyle w:val="Spistreci3"/>
        <w:rPr>
          <w:rFonts w:eastAsiaTheme="minorEastAsia" w:cstheme="minorBidi"/>
          <w:noProof/>
          <w:sz w:val="22"/>
          <w:szCs w:val="22"/>
        </w:rPr>
      </w:pPr>
      <w:hyperlink w:anchor="_Toc474924969" w:history="1">
        <w:r w:rsidR="00B80F21" w:rsidRPr="00962D72">
          <w:rPr>
            <w:rStyle w:val="Hipercze"/>
            <w:noProof/>
          </w:rPr>
          <w:t>3.2.2.</w:t>
        </w:r>
        <w:r w:rsidR="00B80F21">
          <w:rPr>
            <w:rFonts w:eastAsiaTheme="minorEastAsia" w:cstheme="minorBidi"/>
            <w:noProof/>
            <w:sz w:val="22"/>
            <w:szCs w:val="22"/>
          </w:rPr>
          <w:tab/>
        </w:r>
        <w:r w:rsidR="00B80F21" w:rsidRPr="00962D72">
          <w:rPr>
            <w:rStyle w:val="Hipercze"/>
            <w:noProof/>
          </w:rPr>
          <w:t>Udział interesariuszy w procesie wdrażania GPR</w:t>
        </w:r>
        <w:r w:rsidR="00B80F21">
          <w:rPr>
            <w:noProof/>
            <w:webHidden/>
          </w:rPr>
          <w:tab/>
        </w:r>
        <w:r>
          <w:rPr>
            <w:noProof/>
            <w:webHidden/>
          </w:rPr>
          <w:fldChar w:fldCharType="begin"/>
        </w:r>
        <w:r w:rsidR="00B80F21">
          <w:rPr>
            <w:noProof/>
            <w:webHidden/>
          </w:rPr>
          <w:instrText xml:space="preserve"> PAGEREF _Toc474924969 \h </w:instrText>
        </w:r>
        <w:r>
          <w:rPr>
            <w:noProof/>
            <w:webHidden/>
          </w:rPr>
        </w:r>
        <w:r>
          <w:rPr>
            <w:noProof/>
            <w:webHidden/>
          </w:rPr>
          <w:fldChar w:fldCharType="separate"/>
        </w:r>
        <w:r w:rsidR="00413FFE">
          <w:rPr>
            <w:noProof/>
            <w:webHidden/>
          </w:rPr>
          <w:t>151</w:t>
        </w:r>
        <w:r>
          <w:rPr>
            <w:noProof/>
            <w:webHidden/>
          </w:rPr>
          <w:fldChar w:fldCharType="end"/>
        </w:r>
      </w:hyperlink>
    </w:p>
    <w:p w:rsidR="00B80F21" w:rsidRDefault="003972D8">
      <w:pPr>
        <w:pStyle w:val="Spistreci2"/>
        <w:tabs>
          <w:tab w:val="left" w:pos="880"/>
        </w:tabs>
        <w:rPr>
          <w:rFonts w:asciiTheme="minorHAnsi" w:eastAsiaTheme="minorEastAsia" w:hAnsiTheme="minorHAnsi" w:cstheme="minorBidi"/>
          <w:sz w:val="22"/>
          <w:szCs w:val="22"/>
        </w:rPr>
      </w:pPr>
      <w:hyperlink w:anchor="_Toc474924970" w:history="1">
        <w:r w:rsidR="00B80F21" w:rsidRPr="00962D72">
          <w:rPr>
            <w:rStyle w:val="Hipercze"/>
          </w:rPr>
          <w:t>3.3.</w:t>
        </w:r>
        <w:r w:rsidR="00B80F21">
          <w:rPr>
            <w:rFonts w:asciiTheme="minorHAnsi" w:eastAsiaTheme="minorEastAsia" w:hAnsiTheme="minorHAnsi" w:cstheme="minorBidi"/>
            <w:sz w:val="22"/>
            <w:szCs w:val="22"/>
          </w:rPr>
          <w:tab/>
        </w:r>
        <w:r w:rsidR="00B80F21" w:rsidRPr="00962D72">
          <w:rPr>
            <w:rStyle w:val="Hipercze"/>
          </w:rPr>
          <w:t>Przedsięwzięcia rewitalizacyjne</w:t>
        </w:r>
        <w:r w:rsidR="00B80F21">
          <w:rPr>
            <w:webHidden/>
          </w:rPr>
          <w:tab/>
        </w:r>
        <w:r>
          <w:rPr>
            <w:webHidden/>
          </w:rPr>
          <w:fldChar w:fldCharType="begin"/>
        </w:r>
        <w:r w:rsidR="00B80F21">
          <w:rPr>
            <w:webHidden/>
          </w:rPr>
          <w:instrText xml:space="preserve"> PAGEREF _Toc474924970 \h </w:instrText>
        </w:r>
        <w:r>
          <w:rPr>
            <w:webHidden/>
          </w:rPr>
        </w:r>
        <w:r>
          <w:rPr>
            <w:webHidden/>
          </w:rPr>
          <w:fldChar w:fldCharType="separate"/>
        </w:r>
        <w:r w:rsidR="00413FFE">
          <w:rPr>
            <w:webHidden/>
          </w:rPr>
          <w:t>154</w:t>
        </w:r>
        <w:r>
          <w:rPr>
            <w:webHidden/>
          </w:rPr>
          <w:fldChar w:fldCharType="end"/>
        </w:r>
      </w:hyperlink>
    </w:p>
    <w:p w:rsidR="00B80F21" w:rsidRDefault="003972D8">
      <w:pPr>
        <w:pStyle w:val="Spistreci3"/>
        <w:rPr>
          <w:rFonts w:eastAsiaTheme="minorEastAsia" w:cstheme="minorBidi"/>
          <w:noProof/>
          <w:sz w:val="22"/>
          <w:szCs w:val="22"/>
        </w:rPr>
      </w:pPr>
      <w:hyperlink w:anchor="_Toc474924971" w:history="1">
        <w:r w:rsidR="00B80F21" w:rsidRPr="00962D72">
          <w:rPr>
            <w:rStyle w:val="Hipercze"/>
            <w:noProof/>
          </w:rPr>
          <w:t>3.3.1.</w:t>
        </w:r>
        <w:r w:rsidR="00B80F21">
          <w:rPr>
            <w:rFonts w:eastAsiaTheme="minorEastAsia" w:cstheme="minorBidi"/>
            <w:noProof/>
            <w:sz w:val="22"/>
            <w:szCs w:val="22"/>
          </w:rPr>
          <w:tab/>
        </w:r>
        <w:r w:rsidR="00B80F21" w:rsidRPr="00962D72">
          <w:rPr>
            <w:rStyle w:val="Hipercze"/>
            <w:noProof/>
          </w:rPr>
          <w:t>Wiązki projektów oraz lista planowanych podstawowych przedsięwzięć rewitalizacyjnych</w:t>
        </w:r>
        <w:r w:rsidR="00B80F21">
          <w:rPr>
            <w:noProof/>
            <w:webHidden/>
          </w:rPr>
          <w:tab/>
        </w:r>
        <w:r>
          <w:rPr>
            <w:noProof/>
            <w:webHidden/>
          </w:rPr>
          <w:fldChar w:fldCharType="begin"/>
        </w:r>
        <w:r w:rsidR="00B80F21">
          <w:rPr>
            <w:noProof/>
            <w:webHidden/>
          </w:rPr>
          <w:instrText xml:space="preserve"> PAGEREF _Toc474924971 \h </w:instrText>
        </w:r>
        <w:r>
          <w:rPr>
            <w:noProof/>
            <w:webHidden/>
          </w:rPr>
        </w:r>
        <w:r>
          <w:rPr>
            <w:noProof/>
            <w:webHidden/>
          </w:rPr>
          <w:fldChar w:fldCharType="separate"/>
        </w:r>
        <w:r w:rsidR="00413FFE">
          <w:rPr>
            <w:noProof/>
            <w:webHidden/>
          </w:rPr>
          <w:t>155</w:t>
        </w:r>
        <w:r>
          <w:rPr>
            <w:noProof/>
            <w:webHidden/>
          </w:rPr>
          <w:fldChar w:fldCharType="end"/>
        </w:r>
      </w:hyperlink>
    </w:p>
    <w:p w:rsidR="00B80F21" w:rsidRDefault="003972D8">
      <w:pPr>
        <w:pStyle w:val="Spistreci3"/>
        <w:rPr>
          <w:rFonts w:eastAsiaTheme="minorEastAsia" w:cstheme="minorBidi"/>
          <w:noProof/>
          <w:sz w:val="22"/>
          <w:szCs w:val="22"/>
        </w:rPr>
      </w:pPr>
      <w:hyperlink w:anchor="_Toc474924974" w:history="1">
        <w:r w:rsidR="00B80F21" w:rsidRPr="00962D72">
          <w:rPr>
            <w:rStyle w:val="Hipercze"/>
            <w:noProof/>
          </w:rPr>
          <w:t>3.3.2.</w:t>
        </w:r>
        <w:r w:rsidR="00B80F21">
          <w:rPr>
            <w:rFonts w:eastAsiaTheme="minorEastAsia" w:cstheme="minorBidi"/>
            <w:noProof/>
            <w:sz w:val="22"/>
            <w:szCs w:val="22"/>
          </w:rPr>
          <w:tab/>
        </w:r>
        <w:r w:rsidR="00B80F21" w:rsidRPr="00962D72">
          <w:rPr>
            <w:rStyle w:val="Hipercze"/>
            <w:noProof/>
          </w:rPr>
          <w:t>Charakterystyka pozostałych przedsięwzięć rewitalizacyjnych</w:t>
        </w:r>
        <w:r w:rsidR="00B80F21">
          <w:rPr>
            <w:noProof/>
            <w:webHidden/>
          </w:rPr>
          <w:tab/>
        </w:r>
        <w:r>
          <w:rPr>
            <w:noProof/>
            <w:webHidden/>
          </w:rPr>
          <w:fldChar w:fldCharType="begin"/>
        </w:r>
        <w:r w:rsidR="00B80F21">
          <w:rPr>
            <w:noProof/>
            <w:webHidden/>
          </w:rPr>
          <w:instrText xml:space="preserve"> PAGEREF _Toc474924974 \h </w:instrText>
        </w:r>
        <w:r>
          <w:rPr>
            <w:noProof/>
            <w:webHidden/>
          </w:rPr>
        </w:r>
        <w:r>
          <w:rPr>
            <w:noProof/>
            <w:webHidden/>
          </w:rPr>
          <w:fldChar w:fldCharType="separate"/>
        </w:r>
        <w:r w:rsidR="00413FFE">
          <w:rPr>
            <w:noProof/>
            <w:webHidden/>
          </w:rPr>
          <w:t>180</w:t>
        </w:r>
        <w:r>
          <w:rPr>
            <w:noProof/>
            <w:webHidden/>
          </w:rPr>
          <w:fldChar w:fldCharType="end"/>
        </w:r>
      </w:hyperlink>
    </w:p>
    <w:p w:rsidR="00B80F21" w:rsidRDefault="003972D8">
      <w:pPr>
        <w:pStyle w:val="Spistreci2"/>
        <w:tabs>
          <w:tab w:val="left" w:pos="880"/>
        </w:tabs>
        <w:rPr>
          <w:rFonts w:asciiTheme="minorHAnsi" w:eastAsiaTheme="minorEastAsia" w:hAnsiTheme="minorHAnsi" w:cstheme="minorBidi"/>
          <w:sz w:val="22"/>
          <w:szCs w:val="22"/>
        </w:rPr>
      </w:pPr>
      <w:hyperlink w:anchor="_Toc474924975" w:history="1">
        <w:r w:rsidR="00B80F21" w:rsidRPr="00962D72">
          <w:rPr>
            <w:rStyle w:val="Hipercze"/>
          </w:rPr>
          <w:t>3.4.</w:t>
        </w:r>
        <w:r w:rsidR="00B80F21">
          <w:rPr>
            <w:rFonts w:asciiTheme="minorHAnsi" w:eastAsiaTheme="minorEastAsia" w:hAnsiTheme="minorHAnsi" w:cstheme="minorBidi"/>
            <w:sz w:val="22"/>
            <w:szCs w:val="22"/>
          </w:rPr>
          <w:tab/>
        </w:r>
        <w:r w:rsidR="00B80F21" w:rsidRPr="00962D72">
          <w:rPr>
            <w:rStyle w:val="Hipercze"/>
          </w:rPr>
          <w:t>Niezbędne zmiany w dokumentach strategicznych Bytomia</w:t>
        </w:r>
        <w:r w:rsidR="00B80F21">
          <w:rPr>
            <w:webHidden/>
          </w:rPr>
          <w:tab/>
        </w:r>
        <w:r>
          <w:rPr>
            <w:webHidden/>
          </w:rPr>
          <w:fldChar w:fldCharType="begin"/>
        </w:r>
        <w:r w:rsidR="00B80F21">
          <w:rPr>
            <w:webHidden/>
          </w:rPr>
          <w:instrText xml:space="preserve"> PAGEREF _Toc474924975 \h </w:instrText>
        </w:r>
        <w:r>
          <w:rPr>
            <w:webHidden/>
          </w:rPr>
        </w:r>
        <w:r>
          <w:rPr>
            <w:webHidden/>
          </w:rPr>
          <w:fldChar w:fldCharType="separate"/>
        </w:r>
        <w:r w:rsidR="00413FFE">
          <w:rPr>
            <w:webHidden/>
          </w:rPr>
          <w:t>196</w:t>
        </w:r>
        <w:r>
          <w:rPr>
            <w:webHidden/>
          </w:rPr>
          <w:fldChar w:fldCharType="end"/>
        </w:r>
      </w:hyperlink>
    </w:p>
    <w:p w:rsidR="00B80F21" w:rsidRDefault="003972D8">
      <w:pPr>
        <w:pStyle w:val="Spistreci2"/>
        <w:tabs>
          <w:tab w:val="left" w:pos="880"/>
        </w:tabs>
        <w:rPr>
          <w:rFonts w:asciiTheme="minorHAnsi" w:eastAsiaTheme="minorEastAsia" w:hAnsiTheme="minorHAnsi" w:cstheme="minorBidi"/>
          <w:sz w:val="22"/>
          <w:szCs w:val="22"/>
        </w:rPr>
      </w:pPr>
      <w:hyperlink w:anchor="_Toc474924976" w:history="1">
        <w:r w:rsidR="00B80F21" w:rsidRPr="00962D72">
          <w:rPr>
            <w:rStyle w:val="Hipercze"/>
          </w:rPr>
          <w:t>3.5.</w:t>
        </w:r>
        <w:r w:rsidR="00B80F21">
          <w:rPr>
            <w:rFonts w:asciiTheme="minorHAnsi" w:eastAsiaTheme="minorEastAsia" w:hAnsiTheme="minorHAnsi" w:cstheme="minorBidi"/>
            <w:sz w:val="22"/>
            <w:szCs w:val="22"/>
          </w:rPr>
          <w:tab/>
        </w:r>
        <w:r w:rsidR="00B80F21" w:rsidRPr="00962D72">
          <w:rPr>
            <w:rStyle w:val="Hipercze"/>
          </w:rPr>
          <w:t>Specjalna Strefa Rewitalizacji</w:t>
        </w:r>
        <w:r w:rsidR="00B80F21">
          <w:rPr>
            <w:webHidden/>
          </w:rPr>
          <w:tab/>
        </w:r>
        <w:r>
          <w:rPr>
            <w:webHidden/>
          </w:rPr>
          <w:fldChar w:fldCharType="begin"/>
        </w:r>
        <w:r w:rsidR="00B80F21">
          <w:rPr>
            <w:webHidden/>
          </w:rPr>
          <w:instrText xml:space="preserve"> PAGEREF _Toc474924976 \h </w:instrText>
        </w:r>
        <w:r>
          <w:rPr>
            <w:webHidden/>
          </w:rPr>
        </w:r>
        <w:r>
          <w:rPr>
            <w:webHidden/>
          </w:rPr>
          <w:fldChar w:fldCharType="separate"/>
        </w:r>
        <w:r w:rsidR="00413FFE">
          <w:rPr>
            <w:webHidden/>
          </w:rPr>
          <w:t>197</w:t>
        </w:r>
        <w:r>
          <w:rPr>
            <w:webHidden/>
          </w:rPr>
          <w:fldChar w:fldCharType="end"/>
        </w:r>
      </w:hyperlink>
    </w:p>
    <w:p w:rsidR="00B80F21" w:rsidRDefault="003972D8">
      <w:pPr>
        <w:pStyle w:val="Spistreci2"/>
        <w:tabs>
          <w:tab w:val="left" w:pos="880"/>
        </w:tabs>
        <w:rPr>
          <w:rFonts w:asciiTheme="minorHAnsi" w:eastAsiaTheme="minorEastAsia" w:hAnsiTheme="minorHAnsi" w:cstheme="minorBidi"/>
          <w:sz w:val="22"/>
          <w:szCs w:val="22"/>
        </w:rPr>
      </w:pPr>
      <w:hyperlink w:anchor="_Toc474924977" w:history="1">
        <w:r w:rsidR="00B80F21" w:rsidRPr="00962D72">
          <w:rPr>
            <w:rStyle w:val="Hipercze"/>
          </w:rPr>
          <w:t>3.6.</w:t>
        </w:r>
        <w:r w:rsidR="00B80F21">
          <w:rPr>
            <w:rFonts w:asciiTheme="minorHAnsi" w:eastAsiaTheme="minorEastAsia" w:hAnsiTheme="minorHAnsi" w:cstheme="minorBidi"/>
            <w:sz w:val="22"/>
            <w:szCs w:val="22"/>
          </w:rPr>
          <w:tab/>
        </w:r>
        <w:r w:rsidR="00B80F21" w:rsidRPr="00962D72">
          <w:rPr>
            <w:rStyle w:val="Hipercze"/>
          </w:rPr>
          <w:t>Uchwalenie miejscowego planu rewitalizacji</w:t>
        </w:r>
        <w:r w:rsidR="00B80F21">
          <w:rPr>
            <w:webHidden/>
          </w:rPr>
          <w:tab/>
        </w:r>
        <w:r>
          <w:rPr>
            <w:webHidden/>
          </w:rPr>
          <w:fldChar w:fldCharType="begin"/>
        </w:r>
        <w:r w:rsidR="00B80F21">
          <w:rPr>
            <w:webHidden/>
          </w:rPr>
          <w:instrText xml:space="preserve"> PAGEREF _Toc474924977 \h </w:instrText>
        </w:r>
        <w:r>
          <w:rPr>
            <w:webHidden/>
          </w:rPr>
        </w:r>
        <w:r>
          <w:rPr>
            <w:webHidden/>
          </w:rPr>
          <w:fldChar w:fldCharType="separate"/>
        </w:r>
        <w:r w:rsidR="00413FFE">
          <w:rPr>
            <w:webHidden/>
          </w:rPr>
          <w:t>198</w:t>
        </w:r>
        <w:r>
          <w:rPr>
            <w:webHidden/>
          </w:rPr>
          <w:fldChar w:fldCharType="end"/>
        </w:r>
      </w:hyperlink>
    </w:p>
    <w:p w:rsidR="00B80F21" w:rsidRDefault="003972D8" w:rsidP="005F3253">
      <w:pPr>
        <w:pStyle w:val="Spistreci1"/>
        <w:rPr>
          <w:rFonts w:asciiTheme="minorHAnsi" w:eastAsiaTheme="minorEastAsia" w:hAnsiTheme="minorHAnsi" w:cstheme="minorBidi"/>
          <w:sz w:val="22"/>
          <w:szCs w:val="22"/>
        </w:rPr>
      </w:pPr>
      <w:hyperlink w:anchor="_Toc474924978" w:history="1">
        <w:r w:rsidR="00B80F21" w:rsidRPr="00962D72">
          <w:rPr>
            <w:rStyle w:val="Hipercze"/>
          </w:rPr>
          <w:t>4.</w:t>
        </w:r>
        <w:r w:rsidR="00B80F21">
          <w:rPr>
            <w:rFonts w:asciiTheme="minorHAnsi" w:eastAsiaTheme="minorEastAsia" w:hAnsiTheme="minorHAnsi" w:cstheme="minorBidi"/>
            <w:sz w:val="22"/>
            <w:szCs w:val="22"/>
          </w:rPr>
          <w:tab/>
        </w:r>
        <w:r w:rsidR="00B80F21" w:rsidRPr="00962D72">
          <w:rPr>
            <w:rStyle w:val="Hipercze"/>
          </w:rPr>
          <w:t>ZARZĄDZANIE</w:t>
        </w:r>
        <w:r w:rsidR="00B80F21">
          <w:rPr>
            <w:webHidden/>
          </w:rPr>
          <w:tab/>
        </w:r>
        <w:r>
          <w:rPr>
            <w:webHidden/>
          </w:rPr>
          <w:fldChar w:fldCharType="begin"/>
        </w:r>
        <w:r w:rsidR="00B80F21">
          <w:rPr>
            <w:webHidden/>
          </w:rPr>
          <w:instrText xml:space="preserve"> PAGEREF _Toc474924978 \h </w:instrText>
        </w:r>
        <w:r>
          <w:rPr>
            <w:webHidden/>
          </w:rPr>
        </w:r>
        <w:r>
          <w:rPr>
            <w:webHidden/>
          </w:rPr>
          <w:fldChar w:fldCharType="separate"/>
        </w:r>
        <w:r w:rsidR="00413FFE">
          <w:rPr>
            <w:webHidden/>
          </w:rPr>
          <w:t>198</w:t>
        </w:r>
        <w:r>
          <w:rPr>
            <w:webHidden/>
          </w:rPr>
          <w:fldChar w:fldCharType="end"/>
        </w:r>
      </w:hyperlink>
    </w:p>
    <w:p w:rsidR="00B80F21" w:rsidRDefault="003972D8">
      <w:pPr>
        <w:pStyle w:val="Spistreci2"/>
        <w:tabs>
          <w:tab w:val="left" w:pos="880"/>
        </w:tabs>
        <w:rPr>
          <w:rFonts w:asciiTheme="minorHAnsi" w:eastAsiaTheme="minorEastAsia" w:hAnsiTheme="minorHAnsi" w:cstheme="minorBidi"/>
          <w:sz w:val="22"/>
          <w:szCs w:val="22"/>
        </w:rPr>
      </w:pPr>
      <w:hyperlink w:anchor="_Toc474924983" w:history="1">
        <w:r w:rsidR="00B80F21" w:rsidRPr="00962D72">
          <w:rPr>
            <w:rStyle w:val="Hipercze"/>
          </w:rPr>
          <w:t>4.1.</w:t>
        </w:r>
        <w:r w:rsidR="00B80F21">
          <w:rPr>
            <w:rFonts w:asciiTheme="minorHAnsi" w:eastAsiaTheme="minorEastAsia" w:hAnsiTheme="minorHAnsi" w:cstheme="minorBidi"/>
            <w:sz w:val="22"/>
            <w:szCs w:val="22"/>
          </w:rPr>
          <w:tab/>
        </w:r>
        <w:r w:rsidR="00B80F21" w:rsidRPr="00962D72">
          <w:rPr>
            <w:rStyle w:val="Hipercze"/>
          </w:rPr>
          <w:t>Opis schematu zarządzania rewitalizacją w Bytomiu</w:t>
        </w:r>
        <w:r w:rsidR="00B80F21">
          <w:rPr>
            <w:webHidden/>
          </w:rPr>
          <w:tab/>
        </w:r>
        <w:r>
          <w:rPr>
            <w:webHidden/>
          </w:rPr>
          <w:fldChar w:fldCharType="begin"/>
        </w:r>
        <w:r w:rsidR="00B80F21">
          <w:rPr>
            <w:webHidden/>
          </w:rPr>
          <w:instrText xml:space="preserve"> PAGEREF _Toc474924983 \h </w:instrText>
        </w:r>
        <w:r>
          <w:rPr>
            <w:webHidden/>
          </w:rPr>
        </w:r>
        <w:r>
          <w:rPr>
            <w:webHidden/>
          </w:rPr>
          <w:fldChar w:fldCharType="separate"/>
        </w:r>
        <w:r w:rsidR="00413FFE">
          <w:rPr>
            <w:webHidden/>
          </w:rPr>
          <w:t>198</w:t>
        </w:r>
        <w:r>
          <w:rPr>
            <w:webHidden/>
          </w:rPr>
          <w:fldChar w:fldCharType="end"/>
        </w:r>
      </w:hyperlink>
    </w:p>
    <w:p w:rsidR="00B80F21" w:rsidRDefault="003972D8">
      <w:pPr>
        <w:pStyle w:val="Spistreci2"/>
        <w:tabs>
          <w:tab w:val="left" w:pos="880"/>
        </w:tabs>
        <w:rPr>
          <w:rFonts w:asciiTheme="minorHAnsi" w:eastAsiaTheme="minorEastAsia" w:hAnsiTheme="minorHAnsi" w:cstheme="minorBidi"/>
          <w:sz w:val="22"/>
          <w:szCs w:val="22"/>
        </w:rPr>
      </w:pPr>
      <w:hyperlink w:anchor="_Toc474924984" w:history="1">
        <w:r w:rsidR="00B80F21" w:rsidRPr="00962D72">
          <w:rPr>
            <w:rStyle w:val="Hipercze"/>
          </w:rPr>
          <w:t>4.2.</w:t>
        </w:r>
        <w:r w:rsidR="00B80F21">
          <w:rPr>
            <w:rFonts w:asciiTheme="minorHAnsi" w:eastAsiaTheme="minorEastAsia" w:hAnsiTheme="minorHAnsi" w:cstheme="minorBidi"/>
            <w:sz w:val="22"/>
            <w:szCs w:val="22"/>
          </w:rPr>
          <w:tab/>
        </w:r>
        <w:r w:rsidR="00B80F21" w:rsidRPr="00962D72">
          <w:rPr>
            <w:rStyle w:val="Hipercze"/>
          </w:rPr>
          <w:t>Procedura aktualizacji GPR</w:t>
        </w:r>
        <w:r w:rsidR="00B80F21">
          <w:rPr>
            <w:webHidden/>
          </w:rPr>
          <w:tab/>
        </w:r>
        <w:r>
          <w:rPr>
            <w:webHidden/>
          </w:rPr>
          <w:fldChar w:fldCharType="begin"/>
        </w:r>
        <w:r w:rsidR="00B80F21">
          <w:rPr>
            <w:webHidden/>
          </w:rPr>
          <w:instrText xml:space="preserve"> PAGEREF _Toc474924984 \h </w:instrText>
        </w:r>
        <w:r>
          <w:rPr>
            <w:webHidden/>
          </w:rPr>
        </w:r>
        <w:r>
          <w:rPr>
            <w:webHidden/>
          </w:rPr>
          <w:fldChar w:fldCharType="separate"/>
        </w:r>
        <w:r w:rsidR="00413FFE">
          <w:rPr>
            <w:webHidden/>
          </w:rPr>
          <w:t>202</w:t>
        </w:r>
        <w:r>
          <w:rPr>
            <w:webHidden/>
          </w:rPr>
          <w:fldChar w:fldCharType="end"/>
        </w:r>
      </w:hyperlink>
    </w:p>
    <w:p w:rsidR="00B80F21" w:rsidRDefault="003972D8">
      <w:pPr>
        <w:pStyle w:val="Spistreci2"/>
        <w:tabs>
          <w:tab w:val="left" w:pos="880"/>
        </w:tabs>
        <w:rPr>
          <w:rFonts w:asciiTheme="minorHAnsi" w:eastAsiaTheme="minorEastAsia" w:hAnsiTheme="minorHAnsi" w:cstheme="minorBidi"/>
          <w:sz w:val="22"/>
          <w:szCs w:val="22"/>
        </w:rPr>
      </w:pPr>
      <w:hyperlink w:anchor="_Toc474924985" w:history="1">
        <w:r w:rsidR="00B80F21" w:rsidRPr="00962D72">
          <w:rPr>
            <w:rStyle w:val="Hipercze"/>
          </w:rPr>
          <w:t>4.3.</w:t>
        </w:r>
        <w:r w:rsidR="00B80F21">
          <w:rPr>
            <w:rFonts w:asciiTheme="minorHAnsi" w:eastAsiaTheme="minorEastAsia" w:hAnsiTheme="minorHAnsi" w:cstheme="minorBidi"/>
            <w:sz w:val="22"/>
            <w:szCs w:val="22"/>
          </w:rPr>
          <w:tab/>
        </w:r>
        <w:r w:rsidR="00B80F21" w:rsidRPr="00962D72">
          <w:rPr>
            <w:rStyle w:val="Hipercze"/>
          </w:rPr>
          <w:t>Ramowy harmonogram wdrażania GPR wraz z szacunkowymi ramami finansowymi</w:t>
        </w:r>
        <w:r w:rsidR="00B80F21">
          <w:rPr>
            <w:webHidden/>
          </w:rPr>
          <w:tab/>
        </w:r>
        <w:r>
          <w:rPr>
            <w:webHidden/>
          </w:rPr>
          <w:fldChar w:fldCharType="begin"/>
        </w:r>
        <w:r w:rsidR="00B80F21">
          <w:rPr>
            <w:webHidden/>
          </w:rPr>
          <w:instrText xml:space="preserve"> PAGEREF _Toc474924985 \h </w:instrText>
        </w:r>
        <w:r>
          <w:rPr>
            <w:webHidden/>
          </w:rPr>
        </w:r>
        <w:r>
          <w:rPr>
            <w:webHidden/>
          </w:rPr>
          <w:fldChar w:fldCharType="separate"/>
        </w:r>
        <w:r w:rsidR="00413FFE">
          <w:rPr>
            <w:webHidden/>
          </w:rPr>
          <w:t>203</w:t>
        </w:r>
        <w:r>
          <w:rPr>
            <w:webHidden/>
          </w:rPr>
          <w:fldChar w:fldCharType="end"/>
        </w:r>
      </w:hyperlink>
    </w:p>
    <w:p w:rsidR="00B80F21" w:rsidRDefault="003972D8">
      <w:pPr>
        <w:pStyle w:val="Spistreci2"/>
        <w:tabs>
          <w:tab w:val="left" w:pos="880"/>
        </w:tabs>
        <w:rPr>
          <w:rFonts w:asciiTheme="minorHAnsi" w:eastAsiaTheme="minorEastAsia" w:hAnsiTheme="minorHAnsi" w:cstheme="minorBidi"/>
          <w:sz w:val="22"/>
          <w:szCs w:val="22"/>
        </w:rPr>
      </w:pPr>
      <w:hyperlink w:anchor="_Toc474924986" w:history="1">
        <w:r w:rsidR="00B80F21" w:rsidRPr="00962D72">
          <w:rPr>
            <w:rStyle w:val="Hipercze"/>
          </w:rPr>
          <w:t>4.4.</w:t>
        </w:r>
        <w:r w:rsidR="00B80F21">
          <w:rPr>
            <w:rFonts w:asciiTheme="minorHAnsi" w:eastAsiaTheme="minorEastAsia" w:hAnsiTheme="minorHAnsi" w:cstheme="minorBidi"/>
            <w:sz w:val="22"/>
            <w:szCs w:val="22"/>
          </w:rPr>
          <w:tab/>
        </w:r>
        <w:r w:rsidR="00B80F21" w:rsidRPr="00962D72">
          <w:rPr>
            <w:rStyle w:val="Hipercze"/>
          </w:rPr>
          <w:t>Mechanizmy integrowania przedsięwzięć rewitalizacyjnych</w:t>
        </w:r>
        <w:r w:rsidR="00B80F21">
          <w:rPr>
            <w:webHidden/>
          </w:rPr>
          <w:tab/>
        </w:r>
        <w:r>
          <w:rPr>
            <w:webHidden/>
          </w:rPr>
          <w:fldChar w:fldCharType="begin"/>
        </w:r>
        <w:r w:rsidR="00B80F21">
          <w:rPr>
            <w:webHidden/>
          </w:rPr>
          <w:instrText xml:space="preserve"> PAGEREF _Toc474924986 \h </w:instrText>
        </w:r>
        <w:r>
          <w:rPr>
            <w:webHidden/>
          </w:rPr>
        </w:r>
        <w:r>
          <w:rPr>
            <w:webHidden/>
          </w:rPr>
          <w:fldChar w:fldCharType="separate"/>
        </w:r>
        <w:r w:rsidR="00413FFE">
          <w:rPr>
            <w:webHidden/>
          </w:rPr>
          <w:t>209</w:t>
        </w:r>
        <w:r>
          <w:rPr>
            <w:webHidden/>
          </w:rPr>
          <w:fldChar w:fldCharType="end"/>
        </w:r>
      </w:hyperlink>
    </w:p>
    <w:p w:rsidR="00B80F21" w:rsidRDefault="003972D8">
      <w:pPr>
        <w:pStyle w:val="Spistreci2"/>
        <w:tabs>
          <w:tab w:val="left" w:pos="880"/>
        </w:tabs>
        <w:rPr>
          <w:rFonts w:asciiTheme="minorHAnsi" w:eastAsiaTheme="minorEastAsia" w:hAnsiTheme="minorHAnsi" w:cstheme="minorBidi"/>
          <w:sz w:val="22"/>
          <w:szCs w:val="22"/>
        </w:rPr>
      </w:pPr>
      <w:hyperlink w:anchor="_Toc474924987" w:history="1">
        <w:r w:rsidR="00B80F21" w:rsidRPr="00962D72">
          <w:rPr>
            <w:rStyle w:val="Hipercze"/>
          </w:rPr>
          <w:t>4.5.</w:t>
        </w:r>
        <w:r w:rsidR="00B80F21">
          <w:rPr>
            <w:rFonts w:asciiTheme="minorHAnsi" w:eastAsiaTheme="minorEastAsia" w:hAnsiTheme="minorHAnsi" w:cstheme="minorBidi"/>
            <w:sz w:val="22"/>
            <w:szCs w:val="22"/>
          </w:rPr>
          <w:tab/>
        </w:r>
        <w:r w:rsidR="00B80F21" w:rsidRPr="00962D72">
          <w:rPr>
            <w:rStyle w:val="Hipercze"/>
          </w:rPr>
          <w:t>System monitorowania i ewaluacji GPR</w:t>
        </w:r>
        <w:r w:rsidR="00B80F21">
          <w:rPr>
            <w:webHidden/>
          </w:rPr>
          <w:tab/>
        </w:r>
        <w:r>
          <w:rPr>
            <w:webHidden/>
          </w:rPr>
          <w:fldChar w:fldCharType="begin"/>
        </w:r>
        <w:r w:rsidR="00B80F21">
          <w:rPr>
            <w:webHidden/>
          </w:rPr>
          <w:instrText xml:space="preserve"> PAGEREF _Toc474924987 \h </w:instrText>
        </w:r>
        <w:r>
          <w:rPr>
            <w:webHidden/>
          </w:rPr>
        </w:r>
        <w:r>
          <w:rPr>
            <w:webHidden/>
          </w:rPr>
          <w:fldChar w:fldCharType="separate"/>
        </w:r>
        <w:r w:rsidR="00413FFE">
          <w:rPr>
            <w:webHidden/>
          </w:rPr>
          <w:t>218</w:t>
        </w:r>
        <w:r>
          <w:rPr>
            <w:webHidden/>
          </w:rPr>
          <w:fldChar w:fldCharType="end"/>
        </w:r>
      </w:hyperlink>
    </w:p>
    <w:p w:rsidR="00B80F21" w:rsidRDefault="003972D8" w:rsidP="005F3253">
      <w:pPr>
        <w:pStyle w:val="Spistreci1"/>
        <w:rPr>
          <w:rFonts w:asciiTheme="minorHAnsi" w:eastAsiaTheme="minorEastAsia" w:hAnsiTheme="minorHAnsi" w:cstheme="minorBidi"/>
          <w:sz w:val="22"/>
          <w:szCs w:val="22"/>
        </w:rPr>
      </w:pPr>
      <w:hyperlink w:anchor="_Toc474924988" w:history="1">
        <w:r w:rsidR="00B80F21" w:rsidRPr="00962D72">
          <w:rPr>
            <w:rStyle w:val="Hipercze"/>
          </w:rPr>
          <w:t>SPIS ILUSTRACJI</w:t>
        </w:r>
        <w:r w:rsidR="00B80F21">
          <w:rPr>
            <w:webHidden/>
          </w:rPr>
          <w:tab/>
        </w:r>
        <w:r>
          <w:rPr>
            <w:webHidden/>
          </w:rPr>
          <w:fldChar w:fldCharType="begin"/>
        </w:r>
        <w:r w:rsidR="00B80F21">
          <w:rPr>
            <w:webHidden/>
          </w:rPr>
          <w:instrText xml:space="preserve"> PAGEREF _Toc474924988 \h </w:instrText>
        </w:r>
        <w:r>
          <w:rPr>
            <w:webHidden/>
          </w:rPr>
        </w:r>
        <w:r>
          <w:rPr>
            <w:webHidden/>
          </w:rPr>
          <w:fldChar w:fldCharType="separate"/>
        </w:r>
        <w:r w:rsidR="00413FFE">
          <w:rPr>
            <w:webHidden/>
          </w:rPr>
          <w:t>233</w:t>
        </w:r>
        <w:r>
          <w:rPr>
            <w:webHidden/>
          </w:rPr>
          <w:fldChar w:fldCharType="end"/>
        </w:r>
      </w:hyperlink>
    </w:p>
    <w:p w:rsidR="00B80F21" w:rsidRDefault="003972D8" w:rsidP="005F3253">
      <w:pPr>
        <w:pStyle w:val="Spistreci1"/>
        <w:rPr>
          <w:rFonts w:asciiTheme="minorHAnsi" w:eastAsiaTheme="minorEastAsia" w:hAnsiTheme="minorHAnsi" w:cstheme="minorBidi"/>
          <w:sz w:val="22"/>
          <w:szCs w:val="22"/>
        </w:rPr>
      </w:pPr>
      <w:hyperlink w:anchor="_Toc474924989" w:history="1">
        <w:r w:rsidR="00B80F21" w:rsidRPr="00962D72">
          <w:rPr>
            <w:rStyle w:val="Hipercze"/>
          </w:rPr>
          <w:t>SPIS MAP</w:t>
        </w:r>
        <w:r w:rsidR="00B80F21">
          <w:rPr>
            <w:webHidden/>
          </w:rPr>
          <w:tab/>
        </w:r>
        <w:r>
          <w:rPr>
            <w:webHidden/>
          </w:rPr>
          <w:fldChar w:fldCharType="begin"/>
        </w:r>
        <w:r w:rsidR="00B80F21">
          <w:rPr>
            <w:webHidden/>
          </w:rPr>
          <w:instrText xml:space="preserve"> PAGEREF _Toc474924989 \h </w:instrText>
        </w:r>
        <w:r>
          <w:rPr>
            <w:webHidden/>
          </w:rPr>
        </w:r>
        <w:r>
          <w:rPr>
            <w:webHidden/>
          </w:rPr>
          <w:fldChar w:fldCharType="separate"/>
        </w:r>
        <w:r w:rsidR="00413FFE">
          <w:rPr>
            <w:webHidden/>
          </w:rPr>
          <w:t>233</w:t>
        </w:r>
        <w:r>
          <w:rPr>
            <w:webHidden/>
          </w:rPr>
          <w:fldChar w:fldCharType="end"/>
        </w:r>
      </w:hyperlink>
    </w:p>
    <w:p w:rsidR="00B80F21" w:rsidRDefault="003972D8" w:rsidP="005F3253">
      <w:pPr>
        <w:pStyle w:val="Spistreci1"/>
        <w:rPr>
          <w:rFonts w:asciiTheme="minorHAnsi" w:eastAsiaTheme="minorEastAsia" w:hAnsiTheme="minorHAnsi" w:cstheme="minorBidi"/>
          <w:sz w:val="22"/>
          <w:szCs w:val="22"/>
        </w:rPr>
      </w:pPr>
      <w:hyperlink w:anchor="_Toc474924990" w:history="1">
        <w:r w:rsidR="00B80F21" w:rsidRPr="00962D72">
          <w:rPr>
            <w:rStyle w:val="Hipercze"/>
          </w:rPr>
          <w:t>SPIS SCHEMATÓW</w:t>
        </w:r>
        <w:r w:rsidR="00B80F21">
          <w:rPr>
            <w:webHidden/>
          </w:rPr>
          <w:tab/>
        </w:r>
        <w:r>
          <w:rPr>
            <w:webHidden/>
          </w:rPr>
          <w:fldChar w:fldCharType="begin"/>
        </w:r>
        <w:r w:rsidR="00B80F21">
          <w:rPr>
            <w:webHidden/>
          </w:rPr>
          <w:instrText xml:space="preserve"> PAGEREF _Toc474924990 \h </w:instrText>
        </w:r>
        <w:r>
          <w:rPr>
            <w:webHidden/>
          </w:rPr>
        </w:r>
        <w:r>
          <w:rPr>
            <w:webHidden/>
          </w:rPr>
          <w:fldChar w:fldCharType="separate"/>
        </w:r>
        <w:r w:rsidR="00413FFE">
          <w:rPr>
            <w:webHidden/>
          </w:rPr>
          <w:t>234</w:t>
        </w:r>
        <w:r>
          <w:rPr>
            <w:webHidden/>
          </w:rPr>
          <w:fldChar w:fldCharType="end"/>
        </w:r>
      </w:hyperlink>
    </w:p>
    <w:p w:rsidR="00B80F21" w:rsidRDefault="003972D8" w:rsidP="005F3253">
      <w:pPr>
        <w:pStyle w:val="Spistreci1"/>
        <w:rPr>
          <w:rFonts w:asciiTheme="minorHAnsi" w:eastAsiaTheme="minorEastAsia" w:hAnsiTheme="minorHAnsi" w:cstheme="minorBidi"/>
          <w:sz w:val="22"/>
          <w:szCs w:val="22"/>
        </w:rPr>
      </w:pPr>
      <w:hyperlink w:anchor="_Toc474924991" w:history="1">
        <w:r w:rsidR="00B80F21" w:rsidRPr="00962D72">
          <w:rPr>
            <w:rStyle w:val="Hipercze"/>
          </w:rPr>
          <w:t>SPIS TABEL</w:t>
        </w:r>
        <w:r w:rsidR="00B80F21">
          <w:rPr>
            <w:webHidden/>
          </w:rPr>
          <w:tab/>
        </w:r>
        <w:r>
          <w:rPr>
            <w:webHidden/>
          </w:rPr>
          <w:fldChar w:fldCharType="begin"/>
        </w:r>
        <w:r w:rsidR="00B80F21">
          <w:rPr>
            <w:webHidden/>
          </w:rPr>
          <w:instrText xml:space="preserve"> PAGEREF _Toc474924991 \h </w:instrText>
        </w:r>
        <w:r>
          <w:rPr>
            <w:webHidden/>
          </w:rPr>
        </w:r>
        <w:r>
          <w:rPr>
            <w:webHidden/>
          </w:rPr>
          <w:fldChar w:fldCharType="separate"/>
        </w:r>
        <w:r w:rsidR="00413FFE">
          <w:rPr>
            <w:webHidden/>
          </w:rPr>
          <w:t>234</w:t>
        </w:r>
        <w:r>
          <w:rPr>
            <w:webHidden/>
          </w:rPr>
          <w:fldChar w:fldCharType="end"/>
        </w:r>
      </w:hyperlink>
    </w:p>
    <w:p w:rsidR="00B80F21" w:rsidRDefault="003972D8" w:rsidP="005F3253">
      <w:pPr>
        <w:pStyle w:val="Spistreci1"/>
        <w:rPr>
          <w:rFonts w:asciiTheme="minorHAnsi" w:eastAsiaTheme="minorEastAsia" w:hAnsiTheme="minorHAnsi" w:cstheme="minorBidi"/>
          <w:sz w:val="22"/>
          <w:szCs w:val="22"/>
        </w:rPr>
      </w:pPr>
      <w:hyperlink w:anchor="_Toc474924992" w:history="1">
        <w:r w:rsidR="00B80F21" w:rsidRPr="00962D72">
          <w:rPr>
            <w:rStyle w:val="Hipercze"/>
          </w:rPr>
          <w:t>SPIS WYKRESÓW</w:t>
        </w:r>
        <w:r w:rsidR="00B80F21">
          <w:rPr>
            <w:webHidden/>
          </w:rPr>
          <w:tab/>
        </w:r>
        <w:r>
          <w:rPr>
            <w:webHidden/>
          </w:rPr>
          <w:fldChar w:fldCharType="begin"/>
        </w:r>
        <w:r w:rsidR="00B80F21">
          <w:rPr>
            <w:webHidden/>
          </w:rPr>
          <w:instrText xml:space="preserve"> PAGEREF _Toc474924992 \h </w:instrText>
        </w:r>
        <w:r>
          <w:rPr>
            <w:webHidden/>
          </w:rPr>
        </w:r>
        <w:r>
          <w:rPr>
            <w:webHidden/>
          </w:rPr>
          <w:fldChar w:fldCharType="separate"/>
        </w:r>
        <w:r w:rsidR="00413FFE">
          <w:rPr>
            <w:webHidden/>
          </w:rPr>
          <w:t>235</w:t>
        </w:r>
        <w:r>
          <w:rPr>
            <w:webHidden/>
          </w:rPr>
          <w:fldChar w:fldCharType="end"/>
        </w:r>
      </w:hyperlink>
    </w:p>
    <w:p w:rsidR="00B80F21" w:rsidRDefault="003972D8" w:rsidP="005F3253">
      <w:pPr>
        <w:pStyle w:val="Spistreci1"/>
        <w:rPr>
          <w:rFonts w:asciiTheme="minorHAnsi" w:eastAsiaTheme="minorEastAsia" w:hAnsiTheme="minorHAnsi" w:cstheme="minorBidi"/>
          <w:sz w:val="22"/>
          <w:szCs w:val="22"/>
        </w:rPr>
      </w:pPr>
      <w:hyperlink w:anchor="_Toc474924993" w:history="1">
        <w:r w:rsidR="00B80F21" w:rsidRPr="00962D72">
          <w:rPr>
            <w:rStyle w:val="Hipercze"/>
          </w:rPr>
          <w:t>SPIS ZAŁĄCZNIKÓW</w:t>
        </w:r>
        <w:r w:rsidR="00B80F21">
          <w:rPr>
            <w:webHidden/>
          </w:rPr>
          <w:tab/>
        </w:r>
        <w:r>
          <w:rPr>
            <w:webHidden/>
          </w:rPr>
          <w:fldChar w:fldCharType="begin"/>
        </w:r>
        <w:r w:rsidR="00B80F21">
          <w:rPr>
            <w:webHidden/>
          </w:rPr>
          <w:instrText xml:space="preserve"> PAGEREF _Toc474924993 \h </w:instrText>
        </w:r>
        <w:r>
          <w:rPr>
            <w:webHidden/>
          </w:rPr>
        </w:r>
        <w:r>
          <w:rPr>
            <w:webHidden/>
          </w:rPr>
          <w:fldChar w:fldCharType="separate"/>
        </w:r>
        <w:r w:rsidR="00413FFE">
          <w:rPr>
            <w:webHidden/>
          </w:rPr>
          <w:t>235</w:t>
        </w:r>
        <w:r>
          <w:rPr>
            <w:webHidden/>
          </w:rPr>
          <w:fldChar w:fldCharType="end"/>
        </w:r>
      </w:hyperlink>
    </w:p>
    <w:p w:rsidR="005D555B" w:rsidRPr="00A34C02" w:rsidRDefault="003972D8" w:rsidP="00D4597F">
      <w:pPr>
        <w:spacing w:line="22" w:lineRule="atLeast"/>
        <w:rPr>
          <w:szCs w:val="20"/>
        </w:rPr>
      </w:pPr>
      <w:r w:rsidRPr="00A34C02">
        <w:rPr>
          <w:b/>
          <w:bCs/>
          <w:noProof/>
          <w:szCs w:val="20"/>
        </w:rPr>
        <w:fldChar w:fldCharType="end"/>
      </w:r>
    </w:p>
    <w:p w:rsidR="000C70A4" w:rsidRPr="00A34C02" w:rsidRDefault="000C70A4" w:rsidP="00D4597F">
      <w:pPr>
        <w:spacing w:line="22" w:lineRule="atLeast"/>
        <w:rPr>
          <w:rFonts w:cs="Calibri"/>
          <w:b/>
          <w:bCs/>
          <w:szCs w:val="20"/>
        </w:rPr>
      </w:pPr>
    </w:p>
    <w:p w:rsidR="00070E23" w:rsidRPr="00A34C02" w:rsidRDefault="00070E23" w:rsidP="00D4597F">
      <w:pPr>
        <w:spacing w:line="22" w:lineRule="atLeast"/>
        <w:rPr>
          <w:rFonts w:cs="Calibri"/>
          <w:b/>
          <w:bCs/>
          <w:szCs w:val="20"/>
        </w:rPr>
      </w:pPr>
    </w:p>
    <w:p w:rsidR="00845271" w:rsidRDefault="00845271">
      <w:pPr>
        <w:rPr>
          <w:rFonts w:ascii="Calibri" w:hAnsi="Calibri" w:cs="Calibri"/>
          <w:b/>
          <w:bCs/>
          <w:color w:val="000000"/>
          <w:sz w:val="22"/>
          <w:szCs w:val="22"/>
        </w:rPr>
      </w:pPr>
    </w:p>
    <w:p w:rsidR="00845271" w:rsidRPr="00845271" w:rsidRDefault="00845271" w:rsidP="00845271">
      <w:pPr>
        <w:rPr>
          <w:rFonts w:ascii="Calibri" w:hAnsi="Calibri" w:cs="Calibri"/>
          <w:sz w:val="22"/>
          <w:szCs w:val="22"/>
        </w:rPr>
      </w:pPr>
    </w:p>
    <w:p w:rsidR="00845271" w:rsidRPr="00845271" w:rsidRDefault="00845271" w:rsidP="00845271">
      <w:pPr>
        <w:rPr>
          <w:rFonts w:ascii="Calibri" w:hAnsi="Calibri" w:cs="Calibri"/>
          <w:sz w:val="22"/>
          <w:szCs w:val="22"/>
        </w:rPr>
      </w:pPr>
    </w:p>
    <w:p w:rsidR="00845271" w:rsidRPr="00845271" w:rsidRDefault="00845271" w:rsidP="00845271">
      <w:pPr>
        <w:rPr>
          <w:rFonts w:ascii="Calibri" w:hAnsi="Calibri" w:cs="Calibri"/>
          <w:sz w:val="22"/>
          <w:szCs w:val="22"/>
        </w:rPr>
      </w:pPr>
    </w:p>
    <w:p w:rsidR="00845271" w:rsidRDefault="00845271" w:rsidP="00845271">
      <w:pPr>
        <w:tabs>
          <w:tab w:val="left" w:pos="5670"/>
        </w:tabs>
        <w:rPr>
          <w:rFonts w:ascii="Calibri" w:hAnsi="Calibri" w:cs="Calibri"/>
          <w:sz w:val="22"/>
          <w:szCs w:val="22"/>
        </w:rPr>
      </w:pPr>
      <w:r>
        <w:rPr>
          <w:rFonts w:ascii="Calibri" w:hAnsi="Calibri" w:cs="Calibri"/>
          <w:sz w:val="22"/>
          <w:szCs w:val="22"/>
        </w:rPr>
        <w:tab/>
      </w:r>
    </w:p>
    <w:p w:rsidR="00845271" w:rsidRDefault="00845271" w:rsidP="00845271">
      <w:pPr>
        <w:rPr>
          <w:rFonts w:ascii="Calibri" w:hAnsi="Calibri" w:cs="Calibri"/>
          <w:sz w:val="22"/>
          <w:szCs w:val="22"/>
        </w:rPr>
      </w:pPr>
    </w:p>
    <w:p w:rsidR="00070E23" w:rsidRPr="00845271" w:rsidRDefault="00070E23" w:rsidP="00845271">
      <w:pPr>
        <w:rPr>
          <w:rFonts w:ascii="Calibri" w:hAnsi="Calibri" w:cs="Calibri"/>
          <w:sz w:val="22"/>
          <w:szCs w:val="22"/>
        </w:rPr>
        <w:sectPr w:rsidR="00070E23" w:rsidRPr="00845271" w:rsidSect="0055039E">
          <w:footnotePr>
            <w:pos w:val="beneathText"/>
          </w:footnotePr>
          <w:pgSz w:w="11906" w:h="16838"/>
          <w:pgMar w:top="1418" w:right="1418" w:bottom="1418" w:left="1418" w:header="708" w:footer="708" w:gutter="0"/>
          <w:cols w:space="708"/>
          <w:docGrid w:linePitch="600" w:charSpace="32768"/>
        </w:sectPr>
      </w:pPr>
    </w:p>
    <w:p w:rsidR="000C70A4" w:rsidRDefault="000C70A4" w:rsidP="00F756AE">
      <w:pPr>
        <w:pStyle w:val="Nagwek1"/>
        <w:numPr>
          <w:ilvl w:val="0"/>
          <w:numId w:val="92"/>
        </w:numPr>
        <w:spacing w:before="0"/>
        <w:ind w:left="357" w:hanging="357"/>
      </w:pPr>
      <w:bookmarkStart w:id="1" w:name="_Toc460173673"/>
      <w:bookmarkStart w:id="2" w:name="_Toc460313257"/>
      <w:bookmarkStart w:id="3" w:name="_Toc474924869"/>
      <w:r w:rsidRPr="00A47982">
        <w:lastRenderedPageBreak/>
        <w:t>WPROWADZENIE</w:t>
      </w:r>
      <w:bookmarkEnd w:id="1"/>
      <w:bookmarkEnd w:id="2"/>
      <w:bookmarkEnd w:id="3"/>
    </w:p>
    <w:p w:rsidR="00D2644C" w:rsidRPr="00D2644C" w:rsidRDefault="00D2644C" w:rsidP="003178C3">
      <w:pPr>
        <w:rPr>
          <w:sz w:val="22"/>
          <w:szCs w:val="22"/>
        </w:rPr>
      </w:pPr>
    </w:p>
    <w:p w:rsidR="001E11BD" w:rsidRDefault="001E11BD" w:rsidP="001E11BD">
      <w:pPr>
        <w:pStyle w:val="Tekstpodstawowy"/>
        <w:spacing w:after="0"/>
        <w:ind w:firstLine="708"/>
        <w:jc w:val="both"/>
        <w:rPr>
          <w:rFonts w:ascii="Calibri" w:hAnsi="Calibri"/>
        </w:rPr>
      </w:pPr>
      <w:r>
        <w:rPr>
          <w:rFonts w:ascii="Calibri" w:hAnsi="Calibri"/>
        </w:rPr>
        <w:t>Bytom zaliczany jest do najbardziej problemowych miast w Unii Europejskiej. Tym samym jest jednym z miast o największych potrzebach rewitalizacyjnych. W Krajowej Strategii Rozwoju Regionalnego 2010-2020 Bytom został wymieniony wśród Obszarów Strategicznej Interwencji (OSI) Państwa na rzecz restrukturyzacji oraz rewitalizacji miast tracących funkcje społeczno-gospodarcze, jako ośrodek odznaczający się bardzo dużym natężeniem problemów. Jednocześnie w Umowie Partnerstwa Bytom wskazany został, jako jeden z trzech przykładów (obok Łodzi i Wałbrzycha) miast o ogromnej skali kumulacji negatywnych zjawisk społeczno-ekonomicznych będących skutkiem transformacji systemowej.</w:t>
      </w:r>
    </w:p>
    <w:p w:rsidR="001E11BD" w:rsidRDefault="001E11BD" w:rsidP="001E11BD">
      <w:pPr>
        <w:pStyle w:val="Tekstpodstawowy"/>
        <w:spacing w:after="0"/>
        <w:ind w:firstLine="708"/>
        <w:jc w:val="both"/>
        <w:rPr>
          <w:rFonts w:ascii="Calibri" w:hAnsi="Calibri"/>
        </w:rPr>
      </w:pPr>
      <w:r>
        <w:rPr>
          <w:rFonts w:ascii="Calibri" w:hAnsi="Calibri"/>
        </w:rPr>
        <w:t xml:space="preserve">Wyzwania i bariery stojące przed Bytomiem mają naturę złożoną, gdyż dotykają niemal wszystkich sfer rozwoju miasta, tj. gospodarczej, społecznej, instytucjonalnej, przestrzennej, infrastrukturalnej i środowiskowej. </w:t>
      </w:r>
    </w:p>
    <w:p w:rsidR="001E11BD" w:rsidRDefault="001E11BD" w:rsidP="001E11BD">
      <w:pPr>
        <w:pStyle w:val="Tekstpodstawowy"/>
        <w:spacing w:after="0"/>
        <w:ind w:firstLine="708"/>
        <w:jc w:val="both"/>
        <w:rPr>
          <w:rFonts w:ascii="Calibri" w:hAnsi="Calibri"/>
        </w:rPr>
      </w:pPr>
      <w:r>
        <w:rPr>
          <w:rFonts w:ascii="Calibri" w:hAnsi="Calibri"/>
        </w:rPr>
        <w:t>W Bytomiu od wielu lat realizowa</w:t>
      </w:r>
      <w:r w:rsidR="00782985">
        <w:rPr>
          <w:rFonts w:ascii="Calibri" w:hAnsi="Calibri"/>
        </w:rPr>
        <w:t xml:space="preserve">ne są projekty rewitalizacyjne, które </w:t>
      </w:r>
      <w:r>
        <w:rPr>
          <w:rFonts w:ascii="Calibri" w:hAnsi="Calibri"/>
        </w:rPr>
        <w:t>prowadzone były w oparciu</w:t>
      </w:r>
      <w:r w:rsidR="00782985">
        <w:rPr>
          <w:rFonts w:ascii="Calibri" w:hAnsi="Calibri"/>
        </w:rPr>
        <w:t xml:space="preserve"> o </w:t>
      </w:r>
      <w:r>
        <w:rPr>
          <w:rFonts w:ascii="Calibri" w:hAnsi="Calibri"/>
        </w:rPr>
        <w:t>zapisy kolejnych programów rewitalizacji:</w:t>
      </w:r>
    </w:p>
    <w:p w:rsidR="001E11BD" w:rsidRDefault="001E11BD" w:rsidP="001E11BD">
      <w:pPr>
        <w:pStyle w:val="Tekstpodstawowy"/>
        <w:numPr>
          <w:ilvl w:val="0"/>
          <w:numId w:val="389"/>
        </w:numPr>
        <w:spacing w:after="0"/>
        <w:jc w:val="both"/>
        <w:rPr>
          <w:rFonts w:ascii="Calibri" w:hAnsi="Calibri"/>
        </w:rPr>
      </w:pPr>
      <w:r>
        <w:rPr>
          <w:rFonts w:ascii="Calibri" w:hAnsi="Calibri"/>
        </w:rPr>
        <w:t>Program Rewitalizacji Bytomia na lata 2007-2020; przyjęty uchwałą nr LV/798/09 Rady Miejskiej w Byto</w:t>
      </w:r>
      <w:r w:rsidR="008D0F71">
        <w:rPr>
          <w:rFonts w:ascii="Calibri" w:hAnsi="Calibri"/>
        </w:rPr>
        <w:t>miu z dnia 16 grudnia 2009 roku,</w:t>
      </w:r>
    </w:p>
    <w:p w:rsidR="001E11BD" w:rsidRDefault="001E11BD" w:rsidP="001E11BD">
      <w:pPr>
        <w:pStyle w:val="Tekstpodstawowy"/>
        <w:numPr>
          <w:ilvl w:val="0"/>
          <w:numId w:val="389"/>
        </w:numPr>
        <w:spacing w:after="0"/>
        <w:jc w:val="both"/>
        <w:rPr>
          <w:rFonts w:ascii="Calibri" w:hAnsi="Calibri"/>
        </w:rPr>
      </w:pPr>
      <w:r>
        <w:rPr>
          <w:rFonts w:ascii="Calibri" w:hAnsi="Calibri"/>
        </w:rPr>
        <w:t>Lokalny Program Rewitalizacji miasta Bytomia na lata 2007-2020, przyjęty uchwałą nr XX/262/07 Rady Miejskiej w Byto</w:t>
      </w:r>
      <w:r w:rsidR="008D0F71">
        <w:rPr>
          <w:rFonts w:ascii="Calibri" w:hAnsi="Calibri"/>
        </w:rPr>
        <w:t>miu z dnia 18 grudnia 2007 roku,</w:t>
      </w:r>
    </w:p>
    <w:p w:rsidR="001E11BD" w:rsidRDefault="001E11BD" w:rsidP="001E11BD">
      <w:pPr>
        <w:pStyle w:val="Tekstpodstawowy"/>
        <w:numPr>
          <w:ilvl w:val="0"/>
          <w:numId w:val="389"/>
        </w:numPr>
        <w:spacing w:after="0"/>
        <w:jc w:val="both"/>
        <w:rPr>
          <w:rFonts w:ascii="Calibri" w:hAnsi="Calibri"/>
        </w:rPr>
      </w:pPr>
      <w:r>
        <w:rPr>
          <w:rFonts w:ascii="Calibri" w:hAnsi="Calibri"/>
        </w:rPr>
        <w:t>Program Rewitalizacji społeczno-ekonomicznej wybranych obszarów miejskich i terenów poprzemysłowych dla Gminy Bytom na lata 2004-2015; przyjęty uchwałą XXVII/404/04 Rady Miejskiej w Bytomiu z dnia 23 czerwca 2004 roku.</w:t>
      </w:r>
    </w:p>
    <w:p w:rsidR="001E11BD" w:rsidRDefault="001E11BD" w:rsidP="001E11BD">
      <w:pPr>
        <w:pStyle w:val="Tekstpodstawowy"/>
        <w:spacing w:after="0"/>
        <w:jc w:val="both"/>
        <w:rPr>
          <w:rFonts w:ascii="Calibri" w:hAnsi="Calibri"/>
        </w:rPr>
      </w:pPr>
      <w:r>
        <w:rPr>
          <w:rFonts w:ascii="Calibri" w:hAnsi="Calibri"/>
        </w:rPr>
        <w:t>W latach 2004-2015 na obszarze miasta zrealizowano szereg projektów o charakterze rewitalizacyjnym, w tym m.in.:</w:t>
      </w:r>
    </w:p>
    <w:p w:rsidR="001E11BD" w:rsidRDefault="001E11BD" w:rsidP="001E11BD">
      <w:pPr>
        <w:pStyle w:val="Tekstpodstawowy"/>
        <w:numPr>
          <w:ilvl w:val="0"/>
          <w:numId w:val="389"/>
        </w:numPr>
        <w:spacing w:after="0"/>
        <w:jc w:val="both"/>
        <w:rPr>
          <w:rFonts w:ascii="Calibri" w:hAnsi="Calibri"/>
        </w:rPr>
      </w:pPr>
      <w:r>
        <w:rPr>
          <w:rFonts w:ascii="Calibri" w:hAnsi="Calibri"/>
        </w:rPr>
        <w:t>Rewitalizacja terenów po byłej KWK Rozbark – Etap I</w:t>
      </w:r>
      <w:r w:rsidR="008D0F71">
        <w:rPr>
          <w:rFonts w:ascii="Calibri" w:hAnsi="Calibri"/>
        </w:rPr>
        <w:t>,</w:t>
      </w:r>
    </w:p>
    <w:p w:rsidR="001E11BD" w:rsidRDefault="001E11BD" w:rsidP="001E11BD">
      <w:pPr>
        <w:pStyle w:val="Tekstpodstawowy"/>
        <w:numPr>
          <w:ilvl w:val="0"/>
          <w:numId w:val="389"/>
        </w:numPr>
        <w:spacing w:after="0"/>
        <w:jc w:val="both"/>
        <w:rPr>
          <w:rFonts w:ascii="Calibri" w:hAnsi="Calibri"/>
        </w:rPr>
      </w:pPr>
      <w:r>
        <w:rPr>
          <w:rFonts w:ascii="Calibri" w:hAnsi="Calibri"/>
        </w:rPr>
        <w:t>Przebudowa części administracyjno –</w:t>
      </w:r>
      <w:r w:rsidR="00782985">
        <w:rPr>
          <w:rFonts w:ascii="Calibri" w:hAnsi="Calibri"/>
        </w:rPr>
        <w:t xml:space="preserve"> </w:t>
      </w:r>
      <w:r>
        <w:rPr>
          <w:rFonts w:ascii="Calibri" w:hAnsi="Calibri"/>
        </w:rPr>
        <w:t>dydaktycznej nieużytkowanego obiektu byłego internatu Zespołu Szkół Technicznych w Bytomiu i jego adaptacja na Centrum Inicjatyw Społecznych,</w:t>
      </w:r>
    </w:p>
    <w:p w:rsidR="001E11BD" w:rsidRDefault="001E11BD" w:rsidP="001E11BD">
      <w:pPr>
        <w:pStyle w:val="Tekstpodstawowy"/>
        <w:numPr>
          <w:ilvl w:val="0"/>
          <w:numId w:val="389"/>
        </w:numPr>
        <w:spacing w:after="0"/>
        <w:jc w:val="both"/>
        <w:rPr>
          <w:rFonts w:ascii="Calibri" w:hAnsi="Calibri"/>
        </w:rPr>
      </w:pPr>
      <w:r>
        <w:rPr>
          <w:rFonts w:ascii="Calibri" w:hAnsi="Calibri"/>
        </w:rPr>
        <w:t>Przebudowa Budynku biurowego po dawnej KWK Powstańców Śląskich wraz z jego adaptacją na zakład aktywności zawodowej o profilu restauracyjnym. Projekt zrealizowany przez Bytomskie stowarzyszenie Pomocy Dzieci</w:t>
      </w:r>
      <w:r w:rsidR="008D0F71">
        <w:rPr>
          <w:rFonts w:ascii="Calibri" w:hAnsi="Calibri"/>
        </w:rPr>
        <w:t>om i Młodzieży Niepełnosprawnej,</w:t>
      </w:r>
    </w:p>
    <w:p w:rsidR="001E11BD" w:rsidRDefault="001E11BD" w:rsidP="001E11BD">
      <w:pPr>
        <w:pStyle w:val="Tekstpodstawowy"/>
        <w:numPr>
          <w:ilvl w:val="0"/>
          <w:numId w:val="389"/>
        </w:numPr>
        <w:spacing w:after="0"/>
        <w:jc w:val="both"/>
        <w:rPr>
          <w:rFonts w:ascii="Calibri" w:hAnsi="Calibri"/>
        </w:rPr>
      </w:pPr>
      <w:r>
        <w:rPr>
          <w:rFonts w:ascii="Calibri" w:hAnsi="Calibri"/>
        </w:rPr>
        <w:t>Rewitalizacja zaniedbanych przestrzeni miejskich poprzez utworzenie Kolorowych Podwórek w Bytomiu.</w:t>
      </w:r>
    </w:p>
    <w:p w:rsidR="001E11BD" w:rsidRDefault="001E11BD" w:rsidP="001E11BD">
      <w:pPr>
        <w:pStyle w:val="Tekstpodstawowy"/>
        <w:spacing w:after="0"/>
        <w:jc w:val="both"/>
        <w:rPr>
          <w:rFonts w:ascii="Calibri" w:hAnsi="Calibri"/>
        </w:rPr>
      </w:pPr>
      <w:r>
        <w:rPr>
          <w:rFonts w:ascii="Calibri" w:hAnsi="Calibri"/>
        </w:rPr>
        <w:t>W sumie zrealizowano 13 przedsięwzięć rewitalizacyjnych o łącznej wart</w:t>
      </w:r>
      <w:r w:rsidR="00782985">
        <w:rPr>
          <w:rFonts w:ascii="Calibri" w:hAnsi="Calibri"/>
        </w:rPr>
        <w:t>ości 67,5 mln zł (</w:t>
      </w:r>
      <w:r w:rsidR="006531EA">
        <w:rPr>
          <w:rFonts w:ascii="Calibri" w:hAnsi="Calibri"/>
        </w:rPr>
        <w:t>z czego 63,8</w:t>
      </w:r>
      <w:r>
        <w:rPr>
          <w:rFonts w:ascii="Calibri" w:hAnsi="Calibri"/>
        </w:rPr>
        <w:t>% stanowiły środki pozyskane z budżetu Unii Europejskiej</w:t>
      </w:r>
      <w:r w:rsidR="002B4F4D">
        <w:rPr>
          <w:rFonts w:ascii="Calibri" w:hAnsi="Calibri"/>
        </w:rPr>
        <w:t>)</w:t>
      </w:r>
      <w:r>
        <w:rPr>
          <w:rFonts w:ascii="Calibri" w:hAnsi="Calibri"/>
        </w:rPr>
        <w:t>.</w:t>
      </w:r>
    </w:p>
    <w:p w:rsidR="001D143D" w:rsidRPr="00581E59" w:rsidRDefault="001E11BD" w:rsidP="00463955">
      <w:pPr>
        <w:pStyle w:val="Tekstpodstawowy"/>
        <w:shd w:val="clear" w:color="auto" w:fill="F2F2F2" w:themeFill="background1" w:themeFillShade="F2"/>
        <w:spacing w:after="0"/>
        <w:ind w:firstLine="708"/>
        <w:jc w:val="both"/>
        <w:rPr>
          <w:rFonts w:ascii="Calibri" w:hAnsi="Calibri"/>
          <w:szCs w:val="20"/>
        </w:rPr>
      </w:pPr>
      <w:r w:rsidRPr="004F54F9">
        <w:rPr>
          <w:rFonts w:ascii="Calibri" w:hAnsi="Calibri"/>
          <w:shd w:val="clear" w:color="auto" w:fill="FFFFFF" w:themeFill="background1"/>
        </w:rPr>
        <w:t xml:space="preserve">Przedkładany dokument stanowi kontynuację dotychczas prowadzonego procesu rewitalizacji Bytomia. „Gminny Program Rewitalizacji. Bytom 2020+” został przygotowany w oparciu o zapisy Ustawy z dnia 9 października 2015 r. o rewitalizacji </w:t>
      </w:r>
      <w:r w:rsidRPr="004F54F9">
        <w:rPr>
          <w:rFonts w:ascii="Calibri" w:hAnsi="Calibri"/>
          <w:szCs w:val="20"/>
          <w:shd w:val="clear" w:color="auto" w:fill="FFFFFF" w:themeFill="background1"/>
        </w:rPr>
        <w:t>(Dz. U. z 2015 r. poz. 1777) oraz w zgodności z Wytycznymi Ministra Rozwoju „Wytyczne w zakresie rewitalizacji w programach operacyjnych na lata 2014-2020” z dnia 2 sierpnia 2016 r.</w:t>
      </w:r>
      <w:r w:rsidRPr="00D2587B">
        <w:rPr>
          <w:rFonts w:ascii="Calibri" w:hAnsi="Calibri"/>
          <w:color w:val="FF0000"/>
          <w:szCs w:val="20"/>
        </w:rPr>
        <w:t xml:space="preserve"> </w:t>
      </w:r>
      <w:r w:rsidR="001D143D" w:rsidRPr="00581E59">
        <w:rPr>
          <w:rFonts w:ascii="Calibri" w:hAnsi="Calibri"/>
          <w:szCs w:val="20"/>
        </w:rPr>
        <w:t xml:space="preserve">Przeprowadzono następujące aktualizacje programu: </w:t>
      </w:r>
    </w:p>
    <w:p w:rsidR="001D143D" w:rsidRPr="00581E59" w:rsidRDefault="001D143D" w:rsidP="00463955">
      <w:pPr>
        <w:pStyle w:val="Tekstpodstawowy"/>
        <w:numPr>
          <w:ilvl w:val="0"/>
          <w:numId w:val="815"/>
        </w:numPr>
        <w:shd w:val="clear" w:color="auto" w:fill="F2F2F2" w:themeFill="background1" w:themeFillShade="F2"/>
        <w:spacing w:after="0"/>
        <w:rPr>
          <w:rFonts w:ascii="Calibri" w:hAnsi="Calibri"/>
          <w:szCs w:val="20"/>
        </w:rPr>
      </w:pPr>
      <w:r w:rsidRPr="00581E59">
        <w:rPr>
          <w:rFonts w:ascii="Calibri" w:hAnsi="Calibri"/>
          <w:szCs w:val="20"/>
        </w:rPr>
        <w:t xml:space="preserve">uchwałą nr XVII/223/19 Rady Miejskiej w Bytomiu z 23 września 2019 r., </w:t>
      </w:r>
    </w:p>
    <w:p w:rsidR="001D143D" w:rsidRPr="00581E59" w:rsidRDefault="001D143D" w:rsidP="00463955">
      <w:pPr>
        <w:pStyle w:val="Tekstpodstawowy"/>
        <w:numPr>
          <w:ilvl w:val="0"/>
          <w:numId w:val="815"/>
        </w:numPr>
        <w:shd w:val="clear" w:color="auto" w:fill="F2F2F2" w:themeFill="background1" w:themeFillShade="F2"/>
        <w:spacing w:after="0"/>
        <w:rPr>
          <w:rFonts w:ascii="Calibri" w:hAnsi="Calibri"/>
          <w:szCs w:val="20"/>
        </w:rPr>
      </w:pPr>
      <w:r w:rsidRPr="00581E59">
        <w:rPr>
          <w:rFonts w:ascii="Calibri" w:hAnsi="Calibri"/>
          <w:szCs w:val="20"/>
        </w:rPr>
        <w:t>uchwałą nr XXVI/392/20 Rady Miejskiej w Bytomiu z 23 marca 2020 r.,</w:t>
      </w:r>
    </w:p>
    <w:p w:rsidR="001D143D" w:rsidRPr="00581E59" w:rsidRDefault="001D143D" w:rsidP="00463955">
      <w:pPr>
        <w:pStyle w:val="Tekstpodstawowy"/>
        <w:numPr>
          <w:ilvl w:val="0"/>
          <w:numId w:val="815"/>
        </w:numPr>
        <w:shd w:val="clear" w:color="auto" w:fill="F2F2F2" w:themeFill="background1" w:themeFillShade="F2"/>
        <w:spacing w:after="0"/>
        <w:rPr>
          <w:rFonts w:ascii="Calibri" w:hAnsi="Calibri"/>
          <w:szCs w:val="20"/>
        </w:rPr>
      </w:pPr>
      <w:r w:rsidRPr="00581E59">
        <w:rPr>
          <w:rFonts w:ascii="Calibri" w:hAnsi="Calibri"/>
          <w:szCs w:val="20"/>
        </w:rPr>
        <w:t xml:space="preserve">uchwałą nr XLV/618/21 Rady Miejskiej w Bytomiu z 26 lipca 2021 r., </w:t>
      </w:r>
    </w:p>
    <w:p w:rsidR="001D143D" w:rsidRPr="00581E59" w:rsidRDefault="001D143D" w:rsidP="00463955">
      <w:pPr>
        <w:pStyle w:val="Tekstpodstawowy"/>
        <w:numPr>
          <w:ilvl w:val="0"/>
          <w:numId w:val="815"/>
        </w:numPr>
        <w:shd w:val="clear" w:color="auto" w:fill="F2F2F2" w:themeFill="background1" w:themeFillShade="F2"/>
        <w:spacing w:after="0"/>
        <w:rPr>
          <w:rFonts w:ascii="Calibri" w:hAnsi="Calibri"/>
          <w:szCs w:val="20"/>
        </w:rPr>
      </w:pPr>
      <w:r w:rsidRPr="00581E59">
        <w:rPr>
          <w:rFonts w:ascii="Calibri" w:hAnsi="Calibri"/>
          <w:szCs w:val="20"/>
        </w:rPr>
        <w:t>uchwałą nr LXXXIV/1059/23 Rady Miejskiej w Bytomiu z 25 września 2023 r.</w:t>
      </w:r>
    </w:p>
    <w:p w:rsidR="001E11BD" w:rsidRPr="00581E59" w:rsidRDefault="001D143D" w:rsidP="00463955">
      <w:pPr>
        <w:pStyle w:val="Tekstpodstawowy"/>
        <w:shd w:val="clear" w:color="auto" w:fill="F2F2F2" w:themeFill="background1" w:themeFillShade="F2"/>
        <w:spacing w:after="0"/>
        <w:jc w:val="both"/>
        <w:rPr>
          <w:rFonts w:ascii="Calibri" w:hAnsi="Calibri"/>
          <w:szCs w:val="20"/>
        </w:rPr>
      </w:pPr>
      <w:r w:rsidRPr="00581E59">
        <w:rPr>
          <w:rFonts w:ascii="Calibri" w:hAnsi="Calibri"/>
          <w:szCs w:val="20"/>
        </w:rPr>
        <w:t xml:space="preserve">Rada Miejska w Bytomiu w dniu 15 marca 2024 r. podjęła uchwałę  nr XCI/1143/24 w sprawie przystąpienia do aktualizacji „Gminnego Programu Rewitalizacji. Bytom 2020+”. </w:t>
      </w:r>
    </w:p>
    <w:p w:rsidR="001D143D" w:rsidRPr="001D143D" w:rsidRDefault="001E11BD" w:rsidP="001D143D">
      <w:pPr>
        <w:pStyle w:val="Tekstpodstawowy"/>
        <w:ind w:firstLine="708"/>
        <w:jc w:val="both"/>
        <w:rPr>
          <w:rFonts w:ascii="Calibri" w:hAnsi="Calibri"/>
          <w:szCs w:val="20"/>
        </w:rPr>
      </w:pPr>
      <w:r>
        <w:rPr>
          <w:rFonts w:ascii="Calibri" w:hAnsi="Calibri"/>
        </w:rPr>
        <w:t xml:space="preserve">Podstawę prawną opracowania „Gminnego Programu Rewitalizacji. Bytom 2020+” stanowi Uchwała Rady Miejskiej w Bytomiu z dnia 26 kwietnia 2016r. nr XXIV/313/16 w sprawie przystąpienia do prac nad Gminnym Programem Rewitalizacji dla Bytomia, podjęta na podstawie art. 17 ust. 1 </w:t>
      </w:r>
      <w:r>
        <w:rPr>
          <w:rFonts w:ascii="Calibri" w:hAnsi="Calibri"/>
          <w:szCs w:val="20"/>
        </w:rPr>
        <w:t>ustawy z dnia 9 października 2015 o rewitalizacji (Dz. U. z 2015 r. poz. 1777).</w:t>
      </w:r>
      <w:r w:rsidR="001D143D" w:rsidRPr="001D143D">
        <w:rPr>
          <w:rFonts w:ascii="Calibri" w:eastAsiaTheme="minorHAnsi" w:hAnsi="Calibri" w:cs="Calibri"/>
          <w:sz w:val="22"/>
          <w:szCs w:val="22"/>
          <w:lang w:eastAsia="en-US"/>
        </w:rPr>
        <w:t xml:space="preserve"> </w:t>
      </w:r>
    </w:p>
    <w:p w:rsidR="001D143D" w:rsidRPr="001D143D" w:rsidRDefault="001D143D" w:rsidP="001D143D">
      <w:pPr>
        <w:pStyle w:val="Tekstpodstawowy"/>
        <w:spacing w:after="0"/>
        <w:ind w:firstLine="708"/>
        <w:rPr>
          <w:rFonts w:ascii="Calibri" w:hAnsi="Calibri"/>
          <w:szCs w:val="20"/>
        </w:rPr>
      </w:pPr>
    </w:p>
    <w:p w:rsidR="001E11BD" w:rsidRDefault="001E11BD" w:rsidP="001E11BD">
      <w:pPr>
        <w:pStyle w:val="Tekstpodstawowy"/>
        <w:spacing w:after="0"/>
        <w:ind w:firstLine="708"/>
        <w:jc w:val="both"/>
        <w:rPr>
          <w:rFonts w:ascii="Calibri" w:hAnsi="Calibri"/>
          <w:szCs w:val="20"/>
        </w:rPr>
      </w:pPr>
      <w:r>
        <w:rPr>
          <w:rFonts w:ascii="Calibri" w:hAnsi="Calibri"/>
          <w:szCs w:val="20"/>
        </w:rPr>
        <w:lastRenderedPageBreak/>
        <w:t>Program został opracowany dla obszaru rewitalizacji określonego Uchwałą nr XXIII/300/16 Rady Miejskie w Bytomiu z dnia 29 marca 2016 r., w sprawie wyznaczenia obszaru zdegradowanego i obszaru rewitalizacji miasta Bytom.</w:t>
      </w:r>
    </w:p>
    <w:p w:rsidR="001E11BD" w:rsidRDefault="001E11BD" w:rsidP="001E11BD">
      <w:pPr>
        <w:pStyle w:val="Tekstpodstawowy"/>
        <w:spacing w:after="0"/>
        <w:ind w:firstLine="708"/>
        <w:jc w:val="both"/>
        <w:rPr>
          <w:rFonts w:ascii="Calibri" w:hAnsi="Calibri"/>
          <w:szCs w:val="20"/>
        </w:rPr>
      </w:pPr>
      <w:r>
        <w:rPr>
          <w:rFonts w:ascii="Calibri" w:hAnsi="Calibri"/>
          <w:szCs w:val="20"/>
        </w:rPr>
        <w:t>Niniejs</w:t>
      </w:r>
      <w:r w:rsidR="00782985">
        <w:rPr>
          <w:rFonts w:ascii="Calibri" w:hAnsi="Calibri"/>
          <w:szCs w:val="20"/>
        </w:rPr>
        <w:t xml:space="preserve">zy dokument wychodzi naprzeciw </w:t>
      </w:r>
      <w:r>
        <w:rPr>
          <w:rFonts w:ascii="Calibri" w:hAnsi="Calibri"/>
          <w:szCs w:val="20"/>
        </w:rPr>
        <w:t xml:space="preserve">wyzwaniom nowej polityki Unii Europejskiej, zasadom krajowej polityki miejskiej oraz rewitalizacji. Duże znaczenie w nowym okresie programowania nabierają działania w zakresie polityki społecznej, których celem jest aktywizacja i odnowa społeczna. </w:t>
      </w:r>
    </w:p>
    <w:p w:rsidR="00D2644C" w:rsidRPr="00D2644C" w:rsidRDefault="00D2644C" w:rsidP="003178C3">
      <w:pPr>
        <w:rPr>
          <w:sz w:val="22"/>
          <w:szCs w:val="22"/>
        </w:rPr>
      </w:pPr>
    </w:p>
    <w:p w:rsidR="00A7779E" w:rsidRDefault="00A7779E">
      <w:pPr>
        <w:rPr>
          <w:rFonts w:ascii="Calibri" w:hAnsi="Calibri"/>
          <w:b/>
          <w:bCs/>
          <w:color w:val="3366FF"/>
          <w:sz w:val="28"/>
          <w:szCs w:val="28"/>
        </w:rPr>
      </w:pPr>
      <w:bookmarkStart w:id="4" w:name="_Toc460173674"/>
      <w:bookmarkStart w:id="5" w:name="_Toc460313258"/>
      <w:r>
        <w:br w:type="page"/>
      </w:r>
    </w:p>
    <w:p w:rsidR="000C70A4" w:rsidRPr="00B1011A" w:rsidRDefault="000C70A4" w:rsidP="006D5973">
      <w:pPr>
        <w:pStyle w:val="Nagwek2"/>
      </w:pPr>
      <w:bookmarkStart w:id="6" w:name="_Toc460313260"/>
      <w:bookmarkStart w:id="7" w:name="_Toc460173676"/>
      <w:bookmarkStart w:id="8" w:name="_Toc474924870"/>
      <w:bookmarkEnd w:id="4"/>
      <w:bookmarkEnd w:id="5"/>
      <w:r w:rsidRPr="00B1011A">
        <w:lastRenderedPageBreak/>
        <w:t>Bytom jako rewitalizowany ośrodek miejski w kontekście zapisów lokalnych, regionalnych i krajowych dokumentów strategicznych i</w:t>
      </w:r>
      <w:r w:rsidR="0013236B" w:rsidRPr="00B1011A">
        <w:t> </w:t>
      </w:r>
      <w:r w:rsidRPr="00B1011A">
        <w:t>programowych</w:t>
      </w:r>
      <w:bookmarkEnd w:id="6"/>
      <w:bookmarkEnd w:id="7"/>
      <w:bookmarkEnd w:id="8"/>
    </w:p>
    <w:p w:rsidR="009A0EE6" w:rsidRPr="00B1011A" w:rsidRDefault="009A0EE6" w:rsidP="009A0EE6"/>
    <w:p w:rsidR="00EA2314" w:rsidRPr="00B1011A" w:rsidRDefault="00EA2314" w:rsidP="003B3BFB">
      <w:pPr>
        <w:pStyle w:val="Akapitzlist"/>
        <w:keepNext/>
        <w:numPr>
          <w:ilvl w:val="0"/>
          <w:numId w:val="61"/>
        </w:numPr>
        <w:spacing w:before="240" w:after="60" w:line="240" w:lineRule="auto"/>
        <w:outlineLvl w:val="2"/>
        <w:rPr>
          <w:rFonts w:eastAsia="Times New Roman" w:cs="Calibri"/>
          <w:vanish/>
          <w:color w:val="3366FF"/>
          <w:sz w:val="26"/>
          <w:szCs w:val="26"/>
          <w:lang w:eastAsia="pl-PL"/>
        </w:rPr>
      </w:pPr>
      <w:bookmarkStart w:id="9" w:name="_Toc461695414"/>
      <w:bookmarkStart w:id="10" w:name="_Toc461695746"/>
      <w:bookmarkStart w:id="11" w:name="_Toc461695940"/>
      <w:bookmarkStart w:id="12" w:name="_Toc461696013"/>
      <w:bookmarkStart w:id="13" w:name="_Toc461696087"/>
      <w:bookmarkStart w:id="14" w:name="_Toc461696161"/>
      <w:bookmarkStart w:id="15" w:name="_Toc461696235"/>
      <w:bookmarkStart w:id="16" w:name="_Toc461696309"/>
      <w:bookmarkStart w:id="17" w:name="_Toc461696383"/>
      <w:bookmarkStart w:id="18" w:name="_Toc461696457"/>
      <w:bookmarkStart w:id="19" w:name="_Toc461696704"/>
      <w:bookmarkStart w:id="20" w:name="_Toc461696799"/>
      <w:bookmarkStart w:id="21" w:name="_Toc461698084"/>
      <w:bookmarkStart w:id="22" w:name="_Toc461698200"/>
      <w:bookmarkStart w:id="23" w:name="_Toc461698772"/>
      <w:bookmarkStart w:id="24" w:name="_Toc461698846"/>
      <w:bookmarkStart w:id="25" w:name="_Toc461698920"/>
      <w:bookmarkStart w:id="26" w:name="_Toc461698994"/>
      <w:bookmarkStart w:id="27" w:name="_Toc461699285"/>
      <w:bookmarkStart w:id="28" w:name="_Toc461699800"/>
      <w:bookmarkStart w:id="29" w:name="_Toc461701792"/>
      <w:bookmarkStart w:id="30" w:name="_Toc461702642"/>
      <w:bookmarkStart w:id="31" w:name="_Toc462750905"/>
      <w:bookmarkStart w:id="32" w:name="_Toc462832668"/>
      <w:bookmarkStart w:id="33" w:name="_Toc462832742"/>
      <w:bookmarkStart w:id="34" w:name="_Toc462832875"/>
      <w:bookmarkStart w:id="35" w:name="_Toc462833632"/>
      <w:bookmarkStart w:id="36" w:name="_Toc462921479"/>
      <w:bookmarkStart w:id="37" w:name="_Toc462921571"/>
      <w:bookmarkStart w:id="38" w:name="_Toc462922233"/>
      <w:bookmarkStart w:id="39" w:name="_Toc462922336"/>
      <w:bookmarkStart w:id="40" w:name="_Toc462922442"/>
      <w:bookmarkStart w:id="41" w:name="_Toc462922534"/>
      <w:bookmarkStart w:id="42" w:name="_Toc462923042"/>
      <w:bookmarkStart w:id="43" w:name="_Toc462923159"/>
      <w:bookmarkStart w:id="44" w:name="_Toc462923330"/>
      <w:bookmarkStart w:id="45" w:name="_Toc462923484"/>
      <w:bookmarkStart w:id="46" w:name="_Toc462999029"/>
      <w:bookmarkStart w:id="47" w:name="_Toc463000622"/>
      <w:bookmarkStart w:id="48" w:name="_Toc463006123"/>
      <w:bookmarkStart w:id="49" w:name="_Toc463243952"/>
      <w:bookmarkStart w:id="50" w:name="_Toc463252932"/>
      <w:bookmarkStart w:id="51" w:name="_Toc463253333"/>
      <w:bookmarkStart w:id="52" w:name="_Toc463253789"/>
      <w:bookmarkStart w:id="53" w:name="_Toc463253920"/>
      <w:bookmarkStart w:id="54" w:name="_Toc463254054"/>
      <w:bookmarkStart w:id="55" w:name="_Toc463254134"/>
      <w:bookmarkStart w:id="56" w:name="_Toc463254252"/>
      <w:bookmarkStart w:id="57" w:name="_Toc463254333"/>
      <w:bookmarkStart w:id="58" w:name="_Toc463254414"/>
      <w:bookmarkStart w:id="59" w:name="_Toc463255308"/>
      <w:bookmarkStart w:id="60" w:name="_Toc463263362"/>
      <w:bookmarkStart w:id="61" w:name="_Toc463273410"/>
      <w:bookmarkStart w:id="62" w:name="_Toc463276618"/>
      <w:bookmarkStart w:id="63" w:name="_Toc465068960"/>
      <w:bookmarkStart w:id="64" w:name="_Toc465078608"/>
      <w:bookmarkStart w:id="65" w:name="_Toc466025936"/>
      <w:bookmarkStart w:id="66" w:name="_Toc466906986"/>
      <w:bookmarkStart w:id="67" w:name="_Toc466907182"/>
      <w:bookmarkStart w:id="68" w:name="_Toc466907263"/>
      <w:bookmarkStart w:id="69" w:name="_Toc467659566"/>
      <w:bookmarkStart w:id="70" w:name="_Toc467659648"/>
      <w:bookmarkStart w:id="71" w:name="_Toc467663042"/>
      <w:bookmarkStart w:id="72" w:name="_Toc467663393"/>
      <w:bookmarkStart w:id="73" w:name="_Toc467665418"/>
      <w:bookmarkStart w:id="74" w:name="_Toc467665570"/>
      <w:bookmarkStart w:id="75" w:name="_Toc467669492"/>
      <w:bookmarkStart w:id="76" w:name="_Toc467831997"/>
      <w:bookmarkStart w:id="77" w:name="_Toc467832117"/>
      <w:bookmarkStart w:id="78" w:name="_Toc467834822"/>
      <w:bookmarkStart w:id="79" w:name="_Toc467843503"/>
      <w:bookmarkStart w:id="80" w:name="_Toc467845489"/>
      <w:bookmarkStart w:id="81" w:name="_Toc467847432"/>
      <w:bookmarkStart w:id="82" w:name="_Toc467847554"/>
      <w:bookmarkStart w:id="83" w:name="_Toc467847676"/>
      <w:bookmarkStart w:id="84" w:name="_Toc467847798"/>
      <w:bookmarkStart w:id="85" w:name="_Toc467847922"/>
      <w:bookmarkStart w:id="86" w:name="_Toc467848046"/>
      <w:bookmarkStart w:id="87" w:name="_Toc467848170"/>
      <w:bookmarkStart w:id="88" w:name="_Toc467848294"/>
      <w:bookmarkStart w:id="89" w:name="_Toc467848418"/>
      <w:bookmarkStart w:id="90" w:name="_Toc468097891"/>
      <w:bookmarkStart w:id="91" w:name="_Toc468098016"/>
      <w:bookmarkStart w:id="92" w:name="_Toc468104683"/>
      <w:bookmarkStart w:id="93" w:name="_Toc468104807"/>
      <w:bookmarkStart w:id="94" w:name="_Toc468104931"/>
      <w:bookmarkStart w:id="95" w:name="_Toc468105057"/>
      <w:bookmarkStart w:id="96" w:name="_Toc468105183"/>
      <w:bookmarkStart w:id="97" w:name="_Toc468105309"/>
      <w:bookmarkStart w:id="98" w:name="_Toc468105793"/>
      <w:bookmarkStart w:id="99" w:name="_Toc468105920"/>
      <w:bookmarkStart w:id="100" w:name="_Toc468116214"/>
      <w:bookmarkStart w:id="101" w:name="_Toc468178171"/>
      <w:bookmarkStart w:id="102" w:name="_Toc468181463"/>
      <w:bookmarkStart w:id="103" w:name="_Toc468181590"/>
      <w:bookmarkStart w:id="104" w:name="_Toc468181719"/>
      <w:bookmarkStart w:id="105" w:name="_Toc468181886"/>
      <w:bookmarkStart w:id="106" w:name="_Toc468185827"/>
      <w:bookmarkStart w:id="107" w:name="_Toc468190759"/>
      <w:bookmarkStart w:id="108" w:name="_Toc468190885"/>
      <w:bookmarkStart w:id="109" w:name="_Toc468191377"/>
      <w:bookmarkStart w:id="110" w:name="_Toc468258048"/>
      <w:bookmarkStart w:id="111" w:name="_Toc468258279"/>
      <w:bookmarkStart w:id="112" w:name="_Toc468258573"/>
      <w:bookmarkStart w:id="113" w:name="_Toc468258702"/>
      <w:bookmarkStart w:id="114" w:name="_Toc468258835"/>
      <w:bookmarkStart w:id="115" w:name="_Toc468258966"/>
      <w:bookmarkStart w:id="116" w:name="_Toc468259095"/>
      <w:bookmarkStart w:id="117" w:name="_Toc468259224"/>
      <w:bookmarkStart w:id="118" w:name="_Toc468259481"/>
      <w:bookmarkStart w:id="119" w:name="_Toc468259613"/>
      <w:bookmarkStart w:id="120" w:name="_Toc468259743"/>
      <w:bookmarkStart w:id="121" w:name="_Toc468259872"/>
      <w:bookmarkStart w:id="122" w:name="_Toc468260003"/>
      <w:bookmarkStart w:id="123" w:name="_Toc468260132"/>
      <w:bookmarkStart w:id="124" w:name="_Toc468260261"/>
      <w:bookmarkStart w:id="125" w:name="_Toc468260390"/>
      <w:bookmarkStart w:id="126" w:name="_Toc468260519"/>
      <w:bookmarkStart w:id="127" w:name="_Toc468260648"/>
      <w:bookmarkStart w:id="128" w:name="_Toc468260776"/>
      <w:bookmarkStart w:id="129" w:name="_Toc468260907"/>
      <w:bookmarkStart w:id="130" w:name="_Toc468261038"/>
      <w:bookmarkStart w:id="131" w:name="_Toc468261169"/>
      <w:bookmarkStart w:id="132" w:name="_Toc468261300"/>
      <w:bookmarkStart w:id="133" w:name="_Toc468261431"/>
      <w:bookmarkStart w:id="134" w:name="_Toc468266745"/>
      <w:bookmarkStart w:id="135" w:name="_Toc468266873"/>
      <w:bookmarkStart w:id="136" w:name="_Toc468267001"/>
      <w:bookmarkStart w:id="137" w:name="_Toc468269412"/>
      <w:bookmarkStart w:id="138" w:name="_Toc468279378"/>
      <w:bookmarkStart w:id="139" w:name="_Toc468360230"/>
      <w:bookmarkStart w:id="140" w:name="_Toc468361171"/>
      <w:bookmarkStart w:id="141" w:name="_Toc468363401"/>
      <w:bookmarkStart w:id="142" w:name="_Toc468366228"/>
      <w:bookmarkStart w:id="143" w:name="_Toc468428318"/>
      <w:bookmarkStart w:id="144" w:name="_Toc468691714"/>
      <w:bookmarkStart w:id="145" w:name="_Toc468691841"/>
      <w:bookmarkStart w:id="146" w:name="_Toc468691968"/>
      <w:bookmarkStart w:id="147" w:name="_Toc468693922"/>
      <w:bookmarkStart w:id="148" w:name="_Toc468712617"/>
      <w:bookmarkStart w:id="149" w:name="_Toc468712745"/>
      <w:bookmarkStart w:id="150" w:name="_Toc468712872"/>
      <w:bookmarkStart w:id="151" w:name="_Toc468712999"/>
      <w:bookmarkStart w:id="152" w:name="_Toc468713126"/>
      <w:bookmarkStart w:id="153" w:name="_Toc468713253"/>
      <w:bookmarkStart w:id="154" w:name="_Toc468713380"/>
      <w:bookmarkStart w:id="155" w:name="_Toc468713507"/>
      <w:bookmarkStart w:id="156" w:name="_Toc468713760"/>
      <w:bookmarkStart w:id="157" w:name="_Toc468713887"/>
      <w:bookmarkStart w:id="158" w:name="_Toc468714014"/>
      <w:bookmarkStart w:id="159" w:name="_Toc468787023"/>
      <w:bookmarkStart w:id="160" w:name="_Toc468787341"/>
      <w:bookmarkStart w:id="161" w:name="_Toc468787469"/>
      <w:bookmarkStart w:id="162" w:name="_Toc468787597"/>
      <w:bookmarkStart w:id="163" w:name="_Toc468787724"/>
      <w:bookmarkStart w:id="164" w:name="_Toc468787851"/>
      <w:bookmarkStart w:id="165" w:name="_Toc468787978"/>
      <w:bookmarkStart w:id="166" w:name="_Toc468957658"/>
      <w:bookmarkStart w:id="167" w:name="_Toc468957785"/>
      <w:bookmarkStart w:id="168" w:name="_Toc468957912"/>
      <w:bookmarkStart w:id="169" w:name="_Toc468958039"/>
      <w:bookmarkStart w:id="170" w:name="_Toc468958166"/>
      <w:bookmarkStart w:id="171" w:name="_Toc468958293"/>
      <w:bookmarkStart w:id="172" w:name="_Toc468958420"/>
      <w:bookmarkStart w:id="173" w:name="_Toc468958547"/>
      <w:bookmarkStart w:id="174" w:name="_Toc468958674"/>
      <w:bookmarkStart w:id="175" w:name="_Toc468958801"/>
      <w:bookmarkStart w:id="176" w:name="_Toc468958928"/>
      <w:bookmarkStart w:id="177" w:name="_Toc468959055"/>
      <w:bookmarkStart w:id="178" w:name="_Toc468960556"/>
      <w:bookmarkStart w:id="179" w:name="_Toc469035029"/>
      <w:bookmarkStart w:id="180" w:name="_Toc469056739"/>
      <w:bookmarkStart w:id="181" w:name="_Toc469321051"/>
      <w:bookmarkStart w:id="182" w:name="_Toc469323780"/>
      <w:bookmarkStart w:id="183" w:name="_Toc469323906"/>
      <w:bookmarkStart w:id="184" w:name="_Toc469324457"/>
      <w:bookmarkStart w:id="185" w:name="_Toc470695335"/>
      <w:bookmarkStart w:id="186" w:name="_Toc470695488"/>
      <w:bookmarkStart w:id="187" w:name="_Toc470696992"/>
      <w:bookmarkStart w:id="188" w:name="_Toc470699876"/>
      <w:bookmarkStart w:id="189" w:name="_Toc470762722"/>
      <w:bookmarkStart w:id="190" w:name="_Toc471114540"/>
      <w:bookmarkStart w:id="191" w:name="_Toc474392956"/>
      <w:bookmarkStart w:id="192" w:name="_Toc474497847"/>
      <w:bookmarkStart w:id="193" w:name="_Toc474498606"/>
      <w:bookmarkStart w:id="194" w:name="_Toc474844465"/>
      <w:bookmarkStart w:id="195" w:name="_Toc474844592"/>
      <w:bookmarkStart w:id="196" w:name="_Toc474919862"/>
      <w:bookmarkStart w:id="197" w:name="_Toc474924871"/>
      <w:bookmarkStart w:id="198" w:name="_Toc460173677"/>
      <w:bookmarkStart w:id="199" w:name="_Toc460313261"/>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p w:rsidR="00EA2314" w:rsidRPr="00B1011A" w:rsidRDefault="00EA2314" w:rsidP="003B3BFB">
      <w:pPr>
        <w:pStyle w:val="Akapitzlist"/>
        <w:keepNext/>
        <w:numPr>
          <w:ilvl w:val="1"/>
          <w:numId w:val="61"/>
        </w:numPr>
        <w:spacing w:before="240" w:after="60" w:line="240" w:lineRule="auto"/>
        <w:outlineLvl w:val="2"/>
        <w:rPr>
          <w:rFonts w:eastAsia="Times New Roman" w:cs="Calibri"/>
          <w:vanish/>
          <w:color w:val="3366FF"/>
          <w:sz w:val="26"/>
          <w:szCs w:val="26"/>
          <w:lang w:eastAsia="pl-PL"/>
        </w:rPr>
      </w:pPr>
      <w:bookmarkStart w:id="200" w:name="_Toc461695415"/>
      <w:bookmarkStart w:id="201" w:name="_Toc461695747"/>
      <w:bookmarkStart w:id="202" w:name="_Toc461695941"/>
      <w:bookmarkStart w:id="203" w:name="_Toc461696014"/>
      <w:bookmarkStart w:id="204" w:name="_Toc461696088"/>
      <w:bookmarkStart w:id="205" w:name="_Toc461696162"/>
      <w:bookmarkStart w:id="206" w:name="_Toc461696236"/>
      <w:bookmarkStart w:id="207" w:name="_Toc461696310"/>
      <w:bookmarkStart w:id="208" w:name="_Toc461696384"/>
      <w:bookmarkStart w:id="209" w:name="_Toc461696458"/>
      <w:bookmarkStart w:id="210" w:name="_Toc461696705"/>
      <w:bookmarkStart w:id="211" w:name="_Toc461696800"/>
      <w:bookmarkStart w:id="212" w:name="_Toc461698085"/>
      <w:bookmarkStart w:id="213" w:name="_Toc461698201"/>
      <w:bookmarkStart w:id="214" w:name="_Toc461698773"/>
      <w:bookmarkStart w:id="215" w:name="_Toc461698847"/>
      <w:bookmarkStart w:id="216" w:name="_Toc461698921"/>
      <w:bookmarkStart w:id="217" w:name="_Toc461698995"/>
      <w:bookmarkStart w:id="218" w:name="_Toc461699286"/>
      <w:bookmarkStart w:id="219" w:name="_Toc461699801"/>
      <w:bookmarkStart w:id="220" w:name="_Toc461701793"/>
      <w:bookmarkStart w:id="221" w:name="_Toc461702643"/>
      <w:bookmarkStart w:id="222" w:name="_Toc462750906"/>
      <w:bookmarkStart w:id="223" w:name="_Toc462832669"/>
      <w:bookmarkStart w:id="224" w:name="_Toc462832743"/>
      <w:bookmarkStart w:id="225" w:name="_Toc462832876"/>
      <w:bookmarkStart w:id="226" w:name="_Toc462833633"/>
      <w:bookmarkStart w:id="227" w:name="_Toc462921480"/>
      <w:bookmarkStart w:id="228" w:name="_Toc462921572"/>
      <w:bookmarkStart w:id="229" w:name="_Toc462922234"/>
      <w:bookmarkStart w:id="230" w:name="_Toc462922337"/>
      <w:bookmarkStart w:id="231" w:name="_Toc462922443"/>
      <w:bookmarkStart w:id="232" w:name="_Toc462922535"/>
      <w:bookmarkStart w:id="233" w:name="_Toc462923043"/>
      <w:bookmarkStart w:id="234" w:name="_Toc462923160"/>
      <w:bookmarkStart w:id="235" w:name="_Toc462923331"/>
      <w:bookmarkStart w:id="236" w:name="_Toc462923485"/>
      <w:bookmarkStart w:id="237" w:name="_Toc462999030"/>
      <w:bookmarkStart w:id="238" w:name="_Toc463000623"/>
      <w:bookmarkStart w:id="239" w:name="_Toc463006124"/>
      <w:bookmarkStart w:id="240" w:name="_Toc463243953"/>
      <w:bookmarkStart w:id="241" w:name="_Toc463252933"/>
      <w:bookmarkStart w:id="242" w:name="_Toc463253334"/>
      <w:bookmarkStart w:id="243" w:name="_Toc463253790"/>
      <w:bookmarkStart w:id="244" w:name="_Toc463253921"/>
      <w:bookmarkStart w:id="245" w:name="_Toc463254055"/>
      <w:bookmarkStart w:id="246" w:name="_Toc463254135"/>
      <w:bookmarkStart w:id="247" w:name="_Toc463254253"/>
      <w:bookmarkStart w:id="248" w:name="_Toc463254334"/>
      <w:bookmarkStart w:id="249" w:name="_Toc463254415"/>
      <w:bookmarkStart w:id="250" w:name="_Toc463255309"/>
      <w:bookmarkStart w:id="251" w:name="_Toc463263363"/>
      <w:bookmarkStart w:id="252" w:name="_Toc463273411"/>
      <w:bookmarkStart w:id="253" w:name="_Toc463276619"/>
      <w:bookmarkStart w:id="254" w:name="_Toc465068961"/>
      <w:bookmarkStart w:id="255" w:name="_Toc465078609"/>
      <w:bookmarkStart w:id="256" w:name="_Toc466025937"/>
      <w:bookmarkStart w:id="257" w:name="_Toc466906987"/>
      <w:bookmarkStart w:id="258" w:name="_Toc466907183"/>
      <w:bookmarkStart w:id="259" w:name="_Toc466907264"/>
      <w:bookmarkStart w:id="260" w:name="_Toc467659567"/>
      <w:bookmarkStart w:id="261" w:name="_Toc467659649"/>
      <w:bookmarkStart w:id="262" w:name="_Toc467663043"/>
      <w:bookmarkStart w:id="263" w:name="_Toc467663394"/>
      <w:bookmarkStart w:id="264" w:name="_Toc467665419"/>
      <w:bookmarkStart w:id="265" w:name="_Toc467665571"/>
      <w:bookmarkStart w:id="266" w:name="_Toc467669493"/>
      <w:bookmarkStart w:id="267" w:name="_Toc467831998"/>
      <w:bookmarkStart w:id="268" w:name="_Toc467832118"/>
      <w:bookmarkStart w:id="269" w:name="_Toc467834823"/>
      <w:bookmarkStart w:id="270" w:name="_Toc467843504"/>
      <w:bookmarkStart w:id="271" w:name="_Toc467845490"/>
      <w:bookmarkStart w:id="272" w:name="_Toc467847433"/>
      <w:bookmarkStart w:id="273" w:name="_Toc467847555"/>
      <w:bookmarkStart w:id="274" w:name="_Toc467847677"/>
      <w:bookmarkStart w:id="275" w:name="_Toc467847799"/>
      <w:bookmarkStart w:id="276" w:name="_Toc467847923"/>
      <w:bookmarkStart w:id="277" w:name="_Toc467848047"/>
      <w:bookmarkStart w:id="278" w:name="_Toc467848171"/>
      <w:bookmarkStart w:id="279" w:name="_Toc467848295"/>
      <w:bookmarkStart w:id="280" w:name="_Toc467848419"/>
      <w:bookmarkStart w:id="281" w:name="_Toc468097892"/>
      <w:bookmarkStart w:id="282" w:name="_Toc468098017"/>
      <w:bookmarkStart w:id="283" w:name="_Toc468104684"/>
      <w:bookmarkStart w:id="284" w:name="_Toc468104808"/>
      <w:bookmarkStart w:id="285" w:name="_Toc468104932"/>
      <w:bookmarkStart w:id="286" w:name="_Toc468105058"/>
      <w:bookmarkStart w:id="287" w:name="_Toc468105184"/>
      <w:bookmarkStart w:id="288" w:name="_Toc468105310"/>
      <w:bookmarkStart w:id="289" w:name="_Toc468105794"/>
      <w:bookmarkStart w:id="290" w:name="_Toc468105921"/>
      <w:bookmarkStart w:id="291" w:name="_Toc468116215"/>
      <w:bookmarkStart w:id="292" w:name="_Toc468178172"/>
      <w:bookmarkStart w:id="293" w:name="_Toc468181464"/>
      <w:bookmarkStart w:id="294" w:name="_Toc468181591"/>
      <w:bookmarkStart w:id="295" w:name="_Toc468181720"/>
      <w:bookmarkStart w:id="296" w:name="_Toc468181887"/>
      <w:bookmarkStart w:id="297" w:name="_Toc468185828"/>
      <w:bookmarkStart w:id="298" w:name="_Toc468190760"/>
      <w:bookmarkStart w:id="299" w:name="_Toc468190886"/>
      <w:bookmarkStart w:id="300" w:name="_Toc468191378"/>
      <w:bookmarkStart w:id="301" w:name="_Toc468258049"/>
      <w:bookmarkStart w:id="302" w:name="_Toc468258280"/>
      <w:bookmarkStart w:id="303" w:name="_Toc468258574"/>
      <w:bookmarkStart w:id="304" w:name="_Toc468258703"/>
      <w:bookmarkStart w:id="305" w:name="_Toc468258836"/>
      <w:bookmarkStart w:id="306" w:name="_Toc468258967"/>
      <w:bookmarkStart w:id="307" w:name="_Toc468259096"/>
      <w:bookmarkStart w:id="308" w:name="_Toc468259225"/>
      <w:bookmarkStart w:id="309" w:name="_Toc468259482"/>
      <w:bookmarkStart w:id="310" w:name="_Toc468259614"/>
      <w:bookmarkStart w:id="311" w:name="_Toc468259744"/>
      <w:bookmarkStart w:id="312" w:name="_Toc468259873"/>
      <w:bookmarkStart w:id="313" w:name="_Toc468260004"/>
      <w:bookmarkStart w:id="314" w:name="_Toc468260133"/>
      <w:bookmarkStart w:id="315" w:name="_Toc468260262"/>
      <w:bookmarkStart w:id="316" w:name="_Toc468260391"/>
      <w:bookmarkStart w:id="317" w:name="_Toc468260520"/>
      <w:bookmarkStart w:id="318" w:name="_Toc468260649"/>
      <w:bookmarkStart w:id="319" w:name="_Toc468260777"/>
      <w:bookmarkStart w:id="320" w:name="_Toc468260908"/>
      <w:bookmarkStart w:id="321" w:name="_Toc468261039"/>
      <w:bookmarkStart w:id="322" w:name="_Toc468261170"/>
      <w:bookmarkStart w:id="323" w:name="_Toc468261301"/>
      <w:bookmarkStart w:id="324" w:name="_Toc468261432"/>
      <w:bookmarkStart w:id="325" w:name="_Toc468266746"/>
      <w:bookmarkStart w:id="326" w:name="_Toc468266874"/>
      <w:bookmarkStart w:id="327" w:name="_Toc468267002"/>
      <w:bookmarkStart w:id="328" w:name="_Toc468269413"/>
      <w:bookmarkStart w:id="329" w:name="_Toc468279379"/>
      <w:bookmarkStart w:id="330" w:name="_Toc468360231"/>
      <w:bookmarkStart w:id="331" w:name="_Toc468361172"/>
      <w:bookmarkStart w:id="332" w:name="_Toc468363402"/>
      <w:bookmarkStart w:id="333" w:name="_Toc468366229"/>
      <w:bookmarkStart w:id="334" w:name="_Toc468428319"/>
      <w:bookmarkStart w:id="335" w:name="_Toc468691715"/>
      <w:bookmarkStart w:id="336" w:name="_Toc468691842"/>
      <w:bookmarkStart w:id="337" w:name="_Toc468691969"/>
      <w:bookmarkStart w:id="338" w:name="_Toc468693923"/>
      <w:bookmarkStart w:id="339" w:name="_Toc468712618"/>
      <w:bookmarkStart w:id="340" w:name="_Toc468712746"/>
      <w:bookmarkStart w:id="341" w:name="_Toc468712873"/>
      <w:bookmarkStart w:id="342" w:name="_Toc468713000"/>
      <w:bookmarkStart w:id="343" w:name="_Toc468713127"/>
      <w:bookmarkStart w:id="344" w:name="_Toc468713254"/>
      <w:bookmarkStart w:id="345" w:name="_Toc468713381"/>
      <w:bookmarkStart w:id="346" w:name="_Toc468713508"/>
      <w:bookmarkStart w:id="347" w:name="_Toc468713761"/>
      <w:bookmarkStart w:id="348" w:name="_Toc468713888"/>
      <w:bookmarkStart w:id="349" w:name="_Toc468714015"/>
      <w:bookmarkStart w:id="350" w:name="_Toc468787024"/>
      <w:bookmarkStart w:id="351" w:name="_Toc468787342"/>
      <w:bookmarkStart w:id="352" w:name="_Toc468787470"/>
      <w:bookmarkStart w:id="353" w:name="_Toc468787598"/>
      <w:bookmarkStart w:id="354" w:name="_Toc468787725"/>
      <w:bookmarkStart w:id="355" w:name="_Toc468787852"/>
      <w:bookmarkStart w:id="356" w:name="_Toc468787979"/>
      <w:bookmarkStart w:id="357" w:name="_Toc468957659"/>
      <w:bookmarkStart w:id="358" w:name="_Toc468957786"/>
      <w:bookmarkStart w:id="359" w:name="_Toc468957913"/>
      <w:bookmarkStart w:id="360" w:name="_Toc468958040"/>
      <w:bookmarkStart w:id="361" w:name="_Toc468958167"/>
      <w:bookmarkStart w:id="362" w:name="_Toc468958294"/>
      <w:bookmarkStart w:id="363" w:name="_Toc468958421"/>
      <w:bookmarkStart w:id="364" w:name="_Toc468958548"/>
      <w:bookmarkStart w:id="365" w:name="_Toc468958675"/>
      <w:bookmarkStart w:id="366" w:name="_Toc468958802"/>
      <w:bookmarkStart w:id="367" w:name="_Toc468958929"/>
      <w:bookmarkStart w:id="368" w:name="_Toc468959056"/>
      <w:bookmarkStart w:id="369" w:name="_Toc468960557"/>
      <w:bookmarkStart w:id="370" w:name="_Toc469035030"/>
      <w:bookmarkStart w:id="371" w:name="_Toc469056740"/>
      <w:bookmarkStart w:id="372" w:name="_Toc469321052"/>
      <w:bookmarkStart w:id="373" w:name="_Toc469323781"/>
      <w:bookmarkStart w:id="374" w:name="_Toc469323907"/>
      <w:bookmarkStart w:id="375" w:name="_Toc469324458"/>
      <w:bookmarkStart w:id="376" w:name="_Toc470695336"/>
      <w:bookmarkStart w:id="377" w:name="_Toc470695489"/>
      <w:bookmarkStart w:id="378" w:name="_Toc470696993"/>
      <w:bookmarkStart w:id="379" w:name="_Toc470699877"/>
      <w:bookmarkStart w:id="380" w:name="_Toc470762723"/>
      <w:bookmarkStart w:id="381" w:name="_Toc471114541"/>
      <w:bookmarkStart w:id="382" w:name="_Toc474392957"/>
      <w:bookmarkStart w:id="383" w:name="_Toc474497848"/>
      <w:bookmarkStart w:id="384" w:name="_Toc474498607"/>
      <w:bookmarkStart w:id="385" w:name="_Toc474844466"/>
      <w:bookmarkStart w:id="386" w:name="_Toc474844593"/>
      <w:bookmarkStart w:id="387" w:name="_Toc474919863"/>
      <w:bookmarkStart w:id="388" w:name="_Toc474924872"/>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p>
    <w:p w:rsidR="00EA2314" w:rsidRPr="00B1011A" w:rsidRDefault="00EA2314" w:rsidP="003B3BFB">
      <w:pPr>
        <w:pStyle w:val="Akapitzlist"/>
        <w:keepNext/>
        <w:numPr>
          <w:ilvl w:val="1"/>
          <w:numId w:val="61"/>
        </w:numPr>
        <w:spacing w:before="240" w:after="60" w:line="240" w:lineRule="auto"/>
        <w:outlineLvl w:val="2"/>
        <w:rPr>
          <w:rFonts w:eastAsia="Times New Roman" w:cs="Calibri"/>
          <w:vanish/>
          <w:color w:val="3366FF"/>
          <w:sz w:val="26"/>
          <w:szCs w:val="26"/>
          <w:lang w:eastAsia="pl-PL"/>
        </w:rPr>
      </w:pPr>
      <w:bookmarkStart w:id="389" w:name="_Toc461695416"/>
      <w:bookmarkStart w:id="390" w:name="_Toc461695748"/>
      <w:bookmarkStart w:id="391" w:name="_Toc461695942"/>
      <w:bookmarkStart w:id="392" w:name="_Toc461696015"/>
      <w:bookmarkStart w:id="393" w:name="_Toc461696089"/>
      <w:bookmarkStart w:id="394" w:name="_Toc461696163"/>
      <w:bookmarkStart w:id="395" w:name="_Toc461696237"/>
      <w:bookmarkStart w:id="396" w:name="_Toc461696311"/>
      <w:bookmarkStart w:id="397" w:name="_Toc461696385"/>
      <w:bookmarkStart w:id="398" w:name="_Toc461696459"/>
      <w:bookmarkStart w:id="399" w:name="_Toc461696706"/>
      <w:bookmarkStart w:id="400" w:name="_Toc461696801"/>
      <w:bookmarkStart w:id="401" w:name="_Toc461698086"/>
      <w:bookmarkStart w:id="402" w:name="_Toc461698202"/>
      <w:bookmarkStart w:id="403" w:name="_Toc461698774"/>
      <w:bookmarkStart w:id="404" w:name="_Toc461698848"/>
      <w:bookmarkStart w:id="405" w:name="_Toc461698922"/>
      <w:bookmarkStart w:id="406" w:name="_Toc461698996"/>
      <w:bookmarkStart w:id="407" w:name="_Toc461699287"/>
      <w:bookmarkStart w:id="408" w:name="_Toc461699802"/>
      <w:bookmarkStart w:id="409" w:name="_Toc461701794"/>
      <w:bookmarkStart w:id="410" w:name="_Toc461702644"/>
      <w:bookmarkStart w:id="411" w:name="_Toc462750907"/>
      <w:bookmarkStart w:id="412" w:name="_Toc462832670"/>
      <w:bookmarkStart w:id="413" w:name="_Toc462832744"/>
      <w:bookmarkStart w:id="414" w:name="_Toc462832877"/>
      <w:bookmarkStart w:id="415" w:name="_Toc462833634"/>
      <w:bookmarkStart w:id="416" w:name="_Toc462921481"/>
      <w:bookmarkStart w:id="417" w:name="_Toc462921573"/>
      <w:bookmarkStart w:id="418" w:name="_Toc462922235"/>
      <w:bookmarkStart w:id="419" w:name="_Toc462922338"/>
      <w:bookmarkStart w:id="420" w:name="_Toc462922444"/>
      <w:bookmarkStart w:id="421" w:name="_Toc462922536"/>
      <w:bookmarkStart w:id="422" w:name="_Toc462923044"/>
      <w:bookmarkStart w:id="423" w:name="_Toc462923161"/>
      <w:bookmarkStart w:id="424" w:name="_Toc462923332"/>
      <w:bookmarkStart w:id="425" w:name="_Toc462923486"/>
      <w:bookmarkStart w:id="426" w:name="_Toc462999031"/>
      <w:bookmarkStart w:id="427" w:name="_Toc463000624"/>
      <w:bookmarkStart w:id="428" w:name="_Toc463006125"/>
      <w:bookmarkStart w:id="429" w:name="_Toc463243954"/>
      <w:bookmarkStart w:id="430" w:name="_Toc463252934"/>
      <w:bookmarkStart w:id="431" w:name="_Toc463253335"/>
      <w:bookmarkStart w:id="432" w:name="_Toc463253791"/>
      <w:bookmarkStart w:id="433" w:name="_Toc463253922"/>
      <w:bookmarkStart w:id="434" w:name="_Toc463254056"/>
      <w:bookmarkStart w:id="435" w:name="_Toc463254136"/>
      <w:bookmarkStart w:id="436" w:name="_Toc463254254"/>
      <w:bookmarkStart w:id="437" w:name="_Toc463254335"/>
      <w:bookmarkStart w:id="438" w:name="_Toc463254416"/>
      <w:bookmarkStart w:id="439" w:name="_Toc463255310"/>
      <w:bookmarkStart w:id="440" w:name="_Toc463263364"/>
      <w:bookmarkStart w:id="441" w:name="_Toc463273412"/>
      <w:bookmarkStart w:id="442" w:name="_Toc463276620"/>
      <w:bookmarkStart w:id="443" w:name="_Toc465068962"/>
      <w:bookmarkStart w:id="444" w:name="_Toc465078610"/>
      <w:bookmarkStart w:id="445" w:name="_Toc466025938"/>
      <w:bookmarkStart w:id="446" w:name="_Toc466906988"/>
      <w:bookmarkStart w:id="447" w:name="_Toc466907184"/>
      <w:bookmarkStart w:id="448" w:name="_Toc466907265"/>
      <w:bookmarkStart w:id="449" w:name="_Toc467659568"/>
      <w:bookmarkStart w:id="450" w:name="_Toc467659650"/>
      <w:bookmarkStart w:id="451" w:name="_Toc467663044"/>
      <w:bookmarkStart w:id="452" w:name="_Toc467663395"/>
      <w:bookmarkStart w:id="453" w:name="_Toc467665420"/>
      <w:bookmarkStart w:id="454" w:name="_Toc467665572"/>
      <w:bookmarkStart w:id="455" w:name="_Toc467669494"/>
      <w:bookmarkStart w:id="456" w:name="_Toc467831999"/>
      <w:bookmarkStart w:id="457" w:name="_Toc467832119"/>
      <w:bookmarkStart w:id="458" w:name="_Toc467834824"/>
      <w:bookmarkStart w:id="459" w:name="_Toc467843505"/>
      <w:bookmarkStart w:id="460" w:name="_Toc467845491"/>
      <w:bookmarkStart w:id="461" w:name="_Toc467847434"/>
      <w:bookmarkStart w:id="462" w:name="_Toc467847556"/>
      <w:bookmarkStart w:id="463" w:name="_Toc467847678"/>
      <w:bookmarkStart w:id="464" w:name="_Toc467847800"/>
      <w:bookmarkStart w:id="465" w:name="_Toc467847924"/>
      <w:bookmarkStart w:id="466" w:name="_Toc467848048"/>
      <w:bookmarkStart w:id="467" w:name="_Toc467848172"/>
      <w:bookmarkStart w:id="468" w:name="_Toc467848296"/>
      <w:bookmarkStart w:id="469" w:name="_Toc467848420"/>
      <w:bookmarkStart w:id="470" w:name="_Toc468097893"/>
      <w:bookmarkStart w:id="471" w:name="_Toc468098018"/>
      <w:bookmarkStart w:id="472" w:name="_Toc468104685"/>
      <w:bookmarkStart w:id="473" w:name="_Toc468104809"/>
      <w:bookmarkStart w:id="474" w:name="_Toc468104933"/>
      <w:bookmarkStart w:id="475" w:name="_Toc468105059"/>
      <w:bookmarkStart w:id="476" w:name="_Toc468105185"/>
      <w:bookmarkStart w:id="477" w:name="_Toc468105311"/>
      <w:bookmarkStart w:id="478" w:name="_Toc468105795"/>
      <w:bookmarkStart w:id="479" w:name="_Toc468105922"/>
      <w:bookmarkStart w:id="480" w:name="_Toc468116216"/>
      <w:bookmarkStart w:id="481" w:name="_Toc468178173"/>
      <w:bookmarkStart w:id="482" w:name="_Toc468181465"/>
      <w:bookmarkStart w:id="483" w:name="_Toc468181592"/>
      <w:bookmarkStart w:id="484" w:name="_Toc468181721"/>
      <w:bookmarkStart w:id="485" w:name="_Toc468181888"/>
      <w:bookmarkStart w:id="486" w:name="_Toc468185829"/>
      <w:bookmarkStart w:id="487" w:name="_Toc468190761"/>
      <w:bookmarkStart w:id="488" w:name="_Toc468190887"/>
      <w:bookmarkStart w:id="489" w:name="_Toc468191379"/>
      <w:bookmarkStart w:id="490" w:name="_Toc468258050"/>
      <w:bookmarkStart w:id="491" w:name="_Toc468258281"/>
      <w:bookmarkStart w:id="492" w:name="_Toc468258575"/>
      <w:bookmarkStart w:id="493" w:name="_Toc468258704"/>
      <w:bookmarkStart w:id="494" w:name="_Toc468258837"/>
      <w:bookmarkStart w:id="495" w:name="_Toc468258968"/>
      <w:bookmarkStart w:id="496" w:name="_Toc468259097"/>
      <w:bookmarkStart w:id="497" w:name="_Toc468259226"/>
      <w:bookmarkStart w:id="498" w:name="_Toc468259483"/>
      <w:bookmarkStart w:id="499" w:name="_Toc468259615"/>
      <w:bookmarkStart w:id="500" w:name="_Toc468259745"/>
      <w:bookmarkStart w:id="501" w:name="_Toc468259874"/>
      <w:bookmarkStart w:id="502" w:name="_Toc468260005"/>
      <w:bookmarkStart w:id="503" w:name="_Toc468260134"/>
      <w:bookmarkStart w:id="504" w:name="_Toc468260263"/>
      <w:bookmarkStart w:id="505" w:name="_Toc468260392"/>
      <w:bookmarkStart w:id="506" w:name="_Toc468260521"/>
      <w:bookmarkStart w:id="507" w:name="_Toc468260650"/>
      <w:bookmarkStart w:id="508" w:name="_Toc468260778"/>
      <w:bookmarkStart w:id="509" w:name="_Toc468260909"/>
      <w:bookmarkStart w:id="510" w:name="_Toc468261040"/>
      <w:bookmarkStart w:id="511" w:name="_Toc468261171"/>
      <w:bookmarkStart w:id="512" w:name="_Toc468261302"/>
      <w:bookmarkStart w:id="513" w:name="_Toc468261433"/>
      <w:bookmarkStart w:id="514" w:name="_Toc468266747"/>
      <w:bookmarkStart w:id="515" w:name="_Toc468266875"/>
      <w:bookmarkStart w:id="516" w:name="_Toc468267003"/>
      <w:bookmarkStart w:id="517" w:name="_Toc468269414"/>
      <w:bookmarkStart w:id="518" w:name="_Toc468279380"/>
      <w:bookmarkStart w:id="519" w:name="_Toc468360232"/>
      <w:bookmarkStart w:id="520" w:name="_Toc468361173"/>
      <w:bookmarkStart w:id="521" w:name="_Toc468363403"/>
      <w:bookmarkStart w:id="522" w:name="_Toc468366230"/>
      <w:bookmarkStart w:id="523" w:name="_Toc468428320"/>
      <w:bookmarkStart w:id="524" w:name="_Toc468691716"/>
      <w:bookmarkStart w:id="525" w:name="_Toc468691843"/>
      <w:bookmarkStart w:id="526" w:name="_Toc468691970"/>
      <w:bookmarkStart w:id="527" w:name="_Toc468693924"/>
      <w:bookmarkStart w:id="528" w:name="_Toc468712619"/>
      <w:bookmarkStart w:id="529" w:name="_Toc468712747"/>
      <w:bookmarkStart w:id="530" w:name="_Toc468712874"/>
      <w:bookmarkStart w:id="531" w:name="_Toc468713001"/>
      <w:bookmarkStart w:id="532" w:name="_Toc468713128"/>
      <w:bookmarkStart w:id="533" w:name="_Toc468713255"/>
      <w:bookmarkStart w:id="534" w:name="_Toc468713382"/>
      <w:bookmarkStart w:id="535" w:name="_Toc468713509"/>
      <w:bookmarkStart w:id="536" w:name="_Toc468713762"/>
      <w:bookmarkStart w:id="537" w:name="_Toc468713889"/>
      <w:bookmarkStart w:id="538" w:name="_Toc468714016"/>
      <w:bookmarkStart w:id="539" w:name="_Toc468787025"/>
      <w:bookmarkStart w:id="540" w:name="_Toc468787343"/>
      <w:bookmarkStart w:id="541" w:name="_Toc468787471"/>
      <w:bookmarkStart w:id="542" w:name="_Toc468787599"/>
      <w:bookmarkStart w:id="543" w:name="_Toc468787726"/>
      <w:bookmarkStart w:id="544" w:name="_Toc468787853"/>
      <w:bookmarkStart w:id="545" w:name="_Toc468787980"/>
      <w:bookmarkStart w:id="546" w:name="_Toc468957660"/>
      <w:bookmarkStart w:id="547" w:name="_Toc468957787"/>
      <w:bookmarkStart w:id="548" w:name="_Toc468957914"/>
      <w:bookmarkStart w:id="549" w:name="_Toc468958041"/>
      <w:bookmarkStart w:id="550" w:name="_Toc468958168"/>
      <w:bookmarkStart w:id="551" w:name="_Toc468958295"/>
      <w:bookmarkStart w:id="552" w:name="_Toc468958422"/>
      <w:bookmarkStart w:id="553" w:name="_Toc468958549"/>
      <w:bookmarkStart w:id="554" w:name="_Toc468958676"/>
      <w:bookmarkStart w:id="555" w:name="_Toc468958803"/>
      <w:bookmarkStart w:id="556" w:name="_Toc468958930"/>
      <w:bookmarkStart w:id="557" w:name="_Toc468959057"/>
      <w:bookmarkStart w:id="558" w:name="_Toc468960558"/>
      <w:bookmarkStart w:id="559" w:name="_Toc469035031"/>
      <w:bookmarkStart w:id="560" w:name="_Toc469056741"/>
      <w:bookmarkStart w:id="561" w:name="_Toc469321053"/>
      <w:bookmarkStart w:id="562" w:name="_Toc469323782"/>
      <w:bookmarkStart w:id="563" w:name="_Toc469323908"/>
      <w:bookmarkStart w:id="564" w:name="_Toc469324459"/>
      <w:bookmarkStart w:id="565" w:name="_Toc470695337"/>
      <w:bookmarkStart w:id="566" w:name="_Toc470695490"/>
      <w:bookmarkStart w:id="567" w:name="_Toc470696994"/>
      <w:bookmarkStart w:id="568" w:name="_Toc470699878"/>
      <w:bookmarkStart w:id="569" w:name="_Toc470762724"/>
      <w:bookmarkStart w:id="570" w:name="_Toc471114542"/>
      <w:bookmarkStart w:id="571" w:name="_Toc474392958"/>
      <w:bookmarkStart w:id="572" w:name="_Toc474497849"/>
      <w:bookmarkStart w:id="573" w:name="_Toc474498608"/>
      <w:bookmarkStart w:id="574" w:name="_Toc474844467"/>
      <w:bookmarkStart w:id="575" w:name="_Toc474844594"/>
      <w:bookmarkStart w:id="576" w:name="_Toc474919864"/>
      <w:bookmarkStart w:id="577" w:name="_Toc474924873"/>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p>
    <w:p w:rsidR="00035710" w:rsidRPr="00B1011A" w:rsidRDefault="00035710" w:rsidP="003B3BFB">
      <w:pPr>
        <w:pStyle w:val="Akapitzlist"/>
        <w:keepNext/>
        <w:numPr>
          <w:ilvl w:val="0"/>
          <w:numId w:val="62"/>
        </w:numPr>
        <w:spacing w:before="240" w:after="60" w:line="240" w:lineRule="auto"/>
        <w:outlineLvl w:val="2"/>
        <w:rPr>
          <w:rFonts w:eastAsia="Times New Roman" w:cs="Calibri"/>
          <w:b/>
          <w:bCs/>
          <w:vanish/>
          <w:color w:val="3366FF"/>
          <w:sz w:val="26"/>
          <w:szCs w:val="26"/>
          <w:lang w:eastAsia="pl-PL"/>
        </w:rPr>
      </w:pPr>
      <w:bookmarkStart w:id="578" w:name="_Toc462999032"/>
      <w:bookmarkStart w:id="579" w:name="_Toc463000625"/>
      <w:bookmarkStart w:id="580" w:name="_Toc463006126"/>
      <w:bookmarkStart w:id="581" w:name="_Toc463243955"/>
      <w:bookmarkStart w:id="582" w:name="_Toc463252935"/>
      <w:bookmarkStart w:id="583" w:name="_Toc463253336"/>
      <w:bookmarkStart w:id="584" w:name="_Toc463253792"/>
      <w:bookmarkStart w:id="585" w:name="_Toc463253923"/>
      <w:bookmarkStart w:id="586" w:name="_Toc463254057"/>
      <w:bookmarkStart w:id="587" w:name="_Toc463254137"/>
      <w:bookmarkStart w:id="588" w:name="_Toc463254255"/>
      <w:bookmarkStart w:id="589" w:name="_Toc463254336"/>
      <w:bookmarkStart w:id="590" w:name="_Toc463254417"/>
      <w:bookmarkStart w:id="591" w:name="_Toc463255311"/>
      <w:bookmarkStart w:id="592" w:name="_Toc463263365"/>
      <w:bookmarkStart w:id="593" w:name="_Toc463273413"/>
      <w:bookmarkStart w:id="594" w:name="_Toc463276621"/>
      <w:bookmarkStart w:id="595" w:name="_Toc465068963"/>
      <w:bookmarkStart w:id="596" w:name="_Toc465078611"/>
      <w:bookmarkStart w:id="597" w:name="_Toc466025939"/>
      <w:bookmarkStart w:id="598" w:name="_Toc466906989"/>
      <w:bookmarkStart w:id="599" w:name="_Toc466907185"/>
      <w:bookmarkStart w:id="600" w:name="_Toc466907266"/>
      <w:bookmarkStart w:id="601" w:name="_Toc467659569"/>
      <w:bookmarkStart w:id="602" w:name="_Toc467659651"/>
      <w:bookmarkStart w:id="603" w:name="_Toc467663045"/>
      <w:bookmarkStart w:id="604" w:name="_Toc467663396"/>
      <w:bookmarkStart w:id="605" w:name="_Toc467665421"/>
      <w:bookmarkStart w:id="606" w:name="_Toc467665573"/>
      <w:bookmarkStart w:id="607" w:name="_Toc467669495"/>
      <w:bookmarkStart w:id="608" w:name="_Toc467832000"/>
      <w:bookmarkStart w:id="609" w:name="_Toc467832120"/>
      <w:bookmarkStart w:id="610" w:name="_Toc467834825"/>
      <w:bookmarkStart w:id="611" w:name="_Toc467843506"/>
      <w:bookmarkStart w:id="612" w:name="_Toc467845492"/>
      <w:bookmarkStart w:id="613" w:name="_Toc467847435"/>
      <w:bookmarkStart w:id="614" w:name="_Toc467847557"/>
      <w:bookmarkStart w:id="615" w:name="_Toc467847679"/>
      <w:bookmarkStart w:id="616" w:name="_Toc467847801"/>
      <w:bookmarkStart w:id="617" w:name="_Toc467847925"/>
      <w:bookmarkStart w:id="618" w:name="_Toc467848049"/>
      <w:bookmarkStart w:id="619" w:name="_Toc467848173"/>
      <w:bookmarkStart w:id="620" w:name="_Toc467848297"/>
      <w:bookmarkStart w:id="621" w:name="_Toc467848421"/>
      <w:bookmarkStart w:id="622" w:name="_Toc468097894"/>
      <w:bookmarkStart w:id="623" w:name="_Toc468098019"/>
      <w:bookmarkStart w:id="624" w:name="_Toc468104686"/>
      <w:bookmarkStart w:id="625" w:name="_Toc468104810"/>
      <w:bookmarkStart w:id="626" w:name="_Toc468104934"/>
      <w:bookmarkStart w:id="627" w:name="_Toc468105060"/>
      <w:bookmarkStart w:id="628" w:name="_Toc468105186"/>
      <w:bookmarkStart w:id="629" w:name="_Toc468105312"/>
      <w:bookmarkStart w:id="630" w:name="_Toc468105796"/>
      <w:bookmarkStart w:id="631" w:name="_Toc468105923"/>
      <w:bookmarkStart w:id="632" w:name="_Toc468116217"/>
      <w:bookmarkStart w:id="633" w:name="_Toc468178174"/>
      <w:bookmarkStart w:id="634" w:name="_Toc468181466"/>
      <w:bookmarkStart w:id="635" w:name="_Toc468181593"/>
      <w:bookmarkStart w:id="636" w:name="_Toc468181722"/>
      <w:bookmarkStart w:id="637" w:name="_Toc468181889"/>
      <w:bookmarkStart w:id="638" w:name="_Toc468185830"/>
      <w:bookmarkStart w:id="639" w:name="_Toc468190762"/>
      <w:bookmarkStart w:id="640" w:name="_Toc468190888"/>
      <w:bookmarkStart w:id="641" w:name="_Toc468191380"/>
      <w:bookmarkStart w:id="642" w:name="_Toc468258051"/>
      <w:bookmarkStart w:id="643" w:name="_Toc468258282"/>
      <w:bookmarkStart w:id="644" w:name="_Toc468258576"/>
      <w:bookmarkStart w:id="645" w:name="_Toc468258705"/>
      <w:bookmarkStart w:id="646" w:name="_Toc468258838"/>
      <w:bookmarkStart w:id="647" w:name="_Toc468258969"/>
      <w:bookmarkStart w:id="648" w:name="_Toc468259098"/>
      <w:bookmarkStart w:id="649" w:name="_Toc468259227"/>
      <w:bookmarkStart w:id="650" w:name="_Toc468259484"/>
      <w:bookmarkStart w:id="651" w:name="_Toc468259616"/>
      <w:bookmarkStart w:id="652" w:name="_Toc468259746"/>
      <w:bookmarkStart w:id="653" w:name="_Toc468259875"/>
      <w:bookmarkStart w:id="654" w:name="_Toc468260006"/>
      <w:bookmarkStart w:id="655" w:name="_Toc468260135"/>
      <w:bookmarkStart w:id="656" w:name="_Toc468260264"/>
      <w:bookmarkStart w:id="657" w:name="_Toc468260393"/>
      <w:bookmarkStart w:id="658" w:name="_Toc468260522"/>
      <w:bookmarkStart w:id="659" w:name="_Toc468260651"/>
      <w:bookmarkStart w:id="660" w:name="_Toc468260779"/>
      <w:bookmarkStart w:id="661" w:name="_Toc468260910"/>
      <w:bookmarkStart w:id="662" w:name="_Toc468261041"/>
      <w:bookmarkStart w:id="663" w:name="_Toc468261172"/>
      <w:bookmarkStart w:id="664" w:name="_Toc468261303"/>
      <w:bookmarkStart w:id="665" w:name="_Toc468261434"/>
      <w:bookmarkStart w:id="666" w:name="_Toc468266748"/>
      <w:bookmarkStart w:id="667" w:name="_Toc468266876"/>
      <w:bookmarkStart w:id="668" w:name="_Toc468267004"/>
      <w:bookmarkStart w:id="669" w:name="_Toc468269415"/>
      <w:bookmarkStart w:id="670" w:name="_Toc468279381"/>
      <w:bookmarkStart w:id="671" w:name="_Toc468360233"/>
      <w:bookmarkStart w:id="672" w:name="_Toc468361174"/>
      <w:bookmarkStart w:id="673" w:name="_Toc468363404"/>
      <w:bookmarkStart w:id="674" w:name="_Toc468366231"/>
      <w:bookmarkStart w:id="675" w:name="_Toc468428321"/>
      <w:bookmarkStart w:id="676" w:name="_Toc468691717"/>
      <w:bookmarkStart w:id="677" w:name="_Toc468691844"/>
      <w:bookmarkStart w:id="678" w:name="_Toc468691971"/>
      <w:bookmarkStart w:id="679" w:name="_Toc468693925"/>
      <w:bookmarkStart w:id="680" w:name="_Toc468712620"/>
      <w:bookmarkStart w:id="681" w:name="_Toc468712748"/>
      <w:bookmarkStart w:id="682" w:name="_Toc468712875"/>
      <w:bookmarkStart w:id="683" w:name="_Toc468713002"/>
      <w:bookmarkStart w:id="684" w:name="_Toc468713129"/>
      <w:bookmarkStart w:id="685" w:name="_Toc468713256"/>
      <w:bookmarkStart w:id="686" w:name="_Toc468713383"/>
      <w:bookmarkStart w:id="687" w:name="_Toc468713510"/>
      <w:bookmarkStart w:id="688" w:name="_Toc468713763"/>
      <w:bookmarkStart w:id="689" w:name="_Toc468713890"/>
      <w:bookmarkStart w:id="690" w:name="_Toc468714017"/>
      <w:bookmarkStart w:id="691" w:name="_Toc468787026"/>
      <w:bookmarkStart w:id="692" w:name="_Toc468787344"/>
      <w:bookmarkStart w:id="693" w:name="_Toc468787472"/>
      <w:bookmarkStart w:id="694" w:name="_Toc468787600"/>
      <w:bookmarkStart w:id="695" w:name="_Toc468787727"/>
      <w:bookmarkStart w:id="696" w:name="_Toc468787854"/>
      <w:bookmarkStart w:id="697" w:name="_Toc468787981"/>
      <w:bookmarkStart w:id="698" w:name="_Toc468957661"/>
      <w:bookmarkStart w:id="699" w:name="_Toc468957788"/>
      <w:bookmarkStart w:id="700" w:name="_Toc468957915"/>
      <w:bookmarkStart w:id="701" w:name="_Toc468958042"/>
      <w:bookmarkStart w:id="702" w:name="_Toc468958169"/>
      <w:bookmarkStart w:id="703" w:name="_Toc468958296"/>
      <w:bookmarkStart w:id="704" w:name="_Toc468958423"/>
      <w:bookmarkStart w:id="705" w:name="_Toc468958550"/>
      <w:bookmarkStart w:id="706" w:name="_Toc468958677"/>
      <w:bookmarkStart w:id="707" w:name="_Toc468958804"/>
      <w:bookmarkStart w:id="708" w:name="_Toc468958931"/>
      <w:bookmarkStart w:id="709" w:name="_Toc468959058"/>
      <w:bookmarkStart w:id="710" w:name="_Toc468960559"/>
      <w:bookmarkStart w:id="711" w:name="_Toc469035032"/>
      <w:bookmarkStart w:id="712" w:name="_Toc469056742"/>
      <w:bookmarkStart w:id="713" w:name="_Toc469321054"/>
      <w:bookmarkStart w:id="714" w:name="_Toc469323783"/>
      <w:bookmarkStart w:id="715" w:name="_Toc469323909"/>
      <w:bookmarkStart w:id="716" w:name="_Toc469324460"/>
      <w:bookmarkStart w:id="717" w:name="_Toc470695338"/>
      <w:bookmarkStart w:id="718" w:name="_Toc470695491"/>
      <w:bookmarkStart w:id="719" w:name="_Toc470696995"/>
      <w:bookmarkStart w:id="720" w:name="_Toc470699879"/>
      <w:bookmarkStart w:id="721" w:name="_Toc470762725"/>
      <w:bookmarkStart w:id="722" w:name="_Toc471114543"/>
      <w:bookmarkStart w:id="723" w:name="_Toc474392959"/>
      <w:bookmarkStart w:id="724" w:name="_Toc474497850"/>
      <w:bookmarkStart w:id="725" w:name="_Toc474498609"/>
      <w:bookmarkStart w:id="726" w:name="_Toc474844468"/>
      <w:bookmarkStart w:id="727" w:name="_Toc474844595"/>
      <w:bookmarkStart w:id="728" w:name="_Toc474919865"/>
      <w:bookmarkStart w:id="729" w:name="_Toc474924874"/>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p>
    <w:p w:rsidR="00035710" w:rsidRPr="00B1011A" w:rsidRDefault="00035710" w:rsidP="003B3BFB">
      <w:pPr>
        <w:pStyle w:val="Akapitzlist"/>
        <w:keepNext/>
        <w:numPr>
          <w:ilvl w:val="1"/>
          <w:numId w:val="62"/>
        </w:numPr>
        <w:spacing w:before="240" w:after="60" w:line="240" w:lineRule="auto"/>
        <w:outlineLvl w:val="2"/>
        <w:rPr>
          <w:rFonts w:eastAsia="Times New Roman" w:cs="Calibri"/>
          <w:b/>
          <w:bCs/>
          <w:vanish/>
          <w:color w:val="3366FF"/>
          <w:sz w:val="26"/>
          <w:szCs w:val="26"/>
          <w:lang w:eastAsia="pl-PL"/>
        </w:rPr>
      </w:pPr>
      <w:bookmarkStart w:id="730" w:name="_Toc462999033"/>
      <w:bookmarkStart w:id="731" w:name="_Toc463000626"/>
      <w:bookmarkStart w:id="732" w:name="_Toc463006127"/>
      <w:bookmarkStart w:id="733" w:name="_Toc463243956"/>
      <w:bookmarkStart w:id="734" w:name="_Toc463252936"/>
      <w:bookmarkStart w:id="735" w:name="_Toc463253337"/>
      <w:bookmarkStart w:id="736" w:name="_Toc463253793"/>
      <w:bookmarkStart w:id="737" w:name="_Toc463253924"/>
      <w:bookmarkStart w:id="738" w:name="_Toc463254058"/>
      <w:bookmarkStart w:id="739" w:name="_Toc463254138"/>
      <w:bookmarkStart w:id="740" w:name="_Toc463254256"/>
      <w:bookmarkStart w:id="741" w:name="_Toc463254337"/>
      <w:bookmarkStart w:id="742" w:name="_Toc463254418"/>
      <w:bookmarkStart w:id="743" w:name="_Toc463255312"/>
      <w:bookmarkStart w:id="744" w:name="_Toc463263366"/>
      <w:bookmarkStart w:id="745" w:name="_Toc463273414"/>
      <w:bookmarkStart w:id="746" w:name="_Toc463276622"/>
      <w:bookmarkStart w:id="747" w:name="_Toc465068964"/>
      <w:bookmarkStart w:id="748" w:name="_Toc465078612"/>
      <w:bookmarkStart w:id="749" w:name="_Toc466025940"/>
      <w:bookmarkStart w:id="750" w:name="_Toc466906990"/>
      <w:bookmarkStart w:id="751" w:name="_Toc466907186"/>
      <w:bookmarkStart w:id="752" w:name="_Toc466907267"/>
      <w:bookmarkStart w:id="753" w:name="_Toc467659570"/>
      <w:bookmarkStart w:id="754" w:name="_Toc467659652"/>
      <w:bookmarkStart w:id="755" w:name="_Toc467663046"/>
      <w:bookmarkStart w:id="756" w:name="_Toc467663397"/>
      <w:bookmarkStart w:id="757" w:name="_Toc467665422"/>
      <w:bookmarkStart w:id="758" w:name="_Toc467665574"/>
      <w:bookmarkStart w:id="759" w:name="_Toc467669496"/>
      <w:bookmarkStart w:id="760" w:name="_Toc467832001"/>
      <w:bookmarkStart w:id="761" w:name="_Toc467832121"/>
      <w:bookmarkStart w:id="762" w:name="_Toc467834826"/>
      <w:bookmarkStart w:id="763" w:name="_Toc467843507"/>
      <w:bookmarkStart w:id="764" w:name="_Toc467845493"/>
      <w:bookmarkStart w:id="765" w:name="_Toc467847436"/>
      <w:bookmarkStart w:id="766" w:name="_Toc467847558"/>
      <w:bookmarkStart w:id="767" w:name="_Toc467847680"/>
      <w:bookmarkStart w:id="768" w:name="_Toc467847802"/>
      <w:bookmarkStart w:id="769" w:name="_Toc467847926"/>
      <w:bookmarkStart w:id="770" w:name="_Toc467848050"/>
      <w:bookmarkStart w:id="771" w:name="_Toc467848174"/>
      <w:bookmarkStart w:id="772" w:name="_Toc467848298"/>
      <w:bookmarkStart w:id="773" w:name="_Toc467848422"/>
      <w:bookmarkStart w:id="774" w:name="_Toc468097895"/>
      <w:bookmarkStart w:id="775" w:name="_Toc468098020"/>
      <w:bookmarkStart w:id="776" w:name="_Toc468104687"/>
      <w:bookmarkStart w:id="777" w:name="_Toc468104811"/>
      <w:bookmarkStart w:id="778" w:name="_Toc468104935"/>
      <w:bookmarkStart w:id="779" w:name="_Toc468105061"/>
      <w:bookmarkStart w:id="780" w:name="_Toc468105187"/>
      <w:bookmarkStart w:id="781" w:name="_Toc468105313"/>
      <w:bookmarkStart w:id="782" w:name="_Toc468105797"/>
      <w:bookmarkStart w:id="783" w:name="_Toc468105924"/>
      <w:bookmarkStart w:id="784" w:name="_Toc468116218"/>
      <w:bookmarkStart w:id="785" w:name="_Toc468178175"/>
      <w:bookmarkStart w:id="786" w:name="_Toc468181467"/>
      <w:bookmarkStart w:id="787" w:name="_Toc468181594"/>
      <w:bookmarkStart w:id="788" w:name="_Toc468181723"/>
      <w:bookmarkStart w:id="789" w:name="_Toc468181890"/>
      <w:bookmarkStart w:id="790" w:name="_Toc468185831"/>
      <w:bookmarkStart w:id="791" w:name="_Toc468190763"/>
      <w:bookmarkStart w:id="792" w:name="_Toc468190889"/>
      <w:bookmarkStart w:id="793" w:name="_Toc468191381"/>
      <w:bookmarkStart w:id="794" w:name="_Toc468258052"/>
      <w:bookmarkStart w:id="795" w:name="_Toc468258283"/>
      <w:bookmarkStart w:id="796" w:name="_Toc468258577"/>
      <w:bookmarkStart w:id="797" w:name="_Toc468258706"/>
      <w:bookmarkStart w:id="798" w:name="_Toc468258839"/>
      <w:bookmarkStart w:id="799" w:name="_Toc468258970"/>
      <w:bookmarkStart w:id="800" w:name="_Toc468259099"/>
      <w:bookmarkStart w:id="801" w:name="_Toc468259228"/>
      <w:bookmarkStart w:id="802" w:name="_Toc468259485"/>
      <w:bookmarkStart w:id="803" w:name="_Toc468259617"/>
      <w:bookmarkStart w:id="804" w:name="_Toc468259747"/>
      <w:bookmarkStart w:id="805" w:name="_Toc468259876"/>
      <w:bookmarkStart w:id="806" w:name="_Toc468260007"/>
      <w:bookmarkStart w:id="807" w:name="_Toc468260136"/>
      <w:bookmarkStart w:id="808" w:name="_Toc468260265"/>
      <w:bookmarkStart w:id="809" w:name="_Toc468260394"/>
      <w:bookmarkStart w:id="810" w:name="_Toc468260523"/>
      <w:bookmarkStart w:id="811" w:name="_Toc468260652"/>
      <w:bookmarkStart w:id="812" w:name="_Toc468260780"/>
      <w:bookmarkStart w:id="813" w:name="_Toc468260911"/>
      <w:bookmarkStart w:id="814" w:name="_Toc468261042"/>
      <w:bookmarkStart w:id="815" w:name="_Toc468261173"/>
      <w:bookmarkStart w:id="816" w:name="_Toc468261304"/>
      <w:bookmarkStart w:id="817" w:name="_Toc468261435"/>
      <w:bookmarkStart w:id="818" w:name="_Toc468266749"/>
      <w:bookmarkStart w:id="819" w:name="_Toc468266877"/>
      <w:bookmarkStart w:id="820" w:name="_Toc468267005"/>
      <w:bookmarkStart w:id="821" w:name="_Toc468269416"/>
      <w:bookmarkStart w:id="822" w:name="_Toc468279382"/>
      <w:bookmarkStart w:id="823" w:name="_Toc468360234"/>
      <w:bookmarkStart w:id="824" w:name="_Toc468361175"/>
      <w:bookmarkStart w:id="825" w:name="_Toc468363405"/>
      <w:bookmarkStart w:id="826" w:name="_Toc468366232"/>
      <w:bookmarkStart w:id="827" w:name="_Toc468428322"/>
      <w:bookmarkStart w:id="828" w:name="_Toc468691718"/>
      <w:bookmarkStart w:id="829" w:name="_Toc468691845"/>
      <w:bookmarkStart w:id="830" w:name="_Toc468691972"/>
      <w:bookmarkStart w:id="831" w:name="_Toc468693926"/>
      <w:bookmarkStart w:id="832" w:name="_Toc468712621"/>
      <w:bookmarkStart w:id="833" w:name="_Toc468712749"/>
      <w:bookmarkStart w:id="834" w:name="_Toc468712876"/>
      <w:bookmarkStart w:id="835" w:name="_Toc468713003"/>
      <w:bookmarkStart w:id="836" w:name="_Toc468713130"/>
      <w:bookmarkStart w:id="837" w:name="_Toc468713257"/>
      <w:bookmarkStart w:id="838" w:name="_Toc468713384"/>
      <w:bookmarkStart w:id="839" w:name="_Toc468713511"/>
      <w:bookmarkStart w:id="840" w:name="_Toc468713764"/>
      <w:bookmarkStart w:id="841" w:name="_Toc468713891"/>
      <w:bookmarkStart w:id="842" w:name="_Toc468714018"/>
      <w:bookmarkStart w:id="843" w:name="_Toc468787027"/>
      <w:bookmarkStart w:id="844" w:name="_Toc468787345"/>
      <w:bookmarkStart w:id="845" w:name="_Toc468787473"/>
      <w:bookmarkStart w:id="846" w:name="_Toc468787601"/>
      <w:bookmarkStart w:id="847" w:name="_Toc468787728"/>
      <w:bookmarkStart w:id="848" w:name="_Toc468787855"/>
      <w:bookmarkStart w:id="849" w:name="_Toc468787982"/>
      <w:bookmarkStart w:id="850" w:name="_Toc468957662"/>
      <w:bookmarkStart w:id="851" w:name="_Toc468957789"/>
      <w:bookmarkStart w:id="852" w:name="_Toc468957916"/>
      <w:bookmarkStart w:id="853" w:name="_Toc468958043"/>
      <w:bookmarkStart w:id="854" w:name="_Toc468958170"/>
      <w:bookmarkStart w:id="855" w:name="_Toc468958297"/>
      <w:bookmarkStart w:id="856" w:name="_Toc468958424"/>
      <w:bookmarkStart w:id="857" w:name="_Toc468958551"/>
      <w:bookmarkStart w:id="858" w:name="_Toc468958678"/>
      <w:bookmarkStart w:id="859" w:name="_Toc468958805"/>
      <w:bookmarkStart w:id="860" w:name="_Toc468958932"/>
      <w:bookmarkStart w:id="861" w:name="_Toc468959059"/>
      <w:bookmarkStart w:id="862" w:name="_Toc468960560"/>
      <w:bookmarkStart w:id="863" w:name="_Toc469035033"/>
      <w:bookmarkStart w:id="864" w:name="_Toc469056743"/>
      <w:bookmarkStart w:id="865" w:name="_Toc469321055"/>
      <w:bookmarkStart w:id="866" w:name="_Toc469323784"/>
      <w:bookmarkStart w:id="867" w:name="_Toc469323910"/>
      <w:bookmarkStart w:id="868" w:name="_Toc469324461"/>
      <w:bookmarkStart w:id="869" w:name="_Toc470695339"/>
      <w:bookmarkStart w:id="870" w:name="_Toc470695492"/>
      <w:bookmarkStart w:id="871" w:name="_Toc470696996"/>
      <w:bookmarkStart w:id="872" w:name="_Toc470699880"/>
      <w:bookmarkStart w:id="873" w:name="_Toc470762726"/>
      <w:bookmarkStart w:id="874" w:name="_Toc471114544"/>
      <w:bookmarkStart w:id="875" w:name="_Toc474392960"/>
      <w:bookmarkStart w:id="876" w:name="_Toc474497851"/>
      <w:bookmarkStart w:id="877" w:name="_Toc474498610"/>
      <w:bookmarkStart w:id="878" w:name="_Toc474844469"/>
      <w:bookmarkStart w:id="879" w:name="_Toc474844596"/>
      <w:bookmarkStart w:id="880" w:name="_Toc474919866"/>
      <w:bookmarkStart w:id="881" w:name="_Toc474924875"/>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p>
    <w:p w:rsidR="00035710" w:rsidRPr="00B1011A" w:rsidRDefault="00035710" w:rsidP="003B3BFB">
      <w:pPr>
        <w:pStyle w:val="Akapitzlist"/>
        <w:keepNext/>
        <w:numPr>
          <w:ilvl w:val="1"/>
          <w:numId w:val="62"/>
        </w:numPr>
        <w:spacing w:before="240" w:after="60" w:line="240" w:lineRule="auto"/>
        <w:outlineLvl w:val="2"/>
        <w:rPr>
          <w:rFonts w:eastAsia="Times New Roman" w:cs="Calibri"/>
          <w:b/>
          <w:bCs/>
          <w:vanish/>
          <w:color w:val="3366FF"/>
          <w:sz w:val="26"/>
          <w:szCs w:val="26"/>
          <w:lang w:eastAsia="pl-PL"/>
        </w:rPr>
      </w:pPr>
      <w:bookmarkStart w:id="882" w:name="_Toc462999034"/>
      <w:bookmarkStart w:id="883" w:name="_Toc463000627"/>
      <w:bookmarkStart w:id="884" w:name="_Toc463006128"/>
      <w:bookmarkStart w:id="885" w:name="_Toc463243957"/>
      <w:bookmarkStart w:id="886" w:name="_Toc463252937"/>
      <w:bookmarkStart w:id="887" w:name="_Toc463253338"/>
      <w:bookmarkStart w:id="888" w:name="_Toc463253794"/>
      <w:bookmarkStart w:id="889" w:name="_Toc463253925"/>
      <w:bookmarkStart w:id="890" w:name="_Toc463254059"/>
      <w:bookmarkStart w:id="891" w:name="_Toc463254139"/>
      <w:bookmarkStart w:id="892" w:name="_Toc463254257"/>
      <w:bookmarkStart w:id="893" w:name="_Toc463254338"/>
      <w:bookmarkStart w:id="894" w:name="_Toc463254419"/>
      <w:bookmarkStart w:id="895" w:name="_Toc463255313"/>
      <w:bookmarkStart w:id="896" w:name="_Toc463263367"/>
      <w:bookmarkStart w:id="897" w:name="_Toc463273415"/>
      <w:bookmarkStart w:id="898" w:name="_Toc463276623"/>
      <w:bookmarkStart w:id="899" w:name="_Toc465068965"/>
      <w:bookmarkStart w:id="900" w:name="_Toc465078613"/>
      <w:bookmarkStart w:id="901" w:name="_Toc466025941"/>
      <w:bookmarkStart w:id="902" w:name="_Toc466906991"/>
      <w:bookmarkStart w:id="903" w:name="_Toc466907187"/>
      <w:bookmarkStart w:id="904" w:name="_Toc466907268"/>
      <w:bookmarkStart w:id="905" w:name="_Toc467659571"/>
      <w:bookmarkStart w:id="906" w:name="_Toc467659653"/>
      <w:bookmarkStart w:id="907" w:name="_Toc467663047"/>
      <w:bookmarkStart w:id="908" w:name="_Toc467663398"/>
      <w:bookmarkStart w:id="909" w:name="_Toc467665423"/>
      <w:bookmarkStart w:id="910" w:name="_Toc467665575"/>
      <w:bookmarkStart w:id="911" w:name="_Toc467669497"/>
      <w:bookmarkStart w:id="912" w:name="_Toc467832002"/>
      <w:bookmarkStart w:id="913" w:name="_Toc467832122"/>
      <w:bookmarkStart w:id="914" w:name="_Toc467834827"/>
      <w:bookmarkStart w:id="915" w:name="_Toc467843508"/>
      <w:bookmarkStart w:id="916" w:name="_Toc467845494"/>
      <w:bookmarkStart w:id="917" w:name="_Toc467847437"/>
      <w:bookmarkStart w:id="918" w:name="_Toc467847559"/>
      <w:bookmarkStart w:id="919" w:name="_Toc467847681"/>
      <w:bookmarkStart w:id="920" w:name="_Toc467847803"/>
      <w:bookmarkStart w:id="921" w:name="_Toc467847927"/>
      <w:bookmarkStart w:id="922" w:name="_Toc467848051"/>
      <w:bookmarkStart w:id="923" w:name="_Toc467848175"/>
      <w:bookmarkStart w:id="924" w:name="_Toc467848299"/>
      <w:bookmarkStart w:id="925" w:name="_Toc467848423"/>
      <w:bookmarkStart w:id="926" w:name="_Toc468097896"/>
      <w:bookmarkStart w:id="927" w:name="_Toc468098021"/>
      <w:bookmarkStart w:id="928" w:name="_Toc468104688"/>
      <w:bookmarkStart w:id="929" w:name="_Toc468104812"/>
      <w:bookmarkStart w:id="930" w:name="_Toc468104936"/>
      <w:bookmarkStart w:id="931" w:name="_Toc468105062"/>
      <w:bookmarkStart w:id="932" w:name="_Toc468105188"/>
      <w:bookmarkStart w:id="933" w:name="_Toc468105314"/>
      <w:bookmarkStart w:id="934" w:name="_Toc468105798"/>
      <w:bookmarkStart w:id="935" w:name="_Toc468105925"/>
      <w:bookmarkStart w:id="936" w:name="_Toc468116219"/>
      <w:bookmarkStart w:id="937" w:name="_Toc468178176"/>
      <w:bookmarkStart w:id="938" w:name="_Toc468181468"/>
      <w:bookmarkStart w:id="939" w:name="_Toc468181595"/>
      <w:bookmarkStart w:id="940" w:name="_Toc468181724"/>
      <w:bookmarkStart w:id="941" w:name="_Toc468181891"/>
      <w:bookmarkStart w:id="942" w:name="_Toc468185832"/>
      <w:bookmarkStart w:id="943" w:name="_Toc468190764"/>
      <w:bookmarkStart w:id="944" w:name="_Toc468190890"/>
      <w:bookmarkStart w:id="945" w:name="_Toc468191382"/>
      <w:bookmarkStart w:id="946" w:name="_Toc468258053"/>
      <w:bookmarkStart w:id="947" w:name="_Toc468258284"/>
      <w:bookmarkStart w:id="948" w:name="_Toc468258578"/>
      <w:bookmarkStart w:id="949" w:name="_Toc468258707"/>
      <w:bookmarkStart w:id="950" w:name="_Toc468258840"/>
      <w:bookmarkStart w:id="951" w:name="_Toc468258971"/>
      <w:bookmarkStart w:id="952" w:name="_Toc468259100"/>
      <w:bookmarkStart w:id="953" w:name="_Toc468259229"/>
      <w:bookmarkStart w:id="954" w:name="_Toc468259486"/>
      <w:bookmarkStart w:id="955" w:name="_Toc468259618"/>
      <w:bookmarkStart w:id="956" w:name="_Toc468259748"/>
      <w:bookmarkStart w:id="957" w:name="_Toc468259877"/>
      <w:bookmarkStart w:id="958" w:name="_Toc468260008"/>
      <w:bookmarkStart w:id="959" w:name="_Toc468260137"/>
      <w:bookmarkStart w:id="960" w:name="_Toc468260266"/>
      <w:bookmarkStart w:id="961" w:name="_Toc468260395"/>
      <w:bookmarkStart w:id="962" w:name="_Toc468260524"/>
      <w:bookmarkStart w:id="963" w:name="_Toc468260653"/>
      <w:bookmarkStart w:id="964" w:name="_Toc468260781"/>
      <w:bookmarkStart w:id="965" w:name="_Toc468260912"/>
      <w:bookmarkStart w:id="966" w:name="_Toc468261043"/>
      <w:bookmarkStart w:id="967" w:name="_Toc468261174"/>
      <w:bookmarkStart w:id="968" w:name="_Toc468261305"/>
      <w:bookmarkStart w:id="969" w:name="_Toc468261436"/>
      <w:bookmarkStart w:id="970" w:name="_Toc468266750"/>
      <w:bookmarkStart w:id="971" w:name="_Toc468266878"/>
      <w:bookmarkStart w:id="972" w:name="_Toc468267006"/>
      <w:bookmarkStart w:id="973" w:name="_Toc468269417"/>
      <w:bookmarkStart w:id="974" w:name="_Toc468279383"/>
      <w:bookmarkStart w:id="975" w:name="_Toc468360235"/>
      <w:bookmarkStart w:id="976" w:name="_Toc468361176"/>
      <w:bookmarkStart w:id="977" w:name="_Toc468363406"/>
      <w:bookmarkStart w:id="978" w:name="_Toc468366233"/>
      <w:bookmarkStart w:id="979" w:name="_Toc468428323"/>
      <w:bookmarkStart w:id="980" w:name="_Toc468691719"/>
      <w:bookmarkStart w:id="981" w:name="_Toc468691846"/>
      <w:bookmarkStart w:id="982" w:name="_Toc468691973"/>
      <w:bookmarkStart w:id="983" w:name="_Toc468693927"/>
      <w:bookmarkStart w:id="984" w:name="_Toc468712622"/>
      <w:bookmarkStart w:id="985" w:name="_Toc468712750"/>
      <w:bookmarkStart w:id="986" w:name="_Toc468712877"/>
      <w:bookmarkStart w:id="987" w:name="_Toc468713004"/>
      <w:bookmarkStart w:id="988" w:name="_Toc468713131"/>
      <w:bookmarkStart w:id="989" w:name="_Toc468713258"/>
      <w:bookmarkStart w:id="990" w:name="_Toc468713385"/>
      <w:bookmarkStart w:id="991" w:name="_Toc468713512"/>
      <w:bookmarkStart w:id="992" w:name="_Toc468713765"/>
      <w:bookmarkStart w:id="993" w:name="_Toc468713892"/>
      <w:bookmarkStart w:id="994" w:name="_Toc468714019"/>
      <w:bookmarkStart w:id="995" w:name="_Toc468787028"/>
      <w:bookmarkStart w:id="996" w:name="_Toc468787346"/>
      <w:bookmarkStart w:id="997" w:name="_Toc468787474"/>
      <w:bookmarkStart w:id="998" w:name="_Toc468787602"/>
      <w:bookmarkStart w:id="999" w:name="_Toc468787729"/>
      <w:bookmarkStart w:id="1000" w:name="_Toc468787856"/>
      <w:bookmarkStart w:id="1001" w:name="_Toc468787983"/>
      <w:bookmarkStart w:id="1002" w:name="_Toc468957663"/>
      <w:bookmarkStart w:id="1003" w:name="_Toc468957790"/>
      <w:bookmarkStart w:id="1004" w:name="_Toc468957917"/>
      <w:bookmarkStart w:id="1005" w:name="_Toc468958044"/>
      <w:bookmarkStart w:id="1006" w:name="_Toc468958171"/>
      <w:bookmarkStart w:id="1007" w:name="_Toc468958298"/>
      <w:bookmarkStart w:id="1008" w:name="_Toc468958425"/>
      <w:bookmarkStart w:id="1009" w:name="_Toc468958552"/>
      <w:bookmarkStart w:id="1010" w:name="_Toc468958679"/>
      <w:bookmarkStart w:id="1011" w:name="_Toc468958806"/>
      <w:bookmarkStart w:id="1012" w:name="_Toc468958933"/>
      <w:bookmarkStart w:id="1013" w:name="_Toc468959060"/>
      <w:bookmarkStart w:id="1014" w:name="_Toc468960561"/>
      <w:bookmarkStart w:id="1015" w:name="_Toc469035034"/>
      <w:bookmarkStart w:id="1016" w:name="_Toc469056744"/>
      <w:bookmarkStart w:id="1017" w:name="_Toc469321056"/>
      <w:bookmarkStart w:id="1018" w:name="_Toc469323785"/>
      <w:bookmarkStart w:id="1019" w:name="_Toc469323911"/>
      <w:bookmarkStart w:id="1020" w:name="_Toc469324462"/>
      <w:bookmarkStart w:id="1021" w:name="_Toc470695340"/>
      <w:bookmarkStart w:id="1022" w:name="_Toc470695493"/>
      <w:bookmarkStart w:id="1023" w:name="_Toc470696997"/>
      <w:bookmarkStart w:id="1024" w:name="_Toc470699881"/>
      <w:bookmarkStart w:id="1025" w:name="_Toc470762727"/>
      <w:bookmarkStart w:id="1026" w:name="_Toc471114545"/>
      <w:bookmarkStart w:id="1027" w:name="_Toc474392961"/>
      <w:bookmarkStart w:id="1028" w:name="_Toc474497852"/>
      <w:bookmarkStart w:id="1029" w:name="_Toc474498611"/>
      <w:bookmarkStart w:id="1030" w:name="_Toc474844470"/>
      <w:bookmarkStart w:id="1031" w:name="_Toc474844597"/>
      <w:bookmarkStart w:id="1032" w:name="_Toc474919867"/>
      <w:bookmarkStart w:id="1033" w:name="_Toc474924876"/>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p>
    <w:p w:rsidR="000C70A4" w:rsidRPr="00B1011A" w:rsidRDefault="000C70A4" w:rsidP="000809E2">
      <w:pPr>
        <w:pStyle w:val="Nagwek3"/>
        <w:numPr>
          <w:ilvl w:val="2"/>
          <w:numId w:val="296"/>
        </w:numPr>
        <w:spacing w:before="0"/>
      </w:pPr>
      <w:bookmarkStart w:id="1034" w:name="_Toc474924877"/>
      <w:r w:rsidRPr="00B1011A">
        <w:t>Lokalne dokumenty strategiczne i programowe</w:t>
      </w:r>
      <w:bookmarkEnd w:id="198"/>
      <w:bookmarkEnd w:id="199"/>
      <w:bookmarkEnd w:id="1034"/>
    </w:p>
    <w:p w:rsidR="000C70A4" w:rsidRDefault="000C70A4">
      <w:pPr>
        <w:rPr>
          <w:rFonts w:ascii="Calibri" w:hAnsi="Calibri" w:cs="Calibri"/>
        </w:rPr>
      </w:pPr>
    </w:p>
    <w:p w:rsidR="000C70A4" w:rsidRDefault="002924F7" w:rsidP="002924F7">
      <w:pPr>
        <w:jc w:val="both"/>
        <w:rPr>
          <w:rFonts w:ascii="Calibri" w:hAnsi="Calibri" w:cs="Calibri"/>
          <w:szCs w:val="20"/>
        </w:rPr>
      </w:pPr>
      <w:r>
        <w:rPr>
          <w:rFonts w:ascii="Calibri" w:hAnsi="Calibri" w:cs="Calibri"/>
          <w:szCs w:val="20"/>
        </w:rPr>
        <w:tab/>
      </w:r>
      <w:r w:rsidR="000C70A4">
        <w:rPr>
          <w:rFonts w:ascii="Calibri" w:hAnsi="Calibri" w:cs="Calibri"/>
          <w:szCs w:val="20"/>
        </w:rPr>
        <w:t xml:space="preserve">„Gminny Program Rewitalizacji. Bytom 2020+” (GPR) stanowi </w:t>
      </w:r>
      <w:r w:rsidR="00D9289E">
        <w:rPr>
          <w:rFonts w:ascii="Calibri" w:hAnsi="Calibri" w:cs="Calibri"/>
          <w:szCs w:val="20"/>
        </w:rPr>
        <w:t>dokument operacyjny</w:t>
      </w:r>
      <w:r w:rsidR="000C70A4">
        <w:rPr>
          <w:rFonts w:ascii="Calibri" w:hAnsi="Calibri" w:cs="Calibri"/>
          <w:szCs w:val="20"/>
        </w:rPr>
        <w:t xml:space="preserve"> gminy wyznaczający kierunki działań w procesie rewitalizacji oraz warunki organizacyjno-finansowe tych działań. Dokument ten </w:t>
      </w:r>
      <w:r w:rsidR="00D9289E">
        <w:rPr>
          <w:rFonts w:ascii="Calibri" w:hAnsi="Calibri" w:cs="Calibri"/>
          <w:szCs w:val="20"/>
        </w:rPr>
        <w:t xml:space="preserve">realizuje cele i </w:t>
      </w:r>
      <w:r w:rsidR="000C70A4">
        <w:rPr>
          <w:rFonts w:ascii="Calibri" w:hAnsi="Calibri" w:cs="Calibri"/>
          <w:szCs w:val="20"/>
        </w:rPr>
        <w:t>jest spójny z obowiązującymi w mieście strategiami, programami i planami, integruje je, tym samym przyczyniając się do osiągania efektu synergii w zakresie realizacji celów rozwojowych miasta.</w:t>
      </w:r>
    </w:p>
    <w:p w:rsidR="000C70A4" w:rsidRDefault="000C70A4">
      <w:pPr>
        <w:tabs>
          <w:tab w:val="left" w:pos="567"/>
        </w:tabs>
        <w:spacing w:before="120"/>
        <w:jc w:val="both"/>
        <w:rPr>
          <w:rFonts w:ascii="Calibri" w:hAnsi="Calibri" w:cs="Calibri"/>
          <w:szCs w:val="20"/>
        </w:rPr>
      </w:pPr>
      <w:r>
        <w:rPr>
          <w:rFonts w:ascii="Calibri" w:hAnsi="Calibri" w:cs="Calibri"/>
          <w:szCs w:val="20"/>
        </w:rPr>
        <w:tab/>
      </w:r>
      <w:r w:rsidR="002924F7">
        <w:rPr>
          <w:rFonts w:ascii="Calibri" w:hAnsi="Calibri" w:cs="Calibri"/>
          <w:szCs w:val="20"/>
        </w:rPr>
        <w:tab/>
      </w:r>
      <w:r>
        <w:rPr>
          <w:rFonts w:ascii="Calibri" w:hAnsi="Calibri" w:cs="Calibri"/>
          <w:szCs w:val="20"/>
        </w:rPr>
        <w:t>GPR powiązany jest z poniższymi dokumentami strategicznymi, programowymi i planistycznymi określającymi kierunki rozwoju miasta</w:t>
      </w:r>
      <w:r w:rsidR="00931193">
        <w:rPr>
          <w:rFonts w:ascii="Calibri" w:hAnsi="Calibri" w:cs="Calibri"/>
          <w:szCs w:val="20"/>
        </w:rPr>
        <w:t xml:space="preserve"> i nawiązującymi do jego rewitalizacji</w:t>
      </w:r>
      <w:r>
        <w:rPr>
          <w:rFonts w:ascii="Calibri" w:hAnsi="Calibri" w:cs="Calibri"/>
          <w:szCs w:val="20"/>
        </w:rPr>
        <w:t>.</w:t>
      </w:r>
    </w:p>
    <w:p w:rsidR="00A63D94" w:rsidRDefault="00A63D94" w:rsidP="002B077C">
      <w:pPr>
        <w:tabs>
          <w:tab w:val="left" w:pos="567"/>
        </w:tabs>
        <w:spacing w:after="120"/>
        <w:jc w:val="both"/>
        <w:rPr>
          <w:rFonts w:ascii="Calibri" w:hAnsi="Calibri" w:cs="Calibri"/>
          <w:szCs w:val="20"/>
        </w:rPr>
      </w:pPr>
    </w:p>
    <w:p w:rsidR="000C70A4" w:rsidRPr="00BF1DF2" w:rsidRDefault="000C70A4" w:rsidP="00463955">
      <w:pPr>
        <w:pStyle w:val="Legenda"/>
        <w:keepNext/>
        <w:shd w:val="clear" w:color="auto" w:fill="F2F2F2" w:themeFill="background1" w:themeFillShade="F2"/>
        <w:spacing w:after="60"/>
        <w:jc w:val="both"/>
        <w:rPr>
          <w:rFonts w:ascii="Calibri" w:hAnsi="Calibri" w:cs="Calibri"/>
        </w:rPr>
      </w:pPr>
      <w:bookmarkStart w:id="1035" w:name="_Toc202771095"/>
      <w:r w:rsidRPr="00BF1DF2">
        <w:rPr>
          <w:rFonts w:ascii="Calibri" w:hAnsi="Calibri" w:cs="Calibri"/>
        </w:rPr>
        <w:t xml:space="preserve">Tabela </w:t>
      </w:r>
      <w:r w:rsidR="003972D8" w:rsidRPr="00BF1DF2">
        <w:rPr>
          <w:rFonts w:ascii="Calibri" w:hAnsi="Calibri" w:cs="Calibri"/>
        </w:rPr>
        <w:fldChar w:fldCharType="begin"/>
      </w:r>
      <w:r w:rsidRPr="00BF1DF2">
        <w:rPr>
          <w:rFonts w:ascii="Calibri" w:hAnsi="Calibri" w:cs="Calibri"/>
        </w:rPr>
        <w:instrText xml:space="preserve"> SEQ Tabela \* ARABIC </w:instrText>
      </w:r>
      <w:r w:rsidR="003972D8" w:rsidRPr="00BF1DF2">
        <w:rPr>
          <w:rFonts w:ascii="Calibri" w:hAnsi="Calibri" w:cs="Calibri"/>
        </w:rPr>
        <w:fldChar w:fldCharType="separate"/>
      </w:r>
      <w:r w:rsidR="00413FFE">
        <w:rPr>
          <w:rFonts w:ascii="Calibri" w:hAnsi="Calibri" w:cs="Calibri"/>
          <w:noProof/>
        </w:rPr>
        <w:t>1</w:t>
      </w:r>
      <w:r w:rsidR="003972D8" w:rsidRPr="00BF1DF2">
        <w:rPr>
          <w:rFonts w:ascii="Calibri" w:hAnsi="Calibri" w:cs="Calibri"/>
        </w:rPr>
        <w:fldChar w:fldCharType="end"/>
      </w:r>
      <w:r w:rsidR="00CF06A7" w:rsidRPr="00BF1DF2">
        <w:rPr>
          <w:rFonts w:ascii="Calibri" w:hAnsi="Calibri" w:cs="Calibri"/>
        </w:rPr>
        <w:t xml:space="preserve">. </w:t>
      </w:r>
      <w:r w:rsidRPr="00BF1DF2">
        <w:rPr>
          <w:rFonts w:ascii="Calibri" w:hAnsi="Calibri" w:cs="Calibri"/>
        </w:rPr>
        <w:t>Dokumenty strategiczne, programowe i planistyczne nawiązujące do procesu rewitalizacji Bytomia</w:t>
      </w:r>
      <w:bookmarkEnd w:id="1035"/>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26"/>
        <w:gridCol w:w="3544"/>
        <w:gridCol w:w="4216"/>
      </w:tblGrid>
      <w:tr w:rsidR="000C70A4" w:rsidRPr="00BF1DF2" w:rsidTr="00FA611C">
        <w:trPr>
          <w:trHeight w:val="257"/>
          <w:jc w:val="center"/>
        </w:trPr>
        <w:tc>
          <w:tcPr>
            <w:tcW w:w="1526" w:type="dxa"/>
            <w:shd w:val="clear" w:color="auto" w:fill="99CCFF"/>
          </w:tcPr>
          <w:p w:rsidR="000C70A4" w:rsidRPr="00BF1DF2" w:rsidRDefault="002D63CC" w:rsidP="00463955">
            <w:pPr>
              <w:shd w:val="clear" w:color="auto" w:fill="F2F2F2" w:themeFill="background1" w:themeFillShade="F2"/>
              <w:spacing w:before="40" w:after="40"/>
              <w:jc w:val="center"/>
              <w:rPr>
                <w:rFonts w:cs="Calibri"/>
                <w:b/>
                <w:szCs w:val="20"/>
              </w:rPr>
            </w:pPr>
            <w:r w:rsidRPr="00BF1DF2">
              <w:rPr>
                <w:rFonts w:cs="Calibri"/>
                <w:b/>
                <w:szCs w:val="20"/>
              </w:rPr>
              <w:t xml:space="preserve">RODZAJ </w:t>
            </w:r>
          </w:p>
        </w:tc>
        <w:tc>
          <w:tcPr>
            <w:tcW w:w="3544" w:type="dxa"/>
            <w:shd w:val="clear" w:color="auto" w:fill="99CCFF"/>
          </w:tcPr>
          <w:p w:rsidR="000C70A4" w:rsidRPr="00BF1DF2" w:rsidRDefault="002D63CC" w:rsidP="00463955">
            <w:pPr>
              <w:shd w:val="clear" w:color="auto" w:fill="F2F2F2" w:themeFill="background1" w:themeFillShade="F2"/>
              <w:spacing w:before="40" w:after="40"/>
              <w:jc w:val="center"/>
              <w:rPr>
                <w:rFonts w:cs="Calibri"/>
                <w:b/>
                <w:szCs w:val="20"/>
              </w:rPr>
            </w:pPr>
            <w:r w:rsidRPr="00BF1DF2">
              <w:rPr>
                <w:rFonts w:cs="Calibri"/>
                <w:b/>
                <w:szCs w:val="20"/>
              </w:rPr>
              <w:t>TYTUŁ DOKUMENTÓW</w:t>
            </w:r>
          </w:p>
        </w:tc>
        <w:tc>
          <w:tcPr>
            <w:tcW w:w="4216" w:type="dxa"/>
            <w:shd w:val="clear" w:color="auto" w:fill="99CCFF"/>
          </w:tcPr>
          <w:p w:rsidR="000C70A4" w:rsidRPr="00BF1DF2" w:rsidRDefault="002D63CC" w:rsidP="00463955">
            <w:pPr>
              <w:shd w:val="clear" w:color="auto" w:fill="F2F2F2" w:themeFill="background1" w:themeFillShade="F2"/>
              <w:spacing w:before="40" w:after="40"/>
              <w:jc w:val="center"/>
              <w:rPr>
                <w:rFonts w:cs="Calibri"/>
                <w:b/>
                <w:szCs w:val="20"/>
              </w:rPr>
            </w:pPr>
            <w:r w:rsidRPr="00BF1DF2">
              <w:rPr>
                <w:rFonts w:cs="Calibri"/>
                <w:b/>
                <w:szCs w:val="20"/>
              </w:rPr>
              <w:t>DATA PRZYJĘCIA/OPRACOWANIA</w:t>
            </w:r>
            <w:r w:rsidR="0018486E" w:rsidRPr="00BF1DF2">
              <w:rPr>
                <w:rFonts w:cs="Calibri"/>
                <w:b/>
                <w:bCs/>
                <w:smallCaps/>
              </w:rPr>
              <w:t xml:space="preserve"> </w:t>
            </w:r>
          </w:p>
        </w:tc>
      </w:tr>
      <w:tr w:rsidR="000C70A4" w:rsidRPr="00BF1DF2" w:rsidTr="00FA611C">
        <w:trPr>
          <w:cantSplit/>
          <w:trHeight w:val="618"/>
          <w:jc w:val="center"/>
        </w:trPr>
        <w:tc>
          <w:tcPr>
            <w:tcW w:w="1526" w:type="dxa"/>
            <w:vMerge w:val="restart"/>
            <w:vAlign w:val="center"/>
          </w:tcPr>
          <w:p w:rsidR="000C70A4" w:rsidRPr="00BF1DF2" w:rsidRDefault="000C70A4" w:rsidP="00463955">
            <w:pPr>
              <w:shd w:val="clear" w:color="auto" w:fill="F2F2F2" w:themeFill="background1" w:themeFillShade="F2"/>
            </w:pPr>
            <w:r w:rsidRPr="00BF1DF2">
              <w:t>Dokumenty strategiczne</w:t>
            </w:r>
          </w:p>
        </w:tc>
        <w:tc>
          <w:tcPr>
            <w:tcW w:w="3544" w:type="dxa"/>
            <w:vAlign w:val="center"/>
          </w:tcPr>
          <w:p w:rsidR="000C70A4" w:rsidRPr="00BF1DF2" w:rsidRDefault="000C70A4" w:rsidP="00463955">
            <w:pPr>
              <w:pStyle w:val="Tekstprzypisudolnego"/>
              <w:shd w:val="clear" w:color="auto" w:fill="F2F2F2" w:themeFill="background1" w:themeFillShade="F2"/>
              <w:spacing w:before="40" w:after="40"/>
              <w:rPr>
                <w:rFonts w:ascii="Calibri" w:hAnsi="Calibri" w:cs="Calibri"/>
                <w:szCs w:val="19"/>
              </w:rPr>
            </w:pPr>
            <w:r w:rsidRPr="00BF1DF2">
              <w:rPr>
                <w:rFonts w:ascii="Calibri" w:hAnsi="Calibri" w:cs="Calibri"/>
                <w:szCs w:val="19"/>
              </w:rPr>
              <w:t xml:space="preserve">Strategia Rozwoju </w:t>
            </w:r>
            <w:r w:rsidR="002E61DE" w:rsidRPr="00BF1DF2">
              <w:rPr>
                <w:rFonts w:ascii="Calibri" w:hAnsi="Calibri" w:cs="Calibri"/>
                <w:szCs w:val="19"/>
              </w:rPr>
              <w:t>Miasta Bytomia „Bytom 203</w:t>
            </w:r>
            <w:r w:rsidRPr="00BF1DF2">
              <w:rPr>
                <w:rFonts w:ascii="Calibri" w:hAnsi="Calibri" w:cs="Calibri"/>
                <w:szCs w:val="19"/>
              </w:rPr>
              <w:t>0+</w:t>
            </w:r>
            <w:r w:rsidR="002E61DE" w:rsidRPr="00BF1DF2">
              <w:rPr>
                <w:rFonts w:ascii="Calibri" w:hAnsi="Calibri" w:cs="Calibri"/>
                <w:szCs w:val="19"/>
              </w:rPr>
              <w:t>”</w:t>
            </w:r>
          </w:p>
        </w:tc>
        <w:tc>
          <w:tcPr>
            <w:tcW w:w="4216" w:type="dxa"/>
            <w:vAlign w:val="center"/>
          </w:tcPr>
          <w:p w:rsidR="000C70A4" w:rsidRPr="00BF1DF2" w:rsidRDefault="000C70A4" w:rsidP="00463955">
            <w:pPr>
              <w:pStyle w:val="Tekstprzypisudolnego"/>
              <w:shd w:val="clear" w:color="auto" w:fill="F2F2F2" w:themeFill="background1" w:themeFillShade="F2"/>
              <w:spacing w:before="40" w:after="40"/>
              <w:rPr>
                <w:rFonts w:ascii="Calibri" w:hAnsi="Calibri" w:cs="Calibri"/>
                <w:szCs w:val="19"/>
              </w:rPr>
            </w:pPr>
            <w:r w:rsidRPr="00BF1DF2">
              <w:rPr>
                <w:rFonts w:ascii="Calibri" w:hAnsi="Calibri" w:cs="Calibri"/>
                <w:szCs w:val="19"/>
              </w:rPr>
              <w:t xml:space="preserve">Uchwała Nr </w:t>
            </w:r>
            <w:r w:rsidR="00CA470E" w:rsidRPr="00BF1DF2">
              <w:rPr>
                <w:rFonts w:ascii="Calibri" w:hAnsi="Calibri" w:cs="Calibri"/>
                <w:szCs w:val="19"/>
              </w:rPr>
              <w:t>LXXIII/930/23</w:t>
            </w:r>
            <w:r w:rsidRPr="00BF1DF2">
              <w:rPr>
                <w:rFonts w:ascii="Calibri" w:hAnsi="Calibri" w:cs="Calibri"/>
                <w:szCs w:val="19"/>
              </w:rPr>
              <w:t xml:space="preserve"> Rady Miejskiej w</w:t>
            </w:r>
            <w:r w:rsidR="00FA611C" w:rsidRPr="00BF1DF2">
              <w:rPr>
                <w:rFonts w:ascii="Calibri" w:hAnsi="Calibri" w:cs="Calibri"/>
                <w:szCs w:val="19"/>
              </w:rPr>
              <w:t> </w:t>
            </w:r>
            <w:r w:rsidRPr="00BF1DF2">
              <w:rPr>
                <w:rFonts w:ascii="Calibri" w:hAnsi="Calibri" w:cs="Calibri"/>
                <w:szCs w:val="19"/>
              </w:rPr>
              <w:t>Bytomiu z</w:t>
            </w:r>
            <w:r w:rsidR="00A67B67" w:rsidRPr="00BF1DF2">
              <w:rPr>
                <w:rFonts w:ascii="Calibri" w:hAnsi="Calibri" w:cs="Calibri"/>
                <w:szCs w:val="19"/>
              </w:rPr>
              <w:t> </w:t>
            </w:r>
            <w:r w:rsidRPr="00BF1DF2">
              <w:rPr>
                <w:rFonts w:ascii="Calibri" w:hAnsi="Calibri" w:cs="Calibri"/>
                <w:szCs w:val="19"/>
              </w:rPr>
              <w:t xml:space="preserve">dnia </w:t>
            </w:r>
            <w:r w:rsidR="00CA470E" w:rsidRPr="00BF1DF2">
              <w:rPr>
                <w:rFonts w:ascii="Calibri" w:hAnsi="Calibri" w:cs="Calibri"/>
                <w:szCs w:val="19"/>
              </w:rPr>
              <w:t>30 stycznia 2023 r.</w:t>
            </w:r>
          </w:p>
        </w:tc>
      </w:tr>
      <w:tr w:rsidR="000C70A4" w:rsidRPr="00BF1DF2" w:rsidTr="00FA611C">
        <w:trPr>
          <w:cantSplit/>
          <w:trHeight w:val="556"/>
          <w:jc w:val="center"/>
        </w:trPr>
        <w:tc>
          <w:tcPr>
            <w:tcW w:w="1526" w:type="dxa"/>
            <w:vMerge/>
            <w:vAlign w:val="center"/>
          </w:tcPr>
          <w:p w:rsidR="000C70A4" w:rsidRPr="00BF1DF2" w:rsidRDefault="000C70A4" w:rsidP="00463955">
            <w:pPr>
              <w:shd w:val="clear" w:color="auto" w:fill="F2F2F2" w:themeFill="background1" w:themeFillShade="F2"/>
              <w:spacing w:before="40" w:after="40"/>
              <w:jc w:val="center"/>
              <w:rPr>
                <w:rFonts w:ascii="Calibri" w:hAnsi="Calibri" w:cs="Calibri"/>
                <w:b/>
                <w:szCs w:val="19"/>
              </w:rPr>
            </w:pPr>
          </w:p>
        </w:tc>
        <w:tc>
          <w:tcPr>
            <w:tcW w:w="3544" w:type="dxa"/>
            <w:vAlign w:val="center"/>
          </w:tcPr>
          <w:p w:rsidR="000C70A4" w:rsidRPr="00BF1DF2" w:rsidRDefault="00A6161B" w:rsidP="00463955">
            <w:pPr>
              <w:shd w:val="clear" w:color="auto" w:fill="F2F2F2" w:themeFill="background1" w:themeFillShade="F2"/>
              <w:spacing w:before="40" w:after="40"/>
              <w:rPr>
                <w:rFonts w:ascii="Calibri" w:hAnsi="Calibri" w:cs="Calibri"/>
                <w:szCs w:val="19"/>
              </w:rPr>
            </w:pPr>
            <w:r w:rsidRPr="00BF1DF2">
              <w:rPr>
                <w:rFonts w:ascii="Calibri" w:hAnsi="Calibri" w:cs="Calibri"/>
                <w:szCs w:val="19"/>
              </w:rPr>
              <w:t>Strategia</w:t>
            </w:r>
            <w:r w:rsidR="000C70A4" w:rsidRPr="00BF1DF2">
              <w:rPr>
                <w:rFonts w:ascii="Calibri" w:hAnsi="Calibri" w:cs="Calibri"/>
                <w:szCs w:val="19"/>
              </w:rPr>
              <w:t xml:space="preserve"> Rozwiązywan</w:t>
            </w:r>
            <w:r w:rsidR="00CA470E" w:rsidRPr="00BF1DF2">
              <w:rPr>
                <w:rFonts w:ascii="Calibri" w:hAnsi="Calibri" w:cs="Calibri"/>
                <w:szCs w:val="19"/>
              </w:rPr>
              <w:t>ia Problemów Społecznych Bytomia na lata 2021</w:t>
            </w:r>
            <w:r w:rsidR="000C70A4" w:rsidRPr="00BF1DF2">
              <w:rPr>
                <w:rFonts w:ascii="Calibri" w:hAnsi="Calibri" w:cs="Calibri"/>
                <w:szCs w:val="19"/>
              </w:rPr>
              <w:t>-202</w:t>
            </w:r>
            <w:r w:rsidR="00CA470E" w:rsidRPr="00BF1DF2">
              <w:rPr>
                <w:rFonts w:ascii="Calibri" w:hAnsi="Calibri" w:cs="Calibri"/>
                <w:szCs w:val="19"/>
              </w:rPr>
              <w:t>6</w:t>
            </w:r>
          </w:p>
        </w:tc>
        <w:tc>
          <w:tcPr>
            <w:tcW w:w="4216" w:type="dxa"/>
            <w:vAlign w:val="center"/>
          </w:tcPr>
          <w:p w:rsidR="000C70A4" w:rsidRPr="00BF1DF2" w:rsidRDefault="000C70A4" w:rsidP="00463955">
            <w:pPr>
              <w:shd w:val="clear" w:color="auto" w:fill="F2F2F2" w:themeFill="background1" w:themeFillShade="F2"/>
              <w:spacing w:before="40" w:after="40"/>
              <w:rPr>
                <w:rFonts w:ascii="Calibri" w:hAnsi="Calibri" w:cs="Calibri"/>
                <w:szCs w:val="19"/>
              </w:rPr>
            </w:pPr>
            <w:r w:rsidRPr="00BF1DF2">
              <w:rPr>
                <w:rFonts w:ascii="Calibri" w:hAnsi="Calibri" w:cs="Calibri"/>
                <w:szCs w:val="19"/>
              </w:rPr>
              <w:t xml:space="preserve">Uchwała Nr </w:t>
            </w:r>
            <w:r w:rsidR="00CA470E" w:rsidRPr="00BF1DF2">
              <w:rPr>
                <w:rFonts w:ascii="Calibri" w:hAnsi="Calibri" w:cs="Calibri"/>
                <w:szCs w:val="19"/>
              </w:rPr>
              <w:t>L/666/2021</w:t>
            </w:r>
            <w:r w:rsidRPr="00BF1DF2">
              <w:rPr>
                <w:rFonts w:ascii="Calibri" w:hAnsi="Calibri" w:cs="Calibri"/>
                <w:szCs w:val="19"/>
              </w:rPr>
              <w:t xml:space="preserve"> Rady Miejskiej w</w:t>
            </w:r>
            <w:r w:rsidR="00FA611C" w:rsidRPr="00BF1DF2">
              <w:rPr>
                <w:rFonts w:ascii="Calibri" w:hAnsi="Calibri" w:cs="Calibri"/>
                <w:szCs w:val="19"/>
              </w:rPr>
              <w:t> </w:t>
            </w:r>
            <w:r w:rsidR="00CA470E" w:rsidRPr="00BF1DF2">
              <w:rPr>
                <w:rFonts w:ascii="Calibri" w:hAnsi="Calibri" w:cs="Calibri"/>
                <w:szCs w:val="19"/>
              </w:rPr>
              <w:t>Bytomiu z dnia 25 października 2021</w:t>
            </w:r>
            <w:r w:rsidR="006531EA" w:rsidRPr="00BF1DF2">
              <w:rPr>
                <w:rFonts w:ascii="Calibri" w:hAnsi="Calibri" w:cs="Calibri"/>
                <w:szCs w:val="19"/>
              </w:rPr>
              <w:t xml:space="preserve"> </w:t>
            </w:r>
            <w:r w:rsidRPr="00BF1DF2">
              <w:rPr>
                <w:rFonts w:ascii="Calibri" w:hAnsi="Calibri" w:cs="Calibri"/>
                <w:szCs w:val="19"/>
              </w:rPr>
              <w:t>r.</w:t>
            </w:r>
          </w:p>
        </w:tc>
      </w:tr>
      <w:tr w:rsidR="000C70A4" w:rsidRPr="00BF1DF2" w:rsidTr="00FA611C">
        <w:trPr>
          <w:cantSplit/>
          <w:trHeight w:val="592"/>
          <w:jc w:val="center"/>
        </w:trPr>
        <w:tc>
          <w:tcPr>
            <w:tcW w:w="1526" w:type="dxa"/>
            <w:vMerge/>
            <w:vAlign w:val="center"/>
          </w:tcPr>
          <w:p w:rsidR="000C70A4" w:rsidRPr="00BF1DF2" w:rsidRDefault="000C70A4" w:rsidP="00463955">
            <w:pPr>
              <w:shd w:val="clear" w:color="auto" w:fill="F2F2F2" w:themeFill="background1" w:themeFillShade="F2"/>
              <w:spacing w:before="40" w:after="40"/>
              <w:jc w:val="center"/>
              <w:rPr>
                <w:rFonts w:ascii="Calibri" w:hAnsi="Calibri" w:cs="Calibri"/>
                <w:b/>
                <w:szCs w:val="19"/>
              </w:rPr>
            </w:pPr>
          </w:p>
        </w:tc>
        <w:tc>
          <w:tcPr>
            <w:tcW w:w="3544" w:type="dxa"/>
            <w:vAlign w:val="center"/>
          </w:tcPr>
          <w:p w:rsidR="000C70A4" w:rsidRPr="00BF1DF2" w:rsidRDefault="000C70A4" w:rsidP="00463955">
            <w:pPr>
              <w:shd w:val="clear" w:color="auto" w:fill="F2F2F2" w:themeFill="background1" w:themeFillShade="F2"/>
              <w:spacing w:before="40" w:after="40"/>
              <w:rPr>
                <w:rFonts w:ascii="Calibri" w:hAnsi="Calibri" w:cs="Calibri"/>
                <w:szCs w:val="19"/>
              </w:rPr>
            </w:pPr>
            <w:r w:rsidRPr="00BF1DF2">
              <w:rPr>
                <w:rFonts w:ascii="Calibri" w:hAnsi="Calibri" w:cs="Calibri"/>
                <w:szCs w:val="19"/>
              </w:rPr>
              <w:t>Studium uwarunkowań i kierunków zagospodarowania przestrzennego Gminy Bytom</w:t>
            </w:r>
          </w:p>
        </w:tc>
        <w:tc>
          <w:tcPr>
            <w:tcW w:w="4216" w:type="dxa"/>
            <w:vAlign w:val="center"/>
          </w:tcPr>
          <w:p w:rsidR="000C70A4" w:rsidRPr="00BF1DF2" w:rsidRDefault="000C70A4" w:rsidP="00463955">
            <w:pPr>
              <w:shd w:val="clear" w:color="auto" w:fill="F2F2F2" w:themeFill="background1" w:themeFillShade="F2"/>
              <w:spacing w:before="40" w:after="40"/>
              <w:rPr>
                <w:rFonts w:ascii="Calibri" w:hAnsi="Calibri" w:cs="Calibri"/>
                <w:szCs w:val="19"/>
              </w:rPr>
            </w:pPr>
            <w:r w:rsidRPr="00BF1DF2">
              <w:rPr>
                <w:rFonts w:ascii="Calibri" w:hAnsi="Calibri" w:cs="Calibri"/>
                <w:szCs w:val="19"/>
              </w:rPr>
              <w:t>Uchwała Nr XXVI/204/11 Rady Miejskiej w</w:t>
            </w:r>
            <w:r w:rsidR="00FA611C" w:rsidRPr="00BF1DF2">
              <w:rPr>
                <w:rFonts w:ascii="Calibri" w:hAnsi="Calibri" w:cs="Calibri"/>
                <w:szCs w:val="19"/>
              </w:rPr>
              <w:t> </w:t>
            </w:r>
            <w:r w:rsidRPr="00BF1DF2">
              <w:rPr>
                <w:rFonts w:ascii="Calibri" w:hAnsi="Calibri" w:cs="Calibri"/>
                <w:szCs w:val="19"/>
              </w:rPr>
              <w:t>Bytomiu z dnia 24 sierpnia</w:t>
            </w:r>
            <w:r w:rsidR="00CA470E" w:rsidRPr="00BF1DF2">
              <w:rPr>
                <w:rFonts w:ascii="Calibri" w:hAnsi="Calibri" w:cs="Calibri"/>
                <w:szCs w:val="19"/>
              </w:rPr>
              <w:t xml:space="preserve"> 2011 r. z późniejszymi zmianami</w:t>
            </w:r>
          </w:p>
        </w:tc>
      </w:tr>
      <w:tr w:rsidR="000C70A4" w:rsidRPr="00BF1DF2" w:rsidTr="00FA611C">
        <w:trPr>
          <w:cantSplit/>
          <w:trHeight w:val="619"/>
          <w:jc w:val="center"/>
        </w:trPr>
        <w:tc>
          <w:tcPr>
            <w:tcW w:w="1526" w:type="dxa"/>
            <w:vMerge w:val="restart"/>
            <w:vAlign w:val="center"/>
          </w:tcPr>
          <w:p w:rsidR="000C70A4" w:rsidRPr="00BF1DF2" w:rsidRDefault="000C70A4" w:rsidP="00463955">
            <w:pPr>
              <w:shd w:val="clear" w:color="auto" w:fill="F2F2F2" w:themeFill="background1" w:themeFillShade="F2"/>
              <w:spacing w:before="40" w:after="40"/>
              <w:jc w:val="center"/>
              <w:rPr>
                <w:rFonts w:ascii="Calibri" w:hAnsi="Calibri" w:cs="Calibri"/>
                <w:b/>
                <w:szCs w:val="19"/>
              </w:rPr>
            </w:pPr>
            <w:r w:rsidRPr="00BF1DF2">
              <w:rPr>
                <w:rFonts w:ascii="Calibri" w:hAnsi="Calibri" w:cs="Calibri"/>
                <w:b/>
                <w:szCs w:val="19"/>
              </w:rPr>
              <w:t>Dokumenty programowe</w:t>
            </w:r>
          </w:p>
        </w:tc>
        <w:tc>
          <w:tcPr>
            <w:tcW w:w="3544" w:type="dxa"/>
            <w:vAlign w:val="center"/>
          </w:tcPr>
          <w:p w:rsidR="000C70A4" w:rsidRPr="00BF1DF2" w:rsidRDefault="00CA470E" w:rsidP="00463955">
            <w:pPr>
              <w:shd w:val="clear" w:color="auto" w:fill="F2F2F2" w:themeFill="background1" w:themeFillShade="F2"/>
              <w:spacing w:before="40" w:after="40"/>
              <w:rPr>
                <w:rFonts w:ascii="Calibri" w:hAnsi="Calibri" w:cs="Calibri"/>
                <w:szCs w:val="19"/>
              </w:rPr>
            </w:pPr>
            <w:r w:rsidRPr="00BF1DF2">
              <w:t xml:space="preserve">Polityka </w:t>
            </w:r>
            <w:r w:rsidRPr="00BF1DF2">
              <w:rPr>
                <w:bCs/>
              </w:rPr>
              <w:t>mieszkaniowa</w:t>
            </w:r>
            <w:r w:rsidRPr="00BF1DF2">
              <w:t xml:space="preserve"> Bytomia do 2050 roku. Nowy wizerunek miasta</w:t>
            </w:r>
          </w:p>
        </w:tc>
        <w:tc>
          <w:tcPr>
            <w:tcW w:w="4216" w:type="dxa"/>
            <w:vAlign w:val="center"/>
          </w:tcPr>
          <w:p w:rsidR="000C70A4" w:rsidRPr="00BF1DF2" w:rsidRDefault="000C70A4" w:rsidP="00463955">
            <w:pPr>
              <w:shd w:val="clear" w:color="auto" w:fill="F2F2F2" w:themeFill="background1" w:themeFillShade="F2"/>
              <w:spacing w:before="40" w:after="40"/>
              <w:rPr>
                <w:rFonts w:ascii="Calibri" w:hAnsi="Calibri" w:cs="Calibri"/>
                <w:szCs w:val="19"/>
              </w:rPr>
            </w:pPr>
            <w:r w:rsidRPr="00BF1DF2">
              <w:rPr>
                <w:rFonts w:ascii="Calibri" w:hAnsi="Calibri" w:cs="Calibri"/>
                <w:szCs w:val="19"/>
              </w:rPr>
              <w:t xml:space="preserve">Uchwała Nr </w:t>
            </w:r>
            <w:r w:rsidR="00CA470E" w:rsidRPr="00BF1DF2">
              <w:rPr>
                <w:rFonts w:ascii="Calibri" w:hAnsi="Calibri" w:cs="Calibri"/>
                <w:szCs w:val="19"/>
              </w:rPr>
              <w:t>XIV/173/19</w:t>
            </w:r>
            <w:r w:rsidRPr="00BF1DF2">
              <w:rPr>
                <w:rFonts w:ascii="Calibri" w:hAnsi="Calibri" w:cs="Calibri"/>
                <w:szCs w:val="19"/>
              </w:rPr>
              <w:t xml:space="preserve"> Rady Miejskiej w</w:t>
            </w:r>
            <w:r w:rsidR="00FA611C" w:rsidRPr="00BF1DF2">
              <w:rPr>
                <w:rFonts w:ascii="Calibri" w:hAnsi="Calibri" w:cs="Calibri"/>
                <w:szCs w:val="19"/>
              </w:rPr>
              <w:t> </w:t>
            </w:r>
            <w:r w:rsidR="00CA470E" w:rsidRPr="00BF1DF2">
              <w:rPr>
                <w:rFonts w:ascii="Calibri" w:hAnsi="Calibri" w:cs="Calibri"/>
                <w:szCs w:val="19"/>
              </w:rPr>
              <w:t>Bytomiu z dnia 24 czerwca 2019 r</w:t>
            </w:r>
            <w:r w:rsidRPr="00BF1DF2">
              <w:rPr>
                <w:rFonts w:ascii="Calibri" w:hAnsi="Calibri" w:cs="Calibri"/>
                <w:szCs w:val="19"/>
              </w:rPr>
              <w:t>.</w:t>
            </w:r>
          </w:p>
        </w:tc>
      </w:tr>
      <w:tr w:rsidR="00106F1E" w:rsidRPr="00BF1DF2" w:rsidTr="00FA611C">
        <w:trPr>
          <w:cantSplit/>
          <w:trHeight w:val="619"/>
          <w:jc w:val="center"/>
        </w:trPr>
        <w:tc>
          <w:tcPr>
            <w:tcW w:w="1526" w:type="dxa"/>
            <w:vMerge/>
            <w:vAlign w:val="center"/>
          </w:tcPr>
          <w:p w:rsidR="00106F1E" w:rsidRPr="00BF1DF2" w:rsidRDefault="00106F1E" w:rsidP="00463955">
            <w:pPr>
              <w:shd w:val="clear" w:color="auto" w:fill="F2F2F2" w:themeFill="background1" w:themeFillShade="F2"/>
              <w:spacing w:before="40" w:after="40"/>
              <w:jc w:val="center"/>
              <w:rPr>
                <w:rFonts w:ascii="Calibri" w:hAnsi="Calibri" w:cs="Calibri"/>
                <w:b/>
                <w:szCs w:val="19"/>
              </w:rPr>
            </w:pPr>
          </w:p>
        </w:tc>
        <w:tc>
          <w:tcPr>
            <w:tcW w:w="3544" w:type="dxa"/>
            <w:vAlign w:val="center"/>
          </w:tcPr>
          <w:p w:rsidR="00106F1E" w:rsidRPr="00BF1DF2" w:rsidRDefault="00106F1E" w:rsidP="00463955">
            <w:pPr>
              <w:shd w:val="clear" w:color="auto" w:fill="F2F2F2" w:themeFill="background1" w:themeFillShade="F2"/>
              <w:spacing w:before="40" w:after="40"/>
              <w:rPr>
                <w:bCs/>
              </w:rPr>
            </w:pPr>
            <w:r w:rsidRPr="00BF1DF2">
              <w:rPr>
                <w:bCs/>
              </w:rPr>
              <w:t>Wieloletni program gospodarowania mieszkaniowym zasobem Gminy Bytom na lata 2020-2026</w:t>
            </w:r>
          </w:p>
        </w:tc>
        <w:tc>
          <w:tcPr>
            <w:tcW w:w="4216" w:type="dxa"/>
            <w:vAlign w:val="center"/>
          </w:tcPr>
          <w:p w:rsidR="00106F1E" w:rsidRPr="00BF1DF2" w:rsidRDefault="00106F1E" w:rsidP="00463955">
            <w:pPr>
              <w:shd w:val="clear" w:color="auto" w:fill="F2F2F2" w:themeFill="background1" w:themeFillShade="F2"/>
              <w:spacing w:before="40" w:after="40"/>
              <w:rPr>
                <w:rFonts w:ascii="Calibri" w:hAnsi="Calibri" w:cs="Calibri"/>
                <w:szCs w:val="19"/>
              </w:rPr>
            </w:pPr>
            <w:r w:rsidRPr="00BF1DF2">
              <w:rPr>
                <w:rFonts w:ascii="Calibri" w:hAnsi="Calibri" w:cs="Calibri"/>
                <w:szCs w:val="19"/>
              </w:rPr>
              <w:t>Uchwała Nr XXV/366/20 Rady Miejskiej w Bytomiu z dnia 24 lutego 2020 r.</w:t>
            </w:r>
          </w:p>
        </w:tc>
      </w:tr>
      <w:tr w:rsidR="000C70A4" w:rsidRPr="00BF1DF2" w:rsidTr="00FA611C">
        <w:trPr>
          <w:cantSplit/>
          <w:trHeight w:val="557"/>
          <w:jc w:val="center"/>
        </w:trPr>
        <w:tc>
          <w:tcPr>
            <w:tcW w:w="1526" w:type="dxa"/>
            <w:vMerge/>
            <w:vAlign w:val="center"/>
          </w:tcPr>
          <w:p w:rsidR="000C70A4" w:rsidRPr="00BF1DF2" w:rsidRDefault="000C70A4" w:rsidP="00463955">
            <w:pPr>
              <w:shd w:val="clear" w:color="auto" w:fill="F2F2F2" w:themeFill="background1" w:themeFillShade="F2"/>
              <w:spacing w:before="40" w:after="40"/>
              <w:jc w:val="center"/>
              <w:rPr>
                <w:rFonts w:ascii="Calibri" w:hAnsi="Calibri" w:cs="Calibri"/>
                <w:b/>
                <w:szCs w:val="19"/>
              </w:rPr>
            </w:pPr>
          </w:p>
        </w:tc>
        <w:tc>
          <w:tcPr>
            <w:tcW w:w="3544" w:type="dxa"/>
            <w:vAlign w:val="center"/>
          </w:tcPr>
          <w:p w:rsidR="000C70A4" w:rsidRPr="00BF1DF2" w:rsidRDefault="000C70A4" w:rsidP="00463955">
            <w:pPr>
              <w:shd w:val="clear" w:color="auto" w:fill="F2F2F2" w:themeFill="background1" w:themeFillShade="F2"/>
              <w:spacing w:before="40" w:after="40"/>
              <w:rPr>
                <w:rFonts w:ascii="Calibri" w:hAnsi="Calibri" w:cs="Calibri"/>
                <w:szCs w:val="19"/>
              </w:rPr>
            </w:pPr>
            <w:r w:rsidRPr="00BF1DF2">
              <w:rPr>
                <w:rFonts w:ascii="Calibri" w:hAnsi="Calibri" w:cs="Calibri"/>
                <w:szCs w:val="19"/>
              </w:rPr>
              <w:t>Program Opieki nad Zabytkami Miasta Bytomia na lata 20</w:t>
            </w:r>
            <w:r w:rsidR="00FE2AEA" w:rsidRPr="00BF1DF2">
              <w:rPr>
                <w:rFonts w:ascii="Calibri" w:hAnsi="Calibri" w:cs="Calibri"/>
                <w:szCs w:val="19"/>
              </w:rPr>
              <w:t>22-2025</w:t>
            </w:r>
          </w:p>
        </w:tc>
        <w:tc>
          <w:tcPr>
            <w:tcW w:w="4216" w:type="dxa"/>
            <w:vAlign w:val="center"/>
          </w:tcPr>
          <w:p w:rsidR="000C70A4" w:rsidRPr="00BF1DF2" w:rsidRDefault="000C70A4" w:rsidP="00463955">
            <w:pPr>
              <w:shd w:val="clear" w:color="auto" w:fill="F2F2F2" w:themeFill="background1" w:themeFillShade="F2"/>
              <w:spacing w:before="40" w:after="40"/>
              <w:rPr>
                <w:rFonts w:ascii="Calibri" w:hAnsi="Calibri" w:cs="Calibri"/>
                <w:szCs w:val="19"/>
              </w:rPr>
            </w:pPr>
            <w:r w:rsidRPr="00BF1DF2">
              <w:rPr>
                <w:rFonts w:ascii="Calibri" w:hAnsi="Calibri" w:cs="Calibri"/>
                <w:szCs w:val="19"/>
              </w:rPr>
              <w:t xml:space="preserve">Uchwała Nr </w:t>
            </w:r>
            <w:r w:rsidR="00FE2AEA" w:rsidRPr="00BF1DF2">
              <w:rPr>
                <w:rFonts w:ascii="Calibri" w:hAnsi="Calibri" w:cs="Calibri"/>
                <w:szCs w:val="19"/>
              </w:rPr>
              <w:t>LIV/739/22</w:t>
            </w:r>
            <w:r w:rsidRPr="00BF1DF2">
              <w:rPr>
                <w:rFonts w:ascii="Calibri" w:hAnsi="Calibri" w:cs="Calibri"/>
                <w:szCs w:val="19"/>
              </w:rPr>
              <w:t xml:space="preserve"> Rady Miejskiej w</w:t>
            </w:r>
            <w:r w:rsidR="00FA611C" w:rsidRPr="00BF1DF2">
              <w:rPr>
                <w:rFonts w:ascii="Calibri" w:hAnsi="Calibri" w:cs="Calibri"/>
                <w:szCs w:val="19"/>
              </w:rPr>
              <w:t> </w:t>
            </w:r>
            <w:r w:rsidRPr="00BF1DF2">
              <w:rPr>
                <w:rFonts w:ascii="Calibri" w:hAnsi="Calibri" w:cs="Calibri"/>
                <w:szCs w:val="19"/>
              </w:rPr>
              <w:t>By</w:t>
            </w:r>
            <w:r w:rsidR="00FE2AEA" w:rsidRPr="00BF1DF2">
              <w:rPr>
                <w:rFonts w:ascii="Calibri" w:hAnsi="Calibri" w:cs="Calibri"/>
                <w:szCs w:val="19"/>
              </w:rPr>
              <w:t>tomiu z dnia 22 marca 2022 r.</w:t>
            </w:r>
          </w:p>
        </w:tc>
      </w:tr>
      <w:tr w:rsidR="000C70A4" w:rsidRPr="00BF1DF2" w:rsidTr="00FA611C">
        <w:trPr>
          <w:cantSplit/>
          <w:trHeight w:val="835"/>
          <w:jc w:val="center"/>
        </w:trPr>
        <w:tc>
          <w:tcPr>
            <w:tcW w:w="1526" w:type="dxa"/>
            <w:vMerge/>
            <w:vAlign w:val="center"/>
          </w:tcPr>
          <w:p w:rsidR="000C70A4" w:rsidRPr="00BF1DF2" w:rsidRDefault="000C70A4" w:rsidP="00463955">
            <w:pPr>
              <w:shd w:val="clear" w:color="auto" w:fill="F2F2F2" w:themeFill="background1" w:themeFillShade="F2"/>
              <w:spacing w:before="40" w:after="40"/>
              <w:jc w:val="center"/>
              <w:rPr>
                <w:rFonts w:ascii="Calibri" w:hAnsi="Calibri" w:cs="Calibri"/>
                <w:b/>
                <w:szCs w:val="19"/>
              </w:rPr>
            </w:pPr>
          </w:p>
        </w:tc>
        <w:tc>
          <w:tcPr>
            <w:tcW w:w="3544" w:type="dxa"/>
            <w:vAlign w:val="center"/>
          </w:tcPr>
          <w:p w:rsidR="000C70A4" w:rsidRPr="00BF1DF2" w:rsidRDefault="00FE2AEA" w:rsidP="00463955">
            <w:pPr>
              <w:shd w:val="clear" w:color="auto" w:fill="F2F2F2" w:themeFill="background1" w:themeFillShade="F2"/>
              <w:spacing w:before="40" w:after="40"/>
              <w:rPr>
                <w:rFonts w:ascii="Calibri" w:hAnsi="Calibri" w:cs="Calibri"/>
                <w:szCs w:val="19"/>
              </w:rPr>
            </w:pPr>
            <w:r w:rsidRPr="00BF1DF2">
              <w:t>Program Ochrony Środowiska dla miasta Bytom na lata 2022-2030 z perspektywą do roku 2035</w:t>
            </w:r>
          </w:p>
        </w:tc>
        <w:tc>
          <w:tcPr>
            <w:tcW w:w="4216" w:type="dxa"/>
            <w:vAlign w:val="center"/>
          </w:tcPr>
          <w:p w:rsidR="000C70A4" w:rsidRPr="00BF1DF2" w:rsidRDefault="000C70A4" w:rsidP="00463955">
            <w:pPr>
              <w:shd w:val="clear" w:color="auto" w:fill="F2F2F2" w:themeFill="background1" w:themeFillShade="F2"/>
              <w:spacing w:before="40" w:after="40"/>
              <w:rPr>
                <w:rFonts w:ascii="Calibri" w:hAnsi="Calibri" w:cs="Calibri"/>
                <w:szCs w:val="19"/>
              </w:rPr>
            </w:pPr>
            <w:r w:rsidRPr="00BF1DF2">
              <w:rPr>
                <w:rFonts w:ascii="Calibri" w:hAnsi="Calibri" w:cs="Calibri"/>
                <w:szCs w:val="19"/>
              </w:rPr>
              <w:t xml:space="preserve">Uchwała Nr </w:t>
            </w:r>
            <w:r w:rsidR="00FE2AEA" w:rsidRPr="00BF1DF2">
              <w:rPr>
                <w:rFonts w:ascii="Calibri" w:hAnsi="Calibri" w:cs="Calibri"/>
                <w:szCs w:val="19"/>
              </w:rPr>
              <w:t>LXXI/890/22</w:t>
            </w:r>
            <w:r w:rsidRPr="00BF1DF2">
              <w:rPr>
                <w:rFonts w:ascii="Calibri" w:hAnsi="Calibri" w:cs="Calibri"/>
                <w:szCs w:val="19"/>
              </w:rPr>
              <w:t xml:space="preserve"> Rady Miejskiej w Bytomiu </w:t>
            </w:r>
            <w:r w:rsidR="00354460" w:rsidRPr="00BF1DF2">
              <w:rPr>
                <w:rFonts w:ascii="Calibri" w:hAnsi="Calibri" w:cs="Calibri"/>
                <w:szCs w:val="19"/>
              </w:rPr>
              <w:t>z </w:t>
            </w:r>
            <w:r w:rsidRPr="00BF1DF2">
              <w:rPr>
                <w:rFonts w:ascii="Calibri" w:hAnsi="Calibri" w:cs="Calibri"/>
                <w:szCs w:val="19"/>
              </w:rPr>
              <w:t>dnia</w:t>
            </w:r>
            <w:r w:rsidR="00354460" w:rsidRPr="00BF1DF2">
              <w:rPr>
                <w:rFonts w:ascii="Calibri" w:hAnsi="Calibri" w:cs="Calibri"/>
                <w:szCs w:val="19"/>
              </w:rPr>
              <w:t> </w:t>
            </w:r>
            <w:r w:rsidR="00FE2AEA" w:rsidRPr="00BF1DF2">
              <w:rPr>
                <w:rFonts w:ascii="Calibri" w:hAnsi="Calibri" w:cs="Calibri"/>
                <w:szCs w:val="19"/>
              </w:rPr>
              <w:t>28 listopada 2022</w:t>
            </w:r>
            <w:r w:rsidRPr="00BF1DF2">
              <w:rPr>
                <w:rFonts w:ascii="Calibri" w:hAnsi="Calibri" w:cs="Calibri"/>
                <w:szCs w:val="19"/>
              </w:rPr>
              <w:t xml:space="preserve"> r.</w:t>
            </w:r>
          </w:p>
        </w:tc>
      </w:tr>
      <w:tr w:rsidR="000C70A4" w:rsidRPr="00BF1DF2" w:rsidTr="00FA611C">
        <w:trPr>
          <w:cantSplit/>
          <w:trHeight w:val="704"/>
          <w:jc w:val="center"/>
        </w:trPr>
        <w:tc>
          <w:tcPr>
            <w:tcW w:w="1526" w:type="dxa"/>
            <w:vMerge w:val="restart"/>
            <w:vAlign w:val="center"/>
          </w:tcPr>
          <w:p w:rsidR="000C70A4" w:rsidRPr="00BF1DF2" w:rsidRDefault="000C70A4" w:rsidP="00463955">
            <w:pPr>
              <w:shd w:val="clear" w:color="auto" w:fill="F2F2F2" w:themeFill="background1" w:themeFillShade="F2"/>
              <w:spacing w:before="40" w:after="40"/>
              <w:jc w:val="center"/>
              <w:rPr>
                <w:rFonts w:ascii="Calibri" w:hAnsi="Calibri" w:cs="Calibri"/>
                <w:b/>
                <w:szCs w:val="19"/>
              </w:rPr>
            </w:pPr>
            <w:r w:rsidRPr="00BF1DF2">
              <w:rPr>
                <w:rFonts w:ascii="Calibri" w:hAnsi="Calibri" w:cs="Calibri"/>
                <w:b/>
                <w:szCs w:val="19"/>
              </w:rPr>
              <w:t>Dokumenty planistyczne</w:t>
            </w:r>
          </w:p>
        </w:tc>
        <w:tc>
          <w:tcPr>
            <w:tcW w:w="3544" w:type="dxa"/>
            <w:vAlign w:val="center"/>
          </w:tcPr>
          <w:p w:rsidR="000C70A4" w:rsidRPr="00BF1DF2" w:rsidRDefault="000C70A4" w:rsidP="00463955">
            <w:pPr>
              <w:shd w:val="clear" w:color="auto" w:fill="F2F2F2" w:themeFill="background1" w:themeFillShade="F2"/>
              <w:spacing w:before="40" w:after="40"/>
              <w:rPr>
                <w:rFonts w:ascii="Calibri" w:hAnsi="Calibri" w:cs="Calibri"/>
                <w:szCs w:val="19"/>
              </w:rPr>
            </w:pPr>
            <w:r w:rsidRPr="00BF1DF2">
              <w:rPr>
                <w:rFonts w:ascii="Calibri" w:hAnsi="Calibri" w:cs="Calibri"/>
                <w:szCs w:val="19"/>
              </w:rPr>
              <w:t>Plan Rewitalizacji i Rozwoju Śródmieścia (ReRoŚ)</w:t>
            </w:r>
          </w:p>
        </w:tc>
        <w:tc>
          <w:tcPr>
            <w:tcW w:w="4216" w:type="dxa"/>
            <w:vAlign w:val="center"/>
          </w:tcPr>
          <w:p w:rsidR="000C70A4" w:rsidRPr="00BF1DF2" w:rsidRDefault="000C70A4" w:rsidP="00463955">
            <w:pPr>
              <w:shd w:val="clear" w:color="auto" w:fill="F2F2F2" w:themeFill="background1" w:themeFillShade="F2"/>
              <w:spacing w:before="40" w:after="40"/>
              <w:rPr>
                <w:rFonts w:ascii="Calibri" w:hAnsi="Calibri" w:cs="Calibri"/>
                <w:szCs w:val="19"/>
              </w:rPr>
            </w:pPr>
            <w:r w:rsidRPr="00BF1DF2">
              <w:rPr>
                <w:rFonts w:ascii="Calibri" w:hAnsi="Calibri" w:cs="Calibri"/>
                <w:szCs w:val="19"/>
              </w:rPr>
              <w:t>Uchwała Nr XXIX/458/2004 Rady Miejskiej w</w:t>
            </w:r>
            <w:r w:rsidR="00FA611C" w:rsidRPr="00BF1DF2">
              <w:rPr>
                <w:rFonts w:ascii="Calibri" w:hAnsi="Calibri" w:cs="Calibri"/>
                <w:szCs w:val="19"/>
              </w:rPr>
              <w:t> </w:t>
            </w:r>
            <w:r w:rsidRPr="00BF1DF2">
              <w:rPr>
                <w:rFonts w:ascii="Calibri" w:hAnsi="Calibri" w:cs="Calibri"/>
                <w:szCs w:val="19"/>
              </w:rPr>
              <w:t>Bytomiu z dnia 25 sierpnia 2004 r.</w:t>
            </w:r>
          </w:p>
        </w:tc>
      </w:tr>
      <w:tr w:rsidR="000C70A4" w:rsidRPr="00BF1DF2" w:rsidTr="00FA611C">
        <w:trPr>
          <w:cantSplit/>
          <w:trHeight w:val="835"/>
          <w:jc w:val="center"/>
        </w:trPr>
        <w:tc>
          <w:tcPr>
            <w:tcW w:w="1526" w:type="dxa"/>
            <w:vMerge/>
            <w:vAlign w:val="center"/>
          </w:tcPr>
          <w:p w:rsidR="000C70A4" w:rsidRPr="00BF1DF2" w:rsidRDefault="000C70A4" w:rsidP="00463955">
            <w:pPr>
              <w:shd w:val="clear" w:color="auto" w:fill="F2F2F2" w:themeFill="background1" w:themeFillShade="F2"/>
              <w:spacing w:before="40" w:after="40"/>
              <w:jc w:val="center"/>
              <w:rPr>
                <w:rFonts w:ascii="Calibri" w:hAnsi="Calibri" w:cs="Calibri"/>
                <w:szCs w:val="19"/>
              </w:rPr>
            </w:pPr>
          </w:p>
        </w:tc>
        <w:tc>
          <w:tcPr>
            <w:tcW w:w="3544" w:type="dxa"/>
            <w:vAlign w:val="center"/>
          </w:tcPr>
          <w:p w:rsidR="000C70A4" w:rsidRPr="00BF1DF2" w:rsidRDefault="000C70A4" w:rsidP="00463955">
            <w:pPr>
              <w:shd w:val="clear" w:color="auto" w:fill="F2F2F2" w:themeFill="background1" w:themeFillShade="F2"/>
              <w:spacing w:before="40" w:after="40"/>
              <w:rPr>
                <w:rFonts w:ascii="Calibri" w:hAnsi="Calibri" w:cs="Calibri"/>
                <w:szCs w:val="19"/>
              </w:rPr>
            </w:pPr>
            <w:r w:rsidRPr="00BF1DF2">
              <w:rPr>
                <w:rFonts w:ascii="Calibri" w:hAnsi="Calibri" w:cs="Calibri"/>
                <w:szCs w:val="19"/>
              </w:rPr>
              <w:t>Aktualizacja Studium wykonalności dla projektu pn. „Rewitalizacja starówki Bytomia – dziedzictwa kulturowego regionu – etap I”</w:t>
            </w:r>
          </w:p>
        </w:tc>
        <w:tc>
          <w:tcPr>
            <w:tcW w:w="4216" w:type="dxa"/>
            <w:vAlign w:val="center"/>
          </w:tcPr>
          <w:p w:rsidR="000C70A4" w:rsidRPr="00BF1DF2" w:rsidRDefault="000C70A4" w:rsidP="00463955">
            <w:pPr>
              <w:shd w:val="clear" w:color="auto" w:fill="F2F2F2" w:themeFill="background1" w:themeFillShade="F2"/>
              <w:spacing w:before="40" w:after="40"/>
              <w:rPr>
                <w:rFonts w:ascii="Calibri" w:hAnsi="Calibri" w:cs="Calibri"/>
                <w:szCs w:val="19"/>
              </w:rPr>
            </w:pPr>
            <w:r w:rsidRPr="00BF1DF2">
              <w:rPr>
                <w:rFonts w:ascii="Calibri" w:hAnsi="Calibri" w:cs="Calibri"/>
                <w:szCs w:val="19"/>
              </w:rPr>
              <w:t>Opracowano w listopadzie 2013 r.</w:t>
            </w:r>
          </w:p>
        </w:tc>
      </w:tr>
    </w:tbl>
    <w:p w:rsidR="00CA470E" w:rsidRPr="00BF1DF2" w:rsidRDefault="0008675B" w:rsidP="00463955">
      <w:pPr>
        <w:shd w:val="clear" w:color="auto" w:fill="F2F2F2" w:themeFill="background1" w:themeFillShade="F2"/>
        <w:jc w:val="both"/>
        <w:rPr>
          <w:rFonts w:ascii="Calibri" w:hAnsi="Calibri" w:cs="Calibri"/>
          <w:i/>
          <w:sz w:val="18"/>
          <w:szCs w:val="18"/>
        </w:rPr>
      </w:pPr>
      <w:r w:rsidRPr="00BF1DF2">
        <w:rPr>
          <w:rFonts w:ascii="Calibri" w:hAnsi="Calibri" w:cs="Calibri"/>
          <w:i/>
          <w:sz w:val="18"/>
          <w:szCs w:val="18"/>
        </w:rPr>
        <w:t>Źródło: O</w:t>
      </w:r>
      <w:r w:rsidR="000C70A4" w:rsidRPr="00BF1DF2">
        <w:rPr>
          <w:rFonts w:ascii="Calibri" w:hAnsi="Calibri" w:cs="Calibri"/>
          <w:i/>
          <w:sz w:val="18"/>
          <w:szCs w:val="18"/>
        </w:rPr>
        <w:t xml:space="preserve">pracowanie własne </w:t>
      </w:r>
      <w:bookmarkStart w:id="1036" w:name="_Toc460173678"/>
      <w:bookmarkStart w:id="1037" w:name="_Toc460313262"/>
    </w:p>
    <w:p w:rsidR="00CA0A60" w:rsidRPr="00BF1DF2" w:rsidRDefault="00CA0A60" w:rsidP="00463955">
      <w:pPr>
        <w:pStyle w:val="Nagwek4"/>
        <w:shd w:val="clear" w:color="auto" w:fill="F2F2F2" w:themeFill="background1" w:themeFillShade="F2"/>
        <w:tabs>
          <w:tab w:val="left" w:pos="1190"/>
        </w:tabs>
        <w:spacing w:before="0" w:after="0"/>
        <w:rPr>
          <w:rFonts w:cs="Calibri"/>
          <w:i w:val="0"/>
          <w:szCs w:val="22"/>
        </w:rPr>
      </w:pPr>
    </w:p>
    <w:bookmarkEnd w:id="1036"/>
    <w:bookmarkEnd w:id="1037"/>
    <w:p w:rsidR="00BC3DE7" w:rsidRPr="00BF1DF2" w:rsidRDefault="0048738C" w:rsidP="00463955">
      <w:pPr>
        <w:shd w:val="clear" w:color="auto" w:fill="F2F2F2" w:themeFill="background1" w:themeFillShade="F2"/>
        <w:autoSpaceDE w:val="0"/>
        <w:autoSpaceDN w:val="0"/>
        <w:adjustRightInd w:val="0"/>
        <w:jc w:val="both"/>
        <w:rPr>
          <w:rFonts w:ascii="Calibri" w:hAnsi="Calibri" w:cs="Calibri"/>
          <w:b/>
          <w:sz w:val="22"/>
          <w:szCs w:val="22"/>
        </w:rPr>
      </w:pPr>
      <w:r w:rsidRPr="00BF1DF2">
        <w:rPr>
          <w:rFonts w:ascii="Calibri" w:hAnsi="Calibri" w:cs="Calibri"/>
          <w:b/>
          <w:sz w:val="22"/>
          <w:szCs w:val="22"/>
        </w:rPr>
        <w:t>Strategia Rozwoju Miasta Bytomia „Bytom 2030+”</w:t>
      </w:r>
    </w:p>
    <w:p w:rsidR="00CA0A60" w:rsidRPr="00BF1DF2" w:rsidRDefault="000C70A4" w:rsidP="00463955">
      <w:pPr>
        <w:shd w:val="clear" w:color="auto" w:fill="F2F2F2" w:themeFill="background1" w:themeFillShade="F2"/>
        <w:autoSpaceDE w:val="0"/>
        <w:autoSpaceDN w:val="0"/>
        <w:adjustRightInd w:val="0"/>
        <w:spacing w:before="120"/>
        <w:ind w:firstLine="708"/>
        <w:jc w:val="both"/>
        <w:rPr>
          <w:rFonts w:ascii="Calibri" w:hAnsi="Calibri" w:cs="Calibri"/>
          <w:szCs w:val="20"/>
        </w:rPr>
      </w:pPr>
      <w:r w:rsidRPr="00BF1DF2">
        <w:rPr>
          <w:rFonts w:ascii="Calibri" w:hAnsi="Calibri" w:cs="Calibri"/>
          <w:szCs w:val="20"/>
        </w:rPr>
        <w:lastRenderedPageBreak/>
        <w:t>Strategia rozwoju Bytomia stanowi fundament systemu planowania lokalnego</w:t>
      </w:r>
      <w:r w:rsidR="006130AB" w:rsidRPr="00BF1DF2">
        <w:rPr>
          <w:rFonts w:ascii="Calibri" w:hAnsi="Calibri" w:cs="Calibri"/>
          <w:szCs w:val="20"/>
        </w:rPr>
        <w:t xml:space="preserve">, </w:t>
      </w:r>
      <w:r w:rsidR="006130AB" w:rsidRPr="00BF1DF2">
        <w:rPr>
          <w:szCs w:val="20"/>
        </w:rPr>
        <w:t>to najważniejszy dokument nakreślający wizję i kierunki, które należy podjąć dla wykreowania przyszłości atrakcyjnej dla różnych podmiotów związanych z miastem. Strategia rozwoju Bytomia do roku 2030 wpisuje się w strategiczne myślenie widoczne we wcześniejszych opracowaniach tego typu, w szczególności zaś strategii rozwoju, programów rewitalizacji oraz szeregu innych dokumentów planistycznych i programowych.</w:t>
      </w:r>
      <w:r w:rsidR="00CA0A60" w:rsidRPr="00BF1DF2">
        <w:rPr>
          <w:szCs w:val="20"/>
        </w:rPr>
        <w:t xml:space="preserve"> </w:t>
      </w:r>
      <w:r w:rsidRPr="00BF1DF2">
        <w:rPr>
          <w:rFonts w:ascii="Calibri" w:hAnsi="Calibri" w:cs="Calibri"/>
          <w:szCs w:val="20"/>
        </w:rPr>
        <w:t>Strategia jest dokumentem, z którego wyprowadzane są opracowania strategiczne</w:t>
      </w:r>
      <w:r w:rsidR="00530CA1" w:rsidRPr="00BF1DF2">
        <w:rPr>
          <w:rFonts w:ascii="Calibri" w:hAnsi="Calibri" w:cs="Calibri"/>
          <w:szCs w:val="20"/>
        </w:rPr>
        <w:t>, operacyjne</w:t>
      </w:r>
      <w:r w:rsidRPr="00BF1DF2">
        <w:rPr>
          <w:rFonts w:ascii="Calibri" w:hAnsi="Calibri" w:cs="Calibri"/>
          <w:szCs w:val="20"/>
        </w:rPr>
        <w:t xml:space="preserve"> i programowe dotyczące specyficznych, ważnych dla</w:t>
      </w:r>
      <w:r w:rsidR="00530CA1" w:rsidRPr="00BF1DF2">
        <w:rPr>
          <w:rFonts w:ascii="Calibri" w:hAnsi="Calibri" w:cs="Calibri"/>
          <w:szCs w:val="20"/>
        </w:rPr>
        <w:t xml:space="preserve"> miasta zagadnień rozwojowych. </w:t>
      </w:r>
    </w:p>
    <w:p w:rsidR="00EF0605" w:rsidRPr="00BF1DF2" w:rsidRDefault="001D123C" w:rsidP="00463955">
      <w:pPr>
        <w:shd w:val="clear" w:color="auto" w:fill="F2F2F2" w:themeFill="background1" w:themeFillShade="F2"/>
        <w:autoSpaceDE w:val="0"/>
        <w:autoSpaceDN w:val="0"/>
        <w:adjustRightInd w:val="0"/>
        <w:spacing w:before="120"/>
        <w:ind w:firstLine="708"/>
        <w:jc w:val="both"/>
        <w:rPr>
          <w:rFonts w:ascii="Calibri" w:hAnsi="Calibri" w:cs="Calibri"/>
          <w:szCs w:val="20"/>
        </w:rPr>
      </w:pPr>
      <w:r w:rsidRPr="00BF1DF2">
        <w:rPr>
          <w:rFonts w:ascii="Calibri" w:hAnsi="Calibri" w:cs="Calibri"/>
          <w:szCs w:val="20"/>
        </w:rPr>
        <w:t>W oparciu o wyniki procesu partycypacyjnego z udziałem mieszkańców, przedsiębiorców oraz przedstawicieli sektora NGO d</w:t>
      </w:r>
      <w:r w:rsidR="00530CA1" w:rsidRPr="00BF1DF2">
        <w:rPr>
          <w:rFonts w:ascii="Calibri" w:hAnsi="Calibri" w:cs="Calibri"/>
          <w:szCs w:val="20"/>
        </w:rPr>
        <w:t xml:space="preserve">okument wskazuje, że </w:t>
      </w:r>
      <w:r w:rsidR="00CA0A60" w:rsidRPr="00BF1DF2">
        <w:rPr>
          <w:rFonts w:ascii="Calibri" w:hAnsi="Calibri" w:cs="Calibri"/>
          <w:szCs w:val="20"/>
        </w:rPr>
        <w:t xml:space="preserve">do głównych sfer interwencji strategicznej zalicza się m.in.: przestrzeń miasta, środowisko naturalne, kapitał ludzki, społeczeństwo obywatelskie oraz rozwój i wsparcie rodzin. </w:t>
      </w:r>
      <w:r w:rsidRPr="00BF1DF2">
        <w:rPr>
          <w:rFonts w:ascii="Calibri" w:hAnsi="Calibri" w:cs="Calibri"/>
          <w:szCs w:val="20"/>
        </w:rPr>
        <w:t>Pośród</w:t>
      </w:r>
      <w:r w:rsidR="000A3DEB" w:rsidRPr="00BF1DF2">
        <w:rPr>
          <w:rFonts w:ascii="Calibri" w:hAnsi="Calibri" w:cs="Calibri"/>
          <w:szCs w:val="20"/>
        </w:rPr>
        <w:t xml:space="preserve"> nowych wartości</w:t>
      </w:r>
      <w:r w:rsidRPr="00BF1DF2">
        <w:rPr>
          <w:rFonts w:ascii="Calibri" w:hAnsi="Calibri" w:cs="Calibri"/>
          <w:szCs w:val="20"/>
        </w:rPr>
        <w:t>,</w:t>
      </w:r>
      <w:r w:rsidR="000A3DEB" w:rsidRPr="00BF1DF2">
        <w:rPr>
          <w:rFonts w:ascii="Calibri" w:hAnsi="Calibri" w:cs="Calibri"/>
          <w:szCs w:val="20"/>
        </w:rPr>
        <w:t xml:space="preserve"> które kreowane będą w mechanizmie strategicznej transformacji miasta </w:t>
      </w:r>
      <w:r w:rsidRPr="00BF1DF2">
        <w:rPr>
          <w:rFonts w:ascii="Calibri" w:hAnsi="Calibri" w:cs="Calibri"/>
          <w:szCs w:val="20"/>
        </w:rPr>
        <w:t>wymie</w:t>
      </w:r>
      <w:r w:rsidR="0052451C" w:rsidRPr="00BF1DF2">
        <w:rPr>
          <w:rFonts w:ascii="Calibri" w:hAnsi="Calibri" w:cs="Calibri"/>
          <w:szCs w:val="20"/>
        </w:rPr>
        <w:t>nia</w:t>
      </w:r>
      <w:r w:rsidRPr="00BF1DF2">
        <w:rPr>
          <w:rFonts w:ascii="Calibri" w:hAnsi="Calibri" w:cs="Calibri"/>
          <w:szCs w:val="20"/>
        </w:rPr>
        <w:t xml:space="preserve">ne </w:t>
      </w:r>
      <w:r w:rsidR="000A3DEB" w:rsidRPr="00BF1DF2">
        <w:rPr>
          <w:rFonts w:ascii="Calibri" w:hAnsi="Calibri" w:cs="Calibri"/>
          <w:szCs w:val="20"/>
        </w:rPr>
        <w:t>są</w:t>
      </w:r>
      <w:r w:rsidRPr="00BF1DF2">
        <w:rPr>
          <w:rFonts w:ascii="Calibri" w:hAnsi="Calibri" w:cs="Calibri"/>
          <w:szCs w:val="20"/>
        </w:rPr>
        <w:t>: zrewaloryz</w:t>
      </w:r>
      <w:r w:rsidR="000A3DEB" w:rsidRPr="00BF1DF2">
        <w:rPr>
          <w:rFonts w:ascii="Calibri" w:hAnsi="Calibri" w:cs="Calibri"/>
          <w:szCs w:val="20"/>
        </w:rPr>
        <w:t xml:space="preserve">owana przestrzeń, </w:t>
      </w:r>
      <w:r w:rsidRPr="00BF1DF2">
        <w:rPr>
          <w:rFonts w:ascii="Calibri" w:hAnsi="Calibri" w:cs="Calibri"/>
          <w:szCs w:val="20"/>
        </w:rPr>
        <w:t>aktywność</w:t>
      </w:r>
      <w:r w:rsidR="000A3DEB" w:rsidRPr="00BF1DF2">
        <w:rPr>
          <w:rFonts w:ascii="Calibri" w:hAnsi="Calibri" w:cs="Calibri"/>
          <w:szCs w:val="20"/>
        </w:rPr>
        <w:t xml:space="preserve"> mies</w:t>
      </w:r>
      <w:r w:rsidRPr="00BF1DF2">
        <w:rPr>
          <w:rFonts w:ascii="Calibri" w:hAnsi="Calibri" w:cs="Calibri"/>
          <w:szCs w:val="20"/>
        </w:rPr>
        <w:t>zka</w:t>
      </w:r>
      <w:r w:rsidR="000A3DEB" w:rsidRPr="00BF1DF2">
        <w:rPr>
          <w:rFonts w:ascii="Calibri" w:hAnsi="Calibri" w:cs="Calibri"/>
          <w:szCs w:val="20"/>
        </w:rPr>
        <w:t>ń</w:t>
      </w:r>
      <w:r w:rsidRPr="00BF1DF2">
        <w:rPr>
          <w:rFonts w:ascii="Calibri" w:hAnsi="Calibri" w:cs="Calibri"/>
          <w:szCs w:val="20"/>
        </w:rPr>
        <w:t>c</w:t>
      </w:r>
      <w:r w:rsidR="000A3DEB" w:rsidRPr="00BF1DF2">
        <w:rPr>
          <w:rFonts w:ascii="Calibri" w:hAnsi="Calibri" w:cs="Calibri"/>
          <w:szCs w:val="20"/>
        </w:rPr>
        <w:t>ów, chronione dzied</w:t>
      </w:r>
      <w:r w:rsidR="0052451C" w:rsidRPr="00BF1DF2">
        <w:rPr>
          <w:rFonts w:ascii="Calibri" w:hAnsi="Calibri" w:cs="Calibri"/>
          <w:szCs w:val="20"/>
        </w:rPr>
        <w:t>zictwo kulturowe i przyrodnicze czy</w:t>
      </w:r>
      <w:r w:rsidR="000A3DEB" w:rsidRPr="00BF1DF2">
        <w:rPr>
          <w:rFonts w:ascii="Calibri" w:hAnsi="Calibri" w:cs="Calibri"/>
          <w:szCs w:val="20"/>
        </w:rPr>
        <w:t xml:space="preserve"> </w:t>
      </w:r>
      <w:r w:rsidRPr="00BF1DF2">
        <w:rPr>
          <w:rFonts w:ascii="Calibri" w:hAnsi="Calibri" w:cs="Calibri"/>
          <w:szCs w:val="20"/>
        </w:rPr>
        <w:t>nowa gospodarka.</w:t>
      </w:r>
    </w:p>
    <w:p w:rsidR="00EF0605" w:rsidRPr="00BF1DF2" w:rsidRDefault="00D66D48" w:rsidP="00463955">
      <w:pPr>
        <w:shd w:val="clear" w:color="auto" w:fill="F2F2F2" w:themeFill="background1" w:themeFillShade="F2"/>
        <w:autoSpaceDE w:val="0"/>
        <w:autoSpaceDN w:val="0"/>
        <w:adjustRightInd w:val="0"/>
        <w:spacing w:before="120"/>
        <w:ind w:firstLine="708"/>
        <w:jc w:val="both"/>
        <w:rPr>
          <w:rFonts w:ascii="Calibri" w:hAnsi="Calibri" w:cs="Calibri"/>
          <w:szCs w:val="20"/>
        </w:rPr>
      </w:pPr>
      <w:r w:rsidRPr="00BF1DF2">
        <w:rPr>
          <w:rFonts w:ascii="Calibri" w:hAnsi="Calibri" w:cs="Calibri"/>
          <w:szCs w:val="20"/>
        </w:rPr>
        <w:t>Jednocześnie w odniesieniu do wcześniejszych dokumentów strategicznych aktualne pozostały wyzwania, przed jakimi stoi miasto, wpływające na procesy rozwoju lokalnego, w tym m.in.: demograficzne, gospodarcze, przestrzenne, jakości życia, wizerunkowe i budżetowe. Przestrzeń miejska wymaga wielowymiarowej rewitalizacji. Przy czym podkreślić należy, że specyfika Bytomia - rozumiana jako nasycenie przestrzeni zabytkami, liczne występowanie obiektów poprzemysłowych, regres funkcji w kluczowych przestrzeniach publicznych, dzielnice koncentrujące problemy społeczne - nakazuje objąć rewitalizacją praktycznie całe miasto. Sytuacja wymaga podejmowania zintegrowanych interwencji, łączących działania społeczne, gospodarcze i środowiskowe oraz podlegających stałemu monitoringowi.</w:t>
      </w:r>
    </w:p>
    <w:p w:rsidR="00D66D48" w:rsidRPr="00BF1DF2" w:rsidRDefault="00995A74" w:rsidP="00463955">
      <w:pPr>
        <w:shd w:val="clear" w:color="auto" w:fill="F2F2F2" w:themeFill="background1" w:themeFillShade="F2"/>
        <w:tabs>
          <w:tab w:val="left" w:pos="567"/>
        </w:tabs>
        <w:spacing w:before="120"/>
        <w:jc w:val="both"/>
        <w:rPr>
          <w:rFonts w:ascii="Calibri" w:hAnsi="Calibri" w:cs="Calibri"/>
          <w:szCs w:val="20"/>
        </w:rPr>
      </w:pPr>
      <w:r w:rsidRPr="00BF1DF2">
        <w:rPr>
          <w:rFonts w:ascii="Calibri" w:hAnsi="Calibri" w:cs="Calibri"/>
          <w:szCs w:val="20"/>
        </w:rPr>
        <w:tab/>
        <w:t>Działania planowane do podjęcia w mieście w dziedzinie rewitalizacji znajdują swoje odzwierciedlenie w fazach strategicznego rozwoju zdefiniow</w:t>
      </w:r>
      <w:r w:rsidR="00C01431" w:rsidRPr="00BF1DF2">
        <w:rPr>
          <w:rFonts w:ascii="Calibri" w:hAnsi="Calibri" w:cs="Calibri"/>
          <w:szCs w:val="20"/>
        </w:rPr>
        <w:t xml:space="preserve">anych w dokumencie, którym </w:t>
      </w:r>
      <w:r w:rsidRPr="00BF1DF2">
        <w:rPr>
          <w:rFonts w:ascii="Calibri" w:hAnsi="Calibri" w:cs="Calibri"/>
          <w:szCs w:val="20"/>
        </w:rPr>
        <w:t>przypisano cele operacyjne oraz kierunki działań</w:t>
      </w:r>
      <w:r w:rsidR="00A117E0" w:rsidRPr="00BF1DF2">
        <w:rPr>
          <w:rFonts w:ascii="Calibri" w:hAnsi="Calibri" w:cs="Calibri"/>
          <w:szCs w:val="20"/>
        </w:rPr>
        <w:t>. Wybrane kierunki działań wpisujące się w proces rewitalizacji obrazuje Tabela 2.</w:t>
      </w:r>
    </w:p>
    <w:p w:rsidR="0015580B" w:rsidRPr="00BF1DF2" w:rsidRDefault="0015580B" w:rsidP="00463955">
      <w:pPr>
        <w:shd w:val="clear" w:color="auto" w:fill="F2F2F2" w:themeFill="background1" w:themeFillShade="F2"/>
        <w:tabs>
          <w:tab w:val="left" w:pos="567"/>
        </w:tabs>
        <w:spacing w:before="120"/>
        <w:jc w:val="both"/>
        <w:rPr>
          <w:rFonts w:ascii="Calibri" w:hAnsi="Calibri" w:cs="Calibri"/>
          <w:szCs w:val="20"/>
        </w:rPr>
      </w:pPr>
    </w:p>
    <w:p w:rsidR="000C70A4" w:rsidRPr="00BF1DF2" w:rsidRDefault="000C70A4" w:rsidP="00463955">
      <w:pPr>
        <w:shd w:val="clear" w:color="auto" w:fill="F2F2F2" w:themeFill="background1" w:themeFillShade="F2"/>
        <w:tabs>
          <w:tab w:val="left" w:pos="142"/>
        </w:tabs>
        <w:spacing w:line="360" w:lineRule="auto"/>
        <w:jc w:val="both"/>
        <w:rPr>
          <w:b/>
        </w:rPr>
      </w:pPr>
      <w:bookmarkStart w:id="1038" w:name="_Toc202771096"/>
      <w:r w:rsidRPr="00BF1DF2">
        <w:rPr>
          <w:rFonts w:ascii="Calibri" w:hAnsi="Calibri" w:cs="Calibri"/>
          <w:b/>
        </w:rPr>
        <w:t xml:space="preserve">Tabela </w:t>
      </w:r>
      <w:r w:rsidR="003972D8" w:rsidRPr="00BF1DF2">
        <w:rPr>
          <w:rFonts w:ascii="Calibri" w:hAnsi="Calibri" w:cs="Calibri"/>
          <w:b/>
        </w:rPr>
        <w:fldChar w:fldCharType="begin"/>
      </w:r>
      <w:r w:rsidRPr="00BF1DF2">
        <w:rPr>
          <w:rFonts w:ascii="Calibri" w:hAnsi="Calibri" w:cs="Calibri"/>
          <w:b/>
        </w:rPr>
        <w:instrText xml:space="preserve"> SEQ Tabela \* ARABIC </w:instrText>
      </w:r>
      <w:r w:rsidR="003972D8" w:rsidRPr="00BF1DF2">
        <w:rPr>
          <w:rFonts w:ascii="Calibri" w:hAnsi="Calibri" w:cs="Calibri"/>
          <w:b/>
        </w:rPr>
        <w:fldChar w:fldCharType="separate"/>
      </w:r>
      <w:r w:rsidR="00413FFE">
        <w:rPr>
          <w:rFonts w:ascii="Calibri" w:hAnsi="Calibri" w:cs="Calibri"/>
          <w:b/>
          <w:noProof/>
        </w:rPr>
        <w:t>2</w:t>
      </w:r>
      <w:r w:rsidR="003972D8" w:rsidRPr="00BF1DF2">
        <w:rPr>
          <w:rFonts w:ascii="Calibri" w:hAnsi="Calibri" w:cs="Calibri"/>
          <w:b/>
        </w:rPr>
        <w:fldChar w:fldCharType="end"/>
      </w:r>
      <w:r w:rsidR="00CF06A7" w:rsidRPr="00BF1DF2">
        <w:rPr>
          <w:rFonts w:ascii="Calibri" w:hAnsi="Calibri" w:cs="Calibri"/>
          <w:b/>
        </w:rPr>
        <w:t xml:space="preserve">. </w:t>
      </w:r>
      <w:r w:rsidR="00EF0605" w:rsidRPr="00BF1DF2">
        <w:rPr>
          <w:rFonts w:ascii="Calibri" w:hAnsi="Calibri" w:cs="Calibri"/>
          <w:b/>
        </w:rPr>
        <w:t xml:space="preserve">Wybrane </w:t>
      </w:r>
      <w:r w:rsidR="00EF0605" w:rsidRPr="00BF1DF2">
        <w:rPr>
          <w:b/>
        </w:rPr>
        <w:t>kluczowe kierunki działań stanowiące kluczowe obszary aktywności realizatorów strategii</w:t>
      </w:r>
      <w:bookmarkEnd w:id="1038"/>
    </w:p>
    <w:tbl>
      <w:tblPr>
        <w:tblStyle w:val="Tabelasiatki31"/>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tblPr>
      <w:tblGrid>
        <w:gridCol w:w="3790"/>
        <w:gridCol w:w="5498"/>
      </w:tblGrid>
      <w:tr w:rsidR="00F21AE8" w:rsidRPr="00BF1DF2" w:rsidTr="00F21AE8">
        <w:trPr>
          <w:cnfStyle w:val="100000000000"/>
        </w:trPr>
        <w:tc>
          <w:tcPr>
            <w:cnfStyle w:val="001000000100"/>
            <w:tcW w:w="0" w:type="auto"/>
            <w:tcBorders>
              <w:top w:val="none" w:sz="0" w:space="0" w:color="auto"/>
              <w:left w:val="none" w:sz="0" w:space="0" w:color="auto"/>
              <w:bottom w:val="none" w:sz="0" w:space="0" w:color="auto"/>
              <w:right w:val="none" w:sz="0" w:space="0" w:color="auto"/>
            </w:tcBorders>
            <w:shd w:val="clear" w:color="auto" w:fill="BFBFBF" w:themeFill="background1" w:themeFillShade="BF"/>
          </w:tcPr>
          <w:p w:rsidR="00F21AE8" w:rsidRPr="00BF1DF2" w:rsidRDefault="00F21AE8" w:rsidP="00463955">
            <w:pPr>
              <w:shd w:val="clear" w:color="auto" w:fill="F2F2F2" w:themeFill="background1" w:themeFillShade="F2"/>
              <w:rPr>
                <w:rFonts w:cstheme="minorHAnsi"/>
                <w:sz w:val="20"/>
                <w:szCs w:val="20"/>
              </w:rPr>
            </w:pPr>
            <w:r w:rsidRPr="00BF1DF2">
              <w:rPr>
                <w:rFonts w:cstheme="minorHAnsi"/>
                <w:sz w:val="20"/>
                <w:szCs w:val="20"/>
              </w:rPr>
              <w:t>Cele operacyjne</w:t>
            </w:r>
          </w:p>
        </w:tc>
        <w:tc>
          <w:tcPr>
            <w:tcW w:w="0" w:type="auto"/>
            <w:tcBorders>
              <w:top w:val="none" w:sz="0" w:space="0" w:color="auto"/>
              <w:left w:val="none" w:sz="0" w:space="0" w:color="auto"/>
              <w:right w:val="none" w:sz="0" w:space="0" w:color="auto"/>
            </w:tcBorders>
            <w:shd w:val="clear" w:color="auto" w:fill="BFBFBF" w:themeFill="background1" w:themeFillShade="BF"/>
          </w:tcPr>
          <w:p w:rsidR="00F21AE8" w:rsidRPr="00BF1DF2" w:rsidRDefault="00F21AE8" w:rsidP="00463955">
            <w:pPr>
              <w:shd w:val="clear" w:color="auto" w:fill="F2F2F2" w:themeFill="background1" w:themeFillShade="F2"/>
              <w:cnfStyle w:val="100000000000"/>
              <w:rPr>
                <w:rFonts w:cstheme="minorHAnsi"/>
                <w:sz w:val="20"/>
                <w:szCs w:val="20"/>
              </w:rPr>
            </w:pPr>
            <w:r w:rsidRPr="00BF1DF2">
              <w:rPr>
                <w:rFonts w:cstheme="minorHAnsi"/>
                <w:sz w:val="20"/>
                <w:szCs w:val="20"/>
              </w:rPr>
              <w:t>Kierunki działań</w:t>
            </w:r>
          </w:p>
        </w:tc>
      </w:tr>
      <w:tr w:rsidR="00F21AE8" w:rsidRPr="00BF1DF2" w:rsidTr="00F21AE8">
        <w:tc>
          <w:tcPr>
            <w:cnfStyle w:val="001000000000"/>
            <w:tcW w:w="0" w:type="auto"/>
            <w:gridSpan w:val="2"/>
            <w:tcBorders>
              <w:left w:val="none" w:sz="0" w:space="0" w:color="auto"/>
              <w:bottom w:val="none" w:sz="0" w:space="0" w:color="auto"/>
            </w:tcBorders>
            <w:shd w:val="clear" w:color="auto" w:fill="F2F2F2" w:themeFill="background1" w:themeFillShade="F2"/>
          </w:tcPr>
          <w:p w:rsidR="00F21AE8" w:rsidRPr="00BF1DF2" w:rsidRDefault="00F21AE8" w:rsidP="00463955">
            <w:pPr>
              <w:pStyle w:val="Akapitzlist"/>
              <w:numPr>
                <w:ilvl w:val="0"/>
                <w:numId w:val="743"/>
              </w:numPr>
              <w:shd w:val="clear" w:color="auto" w:fill="F2F2F2" w:themeFill="background1" w:themeFillShade="F2"/>
              <w:spacing w:before="120" w:after="120" w:line="240" w:lineRule="auto"/>
              <w:ind w:left="357" w:hanging="357"/>
              <w:contextualSpacing/>
              <w:jc w:val="center"/>
              <w:rPr>
                <w:rFonts w:asciiTheme="minorHAnsi" w:hAnsiTheme="minorHAnsi" w:cstheme="minorHAnsi"/>
                <w:b/>
                <w:bCs/>
                <w:sz w:val="20"/>
                <w:szCs w:val="20"/>
              </w:rPr>
            </w:pPr>
            <w:r w:rsidRPr="00BF1DF2">
              <w:rPr>
                <w:rFonts w:asciiTheme="minorHAnsi" w:eastAsia="Times New Roman" w:hAnsiTheme="minorHAnsi" w:cstheme="minorHAnsi"/>
                <w:b/>
                <w:bCs/>
                <w:smallCaps/>
                <w:sz w:val="20"/>
                <w:szCs w:val="20"/>
                <w:lang w:eastAsia="pl-PL"/>
              </w:rPr>
              <w:t>Bytom solidarny, bezpieczny, uczący się</w:t>
            </w:r>
          </w:p>
        </w:tc>
      </w:tr>
      <w:tr w:rsidR="00F21AE8" w:rsidRPr="00BF1DF2" w:rsidTr="00F21AE8">
        <w:tc>
          <w:tcPr>
            <w:cnfStyle w:val="001000000000"/>
            <w:tcW w:w="0" w:type="auto"/>
            <w:tcBorders>
              <w:left w:val="none" w:sz="0" w:space="0" w:color="auto"/>
              <w:bottom w:val="none" w:sz="0" w:space="0" w:color="auto"/>
            </w:tcBorders>
          </w:tcPr>
          <w:p w:rsidR="00F21AE8" w:rsidRPr="00BF1DF2" w:rsidRDefault="00F21AE8" w:rsidP="00463955">
            <w:pPr>
              <w:pStyle w:val="Akapitzlist"/>
              <w:numPr>
                <w:ilvl w:val="0"/>
                <w:numId w:val="742"/>
              </w:numPr>
              <w:shd w:val="clear" w:color="auto" w:fill="F2F2F2" w:themeFill="background1" w:themeFillShade="F2"/>
              <w:spacing w:after="0" w:line="240" w:lineRule="auto"/>
              <w:ind w:left="457" w:hanging="457"/>
              <w:contextualSpacing/>
              <w:rPr>
                <w:rFonts w:asciiTheme="minorHAnsi" w:hAnsiTheme="minorHAnsi" w:cstheme="minorHAnsi"/>
                <w:sz w:val="20"/>
                <w:szCs w:val="20"/>
              </w:rPr>
            </w:pPr>
            <w:r w:rsidRPr="00BF1DF2">
              <w:rPr>
                <w:rFonts w:asciiTheme="minorHAnsi" w:eastAsia="Times New Roman" w:hAnsiTheme="minorHAnsi" w:cstheme="minorHAnsi"/>
                <w:sz w:val="20"/>
                <w:szCs w:val="20"/>
                <w:lang w:eastAsia="pl-PL"/>
              </w:rPr>
              <w:t xml:space="preserve">Wysoki poziom lokalnego kapitału zaufania i partycypacji mieszkańców w decydowaniu </w:t>
            </w:r>
            <w:r w:rsidRPr="00BF1DF2">
              <w:rPr>
                <w:rFonts w:asciiTheme="minorHAnsi" w:eastAsia="Times New Roman" w:hAnsiTheme="minorHAnsi" w:cstheme="minorHAnsi"/>
                <w:sz w:val="20"/>
                <w:szCs w:val="20"/>
                <w:lang w:eastAsia="pl-PL"/>
              </w:rPr>
              <w:br/>
              <w:t>o kierunkach rozwoju miasta.</w:t>
            </w:r>
          </w:p>
        </w:tc>
        <w:tc>
          <w:tcPr>
            <w:tcW w:w="0" w:type="auto"/>
          </w:tcPr>
          <w:p w:rsidR="00F21AE8" w:rsidRPr="00BF1DF2" w:rsidRDefault="00F21AE8" w:rsidP="00463955">
            <w:pPr>
              <w:pStyle w:val="Akapitzlist"/>
              <w:numPr>
                <w:ilvl w:val="0"/>
                <w:numId w:val="745"/>
              </w:numPr>
              <w:shd w:val="clear" w:color="auto" w:fill="F2F2F2" w:themeFill="background1" w:themeFillShade="F2"/>
              <w:spacing w:after="0" w:line="240" w:lineRule="auto"/>
              <w:ind w:left="682" w:hanging="682"/>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Rozwój form i narzędzi międzysektorowej współpracy podmiotów z miasta, w tym angażowanie mieszkańców w kreowanie pomysłów na rzecz rozwoju ich dzielnic i wspólnot lokalnych.</w:t>
            </w:r>
          </w:p>
          <w:p w:rsidR="00F21AE8" w:rsidRPr="00BF1DF2" w:rsidRDefault="00F21AE8" w:rsidP="00463955">
            <w:pPr>
              <w:pStyle w:val="Akapitzlist"/>
              <w:numPr>
                <w:ilvl w:val="0"/>
                <w:numId w:val="745"/>
              </w:numPr>
              <w:shd w:val="clear" w:color="auto" w:fill="F2F2F2" w:themeFill="background1" w:themeFillShade="F2"/>
              <w:spacing w:after="0" w:line="240" w:lineRule="auto"/>
              <w:ind w:left="682" w:hanging="682"/>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Wspieranie inicjatyw obywatelskich nakierowanych na realizację celów i kierunków strategii rozwoju miasta.</w:t>
            </w:r>
          </w:p>
        </w:tc>
      </w:tr>
      <w:tr w:rsidR="00F21AE8" w:rsidRPr="00BF1DF2" w:rsidTr="00F21AE8">
        <w:tc>
          <w:tcPr>
            <w:cnfStyle w:val="001000000000"/>
            <w:tcW w:w="0" w:type="auto"/>
            <w:tcBorders>
              <w:left w:val="none" w:sz="0" w:space="0" w:color="auto"/>
              <w:bottom w:val="none" w:sz="0" w:space="0" w:color="auto"/>
            </w:tcBorders>
          </w:tcPr>
          <w:p w:rsidR="00F21AE8" w:rsidRPr="00BF1DF2" w:rsidRDefault="00F21AE8" w:rsidP="00463955">
            <w:pPr>
              <w:pStyle w:val="Akapitzlist"/>
              <w:numPr>
                <w:ilvl w:val="0"/>
                <w:numId w:val="742"/>
              </w:numPr>
              <w:shd w:val="clear" w:color="auto" w:fill="F2F2F2" w:themeFill="background1" w:themeFillShade="F2"/>
              <w:spacing w:after="0" w:line="240" w:lineRule="auto"/>
              <w:ind w:left="457" w:hanging="457"/>
              <w:contextualSpacing/>
              <w:rPr>
                <w:rFonts w:asciiTheme="minorHAnsi" w:hAnsiTheme="minorHAnsi" w:cstheme="minorHAnsi"/>
                <w:sz w:val="20"/>
                <w:szCs w:val="20"/>
              </w:rPr>
            </w:pPr>
            <w:r w:rsidRPr="00BF1DF2">
              <w:rPr>
                <w:rFonts w:asciiTheme="minorHAnsi" w:eastAsia="Times New Roman" w:hAnsiTheme="minorHAnsi" w:cstheme="minorHAnsi"/>
                <w:sz w:val="20"/>
                <w:szCs w:val="20"/>
                <w:lang w:eastAsia="pl-PL"/>
              </w:rPr>
              <w:t>Wyrównywane szanse startu życiowego młodych mieszkańców.</w:t>
            </w:r>
          </w:p>
        </w:tc>
        <w:tc>
          <w:tcPr>
            <w:tcW w:w="0" w:type="auto"/>
          </w:tcPr>
          <w:p w:rsidR="00F21AE8" w:rsidRPr="00BF1DF2" w:rsidRDefault="00F21AE8" w:rsidP="00463955">
            <w:pPr>
              <w:pStyle w:val="Akapitzlist"/>
              <w:numPr>
                <w:ilvl w:val="0"/>
                <w:numId w:val="744"/>
              </w:numPr>
              <w:shd w:val="clear" w:color="auto" w:fill="F2F2F2" w:themeFill="background1" w:themeFillShade="F2"/>
              <w:spacing w:after="0" w:line="240" w:lineRule="auto"/>
              <w:ind w:left="700" w:hanging="700"/>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Poprawa jakości edukacji dzieci i młodzieży, w tym poprzez  inwestycje w infrastrukturę, stałe doposażanie szkół, doskonalenie kadr nauczycielskich, poszerzanie oferty edukacyjnej.</w:t>
            </w:r>
          </w:p>
          <w:p w:rsidR="00F21AE8" w:rsidRPr="00BF1DF2" w:rsidRDefault="00F21AE8" w:rsidP="00463955">
            <w:pPr>
              <w:pStyle w:val="Akapitzlist"/>
              <w:numPr>
                <w:ilvl w:val="0"/>
                <w:numId w:val="744"/>
              </w:numPr>
              <w:shd w:val="clear" w:color="auto" w:fill="F2F2F2" w:themeFill="background1" w:themeFillShade="F2"/>
              <w:spacing w:after="0" w:line="240" w:lineRule="auto"/>
              <w:ind w:left="700" w:hanging="700"/>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Wspieranie młodzieży z rodzin o niskim statusie materialnym w kontynuowaniu nauki na poziomie średnim i wyższy</w:t>
            </w:r>
            <w:r w:rsidR="00EF0605" w:rsidRPr="00BF1DF2">
              <w:rPr>
                <w:rFonts w:asciiTheme="minorHAnsi" w:hAnsiTheme="minorHAnsi" w:cstheme="minorHAnsi"/>
                <w:sz w:val="20"/>
                <w:szCs w:val="20"/>
              </w:rPr>
              <w:t>m.</w:t>
            </w:r>
          </w:p>
          <w:p w:rsidR="00F21AE8" w:rsidRPr="00BF1DF2" w:rsidRDefault="00F21AE8" w:rsidP="00463955">
            <w:pPr>
              <w:pStyle w:val="Akapitzlist"/>
              <w:numPr>
                <w:ilvl w:val="0"/>
                <w:numId w:val="744"/>
              </w:numPr>
              <w:shd w:val="clear" w:color="auto" w:fill="F2F2F2" w:themeFill="background1" w:themeFillShade="F2"/>
              <w:spacing w:after="0" w:line="240" w:lineRule="auto"/>
              <w:ind w:left="700" w:hanging="700"/>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Poszerzanie dostępu dzieci i młodzieży do usług, wydarzeń, różnych form zajęć rozwijających talenty i zainteresowania artystyczne, naukowe, sportowe i inne formy twórczej aktywności.</w:t>
            </w:r>
          </w:p>
          <w:p w:rsidR="00F21AE8" w:rsidRPr="00BF1DF2" w:rsidRDefault="00F21AE8" w:rsidP="00463955">
            <w:pPr>
              <w:pStyle w:val="Akapitzlist"/>
              <w:numPr>
                <w:ilvl w:val="0"/>
                <w:numId w:val="744"/>
              </w:numPr>
              <w:shd w:val="clear" w:color="auto" w:fill="F2F2F2" w:themeFill="background1" w:themeFillShade="F2"/>
              <w:spacing w:after="0" w:line="240" w:lineRule="auto"/>
              <w:ind w:left="700" w:hanging="700"/>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Działania wspierające dzieci i młodzież w ukierunkowaniu kariery zawodowej.</w:t>
            </w:r>
          </w:p>
          <w:p w:rsidR="00F21AE8" w:rsidRPr="00BF1DF2" w:rsidRDefault="00F21AE8" w:rsidP="00463955">
            <w:pPr>
              <w:pStyle w:val="Akapitzlist"/>
              <w:numPr>
                <w:ilvl w:val="0"/>
                <w:numId w:val="744"/>
              </w:numPr>
              <w:shd w:val="clear" w:color="auto" w:fill="F2F2F2" w:themeFill="background1" w:themeFillShade="F2"/>
              <w:spacing w:after="0" w:line="240" w:lineRule="auto"/>
              <w:ind w:left="700" w:hanging="700"/>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Działania rozwijające kompetencje przedsiębiorcze wśród dzieci i młodzieży.</w:t>
            </w:r>
          </w:p>
        </w:tc>
      </w:tr>
      <w:tr w:rsidR="00F21AE8" w:rsidRPr="00BF1DF2" w:rsidTr="00F21AE8">
        <w:tc>
          <w:tcPr>
            <w:cnfStyle w:val="001000000000"/>
            <w:tcW w:w="0" w:type="auto"/>
            <w:tcBorders>
              <w:left w:val="none" w:sz="0" w:space="0" w:color="auto"/>
              <w:bottom w:val="none" w:sz="0" w:space="0" w:color="auto"/>
            </w:tcBorders>
          </w:tcPr>
          <w:p w:rsidR="00F21AE8" w:rsidRPr="00BF1DF2" w:rsidRDefault="00F21AE8" w:rsidP="00463955">
            <w:pPr>
              <w:pStyle w:val="Akapitzlist"/>
              <w:numPr>
                <w:ilvl w:val="0"/>
                <w:numId w:val="742"/>
              </w:numPr>
              <w:shd w:val="clear" w:color="auto" w:fill="F2F2F2" w:themeFill="background1" w:themeFillShade="F2"/>
              <w:spacing w:after="0" w:line="240" w:lineRule="auto"/>
              <w:ind w:left="457" w:hanging="457"/>
              <w:contextualSpacing/>
              <w:rPr>
                <w:rFonts w:asciiTheme="minorHAnsi" w:hAnsiTheme="minorHAnsi" w:cstheme="minorHAnsi"/>
                <w:sz w:val="20"/>
                <w:szCs w:val="20"/>
              </w:rPr>
            </w:pPr>
            <w:r w:rsidRPr="00BF1DF2">
              <w:rPr>
                <w:rFonts w:asciiTheme="minorHAnsi" w:eastAsia="Times New Roman" w:hAnsiTheme="minorHAnsi" w:cstheme="minorHAnsi"/>
                <w:sz w:val="20"/>
                <w:szCs w:val="20"/>
                <w:lang w:eastAsia="pl-PL"/>
              </w:rPr>
              <w:lastRenderedPageBreak/>
              <w:t>Miasto wspierające mieszkańca na każdym etapie życia.</w:t>
            </w:r>
          </w:p>
        </w:tc>
        <w:tc>
          <w:tcPr>
            <w:tcW w:w="0" w:type="auto"/>
          </w:tcPr>
          <w:p w:rsidR="00F21AE8" w:rsidRPr="00BF1DF2" w:rsidRDefault="00F21AE8" w:rsidP="00463955">
            <w:pPr>
              <w:pStyle w:val="Akapitzlist"/>
              <w:numPr>
                <w:ilvl w:val="0"/>
                <w:numId w:val="746"/>
              </w:numPr>
              <w:shd w:val="clear" w:color="auto" w:fill="F2F2F2" w:themeFill="background1" w:themeFillShade="F2"/>
              <w:spacing w:after="0" w:line="240" w:lineRule="auto"/>
              <w:ind w:left="822" w:hanging="822"/>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Rozwój usług publicznych i rynkowych wspierających funkcjonowanie rodzin, w tym poszerzanie dostępności do usług edukacyjnych, opiekuńczych i zdrowotnych.</w:t>
            </w:r>
          </w:p>
          <w:p w:rsidR="00F21AE8" w:rsidRPr="00BF1DF2" w:rsidRDefault="00F21AE8" w:rsidP="00463955">
            <w:pPr>
              <w:pStyle w:val="Akapitzlist"/>
              <w:numPr>
                <w:ilvl w:val="0"/>
                <w:numId w:val="746"/>
              </w:numPr>
              <w:shd w:val="clear" w:color="auto" w:fill="F2F2F2" w:themeFill="background1" w:themeFillShade="F2"/>
              <w:spacing w:after="0" w:line="240" w:lineRule="auto"/>
              <w:ind w:left="822" w:hanging="822"/>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Rozwój usług publicznych i rynkowych, w tym oferty czasu wolnego, dla seniorów.</w:t>
            </w:r>
          </w:p>
          <w:p w:rsidR="00F21AE8" w:rsidRPr="00BF1DF2" w:rsidRDefault="00F21AE8" w:rsidP="00463955">
            <w:pPr>
              <w:pStyle w:val="Akapitzlist"/>
              <w:numPr>
                <w:ilvl w:val="0"/>
                <w:numId w:val="746"/>
              </w:numPr>
              <w:shd w:val="clear" w:color="auto" w:fill="F2F2F2" w:themeFill="background1" w:themeFillShade="F2"/>
              <w:spacing w:after="0" w:line="240" w:lineRule="auto"/>
              <w:ind w:left="822" w:hanging="822"/>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Wspieranie seniorów w działaniach przedsiębiorczych i przedłużaniu kariery zawodowej.</w:t>
            </w:r>
          </w:p>
          <w:p w:rsidR="00F21AE8" w:rsidRPr="00BF1DF2" w:rsidRDefault="00F21AE8" w:rsidP="00463955">
            <w:pPr>
              <w:pStyle w:val="Akapitzlist"/>
              <w:numPr>
                <w:ilvl w:val="0"/>
                <w:numId w:val="746"/>
              </w:numPr>
              <w:shd w:val="clear" w:color="auto" w:fill="F2F2F2" w:themeFill="background1" w:themeFillShade="F2"/>
              <w:spacing w:after="120" w:line="264" w:lineRule="auto"/>
              <w:ind w:left="822" w:hanging="822"/>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Wspieranie rozwoju kompetencji zawodowych mieszkańców (w szczególności kobiet), w tym aktywizacja zawodowa osób bezrobotnych.</w:t>
            </w:r>
          </w:p>
          <w:p w:rsidR="00F21AE8" w:rsidRPr="00BF1DF2" w:rsidRDefault="00F21AE8" w:rsidP="00463955">
            <w:pPr>
              <w:pStyle w:val="Akapitzlist"/>
              <w:numPr>
                <w:ilvl w:val="0"/>
                <w:numId w:val="746"/>
              </w:numPr>
              <w:shd w:val="clear" w:color="auto" w:fill="F2F2F2" w:themeFill="background1" w:themeFillShade="F2"/>
              <w:spacing w:after="0" w:line="240" w:lineRule="auto"/>
              <w:ind w:left="822" w:hanging="822"/>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Poprawa jakości przestrzeni w kierunku podnoszenia ich przyjazności dla osób o szczególnych potrzebach.</w:t>
            </w:r>
          </w:p>
          <w:p w:rsidR="00F21AE8" w:rsidRPr="00BF1DF2" w:rsidRDefault="00F21AE8" w:rsidP="00463955">
            <w:pPr>
              <w:pStyle w:val="Akapitzlist"/>
              <w:numPr>
                <w:ilvl w:val="0"/>
                <w:numId w:val="746"/>
              </w:numPr>
              <w:shd w:val="clear" w:color="auto" w:fill="F2F2F2" w:themeFill="background1" w:themeFillShade="F2"/>
              <w:spacing w:after="0" w:line="240" w:lineRule="auto"/>
              <w:ind w:left="822" w:hanging="822"/>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Tworzenie atrakcyjnych przestrzeni spędzania czasu wolnego przez rodziny.</w:t>
            </w:r>
          </w:p>
          <w:p w:rsidR="00F21AE8" w:rsidRPr="00BF1DF2" w:rsidRDefault="00F21AE8" w:rsidP="00463955">
            <w:pPr>
              <w:pStyle w:val="Akapitzlist"/>
              <w:numPr>
                <w:ilvl w:val="0"/>
                <w:numId w:val="746"/>
              </w:numPr>
              <w:shd w:val="clear" w:color="auto" w:fill="F2F2F2" w:themeFill="background1" w:themeFillShade="F2"/>
              <w:spacing w:after="0" w:line="240" w:lineRule="auto"/>
              <w:ind w:left="822" w:hanging="822"/>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Działania na rzecz podnoszenia poziomu bezpieczeństwa publicznego.</w:t>
            </w:r>
          </w:p>
          <w:p w:rsidR="00F21AE8" w:rsidRPr="00BF1DF2" w:rsidRDefault="00F21AE8" w:rsidP="00463955">
            <w:pPr>
              <w:pStyle w:val="Akapitzlist"/>
              <w:numPr>
                <w:ilvl w:val="0"/>
                <w:numId w:val="746"/>
              </w:numPr>
              <w:shd w:val="clear" w:color="auto" w:fill="F2F2F2" w:themeFill="background1" w:themeFillShade="F2"/>
              <w:spacing w:after="0" w:line="240" w:lineRule="auto"/>
              <w:ind w:left="822" w:hanging="822"/>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Działania na rzecz integracji międzypokoleniowej.</w:t>
            </w:r>
          </w:p>
          <w:p w:rsidR="00F21AE8" w:rsidRPr="00BF1DF2" w:rsidRDefault="00F21AE8" w:rsidP="00463955">
            <w:pPr>
              <w:pStyle w:val="Akapitzlist"/>
              <w:numPr>
                <w:ilvl w:val="0"/>
                <w:numId w:val="746"/>
              </w:numPr>
              <w:shd w:val="clear" w:color="auto" w:fill="F2F2F2" w:themeFill="background1" w:themeFillShade="F2"/>
              <w:spacing w:after="120" w:line="264" w:lineRule="auto"/>
              <w:ind w:left="822" w:hanging="822"/>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Poprawa dostępności do usług opieki nad dzieckiem, w tym żłobków i przedszkoli.</w:t>
            </w:r>
          </w:p>
          <w:p w:rsidR="00F21AE8" w:rsidRPr="00BF1DF2" w:rsidRDefault="00F21AE8" w:rsidP="00463955">
            <w:pPr>
              <w:pStyle w:val="Akapitzlist"/>
              <w:numPr>
                <w:ilvl w:val="0"/>
                <w:numId w:val="746"/>
              </w:numPr>
              <w:shd w:val="clear" w:color="auto" w:fill="F2F2F2" w:themeFill="background1" w:themeFillShade="F2"/>
              <w:spacing w:after="0" w:line="240" w:lineRule="auto"/>
              <w:ind w:left="794" w:hanging="794"/>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Rozwój  systemu kształcenia ustawicznego oraz przekwalifikowań.</w:t>
            </w:r>
          </w:p>
        </w:tc>
      </w:tr>
      <w:tr w:rsidR="00F21AE8" w:rsidRPr="00BF1DF2" w:rsidTr="00F21AE8">
        <w:tc>
          <w:tcPr>
            <w:cnfStyle w:val="001000000000"/>
            <w:tcW w:w="0" w:type="auto"/>
            <w:tcBorders>
              <w:left w:val="none" w:sz="0" w:space="0" w:color="auto"/>
              <w:bottom w:val="none" w:sz="0" w:space="0" w:color="auto"/>
            </w:tcBorders>
          </w:tcPr>
          <w:p w:rsidR="00F21AE8" w:rsidRPr="00BF1DF2" w:rsidRDefault="00F21AE8" w:rsidP="00463955">
            <w:pPr>
              <w:pStyle w:val="Akapitzlist"/>
              <w:numPr>
                <w:ilvl w:val="0"/>
                <w:numId w:val="742"/>
              </w:numPr>
              <w:shd w:val="clear" w:color="auto" w:fill="F2F2F2" w:themeFill="background1" w:themeFillShade="F2"/>
              <w:spacing w:after="0" w:line="240" w:lineRule="auto"/>
              <w:ind w:left="457" w:hanging="457"/>
              <w:contextualSpacing/>
              <w:rPr>
                <w:rFonts w:asciiTheme="minorHAnsi" w:hAnsiTheme="minorHAnsi" w:cstheme="minorHAnsi"/>
                <w:sz w:val="20"/>
                <w:szCs w:val="20"/>
              </w:rPr>
            </w:pPr>
            <w:r w:rsidRPr="00BF1DF2">
              <w:rPr>
                <w:rFonts w:asciiTheme="minorHAnsi" w:eastAsia="Times New Roman" w:hAnsiTheme="minorHAnsi" w:cstheme="minorHAnsi"/>
                <w:sz w:val="20"/>
                <w:szCs w:val="20"/>
                <w:lang w:eastAsia="pl-PL"/>
              </w:rPr>
              <w:t>Miasto dostarczające możliwości zaspokajania potrzeb mieszkaniowych.</w:t>
            </w:r>
          </w:p>
        </w:tc>
        <w:tc>
          <w:tcPr>
            <w:tcW w:w="0" w:type="auto"/>
          </w:tcPr>
          <w:p w:rsidR="00F21AE8" w:rsidRPr="00BF1DF2" w:rsidRDefault="00F21AE8" w:rsidP="00463955">
            <w:pPr>
              <w:pStyle w:val="Akapitzlist"/>
              <w:numPr>
                <w:ilvl w:val="0"/>
                <w:numId w:val="747"/>
              </w:numPr>
              <w:shd w:val="clear" w:color="auto" w:fill="F2F2F2" w:themeFill="background1" w:themeFillShade="F2"/>
              <w:spacing w:after="0" w:line="240" w:lineRule="auto"/>
              <w:ind w:left="726" w:hanging="726"/>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Promocja walorów mieszkaniowych Bytomia przy wykorzystaniu atutów lokalizacyjnych miasta.</w:t>
            </w:r>
          </w:p>
          <w:p w:rsidR="00F21AE8" w:rsidRPr="00BF1DF2" w:rsidRDefault="00F21AE8" w:rsidP="00463955">
            <w:pPr>
              <w:pStyle w:val="Akapitzlist"/>
              <w:numPr>
                <w:ilvl w:val="0"/>
                <w:numId w:val="747"/>
              </w:numPr>
              <w:shd w:val="clear" w:color="auto" w:fill="F2F2F2" w:themeFill="background1" w:themeFillShade="F2"/>
              <w:spacing w:after="0" w:line="240" w:lineRule="auto"/>
              <w:ind w:left="726" w:hanging="726"/>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Infrastrukturalne przygotowanie terenów mieszkaniowych uwzględniające zrównoważone gospodarowanie przestrzenią.</w:t>
            </w:r>
          </w:p>
          <w:p w:rsidR="00F21AE8" w:rsidRPr="00BF1DF2" w:rsidRDefault="00F21AE8" w:rsidP="00463955">
            <w:pPr>
              <w:pStyle w:val="Akapitzlist"/>
              <w:numPr>
                <w:ilvl w:val="0"/>
                <w:numId w:val="747"/>
              </w:numPr>
              <w:shd w:val="clear" w:color="auto" w:fill="F2F2F2" w:themeFill="background1" w:themeFillShade="F2"/>
              <w:spacing w:after="0" w:line="240" w:lineRule="auto"/>
              <w:ind w:left="726" w:hanging="726"/>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Poprawa jakości mieszkań w tradycyjnej zabudowie (kamienice, kolonie robotnicze).</w:t>
            </w:r>
          </w:p>
          <w:p w:rsidR="00F21AE8" w:rsidRPr="00BF1DF2" w:rsidRDefault="00F21AE8" w:rsidP="00463955">
            <w:pPr>
              <w:pStyle w:val="Akapitzlist"/>
              <w:numPr>
                <w:ilvl w:val="0"/>
                <w:numId w:val="747"/>
              </w:numPr>
              <w:shd w:val="clear" w:color="auto" w:fill="F2F2F2" w:themeFill="background1" w:themeFillShade="F2"/>
              <w:spacing w:after="0" w:line="240" w:lineRule="auto"/>
              <w:ind w:left="726" w:hanging="726"/>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Wykorzystywanie nieużytkowanych i zdegradowanych obiektów na cele mieszkaniowe, w tym lofty w obiektach poprzemysłowych.</w:t>
            </w:r>
          </w:p>
        </w:tc>
      </w:tr>
      <w:tr w:rsidR="00F21AE8" w:rsidRPr="00BF1DF2" w:rsidTr="00F21AE8">
        <w:tc>
          <w:tcPr>
            <w:cnfStyle w:val="001000000000"/>
            <w:tcW w:w="0" w:type="auto"/>
            <w:gridSpan w:val="2"/>
            <w:tcBorders>
              <w:left w:val="none" w:sz="0" w:space="0" w:color="auto"/>
              <w:bottom w:val="none" w:sz="0" w:space="0" w:color="auto"/>
            </w:tcBorders>
            <w:shd w:val="clear" w:color="auto" w:fill="F2F2F2" w:themeFill="background1" w:themeFillShade="F2"/>
          </w:tcPr>
          <w:p w:rsidR="00F21AE8" w:rsidRPr="00BF1DF2" w:rsidRDefault="00F21AE8" w:rsidP="00463955">
            <w:pPr>
              <w:pStyle w:val="Akapitzlist"/>
              <w:numPr>
                <w:ilvl w:val="0"/>
                <w:numId w:val="743"/>
              </w:numPr>
              <w:shd w:val="clear" w:color="auto" w:fill="F2F2F2" w:themeFill="background1" w:themeFillShade="F2"/>
              <w:spacing w:before="120" w:after="120" w:line="240" w:lineRule="auto"/>
              <w:ind w:left="357" w:hanging="357"/>
              <w:contextualSpacing/>
              <w:jc w:val="center"/>
              <w:rPr>
                <w:rFonts w:asciiTheme="minorHAnsi" w:hAnsiTheme="minorHAnsi" w:cstheme="minorHAnsi"/>
                <w:b/>
                <w:bCs/>
                <w:sz w:val="20"/>
                <w:szCs w:val="20"/>
              </w:rPr>
            </w:pPr>
            <w:r w:rsidRPr="00BF1DF2">
              <w:rPr>
                <w:rFonts w:asciiTheme="minorHAnsi" w:eastAsia="Times New Roman" w:hAnsiTheme="minorHAnsi" w:cstheme="minorHAnsi"/>
                <w:b/>
                <w:bCs/>
                <w:smallCaps/>
                <w:sz w:val="20"/>
                <w:szCs w:val="20"/>
                <w:lang w:eastAsia="pl-PL"/>
              </w:rPr>
              <w:t>Bytom aktywnych wspólnot</w:t>
            </w:r>
          </w:p>
        </w:tc>
      </w:tr>
      <w:tr w:rsidR="00F21AE8" w:rsidRPr="00BF1DF2" w:rsidTr="00F21AE8">
        <w:tc>
          <w:tcPr>
            <w:cnfStyle w:val="001000000000"/>
            <w:tcW w:w="0" w:type="auto"/>
            <w:tcBorders>
              <w:left w:val="none" w:sz="0" w:space="0" w:color="auto"/>
              <w:bottom w:val="none" w:sz="0" w:space="0" w:color="auto"/>
            </w:tcBorders>
          </w:tcPr>
          <w:p w:rsidR="00F21AE8" w:rsidRPr="00BF1DF2" w:rsidRDefault="00F21AE8" w:rsidP="00463955">
            <w:pPr>
              <w:pStyle w:val="Akapitzlist"/>
              <w:numPr>
                <w:ilvl w:val="0"/>
                <w:numId w:val="748"/>
              </w:numPr>
              <w:shd w:val="clear" w:color="auto" w:fill="F2F2F2" w:themeFill="background1" w:themeFillShade="F2"/>
              <w:spacing w:after="0" w:line="240" w:lineRule="auto"/>
              <w:ind w:left="599" w:hanging="599"/>
              <w:contextualSpacing/>
              <w:rPr>
                <w:rFonts w:asciiTheme="minorHAnsi" w:hAnsiTheme="minorHAnsi" w:cstheme="minorHAnsi"/>
                <w:sz w:val="20"/>
                <w:szCs w:val="20"/>
              </w:rPr>
            </w:pPr>
            <w:r w:rsidRPr="00BF1DF2">
              <w:rPr>
                <w:rFonts w:asciiTheme="minorHAnsi" w:eastAsia="Times New Roman" w:hAnsiTheme="minorHAnsi" w:cstheme="minorHAnsi"/>
                <w:sz w:val="20"/>
                <w:szCs w:val="20"/>
                <w:lang w:eastAsia="pl-PL"/>
              </w:rPr>
              <w:t>Warunki dla podejmowania aktywności społecznej i integracji mieszkańców.</w:t>
            </w:r>
          </w:p>
        </w:tc>
        <w:tc>
          <w:tcPr>
            <w:tcW w:w="0" w:type="auto"/>
          </w:tcPr>
          <w:p w:rsidR="00F21AE8" w:rsidRPr="00BF1DF2" w:rsidRDefault="00F21AE8" w:rsidP="00463955">
            <w:pPr>
              <w:pStyle w:val="Akapitzlist"/>
              <w:numPr>
                <w:ilvl w:val="0"/>
                <w:numId w:val="749"/>
              </w:numPr>
              <w:shd w:val="clear" w:color="auto" w:fill="F2F2F2" w:themeFill="background1" w:themeFillShade="F2"/>
              <w:spacing w:after="0" w:line="240" w:lineRule="auto"/>
              <w:ind w:left="716" w:hanging="716"/>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Wdrażanie instytucjonalnych, finansowych, edukacyjnych, informacyjnych i organizacyjnych narzędzi wspierających aktywność społeczną i integrację mieszkańców.</w:t>
            </w:r>
          </w:p>
          <w:p w:rsidR="00F21AE8" w:rsidRPr="00BF1DF2" w:rsidRDefault="00F21AE8" w:rsidP="00463955">
            <w:pPr>
              <w:pStyle w:val="Akapitzlist"/>
              <w:numPr>
                <w:ilvl w:val="0"/>
                <w:numId w:val="749"/>
              </w:numPr>
              <w:shd w:val="clear" w:color="auto" w:fill="F2F2F2" w:themeFill="background1" w:themeFillShade="F2"/>
              <w:spacing w:after="0" w:line="240" w:lineRule="auto"/>
              <w:ind w:left="716" w:hanging="716"/>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Promocja sukcesów liderów lokalnych.</w:t>
            </w:r>
          </w:p>
          <w:p w:rsidR="00F21AE8" w:rsidRPr="00BF1DF2" w:rsidRDefault="00F21AE8" w:rsidP="00463955">
            <w:pPr>
              <w:pStyle w:val="Akapitzlist"/>
              <w:numPr>
                <w:ilvl w:val="0"/>
                <w:numId w:val="749"/>
              </w:numPr>
              <w:shd w:val="clear" w:color="auto" w:fill="F2F2F2" w:themeFill="background1" w:themeFillShade="F2"/>
              <w:spacing w:after="0" w:line="240" w:lineRule="auto"/>
              <w:ind w:left="716" w:hanging="716"/>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Wspieranie rozwoju organizacji pozarządowych działających w mieście.</w:t>
            </w:r>
          </w:p>
          <w:p w:rsidR="00F21AE8" w:rsidRPr="00BF1DF2" w:rsidRDefault="00F21AE8" w:rsidP="00463955">
            <w:pPr>
              <w:pStyle w:val="Akapitzlist"/>
              <w:numPr>
                <w:ilvl w:val="0"/>
                <w:numId w:val="749"/>
              </w:numPr>
              <w:shd w:val="clear" w:color="auto" w:fill="F2F2F2" w:themeFill="background1" w:themeFillShade="F2"/>
              <w:spacing w:after="0" w:line="240" w:lineRule="auto"/>
              <w:ind w:left="716" w:hanging="716"/>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Tworzenie lokalnych miejsc spotkań mieszkańców, w tym z uwzględnieniem specyficznych oczekiwań różnych grup społecznych (zwłaszcza miejsca dla seniorów i adolescentów).</w:t>
            </w:r>
          </w:p>
        </w:tc>
      </w:tr>
      <w:tr w:rsidR="00F21AE8" w:rsidRPr="00BF1DF2" w:rsidTr="00F21AE8">
        <w:tc>
          <w:tcPr>
            <w:cnfStyle w:val="001000000000"/>
            <w:tcW w:w="0" w:type="auto"/>
            <w:tcBorders>
              <w:left w:val="none" w:sz="0" w:space="0" w:color="auto"/>
              <w:bottom w:val="none" w:sz="0" w:space="0" w:color="auto"/>
            </w:tcBorders>
          </w:tcPr>
          <w:p w:rsidR="00F21AE8" w:rsidRPr="00BF1DF2" w:rsidRDefault="00F21AE8" w:rsidP="00463955">
            <w:pPr>
              <w:pStyle w:val="Akapitzlist"/>
              <w:numPr>
                <w:ilvl w:val="0"/>
                <w:numId w:val="748"/>
              </w:numPr>
              <w:shd w:val="clear" w:color="auto" w:fill="F2F2F2" w:themeFill="background1" w:themeFillShade="F2"/>
              <w:spacing w:after="0" w:line="240" w:lineRule="auto"/>
              <w:ind w:left="599" w:hanging="599"/>
              <w:contextualSpacing/>
              <w:rPr>
                <w:rFonts w:asciiTheme="minorHAnsi" w:hAnsiTheme="minorHAnsi" w:cstheme="minorHAnsi"/>
                <w:sz w:val="20"/>
                <w:szCs w:val="20"/>
              </w:rPr>
            </w:pPr>
            <w:r w:rsidRPr="00BF1DF2">
              <w:rPr>
                <w:rFonts w:asciiTheme="minorHAnsi" w:eastAsia="Times New Roman" w:hAnsiTheme="minorHAnsi" w:cstheme="minorHAnsi"/>
                <w:sz w:val="20"/>
                <w:szCs w:val="20"/>
                <w:lang w:eastAsia="pl-PL"/>
              </w:rPr>
              <w:t>Szacunek mieszkańców do dziedzictwa kulturowego miasta.</w:t>
            </w:r>
          </w:p>
        </w:tc>
        <w:tc>
          <w:tcPr>
            <w:tcW w:w="0" w:type="auto"/>
          </w:tcPr>
          <w:p w:rsidR="00F21AE8" w:rsidRPr="00BF1DF2" w:rsidRDefault="00F21AE8" w:rsidP="00463955">
            <w:pPr>
              <w:pStyle w:val="Akapitzlist"/>
              <w:numPr>
                <w:ilvl w:val="0"/>
                <w:numId w:val="750"/>
              </w:numPr>
              <w:shd w:val="clear" w:color="auto" w:fill="F2F2F2" w:themeFill="background1" w:themeFillShade="F2"/>
              <w:spacing w:after="0" w:line="240" w:lineRule="auto"/>
              <w:ind w:left="716" w:hanging="716"/>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Promocja dziedzictwa kulturowego miasta i poszczególnych dzielnic, w tym poprzez rozwiązania cyfrowe oraz nowe obiekty i instytucje (np. Muzeum Historii Bytomia).</w:t>
            </w:r>
          </w:p>
          <w:p w:rsidR="00F21AE8" w:rsidRPr="00BF1DF2" w:rsidRDefault="00F21AE8" w:rsidP="00463955">
            <w:pPr>
              <w:pStyle w:val="Akapitzlist"/>
              <w:numPr>
                <w:ilvl w:val="0"/>
                <w:numId w:val="750"/>
              </w:numPr>
              <w:shd w:val="clear" w:color="auto" w:fill="F2F2F2" w:themeFill="background1" w:themeFillShade="F2"/>
              <w:spacing w:after="0" w:line="240" w:lineRule="auto"/>
              <w:ind w:left="716" w:hanging="716"/>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Działania wspierające międzypokoleniowy przekaz wiedzy o mieście, w tym historii rodzinnych.</w:t>
            </w:r>
          </w:p>
          <w:p w:rsidR="00F21AE8" w:rsidRPr="00BF1DF2" w:rsidRDefault="00F21AE8" w:rsidP="00463955">
            <w:pPr>
              <w:pStyle w:val="Akapitzlist"/>
              <w:numPr>
                <w:ilvl w:val="0"/>
                <w:numId w:val="750"/>
              </w:numPr>
              <w:shd w:val="clear" w:color="auto" w:fill="F2F2F2" w:themeFill="background1" w:themeFillShade="F2"/>
              <w:spacing w:after="0" w:line="240" w:lineRule="auto"/>
              <w:ind w:left="716" w:hanging="716"/>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 xml:space="preserve">Poszerzanie informacji w przestrzeni miasta </w:t>
            </w:r>
            <w:r w:rsidRPr="00BF1DF2">
              <w:rPr>
                <w:rFonts w:asciiTheme="minorHAnsi" w:hAnsiTheme="minorHAnsi" w:cstheme="minorHAnsi"/>
                <w:sz w:val="20"/>
                <w:szCs w:val="20"/>
              </w:rPr>
              <w:br/>
            </w:r>
            <w:r w:rsidRPr="00BF1DF2">
              <w:rPr>
                <w:rFonts w:asciiTheme="minorHAnsi" w:hAnsiTheme="minorHAnsi" w:cstheme="minorHAnsi"/>
                <w:sz w:val="20"/>
                <w:szCs w:val="20"/>
              </w:rPr>
              <w:lastRenderedPageBreak/>
              <w:t>na temat obiektów i miejsc posiadających znaczenie historyczne lub symboliczne.</w:t>
            </w:r>
          </w:p>
          <w:p w:rsidR="00F21AE8" w:rsidRPr="00BF1DF2" w:rsidRDefault="00F21AE8" w:rsidP="00463955">
            <w:pPr>
              <w:pStyle w:val="Akapitzlist"/>
              <w:numPr>
                <w:ilvl w:val="0"/>
                <w:numId w:val="750"/>
              </w:numPr>
              <w:shd w:val="clear" w:color="auto" w:fill="F2F2F2" w:themeFill="background1" w:themeFillShade="F2"/>
              <w:spacing w:after="0" w:line="240" w:lineRule="auto"/>
              <w:ind w:left="716" w:hanging="716"/>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Organizacja wydarzeń ożywiających materialne dziedzictwo kulturowe miasta.</w:t>
            </w:r>
          </w:p>
          <w:p w:rsidR="00F21AE8" w:rsidRPr="00BF1DF2" w:rsidRDefault="00F21AE8" w:rsidP="00463955">
            <w:pPr>
              <w:pStyle w:val="Akapitzlist"/>
              <w:numPr>
                <w:ilvl w:val="0"/>
                <w:numId w:val="750"/>
              </w:numPr>
              <w:shd w:val="clear" w:color="auto" w:fill="F2F2F2" w:themeFill="background1" w:themeFillShade="F2"/>
              <w:spacing w:after="0" w:line="240" w:lineRule="auto"/>
              <w:ind w:left="716" w:hanging="716"/>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Wspieranie instytucji kultury i organizacji pozarządowych podejmujących działania związane z lokalnym dziedzictwem kulturowym.</w:t>
            </w:r>
          </w:p>
        </w:tc>
      </w:tr>
      <w:tr w:rsidR="00F21AE8" w:rsidRPr="00BF1DF2" w:rsidTr="00F21AE8">
        <w:tc>
          <w:tcPr>
            <w:cnfStyle w:val="001000000000"/>
            <w:tcW w:w="0" w:type="auto"/>
            <w:tcBorders>
              <w:left w:val="none" w:sz="0" w:space="0" w:color="auto"/>
              <w:bottom w:val="none" w:sz="0" w:space="0" w:color="auto"/>
            </w:tcBorders>
          </w:tcPr>
          <w:p w:rsidR="00F21AE8" w:rsidRPr="00BF1DF2" w:rsidRDefault="00F21AE8" w:rsidP="00463955">
            <w:pPr>
              <w:pStyle w:val="Akapitzlist"/>
              <w:numPr>
                <w:ilvl w:val="0"/>
                <w:numId w:val="748"/>
              </w:numPr>
              <w:shd w:val="clear" w:color="auto" w:fill="F2F2F2" w:themeFill="background1" w:themeFillShade="F2"/>
              <w:spacing w:after="0" w:line="240" w:lineRule="auto"/>
              <w:ind w:left="599" w:hanging="599"/>
              <w:contextualSpacing/>
              <w:rPr>
                <w:rFonts w:asciiTheme="minorHAnsi" w:eastAsia="Times New Roman" w:hAnsiTheme="minorHAnsi" w:cstheme="minorHAnsi"/>
                <w:sz w:val="20"/>
                <w:szCs w:val="20"/>
                <w:lang w:eastAsia="pl-PL"/>
              </w:rPr>
            </w:pPr>
            <w:r w:rsidRPr="00BF1DF2">
              <w:rPr>
                <w:rFonts w:asciiTheme="minorHAnsi" w:eastAsia="Times New Roman" w:hAnsiTheme="minorHAnsi" w:cstheme="minorHAnsi"/>
                <w:sz w:val="20"/>
                <w:szCs w:val="20"/>
                <w:lang w:eastAsia="pl-PL"/>
              </w:rPr>
              <w:lastRenderedPageBreak/>
              <w:t>Wspólnoty lokalne gospodarzem przestrzeni w miejscu zamieszkania.</w:t>
            </w:r>
          </w:p>
        </w:tc>
        <w:tc>
          <w:tcPr>
            <w:tcW w:w="0" w:type="auto"/>
          </w:tcPr>
          <w:p w:rsidR="00F21AE8" w:rsidRPr="00BF1DF2" w:rsidRDefault="00F21AE8" w:rsidP="00463955">
            <w:pPr>
              <w:pStyle w:val="Akapitzlist"/>
              <w:numPr>
                <w:ilvl w:val="0"/>
                <w:numId w:val="751"/>
              </w:numPr>
              <w:shd w:val="clear" w:color="auto" w:fill="F2F2F2" w:themeFill="background1" w:themeFillShade="F2"/>
              <w:spacing w:after="0" w:line="240" w:lineRule="auto"/>
              <w:ind w:left="716" w:hanging="716"/>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Wspieranie mieszkańców w realizacji inicjatyw podnoszących estetykę i funkcjonalność przestrzeni publicznych i półpublicznych”/półprywatnych” w swoim miejscu zamieszkania.</w:t>
            </w:r>
          </w:p>
          <w:p w:rsidR="00F21AE8" w:rsidRPr="00BF1DF2" w:rsidRDefault="00F21AE8" w:rsidP="00463955">
            <w:pPr>
              <w:pStyle w:val="Akapitzlist"/>
              <w:numPr>
                <w:ilvl w:val="0"/>
                <w:numId w:val="751"/>
              </w:numPr>
              <w:shd w:val="clear" w:color="auto" w:fill="F2F2F2" w:themeFill="background1" w:themeFillShade="F2"/>
              <w:spacing w:after="0" w:line="240" w:lineRule="auto"/>
              <w:ind w:left="716" w:hanging="716"/>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Powierzanie dzieciom i młodzieży opieki nad wydzielonymi przestrzeniami, w tym np. przy placówkach edukacyjnych.</w:t>
            </w:r>
          </w:p>
          <w:p w:rsidR="00F21AE8" w:rsidRPr="00BF1DF2" w:rsidRDefault="00F21AE8" w:rsidP="00463955">
            <w:pPr>
              <w:pStyle w:val="Akapitzlist"/>
              <w:numPr>
                <w:ilvl w:val="0"/>
                <w:numId w:val="751"/>
              </w:numPr>
              <w:shd w:val="clear" w:color="auto" w:fill="F2F2F2" w:themeFill="background1" w:themeFillShade="F2"/>
              <w:spacing w:after="0" w:line="240" w:lineRule="auto"/>
              <w:ind w:left="716" w:hanging="716"/>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Włączanie mieszkańców w proces rewitalizacji dzielnic.</w:t>
            </w:r>
          </w:p>
          <w:p w:rsidR="00F21AE8" w:rsidRPr="00BF1DF2" w:rsidRDefault="00F21AE8" w:rsidP="00463955">
            <w:pPr>
              <w:pStyle w:val="Akapitzlist"/>
              <w:numPr>
                <w:ilvl w:val="0"/>
                <w:numId w:val="751"/>
              </w:numPr>
              <w:shd w:val="clear" w:color="auto" w:fill="F2F2F2" w:themeFill="background1" w:themeFillShade="F2"/>
              <w:spacing w:after="0" w:line="240" w:lineRule="auto"/>
              <w:ind w:left="716" w:hanging="716"/>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Promocja  działań podejmowanych przez mieszkańców na rzecz poprawy jakości przestrzeni.</w:t>
            </w:r>
          </w:p>
          <w:p w:rsidR="00F21AE8" w:rsidRPr="00BF1DF2" w:rsidRDefault="00F21AE8" w:rsidP="00463955">
            <w:pPr>
              <w:pStyle w:val="Akapitzlist"/>
              <w:numPr>
                <w:ilvl w:val="0"/>
                <w:numId w:val="751"/>
              </w:numPr>
              <w:shd w:val="clear" w:color="auto" w:fill="F2F2F2" w:themeFill="background1" w:themeFillShade="F2"/>
              <w:spacing w:after="0" w:line="240" w:lineRule="auto"/>
              <w:ind w:left="716" w:hanging="716"/>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 xml:space="preserve">Działania edukujące mieszkańców w zakresie możliwości podejmowania społecznych działań </w:t>
            </w:r>
            <w:r w:rsidRPr="00BF1DF2">
              <w:rPr>
                <w:rFonts w:asciiTheme="minorHAnsi" w:hAnsiTheme="minorHAnsi" w:cstheme="minorHAnsi"/>
                <w:sz w:val="20"/>
                <w:szCs w:val="20"/>
              </w:rPr>
              <w:br/>
              <w:t>na rzecz poprawy jakości przestrzeni.</w:t>
            </w:r>
          </w:p>
        </w:tc>
      </w:tr>
      <w:tr w:rsidR="00F21AE8" w:rsidRPr="00BF1DF2" w:rsidTr="00F21AE8">
        <w:tc>
          <w:tcPr>
            <w:cnfStyle w:val="001000000000"/>
            <w:tcW w:w="0" w:type="auto"/>
            <w:tcBorders>
              <w:left w:val="none" w:sz="0" w:space="0" w:color="auto"/>
              <w:bottom w:val="none" w:sz="0" w:space="0" w:color="auto"/>
            </w:tcBorders>
          </w:tcPr>
          <w:p w:rsidR="00F21AE8" w:rsidRPr="00BF1DF2" w:rsidRDefault="00F21AE8" w:rsidP="00463955">
            <w:pPr>
              <w:pStyle w:val="Akapitzlist"/>
              <w:numPr>
                <w:ilvl w:val="0"/>
                <w:numId w:val="748"/>
              </w:numPr>
              <w:shd w:val="clear" w:color="auto" w:fill="F2F2F2" w:themeFill="background1" w:themeFillShade="F2"/>
              <w:spacing w:after="0" w:line="240" w:lineRule="auto"/>
              <w:ind w:left="599" w:hanging="599"/>
              <w:contextualSpacing/>
              <w:rPr>
                <w:rFonts w:asciiTheme="minorHAnsi" w:eastAsia="Times New Roman" w:hAnsiTheme="minorHAnsi" w:cstheme="minorHAnsi"/>
                <w:sz w:val="20"/>
                <w:szCs w:val="20"/>
                <w:lang w:eastAsia="pl-PL"/>
              </w:rPr>
            </w:pPr>
            <w:r w:rsidRPr="00BF1DF2">
              <w:rPr>
                <w:rFonts w:asciiTheme="minorHAnsi" w:eastAsia="Times New Roman" w:hAnsiTheme="minorHAnsi" w:cstheme="minorHAnsi"/>
                <w:sz w:val="20"/>
                <w:szCs w:val="20"/>
                <w:lang w:eastAsia="pl-PL"/>
              </w:rPr>
              <w:t>Warunki dla bezpiecznej imigracji krajowej i zagranicznej zasilającej kapitał ludzki miasta.</w:t>
            </w:r>
          </w:p>
        </w:tc>
        <w:tc>
          <w:tcPr>
            <w:tcW w:w="0" w:type="auto"/>
          </w:tcPr>
          <w:p w:rsidR="00F21AE8" w:rsidRPr="00BF1DF2" w:rsidRDefault="00F21AE8" w:rsidP="00463955">
            <w:pPr>
              <w:pStyle w:val="Akapitzlist"/>
              <w:numPr>
                <w:ilvl w:val="0"/>
                <w:numId w:val="752"/>
              </w:numPr>
              <w:shd w:val="clear" w:color="auto" w:fill="F2F2F2" w:themeFill="background1" w:themeFillShade="F2"/>
              <w:spacing w:after="0" w:line="240" w:lineRule="auto"/>
              <w:ind w:left="741" w:hanging="741"/>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Promocja Bytomia w otoczeniu, jako miejsca bardzo atrakcyjnego dla kapitału ludzkiego o wysokich kwalifikacjach.</w:t>
            </w:r>
          </w:p>
          <w:p w:rsidR="00F21AE8" w:rsidRPr="00BF1DF2" w:rsidRDefault="00F21AE8" w:rsidP="00463955">
            <w:pPr>
              <w:pStyle w:val="Akapitzlist"/>
              <w:numPr>
                <w:ilvl w:val="0"/>
                <w:numId w:val="752"/>
              </w:numPr>
              <w:shd w:val="clear" w:color="auto" w:fill="F2F2F2" w:themeFill="background1" w:themeFillShade="F2"/>
              <w:spacing w:after="0" w:line="240" w:lineRule="auto"/>
              <w:ind w:left="741" w:hanging="741"/>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Współpraca z bytomskimi przedsiębiorcami i podmiotami edukacji w zakresie integracji osób napływających do miasta z lokalnym rynkiem pracy.</w:t>
            </w:r>
          </w:p>
          <w:p w:rsidR="00F21AE8" w:rsidRPr="00BF1DF2" w:rsidRDefault="00F21AE8" w:rsidP="00463955">
            <w:pPr>
              <w:pStyle w:val="Akapitzlist"/>
              <w:numPr>
                <w:ilvl w:val="0"/>
                <w:numId w:val="752"/>
              </w:numPr>
              <w:shd w:val="clear" w:color="auto" w:fill="F2F2F2" w:themeFill="background1" w:themeFillShade="F2"/>
              <w:spacing w:after="0" w:line="240" w:lineRule="auto"/>
              <w:ind w:left="741" w:hanging="741"/>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Działania wspierające integrację nowych mieszkańców miasta ze społecznością lokalną.</w:t>
            </w:r>
          </w:p>
        </w:tc>
      </w:tr>
      <w:tr w:rsidR="00F21AE8" w:rsidRPr="00BF1DF2" w:rsidTr="00F21AE8">
        <w:tc>
          <w:tcPr>
            <w:cnfStyle w:val="001000000000"/>
            <w:tcW w:w="0" w:type="auto"/>
            <w:gridSpan w:val="2"/>
            <w:tcBorders>
              <w:left w:val="none" w:sz="0" w:space="0" w:color="auto"/>
              <w:bottom w:val="none" w:sz="0" w:space="0" w:color="auto"/>
            </w:tcBorders>
            <w:shd w:val="clear" w:color="auto" w:fill="F2F2F2" w:themeFill="background1" w:themeFillShade="F2"/>
          </w:tcPr>
          <w:p w:rsidR="00F21AE8" w:rsidRPr="00BF1DF2" w:rsidRDefault="00F21AE8" w:rsidP="00463955">
            <w:pPr>
              <w:pStyle w:val="Akapitzlist"/>
              <w:numPr>
                <w:ilvl w:val="0"/>
                <w:numId w:val="743"/>
              </w:numPr>
              <w:shd w:val="clear" w:color="auto" w:fill="F2F2F2" w:themeFill="background1" w:themeFillShade="F2"/>
              <w:spacing w:before="120" w:after="120" w:line="240" w:lineRule="auto"/>
              <w:ind w:left="357" w:hanging="357"/>
              <w:contextualSpacing/>
              <w:jc w:val="center"/>
              <w:rPr>
                <w:rFonts w:asciiTheme="minorHAnsi" w:hAnsiTheme="minorHAnsi" w:cstheme="minorHAnsi"/>
                <w:b/>
                <w:bCs/>
                <w:sz w:val="20"/>
                <w:szCs w:val="20"/>
              </w:rPr>
            </w:pPr>
            <w:r w:rsidRPr="00BF1DF2">
              <w:rPr>
                <w:rFonts w:asciiTheme="minorHAnsi" w:eastAsia="Times New Roman" w:hAnsiTheme="minorHAnsi" w:cstheme="minorHAnsi"/>
                <w:b/>
                <w:bCs/>
                <w:smallCaps/>
                <w:sz w:val="20"/>
                <w:szCs w:val="20"/>
                <w:lang w:eastAsia="pl-PL"/>
              </w:rPr>
              <w:t>Bytom inteligentny</w:t>
            </w:r>
          </w:p>
        </w:tc>
      </w:tr>
      <w:tr w:rsidR="00F21AE8" w:rsidRPr="00BF1DF2" w:rsidTr="00F21AE8">
        <w:tc>
          <w:tcPr>
            <w:cnfStyle w:val="001000000000"/>
            <w:tcW w:w="0" w:type="auto"/>
            <w:tcBorders>
              <w:left w:val="none" w:sz="0" w:space="0" w:color="auto"/>
              <w:bottom w:val="none" w:sz="0" w:space="0" w:color="auto"/>
            </w:tcBorders>
          </w:tcPr>
          <w:p w:rsidR="00F21AE8" w:rsidRPr="00BF1DF2" w:rsidRDefault="00F21AE8" w:rsidP="00463955">
            <w:pPr>
              <w:pStyle w:val="Akapitzlist"/>
              <w:numPr>
                <w:ilvl w:val="0"/>
                <w:numId w:val="753"/>
              </w:numPr>
              <w:shd w:val="clear" w:color="auto" w:fill="F2F2F2" w:themeFill="background1" w:themeFillShade="F2"/>
              <w:spacing w:after="0" w:line="240" w:lineRule="auto"/>
              <w:ind w:left="599" w:hanging="599"/>
              <w:contextualSpacing/>
              <w:rPr>
                <w:rFonts w:asciiTheme="minorHAnsi" w:eastAsia="Times New Roman" w:hAnsiTheme="minorHAnsi" w:cstheme="minorHAnsi"/>
                <w:sz w:val="20"/>
                <w:szCs w:val="20"/>
                <w:lang w:eastAsia="pl-PL"/>
              </w:rPr>
            </w:pPr>
            <w:r w:rsidRPr="00BF1DF2">
              <w:rPr>
                <w:rFonts w:asciiTheme="minorHAnsi" w:eastAsia="Times New Roman" w:hAnsiTheme="minorHAnsi" w:cstheme="minorHAnsi"/>
                <w:sz w:val="20"/>
                <w:szCs w:val="20"/>
                <w:lang w:eastAsia="pl-PL"/>
              </w:rPr>
              <w:t xml:space="preserve">Inteligentne technologie wspierające zrównoważone korzystanie z zasobów lokalnych. </w:t>
            </w:r>
          </w:p>
        </w:tc>
        <w:tc>
          <w:tcPr>
            <w:tcW w:w="0" w:type="auto"/>
          </w:tcPr>
          <w:p w:rsidR="00F21AE8" w:rsidRPr="00BF1DF2" w:rsidRDefault="00F21AE8" w:rsidP="00463955">
            <w:pPr>
              <w:pStyle w:val="Akapitzlist"/>
              <w:numPr>
                <w:ilvl w:val="0"/>
                <w:numId w:val="755"/>
              </w:numPr>
              <w:shd w:val="clear" w:color="auto" w:fill="F2F2F2" w:themeFill="background1" w:themeFillShade="F2"/>
              <w:spacing w:after="0" w:line="240" w:lineRule="auto"/>
              <w:ind w:left="693" w:hanging="693"/>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Wdrażanie inteligentnych narzędzi monitorujących zmiany środowiska przyrodniczego miasta.</w:t>
            </w:r>
          </w:p>
          <w:p w:rsidR="00F21AE8" w:rsidRPr="00BF1DF2" w:rsidRDefault="00F21AE8" w:rsidP="00463955">
            <w:pPr>
              <w:pStyle w:val="Akapitzlist"/>
              <w:numPr>
                <w:ilvl w:val="0"/>
                <w:numId w:val="755"/>
              </w:numPr>
              <w:shd w:val="clear" w:color="auto" w:fill="F2F2F2" w:themeFill="background1" w:themeFillShade="F2"/>
              <w:spacing w:after="0" w:line="240" w:lineRule="auto"/>
              <w:ind w:left="693" w:hanging="693"/>
              <w:contextualSpacing/>
              <w:jc w:val="both"/>
              <w:cnfStyle w:val="000000000000"/>
              <w:rPr>
                <w:rFonts w:asciiTheme="minorHAnsi" w:hAnsiTheme="minorHAnsi" w:cstheme="minorHAnsi"/>
                <w:sz w:val="20"/>
                <w:szCs w:val="20"/>
              </w:rPr>
            </w:pPr>
            <w:r w:rsidRPr="00BF1DF2">
              <w:rPr>
                <w:rFonts w:asciiTheme="minorHAnsi" w:eastAsia="Times New Roman" w:hAnsiTheme="minorHAnsi" w:cstheme="minorHAnsi"/>
                <w:sz w:val="20"/>
                <w:szCs w:val="20"/>
                <w:lang w:eastAsia="pl-PL"/>
              </w:rPr>
              <w:t xml:space="preserve">Wdrażanie rozwiązań z zakresu gospodarki </w:t>
            </w:r>
            <w:r w:rsidRPr="00BF1DF2">
              <w:rPr>
                <w:rFonts w:asciiTheme="minorHAnsi" w:eastAsia="Times New Roman" w:hAnsiTheme="minorHAnsi" w:cstheme="minorHAnsi"/>
                <w:sz w:val="20"/>
                <w:szCs w:val="20"/>
                <w:lang w:eastAsia="pl-PL"/>
              </w:rPr>
              <w:br/>
              <w:t xml:space="preserve">o obiegu zamkniętym w sektorze prywatnym </w:t>
            </w:r>
            <w:r w:rsidRPr="00BF1DF2">
              <w:rPr>
                <w:rFonts w:asciiTheme="minorHAnsi" w:eastAsia="Times New Roman" w:hAnsiTheme="minorHAnsi" w:cstheme="minorHAnsi"/>
                <w:sz w:val="20"/>
                <w:szCs w:val="20"/>
                <w:lang w:eastAsia="pl-PL"/>
              </w:rPr>
              <w:br/>
              <w:t>i publicznym.</w:t>
            </w:r>
          </w:p>
          <w:p w:rsidR="00F21AE8" w:rsidRPr="00BF1DF2" w:rsidRDefault="00F21AE8" w:rsidP="00463955">
            <w:pPr>
              <w:pStyle w:val="Akapitzlist"/>
              <w:numPr>
                <w:ilvl w:val="0"/>
                <w:numId w:val="755"/>
              </w:numPr>
              <w:shd w:val="clear" w:color="auto" w:fill="F2F2F2" w:themeFill="background1" w:themeFillShade="F2"/>
              <w:spacing w:after="0" w:line="240" w:lineRule="auto"/>
              <w:ind w:left="693" w:hanging="693"/>
              <w:contextualSpacing/>
              <w:jc w:val="both"/>
              <w:cnfStyle w:val="000000000000"/>
              <w:rPr>
                <w:rFonts w:asciiTheme="minorHAnsi" w:hAnsiTheme="minorHAnsi" w:cstheme="minorHAnsi"/>
                <w:sz w:val="20"/>
                <w:szCs w:val="20"/>
              </w:rPr>
            </w:pPr>
            <w:r w:rsidRPr="00BF1DF2">
              <w:rPr>
                <w:rFonts w:asciiTheme="minorHAnsi" w:eastAsia="Times New Roman" w:hAnsiTheme="minorHAnsi" w:cstheme="minorHAnsi"/>
                <w:sz w:val="20"/>
                <w:szCs w:val="20"/>
                <w:lang w:eastAsia="pl-PL"/>
              </w:rPr>
              <w:t>Ograniczanie antropopresji na środowisko przyrodnicze miasta poprzez rozwój infrastruktury technicznej i narzędzi sterowania tą infrastrukturą.</w:t>
            </w:r>
          </w:p>
          <w:p w:rsidR="00F21AE8" w:rsidRPr="00BF1DF2" w:rsidRDefault="00F21AE8" w:rsidP="00463955">
            <w:pPr>
              <w:pStyle w:val="Akapitzlist"/>
              <w:numPr>
                <w:ilvl w:val="0"/>
                <w:numId w:val="755"/>
              </w:numPr>
              <w:shd w:val="clear" w:color="auto" w:fill="F2F2F2" w:themeFill="background1" w:themeFillShade="F2"/>
              <w:spacing w:after="0" w:line="240" w:lineRule="auto"/>
              <w:ind w:left="693" w:hanging="693"/>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Wspieranie zastosowania inteligentnych technologii energooszczędnych w gospodarstwach domowych, podmiotach administracji i obiektach użyteczności publicznej oraz firmach.</w:t>
            </w:r>
          </w:p>
        </w:tc>
      </w:tr>
      <w:tr w:rsidR="00F21AE8" w:rsidRPr="00BF1DF2" w:rsidTr="00F21AE8">
        <w:tc>
          <w:tcPr>
            <w:cnfStyle w:val="001000000000"/>
            <w:tcW w:w="0" w:type="auto"/>
            <w:gridSpan w:val="2"/>
            <w:tcBorders>
              <w:left w:val="none" w:sz="0" w:space="0" w:color="auto"/>
              <w:bottom w:val="none" w:sz="0" w:space="0" w:color="auto"/>
            </w:tcBorders>
            <w:shd w:val="clear" w:color="auto" w:fill="F2F2F2" w:themeFill="background1" w:themeFillShade="F2"/>
          </w:tcPr>
          <w:p w:rsidR="00F21AE8" w:rsidRPr="00BF1DF2" w:rsidRDefault="00F21AE8" w:rsidP="00463955">
            <w:pPr>
              <w:pStyle w:val="Akapitzlist"/>
              <w:numPr>
                <w:ilvl w:val="0"/>
                <w:numId w:val="743"/>
              </w:numPr>
              <w:shd w:val="clear" w:color="auto" w:fill="F2F2F2" w:themeFill="background1" w:themeFillShade="F2"/>
              <w:spacing w:before="120" w:after="120" w:line="240" w:lineRule="auto"/>
              <w:ind w:left="357" w:hanging="357"/>
              <w:contextualSpacing/>
              <w:jc w:val="center"/>
              <w:rPr>
                <w:rFonts w:asciiTheme="minorHAnsi" w:hAnsiTheme="minorHAnsi" w:cstheme="minorHAnsi"/>
                <w:b/>
                <w:bCs/>
                <w:sz w:val="20"/>
                <w:szCs w:val="20"/>
              </w:rPr>
            </w:pPr>
            <w:r w:rsidRPr="00BF1DF2">
              <w:rPr>
                <w:rFonts w:asciiTheme="minorHAnsi" w:eastAsia="Times New Roman" w:hAnsiTheme="minorHAnsi" w:cstheme="minorHAnsi"/>
                <w:b/>
                <w:bCs/>
                <w:smallCaps/>
                <w:sz w:val="20"/>
                <w:szCs w:val="20"/>
                <w:lang w:eastAsia="pl-PL"/>
              </w:rPr>
              <w:t>Bytomski start-up</w:t>
            </w:r>
          </w:p>
        </w:tc>
      </w:tr>
      <w:tr w:rsidR="00F21AE8" w:rsidRPr="00BF1DF2" w:rsidTr="00F21AE8">
        <w:tc>
          <w:tcPr>
            <w:cnfStyle w:val="001000000000"/>
            <w:tcW w:w="0" w:type="auto"/>
            <w:tcBorders>
              <w:left w:val="none" w:sz="0" w:space="0" w:color="auto"/>
              <w:bottom w:val="none" w:sz="0" w:space="0" w:color="auto"/>
            </w:tcBorders>
          </w:tcPr>
          <w:p w:rsidR="00F21AE8" w:rsidRPr="00BF1DF2" w:rsidRDefault="00F21AE8" w:rsidP="00463955">
            <w:pPr>
              <w:pStyle w:val="Akapitzlist"/>
              <w:numPr>
                <w:ilvl w:val="0"/>
                <w:numId w:val="758"/>
              </w:numPr>
              <w:shd w:val="clear" w:color="auto" w:fill="F2F2F2" w:themeFill="background1" w:themeFillShade="F2"/>
              <w:spacing w:after="0" w:line="240" w:lineRule="auto"/>
              <w:ind w:left="457" w:hanging="457"/>
              <w:contextualSpacing/>
              <w:rPr>
                <w:rFonts w:asciiTheme="minorHAnsi" w:hAnsiTheme="minorHAnsi" w:cstheme="minorHAnsi"/>
                <w:sz w:val="20"/>
                <w:szCs w:val="20"/>
              </w:rPr>
            </w:pPr>
            <w:r w:rsidRPr="00BF1DF2">
              <w:rPr>
                <w:rFonts w:asciiTheme="minorHAnsi" w:hAnsiTheme="minorHAnsi" w:cstheme="minorHAnsi"/>
                <w:sz w:val="20"/>
                <w:szCs w:val="20"/>
              </w:rPr>
              <w:t>Miasto przyjazne dla przedsiębiorczych mieszkańców.</w:t>
            </w:r>
          </w:p>
        </w:tc>
        <w:tc>
          <w:tcPr>
            <w:tcW w:w="0" w:type="auto"/>
          </w:tcPr>
          <w:p w:rsidR="00F21AE8" w:rsidRPr="00BF1DF2" w:rsidRDefault="00F21AE8" w:rsidP="00463955">
            <w:pPr>
              <w:pStyle w:val="Akapitzlist"/>
              <w:numPr>
                <w:ilvl w:val="0"/>
                <w:numId w:val="762"/>
              </w:numPr>
              <w:shd w:val="clear" w:color="auto" w:fill="F2F2F2" w:themeFill="background1" w:themeFillShade="F2"/>
              <w:spacing w:after="0" w:line="240" w:lineRule="auto"/>
              <w:ind w:left="693" w:hanging="693"/>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 xml:space="preserve">Rozwijanie edukacji przedsiębiorczej dla mieszkańców miasta. </w:t>
            </w:r>
          </w:p>
          <w:p w:rsidR="00F21AE8" w:rsidRPr="00BF1DF2" w:rsidRDefault="00F21AE8" w:rsidP="00463955">
            <w:pPr>
              <w:pStyle w:val="Akapitzlist"/>
              <w:numPr>
                <w:ilvl w:val="0"/>
                <w:numId w:val="762"/>
              </w:numPr>
              <w:shd w:val="clear" w:color="auto" w:fill="F2F2F2" w:themeFill="background1" w:themeFillShade="F2"/>
              <w:spacing w:after="0" w:line="240" w:lineRule="auto"/>
              <w:ind w:left="693" w:hanging="693"/>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Kształtowanie polityki wspierania biznesu w partnerstwie z lokalnymi przedsiębiorcami.</w:t>
            </w:r>
          </w:p>
          <w:p w:rsidR="00F21AE8" w:rsidRPr="00BF1DF2" w:rsidRDefault="00F21AE8" w:rsidP="00463955">
            <w:pPr>
              <w:pStyle w:val="Akapitzlist"/>
              <w:numPr>
                <w:ilvl w:val="0"/>
                <w:numId w:val="762"/>
              </w:numPr>
              <w:shd w:val="clear" w:color="auto" w:fill="F2F2F2" w:themeFill="background1" w:themeFillShade="F2"/>
              <w:spacing w:after="0" w:line="240" w:lineRule="auto"/>
              <w:ind w:left="693" w:hanging="693"/>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Tworzenie stref rozwoju przedsiębiorczości lokalnej (obiekty, tereny).</w:t>
            </w:r>
          </w:p>
          <w:p w:rsidR="00F21AE8" w:rsidRPr="00BF1DF2" w:rsidRDefault="00F21AE8" w:rsidP="00463955">
            <w:pPr>
              <w:pStyle w:val="Akapitzlist"/>
              <w:numPr>
                <w:ilvl w:val="0"/>
                <w:numId w:val="762"/>
              </w:numPr>
              <w:shd w:val="clear" w:color="auto" w:fill="F2F2F2" w:themeFill="background1" w:themeFillShade="F2"/>
              <w:spacing w:after="120" w:line="264" w:lineRule="auto"/>
              <w:ind w:left="693" w:hanging="693"/>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 xml:space="preserve">Implementacja instrumentów organizacyjnych, instytucjonalnych i finansowych wspierających rozwój </w:t>
            </w:r>
            <w:r w:rsidRPr="00BF1DF2">
              <w:rPr>
                <w:rFonts w:asciiTheme="minorHAnsi" w:hAnsiTheme="minorHAnsi" w:cstheme="minorHAnsi"/>
                <w:sz w:val="20"/>
                <w:szCs w:val="20"/>
              </w:rPr>
              <w:lastRenderedPageBreak/>
              <w:t>istniejących i zakładanie nowych działalności gospodarczych.</w:t>
            </w:r>
          </w:p>
          <w:p w:rsidR="00F21AE8" w:rsidRPr="00BF1DF2" w:rsidRDefault="00F21AE8" w:rsidP="00463955">
            <w:pPr>
              <w:pStyle w:val="Akapitzlist"/>
              <w:numPr>
                <w:ilvl w:val="0"/>
                <w:numId w:val="762"/>
              </w:numPr>
              <w:shd w:val="clear" w:color="auto" w:fill="F2F2F2" w:themeFill="background1" w:themeFillShade="F2"/>
              <w:spacing w:after="0" w:line="240" w:lineRule="auto"/>
              <w:ind w:left="693" w:hanging="693"/>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 xml:space="preserve">Tworzenie dla absolwentów szkół z Bytomia i miast Metropolii warunków dla zakładania pierwszego biznesu. </w:t>
            </w:r>
          </w:p>
        </w:tc>
      </w:tr>
      <w:tr w:rsidR="00F21AE8" w:rsidRPr="00BF1DF2" w:rsidTr="00F21AE8">
        <w:tc>
          <w:tcPr>
            <w:cnfStyle w:val="001000000000"/>
            <w:tcW w:w="0" w:type="auto"/>
            <w:tcBorders>
              <w:left w:val="none" w:sz="0" w:space="0" w:color="auto"/>
              <w:bottom w:val="none" w:sz="0" w:space="0" w:color="auto"/>
            </w:tcBorders>
          </w:tcPr>
          <w:p w:rsidR="00F21AE8" w:rsidRPr="00BF1DF2" w:rsidRDefault="00F21AE8" w:rsidP="00463955">
            <w:pPr>
              <w:pStyle w:val="Akapitzlist"/>
              <w:numPr>
                <w:ilvl w:val="0"/>
                <w:numId w:val="758"/>
              </w:numPr>
              <w:shd w:val="clear" w:color="auto" w:fill="F2F2F2" w:themeFill="background1" w:themeFillShade="F2"/>
              <w:spacing w:after="0" w:line="240" w:lineRule="auto"/>
              <w:ind w:left="457" w:hanging="457"/>
              <w:contextualSpacing/>
              <w:rPr>
                <w:rFonts w:asciiTheme="minorHAnsi" w:hAnsiTheme="minorHAnsi" w:cstheme="minorHAnsi"/>
                <w:sz w:val="20"/>
                <w:szCs w:val="20"/>
              </w:rPr>
            </w:pPr>
            <w:r w:rsidRPr="00BF1DF2">
              <w:rPr>
                <w:rFonts w:asciiTheme="minorHAnsi" w:eastAsia="Times New Roman" w:hAnsiTheme="minorHAnsi" w:cstheme="minorHAnsi"/>
                <w:sz w:val="20"/>
                <w:szCs w:val="20"/>
                <w:lang w:eastAsia="pl-PL"/>
              </w:rPr>
              <w:lastRenderedPageBreak/>
              <w:t>Rozwinięte sieci współpracy międzysektorowej wspierające rozwój nowej gospodarki</w:t>
            </w:r>
            <w:r w:rsidRPr="00BF1DF2">
              <w:rPr>
                <w:rFonts w:asciiTheme="minorHAnsi" w:hAnsiTheme="minorHAnsi" w:cstheme="minorHAnsi"/>
                <w:sz w:val="20"/>
                <w:szCs w:val="20"/>
              </w:rPr>
              <w:t>.</w:t>
            </w:r>
          </w:p>
        </w:tc>
        <w:tc>
          <w:tcPr>
            <w:tcW w:w="0" w:type="auto"/>
          </w:tcPr>
          <w:p w:rsidR="00F21AE8" w:rsidRPr="00BF1DF2" w:rsidRDefault="00F21AE8" w:rsidP="00463955">
            <w:pPr>
              <w:pStyle w:val="Akapitzlist"/>
              <w:numPr>
                <w:ilvl w:val="0"/>
                <w:numId w:val="763"/>
              </w:numPr>
              <w:shd w:val="clear" w:color="auto" w:fill="F2F2F2" w:themeFill="background1" w:themeFillShade="F2"/>
              <w:spacing w:after="0" w:line="240" w:lineRule="auto"/>
              <w:ind w:left="693" w:hanging="693"/>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Promocja społecznej odpowiedzialności biznesu wśród bytomskich firm.</w:t>
            </w:r>
          </w:p>
          <w:p w:rsidR="00F21AE8" w:rsidRPr="00BF1DF2" w:rsidRDefault="00F21AE8" w:rsidP="00463955">
            <w:pPr>
              <w:pStyle w:val="Akapitzlist"/>
              <w:numPr>
                <w:ilvl w:val="0"/>
                <w:numId w:val="763"/>
              </w:numPr>
              <w:shd w:val="clear" w:color="auto" w:fill="F2F2F2" w:themeFill="background1" w:themeFillShade="F2"/>
              <w:spacing w:after="0" w:line="240" w:lineRule="auto"/>
              <w:ind w:left="693" w:hanging="693"/>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Wdrażanie narzędzi ułatwiających komunikację między lokalnymi firmami oraz nawiązywanie relacji biznesowych.</w:t>
            </w:r>
          </w:p>
          <w:p w:rsidR="00F21AE8" w:rsidRPr="00BF1DF2" w:rsidRDefault="00F21AE8" w:rsidP="00463955">
            <w:pPr>
              <w:pStyle w:val="Akapitzlist"/>
              <w:numPr>
                <w:ilvl w:val="0"/>
                <w:numId w:val="763"/>
              </w:numPr>
              <w:shd w:val="clear" w:color="auto" w:fill="F2F2F2" w:themeFill="background1" w:themeFillShade="F2"/>
              <w:spacing w:after="0" w:line="240" w:lineRule="auto"/>
              <w:ind w:left="693" w:hanging="693"/>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Wspieranie transferu wiedzy o klimatycznie neutralnej gospodarce i partnerskich projektów realizowanych przez firmy, podmioty nauki, placówki edukacyjne, sektor pozarządowy.</w:t>
            </w:r>
          </w:p>
          <w:p w:rsidR="00F21AE8" w:rsidRPr="00BF1DF2" w:rsidRDefault="00F21AE8" w:rsidP="00463955">
            <w:pPr>
              <w:pStyle w:val="Akapitzlist"/>
              <w:numPr>
                <w:ilvl w:val="0"/>
                <w:numId w:val="763"/>
              </w:numPr>
              <w:shd w:val="clear" w:color="auto" w:fill="F2F2F2" w:themeFill="background1" w:themeFillShade="F2"/>
              <w:spacing w:after="0" w:line="240" w:lineRule="auto"/>
              <w:ind w:left="693" w:hanging="693"/>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Wspieranie transferu doświadczeń w zakresie innowacji między bytomskimi firmami.</w:t>
            </w:r>
          </w:p>
          <w:p w:rsidR="00F21AE8" w:rsidRPr="00BF1DF2" w:rsidRDefault="00F21AE8" w:rsidP="00463955">
            <w:pPr>
              <w:pStyle w:val="Akapitzlist"/>
              <w:numPr>
                <w:ilvl w:val="0"/>
                <w:numId w:val="763"/>
              </w:numPr>
              <w:shd w:val="clear" w:color="auto" w:fill="F2F2F2" w:themeFill="background1" w:themeFillShade="F2"/>
              <w:spacing w:after="0" w:line="240" w:lineRule="auto"/>
              <w:ind w:left="693" w:hanging="693"/>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Partnerstwo miasta i bytomskich firm w opracowywaniu nowych produktów i usług wspierających funkcjonowanie miasta.</w:t>
            </w:r>
          </w:p>
          <w:p w:rsidR="00F21AE8" w:rsidRPr="00BF1DF2" w:rsidRDefault="00F21AE8" w:rsidP="00463955">
            <w:pPr>
              <w:pStyle w:val="Akapitzlist"/>
              <w:numPr>
                <w:ilvl w:val="0"/>
                <w:numId w:val="763"/>
              </w:numPr>
              <w:shd w:val="clear" w:color="auto" w:fill="F2F2F2" w:themeFill="background1" w:themeFillShade="F2"/>
              <w:spacing w:after="0" w:line="240" w:lineRule="auto"/>
              <w:ind w:left="693" w:hanging="693"/>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Promocja lokalnych liderów nowej gospodarki.</w:t>
            </w:r>
          </w:p>
        </w:tc>
      </w:tr>
      <w:tr w:rsidR="00F21AE8" w:rsidRPr="00BF1DF2" w:rsidTr="00F21AE8">
        <w:tc>
          <w:tcPr>
            <w:cnfStyle w:val="001000000000"/>
            <w:tcW w:w="0" w:type="auto"/>
            <w:tcBorders>
              <w:left w:val="none" w:sz="0" w:space="0" w:color="auto"/>
              <w:bottom w:val="none" w:sz="0" w:space="0" w:color="auto"/>
            </w:tcBorders>
          </w:tcPr>
          <w:p w:rsidR="00F21AE8" w:rsidRPr="00BF1DF2" w:rsidRDefault="00F21AE8" w:rsidP="00463955">
            <w:pPr>
              <w:pStyle w:val="Akapitzlist"/>
              <w:numPr>
                <w:ilvl w:val="0"/>
                <w:numId w:val="758"/>
              </w:numPr>
              <w:shd w:val="clear" w:color="auto" w:fill="F2F2F2" w:themeFill="background1" w:themeFillShade="F2"/>
              <w:spacing w:after="0" w:line="240" w:lineRule="auto"/>
              <w:ind w:left="457" w:hanging="457"/>
              <w:contextualSpacing/>
              <w:rPr>
                <w:rFonts w:asciiTheme="minorHAnsi" w:hAnsiTheme="minorHAnsi" w:cstheme="minorHAnsi"/>
                <w:sz w:val="20"/>
                <w:szCs w:val="20"/>
              </w:rPr>
            </w:pPr>
            <w:r w:rsidRPr="00BF1DF2">
              <w:rPr>
                <w:rFonts w:asciiTheme="minorHAnsi" w:hAnsiTheme="minorHAnsi" w:cstheme="minorHAnsi"/>
                <w:sz w:val="20"/>
                <w:szCs w:val="20"/>
              </w:rPr>
              <w:t>Atrakcyjność miasta dla inwestorów kreujących miejsca pracy i lokalne sieci kooperacyjne.</w:t>
            </w:r>
          </w:p>
        </w:tc>
        <w:tc>
          <w:tcPr>
            <w:tcW w:w="0" w:type="auto"/>
          </w:tcPr>
          <w:p w:rsidR="00F21AE8" w:rsidRPr="00BF1DF2" w:rsidRDefault="00F21AE8" w:rsidP="00463955">
            <w:pPr>
              <w:pStyle w:val="Akapitzlist"/>
              <w:numPr>
                <w:ilvl w:val="0"/>
                <w:numId w:val="765"/>
              </w:numPr>
              <w:shd w:val="clear" w:color="auto" w:fill="F2F2F2" w:themeFill="background1" w:themeFillShade="F2"/>
              <w:spacing w:after="0" w:line="240" w:lineRule="auto"/>
              <w:ind w:left="693" w:hanging="693"/>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Działania podnoszące atrakcyjność inwestycyjną miasta w oparciu o ofertę terenów i obiektów, poprawiającą się dostępność  komunikacyjną, kwalifikacje mieszkańców oraz możliwości pozyskania kooperantów.</w:t>
            </w:r>
          </w:p>
          <w:p w:rsidR="00F21AE8" w:rsidRPr="00BF1DF2" w:rsidRDefault="00F21AE8" w:rsidP="00463955">
            <w:pPr>
              <w:pStyle w:val="Akapitzlist"/>
              <w:numPr>
                <w:ilvl w:val="0"/>
                <w:numId w:val="765"/>
              </w:numPr>
              <w:shd w:val="clear" w:color="auto" w:fill="F2F2F2" w:themeFill="background1" w:themeFillShade="F2"/>
              <w:spacing w:after="0" w:line="240" w:lineRule="auto"/>
              <w:ind w:left="693" w:hanging="693"/>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Działania na rzecz wykreowania i wzmacniania relacji między inwestorami a bytomskimi przedsiębiorcami, placówkami edukacyjnymi, instytucjami otoczenia biznesu.</w:t>
            </w:r>
          </w:p>
          <w:p w:rsidR="00F21AE8" w:rsidRPr="00BF1DF2" w:rsidRDefault="00F21AE8" w:rsidP="00463955">
            <w:pPr>
              <w:pStyle w:val="Akapitzlist"/>
              <w:numPr>
                <w:ilvl w:val="0"/>
                <w:numId w:val="765"/>
              </w:numPr>
              <w:shd w:val="clear" w:color="auto" w:fill="F2F2F2" w:themeFill="background1" w:themeFillShade="F2"/>
              <w:spacing w:after="0" w:line="240" w:lineRule="auto"/>
              <w:ind w:left="693" w:hanging="693"/>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Realizowana wspólnie z innymi miastami GZM promocja inwestycyjna w skali międzynarodowej.</w:t>
            </w:r>
          </w:p>
        </w:tc>
      </w:tr>
      <w:tr w:rsidR="00F21AE8" w:rsidRPr="00BF1DF2" w:rsidTr="00F21AE8">
        <w:trPr>
          <w:trHeight w:val="734"/>
        </w:trPr>
        <w:tc>
          <w:tcPr>
            <w:cnfStyle w:val="001000000000"/>
            <w:tcW w:w="0" w:type="auto"/>
            <w:gridSpan w:val="2"/>
            <w:tcBorders>
              <w:left w:val="none" w:sz="0" w:space="0" w:color="auto"/>
              <w:bottom w:val="none" w:sz="0" w:space="0" w:color="auto"/>
            </w:tcBorders>
            <w:shd w:val="clear" w:color="auto" w:fill="F2F2F2" w:themeFill="background1" w:themeFillShade="F2"/>
          </w:tcPr>
          <w:p w:rsidR="00F21AE8" w:rsidRPr="00BF1DF2" w:rsidRDefault="00F21AE8" w:rsidP="00463955">
            <w:pPr>
              <w:pStyle w:val="Akapitzlist"/>
              <w:numPr>
                <w:ilvl w:val="0"/>
                <w:numId w:val="743"/>
              </w:numPr>
              <w:shd w:val="clear" w:color="auto" w:fill="F2F2F2" w:themeFill="background1" w:themeFillShade="F2"/>
              <w:spacing w:before="120" w:after="120" w:line="240" w:lineRule="auto"/>
              <w:ind w:left="357" w:hanging="357"/>
              <w:jc w:val="center"/>
              <w:rPr>
                <w:rFonts w:asciiTheme="minorHAnsi" w:hAnsiTheme="minorHAnsi" w:cstheme="minorHAnsi"/>
                <w:b/>
                <w:bCs/>
                <w:sz w:val="20"/>
                <w:szCs w:val="20"/>
              </w:rPr>
            </w:pPr>
            <w:r w:rsidRPr="00BF1DF2">
              <w:rPr>
                <w:rFonts w:asciiTheme="minorHAnsi" w:eastAsia="Times New Roman" w:hAnsiTheme="minorHAnsi" w:cstheme="minorHAnsi"/>
                <w:b/>
                <w:bCs/>
                <w:smallCaps/>
                <w:sz w:val="20"/>
                <w:szCs w:val="20"/>
                <w:lang w:eastAsia="pl-PL"/>
              </w:rPr>
              <w:t>Bytom witalnej przestrzeni</w:t>
            </w:r>
          </w:p>
        </w:tc>
      </w:tr>
      <w:tr w:rsidR="00F21AE8" w:rsidRPr="00BF1DF2" w:rsidTr="00F21AE8">
        <w:tc>
          <w:tcPr>
            <w:cnfStyle w:val="001000000000"/>
            <w:tcW w:w="0" w:type="auto"/>
            <w:tcBorders>
              <w:left w:val="none" w:sz="0" w:space="0" w:color="auto"/>
              <w:bottom w:val="none" w:sz="0" w:space="0" w:color="auto"/>
            </w:tcBorders>
          </w:tcPr>
          <w:p w:rsidR="00F21AE8" w:rsidRPr="00BF1DF2" w:rsidRDefault="00F21AE8" w:rsidP="00463955">
            <w:pPr>
              <w:pStyle w:val="Akapitzlist"/>
              <w:numPr>
                <w:ilvl w:val="0"/>
                <w:numId w:val="759"/>
              </w:numPr>
              <w:shd w:val="clear" w:color="auto" w:fill="F2F2F2" w:themeFill="background1" w:themeFillShade="F2"/>
              <w:spacing w:after="0" w:line="240" w:lineRule="auto"/>
              <w:ind w:left="599" w:hanging="599"/>
              <w:contextualSpacing/>
              <w:rPr>
                <w:rFonts w:asciiTheme="minorHAnsi" w:hAnsiTheme="minorHAnsi" w:cstheme="minorHAnsi"/>
                <w:sz w:val="20"/>
                <w:szCs w:val="20"/>
              </w:rPr>
            </w:pPr>
            <w:r w:rsidRPr="00BF1DF2">
              <w:rPr>
                <w:rFonts w:asciiTheme="minorHAnsi" w:eastAsia="Times New Roman" w:hAnsiTheme="minorHAnsi" w:cstheme="minorHAnsi"/>
                <w:sz w:val="20"/>
                <w:szCs w:val="20"/>
                <w:lang w:eastAsia="pl-PL"/>
              </w:rPr>
              <w:t>Czyste środowisko przyrodnicze.</w:t>
            </w:r>
          </w:p>
        </w:tc>
        <w:tc>
          <w:tcPr>
            <w:tcW w:w="0" w:type="auto"/>
          </w:tcPr>
          <w:p w:rsidR="00F21AE8" w:rsidRPr="00BF1DF2" w:rsidRDefault="00F21AE8" w:rsidP="00463955">
            <w:pPr>
              <w:pStyle w:val="Akapitzlist"/>
              <w:numPr>
                <w:ilvl w:val="0"/>
                <w:numId w:val="767"/>
              </w:numPr>
              <w:shd w:val="clear" w:color="auto" w:fill="F2F2F2" w:themeFill="background1" w:themeFillShade="F2"/>
              <w:spacing w:after="0" w:line="240" w:lineRule="auto"/>
              <w:ind w:left="738" w:hanging="738"/>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Działania podnoszące świadomość ekologiczną mieszkańców.</w:t>
            </w:r>
          </w:p>
          <w:p w:rsidR="00F21AE8" w:rsidRPr="00BF1DF2" w:rsidRDefault="00F21AE8" w:rsidP="00463955">
            <w:pPr>
              <w:pStyle w:val="Akapitzlist"/>
              <w:numPr>
                <w:ilvl w:val="0"/>
                <w:numId w:val="767"/>
              </w:numPr>
              <w:shd w:val="clear" w:color="auto" w:fill="F2F2F2" w:themeFill="background1" w:themeFillShade="F2"/>
              <w:spacing w:after="0" w:line="240" w:lineRule="auto"/>
              <w:ind w:left="738" w:hanging="738"/>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Działania na rzecz ograniczania tzw. niskiej emisji – inwestycyjne, promocyjne, finansowe.</w:t>
            </w:r>
          </w:p>
          <w:p w:rsidR="00F21AE8" w:rsidRPr="00BF1DF2" w:rsidRDefault="00F21AE8" w:rsidP="00463955">
            <w:pPr>
              <w:pStyle w:val="Akapitzlist"/>
              <w:numPr>
                <w:ilvl w:val="0"/>
                <w:numId w:val="767"/>
              </w:numPr>
              <w:shd w:val="clear" w:color="auto" w:fill="F2F2F2" w:themeFill="background1" w:themeFillShade="F2"/>
              <w:spacing w:after="0" w:line="240" w:lineRule="auto"/>
              <w:ind w:left="738" w:hanging="738"/>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Renaturyzacja terenów o potencjalnie wysokim znaczeniu ekologicznym.</w:t>
            </w:r>
          </w:p>
          <w:p w:rsidR="00F21AE8" w:rsidRPr="00BF1DF2" w:rsidRDefault="00F21AE8" w:rsidP="00463955">
            <w:pPr>
              <w:pStyle w:val="Akapitzlist"/>
              <w:numPr>
                <w:ilvl w:val="0"/>
                <w:numId w:val="767"/>
              </w:numPr>
              <w:shd w:val="clear" w:color="auto" w:fill="F2F2F2" w:themeFill="background1" w:themeFillShade="F2"/>
              <w:spacing w:after="120" w:line="264" w:lineRule="auto"/>
              <w:ind w:left="738" w:hanging="738"/>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Działania na rzecz podnoszenia efektywności energetycznej, w tym termomodernizacja obiektów publicznych, komunalnych i mieszkalnych.</w:t>
            </w:r>
          </w:p>
          <w:p w:rsidR="00F21AE8" w:rsidRPr="00BF1DF2" w:rsidRDefault="00F21AE8" w:rsidP="00463955">
            <w:pPr>
              <w:pStyle w:val="Akapitzlist"/>
              <w:numPr>
                <w:ilvl w:val="0"/>
                <w:numId w:val="767"/>
              </w:numPr>
              <w:shd w:val="clear" w:color="auto" w:fill="F2F2F2" w:themeFill="background1" w:themeFillShade="F2"/>
              <w:spacing w:after="0" w:line="240" w:lineRule="auto"/>
              <w:ind w:left="738" w:hanging="738"/>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Modernizacja i rozwój systemów sieci ciepłowniczych.</w:t>
            </w:r>
          </w:p>
          <w:p w:rsidR="00F21AE8" w:rsidRPr="00BF1DF2" w:rsidRDefault="00F21AE8" w:rsidP="00463955">
            <w:pPr>
              <w:pStyle w:val="Akapitzlist"/>
              <w:numPr>
                <w:ilvl w:val="0"/>
                <w:numId w:val="767"/>
              </w:numPr>
              <w:shd w:val="clear" w:color="auto" w:fill="F2F2F2" w:themeFill="background1" w:themeFillShade="F2"/>
              <w:spacing w:after="0" w:line="240" w:lineRule="auto"/>
              <w:ind w:left="738" w:hanging="738"/>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 xml:space="preserve">Wdrażanie nowych rozwiązań technologicznych w zakresie produkcji i dystrybucji energii.  </w:t>
            </w:r>
          </w:p>
        </w:tc>
      </w:tr>
      <w:tr w:rsidR="00F21AE8" w:rsidRPr="00BF1DF2" w:rsidTr="00F21AE8">
        <w:tc>
          <w:tcPr>
            <w:cnfStyle w:val="001000000000"/>
            <w:tcW w:w="0" w:type="auto"/>
            <w:tcBorders>
              <w:left w:val="none" w:sz="0" w:space="0" w:color="auto"/>
              <w:bottom w:val="none" w:sz="0" w:space="0" w:color="auto"/>
            </w:tcBorders>
          </w:tcPr>
          <w:p w:rsidR="00F21AE8" w:rsidRPr="00BF1DF2" w:rsidRDefault="00F21AE8" w:rsidP="00463955">
            <w:pPr>
              <w:pStyle w:val="Akapitzlist"/>
              <w:numPr>
                <w:ilvl w:val="0"/>
                <w:numId w:val="759"/>
              </w:numPr>
              <w:shd w:val="clear" w:color="auto" w:fill="F2F2F2" w:themeFill="background1" w:themeFillShade="F2"/>
              <w:spacing w:after="0" w:line="240" w:lineRule="auto"/>
              <w:ind w:left="599" w:hanging="599"/>
              <w:contextualSpacing/>
              <w:rPr>
                <w:rFonts w:asciiTheme="minorHAnsi" w:eastAsia="Times New Roman" w:hAnsiTheme="minorHAnsi" w:cstheme="minorHAnsi"/>
                <w:sz w:val="20"/>
                <w:szCs w:val="20"/>
                <w:lang w:eastAsia="pl-PL"/>
              </w:rPr>
            </w:pPr>
            <w:r w:rsidRPr="00BF1DF2">
              <w:rPr>
                <w:rFonts w:asciiTheme="minorHAnsi" w:eastAsia="Times New Roman" w:hAnsiTheme="minorHAnsi" w:cstheme="minorHAnsi"/>
                <w:sz w:val="20"/>
                <w:szCs w:val="20"/>
                <w:lang w:eastAsia="pl-PL"/>
              </w:rPr>
              <w:t>Wysoka estetyka i funkcjonalność przestrzeni i obiektów miejskich.</w:t>
            </w:r>
          </w:p>
        </w:tc>
        <w:tc>
          <w:tcPr>
            <w:tcW w:w="0" w:type="auto"/>
          </w:tcPr>
          <w:p w:rsidR="00F21AE8" w:rsidRPr="00BF1DF2" w:rsidRDefault="00F21AE8" w:rsidP="00463955">
            <w:pPr>
              <w:pStyle w:val="Akapitzlist"/>
              <w:numPr>
                <w:ilvl w:val="0"/>
                <w:numId w:val="768"/>
              </w:numPr>
              <w:shd w:val="clear" w:color="auto" w:fill="F2F2F2" w:themeFill="background1" w:themeFillShade="F2"/>
              <w:spacing w:after="0" w:line="240" w:lineRule="auto"/>
              <w:ind w:left="663" w:hanging="663"/>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Modernizacja oraz przebudowa przestrzeni miejskich – wzmacnianie lub kreowanie funkcji wypoczynkowych, komunikacyjnych i innych.</w:t>
            </w:r>
          </w:p>
          <w:p w:rsidR="00F21AE8" w:rsidRPr="00BF1DF2" w:rsidRDefault="00F21AE8" w:rsidP="00463955">
            <w:pPr>
              <w:pStyle w:val="Akapitzlist"/>
              <w:numPr>
                <w:ilvl w:val="0"/>
                <w:numId w:val="768"/>
              </w:numPr>
              <w:shd w:val="clear" w:color="auto" w:fill="F2F2F2" w:themeFill="background1" w:themeFillShade="F2"/>
              <w:spacing w:after="0" w:line="240" w:lineRule="auto"/>
              <w:ind w:left="663" w:hanging="663"/>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Poprawa jakości i rozwój infrastruktury  kulturalnej, sportowej, rekreacyjnej oraz społecznej poprzez inwestycje.</w:t>
            </w:r>
          </w:p>
          <w:p w:rsidR="00F21AE8" w:rsidRPr="00BF1DF2" w:rsidRDefault="00F21AE8" w:rsidP="00463955">
            <w:pPr>
              <w:pStyle w:val="Akapitzlist"/>
              <w:numPr>
                <w:ilvl w:val="0"/>
                <w:numId w:val="768"/>
              </w:numPr>
              <w:shd w:val="clear" w:color="auto" w:fill="F2F2F2" w:themeFill="background1" w:themeFillShade="F2"/>
              <w:spacing w:after="0" w:line="240" w:lineRule="auto"/>
              <w:ind w:left="663" w:hanging="663"/>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 xml:space="preserve">Nasycenie przestrzeni miejskich informacją ułatwiającą </w:t>
            </w:r>
            <w:r w:rsidRPr="00BF1DF2">
              <w:rPr>
                <w:rFonts w:asciiTheme="minorHAnsi" w:hAnsiTheme="minorHAnsi" w:cstheme="minorHAnsi"/>
                <w:sz w:val="20"/>
                <w:szCs w:val="20"/>
              </w:rPr>
              <w:lastRenderedPageBreak/>
              <w:t>codzienne funkcjonowanie mieszkańców.</w:t>
            </w:r>
          </w:p>
          <w:p w:rsidR="00F21AE8" w:rsidRPr="00BF1DF2" w:rsidRDefault="00F21AE8" w:rsidP="00463955">
            <w:pPr>
              <w:pStyle w:val="Akapitzlist"/>
              <w:numPr>
                <w:ilvl w:val="0"/>
                <w:numId w:val="768"/>
              </w:numPr>
              <w:shd w:val="clear" w:color="auto" w:fill="F2F2F2" w:themeFill="background1" w:themeFillShade="F2"/>
              <w:spacing w:after="0" w:line="240" w:lineRule="auto"/>
              <w:ind w:left="663" w:hanging="663"/>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Ograniczanie negatywnego oddziaływania ruchu samochodowego na przestrzenie miejskie (np. podziemne parkingi, woonerfy, rozwiązania zwalniające ruch samochodowy, lokalne centra logistyczne ograniczające ciężki transport  itp.).</w:t>
            </w:r>
          </w:p>
          <w:p w:rsidR="00F21AE8" w:rsidRPr="00BF1DF2" w:rsidRDefault="00F21AE8" w:rsidP="00463955">
            <w:pPr>
              <w:pStyle w:val="Akapitzlist"/>
              <w:numPr>
                <w:ilvl w:val="0"/>
                <w:numId w:val="768"/>
              </w:numPr>
              <w:shd w:val="clear" w:color="auto" w:fill="F2F2F2" w:themeFill="background1" w:themeFillShade="F2"/>
              <w:spacing w:after="0" w:line="240" w:lineRule="auto"/>
              <w:ind w:left="663" w:hanging="663"/>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Podnoszenie świadomości mieszkańców w zakresie ich wpływu na jakość przestrzeni miejskich.</w:t>
            </w:r>
          </w:p>
          <w:p w:rsidR="00F21AE8" w:rsidRPr="00BF1DF2" w:rsidRDefault="00F21AE8" w:rsidP="00463955">
            <w:pPr>
              <w:pStyle w:val="Akapitzlist"/>
              <w:numPr>
                <w:ilvl w:val="0"/>
                <w:numId w:val="768"/>
              </w:numPr>
              <w:shd w:val="clear" w:color="auto" w:fill="F2F2F2" w:themeFill="background1" w:themeFillShade="F2"/>
              <w:spacing w:after="0" w:line="240" w:lineRule="auto"/>
              <w:ind w:left="663" w:hanging="663"/>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Porządkowanie zaśmieconych przestrzeni miejskich,  w tym z udziałem mieszkańców.</w:t>
            </w:r>
          </w:p>
          <w:p w:rsidR="00F21AE8" w:rsidRPr="00BF1DF2" w:rsidRDefault="00F21AE8" w:rsidP="00463955">
            <w:pPr>
              <w:pStyle w:val="Akapitzlist"/>
              <w:numPr>
                <w:ilvl w:val="0"/>
                <w:numId w:val="768"/>
              </w:numPr>
              <w:shd w:val="clear" w:color="auto" w:fill="F2F2F2" w:themeFill="background1" w:themeFillShade="F2"/>
              <w:spacing w:after="0" w:line="240" w:lineRule="auto"/>
              <w:ind w:left="663" w:hanging="663"/>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Rozwijanie małej infrastruktury ułatwiającej utrzymanie czystości przestrzeni.</w:t>
            </w:r>
          </w:p>
          <w:p w:rsidR="00F21AE8" w:rsidRPr="00BF1DF2" w:rsidRDefault="00F21AE8" w:rsidP="00463955">
            <w:pPr>
              <w:pStyle w:val="Akapitzlist"/>
              <w:numPr>
                <w:ilvl w:val="0"/>
                <w:numId w:val="768"/>
              </w:numPr>
              <w:shd w:val="clear" w:color="auto" w:fill="F2F2F2" w:themeFill="background1" w:themeFillShade="F2"/>
              <w:spacing w:after="0" w:line="240" w:lineRule="auto"/>
              <w:ind w:left="663" w:hanging="663"/>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Promocja rozwiązań umożliwiających zachowanie (przywrócenie) tradycyjnego stylu typowych przestrzeni miejskich.</w:t>
            </w:r>
          </w:p>
        </w:tc>
      </w:tr>
      <w:tr w:rsidR="00F21AE8" w:rsidRPr="00BF1DF2" w:rsidTr="00F21AE8">
        <w:tc>
          <w:tcPr>
            <w:cnfStyle w:val="001000000000"/>
            <w:tcW w:w="0" w:type="auto"/>
            <w:tcBorders>
              <w:left w:val="none" w:sz="0" w:space="0" w:color="auto"/>
              <w:bottom w:val="none" w:sz="0" w:space="0" w:color="auto"/>
            </w:tcBorders>
          </w:tcPr>
          <w:p w:rsidR="00F21AE8" w:rsidRPr="00BF1DF2" w:rsidRDefault="00F21AE8" w:rsidP="00463955">
            <w:pPr>
              <w:pStyle w:val="Akapitzlist"/>
              <w:numPr>
                <w:ilvl w:val="0"/>
                <w:numId w:val="759"/>
              </w:numPr>
              <w:shd w:val="clear" w:color="auto" w:fill="F2F2F2" w:themeFill="background1" w:themeFillShade="F2"/>
              <w:spacing w:after="0" w:line="240" w:lineRule="auto"/>
              <w:ind w:left="599" w:hanging="599"/>
              <w:contextualSpacing/>
              <w:rPr>
                <w:rFonts w:asciiTheme="minorHAnsi" w:eastAsia="Times New Roman" w:hAnsiTheme="minorHAnsi" w:cstheme="minorHAnsi"/>
                <w:sz w:val="20"/>
                <w:szCs w:val="20"/>
                <w:lang w:eastAsia="pl-PL"/>
              </w:rPr>
            </w:pPr>
            <w:r w:rsidRPr="00BF1DF2">
              <w:rPr>
                <w:rFonts w:asciiTheme="minorHAnsi" w:eastAsia="Times New Roman" w:hAnsiTheme="minorHAnsi" w:cstheme="minorHAnsi"/>
                <w:sz w:val="20"/>
                <w:szCs w:val="20"/>
                <w:lang w:eastAsia="pl-PL"/>
              </w:rPr>
              <w:lastRenderedPageBreak/>
              <w:t>Przywrócona wartość materialnego dziedzictwa kulturowego miasta, ze szczególnym uwzględnieniem postindustrialnego dziedzictwa.</w:t>
            </w:r>
          </w:p>
        </w:tc>
        <w:tc>
          <w:tcPr>
            <w:tcW w:w="0" w:type="auto"/>
          </w:tcPr>
          <w:p w:rsidR="00F21AE8" w:rsidRPr="00BF1DF2" w:rsidRDefault="00F21AE8" w:rsidP="00463955">
            <w:pPr>
              <w:pStyle w:val="Akapitzlist"/>
              <w:numPr>
                <w:ilvl w:val="0"/>
                <w:numId w:val="769"/>
              </w:numPr>
              <w:shd w:val="clear" w:color="auto" w:fill="F2F2F2" w:themeFill="background1" w:themeFillShade="F2"/>
              <w:spacing w:after="0" w:line="240" w:lineRule="auto"/>
              <w:ind w:left="733" w:hanging="733"/>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Odnowa obiektów zabytkowych, historycznych, symbolicznych.</w:t>
            </w:r>
          </w:p>
          <w:p w:rsidR="00F21AE8" w:rsidRPr="00BF1DF2" w:rsidRDefault="00F21AE8" w:rsidP="00463955">
            <w:pPr>
              <w:pStyle w:val="Akapitzlist"/>
              <w:numPr>
                <w:ilvl w:val="0"/>
                <w:numId w:val="769"/>
              </w:numPr>
              <w:shd w:val="clear" w:color="auto" w:fill="F2F2F2" w:themeFill="background1" w:themeFillShade="F2"/>
              <w:spacing w:after="0" w:line="240" w:lineRule="auto"/>
              <w:ind w:left="733" w:hanging="733"/>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Realizacja wydarzeń promujących obiekty materialnego dziedzictwa kulturowego miasta.</w:t>
            </w:r>
          </w:p>
          <w:p w:rsidR="00F21AE8" w:rsidRPr="00BF1DF2" w:rsidRDefault="00F21AE8" w:rsidP="00463955">
            <w:pPr>
              <w:pStyle w:val="Akapitzlist"/>
              <w:numPr>
                <w:ilvl w:val="0"/>
                <w:numId w:val="769"/>
              </w:numPr>
              <w:shd w:val="clear" w:color="auto" w:fill="F2F2F2" w:themeFill="background1" w:themeFillShade="F2"/>
              <w:spacing w:after="0" w:line="240" w:lineRule="auto"/>
              <w:ind w:left="733" w:hanging="733"/>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Tworzenie szlaków miejskich łączących obiekty dziedzictwa kulturowego.</w:t>
            </w:r>
          </w:p>
          <w:p w:rsidR="00F21AE8" w:rsidRPr="00BF1DF2" w:rsidRDefault="00F21AE8" w:rsidP="00463955">
            <w:pPr>
              <w:pStyle w:val="Akapitzlist"/>
              <w:numPr>
                <w:ilvl w:val="0"/>
                <w:numId w:val="769"/>
              </w:numPr>
              <w:shd w:val="clear" w:color="auto" w:fill="F2F2F2" w:themeFill="background1" w:themeFillShade="F2"/>
              <w:spacing w:after="0" w:line="240" w:lineRule="auto"/>
              <w:ind w:left="733" w:hanging="733"/>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Wzbogacanie szaty informacyjnej upowszechniającej wiedzę o obiektach dziedzictwa kulturowego.</w:t>
            </w:r>
          </w:p>
          <w:p w:rsidR="00F21AE8" w:rsidRPr="00BF1DF2" w:rsidRDefault="00F21AE8" w:rsidP="00463955">
            <w:pPr>
              <w:pStyle w:val="Akapitzlist"/>
              <w:numPr>
                <w:ilvl w:val="0"/>
                <w:numId w:val="769"/>
              </w:numPr>
              <w:shd w:val="clear" w:color="auto" w:fill="F2F2F2" w:themeFill="background1" w:themeFillShade="F2"/>
              <w:spacing w:after="0" w:line="240" w:lineRule="auto"/>
              <w:ind w:left="733" w:hanging="733"/>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Nowoczesne prezentowanie dziedzictwa kulturowego miasta w przestrzeni wirtualnej.</w:t>
            </w:r>
          </w:p>
        </w:tc>
      </w:tr>
      <w:tr w:rsidR="00F21AE8" w:rsidRPr="00BF1DF2" w:rsidTr="00F21AE8">
        <w:tc>
          <w:tcPr>
            <w:cnfStyle w:val="001000000000"/>
            <w:tcW w:w="0" w:type="auto"/>
            <w:tcBorders>
              <w:left w:val="none" w:sz="0" w:space="0" w:color="auto"/>
              <w:bottom w:val="none" w:sz="0" w:space="0" w:color="auto"/>
            </w:tcBorders>
          </w:tcPr>
          <w:p w:rsidR="00F21AE8" w:rsidRPr="00BF1DF2" w:rsidRDefault="00F21AE8" w:rsidP="00463955">
            <w:pPr>
              <w:pStyle w:val="Akapitzlist"/>
              <w:numPr>
                <w:ilvl w:val="0"/>
                <w:numId w:val="759"/>
              </w:numPr>
              <w:shd w:val="clear" w:color="auto" w:fill="F2F2F2" w:themeFill="background1" w:themeFillShade="F2"/>
              <w:spacing w:after="0" w:line="240" w:lineRule="auto"/>
              <w:ind w:left="599" w:hanging="599"/>
              <w:contextualSpacing/>
              <w:rPr>
                <w:rFonts w:asciiTheme="minorHAnsi" w:eastAsia="Times New Roman" w:hAnsiTheme="minorHAnsi" w:cstheme="minorHAnsi"/>
                <w:sz w:val="20"/>
                <w:szCs w:val="20"/>
                <w:lang w:eastAsia="pl-PL"/>
              </w:rPr>
            </w:pPr>
            <w:r w:rsidRPr="00BF1DF2">
              <w:rPr>
                <w:rFonts w:asciiTheme="minorHAnsi" w:eastAsia="Times New Roman" w:hAnsiTheme="minorHAnsi" w:cstheme="minorHAnsi"/>
                <w:sz w:val="20"/>
                <w:szCs w:val="20"/>
                <w:lang w:eastAsia="pl-PL"/>
              </w:rPr>
              <w:t>Przestrzenie przyrodnicze kreujące atrakcyjne, zdrowe oblicze miasta.</w:t>
            </w:r>
          </w:p>
        </w:tc>
        <w:tc>
          <w:tcPr>
            <w:tcW w:w="0" w:type="auto"/>
          </w:tcPr>
          <w:p w:rsidR="00F21AE8" w:rsidRPr="00BF1DF2" w:rsidRDefault="00F21AE8" w:rsidP="00463955">
            <w:pPr>
              <w:pStyle w:val="Akapitzlist"/>
              <w:numPr>
                <w:ilvl w:val="0"/>
                <w:numId w:val="770"/>
              </w:numPr>
              <w:shd w:val="clear" w:color="auto" w:fill="F2F2F2" w:themeFill="background1" w:themeFillShade="F2"/>
              <w:spacing w:after="0" w:line="240" w:lineRule="auto"/>
              <w:ind w:left="733" w:hanging="733"/>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 xml:space="preserve">Rozwijanie na terenach przyrodniczych infrastruktury poszerzającej ofertę rekreacyjną </w:t>
            </w:r>
            <w:r w:rsidRPr="00BF1DF2">
              <w:rPr>
                <w:rFonts w:asciiTheme="minorHAnsi" w:hAnsiTheme="minorHAnsi" w:cstheme="minorHAnsi"/>
                <w:sz w:val="20"/>
                <w:szCs w:val="20"/>
              </w:rPr>
              <w:br/>
              <w:t>i wspierającej ochronę wartości środowiskowych.</w:t>
            </w:r>
          </w:p>
          <w:p w:rsidR="00F21AE8" w:rsidRPr="00BF1DF2" w:rsidRDefault="00F21AE8" w:rsidP="00463955">
            <w:pPr>
              <w:pStyle w:val="Akapitzlist"/>
              <w:numPr>
                <w:ilvl w:val="0"/>
                <w:numId w:val="770"/>
              </w:numPr>
              <w:shd w:val="clear" w:color="auto" w:fill="F2F2F2" w:themeFill="background1" w:themeFillShade="F2"/>
              <w:spacing w:after="0" w:line="240" w:lineRule="auto"/>
              <w:ind w:left="733" w:hanging="733"/>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Popularyzacja terenów cennych przyrodniczo – np. Zespołu Przyrodniczo-Krajobrazowego „Żabie Doły”, Suchogórskiego Labiryntu Skalnego, Rezerwatu przyrodniczego Segiet – obszaru wpisanego na listę UNESCO.</w:t>
            </w:r>
          </w:p>
          <w:p w:rsidR="00F21AE8" w:rsidRPr="00BF1DF2" w:rsidRDefault="00F21AE8" w:rsidP="00463955">
            <w:pPr>
              <w:pStyle w:val="Akapitzlist"/>
              <w:numPr>
                <w:ilvl w:val="0"/>
                <w:numId w:val="770"/>
              </w:numPr>
              <w:shd w:val="clear" w:color="auto" w:fill="F2F2F2" w:themeFill="background1" w:themeFillShade="F2"/>
              <w:spacing w:after="0" w:line="240" w:lineRule="auto"/>
              <w:ind w:left="733" w:hanging="733"/>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Wykorzystywanie terenów przyrodniczych do realizacji działań edukacyjnych.</w:t>
            </w:r>
          </w:p>
        </w:tc>
      </w:tr>
      <w:tr w:rsidR="00F21AE8" w:rsidRPr="00BF1DF2" w:rsidTr="00F21AE8">
        <w:tc>
          <w:tcPr>
            <w:cnfStyle w:val="001000000000"/>
            <w:tcW w:w="0" w:type="auto"/>
            <w:tcBorders>
              <w:left w:val="none" w:sz="0" w:space="0" w:color="auto"/>
              <w:bottom w:val="none" w:sz="0" w:space="0" w:color="auto"/>
            </w:tcBorders>
          </w:tcPr>
          <w:p w:rsidR="00F21AE8" w:rsidRPr="00BF1DF2" w:rsidRDefault="00F21AE8" w:rsidP="00463955">
            <w:pPr>
              <w:pStyle w:val="Akapitzlist"/>
              <w:numPr>
                <w:ilvl w:val="0"/>
                <w:numId w:val="759"/>
              </w:numPr>
              <w:shd w:val="clear" w:color="auto" w:fill="F2F2F2" w:themeFill="background1" w:themeFillShade="F2"/>
              <w:spacing w:after="0" w:line="240" w:lineRule="auto"/>
              <w:ind w:left="599" w:hanging="599"/>
              <w:contextualSpacing/>
              <w:rPr>
                <w:rFonts w:asciiTheme="minorHAnsi" w:eastAsia="Times New Roman" w:hAnsiTheme="minorHAnsi" w:cstheme="minorHAnsi"/>
                <w:sz w:val="20"/>
                <w:szCs w:val="20"/>
                <w:lang w:eastAsia="pl-PL"/>
              </w:rPr>
            </w:pPr>
            <w:r w:rsidRPr="00BF1DF2">
              <w:rPr>
                <w:rFonts w:asciiTheme="minorHAnsi" w:eastAsia="Times New Roman" w:hAnsiTheme="minorHAnsi" w:cstheme="minorHAnsi"/>
                <w:sz w:val="20"/>
                <w:szCs w:val="20"/>
                <w:lang w:eastAsia="pl-PL"/>
              </w:rPr>
              <w:t>Ożywione  tereny pogórnicze i poprzemysłowe.</w:t>
            </w:r>
          </w:p>
        </w:tc>
        <w:tc>
          <w:tcPr>
            <w:tcW w:w="0" w:type="auto"/>
          </w:tcPr>
          <w:p w:rsidR="00F21AE8" w:rsidRPr="00BF1DF2" w:rsidRDefault="00F21AE8" w:rsidP="00463955">
            <w:pPr>
              <w:pStyle w:val="Akapitzlist"/>
              <w:numPr>
                <w:ilvl w:val="0"/>
                <w:numId w:val="772"/>
              </w:numPr>
              <w:shd w:val="clear" w:color="auto" w:fill="F2F2F2" w:themeFill="background1" w:themeFillShade="F2"/>
              <w:spacing w:after="0" w:line="240" w:lineRule="auto"/>
              <w:ind w:left="663" w:hanging="663"/>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Rekultywacja terenów poprzemysłowych i pogórniczych.</w:t>
            </w:r>
          </w:p>
          <w:p w:rsidR="00F21AE8" w:rsidRPr="00BF1DF2" w:rsidRDefault="00F21AE8" w:rsidP="00463955">
            <w:pPr>
              <w:pStyle w:val="Akapitzlist"/>
              <w:numPr>
                <w:ilvl w:val="0"/>
                <w:numId w:val="772"/>
              </w:numPr>
              <w:shd w:val="clear" w:color="auto" w:fill="F2F2F2" w:themeFill="background1" w:themeFillShade="F2"/>
              <w:spacing w:after="0" w:line="240" w:lineRule="auto"/>
              <w:ind w:left="663" w:hanging="663"/>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Rewitalizacja prowadzona na terenach poprzemysłowych i pogórniczych.</w:t>
            </w:r>
          </w:p>
          <w:p w:rsidR="00F21AE8" w:rsidRPr="00BF1DF2" w:rsidRDefault="00F21AE8" w:rsidP="00463955">
            <w:pPr>
              <w:pStyle w:val="Akapitzlist"/>
              <w:numPr>
                <w:ilvl w:val="0"/>
                <w:numId w:val="772"/>
              </w:numPr>
              <w:shd w:val="clear" w:color="auto" w:fill="F2F2F2" w:themeFill="background1" w:themeFillShade="F2"/>
              <w:spacing w:after="0" w:line="240" w:lineRule="auto"/>
              <w:ind w:left="663" w:hanging="663"/>
              <w:contextualSpacing/>
              <w:jc w:val="both"/>
              <w:cnfStyle w:val="000000000000"/>
              <w:rPr>
                <w:rFonts w:asciiTheme="minorHAnsi" w:eastAsiaTheme="minorEastAsia" w:hAnsiTheme="minorHAnsi" w:cstheme="minorHAnsi"/>
                <w:sz w:val="20"/>
                <w:szCs w:val="20"/>
              </w:rPr>
            </w:pPr>
            <w:r w:rsidRPr="00BF1DF2">
              <w:rPr>
                <w:rFonts w:asciiTheme="minorHAnsi" w:hAnsiTheme="minorHAnsi" w:cstheme="minorHAnsi"/>
                <w:sz w:val="20"/>
                <w:szCs w:val="20"/>
              </w:rPr>
              <w:t>Realizacja przedsięwzięć na terenach i w obiektach pogórniczych i poprzemysłowych.</w:t>
            </w:r>
          </w:p>
          <w:p w:rsidR="00F21AE8" w:rsidRPr="00BF1DF2" w:rsidRDefault="00F21AE8" w:rsidP="00463955">
            <w:pPr>
              <w:pStyle w:val="Akapitzlist"/>
              <w:numPr>
                <w:ilvl w:val="0"/>
                <w:numId w:val="772"/>
              </w:numPr>
              <w:shd w:val="clear" w:color="auto" w:fill="F2F2F2" w:themeFill="background1" w:themeFillShade="F2"/>
              <w:spacing w:after="0" w:line="240" w:lineRule="auto"/>
              <w:ind w:left="663" w:hanging="663"/>
              <w:contextualSpacing/>
              <w:jc w:val="both"/>
              <w:cnfStyle w:val="000000000000"/>
              <w:rPr>
                <w:rFonts w:asciiTheme="minorHAnsi" w:eastAsiaTheme="minorEastAsia" w:hAnsiTheme="minorHAnsi" w:cstheme="minorHAnsi"/>
                <w:sz w:val="20"/>
                <w:szCs w:val="20"/>
              </w:rPr>
            </w:pPr>
            <w:r w:rsidRPr="00BF1DF2">
              <w:rPr>
                <w:rFonts w:asciiTheme="minorHAnsi" w:hAnsiTheme="minorHAnsi" w:cstheme="minorHAnsi"/>
                <w:sz w:val="20"/>
                <w:szCs w:val="20"/>
              </w:rPr>
              <w:t>Rewitalizacja i renaturalizacja  zalewisk pogórniczych i stawów dla celów rekreacyjnych i środowiskowych.</w:t>
            </w:r>
          </w:p>
        </w:tc>
      </w:tr>
      <w:tr w:rsidR="00F21AE8" w:rsidRPr="00BF1DF2" w:rsidTr="00F21AE8">
        <w:tc>
          <w:tcPr>
            <w:cnfStyle w:val="001000000000"/>
            <w:tcW w:w="0" w:type="auto"/>
            <w:gridSpan w:val="2"/>
            <w:tcBorders>
              <w:left w:val="none" w:sz="0" w:space="0" w:color="auto"/>
              <w:bottom w:val="none" w:sz="0" w:space="0" w:color="auto"/>
            </w:tcBorders>
            <w:shd w:val="clear" w:color="auto" w:fill="F2F2F2" w:themeFill="background1" w:themeFillShade="F2"/>
          </w:tcPr>
          <w:p w:rsidR="00F21AE8" w:rsidRPr="00BF1DF2" w:rsidRDefault="00F21AE8" w:rsidP="00463955">
            <w:pPr>
              <w:pStyle w:val="Akapitzlist"/>
              <w:numPr>
                <w:ilvl w:val="0"/>
                <w:numId w:val="743"/>
              </w:numPr>
              <w:shd w:val="clear" w:color="auto" w:fill="F2F2F2" w:themeFill="background1" w:themeFillShade="F2"/>
              <w:spacing w:before="120" w:after="120" w:line="240" w:lineRule="auto"/>
              <w:ind w:left="357" w:hanging="357"/>
              <w:contextualSpacing/>
              <w:jc w:val="center"/>
              <w:rPr>
                <w:rFonts w:asciiTheme="minorHAnsi" w:hAnsiTheme="minorHAnsi" w:cstheme="minorHAnsi"/>
                <w:b/>
                <w:bCs/>
                <w:sz w:val="20"/>
                <w:szCs w:val="20"/>
              </w:rPr>
            </w:pPr>
            <w:r w:rsidRPr="00BF1DF2">
              <w:rPr>
                <w:rFonts w:asciiTheme="minorHAnsi" w:eastAsia="Times New Roman" w:hAnsiTheme="minorHAnsi" w:cstheme="minorHAnsi"/>
                <w:b/>
                <w:bCs/>
                <w:smallCaps/>
                <w:sz w:val="20"/>
                <w:szCs w:val="20"/>
                <w:lang w:eastAsia="pl-PL"/>
              </w:rPr>
              <w:t>Bytom autentyczny</w:t>
            </w:r>
          </w:p>
        </w:tc>
      </w:tr>
      <w:tr w:rsidR="00F21AE8" w:rsidRPr="00BF1DF2" w:rsidTr="00F21AE8">
        <w:tc>
          <w:tcPr>
            <w:cnfStyle w:val="001000000000"/>
            <w:tcW w:w="0" w:type="auto"/>
            <w:tcBorders>
              <w:left w:val="none" w:sz="0" w:space="0" w:color="auto"/>
              <w:bottom w:val="none" w:sz="0" w:space="0" w:color="auto"/>
            </w:tcBorders>
          </w:tcPr>
          <w:p w:rsidR="00F21AE8" w:rsidRPr="00BF1DF2" w:rsidRDefault="00F21AE8" w:rsidP="00463955">
            <w:pPr>
              <w:pStyle w:val="Akapitzlist"/>
              <w:numPr>
                <w:ilvl w:val="0"/>
                <w:numId w:val="760"/>
              </w:numPr>
              <w:shd w:val="clear" w:color="auto" w:fill="F2F2F2" w:themeFill="background1" w:themeFillShade="F2"/>
              <w:spacing w:after="0" w:line="240" w:lineRule="auto"/>
              <w:ind w:left="599" w:hanging="599"/>
              <w:contextualSpacing/>
              <w:rPr>
                <w:rFonts w:asciiTheme="minorHAnsi" w:hAnsiTheme="minorHAnsi" w:cstheme="minorHAnsi"/>
                <w:sz w:val="20"/>
                <w:szCs w:val="20"/>
              </w:rPr>
            </w:pPr>
            <w:r w:rsidRPr="00BF1DF2">
              <w:rPr>
                <w:rFonts w:asciiTheme="minorHAnsi" w:eastAsia="Times New Roman" w:hAnsiTheme="minorHAnsi" w:cstheme="minorHAnsi"/>
                <w:sz w:val="20"/>
                <w:szCs w:val="20"/>
                <w:lang w:eastAsia="pl-PL"/>
              </w:rPr>
              <w:t>Wzmocniona, odpowiadająca aktualnym wyzwaniom społecznym i gospodarczym, struktura demograficzna miasta.</w:t>
            </w:r>
          </w:p>
        </w:tc>
        <w:tc>
          <w:tcPr>
            <w:tcW w:w="0" w:type="auto"/>
          </w:tcPr>
          <w:p w:rsidR="00F21AE8" w:rsidRPr="00BF1DF2" w:rsidRDefault="00F21AE8" w:rsidP="00463955">
            <w:pPr>
              <w:pStyle w:val="Akapitzlist"/>
              <w:numPr>
                <w:ilvl w:val="0"/>
                <w:numId w:val="773"/>
              </w:numPr>
              <w:shd w:val="clear" w:color="auto" w:fill="F2F2F2" w:themeFill="background1" w:themeFillShade="F2"/>
              <w:spacing w:after="0" w:line="240" w:lineRule="auto"/>
              <w:ind w:left="733" w:hanging="733"/>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Tworzenie warunków przyciągających osoby reprezentujące kapitał kreatywny (twórcy, naukowcy, kreatywni profesjonaliści).</w:t>
            </w:r>
          </w:p>
          <w:p w:rsidR="00F21AE8" w:rsidRPr="00BF1DF2" w:rsidRDefault="00F21AE8" w:rsidP="00463955">
            <w:pPr>
              <w:pStyle w:val="Akapitzlist"/>
              <w:numPr>
                <w:ilvl w:val="0"/>
                <w:numId w:val="773"/>
              </w:numPr>
              <w:shd w:val="clear" w:color="auto" w:fill="F2F2F2" w:themeFill="background1" w:themeFillShade="F2"/>
              <w:spacing w:after="0" w:line="240" w:lineRule="auto"/>
              <w:ind w:left="733" w:hanging="733"/>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Tworzenie warunków do osiedlania się młodych wykształconych mieszkańców, w tym przyciąganych spoza regionu.</w:t>
            </w:r>
          </w:p>
        </w:tc>
      </w:tr>
      <w:tr w:rsidR="00F21AE8" w:rsidRPr="00BF1DF2" w:rsidTr="00F21AE8">
        <w:tc>
          <w:tcPr>
            <w:cnfStyle w:val="001000000000"/>
            <w:tcW w:w="0" w:type="auto"/>
            <w:tcBorders>
              <w:left w:val="none" w:sz="0" w:space="0" w:color="auto"/>
              <w:bottom w:val="none" w:sz="0" w:space="0" w:color="auto"/>
            </w:tcBorders>
          </w:tcPr>
          <w:p w:rsidR="00F21AE8" w:rsidRPr="00BF1DF2" w:rsidRDefault="00F21AE8" w:rsidP="00463955">
            <w:pPr>
              <w:pStyle w:val="Akapitzlist"/>
              <w:numPr>
                <w:ilvl w:val="0"/>
                <w:numId w:val="760"/>
              </w:numPr>
              <w:shd w:val="clear" w:color="auto" w:fill="F2F2F2" w:themeFill="background1" w:themeFillShade="F2"/>
              <w:spacing w:after="0" w:line="240" w:lineRule="auto"/>
              <w:ind w:left="599" w:hanging="599"/>
              <w:contextualSpacing/>
              <w:rPr>
                <w:rFonts w:asciiTheme="minorHAnsi" w:eastAsia="Times New Roman" w:hAnsiTheme="minorHAnsi" w:cstheme="minorHAnsi"/>
                <w:sz w:val="20"/>
                <w:szCs w:val="20"/>
                <w:lang w:eastAsia="pl-PL"/>
              </w:rPr>
            </w:pPr>
            <w:r w:rsidRPr="00BF1DF2">
              <w:rPr>
                <w:rFonts w:asciiTheme="minorHAnsi" w:eastAsia="Times New Roman" w:hAnsiTheme="minorHAnsi" w:cstheme="minorHAnsi"/>
                <w:sz w:val="20"/>
                <w:szCs w:val="20"/>
                <w:lang w:eastAsia="pl-PL"/>
              </w:rPr>
              <w:t>Pozytywnie wyróżniający miasto wewnętrzny i zewnętrzny wizerunek.</w:t>
            </w:r>
          </w:p>
        </w:tc>
        <w:tc>
          <w:tcPr>
            <w:tcW w:w="0" w:type="auto"/>
          </w:tcPr>
          <w:p w:rsidR="00F21AE8" w:rsidRPr="00BF1DF2" w:rsidRDefault="00F21AE8" w:rsidP="00463955">
            <w:pPr>
              <w:pStyle w:val="Akapitzlist"/>
              <w:numPr>
                <w:ilvl w:val="0"/>
                <w:numId w:val="774"/>
              </w:numPr>
              <w:shd w:val="clear" w:color="auto" w:fill="F2F2F2" w:themeFill="background1" w:themeFillShade="F2"/>
              <w:spacing w:after="0" w:line="240" w:lineRule="auto"/>
              <w:ind w:left="733" w:hanging="733"/>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Promocja Bytomia jako ośrodka szans rozwojowych dla osób twórczych i przedsiębiorczych.</w:t>
            </w:r>
          </w:p>
        </w:tc>
      </w:tr>
      <w:tr w:rsidR="00F21AE8" w:rsidRPr="00BF1DF2" w:rsidTr="00F21AE8">
        <w:tc>
          <w:tcPr>
            <w:cnfStyle w:val="001000000000"/>
            <w:tcW w:w="0" w:type="auto"/>
            <w:tcBorders>
              <w:left w:val="none" w:sz="0" w:space="0" w:color="auto"/>
              <w:bottom w:val="none" w:sz="0" w:space="0" w:color="auto"/>
            </w:tcBorders>
          </w:tcPr>
          <w:p w:rsidR="00F21AE8" w:rsidRPr="00BF1DF2" w:rsidRDefault="00F21AE8" w:rsidP="00463955">
            <w:pPr>
              <w:pStyle w:val="Akapitzlist"/>
              <w:numPr>
                <w:ilvl w:val="0"/>
                <w:numId w:val="760"/>
              </w:numPr>
              <w:shd w:val="clear" w:color="auto" w:fill="F2F2F2" w:themeFill="background1" w:themeFillShade="F2"/>
              <w:spacing w:after="0" w:line="240" w:lineRule="auto"/>
              <w:ind w:left="599" w:hanging="599"/>
              <w:contextualSpacing/>
              <w:rPr>
                <w:rFonts w:asciiTheme="minorHAnsi" w:eastAsia="Times New Roman" w:hAnsiTheme="minorHAnsi" w:cstheme="minorHAnsi"/>
                <w:sz w:val="20"/>
                <w:szCs w:val="20"/>
                <w:lang w:eastAsia="pl-PL"/>
              </w:rPr>
            </w:pPr>
            <w:r w:rsidRPr="00BF1DF2">
              <w:rPr>
                <w:rFonts w:asciiTheme="minorHAnsi" w:eastAsia="Times New Roman" w:hAnsiTheme="minorHAnsi" w:cstheme="minorHAnsi"/>
                <w:sz w:val="20"/>
                <w:szCs w:val="20"/>
                <w:lang w:eastAsia="pl-PL"/>
              </w:rPr>
              <w:lastRenderedPageBreak/>
              <w:t>Unikatowe wydarzenia o utrwalonej renomie wykorzystujące wyjątkowość miasta i jego historii.</w:t>
            </w:r>
          </w:p>
        </w:tc>
        <w:tc>
          <w:tcPr>
            <w:tcW w:w="0" w:type="auto"/>
          </w:tcPr>
          <w:p w:rsidR="00F21AE8" w:rsidRPr="00BF1DF2" w:rsidRDefault="00F21AE8" w:rsidP="00463955">
            <w:pPr>
              <w:pStyle w:val="Akapitzlist"/>
              <w:numPr>
                <w:ilvl w:val="0"/>
                <w:numId w:val="775"/>
              </w:numPr>
              <w:shd w:val="clear" w:color="auto" w:fill="F2F2F2" w:themeFill="background1" w:themeFillShade="F2"/>
              <w:spacing w:after="0" w:line="240" w:lineRule="auto"/>
              <w:ind w:left="733" w:hanging="733"/>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Realizacja wydarzeń kulturalnych wykorzystujących tradycje operowe, baletowe, muzealne miasta.</w:t>
            </w:r>
          </w:p>
          <w:p w:rsidR="00F21AE8" w:rsidRPr="00BF1DF2" w:rsidRDefault="00F21AE8" w:rsidP="00463955">
            <w:pPr>
              <w:pStyle w:val="Akapitzlist"/>
              <w:numPr>
                <w:ilvl w:val="0"/>
                <w:numId w:val="775"/>
              </w:numPr>
              <w:shd w:val="clear" w:color="auto" w:fill="F2F2F2" w:themeFill="background1" w:themeFillShade="F2"/>
              <w:spacing w:after="0" w:line="240" w:lineRule="auto"/>
              <w:ind w:left="733" w:hanging="733"/>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Realizacja wydarzeń eksponujących wielokulturowe dziedzictwo miasta i jego wielowiekową historię.</w:t>
            </w:r>
          </w:p>
          <w:p w:rsidR="00F21AE8" w:rsidRPr="00BF1DF2" w:rsidRDefault="00F21AE8" w:rsidP="00463955">
            <w:pPr>
              <w:pStyle w:val="Akapitzlist"/>
              <w:numPr>
                <w:ilvl w:val="0"/>
                <w:numId w:val="775"/>
              </w:numPr>
              <w:shd w:val="clear" w:color="auto" w:fill="F2F2F2" w:themeFill="background1" w:themeFillShade="F2"/>
              <w:spacing w:after="0" w:line="240" w:lineRule="auto"/>
              <w:ind w:left="733" w:hanging="733"/>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Realizacja wydarzeń nawiązujących do bogatych tradycji bytomskiego sportu.</w:t>
            </w:r>
          </w:p>
          <w:p w:rsidR="00F21AE8" w:rsidRPr="00BF1DF2" w:rsidRDefault="00F21AE8" w:rsidP="00463955">
            <w:pPr>
              <w:pStyle w:val="Akapitzlist"/>
              <w:numPr>
                <w:ilvl w:val="0"/>
                <w:numId w:val="775"/>
              </w:numPr>
              <w:shd w:val="clear" w:color="auto" w:fill="F2F2F2" w:themeFill="background1" w:themeFillShade="F2"/>
              <w:spacing w:after="0" w:line="240" w:lineRule="auto"/>
              <w:ind w:left="733" w:hanging="733"/>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Realizacja wydarzeń w odnowionych przestrzeniach postindustrialnych.</w:t>
            </w:r>
          </w:p>
          <w:p w:rsidR="00F21AE8" w:rsidRPr="00BF1DF2" w:rsidRDefault="00F21AE8" w:rsidP="00463955">
            <w:pPr>
              <w:pStyle w:val="Akapitzlist"/>
              <w:numPr>
                <w:ilvl w:val="0"/>
                <w:numId w:val="775"/>
              </w:numPr>
              <w:shd w:val="clear" w:color="auto" w:fill="F2F2F2" w:themeFill="background1" w:themeFillShade="F2"/>
              <w:spacing w:after="0" w:line="240" w:lineRule="auto"/>
              <w:ind w:left="733" w:hanging="733"/>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Realizacja wydarzeń biznesowych i naukowych wspierających innowacyjny wizerunek miasta.</w:t>
            </w:r>
          </w:p>
        </w:tc>
      </w:tr>
      <w:tr w:rsidR="00F21AE8" w:rsidRPr="00BF1DF2" w:rsidTr="00F21AE8">
        <w:tc>
          <w:tcPr>
            <w:cnfStyle w:val="001000000000"/>
            <w:tcW w:w="0" w:type="auto"/>
            <w:gridSpan w:val="2"/>
            <w:tcBorders>
              <w:left w:val="none" w:sz="0" w:space="0" w:color="auto"/>
              <w:bottom w:val="none" w:sz="0" w:space="0" w:color="auto"/>
            </w:tcBorders>
            <w:shd w:val="clear" w:color="auto" w:fill="F2F2F2" w:themeFill="background1" w:themeFillShade="F2"/>
          </w:tcPr>
          <w:p w:rsidR="00F21AE8" w:rsidRPr="00BF1DF2" w:rsidRDefault="00F21AE8" w:rsidP="00463955">
            <w:pPr>
              <w:shd w:val="clear" w:color="auto" w:fill="F2F2F2" w:themeFill="background1" w:themeFillShade="F2"/>
              <w:spacing w:before="120" w:after="120"/>
              <w:jc w:val="center"/>
              <w:rPr>
                <w:rFonts w:cstheme="minorHAnsi"/>
                <w:b/>
                <w:bCs/>
                <w:sz w:val="20"/>
                <w:szCs w:val="20"/>
              </w:rPr>
            </w:pPr>
            <w:r w:rsidRPr="00BF1DF2">
              <w:rPr>
                <w:rFonts w:eastAsia="Times New Roman" w:cstheme="minorHAnsi"/>
                <w:b/>
                <w:bCs/>
                <w:smallCaps/>
                <w:sz w:val="20"/>
                <w:szCs w:val="20"/>
                <w:lang w:eastAsia="pl-PL"/>
              </w:rPr>
              <w:t>C+. Ośrodek innowacji Metropolii</w:t>
            </w:r>
          </w:p>
        </w:tc>
      </w:tr>
      <w:tr w:rsidR="00F21AE8" w:rsidRPr="00BF1DF2" w:rsidTr="00F21AE8">
        <w:tc>
          <w:tcPr>
            <w:cnfStyle w:val="001000000000"/>
            <w:tcW w:w="0" w:type="auto"/>
            <w:tcBorders>
              <w:left w:val="none" w:sz="0" w:space="0" w:color="auto"/>
              <w:bottom w:val="none" w:sz="0" w:space="0" w:color="auto"/>
            </w:tcBorders>
          </w:tcPr>
          <w:p w:rsidR="00F21AE8" w:rsidRPr="00BF1DF2" w:rsidRDefault="00F21AE8" w:rsidP="00463955">
            <w:pPr>
              <w:pStyle w:val="Akapitzlist"/>
              <w:numPr>
                <w:ilvl w:val="0"/>
                <w:numId w:val="761"/>
              </w:numPr>
              <w:shd w:val="clear" w:color="auto" w:fill="F2F2F2" w:themeFill="background1" w:themeFillShade="F2"/>
              <w:spacing w:after="0" w:line="240" w:lineRule="auto"/>
              <w:ind w:left="599" w:hanging="599"/>
              <w:contextualSpacing/>
              <w:rPr>
                <w:rFonts w:asciiTheme="minorHAnsi" w:hAnsiTheme="minorHAnsi" w:cstheme="minorHAnsi"/>
                <w:sz w:val="20"/>
                <w:szCs w:val="20"/>
              </w:rPr>
            </w:pPr>
            <w:r w:rsidRPr="00BF1DF2">
              <w:rPr>
                <w:rFonts w:asciiTheme="minorHAnsi" w:eastAsia="Times New Roman" w:hAnsiTheme="minorHAnsi" w:cstheme="minorHAnsi"/>
                <w:sz w:val="20"/>
                <w:szCs w:val="20"/>
                <w:lang w:eastAsia="pl-PL"/>
              </w:rPr>
              <w:t>Ukształtowane specjalizacje gospodarcze Bytomia, utrwalające zachodzące procesy transformacji gospodarczej miasta.</w:t>
            </w:r>
          </w:p>
        </w:tc>
        <w:tc>
          <w:tcPr>
            <w:tcW w:w="0" w:type="auto"/>
          </w:tcPr>
          <w:p w:rsidR="00F21AE8" w:rsidRPr="00BF1DF2" w:rsidRDefault="00F21AE8" w:rsidP="00463955">
            <w:pPr>
              <w:pStyle w:val="Akapitzlist"/>
              <w:numPr>
                <w:ilvl w:val="0"/>
                <w:numId w:val="776"/>
              </w:numPr>
              <w:shd w:val="clear" w:color="auto" w:fill="F2F2F2" w:themeFill="background1" w:themeFillShade="F2"/>
              <w:spacing w:after="0" w:line="240" w:lineRule="auto"/>
              <w:ind w:left="727" w:hanging="727"/>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Wspieranie rozwoju innowacyjnych branż rozwijających się w mieście – ze szczególnym uwzględnieniem obszaru Zielonej Gospodarki.</w:t>
            </w:r>
          </w:p>
          <w:p w:rsidR="00F21AE8" w:rsidRPr="00BF1DF2" w:rsidRDefault="00F21AE8" w:rsidP="00463955">
            <w:pPr>
              <w:pStyle w:val="Akapitzlist"/>
              <w:numPr>
                <w:ilvl w:val="0"/>
                <w:numId w:val="776"/>
              </w:numPr>
              <w:shd w:val="clear" w:color="auto" w:fill="F2F2F2" w:themeFill="background1" w:themeFillShade="F2"/>
              <w:spacing w:after="0" w:line="240" w:lineRule="auto"/>
              <w:ind w:left="733" w:hanging="733"/>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Wspieranie partnerstwa gospodarczego w ramach rozwiniętej helisy innowacyjności (biznes – nauka – kultura – władza samorządowa – organizacje pozarządowe).</w:t>
            </w:r>
          </w:p>
          <w:p w:rsidR="00F21AE8" w:rsidRPr="00BF1DF2" w:rsidRDefault="00F21AE8" w:rsidP="00463955">
            <w:pPr>
              <w:pStyle w:val="Akapitzlist"/>
              <w:numPr>
                <w:ilvl w:val="0"/>
                <w:numId w:val="776"/>
              </w:numPr>
              <w:shd w:val="clear" w:color="auto" w:fill="F2F2F2" w:themeFill="background1" w:themeFillShade="F2"/>
              <w:spacing w:after="0" w:line="240" w:lineRule="auto"/>
              <w:ind w:left="733" w:hanging="733"/>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Wspieranie tworzenia klastrów innowacyjności i kreatywności.</w:t>
            </w:r>
          </w:p>
        </w:tc>
      </w:tr>
      <w:tr w:rsidR="00F21AE8" w:rsidRPr="00BF1DF2" w:rsidTr="00F21AE8">
        <w:tc>
          <w:tcPr>
            <w:cnfStyle w:val="001000000000"/>
            <w:tcW w:w="0" w:type="auto"/>
            <w:tcBorders>
              <w:left w:val="none" w:sz="0" w:space="0" w:color="auto"/>
              <w:bottom w:val="none" w:sz="0" w:space="0" w:color="auto"/>
            </w:tcBorders>
          </w:tcPr>
          <w:p w:rsidR="00F21AE8" w:rsidRPr="00BF1DF2" w:rsidRDefault="00F21AE8" w:rsidP="00463955">
            <w:pPr>
              <w:pStyle w:val="Akapitzlist"/>
              <w:numPr>
                <w:ilvl w:val="0"/>
                <w:numId w:val="761"/>
              </w:numPr>
              <w:shd w:val="clear" w:color="auto" w:fill="F2F2F2" w:themeFill="background1" w:themeFillShade="F2"/>
              <w:spacing w:after="0" w:line="240" w:lineRule="auto"/>
              <w:ind w:left="599" w:hanging="599"/>
              <w:contextualSpacing/>
              <w:rPr>
                <w:rFonts w:asciiTheme="minorHAnsi" w:eastAsia="Times New Roman" w:hAnsiTheme="minorHAnsi" w:cstheme="minorHAnsi"/>
                <w:sz w:val="20"/>
                <w:szCs w:val="20"/>
                <w:lang w:eastAsia="pl-PL"/>
              </w:rPr>
            </w:pPr>
            <w:r w:rsidRPr="00BF1DF2">
              <w:rPr>
                <w:rFonts w:asciiTheme="minorHAnsi" w:eastAsia="Times New Roman" w:hAnsiTheme="minorHAnsi" w:cstheme="minorHAnsi"/>
                <w:sz w:val="20"/>
                <w:szCs w:val="20"/>
                <w:lang w:eastAsia="pl-PL"/>
              </w:rPr>
              <w:tab/>
              <w:t>Bytom miastem oryginalnej turystyki metropolitalnej opierającej się na kulturze, wyjątkowości architektury, dziedzictwie postindustrialnym i postmilitarnym.</w:t>
            </w:r>
          </w:p>
        </w:tc>
        <w:tc>
          <w:tcPr>
            <w:tcW w:w="0" w:type="auto"/>
          </w:tcPr>
          <w:p w:rsidR="00F21AE8" w:rsidRPr="00BF1DF2" w:rsidRDefault="00F21AE8" w:rsidP="00463955">
            <w:pPr>
              <w:pStyle w:val="Akapitzlist"/>
              <w:numPr>
                <w:ilvl w:val="0"/>
                <w:numId w:val="778"/>
              </w:numPr>
              <w:shd w:val="clear" w:color="auto" w:fill="F2F2F2" w:themeFill="background1" w:themeFillShade="F2"/>
              <w:spacing w:after="0" w:line="240" w:lineRule="auto"/>
              <w:ind w:left="733" w:hanging="733"/>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Uczestnictwo Bytomia w tworzeniu metropolitalnej oferty turystyki kulturowej.</w:t>
            </w:r>
          </w:p>
          <w:p w:rsidR="00F21AE8" w:rsidRPr="00BF1DF2" w:rsidRDefault="00F21AE8" w:rsidP="00463955">
            <w:pPr>
              <w:pStyle w:val="Akapitzlist"/>
              <w:numPr>
                <w:ilvl w:val="0"/>
                <w:numId w:val="778"/>
              </w:numPr>
              <w:shd w:val="clear" w:color="auto" w:fill="F2F2F2" w:themeFill="background1" w:themeFillShade="F2"/>
              <w:spacing w:after="0" w:line="240" w:lineRule="auto"/>
              <w:ind w:left="733" w:hanging="733"/>
              <w:contextualSpacing/>
              <w:jc w:val="both"/>
              <w:cnfStyle w:val="000000000000"/>
              <w:rPr>
                <w:rFonts w:asciiTheme="minorHAnsi" w:hAnsiTheme="minorHAnsi" w:cstheme="minorHAnsi"/>
                <w:sz w:val="20"/>
                <w:szCs w:val="20"/>
              </w:rPr>
            </w:pPr>
            <w:r w:rsidRPr="00BF1DF2">
              <w:rPr>
                <w:rFonts w:asciiTheme="minorHAnsi" w:hAnsiTheme="minorHAnsi" w:cstheme="minorHAnsi"/>
                <w:sz w:val="20"/>
                <w:szCs w:val="20"/>
              </w:rPr>
              <w:t>Promocja oferty turystycznej wykorzystującej postindustrialne i postmilitarne dziedzictwo miasta.</w:t>
            </w:r>
          </w:p>
        </w:tc>
      </w:tr>
    </w:tbl>
    <w:p w:rsidR="000C70A4" w:rsidRPr="00BF1DF2" w:rsidRDefault="000C70A4" w:rsidP="00463955">
      <w:pPr>
        <w:shd w:val="clear" w:color="auto" w:fill="F2F2F2" w:themeFill="background1" w:themeFillShade="F2"/>
        <w:jc w:val="both"/>
        <w:rPr>
          <w:rFonts w:ascii="Calibri" w:hAnsi="Calibri" w:cs="Calibri"/>
          <w:i/>
          <w:sz w:val="18"/>
          <w:szCs w:val="18"/>
        </w:rPr>
      </w:pPr>
      <w:r w:rsidRPr="00BF1DF2">
        <w:rPr>
          <w:rFonts w:ascii="Calibri" w:hAnsi="Calibri" w:cs="Calibri"/>
          <w:i/>
          <w:sz w:val="18"/>
          <w:szCs w:val="18"/>
        </w:rPr>
        <w:t>Źródło: Strategia Rozwoju Miasta</w:t>
      </w:r>
      <w:r w:rsidR="00BB1A89" w:rsidRPr="00BF1DF2">
        <w:rPr>
          <w:rFonts w:ascii="Calibri" w:hAnsi="Calibri" w:cs="Calibri"/>
          <w:i/>
          <w:sz w:val="18"/>
          <w:szCs w:val="18"/>
        </w:rPr>
        <w:t xml:space="preserve"> Bytomia. Bytom 203</w:t>
      </w:r>
      <w:r w:rsidRPr="00BF1DF2">
        <w:rPr>
          <w:rFonts w:ascii="Calibri" w:hAnsi="Calibri" w:cs="Calibri"/>
          <w:i/>
          <w:sz w:val="18"/>
          <w:szCs w:val="18"/>
        </w:rPr>
        <w:t>0+</w:t>
      </w:r>
    </w:p>
    <w:p w:rsidR="002B077C" w:rsidRPr="00A117E0" w:rsidRDefault="002B077C" w:rsidP="00D2587B">
      <w:pPr>
        <w:shd w:val="clear" w:color="auto" w:fill="FFFFFF" w:themeFill="background1"/>
        <w:spacing w:before="120"/>
        <w:ind w:firstLine="567"/>
        <w:jc w:val="both"/>
        <w:rPr>
          <w:rFonts w:ascii="Calibri" w:hAnsi="Calibri" w:cs="Calibri"/>
          <w:szCs w:val="20"/>
        </w:rPr>
      </w:pPr>
      <w:r w:rsidRPr="00A117E0">
        <w:rPr>
          <w:rFonts w:ascii="Calibri" w:hAnsi="Calibri" w:cs="Calibri"/>
          <w:szCs w:val="20"/>
        </w:rPr>
        <w:t xml:space="preserve">Jednym z kluczowych wyzwań decydujących o rozwoju Bytomia są wyzwania rewitalizacyjne obejmujące: </w:t>
      </w:r>
    </w:p>
    <w:p w:rsidR="002B077C" w:rsidRPr="00A117E0" w:rsidRDefault="002B077C" w:rsidP="00D2587B">
      <w:pPr>
        <w:numPr>
          <w:ilvl w:val="0"/>
          <w:numId w:val="10"/>
        </w:numPr>
        <w:shd w:val="clear" w:color="auto" w:fill="FFFFFF" w:themeFill="background1"/>
        <w:tabs>
          <w:tab w:val="clear" w:pos="720"/>
          <w:tab w:val="num" w:pos="284"/>
        </w:tabs>
        <w:spacing w:before="120"/>
        <w:ind w:left="641" w:hanging="284"/>
        <w:jc w:val="both"/>
        <w:rPr>
          <w:rFonts w:ascii="Calibri" w:hAnsi="Calibri" w:cs="Calibri"/>
          <w:szCs w:val="20"/>
        </w:rPr>
      </w:pPr>
      <w:r w:rsidRPr="00A117E0">
        <w:rPr>
          <w:rFonts w:ascii="Calibri" w:hAnsi="Calibri" w:cs="Calibri"/>
          <w:szCs w:val="20"/>
        </w:rPr>
        <w:t>zapobieganie redukowaniu funkcji gospodarczych, spadkowi witalności miasta, regresowi funkcjonalnemu kluczowych przestrzeni publicznych,</w:t>
      </w:r>
    </w:p>
    <w:p w:rsidR="002B077C" w:rsidRPr="00A117E0" w:rsidRDefault="002B077C" w:rsidP="00D2587B">
      <w:pPr>
        <w:numPr>
          <w:ilvl w:val="0"/>
          <w:numId w:val="10"/>
        </w:numPr>
        <w:shd w:val="clear" w:color="auto" w:fill="FFFFFF" w:themeFill="background1"/>
        <w:tabs>
          <w:tab w:val="clear" w:pos="720"/>
          <w:tab w:val="num" w:pos="284"/>
        </w:tabs>
        <w:ind w:left="641" w:hanging="284"/>
        <w:jc w:val="both"/>
        <w:rPr>
          <w:rFonts w:ascii="Calibri" w:hAnsi="Calibri" w:cs="Calibri"/>
          <w:szCs w:val="20"/>
        </w:rPr>
      </w:pPr>
      <w:r w:rsidRPr="00A117E0">
        <w:rPr>
          <w:rFonts w:ascii="Calibri" w:hAnsi="Calibri" w:cs="Calibri"/>
          <w:szCs w:val="20"/>
        </w:rPr>
        <w:t xml:space="preserve">poprawę sytuacji ekonomicznej mieszkańców i wzrost popytu na funkcje wyższego rzędu istotne dla witalności miasta, </w:t>
      </w:r>
    </w:p>
    <w:p w:rsidR="00F579D0" w:rsidRDefault="002B077C" w:rsidP="00D2587B">
      <w:pPr>
        <w:numPr>
          <w:ilvl w:val="0"/>
          <w:numId w:val="10"/>
        </w:numPr>
        <w:shd w:val="clear" w:color="auto" w:fill="FFFFFF" w:themeFill="background1"/>
        <w:tabs>
          <w:tab w:val="clear" w:pos="720"/>
          <w:tab w:val="num" w:pos="284"/>
        </w:tabs>
        <w:ind w:left="641" w:hanging="284"/>
        <w:jc w:val="both"/>
        <w:rPr>
          <w:rFonts w:ascii="Calibri" w:hAnsi="Calibri" w:cs="Calibri"/>
          <w:szCs w:val="20"/>
        </w:rPr>
      </w:pPr>
      <w:r w:rsidRPr="00A117E0">
        <w:rPr>
          <w:rFonts w:ascii="Calibri" w:hAnsi="Calibri" w:cs="Calibri"/>
          <w:szCs w:val="20"/>
        </w:rPr>
        <w:t>zmniejszenie skali ubóstwa i wyłączenia społecznego w oparciu o istniejące oraz nowe rozwiązania organizacyjno-inwestycyjne.</w:t>
      </w:r>
      <w:r w:rsidR="002924F7" w:rsidRPr="00A117E0">
        <w:rPr>
          <w:rFonts w:ascii="Calibri" w:hAnsi="Calibri" w:cs="Calibri"/>
          <w:szCs w:val="20"/>
        </w:rPr>
        <w:tab/>
      </w:r>
    </w:p>
    <w:p w:rsidR="002B077C" w:rsidRPr="00A117E0" w:rsidRDefault="00D66D48" w:rsidP="00F579D0">
      <w:pPr>
        <w:shd w:val="clear" w:color="auto" w:fill="FFFFFF" w:themeFill="background1"/>
        <w:ind w:left="641"/>
        <w:jc w:val="both"/>
        <w:rPr>
          <w:rFonts w:ascii="Calibri" w:hAnsi="Calibri" w:cs="Calibri"/>
          <w:szCs w:val="20"/>
        </w:rPr>
      </w:pPr>
      <w:r w:rsidRPr="00A117E0">
        <w:rPr>
          <w:rFonts w:ascii="Calibri" w:hAnsi="Calibri" w:cs="Calibri"/>
          <w:szCs w:val="20"/>
        </w:rPr>
        <w:t xml:space="preserve"> </w:t>
      </w:r>
    </w:p>
    <w:p w:rsidR="000C70A4" w:rsidRPr="00581E59" w:rsidRDefault="002924F7" w:rsidP="00463955">
      <w:pPr>
        <w:shd w:val="clear" w:color="auto" w:fill="F2F2F2" w:themeFill="background1" w:themeFillShade="F2"/>
        <w:tabs>
          <w:tab w:val="left" w:pos="567"/>
        </w:tabs>
        <w:jc w:val="both"/>
        <w:rPr>
          <w:rFonts w:cs="Calibri"/>
          <w:bCs/>
          <w:szCs w:val="20"/>
        </w:rPr>
      </w:pPr>
      <w:r>
        <w:rPr>
          <w:rFonts w:ascii="Calibri" w:hAnsi="Calibri" w:cs="Calibri"/>
          <w:szCs w:val="20"/>
        </w:rPr>
        <w:tab/>
      </w:r>
      <w:r w:rsidRPr="00F579D0">
        <w:rPr>
          <w:rFonts w:ascii="Calibri" w:hAnsi="Calibri" w:cs="Calibri"/>
          <w:color w:val="FF0000"/>
          <w:szCs w:val="20"/>
        </w:rPr>
        <w:tab/>
      </w:r>
      <w:r w:rsidR="00995A74" w:rsidRPr="00581E59">
        <w:rPr>
          <w:rFonts w:ascii="Calibri" w:hAnsi="Calibri" w:cs="Calibri"/>
          <w:szCs w:val="20"/>
        </w:rPr>
        <w:t xml:space="preserve">Cele strategiczne </w:t>
      </w:r>
      <w:r w:rsidR="000C70A4" w:rsidRPr="00581E59">
        <w:rPr>
          <w:rFonts w:ascii="Calibri" w:hAnsi="Calibri" w:cs="Calibri"/>
          <w:szCs w:val="20"/>
        </w:rPr>
        <w:t xml:space="preserve">strategii rozwoju </w:t>
      </w:r>
      <w:r w:rsidR="00995A74" w:rsidRPr="00581E59">
        <w:rPr>
          <w:rFonts w:ascii="Calibri" w:hAnsi="Calibri" w:cs="Calibri"/>
          <w:szCs w:val="20"/>
        </w:rPr>
        <w:t xml:space="preserve">Miasta </w:t>
      </w:r>
      <w:r w:rsidR="000C70A4" w:rsidRPr="00581E59">
        <w:rPr>
          <w:rFonts w:ascii="Calibri" w:hAnsi="Calibri" w:cs="Calibri"/>
          <w:szCs w:val="20"/>
        </w:rPr>
        <w:t>Bytomia są spójne z celami strategicznymi zawartymi w kluczowych dokumentach region</w:t>
      </w:r>
      <w:r w:rsidR="003D0E71" w:rsidRPr="00581E59">
        <w:rPr>
          <w:rFonts w:ascii="Calibri" w:hAnsi="Calibri" w:cs="Calibri"/>
          <w:szCs w:val="20"/>
        </w:rPr>
        <w:t>alnych i krajowych</w:t>
      </w:r>
      <w:r w:rsidR="000C70A4" w:rsidRPr="00581E59">
        <w:rPr>
          <w:rFonts w:ascii="Calibri" w:hAnsi="Calibri" w:cs="Calibri"/>
          <w:szCs w:val="20"/>
        </w:rPr>
        <w:t xml:space="preserve">, w tym z zapisami </w:t>
      </w:r>
      <w:r w:rsidR="003D0E71" w:rsidRPr="00581E59">
        <w:rPr>
          <w:rFonts w:ascii="Calibri" w:hAnsi="Calibri" w:cs="Calibri"/>
          <w:szCs w:val="20"/>
        </w:rPr>
        <w:t>Strategii Rozwoju Województwa Śląskiego "Śląskie 2030" - Zielone Śląskie, Strategii Rozwoju Subregionu Centralnego Województwa Śląskiego na lata 2021-2027, z perspektywą do 2030 roku oraz</w:t>
      </w:r>
      <w:r w:rsidR="000C70A4" w:rsidRPr="00581E59">
        <w:rPr>
          <w:rFonts w:ascii="Calibri" w:hAnsi="Calibri" w:cs="Calibri"/>
          <w:szCs w:val="20"/>
        </w:rPr>
        <w:t xml:space="preserve"> </w:t>
      </w:r>
      <w:r w:rsidR="003D0E71" w:rsidRPr="00581E59">
        <w:rPr>
          <w:rFonts w:cs="Calibri"/>
          <w:bCs/>
          <w:szCs w:val="20"/>
        </w:rPr>
        <w:t>Krajowej Strategii Rozwoju Regionalnego 2030</w:t>
      </w:r>
      <w:r w:rsidR="000C70A4" w:rsidRPr="00581E59">
        <w:rPr>
          <w:rFonts w:ascii="Calibri" w:hAnsi="Calibri" w:cs="Calibri"/>
          <w:szCs w:val="20"/>
        </w:rPr>
        <w:t>.</w:t>
      </w:r>
    </w:p>
    <w:p w:rsidR="00763F57" w:rsidRDefault="00763F57" w:rsidP="00F579D0">
      <w:pPr>
        <w:pStyle w:val="Tekstpodstawowy2"/>
        <w:shd w:val="clear" w:color="auto" w:fill="FFFFFF" w:themeFill="background1"/>
        <w:spacing w:before="120"/>
        <w:ind w:firstLine="708"/>
        <w:rPr>
          <w:rFonts w:ascii="Calibri" w:hAnsi="Calibri" w:cs="Calibri"/>
          <w:szCs w:val="20"/>
        </w:rPr>
      </w:pPr>
      <w:r>
        <w:rPr>
          <w:rFonts w:ascii="Calibri" w:hAnsi="Calibri" w:cs="Calibri"/>
          <w:szCs w:val="20"/>
        </w:rPr>
        <w:t xml:space="preserve">„Gminny Program Rewitalizacji. Bytom 2020+” </w:t>
      </w:r>
      <w:r w:rsidR="009B107E">
        <w:rPr>
          <w:rFonts w:ascii="Calibri" w:hAnsi="Calibri" w:cs="Calibri"/>
          <w:szCs w:val="20"/>
        </w:rPr>
        <w:t xml:space="preserve">dotyczy fragmentu miasta (obszaru rewitalizacji) i </w:t>
      </w:r>
      <w:r>
        <w:rPr>
          <w:rFonts w:ascii="Calibri" w:hAnsi="Calibri" w:cs="Calibri"/>
          <w:szCs w:val="20"/>
        </w:rPr>
        <w:t xml:space="preserve">jest uszczegółowieniem </w:t>
      </w:r>
      <w:r w:rsidR="00995A74">
        <w:rPr>
          <w:rFonts w:ascii="Calibri" w:hAnsi="Calibri" w:cs="Calibri"/>
          <w:szCs w:val="20"/>
        </w:rPr>
        <w:t xml:space="preserve">zapisów </w:t>
      </w:r>
      <w:r>
        <w:rPr>
          <w:rFonts w:ascii="Calibri" w:hAnsi="Calibri" w:cs="Calibri"/>
          <w:szCs w:val="20"/>
        </w:rPr>
        <w:t>w zakresie planowanych do realizacji projektów rewitalizacyjnych. GPR realizuje cele i kierunki strategii miasta i stanowi w polityce miejskiej podstawę koordynacji oraz podejmowania wszelkich działań rewitalizacyjnych.</w:t>
      </w:r>
      <w:r w:rsidR="00C77E33">
        <w:rPr>
          <w:rFonts w:ascii="Calibri" w:hAnsi="Calibri" w:cs="Calibri"/>
          <w:szCs w:val="20"/>
        </w:rPr>
        <w:tab/>
      </w:r>
      <w:r w:rsidR="00C77E33">
        <w:rPr>
          <w:rFonts w:ascii="Calibri" w:hAnsi="Calibri" w:cs="Calibri"/>
          <w:szCs w:val="20"/>
        </w:rPr>
        <w:br/>
      </w:r>
    </w:p>
    <w:p w:rsidR="000C70A4" w:rsidRPr="00BF1DF2" w:rsidRDefault="00477268" w:rsidP="00463955">
      <w:pPr>
        <w:pStyle w:val="Nagwek4"/>
        <w:shd w:val="clear" w:color="auto" w:fill="F2F2F2" w:themeFill="background1" w:themeFillShade="F2"/>
        <w:spacing w:before="0" w:after="0"/>
        <w:rPr>
          <w:rFonts w:cs="Calibri"/>
          <w:i w:val="0"/>
          <w:color w:val="0070C0"/>
          <w:szCs w:val="22"/>
        </w:rPr>
      </w:pPr>
      <w:r w:rsidRPr="00BF1DF2">
        <w:rPr>
          <w:rFonts w:cs="Calibri"/>
          <w:i w:val="0"/>
          <w:color w:val="0070C0"/>
          <w:szCs w:val="19"/>
        </w:rPr>
        <w:t>Strategia Rozwiązywania Problemów Społecznych Bytomia na lata 2021-2026</w:t>
      </w:r>
    </w:p>
    <w:p w:rsidR="009207D4" w:rsidRPr="00BF1DF2" w:rsidRDefault="009207D4" w:rsidP="00463955">
      <w:pPr>
        <w:shd w:val="clear" w:color="auto" w:fill="F2F2F2" w:themeFill="background1" w:themeFillShade="F2"/>
        <w:rPr>
          <w:szCs w:val="20"/>
        </w:rPr>
      </w:pPr>
    </w:p>
    <w:p w:rsidR="000C70A4" w:rsidRPr="00BF1DF2" w:rsidRDefault="00477268" w:rsidP="00463955">
      <w:pPr>
        <w:shd w:val="clear" w:color="auto" w:fill="F2F2F2" w:themeFill="background1" w:themeFillShade="F2"/>
        <w:ind w:firstLine="708"/>
        <w:jc w:val="both"/>
        <w:rPr>
          <w:rFonts w:ascii="Calibri" w:hAnsi="Calibri" w:cs="Calibri"/>
          <w:szCs w:val="20"/>
        </w:rPr>
      </w:pPr>
      <w:r w:rsidRPr="00BF1DF2">
        <w:rPr>
          <w:rFonts w:ascii="Calibri" w:hAnsi="Calibri" w:cs="Calibri"/>
          <w:szCs w:val="19"/>
        </w:rPr>
        <w:t xml:space="preserve">„Strategia Rozwiązywania Problemów Społecznych Bytomia na lata 2021-2026” </w:t>
      </w:r>
      <w:r w:rsidR="000C70A4" w:rsidRPr="00BF1DF2">
        <w:rPr>
          <w:rFonts w:ascii="Calibri" w:hAnsi="Calibri" w:cs="Calibri"/>
          <w:szCs w:val="20"/>
        </w:rPr>
        <w:t xml:space="preserve">zawiera główne cele wyznaczające kierunki działań oraz podstawowe przedsięwzięcia służące realizacji wizji społecznego rozwoju Miasta. Niniejszy dokument zastąpił obowiązującą od </w:t>
      </w:r>
      <w:r w:rsidR="00C7362C" w:rsidRPr="00BF1DF2">
        <w:rPr>
          <w:rFonts w:ascii="Calibri" w:hAnsi="Calibri" w:cs="Calibri"/>
          <w:szCs w:val="20"/>
        </w:rPr>
        <w:t>2015</w:t>
      </w:r>
      <w:r w:rsidR="000C70A4" w:rsidRPr="00BF1DF2">
        <w:rPr>
          <w:rFonts w:ascii="Calibri" w:hAnsi="Calibri" w:cs="Calibri"/>
          <w:szCs w:val="20"/>
        </w:rPr>
        <w:t xml:space="preserve"> r. </w:t>
      </w:r>
      <w:r w:rsidR="00C7362C" w:rsidRPr="00BF1DF2">
        <w:rPr>
          <w:rFonts w:ascii="Calibri" w:hAnsi="Calibri" w:cs="Calibri"/>
          <w:szCs w:val="19"/>
        </w:rPr>
        <w:t xml:space="preserve">Strategię Rozwiązywania Problemów Społecznych Miasta Bytomia na lata 2015-2020. </w:t>
      </w:r>
      <w:r w:rsidR="000C70A4" w:rsidRPr="00BF1DF2">
        <w:rPr>
          <w:rFonts w:ascii="Calibri" w:hAnsi="Calibri" w:cs="Calibri"/>
          <w:szCs w:val="20"/>
        </w:rPr>
        <w:t xml:space="preserve">Sprawy społeczne pełnią funkcję wiodącą dla całego procesu rewitalizacji </w:t>
      </w:r>
      <w:r w:rsidR="000C70A4" w:rsidRPr="00BF1DF2">
        <w:rPr>
          <w:rFonts w:ascii="Calibri" w:hAnsi="Calibri" w:cs="Calibri"/>
          <w:szCs w:val="20"/>
        </w:rPr>
        <w:lastRenderedPageBreak/>
        <w:t>Bytomia,</w:t>
      </w:r>
      <w:r w:rsidR="0022221E" w:rsidRPr="00BF1DF2">
        <w:rPr>
          <w:rFonts w:ascii="Calibri" w:hAnsi="Calibri" w:cs="Calibri"/>
          <w:szCs w:val="20"/>
        </w:rPr>
        <w:t xml:space="preserve"> dlatego</w:t>
      </w:r>
      <w:r w:rsidR="000C70A4" w:rsidRPr="00BF1DF2">
        <w:rPr>
          <w:rFonts w:ascii="Calibri" w:hAnsi="Calibri" w:cs="Calibri"/>
          <w:szCs w:val="20"/>
        </w:rPr>
        <w:t xml:space="preserve"> </w:t>
      </w:r>
      <w:r w:rsidR="005639BC" w:rsidRPr="00BF1DF2">
        <w:rPr>
          <w:rFonts w:ascii="Calibri" w:hAnsi="Calibri" w:cs="Calibri"/>
          <w:szCs w:val="20"/>
        </w:rPr>
        <w:t>„Gminn</w:t>
      </w:r>
      <w:r w:rsidR="009B107E" w:rsidRPr="00BF1DF2">
        <w:rPr>
          <w:rFonts w:ascii="Calibri" w:hAnsi="Calibri" w:cs="Calibri"/>
          <w:szCs w:val="20"/>
        </w:rPr>
        <w:t>y</w:t>
      </w:r>
      <w:r w:rsidR="005639BC" w:rsidRPr="00BF1DF2">
        <w:rPr>
          <w:rFonts w:ascii="Calibri" w:hAnsi="Calibri" w:cs="Calibri"/>
          <w:szCs w:val="20"/>
        </w:rPr>
        <w:t xml:space="preserve"> Program Rewitalizacji. Bytom 2020</w:t>
      </w:r>
      <w:r w:rsidR="009B107E" w:rsidRPr="00BF1DF2">
        <w:rPr>
          <w:rFonts w:ascii="Calibri" w:hAnsi="Calibri" w:cs="Calibri"/>
          <w:szCs w:val="20"/>
        </w:rPr>
        <w:t>+” jest spójny</w:t>
      </w:r>
      <w:r w:rsidR="005639BC" w:rsidRPr="00BF1DF2">
        <w:rPr>
          <w:rFonts w:ascii="Calibri" w:hAnsi="Calibri" w:cs="Calibri"/>
          <w:szCs w:val="20"/>
        </w:rPr>
        <w:t xml:space="preserve"> z założeniami „Strategii</w:t>
      </w:r>
      <w:r w:rsidR="000C70A4" w:rsidRPr="00BF1DF2">
        <w:rPr>
          <w:rFonts w:ascii="Calibri" w:hAnsi="Calibri" w:cs="Calibri"/>
          <w:szCs w:val="20"/>
        </w:rPr>
        <w:t xml:space="preserve"> Rozw</w:t>
      </w:r>
      <w:r w:rsidR="00331978" w:rsidRPr="00BF1DF2">
        <w:rPr>
          <w:rFonts w:ascii="Calibri" w:hAnsi="Calibri" w:cs="Calibri"/>
          <w:szCs w:val="20"/>
        </w:rPr>
        <w:t>iązywania Problemów Społecznych</w:t>
      </w:r>
      <w:r w:rsidR="005639BC" w:rsidRPr="00BF1DF2">
        <w:rPr>
          <w:rFonts w:ascii="Calibri" w:hAnsi="Calibri" w:cs="Calibri"/>
          <w:szCs w:val="20"/>
        </w:rPr>
        <w:t>...”</w:t>
      </w:r>
      <w:r w:rsidR="009B107E" w:rsidRPr="00BF1DF2">
        <w:rPr>
          <w:rFonts w:ascii="Calibri" w:hAnsi="Calibri" w:cs="Calibri"/>
          <w:szCs w:val="20"/>
        </w:rPr>
        <w:t xml:space="preserve"> i uszczegółowia jej zapisy</w:t>
      </w:r>
      <w:r w:rsidR="005639BC" w:rsidRPr="00BF1DF2">
        <w:rPr>
          <w:rFonts w:ascii="Calibri" w:hAnsi="Calibri" w:cs="Calibri"/>
          <w:szCs w:val="20"/>
        </w:rPr>
        <w:t>.</w:t>
      </w:r>
    </w:p>
    <w:p w:rsidR="000C70A4" w:rsidRPr="00BF1DF2" w:rsidRDefault="00096BF7" w:rsidP="00463955">
      <w:pPr>
        <w:shd w:val="clear" w:color="auto" w:fill="F2F2F2" w:themeFill="background1" w:themeFillShade="F2"/>
        <w:ind w:firstLine="708"/>
        <w:jc w:val="both"/>
        <w:rPr>
          <w:rFonts w:ascii="Calibri" w:hAnsi="Calibri" w:cs="Calibri"/>
          <w:szCs w:val="20"/>
        </w:rPr>
      </w:pPr>
      <w:r w:rsidRPr="00BF1DF2">
        <w:rPr>
          <w:rFonts w:ascii="Calibri" w:hAnsi="Calibri" w:cs="Calibri"/>
          <w:szCs w:val="20"/>
        </w:rPr>
        <w:t>Cele realizowane przez G</w:t>
      </w:r>
      <w:r w:rsidR="000C70A4" w:rsidRPr="00BF1DF2">
        <w:rPr>
          <w:rFonts w:ascii="Calibri" w:hAnsi="Calibri" w:cs="Calibri"/>
          <w:szCs w:val="20"/>
        </w:rPr>
        <w:t>P</w:t>
      </w:r>
      <w:r w:rsidRPr="00BF1DF2">
        <w:rPr>
          <w:rFonts w:ascii="Calibri" w:hAnsi="Calibri" w:cs="Calibri"/>
          <w:szCs w:val="20"/>
        </w:rPr>
        <w:t>R</w:t>
      </w:r>
      <w:r w:rsidR="000C70A4" w:rsidRPr="00BF1DF2">
        <w:rPr>
          <w:rFonts w:ascii="Calibri" w:hAnsi="Calibri" w:cs="Calibri"/>
          <w:szCs w:val="20"/>
        </w:rPr>
        <w:t xml:space="preserve"> są zbieżne z celami polityki społecznej m</w:t>
      </w:r>
      <w:r w:rsidR="00A63CCF" w:rsidRPr="00BF1DF2">
        <w:rPr>
          <w:rFonts w:ascii="Calibri" w:hAnsi="Calibri" w:cs="Calibri"/>
          <w:szCs w:val="20"/>
        </w:rPr>
        <w:t>iasta. Strategia wskazuje priorytety</w:t>
      </w:r>
      <w:r w:rsidR="000C70A4" w:rsidRPr="00BF1DF2">
        <w:rPr>
          <w:rFonts w:ascii="Calibri" w:hAnsi="Calibri" w:cs="Calibri"/>
          <w:szCs w:val="20"/>
        </w:rPr>
        <w:t>, w</w:t>
      </w:r>
      <w:r w:rsidR="00A63CCF" w:rsidRPr="00BF1DF2">
        <w:rPr>
          <w:rFonts w:ascii="Calibri" w:hAnsi="Calibri" w:cs="Calibri"/>
          <w:szCs w:val="20"/>
        </w:rPr>
        <w:t xml:space="preserve"> ramach których zaproponowano cele strategiczne oraz kierunki działań</w:t>
      </w:r>
      <w:r w:rsidR="008B034D" w:rsidRPr="00BF1DF2">
        <w:rPr>
          <w:rFonts w:ascii="Calibri" w:hAnsi="Calibri" w:cs="Calibri"/>
          <w:szCs w:val="20"/>
        </w:rPr>
        <w:t>:</w:t>
      </w:r>
    </w:p>
    <w:p w:rsidR="000C70A4" w:rsidRPr="00BF1DF2" w:rsidRDefault="00A63CCF" w:rsidP="00463955">
      <w:pPr>
        <w:pStyle w:val="Default"/>
        <w:numPr>
          <w:ilvl w:val="0"/>
          <w:numId w:val="779"/>
        </w:numPr>
        <w:shd w:val="clear" w:color="auto" w:fill="F2F2F2" w:themeFill="background1" w:themeFillShade="F2"/>
        <w:spacing w:before="120"/>
        <w:ind w:left="284" w:hanging="284"/>
        <w:rPr>
          <w:rFonts w:cs="Calibri"/>
          <w:color w:val="auto"/>
          <w:sz w:val="22"/>
          <w:szCs w:val="22"/>
        </w:rPr>
      </w:pPr>
      <w:r w:rsidRPr="00BF1DF2">
        <w:rPr>
          <w:rFonts w:cs="Calibri"/>
          <w:b/>
          <w:bCs/>
          <w:color w:val="auto"/>
          <w:sz w:val="22"/>
          <w:szCs w:val="22"/>
        </w:rPr>
        <w:t xml:space="preserve">Miasto włączające, otwarte na ludzi </w:t>
      </w:r>
      <w:r w:rsidR="000C70A4" w:rsidRPr="00BF1DF2">
        <w:rPr>
          <w:rFonts w:cs="Calibri"/>
          <w:b/>
          <w:bCs/>
          <w:color w:val="auto"/>
          <w:sz w:val="22"/>
          <w:szCs w:val="22"/>
        </w:rPr>
        <w:t xml:space="preserve"> </w:t>
      </w:r>
    </w:p>
    <w:p w:rsidR="00AC09BC" w:rsidRPr="00BF1DF2" w:rsidRDefault="000C70A4" w:rsidP="00463955">
      <w:pPr>
        <w:pStyle w:val="Default"/>
        <w:shd w:val="clear" w:color="auto" w:fill="F2F2F2" w:themeFill="background1" w:themeFillShade="F2"/>
        <w:spacing w:before="120"/>
        <w:jc w:val="both"/>
        <w:rPr>
          <w:rFonts w:cs="Calibri"/>
          <w:color w:val="auto"/>
          <w:sz w:val="20"/>
          <w:szCs w:val="20"/>
        </w:rPr>
      </w:pPr>
      <w:r w:rsidRPr="00BF1DF2">
        <w:rPr>
          <w:rFonts w:cs="Calibri"/>
          <w:b/>
          <w:bCs/>
          <w:color w:val="auto"/>
          <w:sz w:val="20"/>
          <w:szCs w:val="20"/>
        </w:rPr>
        <w:t xml:space="preserve">Cel </w:t>
      </w:r>
      <w:r w:rsidR="00A63CCF" w:rsidRPr="00BF1DF2">
        <w:rPr>
          <w:rFonts w:cs="Calibri"/>
          <w:b/>
          <w:bCs/>
          <w:color w:val="auto"/>
          <w:sz w:val="20"/>
          <w:szCs w:val="20"/>
        </w:rPr>
        <w:t>strategiczny dla priorytetu CS1:</w:t>
      </w:r>
      <w:r w:rsidR="00A63CCF" w:rsidRPr="00BF1DF2">
        <w:rPr>
          <w:rFonts w:cs="Calibri"/>
          <w:color w:val="auto"/>
          <w:sz w:val="20"/>
          <w:szCs w:val="20"/>
        </w:rPr>
        <w:t xml:space="preserve"> </w:t>
      </w:r>
      <w:r w:rsidR="00A63CCF" w:rsidRPr="00BF1DF2">
        <w:rPr>
          <w:rFonts w:cs="Calibri"/>
          <w:bCs/>
          <w:color w:val="auto"/>
          <w:sz w:val="20"/>
          <w:szCs w:val="20"/>
        </w:rPr>
        <w:t>Równe szanse rozwoju mieszkańców</w:t>
      </w:r>
      <w:r w:rsidR="00A63CCF" w:rsidRPr="00BF1DF2">
        <w:rPr>
          <w:rFonts w:cs="Calibri"/>
          <w:b/>
          <w:bCs/>
          <w:color w:val="auto"/>
          <w:sz w:val="20"/>
          <w:szCs w:val="20"/>
        </w:rPr>
        <w:t xml:space="preserve"> </w:t>
      </w:r>
    </w:p>
    <w:p w:rsidR="000C70A4" w:rsidRPr="00BF1DF2" w:rsidRDefault="00AC09BC" w:rsidP="00463955">
      <w:pPr>
        <w:pStyle w:val="Default"/>
        <w:shd w:val="clear" w:color="auto" w:fill="F2F2F2" w:themeFill="background1" w:themeFillShade="F2"/>
        <w:jc w:val="both"/>
        <w:rPr>
          <w:rFonts w:cs="Calibri"/>
          <w:color w:val="auto"/>
          <w:sz w:val="20"/>
          <w:szCs w:val="20"/>
        </w:rPr>
      </w:pPr>
      <w:r w:rsidRPr="00BF1DF2">
        <w:rPr>
          <w:rFonts w:cs="Calibri"/>
          <w:b/>
          <w:bCs/>
          <w:color w:val="auto"/>
          <w:sz w:val="20"/>
          <w:szCs w:val="20"/>
        </w:rPr>
        <w:t>Kierunki działań</w:t>
      </w:r>
    </w:p>
    <w:p w:rsidR="00AC09BC" w:rsidRPr="00BF1DF2" w:rsidRDefault="00AC09BC" w:rsidP="00463955">
      <w:pPr>
        <w:pStyle w:val="Akapitzlist"/>
        <w:numPr>
          <w:ilvl w:val="0"/>
          <w:numId w:val="780"/>
        </w:numPr>
        <w:shd w:val="clear" w:color="auto" w:fill="F2F2F2" w:themeFill="background1" w:themeFillShade="F2"/>
        <w:spacing w:after="0" w:line="240" w:lineRule="auto"/>
        <w:ind w:left="567" w:hanging="567"/>
        <w:contextualSpacing/>
        <w:jc w:val="both"/>
        <w:rPr>
          <w:sz w:val="20"/>
          <w:szCs w:val="20"/>
        </w:rPr>
      </w:pPr>
      <w:r w:rsidRPr="00BF1DF2">
        <w:rPr>
          <w:sz w:val="20"/>
          <w:szCs w:val="20"/>
        </w:rPr>
        <w:t>Oferta pomocy skierowana do osób z problemami, dostosowana do możliwości samodzielnego funkcjonowania w społeczeństwie.</w:t>
      </w:r>
    </w:p>
    <w:p w:rsidR="00AC09BC" w:rsidRPr="00BF1DF2" w:rsidRDefault="00AC09BC" w:rsidP="00463955">
      <w:pPr>
        <w:pStyle w:val="Akapitzlist"/>
        <w:numPr>
          <w:ilvl w:val="0"/>
          <w:numId w:val="780"/>
        </w:numPr>
        <w:shd w:val="clear" w:color="auto" w:fill="F2F2F2" w:themeFill="background1" w:themeFillShade="F2"/>
        <w:spacing w:before="100" w:after="0" w:line="240" w:lineRule="auto"/>
        <w:ind w:left="567" w:hanging="567"/>
        <w:contextualSpacing/>
        <w:jc w:val="both"/>
        <w:rPr>
          <w:sz w:val="20"/>
          <w:szCs w:val="20"/>
        </w:rPr>
      </w:pPr>
      <w:r w:rsidRPr="00BF1DF2">
        <w:rPr>
          <w:sz w:val="20"/>
          <w:szCs w:val="20"/>
        </w:rPr>
        <w:t>Wdrażanie rozwiązań premiujących osoby, które chcą poprawiać swoje położenie i współpracują z podmiotami pomocy społecznej i rynku pracy.</w:t>
      </w:r>
    </w:p>
    <w:p w:rsidR="00AC09BC" w:rsidRPr="00BF1DF2" w:rsidRDefault="00AC09BC" w:rsidP="00463955">
      <w:pPr>
        <w:pStyle w:val="Akapitzlist"/>
        <w:numPr>
          <w:ilvl w:val="0"/>
          <w:numId w:val="780"/>
        </w:numPr>
        <w:shd w:val="clear" w:color="auto" w:fill="F2F2F2" w:themeFill="background1" w:themeFillShade="F2"/>
        <w:spacing w:before="100" w:after="0" w:line="240" w:lineRule="auto"/>
        <w:ind w:left="567" w:hanging="567"/>
        <w:contextualSpacing/>
        <w:jc w:val="both"/>
        <w:rPr>
          <w:sz w:val="20"/>
          <w:szCs w:val="20"/>
        </w:rPr>
      </w:pPr>
      <w:r w:rsidRPr="00BF1DF2">
        <w:rPr>
          <w:sz w:val="20"/>
          <w:szCs w:val="20"/>
        </w:rPr>
        <w:t>Dostępność oferty i usług wspierających rozwój osobowy i zawodowy mieszkańców o różnych potrzebach i predyspozycjach (oferta edukacyjna, kulturalna, rekreacyjna, zdrowotna).</w:t>
      </w:r>
    </w:p>
    <w:p w:rsidR="00AC09BC" w:rsidRPr="00BF1DF2" w:rsidRDefault="00AC09BC" w:rsidP="00463955">
      <w:pPr>
        <w:pStyle w:val="Akapitzlist"/>
        <w:numPr>
          <w:ilvl w:val="0"/>
          <w:numId w:val="780"/>
        </w:numPr>
        <w:shd w:val="clear" w:color="auto" w:fill="F2F2F2" w:themeFill="background1" w:themeFillShade="F2"/>
        <w:spacing w:before="100" w:after="0" w:line="240" w:lineRule="auto"/>
        <w:ind w:left="567" w:hanging="567"/>
        <w:contextualSpacing/>
        <w:jc w:val="both"/>
        <w:rPr>
          <w:sz w:val="20"/>
          <w:szCs w:val="20"/>
        </w:rPr>
      </w:pPr>
      <w:r w:rsidRPr="00BF1DF2">
        <w:rPr>
          <w:sz w:val="20"/>
          <w:szCs w:val="20"/>
        </w:rPr>
        <w:t>Rozwój przedsiębiorczości społecznej wspierającej zatrudnienie i wsparcie osób z grup wymagających wsparcia.</w:t>
      </w:r>
    </w:p>
    <w:p w:rsidR="00AC09BC" w:rsidRPr="00BF1DF2" w:rsidRDefault="00AC09BC" w:rsidP="00463955">
      <w:pPr>
        <w:pStyle w:val="Akapitzlist"/>
        <w:numPr>
          <w:ilvl w:val="0"/>
          <w:numId w:val="780"/>
        </w:numPr>
        <w:shd w:val="clear" w:color="auto" w:fill="F2F2F2" w:themeFill="background1" w:themeFillShade="F2"/>
        <w:spacing w:before="100" w:after="0" w:line="240" w:lineRule="auto"/>
        <w:ind w:left="567" w:hanging="567"/>
        <w:contextualSpacing/>
        <w:jc w:val="both"/>
        <w:rPr>
          <w:sz w:val="20"/>
          <w:szCs w:val="20"/>
        </w:rPr>
      </w:pPr>
      <w:r w:rsidRPr="00BF1DF2">
        <w:rPr>
          <w:sz w:val="20"/>
          <w:szCs w:val="20"/>
        </w:rPr>
        <w:t>Przyjazność miasta dla mniejszości etnicznych, w tym imigrantów podejmujących pracę w Bytomiu.</w:t>
      </w:r>
    </w:p>
    <w:p w:rsidR="00AC09BC" w:rsidRPr="00BF1DF2" w:rsidRDefault="00AC09BC" w:rsidP="00463955">
      <w:pPr>
        <w:pStyle w:val="Akapitzlist"/>
        <w:numPr>
          <w:ilvl w:val="0"/>
          <w:numId w:val="780"/>
        </w:numPr>
        <w:shd w:val="clear" w:color="auto" w:fill="F2F2F2" w:themeFill="background1" w:themeFillShade="F2"/>
        <w:spacing w:before="100" w:after="0" w:line="240" w:lineRule="auto"/>
        <w:ind w:left="567" w:hanging="567"/>
        <w:contextualSpacing/>
        <w:jc w:val="both"/>
        <w:rPr>
          <w:sz w:val="20"/>
          <w:szCs w:val="20"/>
        </w:rPr>
      </w:pPr>
      <w:r w:rsidRPr="00BF1DF2">
        <w:rPr>
          <w:sz w:val="20"/>
          <w:szCs w:val="20"/>
        </w:rPr>
        <w:t>Zdywersyfikowany rynek pracy otwarty na osoby o różnych możliwościach realizacji karier zawodowych, w tym rozwój srebrnej gospodarki.</w:t>
      </w:r>
    </w:p>
    <w:p w:rsidR="00AC09BC" w:rsidRPr="00BF1DF2" w:rsidRDefault="00AC09BC" w:rsidP="00463955">
      <w:pPr>
        <w:pStyle w:val="Akapitzlist"/>
        <w:shd w:val="clear" w:color="auto" w:fill="F2F2F2" w:themeFill="background1" w:themeFillShade="F2"/>
        <w:spacing w:before="100" w:after="0" w:line="240" w:lineRule="auto"/>
        <w:ind w:left="709" w:hanging="709"/>
        <w:contextualSpacing/>
        <w:jc w:val="both"/>
        <w:rPr>
          <w:sz w:val="20"/>
          <w:szCs w:val="20"/>
        </w:rPr>
      </w:pPr>
    </w:p>
    <w:p w:rsidR="00AC09BC" w:rsidRPr="00BF1DF2" w:rsidRDefault="00AC09BC" w:rsidP="00463955">
      <w:pPr>
        <w:pStyle w:val="Akapitzlist"/>
        <w:numPr>
          <w:ilvl w:val="0"/>
          <w:numId w:val="779"/>
        </w:numPr>
        <w:shd w:val="clear" w:color="auto" w:fill="F2F2F2" w:themeFill="background1" w:themeFillShade="F2"/>
        <w:spacing w:before="100" w:after="0" w:line="240" w:lineRule="auto"/>
        <w:ind w:left="284" w:hanging="284"/>
        <w:contextualSpacing/>
        <w:jc w:val="both"/>
        <w:rPr>
          <w:b/>
        </w:rPr>
      </w:pPr>
      <w:r w:rsidRPr="00BF1DF2">
        <w:rPr>
          <w:b/>
        </w:rPr>
        <w:t>Przyjazność miasta dla rodzin</w:t>
      </w:r>
    </w:p>
    <w:p w:rsidR="00AC09BC" w:rsidRPr="00BF1DF2" w:rsidRDefault="00AC09BC" w:rsidP="00463955">
      <w:pPr>
        <w:pStyle w:val="Default"/>
        <w:shd w:val="clear" w:color="auto" w:fill="F2F2F2" w:themeFill="background1" w:themeFillShade="F2"/>
        <w:spacing w:before="120"/>
        <w:jc w:val="both"/>
        <w:rPr>
          <w:color w:val="auto"/>
          <w:sz w:val="20"/>
          <w:szCs w:val="20"/>
        </w:rPr>
      </w:pPr>
      <w:r w:rsidRPr="00BF1DF2">
        <w:rPr>
          <w:rFonts w:cs="Calibri"/>
          <w:b/>
          <w:bCs/>
          <w:color w:val="auto"/>
          <w:sz w:val="20"/>
          <w:szCs w:val="20"/>
        </w:rPr>
        <w:t xml:space="preserve">Cel strategiczny dla priorytetu CS2: </w:t>
      </w:r>
      <w:r w:rsidRPr="00BF1DF2">
        <w:rPr>
          <w:color w:val="auto"/>
          <w:sz w:val="20"/>
          <w:szCs w:val="20"/>
        </w:rPr>
        <w:t>Dogodne warunki dla zakładania i rozwoju rodzin</w:t>
      </w:r>
    </w:p>
    <w:p w:rsidR="00AC09BC" w:rsidRPr="00BF1DF2" w:rsidRDefault="00AC09BC" w:rsidP="00463955">
      <w:pPr>
        <w:pStyle w:val="Default"/>
        <w:shd w:val="clear" w:color="auto" w:fill="F2F2F2" w:themeFill="background1" w:themeFillShade="F2"/>
        <w:jc w:val="both"/>
        <w:rPr>
          <w:rFonts w:cs="Calibri"/>
          <w:b/>
          <w:bCs/>
          <w:color w:val="auto"/>
          <w:sz w:val="20"/>
          <w:szCs w:val="20"/>
        </w:rPr>
      </w:pPr>
      <w:r w:rsidRPr="00BF1DF2">
        <w:rPr>
          <w:rFonts w:cs="Calibri"/>
          <w:b/>
          <w:bCs/>
          <w:color w:val="auto"/>
          <w:sz w:val="20"/>
          <w:szCs w:val="20"/>
        </w:rPr>
        <w:t>Kierunki działań</w:t>
      </w:r>
    </w:p>
    <w:p w:rsidR="00AC09BC" w:rsidRPr="00BF1DF2" w:rsidRDefault="00AC09BC" w:rsidP="00463955">
      <w:pPr>
        <w:pStyle w:val="Akapitzlist"/>
        <w:numPr>
          <w:ilvl w:val="0"/>
          <w:numId w:val="781"/>
        </w:numPr>
        <w:shd w:val="clear" w:color="auto" w:fill="F2F2F2" w:themeFill="background1" w:themeFillShade="F2"/>
        <w:spacing w:after="0" w:line="240" w:lineRule="auto"/>
        <w:ind w:left="567" w:hanging="567"/>
        <w:contextualSpacing/>
        <w:jc w:val="both"/>
        <w:rPr>
          <w:sz w:val="20"/>
          <w:szCs w:val="20"/>
        </w:rPr>
      </w:pPr>
      <w:r w:rsidRPr="00BF1DF2">
        <w:rPr>
          <w:sz w:val="20"/>
          <w:szCs w:val="20"/>
        </w:rPr>
        <w:t>Podnoszenie kompetencji rodzicielskich i wsparcie rodzin w ochronie dzieci i młodzieży przed zagrożeniami społecznymi.</w:t>
      </w:r>
    </w:p>
    <w:p w:rsidR="00AC09BC" w:rsidRPr="00BF1DF2" w:rsidRDefault="00AC09BC" w:rsidP="00463955">
      <w:pPr>
        <w:pStyle w:val="Akapitzlist"/>
        <w:numPr>
          <w:ilvl w:val="0"/>
          <w:numId w:val="781"/>
        </w:numPr>
        <w:shd w:val="clear" w:color="auto" w:fill="F2F2F2" w:themeFill="background1" w:themeFillShade="F2"/>
        <w:spacing w:before="100" w:after="0" w:line="240" w:lineRule="auto"/>
        <w:ind w:left="567" w:hanging="567"/>
        <w:contextualSpacing/>
        <w:jc w:val="both"/>
        <w:rPr>
          <w:sz w:val="20"/>
          <w:szCs w:val="20"/>
        </w:rPr>
      </w:pPr>
      <w:r w:rsidRPr="00BF1DF2">
        <w:rPr>
          <w:sz w:val="20"/>
          <w:szCs w:val="20"/>
        </w:rPr>
        <w:t>Przeciwdziałanie dezintegracji rodzin oraz przeciwdziałanie przemocy w rodzinie.</w:t>
      </w:r>
    </w:p>
    <w:p w:rsidR="00AC09BC" w:rsidRPr="00BF1DF2" w:rsidRDefault="00AC09BC" w:rsidP="00463955">
      <w:pPr>
        <w:pStyle w:val="Akapitzlist"/>
        <w:numPr>
          <w:ilvl w:val="0"/>
          <w:numId w:val="781"/>
        </w:numPr>
        <w:shd w:val="clear" w:color="auto" w:fill="F2F2F2" w:themeFill="background1" w:themeFillShade="F2"/>
        <w:spacing w:before="100" w:after="0" w:line="240" w:lineRule="auto"/>
        <w:ind w:left="567" w:hanging="567"/>
        <w:contextualSpacing/>
        <w:jc w:val="both"/>
        <w:rPr>
          <w:sz w:val="20"/>
          <w:szCs w:val="20"/>
        </w:rPr>
      </w:pPr>
      <w:r w:rsidRPr="00BF1DF2">
        <w:rPr>
          <w:sz w:val="20"/>
          <w:szCs w:val="20"/>
        </w:rPr>
        <w:t xml:space="preserve">Profilaktyka i przeciwdziałanie problemom uzależnienia wobec osób uzależnionych,  dzieci  i  młodzieży zagrożonych uzależnieniem i wykluczeniem społecznym.  </w:t>
      </w:r>
    </w:p>
    <w:p w:rsidR="00AC09BC" w:rsidRPr="00BF1DF2" w:rsidRDefault="00AC09BC" w:rsidP="00463955">
      <w:pPr>
        <w:pStyle w:val="Akapitzlist"/>
        <w:numPr>
          <w:ilvl w:val="0"/>
          <w:numId w:val="781"/>
        </w:numPr>
        <w:shd w:val="clear" w:color="auto" w:fill="F2F2F2" w:themeFill="background1" w:themeFillShade="F2"/>
        <w:spacing w:before="100" w:after="0" w:line="240" w:lineRule="auto"/>
        <w:ind w:left="567" w:hanging="567"/>
        <w:contextualSpacing/>
        <w:jc w:val="both"/>
        <w:rPr>
          <w:sz w:val="20"/>
          <w:szCs w:val="20"/>
        </w:rPr>
      </w:pPr>
      <w:r w:rsidRPr="00BF1DF2">
        <w:rPr>
          <w:sz w:val="20"/>
          <w:szCs w:val="20"/>
        </w:rPr>
        <w:t>Stworzenie optymalnego systemu pieczy zastępczej.</w:t>
      </w:r>
    </w:p>
    <w:p w:rsidR="00AC09BC" w:rsidRPr="00BF1DF2" w:rsidRDefault="00AC09BC" w:rsidP="00463955">
      <w:pPr>
        <w:pStyle w:val="Akapitzlist"/>
        <w:numPr>
          <w:ilvl w:val="0"/>
          <w:numId w:val="781"/>
        </w:numPr>
        <w:shd w:val="clear" w:color="auto" w:fill="F2F2F2" w:themeFill="background1" w:themeFillShade="F2"/>
        <w:spacing w:before="100" w:after="0" w:line="240" w:lineRule="auto"/>
        <w:ind w:left="567" w:hanging="567"/>
        <w:contextualSpacing/>
        <w:jc w:val="both"/>
        <w:rPr>
          <w:sz w:val="20"/>
          <w:szCs w:val="20"/>
        </w:rPr>
      </w:pPr>
      <w:r w:rsidRPr="00BF1DF2">
        <w:rPr>
          <w:sz w:val="20"/>
          <w:szCs w:val="20"/>
        </w:rPr>
        <w:t>Sprzyjające warunki umożliwiające zaspokojenie potrzeb mieszkaniowych, szczególnie przez młode rodziny, rodziny wielodzietne, osoby w trudnej sytuacji finansowej.</w:t>
      </w:r>
    </w:p>
    <w:p w:rsidR="00AC09BC" w:rsidRPr="00BF1DF2" w:rsidRDefault="00AC09BC" w:rsidP="00463955">
      <w:pPr>
        <w:pStyle w:val="Akapitzlist"/>
        <w:numPr>
          <w:ilvl w:val="0"/>
          <w:numId w:val="781"/>
        </w:numPr>
        <w:shd w:val="clear" w:color="auto" w:fill="F2F2F2" w:themeFill="background1" w:themeFillShade="F2"/>
        <w:spacing w:before="100" w:after="0" w:line="240" w:lineRule="auto"/>
        <w:ind w:left="567" w:hanging="567"/>
        <w:contextualSpacing/>
        <w:jc w:val="both"/>
        <w:rPr>
          <w:sz w:val="20"/>
          <w:szCs w:val="20"/>
        </w:rPr>
      </w:pPr>
      <w:r w:rsidRPr="00BF1DF2">
        <w:rPr>
          <w:sz w:val="20"/>
          <w:szCs w:val="20"/>
        </w:rPr>
        <w:t>Dostępność przestrzenna i finansowa usług wspierających opiekę nad dziećmi i seniorami w rodzinach.</w:t>
      </w:r>
    </w:p>
    <w:p w:rsidR="00AC09BC" w:rsidRPr="00BF1DF2" w:rsidRDefault="00AC09BC" w:rsidP="00463955">
      <w:pPr>
        <w:pStyle w:val="Akapitzlist"/>
        <w:numPr>
          <w:ilvl w:val="0"/>
          <w:numId w:val="781"/>
        </w:numPr>
        <w:shd w:val="clear" w:color="auto" w:fill="F2F2F2" w:themeFill="background1" w:themeFillShade="F2"/>
        <w:spacing w:before="100" w:after="0" w:line="240" w:lineRule="auto"/>
        <w:ind w:left="567" w:hanging="567"/>
        <w:contextualSpacing/>
        <w:jc w:val="both"/>
        <w:rPr>
          <w:sz w:val="20"/>
          <w:szCs w:val="20"/>
        </w:rPr>
      </w:pPr>
      <w:r w:rsidRPr="00BF1DF2">
        <w:rPr>
          <w:sz w:val="20"/>
          <w:szCs w:val="20"/>
        </w:rPr>
        <w:t>Funkcjonowanie sprawnych rozwiązań zapobiegających przenoszeniu się problemów społecznych na kolejne pokolenia lub innych członków rodzin.</w:t>
      </w:r>
    </w:p>
    <w:p w:rsidR="00AC09BC" w:rsidRPr="00BF1DF2" w:rsidRDefault="00AC09BC" w:rsidP="00463955">
      <w:pPr>
        <w:pStyle w:val="Akapitzlist"/>
        <w:shd w:val="clear" w:color="auto" w:fill="F2F2F2" w:themeFill="background1" w:themeFillShade="F2"/>
        <w:spacing w:before="100" w:after="0" w:line="240" w:lineRule="auto"/>
        <w:ind w:left="567" w:hanging="567"/>
        <w:contextualSpacing/>
        <w:jc w:val="both"/>
        <w:rPr>
          <w:sz w:val="20"/>
          <w:szCs w:val="20"/>
        </w:rPr>
      </w:pPr>
    </w:p>
    <w:p w:rsidR="00AC09BC" w:rsidRPr="00BF1DF2" w:rsidRDefault="00AC09BC" w:rsidP="00463955">
      <w:pPr>
        <w:pStyle w:val="Akapitzlist"/>
        <w:numPr>
          <w:ilvl w:val="0"/>
          <w:numId w:val="779"/>
        </w:numPr>
        <w:shd w:val="clear" w:color="auto" w:fill="F2F2F2" w:themeFill="background1" w:themeFillShade="F2"/>
        <w:spacing w:before="100" w:after="0" w:line="240" w:lineRule="auto"/>
        <w:ind w:left="284" w:hanging="284"/>
        <w:contextualSpacing/>
        <w:jc w:val="both"/>
        <w:rPr>
          <w:b/>
        </w:rPr>
      </w:pPr>
      <w:r w:rsidRPr="00BF1DF2">
        <w:rPr>
          <w:b/>
        </w:rPr>
        <w:t>Społeczeństwo obywatelskie</w:t>
      </w:r>
    </w:p>
    <w:p w:rsidR="00AC09BC" w:rsidRPr="00BF1DF2" w:rsidRDefault="00AC09BC" w:rsidP="00463955">
      <w:pPr>
        <w:pStyle w:val="Default"/>
        <w:shd w:val="clear" w:color="auto" w:fill="F2F2F2" w:themeFill="background1" w:themeFillShade="F2"/>
        <w:spacing w:before="120"/>
        <w:jc w:val="both"/>
        <w:rPr>
          <w:color w:val="auto"/>
          <w:sz w:val="20"/>
          <w:szCs w:val="20"/>
        </w:rPr>
      </w:pPr>
      <w:r w:rsidRPr="00BF1DF2">
        <w:rPr>
          <w:rFonts w:cs="Calibri"/>
          <w:b/>
          <w:bCs/>
          <w:color w:val="auto"/>
          <w:sz w:val="20"/>
          <w:szCs w:val="20"/>
        </w:rPr>
        <w:t>Cel strategiczny dla priorytetu CS3:</w:t>
      </w:r>
      <w:r w:rsidRPr="00BF1DF2">
        <w:rPr>
          <w:color w:val="auto"/>
          <w:sz w:val="20"/>
          <w:szCs w:val="20"/>
        </w:rPr>
        <w:t xml:space="preserve"> Silna tożsamość społeczności lokalnej i zaangażowanie w rozwój miasta</w:t>
      </w:r>
    </w:p>
    <w:p w:rsidR="00AC09BC" w:rsidRPr="00BF1DF2" w:rsidRDefault="00AC09BC" w:rsidP="00463955">
      <w:pPr>
        <w:pStyle w:val="Default"/>
        <w:shd w:val="clear" w:color="auto" w:fill="F2F2F2" w:themeFill="background1" w:themeFillShade="F2"/>
        <w:jc w:val="both"/>
        <w:rPr>
          <w:rFonts w:cs="Calibri"/>
          <w:b/>
          <w:bCs/>
          <w:color w:val="auto"/>
          <w:sz w:val="20"/>
          <w:szCs w:val="20"/>
        </w:rPr>
      </w:pPr>
      <w:r w:rsidRPr="00BF1DF2">
        <w:rPr>
          <w:rFonts w:cs="Calibri"/>
          <w:b/>
          <w:bCs/>
          <w:color w:val="auto"/>
          <w:sz w:val="20"/>
          <w:szCs w:val="20"/>
        </w:rPr>
        <w:t>Kierunki działań</w:t>
      </w:r>
    </w:p>
    <w:p w:rsidR="00AC09BC" w:rsidRPr="00BF1DF2" w:rsidRDefault="00AC09BC" w:rsidP="00463955">
      <w:pPr>
        <w:pStyle w:val="Akapitzlist"/>
        <w:numPr>
          <w:ilvl w:val="0"/>
          <w:numId w:val="782"/>
        </w:numPr>
        <w:shd w:val="clear" w:color="auto" w:fill="F2F2F2" w:themeFill="background1" w:themeFillShade="F2"/>
        <w:spacing w:after="0" w:line="240" w:lineRule="auto"/>
        <w:ind w:left="567" w:hanging="567"/>
        <w:contextualSpacing/>
        <w:jc w:val="both"/>
        <w:rPr>
          <w:sz w:val="20"/>
          <w:szCs w:val="20"/>
        </w:rPr>
      </w:pPr>
      <w:r w:rsidRPr="00BF1DF2">
        <w:rPr>
          <w:sz w:val="20"/>
          <w:szCs w:val="20"/>
        </w:rPr>
        <w:t>Zwiększenie partycypacji mieszkańców w zarządzaniu miastem.</w:t>
      </w:r>
    </w:p>
    <w:p w:rsidR="00AC09BC" w:rsidRPr="00BF1DF2" w:rsidRDefault="00AC09BC" w:rsidP="00463955">
      <w:pPr>
        <w:pStyle w:val="Akapitzlist"/>
        <w:numPr>
          <w:ilvl w:val="0"/>
          <w:numId w:val="782"/>
        </w:numPr>
        <w:shd w:val="clear" w:color="auto" w:fill="F2F2F2" w:themeFill="background1" w:themeFillShade="F2"/>
        <w:spacing w:before="100" w:after="0" w:line="240" w:lineRule="auto"/>
        <w:ind w:left="567" w:hanging="567"/>
        <w:contextualSpacing/>
        <w:jc w:val="both"/>
        <w:rPr>
          <w:sz w:val="20"/>
          <w:szCs w:val="20"/>
        </w:rPr>
      </w:pPr>
      <w:r w:rsidRPr="00BF1DF2">
        <w:rPr>
          <w:sz w:val="20"/>
          <w:szCs w:val="20"/>
        </w:rPr>
        <w:t>Zaangażowanie mieszkańców w działania integrujące społeczności lokalne (dziedzictwo kulturowe, działalność społeczna, jakość przestrzeni itp.).</w:t>
      </w:r>
    </w:p>
    <w:p w:rsidR="00AC09BC" w:rsidRPr="00BF1DF2" w:rsidRDefault="00AC09BC" w:rsidP="00463955">
      <w:pPr>
        <w:pStyle w:val="Akapitzlist"/>
        <w:numPr>
          <w:ilvl w:val="0"/>
          <w:numId w:val="782"/>
        </w:numPr>
        <w:shd w:val="clear" w:color="auto" w:fill="F2F2F2" w:themeFill="background1" w:themeFillShade="F2"/>
        <w:spacing w:before="100" w:after="0" w:line="240" w:lineRule="auto"/>
        <w:ind w:left="567" w:hanging="567"/>
        <w:contextualSpacing/>
        <w:jc w:val="both"/>
        <w:rPr>
          <w:sz w:val="20"/>
          <w:szCs w:val="20"/>
        </w:rPr>
      </w:pPr>
      <w:r w:rsidRPr="00BF1DF2">
        <w:rPr>
          <w:sz w:val="20"/>
          <w:szCs w:val="20"/>
        </w:rPr>
        <w:t>Dogodne warunki dla rozwoju sektora pozarządowego, w tym organizacji pozarządowych, grup obywatelskich, grup nieformalnych.</w:t>
      </w:r>
    </w:p>
    <w:p w:rsidR="00E661D6" w:rsidRPr="00BF1DF2" w:rsidRDefault="002C6996" w:rsidP="00463955">
      <w:pPr>
        <w:pStyle w:val="Default"/>
        <w:numPr>
          <w:ilvl w:val="0"/>
          <w:numId w:val="779"/>
        </w:numPr>
        <w:shd w:val="clear" w:color="auto" w:fill="F2F2F2" w:themeFill="background1" w:themeFillShade="F2"/>
        <w:spacing w:before="120"/>
        <w:ind w:left="284" w:hanging="284"/>
        <w:jc w:val="both"/>
        <w:rPr>
          <w:rFonts w:cs="Calibri"/>
          <w:b/>
          <w:bCs/>
          <w:color w:val="auto"/>
          <w:sz w:val="22"/>
          <w:szCs w:val="22"/>
        </w:rPr>
      </w:pPr>
      <w:r w:rsidRPr="00BF1DF2">
        <w:rPr>
          <w:b/>
          <w:color w:val="auto"/>
          <w:sz w:val="22"/>
          <w:szCs w:val="22"/>
        </w:rPr>
        <w:t>Wizerunek miasta</w:t>
      </w:r>
    </w:p>
    <w:p w:rsidR="002C6996" w:rsidRPr="00BF1DF2" w:rsidRDefault="002C6996" w:rsidP="00463955">
      <w:pPr>
        <w:pStyle w:val="Default"/>
        <w:shd w:val="clear" w:color="auto" w:fill="F2F2F2" w:themeFill="background1" w:themeFillShade="F2"/>
        <w:spacing w:before="120"/>
        <w:jc w:val="both"/>
        <w:rPr>
          <w:color w:val="auto"/>
          <w:sz w:val="20"/>
          <w:szCs w:val="20"/>
        </w:rPr>
      </w:pPr>
      <w:r w:rsidRPr="00BF1DF2">
        <w:rPr>
          <w:rFonts w:cs="Calibri"/>
          <w:b/>
          <w:bCs/>
          <w:color w:val="auto"/>
          <w:sz w:val="20"/>
          <w:szCs w:val="20"/>
        </w:rPr>
        <w:t xml:space="preserve">Cel strategiczny dla priorytetu CS4: </w:t>
      </w:r>
      <w:r w:rsidRPr="00BF1DF2">
        <w:rPr>
          <w:color w:val="auto"/>
          <w:sz w:val="20"/>
          <w:szCs w:val="20"/>
        </w:rPr>
        <w:t>Bytom miastem o pozytywnym wizerunku kreowanym przy współudziale mieszkańców</w:t>
      </w:r>
    </w:p>
    <w:p w:rsidR="00E661D6" w:rsidRPr="00BF1DF2" w:rsidRDefault="00E661D6" w:rsidP="00463955">
      <w:pPr>
        <w:pStyle w:val="Default"/>
        <w:shd w:val="clear" w:color="auto" w:fill="F2F2F2" w:themeFill="background1" w:themeFillShade="F2"/>
        <w:jc w:val="both"/>
        <w:rPr>
          <w:rFonts w:cs="Calibri"/>
          <w:b/>
          <w:bCs/>
          <w:color w:val="auto"/>
          <w:sz w:val="20"/>
          <w:szCs w:val="20"/>
        </w:rPr>
      </w:pPr>
      <w:r w:rsidRPr="00BF1DF2">
        <w:rPr>
          <w:rFonts w:cs="Calibri"/>
          <w:b/>
          <w:bCs/>
          <w:color w:val="auto"/>
          <w:sz w:val="20"/>
          <w:szCs w:val="20"/>
        </w:rPr>
        <w:t>Kierunki działań</w:t>
      </w:r>
    </w:p>
    <w:p w:rsidR="00AD5867" w:rsidRPr="00BF1DF2" w:rsidRDefault="00AD5867" w:rsidP="00463955">
      <w:pPr>
        <w:pStyle w:val="Akapitzlist"/>
        <w:numPr>
          <w:ilvl w:val="0"/>
          <w:numId w:val="783"/>
        </w:numPr>
        <w:shd w:val="clear" w:color="auto" w:fill="F2F2F2" w:themeFill="background1" w:themeFillShade="F2"/>
        <w:spacing w:line="240" w:lineRule="auto"/>
        <w:ind w:left="567" w:hanging="567"/>
        <w:contextualSpacing/>
        <w:jc w:val="both"/>
        <w:rPr>
          <w:sz w:val="20"/>
          <w:szCs w:val="20"/>
        </w:rPr>
      </w:pPr>
      <w:r w:rsidRPr="00BF1DF2">
        <w:rPr>
          <w:sz w:val="20"/>
          <w:szCs w:val="20"/>
        </w:rPr>
        <w:t>Wysoki poziom wiedzy mieszkańców o mieście i swojej dzielnicy.</w:t>
      </w:r>
    </w:p>
    <w:p w:rsidR="00AD5867" w:rsidRPr="00BF1DF2" w:rsidRDefault="00AD5867" w:rsidP="00463955">
      <w:pPr>
        <w:pStyle w:val="Akapitzlist"/>
        <w:numPr>
          <w:ilvl w:val="0"/>
          <w:numId w:val="783"/>
        </w:numPr>
        <w:shd w:val="clear" w:color="auto" w:fill="F2F2F2" w:themeFill="background1" w:themeFillShade="F2"/>
        <w:spacing w:before="100" w:line="240" w:lineRule="auto"/>
        <w:ind w:left="567" w:hanging="567"/>
        <w:contextualSpacing/>
        <w:jc w:val="both"/>
        <w:rPr>
          <w:sz w:val="20"/>
          <w:szCs w:val="20"/>
        </w:rPr>
      </w:pPr>
      <w:r w:rsidRPr="00BF1DF2">
        <w:rPr>
          <w:sz w:val="20"/>
          <w:szCs w:val="20"/>
        </w:rPr>
        <w:t>Wzrost wśród mieszkańców poczucia bycia gospodarzem swojego miasta i miejsca zamieszkania.</w:t>
      </w:r>
    </w:p>
    <w:p w:rsidR="00AD5867" w:rsidRPr="00BF1DF2" w:rsidRDefault="00AD5867" w:rsidP="00463955">
      <w:pPr>
        <w:pStyle w:val="Akapitzlist"/>
        <w:numPr>
          <w:ilvl w:val="0"/>
          <w:numId w:val="783"/>
        </w:numPr>
        <w:shd w:val="clear" w:color="auto" w:fill="F2F2F2" w:themeFill="background1" w:themeFillShade="F2"/>
        <w:spacing w:before="100" w:line="240" w:lineRule="auto"/>
        <w:ind w:left="567" w:hanging="567"/>
        <w:contextualSpacing/>
        <w:jc w:val="both"/>
        <w:rPr>
          <w:sz w:val="20"/>
          <w:szCs w:val="20"/>
        </w:rPr>
      </w:pPr>
      <w:r w:rsidRPr="00BF1DF2">
        <w:rPr>
          <w:sz w:val="20"/>
          <w:szCs w:val="20"/>
        </w:rPr>
        <w:t>Liderzy społeczni promowani w społecznościach lokalnych.</w:t>
      </w:r>
    </w:p>
    <w:p w:rsidR="00E661D6" w:rsidRPr="00BF1DF2" w:rsidRDefault="00AD5867" w:rsidP="00463955">
      <w:pPr>
        <w:pStyle w:val="Akapitzlist"/>
        <w:numPr>
          <w:ilvl w:val="0"/>
          <w:numId w:val="783"/>
        </w:numPr>
        <w:shd w:val="clear" w:color="auto" w:fill="F2F2F2" w:themeFill="background1" w:themeFillShade="F2"/>
        <w:spacing w:before="100"/>
        <w:ind w:left="567" w:hanging="567"/>
        <w:contextualSpacing/>
        <w:jc w:val="both"/>
        <w:rPr>
          <w:sz w:val="20"/>
          <w:szCs w:val="20"/>
        </w:rPr>
      </w:pPr>
      <w:r w:rsidRPr="00BF1DF2">
        <w:rPr>
          <w:sz w:val="20"/>
          <w:szCs w:val="20"/>
        </w:rPr>
        <w:lastRenderedPageBreak/>
        <w:t>Poprawa bezpieczeństwa publicznego.</w:t>
      </w:r>
    </w:p>
    <w:p w:rsidR="00C2018F" w:rsidRPr="00BF1DF2" w:rsidRDefault="00C2018F" w:rsidP="00463955">
      <w:pPr>
        <w:pStyle w:val="Akapitzlist"/>
        <w:shd w:val="clear" w:color="auto" w:fill="F2F2F2" w:themeFill="background1" w:themeFillShade="F2"/>
        <w:spacing w:before="100"/>
        <w:ind w:left="677"/>
        <w:contextualSpacing/>
        <w:jc w:val="both"/>
        <w:rPr>
          <w:sz w:val="20"/>
          <w:szCs w:val="20"/>
        </w:rPr>
      </w:pPr>
    </w:p>
    <w:p w:rsidR="002E5B74" w:rsidRPr="00BF1DF2" w:rsidRDefault="00C2018F" w:rsidP="00463955">
      <w:pPr>
        <w:pStyle w:val="Akapitzlist"/>
        <w:numPr>
          <w:ilvl w:val="0"/>
          <w:numId w:val="779"/>
        </w:numPr>
        <w:shd w:val="clear" w:color="auto" w:fill="F2F2F2" w:themeFill="background1" w:themeFillShade="F2"/>
        <w:spacing w:before="100" w:after="0"/>
        <w:ind w:left="284" w:hanging="284"/>
        <w:contextualSpacing/>
        <w:jc w:val="both"/>
        <w:rPr>
          <w:b/>
        </w:rPr>
      </w:pPr>
      <w:r w:rsidRPr="00BF1DF2">
        <w:rPr>
          <w:b/>
        </w:rPr>
        <w:t>Potencjał systemu pomocy społecznej</w:t>
      </w:r>
    </w:p>
    <w:p w:rsidR="00614637" w:rsidRPr="00BF1DF2" w:rsidRDefault="002E5B74" w:rsidP="00463955">
      <w:pPr>
        <w:shd w:val="clear" w:color="auto" w:fill="F2F2F2" w:themeFill="background1" w:themeFillShade="F2"/>
        <w:spacing w:before="120"/>
        <w:jc w:val="both"/>
        <w:rPr>
          <w:rFonts w:cstheme="minorHAnsi"/>
          <w:b/>
          <w:szCs w:val="20"/>
        </w:rPr>
      </w:pPr>
      <w:r w:rsidRPr="00BF1DF2">
        <w:rPr>
          <w:rFonts w:cstheme="minorHAnsi"/>
          <w:b/>
          <w:szCs w:val="20"/>
        </w:rPr>
        <w:t xml:space="preserve">Cel strategiczny dla priorytetu CS5: </w:t>
      </w:r>
      <w:r w:rsidRPr="00BF1DF2">
        <w:rPr>
          <w:rFonts w:cstheme="minorHAnsi"/>
          <w:szCs w:val="20"/>
        </w:rPr>
        <w:t>Sprawny, adaptujący się do potrzeb system pomocy społecznej</w:t>
      </w:r>
    </w:p>
    <w:p w:rsidR="00614637" w:rsidRPr="00BF1DF2" w:rsidRDefault="00614637" w:rsidP="00463955">
      <w:pPr>
        <w:shd w:val="clear" w:color="auto" w:fill="F2F2F2" w:themeFill="background1" w:themeFillShade="F2"/>
        <w:spacing w:before="120"/>
        <w:contextualSpacing/>
        <w:jc w:val="both"/>
        <w:rPr>
          <w:rFonts w:cstheme="minorHAnsi"/>
          <w:b/>
          <w:bCs/>
          <w:szCs w:val="20"/>
        </w:rPr>
      </w:pPr>
    </w:p>
    <w:p w:rsidR="00C2018F" w:rsidRPr="00BF1DF2" w:rsidRDefault="00C2018F" w:rsidP="00463955">
      <w:pPr>
        <w:shd w:val="clear" w:color="auto" w:fill="F2F2F2" w:themeFill="background1" w:themeFillShade="F2"/>
        <w:spacing w:before="120"/>
        <w:contextualSpacing/>
        <w:jc w:val="both"/>
        <w:rPr>
          <w:rFonts w:cstheme="minorHAnsi"/>
          <w:b/>
          <w:szCs w:val="20"/>
        </w:rPr>
      </w:pPr>
      <w:r w:rsidRPr="00BF1DF2">
        <w:rPr>
          <w:rFonts w:cstheme="minorHAnsi"/>
          <w:b/>
          <w:bCs/>
          <w:szCs w:val="20"/>
        </w:rPr>
        <w:t>Kierunki działań</w:t>
      </w:r>
    </w:p>
    <w:p w:rsidR="002E5B74" w:rsidRPr="00BF1DF2" w:rsidRDefault="002E5B74" w:rsidP="00463955">
      <w:pPr>
        <w:pStyle w:val="Akapitzlist"/>
        <w:numPr>
          <w:ilvl w:val="0"/>
          <w:numId w:val="784"/>
        </w:numPr>
        <w:shd w:val="clear" w:color="auto" w:fill="F2F2F2" w:themeFill="background1" w:themeFillShade="F2"/>
        <w:spacing w:after="0" w:line="240" w:lineRule="auto"/>
        <w:ind w:left="567" w:hanging="567"/>
        <w:contextualSpacing/>
        <w:jc w:val="both"/>
        <w:rPr>
          <w:rFonts w:asciiTheme="minorHAnsi" w:hAnsiTheme="minorHAnsi" w:cstheme="minorHAnsi"/>
          <w:sz w:val="20"/>
          <w:szCs w:val="20"/>
        </w:rPr>
      </w:pPr>
      <w:r w:rsidRPr="00BF1DF2">
        <w:rPr>
          <w:rFonts w:asciiTheme="minorHAnsi" w:hAnsiTheme="minorHAnsi" w:cstheme="minorHAnsi"/>
          <w:sz w:val="20"/>
          <w:szCs w:val="20"/>
        </w:rPr>
        <w:t>Finansowe i materialne warunki funkcjonowania pomocy społecznej adekwatne do nakładanych zadań.</w:t>
      </w:r>
    </w:p>
    <w:p w:rsidR="002E5B74" w:rsidRPr="00BF1DF2" w:rsidRDefault="002E5B74" w:rsidP="00463955">
      <w:pPr>
        <w:pStyle w:val="Akapitzlist"/>
        <w:numPr>
          <w:ilvl w:val="0"/>
          <w:numId w:val="784"/>
        </w:numPr>
        <w:shd w:val="clear" w:color="auto" w:fill="F2F2F2" w:themeFill="background1" w:themeFillShade="F2"/>
        <w:spacing w:before="100" w:after="0" w:line="240" w:lineRule="auto"/>
        <w:ind w:left="567" w:hanging="567"/>
        <w:contextualSpacing/>
        <w:jc w:val="both"/>
        <w:rPr>
          <w:rFonts w:asciiTheme="minorHAnsi" w:hAnsiTheme="minorHAnsi" w:cstheme="minorHAnsi"/>
          <w:sz w:val="20"/>
          <w:szCs w:val="20"/>
        </w:rPr>
      </w:pPr>
      <w:r w:rsidRPr="00BF1DF2">
        <w:rPr>
          <w:rFonts w:asciiTheme="minorHAnsi" w:hAnsiTheme="minorHAnsi" w:cstheme="minorHAnsi"/>
          <w:sz w:val="20"/>
          <w:szCs w:val="20"/>
        </w:rPr>
        <w:t>Racjonalizacja infrastruktury pomocy społecznej nawiązująca do przemian społecznych i struktury przestrzennej miasta.</w:t>
      </w:r>
    </w:p>
    <w:p w:rsidR="002E5B74" w:rsidRPr="00BF1DF2" w:rsidRDefault="002E5B74" w:rsidP="00463955">
      <w:pPr>
        <w:pStyle w:val="Akapitzlist"/>
        <w:numPr>
          <w:ilvl w:val="0"/>
          <w:numId w:val="784"/>
        </w:numPr>
        <w:shd w:val="clear" w:color="auto" w:fill="F2F2F2" w:themeFill="background1" w:themeFillShade="F2"/>
        <w:spacing w:before="100" w:after="0" w:line="240" w:lineRule="auto"/>
        <w:ind w:left="567" w:hanging="567"/>
        <w:contextualSpacing/>
        <w:jc w:val="both"/>
        <w:rPr>
          <w:rFonts w:asciiTheme="minorHAnsi" w:hAnsiTheme="minorHAnsi" w:cstheme="minorHAnsi"/>
          <w:sz w:val="20"/>
          <w:szCs w:val="20"/>
        </w:rPr>
      </w:pPr>
      <w:r w:rsidRPr="00BF1DF2">
        <w:rPr>
          <w:rFonts w:asciiTheme="minorHAnsi" w:hAnsiTheme="minorHAnsi" w:cstheme="minorHAnsi"/>
          <w:sz w:val="20"/>
          <w:szCs w:val="20"/>
        </w:rPr>
        <w:t>Wysoki i stale podnoszony poziom kompetencji (kwalifikacje fachowe oraz postawy)  kadr pomocy społecznej.</w:t>
      </w:r>
    </w:p>
    <w:p w:rsidR="002E5B74" w:rsidRPr="00BF1DF2" w:rsidRDefault="002E5B74" w:rsidP="00463955">
      <w:pPr>
        <w:pStyle w:val="Akapitzlist"/>
        <w:numPr>
          <w:ilvl w:val="0"/>
          <w:numId w:val="784"/>
        </w:numPr>
        <w:shd w:val="clear" w:color="auto" w:fill="F2F2F2" w:themeFill="background1" w:themeFillShade="F2"/>
        <w:spacing w:before="100" w:after="0" w:line="240" w:lineRule="auto"/>
        <w:ind w:left="567" w:hanging="567"/>
        <w:contextualSpacing/>
        <w:jc w:val="both"/>
        <w:rPr>
          <w:rFonts w:asciiTheme="minorHAnsi" w:hAnsiTheme="minorHAnsi" w:cstheme="minorHAnsi"/>
          <w:sz w:val="20"/>
          <w:szCs w:val="20"/>
        </w:rPr>
      </w:pPr>
      <w:r w:rsidRPr="00BF1DF2">
        <w:rPr>
          <w:rFonts w:asciiTheme="minorHAnsi" w:hAnsiTheme="minorHAnsi" w:cstheme="minorHAnsi"/>
          <w:sz w:val="20"/>
          <w:szCs w:val="20"/>
        </w:rPr>
        <w:t>Dogodne warunki pracy czyniące z podmiotów pomocy społecznej atrakcyjne miejsce realizacji kariery zawodowej.</w:t>
      </w:r>
    </w:p>
    <w:p w:rsidR="002E5B74" w:rsidRPr="00BF1DF2" w:rsidRDefault="002E5B74" w:rsidP="00463955">
      <w:pPr>
        <w:pStyle w:val="Akapitzlist"/>
        <w:numPr>
          <w:ilvl w:val="0"/>
          <w:numId w:val="784"/>
        </w:numPr>
        <w:shd w:val="clear" w:color="auto" w:fill="F2F2F2" w:themeFill="background1" w:themeFillShade="F2"/>
        <w:spacing w:before="100" w:after="0" w:line="240" w:lineRule="auto"/>
        <w:ind w:left="567" w:hanging="567"/>
        <w:contextualSpacing/>
        <w:jc w:val="both"/>
        <w:rPr>
          <w:rFonts w:asciiTheme="minorHAnsi" w:hAnsiTheme="minorHAnsi" w:cstheme="minorHAnsi"/>
          <w:sz w:val="20"/>
          <w:szCs w:val="20"/>
        </w:rPr>
      </w:pPr>
      <w:r w:rsidRPr="00BF1DF2">
        <w:rPr>
          <w:rFonts w:asciiTheme="minorHAnsi" w:hAnsiTheme="minorHAnsi" w:cstheme="minorHAnsi"/>
          <w:sz w:val="20"/>
          <w:szCs w:val="20"/>
        </w:rPr>
        <w:t>Zmniejszenie przeciążeń pracowników systemu pomocy społecznej sprzyjające podnoszeniu efektywności działań i  indywidualizacji wsparcia dla osób tego wymagających</w:t>
      </w:r>
    </w:p>
    <w:p w:rsidR="002E5B74" w:rsidRPr="00BF1DF2" w:rsidRDefault="002E5B74" w:rsidP="00463955">
      <w:pPr>
        <w:pStyle w:val="Akapitzlist"/>
        <w:numPr>
          <w:ilvl w:val="0"/>
          <w:numId w:val="784"/>
        </w:numPr>
        <w:shd w:val="clear" w:color="auto" w:fill="F2F2F2" w:themeFill="background1" w:themeFillShade="F2"/>
        <w:spacing w:before="100" w:after="0" w:line="240" w:lineRule="auto"/>
        <w:ind w:left="567" w:hanging="567"/>
        <w:contextualSpacing/>
        <w:jc w:val="both"/>
        <w:rPr>
          <w:rFonts w:asciiTheme="minorHAnsi" w:hAnsiTheme="minorHAnsi" w:cstheme="minorHAnsi"/>
          <w:sz w:val="20"/>
          <w:szCs w:val="20"/>
        </w:rPr>
      </w:pPr>
      <w:r w:rsidRPr="00BF1DF2">
        <w:rPr>
          <w:rFonts w:asciiTheme="minorHAnsi" w:hAnsiTheme="minorHAnsi" w:cstheme="minorHAnsi"/>
          <w:sz w:val="20"/>
          <w:szCs w:val="20"/>
        </w:rPr>
        <w:t>Wykorzystywanie nowoczesnych technologii informatycznych do rozwiązywania problemów społecznych oraz inkluzji społecznej.</w:t>
      </w:r>
    </w:p>
    <w:p w:rsidR="00E661D6" w:rsidRPr="00BF1DF2" w:rsidRDefault="002E5B74" w:rsidP="00463955">
      <w:pPr>
        <w:pStyle w:val="Akapitzlist"/>
        <w:numPr>
          <w:ilvl w:val="0"/>
          <w:numId w:val="784"/>
        </w:numPr>
        <w:shd w:val="clear" w:color="auto" w:fill="F2F2F2" w:themeFill="background1" w:themeFillShade="F2"/>
        <w:spacing w:before="100" w:after="0" w:line="240" w:lineRule="auto"/>
        <w:ind w:left="567" w:hanging="567"/>
        <w:contextualSpacing/>
        <w:jc w:val="both"/>
        <w:rPr>
          <w:rFonts w:asciiTheme="minorHAnsi" w:hAnsiTheme="minorHAnsi" w:cstheme="minorHAnsi"/>
          <w:sz w:val="20"/>
          <w:szCs w:val="20"/>
        </w:rPr>
      </w:pPr>
      <w:r w:rsidRPr="00BF1DF2">
        <w:rPr>
          <w:rFonts w:asciiTheme="minorHAnsi" w:hAnsiTheme="minorHAnsi" w:cstheme="minorHAnsi"/>
          <w:sz w:val="20"/>
          <w:szCs w:val="20"/>
        </w:rPr>
        <w:t>Integracja podmiotów pomocy społecznej w zakresie kierunków rozwoju, oferty, wymiany informacji oraz doświadczeń.</w:t>
      </w:r>
    </w:p>
    <w:p w:rsidR="00614637" w:rsidRPr="00BF1DF2" w:rsidRDefault="002E5B74" w:rsidP="00463955">
      <w:pPr>
        <w:pStyle w:val="Default"/>
        <w:numPr>
          <w:ilvl w:val="0"/>
          <w:numId w:val="779"/>
        </w:numPr>
        <w:shd w:val="clear" w:color="auto" w:fill="F2F2F2" w:themeFill="background1" w:themeFillShade="F2"/>
        <w:spacing w:before="100"/>
        <w:ind w:left="284" w:hanging="284"/>
        <w:jc w:val="both"/>
        <w:rPr>
          <w:rFonts w:cs="Calibri"/>
          <w:b/>
          <w:bCs/>
          <w:color w:val="auto"/>
          <w:sz w:val="22"/>
          <w:szCs w:val="22"/>
        </w:rPr>
      </w:pPr>
      <w:r w:rsidRPr="00BF1DF2">
        <w:rPr>
          <w:b/>
          <w:color w:val="auto"/>
          <w:sz w:val="22"/>
          <w:szCs w:val="22"/>
        </w:rPr>
        <w:t>Partnerstwa międzysektorowe na rzecz poprawy sytuacji społecznej</w:t>
      </w:r>
    </w:p>
    <w:p w:rsidR="00614637" w:rsidRPr="00BF1DF2" w:rsidRDefault="002E5B74" w:rsidP="00463955">
      <w:pPr>
        <w:shd w:val="clear" w:color="auto" w:fill="F2F2F2" w:themeFill="background1" w:themeFillShade="F2"/>
        <w:spacing w:before="120"/>
        <w:jc w:val="both"/>
      </w:pPr>
      <w:r w:rsidRPr="00BF1DF2">
        <w:rPr>
          <w:rFonts w:cstheme="minorHAnsi"/>
          <w:b/>
          <w:szCs w:val="20"/>
        </w:rPr>
        <w:t>Cel strategiczny dla priorytetu CS6:</w:t>
      </w:r>
      <w:r w:rsidRPr="00BF1DF2">
        <w:t xml:space="preserve"> Współpraca międzysektorowa podnosząca skuteczność rozwiązywania i zapobiegania problemom społecznym</w:t>
      </w:r>
    </w:p>
    <w:p w:rsidR="002E5B74" w:rsidRPr="00BF1DF2" w:rsidRDefault="002E5B74" w:rsidP="00463955">
      <w:pPr>
        <w:shd w:val="clear" w:color="auto" w:fill="F2F2F2" w:themeFill="background1" w:themeFillShade="F2"/>
        <w:contextualSpacing/>
        <w:jc w:val="both"/>
        <w:rPr>
          <w:rFonts w:cstheme="minorHAnsi"/>
          <w:b/>
          <w:szCs w:val="20"/>
        </w:rPr>
      </w:pPr>
      <w:r w:rsidRPr="00BF1DF2">
        <w:rPr>
          <w:rFonts w:cstheme="minorHAnsi"/>
          <w:b/>
          <w:bCs/>
          <w:szCs w:val="20"/>
        </w:rPr>
        <w:t>Kierunki działań</w:t>
      </w:r>
    </w:p>
    <w:p w:rsidR="002E5B74" w:rsidRPr="00BF1DF2" w:rsidRDefault="002E5B74" w:rsidP="00463955">
      <w:pPr>
        <w:pStyle w:val="Akapitzlist"/>
        <w:numPr>
          <w:ilvl w:val="0"/>
          <w:numId w:val="785"/>
        </w:numPr>
        <w:shd w:val="clear" w:color="auto" w:fill="F2F2F2" w:themeFill="background1" w:themeFillShade="F2"/>
        <w:spacing w:after="0" w:line="240" w:lineRule="auto"/>
        <w:ind w:left="567" w:hanging="567"/>
        <w:contextualSpacing/>
        <w:jc w:val="both"/>
        <w:rPr>
          <w:sz w:val="20"/>
          <w:szCs w:val="20"/>
        </w:rPr>
      </w:pPr>
      <w:r w:rsidRPr="00BF1DF2">
        <w:rPr>
          <w:sz w:val="20"/>
          <w:szCs w:val="20"/>
        </w:rPr>
        <w:t>Wzrost udziału organizacji pozarządowych w realizacji zadań z zakresu polityki społecznej.</w:t>
      </w:r>
    </w:p>
    <w:p w:rsidR="002E5B74" w:rsidRPr="00BF1DF2" w:rsidRDefault="002E5B74" w:rsidP="00463955">
      <w:pPr>
        <w:pStyle w:val="Akapitzlist"/>
        <w:numPr>
          <w:ilvl w:val="0"/>
          <w:numId w:val="785"/>
        </w:numPr>
        <w:shd w:val="clear" w:color="auto" w:fill="F2F2F2" w:themeFill="background1" w:themeFillShade="F2"/>
        <w:spacing w:before="100" w:after="0" w:line="240" w:lineRule="auto"/>
        <w:ind w:left="567" w:hanging="567"/>
        <w:contextualSpacing/>
        <w:jc w:val="both"/>
        <w:rPr>
          <w:sz w:val="20"/>
          <w:szCs w:val="20"/>
        </w:rPr>
      </w:pPr>
      <w:r w:rsidRPr="00BF1DF2">
        <w:rPr>
          <w:sz w:val="20"/>
          <w:szCs w:val="20"/>
        </w:rPr>
        <w:t>Promowanie projektów rozwijających współpracę międzysektorową ukierunkowaną na rozwiązywanie problemów społecznych.</w:t>
      </w:r>
    </w:p>
    <w:p w:rsidR="002E5B74" w:rsidRPr="00BF1DF2" w:rsidRDefault="002E5B74" w:rsidP="00463955">
      <w:pPr>
        <w:pStyle w:val="Akapitzlist"/>
        <w:numPr>
          <w:ilvl w:val="0"/>
          <w:numId w:val="785"/>
        </w:numPr>
        <w:shd w:val="clear" w:color="auto" w:fill="F2F2F2" w:themeFill="background1" w:themeFillShade="F2"/>
        <w:spacing w:before="100" w:after="0" w:line="240" w:lineRule="auto"/>
        <w:ind w:left="567" w:hanging="567"/>
        <w:contextualSpacing/>
        <w:jc w:val="both"/>
        <w:rPr>
          <w:sz w:val="20"/>
          <w:szCs w:val="20"/>
        </w:rPr>
      </w:pPr>
      <w:r w:rsidRPr="00BF1DF2">
        <w:rPr>
          <w:sz w:val="20"/>
          <w:szCs w:val="20"/>
        </w:rPr>
        <w:t>Wzrost poziomu społecznej odpowiedzialności biznesu, w szczególności zaangażowania bytomskich firm w rozwiązywanie problemów społecznych związanych z sytuacją na rynku pracy.</w:t>
      </w:r>
    </w:p>
    <w:p w:rsidR="000C70A4" w:rsidRPr="00BF1DF2" w:rsidRDefault="000C70A4" w:rsidP="000A01FB">
      <w:pPr>
        <w:pStyle w:val="Tekstpodstawowy2"/>
        <w:shd w:val="clear" w:color="auto" w:fill="FFFFFF" w:themeFill="background1"/>
        <w:autoSpaceDE/>
        <w:autoSpaceDN/>
        <w:adjustRightInd/>
        <w:spacing w:before="120"/>
        <w:ind w:firstLine="708"/>
        <w:rPr>
          <w:rFonts w:ascii="Calibri" w:hAnsi="Calibri" w:cs="Calibri"/>
          <w:szCs w:val="20"/>
        </w:rPr>
      </w:pPr>
      <w:r w:rsidRPr="00BF1DF2">
        <w:rPr>
          <w:rFonts w:ascii="Calibri" w:hAnsi="Calibri" w:cs="Calibri"/>
          <w:szCs w:val="20"/>
        </w:rPr>
        <w:t>Powyższe cele będą realizowane przez wpisane do „Gminnego Progr</w:t>
      </w:r>
      <w:r w:rsidR="00C04EB1" w:rsidRPr="00BF1DF2">
        <w:rPr>
          <w:rFonts w:ascii="Calibri" w:hAnsi="Calibri" w:cs="Calibri"/>
          <w:szCs w:val="20"/>
        </w:rPr>
        <w:t xml:space="preserve">amu Rewitalizacji. Bytom 2020+”, </w:t>
      </w:r>
      <w:r w:rsidRPr="00BF1DF2">
        <w:rPr>
          <w:rFonts w:ascii="Calibri" w:hAnsi="Calibri" w:cs="Calibri"/>
          <w:szCs w:val="20"/>
        </w:rPr>
        <w:t>planowane do realiz</w:t>
      </w:r>
      <w:r w:rsidR="007C05BF" w:rsidRPr="00BF1DF2">
        <w:rPr>
          <w:rFonts w:ascii="Calibri" w:hAnsi="Calibri" w:cs="Calibri"/>
          <w:szCs w:val="20"/>
        </w:rPr>
        <w:t>acji przedsięwzięcia rewitalizacyjne</w:t>
      </w:r>
      <w:r w:rsidRPr="00BF1DF2">
        <w:rPr>
          <w:rFonts w:ascii="Calibri" w:hAnsi="Calibri" w:cs="Calibri"/>
          <w:szCs w:val="20"/>
        </w:rPr>
        <w:t xml:space="preserve"> obejmujące działania ukierunkowane</w:t>
      </w:r>
      <w:r w:rsidR="00C82D46" w:rsidRPr="00BF1DF2">
        <w:rPr>
          <w:rFonts w:ascii="Calibri" w:hAnsi="Calibri" w:cs="Calibri"/>
          <w:szCs w:val="20"/>
        </w:rPr>
        <w:t xml:space="preserve"> m.in.</w:t>
      </w:r>
      <w:r w:rsidRPr="00BF1DF2">
        <w:rPr>
          <w:rFonts w:ascii="Calibri" w:hAnsi="Calibri" w:cs="Calibri"/>
          <w:szCs w:val="20"/>
        </w:rPr>
        <w:t xml:space="preserve"> na niwelowanie istniejących negatywnych zjawisk społecznych, w</w:t>
      </w:r>
      <w:r w:rsidR="007804F3" w:rsidRPr="00BF1DF2">
        <w:rPr>
          <w:rFonts w:ascii="Calibri" w:hAnsi="Calibri" w:cs="Calibri"/>
          <w:szCs w:val="20"/>
        </w:rPr>
        <w:t> </w:t>
      </w:r>
      <w:r w:rsidRPr="00BF1DF2">
        <w:rPr>
          <w:rFonts w:ascii="Calibri" w:hAnsi="Calibri" w:cs="Calibri"/>
          <w:szCs w:val="20"/>
        </w:rPr>
        <w:t xml:space="preserve">szczególności bezrobocia, ubóstwa, </w:t>
      </w:r>
      <w:r w:rsidR="009B107E" w:rsidRPr="00BF1DF2">
        <w:rPr>
          <w:rFonts w:ascii="Calibri" w:hAnsi="Calibri" w:cs="Calibri"/>
          <w:szCs w:val="20"/>
        </w:rPr>
        <w:t xml:space="preserve">wykluczenia społecznego, </w:t>
      </w:r>
      <w:r w:rsidRPr="00BF1DF2">
        <w:rPr>
          <w:rFonts w:ascii="Calibri" w:hAnsi="Calibri" w:cs="Calibri"/>
          <w:szCs w:val="20"/>
        </w:rPr>
        <w:t>przestępczości czy niskiego poziomu kapitału społecznego.</w:t>
      </w:r>
    </w:p>
    <w:p w:rsidR="002E3869" w:rsidRPr="00BF1DF2" w:rsidRDefault="0037287A" w:rsidP="00463955">
      <w:pPr>
        <w:pStyle w:val="Default"/>
        <w:shd w:val="clear" w:color="auto" w:fill="F2F2F2" w:themeFill="background1" w:themeFillShade="F2"/>
        <w:spacing w:before="120"/>
        <w:ind w:firstLine="708"/>
        <w:jc w:val="both"/>
        <w:rPr>
          <w:rFonts w:cs="Calibri"/>
          <w:color w:val="auto"/>
          <w:sz w:val="20"/>
          <w:szCs w:val="20"/>
        </w:rPr>
      </w:pPr>
      <w:r w:rsidRPr="00BF1DF2">
        <w:rPr>
          <w:rFonts w:cs="Calibri"/>
          <w:color w:val="auto"/>
          <w:sz w:val="20"/>
          <w:szCs w:val="20"/>
        </w:rPr>
        <w:t xml:space="preserve">Strategia rozwiązywania problemów społecznych w Bytomiu opiera się na poniższych priorytetach wynikających z przyjętych założeń strategicznych, wyników diagnozy oraz wizji sytuacji społecznej: </w:t>
      </w:r>
    </w:p>
    <w:p w:rsidR="0037287A" w:rsidRPr="00BF1DF2" w:rsidRDefault="0037287A" w:rsidP="00463955">
      <w:pPr>
        <w:numPr>
          <w:ilvl w:val="0"/>
          <w:numId w:val="791"/>
        </w:numPr>
        <w:shd w:val="clear" w:color="auto" w:fill="F2F2F2" w:themeFill="background1" w:themeFillShade="F2"/>
        <w:ind w:left="714" w:hanging="357"/>
        <w:jc w:val="both"/>
        <w:rPr>
          <w:rFonts w:ascii="Calibri" w:hAnsi="Calibri" w:cs="Calibri"/>
          <w:szCs w:val="20"/>
        </w:rPr>
      </w:pPr>
      <w:bookmarkStart w:id="1039" w:name="_Hlk69824539"/>
      <w:r w:rsidRPr="00BF1DF2">
        <w:rPr>
          <w:rFonts w:ascii="Calibri" w:hAnsi="Calibri" w:cs="Calibri"/>
          <w:szCs w:val="20"/>
        </w:rPr>
        <w:t xml:space="preserve">poszerzania przestrzeni szans rozwoju mieszkańców i wzrostu samodzielności mieszkańców, rozwoju kompetencji zawodowych i cywilizacyjnych, uaktywniania i wykorzystywania ich talentów, pobudzania przedsiębiorczości społecznej, </w:t>
      </w:r>
    </w:p>
    <w:p w:rsidR="0037287A" w:rsidRPr="00BF1DF2" w:rsidRDefault="0037287A" w:rsidP="00463955">
      <w:pPr>
        <w:numPr>
          <w:ilvl w:val="0"/>
          <w:numId w:val="791"/>
        </w:numPr>
        <w:shd w:val="clear" w:color="auto" w:fill="F2F2F2" w:themeFill="background1" w:themeFillShade="F2"/>
        <w:ind w:left="714" w:hanging="357"/>
        <w:jc w:val="both"/>
        <w:rPr>
          <w:rFonts w:ascii="Calibri" w:hAnsi="Calibri" w:cs="Calibri"/>
          <w:szCs w:val="20"/>
        </w:rPr>
      </w:pPr>
      <w:r w:rsidRPr="00BF1DF2">
        <w:rPr>
          <w:rFonts w:ascii="Calibri" w:hAnsi="Calibri" w:cs="Calibri"/>
          <w:szCs w:val="20"/>
        </w:rPr>
        <w:t>dostarczania możliwości dla rozwoju rodzin,, w tym wspierania procesu opiekuńczo-wychowawczego oraz godzenia obowiązków rodzinnych z zawodowymi,</w:t>
      </w:r>
    </w:p>
    <w:p w:rsidR="0037287A" w:rsidRPr="00BF1DF2" w:rsidRDefault="0037287A" w:rsidP="00463955">
      <w:pPr>
        <w:numPr>
          <w:ilvl w:val="0"/>
          <w:numId w:val="791"/>
        </w:numPr>
        <w:shd w:val="clear" w:color="auto" w:fill="F2F2F2" w:themeFill="background1" w:themeFillShade="F2"/>
        <w:ind w:left="714" w:hanging="357"/>
        <w:jc w:val="both"/>
        <w:rPr>
          <w:rFonts w:ascii="Calibri" w:hAnsi="Calibri" w:cs="Calibri"/>
          <w:szCs w:val="20"/>
        </w:rPr>
      </w:pPr>
      <w:r w:rsidRPr="00BF1DF2">
        <w:rPr>
          <w:rFonts w:ascii="Calibri" w:hAnsi="Calibri" w:cs="Calibri"/>
          <w:szCs w:val="20"/>
        </w:rPr>
        <w:t>podnoszenia aktywności społecznej, wzmacniania kapitału relacyjnego i kapitału zaufania w mieście, integracji różnych grup społecznych, przyjmowania odpowiedzialności mieszkańców za innych członków społeczności lokalnej,</w:t>
      </w:r>
    </w:p>
    <w:p w:rsidR="0037287A" w:rsidRPr="00BF1DF2" w:rsidRDefault="0037287A" w:rsidP="00463955">
      <w:pPr>
        <w:numPr>
          <w:ilvl w:val="0"/>
          <w:numId w:val="791"/>
        </w:numPr>
        <w:shd w:val="clear" w:color="auto" w:fill="F2F2F2" w:themeFill="background1" w:themeFillShade="F2"/>
        <w:ind w:left="714" w:hanging="357"/>
        <w:jc w:val="both"/>
        <w:rPr>
          <w:rFonts w:ascii="Calibri" w:hAnsi="Calibri" w:cs="Calibri"/>
          <w:szCs w:val="20"/>
        </w:rPr>
      </w:pPr>
      <w:r w:rsidRPr="00BF1DF2">
        <w:rPr>
          <w:rFonts w:ascii="Calibri" w:hAnsi="Calibri" w:cs="Calibri"/>
          <w:szCs w:val="20"/>
        </w:rPr>
        <w:t>przemiany wizerunkowej w kierunku postrzegania Bytomia jako miasta ludzi aktywnych i związanych ze swoim miejscem zamieszkania.</w:t>
      </w:r>
    </w:p>
    <w:p w:rsidR="0037287A" w:rsidRPr="00BF1DF2" w:rsidRDefault="0037287A" w:rsidP="00463955">
      <w:pPr>
        <w:numPr>
          <w:ilvl w:val="0"/>
          <w:numId w:val="791"/>
        </w:numPr>
        <w:shd w:val="clear" w:color="auto" w:fill="F2F2F2" w:themeFill="background1" w:themeFillShade="F2"/>
        <w:ind w:left="714" w:hanging="357"/>
        <w:jc w:val="both"/>
        <w:rPr>
          <w:rFonts w:ascii="Calibri" w:hAnsi="Calibri" w:cs="Calibri"/>
          <w:szCs w:val="20"/>
        </w:rPr>
      </w:pPr>
      <w:r w:rsidRPr="00BF1DF2">
        <w:rPr>
          <w:rFonts w:ascii="Calibri" w:hAnsi="Calibri" w:cs="Calibri"/>
          <w:szCs w:val="20"/>
        </w:rPr>
        <w:t>stałego doskonalenia i poszerzania możliwości działania pomocy społecznej w aspekcie  warunków pracy i kompetencji,</w:t>
      </w:r>
    </w:p>
    <w:p w:rsidR="0037287A" w:rsidRPr="00BF1DF2" w:rsidRDefault="0037287A" w:rsidP="00463955">
      <w:pPr>
        <w:numPr>
          <w:ilvl w:val="0"/>
          <w:numId w:val="791"/>
        </w:numPr>
        <w:shd w:val="clear" w:color="auto" w:fill="F2F2F2" w:themeFill="background1" w:themeFillShade="F2"/>
        <w:ind w:left="714" w:hanging="357"/>
        <w:jc w:val="both"/>
        <w:rPr>
          <w:rFonts w:ascii="Calibri" w:hAnsi="Calibri" w:cs="Calibri"/>
          <w:szCs w:val="20"/>
        </w:rPr>
      </w:pPr>
      <w:r w:rsidRPr="00BF1DF2">
        <w:rPr>
          <w:rFonts w:ascii="Calibri" w:hAnsi="Calibri" w:cs="Calibri"/>
          <w:szCs w:val="20"/>
        </w:rPr>
        <w:t>rozwijania partnerstw międzysektorowych wspierających nie tylko rozwiązywanie problemów społecznych, ale przede wszystkim usuwanie ich przyczyn.</w:t>
      </w:r>
    </w:p>
    <w:bookmarkEnd w:id="1039"/>
    <w:p w:rsidR="000C70A4" w:rsidRPr="00BF1DF2" w:rsidRDefault="000C70A4" w:rsidP="00463955">
      <w:pPr>
        <w:shd w:val="clear" w:color="auto" w:fill="F2F2F2" w:themeFill="background1" w:themeFillShade="F2"/>
        <w:spacing w:before="120"/>
        <w:ind w:firstLine="708"/>
        <w:jc w:val="both"/>
        <w:rPr>
          <w:rFonts w:ascii="Calibri" w:hAnsi="Calibri" w:cs="Calibri"/>
          <w:szCs w:val="20"/>
        </w:rPr>
      </w:pPr>
      <w:r w:rsidRPr="00BF1DF2">
        <w:rPr>
          <w:rFonts w:ascii="Calibri" w:hAnsi="Calibri" w:cs="Calibri"/>
          <w:szCs w:val="20"/>
        </w:rPr>
        <w:lastRenderedPageBreak/>
        <w:t xml:space="preserve">Działania w takim zakresie stanowią odpowiedź na występujące wysokie nagromadzenie </w:t>
      </w:r>
      <w:r w:rsidR="007E7237" w:rsidRPr="00BF1DF2">
        <w:rPr>
          <w:rFonts w:ascii="Calibri" w:hAnsi="Calibri" w:cs="Calibri"/>
          <w:szCs w:val="20"/>
        </w:rPr>
        <w:t xml:space="preserve">zdiagnozowanych </w:t>
      </w:r>
      <w:r w:rsidRPr="00BF1DF2">
        <w:rPr>
          <w:rFonts w:ascii="Calibri" w:hAnsi="Calibri" w:cs="Calibri"/>
          <w:szCs w:val="20"/>
        </w:rPr>
        <w:t>problemów społecznych</w:t>
      </w:r>
      <w:r w:rsidR="007E7237" w:rsidRPr="00BF1DF2">
        <w:rPr>
          <w:rFonts w:ascii="Calibri" w:hAnsi="Calibri" w:cs="Calibri"/>
          <w:szCs w:val="20"/>
        </w:rPr>
        <w:t xml:space="preserve"> w wyznaczonych podobszarach rewitalizacji</w:t>
      </w:r>
      <w:r w:rsidRPr="00BF1DF2">
        <w:rPr>
          <w:rFonts w:ascii="Calibri" w:hAnsi="Calibri" w:cs="Calibri"/>
          <w:szCs w:val="20"/>
        </w:rPr>
        <w:t>, a równocześnie są elementem rewitalizacji społecznej miasta poprzez realizację zadań bezpośrednio związanych z procesem kompleksowej rewitalizacji.</w:t>
      </w:r>
    </w:p>
    <w:p w:rsidR="007E7237" w:rsidRPr="00BF1DF2" w:rsidRDefault="008F2621" w:rsidP="00463955">
      <w:pPr>
        <w:shd w:val="clear" w:color="auto" w:fill="F2F2F2" w:themeFill="background1" w:themeFillShade="F2"/>
        <w:ind w:firstLine="708"/>
        <w:jc w:val="both"/>
        <w:rPr>
          <w:rFonts w:ascii="Calibri" w:hAnsi="Calibri" w:cs="Calibri"/>
          <w:szCs w:val="20"/>
        </w:rPr>
      </w:pPr>
      <w:r w:rsidRPr="00BF1DF2">
        <w:rPr>
          <w:rFonts w:ascii="Calibri" w:hAnsi="Calibri" w:cs="Calibri"/>
          <w:szCs w:val="20"/>
        </w:rPr>
        <w:t>„Gminny Program</w:t>
      </w:r>
      <w:r w:rsidR="009B107E" w:rsidRPr="00BF1DF2">
        <w:rPr>
          <w:rFonts w:ascii="Calibri" w:hAnsi="Calibri" w:cs="Calibri"/>
          <w:szCs w:val="20"/>
        </w:rPr>
        <w:t xml:space="preserve"> Rewitalizacji. Bytom 2020+” realizuje cele </w:t>
      </w:r>
      <w:r w:rsidR="008F78D0" w:rsidRPr="00BF1DF2">
        <w:rPr>
          <w:rFonts w:cs="Calibri"/>
          <w:szCs w:val="20"/>
        </w:rPr>
        <w:t>„Strategii Rozwiązywania Problemów Społecznych Bytomia na lata 2021-2026”</w:t>
      </w:r>
      <w:r w:rsidRPr="00BF1DF2">
        <w:rPr>
          <w:rFonts w:ascii="Calibri" w:hAnsi="Calibri" w:cs="Calibri"/>
          <w:szCs w:val="20"/>
        </w:rPr>
        <w:t>, a jego wdrożenie spowoduje</w:t>
      </w:r>
      <w:r w:rsidR="009B107E" w:rsidRPr="00BF1DF2">
        <w:rPr>
          <w:rFonts w:ascii="Calibri" w:hAnsi="Calibri" w:cs="Calibri"/>
          <w:szCs w:val="20"/>
        </w:rPr>
        <w:t xml:space="preserve"> pozytywne</w:t>
      </w:r>
      <w:r w:rsidRPr="00BF1DF2">
        <w:rPr>
          <w:rFonts w:ascii="Calibri" w:hAnsi="Calibri" w:cs="Calibri"/>
          <w:szCs w:val="20"/>
        </w:rPr>
        <w:t xml:space="preserve"> z</w:t>
      </w:r>
      <w:r w:rsidR="00C82D46" w:rsidRPr="00BF1DF2">
        <w:rPr>
          <w:rFonts w:ascii="Calibri" w:hAnsi="Calibri" w:cs="Calibri"/>
          <w:szCs w:val="20"/>
        </w:rPr>
        <w:t xml:space="preserve">miany w sferze </w:t>
      </w:r>
      <w:r w:rsidRPr="00BF1DF2">
        <w:rPr>
          <w:rFonts w:ascii="Calibri" w:hAnsi="Calibri" w:cs="Calibri"/>
          <w:szCs w:val="20"/>
        </w:rPr>
        <w:t>społeczn</w:t>
      </w:r>
      <w:r w:rsidR="00C82D46" w:rsidRPr="00BF1DF2">
        <w:rPr>
          <w:rFonts w:ascii="Calibri" w:hAnsi="Calibri" w:cs="Calibri"/>
          <w:szCs w:val="20"/>
        </w:rPr>
        <w:t>ej</w:t>
      </w:r>
      <w:r w:rsidR="007E7237" w:rsidRPr="00BF1DF2">
        <w:rPr>
          <w:rFonts w:ascii="Calibri" w:hAnsi="Calibri" w:cs="Calibri"/>
          <w:szCs w:val="20"/>
        </w:rPr>
        <w:t>.</w:t>
      </w:r>
    </w:p>
    <w:p w:rsidR="005204FC" w:rsidRPr="00751086" w:rsidRDefault="005204FC">
      <w:pPr>
        <w:ind w:firstLine="567"/>
        <w:jc w:val="both"/>
        <w:rPr>
          <w:rFonts w:ascii="Calibri" w:hAnsi="Calibri" w:cs="Calibri"/>
          <w:color w:val="FF0000"/>
          <w:szCs w:val="20"/>
        </w:rPr>
      </w:pPr>
    </w:p>
    <w:p w:rsidR="000C70A4" w:rsidRPr="00A06D20" w:rsidRDefault="00A750DC" w:rsidP="001735A0">
      <w:pPr>
        <w:pStyle w:val="Nagwek4"/>
        <w:spacing w:before="0" w:after="0"/>
        <w:rPr>
          <w:rFonts w:cs="Calibri"/>
          <w:i w:val="0"/>
          <w:color w:val="3366FF"/>
          <w:szCs w:val="22"/>
        </w:rPr>
      </w:pPr>
      <w:bookmarkStart w:id="1040" w:name="_Toc460173680"/>
      <w:bookmarkStart w:id="1041" w:name="_Toc460313264"/>
      <w:r>
        <w:rPr>
          <w:rFonts w:cs="Calibri"/>
          <w:i w:val="0"/>
          <w:color w:val="3366FF"/>
          <w:szCs w:val="22"/>
        </w:rPr>
        <w:t>Studium uwarunkowań i kierunków zagospodarowania p</w:t>
      </w:r>
      <w:r w:rsidR="000C70A4" w:rsidRPr="00A06D20">
        <w:rPr>
          <w:rFonts w:cs="Calibri"/>
          <w:i w:val="0"/>
          <w:color w:val="3366FF"/>
          <w:szCs w:val="22"/>
        </w:rPr>
        <w:t>rzestrzennego Gminy Bytom</w:t>
      </w:r>
      <w:bookmarkEnd w:id="1040"/>
      <w:bookmarkEnd w:id="1041"/>
    </w:p>
    <w:p w:rsidR="009207D4" w:rsidRPr="009207D4" w:rsidRDefault="00F42B19" w:rsidP="00F42B19">
      <w:pPr>
        <w:tabs>
          <w:tab w:val="left" w:pos="5190"/>
        </w:tabs>
        <w:rPr>
          <w:szCs w:val="20"/>
        </w:rPr>
      </w:pPr>
      <w:r>
        <w:rPr>
          <w:szCs w:val="20"/>
        </w:rPr>
        <w:tab/>
      </w:r>
    </w:p>
    <w:p w:rsidR="000C70A4" w:rsidRDefault="000C70A4" w:rsidP="002924F7">
      <w:pPr>
        <w:ind w:firstLine="708"/>
        <w:jc w:val="both"/>
        <w:rPr>
          <w:rFonts w:ascii="Calibri" w:hAnsi="Calibri" w:cs="Calibri"/>
          <w:szCs w:val="20"/>
        </w:rPr>
      </w:pPr>
      <w:r>
        <w:rPr>
          <w:rFonts w:ascii="Calibri" w:hAnsi="Calibri" w:cs="Calibri"/>
          <w:szCs w:val="20"/>
        </w:rPr>
        <w:t xml:space="preserve">Studium uwarunkowań i kierunków zagospodarowania przestrzennego jest podstawowym strategicznym dokumentem kreującym politykę przestrzenną gminy, zawierającym uwarunkowania dla kierunków zagospodarowania przestrzennego terenów zurbanizowanych i niezurbanizowanych miasta. </w:t>
      </w:r>
    </w:p>
    <w:p w:rsidR="000C70A4" w:rsidRDefault="00C82D46" w:rsidP="0015580B">
      <w:pPr>
        <w:autoSpaceDE w:val="0"/>
        <w:autoSpaceDN w:val="0"/>
        <w:adjustRightInd w:val="0"/>
        <w:ind w:firstLine="709"/>
        <w:jc w:val="both"/>
        <w:rPr>
          <w:rFonts w:ascii="Calibri" w:hAnsi="Calibri" w:cs="Calibri"/>
          <w:szCs w:val="20"/>
        </w:rPr>
      </w:pPr>
      <w:r>
        <w:rPr>
          <w:rFonts w:ascii="Calibri" w:hAnsi="Calibri" w:cs="Calibri"/>
          <w:szCs w:val="20"/>
        </w:rPr>
        <w:t>Zapisy niniejszego GPR</w:t>
      </w:r>
      <w:r w:rsidR="00677C65">
        <w:rPr>
          <w:rFonts w:ascii="Calibri" w:hAnsi="Calibri" w:cs="Calibri"/>
          <w:szCs w:val="20"/>
        </w:rPr>
        <w:t xml:space="preserve"> są powiązane z</w:t>
      </w:r>
      <w:r>
        <w:rPr>
          <w:rFonts w:ascii="Calibri" w:hAnsi="Calibri" w:cs="Calibri"/>
          <w:szCs w:val="20"/>
        </w:rPr>
        <w:t xml:space="preserve"> obowiązującym studium</w:t>
      </w:r>
      <w:r w:rsidR="00677C65">
        <w:rPr>
          <w:rFonts w:ascii="Calibri" w:hAnsi="Calibri" w:cs="Calibri"/>
          <w:szCs w:val="20"/>
        </w:rPr>
        <w:t xml:space="preserve">. </w:t>
      </w:r>
      <w:r w:rsidR="000C70A4">
        <w:rPr>
          <w:rFonts w:ascii="Calibri" w:hAnsi="Calibri" w:cs="Calibri"/>
          <w:szCs w:val="20"/>
        </w:rPr>
        <w:t>W obowiązującym dokumencie w</w:t>
      </w:r>
      <w:r w:rsidR="002924F7">
        <w:rPr>
          <w:rFonts w:ascii="Calibri" w:hAnsi="Calibri" w:cs="Calibri"/>
          <w:szCs w:val="20"/>
        </w:rPr>
        <w:t> </w:t>
      </w:r>
      <w:r w:rsidR="000C70A4">
        <w:rPr>
          <w:rFonts w:ascii="Calibri" w:hAnsi="Calibri" w:cs="Calibri"/>
          <w:szCs w:val="20"/>
        </w:rPr>
        <w:t>tomie II „Kierunki Zagospodarowania Przestrzennego” zapisano, iż podstawowym celem wszystkich określonych w</w:t>
      </w:r>
      <w:r w:rsidR="008D312B">
        <w:rPr>
          <w:rFonts w:ascii="Calibri" w:hAnsi="Calibri" w:cs="Calibri"/>
          <w:szCs w:val="20"/>
        </w:rPr>
        <w:t> </w:t>
      </w:r>
      <w:r w:rsidR="000C70A4">
        <w:rPr>
          <w:rFonts w:ascii="Calibri" w:hAnsi="Calibri" w:cs="Calibri"/>
          <w:szCs w:val="20"/>
        </w:rPr>
        <w:t xml:space="preserve">studium kierunków rozwoju Bytomia jest </w:t>
      </w:r>
      <w:r w:rsidR="000C70A4">
        <w:rPr>
          <w:rFonts w:ascii="Calibri" w:hAnsi="Calibri" w:cs="Calibri"/>
          <w:b/>
          <w:bCs/>
          <w:szCs w:val="20"/>
        </w:rPr>
        <w:t>„zmiana wizerunku miasta z miasta monofunkcyjnego przemysłowego na miasto wielofunkcyjne, dobrego miejsca zamieszkania, rozwoju nowoczesnych form przedsiębiorczości i</w:t>
      </w:r>
      <w:r w:rsidR="00677C65">
        <w:rPr>
          <w:rFonts w:ascii="Calibri" w:hAnsi="Calibri" w:cs="Calibri"/>
          <w:b/>
          <w:bCs/>
          <w:szCs w:val="20"/>
        </w:rPr>
        <w:t> </w:t>
      </w:r>
      <w:r w:rsidR="000C70A4">
        <w:rPr>
          <w:rFonts w:ascii="Calibri" w:hAnsi="Calibri" w:cs="Calibri"/>
          <w:b/>
          <w:bCs/>
          <w:szCs w:val="20"/>
        </w:rPr>
        <w:t>aktywności, realizowanego w przyjaznym zurbanizowanym środowisku, z jednoczesnym zachowaniem wysokich standardów środowiska przyrodniczego, stanowiącego objęty ochroną niezurbanizowany obszar miasta”</w:t>
      </w:r>
      <w:r w:rsidR="000C70A4">
        <w:rPr>
          <w:rFonts w:ascii="Calibri" w:hAnsi="Calibri" w:cs="Calibri"/>
          <w:szCs w:val="20"/>
        </w:rPr>
        <w:t>, co jest spójne z zapisami niniejszego programu.</w:t>
      </w:r>
    </w:p>
    <w:p w:rsidR="000C70A4" w:rsidRDefault="000C70A4" w:rsidP="002924F7">
      <w:pPr>
        <w:pStyle w:val="Tekstpodstawowy2"/>
        <w:ind w:firstLine="708"/>
        <w:rPr>
          <w:rFonts w:ascii="Calibri" w:hAnsi="Calibri" w:cs="Calibri"/>
          <w:szCs w:val="20"/>
        </w:rPr>
      </w:pPr>
      <w:r>
        <w:rPr>
          <w:rFonts w:ascii="Calibri" w:hAnsi="Calibri" w:cs="Calibri"/>
          <w:szCs w:val="20"/>
        </w:rPr>
        <w:t>Cele rozwojowe ukierunkowane są na szybkie przeprowadzenie pozytywnych zmian w obszarach: społecznym, gospodarczym, środowiskowym, kulturalnym i materialnym, dla przeprowadzenia których studium jest podstawowym strategicznym dokumentem, decydującym o planowanych działaniach. Podkreśla się między innymi konieczność:</w:t>
      </w:r>
    </w:p>
    <w:p w:rsidR="000C70A4" w:rsidRDefault="000C70A4" w:rsidP="00AE4F79">
      <w:pPr>
        <w:numPr>
          <w:ilvl w:val="0"/>
          <w:numId w:val="11"/>
        </w:numPr>
        <w:ind w:left="714" w:hanging="357"/>
        <w:jc w:val="both"/>
        <w:rPr>
          <w:rFonts w:ascii="Calibri" w:hAnsi="Calibri" w:cs="Calibri"/>
          <w:szCs w:val="20"/>
        </w:rPr>
      </w:pPr>
      <w:r>
        <w:rPr>
          <w:rFonts w:ascii="Calibri" w:hAnsi="Calibri" w:cs="Calibri"/>
          <w:szCs w:val="20"/>
        </w:rPr>
        <w:t xml:space="preserve">ochrony, konserwacji i ukierunkowanego przekształcania obszaru ścisłego centrum miasta, pełniącego unikatową rolę w strukturze Bytomia oraz Górnośląskiego Obszaru Metropolitalnego aktywizującej </w:t>
      </w:r>
      <w:r w:rsidR="00344786">
        <w:rPr>
          <w:rFonts w:ascii="Calibri" w:hAnsi="Calibri" w:cs="Calibri"/>
          <w:szCs w:val="20"/>
        </w:rPr>
        <w:br/>
      </w:r>
      <w:r>
        <w:rPr>
          <w:rFonts w:ascii="Calibri" w:hAnsi="Calibri" w:cs="Calibri"/>
          <w:szCs w:val="20"/>
        </w:rPr>
        <w:t>w sposób zrównoważony wszystkie obszary przestrzeni publicznych oraz poszcz</w:t>
      </w:r>
      <w:r w:rsidR="008D312B">
        <w:rPr>
          <w:rFonts w:ascii="Calibri" w:hAnsi="Calibri" w:cs="Calibri"/>
          <w:szCs w:val="20"/>
        </w:rPr>
        <w:t xml:space="preserve">ególnych kwartałów decydujących </w:t>
      </w:r>
      <w:r>
        <w:rPr>
          <w:rFonts w:ascii="Calibri" w:hAnsi="Calibri" w:cs="Calibri"/>
          <w:szCs w:val="20"/>
        </w:rPr>
        <w:t>o jakości struktury urbanistycznej, standardach zabudowy, standardach życia i</w:t>
      </w:r>
      <w:r w:rsidR="00857F09">
        <w:rPr>
          <w:rFonts w:ascii="Calibri" w:hAnsi="Calibri" w:cs="Calibri"/>
          <w:szCs w:val="20"/>
        </w:rPr>
        <w:t> </w:t>
      </w:r>
      <w:r>
        <w:rPr>
          <w:rFonts w:ascii="Calibri" w:hAnsi="Calibri" w:cs="Calibri"/>
          <w:szCs w:val="20"/>
        </w:rPr>
        <w:t>czasowego przebywania,</w:t>
      </w:r>
    </w:p>
    <w:p w:rsidR="000C70A4" w:rsidRDefault="000C70A4" w:rsidP="008F78D0">
      <w:pPr>
        <w:numPr>
          <w:ilvl w:val="0"/>
          <w:numId w:val="790"/>
        </w:numPr>
        <w:jc w:val="both"/>
        <w:rPr>
          <w:rFonts w:ascii="Calibri" w:hAnsi="Calibri" w:cs="Calibri"/>
          <w:szCs w:val="20"/>
        </w:rPr>
      </w:pPr>
      <w:r>
        <w:rPr>
          <w:rFonts w:ascii="Calibri" w:hAnsi="Calibri" w:cs="Calibri"/>
          <w:szCs w:val="20"/>
        </w:rPr>
        <w:t>rehabilitacji, rewaloryzacji i rewitalizacji historycznej struktury urbanistycznej, założeń architektonicznych, budynków i budowli, przestrzeni publicznych, przestrzeni wewnątrzkwartałowych, przywracającej dawną wielokulturową i wielostykową świetność Starego Miasta oraz przyległych do starówki kwartałów miasta</w:t>
      </w:r>
      <w:r w:rsidR="00857F09">
        <w:rPr>
          <w:rFonts w:ascii="Calibri" w:hAnsi="Calibri" w:cs="Calibri"/>
          <w:szCs w:val="20"/>
        </w:rPr>
        <w:t xml:space="preserve"> </w:t>
      </w:r>
      <w:r>
        <w:rPr>
          <w:rFonts w:ascii="Calibri" w:hAnsi="Calibri" w:cs="Calibri"/>
          <w:szCs w:val="20"/>
        </w:rPr>
        <w:t>z przełomu XIX i XX wieku,</w:t>
      </w:r>
    </w:p>
    <w:p w:rsidR="000C70A4" w:rsidRDefault="000C70A4" w:rsidP="008F78D0">
      <w:pPr>
        <w:numPr>
          <w:ilvl w:val="0"/>
          <w:numId w:val="790"/>
        </w:numPr>
        <w:jc w:val="both"/>
        <w:rPr>
          <w:rFonts w:ascii="Calibri" w:hAnsi="Calibri" w:cs="Calibri"/>
          <w:szCs w:val="20"/>
        </w:rPr>
      </w:pPr>
      <w:r>
        <w:rPr>
          <w:rFonts w:ascii="Calibri" w:hAnsi="Calibri" w:cs="Calibri"/>
          <w:szCs w:val="20"/>
        </w:rPr>
        <w:t>rehabilitacji i rewitalizacji licznych obszarów poprzemysłowych w obrębie miasta,</w:t>
      </w:r>
    </w:p>
    <w:p w:rsidR="000C70A4" w:rsidRDefault="00DF21A6" w:rsidP="008F78D0">
      <w:pPr>
        <w:numPr>
          <w:ilvl w:val="0"/>
          <w:numId w:val="790"/>
        </w:numPr>
        <w:jc w:val="both"/>
        <w:rPr>
          <w:rFonts w:ascii="Calibri" w:hAnsi="Calibri" w:cs="Calibri"/>
          <w:szCs w:val="20"/>
        </w:rPr>
      </w:pPr>
      <w:r>
        <w:rPr>
          <w:rFonts w:ascii="Calibri" w:hAnsi="Calibri" w:cs="Calibri"/>
          <w:szCs w:val="20"/>
        </w:rPr>
        <w:t>aktywizacji</w:t>
      </w:r>
      <w:r w:rsidR="000C70A4">
        <w:rPr>
          <w:rFonts w:ascii="Calibri" w:hAnsi="Calibri" w:cs="Calibri"/>
          <w:szCs w:val="20"/>
        </w:rPr>
        <w:t xml:space="preserve"> rejonu elektrociepłowni Szombierki, obszaru </w:t>
      </w:r>
      <w:r w:rsidR="000C70A4" w:rsidRPr="00242C0C">
        <w:rPr>
          <w:rFonts w:ascii="Calibri" w:hAnsi="Calibri" w:cs="Calibri"/>
          <w:szCs w:val="20"/>
        </w:rPr>
        <w:t xml:space="preserve">będącego </w:t>
      </w:r>
      <w:r w:rsidR="00242C0C">
        <w:rPr>
          <w:rFonts w:ascii="Calibri" w:hAnsi="Calibri" w:cs="Calibri"/>
          <w:szCs w:val="20"/>
        </w:rPr>
        <w:t>łącznikiem</w:t>
      </w:r>
      <w:r w:rsidR="000C70A4" w:rsidRPr="00242C0C">
        <w:rPr>
          <w:rFonts w:ascii="Calibri" w:hAnsi="Calibri" w:cs="Calibri"/>
          <w:szCs w:val="20"/>
        </w:rPr>
        <w:t xml:space="preserve"> miejskich</w:t>
      </w:r>
      <w:r w:rsidR="000C70A4">
        <w:rPr>
          <w:rFonts w:ascii="Calibri" w:hAnsi="Calibri" w:cs="Calibri"/>
          <w:szCs w:val="20"/>
        </w:rPr>
        <w:t xml:space="preserve"> pasm rozwojowych,</w:t>
      </w:r>
    </w:p>
    <w:p w:rsidR="000C70A4" w:rsidRDefault="000C70A4" w:rsidP="008F78D0">
      <w:pPr>
        <w:numPr>
          <w:ilvl w:val="0"/>
          <w:numId w:val="790"/>
        </w:numPr>
        <w:jc w:val="both"/>
        <w:rPr>
          <w:rFonts w:ascii="Calibri" w:hAnsi="Calibri" w:cs="Calibri"/>
          <w:szCs w:val="20"/>
        </w:rPr>
      </w:pPr>
      <w:r>
        <w:rPr>
          <w:rFonts w:ascii="Calibri" w:hAnsi="Calibri" w:cs="Calibri"/>
          <w:szCs w:val="20"/>
        </w:rPr>
        <w:t>utworzenia (...), obszaru ukierunkowanego na kreację unikalnego programu rehabilitacji i rewitalizacji obszarów poprzemysłowych, polegającego na świadomym kształtowaniu idei nowej wielofunkcyjnej dzielnicy miasta, tak zwanego miasta w mieście, będącego kontynuacją historycznych założeń urbanistycznych dzielnic Bobrek i Karb,</w:t>
      </w:r>
    </w:p>
    <w:p w:rsidR="000C70A4" w:rsidRDefault="000C70A4" w:rsidP="008F78D0">
      <w:pPr>
        <w:numPr>
          <w:ilvl w:val="0"/>
          <w:numId w:val="790"/>
        </w:numPr>
        <w:jc w:val="both"/>
        <w:rPr>
          <w:rFonts w:ascii="Calibri" w:hAnsi="Calibri" w:cs="Calibri"/>
          <w:szCs w:val="20"/>
        </w:rPr>
      </w:pPr>
      <w:r>
        <w:rPr>
          <w:rFonts w:ascii="Calibri" w:hAnsi="Calibri" w:cs="Calibri"/>
          <w:szCs w:val="20"/>
        </w:rPr>
        <w:t>realizacji komunikacyjnego węzła przesiadkowego, integrującego wszystkie środki transportu publicznego i dróg układu podstawowego,</w:t>
      </w:r>
    </w:p>
    <w:p w:rsidR="000C70A4" w:rsidRDefault="00DF21A6" w:rsidP="008F78D0">
      <w:pPr>
        <w:numPr>
          <w:ilvl w:val="0"/>
          <w:numId w:val="790"/>
        </w:numPr>
        <w:jc w:val="both"/>
        <w:rPr>
          <w:rFonts w:ascii="Calibri" w:hAnsi="Calibri" w:cs="Calibri"/>
          <w:szCs w:val="20"/>
        </w:rPr>
      </w:pPr>
      <w:r>
        <w:rPr>
          <w:rFonts w:ascii="Calibri" w:hAnsi="Calibri" w:cs="Calibri"/>
          <w:szCs w:val="20"/>
        </w:rPr>
        <w:t>utrzymania i rozwijania</w:t>
      </w:r>
      <w:r w:rsidR="000C70A4">
        <w:rPr>
          <w:rFonts w:ascii="Calibri" w:hAnsi="Calibri" w:cs="Calibri"/>
          <w:szCs w:val="20"/>
        </w:rPr>
        <w:t xml:space="preserve"> istniejącego systemu terenów kolejki wąskotorowej, w połączeniu z kreacją specjalistycznych punktów aktywizacji turystycznej, takich jak muzeum kolejnictwa wąskotorowego </w:t>
      </w:r>
      <w:r w:rsidR="005204FC">
        <w:rPr>
          <w:rFonts w:ascii="Calibri" w:hAnsi="Calibri" w:cs="Calibri"/>
          <w:szCs w:val="20"/>
        </w:rPr>
        <w:br/>
      </w:r>
      <w:r w:rsidR="000C70A4">
        <w:rPr>
          <w:rFonts w:ascii="Calibri" w:hAnsi="Calibri" w:cs="Calibri"/>
          <w:szCs w:val="20"/>
        </w:rPr>
        <w:t>i obiektów architektury z nimi związanych, regionalnego centrum modelarstwa i parku modeli oraz krajobrazowych tras rowerowych i terenów pieszych, w rejonie obecnego dworca kolejowego,</w:t>
      </w:r>
    </w:p>
    <w:p w:rsidR="000C70A4" w:rsidRDefault="00DF21A6" w:rsidP="008F78D0">
      <w:pPr>
        <w:numPr>
          <w:ilvl w:val="0"/>
          <w:numId w:val="790"/>
        </w:numPr>
        <w:jc w:val="both"/>
        <w:rPr>
          <w:rFonts w:ascii="Calibri" w:hAnsi="Calibri" w:cs="Calibri"/>
          <w:szCs w:val="20"/>
        </w:rPr>
      </w:pPr>
      <w:r>
        <w:rPr>
          <w:rFonts w:ascii="Calibri" w:hAnsi="Calibri" w:cs="Calibri"/>
          <w:szCs w:val="20"/>
        </w:rPr>
        <w:t>rozwijania</w:t>
      </w:r>
      <w:r w:rsidR="000C70A4">
        <w:rPr>
          <w:rFonts w:ascii="Calibri" w:hAnsi="Calibri" w:cs="Calibri"/>
          <w:szCs w:val="20"/>
        </w:rPr>
        <w:t xml:space="preserve"> w granicach administracyjnych miasta systemu ścieżek, w tym ścieżek pieszych, rowerowych</w:t>
      </w:r>
      <w:r w:rsidR="00FC7D6C">
        <w:rPr>
          <w:rFonts w:ascii="Calibri" w:hAnsi="Calibri" w:cs="Calibri"/>
          <w:szCs w:val="20"/>
        </w:rPr>
        <w:t xml:space="preserve"> </w:t>
      </w:r>
      <w:r w:rsidR="000C70A4">
        <w:rPr>
          <w:rFonts w:ascii="Calibri" w:hAnsi="Calibri" w:cs="Calibri"/>
          <w:szCs w:val="20"/>
        </w:rPr>
        <w:t>i szlaków turystycznych, tworzących system tematycznych powiązań pomiędzy ważnymi miejscami, obiektami i założeniami miasta, należących do miejskiego systemu przestrzeni publicznych i</w:t>
      </w:r>
      <w:r w:rsidR="0099121E">
        <w:rPr>
          <w:rFonts w:ascii="Calibri" w:hAnsi="Calibri" w:cs="Calibri"/>
          <w:szCs w:val="20"/>
        </w:rPr>
        <w:t> </w:t>
      </w:r>
      <w:r w:rsidR="000C70A4">
        <w:rPr>
          <w:rFonts w:ascii="Calibri" w:hAnsi="Calibri" w:cs="Calibri"/>
          <w:szCs w:val="20"/>
        </w:rPr>
        <w:t>miejskiego systemu przestrzeni zieleni,</w:t>
      </w:r>
    </w:p>
    <w:p w:rsidR="000C70A4" w:rsidRDefault="00DF21A6" w:rsidP="00AE4F79">
      <w:pPr>
        <w:numPr>
          <w:ilvl w:val="0"/>
          <w:numId w:val="11"/>
        </w:numPr>
        <w:ind w:left="714" w:hanging="357"/>
        <w:jc w:val="both"/>
        <w:rPr>
          <w:rFonts w:ascii="Calibri" w:hAnsi="Calibri" w:cs="Calibri"/>
          <w:szCs w:val="20"/>
        </w:rPr>
      </w:pPr>
      <w:r>
        <w:rPr>
          <w:rFonts w:ascii="Calibri" w:hAnsi="Calibri" w:cs="Calibri"/>
          <w:szCs w:val="20"/>
        </w:rPr>
        <w:t>utrzymania i rozwijania</w:t>
      </w:r>
      <w:r w:rsidR="000C70A4">
        <w:rPr>
          <w:rFonts w:ascii="Calibri" w:hAnsi="Calibri" w:cs="Calibri"/>
          <w:szCs w:val="20"/>
        </w:rPr>
        <w:t xml:space="preserve"> urbanistycznych i architektonicznych tradycji, decydujących o świadectwie </w:t>
      </w:r>
      <w:r w:rsidR="005204FC">
        <w:rPr>
          <w:rFonts w:ascii="Calibri" w:hAnsi="Calibri" w:cs="Calibri"/>
          <w:szCs w:val="20"/>
        </w:rPr>
        <w:br/>
      </w:r>
      <w:r w:rsidR="000C70A4">
        <w:rPr>
          <w:rFonts w:ascii="Calibri" w:hAnsi="Calibri" w:cs="Calibri"/>
          <w:szCs w:val="20"/>
        </w:rPr>
        <w:t xml:space="preserve">i wartościach kultury materialnej metropolii górnośląskiej, indywidualizujących i wyróżniających poszczególne dzielnice Bytomia, w tym m.in.  średniowieczny układ urbanistyczny Starego Miasta </w:t>
      </w:r>
      <w:r w:rsidR="005204FC">
        <w:rPr>
          <w:rFonts w:ascii="Calibri" w:hAnsi="Calibri" w:cs="Calibri"/>
          <w:szCs w:val="20"/>
        </w:rPr>
        <w:br/>
      </w:r>
      <w:r w:rsidR="000C70A4">
        <w:rPr>
          <w:rFonts w:ascii="Calibri" w:hAnsi="Calibri" w:cs="Calibri"/>
          <w:szCs w:val="20"/>
        </w:rPr>
        <w:lastRenderedPageBreak/>
        <w:t>z Rynkiem oraz sąsiednie kwartały XIX i XX zabudowy, osiedla robotnicze: Kolonia Zgorzelec i Kolonia Bobrek, szyb „Krystyna”, Park Ludowy,  Park Miejski im. F. Kachla,</w:t>
      </w:r>
    </w:p>
    <w:p w:rsidR="000C70A4" w:rsidRDefault="000C70A4" w:rsidP="00AE4F79">
      <w:pPr>
        <w:numPr>
          <w:ilvl w:val="0"/>
          <w:numId w:val="11"/>
        </w:numPr>
        <w:ind w:left="714" w:hanging="357"/>
        <w:jc w:val="both"/>
        <w:rPr>
          <w:rFonts w:ascii="Calibri" w:hAnsi="Calibri" w:cs="Calibri"/>
          <w:szCs w:val="20"/>
        </w:rPr>
      </w:pPr>
      <w:r>
        <w:rPr>
          <w:rFonts w:ascii="Calibri" w:hAnsi="Calibri" w:cs="Calibri"/>
          <w:szCs w:val="20"/>
        </w:rPr>
        <w:t>utrzymania i rekultywacji ważnych w skali regionu i cennych pod względem biologicznym kompleksów leśnych oraz powiązanych z nim terenów zieleni chronionej, decydujących o świadectwie i wartościach środowiska przyrodniczego metropolii górnośląskiej, w tym zespół przyrodniczo-krajobrazowy „Żabie Doły”,</w:t>
      </w:r>
    </w:p>
    <w:p w:rsidR="000C70A4" w:rsidRDefault="000C70A4" w:rsidP="00AE4F79">
      <w:pPr>
        <w:numPr>
          <w:ilvl w:val="0"/>
          <w:numId w:val="11"/>
        </w:numPr>
        <w:ind w:left="714" w:hanging="357"/>
        <w:jc w:val="both"/>
        <w:rPr>
          <w:rFonts w:ascii="Calibri" w:hAnsi="Calibri" w:cs="Calibri"/>
          <w:szCs w:val="20"/>
        </w:rPr>
      </w:pPr>
      <w:r>
        <w:rPr>
          <w:rFonts w:ascii="Calibri" w:hAnsi="Calibri" w:cs="Calibri"/>
          <w:szCs w:val="20"/>
        </w:rPr>
        <w:t>przywrócenia priorytetowej roli dziedzictwa urbanistycznego i architektonicznego w tworzeniu nowego wizerunku miasta, bazującego na wielokulturowości swego dziedzictwa historycznego, w tym wykształcenie i rozwój obszaru przestrzeni publicznych w tym placów, ulic, parków i skwerów, tworzących specyficzną oprawę istniejących i przyszłych terenów zurbanizowanych i zabudowanych, opartego na istniejących ukształtowanych systemach przestrzeni publicznych: centrum, śródmieścia i</w:t>
      </w:r>
      <w:r w:rsidR="001735A0">
        <w:rPr>
          <w:rFonts w:ascii="Calibri" w:hAnsi="Calibri" w:cs="Calibri"/>
          <w:szCs w:val="20"/>
        </w:rPr>
        <w:t> </w:t>
      </w:r>
      <w:r>
        <w:rPr>
          <w:rFonts w:ascii="Calibri" w:hAnsi="Calibri" w:cs="Calibri"/>
          <w:szCs w:val="20"/>
        </w:rPr>
        <w:t>poszczególnych dzielnicach oraz przestrzeniach nowych kreowanych, rozwijających wielokierunkową gęstą siatkę pieszych i kołowych połączeń, podkreślaną, w miejscach ważnych przestrzennie i</w:t>
      </w:r>
      <w:r w:rsidR="001735A0">
        <w:rPr>
          <w:rFonts w:ascii="Calibri" w:hAnsi="Calibri" w:cs="Calibri"/>
          <w:szCs w:val="20"/>
        </w:rPr>
        <w:t> </w:t>
      </w:r>
      <w:r>
        <w:rPr>
          <w:rFonts w:ascii="Calibri" w:hAnsi="Calibri" w:cs="Calibri"/>
          <w:szCs w:val="20"/>
        </w:rPr>
        <w:t>funkcjonalnie, nowymi uformowan</w:t>
      </w:r>
      <w:r w:rsidR="00DF21A6">
        <w:rPr>
          <w:rFonts w:ascii="Calibri" w:hAnsi="Calibri" w:cs="Calibri"/>
          <w:szCs w:val="20"/>
        </w:rPr>
        <w:t>ymi placami, skwerami i parkami,</w:t>
      </w:r>
    </w:p>
    <w:p w:rsidR="000C70A4" w:rsidRDefault="00DF21A6" w:rsidP="00AE4F79">
      <w:pPr>
        <w:numPr>
          <w:ilvl w:val="0"/>
          <w:numId w:val="11"/>
        </w:numPr>
        <w:ind w:left="714" w:hanging="357"/>
        <w:jc w:val="both"/>
        <w:rPr>
          <w:rFonts w:ascii="Calibri" w:hAnsi="Calibri" w:cs="Calibri"/>
          <w:szCs w:val="20"/>
        </w:rPr>
      </w:pPr>
      <w:r>
        <w:rPr>
          <w:rFonts w:ascii="Calibri" w:hAnsi="Calibri" w:cs="Calibri"/>
          <w:szCs w:val="20"/>
        </w:rPr>
        <w:t>przywrócenia</w:t>
      </w:r>
      <w:r w:rsidR="000C70A4">
        <w:rPr>
          <w:rFonts w:ascii="Calibri" w:hAnsi="Calibri" w:cs="Calibri"/>
          <w:szCs w:val="20"/>
        </w:rPr>
        <w:t xml:space="preserve"> roli architektonicznych i naturalnych terenowych dominant w urbanistyczn</w:t>
      </w:r>
      <w:r>
        <w:rPr>
          <w:rFonts w:ascii="Calibri" w:hAnsi="Calibri" w:cs="Calibri"/>
          <w:szCs w:val="20"/>
        </w:rPr>
        <w:t>ej kompozycji miasta i włączenia</w:t>
      </w:r>
      <w:r w:rsidR="000C70A4">
        <w:rPr>
          <w:rFonts w:ascii="Calibri" w:hAnsi="Calibri" w:cs="Calibri"/>
          <w:szCs w:val="20"/>
        </w:rPr>
        <w:t xml:space="preserve"> ich w</w:t>
      </w:r>
      <w:r>
        <w:rPr>
          <w:rFonts w:ascii="Calibri" w:hAnsi="Calibri" w:cs="Calibri"/>
          <w:szCs w:val="20"/>
        </w:rPr>
        <w:t xml:space="preserve"> obszar przestrzeni publicznych,</w:t>
      </w:r>
    </w:p>
    <w:p w:rsidR="000C70A4" w:rsidRDefault="00DF21A6" w:rsidP="00AE4F79">
      <w:pPr>
        <w:numPr>
          <w:ilvl w:val="0"/>
          <w:numId w:val="11"/>
        </w:numPr>
        <w:ind w:left="714" w:hanging="357"/>
        <w:jc w:val="both"/>
        <w:rPr>
          <w:rFonts w:ascii="Calibri" w:hAnsi="Calibri" w:cs="Calibri"/>
          <w:szCs w:val="20"/>
        </w:rPr>
      </w:pPr>
      <w:r>
        <w:rPr>
          <w:rFonts w:ascii="Calibri" w:hAnsi="Calibri" w:cs="Calibri"/>
          <w:szCs w:val="20"/>
        </w:rPr>
        <w:t>przeciwdziałania</w:t>
      </w:r>
      <w:r w:rsidR="000C70A4">
        <w:rPr>
          <w:rFonts w:ascii="Calibri" w:hAnsi="Calibri" w:cs="Calibri"/>
          <w:szCs w:val="20"/>
        </w:rPr>
        <w:t xml:space="preserve"> przed destrukcją wartościowych układów urbanis</w:t>
      </w:r>
      <w:r>
        <w:rPr>
          <w:rFonts w:ascii="Calibri" w:hAnsi="Calibri" w:cs="Calibri"/>
          <w:szCs w:val="20"/>
        </w:rPr>
        <w:t>tycznych i obiektów zabytkowych,</w:t>
      </w:r>
    </w:p>
    <w:p w:rsidR="000C70A4" w:rsidRDefault="00DF21A6" w:rsidP="00AE4F79">
      <w:pPr>
        <w:numPr>
          <w:ilvl w:val="0"/>
          <w:numId w:val="11"/>
        </w:numPr>
        <w:ind w:left="714" w:hanging="357"/>
        <w:jc w:val="both"/>
        <w:rPr>
          <w:rFonts w:ascii="Calibri" w:hAnsi="Calibri" w:cs="Calibri"/>
          <w:szCs w:val="20"/>
        </w:rPr>
      </w:pPr>
      <w:r>
        <w:rPr>
          <w:rFonts w:ascii="Calibri" w:hAnsi="Calibri" w:cs="Calibri"/>
          <w:szCs w:val="20"/>
        </w:rPr>
        <w:t>przeciwdziałania</w:t>
      </w:r>
      <w:r w:rsidR="000C70A4">
        <w:rPr>
          <w:rFonts w:ascii="Calibri" w:hAnsi="Calibri" w:cs="Calibri"/>
          <w:szCs w:val="20"/>
        </w:rPr>
        <w:t xml:space="preserve"> przed dekapitalizacją istniejącej zabudowy mieszkaniowej</w:t>
      </w:r>
      <w:r>
        <w:rPr>
          <w:rFonts w:ascii="Calibri" w:hAnsi="Calibri" w:cs="Calibri"/>
          <w:szCs w:val="20"/>
        </w:rPr>
        <w:t xml:space="preserve"> i obiektów publicznych,</w:t>
      </w:r>
    </w:p>
    <w:p w:rsidR="000C70A4" w:rsidRDefault="00DF21A6" w:rsidP="00AE4F79">
      <w:pPr>
        <w:numPr>
          <w:ilvl w:val="0"/>
          <w:numId w:val="11"/>
        </w:numPr>
        <w:ind w:left="714" w:hanging="357"/>
        <w:jc w:val="both"/>
        <w:rPr>
          <w:rFonts w:ascii="Calibri" w:hAnsi="Calibri" w:cs="Calibri"/>
          <w:szCs w:val="20"/>
        </w:rPr>
      </w:pPr>
      <w:r>
        <w:rPr>
          <w:rFonts w:ascii="Calibri" w:hAnsi="Calibri" w:cs="Calibri"/>
          <w:szCs w:val="20"/>
        </w:rPr>
        <w:t>przywrócenia</w:t>
      </w:r>
      <w:r w:rsidR="000C70A4">
        <w:rPr>
          <w:rFonts w:ascii="Calibri" w:hAnsi="Calibri" w:cs="Calibri"/>
          <w:szCs w:val="20"/>
        </w:rPr>
        <w:t xml:space="preserve"> stanu ładu przestrzennego decydującego o możliwości osiągnięcia w </w:t>
      </w:r>
      <w:r>
        <w:rPr>
          <w:rFonts w:ascii="Calibri" w:hAnsi="Calibri" w:cs="Calibri"/>
          <w:szCs w:val="20"/>
        </w:rPr>
        <w:t>mieście wysokiego poziomu życia,</w:t>
      </w:r>
    </w:p>
    <w:p w:rsidR="000C70A4" w:rsidRDefault="00DF21A6" w:rsidP="00AE4F79">
      <w:pPr>
        <w:numPr>
          <w:ilvl w:val="0"/>
          <w:numId w:val="11"/>
        </w:numPr>
        <w:ind w:left="714" w:hanging="357"/>
        <w:jc w:val="both"/>
        <w:rPr>
          <w:rFonts w:ascii="Calibri" w:hAnsi="Calibri" w:cs="Calibri"/>
          <w:szCs w:val="20"/>
        </w:rPr>
      </w:pPr>
      <w:r>
        <w:rPr>
          <w:rFonts w:ascii="Calibri" w:hAnsi="Calibri" w:cs="Calibri"/>
          <w:szCs w:val="20"/>
        </w:rPr>
        <w:t>ochrony</w:t>
      </w:r>
      <w:r w:rsidR="000C70A4">
        <w:rPr>
          <w:rFonts w:ascii="Calibri" w:hAnsi="Calibri" w:cs="Calibri"/>
          <w:szCs w:val="20"/>
        </w:rPr>
        <w:t xml:space="preserve"> obiektów i obszarów objętych ochroną prawną ze względu na ich wartości kulturowe, </w:t>
      </w:r>
      <w:r w:rsidR="00344786">
        <w:rPr>
          <w:rFonts w:ascii="Calibri" w:hAnsi="Calibri" w:cs="Calibri"/>
          <w:szCs w:val="20"/>
        </w:rPr>
        <w:br/>
      </w:r>
      <w:r w:rsidR="000C70A4">
        <w:rPr>
          <w:rFonts w:ascii="Calibri" w:hAnsi="Calibri" w:cs="Calibri"/>
          <w:szCs w:val="20"/>
        </w:rPr>
        <w:t>z jednoczesnym zagwarantowaniem niekonfliktowego i harmonijnego rozwoju un</w:t>
      </w:r>
      <w:r>
        <w:rPr>
          <w:rFonts w:ascii="Calibri" w:hAnsi="Calibri" w:cs="Calibri"/>
          <w:szCs w:val="20"/>
        </w:rPr>
        <w:t>ikalnego systemu przestrzennego,</w:t>
      </w:r>
    </w:p>
    <w:p w:rsidR="000C70A4" w:rsidRDefault="00DF21A6" w:rsidP="00AE4F79">
      <w:pPr>
        <w:numPr>
          <w:ilvl w:val="0"/>
          <w:numId w:val="11"/>
        </w:numPr>
        <w:ind w:left="714" w:hanging="357"/>
        <w:jc w:val="both"/>
        <w:rPr>
          <w:rFonts w:ascii="Calibri" w:hAnsi="Calibri" w:cs="Calibri"/>
          <w:szCs w:val="20"/>
        </w:rPr>
      </w:pPr>
      <w:r>
        <w:rPr>
          <w:rFonts w:ascii="Calibri" w:hAnsi="Calibri" w:cs="Calibri"/>
          <w:szCs w:val="20"/>
        </w:rPr>
        <w:t>wykształcenia</w:t>
      </w:r>
      <w:r w:rsidR="000C70A4">
        <w:rPr>
          <w:rFonts w:ascii="Calibri" w:hAnsi="Calibri" w:cs="Calibri"/>
          <w:szCs w:val="20"/>
        </w:rPr>
        <w:t xml:space="preserve"> nowych jakościowo mechanizmów i sposobów użytkowania historycznych i</w:t>
      </w:r>
      <w:r w:rsidR="00AE4F79">
        <w:rPr>
          <w:rFonts w:ascii="Calibri" w:hAnsi="Calibri" w:cs="Calibri"/>
          <w:szCs w:val="20"/>
        </w:rPr>
        <w:t> </w:t>
      </w:r>
      <w:r w:rsidR="000C70A4">
        <w:rPr>
          <w:rFonts w:ascii="Calibri" w:hAnsi="Calibri" w:cs="Calibri"/>
          <w:szCs w:val="20"/>
        </w:rPr>
        <w:t>wspó</w:t>
      </w:r>
      <w:r>
        <w:rPr>
          <w:rFonts w:ascii="Calibri" w:hAnsi="Calibri" w:cs="Calibri"/>
          <w:szCs w:val="20"/>
        </w:rPr>
        <w:t>łczesnych przestrzeni miejskich,</w:t>
      </w:r>
    </w:p>
    <w:p w:rsidR="000C70A4" w:rsidRDefault="00DF21A6" w:rsidP="00AE4F79">
      <w:pPr>
        <w:numPr>
          <w:ilvl w:val="0"/>
          <w:numId w:val="11"/>
        </w:numPr>
        <w:ind w:left="714" w:hanging="357"/>
        <w:jc w:val="both"/>
        <w:rPr>
          <w:rFonts w:ascii="Calibri" w:hAnsi="Calibri" w:cs="Calibri"/>
          <w:szCs w:val="20"/>
        </w:rPr>
      </w:pPr>
      <w:r>
        <w:rPr>
          <w:rFonts w:ascii="Calibri" w:hAnsi="Calibri" w:cs="Calibri"/>
          <w:szCs w:val="20"/>
        </w:rPr>
        <w:t>promocji</w:t>
      </w:r>
      <w:r w:rsidR="000C70A4">
        <w:rPr>
          <w:rFonts w:ascii="Calibri" w:hAnsi="Calibri" w:cs="Calibri"/>
          <w:szCs w:val="20"/>
        </w:rPr>
        <w:t xml:space="preserve"> spuścizny materialnej i kultury śląskiej.</w:t>
      </w:r>
    </w:p>
    <w:p w:rsidR="000C70A4" w:rsidRDefault="000C70A4" w:rsidP="001735A0">
      <w:pPr>
        <w:spacing w:before="120"/>
        <w:ind w:firstLine="708"/>
        <w:jc w:val="both"/>
        <w:rPr>
          <w:rFonts w:ascii="Calibri" w:hAnsi="Calibri" w:cs="Calibri"/>
          <w:szCs w:val="20"/>
        </w:rPr>
      </w:pPr>
      <w:r>
        <w:rPr>
          <w:rFonts w:ascii="Calibri" w:hAnsi="Calibri" w:cs="Calibri"/>
          <w:szCs w:val="20"/>
        </w:rPr>
        <w:t>Wśród szczegółowych kierunków zmian w strukturze pr</w:t>
      </w:r>
      <w:r w:rsidR="008C09E6">
        <w:rPr>
          <w:rFonts w:ascii="Calibri" w:hAnsi="Calibri" w:cs="Calibri"/>
          <w:szCs w:val="20"/>
        </w:rPr>
        <w:t xml:space="preserve">zestrzennej miasta wymienia się m.in. </w:t>
      </w:r>
      <w:r>
        <w:rPr>
          <w:rFonts w:ascii="Calibri" w:hAnsi="Calibri" w:cs="Calibri"/>
          <w:szCs w:val="20"/>
        </w:rPr>
        <w:t>wyznaczenie obsz</w:t>
      </w:r>
      <w:r w:rsidR="008C09E6">
        <w:rPr>
          <w:rFonts w:ascii="Calibri" w:hAnsi="Calibri" w:cs="Calibri"/>
          <w:szCs w:val="20"/>
        </w:rPr>
        <w:t xml:space="preserve">arów wymagających przekształceń, </w:t>
      </w:r>
      <w:r>
        <w:rPr>
          <w:rFonts w:ascii="Calibri" w:hAnsi="Calibri" w:cs="Calibri"/>
          <w:szCs w:val="20"/>
        </w:rPr>
        <w:t>rehabilitacji</w:t>
      </w:r>
      <w:r w:rsidR="008C09E6">
        <w:rPr>
          <w:rFonts w:ascii="Calibri" w:hAnsi="Calibri" w:cs="Calibri"/>
          <w:szCs w:val="20"/>
        </w:rPr>
        <w:t xml:space="preserve"> lub </w:t>
      </w:r>
      <w:r>
        <w:rPr>
          <w:rFonts w:ascii="Calibri" w:hAnsi="Calibri" w:cs="Calibri"/>
          <w:szCs w:val="20"/>
        </w:rPr>
        <w:t>rekultywacji</w:t>
      </w:r>
      <w:r w:rsidR="008C09E6">
        <w:rPr>
          <w:rFonts w:ascii="Calibri" w:hAnsi="Calibri" w:cs="Calibri"/>
          <w:szCs w:val="20"/>
        </w:rPr>
        <w:t>, które stanowią obszary wymagające interwencji</w:t>
      </w:r>
      <w:r>
        <w:rPr>
          <w:rFonts w:ascii="Calibri" w:hAnsi="Calibri" w:cs="Calibri"/>
          <w:szCs w:val="20"/>
        </w:rPr>
        <w:t>.</w:t>
      </w:r>
      <w:r w:rsidR="008C09E6">
        <w:rPr>
          <w:rFonts w:ascii="Calibri" w:hAnsi="Calibri" w:cs="Calibri"/>
          <w:szCs w:val="20"/>
        </w:rPr>
        <w:t xml:space="preserve"> Obszary te, wskazane w studium na rysunku pomocniczym II/D/5, są zgodne z</w:t>
      </w:r>
      <w:r w:rsidR="001735A0">
        <w:rPr>
          <w:rFonts w:ascii="Calibri" w:hAnsi="Calibri" w:cs="Calibri"/>
          <w:szCs w:val="20"/>
        </w:rPr>
        <w:t> </w:t>
      </w:r>
      <w:r w:rsidR="008C09E6">
        <w:rPr>
          <w:rFonts w:ascii="Calibri" w:hAnsi="Calibri" w:cs="Calibri"/>
          <w:szCs w:val="20"/>
        </w:rPr>
        <w:t>obszarem rewitalizacji, dla którego opracowano niniejszy GPR. Wszystkie podobszary włączone do obszaru rewitalizacji zostały wskazane w studium jako wymagające przekształceń, rehabilitacji, w tym rewita</w:t>
      </w:r>
      <w:r w:rsidR="00B82B33">
        <w:rPr>
          <w:rFonts w:ascii="Calibri" w:hAnsi="Calibri" w:cs="Calibri"/>
          <w:szCs w:val="20"/>
        </w:rPr>
        <w:t>lizacji lub rekultywacji. Jedyny</w:t>
      </w:r>
      <w:r w:rsidR="008C09E6">
        <w:rPr>
          <w:rFonts w:ascii="Calibri" w:hAnsi="Calibri" w:cs="Calibri"/>
          <w:szCs w:val="20"/>
        </w:rPr>
        <w:t xml:space="preserve">m wyjątkiem jest </w:t>
      </w:r>
      <w:r w:rsidR="00B82B33">
        <w:rPr>
          <w:rFonts w:ascii="Calibri" w:hAnsi="Calibri" w:cs="Calibri"/>
          <w:szCs w:val="20"/>
        </w:rPr>
        <w:t>pod</w:t>
      </w:r>
      <w:r w:rsidR="008C09E6">
        <w:rPr>
          <w:rFonts w:ascii="Calibri" w:hAnsi="Calibri" w:cs="Calibri"/>
          <w:szCs w:val="20"/>
        </w:rPr>
        <w:t>obszar</w:t>
      </w:r>
      <w:r w:rsidR="00B82B33">
        <w:rPr>
          <w:rFonts w:ascii="Calibri" w:hAnsi="Calibri" w:cs="Calibri"/>
          <w:szCs w:val="20"/>
        </w:rPr>
        <w:t xml:space="preserve"> 31 obejmujący rezerwat przyrody Żabie Doły.  Obrazowo prezentuje</w:t>
      </w:r>
      <w:r w:rsidR="00416181">
        <w:rPr>
          <w:rFonts w:ascii="Calibri" w:hAnsi="Calibri" w:cs="Calibri"/>
          <w:szCs w:val="20"/>
        </w:rPr>
        <w:t xml:space="preserve"> to poniższa mapa poprzez nałożenie na tereny wskazane w studium podobszarów włączonych do obszaru rewitalizacji.</w:t>
      </w:r>
    </w:p>
    <w:p w:rsidR="002723F7" w:rsidRDefault="002723F7" w:rsidP="002723F7">
      <w:pPr>
        <w:pStyle w:val="Legenda"/>
        <w:keepNext/>
        <w:jc w:val="both"/>
        <w:rPr>
          <w:rFonts w:ascii="Calibri" w:hAnsi="Calibri" w:cs="Calibri"/>
        </w:rPr>
      </w:pPr>
      <w:bookmarkStart w:id="1042" w:name="_Toc191972613"/>
      <w:r w:rsidRPr="00893CEA">
        <w:lastRenderedPageBreak/>
        <w:t xml:space="preserve">Mapa </w:t>
      </w:r>
      <w:r w:rsidR="003972D8" w:rsidRPr="00893CEA">
        <w:fldChar w:fldCharType="begin"/>
      </w:r>
      <w:r w:rsidRPr="00893CEA">
        <w:instrText xml:space="preserve"> SEQ Mapa \* ARABIC </w:instrText>
      </w:r>
      <w:r w:rsidR="003972D8" w:rsidRPr="00893CEA">
        <w:fldChar w:fldCharType="separate"/>
      </w:r>
      <w:r w:rsidR="00413FFE">
        <w:rPr>
          <w:noProof/>
        </w:rPr>
        <w:t>1</w:t>
      </w:r>
      <w:r w:rsidR="003972D8" w:rsidRPr="00893CEA">
        <w:fldChar w:fldCharType="end"/>
      </w:r>
      <w:r>
        <w:t xml:space="preserve">. </w:t>
      </w:r>
      <w:r>
        <w:rPr>
          <w:rFonts w:ascii="Calibri" w:hAnsi="Calibri" w:cs="Calibri"/>
        </w:rPr>
        <w:t xml:space="preserve">Obszary wymagające przekształceń, rehabilitacji </w:t>
      </w:r>
      <w:r w:rsidR="00416181">
        <w:rPr>
          <w:rFonts w:ascii="Calibri" w:hAnsi="Calibri" w:cs="Calibri"/>
        </w:rPr>
        <w:t>lub rekultywacji objęte obszarem rewitalizacji</w:t>
      </w:r>
      <w:bookmarkEnd w:id="1042"/>
    </w:p>
    <w:p w:rsidR="000E58EC" w:rsidRDefault="000E58EC" w:rsidP="001764F6">
      <w:pPr>
        <w:jc w:val="center"/>
        <w:rPr>
          <w:rFonts w:ascii="Calibri" w:hAnsi="Calibri" w:cs="Calibri"/>
          <w:szCs w:val="20"/>
        </w:rPr>
      </w:pPr>
      <w:r>
        <w:rPr>
          <w:rFonts w:ascii="Calibri" w:hAnsi="Calibri" w:cs="Calibri"/>
          <w:noProof/>
          <w:szCs w:val="20"/>
        </w:rPr>
        <w:drawing>
          <wp:inline distT="0" distB="0" distL="0" distR="0">
            <wp:extent cx="5207288" cy="4201064"/>
            <wp:effectExtent l="19050" t="0" r="0" b="0"/>
            <wp:docPr id="71"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srcRect l="984"/>
                    <a:stretch>
                      <a:fillRect/>
                    </a:stretch>
                  </pic:blipFill>
                  <pic:spPr bwMode="auto">
                    <a:xfrm>
                      <a:off x="0" y="0"/>
                      <a:ext cx="5207288" cy="4201064"/>
                    </a:xfrm>
                    <a:prstGeom prst="rect">
                      <a:avLst/>
                    </a:prstGeom>
                    <a:noFill/>
                    <a:ln w="9525">
                      <a:noFill/>
                      <a:miter lim="800000"/>
                      <a:headEnd/>
                      <a:tailEnd/>
                    </a:ln>
                  </pic:spPr>
                </pic:pic>
              </a:graphicData>
            </a:graphic>
          </wp:inline>
        </w:drawing>
      </w:r>
    </w:p>
    <w:tbl>
      <w:tblPr>
        <w:tblStyle w:val="Tabela-Siatka"/>
        <w:tblW w:w="0" w:type="auto"/>
        <w:tblInd w:w="392" w:type="dxa"/>
        <w:tblLook w:val="04A0"/>
      </w:tblPr>
      <w:tblGrid>
        <w:gridCol w:w="1276"/>
        <w:gridCol w:w="2936"/>
        <w:gridCol w:w="1316"/>
        <w:gridCol w:w="2835"/>
      </w:tblGrid>
      <w:tr w:rsidR="000E58EC" w:rsidTr="001764F6">
        <w:tc>
          <w:tcPr>
            <w:tcW w:w="1276" w:type="dxa"/>
            <w:vAlign w:val="center"/>
          </w:tcPr>
          <w:p w:rsidR="000E58EC" w:rsidRDefault="000E58EC" w:rsidP="001764F6">
            <w:pPr>
              <w:jc w:val="center"/>
            </w:pPr>
            <w:r>
              <w:rPr>
                <w:noProof/>
              </w:rPr>
              <w:drawing>
                <wp:inline distT="0" distB="0" distL="0" distR="0">
                  <wp:extent cx="604640" cy="205200"/>
                  <wp:effectExtent l="19050" t="0" r="4960" b="0"/>
                  <wp:docPr id="72" name="Obraz 1" descr="i:\Dokumenty_net\Moje obrazy\Nowy obraz.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Dokumenty_net\Moje obrazy\Nowy obraz.bmp"/>
                          <pic:cNvPicPr>
                            <a:picLocks noChangeAspect="1" noChangeArrowheads="1"/>
                          </pic:cNvPicPr>
                        </pic:nvPicPr>
                        <pic:blipFill>
                          <a:blip r:embed="rId15" cstate="print"/>
                          <a:srcRect/>
                          <a:stretch>
                            <a:fillRect/>
                          </a:stretch>
                        </pic:blipFill>
                        <pic:spPr bwMode="auto">
                          <a:xfrm>
                            <a:off x="0" y="0"/>
                            <a:ext cx="604640" cy="205200"/>
                          </a:xfrm>
                          <a:prstGeom prst="rect">
                            <a:avLst/>
                          </a:prstGeom>
                          <a:noFill/>
                          <a:ln w="9525">
                            <a:noFill/>
                            <a:miter lim="800000"/>
                            <a:headEnd/>
                            <a:tailEnd/>
                          </a:ln>
                        </pic:spPr>
                      </pic:pic>
                    </a:graphicData>
                  </a:graphic>
                </wp:inline>
              </w:drawing>
            </w:r>
          </w:p>
        </w:tc>
        <w:tc>
          <w:tcPr>
            <w:tcW w:w="2936" w:type="dxa"/>
          </w:tcPr>
          <w:p w:rsidR="000E58EC" w:rsidRPr="008F234E" w:rsidRDefault="000E58EC" w:rsidP="001764F6">
            <w:pPr>
              <w:rPr>
                <w:b/>
                <w:sz w:val="15"/>
                <w:szCs w:val="15"/>
              </w:rPr>
            </w:pPr>
            <w:r w:rsidRPr="008F234E">
              <w:rPr>
                <w:b/>
                <w:sz w:val="15"/>
                <w:szCs w:val="15"/>
              </w:rPr>
              <w:t>PODZIAŁ NA TERENY STUDIUM</w:t>
            </w:r>
          </w:p>
        </w:tc>
        <w:tc>
          <w:tcPr>
            <w:tcW w:w="1316" w:type="dxa"/>
            <w:vAlign w:val="center"/>
          </w:tcPr>
          <w:p w:rsidR="000E58EC" w:rsidRDefault="000E58EC" w:rsidP="001764F6">
            <w:pPr>
              <w:jc w:val="center"/>
            </w:pPr>
            <w:r>
              <w:rPr>
                <w:noProof/>
              </w:rPr>
              <w:drawing>
                <wp:inline distT="0" distB="0" distL="0" distR="0">
                  <wp:extent cx="594310" cy="216000"/>
                  <wp:effectExtent l="19050" t="0" r="0" b="0"/>
                  <wp:docPr id="73" name="Obraz 13" descr="i:\Dokumenty_net\Moje obrazy\Nowy obraz (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Dokumenty_net\Moje obrazy\Nowy obraz (3).bmp"/>
                          <pic:cNvPicPr>
                            <a:picLocks noChangeAspect="1" noChangeArrowheads="1"/>
                          </pic:cNvPicPr>
                        </pic:nvPicPr>
                        <pic:blipFill>
                          <a:blip r:embed="rId16" cstate="print"/>
                          <a:srcRect/>
                          <a:stretch>
                            <a:fillRect/>
                          </a:stretch>
                        </pic:blipFill>
                        <pic:spPr bwMode="auto">
                          <a:xfrm>
                            <a:off x="0" y="0"/>
                            <a:ext cx="594310" cy="216000"/>
                          </a:xfrm>
                          <a:prstGeom prst="rect">
                            <a:avLst/>
                          </a:prstGeom>
                          <a:noFill/>
                          <a:ln w="9525">
                            <a:noFill/>
                            <a:miter lim="800000"/>
                            <a:headEnd/>
                            <a:tailEnd/>
                          </a:ln>
                        </pic:spPr>
                      </pic:pic>
                    </a:graphicData>
                  </a:graphic>
                </wp:inline>
              </w:drawing>
            </w:r>
          </w:p>
        </w:tc>
        <w:tc>
          <w:tcPr>
            <w:tcW w:w="2835" w:type="dxa"/>
          </w:tcPr>
          <w:p w:rsidR="000E58EC" w:rsidRPr="008F234E" w:rsidRDefault="000E58EC" w:rsidP="001764F6">
            <w:pPr>
              <w:rPr>
                <w:b/>
                <w:sz w:val="15"/>
                <w:szCs w:val="15"/>
              </w:rPr>
            </w:pPr>
            <w:r w:rsidRPr="008F234E">
              <w:rPr>
                <w:b/>
                <w:sz w:val="15"/>
                <w:szCs w:val="15"/>
              </w:rPr>
              <w:t>OBSZARY REWALORYZACJI</w:t>
            </w:r>
          </w:p>
        </w:tc>
      </w:tr>
      <w:tr w:rsidR="000E58EC" w:rsidTr="001764F6">
        <w:tc>
          <w:tcPr>
            <w:tcW w:w="1276" w:type="dxa"/>
            <w:vAlign w:val="center"/>
          </w:tcPr>
          <w:p w:rsidR="000E58EC" w:rsidRDefault="000E58EC" w:rsidP="001764F6">
            <w:pPr>
              <w:jc w:val="center"/>
            </w:pPr>
            <w:r>
              <w:rPr>
                <w:noProof/>
              </w:rPr>
              <w:drawing>
                <wp:inline distT="0" distB="0" distL="0" distR="0">
                  <wp:extent cx="571069" cy="205200"/>
                  <wp:effectExtent l="19050" t="0" r="431" b="0"/>
                  <wp:docPr id="74" name="Obraz 8" descr="i:\Dokumenty_net\Moje obrazy\Nowy obraz (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Dokumenty_net\Moje obrazy\Nowy obraz (1).bmp"/>
                          <pic:cNvPicPr>
                            <a:picLocks noChangeAspect="1" noChangeArrowheads="1"/>
                          </pic:cNvPicPr>
                        </pic:nvPicPr>
                        <pic:blipFill>
                          <a:blip r:embed="rId17" cstate="print"/>
                          <a:srcRect/>
                          <a:stretch>
                            <a:fillRect/>
                          </a:stretch>
                        </pic:blipFill>
                        <pic:spPr bwMode="auto">
                          <a:xfrm>
                            <a:off x="0" y="0"/>
                            <a:ext cx="571069" cy="205200"/>
                          </a:xfrm>
                          <a:prstGeom prst="rect">
                            <a:avLst/>
                          </a:prstGeom>
                          <a:noFill/>
                          <a:ln w="9525">
                            <a:noFill/>
                            <a:miter lim="800000"/>
                            <a:headEnd/>
                            <a:tailEnd/>
                          </a:ln>
                        </pic:spPr>
                      </pic:pic>
                    </a:graphicData>
                  </a:graphic>
                </wp:inline>
              </w:drawing>
            </w:r>
          </w:p>
        </w:tc>
        <w:tc>
          <w:tcPr>
            <w:tcW w:w="2936" w:type="dxa"/>
          </w:tcPr>
          <w:p w:rsidR="000E58EC" w:rsidRPr="008F234E" w:rsidRDefault="000E58EC" w:rsidP="001764F6">
            <w:pPr>
              <w:rPr>
                <w:b/>
                <w:sz w:val="15"/>
                <w:szCs w:val="15"/>
              </w:rPr>
            </w:pPr>
            <w:r w:rsidRPr="008F234E">
              <w:rPr>
                <w:b/>
                <w:sz w:val="15"/>
                <w:szCs w:val="15"/>
              </w:rPr>
              <w:t>OBSZARY PRZEKSZTAŁCEŃ GRUNTÓW ROLNYCH I LEŚNYCH</w:t>
            </w:r>
          </w:p>
        </w:tc>
        <w:tc>
          <w:tcPr>
            <w:tcW w:w="1316" w:type="dxa"/>
            <w:vAlign w:val="center"/>
          </w:tcPr>
          <w:p w:rsidR="000E58EC" w:rsidRDefault="000E58EC" w:rsidP="001764F6">
            <w:pPr>
              <w:jc w:val="center"/>
            </w:pPr>
            <w:r>
              <w:rPr>
                <w:noProof/>
              </w:rPr>
              <w:drawing>
                <wp:inline distT="0" distB="0" distL="0" distR="0">
                  <wp:extent cx="593939" cy="212400"/>
                  <wp:effectExtent l="19050" t="0" r="0" b="0"/>
                  <wp:docPr id="75" name="Obraz 14" descr="i:\Dokumenty_net\Moje obrazy\Nowy obraz (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Dokumenty_net\Moje obrazy\Nowy obraz (4).bmp"/>
                          <pic:cNvPicPr>
                            <a:picLocks noChangeAspect="1" noChangeArrowheads="1"/>
                          </pic:cNvPicPr>
                        </pic:nvPicPr>
                        <pic:blipFill>
                          <a:blip r:embed="rId18" cstate="print"/>
                          <a:srcRect/>
                          <a:stretch>
                            <a:fillRect/>
                          </a:stretch>
                        </pic:blipFill>
                        <pic:spPr bwMode="auto">
                          <a:xfrm>
                            <a:off x="0" y="0"/>
                            <a:ext cx="593939" cy="212400"/>
                          </a:xfrm>
                          <a:prstGeom prst="rect">
                            <a:avLst/>
                          </a:prstGeom>
                          <a:noFill/>
                          <a:ln w="9525">
                            <a:noFill/>
                            <a:miter lim="800000"/>
                            <a:headEnd/>
                            <a:tailEnd/>
                          </a:ln>
                        </pic:spPr>
                      </pic:pic>
                    </a:graphicData>
                  </a:graphic>
                </wp:inline>
              </w:drawing>
            </w:r>
          </w:p>
        </w:tc>
        <w:tc>
          <w:tcPr>
            <w:tcW w:w="2835" w:type="dxa"/>
          </w:tcPr>
          <w:p w:rsidR="000E58EC" w:rsidRPr="008F234E" w:rsidRDefault="000E58EC" w:rsidP="001764F6">
            <w:pPr>
              <w:rPr>
                <w:b/>
                <w:sz w:val="15"/>
                <w:szCs w:val="15"/>
              </w:rPr>
            </w:pPr>
            <w:r w:rsidRPr="008F234E">
              <w:rPr>
                <w:b/>
                <w:sz w:val="15"/>
                <w:szCs w:val="15"/>
              </w:rPr>
              <w:t>OBSZARY REWITALIZACJI</w:t>
            </w:r>
          </w:p>
        </w:tc>
      </w:tr>
      <w:tr w:rsidR="000E58EC" w:rsidTr="001764F6">
        <w:tc>
          <w:tcPr>
            <w:tcW w:w="1276" w:type="dxa"/>
            <w:vAlign w:val="center"/>
          </w:tcPr>
          <w:p w:rsidR="000E58EC" w:rsidRDefault="000E58EC" w:rsidP="001764F6">
            <w:pPr>
              <w:jc w:val="center"/>
            </w:pPr>
            <w:r>
              <w:rPr>
                <w:noProof/>
              </w:rPr>
              <w:drawing>
                <wp:inline distT="0" distB="0" distL="0" distR="0">
                  <wp:extent cx="571069" cy="205200"/>
                  <wp:effectExtent l="19050" t="0" r="431" b="0"/>
                  <wp:docPr id="76" name="Obraz 10" descr="i:\Dokumenty_net\Moje obrazy\Nowy obraz.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Dokumenty_net\Moje obrazy\Nowy obraz.bmp"/>
                          <pic:cNvPicPr>
                            <a:picLocks noChangeAspect="1" noChangeArrowheads="1"/>
                          </pic:cNvPicPr>
                        </pic:nvPicPr>
                        <pic:blipFill>
                          <a:blip r:embed="rId19" cstate="print"/>
                          <a:srcRect/>
                          <a:stretch>
                            <a:fillRect/>
                          </a:stretch>
                        </pic:blipFill>
                        <pic:spPr bwMode="auto">
                          <a:xfrm>
                            <a:off x="0" y="0"/>
                            <a:ext cx="571069" cy="205200"/>
                          </a:xfrm>
                          <a:prstGeom prst="rect">
                            <a:avLst/>
                          </a:prstGeom>
                          <a:noFill/>
                          <a:ln w="9525">
                            <a:noFill/>
                            <a:miter lim="800000"/>
                            <a:headEnd/>
                            <a:tailEnd/>
                          </a:ln>
                        </pic:spPr>
                      </pic:pic>
                    </a:graphicData>
                  </a:graphic>
                </wp:inline>
              </w:drawing>
            </w:r>
          </w:p>
        </w:tc>
        <w:tc>
          <w:tcPr>
            <w:tcW w:w="2936" w:type="dxa"/>
          </w:tcPr>
          <w:p w:rsidR="000E58EC" w:rsidRPr="008F234E" w:rsidRDefault="000E58EC" w:rsidP="001764F6">
            <w:pPr>
              <w:rPr>
                <w:b/>
                <w:sz w:val="15"/>
                <w:szCs w:val="15"/>
              </w:rPr>
            </w:pPr>
            <w:r w:rsidRPr="008F234E">
              <w:rPr>
                <w:b/>
                <w:sz w:val="15"/>
                <w:szCs w:val="15"/>
              </w:rPr>
              <w:t>OBSZARY PRZEKSZTAŁCEŃ GRUNTÓW BUDOWLANYCH PRZEMYSŁOWYCH</w:t>
            </w:r>
          </w:p>
        </w:tc>
        <w:tc>
          <w:tcPr>
            <w:tcW w:w="1316" w:type="dxa"/>
            <w:vAlign w:val="center"/>
          </w:tcPr>
          <w:p w:rsidR="000E58EC" w:rsidRDefault="000E58EC" w:rsidP="001764F6">
            <w:pPr>
              <w:jc w:val="center"/>
            </w:pPr>
            <w:r>
              <w:rPr>
                <w:noProof/>
              </w:rPr>
              <w:drawing>
                <wp:inline distT="0" distB="0" distL="0" distR="0">
                  <wp:extent cx="601444" cy="212400"/>
                  <wp:effectExtent l="19050" t="0" r="8156" b="0"/>
                  <wp:docPr id="77" name="Obraz 16" descr="i:\Dokumenty_net\Moje obrazy\Nowy obraz (5).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Dokumenty_net\Moje obrazy\Nowy obraz (5).bmp"/>
                          <pic:cNvPicPr>
                            <a:picLocks noChangeAspect="1" noChangeArrowheads="1"/>
                          </pic:cNvPicPr>
                        </pic:nvPicPr>
                        <pic:blipFill>
                          <a:blip r:embed="rId20" cstate="print"/>
                          <a:srcRect/>
                          <a:stretch>
                            <a:fillRect/>
                          </a:stretch>
                        </pic:blipFill>
                        <pic:spPr bwMode="auto">
                          <a:xfrm>
                            <a:off x="0" y="0"/>
                            <a:ext cx="601444" cy="212400"/>
                          </a:xfrm>
                          <a:prstGeom prst="rect">
                            <a:avLst/>
                          </a:prstGeom>
                          <a:noFill/>
                          <a:ln w="9525">
                            <a:noFill/>
                            <a:miter lim="800000"/>
                            <a:headEnd/>
                            <a:tailEnd/>
                          </a:ln>
                        </pic:spPr>
                      </pic:pic>
                    </a:graphicData>
                  </a:graphic>
                </wp:inline>
              </w:drawing>
            </w:r>
          </w:p>
        </w:tc>
        <w:tc>
          <w:tcPr>
            <w:tcW w:w="2835" w:type="dxa"/>
          </w:tcPr>
          <w:p w:rsidR="000E58EC" w:rsidRPr="008F234E" w:rsidRDefault="000E58EC" w:rsidP="001764F6">
            <w:pPr>
              <w:rPr>
                <w:b/>
                <w:sz w:val="15"/>
                <w:szCs w:val="15"/>
              </w:rPr>
            </w:pPr>
            <w:r w:rsidRPr="008F234E">
              <w:rPr>
                <w:b/>
                <w:sz w:val="15"/>
                <w:szCs w:val="15"/>
              </w:rPr>
              <w:t>OBSZARY WYMAGAJĄCE REKULTYWACJI</w:t>
            </w:r>
          </w:p>
        </w:tc>
      </w:tr>
      <w:tr w:rsidR="000E58EC" w:rsidTr="001764F6">
        <w:tc>
          <w:tcPr>
            <w:tcW w:w="1276" w:type="dxa"/>
            <w:vAlign w:val="center"/>
          </w:tcPr>
          <w:p w:rsidR="000E58EC" w:rsidRDefault="000E58EC" w:rsidP="001764F6">
            <w:pPr>
              <w:jc w:val="center"/>
            </w:pPr>
            <w:r>
              <w:rPr>
                <w:noProof/>
              </w:rPr>
              <w:drawing>
                <wp:inline distT="0" distB="0" distL="0" distR="0">
                  <wp:extent cx="585457" cy="216000"/>
                  <wp:effectExtent l="19050" t="0" r="5093" b="0"/>
                  <wp:docPr id="78" name="Obraz 11" descr="i:\Dokumenty_net\Moje obrazy\Nowy obraz (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Dokumenty_net\Moje obrazy\Nowy obraz (2).bmp"/>
                          <pic:cNvPicPr>
                            <a:picLocks noChangeAspect="1" noChangeArrowheads="1"/>
                          </pic:cNvPicPr>
                        </pic:nvPicPr>
                        <pic:blipFill>
                          <a:blip r:embed="rId21" cstate="print"/>
                          <a:srcRect/>
                          <a:stretch>
                            <a:fillRect/>
                          </a:stretch>
                        </pic:blipFill>
                        <pic:spPr bwMode="auto">
                          <a:xfrm>
                            <a:off x="0" y="0"/>
                            <a:ext cx="585457" cy="216000"/>
                          </a:xfrm>
                          <a:prstGeom prst="rect">
                            <a:avLst/>
                          </a:prstGeom>
                          <a:noFill/>
                          <a:ln w="9525">
                            <a:noFill/>
                            <a:miter lim="800000"/>
                            <a:headEnd/>
                            <a:tailEnd/>
                          </a:ln>
                        </pic:spPr>
                      </pic:pic>
                    </a:graphicData>
                  </a:graphic>
                </wp:inline>
              </w:drawing>
            </w:r>
          </w:p>
        </w:tc>
        <w:tc>
          <w:tcPr>
            <w:tcW w:w="2936" w:type="dxa"/>
          </w:tcPr>
          <w:p w:rsidR="000E58EC" w:rsidRPr="008F234E" w:rsidRDefault="000E58EC" w:rsidP="001764F6">
            <w:pPr>
              <w:rPr>
                <w:b/>
                <w:sz w:val="15"/>
                <w:szCs w:val="15"/>
              </w:rPr>
            </w:pPr>
            <w:r w:rsidRPr="008F234E">
              <w:rPr>
                <w:b/>
                <w:sz w:val="15"/>
                <w:szCs w:val="15"/>
              </w:rPr>
              <w:t>OBSZARY REHABILITACJI</w:t>
            </w:r>
          </w:p>
        </w:tc>
        <w:tc>
          <w:tcPr>
            <w:tcW w:w="1316" w:type="dxa"/>
            <w:vAlign w:val="center"/>
          </w:tcPr>
          <w:p w:rsidR="000E58EC" w:rsidRDefault="000E58EC" w:rsidP="001764F6">
            <w:pPr>
              <w:jc w:val="center"/>
            </w:pPr>
            <w:r w:rsidRPr="006B10E2">
              <w:rPr>
                <w:noProof/>
              </w:rPr>
              <w:drawing>
                <wp:inline distT="0" distB="0" distL="0" distR="0">
                  <wp:extent cx="596317" cy="223200"/>
                  <wp:effectExtent l="19050" t="0" r="0" b="0"/>
                  <wp:docPr id="79" name="Obraz 24" descr="i:\Dokumenty_net\Moje obrazy\Nowy obraz (7).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Dokumenty_net\Moje obrazy\Nowy obraz (7).bmp"/>
                          <pic:cNvPicPr>
                            <a:picLocks noChangeAspect="1" noChangeArrowheads="1"/>
                          </pic:cNvPicPr>
                        </pic:nvPicPr>
                        <pic:blipFill>
                          <a:blip r:embed="rId22" cstate="print"/>
                          <a:srcRect/>
                          <a:stretch>
                            <a:fillRect/>
                          </a:stretch>
                        </pic:blipFill>
                        <pic:spPr bwMode="auto">
                          <a:xfrm>
                            <a:off x="0" y="0"/>
                            <a:ext cx="596317" cy="223200"/>
                          </a:xfrm>
                          <a:prstGeom prst="rect">
                            <a:avLst/>
                          </a:prstGeom>
                          <a:noFill/>
                          <a:ln w="9525">
                            <a:noFill/>
                            <a:miter lim="800000"/>
                            <a:headEnd/>
                            <a:tailEnd/>
                          </a:ln>
                        </pic:spPr>
                      </pic:pic>
                    </a:graphicData>
                  </a:graphic>
                </wp:inline>
              </w:drawing>
            </w:r>
          </w:p>
        </w:tc>
        <w:tc>
          <w:tcPr>
            <w:tcW w:w="2835" w:type="dxa"/>
          </w:tcPr>
          <w:p w:rsidR="000E58EC" w:rsidRPr="00A77E6F" w:rsidRDefault="000E58EC" w:rsidP="001764F6">
            <w:pPr>
              <w:rPr>
                <w:b/>
                <w:sz w:val="15"/>
                <w:szCs w:val="15"/>
              </w:rPr>
            </w:pPr>
            <w:r w:rsidRPr="00A77E6F">
              <w:rPr>
                <w:b/>
                <w:sz w:val="15"/>
                <w:szCs w:val="15"/>
              </w:rPr>
              <w:t>GRANICE PODOBSZARÓW WŁĄCZONYCH DO OBSZARU REWITALIZACJI</w:t>
            </w:r>
          </w:p>
        </w:tc>
      </w:tr>
    </w:tbl>
    <w:p w:rsidR="003F0824" w:rsidRPr="00D031CD" w:rsidRDefault="00C35D0A" w:rsidP="001764F6">
      <w:pPr>
        <w:jc w:val="both"/>
        <w:rPr>
          <w:rFonts w:ascii="Calibri" w:hAnsi="Calibri" w:cs="Calibri"/>
          <w:i/>
          <w:sz w:val="18"/>
          <w:szCs w:val="18"/>
        </w:rPr>
      </w:pPr>
      <w:r w:rsidRPr="00D031CD">
        <w:rPr>
          <w:rFonts w:ascii="Calibri" w:hAnsi="Calibri" w:cs="Calibri"/>
          <w:i/>
          <w:sz w:val="18"/>
          <w:szCs w:val="18"/>
        </w:rPr>
        <w:t xml:space="preserve">Źródło: </w:t>
      </w:r>
      <w:r w:rsidR="001735A0">
        <w:rPr>
          <w:rFonts w:ascii="Calibri" w:hAnsi="Calibri" w:cs="Calibri"/>
          <w:i/>
          <w:sz w:val="18"/>
          <w:szCs w:val="18"/>
        </w:rPr>
        <w:t>O</w:t>
      </w:r>
      <w:r w:rsidR="00B82B33">
        <w:rPr>
          <w:rFonts w:ascii="Calibri" w:hAnsi="Calibri" w:cs="Calibri"/>
          <w:i/>
          <w:sz w:val="18"/>
          <w:szCs w:val="18"/>
        </w:rPr>
        <w:t xml:space="preserve">pracowanie własne </w:t>
      </w:r>
    </w:p>
    <w:p w:rsidR="000C70A4" w:rsidRDefault="000C70A4" w:rsidP="002924F7">
      <w:pPr>
        <w:pStyle w:val="Tekstpodstawowy2"/>
        <w:spacing w:before="240"/>
        <w:ind w:firstLine="708"/>
        <w:rPr>
          <w:rFonts w:ascii="Calibri" w:hAnsi="Calibri" w:cs="Calibri"/>
          <w:szCs w:val="20"/>
        </w:rPr>
      </w:pPr>
      <w:r>
        <w:rPr>
          <w:rFonts w:ascii="Calibri" w:hAnsi="Calibri" w:cs="Calibri"/>
          <w:szCs w:val="20"/>
        </w:rPr>
        <w:t xml:space="preserve">Zdefiniowane w studium cele i kierunki rozwoju przestrzennego miasta </w:t>
      </w:r>
      <w:r w:rsidR="00820E2C">
        <w:rPr>
          <w:rFonts w:ascii="Calibri" w:hAnsi="Calibri" w:cs="Calibri"/>
          <w:szCs w:val="20"/>
        </w:rPr>
        <w:t>po</w:t>
      </w:r>
      <w:r>
        <w:rPr>
          <w:rFonts w:ascii="Calibri" w:hAnsi="Calibri" w:cs="Calibri"/>
          <w:szCs w:val="20"/>
        </w:rPr>
        <w:t>winny umożliwić skuteczne prowadzenie polityki rozwoju: przestrzennego, programowego, społecznego, środowiskowego, gospodarczego, kulturalnego i technicznego, zachowując jednocześnie cechy i zasady zgodne z zasadami zrównoważonego rozwoju.</w:t>
      </w:r>
    </w:p>
    <w:p w:rsidR="000C70A4" w:rsidRDefault="000C70A4" w:rsidP="002924F7">
      <w:pPr>
        <w:spacing w:before="120"/>
        <w:ind w:firstLine="708"/>
        <w:jc w:val="both"/>
        <w:rPr>
          <w:rFonts w:ascii="Calibri" w:hAnsi="Calibri" w:cs="Calibri"/>
          <w:szCs w:val="20"/>
        </w:rPr>
      </w:pPr>
      <w:r>
        <w:rPr>
          <w:rFonts w:ascii="Calibri" w:hAnsi="Calibri" w:cs="Calibri"/>
          <w:szCs w:val="20"/>
        </w:rPr>
        <w:t>„Uwarunkowania Zagospodarowania Przestrzennego” w tomie I Studium wskazują po przeprowadzonej obszernej analizie stanu miasta,</w:t>
      </w:r>
      <w:r w:rsidR="003542A5">
        <w:rPr>
          <w:rFonts w:ascii="Calibri" w:hAnsi="Calibri" w:cs="Calibri"/>
          <w:szCs w:val="20"/>
        </w:rPr>
        <w:t xml:space="preserve"> iż przy zrównoważonym budżecie</w:t>
      </w:r>
      <w:r>
        <w:rPr>
          <w:rFonts w:ascii="Calibri" w:hAnsi="Calibri" w:cs="Calibri"/>
          <w:szCs w:val="20"/>
        </w:rPr>
        <w:t xml:space="preserve"> struktura wydatków nie gwarantuje rozwijania ze środków budżetowych strategicznych dla rozwoju miasta zadań i inwestycji. Z punktu widzenia koniecznych </w:t>
      </w:r>
      <w:r w:rsidR="00820E2C">
        <w:rPr>
          <w:rFonts w:ascii="Calibri" w:hAnsi="Calibri" w:cs="Calibri"/>
          <w:szCs w:val="20"/>
        </w:rPr>
        <w:t xml:space="preserve">do przeprowadzenia </w:t>
      </w:r>
      <w:r>
        <w:rPr>
          <w:rFonts w:ascii="Calibri" w:hAnsi="Calibri" w:cs="Calibri"/>
          <w:szCs w:val="20"/>
        </w:rPr>
        <w:t>inwestycji zdecydowanie większych nakładów budżetowych wymagają m.in.</w:t>
      </w:r>
      <w:r w:rsidR="00820E2C">
        <w:rPr>
          <w:rFonts w:ascii="Calibri" w:hAnsi="Calibri" w:cs="Calibri"/>
          <w:szCs w:val="20"/>
        </w:rPr>
        <w:t>:</w:t>
      </w:r>
      <w:r>
        <w:rPr>
          <w:rFonts w:ascii="Calibri" w:hAnsi="Calibri" w:cs="Calibri"/>
          <w:szCs w:val="20"/>
        </w:rPr>
        <w:t xml:space="preserve"> działalność usługowa, gospodarka komunalna i ochrona środowiska, ochrona dziedzictwa narodowego oraz kultura fizyczna i sport. Dla ich realizacji należałoby pozyskać wieloletnie gwarantowane dotacje celowe, których całość winna być wydatkowana na cele inwestycyjne.</w:t>
      </w:r>
    </w:p>
    <w:p w:rsidR="000C70A4" w:rsidRDefault="000C70A4" w:rsidP="002924F7">
      <w:pPr>
        <w:pStyle w:val="NormalnyWeb"/>
        <w:autoSpaceDE w:val="0"/>
        <w:autoSpaceDN w:val="0"/>
        <w:adjustRightInd w:val="0"/>
        <w:spacing w:before="120" w:beforeAutospacing="0" w:after="0" w:afterAutospacing="0"/>
        <w:ind w:firstLine="708"/>
        <w:jc w:val="both"/>
        <w:rPr>
          <w:rFonts w:ascii="Calibri" w:hAnsi="Calibri" w:cs="Calibri"/>
          <w:szCs w:val="20"/>
        </w:rPr>
      </w:pPr>
      <w:r>
        <w:rPr>
          <w:rFonts w:ascii="Calibri" w:hAnsi="Calibri" w:cs="Calibri"/>
          <w:szCs w:val="20"/>
        </w:rPr>
        <w:t>Cele „Gminnego Programu Rewitalizacji. Bytom 2020+” znajdują p</w:t>
      </w:r>
      <w:r w:rsidR="00C82D46">
        <w:rPr>
          <w:rFonts w:ascii="Calibri" w:hAnsi="Calibri" w:cs="Calibri"/>
          <w:szCs w:val="20"/>
        </w:rPr>
        <w:t xml:space="preserve">otwierdzenie w wyznaczonych </w:t>
      </w:r>
      <w:r w:rsidR="00C82D46">
        <w:rPr>
          <w:rFonts w:ascii="Calibri" w:hAnsi="Calibri" w:cs="Calibri"/>
          <w:szCs w:val="20"/>
        </w:rPr>
        <w:br/>
        <w:t>w s</w:t>
      </w:r>
      <w:r>
        <w:rPr>
          <w:rFonts w:ascii="Calibri" w:hAnsi="Calibri" w:cs="Calibri"/>
          <w:szCs w:val="20"/>
        </w:rPr>
        <w:t>tudium</w:t>
      </w:r>
      <w:r>
        <w:rPr>
          <w:rFonts w:ascii="Calibri" w:hAnsi="Calibri" w:cs="Calibri"/>
          <w:i/>
          <w:iCs/>
          <w:szCs w:val="20"/>
        </w:rPr>
        <w:t xml:space="preserve"> </w:t>
      </w:r>
      <w:r>
        <w:rPr>
          <w:rFonts w:ascii="Calibri" w:hAnsi="Calibri" w:cs="Calibri"/>
          <w:szCs w:val="20"/>
        </w:rPr>
        <w:t>kierunkach zmian struktury przestrzennej miasta.</w:t>
      </w:r>
      <w:r w:rsidR="00C82D46">
        <w:rPr>
          <w:rFonts w:ascii="Calibri" w:hAnsi="Calibri" w:cs="Calibri"/>
          <w:szCs w:val="20"/>
        </w:rPr>
        <w:t xml:space="preserve"> Tym samym dokument </w:t>
      </w:r>
      <w:r w:rsidR="00C90CBD">
        <w:rPr>
          <w:rFonts w:ascii="Calibri" w:hAnsi="Calibri" w:cs="Calibri"/>
          <w:szCs w:val="20"/>
        </w:rPr>
        <w:t xml:space="preserve">stanowi </w:t>
      </w:r>
      <w:r w:rsidR="00C82D46">
        <w:rPr>
          <w:rFonts w:ascii="Calibri" w:hAnsi="Calibri" w:cs="Calibri"/>
          <w:szCs w:val="20"/>
        </w:rPr>
        <w:t>uszczegół</w:t>
      </w:r>
      <w:r w:rsidR="00C90CBD">
        <w:rPr>
          <w:rFonts w:ascii="Calibri" w:hAnsi="Calibri" w:cs="Calibri"/>
          <w:szCs w:val="20"/>
        </w:rPr>
        <w:t xml:space="preserve">owienie </w:t>
      </w:r>
      <w:r w:rsidR="00C82D46">
        <w:rPr>
          <w:rFonts w:ascii="Calibri" w:hAnsi="Calibri" w:cs="Calibri"/>
          <w:szCs w:val="20"/>
        </w:rPr>
        <w:t>zapis</w:t>
      </w:r>
      <w:r w:rsidR="00C90CBD">
        <w:rPr>
          <w:rFonts w:ascii="Calibri" w:hAnsi="Calibri" w:cs="Calibri"/>
          <w:szCs w:val="20"/>
        </w:rPr>
        <w:t>ów studium.</w:t>
      </w:r>
    </w:p>
    <w:p w:rsidR="009207D4" w:rsidRDefault="009207D4">
      <w:pPr>
        <w:pStyle w:val="NormalnyWeb"/>
        <w:autoSpaceDE w:val="0"/>
        <w:autoSpaceDN w:val="0"/>
        <w:adjustRightInd w:val="0"/>
        <w:spacing w:before="120" w:beforeAutospacing="0" w:after="0" w:afterAutospacing="0"/>
        <w:ind w:firstLine="567"/>
        <w:jc w:val="both"/>
        <w:rPr>
          <w:rFonts w:ascii="Calibri" w:hAnsi="Calibri" w:cs="Calibri"/>
          <w:szCs w:val="20"/>
        </w:rPr>
      </w:pPr>
    </w:p>
    <w:p w:rsidR="000C70A4" w:rsidRPr="00581E59" w:rsidRDefault="00086E4F" w:rsidP="000A01FB">
      <w:pPr>
        <w:pStyle w:val="Nagwek4"/>
        <w:shd w:val="clear" w:color="auto" w:fill="F2F2F2" w:themeFill="background1" w:themeFillShade="F2"/>
        <w:spacing w:before="0" w:after="0"/>
        <w:jc w:val="both"/>
        <w:rPr>
          <w:rFonts w:cs="Calibri"/>
          <w:i w:val="0"/>
          <w:color w:val="548DD4" w:themeColor="text2" w:themeTint="99"/>
          <w:szCs w:val="22"/>
        </w:rPr>
      </w:pPr>
      <w:bookmarkStart w:id="1043" w:name="_Toc460173681"/>
      <w:bookmarkStart w:id="1044" w:name="_Toc460313265"/>
      <w:r w:rsidRPr="00581E59">
        <w:rPr>
          <w:rFonts w:cs="Calibri"/>
          <w:i w:val="0"/>
          <w:color w:val="548DD4" w:themeColor="text2" w:themeTint="99"/>
          <w:szCs w:val="22"/>
        </w:rPr>
        <w:lastRenderedPageBreak/>
        <w:t>Miejscowe p</w:t>
      </w:r>
      <w:r w:rsidR="000C70A4" w:rsidRPr="00581E59">
        <w:rPr>
          <w:rFonts w:cs="Calibri"/>
          <w:i w:val="0"/>
          <w:color w:val="548DD4" w:themeColor="text2" w:themeTint="99"/>
          <w:szCs w:val="22"/>
        </w:rPr>
        <w:t>lany zagospodarowania przestrzennego</w:t>
      </w:r>
      <w:bookmarkEnd w:id="1043"/>
      <w:bookmarkEnd w:id="1044"/>
    </w:p>
    <w:p w:rsidR="009207D4" w:rsidRPr="00581E59" w:rsidRDefault="009207D4" w:rsidP="00BA527D"/>
    <w:p w:rsidR="00FF6A49" w:rsidRPr="00581E59" w:rsidRDefault="00FF6A49" w:rsidP="00FF6A49">
      <w:pPr>
        <w:ind w:firstLine="709"/>
        <w:jc w:val="both"/>
        <w:rPr>
          <w:rFonts w:ascii="Calibri" w:hAnsi="Calibri" w:cs="Calibri"/>
          <w:szCs w:val="20"/>
        </w:rPr>
      </w:pPr>
      <w:bookmarkStart w:id="1045" w:name="_Toc460173682"/>
      <w:bookmarkStart w:id="1046" w:name="_Toc460313266"/>
      <w:r w:rsidRPr="00581E59">
        <w:rPr>
          <w:rFonts w:ascii="Calibri" w:hAnsi="Calibri" w:cs="Calibri"/>
          <w:szCs w:val="20"/>
        </w:rPr>
        <w:t>Miejscowy plan zagospodarowania przestrzennego jest aktem prawa miejscowego określającym przeznaczenie, warunki zagospodarowania i zabudowy terenu, a także rozmieszczenie inwestycji celu publicznego.</w:t>
      </w:r>
    </w:p>
    <w:p w:rsidR="00FF6A49" w:rsidRPr="00581E59" w:rsidRDefault="00FF6A49" w:rsidP="00463955">
      <w:pPr>
        <w:shd w:val="clear" w:color="auto" w:fill="F2F2F2" w:themeFill="background1" w:themeFillShade="F2"/>
        <w:ind w:firstLine="709"/>
        <w:jc w:val="both"/>
        <w:rPr>
          <w:rFonts w:ascii="Calibri" w:hAnsi="Calibri" w:cs="Calibri"/>
          <w:szCs w:val="20"/>
        </w:rPr>
      </w:pPr>
      <w:r w:rsidRPr="00581E59">
        <w:rPr>
          <w:rFonts w:ascii="Calibri" w:hAnsi="Calibri" w:cs="Calibri"/>
          <w:szCs w:val="20"/>
        </w:rPr>
        <w:t xml:space="preserve">W Bytomiu obowiązuje 48 planów zagospodarowania przestrzennego, obejmujących głównie obszary zabudowy mieszkaniowej wielorodzinnej z usługami, obszary przeznaczone pod inwestycje, obejmujące tereny poprzemysłowe oraz obszary leżące wzdłuż infrastruktury transportowej. </w:t>
      </w:r>
    </w:p>
    <w:p w:rsidR="00FF6A49" w:rsidRPr="00581E59" w:rsidRDefault="00FF6A49" w:rsidP="00FF6A49">
      <w:pPr>
        <w:spacing w:before="120"/>
        <w:ind w:firstLine="567"/>
        <w:jc w:val="both"/>
        <w:rPr>
          <w:szCs w:val="20"/>
        </w:rPr>
      </w:pPr>
      <w:r w:rsidRPr="00581E59">
        <w:rPr>
          <w:szCs w:val="20"/>
        </w:rPr>
        <w:t>Obowiązujące miejscowe plany zagospodarowania przestrzennego są powiązane z gminnym programem rewitalizacji i obejmują swoim zasięgiem w całości lub w części podobszary włączone do obszaru rewitalizacji:</w:t>
      </w:r>
    </w:p>
    <w:p w:rsidR="00FF6A49" w:rsidRPr="00581E59" w:rsidRDefault="00FF6A49" w:rsidP="00463955">
      <w:pPr>
        <w:pStyle w:val="Akapitzlist"/>
        <w:numPr>
          <w:ilvl w:val="0"/>
          <w:numId w:val="46"/>
        </w:numPr>
        <w:shd w:val="clear" w:color="auto" w:fill="F2F2F2" w:themeFill="background1" w:themeFillShade="F2"/>
        <w:spacing w:after="0" w:line="240" w:lineRule="auto"/>
        <w:ind w:left="714" w:hanging="357"/>
        <w:jc w:val="both"/>
        <w:rPr>
          <w:rFonts w:asciiTheme="minorHAnsi" w:hAnsiTheme="minorHAnsi" w:cstheme="minorHAnsi"/>
          <w:sz w:val="20"/>
          <w:szCs w:val="20"/>
        </w:rPr>
      </w:pPr>
      <w:r w:rsidRPr="00581E59">
        <w:rPr>
          <w:rFonts w:asciiTheme="minorHAnsi" w:hAnsiTheme="minorHAnsi" w:cstheme="minorHAnsi"/>
          <w:sz w:val="20"/>
          <w:szCs w:val="20"/>
        </w:rPr>
        <w:t>miejscowy plan zagospodarowania przestrzennego terenu położonego na północ od ul. Powstańców Śląskich, obejmującego obszar w rejonie ulicy Dworskiej i Al. Jana Pawła II, zwany planem „Dworska-Wschód” – uchwała Rady Miejskiej w Bytomiu nr XLV/628/09 z dnia 27 kwietnia 2009 r. (podobszary: 11 ,13);</w:t>
      </w:r>
    </w:p>
    <w:p w:rsidR="00FF6A49" w:rsidRPr="00581E59" w:rsidRDefault="00FF6A49" w:rsidP="00463955">
      <w:pPr>
        <w:pStyle w:val="Akapitzlist"/>
        <w:numPr>
          <w:ilvl w:val="0"/>
          <w:numId w:val="46"/>
        </w:numPr>
        <w:shd w:val="clear" w:color="auto" w:fill="F2F2F2" w:themeFill="background1" w:themeFillShade="F2"/>
        <w:spacing w:after="0" w:line="240" w:lineRule="auto"/>
        <w:ind w:left="714" w:hanging="357"/>
        <w:jc w:val="both"/>
        <w:rPr>
          <w:rFonts w:asciiTheme="minorHAnsi" w:hAnsiTheme="minorHAnsi" w:cstheme="minorHAnsi"/>
          <w:sz w:val="20"/>
          <w:szCs w:val="20"/>
        </w:rPr>
      </w:pPr>
      <w:r w:rsidRPr="00581E59">
        <w:rPr>
          <w:rFonts w:asciiTheme="minorHAnsi" w:hAnsiTheme="minorHAnsi" w:cstheme="minorHAnsi"/>
          <w:sz w:val="20"/>
          <w:szCs w:val="20"/>
        </w:rPr>
        <w:t xml:space="preserve">miejscowy plan zagospodarowania przestrzennego dla terenu położonego w rejonie ulic: Dworskiej, Strzelców Bytomskich i Stanisława Witczaka w Bytomiu - Etap II - uchwała Rady Miejskiej w Bytomiu nr XIV/112/25 Rady Miejskiej W Bytomiu z dnia 10 lutego 2025 r. (podobszar 13); </w:t>
      </w:r>
    </w:p>
    <w:p w:rsidR="00FF6A49" w:rsidRPr="00581E59" w:rsidRDefault="00FF6A49" w:rsidP="00463955">
      <w:pPr>
        <w:pStyle w:val="Akapitzlist"/>
        <w:numPr>
          <w:ilvl w:val="0"/>
          <w:numId w:val="46"/>
        </w:numPr>
        <w:shd w:val="clear" w:color="auto" w:fill="F2F2F2" w:themeFill="background1" w:themeFillShade="F2"/>
        <w:spacing w:after="0" w:line="240" w:lineRule="auto"/>
        <w:ind w:left="714" w:hanging="357"/>
        <w:jc w:val="both"/>
        <w:rPr>
          <w:rFonts w:asciiTheme="minorHAnsi" w:hAnsiTheme="minorHAnsi" w:cstheme="minorHAnsi"/>
          <w:sz w:val="20"/>
          <w:szCs w:val="20"/>
        </w:rPr>
      </w:pPr>
      <w:r w:rsidRPr="00581E59">
        <w:rPr>
          <w:rFonts w:asciiTheme="minorHAnsi" w:hAnsiTheme="minorHAnsi" w:cstheme="minorHAnsi"/>
          <w:sz w:val="20"/>
          <w:szCs w:val="20"/>
        </w:rPr>
        <w:t xml:space="preserve">miejscowy plan zagospodarowania przestrzennego dla fragmentu obszaru Rozbarku – uchwała Rady Miejskiej w Bytomiu nr LVII/756/22 z dnia 28 marca 2022 r. (podobszar 12); </w:t>
      </w:r>
    </w:p>
    <w:p w:rsidR="00FF6A49" w:rsidRPr="00581E59" w:rsidRDefault="00FF6A49" w:rsidP="00463955">
      <w:pPr>
        <w:pStyle w:val="Akapitzlist"/>
        <w:numPr>
          <w:ilvl w:val="0"/>
          <w:numId w:val="46"/>
        </w:numPr>
        <w:shd w:val="clear" w:color="auto" w:fill="F2F2F2" w:themeFill="background1" w:themeFillShade="F2"/>
        <w:spacing w:after="0" w:line="240" w:lineRule="auto"/>
        <w:ind w:left="714" w:hanging="357"/>
        <w:jc w:val="both"/>
        <w:rPr>
          <w:rFonts w:asciiTheme="minorHAnsi" w:hAnsiTheme="minorHAnsi" w:cstheme="minorHAnsi"/>
          <w:sz w:val="20"/>
          <w:szCs w:val="20"/>
        </w:rPr>
      </w:pPr>
      <w:r w:rsidRPr="00581E59">
        <w:rPr>
          <w:rFonts w:asciiTheme="minorHAnsi" w:hAnsiTheme="minorHAnsi" w:cstheme="minorHAnsi"/>
          <w:sz w:val="20"/>
          <w:szCs w:val="20"/>
        </w:rPr>
        <w:t>miejscowy plan zagospodarowania przestrzennego dla terenu „Starych Miechowic” – uchwała Rady Miejskiej w Bytomiu nr VIII/87/11 z dnia 23 lutego 2011 r. z późn. zm. (podobszar 28);</w:t>
      </w:r>
    </w:p>
    <w:p w:rsidR="00FF6A49" w:rsidRPr="00581E59" w:rsidRDefault="00FF6A49" w:rsidP="00463955">
      <w:pPr>
        <w:pStyle w:val="Akapitzlist"/>
        <w:numPr>
          <w:ilvl w:val="0"/>
          <w:numId w:val="46"/>
        </w:numPr>
        <w:shd w:val="clear" w:color="auto" w:fill="F2F2F2" w:themeFill="background1" w:themeFillShade="F2"/>
        <w:spacing w:after="0" w:line="240" w:lineRule="auto"/>
        <w:ind w:left="714" w:hanging="357"/>
        <w:jc w:val="both"/>
        <w:rPr>
          <w:rFonts w:asciiTheme="minorHAnsi" w:hAnsiTheme="minorHAnsi" w:cstheme="minorHAnsi"/>
          <w:sz w:val="20"/>
          <w:szCs w:val="20"/>
        </w:rPr>
      </w:pPr>
      <w:r w:rsidRPr="00581E59">
        <w:rPr>
          <w:rFonts w:asciiTheme="minorHAnsi" w:hAnsiTheme="minorHAnsi" w:cstheme="minorHAnsi"/>
          <w:sz w:val="20"/>
          <w:szCs w:val="20"/>
        </w:rPr>
        <w:t>miejscowy plan zagospodarowania przestrzennego południowej części Miechowic w Bytomiu – uchwała Rady Miejskiej w Bytomiu nr LIV/737/22 z dnia 28 lutego 2022 r. (podobszar 28);</w:t>
      </w:r>
    </w:p>
    <w:p w:rsidR="00FF6A49" w:rsidRPr="00581E59" w:rsidRDefault="00FF6A49" w:rsidP="00463955">
      <w:pPr>
        <w:pStyle w:val="Akapitzlist"/>
        <w:numPr>
          <w:ilvl w:val="0"/>
          <w:numId w:val="46"/>
        </w:numPr>
        <w:shd w:val="clear" w:color="auto" w:fill="F2F2F2" w:themeFill="background1" w:themeFillShade="F2"/>
        <w:spacing w:after="0" w:line="240" w:lineRule="auto"/>
        <w:ind w:left="714" w:hanging="357"/>
        <w:jc w:val="both"/>
        <w:rPr>
          <w:rFonts w:asciiTheme="minorHAnsi" w:hAnsiTheme="minorHAnsi" w:cstheme="minorHAnsi"/>
          <w:sz w:val="20"/>
          <w:szCs w:val="20"/>
        </w:rPr>
      </w:pPr>
      <w:r w:rsidRPr="00581E59">
        <w:rPr>
          <w:rFonts w:asciiTheme="minorHAnsi" w:hAnsiTheme="minorHAnsi" w:cstheme="minorHAnsi"/>
          <w:sz w:val="20"/>
          <w:szCs w:val="20"/>
        </w:rPr>
        <w:t>miejscowy plan zagospodarowania przestrzennego obszaru położonego w południowej części miasta Bytomia, zwanego planem „Łagiewniki-Zachód” – uchwała Rady Miejskiej w Bytomiu nr XXI/286/11 z dnia 28 grudnia 2011 r. z późn. zm. (podobszar 26);</w:t>
      </w:r>
    </w:p>
    <w:p w:rsidR="00FF6A49" w:rsidRPr="00581E59" w:rsidRDefault="00FF6A49" w:rsidP="00FF6A49">
      <w:pPr>
        <w:pStyle w:val="Akapitzlist"/>
        <w:numPr>
          <w:ilvl w:val="0"/>
          <w:numId w:val="46"/>
        </w:numPr>
        <w:spacing w:after="0" w:line="240" w:lineRule="auto"/>
        <w:ind w:left="714" w:hanging="357"/>
        <w:jc w:val="both"/>
        <w:rPr>
          <w:rFonts w:asciiTheme="minorHAnsi" w:hAnsiTheme="minorHAnsi" w:cstheme="minorHAnsi"/>
          <w:sz w:val="20"/>
          <w:szCs w:val="20"/>
        </w:rPr>
      </w:pPr>
      <w:r w:rsidRPr="00581E59">
        <w:rPr>
          <w:rFonts w:asciiTheme="minorHAnsi" w:hAnsiTheme="minorHAnsi" w:cstheme="minorHAnsi"/>
          <w:sz w:val="20"/>
          <w:szCs w:val="20"/>
        </w:rPr>
        <w:t>miejscowy plan zagospodarowania przestrzennego terenu dawnej KWK Rozbark – uchwała Rady Miejskiej w Bytomiu nr XXVIII/418/12 z dnia 25 kwietnia 2012 r. (podobszar 24);</w:t>
      </w:r>
    </w:p>
    <w:p w:rsidR="00FF6A49" w:rsidRPr="00581E59" w:rsidRDefault="00FF6A49" w:rsidP="00463955">
      <w:pPr>
        <w:pStyle w:val="Akapitzlist"/>
        <w:numPr>
          <w:ilvl w:val="0"/>
          <w:numId w:val="46"/>
        </w:numPr>
        <w:shd w:val="clear" w:color="auto" w:fill="F2F2F2" w:themeFill="background1" w:themeFillShade="F2"/>
        <w:spacing w:after="0" w:line="240" w:lineRule="auto"/>
        <w:ind w:left="714" w:hanging="357"/>
        <w:jc w:val="both"/>
        <w:rPr>
          <w:rFonts w:asciiTheme="minorHAnsi" w:hAnsiTheme="minorHAnsi" w:cstheme="minorHAnsi"/>
          <w:sz w:val="20"/>
          <w:szCs w:val="20"/>
        </w:rPr>
      </w:pPr>
      <w:r w:rsidRPr="00581E59">
        <w:rPr>
          <w:rFonts w:asciiTheme="minorHAnsi" w:hAnsiTheme="minorHAnsi" w:cstheme="minorHAnsi"/>
          <w:sz w:val="20"/>
          <w:szCs w:val="20"/>
        </w:rPr>
        <w:t>miejscowy plan zagospodarowania przestrzennego obszaru położonego na poprzemysłowych terenach południowej części miasta Bytomia, zwanego planem „Szombierki-Południe" – uchwała Rady Miejskiej w Bytomiu nr XXXVI/485/12 z dnia 30 lipca 2012 r. z późn. zm. (podobszary: 19, 25, 26);</w:t>
      </w:r>
    </w:p>
    <w:p w:rsidR="00FF6A49" w:rsidRPr="00581E59" w:rsidRDefault="00FF6A49" w:rsidP="00FF6A49">
      <w:pPr>
        <w:pStyle w:val="Akapitzlist"/>
        <w:numPr>
          <w:ilvl w:val="0"/>
          <w:numId w:val="46"/>
        </w:numPr>
        <w:spacing w:after="0" w:line="240" w:lineRule="auto"/>
        <w:ind w:left="714" w:hanging="357"/>
        <w:jc w:val="both"/>
        <w:rPr>
          <w:rFonts w:asciiTheme="minorHAnsi" w:hAnsiTheme="minorHAnsi" w:cstheme="minorHAnsi"/>
          <w:sz w:val="20"/>
          <w:szCs w:val="20"/>
        </w:rPr>
      </w:pPr>
      <w:r w:rsidRPr="00581E59">
        <w:rPr>
          <w:rFonts w:asciiTheme="minorHAnsi" w:hAnsiTheme="minorHAnsi" w:cstheme="minorHAnsi"/>
          <w:sz w:val="20"/>
          <w:szCs w:val="20"/>
        </w:rPr>
        <w:t>miejscowy plan zagospodarowania przestrzennego części obszaru Bobrka w Bytomiu – uchwała Rady Miejskiej w Bytomiu nr X/119/13 z dnia 25 lutego 2013 r. (podobszary: 8, 29);</w:t>
      </w:r>
    </w:p>
    <w:p w:rsidR="00FF6A49" w:rsidRPr="00581E59" w:rsidRDefault="00FF6A49" w:rsidP="00463955">
      <w:pPr>
        <w:pStyle w:val="Akapitzlist"/>
        <w:numPr>
          <w:ilvl w:val="0"/>
          <w:numId w:val="46"/>
        </w:numPr>
        <w:shd w:val="clear" w:color="auto" w:fill="F2F2F2" w:themeFill="background1" w:themeFillShade="F2"/>
        <w:spacing w:after="0" w:line="240" w:lineRule="auto"/>
        <w:ind w:left="714" w:hanging="357"/>
        <w:jc w:val="both"/>
        <w:rPr>
          <w:rFonts w:asciiTheme="minorHAnsi" w:hAnsiTheme="minorHAnsi" w:cstheme="minorHAnsi"/>
          <w:sz w:val="20"/>
          <w:szCs w:val="20"/>
        </w:rPr>
      </w:pPr>
      <w:r w:rsidRPr="00581E59">
        <w:rPr>
          <w:rFonts w:asciiTheme="minorHAnsi" w:hAnsiTheme="minorHAnsi" w:cstheme="minorHAnsi"/>
          <w:sz w:val="20"/>
          <w:szCs w:val="20"/>
        </w:rPr>
        <w:t>miejscowy plan zagospodarowania przestrzennego części obszaru Karbia w Bytomiu – uchwała Rady Miejskiej w Bytomiu nr IX/129/15 z dnia 27 maja 2015 r. z późn. zm. (podobszar 29);</w:t>
      </w:r>
    </w:p>
    <w:p w:rsidR="00FF6A49" w:rsidRPr="00581E59" w:rsidRDefault="00FF6A49" w:rsidP="00463955">
      <w:pPr>
        <w:pStyle w:val="Akapitzlist"/>
        <w:numPr>
          <w:ilvl w:val="0"/>
          <w:numId w:val="46"/>
        </w:numPr>
        <w:shd w:val="clear" w:color="auto" w:fill="F2F2F2" w:themeFill="background1" w:themeFillShade="F2"/>
        <w:spacing w:after="0" w:line="240" w:lineRule="auto"/>
        <w:ind w:left="714" w:hanging="357"/>
        <w:jc w:val="both"/>
        <w:rPr>
          <w:rFonts w:asciiTheme="minorHAnsi" w:hAnsiTheme="minorHAnsi" w:cstheme="minorHAnsi"/>
          <w:sz w:val="20"/>
          <w:szCs w:val="20"/>
        </w:rPr>
      </w:pPr>
      <w:r w:rsidRPr="00581E59">
        <w:rPr>
          <w:rFonts w:asciiTheme="minorHAnsi" w:hAnsiTheme="minorHAnsi" w:cstheme="minorHAnsi"/>
          <w:sz w:val="20"/>
          <w:szCs w:val="20"/>
        </w:rPr>
        <w:t>miejscowy plan zagospodarowania przestrzennego śródmieścia Bytomia oraz terenu położonego w rejonie ul. Wrocławskiej w Bytomiu - uchwała Rady Miejskiej w Bytomiu nr XLIII/590/21 z dnia 24 maja 2021 r. (podobszar 11);</w:t>
      </w:r>
    </w:p>
    <w:p w:rsidR="00FF6A49" w:rsidRPr="00581E59" w:rsidRDefault="00FF6A49" w:rsidP="00463955">
      <w:pPr>
        <w:pStyle w:val="Akapitzlist"/>
        <w:numPr>
          <w:ilvl w:val="0"/>
          <w:numId w:val="46"/>
        </w:numPr>
        <w:shd w:val="clear" w:color="auto" w:fill="F2F2F2" w:themeFill="background1" w:themeFillShade="F2"/>
        <w:spacing w:after="0" w:line="240" w:lineRule="auto"/>
        <w:ind w:left="714" w:hanging="357"/>
        <w:jc w:val="both"/>
        <w:rPr>
          <w:rFonts w:asciiTheme="minorHAnsi" w:hAnsiTheme="minorHAnsi" w:cstheme="minorHAnsi"/>
          <w:sz w:val="20"/>
          <w:szCs w:val="20"/>
        </w:rPr>
      </w:pPr>
      <w:r w:rsidRPr="00581E59">
        <w:rPr>
          <w:rFonts w:asciiTheme="minorHAnsi" w:hAnsiTheme="minorHAnsi" w:cstheme="minorHAnsi"/>
          <w:sz w:val="20"/>
          <w:szCs w:val="20"/>
        </w:rPr>
        <w:t>miejscowy plan zagospodarowania przestrzennego śródmieścia Bytomia oraz terenu położonego w rejonie ul. Wrocławskiej w Bytomiu - część 2 - uchwała Rady Miejskiej w Bytomiu nr LIV/738/22 z dnia 28 lutego 2022 r. z późn. zm. (podobszar 10, 11, 13);</w:t>
      </w:r>
    </w:p>
    <w:p w:rsidR="00FF6A49" w:rsidRPr="00581E59" w:rsidRDefault="00FF6A49" w:rsidP="00463955">
      <w:pPr>
        <w:pStyle w:val="Akapitzlist"/>
        <w:numPr>
          <w:ilvl w:val="0"/>
          <w:numId w:val="46"/>
        </w:numPr>
        <w:shd w:val="clear" w:color="auto" w:fill="F2F2F2" w:themeFill="background1" w:themeFillShade="F2"/>
        <w:spacing w:after="0" w:line="240" w:lineRule="auto"/>
        <w:ind w:left="714" w:hanging="357"/>
        <w:jc w:val="both"/>
        <w:rPr>
          <w:rFonts w:asciiTheme="minorHAnsi" w:hAnsiTheme="minorHAnsi" w:cstheme="minorHAnsi"/>
          <w:sz w:val="20"/>
          <w:szCs w:val="20"/>
        </w:rPr>
      </w:pPr>
      <w:r w:rsidRPr="00581E59">
        <w:rPr>
          <w:rFonts w:asciiTheme="minorHAnsi" w:hAnsiTheme="minorHAnsi" w:cstheme="minorHAnsi"/>
          <w:sz w:val="20"/>
          <w:szCs w:val="20"/>
        </w:rPr>
        <w:t xml:space="preserve">zmiana miejscowego planu ogólnego zagospodarowania przestrzennego miasta Bytomia dla terenu </w:t>
      </w:r>
      <w:r w:rsidRPr="00581E59">
        <w:rPr>
          <w:rFonts w:asciiTheme="minorHAnsi" w:hAnsiTheme="minorHAnsi" w:cstheme="minorHAnsi"/>
          <w:sz w:val="20"/>
          <w:szCs w:val="20"/>
        </w:rPr>
        <w:br/>
        <w:t xml:space="preserve"> w obrębie działek nr: 255/13, 256/13, 263/13 położonych przy ulicy Siemianowickiej w Bytomiu - uchwała Rady Miejskiej w Bytomiu nr V/55/03 z dnia 29 stycznia 2003 r. (podobszar 32);</w:t>
      </w:r>
    </w:p>
    <w:p w:rsidR="00FF6A49" w:rsidRPr="00581E59" w:rsidRDefault="00FF6A49" w:rsidP="00463955">
      <w:pPr>
        <w:pStyle w:val="Akapitzlist"/>
        <w:numPr>
          <w:ilvl w:val="0"/>
          <w:numId w:val="46"/>
        </w:numPr>
        <w:shd w:val="clear" w:color="auto" w:fill="F2F2F2" w:themeFill="background1" w:themeFillShade="F2"/>
        <w:spacing w:after="0" w:line="240" w:lineRule="auto"/>
        <w:ind w:left="714" w:hanging="357"/>
        <w:jc w:val="both"/>
        <w:rPr>
          <w:rFonts w:asciiTheme="minorHAnsi" w:hAnsiTheme="minorHAnsi" w:cstheme="minorHAnsi"/>
          <w:sz w:val="20"/>
          <w:szCs w:val="20"/>
        </w:rPr>
      </w:pPr>
      <w:r w:rsidRPr="00581E59">
        <w:rPr>
          <w:rFonts w:asciiTheme="minorHAnsi" w:hAnsiTheme="minorHAnsi" w:cstheme="minorHAnsi"/>
          <w:sz w:val="20"/>
          <w:szCs w:val="20"/>
        </w:rPr>
        <w:t>miejscowy plan zagospodarowania przestrzennego dla terenu położonego w rejonie ulicy Łużyckiej w Bytomiu – uchwała Rady Miejskiej w Bytomiu nr LXXX/1009/23 z dnia 26 czerwca 2023 r. (podobszar 27);</w:t>
      </w:r>
    </w:p>
    <w:p w:rsidR="00FF6A49" w:rsidRPr="00581E59" w:rsidRDefault="00FF6A49" w:rsidP="00463955">
      <w:pPr>
        <w:pStyle w:val="Akapitzlist"/>
        <w:numPr>
          <w:ilvl w:val="0"/>
          <w:numId w:val="46"/>
        </w:numPr>
        <w:shd w:val="clear" w:color="auto" w:fill="F2F2F2" w:themeFill="background1" w:themeFillShade="F2"/>
        <w:spacing w:after="0" w:line="240" w:lineRule="auto"/>
        <w:ind w:left="714" w:hanging="357"/>
        <w:jc w:val="both"/>
        <w:rPr>
          <w:sz w:val="20"/>
          <w:szCs w:val="20"/>
        </w:rPr>
      </w:pPr>
      <w:r w:rsidRPr="00581E59">
        <w:rPr>
          <w:sz w:val="20"/>
          <w:szCs w:val="20"/>
        </w:rPr>
        <w:t>miejscowy plan zagospodarowania przestrzennego w rejonie ulicy Topolowej w Bytomiu - część południowa - uchwała Rady Miejskiej w Bytomiu nr XLIII/592/21 dnia 24 maja 2021 r. (podobszar 27).</w:t>
      </w:r>
    </w:p>
    <w:p w:rsidR="00FF6A49" w:rsidRDefault="00FF6A49" w:rsidP="00FF6A49">
      <w:pPr>
        <w:spacing w:before="120"/>
        <w:jc w:val="both"/>
        <w:rPr>
          <w:rFonts w:ascii="Calibri" w:hAnsi="Calibri" w:cs="Calibri"/>
          <w:szCs w:val="20"/>
        </w:rPr>
      </w:pPr>
      <w:r>
        <w:rPr>
          <w:rFonts w:ascii="Calibri" w:hAnsi="Calibri" w:cs="Calibri"/>
          <w:szCs w:val="20"/>
        </w:rPr>
        <w:t>Obszary objęte planami miejscowymi w większości do siebie przylegają, tworząc spójną całość w ramach dzielnic. „Gminny Program Rewitalizacji. Bytom 2020+” powiązany jest ze wskazanymi powyżej miejscowymi planami zagospodarowania przestrzennego miasta.</w:t>
      </w:r>
    </w:p>
    <w:p w:rsidR="009207D4" w:rsidRPr="000D0739" w:rsidRDefault="000C70A4" w:rsidP="00463955">
      <w:pPr>
        <w:pStyle w:val="Nagwek4"/>
        <w:shd w:val="clear" w:color="auto" w:fill="F2F2F2" w:themeFill="background1" w:themeFillShade="F2"/>
        <w:spacing w:before="0" w:after="0"/>
        <w:jc w:val="both"/>
        <w:rPr>
          <w:rFonts w:cs="Calibri"/>
          <w:i w:val="0"/>
          <w:color w:val="548DD4" w:themeColor="text2" w:themeTint="99"/>
          <w:szCs w:val="22"/>
        </w:rPr>
      </w:pPr>
      <w:r w:rsidRPr="000D0739">
        <w:rPr>
          <w:rFonts w:cs="Calibri"/>
          <w:i w:val="0"/>
          <w:color w:val="548DD4" w:themeColor="text2" w:themeTint="99"/>
          <w:szCs w:val="22"/>
        </w:rPr>
        <w:lastRenderedPageBreak/>
        <w:t>Wieloletni program gospodarowania mieszkaniowym zasobem Gminy Bytom na lata 20</w:t>
      </w:r>
      <w:bookmarkEnd w:id="1045"/>
      <w:bookmarkEnd w:id="1046"/>
      <w:r w:rsidR="00B4607F" w:rsidRPr="000D0739">
        <w:rPr>
          <w:rFonts w:cs="Calibri"/>
          <w:i w:val="0"/>
          <w:color w:val="548DD4" w:themeColor="text2" w:themeTint="99"/>
          <w:szCs w:val="22"/>
        </w:rPr>
        <w:t>20-2026</w:t>
      </w:r>
    </w:p>
    <w:p w:rsidR="00BA527D" w:rsidRDefault="00BA527D" w:rsidP="00463955">
      <w:pPr>
        <w:shd w:val="clear" w:color="auto" w:fill="F2F2F2" w:themeFill="background1" w:themeFillShade="F2"/>
        <w:ind w:firstLine="709"/>
        <w:jc w:val="both"/>
        <w:rPr>
          <w:rFonts w:ascii="Calibri" w:hAnsi="Calibri" w:cs="Calibri"/>
          <w:szCs w:val="20"/>
        </w:rPr>
      </w:pPr>
    </w:p>
    <w:p w:rsidR="007B034A" w:rsidRPr="00BF1DF2" w:rsidRDefault="007B034A" w:rsidP="00463955">
      <w:pPr>
        <w:shd w:val="clear" w:color="auto" w:fill="F2F2F2" w:themeFill="background1" w:themeFillShade="F2"/>
        <w:ind w:firstLine="709"/>
        <w:jc w:val="both"/>
        <w:rPr>
          <w:rFonts w:ascii="Calibri" w:hAnsi="Calibri" w:cs="Calibri"/>
          <w:szCs w:val="20"/>
        </w:rPr>
      </w:pPr>
      <w:r w:rsidRPr="00BF1DF2">
        <w:rPr>
          <w:rFonts w:ascii="Calibri" w:hAnsi="Calibri" w:cs="Calibri"/>
          <w:szCs w:val="20"/>
        </w:rPr>
        <w:t>Program określa obecną wielkość i st</w:t>
      </w:r>
      <w:r w:rsidR="00111EF4" w:rsidRPr="00BF1DF2">
        <w:rPr>
          <w:rFonts w:ascii="Calibri" w:hAnsi="Calibri" w:cs="Calibri"/>
          <w:szCs w:val="20"/>
        </w:rPr>
        <w:t>an techniczny zasobu</w:t>
      </w:r>
      <w:r w:rsidRPr="00BF1DF2">
        <w:rPr>
          <w:rFonts w:ascii="Calibri" w:hAnsi="Calibri" w:cs="Calibri"/>
          <w:szCs w:val="20"/>
        </w:rPr>
        <w:t xml:space="preserve"> mieszkaniowego Gminy Bytom oraz prognozy jego zmian, wskazując jednocześnie, że gmina będzie podejmować wszelkie działania w celu utrzymania posiadanego zasobu mieszkaniowego na takim poziomie, aby umożliwiał on tworzenie warunków do zaspokajania potrzeb mieszkaniowych członków wspólnoty samorządowej. </w:t>
      </w:r>
    </w:p>
    <w:p w:rsidR="000C70A4" w:rsidRPr="00BF1DF2" w:rsidRDefault="000C70A4" w:rsidP="00463955">
      <w:pPr>
        <w:pStyle w:val="NormalnyWeb"/>
        <w:shd w:val="clear" w:color="auto" w:fill="F2F2F2" w:themeFill="background1" w:themeFillShade="F2"/>
        <w:spacing w:before="120" w:beforeAutospacing="0" w:after="0" w:afterAutospacing="0"/>
        <w:ind w:firstLine="708"/>
        <w:jc w:val="both"/>
        <w:rPr>
          <w:rFonts w:ascii="Calibri" w:hAnsi="Calibri" w:cs="Calibri"/>
          <w:szCs w:val="20"/>
        </w:rPr>
      </w:pPr>
      <w:r w:rsidRPr="00BF1DF2">
        <w:rPr>
          <w:rFonts w:ascii="Calibri" w:hAnsi="Calibri" w:cs="Calibri"/>
          <w:szCs w:val="20"/>
        </w:rPr>
        <w:t xml:space="preserve">Program zawiera również zapisy </w:t>
      </w:r>
      <w:r w:rsidR="007B034A" w:rsidRPr="00BF1DF2">
        <w:rPr>
          <w:rFonts w:ascii="Calibri" w:hAnsi="Calibri" w:cs="Calibri"/>
          <w:szCs w:val="20"/>
        </w:rPr>
        <w:t xml:space="preserve">rekomendacje </w:t>
      </w:r>
      <w:r w:rsidRPr="00BF1DF2">
        <w:rPr>
          <w:rFonts w:ascii="Calibri" w:hAnsi="Calibri" w:cs="Calibri"/>
          <w:szCs w:val="20"/>
        </w:rPr>
        <w:t>dotyczące sposobu i zasad zarządzania lokalami i budynkami wchodzącymi</w:t>
      </w:r>
      <w:r w:rsidR="00BC584F" w:rsidRPr="00BF1DF2">
        <w:rPr>
          <w:rFonts w:ascii="Calibri" w:hAnsi="Calibri" w:cs="Calibri"/>
          <w:szCs w:val="20"/>
        </w:rPr>
        <w:t xml:space="preserve"> w skład mieszkaniowego zasobu G</w:t>
      </w:r>
      <w:r w:rsidRPr="00BF1DF2">
        <w:rPr>
          <w:rFonts w:ascii="Calibri" w:hAnsi="Calibri" w:cs="Calibri"/>
          <w:szCs w:val="20"/>
        </w:rPr>
        <w:t>miny Bytom oraz przewidywane zmiany w tym zakresie, określa zasady polityki czynszowej, a także warunki obniżania czynszu. Przedstawiono w nim także założenia, pozwalające na poprawę wykorzystania i racjonalizację gospodarowania zasobem oraz pozyskanie dodatkowych lokali mieszkalnych do mieszkaniowego zasobu gminy. Powiększanie mieszkaniowego zasobu gminy, w tym zasobu lokali powinno być realizowane w szczególności przez:</w:t>
      </w:r>
    </w:p>
    <w:p w:rsidR="000C70A4" w:rsidRPr="00BF1DF2" w:rsidRDefault="000C70A4" w:rsidP="00463955">
      <w:pPr>
        <w:pStyle w:val="NormalnyWeb"/>
        <w:numPr>
          <w:ilvl w:val="0"/>
          <w:numId w:val="27"/>
        </w:numPr>
        <w:shd w:val="clear" w:color="auto" w:fill="F2F2F2" w:themeFill="background1" w:themeFillShade="F2"/>
        <w:tabs>
          <w:tab w:val="clear" w:pos="643"/>
        </w:tabs>
        <w:spacing w:before="0" w:beforeAutospacing="0" w:after="0" w:afterAutospacing="0"/>
        <w:ind w:left="714" w:hanging="357"/>
        <w:jc w:val="both"/>
        <w:rPr>
          <w:rFonts w:ascii="Calibri" w:hAnsi="Calibri" w:cs="Calibri"/>
          <w:szCs w:val="20"/>
        </w:rPr>
      </w:pPr>
      <w:r w:rsidRPr="00BF1DF2">
        <w:rPr>
          <w:rFonts w:ascii="Calibri" w:hAnsi="Calibri" w:cs="Calibri"/>
          <w:szCs w:val="20"/>
        </w:rPr>
        <w:t>adaptacje budynków komunalnych i powierzchni niemieszkalnych (np. strychów, pralni itp.) na lokale mieszkalne i socjalne;</w:t>
      </w:r>
    </w:p>
    <w:p w:rsidR="000C70A4" w:rsidRPr="00BF1DF2" w:rsidRDefault="000C70A4" w:rsidP="00463955">
      <w:pPr>
        <w:pStyle w:val="NormalnyWeb"/>
        <w:numPr>
          <w:ilvl w:val="0"/>
          <w:numId w:val="27"/>
        </w:numPr>
        <w:shd w:val="clear" w:color="auto" w:fill="F2F2F2" w:themeFill="background1" w:themeFillShade="F2"/>
        <w:tabs>
          <w:tab w:val="clear" w:pos="643"/>
        </w:tabs>
        <w:spacing w:before="0" w:beforeAutospacing="0" w:after="0" w:afterAutospacing="0"/>
        <w:ind w:left="714" w:hanging="357"/>
        <w:jc w:val="both"/>
        <w:rPr>
          <w:rFonts w:ascii="Calibri" w:hAnsi="Calibri" w:cs="Calibri"/>
          <w:szCs w:val="20"/>
        </w:rPr>
      </w:pPr>
      <w:r w:rsidRPr="00BF1DF2">
        <w:rPr>
          <w:rFonts w:ascii="Calibri" w:hAnsi="Calibri" w:cs="Calibri"/>
          <w:szCs w:val="20"/>
        </w:rPr>
        <w:t>przekwalifikowanie lokali na lokale socjalne lub tymczasowe pomieszczenia;</w:t>
      </w:r>
    </w:p>
    <w:p w:rsidR="00AC4CE1" w:rsidRPr="00AC4CE1" w:rsidRDefault="000C70A4" w:rsidP="00463955">
      <w:pPr>
        <w:pStyle w:val="NormalnyWeb"/>
        <w:numPr>
          <w:ilvl w:val="0"/>
          <w:numId w:val="27"/>
        </w:numPr>
        <w:shd w:val="clear" w:color="auto" w:fill="F2F2F2" w:themeFill="background1" w:themeFillShade="F2"/>
        <w:tabs>
          <w:tab w:val="clear" w:pos="643"/>
        </w:tabs>
        <w:spacing w:before="0" w:beforeAutospacing="0" w:after="0" w:afterAutospacing="0"/>
        <w:ind w:left="714" w:hanging="357"/>
        <w:jc w:val="both"/>
        <w:rPr>
          <w:rFonts w:ascii="Calibri" w:hAnsi="Calibri" w:cs="Calibri"/>
          <w:szCs w:val="20"/>
        </w:rPr>
      </w:pPr>
      <w:r w:rsidRPr="00BF1DF2">
        <w:rPr>
          <w:rFonts w:ascii="Calibri" w:hAnsi="Calibri" w:cs="Calibri"/>
          <w:szCs w:val="20"/>
        </w:rPr>
        <w:t xml:space="preserve">przejęcie budynków lub lokali na podstawie obowiązujących przepisów prawa od innych podmiotów, </w:t>
      </w:r>
      <w:r w:rsidR="00344786" w:rsidRPr="00BF1DF2">
        <w:rPr>
          <w:rFonts w:ascii="Calibri" w:hAnsi="Calibri" w:cs="Calibri"/>
          <w:szCs w:val="20"/>
        </w:rPr>
        <w:br/>
      </w:r>
      <w:r w:rsidRPr="00BF1DF2">
        <w:rPr>
          <w:rFonts w:ascii="Calibri" w:hAnsi="Calibri" w:cs="Calibri"/>
          <w:szCs w:val="20"/>
        </w:rPr>
        <w:t>w tym również celem adaptacji na lokale mieszkalne, socjalne lub tymczasowe pomieszczenia.</w:t>
      </w:r>
    </w:p>
    <w:p w:rsidR="000C70A4" w:rsidRPr="00AC4CE1" w:rsidRDefault="000C2FF5" w:rsidP="00463955">
      <w:pPr>
        <w:pStyle w:val="NormalnyWeb"/>
        <w:shd w:val="clear" w:color="auto" w:fill="F2F2F2" w:themeFill="background1" w:themeFillShade="F2"/>
        <w:spacing w:before="0" w:beforeAutospacing="0" w:after="0" w:afterAutospacing="0"/>
        <w:jc w:val="both"/>
        <w:rPr>
          <w:rFonts w:ascii="Calibri" w:hAnsi="Calibri" w:cs="Calibri"/>
          <w:szCs w:val="20"/>
        </w:rPr>
      </w:pPr>
      <w:r w:rsidRPr="00AC4CE1">
        <w:rPr>
          <w:rFonts w:ascii="Calibri" w:hAnsi="Calibri" w:cs="Calibri"/>
          <w:szCs w:val="20"/>
        </w:rPr>
        <w:t>W okresie obowiązywania niniejszego Programu, w</w:t>
      </w:r>
      <w:r w:rsidR="000C70A4" w:rsidRPr="00AC4CE1">
        <w:rPr>
          <w:rFonts w:ascii="Calibri" w:hAnsi="Calibri" w:cs="Calibri"/>
          <w:szCs w:val="20"/>
        </w:rPr>
        <w:t xml:space="preserve"> celu poprawy wykorzystania i racjonalizacji gospodarowania mieszkaniowym zasobem gminy</w:t>
      </w:r>
      <w:r w:rsidRPr="00AC4CE1">
        <w:rPr>
          <w:rFonts w:ascii="Calibri" w:hAnsi="Calibri" w:cs="Calibri"/>
          <w:szCs w:val="20"/>
        </w:rPr>
        <w:t>, planowane są</w:t>
      </w:r>
      <w:r w:rsidR="000C70A4" w:rsidRPr="00AC4CE1">
        <w:rPr>
          <w:rFonts w:ascii="Calibri" w:hAnsi="Calibri" w:cs="Calibri"/>
          <w:szCs w:val="20"/>
        </w:rPr>
        <w:t xml:space="preserve"> zadania dotyczące zagadnień związanych z</w:t>
      </w:r>
      <w:r w:rsidRPr="00AC4CE1">
        <w:rPr>
          <w:rFonts w:ascii="Calibri" w:hAnsi="Calibri" w:cs="Calibri"/>
          <w:szCs w:val="20"/>
        </w:rPr>
        <w:t> </w:t>
      </w:r>
      <w:r w:rsidR="000C70A4" w:rsidRPr="00AC4CE1">
        <w:rPr>
          <w:rFonts w:ascii="Calibri" w:hAnsi="Calibri" w:cs="Calibri"/>
          <w:szCs w:val="20"/>
        </w:rPr>
        <w:t>rewitalizacją:</w:t>
      </w:r>
    </w:p>
    <w:p w:rsidR="000C70A4" w:rsidRPr="00BF1DF2" w:rsidRDefault="00EE4A57" w:rsidP="00463955">
      <w:pPr>
        <w:pStyle w:val="NormalnyWeb"/>
        <w:numPr>
          <w:ilvl w:val="0"/>
          <w:numId w:val="28"/>
        </w:numPr>
        <w:shd w:val="clear" w:color="auto" w:fill="F2F2F2" w:themeFill="background1" w:themeFillShade="F2"/>
        <w:tabs>
          <w:tab w:val="clear" w:pos="1553"/>
        </w:tabs>
        <w:spacing w:before="0" w:beforeAutospacing="0" w:after="0" w:afterAutospacing="0"/>
        <w:ind w:left="714" w:hanging="357"/>
        <w:jc w:val="both"/>
        <w:rPr>
          <w:rFonts w:ascii="Calibri" w:hAnsi="Calibri" w:cs="Calibri"/>
          <w:szCs w:val="20"/>
        </w:rPr>
      </w:pPr>
      <w:r w:rsidRPr="00BF1DF2">
        <w:rPr>
          <w:rFonts w:ascii="Calibri" w:hAnsi="Calibri" w:cs="Calibri"/>
          <w:szCs w:val="20"/>
        </w:rPr>
        <w:t xml:space="preserve">kontynuowanie procesu </w:t>
      </w:r>
      <w:r w:rsidR="000C70A4" w:rsidRPr="00BF1DF2">
        <w:rPr>
          <w:rFonts w:ascii="Calibri" w:hAnsi="Calibri" w:cs="Calibri"/>
          <w:szCs w:val="20"/>
        </w:rPr>
        <w:t>zami</w:t>
      </w:r>
      <w:r w:rsidR="007D2D51" w:rsidRPr="00BF1DF2">
        <w:rPr>
          <w:rFonts w:ascii="Calibri" w:hAnsi="Calibri" w:cs="Calibri"/>
          <w:szCs w:val="20"/>
        </w:rPr>
        <w:t>any lokali mieszkalnych służącego</w:t>
      </w:r>
      <w:r w:rsidR="000C70A4" w:rsidRPr="00BF1DF2">
        <w:rPr>
          <w:rFonts w:ascii="Calibri" w:hAnsi="Calibri" w:cs="Calibri"/>
          <w:szCs w:val="20"/>
        </w:rPr>
        <w:t xml:space="preserve"> do realizacji celów jakimi są racjonalne przeprowadzanie napraw i remontów lokali mieszkalnych poprzez dostarczenie lokali zamiennych najemcy w każdym przypadku, gdy rodzaj naprawy lub remontu wymaga przeniesienia do lokalu </w:t>
      </w:r>
      <w:r w:rsidR="000C2FF5" w:rsidRPr="00BF1DF2">
        <w:rPr>
          <w:rFonts w:ascii="Calibri" w:hAnsi="Calibri" w:cs="Calibri"/>
          <w:szCs w:val="20"/>
        </w:rPr>
        <w:t>zamiennego na czas jego trwania;</w:t>
      </w:r>
    </w:p>
    <w:p w:rsidR="00EE4A57" w:rsidRPr="00BF1DF2" w:rsidRDefault="000C70A4" w:rsidP="00463955">
      <w:pPr>
        <w:pStyle w:val="NormalnyWeb"/>
        <w:numPr>
          <w:ilvl w:val="0"/>
          <w:numId w:val="28"/>
        </w:numPr>
        <w:shd w:val="clear" w:color="auto" w:fill="F2F2F2" w:themeFill="background1" w:themeFillShade="F2"/>
        <w:tabs>
          <w:tab w:val="clear" w:pos="1553"/>
        </w:tabs>
        <w:spacing w:before="0" w:beforeAutospacing="0" w:after="0" w:afterAutospacing="0"/>
        <w:ind w:left="714" w:hanging="357"/>
        <w:jc w:val="both"/>
        <w:rPr>
          <w:rFonts w:ascii="Calibri" w:hAnsi="Calibri" w:cs="Calibri"/>
          <w:szCs w:val="20"/>
        </w:rPr>
      </w:pPr>
      <w:r w:rsidRPr="00BF1DF2">
        <w:rPr>
          <w:rFonts w:ascii="Calibri" w:hAnsi="Calibri" w:cs="Calibri"/>
          <w:szCs w:val="20"/>
        </w:rPr>
        <w:t xml:space="preserve">działania zmierzające do </w:t>
      </w:r>
      <w:r w:rsidR="00EE4A57" w:rsidRPr="00BF1DF2">
        <w:rPr>
          <w:rFonts w:ascii="Calibri" w:hAnsi="Calibri" w:cs="Calibri"/>
          <w:szCs w:val="20"/>
        </w:rPr>
        <w:t xml:space="preserve">weryfikacji umów najmu i wypowiadania ich najemcom, których potrzeby mieszkaniowe są zaspokojone; </w:t>
      </w:r>
    </w:p>
    <w:p w:rsidR="000C70A4" w:rsidRPr="00BF1DF2" w:rsidRDefault="000C70A4" w:rsidP="00463955">
      <w:pPr>
        <w:pStyle w:val="NormalnyWeb"/>
        <w:numPr>
          <w:ilvl w:val="0"/>
          <w:numId w:val="28"/>
        </w:numPr>
        <w:shd w:val="clear" w:color="auto" w:fill="F2F2F2" w:themeFill="background1" w:themeFillShade="F2"/>
        <w:tabs>
          <w:tab w:val="clear" w:pos="1553"/>
        </w:tabs>
        <w:spacing w:before="0" w:beforeAutospacing="0" w:after="0" w:afterAutospacing="0"/>
        <w:ind w:left="714" w:hanging="357"/>
        <w:jc w:val="both"/>
        <w:rPr>
          <w:rFonts w:ascii="Calibri" w:hAnsi="Calibri" w:cs="Calibri"/>
          <w:szCs w:val="20"/>
        </w:rPr>
      </w:pPr>
      <w:r w:rsidRPr="00BF1DF2">
        <w:rPr>
          <w:rFonts w:ascii="Calibri" w:hAnsi="Calibri" w:cs="Calibri"/>
          <w:szCs w:val="20"/>
        </w:rPr>
        <w:t>pozyskanie zewnętrznych środków finansowych na budownictwo socjalne i komunalne;</w:t>
      </w:r>
    </w:p>
    <w:p w:rsidR="00EE4A57" w:rsidRPr="00BF1DF2" w:rsidRDefault="00EE4A57" w:rsidP="00463955">
      <w:pPr>
        <w:pStyle w:val="NormalnyWeb"/>
        <w:numPr>
          <w:ilvl w:val="0"/>
          <w:numId w:val="28"/>
        </w:numPr>
        <w:shd w:val="clear" w:color="auto" w:fill="F2F2F2" w:themeFill="background1" w:themeFillShade="F2"/>
        <w:tabs>
          <w:tab w:val="clear" w:pos="1553"/>
        </w:tabs>
        <w:spacing w:before="0" w:beforeAutospacing="0" w:after="0" w:afterAutospacing="0"/>
        <w:ind w:left="714" w:hanging="357"/>
        <w:jc w:val="both"/>
        <w:rPr>
          <w:rFonts w:ascii="Calibri" w:hAnsi="Calibri" w:cs="Calibri"/>
          <w:szCs w:val="20"/>
        </w:rPr>
      </w:pPr>
      <w:r w:rsidRPr="00BF1DF2">
        <w:rPr>
          <w:rFonts w:ascii="Calibri" w:hAnsi="Calibri" w:cs="Calibri"/>
          <w:szCs w:val="20"/>
        </w:rPr>
        <w:t>prowadzenie remontów i modernizacji w sposób kompleksowy z równoczesną rewitalizacją terenów przyległych, w szczególności zagospodarowanie podwórek, urządzenie małej architektury, aranżowanie przestrzeni wspólnych;</w:t>
      </w:r>
    </w:p>
    <w:p w:rsidR="000C70A4" w:rsidRPr="00BF1DF2" w:rsidRDefault="000C70A4" w:rsidP="00463955">
      <w:pPr>
        <w:pStyle w:val="NormalnyWeb"/>
        <w:numPr>
          <w:ilvl w:val="0"/>
          <w:numId w:val="28"/>
        </w:numPr>
        <w:shd w:val="clear" w:color="auto" w:fill="F2F2F2" w:themeFill="background1" w:themeFillShade="F2"/>
        <w:tabs>
          <w:tab w:val="clear" w:pos="1553"/>
        </w:tabs>
        <w:spacing w:before="0" w:beforeAutospacing="0" w:after="0" w:afterAutospacing="0"/>
        <w:ind w:left="714" w:hanging="357"/>
        <w:jc w:val="both"/>
        <w:rPr>
          <w:rFonts w:ascii="Calibri" w:hAnsi="Calibri" w:cs="Calibri"/>
          <w:szCs w:val="20"/>
        </w:rPr>
      </w:pPr>
      <w:r w:rsidRPr="00BF1DF2">
        <w:rPr>
          <w:rFonts w:ascii="Calibri" w:hAnsi="Calibri" w:cs="Calibri"/>
          <w:szCs w:val="20"/>
        </w:rPr>
        <w:t>urbanistyczną rewitalizację zaniedbanych dzielnic miejskich oraz przebudowę substancji mieszkaniowej;</w:t>
      </w:r>
    </w:p>
    <w:p w:rsidR="000C70A4" w:rsidRPr="00BF1DF2" w:rsidRDefault="000C70A4" w:rsidP="00463955">
      <w:pPr>
        <w:pStyle w:val="NormalnyWeb"/>
        <w:numPr>
          <w:ilvl w:val="0"/>
          <w:numId w:val="28"/>
        </w:numPr>
        <w:shd w:val="clear" w:color="auto" w:fill="F2F2F2" w:themeFill="background1" w:themeFillShade="F2"/>
        <w:tabs>
          <w:tab w:val="clear" w:pos="1553"/>
        </w:tabs>
        <w:spacing w:before="0" w:beforeAutospacing="0" w:after="0" w:afterAutospacing="0"/>
        <w:ind w:left="714" w:hanging="357"/>
        <w:jc w:val="both"/>
        <w:rPr>
          <w:rFonts w:ascii="Calibri" w:hAnsi="Calibri" w:cs="Calibri"/>
          <w:szCs w:val="20"/>
        </w:rPr>
      </w:pPr>
      <w:r w:rsidRPr="00BF1DF2">
        <w:rPr>
          <w:rFonts w:ascii="Calibri" w:hAnsi="Calibri" w:cs="Calibri"/>
          <w:szCs w:val="20"/>
        </w:rPr>
        <w:t>podjęcie działań polegających na zmianie systemu ogrzewania w celu zmniejszenia niskiej emisji i</w:t>
      </w:r>
      <w:r w:rsidR="00DA60FE" w:rsidRPr="00BF1DF2">
        <w:rPr>
          <w:rFonts w:ascii="Calibri" w:hAnsi="Calibri" w:cs="Calibri"/>
          <w:szCs w:val="20"/>
        </w:rPr>
        <w:t> </w:t>
      </w:r>
      <w:r w:rsidRPr="00BF1DF2">
        <w:rPr>
          <w:rFonts w:ascii="Calibri" w:hAnsi="Calibri" w:cs="Calibri"/>
          <w:szCs w:val="20"/>
        </w:rPr>
        <w:t>poprawy bezpieczeństwa użytkowników, jak również zastosowania liczników na media oraz inne działania techniczne, zmierzające do poprawy efektywności rozliczeń;</w:t>
      </w:r>
    </w:p>
    <w:p w:rsidR="000C70A4" w:rsidRDefault="000C70A4" w:rsidP="00463955">
      <w:pPr>
        <w:pStyle w:val="NormalnyWeb"/>
        <w:numPr>
          <w:ilvl w:val="0"/>
          <w:numId w:val="28"/>
        </w:numPr>
        <w:shd w:val="clear" w:color="auto" w:fill="F2F2F2" w:themeFill="background1" w:themeFillShade="F2"/>
        <w:tabs>
          <w:tab w:val="clear" w:pos="1553"/>
        </w:tabs>
        <w:spacing w:before="0" w:beforeAutospacing="0" w:after="0" w:afterAutospacing="0"/>
        <w:ind w:left="714" w:hanging="357"/>
        <w:jc w:val="both"/>
        <w:rPr>
          <w:rFonts w:ascii="Calibri" w:hAnsi="Calibri" w:cs="Calibri"/>
          <w:szCs w:val="20"/>
        </w:rPr>
      </w:pPr>
      <w:r w:rsidRPr="00BF1DF2">
        <w:rPr>
          <w:rFonts w:ascii="Calibri" w:hAnsi="Calibri" w:cs="Calibri"/>
          <w:szCs w:val="20"/>
        </w:rPr>
        <w:t>odtwarzanie elementów zabytkowych w remontowanych budynkach.</w:t>
      </w:r>
    </w:p>
    <w:p w:rsidR="007B034A" w:rsidRPr="00AC4CE1" w:rsidRDefault="007F1760" w:rsidP="00463955">
      <w:pPr>
        <w:pStyle w:val="NormalnyWeb"/>
        <w:shd w:val="clear" w:color="auto" w:fill="F2F2F2" w:themeFill="background1" w:themeFillShade="F2"/>
        <w:spacing w:before="0" w:beforeAutospacing="0" w:after="0" w:afterAutospacing="0"/>
        <w:ind w:firstLine="680"/>
        <w:jc w:val="both"/>
        <w:rPr>
          <w:rFonts w:ascii="Calibri" w:hAnsi="Calibri" w:cs="Calibri"/>
          <w:szCs w:val="20"/>
        </w:rPr>
      </w:pPr>
      <w:r w:rsidRPr="00AC4CE1">
        <w:rPr>
          <w:rFonts w:ascii="Calibri" w:hAnsi="Calibri" w:cs="Calibri"/>
          <w:szCs w:val="20"/>
        </w:rPr>
        <w:t>Jednym z założeń programu jest udostępnianie przez gminę lokali na potrzeby mieszkań chronionych, wspomaganych i treningowych</w:t>
      </w:r>
      <w:r w:rsidR="00A66255" w:rsidRPr="00AC4CE1">
        <w:rPr>
          <w:rFonts w:ascii="Calibri" w:hAnsi="Calibri" w:cs="Calibri"/>
          <w:szCs w:val="20"/>
        </w:rPr>
        <w:t>, w celu realizacji przepisów ustaw:</w:t>
      </w:r>
      <w:r w:rsidR="008943DB" w:rsidRPr="00AC4CE1">
        <w:rPr>
          <w:rFonts w:ascii="Calibri" w:hAnsi="Calibri" w:cs="Calibri"/>
          <w:szCs w:val="20"/>
        </w:rPr>
        <w:t xml:space="preserve"> o pomocy społecznej oraz o wspieraniu rodziny i systemie </w:t>
      </w:r>
      <w:r w:rsidR="00A66255" w:rsidRPr="00AC4CE1">
        <w:rPr>
          <w:rFonts w:ascii="Calibri" w:hAnsi="Calibri" w:cs="Calibri"/>
          <w:szCs w:val="20"/>
        </w:rPr>
        <w:t>pieczy zastępczej, co jest zgodne z zapisami dokumentu</w:t>
      </w:r>
      <w:r w:rsidRPr="00AC4CE1">
        <w:rPr>
          <w:rFonts w:ascii="Calibri" w:hAnsi="Calibri" w:cs="Calibri"/>
          <w:szCs w:val="20"/>
        </w:rPr>
        <w:t xml:space="preserve"> </w:t>
      </w:r>
      <w:r w:rsidR="00A66255" w:rsidRPr="00AC4CE1">
        <w:rPr>
          <w:rFonts w:ascii="Calibri" w:hAnsi="Calibri" w:cs="Calibri"/>
          <w:iCs/>
          <w:szCs w:val="20"/>
        </w:rPr>
        <w:t>„Polityka mieszkaniowa Bytomia do 2050</w:t>
      </w:r>
      <w:r w:rsidR="00A66255" w:rsidRPr="00AC4CE1">
        <w:rPr>
          <w:rFonts w:ascii="Calibri" w:hAnsi="Calibri" w:cs="Calibri"/>
          <w:szCs w:val="20"/>
        </w:rPr>
        <w:t xml:space="preserve"> </w:t>
      </w:r>
      <w:r w:rsidR="00A66255" w:rsidRPr="00AC4CE1">
        <w:rPr>
          <w:rFonts w:ascii="Calibri" w:hAnsi="Calibri" w:cs="Calibri"/>
          <w:iCs/>
          <w:szCs w:val="20"/>
        </w:rPr>
        <w:t>roku. Nowy wizerunek miasta”.</w:t>
      </w:r>
      <w:r w:rsidRPr="00AC4CE1">
        <w:rPr>
          <w:rFonts w:ascii="Calibri" w:hAnsi="Calibri" w:cs="Calibri"/>
          <w:szCs w:val="20"/>
        </w:rPr>
        <w:t xml:space="preserve"> </w:t>
      </w:r>
    </w:p>
    <w:p w:rsidR="003C6CE8" w:rsidRPr="00BF1DF2" w:rsidRDefault="003C6CE8" w:rsidP="00463955">
      <w:pPr>
        <w:pStyle w:val="NormalnyWeb"/>
        <w:shd w:val="clear" w:color="auto" w:fill="F2F2F2" w:themeFill="background1" w:themeFillShade="F2"/>
        <w:spacing w:before="120" w:beforeAutospacing="0" w:after="0" w:afterAutospacing="0"/>
        <w:ind w:firstLine="708"/>
        <w:jc w:val="both"/>
        <w:rPr>
          <w:rFonts w:ascii="Calibri" w:hAnsi="Calibri" w:cs="Calibri"/>
          <w:szCs w:val="20"/>
        </w:rPr>
      </w:pPr>
      <w:r w:rsidRPr="00BF1DF2">
        <w:rPr>
          <w:rFonts w:ascii="Calibri" w:hAnsi="Calibri" w:cs="Calibri"/>
          <w:szCs w:val="20"/>
        </w:rPr>
        <w:t>Za cel polityki remontowej nieruchomości przyjmuje się wyrównanie stanów technicznych wszystkich budynków stanowiących mieszkaniowy zasób gminy, poprzez przyjęcie zasady, iż nakłady na remonty pozwolą na utrzymanie budynków w stanie niepogorszonym, a budynki będą posiadać sprawnie działające instalacje wodociągowe, kanalizacyjne, bezpieczną instalację elektryczną odpowiadającą obecnym wymogom technicznym oraz niskie zużycie ciepła będące wynikiem dokonanej termorenowacji (ocieplenia) budynku.</w:t>
      </w:r>
    </w:p>
    <w:p w:rsidR="003C6CE8" w:rsidRPr="00BF1DF2" w:rsidRDefault="003C6CE8" w:rsidP="00463955">
      <w:pPr>
        <w:pStyle w:val="NormalnyWeb"/>
        <w:shd w:val="clear" w:color="auto" w:fill="F2F2F2" w:themeFill="background1" w:themeFillShade="F2"/>
        <w:spacing w:before="120" w:beforeAutospacing="0" w:after="0" w:afterAutospacing="0"/>
        <w:ind w:firstLine="708"/>
        <w:jc w:val="both"/>
        <w:rPr>
          <w:rFonts w:ascii="Calibri" w:hAnsi="Calibri" w:cs="Calibri"/>
          <w:szCs w:val="20"/>
        </w:rPr>
      </w:pPr>
      <w:r w:rsidRPr="00BF1DF2">
        <w:rPr>
          <w:rFonts w:ascii="Calibri" w:hAnsi="Calibri" w:cs="Calibri"/>
          <w:szCs w:val="20"/>
        </w:rPr>
        <w:t>Mając na uwadze ograniczone możliwości finansowe gminy na realizację nowego budownictwa mieszkaniowego, a także wzrastającą liczbę osób oczekujących pomocy gminy w zakresie uzyskania lokalu mieszkalnego, podkreślono konieczność podejmowania działań mających na celu skuteczną realizację zadań dotyczących zapewnienia mieszkańcom lokali, w tym lokali socjalnych, lokali zamiennych oraz pomieszczeń tymczasowych.</w:t>
      </w:r>
    </w:p>
    <w:p w:rsidR="003C6CE8" w:rsidRPr="00BF1DF2" w:rsidRDefault="003C6CE8" w:rsidP="00463955">
      <w:pPr>
        <w:pStyle w:val="NormalnyWeb"/>
        <w:shd w:val="clear" w:color="auto" w:fill="F2F2F2" w:themeFill="background1" w:themeFillShade="F2"/>
        <w:spacing w:before="120" w:beforeAutospacing="0" w:after="0" w:afterAutospacing="0"/>
        <w:ind w:firstLine="708"/>
        <w:jc w:val="both"/>
        <w:rPr>
          <w:rFonts w:ascii="Calibri" w:hAnsi="Calibri" w:cs="Calibri"/>
          <w:szCs w:val="20"/>
        </w:rPr>
      </w:pPr>
      <w:r w:rsidRPr="00BF1DF2">
        <w:rPr>
          <w:rFonts w:ascii="Calibri" w:hAnsi="Calibri" w:cs="Calibri"/>
          <w:szCs w:val="20"/>
        </w:rPr>
        <w:lastRenderedPageBreak/>
        <w:t>Program wskazuje źródła finansowania gospodarki mieszkaniowej, w tym jednym z nich są dotacje z Unii Europejskiej pozyskiwane w ramach programów operacyjnych. Priorytetem powinno być dążenie do zrównoważenia struktury dochodów i wydatków w zakresie gospodarki mieszkaniowej w ramach środków finansowych ujętych w budżecie gminy na dany rok.</w:t>
      </w:r>
    </w:p>
    <w:p w:rsidR="003C6CE8" w:rsidRPr="00BF1DF2" w:rsidRDefault="003C6CE8" w:rsidP="00463955">
      <w:pPr>
        <w:shd w:val="clear" w:color="auto" w:fill="F2F2F2" w:themeFill="background1" w:themeFillShade="F2"/>
        <w:spacing w:before="120"/>
        <w:ind w:firstLine="708"/>
        <w:jc w:val="both"/>
        <w:rPr>
          <w:rFonts w:ascii="Calibri" w:hAnsi="Calibri" w:cs="Calibri"/>
          <w:szCs w:val="20"/>
        </w:rPr>
      </w:pPr>
      <w:r w:rsidRPr="00BF1DF2">
        <w:rPr>
          <w:rFonts w:ascii="Calibri" w:hAnsi="Calibri" w:cs="Calibri"/>
          <w:szCs w:val="20"/>
        </w:rPr>
        <w:t xml:space="preserve">„Gminny Program Rewitalizacji. Bytom 2020+” jest zbieżny z celami wpisanymi w obowiązującym wieloletnim programie gospodarowania mieszkaniowym zasobem Gminy Bytom. </w:t>
      </w:r>
    </w:p>
    <w:p w:rsidR="003C6CE8" w:rsidRDefault="003C6CE8" w:rsidP="00A66255">
      <w:pPr>
        <w:pStyle w:val="NormalnyWeb"/>
        <w:spacing w:before="0" w:beforeAutospacing="0" w:after="0" w:afterAutospacing="0"/>
        <w:ind w:firstLine="708"/>
        <w:jc w:val="both"/>
        <w:rPr>
          <w:rFonts w:ascii="Calibri" w:hAnsi="Calibri" w:cs="Calibri"/>
          <w:szCs w:val="20"/>
        </w:rPr>
      </w:pPr>
    </w:p>
    <w:p w:rsidR="00BD50BE" w:rsidRPr="00BD50BE" w:rsidRDefault="00BD50BE" w:rsidP="00463955">
      <w:pPr>
        <w:pStyle w:val="NormalnyWeb"/>
        <w:shd w:val="clear" w:color="auto" w:fill="F2F2F2" w:themeFill="background1" w:themeFillShade="F2"/>
        <w:spacing w:before="0" w:beforeAutospacing="0" w:after="0" w:afterAutospacing="0"/>
        <w:jc w:val="both"/>
        <w:rPr>
          <w:rFonts w:ascii="Calibri" w:hAnsi="Calibri" w:cs="Calibri"/>
          <w:b/>
          <w:iCs/>
          <w:color w:val="548DD4" w:themeColor="text2" w:themeTint="99"/>
          <w:sz w:val="22"/>
          <w:szCs w:val="22"/>
        </w:rPr>
      </w:pPr>
      <w:r w:rsidRPr="00BD50BE">
        <w:rPr>
          <w:rFonts w:ascii="Calibri" w:hAnsi="Calibri" w:cs="Calibri"/>
          <w:b/>
          <w:iCs/>
          <w:color w:val="548DD4" w:themeColor="text2" w:themeTint="99"/>
          <w:sz w:val="22"/>
          <w:szCs w:val="22"/>
        </w:rPr>
        <w:t>Polityka mieszkaniowa Bytomia do 2050</w:t>
      </w:r>
      <w:r w:rsidRPr="00BD50BE">
        <w:rPr>
          <w:rFonts w:ascii="Calibri" w:hAnsi="Calibri" w:cs="Calibri"/>
          <w:b/>
          <w:color w:val="548DD4" w:themeColor="text2" w:themeTint="99"/>
          <w:sz w:val="22"/>
          <w:szCs w:val="22"/>
        </w:rPr>
        <w:t xml:space="preserve"> </w:t>
      </w:r>
      <w:r w:rsidRPr="00BD50BE">
        <w:rPr>
          <w:rFonts w:ascii="Calibri" w:hAnsi="Calibri" w:cs="Calibri"/>
          <w:b/>
          <w:iCs/>
          <w:color w:val="548DD4" w:themeColor="text2" w:themeTint="99"/>
          <w:sz w:val="22"/>
          <w:szCs w:val="22"/>
        </w:rPr>
        <w:t>roku. Nowy wizerunek miasta</w:t>
      </w:r>
    </w:p>
    <w:p w:rsidR="00F5677F" w:rsidRPr="00BF1DF2" w:rsidRDefault="00B4607F" w:rsidP="00463955">
      <w:pPr>
        <w:shd w:val="clear" w:color="auto" w:fill="F2F2F2" w:themeFill="background1" w:themeFillShade="F2"/>
        <w:spacing w:before="100"/>
        <w:ind w:firstLine="709"/>
        <w:jc w:val="both"/>
        <w:rPr>
          <w:rFonts w:cstheme="minorHAnsi"/>
          <w:bCs/>
          <w:szCs w:val="20"/>
        </w:rPr>
      </w:pPr>
      <w:r w:rsidRPr="00BF1DF2">
        <w:rPr>
          <w:rFonts w:ascii="Calibri" w:hAnsi="Calibri" w:cs="Calibri"/>
          <w:iCs/>
          <w:szCs w:val="20"/>
        </w:rPr>
        <w:t>„Polityka mieszkaniowa Bytomia do 2050</w:t>
      </w:r>
      <w:r w:rsidRPr="00BF1DF2">
        <w:rPr>
          <w:rFonts w:ascii="Calibri" w:hAnsi="Calibri" w:cs="Calibri"/>
          <w:szCs w:val="20"/>
        </w:rPr>
        <w:t xml:space="preserve"> </w:t>
      </w:r>
      <w:r w:rsidRPr="00BF1DF2">
        <w:rPr>
          <w:rFonts w:ascii="Calibri" w:hAnsi="Calibri" w:cs="Calibri"/>
          <w:iCs/>
          <w:szCs w:val="20"/>
        </w:rPr>
        <w:t xml:space="preserve">roku. Nowy wizerunek miasta” </w:t>
      </w:r>
      <w:r w:rsidRPr="00BF1DF2">
        <w:rPr>
          <w:rFonts w:ascii="Calibri" w:hAnsi="Calibri" w:cs="Calibri"/>
          <w:szCs w:val="20"/>
        </w:rPr>
        <w:t xml:space="preserve">to dokument, który pokazuje wizję i długoterminowe cele miasta w zakresie kształtowania warunków mieszkaniowych bytomian. Zostały one sformułowane na podstawie analizy danych dotyczących gospodarowania zasobem mieszkaniowym gminy </w:t>
      </w:r>
      <w:r w:rsidR="00AC4CE1">
        <w:rPr>
          <w:rFonts w:ascii="Calibri" w:hAnsi="Calibri" w:cs="Calibri"/>
          <w:szCs w:val="20"/>
        </w:rPr>
        <w:br/>
      </w:r>
      <w:r w:rsidRPr="00BF1DF2">
        <w:rPr>
          <w:rFonts w:ascii="Calibri" w:hAnsi="Calibri" w:cs="Calibri"/>
          <w:szCs w:val="20"/>
        </w:rPr>
        <w:t>i innymi zasobami nieruchomości na terenie Bytomia, prognoz dotyczących przyszłego zapotrzebowania mieszkańców na mieszkania, a także planów miasta w zakresie rewitalizacji</w:t>
      </w:r>
      <w:r w:rsidR="000E0FB2" w:rsidRPr="00BF1DF2">
        <w:rPr>
          <w:rFonts w:ascii="Calibri" w:hAnsi="Calibri" w:cs="Calibri"/>
          <w:szCs w:val="20"/>
        </w:rPr>
        <w:t>.</w:t>
      </w:r>
      <w:r w:rsidR="00F5677F" w:rsidRPr="00BF1DF2">
        <w:rPr>
          <w:rFonts w:ascii="Calibri" w:hAnsi="Calibri" w:cs="Calibri"/>
          <w:szCs w:val="20"/>
        </w:rPr>
        <w:t xml:space="preserve"> </w:t>
      </w:r>
      <w:r w:rsidR="000E0FB2" w:rsidRPr="00BF1DF2">
        <w:rPr>
          <w:rFonts w:cstheme="minorHAnsi"/>
          <w:bCs/>
          <w:szCs w:val="20"/>
        </w:rPr>
        <w:t>W dokumencie sformułowano wizję, według której j</w:t>
      </w:r>
      <w:r w:rsidR="007B034A" w:rsidRPr="00BF1DF2">
        <w:rPr>
          <w:rFonts w:cstheme="minorHAnsi"/>
          <w:bCs/>
          <w:szCs w:val="20"/>
        </w:rPr>
        <w:t xml:space="preserve">akość zamieszkania w Bytomiu jest efektem współpracy miasta, podmiotów prywatnych </w:t>
      </w:r>
      <w:r w:rsidR="00AC4CE1">
        <w:rPr>
          <w:rFonts w:cstheme="minorHAnsi"/>
          <w:bCs/>
          <w:szCs w:val="20"/>
        </w:rPr>
        <w:br/>
      </w:r>
      <w:r w:rsidR="007B034A" w:rsidRPr="00BF1DF2">
        <w:rPr>
          <w:rFonts w:cstheme="minorHAnsi"/>
          <w:bCs/>
          <w:szCs w:val="20"/>
        </w:rPr>
        <w:t xml:space="preserve">i organizacji pozarządowych, dzięki czemu mieszkania są sprawnie zarządzane, dostępne dla osób o różnych potrzebach, gwarantują dobrą jakość życia w przyjaznym otoczeniu z dostępem do terenów rekreacyjnych </w:t>
      </w:r>
      <w:r w:rsidR="00AC4CE1">
        <w:rPr>
          <w:rFonts w:cstheme="minorHAnsi"/>
          <w:bCs/>
          <w:szCs w:val="20"/>
        </w:rPr>
        <w:br/>
      </w:r>
      <w:r w:rsidR="007B034A" w:rsidRPr="00BF1DF2">
        <w:rPr>
          <w:rFonts w:cstheme="minorHAnsi"/>
          <w:bCs/>
          <w:szCs w:val="20"/>
        </w:rPr>
        <w:t>i sportowych.</w:t>
      </w:r>
      <w:r w:rsidR="000E0FB2" w:rsidRPr="00BF1DF2">
        <w:rPr>
          <w:rFonts w:cstheme="minorHAnsi"/>
          <w:bCs/>
          <w:szCs w:val="20"/>
        </w:rPr>
        <w:t xml:space="preserve"> </w:t>
      </w:r>
    </w:p>
    <w:p w:rsidR="007B034A" w:rsidRPr="00BF1DF2" w:rsidRDefault="000E0FB2" w:rsidP="00463955">
      <w:pPr>
        <w:shd w:val="clear" w:color="auto" w:fill="F2F2F2" w:themeFill="background1" w:themeFillShade="F2"/>
        <w:tabs>
          <w:tab w:val="left" w:pos="4536"/>
        </w:tabs>
        <w:spacing w:before="100"/>
        <w:jc w:val="both"/>
        <w:rPr>
          <w:rFonts w:ascii="Calibri" w:hAnsi="Calibri" w:cs="Calibri"/>
          <w:szCs w:val="20"/>
        </w:rPr>
      </w:pPr>
      <w:r w:rsidRPr="00BF1DF2">
        <w:rPr>
          <w:rFonts w:cstheme="minorHAnsi"/>
          <w:szCs w:val="20"/>
        </w:rPr>
        <w:t>Realizacji tej wizji służą następujące</w:t>
      </w:r>
      <w:r w:rsidR="007B034A" w:rsidRPr="00BF1DF2">
        <w:rPr>
          <w:rFonts w:cstheme="minorHAnsi"/>
          <w:szCs w:val="20"/>
        </w:rPr>
        <w:t xml:space="preserve"> cele długoterminowe:</w:t>
      </w:r>
    </w:p>
    <w:p w:rsidR="007B034A" w:rsidRPr="00BF1DF2" w:rsidRDefault="007B034A" w:rsidP="00463955">
      <w:pPr>
        <w:pStyle w:val="Akapitzlist"/>
        <w:numPr>
          <w:ilvl w:val="0"/>
          <w:numId w:val="792"/>
        </w:numPr>
        <w:shd w:val="clear" w:color="auto" w:fill="F2F2F2" w:themeFill="background1" w:themeFillShade="F2"/>
        <w:spacing w:after="0" w:line="240" w:lineRule="auto"/>
        <w:ind w:left="714" w:hanging="357"/>
        <w:jc w:val="both"/>
        <w:rPr>
          <w:rFonts w:asciiTheme="minorHAnsi" w:hAnsiTheme="minorHAnsi" w:cstheme="minorHAnsi"/>
          <w:bCs/>
          <w:sz w:val="20"/>
          <w:szCs w:val="20"/>
        </w:rPr>
      </w:pPr>
      <w:bookmarkStart w:id="1047" w:name="_Hlk2611020"/>
      <w:r w:rsidRPr="00BF1DF2">
        <w:rPr>
          <w:rFonts w:asciiTheme="minorHAnsi" w:hAnsiTheme="minorHAnsi" w:cstheme="minorHAnsi"/>
          <w:bCs/>
          <w:sz w:val="20"/>
          <w:szCs w:val="20"/>
        </w:rPr>
        <w:t>Poprawa sprawności zarządzania zasobem mieszkaniowym gminy.</w:t>
      </w:r>
    </w:p>
    <w:p w:rsidR="007B034A" w:rsidRPr="00BF1DF2" w:rsidRDefault="007B034A" w:rsidP="00463955">
      <w:pPr>
        <w:pStyle w:val="Akapitzlist"/>
        <w:numPr>
          <w:ilvl w:val="0"/>
          <w:numId w:val="792"/>
        </w:numPr>
        <w:shd w:val="clear" w:color="auto" w:fill="F2F2F2" w:themeFill="background1" w:themeFillShade="F2"/>
        <w:spacing w:after="0" w:line="240" w:lineRule="auto"/>
        <w:ind w:left="714" w:hanging="357"/>
        <w:jc w:val="both"/>
        <w:rPr>
          <w:rFonts w:asciiTheme="minorHAnsi" w:hAnsiTheme="minorHAnsi" w:cstheme="minorHAnsi"/>
          <w:bCs/>
          <w:sz w:val="20"/>
          <w:szCs w:val="20"/>
        </w:rPr>
      </w:pPr>
      <w:r w:rsidRPr="00BF1DF2">
        <w:rPr>
          <w:rFonts w:asciiTheme="minorHAnsi" w:hAnsiTheme="minorHAnsi" w:cstheme="minorHAnsi"/>
          <w:bCs/>
          <w:sz w:val="20"/>
          <w:szCs w:val="20"/>
        </w:rPr>
        <w:t>Poprawa jakości zamieszkania poprzez remonty i kształtowanie wysokiej jakości środowiska mieszkaniowego.</w:t>
      </w:r>
    </w:p>
    <w:p w:rsidR="00AC4CE1" w:rsidRDefault="007B034A" w:rsidP="00463955">
      <w:pPr>
        <w:pStyle w:val="Akapitzlist"/>
        <w:numPr>
          <w:ilvl w:val="0"/>
          <w:numId w:val="792"/>
        </w:numPr>
        <w:shd w:val="clear" w:color="auto" w:fill="F2F2F2" w:themeFill="background1" w:themeFillShade="F2"/>
        <w:spacing w:after="0" w:line="240" w:lineRule="auto"/>
        <w:ind w:left="714" w:hanging="357"/>
        <w:jc w:val="both"/>
        <w:rPr>
          <w:rFonts w:asciiTheme="minorHAnsi" w:hAnsiTheme="minorHAnsi" w:cstheme="minorHAnsi"/>
          <w:bCs/>
          <w:sz w:val="20"/>
          <w:szCs w:val="20"/>
        </w:rPr>
      </w:pPr>
      <w:r w:rsidRPr="00BF1DF2">
        <w:rPr>
          <w:rFonts w:asciiTheme="minorHAnsi" w:hAnsiTheme="minorHAnsi" w:cstheme="minorHAnsi"/>
          <w:bCs/>
          <w:sz w:val="20"/>
          <w:szCs w:val="20"/>
        </w:rPr>
        <w:t xml:space="preserve">Poprawa dostępności mieszkań – gwarancja prawa do mieszkania w zasobie mieszkaniowym gminy </w:t>
      </w:r>
      <w:r w:rsidR="00AC4CE1">
        <w:rPr>
          <w:rFonts w:asciiTheme="minorHAnsi" w:hAnsiTheme="minorHAnsi" w:cstheme="minorHAnsi"/>
          <w:bCs/>
          <w:sz w:val="20"/>
          <w:szCs w:val="20"/>
        </w:rPr>
        <w:br/>
      </w:r>
      <w:r w:rsidRPr="00BF1DF2">
        <w:rPr>
          <w:rFonts w:asciiTheme="minorHAnsi" w:hAnsiTheme="minorHAnsi" w:cstheme="minorHAnsi"/>
          <w:bCs/>
          <w:sz w:val="20"/>
          <w:szCs w:val="20"/>
        </w:rPr>
        <w:t>i zasobach innych podmiotów.</w:t>
      </w:r>
    </w:p>
    <w:p w:rsidR="007B034A" w:rsidRPr="00AC4CE1" w:rsidRDefault="007B034A" w:rsidP="00463955">
      <w:pPr>
        <w:shd w:val="clear" w:color="auto" w:fill="F2F2F2" w:themeFill="background1" w:themeFillShade="F2"/>
        <w:jc w:val="both"/>
        <w:rPr>
          <w:rFonts w:cstheme="minorHAnsi"/>
          <w:bCs/>
          <w:szCs w:val="20"/>
        </w:rPr>
      </w:pPr>
      <w:r w:rsidRPr="00AC4CE1">
        <w:rPr>
          <w:rFonts w:cstheme="minorHAnsi"/>
          <w:szCs w:val="20"/>
        </w:rPr>
        <w:t>Długoterminowe cele polityki mieszkaniowej Bytomia mogą być osiągnięte za pomocą instrumentów polityki mieszkaniowej pogrupowanych w główne komponenty:</w:t>
      </w:r>
    </w:p>
    <w:p w:rsidR="007B034A" w:rsidRPr="00BF1DF2" w:rsidRDefault="00AC3D23" w:rsidP="00463955">
      <w:pPr>
        <w:numPr>
          <w:ilvl w:val="0"/>
          <w:numId w:val="793"/>
        </w:numPr>
        <w:shd w:val="clear" w:color="auto" w:fill="F2F2F2" w:themeFill="background1" w:themeFillShade="F2"/>
        <w:ind w:left="714" w:hanging="357"/>
        <w:jc w:val="both"/>
        <w:rPr>
          <w:rFonts w:cstheme="minorHAnsi"/>
          <w:bCs/>
          <w:szCs w:val="20"/>
        </w:rPr>
      </w:pPr>
      <w:r w:rsidRPr="00BF1DF2">
        <w:rPr>
          <w:rFonts w:cstheme="minorHAnsi"/>
          <w:bCs/>
          <w:szCs w:val="20"/>
        </w:rPr>
        <w:t>Komponent 1: Zarządzanie zasobem mieszkaniowym gminy bytom</w:t>
      </w:r>
    </w:p>
    <w:p w:rsidR="007B034A" w:rsidRPr="00BF1DF2" w:rsidRDefault="00AC3D23" w:rsidP="00463955">
      <w:pPr>
        <w:numPr>
          <w:ilvl w:val="0"/>
          <w:numId w:val="793"/>
        </w:numPr>
        <w:shd w:val="clear" w:color="auto" w:fill="F2F2F2" w:themeFill="background1" w:themeFillShade="F2"/>
        <w:ind w:left="714" w:hanging="357"/>
        <w:jc w:val="both"/>
        <w:rPr>
          <w:rFonts w:cstheme="minorHAnsi"/>
          <w:bCs/>
          <w:szCs w:val="20"/>
        </w:rPr>
      </w:pPr>
      <w:r w:rsidRPr="00BF1DF2">
        <w:rPr>
          <w:rFonts w:cstheme="minorHAnsi"/>
          <w:bCs/>
          <w:szCs w:val="20"/>
        </w:rPr>
        <w:t xml:space="preserve">Komponent 2: Polityka sprzedaży lokali </w:t>
      </w:r>
    </w:p>
    <w:p w:rsidR="007B034A" w:rsidRPr="00BF1DF2" w:rsidRDefault="00AC3D23" w:rsidP="00463955">
      <w:pPr>
        <w:numPr>
          <w:ilvl w:val="0"/>
          <w:numId w:val="793"/>
        </w:numPr>
        <w:shd w:val="clear" w:color="auto" w:fill="F2F2F2" w:themeFill="background1" w:themeFillShade="F2"/>
        <w:ind w:left="714" w:hanging="357"/>
        <w:jc w:val="both"/>
        <w:rPr>
          <w:rFonts w:cstheme="minorHAnsi"/>
          <w:bCs/>
          <w:szCs w:val="20"/>
        </w:rPr>
      </w:pPr>
      <w:r w:rsidRPr="00BF1DF2">
        <w:rPr>
          <w:rFonts w:cstheme="minorHAnsi"/>
          <w:bCs/>
          <w:szCs w:val="20"/>
        </w:rPr>
        <w:t>Komponent 3: Polityka remontowa</w:t>
      </w:r>
    </w:p>
    <w:p w:rsidR="007B034A" w:rsidRPr="00BF1DF2" w:rsidRDefault="00AC3D23" w:rsidP="00463955">
      <w:pPr>
        <w:numPr>
          <w:ilvl w:val="0"/>
          <w:numId w:val="793"/>
        </w:numPr>
        <w:shd w:val="clear" w:color="auto" w:fill="F2F2F2" w:themeFill="background1" w:themeFillShade="F2"/>
        <w:ind w:left="714" w:hanging="357"/>
        <w:jc w:val="both"/>
        <w:rPr>
          <w:rFonts w:cstheme="minorHAnsi"/>
          <w:bCs/>
          <w:szCs w:val="20"/>
        </w:rPr>
      </w:pPr>
      <w:r w:rsidRPr="00BF1DF2">
        <w:rPr>
          <w:rFonts w:cstheme="minorHAnsi"/>
          <w:bCs/>
          <w:szCs w:val="20"/>
        </w:rPr>
        <w:t>Komponent 4: Bytomski model dostępnego mieszkalnictwa</w:t>
      </w:r>
    </w:p>
    <w:p w:rsidR="009207D4" w:rsidRPr="00BF1DF2" w:rsidRDefault="00DA2D68" w:rsidP="00463955">
      <w:pPr>
        <w:shd w:val="clear" w:color="auto" w:fill="F2F2F2" w:themeFill="background1" w:themeFillShade="F2"/>
        <w:spacing w:after="120"/>
        <w:ind w:firstLine="680"/>
        <w:jc w:val="both"/>
        <w:rPr>
          <w:rFonts w:ascii="Calibri" w:hAnsi="Calibri" w:cs="Calibri"/>
          <w:szCs w:val="20"/>
        </w:rPr>
      </w:pPr>
      <w:r w:rsidRPr="00BF1DF2">
        <w:rPr>
          <w:rFonts w:cstheme="minorHAnsi"/>
          <w:bCs/>
          <w:szCs w:val="20"/>
        </w:rPr>
        <w:t>Jako jedno z narzędzi</w:t>
      </w:r>
      <w:r w:rsidRPr="00BF1DF2">
        <w:rPr>
          <w:rFonts w:cstheme="minorHAnsi"/>
          <w:b/>
          <w:bCs/>
          <w:szCs w:val="20"/>
        </w:rPr>
        <w:t xml:space="preserve"> </w:t>
      </w:r>
      <w:r w:rsidRPr="00BF1DF2">
        <w:rPr>
          <w:rFonts w:cstheme="minorHAnsi"/>
          <w:bCs/>
          <w:szCs w:val="20"/>
        </w:rPr>
        <w:t xml:space="preserve">realizowania </w:t>
      </w:r>
      <w:r w:rsidR="00AC3D23" w:rsidRPr="00BF1DF2">
        <w:rPr>
          <w:rFonts w:cstheme="minorHAnsi"/>
          <w:bCs/>
          <w:szCs w:val="20"/>
        </w:rPr>
        <w:t>polityki remontowej gminy</w:t>
      </w:r>
      <w:r w:rsidRPr="00BF1DF2">
        <w:rPr>
          <w:rFonts w:cstheme="minorHAnsi"/>
          <w:bCs/>
          <w:szCs w:val="20"/>
        </w:rPr>
        <w:t xml:space="preserve"> dokument wskazuje „</w:t>
      </w:r>
      <w:r w:rsidRPr="00BF1DF2">
        <w:rPr>
          <w:rFonts w:cstheme="minorHAnsi"/>
          <w:iCs/>
          <w:szCs w:val="20"/>
        </w:rPr>
        <w:t xml:space="preserve">Gminny Program Rewitalizacji. Bytom 2020”. Rozwiązania rekomendowane w dokumencie są zbieżne z celami </w:t>
      </w:r>
      <w:r w:rsidRPr="00BF1DF2">
        <w:rPr>
          <w:rFonts w:cstheme="minorHAnsi"/>
          <w:bCs/>
          <w:szCs w:val="20"/>
        </w:rPr>
        <w:t>„</w:t>
      </w:r>
      <w:r w:rsidRPr="00BF1DF2">
        <w:rPr>
          <w:rFonts w:cstheme="minorHAnsi"/>
          <w:iCs/>
          <w:szCs w:val="20"/>
        </w:rPr>
        <w:t>Gminnego Programu Rewitalizacji. Bytom 2020”, w szczególności</w:t>
      </w:r>
      <w:r w:rsidRPr="00BF1DF2">
        <w:rPr>
          <w:rFonts w:cstheme="minorHAnsi"/>
          <w:bCs/>
          <w:szCs w:val="20"/>
        </w:rPr>
        <w:t xml:space="preserve"> </w:t>
      </w:r>
      <w:r w:rsidRPr="00BF1DF2">
        <w:rPr>
          <w:rFonts w:cstheme="minorHAnsi"/>
          <w:szCs w:val="20"/>
        </w:rPr>
        <w:t>z Celem operacyjnym 3.1: O</w:t>
      </w:r>
      <w:r w:rsidR="00F5677F" w:rsidRPr="00BF1DF2">
        <w:rPr>
          <w:rFonts w:cstheme="minorHAnsi"/>
          <w:szCs w:val="20"/>
        </w:rPr>
        <w:t>dpowiadająca współczesnym standardom cywilizacyjnym jakość zabudowy na obszarach rewitalizowanych oraz wzrost odpowiedzialności mieszkańców za komunalny zasób mie</w:t>
      </w:r>
      <w:r w:rsidRPr="00BF1DF2">
        <w:rPr>
          <w:rFonts w:cstheme="minorHAnsi"/>
          <w:szCs w:val="20"/>
        </w:rPr>
        <w:t>szkaniowy, ale także pośrednio z innymi celami i działaniami dotyczącymi</w:t>
      </w:r>
      <w:r w:rsidR="00F5677F" w:rsidRPr="00BF1DF2">
        <w:rPr>
          <w:rFonts w:cstheme="minorHAnsi"/>
          <w:szCs w:val="20"/>
        </w:rPr>
        <w:t xml:space="preserve"> remontów budynków mieszkalnych oraz poprawy </w:t>
      </w:r>
      <w:r w:rsidRPr="00BF1DF2">
        <w:rPr>
          <w:rFonts w:cstheme="minorHAnsi"/>
          <w:szCs w:val="20"/>
        </w:rPr>
        <w:t>jakości życia mieszkańców</w:t>
      </w:r>
      <w:r w:rsidR="00F5677F" w:rsidRPr="00BF1DF2">
        <w:rPr>
          <w:rFonts w:cstheme="minorHAnsi"/>
          <w:szCs w:val="20"/>
        </w:rPr>
        <w:t>.</w:t>
      </w:r>
      <w:r w:rsidRPr="00BF1DF2">
        <w:rPr>
          <w:rFonts w:cstheme="minorHAnsi"/>
          <w:bCs/>
          <w:szCs w:val="20"/>
        </w:rPr>
        <w:t xml:space="preserve"> </w:t>
      </w:r>
      <w:r w:rsidR="00A92E8A" w:rsidRPr="00BF1DF2">
        <w:rPr>
          <w:rFonts w:cstheme="minorHAnsi"/>
          <w:bCs/>
          <w:szCs w:val="20"/>
        </w:rPr>
        <w:t xml:space="preserve">W dokumencie zdefiniowano katalog działań takich jak: </w:t>
      </w:r>
      <w:r w:rsidR="00A92E8A" w:rsidRPr="00BF1DF2">
        <w:rPr>
          <w:rFonts w:cstheme="minorHAnsi"/>
          <w:szCs w:val="20"/>
        </w:rPr>
        <w:t>p</w:t>
      </w:r>
      <w:r w:rsidR="0039603F" w:rsidRPr="00BF1DF2">
        <w:rPr>
          <w:rFonts w:cstheme="minorHAnsi"/>
          <w:szCs w:val="20"/>
        </w:rPr>
        <w:t>rzywra</w:t>
      </w:r>
      <w:r w:rsidR="00A92E8A" w:rsidRPr="00BF1DF2">
        <w:rPr>
          <w:rFonts w:cstheme="minorHAnsi"/>
          <w:szCs w:val="20"/>
        </w:rPr>
        <w:t xml:space="preserve">canie pustostanów do życia, </w:t>
      </w:r>
      <w:r w:rsidR="0039603F" w:rsidRPr="00BF1DF2">
        <w:rPr>
          <w:rFonts w:cstheme="minorHAnsi"/>
          <w:szCs w:val="20"/>
        </w:rPr>
        <w:t>restrukturyzacj</w:t>
      </w:r>
      <w:r w:rsidR="00A92E8A" w:rsidRPr="00BF1DF2">
        <w:rPr>
          <w:rFonts w:cstheme="minorHAnsi"/>
          <w:szCs w:val="20"/>
        </w:rPr>
        <w:t xml:space="preserve">a zasobu mieszkaniowego Bytomia, remonty dróg, tworzenie przestrzeni publicznych, skwerów oraz miejsc związanych z odpoczynkiem, które </w:t>
      </w:r>
      <w:r w:rsidR="0039603F" w:rsidRPr="00BF1DF2">
        <w:rPr>
          <w:rFonts w:cstheme="minorHAnsi"/>
          <w:szCs w:val="20"/>
        </w:rPr>
        <w:t>są zbieżne ze strategicznym podejściem do uczynienia rewitalizacji motorem rozwoju miasta – poprzez skoncentrowanie działań w zakresie mieszkalnict</w:t>
      </w:r>
      <w:r w:rsidRPr="00BF1DF2">
        <w:rPr>
          <w:rFonts w:cstheme="minorHAnsi"/>
          <w:szCs w:val="20"/>
        </w:rPr>
        <w:t>wa w podobszarach rewitalizacji.</w:t>
      </w:r>
      <w:r w:rsidR="0039603F" w:rsidRPr="00BF1DF2">
        <w:rPr>
          <w:rFonts w:cstheme="minorHAnsi"/>
          <w:szCs w:val="20"/>
        </w:rPr>
        <w:t xml:space="preserve"> </w:t>
      </w:r>
      <w:bookmarkEnd w:id="1047"/>
    </w:p>
    <w:p w:rsidR="009207D4" w:rsidRPr="00A321EC" w:rsidRDefault="000C70A4" w:rsidP="00463955">
      <w:pPr>
        <w:pStyle w:val="Nagwek4"/>
        <w:shd w:val="clear" w:color="auto" w:fill="F2F2F2" w:themeFill="background1" w:themeFillShade="F2"/>
        <w:spacing w:before="100" w:after="0"/>
        <w:jc w:val="both"/>
        <w:rPr>
          <w:rFonts w:asciiTheme="minorHAnsi" w:hAnsiTheme="minorHAnsi" w:cstheme="minorHAnsi"/>
          <w:i w:val="0"/>
          <w:color w:val="3366FF"/>
          <w:szCs w:val="22"/>
        </w:rPr>
      </w:pPr>
      <w:bookmarkStart w:id="1048" w:name="_Toc460173683"/>
      <w:bookmarkStart w:id="1049" w:name="_Toc460313267"/>
      <w:r w:rsidRPr="00A321EC">
        <w:rPr>
          <w:rFonts w:asciiTheme="minorHAnsi" w:hAnsiTheme="minorHAnsi" w:cstheme="minorHAnsi"/>
          <w:i w:val="0"/>
          <w:color w:val="3366FF"/>
          <w:szCs w:val="22"/>
        </w:rPr>
        <w:t>Program Opieki nad Zabytkami Miasta Bytomia na lata 20</w:t>
      </w:r>
      <w:bookmarkEnd w:id="1048"/>
      <w:bookmarkEnd w:id="1049"/>
      <w:r w:rsidR="000B38A5" w:rsidRPr="00A321EC">
        <w:rPr>
          <w:rFonts w:asciiTheme="minorHAnsi" w:hAnsiTheme="minorHAnsi" w:cstheme="minorHAnsi"/>
          <w:i w:val="0"/>
          <w:color w:val="3366FF"/>
          <w:szCs w:val="22"/>
        </w:rPr>
        <w:t>22-2025</w:t>
      </w:r>
    </w:p>
    <w:p w:rsidR="000C70A4" w:rsidRDefault="000C70A4" w:rsidP="00A92E8A">
      <w:pPr>
        <w:autoSpaceDE w:val="0"/>
        <w:autoSpaceDN w:val="0"/>
        <w:adjustRightInd w:val="0"/>
        <w:spacing w:before="100"/>
        <w:ind w:firstLine="709"/>
        <w:jc w:val="both"/>
        <w:rPr>
          <w:rFonts w:ascii="Calibri" w:hAnsi="Calibri" w:cs="Calibri"/>
          <w:szCs w:val="20"/>
        </w:rPr>
      </w:pPr>
      <w:r>
        <w:rPr>
          <w:rFonts w:ascii="Calibri" w:hAnsi="Calibri" w:cs="Calibri"/>
          <w:szCs w:val="20"/>
        </w:rPr>
        <w:t>Gminny program opieki nad zabytkami dla Bytomia określ</w:t>
      </w:r>
      <w:r w:rsidR="000C2FF5">
        <w:rPr>
          <w:rFonts w:ascii="Calibri" w:hAnsi="Calibri" w:cs="Calibri"/>
          <w:szCs w:val="20"/>
        </w:rPr>
        <w:t>a priorytety</w:t>
      </w:r>
      <w:r>
        <w:rPr>
          <w:rFonts w:ascii="Calibri" w:hAnsi="Calibri" w:cs="Calibri"/>
          <w:szCs w:val="20"/>
        </w:rPr>
        <w:t xml:space="preserve"> wynikające m.in. z diagnozy stanu dziedzictwa kulturowego i oceny opracowań strategicznych dotyczących rozwoju społeczno-gospodarczego oraz ze studium uwarunkowań i kierunków zagospodarowania przestrzennego gminy. </w:t>
      </w:r>
    </w:p>
    <w:p w:rsidR="002E5EDE" w:rsidRPr="00BF1DF2" w:rsidRDefault="002E5EDE" w:rsidP="00463955">
      <w:pPr>
        <w:shd w:val="clear" w:color="auto" w:fill="F2F2F2" w:themeFill="background1" w:themeFillShade="F2"/>
        <w:autoSpaceDE w:val="0"/>
        <w:autoSpaceDN w:val="0"/>
        <w:adjustRightInd w:val="0"/>
        <w:spacing w:before="120"/>
        <w:ind w:firstLine="708"/>
        <w:jc w:val="both"/>
        <w:rPr>
          <w:rFonts w:ascii="Calibri" w:eastAsia="TimesNewRomanPSMT" w:hAnsi="Calibri" w:cs="Calibri"/>
          <w:szCs w:val="20"/>
        </w:rPr>
      </w:pPr>
      <w:r w:rsidRPr="00581E59">
        <w:rPr>
          <w:rFonts w:ascii="Calibri" w:eastAsia="TimesNewRomanPSMT" w:hAnsi="Calibri" w:cs="Calibri"/>
          <w:szCs w:val="20"/>
        </w:rPr>
        <w:t>W Gminnej Ewidencji Zabyt</w:t>
      </w:r>
      <w:r w:rsidR="00AC4CE1" w:rsidRPr="00581E59">
        <w:rPr>
          <w:rFonts w:ascii="Calibri" w:eastAsia="TimesNewRomanPSMT" w:hAnsi="Calibri" w:cs="Calibri"/>
          <w:szCs w:val="20"/>
        </w:rPr>
        <w:t>ków Bytomia figuruje ponad 2 312</w:t>
      </w:r>
      <w:r w:rsidRPr="00581E59">
        <w:rPr>
          <w:rFonts w:ascii="Calibri" w:eastAsia="TimesNewRomanPSMT" w:hAnsi="Calibri" w:cs="Calibri"/>
          <w:szCs w:val="20"/>
        </w:rPr>
        <w:t xml:space="preserve"> obiektów zabytko</w:t>
      </w:r>
      <w:r w:rsidR="00FE0927" w:rsidRPr="00581E59">
        <w:rPr>
          <w:rFonts w:ascii="Calibri" w:eastAsia="TimesNewRomanPSMT" w:hAnsi="Calibri" w:cs="Calibri"/>
          <w:szCs w:val="20"/>
        </w:rPr>
        <w:t>wych.</w:t>
      </w:r>
      <w:r w:rsidR="00FE0927" w:rsidRPr="00BF1DF2">
        <w:rPr>
          <w:rFonts w:ascii="Calibri" w:eastAsia="TimesNewRomanPSMT" w:hAnsi="Calibri" w:cs="Calibri"/>
          <w:szCs w:val="20"/>
        </w:rPr>
        <w:t xml:space="preserve"> Spośród nich 87 znajduje się również na liście obiektów wpisanych do rejestru zabytków województwa śląskiego.</w:t>
      </w:r>
    </w:p>
    <w:p w:rsidR="000C70A4" w:rsidRPr="00BF1DF2" w:rsidRDefault="000C70A4" w:rsidP="002924F7">
      <w:pPr>
        <w:autoSpaceDE w:val="0"/>
        <w:autoSpaceDN w:val="0"/>
        <w:adjustRightInd w:val="0"/>
        <w:spacing w:before="120"/>
        <w:ind w:firstLine="708"/>
        <w:jc w:val="both"/>
        <w:rPr>
          <w:rFonts w:ascii="Calibri" w:eastAsia="TimesNewRomanPSMT" w:hAnsi="Calibri" w:cs="Calibri"/>
          <w:szCs w:val="20"/>
        </w:rPr>
      </w:pPr>
      <w:r w:rsidRPr="00BF1DF2">
        <w:rPr>
          <w:rFonts w:ascii="Calibri" w:eastAsia="TimesNewRomanPSMT" w:hAnsi="Calibri" w:cs="Calibri"/>
          <w:szCs w:val="20"/>
        </w:rPr>
        <w:t>Takie nasycenie miasta substancją zabytkową, a często wartość i różnorodność obiektów, wyróżniają Bytom w regionie. Wielki problem stanowi jednak stan tych zabytków oraz skala koniecznych działań rewaloryzacyjnych.</w:t>
      </w:r>
    </w:p>
    <w:p w:rsidR="000C70A4" w:rsidRPr="00BF1DF2" w:rsidRDefault="000C70A4" w:rsidP="002924F7">
      <w:pPr>
        <w:autoSpaceDE w:val="0"/>
        <w:autoSpaceDN w:val="0"/>
        <w:adjustRightInd w:val="0"/>
        <w:spacing w:before="120"/>
        <w:ind w:firstLine="708"/>
        <w:jc w:val="both"/>
        <w:rPr>
          <w:rFonts w:ascii="Calibri" w:eastAsia="TimesNewRomanPSMT" w:hAnsi="Calibri" w:cs="Calibri"/>
          <w:szCs w:val="20"/>
        </w:rPr>
      </w:pPr>
      <w:r w:rsidRPr="00BF1DF2">
        <w:rPr>
          <w:rFonts w:ascii="Calibri" w:eastAsia="TimesNewRomanPSMT" w:hAnsi="Calibri" w:cs="Calibri"/>
          <w:szCs w:val="20"/>
        </w:rPr>
        <w:lastRenderedPageBreak/>
        <w:t xml:space="preserve">W złym stanie znajduje się większość czynszowej zabudowy z końca XIX i początku XX wieku. Budynki są zaniedbane a niektóre poważnie zniszczone. Złożyły się na to wpływy szkód górniczych oraz długotrwały brak remontów. Jeśli chodzi o obiekty należące do osób prywatnych zaniedbania są także wynikiem zaniechań właścicieli. Takie obiekty są zwykle słabo wyposażone. To tam do tej pory funkcjonuje ogrzewanie piecowe </w:t>
      </w:r>
      <w:r w:rsidR="00344786" w:rsidRPr="00BF1DF2">
        <w:rPr>
          <w:rFonts w:ascii="Calibri" w:eastAsia="TimesNewRomanPSMT" w:hAnsi="Calibri" w:cs="Calibri"/>
          <w:szCs w:val="20"/>
        </w:rPr>
        <w:br/>
      </w:r>
      <w:r w:rsidRPr="00BF1DF2">
        <w:rPr>
          <w:rFonts w:ascii="Calibri" w:eastAsia="TimesNewRomanPSMT" w:hAnsi="Calibri" w:cs="Calibri"/>
          <w:szCs w:val="20"/>
        </w:rPr>
        <w:t xml:space="preserve">i </w:t>
      </w:r>
      <w:r w:rsidR="007D5F4F" w:rsidRPr="00BF1DF2">
        <w:rPr>
          <w:rFonts w:ascii="Calibri" w:eastAsia="TimesNewRomanPSMT" w:hAnsi="Calibri" w:cs="Calibri"/>
          <w:szCs w:val="20"/>
        </w:rPr>
        <w:t xml:space="preserve">często </w:t>
      </w:r>
      <w:r w:rsidRPr="00BF1DF2">
        <w:rPr>
          <w:rFonts w:ascii="Calibri" w:eastAsia="TimesNewRomanPSMT" w:hAnsi="Calibri" w:cs="Calibri"/>
          <w:szCs w:val="20"/>
        </w:rPr>
        <w:t xml:space="preserve">występuje brak łazienek i ubikacji w mieszkaniach. Duży stopień zużycia budynków, ich wiek, niewystarczająca w stosunku do potrzeb wysokość środków finansowych przeznaczana przez lata na ich utrzymanie powodują liczne awarie, wymuszające przeprowadzenie doraźnych działań interwencyjnych </w:t>
      </w:r>
      <w:r w:rsidR="00344786" w:rsidRPr="00BF1DF2">
        <w:rPr>
          <w:rFonts w:ascii="Calibri" w:eastAsia="TimesNewRomanPSMT" w:hAnsi="Calibri" w:cs="Calibri"/>
          <w:szCs w:val="20"/>
        </w:rPr>
        <w:br/>
      </w:r>
      <w:r w:rsidRPr="00BF1DF2">
        <w:rPr>
          <w:rFonts w:ascii="Calibri" w:eastAsia="TimesNewRomanPSMT" w:hAnsi="Calibri" w:cs="Calibri"/>
          <w:szCs w:val="20"/>
        </w:rPr>
        <w:t>i remontowych, umożliwiających ich funkcjonowanie, niekoniecznie jednak korzystnych dla estetyki i wartości historycznej obiektów.</w:t>
      </w:r>
    </w:p>
    <w:p w:rsidR="00AC4CE1" w:rsidRDefault="00027EE5" w:rsidP="00463955">
      <w:pPr>
        <w:shd w:val="clear" w:color="auto" w:fill="F2F2F2" w:themeFill="background1" w:themeFillShade="F2"/>
        <w:autoSpaceDE w:val="0"/>
        <w:autoSpaceDN w:val="0"/>
        <w:adjustRightInd w:val="0"/>
        <w:spacing w:before="120"/>
        <w:ind w:firstLine="708"/>
        <w:jc w:val="both"/>
        <w:rPr>
          <w:rFonts w:ascii="Calibri" w:eastAsia="TimesNewRomanPSMT" w:hAnsi="Calibri" w:cs="Calibri"/>
          <w:szCs w:val="20"/>
        </w:rPr>
      </w:pPr>
      <w:r w:rsidRPr="00BF1DF2">
        <w:rPr>
          <w:rFonts w:ascii="Calibri" w:eastAsia="TimesNewRomanPSMT" w:hAnsi="Calibri" w:cs="Calibri"/>
          <w:szCs w:val="20"/>
        </w:rPr>
        <w:t>Należy zauważyć postęp na tym polu w stosunku do lat</w:t>
      </w:r>
      <w:r w:rsidR="00CC39E2" w:rsidRPr="00BF1DF2">
        <w:rPr>
          <w:rFonts w:ascii="Calibri" w:eastAsia="TimesNewRomanPSMT" w:hAnsi="Calibri" w:cs="Calibri"/>
          <w:szCs w:val="20"/>
        </w:rPr>
        <w:t xml:space="preserve"> </w:t>
      </w:r>
      <w:r w:rsidRPr="00BF1DF2">
        <w:rPr>
          <w:rFonts w:ascii="Calibri" w:eastAsia="TimesNewRomanPSMT" w:hAnsi="Calibri" w:cs="Calibri"/>
          <w:szCs w:val="20"/>
        </w:rPr>
        <w:t>ubiegłych, choć środki finansowe niezbędne do poprawy stanu zabudowy przekraczają</w:t>
      </w:r>
      <w:r w:rsidR="00CC39E2" w:rsidRPr="00BF1DF2">
        <w:rPr>
          <w:rFonts w:ascii="Calibri" w:eastAsia="TimesNewRomanPSMT" w:hAnsi="Calibri" w:cs="Calibri"/>
          <w:szCs w:val="20"/>
        </w:rPr>
        <w:t xml:space="preserve"> </w:t>
      </w:r>
      <w:r w:rsidRPr="00BF1DF2">
        <w:rPr>
          <w:rFonts w:ascii="Calibri" w:eastAsia="TimesNewRomanPSMT" w:hAnsi="Calibri" w:cs="Calibri"/>
          <w:szCs w:val="20"/>
        </w:rPr>
        <w:t>możliwości budżetu miasta oraz właścicieli i użytkowników obiektów zabytkowych.</w:t>
      </w:r>
      <w:r w:rsidR="00CC39E2" w:rsidRPr="00BF1DF2">
        <w:rPr>
          <w:rFonts w:ascii="Calibri" w:eastAsia="TimesNewRomanPSMT" w:hAnsi="Calibri" w:cs="Calibri"/>
          <w:szCs w:val="20"/>
        </w:rPr>
        <w:t xml:space="preserve"> </w:t>
      </w:r>
      <w:r w:rsidRPr="00BF1DF2">
        <w:rPr>
          <w:rFonts w:ascii="Calibri" w:eastAsia="TimesNewRomanPSMT" w:hAnsi="Calibri" w:cs="Calibri"/>
          <w:szCs w:val="20"/>
        </w:rPr>
        <w:t>Niewystarczające są zarówno krajowe środki pomocowe jak i zewnętrzne mechanizmy</w:t>
      </w:r>
      <w:r w:rsidR="00CC39E2" w:rsidRPr="00BF1DF2">
        <w:rPr>
          <w:rFonts w:ascii="Calibri" w:eastAsia="TimesNewRomanPSMT" w:hAnsi="Calibri" w:cs="Calibri"/>
          <w:szCs w:val="20"/>
        </w:rPr>
        <w:t xml:space="preserve"> </w:t>
      </w:r>
      <w:r w:rsidRPr="00BF1DF2">
        <w:rPr>
          <w:rFonts w:ascii="Calibri" w:eastAsia="TimesNewRomanPSMT" w:hAnsi="Calibri" w:cs="Calibri"/>
          <w:szCs w:val="20"/>
        </w:rPr>
        <w:t>wspomagające pielęgnację dziedzictwa kulturowego.</w:t>
      </w:r>
    </w:p>
    <w:p w:rsidR="000C70A4" w:rsidRPr="00AC4CE1" w:rsidRDefault="000C70A4" w:rsidP="00463955">
      <w:pPr>
        <w:shd w:val="clear" w:color="auto" w:fill="F2F2F2" w:themeFill="background1" w:themeFillShade="F2"/>
        <w:autoSpaceDE w:val="0"/>
        <w:autoSpaceDN w:val="0"/>
        <w:adjustRightInd w:val="0"/>
        <w:spacing w:before="120"/>
        <w:ind w:firstLine="708"/>
        <w:jc w:val="both"/>
        <w:rPr>
          <w:rFonts w:ascii="Calibri" w:eastAsia="TimesNewRomanPSMT" w:hAnsi="Calibri" w:cs="Calibri"/>
          <w:szCs w:val="20"/>
        </w:rPr>
      </w:pPr>
      <w:r w:rsidRPr="00F579D0">
        <w:rPr>
          <w:rFonts w:eastAsia="TimesNewRomanPSMT" w:cstheme="minorHAnsi"/>
          <w:szCs w:val="20"/>
          <w:shd w:val="clear" w:color="auto" w:fill="F2F2F2" w:themeFill="background1" w:themeFillShade="F2"/>
        </w:rPr>
        <w:t xml:space="preserve">Budowle sakralne na terenie miasta poddawane </w:t>
      </w:r>
      <w:r w:rsidR="000C2FF5" w:rsidRPr="00F579D0">
        <w:rPr>
          <w:rFonts w:eastAsia="TimesNewRomanPSMT" w:cstheme="minorHAnsi"/>
          <w:szCs w:val="20"/>
          <w:shd w:val="clear" w:color="auto" w:fill="F2F2F2" w:themeFill="background1" w:themeFillShade="F2"/>
        </w:rPr>
        <w:t xml:space="preserve">są </w:t>
      </w:r>
      <w:r w:rsidRPr="00F579D0">
        <w:rPr>
          <w:rFonts w:eastAsia="TimesNewRomanPSMT" w:cstheme="minorHAnsi"/>
          <w:szCs w:val="20"/>
          <w:shd w:val="clear" w:color="auto" w:fill="F2F2F2" w:themeFill="background1" w:themeFillShade="F2"/>
        </w:rPr>
        <w:t xml:space="preserve">bieżącej konserwacji, </w:t>
      </w:r>
      <w:r w:rsidR="000C2FF5" w:rsidRPr="00F579D0">
        <w:rPr>
          <w:rFonts w:eastAsia="TimesNewRomanPSMT" w:cstheme="minorHAnsi"/>
          <w:szCs w:val="20"/>
          <w:shd w:val="clear" w:color="auto" w:fill="F2F2F2" w:themeFill="background1" w:themeFillShade="F2"/>
        </w:rPr>
        <w:t>a</w:t>
      </w:r>
      <w:r w:rsidRPr="00F579D0">
        <w:rPr>
          <w:rFonts w:eastAsia="TimesNewRomanPSMT" w:cstheme="minorHAnsi"/>
          <w:szCs w:val="20"/>
          <w:shd w:val="clear" w:color="auto" w:fill="F2F2F2" w:themeFill="background1" w:themeFillShade="F2"/>
        </w:rPr>
        <w:t xml:space="preserve"> najczęściej zakres niezbędnych </w:t>
      </w:r>
      <w:r w:rsidR="000C2FF5" w:rsidRPr="00F579D0">
        <w:rPr>
          <w:rFonts w:eastAsia="TimesNewRomanPSMT" w:cstheme="minorHAnsi"/>
          <w:szCs w:val="20"/>
          <w:shd w:val="clear" w:color="auto" w:fill="F2F2F2" w:themeFill="background1" w:themeFillShade="F2"/>
        </w:rPr>
        <w:t xml:space="preserve">do wykonania </w:t>
      </w:r>
      <w:r w:rsidRPr="00F579D0">
        <w:rPr>
          <w:rFonts w:eastAsia="TimesNewRomanPSMT" w:cstheme="minorHAnsi"/>
          <w:szCs w:val="20"/>
          <w:shd w:val="clear" w:color="auto" w:fill="F2F2F2" w:themeFill="background1" w:themeFillShade="F2"/>
        </w:rPr>
        <w:t>działań przewyższa możliwości finansowe administrator</w:t>
      </w:r>
      <w:r w:rsidR="002A20E5" w:rsidRPr="00F579D0">
        <w:rPr>
          <w:rFonts w:eastAsia="TimesNewRomanPSMT" w:cstheme="minorHAnsi"/>
          <w:szCs w:val="20"/>
          <w:shd w:val="clear" w:color="auto" w:fill="F2F2F2" w:themeFill="background1" w:themeFillShade="F2"/>
        </w:rPr>
        <w:t xml:space="preserve">ów obiektów. Wiele z obiektów, w tym: kościół Św. Małgorzaty, </w:t>
      </w:r>
      <w:r w:rsidR="002A20E5" w:rsidRPr="00F579D0">
        <w:rPr>
          <w:rFonts w:cstheme="minorHAnsi"/>
          <w:szCs w:val="20"/>
          <w:shd w:val="clear" w:color="auto" w:fill="F2F2F2" w:themeFill="background1" w:themeFillShade="F2"/>
        </w:rPr>
        <w:t xml:space="preserve">kościół p.w. Świętej Trójcy , kościół p.w. Wniebowzięcia NMP, kościół filialny p.w. Św. Ducha </w:t>
      </w:r>
      <w:r w:rsidR="002A20E5" w:rsidRPr="00F579D0">
        <w:rPr>
          <w:rFonts w:eastAsia="TimesNewRomanPSMT" w:cstheme="minorHAnsi"/>
          <w:szCs w:val="20"/>
          <w:shd w:val="clear" w:color="auto" w:fill="F2F2F2" w:themeFill="background1" w:themeFillShade="F2"/>
        </w:rPr>
        <w:t>poddanych zostało rewitalizacji ze środków EFRR w ramach RPO WSL na lata2014-2020</w:t>
      </w:r>
      <w:r w:rsidRPr="00BF1DF2">
        <w:rPr>
          <w:rFonts w:eastAsia="TimesNewRomanPSMT" w:cs="Calibri"/>
          <w:szCs w:val="20"/>
        </w:rPr>
        <w:t>.</w:t>
      </w:r>
    </w:p>
    <w:p w:rsidR="000C2FF5" w:rsidRPr="00BF1DF2" w:rsidRDefault="000C70A4" w:rsidP="002924F7">
      <w:pPr>
        <w:autoSpaceDE w:val="0"/>
        <w:autoSpaceDN w:val="0"/>
        <w:adjustRightInd w:val="0"/>
        <w:spacing w:before="120"/>
        <w:ind w:firstLine="708"/>
        <w:jc w:val="both"/>
        <w:rPr>
          <w:rFonts w:ascii="Calibri" w:hAnsi="Calibri" w:cs="Calibri"/>
          <w:szCs w:val="20"/>
        </w:rPr>
      </w:pPr>
      <w:r w:rsidRPr="00BF1DF2">
        <w:rPr>
          <w:rFonts w:ascii="Calibri" w:eastAsia="TimesNewRomanPSMT" w:hAnsi="Calibri" w:cs="Calibri"/>
          <w:szCs w:val="20"/>
        </w:rPr>
        <w:t>W najgorszej sytuacji znajdują się zabytki przemysłowe. Procesy likwidac</w:t>
      </w:r>
      <w:r w:rsidR="000C2FF5" w:rsidRPr="00BF1DF2">
        <w:rPr>
          <w:rFonts w:ascii="Calibri" w:eastAsia="TimesNewRomanPSMT" w:hAnsi="Calibri" w:cs="Calibri"/>
          <w:szCs w:val="20"/>
        </w:rPr>
        <w:t>yjne zakładów przemysłowych (głównie</w:t>
      </w:r>
      <w:r w:rsidRPr="00BF1DF2">
        <w:rPr>
          <w:rFonts w:ascii="Calibri" w:eastAsia="TimesNewRomanPSMT" w:hAnsi="Calibri" w:cs="Calibri"/>
          <w:szCs w:val="20"/>
        </w:rPr>
        <w:t xml:space="preserve"> kopalń i hut) powodują, że duża liczba zabytkowych zespołów przemysłowych uległa zniszczeniu. Towarzyszą temu często nieuregulowane stosunki własnościowe. Obiekty znajdujące się na tych terenach są zazwyczaj trudne do adaptacji</w:t>
      </w:r>
      <w:r w:rsidR="006F556B" w:rsidRPr="00BF1DF2">
        <w:rPr>
          <w:rFonts w:ascii="Calibri" w:eastAsia="TimesNewRomanPSMT" w:hAnsi="Calibri" w:cs="Calibri"/>
          <w:szCs w:val="20"/>
        </w:rPr>
        <w:t>.</w:t>
      </w:r>
      <w:r w:rsidR="000C2FF5" w:rsidRPr="00BF1DF2">
        <w:rPr>
          <w:rFonts w:ascii="Calibri" w:eastAsia="TimesNewRomanPSMT" w:hAnsi="Calibri" w:cs="Calibri"/>
          <w:szCs w:val="20"/>
        </w:rPr>
        <w:t xml:space="preserve"> Program opieki nad zabytkami </w:t>
      </w:r>
      <w:r w:rsidRPr="00BF1DF2">
        <w:rPr>
          <w:rFonts w:ascii="Calibri" w:eastAsia="TimesNewRomanPSMT" w:hAnsi="Calibri" w:cs="Calibri"/>
          <w:szCs w:val="20"/>
        </w:rPr>
        <w:t>wskazuje na konieczność zatrzymania procesu niszczenia substancji zabytkowej, a </w:t>
      </w:r>
      <w:r w:rsidR="006F556B" w:rsidRPr="00BF1DF2">
        <w:rPr>
          <w:rFonts w:ascii="Calibri" w:eastAsia="TimesNewRomanPSMT" w:hAnsi="Calibri" w:cs="Calibri"/>
          <w:szCs w:val="20"/>
        </w:rPr>
        <w:t xml:space="preserve">w </w:t>
      </w:r>
      <w:r w:rsidRPr="00BF1DF2">
        <w:rPr>
          <w:rFonts w:ascii="Calibri" w:eastAsia="TimesNewRomanPSMT" w:hAnsi="Calibri" w:cs="Calibri"/>
          <w:szCs w:val="20"/>
        </w:rPr>
        <w:t xml:space="preserve">przypadku najwartościowszych obiektów ich pełnej rewitalizacji lub nadania im nowych funkcji. </w:t>
      </w:r>
    </w:p>
    <w:p w:rsidR="000C70A4" w:rsidRPr="00BF1DF2" w:rsidRDefault="000C70A4" w:rsidP="002924F7">
      <w:pPr>
        <w:autoSpaceDE w:val="0"/>
        <w:autoSpaceDN w:val="0"/>
        <w:adjustRightInd w:val="0"/>
        <w:spacing w:before="120"/>
        <w:ind w:firstLine="708"/>
        <w:jc w:val="both"/>
        <w:rPr>
          <w:rFonts w:ascii="Calibri" w:hAnsi="Calibri" w:cs="Calibri"/>
          <w:szCs w:val="20"/>
        </w:rPr>
      </w:pPr>
      <w:r w:rsidRPr="00BF1DF2">
        <w:rPr>
          <w:rFonts w:ascii="Calibri" w:hAnsi="Calibri" w:cs="Calibri"/>
          <w:szCs w:val="20"/>
        </w:rPr>
        <w:t>W zakresie</w:t>
      </w:r>
      <w:r w:rsidR="00ED21F7" w:rsidRPr="00BF1DF2">
        <w:rPr>
          <w:rFonts w:ascii="Calibri" w:hAnsi="Calibri" w:cs="Calibri"/>
          <w:szCs w:val="20"/>
        </w:rPr>
        <w:t xml:space="preserve"> dziedzictwa kulturowego należy</w:t>
      </w:r>
      <w:r w:rsidRPr="00BF1DF2">
        <w:rPr>
          <w:rFonts w:ascii="Calibri" w:hAnsi="Calibri" w:cs="Calibri"/>
          <w:szCs w:val="20"/>
        </w:rPr>
        <w:t xml:space="preserve"> się kierować następującymi priorytetami</w:t>
      </w:r>
      <w:r w:rsidR="00254E51" w:rsidRPr="00BF1DF2">
        <w:rPr>
          <w:rFonts w:ascii="Calibri" w:hAnsi="Calibri" w:cs="Calibri"/>
          <w:szCs w:val="20"/>
        </w:rPr>
        <w:t xml:space="preserve"> programu</w:t>
      </w:r>
      <w:r w:rsidRPr="00BF1DF2">
        <w:rPr>
          <w:rFonts w:ascii="Calibri" w:hAnsi="Calibri" w:cs="Calibri"/>
          <w:szCs w:val="20"/>
        </w:rPr>
        <w:t xml:space="preserve">, które realizowane będą przez niniejszy program rewitalizacji: </w:t>
      </w:r>
    </w:p>
    <w:p w:rsidR="00ED21F7" w:rsidRPr="00BF1DF2" w:rsidRDefault="00ED21F7" w:rsidP="00463955">
      <w:pPr>
        <w:shd w:val="clear" w:color="auto" w:fill="F2F2F2" w:themeFill="background1" w:themeFillShade="F2"/>
        <w:spacing w:before="120"/>
        <w:jc w:val="both"/>
        <w:rPr>
          <w:rFonts w:cstheme="minorHAnsi"/>
          <w:b/>
          <w:bCs/>
          <w:sz w:val="22"/>
          <w:szCs w:val="22"/>
        </w:rPr>
      </w:pPr>
      <w:r w:rsidRPr="00BF1DF2">
        <w:rPr>
          <w:rFonts w:cstheme="minorHAnsi"/>
          <w:b/>
          <w:bCs/>
          <w:sz w:val="22"/>
          <w:szCs w:val="22"/>
        </w:rPr>
        <w:t>Priorytet I: Rewaloryzacja dziedzictwa kulturowego miasta</w:t>
      </w:r>
    </w:p>
    <w:p w:rsidR="00443477" w:rsidRPr="00BF1DF2" w:rsidRDefault="000C70A4" w:rsidP="00463955">
      <w:pPr>
        <w:shd w:val="clear" w:color="auto" w:fill="F2F2F2" w:themeFill="background1" w:themeFillShade="F2"/>
        <w:spacing w:before="120"/>
        <w:jc w:val="both"/>
        <w:rPr>
          <w:rFonts w:cstheme="minorHAnsi"/>
          <w:b/>
          <w:bCs/>
          <w:szCs w:val="20"/>
        </w:rPr>
      </w:pPr>
      <w:r w:rsidRPr="00BF1DF2">
        <w:rPr>
          <w:rFonts w:cstheme="minorHAnsi"/>
          <w:b/>
          <w:bCs/>
          <w:szCs w:val="20"/>
        </w:rPr>
        <w:t xml:space="preserve">Kierunek działań: </w:t>
      </w:r>
      <w:r w:rsidR="00443477" w:rsidRPr="00BF1DF2">
        <w:rPr>
          <w:rFonts w:cstheme="minorHAnsi"/>
          <w:bCs/>
          <w:szCs w:val="20"/>
        </w:rPr>
        <w:t>Działania zmierzające do poprawy</w:t>
      </w:r>
      <w:r w:rsidR="00ED21F7" w:rsidRPr="00BF1DF2">
        <w:rPr>
          <w:rFonts w:cstheme="minorHAnsi"/>
          <w:bCs/>
          <w:szCs w:val="20"/>
        </w:rPr>
        <w:t xml:space="preserve"> </w:t>
      </w:r>
      <w:r w:rsidR="00443477" w:rsidRPr="00BF1DF2">
        <w:rPr>
          <w:rFonts w:cstheme="minorHAnsi"/>
          <w:bCs/>
          <w:szCs w:val="20"/>
        </w:rPr>
        <w:t>stanu zachowania obiektów</w:t>
      </w:r>
      <w:r w:rsidR="00ED21F7" w:rsidRPr="00BF1DF2">
        <w:rPr>
          <w:rFonts w:cstheme="minorHAnsi"/>
          <w:bCs/>
          <w:szCs w:val="20"/>
        </w:rPr>
        <w:t xml:space="preserve"> </w:t>
      </w:r>
      <w:r w:rsidR="00443477" w:rsidRPr="00BF1DF2">
        <w:rPr>
          <w:rFonts w:cstheme="minorHAnsi"/>
          <w:bCs/>
          <w:szCs w:val="20"/>
        </w:rPr>
        <w:t>zabytkowych</w:t>
      </w:r>
    </w:p>
    <w:p w:rsidR="000C70A4" w:rsidRPr="00BF1DF2" w:rsidRDefault="000C70A4" w:rsidP="00463955">
      <w:pPr>
        <w:shd w:val="clear" w:color="auto" w:fill="F2F2F2" w:themeFill="background1" w:themeFillShade="F2"/>
        <w:jc w:val="both"/>
        <w:rPr>
          <w:rFonts w:cstheme="minorHAnsi"/>
          <w:b/>
          <w:bCs/>
          <w:szCs w:val="20"/>
        </w:rPr>
      </w:pPr>
      <w:r w:rsidRPr="00BF1DF2">
        <w:rPr>
          <w:rFonts w:cstheme="minorHAnsi"/>
          <w:b/>
          <w:bCs/>
          <w:szCs w:val="20"/>
        </w:rPr>
        <w:t>Zadania:</w:t>
      </w:r>
    </w:p>
    <w:p w:rsidR="00ED21F7" w:rsidRPr="00BF1DF2" w:rsidRDefault="00ED21F7" w:rsidP="00463955">
      <w:pPr>
        <w:pStyle w:val="Akapitzlist"/>
        <w:numPr>
          <w:ilvl w:val="0"/>
          <w:numId w:val="796"/>
        </w:numPr>
        <w:shd w:val="clear" w:color="auto" w:fill="F2F2F2" w:themeFill="background1" w:themeFillShade="F2"/>
        <w:spacing w:after="0" w:line="240" w:lineRule="auto"/>
        <w:ind w:left="714" w:hanging="357"/>
        <w:jc w:val="both"/>
        <w:rPr>
          <w:rFonts w:cstheme="minorHAnsi"/>
          <w:sz w:val="20"/>
          <w:szCs w:val="20"/>
        </w:rPr>
      </w:pPr>
      <w:r w:rsidRPr="00BF1DF2">
        <w:rPr>
          <w:rFonts w:cstheme="minorHAnsi"/>
          <w:sz w:val="20"/>
          <w:szCs w:val="20"/>
        </w:rPr>
        <w:t>zlecanie robót budowlanych i prac konserwatorskich w obiektach zabytkowych, do których Miasto posiada tytuł prawny;</w:t>
      </w:r>
    </w:p>
    <w:p w:rsidR="00ED21F7" w:rsidRPr="00BF1DF2" w:rsidRDefault="00ED21F7" w:rsidP="00463955">
      <w:pPr>
        <w:pStyle w:val="Akapitzlist"/>
        <w:numPr>
          <w:ilvl w:val="0"/>
          <w:numId w:val="796"/>
        </w:numPr>
        <w:shd w:val="clear" w:color="auto" w:fill="F2F2F2" w:themeFill="background1" w:themeFillShade="F2"/>
        <w:spacing w:after="0" w:line="240" w:lineRule="auto"/>
        <w:ind w:left="714" w:hanging="357"/>
        <w:jc w:val="both"/>
        <w:rPr>
          <w:rFonts w:cstheme="minorHAnsi"/>
          <w:sz w:val="20"/>
          <w:szCs w:val="20"/>
        </w:rPr>
      </w:pPr>
      <w:r w:rsidRPr="00BF1DF2">
        <w:rPr>
          <w:rFonts w:cstheme="minorHAnsi"/>
          <w:sz w:val="20"/>
          <w:szCs w:val="20"/>
        </w:rPr>
        <w:t>prowadzenie działań pielęgnacyjnych i rewaloryzacyjnych zabytkowych parków i cmentarzy (oferty pracy sezonowej w</w:t>
      </w:r>
      <w:r w:rsidR="00254E51" w:rsidRPr="00BF1DF2">
        <w:rPr>
          <w:rFonts w:cstheme="minorHAnsi"/>
          <w:sz w:val="20"/>
          <w:szCs w:val="20"/>
        </w:rPr>
        <w:t xml:space="preserve"> </w:t>
      </w:r>
      <w:r w:rsidRPr="00BF1DF2">
        <w:rPr>
          <w:rFonts w:cstheme="minorHAnsi"/>
          <w:sz w:val="20"/>
          <w:szCs w:val="20"/>
        </w:rPr>
        <w:t>zakresie prowadzenia bieżących prac pielęgnacyjnych i porządkowych);</w:t>
      </w:r>
    </w:p>
    <w:p w:rsidR="00ED21F7" w:rsidRPr="00BF1DF2" w:rsidRDefault="00ED21F7" w:rsidP="00463955">
      <w:pPr>
        <w:pStyle w:val="Akapitzlist"/>
        <w:numPr>
          <w:ilvl w:val="0"/>
          <w:numId w:val="796"/>
        </w:numPr>
        <w:shd w:val="clear" w:color="auto" w:fill="F2F2F2" w:themeFill="background1" w:themeFillShade="F2"/>
        <w:spacing w:after="0" w:line="240" w:lineRule="auto"/>
        <w:ind w:left="714" w:hanging="357"/>
        <w:jc w:val="both"/>
        <w:rPr>
          <w:rFonts w:cstheme="minorHAnsi"/>
          <w:sz w:val="20"/>
          <w:szCs w:val="20"/>
        </w:rPr>
      </w:pPr>
      <w:r w:rsidRPr="00BF1DF2">
        <w:rPr>
          <w:rFonts w:cstheme="minorHAnsi"/>
          <w:sz w:val="20"/>
          <w:szCs w:val="20"/>
        </w:rPr>
        <w:t>rewaloryzacja obszarów i obiektów zabytkowych poprzemysłowych z możliwością ich adaptacji do nowych funkcji</w:t>
      </w:r>
      <w:r w:rsidR="00336284" w:rsidRPr="00BF1DF2">
        <w:rPr>
          <w:rFonts w:cstheme="minorHAnsi"/>
          <w:sz w:val="20"/>
          <w:szCs w:val="20"/>
        </w:rPr>
        <w:t>;</w:t>
      </w:r>
    </w:p>
    <w:p w:rsidR="00ED21F7" w:rsidRPr="00BF1DF2" w:rsidRDefault="00ED21F7" w:rsidP="00463955">
      <w:pPr>
        <w:pStyle w:val="Akapitzlist"/>
        <w:numPr>
          <w:ilvl w:val="0"/>
          <w:numId w:val="796"/>
        </w:numPr>
        <w:shd w:val="clear" w:color="auto" w:fill="F2F2F2" w:themeFill="background1" w:themeFillShade="F2"/>
        <w:spacing w:after="0" w:line="240" w:lineRule="auto"/>
        <w:ind w:left="714" w:hanging="357"/>
        <w:jc w:val="both"/>
        <w:rPr>
          <w:rFonts w:cstheme="minorHAnsi"/>
          <w:sz w:val="20"/>
          <w:szCs w:val="20"/>
        </w:rPr>
      </w:pPr>
      <w:r w:rsidRPr="00BF1DF2">
        <w:rPr>
          <w:rFonts w:cstheme="minorHAnsi"/>
          <w:sz w:val="20"/>
          <w:szCs w:val="20"/>
        </w:rPr>
        <w:t>rewitalizacja zabytkowego osiedla robotniczego Bobrek;</w:t>
      </w:r>
    </w:p>
    <w:p w:rsidR="00ED21F7" w:rsidRPr="00BF1DF2" w:rsidRDefault="00ED21F7" w:rsidP="00463955">
      <w:pPr>
        <w:pStyle w:val="Akapitzlist"/>
        <w:numPr>
          <w:ilvl w:val="0"/>
          <w:numId w:val="796"/>
        </w:numPr>
        <w:shd w:val="clear" w:color="auto" w:fill="F2F2F2" w:themeFill="background1" w:themeFillShade="F2"/>
        <w:spacing w:after="0" w:line="240" w:lineRule="auto"/>
        <w:ind w:left="714" w:hanging="357"/>
        <w:jc w:val="both"/>
        <w:rPr>
          <w:rFonts w:cstheme="minorHAnsi"/>
          <w:sz w:val="20"/>
          <w:szCs w:val="20"/>
        </w:rPr>
      </w:pPr>
      <w:r w:rsidRPr="00BF1DF2">
        <w:rPr>
          <w:rFonts w:cstheme="minorHAnsi"/>
          <w:sz w:val="20"/>
          <w:szCs w:val="20"/>
        </w:rPr>
        <w:t>kontynuacja prac związanych z rewitalizacją zabytkowego</w:t>
      </w:r>
      <w:r w:rsidR="00254E51" w:rsidRPr="00BF1DF2">
        <w:rPr>
          <w:rFonts w:cstheme="minorHAnsi"/>
          <w:sz w:val="20"/>
          <w:szCs w:val="20"/>
        </w:rPr>
        <w:t xml:space="preserve"> </w:t>
      </w:r>
      <w:r w:rsidRPr="00BF1DF2">
        <w:rPr>
          <w:rFonts w:cstheme="minorHAnsi"/>
          <w:sz w:val="20"/>
          <w:szCs w:val="20"/>
        </w:rPr>
        <w:t>osiedla Kolonia Zgorzelec (remont generalny 14 budynków oraz</w:t>
      </w:r>
      <w:r w:rsidR="00254E51" w:rsidRPr="00BF1DF2">
        <w:rPr>
          <w:rFonts w:cstheme="minorHAnsi"/>
          <w:sz w:val="20"/>
          <w:szCs w:val="20"/>
        </w:rPr>
        <w:t xml:space="preserve"> </w:t>
      </w:r>
      <w:r w:rsidRPr="00BF1DF2">
        <w:rPr>
          <w:rFonts w:cstheme="minorHAnsi"/>
          <w:sz w:val="20"/>
          <w:szCs w:val="20"/>
        </w:rPr>
        <w:t>zagospodarowanie przestrzeni wokół tych budynków) oraz</w:t>
      </w:r>
      <w:r w:rsidR="00254E51" w:rsidRPr="00BF1DF2">
        <w:rPr>
          <w:rFonts w:cstheme="minorHAnsi"/>
          <w:sz w:val="20"/>
          <w:szCs w:val="20"/>
        </w:rPr>
        <w:t xml:space="preserve"> </w:t>
      </w:r>
      <w:r w:rsidRPr="00BF1DF2">
        <w:rPr>
          <w:rFonts w:cstheme="minorHAnsi"/>
          <w:sz w:val="20"/>
          <w:szCs w:val="20"/>
        </w:rPr>
        <w:t>remont budynków przy ul. Olszewskiego 11, ul. Zabrzańskiej 126</w:t>
      </w:r>
      <w:r w:rsidR="00254E51" w:rsidRPr="00BF1DF2">
        <w:rPr>
          <w:rFonts w:cstheme="minorHAnsi"/>
          <w:sz w:val="20"/>
          <w:szCs w:val="20"/>
        </w:rPr>
        <w:t xml:space="preserve"> </w:t>
      </w:r>
      <w:r w:rsidRPr="00BF1DF2">
        <w:rPr>
          <w:rFonts w:cstheme="minorHAnsi"/>
          <w:sz w:val="20"/>
          <w:szCs w:val="20"/>
        </w:rPr>
        <w:t>i pojedynczych lokali mieszkalnych zlokalizowanych na obszarze</w:t>
      </w:r>
      <w:r w:rsidR="00254E51" w:rsidRPr="00BF1DF2">
        <w:rPr>
          <w:rFonts w:cstheme="minorHAnsi"/>
          <w:sz w:val="20"/>
          <w:szCs w:val="20"/>
        </w:rPr>
        <w:t xml:space="preserve"> </w:t>
      </w:r>
      <w:r w:rsidRPr="00BF1DF2">
        <w:rPr>
          <w:rFonts w:cstheme="minorHAnsi"/>
          <w:sz w:val="20"/>
          <w:szCs w:val="20"/>
        </w:rPr>
        <w:t>Nowej Kolonii Robotniczej;</w:t>
      </w:r>
    </w:p>
    <w:p w:rsidR="00ED21F7" w:rsidRPr="00BF1DF2" w:rsidRDefault="00ED21F7" w:rsidP="00463955">
      <w:pPr>
        <w:pStyle w:val="Akapitzlist"/>
        <w:numPr>
          <w:ilvl w:val="0"/>
          <w:numId w:val="796"/>
        </w:numPr>
        <w:shd w:val="clear" w:color="auto" w:fill="F2F2F2" w:themeFill="background1" w:themeFillShade="F2"/>
        <w:spacing w:after="0" w:line="240" w:lineRule="auto"/>
        <w:ind w:left="714" w:hanging="357"/>
        <w:jc w:val="both"/>
        <w:rPr>
          <w:rFonts w:cstheme="minorHAnsi"/>
          <w:sz w:val="20"/>
          <w:szCs w:val="20"/>
        </w:rPr>
      </w:pPr>
      <w:r w:rsidRPr="00BF1DF2">
        <w:rPr>
          <w:rFonts w:cstheme="minorHAnsi"/>
          <w:sz w:val="20"/>
          <w:szCs w:val="20"/>
        </w:rPr>
        <w:t>termomodernizacja oraz zmiana systemów ogrzewania nieruchomości zlokalizowanych w Śródmieściu Bytomia - ulice: Katowicka, ul. Korfantego, ul. Matejki, ul. Staromiejska, ul. Żeromskiego, ul. Kochanowskiego, ul. Witczaka, ul. Miętkiewicza, ul. Józefczaka;</w:t>
      </w:r>
    </w:p>
    <w:p w:rsidR="00ED21F7" w:rsidRPr="00BF1DF2" w:rsidRDefault="00ED21F7" w:rsidP="00463955">
      <w:pPr>
        <w:pStyle w:val="Akapitzlist"/>
        <w:numPr>
          <w:ilvl w:val="0"/>
          <w:numId w:val="796"/>
        </w:numPr>
        <w:shd w:val="clear" w:color="auto" w:fill="F2F2F2" w:themeFill="background1" w:themeFillShade="F2"/>
        <w:spacing w:after="0" w:line="240" w:lineRule="auto"/>
        <w:ind w:left="714" w:hanging="357"/>
        <w:jc w:val="both"/>
        <w:rPr>
          <w:rFonts w:cstheme="minorHAnsi"/>
          <w:sz w:val="20"/>
          <w:szCs w:val="20"/>
        </w:rPr>
      </w:pPr>
      <w:r w:rsidRPr="00BF1DF2">
        <w:rPr>
          <w:rFonts w:cstheme="minorHAnsi"/>
          <w:sz w:val="20"/>
          <w:szCs w:val="20"/>
        </w:rPr>
        <w:t>rewitalizacja podobszaru 10 w Bytomiu - okolice ulicy Dworcowej i Rynku;</w:t>
      </w:r>
    </w:p>
    <w:p w:rsidR="00ED21F7" w:rsidRPr="00BF1DF2" w:rsidRDefault="00ED21F7" w:rsidP="00463955">
      <w:pPr>
        <w:pStyle w:val="Akapitzlist"/>
        <w:numPr>
          <w:ilvl w:val="0"/>
          <w:numId w:val="796"/>
        </w:numPr>
        <w:shd w:val="clear" w:color="auto" w:fill="F2F2F2" w:themeFill="background1" w:themeFillShade="F2"/>
        <w:spacing w:after="0" w:line="240" w:lineRule="auto"/>
        <w:ind w:left="714" w:hanging="357"/>
        <w:jc w:val="both"/>
        <w:rPr>
          <w:rFonts w:cstheme="minorHAnsi"/>
          <w:sz w:val="20"/>
          <w:szCs w:val="20"/>
        </w:rPr>
      </w:pPr>
      <w:r w:rsidRPr="00BF1DF2">
        <w:rPr>
          <w:rFonts w:cstheme="minorHAnsi"/>
          <w:sz w:val="20"/>
          <w:szCs w:val="20"/>
        </w:rPr>
        <w:t>rewitalizacja podobszaru 10 w Bytomiu - kwartał ulic: Głęboka, Matejki, Katowicka;</w:t>
      </w:r>
    </w:p>
    <w:p w:rsidR="00ED21F7" w:rsidRPr="00BF1DF2" w:rsidRDefault="00ED21F7" w:rsidP="00463955">
      <w:pPr>
        <w:pStyle w:val="Akapitzlist"/>
        <w:numPr>
          <w:ilvl w:val="0"/>
          <w:numId w:val="796"/>
        </w:numPr>
        <w:shd w:val="clear" w:color="auto" w:fill="F2F2F2" w:themeFill="background1" w:themeFillShade="F2"/>
        <w:spacing w:after="0" w:line="240" w:lineRule="auto"/>
        <w:ind w:left="714" w:hanging="357"/>
        <w:jc w:val="both"/>
        <w:rPr>
          <w:rFonts w:cstheme="minorHAnsi"/>
          <w:sz w:val="20"/>
          <w:szCs w:val="20"/>
        </w:rPr>
      </w:pPr>
      <w:r w:rsidRPr="00BF1DF2">
        <w:rPr>
          <w:rFonts w:cstheme="minorHAnsi"/>
          <w:sz w:val="20"/>
          <w:szCs w:val="20"/>
        </w:rPr>
        <w:t>rewitalizacja podobszaru 13 w Bytomiu - ulice Mickiewicza, Orląt Lwowskich, Powstańców Śląskich;</w:t>
      </w:r>
    </w:p>
    <w:p w:rsidR="00ED21F7" w:rsidRPr="00BF1DF2" w:rsidRDefault="00ED21F7" w:rsidP="00463955">
      <w:pPr>
        <w:pStyle w:val="Akapitzlist"/>
        <w:numPr>
          <w:ilvl w:val="0"/>
          <w:numId w:val="796"/>
        </w:numPr>
        <w:shd w:val="clear" w:color="auto" w:fill="F2F2F2" w:themeFill="background1" w:themeFillShade="F2"/>
        <w:spacing w:after="0" w:line="240" w:lineRule="auto"/>
        <w:ind w:left="714" w:hanging="357"/>
        <w:jc w:val="both"/>
        <w:rPr>
          <w:rFonts w:cstheme="minorHAnsi"/>
          <w:sz w:val="20"/>
          <w:szCs w:val="20"/>
        </w:rPr>
      </w:pPr>
      <w:r w:rsidRPr="00BF1DF2">
        <w:rPr>
          <w:rFonts w:cstheme="minorHAnsi"/>
          <w:sz w:val="20"/>
          <w:szCs w:val="20"/>
        </w:rPr>
        <w:t>rewitalizacja terenów przy ulicach: Piłsudskiego i Kwietniewskiego;</w:t>
      </w:r>
    </w:p>
    <w:p w:rsidR="00ED21F7" w:rsidRPr="00BF1DF2" w:rsidRDefault="00ED21F7" w:rsidP="00463955">
      <w:pPr>
        <w:pStyle w:val="Akapitzlist"/>
        <w:numPr>
          <w:ilvl w:val="0"/>
          <w:numId w:val="796"/>
        </w:numPr>
        <w:shd w:val="clear" w:color="auto" w:fill="F2F2F2" w:themeFill="background1" w:themeFillShade="F2"/>
        <w:spacing w:after="0" w:line="240" w:lineRule="auto"/>
        <w:ind w:left="714" w:hanging="357"/>
        <w:jc w:val="both"/>
        <w:rPr>
          <w:rFonts w:cstheme="minorHAnsi"/>
          <w:sz w:val="20"/>
          <w:szCs w:val="20"/>
        </w:rPr>
      </w:pPr>
      <w:r w:rsidRPr="00BF1DF2">
        <w:rPr>
          <w:rFonts w:cstheme="minorHAnsi"/>
          <w:sz w:val="20"/>
          <w:szCs w:val="20"/>
        </w:rPr>
        <w:t>termomodernizacja i remonty przy ul. Piłsudskiego 34, 36, 38, 40, 42, 50 oraz przy ul. Kwietniewskiego 23;</w:t>
      </w:r>
    </w:p>
    <w:p w:rsidR="00ED21F7" w:rsidRPr="00BF1DF2" w:rsidRDefault="00ED21F7" w:rsidP="00463955">
      <w:pPr>
        <w:pStyle w:val="Akapitzlist"/>
        <w:numPr>
          <w:ilvl w:val="0"/>
          <w:numId w:val="796"/>
        </w:numPr>
        <w:shd w:val="clear" w:color="auto" w:fill="F2F2F2" w:themeFill="background1" w:themeFillShade="F2"/>
        <w:spacing w:after="0" w:line="240" w:lineRule="auto"/>
        <w:ind w:left="714" w:hanging="357"/>
        <w:jc w:val="both"/>
        <w:rPr>
          <w:rFonts w:cstheme="minorHAnsi"/>
          <w:sz w:val="20"/>
          <w:szCs w:val="20"/>
        </w:rPr>
      </w:pPr>
      <w:r w:rsidRPr="00BF1DF2">
        <w:rPr>
          <w:rFonts w:cstheme="minorHAnsi"/>
          <w:sz w:val="20"/>
          <w:szCs w:val="20"/>
        </w:rPr>
        <w:t>remont budynku na ul. Piekarskiej 39 – utworzenie Centrum Usług Społecznych w Bytomiu;</w:t>
      </w:r>
    </w:p>
    <w:p w:rsidR="00ED21F7" w:rsidRPr="00BF1DF2" w:rsidRDefault="00ED21F7" w:rsidP="00463955">
      <w:pPr>
        <w:pStyle w:val="Akapitzlist"/>
        <w:numPr>
          <w:ilvl w:val="0"/>
          <w:numId w:val="796"/>
        </w:numPr>
        <w:shd w:val="clear" w:color="auto" w:fill="F2F2F2" w:themeFill="background1" w:themeFillShade="F2"/>
        <w:spacing w:after="0" w:line="240" w:lineRule="auto"/>
        <w:ind w:left="714" w:hanging="357"/>
        <w:jc w:val="both"/>
        <w:rPr>
          <w:rFonts w:cstheme="minorHAnsi"/>
          <w:sz w:val="20"/>
          <w:szCs w:val="20"/>
        </w:rPr>
      </w:pPr>
      <w:r w:rsidRPr="00BF1DF2">
        <w:rPr>
          <w:rFonts w:cstheme="minorHAnsi"/>
          <w:sz w:val="20"/>
          <w:szCs w:val="20"/>
        </w:rPr>
        <w:t>dalsze prace remontowo-konserwatorskie przy budynku IV Liceum Ogólnokształcącego;</w:t>
      </w:r>
    </w:p>
    <w:p w:rsidR="00ED21F7" w:rsidRPr="00BF1DF2" w:rsidRDefault="00ED21F7" w:rsidP="00463955">
      <w:pPr>
        <w:pStyle w:val="Akapitzlist"/>
        <w:numPr>
          <w:ilvl w:val="0"/>
          <w:numId w:val="796"/>
        </w:numPr>
        <w:shd w:val="clear" w:color="auto" w:fill="F2F2F2" w:themeFill="background1" w:themeFillShade="F2"/>
        <w:spacing w:after="0" w:line="240" w:lineRule="auto"/>
        <w:ind w:left="714" w:hanging="357"/>
        <w:jc w:val="both"/>
        <w:rPr>
          <w:rFonts w:cstheme="minorHAnsi"/>
          <w:sz w:val="20"/>
          <w:szCs w:val="20"/>
        </w:rPr>
      </w:pPr>
      <w:r w:rsidRPr="00BF1DF2">
        <w:rPr>
          <w:rFonts w:cstheme="minorHAnsi"/>
          <w:sz w:val="20"/>
          <w:szCs w:val="20"/>
        </w:rPr>
        <w:lastRenderedPageBreak/>
        <w:t>modernizacja energetyczna budynku użyteczności publicznej w Bytomiu przy ul. Parkowej 2;</w:t>
      </w:r>
    </w:p>
    <w:p w:rsidR="00AC4CE1" w:rsidRDefault="00ED21F7" w:rsidP="00463955">
      <w:pPr>
        <w:pStyle w:val="Akapitzlist"/>
        <w:numPr>
          <w:ilvl w:val="0"/>
          <w:numId w:val="796"/>
        </w:numPr>
        <w:shd w:val="clear" w:color="auto" w:fill="F2F2F2" w:themeFill="background1" w:themeFillShade="F2"/>
        <w:spacing w:after="0" w:line="240" w:lineRule="auto"/>
        <w:ind w:left="714" w:hanging="357"/>
        <w:jc w:val="both"/>
        <w:rPr>
          <w:rFonts w:cstheme="minorHAnsi"/>
          <w:sz w:val="20"/>
          <w:szCs w:val="20"/>
        </w:rPr>
      </w:pPr>
      <w:r w:rsidRPr="00BF1DF2">
        <w:rPr>
          <w:rFonts w:cstheme="minorHAnsi"/>
          <w:sz w:val="20"/>
          <w:szCs w:val="20"/>
        </w:rPr>
        <w:t>modernizacja energetyczna budynku użyteczności publicznej w Bytomiu przy u</w:t>
      </w:r>
      <w:r w:rsidR="00CB782F" w:rsidRPr="00BF1DF2">
        <w:rPr>
          <w:rFonts w:cstheme="minorHAnsi"/>
          <w:sz w:val="20"/>
          <w:szCs w:val="20"/>
        </w:rPr>
        <w:t>l. Olejniczaka 22.</w:t>
      </w:r>
    </w:p>
    <w:p w:rsidR="00ED21F7" w:rsidRPr="00AC4CE1" w:rsidRDefault="000C70A4" w:rsidP="00463955">
      <w:pPr>
        <w:shd w:val="clear" w:color="auto" w:fill="F2F2F2" w:themeFill="background1" w:themeFillShade="F2"/>
        <w:jc w:val="both"/>
        <w:rPr>
          <w:rFonts w:cstheme="minorHAnsi"/>
          <w:szCs w:val="20"/>
        </w:rPr>
      </w:pPr>
      <w:r w:rsidRPr="00AC4CE1">
        <w:rPr>
          <w:rFonts w:cstheme="minorHAnsi"/>
          <w:b/>
          <w:bCs/>
          <w:szCs w:val="20"/>
        </w:rPr>
        <w:t xml:space="preserve">Kierunek działań: </w:t>
      </w:r>
      <w:r w:rsidR="00ED21F7" w:rsidRPr="00AC4CE1">
        <w:rPr>
          <w:rFonts w:cstheme="minorHAnsi"/>
          <w:bCs/>
          <w:szCs w:val="20"/>
        </w:rPr>
        <w:t xml:space="preserve">Podejmowanie działań zwiększających atrakcyjność zabytków dla potrzeb turystycznych </w:t>
      </w:r>
      <w:r w:rsidR="00AC4CE1">
        <w:rPr>
          <w:rFonts w:cstheme="minorHAnsi"/>
          <w:bCs/>
          <w:szCs w:val="20"/>
        </w:rPr>
        <w:br/>
      </w:r>
      <w:r w:rsidR="00ED21F7" w:rsidRPr="00AC4CE1">
        <w:rPr>
          <w:rFonts w:cstheme="minorHAnsi"/>
          <w:bCs/>
          <w:szCs w:val="20"/>
        </w:rPr>
        <w:t>i edukacyjnych</w:t>
      </w:r>
    </w:p>
    <w:p w:rsidR="000C70A4" w:rsidRPr="00BF1DF2" w:rsidRDefault="000C70A4" w:rsidP="00463955">
      <w:pPr>
        <w:shd w:val="clear" w:color="auto" w:fill="F2F2F2" w:themeFill="background1" w:themeFillShade="F2"/>
        <w:autoSpaceDE w:val="0"/>
        <w:autoSpaceDN w:val="0"/>
        <w:adjustRightInd w:val="0"/>
        <w:jc w:val="both"/>
        <w:rPr>
          <w:rFonts w:cstheme="minorHAnsi"/>
          <w:b/>
          <w:bCs/>
          <w:szCs w:val="20"/>
        </w:rPr>
      </w:pPr>
      <w:r w:rsidRPr="00BF1DF2">
        <w:rPr>
          <w:rFonts w:cstheme="minorHAnsi"/>
          <w:b/>
          <w:bCs/>
          <w:szCs w:val="20"/>
        </w:rPr>
        <w:t>Zadanie:</w:t>
      </w:r>
    </w:p>
    <w:p w:rsidR="007D00EB" w:rsidRPr="00BF1DF2" w:rsidRDefault="00ED21F7" w:rsidP="00463955">
      <w:pPr>
        <w:pStyle w:val="Akapitzlist"/>
        <w:numPr>
          <w:ilvl w:val="0"/>
          <w:numId w:val="797"/>
        </w:numPr>
        <w:shd w:val="clear" w:color="auto" w:fill="F2F2F2" w:themeFill="background1" w:themeFillShade="F2"/>
        <w:autoSpaceDE w:val="0"/>
        <w:autoSpaceDN w:val="0"/>
        <w:adjustRightInd w:val="0"/>
        <w:spacing w:after="0"/>
        <w:jc w:val="both"/>
        <w:rPr>
          <w:rFonts w:cstheme="minorHAnsi"/>
          <w:sz w:val="20"/>
          <w:szCs w:val="20"/>
        </w:rPr>
      </w:pPr>
      <w:r w:rsidRPr="00BF1DF2">
        <w:rPr>
          <w:rFonts w:cstheme="minorHAnsi"/>
          <w:sz w:val="20"/>
          <w:szCs w:val="20"/>
        </w:rPr>
        <w:t>udostępnianie kolejno remontowanych obiektów zabytkowych</w:t>
      </w:r>
      <w:r w:rsidR="00336284" w:rsidRPr="00BF1DF2">
        <w:rPr>
          <w:rFonts w:cstheme="minorHAnsi"/>
          <w:sz w:val="20"/>
          <w:szCs w:val="20"/>
        </w:rPr>
        <w:t xml:space="preserve"> </w:t>
      </w:r>
      <w:r w:rsidR="00CB782F" w:rsidRPr="00BF1DF2">
        <w:rPr>
          <w:rFonts w:cstheme="minorHAnsi"/>
          <w:sz w:val="20"/>
          <w:szCs w:val="20"/>
        </w:rPr>
        <w:t>dla ruchu turystycznego.</w:t>
      </w:r>
    </w:p>
    <w:p w:rsidR="00336284" w:rsidRPr="00BF1DF2" w:rsidRDefault="00336284" w:rsidP="00463955">
      <w:pPr>
        <w:shd w:val="clear" w:color="auto" w:fill="F2F2F2" w:themeFill="background1" w:themeFillShade="F2"/>
        <w:jc w:val="both"/>
        <w:rPr>
          <w:rFonts w:cstheme="minorHAnsi"/>
          <w:b/>
          <w:bCs/>
          <w:sz w:val="22"/>
          <w:szCs w:val="22"/>
        </w:rPr>
      </w:pPr>
    </w:p>
    <w:p w:rsidR="000C70A4" w:rsidRPr="00BF1DF2" w:rsidRDefault="000C70A4" w:rsidP="00463955">
      <w:pPr>
        <w:shd w:val="clear" w:color="auto" w:fill="F2F2F2" w:themeFill="background1" w:themeFillShade="F2"/>
        <w:jc w:val="both"/>
        <w:rPr>
          <w:rFonts w:ascii="Calibri" w:hAnsi="Calibri" w:cs="Calibri"/>
          <w:b/>
          <w:bCs/>
          <w:sz w:val="22"/>
          <w:szCs w:val="22"/>
        </w:rPr>
      </w:pPr>
      <w:r w:rsidRPr="00BF1DF2">
        <w:rPr>
          <w:rFonts w:ascii="Calibri" w:hAnsi="Calibri" w:cs="Calibri"/>
          <w:b/>
          <w:bCs/>
          <w:sz w:val="22"/>
          <w:szCs w:val="22"/>
        </w:rPr>
        <w:t>Priorytet II: Sprawne zarządzanie zaso</w:t>
      </w:r>
      <w:r w:rsidR="009E4B6D" w:rsidRPr="00BF1DF2">
        <w:rPr>
          <w:rFonts w:ascii="Calibri" w:hAnsi="Calibri" w:cs="Calibri"/>
          <w:b/>
          <w:bCs/>
          <w:sz w:val="22"/>
          <w:szCs w:val="22"/>
        </w:rPr>
        <w:t>bem dziedzictwa kulturowego</w:t>
      </w:r>
    </w:p>
    <w:p w:rsidR="00CB782F" w:rsidRPr="00BF1DF2" w:rsidRDefault="000C70A4" w:rsidP="00463955">
      <w:pPr>
        <w:shd w:val="clear" w:color="auto" w:fill="F2F2F2" w:themeFill="background1" w:themeFillShade="F2"/>
        <w:spacing w:before="120"/>
        <w:jc w:val="both"/>
        <w:rPr>
          <w:rFonts w:ascii="Calibri" w:hAnsi="Calibri" w:cs="Calibri"/>
          <w:b/>
          <w:bCs/>
          <w:szCs w:val="20"/>
        </w:rPr>
      </w:pPr>
      <w:r w:rsidRPr="00BF1DF2">
        <w:rPr>
          <w:rFonts w:ascii="Calibri" w:hAnsi="Calibri" w:cs="Calibri"/>
          <w:b/>
          <w:bCs/>
          <w:szCs w:val="20"/>
        </w:rPr>
        <w:t xml:space="preserve">Kierunek działań: </w:t>
      </w:r>
      <w:r w:rsidRPr="00BF1DF2">
        <w:rPr>
          <w:rFonts w:ascii="Calibri" w:hAnsi="Calibri" w:cs="Calibri"/>
          <w:szCs w:val="20"/>
        </w:rPr>
        <w:t>Rozwój infrastruktury turystycznej i rekreacyjnej związanej z zabytkami</w:t>
      </w:r>
    </w:p>
    <w:p w:rsidR="00336284" w:rsidRPr="00BF1DF2" w:rsidRDefault="000C70A4" w:rsidP="00463955">
      <w:pPr>
        <w:shd w:val="clear" w:color="auto" w:fill="F2F2F2" w:themeFill="background1" w:themeFillShade="F2"/>
        <w:jc w:val="both"/>
        <w:rPr>
          <w:rFonts w:ascii="Calibri" w:hAnsi="Calibri" w:cs="Calibri"/>
          <w:b/>
          <w:bCs/>
          <w:szCs w:val="20"/>
        </w:rPr>
      </w:pPr>
      <w:r w:rsidRPr="00BF1DF2">
        <w:rPr>
          <w:rFonts w:ascii="Calibri" w:hAnsi="Calibri" w:cs="Calibri"/>
          <w:b/>
          <w:bCs/>
          <w:szCs w:val="20"/>
        </w:rPr>
        <w:t>Zadania:</w:t>
      </w:r>
    </w:p>
    <w:p w:rsidR="00336284" w:rsidRPr="00BF1DF2" w:rsidRDefault="005E1CE3" w:rsidP="00463955">
      <w:pPr>
        <w:pStyle w:val="Akapitzlist"/>
        <w:numPr>
          <w:ilvl w:val="0"/>
          <w:numId w:val="798"/>
        </w:numPr>
        <w:shd w:val="clear" w:color="auto" w:fill="F2F2F2" w:themeFill="background1" w:themeFillShade="F2"/>
        <w:autoSpaceDE w:val="0"/>
        <w:autoSpaceDN w:val="0"/>
        <w:adjustRightInd w:val="0"/>
        <w:spacing w:after="0" w:line="240" w:lineRule="auto"/>
        <w:jc w:val="both"/>
        <w:rPr>
          <w:rFonts w:cstheme="minorHAnsi"/>
          <w:sz w:val="20"/>
          <w:szCs w:val="20"/>
        </w:rPr>
      </w:pPr>
      <w:r w:rsidRPr="00BF1DF2">
        <w:rPr>
          <w:rFonts w:cstheme="minorHAnsi"/>
          <w:sz w:val="20"/>
          <w:szCs w:val="20"/>
        </w:rPr>
        <w:t>zaproponowanie</w:t>
      </w:r>
      <w:r w:rsidR="00336284" w:rsidRPr="00BF1DF2">
        <w:rPr>
          <w:rFonts w:cstheme="minorHAnsi"/>
          <w:sz w:val="20"/>
          <w:szCs w:val="20"/>
        </w:rPr>
        <w:t xml:space="preserve"> trasę </w:t>
      </w:r>
      <w:r w:rsidR="00CB782F" w:rsidRPr="00BF1DF2">
        <w:rPr>
          <w:rFonts w:cstheme="minorHAnsi"/>
          <w:sz w:val="20"/>
          <w:szCs w:val="20"/>
        </w:rPr>
        <w:t xml:space="preserve">turystyczną „Śladami Modernizmu </w:t>
      </w:r>
      <w:r w:rsidR="00336284" w:rsidRPr="00BF1DF2">
        <w:rPr>
          <w:rFonts w:cstheme="minorHAnsi"/>
          <w:sz w:val="20"/>
          <w:szCs w:val="20"/>
        </w:rPr>
        <w:t>Bytomskiego i Secesji”;</w:t>
      </w:r>
    </w:p>
    <w:p w:rsidR="00336284" w:rsidRPr="00BF1DF2" w:rsidRDefault="005E1CE3" w:rsidP="00463955">
      <w:pPr>
        <w:pStyle w:val="Akapitzlist"/>
        <w:numPr>
          <w:ilvl w:val="0"/>
          <w:numId w:val="798"/>
        </w:numPr>
        <w:shd w:val="clear" w:color="auto" w:fill="F2F2F2" w:themeFill="background1" w:themeFillShade="F2"/>
        <w:autoSpaceDE w:val="0"/>
        <w:autoSpaceDN w:val="0"/>
        <w:adjustRightInd w:val="0"/>
        <w:spacing w:after="0" w:line="240" w:lineRule="auto"/>
        <w:jc w:val="both"/>
        <w:rPr>
          <w:rFonts w:cstheme="minorHAnsi"/>
          <w:sz w:val="20"/>
          <w:szCs w:val="20"/>
        </w:rPr>
      </w:pPr>
      <w:r w:rsidRPr="00BF1DF2">
        <w:rPr>
          <w:rFonts w:cstheme="minorHAnsi"/>
          <w:sz w:val="20"/>
          <w:szCs w:val="20"/>
        </w:rPr>
        <w:t>rozważenie</w:t>
      </w:r>
      <w:r w:rsidR="00336284" w:rsidRPr="00BF1DF2">
        <w:rPr>
          <w:rFonts w:cstheme="minorHAnsi"/>
          <w:sz w:val="20"/>
          <w:szCs w:val="20"/>
        </w:rPr>
        <w:t xml:space="preserve"> </w:t>
      </w:r>
      <w:r w:rsidRPr="00BF1DF2">
        <w:rPr>
          <w:rFonts w:cstheme="minorHAnsi"/>
          <w:sz w:val="20"/>
          <w:szCs w:val="20"/>
        </w:rPr>
        <w:t>postulatu</w:t>
      </w:r>
      <w:r w:rsidR="00336284" w:rsidRPr="00BF1DF2">
        <w:rPr>
          <w:rFonts w:cstheme="minorHAnsi"/>
          <w:sz w:val="20"/>
          <w:szCs w:val="20"/>
        </w:rPr>
        <w:t xml:space="preserve"> Stowarzyszenia „Pro Fortalicium”</w:t>
      </w:r>
      <w:r w:rsidR="00CB782F" w:rsidRPr="00BF1DF2">
        <w:rPr>
          <w:rFonts w:cstheme="minorHAnsi"/>
          <w:sz w:val="20"/>
          <w:szCs w:val="20"/>
        </w:rPr>
        <w:t xml:space="preserve"> </w:t>
      </w:r>
      <w:r w:rsidR="00336284" w:rsidRPr="00BF1DF2">
        <w:rPr>
          <w:rFonts w:cstheme="minorHAnsi"/>
          <w:sz w:val="20"/>
          <w:szCs w:val="20"/>
        </w:rPr>
        <w:t>stworzenia w Bytomiu sieci podzi</w:t>
      </w:r>
      <w:r w:rsidR="00CB782F" w:rsidRPr="00BF1DF2">
        <w:rPr>
          <w:rFonts w:cstheme="minorHAnsi"/>
          <w:sz w:val="20"/>
          <w:szCs w:val="20"/>
        </w:rPr>
        <w:t xml:space="preserve">emnych izb muzealno edukacyjnych </w:t>
      </w:r>
      <w:r w:rsidR="00336284" w:rsidRPr="00BF1DF2">
        <w:rPr>
          <w:rFonts w:cstheme="minorHAnsi"/>
          <w:sz w:val="20"/>
          <w:szCs w:val="20"/>
        </w:rPr>
        <w:t>zlokalizowanych w centrum miasta;</w:t>
      </w:r>
    </w:p>
    <w:p w:rsidR="00336284" w:rsidRPr="00BF1DF2" w:rsidRDefault="00336284" w:rsidP="00463955">
      <w:pPr>
        <w:pStyle w:val="Akapitzlist"/>
        <w:numPr>
          <w:ilvl w:val="0"/>
          <w:numId w:val="798"/>
        </w:numPr>
        <w:shd w:val="clear" w:color="auto" w:fill="F2F2F2" w:themeFill="background1" w:themeFillShade="F2"/>
        <w:autoSpaceDE w:val="0"/>
        <w:autoSpaceDN w:val="0"/>
        <w:adjustRightInd w:val="0"/>
        <w:spacing w:after="0" w:line="240" w:lineRule="auto"/>
        <w:jc w:val="both"/>
        <w:rPr>
          <w:rFonts w:cstheme="minorHAnsi"/>
          <w:sz w:val="20"/>
          <w:szCs w:val="20"/>
        </w:rPr>
      </w:pPr>
      <w:r w:rsidRPr="00BF1DF2">
        <w:rPr>
          <w:rFonts w:cstheme="minorHAnsi"/>
          <w:sz w:val="20"/>
          <w:szCs w:val="20"/>
        </w:rPr>
        <w:t xml:space="preserve">wspieranie rozwoju turystyki </w:t>
      </w:r>
      <w:r w:rsidR="00CB782F" w:rsidRPr="00BF1DF2">
        <w:rPr>
          <w:rFonts w:cstheme="minorHAnsi"/>
          <w:sz w:val="20"/>
          <w:szCs w:val="20"/>
        </w:rPr>
        <w:t xml:space="preserve">rowerowej związanej z zabytkami </w:t>
      </w:r>
      <w:r w:rsidRPr="00BF1DF2">
        <w:rPr>
          <w:rFonts w:cstheme="minorHAnsi"/>
          <w:sz w:val="20"/>
          <w:szCs w:val="20"/>
        </w:rPr>
        <w:t>regionu;</w:t>
      </w:r>
    </w:p>
    <w:p w:rsidR="00336284" w:rsidRPr="00BF1DF2" w:rsidRDefault="00336284" w:rsidP="00463955">
      <w:pPr>
        <w:pStyle w:val="Akapitzlist"/>
        <w:numPr>
          <w:ilvl w:val="0"/>
          <w:numId w:val="798"/>
        </w:numPr>
        <w:shd w:val="clear" w:color="auto" w:fill="F2F2F2" w:themeFill="background1" w:themeFillShade="F2"/>
        <w:autoSpaceDE w:val="0"/>
        <w:autoSpaceDN w:val="0"/>
        <w:adjustRightInd w:val="0"/>
        <w:spacing w:after="0" w:line="240" w:lineRule="auto"/>
        <w:jc w:val="both"/>
        <w:rPr>
          <w:rFonts w:cstheme="minorHAnsi"/>
          <w:sz w:val="20"/>
          <w:szCs w:val="20"/>
        </w:rPr>
      </w:pPr>
      <w:r w:rsidRPr="00BF1DF2">
        <w:rPr>
          <w:rFonts w:cstheme="minorHAnsi"/>
          <w:sz w:val="20"/>
          <w:szCs w:val="20"/>
        </w:rPr>
        <w:t>zaplanowanie wycieczek rowerowych po rewitalizowanych</w:t>
      </w:r>
      <w:r w:rsidR="00CB782F" w:rsidRPr="00BF1DF2">
        <w:rPr>
          <w:rFonts w:cstheme="minorHAnsi"/>
          <w:sz w:val="20"/>
          <w:szCs w:val="20"/>
        </w:rPr>
        <w:t xml:space="preserve"> </w:t>
      </w:r>
      <w:r w:rsidRPr="00BF1DF2">
        <w:rPr>
          <w:rFonts w:cstheme="minorHAnsi"/>
          <w:sz w:val="20"/>
          <w:szCs w:val="20"/>
        </w:rPr>
        <w:t>i planowanych do rewi</w:t>
      </w:r>
      <w:r w:rsidR="00CB782F" w:rsidRPr="00BF1DF2">
        <w:rPr>
          <w:rFonts w:cstheme="minorHAnsi"/>
          <w:sz w:val="20"/>
          <w:szCs w:val="20"/>
        </w:rPr>
        <w:t xml:space="preserve">talizacji zabytkowych obiektach </w:t>
      </w:r>
      <w:r w:rsidRPr="00BF1DF2">
        <w:rPr>
          <w:rFonts w:cstheme="minorHAnsi"/>
          <w:sz w:val="20"/>
          <w:szCs w:val="20"/>
        </w:rPr>
        <w:t>poprzemysłowych oraz parkac</w:t>
      </w:r>
      <w:r w:rsidR="00CB782F" w:rsidRPr="00BF1DF2">
        <w:rPr>
          <w:rFonts w:cstheme="minorHAnsi"/>
          <w:sz w:val="20"/>
          <w:szCs w:val="20"/>
        </w:rPr>
        <w:t xml:space="preserve">h, wznowienie imprezy w formule </w:t>
      </w:r>
      <w:r w:rsidR="005E1CE3" w:rsidRPr="00BF1DF2">
        <w:rPr>
          <w:rFonts w:cstheme="minorHAnsi"/>
          <w:sz w:val="20"/>
          <w:szCs w:val="20"/>
        </w:rPr>
        <w:t>otwartej dla uczestników.</w:t>
      </w:r>
    </w:p>
    <w:p w:rsidR="005E1CE3" w:rsidRPr="00BF1DF2" w:rsidRDefault="005E1CE3" w:rsidP="00463955">
      <w:pPr>
        <w:shd w:val="clear" w:color="auto" w:fill="F2F2F2" w:themeFill="background1" w:themeFillShade="F2"/>
        <w:autoSpaceDE w:val="0"/>
        <w:autoSpaceDN w:val="0"/>
        <w:adjustRightInd w:val="0"/>
        <w:jc w:val="both"/>
        <w:rPr>
          <w:rFonts w:ascii="Calibri" w:hAnsi="Calibri" w:cs="Calibri"/>
          <w:b/>
          <w:bCs/>
          <w:sz w:val="22"/>
          <w:szCs w:val="22"/>
        </w:rPr>
      </w:pPr>
    </w:p>
    <w:p w:rsidR="00336284" w:rsidRPr="00BF1DF2" w:rsidRDefault="005E1CE3" w:rsidP="00463955">
      <w:pPr>
        <w:shd w:val="clear" w:color="auto" w:fill="F2F2F2" w:themeFill="background1" w:themeFillShade="F2"/>
        <w:autoSpaceDE w:val="0"/>
        <w:autoSpaceDN w:val="0"/>
        <w:adjustRightInd w:val="0"/>
        <w:jc w:val="both"/>
        <w:rPr>
          <w:rFonts w:cstheme="minorHAnsi"/>
          <w:b/>
          <w:bCs/>
          <w:sz w:val="22"/>
          <w:szCs w:val="22"/>
        </w:rPr>
      </w:pPr>
      <w:r w:rsidRPr="00BF1DF2">
        <w:rPr>
          <w:rFonts w:cstheme="minorHAnsi"/>
          <w:b/>
          <w:bCs/>
          <w:sz w:val="22"/>
          <w:szCs w:val="22"/>
        </w:rPr>
        <w:t>Priorytet III: Promocja regionalnego dziedzictwa kulturowego i rozwój tożsamości regionalnej</w:t>
      </w:r>
    </w:p>
    <w:p w:rsidR="00336284" w:rsidRPr="00BF1DF2" w:rsidRDefault="005E1CE3" w:rsidP="00463955">
      <w:pPr>
        <w:shd w:val="clear" w:color="auto" w:fill="F2F2F2" w:themeFill="background1" w:themeFillShade="F2"/>
        <w:autoSpaceDE w:val="0"/>
        <w:autoSpaceDN w:val="0"/>
        <w:adjustRightInd w:val="0"/>
        <w:spacing w:before="120"/>
        <w:jc w:val="both"/>
        <w:rPr>
          <w:rFonts w:cstheme="minorHAnsi"/>
          <w:bCs/>
          <w:szCs w:val="20"/>
        </w:rPr>
      </w:pPr>
      <w:r w:rsidRPr="00BF1DF2">
        <w:rPr>
          <w:rFonts w:cstheme="minorHAnsi"/>
          <w:b/>
          <w:bCs/>
          <w:szCs w:val="20"/>
        </w:rPr>
        <w:t>Kierunek działań:</w:t>
      </w:r>
      <w:r w:rsidRPr="00BF1DF2">
        <w:rPr>
          <w:rFonts w:cstheme="minorHAnsi"/>
          <w:bCs/>
          <w:szCs w:val="20"/>
        </w:rPr>
        <w:t xml:space="preserve"> Edukacja społeczności lokalnej w kwestii znaczenia dziedzictwa dla regionu</w:t>
      </w:r>
    </w:p>
    <w:p w:rsidR="005E1CE3" w:rsidRPr="00BF1DF2" w:rsidRDefault="005E1CE3" w:rsidP="00463955">
      <w:pPr>
        <w:shd w:val="clear" w:color="auto" w:fill="F2F2F2" w:themeFill="background1" w:themeFillShade="F2"/>
        <w:jc w:val="both"/>
        <w:rPr>
          <w:rFonts w:ascii="Calibri" w:hAnsi="Calibri" w:cs="Calibri"/>
          <w:szCs w:val="20"/>
        </w:rPr>
      </w:pPr>
      <w:r w:rsidRPr="00BF1DF2">
        <w:rPr>
          <w:rFonts w:ascii="Calibri" w:hAnsi="Calibri" w:cs="Calibri"/>
          <w:b/>
          <w:bCs/>
          <w:szCs w:val="20"/>
        </w:rPr>
        <w:t>Zadania:</w:t>
      </w:r>
    </w:p>
    <w:p w:rsidR="005E1CE3" w:rsidRPr="00BF1DF2" w:rsidRDefault="005E1CE3" w:rsidP="00463955">
      <w:pPr>
        <w:pStyle w:val="Akapitzlist"/>
        <w:numPr>
          <w:ilvl w:val="0"/>
          <w:numId w:val="799"/>
        </w:numPr>
        <w:shd w:val="clear" w:color="auto" w:fill="F2F2F2" w:themeFill="background1" w:themeFillShade="F2"/>
        <w:autoSpaceDE w:val="0"/>
        <w:autoSpaceDN w:val="0"/>
        <w:adjustRightInd w:val="0"/>
        <w:spacing w:after="0" w:line="240" w:lineRule="auto"/>
        <w:ind w:hanging="357"/>
        <w:jc w:val="both"/>
        <w:rPr>
          <w:rFonts w:cstheme="minorHAnsi"/>
          <w:sz w:val="20"/>
          <w:szCs w:val="20"/>
        </w:rPr>
      </w:pPr>
      <w:r w:rsidRPr="00BF1DF2">
        <w:rPr>
          <w:rFonts w:cstheme="minorHAnsi"/>
          <w:sz w:val="20"/>
          <w:szCs w:val="20"/>
        </w:rPr>
        <w:t>wspieranie imprez w ramach „Industriady” (Górnośląskie Koleje Wąskotorowe, EC Szombierki);</w:t>
      </w:r>
    </w:p>
    <w:p w:rsidR="005E1CE3" w:rsidRPr="00BF1DF2" w:rsidRDefault="005E1CE3" w:rsidP="00463955">
      <w:pPr>
        <w:pStyle w:val="Akapitzlist"/>
        <w:numPr>
          <w:ilvl w:val="0"/>
          <w:numId w:val="800"/>
        </w:numPr>
        <w:shd w:val="clear" w:color="auto" w:fill="F2F2F2" w:themeFill="background1" w:themeFillShade="F2"/>
        <w:autoSpaceDE w:val="0"/>
        <w:autoSpaceDN w:val="0"/>
        <w:adjustRightInd w:val="0"/>
        <w:spacing w:after="0" w:line="240" w:lineRule="auto"/>
        <w:ind w:left="714" w:hanging="357"/>
        <w:jc w:val="both"/>
        <w:rPr>
          <w:rFonts w:cstheme="minorHAnsi"/>
          <w:sz w:val="20"/>
          <w:szCs w:val="20"/>
        </w:rPr>
      </w:pPr>
      <w:r w:rsidRPr="00BF1DF2">
        <w:rPr>
          <w:rFonts w:cstheme="minorHAnsi"/>
          <w:sz w:val="20"/>
          <w:szCs w:val="20"/>
        </w:rPr>
        <w:t>wspieranie Europejskich Dni Dziedzictwa;</w:t>
      </w:r>
    </w:p>
    <w:p w:rsidR="005E1CE3" w:rsidRPr="00BF1DF2" w:rsidRDefault="005E1CE3" w:rsidP="00463955">
      <w:pPr>
        <w:pStyle w:val="Akapitzlist"/>
        <w:numPr>
          <w:ilvl w:val="0"/>
          <w:numId w:val="800"/>
        </w:numPr>
        <w:shd w:val="clear" w:color="auto" w:fill="F2F2F2" w:themeFill="background1" w:themeFillShade="F2"/>
        <w:autoSpaceDE w:val="0"/>
        <w:autoSpaceDN w:val="0"/>
        <w:adjustRightInd w:val="0"/>
        <w:spacing w:after="0" w:line="240" w:lineRule="auto"/>
        <w:ind w:left="714" w:hanging="357"/>
        <w:jc w:val="both"/>
        <w:rPr>
          <w:rFonts w:cstheme="minorHAnsi"/>
          <w:sz w:val="20"/>
          <w:szCs w:val="20"/>
        </w:rPr>
      </w:pPr>
      <w:r w:rsidRPr="00BF1DF2">
        <w:rPr>
          <w:rFonts w:cstheme="minorHAnsi"/>
          <w:sz w:val="20"/>
          <w:szCs w:val="20"/>
        </w:rPr>
        <w:t>organizowanie i wspieranie organizacji konkursów, wystaw, imprez, kiermaszy, rajdów i festynów kulturowych z dziedzictwem kulturowym w tle;</w:t>
      </w:r>
    </w:p>
    <w:p w:rsidR="005E1CE3" w:rsidRPr="00BF1DF2" w:rsidRDefault="005E1CE3" w:rsidP="00463955">
      <w:pPr>
        <w:pStyle w:val="Akapitzlist"/>
        <w:numPr>
          <w:ilvl w:val="0"/>
          <w:numId w:val="800"/>
        </w:numPr>
        <w:shd w:val="clear" w:color="auto" w:fill="F2F2F2" w:themeFill="background1" w:themeFillShade="F2"/>
        <w:autoSpaceDE w:val="0"/>
        <w:autoSpaceDN w:val="0"/>
        <w:adjustRightInd w:val="0"/>
        <w:spacing w:after="0" w:line="240" w:lineRule="auto"/>
        <w:ind w:left="714" w:hanging="357"/>
        <w:jc w:val="both"/>
        <w:rPr>
          <w:rFonts w:cstheme="minorHAnsi"/>
          <w:sz w:val="20"/>
          <w:szCs w:val="20"/>
        </w:rPr>
      </w:pPr>
      <w:r w:rsidRPr="00BF1DF2">
        <w:rPr>
          <w:rFonts w:cstheme="minorHAnsi"/>
          <w:sz w:val="20"/>
          <w:szCs w:val="20"/>
        </w:rPr>
        <w:t>dalsze wprowadzanie i upowszechnianie tematyki ochrony dziedzictwa kulturowego do systemu edukacji szkolnej poprzez organizowanie odpowiednich zajęć i konkursów;</w:t>
      </w:r>
    </w:p>
    <w:p w:rsidR="005E1CE3" w:rsidRPr="00BF1DF2" w:rsidRDefault="005E1CE3" w:rsidP="00463955">
      <w:pPr>
        <w:pStyle w:val="Akapitzlist"/>
        <w:numPr>
          <w:ilvl w:val="0"/>
          <w:numId w:val="800"/>
        </w:numPr>
        <w:shd w:val="clear" w:color="auto" w:fill="F2F2F2" w:themeFill="background1" w:themeFillShade="F2"/>
        <w:autoSpaceDE w:val="0"/>
        <w:autoSpaceDN w:val="0"/>
        <w:adjustRightInd w:val="0"/>
        <w:spacing w:after="0" w:line="240" w:lineRule="auto"/>
        <w:ind w:left="714" w:hanging="357"/>
        <w:jc w:val="both"/>
        <w:rPr>
          <w:rFonts w:cstheme="minorHAnsi"/>
          <w:sz w:val="20"/>
          <w:szCs w:val="20"/>
        </w:rPr>
      </w:pPr>
      <w:r w:rsidRPr="00BF1DF2">
        <w:rPr>
          <w:rFonts w:cstheme="minorHAnsi"/>
          <w:sz w:val="20"/>
          <w:szCs w:val="20"/>
        </w:rPr>
        <w:t>kontynuacja edukacji regionalnej w szkołach – współpraca z instytucjami i organizacjami propagującymi edukację regionalną, udział uczniów w konkursach o tematyce regionalnej;</w:t>
      </w:r>
    </w:p>
    <w:p w:rsidR="005E1CE3" w:rsidRPr="00BF1DF2" w:rsidRDefault="005E1CE3" w:rsidP="00463955">
      <w:pPr>
        <w:pStyle w:val="Akapitzlist"/>
        <w:numPr>
          <w:ilvl w:val="0"/>
          <w:numId w:val="800"/>
        </w:numPr>
        <w:shd w:val="clear" w:color="auto" w:fill="F2F2F2" w:themeFill="background1" w:themeFillShade="F2"/>
        <w:autoSpaceDE w:val="0"/>
        <w:autoSpaceDN w:val="0"/>
        <w:adjustRightInd w:val="0"/>
        <w:spacing w:after="0" w:line="240" w:lineRule="auto"/>
        <w:ind w:left="714" w:hanging="357"/>
        <w:jc w:val="both"/>
        <w:rPr>
          <w:rFonts w:cstheme="minorHAnsi"/>
          <w:sz w:val="20"/>
          <w:szCs w:val="20"/>
        </w:rPr>
      </w:pPr>
      <w:r w:rsidRPr="00BF1DF2">
        <w:rPr>
          <w:rFonts w:cstheme="minorHAnsi"/>
          <w:sz w:val="20"/>
          <w:szCs w:val="20"/>
        </w:rPr>
        <w:t>promowanie najlepiej przeprowadzonych prac w obiektach zabytkowych;</w:t>
      </w:r>
    </w:p>
    <w:p w:rsidR="005E1CE3" w:rsidRPr="00BF1DF2" w:rsidRDefault="005E1CE3" w:rsidP="00463955">
      <w:pPr>
        <w:pStyle w:val="Akapitzlist"/>
        <w:numPr>
          <w:ilvl w:val="0"/>
          <w:numId w:val="800"/>
        </w:numPr>
        <w:shd w:val="clear" w:color="auto" w:fill="F2F2F2" w:themeFill="background1" w:themeFillShade="F2"/>
        <w:autoSpaceDE w:val="0"/>
        <w:autoSpaceDN w:val="0"/>
        <w:adjustRightInd w:val="0"/>
        <w:spacing w:after="0" w:line="240" w:lineRule="auto"/>
        <w:ind w:left="714" w:hanging="357"/>
        <w:jc w:val="both"/>
        <w:rPr>
          <w:rFonts w:cstheme="minorHAnsi"/>
          <w:sz w:val="20"/>
          <w:szCs w:val="20"/>
        </w:rPr>
      </w:pPr>
      <w:r w:rsidRPr="00BF1DF2">
        <w:rPr>
          <w:rFonts w:cstheme="minorHAnsi"/>
          <w:sz w:val="20"/>
          <w:szCs w:val="20"/>
        </w:rPr>
        <w:t>wspieranie inicjatyw obywatelskich służących zachowaniu tradycji lokalnych.</w:t>
      </w:r>
    </w:p>
    <w:p w:rsidR="000C70A4" w:rsidRDefault="007C2EE4" w:rsidP="00463955">
      <w:pPr>
        <w:shd w:val="clear" w:color="auto" w:fill="F2F2F2" w:themeFill="background1" w:themeFillShade="F2"/>
        <w:jc w:val="both"/>
        <w:rPr>
          <w:rFonts w:ascii="Calibri" w:hAnsi="Calibri" w:cs="Calibri"/>
          <w:szCs w:val="20"/>
        </w:rPr>
      </w:pPr>
      <w:r>
        <w:rPr>
          <w:rFonts w:ascii="Calibri" w:hAnsi="Calibri" w:cs="Calibri"/>
          <w:szCs w:val="20"/>
        </w:rPr>
        <w:t>Zaplanowane działania rewitalizacyjne w ramach „Gminnego Programu Rewitalizacji. Bytom 2020+” są spójne z priorytetami i działaniami dotyczącymi dziedzictwa kulturowego wskazanymi w ramach</w:t>
      </w:r>
      <w:r w:rsidR="000C70A4">
        <w:rPr>
          <w:rFonts w:ascii="Calibri" w:hAnsi="Calibri" w:cs="Calibri"/>
          <w:szCs w:val="20"/>
        </w:rPr>
        <w:t xml:space="preserve"> </w:t>
      </w:r>
      <w:r w:rsidR="00AD18D0">
        <w:rPr>
          <w:rFonts w:ascii="Calibri" w:hAnsi="Calibri" w:cs="Calibri"/>
          <w:szCs w:val="20"/>
        </w:rPr>
        <w:t>„P</w:t>
      </w:r>
      <w:r w:rsidR="000C70A4">
        <w:rPr>
          <w:rFonts w:ascii="Calibri" w:hAnsi="Calibri" w:cs="Calibri"/>
          <w:szCs w:val="20"/>
        </w:rPr>
        <w:t xml:space="preserve">rogramu </w:t>
      </w:r>
      <w:r w:rsidR="00AD18D0">
        <w:rPr>
          <w:rFonts w:ascii="Calibri" w:hAnsi="Calibri" w:cs="Calibri"/>
          <w:szCs w:val="20"/>
        </w:rPr>
        <w:t xml:space="preserve">Opieki nad Zabytkami </w:t>
      </w:r>
      <w:r w:rsidR="005E1CE3">
        <w:rPr>
          <w:rFonts w:ascii="Calibri" w:hAnsi="Calibri" w:cs="Calibri"/>
          <w:szCs w:val="20"/>
        </w:rPr>
        <w:t>Miasta Bytomia na lata 2022-2025</w:t>
      </w:r>
      <w:r w:rsidR="00AD18D0">
        <w:rPr>
          <w:rFonts w:ascii="Calibri" w:hAnsi="Calibri" w:cs="Calibri"/>
          <w:szCs w:val="20"/>
        </w:rPr>
        <w:t>”</w:t>
      </w:r>
      <w:r>
        <w:rPr>
          <w:rFonts w:ascii="Calibri" w:hAnsi="Calibri" w:cs="Calibri"/>
          <w:szCs w:val="20"/>
        </w:rPr>
        <w:t>.</w:t>
      </w:r>
      <w:r w:rsidR="000C70A4">
        <w:rPr>
          <w:rFonts w:ascii="Calibri" w:hAnsi="Calibri" w:cs="Calibri"/>
          <w:szCs w:val="20"/>
        </w:rPr>
        <w:t xml:space="preserve"> </w:t>
      </w:r>
    </w:p>
    <w:p w:rsidR="009207D4" w:rsidRDefault="009207D4" w:rsidP="009207D4">
      <w:pPr>
        <w:jc w:val="both"/>
        <w:rPr>
          <w:rFonts w:ascii="Calibri" w:hAnsi="Calibri" w:cs="Calibri"/>
          <w:color w:val="000000"/>
          <w:szCs w:val="20"/>
        </w:rPr>
      </w:pPr>
    </w:p>
    <w:p w:rsidR="000C70A4" w:rsidRPr="00A06D20" w:rsidRDefault="002E7561" w:rsidP="00463955">
      <w:pPr>
        <w:pStyle w:val="Nagwek4"/>
        <w:shd w:val="clear" w:color="auto" w:fill="F2F2F2" w:themeFill="background1" w:themeFillShade="F2"/>
        <w:spacing w:before="0" w:after="0"/>
        <w:jc w:val="both"/>
        <w:rPr>
          <w:rFonts w:cs="Calibri"/>
          <w:i w:val="0"/>
          <w:color w:val="3366FF"/>
          <w:szCs w:val="22"/>
        </w:rPr>
      </w:pPr>
      <w:bookmarkStart w:id="1050" w:name="_Toc460173684"/>
      <w:bookmarkStart w:id="1051" w:name="_Toc460313268"/>
      <w:r>
        <w:rPr>
          <w:rFonts w:cs="Calibri"/>
          <w:i w:val="0"/>
          <w:color w:val="3366FF"/>
          <w:szCs w:val="22"/>
        </w:rPr>
        <w:t>Program</w:t>
      </w:r>
      <w:r w:rsidR="000C70A4" w:rsidRPr="00A06D20">
        <w:rPr>
          <w:rFonts w:cs="Calibri"/>
          <w:i w:val="0"/>
          <w:color w:val="3366FF"/>
          <w:szCs w:val="22"/>
        </w:rPr>
        <w:t xml:space="preserve"> Ochro</w:t>
      </w:r>
      <w:r>
        <w:rPr>
          <w:rFonts w:cs="Calibri"/>
          <w:i w:val="0"/>
          <w:color w:val="3366FF"/>
          <w:szCs w:val="22"/>
        </w:rPr>
        <w:t>ny Środowiska dla miasta Bytom</w:t>
      </w:r>
      <w:r w:rsidR="000C70A4" w:rsidRPr="00A06D20">
        <w:rPr>
          <w:rFonts w:cs="Calibri"/>
          <w:i w:val="0"/>
          <w:color w:val="3366FF"/>
          <w:szCs w:val="22"/>
        </w:rPr>
        <w:t xml:space="preserve"> na lata 20</w:t>
      </w:r>
      <w:bookmarkEnd w:id="1050"/>
      <w:bookmarkEnd w:id="1051"/>
      <w:r>
        <w:rPr>
          <w:rFonts w:cs="Calibri"/>
          <w:i w:val="0"/>
          <w:color w:val="3366FF"/>
          <w:szCs w:val="22"/>
        </w:rPr>
        <w:t>22-2030</w:t>
      </w:r>
      <w:r w:rsidR="00AD18D0">
        <w:rPr>
          <w:rFonts w:cs="Calibri"/>
          <w:i w:val="0"/>
          <w:color w:val="3366FF"/>
          <w:szCs w:val="22"/>
        </w:rPr>
        <w:t xml:space="preserve">, z perspektywą </w:t>
      </w:r>
      <w:r>
        <w:rPr>
          <w:rFonts w:cs="Calibri"/>
          <w:i w:val="0"/>
          <w:color w:val="3366FF"/>
          <w:szCs w:val="22"/>
        </w:rPr>
        <w:t>do roku 2035</w:t>
      </w:r>
    </w:p>
    <w:p w:rsidR="009207D4" w:rsidRPr="009207D4" w:rsidRDefault="009207D4" w:rsidP="009207D4">
      <w:pPr>
        <w:rPr>
          <w:szCs w:val="20"/>
        </w:rPr>
      </w:pPr>
    </w:p>
    <w:p w:rsidR="000C70A4" w:rsidRPr="002E7561" w:rsidRDefault="002E7561" w:rsidP="00463955">
      <w:pPr>
        <w:pStyle w:val="Tekstpodstawowy2"/>
        <w:shd w:val="clear" w:color="auto" w:fill="F2F2F2" w:themeFill="background1" w:themeFillShade="F2"/>
        <w:ind w:firstLine="709"/>
        <w:rPr>
          <w:rFonts w:ascii="Calibri" w:hAnsi="Calibri" w:cs="Calibri"/>
          <w:b/>
          <w:bCs/>
          <w:szCs w:val="20"/>
        </w:rPr>
      </w:pPr>
      <w:r>
        <w:rPr>
          <w:rFonts w:ascii="Calibri" w:hAnsi="Calibri" w:cs="Calibri"/>
          <w:bCs/>
          <w:szCs w:val="20"/>
        </w:rPr>
        <w:t>„</w:t>
      </w:r>
      <w:r w:rsidRPr="002E7561">
        <w:rPr>
          <w:rFonts w:ascii="Calibri" w:hAnsi="Calibri" w:cs="Calibri"/>
          <w:bCs/>
          <w:szCs w:val="20"/>
        </w:rPr>
        <w:t>Program Ochrony Środowiska dla miasta Bytom na lata 2022-2030, z perspektywą do roku 2035</w:t>
      </w:r>
      <w:r>
        <w:rPr>
          <w:rFonts w:ascii="Calibri" w:hAnsi="Calibri" w:cs="Calibri"/>
          <w:bCs/>
          <w:szCs w:val="20"/>
        </w:rPr>
        <w:t>”</w:t>
      </w:r>
      <w:r>
        <w:rPr>
          <w:rFonts w:ascii="Calibri" w:hAnsi="Calibri" w:cs="Calibri"/>
          <w:b/>
          <w:bCs/>
          <w:szCs w:val="20"/>
        </w:rPr>
        <w:t xml:space="preserve"> </w:t>
      </w:r>
      <w:r w:rsidR="000C70A4">
        <w:rPr>
          <w:rFonts w:ascii="Calibri" w:hAnsi="Calibri" w:cs="Calibri"/>
          <w:szCs w:val="20"/>
        </w:rPr>
        <w:t xml:space="preserve">to </w:t>
      </w:r>
      <w:r w:rsidR="000A1D99">
        <w:rPr>
          <w:rFonts w:ascii="Calibri" w:hAnsi="Calibri" w:cs="Calibri"/>
          <w:szCs w:val="20"/>
        </w:rPr>
        <w:t xml:space="preserve">podstawowe </w:t>
      </w:r>
      <w:r w:rsidR="000C70A4">
        <w:rPr>
          <w:rFonts w:ascii="Calibri" w:hAnsi="Calibri" w:cs="Calibri"/>
          <w:szCs w:val="20"/>
        </w:rPr>
        <w:t xml:space="preserve">narzędzie </w:t>
      </w:r>
      <w:r w:rsidR="000A1D99">
        <w:rPr>
          <w:rFonts w:ascii="Calibri" w:hAnsi="Calibri" w:cs="Calibri"/>
          <w:szCs w:val="20"/>
        </w:rPr>
        <w:t xml:space="preserve">koordynowania, wdrażania i integrowania polityki rozwoju miasta w zakresie ochrony, gospodarowania i zarządzania środowiskiem i jego zasobami oraz bezpieczeństwem środowiskowym. </w:t>
      </w:r>
      <w:r w:rsidR="000C70A4">
        <w:rPr>
          <w:rFonts w:ascii="Calibri" w:hAnsi="Calibri" w:cs="Calibri"/>
          <w:szCs w:val="20"/>
        </w:rPr>
        <w:t>Ma charakt</w:t>
      </w:r>
      <w:r w:rsidR="000A1D99">
        <w:rPr>
          <w:rFonts w:ascii="Calibri" w:hAnsi="Calibri" w:cs="Calibri"/>
          <w:szCs w:val="20"/>
        </w:rPr>
        <w:t xml:space="preserve">er operacyjny wobec strategii rozwoju miasta </w:t>
      </w:r>
      <w:r w:rsidR="000C70A4">
        <w:rPr>
          <w:rFonts w:ascii="Calibri" w:hAnsi="Calibri" w:cs="Calibri"/>
          <w:szCs w:val="20"/>
        </w:rPr>
        <w:t xml:space="preserve">oraz pozostaje w ścisłej korelacji </w:t>
      </w:r>
      <w:r w:rsidR="006F556B">
        <w:rPr>
          <w:rFonts w:ascii="Calibri" w:hAnsi="Calibri" w:cs="Calibri"/>
          <w:szCs w:val="20"/>
        </w:rPr>
        <w:br/>
      </w:r>
      <w:r w:rsidR="000C70A4">
        <w:rPr>
          <w:rFonts w:ascii="Calibri" w:hAnsi="Calibri" w:cs="Calibri"/>
          <w:szCs w:val="20"/>
        </w:rPr>
        <w:t xml:space="preserve">z dokumentami regionalnymi i krajowymi.  </w:t>
      </w:r>
    </w:p>
    <w:p w:rsidR="000C70A4" w:rsidRDefault="00987DFB" w:rsidP="00463955">
      <w:pPr>
        <w:shd w:val="clear" w:color="auto" w:fill="F2F2F2" w:themeFill="background1" w:themeFillShade="F2"/>
        <w:spacing w:before="100"/>
        <w:ind w:firstLine="709"/>
        <w:jc w:val="both"/>
        <w:rPr>
          <w:rFonts w:ascii="Calibri" w:hAnsi="Calibri" w:cs="Calibri"/>
          <w:szCs w:val="20"/>
        </w:rPr>
      </w:pPr>
      <w:r>
        <w:rPr>
          <w:rFonts w:ascii="Calibri" w:hAnsi="Calibri" w:cs="Calibri"/>
          <w:szCs w:val="20"/>
        </w:rPr>
        <w:t>Celem nadrzędnym programu jest ochrona, poprawa i utrzymanie stanu środowiska miasta Bytom, poprze zintegrowane zarządzanie jego zasobami i kapitałem przyrodniczym oraz kształtowanie postaw społecznej odpowiedzialności za jakość środowiska. W</w:t>
      </w:r>
      <w:r w:rsidR="000B38A5">
        <w:rPr>
          <w:rFonts w:ascii="Calibri" w:hAnsi="Calibri" w:cs="Calibri"/>
          <w:szCs w:val="20"/>
        </w:rPr>
        <w:t xml:space="preserve"> progra</w:t>
      </w:r>
      <w:r>
        <w:rPr>
          <w:rFonts w:ascii="Calibri" w:hAnsi="Calibri" w:cs="Calibri"/>
          <w:szCs w:val="20"/>
        </w:rPr>
        <w:t>mie sformułowano następujące cele główne, które przyporządkowane</w:t>
      </w:r>
      <w:r w:rsidR="000B38A5">
        <w:rPr>
          <w:rFonts w:ascii="Calibri" w:hAnsi="Calibri" w:cs="Calibri"/>
          <w:szCs w:val="20"/>
        </w:rPr>
        <w:t xml:space="preserve"> </w:t>
      </w:r>
      <w:r>
        <w:rPr>
          <w:rFonts w:ascii="Calibri" w:hAnsi="Calibri" w:cs="Calibri"/>
          <w:szCs w:val="20"/>
        </w:rPr>
        <w:t xml:space="preserve">zostały </w:t>
      </w:r>
      <w:r w:rsidR="000B38A5">
        <w:rPr>
          <w:rFonts w:ascii="Calibri" w:hAnsi="Calibri" w:cs="Calibri"/>
          <w:szCs w:val="20"/>
        </w:rPr>
        <w:t>do poszczególnych obszarów interwencji</w:t>
      </w:r>
      <w:r w:rsidR="000C70A4">
        <w:rPr>
          <w:rFonts w:ascii="Calibri" w:hAnsi="Calibri" w:cs="Calibri"/>
          <w:szCs w:val="20"/>
        </w:rPr>
        <w:t>:</w:t>
      </w:r>
    </w:p>
    <w:p w:rsidR="000B38A5" w:rsidRPr="00220D1A" w:rsidRDefault="000B38A5" w:rsidP="00463955">
      <w:pPr>
        <w:pStyle w:val="Akapitzlist"/>
        <w:numPr>
          <w:ilvl w:val="0"/>
          <w:numId w:val="801"/>
        </w:numPr>
        <w:shd w:val="clear" w:color="auto" w:fill="F2F2F2" w:themeFill="background1" w:themeFillShade="F2"/>
        <w:spacing w:after="0" w:line="240" w:lineRule="auto"/>
        <w:jc w:val="both"/>
        <w:rPr>
          <w:rFonts w:asciiTheme="minorHAnsi" w:hAnsiTheme="minorHAnsi" w:cstheme="minorHAnsi"/>
          <w:sz w:val="20"/>
          <w:szCs w:val="20"/>
        </w:rPr>
      </w:pPr>
      <w:r w:rsidRPr="00220D1A">
        <w:rPr>
          <w:rFonts w:asciiTheme="minorHAnsi" w:hAnsiTheme="minorHAnsi" w:cstheme="minorHAnsi"/>
          <w:sz w:val="20"/>
          <w:szCs w:val="20"/>
        </w:rPr>
        <w:t>Poprawa jakości powietrza</w:t>
      </w:r>
      <w:r w:rsidR="00220D1A">
        <w:rPr>
          <w:rFonts w:asciiTheme="minorHAnsi" w:hAnsiTheme="minorHAnsi" w:cstheme="minorHAnsi"/>
          <w:sz w:val="20"/>
          <w:szCs w:val="20"/>
        </w:rPr>
        <w:t xml:space="preserve"> w wmieście.</w:t>
      </w:r>
    </w:p>
    <w:p w:rsidR="000B38A5" w:rsidRPr="00220D1A" w:rsidRDefault="00220D1A" w:rsidP="00463955">
      <w:pPr>
        <w:pStyle w:val="Akapitzlist"/>
        <w:numPr>
          <w:ilvl w:val="0"/>
          <w:numId w:val="801"/>
        </w:numPr>
        <w:shd w:val="clear" w:color="auto" w:fill="F2F2F2" w:themeFill="background1" w:themeFillShade="F2"/>
        <w:spacing w:after="0" w:line="240" w:lineRule="auto"/>
        <w:jc w:val="both"/>
        <w:rPr>
          <w:rFonts w:asciiTheme="minorHAnsi" w:hAnsiTheme="minorHAnsi" w:cstheme="minorHAnsi"/>
          <w:sz w:val="20"/>
          <w:szCs w:val="20"/>
        </w:rPr>
      </w:pPr>
      <w:r w:rsidRPr="00220D1A">
        <w:rPr>
          <w:rFonts w:asciiTheme="minorHAnsi" w:hAnsiTheme="minorHAnsi" w:cstheme="minorHAnsi"/>
          <w:sz w:val="20"/>
          <w:szCs w:val="20"/>
        </w:rPr>
        <w:t>Adaptacja</w:t>
      </w:r>
      <w:r w:rsidR="000B38A5" w:rsidRPr="00220D1A">
        <w:rPr>
          <w:rFonts w:asciiTheme="minorHAnsi" w:hAnsiTheme="minorHAnsi" w:cstheme="minorHAnsi"/>
          <w:sz w:val="20"/>
          <w:szCs w:val="20"/>
        </w:rPr>
        <w:t xml:space="preserve"> do zmieniających się </w:t>
      </w:r>
      <w:r w:rsidRPr="00220D1A">
        <w:rPr>
          <w:rFonts w:asciiTheme="minorHAnsi" w:hAnsiTheme="minorHAnsi" w:cstheme="minorHAnsi"/>
          <w:sz w:val="20"/>
          <w:szCs w:val="20"/>
        </w:rPr>
        <w:t>warunków</w:t>
      </w:r>
      <w:r w:rsidR="000B38A5" w:rsidRPr="00220D1A">
        <w:rPr>
          <w:rFonts w:asciiTheme="minorHAnsi" w:hAnsiTheme="minorHAnsi" w:cstheme="minorHAnsi"/>
          <w:sz w:val="20"/>
          <w:szCs w:val="20"/>
        </w:rPr>
        <w:t xml:space="preserve"> termicznych</w:t>
      </w:r>
      <w:r w:rsidR="002E7561" w:rsidRPr="00220D1A">
        <w:rPr>
          <w:rFonts w:asciiTheme="minorHAnsi" w:hAnsiTheme="minorHAnsi" w:cstheme="minorHAnsi"/>
          <w:sz w:val="20"/>
          <w:szCs w:val="20"/>
        </w:rPr>
        <w:t xml:space="preserve"> w mieści</w:t>
      </w:r>
      <w:r>
        <w:rPr>
          <w:rFonts w:asciiTheme="minorHAnsi" w:hAnsiTheme="minorHAnsi" w:cstheme="minorHAnsi"/>
          <w:sz w:val="20"/>
          <w:szCs w:val="20"/>
        </w:rPr>
        <w:t>.</w:t>
      </w:r>
    </w:p>
    <w:p w:rsidR="000B38A5" w:rsidRPr="00220D1A" w:rsidRDefault="000B38A5" w:rsidP="00463955">
      <w:pPr>
        <w:pStyle w:val="Akapitzlist"/>
        <w:numPr>
          <w:ilvl w:val="0"/>
          <w:numId w:val="801"/>
        </w:numPr>
        <w:shd w:val="clear" w:color="auto" w:fill="F2F2F2" w:themeFill="background1" w:themeFillShade="F2"/>
        <w:spacing w:after="0" w:line="240" w:lineRule="auto"/>
        <w:jc w:val="both"/>
        <w:rPr>
          <w:rFonts w:asciiTheme="minorHAnsi" w:hAnsiTheme="minorHAnsi" w:cstheme="minorHAnsi"/>
          <w:sz w:val="20"/>
          <w:szCs w:val="20"/>
        </w:rPr>
      </w:pPr>
      <w:r w:rsidRPr="00220D1A">
        <w:rPr>
          <w:rFonts w:asciiTheme="minorHAnsi" w:hAnsiTheme="minorHAnsi" w:cstheme="minorHAnsi"/>
          <w:sz w:val="20"/>
          <w:szCs w:val="20"/>
        </w:rPr>
        <w:t>Eliminacja uciążl</w:t>
      </w:r>
      <w:r w:rsidR="00220D1A">
        <w:rPr>
          <w:rFonts w:asciiTheme="minorHAnsi" w:hAnsiTheme="minorHAnsi" w:cstheme="minorHAnsi"/>
          <w:sz w:val="20"/>
          <w:szCs w:val="20"/>
        </w:rPr>
        <w:t>iwości akustycznych w środowisk</w:t>
      </w:r>
      <w:r w:rsidR="00220D1A" w:rsidRPr="00220D1A">
        <w:rPr>
          <w:rFonts w:asciiTheme="minorHAnsi" w:hAnsiTheme="minorHAnsi" w:cstheme="minorHAnsi"/>
          <w:sz w:val="20"/>
          <w:szCs w:val="20"/>
        </w:rPr>
        <w:t>ach</w:t>
      </w:r>
      <w:r w:rsidRPr="00220D1A">
        <w:rPr>
          <w:rFonts w:asciiTheme="minorHAnsi" w:hAnsiTheme="minorHAnsi" w:cstheme="minorHAnsi"/>
          <w:sz w:val="20"/>
          <w:szCs w:val="20"/>
        </w:rPr>
        <w:t xml:space="preserve"> zamieszkania i </w:t>
      </w:r>
      <w:r w:rsidR="00220D1A" w:rsidRPr="00220D1A">
        <w:rPr>
          <w:rFonts w:asciiTheme="minorHAnsi" w:hAnsiTheme="minorHAnsi" w:cstheme="minorHAnsi"/>
          <w:sz w:val="20"/>
          <w:szCs w:val="20"/>
        </w:rPr>
        <w:t>rekreacji</w:t>
      </w:r>
      <w:r w:rsidRPr="00220D1A">
        <w:rPr>
          <w:rFonts w:asciiTheme="minorHAnsi" w:hAnsiTheme="minorHAnsi" w:cstheme="minorHAnsi"/>
          <w:sz w:val="20"/>
          <w:szCs w:val="20"/>
        </w:rPr>
        <w:t xml:space="preserve"> </w:t>
      </w:r>
      <w:r w:rsidR="00220D1A" w:rsidRPr="00220D1A">
        <w:rPr>
          <w:rFonts w:asciiTheme="minorHAnsi" w:hAnsiTheme="minorHAnsi" w:cstheme="minorHAnsi"/>
          <w:sz w:val="20"/>
          <w:szCs w:val="20"/>
        </w:rPr>
        <w:t>mie</w:t>
      </w:r>
      <w:r w:rsidR="00220D1A">
        <w:rPr>
          <w:rFonts w:asciiTheme="minorHAnsi" w:hAnsiTheme="minorHAnsi" w:cstheme="minorHAnsi"/>
          <w:sz w:val="20"/>
          <w:szCs w:val="20"/>
        </w:rPr>
        <w:t>s</w:t>
      </w:r>
      <w:r w:rsidR="00220D1A" w:rsidRPr="00220D1A">
        <w:rPr>
          <w:rFonts w:asciiTheme="minorHAnsi" w:hAnsiTheme="minorHAnsi" w:cstheme="minorHAnsi"/>
          <w:sz w:val="20"/>
          <w:szCs w:val="20"/>
        </w:rPr>
        <w:t>zkańców</w:t>
      </w:r>
      <w:r w:rsidRPr="00220D1A">
        <w:rPr>
          <w:rFonts w:asciiTheme="minorHAnsi" w:hAnsiTheme="minorHAnsi" w:cstheme="minorHAnsi"/>
          <w:sz w:val="20"/>
          <w:szCs w:val="20"/>
        </w:rPr>
        <w:t xml:space="preserve"> oraz </w:t>
      </w:r>
      <w:r w:rsidR="00220D1A" w:rsidRPr="00220D1A">
        <w:rPr>
          <w:rFonts w:asciiTheme="minorHAnsi" w:hAnsiTheme="minorHAnsi" w:cstheme="minorHAnsi"/>
          <w:sz w:val="20"/>
          <w:szCs w:val="20"/>
        </w:rPr>
        <w:t>przestrze</w:t>
      </w:r>
      <w:r w:rsidR="00220D1A">
        <w:rPr>
          <w:rFonts w:asciiTheme="minorHAnsi" w:hAnsiTheme="minorHAnsi" w:cstheme="minorHAnsi"/>
          <w:sz w:val="20"/>
          <w:szCs w:val="20"/>
        </w:rPr>
        <w:t>n</w:t>
      </w:r>
      <w:r w:rsidR="00220D1A" w:rsidRPr="00220D1A">
        <w:rPr>
          <w:rFonts w:asciiTheme="minorHAnsi" w:hAnsiTheme="minorHAnsi" w:cstheme="minorHAnsi"/>
          <w:sz w:val="20"/>
          <w:szCs w:val="20"/>
        </w:rPr>
        <w:t>i</w:t>
      </w:r>
      <w:r w:rsidRPr="00220D1A">
        <w:rPr>
          <w:rFonts w:asciiTheme="minorHAnsi" w:hAnsiTheme="minorHAnsi" w:cstheme="minorHAnsi"/>
          <w:sz w:val="20"/>
          <w:szCs w:val="20"/>
        </w:rPr>
        <w:t xml:space="preserve"> publicznej Bytomia</w:t>
      </w:r>
      <w:r w:rsidR="00220D1A">
        <w:rPr>
          <w:rFonts w:asciiTheme="minorHAnsi" w:hAnsiTheme="minorHAnsi" w:cstheme="minorHAnsi"/>
          <w:sz w:val="20"/>
          <w:szCs w:val="20"/>
        </w:rPr>
        <w:t>.</w:t>
      </w:r>
    </w:p>
    <w:p w:rsidR="000B38A5" w:rsidRPr="00220D1A" w:rsidRDefault="00220D1A" w:rsidP="00463955">
      <w:pPr>
        <w:pStyle w:val="Akapitzlist"/>
        <w:numPr>
          <w:ilvl w:val="0"/>
          <w:numId w:val="801"/>
        </w:numPr>
        <w:shd w:val="clear" w:color="auto" w:fill="F2F2F2" w:themeFill="background1" w:themeFillShade="F2"/>
        <w:spacing w:after="0" w:line="240" w:lineRule="auto"/>
        <w:jc w:val="both"/>
        <w:rPr>
          <w:rFonts w:asciiTheme="minorHAnsi" w:hAnsiTheme="minorHAnsi" w:cstheme="minorHAnsi"/>
          <w:sz w:val="20"/>
          <w:szCs w:val="20"/>
        </w:rPr>
      </w:pPr>
      <w:r>
        <w:rPr>
          <w:rFonts w:asciiTheme="minorHAnsi" w:hAnsiTheme="minorHAnsi" w:cstheme="minorHAnsi"/>
          <w:sz w:val="20"/>
          <w:szCs w:val="20"/>
        </w:rPr>
        <w:lastRenderedPageBreak/>
        <w:t xml:space="preserve">Utrzymanie natężenia pól </w:t>
      </w:r>
      <w:r w:rsidR="000B38A5" w:rsidRPr="00220D1A">
        <w:rPr>
          <w:rFonts w:asciiTheme="minorHAnsi" w:hAnsiTheme="minorHAnsi" w:cstheme="minorHAnsi"/>
          <w:sz w:val="20"/>
          <w:szCs w:val="20"/>
        </w:rPr>
        <w:t xml:space="preserve">elektromagnetycznych w przestrzeni miasta </w:t>
      </w:r>
      <w:r w:rsidRPr="00220D1A">
        <w:rPr>
          <w:rFonts w:asciiTheme="minorHAnsi" w:hAnsiTheme="minorHAnsi" w:cstheme="minorHAnsi"/>
          <w:sz w:val="20"/>
          <w:szCs w:val="20"/>
        </w:rPr>
        <w:t>poniżej</w:t>
      </w:r>
      <w:r w:rsidR="000B38A5" w:rsidRPr="00220D1A">
        <w:rPr>
          <w:rFonts w:asciiTheme="minorHAnsi" w:hAnsiTheme="minorHAnsi" w:cstheme="minorHAnsi"/>
          <w:sz w:val="20"/>
          <w:szCs w:val="20"/>
        </w:rPr>
        <w:t xml:space="preserve"> poziomów dopuszczalnych</w:t>
      </w:r>
      <w:r>
        <w:rPr>
          <w:rFonts w:asciiTheme="minorHAnsi" w:hAnsiTheme="minorHAnsi" w:cstheme="minorHAnsi"/>
          <w:sz w:val="20"/>
          <w:szCs w:val="20"/>
        </w:rPr>
        <w:t>.</w:t>
      </w:r>
    </w:p>
    <w:p w:rsidR="000B38A5" w:rsidRPr="00220D1A" w:rsidRDefault="000B38A5" w:rsidP="00463955">
      <w:pPr>
        <w:pStyle w:val="Akapitzlist"/>
        <w:numPr>
          <w:ilvl w:val="0"/>
          <w:numId w:val="801"/>
        </w:numPr>
        <w:shd w:val="clear" w:color="auto" w:fill="F2F2F2" w:themeFill="background1" w:themeFillShade="F2"/>
        <w:spacing w:after="0" w:line="240" w:lineRule="auto"/>
        <w:jc w:val="both"/>
        <w:rPr>
          <w:rFonts w:asciiTheme="minorHAnsi" w:hAnsiTheme="minorHAnsi" w:cstheme="minorHAnsi"/>
          <w:sz w:val="20"/>
          <w:szCs w:val="20"/>
        </w:rPr>
      </w:pPr>
      <w:r w:rsidRPr="00220D1A">
        <w:rPr>
          <w:rFonts w:asciiTheme="minorHAnsi" w:hAnsiTheme="minorHAnsi" w:cstheme="minorHAnsi"/>
          <w:sz w:val="20"/>
          <w:szCs w:val="20"/>
        </w:rPr>
        <w:t>Ochrona i poprawa stanu wód po</w:t>
      </w:r>
      <w:r w:rsidR="00220D1A">
        <w:rPr>
          <w:rFonts w:asciiTheme="minorHAnsi" w:hAnsiTheme="minorHAnsi" w:cstheme="minorHAnsi"/>
          <w:sz w:val="20"/>
          <w:szCs w:val="20"/>
        </w:rPr>
        <w:t>w</w:t>
      </w:r>
      <w:r w:rsidRPr="00220D1A">
        <w:rPr>
          <w:rFonts w:asciiTheme="minorHAnsi" w:hAnsiTheme="minorHAnsi" w:cstheme="minorHAnsi"/>
          <w:sz w:val="20"/>
          <w:szCs w:val="20"/>
        </w:rPr>
        <w:t>i</w:t>
      </w:r>
      <w:r w:rsidR="00220D1A">
        <w:rPr>
          <w:rFonts w:asciiTheme="minorHAnsi" w:hAnsiTheme="minorHAnsi" w:cstheme="minorHAnsi"/>
          <w:sz w:val="20"/>
          <w:szCs w:val="20"/>
        </w:rPr>
        <w:t>e</w:t>
      </w:r>
      <w:r w:rsidRPr="00220D1A">
        <w:rPr>
          <w:rFonts w:asciiTheme="minorHAnsi" w:hAnsiTheme="minorHAnsi" w:cstheme="minorHAnsi"/>
          <w:sz w:val="20"/>
          <w:szCs w:val="20"/>
        </w:rPr>
        <w:t>rzchniowych i po</w:t>
      </w:r>
      <w:r w:rsidR="00220D1A">
        <w:rPr>
          <w:rFonts w:asciiTheme="minorHAnsi" w:hAnsiTheme="minorHAnsi" w:cstheme="minorHAnsi"/>
          <w:sz w:val="20"/>
          <w:szCs w:val="20"/>
        </w:rPr>
        <w:t>dziemnych m</w:t>
      </w:r>
      <w:r w:rsidRPr="00220D1A">
        <w:rPr>
          <w:rFonts w:asciiTheme="minorHAnsi" w:hAnsiTheme="minorHAnsi" w:cstheme="minorHAnsi"/>
          <w:sz w:val="20"/>
          <w:szCs w:val="20"/>
        </w:rPr>
        <w:t>iasta</w:t>
      </w:r>
      <w:r w:rsidR="00220D1A">
        <w:rPr>
          <w:rFonts w:asciiTheme="minorHAnsi" w:hAnsiTheme="minorHAnsi" w:cstheme="minorHAnsi"/>
          <w:sz w:val="20"/>
          <w:szCs w:val="20"/>
        </w:rPr>
        <w:t>.</w:t>
      </w:r>
    </w:p>
    <w:p w:rsidR="000B38A5" w:rsidRPr="00220D1A" w:rsidRDefault="00220D1A" w:rsidP="00463955">
      <w:pPr>
        <w:pStyle w:val="Akapitzlist"/>
        <w:numPr>
          <w:ilvl w:val="0"/>
          <w:numId w:val="801"/>
        </w:numPr>
        <w:shd w:val="clear" w:color="auto" w:fill="F2F2F2" w:themeFill="background1" w:themeFillShade="F2"/>
        <w:spacing w:after="0" w:line="240" w:lineRule="auto"/>
        <w:jc w:val="both"/>
        <w:rPr>
          <w:rFonts w:asciiTheme="minorHAnsi" w:hAnsiTheme="minorHAnsi" w:cstheme="minorHAnsi"/>
          <w:sz w:val="20"/>
          <w:szCs w:val="20"/>
        </w:rPr>
      </w:pPr>
      <w:r>
        <w:rPr>
          <w:rFonts w:asciiTheme="minorHAnsi" w:hAnsiTheme="minorHAnsi" w:cstheme="minorHAnsi"/>
          <w:sz w:val="20"/>
          <w:szCs w:val="20"/>
        </w:rPr>
        <w:t>Poprawa stanu i rozw</w:t>
      </w:r>
      <w:r w:rsidRPr="00220D1A">
        <w:rPr>
          <w:rFonts w:asciiTheme="minorHAnsi" w:hAnsiTheme="minorHAnsi" w:cstheme="minorHAnsi"/>
          <w:sz w:val="20"/>
          <w:szCs w:val="20"/>
        </w:rPr>
        <w:t>ój</w:t>
      </w:r>
      <w:r w:rsidR="000B38A5" w:rsidRPr="00220D1A">
        <w:rPr>
          <w:rFonts w:asciiTheme="minorHAnsi" w:hAnsiTheme="minorHAnsi" w:cstheme="minorHAnsi"/>
          <w:sz w:val="20"/>
          <w:szCs w:val="20"/>
        </w:rPr>
        <w:t xml:space="preserve"> </w:t>
      </w:r>
      <w:r w:rsidRPr="00220D1A">
        <w:rPr>
          <w:rFonts w:asciiTheme="minorHAnsi" w:hAnsiTheme="minorHAnsi" w:cstheme="minorHAnsi"/>
          <w:sz w:val="20"/>
          <w:szCs w:val="20"/>
        </w:rPr>
        <w:t>infra</w:t>
      </w:r>
      <w:r>
        <w:rPr>
          <w:rFonts w:asciiTheme="minorHAnsi" w:hAnsiTheme="minorHAnsi" w:cstheme="minorHAnsi"/>
          <w:sz w:val="20"/>
          <w:szCs w:val="20"/>
        </w:rPr>
        <w:t>s</w:t>
      </w:r>
      <w:r w:rsidRPr="00220D1A">
        <w:rPr>
          <w:rFonts w:asciiTheme="minorHAnsi" w:hAnsiTheme="minorHAnsi" w:cstheme="minorHAnsi"/>
          <w:sz w:val="20"/>
          <w:szCs w:val="20"/>
        </w:rPr>
        <w:t>truktury</w:t>
      </w:r>
      <w:r w:rsidR="000B38A5" w:rsidRPr="00220D1A">
        <w:rPr>
          <w:rFonts w:asciiTheme="minorHAnsi" w:hAnsiTheme="minorHAnsi" w:cstheme="minorHAnsi"/>
          <w:sz w:val="20"/>
          <w:szCs w:val="20"/>
        </w:rPr>
        <w:t xml:space="preserve"> wodno-ściekowej </w:t>
      </w:r>
      <w:r>
        <w:rPr>
          <w:rFonts w:asciiTheme="minorHAnsi" w:hAnsiTheme="minorHAnsi" w:cstheme="minorHAnsi"/>
          <w:sz w:val="20"/>
          <w:szCs w:val="20"/>
        </w:rPr>
        <w:t>m</w:t>
      </w:r>
      <w:r w:rsidRPr="00220D1A">
        <w:rPr>
          <w:rFonts w:asciiTheme="minorHAnsi" w:hAnsiTheme="minorHAnsi" w:cstheme="minorHAnsi"/>
          <w:sz w:val="20"/>
          <w:szCs w:val="20"/>
        </w:rPr>
        <w:t>iasta</w:t>
      </w:r>
      <w:r>
        <w:rPr>
          <w:rFonts w:asciiTheme="minorHAnsi" w:hAnsiTheme="minorHAnsi" w:cstheme="minorHAnsi"/>
          <w:sz w:val="20"/>
          <w:szCs w:val="20"/>
        </w:rPr>
        <w:t>.</w:t>
      </w:r>
    </w:p>
    <w:p w:rsidR="000B38A5" w:rsidRPr="00220D1A" w:rsidRDefault="000B38A5" w:rsidP="00463955">
      <w:pPr>
        <w:pStyle w:val="Akapitzlist"/>
        <w:numPr>
          <w:ilvl w:val="0"/>
          <w:numId w:val="801"/>
        </w:numPr>
        <w:shd w:val="clear" w:color="auto" w:fill="F2F2F2" w:themeFill="background1" w:themeFillShade="F2"/>
        <w:spacing w:after="0" w:line="240" w:lineRule="auto"/>
        <w:jc w:val="both"/>
        <w:rPr>
          <w:rFonts w:asciiTheme="minorHAnsi" w:hAnsiTheme="minorHAnsi" w:cstheme="minorHAnsi"/>
          <w:sz w:val="20"/>
          <w:szCs w:val="20"/>
        </w:rPr>
      </w:pPr>
      <w:r w:rsidRPr="00220D1A">
        <w:rPr>
          <w:rFonts w:asciiTheme="minorHAnsi" w:hAnsiTheme="minorHAnsi" w:cstheme="minorHAnsi"/>
          <w:sz w:val="20"/>
          <w:szCs w:val="20"/>
        </w:rPr>
        <w:t>Racjonalne i efektywne gospodarowanie zasobami geologicznymi</w:t>
      </w:r>
      <w:r w:rsidR="00220D1A">
        <w:rPr>
          <w:rFonts w:asciiTheme="minorHAnsi" w:hAnsiTheme="minorHAnsi" w:cstheme="minorHAnsi"/>
          <w:sz w:val="20"/>
          <w:szCs w:val="20"/>
        </w:rPr>
        <w:t>.</w:t>
      </w:r>
    </w:p>
    <w:p w:rsidR="000B38A5" w:rsidRPr="00220D1A" w:rsidRDefault="000B38A5" w:rsidP="00463955">
      <w:pPr>
        <w:pStyle w:val="Akapitzlist"/>
        <w:numPr>
          <w:ilvl w:val="0"/>
          <w:numId w:val="801"/>
        </w:numPr>
        <w:shd w:val="clear" w:color="auto" w:fill="F2F2F2" w:themeFill="background1" w:themeFillShade="F2"/>
        <w:spacing w:after="0" w:line="240" w:lineRule="auto"/>
        <w:jc w:val="both"/>
        <w:rPr>
          <w:rFonts w:asciiTheme="minorHAnsi" w:hAnsiTheme="minorHAnsi" w:cstheme="minorHAnsi"/>
          <w:sz w:val="20"/>
          <w:szCs w:val="20"/>
        </w:rPr>
      </w:pPr>
      <w:r w:rsidRPr="00220D1A">
        <w:rPr>
          <w:rFonts w:asciiTheme="minorHAnsi" w:hAnsiTheme="minorHAnsi" w:cstheme="minorHAnsi"/>
          <w:sz w:val="20"/>
          <w:szCs w:val="20"/>
        </w:rPr>
        <w:t>Zmniejszenie</w:t>
      </w:r>
      <w:r w:rsidR="00220D1A">
        <w:rPr>
          <w:rFonts w:asciiTheme="minorHAnsi" w:hAnsiTheme="minorHAnsi" w:cstheme="minorHAnsi"/>
          <w:sz w:val="20"/>
          <w:szCs w:val="20"/>
        </w:rPr>
        <w:t xml:space="preserve"> trendu wzrostu areału gleb/gru</w:t>
      </w:r>
      <w:r w:rsidRPr="00220D1A">
        <w:rPr>
          <w:rFonts w:asciiTheme="minorHAnsi" w:hAnsiTheme="minorHAnsi" w:cstheme="minorHAnsi"/>
          <w:sz w:val="20"/>
          <w:szCs w:val="20"/>
        </w:rPr>
        <w:t>ntów nieprzepuszczalnych/uszczelnionych</w:t>
      </w:r>
      <w:r w:rsidR="00220D1A">
        <w:rPr>
          <w:rFonts w:asciiTheme="minorHAnsi" w:hAnsiTheme="minorHAnsi" w:cstheme="minorHAnsi"/>
          <w:sz w:val="20"/>
          <w:szCs w:val="20"/>
        </w:rPr>
        <w:t>.</w:t>
      </w:r>
    </w:p>
    <w:p w:rsidR="000B38A5" w:rsidRPr="00220D1A" w:rsidRDefault="00220D1A" w:rsidP="00463955">
      <w:pPr>
        <w:pStyle w:val="Akapitzlist"/>
        <w:numPr>
          <w:ilvl w:val="0"/>
          <w:numId w:val="801"/>
        </w:numPr>
        <w:shd w:val="clear" w:color="auto" w:fill="F2F2F2" w:themeFill="background1" w:themeFillShade="F2"/>
        <w:spacing w:after="0" w:line="240" w:lineRule="auto"/>
        <w:jc w:val="both"/>
        <w:rPr>
          <w:rFonts w:asciiTheme="minorHAnsi" w:hAnsiTheme="minorHAnsi" w:cstheme="minorHAnsi"/>
          <w:sz w:val="20"/>
          <w:szCs w:val="20"/>
        </w:rPr>
      </w:pPr>
      <w:r w:rsidRPr="00220D1A">
        <w:rPr>
          <w:rFonts w:asciiTheme="minorHAnsi" w:hAnsiTheme="minorHAnsi" w:cstheme="minorHAnsi"/>
          <w:sz w:val="20"/>
          <w:szCs w:val="20"/>
        </w:rPr>
        <w:t>Uporządkowanie</w:t>
      </w:r>
      <w:r w:rsidR="000B38A5" w:rsidRPr="00220D1A">
        <w:rPr>
          <w:rFonts w:asciiTheme="minorHAnsi" w:hAnsiTheme="minorHAnsi" w:cstheme="minorHAnsi"/>
          <w:sz w:val="20"/>
          <w:szCs w:val="20"/>
        </w:rPr>
        <w:t xml:space="preserve"> gospodarki odpadami. Eliminacja ich składowania i uzyskanie określonych </w:t>
      </w:r>
      <w:r w:rsidRPr="00220D1A">
        <w:rPr>
          <w:rFonts w:asciiTheme="minorHAnsi" w:hAnsiTheme="minorHAnsi" w:cstheme="minorHAnsi"/>
          <w:sz w:val="20"/>
          <w:szCs w:val="20"/>
        </w:rPr>
        <w:t>prawnie</w:t>
      </w:r>
      <w:r w:rsidR="000B38A5" w:rsidRPr="00220D1A">
        <w:rPr>
          <w:rFonts w:asciiTheme="minorHAnsi" w:hAnsiTheme="minorHAnsi" w:cstheme="minorHAnsi"/>
          <w:sz w:val="20"/>
          <w:szCs w:val="20"/>
        </w:rPr>
        <w:t xml:space="preserve"> poziomów </w:t>
      </w:r>
      <w:r w:rsidRPr="00220D1A">
        <w:rPr>
          <w:rFonts w:asciiTheme="minorHAnsi" w:hAnsiTheme="minorHAnsi" w:cstheme="minorHAnsi"/>
          <w:sz w:val="20"/>
          <w:szCs w:val="20"/>
        </w:rPr>
        <w:t>recyklingu</w:t>
      </w:r>
      <w:r>
        <w:rPr>
          <w:rFonts w:asciiTheme="minorHAnsi" w:hAnsiTheme="minorHAnsi" w:cstheme="minorHAnsi"/>
          <w:sz w:val="20"/>
          <w:szCs w:val="20"/>
        </w:rPr>
        <w:t>.</w:t>
      </w:r>
    </w:p>
    <w:p w:rsidR="000B38A5" w:rsidRPr="00220D1A" w:rsidRDefault="000B38A5" w:rsidP="00463955">
      <w:pPr>
        <w:pStyle w:val="Akapitzlist"/>
        <w:numPr>
          <w:ilvl w:val="0"/>
          <w:numId w:val="801"/>
        </w:numPr>
        <w:shd w:val="clear" w:color="auto" w:fill="F2F2F2" w:themeFill="background1" w:themeFillShade="F2"/>
        <w:spacing w:after="0" w:line="240" w:lineRule="auto"/>
        <w:jc w:val="both"/>
        <w:rPr>
          <w:rFonts w:asciiTheme="minorHAnsi" w:hAnsiTheme="minorHAnsi" w:cstheme="minorHAnsi"/>
          <w:sz w:val="20"/>
          <w:szCs w:val="20"/>
        </w:rPr>
      </w:pPr>
      <w:r w:rsidRPr="00220D1A">
        <w:rPr>
          <w:rFonts w:asciiTheme="minorHAnsi" w:hAnsiTheme="minorHAnsi" w:cstheme="minorHAnsi"/>
          <w:sz w:val="20"/>
          <w:szCs w:val="20"/>
        </w:rPr>
        <w:t>Zachowanie</w:t>
      </w:r>
      <w:r w:rsidR="00220D1A">
        <w:rPr>
          <w:rFonts w:asciiTheme="minorHAnsi" w:hAnsiTheme="minorHAnsi" w:cstheme="minorHAnsi"/>
          <w:sz w:val="20"/>
          <w:szCs w:val="20"/>
        </w:rPr>
        <w:t>,</w:t>
      </w:r>
      <w:r w:rsidRPr="00220D1A">
        <w:rPr>
          <w:rFonts w:asciiTheme="minorHAnsi" w:hAnsiTheme="minorHAnsi" w:cstheme="minorHAnsi"/>
          <w:sz w:val="20"/>
          <w:szCs w:val="20"/>
        </w:rPr>
        <w:t xml:space="preserve"> odtwarzani</w:t>
      </w:r>
      <w:r w:rsidR="00220D1A">
        <w:rPr>
          <w:rFonts w:asciiTheme="minorHAnsi" w:hAnsiTheme="minorHAnsi" w:cstheme="minorHAnsi"/>
          <w:sz w:val="20"/>
          <w:szCs w:val="20"/>
        </w:rPr>
        <w:t>e i zrównowa</w:t>
      </w:r>
      <w:r w:rsidR="00220D1A" w:rsidRPr="00220D1A">
        <w:rPr>
          <w:rFonts w:asciiTheme="minorHAnsi" w:hAnsiTheme="minorHAnsi" w:cstheme="minorHAnsi"/>
          <w:sz w:val="20"/>
          <w:szCs w:val="20"/>
        </w:rPr>
        <w:t>ż</w:t>
      </w:r>
      <w:r w:rsidR="00220D1A">
        <w:rPr>
          <w:rFonts w:asciiTheme="minorHAnsi" w:hAnsiTheme="minorHAnsi" w:cstheme="minorHAnsi"/>
          <w:sz w:val="20"/>
          <w:szCs w:val="20"/>
        </w:rPr>
        <w:t>o</w:t>
      </w:r>
      <w:r w:rsidR="00220D1A" w:rsidRPr="00220D1A">
        <w:rPr>
          <w:rFonts w:asciiTheme="minorHAnsi" w:hAnsiTheme="minorHAnsi" w:cstheme="minorHAnsi"/>
          <w:sz w:val="20"/>
          <w:szCs w:val="20"/>
        </w:rPr>
        <w:t>ne</w:t>
      </w:r>
      <w:r w:rsidRPr="00220D1A">
        <w:rPr>
          <w:rFonts w:asciiTheme="minorHAnsi" w:hAnsiTheme="minorHAnsi" w:cstheme="minorHAnsi"/>
          <w:sz w:val="20"/>
          <w:szCs w:val="20"/>
        </w:rPr>
        <w:t xml:space="preserve"> użytkowanie zasobów przyrodniczy</w:t>
      </w:r>
      <w:r w:rsidR="00220D1A">
        <w:rPr>
          <w:rFonts w:asciiTheme="minorHAnsi" w:hAnsiTheme="minorHAnsi" w:cstheme="minorHAnsi"/>
          <w:sz w:val="20"/>
          <w:szCs w:val="20"/>
        </w:rPr>
        <w:t>ch</w:t>
      </w:r>
      <w:r w:rsidRPr="00220D1A">
        <w:rPr>
          <w:rFonts w:asciiTheme="minorHAnsi" w:hAnsiTheme="minorHAnsi" w:cstheme="minorHAnsi"/>
          <w:sz w:val="20"/>
          <w:szCs w:val="20"/>
        </w:rPr>
        <w:t xml:space="preserve"> </w:t>
      </w:r>
      <w:r w:rsidR="00AC4CE1">
        <w:rPr>
          <w:rFonts w:asciiTheme="minorHAnsi" w:hAnsiTheme="minorHAnsi" w:cstheme="minorHAnsi"/>
          <w:sz w:val="20"/>
          <w:szCs w:val="20"/>
        </w:rPr>
        <w:br/>
      </w:r>
      <w:r w:rsidRPr="00220D1A">
        <w:rPr>
          <w:rFonts w:asciiTheme="minorHAnsi" w:hAnsiTheme="minorHAnsi" w:cstheme="minorHAnsi"/>
          <w:sz w:val="20"/>
          <w:szCs w:val="20"/>
        </w:rPr>
        <w:t>i krajobrazowych miasta.</w:t>
      </w:r>
    </w:p>
    <w:p w:rsidR="00AC4CE1" w:rsidRDefault="000B38A5" w:rsidP="00463955">
      <w:pPr>
        <w:pStyle w:val="Akapitzlist"/>
        <w:numPr>
          <w:ilvl w:val="0"/>
          <w:numId w:val="801"/>
        </w:numPr>
        <w:shd w:val="clear" w:color="auto" w:fill="F2F2F2" w:themeFill="background1" w:themeFillShade="F2"/>
        <w:spacing w:after="0" w:line="240" w:lineRule="auto"/>
        <w:jc w:val="both"/>
        <w:rPr>
          <w:rFonts w:asciiTheme="minorHAnsi" w:hAnsiTheme="minorHAnsi" w:cstheme="minorHAnsi"/>
          <w:sz w:val="20"/>
          <w:szCs w:val="20"/>
        </w:rPr>
      </w:pPr>
      <w:r w:rsidRPr="00220D1A">
        <w:rPr>
          <w:rFonts w:asciiTheme="minorHAnsi" w:hAnsiTheme="minorHAnsi" w:cstheme="minorHAnsi"/>
          <w:sz w:val="20"/>
          <w:szCs w:val="20"/>
        </w:rPr>
        <w:t xml:space="preserve">Ograniczenie ryzyka wystąpienia nadzwyczajnych zagrożeń </w:t>
      </w:r>
      <w:r w:rsidR="00220D1A" w:rsidRPr="00220D1A">
        <w:rPr>
          <w:rFonts w:asciiTheme="minorHAnsi" w:hAnsiTheme="minorHAnsi" w:cstheme="minorHAnsi"/>
          <w:sz w:val="20"/>
          <w:szCs w:val="20"/>
        </w:rPr>
        <w:t>środow</w:t>
      </w:r>
      <w:r w:rsidR="00220D1A">
        <w:rPr>
          <w:rFonts w:asciiTheme="minorHAnsi" w:hAnsiTheme="minorHAnsi" w:cstheme="minorHAnsi"/>
          <w:sz w:val="20"/>
          <w:szCs w:val="20"/>
        </w:rPr>
        <w:t>isk</w:t>
      </w:r>
      <w:r w:rsidR="00220D1A" w:rsidRPr="00220D1A">
        <w:rPr>
          <w:rFonts w:asciiTheme="minorHAnsi" w:hAnsiTheme="minorHAnsi" w:cstheme="minorHAnsi"/>
          <w:sz w:val="20"/>
          <w:szCs w:val="20"/>
        </w:rPr>
        <w:t>a</w:t>
      </w:r>
      <w:r w:rsidRPr="00220D1A">
        <w:rPr>
          <w:rFonts w:asciiTheme="minorHAnsi" w:hAnsiTheme="minorHAnsi" w:cstheme="minorHAnsi"/>
          <w:sz w:val="20"/>
          <w:szCs w:val="20"/>
        </w:rPr>
        <w:t xml:space="preserve"> na terenie miasta </w:t>
      </w:r>
      <w:r w:rsidR="00AC4CE1">
        <w:rPr>
          <w:rFonts w:asciiTheme="minorHAnsi" w:hAnsiTheme="minorHAnsi" w:cstheme="minorHAnsi"/>
          <w:sz w:val="20"/>
          <w:szCs w:val="20"/>
        </w:rPr>
        <w:br/>
      </w:r>
      <w:r w:rsidRPr="00220D1A">
        <w:rPr>
          <w:rFonts w:asciiTheme="minorHAnsi" w:hAnsiTheme="minorHAnsi" w:cstheme="minorHAnsi"/>
          <w:sz w:val="20"/>
          <w:szCs w:val="20"/>
        </w:rPr>
        <w:t>i min</w:t>
      </w:r>
      <w:r w:rsidR="00220D1A">
        <w:rPr>
          <w:rFonts w:asciiTheme="minorHAnsi" w:hAnsiTheme="minorHAnsi" w:cstheme="minorHAnsi"/>
          <w:sz w:val="20"/>
          <w:szCs w:val="20"/>
        </w:rPr>
        <w:t>imalizowanie skutków środowiskowych w przypadku ich wystą</w:t>
      </w:r>
      <w:r w:rsidRPr="00220D1A">
        <w:rPr>
          <w:rFonts w:asciiTheme="minorHAnsi" w:hAnsiTheme="minorHAnsi" w:cstheme="minorHAnsi"/>
          <w:sz w:val="20"/>
          <w:szCs w:val="20"/>
        </w:rPr>
        <w:t>pi</w:t>
      </w:r>
      <w:r w:rsidR="00220D1A">
        <w:rPr>
          <w:rFonts w:asciiTheme="minorHAnsi" w:hAnsiTheme="minorHAnsi" w:cstheme="minorHAnsi"/>
          <w:sz w:val="20"/>
          <w:szCs w:val="20"/>
        </w:rPr>
        <w:t>e</w:t>
      </w:r>
      <w:r w:rsidRPr="00220D1A">
        <w:rPr>
          <w:rFonts w:asciiTheme="minorHAnsi" w:hAnsiTheme="minorHAnsi" w:cstheme="minorHAnsi"/>
          <w:sz w:val="20"/>
          <w:szCs w:val="20"/>
        </w:rPr>
        <w:t>nia</w:t>
      </w:r>
      <w:r w:rsidR="00220D1A">
        <w:rPr>
          <w:rFonts w:asciiTheme="minorHAnsi" w:hAnsiTheme="minorHAnsi" w:cstheme="minorHAnsi"/>
          <w:sz w:val="20"/>
          <w:szCs w:val="20"/>
        </w:rPr>
        <w:t>.</w:t>
      </w:r>
    </w:p>
    <w:p w:rsidR="000C70A4" w:rsidRPr="00AC4CE1" w:rsidRDefault="000C70A4" w:rsidP="00463955">
      <w:pPr>
        <w:shd w:val="clear" w:color="auto" w:fill="F2F2F2" w:themeFill="background1" w:themeFillShade="F2"/>
        <w:spacing w:before="120"/>
        <w:ind w:firstLine="357"/>
        <w:jc w:val="both"/>
        <w:rPr>
          <w:rFonts w:cstheme="minorHAnsi"/>
          <w:szCs w:val="20"/>
        </w:rPr>
      </w:pPr>
      <w:r w:rsidRPr="00AC4CE1">
        <w:rPr>
          <w:rFonts w:cs="Calibri"/>
          <w:szCs w:val="20"/>
        </w:rPr>
        <w:t>Większość problemów środowiskowych Bytomia jest naturalną konsekwencją znacznego zagęszczenia sieci osadniczej i transportowej, a część z nich wynika także z działalności przemysłowej, zwłaszcza górnictwa. Do najważniejszych zaliczyć należy:</w:t>
      </w:r>
    </w:p>
    <w:p w:rsidR="000C70A4" w:rsidRDefault="000C70A4" w:rsidP="00463955">
      <w:pPr>
        <w:numPr>
          <w:ilvl w:val="0"/>
          <w:numId w:val="32"/>
        </w:numPr>
        <w:shd w:val="clear" w:color="auto" w:fill="F2F2F2" w:themeFill="background1" w:themeFillShade="F2"/>
        <w:tabs>
          <w:tab w:val="clear" w:pos="720"/>
        </w:tabs>
        <w:ind w:left="714" w:hanging="357"/>
        <w:jc w:val="both"/>
        <w:rPr>
          <w:rFonts w:ascii="Calibri" w:hAnsi="Calibri" w:cs="Calibri"/>
          <w:szCs w:val="20"/>
        </w:rPr>
      </w:pPr>
      <w:r>
        <w:rPr>
          <w:rFonts w:ascii="Calibri" w:hAnsi="Calibri" w:cs="Calibri"/>
          <w:szCs w:val="20"/>
        </w:rPr>
        <w:t>zanieczyszczenie wód powierzchniowych,</w:t>
      </w:r>
    </w:p>
    <w:p w:rsidR="000C70A4" w:rsidRDefault="000C70A4" w:rsidP="00463955">
      <w:pPr>
        <w:numPr>
          <w:ilvl w:val="0"/>
          <w:numId w:val="32"/>
        </w:numPr>
        <w:shd w:val="clear" w:color="auto" w:fill="F2F2F2" w:themeFill="background1" w:themeFillShade="F2"/>
        <w:tabs>
          <w:tab w:val="clear" w:pos="720"/>
        </w:tabs>
        <w:ind w:left="714" w:hanging="357"/>
        <w:jc w:val="both"/>
        <w:rPr>
          <w:rFonts w:ascii="Calibri" w:hAnsi="Calibri" w:cs="Calibri"/>
          <w:szCs w:val="20"/>
        </w:rPr>
      </w:pPr>
      <w:r>
        <w:rPr>
          <w:rFonts w:ascii="Calibri" w:hAnsi="Calibri" w:cs="Calibri"/>
          <w:szCs w:val="20"/>
        </w:rPr>
        <w:t>zagrożenie powierzchni ziemi, głównie deformacjami wywołanymi działalnością górniczą,</w:t>
      </w:r>
    </w:p>
    <w:p w:rsidR="000C70A4" w:rsidRPr="00CC4734" w:rsidRDefault="000C70A4" w:rsidP="00463955">
      <w:pPr>
        <w:numPr>
          <w:ilvl w:val="0"/>
          <w:numId w:val="32"/>
        </w:numPr>
        <w:shd w:val="clear" w:color="auto" w:fill="F2F2F2" w:themeFill="background1" w:themeFillShade="F2"/>
        <w:tabs>
          <w:tab w:val="clear" w:pos="720"/>
        </w:tabs>
        <w:ind w:left="714" w:hanging="357"/>
        <w:jc w:val="both"/>
        <w:rPr>
          <w:rFonts w:ascii="Calibri" w:hAnsi="Calibri" w:cs="Calibri"/>
          <w:szCs w:val="20"/>
        </w:rPr>
      </w:pPr>
      <w:r>
        <w:rPr>
          <w:rFonts w:ascii="Calibri" w:hAnsi="Calibri" w:cs="Calibri"/>
          <w:szCs w:val="20"/>
        </w:rPr>
        <w:t>zagrożenie hałasem komunikacyjnym,</w:t>
      </w:r>
    </w:p>
    <w:p w:rsidR="000C70A4" w:rsidRDefault="000C70A4" w:rsidP="00463955">
      <w:pPr>
        <w:numPr>
          <w:ilvl w:val="0"/>
          <w:numId w:val="33"/>
        </w:numPr>
        <w:shd w:val="clear" w:color="auto" w:fill="F2F2F2" w:themeFill="background1" w:themeFillShade="F2"/>
        <w:tabs>
          <w:tab w:val="clear" w:pos="720"/>
        </w:tabs>
        <w:ind w:left="714" w:hanging="357"/>
        <w:jc w:val="both"/>
        <w:rPr>
          <w:rFonts w:ascii="Calibri" w:hAnsi="Calibri" w:cs="Calibri"/>
          <w:szCs w:val="20"/>
        </w:rPr>
      </w:pPr>
      <w:r>
        <w:rPr>
          <w:rFonts w:ascii="Calibri" w:hAnsi="Calibri" w:cs="Calibri"/>
          <w:szCs w:val="20"/>
        </w:rPr>
        <w:t>zanieczyszczenie powietrza związane głównie z niską emisją ze źródeł komunikacyjnych i stacjonarnych (lokalnie bardzo istotne),</w:t>
      </w:r>
    </w:p>
    <w:p w:rsidR="000C70A4" w:rsidRDefault="000C70A4" w:rsidP="00463955">
      <w:pPr>
        <w:numPr>
          <w:ilvl w:val="0"/>
          <w:numId w:val="33"/>
        </w:numPr>
        <w:shd w:val="clear" w:color="auto" w:fill="F2F2F2" w:themeFill="background1" w:themeFillShade="F2"/>
        <w:tabs>
          <w:tab w:val="clear" w:pos="720"/>
        </w:tabs>
        <w:ind w:left="714" w:hanging="357"/>
        <w:jc w:val="both"/>
        <w:rPr>
          <w:rFonts w:ascii="Calibri" w:hAnsi="Calibri" w:cs="Calibri"/>
          <w:szCs w:val="20"/>
        </w:rPr>
      </w:pPr>
      <w:r>
        <w:rPr>
          <w:rFonts w:ascii="Calibri" w:hAnsi="Calibri" w:cs="Calibri"/>
          <w:szCs w:val="20"/>
        </w:rPr>
        <w:t>skażenie gruntów,</w:t>
      </w:r>
    </w:p>
    <w:p w:rsidR="000C70A4" w:rsidRDefault="000C70A4" w:rsidP="00463955">
      <w:pPr>
        <w:numPr>
          <w:ilvl w:val="0"/>
          <w:numId w:val="33"/>
        </w:numPr>
        <w:shd w:val="clear" w:color="auto" w:fill="F2F2F2" w:themeFill="background1" w:themeFillShade="F2"/>
        <w:tabs>
          <w:tab w:val="clear" w:pos="720"/>
        </w:tabs>
        <w:ind w:left="714" w:hanging="357"/>
        <w:jc w:val="both"/>
        <w:rPr>
          <w:rFonts w:ascii="Calibri" w:hAnsi="Calibri" w:cs="Calibri"/>
          <w:szCs w:val="20"/>
        </w:rPr>
      </w:pPr>
      <w:r>
        <w:rPr>
          <w:rFonts w:ascii="Calibri" w:hAnsi="Calibri" w:cs="Calibri"/>
          <w:szCs w:val="20"/>
        </w:rPr>
        <w:t>znaczny udział terenów zdegradowanych, w tym poprzemysłowych,</w:t>
      </w:r>
    </w:p>
    <w:p w:rsidR="000C70A4" w:rsidRDefault="000C70A4" w:rsidP="00463955">
      <w:pPr>
        <w:numPr>
          <w:ilvl w:val="0"/>
          <w:numId w:val="33"/>
        </w:numPr>
        <w:shd w:val="clear" w:color="auto" w:fill="F2F2F2" w:themeFill="background1" w:themeFillShade="F2"/>
        <w:tabs>
          <w:tab w:val="clear" w:pos="720"/>
        </w:tabs>
        <w:ind w:left="714" w:hanging="357"/>
        <w:jc w:val="both"/>
        <w:rPr>
          <w:rFonts w:ascii="Calibri" w:hAnsi="Calibri" w:cs="Calibri"/>
          <w:szCs w:val="20"/>
        </w:rPr>
      </w:pPr>
      <w:r>
        <w:rPr>
          <w:rFonts w:ascii="Calibri" w:hAnsi="Calibri" w:cs="Calibri"/>
          <w:szCs w:val="20"/>
        </w:rPr>
        <w:t>zagrożenie fragmentacją przestrzeni przyrodniczej,</w:t>
      </w:r>
    </w:p>
    <w:p w:rsidR="000C70A4" w:rsidRDefault="000C70A4" w:rsidP="00463955">
      <w:pPr>
        <w:numPr>
          <w:ilvl w:val="0"/>
          <w:numId w:val="33"/>
        </w:numPr>
        <w:shd w:val="clear" w:color="auto" w:fill="F2F2F2" w:themeFill="background1" w:themeFillShade="F2"/>
        <w:tabs>
          <w:tab w:val="clear" w:pos="720"/>
        </w:tabs>
        <w:ind w:left="714" w:hanging="357"/>
        <w:jc w:val="both"/>
        <w:rPr>
          <w:rFonts w:ascii="Calibri" w:hAnsi="Calibri" w:cs="Calibri"/>
          <w:szCs w:val="20"/>
        </w:rPr>
      </w:pPr>
      <w:r>
        <w:rPr>
          <w:rFonts w:ascii="Calibri" w:hAnsi="Calibri" w:cs="Calibri"/>
          <w:szCs w:val="20"/>
        </w:rPr>
        <w:t>zaniedbanie terenów zielonych i otwartych,</w:t>
      </w:r>
    </w:p>
    <w:p w:rsidR="000C70A4" w:rsidRDefault="000C70A4" w:rsidP="00463955">
      <w:pPr>
        <w:numPr>
          <w:ilvl w:val="0"/>
          <w:numId w:val="33"/>
        </w:numPr>
        <w:shd w:val="clear" w:color="auto" w:fill="F2F2F2" w:themeFill="background1" w:themeFillShade="F2"/>
        <w:tabs>
          <w:tab w:val="clear" w:pos="720"/>
        </w:tabs>
        <w:ind w:left="714" w:hanging="357"/>
        <w:jc w:val="both"/>
        <w:rPr>
          <w:rFonts w:ascii="Calibri" w:hAnsi="Calibri" w:cs="Calibri"/>
          <w:szCs w:val="20"/>
        </w:rPr>
      </w:pPr>
      <w:r>
        <w:rPr>
          <w:rFonts w:ascii="Calibri" w:hAnsi="Calibri" w:cs="Calibri"/>
          <w:szCs w:val="20"/>
        </w:rPr>
        <w:t>niedostatki świadomości ekologicznej mieszkańców miasta.</w:t>
      </w:r>
    </w:p>
    <w:p w:rsidR="001A380D" w:rsidRDefault="000C70A4" w:rsidP="00463955">
      <w:pPr>
        <w:shd w:val="clear" w:color="auto" w:fill="F2F2F2" w:themeFill="background1" w:themeFillShade="F2"/>
        <w:spacing w:before="120"/>
        <w:ind w:firstLine="708"/>
        <w:jc w:val="both"/>
        <w:rPr>
          <w:rFonts w:ascii="Calibri" w:hAnsi="Calibri" w:cs="Calibri"/>
          <w:szCs w:val="20"/>
        </w:rPr>
      </w:pPr>
      <w:r>
        <w:rPr>
          <w:rFonts w:ascii="Calibri" w:hAnsi="Calibri" w:cs="Calibri"/>
          <w:szCs w:val="20"/>
        </w:rPr>
        <w:t>Poważny problem stanowi deformacja powierzchni ziemi spowodowana dotychczasową działalnością górniczą. Rozległe negatywne skutki eksploatacji górniczej, dotyczące zasobów mieszkaniowych, infrastruktury komunalnej i środowiska przyrodniczego stanowią jeden z głównych powodów konieczności objęcia całego obszaru miasta programem rewitalizacji.</w:t>
      </w:r>
      <w:r w:rsidR="00B627BB">
        <w:rPr>
          <w:rFonts w:ascii="Calibri" w:hAnsi="Calibri" w:cs="Calibri"/>
          <w:szCs w:val="20"/>
        </w:rPr>
        <w:t xml:space="preserve"> </w:t>
      </w:r>
    </w:p>
    <w:p w:rsidR="00CC4734" w:rsidRDefault="001A380D" w:rsidP="00463955">
      <w:pPr>
        <w:pStyle w:val="Tekstpodstawowy2"/>
        <w:shd w:val="clear" w:color="auto" w:fill="F2F2F2" w:themeFill="background1" w:themeFillShade="F2"/>
        <w:spacing w:before="120"/>
        <w:ind w:firstLine="708"/>
        <w:rPr>
          <w:rFonts w:ascii="Calibri" w:hAnsi="Calibri" w:cs="Calibri"/>
          <w:szCs w:val="20"/>
        </w:rPr>
      </w:pPr>
      <w:r>
        <w:rPr>
          <w:rFonts w:ascii="Calibri" w:hAnsi="Calibri" w:cs="Calibri"/>
          <w:szCs w:val="20"/>
        </w:rPr>
        <w:t xml:space="preserve">Przyjmuje się, że w nadchodzących latach niezbędne będzie położenie szczególnego nacisku na przedsięwzięcia mające na celu eliminację zanieczyszczeń wód powierzchniowych, minimalizowanie skutków deformacji terenu, ochronę przed hałasem komunikacyjnym oraz zmniejszenie emisji zanieczyszczeń powietrza. Bardzo ważne będą również systemowe działania w zakresie edukacji oraz doskonalenia zarządzania środowiskiem, w tym uspołecznienia procedur. Nie można również zapomnieć o tych aspektach polityki przestrzennej miasta, które zadecydują o możliwości odtworzenia ciągłości przestrzeni przyrodniczej. Znajduje to odzwierciedlenie w następujących celach </w:t>
      </w:r>
      <w:r w:rsidR="00B627BB">
        <w:rPr>
          <w:rFonts w:ascii="Calibri" w:hAnsi="Calibri" w:cs="Calibri"/>
          <w:szCs w:val="20"/>
        </w:rPr>
        <w:t>szczeg</w:t>
      </w:r>
      <w:r>
        <w:rPr>
          <w:rFonts w:ascii="Calibri" w:hAnsi="Calibri" w:cs="Calibri"/>
          <w:szCs w:val="20"/>
        </w:rPr>
        <w:t>ółowych programu</w:t>
      </w:r>
      <w:r w:rsidR="00B627BB">
        <w:rPr>
          <w:rFonts w:ascii="Calibri" w:hAnsi="Calibri" w:cs="Calibri"/>
          <w:szCs w:val="20"/>
        </w:rPr>
        <w:t>:</w:t>
      </w:r>
      <w:r>
        <w:rPr>
          <w:rFonts w:ascii="Calibri" w:hAnsi="Calibri" w:cs="Calibri"/>
          <w:szCs w:val="20"/>
        </w:rPr>
        <w:t xml:space="preserve"> </w:t>
      </w:r>
      <w:r w:rsidR="000F38D3">
        <w:rPr>
          <w:rFonts w:ascii="Calibri" w:hAnsi="Calibri" w:cs="Calibri"/>
          <w:szCs w:val="20"/>
        </w:rPr>
        <w:t xml:space="preserve">przywrócenie lub nadanie nowych funkcji dawnym terenom górniczym i hutniczym, wzbogacenie przestrzeni publicznej w zieleń urządzoną, </w:t>
      </w:r>
      <w:r w:rsidR="00B627BB">
        <w:rPr>
          <w:rFonts w:ascii="Calibri" w:hAnsi="Calibri" w:cs="Calibri"/>
          <w:szCs w:val="20"/>
        </w:rPr>
        <w:t>rewitalizację</w:t>
      </w:r>
      <w:r w:rsidR="000F38D3">
        <w:rPr>
          <w:rFonts w:ascii="Calibri" w:hAnsi="Calibri" w:cs="Calibri"/>
          <w:szCs w:val="20"/>
        </w:rPr>
        <w:t xml:space="preserve"> istniejących założeń zieleni, zakładani</w:t>
      </w:r>
      <w:r w:rsidR="00B627BB">
        <w:rPr>
          <w:rFonts w:ascii="Calibri" w:hAnsi="Calibri" w:cs="Calibri"/>
          <w:szCs w:val="20"/>
        </w:rPr>
        <w:t>e</w:t>
      </w:r>
      <w:r w:rsidR="000F38D3">
        <w:rPr>
          <w:rFonts w:ascii="Calibri" w:hAnsi="Calibri" w:cs="Calibri"/>
          <w:szCs w:val="20"/>
        </w:rPr>
        <w:t xml:space="preserve"> no</w:t>
      </w:r>
      <w:r w:rsidR="00B627BB">
        <w:rPr>
          <w:rFonts w:ascii="Calibri" w:hAnsi="Calibri" w:cs="Calibri"/>
          <w:szCs w:val="20"/>
        </w:rPr>
        <w:t>wych zieleńców i parków, poprawę</w:t>
      </w:r>
      <w:r w:rsidR="000F38D3">
        <w:rPr>
          <w:rFonts w:ascii="Calibri" w:hAnsi="Calibri" w:cs="Calibri"/>
          <w:szCs w:val="20"/>
        </w:rPr>
        <w:t xml:space="preserve"> jakości powietrza</w:t>
      </w:r>
      <w:r w:rsidR="000C70A4">
        <w:rPr>
          <w:rFonts w:ascii="Calibri" w:hAnsi="Calibri" w:cs="Calibri"/>
          <w:szCs w:val="20"/>
        </w:rPr>
        <w:t>.</w:t>
      </w:r>
      <w:r w:rsidR="008B394E">
        <w:rPr>
          <w:rFonts w:ascii="Calibri" w:hAnsi="Calibri" w:cs="Calibri"/>
          <w:szCs w:val="20"/>
        </w:rPr>
        <w:t xml:space="preserve"> </w:t>
      </w:r>
      <w:r w:rsidR="00CC4734">
        <w:rPr>
          <w:rFonts w:ascii="Calibri" w:hAnsi="Calibri" w:cs="Calibri"/>
          <w:szCs w:val="20"/>
        </w:rPr>
        <w:t xml:space="preserve">Równocześnie są one elementem planowanych do realizacji w ramach niniejszego programu działań rewitalizacyjnych na terenie miasta w aspekcie rewitalizacji środowiskowej, ale także infrastrukturalnej, przestrzennej i społecznej. </w:t>
      </w:r>
    </w:p>
    <w:p w:rsidR="008B394E" w:rsidRPr="001A380D" w:rsidRDefault="00B627BB" w:rsidP="00463955">
      <w:pPr>
        <w:pStyle w:val="Tekstpodstawowy2"/>
        <w:shd w:val="clear" w:color="auto" w:fill="F2F2F2" w:themeFill="background1" w:themeFillShade="F2"/>
        <w:spacing w:before="100"/>
        <w:ind w:firstLine="709"/>
        <w:rPr>
          <w:rFonts w:cs="Calibri"/>
          <w:bCs/>
          <w:szCs w:val="20"/>
        </w:rPr>
      </w:pPr>
      <w:r>
        <w:rPr>
          <w:rFonts w:ascii="Calibri" w:hAnsi="Calibri" w:cs="Calibri"/>
          <w:szCs w:val="20"/>
        </w:rPr>
        <w:t xml:space="preserve">Założenia </w:t>
      </w:r>
      <w:r>
        <w:rPr>
          <w:rFonts w:ascii="Calibri" w:hAnsi="Calibri" w:cs="Calibri"/>
          <w:bCs/>
          <w:szCs w:val="20"/>
        </w:rPr>
        <w:t>„</w:t>
      </w:r>
      <w:r w:rsidRPr="002E7561">
        <w:rPr>
          <w:rFonts w:ascii="Calibri" w:hAnsi="Calibri" w:cs="Calibri"/>
          <w:bCs/>
          <w:szCs w:val="20"/>
        </w:rPr>
        <w:t>Program</w:t>
      </w:r>
      <w:r>
        <w:rPr>
          <w:rFonts w:ascii="Calibri" w:hAnsi="Calibri" w:cs="Calibri"/>
          <w:bCs/>
          <w:szCs w:val="20"/>
        </w:rPr>
        <w:t>u</w:t>
      </w:r>
      <w:r w:rsidRPr="002E7561">
        <w:rPr>
          <w:rFonts w:ascii="Calibri" w:hAnsi="Calibri" w:cs="Calibri"/>
          <w:bCs/>
          <w:szCs w:val="20"/>
        </w:rPr>
        <w:t xml:space="preserve"> Ochrony Środowiska dla miasta Bytom na lata 2022-2030, z perspektywą do roku 2035</w:t>
      </w:r>
      <w:r>
        <w:rPr>
          <w:rFonts w:ascii="Calibri" w:hAnsi="Calibri" w:cs="Calibri"/>
          <w:bCs/>
          <w:szCs w:val="20"/>
        </w:rPr>
        <w:t>”</w:t>
      </w:r>
      <w:r>
        <w:rPr>
          <w:rFonts w:ascii="Calibri" w:hAnsi="Calibri" w:cs="Calibri"/>
          <w:b/>
          <w:bCs/>
          <w:szCs w:val="20"/>
        </w:rPr>
        <w:t xml:space="preserve"> </w:t>
      </w:r>
      <w:r w:rsidRPr="001A380D">
        <w:rPr>
          <w:rFonts w:ascii="Calibri" w:hAnsi="Calibri" w:cs="Calibri"/>
          <w:bCs/>
          <w:szCs w:val="20"/>
        </w:rPr>
        <w:t xml:space="preserve">są zbieżne z </w:t>
      </w:r>
      <w:r w:rsidR="001A380D">
        <w:rPr>
          <w:rFonts w:ascii="Calibri" w:hAnsi="Calibri" w:cs="Calibri"/>
          <w:bCs/>
          <w:szCs w:val="20"/>
        </w:rPr>
        <w:t xml:space="preserve">następującymi </w:t>
      </w:r>
      <w:r w:rsidRPr="001A380D">
        <w:rPr>
          <w:rFonts w:ascii="Calibri" w:hAnsi="Calibri" w:cs="Calibri"/>
          <w:bCs/>
          <w:szCs w:val="20"/>
        </w:rPr>
        <w:t xml:space="preserve">celami </w:t>
      </w:r>
      <w:r w:rsidR="001A380D" w:rsidRPr="001A380D">
        <w:rPr>
          <w:rFonts w:ascii="Calibri" w:hAnsi="Calibri" w:cs="Calibri"/>
          <w:bCs/>
          <w:szCs w:val="20"/>
        </w:rPr>
        <w:t>operacyjnymi</w:t>
      </w:r>
      <w:r w:rsidR="001A380D">
        <w:rPr>
          <w:rFonts w:ascii="Calibri" w:hAnsi="Calibri" w:cs="Calibri"/>
          <w:b/>
          <w:bCs/>
          <w:szCs w:val="20"/>
        </w:rPr>
        <w:t xml:space="preserve"> </w:t>
      </w:r>
      <w:r w:rsidR="001A380D">
        <w:rPr>
          <w:rFonts w:ascii="Calibri" w:hAnsi="Calibri" w:cs="Calibri"/>
          <w:szCs w:val="20"/>
        </w:rPr>
        <w:t xml:space="preserve">„Gminnego Programu Rewitalizacji. Bytom 2020+”: Cel </w:t>
      </w:r>
      <w:r w:rsidR="008B394E" w:rsidRPr="002F09B3">
        <w:rPr>
          <w:rFonts w:cs="Calibri"/>
          <w:bCs/>
          <w:szCs w:val="20"/>
        </w:rPr>
        <w:t>3.2</w:t>
      </w:r>
      <w:r w:rsidR="008B394E">
        <w:rPr>
          <w:rFonts w:cs="Calibri"/>
          <w:bCs/>
          <w:szCs w:val="20"/>
        </w:rPr>
        <w:t>.</w:t>
      </w:r>
      <w:r w:rsidR="008B394E" w:rsidRPr="002F09B3">
        <w:rPr>
          <w:rFonts w:cs="Calibri"/>
          <w:bCs/>
          <w:szCs w:val="20"/>
        </w:rPr>
        <w:t xml:space="preserve"> Partnerstwo władz miasta i</w:t>
      </w:r>
      <w:r w:rsidR="008B394E">
        <w:rPr>
          <w:rFonts w:cs="Calibri"/>
          <w:bCs/>
          <w:szCs w:val="20"/>
        </w:rPr>
        <w:t> </w:t>
      </w:r>
      <w:r w:rsidR="008B394E" w:rsidRPr="002F09B3">
        <w:rPr>
          <w:rFonts w:cs="Calibri"/>
          <w:bCs/>
          <w:szCs w:val="20"/>
        </w:rPr>
        <w:t>społeczności lokalnych w podnoszeniu jakości i ochronie walorów przestrzeni publicznych</w:t>
      </w:r>
      <w:r w:rsidR="001A380D">
        <w:rPr>
          <w:rFonts w:cs="Calibri"/>
          <w:bCs/>
          <w:szCs w:val="20"/>
        </w:rPr>
        <w:t xml:space="preserve">, Cel </w:t>
      </w:r>
      <w:r w:rsidR="008B394E" w:rsidRPr="002F09B3">
        <w:rPr>
          <w:rFonts w:cs="Calibri"/>
          <w:bCs/>
          <w:szCs w:val="20"/>
        </w:rPr>
        <w:t>4.1</w:t>
      </w:r>
      <w:r w:rsidR="008B394E">
        <w:rPr>
          <w:rFonts w:cs="Calibri"/>
          <w:bCs/>
          <w:szCs w:val="20"/>
        </w:rPr>
        <w:t>.</w:t>
      </w:r>
      <w:r w:rsidR="008B394E" w:rsidRPr="002F09B3">
        <w:rPr>
          <w:rFonts w:cs="Calibri"/>
          <w:bCs/>
          <w:szCs w:val="20"/>
        </w:rPr>
        <w:t xml:space="preserve"> Zrekultywowane tereny poprzemysłowe przygotowane na przyjęcie nowych funkcji ważnych dla poprawy sytuacji społecznej i</w:t>
      </w:r>
      <w:r w:rsidR="008B394E">
        <w:rPr>
          <w:rFonts w:cs="Calibri"/>
          <w:bCs/>
          <w:szCs w:val="20"/>
        </w:rPr>
        <w:t> </w:t>
      </w:r>
      <w:r w:rsidR="001A380D">
        <w:rPr>
          <w:rFonts w:cs="Calibri"/>
          <w:bCs/>
          <w:szCs w:val="20"/>
        </w:rPr>
        <w:t xml:space="preserve">rozwoju rynku pracy, Cel </w:t>
      </w:r>
      <w:r w:rsidR="008B394E">
        <w:rPr>
          <w:rFonts w:cs="Calibri"/>
          <w:bCs/>
          <w:szCs w:val="20"/>
        </w:rPr>
        <w:t>4</w:t>
      </w:r>
      <w:r w:rsidR="008B394E" w:rsidRPr="002F09B3">
        <w:rPr>
          <w:rFonts w:cs="Calibri"/>
          <w:bCs/>
          <w:szCs w:val="20"/>
        </w:rPr>
        <w:t>.2 Przywrócona wartość obiektów historycznych, kulturowych, krajobrazowo-przyrodniczych przyczyniająca się do wzmacniania tożsamości społeczności lokalnych</w:t>
      </w:r>
      <w:r w:rsidR="001A380D">
        <w:rPr>
          <w:rFonts w:cs="Calibri"/>
          <w:bCs/>
          <w:szCs w:val="20"/>
        </w:rPr>
        <w:t>.</w:t>
      </w:r>
    </w:p>
    <w:p w:rsidR="00E00A3C" w:rsidRDefault="00E00A3C" w:rsidP="00463955">
      <w:pPr>
        <w:pStyle w:val="Tekstpodstawowy2"/>
        <w:shd w:val="clear" w:color="auto" w:fill="F2F2F2" w:themeFill="background1" w:themeFillShade="F2"/>
        <w:spacing w:before="100"/>
        <w:ind w:firstLine="709"/>
        <w:rPr>
          <w:rFonts w:ascii="Calibri" w:hAnsi="Calibri" w:cs="Calibri"/>
          <w:b/>
          <w:bCs/>
          <w:szCs w:val="20"/>
        </w:rPr>
      </w:pPr>
      <w:r>
        <w:rPr>
          <w:rFonts w:ascii="Calibri" w:hAnsi="Calibri" w:cs="Calibri"/>
          <w:szCs w:val="20"/>
        </w:rPr>
        <w:t xml:space="preserve">Proponowane działania podejmowane w ramach obszaru rewitalizacji są zgodne z ustaleniami </w:t>
      </w:r>
      <w:r w:rsidR="001A380D">
        <w:rPr>
          <w:rFonts w:ascii="Calibri" w:hAnsi="Calibri" w:cs="Calibri"/>
          <w:bCs/>
          <w:szCs w:val="20"/>
        </w:rPr>
        <w:t>„</w:t>
      </w:r>
      <w:r w:rsidR="001A380D" w:rsidRPr="002E7561">
        <w:rPr>
          <w:rFonts w:ascii="Calibri" w:hAnsi="Calibri" w:cs="Calibri"/>
          <w:bCs/>
          <w:szCs w:val="20"/>
        </w:rPr>
        <w:t>Program</w:t>
      </w:r>
      <w:r w:rsidR="001A380D">
        <w:rPr>
          <w:rFonts w:ascii="Calibri" w:hAnsi="Calibri" w:cs="Calibri"/>
          <w:bCs/>
          <w:szCs w:val="20"/>
        </w:rPr>
        <w:t>u</w:t>
      </w:r>
      <w:r w:rsidR="001A380D" w:rsidRPr="002E7561">
        <w:rPr>
          <w:rFonts w:ascii="Calibri" w:hAnsi="Calibri" w:cs="Calibri"/>
          <w:bCs/>
          <w:szCs w:val="20"/>
        </w:rPr>
        <w:t xml:space="preserve"> Ochrony Środowiska dla miasta Bytom na lata 2022-2030, z perspektywą do roku 2035</w:t>
      </w:r>
      <w:r w:rsidR="001A380D">
        <w:rPr>
          <w:rFonts w:ascii="Calibri" w:hAnsi="Calibri" w:cs="Calibri"/>
          <w:bCs/>
          <w:szCs w:val="20"/>
        </w:rPr>
        <w:t>”.</w:t>
      </w:r>
    </w:p>
    <w:p w:rsidR="001A380D" w:rsidRPr="00581E59" w:rsidRDefault="006342C0" w:rsidP="00463955">
      <w:pPr>
        <w:pStyle w:val="Nagwek4"/>
        <w:shd w:val="clear" w:color="auto" w:fill="F2F2F2" w:themeFill="background1" w:themeFillShade="F2"/>
        <w:spacing w:before="0" w:after="0"/>
        <w:jc w:val="both"/>
        <w:rPr>
          <w:rFonts w:cs="Calibri"/>
          <w:i w:val="0"/>
          <w:color w:val="548DD4" w:themeColor="text2" w:themeTint="99"/>
          <w:szCs w:val="22"/>
        </w:rPr>
      </w:pPr>
      <w:bookmarkStart w:id="1052" w:name="_Toc460173686"/>
      <w:bookmarkStart w:id="1053" w:name="_Toc460313270"/>
      <w:r w:rsidRPr="00581E59">
        <w:rPr>
          <w:rFonts w:cs="Calibri"/>
          <w:i w:val="0"/>
          <w:color w:val="548DD4" w:themeColor="text2" w:themeTint="99"/>
          <w:szCs w:val="22"/>
        </w:rPr>
        <w:lastRenderedPageBreak/>
        <w:t>Strategia rozwoju rynku ciepła systemowego na terenie Bytomia i Radzionkowa na lata 2024 -2034</w:t>
      </w:r>
    </w:p>
    <w:p w:rsidR="006342C0" w:rsidRPr="00F579D0" w:rsidRDefault="006342C0" w:rsidP="00463955">
      <w:pPr>
        <w:shd w:val="clear" w:color="auto" w:fill="F2F2F2" w:themeFill="background1" w:themeFillShade="F2"/>
        <w:rPr>
          <w:color w:val="FF0000"/>
        </w:rPr>
      </w:pPr>
    </w:p>
    <w:p w:rsidR="006342C0" w:rsidRPr="00581E59" w:rsidRDefault="006342C0" w:rsidP="00463955">
      <w:pPr>
        <w:shd w:val="clear" w:color="auto" w:fill="F2F2F2" w:themeFill="background1" w:themeFillShade="F2"/>
        <w:ind w:firstLine="680"/>
        <w:jc w:val="both"/>
      </w:pPr>
      <w:r w:rsidRPr="00581E59">
        <w:t xml:space="preserve">Strategia zakłada dynamiczny rozwój rynku ciepła systemowego na terenie Bytomia, skoncentrowany na pozyskiwaniu nowych odbiorców zarówno w krótkim, jak i długoterminowym horyzoncie czasowym. Priorytetem dokumentu opracowanego w 2023 r. jest zrównoważony rozwój, minimalizujący negatywny wpływ na środowisko i redukcję emisji gazów cieplarnianych. Strategia zakłada dążenie do inwestowania </w:t>
      </w:r>
      <w:r w:rsidR="00CC3F47" w:rsidRPr="00581E59">
        <w:br/>
      </w:r>
      <w:r w:rsidRPr="00581E59">
        <w:t>w nowoczesne, efektywne technologie produkcji i dystrybucji ciepła, zwiększające efektywność energetyczną, ograniczające straty i tworzące atrakcyjny produkt dla klientów. Realizacja strategii powinna przyczynić się do ograniczenia niskiej em</w:t>
      </w:r>
      <w:r w:rsidR="00CC3F47" w:rsidRPr="00581E59">
        <w:t xml:space="preserve">isji w regionie, co stanowi odpowiedź na problemy i wyzwania zidentyfikowane </w:t>
      </w:r>
      <w:r w:rsidR="00CC3F47" w:rsidRPr="00581E59">
        <w:br/>
        <w:t>w „Gminnym Programie Rewitalizacji. Bytom 2020+”.</w:t>
      </w:r>
    </w:p>
    <w:p w:rsidR="006342C0" w:rsidRDefault="006342C0" w:rsidP="00A06D20">
      <w:pPr>
        <w:pStyle w:val="Nagwek4"/>
        <w:spacing w:before="0" w:after="0"/>
        <w:jc w:val="both"/>
        <w:rPr>
          <w:rFonts w:cs="Calibri"/>
          <w:i w:val="0"/>
          <w:color w:val="3366FF"/>
          <w:szCs w:val="22"/>
        </w:rPr>
      </w:pPr>
    </w:p>
    <w:p w:rsidR="000C70A4" w:rsidRPr="00A06D20" w:rsidRDefault="000C70A4" w:rsidP="00A06D20">
      <w:pPr>
        <w:pStyle w:val="Nagwek4"/>
        <w:spacing w:before="0" w:after="0"/>
        <w:jc w:val="both"/>
        <w:rPr>
          <w:rFonts w:cs="Calibri"/>
          <w:i w:val="0"/>
          <w:color w:val="3366FF"/>
          <w:szCs w:val="22"/>
        </w:rPr>
      </w:pPr>
      <w:r w:rsidRPr="00A06D20">
        <w:rPr>
          <w:rFonts w:cs="Calibri"/>
          <w:i w:val="0"/>
          <w:color w:val="3366FF"/>
          <w:szCs w:val="22"/>
        </w:rPr>
        <w:t xml:space="preserve">Aktualizacja Studium wykonalności dla projektu pn. „Rewitalizacja starówki Bytomia </w:t>
      </w:r>
      <w:r w:rsidR="007E0B54" w:rsidRPr="00A06D20">
        <w:rPr>
          <w:rFonts w:cs="Calibri"/>
          <w:i w:val="0"/>
          <w:color w:val="3366FF"/>
          <w:szCs w:val="22"/>
        </w:rPr>
        <w:br/>
      </w:r>
      <w:r w:rsidRPr="00A06D20">
        <w:rPr>
          <w:rFonts w:cs="Calibri"/>
          <w:i w:val="0"/>
          <w:color w:val="3366FF"/>
          <w:szCs w:val="22"/>
        </w:rPr>
        <w:t>– dziedzictwa kulturowego regionu – etap I”</w:t>
      </w:r>
      <w:bookmarkEnd w:id="1052"/>
      <w:bookmarkEnd w:id="1053"/>
    </w:p>
    <w:p w:rsidR="000C70A4" w:rsidRPr="00E07F7B" w:rsidRDefault="000C70A4" w:rsidP="005D555B">
      <w:pPr>
        <w:pStyle w:val="NormalnyWeb"/>
        <w:spacing w:before="0" w:beforeAutospacing="0" w:after="0" w:afterAutospacing="0"/>
        <w:jc w:val="both"/>
        <w:rPr>
          <w:rFonts w:ascii="Calibri" w:hAnsi="Calibri" w:cs="Calibri"/>
          <w:color w:val="3366FF"/>
          <w:szCs w:val="20"/>
        </w:rPr>
      </w:pPr>
    </w:p>
    <w:p w:rsidR="000C70A4" w:rsidRDefault="000C70A4" w:rsidP="002924F7">
      <w:pPr>
        <w:pStyle w:val="Tekstpodstawowy2"/>
        <w:autoSpaceDE/>
        <w:autoSpaceDN/>
        <w:adjustRightInd/>
        <w:ind w:firstLine="708"/>
        <w:rPr>
          <w:rFonts w:ascii="Calibri" w:hAnsi="Calibri" w:cs="Calibri"/>
          <w:szCs w:val="20"/>
        </w:rPr>
      </w:pPr>
      <w:r>
        <w:rPr>
          <w:rFonts w:ascii="Calibri" w:hAnsi="Calibri" w:cs="Calibri"/>
          <w:szCs w:val="20"/>
        </w:rPr>
        <w:t xml:space="preserve">To dokument opracowany </w:t>
      </w:r>
      <w:r w:rsidR="00090028">
        <w:rPr>
          <w:rFonts w:ascii="Calibri" w:hAnsi="Calibri" w:cs="Calibri"/>
          <w:szCs w:val="20"/>
        </w:rPr>
        <w:t>w 2013 r. na zlecenie M</w:t>
      </w:r>
      <w:r>
        <w:rPr>
          <w:rFonts w:ascii="Calibri" w:hAnsi="Calibri" w:cs="Calibri"/>
          <w:szCs w:val="20"/>
        </w:rPr>
        <w:t xml:space="preserve">iasta </w:t>
      </w:r>
      <w:r w:rsidR="00090028">
        <w:rPr>
          <w:rFonts w:ascii="Calibri" w:hAnsi="Calibri" w:cs="Calibri"/>
          <w:szCs w:val="20"/>
        </w:rPr>
        <w:t xml:space="preserve">Bytom </w:t>
      </w:r>
      <w:r>
        <w:rPr>
          <w:rFonts w:ascii="Calibri" w:hAnsi="Calibri" w:cs="Calibri"/>
          <w:szCs w:val="20"/>
        </w:rPr>
        <w:t>przez Główny Instytut Górnictwa w</w:t>
      </w:r>
      <w:r w:rsidR="00090028">
        <w:rPr>
          <w:rFonts w:ascii="Calibri" w:hAnsi="Calibri" w:cs="Calibri"/>
          <w:szCs w:val="20"/>
        </w:rPr>
        <w:t xml:space="preserve"> Katowicach. </w:t>
      </w:r>
      <w:r>
        <w:rPr>
          <w:rFonts w:ascii="Calibri" w:hAnsi="Calibri" w:cs="Calibri"/>
          <w:szCs w:val="20"/>
        </w:rPr>
        <w:t>Jest aktuali</w:t>
      </w:r>
      <w:r w:rsidR="00090028">
        <w:rPr>
          <w:rFonts w:ascii="Calibri" w:hAnsi="Calibri" w:cs="Calibri"/>
          <w:szCs w:val="20"/>
        </w:rPr>
        <w:t>zacją Studium wykonalności dla p</w:t>
      </w:r>
      <w:r>
        <w:rPr>
          <w:rFonts w:ascii="Calibri" w:hAnsi="Calibri" w:cs="Calibri"/>
          <w:szCs w:val="20"/>
        </w:rPr>
        <w:t xml:space="preserve">rojektu pn. „Rewitalizacja starówki Bytomia </w:t>
      </w:r>
      <w:r w:rsidR="007E0B54">
        <w:rPr>
          <w:rFonts w:ascii="Calibri" w:hAnsi="Calibri" w:cs="Calibri"/>
          <w:szCs w:val="20"/>
        </w:rPr>
        <w:br/>
      </w:r>
      <w:r>
        <w:rPr>
          <w:rFonts w:ascii="Calibri" w:hAnsi="Calibri" w:cs="Calibri"/>
          <w:szCs w:val="20"/>
        </w:rPr>
        <w:t xml:space="preserve">– dziedzictwa kulturowego regionu – etap I” z 2006 r. Celem opracowania jest określenie priorytetowych obszarów interwencji w śródmiejskiej przestrzeni miasta Bytom dla zniwelowania kluczowych problemów przestrzennych, technicznych, środowiskowych, społecznych oraz poprawy jakości życia mieszkańców </w:t>
      </w:r>
      <w:r w:rsidR="007E0B54">
        <w:rPr>
          <w:rFonts w:ascii="Calibri" w:hAnsi="Calibri" w:cs="Calibri"/>
          <w:szCs w:val="20"/>
        </w:rPr>
        <w:br/>
      </w:r>
      <w:r>
        <w:rPr>
          <w:rFonts w:ascii="Calibri" w:hAnsi="Calibri" w:cs="Calibri"/>
          <w:szCs w:val="20"/>
        </w:rPr>
        <w:t>i ożywienia gospodarczego w perspektywie lat 2014 – 2020.</w:t>
      </w:r>
    </w:p>
    <w:p w:rsidR="000C70A4" w:rsidRDefault="000C70A4" w:rsidP="002924F7">
      <w:pPr>
        <w:pStyle w:val="Tekstpodstawowy3"/>
        <w:spacing w:after="0"/>
        <w:ind w:firstLine="708"/>
        <w:jc w:val="both"/>
        <w:rPr>
          <w:rFonts w:ascii="Calibri" w:hAnsi="Calibri" w:cs="Calibri"/>
          <w:sz w:val="20"/>
          <w:szCs w:val="20"/>
        </w:rPr>
      </w:pPr>
      <w:r>
        <w:rPr>
          <w:rFonts w:ascii="Calibri" w:hAnsi="Calibri" w:cs="Calibri"/>
          <w:sz w:val="20"/>
          <w:szCs w:val="20"/>
        </w:rPr>
        <w:t xml:space="preserve">W studium przeprowadzono analizę sytuacji w Śródmieściu Bytomia, wskazano główne problemy </w:t>
      </w:r>
      <w:r w:rsidR="007E0B54">
        <w:rPr>
          <w:rFonts w:ascii="Calibri" w:hAnsi="Calibri" w:cs="Calibri"/>
          <w:sz w:val="20"/>
          <w:szCs w:val="20"/>
        </w:rPr>
        <w:br/>
      </w:r>
      <w:r>
        <w:rPr>
          <w:rFonts w:ascii="Calibri" w:hAnsi="Calibri" w:cs="Calibri"/>
          <w:sz w:val="20"/>
          <w:szCs w:val="20"/>
        </w:rPr>
        <w:t>w poszczególnych dziedzinach, a następnie wskazano obszary, w jakich prowadzona powinna być rewitalizacja:</w:t>
      </w:r>
    </w:p>
    <w:p w:rsidR="000C70A4" w:rsidRPr="00075602" w:rsidRDefault="000C70A4" w:rsidP="00A32047">
      <w:pPr>
        <w:pStyle w:val="Akapitzlist"/>
        <w:numPr>
          <w:ilvl w:val="0"/>
          <w:numId w:val="7"/>
        </w:numPr>
        <w:spacing w:before="240" w:after="0" w:line="240" w:lineRule="auto"/>
        <w:ind w:left="357" w:hanging="357"/>
        <w:jc w:val="both"/>
        <w:rPr>
          <w:rFonts w:cs="Calibri"/>
          <w:b/>
          <w:sz w:val="20"/>
        </w:rPr>
      </w:pPr>
      <w:r w:rsidRPr="00075602">
        <w:rPr>
          <w:rFonts w:cs="Calibri"/>
          <w:b/>
          <w:sz w:val="20"/>
        </w:rPr>
        <w:t>Rewitalizacja społeczna:</w:t>
      </w:r>
    </w:p>
    <w:p w:rsidR="000C70A4" w:rsidRDefault="000C70A4" w:rsidP="00B018D7">
      <w:pPr>
        <w:pStyle w:val="Akapitzlist"/>
        <w:numPr>
          <w:ilvl w:val="0"/>
          <w:numId w:val="34"/>
        </w:numPr>
        <w:tabs>
          <w:tab w:val="clear" w:pos="720"/>
        </w:tabs>
        <w:spacing w:after="0" w:line="240" w:lineRule="auto"/>
        <w:ind w:left="714" w:hanging="357"/>
        <w:jc w:val="both"/>
        <w:rPr>
          <w:rFonts w:cs="Calibri"/>
          <w:bCs/>
          <w:sz w:val="20"/>
          <w:szCs w:val="20"/>
        </w:rPr>
      </w:pPr>
      <w:r>
        <w:rPr>
          <w:rFonts w:cs="Calibri"/>
          <w:bCs/>
          <w:sz w:val="20"/>
          <w:szCs w:val="20"/>
        </w:rPr>
        <w:t>Poprawa infrastruktury usług publicznych, w tym m.in. edukacji, kultury,</w:t>
      </w:r>
    </w:p>
    <w:p w:rsidR="000C70A4" w:rsidRDefault="000C70A4" w:rsidP="00B018D7">
      <w:pPr>
        <w:pStyle w:val="Akapitzlist"/>
        <w:numPr>
          <w:ilvl w:val="0"/>
          <w:numId w:val="34"/>
        </w:numPr>
        <w:spacing w:after="0" w:line="240" w:lineRule="auto"/>
        <w:ind w:left="714" w:hanging="357"/>
        <w:jc w:val="both"/>
        <w:rPr>
          <w:rFonts w:cs="Calibri"/>
          <w:bCs/>
          <w:sz w:val="20"/>
          <w:szCs w:val="20"/>
        </w:rPr>
      </w:pPr>
      <w:r>
        <w:rPr>
          <w:rFonts w:cs="Calibri"/>
          <w:bCs/>
          <w:sz w:val="20"/>
          <w:szCs w:val="20"/>
        </w:rPr>
        <w:t xml:space="preserve">Poprawa przestrzeni i zasobów mieszkaniowych, </w:t>
      </w:r>
    </w:p>
    <w:p w:rsidR="000C70A4" w:rsidRDefault="000C70A4" w:rsidP="00B018D7">
      <w:pPr>
        <w:pStyle w:val="Akapitzlist"/>
        <w:numPr>
          <w:ilvl w:val="0"/>
          <w:numId w:val="34"/>
        </w:numPr>
        <w:spacing w:after="0" w:line="240" w:lineRule="auto"/>
        <w:ind w:left="714" w:hanging="357"/>
        <w:jc w:val="both"/>
        <w:rPr>
          <w:rFonts w:cs="Calibri"/>
          <w:bCs/>
          <w:sz w:val="20"/>
          <w:szCs w:val="20"/>
        </w:rPr>
      </w:pPr>
      <w:r>
        <w:rPr>
          <w:rFonts w:cs="Calibri"/>
          <w:bCs/>
          <w:sz w:val="20"/>
          <w:szCs w:val="20"/>
        </w:rPr>
        <w:t>Inwestycje w kompetencje kadrowe,</w:t>
      </w:r>
    </w:p>
    <w:p w:rsidR="000C70A4" w:rsidRDefault="000C70A4" w:rsidP="00B018D7">
      <w:pPr>
        <w:pStyle w:val="Akapitzlist"/>
        <w:numPr>
          <w:ilvl w:val="0"/>
          <w:numId w:val="34"/>
        </w:numPr>
        <w:spacing w:after="0" w:line="240" w:lineRule="auto"/>
        <w:ind w:left="714" w:hanging="357"/>
        <w:jc w:val="both"/>
        <w:rPr>
          <w:rFonts w:cs="Calibri"/>
          <w:bCs/>
          <w:sz w:val="20"/>
          <w:szCs w:val="20"/>
        </w:rPr>
      </w:pPr>
      <w:r>
        <w:rPr>
          <w:rFonts w:cs="Calibri"/>
          <w:bCs/>
          <w:sz w:val="20"/>
          <w:szCs w:val="20"/>
        </w:rPr>
        <w:t>Aktywizacja społeczności lokalnych,</w:t>
      </w:r>
    </w:p>
    <w:p w:rsidR="000C70A4" w:rsidRDefault="000C70A4" w:rsidP="00B018D7">
      <w:pPr>
        <w:pStyle w:val="Akapitzlist"/>
        <w:numPr>
          <w:ilvl w:val="0"/>
          <w:numId w:val="34"/>
        </w:numPr>
        <w:spacing w:after="0" w:line="240" w:lineRule="auto"/>
        <w:ind w:left="714" w:hanging="357"/>
        <w:jc w:val="both"/>
        <w:rPr>
          <w:rFonts w:cs="Calibri"/>
          <w:bCs/>
          <w:sz w:val="20"/>
          <w:szCs w:val="20"/>
        </w:rPr>
      </w:pPr>
      <w:r>
        <w:rPr>
          <w:rFonts w:cs="Calibri"/>
          <w:bCs/>
          <w:sz w:val="20"/>
          <w:szCs w:val="20"/>
        </w:rPr>
        <w:t>Rozszerzenie oferty aktywnych form spędzania wolnego czasu,</w:t>
      </w:r>
    </w:p>
    <w:p w:rsidR="000C70A4" w:rsidRDefault="000C70A4" w:rsidP="00B018D7">
      <w:pPr>
        <w:pStyle w:val="Akapitzlist"/>
        <w:numPr>
          <w:ilvl w:val="0"/>
          <w:numId w:val="34"/>
        </w:numPr>
        <w:spacing w:after="0" w:line="240" w:lineRule="auto"/>
        <w:ind w:left="714" w:hanging="357"/>
        <w:jc w:val="both"/>
        <w:rPr>
          <w:rFonts w:cs="Calibri"/>
          <w:bCs/>
          <w:sz w:val="20"/>
          <w:szCs w:val="20"/>
        </w:rPr>
      </w:pPr>
      <w:r>
        <w:rPr>
          <w:rFonts w:cs="Calibri"/>
          <w:bCs/>
          <w:sz w:val="20"/>
          <w:szCs w:val="20"/>
        </w:rPr>
        <w:t>Rozszerzenie oferty kulturalnej,</w:t>
      </w:r>
    </w:p>
    <w:p w:rsidR="000C70A4" w:rsidRDefault="000C70A4" w:rsidP="00B018D7">
      <w:pPr>
        <w:pStyle w:val="Akapitzlist"/>
        <w:numPr>
          <w:ilvl w:val="0"/>
          <w:numId w:val="34"/>
        </w:numPr>
        <w:spacing w:after="0" w:line="240" w:lineRule="auto"/>
        <w:ind w:left="714" w:hanging="357"/>
        <w:jc w:val="both"/>
        <w:rPr>
          <w:rFonts w:cs="Calibri"/>
          <w:bCs/>
          <w:sz w:val="20"/>
          <w:szCs w:val="20"/>
        </w:rPr>
      </w:pPr>
      <w:r>
        <w:rPr>
          <w:rFonts w:cs="Calibri"/>
          <w:bCs/>
          <w:sz w:val="20"/>
          <w:szCs w:val="20"/>
        </w:rPr>
        <w:t>Promocja modelu rodziny wielodzietnej,</w:t>
      </w:r>
    </w:p>
    <w:p w:rsidR="000C70A4" w:rsidRDefault="000C70A4" w:rsidP="00B018D7">
      <w:pPr>
        <w:pStyle w:val="Akapitzlist"/>
        <w:numPr>
          <w:ilvl w:val="0"/>
          <w:numId w:val="34"/>
        </w:numPr>
        <w:spacing w:after="0" w:line="240" w:lineRule="auto"/>
        <w:ind w:left="714" w:hanging="357"/>
        <w:jc w:val="both"/>
        <w:rPr>
          <w:rFonts w:cs="Calibri"/>
          <w:bCs/>
          <w:sz w:val="20"/>
          <w:szCs w:val="20"/>
        </w:rPr>
      </w:pPr>
      <w:r>
        <w:rPr>
          <w:rFonts w:cs="Calibri"/>
          <w:bCs/>
          <w:sz w:val="20"/>
          <w:szCs w:val="20"/>
        </w:rPr>
        <w:t>Przeciwdziałanie zjawiskom marginalizacji,</w:t>
      </w:r>
    </w:p>
    <w:p w:rsidR="000C70A4" w:rsidRDefault="000C70A4" w:rsidP="00B018D7">
      <w:pPr>
        <w:pStyle w:val="Akapitzlist"/>
        <w:numPr>
          <w:ilvl w:val="0"/>
          <w:numId w:val="34"/>
        </w:numPr>
        <w:spacing w:after="0" w:line="240" w:lineRule="auto"/>
        <w:ind w:left="714" w:hanging="357"/>
        <w:jc w:val="both"/>
        <w:rPr>
          <w:rFonts w:cs="Calibri"/>
          <w:bCs/>
          <w:sz w:val="20"/>
          <w:szCs w:val="20"/>
        </w:rPr>
      </w:pPr>
      <w:r>
        <w:rPr>
          <w:rFonts w:cs="Calibri"/>
          <w:bCs/>
          <w:sz w:val="20"/>
          <w:szCs w:val="20"/>
        </w:rPr>
        <w:t>Wspieranie postaw obywatelskich w społecznościach lokalnych,</w:t>
      </w:r>
    </w:p>
    <w:p w:rsidR="000C70A4" w:rsidRDefault="000C70A4" w:rsidP="00B018D7">
      <w:pPr>
        <w:pStyle w:val="Akapitzlist"/>
        <w:numPr>
          <w:ilvl w:val="0"/>
          <w:numId w:val="34"/>
        </w:numPr>
        <w:tabs>
          <w:tab w:val="left" w:pos="113"/>
        </w:tabs>
        <w:spacing w:after="0" w:line="240" w:lineRule="auto"/>
        <w:ind w:left="714" w:hanging="357"/>
        <w:jc w:val="both"/>
        <w:rPr>
          <w:rFonts w:cs="Calibri"/>
          <w:bCs/>
          <w:sz w:val="20"/>
          <w:szCs w:val="20"/>
        </w:rPr>
      </w:pPr>
      <w:r>
        <w:rPr>
          <w:rFonts w:cs="Calibri"/>
          <w:bCs/>
          <w:sz w:val="20"/>
          <w:szCs w:val="20"/>
        </w:rPr>
        <w:t>Poprawa poziomu bezpieczeństwa publicznego,</w:t>
      </w:r>
    </w:p>
    <w:p w:rsidR="000C70A4" w:rsidRDefault="000C70A4" w:rsidP="00B018D7">
      <w:pPr>
        <w:pStyle w:val="Akapitzlist"/>
        <w:numPr>
          <w:ilvl w:val="0"/>
          <w:numId w:val="34"/>
        </w:numPr>
        <w:tabs>
          <w:tab w:val="left" w:pos="113"/>
        </w:tabs>
        <w:spacing w:after="0" w:line="240" w:lineRule="auto"/>
        <w:ind w:left="714" w:hanging="357"/>
        <w:jc w:val="both"/>
        <w:rPr>
          <w:rFonts w:cs="Calibri"/>
          <w:bCs/>
          <w:sz w:val="20"/>
          <w:szCs w:val="20"/>
        </w:rPr>
      </w:pPr>
      <w:r>
        <w:rPr>
          <w:rFonts w:cs="Calibri"/>
          <w:bCs/>
          <w:sz w:val="20"/>
          <w:szCs w:val="20"/>
        </w:rPr>
        <w:t>Integracja transportu publicznego w mieście.</w:t>
      </w:r>
    </w:p>
    <w:p w:rsidR="000C70A4" w:rsidRPr="00075602" w:rsidRDefault="000C70A4" w:rsidP="00A32047">
      <w:pPr>
        <w:pStyle w:val="Akapitzlist"/>
        <w:numPr>
          <w:ilvl w:val="0"/>
          <w:numId w:val="7"/>
        </w:numPr>
        <w:spacing w:before="120" w:after="0" w:line="240" w:lineRule="auto"/>
        <w:ind w:left="357" w:hanging="357"/>
        <w:jc w:val="both"/>
        <w:rPr>
          <w:rFonts w:cs="Calibri"/>
          <w:b/>
          <w:sz w:val="20"/>
        </w:rPr>
      </w:pPr>
      <w:r w:rsidRPr="00075602">
        <w:rPr>
          <w:rFonts w:cs="Calibri"/>
          <w:b/>
          <w:sz w:val="20"/>
        </w:rPr>
        <w:t>Rewitalizacja gospodarcza:</w:t>
      </w:r>
    </w:p>
    <w:p w:rsidR="000C70A4" w:rsidRDefault="000C70A4" w:rsidP="003C24DA">
      <w:pPr>
        <w:pStyle w:val="Akapitzlist"/>
        <w:numPr>
          <w:ilvl w:val="0"/>
          <w:numId w:val="35"/>
        </w:numPr>
        <w:tabs>
          <w:tab w:val="clear" w:pos="360"/>
        </w:tabs>
        <w:spacing w:after="0" w:line="240" w:lineRule="auto"/>
        <w:ind w:left="714" w:hanging="357"/>
        <w:jc w:val="both"/>
        <w:rPr>
          <w:rFonts w:cs="Calibri"/>
          <w:bCs/>
          <w:sz w:val="20"/>
          <w:szCs w:val="20"/>
        </w:rPr>
      </w:pPr>
      <w:r>
        <w:rPr>
          <w:rFonts w:cs="Calibri"/>
          <w:bCs/>
          <w:sz w:val="20"/>
          <w:szCs w:val="20"/>
        </w:rPr>
        <w:t>Poprawa przestrzeni i infrastruktury dla rozwoju przedsiębiorczości,</w:t>
      </w:r>
    </w:p>
    <w:p w:rsidR="000C70A4" w:rsidRDefault="000C70A4" w:rsidP="003C24DA">
      <w:pPr>
        <w:pStyle w:val="Akapitzlist"/>
        <w:numPr>
          <w:ilvl w:val="0"/>
          <w:numId w:val="35"/>
        </w:numPr>
        <w:tabs>
          <w:tab w:val="clear" w:pos="360"/>
        </w:tabs>
        <w:spacing w:after="0" w:line="240" w:lineRule="auto"/>
        <w:ind w:left="714" w:hanging="357"/>
        <w:jc w:val="both"/>
        <w:rPr>
          <w:rFonts w:cs="Calibri"/>
          <w:bCs/>
          <w:sz w:val="20"/>
          <w:szCs w:val="20"/>
        </w:rPr>
      </w:pPr>
      <w:r>
        <w:rPr>
          <w:rFonts w:cs="Calibri"/>
          <w:bCs/>
          <w:sz w:val="20"/>
          <w:szCs w:val="20"/>
        </w:rPr>
        <w:t>Wzmocnienie potencjału lokalnej przedsiębiorczości,</w:t>
      </w:r>
    </w:p>
    <w:p w:rsidR="000C70A4" w:rsidRDefault="000C70A4" w:rsidP="003C24DA">
      <w:pPr>
        <w:pStyle w:val="Akapitzlist"/>
        <w:numPr>
          <w:ilvl w:val="0"/>
          <w:numId w:val="35"/>
        </w:numPr>
        <w:tabs>
          <w:tab w:val="clear" w:pos="360"/>
        </w:tabs>
        <w:spacing w:after="0" w:line="240" w:lineRule="auto"/>
        <w:ind w:left="714" w:hanging="357"/>
        <w:jc w:val="both"/>
        <w:rPr>
          <w:rFonts w:cs="Calibri"/>
          <w:bCs/>
          <w:sz w:val="20"/>
          <w:szCs w:val="20"/>
        </w:rPr>
      </w:pPr>
      <w:r>
        <w:rPr>
          <w:rFonts w:cs="Calibri"/>
          <w:bCs/>
          <w:sz w:val="20"/>
          <w:szCs w:val="20"/>
        </w:rPr>
        <w:t>Ułatwienia i preferencje dla lokalnej przedsiębiorczości,</w:t>
      </w:r>
    </w:p>
    <w:p w:rsidR="000C70A4" w:rsidRDefault="000C70A4" w:rsidP="003C24DA">
      <w:pPr>
        <w:pStyle w:val="Akapitzlist"/>
        <w:numPr>
          <w:ilvl w:val="0"/>
          <w:numId w:val="35"/>
        </w:numPr>
        <w:tabs>
          <w:tab w:val="clear" w:pos="360"/>
        </w:tabs>
        <w:spacing w:after="0" w:line="240" w:lineRule="auto"/>
        <w:ind w:left="714" w:hanging="357"/>
        <w:jc w:val="both"/>
        <w:rPr>
          <w:rFonts w:cs="Calibri"/>
          <w:bCs/>
          <w:sz w:val="20"/>
          <w:szCs w:val="20"/>
        </w:rPr>
      </w:pPr>
      <w:r>
        <w:rPr>
          <w:rFonts w:cs="Calibri"/>
          <w:bCs/>
          <w:sz w:val="20"/>
          <w:szCs w:val="20"/>
        </w:rPr>
        <w:t>Kreowanie innowacyjnej przedsiębiorczości.</w:t>
      </w:r>
    </w:p>
    <w:p w:rsidR="000C70A4" w:rsidRPr="00075602" w:rsidRDefault="000C70A4" w:rsidP="00A32047">
      <w:pPr>
        <w:pStyle w:val="Akapitzlist"/>
        <w:keepNext/>
        <w:numPr>
          <w:ilvl w:val="0"/>
          <w:numId w:val="7"/>
        </w:numPr>
        <w:spacing w:before="120" w:after="0" w:line="240" w:lineRule="auto"/>
        <w:ind w:left="357" w:hanging="357"/>
        <w:jc w:val="both"/>
        <w:rPr>
          <w:rFonts w:cs="Calibri"/>
          <w:b/>
          <w:sz w:val="20"/>
        </w:rPr>
      </w:pPr>
      <w:r w:rsidRPr="00075602">
        <w:rPr>
          <w:rFonts w:cs="Calibri"/>
          <w:b/>
          <w:sz w:val="20"/>
        </w:rPr>
        <w:t>Rewitalizacja kulturowa:</w:t>
      </w:r>
    </w:p>
    <w:p w:rsidR="000C70A4" w:rsidRDefault="000C70A4" w:rsidP="003C24DA">
      <w:pPr>
        <w:pStyle w:val="Akapitzlist"/>
        <w:numPr>
          <w:ilvl w:val="0"/>
          <w:numId w:val="36"/>
        </w:numPr>
        <w:tabs>
          <w:tab w:val="clear" w:pos="360"/>
        </w:tabs>
        <w:spacing w:after="0" w:line="240" w:lineRule="auto"/>
        <w:ind w:left="714" w:hanging="357"/>
        <w:jc w:val="both"/>
        <w:rPr>
          <w:rFonts w:cs="Calibri"/>
          <w:bCs/>
          <w:sz w:val="20"/>
          <w:szCs w:val="20"/>
        </w:rPr>
      </w:pPr>
      <w:r>
        <w:rPr>
          <w:rFonts w:cs="Calibri"/>
          <w:bCs/>
          <w:sz w:val="20"/>
          <w:szCs w:val="20"/>
        </w:rPr>
        <w:t>Nadanie przestrzeniom śródmiejskim metropolitalnego charakteru oraz stworzenie „wizytówek” miasta,</w:t>
      </w:r>
    </w:p>
    <w:p w:rsidR="000C70A4" w:rsidRDefault="000C70A4" w:rsidP="003C24DA">
      <w:pPr>
        <w:pStyle w:val="Akapitzlist"/>
        <w:numPr>
          <w:ilvl w:val="0"/>
          <w:numId w:val="36"/>
        </w:numPr>
        <w:tabs>
          <w:tab w:val="clear" w:pos="360"/>
        </w:tabs>
        <w:spacing w:after="0" w:line="240" w:lineRule="auto"/>
        <w:ind w:left="714" w:hanging="357"/>
        <w:jc w:val="both"/>
        <w:rPr>
          <w:rFonts w:cs="Calibri"/>
          <w:bCs/>
          <w:sz w:val="20"/>
          <w:szCs w:val="20"/>
        </w:rPr>
      </w:pPr>
      <w:r>
        <w:rPr>
          <w:rFonts w:cs="Calibri"/>
          <w:bCs/>
          <w:sz w:val="20"/>
          <w:szCs w:val="20"/>
        </w:rPr>
        <w:t>Zagospodarowanie luk w zabudowie dla rozwoju funkcjonalności Śródmieścia,</w:t>
      </w:r>
    </w:p>
    <w:p w:rsidR="000C70A4" w:rsidRDefault="000C70A4" w:rsidP="003C24DA">
      <w:pPr>
        <w:pStyle w:val="Akapitzlist"/>
        <w:numPr>
          <w:ilvl w:val="0"/>
          <w:numId w:val="36"/>
        </w:numPr>
        <w:tabs>
          <w:tab w:val="clear" w:pos="360"/>
        </w:tabs>
        <w:spacing w:after="0" w:line="240" w:lineRule="auto"/>
        <w:ind w:left="714" w:hanging="357"/>
        <w:jc w:val="both"/>
        <w:rPr>
          <w:rFonts w:cs="Calibri"/>
          <w:bCs/>
          <w:sz w:val="20"/>
          <w:szCs w:val="20"/>
        </w:rPr>
      </w:pPr>
      <w:r>
        <w:rPr>
          <w:rFonts w:cs="Calibri"/>
          <w:bCs/>
          <w:sz w:val="20"/>
          <w:szCs w:val="20"/>
        </w:rPr>
        <w:t>Stworzenie atrakcyjnej przestrzeni publicznej oraz miejsc rekreacyjno-wypoczynkowych,</w:t>
      </w:r>
    </w:p>
    <w:p w:rsidR="000C70A4" w:rsidRDefault="000C70A4" w:rsidP="003C24DA">
      <w:pPr>
        <w:pStyle w:val="Akapitzlist"/>
        <w:numPr>
          <w:ilvl w:val="0"/>
          <w:numId w:val="36"/>
        </w:numPr>
        <w:tabs>
          <w:tab w:val="clear" w:pos="360"/>
        </w:tabs>
        <w:spacing w:after="0" w:line="240" w:lineRule="auto"/>
        <w:ind w:left="714" w:hanging="357"/>
        <w:jc w:val="both"/>
        <w:rPr>
          <w:rFonts w:cs="Calibri"/>
          <w:bCs/>
          <w:sz w:val="20"/>
          <w:szCs w:val="20"/>
        </w:rPr>
      </w:pPr>
      <w:r>
        <w:rPr>
          <w:rFonts w:cs="Calibri"/>
          <w:bCs/>
          <w:sz w:val="20"/>
          <w:szCs w:val="20"/>
        </w:rPr>
        <w:t>Tworzenie markowych produktów w oparciu o dziedzictwo historyczne i kulturowe miasta,</w:t>
      </w:r>
    </w:p>
    <w:p w:rsidR="000C70A4" w:rsidRDefault="000C70A4" w:rsidP="003C24DA">
      <w:pPr>
        <w:pStyle w:val="Akapitzlist"/>
        <w:numPr>
          <w:ilvl w:val="0"/>
          <w:numId w:val="36"/>
        </w:numPr>
        <w:tabs>
          <w:tab w:val="clear" w:pos="360"/>
        </w:tabs>
        <w:spacing w:after="0" w:line="240" w:lineRule="auto"/>
        <w:ind w:left="714" w:hanging="357"/>
        <w:jc w:val="both"/>
        <w:rPr>
          <w:rFonts w:cs="Calibri"/>
          <w:bCs/>
          <w:sz w:val="20"/>
          <w:szCs w:val="20"/>
        </w:rPr>
      </w:pPr>
      <w:r>
        <w:rPr>
          <w:rFonts w:cs="Calibri"/>
          <w:bCs/>
          <w:sz w:val="20"/>
          <w:szCs w:val="20"/>
        </w:rPr>
        <w:t>Poprawa systemu komunikacji dla harmonijnego współistnienia ruchu kołowego i pieszego oraz wyprowadzenie ruchu tranzytowego ze Śródmieścia,</w:t>
      </w:r>
    </w:p>
    <w:p w:rsidR="000C70A4" w:rsidRDefault="000C70A4" w:rsidP="003C24DA">
      <w:pPr>
        <w:pStyle w:val="Akapitzlist"/>
        <w:numPr>
          <w:ilvl w:val="0"/>
          <w:numId w:val="36"/>
        </w:numPr>
        <w:tabs>
          <w:tab w:val="clear" w:pos="360"/>
        </w:tabs>
        <w:spacing w:after="0" w:line="240" w:lineRule="auto"/>
        <w:ind w:left="714" w:hanging="357"/>
        <w:jc w:val="both"/>
        <w:rPr>
          <w:rFonts w:cs="Calibri"/>
          <w:bCs/>
          <w:sz w:val="20"/>
          <w:szCs w:val="20"/>
        </w:rPr>
      </w:pPr>
      <w:r>
        <w:rPr>
          <w:rFonts w:cs="Calibri"/>
          <w:bCs/>
          <w:sz w:val="20"/>
          <w:szCs w:val="20"/>
        </w:rPr>
        <w:t>Rozwój zaplecza infrastrukturalnego dla obsługi ruchu turystycznego (parkingi, hotele).</w:t>
      </w:r>
    </w:p>
    <w:p w:rsidR="000C70A4" w:rsidRPr="00075602" w:rsidRDefault="000C70A4" w:rsidP="00A32047">
      <w:pPr>
        <w:pStyle w:val="Akapitzlist"/>
        <w:numPr>
          <w:ilvl w:val="0"/>
          <w:numId w:val="7"/>
        </w:numPr>
        <w:spacing w:before="120" w:after="0" w:line="240" w:lineRule="auto"/>
        <w:ind w:left="357" w:hanging="357"/>
        <w:jc w:val="both"/>
        <w:rPr>
          <w:rFonts w:cs="Calibri"/>
          <w:b/>
          <w:sz w:val="20"/>
        </w:rPr>
      </w:pPr>
      <w:r w:rsidRPr="00075602">
        <w:rPr>
          <w:rFonts w:cs="Calibri"/>
          <w:b/>
          <w:sz w:val="20"/>
        </w:rPr>
        <w:t>Rewitalizacja środowiskowa:</w:t>
      </w:r>
    </w:p>
    <w:p w:rsidR="000C70A4" w:rsidRDefault="000C70A4" w:rsidP="003C24DA">
      <w:pPr>
        <w:pStyle w:val="Akapitzlist"/>
        <w:numPr>
          <w:ilvl w:val="0"/>
          <w:numId w:val="37"/>
        </w:numPr>
        <w:tabs>
          <w:tab w:val="clear" w:pos="360"/>
        </w:tabs>
        <w:spacing w:after="0" w:line="240" w:lineRule="auto"/>
        <w:ind w:left="714" w:hanging="357"/>
        <w:jc w:val="both"/>
        <w:rPr>
          <w:rFonts w:cs="Calibri"/>
          <w:bCs/>
          <w:sz w:val="20"/>
          <w:szCs w:val="20"/>
        </w:rPr>
      </w:pPr>
      <w:r>
        <w:rPr>
          <w:rFonts w:cs="Calibri"/>
          <w:bCs/>
          <w:sz w:val="20"/>
          <w:szCs w:val="20"/>
        </w:rPr>
        <w:t>Uporządkowanie i wzbogacenie przyrodnicze terenów zielonych,</w:t>
      </w:r>
    </w:p>
    <w:p w:rsidR="000C70A4" w:rsidRDefault="000C70A4" w:rsidP="003C24DA">
      <w:pPr>
        <w:pStyle w:val="Akapitzlist"/>
        <w:numPr>
          <w:ilvl w:val="0"/>
          <w:numId w:val="37"/>
        </w:numPr>
        <w:tabs>
          <w:tab w:val="clear" w:pos="360"/>
        </w:tabs>
        <w:spacing w:after="0" w:line="240" w:lineRule="auto"/>
        <w:ind w:left="714" w:hanging="357"/>
        <w:jc w:val="both"/>
        <w:rPr>
          <w:rFonts w:cs="Calibri"/>
          <w:bCs/>
          <w:sz w:val="20"/>
          <w:szCs w:val="20"/>
        </w:rPr>
      </w:pPr>
      <w:r>
        <w:rPr>
          <w:rFonts w:cs="Calibri"/>
          <w:bCs/>
          <w:sz w:val="20"/>
          <w:szCs w:val="20"/>
        </w:rPr>
        <w:lastRenderedPageBreak/>
        <w:t>Tworzenie zagospodarowanych enklaw zieleni miejskich,</w:t>
      </w:r>
    </w:p>
    <w:p w:rsidR="000C70A4" w:rsidRDefault="000C70A4" w:rsidP="003C24DA">
      <w:pPr>
        <w:pStyle w:val="Akapitzlist"/>
        <w:numPr>
          <w:ilvl w:val="0"/>
          <w:numId w:val="37"/>
        </w:numPr>
        <w:tabs>
          <w:tab w:val="clear" w:pos="360"/>
        </w:tabs>
        <w:spacing w:after="0" w:line="240" w:lineRule="auto"/>
        <w:ind w:left="714" w:hanging="357"/>
        <w:jc w:val="both"/>
        <w:rPr>
          <w:rFonts w:cs="Calibri"/>
          <w:bCs/>
          <w:sz w:val="20"/>
          <w:szCs w:val="20"/>
        </w:rPr>
      </w:pPr>
      <w:r>
        <w:rPr>
          <w:rFonts w:cs="Calibri"/>
          <w:bCs/>
          <w:sz w:val="20"/>
          <w:szCs w:val="20"/>
        </w:rPr>
        <w:t>Wdrażanie rozwiązań niskoemisyjnych, efektywnych energetycznie w budownictwie,</w:t>
      </w:r>
    </w:p>
    <w:p w:rsidR="000C70A4" w:rsidRPr="00075602" w:rsidRDefault="000C70A4" w:rsidP="003C24DA">
      <w:pPr>
        <w:pStyle w:val="Akapitzlist"/>
        <w:numPr>
          <w:ilvl w:val="0"/>
          <w:numId w:val="37"/>
        </w:numPr>
        <w:tabs>
          <w:tab w:val="clear" w:pos="360"/>
        </w:tabs>
        <w:spacing w:after="0" w:line="240" w:lineRule="auto"/>
        <w:ind w:left="714" w:hanging="357"/>
        <w:jc w:val="both"/>
        <w:rPr>
          <w:rFonts w:cs="Calibri"/>
          <w:sz w:val="20"/>
          <w:szCs w:val="20"/>
        </w:rPr>
      </w:pPr>
      <w:r>
        <w:rPr>
          <w:rFonts w:cs="Calibri"/>
          <w:bCs/>
          <w:sz w:val="20"/>
          <w:szCs w:val="20"/>
        </w:rPr>
        <w:t>Uporządkowanie gospodarki odpadami komunalnymi i niebezpiecznymi.</w:t>
      </w:r>
    </w:p>
    <w:p w:rsidR="00075602" w:rsidRPr="00075602" w:rsidRDefault="00075602" w:rsidP="00075602">
      <w:pPr>
        <w:jc w:val="both"/>
        <w:rPr>
          <w:rFonts w:cs="Calibri"/>
          <w:szCs w:val="20"/>
        </w:rPr>
      </w:pPr>
    </w:p>
    <w:p w:rsidR="00F11756" w:rsidRDefault="000C70A4" w:rsidP="00D60253">
      <w:pPr>
        <w:pStyle w:val="Tekstpodstawowy2"/>
        <w:autoSpaceDE/>
        <w:autoSpaceDN/>
        <w:adjustRightInd/>
        <w:spacing w:after="240"/>
        <w:ind w:firstLine="708"/>
        <w:rPr>
          <w:rFonts w:ascii="Calibri" w:hAnsi="Calibri" w:cs="Calibri"/>
          <w:szCs w:val="20"/>
        </w:rPr>
      </w:pPr>
      <w:r>
        <w:rPr>
          <w:rFonts w:ascii="Calibri" w:hAnsi="Calibri" w:cs="Calibri"/>
          <w:szCs w:val="20"/>
        </w:rPr>
        <w:t>Działania zaproponowane w studium są spójne z zapisami miejskich dokumentów nadrzędnych, jak również uwzględniają wymagania nowej perspektywy finansowania Unii Europejskiej, a także są komplementarne z</w:t>
      </w:r>
      <w:r w:rsidR="00F65BB9">
        <w:rPr>
          <w:rFonts w:ascii="Calibri" w:hAnsi="Calibri" w:cs="Calibri"/>
          <w:szCs w:val="20"/>
        </w:rPr>
        <w:t> </w:t>
      </w:r>
      <w:r>
        <w:rPr>
          <w:rFonts w:ascii="Calibri" w:hAnsi="Calibri" w:cs="Calibri"/>
          <w:szCs w:val="20"/>
        </w:rPr>
        <w:t>projektami realizowanymi (lu</w:t>
      </w:r>
      <w:r w:rsidR="00B27F3D">
        <w:rPr>
          <w:rFonts w:ascii="Calibri" w:hAnsi="Calibri" w:cs="Calibri"/>
          <w:szCs w:val="20"/>
        </w:rPr>
        <w:t>b planowanymi do realizacji) w Ś</w:t>
      </w:r>
      <w:r>
        <w:rPr>
          <w:rFonts w:ascii="Calibri" w:hAnsi="Calibri" w:cs="Calibri"/>
          <w:szCs w:val="20"/>
        </w:rPr>
        <w:t>ródmieściu Bytomia.</w:t>
      </w:r>
    </w:p>
    <w:p w:rsidR="00213470" w:rsidRDefault="000C70A4" w:rsidP="002924F7">
      <w:pPr>
        <w:pStyle w:val="Tekstpodstawowy"/>
        <w:spacing w:after="0"/>
        <w:ind w:firstLine="708"/>
        <w:jc w:val="both"/>
        <w:rPr>
          <w:rFonts w:ascii="Calibri" w:hAnsi="Calibri" w:cs="Calibri"/>
          <w:szCs w:val="20"/>
        </w:rPr>
      </w:pPr>
      <w:r>
        <w:rPr>
          <w:rFonts w:ascii="Calibri" w:hAnsi="Calibri" w:cs="Calibri"/>
          <w:szCs w:val="20"/>
        </w:rPr>
        <w:t>Nawiązując do obowiązujących w mieście dokumentów strategicznych</w:t>
      </w:r>
      <w:r w:rsidR="005D667B">
        <w:rPr>
          <w:rFonts w:ascii="Calibri" w:hAnsi="Calibri" w:cs="Calibri"/>
          <w:szCs w:val="20"/>
        </w:rPr>
        <w:t xml:space="preserve">, programowych i planistycznych </w:t>
      </w:r>
      <w:r>
        <w:rPr>
          <w:rFonts w:ascii="Calibri" w:hAnsi="Calibri" w:cs="Calibri"/>
          <w:szCs w:val="20"/>
        </w:rPr>
        <w:t>działania</w:t>
      </w:r>
      <w:r w:rsidR="005D667B">
        <w:rPr>
          <w:rFonts w:ascii="Calibri" w:hAnsi="Calibri" w:cs="Calibri"/>
          <w:szCs w:val="20"/>
        </w:rPr>
        <w:t xml:space="preserve"> podejmowane</w:t>
      </w:r>
      <w:r>
        <w:rPr>
          <w:rFonts w:ascii="Calibri" w:hAnsi="Calibri" w:cs="Calibri"/>
          <w:szCs w:val="20"/>
        </w:rPr>
        <w:t xml:space="preserve"> w ramach „Gminnego Programu Rewitalizacji. Bytom 2020+” powinny:</w:t>
      </w:r>
    </w:p>
    <w:p w:rsidR="000C70A4" w:rsidRDefault="000C70A4" w:rsidP="003C24DA">
      <w:pPr>
        <w:pStyle w:val="Akapitzlist"/>
        <w:numPr>
          <w:ilvl w:val="0"/>
          <w:numId w:val="38"/>
        </w:numPr>
        <w:tabs>
          <w:tab w:val="clear" w:pos="1440"/>
        </w:tabs>
        <w:spacing w:after="0" w:line="240" w:lineRule="auto"/>
        <w:ind w:left="714" w:hanging="357"/>
        <w:jc w:val="both"/>
        <w:rPr>
          <w:rFonts w:cs="Calibri"/>
          <w:sz w:val="20"/>
          <w:szCs w:val="20"/>
        </w:rPr>
      </w:pPr>
      <w:r>
        <w:rPr>
          <w:rFonts w:cs="Calibri"/>
          <w:sz w:val="20"/>
          <w:szCs w:val="20"/>
        </w:rPr>
        <w:t>wspierać aktywizację społeczn</w:t>
      </w:r>
      <w:r w:rsidR="007E0B54">
        <w:rPr>
          <w:rFonts w:cs="Calibri"/>
          <w:sz w:val="20"/>
          <w:szCs w:val="20"/>
        </w:rPr>
        <w:t>ą</w:t>
      </w:r>
      <w:r>
        <w:rPr>
          <w:rFonts w:cs="Calibri"/>
          <w:sz w:val="20"/>
          <w:szCs w:val="20"/>
        </w:rPr>
        <w:t xml:space="preserve"> i gospodarcz</w:t>
      </w:r>
      <w:r w:rsidR="007E0B54">
        <w:rPr>
          <w:rFonts w:cs="Calibri"/>
          <w:sz w:val="20"/>
          <w:szCs w:val="20"/>
        </w:rPr>
        <w:t>ą</w:t>
      </w:r>
      <w:r>
        <w:rPr>
          <w:rFonts w:cs="Calibri"/>
          <w:sz w:val="20"/>
          <w:szCs w:val="20"/>
        </w:rPr>
        <w:t xml:space="preserve"> mieszkańców służącą włączeniu społecznemu,</w:t>
      </w:r>
    </w:p>
    <w:p w:rsidR="000C70A4" w:rsidRDefault="000C70A4" w:rsidP="003C24DA">
      <w:pPr>
        <w:pStyle w:val="Akapitzlist"/>
        <w:numPr>
          <w:ilvl w:val="0"/>
          <w:numId w:val="38"/>
        </w:numPr>
        <w:tabs>
          <w:tab w:val="clear" w:pos="1440"/>
        </w:tabs>
        <w:spacing w:after="0" w:line="240" w:lineRule="auto"/>
        <w:ind w:left="714" w:hanging="357"/>
        <w:jc w:val="both"/>
        <w:rPr>
          <w:rFonts w:cs="Calibri"/>
          <w:sz w:val="20"/>
          <w:szCs w:val="20"/>
        </w:rPr>
      </w:pPr>
      <w:r>
        <w:rPr>
          <w:rFonts w:cs="Calibri"/>
          <w:sz w:val="20"/>
          <w:szCs w:val="20"/>
        </w:rPr>
        <w:t>wspierać i wykorzystywać promowanie zatrudnienia i przedsiębiorczości,</w:t>
      </w:r>
    </w:p>
    <w:p w:rsidR="0034278C" w:rsidRDefault="0034278C" w:rsidP="003C24DA">
      <w:pPr>
        <w:pStyle w:val="Akapitzlist"/>
        <w:numPr>
          <w:ilvl w:val="0"/>
          <w:numId w:val="38"/>
        </w:numPr>
        <w:tabs>
          <w:tab w:val="clear" w:pos="1440"/>
        </w:tabs>
        <w:spacing w:after="0" w:line="240" w:lineRule="auto"/>
        <w:ind w:left="714" w:hanging="357"/>
        <w:jc w:val="both"/>
        <w:rPr>
          <w:rFonts w:cs="Calibri"/>
          <w:sz w:val="20"/>
          <w:szCs w:val="20"/>
        </w:rPr>
      </w:pPr>
      <w:r>
        <w:rPr>
          <w:rFonts w:cs="Calibri"/>
          <w:sz w:val="20"/>
          <w:szCs w:val="20"/>
        </w:rPr>
        <w:t>zwiększać dostęp do usług społecznych, w ty</w:t>
      </w:r>
      <w:r w:rsidR="00CC5DF0">
        <w:rPr>
          <w:rFonts w:cs="Calibri"/>
          <w:sz w:val="20"/>
          <w:szCs w:val="20"/>
        </w:rPr>
        <w:t>m m.in. dla rodzin, osób starszych,</w:t>
      </w:r>
      <w:r>
        <w:rPr>
          <w:rFonts w:cs="Calibri"/>
          <w:sz w:val="20"/>
          <w:szCs w:val="20"/>
        </w:rPr>
        <w:t xml:space="preserve"> zagrożonyc</w:t>
      </w:r>
      <w:r w:rsidR="00BD75E3">
        <w:rPr>
          <w:rFonts w:cs="Calibri"/>
          <w:sz w:val="20"/>
          <w:szCs w:val="20"/>
        </w:rPr>
        <w:t>h wykluczeniem społecznym,</w:t>
      </w:r>
    </w:p>
    <w:p w:rsidR="000C70A4" w:rsidRDefault="000C70A4" w:rsidP="003C24DA">
      <w:pPr>
        <w:pStyle w:val="Akapitzlist"/>
        <w:numPr>
          <w:ilvl w:val="0"/>
          <w:numId w:val="38"/>
        </w:numPr>
        <w:tabs>
          <w:tab w:val="clear" w:pos="1440"/>
        </w:tabs>
        <w:spacing w:after="0" w:line="240" w:lineRule="auto"/>
        <w:ind w:left="714" w:hanging="357"/>
        <w:jc w:val="both"/>
        <w:rPr>
          <w:rFonts w:cs="Calibri"/>
          <w:sz w:val="20"/>
          <w:szCs w:val="20"/>
        </w:rPr>
      </w:pPr>
      <w:r>
        <w:rPr>
          <w:rFonts w:cs="Calibri"/>
          <w:sz w:val="20"/>
          <w:szCs w:val="20"/>
        </w:rPr>
        <w:t>wykorzystywać mechanizmy współdziałania i partycypacji społecznej,</w:t>
      </w:r>
    </w:p>
    <w:p w:rsidR="000C70A4" w:rsidRDefault="000C70A4" w:rsidP="003C24DA">
      <w:pPr>
        <w:pStyle w:val="Akapitzlist"/>
        <w:numPr>
          <w:ilvl w:val="0"/>
          <w:numId w:val="38"/>
        </w:numPr>
        <w:tabs>
          <w:tab w:val="clear" w:pos="1440"/>
        </w:tabs>
        <w:spacing w:after="0" w:line="240" w:lineRule="auto"/>
        <w:ind w:left="714" w:hanging="357"/>
        <w:jc w:val="both"/>
        <w:rPr>
          <w:rFonts w:cs="Calibri"/>
          <w:sz w:val="20"/>
          <w:szCs w:val="20"/>
        </w:rPr>
      </w:pPr>
      <w:r>
        <w:rPr>
          <w:rFonts w:cs="Calibri"/>
          <w:sz w:val="20"/>
          <w:szCs w:val="20"/>
        </w:rPr>
        <w:t>wspierać i promować integrację i aktywność społeczną osób niepełnosprawnych,</w:t>
      </w:r>
    </w:p>
    <w:p w:rsidR="00B04840" w:rsidRDefault="00B04840" w:rsidP="003C24DA">
      <w:pPr>
        <w:pStyle w:val="Akapitzlist"/>
        <w:numPr>
          <w:ilvl w:val="0"/>
          <w:numId w:val="38"/>
        </w:numPr>
        <w:tabs>
          <w:tab w:val="clear" w:pos="1440"/>
        </w:tabs>
        <w:spacing w:after="0" w:line="240" w:lineRule="auto"/>
        <w:ind w:left="714" w:right="72" w:hanging="357"/>
        <w:jc w:val="both"/>
        <w:rPr>
          <w:rFonts w:cs="Calibri"/>
          <w:sz w:val="20"/>
          <w:szCs w:val="20"/>
        </w:rPr>
      </w:pPr>
      <w:r>
        <w:rPr>
          <w:rFonts w:cs="Calibri"/>
          <w:sz w:val="20"/>
          <w:szCs w:val="20"/>
        </w:rPr>
        <w:t xml:space="preserve">przyczyniać się do poprawy skuteczności gospodarowania mieszkaniowym zasobem gminy, </w:t>
      </w:r>
      <w:r>
        <w:rPr>
          <w:rFonts w:cs="Calibri"/>
          <w:sz w:val="20"/>
          <w:szCs w:val="20"/>
        </w:rPr>
        <w:br/>
        <w:t>w szczególności lokalami socjalnymi i pomieszczeniami tymczasowymi,</w:t>
      </w:r>
    </w:p>
    <w:p w:rsidR="00B04840" w:rsidRPr="00B04840" w:rsidRDefault="00B04840" w:rsidP="003C24DA">
      <w:pPr>
        <w:pStyle w:val="Akapitzlist"/>
        <w:numPr>
          <w:ilvl w:val="0"/>
          <w:numId w:val="38"/>
        </w:numPr>
        <w:tabs>
          <w:tab w:val="clear" w:pos="1440"/>
        </w:tabs>
        <w:spacing w:after="0" w:line="240" w:lineRule="auto"/>
        <w:ind w:left="714" w:hanging="357"/>
        <w:jc w:val="both"/>
        <w:rPr>
          <w:rFonts w:cs="Calibri"/>
          <w:sz w:val="20"/>
          <w:szCs w:val="20"/>
        </w:rPr>
      </w:pPr>
      <w:r>
        <w:rPr>
          <w:rFonts w:cs="Calibri"/>
          <w:sz w:val="20"/>
          <w:szCs w:val="20"/>
        </w:rPr>
        <w:t>przyczyniać się do podniesienia standardu zasobów mieszkaniowych,</w:t>
      </w:r>
    </w:p>
    <w:p w:rsidR="000C70A4" w:rsidRDefault="000C70A4" w:rsidP="003C24DA">
      <w:pPr>
        <w:pStyle w:val="Akapitzlist"/>
        <w:numPr>
          <w:ilvl w:val="0"/>
          <w:numId w:val="38"/>
        </w:numPr>
        <w:tabs>
          <w:tab w:val="clear" w:pos="1440"/>
        </w:tabs>
        <w:spacing w:after="0" w:line="240" w:lineRule="auto"/>
        <w:ind w:left="714" w:right="74" w:hanging="357"/>
        <w:jc w:val="both"/>
        <w:rPr>
          <w:rFonts w:cs="Calibri"/>
          <w:sz w:val="20"/>
          <w:szCs w:val="20"/>
        </w:rPr>
      </w:pPr>
      <w:r>
        <w:rPr>
          <w:rFonts w:cs="Calibri"/>
          <w:sz w:val="20"/>
          <w:szCs w:val="20"/>
        </w:rPr>
        <w:t xml:space="preserve">wspierać zrównoważony transport miejski, w szczególności rowerowy, zwiększać efektywność energetyczną zasobów, ograniczając niską emisję (termomodernizacja i wymiana źródeł ciepła, zastępowanie azbestu materiałami zdrowymi dla człowieka) </w:t>
      </w:r>
      <w:r w:rsidR="00B04840">
        <w:rPr>
          <w:rFonts w:cs="Calibri"/>
          <w:sz w:val="20"/>
          <w:szCs w:val="20"/>
        </w:rPr>
        <w:t xml:space="preserve">oraz </w:t>
      </w:r>
      <w:r>
        <w:rPr>
          <w:rFonts w:cs="Calibri"/>
          <w:sz w:val="20"/>
          <w:szCs w:val="20"/>
        </w:rPr>
        <w:t>przyczyniając się do podnoszenia świadomości ekologicznej mieszkańców,</w:t>
      </w:r>
    </w:p>
    <w:p w:rsidR="008C255C" w:rsidRPr="00B749FE" w:rsidRDefault="000C70A4" w:rsidP="00B749FE">
      <w:pPr>
        <w:pStyle w:val="Akapitzlist"/>
        <w:numPr>
          <w:ilvl w:val="0"/>
          <w:numId w:val="38"/>
        </w:numPr>
        <w:tabs>
          <w:tab w:val="clear" w:pos="1440"/>
        </w:tabs>
        <w:spacing w:line="240" w:lineRule="auto"/>
        <w:ind w:left="714" w:right="74" w:hanging="357"/>
        <w:jc w:val="both"/>
        <w:rPr>
          <w:rFonts w:cs="Calibri"/>
          <w:sz w:val="20"/>
          <w:szCs w:val="20"/>
        </w:rPr>
      </w:pPr>
      <w:r>
        <w:rPr>
          <w:rFonts w:cs="Calibri"/>
          <w:sz w:val="20"/>
          <w:szCs w:val="20"/>
        </w:rPr>
        <w:t>zachować i eksponować: dziedzictwo kulturowe stanowiące o tożsamości miasta, dziedzictwo przemysłowe z lokalizacją nowych funkcji społecznyc</w:t>
      </w:r>
      <w:r w:rsidR="005A0BEB">
        <w:rPr>
          <w:rFonts w:cs="Calibri"/>
          <w:sz w:val="20"/>
          <w:szCs w:val="20"/>
        </w:rPr>
        <w:t xml:space="preserve">h i gospodarczych, dziedzictwo </w:t>
      </w:r>
      <w:r>
        <w:rPr>
          <w:rFonts w:cs="Calibri"/>
          <w:sz w:val="20"/>
          <w:szCs w:val="20"/>
        </w:rPr>
        <w:t xml:space="preserve">przyrodnicze </w:t>
      </w:r>
      <w:r w:rsidR="007E0B54">
        <w:rPr>
          <w:rFonts w:cs="Calibri"/>
          <w:sz w:val="20"/>
          <w:szCs w:val="20"/>
        </w:rPr>
        <w:br/>
      </w:r>
      <w:r>
        <w:rPr>
          <w:rFonts w:cs="Calibri"/>
          <w:sz w:val="20"/>
          <w:szCs w:val="20"/>
        </w:rPr>
        <w:t>w postaci terenów zielonych, rezerwatów przyrody, terenów leśnych i parków oraz zabytki sakralne.</w:t>
      </w:r>
    </w:p>
    <w:p w:rsidR="00F11756" w:rsidRDefault="00CC5DF0" w:rsidP="002924F7">
      <w:pPr>
        <w:spacing w:after="120"/>
        <w:ind w:firstLine="708"/>
        <w:jc w:val="both"/>
        <w:rPr>
          <w:rFonts w:ascii="Calibri" w:hAnsi="Calibri"/>
          <w:szCs w:val="20"/>
        </w:rPr>
      </w:pPr>
      <w:r>
        <w:rPr>
          <w:rFonts w:ascii="Calibri" w:hAnsi="Calibri"/>
          <w:szCs w:val="20"/>
        </w:rPr>
        <w:t>Równocześnie</w:t>
      </w:r>
      <w:r w:rsidR="008C255C">
        <w:rPr>
          <w:rFonts w:ascii="Calibri" w:hAnsi="Calibri"/>
          <w:szCs w:val="20"/>
        </w:rPr>
        <w:t xml:space="preserve"> -</w:t>
      </w:r>
      <w:r>
        <w:rPr>
          <w:rFonts w:ascii="Calibri" w:hAnsi="Calibri"/>
          <w:szCs w:val="20"/>
        </w:rPr>
        <w:t xml:space="preserve"> obok</w:t>
      </w:r>
      <w:r w:rsidR="00F11756">
        <w:rPr>
          <w:rFonts w:ascii="Calibri" w:hAnsi="Calibri"/>
          <w:szCs w:val="20"/>
        </w:rPr>
        <w:t xml:space="preserve"> przedsięwzię</w:t>
      </w:r>
      <w:r>
        <w:rPr>
          <w:rFonts w:ascii="Calibri" w:hAnsi="Calibri"/>
          <w:szCs w:val="20"/>
        </w:rPr>
        <w:t xml:space="preserve">ć </w:t>
      </w:r>
      <w:r w:rsidR="005D667B">
        <w:rPr>
          <w:rFonts w:ascii="Calibri" w:hAnsi="Calibri"/>
          <w:szCs w:val="20"/>
        </w:rPr>
        <w:t>przewidziany</w:t>
      </w:r>
      <w:r>
        <w:rPr>
          <w:rFonts w:ascii="Calibri" w:hAnsi="Calibri"/>
          <w:szCs w:val="20"/>
        </w:rPr>
        <w:t>ch</w:t>
      </w:r>
      <w:r w:rsidR="005D667B">
        <w:rPr>
          <w:rFonts w:ascii="Calibri" w:hAnsi="Calibri"/>
          <w:szCs w:val="20"/>
        </w:rPr>
        <w:t xml:space="preserve"> do </w:t>
      </w:r>
      <w:r w:rsidR="008C255C">
        <w:rPr>
          <w:rFonts w:ascii="Calibri" w:hAnsi="Calibri"/>
          <w:szCs w:val="20"/>
        </w:rPr>
        <w:t>wdrożenia</w:t>
      </w:r>
      <w:r w:rsidR="005D667B">
        <w:rPr>
          <w:rFonts w:ascii="Calibri" w:hAnsi="Calibri"/>
          <w:szCs w:val="20"/>
        </w:rPr>
        <w:t xml:space="preserve"> </w:t>
      </w:r>
      <w:r w:rsidR="00F11756">
        <w:rPr>
          <w:rFonts w:ascii="Calibri" w:hAnsi="Calibri"/>
          <w:szCs w:val="20"/>
        </w:rPr>
        <w:t xml:space="preserve">na </w:t>
      </w:r>
      <w:r>
        <w:rPr>
          <w:rFonts w:ascii="Calibri" w:hAnsi="Calibri"/>
          <w:szCs w:val="20"/>
        </w:rPr>
        <w:t xml:space="preserve">wyznaczonym </w:t>
      </w:r>
      <w:r w:rsidR="00F11756">
        <w:rPr>
          <w:rFonts w:ascii="Calibri" w:hAnsi="Calibri"/>
          <w:szCs w:val="20"/>
        </w:rPr>
        <w:t>obszarze rewitalizacji</w:t>
      </w:r>
      <w:r w:rsidR="008C255C">
        <w:rPr>
          <w:rFonts w:ascii="Calibri" w:hAnsi="Calibri"/>
          <w:szCs w:val="20"/>
        </w:rPr>
        <w:t xml:space="preserve"> </w:t>
      </w:r>
      <w:r w:rsidR="00F111F0">
        <w:rPr>
          <w:rFonts w:ascii="Calibri" w:hAnsi="Calibri"/>
          <w:szCs w:val="20"/>
        </w:rPr>
        <w:t>–</w:t>
      </w:r>
      <w:r w:rsidR="008C255C">
        <w:rPr>
          <w:rFonts w:ascii="Calibri" w:hAnsi="Calibri"/>
          <w:szCs w:val="20"/>
        </w:rPr>
        <w:t xml:space="preserve"> </w:t>
      </w:r>
      <w:r w:rsidR="00F111F0">
        <w:rPr>
          <w:rFonts w:ascii="Calibri" w:hAnsi="Calibri"/>
          <w:szCs w:val="20"/>
        </w:rPr>
        <w:t xml:space="preserve">na terenie miasta </w:t>
      </w:r>
      <w:r w:rsidR="00F11756">
        <w:rPr>
          <w:rFonts w:ascii="Calibri" w:hAnsi="Calibri"/>
          <w:szCs w:val="20"/>
        </w:rPr>
        <w:t>zaplanowan</w:t>
      </w:r>
      <w:r w:rsidR="005D667B">
        <w:rPr>
          <w:rFonts w:ascii="Calibri" w:hAnsi="Calibri"/>
          <w:szCs w:val="20"/>
        </w:rPr>
        <w:t>e zostały</w:t>
      </w:r>
      <w:r w:rsidR="008C255C">
        <w:rPr>
          <w:rFonts w:ascii="Calibri" w:hAnsi="Calibri"/>
          <w:szCs w:val="20"/>
        </w:rPr>
        <w:t xml:space="preserve"> do realizacji ważne</w:t>
      </w:r>
      <w:r w:rsidR="005D667B">
        <w:rPr>
          <w:rFonts w:ascii="Calibri" w:hAnsi="Calibri"/>
          <w:szCs w:val="20"/>
        </w:rPr>
        <w:t xml:space="preserve"> </w:t>
      </w:r>
      <w:r w:rsidR="00F11756">
        <w:rPr>
          <w:rFonts w:ascii="Calibri" w:hAnsi="Calibri"/>
          <w:szCs w:val="20"/>
        </w:rPr>
        <w:t xml:space="preserve">projekty inwestycyjne, które </w:t>
      </w:r>
      <w:r w:rsidR="005D667B">
        <w:rPr>
          <w:rFonts w:ascii="Calibri" w:hAnsi="Calibri"/>
          <w:szCs w:val="20"/>
        </w:rPr>
        <w:t xml:space="preserve">swoim wpływem </w:t>
      </w:r>
      <w:r w:rsidR="00F11756">
        <w:rPr>
          <w:rFonts w:ascii="Calibri" w:hAnsi="Calibri"/>
          <w:szCs w:val="20"/>
        </w:rPr>
        <w:t>obejmą całe miasto, w tym</w:t>
      </w:r>
      <w:r w:rsidR="005D667B">
        <w:rPr>
          <w:rFonts w:ascii="Calibri" w:hAnsi="Calibri"/>
          <w:szCs w:val="20"/>
        </w:rPr>
        <w:t xml:space="preserve"> również</w:t>
      </w:r>
      <w:r w:rsidR="00F11756">
        <w:rPr>
          <w:rFonts w:ascii="Calibri" w:hAnsi="Calibri"/>
          <w:szCs w:val="20"/>
        </w:rPr>
        <w:t xml:space="preserve"> podobszary rewitalizacji</w:t>
      </w:r>
      <w:r w:rsidR="008C255C">
        <w:rPr>
          <w:rFonts w:ascii="Calibri" w:hAnsi="Calibri"/>
          <w:szCs w:val="20"/>
        </w:rPr>
        <w:t>. Do projektów tych należą</w:t>
      </w:r>
      <w:r w:rsidR="00F11756">
        <w:rPr>
          <w:rFonts w:ascii="Calibri" w:hAnsi="Calibri"/>
          <w:szCs w:val="20"/>
        </w:rPr>
        <w:t>:</w:t>
      </w:r>
    </w:p>
    <w:p w:rsidR="00F11756" w:rsidRPr="005A37B0" w:rsidRDefault="00F11756" w:rsidP="003C24DA">
      <w:pPr>
        <w:pStyle w:val="Akapitzlist"/>
        <w:numPr>
          <w:ilvl w:val="0"/>
          <w:numId w:val="82"/>
        </w:numPr>
        <w:spacing w:after="0" w:line="240" w:lineRule="auto"/>
        <w:ind w:left="714" w:hanging="357"/>
        <w:jc w:val="both"/>
        <w:rPr>
          <w:sz w:val="20"/>
          <w:szCs w:val="20"/>
        </w:rPr>
      </w:pPr>
      <w:r w:rsidRPr="005A37B0">
        <w:rPr>
          <w:sz w:val="20"/>
          <w:szCs w:val="20"/>
        </w:rPr>
        <w:t>Bytomska Centralna Trasa Północ-Południe BCT N-S jako nowy ciąg drogi wojewódzkiej,</w:t>
      </w:r>
    </w:p>
    <w:p w:rsidR="00F11756" w:rsidRPr="00C847F5" w:rsidRDefault="00F11756" w:rsidP="003C24DA">
      <w:pPr>
        <w:pStyle w:val="Akapitzlist"/>
        <w:numPr>
          <w:ilvl w:val="0"/>
          <w:numId w:val="82"/>
        </w:numPr>
        <w:spacing w:after="0" w:line="240" w:lineRule="auto"/>
        <w:ind w:left="714" w:hanging="357"/>
        <w:jc w:val="both"/>
        <w:rPr>
          <w:sz w:val="20"/>
          <w:szCs w:val="20"/>
        </w:rPr>
      </w:pPr>
      <w:r w:rsidRPr="005A37B0">
        <w:rPr>
          <w:sz w:val="20"/>
          <w:szCs w:val="20"/>
        </w:rPr>
        <w:t xml:space="preserve">Budowa węzła przesiadkowego na Placu Wolskiego w Bytomiu wraz z przystosowaniem układu </w:t>
      </w:r>
      <w:r w:rsidRPr="00C847F5">
        <w:rPr>
          <w:sz w:val="20"/>
          <w:szCs w:val="20"/>
        </w:rPr>
        <w:t xml:space="preserve">komunikacyjnego, </w:t>
      </w:r>
    </w:p>
    <w:p w:rsidR="00F11756" w:rsidRPr="00C847F5" w:rsidRDefault="00F11756" w:rsidP="003C24DA">
      <w:pPr>
        <w:pStyle w:val="Akapitzlist"/>
        <w:numPr>
          <w:ilvl w:val="0"/>
          <w:numId w:val="82"/>
        </w:numPr>
        <w:spacing w:after="0" w:line="240" w:lineRule="auto"/>
        <w:ind w:left="714" w:hanging="357"/>
        <w:jc w:val="both"/>
        <w:rPr>
          <w:sz w:val="20"/>
          <w:szCs w:val="20"/>
        </w:rPr>
      </w:pPr>
      <w:r w:rsidRPr="00C847F5">
        <w:rPr>
          <w:sz w:val="20"/>
          <w:szCs w:val="20"/>
        </w:rPr>
        <w:t>Wdrażanie progr</w:t>
      </w:r>
      <w:r>
        <w:rPr>
          <w:sz w:val="20"/>
          <w:szCs w:val="20"/>
        </w:rPr>
        <w:t xml:space="preserve">amu ograniczania niskiej emisji </w:t>
      </w:r>
      <w:r w:rsidRPr="00C847F5">
        <w:rPr>
          <w:sz w:val="20"/>
          <w:szCs w:val="20"/>
        </w:rPr>
        <w:t>przez PEC Bytom – uciepłownienie zabudowy wielorodzinnej,</w:t>
      </w:r>
    </w:p>
    <w:p w:rsidR="00F11756" w:rsidRPr="005A37B0" w:rsidRDefault="00F11756" w:rsidP="003C24DA">
      <w:pPr>
        <w:pStyle w:val="Akapitzlist"/>
        <w:numPr>
          <w:ilvl w:val="0"/>
          <w:numId w:val="82"/>
        </w:numPr>
        <w:spacing w:after="0" w:line="240" w:lineRule="auto"/>
        <w:ind w:left="714" w:hanging="357"/>
        <w:jc w:val="both"/>
        <w:rPr>
          <w:sz w:val="20"/>
          <w:szCs w:val="20"/>
        </w:rPr>
      </w:pPr>
      <w:r w:rsidRPr="00C847F5">
        <w:rPr>
          <w:sz w:val="20"/>
          <w:szCs w:val="20"/>
        </w:rPr>
        <w:t>Poprawa efektywności</w:t>
      </w:r>
      <w:r w:rsidRPr="005A37B0">
        <w:rPr>
          <w:sz w:val="20"/>
          <w:szCs w:val="20"/>
        </w:rPr>
        <w:t xml:space="preserve"> energetycznej Gminy Bytom poprzez modernizację oświetlenia drogowego,</w:t>
      </w:r>
    </w:p>
    <w:p w:rsidR="00F11756" w:rsidRPr="005A37B0" w:rsidRDefault="00F11756" w:rsidP="003C24DA">
      <w:pPr>
        <w:pStyle w:val="Akapitzlist"/>
        <w:numPr>
          <w:ilvl w:val="0"/>
          <w:numId w:val="82"/>
        </w:numPr>
        <w:spacing w:after="0" w:line="240" w:lineRule="auto"/>
        <w:ind w:left="714" w:hanging="357"/>
        <w:jc w:val="both"/>
        <w:rPr>
          <w:sz w:val="20"/>
          <w:szCs w:val="20"/>
        </w:rPr>
      </w:pPr>
      <w:r w:rsidRPr="005A37B0">
        <w:rPr>
          <w:sz w:val="20"/>
          <w:szCs w:val="20"/>
        </w:rPr>
        <w:t>Budowa kompleksu s</w:t>
      </w:r>
      <w:r>
        <w:rPr>
          <w:sz w:val="20"/>
          <w:szCs w:val="20"/>
        </w:rPr>
        <w:t>portowego przy ul. Olimpijskiej.</w:t>
      </w:r>
    </w:p>
    <w:p w:rsidR="00F11756" w:rsidRDefault="00F11756" w:rsidP="00F11756">
      <w:pPr>
        <w:jc w:val="both"/>
        <w:rPr>
          <w:rFonts w:ascii="Calibri" w:hAnsi="Calibri"/>
          <w:szCs w:val="20"/>
        </w:rPr>
      </w:pPr>
    </w:p>
    <w:p w:rsidR="0076018F" w:rsidRDefault="00F11756" w:rsidP="0076018F">
      <w:pPr>
        <w:pStyle w:val="Tekstpodstawowy2"/>
        <w:rPr>
          <w:rFonts w:ascii="Calibri" w:hAnsi="Calibri"/>
          <w:b/>
          <w:szCs w:val="20"/>
        </w:rPr>
      </w:pPr>
      <w:r>
        <w:rPr>
          <w:rFonts w:ascii="Calibri" w:hAnsi="Calibri"/>
          <w:b/>
          <w:szCs w:val="20"/>
        </w:rPr>
        <w:t>Bytomska Centralna Trasa Północ-Południe BCT N-S jako nowy ciąg drogi wojew</w:t>
      </w:r>
      <w:r w:rsidR="00C63F63">
        <w:rPr>
          <w:rFonts w:ascii="Calibri" w:hAnsi="Calibri"/>
          <w:b/>
          <w:szCs w:val="20"/>
        </w:rPr>
        <w:t>ódzkiej</w:t>
      </w:r>
    </w:p>
    <w:p w:rsidR="00F11756" w:rsidRDefault="00F11756" w:rsidP="002924F7">
      <w:pPr>
        <w:ind w:firstLine="708"/>
        <w:jc w:val="both"/>
        <w:rPr>
          <w:rFonts w:ascii="Calibri" w:hAnsi="Calibri"/>
          <w:szCs w:val="20"/>
        </w:rPr>
      </w:pPr>
      <w:r>
        <w:rPr>
          <w:rFonts w:ascii="Calibri" w:hAnsi="Calibri"/>
          <w:szCs w:val="20"/>
        </w:rPr>
        <w:t xml:space="preserve">Przedmiotem projektu jest budowa Bytomskiej Centralnej Trasy, w tym drogi wojewódzkiej o długości 6,43 km, łączącej drogi krajowe i wojewódzkie w centrum miasta Bytomia: od strony północnej DK11, zachodniej DK94, a od strony południowej DK79, DW 925 i ul. Łagiewnicką (DP 8618S) w kierunku DTŚ, tworząc obwodnicę centrum miasta. </w:t>
      </w:r>
    </w:p>
    <w:p w:rsidR="00F11756" w:rsidRDefault="00F11756" w:rsidP="002924F7">
      <w:pPr>
        <w:ind w:firstLine="708"/>
        <w:jc w:val="both"/>
        <w:rPr>
          <w:rFonts w:ascii="Calibri" w:hAnsi="Calibri"/>
          <w:szCs w:val="20"/>
        </w:rPr>
      </w:pPr>
      <w:r>
        <w:rPr>
          <w:rFonts w:ascii="Calibri" w:hAnsi="Calibri"/>
          <w:szCs w:val="20"/>
        </w:rPr>
        <w:t xml:space="preserve">Głównym celem projektu jest poprawa funkcjonalności, przepustowości i parametrów technicznych układu sieci drogowej Bytomia. Projekt poprzez obszar swojego oddziaływania, w związku z obsługą ruchu </w:t>
      </w:r>
      <w:r w:rsidRPr="00D60253">
        <w:rPr>
          <w:rFonts w:ascii="Calibri" w:hAnsi="Calibri"/>
          <w:szCs w:val="20"/>
        </w:rPr>
        <w:t>z autostrady A1 (</w:t>
      </w:r>
      <w:r>
        <w:rPr>
          <w:rFonts w:ascii="Calibri" w:hAnsi="Calibri"/>
          <w:szCs w:val="20"/>
        </w:rPr>
        <w:t>węzeł na DK11) jest także komplementarny względem sieci TEN-T przebiegającej przez tereny województwa śląskiego. Cel główny wynika z zasadniczego problemu w układzie komunikacyjnym miasta, jakim jest niewydolność układu komunikacyjnego w centralnej części miasta, w tym brak dodatkowego ciągu komunikacyjnego, który przenosiłby ruch na kierunku północ-południe na drogach DK11 – DK79.</w:t>
      </w:r>
    </w:p>
    <w:p w:rsidR="00F11756" w:rsidRDefault="00F11756" w:rsidP="00F11756">
      <w:pPr>
        <w:jc w:val="both"/>
        <w:rPr>
          <w:rFonts w:ascii="Calibri" w:hAnsi="Calibri"/>
          <w:szCs w:val="20"/>
        </w:rPr>
      </w:pPr>
      <w:r>
        <w:rPr>
          <w:rFonts w:ascii="Calibri" w:hAnsi="Calibri"/>
        </w:rPr>
        <w:tab/>
      </w:r>
    </w:p>
    <w:p w:rsidR="00F11756" w:rsidRDefault="00F11756" w:rsidP="00F11756">
      <w:pPr>
        <w:rPr>
          <w:rFonts w:ascii="Calibri" w:hAnsi="Calibri"/>
          <w:szCs w:val="20"/>
        </w:rPr>
      </w:pPr>
      <w:bookmarkStart w:id="1054" w:name="_Toc191972614"/>
      <w:r w:rsidRPr="00FA4592">
        <w:rPr>
          <w:b/>
        </w:rPr>
        <w:t xml:space="preserve">Mapa </w:t>
      </w:r>
      <w:r w:rsidR="003972D8" w:rsidRPr="00FA4592">
        <w:rPr>
          <w:b/>
        </w:rPr>
        <w:fldChar w:fldCharType="begin"/>
      </w:r>
      <w:r w:rsidRPr="00FA4592">
        <w:rPr>
          <w:b/>
        </w:rPr>
        <w:instrText xml:space="preserve"> SEQ Mapa \* ARABIC </w:instrText>
      </w:r>
      <w:r w:rsidR="003972D8" w:rsidRPr="00FA4592">
        <w:rPr>
          <w:b/>
        </w:rPr>
        <w:fldChar w:fldCharType="separate"/>
      </w:r>
      <w:r w:rsidR="00413FFE">
        <w:rPr>
          <w:b/>
          <w:noProof/>
        </w:rPr>
        <w:t>2</w:t>
      </w:r>
      <w:r w:rsidR="003972D8" w:rsidRPr="00FA4592">
        <w:rPr>
          <w:b/>
        </w:rPr>
        <w:fldChar w:fldCharType="end"/>
      </w:r>
      <w:r>
        <w:t>.</w:t>
      </w:r>
      <w:r w:rsidRPr="00CE4014">
        <w:rPr>
          <w:rFonts w:ascii="Calibri" w:hAnsi="Calibri"/>
          <w:b/>
          <w:szCs w:val="20"/>
        </w:rPr>
        <w:t xml:space="preserve"> </w:t>
      </w:r>
      <w:r>
        <w:rPr>
          <w:rFonts w:ascii="Calibri" w:hAnsi="Calibri"/>
          <w:b/>
          <w:szCs w:val="20"/>
        </w:rPr>
        <w:t>Projektowana Bytomska Centralna Trasa Północ-Południe</w:t>
      </w:r>
      <w:bookmarkEnd w:id="1054"/>
    </w:p>
    <w:p w:rsidR="00F11756" w:rsidRDefault="00F11756" w:rsidP="00F11756">
      <w:pPr>
        <w:jc w:val="center"/>
        <w:rPr>
          <w:rFonts w:ascii="Calibri" w:hAnsi="Calibri"/>
          <w:i/>
          <w:iCs/>
          <w:szCs w:val="20"/>
        </w:rPr>
      </w:pPr>
      <w:r>
        <w:rPr>
          <w:rFonts w:ascii="Calibri" w:hAnsi="Calibri"/>
          <w:i/>
          <w:noProof/>
          <w:szCs w:val="20"/>
        </w:rPr>
        <w:lastRenderedPageBreak/>
        <w:drawing>
          <wp:inline distT="0" distB="0" distL="0" distR="0">
            <wp:extent cx="5580000" cy="5217903"/>
            <wp:effectExtent l="19050" t="0" r="1650" b="0"/>
            <wp:docPr id="3"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pic:cNvPicPr>
                      <a:picLocks noChangeAspect="1" noChangeArrowheads="1"/>
                    </pic:cNvPicPr>
                  </pic:nvPicPr>
                  <pic:blipFill>
                    <a:blip r:embed="rId23" cstate="print"/>
                    <a:srcRect l="6346" t="15469" r="46526" b="6354"/>
                    <a:stretch>
                      <a:fillRect/>
                    </a:stretch>
                  </pic:blipFill>
                  <pic:spPr bwMode="auto">
                    <a:xfrm>
                      <a:off x="0" y="0"/>
                      <a:ext cx="5580000" cy="5217903"/>
                    </a:xfrm>
                    <a:prstGeom prst="rect">
                      <a:avLst/>
                    </a:prstGeom>
                    <a:noFill/>
                    <a:ln w="9525">
                      <a:noFill/>
                      <a:miter lim="800000"/>
                      <a:headEnd/>
                      <a:tailEnd/>
                    </a:ln>
                  </pic:spPr>
                </pic:pic>
              </a:graphicData>
            </a:graphic>
          </wp:inline>
        </w:drawing>
      </w:r>
    </w:p>
    <w:p w:rsidR="00F11756" w:rsidRDefault="00F11756" w:rsidP="00F11756">
      <w:pPr>
        <w:jc w:val="both"/>
        <w:rPr>
          <w:rFonts w:ascii="Calibri" w:hAnsi="Calibri"/>
          <w:i/>
          <w:iCs/>
          <w:szCs w:val="20"/>
        </w:rPr>
      </w:pPr>
      <w:r>
        <w:rPr>
          <w:rFonts w:ascii="Calibri" w:hAnsi="Calibri"/>
          <w:i/>
          <w:iCs/>
          <w:szCs w:val="20"/>
        </w:rPr>
        <w:t xml:space="preserve"> </w:t>
      </w:r>
      <w:r w:rsidRPr="003B22DA">
        <w:rPr>
          <w:rFonts w:ascii="Calibri" w:hAnsi="Calibri"/>
          <w:i/>
          <w:iCs/>
          <w:sz w:val="18"/>
          <w:szCs w:val="20"/>
        </w:rPr>
        <w:t xml:space="preserve">Źródło: Materiały MZDiM, lipiec 2014 r. </w:t>
      </w:r>
    </w:p>
    <w:p w:rsidR="00F11756" w:rsidRDefault="00F11756" w:rsidP="00F11756">
      <w:pPr>
        <w:pStyle w:val="Tekstpodstawowy2"/>
        <w:rPr>
          <w:rFonts w:ascii="Calibri" w:hAnsi="Calibri"/>
          <w:szCs w:val="20"/>
        </w:rPr>
      </w:pPr>
    </w:p>
    <w:p w:rsidR="001018E2" w:rsidRDefault="001018E2" w:rsidP="001018E2">
      <w:pPr>
        <w:ind w:firstLine="708"/>
        <w:jc w:val="both"/>
        <w:rPr>
          <w:rFonts w:ascii="Calibri" w:hAnsi="Calibri"/>
        </w:rPr>
      </w:pPr>
      <w:r>
        <w:rPr>
          <w:rFonts w:ascii="Calibri" w:hAnsi="Calibri"/>
        </w:rPr>
        <w:t xml:space="preserve">Przedmiotowy projekt będzie przyczyniał się do poprawy skomunikowania obszaru rewitalizacji, w szczególności podobszarów rewitalizacji 25 – teren dawnej KWK Szombierki, 30 EC Szombierki i Pola Szombierskie oraz 27 – teren KWK Centrum. Dzięki budowie trasy wyprowadzony zostanie częściowo ruch z centralnych dzielnic miasta (obszar rewitalizacji), a przez to poprawi się stan środowiska. Zmniejszenie ruchu przyczyni się do ograniczenia oddziaływania ruchu kołowego na postępującą degradację tkanki miejskiej. Ponadto ułatwiony zostanie dostęp do terenów inwestycyjnych leżących w obszarze rewitalizacji. </w:t>
      </w:r>
    </w:p>
    <w:p w:rsidR="001018E2" w:rsidRDefault="001018E2" w:rsidP="00F11756">
      <w:pPr>
        <w:pStyle w:val="Tekstpodstawowy2"/>
        <w:rPr>
          <w:rFonts w:ascii="Calibri" w:hAnsi="Calibri"/>
          <w:b/>
          <w:szCs w:val="20"/>
        </w:rPr>
      </w:pPr>
    </w:p>
    <w:p w:rsidR="0076018F" w:rsidRDefault="00F11756" w:rsidP="00F11756">
      <w:pPr>
        <w:pStyle w:val="Tekstpodstawowy2"/>
        <w:rPr>
          <w:rFonts w:ascii="Calibri" w:hAnsi="Calibri"/>
          <w:b/>
          <w:szCs w:val="20"/>
        </w:rPr>
      </w:pPr>
      <w:r>
        <w:rPr>
          <w:rFonts w:ascii="Calibri" w:hAnsi="Calibri"/>
          <w:b/>
          <w:szCs w:val="20"/>
        </w:rPr>
        <w:t>Budowa węzła przesiadkowego na Placu Wolskiego w Bytomiu wraz z przysto</w:t>
      </w:r>
      <w:r w:rsidR="00C63F63">
        <w:rPr>
          <w:rFonts w:ascii="Calibri" w:hAnsi="Calibri"/>
          <w:b/>
          <w:szCs w:val="20"/>
        </w:rPr>
        <w:t>sowaniem układu komunikacyjnego</w:t>
      </w:r>
    </w:p>
    <w:p w:rsidR="00F11756" w:rsidRDefault="00F11756" w:rsidP="002924F7">
      <w:pPr>
        <w:pStyle w:val="Tekstpodstawowy"/>
        <w:spacing w:after="0"/>
        <w:ind w:firstLine="708"/>
        <w:jc w:val="both"/>
        <w:rPr>
          <w:rFonts w:ascii="Calibri" w:hAnsi="Calibri"/>
          <w:szCs w:val="20"/>
        </w:rPr>
      </w:pPr>
      <w:r>
        <w:rPr>
          <w:rFonts w:ascii="Calibri" w:hAnsi="Calibri"/>
          <w:szCs w:val="20"/>
        </w:rPr>
        <w:t xml:space="preserve">Przedmiotem projektu jest budowa zintegrowanego węzła przesiadkowego, w którym łączą się wszystkie rodzaje transportu zbiorowego. Realizacja projektu umożliwi dogodną zmianę środka transportu i obejmie m.in. budowę niezbędnej dla obsługi podróżnych infrastruktury, takiej jak: miejsca postojowe, perony, parking przesiadkowy dla pasażerów i kierowców pojazdów osobowych, parking rowerowy, punkt sprzedaży biletów, poczekalnia. Projekt zakłada również budowę dróg rowerowych o charakterze ciągów komunikacyjnych o łącznej długości ok. 21 km. Projekt przewiduje włączenie zmienionego układu komunikacyjnego (wymuszonego budową dworca autobusowego) do łącznicy Bytomskiej Centralnej Trasy </w:t>
      </w:r>
      <w:r>
        <w:rPr>
          <w:rFonts w:ascii="Calibri" w:hAnsi="Calibri"/>
          <w:szCs w:val="20"/>
        </w:rPr>
        <w:br/>
        <w:t>N-S, która będzie stanowiła nowy ciąg drogi wojewódzkiej.</w:t>
      </w:r>
    </w:p>
    <w:p w:rsidR="00F11756" w:rsidRDefault="00F11756" w:rsidP="00F11756">
      <w:pPr>
        <w:ind w:firstLine="708"/>
        <w:jc w:val="both"/>
        <w:rPr>
          <w:rFonts w:ascii="Calibri" w:hAnsi="Calibri"/>
          <w:szCs w:val="20"/>
        </w:rPr>
      </w:pPr>
      <w:r>
        <w:rPr>
          <w:rFonts w:ascii="Calibri" w:hAnsi="Calibri"/>
          <w:szCs w:val="20"/>
        </w:rPr>
        <w:lastRenderedPageBreak/>
        <w:t xml:space="preserve">Przedmiotowy projekt zlokalizowany jest na obszarze graniczącym z podobszarem rewitalizacji 10 Śródmieście, w centrum miasta. Skierowany jest do mieszkańców z całego obszaru miasta, w tym podobszarów rewitalizacji. Drogi rowerowe komunikujące węzeł przesiadkowy </w:t>
      </w:r>
      <w:r w:rsidR="00AA0122">
        <w:rPr>
          <w:rFonts w:ascii="Calibri" w:hAnsi="Calibri"/>
          <w:szCs w:val="20"/>
        </w:rPr>
        <w:t>z resztą miasta przebiegać będą</w:t>
      </w:r>
      <w:r>
        <w:rPr>
          <w:rFonts w:ascii="Calibri" w:hAnsi="Calibri"/>
          <w:szCs w:val="20"/>
        </w:rPr>
        <w:t xml:space="preserve"> przez obszary rewitalizowane. Pojazdy komunikacji publicznej (autobusy, tramwaje) startujące z węzła przesiadkowego kursować będą w obrębie całego miasta, a w tym obszarów rewitalizowanych. Oddziaływanie projektu będzie miało wpływ na mieszkańców miasta, a także regionu, co przyczyni się do wzmocnienia pozytywnego postrzegania działań rewitalizacyjnych w mieście. </w:t>
      </w:r>
    </w:p>
    <w:p w:rsidR="00F11756" w:rsidRDefault="00F11756" w:rsidP="00F11756">
      <w:pPr>
        <w:ind w:firstLine="567"/>
        <w:jc w:val="both"/>
        <w:rPr>
          <w:rFonts w:ascii="Calibri" w:hAnsi="Calibri"/>
          <w:szCs w:val="20"/>
        </w:rPr>
      </w:pPr>
    </w:p>
    <w:p w:rsidR="00F11756" w:rsidRPr="004F74AD" w:rsidRDefault="00F11756" w:rsidP="00F11756">
      <w:pPr>
        <w:jc w:val="both"/>
        <w:rPr>
          <w:rFonts w:ascii="Calibri" w:hAnsi="Calibri"/>
          <w:b/>
          <w:sz w:val="16"/>
          <w:szCs w:val="20"/>
        </w:rPr>
      </w:pPr>
      <w:bookmarkStart w:id="1055" w:name="_Toc191972615"/>
      <w:r w:rsidRPr="004F74AD">
        <w:rPr>
          <w:b/>
        </w:rPr>
        <w:t xml:space="preserve">Mapa </w:t>
      </w:r>
      <w:r w:rsidR="003972D8" w:rsidRPr="004F74AD">
        <w:rPr>
          <w:b/>
        </w:rPr>
        <w:fldChar w:fldCharType="begin"/>
      </w:r>
      <w:r w:rsidRPr="004F74AD">
        <w:rPr>
          <w:b/>
        </w:rPr>
        <w:instrText xml:space="preserve"> SEQ Mapa \* ARABIC </w:instrText>
      </w:r>
      <w:r w:rsidR="003972D8" w:rsidRPr="004F74AD">
        <w:rPr>
          <w:b/>
        </w:rPr>
        <w:fldChar w:fldCharType="separate"/>
      </w:r>
      <w:r w:rsidR="00413FFE">
        <w:rPr>
          <w:b/>
          <w:noProof/>
        </w:rPr>
        <w:t>3</w:t>
      </w:r>
      <w:r w:rsidR="003972D8" w:rsidRPr="004F74AD">
        <w:rPr>
          <w:b/>
        </w:rPr>
        <w:fldChar w:fldCharType="end"/>
      </w:r>
      <w:r w:rsidRPr="004F74AD">
        <w:rPr>
          <w:b/>
        </w:rPr>
        <w:t>.</w:t>
      </w:r>
      <w:r w:rsidR="00956673">
        <w:rPr>
          <w:b/>
        </w:rPr>
        <w:t xml:space="preserve"> </w:t>
      </w:r>
      <w:r w:rsidRPr="004F74AD">
        <w:rPr>
          <w:b/>
        </w:rPr>
        <w:t>Miejscowy plan z</w:t>
      </w:r>
      <w:r w:rsidR="00B27F3D">
        <w:rPr>
          <w:b/>
        </w:rPr>
        <w:t>agospodarowania przestrzennego Ś</w:t>
      </w:r>
      <w:r w:rsidRPr="004F74AD">
        <w:rPr>
          <w:b/>
        </w:rPr>
        <w:t>ródmieścia Bytomia</w:t>
      </w:r>
      <w:bookmarkEnd w:id="1055"/>
    </w:p>
    <w:p w:rsidR="00F11756" w:rsidRDefault="00F11756" w:rsidP="00F11756">
      <w:pPr>
        <w:jc w:val="both"/>
        <w:rPr>
          <w:rFonts w:ascii="Calibri" w:hAnsi="Calibri"/>
          <w:szCs w:val="20"/>
        </w:rPr>
      </w:pPr>
      <w:r>
        <w:rPr>
          <w:rFonts w:ascii="Calibri" w:hAnsi="Calibri"/>
          <w:noProof/>
          <w:szCs w:val="20"/>
        </w:rPr>
        <w:drawing>
          <wp:anchor distT="0" distB="0" distL="114300" distR="114300" simplePos="0" relativeHeight="251680256" behindDoc="0" locked="0" layoutInCell="1" allowOverlap="1">
            <wp:simplePos x="0" y="0"/>
            <wp:positionH relativeFrom="column">
              <wp:posOffset>385445</wp:posOffset>
            </wp:positionH>
            <wp:positionV relativeFrom="paragraph">
              <wp:posOffset>84455</wp:posOffset>
            </wp:positionV>
            <wp:extent cx="5039995" cy="3740785"/>
            <wp:effectExtent l="19050" t="19050" r="27305" b="12065"/>
            <wp:wrapTight wrapText="bothSides">
              <wp:wrapPolygon edited="0">
                <wp:start x="-82" y="-110"/>
                <wp:lineTo x="-82" y="21670"/>
                <wp:lineTo x="21717" y="21670"/>
                <wp:lineTo x="21717" y="-110"/>
                <wp:lineTo x="-82" y="-110"/>
              </wp:wrapPolygon>
            </wp:wrapTight>
            <wp:docPr id="4" name="Symbol zastępczy zawartości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ymbol zastępczy zawartości 3"/>
                    <pic:cNvPicPr>
                      <a:picLocks noChangeAspect="1" noChangeArrowheads="1"/>
                    </pic:cNvPicPr>
                  </pic:nvPicPr>
                  <pic:blipFill>
                    <a:blip r:embed="rId24" cstate="print"/>
                    <a:srcRect b="4134"/>
                    <a:stretch>
                      <a:fillRect/>
                    </a:stretch>
                  </pic:blipFill>
                  <pic:spPr bwMode="auto">
                    <a:xfrm>
                      <a:off x="0" y="0"/>
                      <a:ext cx="5039995" cy="3740785"/>
                    </a:xfrm>
                    <a:prstGeom prst="rect">
                      <a:avLst/>
                    </a:prstGeom>
                    <a:noFill/>
                    <a:ln w="3175">
                      <a:solidFill>
                        <a:schemeClr val="tx1"/>
                      </a:solidFill>
                      <a:miter lim="800000"/>
                      <a:headEnd/>
                      <a:tailEnd/>
                    </a:ln>
                  </pic:spPr>
                </pic:pic>
              </a:graphicData>
            </a:graphic>
          </wp:anchor>
        </w:drawing>
      </w:r>
    </w:p>
    <w:p w:rsidR="00F11756" w:rsidRDefault="00F11756" w:rsidP="00F11756">
      <w:pPr>
        <w:jc w:val="both"/>
        <w:rPr>
          <w:rFonts w:ascii="Calibri" w:hAnsi="Calibri"/>
          <w:szCs w:val="20"/>
        </w:rPr>
      </w:pPr>
    </w:p>
    <w:p w:rsidR="00F11756" w:rsidRDefault="00F11756" w:rsidP="00F11756">
      <w:pPr>
        <w:jc w:val="both"/>
        <w:rPr>
          <w:rFonts w:ascii="Calibri" w:hAnsi="Calibri"/>
          <w:szCs w:val="20"/>
        </w:rPr>
      </w:pPr>
    </w:p>
    <w:p w:rsidR="00F11756" w:rsidRDefault="00F11756" w:rsidP="00F11756">
      <w:pPr>
        <w:jc w:val="both"/>
        <w:rPr>
          <w:rFonts w:ascii="Calibri" w:hAnsi="Calibri"/>
          <w:szCs w:val="20"/>
        </w:rPr>
      </w:pPr>
    </w:p>
    <w:p w:rsidR="00F11756" w:rsidRDefault="00F11756" w:rsidP="00F11756">
      <w:pPr>
        <w:jc w:val="both"/>
        <w:rPr>
          <w:rFonts w:ascii="Calibri" w:hAnsi="Calibri"/>
          <w:szCs w:val="20"/>
        </w:rPr>
      </w:pPr>
    </w:p>
    <w:p w:rsidR="00F11756" w:rsidRDefault="00F11756" w:rsidP="00F11756">
      <w:pPr>
        <w:jc w:val="both"/>
        <w:rPr>
          <w:rFonts w:ascii="Calibri" w:hAnsi="Calibri"/>
          <w:szCs w:val="20"/>
        </w:rPr>
      </w:pPr>
    </w:p>
    <w:p w:rsidR="00F11756" w:rsidRDefault="00F11756" w:rsidP="00F11756">
      <w:pPr>
        <w:jc w:val="both"/>
        <w:rPr>
          <w:rFonts w:ascii="Calibri" w:hAnsi="Calibri"/>
          <w:szCs w:val="20"/>
        </w:rPr>
      </w:pPr>
    </w:p>
    <w:p w:rsidR="00F11756" w:rsidRDefault="00F11756" w:rsidP="00F11756">
      <w:pPr>
        <w:jc w:val="both"/>
        <w:rPr>
          <w:rFonts w:ascii="Calibri" w:hAnsi="Calibri"/>
          <w:szCs w:val="20"/>
        </w:rPr>
      </w:pPr>
    </w:p>
    <w:p w:rsidR="00F11756" w:rsidRDefault="00F11756" w:rsidP="00F11756">
      <w:pPr>
        <w:jc w:val="both"/>
        <w:rPr>
          <w:rFonts w:ascii="Calibri" w:hAnsi="Calibri"/>
          <w:szCs w:val="20"/>
        </w:rPr>
      </w:pPr>
    </w:p>
    <w:p w:rsidR="007D00EB" w:rsidRDefault="007D00EB" w:rsidP="00F11756">
      <w:pPr>
        <w:jc w:val="both"/>
        <w:rPr>
          <w:rFonts w:ascii="Calibri" w:hAnsi="Calibri"/>
          <w:i/>
          <w:iCs/>
          <w:sz w:val="18"/>
          <w:szCs w:val="20"/>
        </w:rPr>
      </w:pPr>
    </w:p>
    <w:p w:rsidR="007D00EB" w:rsidRDefault="007D00EB" w:rsidP="00F11756">
      <w:pPr>
        <w:jc w:val="both"/>
        <w:rPr>
          <w:rFonts w:ascii="Calibri" w:hAnsi="Calibri"/>
          <w:i/>
          <w:iCs/>
          <w:sz w:val="18"/>
          <w:szCs w:val="20"/>
        </w:rPr>
      </w:pPr>
    </w:p>
    <w:p w:rsidR="007D00EB" w:rsidRDefault="007D00EB" w:rsidP="00F11756">
      <w:pPr>
        <w:jc w:val="both"/>
        <w:rPr>
          <w:rFonts w:ascii="Calibri" w:hAnsi="Calibri"/>
          <w:i/>
          <w:iCs/>
          <w:sz w:val="18"/>
          <w:szCs w:val="20"/>
        </w:rPr>
      </w:pPr>
    </w:p>
    <w:p w:rsidR="007D00EB" w:rsidRDefault="007D00EB" w:rsidP="00F11756">
      <w:pPr>
        <w:jc w:val="both"/>
        <w:rPr>
          <w:rFonts w:ascii="Calibri" w:hAnsi="Calibri"/>
          <w:i/>
          <w:iCs/>
          <w:sz w:val="18"/>
          <w:szCs w:val="20"/>
        </w:rPr>
      </w:pPr>
    </w:p>
    <w:p w:rsidR="007D00EB" w:rsidRDefault="007D00EB" w:rsidP="00F11756">
      <w:pPr>
        <w:jc w:val="both"/>
        <w:rPr>
          <w:rFonts w:ascii="Calibri" w:hAnsi="Calibri"/>
          <w:i/>
          <w:iCs/>
          <w:sz w:val="18"/>
          <w:szCs w:val="20"/>
        </w:rPr>
      </w:pPr>
    </w:p>
    <w:p w:rsidR="007D00EB" w:rsidRDefault="007D00EB" w:rsidP="00F11756">
      <w:pPr>
        <w:jc w:val="both"/>
        <w:rPr>
          <w:rFonts w:ascii="Calibri" w:hAnsi="Calibri"/>
          <w:i/>
          <w:iCs/>
          <w:sz w:val="18"/>
          <w:szCs w:val="20"/>
        </w:rPr>
      </w:pPr>
    </w:p>
    <w:p w:rsidR="007D00EB" w:rsidRDefault="007D00EB" w:rsidP="00F11756">
      <w:pPr>
        <w:jc w:val="both"/>
        <w:rPr>
          <w:rFonts w:ascii="Calibri" w:hAnsi="Calibri"/>
          <w:i/>
          <w:iCs/>
          <w:sz w:val="18"/>
          <w:szCs w:val="20"/>
        </w:rPr>
      </w:pPr>
    </w:p>
    <w:p w:rsidR="007D00EB" w:rsidRDefault="007D00EB" w:rsidP="00F11756">
      <w:pPr>
        <w:jc w:val="both"/>
        <w:rPr>
          <w:rFonts w:ascii="Calibri" w:hAnsi="Calibri"/>
          <w:i/>
          <w:iCs/>
          <w:sz w:val="18"/>
          <w:szCs w:val="20"/>
        </w:rPr>
      </w:pPr>
    </w:p>
    <w:p w:rsidR="007D00EB" w:rsidRDefault="007D00EB" w:rsidP="00F11756">
      <w:pPr>
        <w:jc w:val="both"/>
        <w:rPr>
          <w:rFonts w:ascii="Calibri" w:hAnsi="Calibri"/>
          <w:i/>
          <w:iCs/>
          <w:sz w:val="18"/>
          <w:szCs w:val="20"/>
        </w:rPr>
      </w:pPr>
    </w:p>
    <w:p w:rsidR="007D00EB" w:rsidRDefault="007D00EB" w:rsidP="00F11756">
      <w:pPr>
        <w:jc w:val="both"/>
        <w:rPr>
          <w:rFonts w:ascii="Calibri" w:hAnsi="Calibri"/>
          <w:i/>
          <w:iCs/>
          <w:sz w:val="18"/>
          <w:szCs w:val="20"/>
        </w:rPr>
      </w:pPr>
    </w:p>
    <w:p w:rsidR="007D00EB" w:rsidRDefault="007D00EB" w:rsidP="00F11756">
      <w:pPr>
        <w:jc w:val="both"/>
        <w:rPr>
          <w:rFonts w:ascii="Calibri" w:hAnsi="Calibri"/>
          <w:i/>
          <w:iCs/>
          <w:sz w:val="18"/>
          <w:szCs w:val="20"/>
        </w:rPr>
      </w:pPr>
    </w:p>
    <w:p w:rsidR="007D00EB" w:rsidRDefault="007D00EB" w:rsidP="00F11756">
      <w:pPr>
        <w:jc w:val="both"/>
        <w:rPr>
          <w:rFonts w:ascii="Calibri" w:hAnsi="Calibri"/>
          <w:i/>
          <w:iCs/>
          <w:sz w:val="18"/>
          <w:szCs w:val="20"/>
        </w:rPr>
      </w:pPr>
    </w:p>
    <w:p w:rsidR="007D00EB" w:rsidRDefault="007D00EB" w:rsidP="00F11756">
      <w:pPr>
        <w:jc w:val="both"/>
        <w:rPr>
          <w:rFonts w:ascii="Calibri" w:hAnsi="Calibri"/>
          <w:i/>
          <w:iCs/>
          <w:sz w:val="18"/>
          <w:szCs w:val="20"/>
        </w:rPr>
      </w:pPr>
    </w:p>
    <w:p w:rsidR="007D00EB" w:rsidRDefault="007D00EB" w:rsidP="00F11756">
      <w:pPr>
        <w:jc w:val="both"/>
        <w:rPr>
          <w:rFonts w:ascii="Calibri" w:hAnsi="Calibri"/>
          <w:i/>
          <w:iCs/>
          <w:sz w:val="18"/>
          <w:szCs w:val="20"/>
        </w:rPr>
      </w:pPr>
    </w:p>
    <w:p w:rsidR="007D00EB" w:rsidRDefault="007D00EB" w:rsidP="00F11756">
      <w:pPr>
        <w:jc w:val="both"/>
        <w:rPr>
          <w:rFonts w:ascii="Calibri" w:hAnsi="Calibri"/>
          <w:i/>
          <w:iCs/>
          <w:sz w:val="18"/>
          <w:szCs w:val="20"/>
        </w:rPr>
      </w:pPr>
    </w:p>
    <w:p w:rsidR="007D00EB" w:rsidRDefault="007D00EB" w:rsidP="00F11756">
      <w:pPr>
        <w:jc w:val="both"/>
        <w:rPr>
          <w:rFonts w:ascii="Calibri" w:hAnsi="Calibri"/>
          <w:i/>
          <w:iCs/>
          <w:sz w:val="18"/>
          <w:szCs w:val="20"/>
        </w:rPr>
      </w:pPr>
    </w:p>
    <w:p w:rsidR="00F11756" w:rsidRPr="003B22DA" w:rsidRDefault="00F11756" w:rsidP="00F11756">
      <w:pPr>
        <w:jc w:val="both"/>
        <w:rPr>
          <w:rFonts w:ascii="Calibri" w:hAnsi="Calibri"/>
          <w:i/>
          <w:iCs/>
          <w:sz w:val="18"/>
          <w:szCs w:val="20"/>
        </w:rPr>
      </w:pPr>
      <w:r w:rsidRPr="003B22DA">
        <w:rPr>
          <w:rFonts w:ascii="Calibri" w:hAnsi="Calibri"/>
          <w:i/>
          <w:iCs/>
          <w:sz w:val="18"/>
          <w:szCs w:val="20"/>
        </w:rPr>
        <w:t>Źródło: Prezentacja „Zintegrowany dworzec komunikacji zbiorowej Bytom, pl. Wolskiego – koncepcja architektoniczna”, grudzień 2013 r.</w:t>
      </w:r>
    </w:p>
    <w:p w:rsidR="00F11756" w:rsidRDefault="00F11756" w:rsidP="00F11756">
      <w:pPr>
        <w:jc w:val="both"/>
        <w:rPr>
          <w:rFonts w:ascii="Calibri" w:hAnsi="Calibri"/>
          <w:szCs w:val="20"/>
        </w:rPr>
      </w:pPr>
    </w:p>
    <w:p w:rsidR="00F11756" w:rsidRDefault="00F11756" w:rsidP="00F11756">
      <w:pPr>
        <w:pStyle w:val="Legenda"/>
      </w:pPr>
      <w:bookmarkStart w:id="1056" w:name="_Toc474924994"/>
      <w:r w:rsidRPr="00284DC6">
        <w:t xml:space="preserve">Ilustracja </w:t>
      </w:r>
      <w:r w:rsidR="003972D8" w:rsidRPr="00284DC6">
        <w:fldChar w:fldCharType="begin"/>
      </w:r>
      <w:r w:rsidRPr="00284DC6">
        <w:instrText xml:space="preserve"> SEQ Ilustracja \* ARABIC </w:instrText>
      </w:r>
      <w:r w:rsidR="003972D8" w:rsidRPr="00284DC6">
        <w:fldChar w:fldCharType="separate"/>
      </w:r>
      <w:r w:rsidR="00413FFE">
        <w:rPr>
          <w:noProof/>
        </w:rPr>
        <w:t>1</w:t>
      </w:r>
      <w:r w:rsidR="003972D8" w:rsidRPr="00284DC6">
        <w:fldChar w:fldCharType="end"/>
      </w:r>
      <w:r w:rsidRPr="00284DC6">
        <w:t>. Wizualizacja dworca</w:t>
      </w:r>
      <w:bookmarkEnd w:id="1056"/>
    </w:p>
    <w:p w:rsidR="00F25856" w:rsidRPr="00F25856" w:rsidRDefault="00F25856" w:rsidP="00F25856">
      <w:r>
        <w:rPr>
          <w:noProof/>
        </w:rPr>
        <w:drawing>
          <wp:inline distT="0" distB="0" distL="0" distR="0">
            <wp:extent cx="5695950" cy="1600200"/>
            <wp:effectExtent l="19050" t="0" r="0" b="0"/>
            <wp:docPr id="26" name="Obraz 3" descr="C:\Documents and Settings\kmieszala\Pulpit\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kmieszala\Pulpit\m.jpg"/>
                    <pic:cNvPicPr>
                      <a:picLocks noChangeAspect="1" noChangeArrowheads="1"/>
                    </pic:cNvPicPr>
                  </pic:nvPicPr>
                  <pic:blipFill>
                    <a:blip r:embed="rId25" cstate="print"/>
                    <a:srcRect/>
                    <a:stretch>
                      <a:fillRect/>
                    </a:stretch>
                  </pic:blipFill>
                  <pic:spPr bwMode="auto">
                    <a:xfrm>
                      <a:off x="0" y="0"/>
                      <a:ext cx="5695950" cy="1600200"/>
                    </a:xfrm>
                    <a:prstGeom prst="rect">
                      <a:avLst/>
                    </a:prstGeom>
                    <a:noFill/>
                    <a:ln w="9525">
                      <a:noFill/>
                      <a:miter lim="800000"/>
                      <a:headEnd/>
                      <a:tailEnd/>
                    </a:ln>
                  </pic:spPr>
                </pic:pic>
              </a:graphicData>
            </a:graphic>
          </wp:inline>
        </w:drawing>
      </w:r>
    </w:p>
    <w:p w:rsidR="00F11756" w:rsidRPr="003B22DA" w:rsidRDefault="00F11756" w:rsidP="00F11756">
      <w:pPr>
        <w:jc w:val="both"/>
        <w:rPr>
          <w:rFonts w:ascii="Calibri" w:hAnsi="Calibri"/>
          <w:i/>
          <w:iCs/>
          <w:sz w:val="18"/>
          <w:szCs w:val="20"/>
        </w:rPr>
      </w:pPr>
      <w:r w:rsidRPr="003B22DA">
        <w:rPr>
          <w:rFonts w:ascii="Calibri" w:hAnsi="Calibri"/>
          <w:i/>
          <w:iCs/>
          <w:sz w:val="18"/>
          <w:szCs w:val="20"/>
        </w:rPr>
        <w:t>Źródło: Materiały MZDiM, wrzesień 2015 r.</w:t>
      </w:r>
    </w:p>
    <w:p w:rsidR="00F11756" w:rsidRPr="00C847F5" w:rsidRDefault="00F11756" w:rsidP="00F11756">
      <w:pPr>
        <w:jc w:val="both"/>
        <w:rPr>
          <w:rFonts w:ascii="Calibri" w:hAnsi="Calibri"/>
          <w:b/>
          <w:szCs w:val="20"/>
        </w:rPr>
      </w:pPr>
      <w:r w:rsidRPr="00C847F5">
        <w:rPr>
          <w:rFonts w:ascii="Calibri" w:hAnsi="Calibri"/>
          <w:b/>
          <w:szCs w:val="20"/>
        </w:rPr>
        <w:t>Wdrażanie programu ograniczania niskiej emisji przez PEC Bytom – uciepłownienie zabudowy wielorodzinnej</w:t>
      </w:r>
    </w:p>
    <w:p w:rsidR="00F11756" w:rsidRDefault="00F11756" w:rsidP="00F11756">
      <w:pPr>
        <w:ind w:firstLine="708"/>
        <w:jc w:val="both"/>
        <w:rPr>
          <w:rFonts w:ascii="Calibri" w:hAnsi="Calibri"/>
        </w:rPr>
      </w:pPr>
      <w:r>
        <w:rPr>
          <w:rFonts w:ascii="Calibri" w:hAnsi="Calibri"/>
        </w:rPr>
        <w:t xml:space="preserve">Projekt obejmuje przyłączenie do miejskiego systemu ciepłowniczego PEC Sp. z o.o. budynków mieszkalnych wielorodzinnych w Bytomiu. Inwestycja polega na budowie nowej sieci ciepłowniczej (wraz z przyłączami) oraz w pełni zautomatyzowanych węzłów cieplnych w poszczególnych budynkach. Zakres </w:t>
      </w:r>
      <w:r>
        <w:rPr>
          <w:rFonts w:ascii="Calibri" w:hAnsi="Calibri"/>
        </w:rPr>
        <w:lastRenderedPageBreak/>
        <w:t>rzeczowy przewiduje budowę ok. 50 indywidualnych węzłów cieplnych oraz ok. 4 km sieci ciepłowniczych. W ramach projektu zostało wydzielonych na terenie miasta pięć obszarów, w dzielnicach:</w:t>
      </w:r>
    </w:p>
    <w:p w:rsidR="00F11756" w:rsidRDefault="00F11756" w:rsidP="00F11756">
      <w:pPr>
        <w:ind w:left="360"/>
        <w:rPr>
          <w:rFonts w:ascii="Calibri" w:hAnsi="Calibri"/>
        </w:rPr>
      </w:pPr>
      <w:r>
        <w:rPr>
          <w:rFonts w:ascii="Calibri" w:hAnsi="Calibri"/>
        </w:rPr>
        <w:t>1.</w:t>
      </w:r>
      <w:r>
        <w:rPr>
          <w:rFonts w:ascii="Calibri" w:hAnsi="Calibri"/>
        </w:rPr>
        <w:tab/>
        <w:t>Karb w rejonie ul. Konstytucji, ul. Popiełuszki i ul. Karlika,</w:t>
      </w:r>
    </w:p>
    <w:p w:rsidR="00F11756" w:rsidRDefault="00F11756" w:rsidP="00F11756">
      <w:pPr>
        <w:ind w:left="360"/>
        <w:rPr>
          <w:rFonts w:ascii="Calibri" w:hAnsi="Calibri"/>
        </w:rPr>
      </w:pPr>
      <w:r>
        <w:rPr>
          <w:rFonts w:ascii="Calibri" w:hAnsi="Calibri"/>
        </w:rPr>
        <w:t>2.</w:t>
      </w:r>
      <w:r>
        <w:rPr>
          <w:rFonts w:ascii="Calibri" w:hAnsi="Calibri"/>
        </w:rPr>
        <w:tab/>
        <w:t>Śródmieście w rejonie Placu Grunwaldzkiego i ul. Podgórnej,</w:t>
      </w:r>
    </w:p>
    <w:p w:rsidR="00F11756" w:rsidRDefault="00F11756" w:rsidP="00F11756">
      <w:pPr>
        <w:ind w:left="360"/>
        <w:rPr>
          <w:rFonts w:ascii="Calibri" w:hAnsi="Calibri"/>
        </w:rPr>
      </w:pPr>
      <w:r>
        <w:rPr>
          <w:rFonts w:ascii="Calibri" w:hAnsi="Calibri"/>
        </w:rPr>
        <w:t>3.</w:t>
      </w:r>
      <w:r>
        <w:rPr>
          <w:rFonts w:ascii="Calibri" w:hAnsi="Calibri"/>
        </w:rPr>
        <w:tab/>
        <w:t>Śródmieście w rejonie ul. Pułaskiego,</w:t>
      </w:r>
    </w:p>
    <w:p w:rsidR="00F11756" w:rsidRDefault="00F11756" w:rsidP="00F11756">
      <w:pPr>
        <w:ind w:left="360"/>
        <w:rPr>
          <w:rFonts w:ascii="Calibri" w:hAnsi="Calibri"/>
        </w:rPr>
      </w:pPr>
      <w:r>
        <w:rPr>
          <w:rFonts w:ascii="Calibri" w:hAnsi="Calibri"/>
        </w:rPr>
        <w:t>4.</w:t>
      </w:r>
      <w:r>
        <w:rPr>
          <w:rFonts w:ascii="Calibri" w:hAnsi="Calibri"/>
        </w:rPr>
        <w:tab/>
        <w:t>Śródmieście w rejonie ul. Morcinka, al. Legionów, ul. Strzelców Bytomskich,</w:t>
      </w:r>
    </w:p>
    <w:p w:rsidR="00F11756" w:rsidRDefault="00F11756" w:rsidP="00F11756">
      <w:pPr>
        <w:ind w:left="360"/>
        <w:rPr>
          <w:rFonts w:ascii="Calibri" w:hAnsi="Calibri"/>
        </w:rPr>
      </w:pPr>
      <w:r>
        <w:rPr>
          <w:rFonts w:ascii="Calibri" w:hAnsi="Calibri"/>
        </w:rPr>
        <w:t>5.</w:t>
      </w:r>
      <w:r>
        <w:rPr>
          <w:rFonts w:ascii="Calibri" w:hAnsi="Calibri"/>
        </w:rPr>
        <w:tab/>
        <w:t>Śródmieście w rejonie ul. Wyczółkowskiego.</w:t>
      </w:r>
    </w:p>
    <w:p w:rsidR="00F11756" w:rsidRPr="00961D1B" w:rsidRDefault="00F11756" w:rsidP="00F11756">
      <w:pPr>
        <w:pStyle w:val="Tekstpodstawowy"/>
        <w:spacing w:after="0"/>
        <w:ind w:firstLine="708"/>
        <w:jc w:val="both"/>
        <w:rPr>
          <w:szCs w:val="20"/>
        </w:rPr>
      </w:pPr>
      <w:r w:rsidRPr="00961D1B">
        <w:rPr>
          <w:szCs w:val="20"/>
        </w:rPr>
        <w:t>Do najważniejszych korzyści wynikających z realizacji ww. projektu należy zaliczyć: zapewnienie bezpiecznych dostaw Ciepła Systemowego, ograniczenie poziomu niskiej emisji oraz wyeliminowanie zagrożenia występowania czadu w mieszkaniach dzięki likwidacji nieefektywnych pieców węglowych i</w:t>
      </w:r>
      <w:r>
        <w:rPr>
          <w:szCs w:val="20"/>
        </w:rPr>
        <w:t> </w:t>
      </w:r>
      <w:r w:rsidRPr="00961D1B">
        <w:rPr>
          <w:szCs w:val="20"/>
        </w:rPr>
        <w:t>gazowych, a także kotłowni lokalnych.</w:t>
      </w:r>
      <w:r>
        <w:rPr>
          <w:szCs w:val="20"/>
        </w:rPr>
        <w:t xml:space="preserve"> </w:t>
      </w:r>
      <w:r w:rsidRPr="00961D1B">
        <w:rPr>
          <w:szCs w:val="20"/>
        </w:rPr>
        <w:t>Projekt ten obejmuje część ulic zlokalizowanych w podobszarze rewitalizacji 10 Śródmieście (pkt 2). Pozostałe obszary zlokalizowane są w bliskim sąsiedztwie podobszarów rewitalizacji i będzie tam odczuwalne oddziaływanie projektu (ograniczenie zanieczyszczenia środowiska).  Projekt w sposób szczególny komplementarny jest z projektami z zakresu termomodernizacji zaplanowanymi do realizacji</w:t>
      </w:r>
      <w:r>
        <w:rPr>
          <w:szCs w:val="20"/>
        </w:rPr>
        <w:t xml:space="preserve"> </w:t>
      </w:r>
      <w:r w:rsidRPr="00961D1B">
        <w:rPr>
          <w:szCs w:val="20"/>
        </w:rPr>
        <w:t>w obszarze rewitalizacji (w tym kamienic mieszkalnych będących w zasobach gminy oraz budynków użyteczności publicznej). Poprawa stanu środowiska w mieście oraz podniesienie standardu budynków mieszkalnych wesprze procesy rewitalizacyjne.</w:t>
      </w:r>
    </w:p>
    <w:p w:rsidR="00F11756" w:rsidRDefault="00F11756" w:rsidP="00F11756">
      <w:pPr>
        <w:jc w:val="both"/>
        <w:rPr>
          <w:rFonts w:ascii="Calibri" w:hAnsi="Calibri"/>
          <w:szCs w:val="20"/>
        </w:rPr>
      </w:pPr>
    </w:p>
    <w:p w:rsidR="00F11756" w:rsidRDefault="00F11756" w:rsidP="00F11756">
      <w:pPr>
        <w:pStyle w:val="Tekstpodstawowy2"/>
        <w:rPr>
          <w:rFonts w:ascii="Calibri" w:hAnsi="Calibri"/>
          <w:b/>
          <w:szCs w:val="20"/>
        </w:rPr>
      </w:pPr>
      <w:r>
        <w:rPr>
          <w:rFonts w:ascii="Calibri" w:hAnsi="Calibri"/>
          <w:b/>
          <w:szCs w:val="20"/>
        </w:rPr>
        <w:t>Poprawa efektywności energetycznej Gminy Bytom poprzez mod</w:t>
      </w:r>
      <w:r w:rsidR="00A53C11">
        <w:rPr>
          <w:rFonts w:ascii="Calibri" w:hAnsi="Calibri"/>
          <w:b/>
          <w:szCs w:val="20"/>
        </w:rPr>
        <w:t>ernizację oświetlenia drogowego</w:t>
      </w:r>
    </w:p>
    <w:p w:rsidR="00F11756" w:rsidRDefault="00F11756" w:rsidP="002924F7">
      <w:pPr>
        <w:ind w:firstLine="708"/>
        <w:jc w:val="both"/>
        <w:rPr>
          <w:rFonts w:ascii="Calibri" w:hAnsi="Calibri"/>
          <w:szCs w:val="20"/>
        </w:rPr>
      </w:pPr>
      <w:r>
        <w:rPr>
          <w:rFonts w:ascii="Calibri" w:hAnsi="Calibri"/>
          <w:szCs w:val="20"/>
        </w:rPr>
        <w:t xml:space="preserve">Projekt dotyczy poprawy efektywności energetycznej poprzez modernizację oświetlenia drogowego (montaż nowych punktów oświetleniowych i wymianę starych) na obszarze całego miasta. Zakres modernizacji obejmuje jedynie punkty świetlne, których właścicielem jest Gmina Bytom. </w:t>
      </w:r>
    </w:p>
    <w:p w:rsidR="00F11756" w:rsidRDefault="00F11756" w:rsidP="00F11756">
      <w:pPr>
        <w:jc w:val="both"/>
        <w:rPr>
          <w:rFonts w:ascii="Calibri" w:hAnsi="Calibri"/>
          <w:szCs w:val="20"/>
        </w:rPr>
      </w:pPr>
      <w:r>
        <w:rPr>
          <w:rFonts w:ascii="Calibri" w:hAnsi="Calibri"/>
          <w:szCs w:val="20"/>
        </w:rPr>
        <w:t>Część działań w projekcie w zakresie modernizacji oświetlenia drogowego dotyczy podobszarów rewitalizacji:</w:t>
      </w:r>
    </w:p>
    <w:p w:rsidR="00F11756" w:rsidRDefault="00F11756" w:rsidP="00BC3DE7">
      <w:pPr>
        <w:ind w:left="357"/>
        <w:jc w:val="both"/>
        <w:rPr>
          <w:rFonts w:ascii="Calibri" w:hAnsi="Calibri"/>
          <w:szCs w:val="20"/>
        </w:rPr>
      </w:pPr>
      <w:r>
        <w:rPr>
          <w:rFonts w:ascii="Calibri" w:hAnsi="Calibri"/>
          <w:szCs w:val="20"/>
        </w:rPr>
        <w:t xml:space="preserve">8 – Bobrek, </w:t>
      </w:r>
    </w:p>
    <w:p w:rsidR="00F11756" w:rsidRDefault="00F11756" w:rsidP="00BC3DE7">
      <w:pPr>
        <w:ind w:left="357"/>
        <w:jc w:val="both"/>
        <w:rPr>
          <w:rFonts w:ascii="Calibri" w:hAnsi="Calibri"/>
          <w:szCs w:val="20"/>
        </w:rPr>
      </w:pPr>
      <w:r>
        <w:rPr>
          <w:rFonts w:ascii="Calibri" w:hAnsi="Calibri"/>
          <w:szCs w:val="20"/>
        </w:rPr>
        <w:t>10 – Śródmieście,</w:t>
      </w:r>
    </w:p>
    <w:p w:rsidR="00F11756" w:rsidRDefault="00F11756" w:rsidP="00BC3DE7">
      <w:pPr>
        <w:ind w:left="357"/>
        <w:jc w:val="both"/>
        <w:rPr>
          <w:rFonts w:ascii="Calibri" w:hAnsi="Calibri"/>
          <w:szCs w:val="20"/>
        </w:rPr>
      </w:pPr>
      <w:r>
        <w:rPr>
          <w:rFonts w:ascii="Calibri" w:hAnsi="Calibri"/>
          <w:szCs w:val="20"/>
        </w:rPr>
        <w:t>11 – Śródmieście Zachód,</w:t>
      </w:r>
    </w:p>
    <w:p w:rsidR="00F11756" w:rsidRDefault="00F11756" w:rsidP="00BC3DE7">
      <w:pPr>
        <w:ind w:left="357"/>
        <w:jc w:val="both"/>
        <w:rPr>
          <w:rFonts w:ascii="Calibri" w:hAnsi="Calibri"/>
          <w:szCs w:val="20"/>
        </w:rPr>
      </w:pPr>
      <w:r>
        <w:rPr>
          <w:rFonts w:ascii="Calibri" w:hAnsi="Calibri"/>
          <w:szCs w:val="20"/>
        </w:rPr>
        <w:t>12 – Rozbark,</w:t>
      </w:r>
    </w:p>
    <w:p w:rsidR="00F11756" w:rsidRDefault="00F11756" w:rsidP="00BC3DE7">
      <w:pPr>
        <w:ind w:left="357"/>
        <w:jc w:val="both"/>
        <w:rPr>
          <w:rFonts w:ascii="Calibri" w:hAnsi="Calibri"/>
          <w:szCs w:val="20"/>
        </w:rPr>
      </w:pPr>
      <w:r>
        <w:rPr>
          <w:rFonts w:ascii="Calibri" w:hAnsi="Calibri"/>
          <w:szCs w:val="20"/>
        </w:rPr>
        <w:t>13 – Śródmieście Północ,</w:t>
      </w:r>
    </w:p>
    <w:p w:rsidR="00F11756" w:rsidRDefault="00F11756" w:rsidP="00BC3DE7">
      <w:pPr>
        <w:ind w:left="357"/>
        <w:jc w:val="both"/>
        <w:rPr>
          <w:rFonts w:ascii="Calibri" w:hAnsi="Calibri"/>
          <w:szCs w:val="20"/>
        </w:rPr>
      </w:pPr>
      <w:r>
        <w:rPr>
          <w:rFonts w:ascii="Calibri" w:hAnsi="Calibri"/>
          <w:szCs w:val="20"/>
        </w:rPr>
        <w:t>19 – Kolonia Zgorzelec,</w:t>
      </w:r>
    </w:p>
    <w:p w:rsidR="00F11756" w:rsidRDefault="003940A2" w:rsidP="003940A2">
      <w:pPr>
        <w:ind w:left="357"/>
        <w:jc w:val="both"/>
        <w:rPr>
          <w:rFonts w:ascii="Calibri" w:hAnsi="Calibri"/>
          <w:szCs w:val="20"/>
        </w:rPr>
      </w:pPr>
      <w:r>
        <w:rPr>
          <w:rFonts w:ascii="Calibri" w:hAnsi="Calibri"/>
          <w:szCs w:val="20"/>
        </w:rPr>
        <w:t>24 – T</w:t>
      </w:r>
      <w:r w:rsidR="00F11756">
        <w:rPr>
          <w:rFonts w:ascii="Calibri" w:hAnsi="Calibri"/>
          <w:szCs w:val="20"/>
        </w:rPr>
        <w:t xml:space="preserve">eren danej KWK Rozbark (granica podobszaru), </w:t>
      </w:r>
    </w:p>
    <w:p w:rsidR="00F11756" w:rsidRDefault="003940A2" w:rsidP="00BC3DE7">
      <w:pPr>
        <w:ind w:left="357"/>
        <w:jc w:val="both"/>
        <w:rPr>
          <w:rFonts w:ascii="Calibri" w:hAnsi="Calibri"/>
          <w:szCs w:val="20"/>
        </w:rPr>
      </w:pPr>
      <w:r>
        <w:rPr>
          <w:rFonts w:ascii="Calibri" w:hAnsi="Calibri"/>
          <w:szCs w:val="20"/>
        </w:rPr>
        <w:t>27 – T</w:t>
      </w:r>
      <w:r w:rsidR="00F11756">
        <w:rPr>
          <w:rFonts w:ascii="Calibri" w:hAnsi="Calibri"/>
          <w:szCs w:val="20"/>
        </w:rPr>
        <w:t xml:space="preserve">eren KWK Centrum (granica podobszaru), </w:t>
      </w:r>
    </w:p>
    <w:p w:rsidR="00F11756" w:rsidRDefault="00F11756" w:rsidP="00BC3DE7">
      <w:pPr>
        <w:ind w:left="357"/>
        <w:jc w:val="both"/>
        <w:rPr>
          <w:rFonts w:ascii="Calibri" w:hAnsi="Calibri"/>
          <w:szCs w:val="20"/>
        </w:rPr>
      </w:pPr>
      <w:r>
        <w:rPr>
          <w:rFonts w:ascii="Calibri" w:hAnsi="Calibri"/>
          <w:szCs w:val="20"/>
        </w:rPr>
        <w:t xml:space="preserve">28 – </w:t>
      </w:r>
      <w:r w:rsidR="003940A2" w:rsidRPr="00B0289F">
        <w:rPr>
          <w:rFonts w:cs="Calibri"/>
          <w:szCs w:val="20"/>
        </w:rPr>
        <w:t>Teren inwestycyjny – Bytom Miechowice</w:t>
      </w:r>
      <w:r>
        <w:rPr>
          <w:rFonts w:ascii="Calibri" w:hAnsi="Calibri"/>
          <w:szCs w:val="20"/>
        </w:rPr>
        <w:t>.</w:t>
      </w:r>
    </w:p>
    <w:p w:rsidR="00F11756" w:rsidRDefault="00F11756" w:rsidP="00F11756">
      <w:pPr>
        <w:jc w:val="both"/>
        <w:rPr>
          <w:rFonts w:ascii="Calibri" w:hAnsi="Calibri"/>
          <w:szCs w:val="20"/>
        </w:rPr>
      </w:pPr>
      <w:r>
        <w:rPr>
          <w:rFonts w:ascii="Calibri" w:hAnsi="Calibri"/>
          <w:szCs w:val="20"/>
        </w:rPr>
        <w:t>Działania te wzmocnią pozytywny efekt procesu rewitalizacji, w szczególności przyczynią się do poprawy stanu infrastruktury w otoczeniu życia mieszkańców i jakości przestrzeni miejskiej oraz poprawy stanu bezpieczeństwa mieszkańców.</w:t>
      </w:r>
    </w:p>
    <w:p w:rsidR="00F11756" w:rsidRDefault="00F11756" w:rsidP="00F11756">
      <w:pPr>
        <w:jc w:val="both"/>
        <w:rPr>
          <w:rFonts w:ascii="Calibri" w:hAnsi="Calibri"/>
          <w:szCs w:val="20"/>
        </w:rPr>
      </w:pPr>
    </w:p>
    <w:p w:rsidR="00F11756" w:rsidRDefault="00F11756" w:rsidP="00F11756">
      <w:pPr>
        <w:jc w:val="both"/>
        <w:rPr>
          <w:rFonts w:ascii="Calibri" w:hAnsi="Calibri"/>
          <w:b/>
          <w:szCs w:val="20"/>
        </w:rPr>
      </w:pPr>
      <w:r>
        <w:rPr>
          <w:rFonts w:ascii="Calibri" w:hAnsi="Calibri"/>
          <w:b/>
          <w:szCs w:val="20"/>
        </w:rPr>
        <w:t>Budowa kompleksu s</w:t>
      </w:r>
      <w:r w:rsidR="00A53C11">
        <w:rPr>
          <w:rFonts w:ascii="Calibri" w:hAnsi="Calibri"/>
          <w:b/>
          <w:szCs w:val="20"/>
        </w:rPr>
        <w:t>portowego przy ul. Olimpijskiej</w:t>
      </w:r>
    </w:p>
    <w:p w:rsidR="00F11756" w:rsidRDefault="00F11756" w:rsidP="002924F7">
      <w:pPr>
        <w:ind w:firstLine="708"/>
        <w:jc w:val="both"/>
        <w:rPr>
          <w:rFonts w:ascii="Calibri" w:hAnsi="Calibri"/>
          <w:szCs w:val="20"/>
        </w:rPr>
      </w:pPr>
      <w:r>
        <w:rPr>
          <w:rFonts w:ascii="Calibri" w:hAnsi="Calibri"/>
          <w:szCs w:val="20"/>
        </w:rPr>
        <w:t>Projekt dotyczy budowy kompleksowej infrastruktury sportowej dla mieszkańców miasta i lokalnych klubów sportowych, która stanie się miejscem koncentracji życia sportowego i społecznego miasta. W kompleksie zaplanowano:</w:t>
      </w:r>
    </w:p>
    <w:p w:rsidR="00F11756" w:rsidRDefault="00F11756" w:rsidP="00377B0D">
      <w:pPr>
        <w:numPr>
          <w:ilvl w:val="0"/>
          <w:numId w:val="13"/>
        </w:numPr>
        <w:tabs>
          <w:tab w:val="clear" w:pos="1065"/>
        </w:tabs>
        <w:ind w:left="714" w:hanging="357"/>
        <w:jc w:val="both"/>
        <w:rPr>
          <w:rFonts w:ascii="Calibri" w:hAnsi="Calibri"/>
          <w:szCs w:val="20"/>
        </w:rPr>
      </w:pPr>
      <w:r>
        <w:rPr>
          <w:rFonts w:ascii="Calibri" w:hAnsi="Calibri"/>
          <w:szCs w:val="20"/>
        </w:rPr>
        <w:t>Halę widowiskowo-lodowiskową (lodowisko główne) wraz z halą lodowiskowo-treningową,</w:t>
      </w:r>
    </w:p>
    <w:p w:rsidR="00F11756" w:rsidRDefault="00F11756" w:rsidP="00377B0D">
      <w:pPr>
        <w:numPr>
          <w:ilvl w:val="0"/>
          <w:numId w:val="13"/>
        </w:numPr>
        <w:tabs>
          <w:tab w:val="clear" w:pos="1065"/>
        </w:tabs>
        <w:ind w:left="714" w:hanging="357"/>
        <w:jc w:val="both"/>
        <w:rPr>
          <w:rFonts w:ascii="Calibri" w:hAnsi="Calibri"/>
          <w:szCs w:val="20"/>
        </w:rPr>
      </w:pPr>
      <w:r w:rsidRPr="00EE3D4A">
        <w:rPr>
          <w:rFonts w:ascii="Calibri" w:hAnsi="Calibri"/>
          <w:szCs w:val="20"/>
        </w:rPr>
        <w:t>Stadion Piłkarski i Strefę Piłkarzy,</w:t>
      </w:r>
    </w:p>
    <w:p w:rsidR="00F11756" w:rsidRDefault="00F11756" w:rsidP="00377B0D">
      <w:pPr>
        <w:numPr>
          <w:ilvl w:val="0"/>
          <w:numId w:val="13"/>
        </w:numPr>
        <w:tabs>
          <w:tab w:val="clear" w:pos="1065"/>
        </w:tabs>
        <w:ind w:left="714" w:hanging="357"/>
        <w:jc w:val="both"/>
        <w:rPr>
          <w:rFonts w:ascii="Calibri" w:hAnsi="Calibri"/>
          <w:szCs w:val="20"/>
        </w:rPr>
      </w:pPr>
      <w:r w:rsidRPr="00EE3D4A">
        <w:rPr>
          <w:rFonts w:ascii="Calibri" w:hAnsi="Calibri"/>
          <w:szCs w:val="20"/>
        </w:rPr>
        <w:t>Strefę basenową,</w:t>
      </w:r>
    </w:p>
    <w:p w:rsidR="00F11756" w:rsidRDefault="00F11756" w:rsidP="00377B0D">
      <w:pPr>
        <w:numPr>
          <w:ilvl w:val="0"/>
          <w:numId w:val="13"/>
        </w:numPr>
        <w:tabs>
          <w:tab w:val="clear" w:pos="1065"/>
        </w:tabs>
        <w:ind w:left="714" w:hanging="357"/>
        <w:jc w:val="both"/>
        <w:rPr>
          <w:rFonts w:ascii="Calibri" w:hAnsi="Calibri"/>
          <w:szCs w:val="20"/>
        </w:rPr>
      </w:pPr>
      <w:r w:rsidRPr="00EE3D4A">
        <w:rPr>
          <w:rFonts w:ascii="Calibri" w:hAnsi="Calibri"/>
          <w:szCs w:val="20"/>
        </w:rPr>
        <w:t>Strefę SPA,</w:t>
      </w:r>
    </w:p>
    <w:p w:rsidR="00F11756" w:rsidRDefault="00F11756" w:rsidP="00377B0D">
      <w:pPr>
        <w:numPr>
          <w:ilvl w:val="0"/>
          <w:numId w:val="13"/>
        </w:numPr>
        <w:tabs>
          <w:tab w:val="clear" w:pos="1065"/>
        </w:tabs>
        <w:ind w:left="714" w:hanging="357"/>
        <w:jc w:val="both"/>
        <w:rPr>
          <w:rFonts w:ascii="Calibri" w:hAnsi="Calibri"/>
          <w:szCs w:val="20"/>
        </w:rPr>
      </w:pPr>
      <w:r w:rsidRPr="00EE3D4A">
        <w:rPr>
          <w:rFonts w:ascii="Calibri" w:hAnsi="Calibri"/>
          <w:szCs w:val="20"/>
        </w:rPr>
        <w:t>Strefę fitness z siłownią,</w:t>
      </w:r>
    </w:p>
    <w:p w:rsidR="00F11756" w:rsidRDefault="00F11756" w:rsidP="00377B0D">
      <w:pPr>
        <w:numPr>
          <w:ilvl w:val="0"/>
          <w:numId w:val="13"/>
        </w:numPr>
        <w:tabs>
          <w:tab w:val="clear" w:pos="1065"/>
        </w:tabs>
        <w:ind w:left="714" w:hanging="357"/>
        <w:jc w:val="both"/>
        <w:rPr>
          <w:rFonts w:ascii="Calibri" w:hAnsi="Calibri"/>
          <w:szCs w:val="20"/>
        </w:rPr>
      </w:pPr>
      <w:r w:rsidRPr="00EE3D4A">
        <w:rPr>
          <w:rFonts w:ascii="Calibri" w:hAnsi="Calibri"/>
          <w:szCs w:val="20"/>
        </w:rPr>
        <w:t xml:space="preserve">Strefę hotelowo-restauracyjną, </w:t>
      </w:r>
    </w:p>
    <w:p w:rsidR="00F11756" w:rsidRDefault="00F11756" w:rsidP="00377B0D">
      <w:pPr>
        <w:numPr>
          <w:ilvl w:val="0"/>
          <w:numId w:val="13"/>
        </w:numPr>
        <w:tabs>
          <w:tab w:val="clear" w:pos="1065"/>
        </w:tabs>
        <w:ind w:left="714" w:hanging="357"/>
        <w:jc w:val="both"/>
        <w:rPr>
          <w:rFonts w:ascii="Calibri" w:hAnsi="Calibri"/>
          <w:szCs w:val="20"/>
        </w:rPr>
      </w:pPr>
      <w:r w:rsidRPr="00EE3D4A">
        <w:rPr>
          <w:rFonts w:ascii="Calibri" w:hAnsi="Calibri"/>
          <w:szCs w:val="20"/>
        </w:rPr>
        <w:t>Strefę squasha,</w:t>
      </w:r>
    </w:p>
    <w:p w:rsidR="00F11756" w:rsidRDefault="00F11756" w:rsidP="00377B0D">
      <w:pPr>
        <w:numPr>
          <w:ilvl w:val="0"/>
          <w:numId w:val="13"/>
        </w:numPr>
        <w:tabs>
          <w:tab w:val="clear" w:pos="1065"/>
        </w:tabs>
        <w:ind w:left="714" w:hanging="357"/>
        <w:jc w:val="both"/>
        <w:rPr>
          <w:rFonts w:ascii="Calibri" w:hAnsi="Calibri"/>
          <w:szCs w:val="20"/>
        </w:rPr>
      </w:pPr>
      <w:r w:rsidRPr="00EE3D4A">
        <w:rPr>
          <w:rFonts w:ascii="Calibri" w:hAnsi="Calibri"/>
          <w:szCs w:val="20"/>
        </w:rPr>
        <w:t xml:space="preserve">Salę konferencyjną z zapleczem, </w:t>
      </w:r>
    </w:p>
    <w:p w:rsidR="00F11756" w:rsidRPr="00EE3D4A" w:rsidRDefault="00F11756" w:rsidP="00377B0D">
      <w:pPr>
        <w:numPr>
          <w:ilvl w:val="0"/>
          <w:numId w:val="13"/>
        </w:numPr>
        <w:tabs>
          <w:tab w:val="clear" w:pos="1065"/>
        </w:tabs>
        <w:spacing w:after="120"/>
        <w:ind w:left="714" w:hanging="357"/>
        <w:jc w:val="both"/>
        <w:rPr>
          <w:rFonts w:ascii="Calibri" w:hAnsi="Calibri"/>
          <w:szCs w:val="20"/>
        </w:rPr>
      </w:pPr>
      <w:r w:rsidRPr="00EE3D4A">
        <w:rPr>
          <w:rFonts w:ascii="Calibri" w:hAnsi="Calibri"/>
          <w:szCs w:val="20"/>
        </w:rPr>
        <w:t>Pomieszczenia biurowe, zaplecze techniczno-socjalne.</w:t>
      </w:r>
    </w:p>
    <w:p w:rsidR="00F11756" w:rsidRDefault="00F11756" w:rsidP="00F11756">
      <w:pPr>
        <w:jc w:val="both"/>
        <w:rPr>
          <w:rFonts w:ascii="Calibri" w:hAnsi="Calibri"/>
          <w:szCs w:val="20"/>
        </w:rPr>
      </w:pPr>
      <w:r>
        <w:rPr>
          <w:rFonts w:ascii="Calibri" w:hAnsi="Calibri"/>
          <w:szCs w:val="20"/>
        </w:rPr>
        <w:t>Potrzeba realizacji inwestycji wynika z braku na terenie Bytomia nowoczesnej, scentralizowanej infrastruktury, umożliwiającej zarówno mieszkańcom jak i turystom korzystanie z wysokiej klasy zaplecza do uprawiania sportów oraz organizacji imprez widowiskowo-sportowych.</w:t>
      </w:r>
    </w:p>
    <w:p w:rsidR="00F11756" w:rsidRDefault="00F11756" w:rsidP="00F11756">
      <w:pPr>
        <w:pStyle w:val="Tekstpodstawowy"/>
        <w:spacing w:after="0"/>
        <w:jc w:val="both"/>
        <w:rPr>
          <w:rFonts w:ascii="Calibri" w:hAnsi="Calibri"/>
          <w:szCs w:val="20"/>
        </w:rPr>
      </w:pPr>
      <w:r>
        <w:rPr>
          <w:rFonts w:ascii="Calibri" w:hAnsi="Calibri"/>
          <w:szCs w:val="20"/>
        </w:rPr>
        <w:lastRenderedPageBreak/>
        <w:t xml:space="preserve">Projekt zlokalizowany ma być w sąsiedztwie podobszaru rewitalizacji 27 teren KWK Centrum. Realizacja projektu wspierać będzie działania w zakresie rewitalizacji, m.in. poprzez umożliwienie osobom z obszaru rewitalizowanego korzystanie z wybudowanych obiektów, w szczególności w ramach realizowanych nieinwestycyjnych projektów rewitalizacji społecznej (np. zajęcia sportowe dla osób z rodzin zagrożonych wykluczeniem społecznym). </w:t>
      </w:r>
    </w:p>
    <w:p w:rsidR="00F11756" w:rsidRDefault="00F11756" w:rsidP="00F11756">
      <w:pPr>
        <w:ind w:right="72"/>
        <w:jc w:val="both"/>
        <w:rPr>
          <w:rFonts w:cs="Calibri"/>
          <w:szCs w:val="20"/>
        </w:rPr>
      </w:pPr>
    </w:p>
    <w:p w:rsidR="000C70A4" w:rsidRPr="00B1011A" w:rsidRDefault="000C70A4" w:rsidP="000809E2">
      <w:pPr>
        <w:pStyle w:val="Nagwek3"/>
        <w:numPr>
          <w:ilvl w:val="2"/>
          <w:numId w:val="296"/>
        </w:numPr>
        <w:spacing w:after="120"/>
      </w:pPr>
      <w:bookmarkStart w:id="1057" w:name="_Toc460313271"/>
      <w:bookmarkStart w:id="1058" w:name="_Toc474924878"/>
      <w:r w:rsidRPr="00B1011A">
        <w:t>Regionalne dokumenty strategiczne i programowe</w:t>
      </w:r>
      <w:bookmarkEnd w:id="1057"/>
      <w:bookmarkEnd w:id="1058"/>
    </w:p>
    <w:p w:rsidR="00531E1F" w:rsidRDefault="00531E1F" w:rsidP="00531E1F">
      <w:pPr>
        <w:pStyle w:val="Nagwek4"/>
        <w:spacing w:before="0" w:after="0"/>
        <w:rPr>
          <w:rFonts w:cs="Calibri"/>
          <w:b w:val="0"/>
          <w:i w:val="0"/>
          <w:sz w:val="20"/>
          <w:szCs w:val="22"/>
        </w:rPr>
      </w:pPr>
      <w:bookmarkStart w:id="1059" w:name="_Toc366663282"/>
      <w:bookmarkStart w:id="1060" w:name="_Toc460313272"/>
    </w:p>
    <w:p w:rsidR="001536C6" w:rsidRDefault="001536C6" w:rsidP="002924F7">
      <w:pPr>
        <w:pStyle w:val="Tekstpodstawowy2"/>
        <w:autoSpaceDE/>
        <w:autoSpaceDN/>
        <w:adjustRightInd/>
        <w:ind w:firstLine="708"/>
        <w:rPr>
          <w:rFonts w:ascii="Calibri" w:hAnsi="Calibri" w:cs="Calibri"/>
          <w:szCs w:val="20"/>
        </w:rPr>
      </w:pPr>
      <w:r>
        <w:rPr>
          <w:rFonts w:ascii="Calibri" w:hAnsi="Calibri" w:cs="Calibri"/>
          <w:szCs w:val="20"/>
        </w:rPr>
        <w:t>Duże natężenie problemów społecznych, gospodarczych, przestrzennych oraz środowiskowych i związana z tym koniecznoś</w:t>
      </w:r>
      <w:r>
        <w:rPr>
          <w:rFonts w:cs="Calibri"/>
          <w:szCs w:val="20"/>
        </w:rPr>
        <w:t>ć</w:t>
      </w:r>
      <w:r>
        <w:rPr>
          <w:rFonts w:ascii="Calibri" w:hAnsi="Calibri" w:cs="Calibri"/>
          <w:szCs w:val="20"/>
        </w:rPr>
        <w:t xml:space="preserve"> kompleksowej rewitalizacji Bytomia wskazane zostały również w regionalnych dokumentach strategicznych i programowych.</w:t>
      </w:r>
    </w:p>
    <w:p w:rsidR="001536C6" w:rsidRPr="001536C6" w:rsidRDefault="001536C6" w:rsidP="001536C6"/>
    <w:p w:rsidR="001F04D8" w:rsidRPr="00BF1DF2" w:rsidRDefault="000C70A4" w:rsidP="00463955">
      <w:pPr>
        <w:pStyle w:val="Nagwek4"/>
        <w:shd w:val="clear" w:color="auto" w:fill="F2F2F2" w:themeFill="background1" w:themeFillShade="F2"/>
        <w:spacing w:before="0" w:after="0"/>
        <w:rPr>
          <w:rFonts w:cs="Calibri"/>
          <w:i w:val="0"/>
          <w:color w:val="0070C0"/>
          <w:szCs w:val="22"/>
        </w:rPr>
      </w:pPr>
      <w:r w:rsidRPr="00BF1DF2">
        <w:rPr>
          <w:rFonts w:cs="Calibri"/>
          <w:i w:val="0"/>
          <w:color w:val="0070C0"/>
          <w:szCs w:val="22"/>
        </w:rPr>
        <w:t>Strategia Rozwoju Wo</w:t>
      </w:r>
      <w:r w:rsidR="00BC579B" w:rsidRPr="00BF1DF2">
        <w:rPr>
          <w:rFonts w:cs="Calibri"/>
          <w:i w:val="0"/>
          <w:color w:val="0070C0"/>
          <w:szCs w:val="22"/>
        </w:rPr>
        <w:t>jewództwa Śląskiego  „ŚLĄSKIE 203</w:t>
      </w:r>
      <w:r w:rsidR="000E3FEE">
        <w:rPr>
          <w:rFonts w:cs="Calibri"/>
          <w:i w:val="0"/>
          <w:color w:val="0070C0"/>
          <w:szCs w:val="22"/>
        </w:rPr>
        <w:t>0</w:t>
      </w:r>
      <w:r w:rsidRPr="00BF1DF2">
        <w:rPr>
          <w:rFonts w:cs="Calibri"/>
          <w:i w:val="0"/>
          <w:color w:val="0070C0"/>
          <w:szCs w:val="22"/>
        </w:rPr>
        <w:t>”</w:t>
      </w:r>
      <w:bookmarkEnd w:id="1059"/>
      <w:bookmarkEnd w:id="1060"/>
      <w:r w:rsidR="00BC579B" w:rsidRPr="00BF1DF2">
        <w:rPr>
          <w:rFonts w:cs="Calibri"/>
          <w:i w:val="0"/>
          <w:color w:val="0070C0"/>
          <w:szCs w:val="22"/>
        </w:rPr>
        <w:t xml:space="preserve">  Zielone Śląskie</w:t>
      </w:r>
    </w:p>
    <w:p w:rsidR="00A321EC" w:rsidRPr="00BF1DF2" w:rsidRDefault="000C70A4" w:rsidP="00463955">
      <w:pPr>
        <w:pStyle w:val="Tekstpodstawowy2"/>
        <w:shd w:val="clear" w:color="auto" w:fill="F2F2F2" w:themeFill="background1" w:themeFillShade="F2"/>
        <w:autoSpaceDE/>
        <w:autoSpaceDN/>
        <w:adjustRightInd/>
        <w:spacing w:before="120"/>
        <w:ind w:firstLine="708"/>
        <w:rPr>
          <w:szCs w:val="20"/>
        </w:rPr>
      </w:pPr>
      <w:r w:rsidRPr="00BF1DF2">
        <w:rPr>
          <w:rFonts w:ascii="Calibri" w:hAnsi="Calibri" w:cs="Calibri"/>
          <w:szCs w:val="20"/>
        </w:rPr>
        <w:t xml:space="preserve">W strategii </w:t>
      </w:r>
      <w:r w:rsidR="00A321EC" w:rsidRPr="00BF1DF2">
        <w:rPr>
          <w:rFonts w:ascii="Calibri" w:hAnsi="Calibri" w:cs="Calibri"/>
          <w:szCs w:val="20"/>
        </w:rPr>
        <w:t>przyjętej w październiku 2020</w:t>
      </w:r>
      <w:r w:rsidR="001536C6" w:rsidRPr="00BF1DF2">
        <w:rPr>
          <w:rFonts w:ascii="Calibri" w:hAnsi="Calibri" w:cs="Calibri"/>
          <w:szCs w:val="20"/>
        </w:rPr>
        <w:t xml:space="preserve"> r. </w:t>
      </w:r>
      <w:r w:rsidRPr="00BF1DF2">
        <w:rPr>
          <w:rFonts w:ascii="Calibri" w:hAnsi="Calibri" w:cs="Calibri"/>
          <w:szCs w:val="20"/>
        </w:rPr>
        <w:t xml:space="preserve">założono, że województwo śląskie </w:t>
      </w:r>
      <w:r w:rsidR="00A321EC" w:rsidRPr="00BF1DF2">
        <w:rPr>
          <w:szCs w:val="20"/>
        </w:rPr>
        <w:t>będzie nowoczesnym regionem europejskim o konkurencyjnej gospodarce, będącej efektem odpowiedzialnej transformacji, zapewniającym możliwości rozwoju swoim mieszkańcom i oferującym wysoką jakość życia w czystym śro</w:t>
      </w:r>
      <w:r w:rsidR="00BA4D91" w:rsidRPr="00BF1DF2">
        <w:rPr>
          <w:szCs w:val="20"/>
        </w:rPr>
        <w:t>dowisku. Osiągnięcie nakreślonej w dokumencie</w:t>
      </w:r>
      <w:r w:rsidR="00A321EC" w:rsidRPr="00BF1DF2">
        <w:rPr>
          <w:szCs w:val="20"/>
        </w:rPr>
        <w:t xml:space="preserve"> wizji rozwoju wymagać będzie koncentracji działań na czterech celach strategicznych, dla których sformułowano cele operacyjne w perspektywie do roku 2030.</w:t>
      </w:r>
    </w:p>
    <w:p w:rsidR="00A321EC" w:rsidRPr="00BF1DF2" w:rsidRDefault="00A321EC" w:rsidP="00463955">
      <w:pPr>
        <w:shd w:val="clear" w:color="auto" w:fill="F2F2F2" w:themeFill="background1" w:themeFillShade="F2"/>
        <w:spacing w:before="120"/>
        <w:ind w:firstLine="708"/>
        <w:jc w:val="both"/>
        <w:rPr>
          <w:rFonts w:ascii="Calibri" w:hAnsi="Calibri" w:cs="Calibri"/>
          <w:szCs w:val="20"/>
        </w:rPr>
      </w:pPr>
      <w:r w:rsidRPr="00BF1DF2">
        <w:rPr>
          <w:rFonts w:ascii="Calibri" w:hAnsi="Calibri" w:cs="Calibri"/>
          <w:szCs w:val="20"/>
        </w:rPr>
        <w:t xml:space="preserve">Cel strategiczny A – Województwo </w:t>
      </w:r>
      <w:r w:rsidRPr="00BF1DF2">
        <w:t>śląskie regionem odpowiedzialnej transformacji gospodarczej</w:t>
      </w:r>
    </w:p>
    <w:p w:rsidR="00BA4D91" w:rsidRPr="00BF1DF2" w:rsidRDefault="00A321EC" w:rsidP="00463955">
      <w:pPr>
        <w:shd w:val="clear" w:color="auto" w:fill="F2F2F2" w:themeFill="background1" w:themeFillShade="F2"/>
        <w:ind w:firstLine="709"/>
        <w:jc w:val="both"/>
      </w:pPr>
      <w:r w:rsidRPr="00BF1DF2">
        <w:t>Cele operacyjne</w:t>
      </w:r>
      <w:r w:rsidR="00BA4D91" w:rsidRPr="00BF1DF2">
        <w:t>:</w:t>
      </w:r>
    </w:p>
    <w:p w:rsidR="00BA4D91" w:rsidRPr="00BF1DF2" w:rsidRDefault="00A321EC" w:rsidP="00463955">
      <w:pPr>
        <w:shd w:val="clear" w:color="auto" w:fill="F2F2F2" w:themeFill="background1" w:themeFillShade="F2"/>
        <w:ind w:firstLine="709"/>
        <w:jc w:val="both"/>
      </w:pPr>
      <w:r w:rsidRPr="00BF1DF2">
        <w:t xml:space="preserve">A.1. Konkurencyjna gospodarka </w:t>
      </w:r>
    </w:p>
    <w:p w:rsidR="00BA4D91" w:rsidRPr="00BF1DF2" w:rsidRDefault="00A321EC" w:rsidP="00463955">
      <w:pPr>
        <w:shd w:val="clear" w:color="auto" w:fill="F2F2F2" w:themeFill="background1" w:themeFillShade="F2"/>
        <w:ind w:firstLine="709"/>
        <w:jc w:val="both"/>
      </w:pPr>
      <w:r w:rsidRPr="00BF1DF2">
        <w:t xml:space="preserve">A.2. Innowacyjna gospodarka </w:t>
      </w:r>
    </w:p>
    <w:p w:rsidR="00A321EC" w:rsidRPr="00BF1DF2" w:rsidRDefault="00A321EC" w:rsidP="00463955">
      <w:pPr>
        <w:shd w:val="clear" w:color="auto" w:fill="F2F2F2" w:themeFill="background1" w:themeFillShade="F2"/>
        <w:ind w:firstLine="709"/>
        <w:jc w:val="both"/>
      </w:pPr>
      <w:r w:rsidRPr="00BF1DF2">
        <w:t>A.3. Silna lokalna przedsiębiorczość</w:t>
      </w:r>
    </w:p>
    <w:p w:rsidR="00A321EC" w:rsidRPr="00BF1DF2" w:rsidRDefault="00A321EC" w:rsidP="00463955">
      <w:pPr>
        <w:shd w:val="clear" w:color="auto" w:fill="F2F2F2" w:themeFill="background1" w:themeFillShade="F2"/>
        <w:spacing w:before="120"/>
        <w:ind w:firstLine="708"/>
        <w:jc w:val="both"/>
      </w:pPr>
      <w:r w:rsidRPr="00BF1DF2">
        <w:rPr>
          <w:rFonts w:ascii="Calibri" w:hAnsi="Calibri" w:cs="Calibri"/>
          <w:szCs w:val="20"/>
        </w:rPr>
        <w:t>Cel strategiczny B -</w:t>
      </w:r>
      <w:r w:rsidRPr="00BF1DF2">
        <w:t xml:space="preserve"> Województwo śląskie regionem przyjaznym dla mieszkańca</w:t>
      </w:r>
    </w:p>
    <w:p w:rsidR="00BA4D91" w:rsidRPr="00BF1DF2" w:rsidRDefault="00A321EC" w:rsidP="00463955">
      <w:pPr>
        <w:shd w:val="clear" w:color="auto" w:fill="F2F2F2" w:themeFill="background1" w:themeFillShade="F2"/>
        <w:ind w:firstLine="709"/>
        <w:jc w:val="both"/>
      </w:pPr>
      <w:r w:rsidRPr="00BF1DF2">
        <w:t>Cele operacyjne</w:t>
      </w:r>
      <w:r w:rsidR="00BA4D91" w:rsidRPr="00BF1DF2">
        <w:t>:</w:t>
      </w:r>
      <w:r w:rsidRPr="00BF1DF2">
        <w:t xml:space="preserve"> </w:t>
      </w:r>
    </w:p>
    <w:p w:rsidR="00BA4D91" w:rsidRPr="00BF1DF2" w:rsidRDefault="00A321EC" w:rsidP="00463955">
      <w:pPr>
        <w:shd w:val="clear" w:color="auto" w:fill="F2F2F2" w:themeFill="background1" w:themeFillShade="F2"/>
        <w:ind w:firstLine="709"/>
        <w:jc w:val="both"/>
      </w:pPr>
      <w:r w:rsidRPr="00BF1DF2">
        <w:t xml:space="preserve">B.1. Wysoka jakość usług społecznych, w tym zdrowotnych </w:t>
      </w:r>
    </w:p>
    <w:p w:rsidR="00BA4D91" w:rsidRPr="00BF1DF2" w:rsidRDefault="00A321EC" w:rsidP="00463955">
      <w:pPr>
        <w:shd w:val="clear" w:color="auto" w:fill="F2F2F2" w:themeFill="background1" w:themeFillShade="F2"/>
        <w:ind w:firstLine="709"/>
        <w:jc w:val="both"/>
      </w:pPr>
      <w:r w:rsidRPr="00BF1DF2">
        <w:t xml:space="preserve">B.2. Aktywny mieszkaniec </w:t>
      </w:r>
    </w:p>
    <w:p w:rsidR="00A321EC" w:rsidRPr="00BF1DF2" w:rsidRDefault="00A321EC" w:rsidP="00463955">
      <w:pPr>
        <w:shd w:val="clear" w:color="auto" w:fill="F2F2F2" w:themeFill="background1" w:themeFillShade="F2"/>
        <w:ind w:firstLine="709"/>
        <w:jc w:val="both"/>
        <w:rPr>
          <w:rFonts w:ascii="Calibri" w:hAnsi="Calibri" w:cs="Calibri"/>
          <w:szCs w:val="20"/>
        </w:rPr>
      </w:pPr>
      <w:r w:rsidRPr="00BF1DF2">
        <w:t>B.3. Atrakcyjny i efektywny system edukacji i nauki</w:t>
      </w:r>
    </w:p>
    <w:p w:rsidR="00A321EC" w:rsidRPr="00BF1DF2" w:rsidRDefault="00A321EC" w:rsidP="00463955">
      <w:pPr>
        <w:shd w:val="clear" w:color="auto" w:fill="F2F2F2" w:themeFill="background1" w:themeFillShade="F2"/>
        <w:spacing w:before="120"/>
        <w:ind w:firstLine="708"/>
        <w:jc w:val="both"/>
      </w:pPr>
      <w:r w:rsidRPr="00BF1DF2">
        <w:rPr>
          <w:rFonts w:ascii="Calibri" w:hAnsi="Calibri" w:cs="Calibri"/>
          <w:szCs w:val="20"/>
        </w:rPr>
        <w:t>Cel strategiczny C</w:t>
      </w:r>
      <w:r w:rsidRPr="00BF1DF2">
        <w:t xml:space="preserve"> </w:t>
      </w:r>
      <w:r w:rsidR="00BA4D91" w:rsidRPr="00BF1DF2">
        <w:t xml:space="preserve">- </w:t>
      </w:r>
      <w:r w:rsidRPr="00BF1DF2">
        <w:t>Województwo śląskie regionem wysokiej jakości środowiska i przestrzeni</w:t>
      </w:r>
    </w:p>
    <w:p w:rsidR="00BA4D91" w:rsidRPr="00BF1DF2" w:rsidRDefault="00BA4D91" w:rsidP="00463955">
      <w:pPr>
        <w:shd w:val="clear" w:color="auto" w:fill="F2F2F2" w:themeFill="background1" w:themeFillShade="F2"/>
        <w:ind w:firstLine="709"/>
        <w:jc w:val="both"/>
      </w:pPr>
      <w:r w:rsidRPr="00BF1DF2">
        <w:t xml:space="preserve">Cele operacyjne: </w:t>
      </w:r>
    </w:p>
    <w:p w:rsidR="00BA4D91" w:rsidRPr="00BF1DF2" w:rsidRDefault="00A321EC" w:rsidP="00463955">
      <w:pPr>
        <w:shd w:val="clear" w:color="auto" w:fill="F2F2F2" w:themeFill="background1" w:themeFillShade="F2"/>
        <w:ind w:firstLine="708"/>
        <w:jc w:val="both"/>
      </w:pPr>
      <w:r w:rsidRPr="00BF1DF2">
        <w:t xml:space="preserve">C.1. Wysoka jakość środowiska </w:t>
      </w:r>
    </w:p>
    <w:p w:rsidR="00BA4D91" w:rsidRPr="00BF1DF2" w:rsidRDefault="00A321EC" w:rsidP="00463955">
      <w:pPr>
        <w:shd w:val="clear" w:color="auto" w:fill="F2F2F2" w:themeFill="background1" w:themeFillShade="F2"/>
        <w:ind w:firstLine="708"/>
        <w:jc w:val="both"/>
      </w:pPr>
      <w:r w:rsidRPr="00BF1DF2">
        <w:t xml:space="preserve">C.2. Efektywna infrastruktura </w:t>
      </w:r>
    </w:p>
    <w:p w:rsidR="00A321EC" w:rsidRPr="00BF1DF2" w:rsidRDefault="00A321EC" w:rsidP="00463955">
      <w:pPr>
        <w:shd w:val="clear" w:color="auto" w:fill="F2F2F2" w:themeFill="background1" w:themeFillShade="F2"/>
        <w:ind w:firstLine="708"/>
        <w:jc w:val="both"/>
        <w:rPr>
          <w:rFonts w:ascii="Calibri" w:hAnsi="Calibri" w:cs="Calibri"/>
          <w:szCs w:val="20"/>
        </w:rPr>
      </w:pPr>
      <w:r w:rsidRPr="00BF1DF2">
        <w:t xml:space="preserve">C.3. Atrakcyjne warunki zamieszkania, kompleksowa rewitalizacja, zapobieganie i dostosowanie do </w:t>
      </w:r>
      <w:r w:rsidR="00AC4CE1">
        <w:t xml:space="preserve"> </w:t>
      </w:r>
      <w:r w:rsidRPr="00BF1DF2">
        <w:t>zmian klimatu</w:t>
      </w:r>
    </w:p>
    <w:p w:rsidR="00A321EC" w:rsidRPr="00BF1DF2" w:rsidRDefault="00A321EC" w:rsidP="00463955">
      <w:pPr>
        <w:shd w:val="clear" w:color="auto" w:fill="F2F2F2" w:themeFill="background1" w:themeFillShade="F2"/>
        <w:spacing w:before="120"/>
        <w:ind w:firstLine="708"/>
        <w:jc w:val="both"/>
      </w:pPr>
      <w:r w:rsidRPr="00BF1DF2">
        <w:rPr>
          <w:rFonts w:ascii="Calibri" w:hAnsi="Calibri" w:cs="Calibri"/>
          <w:szCs w:val="20"/>
        </w:rPr>
        <w:t>Cel strategiczny D</w:t>
      </w:r>
      <w:r w:rsidRPr="00BF1DF2">
        <w:t xml:space="preserve"> </w:t>
      </w:r>
      <w:r w:rsidR="00BA4D91" w:rsidRPr="00BF1DF2">
        <w:t xml:space="preserve">- </w:t>
      </w:r>
      <w:r w:rsidRPr="00BF1DF2">
        <w:t>Województwo śląskie regionem sprawnie zarządzanym</w:t>
      </w:r>
    </w:p>
    <w:p w:rsidR="00BA4D91" w:rsidRPr="00BF1DF2" w:rsidRDefault="00BA4D91" w:rsidP="00463955">
      <w:pPr>
        <w:shd w:val="clear" w:color="auto" w:fill="F2F2F2" w:themeFill="background1" w:themeFillShade="F2"/>
        <w:ind w:firstLine="709"/>
        <w:jc w:val="both"/>
      </w:pPr>
      <w:r w:rsidRPr="00BF1DF2">
        <w:t xml:space="preserve">Cele operacyjne: </w:t>
      </w:r>
    </w:p>
    <w:p w:rsidR="00BA4D91" w:rsidRPr="00BF1DF2" w:rsidRDefault="00A321EC" w:rsidP="00463955">
      <w:pPr>
        <w:shd w:val="clear" w:color="auto" w:fill="F2F2F2" w:themeFill="background1" w:themeFillShade="F2"/>
        <w:ind w:firstLine="709"/>
        <w:jc w:val="both"/>
      </w:pPr>
      <w:r w:rsidRPr="00BF1DF2">
        <w:t xml:space="preserve">D.1. Zrównoważony rozwój terytorialny </w:t>
      </w:r>
    </w:p>
    <w:p w:rsidR="00BA4D91" w:rsidRPr="00BF1DF2" w:rsidRDefault="00A321EC" w:rsidP="00463955">
      <w:pPr>
        <w:shd w:val="clear" w:color="auto" w:fill="F2F2F2" w:themeFill="background1" w:themeFillShade="F2"/>
        <w:ind w:firstLine="709"/>
        <w:jc w:val="both"/>
      </w:pPr>
      <w:r w:rsidRPr="00BF1DF2">
        <w:t xml:space="preserve">D.2. Aktywna współpraca z otoczeniem i kreowanie silnej marki regionu </w:t>
      </w:r>
    </w:p>
    <w:p w:rsidR="00A321EC" w:rsidRPr="00BF1DF2" w:rsidRDefault="00A321EC" w:rsidP="00463955">
      <w:pPr>
        <w:shd w:val="clear" w:color="auto" w:fill="F2F2F2" w:themeFill="background1" w:themeFillShade="F2"/>
        <w:ind w:firstLine="709"/>
        <w:jc w:val="both"/>
        <w:rPr>
          <w:rFonts w:ascii="Calibri" w:hAnsi="Calibri" w:cs="Calibri"/>
          <w:szCs w:val="20"/>
        </w:rPr>
      </w:pPr>
      <w:r w:rsidRPr="00BF1DF2">
        <w:t>D.3. Nowoczesna administracja publiczna</w:t>
      </w:r>
    </w:p>
    <w:p w:rsidR="00BA4D91" w:rsidRPr="00BF1DF2" w:rsidRDefault="00BA4D91" w:rsidP="00463955">
      <w:pPr>
        <w:shd w:val="clear" w:color="auto" w:fill="F2F2F2" w:themeFill="background1" w:themeFillShade="F2"/>
        <w:spacing w:before="120"/>
        <w:jc w:val="both"/>
        <w:rPr>
          <w:rFonts w:ascii="Calibri" w:hAnsi="Calibri" w:cs="Calibri"/>
          <w:szCs w:val="20"/>
        </w:rPr>
      </w:pPr>
      <w:r w:rsidRPr="00BF1DF2">
        <w:rPr>
          <w:rFonts w:ascii="Calibri" w:hAnsi="Calibri" w:cs="Calibri"/>
          <w:szCs w:val="20"/>
        </w:rPr>
        <w:t xml:space="preserve">Dla celu operacyjnego </w:t>
      </w:r>
      <w:r w:rsidRPr="00BF1DF2">
        <w:t>B.1. Wysoka jakość usłu</w:t>
      </w:r>
      <w:r w:rsidR="00331AD9" w:rsidRPr="00BF1DF2">
        <w:t>g społecznych, w tym zdrowotnych,</w:t>
      </w:r>
      <w:r w:rsidRPr="00BF1DF2">
        <w:rPr>
          <w:rFonts w:ascii="Calibri" w:hAnsi="Calibri" w:cs="Calibri"/>
          <w:i/>
          <w:iCs/>
          <w:szCs w:val="20"/>
        </w:rPr>
        <w:t xml:space="preserve"> </w:t>
      </w:r>
      <w:r w:rsidRPr="00BF1DF2">
        <w:rPr>
          <w:rFonts w:ascii="Calibri" w:hAnsi="Calibri" w:cs="Calibri"/>
          <w:szCs w:val="20"/>
        </w:rPr>
        <w:t>jako kierunki działań niezbędnych do podjęcia na obszarze województwa wskazano m.in.:</w:t>
      </w:r>
    </w:p>
    <w:p w:rsidR="00331AD9" w:rsidRPr="00BF1DF2" w:rsidRDefault="00BA4D91" w:rsidP="00463955">
      <w:pPr>
        <w:pStyle w:val="Akapitzlist"/>
        <w:numPr>
          <w:ilvl w:val="0"/>
          <w:numId w:val="802"/>
        </w:numPr>
        <w:shd w:val="clear" w:color="auto" w:fill="F2F2F2" w:themeFill="background1" w:themeFillShade="F2"/>
        <w:spacing w:after="0" w:line="240" w:lineRule="auto"/>
        <w:ind w:left="714" w:hanging="357"/>
        <w:jc w:val="both"/>
        <w:rPr>
          <w:sz w:val="20"/>
          <w:szCs w:val="20"/>
        </w:rPr>
      </w:pPr>
      <w:r w:rsidRPr="00BF1DF2">
        <w:rPr>
          <w:sz w:val="20"/>
          <w:szCs w:val="20"/>
        </w:rPr>
        <w:t xml:space="preserve">Aktywizacja osób z niepełnosprawnościami oraz wykluczonych społecznie. </w:t>
      </w:r>
    </w:p>
    <w:p w:rsidR="00BA4D91" w:rsidRPr="00BF1DF2" w:rsidRDefault="00BA4D91" w:rsidP="00463955">
      <w:pPr>
        <w:pStyle w:val="Akapitzlist"/>
        <w:numPr>
          <w:ilvl w:val="0"/>
          <w:numId w:val="802"/>
        </w:numPr>
        <w:shd w:val="clear" w:color="auto" w:fill="F2F2F2" w:themeFill="background1" w:themeFillShade="F2"/>
        <w:spacing w:after="0" w:line="240" w:lineRule="auto"/>
        <w:ind w:left="714" w:hanging="357"/>
        <w:jc w:val="both"/>
        <w:rPr>
          <w:sz w:val="20"/>
          <w:szCs w:val="20"/>
        </w:rPr>
      </w:pPr>
      <w:r w:rsidRPr="00BF1DF2">
        <w:rPr>
          <w:sz w:val="20"/>
          <w:szCs w:val="20"/>
        </w:rPr>
        <w:t>Podnoszenie dostępu do usług wspierających funkcjonowanie rodziny, w tym opieki wytchnieniowej nad osobami zależnymi.</w:t>
      </w:r>
    </w:p>
    <w:p w:rsidR="00331AD9" w:rsidRPr="00BF1DF2" w:rsidRDefault="00331AD9" w:rsidP="00463955">
      <w:pPr>
        <w:shd w:val="clear" w:color="auto" w:fill="F2F2F2" w:themeFill="background1" w:themeFillShade="F2"/>
        <w:spacing w:before="120"/>
        <w:jc w:val="both"/>
        <w:rPr>
          <w:rFonts w:ascii="Calibri" w:hAnsi="Calibri" w:cs="Calibri"/>
          <w:szCs w:val="20"/>
        </w:rPr>
      </w:pPr>
      <w:r w:rsidRPr="00BF1DF2">
        <w:rPr>
          <w:rFonts w:ascii="Calibri" w:hAnsi="Calibri" w:cs="Calibri"/>
          <w:szCs w:val="20"/>
        </w:rPr>
        <w:t xml:space="preserve">Dla celu operacyjnego </w:t>
      </w:r>
      <w:r w:rsidRPr="00BF1DF2">
        <w:t>B.2. Aktywny mieszkaniec,</w:t>
      </w:r>
      <w:r w:rsidRPr="00BF1DF2">
        <w:rPr>
          <w:rFonts w:ascii="Calibri" w:hAnsi="Calibri" w:cs="Calibri"/>
          <w:szCs w:val="20"/>
        </w:rPr>
        <w:t xml:space="preserve"> jako kierunki działań niezbędnych do podjęcia na obszarze województwa wskazano m.in.:</w:t>
      </w:r>
    </w:p>
    <w:p w:rsidR="00331AD9" w:rsidRPr="00BF1DF2" w:rsidRDefault="00331AD9" w:rsidP="00463955">
      <w:pPr>
        <w:pStyle w:val="Akapitzlist"/>
        <w:numPr>
          <w:ilvl w:val="0"/>
          <w:numId w:val="803"/>
        </w:numPr>
        <w:shd w:val="clear" w:color="auto" w:fill="F2F2F2" w:themeFill="background1" w:themeFillShade="F2"/>
        <w:spacing w:after="0" w:line="240" w:lineRule="auto"/>
        <w:ind w:left="714" w:hanging="357"/>
        <w:jc w:val="both"/>
        <w:rPr>
          <w:sz w:val="20"/>
          <w:szCs w:val="20"/>
        </w:rPr>
      </w:pPr>
      <w:r w:rsidRPr="00BF1DF2">
        <w:rPr>
          <w:sz w:val="20"/>
          <w:szCs w:val="20"/>
        </w:rPr>
        <w:lastRenderedPageBreak/>
        <w:t xml:space="preserve">Podniesienie jakości i poprawa dostępu do oferty i infrastruktury kultury, sportu, rekreacji i turystyki umożliwiającej wszechstronny rozwój mieszkańców. </w:t>
      </w:r>
    </w:p>
    <w:p w:rsidR="00331AD9" w:rsidRPr="00BF1DF2" w:rsidRDefault="00331AD9" w:rsidP="00463955">
      <w:pPr>
        <w:pStyle w:val="Akapitzlist"/>
        <w:numPr>
          <w:ilvl w:val="0"/>
          <w:numId w:val="803"/>
        </w:numPr>
        <w:shd w:val="clear" w:color="auto" w:fill="F2F2F2" w:themeFill="background1" w:themeFillShade="F2"/>
        <w:spacing w:after="0" w:line="240" w:lineRule="auto"/>
        <w:ind w:left="714" w:hanging="357"/>
        <w:jc w:val="both"/>
        <w:rPr>
          <w:sz w:val="20"/>
          <w:szCs w:val="20"/>
        </w:rPr>
      </w:pPr>
      <w:r w:rsidRPr="00BF1DF2">
        <w:rPr>
          <w:sz w:val="20"/>
          <w:szCs w:val="20"/>
        </w:rPr>
        <w:t xml:space="preserve">Promowanie, upowszechnianie i ochrona dziedzictwa kulturowego. </w:t>
      </w:r>
    </w:p>
    <w:p w:rsidR="00331AD9" w:rsidRPr="00BF1DF2" w:rsidRDefault="00331AD9" w:rsidP="00463955">
      <w:pPr>
        <w:pStyle w:val="Akapitzlist"/>
        <w:numPr>
          <w:ilvl w:val="0"/>
          <w:numId w:val="803"/>
        </w:numPr>
        <w:shd w:val="clear" w:color="auto" w:fill="F2F2F2" w:themeFill="background1" w:themeFillShade="F2"/>
        <w:spacing w:after="0" w:line="240" w:lineRule="auto"/>
        <w:ind w:left="714" w:hanging="357"/>
        <w:jc w:val="both"/>
        <w:rPr>
          <w:sz w:val="20"/>
          <w:szCs w:val="20"/>
        </w:rPr>
      </w:pPr>
      <w:r w:rsidRPr="00BF1DF2">
        <w:rPr>
          <w:sz w:val="20"/>
          <w:szCs w:val="20"/>
        </w:rPr>
        <w:t xml:space="preserve">Wyposażanie przestrzeni publicznych w infrastrukturę umożliwiającą wspólne spędzanie czasu przez mieszkańców oraz integrację społeczności lokalnych, w tym zapewniającą dostępność urbanistyczno-architektoniczną dla osób ze szczególnymi potrzebami.  </w:t>
      </w:r>
    </w:p>
    <w:p w:rsidR="00331AD9" w:rsidRPr="00BF1DF2" w:rsidRDefault="00331AD9" w:rsidP="00463955">
      <w:pPr>
        <w:pStyle w:val="Akapitzlist"/>
        <w:numPr>
          <w:ilvl w:val="0"/>
          <w:numId w:val="803"/>
        </w:numPr>
        <w:shd w:val="clear" w:color="auto" w:fill="F2F2F2" w:themeFill="background1" w:themeFillShade="F2"/>
        <w:spacing w:after="0" w:line="240" w:lineRule="auto"/>
        <w:ind w:left="714" w:hanging="357"/>
        <w:jc w:val="both"/>
        <w:rPr>
          <w:sz w:val="20"/>
          <w:szCs w:val="20"/>
        </w:rPr>
      </w:pPr>
      <w:r w:rsidRPr="00BF1DF2">
        <w:rPr>
          <w:sz w:val="20"/>
          <w:szCs w:val="20"/>
        </w:rPr>
        <w:t xml:space="preserve">Promocja i wsparcie podmiotów ekonomii społecznej. </w:t>
      </w:r>
    </w:p>
    <w:p w:rsidR="00331AD9" w:rsidRPr="00BF1DF2" w:rsidRDefault="00331AD9" w:rsidP="00463955">
      <w:pPr>
        <w:pStyle w:val="Akapitzlist"/>
        <w:numPr>
          <w:ilvl w:val="0"/>
          <w:numId w:val="803"/>
        </w:numPr>
        <w:shd w:val="clear" w:color="auto" w:fill="F2F2F2" w:themeFill="background1" w:themeFillShade="F2"/>
        <w:spacing w:after="0" w:line="240" w:lineRule="auto"/>
        <w:ind w:left="714" w:hanging="357"/>
        <w:jc w:val="both"/>
        <w:rPr>
          <w:sz w:val="20"/>
          <w:szCs w:val="20"/>
        </w:rPr>
      </w:pPr>
      <w:r w:rsidRPr="00BF1DF2">
        <w:rPr>
          <w:sz w:val="20"/>
          <w:szCs w:val="20"/>
        </w:rPr>
        <w:t xml:space="preserve">Wzmocnienie aktywności społecznej i zawodowej mieszkańców, w tym osób starszych i osób </w:t>
      </w:r>
      <w:r w:rsidR="00165F6F">
        <w:rPr>
          <w:sz w:val="20"/>
          <w:szCs w:val="20"/>
        </w:rPr>
        <w:br/>
      </w:r>
      <w:r w:rsidRPr="00BF1DF2">
        <w:rPr>
          <w:sz w:val="20"/>
          <w:szCs w:val="20"/>
        </w:rPr>
        <w:t xml:space="preserve">z niepełnosprawnościami. </w:t>
      </w:r>
    </w:p>
    <w:p w:rsidR="00331AD9" w:rsidRPr="00BF1DF2" w:rsidRDefault="00331AD9" w:rsidP="00463955">
      <w:pPr>
        <w:pStyle w:val="Akapitzlist"/>
        <w:numPr>
          <w:ilvl w:val="0"/>
          <w:numId w:val="803"/>
        </w:numPr>
        <w:shd w:val="clear" w:color="auto" w:fill="F2F2F2" w:themeFill="background1" w:themeFillShade="F2"/>
        <w:spacing w:after="0" w:line="240" w:lineRule="auto"/>
        <w:ind w:left="714" w:hanging="357"/>
        <w:jc w:val="both"/>
        <w:rPr>
          <w:sz w:val="20"/>
          <w:szCs w:val="20"/>
        </w:rPr>
      </w:pPr>
      <w:r w:rsidRPr="00BF1DF2">
        <w:rPr>
          <w:sz w:val="20"/>
          <w:szCs w:val="20"/>
        </w:rPr>
        <w:t>Wsparcie przekwalifikowania zawodowego i nabywania nowych kompetencji przez osoby objęte procesem transformacji gospodarczej.</w:t>
      </w:r>
    </w:p>
    <w:p w:rsidR="009B6AF5" w:rsidRPr="00BF1DF2" w:rsidRDefault="009B6AF5" w:rsidP="00463955">
      <w:pPr>
        <w:shd w:val="clear" w:color="auto" w:fill="F2F2F2" w:themeFill="background1" w:themeFillShade="F2"/>
        <w:spacing w:before="120"/>
        <w:jc w:val="both"/>
        <w:rPr>
          <w:rFonts w:ascii="Calibri" w:hAnsi="Calibri" w:cs="Calibri"/>
          <w:szCs w:val="20"/>
        </w:rPr>
      </w:pPr>
      <w:r w:rsidRPr="00BF1DF2">
        <w:rPr>
          <w:rFonts w:ascii="Calibri" w:hAnsi="Calibri" w:cs="Calibri"/>
          <w:szCs w:val="20"/>
        </w:rPr>
        <w:t>Dla celu operacyjnego</w:t>
      </w:r>
      <w:r w:rsidRPr="00BF1DF2">
        <w:t xml:space="preserve"> C.3. Atrakcyjne warunki zamieszkania, kompleksowa rewitalizacja, zapobieganie </w:t>
      </w:r>
      <w:r w:rsidR="00165F6F">
        <w:br/>
      </w:r>
      <w:r w:rsidRPr="00BF1DF2">
        <w:t xml:space="preserve">i dostosowanie do zmian klimatu, </w:t>
      </w:r>
      <w:r w:rsidRPr="00BF1DF2">
        <w:rPr>
          <w:rFonts w:ascii="Calibri" w:hAnsi="Calibri" w:cs="Calibri"/>
          <w:szCs w:val="20"/>
        </w:rPr>
        <w:t>jako kierunki działań niezbędnych do podjęcia na obszarze województwa wskazano m.in.:</w:t>
      </w:r>
    </w:p>
    <w:p w:rsidR="009B6AF5" w:rsidRPr="00BF1DF2" w:rsidRDefault="009B6AF5" w:rsidP="00463955">
      <w:pPr>
        <w:pStyle w:val="Akapitzlist"/>
        <w:numPr>
          <w:ilvl w:val="0"/>
          <w:numId w:val="804"/>
        </w:numPr>
        <w:shd w:val="clear" w:color="auto" w:fill="F2F2F2" w:themeFill="background1" w:themeFillShade="F2"/>
        <w:spacing w:after="0" w:line="240" w:lineRule="auto"/>
        <w:ind w:left="714" w:hanging="357"/>
        <w:jc w:val="both"/>
        <w:rPr>
          <w:sz w:val="20"/>
          <w:szCs w:val="20"/>
        </w:rPr>
      </w:pPr>
      <w:r w:rsidRPr="00BF1DF2">
        <w:rPr>
          <w:sz w:val="20"/>
          <w:szCs w:val="20"/>
        </w:rPr>
        <w:t xml:space="preserve">Rekultywacja i rewitalizacja obszarów zdegradowanych oraz zagospodarowanie terenów i obiektów poprzemysłowych m.in. na cele środowiskowe, gospodarcze, kulturalne, rekreacyjne. </w:t>
      </w:r>
    </w:p>
    <w:p w:rsidR="009B6AF5" w:rsidRPr="00BF1DF2" w:rsidRDefault="009B6AF5" w:rsidP="00463955">
      <w:pPr>
        <w:pStyle w:val="Akapitzlist"/>
        <w:numPr>
          <w:ilvl w:val="0"/>
          <w:numId w:val="804"/>
        </w:numPr>
        <w:shd w:val="clear" w:color="auto" w:fill="F2F2F2" w:themeFill="background1" w:themeFillShade="F2"/>
        <w:spacing w:after="0" w:line="240" w:lineRule="auto"/>
        <w:ind w:left="714" w:hanging="357"/>
        <w:jc w:val="both"/>
        <w:rPr>
          <w:sz w:val="20"/>
          <w:szCs w:val="20"/>
        </w:rPr>
      </w:pPr>
      <w:r w:rsidRPr="00BF1DF2">
        <w:rPr>
          <w:sz w:val="20"/>
          <w:szCs w:val="20"/>
        </w:rPr>
        <w:t xml:space="preserve">Poprawa jakości i atrakcyjności przestrzeni publicznych, szczególnie centrów miast oraz osiedli mieszkaniowych i starych dzielnic. </w:t>
      </w:r>
    </w:p>
    <w:p w:rsidR="009B6AF5" w:rsidRPr="00BF1DF2" w:rsidRDefault="009B6AF5" w:rsidP="00463955">
      <w:pPr>
        <w:pStyle w:val="Akapitzlist"/>
        <w:numPr>
          <w:ilvl w:val="0"/>
          <w:numId w:val="804"/>
        </w:numPr>
        <w:shd w:val="clear" w:color="auto" w:fill="F2F2F2" w:themeFill="background1" w:themeFillShade="F2"/>
        <w:spacing w:after="0" w:line="240" w:lineRule="auto"/>
        <w:ind w:left="714" w:hanging="357"/>
        <w:jc w:val="both"/>
        <w:rPr>
          <w:sz w:val="20"/>
          <w:szCs w:val="20"/>
        </w:rPr>
      </w:pPr>
      <w:r w:rsidRPr="00BF1DF2">
        <w:rPr>
          <w:sz w:val="20"/>
          <w:szCs w:val="20"/>
        </w:rPr>
        <w:t xml:space="preserve">Adaptacja terenów miejskich i wiejskich do zmian klimatu, w tym wsparcie opracowania i wdrażania miejskich planów adaptacji, rozwój błękitno-zielonej infrastruktury oraz zintegrowanych miejskich ekosystemów.  </w:t>
      </w:r>
    </w:p>
    <w:p w:rsidR="009B6AF5" w:rsidRPr="00BF1DF2" w:rsidRDefault="009B6AF5" w:rsidP="00463955">
      <w:pPr>
        <w:pStyle w:val="Akapitzlist"/>
        <w:numPr>
          <w:ilvl w:val="0"/>
          <w:numId w:val="804"/>
        </w:numPr>
        <w:shd w:val="clear" w:color="auto" w:fill="F2F2F2" w:themeFill="background1" w:themeFillShade="F2"/>
        <w:spacing w:after="0" w:line="240" w:lineRule="auto"/>
        <w:ind w:left="714" w:hanging="357"/>
        <w:jc w:val="both"/>
        <w:rPr>
          <w:sz w:val="20"/>
          <w:szCs w:val="20"/>
        </w:rPr>
      </w:pPr>
      <w:r w:rsidRPr="00BF1DF2">
        <w:rPr>
          <w:sz w:val="20"/>
          <w:szCs w:val="20"/>
        </w:rPr>
        <w:t xml:space="preserve">Wspieranie rozwiązań ograniczających niską emisję, w tym poprawa standardu energetycznego zabudowy mieszkaniowej i budynków użyteczności publicznej.  </w:t>
      </w:r>
    </w:p>
    <w:p w:rsidR="009B6AF5" w:rsidRPr="00BF1DF2" w:rsidRDefault="009B6AF5" w:rsidP="00463955">
      <w:pPr>
        <w:pStyle w:val="Akapitzlist"/>
        <w:numPr>
          <w:ilvl w:val="0"/>
          <w:numId w:val="804"/>
        </w:numPr>
        <w:shd w:val="clear" w:color="auto" w:fill="F2F2F2" w:themeFill="background1" w:themeFillShade="F2"/>
        <w:spacing w:after="0" w:line="240" w:lineRule="auto"/>
        <w:ind w:left="714" w:hanging="357"/>
        <w:jc w:val="both"/>
        <w:rPr>
          <w:sz w:val="20"/>
          <w:szCs w:val="20"/>
        </w:rPr>
      </w:pPr>
      <w:r w:rsidRPr="00BF1DF2">
        <w:rPr>
          <w:sz w:val="20"/>
          <w:szCs w:val="20"/>
        </w:rPr>
        <w:t xml:space="preserve">Rozwój zrównoważonego budownictwa mieszkaniowego, w tym tworzenie i wdrażanie instrumentów wspierających rodziny w zaspokajaniu potrzeb mieszkaniowych, z uwzględnieniem racjonalizacji świadczenia usług publicznych. </w:t>
      </w:r>
    </w:p>
    <w:p w:rsidR="009B6AF5" w:rsidRPr="00BF1DF2" w:rsidRDefault="009B6AF5" w:rsidP="00463955">
      <w:pPr>
        <w:pStyle w:val="Akapitzlist"/>
        <w:numPr>
          <w:ilvl w:val="0"/>
          <w:numId w:val="804"/>
        </w:numPr>
        <w:shd w:val="clear" w:color="auto" w:fill="F2F2F2" w:themeFill="background1" w:themeFillShade="F2"/>
        <w:spacing w:after="0" w:line="240" w:lineRule="auto"/>
        <w:ind w:left="714" w:hanging="357"/>
        <w:jc w:val="both"/>
        <w:rPr>
          <w:sz w:val="20"/>
          <w:szCs w:val="20"/>
        </w:rPr>
      </w:pPr>
      <w:r w:rsidRPr="00BF1DF2">
        <w:rPr>
          <w:sz w:val="20"/>
          <w:szCs w:val="20"/>
        </w:rPr>
        <w:t xml:space="preserve">Wsparcie wdrażania koncepcji „smart cities”. </w:t>
      </w:r>
    </w:p>
    <w:p w:rsidR="000C70A4" w:rsidRPr="00BF1DF2" w:rsidRDefault="009B6AF5" w:rsidP="00463955">
      <w:pPr>
        <w:pStyle w:val="Akapitzlist"/>
        <w:numPr>
          <w:ilvl w:val="0"/>
          <w:numId w:val="804"/>
        </w:numPr>
        <w:shd w:val="clear" w:color="auto" w:fill="F2F2F2" w:themeFill="background1" w:themeFillShade="F2"/>
        <w:spacing w:after="0" w:line="240" w:lineRule="auto"/>
        <w:ind w:left="714" w:hanging="357"/>
        <w:jc w:val="both"/>
        <w:rPr>
          <w:sz w:val="20"/>
          <w:szCs w:val="20"/>
        </w:rPr>
      </w:pPr>
      <w:r w:rsidRPr="00BF1DF2">
        <w:rPr>
          <w:sz w:val="20"/>
          <w:szCs w:val="20"/>
        </w:rPr>
        <w:t>Wsparcie rozwoju zintegrowanego, zrównoważonego i niskoemisyjnego transportu w miastach i ich obszarach funkcjonalnych oraz obszarach wiejskich, w szczególności transportu zbiorowego.</w:t>
      </w:r>
    </w:p>
    <w:p w:rsidR="00C951E7" w:rsidRPr="007C7E3B" w:rsidRDefault="000C70A4" w:rsidP="00463955">
      <w:pPr>
        <w:pStyle w:val="Tekstpodstawowy2"/>
        <w:shd w:val="clear" w:color="auto" w:fill="F2F2F2" w:themeFill="background1" w:themeFillShade="F2"/>
        <w:autoSpaceDE/>
        <w:autoSpaceDN/>
        <w:adjustRightInd/>
        <w:spacing w:before="100"/>
        <w:ind w:firstLine="709"/>
        <w:rPr>
          <w:rFonts w:ascii="Calibri" w:hAnsi="Calibri" w:cs="Calibri"/>
          <w:szCs w:val="20"/>
        </w:rPr>
      </w:pPr>
      <w:r w:rsidRPr="00BF1DF2">
        <w:rPr>
          <w:rFonts w:cstheme="minorHAnsi"/>
          <w:szCs w:val="20"/>
        </w:rPr>
        <w:t>W di</w:t>
      </w:r>
      <w:r w:rsidR="00FE19BE" w:rsidRPr="00BF1DF2">
        <w:rPr>
          <w:rFonts w:cstheme="minorHAnsi"/>
          <w:szCs w:val="20"/>
        </w:rPr>
        <w:t>agnozie dokumentu</w:t>
      </w:r>
      <w:r w:rsidR="00BC579B" w:rsidRPr="00BF1DF2">
        <w:rPr>
          <w:rFonts w:cstheme="minorHAnsi"/>
          <w:szCs w:val="20"/>
        </w:rPr>
        <w:t xml:space="preserve"> Bytom wskazany jest jako jedno z miast województwa </w:t>
      </w:r>
      <w:r w:rsidR="00FE19BE" w:rsidRPr="00BF1DF2">
        <w:rPr>
          <w:rFonts w:cstheme="minorHAnsi"/>
          <w:szCs w:val="20"/>
        </w:rPr>
        <w:t xml:space="preserve">charakteryzujących się </w:t>
      </w:r>
      <w:r w:rsidR="00BC579B" w:rsidRPr="00BF1DF2">
        <w:rPr>
          <w:rFonts w:cstheme="minorHAnsi"/>
          <w:szCs w:val="20"/>
        </w:rPr>
        <w:t xml:space="preserve">wysokim natężeniem problemów </w:t>
      </w:r>
      <w:r w:rsidR="00DD49EC" w:rsidRPr="00BF1DF2">
        <w:rPr>
          <w:rFonts w:cstheme="minorHAnsi"/>
          <w:szCs w:val="20"/>
        </w:rPr>
        <w:t xml:space="preserve">społeczno-gospodarczych, co znajduje potwierdzenie </w:t>
      </w:r>
      <w:r w:rsidR="00C951E7" w:rsidRPr="00BF1DF2">
        <w:rPr>
          <w:rFonts w:cstheme="minorHAnsi"/>
          <w:szCs w:val="20"/>
        </w:rPr>
        <w:t>w niekorzystnych wartościach wskaźników</w:t>
      </w:r>
      <w:r w:rsidR="00DD49EC" w:rsidRPr="00BF1DF2">
        <w:rPr>
          <w:rFonts w:cstheme="minorHAnsi"/>
          <w:szCs w:val="20"/>
        </w:rPr>
        <w:t xml:space="preserve"> takich jak:</w:t>
      </w:r>
      <w:r w:rsidR="00FE19BE" w:rsidRPr="00BF1DF2">
        <w:rPr>
          <w:rFonts w:cstheme="minorHAnsi"/>
          <w:szCs w:val="20"/>
        </w:rPr>
        <w:t xml:space="preserve"> </w:t>
      </w:r>
      <w:r w:rsidR="00BC579B" w:rsidRPr="00BF1DF2">
        <w:rPr>
          <w:rFonts w:cstheme="minorHAnsi"/>
          <w:szCs w:val="20"/>
        </w:rPr>
        <w:t>W</w:t>
      </w:r>
      <w:r w:rsidR="00FE19BE" w:rsidRPr="00BF1DF2">
        <w:rPr>
          <w:rFonts w:cstheme="minorHAnsi"/>
          <w:szCs w:val="20"/>
        </w:rPr>
        <w:t>skaźnik</w:t>
      </w:r>
      <w:r w:rsidR="00BC579B" w:rsidRPr="00BF1DF2">
        <w:rPr>
          <w:rFonts w:cstheme="minorHAnsi"/>
          <w:szCs w:val="20"/>
        </w:rPr>
        <w:t xml:space="preserve"> Roz</w:t>
      </w:r>
      <w:r w:rsidR="00FE19BE" w:rsidRPr="00BF1DF2">
        <w:rPr>
          <w:rFonts w:cstheme="minorHAnsi"/>
          <w:szCs w:val="20"/>
        </w:rPr>
        <w:t>w</w:t>
      </w:r>
      <w:r w:rsidR="00BC579B" w:rsidRPr="00BF1DF2">
        <w:rPr>
          <w:rFonts w:cstheme="minorHAnsi"/>
          <w:szCs w:val="20"/>
        </w:rPr>
        <w:t>oju T</w:t>
      </w:r>
      <w:r w:rsidR="00DD49EC" w:rsidRPr="00BF1DF2">
        <w:rPr>
          <w:rFonts w:cstheme="minorHAnsi"/>
          <w:szCs w:val="20"/>
        </w:rPr>
        <w:t xml:space="preserve">erytorialnego czy </w:t>
      </w:r>
      <w:r w:rsidR="00BC579B" w:rsidRPr="00BF1DF2">
        <w:rPr>
          <w:rFonts w:cstheme="minorHAnsi"/>
          <w:szCs w:val="20"/>
        </w:rPr>
        <w:t>Indeks Aktywności S</w:t>
      </w:r>
      <w:r w:rsidR="00DD49EC" w:rsidRPr="00BF1DF2">
        <w:rPr>
          <w:rFonts w:cstheme="minorHAnsi"/>
          <w:szCs w:val="20"/>
        </w:rPr>
        <w:t>połecznej.</w:t>
      </w:r>
      <w:r w:rsidR="00BC579B" w:rsidRPr="00BF1DF2">
        <w:rPr>
          <w:rFonts w:cstheme="minorHAnsi"/>
          <w:szCs w:val="20"/>
        </w:rPr>
        <w:t xml:space="preserve"> </w:t>
      </w:r>
      <w:r w:rsidR="00C951E7" w:rsidRPr="00BF1DF2">
        <w:rPr>
          <w:rFonts w:cstheme="minorHAnsi"/>
          <w:szCs w:val="20"/>
        </w:rPr>
        <w:t xml:space="preserve">W strategii rozwoju województwa miasto Bytom zaklasyfikowano jako Obszar Strategicznej Interwencji - OSI problemowe, wobec spełniania przesłanek gminy tracącej funkcje społeczno-gospodarcze oraz gminy w transformacji górniczej. </w:t>
      </w:r>
      <w:r w:rsidR="00C951E7" w:rsidRPr="00BF1DF2">
        <w:rPr>
          <w:szCs w:val="20"/>
        </w:rPr>
        <w:t>Przy czym założono, że część dotycząca OSI - gminy tracące funkcje społeczno-gospodarcze obejmuje zarówno delimitację OSI z poziomu regionalnego, jak i krajowego. Na poziomie</w:t>
      </w:r>
      <w:r w:rsidR="00C951E7" w:rsidRPr="00C951E7">
        <w:rPr>
          <w:szCs w:val="20"/>
        </w:rPr>
        <w:t xml:space="preserve"> </w:t>
      </w:r>
      <w:r w:rsidR="00C951E7" w:rsidRPr="00BF1DF2">
        <w:rPr>
          <w:szCs w:val="20"/>
        </w:rPr>
        <w:t xml:space="preserve">krajowym w KSRR 2030 miasto wskazano również </w:t>
      </w:r>
      <w:r w:rsidR="007C7E3B">
        <w:rPr>
          <w:szCs w:val="20"/>
        </w:rPr>
        <w:t xml:space="preserve">jako </w:t>
      </w:r>
      <w:r w:rsidR="00C951E7" w:rsidRPr="00BF1DF2">
        <w:rPr>
          <w:szCs w:val="20"/>
        </w:rPr>
        <w:t>Obszar Strategicznej Interwencji obejmujący miasta średnie tracące funkcje społeczno-gospodarcze.</w:t>
      </w:r>
      <w:r w:rsidR="007C7E3B">
        <w:rPr>
          <w:szCs w:val="20"/>
        </w:rPr>
        <w:t xml:space="preserve"> Ponadto w Strategii</w:t>
      </w:r>
      <w:r w:rsidR="007C7E3B" w:rsidRPr="007C7E3B">
        <w:rPr>
          <w:szCs w:val="20"/>
        </w:rPr>
        <w:t xml:space="preserve"> Rozwoju Wo</w:t>
      </w:r>
      <w:r w:rsidR="007C7E3B">
        <w:rPr>
          <w:szCs w:val="20"/>
        </w:rPr>
        <w:t xml:space="preserve">jewództwa Śląskiego </w:t>
      </w:r>
      <w:r w:rsidR="007C7E3B" w:rsidRPr="007C7E3B">
        <w:rPr>
          <w:szCs w:val="20"/>
        </w:rPr>
        <w:t>„ŚLĄSKIE 2030”</w:t>
      </w:r>
      <w:r w:rsidR="007C7E3B">
        <w:rPr>
          <w:szCs w:val="20"/>
        </w:rPr>
        <w:t xml:space="preserve"> </w:t>
      </w:r>
      <w:r w:rsidR="007C7E3B" w:rsidRPr="007C7E3B">
        <w:rPr>
          <w:szCs w:val="20"/>
        </w:rPr>
        <w:t>Zielone Śląskie</w:t>
      </w:r>
      <w:r w:rsidR="007C7E3B">
        <w:rPr>
          <w:szCs w:val="20"/>
        </w:rPr>
        <w:t xml:space="preserve"> Bytom zidentyfikowany został jako OSI – obszary cenne przyrodniczo o przeciętnych walorach przyrodniczych,  </w:t>
      </w:r>
      <w:r w:rsidR="007C7E3B" w:rsidRPr="007C7E3B">
        <w:rPr>
          <w:szCs w:val="20"/>
        </w:rPr>
        <w:t>OSI – ośrodki wzrostu</w:t>
      </w:r>
      <w:r w:rsidR="007C7E3B">
        <w:rPr>
          <w:szCs w:val="20"/>
        </w:rPr>
        <w:t xml:space="preserve"> jako ośrodek uzupełniający oraz </w:t>
      </w:r>
      <w:r w:rsidR="007C7E3B" w:rsidRPr="007C7E3B">
        <w:rPr>
          <w:szCs w:val="20"/>
        </w:rPr>
        <w:t>OSI – gminy z problemami środowiskowymi w zakresie jakości powietrza</w:t>
      </w:r>
      <w:r w:rsidR="007C7E3B">
        <w:rPr>
          <w:szCs w:val="20"/>
        </w:rPr>
        <w:t xml:space="preserve"> jako III obszar problemowy.</w:t>
      </w:r>
    </w:p>
    <w:p w:rsidR="00BA4D91" w:rsidRPr="00BF1DF2" w:rsidRDefault="00BC579B" w:rsidP="00463955">
      <w:pPr>
        <w:shd w:val="clear" w:color="auto" w:fill="F2F2F2" w:themeFill="background1" w:themeFillShade="F2"/>
        <w:spacing w:before="100"/>
        <w:ind w:firstLine="680"/>
        <w:jc w:val="both"/>
        <w:rPr>
          <w:rFonts w:cstheme="minorHAnsi"/>
          <w:szCs w:val="20"/>
        </w:rPr>
      </w:pPr>
      <w:r w:rsidRPr="00BF1DF2">
        <w:rPr>
          <w:rFonts w:cstheme="minorHAnsi"/>
          <w:szCs w:val="20"/>
        </w:rPr>
        <w:t>W zakresie koncentracji wsparcia tematycznego dedykowanego dla poszcze</w:t>
      </w:r>
      <w:r w:rsidR="00817C0D" w:rsidRPr="00BF1DF2">
        <w:rPr>
          <w:rFonts w:cstheme="minorHAnsi"/>
          <w:szCs w:val="20"/>
        </w:rPr>
        <w:t>gólnych OSI przedstawiono propozycje</w:t>
      </w:r>
      <w:r w:rsidRPr="00BF1DF2">
        <w:rPr>
          <w:rFonts w:cstheme="minorHAnsi"/>
          <w:szCs w:val="20"/>
        </w:rPr>
        <w:t xml:space="preserve"> wybranych kierunków działań, które powinny być priorytetowo realizowane na wyznaczonych obszarach wsparcia</w:t>
      </w:r>
      <w:r w:rsidR="00817C0D" w:rsidRPr="00BF1DF2">
        <w:rPr>
          <w:rFonts w:cstheme="minorHAnsi"/>
          <w:szCs w:val="20"/>
        </w:rPr>
        <w:t xml:space="preserve">. Do terenów o priorytetowym zakresie wsparcia będą zaliczone obszary kumulacji zjawisk problemowych tj. na których występują lub wystąpią problemy społeczne związane z redukcją zatrudnienia w sektorze górniczym oraz niekorzystne zmiany w środowisku oraz przestrzeni, skutkujące koniecznością podjęcia działań rewitalizacyjnych. Istotnym problemem jest zagospodarowanie terenów po zakończonej eksploatacji górniczej, przekwalifikowanie pracowników odchodzących z sektora górniczego, konieczność zapewnienia możliwości funkcjonowania dla firm z branży okołogórniczej lub ich przebranżowienia w tym przekwalifikowania kadr. Oprócz tworzenia alternatywnych miejsc pracy należy również ukierunkować wsparcie </w:t>
      </w:r>
      <w:r w:rsidR="00817C0D" w:rsidRPr="00BF1DF2">
        <w:rPr>
          <w:rFonts w:cstheme="minorHAnsi"/>
          <w:szCs w:val="20"/>
        </w:rPr>
        <w:lastRenderedPageBreak/>
        <w:t>na poprawę jakości środowiska, rozwój usług publicznych, poprawę jakości przestrzeni publicznych, zwiększenie aktywności społecznej i zawodowej mieszkańców oraz rozwój oferty czasu wolnego.</w:t>
      </w:r>
    </w:p>
    <w:p w:rsidR="00BE2E54" w:rsidRDefault="00F774AE" w:rsidP="00463955">
      <w:pPr>
        <w:shd w:val="clear" w:color="auto" w:fill="F2F2F2" w:themeFill="background1" w:themeFillShade="F2"/>
        <w:spacing w:before="100"/>
        <w:ind w:firstLine="708"/>
        <w:jc w:val="both"/>
        <w:rPr>
          <w:rFonts w:ascii="Calibri" w:hAnsi="Calibri" w:cs="Calibri"/>
          <w:szCs w:val="20"/>
        </w:rPr>
      </w:pPr>
      <w:r>
        <w:rPr>
          <w:rFonts w:ascii="Calibri" w:hAnsi="Calibri" w:cs="Calibri"/>
          <w:szCs w:val="20"/>
        </w:rPr>
        <w:t>Zapisy strategii województwa potwierdzają trudną sytuację w Bytomiu i wskazują go jako ośrodek miejski wymagający skoncentrowanego wsparcia tematycznego. Działania zaplanowane do realizacji, a ujęte w niniejszym GPR będą realizować zapisy „Strategii Rozwoju Województwa Śląskiego</w:t>
      </w:r>
      <w:r w:rsidR="000E3FEE">
        <w:rPr>
          <w:rFonts w:ascii="Calibri" w:hAnsi="Calibri" w:cs="Calibri"/>
          <w:szCs w:val="20"/>
        </w:rPr>
        <w:t xml:space="preserve"> „ŚLĄSKIE 2030”</w:t>
      </w:r>
      <w:r>
        <w:rPr>
          <w:rFonts w:ascii="Calibri" w:hAnsi="Calibri" w:cs="Calibri"/>
          <w:szCs w:val="20"/>
        </w:rPr>
        <w:t xml:space="preserve"> Zielone Śląskie”, a równocześnie należy podkreślić, że przeprowadzona w Bytomiu rewitalizacja przyczyni się do poprawy wizerunku całego regionu.</w:t>
      </w:r>
    </w:p>
    <w:p w:rsidR="000C70A4" w:rsidRPr="009A1669" w:rsidRDefault="000C70A4" w:rsidP="009A1669">
      <w:pPr>
        <w:spacing w:before="100"/>
        <w:ind w:firstLine="708"/>
        <w:jc w:val="both"/>
        <w:rPr>
          <w:rFonts w:ascii="Calibri" w:hAnsi="Calibri" w:cs="Calibri"/>
          <w:szCs w:val="20"/>
        </w:rPr>
      </w:pPr>
    </w:p>
    <w:p w:rsidR="000C70A4" w:rsidRPr="00A06D20" w:rsidRDefault="000C70A4" w:rsidP="001F04D8">
      <w:pPr>
        <w:pStyle w:val="Nagwek4"/>
        <w:spacing w:before="0" w:after="0"/>
        <w:rPr>
          <w:rFonts w:cs="Calibri"/>
          <w:i w:val="0"/>
          <w:color w:val="3366FF"/>
          <w:szCs w:val="22"/>
        </w:rPr>
      </w:pPr>
      <w:bookmarkStart w:id="1061" w:name="_Toc460313273"/>
      <w:r w:rsidRPr="00A06D20">
        <w:rPr>
          <w:rFonts w:cs="Calibri"/>
          <w:i w:val="0"/>
          <w:color w:val="3366FF"/>
          <w:szCs w:val="22"/>
        </w:rPr>
        <w:t>Regionalny Program Operacyjny Województwa Śląskiego na lata 2014-2020 (RPO WSL 2014-2020)</w:t>
      </w:r>
      <w:bookmarkEnd w:id="1061"/>
    </w:p>
    <w:p w:rsidR="001F04D8" w:rsidRDefault="001F04D8" w:rsidP="002329D3">
      <w:pPr>
        <w:pStyle w:val="Tekstpodstawowy2"/>
        <w:autoSpaceDE/>
        <w:autoSpaceDN/>
        <w:adjustRightInd/>
        <w:ind w:firstLine="567"/>
        <w:rPr>
          <w:rFonts w:ascii="Calibri" w:hAnsi="Calibri" w:cs="Calibri"/>
          <w:szCs w:val="20"/>
        </w:rPr>
      </w:pPr>
    </w:p>
    <w:p w:rsidR="00D9682C" w:rsidRPr="0052645F" w:rsidRDefault="00D9682C" w:rsidP="00463955">
      <w:pPr>
        <w:pStyle w:val="Tekstpodstawowy2"/>
        <w:shd w:val="clear" w:color="auto" w:fill="F2F2F2" w:themeFill="background1" w:themeFillShade="F2"/>
        <w:autoSpaceDE/>
        <w:autoSpaceDN/>
        <w:adjustRightInd/>
        <w:spacing w:before="100"/>
        <w:ind w:firstLine="708"/>
        <w:rPr>
          <w:rFonts w:ascii="Calibri" w:hAnsi="Calibri" w:cs="Calibri"/>
          <w:szCs w:val="20"/>
        </w:rPr>
      </w:pPr>
      <w:r w:rsidRPr="0052645F">
        <w:rPr>
          <w:rFonts w:ascii="Calibri" w:hAnsi="Calibri" w:cs="Calibri"/>
          <w:szCs w:val="20"/>
        </w:rPr>
        <w:t>Jednym z głównych źródeł finansowania rewitalizacji w latach 2014-2020 były fundusze unijne. Przedsięwzięcia z zakresu rewitalizacji są współfinansowane z regionalnych oraz krajowych programów operacyjnych. Najwięcej środków na rewitalizację zostało przeznaczonych w ramach regionalnych programów operacyjnych. W każdym część alokacji może być wydatkowana jedynie na projekty rewitalizacyjne. Krajowe programy operacyjne stanowią uzupełniające źródło współfinansowania przedsięwzięć z zakresu rewitalizacji.</w:t>
      </w:r>
    </w:p>
    <w:p w:rsidR="00D9682C" w:rsidRPr="0052645F" w:rsidRDefault="00D9682C" w:rsidP="00463955">
      <w:pPr>
        <w:pStyle w:val="Tekstpodstawowy"/>
        <w:shd w:val="clear" w:color="auto" w:fill="F2F2F2" w:themeFill="background1" w:themeFillShade="F2"/>
        <w:spacing w:before="100" w:after="0"/>
        <w:ind w:firstLine="708"/>
        <w:jc w:val="both"/>
        <w:rPr>
          <w:rFonts w:ascii="Calibri" w:hAnsi="Calibri" w:cs="Calibri"/>
          <w:szCs w:val="20"/>
        </w:rPr>
      </w:pPr>
      <w:r w:rsidRPr="0052645F">
        <w:rPr>
          <w:rFonts w:ascii="Calibri" w:hAnsi="Calibri" w:cs="Calibri"/>
          <w:szCs w:val="20"/>
        </w:rPr>
        <w:t>Na poziomie województwa śląskiego najistotniejszym dokumentem określającym instrumenty wsparcia na rzecz rewitalizacji był Regionalny Program Operacyjny Województwa Śląskiego na lata 2014-2020, który wspierał realizację projektów rewitalizacyjnych obejmujących różną problematykę i przyczyniających się do kompleksowej i skoordynowanej rewitalizacji obszarów zdegradowanych.</w:t>
      </w:r>
    </w:p>
    <w:p w:rsidR="00D9682C" w:rsidRPr="0052645F" w:rsidRDefault="00D9682C" w:rsidP="00463955">
      <w:pPr>
        <w:pStyle w:val="Tekstpodstawowy3"/>
        <w:shd w:val="clear" w:color="auto" w:fill="F2F2F2" w:themeFill="background1" w:themeFillShade="F2"/>
        <w:spacing w:before="100" w:after="0"/>
        <w:ind w:firstLine="708"/>
        <w:jc w:val="both"/>
        <w:rPr>
          <w:rFonts w:ascii="Calibri" w:hAnsi="Calibri" w:cs="Calibri"/>
          <w:sz w:val="20"/>
          <w:szCs w:val="20"/>
        </w:rPr>
      </w:pPr>
      <w:r w:rsidRPr="0052645F">
        <w:rPr>
          <w:rFonts w:ascii="Calibri" w:hAnsi="Calibri" w:cs="Calibri"/>
          <w:sz w:val="20"/>
          <w:szCs w:val="20"/>
        </w:rPr>
        <w:t>W RPO WSL zwrócono uwagę na konieczność zintegrowanego podejścia teryt</w:t>
      </w:r>
      <w:r>
        <w:rPr>
          <w:rFonts w:ascii="Calibri" w:hAnsi="Calibri" w:cs="Calibri"/>
          <w:sz w:val="20"/>
          <w:szCs w:val="20"/>
        </w:rPr>
        <w:t>orialnego, które wdrażane było</w:t>
      </w:r>
      <w:r w:rsidRPr="0052645F">
        <w:rPr>
          <w:rFonts w:ascii="Calibri" w:hAnsi="Calibri" w:cs="Calibri"/>
          <w:sz w:val="20"/>
          <w:szCs w:val="20"/>
        </w:rPr>
        <w:t xml:space="preserve"> na obszarze województwa. Wsparcie obejmowało wszystkie typy ośrodków miejskich, w tym obszary strategicznej interwencji. Rewitalizacja stanowiła jeden z pięciu terytorialnych obszarów strategicznej interwencji (OSI) wskazanych w Umowie Partnerstwa jako miasta i dzielnice miast wymagające rewitalizacji.</w:t>
      </w:r>
    </w:p>
    <w:p w:rsidR="00D9682C" w:rsidRPr="0052645F" w:rsidRDefault="00D9682C" w:rsidP="00463955">
      <w:pPr>
        <w:shd w:val="clear" w:color="auto" w:fill="F2F2F2" w:themeFill="background1" w:themeFillShade="F2"/>
        <w:autoSpaceDE w:val="0"/>
        <w:autoSpaceDN w:val="0"/>
        <w:adjustRightInd w:val="0"/>
        <w:spacing w:before="100"/>
        <w:ind w:firstLine="708"/>
        <w:jc w:val="both"/>
        <w:rPr>
          <w:rFonts w:ascii="Calibri" w:hAnsi="Calibri" w:cs="Calibri"/>
          <w:szCs w:val="20"/>
        </w:rPr>
      </w:pPr>
      <w:r w:rsidRPr="0052645F">
        <w:rPr>
          <w:rFonts w:ascii="Calibri" w:hAnsi="Calibri" w:cs="Calibri"/>
          <w:szCs w:val="20"/>
        </w:rPr>
        <w:t xml:space="preserve">Powołując się na badania unijne w ramach projektu SHRINK SMART – </w:t>
      </w:r>
      <w:r w:rsidRPr="0052645F">
        <w:rPr>
          <w:rFonts w:ascii="Calibri" w:hAnsi="Calibri" w:cs="Calibri"/>
          <w:i/>
          <w:szCs w:val="20"/>
        </w:rPr>
        <w:t>The Governance of Shrinkage within a European Context</w:t>
      </w:r>
      <w:r w:rsidRPr="0052645F">
        <w:rPr>
          <w:rFonts w:ascii="Calibri" w:hAnsi="Calibri" w:cs="Calibri"/>
          <w:szCs w:val="20"/>
        </w:rPr>
        <w:t xml:space="preserve">, w programie zapisano, iż wsparcie zostanie skierowane szczególnie do ośrodków </w:t>
      </w:r>
      <w:r w:rsidRPr="0052645F">
        <w:rPr>
          <w:rFonts w:ascii="Calibri" w:hAnsi="Calibri" w:cs="Calibri"/>
          <w:szCs w:val="20"/>
        </w:rPr>
        <w:br/>
        <w:t xml:space="preserve">o największym natężeniu problemów społecznych, gospodarczych i infrastrukturalnych (silna koncentracja negatywnych zjawisk społeczno-gospodarczych, tj. zamieranie centrów miast, wysokie bezrobocie, niska jakość infrastruktury, depopulacja, zagrożenie ubóstwem i wykluczeniem społecznym), do których należy </w:t>
      </w:r>
      <w:r w:rsidRPr="0052645F">
        <w:rPr>
          <w:rFonts w:ascii="Calibri" w:hAnsi="Calibri" w:cs="Calibri"/>
          <w:szCs w:val="20"/>
        </w:rPr>
        <w:br/>
        <w:t>w szczególności Bytom charakteryzujący się oprócz wysokiego bezrobocia, występowaniem znacznych szkód pogórniczych, które powodują m.in. zawalenia budynków, a także postępującym wyludnieniem i dekapitalizacją obiektów w centrum miasta. Na obszarze Bytomia zaplanowane zostały</w:t>
      </w:r>
      <w:r w:rsidRPr="0052645F">
        <w:rPr>
          <w:rFonts w:ascii="Calibri" w:eastAsia="TimesNewRoman" w:hAnsi="Calibri" w:cs="Calibri"/>
          <w:szCs w:val="20"/>
        </w:rPr>
        <w:t xml:space="preserve"> </w:t>
      </w:r>
      <w:r w:rsidRPr="0052645F">
        <w:rPr>
          <w:rFonts w:ascii="Calibri" w:hAnsi="Calibri" w:cs="Calibri"/>
          <w:szCs w:val="20"/>
        </w:rPr>
        <w:t>zintegrowane działania w zakresie rewitalizacji.</w:t>
      </w:r>
    </w:p>
    <w:p w:rsidR="00D9682C" w:rsidRDefault="00D9682C" w:rsidP="00463955">
      <w:pPr>
        <w:pStyle w:val="Default"/>
        <w:shd w:val="clear" w:color="auto" w:fill="F2F2F2" w:themeFill="background1" w:themeFillShade="F2"/>
        <w:spacing w:before="100"/>
        <w:ind w:firstLine="567"/>
        <w:jc w:val="both"/>
        <w:rPr>
          <w:rFonts w:cs="Calibri"/>
          <w:sz w:val="20"/>
          <w:szCs w:val="20"/>
        </w:rPr>
      </w:pPr>
      <w:r w:rsidRPr="0052645F">
        <w:rPr>
          <w:rFonts w:cs="Calibri"/>
          <w:sz w:val="20"/>
          <w:szCs w:val="20"/>
        </w:rPr>
        <w:t xml:space="preserve">Bezpośrednio zagadnieniom rewitalizacji poświęcone były dwie osie priorytetowe: IX </w:t>
      </w:r>
      <w:r w:rsidRPr="0052645F">
        <w:rPr>
          <w:rFonts w:cs="Calibri"/>
          <w:i/>
          <w:iCs/>
          <w:sz w:val="20"/>
          <w:szCs w:val="20"/>
        </w:rPr>
        <w:t>Włączenie społeczne</w:t>
      </w:r>
      <w:r w:rsidRPr="0052645F">
        <w:rPr>
          <w:rFonts w:cs="Calibri"/>
          <w:sz w:val="20"/>
          <w:szCs w:val="20"/>
        </w:rPr>
        <w:t xml:space="preserve"> i X </w:t>
      </w:r>
      <w:r w:rsidRPr="0052645F">
        <w:rPr>
          <w:rFonts w:cs="Calibri"/>
          <w:i/>
          <w:iCs/>
          <w:sz w:val="20"/>
          <w:szCs w:val="20"/>
        </w:rPr>
        <w:t>Rewitalizacja oraz infrastruktura społeczna i zdrowotna.</w:t>
      </w:r>
      <w:r w:rsidRPr="0052645F">
        <w:rPr>
          <w:rFonts w:cs="Calibri"/>
          <w:sz w:val="20"/>
          <w:szCs w:val="20"/>
        </w:rPr>
        <w:t xml:space="preserve"> Projekty w ramach osi IX były wsparte środkami Europejskiego Funduszu Społecznego (EFS), natomiast osi X - środkami Europejskiego Funduszu Rozwoju Regionalnego (EFRR). Projekty wsparte z EFRR były realizowane w ścisłym połączeniu z działaniami nieinwestycyjnymi wspartymi z EFS.</w:t>
      </w:r>
      <w:r>
        <w:rPr>
          <w:rFonts w:cs="Calibri"/>
          <w:sz w:val="20"/>
          <w:szCs w:val="20"/>
        </w:rPr>
        <w:t xml:space="preserve"> </w:t>
      </w:r>
    </w:p>
    <w:p w:rsidR="00165F6F" w:rsidRDefault="00D9682C" w:rsidP="00463955">
      <w:pPr>
        <w:pStyle w:val="Default"/>
        <w:shd w:val="clear" w:color="auto" w:fill="F2F2F2" w:themeFill="background1" w:themeFillShade="F2"/>
        <w:spacing w:before="100"/>
        <w:ind w:firstLine="708"/>
        <w:jc w:val="both"/>
        <w:rPr>
          <w:rFonts w:cs="Calibri"/>
          <w:sz w:val="20"/>
          <w:szCs w:val="20"/>
        </w:rPr>
      </w:pPr>
      <w:r>
        <w:rPr>
          <w:rFonts w:cs="Calibri"/>
          <w:sz w:val="20"/>
          <w:szCs w:val="20"/>
        </w:rPr>
        <w:t xml:space="preserve">W ramach EFRR główny ciężar wsparcia procesu rewitalizacji został położony na priorytet inwestycyjny 9b - wspieranie rewitalizacji fizycznej, gospodarczej i społecznej ubogich społeczności na obszarach miejskich </w:t>
      </w:r>
      <w:r>
        <w:rPr>
          <w:rFonts w:cs="Calibri"/>
          <w:sz w:val="20"/>
          <w:szCs w:val="20"/>
        </w:rPr>
        <w:br/>
        <w:t>i wiejskich, odnoszący się do Działań 10.3 i 10.4 RPO WSL. Projekty realizowane z EFRR wspierały działania społeczne realizowane za pomocą EFS. Kluczowe dla zapewnienia komplementarności podejmowanych działań były priorytety inwestycyjne:</w:t>
      </w:r>
    </w:p>
    <w:p w:rsidR="00D9682C" w:rsidRDefault="00D9682C" w:rsidP="00463955">
      <w:pPr>
        <w:pStyle w:val="Default"/>
        <w:numPr>
          <w:ilvl w:val="0"/>
          <w:numId w:val="41"/>
        </w:numPr>
        <w:shd w:val="clear" w:color="auto" w:fill="F2F2F2" w:themeFill="background1" w:themeFillShade="F2"/>
        <w:tabs>
          <w:tab w:val="clear" w:pos="1440"/>
        </w:tabs>
        <w:spacing w:before="100"/>
        <w:ind w:left="714" w:hanging="357"/>
        <w:jc w:val="both"/>
        <w:rPr>
          <w:rFonts w:cs="Calibri"/>
          <w:sz w:val="20"/>
          <w:szCs w:val="20"/>
        </w:rPr>
      </w:pPr>
      <w:r>
        <w:rPr>
          <w:rFonts w:cs="Calibri"/>
          <w:sz w:val="20"/>
          <w:szCs w:val="20"/>
        </w:rPr>
        <w:t xml:space="preserve">9i - aktywne włączenie, w tym z myślą o promowaniu równych szans oraz aktywnego uczestnictwa </w:t>
      </w:r>
      <w:r>
        <w:rPr>
          <w:rFonts w:cs="Calibri"/>
          <w:sz w:val="20"/>
          <w:szCs w:val="20"/>
        </w:rPr>
        <w:br/>
        <w:t>i zwiększaniu szans na zatrudnienie (Poddziałania 9.1.1, 9.1.2, 9.1.3 RPO WSL),</w:t>
      </w:r>
    </w:p>
    <w:p w:rsidR="00D9682C" w:rsidRDefault="00D9682C" w:rsidP="00463955">
      <w:pPr>
        <w:pStyle w:val="Default"/>
        <w:numPr>
          <w:ilvl w:val="0"/>
          <w:numId w:val="41"/>
        </w:numPr>
        <w:shd w:val="clear" w:color="auto" w:fill="F2F2F2" w:themeFill="background1" w:themeFillShade="F2"/>
        <w:tabs>
          <w:tab w:val="clear" w:pos="1440"/>
        </w:tabs>
        <w:spacing w:before="100"/>
        <w:ind w:left="714" w:hanging="357"/>
        <w:jc w:val="both"/>
        <w:rPr>
          <w:rFonts w:cs="Calibri"/>
          <w:sz w:val="20"/>
          <w:szCs w:val="20"/>
        </w:rPr>
      </w:pPr>
      <w:r>
        <w:rPr>
          <w:rFonts w:cs="Calibri"/>
          <w:sz w:val="20"/>
          <w:szCs w:val="20"/>
        </w:rPr>
        <w:t xml:space="preserve">9iv - ułatwianie dostępu do niedrogich, trwałych oraz wysokiej jakości usług, w tym opieki zdrowotnej </w:t>
      </w:r>
      <w:r>
        <w:rPr>
          <w:rFonts w:cs="Calibri"/>
          <w:sz w:val="20"/>
          <w:szCs w:val="20"/>
        </w:rPr>
        <w:br/>
        <w:t>i usług socjalnych świadczonych w interesie ogólnym (Poddziałania 9.2.1, 9.2.2, 9.2.3 RPO WSL).</w:t>
      </w:r>
    </w:p>
    <w:p w:rsidR="00D9682C" w:rsidRDefault="00D9682C" w:rsidP="00463955">
      <w:pPr>
        <w:pStyle w:val="Default"/>
        <w:shd w:val="clear" w:color="auto" w:fill="F2F2F2" w:themeFill="background1" w:themeFillShade="F2"/>
        <w:spacing w:before="100"/>
        <w:jc w:val="both"/>
        <w:rPr>
          <w:rFonts w:cs="Calibri"/>
          <w:sz w:val="20"/>
          <w:szCs w:val="20"/>
        </w:rPr>
      </w:pPr>
      <w:r>
        <w:rPr>
          <w:rFonts w:cs="Calibri"/>
          <w:sz w:val="20"/>
          <w:szCs w:val="20"/>
        </w:rPr>
        <w:t>Pozostały katalog priorytetów inwestycyjnych wskazanych z EFS stanowił dopełnienie katalogu wsparcia.</w:t>
      </w:r>
    </w:p>
    <w:p w:rsidR="00D9682C" w:rsidRPr="00DC250C" w:rsidRDefault="00D9682C" w:rsidP="00463955">
      <w:pPr>
        <w:pStyle w:val="Tekstpodstawowywcity2"/>
        <w:shd w:val="clear" w:color="auto" w:fill="F2F2F2" w:themeFill="background1" w:themeFillShade="F2"/>
        <w:spacing w:before="100" w:after="0" w:line="240" w:lineRule="auto"/>
        <w:ind w:left="0" w:firstLine="708"/>
        <w:jc w:val="both"/>
        <w:rPr>
          <w:rFonts w:ascii="Calibri" w:hAnsi="Calibri" w:cs="Calibri"/>
          <w:szCs w:val="20"/>
        </w:rPr>
      </w:pPr>
      <w:r>
        <w:rPr>
          <w:rFonts w:ascii="Calibri" w:hAnsi="Calibri" w:cs="Calibri"/>
          <w:szCs w:val="20"/>
        </w:rPr>
        <w:lastRenderedPageBreak/>
        <w:t xml:space="preserve">Warunkiem ubiegania się o środki na działania rewitalizacyjne było wpisanie planowanych projektów do gminnego programu rewitalizacji. Działania rewitalizacyjne mogły dotyczyć projektów związanych z aktywizacją społeczną i zawodową osób zagrożonych wykluczeniem społecznym, wsparciem wejścia lub powrotem na rynek pracy (aktywność zawodowa), rozwojem przedsiębiorczości, poprawą efektywności energetycznej budynków użyteczności publicznej oraz mieszkalnych, zrównoważonym transportem miejskim, promocją działań dotyczących kultury, w tym ochrony i opieki nad zabytkami, środowiska naturalnego i ochrony terenów zielonych. O dofinansowanie występować mogły bardzo różne podmioty, m.in. samorządy, organizacje pozarządowe, spółdzielnie i wspólnoty mieszkaniowe czy przedsiębiorcy. </w:t>
      </w:r>
    </w:p>
    <w:p w:rsidR="00D9682C" w:rsidRDefault="00D9682C" w:rsidP="00463955">
      <w:pPr>
        <w:pStyle w:val="Tekstpodstawowywcity2"/>
        <w:shd w:val="clear" w:color="auto" w:fill="F2F2F2" w:themeFill="background1" w:themeFillShade="F2"/>
        <w:spacing w:before="100" w:after="0" w:line="240" w:lineRule="auto"/>
        <w:ind w:left="0" w:firstLine="708"/>
        <w:jc w:val="both"/>
        <w:rPr>
          <w:rFonts w:ascii="Calibri" w:hAnsi="Calibri" w:cs="Calibri"/>
          <w:szCs w:val="20"/>
        </w:rPr>
      </w:pPr>
      <w:r>
        <w:rPr>
          <w:rFonts w:ascii="Calibri" w:hAnsi="Calibri" w:cs="Calibri"/>
          <w:szCs w:val="20"/>
        </w:rPr>
        <w:t>Głównym sposobem preferencji dla projektów rewitalizacyjnych realizowanych w ramach OSI w przypadku:</w:t>
      </w:r>
    </w:p>
    <w:p w:rsidR="00D9682C" w:rsidRDefault="00D9682C" w:rsidP="00463955">
      <w:pPr>
        <w:pStyle w:val="Tekstpodstawowywcity2"/>
        <w:numPr>
          <w:ilvl w:val="0"/>
          <w:numId w:val="90"/>
        </w:numPr>
        <w:shd w:val="clear" w:color="auto" w:fill="F2F2F2" w:themeFill="background1" w:themeFillShade="F2"/>
        <w:spacing w:before="100" w:after="0" w:line="240" w:lineRule="auto"/>
        <w:jc w:val="both"/>
        <w:rPr>
          <w:rFonts w:ascii="Calibri" w:hAnsi="Calibri" w:cs="Calibri"/>
          <w:szCs w:val="20"/>
        </w:rPr>
      </w:pPr>
      <w:r>
        <w:rPr>
          <w:rFonts w:ascii="Calibri" w:hAnsi="Calibri" w:cs="Calibri"/>
          <w:szCs w:val="20"/>
        </w:rPr>
        <w:t xml:space="preserve">EFRR było dofinansowanie projektów w trybie pozakonkursowym. </w:t>
      </w:r>
    </w:p>
    <w:p w:rsidR="00D9682C" w:rsidRDefault="00D9682C" w:rsidP="00463955">
      <w:pPr>
        <w:pStyle w:val="Tekstpodstawowywcity2"/>
        <w:numPr>
          <w:ilvl w:val="0"/>
          <w:numId w:val="90"/>
        </w:numPr>
        <w:shd w:val="clear" w:color="auto" w:fill="F2F2F2" w:themeFill="background1" w:themeFillShade="F2"/>
        <w:spacing w:before="100" w:after="0" w:line="240" w:lineRule="auto"/>
        <w:jc w:val="both"/>
        <w:rPr>
          <w:rFonts w:ascii="Calibri" w:hAnsi="Calibri" w:cs="Calibri"/>
          <w:szCs w:val="20"/>
        </w:rPr>
      </w:pPr>
      <w:r>
        <w:rPr>
          <w:rFonts w:ascii="Calibri" w:hAnsi="Calibri" w:cs="Calibri"/>
          <w:szCs w:val="20"/>
        </w:rPr>
        <w:t>EFS były preferencje w postaci dedykowanych konkursów lub kryteriów wyboru projektów.</w:t>
      </w:r>
    </w:p>
    <w:p w:rsidR="00D9682C" w:rsidRDefault="00D9682C" w:rsidP="00463955">
      <w:pPr>
        <w:pStyle w:val="Tekstpodstawowy2"/>
        <w:shd w:val="clear" w:color="auto" w:fill="F2F2F2" w:themeFill="background1" w:themeFillShade="F2"/>
        <w:autoSpaceDE/>
        <w:autoSpaceDN/>
        <w:adjustRightInd/>
        <w:spacing w:before="100"/>
        <w:ind w:firstLine="708"/>
        <w:rPr>
          <w:rFonts w:ascii="Calibri" w:hAnsi="Calibri" w:cs="Calibri"/>
          <w:szCs w:val="20"/>
        </w:rPr>
      </w:pPr>
      <w:r>
        <w:rPr>
          <w:rFonts w:ascii="Calibri" w:hAnsi="Calibri" w:cs="Calibri"/>
          <w:szCs w:val="20"/>
        </w:rPr>
        <w:t>Kluczową rolę w planowaniu kompleksowej rewitalizacji powinny tworzyć problemy społeczne, jako jej fundament. Działania społeczne miały decydujące znaczenie z perspektywy dokonywanych zmian infrastrukturalnych warunkując ich trwałość i akceptację przez mieszkańców obszarów zdegradowanych.</w:t>
      </w:r>
    </w:p>
    <w:p w:rsidR="000C70A4" w:rsidRPr="00BF1DF2" w:rsidRDefault="007349BA" w:rsidP="00463955">
      <w:pPr>
        <w:shd w:val="clear" w:color="auto" w:fill="F2F2F2" w:themeFill="background1" w:themeFillShade="F2"/>
        <w:spacing w:before="120"/>
        <w:ind w:firstLine="708"/>
        <w:jc w:val="both"/>
        <w:rPr>
          <w:rFonts w:ascii="Calibri" w:hAnsi="Calibri" w:cs="Calibri"/>
          <w:szCs w:val="20"/>
        </w:rPr>
      </w:pPr>
      <w:r w:rsidRPr="00BF1DF2">
        <w:rPr>
          <w:rFonts w:ascii="Calibri" w:hAnsi="Calibri" w:cs="Calibri"/>
          <w:szCs w:val="20"/>
        </w:rPr>
        <w:t xml:space="preserve">Przewidziane do realizacji </w:t>
      </w:r>
      <w:r w:rsidR="00894745" w:rsidRPr="00BF1DF2">
        <w:rPr>
          <w:rFonts w:ascii="Calibri" w:hAnsi="Calibri" w:cs="Calibri"/>
          <w:szCs w:val="20"/>
        </w:rPr>
        <w:t xml:space="preserve">w terminie do 2023 roku, a więc w trakcie perspektywy finansowej UE na lata 2014-2020 </w:t>
      </w:r>
      <w:r w:rsidRPr="00BF1DF2">
        <w:rPr>
          <w:rFonts w:ascii="Calibri" w:hAnsi="Calibri" w:cs="Calibri"/>
          <w:szCs w:val="20"/>
        </w:rPr>
        <w:t>działania</w:t>
      </w:r>
      <w:r w:rsidR="000C70A4" w:rsidRPr="00BF1DF2">
        <w:rPr>
          <w:rFonts w:ascii="Calibri" w:hAnsi="Calibri" w:cs="Calibri"/>
          <w:szCs w:val="20"/>
        </w:rPr>
        <w:t xml:space="preserve"> rewitalizacyjne </w:t>
      </w:r>
      <w:r w:rsidRPr="00BF1DF2">
        <w:rPr>
          <w:rFonts w:ascii="Calibri" w:hAnsi="Calibri" w:cs="Calibri"/>
          <w:szCs w:val="20"/>
        </w:rPr>
        <w:t>zawarte</w:t>
      </w:r>
      <w:r w:rsidR="000C70A4" w:rsidRPr="00BF1DF2">
        <w:rPr>
          <w:rFonts w:ascii="Calibri" w:hAnsi="Calibri" w:cs="Calibri"/>
          <w:szCs w:val="20"/>
        </w:rPr>
        <w:t xml:space="preserve"> w bytomskim programie rewitalizacji</w:t>
      </w:r>
      <w:r w:rsidR="00894745" w:rsidRPr="00BF1DF2">
        <w:rPr>
          <w:rFonts w:ascii="Calibri" w:hAnsi="Calibri" w:cs="Calibri"/>
          <w:szCs w:val="20"/>
        </w:rPr>
        <w:t>, wpisywały</w:t>
      </w:r>
      <w:r w:rsidR="000C70A4" w:rsidRPr="00BF1DF2">
        <w:rPr>
          <w:rFonts w:ascii="Calibri" w:hAnsi="Calibri" w:cs="Calibri"/>
          <w:szCs w:val="20"/>
        </w:rPr>
        <w:t xml:space="preserve"> się w zapisy RPO WSL 2014-202</w:t>
      </w:r>
      <w:r w:rsidR="00894745" w:rsidRPr="00BF1DF2">
        <w:rPr>
          <w:rFonts w:ascii="Calibri" w:hAnsi="Calibri" w:cs="Calibri"/>
          <w:szCs w:val="20"/>
        </w:rPr>
        <w:t xml:space="preserve">0 i w większości </w:t>
      </w:r>
      <w:r w:rsidR="000C70A4" w:rsidRPr="00BF1DF2">
        <w:rPr>
          <w:rFonts w:ascii="Calibri" w:hAnsi="Calibri" w:cs="Calibri"/>
          <w:szCs w:val="20"/>
        </w:rPr>
        <w:t xml:space="preserve">dofinansowane </w:t>
      </w:r>
      <w:r w:rsidR="00894745" w:rsidRPr="00BF1DF2">
        <w:rPr>
          <w:rFonts w:ascii="Calibri" w:hAnsi="Calibri" w:cs="Calibri"/>
          <w:szCs w:val="20"/>
        </w:rPr>
        <w:t xml:space="preserve">były </w:t>
      </w:r>
      <w:r w:rsidR="000C70A4" w:rsidRPr="00BF1DF2">
        <w:rPr>
          <w:rFonts w:ascii="Calibri" w:hAnsi="Calibri" w:cs="Calibri"/>
          <w:szCs w:val="20"/>
        </w:rPr>
        <w:t>ze środków EFRR i EFS.</w:t>
      </w:r>
    </w:p>
    <w:p w:rsidR="00E912D3" w:rsidRPr="00751086" w:rsidRDefault="00E912D3">
      <w:pPr>
        <w:jc w:val="both"/>
        <w:rPr>
          <w:color w:val="FF0000"/>
        </w:rPr>
      </w:pPr>
    </w:p>
    <w:p w:rsidR="004A6629" w:rsidRPr="00BF1DF2" w:rsidRDefault="004A6629" w:rsidP="00463955">
      <w:pPr>
        <w:shd w:val="clear" w:color="auto" w:fill="F2F2F2" w:themeFill="background1" w:themeFillShade="F2"/>
        <w:jc w:val="both"/>
        <w:rPr>
          <w:rFonts w:cstheme="minorHAnsi"/>
          <w:b/>
          <w:color w:val="0070C0"/>
          <w:sz w:val="22"/>
          <w:szCs w:val="22"/>
        </w:rPr>
      </w:pPr>
      <w:r w:rsidRPr="00BF1DF2">
        <w:rPr>
          <w:rFonts w:cstheme="minorHAnsi"/>
          <w:b/>
          <w:color w:val="0070C0"/>
          <w:sz w:val="22"/>
          <w:szCs w:val="22"/>
        </w:rPr>
        <w:t>Regionalna Polityka Miejska Województwa Śląskiego</w:t>
      </w:r>
    </w:p>
    <w:p w:rsidR="004A6629" w:rsidRPr="00BF1DF2" w:rsidRDefault="00D30D0C" w:rsidP="00463955">
      <w:pPr>
        <w:shd w:val="clear" w:color="auto" w:fill="F2F2F2" w:themeFill="background1" w:themeFillShade="F2"/>
        <w:autoSpaceDE w:val="0"/>
        <w:autoSpaceDN w:val="0"/>
        <w:adjustRightInd w:val="0"/>
        <w:spacing w:before="100"/>
        <w:ind w:firstLine="680"/>
        <w:jc w:val="both"/>
        <w:rPr>
          <w:rFonts w:cstheme="minorHAnsi"/>
          <w:szCs w:val="20"/>
        </w:rPr>
      </w:pPr>
      <w:r w:rsidRPr="00BF1DF2">
        <w:rPr>
          <w:rFonts w:cstheme="minorHAnsi"/>
          <w:szCs w:val="20"/>
        </w:rPr>
        <w:t>Stanowi d</w:t>
      </w:r>
      <w:r w:rsidR="004A6629" w:rsidRPr="00BF1DF2">
        <w:rPr>
          <w:rFonts w:cstheme="minorHAnsi"/>
          <w:szCs w:val="20"/>
        </w:rPr>
        <w:t>okument, którego zadaniem jest koordynacja polityk branżowych odnoszących się do miast oraz tworzenie na poziomie regionalnym sprzyjającego otoczenia organizacyjnego dla efektywniejszego prowadzenia działań na rzecz rozwoju miast i większego ich współdziałania.</w:t>
      </w:r>
      <w:r w:rsidRPr="00BF1DF2">
        <w:rPr>
          <w:rFonts w:cstheme="minorHAnsi"/>
          <w:szCs w:val="20"/>
        </w:rPr>
        <w:t xml:space="preserve"> Przyjęta została przez Zarząd Województwa Śląskiego w 2021 roku.</w:t>
      </w:r>
    </w:p>
    <w:p w:rsidR="00E912D3" w:rsidRPr="00BF1DF2" w:rsidRDefault="004A6629" w:rsidP="00463955">
      <w:pPr>
        <w:shd w:val="clear" w:color="auto" w:fill="F2F2F2" w:themeFill="background1" w:themeFillShade="F2"/>
        <w:spacing w:before="100"/>
        <w:ind w:firstLine="680"/>
        <w:jc w:val="both"/>
        <w:rPr>
          <w:rFonts w:cstheme="minorHAnsi"/>
          <w:szCs w:val="20"/>
        </w:rPr>
      </w:pPr>
      <w:r w:rsidRPr="00BF1DF2">
        <w:rPr>
          <w:rFonts w:cstheme="minorHAnsi"/>
          <w:szCs w:val="20"/>
        </w:rPr>
        <w:t xml:space="preserve">Zgodnie z zapisami dokumentu </w:t>
      </w:r>
      <w:r w:rsidR="00E912D3" w:rsidRPr="00BF1DF2">
        <w:rPr>
          <w:rFonts w:cstheme="minorHAnsi"/>
          <w:szCs w:val="20"/>
        </w:rPr>
        <w:t>Województwo Śląskie jest szczególnie wymagającym regionem w odniesieniu do procesu rewitalizacji. Negatywne zjawiska społeczne wynikające ze zmian strukturalnych, są następstwem kryzysów</w:t>
      </w:r>
      <w:r w:rsidR="00D30D0C" w:rsidRPr="00BF1DF2">
        <w:rPr>
          <w:rFonts w:cstheme="minorHAnsi"/>
          <w:szCs w:val="20"/>
        </w:rPr>
        <w:t xml:space="preserve"> w innych obszarach życia miast</w:t>
      </w:r>
      <w:r w:rsidR="00E912D3" w:rsidRPr="00BF1DF2">
        <w:rPr>
          <w:rFonts w:cstheme="minorHAnsi"/>
          <w:szCs w:val="20"/>
        </w:rPr>
        <w:t>. Tereny wymagające rewitalizacji cechują się wieloma problemami w strefie społeczno-gospodarczej, a zamieszkująca je ludność często dotknięta jest ubós</w:t>
      </w:r>
      <w:r w:rsidR="00D30D0C" w:rsidRPr="00BF1DF2">
        <w:rPr>
          <w:rFonts w:cstheme="minorHAnsi"/>
          <w:szCs w:val="20"/>
        </w:rPr>
        <w:t>twem i wykluczeniem społecznym. Jednocześnie analiza prowadzona</w:t>
      </w:r>
      <w:r w:rsidRPr="00BF1DF2">
        <w:rPr>
          <w:rFonts w:cstheme="minorHAnsi"/>
          <w:szCs w:val="20"/>
        </w:rPr>
        <w:t xml:space="preserve"> w ramach </w:t>
      </w:r>
      <w:r w:rsidR="00D30D0C" w:rsidRPr="00BF1DF2">
        <w:rPr>
          <w:rFonts w:cstheme="minorHAnsi"/>
          <w:szCs w:val="20"/>
        </w:rPr>
        <w:t xml:space="preserve">wskaźnika rozwoju terytorialnego w odniesieniu do Bytomia wskazuje miasto jako zaliczające się do miast średnich tracące funkcje społeczno-gospodarcze, o bardzo niskim poziomie tego wskaźnika. </w:t>
      </w:r>
    </w:p>
    <w:p w:rsidR="00E912D3" w:rsidRPr="00751086" w:rsidRDefault="00E912D3">
      <w:pPr>
        <w:jc w:val="both"/>
        <w:rPr>
          <w:rFonts w:ascii="Calibri" w:hAnsi="Calibri" w:cs="Calibri"/>
          <w:color w:val="FF0000"/>
          <w:szCs w:val="20"/>
        </w:rPr>
      </w:pPr>
    </w:p>
    <w:p w:rsidR="00FA543C" w:rsidRPr="00BF1DF2" w:rsidRDefault="00A82138" w:rsidP="00463955">
      <w:pPr>
        <w:shd w:val="clear" w:color="auto" w:fill="F2F2F2" w:themeFill="background1" w:themeFillShade="F2"/>
        <w:jc w:val="both"/>
        <w:rPr>
          <w:rFonts w:cstheme="minorHAnsi"/>
          <w:b/>
          <w:color w:val="0070C0"/>
          <w:sz w:val="22"/>
          <w:szCs w:val="22"/>
        </w:rPr>
      </w:pPr>
      <w:r w:rsidRPr="00BF1DF2">
        <w:rPr>
          <w:b/>
          <w:color w:val="0070C0"/>
          <w:sz w:val="22"/>
          <w:szCs w:val="22"/>
        </w:rPr>
        <w:t>Regionalna Polityka Rewitalizacji Województwa Śląskiego</w:t>
      </w:r>
    </w:p>
    <w:p w:rsidR="00FA543C" w:rsidRPr="00BF1DF2" w:rsidRDefault="004A6629" w:rsidP="00463955">
      <w:pPr>
        <w:shd w:val="clear" w:color="auto" w:fill="F2F2F2" w:themeFill="background1" w:themeFillShade="F2"/>
        <w:spacing w:before="100"/>
        <w:ind w:firstLine="680"/>
        <w:jc w:val="both"/>
        <w:rPr>
          <w:rFonts w:cstheme="minorHAnsi"/>
          <w:b/>
          <w:sz w:val="22"/>
          <w:szCs w:val="22"/>
        </w:rPr>
      </w:pPr>
      <w:r w:rsidRPr="00BF1DF2">
        <w:rPr>
          <w:rFonts w:cstheme="minorHAnsi"/>
          <w:szCs w:val="20"/>
        </w:rPr>
        <w:t>Do najważniejszych wyzwań, które stoją przed miastami, a które zos</w:t>
      </w:r>
      <w:r w:rsidR="00D3779D" w:rsidRPr="00BF1DF2">
        <w:rPr>
          <w:rFonts w:cstheme="minorHAnsi"/>
          <w:szCs w:val="20"/>
        </w:rPr>
        <w:t xml:space="preserve">tały zdefiniowane w dokumencie </w:t>
      </w:r>
      <w:r w:rsidR="00E80D4D" w:rsidRPr="00BF1DF2">
        <w:rPr>
          <w:rFonts w:cstheme="minorHAnsi"/>
          <w:szCs w:val="20"/>
        </w:rPr>
        <w:t xml:space="preserve">przyjętym w 2022 roku </w:t>
      </w:r>
      <w:r w:rsidR="00D3779D" w:rsidRPr="00BF1DF2">
        <w:rPr>
          <w:rFonts w:cstheme="minorHAnsi"/>
          <w:szCs w:val="20"/>
        </w:rPr>
        <w:t xml:space="preserve">należą m.in.: </w:t>
      </w:r>
      <w:r w:rsidRPr="00BF1DF2">
        <w:rPr>
          <w:rFonts w:cstheme="minorHAnsi"/>
          <w:szCs w:val="20"/>
        </w:rPr>
        <w:t>zapewnienie wysokiej funkcjonalności i jakości przestrzeni publicznych i mieszkalnictwa, zagospodarowanie obiektów i terenów zdegradowanych oraz poprawa jakości środowiska na terenach zdegradowanych.</w:t>
      </w:r>
      <w:r w:rsidR="002F4FA3" w:rsidRPr="00BF1DF2">
        <w:rPr>
          <w:rFonts w:cstheme="minorHAnsi"/>
          <w:szCs w:val="20"/>
        </w:rPr>
        <w:t xml:space="preserve"> </w:t>
      </w:r>
      <w:r w:rsidR="002F4FA3" w:rsidRPr="00BF1DF2">
        <w:rPr>
          <w:szCs w:val="20"/>
        </w:rPr>
        <w:t xml:space="preserve">Analiza </w:t>
      </w:r>
      <w:r w:rsidR="00A82138" w:rsidRPr="00BF1DF2">
        <w:rPr>
          <w:szCs w:val="20"/>
        </w:rPr>
        <w:t>poziomu problemów rewitalizacyjn</w:t>
      </w:r>
      <w:r w:rsidR="002F4FA3" w:rsidRPr="00BF1DF2">
        <w:rPr>
          <w:szCs w:val="20"/>
        </w:rPr>
        <w:t>ych wskazuje</w:t>
      </w:r>
      <w:r w:rsidR="00FA543C" w:rsidRPr="00BF1DF2">
        <w:rPr>
          <w:szCs w:val="20"/>
        </w:rPr>
        <w:t xml:space="preserve"> Bytom jako </w:t>
      </w:r>
      <w:r w:rsidR="00FA543C" w:rsidRPr="00BF1DF2">
        <w:rPr>
          <w:rFonts w:ascii="Calibri" w:hAnsi="Calibri" w:cs="Calibri"/>
          <w:bCs/>
          <w:szCs w:val="20"/>
        </w:rPr>
        <w:t xml:space="preserve">miasto o </w:t>
      </w:r>
      <w:r w:rsidR="002F4FA3" w:rsidRPr="00BF1DF2">
        <w:rPr>
          <w:rFonts w:ascii="Calibri" w:hAnsi="Calibri" w:cs="Calibri"/>
          <w:bCs/>
          <w:szCs w:val="20"/>
        </w:rPr>
        <w:t>wysoki</w:t>
      </w:r>
      <w:r w:rsidR="00FA543C" w:rsidRPr="00BF1DF2">
        <w:rPr>
          <w:rFonts w:ascii="Calibri" w:hAnsi="Calibri" w:cs="Calibri"/>
          <w:bCs/>
          <w:szCs w:val="20"/>
        </w:rPr>
        <w:t>m</w:t>
      </w:r>
      <w:r w:rsidR="002F4FA3" w:rsidRPr="00BF1DF2">
        <w:rPr>
          <w:rFonts w:ascii="Calibri" w:hAnsi="Calibri" w:cs="Calibri"/>
          <w:bCs/>
          <w:szCs w:val="20"/>
        </w:rPr>
        <w:t xml:space="preserve"> poziom</w:t>
      </w:r>
      <w:r w:rsidR="00FA543C" w:rsidRPr="00BF1DF2">
        <w:rPr>
          <w:rFonts w:ascii="Calibri" w:hAnsi="Calibri" w:cs="Calibri"/>
          <w:bCs/>
          <w:szCs w:val="20"/>
        </w:rPr>
        <w:t>ie</w:t>
      </w:r>
      <w:r w:rsidR="002F4FA3" w:rsidRPr="00BF1DF2">
        <w:rPr>
          <w:rFonts w:ascii="Calibri" w:hAnsi="Calibri" w:cs="Calibri"/>
          <w:bCs/>
          <w:szCs w:val="20"/>
        </w:rPr>
        <w:t xml:space="preserve"> problemów rewitalizacyjnych</w:t>
      </w:r>
      <w:r w:rsidR="00FA543C" w:rsidRPr="00BF1DF2">
        <w:rPr>
          <w:szCs w:val="20"/>
        </w:rPr>
        <w:t xml:space="preserve">, w tym </w:t>
      </w:r>
      <w:r w:rsidR="00A82138" w:rsidRPr="00BF1DF2">
        <w:rPr>
          <w:rFonts w:ascii="Calibri" w:hAnsi="Calibri" w:cs="Calibri"/>
          <w:szCs w:val="20"/>
        </w:rPr>
        <w:t>niedostosowania społecznego</w:t>
      </w:r>
      <w:r w:rsidR="00FA543C" w:rsidRPr="00BF1DF2">
        <w:rPr>
          <w:rFonts w:ascii="Calibri" w:hAnsi="Calibri" w:cs="Calibri"/>
          <w:szCs w:val="20"/>
        </w:rPr>
        <w:t>.</w:t>
      </w:r>
    </w:p>
    <w:p w:rsidR="00A82138" w:rsidRPr="00BF1DF2" w:rsidRDefault="00A82138" w:rsidP="00463955">
      <w:pPr>
        <w:shd w:val="clear" w:color="auto" w:fill="F2F2F2" w:themeFill="background1" w:themeFillShade="F2"/>
        <w:spacing w:before="100"/>
        <w:ind w:firstLine="680"/>
        <w:jc w:val="both"/>
        <w:rPr>
          <w:rFonts w:cstheme="minorHAnsi"/>
          <w:b/>
          <w:sz w:val="22"/>
          <w:szCs w:val="22"/>
        </w:rPr>
      </w:pPr>
      <w:r w:rsidRPr="00BF1DF2">
        <w:rPr>
          <w:szCs w:val="20"/>
        </w:rPr>
        <w:t xml:space="preserve">Celem generalnym regionalnej polityki rewitalizacji jest </w:t>
      </w:r>
      <w:r w:rsidRPr="00BF1DF2">
        <w:rPr>
          <w:bCs/>
          <w:szCs w:val="20"/>
        </w:rPr>
        <w:t>wsparcie procesów inkluzji społecznej, aktywizacji mieszkańców regionu oraz podniesienie warunków ich życia przy wykorzystaniu narzędzi rozwoju przedsiębiorczości, poprawy jakości środowiska oraz dostosowania przestrzeni życia do potrzeb mieszkańców</w:t>
      </w:r>
      <w:r w:rsidRPr="00BF1DF2">
        <w:rPr>
          <w:szCs w:val="20"/>
        </w:rPr>
        <w:t>.</w:t>
      </w:r>
      <w:r w:rsidR="00FA543C" w:rsidRPr="00BF1DF2">
        <w:rPr>
          <w:szCs w:val="20"/>
        </w:rPr>
        <w:t xml:space="preserve"> </w:t>
      </w:r>
      <w:r w:rsidR="00E80D4D" w:rsidRPr="00BF1DF2">
        <w:rPr>
          <w:szCs w:val="20"/>
        </w:rPr>
        <w:t>Cel generalny jest</w:t>
      </w:r>
      <w:r w:rsidRPr="00BF1DF2">
        <w:rPr>
          <w:szCs w:val="20"/>
        </w:rPr>
        <w:t xml:space="preserve"> operacjonalizowany p</w:t>
      </w:r>
      <w:r w:rsidR="00FA543C" w:rsidRPr="00BF1DF2">
        <w:rPr>
          <w:szCs w:val="20"/>
        </w:rPr>
        <w:t>oprzez pięć celów operacyjnych oraz</w:t>
      </w:r>
      <w:r w:rsidRPr="00BF1DF2">
        <w:rPr>
          <w:szCs w:val="20"/>
        </w:rPr>
        <w:t xml:space="preserve"> działania zapisane w każdym z nich.</w:t>
      </w:r>
    </w:p>
    <w:p w:rsidR="005303BC" w:rsidRPr="00BF1DF2" w:rsidRDefault="001861B6" w:rsidP="00463955">
      <w:pPr>
        <w:shd w:val="clear" w:color="auto" w:fill="F2F2F2" w:themeFill="background1" w:themeFillShade="F2"/>
        <w:spacing w:before="100"/>
        <w:jc w:val="both"/>
        <w:rPr>
          <w:szCs w:val="20"/>
        </w:rPr>
      </w:pPr>
      <w:r w:rsidRPr="00BF1DF2">
        <w:rPr>
          <w:szCs w:val="20"/>
        </w:rPr>
        <w:t xml:space="preserve">Cel operacyjny </w:t>
      </w:r>
      <w:r w:rsidR="00A82138" w:rsidRPr="00BF1DF2">
        <w:rPr>
          <w:szCs w:val="20"/>
        </w:rPr>
        <w:t>C1 Wzrost kompetencji społecznych i aktywności mieszkańców oraz ich udziału w życiu społeczności lokalnych i regionu na terenach i obszarach zdegradowanych</w:t>
      </w:r>
      <w:r w:rsidR="000E37F6" w:rsidRPr="00BF1DF2">
        <w:rPr>
          <w:szCs w:val="20"/>
        </w:rPr>
        <w:t>.</w:t>
      </w:r>
      <w:r w:rsidR="00A82138" w:rsidRPr="00BF1DF2">
        <w:rPr>
          <w:szCs w:val="20"/>
        </w:rPr>
        <w:t xml:space="preserve"> </w:t>
      </w:r>
    </w:p>
    <w:p w:rsidR="005303BC" w:rsidRPr="00BF1DF2" w:rsidRDefault="00A82138" w:rsidP="00463955">
      <w:pPr>
        <w:pStyle w:val="Akapitzlist"/>
        <w:numPr>
          <w:ilvl w:val="0"/>
          <w:numId w:val="806"/>
        </w:numPr>
        <w:shd w:val="clear" w:color="auto" w:fill="F2F2F2" w:themeFill="background1" w:themeFillShade="F2"/>
        <w:spacing w:after="0" w:line="240" w:lineRule="auto"/>
        <w:ind w:left="709" w:hanging="709"/>
        <w:jc w:val="both"/>
        <w:rPr>
          <w:sz w:val="20"/>
          <w:szCs w:val="20"/>
        </w:rPr>
      </w:pPr>
      <w:r w:rsidRPr="00BF1DF2">
        <w:rPr>
          <w:sz w:val="20"/>
          <w:szCs w:val="20"/>
        </w:rPr>
        <w:t xml:space="preserve">Podnoszenie kompetencji społecznych i zawodowych zwiększających zdolność adaptacji mieszkańców z różnych grup wiekowych do zachodzących zmian. </w:t>
      </w:r>
    </w:p>
    <w:p w:rsidR="005303BC" w:rsidRPr="00BF1DF2" w:rsidRDefault="00A82138" w:rsidP="00463955">
      <w:pPr>
        <w:pStyle w:val="Akapitzlist"/>
        <w:numPr>
          <w:ilvl w:val="0"/>
          <w:numId w:val="806"/>
        </w:numPr>
        <w:shd w:val="clear" w:color="auto" w:fill="F2F2F2" w:themeFill="background1" w:themeFillShade="F2"/>
        <w:spacing w:after="0" w:line="240" w:lineRule="auto"/>
        <w:ind w:left="709" w:hanging="709"/>
        <w:jc w:val="both"/>
        <w:rPr>
          <w:sz w:val="20"/>
          <w:szCs w:val="20"/>
        </w:rPr>
      </w:pPr>
      <w:r w:rsidRPr="00BF1DF2">
        <w:rPr>
          <w:sz w:val="20"/>
          <w:szCs w:val="20"/>
        </w:rPr>
        <w:lastRenderedPageBreak/>
        <w:t xml:space="preserve">Wspieranie osób zagrożonych dziedziczeniem biernych postaw społecznych, trwałym bezrobociem oraz uzależnieniem od systemu pomocy społecznej. </w:t>
      </w:r>
    </w:p>
    <w:p w:rsidR="005303BC" w:rsidRPr="00BF1DF2" w:rsidRDefault="00A82138" w:rsidP="00463955">
      <w:pPr>
        <w:pStyle w:val="Akapitzlist"/>
        <w:numPr>
          <w:ilvl w:val="0"/>
          <w:numId w:val="806"/>
        </w:numPr>
        <w:shd w:val="clear" w:color="auto" w:fill="F2F2F2" w:themeFill="background1" w:themeFillShade="F2"/>
        <w:spacing w:after="0" w:line="240" w:lineRule="auto"/>
        <w:ind w:left="709" w:hanging="709"/>
        <w:jc w:val="both"/>
        <w:rPr>
          <w:sz w:val="20"/>
          <w:szCs w:val="20"/>
        </w:rPr>
      </w:pPr>
      <w:r w:rsidRPr="00BF1DF2">
        <w:rPr>
          <w:sz w:val="20"/>
          <w:szCs w:val="20"/>
        </w:rPr>
        <w:t xml:space="preserve">Budowanie tożsamości lokalnej opartej na tradycji i kulturze. </w:t>
      </w:r>
    </w:p>
    <w:p w:rsidR="005303BC" w:rsidRPr="00BF1DF2" w:rsidRDefault="00A82138" w:rsidP="00463955">
      <w:pPr>
        <w:pStyle w:val="Akapitzlist"/>
        <w:numPr>
          <w:ilvl w:val="0"/>
          <w:numId w:val="806"/>
        </w:numPr>
        <w:shd w:val="clear" w:color="auto" w:fill="F2F2F2" w:themeFill="background1" w:themeFillShade="F2"/>
        <w:spacing w:after="0" w:line="240" w:lineRule="auto"/>
        <w:ind w:left="709" w:hanging="709"/>
        <w:jc w:val="both"/>
        <w:rPr>
          <w:sz w:val="20"/>
          <w:szCs w:val="20"/>
        </w:rPr>
      </w:pPr>
      <w:r w:rsidRPr="00BF1DF2">
        <w:rPr>
          <w:sz w:val="20"/>
          <w:szCs w:val="20"/>
        </w:rPr>
        <w:t xml:space="preserve">Wzmocnienie wspólnot i oddolnych inicjatyw mieszkańców podnoszących aktywność i integrujących społeczności lokalne. </w:t>
      </w:r>
    </w:p>
    <w:p w:rsidR="00E80D4D" w:rsidRPr="00BF1DF2" w:rsidRDefault="00A82138" w:rsidP="00463955">
      <w:pPr>
        <w:pStyle w:val="Akapitzlist"/>
        <w:numPr>
          <w:ilvl w:val="0"/>
          <w:numId w:val="806"/>
        </w:numPr>
        <w:shd w:val="clear" w:color="auto" w:fill="F2F2F2" w:themeFill="background1" w:themeFillShade="F2"/>
        <w:spacing w:after="0" w:line="240" w:lineRule="auto"/>
        <w:ind w:left="709" w:hanging="709"/>
        <w:jc w:val="both"/>
        <w:rPr>
          <w:sz w:val="20"/>
          <w:szCs w:val="20"/>
        </w:rPr>
      </w:pPr>
      <w:r w:rsidRPr="00BF1DF2">
        <w:rPr>
          <w:sz w:val="20"/>
          <w:szCs w:val="20"/>
        </w:rPr>
        <w:t xml:space="preserve">Wspieranie partycypacji społecznej w procesach zarządzania rozwojem, w tym kształtowania polityki rewitalizacji. </w:t>
      </w:r>
    </w:p>
    <w:p w:rsidR="000E37F6" w:rsidRPr="00BF1DF2" w:rsidRDefault="000E37F6" w:rsidP="00463955">
      <w:pPr>
        <w:pStyle w:val="Akapitzlist"/>
        <w:numPr>
          <w:ilvl w:val="0"/>
          <w:numId w:val="806"/>
        </w:numPr>
        <w:shd w:val="clear" w:color="auto" w:fill="F2F2F2" w:themeFill="background1" w:themeFillShade="F2"/>
        <w:spacing w:after="0" w:line="240" w:lineRule="auto"/>
        <w:ind w:left="709" w:hanging="709"/>
        <w:jc w:val="both"/>
        <w:rPr>
          <w:sz w:val="20"/>
          <w:szCs w:val="20"/>
        </w:rPr>
      </w:pPr>
      <w:r w:rsidRPr="00BF1DF2">
        <w:rPr>
          <w:sz w:val="20"/>
          <w:szCs w:val="20"/>
        </w:rPr>
        <w:t xml:space="preserve">Promocja współpracy międzysektorowej i różnych grup mieszkańców na rzecz rewitalizacji. </w:t>
      </w:r>
    </w:p>
    <w:p w:rsidR="000E37F6" w:rsidRPr="00BF1DF2" w:rsidRDefault="000E37F6" w:rsidP="00463955">
      <w:pPr>
        <w:pStyle w:val="Akapitzlist"/>
        <w:numPr>
          <w:ilvl w:val="0"/>
          <w:numId w:val="806"/>
        </w:numPr>
        <w:shd w:val="clear" w:color="auto" w:fill="F2F2F2" w:themeFill="background1" w:themeFillShade="F2"/>
        <w:spacing w:after="0" w:line="240" w:lineRule="auto"/>
        <w:ind w:left="709" w:hanging="709"/>
        <w:jc w:val="both"/>
        <w:rPr>
          <w:sz w:val="20"/>
          <w:szCs w:val="20"/>
        </w:rPr>
      </w:pPr>
      <w:r w:rsidRPr="00BF1DF2">
        <w:rPr>
          <w:sz w:val="20"/>
          <w:szCs w:val="20"/>
        </w:rPr>
        <w:t xml:space="preserve">Rozwój relacji opartych na współpracy poprzez wspieranie rozwiązań ekonomii współdzielenia. </w:t>
      </w:r>
    </w:p>
    <w:p w:rsidR="000E37F6" w:rsidRPr="00BF1DF2" w:rsidRDefault="000E37F6" w:rsidP="00463955">
      <w:pPr>
        <w:pStyle w:val="Akapitzlist"/>
        <w:numPr>
          <w:ilvl w:val="0"/>
          <w:numId w:val="806"/>
        </w:numPr>
        <w:shd w:val="clear" w:color="auto" w:fill="F2F2F2" w:themeFill="background1" w:themeFillShade="F2"/>
        <w:spacing w:after="0" w:line="240" w:lineRule="auto"/>
        <w:ind w:left="709" w:hanging="709"/>
        <w:jc w:val="both"/>
        <w:rPr>
          <w:sz w:val="20"/>
          <w:szCs w:val="20"/>
        </w:rPr>
      </w:pPr>
      <w:r w:rsidRPr="00BF1DF2">
        <w:rPr>
          <w:sz w:val="20"/>
          <w:szCs w:val="20"/>
        </w:rPr>
        <w:t xml:space="preserve">Wspieranie inkluzji społecznej i odpowiadanie na potrzeby grup wrażliwych oraz z ograniczoną mobilnością (m.in. osób starszych, dzieci, osób z niepełnosprawnościami). </w:t>
      </w:r>
    </w:p>
    <w:p w:rsidR="005303BC" w:rsidRPr="00BF1DF2" w:rsidRDefault="00A82138" w:rsidP="00463955">
      <w:pPr>
        <w:shd w:val="clear" w:color="auto" w:fill="F2F2F2" w:themeFill="background1" w:themeFillShade="F2"/>
        <w:spacing w:before="100"/>
        <w:jc w:val="both"/>
      </w:pPr>
      <w:r w:rsidRPr="00BF1DF2">
        <w:t xml:space="preserve">Cel operacyjny C2 Wzrost funkcjonalności i jakości przestrzeni publicznych oraz mieszkalnictwa na terenach </w:t>
      </w:r>
      <w:r w:rsidR="00165F6F">
        <w:br/>
      </w:r>
      <w:r w:rsidRPr="00BF1DF2">
        <w:t>i obszarach zdegradowanych</w:t>
      </w:r>
      <w:r w:rsidR="000E37F6" w:rsidRPr="00BF1DF2">
        <w:t>.</w:t>
      </w:r>
      <w:r w:rsidRPr="00BF1DF2">
        <w:t xml:space="preserve"> </w:t>
      </w:r>
    </w:p>
    <w:p w:rsidR="005303BC" w:rsidRPr="00BF1DF2" w:rsidRDefault="00A82138" w:rsidP="00463955">
      <w:pPr>
        <w:pStyle w:val="Akapitzlist"/>
        <w:numPr>
          <w:ilvl w:val="0"/>
          <w:numId w:val="808"/>
        </w:numPr>
        <w:shd w:val="clear" w:color="auto" w:fill="F2F2F2" w:themeFill="background1" w:themeFillShade="F2"/>
        <w:spacing w:after="0" w:line="240" w:lineRule="auto"/>
        <w:ind w:hanging="720"/>
        <w:jc w:val="both"/>
        <w:rPr>
          <w:sz w:val="20"/>
          <w:szCs w:val="20"/>
        </w:rPr>
      </w:pPr>
      <w:r w:rsidRPr="00BF1DF2">
        <w:rPr>
          <w:sz w:val="20"/>
          <w:szCs w:val="20"/>
        </w:rPr>
        <w:t xml:space="preserve">Zachowanie i nadanie nowych funkcji historycznej zabudowie w centrach miast i starych dzielnicach mieszkaniowych. </w:t>
      </w:r>
    </w:p>
    <w:p w:rsidR="005303BC" w:rsidRPr="00BF1DF2" w:rsidRDefault="00A82138" w:rsidP="00463955">
      <w:pPr>
        <w:pStyle w:val="Akapitzlist"/>
        <w:numPr>
          <w:ilvl w:val="0"/>
          <w:numId w:val="808"/>
        </w:numPr>
        <w:shd w:val="clear" w:color="auto" w:fill="F2F2F2" w:themeFill="background1" w:themeFillShade="F2"/>
        <w:spacing w:after="0" w:line="240" w:lineRule="auto"/>
        <w:ind w:hanging="720"/>
        <w:jc w:val="both"/>
        <w:rPr>
          <w:sz w:val="20"/>
          <w:szCs w:val="20"/>
        </w:rPr>
      </w:pPr>
      <w:r w:rsidRPr="00BF1DF2">
        <w:rPr>
          <w:sz w:val="20"/>
          <w:szCs w:val="20"/>
        </w:rPr>
        <w:t xml:space="preserve">Rozwój funkcji miastotwórczych i ożywiających przestrzeń w centrach miast. </w:t>
      </w:r>
    </w:p>
    <w:p w:rsidR="005303BC" w:rsidRPr="00BF1DF2" w:rsidRDefault="00A82138" w:rsidP="00463955">
      <w:pPr>
        <w:pStyle w:val="Akapitzlist"/>
        <w:numPr>
          <w:ilvl w:val="0"/>
          <w:numId w:val="808"/>
        </w:numPr>
        <w:shd w:val="clear" w:color="auto" w:fill="F2F2F2" w:themeFill="background1" w:themeFillShade="F2"/>
        <w:spacing w:after="0" w:line="240" w:lineRule="auto"/>
        <w:ind w:hanging="720"/>
        <w:jc w:val="both"/>
        <w:rPr>
          <w:sz w:val="20"/>
          <w:szCs w:val="20"/>
        </w:rPr>
      </w:pPr>
      <w:r w:rsidRPr="00BF1DF2">
        <w:rPr>
          <w:sz w:val="20"/>
          <w:szCs w:val="20"/>
        </w:rPr>
        <w:t xml:space="preserve">Tworzenie reprezentacyjnych przestrzeni publicznych, służących integracji społecznej oraz stanowiących element promocji i konkurencyjności miast. </w:t>
      </w:r>
    </w:p>
    <w:p w:rsidR="005303BC" w:rsidRPr="00BF1DF2" w:rsidRDefault="00A82138" w:rsidP="00463955">
      <w:pPr>
        <w:pStyle w:val="Akapitzlist"/>
        <w:numPr>
          <w:ilvl w:val="0"/>
          <w:numId w:val="808"/>
        </w:numPr>
        <w:shd w:val="clear" w:color="auto" w:fill="F2F2F2" w:themeFill="background1" w:themeFillShade="F2"/>
        <w:spacing w:after="0" w:line="240" w:lineRule="auto"/>
        <w:ind w:hanging="720"/>
        <w:jc w:val="both"/>
        <w:rPr>
          <w:sz w:val="20"/>
          <w:szCs w:val="20"/>
        </w:rPr>
      </w:pPr>
      <w:r w:rsidRPr="00BF1DF2">
        <w:rPr>
          <w:sz w:val="20"/>
          <w:szCs w:val="20"/>
        </w:rPr>
        <w:t xml:space="preserve">Poprawa systemów bezpieczeństwa publicznego służących rozwiązywaniu wyzwań rewitalizacyjnych. </w:t>
      </w:r>
    </w:p>
    <w:p w:rsidR="005303BC" w:rsidRPr="00BF1DF2" w:rsidRDefault="00A82138" w:rsidP="00463955">
      <w:pPr>
        <w:pStyle w:val="Akapitzlist"/>
        <w:numPr>
          <w:ilvl w:val="0"/>
          <w:numId w:val="808"/>
        </w:numPr>
        <w:shd w:val="clear" w:color="auto" w:fill="F2F2F2" w:themeFill="background1" w:themeFillShade="F2"/>
        <w:spacing w:after="0" w:line="240" w:lineRule="auto"/>
        <w:ind w:hanging="720"/>
        <w:jc w:val="both"/>
        <w:rPr>
          <w:sz w:val="20"/>
          <w:szCs w:val="20"/>
        </w:rPr>
      </w:pPr>
      <w:r w:rsidRPr="00BF1DF2">
        <w:rPr>
          <w:sz w:val="20"/>
          <w:szCs w:val="20"/>
        </w:rPr>
        <w:t xml:space="preserve">Kształtowanie postaw w zakresie odpowiedzialności za przestrzeń publiczną. </w:t>
      </w:r>
    </w:p>
    <w:p w:rsidR="005303BC" w:rsidRPr="00BF1DF2" w:rsidRDefault="00A82138" w:rsidP="00463955">
      <w:pPr>
        <w:pStyle w:val="Akapitzlist"/>
        <w:numPr>
          <w:ilvl w:val="0"/>
          <w:numId w:val="808"/>
        </w:numPr>
        <w:shd w:val="clear" w:color="auto" w:fill="F2F2F2" w:themeFill="background1" w:themeFillShade="F2"/>
        <w:spacing w:after="0" w:line="240" w:lineRule="auto"/>
        <w:ind w:hanging="720"/>
        <w:jc w:val="both"/>
        <w:rPr>
          <w:sz w:val="20"/>
          <w:szCs w:val="20"/>
        </w:rPr>
      </w:pPr>
      <w:r w:rsidRPr="00BF1DF2">
        <w:rPr>
          <w:sz w:val="20"/>
          <w:szCs w:val="20"/>
        </w:rPr>
        <w:t xml:space="preserve">Rozwój systemu mieszkalnictwa socjalnego, opartego o deinstytucjonalizację usług społecznych </w:t>
      </w:r>
      <w:r w:rsidR="00165F6F">
        <w:rPr>
          <w:sz w:val="20"/>
          <w:szCs w:val="20"/>
        </w:rPr>
        <w:br/>
      </w:r>
      <w:r w:rsidRPr="00BF1DF2">
        <w:rPr>
          <w:sz w:val="20"/>
          <w:szCs w:val="20"/>
        </w:rPr>
        <w:t xml:space="preserve">i inkluzję społeczną oraz poprawa stanu technicznego mieszkań. </w:t>
      </w:r>
    </w:p>
    <w:p w:rsidR="000266B4" w:rsidRPr="00BF1DF2" w:rsidRDefault="00A82138" w:rsidP="00463955">
      <w:pPr>
        <w:pStyle w:val="Akapitzlist"/>
        <w:numPr>
          <w:ilvl w:val="0"/>
          <w:numId w:val="808"/>
        </w:numPr>
        <w:shd w:val="clear" w:color="auto" w:fill="F2F2F2" w:themeFill="background1" w:themeFillShade="F2"/>
        <w:spacing w:after="0" w:line="240" w:lineRule="auto"/>
        <w:ind w:hanging="720"/>
        <w:jc w:val="both"/>
        <w:rPr>
          <w:sz w:val="20"/>
          <w:szCs w:val="20"/>
        </w:rPr>
      </w:pPr>
      <w:r w:rsidRPr="00BF1DF2">
        <w:rPr>
          <w:sz w:val="20"/>
          <w:szCs w:val="20"/>
        </w:rPr>
        <w:t xml:space="preserve">Ochrona i podniesienie walorów architektonicznych zabudowy oraz ograniczenie barier architektonicznych. </w:t>
      </w:r>
    </w:p>
    <w:p w:rsidR="000266B4" w:rsidRPr="00BF1DF2" w:rsidRDefault="000266B4" w:rsidP="00463955">
      <w:pPr>
        <w:shd w:val="clear" w:color="auto" w:fill="F2F2F2" w:themeFill="background1" w:themeFillShade="F2"/>
        <w:spacing w:before="100"/>
        <w:jc w:val="both"/>
        <w:rPr>
          <w:szCs w:val="20"/>
        </w:rPr>
      </w:pPr>
      <w:r w:rsidRPr="00BF1DF2">
        <w:t xml:space="preserve">Cel operacyjny </w:t>
      </w:r>
      <w:r w:rsidR="00A82138" w:rsidRPr="00BF1DF2">
        <w:rPr>
          <w:szCs w:val="20"/>
        </w:rPr>
        <w:t>C3 Poprawa konkurencyjności gospodarki regionalnej i lokalnej na obszarach oraz terenach zdegradowanych</w:t>
      </w:r>
      <w:r w:rsidRPr="00BF1DF2">
        <w:rPr>
          <w:szCs w:val="20"/>
        </w:rPr>
        <w:t>.</w:t>
      </w:r>
      <w:r w:rsidR="00A82138" w:rsidRPr="00BF1DF2">
        <w:rPr>
          <w:szCs w:val="20"/>
        </w:rPr>
        <w:t xml:space="preserve"> </w:t>
      </w:r>
    </w:p>
    <w:p w:rsidR="00D036F5" w:rsidRPr="00BF1DF2" w:rsidRDefault="00A82138" w:rsidP="00463955">
      <w:pPr>
        <w:pStyle w:val="Akapitzlist"/>
        <w:numPr>
          <w:ilvl w:val="0"/>
          <w:numId w:val="809"/>
        </w:numPr>
        <w:shd w:val="clear" w:color="auto" w:fill="F2F2F2" w:themeFill="background1" w:themeFillShade="F2"/>
        <w:spacing w:after="0" w:line="240" w:lineRule="auto"/>
        <w:ind w:left="714" w:hanging="714"/>
        <w:jc w:val="both"/>
        <w:rPr>
          <w:sz w:val="20"/>
          <w:szCs w:val="20"/>
        </w:rPr>
      </w:pPr>
      <w:r w:rsidRPr="00BF1DF2">
        <w:rPr>
          <w:sz w:val="20"/>
          <w:szCs w:val="20"/>
        </w:rPr>
        <w:t xml:space="preserve">Rozwój podmiotów i instrumentów wspierających przedsiębiorczość, w tym przedsiębiorczość społeczną. </w:t>
      </w:r>
    </w:p>
    <w:p w:rsidR="005303BC" w:rsidRPr="00BF1DF2" w:rsidRDefault="00A82138" w:rsidP="00463955">
      <w:pPr>
        <w:pStyle w:val="Akapitzlist"/>
        <w:numPr>
          <w:ilvl w:val="0"/>
          <w:numId w:val="809"/>
        </w:numPr>
        <w:shd w:val="clear" w:color="auto" w:fill="F2F2F2" w:themeFill="background1" w:themeFillShade="F2"/>
        <w:spacing w:after="0" w:line="240" w:lineRule="auto"/>
        <w:ind w:left="714" w:hanging="714"/>
        <w:jc w:val="both"/>
        <w:rPr>
          <w:sz w:val="20"/>
          <w:szCs w:val="20"/>
        </w:rPr>
      </w:pPr>
      <w:r w:rsidRPr="00BF1DF2">
        <w:rPr>
          <w:sz w:val="20"/>
          <w:szCs w:val="20"/>
        </w:rPr>
        <w:t xml:space="preserve">Wspieranie rozwoju współpracy sektora biznesu i edukacji w celu kształtowania umiejętności </w:t>
      </w:r>
      <w:r w:rsidR="00165F6F">
        <w:rPr>
          <w:sz w:val="20"/>
          <w:szCs w:val="20"/>
        </w:rPr>
        <w:br/>
      </w:r>
      <w:r w:rsidRPr="00BF1DF2">
        <w:rPr>
          <w:sz w:val="20"/>
          <w:szCs w:val="20"/>
        </w:rPr>
        <w:t xml:space="preserve">i kompetencji dostosowanych do potrzeb regionalnej gospodarki. </w:t>
      </w:r>
    </w:p>
    <w:p w:rsidR="005303BC" w:rsidRPr="00BF1DF2" w:rsidRDefault="00A82138" w:rsidP="00463955">
      <w:pPr>
        <w:pStyle w:val="Akapitzlist"/>
        <w:numPr>
          <w:ilvl w:val="0"/>
          <w:numId w:val="809"/>
        </w:numPr>
        <w:shd w:val="clear" w:color="auto" w:fill="F2F2F2" w:themeFill="background1" w:themeFillShade="F2"/>
        <w:spacing w:after="0" w:line="240" w:lineRule="auto"/>
        <w:ind w:left="714" w:hanging="714"/>
        <w:jc w:val="both"/>
        <w:rPr>
          <w:sz w:val="20"/>
          <w:szCs w:val="20"/>
        </w:rPr>
      </w:pPr>
      <w:r w:rsidRPr="00BF1DF2">
        <w:rPr>
          <w:sz w:val="20"/>
          <w:szCs w:val="20"/>
        </w:rPr>
        <w:t xml:space="preserve">Kreowanie wdrażania instrumentów organizacyjnych wspierających rozwój przedsiębiorczości. </w:t>
      </w:r>
    </w:p>
    <w:p w:rsidR="005303BC" w:rsidRPr="00BF1DF2" w:rsidRDefault="00A82138" w:rsidP="00463955">
      <w:pPr>
        <w:pStyle w:val="Akapitzlist"/>
        <w:numPr>
          <w:ilvl w:val="0"/>
          <w:numId w:val="809"/>
        </w:numPr>
        <w:shd w:val="clear" w:color="auto" w:fill="F2F2F2" w:themeFill="background1" w:themeFillShade="F2"/>
        <w:spacing w:after="0" w:line="240" w:lineRule="auto"/>
        <w:ind w:left="714" w:hanging="714"/>
        <w:jc w:val="both"/>
        <w:rPr>
          <w:sz w:val="20"/>
          <w:szCs w:val="20"/>
        </w:rPr>
      </w:pPr>
      <w:r w:rsidRPr="00BF1DF2">
        <w:rPr>
          <w:sz w:val="20"/>
          <w:szCs w:val="20"/>
        </w:rPr>
        <w:t xml:space="preserve">Przygotowanie terenów inwestycyjnych, w szczególności przekształcenie terenów typu brownfield </w:t>
      </w:r>
      <w:r w:rsidR="00165F6F">
        <w:rPr>
          <w:sz w:val="20"/>
          <w:szCs w:val="20"/>
        </w:rPr>
        <w:br/>
      </w:r>
      <w:r w:rsidRPr="00BF1DF2">
        <w:rPr>
          <w:sz w:val="20"/>
          <w:szCs w:val="20"/>
        </w:rPr>
        <w:t>i wspieranie lokowania na nich przedsiębiorstw działających w sferze nowoczesnej g</w:t>
      </w:r>
      <w:r w:rsidR="00D036F5" w:rsidRPr="00BF1DF2">
        <w:rPr>
          <w:sz w:val="20"/>
          <w:szCs w:val="20"/>
        </w:rPr>
        <w:t>ospodarki, w tym przemysłu 4.0.</w:t>
      </w:r>
    </w:p>
    <w:p w:rsidR="005303BC" w:rsidRPr="00BF1DF2" w:rsidRDefault="00A82138" w:rsidP="00463955">
      <w:pPr>
        <w:pStyle w:val="Akapitzlist"/>
        <w:numPr>
          <w:ilvl w:val="0"/>
          <w:numId w:val="809"/>
        </w:numPr>
        <w:shd w:val="clear" w:color="auto" w:fill="F2F2F2" w:themeFill="background1" w:themeFillShade="F2"/>
        <w:spacing w:after="0" w:line="240" w:lineRule="auto"/>
        <w:ind w:left="714" w:hanging="714"/>
        <w:jc w:val="both"/>
        <w:rPr>
          <w:sz w:val="20"/>
          <w:szCs w:val="20"/>
        </w:rPr>
      </w:pPr>
      <w:r w:rsidRPr="00BF1DF2">
        <w:rPr>
          <w:sz w:val="20"/>
          <w:szCs w:val="20"/>
        </w:rPr>
        <w:t xml:space="preserve">Wspieranie współpracy sektora publicznego i inwestorów w celu efektywnej rewitalizacji. </w:t>
      </w:r>
    </w:p>
    <w:p w:rsidR="005303BC" w:rsidRPr="00BF1DF2" w:rsidRDefault="00A82138" w:rsidP="00463955">
      <w:pPr>
        <w:pStyle w:val="Akapitzlist"/>
        <w:numPr>
          <w:ilvl w:val="0"/>
          <w:numId w:val="809"/>
        </w:numPr>
        <w:shd w:val="clear" w:color="auto" w:fill="F2F2F2" w:themeFill="background1" w:themeFillShade="F2"/>
        <w:spacing w:after="0" w:line="240" w:lineRule="auto"/>
        <w:ind w:left="714" w:hanging="714"/>
        <w:jc w:val="both"/>
        <w:rPr>
          <w:sz w:val="20"/>
          <w:szCs w:val="20"/>
        </w:rPr>
      </w:pPr>
      <w:r w:rsidRPr="00BF1DF2">
        <w:rPr>
          <w:sz w:val="20"/>
          <w:szCs w:val="20"/>
        </w:rPr>
        <w:t xml:space="preserve">Pobudzanie przedsiębiorczości lokalnej opartej na zasobach lokalnych. </w:t>
      </w:r>
    </w:p>
    <w:p w:rsidR="005303BC" w:rsidRPr="00BF1DF2" w:rsidRDefault="00A82138" w:rsidP="00463955">
      <w:pPr>
        <w:pStyle w:val="Akapitzlist"/>
        <w:numPr>
          <w:ilvl w:val="0"/>
          <w:numId w:val="809"/>
        </w:numPr>
        <w:shd w:val="clear" w:color="auto" w:fill="F2F2F2" w:themeFill="background1" w:themeFillShade="F2"/>
        <w:spacing w:after="0" w:line="240" w:lineRule="auto"/>
        <w:ind w:left="714" w:hanging="714"/>
        <w:jc w:val="both"/>
        <w:rPr>
          <w:sz w:val="20"/>
          <w:szCs w:val="20"/>
        </w:rPr>
      </w:pPr>
      <w:r w:rsidRPr="00BF1DF2">
        <w:rPr>
          <w:sz w:val="20"/>
          <w:szCs w:val="20"/>
        </w:rPr>
        <w:t xml:space="preserve">Ochrona walorów przyrodniczych i kulturowych oraz ich wykorzystanie do tworzenia produktu lokalnego wspierającego rozwój obszarów wiejskich. </w:t>
      </w:r>
    </w:p>
    <w:p w:rsidR="005303BC" w:rsidRPr="00BF1DF2" w:rsidRDefault="00D036F5" w:rsidP="00463955">
      <w:pPr>
        <w:shd w:val="clear" w:color="auto" w:fill="F2F2F2" w:themeFill="background1" w:themeFillShade="F2"/>
        <w:spacing w:before="100"/>
        <w:jc w:val="both"/>
      </w:pPr>
      <w:r w:rsidRPr="00BF1DF2">
        <w:t xml:space="preserve">Cel operacyjny </w:t>
      </w:r>
      <w:r w:rsidR="00A82138" w:rsidRPr="00BF1DF2">
        <w:t>C4 Zagospodarowanie terenów i obszarów zdegradowanych</w:t>
      </w:r>
      <w:r w:rsidRPr="00BF1DF2">
        <w:t>.</w:t>
      </w:r>
      <w:r w:rsidR="00A82138" w:rsidRPr="00BF1DF2">
        <w:t xml:space="preserve"> </w:t>
      </w:r>
    </w:p>
    <w:p w:rsidR="005303BC" w:rsidRPr="00BF1DF2" w:rsidRDefault="00A82138" w:rsidP="00463955">
      <w:pPr>
        <w:pStyle w:val="Akapitzlist"/>
        <w:numPr>
          <w:ilvl w:val="0"/>
          <w:numId w:val="810"/>
        </w:numPr>
        <w:shd w:val="clear" w:color="auto" w:fill="F2F2F2" w:themeFill="background1" w:themeFillShade="F2"/>
        <w:spacing w:after="0" w:line="240" w:lineRule="auto"/>
        <w:ind w:left="714" w:hanging="714"/>
        <w:jc w:val="both"/>
        <w:rPr>
          <w:sz w:val="20"/>
          <w:szCs w:val="20"/>
        </w:rPr>
      </w:pPr>
      <w:r w:rsidRPr="00BF1DF2">
        <w:rPr>
          <w:sz w:val="20"/>
          <w:szCs w:val="20"/>
        </w:rPr>
        <w:t>Rozwój funkcji rekreacyjnych i usług czasu wolnego, w s</w:t>
      </w:r>
      <w:r w:rsidR="000901B6" w:rsidRPr="00BF1DF2">
        <w:rPr>
          <w:sz w:val="20"/>
          <w:szCs w:val="20"/>
        </w:rPr>
        <w:t>zczególności w centrach miast.</w:t>
      </w:r>
    </w:p>
    <w:p w:rsidR="005303BC" w:rsidRPr="00BF1DF2" w:rsidRDefault="00A82138" w:rsidP="00463955">
      <w:pPr>
        <w:pStyle w:val="Akapitzlist"/>
        <w:numPr>
          <w:ilvl w:val="0"/>
          <w:numId w:val="810"/>
        </w:numPr>
        <w:shd w:val="clear" w:color="auto" w:fill="F2F2F2" w:themeFill="background1" w:themeFillShade="F2"/>
        <w:spacing w:after="0" w:line="240" w:lineRule="auto"/>
        <w:ind w:left="714" w:hanging="714"/>
        <w:jc w:val="both"/>
        <w:rPr>
          <w:sz w:val="20"/>
          <w:szCs w:val="20"/>
        </w:rPr>
      </w:pPr>
      <w:r w:rsidRPr="00BF1DF2">
        <w:rPr>
          <w:sz w:val="20"/>
          <w:szCs w:val="20"/>
        </w:rPr>
        <w:t xml:space="preserve">Rozwój obszarów aktywności gospodarczej, w szczególności na terenach o największej dostępności transportowej. </w:t>
      </w:r>
    </w:p>
    <w:p w:rsidR="005303BC" w:rsidRPr="00BF1DF2" w:rsidRDefault="00A82138" w:rsidP="00463955">
      <w:pPr>
        <w:pStyle w:val="Akapitzlist"/>
        <w:numPr>
          <w:ilvl w:val="0"/>
          <w:numId w:val="810"/>
        </w:numPr>
        <w:shd w:val="clear" w:color="auto" w:fill="F2F2F2" w:themeFill="background1" w:themeFillShade="F2"/>
        <w:spacing w:after="0" w:line="240" w:lineRule="auto"/>
        <w:ind w:left="714" w:hanging="714"/>
        <w:jc w:val="both"/>
        <w:rPr>
          <w:sz w:val="20"/>
          <w:szCs w:val="20"/>
        </w:rPr>
      </w:pPr>
      <w:r w:rsidRPr="00BF1DF2">
        <w:rPr>
          <w:sz w:val="20"/>
          <w:szCs w:val="20"/>
        </w:rPr>
        <w:t>Zagospodarowanie terenów zdegradowanych na cele gospodarcze, kulturowe, turystyczne i społeczne</w:t>
      </w:r>
      <w:r w:rsidRPr="00751086">
        <w:rPr>
          <w:color w:val="FF0000"/>
          <w:sz w:val="20"/>
          <w:szCs w:val="20"/>
        </w:rPr>
        <w:t xml:space="preserve"> </w:t>
      </w:r>
      <w:r w:rsidRPr="00BF1DF2">
        <w:rPr>
          <w:sz w:val="20"/>
          <w:szCs w:val="20"/>
        </w:rPr>
        <w:t xml:space="preserve">oraz sportowo-rekreacyjne, ze szczególnym uwzględnieniem ochrony zabytków dziedzictwa przemysłowego. </w:t>
      </w:r>
    </w:p>
    <w:p w:rsidR="005303BC" w:rsidRPr="00BF1DF2" w:rsidRDefault="00A82138" w:rsidP="00463955">
      <w:pPr>
        <w:pStyle w:val="Akapitzlist"/>
        <w:numPr>
          <w:ilvl w:val="0"/>
          <w:numId w:val="810"/>
        </w:numPr>
        <w:shd w:val="clear" w:color="auto" w:fill="F2F2F2" w:themeFill="background1" w:themeFillShade="F2"/>
        <w:spacing w:after="0" w:line="240" w:lineRule="auto"/>
        <w:ind w:left="714" w:hanging="714"/>
        <w:jc w:val="both"/>
        <w:rPr>
          <w:sz w:val="20"/>
          <w:szCs w:val="20"/>
        </w:rPr>
      </w:pPr>
      <w:r w:rsidRPr="00BF1DF2">
        <w:rPr>
          <w:sz w:val="20"/>
          <w:szCs w:val="20"/>
        </w:rPr>
        <w:t xml:space="preserve">Wspieranie współpracy na rzecz zarządzania zrewitalizowanymi obiektami. </w:t>
      </w:r>
    </w:p>
    <w:p w:rsidR="00C92731" w:rsidRPr="00BF1DF2" w:rsidRDefault="00A82138" w:rsidP="00463955">
      <w:pPr>
        <w:pStyle w:val="Akapitzlist"/>
        <w:numPr>
          <w:ilvl w:val="0"/>
          <w:numId w:val="810"/>
        </w:numPr>
        <w:shd w:val="clear" w:color="auto" w:fill="F2F2F2" w:themeFill="background1" w:themeFillShade="F2"/>
        <w:spacing w:after="0" w:line="240" w:lineRule="auto"/>
        <w:ind w:left="714" w:hanging="714"/>
        <w:jc w:val="both"/>
        <w:rPr>
          <w:sz w:val="20"/>
          <w:szCs w:val="20"/>
        </w:rPr>
      </w:pPr>
      <w:r w:rsidRPr="00BF1DF2">
        <w:rPr>
          <w:sz w:val="20"/>
          <w:szCs w:val="20"/>
        </w:rPr>
        <w:t xml:space="preserve">Tworzenie kompleksowych produktów sieciowych w zrewitalizowanych obiektach. </w:t>
      </w:r>
    </w:p>
    <w:p w:rsidR="005303BC" w:rsidRPr="00BF1DF2" w:rsidRDefault="00A82138" w:rsidP="00463955">
      <w:pPr>
        <w:pStyle w:val="Akapitzlist"/>
        <w:numPr>
          <w:ilvl w:val="0"/>
          <w:numId w:val="810"/>
        </w:numPr>
        <w:shd w:val="clear" w:color="auto" w:fill="F2F2F2" w:themeFill="background1" w:themeFillShade="F2"/>
        <w:spacing w:after="0" w:line="240" w:lineRule="auto"/>
        <w:ind w:left="714" w:hanging="714"/>
        <w:jc w:val="both"/>
        <w:rPr>
          <w:sz w:val="20"/>
          <w:szCs w:val="20"/>
        </w:rPr>
      </w:pPr>
      <w:r w:rsidRPr="00BF1DF2">
        <w:rPr>
          <w:sz w:val="20"/>
          <w:szCs w:val="20"/>
        </w:rPr>
        <w:t xml:space="preserve">Wykorzystanie terenów zdegradowanych w celu zwiększenia proekologicznego potencjału energetycznego województwa poprzez inwestycje OZE. </w:t>
      </w:r>
    </w:p>
    <w:p w:rsidR="005303BC" w:rsidRPr="00BF1DF2" w:rsidRDefault="00A82138" w:rsidP="00463955">
      <w:pPr>
        <w:pStyle w:val="Akapitzlist"/>
        <w:numPr>
          <w:ilvl w:val="0"/>
          <w:numId w:val="810"/>
        </w:numPr>
        <w:shd w:val="clear" w:color="auto" w:fill="F2F2F2" w:themeFill="background1" w:themeFillShade="F2"/>
        <w:spacing w:after="0" w:line="240" w:lineRule="auto"/>
        <w:ind w:left="714" w:hanging="714"/>
        <w:jc w:val="both"/>
        <w:rPr>
          <w:sz w:val="20"/>
          <w:szCs w:val="20"/>
        </w:rPr>
      </w:pPr>
      <w:r w:rsidRPr="00BF1DF2">
        <w:rPr>
          <w:sz w:val="20"/>
          <w:szCs w:val="20"/>
        </w:rPr>
        <w:t xml:space="preserve">Stworzenie rozwiązań systemowych w obszarze zagospodarowywania terenów zdegradowanych, </w:t>
      </w:r>
      <w:r w:rsidR="00165F6F">
        <w:rPr>
          <w:sz w:val="20"/>
          <w:szCs w:val="20"/>
        </w:rPr>
        <w:br/>
      </w:r>
      <w:r w:rsidRPr="00BF1DF2">
        <w:rPr>
          <w:sz w:val="20"/>
          <w:szCs w:val="20"/>
        </w:rPr>
        <w:t xml:space="preserve">w tym wzmocnienie udziału społeczności lokalnej w procesie identyfikacji nowych funkcji. </w:t>
      </w:r>
    </w:p>
    <w:p w:rsidR="005303BC" w:rsidRPr="00BF1DF2" w:rsidRDefault="00C92731" w:rsidP="00463955">
      <w:pPr>
        <w:shd w:val="clear" w:color="auto" w:fill="F2F2F2" w:themeFill="background1" w:themeFillShade="F2"/>
        <w:spacing w:before="100"/>
        <w:jc w:val="both"/>
      </w:pPr>
      <w:r w:rsidRPr="00BF1DF2">
        <w:lastRenderedPageBreak/>
        <w:t xml:space="preserve">Cel operacyjny </w:t>
      </w:r>
      <w:r w:rsidR="00A82138" w:rsidRPr="00BF1DF2">
        <w:t xml:space="preserve">C5 Poprawa jakości środowiska na terenach i obszarach zdegradowanych </w:t>
      </w:r>
    </w:p>
    <w:p w:rsidR="005303BC" w:rsidRPr="00BF1DF2" w:rsidRDefault="00A82138" w:rsidP="00463955">
      <w:pPr>
        <w:pStyle w:val="Akapitzlist"/>
        <w:numPr>
          <w:ilvl w:val="0"/>
          <w:numId w:val="811"/>
        </w:numPr>
        <w:shd w:val="clear" w:color="auto" w:fill="F2F2F2" w:themeFill="background1" w:themeFillShade="F2"/>
        <w:spacing w:after="0" w:line="240" w:lineRule="auto"/>
        <w:ind w:left="714" w:hanging="714"/>
        <w:jc w:val="both"/>
        <w:rPr>
          <w:sz w:val="20"/>
          <w:szCs w:val="20"/>
        </w:rPr>
      </w:pPr>
      <w:r w:rsidRPr="00BF1DF2">
        <w:rPr>
          <w:sz w:val="20"/>
          <w:szCs w:val="20"/>
        </w:rPr>
        <w:t xml:space="preserve">Poprawa warunków środowiskowych, w szczególności ograniczenie uciążliwości generowanych przez niską emisję, przemysł tradycyjny i hałas, a także przeciwdziałanie powstawaniu miejskich wysp ciepła oraz poprawa warunków retencji wód. </w:t>
      </w:r>
    </w:p>
    <w:p w:rsidR="005303BC" w:rsidRPr="00BF1DF2" w:rsidRDefault="00A82138" w:rsidP="00463955">
      <w:pPr>
        <w:pStyle w:val="Akapitzlist"/>
        <w:numPr>
          <w:ilvl w:val="0"/>
          <w:numId w:val="811"/>
        </w:numPr>
        <w:shd w:val="clear" w:color="auto" w:fill="F2F2F2" w:themeFill="background1" w:themeFillShade="F2"/>
        <w:spacing w:after="0" w:line="240" w:lineRule="auto"/>
        <w:ind w:left="714" w:hanging="714"/>
        <w:jc w:val="both"/>
        <w:rPr>
          <w:sz w:val="20"/>
          <w:szCs w:val="20"/>
        </w:rPr>
      </w:pPr>
      <w:r w:rsidRPr="00BF1DF2">
        <w:rPr>
          <w:sz w:val="20"/>
          <w:szCs w:val="20"/>
        </w:rPr>
        <w:t xml:space="preserve">Ekorewitalizacja z uwzględnieniem funkcji środowiskowych, utrzymania i wzmacniania powiązań przyrodniczych oraz rozwoju terenów zieleni miejskiej. </w:t>
      </w:r>
    </w:p>
    <w:p w:rsidR="005303BC" w:rsidRPr="00BF1DF2" w:rsidRDefault="00A82138" w:rsidP="00463955">
      <w:pPr>
        <w:pStyle w:val="Akapitzlist"/>
        <w:numPr>
          <w:ilvl w:val="0"/>
          <w:numId w:val="811"/>
        </w:numPr>
        <w:shd w:val="clear" w:color="auto" w:fill="F2F2F2" w:themeFill="background1" w:themeFillShade="F2"/>
        <w:spacing w:after="0" w:line="240" w:lineRule="auto"/>
        <w:ind w:left="714" w:hanging="714"/>
        <w:jc w:val="both"/>
        <w:rPr>
          <w:sz w:val="20"/>
          <w:szCs w:val="20"/>
        </w:rPr>
      </w:pPr>
      <w:r w:rsidRPr="00BF1DF2">
        <w:rPr>
          <w:sz w:val="20"/>
          <w:szCs w:val="20"/>
        </w:rPr>
        <w:t xml:space="preserve">Rekultywacja i renaturalizacja terenów zdegradowanych, rozwój funkcji ekosystemowych </w:t>
      </w:r>
      <w:r w:rsidR="00165F6F">
        <w:rPr>
          <w:sz w:val="20"/>
          <w:szCs w:val="20"/>
        </w:rPr>
        <w:br/>
      </w:r>
      <w:r w:rsidRPr="00BF1DF2">
        <w:rPr>
          <w:sz w:val="20"/>
          <w:szCs w:val="20"/>
        </w:rPr>
        <w:t xml:space="preserve">i wzmacnianie bioróżnorodności. </w:t>
      </w:r>
    </w:p>
    <w:p w:rsidR="00EF240C" w:rsidRPr="00BF1DF2" w:rsidRDefault="00A82138" w:rsidP="00463955">
      <w:pPr>
        <w:pStyle w:val="Akapitzlist"/>
        <w:numPr>
          <w:ilvl w:val="0"/>
          <w:numId w:val="811"/>
        </w:numPr>
        <w:shd w:val="clear" w:color="auto" w:fill="F2F2F2" w:themeFill="background1" w:themeFillShade="F2"/>
        <w:spacing w:after="0" w:line="240" w:lineRule="auto"/>
        <w:ind w:left="714" w:hanging="714"/>
        <w:jc w:val="both"/>
        <w:rPr>
          <w:sz w:val="20"/>
          <w:szCs w:val="20"/>
        </w:rPr>
      </w:pPr>
      <w:r w:rsidRPr="00BF1DF2">
        <w:rPr>
          <w:sz w:val="20"/>
          <w:szCs w:val="20"/>
        </w:rPr>
        <w:t xml:space="preserve">Monitorowanie stanu terenów zdegradowanych i terenów wykorzystywanych przez podmioty gospodarcze znacząco </w:t>
      </w:r>
      <w:r w:rsidR="00EF240C" w:rsidRPr="00BF1DF2">
        <w:rPr>
          <w:sz w:val="20"/>
          <w:szCs w:val="20"/>
        </w:rPr>
        <w:t>oddziaływujące</w:t>
      </w:r>
      <w:r w:rsidRPr="00BF1DF2">
        <w:rPr>
          <w:sz w:val="20"/>
          <w:szCs w:val="20"/>
        </w:rPr>
        <w:t xml:space="preserve"> na środowisko. </w:t>
      </w:r>
    </w:p>
    <w:p w:rsidR="00A82138" w:rsidRPr="00BF1DF2" w:rsidRDefault="00E80D4D" w:rsidP="00463955">
      <w:pPr>
        <w:shd w:val="clear" w:color="auto" w:fill="F2F2F2" w:themeFill="background1" w:themeFillShade="F2"/>
        <w:spacing w:before="100"/>
        <w:jc w:val="both"/>
        <w:rPr>
          <w:szCs w:val="20"/>
        </w:rPr>
      </w:pPr>
      <w:r w:rsidRPr="00BF1DF2">
        <w:rPr>
          <w:szCs w:val="20"/>
        </w:rPr>
        <w:t xml:space="preserve">W dokumencie zdefiniowano </w:t>
      </w:r>
      <w:r w:rsidR="00EC4786" w:rsidRPr="00BF1DF2">
        <w:rPr>
          <w:szCs w:val="20"/>
        </w:rPr>
        <w:t>podstawowe</w:t>
      </w:r>
      <w:r w:rsidRPr="00BF1DF2">
        <w:rPr>
          <w:szCs w:val="20"/>
        </w:rPr>
        <w:t xml:space="preserve"> </w:t>
      </w:r>
      <w:r w:rsidR="00EC4786" w:rsidRPr="00BF1DF2">
        <w:rPr>
          <w:szCs w:val="20"/>
        </w:rPr>
        <w:t>zasady</w:t>
      </w:r>
      <w:r w:rsidRPr="00BF1DF2">
        <w:rPr>
          <w:szCs w:val="20"/>
        </w:rPr>
        <w:t xml:space="preserve"> jakimi należy się kierować we wdrażaniu </w:t>
      </w:r>
      <w:r w:rsidR="00EC4786" w:rsidRPr="00BF1DF2">
        <w:rPr>
          <w:szCs w:val="20"/>
        </w:rPr>
        <w:t>procesu rewitalizacji.</w:t>
      </w:r>
      <w:r w:rsidRPr="00BF1DF2">
        <w:rPr>
          <w:szCs w:val="20"/>
        </w:rPr>
        <w:t xml:space="preserve"> Są nimi: </w:t>
      </w:r>
    </w:p>
    <w:p w:rsidR="00E80D4D" w:rsidRPr="00BF1DF2" w:rsidRDefault="00E80D4D" w:rsidP="00463955">
      <w:pPr>
        <w:pStyle w:val="Akapitzlist"/>
        <w:numPr>
          <w:ilvl w:val="0"/>
          <w:numId w:val="812"/>
        </w:numPr>
        <w:shd w:val="clear" w:color="auto" w:fill="F2F2F2" w:themeFill="background1" w:themeFillShade="F2"/>
        <w:spacing w:after="0" w:line="240" w:lineRule="auto"/>
        <w:ind w:left="714" w:hanging="357"/>
        <w:jc w:val="both"/>
        <w:rPr>
          <w:sz w:val="20"/>
          <w:szCs w:val="20"/>
        </w:rPr>
      </w:pPr>
      <w:r w:rsidRPr="00BF1DF2">
        <w:rPr>
          <w:sz w:val="20"/>
          <w:szCs w:val="20"/>
        </w:rPr>
        <w:t>zachowanie zabytkowych układów śródmiejskich z implementacją funkcji usługowych</w:t>
      </w:r>
      <w:r w:rsidR="00EC4786" w:rsidRPr="00BF1DF2">
        <w:rPr>
          <w:sz w:val="20"/>
          <w:szCs w:val="20"/>
        </w:rPr>
        <w:t>;</w:t>
      </w:r>
    </w:p>
    <w:p w:rsidR="00E80D4D" w:rsidRPr="00BF1DF2" w:rsidRDefault="00E80D4D" w:rsidP="00463955">
      <w:pPr>
        <w:pStyle w:val="Akapitzlist"/>
        <w:numPr>
          <w:ilvl w:val="0"/>
          <w:numId w:val="812"/>
        </w:numPr>
        <w:shd w:val="clear" w:color="auto" w:fill="F2F2F2" w:themeFill="background1" w:themeFillShade="F2"/>
        <w:spacing w:after="0" w:line="240" w:lineRule="auto"/>
        <w:ind w:left="714" w:hanging="357"/>
        <w:jc w:val="both"/>
        <w:rPr>
          <w:sz w:val="20"/>
          <w:szCs w:val="20"/>
        </w:rPr>
      </w:pPr>
      <w:r w:rsidRPr="00BF1DF2">
        <w:rPr>
          <w:sz w:val="20"/>
          <w:szCs w:val="20"/>
        </w:rPr>
        <w:t>transformacja dzielnic mieszkaniowych w kierunku rehabilitacji części zabudowy, częściowych wyburzeń oraz nowych inwestycji oraz ograniczenia niskiej emisji</w:t>
      </w:r>
      <w:r w:rsidR="00EC4786" w:rsidRPr="00BF1DF2">
        <w:rPr>
          <w:sz w:val="20"/>
          <w:szCs w:val="20"/>
        </w:rPr>
        <w:t>;</w:t>
      </w:r>
    </w:p>
    <w:p w:rsidR="00E80D4D" w:rsidRPr="00BF1DF2" w:rsidRDefault="00E80D4D" w:rsidP="00463955">
      <w:pPr>
        <w:pStyle w:val="Akapitzlist"/>
        <w:numPr>
          <w:ilvl w:val="0"/>
          <w:numId w:val="812"/>
        </w:numPr>
        <w:shd w:val="clear" w:color="auto" w:fill="F2F2F2" w:themeFill="background1" w:themeFillShade="F2"/>
        <w:spacing w:after="0" w:line="240" w:lineRule="auto"/>
        <w:ind w:left="714" w:hanging="357"/>
        <w:jc w:val="both"/>
        <w:rPr>
          <w:sz w:val="20"/>
          <w:szCs w:val="20"/>
        </w:rPr>
      </w:pPr>
      <w:r w:rsidRPr="00BF1DF2">
        <w:rPr>
          <w:sz w:val="20"/>
          <w:szCs w:val="20"/>
        </w:rPr>
        <w:t>likwidacja barier przestrzennych i funkcjonalnych</w:t>
      </w:r>
      <w:r w:rsidR="00EC4786" w:rsidRPr="00BF1DF2">
        <w:rPr>
          <w:sz w:val="20"/>
          <w:szCs w:val="20"/>
        </w:rPr>
        <w:t>;</w:t>
      </w:r>
    </w:p>
    <w:p w:rsidR="00E80D4D" w:rsidRPr="00BF1DF2" w:rsidRDefault="00E80D4D" w:rsidP="00463955">
      <w:pPr>
        <w:pStyle w:val="Akapitzlist"/>
        <w:numPr>
          <w:ilvl w:val="0"/>
          <w:numId w:val="812"/>
        </w:numPr>
        <w:shd w:val="clear" w:color="auto" w:fill="F2F2F2" w:themeFill="background1" w:themeFillShade="F2"/>
        <w:spacing w:after="0" w:line="240" w:lineRule="auto"/>
        <w:ind w:left="714" w:hanging="357"/>
        <w:jc w:val="both"/>
        <w:rPr>
          <w:sz w:val="20"/>
          <w:szCs w:val="20"/>
        </w:rPr>
      </w:pPr>
      <w:r w:rsidRPr="00BF1DF2">
        <w:rPr>
          <w:sz w:val="20"/>
          <w:szCs w:val="20"/>
        </w:rPr>
        <w:t>rozwiązywanie konfliktów społecznych oraz przeciwdziałanie konfliktom i ekskluzji społecznej</w:t>
      </w:r>
      <w:r w:rsidR="00EC4786" w:rsidRPr="00BF1DF2">
        <w:rPr>
          <w:sz w:val="20"/>
          <w:szCs w:val="20"/>
        </w:rPr>
        <w:t>;</w:t>
      </w:r>
    </w:p>
    <w:p w:rsidR="00E80D4D" w:rsidRPr="00BF1DF2" w:rsidRDefault="00E80D4D" w:rsidP="00463955">
      <w:pPr>
        <w:pStyle w:val="Akapitzlist"/>
        <w:numPr>
          <w:ilvl w:val="0"/>
          <w:numId w:val="812"/>
        </w:numPr>
        <w:shd w:val="clear" w:color="auto" w:fill="F2F2F2" w:themeFill="background1" w:themeFillShade="F2"/>
        <w:spacing w:after="0" w:line="240" w:lineRule="auto"/>
        <w:ind w:left="714" w:hanging="357"/>
        <w:jc w:val="both"/>
        <w:rPr>
          <w:sz w:val="20"/>
          <w:szCs w:val="20"/>
        </w:rPr>
      </w:pPr>
      <w:r w:rsidRPr="00BF1DF2">
        <w:rPr>
          <w:sz w:val="20"/>
          <w:szCs w:val="20"/>
        </w:rPr>
        <w:t>zwiększanie udziału terenów zielonych i ich integracja funkcjonalna z otoczeniem, ochrona lasów, zachowanie walorów przyrodniczych</w:t>
      </w:r>
      <w:r w:rsidR="00EC4786" w:rsidRPr="00BF1DF2">
        <w:rPr>
          <w:sz w:val="20"/>
          <w:szCs w:val="20"/>
        </w:rPr>
        <w:t>;</w:t>
      </w:r>
    </w:p>
    <w:p w:rsidR="00E80D4D" w:rsidRPr="00BF1DF2" w:rsidRDefault="00E80D4D" w:rsidP="00463955">
      <w:pPr>
        <w:pStyle w:val="Akapitzlist"/>
        <w:numPr>
          <w:ilvl w:val="0"/>
          <w:numId w:val="812"/>
        </w:numPr>
        <w:shd w:val="clear" w:color="auto" w:fill="F2F2F2" w:themeFill="background1" w:themeFillShade="F2"/>
        <w:spacing w:after="0" w:line="240" w:lineRule="auto"/>
        <w:ind w:left="714" w:hanging="357"/>
        <w:jc w:val="both"/>
        <w:rPr>
          <w:sz w:val="20"/>
          <w:szCs w:val="20"/>
        </w:rPr>
      </w:pPr>
      <w:r w:rsidRPr="00BF1DF2">
        <w:rPr>
          <w:sz w:val="20"/>
          <w:szCs w:val="20"/>
        </w:rPr>
        <w:t>zwiększanie retencyjności na obszarach miejskich i poprzemysłowych poprzez redukcję powierzchni nieprzepuszczalnych, zwiększanie udziału terenów biologicznie czynnych oraz rozwój zielono-błękitnej infrastruktury</w:t>
      </w:r>
      <w:r w:rsidR="00EC4786" w:rsidRPr="00BF1DF2">
        <w:rPr>
          <w:sz w:val="20"/>
          <w:szCs w:val="20"/>
        </w:rPr>
        <w:t>;</w:t>
      </w:r>
    </w:p>
    <w:p w:rsidR="00E80D4D" w:rsidRPr="00BF1DF2" w:rsidRDefault="00E80D4D" w:rsidP="00463955">
      <w:pPr>
        <w:pStyle w:val="Akapitzlist"/>
        <w:numPr>
          <w:ilvl w:val="0"/>
          <w:numId w:val="812"/>
        </w:numPr>
        <w:shd w:val="clear" w:color="auto" w:fill="F2F2F2" w:themeFill="background1" w:themeFillShade="F2"/>
        <w:spacing w:after="0" w:line="240" w:lineRule="auto"/>
        <w:ind w:left="714" w:hanging="357"/>
        <w:jc w:val="both"/>
        <w:rPr>
          <w:sz w:val="20"/>
          <w:szCs w:val="20"/>
        </w:rPr>
      </w:pPr>
      <w:r w:rsidRPr="00BF1DF2">
        <w:rPr>
          <w:sz w:val="20"/>
          <w:szCs w:val="20"/>
        </w:rPr>
        <w:t xml:space="preserve">kierowanie uwagi na przestrzenie śródmiejskie jako potencjalne miejsca zatrudnienia głównie </w:t>
      </w:r>
      <w:r w:rsidR="00165F6F">
        <w:rPr>
          <w:sz w:val="20"/>
          <w:szCs w:val="20"/>
        </w:rPr>
        <w:br/>
      </w:r>
      <w:r w:rsidRPr="00BF1DF2">
        <w:rPr>
          <w:sz w:val="20"/>
          <w:szCs w:val="20"/>
        </w:rPr>
        <w:t>w sektorze usług</w:t>
      </w:r>
      <w:r w:rsidR="00EC4786" w:rsidRPr="00BF1DF2">
        <w:rPr>
          <w:sz w:val="20"/>
          <w:szCs w:val="20"/>
        </w:rPr>
        <w:t>;</w:t>
      </w:r>
    </w:p>
    <w:p w:rsidR="00A82138" w:rsidRPr="00BF1DF2" w:rsidRDefault="00E80D4D" w:rsidP="00463955">
      <w:pPr>
        <w:pStyle w:val="Akapitzlist"/>
        <w:numPr>
          <w:ilvl w:val="0"/>
          <w:numId w:val="812"/>
        </w:numPr>
        <w:shd w:val="clear" w:color="auto" w:fill="F2F2F2" w:themeFill="background1" w:themeFillShade="F2"/>
        <w:spacing w:after="0" w:line="240" w:lineRule="auto"/>
        <w:ind w:left="714" w:hanging="357"/>
        <w:jc w:val="both"/>
        <w:rPr>
          <w:sz w:val="20"/>
          <w:szCs w:val="20"/>
        </w:rPr>
      </w:pPr>
      <w:r w:rsidRPr="00BF1DF2">
        <w:rPr>
          <w:sz w:val="20"/>
          <w:szCs w:val="20"/>
        </w:rPr>
        <w:t>zachowanie w krajobrazie wybranych, charakterystycznych elementów dziedzictwa poprzemysłowego</w:t>
      </w:r>
      <w:r w:rsidR="00EC4786" w:rsidRPr="00BF1DF2">
        <w:rPr>
          <w:sz w:val="20"/>
          <w:szCs w:val="20"/>
        </w:rPr>
        <w:t>.</w:t>
      </w:r>
    </w:p>
    <w:p w:rsidR="00A82138" w:rsidRPr="00BF1DF2" w:rsidRDefault="000901B6" w:rsidP="00463955">
      <w:pPr>
        <w:shd w:val="clear" w:color="auto" w:fill="F2F2F2" w:themeFill="background1" w:themeFillShade="F2"/>
        <w:jc w:val="both"/>
        <w:rPr>
          <w:sz w:val="22"/>
          <w:szCs w:val="22"/>
        </w:rPr>
      </w:pPr>
      <w:r w:rsidRPr="00BF1DF2">
        <w:rPr>
          <w:rFonts w:ascii="Calibri" w:hAnsi="Calibri" w:cs="Calibri"/>
          <w:szCs w:val="20"/>
        </w:rPr>
        <w:t xml:space="preserve">Zaplanowane przedsięwzięcia </w:t>
      </w:r>
      <w:r w:rsidR="00EF4067" w:rsidRPr="00BF1DF2">
        <w:rPr>
          <w:rFonts w:ascii="Calibri" w:hAnsi="Calibri" w:cs="Calibri"/>
          <w:szCs w:val="20"/>
        </w:rPr>
        <w:t>rewitalizacyjne w ramach „Gminnego Programu Rewital</w:t>
      </w:r>
      <w:r w:rsidRPr="00BF1DF2">
        <w:rPr>
          <w:rFonts w:ascii="Calibri" w:hAnsi="Calibri" w:cs="Calibri"/>
          <w:szCs w:val="20"/>
        </w:rPr>
        <w:t xml:space="preserve">izacji. Bytom 2020+” są spójne z zasadami, celami i kierunkami działań </w:t>
      </w:r>
      <w:r w:rsidR="00EF4067" w:rsidRPr="00BF1DF2">
        <w:rPr>
          <w:rFonts w:ascii="Calibri" w:hAnsi="Calibri" w:cs="Calibri"/>
          <w:szCs w:val="20"/>
        </w:rPr>
        <w:t>wskaza</w:t>
      </w:r>
      <w:r w:rsidRPr="00BF1DF2">
        <w:rPr>
          <w:rFonts w:ascii="Calibri" w:hAnsi="Calibri" w:cs="Calibri"/>
          <w:szCs w:val="20"/>
        </w:rPr>
        <w:t>nymi Regionalnej Polityce Rewitalizacji Województwa Śląskiego</w:t>
      </w:r>
      <w:r w:rsidR="00EF4067" w:rsidRPr="00BF1DF2">
        <w:rPr>
          <w:rFonts w:ascii="Calibri" w:hAnsi="Calibri" w:cs="Calibri"/>
          <w:szCs w:val="20"/>
        </w:rPr>
        <w:t>.</w:t>
      </w:r>
    </w:p>
    <w:p w:rsidR="00A82138" w:rsidRPr="00BF1DF2" w:rsidRDefault="00A82138">
      <w:pPr>
        <w:jc w:val="both"/>
        <w:rPr>
          <w:rFonts w:ascii="Calibri" w:hAnsi="Calibri" w:cs="Calibri"/>
          <w:szCs w:val="20"/>
        </w:rPr>
      </w:pPr>
    </w:p>
    <w:p w:rsidR="005B3470" w:rsidRPr="00BF1DF2" w:rsidRDefault="005B3470" w:rsidP="00463955">
      <w:pPr>
        <w:pStyle w:val="Nagwek4"/>
        <w:shd w:val="clear" w:color="auto" w:fill="F2F2F2" w:themeFill="background1" w:themeFillShade="F2"/>
        <w:spacing w:before="0" w:after="0"/>
        <w:rPr>
          <w:rFonts w:cs="Calibri"/>
          <w:i w:val="0"/>
          <w:color w:val="0070C0"/>
          <w:szCs w:val="22"/>
        </w:rPr>
      </w:pPr>
      <w:r w:rsidRPr="00BF1DF2">
        <w:rPr>
          <w:rFonts w:cs="Calibri"/>
          <w:i w:val="0"/>
          <w:color w:val="0070C0"/>
          <w:szCs w:val="22"/>
        </w:rPr>
        <w:t>Fundusze Europejskie dla Śląskiego na lata 2021-2027 (FESL 2021-2027)</w:t>
      </w:r>
    </w:p>
    <w:p w:rsidR="00C1234D" w:rsidRPr="00BF1DF2" w:rsidRDefault="00C07959" w:rsidP="00463955">
      <w:pPr>
        <w:shd w:val="clear" w:color="auto" w:fill="F2F2F2" w:themeFill="background1" w:themeFillShade="F2"/>
        <w:autoSpaceDE w:val="0"/>
        <w:autoSpaceDN w:val="0"/>
        <w:adjustRightInd w:val="0"/>
        <w:spacing w:before="100"/>
        <w:ind w:firstLine="680"/>
        <w:jc w:val="both"/>
        <w:rPr>
          <w:rFonts w:cstheme="minorHAnsi"/>
          <w:szCs w:val="20"/>
        </w:rPr>
      </w:pPr>
      <w:r w:rsidRPr="00BF1DF2">
        <w:rPr>
          <w:rFonts w:cstheme="minorHAnsi"/>
          <w:szCs w:val="20"/>
        </w:rPr>
        <w:t xml:space="preserve">Na poziomie regionu, kluczowe wyzwania związane z zagadnieniem rewitalizacji </w:t>
      </w:r>
      <w:r w:rsidR="005B3470" w:rsidRPr="00BF1DF2">
        <w:rPr>
          <w:rFonts w:cstheme="minorHAnsi"/>
          <w:szCs w:val="20"/>
        </w:rPr>
        <w:t>w perspektywie</w:t>
      </w:r>
      <w:r w:rsidR="005B3470" w:rsidRPr="00751086">
        <w:rPr>
          <w:rFonts w:cstheme="minorHAnsi"/>
          <w:color w:val="FF0000"/>
          <w:szCs w:val="20"/>
        </w:rPr>
        <w:t xml:space="preserve"> </w:t>
      </w:r>
      <w:r w:rsidR="005B3470" w:rsidRPr="00BF1DF2">
        <w:rPr>
          <w:rFonts w:cstheme="minorHAnsi"/>
          <w:szCs w:val="20"/>
        </w:rPr>
        <w:t>finansowej na lata 2021 -2027</w:t>
      </w:r>
      <w:r w:rsidR="00C1234D" w:rsidRPr="00BF1DF2">
        <w:rPr>
          <w:rFonts w:cstheme="minorHAnsi"/>
          <w:szCs w:val="20"/>
        </w:rPr>
        <w:t xml:space="preserve"> </w:t>
      </w:r>
      <w:r w:rsidRPr="00BF1DF2">
        <w:rPr>
          <w:rFonts w:cstheme="minorHAnsi"/>
          <w:szCs w:val="20"/>
        </w:rPr>
        <w:t>zostały wskazane w Strategii Rozwoju Województwa Śląskiego „Śląskie 2030” oraz w Regionalnej Polityce Rewitalizacji Województwa Ś</w:t>
      </w:r>
      <w:r w:rsidR="00C1234D" w:rsidRPr="00BF1DF2">
        <w:rPr>
          <w:rFonts w:cstheme="minorHAnsi"/>
          <w:szCs w:val="20"/>
        </w:rPr>
        <w:t xml:space="preserve">ląskiego. </w:t>
      </w:r>
      <w:r w:rsidRPr="00BF1DF2">
        <w:rPr>
          <w:rFonts w:cstheme="minorHAnsi"/>
          <w:szCs w:val="20"/>
        </w:rPr>
        <w:t xml:space="preserve">Umowa </w:t>
      </w:r>
      <w:r w:rsidR="00C1234D" w:rsidRPr="00BF1DF2">
        <w:rPr>
          <w:rFonts w:cstheme="minorHAnsi"/>
          <w:szCs w:val="20"/>
        </w:rPr>
        <w:t xml:space="preserve">Partnerstwa nakreśla strategiczne </w:t>
      </w:r>
      <w:r w:rsidRPr="00BF1DF2">
        <w:rPr>
          <w:rFonts w:cstheme="minorHAnsi"/>
          <w:szCs w:val="20"/>
        </w:rPr>
        <w:t>kierunki programowania oraz zasady korzystania m.in. z Europejskiego Fund</w:t>
      </w:r>
      <w:r w:rsidR="00C1234D" w:rsidRPr="00BF1DF2">
        <w:rPr>
          <w:rFonts w:cstheme="minorHAnsi"/>
          <w:szCs w:val="20"/>
        </w:rPr>
        <w:t>uszu Rozwoju Regionalnego</w:t>
      </w:r>
      <w:r w:rsidRPr="00BF1DF2">
        <w:rPr>
          <w:rFonts w:cstheme="minorHAnsi"/>
          <w:szCs w:val="20"/>
        </w:rPr>
        <w:t xml:space="preserve">, Europejskiego </w:t>
      </w:r>
      <w:r w:rsidR="00C1234D" w:rsidRPr="00BF1DF2">
        <w:rPr>
          <w:rFonts w:cstheme="minorHAnsi"/>
          <w:szCs w:val="20"/>
        </w:rPr>
        <w:t>Funduszu Społecznego Plus</w:t>
      </w:r>
      <w:r w:rsidRPr="00BF1DF2">
        <w:rPr>
          <w:rFonts w:cstheme="minorHAnsi"/>
          <w:szCs w:val="20"/>
        </w:rPr>
        <w:t xml:space="preserve"> czy Funduszu na rzecz </w:t>
      </w:r>
      <w:r w:rsidR="00C1234D" w:rsidRPr="00BF1DF2">
        <w:rPr>
          <w:rFonts w:cstheme="minorHAnsi"/>
          <w:szCs w:val="20"/>
        </w:rPr>
        <w:t>Sprawiedliwej Transformacji</w:t>
      </w:r>
      <w:r w:rsidRPr="00BF1DF2">
        <w:rPr>
          <w:rFonts w:cstheme="minorHAnsi"/>
          <w:szCs w:val="20"/>
        </w:rPr>
        <w:t xml:space="preserve">. </w:t>
      </w:r>
    </w:p>
    <w:p w:rsidR="00C1234D" w:rsidRPr="00BF1DF2" w:rsidRDefault="00C07959" w:rsidP="00463955">
      <w:pPr>
        <w:shd w:val="clear" w:color="auto" w:fill="F2F2F2" w:themeFill="background1" w:themeFillShade="F2"/>
        <w:autoSpaceDE w:val="0"/>
        <w:autoSpaceDN w:val="0"/>
        <w:adjustRightInd w:val="0"/>
        <w:spacing w:before="100"/>
        <w:ind w:firstLine="680"/>
        <w:jc w:val="both"/>
        <w:rPr>
          <w:rFonts w:cstheme="minorHAnsi"/>
          <w:szCs w:val="20"/>
        </w:rPr>
      </w:pPr>
      <w:r w:rsidRPr="00BF1DF2">
        <w:rPr>
          <w:rFonts w:cstheme="minorHAnsi"/>
          <w:szCs w:val="20"/>
        </w:rPr>
        <w:t>Działania zmierzające do wyprowadzenia obszarów zdegradowanych ze stanu kryzysowego zostały zaplanowane w ramach Celu Polityki 5 (EFRR). Wsparciem zostaną objęte „kompleksowe, zintegrowane działania na rzecz: lokalnej społeczności i gospodarki, ładu przestrzennego i zrównoważonego gospodarowania przestrzenią, skoncentrowane terytorialnie i prowadzone przez interesariuszy rewitalizacji na podstawie gminn</w:t>
      </w:r>
      <w:r w:rsidR="00C1234D" w:rsidRPr="00BF1DF2">
        <w:rPr>
          <w:rFonts w:cstheme="minorHAnsi"/>
          <w:szCs w:val="20"/>
        </w:rPr>
        <w:t>ego programu rewitalizacji</w:t>
      </w:r>
      <w:r w:rsidRPr="00BF1DF2">
        <w:rPr>
          <w:rFonts w:cstheme="minorHAnsi"/>
          <w:szCs w:val="20"/>
        </w:rPr>
        <w:t>”, przy czym działania te muszą być wdrażane poprzez inn</w:t>
      </w:r>
      <w:r w:rsidR="00C1234D" w:rsidRPr="00BF1DF2">
        <w:rPr>
          <w:rFonts w:cstheme="minorHAnsi"/>
          <w:szCs w:val="20"/>
        </w:rPr>
        <w:t>e instrumenty terytorialne</w:t>
      </w:r>
      <w:r w:rsidRPr="00BF1DF2">
        <w:rPr>
          <w:rFonts w:cstheme="minorHAnsi"/>
          <w:szCs w:val="20"/>
        </w:rPr>
        <w:t xml:space="preserve">. Program regionalny Fundusze Europejskie dla Śląskiego 2021-2027 (FE SL 2021-2027) przewiduje wsparcie projektów rewitalizacyjnych, które odpowiadają na wyzwania i problemy zdiagnozowane na obszarze rewitalizacji. </w:t>
      </w:r>
    </w:p>
    <w:p w:rsidR="00C07959" w:rsidRPr="00BF1DF2" w:rsidRDefault="00E74E51" w:rsidP="00463955">
      <w:pPr>
        <w:shd w:val="clear" w:color="auto" w:fill="F2F2F2" w:themeFill="background1" w:themeFillShade="F2"/>
        <w:autoSpaceDE w:val="0"/>
        <w:autoSpaceDN w:val="0"/>
        <w:adjustRightInd w:val="0"/>
        <w:spacing w:before="100"/>
        <w:ind w:firstLine="680"/>
        <w:jc w:val="both"/>
        <w:rPr>
          <w:rFonts w:cstheme="minorHAnsi"/>
          <w:szCs w:val="20"/>
        </w:rPr>
      </w:pPr>
      <w:r w:rsidRPr="00BF1DF2">
        <w:rPr>
          <w:rFonts w:cstheme="minorHAnsi"/>
          <w:szCs w:val="20"/>
        </w:rPr>
        <w:t xml:space="preserve">W </w:t>
      </w:r>
      <w:r w:rsidR="00C07959" w:rsidRPr="00BF1DF2">
        <w:rPr>
          <w:rFonts w:cstheme="minorHAnsi"/>
          <w:szCs w:val="20"/>
        </w:rPr>
        <w:t>ramach Europejskiego Funduszu Roz</w:t>
      </w:r>
      <w:r w:rsidR="00C1234D" w:rsidRPr="00BF1DF2">
        <w:rPr>
          <w:rFonts w:cstheme="minorHAnsi"/>
          <w:szCs w:val="20"/>
        </w:rPr>
        <w:t xml:space="preserve">woju Regionalnego </w:t>
      </w:r>
      <w:r w:rsidR="00C07959" w:rsidRPr="00BF1DF2">
        <w:rPr>
          <w:rFonts w:cstheme="minorHAnsi"/>
          <w:szCs w:val="20"/>
        </w:rPr>
        <w:t>główny ciężar wsparcia procesu rewitalizacji został</w:t>
      </w:r>
      <w:r w:rsidR="00C1234D" w:rsidRPr="00BF1DF2">
        <w:rPr>
          <w:rFonts w:cstheme="minorHAnsi"/>
          <w:szCs w:val="20"/>
        </w:rPr>
        <w:t xml:space="preserve"> </w:t>
      </w:r>
      <w:r w:rsidRPr="00BF1DF2">
        <w:rPr>
          <w:rFonts w:cstheme="minorHAnsi"/>
          <w:szCs w:val="20"/>
        </w:rPr>
        <w:t xml:space="preserve">położony na </w:t>
      </w:r>
      <w:r w:rsidRPr="00BF1DF2">
        <w:rPr>
          <w:rFonts w:cstheme="minorHAnsi"/>
          <w:i/>
          <w:szCs w:val="20"/>
        </w:rPr>
        <w:t>P</w:t>
      </w:r>
      <w:r w:rsidR="00C07959" w:rsidRPr="00BF1DF2">
        <w:rPr>
          <w:rFonts w:cstheme="minorHAnsi"/>
          <w:i/>
          <w:szCs w:val="20"/>
        </w:rPr>
        <w:t>riorytet 9 Fundusze Europejskie na rozwój terytorialny</w:t>
      </w:r>
      <w:r w:rsidRPr="00BF1DF2">
        <w:rPr>
          <w:rFonts w:cstheme="minorHAnsi"/>
          <w:i/>
          <w:szCs w:val="20"/>
        </w:rPr>
        <w:t xml:space="preserve"> - </w:t>
      </w:r>
      <w:r w:rsidRPr="00BF1DF2">
        <w:rPr>
          <w:rFonts w:cstheme="minorHAnsi"/>
          <w:bCs/>
          <w:i/>
          <w:szCs w:val="20"/>
        </w:rPr>
        <w:t xml:space="preserve">Działanie FESL.09.03 Rewitalizacja obszarów miejskich; </w:t>
      </w:r>
      <w:r w:rsidR="00C07959" w:rsidRPr="00BF1DF2">
        <w:rPr>
          <w:rFonts w:cstheme="minorHAnsi"/>
          <w:i/>
          <w:szCs w:val="20"/>
        </w:rPr>
        <w:t xml:space="preserve">9.4 </w:t>
      </w:r>
      <w:r w:rsidRPr="00BF1DF2">
        <w:rPr>
          <w:rFonts w:cstheme="minorHAnsi"/>
          <w:bCs/>
          <w:i/>
          <w:szCs w:val="20"/>
        </w:rPr>
        <w:t xml:space="preserve">Działanie FESL.09.04 Rewitalizacja obszarów miejskich (IF); </w:t>
      </w:r>
      <w:r w:rsidR="00C07959" w:rsidRPr="00BF1DF2">
        <w:rPr>
          <w:rFonts w:cstheme="minorHAnsi"/>
          <w:i/>
          <w:szCs w:val="20"/>
        </w:rPr>
        <w:t>9.5</w:t>
      </w:r>
      <w:r w:rsidRPr="00BF1DF2">
        <w:rPr>
          <w:rFonts w:cstheme="minorHAnsi"/>
          <w:i/>
          <w:szCs w:val="20"/>
        </w:rPr>
        <w:t xml:space="preserve"> </w:t>
      </w:r>
      <w:r w:rsidRPr="00BF1DF2">
        <w:rPr>
          <w:rFonts w:cstheme="minorHAnsi"/>
          <w:bCs/>
          <w:i/>
          <w:szCs w:val="20"/>
        </w:rPr>
        <w:t>Działanie FESL.09.05 Rewitalizacja obszarów wiejskich</w:t>
      </w:r>
      <w:r w:rsidRPr="00BF1DF2">
        <w:rPr>
          <w:rFonts w:cstheme="minorHAnsi"/>
          <w:bCs/>
          <w:szCs w:val="20"/>
        </w:rPr>
        <w:t xml:space="preserve">. </w:t>
      </w:r>
      <w:r w:rsidR="00C07959" w:rsidRPr="00BF1DF2">
        <w:rPr>
          <w:rFonts w:cstheme="minorHAnsi"/>
          <w:szCs w:val="20"/>
        </w:rPr>
        <w:t>Alokacja została przydzielona na wsparcie projektów rewitalizacyjnych wynikających z gminnych programów rewitalizacji, spełniających wymogi strategii IIT, pozytywnie ocenionych przez Instytucję Zarządzającą programem Fundusze Europejskie dla Śląskiego 2021-2027 oraz wpisanych do Wykazu Gminnych Programów Rewitalizacji Województwa Ślą</w:t>
      </w:r>
      <w:r w:rsidR="00C1234D" w:rsidRPr="00BF1DF2">
        <w:rPr>
          <w:rFonts w:cstheme="minorHAnsi"/>
          <w:szCs w:val="20"/>
        </w:rPr>
        <w:t xml:space="preserve">skiego w ramach FE SL 2021-2027. </w:t>
      </w:r>
      <w:r w:rsidR="004818E0" w:rsidRPr="00BF1DF2">
        <w:rPr>
          <w:rFonts w:cstheme="minorHAnsi"/>
          <w:szCs w:val="20"/>
        </w:rPr>
        <w:t xml:space="preserve">Premiowanym jest </w:t>
      </w:r>
      <w:r w:rsidR="00C07959" w:rsidRPr="00BF1DF2">
        <w:rPr>
          <w:rFonts w:cstheme="minorHAnsi"/>
          <w:szCs w:val="20"/>
        </w:rPr>
        <w:t xml:space="preserve">powiązanie projektów infrastrukturalnych EFRR z projektami społecznymi EFS+ lub projektami realizującymi </w:t>
      </w:r>
      <w:r w:rsidR="00C07959" w:rsidRPr="00BF1DF2">
        <w:rPr>
          <w:rFonts w:cstheme="minorHAnsi"/>
          <w:szCs w:val="20"/>
        </w:rPr>
        <w:lastRenderedPageBreak/>
        <w:t xml:space="preserve">cele EFS+ w zakresie włączenia społecznego. </w:t>
      </w:r>
      <w:r w:rsidR="00540E02" w:rsidRPr="00BF1DF2">
        <w:rPr>
          <w:rFonts w:cstheme="minorHAnsi"/>
          <w:szCs w:val="20"/>
        </w:rPr>
        <w:t xml:space="preserve">Dla działań z zakresu EFS+, w szczególności w ramach </w:t>
      </w:r>
      <w:r w:rsidR="00540E02" w:rsidRPr="00BF1DF2">
        <w:rPr>
          <w:rFonts w:cstheme="minorHAnsi"/>
          <w:i/>
          <w:szCs w:val="20"/>
        </w:rPr>
        <w:t>Priorytetu 7 Fundusze Europejskie dla społeczeństwa</w:t>
      </w:r>
      <w:r w:rsidR="00540E02" w:rsidRPr="00BF1DF2">
        <w:rPr>
          <w:rFonts w:cstheme="minorHAnsi"/>
          <w:szCs w:val="20"/>
        </w:rPr>
        <w:t xml:space="preserve">, przyjęcie zostanie kryterium wyboru projektów, które będzie odnosiło się do wynikania projektu z gminnego programu rewitalizacji. </w:t>
      </w:r>
      <w:r w:rsidR="00C07959" w:rsidRPr="00BF1DF2">
        <w:rPr>
          <w:rFonts w:cstheme="minorHAnsi"/>
          <w:szCs w:val="20"/>
        </w:rPr>
        <w:t>W przypadku pozostałych priorytetów inwestyc</w:t>
      </w:r>
      <w:r w:rsidR="002029F7" w:rsidRPr="00BF1DF2">
        <w:rPr>
          <w:rFonts w:cstheme="minorHAnsi"/>
          <w:szCs w:val="20"/>
        </w:rPr>
        <w:t>yjnych EFRR wprowadzone zostały</w:t>
      </w:r>
      <w:r w:rsidR="00C07959" w:rsidRPr="00BF1DF2">
        <w:rPr>
          <w:rFonts w:cstheme="minorHAnsi"/>
          <w:szCs w:val="20"/>
        </w:rPr>
        <w:t xml:space="preserve"> preferencje dla projektów rewitalizacyjnych w postaci dodatkowych punktów w trybie konkurencyjnym w ramach dedykowanych kryteriów wyboru projektów. </w:t>
      </w:r>
    </w:p>
    <w:p w:rsidR="00C07959" w:rsidRPr="00BF1DF2" w:rsidRDefault="00C07959" w:rsidP="00463955">
      <w:pPr>
        <w:shd w:val="clear" w:color="auto" w:fill="F2F2F2" w:themeFill="background1" w:themeFillShade="F2"/>
        <w:spacing w:before="100"/>
        <w:ind w:firstLine="680"/>
        <w:jc w:val="both"/>
        <w:rPr>
          <w:rFonts w:cstheme="minorHAnsi"/>
          <w:szCs w:val="20"/>
        </w:rPr>
      </w:pPr>
      <w:r w:rsidRPr="00BF1DF2">
        <w:rPr>
          <w:rFonts w:cstheme="minorHAnsi"/>
          <w:szCs w:val="20"/>
        </w:rPr>
        <w:t>Realizowane projekty winny być ukierunkowane na rozwiązanie problemów społecznych, gospodarczych i przestrzennych zdiagnozowanych na obszarach rewitalizacji. Ostatecznym celem działań w tym zakresie powinno być bowiem doprowadzenie do trwałych zmian społecznych na obszarze rewitalizacji. Działania społeczne mają też decydujące znaczenie z perspektywy dokonywanych zmian infrastrukturalnych warunkując ich trwałość i akceptację przez mieszkańców obszarów rewitalizacji.</w:t>
      </w:r>
    </w:p>
    <w:p w:rsidR="00C07959" w:rsidRDefault="00C07959" w:rsidP="00463955">
      <w:pPr>
        <w:shd w:val="clear" w:color="auto" w:fill="F2F2F2" w:themeFill="background1" w:themeFillShade="F2"/>
        <w:jc w:val="both"/>
        <w:rPr>
          <w:rFonts w:ascii="Calibri" w:hAnsi="Calibri" w:cs="Calibri"/>
          <w:color w:val="FF0000"/>
          <w:szCs w:val="20"/>
        </w:rPr>
      </w:pPr>
    </w:p>
    <w:p w:rsidR="00D9682C" w:rsidRPr="00EC7E4A" w:rsidRDefault="00D9682C" w:rsidP="00463955">
      <w:pPr>
        <w:shd w:val="clear" w:color="auto" w:fill="F2F2F2" w:themeFill="background1" w:themeFillShade="F2"/>
        <w:jc w:val="both"/>
        <w:rPr>
          <w:rFonts w:ascii="Calibri" w:hAnsi="Calibri" w:cs="Calibri"/>
          <w:b/>
          <w:color w:val="0070C0"/>
          <w:sz w:val="22"/>
          <w:szCs w:val="22"/>
        </w:rPr>
      </w:pPr>
      <w:r w:rsidRPr="00DC250C">
        <w:rPr>
          <w:rFonts w:ascii="Calibri" w:hAnsi="Calibri" w:cs="Calibri"/>
          <w:b/>
          <w:color w:val="0070C0"/>
          <w:sz w:val="22"/>
          <w:szCs w:val="22"/>
        </w:rPr>
        <w:t>Plan Zagospodarowania Przestrzennego Województwa Śląskiego 2020+</w:t>
      </w:r>
    </w:p>
    <w:p w:rsidR="00D9682C" w:rsidRPr="00A96C1A" w:rsidRDefault="00D9682C" w:rsidP="00463955">
      <w:pPr>
        <w:shd w:val="clear" w:color="auto" w:fill="F2F2F2" w:themeFill="background1" w:themeFillShade="F2"/>
        <w:spacing w:before="120"/>
        <w:ind w:firstLine="680"/>
        <w:jc w:val="both"/>
        <w:rPr>
          <w:rFonts w:ascii="Calibri" w:hAnsi="Calibri" w:cs="Calibri"/>
          <w:color w:val="000000" w:themeColor="text1"/>
          <w:szCs w:val="20"/>
        </w:rPr>
      </w:pPr>
      <w:r w:rsidRPr="00EC7E4A">
        <w:rPr>
          <w:rFonts w:ascii="Calibri" w:hAnsi="Calibri" w:cs="Calibri"/>
          <w:color w:val="000000" w:themeColor="text1"/>
          <w:szCs w:val="20"/>
        </w:rPr>
        <w:t xml:space="preserve">Interwencje  </w:t>
      </w:r>
      <w:r>
        <w:rPr>
          <w:rFonts w:ascii="Calibri" w:hAnsi="Calibri" w:cs="Calibri"/>
          <w:color w:val="000000" w:themeColor="text1"/>
          <w:szCs w:val="20"/>
        </w:rPr>
        <w:t>„</w:t>
      </w:r>
      <w:r w:rsidRPr="00EC7E4A">
        <w:rPr>
          <w:rFonts w:ascii="Calibri" w:hAnsi="Calibri" w:cs="Calibri"/>
          <w:color w:val="000000" w:themeColor="text1"/>
          <w:szCs w:val="20"/>
        </w:rPr>
        <w:t>Gminnego Programu Rewitalizacji</w:t>
      </w:r>
      <w:r>
        <w:rPr>
          <w:rFonts w:ascii="Calibri" w:hAnsi="Calibri" w:cs="Calibri"/>
          <w:color w:val="000000" w:themeColor="text1"/>
          <w:szCs w:val="20"/>
        </w:rPr>
        <w:t xml:space="preserve">. Bytom 2020+” </w:t>
      </w:r>
      <w:r w:rsidRPr="00EC7E4A">
        <w:rPr>
          <w:rFonts w:ascii="Calibri" w:hAnsi="Calibri" w:cs="Calibri"/>
          <w:color w:val="000000" w:themeColor="text1"/>
          <w:szCs w:val="20"/>
        </w:rPr>
        <w:t xml:space="preserve">wpisują się w cele i kierunki określone w </w:t>
      </w:r>
      <w:r w:rsidRPr="00A96C1A">
        <w:rPr>
          <w:rFonts w:ascii="Calibri" w:hAnsi="Calibri" w:cs="Calibri"/>
          <w:color w:val="000000" w:themeColor="text1"/>
          <w:szCs w:val="20"/>
        </w:rPr>
        <w:t>Planie Zagospodarowania Przestrzennego Województwa Ślą</w:t>
      </w:r>
      <w:r w:rsidR="00165F6F">
        <w:rPr>
          <w:rFonts w:ascii="Calibri" w:hAnsi="Calibri" w:cs="Calibri"/>
          <w:color w:val="000000" w:themeColor="text1"/>
          <w:szCs w:val="20"/>
        </w:rPr>
        <w:t xml:space="preserve">skiego 2020+ przyjętego Uchwałą </w:t>
      </w:r>
      <w:r w:rsidRPr="00A96C1A">
        <w:rPr>
          <w:rFonts w:ascii="Calibri" w:hAnsi="Calibri" w:cs="Calibri"/>
          <w:color w:val="000000" w:themeColor="text1"/>
          <w:szCs w:val="20"/>
        </w:rPr>
        <w:t>nr V/26/2/2016 Sejmiku Województwa Śląskiego z dnia 29 sierpnia 2016 r. Dotyczy to w szczególności:  Celu 3. Zrównoważone wykorzystanie zasobów środowiska naturalnego i kulturowego, a w tym szczególnie Kierunku 3.2.: Kształtowanie krajobrazów kulturowych w obszarach miejskich, dla którego przewidziano działania zbieżne z interwencją niniejszego programu</w:t>
      </w:r>
      <w:r>
        <w:rPr>
          <w:rFonts w:ascii="Calibri" w:hAnsi="Calibri" w:cs="Calibri"/>
          <w:color w:val="000000" w:themeColor="text1"/>
          <w:szCs w:val="20"/>
        </w:rPr>
        <w:t>,</w:t>
      </w:r>
      <w:r w:rsidRPr="00A96C1A">
        <w:rPr>
          <w:rFonts w:ascii="Calibri" w:hAnsi="Calibri" w:cs="Calibri"/>
          <w:color w:val="000000" w:themeColor="text1"/>
          <w:szCs w:val="20"/>
        </w:rPr>
        <w:t xml:space="preserve"> taki</w:t>
      </w:r>
      <w:r>
        <w:rPr>
          <w:rFonts w:ascii="Calibri" w:hAnsi="Calibri" w:cs="Calibri"/>
          <w:color w:val="000000" w:themeColor="text1"/>
          <w:szCs w:val="20"/>
        </w:rPr>
        <w:t>e</w:t>
      </w:r>
      <w:r w:rsidRPr="00A96C1A">
        <w:rPr>
          <w:rFonts w:ascii="Calibri" w:hAnsi="Calibri" w:cs="Calibri"/>
          <w:color w:val="000000" w:themeColor="text1"/>
          <w:szCs w:val="20"/>
        </w:rPr>
        <w:t xml:space="preserve"> jak:</w:t>
      </w:r>
    </w:p>
    <w:p w:rsidR="00D9682C" w:rsidRPr="00A96C1A" w:rsidRDefault="00D9682C" w:rsidP="00463955">
      <w:pPr>
        <w:pStyle w:val="Akapitzlist"/>
        <w:numPr>
          <w:ilvl w:val="0"/>
          <w:numId w:val="813"/>
        </w:numPr>
        <w:shd w:val="clear" w:color="auto" w:fill="F2F2F2" w:themeFill="background1" w:themeFillShade="F2"/>
        <w:spacing w:after="0" w:line="240" w:lineRule="auto"/>
        <w:ind w:left="709" w:hanging="284"/>
        <w:jc w:val="both"/>
        <w:rPr>
          <w:rFonts w:cs="Calibri"/>
          <w:color w:val="000000" w:themeColor="text1"/>
          <w:sz w:val="20"/>
          <w:szCs w:val="20"/>
        </w:rPr>
      </w:pPr>
      <w:r w:rsidRPr="00A96C1A">
        <w:rPr>
          <w:sz w:val="20"/>
          <w:szCs w:val="20"/>
        </w:rPr>
        <w:t>kształtowanie atrakcyjnych terenów mieszkaniowych o wysokiej jakości rozwiązań urbanistyczno-architektonicznych;</w:t>
      </w:r>
    </w:p>
    <w:p w:rsidR="00D9682C" w:rsidRPr="00A96C1A" w:rsidRDefault="00D9682C" w:rsidP="00463955">
      <w:pPr>
        <w:pStyle w:val="Akapitzlist"/>
        <w:numPr>
          <w:ilvl w:val="0"/>
          <w:numId w:val="813"/>
        </w:numPr>
        <w:shd w:val="clear" w:color="auto" w:fill="F2F2F2" w:themeFill="background1" w:themeFillShade="F2"/>
        <w:spacing w:after="0" w:line="240" w:lineRule="auto"/>
        <w:ind w:left="709" w:hanging="284"/>
        <w:jc w:val="both"/>
        <w:rPr>
          <w:rFonts w:cs="Calibri"/>
          <w:color w:val="000000" w:themeColor="text1"/>
          <w:sz w:val="20"/>
          <w:szCs w:val="20"/>
        </w:rPr>
      </w:pPr>
      <w:r w:rsidRPr="00A96C1A">
        <w:rPr>
          <w:sz w:val="20"/>
          <w:szCs w:val="20"/>
        </w:rPr>
        <w:t>kreowanie przestrzeni publicznych umożliwiających wspólne spędzanie czasu i integrację społeczności lokalnych;</w:t>
      </w:r>
    </w:p>
    <w:p w:rsidR="00D9682C" w:rsidRPr="00A96C1A" w:rsidRDefault="00D9682C" w:rsidP="00463955">
      <w:pPr>
        <w:pStyle w:val="Akapitzlist"/>
        <w:numPr>
          <w:ilvl w:val="0"/>
          <w:numId w:val="813"/>
        </w:numPr>
        <w:shd w:val="clear" w:color="auto" w:fill="F2F2F2" w:themeFill="background1" w:themeFillShade="F2"/>
        <w:spacing w:after="0" w:line="240" w:lineRule="auto"/>
        <w:ind w:left="709" w:hanging="284"/>
        <w:jc w:val="both"/>
        <w:rPr>
          <w:rFonts w:cs="Calibri"/>
          <w:color w:val="000000" w:themeColor="text1"/>
          <w:sz w:val="20"/>
          <w:szCs w:val="20"/>
        </w:rPr>
      </w:pPr>
      <w:r w:rsidRPr="00A96C1A">
        <w:rPr>
          <w:sz w:val="20"/>
          <w:szCs w:val="20"/>
        </w:rPr>
        <w:t>zachowanie tożsamości kulturowo-krajobrazowej, w tym zachowanie identyfikatorów krajobrazu, charakterystycznych dla danego obszaru wraz z ich adaptacją do nowych funkcji;</w:t>
      </w:r>
    </w:p>
    <w:p w:rsidR="00D9682C" w:rsidRPr="00A96C1A" w:rsidRDefault="00D9682C" w:rsidP="00463955">
      <w:pPr>
        <w:pStyle w:val="Akapitzlist"/>
        <w:numPr>
          <w:ilvl w:val="0"/>
          <w:numId w:val="813"/>
        </w:numPr>
        <w:shd w:val="clear" w:color="auto" w:fill="F2F2F2" w:themeFill="background1" w:themeFillShade="F2"/>
        <w:spacing w:after="0" w:line="240" w:lineRule="auto"/>
        <w:ind w:left="709" w:hanging="284"/>
        <w:jc w:val="both"/>
        <w:rPr>
          <w:rFonts w:cs="Calibri"/>
          <w:color w:val="000000" w:themeColor="text1"/>
          <w:sz w:val="20"/>
          <w:szCs w:val="20"/>
        </w:rPr>
      </w:pPr>
      <w:r w:rsidRPr="00A96C1A">
        <w:rPr>
          <w:sz w:val="20"/>
          <w:szCs w:val="20"/>
        </w:rPr>
        <w:t xml:space="preserve">kształtowanie terenów zieleni miejskiej pełniących funkcje rekreacyjne, zdrowotne, estetyczne </w:t>
      </w:r>
      <w:r w:rsidR="00165F6F">
        <w:rPr>
          <w:sz w:val="20"/>
          <w:szCs w:val="20"/>
        </w:rPr>
        <w:br/>
      </w:r>
      <w:r w:rsidRPr="00A96C1A">
        <w:rPr>
          <w:sz w:val="20"/>
          <w:szCs w:val="20"/>
        </w:rPr>
        <w:t xml:space="preserve">i przyrodnicze; </w:t>
      </w:r>
    </w:p>
    <w:p w:rsidR="00D9682C" w:rsidRPr="00A96C1A" w:rsidRDefault="00D9682C" w:rsidP="00463955">
      <w:pPr>
        <w:pStyle w:val="Akapitzlist"/>
        <w:numPr>
          <w:ilvl w:val="0"/>
          <w:numId w:val="813"/>
        </w:numPr>
        <w:shd w:val="clear" w:color="auto" w:fill="F2F2F2" w:themeFill="background1" w:themeFillShade="F2"/>
        <w:spacing w:after="0" w:line="240" w:lineRule="auto"/>
        <w:ind w:left="709" w:hanging="284"/>
        <w:jc w:val="both"/>
        <w:rPr>
          <w:rFonts w:cs="Calibri"/>
          <w:color w:val="000000" w:themeColor="text1"/>
          <w:sz w:val="20"/>
          <w:szCs w:val="20"/>
        </w:rPr>
      </w:pPr>
      <w:r w:rsidRPr="00A96C1A">
        <w:rPr>
          <w:sz w:val="20"/>
          <w:szCs w:val="20"/>
        </w:rPr>
        <w:t>kształtowanie systemu zielonych pierścieni wokół miast w oparciu o lasy, parki regionalne i tereny otwarte;</w:t>
      </w:r>
    </w:p>
    <w:p w:rsidR="00D9682C" w:rsidRPr="00A96C1A" w:rsidRDefault="00D9682C" w:rsidP="00463955">
      <w:pPr>
        <w:pStyle w:val="Akapitzlist"/>
        <w:numPr>
          <w:ilvl w:val="0"/>
          <w:numId w:val="813"/>
        </w:numPr>
        <w:shd w:val="clear" w:color="auto" w:fill="F2F2F2" w:themeFill="background1" w:themeFillShade="F2"/>
        <w:spacing w:after="0" w:line="240" w:lineRule="auto"/>
        <w:ind w:left="709" w:hanging="284"/>
        <w:jc w:val="both"/>
        <w:rPr>
          <w:rFonts w:cs="Calibri"/>
          <w:color w:val="000000" w:themeColor="text1"/>
          <w:sz w:val="20"/>
          <w:szCs w:val="20"/>
        </w:rPr>
      </w:pPr>
      <w:r w:rsidRPr="00A96C1A">
        <w:rPr>
          <w:sz w:val="20"/>
          <w:szCs w:val="20"/>
        </w:rPr>
        <w:t>rewitalizacja zdegradowanej tkanki miejskiej;</w:t>
      </w:r>
    </w:p>
    <w:p w:rsidR="00D9682C" w:rsidRPr="00A96C1A" w:rsidRDefault="00D9682C" w:rsidP="00463955">
      <w:pPr>
        <w:pStyle w:val="Akapitzlist"/>
        <w:numPr>
          <w:ilvl w:val="0"/>
          <w:numId w:val="813"/>
        </w:numPr>
        <w:shd w:val="clear" w:color="auto" w:fill="F2F2F2" w:themeFill="background1" w:themeFillShade="F2"/>
        <w:spacing w:after="0" w:line="240" w:lineRule="auto"/>
        <w:ind w:left="709" w:hanging="284"/>
        <w:jc w:val="both"/>
        <w:rPr>
          <w:rFonts w:cs="Calibri"/>
          <w:color w:val="000000" w:themeColor="text1"/>
          <w:sz w:val="20"/>
          <w:szCs w:val="20"/>
        </w:rPr>
      </w:pPr>
      <w:r w:rsidRPr="00A96C1A">
        <w:rPr>
          <w:sz w:val="20"/>
          <w:szCs w:val="20"/>
        </w:rPr>
        <w:t>likwidowanie i rekultywowanie tzw. bomb ekologicznych tj. nieczynnych składowisk odpadów niebezpiecznych i skażonych terenów poprzemysłowych, stwarzających szczególne zagrożenie dla środowiska i zdrowia ludzi;</w:t>
      </w:r>
    </w:p>
    <w:p w:rsidR="00D9682C" w:rsidRPr="00A96C1A" w:rsidRDefault="00D9682C" w:rsidP="00463955">
      <w:pPr>
        <w:pStyle w:val="Akapitzlist"/>
        <w:numPr>
          <w:ilvl w:val="0"/>
          <w:numId w:val="813"/>
        </w:numPr>
        <w:shd w:val="clear" w:color="auto" w:fill="F2F2F2" w:themeFill="background1" w:themeFillShade="F2"/>
        <w:spacing w:after="0" w:line="240" w:lineRule="auto"/>
        <w:ind w:left="709" w:hanging="284"/>
        <w:jc w:val="both"/>
        <w:rPr>
          <w:rFonts w:cs="Calibri"/>
          <w:color w:val="000000" w:themeColor="text1"/>
          <w:sz w:val="20"/>
          <w:szCs w:val="20"/>
        </w:rPr>
      </w:pPr>
      <w:r w:rsidRPr="00A96C1A">
        <w:rPr>
          <w:sz w:val="20"/>
          <w:szCs w:val="20"/>
        </w:rPr>
        <w:t>rekultywacja, rewitalizacja i kształtowanie terenów zdegradowanych (w tym poprzemysłowych, powojskowych, pokolejowych) z wykorzystaniem ich na tereny o funkcjach komercyjnych i publicznych (ekologicznych, turystycznych, kulturowych, usługowych i społeczno-gospodarczych)</w:t>
      </w:r>
      <w:r>
        <w:rPr>
          <w:sz w:val="20"/>
          <w:szCs w:val="20"/>
        </w:rPr>
        <w:t>.</w:t>
      </w:r>
    </w:p>
    <w:p w:rsidR="00D9682C" w:rsidRPr="00751086" w:rsidRDefault="00D9682C" w:rsidP="00463955">
      <w:pPr>
        <w:shd w:val="clear" w:color="auto" w:fill="F2F2F2" w:themeFill="background1" w:themeFillShade="F2"/>
        <w:jc w:val="both"/>
        <w:rPr>
          <w:rFonts w:ascii="Calibri" w:hAnsi="Calibri" w:cs="Calibri"/>
          <w:color w:val="FF0000"/>
          <w:szCs w:val="20"/>
        </w:rPr>
      </w:pPr>
    </w:p>
    <w:p w:rsidR="000C70A4" w:rsidRPr="00BF1DF2" w:rsidRDefault="000C70A4" w:rsidP="000809E2">
      <w:pPr>
        <w:pStyle w:val="Nagwek3"/>
        <w:numPr>
          <w:ilvl w:val="2"/>
          <w:numId w:val="296"/>
        </w:numPr>
        <w:rPr>
          <w:color w:val="0070C0"/>
        </w:rPr>
      </w:pPr>
      <w:bookmarkStart w:id="1062" w:name="_Toc460313274"/>
      <w:bookmarkStart w:id="1063" w:name="_Toc474924879"/>
      <w:r w:rsidRPr="00BF1DF2">
        <w:rPr>
          <w:color w:val="0070C0"/>
        </w:rPr>
        <w:t>Krajowe dokumenty strategiczne i programowe</w:t>
      </w:r>
      <w:bookmarkEnd w:id="1062"/>
      <w:bookmarkEnd w:id="1063"/>
    </w:p>
    <w:p w:rsidR="001F04D8" w:rsidRPr="00BF1DF2" w:rsidRDefault="00F32DB9" w:rsidP="00463955">
      <w:pPr>
        <w:pStyle w:val="Nagwek4"/>
        <w:shd w:val="clear" w:color="auto" w:fill="F2F2F2" w:themeFill="background1" w:themeFillShade="F2"/>
        <w:rPr>
          <w:rFonts w:cs="Calibri"/>
          <w:i w:val="0"/>
          <w:color w:val="0070C0"/>
          <w:szCs w:val="22"/>
        </w:rPr>
      </w:pPr>
      <w:bookmarkStart w:id="1064" w:name="_Toc460313275"/>
      <w:r w:rsidRPr="00BF1DF2">
        <w:rPr>
          <w:rFonts w:cs="Calibri"/>
          <w:i w:val="0"/>
          <w:color w:val="0070C0"/>
          <w:szCs w:val="22"/>
        </w:rPr>
        <w:t xml:space="preserve">Krajowa </w:t>
      </w:r>
      <w:r w:rsidR="000C70A4" w:rsidRPr="00BF1DF2">
        <w:rPr>
          <w:rFonts w:cs="Calibri"/>
          <w:i w:val="0"/>
          <w:color w:val="0070C0"/>
          <w:szCs w:val="22"/>
        </w:rPr>
        <w:t xml:space="preserve">Strategia Rozwoju </w:t>
      </w:r>
      <w:bookmarkEnd w:id="1064"/>
      <w:r w:rsidR="00EC4786" w:rsidRPr="00BF1DF2">
        <w:rPr>
          <w:rFonts w:cs="Calibri"/>
          <w:i w:val="0"/>
          <w:color w:val="0070C0"/>
          <w:szCs w:val="22"/>
        </w:rPr>
        <w:t>R</w:t>
      </w:r>
      <w:r w:rsidRPr="00BF1DF2">
        <w:rPr>
          <w:rFonts w:cs="Calibri"/>
          <w:i w:val="0"/>
          <w:color w:val="0070C0"/>
          <w:szCs w:val="22"/>
        </w:rPr>
        <w:t>egionalnego 2030</w:t>
      </w:r>
    </w:p>
    <w:p w:rsidR="00D405F5" w:rsidRPr="00BF1DF2" w:rsidRDefault="000C70A4" w:rsidP="00463955">
      <w:pPr>
        <w:shd w:val="clear" w:color="auto" w:fill="F2F2F2" w:themeFill="background1" w:themeFillShade="F2"/>
        <w:autoSpaceDE w:val="0"/>
        <w:autoSpaceDN w:val="0"/>
        <w:adjustRightInd w:val="0"/>
        <w:spacing w:before="100"/>
        <w:ind w:firstLine="680"/>
        <w:jc w:val="both"/>
        <w:rPr>
          <w:bCs/>
          <w:szCs w:val="20"/>
        </w:rPr>
      </w:pPr>
      <w:r w:rsidRPr="00BF1DF2">
        <w:rPr>
          <w:rFonts w:ascii="Calibri" w:hAnsi="Calibri" w:cs="Calibri"/>
          <w:szCs w:val="20"/>
        </w:rPr>
        <w:t xml:space="preserve">Strategia przyjęta uchwałą Rady Ministrów </w:t>
      </w:r>
      <w:r w:rsidR="00C23561" w:rsidRPr="00BF1DF2">
        <w:rPr>
          <w:rFonts w:ascii="Calibri" w:hAnsi="Calibri" w:cs="Calibri"/>
          <w:szCs w:val="20"/>
        </w:rPr>
        <w:t>we</w:t>
      </w:r>
      <w:r w:rsidR="00F32DB9" w:rsidRPr="00BF1DF2">
        <w:rPr>
          <w:rFonts w:ascii="Calibri" w:hAnsi="Calibri" w:cs="Calibri"/>
          <w:szCs w:val="20"/>
        </w:rPr>
        <w:t xml:space="preserve"> września 2019</w:t>
      </w:r>
      <w:r w:rsidRPr="00BF1DF2">
        <w:rPr>
          <w:rFonts w:ascii="Calibri" w:hAnsi="Calibri" w:cs="Calibri"/>
          <w:szCs w:val="20"/>
        </w:rPr>
        <w:t xml:space="preserve"> r. </w:t>
      </w:r>
      <w:r w:rsidR="00D405F5" w:rsidRPr="00BF1DF2">
        <w:rPr>
          <w:rFonts w:ascii="Calibri" w:hAnsi="Calibri" w:cs="Calibri"/>
          <w:szCs w:val="20"/>
        </w:rPr>
        <w:t>poświęca zagadnie</w:t>
      </w:r>
      <w:r w:rsidR="00F32DB9" w:rsidRPr="00BF1DF2">
        <w:rPr>
          <w:rFonts w:ascii="Calibri" w:hAnsi="Calibri" w:cs="Calibri"/>
          <w:szCs w:val="20"/>
        </w:rPr>
        <w:t>niom związanym</w:t>
      </w:r>
      <w:r w:rsidRPr="00BF1DF2">
        <w:rPr>
          <w:rFonts w:ascii="Calibri" w:hAnsi="Calibri" w:cs="Calibri"/>
          <w:szCs w:val="20"/>
        </w:rPr>
        <w:t xml:space="preserve"> z</w:t>
      </w:r>
      <w:r w:rsidR="00C23561" w:rsidRPr="00BF1DF2">
        <w:rPr>
          <w:rFonts w:ascii="Calibri" w:hAnsi="Calibri" w:cs="Calibri"/>
          <w:szCs w:val="20"/>
        </w:rPr>
        <w:t> </w:t>
      </w:r>
      <w:r w:rsidR="00F32DB9" w:rsidRPr="00BF1DF2">
        <w:rPr>
          <w:rFonts w:ascii="Calibri" w:hAnsi="Calibri" w:cs="Calibri"/>
          <w:szCs w:val="20"/>
        </w:rPr>
        <w:t>procesem</w:t>
      </w:r>
      <w:r w:rsidR="00025A0E" w:rsidRPr="00BF1DF2">
        <w:rPr>
          <w:rFonts w:ascii="Calibri" w:hAnsi="Calibri" w:cs="Calibri"/>
          <w:szCs w:val="20"/>
        </w:rPr>
        <w:t xml:space="preserve"> rewitalizacji </w:t>
      </w:r>
      <w:r w:rsidR="00D405F5" w:rsidRPr="00BF1DF2">
        <w:rPr>
          <w:rFonts w:ascii="Calibri" w:hAnsi="Calibri" w:cs="Calibri"/>
          <w:szCs w:val="20"/>
        </w:rPr>
        <w:t xml:space="preserve">zapisy </w:t>
      </w:r>
      <w:r w:rsidR="00D405F5" w:rsidRPr="00BF1DF2">
        <w:rPr>
          <w:rFonts w:ascii="Calibri" w:hAnsi="Calibri" w:cs="Calibri"/>
          <w:i/>
          <w:szCs w:val="20"/>
        </w:rPr>
        <w:t xml:space="preserve">Celu szczegółowego </w:t>
      </w:r>
      <w:r w:rsidR="00D405F5" w:rsidRPr="00BF1DF2">
        <w:rPr>
          <w:bCs/>
          <w:i/>
          <w:szCs w:val="20"/>
        </w:rPr>
        <w:t>1. Zwiększenie spójności rozwoju kraju w wymiarze społecznym, gospodarczy, środowiskowym i przestrzennym</w:t>
      </w:r>
      <w:r w:rsidR="00D405F5" w:rsidRPr="00BF1DF2">
        <w:rPr>
          <w:bCs/>
          <w:szCs w:val="20"/>
        </w:rPr>
        <w:t xml:space="preserve">, dla którego jednym z kierunków interwencji jest </w:t>
      </w:r>
      <w:r w:rsidR="00D405F5" w:rsidRPr="00BF1DF2">
        <w:rPr>
          <w:bCs/>
          <w:i/>
          <w:szCs w:val="20"/>
        </w:rPr>
        <w:t>Przeciwdziałanie kryzysom na obszarach zdegradowanych</w:t>
      </w:r>
      <w:r w:rsidR="00D405F5" w:rsidRPr="00BF1DF2">
        <w:rPr>
          <w:bCs/>
          <w:szCs w:val="20"/>
        </w:rPr>
        <w:t>. S</w:t>
      </w:r>
      <w:r w:rsidR="00D405F5" w:rsidRPr="00BF1DF2">
        <w:rPr>
          <w:rFonts w:ascii="Calibri" w:hAnsi="Calibri" w:cs="Calibri"/>
          <w:szCs w:val="20"/>
        </w:rPr>
        <w:t xml:space="preserve">tanowi to odpowiedź na zidentyfikowane </w:t>
      </w:r>
      <w:r w:rsidR="00165F6F">
        <w:rPr>
          <w:rFonts w:ascii="Calibri" w:hAnsi="Calibri" w:cs="Calibri"/>
          <w:szCs w:val="20"/>
        </w:rPr>
        <w:br/>
      </w:r>
      <w:r w:rsidR="00D405F5" w:rsidRPr="00BF1DF2">
        <w:rPr>
          <w:rFonts w:ascii="Calibri" w:hAnsi="Calibri" w:cs="Calibri"/>
          <w:szCs w:val="20"/>
        </w:rPr>
        <w:t xml:space="preserve">w dokumencie </w:t>
      </w:r>
      <w:r w:rsidR="00D405F5" w:rsidRPr="00BF1DF2">
        <w:rPr>
          <w:bCs/>
          <w:i/>
          <w:szCs w:val="20"/>
        </w:rPr>
        <w:t>Wyzwanie 7. Przeciwdziałanie nierównościom terytorialnym i przestrzennej koncentracji problemów rozwojowych oraz niwelowanie sytuacji kryzysowych na obszarach zdegradowanych.</w:t>
      </w:r>
    </w:p>
    <w:p w:rsidR="00D32C8C" w:rsidRPr="00BF1DF2" w:rsidRDefault="00A070D9" w:rsidP="00463955">
      <w:pPr>
        <w:shd w:val="clear" w:color="auto" w:fill="F2F2F2" w:themeFill="background1" w:themeFillShade="F2"/>
        <w:spacing w:before="100"/>
        <w:ind w:firstLine="680"/>
        <w:jc w:val="both"/>
        <w:rPr>
          <w:rFonts w:cs="Calibri"/>
          <w:szCs w:val="20"/>
        </w:rPr>
      </w:pPr>
      <w:r w:rsidRPr="00BF1DF2">
        <w:rPr>
          <w:bCs/>
          <w:szCs w:val="20"/>
        </w:rPr>
        <w:t xml:space="preserve">Rewitalizacja wykorzystana zostanie </w:t>
      </w:r>
      <w:r w:rsidRPr="00BF1DF2">
        <w:rPr>
          <w:rFonts w:cs="Calibri"/>
          <w:szCs w:val="20"/>
        </w:rPr>
        <w:t>w</w:t>
      </w:r>
      <w:r w:rsidR="00D405F5" w:rsidRPr="00BF1DF2">
        <w:rPr>
          <w:rFonts w:cs="Calibri"/>
          <w:szCs w:val="20"/>
        </w:rPr>
        <w:t xml:space="preserve"> dążeniu do zapewnienia spójności terytorialnej i wyrównywania szans obszarów borykających się z problemami rozwojowymi lub restrukturyzacyjnymi</w:t>
      </w:r>
      <w:r w:rsidR="00D32C8C" w:rsidRPr="00BF1DF2">
        <w:rPr>
          <w:rFonts w:cs="Calibri"/>
          <w:szCs w:val="20"/>
        </w:rPr>
        <w:t xml:space="preserve">. W szerokim ujęciu proces rewitalizacji stanowić będzie jeden z </w:t>
      </w:r>
      <w:r w:rsidR="00D405F5" w:rsidRPr="00BF1DF2">
        <w:rPr>
          <w:rFonts w:cs="Calibri"/>
          <w:szCs w:val="20"/>
        </w:rPr>
        <w:t>impulsów przyspieszających procesy restrukturyzacyjne na obszarach zurbanizowanych, z</w:t>
      </w:r>
      <w:r w:rsidR="00D32C8C" w:rsidRPr="00BF1DF2">
        <w:rPr>
          <w:rFonts w:cs="Calibri"/>
          <w:szCs w:val="20"/>
        </w:rPr>
        <w:t xml:space="preserve">magających się </w:t>
      </w:r>
      <w:r w:rsidR="00D405F5" w:rsidRPr="00BF1DF2">
        <w:rPr>
          <w:rFonts w:cs="Calibri"/>
          <w:szCs w:val="20"/>
        </w:rPr>
        <w:t>z trudnościami przemian społecznych czy degradacją materialną.</w:t>
      </w:r>
      <w:r w:rsidR="004B2D93" w:rsidRPr="00BF1DF2">
        <w:rPr>
          <w:rFonts w:cs="Calibri"/>
          <w:szCs w:val="20"/>
        </w:rPr>
        <w:t xml:space="preserve"> W dokumencie wskazano, że</w:t>
      </w:r>
      <w:r w:rsidR="00D405F5" w:rsidRPr="00BF1DF2">
        <w:rPr>
          <w:rFonts w:cs="Calibri"/>
          <w:szCs w:val="20"/>
        </w:rPr>
        <w:t xml:space="preserve"> </w:t>
      </w:r>
      <w:r w:rsidR="00D32C8C" w:rsidRPr="00BF1DF2">
        <w:rPr>
          <w:rFonts w:cs="Calibri"/>
          <w:szCs w:val="20"/>
        </w:rPr>
        <w:t>„</w:t>
      </w:r>
      <w:r w:rsidR="004B2D93" w:rsidRPr="00BF1DF2">
        <w:rPr>
          <w:szCs w:val="20"/>
        </w:rPr>
        <w:t>o</w:t>
      </w:r>
      <w:r w:rsidR="00D32C8C" w:rsidRPr="00BF1DF2">
        <w:rPr>
          <w:szCs w:val="20"/>
        </w:rPr>
        <w:t xml:space="preserve">bszarem o najwyższej koncentracji tych problemów jest </w:t>
      </w:r>
      <w:r w:rsidR="00D32C8C" w:rsidRPr="00BF1DF2">
        <w:rPr>
          <w:bCs/>
          <w:szCs w:val="20"/>
        </w:rPr>
        <w:t>Śląsk</w:t>
      </w:r>
      <w:r w:rsidR="00D32C8C" w:rsidRPr="00BF1DF2">
        <w:rPr>
          <w:szCs w:val="20"/>
        </w:rPr>
        <w:t xml:space="preserve">, dla którego </w:t>
      </w:r>
      <w:r w:rsidR="00D32C8C" w:rsidRPr="00BF1DF2">
        <w:rPr>
          <w:szCs w:val="20"/>
        </w:rPr>
        <w:lastRenderedPageBreak/>
        <w:t>koniecznym stało się wsparcie z poziomu krajowego procesów reindustrializacji, rozwoju w regionie branż kreatywnych i nowoczesnych oraz projektów rewitalizacji”</w:t>
      </w:r>
      <w:r w:rsidR="004B2D93" w:rsidRPr="00BF1DF2">
        <w:rPr>
          <w:rStyle w:val="Odwoanieprzypisudolnego"/>
          <w:szCs w:val="20"/>
        </w:rPr>
        <w:footnoteReference w:id="1"/>
      </w:r>
      <w:r w:rsidR="00C31A3C" w:rsidRPr="00BF1DF2">
        <w:rPr>
          <w:szCs w:val="20"/>
        </w:rPr>
        <w:t>.</w:t>
      </w:r>
      <w:r w:rsidR="004B2D93" w:rsidRPr="00BF1DF2">
        <w:rPr>
          <w:szCs w:val="20"/>
        </w:rPr>
        <w:t xml:space="preserve"> Strategia definiuje przesłanki do podejmowania działań rewitalizacyjnych w następujący sposób: </w:t>
      </w:r>
      <w:r w:rsidR="00D32C8C" w:rsidRPr="00BF1DF2">
        <w:rPr>
          <w:rFonts w:ascii="Calibri" w:hAnsi="Calibri" w:cs="Calibri"/>
          <w:szCs w:val="20"/>
        </w:rPr>
        <w:t>„</w:t>
      </w:r>
      <w:r w:rsidR="004B2D93" w:rsidRPr="00BF1DF2">
        <w:rPr>
          <w:rFonts w:ascii="Calibri" w:hAnsi="Calibri" w:cs="Calibri"/>
          <w:szCs w:val="20"/>
        </w:rPr>
        <w:t>p</w:t>
      </w:r>
      <w:r w:rsidR="00D32C8C" w:rsidRPr="00BF1DF2">
        <w:rPr>
          <w:rFonts w:ascii="Calibri" w:hAnsi="Calibri" w:cs="Calibri"/>
          <w:szCs w:val="20"/>
        </w:rPr>
        <w:t>rzemysł wydobywczy, który w przeszłości generował korzyści ekonomiczne, równolegle przyczyniał się do degradacji środowiska przyrodniczego, w tym przede wszystkim do pogorszenia jakości powietrza i degradacji terenu</w:t>
      </w:r>
      <w:r w:rsidR="004B2D93" w:rsidRPr="00BF1DF2">
        <w:rPr>
          <w:rFonts w:ascii="Calibri" w:hAnsi="Calibri" w:cs="Calibri"/>
          <w:szCs w:val="20"/>
        </w:rPr>
        <w:t xml:space="preserve"> (…). </w:t>
      </w:r>
      <w:r w:rsidR="00D32C8C" w:rsidRPr="00BF1DF2">
        <w:rPr>
          <w:rFonts w:ascii="Calibri" w:hAnsi="Calibri" w:cs="Calibri"/>
          <w:szCs w:val="20"/>
        </w:rPr>
        <w:t xml:space="preserve">Degradacja środowiska przyrodniczego, przestarzała infrastruktura oraz przede wszystkim problemy społeczne związane z transformacją regionalnej gospodarki wymuszają </w:t>
      </w:r>
      <w:r w:rsidR="00D32C8C" w:rsidRPr="00BF1DF2">
        <w:rPr>
          <w:rFonts w:ascii="Calibri" w:hAnsi="Calibri" w:cs="Calibri"/>
          <w:bCs/>
          <w:szCs w:val="20"/>
        </w:rPr>
        <w:t>podjęcie aktywnych działań w zakresie rewitalizacji, uzupełnionych działaniami w sferze aktywizacji gospodarczej oraz rekultywacji</w:t>
      </w:r>
      <w:r w:rsidR="00D32C8C" w:rsidRPr="00BF1DF2">
        <w:rPr>
          <w:rFonts w:ascii="Calibri" w:hAnsi="Calibri" w:cs="Calibri"/>
          <w:szCs w:val="20"/>
        </w:rPr>
        <w:t>”</w:t>
      </w:r>
      <w:r w:rsidR="00C31A3C" w:rsidRPr="00BF1DF2">
        <w:rPr>
          <w:rStyle w:val="Odwoanieprzypisudolnego"/>
          <w:rFonts w:ascii="Calibri" w:hAnsi="Calibri" w:cs="Calibri"/>
          <w:szCs w:val="20"/>
        </w:rPr>
        <w:footnoteReference w:id="2"/>
      </w:r>
      <w:r w:rsidR="005834BA" w:rsidRPr="00BF1DF2">
        <w:rPr>
          <w:rFonts w:ascii="Calibri" w:hAnsi="Calibri" w:cs="Calibri"/>
          <w:szCs w:val="20"/>
        </w:rPr>
        <w:t>.</w:t>
      </w:r>
      <w:r w:rsidR="00D32C8C" w:rsidRPr="00BF1DF2">
        <w:rPr>
          <w:rFonts w:ascii="Calibri" w:hAnsi="Calibri" w:cs="Calibri"/>
          <w:szCs w:val="20"/>
        </w:rPr>
        <w:t xml:space="preserve"> </w:t>
      </w:r>
    </w:p>
    <w:p w:rsidR="005834BA" w:rsidRPr="00BF1DF2" w:rsidRDefault="00FF2063" w:rsidP="00463955">
      <w:pPr>
        <w:shd w:val="clear" w:color="auto" w:fill="F2F2F2" w:themeFill="background1" w:themeFillShade="F2"/>
        <w:autoSpaceDE w:val="0"/>
        <w:autoSpaceDN w:val="0"/>
        <w:adjustRightInd w:val="0"/>
        <w:spacing w:before="100"/>
        <w:ind w:firstLine="680"/>
        <w:jc w:val="both"/>
        <w:rPr>
          <w:rFonts w:ascii="Calibri" w:hAnsi="Calibri" w:cs="Calibri"/>
          <w:szCs w:val="20"/>
        </w:rPr>
      </w:pPr>
      <w:r w:rsidRPr="00BF1DF2">
        <w:rPr>
          <w:rFonts w:ascii="Calibri" w:hAnsi="Calibri" w:cs="Calibri"/>
          <w:szCs w:val="20"/>
        </w:rPr>
        <w:t>Kolejną grupą obszarów o szczególnej koncentracji problemów rozwojowych</w:t>
      </w:r>
      <w:r w:rsidR="00DC1E7B" w:rsidRPr="00BF1DF2">
        <w:rPr>
          <w:rFonts w:ascii="Calibri" w:hAnsi="Calibri" w:cs="Calibri"/>
          <w:szCs w:val="20"/>
        </w:rPr>
        <w:t xml:space="preserve"> </w:t>
      </w:r>
      <w:r w:rsidR="00BD1632" w:rsidRPr="00BF1DF2">
        <w:rPr>
          <w:rFonts w:ascii="Calibri" w:hAnsi="Calibri" w:cs="Calibri"/>
          <w:szCs w:val="20"/>
        </w:rPr>
        <w:t xml:space="preserve">(OSI) </w:t>
      </w:r>
      <w:r w:rsidR="00DC1E7B" w:rsidRPr="00BF1DF2">
        <w:rPr>
          <w:rFonts w:ascii="Calibri" w:hAnsi="Calibri" w:cs="Calibri"/>
          <w:szCs w:val="20"/>
        </w:rPr>
        <w:t>wskazaną w strategii</w:t>
      </w:r>
      <w:r w:rsidRPr="00BF1DF2">
        <w:rPr>
          <w:rFonts w:ascii="Calibri" w:hAnsi="Calibri" w:cs="Calibri"/>
          <w:szCs w:val="20"/>
        </w:rPr>
        <w:t xml:space="preserve"> są </w:t>
      </w:r>
      <w:r w:rsidRPr="00BF1DF2">
        <w:rPr>
          <w:rFonts w:ascii="Calibri" w:hAnsi="Calibri" w:cs="Calibri"/>
          <w:bCs/>
          <w:szCs w:val="20"/>
        </w:rPr>
        <w:t>miasta średnie tracące funkcje społeczno-gospodarcz</w:t>
      </w:r>
      <w:r w:rsidR="00DC1E7B" w:rsidRPr="00BF1DF2">
        <w:rPr>
          <w:rFonts w:ascii="Calibri" w:hAnsi="Calibri" w:cs="Calibri"/>
          <w:bCs/>
          <w:szCs w:val="20"/>
        </w:rPr>
        <w:t xml:space="preserve">e, </w:t>
      </w:r>
      <w:r w:rsidR="005834BA" w:rsidRPr="00BF1DF2">
        <w:rPr>
          <w:rFonts w:ascii="Calibri" w:hAnsi="Calibri" w:cs="Calibri"/>
          <w:bCs/>
          <w:szCs w:val="20"/>
        </w:rPr>
        <w:t>do których zalicza się Bytom</w:t>
      </w:r>
      <w:r w:rsidR="005834BA" w:rsidRPr="00BF1DF2">
        <w:rPr>
          <w:rStyle w:val="Odwoanieprzypisudolnego"/>
          <w:rFonts w:ascii="Calibri" w:hAnsi="Calibri" w:cs="Calibri"/>
          <w:bCs/>
          <w:szCs w:val="20"/>
        </w:rPr>
        <w:footnoteReference w:id="3"/>
      </w:r>
      <w:r w:rsidR="005834BA" w:rsidRPr="00BF1DF2">
        <w:rPr>
          <w:rFonts w:ascii="Calibri" w:hAnsi="Calibri" w:cs="Calibri"/>
          <w:bCs/>
          <w:szCs w:val="20"/>
        </w:rPr>
        <w:t>. Miasta</w:t>
      </w:r>
      <w:r w:rsidR="00DC1E7B" w:rsidRPr="00BF1DF2">
        <w:rPr>
          <w:rFonts w:ascii="Calibri" w:hAnsi="Calibri" w:cs="Calibri"/>
          <w:bCs/>
          <w:szCs w:val="20"/>
        </w:rPr>
        <w:t xml:space="preserve"> </w:t>
      </w:r>
      <w:r w:rsidR="00E4719A" w:rsidRPr="00BF1DF2">
        <w:rPr>
          <w:rFonts w:ascii="Calibri" w:hAnsi="Calibri" w:cs="Calibri"/>
          <w:bCs/>
          <w:szCs w:val="20"/>
        </w:rPr>
        <w:t xml:space="preserve">te </w:t>
      </w:r>
      <w:r w:rsidRPr="00BF1DF2">
        <w:rPr>
          <w:rFonts w:ascii="Calibri" w:hAnsi="Calibri" w:cs="Calibri"/>
          <w:szCs w:val="20"/>
        </w:rPr>
        <w:t>cechuje regres w rozwoju i utrata funkcji społeczno-gospodarczych i administracyjnych, odpływ ludności do dużych ośrodków, upadek tra</w:t>
      </w:r>
      <w:r w:rsidR="00A077A0" w:rsidRPr="00BF1DF2">
        <w:rPr>
          <w:rFonts w:ascii="Calibri" w:hAnsi="Calibri" w:cs="Calibri"/>
          <w:szCs w:val="20"/>
        </w:rPr>
        <w:t xml:space="preserve">dycyjnych lokalnych przemysłów a także </w:t>
      </w:r>
      <w:r w:rsidRPr="00BF1DF2">
        <w:rPr>
          <w:rFonts w:ascii="Calibri" w:hAnsi="Calibri" w:cs="Calibri"/>
          <w:bCs/>
          <w:szCs w:val="20"/>
        </w:rPr>
        <w:t>niezadowalająca dostępność terytorialna</w:t>
      </w:r>
      <w:r w:rsidR="00A077A0" w:rsidRPr="00BF1DF2">
        <w:rPr>
          <w:rFonts w:ascii="Calibri" w:hAnsi="Calibri" w:cs="Calibri"/>
          <w:szCs w:val="20"/>
        </w:rPr>
        <w:t>.</w:t>
      </w:r>
      <w:r w:rsidR="005834BA" w:rsidRPr="00BF1DF2">
        <w:rPr>
          <w:rFonts w:ascii="Calibri" w:hAnsi="Calibri" w:cs="Calibri"/>
          <w:szCs w:val="20"/>
        </w:rPr>
        <w:t xml:space="preserve"> </w:t>
      </w:r>
      <w:r w:rsidRPr="00BF1DF2">
        <w:rPr>
          <w:szCs w:val="20"/>
        </w:rPr>
        <w:t xml:space="preserve">Do grupy obszarów o istotnej koncentracji problemów rozwojowych, związanych ze specyficzną strukturą gospodarki, zalicza się również </w:t>
      </w:r>
      <w:r w:rsidR="00E4719A" w:rsidRPr="00BF1DF2">
        <w:rPr>
          <w:bCs/>
          <w:szCs w:val="20"/>
        </w:rPr>
        <w:t xml:space="preserve">Śląsk, dla którego </w:t>
      </w:r>
      <w:r w:rsidR="00E4719A" w:rsidRPr="00BF1DF2">
        <w:rPr>
          <w:rFonts w:ascii="Calibri" w:hAnsi="Calibri" w:cs="Calibri"/>
          <w:szCs w:val="20"/>
        </w:rPr>
        <w:t>d</w:t>
      </w:r>
      <w:r w:rsidR="005834BA" w:rsidRPr="00BF1DF2">
        <w:rPr>
          <w:rFonts w:ascii="Calibri" w:hAnsi="Calibri" w:cs="Calibri"/>
          <w:szCs w:val="20"/>
        </w:rPr>
        <w:t xml:space="preserve">egradacja środowiska przyrodniczego, przestarzała infrastruktura oraz przede wszystkim problemy społeczne związane z transformacją regionalnej gospodarki wymuszają </w:t>
      </w:r>
      <w:r w:rsidR="005834BA" w:rsidRPr="00BF1DF2">
        <w:rPr>
          <w:rFonts w:ascii="Calibri" w:hAnsi="Calibri" w:cs="Calibri"/>
          <w:bCs/>
          <w:szCs w:val="20"/>
        </w:rPr>
        <w:t>podjęcie aktywnych działań w zakresie rewitalizacji, uzupełnionych działaniami w sferze aktywizacji gospodarczej oraz rekultywacji</w:t>
      </w:r>
      <w:r w:rsidR="005834BA" w:rsidRPr="00BF1DF2">
        <w:rPr>
          <w:rFonts w:ascii="Calibri" w:hAnsi="Calibri" w:cs="Calibri"/>
          <w:szCs w:val="20"/>
        </w:rPr>
        <w:t xml:space="preserve">. </w:t>
      </w:r>
    </w:p>
    <w:p w:rsidR="001F04D8" w:rsidRPr="00165F6F" w:rsidRDefault="000C70A4" w:rsidP="00463955">
      <w:pPr>
        <w:pStyle w:val="Tekstpodstawowy2"/>
        <w:shd w:val="clear" w:color="auto" w:fill="F2F2F2" w:themeFill="background1" w:themeFillShade="F2"/>
        <w:autoSpaceDE/>
        <w:autoSpaceDN/>
        <w:adjustRightInd/>
        <w:spacing w:before="100"/>
        <w:ind w:firstLine="709"/>
        <w:rPr>
          <w:rFonts w:ascii="Calibri" w:hAnsi="Calibri" w:cs="Calibri"/>
          <w:szCs w:val="20"/>
        </w:rPr>
      </w:pPr>
      <w:r w:rsidRPr="00BF1DF2">
        <w:rPr>
          <w:rFonts w:ascii="Calibri" w:hAnsi="Calibri" w:cs="Calibri"/>
          <w:szCs w:val="20"/>
        </w:rPr>
        <w:t xml:space="preserve">Wyzwaniem w odniesieniu do ww. obszarów jest zastosowanie instrumentów wspomagania kompleksowej rewitalizacji i restrukturyzacji społeczno-gospodarczej. Działania takie w skali lokalnej przedstawia niniejszy </w:t>
      </w:r>
      <w:r w:rsidR="00636812" w:rsidRPr="00BF1DF2">
        <w:rPr>
          <w:rFonts w:ascii="Calibri" w:hAnsi="Calibri" w:cs="Calibri"/>
          <w:szCs w:val="20"/>
        </w:rPr>
        <w:t>GPR</w:t>
      </w:r>
      <w:r w:rsidRPr="00BF1DF2">
        <w:rPr>
          <w:rFonts w:ascii="Calibri" w:hAnsi="Calibri" w:cs="Calibri"/>
          <w:szCs w:val="20"/>
        </w:rPr>
        <w:t xml:space="preserve">. </w:t>
      </w:r>
    </w:p>
    <w:p w:rsidR="000C70A4" w:rsidRPr="00165F6F" w:rsidRDefault="00BF1DF2" w:rsidP="00463955">
      <w:pPr>
        <w:shd w:val="clear" w:color="auto" w:fill="F2F2F2" w:themeFill="background1" w:themeFillShade="F2"/>
        <w:spacing w:before="120"/>
        <w:rPr>
          <w:rFonts w:cstheme="minorHAnsi"/>
          <w:b/>
          <w:color w:val="0070C0"/>
          <w:sz w:val="22"/>
          <w:szCs w:val="22"/>
        </w:rPr>
      </w:pPr>
      <w:r w:rsidRPr="009E6DA0">
        <w:rPr>
          <w:rFonts w:cstheme="minorHAnsi"/>
          <w:b/>
          <w:color w:val="0070C0"/>
          <w:sz w:val="22"/>
          <w:szCs w:val="22"/>
        </w:rPr>
        <w:t>Umowa partnerstwa dla realizacji polityki spójności 2021-2027 w Polsce</w:t>
      </w:r>
    </w:p>
    <w:p w:rsidR="00BF2001" w:rsidRPr="00BF1DF2" w:rsidRDefault="00877A74" w:rsidP="00463955">
      <w:pPr>
        <w:shd w:val="clear" w:color="auto" w:fill="F2F2F2" w:themeFill="background1" w:themeFillShade="F2"/>
        <w:spacing w:before="120"/>
        <w:ind w:firstLine="709"/>
        <w:jc w:val="both"/>
        <w:rPr>
          <w:rFonts w:ascii="Calibri" w:hAnsi="Calibri" w:cs="Calibri"/>
          <w:szCs w:val="20"/>
          <w:u w:val="single"/>
        </w:rPr>
      </w:pPr>
      <w:r w:rsidRPr="00BF1DF2">
        <w:rPr>
          <w:rFonts w:ascii="Calibri" w:hAnsi="Calibri" w:cs="Calibri"/>
          <w:szCs w:val="20"/>
        </w:rPr>
        <w:t xml:space="preserve">Dokument </w:t>
      </w:r>
      <w:r w:rsidR="0033337A" w:rsidRPr="00BF1DF2">
        <w:rPr>
          <w:rFonts w:ascii="Calibri" w:hAnsi="Calibri" w:cs="Calibri"/>
          <w:szCs w:val="20"/>
        </w:rPr>
        <w:t>określa</w:t>
      </w:r>
      <w:r w:rsidRPr="00BF1DF2">
        <w:rPr>
          <w:rFonts w:ascii="Calibri" w:hAnsi="Calibri" w:cs="Calibri"/>
          <w:szCs w:val="20"/>
        </w:rPr>
        <w:t>jący</w:t>
      </w:r>
      <w:r w:rsidR="0033337A" w:rsidRPr="00BF1DF2">
        <w:rPr>
          <w:rFonts w:ascii="Calibri" w:hAnsi="Calibri" w:cs="Calibri"/>
          <w:szCs w:val="20"/>
        </w:rPr>
        <w:t xml:space="preserve"> strategię wykorzystania fun</w:t>
      </w:r>
      <w:r w:rsidRPr="00BF1DF2">
        <w:rPr>
          <w:rFonts w:ascii="Calibri" w:hAnsi="Calibri" w:cs="Calibri"/>
          <w:szCs w:val="20"/>
        </w:rPr>
        <w:t>duszy unijnych na lata 2021 – 2027 został przyjęty w czerwcu 2022</w:t>
      </w:r>
      <w:r w:rsidR="0033337A" w:rsidRPr="00BF1DF2">
        <w:rPr>
          <w:rFonts w:ascii="Calibri" w:hAnsi="Calibri" w:cs="Calibri"/>
          <w:szCs w:val="20"/>
        </w:rPr>
        <w:t xml:space="preserve"> r. </w:t>
      </w:r>
      <w:r w:rsidR="00EA0E32" w:rsidRPr="00BF1DF2">
        <w:rPr>
          <w:rFonts w:ascii="Calibri" w:hAnsi="Calibri" w:cs="Calibri"/>
          <w:szCs w:val="20"/>
          <w:lang w:eastAsia="ar-SA"/>
        </w:rPr>
        <w:t>Instrumentami realizacji umowy partnerstwa</w:t>
      </w:r>
      <w:r w:rsidR="0033337A" w:rsidRPr="00BF1DF2">
        <w:rPr>
          <w:rFonts w:ascii="Calibri" w:hAnsi="Calibri" w:cs="Calibri"/>
          <w:szCs w:val="20"/>
          <w:lang w:eastAsia="ar-SA"/>
        </w:rPr>
        <w:t xml:space="preserve"> są krajowe i regi</w:t>
      </w:r>
      <w:r w:rsidR="00EA0E32" w:rsidRPr="00BF1DF2">
        <w:rPr>
          <w:rFonts w:ascii="Calibri" w:hAnsi="Calibri" w:cs="Calibri"/>
          <w:szCs w:val="20"/>
          <w:lang w:eastAsia="ar-SA"/>
        </w:rPr>
        <w:t>onalne programy, które wraz z umową</w:t>
      </w:r>
      <w:r w:rsidR="0033337A" w:rsidRPr="00BF1DF2">
        <w:rPr>
          <w:rFonts w:ascii="Calibri" w:hAnsi="Calibri" w:cs="Calibri"/>
          <w:szCs w:val="20"/>
          <w:lang w:eastAsia="ar-SA"/>
        </w:rPr>
        <w:t xml:space="preserve"> tworzą spójny system dokumentów programowych polityki spójności w perspektywie 2021-2027 </w:t>
      </w:r>
      <w:r w:rsidR="00165F6F">
        <w:rPr>
          <w:rFonts w:ascii="Calibri" w:hAnsi="Calibri" w:cs="Calibri"/>
          <w:szCs w:val="20"/>
          <w:lang w:eastAsia="ar-SA"/>
        </w:rPr>
        <w:br/>
      </w:r>
      <w:r w:rsidR="0033337A" w:rsidRPr="00BF1DF2">
        <w:rPr>
          <w:rFonts w:ascii="Calibri" w:hAnsi="Calibri" w:cs="Calibri"/>
          <w:szCs w:val="20"/>
          <w:lang w:eastAsia="ar-SA"/>
        </w:rPr>
        <w:t>w Polsce. U</w:t>
      </w:r>
      <w:r w:rsidR="00EA0E32" w:rsidRPr="00BF1DF2">
        <w:rPr>
          <w:rFonts w:ascii="Calibri" w:hAnsi="Calibri" w:cs="Calibri"/>
          <w:szCs w:val="20"/>
          <w:lang w:eastAsia="ar-SA"/>
        </w:rPr>
        <w:t xml:space="preserve">mowa </w:t>
      </w:r>
      <w:r w:rsidR="0033337A" w:rsidRPr="00BF1DF2">
        <w:rPr>
          <w:rFonts w:ascii="Calibri" w:hAnsi="Calibri" w:cs="Calibri"/>
          <w:szCs w:val="20"/>
          <w:lang w:eastAsia="ar-SA"/>
        </w:rPr>
        <w:t>P</w:t>
      </w:r>
      <w:r w:rsidR="00EA0E32" w:rsidRPr="00BF1DF2">
        <w:rPr>
          <w:rFonts w:ascii="Calibri" w:hAnsi="Calibri" w:cs="Calibri"/>
          <w:szCs w:val="20"/>
          <w:lang w:eastAsia="ar-SA"/>
        </w:rPr>
        <w:t>artnerstwa</w:t>
      </w:r>
      <w:r w:rsidR="0033337A" w:rsidRPr="00BF1DF2">
        <w:rPr>
          <w:rFonts w:ascii="Calibri" w:hAnsi="Calibri" w:cs="Calibri"/>
          <w:szCs w:val="20"/>
          <w:lang w:eastAsia="ar-SA"/>
        </w:rPr>
        <w:t xml:space="preserve"> określa kontekst strategiczny w wymiarze tematycznym i terytorialnym, wskazuje oczekiwane rezultaty oraz obowiązujące ramy finansowe i wdrożeniowe. Dokument stanowi punkt odniesienia do określania szczegółowej zawartości programów.</w:t>
      </w:r>
    </w:p>
    <w:p w:rsidR="00877A74" w:rsidRPr="00BF1DF2" w:rsidRDefault="00877A74" w:rsidP="00463955">
      <w:pPr>
        <w:shd w:val="clear" w:color="auto" w:fill="F2F2F2" w:themeFill="background1" w:themeFillShade="F2"/>
        <w:autoSpaceDE w:val="0"/>
        <w:autoSpaceDN w:val="0"/>
        <w:adjustRightInd w:val="0"/>
        <w:spacing w:before="100"/>
        <w:ind w:firstLine="680"/>
        <w:jc w:val="both"/>
        <w:rPr>
          <w:rFonts w:ascii="Calibri" w:hAnsi="Calibri" w:cs="Calibri"/>
          <w:szCs w:val="20"/>
        </w:rPr>
      </w:pPr>
      <w:r w:rsidRPr="00BF1DF2">
        <w:rPr>
          <w:rFonts w:ascii="Calibri" w:hAnsi="Calibri" w:cs="Calibri"/>
          <w:szCs w:val="20"/>
        </w:rPr>
        <w:t xml:space="preserve">Podobnie jak w umowie dotyczącej perspektywy finansowej na lata 2014 </w:t>
      </w:r>
      <w:r w:rsidR="00EA0E32" w:rsidRPr="00BF1DF2">
        <w:rPr>
          <w:rFonts w:ascii="Calibri" w:hAnsi="Calibri" w:cs="Calibri"/>
          <w:szCs w:val="20"/>
        </w:rPr>
        <w:t>–</w:t>
      </w:r>
      <w:r w:rsidRPr="00BF1DF2">
        <w:rPr>
          <w:rFonts w:ascii="Calibri" w:hAnsi="Calibri" w:cs="Calibri"/>
          <w:szCs w:val="20"/>
        </w:rPr>
        <w:t xml:space="preserve"> 2020</w:t>
      </w:r>
      <w:r w:rsidR="00EA0E32" w:rsidRPr="00BF1DF2">
        <w:rPr>
          <w:rFonts w:ascii="Calibri" w:hAnsi="Calibri" w:cs="Calibri"/>
          <w:szCs w:val="20"/>
        </w:rPr>
        <w:t>,</w:t>
      </w:r>
      <w:r w:rsidRPr="00BF1DF2">
        <w:rPr>
          <w:rFonts w:ascii="Calibri" w:hAnsi="Calibri" w:cs="Calibri"/>
          <w:szCs w:val="20"/>
        </w:rPr>
        <w:t xml:space="preserve"> </w:t>
      </w:r>
      <w:r w:rsidR="00EA0E32" w:rsidRPr="00BF1DF2">
        <w:rPr>
          <w:rFonts w:ascii="Calibri" w:hAnsi="Calibri" w:cs="Calibri"/>
          <w:szCs w:val="20"/>
        </w:rPr>
        <w:t>w aktualnie obowiązującym dokumencie</w:t>
      </w:r>
      <w:r w:rsidR="00921A54" w:rsidRPr="00BF1DF2">
        <w:rPr>
          <w:rFonts w:ascii="Calibri" w:hAnsi="Calibri" w:cs="Calibri"/>
          <w:szCs w:val="20"/>
        </w:rPr>
        <w:t xml:space="preserve"> podkreślono konieczność kontynuacji działań rewitalizacyjnych, które </w:t>
      </w:r>
      <w:r w:rsidR="00EA0E32" w:rsidRPr="00BF1DF2">
        <w:rPr>
          <w:rFonts w:ascii="Calibri" w:hAnsi="Calibri" w:cs="Calibri"/>
          <w:szCs w:val="20"/>
        </w:rPr>
        <w:t>przyczynią się do zmniejszenia problemów społecznych i gospodarczych w obszarach zdegradowanyc</w:t>
      </w:r>
      <w:r w:rsidR="00921A54" w:rsidRPr="00BF1DF2">
        <w:rPr>
          <w:rFonts w:ascii="Calibri" w:hAnsi="Calibri" w:cs="Calibri"/>
          <w:szCs w:val="20"/>
        </w:rPr>
        <w:t xml:space="preserve">h </w:t>
      </w:r>
      <w:r w:rsidR="00EA0E32" w:rsidRPr="00BF1DF2">
        <w:rPr>
          <w:rFonts w:ascii="Calibri" w:hAnsi="Calibri" w:cs="Calibri"/>
          <w:szCs w:val="20"/>
        </w:rPr>
        <w:t xml:space="preserve">oraz do zielonej transformacji obszarów rewitalizowanych. </w:t>
      </w:r>
    </w:p>
    <w:p w:rsidR="00BF2001" w:rsidRPr="00BF1DF2" w:rsidRDefault="00221889" w:rsidP="00463955">
      <w:pPr>
        <w:shd w:val="clear" w:color="auto" w:fill="F2F2F2" w:themeFill="background1" w:themeFillShade="F2"/>
        <w:spacing w:before="100"/>
        <w:ind w:firstLine="709"/>
        <w:jc w:val="both"/>
        <w:rPr>
          <w:rFonts w:ascii="Calibri" w:hAnsi="Calibri" w:cs="Calibri"/>
          <w:szCs w:val="20"/>
        </w:rPr>
      </w:pPr>
      <w:r w:rsidRPr="00BF1DF2">
        <w:rPr>
          <w:rFonts w:ascii="Calibri" w:hAnsi="Calibri" w:cs="Calibri"/>
          <w:szCs w:val="20"/>
        </w:rPr>
        <w:t xml:space="preserve">Instrumentem terytorialnym w perspektywie na lata 2021 -2027 będą programy rewitalizacji pełniące funkcję </w:t>
      </w:r>
      <w:r w:rsidRPr="00BF1DF2">
        <w:rPr>
          <w:szCs w:val="20"/>
        </w:rPr>
        <w:t>strategii terytorialnej dla obszaru rewitalizacji. Realizacja działań rewitalizacyjnych w obszarze będzie możliwa tylko z wykorzystaniem IIT wdrażanego przez gminę w oparciu o GPR.</w:t>
      </w:r>
    </w:p>
    <w:p w:rsidR="00BF2001" w:rsidRPr="00BF1DF2" w:rsidRDefault="00877A74" w:rsidP="00463955">
      <w:pPr>
        <w:shd w:val="clear" w:color="auto" w:fill="F2F2F2" w:themeFill="background1" w:themeFillShade="F2"/>
        <w:spacing w:before="100"/>
        <w:ind w:firstLine="709"/>
        <w:jc w:val="both"/>
        <w:rPr>
          <w:rFonts w:ascii="Calibri" w:hAnsi="Calibri" w:cs="Calibri"/>
          <w:szCs w:val="20"/>
        </w:rPr>
      </w:pPr>
      <w:r w:rsidRPr="00BF1DF2">
        <w:rPr>
          <w:szCs w:val="20"/>
        </w:rPr>
        <w:t>„</w:t>
      </w:r>
      <w:r w:rsidR="00370000" w:rsidRPr="00BF1DF2">
        <w:rPr>
          <w:szCs w:val="20"/>
        </w:rPr>
        <w:t xml:space="preserve">Szczególnym rodzajem działań podejmowanych w ramach CP5 </w:t>
      </w:r>
      <w:r w:rsidR="00221889" w:rsidRPr="00BF1DF2">
        <w:rPr>
          <w:szCs w:val="20"/>
        </w:rPr>
        <w:t>(</w:t>
      </w:r>
      <w:r w:rsidR="0033337A" w:rsidRPr="00BF1DF2">
        <w:rPr>
          <w:szCs w:val="20"/>
        </w:rPr>
        <w:t>Europa bliższ</w:t>
      </w:r>
      <w:r w:rsidR="00221889" w:rsidRPr="00BF1DF2">
        <w:rPr>
          <w:szCs w:val="20"/>
        </w:rPr>
        <w:t>a</w:t>
      </w:r>
      <w:r w:rsidR="0033337A" w:rsidRPr="00BF1DF2">
        <w:rPr>
          <w:szCs w:val="20"/>
        </w:rPr>
        <w:t xml:space="preserve"> obywatelom</w:t>
      </w:r>
      <w:r w:rsidR="00221889" w:rsidRPr="00BF1DF2">
        <w:rPr>
          <w:szCs w:val="20"/>
        </w:rPr>
        <w:t>)</w:t>
      </w:r>
      <w:r w:rsidR="0033337A" w:rsidRPr="00BF1DF2">
        <w:rPr>
          <w:szCs w:val="20"/>
        </w:rPr>
        <w:t xml:space="preserve"> </w:t>
      </w:r>
      <w:r w:rsidR="00370000" w:rsidRPr="00BF1DF2">
        <w:rPr>
          <w:szCs w:val="20"/>
        </w:rPr>
        <w:t xml:space="preserve">będzie kontynuacja procesu wyprowadzania ze stanu kryzysowego obszarów zdegradowanych. Wspierane będą kompleksowe, zintegrowane działania na rzecz: lokalnej społeczności i gospodarki, ładu przestrzennego </w:t>
      </w:r>
      <w:r w:rsidR="00165F6F">
        <w:rPr>
          <w:szCs w:val="20"/>
        </w:rPr>
        <w:br/>
      </w:r>
      <w:r w:rsidR="00370000" w:rsidRPr="00BF1DF2">
        <w:rPr>
          <w:szCs w:val="20"/>
        </w:rPr>
        <w:t>i zrównoważonego gospodarowania przestrzenią, skoncentrowane terytorialnie i prowadzone przez interesariuszy rewitalizacji na podstawie gminnego programu rewitalizacji.</w:t>
      </w:r>
      <w:r w:rsidR="00221889" w:rsidRPr="00BF1DF2">
        <w:rPr>
          <w:szCs w:val="20"/>
        </w:rPr>
        <w:t>”</w:t>
      </w:r>
      <w:r w:rsidR="00221889" w:rsidRPr="00BF1DF2">
        <w:rPr>
          <w:rStyle w:val="Odwoanieprzypisudolnego"/>
          <w:szCs w:val="20"/>
        </w:rPr>
        <w:footnoteReference w:id="4"/>
      </w:r>
    </w:p>
    <w:p w:rsidR="00BF2001" w:rsidRDefault="00BF2001" w:rsidP="00463955">
      <w:pPr>
        <w:shd w:val="clear" w:color="auto" w:fill="F2F2F2" w:themeFill="background1" w:themeFillShade="F2"/>
        <w:jc w:val="both"/>
        <w:rPr>
          <w:rFonts w:ascii="Calibri" w:hAnsi="Calibri" w:cs="Calibri"/>
          <w:szCs w:val="20"/>
        </w:rPr>
      </w:pPr>
    </w:p>
    <w:p w:rsidR="00BF2001" w:rsidRDefault="00BF2001">
      <w:pPr>
        <w:ind w:firstLine="709"/>
        <w:jc w:val="both"/>
        <w:rPr>
          <w:rFonts w:ascii="Calibri" w:hAnsi="Calibri" w:cs="Calibri"/>
          <w:szCs w:val="20"/>
        </w:rPr>
      </w:pPr>
    </w:p>
    <w:p w:rsidR="00370000" w:rsidRPr="00370000" w:rsidRDefault="00370000" w:rsidP="00370000">
      <w:pPr>
        <w:autoSpaceDE w:val="0"/>
        <w:autoSpaceDN w:val="0"/>
        <w:adjustRightInd w:val="0"/>
        <w:rPr>
          <w:rFonts w:ascii="Calibri" w:hAnsi="Calibri" w:cs="Calibri"/>
          <w:color w:val="000000"/>
          <w:sz w:val="24"/>
        </w:rPr>
      </w:pPr>
    </w:p>
    <w:p w:rsidR="00416157" w:rsidRDefault="00416157" w:rsidP="00221889">
      <w:pPr>
        <w:jc w:val="both"/>
        <w:rPr>
          <w:rFonts w:ascii="Calibri" w:hAnsi="Calibri" w:cs="Calibri"/>
          <w:szCs w:val="20"/>
        </w:rPr>
      </w:pPr>
    </w:p>
    <w:p w:rsidR="005E3E49" w:rsidRDefault="0053339E" w:rsidP="000809E2">
      <w:pPr>
        <w:pStyle w:val="Nagwek1"/>
        <w:numPr>
          <w:ilvl w:val="0"/>
          <w:numId w:val="296"/>
        </w:numPr>
        <w:spacing w:before="0" w:after="0"/>
        <w:ind w:left="448" w:hanging="448"/>
      </w:pPr>
      <w:bookmarkStart w:id="1065" w:name="_Toc474924880"/>
      <w:bookmarkStart w:id="1066" w:name="_Toc460146461"/>
      <w:bookmarkStart w:id="1067" w:name="_Toc461612515"/>
      <w:r w:rsidRPr="0024236C">
        <w:lastRenderedPageBreak/>
        <w:t>DIAGNOZA</w:t>
      </w:r>
      <w:bookmarkEnd w:id="1065"/>
    </w:p>
    <w:p w:rsidR="00485E86" w:rsidRPr="00485E86" w:rsidRDefault="00485E86" w:rsidP="003B3BFB">
      <w:pPr>
        <w:pStyle w:val="Akapitzlist"/>
        <w:keepNext/>
        <w:keepLines/>
        <w:numPr>
          <w:ilvl w:val="0"/>
          <w:numId w:val="92"/>
        </w:numPr>
        <w:spacing w:before="120" w:after="180"/>
        <w:jc w:val="both"/>
        <w:outlineLvl w:val="1"/>
        <w:rPr>
          <w:rFonts w:eastAsia="Times New Roman"/>
          <w:b/>
          <w:bCs/>
          <w:vanish/>
          <w:color w:val="3366FF"/>
          <w:sz w:val="28"/>
          <w:szCs w:val="28"/>
          <w:lang w:eastAsia="pl-PL"/>
        </w:rPr>
      </w:pPr>
      <w:bookmarkStart w:id="1068" w:name="_Toc463254264"/>
      <w:bookmarkStart w:id="1069" w:name="_Toc463254345"/>
      <w:bookmarkStart w:id="1070" w:name="_Toc463254426"/>
      <w:bookmarkStart w:id="1071" w:name="_Toc463255320"/>
      <w:bookmarkStart w:id="1072" w:name="_Toc463263374"/>
      <w:bookmarkStart w:id="1073" w:name="_Toc463273422"/>
      <w:bookmarkStart w:id="1074" w:name="_Toc463276630"/>
      <w:bookmarkStart w:id="1075" w:name="_Toc465068972"/>
      <w:bookmarkStart w:id="1076" w:name="_Toc465078620"/>
      <w:bookmarkStart w:id="1077" w:name="_Toc466025946"/>
      <w:bookmarkStart w:id="1078" w:name="_Toc466906996"/>
      <w:bookmarkStart w:id="1079" w:name="_Toc466907192"/>
      <w:bookmarkStart w:id="1080" w:name="_Toc466907273"/>
      <w:bookmarkStart w:id="1081" w:name="_Toc467659576"/>
      <w:bookmarkStart w:id="1082" w:name="_Toc467659658"/>
      <w:bookmarkStart w:id="1083" w:name="_Toc467663052"/>
      <w:bookmarkStart w:id="1084" w:name="_Toc467663403"/>
      <w:bookmarkStart w:id="1085" w:name="_Toc467665428"/>
      <w:bookmarkStart w:id="1086" w:name="_Toc467665580"/>
      <w:bookmarkStart w:id="1087" w:name="_Toc467669502"/>
      <w:bookmarkStart w:id="1088" w:name="_Toc467832007"/>
      <w:bookmarkStart w:id="1089" w:name="_Toc467832127"/>
      <w:bookmarkStart w:id="1090" w:name="_Toc467834832"/>
      <w:bookmarkStart w:id="1091" w:name="_Toc467843513"/>
      <w:bookmarkStart w:id="1092" w:name="_Toc467845499"/>
      <w:bookmarkStart w:id="1093" w:name="_Toc467847442"/>
      <w:bookmarkStart w:id="1094" w:name="_Toc467847564"/>
      <w:bookmarkStart w:id="1095" w:name="_Toc467847686"/>
      <w:bookmarkStart w:id="1096" w:name="_Toc467847808"/>
      <w:bookmarkStart w:id="1097" w:name="_Toc467847932"/>
      <w:bookmarkStart w:id="1098" w:name="_Toc467848056"/>
      <w:bookmarkStart w:id="1099" w:name="_Toc467848180"/>
      <w:bookmarkStart w:id="1100" w:name="_Toc467848304"/>
      <w:bookmarkStart w:id="1101" w:name="_Toc467848428"/>
      <w:bookmarkStart w:id="1102" w:name="_Toc468097901"/>
      <w:bookmarkStart w:id="1103" w:name="_Toc468098026"/>
      <w:bookmarkStart w:id="1104" w:name="_Toc468104693"/>
      <w:bookmarkStart w:id="1105" w:name="_Toc468104817"/>
      <w:bookmarkStart w:id="1106" w:name="_Toc468104941"/>
      <w:bookmarkStart w:id="1107" w:name="_Toc468105067"/>
      <w:bookmarkStart w:id="1108" w:name="_Toc468105193"/>
      <w:bookmarkStart w:id="1109" w:name="_Toc468105319"/>
      <w:bookmarkStart w:id="1110" w:name="_Toc468105803"/>
      <w:bookmarkStart w:id="1111" w:name="_Toc468105930"/>
      <w:bookmarkStart w:id="1112" w:name="_Toc468116224"/>
      <w:bookmarkStart w:id="1113" w:name="_Toc468178181"/>
      <w:bookmarkStart w:id="1114" w:name="_Toc468181473"/>
      <w:bookmarkStart w:id="1115" w:name="_Toc468181600"/>
      <w:bookmarkStart w:id="1116" w:name="_Toc468181729"/>
      <w:bookmarkStart w:id="1117" w:name="_Toc468181896"/>
      <w:bookmarkStart w:id="1118" w:name="_Toc468185837"/>
      <w:bookmarkStart w:id="1119" w:name="_Toc468190769"/>
      <w:bookmarkStart w:id="1120" w:name="_Toc468190895"/>
      <w:bookmarkStart w:id="1121" w:name="_Toc468191387"/>
      <w:bookmarkStart w:id="1122" w:name="_Toc468258058"/>
      <w:bookmarkStart w:id="1123" w:name="_Toc468258289"/>
      <w:bookmarkStart w:id="1124" w:name="_Toc468258583"/>
      <w:bookmarkStart w:id="1125" w:name="_Toc468258712"/>
      <w:bookmarkStart w:id="1126" w:name="_Toc468258845"/>
      <w:bookmarkStart w:id="1127" w:name="_Toc468258976"/>
      <w:bookmarkStart w:id="1128" w:name="_Toc468259105"/>
      <w:bookmarkStart w:id="1129" w:name="_Toc468259234"/>
      <w:bookmarkStart w:id="1130" w:name="_Toc468259491"/>
      <w:bookmarkStart w:id="1131" w:name="_Toc468259623"/>
      <w:bookmarkStart w:id="1132" w:name="_Toc468259753"/>
      <w:bookmarkStart w:id="1133" w:name="_Toc468259882"/>
      <w:bookmarkStart w:id="1134" w:name="_Toc468260013"/>
      <w:bookmarkStart w:id="1135" w:name="_Toc468260142"/>
      <w:bookmarkStart w:id="1136" w:name="_Toc468260271"/>
      <w:bookmarkStart w:id="1137" w:name="_Toc468260400"/>
      <w:bookmarkStart w:id="1138" w:name="_Toc468260529"/>
      <w:bookmarkStart w:id="1139" w:name="_Toc468260658"/>
      <w:bookmarkStart w:id="1140" w:name="_Toc468260786"/>
      <w:bookmarkStart w:id="1141" w:name="_Toc468260917"/>
      <w:bookmarkStart w:id="1142" w:name="_Toc468261048"/>
      <w:bookmarkStart w:id="1143" w:name="_Toc468261179"/>
      <w:bookmarkStart w:id="1144" w:name="_Toc468261310"/>
      <w:bookmarkStart w:id="1145" w:name="_Toc468261441"/>
      <w:bookmarkStart w:id="1146" w:name="_Toc468266755"/>
      <w:bookmarkStart w:id="1147" w:name="_Toc468266883"/>
      <w:bookmarkStart w:id="1148" w:name="_Toc468267011"/>
      <w:bookmarkStart w:id="1149" w:name="_Toc468269422"/>
      <w:bookmarkStart w:id="1150" w:name="_Toc468279388"/>
      <w:bookmarkStart w:id="1151" w:name="_Toc468360240"/>
      <w:bookmarkStart w:id="1152" w:name="_Toc468361181"/>
      <w:bookmarkStart w:id="1153" w:name="_Toc468363411"/>
      <w:bookmarkStart w:id="1154" w:name="_Toc468366238"/>
      <w:bookmarkStart w:id="1155" w:name="_Toc468428328"/>
      <w:bookmarkStart w:id="1156" w:name="_Toc468691724"/>
      <w:bookmarkStart w:id="1157" w:name="_Toc468691851"/>
      <w:bookmarkStart w:id="1158" w:name="_Toc468691978"/>
      <w:bookmarkStart w:id="1159" w:name="_Toc468693932"/>
      <w:bookmarkStart w:id="1160" w:name="_Toc468712627"/>
      <w:bookmarkStart w:id="1161" w:name="_Toc468712755"/>
      <w:bookmarkStart w:id="1162" w:name="_Toc468712882"/>
      <w:bookmarkStart w:id="1163" w:name="_Toc468713009"/>
      <w:bookmarkStart w:id="1164" w:name="_Toc468713136"/>
      <w:bookmarkStart w:id="1165" w:name="_Toc468713263"/>
      <w:bookmarkStart w:id="1166" w:name="_Toc468713390"/>
      <w:bookmarkStart w:id="1167" w:name="_Toc468713517"/>
      <w:bookmarkStart w:id="1168" w:name="_Toc468713770"/>
      <w:bookmarkStart w:id="1169" w:name="_Toc468713897"/>
      <w:bookmarkStart w:id="1170" w:name="_Toc468714024"/>
      <w:bookmarkStart w:id="1171" w:name="_Toc468787033"/>
      <w:bookmarkStart w:id="1172" w:name="_Toc468787351"/>
      <w:bookmarkStart w:id="1173" w:name="_Toc468787479"/>
      <w:bookmarkStart w:id="1174" w:name="_Toc468787607"/>
      <w:bookmarkStart w:id="1175" w:name="_Toc468787734"/>
      <w:bookmarkStart w:id="1176" w:name="_Toc468787861"/>
      <w:bookmarkStart w:id="1177" w:name="_Toc468787988"/>
      <w:bookmarkStart w:id="1178" w:name="_Toc468957668"/>
      <w:bookmarkStart w:id="1179" w:name="_Toc468957795"/>
      <w:bookmarkStart w:id="1180" w:name="_Toc468957922"/>
      <w:bookmarkStart w:id="1181" w:name="_Toc468958049"/>
      <w:bookmarkStart w:id="1182" w:name="_Toc468958176"/>
      <w:bookmarkStart w:id="1183" w:name="_Toc468958303"/>
      <w:bookmarkStart w:id="1184" w:name="_Toc468958430"/>
      <w:bookmarkStart w:id="1185" w:name="_Toc468958557"/>
      <w:bookmarkStart w:id="1186" w:name="_Toc468958684"/>
      <w:bookmarkStart w:id="1187" w:name="_Toc468958811"/>
      <w:bookmarkStart w:id="1188" w:name="_Toc468958938"/>
      <w:bookmarkStart w:id="1189" w:name="_Toc468959065"/>
      <w:bookmarkStart w:id="1190" w:name="_Toc468960566"/>
      <w:bookmarkStart w:id="1191" w:name="_Toc469035039"/>
      <w:bookmarkStart w:id="1192" w:name="_Toc469056749"/>
      <w:bookmarkStart w:id="1193" w:name="_Toc469321061"/>
      <w:bookmarkStart w:id="1194" w:name="_Toc469323790"/>
      <w:bookmarkStart w:id="1195" w:name="_Toc469323916"/>
      <w:bookmarkStart w:id="1196" w:name="_Toc469324467"/>
      <w:bookmarkStart w:id="1197" w:name="_Toc470695345"/>
      <w:bookmarkStart w:id="1198" w:name="_Toc470695498"/>
      <w:bookmarkStart w:id="1199" w:name="_Toc470697002"/>
      <w:bookmarkStart w:id="1200" w:name="_Toc470699886"/>
      <w:bookmarkStart w:id="1201" w:name="_Toc470762732"/>
      <w:bookmarkStart w:id="1202" w:name="_Toc471114550"/>
      <w:bookmarkStart w:id="1203" w:name="_Toc474392966"/>
      <w:bookmarkStart w:id="1204" w:name="_Toc474497857"/>
      <w:bookmarkStart w:id="1205" w:name="_Toc474498616"/>
      <w:bookmarkStart w:id="1206" w:name="_Toc474844475"/>
      <w:bookmarkStart w:id="1207" w:name="_Toc474844602"/>
      <w:bookmarkStart w:id="1208" w:name="_Toc474919872"/>
      <w:bookmarkStart w:id="1209" w:name="_Toc474924881"/>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p>
    <w:p w:rsidR="00F32CB0" w:rsidRDefault="00F32CB0" w:rsidP="00F32CB0"/>
    <w:p w:rsidR="004C25C8" w:rsidRPr="00195D30" w:rsidRDefault="004C25C8" w:rsidP="006D764E">
      <w:pPr>
        <w:pStyle w:val="Nagwek2"/>
        <w:numPr>
          <w:ilvl w:val="1"/>
          <w:numId w:val="296"/>
        </w:numPr>
      </w:pPr>
      <w:bookmarkStart w:id="1210" w:name="_Toc474924882"/>
      <w:r w:rsidRPr="00195D30">
        <w:t>Obszar rewitalizacji</w:t>
      </w:r>
      <w:bookmarkEnd w:id="1210"/>
    </w:p>
    <w:p w:rsidR="004C25C8" w:rsidRDefault="004C25C8" w:rsidP="004C25C8"/>
    <w:p w:rsidR="004C25C8" w:rsidRPr="00B0289F" w:rsidRDefault="004C25C8" w:rsidP="00DA08C6">
      <w:pPr>
        <w:ind w:firstLine="708"/>
        <w:jc w:val="both"/>
        <w:rPr>
          <w:rStyle w:val="Pogrubienie"/>
          <w:szCs w:val="20"/>
        </w:rPr>
      </w:pPr>
      <w:r w:rsidRPr="00200F09">
        <w:rPr>
          <w:szCs w:val="20"/>
        </w:rPr>
        <w:t xml:space="preserve">Szczegółowy opis procesu delimitacji znajduje się w załączniku nr 3 do </w:t>
      </w:r>
      <w:r w:rsidRPr="00200F09">
        <w:rPr>
          <w:rStyle w:val="Pogrubienie"/>
          <w:b w:val="0"/>
          <w:szCs w:val="20"/>
        </w:rPr>
        <w:t>uchwały nr XXIII/300/16 Rady Miejskiej w Bytomiu z dnia 29 marca 2016 r. w sprawie wyznaczenia obszaru zdegradowanego i obszaru rewitalizacji miasta Bytom. W niniejszym podrozdziale</w:t>
      </w:r>
      <w:r w:rsidRPr="00B0289F">
        <w:rPr>
          <w:rStyle w:val="Pogrubienie"/>
          <w:b w:val="0"/>
          <w:szCs w:val="20"/>
        </w:rPr>
        <w:t xml:space="preserve"> przedstawiono główne etapy tego procesu.</w:t>
      </w:r>
    </w:p>
    <w:p w:rsidR="004C25C8" w:rsidRPr="00B0289F" w:rsidRDefault="004C25C8" w:rsidP="00DA08C6">
      <w:pPr>
        <w:ind w:firstLine="708"/>
        <w:jc w:val="both"/>
        <w:rPr>
          <w:rFonts w:cs="Calibri"/>
          <w:color w:val="0070C0"/>
          <w:szCs w:val="20"/>
        </w:rPr>
      </w:pPr>
      <w:r w:rsidRPr="00B0289F">
        <w:rPr>
          <w:szCs w:val="20"/>
        </w:rPr>
        <w:t xml:space="preserve">Bytom został podzielony na 23 zamieszkałe jednostki urbanistyczne - </w:t>
      </w:r>
      <w:r w:rsidRPr="00B0289F">
        <w:rPr>
          <w:rFonts w:cs="Calibri"/>
          <w:szCs w:val="20"/>
        </w:rPr>
        <w:t xml:space="preserve">tereny homogeniczne pod względem morfologicznym, funkcjonalnym i społecznym. </w:t>
      </w:r>
      <w:r w:rsidRPr="00B0289F">
        <w:rPr>
          <w:szCs w:val="20"/>
        </w:rPr>
        <w:t>Każdą z nich zbadano w taki sam sposób – poddając analizie ze względu na kilkanaście zjawisk społecznych oraz gospodarczych, technicznych, funkcjonalno-przestrzennych i</w:t>
      </w:r>
      <w:r w:rsidR="001973D2">
        <w:rPr>
          <w:szCs w:val="20"/>
        </w:rPr>
        <w:t> </w:t>
      </w:r>
      <w:r w:rsidRPr="00B0289F">
        <w:rPr>
          <w:szCs w:val="20"/>
        </w:rPr>
        <w:t>środowiskowych. W celu obiektywnego porównania jednostek, dane przetworzono, uzyskując wskaźniki syntetyczne. W efekcie wyłoniono te jednostki urbanistyczne, które spełniają warunek kumulacji negatywnych zjawisk społecznych oraz występowania sytuacji kryzysowej w co najmniej jednej z pozostałych sfer: gospodarczej, lub technicznej, lub funkcjonalno-przestrzennej, lub środowiskowej. Są to następujące jednostki (w</w:t>
      </w:r>
      <w:r>
        <w:rPr>
          <w:szCs w:val="20"/>
        </w:rPr>
        <w:t>edłu</w:t>
      </w:r>
      <w:r w:rsidRPr="00B0289F">
        <w:rPr>
          <w:szCs w:val="20"/>
        </w:rPr>
        <w:t>g numeracji przyjętej w opracowaniu delimitacji):</w:t>
      </w:r>
    </w:p>
    <w:p w:rsidR="004C25C8" w:rsidRPr="00B0289F" w:rsidRDefault="004C25C8" w:rsidP="001973D2">
      <w:pPr>
        <w:ind w:left="357"/>
        <w:jc w:val="both"/>
        <w:rPr>
          <w:szCs w:val="20"/>
        </w:rPr>
      </w:pPr>
      <w:r w:rsidRPr="00B0289F">
        <w:rPr>
          <w:szCs w:val="20"/>
        </w:rPr>
        <w:t>7 - Karb</w:t>
      </w:r>
    </w:p>
    <w:p w:rsidR="004C25C8" w:rsidRPr="00B0289F" w:rsidRDefault="004C25C8" w:rsidP="001973D2">
      <w:pPr>
        <w:ind w:left="357"/>
        <w:jc w:val="both"/>
        <w:rPr>
          <w:szCs w:val="20"/>
        </w:rPr>
      </w:pPr>
      <w:r w:rsidRPr="00B0289F">
        <w:rPr>
          <w:szCs w:val="20"/>
        </w:rPr>
        <w:t>8 - Bobrek</w:t>
      </w:r>
    </w:p>
    <w:p w:rsidR="004C25C8" w:rsidRPr="00B0289F" w:rsidRDefault="004C25C8" w:rsidP="001973D2">
      <w:pPr>
        <w:ind w:left="357"/>
        <w:jc w:val="both"/>
        <w:rPr>
          <w:szCs w:val="20"/>
        </w:rPr>
      </w:pPr>
      <w:r w:rsidRPr="00B0289F">
        <w:rPr>
          <w:szCs w:val="20"/>
        </w:rPr>
        <w:t>10 - Śródmieście</w:t>
      </w:r>
    </w:p>
    <w:p w:rsidR="004C25C8" w:rsidRPr="00B0289F" w:rsidRDefault="004C25C8" w:rsidP="001973D2">
      <w:pPr>
        <w:ind w:left="357"/>
        <w:jc w:val="both"/>
        <w:rPr>
          <w:szCs w:val="20"/>
        </w:rPr>
      </w:pPr>
      <w:r w:rsidRPr="00B0289F">
        <w:rPr>
          <w:szCs w:val="20"/>
        </w:rPr>
        <w:t>11 - Śródmieście Zachód</w:t>
      </w:r>
    </w:p>
    <w:p w:rsidR="004C25C8" w:rsidRPr="00B0289F" w:rsidRDefault="005C704D" w:rsidP="001973D2">
      <w:pPr>
        <w:ind w:left="357"/>
        <w:jc w:val="both"/>
        <w:rPr>
          <w:szCs w:val="20"/>
        </w:rPr>
      </w:pPr>
      <w:r>
        <w:rPr>
          <w:szCs w:val="20"/>
        </w:rPr>
        <w:t>12 -</w:t>
      </w:r>
      <w:r w:rsidR="004C25C8" w:rsidRPr="00B0289F">
        <w:rPr>
          <w:szCs w:val="20"/>
        </w:rPr>
        <w:t xml:space="preserve"> Rozbark</w:t>
      </w:r>
    </w:p>
    <w:p w:rsidR="004C25C8" w:rsidRPr="00B0289F" w:rsidRDefault="005C704D" w:rsidP="001973D2">
      <w:pPr>
        <w:ind w:left="357"/>
        <w:jc w:val="both"/>
        <w:rPr>
          <w:szCs w:val="20"/>
        </w:rPr>
      </w:pPr>
      <w:r>
        <w:rPr>
          <w:szCs w:val="20"/>
        </w:rPr>
        <w:t>13 -</w:t>
      </w:r>
      <w:r w:rsidR="004C25C8" w:rsidRPr="00B0289F">
        <w:rPr>
          <w:szCs w:val="20"/>
        </w:rPr>
        <w:t xml:space="preserve"> Śródmieście Północ</w:t>
      </w:r>
    </w:p>
    <w:p w:rsidR="004C25C8" w:rsidRPr="00B0289F" w:rsidRDefault="005C704D" w:rsidP="001973D2">
      <w:pPr>
        <w:ind w:left="357"/>
        <w:jc w:val="both"/>
        <w:rPr>
          <w:szCs w:val="20"/>
        </w:rPr>
      </w:pPr>
      <w:r>
        <w:rPr>
          <w:szCs w:val="20"/>
        </w:rPr>
        <w:t>16 -</w:t>
      </w:r>
      <w:r w:rsidR="004C25C8" w:rsidRPr="00B0289F">
        <w:rPr>
          <w:szCs w:val="20"/>
        </w:rPr>
        <w:t xml:space="preserve"> Łagiewniki</w:t>
      </w:r>
    </w:p>
    <w:p w:rsidR="004C25C8" w:rsidRPr="00B0289F" w:rsidRDefault="005C704D" w:rsidP="001973D2">
      <w:pPr>
        <w:ind w:left="357"/>
        <w:jc w:val="both"/>
        <w:rPr>
          <w:szCs w:val="20"/>
        </w:rPr>
      </w:pPr>
      <w:r>
        <w:rPr>
          <w:szCs w:val="20"/>
        </w:rPr>
        <w:t>19 -</w:t>
      </w:r>
      <w:r w:rsidR="004C25C8" w:rsidRPr="00B0289F">
        <w:rPr>
          <w:szCs w:val="20"/>
        </w:rPr>
        <w:t xml:space="preserve"> Kolonia Zgorzelec</w:t>
      </w:r>
    </w:p>
    <w:p w:rsidR="004C25C8" w:rsidRPr="00B0289F" w:rsidRDefault="005C704D" w:rsidP="001973D2">
      <w:pPr>
        <w:ind w:left="357"/>
        <w:jc w:val="both"/>
        <w:rPr>
          <w:szCs w:val="20"/>
        </w:rPr>
      </w:pPr>
      <w:r>
        <w:rPr>
          <w:szCs w:val="20"/>
        </w:rPr>
        <w:t>21 -</w:t>
      </w:r>
      <w:r w:rsidR="004C25C8" w:rsidRPr="00B0289F">
        <w:rPr>
          <w:szCs w:val="20"/>
        </w:rPr>
        <w:t xml:space="preserve"> Stare Miechowice</w:t>
      </w:r>
    </w:p>
    <w:p w:rsidR="004C25C8" w:rsidRPr="00B0289F" w:rsidRDefault="004C25C8" w:rsidP="004C25C8">
      <w:pPr>
        <w:jc w:val="both"/>
        <w:rPr>
          <w:szCs w:val="20"/>
        </w:rPr>
      </w:pPr>
      <w:r w:rsidRPr="00B0289F">
        <w:rPr>
          <w:szCs w:val="20"/>
        </w:rPr>
        <w:t>Jednostki te składają się na obszar zdegradowany.</w:t>
      </w:r>
    </w:p>
    <w:p w:rsidR="004C25C8" w:rsidRPr="00B0289F" w:rsidRDefault="004C25C8" w:rsidP="004C25C8">
      <w:pPr>
        <w:autoSpaceDE w:val="0"/>
        <w:autoSpaceDN w:val="0"/>
        <w:adjustRightInd w:val="0"/>
        <w:ind w:firstLine="708"/>
        <w:jc w:val="both"/>
        <w:rPr>
          <w:szCs w:val="20"/>
        </w:rPr>
      </w:pPr>
      <w:r w:rsidRPr="00B0289F">
        <w:rPr>
          <w:rFonts w:cs="Calibri"/>
          <w:szCs w:val="20"/>
        </w:rPr>
        <w:t>Następnie zidentyfikowano niezamieszkałe podobszary zdegradowane – poprzemysłowe, zgodnie z</w:t>
      </w:r>
      <w:r w:rsidR="001973D2">
        <w:rPr>
          <w:rFonts w:cs="Calibri"/>
          <w:szCs w:val="20"/>
        </w:rPr>
        <w:t> </w:t>
      </w:r>
      <w:r w:rsidRPr="00B0289F">
        <w:rPr>
          <w:rFonts w:cs="Calibri"/>
          <w:szCs w:val="20"/>
        </w:rPr>
        <w:t xml:space="preserve">art. 10 ust. 3 ustawy o rewitalizacji, dla których przewidziano do realizacji projekty mające przyczynić się do przeciwdziałania negatywnym zjawiskom społecznym, o których mowa w art. 9 ust. 1. </w:t>
      </w:r>
      <w:r w:rsidRPr="00B0289F">
        <w:rPr>
          <w:szCs w:val="20"/>
        </w:rPr>
        <w:t>Są to następujące jednostki:</w:t>
      </w:r>
    </w:p>
    <w:p w:rsidR="004C25C8" w:rsidRPr="00B0289F" w:rsidRDefault="004C25C8" w:rsidP="001973D2">
      <w:pPr>
        <w:autoSpaceDE w:val="0"/>
        <w:autoSpaceDN w:val="0"/>
        <w:adjustRightInd w:val="0"/>
        <w:ind w:left="357"/>
        <w:jc w:val="both"/>
        <w:rPr>
          <w:rFonts w:cs="Calibri"/>
          <w:szCs w:val="20"/>
        </w:rPr>
      </w:pPr>
      <w:r w:rsidRPr="00B0289F">
        <w:rPr>
          <w:rFonts w:cs="Calibri"/>
          <w:szCs w:val="20"/>
        </w:rPr>
        <w:t xml:space="preserve">24 - Teren dawnej KWK Rozbark </w:t>
      </w:r>
    </w:p>
    <w:p w:rsidR="004C25C8" w:rsidRPr="00B0289F" w:rsidRDefault="004C25C8" w:rsidP="001973D2">
      <w:pPr>
        <w:autoSpaceDE w:val="0"/>
        <w:autoSpaceDN w:val="0"/>
        <w:adjustRightInd w:val="0"/>
        <w:ind w:left="357"/>
        <w:jc w:val="both"/>
        <w:rPr>
          <w:rFonts w:cs="Calibri"/>
          <w:szCs w:val="20"/>
        </w:rPr>
      </w:pPr>
      <w:r w:rsidRPr="00B0289F">
        <w:rPr>
          <w:rFonts w:cs="Calibri"/>
          <w:szCs w:val="20"/>
        </w:rPr>
        <w:t xml:space="preserve">25 - Teren dawnej KWK Szombierki </w:t>
      </w:r>
    </w:p>
    <w:p w:rsidR="004C25C8" w:rsidRPr="00B0289F" w:rsidRDefault="004C25C8" w:rsidP="001973D2">
      <w:pPr>
        <w:autoSpaceDE w:val="0"/>
        <w:autoSpaceDN w:val="0"/>
        <w:adjustRightInd w:val="0"/>
        <w:ind w:left="357"/>
        <w:jc w:val="both"/>
        <w:rPr>
          <w:szCs w:val="20"/>
        </w:rPr>
      </w:pPr>
      <w:r w:rsidRPr="00B0289F">
        <w:rPr>
          <w:rFonts w:cs="Calibri"/>
          <w:szCs w:val="20"/>
        </w:rPr>
        <w:t xml:space="preserve">26 - Teren dawnej Huty Zygmunt </w:t>
      </w:r>
    </w:p>
    <w:p w:rsidR="004C25C8" w:rsidRPr="00B0289F" w:rsidRDefault="004C25C8" w:rsidP="001973D2">
      <w:pPr>
        <w:ind w:left="357"/>
        <w:jc w:val="both"/>
        <w:rPr>
          <w:rFonts w:cs="Calibri"/>
          <w:szCs w:val="20"/>
        </w:rPr>
      </w:pPr>
      <w:r w:rsidRPr="00B0289F">
        <w:rPr>
          <w:rFonts w:cs="Calibri"/>
          <w:szCs w:val="20"/>
        </w:rPr>
        <w:t xml:space="preserve">27 - Teren KWK Centrum </w:t>
      </w:r>
    </w:p>
    <w:p w:rsidR="004C25C8" w:rsidRPr="00B0289F" w:rsidRDefault="004C25C8" w:rsidP="001973D2">
      <w:pPr>
        <w:ind w:left="357"/>
        <w:jc w:val="both"/>
        <w:rPr>
          <w:rFonts w:cs="Calibri"/>
          <w:szCs w:val="20"/>
        </w:rPr>
      </w:pPr>
      <w:r w:rsidRPr="00B0289F">
        <w:rPr>
          <w:rFonts w:cs="Calibri"/>
          <w:szCs w:val="20"/>
        </w:rPr>
        <w:t xml:space="preserve">28 - Teren inwestycyjny – Bytom Miechowice </w:t>
      </w:r>
    </w:p>
    <w:p w:rsidR="004C25C8" w:rsidRPr="00B0289F" w:rsidRDefault="004C25C8" w:rsidP="001973D2">
      <w:pPr>
        <w:ind w:left="357"/>
        <w:jc w:val="both"/>
        <w:rPr>
          <w:rFonts w:cs="Calibri"/>
          <w:szCs w:val="20"/>
        </w:rPr>
      </w:pPr>
      <w:r w:rsidRPr="00B0289F">
        <w:rPr>
          <w:rFonts w:cs="Calibri"/>
          <w:szCs w:val="20"/>
        </w:rPr>
        <w:t xml:space="preserve">29 - Teren dawnej huty Bobrek </w:t>
      </w:r>
    </w:p>
    <w:p w:rsidR="004C25C8" w:rsidRPr="00B0289F" w:rsidRDefault="004C25C8" w:rsidP="001973D2">
      <w:pPr>
        <w:ind w:left="357"/>
        <w:jc w:val="both"/>
        <w:rPr>
          <w:rFonts w:cs="Calibri"/>
          <w:szCs w:val="20"/>
        </w:rPr>
      </w:pPr>
      <w:r w:rsidRPr="00B0289F">
        <w:rPr>
          <w:rFonts w:cs="Calibri"/>
          <w:szCs w:val="20"/>
        </w:rPr>
        <w:t>30 - EC Szombierki +</w:t>
      </w:r>
      <w:r w:rsidR="00117B50">
        <w:rPr>
          <w:rFonts w:cs="Calibri"/>
          <w:szCs w:val="20"/>
        </w:rPr>
        <w:t xml:space="preserve"> </w:t>
      </w:r>
      <w:r w:rsidRPr="00B0289F">
        <w:rPr>
          <w:rFonts w:cs="Calibri"/>
          <w:szCs w:val="20"/>
        </w:rPr>
        <w:t xml:space="preserve">Pola Szombierskie </w:t>
      </w:r>
    </w:p>
    <w:p w:rsidR="004C25C8" w:rsidRPr="00B0289F" w:rsidRDefault="004C25C8" w:rsidP="001973D2">
      <w:pPr>
        <w:ind w:left="357"/>
        <w:jc w:val="both"/>
        <w:rPr>
          <w:rFonts w:cs="Calibri"/>
          <w:szCs w:val="20"/>
        </w:rPr>
      </w:pPr>
      <w:r w:rsidRPr="00B0289F">
        <w:rPr>
          <w:rFonts w:cs="Calibri"/>
          <w:szCs w:val="20"/>
        </w:rPr>
        <w:t xml:space="preserve">31 - Rezerwat przyrody „Żabie Doły” </w:t>
      </w:r>
    </w:p>
    <w:p w:rsidR="004C25C8" w:rsidRPr="00B0289F" w:rsidRDefault="004C25C8" w:rsidP="001973D2">
      <w:pPr>
        <w:ind w:left="357"/>
        <w:jc w:val="both"/>
        <w:rPr>
          <w:rFonts w:cs="Calibri"/>
          <w:szCs w:val="20"/>
        </w:rPr>
      </w:pPr>
      <w:r w:rsidRPr="00B0289F">
        <w:rPr>
          <w:rFonts w:cs="Calibri"/>
          <w:szCs w:val="20"/>
        </w:rPr>
        <w:t xml:space="preserve">32 - Tereny poprzemysłowe „Orzeł Biały” </w:t>
      </w:r>
    </w:p>
    <w:p w:rsidR="004C25C8" w:rsidRPr="00B0289F" w:rsidRDefault="004C25C8" w:rsidP="004C25C8">
      <w:pPr>
        <w:ind w:firstLine="708"/>
        <w:jc w:val="both"/>
        <w:rPr>
          <w:rFonts w:cs="Calibri"/>
          <w:szCs w:val="20"/>
        </w:rPr>
      </w:pPr>
      <w:r w:rsidRPr="00B0289F">
        <w:rPr>
          <w:rFonts w:cs="Calibri"/>
          <w:szCs w:val="20"/>
        </w:rPr>
        <w:t xml:space="preserve">Na podobszarach zdegradowanych mieszka 39,66% populacji miasta, czyli więcej, niż dopuszcza ustawa o rewitalizacji. Dążąc do tego, by obszar rewitalizacji był </w:t>
      </w:r>
      <w:r w:rsidRPr="00B0289F">
        <w:rPr>
          <w:rFonts w:cs="Calibri-Italic"/>
          <w:i/>
          <w:iCs/>
          <w:szCs w:val="20"/>
        </w:rPr>
        <w:t>skoncentrowany terytorialne, a także wybierając tereny, które</w:t>
      </w:r>
      <w:r w:rsidR="00E251CE">
        <w:rPr>
          <w:rFonts w:cs="Calibri"/>
          <w:szCs w:val="20"/>
        </w:rPr>
        <w:t>, zgodnie z a</w:t>
      </w:r>
      <w:r w:rsidRPr="00B0289F">
        <w:rPr>
          <w:rFonts w:cs="Calibri"/>
          <w:szCs w:val="20"/>
        </w:rPr>
        <w:t xml:space="preserve">rt. 10 ustęp 1 </w:t>
      </w:r>
      <w:r w:rsidRPr="00B0289F">
        <w:rPr>
          <w:rFonts w:cs="Calibri-Italic"/>
          <w:i/>
          <w:iCs/>
          <w:szCs w:val="20"/>
        </w:rPr>
        <w:t xml:space="preserve">Ustawy o rewitalizacji, </w:t>
      </w:r>
      <w:r w:rsidRPr="00B0289F">
        <w:rPr>
          <w:rFonts w:cs="Calibri"/>
          <w:szCs w:val="20"/>
        </w:rPr>
        <w:t>mają istotne znaczenie dla rozwoju lokalnego, a także biorąc pod uwagę informacje, gdzie gmina zamierza prowadzić rewitalizację - wskazano wszystkie 4 śródmiejskie podobszary (jednostki urbanistyczne objęte kryzysem) jako podobszary rewitalizacji:</w:t>
      </w:r>
    </w:p>
    <w:p w:rsidR="004C25C8" w:rsidRPr="00B83212" w:rsidRDefault="004C25C8" w:rsidP="00852828">
      <w:pPr>
        <w:pStyle w:val="Akapitzlist"/>
        <w:numPr>
          <w:ilvl w:val="0"/>
          <w:numId w:val="297"/>
        </w:numPr>
        <w:autoSpaceDE w:val="0"/>
        <w:autoSpaceDN w:val="0"/>
        <w:adjustRightInd w:val="0"/>
        <w:spacing w:after="0" w:line="240" w:lineRule="auto"/>
        <w:jc w:val="both"/>
        <w:rPr>
          <w:rFonts w:cs="Calibri"/>
          <w:sz w:val="20"/>
          <w:szCs w:val="20"/>
        </w:rPr>
      </w:pPr>
      <w:r w:rsidRPr="00B83212">
        <w:rPr>
          <w:rFonts w:cs="Calibri"/>
          <w:sz w:val="20"/>
          <w:szCs w:val="20"/>
        </w:rPr>
        <w:t>Śródmieście (jednostka nr 10),</w:t>
      </w:r>
    </w:p>
    <w:p w:rsidR="004C25C8" w:rsidRPr="00B83212" w:rsidRDefault="004C25C8" w:rsidP="00852828">
      <w:pPr>
        <w:pStyle w:val="Akapitzlist"/>
        <w:numPr>
          <w:ilvl w:val="0"/>
          <w:numId w:val="297"/>
        </w:numPr>
        <w:autoSpaceDE w:val="0"/>
        <w:autoSpaceDN w:val="0"/>
        <w:adjustRightInd w:val="0"/>
        <w:spacing w:after="0" w:line="240" w:lineRule="auto"/>
        <w:jc w:val="both"/>
        <w:rPr>
          <w:rFonts w:cs="Calibri"/>
          <w:sz w:val="20"/>
          <w:szCs w:val="20"/>
        </w:rPr>
      </w:pPr>
      <w:r w:rsidRPr="00B83212">
        <w:rPr>
          <w:rFonts w:cs="Calibri"/>
          <w:sz w:val="20"/>
          <w:szCs w:val="20"/>
        </w:rPr>
        <w:t>Śródmieście Zachód (jednostka nr 11),</w:t>
      </w:r>
    </w:p>
    <w:p w:rsidR="004C25C8" w:rsidRPr="00B83212" w:rsidRDefault="004C25C8" w:rsidP="00852828">
      <w:pPr>
        <w:pStyle w:val="Akapitzlist"/>
        <w:numPr>
          <w:ilvl w:val="0"/>
          <w:numId w:val="297"/>
        </w:numPr>
        <w:autoSpaceDE w:val="0"/>
        <w:autoSpaceDN w:val="0"/>
        <w:adjustRightInd w:val="0"/>
        <w:spacing w:after="0" w:line="240" w:lineRule="auto"/>
        <w:jc w:val="both"/>
        <w:rPr>
          <w:rFonts w:cs="Calibri"/>
          <w:sz w:val="20"/>
          <w:szCs w:val="20"/>
        </w:rPr>
      </w:pPr>
      <w:r w:rsidRPr="00B83212">
        <w:rPr>
          <w:rFonts w:cs="Calibri"/>
          <w:sz w:val="20"/>
          <w:szCs w:val="20"/>
        </w:rPr>
        <w:t>Rozbark (jednostka nr 12),</w:t>
      </w:r>
    </w:p>
    <w:p w:rsidR="004C25C8" w:rsidRPr="00B83212" w:rsidRDefault="004C25C8" w:rsidP="00852828">
      <w:pPr>
        <w:pStyle w:val="Akapitzlist"/>
        <w:numPr>
          <w:ilvl w:val="0"/>
          <w:numId w:val="297"/>
        </w:numPr>
        <w:autoSpaceDE w:val="0"/>
        <w:autoSpaceDN w:val="0"/>
        <w:adjustRightInd w:val="0"/>
        <w:spacing w:after="0" w:line="240" w:lineRule="auto"/>
        <w:jc w:val="both"/>
        <w:rPr>
          <w:rFonts w:cs="Calibri"/>
          <w:sz w:val="20"/>
          <w:szCs w:val="20"/>
        </w:rPr>
      </w:pPr>
      <w:r w:rsidRPr="00B83212">
        <w:rPr>
          <w:rFonts w:cs="Calibri"/>
          <w:sz w:val="20"/>
          <w:szCs w:val="20"/>
        </w:rPr>
        <w:t>Śródmieście Północ (jednostka nr 13).</w:t>
      </w:r>
    </w:p>
    <w:p w:rsidR="004C25C8" w:rsidRPr="00B0289F" w:rsidRDefault="004C25C8" w:rsidP="004C25C8">
      <w:pPr>
        <w:autoSpaceDE w:val="0"/>
        <w:autoSpaceDN w:val="0"/>
        <w:adjustRightInd w:val="0"/>
        <w:jc w:val="both"/>
        <w:rPr>
          <w:rFonts w:cs="Calibri"/>
          <w:szCs w:val="20"/>
        </w:rPr>
      </w:pPr>
      <w:r w:rsidRPr="00B0289F">
        <w:rPr>
          <w:rFonts w:cs="Calibri"/>
          <w:szCs w:val="20"/>
        </w:rPr>
        <w:t xml:space="preserve">Dodatkowo do obszaru rewitalizacji dołączono dzielnicę Bobrek (jednostka nr 8), z uwagi na znaczne nasilenie problemów społecznych oraz gospodarczych, środowiskowych i technicznych oraz niewielką, przylegającą do </w:t>
      </w:r>
      <w:r w:rsidRPr="00B0289F">
        <w:rPr>
          <w:rFonts w:cs="Calibri"/>
          <w:szCs w:val="20"/>
        </w:rPr>
        <w:lastRenderedPageBreak/>
        <w:t>południowej granicy miasta jednostkę urbanistyczną – Kolonię Zgorzelec (jednostka nr 19), gdzie już w</w:t>
      </w:r>
      <w:r w:rsidR="00EF487C">
        <w:rPr>
          <w:rFonts w:cs="Calibri"/>
          <w:szCs w:val="20"/>
        </w:rPr>
        <w:t> </w:t>
      </w:r>
      <w:r w:rsidRPr="00B0289F">
        <w:rPr>
          <w:rFonts w:cs="Calibri"/>
          <w:szCs w:val="20"/>
        </w:rPr>
        <w:t>poprzednich latach podejmowano działania rewitalizacyjne, które powinny być kontynuowane.</w:t>
      </w:r>
    </w:p>
    <w:p w:rsidR="004C25C8" w:rsidRPr="00B0289F" w:rsidRDefault="004C25C8" w:rsidP="004C25C8">
      <w:pPr>
        <w:autoSpaceDE w:val="0"/>
        <w:autoSpaceDN w:val="0"/>
        <w:adjustRightInd w:val="0"/>
        <w:ind w:firstLine="708"/>
        <w:jc w:val="both"/>
        <w:rPr>
          <w:rFonts w:cs="Calibri"/>
          <w:szCs w:val="20"/>
        </w:rPr>
      </w:pPr>
      <w:r w:rsidRPr="00B0289F">
        <w:rPr>
          <w:rFonts w:cs="Calibri"/>
          <w:szCs w:val="20"/>
        </w:rPr>
        <w:t xml:space="preserve">W sumie jako zamieszkały podobszar rewitalizacji wskazano 6 zamieszkałych jednostek urbanistycznych, zajmujących </w:t>
      </w:r>
      <w:r w:rsidR="00EF487C">
        <w:rPr>
          <w:rFonts w:cs="Calibri"/>
          <w:szCs w:val="20"/>
        </w:rPr>
        <w:t>6,00</w:t>
      </w:r>
      <w:r w:rsidRPr="00B0289F">
        <w:rPr>
          <w:rFonts w:cs="Calibri"/>
          <w:szCs w:val="20"/>
        </w:rPr>
        <w:t xml:space="preserve">% powierzchni Bytomia i zamieszkałych przez 28,97% mieszkańców miasta. Do obszaru rewitalizacji nie włączono ostatecznie 3 jednostek urbanistycznych uznanych za zdegradowane, ponieważ natężenie zjawisk kryzysowych było tam relatywnie mniejsze. </w:t>
      </w:r>
    </w:p>
    <w:p w:rsidR="004C25C8" w:rsidRDefault="004C25C8" w:rsidP="00DA08C6">
      <w:pPr>
        <w:autoSpaceDE w:val="0"/>
        <w:autoSpaceDN w:val="0"/>
        <w:adjustRightInd w:val="0"/>
        <w:ind w:firstLine="708"/>
        <w:jc w:val="both"/>
        <w:rPr>
          <w:rFonts w:cs="Calibri"/>
          <w:szCs w:val="20"/>
        </w:rPr>
      </w:pPr>
      <w:r w:rsidRPr="00B0289F">
        <w:rPr>
          <w:rFonts w:cs="Calibri"/>
          <w:szCs w:val="20"/>
        </w:rPr>
        <w:t>W art. 10 ust. 3 u</w:t>
      </w:r>
      <w:r w:rsidRPr="00B0289F">
        <w:rPr>
          <w:rFonts w:cs="Calibri-Italic"/>
          <w:i/>
          <w:iCs/>
          <w:szCs w:val="20"/>
        </w:rPr>
        <w:t xml:space="preserve">stawy o rewitalizacji </w:t>
      </w:r>
      <w:r w:rsidRPr="00B0289F">
        <w:rPr>
          <w:rFonts w:cs="Calibri"/>
          <w:szCs w:val="20"/>
        </w:rPr>
        <w:t xml:space="preserve">ustawodawca wskazał, że: </w:t>
      </w:r>
      <w:r w:rsidRPr="0099121E">
        <w:rPr>
          <w:rFonts w:cs="Calibri"/>
          <w:i/>
          <w:szCs w:val="20"/>
        </w:rPr>
        <w:t>n</w:t>
      </w:r>
      <w:r w:rsidRPr="0099121E">
        <w:rPr>
          <w:rFonts w:cs="Calibri-Italic"/>
          <w:i/>
          <w:iCs/>
          <w:szCs w:val="20"/>
        </w:rPr>
        <w:t>i</w:t>
      </w:r>
      <w:r w:rsidRPr="00B0289F">
        <w:rPr>
          <w:rFonts w:cs="Calibri-Italic"/>
          <w:i/>
          <w:iCs/>
          <w:szCs w:val="20"/>
        </w:rPr>
        <w:t xml:space="preserve">ezamieszkałe tereny poprzemysłowe, w tym poportowe i powydobywcze, tereny powojskowe albo pokolejowe, na których występują negatywne zjawiska, o których mowa w art. 9 ust. 1 pkt. 1–4, mogą wejść w skład obszaru rewitalizacji wyłącznie w przypadku, gdy działania możliwe do przeprowadzenia na tych terenach przyczynią się do przeciwdziałania negatywnym zjawiskom społecznym, o których mowa w art. 9 ust. 1. </w:t>
      </w:r>
      <w:r w:rsidRPr="00B0289F">
        <w:rPr>
          <w:rFonts w:cs="Calibri"/>
          <w:szCs w:val="20"/>
        </w:rPr>
        <w:t>Zgodnie z tym zapisem wskazano w Bytomiu 9 wymienionych powyżej podobszarów niezamieszkałych, na których występują negatywne zjawiska i na których możliwa będzie realizacja działań, które przyczynią się do przeciwdziałania negatywnym zjawiskom społecznym na zamieszkałych podobszarach włączonych do obszaru zdegradowanego.</w:t>
      </w:r>
    </w:p>
    <w:p w:rsidR="004C25C8" w:rsidRPr="00B0289F" w:rsidRDefault="004C25C8" w:rsidP="004C25C8">
      <w:pPr>
        <w:ind w:firstLine="708"/>
        <w:jc w:val="both"/>
        <w:rPr>
          <w:rFonts w:cs="Arial"/>
          <w:szCs w:val="20"/>
        </w:rPr>
      </w:pPr>
      <w:r w:rsidRPr="00B0289F">
        <w:rPr>
          <w:rFonts w:cs="Arial"/>
          <w:szCs w:val="20"/>
        </w:rPr>
        <w:t xml:space="preserve">Na obszar rewitalizacji składa się zatem sześć podobszarów zamieszkałych i dziewięć podobszarów niezamieszkałych (w większości poprzemysłowych), </w:t>
      </w:r>
      <w:r w:rsidRPr="00B0289F">
        <w:rPr>
          <w:rFonts w:eastAsia="Calibri" w:cs="ArialNarrow"/>
          <w:szCs w:val="20"/>
        </w:rPr>
        <w:t>n</w:t>
      </w:r>
      <w:r w:rsidRPr="00B0289F">
        <w:rPr>
          <w:rFonts w:cs="Arial"/>
          <w:szCs w:val="20"/>
        </w:rPr>
        <w:t xml:space="preserve">a których realizowane będą działania mające przyczynić się do przeciwdziałania negatywnym zjawiskom społecznym zidentyfikowanym na obszarach zamieszkałych. Na </w:t>
      </w:r>
      <w:r w:rsidRPr="00315134">
        <w:rPr>
          <w:rFonts w:cs="Arial"/>
          <w:szCs w:val="20"/>
        </w:rPr>
        <w:t>mapie</w:t>
      </w:r>
      <w:r w:rsidRPr="00B0289F">
        <w:rPr>
          <w:rFonts w:cs="Arial"/>
          <w:szCs w:val="20"/>
        </w:rPr>
        <w:t xml:space="preserve"> na czerwono zaznaczono podobszary zamieszkałe, a na czarno – podobszary niezamieszkałe. Numery przy nazwach odpowiadają numeracji jednostek urbanistycznych przyjętej na etapie przygotowywania delimitacji. </w:t>
      </w:r>
    </w:p>
    <w:p w:rsidR="004C25C8" w:rsidRPr="00B0289F" w:rsidRDefault="004C25C8" w:rsidP="004C25C8">
      <w:pPr>
        <w:autoSpaceDE w:val="0"/>
        <w:autoSpaceDN w:val="0"/>
        <w:adjustRightInd w:val="0"/>
        <w:rPr>
          <w:rFonts w:eastAsia="Calibri" w:cs="ArialNarrow"/>
          <w:szCs w:val="20"/>
        </w:rPr>
      </w:pPr>
    </w:p>
    <w:p w:rsidR="004C25C8" w:rsidRPr="00B0289F" w:rsidRDefault="004C25C8" w:rsidP="00534CE5">
      <w:pPr>
        <w:pStyle w:val="Legenda"/>
      </w:pPr>
      <w:bookmarkStart w:id="1211" w:name="_Toc466024249"/>
      <w:bookmarkStart w:id="1212" w:name="_Toc191972616"/>
      <w:r w:rsidRPr="00B0289F">
        <w:t xml:space="preserve">Mapa </w:t>
      </w:r>
      <w:fldSimple w:instr=" SEQ Mapa \* ARABIC ">
        <w:r w:rsidR="00413FFE">
          <w:rPr>
            <w:noProof/>
          </w:rPr>
          <w:t>4</w:t>
        </w:r>
      </w:fldSimple>
      <w:r w:rsidRPr="00B0289F">
        <w:t>. Obszar rewitalizacji w Bytomiu</w:t>
      </w:r>
      <w:bookmarkEnd w:id="1211"/>
      <w:bookmarkEnd w:id="1212"/>
    </w:p>
    <w:p w:rsidR="004C25C8" w:rsidRPr="00B0289F" w:rsidRDefault="004C25C8" w:rsidP="004C25C8">
      <w:pPr>
        <w:rPr>
          <w:szCs w:val="20"/>
        </w:rPr>
      </w:pPr>
      <w:r w:rsidRPr="00B0289F">
        <w:rPr>
          <w:noProof/>
          <w:szCs w:val="20"/>
        </w:rPr>
        <w:drawing>
          <wp:inline distT="0" distB="0" distL="0" distR="0">
            <wp:extent cx="5676900" cy="4581525"/>
            <wp:effectExtent l="19050" t="0" r="0" b="0"/>
            <wp:docPr id="95" name="Obraz 1" descr="C:\Users\TT\Dysk Google\IRM-BYTOM-mapy\wydruki (1)\001-2 OBSZARY REWITALIZACJI I POPRZEMYSŁOW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Users\TT\Dysk Google\IRM-BYTOM-mapy\wydruki (1)\001-2 OBSZARY REWITALIZACJI I POPRZEMYSŁOWE.png"/>
                    <pic:cNvPicPr>
                      <a:picLocks noChangeAspect="1" noChangeArrowheads="1"/>
                    </pic:cNvPicPr>
                  </pic:nvPicPr>
                  <pic:blipFill>
                    <a:blip r:embed="rId26" cstate="print"/>
                    <a:srcRect l="1488" t="1181" b="4134"/>
                    <a:stretch>
                      <a:fillRect/>
                    </a:stretch>
                  </pic:blipFill>
                  <pic:spPr bwMode="auto">
                    <a:xfrm>
                      <a:off x="0" y="0"/>
                      <a:ext cx="5676900" cy="4581525"/>
                    </a:xfrm>
                    <a:prstGeom prst="rect">
                      <a:avLst/>
                    </a:prstGeom>
                    <a:noFill/>
                    <a:ln w="9525">
                      <a:noFill/>
                      <a:miter lim="800000"/>
                      <a:headEnd/>
                      <a:tailEnd/>
                    </a:ln>
                  </pic:spPr>
                </pic:pic>
              </a:graphicData>
            </a:graphic>
          </wp:inline>
        </w:drawing>
      </w:r>
    </w:p>
    <w:p w:rsidR="004C25C8" w:rsidRPr="00534CE5" w:rsidRDefault="004C25C8" w:rsidP="004C25C8">
      <w:pPr>
        <w:autoSpaceDE w:val="0"/>
        <w:autoSpaceDN w:val="0"/>
        <w:adjustRightInd w:val="0"/>
        <w:rPr>
          <w:rFonts w:eastAsia="Calibri" w:cs="ArialNarrow"/>
          <w:i/>
          <w:sz w:val="18"/>
          <w:szCs w:val="20"/>
        </w:rPr>
      </w:pPr>
      <w:r w:rsidRPr="00534CE5">
        <w:rPr>
          <w:rFonts w:eastAsia="Calibri" w:cs="ArialNarrow"/>
          <w:i/>
          <w:sz w:val="18"/>
          <w:szCs w:val="20"/>
        </w:rPr>
        <w:t>Źródło: Opracowanie Instytutu Rozwoju Miast</w:t>
      </w:r>
    </w:p>
    <w:p w:rsidR="004C25C8" w:rsidRPr="00B0289F" w:rsidRDefault="004C25C8" w:rsidP="004C25C8">
      <w:pPr>
        <w:autoSpaceDE w:val="0"/>
        <w:autoSpaceDN w:val="0"/>
        <w:adjustRightInd w:val="0"/>
        <w:ind w:firstLine="708"/>
        <w:jc w:val="both"/>
        <w:rPr>
          <w:rFonts w:eastAsia="Calibri" w:cs="ArialNarrow"/>
          <w:szCs w:val="20"/>
        </w:rPr>
      </w:pPr>
      <w:r w:rsidRPr="00B0289F">
        <w:rPr>
          <w:rFonts w:eastAsia="Calibri" w:cs="ArialNarrow"/>
          <w:szCs w:val="20"/>
        </w:rPr>
        <w:lastRenderedPageBreak/>
        <w:t>Obszar rewitalizacji w Bytomiu zajmuje 828 ha, co stanowi 11,93% powierzchni miasta. Spośród sześciu podobszarów zamieszkałych cztery przylegają do siebie, tworząc zwartą grupę we wschodniej części miasta. Są to: Śródmieście, Śródmieście Północ, Śródmieście Zachód i Rozbark</w:t>
      </w:r>
      <w:r w:rsidRPr="00B0289F">
        <w:rPr>
          <w:rStyle w:val="Odwoanieprzypisudolnego"/>
          <w:rFonts w:eastAsia="Calibri" w:cs="ArialNarrow"/>
          <w:szCs w:val="20"/>
        </w:rPr>
        <w:footnoteReference w:id="5"/>
      </w:r>
      <w:r w:rsidRPr="00B0289F">
        <w:rPr>
          <w:rFonts w:eastAsia="Calibri" w:cs="ArialNarrow"/>
          <w:szCs w:val="20"/>
        </w:rPr>
        <w:t>. Razem zajmują one powierzchnię 360 ha. Niemal pięćdziesięciohektarowy podobszar Bobrek znajduje się na południowy zachód od tego zwartego terenu, a niewielki podobszar Kolonia Zgorzelec – przy południowej granicy miasta.</w:t>
      </w:r>
    </w:p>
    <w:p w:rsidR="004C25C8" w:rsidRDefault="004C25C8" w:rsidP="004C25C8">
      <w:pPr>
        <w:autoSpaceDE w:val="0"/>
        <w:autoSpaceDN w:val="0"/>
        <w:adjustRightInd w:val="0"/>
        <w:ind w:firstLine="708"/>
        <w:jc w:val="both"/>
        <w:rPr>
          <w:rFonts w:cs="Arial"/>
          <w:szCs w:val="20"/>
        </w:rPr>
      </w:pPr>
      <w:r w:rsidRPr="00B0289F">
        <w:rPr>
          <w:rFonts w:cs="Arial"/>
          <w:szCs w:val="20"/>
        </w:rPr>
        <w:t xml:space="preserve">Jak wynika z zamieszczonej tabeli, poszczególne podobszary niezamieszkałe mają powierzchnię od około 40 do 70 ha, z wyjątkiem terenu dawnej kopalni Rozbark, który zajmuje jedynie 15 ha. Podobszary zamieszkałe cechuje większe zróżnicowanie powierzchni. Największy z nich, Śródmieście Północ, ma 133 ha, najmniejszy zaś, Kolonia Zgorzelec, jedynie 7 ha. </w:t>
      </w:r>
    </w:p>
    <w:p w:rsidR="004C25C8" w:rsidRDefault="004C25C8" w:rsidP="004C25C8">
      <w:pPr>
        <w:autoSpaceDE w:val="0"/>
        <w:autoSpaceDN w:val="0"/>
        <w:adjustRightInd w:val="0"/>
        <w:jc w:val="both"/>
        <w:rPr>
          <w:rFonts w:cs="Arial"/>
          <w:szCs w:val="20"/>
        </w:rPr>
      </w:pPr>
    </w:p>
    <w:p w:rsidR="004C25C8" w:rsidRPr="00492A1F" w:rsidRDefault="004C25C8" w:rsidP="004C25C8">
      <w:pPr>
        <w:pStyle w:val="Legenda"/>
        <w:spacing w:line="312" w:lineRule="auto"/>
        <w:rPr>
          <w:rFonts w:eastAsia="Calibri"/>
          <w:szCs w:val="24"/>
        </w:rPr>
      </w:pPr>
      <w:bookmarkStart w:id="1213" w:name="_Toc463276357"/>
      <w:bookmarkStart w:id="1214" w:name="_Toc202771097"/>
      <w:r w:rsidRPr="00492A1F">
        <w:t xml:space="preserve">Tabela </w:t>
      </w:r>
      <w:fldSimple w:instr=" SEQ Tabela \* ARABIC ">
        <w:r w:rsidR="00413FFE">
          <w:rPr>
            <w:noProof/>
          </w:rPr>
          <w:t>3</w:t>
        </w:r>
      </w:fldSimple>
      <w:r>
        <w:t xml:space="preserve">. </w:t>
      </w:r>
      <w:r w:rsidRPr="00492A1F">
        <w:t>Powierzchnia obszaru rewitalizacji</w:t>
      </w:r>
      <w:bookmarkEnd w:id="1213"/>
      <w:bookmarkEnd w:id="1214"/>
      <w:r w:rsidRPr="00492A1F">
        <w:rPr>
          <w:rFonts w:eastAsia="Calibri"/>
          <w:szCs w:val="24"/>
        </w:rPr>
        <w:t xml:space="preserve"> </w:t>
      </w:r>
    </w:p>
    <w:tbl>
      <w:tblPr>
        <w:tblW w:w="9000" w:type="dxa"/>
        <w:tblInd w:w="51" w:type="dxa"/>
        <w:tblCellMar>
          <w:left w:w="70" w:type="dxa"/>
          <w:right w:w="70" w:type="dxa"/>
        </w:tblCellMar>
        <w:tblLook w:val="04A0"/>
      </w:tblPr>
      <w:tblGrid>
        <w:gridCol w:w="4800"/>
        <w:gridCol w:w="1400"/>
        <w:gridCol w:w="1400"/>
        <w:gridCol w:w="1400"/>
      </w:tblGrid>
      <w:tr w:rsidR="004C25C8" w:rsidRPr="00B0289F" w:rsidTr="00A649A2">
        <w:trPr>
          <w:trHeight w:val="372"/>
        </w:trPr>
        <w:tc>
          <w:tcPr>
            <w:tcW w:w="4800" w:type="dxa"/>
            <w:tcBorders>
              <w:top w:val="single" w:sz="4" w:space="0" w:color="auto"/>
              <w:left w:val="single" w:sz="4" w:space="0" w:color="auto"/>
              <w:bottom w:val="single" w:sz="4" w:space="0" w:color="auto"/>
              <w:right w:val="single" w:sz="4" w:space="0" w:color="auto"/>
            </w:tcBorders>
            <w:shd w:val="clear" w:color="auto" w:fill="99CCFF"/>
            <w:vAlign w:val="center"/>
            <w:hideMark/>
          </w:tcPr>
          <w:p w:rsidR="004C25C8" w:rsidRPr="00B0289F" w:rsidRDefault="004C25C8" w:rsidP="00A649A2">
            <w:pPr>
              <w:jc w:val="center"/>
              <w:rPr>
                <w:rFonts w:cs="Arial"/>
                <w:b/>
                <w:bCs/>
                <w:color w:val="000000"/>
                <w:szCs w:val="20"/>
              </w:rPr>
            </w:pPr>
            <w:r w:rsidRPr="00B0289F">
              <w:rPr>
                <w:rFonts w:cs="Arial"/>
                <w:b/>
                <w:bCs/>
                <w:color w:val="000000"/>
                <w:szCs w:val="20"/>
              </w:rPr>
              <w:t>Obszar</w:t>
            </w:r>
          </w:p>
        </w:tc>
        <w:tc>
          <w:tcPr>
            <w:tcW w:w="1400" w:type="dxa"/>
            <w:tcBorders>
              <w:top w:val="single" w:sz="4" w:space="0" w:color="auto"/>
              <w:left w:val="nil"/>
              <w:bottom w:val="single" w:sz="4" w:space="0" w:color="auto"/>
              <w:right w:val="single" w:sz="4" w:space="0" w:color="auto"/>
            </w:tcBorders>
            <w:shd w:val="clear" w:color="auto" w:fill="99CCFF"/>
            <w:vAlign w:val="center"/>
            <w:hideMark/>
          </w:tcPr>
          <w:p w:rsidR="004C25C8" w:rsidRPr="00B0289F" w:rsidRDefault="004C25C8" w:rsidP="00A649A2">
            <w:pPr>
              <w:jc w:val="center"/>
              <w:rPr>
                <w:rFonts w:cs="Arial"/>
                <w:b/>
                <w:bCs/>
                <w:color w:val="000000"/>
                <w:szCs w:val="20"/>
              </w:rPr>
            </w:pPr>
            <w:r w:rsidRPr="00B0289F">
              <w:rPr>
                <w:rFonts w:cs="Arial"/>
                <w:b/>
                <w:bCs/>
                <w:color w:val="000000"/>
                <w:szCs w:val="20"/>
              </w:rPr>
              <w:t>ID obszaru</w:t>
            </w:r>
          </w:p>
        </w:tc>
        <w:tc>
          <w:tcPr>
            <w:tcW w:w="1400" w:type="dxa"/>
            <w:tcBorders>
              <w:top w:val="single" w:sz="4" w:space="0" w:color="auto"/>
              <w:left w:val="nil"/>
              <w:bottom w:val="single" w:sz="4" w:space="0" w:color="auto"/>
              <w:right w:val="single" w:sz="4" w:space="0" w:color="auto"/>
            </w:tcBorders>
            <w:shd w:val="clear" w:color="auto" w:fill="99CCFF"/>
            <w:vAlign w:val="center"/>
            <w:hideMark/>
          </w:tcPr>
          <w:p w:rsidR="004C25C8" w:rsidRPr="00B0289F" w:rsidRDefault="004C25C8" w:rsidP="00A649A2">
            <w:pPr>
              <w:jc w:val="center"/>
              <w:rPr>
                <w:rFonts w:cs="Arial"/>
                <w:b/>
                <w:bCs/>
                <w:color w:val="000000"/>
                <w:szCs w:val="20"/>
              </w:rPr>
            </w:pPr>
            <w:r w:rsidRPr="00B0289F">
              <w:rPr>
                <w:rFonts w:cs="Arial"/>
                <w:b/>
                <w:bCs/>
                <w:color w:val="000000"/>
                <w:szCs w:val="20"/>
              </w:rPr>
              <w:t>Powierzchnia [ha]</w:t>
            </w:r>
          </w:p>
        </w:tc>
        <w:tc>
          <w:tcPr>
            <w:tcW w:w="1400" w:type="dxa"/>
            <w:tcBorders>
              <w:top w:val="single" w:sz="4" w:space="0" w:color="auto"/>
              <w:left w:val="nil"/>
              <w:bottom w:val="single" w:sz="4" w:space="0" w:color="auto"/>
              <w:right w:val="single" w:sz="4" w:space="0" w:color="auto"/>
            </w:tcBorders>
            <w:shd w:val="clear" w:color="auto" w:fill="99CCFF"/>
            <w:vAlign w:val="center"/>
            <w:hideMark/>
          </w:tcPr>
          <w:p w:rsidR="004C25C8" w:rsidRPr="00B0289F" w:rsidRDefault="004C25C8" w:rsidP="00A649A2">
            <w:pPr>
              <w:jc w:val="center"/>
              <w:rPr>
                <w:rFonts w:cs="Arial"/>
                <w:b/>
                <w:bCs/>
                <w:color w:val="000000"/>
                <w:szCs w:val="20"/>
              </w:rPr>
            </w:pPr>
            <w:r w:rsidRPr="00B0289F">
              <w:rPr>
                <w:rFonts w:cs="Arial"/>
                <w:b/>
                <w:bCs/>
                <w:color w:val="000000"/>
                <w:szCs w:val="20"/>
              </w:rPr>
              <w:t>% powierzchni miasta</w:t>
            </w:r>
          </w:p>
        </w:tc>
      </w:tr>
      <w:tr w:rsidR="004C25C8" w:rsidRPr="00B0289F" w:rsidTr="00A649A2">
        <w:trPr>
          <w:trHeight w:val="285"/>
        </w:trPr>
        <w:tc>
          <w:tcPr>
            <w:tcW w:w="4800" w:type="dxa"/>
            <w:tcBorders>
              <w:top w:val="nil"/>
              <w:left w:val="single" w:sz="4" w:space="0" w:color="auto"/>
              <w:bottom w:val="single" w:sz="4" w:space="0" w:color="auto"/>
              <w:right w:val="single" w:sz="4" w:space="0" w:color="auto"/>
            </w:tcBorders>
            <w:shd w:val="clear" w:color="auto" w:fill="auto"/>
            <w:noWrap/>
            <w:vAlign w:val="center"/>
            <w:hideMark/>
          </w:tcPr>
          <w:p w:rsidR="004C25C8" w:rsidRPr="00B0289F" w:rsidRDefault="004C25C8" w:rsidP="00A649A2">
            <w:pPr>
              <w:rPr>
                <w:rFonts w:cs="Arial"/>
                <w:b/>
                <w:bCs/>
                <w:color w:val="000000"/>
                <w:szCs w:val="20"/>
              </w:rPr>
            </w:pPr>
            <w:r w:rsidRPr="00B0289F">
              <w:rPr>
                <w:rFonts w:cs="Arial"/>
                <w:b/>
                <w:bCs/>
                <w:color w:val="000000"/>
                <w:szCs w:val="20"/>
              </w:rPr>
              <w:t xml:space="preserve"> MIASTO BYTOM</w:t>
            </w:r>
          </w:p>
        </w:tc>
        <w:tc>
          <w:tcPr>
            <w:tcW w:w="1400" w:type="dxa"/>
            <w:tcBorders>
              <w:top w:val="nil"/>
              <w:left w:val="nil"/>
              <w:bottom w:val="single" w:sz="4" w:space="0" w:color="auto"/>
              <w:right w:val="single" w:sz="4" w:space="0" w:color="auto"/>
            </w:tcBorders>
            <w:shd w:val="clear" w:color="auto" w:fill="auto"/>
            <w:noWrap/>
            <w:vAlign w:val="center"/>
            <w:hideMark/>
          </w:tcPr>
          <w:p w:rsidR="004C25C8" w:rsidRPr="00B0289F" w:rsidRDefault="004C25C8" w:rsidP="00A649A2">
            <w:pPr>
              <w:jc w:val="center"/>
              <w:rPr>
                <w:rFonts w:cs="Arial"/>
                <w:b/>
                <w:bCs/>
                <w:color w:val="000000"/>
                <w:szCs w:val="20"/>
              </w:rPr>
            </w:pPr>
            <w:r w:rsidRPr="00B0289F">
              <w:rPr>
                <w:rFonts w:cs="Arial"/>
                <w:b/>
                <w:bCs/>
                <w:color w:val="000000"/>
                <w:szCs w:val="20"/>
              </w:rPr>
              <w:t> </w:t>
            </w:r>
          </w:p>
        </w:tc>
        <w:tc>
          <w:tcPr>
            <w:tcW w:w="1400" w:type="dxa"/>
            <w:tcBorders>
              <w:top w:val="nil"/>
              <w:left w:val="nil"/>
              <w:bottom w:val="single" w:sz="4" w:space="0" w:color="auto"/>
              <w:right w:val="single" w:sz="4" w:space="0" w:color="auto"/>
            </w:tcBorders>
            <w:shd w:val="clear" w:color="auto" w:fill="auto"/>
            <w:noWrap/>
            <w:vAlign w:val="center"/>
            <w:hideMark/>
          </w:tcPr>
          <w:p w:rsidR="004C25C8" w:rsidRPr="00B0289F" w:rsidRDefault="004C25C8" w:rsidP="00A649A2">
            <w:pPr>
              <w:jc w:val="center"/>
              <w:rPr>
                <w:rFonts w:cs="Arial"/>
                <w:b/>
                <w:bCs/>
                <w:color w:val="000000"/>
                <w:szCs w:val="20"/>
              </w:rPr>
            </w:pPr>
            <w:r w:rsidRPr="00B0289F">
              <w:rPr>
                <w:rFonts w:cs="Arial"/>
                <w:b/>
                <w:bCs/>
                <w:color w:val="000000"/>
                <w:szCs w:val="20"/>
              </w:rPr>
              <w:t>6 944</w:t>
            </w:r>
          </w:p>
        </w:tc>
        <w:tc>
          <w:tcPr>
            <w:tcW w:w="1400" w:type="dxa"/>
            <w:tcBorders>
              <w:top w:val="nil"/>
              <w:left w:val="nil"/>
              <w:bottom w:val="single" w:sz="4" w:space="0" w:color="auto"/>
              <w:right w:val="single" w:sz="4" w:space="0" w:color="auto"/>
            </w:tcBorders>
            <w:shd w:val="clear" w:color="auto" w:fill="auto"/>
            <w:noWrap/>
            <w:vAlign w:val="center"/>
            <w:hideMark/>
          </w:tcPr>
          <w:p w:rsidR="004C25C8" w:rsidRPr="00662DAF" w:rsidRDefault="004C25C8" w:rsidP="00A649A2">
            <w:pPr>
              <w:jc w:val="center"/>
              <w:rPr>
                <w:rFonts w:cs="Arial"/>
                <w:b/>
                <w:color w:val="000000"/>
                <w:szCs w:val="20"/>
              </w:rPr>
            </w:pPr>
            <w:r w:rsidRPr="00662DAF">
              <w:rPr>
                <w:rFonts w:cs="Arial"/>
                <w:b/>
                <w:color w:val="000000"/>
                <w:szCs w:val="20"/>
              </w:rPr>
              <w:t>100,00%</w:t>
            </w:r>
          </w:p>
        </w:tc>
      </w:tr>
      <w:tr w:rsidR="004C25C8" w:rsidRPr="00B0289F" w:rsidTr="00A649A2">
        <w:trPr>
          <w:trHeight w:val="285"/>
        </w:trPr>
        <w:tc>
          <w:tcPr>
            <w:tcW w:w="4800" w:type="dxa"/>
            <w:tcBorders>
              <w:top w:val="nil"/>
              <w:left w:val="single" w:sz="4" w:space="0" w:color="auto"/>
              <w:bottom w:val="single" w:sz="4" w:space="0" w:color="auto"/>
              <w:right w:val="single" w:sz="4" w:space="0" w:color="auto"/>
            </w:tcBorders>
            <w:shd w:val="clear" w:color="auto" w:fill="auto"/>
            <w:noWrap/>
            <w:vAlign w:val="center"/>
            <w:hideMark/>
          </w:tcPr>
          <w:p w:rsidR="004C25C8" w:rsidRPr="00B0289F" w:rsidRDefault="004C25C8" w:rsidP="00A649A2">
            <w:pPr>
              <w:rPr>
                <w:rFonts w:cs="Arial"/>
                <w:b/>
                <w:bCs/>
                <w:color w:val="000000"/>
                <w:szCs w:val="20"/>
              </w:rPr>
            </w:pPr>
            <w:r w:rsidRPr="00B0289F">
              <w:rPr>
                <w:rFonts w:cs="Arial"/>
                <w:b/>
                <w:bCs/>
                <w:color w:val="000000"/>
                <w:szCs w:val="20"/>
              </w:rPr>
              <w:t xml:space="preserve">RAZEM OBSZAR REWITALIZACJI </w:t>
            </w:r>
            <w:r w:rsidRPr="00B0289F">
              <w:rPr>
                <w:rFonts w:cs="Arial"/>
                <w:b/>
                <w:bCs/>
                <w:color w:val="000000"/>
                <w:szCs w:val="20"/>
              </w:rPr>
              <w:br/>
              <w:t>- OBSZARY ZAMIESZKAŁE I POPRZEMYSŁOWE</w:t>
            </w:r>
          </w:p>
        </w:tc>
        <w:tc>
          <w:tcPr>
            <w:tcW w:w="1400" w:type="dxa"/>
            <w:tcBorders>
              <w:top w:val="nil"/>
              <w:left w:val="nil"/>
              <w:bottom w:val="single" w:sz="4" w:space="0" w:color="auto"/>
              <w:right w:val="single" w:sz="4" w:space="0" w:color="auto"/>
            </w:tcBorders>
            <w:shd w:val="clear" w:color="auto" w:fill="auto"/>
            <w:noWrap/>
            <w:vAlign w:val="center"/>
            <w:hideMark/>
          </w:tcPr>
          <w:p w:rsidR="004C25C8" w:rsidRPr="00B0289F" w:rsidRDefault="004C25C8" w:rsidP="00A649A2">
            <w:pPr>
              <w:jc w:val="center"/>
              <w:rPr>
                <w:rFonts w:cs="Arial"/>
                <w:color w:val="000000"/>
                <w:szCs w:val="20"/>
              </w:rPr>
            </w:pPr>
            <w:r w:rsidRPr="00B0289F">
              <w:rPr>
                <w:rFonts w:cs="Arial"/>
                <w:color w:val="000000"/>
                <w:szCs w:val="20"/>
              </w:rPr>
              <w:t> </w:t>
            </w:r>
          </w:p>
        </w:tc>
        <w:tc>
          <w:tcPr>
            <w:tcW w:w="1400" w:type="dxa"/>
            <w:tcBorders>
              <w:top w:val="nil"/>
              <w:left w:val="nil"/>
              <w:bottom w:val="single" w:sz="4" w:space="0" w:color="auto"/>
              <w:right w:val="single" w:sz="4" w:space="0" w:color="auto"/>
            </w:tcBorders>
            <w:shd w:val="clear" w:color="auto" w:fill="auto"/>
            <w:noWrap/>
            <w:vAlign w:val="center"/>
            <w:hideMark/>
          </w:tcPr>
          <w:p w:rsidR="004C25C8" w:rsidRPr="00B0289F" w:rsidRDefault="004C25C8" w:rsidP="00A649A2">
            <w:pPr>
              <w:jc w:val="center"/>
              <w:rPr>
                <w:rFonts w:cs="Arial"/>
                <w:b/>
                <w:bCs/>
                <w:color w:val="000000"/>
                <w:szCs w:val="20"/>
              </w:rPr>
            </w:pPr>
            <w:r w:rsidRPr="00B0289F">
              <w:rPr>
                <w:rFonts w:cs="Arial"/>
                <w:b/>
                <w:bCs/>
                <w:color w:val="000000"/>
                <w:szCs w:val="20"/>
              </w:rPr>
              <w:t>828</w:t>
            </w:r>
          </w:p>
        </w:tc>
        <w:tc>
          <w:tcPr>
            <w:tcW w:w="1400" w:type="dxa"/>
            <w:tcBorders>
              <w:top w:val="nil"/>
              <w:left w:val="nil"/>
              <w:bottom w:val="single" w:sz="4" w:space="0" w:color="auto"/>
              <w:right w:val="single" w:sz="4" w:space="0" w:color="auto"/>
            </w:tcBorders>
            <w:shd w:val="clear" w:color="auto" w:fill="auto"/>
            <w:noWrap/>
            <w:vAlign w:val="center"/>
            <w:hideMark/>
          </w:tcPr>
          <w:p w:rsidR="004C25C8" w:rsidRPr="00B0289F" w:rsidRDefault="004C25C8" w:rsidP="00A649A2">
            <w:pPr>
              <w:jc w:val="center"/>
              <w:rPr>
                <w:rFonts w:cs="Arial"/>
                <w:b/>
                <w:bCs/>
                <w:color w:val="000000"/>
                <w:szCs w:val="20"/>
              </w:rPr>
            </w:pPr>
            <w:r w:rsidRPr="00B0289F">
              <w:rPr>
                <w:rFonts w:cs="Arial"/>
                <w:b/>
                <w:bCs/>
                <w:color w:val="000000"/>
                <w:szCs w:val="20"/>
              </w:rPr>
              <w:t>11,93%</w:t>
            </w:r>
          </w:p>
        </w:tc>
      </w:tr>
      <w:tr w:rsidR="004C25C8" w:rsidRPr="00B0289F" w:rsidTr="00A649A2">
        <w:trPr>
          <w:trHeight w:val="70"/>
        </w:trPr>
        <w:tc>
          <w:tcPr>
            <w:tcW w:w="4800" w:type="dxa"/>
            <w:tcBorders>
              <w:top w:val="nil"/>
              <w:left w:val="single" w:sz="4" w:space="0" w:color="auto"/>
              <w:bottom w:val="single" w:sz="4" w:space="0" w:color="auto"/>
              <w:right w:val="single" w:sz="4" w:space="0" w:color="auto"/>
            </w:tcBorders>
            <w:shd w:val="clear" w:color="auto" w:fill="auto"/>
            <w:noWrap/>
            <w:vAlign w:val="center"/>
            <w:hideMark/>
          </w:tcPr>
          <w:p w:rsidR="004C25C8" w:rsidRPr="00887441" w:rsidRDefault="004C25C8" w:rsidP="00A649A2">
            <w:pPr>
              <w:rPr>
                <w:rFonts w:cs="Arial"/>
                <w:color w:val="000000"/>
                <w:sz w:val="12"/>
                <w:szCs w:val="20"/>
              </w:rPr>
            </w:pPr>
            <w:r w:rsidRPr="00887441">
              <w:rPr>
                <w:rFonts w:cs="Arial"/>
                <w:color w:val="000000"/>
                <w:sz w:val="12"/>
                <w:szCs w:val="20"/>
              </w:rPr>
              <w:t> </w:t>
            </w:r>
          </w:p>
        </w:tc>
        <w:tc>
          <w:tcPr>
            <w:tcW w:w="1400" w:type="dxa"/>
            <w:tcBorders>
              <w:top w:val="nil"/>
              <w:left w:val="nil"/>
              <w:bottom w:val="single" w:sz="4" w:space="0" w:color="auto"/>
              <w:right w:val="single" w:sz="4" w:space="0" w:color="auto"/>
            </w:tcBorders>
            <w:shd w:val="clear" w:color="auto" w:fill="auto"/>
            <w:noWrap/>
            <w:vAlign w:val="center"/>
            <w:hideMark/>
          </w:tcPr>
          <w:p w:rsidR="004C25C8" w:rsidRPr="00887441" w:rsidRDefault="004C25C8" w:rsidP="00A649A2">
            <w:pPr>
              <w:jc w:val="center"/>
              <w:rPr>
                <w:rFonts w:cs="Arial"/>
                <w:color w:val="000000"/>
                <w:sz w:val="12"/>
                <w:szCs w:val="20"/>
              </w:rPr>
            </w:pPr>
            <w:r w:rsidRPr="00887441">
              <w:rPr>
                <w:rFonts w:cs="Arial"/>
                <w:color w:val="000000"/>
                <w:sz w:val="12"/>
                <w:szCs w:val="20"/>
              </w:rPr>
              <w:t> </w:t>
            </w:r>
          </w:p>
        </w:tc>
        <w:tc>
          <w:tcPr>
            <w:tcW w:w="1400" w:type="dxa"/>
            <w:tcBorders>
              <w:top w:val="nil"/>
              <w:left w:val="nil"/>
              <w:bottom w:val="single" w:sz="4" w:space="0" w:color="auto"/>
              <w:right w:val="single" w:sz="4" w:space="0" w:color="auto"/>
            </w:tcBorders>
            <w:shd w:val="clear" w:color="auto" w:fill="auto"/>
            <w:noWrap/>
            <w:vAlign w:val="center"/>
            <w:hideMark/>
          </w:tcPr>
          <w:p w:rsidR="004C25C8" w:rsidRPr="00887441" w:rsidRDefault="004C25C8" w:rsidP="00A649A2">
            <w:pPr>
              <w:jc w:val="center"/>
              <w:rPr>
                <w:rFonts w:cs="Arial"/>
                <w:color w:val="000000"/>
                <w:sz w:val="12"/>
                <w:szCs w:val="20"/>
              </w:rPr>
            </w:pPr>
            <w:r w:rsidRPr="00887441">
              <w:rPr>
                <w:rFonts w:cs="Arial"/>
                <w:color w:val="000000"/>
                <w:sz w:val="12"/>
                <w:szCs w:val="20"/>
              </w:rPr>
              <w:t> </w:t>
            </w:r>
          </w:p>
        </w:tc>
        <w:tc>
          <w:tcPr>
            <w:tcW w:w="1400" w:type="dxa"/>
            <w:tcBorders>
              <w:top w:val="nil"/>
              <w:left w:val="nil"/>
              <w:bottom w:val="single" w:sz="4" w:space="0" w:color="auto"/>
              <w:right w:val="single" w:sz="4" w:space="0" w:color="auto"/>
            </w:tcBorders>
            <w:shd w:val="clear" w:color="auto" w:fill="auto"/>
            <w:noWrap/>
            <w:vAlign w:val="center"/>
            <w:hideMark/>
          </w:tcPr>
          <w:p w:rsidR="004C25C8" w:rsidRPr="00887441" w:rsidRDefault="004C25C8" w:rsidP="00A649A2">
            <w:pPr>
              <w:jc w:val="center"/>
              <w:rPr>
                <w:rFonts w:cs="Arial"/>
                <w:color w:val="000000"/>
                <w:sz w:val="12"/>
                <w:szCs w:val="20"/>
              </w:rPr>
            </w:pPr>
            <w:r w:rsidRPr="00887441">
              <w:rPr>
                <w:rFonts w:cs="Arial"/>
                <w:color w:val="000000"/>
                <w:sz w:val="12"/>
                <w:szCs w:val="20"/>
              </w:rPr>
              <w:t> </w:t>
            </w:r>
          </w:p>
        </w:tc>
      </w:tr>
      <w:tr w:rsidR="004C25C8" w:rsidRPr="00B0289F" w:rsidTr="00165F6F">
        <w:trPr>
          <w:trHeight w:val="285"/>
        </w:trPr>
        <w:tc>
          <w:tcPr>
            <w:tcW w:w="4800" w:type="dxa"/>
            <w:tcBorders>
              <w:top w:val="nil"/>
              <w:left w:val="single" w:sz="4" w:space="0" w:color="auto"/>
              <w:bottom w:val="single" w:sz="4" w:space="0" w:color="auto"/>
              <w:right w:val="single" w:sz="4" w:space="0" w:color="auto"/>
            </w:tcBorders>
            <w:shd w:val="clear" w:color="auto" w:fill="DDD9C3" w:themeFill="background2" w:themeFillShade="E6"/>
            <w:noWrap/>
            <w:vAlign w:val="center"/>
            <w:hideMark/>
          </w:tcPr>
          <w:p w:rsidR="004C25C8" w:rsidRPr="00B0289F" w:rsidRDefault="004C25C8" w:rsidP="00A649A2">
            <w:pPr>
              <w:rPr>
                <w:rFonts w:cs="Arial"/>
                <w:b/>
                <w:bCs/>
                <w:i/>
                <w:color w:val="000000"/>
                <w:szCs w:val="20"/>
              </w:rPr>
            </w:pPr>
            <w:r w:rsidRPr="00B0289F">
              <w:rPr>
                <w:rFonts w:cs="Arial"/>
                <w:b/>
                <w:bCs/>
                <w:i/>
                <w:color w:val="000000"/>
                <w:szCs w:val="20"/>
              </w:rPr>
              <w:t>OBSZARY ZAMIESZKAŁE</w:t>
            </w:r>
          </w:p>
        </w:tc>
        <w:tc>
          <w:tcPr>
            <w:tcW w:w="1400" w:type="dxa"/>
            <w:tcBorders>
              <w:top w:val="nil"/>
              <w:left w:val="nil"/>
              <w:bottom w:val="single" w:sz="4" w:space="0" w:color="auto"/>
              <w:right w:val="single" w:sz="4" w:space="0" w:color="auto"/>
            </w:tcBorders>
            <w:shd w:val="clear" w:color="auto" w:fill="DDD9C3" w:themeFill="background2" w:themeFillShade="E6"/>
            <w:noWrap/>
            <w:vAlign w:val="center"/>
            <w:hideMark/>
          </w:tcPr>
          <w:p w:rsidR="004C25C8" w:rsidRPr="00B0289F" w:rsidRDefault="004C25C8" w:rsidP="00A649A2">
            <w:pPr>
              <w:rPr>
                <w:rFonts w:cs="Arial"/>
                <w:color w:val="000000"/>
                <w:szCs w:val="20"/>
              </w:rPr>
            </w:pPr>
            <w:r w:rsidRPr="00B0289F">
              <w:rPr>
                <w:rFonts w:cs="Arial"/>
                <w:color w:val="000000"/>
                <w:szCs w:val="20"/>
              </w:rPr>
              <w:t> </w:t>
            </w:r>
          </w:p>
        </w:tc>
        <w:tc>
          <w:tcPr>
            <w:tcW w:w="1400" w:type="dxa"/>
            <w:tcBorders>
              <w:top w:val="nil"/>
              <w:left w:val="nil"/>
              <w:bottom w:val="single" w:sz="4" w:space="0" w:color="auto"/>
              <w:right w:val="single" w:sz="4" w:space="0" w:color="auto"/>
            </w:tcBorders>
            <w:shd w:val="clear" w:color="auto" w:fill="DDD9C3" w:themeFill="background2" w:themeFillShade="E6"/>
            <w:noWrap/>
            <w:vAlign w:val="center"/>
            <w:hideMark/>
          </w:tcPr>
          <w:p w:rsidR="004C25C8" w:rsidRPr="00B0289F" w:rsidRDefault="004C25C8" w:rsidP="00A649A2">
            <w:pPr>
              <w:jc w:val="center"/>
              <w:rPr>
                <w:rFonts w:cs="Arial"/>
                <w:color w:val="000000"/>
                <w:szCs w:val="20"/>
              </w:rPr>
            </w:pPr>
            <w:r w:rsidRPr="00B0289F">
              <w:rPr>
                <w:rFonts w:cs="Arial"/>
                <w:color w:val="000000"/>
                <w:szCs w:val="20"/>
              </w:rPr>
              <w:t> </w:t>
            </w:r>
          </w:p>
        </w:tc>
        <w:tc>
          <w:tcPr>
            <w:tcW w:w="1400" w:type="dxa"/>
            <w:tcBorders>
              <w:top w:val="nil"/>
              <w:left w:val="nil"/>
              <w:bottom w:val="single" w:sz="4" w:space="0" w:color="auto"/>
              <w:right w:val="single" w:sz="4" w:space="0" w:color="auto"/>
            </w:tcBorders>
            <w:shd w:val="clear" w:color="auto" w:fill="DDD9C3" w:themeFill="background2" w:themeFillShade="E6"/>
            <w:noWrap/>
            <w:vAlign w:val="center"/>
            <w:hideMark/>
          </w:tcPr>
          <w:p w:rsidR="004C25C8" w:rsidRPr="00B0289F" w:rsidRDefault="004C25C8" w:rsidP="00A649A2">
            <w:pPr>
              <w:jc w:val="center"/>
              <w:rPr>
                <w:rFonts w:cs="Arial"/>
                <w:color w:val="000000"/>
                <w:szCs w:val="20"/>
              </w:rPr>
            </w:pPr>
            <w:r w:rsidRPr="00B0289F">
              <w:rPr>
                <w:rFonts w:cs="Arial"/>
                <w:color w:val="000000"/>
                <w:szCs w:val="20"/>
              </w:rPr>
              <w:t> </w:t>
            </w:r>
          </w:p>
        </w:tc>
      </w:tr>
      <w:tr w:rsidR="004C25C8" w:rsidRPr="00B0289F" w:rsidTr="00A649A2">
        <w:trPr>
          <w:trHeight w:val="285"/>
        </w:trPr>
        <w:tc>
          <w:tcPr>
            <w:tcW w:w="4800" w:type="dxa"/>
            <w:tcBorders>
              <w:top w:val="nil"/>
              <w:left w:val="single" w:sz="4" w:space="0" w:color="auto"/>
              <w:bottom w:val="single" w:sz="4" w:space="0" w:color="auto"/>
              <w:right w:val="single" w:sz="4" w:space="0" w:color="auto"/>
            </w:tcBorders>
            <w:shd w:val="clear" w:color="auto" w:fill="auto"/>
            <w:noWrap/>
            <w:vAlign w:val="center"/>
            <w:hideMark/>
          </w:tcPr>
          <w:p w:rsidR="004C25C8" w:rsidRPr="00B0289F" w:rsidRDefault="004C25C8" w:rsidP="00A649A2">
            <w:pPr>
              <w:rPr>
                <w:rFonts w:cs="Arial"/>
                <w:color w:val="000000"/>
                <w:szCs w:val="20"/>
              </w:rPr>
            </w:pPr>
            <w:r w:rsidRPr="00B0289F">
              <w:rPr>
                <w:rFonts w:cs="Arial"/>
                <w:color w:val="000000"/>
                <w:szCs w:val="20"/>
              </w:rPr>
              <w:t>Bobrek</w:t>
            </w:r>
          </w:p>
        </w:tc>
        <w:tc>
          <w:tcPr>
            <w:tcW w:w="1400" w:type="dxa"/>
            <w:tcBorders>
              <w:top w:val="nil"/>
              <w:left w:val="nil"/>
              <w:bottom w:val="single" w:sz="4" w:space="0" w:color="auto"/>
              <w:right w:val="single" w:sz="4" w:space="0" w:color="auto"/>
            </w:tcBorders>
            <w:shd w:val="clear" w:color="auto" w:fill="auto"/>
            <w:noWrap/>
            <w:vAlign w:val="center"/>
            <w:hideMark/>
          </w:tcPr>
          <w:p w:rsidR="004C25C8" w:rsidRPr="00B0289F" w:rsidRDefault="004C25C8" w:rsidP="00A649A2">
            <w:pPr>
              <w:jc w:val="center"/>
              <w:rPr>
                <w:rFonts w:cs="Arial"/>
                <w:color w:val="000000"/>
                <w:szCs w:val="20"/>
              </w:rPr>
            </w:pPr>
            <w:r w:rsidRPr="00B0289F">
              <w:rPr>
                <w:rFonts w:cs="Arial"/>
                <w:color w:val="000000"/>
                <w:szCs w:val="20"/>
              </w:rPr>
              <w:t>8</w:t>
            </w:r>
          </w:p>
        </w:tc>
        <w:tc>
          <w:tcPr>
            <w:tcW w:w="1400" w:type="dxa"/>
            <w:tcBorders>
              <w:top w:val="nil"/>
              <w:left w:val="nil"/>
              <w:bottom w:val="single" w:sz="4" w:space="0" w:color="auto"/>
              <w:right w:val="single" w:sz="4" w:space="0" w:color="auto"/>
            </w:tcBorders>
            <w:shd w:val="clear" w:color="auto" w:fill="auto"/>
            <w:noWrap/>
            <w:vAlign w:val="center"/>
            <w:hideMark/>
          </w:tcPr>
          <w:p w:rsidR="004C25C8" w:rsidRPr="00B0289F" w:rsidRDefault="004C25C8" w:rsidP="00A649A2">
            <w:pPr>
              <w:jc w:val="center"/>
              <w:rPr>
                <w:rFonts w:cs="Arial"/>
                <w:color w:val="000000"/>
                <w:szCs w:val="20"/>
              </w:rPr>
            </w:pPr>
            <w:r w:rsidRPr="00B0289F">
              <w:rPr>
                <w:rFonts w:cs="Arial"/>
                <w:color w:val="000000"/>
                <w:szCs w:val="20"/>
              </w:rPr>
              <w:t>49</w:t>
            </w:r>
          </w:p>
        </w:tc>
        <w:tc>
          <w:tcPr>
            <w:tcW w:w="1400" w:type="dxa"/>
            <w:tcBorders>
              <w:top w:val="nil"/>
              <w:left w:val="nil"/>
              <w:bottom w:val="single" w:sz="4" w:space="0" w:color="auto"/>
              <w:right w:val="single" w:sz="4" w:space="0" w:color="auto"/>
            </w:tcBorders>
            <w:shd w:val="clear" w:color="auto" w:fill="auto"/>
            <w:noWrap/>
            <w:vAlign w:val="center"/>
            <w:hideMark/>
          </w:tcPr>
          <w:p w:rsidR="004C25C8" w:rsidRPr="00B0289F" w:rsidRDefault="004C25C8" w:rsidP="00A649A2">
            <w:pPr>
              <w:jc w:val="center"/>
              <w:rPr>
                <w:rFonts w:cs="Arial"/>
                <w:color w:val="000000"/>
                <w:szCs w:val="20"/>
              </w:rPr>
            </w:pPr>
            <w:r w:rsidRPr="00B0289F">
              <w:rPr>
                <w:rFonts w:cs="Arial"/>
                <w:color w:val="000000"/>
                <w:szCs w:val="20"/>
              </w:rPr>
              <w:t>0,71%</w:t>
            </w:r>
          </w:p>
        </w:tc>
      </w:tr>
      <w:tr w:rsidR="004C25C8" w:rsidRPr="00B0289F" w:rsidTr="00A649A2">
        <w:trPr>
          <w:trHeight w:val="285"/>
        </w:trPr>
        <w:tc>
          <w:tcPr>
            <w:tcW w:w="4800" w:type="dxa"/>
            <w:tcBorders>
              <w:top w:val="nil"/>
              <w:left w:val="single" w:sz="4" w:space="0" w:color="auto"/>
              <w:bottom w:val="single" w:sz="4" w:space="0" w:color="auto"/>
              <w:right w:val="single" w:sz="4" w:space="0" w:color="auto"/>
            </w:tcBorders>
            <w:shd w:val="clear" w:color="auto" w:fill="auto"/>
            <w:noWrap/>
            <w:vAlign w:val="center"/>
            <w:hideMark/>
          </w:tcPr>
          <w:p w:rsidR="004C25C8" w:rsidRPr="00B0289F" w:rsidRDefault="004C25C8" w:rsidP="00A649A2">
            <w:pPr>
              <w:rPr>
                <w:rFonts w:cs="Arial"/>
                <w:color w:val="000000"/>
                <w:szCs w:val="20"/>
              </w:rPr>
            </w:pPr>
            <w:r w:rsidRPr="00B0289F">
              <w:rPr>
                <w:rFonts w:cs="Arial"/>
                <w:color w:val="000000"/>
                <w:szCs w:val="20"/>
              </w:rPr>
              <w:t>Śródmieście</w:t>
            </w:r>
          </w:p>
        </w:tc>
        <w:tc>
          <w:tcPr>
            <w:tcW w:w="1400" w:type="dxa"/>
            <w:tcBorders>
              <w:top w:val="nil"/>
              <w:left w:val="nil"/>
              <w:bottom w:val="single" w:sz="4" w:space="0" w:color="auto"/>
              <w:right w:val="single" w:sz="4" w:space="0" w:color="auto"/>
            </w:tcBorders>
            <w:shd w:val="clear" w:color="auto" w:fill="auto"/>
            <w:noWrap/>
            <w:vAlign w:val="center"/>
            <w:hideMark/>
          </w:tcPr>
          <w:p w:rsidR="004C25C8" w:rsidRPr="00B0289F" w:rsidRDefault="004C25C8" w:rsidP="00A649A2">
            <w:pPr>
              <w:jc w:val="center"/>
              <w:rPr>
                <w:rFonts w:cs="Arial"/>
                <w:color w:val="000000"/>
                <w:szCs w:val="20"/>
              </w:rPr>
            </w:pPr>
            <w:r w:rsidRPr="00B0289F">
              <w:rPr>
                <w:rFonts w:cs="Arial"/>
                <w:color w:val="000000"/>
                <w:szCs w:val="20"/>
              </w:rPr>
              <w:t>10</w:t>
            </w:r>
          </w:p>
        </w:tc>
        <w:tc>
          <w:tcPr>
            <w:tcW w:w="1400" w:type="dxa"/>
            <w:tcBorders>
              <w:top w:val="nil"/>
              <w:left w:val="nil"/>
              <w:bottom w:val="single" w:sz="4" w:space="0" w:color="auto"/>
              <w:right w:val="single" w:sz="4" w:space="0" w:color="auto"/>
            </w:tcBorders>
            <w:shd w:val="clear" w:color="auto" w:fill="auto"/>
            <w:noWrap/>
            <w:vAlign w:val="center"/>
            <w:hideMark/>
          </w:tcPr>
          <w:p w:rsidR="004C25C8" w:rsidRPr="00B0289F" w:rsidRDefault="004C25C8" w:rsidP="00A649A2">
            <w:pPr>
              <w:jc w:val="center"/>
              <w:rPr>
                <w:rFonts w:cs="Arial"/>
                <w:color w:val="000000"/>
                <w:szCs w:val="20"/>
              </w:rPr>
            </w:pPr>
            <w:r w:rsidRPr="00B0289F">
              <w:rPr>
                <w:rFonts w:cs="Arial"/>
                <w:color w:val="000000"/>
                <w:szCs w:val="20"/>
              </w:rPr>
              <w:t>90</w:t>
            </w:r>
          </w:p>
        </w:tc>
        <w:tc>
          <w:tcPr>
            <w:tcW w:w="1400" w:type="dxa"/>
            <w:tcBorders>
              <w:top w:val="nil"/>
              <w:left w:val="nil"/>
              <w:bottom w:val="single" w:sz="4" w:space="0" w:color="auto"/>
              <w:right w:val="single" w:sz="4" w:space="0" w:color="auto"/>
            </w:tcBorders>
            <w:shd w:val="clear" w:color="auto" w:fill="auto"/>
            <w:noWrap/>
            <w:vAlign w:val="center"/>
            <w:hideMark/>
          </w:tcPr>
          <w:p w:rsidR="004C25C8" w:rsidRPr="00B0289F" w:rsidRDefault="004C25C8" w:rsidP="00A649A2">
            <w:pPr>
              <w:jc w:val="center"/>
              <w:rPr>
                <w:rFonts w:cs="Arial"/>
                <w:color w:val="000000"/>
                <w:szCs w:val="20"/>
              </w:rPr>
            </w:pPr>
            <w:r w:rsidRPr="00B0289F">
              <w:rPr>
                <w:rFonts w:cs="Arial"/>
                <w:color w:val="000000"/>
                <w:szCs w:val="20"/>
              </w:rPr>
              <w:t>1,30%</w:t>
            </w:r>
          </w:p>
        </w:tc>
      </w:tr>
      <w:tr w:rsidR="004C25C8" w:rsidRPr="00B0289F" w:rsidTr="00A649A2">
        <w:trPr>
          <w:trHeight w:val="285"/>
        </w:trPr>
        <w:tc>
          <w:tcPr>
            <w:tcW w:w="4800" w:type="dxa"/>
            <w:tcBorders>
              <w:top w:val="nil"/>
              <w:left w:val="single" w:sz="4" w:space="0" w:color="auto"/>
              <w:bottom w:val="single" w:sz="4" w:space="0" w:color="auto"/>
              <w:right w:val="single" w:sz="4" w:space="0" w:color="auto"/>
            </w:tcBorders>
            <w:shd w:val="clear" w:color="auto" w:fill="auto"/>
            <w:noWrap/>
            <w:vAlign w:val="center"/>
            <w:hideMark/>
          </w:tcPr>
          <w:p w:rsidR="004C25C8" w:rsidRPr="00B0289F" w:rsidRDefault="004C25C8" w:rsidP="00A649A2">
            <w:pPr>
              <w:rPr>
                <w:rFonts w:cs="Arial"/>
                <w:color w:val="000000"/>
                <w:szCs w:val="20"/>
              </w:rPr>
            </w:pPr>
            <w:r w:rsidRPr="00B0289F">
              <w:rPr>
                <w:rFonts w:cs="Arial"/>
                <w:color w:val="000000"/>
                <w:szCs w:val="20"/>
              </w:rPr>
              <w:t>Śródmieście Zachód</w:t>
            </w:r>
          </w:p>
        </w:tc>
        <w:tc>
          <w:tcPr>
            <w:tcW w:w="1400" w:type="dxa"/>
            <w:tcBorders>
              <w:top w:val="nil"/>
              <w:left w:val="nil"/>
              <w:bottom w:val="single" w:sz="4" w:space="0" w:color="auto"/>
              <w:right w:val="single" w:sz="4" w:space="0" w:color="auto"/>
            </w:tcBorders>
            <w:shd w:val="clear" w:color="auto" w:fill="auto"/>
            <w:noWrap/>
            <w:vAlign w:val="center"/>
            <w:hideMark/>
          </w:tcPr>
          <w:p w:rsidR="004C25C8" w:rsidRPr="00B0289F" w:rsidRDefault="004C25C8" w:rsidP="00A649A2">
            <w:pPr>
              <w:jc w:val="center"/>
              <w:rPr>
                <w:rFonts w:cs="Arial"/>
                <w:color w:val="000000"/>
                <w:szCs w:val="20"/>
              </w:rPr>
            </w:pPr>
            <w:r w:rsidRPr="00B0289F">
              <w:rPr>
                <w:rFonts w:cs="Arial"/>
                <w:color w:val="000000"/>
                <w:szCs w:val="20"/>
              </w:rPr>
              <w:t>11</w:t>
            </w:r>
          </w:p>
        </w:tc>
        <w:tc>
          <w:tcPr>
            <w:tcW w:w="1400" w:type="dxa"/>
            <w:tcBorders>
              <w:top w:val="nil"/>
              <w:left w:val="nil"/>
              <w:bottom w:val="single" w:sz="4" w:space="0" w:color="auto"/>
              <w:right w:val="single" w:sz="4" w:space="0" w:color="auto"/>
            </w:tcBorders>
            <w:shd w:val="clear" w:color="auto" w:fill="auto"/>
            <w:noWrap/>
            <w:vAlign w:val="center"/>
            <w:hideMark/>
          </w:tcPr>
          <w:p w:rsidR="004C25C8" w:rsidRPr="00B0289F" w:rsidRDefault="004C25C8" w:rsidP="00A649A2">
            <w:pPr>
              <w:jc w:val="center"/>
              <w:rPr>
                <w:rFonts w:cs="Arial"/>
                <w:color w:val="000000"/>
                <w:szCs w:val="20"/>
              </w:rPr>
            </w:pPr>
            <w:r w:rsidRPr="00B0289F">
              <w:rPr>
                <w:rFonts w:cs="Arial"/>
                <w:color w:val="000000"/>
                <w:szCs w:val="20"/>
              </w:rPr>
              <w:t>61</w:t>
            </w:r>
          </w:p>
        </w:tc>
        <w:tc>
          <w:tcPr>
            <w:tcW w:w="1400" w:type="dxa"/>
            <w:tcBorders>
              <w:top w:val="nil"/>
              <w:left w:val="nil"/>
              <w:bottom w:val="single" w:sz="4" w:space="0" w:color="auto"/>
              <w:right w:val="single" w:sz="4" w:space="0" w:color="auto"/>
            </w:tcBorders>
            <w:shd w:val="clear" w:color="auto" w:fill="auto"/>
            <w:noWrap/>
            <w:vAlign w:val="center"/>
            <w:hideMark/>
          </w:tcPr>
          <w:p w:rsidR="004C25C8" w:rsidRPr="00B0289F" w:rsidRDefault="004C25C8" w:rsidP="00A649A2">
            <w:pPr>
              <w:jc w:val="center"/>
              <w:rPr>
                <w:rFonts w:cs="Arial"/>
                <w:color w:val="000000"/>
                <w:szCs w:val="20"/>
              </w:rPr>
            </w:pPr>
            <w:r w:rsidRPr="00B0289F">
              <w:rPr>
                <w:rFonts w:cs="Arial"/>
                <w:color w:val="000000"/>
                <w:szCs w:val="20"/>
              </w:rPr>
              <w:t>0,88%</w:t>
            </w:r>
          </w:p>
        </w:tc>
      </w:tr>
      <w:tr w:rsidR="004C25C8" w:rsidRPr="00B0289F" w:rsidTr="00A649A2">
        <w:trPr>
          <w:trHeight w:val="285"/>
        </w:trPr>
        <w:tc>
          <w:tcPr>
            <w:tcW w:w="4800" w:type="dxa"/>
            <w:tcBorders>
              <w:top w:val="nil"/>
              <w:left w:val="single" w:sz="4" w:space="0" w:color="auto"/>
              <w:bottom w:val="single" w:sz="4" w:space="0" w:color="auto"/>
              <w:right w:val="single" w:sz="4" w:space="0" w:color="auto"/>
            </w:tcBorders>
            <w:shd w:val="clear" w:color="auto" w:fill="auto"/>
            <w:noWrap/>
            <w:vAlign w:val="center"/>
            <w:hideMark/>
          </w:tcPr>
          <w:p w:rsidR="004C25C8" w:rsidRPr="00B0289F" w:rsidRDefault="004C25C8" w:rsidP="00A649A2">
            <w:pPr>
              <w:rPr>
                <w:rFonts w:cs="Arial"/>
                <w:color w:val="000000"/>
                <w:szCs w:val="20"/>
              </w:rPr>
            </w:pPr>
            <w:r w:rsidRPr="00B0289F">
              <w:rPr>
                <w:rFonts w:cs="Arial"/>
                <w:color w:val="000000"/>
                <w:szCs w:val="20"/>
              </w:rPr>
              <w:t>Rozbark</w:t>
            </w:r>
          </w:p>
        </w:tc>
        <w:tc>
          <w:tcPr>
            <w:tcW w:w="1400" w:type="dxa"/>
            <w:tcBorders>
              <w:top w:val="nil"/>
              <w:left w:val="nil"/>
              <w:bottom w:val="single" w:sz="4" w:space="0" w:color="auto"/>
              <w:right w:val="single" w:sz="4" w:space="0" w:color="auto"/>
            </w:tcBorders>
            <w:shd w:val="clear" w:color="auto" w:fill="auto"/>
            <w:noWrap/>
            <w:vAlign w:val="center"/>
            <w:hideMark/>
          </w:tcPr>
          <w:p w:rsidR="004C25C8" w:rsidRPr="00B0289F" w:rsidRDefault="004C25C8" w:rsidP="00A649A2">
            <w:pPr>
              <w:jc w:val="center"/>
              <w:rPr>
                <w:rFonts w:cs="Arial"/>
                <w:color w:val="000000"/>
                <w:szCs w:val="20"/>
              </w:rPr>
            </w:pPr>
            <w:r w:rsidRPr="00B0289F">
              <w:rPr>
                <w:rFonts w:cs="Arial"/>
                <w:color w:val="000000"/>
                <w:szCs w:val="20"/>
              </w:rPr>
              <w:t>12</w:t>
            </w:r>
          </w:p>
        </w:tc>
        <w:tc>
          <w:tcPr>
            <w:tcW w:w="1400" w:type="dxa"/>
            <w:tcBorders>
              <w:top w:val="nil"/>
              <w:left w:val="nil"/>
              <w:bottom w:val="single" w:sz="4" w:space="0" w:color="auto"/>
              <w:right w:val="single" w:sz="4" w:space="0" w:color="auto"/>
            </w:tcBorders>
            <w:shd w:val="clear" w:color="auto" w:fill="auto"/>
            <w:noWrap/>
            <w:vAlign w:val="center"/>
            <w:hideMark/>
          </w:tcPr>
          <w:p w:rsidR="004C25C8" w:rsidRPr="00B0289F" w:rsidRDefault="004C25C8" w:rsidP="00A649A2">
            <w:pPr>
              <w:jc w:val="center"/>
              <w:rPr>
                <w:rFonts w:cs="Arial"/>
                <w:color w:val="000000"/>
                <w:szCs w:val="20"/>
              </w:rPr>
            </w:pPr>
            <w:r w:rsidRPr="00B0289F">
              <w:rPr>
                <w:rFonts w:cs="Arial"/>
                <w:color w:val="000000"/>
                <w:szCs w:val="20"/>
              </w:rPr>
              <w:t>76</w:t>
            </w:r>
          </w:p>
        </w:tc>
        <w:tc>
          <w:tcPr>
            <w:tcW w:w="1400" w:type="dxa"/>
            <w:tcBorders>
              <w:top w:val="nil"/>
              <w:left w:val="nil"/>
              <w:bottom w:val="single" w:sz="4" w:space="0" w:color="auto"/>
              <w:right w:val="single" w:sz="4" w:space="0" w:color="auto"/>
            </w:tcBorders>
            <w:shd w:val="clear" w:color="auto" w:fill="auto"/>
            <w:noWrap/>
            <w:vAlign w:val="center"/>
            <w:hideMark/>
          </w:tcPr>
          <w:p w:rsidR="004C25C8" w:rsidRPr="00B0289F" w:rsidRDefault="004C25C8" w:rsidP="00A649A2">
            <w:pPr>
              <w:jc w:val="center"/>
              <w:rPr>
                <w:rFonts w:cs="Arial"/>
                <w:color w:val="000000"/>
                <w:szCs w:val="20"/>
              </w:rPr>
            </w:pPr>
            <w:r w:rsidRPr="00B0289F">
              <w:rPr>
                <w:rFonts w:cs="Arial"/>
                <w:color w:val="000000"/>
                <w:szCs w:val="20"/>
              </w:rPr>
              <w:t>1,09%</w:t>
            </w:r>
          </w:p>
        </w:tc>
      </w:tr>
      <w:tr w:rsidR="004C25C8" w:rsidRPr="00B0289F" w:rsidTr="00A649A2">
        <w:trPr>
          <w:trHeight w:val="285"/>
        </w:trPr>
        <w:tc>
          <w:tcPr>
            <w:tcW w:w="4800" w:type="dxa"/>
            <w:tcBorders>
              <w:top w:val="nil"/>
              <w:left w:val="single" w:sz="4" w:space="0" w:color="auto"/>
              <w:bottom w:val="single" w:sz="4" w:space="0" w:color="auto"/>
              <w:right w:val="single" w:sz="4" w:space="0" w:color="auto"/>
            </w:tcBorders>
            <w:shd w:val="clear" w:color="auto" w:fill="auto"/>
            <w:noWrap/>
            <w:vAlign w:val="center"/>
            <w:hideMark/>
          </w:tcPr>
          <w:p w:rsidR="004C25C8" w:rsidRPr="00B0289F" w:rsidRDefault="004C25C8" w:rsidP="00A649A2">
            <w:pPr>
              <w:rPr>
                <w:rFonts w:cs="Arial"/>
                <w:color w:val="000000"/>
                <w:szCs w:val="20"/>
              </w:rPr>
            </w:pPr>
            <w:r w:rsidRPr="00B0289F">
              <w:rPr>
                <w:rFonts w:cs="Arial"/>
                <w:color w:val="000000"/>
                <w:szCs w:val="20"/>
              </w:rPr>
              <w:t>Śródmieście Północ</w:t>
            </w:r>
          </w:p>
        </w:tc>
        <w:tc>
          <w:tcPr>
            <w:tcW w:w="1400" w:type="dxa"/>
            <w:tcBorders>
              <w:top w:val="nil"/>
              <w:left w:val="nil"/>
              <w:bottom w:val="single" w:sz="4" w:space="0" w:color="auto"/>
              <w:right w:val="single" w:sz="4" w:space="0" w:color="auto"/>
            </w:tcBorders>
            <w:shd w:val="clear" w:color="auto" w:fill="auto"/>
            <w:noWrap/>
            <w:vAlign w:val="center"/>
            <w:hideMark/>
          </w:tcPr>
          <w:p w:rsidR="004C25C8" w:rsidRPr="00B0289F" w:rsidRDefault="004C25C8" w:rsidP="00A649A2">
            <w:pPr>
              <w:jc w:val="center"/>
              <w:rPr>
                <w:rFonts w:cs="Arial"/>
                <w:color w:val="000000"/>
                <w:szCs w:val="20"/>
              </w:rPr>
            </w:pPr>
            <w:r w:rsidRPr="00B0289F">
              <w:rPr>
                <w:rFonts w:cs="Arial"/>
                <w:color w:val="000000"/>
                <w:szCs w:val="20"/>
              </w:rPr>
              <w:t>13</w:t>
            </w:r>
          </w:p>
        </w:tc>
        <w:tc>
          <w:tcPr>
            <w:tcW w:w="1400" w:type="dxa"/>
            <w:tcBorders>
              <w:top w:val="nil"/>
              <w:left w:val="nil"/>
              <w:bottom w:val="single" w:sz="4" w:space="0" w:color="auto"/>
              <w:right w:val="single" w:sz="4" w:space="0" w:color="auto"/>
            </w:tcBorders>
            <w:shd w:val="clear" w:color="auto" w:fill="auto"/>
            <w:noWrap/>
            <w:vAlign w:val="center"/>
            <w:hideMark/>
          </w:tcPr>
          <w:p w:rsidR="004C25C8" w:rsidRPr="00B0289F" w:rsidRDefault="004C25C8" w:rsidP="00A649A2">
            <w:pPr>
              <w:jc w:val="center"/>
              <w:rPr>
                <w:rFonts w:cs="Arial"/>
                <w:color w:val="000000"/>
                <w:szCs w:val="20"/>
              </w:rPr>
            </w:pPr>
            <w:r w:rsidRPr="00B0289F">
              <w:rPr>
                <w:rFonts w:cs="Arial"/>
                <w:color w:val="000000"/>
                <w:szCs w:val="20"/>
              </w:rPr>
              <w:t>133</w:t>
            </w:r>
          </w:p>
        </w:tc>
        <w:tc>
          <w:tcPr>
            <w:tcW w:w="1400" w:type="dxa"/>
            <w:tcBorders>
              <w:top w:val="nil"/>
              <w:left w:val="nil"/>
              <w:bottom w:val="single" w:sz="4" w:space="0" w:color="auto"/>
              <w:right w:val="single" w:sz="4" w:space="0" w:color="auto"/>
            </w:tcBorders>
            <w:shd w:val="clear" w:color="auto" w:fill="auto"/>
            <w:noWrap/>
            <w:vAlign w:val="center"/>
            <w:hideMark/>
          </w:tcPr>
          <w:p w:rsidR="004C25C8" w:rsidRPr="00B0289F" w:rsidRDefault="004C25C8" w:rsidP="00A649A2">
            <w:pPr>
              <w:jc w:val="center"/>
              <w:rPr>
                <w:rFonts w:cs="Arial"/>
                <w:color w:val="000000"/>
                <w:szCs w:val="20"/>
              </w:rPr>
            </w:pPr>
            <w:r w:rsidRPr="00B0289F">
              <w:rPr>
                <w:rFonts w:cs="Arial"/>
                <w:color w:val="000000"/>
                <w:szCs w:val="20"/>
              </w:rPr>
              <w:t>1,92%</w:t>
            </w:r>
          </w:p>
        </w:tc>
      </w:tr>
      <w:tr w:rsidR="004C25C8" w:rsidRPr="00B0289F" w:rsidTr="00A649A2">
        <w:trPr>
          <w:trHeight w:val="285"/>
        </w:trPr>
        <w:tc>
          <w:tcPr>
            <w:tcW w:w="4800" w:type="dxa"/>
            <w:tcBorders>
              <w:top w:val="nil"/>
              <w:left w:val="single" w:sz="4" w:space="0" w:color="auto"/>
              <w:bottom w:val="single" w:sz="4" w:space="0" w:color="auto"/>
              <w:right w:val="single" w:sz="4" w:space="0" w:color="auto"/>
            </w:tcBorders>
            <w:shd w:val="clear" w:color="auto" w:fill="auto"/>
            <w:noWrap/>
            <w:vAlign w:val="center"/>
            <w:hideMark/>
          </w:tcPr>
          <w:p w:rsidR="004C25C8" w:rsidRPr="00B0289F" w:rsidRDefault="004C25C8" w:rsidP="00A649A2">
            <w:pPr>
              <w:rPr>
                <w:rFonts w:cs="Arial"/>
                <w:color w:val="000000"/>
                <w:szCs w:val="20"/>
              </w:rPr>
            </w:pPr>
            <w:r w:rsidRPr="00B0289F">
              <w:rPr>
                <w:rFonts w:cs="Arial"/>
                <w:color w:val="000000"/>
                <w:szCs w:val="20"/>
              </w:rPr>
              <w:t>Kolonia Zgorzelec</w:t>
            </w:r>
          </w:p>
        </w:tc>
        <w:tc>
          <w:tcPr>
            <w:tcW w:w="1400" w:type="dxa"/>
            <w:tcBorders>
              <w:top w:val="nil"/>
              <w:left w:val="nil"/>
              <w:bottom w:val="single" w:sz="4" w:space="0" w:color="auto"/>
              <w:right w:val="single" w:sz="4" w:space="0" w:color="auto"/>
            </w:tcBorders>
            <w:shd w:val="clear" w:color="auto" w:fill="auto"/>
            <w:noWrap/>
            <w:vAlign w:val="center"/>
            <w:hideMark/>
          </w:tcPr>
          <w:p w:rsidR="004C25C8" w:rsidRPr="00B0289F" w:rsidRDefault="004C25C8" w:rsidP="00A649A2">
            <w:pPr>
              <w:jc w:val="center"/>
              <w:rPr>
                <w:rFonts w:cs="Arial"/>
                <w:color w:val="000000"/>
                <w:szCs w:val="20"/>
              </w:rPr>
            </w:pPr>
            <w:r w:rsidRPr="00B0289F">
              <w:rPr>
                <w:rFonts w:cs="Arial"/>
                <w:color w:val="000000"/>
                <w:szCs w:val="20"/>
              </w:rPr>
              <w:t>19</w:t>
            </w:r>
          </w:p>
        </w:tc>
        <w:tc>
          <w:tcPr>
            <w:tcW w:w="1400" w:type="dxa"/>
            <w:tcBorders>
              <w:top w:val="nil"/>
              <w:left w:val="nil"/>
              <w:bottom w:val="single" w:sz="4" w:space="0" w:color="auto"/>
              <w:right w:val="single" w:sz="4" w:space="0" w:color="auto"/>
            </w:tcBorders>
            <w:shd w:val="clear" w:color="auto" w:fill="auto"/>
            <w:noWrap/>
            <w:vAlign w:val="center"/>
            <w:hideMark/>
          </w:tcPr>
          <w:p w:rsidR="004C25C8" w:rsidRPr="00B0289F" w:rsidRDefault="004C25C8" w:rsidP="00A649A2">
            <w:pPr>
              <w:jc w:val="center"/>
              <w:rPr>
                <w:rFonts w:cs="Arial"/>
                <w:color w:val="000000"/>
                <w:szCs w:val="20"/>
              </w:rPr>
            </w:pPr>
            <w:r w:rsidRPr="00B0289F">
              <w:rPr>
                <w:rFonts w:cs="Arial"/>
                <w:color w:val="000000"/>
                <w:szCs w:val="20"/>
              </w:rPr>
              <w:t>7</w:t>
            </w:r>
          </w:p>
        </w:tc>
        <w:tc>
          <w:tcPr>
            <w:tcW w:w="1400" w:type="dxa"/>
            <w:tcBorders>
              <w:top w:val="nil"/>
              <w:left w:val="nil"/>
              <w:bottom w:val="single" w:sz="4" w:space="0" w:color="auto"/>
              <w:right w:val="single" w:sz="4" w:space="0" w:color="auto"/>
            </w:tcBorders>
            <w:shd w:val="clear" w:color="auto" w:fill="auto"/>
            <w:noWrap/>
            <w:vAlign w:val="center"/>
            <w:hideMark/>
          </w:tcPr>
          <w:p w:rsidR="004C25C8" w:rsidRPr="00B0289F" w:rsidRDefault="004C25C8" w:rsidP="00A649A2">
            <w:pPr>
              <w:jc w:val="center"/>
              <w:rPr>
                <w:rFonts w:cs="Arial"/>
                <w:color w:val="000000"/>
                <w:szCs w:val="20"/>
              </w:rPr>
            </w:pPr>
            <w:r w:rsidRPr="00B0289F">
              <w:rPr>
                <w:rFonts w:cs="Arial"/>
                <w:color w:val="000000"/>
                <w:szCs w:val="20"/>
              </w:rPr>
              <w:t>0,10%</w:t>
            </w:r>
          </w:p>
        </w:tc>
      </w:tr>
      <w:tr w:rsidR="004C25C8" w:rsidRPr="00B0289F" w:rsidTr="00484DB4">
        <w:trPr>
          <w:trHeight w:val="285"/>
        </w:trPr>
        <w:tc>
          <w:tcPr>
            <w:tcW w:w="4800" w:type="dxa"/>
            <w:tcBorders>
              <w:top w:val="nil"/>
              <w:left w:val="single" w:sz="4" w:space="0" w:color="auto"/>
              <w:bottom w:val="single" w:sz="4" w:space="0" w:color="auto"/>
              <w:right w:val="single" w:sz="4" w:space="0" w:color="auto"/>
            </w:tcBorders>
            <w:shd w:val="clear" w:color="auto" w:fill="99CCFF"/>
            <w:noWrap/>
            <w:vAlign w:val="center"/>
            <w:hideMark/>
          </w:tcPr>
          <w:p w:rsidR="004C25C8" w:rsidRPr="00B0289F" w:rsidRDefault="004C25C8" w:rsidP="00A649A2">
            <w:pPr>
              <w:jc w:val="right"/>
              <w:rPr>
                <w:rFonts w:cs="Arial"/>
                <w:b/>
                <w:bCs/>
                <w:color w:val="000000"/>
                <w:szCs w:val="20"/>
              </w:rPr>
            </w:pPr>
            <w:r w:rsidRPr="00B0289F">
              <w:rPr>
                <w:rFonts w:cs="Arial"/>
                <w:b/>
                <w:bCs/>
                <w:color w:val="000000"/>
                <w:szCs w:val="20"/>
              </w:rPr>
              <w:t>RAZEM OBSZARY ZAMIESZKAŁE</w:t>
            </w:r>
          </w:p>
        </w:tc>
        <w:tc>
          <w:tcPr>
            <w:tcW w:w="1400" w:type="dxa"/>
            <w:tcBorders>
              <w:top w:val="nil"/>
              <w:left w:val="nil"/>
              <w:bottom w:val="single" w:sz="4" w:space="0" w:color="auto"/>
              <w:right w:val="single" w:sz="4" w:space="0" w:color="auto"/>
            </w:tcBorders>
            <w:shd w:val="clear" w:color="auto" w:fill="99CCFF"/>
            <w:noWrap/>
            <w:vAlign w:val="center"/>
            <w:hideMark/>
          </w:tcPr>
          <w:p w:rsidR="004C25C8" w:rsidRPr="00B0289F" w:rsidRDefault="004C25C8" w:rsidP="00A649A2">
            <w:pPr>
              <w:jc w:val="center"/>
              <w:rPr>
                <w:rFonts w:cs="Arial"/>
                <w:b/>
                <w:bCs/>
                <w:color w:val="000000"/>
                <w:szCs w:val="20"/>
              </w:rPr>
            </w:pPr>
            <w:r w:rsidRPr="00B0289F">
              <w:rPr>
                <w:rFonts w:cs="Arial"/>
                <w:b/>
                <w:bCs/>
                <w:color w:val="000000"/>
                <w:szCs w:val="20"/>
              </w:rPr>
              <w:t> </w:t>
            </w:r>
          </w:p>
        </w:tc>
        <w:tc>
          <w:tcPr>
            <w:tcW w:w="1400" w:type="dxa"/>
            <w:tcBorders>
              <w:top w:val="nil"/>
              <w:left w:val="nil"/>
              <w:bottom w:val="single" w:sz="4" w:space="0" w:color="auto"/>
              <w:right w:val="single" w:sz="4" w:space="0" w:color="auto"/>
            </w:tcBorders>
            <w:shd w:val="clear" w:color="auto" w:fill="99CCFF"/>
            <w:noWrap/>
            <w:vAlign w:val="center"/>
            <w:hideMark/>
          </w:tcPr>
          <w:p w:rsidR="004C25C8" w:rsidRPr="00B0289F" w:rsidRDefault="004C25C8" w:rsidP="00A649A2">
            <w:pPr>
              <w:jc w:val="center"/>
              <w:rPr>
                <w:rFonts w:cs="Arial"/>
                <w:b/>
                <w:bCs/>
                <w:color w:val="000000"/>
                <w:szCs w:val="20"/>
              </w:rPr>
            </w:pPr>
            <w:r w:rsidRPr="00B0289F">
              <w:rPr>
                <w:rFonts w:cs="Arial"/>
                <w:b/>
                <w:bCs/>
                <w:color w:val="000000"/>
                <w:szCs w:val="20"/>
              </w:rPr>
              <w:t>416</w:t>
            </w:r>
          </w:p>
        </w:tc>
        <w:tc>
          <w:tcPr>
            <w:tcW w:w="1400" w:type="dxa"/>
            <w:tcBorders>
              <w:top w:val="nil"/>
              <w:left w:val="nil"/>
              <w:bottom w:val="single" w:sz="4" w:space="0" w:color="auto"/>
              <w:right w:val="single" w:sz="4" w:space="0" w:color="auto"/>
            </w:tcBorders>
            <w:shd w:val="clear" w:color="auto" w:fill="99CCFF"/>
            <w:noWrap/>
            <w:vAlign w:val="center"/>
            <w:hideMark/>
          </w:tcPr>
          <w:p w:rsidR="004C25C8" w:rsidRPr="00662DAF" w:rsidRDefault="004C25C8" w:rsidP="00A649A2">
            <w:pPr>
              <w:jc w:val="center"/>
              <w:rPr>
                <w:rFonts w:cs="Arial"/>
                <w:b/>
                <w:color w:val="000000"/>
                <w:szCs w:val="20"/>
              </w:rPr>
            </w:pPr>
            <w:r w:rsidRPr="00662DAF">
              <w:rPr>
                <w:rFonts w:cs="Arial"/>
                <w:b/>
                <w:color w:val="000000"/>
                <w:szCs w:val="20"/>
              </w:rPr>
              <w:t>6,00%</w:t>
            </w:r>
          </w:p>
        </w:tc>
      </w:tr>
      <w:tr w:rsidR="004C25C8" w:rsidRPr="00B0289F" w:rsidTr="00887441">
        <w:trPr>
          <w:trHeight w:val="121"/>
        </w:trPr>
        <w:tc>
          <w:tcPr>
            <w:tcW w:w="4800" w:type="dxa"/>
            <w:tcBorders>
              <w:top w:val="nil"/>
              <w:left w:val="single" w:sz="4" w:space="0" w:color="auto"/>
              <w:bottom w:val="single" w:sz="4" w:space="0" w:color="auto"/>
              <w:right w:val="single" w:sz="4" w:space="0" w:color="auto"/>
            </w:tcBorders>
            <w:shd w:val="clear" w:color="auto" w:fill="auto"/>
            <w:noWrap/>
            <w:vAlign w:val="center"/>
            <w:hideMark/>
          </w:tcPr>
          <w:p w:rsidR="004C25C8" w:rsidRPr="00887441" w:rsidRDefault="004C25C8" w:rsidP="00A649A2">
            <w:pPr>
              <w:jc w:val="right"/>
              <w:rPr>
                <w:rFonts w:cs="Arial"/>
                <w:i/>
                <w:iCs/>
                <w:color w:val="000000"/>
                <w:sz w:val="8"/>
                <w:szCs w:val="20"/>
              </w:rPr>
            </w:pPr>
            <w:r w:rsidRPr="00887441">
              <w:rPr>
                <w:rFonts w:cs="Arial"/>
                <w:i/>
                <w:iCs/>
                <w:color w:val="000000"/>
                <w:sz w:val="8"/>
                <w:szCs w:val="20"/>
              </w:rPr>
              <w:t> </w:t>
            </w:r>
          </w:p>
        </w:tc>
        <w:tc>
          <w:tcPr>
            <w:tcW w:w="1400" w:type="dxa"/>
            <w:tcBorders>
              <w:top w:val="nil"/>
              <w:left w:val="nil"/>
              <w:bottom w:val="single" w:sz="4" w:space="0" w:color="auto"/>
              <w:right w:val="single" w:sz="4" w:space="0" w:color="auto"/>
            </w:tcBorders>
            <w:shd w:val="clear" w:color="auto" w:fill="auto"/>
            <w:noWrap/>
            <w:vAlign w:val="center"/>
            <w:hideMark/>
          </w:tcPr>
          <w:p w:rsidR="004C25C8" w:rsidRPr="00887441" w:rsidRDefault="004C25C8" w:rsidP="00A649A2">
            <w:pPr>
              <w:jc w:val="center"/>
              <w:rPr>
                <w:rFonts w:cs="Arial"/>
                <w:color w:val="000000"/>
                <w:sz w:val="8"/>
                <w:szCs w:val="20"/>
              </w:rPr>
            </w:pPr>
            <w:r w:rsidRPr="00887441">
              <w:rPr>
                <w:rFonts w:cs="Arial"/>
                <w:color w:val="000000"/>
                <w:sz w:val="8"/>
                <w:szCs w:val="20"/>
              </w:rPr>
              <w:t> </w:t>
            </w:r>
          </w:p>
        </w:tc>
        <w:tc>
          <w:tcPr>
            <w:tcW w:w="1400" w:type="dxa"/>
            <w:tcBorders>
              <w:top w:val="nil"/>
              <w:left w:val="nil"/>
              <w:bottom w:val="single" w:sz="4" w:space="0" w:color="auto"/>
              <w:right w:val="single" w:sz="4" w:space="0" w:color="auto"/>
            </w:tcBorders>
            <w:shd w:val="clear" w:color="auto" w:fill="auto"/>
            <w:noWrap/>
            <w:vAlign w:val="center"/>
            <w:hideMark/>
          </w:tcPr>
          <w:p w:rsidR="004C25C8" w:rsidRPr="00887441" w:rsidRDefault="004C25C8" w:rsidP="00A649A2">
            <w:pPr>
              <w:jc w:val="center"/>
              <w:rPr>
                <w:rFonts w:cs="Arial"/>
                <w:color w:val="000000"/>
                <w:sz w:val="8"/>
                <w:szCs w:val="20"/>
              </w:rPr>
            </w:pPr>
            <w:r w:rsidRPr="00887441">
              <w:rPr>
                <w:rFonts w:cs="Arial"/>
                <w:color w:val="000000"/>
                <w:sz w:val="8"/>
                <w:szCs w:val="20"/>
              </w:rPr>
              <w:t> </w:t>
            </w:r>
          </w:p>
        </w:tc>
        <w:tc>
          <w:tcPr>
            <w:tcW w:w="1400" w:type="dxa"/>
            <w:tcBorders>
              <w:top w:val="nil"/>
              <w:left w:val="nil"/>
              <w:bottom w:val="single" w:sz="4" w:space="0" w:color="auto"/>
              <w:right w:val="single" w:sz="4" w:space="0" w:color="auto"/>
            </w:tcBorders>
            <w:shd w:val="clear" w:color="auto" w:fill="auto"/>
            <w:noWrap/>
            <w:vAlign w:val="center"/>
            <w:hideMark/>
          </w:tcPr>
          <w:p w:rsidR="004C25C8" w:rsidRPr="00887441" w:rsidRDefault="004C25C8" w:rsidP="00A649A2">
            <w:pPr>
              <w:jc w:val="center"/>
              <w:rPr>
                <w:rFonts w:cs="Arial"/>
                <w:color w:val="000000"/>
                <w:sz w:val="8"/>
                <w:szCs w:val="20"/>
              </w:rPr>
            </w:pPr>
            <w:r w:rsidRPr="00887441">
              <w:rPr>
                <w:rFonts w:cs="Arial"/>
                <w:color w:val="000000"/>
                <w:sz w:val="8"/>
                <w:szCs w:val="20"/>
              </w:rPr>
              <w:t> </w:t>
            </w:r>
          </w:p>
        </w:tc>
      </w:tr>
      <w:tr w:rsidR="004C25C8" w:rsidRPr="00B0289F" w:rsidTr="00165F6F">
        <w:trPr>
          <w:trHeight w:val="285"/>
        </w:trPr>
        <w:tc>
          <w:tcPr>
            <w:tcW w:w="4800" w:type="dxa"/>
            <w:tcBorders>
              <w:top w:val="nil"/>
              <w:left w:val="single" w:sz="4" w:space="0" w:color="auto"/>
              <w:bottom w:val="single" w:sz="4" w:space="0" w:color="auto"/>
              <w:right w:val="single" w:sz="4" w:space="0" w:color="auto"/>
            </w:tcBorders>
            <w:shd w:val="clear" w:color="auto" w:fill="DDD9C3" w:themeFill="background2" w:themeFillShade="E6"/>
            <w:noWrap/>
            <w:vAlign w:val="center"/>
            <w:hideMark/>
          </w:tcPr>
          <w:p w:rsidR="004C25C8" w:rsidRPr="00B0289F" w:rsidRDefault="004C25C8" w:rsidP="00A649A2">
            <w:pPr>
              <w:rPr>
                <w:rFonts w:cs="Arial"/>
                <w:b/>
                <w:bCs/>
                <w:i/>
                <w:color w:val="000000"/>
                <w:szCs w:val="20"/>
              </w:rPr>
            </w:pPr>
            <w:r w:rsidRPr="00B0289F">
              <w:rPr>
                <w:rFonts w:cs="Arial"/>
                <w:b/>
                <w:bCs/>
                <w:i/>
                <w:color w:val="000000"/>
                <w:szCs w:val="20"/>
              </w:rPr>
              <w:t>OBSZARY POPRZEMYSŁOWE</w:t>
            </w:r>
          </w:p>
        </w:tc>
        <w:tc>
          <w:tcPr>
            <w:tcW w:w="1400" w:type="dxa"/>
            <w:tcBorders>
              <w:top w:val="nil"/>
              <w:left w:val="nil"/>
              <w:bottom w:val="single" w:sz="4" w:space="0" w:color="auto"/>
              <w:right w:val="single" w:sz="4" w:space="0" w:color="auto"/>
            </w:tcBorders>
            <w:shd w:val="clear" w:color="auto" w:fill="DDD9C3" w:themeFill="background2" w:themeFillShade="E6"/>
            <w:noWrap/>
            <w:vAlign w:val="center"/>
            <w:hideMark/>
          </w:tcPr>
          <w:p w:rsidR="004C25C8" w:rsidRPr="00B0289F" w:rsidRDefault="004C25C8" w:rsidP="00A649A2">
            <w:pPr>
              <w:rPr>
                <w:rFonts w:cs="Arial"/>
                <w:color w:val="000000"/>
                <w:szCs w:val="20"/>
              </w:rPr>
            </w:pPr>
            <w:r w:rsidRPr="00B0289F">
              <w:rPr>
                <w:rFonts w:cs="Arial"/>
                <w:color w:val="000000"/>
                <w:szCs w:val="20"/>
              </w:rPr>
              <w:t> </w:t>
            </w:r>
          </w:p>
        </w:tc>
        <w:tc>
          <w:tcPr>
            <w:tcW w:w="1400" w:type="dxa"/>
            <w:tcBorders>
              <w:top w:val="nil"/>
              <w:left w:val="nil"/>
              <w:bottom w:val="single" w:sz="4" w:space="0" w:color="auto"/>
              <w:right w:val="single" w:sz="4" w:space="0" w:color="auto"/>
            </w:tcBorders>
            <w:shd w:val="clear" w:color="auto" w:fill="DDD9C3" w:themeFill="background2" w:themeFillShade="E6"/>
            <w:noWrap/>
            <w:vAlign w:val="center"/>
            <w:hideMark/>
          </w:tcPr>
          <w:p w:rsidR="004C25C8" w:rsidRPr="00B0289F" w:rsidRDefault="004C25C8" w:rsidP="00A649A2">
            <w:pPr>
              <w:jc w:val="center"/>
              <w:rPr>
                <w:rFonts w:cs="Arial"/>
                <w:color w:val="000000"/>
                <w:szCs w:val="20"/>
              </w:rPr>
            </w:pPr>
            <w:r w:rsidRPr="00B0289F">
              <w:rPr>
                <w:rFonts w:cs="Arial"/>
                <w:color w:val="000000"/>
                <w:szCs w:val="20"/>
              </w:rPr>
              <w:t> </w:t>
            </w:r>
          </w:p>
        </w:tc>
        <w:tc>
          <w:tcPr>
            <w:tcW w:w="1400" w:type="dxa"/>
            <w:tcBorders>
              <w:top w:val="nil"/>
              <w:left w:val="nil"/>
              <w:bottom w:val="single" w:sz="4" w:space="0" w:color="auto"/>
              <w:right w:val="single" w:sz="4" w:space="0" w:color="auto"/>
            </w:tcBorders>
            <w:shd w:val="clear" w:color="auto" w:fill="DDD9C3" w:themeFill="background2" w:themeFillShade="E6"/>
            <w:noWrap/>
            <w:vAlign w:val="center"/>
            <w:hideMark/>
          </w:tcPr>
          <w:p w:rsidR="004C25C8" w:rsidRPr="00B0289F" w:rsidRDefault="004C25C8" w:rsidP="00A649A2">
            <w:pPr>
              <w:jc w:val="center"/>
              <w:rPr>
                <w:rFonts w:cs="Arial"/>
                <w:color w:val="000000"/>
                <w:szCs w:val="20"/>
              </w:rPr>
            </w:pPr>
            <w:r w:rsidRPr="00B0289F">
              <w:rPr>
                <w:rFonts w:cs="Arial"/>
                <w:color w:val="000000"/>
                <w:szCs w:val="20"/>
              </w:rPr>
              <w:t> </w:t>
            </w:r>
          </w:p>
        </w:tc>
      </w:tr>
      <w:tr w:rsidR="004C25C8" w:rsidRPr="00B0289F" w:rsidTr="00A649A2">
        <w:trPr>
          <w:trHeight w:val="285"/>
        </w:trPr>
        <w:tc>
          <w:tcPr>
            <w:tcW w:w="4800" w:type="dxa"/>
            <w:tcBorders>
              <w:top w:val="nil"/>
              <w:left w:val="single" w:sz="4" w:space="0" w:color="auto"/>
              <w:bottom w:val="single" w:sz="4" w:space="0" w:color="auto"/>
              <w:right w:val="single" w:sz="4" w:space="0" w:color="auto"/>
            </w:tcBorders>
            <w:shd w:val="clear" w:color="auto" w:fill="auto"/>
            <w:noWrap/>
            <w:vAlign w:val="center"/>
            <w:hideMark/>
          </w:tcPr>
          <w:p w:rsidR="004C25C8" w:rsidRPr="00B0289F" w:rsidRDefault="004C25C8" w:rsidP="00A649A2">
            <w:pPr>
              <w:rPr>
                <w:rFonts w:cs="Arial"/>
                <w:color w:val="000000"/>
                <w:szCs w:val="20"/>
              </w:rPr>
            </w:pPr>
            <w:r w:rsidRPr="00B0289F">
              <w:rPr>
                <w:rFonts w:cs="Arial"/>
                <w:color w:val="000000"/>
                <w:szCs w:val="20"/>
              </w:rPr>
              <w:t>Teren dawnej KWK Rozbark</w:t>
            </w:r>
          </w:p>
        </w:tc>
        <w:tc>
          <w:tcPr>
            <w:tcW w:w="1400" w:type="dxa"/>
            <w:tcBorders>
              <w:top w:val="nil"/>
              <w:left w:val="nil"/>
              <w:bottom w:val="single" w:sz="4" w:space="0" w:color="auto"/>
              <w:right w:val="single" w:sz="4" w:space="0" w:color="auto"/>
            </w:tcBorders>
            <w:shd w:val="clear" w:color="auto" w:fill="auto"/>
            <w:noWrap/>
            <w:vAlign w:val="center"/>
            <w:hideMark/>
          </w:tcPr>
          <w:p w:rsidR="004C25C8" w:rsidRPr="00B0289F" w:rsidRDefault="004C25C8" w:rsidP="00A649A2">
            <w:pPr>
              <w:jc w:val="center"/>
              <w:rPr>
                <w:rFonts w:cs="Arial"/>
                <w:color w:val="000000"/>
                <w:szCs w:val="20"/>
              </w:rPr>
            </w:pPr>
            <w:r w:rsidRPr="00B0289F">
              <w:rPr>
                <w:rFonts w:cs="Arial"/>
                <w:color w:val="000000"/>
                <w:szCs w:val="20"/>
              </w:rPr>
              <w:t>24</w:t>
            </w:r>
          </w:p>
        </w:tc>
        <w:tc>
          <w:tcPr>
            <w:tcW w:w="1400" w:type="dxa"/>
            <w:tcBorders>
              <w:top w:val="nil"/>
              <w:left w:val="nil"/>
              <w:bottom w:val="single" w:sz="4" w:space="0" w:color="auto"/>
              <w:right w:val="single" w:sz="4" w:space="0" w:color="auto"/>
            </w:tcBorders>
            <w:shd w:val="clear" w:color="auto" w:fill="auto"/>
            <w:noWrap/>
            <w:vAlign w:val="center"/>
            <w:hideMark/>
          </w:tcPr>
          <w:p w:rsidR="004C25C8" w:rsidRPr="00B0289F" w:rsidRDefault="004C25C8" w:rsidP="00A649A2">
            <w:pPr>
              <w:jc w:val="center"/>
              <w:rPr>
                <w:rFonts w:cs="Arial"/>
                <w:color w:val="000000"/>
                <w:szCs w:val="20"/>
              </w:rPr>
            </w:pPr>
            <w:r w:rsidRPr="00B0289F">
              <w:rPr>
                <w:rFonts w:cs="Arial"/>
                <w:color w:val="000000"/>
                <w:szCs w:val="20"/>
              </w:rPr>
              <w:t>15</w:t>
            </w:r>
          </w:p>
        </w:tc>
        <w:tc>
          <w:tcPr>
            <w:tcW w:w="1400" w:type="dxa"/>
            <w:tcBorders>
              <w:top w:val="nil"/>
              <w:left w:val="nil"/>
              <w:bottom w:val="single" w:sz="4" w:space="0" w:color="auto"/>
              <w:right w:val="single" w:sz="4" w:space="0" w:color="auto"/>
            </w:tcBorders>
            <w:shd w:val="clear" w:color="auto" w:fill="auto"/>
            <w:noWrap/>
            <w:vAlign w:val="center"/>
            <w:hideMark/>
          </w:tcPr>
          <w:p w:rsidR="004C25C8" w:rsidRPr="00B0289F" w:rsidRDefault="004C25C8" w:rsidP="00A649A2">
            <w:pPr>
              <w:jc w:val="center"/>
              <w:rPr>
                <w:rFonts w:cs="Arial"/>
                <w:color w:val="000000"/>
                <w:szCs w:val="20"/>
              </w:rPr>
            </w:pPr>
            <w:r w:rsidRPr="00B0289F">
              <w:rPr>
                <w:rFonts w:cs="Arial"/>
                <w:color w:val="000000"/>
                <w:szCs w:val="20"/>
              </w:rPr>
              <w:t>0,22%</w:t>
            </w:r>
          </w:p>
        </w:tc>
      </w:tr>
      <w:tr w:rsidR="004C25C8" w:rsidRPr="00B0289F" w:rsidTr="00A649A2">
        <w:trPr>
          <w:trHeight w:val="285"/>
        </w:trPr>
        <w:tc>
          <w:tcPr>
            <w:tcW w:w="4800" w:type="dxa"/>
            <w:tcBorders>
              <w:top w:val="nil"/>
              <w:left w:val="single" w:sz="4" w:space="0" w:color="auto"/>
              <w:bottom w:val="single" w:sz="4" w:space="0" w:color="auto"/>
              <w:right w:val="single" w:sz="4" w:space="0" w:color="auto"/>
            </w:tcBorders>
            <w:shd w:val="clear" w:color="auto" w:fill="auto"/>
            <w:noWrap/>
            <w:vAlign w:val="center"/>
            <w:hideMark/>
          </w:tcPr>
          <w:p w:rsidR="004C25C8" w:rsidRPr="00B0289F" w:rsidRDefault="004C25C8" w:rsidP="00A649A2">
            <w:pPr>
              <w:rPr>
                <w:rFonts w:cs="Arial"/>
                <w:color w:val="000000"/>
                <w:szCs w:val="20"/>
              </w:rPr>
            </w:pPr>
            <w:r w:rsidRPr="00B0289F">
              <w:rPr>
                <w:rFonts w:cs="Arial"/>
                <w:color w:val="000000"/>
                <w:szCs w:val="20"/>
              </w:rPr>
              <w:t>Teren dawnej KWK Szombierki</w:t>
            </w:r>
          </w:p>
        </w:tc>
        <w:tc>
          <w:tcPr>
            <w:tcW w:w="1400" w:type="dxa"/>
            <w:tcBorders>
              <w:top w:val="nil"/>
              <w:left w:val="nil"/>
              <w:bottom w:val="single" w:sz="4" w:space="0" w:color="auto"/>
              <w:right w:val="single" w:sz="4" w:space="0" w:color="auto"/>
            </w:tcBorders>
            <w:shd w:val="clear" w:color="auto" w:fill="auto"/>
            <w:noWrap/>
            <w:vAlign w:val="center"/>
            <w:hideMark/>
          </w:tcPr>
          <w:p w:rsidR="004C25C8" w:rsidRPr="00B0289F" w:rsidRDefault="004C25C8" w:rsidP="00A649A2">
            <w:pPr>
              <w:jc w:val="center"/>
              <w:rPr>
                <w:rFonts w:cs="Arial"/>
                <w:color w:val="000000"/>
                <w:szCs w:val="20"/>
              </w:rPr>
            </w:pPr>
            <w:r w:rsidRPr="00B0289F">
              <w:rPr>
                <w:rFonts w:cs="Arial"/>
                <w:color w:val="000000"/>
                <w:szCs w:val="20"/>
              </w:rPr>
              <w:t>25</w:t>
            </w:r>
          </w:p>
        </w:tc>
        <w:tc>
          <w:tcPr>
            <w:tcW w:w="1400" w:type="dxa"/>
            <w:tcBorders>
              <w:top w:val="nil"/>
              <w:left w:val="nil"/>
              <w:bottom w:val="single" w:sz="4" w:space="0" w:color="auto"/>
              <w:right w:val="single" w:sz="4" w:space="0" w:color="auto"/>
            </w:tcBorders>
            <w:shd w:val="clear" w:color="auto" w:fill="auto"/>
            <w:noWrap/>
            <w:vAlign w:val="center"/>
            <w:hideMark/>
          </w:tcPr>
          <w:p w:rsidR="004C25C8" w:rsidRPr="00B0289F" w:rsidRDefault="004C25C8" w:rsidP="00A649A2">
            <w:pPr>
              <w:jc w:val="center"/>
              <w:rPr>
                <w:rFonts w:cs="Arial"/>
                <w:color w:val="000000"/>
                <w:szCs w:val="20"/>
              </w:rPr>
            </w:pPr>
            <w:r w:rsidRPr="00B0289F">
              <w:rPr>
                <w:rFonts w:cs="Arial"/>
                <w:color w:val="000000"/>
                <w:szCs w:val="20"/>
              </w:rPr>
              <w:t>64</w:t>
            </w:r>
          </w:p>
        </w:tc>
        <w:tc>
          <w:tcPr>
            <w:tcW w:w="1400" w:type="dxa"/>
            <w:tcBorders>
              <w:top w:val="nil"/>
              <w:left w:val="nil"/>
              <w:bottom w:val="single" w:sz="4" w:space="0" w:color="auto"/>
              <w:right w:val="single" w:sz="4" w:space="0" w:color="auto"/>
            </w:tcBorders>
            <w:shd w:val="clear" w:color="auto" w:fill="auto"/>
            <w:noWrap/>
            <w:vAlign w:val="center"/>
            <w:hideMark/>
          </w:tcPr>
          <w:p w:rsidR="004C25C8" w:rsidRPr="00B0289F" w:rsidRDefault="004C25C8" w:rsidP="00A649A2">
            <w:pPr>
              <w:jc w:val="center"/>
              <w:rPr>
                <w:rFonts w:cs="Arial"/>
                <w:color w:val="000000"/>
                <w:szCs w:val="20"/>
              </w:rPr>
            </w:pPr>
            <w:r w:rsidRPr="00B0289F">
              <w:rPr>
                <w:rFonts w:cs="Arial"/>
                <w:color w:val="000000"/>
                <w:szCs w:val="20"/>
              </w:rPr>
              <w:t>0,92%</w:t>
            </w:r>
          </w:p>
        </w:tc>
      </w:tr>
      <w:tr w:rsidR="004C25C8" w:rsidRPr="00B0289F" w:rsidTr="00A649A2">
        <w:trPr>
          <w:trHeight w:val="285"/>
        </w:trPr>
        <w:tc>
          <w:tcPr>
            <w:tcW w:w="4800" w:type="dxa"/>
            <w:tcBorders>
              <w:top w:val="nil"/>
              <w:left w:val="single" w:sz="4" w:space="0" w:color="auto"/>
              <w:bottom w:val="single" w:sz="4" w:space="0" w:color="auto"/>
              <w:right w:val="single" w:sz="4" w:space="0" w:color="auto"/>
            </w:tcBorders>
            <w:shd w:val="clear" w:color="auto" w:fill="auto"/>
            <w:noWrap/>
            <w:vAlign w:val="center"/>
            <w:hideMark/>
          </w:tcPr>
          <w:p w:rsidR="004C25C8" w:rsidRPr="00B0289F" w:rsidRDefault="004C25C8" w:rsidP="00A649A2">
            <w:pPr>
              <w:rPr>
                <w:rFonts w:cs="Arial"/>
                <w:color w:val="000000"/>
                <w:szCs w:val="20"/>
              </w:rPr>
            </w:pPr>
            <w:r w:rsidRPr="00B0289F">
              <w:rPr>
                <w:rFonts w:cs="Arial"/>
                <w:color w:val="000000"/>
                <w:szCs w:val="20"/>
              </w:rPr>
              <w:t>Teren dawnej Huty Zygmunt</w:t>
            </w:r>
          </w:p>
        </w:tc>
        <w:tc>
          <w:tcPr>
            <w:tcW w:w="1400" w:type="dxa"/>
            <w:tcBorders>
              <w:top w:val="nil"/>
              <w:left w:val="nil"/>
              <w:bottom w:val="single" w:sz="4" w:space="0" w:color="auto"/>
              <w:right w:val="single" w:sz="4" w:space="0" w:color="auto"/>
            </w:tcBorders>
            <w:shd w:val="clear" w:color="auto" w:fill="auto"/>
            <w:noWrap/>
            <w:vAlign w:val="center"/>
            <w:hideMark/>
          </w:tcPr>
          <w:p w:rsidR="004C25C8" w:rsidRPr="00B0289F" w:rsidRDefault="004C25C8" w:rsidP="00A649A2">
            <w:pPr>
              <w:jc w:val="center"/>
              <w:rPr>
                <w:rFonts w:cs="Arial"/>
                <w:color w:val="000000"/>
                <w:szCs w:val="20"/>
              </w:rPr>
            </w:pPr>
            <w:r w:rsidRPr="00B0289F">
              <w:rPr>
                <w:rFonts w:cs="Arial"/>
                <w:color w:val="000000"/>
                <w:szCs w:val="20"/>
              </w:rPr>
              <w:t>26</w:t>
            </w:r>
          </w:p>
        </w:tc>
        <w:tc>
          <w:tcPr>
            <w:tcW w:w="1400" w:type="dxa"/>
            <w:tcBorders>
              <w:top w:val="nil"/>
              <w:left w:val="nil"/>
              <w:bottom w:val="single" w:sz="4" w:space="0" w:color="auto"/>
              <w:right w:val="single" w:sz="4" w:space="0" w:color="auto"/>
            </w:tcBorders>
            <w:shd w:val="clear" w:color="auto" w:fill="auto"/>
            <w:noWrap/>
            <w:vAlign w:val="center"/>
            <w:hideMark/>
          </w:tcPr>
          <w:p w:rsidR="004C25C8" w:rsidRPr="00B0289F" w:rsidRDefault="004C25C8" w:rsidP="00A649A2">
            <w:pPr>
              <w:jc w:val="center"/>
              <w:rPr>
                <w:rFonts w:cs="Arial"/>
                <w:color w:val="000000"/>
                <w:szCs w:val="20"/>
              </w:rPr>
            </w:pPr>
            <w:r w:rsidRPr="00B0289F">
              <w:rPr>
                <w:rFonts w:cs="Arial"/>
                <w:color w:val="000000"/>
                <w:szCs w:val="20"/>
              </w:rPr>
              <w:t>39</w:t>
            </w:r>
          </w:p>
        </w:tc>
        <w:tc>
          <w:tcPr>
            <w:tcW w:w="1400" w:type="dxa"/>
            <w:tcBorders>
              <w:top w:val="nil"/>
              <w:left w:val="nil"/>
              <w:bottom w:val="single" w:sz="4" w:space="0" w:color="auto"/>
              <w:right w:val="single" w:sz="4" w:space="0" w:color="auto"/>
            </w:tcBorders>
            <w:shd w:val="clear" w:color="auto" w:fill="auto"/>
            <w:noWrap/>
            <w:vAlign w:val="center"/>
            <w:hideMark/>
          </w:tcPr>
          <w:p w:rsidR="004C25C8" w:rsidRPr="00B0289F" w:rsidRDefault="004C25C8" w:rsidP="00A649A2">
            <w:pPr>
              <w:jc w:val="center"/>
              <w:rPr>
                <w:rFonts w:cs="Arial"/>
                <w:color w:val="000000"/>
                <w:szCs w:val="20"/>
              </w:rPr>
            </w:pPr>
            <w:r w:rsidRPr="00B0289F">
              <w:rPr>
                <w:rFonts w:cs="Arial"/>
                <w:color w:val="000000"/>
                <w:szCs w:val="20"/>
              </w:rPr>
              <w:t>0,56%</w:t>
            </w:r>
          </w:p>
        </w:tc>
      </w:tr>
      <w:tr w:rsidR="004C25C8" w:rsidRPr="00B0289F" w:rsidTr="00A649A2">
        <w:trPr>
          <w:trHeight w:val="285"/>
        </w:trPr>
        <w:tc>
          <w:tcPr>
            <w:tcW w:w="4800" w:type="dxa"/>
            <w:tcBorders>
              <w:top w:val="nil"/>
              <w:left w:val="single" w:sz="4" w:space="0" w:color="auto"/>
              <w:bottom w:val="single" w:sz="4" w:space="0" w:color="auto"/>
              <w:right w:val="single" w:sz="4" w:space="0" w:color="auto"/>
            </w:tcBorders>
            <w:shd w:val="clear" w:color="auto" w:fill="auto"/>
            <w:noWrap/>
            <w:vAlign w:val="center"/>
            <w:hideMark/>
          </w:tcPr>
          <w:p w:rsidR="004C25C8" w:rsidRPr="00B0289F" w:rsidRDefault="004C25C8" w:rsidP="00A649A2">
            <w:pPr>
              <w:rPr>
                <w:rFonts w:cs="Arial"/>
                <w:color w:val="000000"/>
                <w:szCs w:val="20"/>
              </w:rPr>
            </w:pPr>
            <w:r w:rsidRPr="00B0289F">
              <w:rPr>
                <w:rFonts w:cs="Arial"/>
                <w:color w:val="000000"/>
                <w:szCs w:val="20"/>
              </w:rPr>
              <w:t>Teren KWK Centrum</w:t>
            </w:r>
          </w:p>
        </w:tc>
        <w:tc>
          <w:tcPr>
            <w:tcW w:w="1400" w:type="dxa"/>
            <w:tcBorders>
              <w:top w:val="nil"/>
              <w:left w:val="nil"/>
              <w:bottom w:val="single" w:sz="4" w:space="0" w:color="auto"/>
              <w:right w:val="single" w:sz="4" w:space="0" w:color="auto"/>
            </w:tcBorders>
            <w:shd w:val="clear" w:color="auto" w:fill="auto"/>
            <w:noWrap/>
            <w:vAlign w:val="center"/>
            <w:hideMark/>
          </w:tcPr>
          <w:p w:rsidR="004C25C8" w:rsidRPr="00B0289F" w:rsidRDefault="004C25C8" w:rsidP="00A649A2">
            <w:pPr>
              <w:jc w:val="center"/>
              <w:rPr>
                <w:rFonts w:cs="Arial"/>
                <w:color w:val="000000"/>
                <w:szCs w:val="20"/>
              </w:rPr>
            </w:pPr>
            <w:r w:rsidRPr="00B0289F">
              <w:rPr>
                <w:rFonts w:cs="Arial"/>
                <w:color w:val="000000"/>
                <w:szCs w:val="20"/>
              </w:rPr>
              <w:t>27</w:t>
            </w:r>
          </w:p>
        </w:tc>
        <w:tc>
          <w:tcPr>
            <w:tcW w:w="1400" w:type="dxa"/>
            <w:tcBorders>
              <w:top w:val="nil"/>
              <w:left w:val="nil"/>
              <w:bottom w:val="single" w:sz="4" w:space="0" w:color="auto"/>
              <w:right w:val="single" w:sz="4" w:space="0" w:color="auto"/>
            </w:tcBorders>
            <w:shd w:val="clear" w:color="auto" w:fill="auto"/>
            <w:noWrap/>
            <w:vAlign w:val="center"/>
            <w:hideMark/>
          </w:tcPr>
          <w:p w:rsidR="004C25C8" w:rsidRPr="00B0289F" w:rsidRDefault="004C25C8" w:rsidP="00A649A2">
            <w:pPr>
              <w:jc w:val="center"/>
              <w:rPr>
                <w:rFonts w:cs="Arial"/>
                <w:color w:val="000000"/>
                <w:szCs w:val="20"/>
              </w:rPr>
            </w:pPr>
            <w:r w:rsidRPr="00B0289F">
              <w:rPr>
                <w:rFonts w:cs="Arial"/>
                <w:color w:val="000000"/>
                <w:szCs w:val="20"/>
              </w:rPr>
              <w:t>44</w:t>
            </w:r>
          </w:p>
        </w:tc>
        <w:tc>
          <w:tcPr>
            <w:tcW w:w="1400" w:type="dxa"/>
            <w:tcBorders>
              <w:top w:val="nil"/>
              <w:left w:val="nil"/>
              <w:bottom w:val="single" w:sz="4" w:space="0" w:color="auto"/>
              <w:right w:val="single" w:sz="4" w:space="0" w:color="auto"/>
            </w:tcBorders>
            <w:shd w:val="clear" w:color="auto" w:fill="auto"/>
            <w:noWrap/>
            <w:vAlign w:val="center"/>
            <w:hideMark/>
          </w:tcPr>
          <w:p w:rsidR="004C25C8" w:rsidRPr="00B0289F" w:rsidRDefault="004C25C8" w:rsidP="00A649A2">
            <w:pPr>
              <w:jc w:val="center"/>
              <w:rPr>
                <w:rFonts w:cs="Arial"/>
                <w:color w:val="000000"/>
                <w:szCs w:val="20"/>
              </w:rPr>
            </w:pPr>
            <w:r w:rsidRPr="00B0289F">
              <w:rPr>
                <w:rFonts w:cs="Arial"/>
                <w:color w:val="000000"/>
                <w:szCs w:val="20"/>
              </w:rPr>
              <w:t>0,63%</w:t>
            </w:r>
          </w:p>
        </w:tc>
      </w:tr>
      <w:tr w:rsidR="004C25C8" w:rsidRPr="00B0289F" w:rsidTr="00A649A2">
        <w:trPr>
          <w:trHeight w:val="285"/>
        </w:trPr>
        <w:tc>
          <w:tcPr>
            <w:tcW w:w="4800" w:type="dxa"/>
            <w:tcBorders>
              <w:top w:val="nil"/>
              <w:left w:val="single" w:sz="4" w:space="0" w:color="auto"/>
              <w:bottom w:val="single" w:sz="4" w:space="0" w:color="auto"/>
              <w:right w:val="single" w:sz="4" w:space="0" w:color="auto"/>
            </w:tcBorders>
            <w:shd w:val="clear" w:color="auto" w:fill="auto"/>
            <w:noWrap/>
            <w:vAlign w:val="center"/>
            <w:hideMark/>
          </w:tcPr>
          <w:p w:rsidR="004C25C8" w:rsidRPr="00B0289F" w:rsidRDefault="009E2787" w:rsidP="00A649A2">
            <w:pPr>
              <w:rPr>
                <w:rFonts w:cs="Arial"/>
                <w:color w:val="000000"/>
                <w:szCs w:val="20"/>
              </w:rPr>
            </w:pPr>
            <w:r w:rsidRPr="00B0289F">
              <w:rPr>
                <w:rFonts w:cs="Calibri"/>
                <w:szCs w:val="20"/>
              </w:rPr>
              <w:t>Teren inwestycyjny – Bytom Miechowice</w:t>
            </w:r>
          </w:p>
        </w:tc>
        <w:tc>
          <w:tcPr>
            <w:tcW w:w="1400" w:type="dxa"/>
            <w:tcBorders>
              <w:top w:val="nil"/>
              <w:left w:val="nil"/>
              <w:bottom w:val="single" w:sz="4" w:space="0" w:color="auto"/>
              <w:right w:val="single" w:sz="4" w:space="0" w:color="auto"/>
            </w:tcBorders>
            <w:shd w:val="clear" w:color="auto" w:fill="auto"/>
            <w:noWrap/>
            <w:vAlign w:val="center"/>
            <w:hideMark/>
          </w:tcPr>
          <w:p w:rsidR="004C25C8" w:rsidRPr="00B0289F" w:rsidRDefault="004C25C8" w:rsidP="00A649A2">
            <w:pPr>
              <w:jc w:val="center"/>
              <w:rPr>
                <w:rFonts w:cs="Arial"/>
                <w:color w:val="000000"/>
                <w:szCs w:val="20"/>
              </w:rPr>
            </w:pPr>
            <w:r w:rsidRPr="00B0289F">
              <w:rPr>
                <w:rFonts w:cs="Arial"/>
                <w:color w:val="000000"/>
                <w:szCs w:val="20"/>
              </w:rPr>
              <w:t>28</w:t>
            </w:r>
          </w:p>
        </w:tc>
        <w:tc>
          <w:tcPr>
            <w:tcW w:w="1400" w:type="dxa"/>
            <w:tcBorders>
              <w:top w:val="nil"/>
              <w:left w:val="nil"/>
              <w:bottom w:val="single" w:sz="4" w:space="0" w:color="auto"/>
              <w:right w:val="single" w:sz="4" w:space="0" w:color="auto"/>
            </w:tcBorders>
            <w:shd w:val="clear" w:color="auto" w:fill="auto"/>
            <w:noWrap/>
            <w:vAlign w:val="center"/>
            <w:hideMark/>
          </w:tcPr>
          <w:p w:rsidR="004C25C8" w:rsidRPr="00B0289F" w:rsidRDefault="004C25C8" w:rsidP="00A649A2">
            <w:pPr>
              <w:jc w:val="center"/>
              <w:rPr>
                <w:rFonts w:cs="Arial"/>
                <w:color w:val="000000"/>
                <w:szCs w:val="20"/>
              </w:rPr>
            </w:pPr>
            <w:r w:rsidRPr="00B0289F">
              <w:rPr>
                <w:rFonts w:cs="Arial"/>
                <w:color w:val="000000"/>
                <w:szCs w:val="20"/>
              </w:rPr>
              <w:t>39</w:t>
            </w:r>
          </w:p>
        </w:tc>
        <w:tc>
          <w:tcPr>
            <w:tcW w:w="1400" w:type="dxa"/>
            <w:tcBorders>
              <w:top w:val="nil"/>
              <w:left w:val="nil"/>
              <w:bottom w:val="single" w:sz="4" w:space="0" w:color="auto"/>
              <w:right w:val="single" w:sz="4" w:space="0" w:color="auto"/>
            </w:tcBorders>
            <w:shd w:val="clear" w:color="auto" w:fill="auto"/>
            <w:noWrap/>
            <w:vAlign w:val="center"/>
            <w:hideMark/>
          </w:tcPr>
          <w:p w:rsidR="004C25C8" w:rsidRPr="00B0289F" w:rsidRDefault="004C25C8" w:rsidP="00A649A2">
            <w:pPr>
              <w:jc w:val="center"/>
              <w:rPr>
                <w:rFonts w:cs="Arial"/>
                <w:color w:val="000000"/>
                <w:szCs w:val="20"/>
              </w:rPr>
            </w:pPr>
            <w:r w:rsidRPr="00B0289F">
              <w:rPr>
                <w:rFonts w:cs="Arial"/>
                <w:color w:val="000000"/>
                <w:szCs w:val="20"/>
              </w:rPr>
              <w:t>0,56%</w:t>
            </w:r>
          </w:p>
        </w:tc>
      </w:tr>
      <w:tr w:rsidR="004C25C8" w:rsidRPr="00B0289F" w:rsidTr="00A649A2">
        <w:trPr>
          <w:trHeight w:val="285"/>
        </w:trPr>
        <w:tc>
          <w:tcPr>
            <w:tcW w:w="4800" w:type="dxa"/>
            <w:tcBorders>
              <w:top w:val="nil"/>
              <w:left w:val="single" w:sz="4" w:space="0" w:color="auto"/>
              <w:bottom w:val="single" w:sz="4" w:space="0" w:color="auto"/>
              <w:right w:val="single" w:sz="4" w:space="0" w:color="auto"/>
            </w:tcBorders>
            <w:shd w:val="clear" w:color="auto" w:fill="auto"/>
            <w:noWrap/>
            <w:vAlign w:val="center"/>
            <w:hideMark/>
          </w:tcPr>
          <w:p w:rsidR="004C25C8" w:rsidRPr="00B0289F" w:rsidRDefault="004C25C8" w:rsidP="007049E2">
            <w:pPr>
              <w:rPr>
                <w:rFonts w:cs="Arial"/>
                <w:color w:val="000000"/>
                <w:szCs w:val="20"/>
              </w:rPr>
            </w:pPr>
            <w:r w:rsidRPr="00B0289F">
              <w:rPr>
                <w:rFonts w:cs="Arial"/>
                <w:color w:val="000000"/>
                <w:szCs w:val="20"/>
              </w:rPr>
              <w:t>Teren dawnej</w:t>
            </w:r>
            <w:r w:rsidR="007049E2">
              <w:rPr>
                <w:rFonts w:cs="Arial"/>
                <w:color w:val="000000"/>
                <w:szCs w:val="20"/>
              </w:rPr>
              <w:t xml:space="preserve"> Huty </w:t>
            </w:r>
            <w:r w:rsidRPr="00B0289F">
              <w:rPr>
                <w:rFonts w:cs="Arial"/>
                <w:color w:val="000000"/>
                <w:szCs w:val="20"/>
              </w:rPr>
              <w:t>Bobrek</w:t>
            </w:r>
          </w:p>
        </w:tc>
        <w:tc>
          <w:tcPr>
            <w:tcW w:w="1400" w:type="dxa"/>
            <w:tcBorders>
              <w:top w:val="nil"/>
              <w:left w:val="nil"/>
              <w:bottom w:val="single" w:sz="4" w:space="0" w:color="auto"/>
              <w:right w:val="single" w:sz="4" w:space="0" w:color="auto"/>
            </w:tcBorders>
            <w:shd w:val="clear" w:color="auto" w:fill="auto"/>
            <w:noWrap/>
            <w:vAlign w:val="center"/>
            <w:hideMark/>
          </w:tcPr>
          <w:p w:rsidR="004C25C8" w:rsidRPr="00B0289F" w:rsidRDefault="004C25C8" w:rsidP="00A649A2">
            <w:pPr>
              <w:jc w:val="center"/>
              <w:rPr>
                <w:rFonts w:cs="Arial"/>
                <w:color w:val="000000"/>
                <w:szCs w:val="20"/>
              </w:rPr>
            </w:pPr>
            <w:r w:rsidRPr="00B0289F">
              <w:rPr>
                <w:rFonts w:cs="Arial"/>
                <w:color w:val="000000"/>
                <w:szCs w:val="20"/>
              </w:rPr>
              <w:t>29</w:t>
            </w:r>
          </w:p>
        </w:tc>
        <w:tc>
          <w:tcPr>
            <w:tcW w:w="1400" w:type="dxa"/>
            <w:tcBorders>
              <w:top w:val="nil"/>
              <w:left w:val="nil"/>
              <w:bottom w:val="single" w:sz="4" w:space="0" w:color="auto"/>
              <w:right w:val="single" w:sz="4" w:space="0" w:color="auto"/>
            </w:tcBorders>
            <w:shd w:val="clear" w:color="auto" w:fill="auto"/>
            <w:noWrap/>
            <w:vAlign w:val="center"/>
            <w:hideMark/>
          </w:tcPr>
          <w:p w:rsidR="004C25C8" w:rsidRPr="00B0289F" w:rsidRDefault="004C25C8" w:rsidP="00A649A2">
            <w:pPr>
              <w:jc w:val="center"/>
              <w:rPr>
                <w:rFonts w:cs="Arial"/>
                <w:color w:val="000000"/>
                <w:szCs w:val="20"/>
              </w:rPr>
            </w:pPr>
            <w:r w:rsidRPr="00B0289F">
              <w:rPr>
                <w:rFonts w:cs="Arial"/>
                <w:color w:val="000000"/>
                <w:szCs w:val="20"/>
              </w:rPr>
              <w:t>56</w:t>
            </w:r>
          </w:p>
        </w:tc>
        <w:tc>
          <w:tcPr>
            <w:tcW w:w="1400" w:type="dxa"/>
            <w:tcBorders>
              <w:top w:val="nil"/>
              <w:left w:val="nil"/>
              <w:bottom w:val="single" w:sz="4" w:space="0" w:color="auto"/>
              <w:right w:val="single" w:sz="4" w:space="0" w:color="auto"/>
            </w:tcBorders>
            <w:shd w:val="clear" w:color="auto" w:fill="auto"/>
            <w:noWrap/>
            <w:vAlign w:val="center"/>
            <w:hideMark/>
          </w:tcPr>
          <w:p w:rsidR="004C25C8" w:rsidRPr="00B0289F" w:rsidRDefault="004C25C8" w:rsidP="00A649A2">
            <w:pPr>
              <w:jc w:val="center"/>
              <w:rPr>
                <w:rFonts w:cs="Arial"/>
                <w:color w:val="000000"/>
                <w:szCs w:val="20"/>
              </w:rPr>
            </w:pPr>
            <w:r w:rsidRPr="00B0289F">
              <w:rPr>
                <w:rFonts w:cs="Arial"/>
                <w:color w:val="000000"/>
                <w:szCs w:val="20"/>
              </w:rPr>
              <w:t>0,81%</w:t>
            </w:r>
          </w:p>
        </w:tc>
      </w:tr>
      <w:tr w:rsidR="004C25C8" w:rsidRPr="00B0289F" w:rsidTr="00A649A2">
        <w:trPr>
          <w:trHeight w:val="285"/>
        </w:trPr>
        <w:tc>
          <w:tcPr>
            <w:tcW w:w="4800" w:type="dxa"/>
            <w:tcBorders>
              <w:top w:val="nil"/>
              <w:left w:val="single" w:sz="4" w:space="0" w:color="auto"/>
              <w:bottom w:val="single" w:sz="4" w:space="0" w:color="auto"/>
              <w:right w:val="single" w:sz="4" w:space="0" w:color="auto"/>
            </w:tcBorders>
            <w:shd w:val="clear" w:color="auto" w:fill="auto"/>
            <w:noWrap/>
            <w:vAlign w:val="center"/>
            <w:hideMark/>
          </w:tcPr>
          <w:p w:rsidR="004C25C8" w:rsidRPr="00B0289F" w:rsidRDefault="004C25C8" w:rsidP="00A649A2">
            <w:pPr>
              <w:rPr>
                <w:rFonts w:cs="Arial"/>
                <w:color w:val="000000"/>
                <w:szCs w:val="20"/>
              </w:rPr>
            </w:pPr>
            <w:r w:rsidRPr="00B0289F">
              <w:rPr>
                <w:rFonts w:cs="Arial"/>
                <w:color w:val="000000"/>
                <w:szCs w:val="20"/>
              </w:rPr>
              <w:t>EC Szombierki +</w:t>
            </w:r>
            <w:r w:rsidR="00731D58">
              <w:rPr>
                <w:rFonts w:cs="Arial"/>
                <w:color w:val="000000"/>
                <w:szCs w:val="20"/>
              </w:rPr>
              <w:t xml:space="preserve"> </w:t>
            </w:r>
            <w:r w:rsidRPr="00B0289F">
              <w:rPr>
                <w:rFonts w:cs="Arial"/>
                <w:color w:val="000000"/>
                <w:szCs w:val="20"/>
              </w:rPr>
              <w:t>Pola Szombierskie</w:t>
            </w:r>
          </w:p>
        </w:tc>
        <w:tc>
          <w:tcPr>
            <w:tcW w:w="1400" w:type="dxa"/>
            <w:tcBorders>
              <w:top w:val="nil"/>
              <w:left w:val="nil"/>
              <w:bottom w:val="single" w:sz="4" w:space="0" w:color="auto"/>
              <w:right w:val="single" w:sz="4" w:space="0" w:color="auto"/>
            </w:tcBorders>
            <w:shd w:val="clear" w:color="auto" w:fill="auto"/>
            <w:noWrap/>
            <w:vAlign w:val="center"/>
            <w:hideMark/>
          </w:tcPr>
          <w:p w:rsidR="004C25C8" w:rsidRPr="00B0289F" w:rsidRDefault="004C25C8" w:rsidP="00A649A2">
            <w:pPr>
              <w:jc w:val="center"/>
              <w:rPr>
                <w:rFonts w:cs="Arial"/>
                <w:color w:val="000000"/>
                <w:szCs w:val="20"/>
              </w:rPr>
            </w:pPr>
            <w:r w:rsidRPr="00B0289F">
              <w:rPr>
                <w:rFonts w:cs="Arial"/>
                <w:color w:val="000000"/>
                <w:szCs w:val="20"/>
              </w:rPr>
              <w:t>30</w:t>
            </w:r>
          </w:p>
        </w:tc>
        <w:tc>
          <w:tcPr>
            <w:tcW w:w="1400" w:type="dxa"/>
            <w:tcBorders>
              <w:top w:val="nil"/>
              <w:left w:val="nil"/>
              <w:bottom w:val="single" w:sz="4" w:space="0" w:color="auto"/>
              <w:right w:val="single" w:sz="4" w:space="0" w:color="auto"/>
            </w:tcBorders>
            <w:shd w:val="clear" w:color="auto" w:fill="auto"/>
            <w:noWrap/>
            <w:vAlign w:val="center"/>
            <w:hideMark/>
          </w:tcPr>
          <w:p w:rsidR="004C25C8" w:rsidRPr="00B0289F" w:rsidRDefault="004C25C8" w:rsidP="00A649A2">
            <w:pPr>
              <w:jc w:val="center"/>
              <w:rPr>
                <w:rFonts w:cs="Arial"/>
                <w:color w:val="000000"/>
                <w:szCs w:val="20"/>
              </w:rPr>
            </w:pPr>
            <w:r w:rsidRPr="00B0289F">
              <w:rPr>
                <w:rFonts w:cs="Arial"/>
                <w:color w:val="000000"/>
                <w:szCs w:val="20"/>
              </w:rPr>
              <w:t>44</w:t>
            </w:r>
          </w:p>
        </w:tc>
        <w:tc>
          <w:tcPr>
            <w:tcW w:w="1400" w:type="dxa"/>
            <w:tcBorders>
              <w:top w:val="nil"/>
              <w:left w:val="nil"/>
              <w:bottom w:val="single" w:sz="4" w:space="0" w:color="auto"/>
              <w:right w:val="single" w:sz="4" w:space="0" w:color="auto"/>
            </w:tcBorders>
            <w:shd w:val="clear" w:color="auto" w:fill="auto"/>
            <w:noWrap/>
            <w:vAlign w:val="center"/>
            <w:hideMark/>
          </w:tcPr>
          <w:p w:rsidR="004C25C8" w:rsidRPr="00B0289F" w:rsidRDefault="004C25C8" w:rsidP="00A649A2">
            <w:pPr>
              <w:jc w:val="center"/>
              <w:rPr>
                <w:rFonts w:cs="Arial"/>
                <w:color w:val="000000"/>
                <w:szCs w:val="20"/>
              </w:rPr>
            </w:pPr>
            <w:r w:rsidRPr="00B0289F">
              <w:rPr>
                <w:rFonts w:cs="Arial"/>
                <w:color w:val="000000"/>
                <w:szCs w:val="20"/>
              </w:rPr>
              <w:t>0,63%</w:t>
            </w:r>
          </w:p>
        </w:tc>
      </w:tr>
      <w:tr w:rsidR="004C25C8" w:rsidRPr="00B0289F" w:rsidTr="00A649A2">
        <w:trPr>
          <w:trHeight w:val="285"/>
        </w:trPr>
        <w:tc>
          <w:tcPr>
            <w:tcW w:w="4800" w:type="dxa"/>
            <w:tcBorders>
              <w:top w:val="nil"/>
              <w:left w:val="single" w:sz="4" w:space="0" w:color="auto"/>
              <w:bottom w:val="single" w:sz="4" w:space="0" w:color="auto"/>
              <w:right w:val="single" w:sz="4" w:space="0" w:color="auto"/>
            </w:tcBorders>
            <w:shd w:val="clear" w:color="auto" w:fill="auto"/>
            <w:noWrap/>
            <w:vAlign w:val="center"/>
            <w:hideMark/>
          </w:tcPr>
          <w:p w:rsidR="004C25C8" w:rsidRPr="00B0289F" w:rsidRDefault="004C25C8" w:rsidP="00A649A2">
            <w:pPr>
              <w:rPr>
                <w:rFonts w:cs="Arial"/>
                <w:color w:val="000000"/>
                <w:szCs w:val="20"/>
              </w:rPr>
            </w:pPr>
            <w:r w:rsidRPr="00B0289F">
              <w:rPr>
                <w:rFonts w:cs="Arial"/>
                <w:color w:val="000000"/>
                <w:szCs w:val="20"/>
              </w:rPr>
              <w:t>Rezerwat przyrody „Żabie Doły”</w:t>
            </w:r>
          </w:p>
        </w:tc>
        <w:tc>
          <w:tcPr>
            <w:tcW w:w="1400" w:type="dxa"/>
            <w:tcBorders>
              <w:top w:val="nil"/>
              <w:left w:val="nil"/>
              <w:bottom w:val="single" w:sz="4" w:space="0" w:color="auto"/>
              <w:right w:val="single" w:sz="4" w:space="0" w:color="auto"/>
            </w:tcBorders>
            <w:shd w:val="clear" w:color="auto" w:fill="auto"/>
            <w:noWrap/>
            <w:vAlign w:val="center"/>
            <w:hideMark/>
          </w:tcPr>
          <w:p w:rsidR="004C25C8" w:rsidRPr="00B0289F" w:rsidRDefault="004C25C8" w:rsidP="00A649A2">
            <w:pPr>
              <w:jc w:val="center"/>
              <w:rPr>
                <w:rFonts w:cs="Arial"/>
                <w:color w:val="000000"/>
                <w:szCs w:val="20"/>
              </w:rPr>
            </w:pPr>
            <w:r w:rsidRPr="00B0289F">
              <w:rPr>
                <w:rFonts w:cs="Arial"/>
                <w:color w:val="000000"/>
                <w:szCs w:val="20"/>
              </w:rPr>
              <w:t>31</w:t>
            </w:r>
          </w:p>
        </w:tc>
        <w:tc>
          <w:tcPr>
            <w:tcW w:w="1400" w:type="dxa"/>
            <w:tcBorders>
              <w:top w:val="nil"/>
              <w:left w:val="nil"/>
              <w:bottom w:val="single" w:sz="4" w:space="0" w:color="auto"/>
              <w:right w:val="single" w:sz="4" w:space="0" w:color="auto"/>
            </w:tcBorders>
            <w:shd w:val="clear" w:color="auto" w:fill="auto"/>
            <w:noWrap/>
            <w:vAlign w:val="center"/>
            <w:hideMark/>
          </w:tcPr>
          <w:p w:rsidR="004C25C8" w:rsidRPr="00B0289F" w:rsidRDefault="004C25C8" w:rsidP="00A649A2">
            <w:pPr>
              <w:jc w:val="center"/>
              <w:rPr>
                <w:rFonts w:cs="Arial"/>
                <w:color w:val="000000"/>
                <w:szCs w:val="20"/>
              </w:rPr>
            </w:pPr>
            <w:r w:rsidRPr="00B0289F">
              <w:rPr>
                <w:rFonts w:cs="Arial"/>
                <w:color w:val="000000"/>
                <w:szCs w:val="20"/>
              </w:rPr>
              <w:t>41</w:t>
            </w:r>
          </w:p>
        </w:tc>
        <w:tc>
          <w:tcPr>
            <w:tcW w:w="1400" w:type="dxa"/>
            <w:tcBorders>
              <w:top w:val="nil"/>
              <w:left w:val="nil"/>
              <w:bottom w:val="single" w:sz="4" w:space="0" w:color="auto"/>
              <w:right w:val="single" w:sz="4" w:space="0" w:color="auto"/>
            </w:tcBorders>
            <w:shd w:val="clear" w:color="auto" w:fill="auto"/>
            <w:noWrap/>
            <w:vAlign w:val="center"/>
            <w:hideMark/>
          </w:tcPr>
          <w:p w:rsidR="004C25C8" w:rsidRPr="00B0289F" w:rsidRDefault="004C25C8" w:rsidP="00A649A2">
            <w:pPr>
              <w:jc w:val="center"/>
              <w:rPr>
                <w:rFonts w:cs="Arial"/>
                <w:color w:val="000000"/>
                <w:szCs w:val="20"/>
              </w:rPr>
            </w:pPr>
            <w:r w:rsidRPr="00B0289F">
              <w:rPr>
                <w:rFonts w:cs="Arial"/>
                <w:color w:val="000000"/>
                <w:szCs w:val="20"/>
              </w:rPr>
              <w:t>0,59%</w:t>
            </w:r>
          </w:p>
        </w:tc>
      </w:tr>
      <w:tr w:rsidR="004C25C8" w:rsidRPr="00B0289F" w:rsidTr="00A649A2">
        <w:trPr>
          <w:trHeight w:val="285"/>
        </w:trPr>
        <w:tc>
          <w:tcPr>
            <w:tcW w:w="4800" w:type="dxa"/>
            <w:tcBorders>
              <w:top w:val="nil"/>
              <w:left w:val="single" w:sz="4" w:space="0" w:color="auto"/>
              <w:bottom w:val="single" w:sz="4" w:space="0" w:color="auto"/>
              <w:right w:val="single" w:sz="4" w:space="0" w:color="auto"/>
            </w:tcBorders>
            <w:shd w:val="clear" w:color="auto" w:fill="auto"/>
            <w:noWrap/>
            <w:vAlign w:val="center"/>
            <w:hideMark/>
          </w:tcPr>
          <w:p w:rsidR="004C25C8" w:rsidRPr="00B0289F" w:rsidRDefault="004C25C8" w:rsidP="00A649A2">
            <w:pPr>
              <w:rPr>
                <w:rFonts w:cs="Arial"/>
                <w:color w:val="000000"/>
                <w:szCs w:val="20"/>
              </w:rPr>
            </w:pPr>
            <w:r w:rsidRPr="00B0289F">
              <w:rPr>
                <w:rFonts w:cs="Arial"/>
                <w:color w:val="000000"/>
                <w:szCs w:val="20"/>
              </w:rPr>
              <w:t>Tereny poprzemysłowe „Orzeł Biały"</w:t>
            </w:r>
          </w:p>
        </w:tc>
        <w:tc>
          <w:tcPr>
            <w:tcW w:w="1400" w:type="dxa"/>
            <w:tcBorders>
              <w:top w:val="nil"/>
              <w:left w:val="nil"/>
              <w:bottom w:val="single" w:sz="4" w:space="0" w:color="auto"/>
              <w:right w:val="single" w:sz="4" w:space="0" w:color="auto"/>
            </w:tcBorders>
            <w:shd w:val="clear" w:color="auto" w:fill="auto"/>
            <w:noWrap/>
            <w:vAlign w:val="center"/>
            <w:hideMark/>
          </w:tcPr>
          <w:p w:rsidR="004C25C8" w:rsidRPr="00B0289F" w:rsidRDefault="004C25C8" w:rsidP="00A649A2">
            <w:pPr>
              <w:jc w:val="center"/>
              <w:rPr>
                <w:rFonts w:cs="Arial"/>
                <w:color w:val="000000"/>
                <w:szCs w:val="20"/>
              </w:rPr>
            </w:pPr>
            <w:r w:rsidRPr="00B0289F">
              <w:rPr>
                <w:rFonts w:cs="Arial"/>
                <w:color w:val="000000"/>
                <w:szCs w:val="20"/>
              </w:rPr>
              <w:t>32</w:t>
            </w:r>
          </w:p>
        </w:tc>
        <w:tc>
          <w:tcPr>
            <w:tcW w:w="1400" w:type="dxa"/>
            <w:tcBorders>
              <w:top w:val="nil"/>
              <w:left w:val="nil"/>
              <w:bottom w:val="single" w:sz="4" w:space="0" w:color="auto"/>
              <w:right w:val="single" w:sz="4" w:space="0" w:color="auto"/>
            </w:tcBorders>
            <w:shd w:val="clear" w:color="auto" w:fill="auto"/>
            <w:noWrap/>
            <w:vAlign w:val="center"/>
            <w:hideMark/>
          </w:tcPr>
          <w:p w:rsidR="004C25C8" w:rsidRPr="00B0289F" w:rsidRDefault="004C25C8" w:rsidP="00A649A2">
            <w:pPr>
              <w:jc w:val="center"/>
              <w:rPr>
                <w:rFonts w:cs="Arial"/>
                <w:color w:val="000000"/>
                <w:szCs w:val="20"/>
              </w:rPr>
            </w:pPr>
            <w:r w:rsidRPr="00B0289F">
              <w:rPr>
                <w:rFonts w:cs="Arial"/>
                <w:color w:val="000000"/>
                <w:szCs w:val="20"/>
              </w:rPr>
              <w:t>70</w:t>
            </w:r>
          </w:p>
        </w:tc>
        <w:tc>
          <w:tcPr>
            <w:tcW w:w="1400" w:type="dxa"/>
            <w:tcBorders>
              <w:top w:val="nil"/>
              <w:left w:val="nil"/>
              <w:bottom w:val="single" w:sz="4" w:space="0" w:color="auto"/>
              <w:right w:val="single" w:sz="4" w:space="0" w:color="auto"/>
            </w:tcBorders>
            <w:shd w:val="clear" w:color="auto" w:fill="auto"/>
            <w:noWrap/>
            <w:vAlign w:val="center"/>
            <w:hideMark/>
          </w:tcPr>
          <w:p w:rsidR="004C25C8" w:rsidRPr="00B0289F" w:rsidRDefault="004C25C8" w:rsidP="00A649A2">
            <w:pPr>
              <w:jc w:val="center"/>
              <w:rPr>
                <w:rFonts w:cs="Arial"/>
                <w:color w:val="000000"/>
                <w:szCs w:val="20"/>
              </w:rPr>
            </w:pPr>
            <w:r w:rsidRPr="00B0289F">
              <w:rPr>
                <w:rFonts w:cs="Arial"/>
                <w:color w:val="000000"/>
                <w:szCs w:val="20"/>
              </w:rPr>
              <w:t>1,01%</w:t>
            </w:r>
          </w:p>
        </w:tc>
      </w:tr>
      <w:tr w:rsidR="004C25C8" w:rsidRPr="00B0289F" w:rsidTr="00484DB4">
        <w:trPr>
          <w:trHeight w:val="285"/>
        </w:trPr>
        <w:tc>
          <w:tcPr>
            <w:tcW w:w="4800" w:type="dxa"/>
            <w:tcBorders>
              <w:top w:val="single" w:sz="4" w:space="0" w:color="auto"/>
              <w:left w:val="single" w:sz="4" w:space="0" w:color="auto"/>
              <w:bottom w:val="single" w:sz="4" w:space="0" w:color="auto"/>
              <w:right w:val="single" w:sz="4" w:space="0" w:color="auto"/>
            </w:tcBorders>
            <w:shd w:val="clear" w:color="auto" w:fill="99CCFF"/>
            <w:noWrap/>
            <w:vAlign w:val="center"/>
            <w:hideMark/>
          </w:tcPr>
          <w:p w:rsidR="004C25C8" w:rsidRPr="00B0289F" w:rsidRDefault="004C25C8" w:rsidP="00A649A2">
            <w:pPr>
              <w:jc w:val="right"/>
              <w:rPr>
                <w:rFonts w:cs="Arial"/>
                <w:b/>
                <w:bCs/>
                <w:color w:val="000000"/>
                <w:szCs w:val="20"/>
              </w:rPr>
            </w:pPr>
            <w:r w:rsidRPr="00B0289F">
              <w:rPr>
                <w:rFonts w:cs="Arial"/>
                <w:b/>
                <w:bCs/>
                <w:color w:val="000000"/>
                <w:szCs w:val="20"/>
              </w:rPr>
              <w:t>RAZEM OBSZARY POPRZEMYSŁOWE</w:t>
            </w:r>
          </w:p>
        </w:tc>
        <w:tc>
          <w:tcPr>
            <w:tcW w:w="1400" w:type="dxa"/>
            <w:tcBorders>
              <w:top w:val="single" w:sz="4" w:space="0" w:color="auto"/>
              <w:left w:val="nil"/>
              <w:bottom w:val="single" w:sz="4" w:space="0" w:color="auto"/>
              <w:right w:val="single" w:sz="4" w:space="0" w:color="auto"/>
            </w:tcBorders>
            <w:shd w:val="clear" w:color="auto" w:fill="99CCFF"/>
            <w:noWrap/>
            <w:vAlign w:val="center"/>
            <w:hideMark/>
          </w:tcPr>
          <w:p w:rsidR="004C25C8" w:rsidRPr="00B0289F" w:rsidRDefault="004C25C8" w:rsidP="00A649A2">
            <w:pPr>
              <w:jc w:val="center"/>
              <w:rPr>
                <w:rFonts w:cs="Arial"/>
                <w:color w:val="000000"/>
                <w:szCs w:val="20"/>
              </w:rPr>
            </w:pPr>
            <w:r w:rsidRPr="00B0289F">
              <w:rPr>
                <w:rFonts w:cs="Arial"/>
                <w:color w:val="000000"/>
                <w:szCs w:val="20"/>
              </w:rPr>
              <w:t> </w:t>
            </w:r>
          </w:p>
        </w:tc>
        <w:tc>
          <w:tcPr>
            <w:tcW w:w="1400" w:type="dxa"/>
            <w:tcBorders>
              <w:top w:val="single" w:sz="4" w:space="0" w:color="auto"/>
              <w:left w:val="nil"/>
              <w:bottom w:val="single" w:sz="4" w:space="0" w:color="auto"/>
              <w:right w:val="single" w:sz="4" w:space="0" w:color="auto"/>
            </w:tcBorders>
            <w:shd w:val="clear" w:color="auto" w:fill="99CCFF"/>
            <w:noWrap/>
            <w:vAlign w:val="center"/>
            <w:hideMark/>
          </w:tcPr>
          <w:p w:rsidR="004C25C8" w:rsidRPr="00B0289F" w:rsidRDefault="004C25C8" w:rsidP="00A649A2">
            <w:pPr>
              <w:jc w:val="center"/>
              <w:rPr>
                <w:rFonts w:cs="Arial"/>
                <w:b/>
                <w:bCs/>
                <w:color w:val="000000"/>
                <w:szCs w:val="20"/>
              </w:rPr>
            </w:pPr>
            <w:r w:rsidRPr="00B0289F">
              <w:rPr>
                <w:rFonts w:cs="Arial"/>
                <w:b/>
                <w:bCs/>
                <w:color w:val="000000"/>
                <w:szCs w:val="20"/>
              </w:rPr>
              <w:t>412</w:t>
            </w:r>
          </w:p>
        </w:tc>
        <w:tc>
          <w:tcPr>
            <w:tcW w:w="1400" w:type="dxa"/>
            <w:tcBorders>
              <w:top w:val="single" w:sz="4" w:space="0" w:color="auto"/>
              <w:left w:val="nil"/>
              <w:bottom w:val="single" w:sz="4" w:space="0" w:color="auto"/>
              <w:right w:val="single" w:sz="4" w:space="0" w:color="auto"/>
            </w:tcBorders>
            <w:shd w:val="clear" w:color="auto" w:fill="99CCFF"/>
            <w:noWrap/>
            <w:vAlign w:val="center"/>
            <w:hideMark/>
          </w:tcPr>
          <w:p w:rsidR="004C25C8" w:rsidRPr="00662DAF" w:rsidRDefault="004C25C8" w:rsidP="00A649A2">
            <w:pPr>
              <w:jc w:val="center"/>
              <w:rPr>
                <w:rFonts w:cs="Arial"/>
                <w:b/>
                <w:color w:val="000000"/>
                <w:szCs w:val="20"/>
              </w:rPr>
            </w:pPr>
            <w:r w:rsidRPr="00662DAF">
              <w:rPr>
                <w:rFonts w:cs="Arial"/>
                <w:b/>
                <w:color w:val="000000"/>
                <w:szCs w:val="20"/>
              </w:rPr>
              <w:t>5,93%</w:t>
            </w:r>
          </w:p>
        </w:tc>
      </w:tr>
    </w:tbl>
    <w:p w:rsidR="004C25C8" w:rsidRPr="005F27F5" w:rsidRDefault="004C25C8" w:rsidP="004C25C8">
      <w:pPr>
        <w:autoSpaceDE w:val="0"/>
        <w:autoSpaceDN w:val="0"/>
        <w:adjustRightInd w:val="0"/>
        <w:rPr>
          <w:rFonts w:eastAsia="Calibri" w:cs="ArialNarrow"/>
          <w:i/>
          <w:sz w:val="18"/>
          <w:szCs w:val="20"/>
        </w:rPr>
      </w:pPr>
      <w:r w:rsidRPr="005F27F5">
        <w:rPr>
          <w:rFonts w:eastAsia="Calibri" w:cs="ArialNarrow"/>
          <w:i/>
          <w:sz w:val="18"/>
          <w:szCs w:val="20"/>
        </w:rPr>
        <w:t xml:space="preserve">Źródło: Opracowanie </w:t>
      </w:r>
      <w:r>
        <w:rPr>
          <w:rFonts w:eastAsia="Calibri" w:cs="ArialNarrow"/>
          <w:i/>
          <w:sz w:val="18"/>
          <w:szCs w:val="20"/>
        </w:rPr>
        <w:t>Instytutu Rozwoju Miast</w:t>
      </w:r>
    </w:p>
    <w:p w:rsidR="00B83212" w:rsidRDefault="00B83212" w:rsidP="004C25C8">
      <w:pPr>
        <w:autoSpaceDE w:val="0"/>
        <w:autoSpaceDN w:val="0"/>
        <w:adjustRightInd w:val="0"/>
        <w:ind w:firstLine="708"/>
        <w:jc w:val="both"/>
        <w:rPr>
          <w:rFonts w:eastAsia="Calibri" w:cs="ArialNarrow"/>
          <w:szCs w:val="20"/>
        </w:rPr>
      </w:pPr>
    </w:p>
    <w:p w:rsidR="004C25C8" w:rsidRDefault="004C25C8" w:rsidP="004C25C8">
      <w:pPr>
        <w:autoSpaceDE w:val="0"/>
        <w:autoSpaceDN w:val="0"/>
        <w:adjustRightInd w:val="0"/>
        <w:ind w:firstLine="708"/>
        <w:jc w:val="both"/>
        <w:rPr>
          <w:rFonts w:eastAsia="Calibri" w:cs="ArialNarrow"/>
          <w:szCs w:val="20"/>
        </w:rPr>
      </w:pPr>
      <w:r w:rsidRPr="001C2FD4">
        <w:rPr>
          <w:rFonts w:eastAsia="Calibri" w:cs="ArialNarrow"/>
          <w:szCs w:val="20"/>
        </w:rPr>
        <w:t>Na obszarze rew</w:t>
      </w:r>
      <w:r>
        <w:rPr>
          <w:rFonts w:eastAsia="Calibri" w:cs="ArialNarrow"/>
          <w:szCs w:val="20"/>
        </w:rPr>
        <w:t>italizacji zameldowanych jest 45</w:t>
      </w:r>
      <w:r w:rsidRPr="001C2FD4">
        <w:rPr>
          <w:rFonts w:eastAsia="Calibri" w:cs="ArialNarrow"/>
          <w:szCs w:val="20"/>
        </w:rPr>
        <w:t> 991 osób</w:t>
      </w:r>
      <w:r w:rsidRPr="001C2FD4">
        <w:rPr>
          <w:rStyle w:val="Odwoanieprzypisudolnego"/>
          <w:rFonts w:eastAsia="Calibri" w:cs="ArialNarrow"/>
          <w:szCs w:val="20"/>
        </w:rPr>
        <w:footnoteReference w:id="6"/>
      </w:r>
      <w:r w:rsidRPr="001C2FD4">
        <w:rPr>
          <w:rFonts w:eastAsia="Calibri" w:cs="ArialNarrow"/>
          <w:szCs w:val="20"/>
        </w:rPr>
        <w:t>, co stanowi 28,97% populacji miasta. Jak wynika z</w:t>
      </w:r>
      <w:r>
        <w:rPr>
          <w:rFonts w:eastAsia="Calibri" w:cs="ArialNarrow"/>
          <w:szCs w:val="20"/>
        </w:rPr>
        <w:t> </w:t>
      </w:r>
      <w:r w:rsidRPr="001C2FD4">
        <w:rPr>
          <w:rFonts w:eastAsia="Calibri" w:cs="ArialNarrow"/>
          <w:szCs w:val="20"/>
        </w:rPr>
        <w:t>tabeli, w poszczególnych podobszarach mieszka od 4,6 tys. do 13 tys. osób. Wyjątkiem jest Kolonia Zgorzelec, gdzie mieszkają jedynie 152 osoby. Większość</w:t>
      </w:r>
      <w:r>
        <w:rPr>
          <w:rFonts w:eastAsia="Calibri" w:cs="ArialNarrow"/>
        </w:rPr>
        <w:t xml:space="preserve"> </w:t>
      </w:r>
      <w:r w:rsidRPr="001C2FD4">
        <w:rPr>
          <w:rFonts w:eastAsia="Calibri" w:cs="ArialNarrow"/>
          <w:szCs w:val="20"/>
        </w:rPr>
        <w:t>ludności obszaru rewitalizacji skupiona jest w czterech przylegających do siebie podobszarach śródmiejskich: mieszka tam łącznie ponad 41 tys. osób.</w:t>
      </w:r>
    </w:p>
    <w:p w:rsidR="00BC78A8" w:rsidRDefault="00BC78A8" w:rsidP="004C25C8">
      <w:pPr>
        <w:autoSpaceDE w:val="0"/>
        <w:autoSpaceDN w:val="0"/>
        <w:adjustRightInd w:val="0"/>
        <w:ind w:firstLine="708"/>
        <w:jc w:val="both"/>
        <w:rPr>
          <w:rFonts w:eastAsia="Calibri" w:cs="ArialNarrow"/>
          <w:szCs w:val="20"/>
        </w:rPr>
      </w:pPr>
    </w:p>
    <w:p w:rsidR="004C25C8" w:rsidRPr="00934BB9" w:rsidRDefault="004C25C8" w:rsidP="004C25C8">
      <w:pPr>
        <w:pStyle w:val="Legenda"/>
        <w:spacing w:line="312" w:lineRule="auto"/>
        <w:rPr>
          <w:rFonts w:eastAsia="Calibri"/>
          <w:szCs w:val="24"/>
        </w:rPr>
      </w:pPr>
      <w:bookmarkStart w:id="1215" w:name="_Toc463276358"/>
      <w:bookmarkStart w:id="1216" w:name="_Toc202771098"/>
      <w:r w:rsidRPr="00934BB9">
        <w:lastRenderedPageBreak/>
        <w:t xml:space="preserve">Tabela </w:t>
      </w:r>
      <w:fldSimple w:instr=" SEQ Tabela \* ARABIC ">
        <w:r w:rsidR="00413FFE">
          <w:rPr>
            <w:noProof/>
          </w:rPr>
          <w:t>4</w:t>
        </w:r>
      </w:fldSimple>
      <w:r w:rsidRPr="00934BB9">
        <w:t>. Ludność obszaru rewitalizacji</w:t>
      </w:r>
      <w:r w:rsidRPr="00934BB9">
        <w:rPr>
          <w:rFonts w:eastAsia="Calibri"/>
          <w:szCs w:val="24"/>
        </w:rPr>
        <w:t xml:space="preserve"> (2015 r.)</w:t>
      </w:r>
      <w:bookmarkEnd w:id="1215"/>
      <w:bookmarkEnd w:id="1216"/>
    </w:p>
    <w:tbl>
      <w:tblPr>
        <w:tblW w:w="5000" w:type="pct"/>
        <w:tblCellMar>
          <w:left w:w="70" w:type="dxa"/>
          <w:right w:w="70" w:type="dxa"/>
        </w:tblCellMar>
        <w:tblLook w:val="04A0"/>
      </w:tblPr>
      <w:tblGrid>
        <w:gridCol w:w="4981"/>
        <w:gridCol w:w="1000"/>
        <w:gridCol w:w="1638"/>
        <w:gridCol w:w="1591"/>
      </w:tblGrid>
      <w:tr w:rsidR="004C25C8" w:rsidRPr="00934BB9" w:rsidTr="00A649A2">
        <w:trPr>
          <w:trHeight w:val="389"/>
        </w:trPr>
        <w:tc>
          <w:tcPr>
            <w:tcW w:w="2704" w:type="pct"/>
            <w:tcBorders>
              <w:top w:val="single" w:sz="4" w:space="0" w:color="auto"/>
              <w:left w:val="single" w:sz="4" w:space="0" w:color="auto"/>
              <w:bottom w:val="single" w:sz="4" w:space="0" w:color="auto"/>
              <w:right w:val="single" w:sz="4" w:space="0" w:color="auto"/>
            </w:tcBorders>
            <w:shd w:val="clear" w:color="auto" w:fill="99CCFF"/>
            <w:vAlign w:val="center"/>
            <w:hideMark/>
          </w:tcPr>
          <w:p w:rsidR="004C25C8" w:rsidRPr="00934BB9" w:rsidRDefault="004C25C8" w:rsidP="00A649A2">
            <w:pPr>
              <w:jc w:val="center"/>
              <w:rPr>
                <w:rFonts w:cs="Arial"/>
                <w:b/>
                <w:bCs/>
                <w:color w:val="000000"/>
                <w:szCs w:val="20"/>
              </w:rPr>
            </w:pPr>
            <w:r w:rsidRPr="00934BB9">
              <w:rPr>
                <w:rFonts w:cs="Arial"/>
                <w:b/>
                <w:bCs/>
                <w:color w:val="000000"/>
                <w:szCs w:val="20"/>
              </w:rPr>
              <w:t>Obszar</w:t>
            </w:r>
          </w:p>
        </w:tc>
        <w:tc>
          <w:tcPr>
            <w:tcW w:w="543" w:type="pct"/>
            <w:tcBorders>
              <w:top w:val="single" w:sz="4" w:space="0" w:color="auto"/>
              <w:left w:val="nil"/>
              <w:bottom w:val="single" w:sz="4" w:space="0" w:color="auto"/>
              <w:right w:val="single" w:sz="4" w:space="0" w:color="auto"/>
            </w:tcBorders>
            <w:shd w:val="clear" w:color="auto" w:fill="99CCFF"/>
            <w:vAlign w:val="center"/>
            <w:hideMark/>
          </w:tcPr>
          <w:p w:rsidR="004C25C8" w:rsidRPr="00934BB9" w:rsidRDefault="004C25C8" w:rsidP="00A649A2">
            <w:pPr>
              <w:jc w:val="center"/>
              <w:rPr>
                <w:rFonts w:cs="Arial"/>
                <w:b/>
                <w:bCs/>
                <w:color w:val="000000"/>
                <w:szCs w:val="20"/>
              </w:rPr>
            </w:pPr>
            <w:r w:rsidRPr="00934BB9">
              <w:rPr>
                <w:rFonts w:cs="Arial"/>
                <w:b/>
                <w:bCs/>
                <w:color w:val="000000"/>
                <w:szCs w:val="20"/>
              </w:rPr>
              <w:t>ID obszaru</w:t>
            </w:r>
          </w:p>
        </w:tc>
        <w:tc>
          <w:tcPr>
            <w:tcW w:w="889" w:type="pct"/>
            <w:tcBorders>
              <w:top w:val="single" w:sz="4" w:space="0" w:color="auto"/>
              <w:left w:val="nil"/>
              <w:bottom w:val="single" w:sz="4" w:space="0" w:color="auto"/>
              <w:right w:val="single" w:sz="4" w:space="0" w:color="auto"/>
            </w:tcBorders>
            <w:shd w:val="clear" w:color="auto" w:fill="99CCFF"/>
            <w:vAlign w:val="center"/>
            <w:hideMark/>
          </w:tcPr>
          <w:p w:rsidR="004C25C8" w:rsidRPr="00934BB9" w:rsidRDefault="004C25C8" w:rsidP="00A649A2">
            <w:pPr>
              <w:jc w:val="center"/>
              <w:rPr>
                <w:rFonts w:cs="Arial"/>
                <w:b/>
                <w:bCs/>
                <w:color w:val="000000"/>
                <w:szCs w:val="20"/>
              </w:rPr>
            </w:pPr>
            <w:r w:rsidRPr="00934BB9">
              <w:rPr>
                <w:rFonts w:cs="Arial"/>
                <w:b/>
                <w:bCs/>
                <w:color w:val="000000"/>
                <w:szCs w:val="20"/>
              </w:rPr>
              <w:t>Osoby zameldowane</w:t>
            </w:r>
          </w:p>
        </w:tc>
        <w:tc>
          <w:tcPr>
            <w:tcW w:w="864" w:type="pct"/>
            <w:tcBorders>
              <w:top w:val="single" w:sz="4" w:space="0" w:color="auto"/>
              <w:left w:val="nil"/>
              <w:bottom w:val="single" w:sz="4" w:space="0" w:color="auto"/>
              <w:right w:val="single" w:sz="4" w:space="0" w:color="auto"/>
            </w:tcBorders>
            <w:shd w:val="clear" w:color="auto" w:fill="99CCFF"/>
            <w:vAlign w:val="center"/>
            <w:hideMark/>
          </w:tcPr>
          <w:p w:rsidR="004C25C8" w:rsidRPr="00934BB9" w:rsidRDefault="004C25C8" w:rsidP="00A649A2">
            <w:pPr>
              <w:jc w:val="center"/>
              <w:rPr>
                <w:rFonts w:cs="Arial"/>
                <w:b/>
                <w:bCs/>
                <w:color w:val="000000"/>
                <w:szCs w:val="20"/>
              </w:rPr>
            </w:pPr>
            <w:r w:rsidRPr="00934BB9">
              <w:rPr>
                <w:rFonts w:cs="Arial"/>
                <w:b/>
                <w:bCs/>
                <w:color w:val="000000"/>
                <w:szCs w:val="20"/>
              </w:rPr>
              <w:t>%              populacji miasta</w:t>
            </w:r>
          </w:p>
        </w:tc>
      </w:tr>
      <w:tr w:rsidR="004C25C8" w:rsidRPr="00934BB9" w:rsidTr="00A649A2">
        <w:trPr>
          <w:trHeight w:val="255"/>
        </w:trPr>
        <w:tc>
          <w:tcPr>
            <w:tcW w:w="2704" w:type="pct"/>
            <w:tcBorders>
              <w:top w:val="nil"/>
              <w:left w:val="single" w:sz="4" w:space="0" w:color="auto"/>
              <w:bottom w:val="single" w:sz="4" w:space="0" w:color="auto"/>
              <w:right w:val="single" w:sz="4" w:space="0" w:color="auto"/>
            </w:tcBorders>
            <w:shd w:val="clear" w:color="auto" w:fill="auto"/>
            <w:noWrap/>
            <w:vAlign w:val="bottom"/>
            <w:hideMark/>
          </w:tcPr>
          <w:p w:rsidR="004C25C8" w:rsidRPr="00934BB9" w:rsidRDefault="004C25C8" w:rsidP="00A649A2">
            <w:pPr>
              <w:rPr>
                <w:rFonts w:cs="Arial"/>
                <w:b/>
                <w:bCs/>
                <w:color w:val="000000"/>
                <w:szCs w:val="20"/>
              </w:rPr>
            </w:pPr>
            <w:r w:rsidRPr="00934BB9">
              <w:rPr>
                <w:rFonts w:cs="Arial"/>
                <w:b/>
                <w:bCs/>
                <w:color w:val="000000"/>
                <w:szCs w:val="20"/>
              </w:rPr>
              <w:t>OBSZAR REWITALIZACJI</w:t>
            </w:r>
          </w:p>
        </w:tc>
        <w:tc>
          <w:tcPr>
            <w:tcW w:w="543" w:type="pct"/>
            <w:tcBorders>
              <w:top w:val="nil"/>
              <w:left w:val="nil"/>
              <w:bottom w:val="single" w:sz="4" w:space="0" w:color="auto"/>
              <w:right w:val="single" w:sz="4" w:space="0" w:color="auto"/>
            </w:tcBorders>
            <w:shd w:val="clear" w:color="auto" w:fill="auto"/>
            <w:noWrap/>
            <w:vAlign w:val="bottom"/>
            <w:hideMark/>
          </w:tcPr>
          <w:p w:rsidR="004C25C8" w:rsidRPr="00934BB9" w:rsidRDefault="004C25C8" w:rsidP="00A649A2">
            <w:pPr>
              <w:jc w:val="center"/>
              <w:rPr>
                <w:rFonts w:cs="Arial"/>
                <w:color w:val="000000"/>
                <w:szCs w:val="20"/>
              </w:rPr>
            </w:pPr>
            <w:r w:rsidRPr="00934BB9">
              <w:rPr>
                <w:rFonts w:cs="Arial"/>
                <w:color w:val="000000"/>
                <w:szCs w:val="20"/>
              </w:rPr>
              <w:t> </w:t>
            </w:r>
          </w:p>
        </w:tc>
        <w:tc>
          <w:tcPr>
            <w:tcW w:w="889" w:type="pct"/>
            <w:tcBorders>
              <w:top w:val="nil"/>
              <w:left w:val="nil"/>
              <w:bottom w:val="single" w:sz="4" w:space="0" w:color="auto"/>
              <w:right w:val="single" w:sz="4" w:space="0" w:color="auto"/>
            </w:tcBorders>
            <w:shd w:val="clear" w:color="auto" w:fill="auto"/>
            <w:noWrap/>
            <w:vAlign w:val="bottom"/>
            <w:hideMark/>
          </w:tcPr>
          <w:p w:rsidR="004C25C8" w:rsidRPr="00934BB9" w:rsidRDefault="004C25C8" w:rsidP="00A649A2">
            <w:pPr>
              <w:jc w:val="center"/>
              <w:rPr>
                <w:rFonts w:cs="Arial"/>
                <w:b/>
                <w:bCs/>
                <w:color w:val="000000"/>
                <w:szCs w:val="20"/>
              </w:rPr>
            </w:pPr>
            <w:r w:rsidRPr="00934BB9">
              <w:rPr>
                <w:rFonts w:cs="Arial"/>
                <w:b/>
                <w:bCs/>
                <w:color w:val="000000"/>
                <w:szCs w:val="20"/>
              </w:rPr>
              <w:t>45 991</w:t>
            </w:r>
          </w:p>
        </w:tc>
        <w:tc>
          <w:tcPr>
            <w:tcW w:w="864" w:type="pct"/>
            <w:tcBorders>
              <w:top w:val="nil"/>
              <w:left w:val="nil"/>
              <w:bottom w:val="single" w:sz="4" w:space="0" w:color="auto"/>
              <w:right w:val="single" w:sz="4" w:space="0" w:color="auto"/>
            </w:tcBorders>
            <w:shd w:val="clear" w:color="auto" w:fill="auto"/>
            <w:noWrap/>
            <w:vAlign w:val="bottom"/>
            <w:hideMark/>
          </w:tcPr>
          <w:p w:rsidR="004C25C8" w:rsidRPr="00934BB9" w:rsidRDefault="004C25C8" w:rsidP="00A649A2">
            <w:pPr>
              <w:jc w:val="center"/>
              <w:rPr>
                <w:rFonts w:cs="Arial"/>
                <w:b/>
                <w:bCs/>
                <w:color w:val="000000"/>
                <w:szCs w:val="20"/>
              </w:rPr>
            </w:pPr>
            <w:r w:rsidRPr="00934BB9">
              <w:rPr>
                <w:rFonts w:cs="Arial"/>
                <w:b/>
                <w:bCs/>
                <w:color w:val="000000"/>
                <w:szCs w:val="20"/>
              </w:rPr>
              <w:t>28,97%</w:t>
            </w:r>
          </w:p>
        </w:tc>
      </w:tr>
      <w:tr w:rsidR="004C25C8" w:rsidRPr="00934BB9" w:rsidTr="00A649A2">
        <w:trPr>
          <w:trHeight w:val="255"/>
        </w:trPr>
        <w:tc>
          <w:tcPr>
            <w:tcW w:w="2704" w:type="pct"/>
            <w:tcBorders>
              <w:top w:val="nil"/>
              <w:left w:val="single" w:sz="4" w:space="0" w:color="auto"/>
              <w:bottom w:val="single" w:sz="4" w:space="0" w:color="auto"/>
              <w:right w:val="single" w:sz="4" w:space="0" w:color="auto"/>
            </w:tcBorders>
            <w:shd w:val="clear" w:color="auto" w:fill="auto"/>
            <w:noWrap/>
            <w:vAlign w:val="bottom"/>
            <w:hideMark/>
          </w:tcPr>
          <w:p w:rsidR="004C25C8" w:rsidRPr="00934BB9" w:rsidRDefault="004C25C8" w:rsidP="00A649A2">
            <w:pPr>
              <w:rPr>
                <w:rFonts w:cs="Arial"/>
                <w:color w:val="000000"/>
                <w:szCs w:val="20"/>
              </w:rPr>
            </w:pPr>
            <w:r w:rsidRPr="00934BB9">
              <w:rPr>
                <w:rFonts w:cs="Arial"/>
                <w:color w:val="000000"/>
                <w:szCs w:val="20"/>
              </w:rPr>
              <w:t xml:space="preserve">     W tym:</w:t>
            </w:r>
          </w:p>
        </w:tc>
        <w:tc>
          <w:tcPr>
            <w:tcW w:w="543" w:type="pct"/>
            <w:tcBorders>
              <w:top w:val="nil"/>
              <w:left w:val="nil"/>
              <w:bottom w:val="single" w:sz="4" w:space="0" w:color="auto"/>
              <w:right w:val="single" w:sz="4" w:space="0" w:color="auto"/>
            </w:tcBorders>
            <w:shd w:val="clear" w:color="auto" w:fill="auto"/>
            <w:noWrap/>
            <w:vAlign w:val="bottom"/>
            <w:hideMark/>
          </w:tcPr>
          <w:p w:rsidR="004C25C8" w:rsidRPr="00934BB9" w:rsidRDefault="004C25C8" w:rsidP="00A649A2">
            <w:pPr>
              <w:rPr>
                <w:rFonts w:cs="Arial"/>
                <w:color w:val="000000"/>
                <w:szCs w:val="20"/>
              </w:rPr>
            </w:pPr>
            <w:r w:rsidRPr="00934BB9">
              <w:rPr>
                <w:rFonts w:cs="Arial"/>
                <w:color w:val="000000"/>
                <w:szCs w:val="20"/>
              </w:rPr>
              <w:t> </w:t>
            </w:r>
          </w:p>
        </w:tc>
        <w:tc>
          <w:tcPr>
            <w:tcW w:w="889" w:type="pct"/>
            <w:tcBorders>
              <w:top w:val="nil"/>
              <w:left w:val="nil"/>
              <w:bottom w:val="single" w:sz="4" w:space="0" w:color="auto"/>
              <w:right w:val="single" w:sz="4" w:space="0" w:color="auto"/>
            </w:tcBorders>
            <w:shd w:val="clear" w:color="auto" w:fill="auto"/>
            <w:noWrap/>
            <w:vAlign w:val="bottom"/>
            <w:hideMark/>
          </w:tcPr>
          <w:p w:rsidR="004C25C8" w:rsidRPr="00934BB9" w:rsidRDefault="004C25C8" w:rsidP="00A649A2">
            <w:pPr>
              <w:rPr>
                <w:rFonts w:cs="Arial"/>
                <w:color w:val="000000"/>
                <w:szCs w:val="20"/>
              </w:rPr>
            </w:pPr>
            <w:r w:rsidRPr="00934BB9">
              <w:rPr>
                <w:rFonts w:cs="Arial"/>
                <w:color w:val="000000"/>
                <w:szCs w:val="20"/>
              </w:rPr>
              <w:t> </w:t>
            </w:r>
          </w:p>
        </w:tc>
        <w:tc>
          <w:tcPr>
            <w:tcW w:w="864" w:type="pct"/>
            <w:tcBorders>
              <w:top w:val="nil"/>
              <w:left w:val="nil"/>
              <w:bottom w:val="single" w:sz="4" w:space="0" w:color="auto"/>
              <w:right w:val="single" w:sz="4" w:space="0" w:color="auto"/>
            </w:tcBorders>
            <w:shd w:val="clear" w:color="auto" w:fill="auto"/>
            <w:noWrap/>
            <w:vAlign w:val="bottom"/>
            <w:hideMark/>
          </w:tcPr>
          <w:p w:rsidR="004C25C8" w:rsidRPr="00934BB9" w:rsidRDefault="004C25C8" w:rsidP="00A649A2">
            <w:pPr>
              <w:rPr>
                <w:rFonts w:cs="Arial"/>
                <w:color w:val="000000"/>
                <w:szCs w:val="20"/>
              </w:rPr>
            </w:pPr>
            <w:r w:rsidRPr="00934BB9">
              <w:rPr>
                <w:rFonts w:cs="Arial"/>
                <w:color w:val="000000"/>
                <w:szCs w:val="20"/>
              </w:rPr>
              <w:t> </w:t>
            </w:r>
          </w:p>
        </w:tc>
      </w:tr>
      <w:tr w:rsidR="004C25C8" w:rsidRPr="00934BB9" w:rsidTr="00A649A2">
        <w:trPr>
          <w:trHeight w:val="255"/>
        </w:trPr>
        <w:tc>
          <w:tcPr>
            <w:tcW w:w="2704" w:type="pct"/>
            <w:tcBorders>
              <w:top w:val="nil"/>
              <w:left w:val="single" w:sz="4" w:space="0" w:color="auto"/>
              <w:bottom w:val="single" w:sz="4" w:space="0" w:color="auto"/>
              <w:right w:val="single" w:sz="4" w:space="0" w:color="auto"/>
            </w:tcBorders>
            <w:shd w:val="clear" w:color="auto" w:fill="auto"/>
            <w:noWrap/>
            <w:vAlign w:val="bottom"/>
            <w:hideMark/>
          </w:tcPr>
          <w:p w:rsidR="004C25C8" w:rsidRPr="00934BB9" w:rsidRDefault="004C25C8" w:rsidP="00A649A2">
            <w:pPr>
              <w:rPr>
                <w:rFonts w:cs="Arial"/>
                <w:color w:val="000000"/>
                <w:szCs w:val="20"/>
              </w:rPr>
            </w:pPr>
            <w:r w:rsidRPr="00934BB9">
              <w:rPr>
                <w:rFonts w:cs="Arial"/>
                <w:color w:val="000000"/>
                <w:szCs w:val="20"/>
              </w:rPr>
              <w:t>Bobrek</w:t>
            </w:r>
          </w:p>
        </w:tc>
        <w:tc>
          <w:tcPr>
            <w:tcW w:w="543" w:type="pct"/>
            <w:tcBorders>
              <w:top w:val="nil"/>
              <w:left w:val="nil"/>
              <w:bottom w:val="single" w:sz="4" w:space="0" w:color="auto"/>
              <w:right w:val="single" w:sz="4" w:space="0" w:color="auto"/>
            </w:tcBorders>
            <w:shd w:val="clear" w:color="auto" w:fill="auto"/>
            <w:noWrap/>
            <w:vAlign w:val="bottom"/>
            <w:hideMark/>
          </w:tcPr>
          <w:p w:rsidR="004C25C8" w:rsidRPr="00934BB9" w:rsidRDefault="004C25C8" w:rsidP="00A649A2">
            <w:pPr>
              <w:jc w:val="center"/>
              <w:rPr>
                <w:rFonts w:cs="Arial"/>
                <w:color w:val="000000"/>
                <w:szCs w:val="20"/>
              </w:rPr>
            </w:pPr>
            <w:r w:rsidRPr="00934BB9">
              <w:rPr>
                <w:rFonts w:cs="Arial"/>
                <w:color w:val="000000"/>
                <w:szCs w:val="20"/>
              </w:rPr>
              <w:t>8</w:t>
            </w:r>
          </w:p>
        </w:tc>
        <w:tc>
          <w:tcPr>
            <w:tcW w:w="889" w:type="pct"/>
            <w:tcBorders>
              <w:top w:val="nil"/>
              <w:left w:val="nil"/>
              <w:bottom w:val="single" w:sz="4" w:space="0" w:color="auto"/>
              <w:right w:val="single" w:sz="4" w:space="0" w:color="auto"/>
            </w:tcBorders>
            <w:shd w:val="clear" w:color="auto" w:fill="auto"/>
            <w:noWrap/>
            <w:vAlign w:val="bottom"/>
            <w:hideMark/>
          </w:tcPr>
          <w:p w:rsidR="004C25C8" w:rsidRPr="00934BB9" w:rsidRDefault="004C25C8" w:rsidP="00A649A2">
            <w:pPr>
              <w:jc w:val="center"/>
              <w:rPr>
                <w:rFonts w:cs="Arial"/>
                <w:color w:val="000000"/>
                <w:szCs w:val="20"/>
              </w:rPr>
            </w:pPr>
            <w:r w:rsidRPr="00934BB9">
              <w:rPr>
                <w:rFonts w:cs="Arial"/>
                <w:color w:val="000000"/>
                <w:szCs w:val="20"/>
              </w:rPr>
              <w:t>4 664</w:t>
            </w:r>
          </w:p>
        </w:tc>
        <w:tc>
          <w:tcPr>
            <w:tcW w:w="864" w:type="pct"/>
            <w:tcBorders>
              <w:top w:val="nil"/>
              <w:left w:val="nil"/>
              <w:bottom w:val="single" w:sz="4" w:space="0" w:color="auto"/>
              <w:right w:val="single" w:sz="4" w:space="0" w:color="auto"/>
            </w:tcBorders>
            <w:shd w:val="clear" w:color="auto" w:fill="auto"/>
            <w:noWrap/>
            <w:vAlign w:val="bottom"/>
            <w:hideMark/>
          </w:tcPr>
          <w:p w:rsidR="004C25C8" w:rsidRPr="00934BB9" w:rsidRDefault="004C25C8" w:rsidP="00A649A2">
            <w:pPr>
              <w:jc w:val="center"/>
              <w:rPr>
                <w:rFonts w:cs="Arial"/>
                <w:color w:val="000000"/>
                <w:szCs w:val="20"/>
              </w:rPr>
            </w:pPr>
            <w:r w:rsidRPr="00934BB9">
              <w:rPr>
                <w:rFonts w:cs="Arial"/>
                <w:color w:val="000000"/>
                <w:szCs w:val="20"/>
              </w:rPr>
              <w:t>2,94%</w:t>
            </w:r>
          </w:p>
        </w:tc>
      </w:tr>
      <w:tr w:rsidR="004C25C8" w:rsidRPr="00934BB9" w:rsidTr="00A649A2">
        <w:trPr>
          <w:trHeight w:val="255"/>
        </w:trPr>
        <w:tc>
          <w:tcPr>
            <w:tcW w:w="2704" w:type="pct"/>
            <w:tcBorders>
              <w:top w:val="nil"/>
              <w:left w:val="single" w:sz="4" w:space="0" w:color="auto"/>
              <w:bottom w:val="single" w:sz="4" w:space="0" w:color="auto"/>
              <w:right w:val="single" w:sz="4" w:space="0" w:color="auto"/>
            </w:tcBorders>
            <w:shd w:val="clear" w:color="auto" w:fill="auto"/>
            <w:noWrap/>
            <w:vAlign w:val="bottom"/>
            <w:hideMark/>
          </w:tcPr>
          <w:p w:rsidR="004C25C8" w:rsidRPr="00934BB9" w:rsidRDefault="004C25C8" w:rsidP="00A649A2">
            <w:pPr>
              <w:rPr>
                <w:rFonts w:cs="Arial"/>
                <w:color w:val="000000"/>
                <w:szCs w:val="20"/>
              </w:rPr>
            </w:pPr>
            <w:r w:rsidRPr="00934BB9">
              <w:rPr>
                <w:rFonts w:cs="Arial"/>
                <w:color w:val="000000"/>
                <w:szCs w:val="20"/>
              </w:rPr>
              <w:t>Śródmieście</w:t>
            </w:r>
          </w:p>
        </w:tc>
        <w:tc>
          <w:tcPr>
            <w:tcW w:w="543" w:type="pct"/>
            <w:tcBorders>
              <w:top w:val="nil"/>
              <w:left w:val="nil"/>
              <w:bottom w:val="single" w:sz="4" w:space="0" w:color="auto"/>
              <w:right w:val="single" w:sz="4" w:space="0" w:color="auto"/>
            </w:tcBorders>
            <w:shd w:val="clear" w:color="auto" w:fill="auto"/>
            <w:noWrap/>
            <w:vAlign w:val="bottom"/>
            <w:hideMark/>
          </w:tcPr>
          <w:p w:rsidR="004C25C8" w:rsidRPr="00934BB9" w:rsidRDefault="004C25C8" w:rsidP="00A649A2">
            <w:pPr>
              <w:jc w:val="center"/>
              <w:rPr>
                <w:rFonts w:cs="Arial"/>
                <w:color w:val="000000"/>
                <w:szCs w:val="20"/>
              </w:rPr>
            </w:pPr>
            <w:r w:rsidRPr="00934BB9">
              <w:rPr>
                <w:rFonts w:cs="Arial"/>
                <w:color w:val="000000"/>
                <w:szCs w:val="20"/>
              </w:rPr>
              <w:t>10</w:t>
            </w:r>
          </w:p>
        </w:tc>
        <w:tc>
          <w:tcPr>
            <w:tcW w:w="889" w:type="pct"/>
            <w:tcBorders>
              <w:top w:val="nil"/>
              <w:left w:val="nil"/>
              <w:bottom w:val="single" w:sz="4" w:space="0" w:color="auto"/>
              <w:right w:val="single" w:sz="4" w:space="0" w:color="auto"/>
            </w:tcBorders>
            <w:shd w:val="clear" w:color="auto" w:fill="auto"/>
            <w:noWrap/>
            <w:vAlign w:val="bottom"/>
            <w:hideMark/>
          </w:tcPr>
          <w:p w:rsidR="004C25C8" w:rsidRPr="00934BB9" w:rsidRDefault="004C25C8" w:rsidP="00A649A2">
            <w:pPr>
              <w:jc w:val="center"/>
              <w:rPr>
                <w:rFonts w:cs="Arial"/>
                <w:color w:val="000000"/>
                <w:szCs w:val="20"/>
              </w:rPr>
            </w:pPr>
            <w:r w:rsidRPr="00934BB9">
              <w:rPr>
                <w:rFonts w:cs="Arial"/>
                <w:color w:val="000000"/>
                <w:szCs w:val="20"/>
              </w:rPr>
              <w:t>13 060</w:t>
            </w:r>
          </w:p>
        </w:tc>
        <w:tc>
          <w:tcPr>
            <w:tcW w:w="864" w:type="pct"/>
            <w:tcBorders>
              <w:top w:val="nil"/>
              <w:left w:val="nil"/>
              <w:bottom w:val="single" w:sz="4" w:space="0" w:color="auto"/>
              <w:right w:val="single" w:sz="4" w:space="0" w:color="auto"/>
            </w:tcBorders>
            <w:shd w:val="clear" w:color="auto" w:fill="auto"/>
            <w:noWrap/>
            <w:vAlign w:val="bottom"/>
            <w:hideMark/>
          </w:tcPr>
          <w:p w:rsidR="004C25C8" w:rsidRPr="00934BB9" w:rsidRDefault="004C25C8" w:rsidP="00A649A2">
            <w:pPr>
              <w:jc w:val="center"/>
              <w:rPr>
                <w:rFonts w:cs="Arial"/>
                <w:color w:val="000000"/>
                <w:szCs w:val="20"/>
              </w:rPr>
            </w:pPr>
            <w:r w:rsidRPr="00934BB9">
              <w:rPr>
                <w:rFonts w:cs="Arial"/>
                <w:color w:val="000000"/>
                <w:szCs w:val="20"/>
              </w:rPr>
              <w:t>8,22%</w:t>
            </w:r>
          </w:p>
        </w:tc>
      </w:tr>
      <w:tr w:rsidR="004C25C8" w:rsidRPr="00934BB9" w:rsidTr="00A649A2">
        <w:trPr>
          <w:trHeight w:val="255"/>
        </w:trPr>
        <w:tc>
          <w:tcPr>
            <w:tcW w:w="2704" w:type="pct"/>
            <w:tcBorders>
              <w:top w:val="nil"/>
              <w:left w:val="single" w:sz="4" w:space="0" w:color="auto"/>
              <w:bottom w:val="single" w:sz="4" w:space="0" w:color="auto"/>
              <w:right w:val="single" w:sz="4" w:space="0" w:color="auto"/>
            </w:tcBorders>
            <w:shd w:val="clear" w:color="auto" w:fill="auto"/>
            <w:noWrap/>
            <w:vAlign w:val="bottom"/>
            <w:hideMark/>
          </w:tcPr>
          <w:p w:rsidR="004C25C8" w:rsidRPr="00934BB9" w:rsidRDefault="004C25C8" w:rsidP="00A649A2">
            <w:pPr>
              <w:rPr>
                <w:rFonts w:cs="Arial"/>
                <w:color w:val="000000"/>
                <w:szCs w:val="20"/>
              </w:rPr>
            </w:pPr>
            <w:r w:rsidRPr="00934BB9">
              <w:rPr>
                <w:rFonts w:cs="Arial"/>
                <w:color w:val="000000"/>
                <w:szCs w:val="20"/>
              </w:rPr>
              <w:t>Śródmieście Zachód</w:t>
            </w:r>
          </w:p>
        </w:tc>
        <w:tc>
          <w:tcPr>
            <w:tcW w:w="543" w:type="pct"/>
            <w:tcBorders>
              <w:top w:val="nil"/>
              <w:left w:val="nil"/>
              <w:bottom w:val="single" w:sz="4" w:space="0" w:color="auto"/>
              <w:right w:val="single" w:sz="4" w:space="0" w:color="auto"/>
            </w:tcBorders>
            <w:shd w:val="clear" w:color="auto" w:fill="auto"/>
            <w:noWrap/>
            <w:vAlign w:val="bottom"/>
            <w:hideMark/>
          </w:tcPr>
          <w:p w:rsidR="004C25C8" w:rsidRPr="00934BB9" w:rsidRDefault="004C25C8" w:rsidP="00A649A2">
            <w:pPr>
              <w:jc w:val="center"/>
              <w:rPr>
                <w:rFonts w:cs="Arial"/>
                <w:color w:val="000000"/>
                <w:szCs w:val="20"/>
              </w:rPr>
            </w:pPr>
            <w:r w:rsidRPr="00934BB9">
              <w:rPr>
                <w:rFonts w:cs="Arial"/>
                <w:color w:val="000000"/>
                <w:szCs w:val="20"/>
              </w:rPr>
              <w:t>11</w:t>
            </w:r>
          </w:p>
        </w:tc>
        <w:tc>
          <w:tcPr>
            <w:tcW w:w="889" w:type="pct"/>
            <w:tcBorders>
              <w:top w:val="nil"/>
              <w:left w:val="nil"/>
              <w:bottom w:val="single" w:sz="4" w:space="0" w:color="auto"/>
              <w:right w:val="single" w:sz="4" w:space="0" w:color="auto"/>
            </w:tcBorders>
            <w:shd w:val="clear" w:color="auto" w:fill="auto"/>
            <w:noWrap/>
            <w:vAlign w:val="bottom"/>
            <w:hideMark/>
          </w:tcPr>
          <w:p w:rsidR="004C25C8" w:rsidRPr="00934BB9" w:rsidRDefault="004C25C8" w:rsidP="00A649A2">
            <w:pPr>
              <w:jc w:val="center"/>
              <w:rPr>
                <w:rFonts w:cs="Arial"/>
                <w:color w:val="000000"/>
                <w:szCs w:val="20"/>
              </w:rPr>
            </w:pPr>
            <w:r w:rsidRPr="00934BB9">
              <w:rPr>
                <w:rFonts w:cs="Arial"/>
                <w:color w:val="000000"/>
                <w:szCs w:val="20"/>
              </w:rPr>
              <w:t>8 610</w:t>
            </w:r>
          </w:p>
        </w:tc>
        <w:tc>
          <w:tcPr>
            <w:tcW w:w="864" w:type="pct"/>
            <w:tcBorders>
              <w:top w:val="nil"/>
              <w:left w:val="nil"/>
              <w:bottom w:val="single" w:sz="4" w:space="0" w:color="auto"/>
              <w:right w:val="single" w:sz="4" w:space="0" w:color="auto"/>
            </w:tcBorders>
            <w:shd w:val="clear" w:color="auto" w:fill="auto"/>
            <w:noWrap/>
            <w:vAlign w:val="bottom"/>
            <w:hideMark/>
          </w:tcPr>
          <w:p w:rsidR="004C25C8" w:rsidRPr="00934BB9" w:rsidRDefault="004C25C8" w:rsidP="00A649A2">
            <w:pPr>
              <w:jc w:val="center"/>
              <w:rPr>
                <w:rFonts w:cs="Arial"/>
                <w:color w:val="000000"/>
                <w:szCs w:val="20"/>
              </w:rPr>
            </w:pPr>
            <w:r w:rsidRPr="00934BB9">
              <w:rPr>
                <w:rFonts w:cs="Arial"/>
                <w:color w:val="000000"/>
                <w:szCs w:val="20"/>
              </w:rPr>
              <w:t>5,42%</w:t>
            </w:r>
          </w:p>
        </w:tc>
      </w:tr>
      <w:tr w:rsidR="004C25C8" w:rsidRPr="00934BB9" w:rsidTr="00A649A2">
        <w:trPr>
          <w:trHeight w:val="255"/>
        </w:trPr>
        <w:tc>
          <w:tcPr>
            <w:tcW w:w="2704" w:type="pct"/>
            <w:tcBorders>
              <w:top w:val="nil"/>
              <w:left w:val="single" w:sz="4" w:space="0" w:color="auto"/>
              <w:bottom w:val="single" w:sz="4" w:space="0" w:color="auto"/>
              <w:right w:val="single" w:sz="4" w:space="0" w:color="auto"/>
            </w:tcBorders>
            <w:shd w:val="clear" w:color="auto" w:fill="auto"/>
            <w:noWrap/>
            <w:vAlign w:val="bottom"/>
            <w:hideMark/>
          </w:tcPr>
          <w:p w:rsidR="004C25C8" w:rsidRPr="00934BB9" w:rsidRDefault="004C25C8" w:rsidP="00A649A2">
            <w:pPr>
              <w:rPr>
                <w:rFonts w:cs="Arial"/>
                <w:color w:val="000000"/>
                <w:szCs w:val="20"/>
              </w:rPr>
            </w:pPr>
            <w:r w:rsidRPr="00934BB9">
              <w:rPr>
                <w:rFonts w:cs="Arial"/>
                <w:color w:val="000000"/>
                <w:szCs w:val="20"/>
              </w:rPr>
              <w:t>Rozbark</w:t>
            </w:r>
          </w:p>
        </w:tc>
        <w:tc>
          <w:tcPr>
            <w:tcW w:w="543" w:type="pct"/>
            <w:tcBorders>
              <w:top w:val="nil"/>
              <w:left w:val="nil"/>
              <w:bottom w:val="single" w:sz="4" w:space="0" w:color="auto"/>
              <w:right w:val="single" w:sz="4" w:space="0" w:color="auto"/>
            </w:tcBorders>
            <w:shd w:val="clear" w:color="auto" w:fill="auto"/>
            <w:noWrap/>
            <w:vAlign w:val="bottom"/>
            <w:hideMark/>
          </w:tcPr>
          <w:p w:rsidR="004C25C8" w:rsidRPr="00934BB9" w:rsidRDefault="004C25C8" w:rsidP="00A649A2">
            <w:pPr>
              <w:jc w:val="center"/>
              <w:rPr>
                <w:rFonts w:cs="Arial"/>
                <w:color w:val="000000"/>
                <w:szCs w:val="20"/>
              </w:rPr>
            </w:pPr>
            <w:r w:rsidRPr="00934BB9">
              <w:rPr>
                <w:rFonts w:cs="Arial"/>
                <w:color w:val="000000"/>
                <w:szCs w:val="20"/>
              </w:rPr>
              <w:t>12</w:t>
            </w:r>
          </w:p>
        </w:tc>
        <w:tc>
          <w:tcPr>
            <w:tcW w:w="889" w:type="pct"/>
            <w:tcBorders>
              <w:top w:val="nil"/>
              <w:left w:val="nil"/>
              <w:bottom w:val="single" w:sz="4" w:space="0" w:color="auto"/>
              <w:right w:val="single" w:sz="4" w:space="0" w:color="auto"/>
            </w:tcBorders>
            <w:shd w:val="clear" w:color="auto" w:fill="auto"/>
            <w:noWrap/>
            <w:vAlign w:val="bottom"/>
            <w:hideMark/>
          </w:tcPr>
          <w:p w:rsidR="004C25C8" w:rsidRPr="00934BB9" w:rsidRDefault="004C25C8" w:rsidP="00A649A2">
            <w:pPr>
              <w:jc w:val="center"/>
              <w:rPr>
                <w:rFonts w:cs="Arial"/>
                <w:color w:val="000000"/>
                <w:szCs w:val="20"/>
              </w:rPr>
            </w:pPr>
            <w:r w:rsidRPr="00934BB9">
              <w:rPr>
                <w:rFonts w:cs="Arial"/>
                <w:color w:val="000000"/>
                <w:szCs w:val="20"/>
              </w:rPr>
              <w:t>7 904</w:t>
            </w:r>
          </w:p>
        </w:tc>
        <w:tc>
          <w:tcPr>
            <w:tcW w:w="864" w:type="pct"/>
            <w:tcBorders>
              <w:top w:val="nil"/>
              <w:left w:val="nil"/>
              <w:bottom w:val="single" w:sz="4" w:space="0" w:color="auto"/>
              <w:right w:val="single" w:sz="4" w:space="0" w:color="auto"/>
            </w:tcBorders>
            <w:shd w:val="clear" w:color="auto" w:fill="auto"/>
            <w:noWrap/>
            <w:vAlign w:val="bottom"/>
            <w:hideMark/>
          </w:tcPr>
          <w:p w:rsidR="004C25C8" w:rsidRPr="00934BB9" w:rsidRDefault="004C25C8" w:rsidP="00A649A2">
            <w:pPr>
              <w:jc w:val="center"/>
              <w:rPr>
                <w:rFonts w:cs="Arial"/>
                <w:color w:val="000000"/>
                <w:szCs w:val="20"/>
              </w:rPr>
            </w:pPr>
            <w:r w:rsidRPr="00934BB9">
              <w:rPr>
                <w:rFonts w:cs="Arial"/>
                <w:color w:val="000000"/>
                <w:szCs w:val="20"/>
              </w:rPr>
              <w:t>4,98%</w:t>
            </w:r>
          </w:p>
        </w:tc>
      </w:tr>
      <w:tr w:rsidR="004C25C8" w:rsidRPr="00934BB9" w:rsidTr="00A649A2">
        <w:trPr>
          <w:trHeight w:val="255"/>
        </w:trPr>
        <w:tc>
          <w:tcPr>
            <w:tcW w:w="2704" w:type="pct"/>
            <w:tcBorders>
              <w:top w:val="nil"/>
              <w:left w:val="single" w:sz="4" w:space="0" w:color="auto"/>
              <w:bottom w:val="single" w:sz="4" w:space="0" w:color="auto"/>
              <w:right w:val="single" w:sz="4" w:space="0" w:color="auto"/>
            </w:tcBorders>
            <w:shd w:val="clear" w:color="auto" w:fill="auto"/>
            <w:noWrap/>
            <w:vAlign w:val="bottom"/>
            <w:hideMark/>
          </w:tcPr>
          <w:p w:rsidR="004C25C8" w:rsidRPr="00934BB9" w:rsidRDefault="004C25C8" w:rsidP="00A649A2">
            <w:pPr>
              <w:rPr>
                <w:rFonts w:cs="Arial"/>
                <w:color w:val="000000"/>
                <w:szCs w:val="20"/>
              </w:rPr>
            </w:pPr>
            <w:r w:rsidRPr="00934BB9">
              <w:rPr>
                <w:rFonts w:cs="Arial"/>
                <w:color w:val="000000"/>
                <w:szCs w:val="20"/>
              </w:rPr>
              <w:t>Śródmieście Północ</w:t>
            </w:r>
          </w:p>
        </w:tc>
        <w:tc>
          <w:tcPr>
            <w:tcW w:w="543" w:type="pct"/>
            <w:tcBorders>
              <w:top w:val="nil"/>
              <w:left w:val="nil"/>
              <w:bottom w:val="single" w:sz="4" w:space="0" w:color="auto"/>
              <w:right w:val="single" w:sz="4" w:space="0" w:color="auto"/>
            </w:tcBorders>
            <w:shd w:val="clear" w:color="auto" w:fill="auto"/>
            <w:noWrap/>
            <w:vAlign w:val="bottom"/>
            <w:hideMark/>
          </w:tcPr>
          <w:p w:rsidR="004C25C8" w:rsidRPr="00934BB9" w:rsidRDefault="004C25C8" w:rsidP="00A649A2">
            <w:pPr>
              <w:jc w:val="center"/>
              <w:rPr>
                <w:rFonts w:cs="Arial"/>
                <w:color w:val="000000"/>
                <w:szCs w:val="20"/>
              </w:rPr>
            </w:pPr>
            <w:r w:rsidRPr="00934BB9">
              <w:rPr>
                <w:rFonts w:cs="Arial"/>
                <w:color w:val="000000"/>
                <w:szCs w:val="20"/>
              </w:rPr>
              <w:t>13</w:t>
            </w:r>
          </w:p>
        </w:tc>
        <w:tc>
          <w:tcPr>
            <w:tcW w:w="889" w:type="pct"/>
            <w:tcBorders>
              <w:top w:val="nil"/>
              <w:left w:val="nil"/>
              <w:bottom w:val="single" w:sz="4" w:space="0" w:color="auto"/>
              <w:right w:val="single" w:sz="4" w:space="0" w:color="auto"/>
            </w:tcBorders>
            <w:shd w:val="clear" w:color="auto" w:fill="auto"/>
            <w:noWrap/>
            <w:vAlign w:val="bottom"/>
            <w:hideMark/>
          </w:tcPr>
          <w:p w:rsidR="004C25C8" w:rsidRPr="00934BB9" w:rsidRDefault="004C25C8" w:rsidP="00A649A2">
            <w:pPr>
              <w:jc w:val="center"/>
              <w:rPr>
                <w:rFonts w:cs="Arial"/>
                <w:color w:val="000000"/>
                <w:szCs w:val="20"/>
              </w:rPr>
            </w:pPr>
            <w:r w:rsidRPr="00934BB9">
              <w:rPr>
                <w:rFonts w:cs="Arial"/>
                <w:color w:val="000000"/>
                <w:szCs w:val="20"/>
              </w:rPr>
              <w:t>11 601</w:t>
            </w:r>
          </w:p>
        </w:tc>
        <w:tc>
          <w:tcPr>
            <w:tcW w:w="864" w:type="pct"/>
            <w:tcBorders>
              <w:top w:val="nil"/>
              <w:left w:val="nil"/>
              <w:bottom w:val="single" w:sz="4" w:space="0" w:color="auto"/>
              <w:right w:val="single" w:sz="4" w:space="0" w:color="auto"/>
            </w:tcBorders>
            <w:shd w:val="clear" w:color="auto" w:fill="auto"/>
            <w:noWrap/>
            <w:vAlign w:val="bottom"/>
            <w:hideMark/>
          </w:tcPr>
          <w:p w:rsidR="004C25C8" w:rsidRPr="00934BB9" w:rsidRDefault="004C25C8" w:rsidP="00A649A2">
            <w:pPr>
              <w:jc w:val="center"/>
              <w:rPr>
                <w:rFonts w:cs="Arial"/>
                <w:color w:val="000000"/>
                <w:szCs w:val="20"/>
              </w:rPr>
            </w:pPr>
            <w:r w:rsidRPr="00934BB9">
              <w:rPr>
                <w:rFonts w:cs="Arial"/>
                <w:color w:val="000000"/>
                <w:szCs w:val="20"/>
              </w:rPr>
              <w:t>7,31%</w:t>
            </w:r>
          </w:p>
        </w:tc>
      </w:tr>
      <w:tr w:rsidR="004C25C8" w:rsidRPr="00934BB9" w:rsidTr="00A649A2">
        <w:trPr>
          <w:trHeight w:val="255"/>
        </w:trPr>
        <w:tc>
          <w:tcPr>
            <w:tcW w:w="2704" w:type="pct"/>
            <w:tcBorders>
              <w:top w:val="nil"/>
              <w:left w:val="single" w:sz="4" w:space="0" w:color="auto"/>
              <w:bottom w:val="single" w:sz="4" w:space="0" w:color="auto"/>
              <w:right w:val="single" w:sz="4" w:space="0" w:color="auto"/>
            </w:tcBorders>
            <w:shd w:val="clear" w:color="auto" w:fill="auto"/>
            <w:noWrap/>
            <w:vAlign w:val="bottom"/>
            <w:hideMark/>
          </w:tcPr>
          <w:p w:rsidR="004C25C8" w:rsidRPr="00934BB9" w:rsidRDefault="004C25C8" w:rsidP="00A649A2">
            <w:pPr>
              <w:rPr>
                <w:rFonts w:cs="Arial"/>
                <w:color w:val="000000"/>
                <w:szCs w:val="20"/>
              </w:rPr>
            </w:pPr>
            <w:r w:rsidRPr="00934BB9">
              <w:rPr>
                <w:rFonts w:cs="Arial"/>
                <w:color w:val="000000"/>
                <w:szCs w:val="20"/>
              </w:rPr>
              <w:t>Kolonia Zgorzelec</w:t>
            </w:r>
          </w:p>
        </w:tc>
        <w:tc>
          <w:tcPr>
            <w:tcW w:w="543" w:type="pct"/>
            <w:tcBorders>
              <w:top w:val="nil"/>
              <w:left w:val="nil"/>
              <w:bottom w:val="single" w:sz="4" w:space="0" w:color="auto"/>
              <w:right w:val="single" w:sz="4" w:space="0" w:color="auto"/>
            </w:tcBorders>
            <w:shd w:val="clear" w:color="auto" w:fill="auto"/>
            <w:noWrap/>
            <w:vAlign w:val="bottom"/>
            <w:hideMark/>
          </w:tcPr>
          <w:p w:rsidR="004C25C8" w:rsidRPr="00934BB9" w:rsidRDefault="004C25C8" w:rsidP="00A649A2">
            <w:pPr>
              <w:jc w:val="center"/>
              <w:rPr>
                <w:rFonts w:cs="Arial"/>
                <w:color w:val="000000"/>
                <w:szCs w:val="20"/>
              </w:rPr>
            </w:pPr>
            <w:r w:rsidRPr="00934BB9">
              <w:rPr>
                <w:rFonts w:cs="Arial"/>
                <w:color w:val="000000"/>
                <w:szCs w:val="20"/>
              </w:rPr>
              <w:t>19</w:t>
            </w:r>
          </w:p>
        </w:tc>
        <w:tc>
          <w:tcPr>
            <w:tcW w:w="889" w:type="pct"/>
            <w:tcBorders>
              <w:top w:val="nil"/>
              <w:left w:val="nil"/>
              <w:bottom w:val="single" w:sz="4" w:space="0" w:color="auto"/>
              <w:right w:val="single" w:sz="4" w:space="0" w:color="auto"/>
            </w:tcBorders>
            <w:shd w:val="clear" w:color="auto" w:fill="auto"/>
            <w:noWrap/>
            <w:vAlign w:val="bottom"/>
            <w:hideMark/>
          </w:tcPr>
          <w:p w:rsidR="004C25C8" w:rsidRPr="00934BB9" w:rsidRDefault="004C25C8" w:rsidP="00A649A2">
            <w:pPr>
              <w:jc w:val="center"/>
              <w:rPr>
                <w:rFonts w:cs="Arial"/>
                <w:color w:val="000000"/>
                <w:szCs w:val="20"/>
              </w:rPr>
            </w:pPr>
            <w:r w:rsidRPr="00934BB9">
              <w:rPr>
                <w:rFonts w:cs="Arial"/>
                <w:color w:val="000000"/>
                <w:szCs w:val="20"/>
              </w:rPr>
              <w:t>152</w:t>
            </w:r>
          </w:p>
        </w:tc>
        <w:tc>
          <w:tcPr>
            <w:tcW w:w="864" w:type="pct"/>
            <w:tcBorders>
              <w:top w:val="nil"/>
              <w:left w:val="nil"/>
              <w:bottom w:val="single" w:sz="4" w:space="0" w:color="auto"/>
              <w:right w:val="single" w:sz="4" w:space="0" w:color="auto"/>
            </w:tcBorders>
            <w:shd w:val="clear" w:color="auto" w:fill="auto"/>
            <w:noWrap/>
            <w:vAlign w:val="bottom"/>
            <w:hideMark/>
          </w:tcPr>
          <w:p w:rsidR="004C25C8" w:rsidRPr="00934BB9" w:rsidRDefault="004C25C8" w:rsidP="00A649A2">
            <w:pPr>
              <w:jc w:val="center"/>
              <w:rPr>
                <w:rFonts w:cs="Arial"/>
                <w:color w:val="000000"/>
                <w:szCs w:val="20"/>
              </w:rPr>
            </w:pPr>
            <w:r w:rsidRPr="00934BB9">
              <w:rPr>
                <w:rFonts w:cs="Arial"/>
                <w:color w:val="000000"/>
                <w:szCs w:val="20"/>
              </w:rPr>
              <w:t>0,10%</w:t>
            </w:r>
          </w:p>
        </w:tc>
      </w:tr>
    </w:tbl>
    <w:p w:rsidR="004C25C8" w:rsidRPr="005F27F5" w:rsidRDefault="004C25C8" w:rsidP="004C25C8">
      <w:pPr>
        <w:autoSpaceDE w:val="0"/>
        <w:autoSpaceDN w:val="0"/>
        <w:adjustRightInd w:val="0"/>
        <w:rPr>
          <w:rFonts w:eastAsia="Calibri" w:cs="ArialNarrow"/>
          <w:i/>
          <w:sz w:val="18"/>
          <w:szCs w:val="20"/>
        </w:rPr>
      </w:pPr>
      <w:r w:rsidRPr="005F27F5">
        <w:rPr>
          <w:rFonts w:eastAsia="Calibri" w:cs="ArialNarrow"/>
          <w:i/>
          <w:sz w:val="18"/>
          <w:szCs w:val="20"/>
        </w:rPr>
        <w:t xml:space="preserve">Źródło: Opracowanie </w:t>
      </w:r>
      <w:r>
        <w:rPr>
          <w:rFonts w:eastAsia="Calibri" w:cs="ArialNarrow"/>
          <w:i/>
          <w:sz w:val="18"/>
          <w:szCs w:val="20"/>
        </w:rPr>
        <w:t>Instytutu Rozwoju Miast</w:t>
      </w:r>
    </w:p>
    <w:p w:rsidR="004C25C8" w:rsidRDefault="004C25C8" w:rsidP="004C25C8"/>
    <w:p w:rsidR="005E3E49" w:rsidRDefault="00485E86" w:rsidP="006D764E">
      <w:pPr>
        <w:pStyle w:val="Nagwek2"/>
        <w:numPr>
          <w:ilvl w:val="1"/>
          <w:numId w:val="296"/>
        </w:numPr>
        <w:ind w:left="431" w:hanging="431"/>
      </w:pPr>
      <w:bookmarkStart w:id="1217" w:name="_Toc474924883"/>
      <w:r>
        <w:t>Metodyka diagnozy</w:t>
      </w:r>
      <w:bookmarkEnd w:id="1217"/>
    </w:p>
    <w:p w:rsidR="003569AA" w:rsidRPr="003569AA" w:rsidRDefault="003569AA" w:rsidP="003B3BFB">
      <w:pPr>
        <w:pStyle w:val="Akapitzlist"/>
        <w:keepNext/>
        <w:keepLines/>
        <w:numPr>
          <w:ilvl w:val="0"/>
          <w:numId w:val="60"/>
        </w:numPr>
        <w:spacing w:before="120" w:after="180"/>
        <w:jc w:val="both"/>
        <w:outlineLvl w:val="1"/>
        <w:rPr>
          <w:rFonts w:eastAsia="Times New Roman"/>
          <w:b/>
          <w:bCs/>
          <w:vanish/>
          <w:color w:val="3366FF"/>
          <w:sz w:val="28"/>
          <w:szCs w:val="28"/>
          <w:lang w:eastAsia="pl-PL"/>
        </w:rPr>
      </w:pPr>
      <w:bookmarkStart w:id="1218" w:name="_Toc463253801"/>
      <w:bookmarkStart w:id="1219" w:name="_Toc463253932"/>
      <w:bookmarkStart w:id="1220" w:name="_Toc463254066"/>
      <w:bookmarkStart w:id="1221" w:name="_Toc463254146"/>
      <w:bookmarkStart w:id="1222" w:name="_Toc463254266"/>
      <w:bookmarkStart w:id="1223" w:name="_Toc463254347"/>
      <w:bookmarkStart w:id="1224" w:name="_Toc463254428"/>
      <w:bookmarkStart w:id="1225" w:name="_Toc463255322"/>
      <w:bookmarkStart w:id="1226" w:name="_Toc463263376"/>
      <w:bookmarkStart w:id="1227" w:name="_Toc463273424"/>
      <w:bookmarkStart w:id="1228" w:name="_Toc463276632"/>
      <w:bookmarkStart w:id="1229" w:name="_Toc465068974"/>
      <w:bookmarkStart w:id="1230" w:name="_Toc465078622"/>
      <w:bookmarkStart w:id="1231" w:name="_Toc466025948"/>
      <w:bookmarkStart w:id="1232" w:name="_Toc466906998"/>
      <w:bookmarkStart w:id="1233" w:name="_Toc466907194"/>
      <w:bookmarkStart w:id="1234" w:name="_Toc466907275"/>
      <w:bookmarkStart w:id="1235" w:name="_Toc467659578"/>
      <w:bookmarkStart w:id="1236" w:name="_Toc467659660"/>
      <w:bookmarkStart w:id="1237" w:name="_Toc467663054"/>
      <w:bookmarkStart w:id="1238" w:name="_Toc467663405"/>
      <w:bookmarkStart w:id="1239" w:name="_Toc467665430"/>
      <w:bookmarkStart w:id="1240" w:name="_Toc467665582"/>
      <w:bookmarkStart w:id="1241" w:name="_Toc467669504"/>
      <w:bookmarkStart w:id="1242" w:name="_Toc467832009"/>
      <w:bookmarkStart w:id="1243" w:name="_Toc467832129"/>
      <w:bookmarkStart w:id="1244" w:name="_Toc467834834"/>
      <w:bookmarkStart w:id="1245" w:name="_Toc467843515"/>
      <w:bookmarkStart w:id="1246" w:name="_Toc467845501"/>
      <w:bookmarkStart w:id="1247" w:name="_Toc467847444"/>
      <w:bookmarkStart w:id="1248" w:name="_Toc467847566"/>
      <w:bookmarkStart w:id="1249" w:name="_Toc467847688"/>
      <w:bookmarkStart w:id="1250" w:name="_Toc467847810"/>
      <w:bookmarkStart w:id="1251" w:name="_Toc467847934"/>
      <w:bookmarkStart w:id="1252" w:name="_Toc467848058"/>
      <w:bookmarkStart w:id="1253" w:name="_Toc467848182"/>
      <w:bookmarkStart w:id="1254" w:name="_Toc467848306"/>
      <w:bookmarkStart w:id="1255" w:name="_Toc467848430"/>
      <w:bookmarkStart w:id="1256" w:name="_Toc468097903"/>
      <w:bookmarkStart w:id="1257" w:name="_Toc468098028"/>
      <w:bookmarkStart w:id="1258" w:name="_Toc468104695"/>
      <w:bookmarkStart w:id="1259" w:name="_Toc468104819"/>
      <w:bookmarkStart w:id="1260" w:name="_Toc468104943"/>
      <w:bookmarkStart w:id="1261" w:name="_Toc468105069"/>
      <w:bookmarkStart w:id="1262" w:name="_Toc468105195"/>
      <w:bookmarkStart w:id="1263" w:name="_Toc468105321"/>
      <w:bookmarkStart w:id="1264" w:name="_Toc468105805"/>
      <w:bookmarkStart w:id="1265" w:name="_Toc468105932"/>
      <w:bookmarkStart w:id="1266" w:name="_Toc468116226"/>
      <w:bookmarkStart w:id="1267" w:name="_Toc468178184"/>
      <w:bookmarkStart w:id="1268" w:name="_Toc468181476"/>
      <w:bookmarkStart w:id="1269" w:name="_Toc468181603"/>
      <w:bookmarkStart w:id="1270" w:name="_Toc468181732"/>
      <w:bookmarkStart w:id="1271" w:name="_Toc468181899"/>
      <w:bookmarkStart w:id="1272" w:name="_Toc468185840"/>
      <w:bookmarkStart w:id="1273" w:name="_Toc468190772"/>
      <w:bookmarkStart w:id="1274" w:name="_Toc468190898"/>
      <w:bookmarkStart w:id="1275" w:name="_Toc468191390"/>
      <w:bookmarkStart w:id="1276" w:name="_Toc468258061"/>
      <w:bookmarkStart w:id="1277" w:name="_Toc468258292"/>
      <w:bookmarkStart w:id="1278" w:name="_Toc468258586"/>
      <w:bookmarkStart w:id="1279" w:name="_Toc468258715"/>
      <w:bookmarkStart w:id="1280" w:name="_Toc468258848"/>
      <w:bookmarkStart w:id="1281" w:name="_Toc468258979"/>
      <w:bookmarkStart w:id="1282" w:name="_Toc468259108"/>
      <w:bookmarkStart w:id="1283" w:name="_Toc468259237"/>
      <w:bookmarkStart w:id="1284" w:name="_Toc468259494"/>
      <w:bookmarkStart w:id="1285" w:name="_Toc468259626"/>
      <w:bookmarkStart w:id="1286" w:name="_Toc468259756"/>
      <w:bookmarkStart w:id="1287" w:name="_Toc468259885"/>
      <w:bookmarkStart w:id="1288" w:name="_Toc468260016"/>
      <w:bookmarkStart w:id="1289" w:name="_Toc468260145"/>
      <w:bookmarkStart w:id="1290" w:name="_Toc468260274"/>
      <w:bookmarkStart w:id="1291" w:name="_Toc468260403"/>
      <w:bookmarkStart w:id="1292" w:name="_Toc468260532"/>
      <w:bookmarkStart w:id="1293" w:name="_Toc468260661"/>
      <w:bookmarkStart w:id="1294" w:name="_Toc468260789"/>
      <w:bookmarkStart w:id="1295" w:name="_Toc468260920"/>
      <w:bookmarkStart w:id="1296" w:name="_Toc468261051"/>
      <w:bookmarkStart w:id="1297" w:name="_Toc468261182"/>
      <w:bookmarkStart w:id="1298" w:name="_Toc468261313"/>
      <w:bookmarkStart w:id="1299" w:name="_Toc468261444"/>
      <w:bookmarkStart w:id="1300" w:name="_Toc468266758"/>
      <w:bookmarkStart w:id="1301" w:name="_Toc468266886"/>
      <w:bookmarkStart w:id="1302" w:name="_Toc468267014"/>
      <w:bookmarkStart w:id="1303" w:name="_Toc468269425"/>
      <w:bookmarkStart w:id="1304" w:name="_Toc468279391"/>
      <w:bookmarkStart w:id="1305" w:name="_Toc468360243"/>
      <w:bookmarkStart w:id="1306" w:name="_Toc468361184"/>
      <w:bookmarkStart w:id="1307" w:name="_Toc468363414"/>
      <w:bookmarkStart w:id="1308" w:name="_Toc468366241"/>
      <w:bookmarkStart w:id="1309" w:name="_Toc468428331"/>
      <w:bookmarkStart w:id="1310" w:name="_Toc468691727"/>
      <w:bookmarkStart w:id="1311" w:name="_Toc468691854"/>
      <w:bookmarkStart w:id="1312" w:name="_Toc468691981"/>
      <w:bookmarkStart w:id="1313" w:name="_Toc468693935"/>
      <w:bookmarkStart w:id="1314" w:name="_Toc468712630"/>
      <w:bookmarkStart w:id="1315" w:name="_Toc468712758"/>
      <w:bookmarkStart w:id="1316" w:name="_Toc468712885"/>
      <w:bookmarkStart w:id="1317" w:name="_Toc468713012"/>
      <w:bookmarkStart w:id="1318" w:name="_Toc468713139"/>
      <w:bookmarkStart w:id="1319" w:name="_Toc468713266"/>
      <w:bookmarkStart w:id="1320" w:name="_Toc468713393"/>
      <w:bookmarkStart w:id="1321" w:name="_Toc468713520"/>
      <w:bookmarkStart w:id="1322" w:name="_Toc468713773"/>
      <w:bookmarkStart w:id="1323" w:name="_Toc468713900"/>
      <w:bookmarkStart w:id="1324" w:name="_Toc468714027"/>
      <w:bookmarkStart w:id="1325" w:name="_Toc468787036"/>
      <w:bookmarkStart w:id="1326" w:name="_Toc468787354"/>
      <w:bookmarkStart w:id="1327" w:name="_Toc468787482"/>
      <w:bookmarkStart w:id="1328" w:name="_Toc468787610"/>
      <w:bookmarkStart w:id="1329" w:name="_Toc468787737"/>
      <w:bookmarkStart w:id="1330" w:name="_Toc468787864"/>
      <w:bookmarkStart w:id="1331" w:name="_Toc468787991"/>
      <w:bookmarkStart w:id="1332" w:name="_Toc468957671"/>
      <w:bookmarkStart w:id="1333" w:name="_Toc468957798"/>
      <w:bookmarkStart w:id="1334" w:name="_Toc468957925"/>
      <w:bookmarkStart w:id="1335" w:name="_Toc468958052"/>
      <w:bookmarkStart w:id="1336" w:name="_Toc468958179"/>
      <w:bookmarkStart w:id="1337" w:name="_Toc468958306"/>
      <w:bookmarkStart w:id="1338" w:name="_Toc468958433"/>
      <w:bookmarkStart w:id="1339" w:name="_Toc468958560"/>
      <w:bookmarkStart w:id="1340" w:name="_Toc468958687"/>
      <w:bookmarkStart w:id="1341" w:name="_Toc468958814"/>
      <w:bookmarkStart w:id="1342" w:name="_Toc468958941"/>
      <w:bookmarkStart w:id="1343" w:name="_Toc468959068"/>
      <w:bookmarkStart w:id="1344" w:name="_Toc468960569"/>
      <w:bookmarkStart w:id="1345" w:name="_Toc469035042"/>
      <w:bookmarkStart w:id="1346" w:name="_Toc469056752"/>
      <w:bookmarkStart w:id="1347" w:name="_Toc469321064"/>
      <w:bookmarkStart w:id="1348" w:name="_Toc469323793"/>
      <w:bookmarkStart w:id="1349" w:name="_Toc469323919"/>
      <w:bookmarkStart w:id="1350" w:name="_Toc469324470"/>
      <w:bookmarkStart w:id="1351" w:name="_Toc470695348"/>
      <w:bookmarkStart w:id="1352" w:name="_Toc470695501"/>
      <w:bookmarkStart w:id="1353" w:name="_Toc470697005"/>
      <w:bookmarkStart w:id="1354" w:name="_Toc470699889"/>
      <w:bookmarkStart w:id="1355" w:name="_Toc470762735"/>
      <w:bookmarkStart w:id="1356" w:name="_Toc471114553"/>
      <w:bookmarkStart w:id="1357" w:name="_Toc474392969"/>
      <w:bookmarkStart w:id="1358" w:name="_Toc474497860"/>
      <w:bookmarkStart w:id="1359" w:name="_Toc474498619"/>
      <w:bookmarkStart w:id="1360" w:name="_Toc474844478"/>
      <w:bookmarkStart w:id="1361" w:name="_Toc474844605"/>
      <w:bookmarkStart w:id="1362" w:name="_Toc474919875"/>
      <w:bookmarkStart w:id="1363" w:name="_Toc474924884"/>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p>
    <w:p w:rsidR="005E3E49" w:rsidRPr="005E3E49" w:rsidRDefault="005E3E49" w:rsidP="003B3BFB">
      <w:pPr>
        <w:pStyle w:val="Akapitzlist"/>
        <w:keepNext/>
        <w:keepLines/>
        <w:numPr>
          <w:ilvl w:val="0"/>
          <w:numId w:val="60"/>
        </w:numPr>
        <w:spacing w:before="120" w:after="180" w:line="288" w:lineRule="auto"/>
        <w:jc w:val="both"/>
        <w:outlineLvl w:val="1"/>
        <w:rPr>
          <w:rFonts w:eastAsia="Times New Roman"/>
          <w:bCs/>
          <w:vanish/>
          <w:color w:val="3366FF"/>
          <w:sz w:val="28"/>
          <w:szCs w:val="28"/>
          <w:lang w:eastAsia="pl-PL"/>
        </w:rPr>
      </w:pPr>
      <w:bookmarkStart w:id="1364" w:name="_Toc461695423"/>
      <w:bookmarkStart w:id="1365" w:name="_Toc461695755"/>
      <w:bookmarkStart w:id="1366" w:name="_Toc461695949"/>
      <w:bookmarkStart w:id="1367" w:name="_Toc461696022"/>
      <w:bookmarkStart w:id="1368" w:name="_Toc461696096"/>
      <w:bookmarkStart w:id="1369" w:name="_Toc461696170"/>
      <w:bookmarkStart w:id="1370" w:name="_Toc461696244"/>
      <w:bookmarkStart w:id="1371" w:name="_Toc461696318"/>
      <w:bookmarkStart w:id="1372" w:name="_Toc461696392"/>
      <w:bookmarkStart w:id="1373" w:name="_Toc461696466"/>
      <w:bookmarkStart w:id="1374" w:name="_Toc461696713"/>
      <w:bookmarkStart w:id="1375" w:name="_Toc461696808"/>
      <w:bookmarkStart w:id="1376" w:name="_Toc461698093"/>
      <w:bookmarkStart w:id="1377" w:name="_Toc461698209"/>
      <w:bookmarkStart w:id="1378" w:name="_Toc461698781"/>
      <w:bookmarkStart w:id="1379" w:name="_Toc461698855"/>
      <w:bookmarkStart w:id="1380" w:name="_Toc461698929"/>
      <w:bookmarkStart w:id="1381" w:name="_Toc461699003"/>
      <w:bookmarkStart w:id="1382" w:name="_Toc461699294"/>
      <w:bookmarkStart w:id="1383" w:name="_Toc461699809"/>
      <w:bookmarkStart w:id="1384" w:name="_Toc461701801"/>
      <w:bookmarkStart w:id="1385" w:name="_Toc461702651"/>
      <w:bookmarkStart w:id="1386" w:name="_Toc462750914"/>
      <w:bookmarkStart w:id="1387" w:name="_Toc462832677"/>
      <w:bookmarkStart w:id="1388" w:name="_Toc462832751"/>
      <w:bookmarkStart w:id="1389" w:name="_Toc462832884"/>
      <w:bookmarkStart w:id="1390" w:name="_Toc462833641"/>
      <w:bookmarkStart w:id="1391" w:name="_Toc462921488"/>
      <w:bookmarkStart w:id="1392" w:name="_Toc462921595"/>
      <w:bookmarkStart w:id="1393" w:name="_Toc462922257"/>
      <w:bookmarkStart w:id="1394" w:name="_Toc462922345"/>
      <w:bookmarkStart w:id="1395" w:name="_Toc462922451"/>
      <w:bookmarkStart w:id="1396" w:name="_Toc462922543"/>
      <w:bookmarkStart w:id="1397" w:name="_Toc462923051"/>
      <w:bookmarkStart w:id="1398" w:name="_Toc462923168"/>
      <w:bookmarkStart w:id="1399" w:name="_Toc462923339"/>
      <w:bookmarkStart w:id="1400" w:name="_Toc462923493"/>
      <w:bookmarkStart w:id="1401" w:name="_Toc462999041"/>
      <w:bookmarkStart w:id="1402" w:name="_Toc463000634"/>
      <w:bookmarkStart w:id="1403" w:name="_Toc463006135"/>
      <w:bookmarkStart w:id="1404" w:name="_Toc463243964"/>
      <w:bookmarkStart w:id="1405" w:name="_Toc463252944"/>
      <w:bookmarkStart w:id="1406" w:name="_Toc463253345"/>
      <w:bookmarkStart w:id="1407" w:name="_Toc463253803"/>
      <w:bookmarkStart w:id="1408" w:name="_Toc463253934"/>
      <w:bookmarkStart w:id="1409" w:name="_Toc463254068"/>
      <w:bookmarkStart w:id="1410" w:name="_Toc463254148"/>
      <w:bookmarkStart w:id="1411" w:name="_Toc463254267"/>
      <w:bookmarkStart w:id="1412" w:name="_Toc463254348"/>
      <w:bookmarkStart w:id="1413" w:name="_Toc463254429"/>
      <w:bookmarkStart w:id="1414" w:name="_Toc463255323"/>
      <w:bookmarkStart w:id="1415" w:name="_Toc463263377"/>
      <w:bookmarkStart w:id="1416" w:name="_Toc463273425"/>
      <w:bookmarkStart w:id="1417" w:name="_Toc463276633"/>
      <w:bookmarkStart w:id="1418" w:name="_Toc465068975"/>
      <w:bookmarkStart w:id="1419" w:name="_Toc465078623"/>
      <w:bookmarkStart w:id="1420" w:name="_Toc466025949"/>
      <w:bookmarkStart w:id="1421" w:name="_Toc466906999"/>
      <w:bookmarkStart w:id="1422" w:name="_Toc466907195"/>
      <w:bookmarkStart w:id="1423" w:name="_Toc466907276"/>
      <w:bookmarkStart w:id="1424" w:name="_Toc467659579"/>
      <w:bookmarkStart w:id="1425" w:name="_Toc467659661"/>
      <w:bookmarkStart w:id="1426" w:name="_Toc467663055"/>
      <w:bookmarkStart w:id="1427" w:name="_Toc467663406"/>
      <w:bookmarkStart w:id="1428" w:name="_Toc467665431"/>
      <w:bookmarkStart w:id="1429" w:name="_Toc467665583"/>
      <w:bookmarkStart w:id="1430" w:name="_Toc467669505"/>
      <w:bookmarkStart w:id="1431" w:name="_Toc467832010"/>
      <w:bookmarkStart w:id="1432" w:name="_Toc467832130"/>
      <w:bookmarkStart w:id="1433" w:name="_Toc467834835"/>
      <w:bookmarkStart w:id="1434" w:name="_Toc467843516"/>
      <w:bookmarkStart w:id="1435" w:name="_Toc467845502"/>
      <w:bookmarkStart w:id="1436" w:name="_Toc467847445"/>
      <w:bookmarkStart w:id="1437" w:name="_Toc467847567"/>
      <w:bookmarkStart w:id="1438" w:name="_Toc467847689"/>
      <w:bookmarkStart w:id="1439" w:name="_Toc467847811"/>
      <w:bookmarkStart w:id="1440" w:name="_Toc467847935"/>
      <w:bookmarkStart w:id="1441" w:name="_Toc467848059"/>
      <w:bookmarkStart w:id="1442" w:name="_Toc467848183"/>
      <w:bookmarkStart w:id="1443" w:name="_Toc467848307"/>
      <w:bookmarkStart w:id="1444" w:name="_Toc467848431"/>
      <w:bookmarkStart w:id="1445" w:name="_Toc468097904"/>
      <w:bookmarkStart w:id="1446" w:name="_Toc468098029"/>
      <w:bookmarkStart w:id="1447" w:name="_Toc468104696"/>
      <w:bookmarkStart w:id="1448" w:name="_Toc468104820"/>
      <w:bookmarkStart w:id="1449" w:name="_Toc468104944"/>
      <w:bookmarkStart w:id="1450" w:name="_Toc468105070"/>
      <w:bookmarkStart w:id="1451" w:name="_Toc468105196"/>
      <w:bookmarkStart w:id="1452" w:name="_Toc468105322"/>
      <w:bookmarkStart w:id="1453" w:name="_Toc468105806"/>
      <w:bookmarkStart w:id="1454" w:name="_Toc468105933"/>
      <w:bookmarkStart w:id="1455" w:name="_Toc468116227"/>
      <w:bookmarkStart w:id="1456" w:name="_Toc468178185"/>
      <w:bookmarkStart w:id="1457" w:name="_Toc468181477"/>
      <w:bookmarkStart w:id="1458" w:name="_Toc468181604"/>
      <w:bookmarkStart w:id="1459" w:name="_Toc468181733"/>
      <w:bookmarkStart w:id="1460" w:name="_Toc468181900"/>
      <w:bookmarkStart w:id="1461" w:name="_Toc468185841"/>
      <w:bookmarkStart w:id="1462" w:name="_Toc468190773"/>
      <w:bookmarkStart w:id="1463" w:name="_Toc468190899"/>
      <w:bookmarkStart w:id="1464" w:name="_Toc468191391"/>
      <w:bookmarkStart w:id="1465" w:name="_Toc468258062"/>
      <w:bookmarkStart w:id="1466" w:name="_Toc468258293"/>
      <w:bookmarkStart w:id="1467" w:name="_Toc468258587"/>
      <w:bookmarkStart w:id="1468" w:name="_Toc468258716"/>
      <w:bookmarkStart w:id="1469" w:name="_Toc468258849"/>
      <w:bookmarkStart w:id="1470" w:name="_Toc468258980"/>
      <w:bookmarkStart w:id="1471" w:name="_Toc468259109"/>
      <w:bookmarkStart w:id="1472" w:name="_Toc468259238"/>
      <w:bookmarkStart w:id="1473" w:name="_Toc468259495"/>
      <w:bookmarkStart w:id="1474" w:name="_Toc468259627"/>
      <w:bookmarkStart w:id="1475" w:name="_Toc468259757"/>
      <w:bookmarkStart w:id="1476" w:name="_Toc468259886"/>
      <w:bookmarkStart w:id="1477" w:name="_Toc468260017"/>
      <w:bookmarkStart w:id="1478" w:name="_Toc468260146"/>
      <w:bookmarkStart w:id="1479" w:name="_Toc468260275"/>
      <w:bookmarkStart w:id="1480" w:name="_Toc468260404"/>
      <w:bookmarkStart w:id="1481" w:name="_Toc468260533"/>
      <w:bookmarkStart w:id="1482" w:name="_Toc468260662"/>
      <w:bookmarkStart w:id="1483" w:name="_Toc468260790"/>
      <w:bookmarkStart w:id="1484" w:name="_Toc468260921"/>
      <w:bookmarkStart w:id="1485" w:name="_Toc468261052"/>
      <w:bookmarkStart w:id="1486" w:name="_Toc468261183"/>
      <w:bookmarkStart w:id="1487" w:name="_Toc468261314"/>
      <w:bookmarkStart w:id="1488" w:name="_Toc468261445"/>
      <w:bookmarkStart w:id="1489" w:name="_Toc468266759"/>
      <w:bookmarkStart w:id="1490" w:name="_Toc468266887"/>
      <w:bookmarkStart w:id="1491" w:name="_Toc468267015"/>
      <w:bookmarkStart w:id="1492" w:name="_Toc468269426"/>
      <w:bookmarkStart w:id="1493" w:name="_Toc468279392"/>
      <w:bookmarkStart w:id="1494" w:name="_Toc468360244"/>
      <w:bookmarkStart w:id="1495" w:name="_Toc468361185"/>
      <w:bookmarkStart w:id="1496" w:name="_Toc468363415"/>
      <w:bookmarkStart w:id="1497" w:name="_Toc468366242"/>
      <w:bookmarkStart w:id="1498" w:name="_Toc468428332"/>
      <w:bookmarkStart w:id="1499" w:name="_Toc468691728"/>
      <w:bookmarkStart w:id="1500" w:name="_Toc468691855"/>
      <w:bookmarkStart w:id="1501" w:name="_Toc468691982"/>
      <w:bookmarkStart w:id="1502" w:name="_Toc468693936"/>
      <w:bookmarkStart w:id="1503" w:name="_Toc468712631"/>
      <w:bookmarkStart w:id="1504" w:name="_Toc468712759"/>
      <w:bookmarkStart w:id="1505" w:name="_Toc468712886"/>
      <w:bookmarkStart w:id="1506" w:name="_Toc468713013"/>
      <w:bookmarkStart w:id="1507" w:name="_Toc468713140"/>
      <w:bookmarkStart w:id="1508" w:name="_Toc468713267"/>
      <w:bookmarkStart w:id="1509" w:name="_Toc468713394"/>
      <w:bookmarkStart w:id="1510" w:name="_Toc468713521"/>
      <w:bookmarkStart w:id="1511" w:name="_Toc468713774"/>
      <w:bookmarkStart w:id="1512" w:name="_Toc468713901"/>
      <w:bookmarkStart w:id="1513" w:name="_Toc468714028"/>
      <w:bookmarkStart w:id="1514" w:name="_Toc468787037"/>
      <w:bookmarkStart w:id="1515" w:name="_Toc468787355"/>
      <w:bookmarkStart w:id="1516" w:name="_Toc468787483"/>
      <w:bookmarkStart w:id="1517" w:name="_Toc468787611"/>
      <w:bookmarkStart w:id="1518" w:name="_Toc468787738"/>
      <w:bookmarkStart w:id="1519" w:name="_Toc468787865"/>
      <w:bookmarkStart w:id="1520" w:name="_Toc468787992"/>
      <w:bookmarkStart w:id="1521" w:name="_Toc468957672"/>
      <w:bookmarkStart w:id="1522" w:name="_Toc468957799"/>
      <w:bookmarkStart w:id="1523" w:name="_Toc468957926"/>
      <w:bookmarkStart w:id="1524" w:name="_Toc468958053"/>
      <w:bookmarkStart w:id="1525" w:name="_Toc468958180"/>
      <w:bookmarkStart w:id="1526" w:name="_Toc468958307"/>
      <w:bookmarkStart w:id="1527" w:name="_Toc468958434"/>
      <w:bookmarkStart w:id="1528" w:name="_Toc468958561"/>
      <w:bookmarkStart w:id="1529" w:name="_Toc468958688"/>
      <w:bookmarkStart w:id="1530" w:name="_Toc468958815"/>
      <w:bookmarkStart w:id="1531" w:name="_Toc468958942"/>
      <w:bookmarkStart w:id="1532" w:name="_Toc468959069"/>
      <w:bookmarkStart w:id="1533" w:name="_Toc468960570"/>
      <w:bookmarkStart w:id="1534" w:name="_Toc469035043"/>
      <w:bookmarkStart w:id="1535" w:name="_Toc469056753"/>
      <w:bookmarkStart w:id="1536" w:name="_Toc469321065"/>
      <w:bookmarkStart w:id="1537" w:name="_Toc469323794"/>
      <w:bookmarkStart w:id="1538" w:name="_Toc469323920"/>
      <w:bookmarkStart w:id="1539" w:name="_Toc469324471"/>
      <w:bookmarkStart w:id="1540" w:name="_Toc470695349"/>
      <w:bookmarkStart w:id="1541" w:name="_Toc470695502"/>
      <w:bookmarkStart w:id="1542" w:name="_Toc470697006"/>
      <w:bookmarkStart w:id="1543" w:name="_Toc470699890"/>
      <w:bookmarkStart w:id="1544" w:name="_Toc470762736"/>
      <w:bookmarkStart w:id="1545" w:name="_Toc471114554"/>
      <w:bookmarkStart w:id="1546" w:name="_Toc474392970"/>
      <w:bookmarkStart w:id="1547" w:name="_Toc474497861"/>
      <w:bookmarkStart w:id="1548" w:name="_Toc474498620"/>
      <w:bookmarkStart w:id="1549" w:name="_Toc474844479"/>
      <w:bookmarkStart w:id="1550" w:name="_Toc474844606"/>
      <w:bookmarkStart w:id="1551" w:name="_Toc474919876"/>
      <w:bookmarkStart w:id="1552" w:name="_Toc474924885"/>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p>
    <w:p w:rsidR="00E75E52" w:rsidRPr="00E75E52" w:rsidRDefault="00E75E52" w:rsidP="003B3BFB">
      <w:pPr>
        <w:pStyle w:val="Akapitzlist"/>
        <w:keepNext/>
        <w:keepLines/>
        <w:numPr>
          <w:ilvl w:val="0"/>
          <w:numId w:val="55"/>
        </w:numPr>
        <w:spacing w:before="120" w:after="180" w:line="288" w:lineRule="auto"/>
        <w:jc w:val="both"/>
        <w:outlineLvl w:val="1"/>
        <w:rPr>
          <w:rFonts w:eastAsia="Times New Roman"/>
          <w:bCs/>
          <w:vanish/>
          <w:color w:val="3366FF"/>
          <w:sz w:val="28"/>
          <w:szCs w:val="28"/>
          <w:lang w:eastAsia="pl-PL"/>
        </w:rPr>
      </w:pPr>
      <w:bookmarkStart w:id="1553" w:name="_Toc461695424"/>
      <w:bookmarkStart w:id="1554" w:name="_Toc461695756"/>
      <w:bookmarkStart w:id="1555" w:name="_Toc461695950"/>
      <w:bookmarkStart w:id="1556" w:name="_Toc461696023"/>
      <w:bookmarkStart w:id="1557" w:name="_Toc461696097"/>
      <w:bookmarkStart w:id="1558" w:name="_Toc461696171"/>
      <w:bookmarkStart w:id="1559" w:name="_Toc461696245"/>
      <w:bookmarkStart w:id="1560" w:name="_Toc461696319"/>
      <w:bookmarkStart w:id="1561" w:name="_Toc461696393"/>
      <w:bookmarkStart w:id="1562" w:name="_Toc461696467"/>
      <w:bookmarkStart w:id="1563" w:name="_Toc461696714"/>
      <w:bookmarkStart w:id="1564" w:name="_Toc461696809"/>
      <w:bookmarkStart w:id="1565" w:name="_Toc461698094"/>
      <w:bookmarkStart w:id="1566" w:name="_Toc461698210"/>
      <w:bookmarkStart w:id="1567" w:name="_Toc461698782"/>
      <w:bookmarkStart w:id="1568" w:name="_Toc461698856"/>
      <w:bookmarkStart w:id="1569" w:name="_Toc461698930"/>
      <w:bookmarkStart w:id="1570" w:name="_Toc461699004"/>
      <w:bookmarkStart w:id="1571" w:name="_Toc461699295"/>
      <w:bookmarkStart w:id="1572" w:name="_Toc461699810"/>
      <w:bookmarkStart w:id="1573" w:name="_Toc461701802"/>
      <w:bookmarkStart w:id="1574" w:name="_Toc461702652"/>
      <w:bookmarkStart w:id="1575" w:name="_Toc462750915"/>
      <w:bookmarkStart w:id="1576" w:name="_Toc462832678"/>
      <w:bookmarkStart w:id="1577" w:name="_Toc462832752"/>
      <w:bookmarkStart w:id="1578" w:name="_Toc462832885"/>
      <w:bookmarkStart w:id="1579" w:name="_Toc462833642"/>
      <w:bookmarkStart w:id="1580" w:name="_Toc462921489"/>
      <w:bookmarkStart w:id="1581" w:name="_Toc462921596"/>
      <w:bookmarkStart w:id="1582" w:name="_Toc462922258"/>
      <w:bookmarkStart w:id="1583" w:name="_Toc462922346"/>
      <w:bookmarkStart w:id="1584" w:name="_Toc462922452"/>
      <w:bookmarkStart w:id="1585" w:name="_Toc462922544"/>
      <w:bookmarkStart w:id="1586" w:name="_Toc462923052"/>
      <w:bookmarkStart w:id="1587" w:name="_Toc462923169"/>
      <w:bookmarkStart w:id="1588" w:name="_Toc462923340"/>
      <w:bookmarkStart w:id="1589" w:name="_Toc462923494"/>
      <w:bookmarkStart w:id="1590" w:name="_Toc462999042"/>
      <w:bookmarkStart w:id="1591" w:name="_Toc463000635"/>
      <w:bookmarkStart w:id="1592" w:name="_Toc463006136"/>
      <w:bookmarkStart w:id="1593" w:name="_Toc463243965"/>
      <w:bookmarkStart w:id="1594" w:name="_Toc463252945"/>
      <w:bookmarkStart w:id="1595" w:name="_Toc463253346"/>
      <w:bookmarkStart w:id="1596" w:name="_Toc463253804"/>
      <w:bookmarkStart w:id="1597" w:name="_Toc463253935"/>
      <w:bookmarkStart w:id="1598" w:name="_Toc463254069"/>
      <w:bookmarkStart w:id="1599" w:name="_Toc463254149"/>
      <w:bookmarkStart w:id="1600" w:name="_Toc463254268"/>
      <w:bookmarkStart w:id="1601" w:name="_Toc463254349"/>
      <w:bookmarkStart w:id="1602" w:name="_Toc463254430"/>
      <w:bookmarkStart w:id="1603" w:name="_Toc463255324"/>
      <w:bookmarkStart w:id="1604" w:name="_Toc463263378"/>
      <w:bookmarkStart w:id="1605" w:name="_Toc463273426"/>
      <w:bookmarkStart w:id="1606" w:name="_Toc463276634"/>
      <w:bookmarkStart w:id="1607" w:name="_Toc465068976"/>
      <w:bookmarkStart w:id="1608" w:name="_Toc465078624"/>
      <w:bookmarkStart w:id="1609" w:name="_Toc466025950"/>
      <w:bookmarkStart w:id="1610" w:name="_Toc466907000"/>
      <w:bookmarkStart w:id="1611" w:name="_Toc466907196"/>
      <w:bookmarkStart w:id="1612" w:name="_Toc466907277"/>
      <w:bookmarkStart w:id="1613" w:name="_Toc467659580"/>
      <w:bookmarkStart w:id="1614" w:name="_Toc467659662"/>
      <w:bookmarkStart w:id="1615" w:name="_Toc467663056"/>
      <w:bookmarkStart w:id="1616" w:name="_Toc467663407"/>
      <w:bookmarkStart w:id="1617" w:name="_Toc467665432"/>
      <w:bookmarkStart w:id="1618" w:name="_Toc467665584"/>
      <w:bookmarkStart w:id="1619" w:name="_Toc467669506"/>
      <w:bookmarkStart w:id="1620" w:name="_Toc467832011"/>
      <w:bookmarkStart w:id="1621" w:name="_Toc467832131"/>
      <w:bookmarkStart w:id="1622" w:name="_Toc467834836"/>
      <w:bookmarkStart w:id="1623" w:name="_Toc467843517"/>
      <w:bookmarkStart w:id="1624" w:name="_Toc467845503"/>
      <w:bookmarkStart w:id="1625" w:name="_Toc467847446"/>
      <w:bookmarkStart w:id="1626" w:name="_Toc467847568"/>
      <w:bookmarkStart w:id="1627" w:name="_Toc467847690"/>
      <w:bookmarkStart w:id="1628" w:name="_Toc467847812"/>
      <w:bookmarkStart w:id="1629" w:name="_Toc467847936"/>
      <w:bookmarkStart w:id="1630" w:name="_Toc467848060"/>
      <w:bookmarkStart w:id="1631" w:name="_Toc467848184"/>
      <w:bookmarkStart w:id="1632" w:name="_Toc467848308"/>
      <w:bookmarkStart w:id="1633" w:name="_Toc467848432"/>
      <w:bookmarkStart w:id="1634" w:name="_Toc468097905"/>
      <w:bookmarkStart w:id="1635" w:name="_Toc468098030"/>
      <w:bookmarkStart w:id="1636" w:name="_Toc468104697"/>
      <w:bookmarkStart w:id="1637" w:name="_Toc468104821"/>
      <w:bookmarkStart w:id="1638" w:name="_Toc468104945"/>
      <w:bookmarkStart w:id="1639" w:name="_Toc468105071"/>
      <w:bookmarkStart w:id="1640" w:name="_Toc468105197"/>
      <w:bookmarkStart w:id="1641" w:name="_Toc468105323"/>
      <w:bookmarkStart w:id="1642" w:name="_Toc468105807"/>
      <w:bookmarkStart w:id="1643" w:name="_Toc468105934"/>
      <w:bookmarkStart w:id="1644" w:name="_Toc468116228"/>
      <w:bookmarkStart w:id="1645" w:name="_Toc468178186"/>
      <w:bookmarkStart w:id="1646" w:name="_Toc468181478"/>
      <w:bookmarkStart w:id="1647" w:name="_Toc468181605"/>
      <w:bookmarkStart w:id="1648" w:name="_Toc468181734"/>
      <w:bookmarkStart w:id="1649" w:name="_Toc468181901"/>
      <w:bookmarkStart w:id="1650" w:name="_Toc468185842"/>
      <w:bookmarkStart w:id="1651" w:name="_Toc468190774"/>
      <w:bookmarkStart w:id="1652" w:name="_Toc468190900"/>
      <w:bookmarkStart w:id="1653" w:name="_Toc468191392"/>
      <w:bookmarkStart w:id="1654" w:name="_Toc468258063"/>
      <w:bookmarkStart w:id="1655" w:name="_Toc468258294"/>
      <w:bookmarkStart w:id="1656" w:name="_Toc468258588"/>
      <w:bookmarkStart w:id="1657" w:name="_Toc468258717"/>
      <w:bookmarkStart w:id="1658" w:name="_Toc468258850"/>
      <w:bookmarkStart w:id="1659" w:name="_Toc468258981"/>
      <w:bookmarkStart w:id="1660" w:name="_Toc468259110"/>
      <w:bookmarkStart w:id="1661" w:name="_Toc468259239"/>
      <w:bookmarkStart w:id="1662" w:name="_Toc468259496"/>
      <w:bookmarkStart w:id="1663" w:name="_Toc468259628"/>
      <w:bookmarkStart w:id="1664" w:name="_Toc468259758"/>
      <w:bookmarkStart w:id="1665" w:name="_Toc468259887"/>
      <w:bookmarkStart w:id="1666" w:name="_Toc468260018"/>
      <w:bookmarkStart w:id="1667" w:name="_Toc468260147"/>
      <w:bookmarkStart w:id="1668" w:name="_Toc468260276"/>
      <w:bookmarkStart w:id="1669" w:name="_Toc468260405"/>
      <w:bookmarkStart w:id="1670" w:name="_Toc468260534"/>
      <w:bookmarkStart w:id="1671" w:name="_Toc468260663"/>
      <w:bookmarkStart w:id="1672" w:name="_Toc468260791"/>
      <w:bookmarkStart w:id="1673" w:name="_Toc468260922"/>
      <w:bookmarkStart w:id="1674" w:name="_Toc468261053"/>
      <w:bookmarkStart w:id="1675" w:name="_Toc468261184"/>
      <w:bookmarkStart w:id="1676" w:name="_Toc468261315"/>
      <w:bookmarkStart w:id="1677" w:name="_Toc468261446"/>
      <w:bookmarkStart w:id="1678" w:name="_Toc468266760"/>
      <w:bookmarkStart w:id="1679" w:name="_Toc468266888"/>
      <w:bookmarkStart w:id="1680" w:name="_Toc468267016"/>
      <w:bookmarkStart w:id="1681" w:name="_Toc468269427"/>
      <w:bookmarkStart w:id="1682" w:name="_Toc468279393"/>
      <w:bookmarkStart w:id="1683" w:name="_Toc468360245"/>
      <w:bookmarkStart w:id="1684" w:name="_Toc468361186"/>
      <w:bookmarkStart w:id="1685" w:name="_Toc468363416"/>
      <w:bookmarkStart w:id="1686" w:name="_Toc468366243"/>
      <w:bookmarkStart w:id="1687" w:name="_Toc468428333"/>
      <w:bookmarkStart w:id="1688" w:name="_Toc468691729"/>
      <w:bookmarkStart w:id="1689" w:name="_Toc468691856"/>
      <w:bookmarkStart w:id="1690" w:name="_Toc468691983"/>
      <w:bookmarkStart w:id="1691" w:name="_Toc468693937"/>
      <w:bookmarkStart w:id="1692" w:name="_Toc468712632"/>
      <w:bookmarkStart w:id="1693" w:name="_Toc468712760"/>
      <w:bookmarkStart w:id="1694" w:name="_Toc468712887"/>
      <w:bookmarkStart w:id="1695" w:name="_Toc468713014"/>
      <w:bookmarkStart w:id="1696" w:name="_Toc468713141"/>
      <w:bookmarkStart w:id="1697" w:name="_Toc468713268"/>
      <w:bookmarkStart w:id="1698" w:name="_Toc468713395"/>
      <w:bookmarkStart w:id="1699" w:name="_Toc468713522"/>
      <w:bookmarkStart w:id="1700" w:name="_Toc468713775"/>
      <w:bookmarkStart w:id="1701" w:name="_Toc468713902"/>
      <w:bookmarkStart w:id="1702" w:name="_Toc468714029"/>
      <w:bookmarkStart w:id="1703" w:name="_Toc468787038"/>
      <w:bookmarkStart w:id="1704" w:name="_Toc468787356"/>
      <w:bookmarkStart w:id="1705" w:name="_Toc468787484"/>
      <w:bookmarkStart w:id="1706" w:name="_Toc468787612"/>
      <w:bookmarkStart w:id="1707" w:name="_Toc468787739"/>
      <w:bookmarkStart w:id="1708" w:name="_Toc468787866"/>
      <w:bookmarkStart w:id="1709" w:name="_Toc468787993"/>
      <w:bookmarkStart w:id="1710" w:name="_Toc468957673"/>
      <w:bookmarkStart w:id="1711" w:name="_Toc468957800"/>
      <w:bookmarkStart w:id="1712" w:name="_Toc468957927"/>
      <w:bookmarkStart w:id="1713" w:name="_Toc468958054"/>
      <w:bookmarkStart w:id="1714" w:name="_Toc468958181"/>
      <w:bookmarkStart w:id="1715" w:name="_Toc468958308"/>
      <w:bookmarkStart w:id="1716" w:name="_Toc468958435"/>
      <w:bookmarkStart w:id="1717" w:name="_Toc468958562"/>
      <w:bookmarkStart w:id="1718" w:name="_Toc468958689"/>
      <w:bookmarkStart w:id="1719" w:name="_Toc468958816"/>
      <w:bookmarkStart w:id="1720" w:name="_Toc468958943"/>
      <w:bookmarkStart w:id="1721" w:name="_Toc468959070"/>
      <w:bookmarkStart w:id="1722" w:name="_Toc468960571"/>
      <w:bookmarkStart w:id="1723" w:name="_Toc469035044"/>
      <w:bookmarkStart w:id="1724" w:name="_Toc469056754"/>
      <w:bookmarkStart w:id="1725" w:name="_Toc469321066"/>
      <w:bookmarkStart w:id="1726" w:name="_Toc469323795"/>
      <w:bookmarkStart w:id="1727" w:name="_Toc469323921"/>
      <w:bookmarkStart w:id="1728" w:name="_Toc469324472"/>
      <w:bookmarkStart w:id="1729" w:name="_Toc470695350"/>
      <w:bookmarkStart w:id="1730" w:name="_Toc470695503"/>
      <w:bookmarkStart w:id="1731" w:name="_Toc470697007"/>
      <w:bookmarkStart w:id="1732" w:name="_Toc470699891"/>
      <w:bookmarkStart w:id="1733" w:name="_Toc470762737"/>
      <w:bookmarkStart w:id="1734" w:name="_Toc471114555"/>
      <w:bookmarkStart w:id="1735" w:name="_Toc474392971"/>
      <w:bookmarkStart w:id="1736" w:name="_Toc474497862"/>
      <w:bookmarkStart w:id="1737" w:name="_Toc474498621"/>
      <w:bookmarkStart w:id="1738" w:name="_Toc474844480"/>
      <w:bookmarkStart w:id="1739" w:name="_Toc474844607"/>
      <w:bookmarkStart w:id="1740" w:name="_Toc474919877"/>
      <w:bookmarkStart w:id="1741" w:name="_Toc474924886"/>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p>
    <w:p w:rsidR="00E75E52" w:rsidRPr="00E75E52" w:rsidRDefault="00E75E52" w:rsidP="003B3BFB">
      <w:pPr>
        <w:pStyle w:val="Akapitzlist"/>
        <w:keepNext/>
        <w:keepLines/>
        <w:numPr>
          <w:ilvl w:val="0"/>
          <w:numId w:val="55"/>
        </w:numPr>
        <w:spacing w:before="120" w:after="180" w:line="288" w:lineRule="auto"/>
        <w:jc w:val="both"/>
        <w:outlineLvl w:val="1"/>
        <w:rPr>
          <w:rFonts w:eastAsia="Times New Roman"/>
          <w:bCs/>
          <w:vanish/>
          <w:color w:val="3366FF"/>
          <w:sz w:val="28"/>
          <w:szCs w:val="28"/>
          <w:lang w:eastAsia="pl-PL"/>
        </w:rPr>
      </w:pPr>
      <w:bookmarkStart w:id="1742" w:name="_Toc461695425"/>
      <w:bookmarkStart w:id="1743" w:name="_Toc461695757"/>
      <w:bookmarkStart w:id="1744" w:name="_Toc461695951"/>
      <w:bookmarkStart w:id="1745" w:name="_Toc461696024"/>
      <w:bookmarkStart w:id="1746" w:name="_Toc461696098"/>
      <w:bookmarkStart w:id="1747" w:name="_Toc461696172"/>
      <w:bookmarkStart w:id="1748" w:name="_Toc461696246"/>
      <w:bookmarkStart w:id="1749" w:name="_Toc461696320"/>
      <w:bookmarkStart w:id="1750" w:name="_Toc461696394"/>
      <w:bookmarkStart w:id="1751" w:name="_Toc461696468"/>
      <w:bookmarkStart w:id="1752" w:name="_Toc461696715"/>
      <w:bookmarkStart w:id="1753" w:name="_Toc461696810"/>
      <w:bookmarkStart w:id="1754" w:name="_Toc461698095"/>
      <w:bookmarkStart w:id="1755" w:name="_Toc461698211"/>
      <w:bookmarkStart w:id="1756" w:name="_Toc461698783"/>
      <w:bookmarkStart w:id="1757" w:name="_Toc461698857"/>
      <w:bookmarkStart w:id="1758" w:name="_Toc461698931"/>
      <w:bookmarkStart w:id="1759" w:name="_Toc461699005"/>
      <w:bookmarkStart w:id="1760" w:name="_Toc461699296"/>
      <w:bookmarkStart w:id="1761" w:name="_Toc461699811"/>
      <w:bookmarkStart w:id="1762" w:name="_Toc461701803"/>
      <w:bookmarkStart w:id="1763" w:name="_Toc461702653"/>
      <w:bookmarkStart w:id="1764" w:name="_Toc462750916"/>
      <w:bookmarkStart w:id="1765" w:name="_Toc462832679"/>
      <w:bookmarkStart w:id="1766" w:name="_Toc462832753"/>
      <w:bookmarkStart w:id="1767" w:name="_Toc462832886"/>
      <w:bookmarkStart w:id="1768" w:name="_Toc462833643"/>
      <w:bookmarkStart w:id="1769" w:name="_Toc462921490"/>
      <w:bookmarkStart w:id="1770" w:name="_Toc462921597"/>
      <w:bookmarkStart w:id="1771" w:name="_Toc462922259"/>
      <w:bookmarkStart w:id="1772" w:name="_Toc462922347"/>
      <w:bookmarkStart w:id="1773" w:name="_Toc462922453"/>
      <w:bookmarkStart w:id="1774" w:name="_Toc462922545"/>
      <w:bookmarkStart w:id="1775" w:name="_Toc462923053"/>
      <w:bookmarkStart w:id="1776" w:name="_Toc462923170"/>
      <w:bookmarkStart w:id="1777" w:name="_Toc462923341"/>
      <w:bookmarkStart w:id="1778" w:name="_Toc462923495"/>
      <w:bookmarkStart w:id="1779" w:name="_Toc462999043"/>
      <w:bookmarkStart w:id="1780" w:name="_Toc463000636"/>
      <w:bookmarkStart w:id="1781" w:name="_Toc463006137"/>
      <w:bookmarkStart w:id="1782" w:name="_Toc463243966"/>
      <w:bookmarkStart w:id="1783" w:name="_Toc463252946"/>
      <w:bookmarkStart w:id="1784" w:name="_Toc463253347"/>
      <w:bookmarkStart w:id="1785" w:name="_Toc463253805"/>
      <w:bookmarkStart w:id="1786" w:name="_Toc463253936"/>
      <w:bookmarkStart w:id="1787" w:name="_Toc463254070"/>
      <w:bookmarkStart w:id="1788" w:name="_Toc463254150"/>
      <w:bookmarkStart w:id="1789" w:name="_Toc463254269"/>
      <w:bookmarkStart w:id="1790" w:name="_Toc463254350"/>
      <w:bookmarkStart w:id="1791" w:name="_Toc463254431"/>
      <w:bookmarkStart w:id="1792" w:name="_Toc463255325"/>
      <w:bookmarkStart w:id="1793" w:name="_Toc463263379"/>
      <w:bookmarkStart w:id="1794" w:name="_Toc463273427"/>
      <w:bookmarkStart w:id="1795" w:name="_Toc463276635"/>
      <w:bookmarkStart w:id="1796" w:name="_Toc465068977"/>
      <w:bookmarkStart w:id="1797" w:name="_Toc465078625"/>
      <w:bookmarkStart w:id="1798" w:name="_Toc466025951"/>
      <w:bookmarkStart w:id="1799" w:name="_Toc466907001"/>
      <w:bookmarkStart w:id="1800" w:name="_Toc466907197"/>
      <w:bookmarkStart w:id="1801" w:name="_Toc466907278"/>
      <w:bookmarkStart w:id="1802" w:name="_Toc467659581"/>
      <w:bookmarkStart w:id="1803" w:name="_Toc467659663"/>
      <w:bookmarkStart w:id="1804" w:name="_Toc467663057"/>
      <w:bookmarkStart w:id="1805" w:name="_Toc467663408"/>
      <w:bookmarkStart w:id="1806" w:name="_Toc467665433"/>
      <w:bookmarkStart w:id="1807" w:name="_Toc467665585"/>
      <w:bookmarkStart w:id="1808" w:name="_Toc467669507"/>
      <w:bookmarkStart w:id="1809" w:name="_Toc467832012"/>
      <w:bookmarkStart w:id="1810" w:name="_Toc467832132"/>
      <w:bookmarkStart w:id="1811" w:name="_Toc467834837"/>
      <w:bookmarkStart w:id="1812" w:name="_Toc467843518"/>
      <w:bookmarkStart w:id="1813" w:name="_Toc467845504"/>
      <w:bookmarkStart w:id="1814" w:name="_Toc467847447"/>
      <w:bookmarkStart w:id="1815" w:name="_Toc467847569"/>
      <w:bookmarkStart w:id="1816" w:name="_Toc467847691"/>
      <w:bookmarkStart w:id="1817" w:name="_Toc467847813"/>
      <w:bookmarkStart w:id="1818" w:name="_Toc467847937"/>
      <w:bookmarkStart w:id="1819" w:name="_Toc467848061"/>
      <w:bookmarkStart w:id="1820" w:name="_Toc467848185"/>
      <w:bookmarkStart w:id="1821" w:name="_Toc467848309"/>
      <w:bookmarkStart w:id="1822" w:name="_Toc467848433"/>
      <w:bookmarkStart w:id="1823" w:name="_Toc468097906"/>
      <w:bookmarkStart w:id="1824" w:name="_Toc468098031"/>
      <w:bookmarkStart w:id="1825" w:name="_Toc468104698"/>
      <w:bookmarkStart w:id="1826" w:name="_Toc468104822"/>
      <w:bookmarkStart w:id="1827" w:name="_Toc468104946"/>
      <w:bookmarkStart w:id="1828" w:name="_Toc468105072"/>
      <w:bookmarkStart w:id="1829" w:name="_Toc468105198"/>
      <w:bookmarkStart w:id="1830" w:name="_Toc468105324"/>
      <w:bookmarkStart w:id="1831" w:name="_Toc468105808"/>
      <w:bookmarkStart w:id="1832" w:name="_Toc468105935"/>
      <w:bookmarkStart w:id="1833" w:name="_Toc468116229"/>
      <w:bookmarkStart w:id="1834" w:name="_Toc468178187"/>
      <w:bookmarkStart w:id="1835" w:name="_Toc468181479"/>
      <w:bookmarkStart w:id="1836" w:name="_Toc468181606"/>
      <w:bookmarkStart w:id="1837" w:name="_Toc468181735"/>
      <w:bookmarkStart w:id="1838" w:name="_Toc468181902"/>
      <w:bookmarkStart w:id="1839" w:name="_Toc468185843"/>
      <w:bookmarkStart w:id="1840" w:name="_Toc468190775"/>
      <w:bookmarkStart w:id="1841" w:name="_Toc468190901"/>
      <w:bookmarkStart w:id="1842" w:name="_Toc468191393"/>
      <w:bookmarkStart w:id="1843" w:name="_Toc468258064"/>
      <w:bookmarkStart w:id="1844" w:name="_Toc468258295"/>
      <w:bookmarkStart w:id="1845" w:name="_Toc468258589"/>
      <w:bookmarkStart w:id="1846" w:name="_Toc468258718"/>
      <w:bookmarkStart w:id="1847" w:name="_Toc468258851"/>
      <w:bookmarkStart w:id="1848" w:name="_Toc468258982"/>
      <w:bookmarkStart w:id="1849" w:name="_Toc468259111"/>
      <w:bookmarkStart w:id="1850" w:name="_Toc468259240"/>
      <w:bookmarkStart w:id="1851" w:name="_Toc468259497"/>
      <w:bookmarkStart w:id="1852" w:name="_Toc468259629"/>
      <w:bookmarkStart w:id="1853" w:name="_Toc468259759"/>
      <w:bookmarkStart w:id="1854" w:name="_Toc468259888"/>
      <w:bookmarkStart w:id="1855" w:name="_Toc468260019"/>
      <w:bookmarkStart w:id="1856" w:name="_Toc468260148"/>
      <w:bookmarkStart w:id="1857" w:name="_Toc468260277"/>
      <w:bookmarkStart w:id="1858" w:name="_Toc468260406"/>
      <w:bookmarkStart w:id="1859" w:name="_Toc468260535"/>
      <w:bookmarkStart w:id="1860" w:name="_Toc468260664"/>
      <w:bookmarkStart w:id="1861" w:name="_Toc468260792"/>
      <w:bookmarkStart w:id="1862" w:name="_Toc468260923"/>
      <w:bookmarkStart w:id="1863" w:name="_Toc468261054"/>
      <w:bookmarkStart w:id="1864" w:name="_Toc468261185"/>
      <w:bookmarkStart w:id="1865" w:name="_Toc468261316"/>
      <w:bookmarkStart w:id="1866" w:name="_Toc468261447"/>
      <w:bookmarkStart w:id="1867" w:name="_Toc468266761"/>
      <w:bookmarkStart w:id="1868" w:name="_Toc468266889"/>
      <w:bookmarkStart w:id="1869" w:name="_Toc468267017"/>
      <w:bookmarkStart w:id="1870" w:name="_Toc468269428"/>
      <w:bookmarkStart w:id="1871" w:name="_Toc468279394"/>
      <w:bookmarkStart w:id="1872" w:name="_Toc468360246"/>
      <w:bookmarkStart w:id="1873" w:name="_Toc468361187"/>
      <w:bookmarkStart w:id="1874" w:name="_Toc468363417"/>
      <w:bookmarkStart w:id="1875" w:name="_Toc468366244"/>
      <w:bookmarkStart w:id="1876" w:name="_Toc468428334"/>
      <w:bookmarkStart w:id="1877" w:name="_Toc468691730"/>
      <w:bookmarkStart w:id="1878" w:name="_Toc468691857"/>
      <w:bookmarkStart w:id="1879" w:name="_Toc468691984"/>
      <w:bookmarkStart w:id="1880" w:name="_Toc468693938"/>
      <w:bookmarkStart w:id="1881" w:name="_Toc468712633"/>
      <w:bookmarkStart w:id="1882" w:name="_Toc468712761"/>
      <w:bookmarkStart w:id="1883" w:name="_Toc468712888"/>
      <w:bookmarkStart w:id="1884" w:name="_Toc468713015"/>
      <w:bookmarkStart w:id="1885" w:name="_Toc468713142"/>
      <w:bookmarkStart w:id="1886" w:name="_Toc468713269"/>
      <w:bookmarkStart w:id="1887" w:name="_Toc468713396"/>
      <w:bookmarkStart w:id="1888" w:name="_Toc468713523"/>
      <w:bookmarkStart w:id="1889" w:name="_Toc468713776"/>
      <w:bookmarkStart w:id="1890" w:name="_Toc468713903"/>
      <w:bookmarkStart w:id="1891" w:name="_Toc468714030"/>
      <w:bookmarkStart w:id="1892" w:name="_Toc468787039"/>
      <w:bookmarkStart w:id="1893" w:name="_Toc468787357"/>
      <w:bookmarkStart w:id="1894" w:name="_Toc468787485"/>
      <w:bookmarkStart w:id="1895" w:name="_Toc468787613"/>
      <w:bookmarkStart w:id="1896" w:name="_Toc468787740"/>
      <w:bookmarkStart w:id="1897" w:name="_Toc468787867"/>
      <w:bookmarkStart w:id="1898" w:name="_Toc468787994"/>
      <w:bookmarkStart w:id="1899" w:name="_Toc468957674"/>
      <w:bookmarkStart w:id="1900" w:name="_Toc468957801"/>
      <w:bookmarkStart w:id="1901" w:name="_Toc468957928"/>
      <w:bookmarkStart w:id="1902" w:name="_Toc468958055"/>
      <w:bookmarkStart w:id="1903" w:name="_Toc468958182"/>
      <w:bookmarkStart w:id="1904" w:name="_Toc468958309"/>
      <w:bookmarkStart w:id="1905" w:name="_Toc468958436"/>
      <w:bookmarkStart w:id="1906" w:name="_Toc468958563"/>
      <w:bookmarkStart w:id="1907" w:name="_Toc468958690"/>
      <w:bookmarkStart w:id="1908" w:name="_Toc468958817"/>
      <w:bookmarkStart w:id="1909" w:name="_Toc468958944"/>
      <w:bookmarkStart w:id="1910" w:name="_Toc468959071"/>
      <w:bookmarkStart w:id="1911" w:name="_Toc468960572"/>
      <w:bookmarkStart w:id="1912" w:name="_Toc469035045"/>
      <w:bookmarkStart w:id="1913" w:name="_Toc469056755"/>
      <w:bookmarkStart w:id="1914" w:name="_Toc469321067"/>
      <w:bookmarkStart w:id="1915" w:name="_Toc469323796"/>
      <w:bookmarkStart w:id="1916" w:name="_Toc469323922"/>
      <w:bookmarkStart w:id="1917" w:name="_Toc469324473"/>
      <w:bookmarkStart w:id="1918" w:name="_Toc470695351"/>
      <w:bookmarkStart w:id="1919" w:name="_Toc470695504"/>
      <w:bookmarkStart w:id="1920" w:name="_Toc470697008"/>
      <w:bookmarkStart w:id="1921" w:name="_Toc470699892"/>
      <w:bookmarkStart w:id="1922" w:name="_Toc470762738"/>
      <w:bookmarkStart w:id="1923" w:name="_Toc471114556"/>
      <w:bookmarkStart w:id="1924" w:name="_Toc474392972"/>
      <w:bookmarkStart w:id="1925" w:name="_Toc474497863"/>
      <w:bookmarkStart w:id="1926" w:name="_Toc474498622"/>
      <w:bookmarkStart w:id="1927" w:name="_Toc474844481"/>
      <w:bookmarkStart w:id="1928" w:name="_Toc474844608"/>
      <w:bookmarkStart w:id="1929" w:name="_Toc474919878"/>
      <w:bookmarkStart w:id="1930" w:name="_Toc474924887"/>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p>
    <w:p w:rsidR="002250F2" w:rsidRPr="002250F2" w:rsidRDefault="002250F2" w:rsidP="003B3BFB">
      <w:pPr>
        <w:pStyle w:val="Akapitzlist"/>
        <w:keepNext/>
        <w:keepLines/>
        <w:numPr>
          <w:ilvl w:val="0"/>
          <w:numId w:val="95"/>
        </w:numPr>
        <w:spacing w:before="120" w:after="180"/>
        <w:jc w:val="both"/>
        <w:outlineLvl w:val="1"/>
        <w:rPr>
          <w:rFonts w:eastAsia="Times New Roman"/>
          <w:b/>
          <w:bCs/>
          <w:vanish/>
          <w:color w:val="3366FF"/>
          <w:sz w:val="28"/>
          <w:szCs w:val="28"/>
          <w:lang w:eastAsia="pl-PL"/>
        </w:rPr>
      </w:pPr>
      <w:bookmarkStart w:id="1931" w:name="_Toc461696025"/>
      <w:bookmarkStart w:id="1932" w:name="_Toc461696099"/>
      <w:bookmarkStart w:id="1933" w:name="_Toc461696173"/>
      <w:bookmarkStart w:id="1934" w:name="_Toc461696247"/>
      <w:bookmarkStart w:id="1935" w:name="_Toc461696321"/>
      <w:bookmarkStart w:id="1936" w:name="_Toc461696395"/>
      <w:bookmarkStart w:id="1937" w:name="_Toc461696469"/>
      <w:bookmarkStart w:id="1938" w:name="_Toc461696716"/>
      <w:bookmarkStart w:id="1939" w:name="_Toc461696811"/>
      <w:bookmarkStart w:id="1940" w:name="_Toc461698096"/>
      <w:bookmarkStart w:id="1941" w:name="_Toc461698212"/>
      <w:bookmarkStart w:id="1942" w:name="_Toc461698784"/>
      <w:bookmarkStart w:id="1943" w:name="_Toc461698858"/>
      <w:bookmarkStart w:id="1944" w:name="_Toc461698932"/>
      <w:bookmarkStart w:id="1945" w:name="_Toc461699006"/>
      <w:bookmarkStart w:id="1946" w:name="_Toc461699297"/>
      <w:bookmarkStart w:id="1947" w:name="_Toc461699812"/>
      <w:bookmarkStart w:id="1948" w:name="_Toc461701804"/>
      <w:bookmarkStart w:id="1949" w:name="_Toc461702654"/>
      <w:bookmarkStart w:id="1950" w:name="_Toc462750917"/>
      <w:bookmarkStart w:id="1951" w:name="_Toc462832680"/>
      <w:bookmarkStart w:id="1952" w:name="_Toc462832754"/>
      <w:bookmarkStart w:id="1953" w:name="_Toc462832887"/>
      <w:bookmarkStart w:id="1954" w:name="_Toc462833644"/>
      <w:bookmarkStart w:id="1955" w:name="_Toc462921491"/>
      <w:bookmarkStart w:id="1956" w:name="_Toc462921598"/>
      <w:bookmarkStart w:id="1957" w:name="_Toc462922260"/>
      <w:bookmarkStart w:id="1958" w:name="_Toc462922348"/>
      <w:bookmarkStart w:id="1959" w:name="_Toc462922454"/>
      <w:bookmarkStart w:id="1960" w:name="_Toc462922546"/>
      <w:bookmarkStart w:id="1961" w:name="_Toc462923054"/>
      <w:bookmarkStart w:id="1962" w:name="_Toc462923171"/>
      <w:bookmarkStart w:id="1963" w:name="_Toc462923342"/>
      <w:bookmarkStart w:id="1964" w:name="_Toc462923496"/>
      <w:bookmarkStart w:id="1965" w:name="_Toc462999044"/>
      <w:bookmarkStart w:id="1966" w:name="_Toc463000637"/>
      <w:bookmarkStart w:id="1967" w:name="_Toc463006138"/>
      <w:bookmarkStart w:id="1968" w:name="_Toc463243967"/>
      <w:bookmarkStart w:id="1969" w:name="_Toc463252947"/>
      <w:bookmarkStart w:id="1970" w:name="_Toc463253348"/>
      <w:bookmarkStart w:id="1971" w:name="_Toc463253806"/>
      <w:bookmarkStart w:id="1972" w:name="_Toc463253937"/>
      <w:bookmarkStart w:id="1973" w:name="_Toc463254071"/>
      <w:bookmarkStart w:id="1974" w:name="_Toc463254151"/>
      <w:bookmarkStart w:id="1975" w:name="_Toc463254270"/>
      <w:bookmarkStart w:id="1976" w:name="_Toc463254351"/>
      <w:bookmarkStart w:id="1977" w:name="_Toc463254432"/>
      <w:bookmarkStart w:id="1978" w:name="_Toc463255326"/>
      <w:bookmarkStart w:id="1979" w:name="_Toc463263380"/>
      <w:bookmarkStart w:id="1980" w:name="_Toc463273428"/>
      <w:bookmarkStart w:id="1981" w:name="_Toc463276636"/>
      <w:bookmarkStart w:id="1982" w:name="_Toc465068978"/>
      <w:bookmarkStart w:id="1983" w:name="_Toc465078626"/>
      <w:bookmarkStart w:id="1984" w:name="_Toc466025952"/>
      <w:bookmarkStart w:id="1985" w:name="_Toc466907002"/>
      <w:bookmarkStart w:id="1986" w:name="_Toc466907198"/>
      <w:bookmarkStart w:id="1987" w:name="_Toc466907279"/>
      <w:bookmarkStart w:id="1988" w:name="_Toc467659582"/>
      <w:bookmarkStart w:id="1989" w:name="_Toc467659664"/>
      <w:bookmarkStart w:id="1990" w:name="_Toc467663058"/>
      <w:bookmarkStart w:id="1991" w:name="_Toc467663409"/>
      <w:bookmarkStart w:id="1992" w:name="_Toc467665434"/>
      <w:bookmarkStart w:id="1993" w:name="_Toc467665586"/>
      <w:bookmarkStart w:id="1994" w:name="_Toc467669508"/>
      <w:bookmarkStart w:id="1995" w:name="_Toc467832013"/>
      <w:bookmarkStart w:id="1996" w:name="_Toc467832133"/>
      <w:bookmarkStart w:id="1997" w:name="_Toc467834838"/>
      <w:bookmarkStart w:id="1998" w:name="_Toc467843519"/>
      <w:bookmarkStart w:id="1999" w:name="_Toc467845505"/>
      <w:bookmarkStart w:id="2000" w:name="_Toc467847448"/>
      <w:bookmarkStart w:id="2001" w:name="_Toc467847570"/>
      <w:bookmarkStart w:id="2002" w:name="_Toc467847692"/>
      <w:bookmarkStart w:id="2003" w:name="_Toc467847814"/>
      <w:bookmarkStart w:id="2004" w:name="_Toc467847938"/>
      <w:bookmarkStart w:id="2005" w:name="_Toc467848062"/>
      <w:bookmarkStart w:id="2006" w:name="_Toc467848186"/>
      <w:bookmarkStart w:id="2007" w:name="_Toc467848310"/>
      <w:bookmarkStart w:id="2008" w:name="_Toc467848434"/>
      <w:bookmarkStart w:id="2009" w:name="_Toc468097907"/>
      <w:bookmarkStart w:id="2010" w:name="_Toc468098032"/>
      <w:bookmarkStart w:id="2011" w:name="_Toc468104699"/>
      <w:bookmarkStart w:id="2012" w:name="_Toc468104823"/>
      <w:bookmarkStart w:id="2013" w:name="_Toc468104947"/>
      <w:bookmarkStart w:id="2014" w:name="_Toc468105073"/>
      <w:bookmarkStart w:id="2015" w:name="_Toc468105199"/>
      <w:bookmarkStart w:id="2016" w:name="_Toc468105325"/>
      <w:bookmarkStart w:id="2017" w:name="_Toc468105809"/>
      <w:bookmarkStart w:id="2018" w:name="_Toc468105936"/>
      <w:bookmarkStart w:id="2019" w:name="_Toc468116230"/>
      <w:bookmarkStart w:id="2020" w:name="_Toc468178188"/>
      <w:bookmarkStart w:id="2021" w:name="_Toc468181480"/>
      <w:bookmarkStart w:id="2022" w:name="_Toc468181607"/>
      <w:bookmarkStart w:id="2023" w:name="_Toc468181736"/>
      <w:bookmarkStart w:id="2024" w:name="_Toc468181903"/>
      <w:bookmarkStart w:id="2025" w:name="_Toc468185844"/>
      <w:bookmarkStart w:id="2026" w:name="_Toc468190776"/>
      <w:bookmarkStart w:id="2027" w:name="_Toc468190902"/>
      <w:bookmarkStart w:id="2028" w:name="_Toc468191394"/>
      <w:bookmarkStart w:id="2029" w:name="_Toc468258065"/>
      <w:bookmarkStart w:id="2030" w:name="_Toc468258296"/>
      <w:bookmarkStart w:id="2031" w:name="_Toc468258590"/>
      <w:bookmarkStart w:id="2032" w:name="_Toc468258719"/>
      <w:bookmarkStart w:id="2033" w:name="_Toc468258852"/>
      <w:bookmarkStart w:id="2034" w:name="_Toc468258983"/>
      <w:bookmarkStart w:id="2035" w:name="_Toc468259112"/>
      <w:bookmarkStart w:id="2036" w:name="_Toc468259241"/>
      <w:bookmarkStart w:id="2037" w:name="_Toc468259498"/>
      <w:bookmarkStart w:id="2038" w:name="_Toc468259630"/>
      <w:bookmarkStart w:id="2039" w:name="_Toc468259760"/>
      <w:bookmarkStart w:id="2040" w:name="_Toc468259889"/>
      <w:bookmarkStart w:id="2041" w:name="_Toc468260020"/>
      <w:bookmarkStart w:id="2042" w:name="_Toc468260149"/>
      <w:bookmarkStart w:id="2043" w:name="_Toc468260278"/>
      <w:bookmarkStart w:id="2044" w:name="_Toc468260407"/>
      <w:bookmarkStart w:id="2045" w:name="_Toc468260536"/>
      <w:bookmarkStart w:id="2046" w:name="_Toc468260665"/>
      <w:bookmarkStart w:id="2047" w:name="_Toc468260793"/>
      <w:bookmarkStart w:id="2048" w:name="_Toc468260924"/>
      <w:bookmarkStart w:id="2049" w:name="_Toc468261055"/>
      <w:bookmarkStart w:id="2050" w:name="_Toc468261186"/>
      <w:bookmarkStart w:id="2051" w:name="_Toc468261317"/>
      <w:bookmarkStart w:id="2052" w:name="_Toc468261448"/>
      <w:bookmarkStart w:id="2053" w:name="_Toc468266762"/>
      <w:bookmarkStart w:id="2054" w:name="_Toc468266890"/>
      <w:bookmarkStart w:id="2055" w:name="_Toc468267018"/>
      <w:bookmarkStart w:id="2056" w:name="_Toc468269429"/>
      <w:bookmarkStart w:id="2057" w:name="_Toc468279395"/>
      <w:bookmarkStart w:id="2058" w:name="_Toc468360247"/>
      <w:bookmarkStart w:id="2059" w:name="_Toc468361188"/>
      <w:bookmarkStart w:id="2060" w:name="_Toc468363418"/>
      <w:bookmarkStart w:id="2061" w:name="_Toc468366245"/>
      <w:bookmarkStart w:id="2062" w:name="_Toc468428335"/>
      <w:bookmarkStart w:id="2063" w:name="_Toc468691731"/>
      <w:bookmarkStart w:id="2064" w:name="_Toc468691858"/>
      <w:bookmarkStart w:id="2065" w:name="_Toc468691985"/>
      <w:bookmarkStart w:id="2066" w:name="_Toc468693939"/>
      <w:bookmarkStart w:id="2067" w:name="_Toc468712634"/>
      <w:bookmarkStart w:id="2068" w:name="_Toc468712762"/>
      <w:bookmarkStart w:id="2069" w:name="_Toc468712889"/>
      <w:bookmarkStart w:id="2070" w:name="_Toc468713016"/>
      <w:bookmarkStart w:id="2071" w:name="_Toc468713143"/>
      <w:bookmarkStart w:id="2072" w:name="_Toc468713270"/>
      <w:bookmarkStart w:id="2073" w:name="_Toc468713397"/>
      <w:bookmarkStart w:id="2074" w:name="_Toc468713524"/>
      <w:bookmarkStart w:id="2075" w:name="_Toc468713777"/>
      <w:bookmarkStart w:id="2076" w:name="_Toc468713904"/>
      <w:bookmarkStart w:id="2077" w:name="_Toc468714031"/>
      <w:bookmarkStart w:id="2078" w:name="_Toc468787040"/>
      <w:bookmarkStart w:id="2079" w:name="_Toc468787358"/>
      <w:bookmarkStart w:id="2080" w:name="_Toc468787486"/>
      <w:bookmarkStart w:id="2081" w:name="_Toc468787614"/>
      <w:bookmarkStart w:id="2082" w:name="_Toc468787741"/>
      <w:bookmarkStart w:id="2083" w:name="_Toc468787868"/>
      <w:bookmarkStart w:id="2084" w:name="_Toc468787995"/>
      <w:bookmarkStart w:id="2085" w:name="_Toc468957675"/>
      <w:bookmarkStart w:id="2086" w:name="_Toc468957802"/>
      <w:bookmarkStart w:id="2087" w:name="_Toc468957929"/>
      <w:bookmarkStart w:id="2088" w:name="_Toc468958056"/>
      <w:bookmarkStart w:id="2089" w:name="_Toc468958183"/>
      <w:bookmarkStart w:id="2090" w:name="_Toc468958310"/>
      <w:bookmarkStart w:id="2091" w:name="_Toc468958437"/>
      <w:bookmarkStart w:id="2092" w:name="_Toc468958564"/>
      <w:bookmarkStart w:id="2093" w:name="_Toc468958691"/>
      <w:bookmarkStart w:id="2094" w:name="_Toc468958818"/>
      <w:bookmarkStart w:id="2095" w:name="_Toc468958945"/>
      <w:bookmarkStart w:id="2096" w:name="_Toc468959072"/>
      <w:bookmarkStart w:id="2097" w:name="_Toc468960573"/>
      <w:bookmarkStart w:id="2098" w:name="_Toc469035046"/>
      <w:bookmarkStart w:id="2099" w:name="_Toc469056756"/>
      <w:bookmarkStart w:id="2100" w:name="_Toc469321068"/>
      <w:bookmarkStart w:id="2101" w:name="_Toc469323797"/>
      <w:bookmarkStart w:id="2102" w:name="_Toc469323923"/>
      <w:bookmarkStart w:id="2103" w:name="_Toc469324474"/>
      <w:bookmarkStart w:id="2104" w:name="_Toc470695352"/>
      <w:bookmarkStart w:id="2105" w:name="_Toc470695505"/>
      <w:bookmarkStart w:id="2106" w:name="_Toc470697009"/>
      <w:bookmarkStart w:id="2107" w:name="_Toc470699893"/>
      <w:bookmarkStart w:id="2108" w:name="_Toc470762739"/>
      <w:bookmarkStart w:id="2109" w:name="_Toc471114557"/>
      <w:bookmarkStart w:id="2110" w:name="_Toc474392973"/>
      <w:bookmarkStart w:id="2111" w:name="_Toc474497864"/>
      <w:bookmarkStart w:id="2112" w:name="_Toc474498623"/>
      <w:bookmarkStart w:id="2113" w:name="_Toc474844482"/>
      <w:bookmarkStart w:id="2114" w:name="_Toc474844609"/>
      <w:bookmarkStart w:id="2115" w:name="_Toc474919879"/>
      <w:bookmarkStart w:id="2116" w:name="_Toc474924888"/>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p>
    <w:p w:rsidR="003569AA" w:rsidRPr="003569AA" w:rsidRDefault="003569AA" w:rsidP="003B3BFB">
      <w:pPr>
        <w:pStyle w:val="Akapitzlist"/>
        <w:keepNext/>
        <w:keepLines/>
        <w:numPr>
          <w:ilvl w:val="0"/>
          <w:numId w:val="91"/>
        </w:numPr>
        <w:spacing w:before="120" w:after="180"/>
        <w:jc w:val="both"/>
        <w:outlineLvl w:val="1"/>
        <w:rPr>
          <w:rFonts w:eastAsia="Times New Roman"/>
          <w:b/>
          <w:bCs/>
          <w:vanish/>
          <w:color w:val="3366FF"/>
          <w:sz w:val="28"/>
          <w:szCs w:val="28"/>
          <w:lang w:eastAsia="pl-PL"/>
        </w:rPr>
      </w:pPr>
      <w:bookmarkStart w:id="2117" w:name="_Toc463253349"/>
      <w:bookmarkStart w:id="2118" w:name="_Toc463253807"/>
      <w:bookmarkStart w:id="2119" w:name="_Toc463253938"/>
      <w:bookmarkStart w:id="2120" w:name="_Toc463254072"/>
      <w:bookmarkStart w:id="2121" w:name="_Toc463254152"/>
      <w:bookmarkStart w:id="2122" w:name="_Toc463254271"/>
      <w:bookmarkStart w:id="2123" w:name="_Toc463254352"/>
      <w:bookmarkStart w:id="2124" w:name="_Toc463254433"/>
      <w:bookmarkStart w:id="2125" w:name="_Toc463255327"/>
      <w:bookmarkStart w:id="2126" w:name="_Toc463263381"/>
      <w:bookmarkStart w:id="2127" w:name="_Toc463273429"/>
      <w:bookmarkStart w:id="2128" w:name="_Toc463276637"/>
      <w:bookmarkStart w:id="2129" w:name="_Toc465068979"/>
      <w:bookmarkStart w:id="2130" w:name="_Toc465078627"/>
      <w:bookmarkStart w:id="2131" w:name="_Toc466025953"/>
      <w:bookmarkStart w:id="2132" w:name="_Toc466907003"/>
      <w:bookmarkStart w:id="2133" w:name="_Toc466907199"/>
      <w:bookmarkStart w:id="2134" w:name="_Toc466907280"/>
      <w:bookmarkStart w:id="2135" w:name="_Toc467659583"/>
      <w:bookmarkStart w:id="2136" w:name="_Toc467659665"/>
      <w:bookmarkStart w:id="2137" w:name="_Toc467663059"/>
      <w:bookmarkStart w:id="2138" w:name="_Toc467663410"/>
      <w:bookmarkStart w:id="2139" w:name="_Toc467665435"/>
      <w:bookmarkStart w:id="2140" w:name="_Toc467665587"/>
      <w:bookmarkStart w:id="2141" w:name="_Toc467669509"/>
      <w:bookmarkStart w:id="2142" w:name="_Toc467832014"/>
      <w:bookmarkStart w:id="2143" w:name="_Toc467832134"/>
      <w:bookmarkStart w:id="2144" w:name="_Toc467834839"/>
      <w:bookmarkStart w:id="2145" w:name="_Toc467843520"/>
      <w:bookmarkStart w:id="2146" w:name="_Toc467845506"/>
      <w:bookmarkStart w:id="2147" w:name="_Toc467847449"/>
      <w:bookmarkStart w:id="2148" w:name="_Toc467847571"/>
      <w:bookmarkStart w:id="2149" w:name="_Toc467847693"/>
      <w:bookmarkStart w:id="2150" w:name="_Toc467847815"/>
      <w:bookmarkStart w:id="2151" w:name="_Toc467847939"/>
      <w:bookmarkStart w:id="2152" w:name="_Toc467848063"/>
      <w:bookmarkStart w:id="2153" w:name="_Toc467848187"/>
      <w:bookmarkStart w:id="2154" w:name="_Toc467848311"/>
      <w:bookmarkStart w:id="2155" w:name="_Toc467848435"/>
      <w:bookmarkStart w:id="2156" w:name="_Toc468097908"/>
      <w:bookmarkStart w:id="2157" w:name="_Toc468098033"/>
      <w:bookmarkStart w:id="2158" w:name="_Toc468104700"/>
      <w:bookmarkStart w:id="2159" w:name="_Toc468104824"/>
      <w:bookmarkStart w:id="2160" w:name="_Toc468104948"/>
      <w:bookmarkStart w:id="2161" w:name="_Toc468105074"/>
      <w:bookmarkStart w:id="2162" w:name="_Toc468105200"/>
      <w:bookmarkStart w:id="2163" w:name="_Toc468105326"/>
      <w:bookmarkStart w:id="2164" w:name="_Toc468105810"/>
      <w:bookmarkStart w:id="2165" w:name="_Toc468105937"/>
      <w:bookmarkStart w:id="2166" w:name="_Toc468116231"/>
      <w:bookmarkStart w:id="2167" w:name="_Toc468178189"/>
      <w:bookmarkStart w:id="2168" w:name="_Toc468181481"/>
      <w:bookmarkStart w:id="2169" w:name="_Toc468181608"/>
      <w:bookmarkStart w:id="2170" w:name="_Toc468181737"/>
      <w:bookmarkStart w:id="2171" w:name="_Toc468181904"/>
      <w:bookmarkStart w:id="2172" w:name="_Toc468185845"/>
      <w:bookmarkStart w:id="2173" w:name="_Toc468190777"/>
      <w:bookmarkStart w:id="2174" w:name="_Toc468190903"/>
      <w:bookmarkStart w:id="2175" w:name="_Toc468191395"/>
      <w:bookmarkStart w:id="2176" w:name="_Toc468258066"/>
      <w:bookmarkStart w:id="2177" w:name="_Toc468258297"/>
      <w:bookmarkStart w:id="2178" w:name="_Toc468258591"/>
      <w:bookmarkStart w:id="2179" w:name="_Toc468258720"/>
      <w:bookmarkStart w:id="2180" w:name="_Toc468258853"/>
      <w:bookmarkStart w:id="2181" w:name="_Toc468258984"/>
      <w:bookmarkStart w:id="2182" w:name="_Toc468259113"/>
      <w:bookmarkStart w:id="2183" w:name="_Toc468259242"/>
      <w:bookmarkStart w:id="2184" w:name="_Toc468259499"/>
      <w:bookmarkStart w:id="2185" w:name="_Toc468259631"/>
      <w:bookmarkStart w:id="2186" w:name="_Toc468259761"/>
      <w:bookmarkStart w:id="2187" w:name="_Toc468259890"/>
      <w:bookmarkStart w:id="2188" w:name="_Toc468260021"/>
      <w:bookmarkStart w:id="2189" w:name="_Toc468260150"/>
      <w:bookmarkStart w:id="2190" w:name="_Toc468260279"/>
      <w:bookmarkStart w:id="2191" w:name="_Toc468260408"/>
      <w:bookmarkStart w:id="2192" w:name="_Toc468260537"/>
      <w:bookmarkStart w:id="2193" w:name="_Toc468260666"/>
      <w:bookmarkStart w:id="2194" w:name="_Toc468260794"/>
      <w:bookmarkStart w:id="2195" w:name="_Toc468260925"/>
      <w:bookmarkStart w:id="2196" w:name="_Toc468261056"/>
      <w:bookmarkStart w:id="2197" w:name="_Toc468261187"/>
      <w:bookmarkStart w:id="2198" w:name="_Toc468261318"/>
      <w:bookmarkStart w:id="2199" w:name="_Toc468261449"/>
      <w:bookmarkStart w:id="2200" w:name="_Toc468266763"/>
      <w:bookmarkStart w:id="2201" w:name="_Toc468266891"/>
      <w:bookmarkStart w:id="2202" w:name="_Toc468267019"/>
      <w:bookmarkStart w:id="2203" w:name="_Toc468269430"/>
      <w:bookmarkStart w:id="2204" w:name="_Toc468279396"/>
      <w:bookmarkStart w:id="2205" w:name="_Toc468360248"/>
      <w:bookmarkStart w:id="2206" w:name="_Toc468361189"/>
      <w:bookmarkStart w:id="2207" w:name="_Toc468363419"/>
      <w:bookmarkStart w:id="2208" w:name="_Toc468366246"/>
      <w:bookmarkStart w:id="2209" w:name="_Toc468428336"/>
      <w:bookmarkStart w:id="2210" w:name="_Toc468691732"/>
      <w:bookmarkStart w:id="2211" w:name="_Toc468691859"/>
      <w:bookmarkStart w:id="2212" w:name="_Toc468691986"/>
      <w:bookmarkStart w:id="2213" w:name="_Toc468693940"/>
      <w:bookmarkStart w:id="2214" w:name="_Toc468712635"/>
      <w:bookmarkStart w:id="2215" w:name="_Toc468712763"/>
      <w:bookmarkStart w:id="2216" w:name="_Toc468712890"/>
      <w:bookmarkStart w:id="2217" w:name="_Toc468713017"/>
      <w:bookmarkStart w:id="2218" w:name="_Toc468713144"/>
      <w:bookmarkStart w:id="2219" w:name="_Toc468713271"/>
      <w:bookmarkStart w:id="2220" w:name="_Toc468713398"/>
      <w:bookmarkStart w:id="2221" w:name="_Toc468713525"/>
      <w:bookmarkStart w:id="2222" w:name="_Toc468713778"/>
      <w:bookmarkStart w:id="2223" w:name="_Toc468713905"/>
      <w:bookmarkStart w:id="2224" w:name="_Toc468714032"/>
      <w:bookmarkStart w:id="2225" w:name="_Toc468787041"/>
      <w:bookmarkStart w:id="2226" w:name="_Toc468787359"/>
      <w:bookmarkStart w:id="2227" w:name="_Toc468787487"/>
      <w:bookmarkStart w:id="2228" w:name="_Toc468787615"/>
      <w:bookmarkStart w:id="2229" w:name="_Toc468787742"/>
      <w:bookmarkStart w:id="2230" w:name="_Toc468787869"/>
      <w:bookmarkStart w:id="2231" w:name="_Toc468787996"/>
      <w:bookmarkStart w:id="2232" w:name="_Toc468957676"/>
      <w:bookmarkStart w:id="2233" w:name="_Toc468957803"/>
      <w:bookmarkStart w:id="2234" w:name="_Toc468957930"/>
      <w:bookmarkStart w:id="2235" w:name="_Toc468958057"/>
      <w:bookmarkStart w:id="2236" w:name="_Toc468958184"/>
      <w:bookmarkStart w:id="2237" w:name="_Toc468958311"/>
      <w:bookmarkStart w:id="2238" w:name="_Toc468958438"/>
      <w:bookmarkStart w:id="2239" w:name="_Toc468958565"/>
      <w:bookmarkStart w:id="2240" w:name="_Toc468958692"/>
      <w:bookmarkStart w:id="2241" w:name="_Toc468958819"/>
      <w:bookmarkStart w:id="2242" w:name="_Toc468958946"/>
      <w:bookmarkStart w:id="2243" w:name="_Toc468959073"/>
      <w:bookmarkStart w:id="2244" w:name="_Toc468960574"/>
      <w:bookmarkStart w:id="2245" w:name="_Toc469035047"/>
      <w:bookmarkStart w:id="2246" w:name="_Toc469056757"/>
      <w:bookmarkStart w:id="2247" w:name="_Toc469321069"/>
      <w:bookmarkStart w:id="2248" w:name="_Toc469323798"/>
      <w:bookmarkStart w:id="2249" w:name="_Toc469323924"/>
      <w:bookmarkStart w:id="2250" w:name="_Toc469324475"/>
      <w:bookmarkStart w:id="2251" w:name="_Toc470695353"/>
      <w:bookmarkStart w:id="2252" w:name="_Toc470695506"/>
      <w:bookmarkStart w:id="2253" w:name="_Toc470697010"/>
      <w:bookmarkStart w:id="2254" w:name="_Toc470699894"/>
      <w:bookmarkStart w:id="2255" w:name="_Toc470762740"/>
      <w:bookmarkStart w:id="2256" w:name="_Toc471114558"/>
      <w:bookmarkStart w:id="2257" w:name="_Toc474392974"/>
      <w:bookmarkStart w:id="2258" w:name="_Toc474497865"/>
      <w:bookmarkStart w:id="2259" w:name="_Toc474498624"/>
      <w:bookmarkStart w:id="2260" w:name="_Toc474844483"/>
      <w:bookmarkStart w:id="2261" w:name="_Toc474844610"/>
      <w:bookmarkStart w:id="2262" w:name="_Toc474919880"/>
      <w:bookmarkStart w:id="2263" w:name="_Toc474924889"/>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p>
    <w:p w:rsidR="003569AA" w:rsidRPr="003569AA" w:rsidRDefault="003569AA" w:rsidP="003B3BFB">
      <w:pPr>
        <w:pStyle w:val="Akapitzlist"/>
        <w:keepNext/>
        <w:keepLines/>
        <w:numPr>
          <w:ilvl w:val="0"/>
          <w:numId w:val="91"/>
        </w:numPr>
        <w:spacing w:before="120" w:after="180"/>
        <w:jc w:val="both"/>
        <w:outlineLvl w:val="1"/>
        <w:rPr>
          <w:rFonts w:eastAsia="Times New Roman"/>
          <w:b/>
          <w:bCs/>
          <w:vanish/>
          <w:color w:val="3366FF"/>
          <w:sz w:val="28"/>
          <w:szCs w:val="28"/>
          <w:lang w:eastAsia="pl-PL"/>
        </w:rPr>
      </w:pPr>
      <w:bookmarkStart w:id="2264" w:name="_Toc463253350"/>
      <w:bookmarkStart w:id="2265" w:name="_Toc463253808"/>
      <w:bookmarkStart w:id="2266" w:name="_Toc463253939"/>
      <w:bookmarkStart w:id="2267" w:name="_Toc463254073"/>
      <w:bookmarkStart w:id="2268" w:name="_Toc463254153"/>
      <w:bookmarkStart w:id="2269" w:name="_Toc463254272"/>
      <w:bookmarkStart w:id="2270" w:name="_Toc463254353"/>
      <w:bookmarkStart w:id="2271" w:name="_Toc463254434"/>
      <w:bookmarkStart w:id="2272" w:name="_Toc463255328"/>
      <w:bookmarkStart w:id="2273" w:name="_Toc463263382"/>
      <w:bookmarkStart w:id="2274" w:name="_Toc463273430"/>
      <w:bookmarkStart w:id="2275" w:name="_Toc463276638"/>
      <w:bookmarkStart w:id="2276" w:name="_Toc465068980"/>
      <w:bookmarkStart w:id="2277" w:name="_Toc465078628"/>
      <w:bookmarkStart w:id="2278" w:name="_Toc466025954"/>
      <w:bookmarkStart w:id="2279" w:name="_Toc466907004"/>
      <w:bookmarkStart w:id="2280" w:name="_Toc466907200"/>
      <w:bookmarkStart w:id="2281" w:name="_Toc466907281"/>
      <w:bookmarkStart w:id="2282" w:name="_Toc467659584"/>
      <w:bookmarkStart w:id="2283" w:name="_Toc467659666"/>
      <w:bookmarkStart w:id="2284" w:name="_Toc467663060"/>
      <w:bookmarkStart w:id="2285" w:name="_Toc467663411"/>
      <w:bookmarkStart w:id="2286" w:name="_Toc467665436"/>
      <w:bookmarkStart w:id="2287" w:name="_Toc467665588"/>
      <w:bookmarkStart w:id="2288" w:name="_Toc467669510"/>
      <w:bookmarkStart w:id="2289" w:name="_Toc467832015"/>
      <w:bookmarkStart w:id="2290" w:name="_Toc467832135"/>
      <w:bookmarkStart w:id="2291" w:name="_Toc467834840"/>
      <w:bookmarkStart w:id="2292" w:name="_Toc467843521"/>
      <w:bookmarkStart w:id="2293" w:name="_Toc467845507"/>
      <w:bookmarkStart w:id="2294" w:name="_Toc467847450"/>
      <w:bookmarkStart w:id="2295" w:name="_Toc467847572"/>
      <w:bookmarkStart w:id="2296" w:name="_Toc467847694"/>
      <w:bookmarkStart w:id="2297" w:name="_Toc467847816"/>
      <w:bookmarkStart w:id="2298" w:name="_Toc467847940"/>
      <w:bookmarkStart w:id="2299" w:name="_Toc467848064"/>
      <w:bookmarkStart w:id="2300" w:name="_Toc467848188"/>
      <w:bookmarkStart w:id="2301" w:name="_Toc467848312"/>
      <w:bookmarkStart w:id="2302" w:name="_Toc467848436"/>
      <w:bookmarkStart w:id="2303" w:name="_Toc468097909"/>
      <w:bookmarkStart w:id="2304" w:name="_Toc468098034"/>
      <w:bookmarkStart w:id="2305" w:name="_Toc468104701"/>
      <w:bookmarkStart w:id="2306" w:name="_Toc468104825"/>
      <w:bookmarkStart w:id="2307" w:name="_Toc468104949"/>
      <w:bookmarkStart w:id="2308" w:name="_Toc468105075"/>
      <w:bookmarkStart w:id="2309" w:name="_Toc468105201"/>
      <w:bookmarkStart w:id="2310" w:name="_Toc468105327"/>
      <w:bookmarkStart w:id="2311" w:name="_Toc468105811"/>
      <w:bookmarkStart w:id="2312" w:name="_Toc468105938"/>
      <w:bookmarkStart w:id="2313" w:name="_Toc468116232"/>
      <w:bookmarkStart w:id="2314" w:name="_Toc468178190"/>
      <w:bookmarkStart w:id="2315" w:name="_Toc468181482"/>
      <w:bookmarkStart w:id="2316" w:name="_Toc468181609"/>
      <w:bookmarkStart w:id="2317" w:name="_Toc468181738"/>
      <w:bookmarkStart w:id="2318" w:name="_Toc468181905"/>
      <w:bookmarkStart w:id="2319" w:name="_Toc468185846"/>
      <w:bookmarkStart w:id="2320" w:name="_Toc468190778"/>
      <w:bookmarkStart w:id="2321" w:name="_Toc468190904"/>
      <w:bookmarkStart w:id="2322" w:name="_Toc468191396"/>
      <w:bookmarkStart w:id="2323" w:name="_Toc468258067"/>
      <w:bookmarkStart w:id="2324" w:name="_Toc468258298"/>
      <w:bookmarkStart w:id="2325" w:name="_Toc468258592"/>
      <w:bookmarkStart w:id="2326" w:name="_Toc468258721"/>
      <w:bookmarkStart w:id="2327" w:name="_Toc468258854"/>
      <w:bookmarkStart w:id="2328" w:name="_Toc468258985"/>
      <w:bookmarkStart w:id="2329" w:name="_Toc468259114"/>
      <w:bookmarkStart w:id="2330" w:name="_Toc468259243"/>
      <w:bookmarkStart w:id="2331" w:name="_Toc468259500"/>
      <w:bookmarkStart w:id="2332" w:name="_Toc468259632"/>
      <w:bookmarkStart w:id="2333" w:name="_Toc468259762"/>
      <w:bookmarkStart w:id="2334" w:name="_Toc468259891"/>
      <w:bookmarkStart w:id="2335" w:name="_Toc468260022"/>
      <w:bookmarkStart w:id="2336" w:name="_Toc468260151"/>
      <w:bookmarkStart w:id="2337" w:name="_Toc468260280"/>
      <w:bookmarkStart w:id="2338" w:name="_Toc468260409"/>
      <w:bookmarkStart w:id="2339" w:name="_Toc468260538"/>
      <w:bookmarkStart w:id="2340" w:name="_Toc468260667"/>
      <w:bookmarkStart w:id="2341" w:name="_Toc468260795"/>
      <w:bookmarkStart w:id="2342" w:name="_Toc468260926"/>
      <w:bookmarkStart w:id="2343" w:name="_Toc468261057"/>
      <w:bookmarkStart w:id="2344" w:name="_Toc468261188"/>
      <w:bookmarkStart w:id="2345" w:name="_Toc468261319"/>
      <w:bookmarkStart w:id="2346" w:name="_Toc468261450"/>
      <w:bookmarkStart w:id="2347" w:name="_Toc468266764"/>
      <w:bookmarkStart w:id="2348" w:name="_Toc468266892"/>
      <w:bookmarkStart w:id="2349" w:name="_Toc468267020"/>
      <w:bookmarkStart w:id="2350" w:name="_Toc468269431"/>
      <w:bookmarkStart w:id="2351" w:name="_Toc468279397"/>
      <w:bookmarkStart w:id="2352" w:name="_Toc468360249"/>
      <w:bookmarkStart w:id="2353" w:name="_Toc468361190"/>
      <w:bookmarkStart w:id="2354" w:name="_Toc468363420"/>
      <w:bookmarkStart w:id="2355" w:name="_Toc468366247"/>
      <w:bookmarkStart w:id="2356" w:name="_Toc468428337"/>
      <w:bookmarkStart w:id="2357" w:name="_Toc468691733"/>
      <w:bookmarkStart w:id="2358" w:name="_Toc468691860"/>
      <w:bookmarkStart w:id="2359" w:name="_Toc468691987"/>
      <w:bookmarkStart w:id="2360" w:name="_Toc468693941"/>
      <w:bookmarkStart w:id="2361" w:name="_Toc468712636"/>
      <w:bookmarkStart w:id="2362" w:name="_Toc468712764"/>
      <w:bookmarkStart w:id="2363" w:name="_Toc468712891"/>
      <w:bookmarkStart w:id="2364" w:name="_Toc468713018"/>
      <w:bookmarkStart w:id="2365" w:name="_Toc468713145"/>
      <w:bookmarkStart w:id="2366" w:name="_Toc468713272"/>
      <w:bookmarkStart w:id="2367" w:name="_Toc468713399"/>
      <w:bookmarkStart w:id="2368" w:name="_Toc468713526"/>
      <w:bookmarkStart w:id="2369" w:name="_Toc468713779"/>
      <w:bookmarkStart w:id="2370" w:name="_Toc468713906"/>
      <w:bookmarkStart w:id="2371" w:name="_Toc468714033"/>
      <w:bookmarkStart w:id="2372" w:name="_Toc468787042"/>
      <w:bookmarkStart w:id="2373" w:name="_Toc468787360"/>
      <w:bookmarkStart w:id="2374" w:name="_Toc468787488"/>
      <w:bookmarkStart w:id="2375" w:name="_Toc468787616"/>
      <w:bookmarkStart w:id="2376" w:name="_Toc468787743"/>
      <w:bookmarkStart w:id="2377" w:name="_Toc468787870"/>
      <w:bookmarkStart w:id="2378" w:name="_Toc468787997"/>
      <w:bookmarkStart w:id="2379" w:name="_Toc468957677"/>
      <w:bookmarkStart w:id="2380" w:name="_Toc468957804"/>
      <w:bookmarkStart w:id="2381" w:name="_Toc468957931"/>
      <w:bookmarkStart w:id="2382" w:name="_Toc468958058"/>
      <w:bookmarkStart w:id="2383" w:name="_Toc468958185"/>
      <w:bookmarkStart w:id="2384" w:name="_Toc468958312"/>
      <w:bookmarkStart w:id="2385" w:name="_Toc468958439"/>
      <w:bookmarkStart w:id="2386" w:name="_Toc468958566"/>
      <w:bookmarkStart w:id="2387" w:name="_Toc468958693"/>
      <w:bookmarkStart w:id="2388" w:name="_Toc468958820"/>
      <w:bookmarkStart w:id="2389" w:name="_Toc468958947"/>
      <w:bookmarkStart w:id="2390" w:name="_Toc468959074"/>
      <w:bookmarkStart w:id="2391" w:name="_Toc468960575"/>
      <w:bookmarkStart w:id="2392" w:name="_Toc469035048"/>
      <w:bookmarkStart w:id="2393" w:name="_Toc469056758"/>
      <w:bookmarkStart w:id="2394" w:name="_Toc469321070"/>
      <w:bookmarkStart w:id="2395" w:name="_Toc469323799"/>
      <w:bookmarkStart w:id="2396" w:name="_Toc469323925"/>
      <w:bookmarkStart w:id="2397" w:name="_Toc469324476"/>
      <w:bookmarkStart w:id="2398" w:name="_Toc470695354"/>
      <w:bookmarkStart w:id="2399" w:name="_Toc470695507"/>
      <w:bookmarkStart w:id="2400" w:name="_Toc470697011"/>
      <w:bookmarkStart w:id="2401" w:name="_Toc470699895"/>
      <w:bookmarkStart w:id="2402" w:name="_Toc470762741"/>
      <w:bookmarkStart w:id="2403" w:name="_Toc471114559"/>
      <w:bookmarkStart w:id="2404" w:name="_Toc474392975"/>
      <w:bookmarkStart w:id="2405" w:name="_Toc474497866"/>
      <w:bookmarkStart w:id="2406" w:name="_Toc474498625"/>
      <w:bookmarkStart w:id="2407" w:name="_Toc474844484"/>
      <w:bookmarkStart w:id="2408" w:name="_Toc474844611"/>
      <w:bookmarkStart w:id="2409" w:name="_Toc474919881"/>
      <w:bookmarkStart w:id="2410" w:name="_Toc474924890"/>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p>
    <w:p w:rsidR="001C2FD4" w:rsidRPr="001C2FD4" w:rsidRDefault="001C2FD4" w:rsidP="000809E2">
      <w:pPr>
        <w:pStyle w:val="Akapitzlist"/>
        <w:keepNext/>
        <w:keepLines/>
        <w:numPr>
          <w:ilvl w:val="0"/>
          <w:numId w:val="296"/>
        </w:numPr>
        <w:spacing w:before="120" w:after="180" w:line="288" w:lineRule="auto"/>
        <w:jc w:val="both"/>
        <w:outlineLvl w:val="1"/>
        <w:rPr>
          <w:rFonts w:eastAsia="Times New Roman"/>
          <w:bCs/>
          <w:vanish/>
          <w:color w:val="3366FF"/>
          <w:sz w:val="28"/>
          <w:szCs w:val="28"/>
          <w:lang w:eastAsia="pl-PL"/>
        </w:rPr>
      </w:pPr>
      <w:bookmarkStart w:id="2411" w:name="_Toc461695427"/>
      <w:bookmarkStart w:id="2412" w:name="_Toc461695759"/>
      <w:bookmarkStart w:id="2413" w:name="_Toc461695953"/>
      <w:bookmarkStart w:id="2414" w:name="_Toc461696027"/>
      <w:bookmarkStart w:id="2415" w:name="_Toc461696101"/>
      <w:bookmarkStart w:id="2416" w:name="_Toc461696175"/>
      <w:bookmarkStart w:id="2417" w:name="_Toc461696249"/>
      <w:bookmarkStart w:id="2418" w:name="_Toc461696323"/>
      <w:bookmarkStart w:id="2419" w:name="_Toc461696397"/>
      <w:bookmarkStart w:id="2420" w:name="_Toc461696471"/>
      <w:bookmarkStart w:id="2421" w:name="_Toc461696718"/>
      <w:bookmarkStart w:id="2422" w:name="_Toc461696813"/>
      <w:bookmarkStart w:id="2423" w:name="_Toc461698098"/>
      <w:bookmarkStart w:id="2424" w:name="_Toc461698214"/>
      <w:bookmarkStart w:id="2425" w:name="_Toc461698786"/>
      <w:bookmarkStart w:id="2426" w:name="_Toc461698860"/>
      <w:bookmarkStart w:id="2427" w:name="_Toc461698934"/>
      <w:bookmarkStart w:id="2428" w:name="_Toc461699008"/>
      <w:bookmarkStart w:id="2429" w:name="_Toc461699299"/>
      <w:bookmarkStart w:id="2430" w:name="_Toc461699814"/>
      <w:bookmarkStart w:id="2431" w:name="_Toc461701806"/>
      <w:bookmarkStart w:id="2432" w:name="_Toc461702656"/>
      <w:bookmarkStart w:id="2433" w:name="_Toc462750919"/>
      <w:bookmarkStart w:id="2434" w:name="_Toc462832682"/>
      <w:bookmarkStart w:id="2435" w:name="_Toc462832756"/>
      <w:bookmarkStart w:id="2436" w:name="_Toc462832889"/>
      <w:bookmarkStart w:id="2437" w:name="_Toc462833646"/>
      <w:bookmarkStart w:id="2438" w:name="_Toc462921493"/>
      <w:bookmarkStart w:id="2439" w:name="_Toc462921600"/>
      <w:bookmarkStart w:id="2440" w:name="_Toc462922262"/>
      <w:bookmarkStart w:id="2441" w:name="_Toc462922350"/>
      <w:bookmarkStart w:id="2442" w:name="_Toc462922456"/>
      <w:bookmarkStart w:id="2443" w:name="_Toc462922548"/>
      <w:bookmarkStart w:id="2444" w:name="_Toc462923056"/>
      <w:bookmarkStart w:id="2445" w:name="_Toc462923173"/>
      <w:bookmarkStart w:id="2446" w:name="_Toc462923344"/>
      <w:bookmarkStart w:id="2447" w:name="_Toc462923498"/>
      <w:bookmarkStart w:id="2448" w:name="_Toc462999046"/>
      <w:bookmarkStart w:id="2449" w:name="_Toc463000639"/>
      <w:bookmarkStart w:id="2450" w:name="_Toc463006140"/>
      <w:bookmarkStart w:id="2451" w:name="_Toc463243969"/>
      <w:bookmarkStart w:id="2452" w:name="_Toc463252949"/>
      <w:bookmarkStart w:id="2453" w:name="_Toc463253352"/>
      <w:bookmarkStart w:id="2454" w:name="_Toc463253809"/>
      <w:bookmarkStart w:id="2455" w:name="_Toc463253940"/>
      <w:bookmarkStart w:id="2456" w:name="_Toc463254074"/>
      <w:bookmarkStart w:id="2457" w:name="_Toc463254154"/>
      <w:bookmarkStart w:id="2458" w:name="_Toc463254273"/>
      <w:bookmarkStart w:id="2459" w:name="_Toc463254354"/>
      <w:bookmarkStart w:id="2460" w:name="_Toc463254435"/>
      <w:bookmarkStart w:id="2461" w:name="_Toc463255329"/>
      <w:bookmarkStart w:id="2462" w:name="_Toc463263383"/>
      <w:bookmarkStart w:id="2463" w:name="_Toc463273431"/>
      <w:bookmarkStart w:id="2464" w:name="_Toc463276639"/>
      <w:bookmarkStart w:id="2465" w:name="_Toc465068981"/>
      <w:bookmarkStart w:id="2466" w:name="_Toc465078629"/>
      <w:bookmarkStart w:id="2467" w:name="_Toc466025955"/>
      <w:bookmarkStart w:id="2468" w:name="_Toc466907005"/>
      <w:bookmarkStart w:id="2469" w:name="_Toc466907201"/>
      <w:bookmarkStart w:id="2470" w:name="_Toc466907282"/>
      <w:bookmarkStart w:id="2471" w:name="_Toc467659585"/>
      <w:bookmarkStart w:id="2472" w:name="_Toc467659667"/>
      <w:bookmarkStart w:id="2473" w:name="_Toc467663061"/>
      <w:bookmarkStart w:id="2474" w:name="_Toc467663412"/>
      <w:bookmarkStart w:id="2475" w:name="_Toc467665437"/>
      <w:bookmarkStart w:id="2476" w:name="_Toc467665589"/>
      <w:bookmarkStart w:id="2477" w:name="_Toc467669511"/>
      <w:bookmarkStart w:id="2478" w:name="_Toc467832016"/>
      <w:bookmarkStart w:id="2479" w:name="_Toc467832136"/>
      <w:bookmarkStart w:id="2480" w:name="_Toc467834841"/>
      <w:bookmarkStart w:id="2481" w:name="_Toc467843522"/>
      <w:bookmarkStart w:id="2482" w:name="_Toc467845508"/>
      <w:bookmarkStart w:id="2483" w:name="_Toc467847451"/>
      <w:bookmarkStart w:id="2484" w:name="_Toc467847573"/>
      <w:bookmarkStart w:id="2485" w:name="_Toc467847695"/>
      <w:bookmarkStart w:id="2486" w:name="_Toc467847817"/>
      <w:bookmarkStart w:id="2487" w:name="_Toc467847941"/>
      <w:bookmarkStart w:id="2488" w:name="_Toc467848065"/>
      <w:bookmarkStart w:id="2489" w:name="_Toc467848189"/>
      <w:bookmarkStart w:id="2490" w:name="_Toc467848313"/>
      <w:bookmarkStart w:id="2491" w:name="_Toc467848437"/>
      <w:bookmarkStart w:id="2492" w:name="_Toc468097910"/>
      <w:bookmarkStart w:id="2493" w:name="_Toc468098035"/>
      <w:bookmarkStart w:id="2494" w:name="_Toc468104702"/>
      <w:bookmarkStart w:id="2495" w:name="_Toc468104826"/>
      <w:bookmarkStart w:id="2496" w:name="_Toc468104950"/>
      <w:bookmarkStart w:id="2497" w:name="_Toc468105076"/>
      <w:bookmarkStart w:id="2498" w:name="_Toc468105202"/>
      <w:bookmarkStart w:id="2499" w:name="_Toc468105328"/>
      <w:bookmarkStart w:id="2500" w:name="_Toc468105812"/>
      <w:bookmarkStart w:id="2501" w:name="_Toc468105939"/>
      <w:bookmarkStart w:id="2502" w:name="_Toc468116233"/>
      <w:bookmarkStart w:id="2503" w:name="_Toc468178191"/>
      <w:bookmarkStart w:id="2504" w:name="_Toc468181483"/>
      <w:bookmarkStart w:id="2505" w:name="_Toc468181610"/>
      <w:bookmarkStart w:id="2506" w:name="_Toc468181739"/>
      <w:bookmarkStart w:id="2507" w:name="_Toc468181906"/>
      <w:bookmarkStart w:id="2508" w:name="_Toc468185847"/>
      <w:bookmarkStart w:id="2509" w:name="_Toc468190779"/>
      <w:bookmarkStart w:id="2510" w:name="_Toc468190905"/>
      <w:bookmarkStart w:id="2511" w:name="_Toc468191397"/>
      <w:bookmarkStart w:id="2512" w:name="_Toc468258068"/>
      <w:bookmarkStart w:id="2513" w:name="_Toc468258299"/>
      <w:bookmarkStart w:id="2514" w:name="_Toc468258593"/>
      <w:bookmarkStart w:id="2515" w:name="_Toc468258722"/>
      <w:bookmarkStart w:id="2516" w:name="_Toc468258855"/>
      <w:bookmarkStart w:id="2517" w:name="_Toc468258986"/>
      <w:bookmarkStart w:id="2518" w:name="_Toc468259115"/>
      <w:bookmarkStart w:id="2519" w:name="_Toc468259244"/>
      <w:bookmarkStart w:id="2520" w:name="_Toc468259501"/>
      <w:bookmarkStart w:id="2521" w:name="_Toc468259633"/>
      <w:bookmarkStart w:id="2522" w:name="_Toc468259763"/>
      <w:bookmarkStart w:id="2523" w:name="_Toc468259892"/>
      <w:bookmarkStart w:id="2524" w:name="_Toc468260023"/>
      <w:bookmarkStart w:id="2525" w:name="_Toc468260152"/>
      <w:bookmarkStart w:id="2526" w:name="_Toc468260281"/>
      <w:bookmarkStart w:id="2527" w:name="_Toc468260410"/>
      <w:bookmarkStart w:id="2528" w:name="_Toc468260539"/>
      <w:bookmarkStart w:id="2529" w:name="_Toc468260668"/>
      <w:bookmarkStart w:id="2530" w:name="_Toc468260796"/>
      <w:bookmarkStart w:id="2531" w:name="_Toc468260927"/>
      <w:bookmarkStart w:id="2532" w:name="_Toc468261058"/>
      <w:bookmarkStart w:id="2533" w:name="_Toc468261189"/>
      <w:bookmarkStart w:id="2534" w:name="_Toc468261320"/>
      <w:bookmarkStart w:id="2535" w:name="_Toc468261451"/>
      <w:bookmarkStart w:id="2536" w:name="_Toc468266765"/>
      <w:bookmarkStart w:id="2537" w:name="_Toc468266893"/>
      <w:bookmarkStart w:id="2538" w:name="_Toc468267021"/>
      <w:bookmarkStart w:id="2539" w:name="_Toc468269432"/>
      <w:bookmarkStart w:id="2540" w:name="_Toc468279398"/>
      <w:bookmarkStart w:id="2541" w:name="_Toc468360250"/>
      <w:bookmarkStart w:id="2542" w:name="_Toc468361191"/>
      <w:bookmarkStart w:id="2543" w:name="_Toc468363421"/>
      <w:bookmarkStart w:id="2544" w:name="_Toc468366248"/>
      <w:bookmarkStart w:id="2545" w:name="_Toc468428338"/>
      <w:bookmarkStart w:id="2546" w:name="_Toc468691734"/>
      <w:bookmarkStart w:id="2547" w:name="_Toc468691861"/>
      <w:bookmarkStart w:id="2548" w:name="_Toc468691988"/>
      <w:bookmarkStart w:id="2549" w:name="_Toc468693942"/>
      <w:bookmarkStart w:id="2550" w:name="_Toc468712637"/>
      <w:bookmarkStart w:id="2551" w:name="_Toc468712765"/>
      <w:bookmarkStart w:id="2552" w:name="_Toc468712892"/>
      <w:bookmarkStart w:id="2553" w:name="_Toc468713019"/>
      <w:bookmarkStart w:id="2554" w:name="_Toc468713146"/>
      <w:bookmarkStart w:id="2555" w:name="_Toc468713273"/>
      <w:bookmarkStart w:id="2556" w:name="_Toc468713400"/>
      <w:bookmarkStart w:id="2557" w:name="_Toc468713527"/>
      <w:bookmarkStart w:id="2558" w:name="_Toc468713780"/>
      <w:bookmarkStart w:id="2559" w:name="_Toc468713907"/>
      <w:bookmarkStart w:id="2560" w:name="_Toc468714034"/>
      <w:bookmarkStart w:id="2561" w:name="_Toc468787043"/>
      <w:bookmarkStart w:id="2562" w:name="_Toc468787361"/>
      <w:bookmarkStart w:id="2563" w:name="_Toc468787489"/>
      <w:bookmarkStart w:id="2564" w:name="_Toc468787617"/>
      <w:bookmarkStart w:id="2565" w:name="_Toc468787744"/>
      <w:bookmarkStart w:id="2566" w:name="_Toc468787871"/>
      <w:bookmarkStart w:id="2567" w:name="_Toc468787998"/>
      <w:bookmarkStart w:id="2568" w:name="_Toc468957678"/>
      <w:bookmarkStart w:id="2569" w:name="_Toc468957805"/>
      <w:bookmarkStart w:id="2570" w:name="_Toc468957932"/>
      <w:bookmarkStart w:id="2571" w:name="_Toc468958059"/>
      <w:bookmarkStart w:id="2572" w:name="_Toc468958186"/>
      <w:bookmarkStart w:id="2573" w:name="_Toc468958313"/>
      <w:bookmarkStart w:id="2574" w:name="_Toc468958440"/>
      <w:bookmarkStart w:id="2575" w:name="_Toc468958567"/>
      <w:bookmarkStart w:id="2576" w:name="_Toc468958694"/>
      <w:bookmarkStart w:id="2577" w:name="_Toc468958821"/>
      <w:bookmarkStart w:id="2578" w:name="_Toc468958948"/>
      <w:bookmarkStart w:id="2579" w:name="_Toc468959075"/>
      <w:bookmarkStart w:id="2580" w:name="_Toc468960576"/>
      <w:bookmarkStart w:id="2581" w:name="_Toc469035049"/>
      <w:bookmarkStart w:id="2582" w:name="_Toc469056759"/>
      <w:bookmarkStart w:id="2583" w:name="_Toc469321071"/>
      <w:bookmarkStart w:id="2584" w:name="_Toc469323800"/>
      <w:bookmarkStart w:id="2585" w:name="_Toc469323926"/>
      <w:bookmarkStart w:id="2586" w:name="_Toc469324477"/>
      <w:bookmarkStart w:id="2587" w:name="_Toc470695355"/>
      <w:bookmarkStart w:id="2588" w:name="_Toc470695508"/>
      <w:bookmarkStart w:id="2589" w:name="_Toc470697012"/>
      <w:bookmarkStart w:id="2590" w:name="_Toc470699896"/>
      <w:bookmarkStart w:id="2591" w:name="_Toc470762742"/>
      <w:bookmarkStart w:id="2592" w:name="_Toc471114560"/>
      <w:bookmarkStart w:id="2593" w:name="_Toc474392976"/>
      <w:bookmarkStart w:id="2594" w:name="_Toc474497867"/>
      <w:bookmarkStart w:id="2595" w:name="_Toc474498626"/>
      <w:bookmarkStart w:id="2596" w:name="_Toc474844485"/>
      <w:bookmarkStart w:id="2597" w:name="_Toc474844612"/>
      <w:bookmarkStart w:id="2598" w:name="_Toc474919882"/>
      <w:bookmarkStart w:id="2599" w:name="_Toc474924891"/>
      <w:bookmarkStart w:id="2600" w:name="_Toc461612516"/>
      <w:bookmarkEnd w:id="1066"/>
      <w:bookmarkEnd w:id="1067"/>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p>
    <w:p w:rsidR="001C2FD4" w:rsidRPr="001C2FD4" w:rsidRDefault="001C2FD4" w:rsidP="000809E2">
      <w:pPr>
        <w:pStyle w:val="Akapitzlist"/>
        <w:keepNext/>
        <w:keepLines/>
        <w:numPr>
          <w:ilvl w:val="0"/>
          <w:numId w:val="296"/>
        </w:numPr>
        <w:spacing w:before="120" w:after="180" w:line="288" w:lineRule="auto"/>
        <w:jc w:val="both"/>
        <w:outlineLvl w:val="1"/>
        <w:rPr>
          <w:rFonts w:eastAsia="Times New Roman"/>
          <w:bCs/>
          <w:vanish/>
          <w:color w:val="3366FF"/>
          <w:sz w:val="28"/>
          <w:szCs w:val="28"/>
          <w:lang w:eastAsia="pl-PL"/>
        </w:rPr>
      </w:pPr>
      <w:bookmarkStart w:id="2601" w:name="_Toc461695428"/>
      <w:bookmarkStart w:id="2602" w:name="_Toc461695760"/>
      <w:bookmarkStart w:id="2603" w:name="_Toc461695954"/>
      <w:bookmarkStart w:id="2604" w:name="_Toc461696028"/>
      <w:bookmarkStart w:id="2605" w:name="_Toc461696102"/>
      <w:bookmarkStart w:id="2606" w:name="_Toc461696176"/>
      <w:bookmarkStart w:id="2607" w:name="_Toc461696250"/>
      <w:bookmarkStart w:id="2608" w:name="_Toc461696324"/>
      <w:bookmarkStart w:id="2609" w:name="_Toc461696398"/>
      <w:bookmarkStart w:id="2610" w:name="_Toc461696472"/>
      <w:bookmarkStart w:id="2611" w:name="_Toc461696719"/>
      <w:bookmarkStart w:id="2612" w:name="_Toc461696814"/>
      <w:bookmarkStart w:id="2613" w:name="_Toc461698099"/>
      <w:bookmarkStart w:id="2614" w:name="_Toc461698215"/>
      <w:bookmarkStart w:id="2615" w:name="_Toc461698787"/>
      <w:bookmarkStart w:id="2616" w:name="_Toc461698861"/>
      <w:bookmarkStart w:id="2617" w:name="_Toc461698935"/>
      <w:bookmarkStart w:id="2618" w:name="_Toc461699009"/>
      <w:bookmarkStart w:id="2619" w:name="_Toc461699300"/>
      <w:bookmarkStart w:id="2620" w:name="_Toc461699815"/>
      <w:bookmarkStart w:id="2621" w:name="_Toc461701807"/>
      <w:bookmarkStart w:id="2622" w:name="_Toc461702657"/>
      <w:bookmarkStart w:id="2623" w:name="_Toc462750920"/>
      <w:bookmarkStart w:id="2624" w:name="_Toc462832683"/>
      <w:bookmarkStart w:id="2625" w:name="_Toc462832757"/>
      <w:bookmarkStart w:id="2626" w:name="_Toc462832890"/>
      <w:bookmarkStart w:id="2627" w:name="_Toc462833647"/>
      <w:bookmarkStart w:id="2628" w:name="_Toc462921494"/>
      <w:bookmarkStart w:id="2629" w:name="_Toc462921601"/>
      <w:bookmarkStart w:id="2630" w:name="_Toc462922263"/>
      <w:bookmarkStart w:id="2631" w:name="_Toc462922351"/>
      <w:bookmarkStart w:id="2632" w:name="_Toc462922457"/>
      <w:bookmarkStart w:id="2633" w:name="_Toc462922549"/>
      <w:bookmarkStart w:id="2634" w:name="_Toc462923057"/>
      <w:bookmarkStart w:id="2635" w:name="_Toc462923174"/>
      <w:bookmarkStart w:id="2636" w:name="_Toc462923345"/>
      <w:bookmarkStart w:id="2637" w:name="_Toc462923499"/>
      <w:bookmarkStart w:id="2638" w:name="_Toc462999047"/>
      <w:bookmarkStart w:id="2639" w:name="_Toc463000640"/>
      <w:bookmarkStart w:id="2640" w:name="_Toc463006141"/>
      <w:bookmarkStart w:id="2641" w:name="_Toc463243970"/>
      <w:bookmarkStart w:id="2642" w:name="_Toc463252950"/>
      <w:bookmarkStart w:id="2643" w:name="_Toc463253353"/>
      <w:bookmarkStart w:id="2644" w:name="_Toc463253810"/>
      <w:bookmarkStart w:id="2645" w:name="_Toc463253941"/>
      <w:bookmarkStart w:id="2646" w:name="_Toc463254075"/>
      <w:bookmarkStart w:id="2647" w:name="_Toc463254155"/>
      <w:bookmarkStart w:id="2648" w:name="_Toc463254274"/>
      <w:bookmarkStart w:id="2649" w:name="_Toc463254355"/>
      <w:bookmarkStart w:id="2650" w:name="_Toc463254436"/>
      <w:bookmarkStart w:id="2651" w:name="_Toc463255330"/>
      <w:bookmarkStart w:id="2652" w:name="_Toc463263384"/>
      <w:bookmarkStart w:id="2653" w:name="_Toc463273432"/>
      <w:bookmarkStart w:id="2654" w:name="_Toc463276640"/>
      <w:bookmarkStart w:id="2655" w:name="_Toc465068982"/>
      <w:bookmarkStart w:id="2656" w:name="_Toc465078630"/>
      <w:bookmarkStart w:id="2657" w:name="_Toc466025956"/>
      <w:bookmarkStart w:id="2658" w:name="_Toc466907006"/>
      <w:bookmarkStart w:id="2659" w:name="_Toc466907202"/>
      <w:bookmarkStart w:id="2660" w:name="_Toc466907283"/>
      <w:bookmarkStart w:id="2661" w:name="_Toc467659586"/>
      <w:bookmarkStart w:id="2662" w:name="_Toc467659668"/>
      <w:bookmarkStart w:id="2663" w:name="_Toc467663062"/>
      <w:bookmarkStart w:id="2664" w:name="_Toc467663413"/>
      <w:bookmarkStart w:id="2665" w:name="_Toc467665438"/>
      <w:bookmarkStart w:id="2666" w:name="_Toc467665590"/>
      <w:bookmarkStart w:id="2667" w:name="_Toc467669512"/>
      <w:bookmarkStart w:id="2668" w:name="_Toc467832017"/>
      <w:bookmarkStart w:id="2669" w:name="_Toc467832137"/>
      <w:bookmarkStart w:id="2670" w:name="_Toc467834842"/>
      <w:bookmarkStart w:id="2671" w:name="_Toc467843523"/>
      <w:bookmarkStart w:id="2672" w:name="_Toc467845509"/>
      <w:bookmarkStart w:id="2673" w:name="_Toc467847452"/>
      <w:bookmarkStart w:id="2674" w:name="_Toc467847574"/>
      <w:bookmarkStart w:id="2675" w:name="_Toc467847696"/>
      <w:bookmarkStart w:id="2676" w:name="_Toc467847818"/>
      <w:bookmarkStart w:id="2677" w:name="_Toc467847942"/>
      <w:bookmarkStart w:id="2678" w:name="_Toc467848066"/>
      <w:bookmarkStart w:id="2679" w:name="_Toc467848190"/>
      <w:bookmarkStart w:id="2680" w:name="_Toc467848314"/>
      <w:bookmarkStart w:id="2681" w:name="_Toc467848438"/>
      <w:bookmarkStart w:id="2682" w:name="_Toc468097911"/>
      <w:bookmarkStart w:id="2683" w:name="_Toc468098036"/>
      <w:bookmarkStart w:id="2684" w:name="_Toc468104703"/>
      <w:bookmarkStart w:id="2685" w:name="_Toc468104827"/>
      <w:bookmarkStart w:id="2686" w:name="_Toc468104951"/>
      <w:bookmarkStart w:id="2687" w:name="_Toc468105077"/>
      <w:bookmarkStart w:id="2688" w:name="_Toc468105203"/>
      <w:bookmarkStart w:id="2689" w:name="_Toc468105329"/>
      <w:bookmarkStart w:id="2690" w:name="_Toc468105813"/>
      <w:bookmarkStart w:id="2691" w:name="_Toc468105940"/>
      <w:bookmarkStart w:id="2692" w:name="_Toc468116234"/>
      <w:bookmarkStart w:id="2693" w:name="_Toc468178192"/>
      <w:bookmarkStart w:id="2694" w:name="_Toc468181484"/>
      <w:bookmarkStart w:id="2695" w:name="_Toc468181611"/>
      <w:bookmarkStart w:id="2696" w:name="_Toc468181740"/>
      <w:bookmarkStart w:id="2697" w:name="_Toc468181907"/>
      <w:bookmarkStart w:id="2698" w:name="_Toc468185848"/>
      <w:bookmarkStart w:id="2699" w:name="_Toc468190780"/>
      <w:bookmarkStart w:id="2700" w:name="_Toc468190906"/>
      <w:bookmarkStart w:id="2701" w:name="_Toc468191398"/>
      <w:bookmarkStart w:id="2702" w:name="_Toc468258069"/>
      <w:bookmarkStart w:id="2703" w:name="_Toc468258300"/>
      <w:bookmarkStart w:id="2704" w:name="_Toc468258594"/>
      <w:bookmarkStart w:id="2705" w:name="_Toc468258723"/>
      <w:bookmarkStart w:id="2706" w:name="_Toc468258856"/>
      <w:bookmarkStart w:id="2707" w:name="_Toc468258987"/>
      <w:bookmarkStart w:id="2708" w:name="_Toc468259116"/>
      <w:bookmarkStart w:id="2709" w:name="_Toc468259245"/>
      <w:bookmarkStart w:id="2710" w:name="_Toc468259502"/>
      <w:bookmarkStart w:id="2711" w:name="_Toc468259634"/>
      <w:bookmarkStart w:id="2712" w:name="_Toc468259764"/>
      <w:bookmarkStart w:id="2713" w:name="_Toc468259893"/>
      <w:bookmarkStart w:id="2714" w:name="_Toc468260024"/>
      <w:bookmarkStart w:id="2715" w:name="_Toc468260153"/>
      <w:bookmarkStart w:id="2716" w:name="_Toc468260282"/>
      <w:bookmarkStart w:id="2717" w:name="_Toc468260411"/>
      <w:bookmarkStart w:id="2718" w:name="_Toc468260540"/>
      <w:bookmarkStart w:id="2719" w:name="_Toc468260669"/>
      <w:bookmarkStart w:id="2720" w:name="_Toc468260797"/>
      <w:bookmarkStart w:id="2721" w:name="_Toc468260928"/>
      <w:bookmarkStart w:id="2722" w:name="_Toc468261059"/>
      <w:bookmarkStart w:id="2723" w:name="_Toc468261190"/>
      <w:bookmarkStart w:id="2724" w:name="_Toc468261321"/>
      <w:bookmarkStart w:id="2725" w:name="_Toc468261452"/>
      <w:bookmarkStart w:id="2726" w:name="_Toc468266766"/>
      <w:bookmarkStart w:id="2727" w:name="_Toc468266894"/>
      <w:bookmarkStart w:id="2728" w:name="_Toc468267022"/>
      <w:bookmarkStart w:id="2729" w:name="_Toc468269433"/>
      <w:bookmarkStart w:id="2730" w:name="_Toc468279399"/>
      <w:bookmarkStart w:id="2731" w:name="_Toc468360251"/>
      <w:bookmarkStart w:id="2732" w:name="_Toc468361192"/>
      <w:bookmarkStart w:id="2733" w:name="_Toc468363422"/>
      <w:bookmarkStart w:id="2734" w:name="_Toc468366249"/>
      <w:bookmarkStart w:id="2735" w:name="_Toc468428339"/>
      <w:bookmarkStart w:id="2736" w:name="_Toc468691735"/>
      <w:bookmarkStart w:id="2737" w:name="_Toc468691862"/>
      <w:bookmarkStart w:id="2738" w:name="_Toc468691989"/>
      <w:bookmarkStart w:id="2739" w:name="_Toc468693943"/>
      <w:bookmarkStart w:id="2740" w:name="_Toc468712638"/>
      <w:bookmarkStart w:id="2741" w:name="_Toc468712766"/>
      <w:bookmarkStart w:id="2742" w:name="_Toc468712893"/>
      <w:bookmarkStart w:id="2743" w:name="_Toc468713020"/>
      <w:bookmarkStart w:id="2744" w:name="_Toc468713147"/>
      <w:bookmarkStart w:id="2745" w:name="_Toc468713274"/>
      <w:bookmarkStart w:id="2746" w:name="_Toc468713401"/>
      <w:bookmarkStart w:id="2747" w:name="_Toc468713528"/>
      <w:bookmarkStart w:id="2748" w:name="_Toc468713781"/>
      <w:bookmarkStart w:id="2749" w:name="_Toc468713908"/>
      <w:bookmarkStart w:id="2750" w:name="_Toc468714035"/>
      <w:bookmarkStart w:id="2751" w:name="_Toc468787044"/>
      <w:bookmarkStart w:id="2752" w:name="_Toc468787362"/>
      <w:bookmarkStart w:id="2753" w:name="_Toc468787490"/>
      <w:bookmarkStart w:id="2754" w:name="_Toc468787618"/>
      <w:bookmarkStart w:id="2755" w:name="_Toc468787745"/>
      <w:bookmarkStart w:id="2756" w:name="_Toc468787872"/>
      <w:bookmarkStart w:id="2757" w:name="_Toc468787999"/>
      <w:bookmarkStart w:id="2758" w:name="_Toc468957679"/>
      <w:bookmarkStart w:id="2759" w:name="_Toc468957806"/>
      <w:bookmarkStart w:id="2760" w:name="_Toc468957933"/>
      <w:bookmarkStart w:id="2761" w:name="_Toc468958060"/>
      <w:bookmarkStart w:id="2762" w:name="_Toc468958187"/>
      <w:bookmarkStart w:id="2763" w:name="_Toc468958314"/>
      <w:bookmarkStart w:id="2764" w:name="_Toc468958441"/>
      <w:bookmarkStart w:id="2765" w:name="_Toc468958568"/>
      <w:bookmarkStart w:id="2766" w:name="_Toc468958695"/>
      <w:bookmarkStart w:id="2767" w:name="_Toc468958822"/>
      <w:bookmarkStart w:id="2768" w:name="_Toc468958949"/>
      <w:bookmarkStart w:id="2769" w:name="_Toc468959076"/>
      <w:bookmarkStart w:id="2770" w:name="_Toc468960577"/>
      <w:bookmarkStart w:id="2771" w:name="_Toc469035050"/>
      <w:bookmarkStart w:id="2772" w:name="_Toc469056760"/>
      <w:bookmarkStart w:id="2773" w:name="_Toc469321072"/>
      <w:bookmarkStart w:id="2774" w:name="_Toc469323801"/>
      <w:bookmarkStart w:id="2775" w:name="_Toc469323927"/>
      <w:bookmarkStart w:id="2776" w:name="_Toc469324478"/>
      <w:bookmarkStart w:id="2777" w:name="_Toc470695356"/>
      <w:bookmarkStart w:id="2778" w:name="_Toc470695509"/>
      <w:bookmarkStart w:id="2779" w:name="_Toc470697013"/>
      <w:bookmarkStart w:id="2780" w:name="_Toc470699897"/>
      <w:bookmarkStart w:id="2781" w:name="_Toc470762743"/>
      <w:bookmarkStart w:id="2782" w:name="_Toc471114561"/>
      <w:bookmarkStart w:id="2783" w:name="_Toc474392977"/>
      <w:bookmarkStart w:id="2784" w:name="_Toc474497868"/>
      <w:bookmarkStart w:id="2785" w:name="_Toc474498627"/>
      <w:bookmarkStart w:id="2786" w:name="_Toc474844486"/>
      <w:bookmarkStart w:id="2787" w:name="_Toc474844613"/>
      <w:bookmarkStart w:id="2788" w:name="_Toc474919883"/>
      <w:bookmarkStart w:id="2789" w:name="_Toc474924892"/>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p>
    <w:p w:rsidR="004E5D63" w:rsidRDefault="004E5D63" w:rsidP="004E5D63"/>
    <w:p w:rsidR="001C2FD4" w:rsidRDefault="001C2FD4" w:rsidP="004E5D63">
      <w:pPr>
        <w:pStyle w:val="Nagwek3"/>
        <w:numPr>
          <w:ilvl w:val="2"/>
          <w:numId w:val="228"/>
        </w:numPr>
      </w:pPr>
      <w:bookmarkStart w:id="2790" w:name="_Toc474924893"/>
      <w:r w:rsidRPr="001C2FD4">
        <w:t>Cel diagnozy</w:t>
      </w:r>
      <w:bookmarkEnd w:id="2600"/>
      <w:bookmarkEnd w:id="2790"/>
    </w:p>
    <w:p w:rsidR="003A7CC3" w:rsidRPr="003A7CC3" w:rsidRDefault="003A7CC3" w:rsidP="003A7CC3"/>
    <w:p w:rsidR="00FB410F" w:rsidRPr="001C2FD4" w:rsidRDefault="00C91597" w:rsidP="00FB410F">
      <w:pPr>
        <w:ind w:firstLine="357"/>
        <w:jc w:val="both"/>
        <w:rPr>
          <w:rFonts w:eastAsia="Calibri" w:cs="ArialNarrow"/>
          <w:szCs w:val="20"/>
        </w:rPr>
      </w:pPr>
      <w:r>
        <w:rPr>
          <w:rFonts w:eastAsia="Calibri" w:cs="ArialNarrow"/>
          <w:szCs w:val="20"/>
        </w:rPr>
        <w:tab/>
      </w:r>
      <w:r w:rsidR="00FB410F">
        <w:rPr>
          <w:rFonts w:eastAsia="Calibri" w:cs="ArialNarrow"/>
          <w:szCs w:val="20"/>
        </w:rPr>
        <w:t>Zgodnie z zapisami pkt.</w:t>
      </w:r>
      <w:r w:rsidR="00FB410F" w:rsidRPr="001C2FD4">
        <w:rPr>
          <w:rFonts w:eastAsia="Calibri" w:cs="ArialNarrow"/>
          <w:szCs w:val="20"/>
        </w:rPr>
        <w:t xml:space="preserve"> 5.2 Załącznika do „Wytycznych w zakresie rewitalizacji w programach operacyjnych na lata 2014-2020”</w:t>
      </w:r>
      <w:r w:rsidR="00FB410F" w:rsidRPr="001C2FD4">
        <w:rPr>
          <w:rStyle w:val="Odwoanieprzypisudolnego"/>
          <w:rFonts w:eastAsia="Calibri" w:cs="ArialNarrow"/>
          <w:szCs w:val="20"/>
        </w:rPr>
        <w:footnoteReference w:id="7"/>
      </w:r>
      <w:r w:rsidR="00FB410F" w:rsidRPr="001C2FD4">
        <w:rPr>
          <w:rFonts w:eastAsia="Calibri" w:cs="ArialNarrow"/>
          <w:szCs w:val="20"/>
        </w:rPr>
        <w:t xml:space="preserve"> diagnoza czynników i zjawisk kryzysowych oraz skala i charakter potrzeb rewitalizacyjnych zawarta w programie rewitalizacji obejmuje analizę wszystkich sfer, o których mowa w</w:t>
      </w:r>
      <w:r w:rsidR="00FB410F">
        <w:rPr>
          <w:rFonts w:eastAsia="Calibri" w:cs="ArialNarrow"/>
          <w:szCs w:val="20"/>
        </w:rPr>
        <w:t> </w:t>
      </w:r>
      <w:r w:rsidR="00FB410F" w:rsidRPr="001C2FD4">
        <w:rPr>
          <w:rFonts w:eastAsia="Calibri" w:cs="ArialNarrow"/>
          <w:szCs w:val="20"/>
        </w:rPr>
        <w:t>rozdziale 3 pkt. 2 „Wytycznych”, tj. sferę społeczną, gospodarczą, środowiskową, przestrzenno-funkcjonalną i</w:t>
      </w:r>
      <w:r w:rsidR="00FB410F">
        <w:rPr>
          <w:rFonts w:eastAsia="Calibri" w:cs="ArialNarrow"/>
          <w:szCs w:val="20"/>
        </w:rPr>
        <w:t> </w:t>
      </w:r>
      <w:r w:rsidR="00FB410F" w:rsidRPr="001C2FD4">
        <w:rPr>
          <w:rFonts w:eastAsia="Calibri" w:cs="ArialNarrow"/>
          <w:szCs w:val="20"/>
        </w:rPr>
        <w:t>techniczną dla całego obszaru gminy i w pogłębiony sposób przedstawia obszar rewitalizacji. Szczególne znaczenie przypisano analizie kwestii społecznych, ponieważ na jej podstawie określa się potrzeby podjęcia działań wyprzedzających w tej właśnie sferze. Diagnoza prowadzona w niniejszej części Programu realizuje wymogi zawarte w</w:t>
      </w:r>
      <w:r w:rsidR="00FB410F">
        <w:rPr>
          <w:rFonts w:eastAsia="Calibri" w:cs="ArialNarrow"/>
          <w:szCs w:val="20"/>
        </w:rPr>
        <w:t> </w:t>
      </w:r>
      <w:r w:rsidR="00FB410F" w:rsidRPr="001C2FD4">
        <w:rPr>
          <w:rFonts w:eastAsia="Calibri" w:cs="ArialNarrow"/>
          <w:szCs w:val="20"/>
        </w:rPr>
        <w:t>powołanych zapisach „Wytycznych”, ponieważ:</w:t>
      </w:r>
    </w:p>
    <w:p w:rsidR="00FB410F" w:rsidRPr="001C2FD4" w:rsidRDefault="00FB410F" w:rsidP="00FB410F">
      <w:pPr>
        <w:pStyle w:val="Akapitzlist"/>
        <w:numPr>
          <w:ilvl w:val="0"/>
          <w:numId w:val="52"/>
        </w:numPr>
        <w:spacing w:after="120" w:line="240" w:lineRule="auto"/>
        <w:ind w:left="714" w:hanging="357"/>
        <w:contextualSpacing/>
        <w:jc w:val="both"/>
        <w:rPr>
          <w:rFonts w:asciiTheme="minorHAnsi" w:hAnsiTheme="minorHAnsi" w:cs="ArialNarrow"/>
          <w:sz w:val="20"/>
          <w:szCs w:val="20"/>
        </w:rPr>
      </w:pPr>
      <w:r w:rsidRPr="001C2FD4">
        <w:rPr>
          <w:rFonts w:asciiTheme="minorHAnsi" w:hAnsiTheme="minorHAnsi" w:cs="ArialNarrow"/>
          <w:sz w:val="20"/>
          <w:szCs w:val="20"/>
        </w:rPr>
        <w:t>przedstawia czynniki i zjawiska kryzysowe, ich skalę i wynikające z nich potrzeby rewitalizacyjne w skali całej gminy, ilustrując każde z analizowanych zjawisk mapą obrazującą jego rozkład na obszarze całej gminy,</w:t>
      </w:r>
    </w:p>
    <w:p w:rsidR="00FB410F" w:rsidRPr="001C2FD4" w:rsidRDefault="00FB410F" w:rsidP="00FB410F">
      <w:pPr>
        <w:pStyle w:val="Akapitzlist"/>
        <w:numPr>
          <w:ilvl w:val="0"/>
          <w:numId w:val="52"/>
        </w:numPr>
        <w:spacing w:after="120" w:line="240" w:lineRule="auto"/>
        <w:ind w:left="714" w:hanging="357"/>
        <w:contextualSpacing/>
        <w:jc w:val="both"/>
        <w:rPr>
          <w:rFonts w:asciiTheme="minorHAnsi" w:hAnsiTheme="minorHAnsi" w:cs="ArialNarrow"/>
          <w:sz w:val="20"/>
          <w:szCs w:val="20"/>
        </w:rPr>
      </w:pPr>
      <w:r w:rsidRPr="001C2FD4">
        <w:rPr>
          <w:rFonts w:asciiTheme="minorHAnsi" w:hAnsiTheme="minorHAnsi" w:cs="ArialNarrow"/>
          <w:sz w:val="20"/>
          <w:szCs w:val="20"/>
        </w:rPr>
        <w:t>analizy dotyczące skali i potrzeb rewitalizacyjnych zostały pogłębione w odniesieniu do obszaru rewitalizacji i ich wyniki zostały zebrane w komentarzach opisujących mapy,</w:t>
      </w:r>
    </w:p>
    <w:p w:rsidR="00FB410F" w:rsidRPr="001C2FD4" w:rsidRDefault="00FB410F" w:rsidP="00FB410F">
      <w:pPr>
        <w:pStyle w:val="Akapitzlist"/>
        <w:numPr>
          <w:ilvl w:val="0"/>
          <w:numId w:val="52"/>
        </w:numPr>
        <w:spacing w:after="120" w:line="240" w:lineRule="auto"/>
        <w:ind w:left="714" w:hanging="357"/>
        <w:contextualSpacing/>
        <w:jc w:val="both"/>
        <w:rPr>
          <w:rFonts w:asciiTheme="minorHAnsi" w:hAnsiTheme="minorHAnsi" w:cs="ArialNarrow"/>
          <w:sz w:val="20"/>
          <w:szCs w:val="20"/>
        </w:rPr>
      </w:pPr>
      <w:r w:rsidRPr="001C2FD4">
        <w:rPr>
          <w:rFonts w:asciiTheme="minorHAnsi" w:hAnsiTheme="minorHAnsi" w:cs="ArialNarrow"/>
          <w:sz w:val="20"/>
          <w:szCs w:val="20"/>
        </w:rPr>
        <w:t>zarówno w odniesieniu do całej gminy, jak i w pogłębiony sposób do obszaru rewitalizacji przeanalizowano czynniki i zjawiska kryzysowe występujące we wszystkich sferach tj. społecznej, gospodarczej, środowiskowej, przestrzenno-funkcjonalnej i technicznej,</w:t>
      </w:r>
    </w:p>
    <w:p w:rsidR="00FB410F" w:rsidRPr="001C2FD4" w:rsidRDefault="00FB410F" w:rsidP="00FB410F">
      <w:pPr>
        <w:pStyle w:val="Akapitzlist"/>
        <w:numPr>
          <w:ilvl w:val="0"/>
          <w:numId w:val="52"/>
        </w:numPr>
        <w:spacing w:after="120" w:line="240" w:lineRule="auto"/>
        <w:ind w:left="714" w:hanging="357"/>
        <w:contextualSpacing/>
        <w:jc w:val="both"/>
        <w:rPr>
          <w:rFonts w:asciiTheme="minorHAnsi" w:hAnsiTheme="minorHAnsi" w:cs="ArialNarrow"/>
          <w:sz w:val="20"/>
          <w:szCs w:val="20"/>
        </w:rPr>
      </w:pPr>
      <w:r w:rsidRPr="001C2FD4">
        <w:rPr>
          <w:rFonts w:asciiTheme="minorHAnsi" w:hAnsiTheme="minorHAnsi" w:cs="ArialNarrow"/>
          <w:sz w:val="20"/>
          <w:szCs w:val="20"/>
        </w:rPr>
        <w:t>wnioski z analizy w sferze społecznej wychodzą poza standardową diagnozę, określając zakres potrzebnych wyprzedzających działań o charakterze społecznym.</w:t>
      </w:r>
    </w:p>
    <w:p w:rsidR="00FB410F" w:rsidRPr="001C2FD4" w:rsidRDefault="00FB410F" w:rsidP="00FB410F">
      <w:pPr>
        <w:ind w:firstLine="709"/>
        <w:jc w:val="both"/>
        <w:rPr>
          <w:rFonts w:eastAsia="Calibri" w:cs="ArialNarrow"/>
          <w:szCs w:val="20"/>
        </w:rPr>
      </w:pPr>
      <w:r w:rsidRPr="001C2FD4">
        <w:rPr>
          <w:rFonts w:eastAsia="Calibri" w:cs="ArialNarrow"/>
          <w:szCs w:val="20"/>
        </w:rPr>
        <w:t>Wymogi dotyczące diagnozy w gminnym programie rewitalizacji określają zapisy art. 4 ust. 1 pkt. 2) oraz art. 15 ust. 1 pkt. 1) ustawy o rewitalizacji, które stwierdzają odpowiednio:</w:t>
      </w:r>
    </w:p>
    <w:p w:rsidR="00FB410F" w:rsidRPr="001C2FD4" w:rsidRDefault="00FB410F" w:rsidP="00FB410F">
      <w:pPr>
        <w:pStyle w:val="Akapitzlist"/>
        <w:numPr>
          <w:ilvl w:val="0"/>
          <w:numId w:val="53"/>
        </w:numPr>
        <w:spacing w:after="120" w:line="240" w:lineRule="auto"/>
        <w:ind w:left="714" w:hanging="357"/>
        <w:contextualSpacing/>
        <w:jc w:val="both"/>
        <w:rPr>
          <w:rFonts w:asciiTheme="minorHAnsi" w:hAnsiTheme="minorHAnsi" w:cs="ArialNarrow"/>
          <w:sz w:val="20"/>
          <w:szCs w:val="20"/>
        </w:rPr>
      </w:pPr>
      <w:r w:rsidRPr="001C2FD4">
        <w:rPr>
          <w:rFonts w:asciiTheme="minorHAnsi" w:hAnsiTheme="minorHAnsi" w:cs="ArialNarrow"/>
          <w:sz w:val="20"/>
          <w:szCs w:val="20"/>
        </w:rPr>
        <w:t>w celu opracowania diagnoz służących sporządzeniu gminnego programu rewitalizacji prezydent miasta prowadzi analizy, w których wykorzystuje obiektywne i weryfikowalne mierniki i metody badawcze dostosowane do lokalnych uwarunkowań,</w:t>
      </w:r>
    </w:p>
    <w:p w:rsidR="00FB410F" w:rsidRPr="001C2FD4" w:rsidRDefault="00FB410F" w:rsidP="00FB410F">
      <w:pPr>
        <w:pStyle w:val="Akapitzlist"/>
        <w:numPr>
          <w:ilvl w:val="0"/>
          <w:numId w:val="53"/>
        </w:numPr>
        <w:spacing w:after="120" w:line="240" w:lineRule="auto"/>
        <w:ind w:left="714" w:hanging="357"/>
        <w:contextualSpacing/>
        <w:jc w:val="both"/>
        <w:rPr>
          <w:rFonts w:asciiTheme="minorHAnsi" w:hAnsiTheme="minorHAnsi" w:cs="ArialNarrow"/>
          <w:sz w:val="20"/>
          <w:szCs w:val="20"/>
        </w:rPr>
      </w:pPr>
      <w:r w:rsidRPr="001C2FD4">
        <w:rPr>
          <w:rFonts w:asciiTheme="minorHAnsi" w:hAnsiTheme="minorHAnsi" w:cs="ArialNarrow"/>
          <w:sz w:val="20"/>
          <w:szCs w:val="20"/>
        </w:rPr>
        <w:t>gminny program rewitalizacji zawiera szczegółową diagnozę obszaru rewitalizacji, o której mowa w</w:t>
      </w:r>
      <w:r>
        <w:rPr>
          <w:rFonts w:asciiTheme="minorHAnsi" w:hAnsiTheme="minorHAnsi" w:cs="ArialNarrow"/>
          <w:sz w:val="20"/>
          <w:szCs w:val="20"/>
        </w:rPr>
        <w:t> </w:t>
      </w:r>
      <w:r w:rsidR="00DB5A6F">
        <w:rPr>
          <w:rFonts w:asciiTheme="minorHAnsi" w:hAnsiTheme="minorHAnsi" w:cs="ArialNarrow"/>
          <w:sz w:val="20"/>
          <w:szCs w:val="20"/>
        </w:rPr>
        <w:t>art. 4 ust. 1 pkt. 2</w:t>
      </w:r>
      <w:r w:rsidRPr="001C2FD4">
        <w:rPr>
          <w:rFonts w:asciiTheme="minorHAnsi" w:hAnsiTheme="minorHAnsi" w:cs="ArialNarrow"/>
          <w:sz w:val="20"/>
          <w:szCs w:val="20"/>
        </w:rPr>
        <w:t>, obejmującą analizę negatywnych zjawisk, o których mowa w art. 9 ust. 1, oraz lokalnych potencjałów występujących na terenie tego obszaru.</w:t>
      </w:r>
    </w:p>
    <w:p w:rsidR="008C610E" w:rsidRDefault="008C610E" w:rsidP="00FB410F">
      <w:pPr>
        <w:ind w:firstLine="708"/>
        <w:rPr>
          <w:rFonts w:eastAsia="Calibri" w:cs="ArialNarrow"/>
          <w:szCs w:val="20"/>
        </w:rPr>
      </w:pPr>
    </w:p>
    <w:p w:rsidR="008C610E" w:rsidRDefault="008C610E" w:rsidP="00FB410F">
      <w:pPr>
        <w:ind w:firstLine="708"/>
        <w:rPr>
          <w:rFonts w:eastAsia="Calibri" w:cs="ArialNarrow"/>
          <w:szCs w:val="20"/>
        </w:rPr>
      </w:pPr>
    </w:p>
    <w:p w:rsidR="008C610E" w:rsidRDefault="008C610E" w:rsidP="00FB410F">
      <w:pPr>
        <w:ind w:firstLine="708"/>
        <w:rPr>
          <w:rFonts w:eastAsia="Calibri" w:cs="ArialNarrow"/>
          <w:szCs w:val="20"/>
        </w:rPr>
      </w:pPr>
    </w:p>
    <w:p w:rsidR="00FB410F" w:rsidRPr="001C2FD4" w:rsidRDefault="00FB410F" w:rsidP="00FB410F">
      <w:pPr>
        <w:ind w:firstLine="708"/>
        <w:rPr>
          <w:rFonts w:eastAsia="Calibri" w:cs="ArialNarrow"/>
          <w:szCs w:val="20"/>
        </w:rPr>
      </w:pPr>
      <w:r w:rsidRPr="001C2FD4">
        <w:rPr>
          <w:rFonts w:eastAsia="Calibri" w:cs="ArialNarrow"/>
          <w:szCs w:val="20"/>
        </w:rPr>
        <w:t>Niniejsza diagnoza realizuje w/w wymagania, ponieważ:</w:t>
      </w:r>
    </w:p>
    <w:p w:rsidR="00FB410F" w:rsidRPr="001C2FD4" w:rsidRDefault="00FB410F" w:rsidP="00FB410F">
      <w:pPr>
        <w:pStyle w:val="Akapitzlist"/>
        <w:numPr>
          <w:ilvl w:val="0"/>
          <w:numId w:val="54"/>
        </w:numPr>
        <w:spacing w:after="120" w:line="240" w:lineRule="auto"/>
        <w:ind w:left="714" w:hanging="357"/>
        <w:contextualSpacing/>
        <w:jc w:val="both"/>
        <w:rPr>
          <w:rFonts w:asciiTheme="minorHAnsi" w:hAnsiTheme="minorHAnsi" w:cs="ArialNarrow"/>
          <w:sz w:val="20"/>
          <w:szCs w:val="20"/>
        </w:rPr>
      </w:pPr>
      <w:r w:rsidRPr="001C2FD4">
        <w:rPr>
          <w:rFonts w:asciiTheme="minorHAnsi" w:hAnsiTheme="minorHAnsi" w:cs="ArialNarrow"/>
          <w:sz w:val="20"/>
          <w:szCs w:val="20"/>
        </w:rPr>
        <w:t>w stosunku do diagnozy przeprowadzonej na potrzeby wyznaczenia obszaru zdegradowanego i</w:t>
      </w:r>
      <w:r>
        <w:rPr>
          <w:rFonts w:asciiTheme="minorHAnsi" w:hAnsiTheme="minorHAnsi" w:cs="ArialNarrow"/>
          <w:sz w:val="20"/>
          <w:szCs w:val="20"/>
        </w:rPr>
        <w:t> </w:t>
      </w:r>
      <w:r w:rsidRPr="001C2FD4">
        <w:rPr>
          <w:rFonts w:asciiTheme="minorHAnsi" w:hAnsiTheme="minorHAnsi" w:cs="ArialNarrow"/>
          <w:sz w:val="20"/>
          <w:szCs w:val="20"/>
        </w:rPr>
        <w:t>obszaru rewitalizacji przeprowadzono uszczegóławiającą diagnozę przy zastosowaniu dodatkowych mierników oraz metod badawczych,</w:t>
      </w:r>
    </w:p>
    <w:p w:rsidR="00FB410F" w:rsidRDefault="00FB410F" w:rsidP="00FB410F">
      <w:pPr>
        <w:pStyle w:val="Akapitzlist"/>
        <w:numPr>
          <w:ilvl w:val="0"/>
          <w:numId w:val="54"/>
        </w:numPr>
        <w:spacing w:after="120" w:line="240" w:lineRule="auto"/>
        <w:ind w:left="714" w:hanging="357"/>
        <w:contextualSpacing/>
        <w:jc w:val="both"/>
        <w:rPr>
          <w:rFonts w:asciiTheme="minorHAnsi" w:hAnsiTheme="minorHAnsi" w:cs="ArialNarrow"/>
          <w:sz w:val="20"/>
          <w:szCs w:val="20"/>
        </w:rPr>
      </w:pPr>
      <w:r w:rsidRPr="00F659D6">
        <w:rPr>
          <w:rFonts w:asciiTheme="minorHAnsi" w:hAnsiTheme="minorHAnsi" w:cs="ArialNarrow"/>
          <w:sz w:val="20"/>
          <w:szCs w:val="20"/>
        </w:rPr>
        <w:t>zarówno zakres mierników jak i stosowane metody zostały dostosowane do lokalnych uwarunkowań,</w:t>
      </w:r>
    </w:p>
    <w:p w:rsidR="00FB410F" w:rsidRPr="00F659D6" w:rsidRDefault="00FB410F" w:rsidP="00FB410F">
      <w:pPr>
        <w:pStyle w:val="Akapitzlist"/>
        <w:numPr>
          <w:ilvl w:val="0"/>
          <w:numId w:val="54"/>
        </w:numPr>
        <w:spacing w:after="120" w:line="240" w:lineRule="auto"/>
        <w:ind w:left="714" w:hanging="357"/>
        <w:contextualSpacing/>
        <w:jc w:val="both"/>
        <w:rPr>
          <w:rFonts w:asciiTheme="minorHAnsi" w:hAnsiTheme="minorHAnsi" w:cs="ArialNarrow"/>
          <w:sz w:val="20"/>
          <w:szCs w:val="20"/>
        </w:rPr>
      </w:pPr>
      <w:r w:rsidRPr="00F659D6">
        <w:rPr>
          <w:rFonts w:asciiTheme="minorHAnsi" w:hAnsiTheme="minorHAnsi" w:cs="ArialNarrow"/>
          <w:sz w:val="20"/>
          <w:szCs w:val="20"/>
        </w:rPr>
        <w:t>obok analizy negatywnych zjawisk przeanalizowano również potencjały obszaru rewitalizacji.</w:t>
      </w:r>
    </w:p>
    <w:p w:rsidR="00FB410F" w:rsidRPr="001C2FD4" w:rsidRDefault="00FB410F" w:rsidP="00FB410F">
      <w:pPr>
        <w:ind w:firstLine="708"/>
        <w:jc w:val="both"/>
        <w:rPr>
          <w:rFonts w:eastAsia="Calibri" w:cs="ArialNarrow"/>
          <w:szCs w:val="20"/>
        </w:rPr>
      </w:pPr>
      <w:r w:rsidRPr="001C2FD4">
        <w:rPr>
          <w:rFonts w:eastAsia="Calibri" w:cs="ArialNarrow"/>
          <w:szCs w:val="20"/>
        </w:rPr>
        <w:t xml:space="preserve">Podsumowując celem diagnozy przedstawionej w </w:t>
      </w:r>
      <w:r>
        <w:rPr>
          <w:rFonts w:eastAsia="Calibri" w:cs="ArialNarrow"/>
          <w:szCs w:val="20"/>
        </w:rPr>
        <w:t>„</w:t>
      </w:r>
      <w:r w:rsidRPr="001C2FD4">
        <w:rPr>
          <w:rFonts w:eastAsia="Calibri" w:cs="ArialNarrow"/>
          <w:szCs w:val="20"/>
        </w:rPr>
        <w:t>Gminnym Programie Rewitalizacji</w:t>
      </w:r>
      <w:r>
        <w:rPr>
          <w:rFonts w:eastAsia="Calibri" w:cs="ArialNarrow"/>
          <w:szCs w:val="20"/>
        </w:rPr>
        <w:t>. Bytom</w:t>
      </w:r>
      <w:r w:rsidRPr="001C2FD4">
        <w:rPr>
          <w:rFonts w:eastAsia="Calibri" w:cs="ArialNarrow"/>
          <w:szCs w:val="20"/>
        </w:rPr>
        <w:t xml:space="preserve"> 2020+</w:t>
      </w:r>
      <w:r>
        <w:rPr>
          <w:rFonts w:eastAsia="Calibri" w:cs="ArialNarrow"/>
          <w:szCs w:val="20"/>
        </w:rPr>
        <w:t>”</w:t>
      </w:r>
      <w:r w:rsidRPr="001C2FD4">
        <w:rPr>
          <w:rFonts w:eastAsia="Calibri" w:cs="ArialNarrow"/>
          <w:szCs w:val="20"/>
        </w:rPr>
        <w:t xml:space="preserve"> była analiza negatywnych zjawisk, o których mowa w art. 9 ust. 1 o rewitalizacji na obszarze rewitalizacji oraz ukazanie lokalnych potencjałów występujących na tym obszarze. Prz</w:t>
      </w:r>
      <w:r w:rsidR="00111B83">
        <w:rPr>
          <w:rFonts w:eastAsia="Calibri" w:cs="ArialNarrow"/>
          <w:szCs w:val="20"/>
        </w:rPr>
        <w:t>eanalizowano wszystkie sfery, a </w:t>
      </w:r>
      <w:r w:rsidRPr="001C2FD4">
        <w:rPr>
          <w:rFonts w:eastAsia="Calibri" w:cs="ArialNarrow"/>
          <w:szCs w:val="20"/>
        </w:rPr>
        <w:t>w</w:t>
      </w:r>
      <w:r w:rsidR="00111B83">
        <w:rPr>
          <w:rFonts w:eastAsia="Calibri" w:cs="ArialNarrow"/>
          <w:szCs w:val="20"/>
        </w:rPr>
        <w:t> </w:t>
      </w:r>
      <w:r w:rsidRPr="001C2FD4">
        <w:rPr>
          <w:rFonts w:eastAsia="Calibri" w:cs="ArialNarrow"/>
          <w:szCs w:val="20"/>
        </w:rPr>
        <w:t xml:space="preserve">odniesieniu do sfery społecznej zawarto wnioski dotyczące możliwości podjęcia uprzedzających działań </w:t>
      </w:r>
      <w:r>
        <w:rPr>
          <w:rFonts w:ascii="Calibri" w:hAnsi="Calibri" w:cs="Calibri"/>
          <w:szCs w:val="20"/>
        </w:rPr>
        <w:t>rewitalizacyjnych.</w:t>
      </w:r>
    </w:p>
    <w:p w:rsidR="001C2FD4" w:rsidRDefault="001C2FD4" w:rsidP="001C2FD4">
      <w:pPr>
        <w:rPr>
          <w:rFonts w:eastAsia="Calibri" w:cs="ArialNarrow"/>
        </w:rPr>
      </w:pPr>
    </w:p>
    <w:p w:rsidR="00E17329" w:rsidRPr="00E17329" w:rsidRDefault="00E17329" w:rsidP="003B3BFB">
      <w:pPr>
        <w:pStyle w:val="Akapitzlist"/>
        <w:keepNext/>
        <w:numPr>
          <w:ilvl w:val="0"/>
          <w:numId w:val="91"/>
        </w:numPr>
        <w:spacing w:before="240" w:after="60" w:line="240" w:lineRule="auto"/>
        <w:outlineLvl w:val="2"/>
        <w:rPr>
          <w:rFonts w:eastAsia="Times New Roman" w:cs="Calibri"/>
          <w:b/>
          <w:bCs/>
          <w:vanish/>
          <w:color w:val="3366FF"/>
          <w:sz w:val="26"/>
          <w:szCs w:val="26"/>
          <w:lang w:eastAsia="pl-PL"/>
        </w:rPr>
      </w:pPr>
      <w:bookmarkStart w:id="2791" w:name="_Toc461695956"/>
      <w:bookmarkStart w:id="2792" w:name="_Toc461696030"/>
      <w:bookmarkStart w:id="2793" w:name="_Toc461696104"/>
      <w:bookmarkStart w:id="2794" w:name="_Toc461696178"/>
      <w:bookmarkStart w:id="2795" w:name="_Toc461696252"/>
      <w:bookmarkStart w:id="2796" w:name="_Toc461696326"/>
      <w:bookmarkStart w:id="2797" w:name="_Toc461696400"/>
      <w:bookmarkStart w:id="2798" w:name="_Toc461696474"/>
      <w:bookmarkStart w:id="2799" w:name="_Toc461696721"/>
      <w:bookmarkStart w:id="2800" w:name="_Toc461696816"/>
      <w:bookmarkStart w:id="2801" w:name="_Toc461698101"/>
      <w:bookmarkStart w:id="2802" w:name="_Toc461698217"/>
      <w:bookmarkStart w:id="2803" w:name="_Toc461698789"/>
      <w:bookmarkStart w:id="2804" w:name="_Toc461698863"/>
      <w:bookmarkStart w:id="2805" w:name="_Toc461698937"/>
      <w:bookmarkStart w:id="2806" w:name="_Toc461699011"/>
      <w:bookmarkStart w:id="2807" w:name="_Toc461699302"/>
      <w:bookmarkStart w:id="2808" w:name="_Toc461699817"/>
      <w:bookmarkStart w:id="2809" w:name="_Toc461701809"/>
      <w:bookmarkStart w:id="2810" w:name="_Toc461702659"/>
      <w:bookmarkStart w:id="2811" w:name="_Toc462750922"/>
      <w:bookmarkStart w:id="2812" w:name="_Toc462832685"/>
      <w:bookmarkStart w:id="2813" w:name="_Toc462832759"/>
      <w:bookmarkStart w:id="2814" w:name="_Toc462832892"/>
      <w:bookmarkStart w:id="2815" w:name="_Toc462833649"/>
      <w:bookmarkStart w:id="2816" w:name="_Toc462921496"/>
      <w:bookmarkStart w:id="2817" w:name="_Toc462921603"/>
      <w:bookmarkStart w:id="2818" w:name="_Toc462922265"/>
      <w:bookmarkStart w:id="2819" w:name="_Toc462922353"/>
      <w:bookmarkStart w:id="2820" w:name="_Toc462922459"/>
      <w:bookmarkStart w:id="2821" w:name="_Toc462922551"/>
      <w:bookmarkStart w:id="2822" w:name="_Toc462923059"/>
      <w:bookmarkStart w:id="2823" w:name="_Toc462923176"/>
      <w:bookmarkStart w:id="2824" w:name="_Toc462923347"/>
      <w:bookmarkStart w:id="2825" w:name="_Toc462923501"/>
      <w:bookmarkStart w:id="2826" w:name="_Toc462999049"/>
      <w:bookmarkStart w:id="2827" w:name="_Toc463000642"/>
      <w:bookmarkStart w:id="2828" w:name="_Toc463006143"/>
      <w:bookmarkStart w:id="2829" w:name="_Toc463243972"/>
      <w:bookmarkStart w:id="2830" w:name="_Toc463252952"/>
      <w:bookmarkStart w:id="2831" w:name="_Toc463253355"/>
      <w:bookmarkStart w:id="2832" w:name="_Toc463253812"/>
      <w:bookmarkStart w:id="2833" w:name="_Toc463253943"/>
      <w:bookmarkStart w:id="2834" w:name="_Toc463254077"/>
      <w:bookmarkStart w:id="2835" w:name="_Toc463254157"/>
      <w:bookmarkStart w:id="2836" w:name="_Toc463254276"/>
      <w:bookmarkStart w:id="2837" w:name="_Toc463254357"/>
      <w:bookmarkStart w:id="2838" w:name="_Toc463254438"/>
      <w:bookmarkStart w:id="2839" w:name="_Toc463255332"/>
      <w:bookmarkStart w:id="2840" w:name="_Toc463263386"/>
      <w:bookmarkStart w:id="2841" w:name="_Toc463273434"/>
      <w:bookmarkStart w:id="2842" w:name="_Toc463276642"/>
      <w:bookmarkStart w:id="2843" w:name="_Toc465068984"/>
      <w:bookmarkStart w:id="2844" w:name="_Toc465078632"/>
      <w:bookmarkStart w:id="2845" w:name="_Toc466025958"/>
      <w:bookmarkStart w:id="2846" w:name="_Toc466907008"/>
      <w:bookmarkStart w:id="2847" w:name="_Toc466907204"/>
      <w:bookmarkStart w:id="2848" w:name="_Toc466907285"/>
      <w:bookmarkStart w:id="2849" w:name="_Toc467659588"/>
      <w:bookmarkStart w:id="2850" w:name="_Toc467659670"/>
      <w:bookmarkStart w:id="2851" w:name="_Toc467663064"/>
      <w:bookmarkStart w:id="2852" w:name="_Toc467663415"/>
      <w:bookmarkStart w:id="2853" w:name="_Toc467665440"/>
      <w:bookmarkStart w:id="2854" w:name="_Toc467665592"/>
      <w:bookmarkStart w:id="2855" w:name="_Toc467669514"/>
      <w:bookmarkStart w:id="2856" w:name="_Toc467832019"/>
      <w:bookmarkStart w:id="2857" w:name="_Toc467832139"/>
      <w:bookmarkStart w:id="2858" w:name="_Toc467834844"/>
      <w:bookmarkStart w:id="2859" w:name="_Toc467843525"/>
      <w:bookmarkStart w:id="2860" w:name="_Toc467845511"/>
      <w:bookmarkStart w:id="2861" w:name="_Toc467847454"/>
      <w:bookmarkStart w:id="2862" w:name="_Toc467847576"/>
      <w:bookmarkStart w:id="2863" w:name="_Toc467847698"/>
      <w:bookmarkStart w:id="2864" w:name="_Toc467847820"/>
      <w:bookmarkStart w:id="2865" w:name="_Toc467847944"/>
      <w:bookmarkStart w:id="2866" w:name="_Toc467848068"/>
      <w:bookmarkStart w:id="2867" w:name="_Toc467848192"/>
      <w:bookmarkStart w:id="2868" w:name="_Toc467848316"/>
      <w:bookmarkStart w:id="2869" w:name="_Toc467848440"/>
      <w:bookmarkStart w:id="2870" w:name="_Toc468097913"/>
      <w:bookmarkStart w:id="2871" w:name="_Toc468098038"/>
      <w:bookmarkStart w:id="2872" w:name="_Toc468104705"/>
      <w:bookmarkStart w:id="2873" w:name="_Toc468104829"/>
      <w:bookmarkStart w:id="2874" w:name="_Toc468104953"/>
      <w:bookmarkStart w:id="2875" w:name="_Toc468105079"/>
      <w:bookmarkStart w:id="2876" w:name="_Toc468105205"/>
      <w:bookmarkStart w:id="2877" w:name="_Toc468105331"/>
      <w:bookmarkStart w:id="2878" w:name="_Toc468105815"/>
      <w:bookmarkStart w:id="2879" w:name="_Toc468105942"/>
      <w:bookmarkStart w:id="2880" w:name="_Toc468116236"/>
      <w:bookmarkStart w:id="2881" w:name="_Toc468178194"/>
      <w:bookmarkStart w:id="2882" w:name="_Toc468181486"/>
      <w:bookmarkStart w:id="2883" w:name="_Toc468181613"/>
      <w:bookmarkStart w:id="2884" w:name="_Toc468181742"/>
      <w:bookmarkStart w:id="2885" w:name="_Toc468181909"/>
      <w:bookmarkStart w:id="2886" w:name="_Toc468185850"/>
      <w:bookmarkStart w:id="2887" w:name="_Toc468190782"/>
      <w:bookmarkStart w:id="2888" w:name="_Toc468190908"/>
      <w:bookmarkStart w:id="2889" w:name="_Toc468191400"/>
      <w:bookmarkStart w:id="2890" w:name="_Toc468258071"/>
      <w:bookmarkStart w:id="2891" w:name="_Toc468258302"/>
      <w:bookmarkStart w:id="2892" w:name="_Toc468258596"/>
      <w:bookmarkStart w:id="2893" w:name="_Toc468258725"/>
      <w:bookmarkStart w:id="2894" w:name="_Toc468258858"/>
      <w:bookmarkStart w:id="2895" w:name="_Toc468258989"/>
      <w:bookmarkStart w:id="2896" w:name="_Toc468259118"/>
      <w:bookmarkStart w:id="2897" w:name="_Toc468259247"/>
      <w:bookmarkStart w:id="2898" w:name="_Toc468259504"/>
      <w:bookmarkStart w:id="2899" w:name="_Toc468259636"/>
      <w:bookmarkStart w:id="2900" w:name="_Toc468259766"/>
      <w:bookmarkStart w:id="2901" w:name="_Toc468259895"/>
      <w:bookmarkStart w:id="2902" w:name="_Toc468260026"/>
      <w:bookmarkStart w:id="2903" w:name="_Toc468260155"/>
      <w:bookmarkStart w:id="2904" w:name="_Toc468260284"/>
      <w:bookmarkStart w:id="2905" w:name="_Toc468260413"/>
      <w:bookmarkStart w:id="2906" w:name="_Toc468260542"/>
      <w:bookmarkStart w:id="2907" w:name="_Toc468260671"/>
      <w:bookmarkStart w:id="2908" w:name="_Toc468260799"/>
      <w:bookmarkStart w:id="2909" w:name="_Toc468260930"/>
      <w:bookmarkStart w:id="2910" w:name="_Toc468261061"/>
      <w:bookmarkStart w:id="2911" w:name="_Toc468261192"/>
      <w:bookmarkStart w:id="2912" w:name="_Toc468261323"/>
      <w:bookmarkStart w:id="2913" w:name="_Toc468261454"/>
      <w:bookmarkStart w:id="2914" w:name="_Toc468266768"/>
      <w:bookmarkStart w:id="2915" w:name="_Toc468266896"/>
      <w:bookmarkStart w:id="2916" w:name="_Toc468267024"/>
      <w:bookmarkStart w:id="2917" w:name="_Toc468269435"/>
      <w:bookmarkStart w:id="2918" w:name="_Toc468279401"/>
      <w:bookmarkStart w:id="2919" w:name="_Toc468360253"/>
      <w:bookmarkStart w:id="2920" w:name="_Toc468361194"/>
      <w:bookmarkStart w:id="2921" w:name="_Toc468363424"/>
      <w:bookmarkStart w:id="2922" w:name="_Toc468366251"/>
      <w:bookmarkStart w:id="2923" w:name="_Toc468428341"/>
      <w:bookmarkStart w:id="2924" w:name="_Toc468691737"/>
      <w:bookmarkStart w:id="2925" w:name="_Toc468691864"/>
      <w:bookmarkStart w:id="2926" w:name="_Toc468691991"/>
      <w:bookmarkStart w:id="2927" w:name="_Toc468693945"/>
      <w:bookmarkStart w:id="2928" w:name="_Toc468712640"/>
      <w:bookmarkStart w:id="2929" w:name="_Toc468712768"/>
      <w:bookmarkStart w:id="2930" w:name="_Toc468712895"/>
      <w:bookmarkStart w:id="2931" w:name="_Toc468713022"/>
      <w:bookmarkStart w:id="2932" w:name="_Toc468713149"/>
      <w:bookmarkStart w:id="2933" w:name="_Toc468713276"/>
      <w:bookmarkStart w:id="2934" w:name="_Toc468713403"/>
      <w:bookmarkStart w:id="2935" w:name="_Toc468713530"/>
      <w:bookmarkStart w:id="2936" w:name="_Toc468713783"/>
      <w:bookmarkStart w:id="2937" w:name="_Toc468713910"/>
      <w:bookmarkStart w:id="2938" w:name="_Toc468714037"/>
      <w:bookmarkStart w:id="2939" w:name="_Toc468787046"/>
      <w:bookmarkStart w:id="2940" w:name="_Toc468787364"/>
      <w:bookmarkStart w:id="2941" w:name="_Toc468787492"/>
      <w:bookmarkStart w:id="2942" w:name="_Toc468787620"/>
      <w:bookmarkStart w:id="2943" w:name="_Toc468787747"/>
      <w:bookmarkStart w:id="2944" w:name="_Toc468787874"/>
      <w:bookmarkStart w:id="2945" w:name="_Toc468788001"/>
      <w:bookmarkStart w:id="2946" w:name="_Toc468957681"/>
      <w:bookmarkStart w:id="2947" w:name="_Toc468957808"/>
      <w:bookmarkStart w:id="2948" w:name="_Toc468957935"/>
      <w:bookmarkStart w:id="2949" w:name="_Toc468958062"/>
      <w:bookmarkStart w:id="2950" w:name="_Toc468958189"/>
      <w:bookmarkStart w:id="2951" w:name="_Toc468958316"/>
      <w:bookmarkStart w:id="2952" w:name="_Toc468958443"/>
      <w:bookmarkStart w:id="2953" w:name="_Toc468958570"/>
      <w:bookmarkStart w:id="2954" w:name="_Toc468958697"/>
      <w:bookmarkStart w:id="2955" w:name="_Toc468958824"/>
      <w:bookmarkStart w:id="2956" w:name="_Toc468958951"/>
      <w:bookmarkStart w:id="2957" w:name="_Toc468959078"/>
      <w:bookmarkStart w:id="2958" w:name="_Toc468960579"/>
      <w:bookmarkStart w:id="2959" w:name="_Toc469035052"/>
      <w:bookmarkStart w:id="2960" w:name="_Toc469056762"/>
      <w:bookmarkStart w:id="2961" w:name="_Toc469321074"/>
      <w:bookmarkStart w:id="2962" w:name="_Toc469323803"/>
      <w:bookmarkStart w:id="2963" w:name="_Toc469323929"/>
      <w:bookmarkStart w:id="2964" w:name="_Toc469324480"/>
      <w:bookmarkStart w:id="2965" w:name="_Toc470695358"/>
      <w:bookmarkStart w:id="2966" w:name="_Toc470695511"/>
      <w:bookmarkStart w:id="2967" w:name="_Toc470697015"/>
      <w:bookmarkStart w:id="2968" w:name="_Toc470699899"/>
      <w:bookmarkStart w:id="2969" w:name="_Toc470762745"/>
      <w:bookmarkStart w:id="2970" w:name="_Toc471114563"/>
      <w:bookmarkStart w:id="2971" w:name="_Toc474392979"/>
      <w:bookmarkStart w:id="2972" w:name="_Toc474497870"/>
      <w:bookmarkStart w:id="2973" w:name="_Toc474498629"/>
      <w:bookmarkStart w:id="2974" w:name="_Toc474844488"/>
      <w:bookmarkStart w:id="2975" w:name="_Toc474844615"/>
      <w:bookmarkStart w:id="2976" w:name="_Toc474919885"/>
      <w:bookmarkStart w:id="2977" w:name="_Toc474924894"/>
      <w:bookmarkStart w:id="2978" w:name="_Toc461612517"/>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2"/>
      <w:bookmarkEnd w:id="2923"/>
      <w:bookmarkEnd w:id="2924"/>
      <w:bookmarkEnd w:id="2925"/>
      <w:bookmarkEnd w:id="2926"/>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bookmarkEnd w:id="2956"/>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p>
    <w:p w:rsidR="00E17329" w:rsidRPr="00E17329" w:rsidRDefault="00E17329" w:rsidP="003B3BFB">
      <w:pPr>
        <w:pStyle w:val="Akapitzlist"/>
        <w:keepNext/>
        <w:numPr>
          <w:ilvl w:val="1"/>
          <w:numId w:val="91"/>
        </w:numPr>
        <w:spacing w:before="240" w:after="60" w:line="240" w:lineRule="auto"/>
        <w:outlineLvl w:val="2"/>
        <w:rPr>
          <w:rFonts w:eastAsia="Times New Roman" w:cs="Calibri"/>
          <w:b/>
          <w:bCs/>
          <w:vanish/>
          <w:color w:val="3366FF"/>
          <w:sz w:val="26"/>
          <w:szCs w:val="26"/>
          <w:lang w:eastAsia="pl-PL"/>
        </w:rPr>
      </w:pPr>
      <w:bookmarkStart w:id="2979" w:name="_Toc461695957"/>
      <w:bookmarkStart w:id="2980" w:name="_Toc461696031"/>
      <w:bookmarkStart w:id="2981" w:name="_Toc461696105"/>
      <w:bookmarkStart w:id="2982" w:name="_Toc461696179"/>
      <w:bookmarkStart w:id="2983" w:name="_Toc461696253"/>
      <w:bookmarkStart w:id="2984" w:name="_Toc461696327"/>
      <w:bookmarkStart w:id="2985" w:name="_Toc461696401"/>
      <w:bookmarkStart w:id="2986" w:name="_Toc461696475"/>
      <w:bookmarkStart w:id="2987" w:name="_Toc461696722"/>
      <w:bookmarkStart w:id="2988" w:name="_Toc461696817"/>
      <w:bookmarkStart w:id="2989" w:name="_Toc461698102"/>
      <w:bookmarkStart w:id="2990" w:name="_Toc461698218"/>
      <w:bookmarkStart w:id="2991" w:name="_Toc461698790"/>
      <w:bookmarkStart w:id="2992" w:name="_Toc461698864"/>
      <w:bookmarkStart w:id="2993" w:name="_Toc461698938"/>
      <w:bookmarkStart w:id="2994" w:name="_Toc461699012"/>
      <w:bookmarkStart w:id="2995" w:name="_Toc461699303"/>
      <w:bookmarkStart w:id="2996" w:name="_Toc461699818"/>
      <w:bookmarkStart w:id="2997" w:name="_Toc461701810"/>
      <w:bookmarkStart w:id="2998" w:name="_Toc461702660"/>
      <w:bookmarkStart w:id="2999" w:name="_Toc462750923"/>
      <w:bookmarkStart w:id="3000" w:name="_Toc462832686"/>
      <w:bookmarkStart w:id="3001" w:name="_Toc462832760"/>
      <w:bookmarkStart w:id="3002" w:name="_Toc462832893"/>
      <w:bookmarkStart w:id="3003" w:name="_Toc462833650"/>
      <w:bookmarkStart w:id="3004" w:name="_Toc462921497"/>
      <w:bookmarkStart w:id="3005" w:name="_Toc462921604"/>
      <w:bookmarkStart w:id="3006" w:name="_Toc462922266"/>
      <w:bookmarkStart w:id="3007" w:name="_Toc462922354"/>
      <w:bookmarkStart w:id="3008" w:name="_Toc462922460"/>
      <w:bookmarkStart w:id="3009" w:name="_Toc462922552"/>
      <w:bookmarkStart w:id="3010" w:name="_Toc462923060"/>
      <w:bookmarkStart w:id="3011" w:name="_Toc462923177"/>
      <w:bookmarkStart w:id="3012" w:name="_Toc462923348"/>
      <w:bookmarkStart w:id="3013" w:name="_Toc462923502"/>
      <w:bookmarkStart w:id="3014" w:name="_Toc462999050"/>
      <w:bookmarkStart w:id="3015" w:name="_Toc463000643"/>
      <w:bookmarkStart w:id="3016" w:name="_Toc463006144"/>
      <w:bookmarkStart w:id="3017" w:name="_Toc463243973"/>
      <w:bookmarkStart w:id="3018" w:name="_Toc463252953"/>
      <w:bookmarkStart w:id="3019" w:name="_Toc463253356"/>
      <w:bookmarkStart w:id="3020" w:name="_Toc463253813"/>
      <w:bookmarkStart w:id="3021" w:name="_Toc463253944"/>
      <w:bookmarkStart w:id="3022" w:name="_Toc463254078"/>
      <w:bookmarkStart w:id="3023" w:name="_Toc463254158"/>
      <w:bookmarkStart w:id="3024" w:name="_Toc463254277"/>
      <w:bookmarkStart w:id="3025" w:name="_Toc463254358"/>
      <w:bookmarkStart w:id="3026" w:name="_Toc463254439"/>
      <w:bookmarkStart w:id="3027" w:name="_Toc463255333"/>
      <w:bookmarkStart w:id="3028" w:name="_Toc463263387"/>
      <w:bookmarkStart w:id="3029" w:name="_Toc463273435"/>
      <w:bookmarkStart w:id="3030" w:name="_Toc463276643"/>
      <w:bookmarkStart w:id="3031" w:name="_Toc465068985"/>
      <w:bookmarkStart w:id="3032" w:name="_Toc465078633"/>
      <w:bookmarkStart w:id="3033" w:name="_Toc466025959"/>
      <w:bookmarkStart w:id="3034" w:name="_Toc466907009"/>
      <w:bookmarkStart w:id="3035" w:name="_Toc466907205"/>
      <w:bookmarkStart w:id="3036" w:name="_Toc466907286"/>
      <w:bookmarkStart w:id="3037" w:name="_Toc467659589"/>
      <w:bookmarkStart w:id="3038" w:name="_Toc467659671"/>
      <w:bookmarkStart w:id="3039" w:name="_Toc467663065"/>
      <w:bookmarkStart w:id="3040" w:name="_Toc467663416"/>
      <w:bookmarkStart w:id="3041" w:name="_Toc467665441"/>
      <w:bookmarkStart w:id="3042" w:name="_Toc467665593"/>
      <w:bookmarkStart w:id="3043" w:name="_Toc467669515"/>
      <w:bookmarkStart w:id="3044" w:name="_Toc467832020"/>
      <w:bookmarkStart w:id="3045" w:name="_Toc467832140"/>
      <w:bookmarkStart w:id="3046" w:name="_Toc467834845"/>
      <w:bookmarkStart w:id="3047" w:name="_Toc467843526"/>
      <w:bookmarkStart w:id="3048" w:name="_Toc467845512"/>
      <w:bookmarkStart w:id="3049" w:name="_Toc467847455"/>
      <w:bookmarkStart w:id="3050" w:name="_Toc467847577"/>
      <w:bookmarkStart w:id="3051" w:name="_Toc467847699"/>
      <w:bookmarkStart w:id="3052" w:name="_Toc467847821"/>
      <w:bookmarkStart w:id="3053" w:name="_Toc467847945"/>
      <w:bookmarkStart w:id="3054" w:name="_Toc467848069"/>
      <w:bookmarkStart w:id="3055" w:name="_Toc467848193"/>
      <w:bookmarkStart w:id="3056" w:name="_Toc467848317"/>
      <w:bookmarkStart w:id="3057" w:name="_Toc467848441"/>
      <w:bookmarkStart w:id="3058" w:name="_Toc468097914"/>
      <w:bookmarkStart w:id="3059" w:name="_Toc468098039"/>
      <w:bookmarkStart w:id="3060" w:name="_Toc468104706"/>
      <w:bookmarkStart w:id="3061" w:name="_Toc468104830"/>
      <w:bookmarkStart w:id="3062" w:name="_Toc468104954"/>
      <w:bookmarkStart w:id="3063" w:name="_Toc468105080"/>
      <w:bookmarkStart w:id="3064" w:name="_Toc468105206"/>
      <w:bookmarkStart w:id="3065" w:name="_Toc468105332"/>
      <w:bookmarkStart w:id="3066" w:name="_Toc468105816"/>
      <w:bookmarkStart w:id="3067" w:name="_Toc468105943"/>
      <w:bookmarkStart w:id="3068" w:name="_Toc468116237"/>
      <w:bookmarkStart w:id="3069" w:name="_Toc468178195"/>
      <w:bookmarkStart w:id="3070" w:name="_Toc468181487"/>
      <w:bookmarkStart w:id="3071" w:name="_Toc468181614"/>
      <w:bookmarkStart w:id="3072" w:name="_Toc468181743"/>
      <w:bookmarkStart w:id="3073" w:name="_Toc468181910"/>
      <w:bookmarkStart w:id="3074" w:name="_Toc468185851"/>
      <w:bookmarkStart w:id="3075" w:name="_Toc468190783"/>
      <w:bookmarkStart w:id="3076" w:name="_Toc468190909"/>
      <w:bookmarkStart w:id="3077" w:name="_Toc468191401"/>
      <w:bookmarkStart w:id="3078" w:name="_Toc468258072"/>
      <w:bookmarkStart w:id="3079" w:name="_Toc468258303"/>
      <w:bookmarkStart w:id="3080" w:name="_Toc468258597"/>
      <w:bookmarkStart w:id="3081" w:name="_Toc468258726"/>
      <w:bookmarkStart w:id="3082" w:name="_Toc468258859"/>
      <w:bookmarkStart w:id="3083" w:name="_Toc468258990"/>
      <w:bookmarkStart w:id="3084" w:name="_Toc468259119"/>
      <w:bookmarkStart w:id="3085" w:name="_Toc468259248"/>
      <w:bookmarkStart w:id="3086" w:name="_Toc468259505"/>
      <w:bookmarkStart w:id="3087" w:name="_Toc468259637"/>
      <w:bookmarkStart w:id="3088" w:name="_Toc468259767"/>
      <w:bookmarkStart w:id="3089" w:name="_Toc468259896"/>
      <w:bookmarkStart w:id="3090" w:name="_Toc468260027"/>
      <w:bookmarkStart w:id="3091" w:name="_Toc468260156"/>
      <w:bookmarkStart w:id="3092" w:name="_Toc468260285"/>
      <w:bookmarkStart w:id="3093" w:name="_Toc468260414"/>
      <w:bookmarkStart w:id="3094" w:name="_Toc468260543"/>
      <w:bookmarkStart w:id="3095" w:name="_Toc468260672"/>
      <w:bookmarkStart w:id="3096" w:name="_Toc468260800"/>
      <w:bookmarkStart w:id="3097" w:name="_Toc468260931"/>
      <w:bookmarkStart w:id="3098" w:name="_Toc468261062"/>
      <w:bookmarkStart w:id="3099" w:name="_Toc468261193"/>
      <w:bookmarkStart w:id="3100" w:name="_Toc468261324"/>
      <w:bookmarkStart w:id="3101" w:name="_Toc468261455"/>
      <w:bookmarkStart w:id="3102" w:name="_Toc468266769"/>
      <w:bookmarkStart w:id="3103" w:name="_Toc468266897"/>
      <w:bookmarkStart w:id="3104" w:name="_Toc468267025"/>
      <w:bookmarkStart w:id="3105" w:name="_Toc468269436"/>
      <w:bookmarkStart w:id="3106" w:name="_Toc468279402"/>
      <w:bookmarkStart w:id="3107" w:name="_Toc468360254"/>
      <w:bookmarkStart w:id="3108" w:name="_Toc468361195"/>
      <w:bookmarkStart w:id="3109" w:name="_Toc468363425"/>
      <w:bookmarkStart w:id="3110" w:name="_Toc468366252"/>
      <w:bookmarkStart w:id="3111" w:name="_Toc468428342"/>
      <w:bookmarkStart w:id="3112" w:name="_Toc468691738"/>
      <w:bookmarkStart w:id="3113" w:name="_Toc468691865"/>
      <w:bookmarkStart w:id="3114" w:name="_Toc468691992"/>
      <w:bookmarkStart w:id="3115" w:name="_Toc468693946"/>
      <w:bookmarkStart w:id="3116" w:name="_Toc468712641"/>
      <w:bookmarkStart w:id="3117" w:name="_Toc468712769"/>
      <w:bookmarkStart w:id="3118" w:name="_Toc468712896"/>
      <w:bookmarkStart w:id="3119" w:name="_Toc468713023"/>
      <w:bookmarkStart w:id="3120" w:name="_Toc468713150"/>
      <w:bookmarkStart w:id="3121" w:name="_Toc468713277"/>
      <w:bookmarkStart w:id="3122" w:name="_Toc468713404"/>
      <w:bookmarkStart w:id="3123" w:name="_Toc468713531"/>
      <w:bookmarkStart w:id="3124" w:name="_Toc468713784"/>
      <w:bookmarkStart w:id="3125" w:name="_Toc468713911"/>
      <w:bookmarkStart w:id="3126" w:name="_Toc468714038"/>
      <w:bookmarkStart w:id="3127" w:name="_Toc468787047"/>
      <w:bookmarkStart w:id="3128" w:name="_Toc468787365"/>
      <w:bookmarkStart w:id="3129" w:name="_Toc468787493"/>
      <w:bookmarkStart w:id="3130" w:name="_Toc468787621"/>
      <w:bookmarkStart w:id="3131" w:name="_Toc468787748"/>
      <w:bookmarkStart w:id="3132" w:name="_Toc468787875"/>
      <w:bookmarkStart w:id="3133" w:name="_Toc468788002"/>
      <w:bookmarkStart w:id="3134" w:name="_Toc468957682"/>
      <w:bookmarkStart w:id="3135" w:name="_Toc468957809"/>
      <w:bookmarkStart w:id="3136" w:name="_Toc468957936"/>
      <w:bookmarkStart w:id="3137" w:name="_Toc468958063"/>
      <w:bookmarkStart w:id="3138" w:name="_Toc468958190"/>
      <w:bookmarkStart w:id="3139" w:name="_Toc468958317"/>
      <w:bookmarkStart w:id="3140" w:name="_Toc468958444"/>
      <w:bookmarkStart w:id="3141" w:name="_Toc468958571"/>
      <w:bookmarkStart w:id="3142" w:name="_Toc468958698"/>
      <w:bookmarkStart w:id="3143" w:name="_Toc468958825"/>
      <w:bookmarkStart w:id="3144" w:name="_Toc468958952"/>
      <w:bookmarkStart w:id="3145" w:name="_Toc468959079"/>
      <w:bookmarkStart w:id="3146" w:name="_Toc468960580"/>
      <w:bookmarkStart w:id="3147" w:name="_Toc469035053"/>
      <w:bookmarkStart w:id="3148" w:name="_Toc469056763"/>
      <w:bookmarkStart w:id="3149" w:name="_Toc469321075"/>
      <w:bookmarkStart w:id="3150" w:name="_Toc469323804"/>
      <w:bookmarkStart w:id="3151" w:name="_Toc469323930"/>
      <w:bookmarkStart w:id="3152" w:name="_Toc469324481"/>
      <w:bookmarkStart w:id="3153" w:name="_Toc470695359"/>
      <w:bookmarkStart w:id="3154" w:name="_Toc470695512"/>
      <w:bookmarkStart w:id="3155" w:name="_Toc470697016"/>
      <w:bookmarkStart w:id="3156" w:name="_Toc470699900"/>
      <w:bookmarkStart w:id="3157" w:name="_Toc470762746"/>
      <w:bookmarkStart w:id="3158" w:name="_Toc471114564"/>
      <w:bookmarkStart w:id="3159" w:name="_Toc474392980"/>
      <w:bookmarkStart w:id="3160" w:name="_Toc474497871"/>
      <w:bookmarkStart w:id="3161" w:name="_Toc474498630"/>
      <w:bookmarkStart w:id="3162" w:name="_Toc474844489"/>
      <w:bookmarkStart w:id="3163" w:name="_Toc474844616"/>
      <w:bookmarkStart w:id="3164" w:name="_Toc474919886"/>
      <w:bookmarkStart w:id="3165" w:name="_Toc474924895"/>
      <w:bookmarkEnd w:id="2979"/>
      <w:bookmarkEnd w:id="2980"/>
      <w:bookmarkEnd w:id="2981"/>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bookmarkEnd w:id="3020"/>
      <w:bookmarkEnd w:id="3021"/>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bookmarkEnd w:id="3094"/>
      <w:bookmarkEnd w:id="3095"/>
      <w:bookmarkEnd w:id="3096"/>
      <w:bookmarkEnd w:id="3097"/>
      <w:bookmarkEnd w:id="3098"/>
      <w:bookmarkEnd w:id="3099"/>
      <w:bookmarkEnd w:id="3100"/>
      <w:bookmarkEnd w:id="3101"/>
      <w:bookmarkEnd w:id="3102"/>
      <w:bookmarkEnd w:id="3103"/>
      <w:bookmarkEnd w:id="3104"/>
      <w:bookmarkEnd w:id="3105"/>
      <w:bookmarkEnd w:id="3106"/>
      <w:bookmarkEnd w:id="3107"/>
      <w:bookmarkEnd w:id="3108"/>
      <w:bookmarkEnd w:id="3109"/>
      <w:bookmarkEnd w:id="3110"/>
      <w:bookmarkEnd w:id="3111"/>
      <w:bookmarkEnd w:id="3112"/>
      <w:bookmarkEnd w:id="3113"/>
      <w:bookmarkEnd w:id="3114"/>
      <w:bookmarkEnd w:id="3115"/>
      <w:bookmarkEnd w:id="3116"/>
      <w:bookmarkEnd w:id="3117"/>
      <w:bookmarkEnd w:id="3118"/>
      <w:bookmarkEnd w:id="3119"/>
      <w:bookmarkEnd w:id="3120"/>
      <w:bookmarkEnd w:id="3121"/>
      <w:bookmarkEnd w:id="3122"/>
      <w:bookmarkEnd w:id="3123"/>
      <w:bookmarkEnd w:id="3124"/>
      <w:bookmarkEnd w:id="3125"/>
      <w:bookmarkEnd w:id="3126"/>
      <w:bookmarkEnd w:id="3127"/>
      <w:bookmarkEnd w:id="3128"/>
      <w:bookmarkEnd w:id="3129"/>
      <w:bookmarkEnd w:id="3130"/>
      <w:bookmarkEnd w:id="3131"/>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bookmarkEnd w:id="3148"/>
      <w:bookmarkEnd w:id="3149"/>
      <w:bookmarkEnd w:id="3150"/>
      <w:bookmarkEnd w:id="3151"/>
      <w:bookmarkEnd w:id="3152"/>
      <w:bookmarkEnd w:id="3153"/>
      <w:bookmarkEnd w:id="3154"/>
      <w:bookmarkEnd w:id="3155"/>
      <w:bookmarkEnd w:id="3156"/>
      <w:bookmarkEnd w:id="3157"/>
      <w:bookmarkEnd w:id="3158"/>
      <w:bookmarkEnd w:id="3159"/>
      <w:bookmarkEnd w:id="3160"/>
      <w:bookmarkEnd w:id="3161"/>
      <w:bookmarkEnd w:id="3162"/>
      <w:bookmarkEnd w:id="3163"/>
      <w:bookmarkEnd w:id="3164"/>
      <w:bookmarkEnd w:id="3165"/>
    </w:p>
    <w:p w:rsidR="00E17329" w:rsidRPr="00E17329" w:rsidRDefault="00E17329" w:rsidP="003B3BFB">
      <w:pPr>
        <w:pStyle w:val="Akapitzlist"/>
        <w:keepNext/>
        <w:numPr>
          <w:ilvl w:val="2"/>
          <w:numId w:val="91"/>
        </w:numPr>
        <w:spacing w:before="240" w:after="60" w:line="240" w:lineRule="auto"/>
        <w:outlineLvl w:val="2"/>
        <w:rPr>
          <w:rFonts w:eastAsia="Times New Roman" w:cs="Calibri"/>
          <w:b/>
          <w:bCs/>
          <w:vanish/>
          <w:color w:val="3366FF"/>
          <w:sz w:val="26"/>
          <w:szCs w:val="26"/>
          <w:lang w:eastAsia="pl-PL"/>
        </w:rPr>
      </w:pPr>
      <w:bookmarkStart w:id="3166" w:name="_Toc461695958"/>
      <w:bookmarkStart w:id="3167" w:name="_Toc461696032"/>
      <w:bookmarkStart w:id="3168" w:name="_Toc461696106"/>
      <w:bookmarkStart w:id="3169" w:name="_Toc461696180"/>
      <w:bookmarkStart w:id="3170" w:name="_Toc461696254"/>
      <w:bookmarkStart w:id="3171" w:name="_Toc461696328"/>
      <w:bookmarkStart w:id="3172" w:name="_Toc461696402"/>
      <w:bookmarkStart w:id="3173" w:name="_Toc461696476"/>
      <w:bookmarkStart w:id="3174" w:name="_Toc461696723"/>
      <w:bookmarkStart w:id="3175" w:name="_Toc461696818"/>
      <w:bookmarkStart w:id="3176" w:name="_Toc461698103"/>
      <w:bookmarkStart w:id="3177" w:name="_Toc461698219"/>
      <w:bookmarkStart w:id="3178" w:name="_Toc461698791"/>
      <w:bookmarkStart w:id="3179" w:name="_Toc461698865"/>
      <w:bookmarkStart w:id="3180" w:name="_Toc461698939"/>
      <w:bookmarkStart w:id="3181" w:name="_Toc461699013"/>
      <w:bookmarkStart w:id="3182" w:name="_Toc461699304"/>
      <w:bookmarkStart w:id="3183" w:name="_Toc461699819"/>
      <w:bookmarkStart w:id="3184" w:name="_Toc461701811"/>
      <w:bookmarkStart w:id="3185" w:name="_Toc461702661"/>
      <w:bookmarkStart w:id="3186" w:name="_Toc462750924"/>
      <w:bookmarkStart w:id="3187" w:name="_Toc462832687"/>
      <w:bookmarkStart w:id="3188" w:name="_Toc462832761"/>
      <w:bookmarkStart w:id="3189" w:name="_Toc462832894"/>
      <w:bookmarkStart w:id="3190" w:name="_Toc462833651"/>
      <w:bookmarkStart w:id="3191" w:name="_Toc462921498"/>
      <w:bookmarkStart w:id="3192" w:name="_Toc462921605"/>
      <w:bookmarkStart w:id="3193" w:name="_Toc462922267"/>
      <w:bookmarkStart w:id="3194" w:name="_Toc462922355"/>
      <w:bookmarkStart w:id="3195" w:name="_Toc462922461"/>
      <w:bookmarkStart w:id="3196" w:name="_Toc462922553"/>
      <w:bookmarkStart w:id="3197" w:name="_Toc462923061"/>
      <w:bookmarkStart w:id="3198" w:name="_Toc462923178"/>
      <w:bookmarkStart w:id="3199" w:name="_Toc462923349"/>
      <w:bookmarkStart w:id="3200" w:name="_Toc462923503"/>
      <w:bookmarkStart w:id="3201" w:name="_Toc462999051"/>
      <w:bookmarkStart w:id="3202" w:name="_Toc463000644"/>
      <w:bookmarkStart w:id="3203" w:name="_Toc463006145"/>
      <w:bookmarkStart w:id="3204" w:name="_Toc463243974"/>
      <w:bookmarkStart w:id="3205" w:name="_Toc463252954"/>
      <w:bookmarkStart w:id="3206" w:name="_Toc463253357"/>
      <w:bookmarkStart w:id="3207" w:name="_Toc463253814"/>
      <w:bookmarkStart w:id="3208" w:name="_Toc463253945"/>
      <w:bookmarkStart w:id="3209" w:name="_Toc463254079"/>
      <w:bookmarkStart w:id="3210" w:name="_Toc463254159"/>
      <w:bookmarkStart w:id="3211" w:name="_Toc463254278"/>
      <w:bookmarkStart w:id="3212" w:name="_Toc463254359"/>
      <w:bookmarkStart w:id="3213" w:name="_Toc463254440"/>
      <w:bookmarkStart w:id="3214" w:name="_Toc463255334"/>
      <w:bookmarkStart w:id="3215" w:name="_Toc463263388"/>
      <w:bookmarkStart w:id="3216" w:name="_Toc463273436"/>
      <w:bookmarkStart w:id="3217" w:name="_Toc463276644"/>
      <w:bookmarkStart w:id="3218" w:name="_Toc465068986"/>
      <w:bookmarkStart w:id="3219" w:name="_Toc465078634"/>
      <w:bookmarkStart w:id="3220" w:name="_Toc466025960"/>
      <w:bookmarkStart w:id="3221" w:name="_Toc466907010"/>
      <w:bookmarkStart w:id="3222" w:name="_Toc466907206"/>
      <w:bookmarkStart w:id="3223" w:name="_Toc466907287"/>
      <w:bookmarkStart w:id="3224" w:name="_Toc467659590"/>
      <w:bookmarkStart w:id="3225" w:name="_Toc467659672"/>
      <w:bookmarkStart w:id="3226" w:name="_Toc467663066"/>
      <w:bookmarkStart w:id="3227" w:name="_Toc467663417"/>
      <w:bookmarkStart w:id="3228" w:name="_Toc467665442"/>
      <w:bookmarkStart w:id="3229" w:name="_Toc467665594"/>
      <w:bookmarkStart w:id="3230" w:name="_Toc467669516"/>
      <w:bookmarkStart w:id="3231" w:name="_Toc467832021"/>
      <w:bookmarkStart w:id="3232" w:name="_Toc467832141"/>
      <w:bookmarkStart w:id="3233" w:name="_Toc467834846"/>
      <w:bookmarkStart w:id="3234" w:name="_Toc467843527"/>
      <w:bookmarkStart w:id="3235" w:name="_Toc467845513"/>
      <w:bookmarkStart w:id="3236" w:name="_Toc467847456"/>
      <w:bookmarkStart w:id="3237" w:name="_Toc467847578"/>
      <w:bookmarkStart w:id="3238" w:name="_Toc467847700"/>
      <w:bookmarkStart w:id="3239" w:name="_Toc467847822"/>
      <w:bookmarkStart w:id="3240" w:name="_Toc467847946"/>
      <w:bookmarkStart w:id="3241" w:name="_Toc467848070"/>
      <w:bookmarkStart w:id="3242" w:name="_Toc467848194"/>
      <w:bookmarkStart w:id="3243" w:name="_Toc467848318"/>
      <w:bookmarkStart w:id="3244" w:name="_Toc467848442"/>
      <w:bookmarkStart w:id="3245" w:name="_Toc468097915"/>
      <w:bookmarkStart w:id="3246" w:name="_Toc468098040"/>
      <w:bookmarkStart w:id="3247" w:name="_Toc468104707"/>
      <w:bookmarkStart w:id="3248" w:name="_Toc468104831"/>
      <w:bookmarkStart w:id="3249" w:name="_Toc468104955"/>
      <w:bookmarkStart w:id="3250" w:name="_Toc468105081"/>
      <w:bookmarkStart w:id="3251" w:name="_Toc468105207"/>
      <w:bookmarkStart w:id="3252" w:name="_Toc468105333"/>
      <w:bookmarkStart w:id="3253" w:name="_Toc468105817"/>
      <w:bookmarkStart w:id="3254" w:name="_Toc468105944"/>
      <w:bookmarkStart w:id="3255" w:name="_Toc468116238"/>
      <w:bookmarkStart w:id="3256" w:name="_Toc468178196"/>
      <w:bookmarkStart w:id="3257" w:name="_Toc468181488"/>
      <w:bookmarkStart w:id="3258" w:name="_Toc468181615"/>
      <w:bookmarkStart w:id="3259" w:name="_Toc468181744"/>
      <w:bookmarkStart w:id="3260" w:name="_Toc468181911"/>
      <w:bookmarkStart w:id="3261" w:name="_Toc468185852"/>
      <w:bookmarkStart w:id="3262" w:name="_Toc468190784"/>
      <w:bookmarkStart w:id="3263" w:name="_Toc468190910"/>
      <w:bookmarkStart w:id="3264" w:name="_Toc468191402"/>
      <w:bookmarkStart w:id="3265" w:name="_Toc468258073"/>
      <w:bookmarkStart w:id="3266" w:name="_Toc468258304"/>
      <w:bookmarkStart w:id="3267" w:name="_Toc468258598"/>
      <w:bookmarkStart w:id="3268" w:name="_Toc468258727"/>
      <w:bookmarkStart w:id="3269" w:name="_Toc468258860"/>
      <w:bookmarkStart w:id="3270" w:name="_Toc468258991"/>
      <w:bookmarkStart w:id="3271" w:name="_Toc468259120"/>
      <w:bookmarkStart w:id="3272" w:name="_Toc468259249"/>
      <w:bookmarkStart w:id="3273" w:name="_Toc468259506"/>
      <w:bookmarkStart w:id="3274" w:name="_Toc468259638"/>
      <w:bookmarkStart w:id="3275" w:name="_Toc468259768"/>
      <w:bookmarkStart w:id="3276" w:name="_Toc468259897"/>
      <w:bookmarkStart w:id="3277" w:name="_Toc468260028"/>
      <w:bookmarkStart w:id="3278" w:name="_Toc468260157"/>
      <w:bookmarkStart w:id="3279" w:name="_Toc468260286"/>
      <w:bookmarkStart w:id="3280" w:name="_Toc468260415"/>
      <w:bookmarkStart w:id="3281" w:name="_Toc468260544"/>
      <w:bookmarkStart w:id="3282" w:name="_Toc468260673"/>
      <w:bookmarkStart w:id="3283" w:name="_Toc468260801"/>
      <w:bookmarkStart w:id="3284" w:name="_Toc468260932"/>
      <w:bookmarkStart w:id="3285" w:name="_Toc468261063"/>
      <w:bookmarkStart w:id="3286" w:name="_Toc468261194"/>
      <w:bookmarkStart w:id="3287" w:name="_Toc468261325"/>
      <w:bookmarkStart w:id="3288" w:name="_Toc468261456"/>
      <w:bookmarkStart w:id="3289" w:name="_Toc468266770"/>
      <w:bookmarkStart w:id="3290" w:name="_Toc468266898"/>
      <w:bookmarkStart w:id="3291" w:name="_Toc468267026"/>
      <w:bookmarkStart w:id="3292" w:name="_Toc468269437"/>
      <w:bookmarkStart w:id="3293" w:name="_Toc468279403"/>
      <w:bookmarkStart w:id="3294" w:name="_Toc468360255"/>
      <w:bookmarkStart w:id="3295" w:name="_Toc468361196"/>
      <w:bookmarkStart w:id="3296" w:name="_Toc468363426"/>
      <w:bookmarkStart w:id="3297" w:name="_Toc468366253"/>
      <w:bookmarkStart w:id="3298" w:name="_Toc468428343"/>
      <w:bookmarkStart w:id="3299" w:name="_Toc468691739"/>
      <w:bookmarkStart w:id="3300" w:name="_Toc468691866"/>
      <w:bookmarkStart w:id="3301" w:name="_Toc468691993"/>
      <w:bookmarkStart w:id="3302" w:name="_Toc468693947"/>
      <w:bookmarkStart w:id="3303" w:name="_Toc468712642"/>
      <w:bookmarkStart w:id="3304" w:name="_Toc468712770"/>
      <w:bookmarkStart w:id="3305" w:name="_Toc468712897"/>
      <w:bookmarkStart w:id="3306" w:name="_Toc468713024"/>
      <w:bookmarkStart w:id="3307" w:name="_Toc468713151"/>
      <w:bookmarkStart w:id="3308" w:name="_Toc468713278"/>
      <w:bookmarkStart w:id="3309" w:name="_Toc468713405"/>
      <w:bookmarkStart w:id="3310" w:name="_Toc468713532"/>
      <w:bookmarkStart w:id="3311" w:name="_Toc468713785"/>
      <w:bookmarkStart w:id="3312" w:name="_Toc468713912"/>
      <w:bookmarkStart w:id="3313" w:name="_Toc468714039"/>
      <w:bookmarkStart w:id="3314" w:name="_Toc468787048"/>
      <w:bookmarkStart w:id="3315" w:name="_Toc468787366"/>
      <w:bookmarkStart w:id="3316" w:name="_Toc468787494"/>
      <w:bookmarkStart w:id="3317" w:name="_Toc468787622"/>
      <w:bookmarkStart w:id="3318" w:name="_Toc468787749"/>
      <w:bookmarkStart w:id="3319" w:name="_Toc468787876"/>
      <w:bookmarkStart w:id="3320" w:name="_Toc468788003"/>
      <w:bookmarkStart w:id="3321" w:name="_Toc468957683"/>
      <w:bookmarkStart w:id="3322" w:name="_Toc468957810"/>
      <w:bookmarkStart w:id="3323" w:name="_Toc468957937"/>
      <w:bookmarkStart w:id="3324" w:name="_Toc468958064"/>
      <w:bookmarkStart w:id="3325" w:name="_Toc468958191"/>
      <w:bookmarkStart w:id="3326" w:name="_Toc468958318"/>
      <w:bookmarkStart w:id="3327" w:name="_Toc468958445"/>
      <w:bookmarkStart w:id="3328" w:name="_Toc468958572"/>
      <w:bookmarkStart w:id="3329" w:name="_Toc468958699"/>
      <w:bookmarkStart w:id="3330" w:name="_Toc468958826"/>
      <w:bookmarkStart w:id="3331" w:name="_Toc468958953"/>
      <w:bookmarkStart w:id="3332" w:name="_Toc468959080"/>
      <w:bookmarkStart w:id="3333" w:name="_Toc468960581"/>
      <w:bookmarkStart w:id="3334" w:name="_Toc469035054"/>
      <w:bookmarkStart w:id="3335" w:name="_Toc469056764"/>
      <w:bookmarkStart w:id="3336" w:name="_Toc469321076"/>
      <w:bookmarkStart w:id="3337" w:name="_Toc469323805"/>
      <w:bookmarkStart w:id="3338" w:name="_Toc469323931"/>
      <w:bookmarkStart w:id="3339" w:name="_Toc469324482"/>
      <w:bookmarkStart w:id="3340" w:name="_Toc470695360"/>
      <w:bookmarkStart w:id="3341" w:name="_Toc470695513"/>
      <w:bookmarkStart w:id="3342" w:name="_Toc470697017"/>
      <w:bookmarkStart w:id="3343" w:name="_Toc470699901"/>
      <w:bookmarkStart w:id="3344" w:name="_Toc470762747"/>
      <w:bookmarkStart w:id="3345" w:name="_Toc471114565"/>
      <w:bookmarkStart w:id="3346" w:name="_Toc474392981"/>
      <w:bookmarkStart w:id="3347" w:name="_Toc474497872"/>
      <w:bookmarkStart w:id="3348" w:name="_Toc474498631"/>
      <w:bookmarkStart w:id="3349" w:name="_Toc474844490"/>
      <w:bookmarkStart w:id="3350" w:name="_Toc474844617"/>
      <w:bookmarkStart w:id="3351" w:name="_Toc474919887"/>
      <w:bookmarkStart w:id="3352" w:name="_Toc474924896"/>
      <w:bookmarkEnd w:id="3166"/>
      <w:bookmarkEnd w:id="3167"/>
      <w:bookmarkEnd w:id="3168"/>
      <w:bookmarkEnd w:id="3169"/>
      <w:bookmarkEnd w:id="3170"/>
      <w:bookmarkEnd w:id="3171"/>
      <w:bookmarkEnd w:id="3172"/>
      <w:bookmarkEnd w:id="3173"/>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bookmarkEnd w:id="3189"/>
      <w:bookmarkEnd w:id="3190"/>
      <w:bookmarkEnd w:id="3191"/>
      <w:bookmarkEnd w:id="3192"/>
      <w:bookmarkEnd w:id="3193"/>
      <w:bookmarkEnd w:id="3194"/>
      <w:bookmarkEnd w:id="3195"/>
      <w:bookmarkEnd w:id="3196"/>
      <w:bookmarkEnd w:id="3197"/>
      <w:bookmarkEnd w:id="3198"/>
      <w:bookmarkEnd w:id="3199"/>
      <w:bookmarkEnd w:id="3200"/>
      <w:bookmarkEnd w:id="3201"/>
      <w:bookmarkEnd w:id="3202"/>
      <w:bookmarkEnd w:id="3203"/>
      <w:bookmarkEnd w:id="3204"/>
      <w:bookmarkEnd w:id="3205"/>
      <w:bookmarkEnd w:id="3206"/>
      <w:bookmarkEnd w:id="3207"/>
      <w:bookmarkEnd w:id="3208"/>
      <w:bookmarkEnd w:id="3209"/>
      <w:bookmarkEnd w:id="3210"/>
      <w:bookmarkEnd w:id="3211"/>
      <w:bookmarkEnd w:id="3212"/>
      <w:bookmarkEnd w:id="3213"/>
      <w:bookmarkEnd w:id="3214"/>
      <w:bookmarkEnd w:id="3215"/>
      <w:bookmarkEnd w:id="3216"/>
      <w:bookmarkEnd w:id="3217"/>
      <w:bookmarkEnd w:id="3218"/>
      <w:bookmarkEnd w:id="3219"/>
      <w:bookmarkEnd w:id="3220"/>
      <w:bookmarkEnd w:id="3221"/>
      <w:bookmarkEnd w:id="3222"/>
      <w:bookmarkEnd w:id="3223"/>
      <w:bookmarkEnd w:id="3224"/>
      <w:bookmarkEnd w:id="3225"/>
      <w:bookmarkEnd w:id="3226"/>
      <w:bookmarkEnd w:id="3227"/>
      <w:bookmarkEnd w:id="3228"/>
      <w:bookmarkEnd w:id="3229"/>
      <w:bookmarkEnd w:id="3230"/>
      <w:bookmarkEnd w:id="3231"/>
      <w:bookmarkEnd w:id="3232"/>
      <w:bookmarkEnd w:id="3233"/>
      <w:bookmarkEnd w:id="3234"/>
      <w:bookmarkEnd w:id="3235"/>
      <w:bookmarkEnd w:id="3236"/>
      <w:bookmarkEnd w:id="3237"/>
      <w:bookmarkEnd w:id="3238"/>
      <w:bookmarkEnd w:id="3239"/>
      <w:bookmarkEnd w:id="3240"/>
      <w:bookmarkEnd w:id="3241"/>
      <w:bookmarkEnd w:id="3242"/>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bookmarkEnd w:id="3257"/>
      <w:bookmarkEnd w:id="3258"/>
      <w:bookmarkEnd w:id="3259"/>
      <w:bookmarkEnd w:id="3260"/>
      <w:bookmarkEnd w:id="3261"/>
      <w:bookmarkEnd w:id="3262"/>
      <w:bookmarkEnd w:id="3263"/>
      <w:bookmarkEnd w:id="3264"/>
      <w:bookmarkEnd w:id="3265"/>
      <w:bookmarkEnd w:id="3266"/>
      <w:bookmarkEnd w:id="3267"/>
      <w:bookmarkEnd w:id="3268"/>
      <w:bookmarkEnd w:id="3269"/>
      <w:bookmarkEnd w:id="3270"/>
      <w:bookmarkEnd w:id="3271"/>
      <w:bookmarkEnd w:id="3272"/>
      <w:bookmarkEnd w:id="3273"/>
      <w:bookmarkEnd w:id="3274"/>
      <w:bookmarkEnd w:id="3275"/>
      <w:bookmarkEnd w:id="3276"/>
      <w:bookmarkEnd w:id="3277"/>
      <w:bookmarkEnd w:id="3278"/>
      <w:bookmarkEnd w:id="3279"/>
      <w:bookmarkEnd w:id="3280"/>
      <w:bookmarkEnd w:id="3281"/>
      <w:bookmarkEnd w:id="3282"/>
      <w:bookmarkEnd w:id="3283"/>
      <w:bookmarkEnd w:id="3284"/>
      <w:bookmarkEnd w:id="3285"/>
      <w:bookmarkEnd w:id="3286"/>
      <w:bookmarkEnd w:id="3287"/>
      <w:bookmarkEnd w:id="3288"/>
      <w:bookmarkEnd w:id="3289"/>
      <w:bookmarkEnd w:id="3290"/>
      <w:bookmarkEnd w:id="3291"/>
      <w:bookmarkEnd w:id="3292"/>
      <w:bookmarkEnd w:id="3293"/>
      <w:bookmarkEnd w:id="3294"/>
      <w:bookmarkEnd w:id="3295"/>
      <w:bookmarkEnd w:id="3296"/>
      <w:bookmarkEnd w:id="3297"/>
      <w:bookmarkEnd w:id="3298"/>
      <w:bookmarkEnd w:id="3299"/>
      <w:bookmarkEnd w:id="3300"/>
      <w:bookmarkEnd w:id="3301"/>
      <w:bookmarkEnd w:id="3302"/>
      <w:bookmarkEnd w:id="3303"/>
      <w:bookmarkEnd w:id="3304"/>
      <w:bookmarkEnd w:id="3305"/>
      <w:bookmarkEnd w:id="3306"/>
      <w:bookmarkEnd w:id="3307"/>
      <w:bookmarkEnd w:id="3308"/>
      <w:bookmarkEnd w:id="3309"/>
      <w:bookmarkEnd w:id="3310"/>
      <w:bookmarkEnd w:id="3311"/>
      <w:bookmarkEnd w:id="3312"/>
      <w:bookmarkEnd w:id="3313"/>
      <w:bookmarkEnd w:id="3314"/>
      <w:bookmarkEnd w:id="3315"/>
      <w:bookmarkEnd w:id="3316"/>
      <w:bookmarkEnd w:id="3317"/>
      <w:bookmarkEnd w:id="3318"/>
      <w:bookmarkEnd w:id="3319"/>
      <w:bookmarkEnd w:id="3320"/>
      <w:bookmarkEnd w:id="3321"/>
      <w:bookmarkEnd w:id="3322"/>
      <w:bookmarkEnd w:id="3323"/>
      <w:bookmarkEnd w:id="3324"/>
      <w:bookmarkEnd w:id="3325"/>
      <w:bookmarkEnd w:id="3326"/>
      <w:bookmarkEnd w:id="3327"/>
      <w:bookmarkEnd w:id="3328"/>
      <w:bookmarkEnd w:id="3329"/>
      <w:bookmarkEnd w:id="3330"/>
      <w:bookmarkEnd w:id="3331"/>
      <w:bookmarkEnd w:id="3332"/>
      <w:bookmarkEnd w:id="3333"/>
      <w:bookmarkEnd w:id="3334"/>
      <w:bookmarkEnd w:id="3335"/>
      <w:bookmarkEnd w:id="3336"/>
      <w:bookmarkEnd w:id="3337"/>
      <w:bookmarkEnd w:id="3338"/>
      <w:bookmarkEnd w:id="3339"/>
      <w:bookmarkEnd w:id="3340"/>
      <w:bookmarkEnd w:id="3341"/>
      <w:bookmarkEnd w:id="3342"/>
      <w:bookmarkEnd w:id="3343"/>
      <w:bookmarkEnd w:id="3344"/>
      <w:bookmarkEnd w:id="3345"/>
      <w:bookmarkEnd w:id="3346"/>
      <w:bookmarkEnd w:id="3347"/>
      <w:bookmarkEnd w:id="3348"/>
      <w:bookmarkEnd w:id="3349"/>
      <w:bookmarkEnd w:id="3350"/>
      <w:bookmarkEnd w:id="3351"/>
      <w:bookmarkEnd w:id="3352"/>
    </w:p>
    <w:p w:rsidR="001C2FD4" w:rsidRPr="00195D30" w:rsidRDefault="001C2FD4" w:rsidP="0012374A">
      <w:pPr>
        <w:pStyle w:val="Nagwek3"/>
        <w:numPr>
          <w:ilvl w:val="2"/>
          <w:numId w:val="228"/>
        </w:numPr>
        <w:spacing w:after="120"/>
      </w:pPr>
      <w:bookmarkStart w:id="3353" w:name="_Toc461612518"/>
      <w:bookmarkStart w:id="3354" w:name="_Toc474924897"/>
      <w:bookmarkEnd w:id="2978"/>
      <w:r w:rsidRPr="00195D30">
        <w:t>Struktura części diagnostycznej</w:t>
      </w:r>
      <w:bookmarkEnd w:id="3353"/>
      <w:bookmarkEnd w:id="3354"/>
    </w:p>
    <w:p w:rsidR="00492A1F" w:rsidRPr="00492A1F" w:rsidRDefault="00492A1F" w:rsidP="00492A1F"/>
    <w:p w:rsidR="003D7895" w:rsidRPr="001C2FD4" w:rsidRDefault="003D7895" w:rsidP="003D7895">
      <w:pPr>
        <w:ind w:firstLine="708"/>
        <w:jc w:val="both"/>
        <w:rPr>
          <w:rFonts w:cs="TimesNewRoman"/>
          <w:szCs w:val="20"/>
        </w:rPr>
      </w:pPr>
      <w:r w:rsidRPr="001C2FD4">
        <w:rPr>
          <w:rFonts w:eastAsia="Calibri"/>
          <w:szCs w:val="20"/>
        </w:rPr>
        <w:t xml:space="preserve">Zgodnie z art. 15 ust. 1 pkt. 1 ustawy </w:t>
      </w:r>
      <w:r w:rsidRPr="001C2FD4">
        <w:rPr>
          <w:rFonts w:cs="TimesNewRoman"/>
          <w:szCs w:val="20"/>
        </w:rPr>
        <w:t>gminny program rewitalizacji powinien zawierać analizę negatywnych zjawisk, o których mowa w art. 9 ust. 1, oraz lokalnych potencjałów występujących na tym obszarze. Wymogi wynikające z „Wytycznych” i ustawy wyznaczają strukturę części diagnostycznej Programu, która obejmuje:</w:t>
      </w:r>
    </w:p>
    <w:p w:rsidR="003D7895" w:rsidRPr="001C2FD4" w:rsidRDefault="003D7895" w:rsidP="003D7895">
      <w:pPr>
        <w:pStyle w:val="Akapitzlist"/>
        <w:numPr>
          <w:ilvl w:val="0"/>
          <w:numId w:val="26"/>
        </w:numPr>
        <w:spacing w:after="120" w:line="240" w:lineRule="auto"/>
        <w:contextualSpacing/>
        <w:jc w:val="both"/>
        <w:rPr>
          <w:rFonts w:asciiTheme="minorHAnsi" w:hAnsiTheme="minorHAnsi" w:cs="TimesNewRoman"/>
          <w:sz w:val="20"/>
          <w:szCs w:val="20"/>
        </w:rPr>
      </w:pPr>
      <w:r w:rsidRPr="001C2FD4">
        <w:rPr>
          <w:rFonts w:asciiTheme="minorHAnsi" w:hAnsiTheme="minorHAnsi" w:cs="TimesNewRoman"/>
          <w:sz w:val="20"/>
          <w:szCs w:val="20"/>
        </w:rPr>
        <w:t>Metodykę diagnozy</w:t>
      </w:r>
      <w:r>
        <w:rPr>
          <w:rFonts w:asciiTheme="minorHAnsi" w:hAnsiTheme="minorHAnsi" w:cs="TimesNewRoman"/>
          <w:sz w:val="20"/>
          <w:szCs w:val="20"/>
        </w:rPr>
        <w:t>;</w:t>
      </w:r>
    </w:p>
    <w:p w:rsidR="003D7895" w:rsidRPr="001C2FD4" w:rsidRDefault="003D7895" w:rsidP="003D7895">
      <w:pPr>
        <w:pStyle w:val="Akapitzlist"/>
        <w:numPr>
          <w:ilvl w:val="0"/>
          <w:numId w:val="26"/>
        </w:numPr>
        <w:spacing w:after="120" w:line="240" w:lineRule="auto"/>
        <w:contextualSpacing/>
        <w:jc w:val="both"/>
        <w:rPr>
          <w:rFonts w:asciiTheme="minorHAnsi" w:hAnsiTheme="minorHAnsi" w:cs="TimesNewRoman"/>
          <w:sz w:val="20"/>
          <w:szCs w:val="20"/>
        </w:rPr>
      </w:pPr>
      <w:r w:rsidRPr="001C2FD4">
        <w:rPr>
          <w:rFonts w:asciiTheme="minorHAnsi" w:hAnsiTheme="minorHAnsi" w:cs="TimesNewRoman"/>
          <w:sz w:val="20"/>
          <w:szCs w:val="20"/>
        </w:rPr>
        <w:t>Analizę negatywnych zjawisk i czynników w sferze społecznej na obszarze rewitalizacji z odniesieniem do całej gminy</w:t>
      </w:r>
      <w:r>
        <w:rPr>
          <w:rFonts w:asciiTheme="minorHAnsi" w:hAnsiTheme="minorHAnsi" w:cs="TimesNewRoman"/>
          <w:sz w:val="20"/>
          <w:szCs w:val="20"/>
        </w:rPr>
        <w:t>;</w:t>
      </w:r>
    </w:p>
    <w:p w:rsidR="003D7895" w:rsidRPr="001C2FD4" w:rsidRDefault="003D7895" w:rsidP="003D7895">
      <w:pPr>
        <w:pStyle w:val="Akapitzlist"/>
        <w:numPr>
          <w:ilvl w:val="0"/>
          <w:numId w:val="26"/>
        </w:numPr>
        <w:spacing w:after="120" w:line="240" w:lineRule="auto"/>
        <w:contextualSpacing/>
        <w:jc w:val="both"/>
        <w:rPr>
          <w:rFonts w:asciiTheme="minorHAnsi" w:hAnsiTheme="minorHAnsi" w:cs="TimesNewRoman"/>
          <w:sz w:val="20"/>
          <w:szCs w:val="20"/>
        </w:rPr>
      </w:pPr>
      <w:r w:rsidRPr="001C2FD4">
        <w:rPr>
          <w:rFonts w:asciiTheme="minorHAnsi" w:hAnsiTheme="minorHAnsi" w:cs="TimesNewRoman"/>
          <w:sz w:val="20"/>
          <w:szCs w:val="20"/>
        </w:rPr>
        <w:t>Analizę negatywnych zjawisk i czynników w pozostałych sferach na obszarze rewitalizacji w kontekście całej gminy</w:t>
      </w:r>
      <w:r>
        <w:rPr>
          <w:rFonts w:asciiTheme="minorHAnsi" w:hAnsiTheme="minorHAnsi" w:cs="TimesNewRoman"/>
          <w:sz w:val="20"/>
          <w:szCs w:val="20"/>
        </w:rPr>
        <w:t>;</w:t>
      </w:r>
    </w:p>
    <w:p w:rsidR="003D7895" w:rsidRPr="001C2FD4" w:rsidRDefault="003D7895" w:rsidP="003D7895">
      <w:pPr>
        <w:pStyle w:val="Akapitzlist"/>
        <w:numPr>
          <w:ilvl w:val="0"/>
          <w:numId w:val="26"/>
        </w:numPr>
        <w:spacing w:after="120" w:line="240" w:lineRule="auto"/>
        <w:contextualSpacing/>
        <w:jc w:val="both"/>
        <w:rPr>
          <w:rFonts w:asciiTheme="minorHAnsi" w:hAnsiTheme="minorHAnsi" w:cs="TimesNewRoman"/>
          <w:sz w:val="20"/>
          <w:szCs w:val="20"/>
        </w:rPr>
      </w:pPr>
      <w:r w:rsidRPr="001C2FD4">
        <w:rPr>
          <w:rFonts w:asciiTheme="minorHAnsi" w:hAnsiTheme="minorHAnsi" w:cs="TimesNewRoman"/>
          <w:sz w:val="20"/>
          <w:szCs w:val="20"/>
        </w:rPr>
        <w:t>Analizę lokalnych potencjałów obszaru rewitalizacji</w:t>
      </w:r>
      <w:r>
        <w:rPr>
          <w:rFonts w:asciiTheme="minorHAnsi" w:hAnsiTheme="minorHAnsi" w:cs="TimesNewRoman"/>
          <w:sz w:val="20"/>
          <w:szCs w:val="20"/>
        </w:rPr>
        <w:t>;</w:t>
      </w:r>
    </w:p>
    <w:p w:rsidR="003D7895" w:rsidRPr="001C2FD4" w:rsidRDefault="003D7895" w:rsidP="003D7895">
      <w:pPr>
        <w:pStyle w:val="Akapitzlist"/>
        <w:numPr>
          <w:ilvl w:val="0"/>
          <w:numId w:val="26"/>
        </w:numPr>
        <w:spacing w:after="120" w:line="240" w:lineRule="auto"/>
        <w:contextualSpacing/>
        <w:jc w:val="both"/>
        <w:rPr>
          <w:rFonts w:asciiTheme="minorHAnsi" w:hAnsiTheme="minorHAnsi" w:cs="TimesNewRoman"/>
          <w:sz w:val="20"/>
          <w:szCs w:val="20"/>
        </w:rPr>
      </w:pPr>
      <w:r w:rsidRPr="001C2FD4">
        <w:rPr>
          <w:rFonts w:asciiTheme="minorHAnsi" w:hAnsiTheme="minorHAnsi" w:cs="TimesNewRoman"/>
          <w:sz w:val="20"/>
          <w:szCs w:val="20"/>
        </w:rPr>
        <w:t>Podsumowanie skali i charakteru potrzeb rewitalizacyjnych w poszczególnych podobszarach</w:t>
      </w:r>
      <w:r>
        <w:rPr>
          <w:rFonts w:asciiTheme="minorHAnsi" w:hAnsiTheme="minorHAnsi" w:cs="TimesNewRoman"/>
          <w:sz w:val="20"/>
          <w:szCs w:val="20"/>
        </w:rPr>
        <w:t>.</w:t>
      </w:r>
    </w:p>
    <w:p w:rsidR="003D7895" w:rsidRPr="001C2FD4" w:rsidRDefault="00642678" w:rsidP="003D7895">
      <w:pPr>
        <w:jc w:val="both"/>
        <w:rPr>
          <w:szCs w:val="20"/>
        </w:rPr>
      </w:pPr>
      <w:r>
        <w:rPr>
          <w:rFonts w:cs="TimesNewRoman"/>
          <w:szCs w:val="20"/>
        </w:rPr>
        <w:t>Art. 9 ust. 1 za kluczowe</w:t>
      </w:r>
      <w:r w:rsidR="003D7895" w:rsidRPr="001C2FD4">
        <w:rPr>
          <w:rFonts w:cs="TimesNewRoman"/>
          <w:szCs w:val="20"/>
        </w:rPr>
        <w:t xml:space="preserve"> dla diagnozy uznaje negatywne zjawiska społeczne, </w:t>
      </w:r>
      <w:r w:rsidR="003D7895" w:rsidRPr="001C2FD4">
        <w:rPr>
          <w:szCs w:val="20"/>
        </w:rPr>
        <w:t xml:space="preserve">w szczególności bezrobocie, ubóstwo, przestępczość, niski poziom edukacji lub kapitału społecznego, a także niewystarczający poziom uczestnictwa w życiu publicznym i kulturalnym. Uwzględniając kolejność wynikającą z tego wymogu, diagnozę zjawisk społecznych na obszarze rewitalizacji w Bytomiu przedstawiono w trzecim podrozdziale części diagnostycznej. </w:t>
      </w:r>
    </w:p>
    <w:p w:rsidR="003D7895" w:rsidRPr="001C2FD4" w:rsidRDefault="003D7895" w:rsidP="003D7895">
      <w:pPr>
        <w:jc w:val="both"/>
        <w:rPr>
          <w:szCs w:val="20"/>
        </w:rPr>
      </w:pPr>
      <w:r w:rsidRPr="001C2FD4">
        <w:rPr>
          <w:szCs w:val="20"/>
        </w:rPr>
        <w:t>W kolejnych punktach art. 9 ust. 1 wymieniono sfery, w których mogą na obszarze rewitalizacji występować negatywne zjawiska:</w:t>
      </w:r>
    </w:p>
    <w:p w:rsidR="003D7895" w:rsidRPr="003D7895" w:rsidRDefault="003D7895" w:rsidP="003D7895">
      <w:pPr>
        <w:pStyle w:val="Default"/>
        <w:numPr>
          <w:ilvl w:val="0"/>
          <w:numId w:val="229"/>
        </w:numPr>
        <w:jc w:val="both"/>
        <w:rPr>
          <w:rFonts w:asciiTheme="minorHAnsi" w:hAnsiTheme="minorHAnsi"/>
          <w:sz w:val="20"/>
          <w:szCs w:val="20"/>
        </w:rPr>
      </w:pPr>
      <w:r w:rsidRPr="003D7895">
        <w:rPr>
          <w:rFonts w:asciiTheme="minorHAnsi" w:hAnsiTheme="minorHAnsi"/>
          <w:b/>
          <w:sz w:val="20"/>
          <w:szCs w:val="20"/>
        </w:rPr>
        <w:t>gospodarcze</w:t>
      </w:r>
      <w:r w:rsidRPr="003D7895">
        <w:rPr>
          <w:rFonts w:asciiTheme="minorHAnsi" w:hAnsiTheme="minorHAnsi"/>
          <w:sz w:val="20"/>
          <w:szCs w:val="20"/>
        </w:rPr>
        <w:t xml:space="preserve"> – w szczególności niski stopień przedsiębiorczości, słaba kondycja lokalnych przedsiębiorstw,</w:t>
      </w:r>
    </w:p>
    <w:p w:rsidR="003D7895" w:rsidRPr="003D7895" w:rsidRDefault="003D7895" w:rsidP="003D7895">
      <w:pPr>
        <w:pStyle w:val="Akapitzlist"/>
        <w:numPr>
          <w:ilvl w:val="0"/>
          <w:numId w:val="229"/>
        </w:numPr>
        <w:spacing w:after="0" w:line="240" w:lineRule="auto"/>
        <w:jc w:val="both"/>
        <w:rPr>
          <w:rFonts w:asciiTheme="minorHAnsi" w:hAnsiTheme="minorHAnsi"/>
          <w:sz w:val="20"/>
          <w:szCs w:val="20"/>
        </w:rPr>
      </w:pPr>
      <w:r w:rsidRPr="003D7895">
        <w:rPr>
          <w:rFonts w:asciiTheme="minorHAnsi" w:hAnsiTheme="minorHAnsi"/>
          <w:b/>
          <w:sz w:val="20"/>
          <w:szCs w:val="20"/>
        </w:rPr>
        <w:t>środowiskowe</w:t>
      </w:r>
      <w:r w:rsidRPr="003D7895">
        <w:rPr>
          <w:rFonts w:asciiTheme="minorHAnsi" w:hAnsiTheme="minorHAnsi"/>
          <w:sz w:val="20"/>
          <w:szCs w:val="20"/>
        </w:rPr>
        <w:t xml:space="preserve"> – w szczególności przekroczenie standardów jakości środowiska, obecność odpadów stwarzających zagrożenie dla życia, zdrowia ludzi lub stanu środowiska,</w:t>
      </w:r>
    </w:p>
    <w:p w:rsidR="003D7895" w:rsidRPr="003D7895" w:rsidRDefault="003D7895" w:rsidP="003D7895">
      <w:pPr>
        <w:pStyle w:val="Default"/>
        <w:numPr>
          <w:ilvl w:val="0"/>
          <w:numId w:val="229"/>
        </w:numPr>
        <w:jc w:val="both"/>
        <w:rPr>
          <w:rFonts w:asciiTheme="minorHAnsi" w:hAnsiTheme="minorHAnsi"/>
          <w:sz w:val="20"/>
          <w:szCs w:val="20"/>
        </w:rPr>
      </w:pPr>
      <w:r w:rsidRPr="003D7895">
        <w:rPr>
          <w:rFonts w:asciiTheme="minorHAnsi" w:hAnsiTheme="minorHAnsi"/>
          <w:b/>
          <w:sz w:val="20"/>
          <w:szCs w:val="20"/>
        </w:rPr>
        <w:t>przestrzenno-funkcjonalne</w:t>
      </w:r>
      <w:r w:rsidRPr="003D7895">
        <w:rPr>
          <w:rFonts w:asciiTheme="minorHAnsi" w:hAnsiTheme="minorHAnsi"/>
          <w:sz w:val="20"/>
          <w:szCs w:val="20"/>
        </w:rPr>
        <w:t xml:space="preserve"> – w szczególności niewystarczające wyposażenie w infrastrukturę techniczną i społeczną lub jej zły stan techniczny, brak dostępu do podstawowych usług lub ich niska jakość, niedostosowanie rozwiązań urbanistycznych do zmieniających się funkcji obszaru, niski poziom obsługi komunikacyjnej, niedobór lub niska jakość terenów publicznych,</w:t>
      </w:r>
    </w:p>
    <w:p w:rsidR="003D7895" w:rsidRPr="003D7895" w:rsidRDefault="003D7895" w:rsidP="003D7895">
      <w:pPr>
        <w:pStyle w:val="Akapitzlist"/>
        <w:numPr>
          <w:ilvl w:val="0"/>
          <w:numId w:val="229"/>
        </w:numPr>
        <w:spacing w:after="0" w:line="240" w:lineRule="auto"/>
        <w:jc w:val="both"/>
        <w:rPr>
          <w:rFonts w:asciiTheme="minorHAnsi" w:hAnsiTheme="minorHAnsi" w:cs="TimesNewRoman"/>
          <w:sz w:val="20"/>
          <w:szCs w:val="20"/>
        </w:rPr>
      </w:pPr>
      <w:r w:rsidRPr="003D7895">
        <w:rPr>
          <w:rFonts w:asciiTheme="minorHAnsi" w:hAnsiTheme="minorHAnsi"/>
          <w:b/>
          <w:sz w:val="20"/>
          <w:szCs w:val="20"/>
        </w:rPr>
        <w:t>techniczne</w:t>
      </w:r>
      <w:r w:rsidRPr="003D7895">
        <w:rPr>
          <w:rFonts w:asciiTheme="minorHAnsi" w:hAnsiTheme="minorHAnsi"/>
          <w:sz w:val="20"/>
          <w:szCs w:val="20"/>
        </w:rPr>
        <w:t xml:space="preserve"> – w szczególności degradacja stanu technicznego obiektów budowlanych, w tym o</w:t>
      </w:r>
      <w:r w:rsidR="008C610E">
        <w:rPr>
          <w:rFonts w:asciiTheme="minorHAnsi" w:hAnsiTheme="minorHAnsi"/>
          <w:sz w:val="20"/>
          <w:szCs w:val="20"/>
        </w:rPr>
        <w:t> </w:t>
      </w:r>
      <w:r w:rsidRPr="003D7895">
        <w:rPr>
          <w:rFonts w:asciiTheme="minorHAnsi" w:hAnsiTheme="minorHAnsi"/>
          <w:sz w:val="20"/>
          <w:szCs w:val="20"/>
        </w:rPr>
        <w:t>przeznaczeniu mieszkaniowym, oraz niefunkcjonowanie rozwiązań technicznych umożliwiających efektywne korzystanie z obiektów budowlanych, w szczególności w zakresie energooszczędności i</w:t>
      </w:r>
      <w:r w:rsidR="008C610E">
        <w:rPr>
          <w:rFonts w:asciiTheme="minorHAnsi" w:hAnsiTheme="minorHAnsi"/>
          <w:sz w:val="20"/>
          <w:szCs w:val="20"/>
        </w:rPr>
        <w:t> </w:t>
      </w:r>
      <w:r w:rsidRPr="003D7895">
        <w:rPr>
          <w:rFonts w:asciiTheme="minorHAnsi" w:hAnsiTheme="minorHAnsi"/>
          <w:sz w:val="20"/>
          <w:szCs w:val="20"/>
        </w:rPr>
        <w:t>ochrony środowiska.</w:t>
      </w:r>
    </w:p>
    <w:p w:rsidR="003D7895" w:rsidRPr="001C2FD4" w:rsidRDefault="003D7895" w:rsidP="003D7895">
      <w:pPr>
        <w:ind w:firstLine="708"/>
        <w:jc w:val="both"/>
        <w:rPr>
          <w:szCs w:val="20"/>
        </w:rPr>
      </w:pPr>
      <w:r w:rsidRPr="001C2FD4">
        <w:rPr>
          <w:rFonts w:cs="TimesNewRoman"/>
          <w:szCs w:val="20"/>
        </w:rPr>
        <w:t>Czwarty podrozdział części diagnostycznej poświęcony jest pozaspołecznym zjawis</w:t>
      </w:r>
      <w:r>
        <w:rPr>
          <w:rFonts w:cs="TimesNewRoman"/>
          <w:szCs w:val="20"/>
        </w:rPr>
        <w:t>kom negatywnym</w:t>
      </w:r>
      <w:r w:rsidRPr="001C2FD4">
        <w:rPr>
          <w:rFonts w:cs="TimesNewRoman"/>
          <w:szCs w:val="20"/>
        </w:rPr>
        <w:t xml:space="preserve">. Kolejność ich prezentacji, nazewnictwo i zakres wynika z charakteru miasta oraz występujących tu specyficznych problemów. Piąty podrozdział dotyczy </w:t>
      </w:r>
      <w:r w:rsidRPr="001C2FD4">
        <w:rPr>
          <w:szCs w:val="20"/>
        </w:rPr>
        <w:t xml:space="preserve">potencjałów obszaru rewitalizacji. </w:t>
      </w:r>
    </w:p>
    <w:p w:rsidR="003D7895" w:rsidRDefault="003D7895" w:rsidP="003D7895">
      <w:pPr>
        <w:jc w:val="both"/>
        <w:rPr>
          <w:szCs w:val="20"/>
        </w:rPr>
      </w:pPr>
      <w:r w:rsidRPr="001C2FD4">
        <w:rPr>
          <w:szCs w:val="20"/>
        </w:rPr>
        <w:t>Ostatni, podsumowujący podrozdział, podaje najważniejsze wnioski z diagnozy zestawione w układzie podobszarów, realizując wymóg zawarty w art. 14 ust. 3 ustawy.</w:t>
      </w:r>
    </w:p>
    <w:p w:rsidR="001C2FD4" w:rsidRDefault="001C2FD4" w:rsidP="0012374A">
      <w:pPr>
        <w:pStyle w:val="Nagwek3"/>
        <w:numPr>
          <w:ilvl w:val="2"/>
          <w:numId w:val="228"/>
        </w:numPr>
        <w:spacing w:after="120"/>
      </w:pPr>
      <w:bookmarkStart w:id="3355" w:name="_Toc461612519"/>
      <w:bookmarkStart w:id="3356" w:name="_Toc474924898"/>
      <w:r>
        <w:lastRenderedPageBreak/>
        <w:t>Metody badawcze i mierniki stosowane w części diagnostycznej</w:t>
      </w:r>
      <w:bookmarkEnd w:id="3355"/>
      <w:bookmarkEnd w:id="3356"/>
    </w:p>
    <w:p w:rsidR="00492A1F" w:rsidRPr="00492A1F" w:rsidRDefault="00492A1F" w:rsidP="00492A1F">
      <w:pPr>
        <w:jc w:val="both"/>
      </w:pPr>
    </w:p>
    <w:p w:rsidR="009968FD" w:rsidRPr="001C2FD4" w:rsidRDefault="009968FD" w:rsidP="009968FD">
      <w:pPr>
        <w:ind w:firstLine="708"/>
        <w:jc w:val="both"/>
        <w:rPr>
          <w:szCs w:val="20"/>
        </w:rPr>
      </w:pPr>
      <w:r w:rsidRPr="001C2FD4">
        <w:rPr>
          <w:szCs w:val="20"/>
        </w:rPr>
        <w:t xml:space="preserve">Dane </w:t>
      </w:r>
      <w:r>
        <w:rPr>
          <w:szCs w:val="20"/>
        </w:rPr>
        <w:t xml:space="preserve">zawarte w diagnozie </w:t>
      </w:r>
      <w:r w:rsidRPr="001C2FD4">
        <w:rPr>
          <w:szCs w:val="20"/>
        </w:rPr>
        <w:t>w przeważającej większości przypisano do punktów adresowych. W celu przeprowadzenia analizy kolejnych zagadnień na mapę Bytomia naniesiono siatkę sześciokątów foremnych o</w:t>
      </w:r>
      <w:r>
        <w:rPr>
          <w:szCs w:val="20"/>
        </w:rPr>
        <w:t> </w:t>
      </w:r>
      <w:r w:rsidRPr="001C2FD4">
        <w:rPr>
          <w:szCs w:val="20"/>
        </w:rPr>
        <w:t xml:space="preserve">powierzchni 3 ha. Otrzymane dane zagregowano do tak zdefiniowanych jednostek przestrzennych. W ten sposób dla każdego sześciokąta otrzymano wartość analizowanego wskaźnika. Po ustaleniu zakresu wartości przedziałów wyniki naniesiono na mapę Bytomia. </w:t>
      </w:r>
    </w:p>
    <w:p w:rsidR="00337035" w:rsidRDefault="00337035" w:rsidP="00337035">
      <w:pPr>
        <w:jc w:val="both"/>
        <w:rPr>
          <w:szCs w:val="20"/>
        </w:rPr>
      </w:pPr>
      <w:r>
        <w:rPr>
          <w:szCs w:val="20"/>
        </w:rPr>
        <w:t>Metoda ta, z pozoru podobna do procedur stosowanych podczas delimitacji, w tym wypadku służyła zasadniczo innym celom. Pozwoliła bowiem na analizę każdego z badanych zjawisk nie tylko na poziomie podobszaru, ale znacznie dokładniejszą. Dzięki siatce heksagonalnej możliwa była interpretacja pogłębiona każdego zjawiska - dzięki uwidocznieniu zróżnicowania wewnątrz każdego podobszaru.</w:t>
      </w:r>
    </w:p>
    <w:p w:rsidR="009968FD" w:rsidRPr="001C2FD4" w:rsidRDefault="009968FD" w:rsidP="009968FD">
      <w:pPr>
        <w:jc w:val="both"/>
        <w:rPr>
          <w:szCs w:val="20"/>
        </w:rPr>
      </w:pPr>
      <w:r w:rsidRPr="001C2FD4">
        <w:rPr>
          <w:szCs w:val="20"/>
        </w:rPr>
        <w:t xml:space="preserve">Prezentację danych przeprowadzono w większości na dwóch rodzajach map. </w:t>
      </w:r>
    </w:p>
    <w:p w:rsidR="009968FD" w:rsidRPr="001C2FD4" w:rsidRDefault="009968FD" w:rsidP="009968FD">
      <w:pPr>
        <w:ind w:firstLine="708"/>
        <w:jc w:val="both"/>
        <w:rPr>
          <w:rFonts w:eastAsia="Calibri"/>
          <w:szCs w:val="20"/>
        </w:rPr>
      </w:pPr>
      <w:r w:rsidRPr="001C2FD4">
        <w:rPr>
          <w:szCs w:val="20"/>
        </w:rPr>
        <w:t>Pierwsza mapa p</w:t>
      </w:r>
      <w:r w:rsidRPr="001C2FD4">
        <w:rPr>
          <w:rFonts w:eastAsia="Calibri"/>
          <w:szCs w:val="20"/>
        </w:rPr>
        <w:t xml:space="preserve">okazuje </w:t>
      </w:r>
      <w:r w:rsidRPr="001C2FD4">
        <w:rPr>
          <w:rFonts w:eastAsia="Calibri"/>
          <w:b/>
          <w:szCs w:val="20"/>
        </w:rPr>
        <w:t>wartość wskaźnika w każdym sześciokącie</w:t>
      </w:r>
      <w:r w:rsidRPr="001C2FD4">
        <w:rPr>
          <w:rFonts w:eastAsia="Calibri"/>
          <w:szCs w:val="20"/>
        </w:rPr>
        <w:t>. Najjaśniejszy odcień odpowiada wskaźnikowi niższemu od średniej miasta, czyli sytuacji korzystnej. Trzy ciemniejsze gradacje czerwieni odpowiadają trzem przedziałom wartości wskaźnika o średniej wyższej niż dla miasta; im ciemniejszy kolor, tym sytuacja gorsza.</w:t>
      </w:r>
    </w:p>
    <w:p w:rsidR="009968FD" w:rsidRPr="001C2FD4" w:rsidRDefault="009968FD" w:rsidP="009968FD">
      <w:pPr>
        <w:ind w:firstLine="708"/>
        <w:jc w:val="both"/>
        <w:rPr>
          <w:rFonts w:eastAsia="Calibri"/>
          <w:szCs w:val="20"/>
        </w:rPr>
      </w:pPr>
      <w:r w:rsidRPr="001C2FD4">
        <w:rPr>
          <w:szCs w:val="20"/>
        </w:rPr>
        <w:t xml:space="preserve">Druga mapa informuje, </w:t>
      </w:r>
      <w:r w:rsidRPr="001C2FD4">
        <w:rPr>
          <w:rFonts w:eastAsia="Calibri"/>
          <w:b/>
          <w:szCs w:val="20"/>
        </w:rPr>
        <w:t>ile razy wskaźnik danego sześciokąta odbiega od średniej miasta</w:t>
      </w:r>
      <w:r w:rsidRPr="001C2FD4">
        <w:rPr>
          <w:rFonts w:eastAsia="Calibri"/>
          <w:szCs w:val="20"/>
        </w:rPr>
        <w:t xml:space="preserve">. Kolorem niebieskim zaznaczone sześciokąty, w których wskaźnik ten przybiera wartości niższe niż średnia dla miasta. Najciemniejszy odcień oznacza największe oddalenie od średniej, czyli najlepszą sytuację. Kolory pomarańczowe i czerwone oznaczają na mapie te sześciokąty, w których wskaźnik przekracza średnią miasta. Im intensywniejszy kolor, większe oddalenie od średniej w kierunku niekorzystnym. </w:t>
      </w:r>
    </w:p>
    <w:p w:rsidR="009968FD" w:rsidRPr="001C2FD4" w:rsidRDefault="009968FD" w:rsidP="009968FD">
      <w:pPr>
        <w:ind w:firstLine="708"/>
        <w:jc w:val="both"/>
        <w:rPr>
          <w:szCs w:val="20"/>
        </w:rPr>
      </w:pPr>
      <w:r w:rsidRPr="001C2FD4">
        <w:rPr>
          <w:szCs w:val="20"/>
        </w:rPr>
        <w:t>Do analizy każdego zjawiska wykorzystano jedną z powyższych wersji mapy.</w:t>
      </w:r>
    </w:p>
    <w:p w:rsidR="009968FD" w:rsidRDefault="009968FD" w:rsidP="009968FD">
      <w:pPr>
        <w:ind w:firstLine="708"/>
        <w:jc w:val="both"/>
        <w:rPr>
          <w:rFonts w:eastAsia="Calibri"/>
          <w:szCs w:val="20"/>
        </w:rPr>
      </w:pPr>
      <w:r w:rsidRPr="001C2FD4">
        <w:rPr>
          <w:rFonts w:eastAsia="Calibri"/>
          <w:szCs w:val="20"/>
        </w:rPr>
        <w:t>W diagnozie wykorzystano również dodatkowe infor</w:t>
      </w:r>
      <w:r>
        <w:rPr>
          <w:rFonts w:eastAsia="Calibri"/>
          <w:szCs w:val="20"/>
        </w:rPr>
        <w:t>macje pochodzące z Urzędu Miejskiego w</w:t>
      </w:r>
      <w:r w:rsidR="0055337B">
        <w:rPr>
          <w:rFonts w:eastAsia="Calibri"/>
          <w:szCs w:val="20"/>
        </w:rPr>
        <w:t> </w:t>
      </w:r>
      <w:r>
        <w:rPr>
          <w:rFonts w:eastAsia="Calibri"/>
          <w:szCs w:val="20"/>
        </w:rPr>
        <w:t>Bytomiu</w:t>
      </w:r>
      <w:r w:rsidRPr="001C2FD4">
        <w:rPr>
          <w:rFonts w:eastAsia="Calibri"/>
          <w:szCs w:val="20"/>
        </w:rPr>
        <w:t>, jak dokumenty strategiczne, raporty z konsultacji społecznych i opracowania zespołów tematycznych powołanych w celu przygotowania informacji na potrzeby Gminnego</w:t>
      </w:r>
      <w:r>
        <w:rPr>
          <w:rFonts w:eastAsia="Calibri"/>
        </w:rPr>
        <w:t xml:space="preserve"> </w:t>
      </w:r>
      <w:r w:rsidRPr="001C2FD4">
        <w:rPr>
          <w:rFonts w:eastAsia="Calibri"/>
          <w:szCs w:val="20"/>
        </w:rPr>
        <w:t xml:space="preserve">Programu Rewitalizacji. Wykorzystano także fragmenty szczegółowego, bogatego w treść materiału przygotowanego </w:t>
      </w:r>
      <w:r>
        <w:rPr>
          <w:rFonts w:eastAsia="Calibri"/>
          <w:szCs w:val="20"/>
        </w:rPr>
        <w:t xml:space="preserve">przez Wydział Strategii i Funduszy Europejskich Urzędu Miejskiego w </w:t>
      </w:r>
      <w:r>
        <w:rPr>
          <w:rFonts w:ascii="Calibri" w:hAnsi="Calibri" w:cs="Calibri"/>
          <w:szCs w:val="20"/>
        </w:rPr>
        <w:t>Bytomiu.</w:t>
      </w:r>
      <w:r>
        <w:rPr>
          <w:rFonts w:eastAsia="Calibri"/>
          <w:szCs w:val="20"/>
        </w:rPr>
        <w:t xml:space="preserve">  Wskazane dane są aktualne, </w:t>
      </w:r>
      <w:r w:rsidRPr="00A5509C">
        <w:rPr>
          <w:rFonts w:eastAsia="Calibri"/>
          <w:szCs w:val="20"/>
        </w:rPr>
        <w:t>dotyczą stanu na grudzień 2015 r. lub czerwiec 2016 r.</w:t>
      </w:r>
      <w:r>
        <w:rPr>
          <w:rFonts w:eastAsia="Calibri"/>
          <w:szCs w:val="20"/>
        </w:rPr>
        <w:t xml:space="preserve"> </w:t>
      </w:r>
    </w:p>
    <w:p w:rsidR="001C2FD4" w:rsidRDefault="001C2FD4" w:rsidP="001C2FD4">
      <w:pPr>
        <w:rPr>
          <w:rFonts w:eastAsia="Calibri"/>
        </w:rPr>
      </w:pPr>
    </w:p>
    <w:p w:rsidR="001C2FD4" w:rsidRPr="00492A1F" w:rsidRDefault="001C2FD4" w:rsidP="006D764E">
      <w:pPr>
        <w:pStyle w:val="Nagwek2"/>
        <w:numPr>
          <w:ilvl w:val="1"/>
          <w:numId w:val="228"/>
        </w:numPr>
      </w:pPr>
      <w:bookmarkStart w:id="3357" w:name="_Toc461612521"/>
      <w:bookmarkStart w:id="3358" w:name="_Toc474924899"/>
      <w:r w:rsidRPr="00637E39">
        <w:t>Analiza negatywnych zjawisk i czynników w sferze społecznej na obszarze rewitalizacji z odniesieniem do całej gminy</w:t>
      </w:r>
      <w:bookmarkEnd w:id="3357"/>
      <w:bookmarkEnd w:id="3358"/>
    </w:p>
    <w:p w:rsidR="002E1683" w:rsidRPr="002E1683" w:rsidRDefault="002E1683" w:rsidP="002E1683">
      <w:pPr>
        <w:pStyle w:val="Akapitzlist"/>
        <w:keepNext/>
        <w:numPr>
          <w:ilvl w:val="1"/>
          <w:numId w:val="92"/>
        </w:numPr>
        <w:spacing w:before="240" w:after="60" w:line="240" w:lineRule="auto"/>
        <w:outlineLvl w:val="2"/>
        <w:rPr>
          <w:rFonts w:eastAsia="Times New Roman" w:cs="Calibri"/>
          <w:b/>
          <w:bCs/>
          <w:vanish/>
          <w:color w:val="3366FF"/>
          <w:sz w:val="26"/>
          <w:szCs w:val="26"/>
          <w:lang w:eastAsia="pl-PL"/>
        </w:rPr>
      </w:pPr>
      <w:bookmarkStart w:id="3359" w:name="_Toc467665600"/>
      <w:bookmarkStart w:id="3360" w:name="_Toc467669522"/>
      <w:bookmarkStart w:id="3361" w:name="_Toc467832027"/>
      <w:bookmarkStart w:id="3362" w:name="_Toc467832147"/>
      <w:bookmarkStart w:id="3363" w:name="_Toc467834852"/>
      <w:bookmarkStart w:id="3364" w:name="_Toc467843533"/>
      <w:bookmarkStart w:id="3365" w:name="_Toc467845519"/>
      <w:bookmarkStart w:id="3366" w:name="_Toc467847462"/>
      <w:bookmarkStart w:id="3367" w:name="_Toc467847584"/>
      <w:bookmarkStart w:id="3368" w:name="_Toc467847706"/>
      <w:bookmarkStart w:id="3369" w:name="_Toc467847828"/>
      <w:bookmarkStart w:id="3370" w:name="_Toc467847952"/>
      <w:bookmarkStart w:id="3371" w:name="_Toc467848076"/>
      <w:bookmarkStart w:id="3372" w:name="_Toc467848200"/>
      <w:bookmarkStart w:id="3373" w:name="_Toc467848324"/>
      <w:bookmarkStart w:id="3374" w:name="_Toc467848448"/>
      <w:bookmarkStart w:id="3375" w:name="_Toc468097921"/>
      <w:bookmarkStart w:id="3376" w:name="_Toc468098046"/>
      <w:bookmarkStart w:id="3377" w:name="_Toc468104713"/>
      <w:bookmarkStart w:id="3378" w:name="_Toc468104837"/>
      <w:bookmarkStart w:id="3379" w:name="_Toc468104961"/>
      <w:bookmarkStart w:id="3380" w:name="_Toc468105087"/>
      <w:bookmarkStart w:id="3381" w:name="_Toc468105213"/>
      <w:bookmarkStart w:id="3382" w:name="_Toc468105339"/>
      <w:bookmarkStart w:id="3383" w:name="_Toc468105823"/>
      <w:bookmarkStart w:id="3384" w:name="_Toc468105950"/>
      <w:bookmarkStart w:id="3385" w:name="_Toc468116244"/>
      <w:bookmarkStart w:id="3386" w:name="_Toc468178200"/>
      <w:bookmarkStart w:id="3387" w:name="_Toc468181492"/>
      <w:bookmarkStart w:id="3388" w:name="_Toc468181619"/>
      <w:bookmarkStart w:id="3389" w:name="_Toc468181748"/>
      <w:bookmarkStart w:id="3390" w:name="_Toc468181915"/>
      <w:bookmarkStart w:id="3391" w:name="_Toc468185856"/>
      <w:bookmarkStart w:id="3392" w:name="_Toc468190788"/>
      <w:bookmarkStart w:id="3393" w:name="_Toc468190914"/>
      <w:bookmarkStart w:id="3394" w:name="_Toc468191406"/>
      <w:bookmarkStart w:id="3395" w:name="_Toc468258077"/>
      <w:bookmarkStart w:id="3396" w:name="_Toc468258308"/>
      <w:bookmarkStart w:id="3397" w:name="_Toc468258602"/>
      <w:bookmarkStart w:id="3398" w:name="_Toc468258731"/>
      <w:bookmarkStart w:id="3399" w:name="_Toc468258864"/>
      <w:bookmarkStart w:id="3400" w:name="_Toc468258995"/>
      <w:bookmarkStart w:id="3401" w:name="_Toc468259124"/>
      <w:bookmarkStart w:id="3402" w:name="_Toc468259253"/>
      <w:bookmarkStart w:id="3403" w:name="_Toc468259510"/>
      <w:bookmarkStart w:id="3404" w:name="_Toc468259642"/>
      <w:bookmarkStart w:id="3405" w:name="_Toc468259772"/>
      <w:bookmarkStart w:id="3406" w:name="_Toc468259901"/>
      <w:bookmarkStart w:id="3407" w:name="_Toc468260032"/>
      <w:bookmarkStart w:id="3408" w:name="_Toc468260161"/>
      <w:bookmarkStart w:id="3409" w:name="_Toc468260290"/>
      <w:bookmarkStart w:id="3410" w:name="_Toc468260419"/>
      <w:bookmarkStart w:id="3411" w:name="_Toc468260548"/>
      <w:bookmarkStart w:id="3412" w:name="_Toc468260677"/>
      <w:bookmarkStart w:id="3413" w:name="_Toc468260805"/>
      <w:bookmarkStart w:id="3414" w:name="_Toc468260936"/>
      <w:bookmarkStart w:id="3415" w:name="_Toc468261067"/>
      <w:bookmarkStart w:id="3416" w:name="_Toc468261198"/>
      <w:bookmarkStart w:id="3417" w:name="_Toc468261329"/>
      <w:bookmarkStart w:id="3418" w:name="_Toc468261460"/>
      <w:bookmarkStart w:id="3419" w:name="_Toc468266774"/>
      <w:bookmarkStart w:id="3420" w:name="_Toc468266902"/>
      <w:bookmarkStart w:id="3421" w:name="_Toc468267030"/>
      <w:bookmarkStart w:id="3422" w:name="_Toc468269441"/>
      <w:bookmarkStart w:id="3423" w:name="_Toc468279407"/>
      <w:bookmarkStart w:id="3424" w:name="_Toc468360259"/>
      <w:bookmarkStart w:id="3425" w:name="_Toc468361200"/>
      <w:bookmarkStart w:id="3426" w:name="_Toc468363430"/>
      <w:bookmarkStart w:id="3427" w:name="_Toc468366257"/>
      <w:bookmarkStart w:id="3428" w:name="_Toc468428347"/>
      <w:bookmarkStart w:id="3429" w:name="_Toc468691743"/>
      <w:bookmarkStart w:id="3430" w:name="_Toc468691870"/>
      <w:bookmarkStart w:id="3431" w:name="_Toc468691997"/>
      <w:bookmarkStart w:id="3432" w:name="_Toc468693951"/>
      <w:bookmarkStart w:id="3433" w:name="_Toc468712646"/>
      <w:bookmarkStart w:id="3434" w:name="_Toc468712774"/>
      <w:bookmarkStart w:id="3435" w:name="_Toc468712901"/>
      <w:bookmarkStart w:id="3436" w:name="_Toc468713028"/>
      <w:bookmarkStart w:id="3437" w:name="_Toc468713155"/>
      <w:bookmarkStart w:id="3438" w:name="_Toc468713282"/>
      <w:bookmarkStart w:id="3439" w:name="_Toc468713409"/>
      <w:bookmarkStart w:id="3440" w:name="_Toc468713536"/>
      <w:bookmarkStart w:id="3441" w:name="_Toc468713789"/>
      <w:bookmarkStart w:id="3442" w:name="_Toc468713916"/>
      <w:bookmarkStart w:id="3443" w:name="_Toc468714043"/>
      <w:bookmarkStart w:id="3444" w:name="_Toc468787052"/>
      <w:bookmarkStart w:id="3445" w:name="_Toc468787370"/>
      <w:bookmarkStart w:id="3446" w:name="_Toc468787498"/>
      <w:bookmarkStart w:id="3447" w:name="_Toc468787626"/>
      <w:bookmarkStart w:id="3448" w:name="_Toc468787753"/>
      <w:bookmarkStart w:id="3449" w:name="_Toc468787880"/>
      <w:bookmarkStart w:id="3450" w:name="_Toc468788007"/>
      <w:bookmarkStart w:id="3451" w:name="_Toc468957687"/>
      <w:bookmarkStart w:id="3452" w:name="_Toc468957814"/>
      <w:bookmarkStart w:id="3453" w:name="_Toc468957941"/>
      <w:bookmarkStart w:id="3454" w:name="_Toc468958068"/>
      <w:bookmarkStart w:id="3455" w:name="_Toc468958195"/>
      <w:bookmarkStart w:id="3456" w:name="_Toc468958322"/>
      <w:bookmarkStart w:id="3457" w:name="_Toc468958449"/>
      <w:bookmarkStart w:id="3458" w:name="_Toc468958576"/>
      <w:bookmarkStart w:id="3459" w:name="_Toc468958703"/>
      <w:bookmarkStart w:id="3460" w:name="_Toc468958830"/>
      <w:bookmarkStart w:id="3461" w:name="_Toc468958957"/>
      <w:bookmarkStart w:id="3462" w:name="_Toc468959084"/>
      <w:bookmarkStart w:id="3463" w:name="_Toc468960585"/>
      <w:bookmarkStart w:id="3464" w:name="_Toc469035058"/>
      <w:bookmarkStart w:id="3465" w:name="_Toc469056768"/>
      <w:bookmarkStart w:id="3466" w:name="_Toc469321080"/>
      <w:bookmarkStart w:id="3467" w:name="_Toc469323809"/>
      <w:bookmarkStart w:id="3468" w:name="_Toc469323935"/>
      <w:bookmarkStart w:id="3469" w:name="_Toc469324486"/>
      <w:bookmarkStart w:id="3470" w:name="_Toc470695364"/>
      <w:bookmarkStart w:id="3471" w:name="_Toc470695517"/>
      <w:bookmarkStart w:id="3472" w:name="_Toc470697021"/>
      <w:bookmarkStart w:id="3473" w:name="_Toc470699905"/>
      <w:bookmarkStart w:id="3474" w:name="_Toc470762751"/>
      <w:bookmarkStart w:id="3475" w:name="_Toc471114569"/>
      <w:bookmarkStart w:id="3476" w:name="_Toc474392985"/>
      <w:bookmarkStart w:id="3477" w:name="_Toc474497876"/>
      <w:bookmarkStart w:id="3478" w:name="_Toc474498635"/>
      <w:bookmarkStart w:id="3479" w:name="_Toc474844494"/>
      <w:bookmarkStart w:id="3480" w:name="_Toc474844621"/>
      <w:bookmarkStart w:id="3481" w:name="_Toc474919891"/>
      <w:bookmarkStart w:id="3482" w:name="_Toc474924900"/>
      <w:bookmarkStart w:id="3483" w:name="_Toc461612522"/>
      <w:bookmarkEnd w:id="3359"/>
      <w:bookmarkEnd w:id="3360"/>
      <w:bookmarkEnd w:id="3361"/>
      <w:bookmarkEnd w:id="3362"/>
      <w:bookmarkEnd w:id="3363"/>
      <w:bookmarkEnd w:id="3364"/>
      <w:bookmarkEnd w:id="3365"/>
      <w:bookmarkEnd w:id="3366"/>
      <w:bookmarkEnd w:id="3367"/>
      <w:bookmarkEnd w:id="3368"/>
      <w:bookmarkEnd w:id="3369"/>
      <w:bookmarkEnd w:id="3370"/>
      <w:bookmarkEnd w:id="3371"/>
      <w:bookmarkEnd w:id="3372"/>
      <w:bookmarkEnd w:id="3373"/>
      <w:bookmarkEnd w:id="3374"/>
      <w:bookmarkEnd w:id="3375"/>
      <w:bookmarkEnd w:id="3376"/>
      <w:bookmarkEnd w:id="3377"/>
      <w:bookmarkEnd w:id="3378"/>
      <w:bookmarkEnd w:id="3379"/>
      <w:bookmarkEnd w:id="3380"/>
      <w:bookmarkEnd w:id="3381"/>
      <w:bookmarkEnd w:id="3382"/>
      <w:bookmarkEnd w:id="3383"/>
      <w:bookmarkEnd w:id="3384"/>
      <w:bookmarkEnd w:id="3385"/>
      <w:bookmarkEnd w:id="3386"/>
      <w:bookmarkEnd w:id="3387"/>
      <w:bookmarkEnd w:id="3388"/>
      <w:bookmarkEnd w:id="3389"/>
      <w:bookmarkEnd w:id="3390"/>
      <w:bookmarkEnd w:id="3391"/>
      <w:bookmarkEnd w:id="3392"/>
      <w:bookmarkEnd w:id="3393"/>
      <w:bookmarkEnd w:id="3394"/>
      <w:bookmarkEnd w:id="3395"/>
      <w:bookmarkEnd w:id="3396"/>
      <w:bookmarkEnd w:id="3397"/>
      <w:bookmarkEnd w:id="3398"/>
      <w:bookmarkEnd w:id="3399"/>
      <w:bookmarkEnd w:id="3400"/>
      <w:bookmarkEnd w:id="3401"/>
      <w:bookmarkEnd w:id="3402"/>
      <w:bookmarkEnd w:id="3403"/>
      <w:bookmarkEnd w:id="3404"/>
      <w:bookmarkEnd w:id="3405"/>
      <w:bookmarkEnd w:id="3406"/>
      <w:bookmarkEnd w:id="3407"/>
      <w:bookmarkEnd w:id="3408"/>
      <w:bookmarkEnd w:id="3409"/>
      <w:bookmarkEnd w:id="3410"/>
      <w:bookmarkEnd w:id="3411"/>
      <w:bookmarkEnd w:id="3412"/>
      <w:bookmarkEnd w:id="3413"/>
      <w:bookmarkEnd w:id="3414"/>
      <w:bookmarkEnd w:id="3415"/>
      <w:bookmarkEnd w:id="3416"/>
      <w:bookmarkEnd w:id="3417"/>
      <w:bookmarkEnd w:id="3418"/>
      <w:bookmarkEnd w:id="3419"/>
      <w:bookmarkEnd w:id="3420"/>
      <w:bookmarkEnd w:id="3421"/>
      <w:bookmarkEnd w:id="3422"/>
      <w:bookmarkEnd w:id="3423"/>
      <w:bookmarkEnd w:id="3424"/>
      <w:bookmarkEnd w:id="3425"/>
      <w:bookmarkEnd w:id="3426"/>
      <w:bookmarkEnd w:id="3427"/>
      <w:bookmarkEnd w:id="3428"/>
      <w:bookmarkEnd w:id="3429"/>
      <w:bookmarkEnd w:id="3430"/>
      <w:bookmarkEnd w:id="3431"/>
      <w:bookmarkEnd w:id="3432"/>
      <w:bookmarkEnd w:id="3433"/>
      <w:bookmarkEnd w:id="3434"/>
      <w:bookmarkEnd w:id="3435"/>
      <w:bookmarkEnd w:id="3436"/>
      <w:bookmarkEnd w:id="3437"/>
      <w:bookmarkEnd w:id="3438"/>
      <w:bookmarkEnd w:id="3439"/>
      <w:bookmarkEnd w:id="3440"/>
      <w:bookmarkEnd w:id="3441"/>
      <w:bookmarkEnd w:id="3442"/>
      <w:bookmarkEnd w:id="3443"/>
      <w:bookmarkEnd w:id="3444"/>
      <w:bookmarkEnd w:id="3445"/>
      <w:bookmarkEnd w:id="3446"/>
      <w:bookmarkEnd w:id="3447"/>
      <w:bookmarkEnd w:id="3448"/>
      <w:bookmarkEnd w:id="3449"/>
      <w:bookmarkEnd w:id="3450"/>
      <w:bookmarkEnd w:id="3451"/>
      <w:bookmarkEnd w:id="3452"/>
      <w:bookmarkEnd w:id="3453"/>
      <w:bookmarkEnd w:id="3454"/>
      <w:bookmarkEnd w:id="3455"/>
      <w:bookmarkEnd w:id="3456"/>
      <w:bookmarkEnd w:id="3457"/>
      <w:bookmarkEnd w:id="3458"/>
      <w:bookmarkEnd w:id="3459"/>
      <w:bookmarkEnd w:id="3460"/>
      <w:bookmarkEnd w:id="3461"/>
      <w:bookmarkEnd w:id="3462"/>
      <w:bookmarkEnd w:id="3463"/>
      <w:bookmarkEnd w:id="3464"/>
      <w:bookmarkEnd w:id="3465"/>
      <w:bookmarkEnd w:id="3466"/>
      <w:bookmarkEnd w:id="3467"/>
      <w:bookmarkEnd w:id="3468"/>
      <w:bookmarkEnd w:id="3469"/>
      <w:bookmarkEnd w:id="3470"/>
      <w:bookmarkEnd w:id="3471"/>
      <w:bookmarkEnd w:id="3472"/>
      <w:bookmarkEnd w:id="3473"/>
      <w:bookmarkEnd w:id="3474"/>
      <w:bookmarkEnd w:id="3475"/>
      <w:bookmarkEnd w:id="3476"/>
      <w:bookmarkEnd w:id="3477"/>
      <w:bookmarkEnd w:id="3478"/>
      <w:bookmarkEnd w:id="3479"/>
      <w:bookmarkEnd w:id="3480"/>
      <w:bookmarkEnd w:id="3481"/>
      <w:bookmarkEnd w:id="3482"/>
    </w:p>
    <w:p w:rsidR="002E1683" w:rsidRPr="002E1683" w:rsidRDefault="002E1683" w:rsidP="002E1683">
      <w:pPr>
        <w:pStyle w:val="Akapitzlist"/>
        <w:keepNext/>
        <w:numPr>
          <w:ilvl w:val="1"/>
          <w:numId w:val="92"/>
        </w:numPr>
        <w:spacing w:before="240" w:after="60" w:line="240" w:lineRule="auto"/>
        <w:outlineLvl w:val="2"/>
        <w:rPr>
          <w:rFonts w:eastAsia="Times New Roman" w:cs="Calibri"/>
          <w:b/>
          <w:bCs/>
          <w:vanish/>
          <w:color w:val="3366FF"/>
          <w:sz w:val="26"/>
          <w:szCs w:val="26"/>
          <w:lang w:eastAsia="pl-PL"/>
        </w:rPr>
      </w:pPr>
      <w:bookmarkStart w:id="3484" w:name="_Toc467665601"/>
      <w:bookmarkStart w:id="3485" w:name="_Toc467669523"/>
      <w:bookmarkStart w:id="3486" w:name="_Toc467832028"/>
      <w:bookmarkStart w:id="3487" w:name="_Toc467832148"/>
      <w:bookmarkStart w:id="3488" w:name="_Toc467834853"/>
      <w:bookmarkStart w:id="3489" w:name="_Toc467843534"/>
      <w:bookmarkStart w:id="3490" w:name="_Toc467845520"/>
      <w:bookmarkStart w:id="3491" w:name="_Toc467847463"/>
      <w:bookmarkStart w:id="3492" w:name="_Toc467847585"/>
      <w:bookmarkStart w:id="3493" w:name="_Toc467847707"/>
      <w:bookmarkStart w:id="3494" w:name="_Toc467847829"/>
      <w:bookmarkStart w:id="3495" w:name="_Toc467847953"/>
      <w:bookmarkStart w:id="3496" w:name="_Toc467848077"/>
      <w:bookmarkStart w:id="3497" w:name="_Toc467848201"/>
      <w:bookmarkStart w:id="3498" w:name="_Toc467848325"/>
      <w:bookmarkStart w:id="3499" w:name="_Toc467848449"/>
      <w:bookmarkStart w:id="3500" w:name="_Toc468097922"/>
      <w:bookmarkStart w:id="3501" w:name="_Toc468098047"/>
      <w:bookmarkStart w:id="3502" w:name="_Toc468104714"/>
      <w:bookmarkStart w:id="3503" w:name="_Toc468104838"/>
      <w:bookmarkStart w:id="3504" w:name="_Toc468104962"/>
      <w:bookmarkStart w:id="3505" w:name="_Toc468105088"/>
      <w:bookmarkStart w:id="3506" w:name="_Toc468105214"/>
      <w:bookmarkStart w:id="3507" w:name="_Toc468105340"/>
      <w:bookmarkStart w:id="3508" w:name="_Toc468105824"/>
      <w:bookmarkStart w:id="3509" w:name="_Toc468105951"/>
      <w:bookmarkStart w:id="3510" w:name="_Toc468116245"/>
      <w:bookmarkStart w:id="3511" w:name="_Toc468178201"/>
      <w:bookmarkStart w:id="3512" w:name="_Toc468181493"/>
      <w:bookmarkStart w:id="3513" w:name="_Toc468181620"/>
      <w:bookmarkStart w:id="3514" w:name="_Toc468181749"/>
      <w:bookmarkStart w:id="3515" w:name="_Toc468181916"/>
      <w:bookmarkStart w:id="3516" w:name="_Toc468185857"/>
      <w:bookmarkStart w:id="3517" w:name="_Toc468190789"/>
      <w:bookmarkStart w:id="3518" w:name="_Toc468190915"/>
      <w:bookmarkStart w:id="3519" w:name="_Toc468191407"/>
      <w:bookmarkStart w:id="3520" w:name="_Toc468258078"/>
      <w:bookmarkStart w:id="3521" w:name="_Toc468258309"/>
      <w:bookmarkStart w:id="3522" w:name="_Toc468258603"/>
      <w:bookmarkStart w:id="3523" w:name="_Toc468258732"/>
      <w:bookmarkStart w:id="3524" w:name="_Toc468258865"/>
      <w:bookmarkStart w:id="3525" w:name="_Toc468258996"/>
      <w:bookmarkStart w:id="3526" w:name="_Toc468259125"/>
      <w:bookmarkStart w:id="3527" w:name="_Toc468259254"/>
      <w:bookmarkStart w:id="3528" w:name="_Toc468259511"/>
      <w:bookmarkStart w:id="3529" w:name="_Toc468259643"/>
      <w:bookmarkStart w:id="3530" w:name="_Toc468259773"/>
      <w:bookmarkStart w:id="3531" w:name="_Toc468259902"/>
      <w:bookmarkStart w:id="3532" w:name="_Toc468260033"/>
      <w:bookmarkStart w:id="3533" w:name="_Toc468260162"/>
      <w:bookmarkStart w:id="3534" w:name="_Toc468260291"/>
      <w:bookmarkStart w:id="3535" w:name="_Toc468260420"/>
      <w:bookmarkStart w:id="3536" w:name="_Toc468260549"/>
      <w:bookmarkStart w:id="3537" w:name="_Toc468260678"/>
      <w:bookmarkStart w:id="3538" w:name="_Toc468260806"/>
      <w:bookmarkStart w:id="3539" w:name="_Toc468260937"/>
      <w:bookmarkStart w:id="3540" w:name="_Toc468261068"/>
      <w:bookmarkStart w:id="3541" w:name="_Toc468261199"/>
      <w:bookmarkStart w:id="3542" w:name="_Toc468261330"/>
      <w:bookmarkStart w:id="3543" w:name="_Toc468261461"/>
      <w:bookmarkStart w:id="3544" w:name="_Toc468266775"/>
      <w:bookmarkStart w:id="3545" w:name="_Toc468266903"/>
      <w:bookmarkStart w:id="3546" w:name="_Toc468267031"/>
      <w:bookmarkStart w:id="3547" w:name="_Toc468269442"/>
      <w:bookmarkStart w:id="3548" w:name="_Toc468279408"/>
      <w:bookmarkStart w:id="3549" w:name="_Toc468360260"/>
      <w:bookmarkStart w:id="3550" w:name="_Toc468361201"/>
      <w:bookmarkStart w:id="3551" w:name="_Toc468363431"/>
      <w:bookmarkStart w:id="3552" w:name="_Toc468366258"/>
      <w:bookmarkStart w:id="3553" w:name="_Toc468428348"/>
      <w:bookmarkStart w:id="3554" w:name="_Toc468691744"/>
      <w:bookmarkStart w:id="3555" w:name="_Toc468691871"/>
      <w:bookmarkStart w:id="3556" w:name="_Toc468691998"/>
      <w:bookmarkStart w:id="3557" w:name="_Toc468693952"/>
      <w:bookmarkStart w:id="3558" w:name="_Toc468712647"/>
      <w:bookmarkStart w:id="3559" w:name="_Toc468712775"/>
      <w:bookmarkStart w:id="3560" w:name="_Toc468712902"/>
      <w:bookmarkStart w:id="3561" w:name="_Toc468713029"/>
      <w:bookmarkStart w:id="3562" w:name="_Toc468713156"/>
      <w:bookmarkStart w:id="3563" w:name="_Toc468713283"/>
      <w:bookmarkStart w:id="3564" w:name="_Toc468713410"/>
      <w:bookmarkStart w:id="3565" w:name="_Toc468713537"/>
      <w:bookmarkStart w:id="3566" w:name="_Toc468713790"/>
      <w:bookmarkStart w:id="3567" w:name="_Toc468713917"/>
      <w:bookmarkStart w:id="3568" w:name="_Toc468714044"/>
      <w:bookmarkStart w:id="3569" w:name="_Toc468787053"/>
      <w:bookmarkStart w:id="3570" w:name="_Toc468787371"/>
      <w:bookmarkStart w:id="3571" w:name="_Toc468787499"/>
      <w:bookmarkStart w:id="3572" w:name="_Toc468787627"/>
      <w:bookmarkStart w:id="3573" w:name="_Toc468787754"/>
      <w:bookmarkStart w:id="3574" w:name="_Toc468787881"/>
      <w:bookmarkStart w:id="3575" w:name="_Toc468788008"/>
      <w:bookmarkStart w:id="3576" w:name="_Toc468957688"/>
      <w:bookmarkStart w:id="3577" w:name="_Toc468957815"/>
      <w:bookmarkStart w:id="3578" w:name="_Toc468957942"/>
      <w:bookmarkStart w:id="3579" w:name="_Toc468958069"/>
      <w:bookmarkStart w:id="3580" w:name="_Toc468958196"/>
      <w:bookmarkStart w:id="3581" w:name="_Toc468958323"/>
      <w:bookmarkStart w:id="3582" w:name="_Toc468958450"/>
      <w:bookmarkStart w:id="3583" w:name="_Toc468958577"/>
      <w:bookmarkStart w:id="3584" w:name="_Toc468958704"/>
      <w:bookmarkStart w:id="3585" w:name="_Toc468958831"/>
      <w:bookmarkStart w:id="3586" w:name="_Toc468958958"/>
      <w:bookmarkStart w:id="3587" w:name="_Toc468959085"/>
      <w:bookmarkStart w:id="3588" w:name="_Toc468960586"/>
      <w:bookmarkStart w:id="3589" w:name="_Toc469035059"/>
      <w:bookmarkStart w:id="3590" w:name="_Toc469056769"/>
      <w:bookmarkStart w:id="3591" w:name="_Toc469321081"/>
      <w:bookmarkStart w:id="3592" w:name="_Toc469323810"/>
      <w:bookmarkStart w:id="3593" w:name="_Toc469323936"/>
      <w:bookmarkStart w:id="3594" w:name="_Toc469324487"/>
      <w:bookmarkStart w:id="3595" w:name="_Toc470695365"/>
      <w:bookmarkStart w:id="3596" w:name="_Toc470695518"/>
      <w:bookmarkStart w:id="3597" w:name="_Toc470697022"/>
      <w:bookmarkStart w:id="3598" w:name="_Toc470699906"/>
      <w:bookmarkStart w:id="3599" w:name="_Toc470762752"/>
      <w:bookmarkStart w:id="3600" w:name="_Toc471114570"/>
      <w:bookmarkStart w:id="3601" w:name="_Toc474392986"/>
      <w:bookmarkStart w:id="3602" w:name="_Toc474497877"/>
      <w:bookmarkStart w:id="3603" w:name="_Toc474498636"/>
      <w:bookmarkStart w:id="3604" w:name="_Toc474844495"/>
      <w:bookmarkStart w:id="3605" w:name="_Toc474844622"/>
      <w:bookmarkStart w:id="3606" w:name="_Toc474919892"/>
      <w:bookmarkStart w:id="3607" w:name="_Toc474924901"/>
      <w:bookmarkEnd w:id="3484"/>
      <w:bookmarkEnd w:id="3485"/>
      <w:bookmarkEnd w:id="3486"/>
      <w:bookmarkEnd w:id="3487"/>
      <w:bookmarkEnd w:id="3488"/>
      <w:bookmarkEnd w:id="3489"/>
      <w:bookmarkEnd w:id="3490"/>
      <w:bookmarkEnd w:id="3491"/>
      <w:bookmarkEnd w:id="3492"/>
      <w:bookmarkEnd w:id="3493"/>
      <w:bookmarkEnd w:id="3494"/>
      <w:bookmarkEnd w:id="3495"/>
      <w:bookmarkEnd w:id="3496"/>
      <w:bookmarkEnd w:id="3497"/>
      <w:bookmarkEnd w:id="3498"/>
      <w:bookmarkEnd w:id="3499"/>
      <w:bookmarkEnd w:id="3500"/>
      <w:bookmarkEnd w:id="3501"/>
      <w:bookmarkEnd w:id="3502"/>
      <w:bookmarkEnd w:id="3503"/>
      <w:bookmarkEnd w:id="3504"/>
      <w:bookmarkEnd w:id="3505"/>
      <w:bookmarkEnd w:id="3506"/>
      <w:bookmarkEnd w:id="3507"/>
      <w:bookmarkEnd w:id="3508"/>
      <w:bookmarkEnd w:id="3509"/>
      <w:bookmarkEnd w:id="3510"/>
      <w:bookmarkEnd w:id="3511"/>
      <w:bookmarkEnd w:id="3512"/>
      <w:bookmarkEnd w:id="3513"/>
      <w:bookmarkEnd w:id="3514"/>
      <w:bookmarkEnd w:id="3515"/>
      <w:bookmarkEnd w:id="3516"/>
      <w:bookmarkEnd w:id="3517"/>
      <w:bookmarkEnd w:id="3518"/>
      <w:bookmarkEnd w:id="3519"/>
      <w:bookmarkEnd w:id="3520"/>
      <w:bookmarkEnd w:id="3521"/>
      <w:bookmarkEnd w:id="3522"/>
      <w:bookmarkEnd w:id="3523"/>
      <w:bookmarkEnd w:id="3524"/>
      <w:bookmarkEnd w:id="3525"/>
      <w:bookmarkEnd w:id="3526"/>
      <w:bookmarkEnd w:id="3527"/>
      <w:bookmarkEnd w:id="3528"/>
      <w:bookmarkEnd w:id="3529"/>
      <w:bookmarkEnd w:id="3530"/>
      <w:bookmarkEnd w:id="3531"/>
      <w:bookmarkEnd w:id="3532"/>
      <w:bookmarkEnd w:id="3533"/>
      <w:bookmarkEnd w:id="3534"/>
      <w:bookmarkEnd w:id="3535"/>
      <w:bookmarkEnd w:id="3536"/>
      <w:bookmarkEnd w:id="3537"/>
      <w:bookmarkEnd w:id="3538"/>
      <w:bookmarkEnd w:id="3539"/>
      <w:bookmarkEnd w:id="3540"/>
      <w:bookmarkEnd w:id="3541"/>
      <w:bookmarkEnd w:id="3542"/>
      <w:bookmarkEnd w:id="3543"/>
      <w:bookmarkEnd w:id="3544"/>
      <w:bookmarkEnd w:id="3545"/>
      <w:bookmarkEnd w:id="3546"/>
      <w:bookmarkEnd w:id="3547"/>
      <w:bookmarkEnd w:id="3548"/>
      <w:bookmarkEnd w:id="3549"/>
      <w:bookmarkEnd w:id="3550"/>
      <w:bookmarkEnd w:id="3551"/>
      <w:bookmarkEnd w:id="3552"/>
      <w:bookmarkEnd w:id="3553"/>
      <w:bookmarkEnd w:id="3554"/>
      <w:bookmarkEnd w:id="3555"/>
      <w:bookmarkEnd w:id="3556"/>
      <w:bookmarkEnd w:id="3557"/>
      <w:bookmarkEnd w:id="3558"/>
      <w:bookmarkEnd w:id="3559"/>
      <w:bookmarkEnd w:id="3560"/>
      <w:bookmarkEnd w:id="3561"/>
      <w:bookmarkEnd w:id="3562"/>
      <w:bookmarkEnd w:id="3563"/>
      <w:bookmarkEnd w:id="3564"/>
      <w:bookmarkEnd w:id="3565"/>
      <w:bookmarkEnd w:id="3566"/>
      <w:bookmarkEnd w:id="3567"/>
      <w:bookmarkEnd w:id="3568"/>
      <w:bookmarkEnd w:id="3569"/>
      <w:bookmarkEnd w:id="3570"/>
      <w:bookmarkEnd w:id="3571"/>
      <w:bookmarkEnd w:id="3572"/>
      <w:bookmarkEnd w:id="3573"/>
      <w:bookmarkEnd w:id="3574"/>
      <w:bookmarkEnd w:id="3575"/>
      <w:bookmarkEnd w:id="3576"/>
      <w:bookmarkEnd w:id="3577"/>
      <w:bookmarkEnd w:id="3578"/>
      <w:bookmarkEnd w:id="3579"/>
      <w:bookmarkEnd w:id="3580"/>
      <w:bookmarkEnd w:id="3581"/>
      <w:bookmarkEnd w:id="3582"/>
      <w:bookmarkEnd w:id="3583"/>
      <w:bookmarkEnd w:id="3584"/>
      <w:bookmarkEnd w:id="3585"/>
      <w:bookmarkEnd w:id="3586"/>
      <w:bookmarkEnd w:id="3587"/>
      <w:bookmarkEnd w:id="3588"/>
      <w:bookmarkEnd w:id="3589"/>
      <w:bookmarkEnd w:id="3590"/>
      <w:bookmarkEnd w:id="3591"/>
      <w:bookmarkEnd w:id="3592"/>
      <w:bookmarkEnd w:id="3593"/>
      <w:bookmarkEnd w:id="3594"/>
      <w:bookmarkEnd w:id="3595"/>
      <w:bookmarkEnd w:id="3596"/>
      <w:bookmarkEnd w:id="3597"/>
      <w:bookmarkEnd w:id="3598"/>
      <w:bookmarkEnd w:id="3599"/>
      <w:bookmarkEnd w:id="3600"/>
      <w:bookmarkEnd w:id="3601"/>
      <w:bookmarkEnd w:id="3602"/>
      <w:bookmarkEnd w:id="3603"/>
      <w:bookmarkEnd w:id="3604"/>
      <w:bookmarkEnd w:id="3605"/>
      <w:bookmarkEnd w:id="3606"/>
      <w:bookmarkEnd w:id="3607"/>
    </w:p>
    <w:p w:rsidR="00D74D8A" w:rsidRPr="00D74D8A" w:rsidRDefault="00D74D8A" w:rsidP="00D74D8A">
      <w:pPr>
        <w:pStyle w:val="Akapitzlist"/>
        <w:keepNext/>
        <w:numPr>
          <w:ilvl w:val="0"/>
          <w:numId w:val="186"/>
        </w:numPr>
        <w:spacing w:before="240" w:after="60" w:line="240" w:lineRule="auto"/>
        <w:outlineLvl w:val="2"/>
        <w:rPr>
          <w:rFonts w:eastAsia="Times New Roman" w:cs="Calibri"/>
          <w:b/>
          <w:bCs/>
          <w:vanish/>
          <w:color w:val="3366FF"/>
          <w:sz w:val="26"/>
          <w:szCs w:val="26"/>
          <w:lang w:eastAsia="pl-PL"/>
        </w:rPr>
      </w:pPr>
      <w:bookmarkStart w:id="3608" w:name="_Toc467847830"/>
      <w:bookmarkStart w:id="3609" w:name="_Toc467847954"/>
      <w:bookmarkStart w:id="3610" w:name="_Toc467848078"/>
      <w:bookmarkStart w:id="3611" w:name="_Toc467848202"/>
      <w:bookmarkStart w:id="3612" w:name="_Toc467848326"/>
      <w:bookmarkStart w:id="3613" w:name="_Toc467848450"/>
      <w:bookmarkStart w:id="3614" w:name="_Toc468097923"/>
      <w:bookmarkStart w:id="3615" w:name="_Toc468098048"/>
      <w:bookmarkStart w:id="3616" w:name="_Toc468104715"/>
      <w:bookmarkStart w:id="3617" w:name="_Toc468104839"/>
      <w:bookmarkStart w:id="3618" w:name="_Toc468104963"/>
      <w:bookmarkStart w:id="3619" w:name="_Toc468105089"/>
      <w:bookmarkStart w:id="3620" w:name="_Toc468105215"/>
      <w:bookmarkStart w:id="3621" w:name="_Toc468105341"/>
      <w:bookmarkStart w:id="3622" w:name="_Toc468105825"/>
      <w:bookmarkStart w:id="3623" w:name="_Toc468105952"/>
      <w:bookmarkStart w:id="3624" w:name="_Toc468116246"/>
      <w:bookmarkStart w:id="3625" w:name="_Toc468178202"/>
      <w:bookmarkStart w:id="3626" w:name="_Toc468181494"/>
      <w:bookmarkStart w:id="3627" w:name="_Toc468181621"/>
      <w:bookmarkStart w:id="3628" w:name="_Toc468181750"/>
      <w:bookmarkStart w:id="3629" w:name="_Toc468181917"/>
      <w:bookmarkStart w:id="3630" w:name="_Toc468185858"/>
      <w:bookmarkStart w:id="3631" w:name="_Toc468190790"/>
      <w:bookmarkStart w:id="3632" w:name="_Toc468190916"/>
      <w:bookmarkStart w:id="3633" w:name="_Toc468191408"/>
      <w:bookmarkStart w:id="3634" w:name="_Toc468258079"/>
      <w:bookmarkStart w:id="3635" w:name="_Toc468258310"/>
      <w:bookmarkStart w:id="3636" w:name="_Toc468258604"/>
      <w:bookmarkStart w:id="3637" w:name="_Toc468258733"/>
      <w:bookmarkStart w:id="3638" w:name="_Toc468258866"/>
      <w:bookmarkStart w:id="3639" w:name="_Toc468258997"/>
      <w:bookmarkStart w:id="3640" w:name="_Toc468259126"/>
      <w:bookmarkStart w:id="3641" w:name="_Toc468259255"/>
      <w:bookmarkStart w:id="3642" w:name="_Toc468259512"/>
      <w:bookmarkStart w:id="3643" w:name="_Toc468259644"/>
      <w:bookmarkStart w:id="3644" w:name="_Toc468259774"/>
      <w:bookmarkStart w:id="3645" w:name="_Toc468259903"/>
      <w:bookmarkStart w:id="3646" w:name="_Toc468260034"/>
      <w:bookmarkStart w:id="3647" w:name="_Toc468260163"/>
      <w:bookmarkStart w:id="3648" w:name="_Toc468260292"/>
      <w:bookmarkStart w:id="3649" w:name="_Toc468260421"/>
      <w:bookmarkStart w:id="3650" w:name="_Toc468260550"/>
      <w:bookmarkStart w:id="3651" w:name="_Toc468260679"/>
      <w:bookmarkStart w:id="3652" w:name="_Toc468260807"/>
      <w:bookmarkStart w:id="3653" w:name="_Toc468260938"/>
      <w:bookmarkStart w:id="3654" w:name="_Toc468261069"/>
      <w:bookmarkStart w:id="3655" w:name="_Toc468261200"/>
      <w:bookmarkStart w:id="3656" w:name="_Toc468261331"/>
      <w:bookmarkStart w:id="3657" w:name="_Toc468261462"/>
      <w:bookmarkStart w:id="3658" w:name="_Toc468266776"/>
      <w:bookmarkStart w:id="3659" w:name="_Toc468266904"/>
      <w:bookmarkStart w:id="3660" w:name="_Toc468267032"/>
      <w:bookmarkStart w:id="3661" w:name="_Toc468269443"/>
      <w:bookmarkStart w:id="3662" w:name="_Toc468279409"/>
      <w:bookmarkStart w:id="3663" w:name="_Toc468360261"/>
      <w:bookmarkStart w:id="3664" w:name="_Toc468361202"/>
      <w:bookmarkStart w:id="3665" w:name="_Toc468363432"/>
      <w:bookmarkStart w:id="3666" w:name="_Toc468366259"/>
      <w:bookmarkStart w:id="3667" w:name="_Toc468428349"/>
      <w:bookmarkStart w:id="3668" w:name="_Toc468691745"/>
      <w:bookmarkStart w:id="3669" w:name="_Toc468691872"/>
      <w:bookmarkStart w:id="3670" w:name="_Toc468691999"/>
      <w:bookmarkStart w:id="3671" w:name="_Toc468693953"/>
      <w:bookmarkStart w:id="3672" w:name="_Toc468712648"/>
      <w:bookmarkStart w:id="3673" w:name="_Toc468712776"/>
      <w:bookmarkStart w:id="3674" w:name="_Toc468712903"/>
      <w:bookmarkStart w:id="3675" w:name="_Toc468713030"/>
      <w:bookmarkStart w:id="3676" w:name="_Toc468713157"/>
      <w:bookmarkStart w:id="3677" w:name="_Toc468713284"/>
      <w:bookmarkStart w:id="3678" w:name="_Toc468713411"/>
      <w:bookmarkStart w:id="3679" w:name="_Toc468713538"/>
      <w:bookmarkStart w:id="3680" w:name="_Toc468713791"/>
      <w:bookmarkStart w:id="3681" w:name="_Toc468713918"/>
      <w:bookmarkStart w:id="3682" w:name="_Toc468714045"/>
      <w:bookmarkStart w:id="3683" w:name="_Toc468787054"/>
      <w:bookmarkStart w:id="3684" w:name="_Toc468787372"/>
      <w:bookmarkStart w:id="3685" w:name="_Toc468787500"/>
      <w:bookmarkStart w:id="3686" w:name="_Toc468787628"/>
      <w:bookmarkStart w:id="3687" w:name="_Toc468787755"/>
      <w:bookmarkStart w:id="3688" w:name="_Toc468787882"/>
      <w:bookmarkStart w:id="3689" w:name="_Toc468788009"/>
      <w:bookmarkStart w:id="3690" w:name="_Toc468957689"/>
      <w:bookmarkStart w:id="3691" w:name="_Toc468957816"/>
      <w:bookmarkStart w:id="3692" w:name="_Toc468957943"/>
      <w:bookmarkStart w:id="3693" w:name="_Toc468958070"/>
      <w:bookmarkStart w:id="3694" w:name="_Toc468958197"/>
      <w:bookmarkStart w:id="3695" w:name="_Toc468958324"/>
      <w:bookmarkStart w:id="3696" w:name="_Toc468958451"/>
      <w:bookmarkStart w:id="3697" w:name="_Toc468958578"/>
      <w:bookmarkStart w:id="3698" w:name="_Toc468958705"/>
      <w:bookmarkStart w:id="3699" w:name="_Toc468958832"/>
      <w:bookmarkStart w:id="3700" w:name="_Toc468958959"/>
      <w:bookmarkStart w:id="3701" w:name="_Toc468959086"/>
      <w:bookmarkStart w:id="3702" w:name="_Toc468960587"/>
      <w:bookmarkStart w:id="3703" w:name="_Toc469035060"/>
      <w:bookmarkStart w:id="3704" w:name="_Toc469056770"/>
      <w:bookmarkStart w:id="3705" w:name="_Toc469321082"/>
      <w:bookmarkStart w:id="3706" w:name="_Toc469323811"/>
      <w:bookmarkStart w:id="3707" w:name="_Toc469323937"/>
      <w:bookmarkStart w:id="3708" w:name="_Toc469324488"/>
      <w:bookmarkStart w:id="3709" w:name="_Toc470695366"/>
      <w:bookmarkStart w:id="3710" w:name="_Toc470695519"/>
      <w:bookmarkStart w:id="3711" w:name="_Toc470697023"/>
      <w:bookmarkStart w:id="3712" w:name="_Toc470699907"/>
      <w:bookmarkStart w:id="3713" w:name="_Toc470762753"/>
      <w:bookmarkStart w:id="3714" w:name="_Toc471114571"/>
      <w:bookmarkStart w:id="3715" w:name="_Toc474392987"/>
      <w:bookmarkStart w:id="3716" w:name="_Toc474497878"/>
      <w:bookmarkStart w:id="3717" w:name="_Toc474498637"/>
      <w:bookmarkStart w:id="3718" w:name="_Toc474844496"/>
      <w:bookmarkStart w:id="3719" w:name="_Toc474844623"/>
      <w:bookmarkStart w:id="3720" w:name="_Toc474919893"/>
      <w:bookmarkStart w:id="3721" w:name="_Toc474924902"/>
      <w:bookmarkEnd w:id="3608"/>
      <w:bookmarkEnd w:id="3609"/>
      <w:bookmarkEnd w:id="3610"/>
      <w:bookmarkEnd w:id="3611"/>
      <w:bookmarkEnd w:id="3612"/>
      <w:bookmarkEnd w:id="3613"/>
      <w:bookmarkEnd w:id="3614"/>
      <w:bookmarkEnd w:id="3615"/>
      <w:bookmarkEnd w:id="3616"/>
      <w:bookmarkEnd w:id="3617"/>
      <w:bookmarkEnd w:id="3618"/>
      <w:bookmarkEnd w:id="3619"/>
      <w:bookmarkEnd w:id="3620"/>
      <w:bookmarkEnd w:id="3621"/>
      <w:bookmarkEnd w:id="3622"/>
      <w:bookmarkEnd w:id="3623"/>
      <w:bookmarkEnd w:id="3624"/>
      <w:bookmarkEnd w:id="3625"/>
      <w:bookmarkEnd w:id="3626"/>
      <w:bookmarkEnd w:id="3627"/>
      <w:bookmarkEnd w:id="3628"/>
      <w:bookmarkEnd w:id="3629"/>
      <w:bookmarkEnd w:id="3630"/>
      <w:bookmarkEnd w:id="3631"/>
      <w:bookmarkEnd w:id="3632"/>
      <w:bookmarkEnd w:id="3633"/>
      <w:bookmarkEnd w:id="3634"/>
      <w:bookmarkEnd w:id="3635"/>
      <w:bookmarkEnd w:id="3636"/>
      <w:bookmarkEnd w:id="3637"/>
      <w:bookmarkEnd w:id="3638"/>
      <w:bookmarkEnd w:id="3639"/>
      <w:bookmarkEnd w:id="3640"/>
      <w:bookmarkEnd w:id="3641"/>
      <w:bookmarkEnd w:id="3642"/>
      <w:bookmarkEnd w:id="3643"/>
      <w:bookmarkEnd w:id="3644"/>
      <w:bookmarkEnd w:id="3645"/>
      <w:bookmarkEnd w:id="3646"/>
      <w:bookmarkEnd w:id="3647"/>
      <w:bookmarkEnd w:id="3648"/>
      <w:bookmarkEnd w:id="3649"/>
      <w:bookmarkEnd w:id="3650"/>
      <w:bookmarkEnd w:id="3651"/>
      <w:bookmarkEnd w:id="3652"/>
      <w:bookmarkEnd w:id="3653"/>
      <w:bookmarkEnd w:id="3654"/>
      <w:bookmarkEnd w:id="3655"/>
      <w:bookmarkEnd w:id="3656"/>
      <w:bookmarkEnd w:id="3657"/>
      <w:bookmarkEnd w:id="3658"/>
      <w:bookmarkEnd w:id="3659"/>
      <w:bookmarkEnd w:id="3660"/>
      <w:bookmarkEnd w:id="3661"/>
      <w:bookmarkEnd w:id="3662"/>
      <w:bookmarkEnd w:id="3663"/>
      <w:bookmarkEnd w:id="3664"/>
      <w:bookmarkEnd w:id="3665"/>
      <w:bookmarkEnd w:id="3666"/>
      <w:bookmarkEnd w:id="3667"/>
      <w:bookmarkEnd w:id="3668"/>
      <w:bookmarkEnd w:id="3669"/>
      <w:bookmarkEnd w:id="3670"/>
      <w:bookmarkEnd w:id="3671"/>
      <w:bookmarkEnd w:id="3672"/>
      <w:bookmarkEnd w:id="3673"/>
      <w:bookmarkEnd w:id="3674"/>
      <w:bookmarkEnd w:id="3675"/>
      <w:bookmarkEnd w:id="3676"/>
      <w:bookmarkEnd w:id="3677"/>
      <w:bookmarkEnd w:id="3678"/>
      <w:bookmarkEnd w:id="3679"/>
      <w:bookmarkEnd w:id="3680"/>
      <w:bookmarkEnd w:id="3681"/>
      <w:bookmarkEnd w:id="3682"/>
      <w:bookmarkEnd w:id="3683"/>
      <w:bookmarkEnd w:id="3684"/>
      <w:bookmarkEnd w:id="3685"/>
      <w:bookmarkEnd w:id="3686"/>
      <w:bookmarkEnd w:id="3687"/>
      <w:bookmarkEnd w:id="3688"/>
      <w:bookmarkEnd w:id="3689"/>
      <w:bookmarkEnd w:id="3690"/>
      <w:bookmarkEnd w:id="3691"/>
      <w:bookmarkEnd w:id="3692"/>
      <w:bookmarkEnd w:id="3693"/>
      <w:bookmarkEnd w:id="3694"/>
      <w:bookmarkEnd w:id="3695"/>
      <w:bookmarkEnd w:id="3696"/>
      <w:bookmarkEnd w:id="3697"/>
      <w:bookmarkEnd w:id="3698"/>
      <w:bookmarkEnd w:id="3699"/>
      <w:bookmarkEnd w:id="3700"/>
      <w:bookmarkEnd w:id="3701"/>
      <w:bookmarkEnd w:id="3702"/>
      <w:bookmarkEnd w:id="3703"/>
      <w:bookmarkEnd w:id="3704"/>
      <w:bookmarkEnd w:id="3705"/>
      <w:bookmarkEnd w:id="3706"/>
      <w:bookmarkEnd w:id="3707"/>
      <w:bookmarkEnd w:id="3708"/>
      <w:bookmarkEnd w:id="3709"/>
      <w:bookmarkEnd w:id="3710"/>
      <w:bookmarkEnd w:id="3711"/>
      <w:bookmarkEnd w:id="3712"/>
      <w:bookmarkEnd w:id="3713"/>
      <w:bookmarkEnd w:id="3714"/>
      <w:bookmarkEnd w:id="3715"/>
      <w:bookmarkEnd w:id="3716"/>
      <w:bookmarkEnd w:id="3717"/>
      <w:bookmarkEnd w:id="3718"/>
      <w:bookmarkEnd w:id="3719"/>
      <w:bookmarkEnd w:id="3720"/>
      <w:bookmarkEnd w:id="3721"/>
    </w:p>
    <w:p w:rsidR="00D74D8A" w:rsidRPr="00D74D8A" w:rsidRDefault="00D74D8A" w:rsidP="00D74D8A">
      <w:pPr>
        <w:pStyle w:val="Akapitzlist"/>
        <w:keepNext/>
        <w:numPr>
          <w:ilvl w:val="1"/>
          <w:numId w:val="186"/>
        </w:numPr>
        <w:spacing w:before="240" w:after="60" w:line="240" w:lineRule="auto"/>
        <w:outlineLvl w:val="2"/>
        <w:rPr>
          <w:rFonts w:eastAsia="Times New Roman" w:cs="Calibri"/>
          <w:b/>
          <w:bCs/>
          <w:vanish/>
          <w:color w:val="3366FF"/>
          <w:sz w:val="26"/>
          <w:szCs w:val="26"/>
          <w:lang w:eastAsia="pl-PL"/>
        </w:rPr>
      </w:pPr>
      <w:bookmarkStart w:id="3722" w:name="_Toc467847831"/>
      <w:bookmarkStart w:id="3723" w:name="_Toc467847955"/>
      <w:bookmarkStart w:id="3724" w:name="_Toc467848079"/>
      <w:bookmarkStart w:id="3725" w:name="_Toc467848203"/>
      <w:bookmarkStart w:id="3726" w:name="_Toc467848327"/>
      <w:bookmarkStart w:id="3727" w:name="_Toc467848451"/>
      <w:bookmarkStart w:id="3728" w:name="_Toc468097924"/>
      <w:bookmarkStart w:id="3729" w:name="_Toc468098049"/>
      <w:bookmarkStart w:id="3730" w:name="_Toc468104716"/>
      <w:bookmarkStart w:id="3731" w:name="_Toc468104840"/>
      <w:bookmarkStart w:id="3732" w:name="_Toc468104964"/>
      <w:bookmarkStart w:id="3733" w:name="_Toc468105090"/>
      <w:bookmarkStart w:id="3734" w:name="_Toc468105216"/>
      <w:bookmarkStart w:id="3735" w:name="_Toc468105342"/>
      <w:bookmarkStart w:id="3736" w:name="_Toc468105826"/>
      <w:bookmarkStart w:id="3737" w:name="_Toc468105953"/>
      <w:bookmarkStart w:id="3738" w:name="_Toc468116247"/>
      <w:bookmarkStart w:id="3739" w:name="_Toc468178203"/>
      <w:bookmarkStart w:id="3740" w:name="_Toc468181495"/>
      <w:bookmarkStart w:id="3741" w:name="_Toc468181622"/>
      <w:bookmarkStart w:id="3742" w:name="_Toc468181751"/>
      <w:bookmarkStart w:id="3743" w:name="_Toc468181918"/>
      <w:bookmarkStart w:id="3744" w:name="_Toc468185859"/>
      <w:bookmarkStart w:id="3745" w:name="_Toc468190791"/>
      <w:bookmarkStart w:id="3746" w:name="_Toc468190917"/>
      <w:bookmarkStart w:id="3747" w:name="_Toc468191409"/>
      <w:bookmarkStart w:id="3748" w:name="_Toc468258080"/>
      <w:bookmarkStart w:id="3749" w:name="_Toc468258311"/>
      <w:bookmarkStart w:id="3750" w:name="_Toc468258605"/>
      <w:bookmarkStart w:id="3751" w:name="_Toc468258734"/>
      <w:bookmarkStart w:id="3752" w:name="_Toc468258867"/>
      <w:bookmarkStart w:id="3753" w:name="_Toc468258998"/>
      <w:bookmarkStart w:id="3754" w:name="_Toc468259127"/>
      <w:bookmarkStart w:id="3755" w:name="_Toc468259256"/>
      <w:bookmarkStart w:id="3756" w:name="_Toc468259513"/>
      <w:bookmarkStart w:id="3757" w:name="_Toc468259645"/>
      <w:bookmarkStart w:id="3758" w:name="_Toc468259775"/>
      <w:bookmarkStart w:id="3759" w:name="_Toc468259904"/>
      <w:bookmarkStart w:id="3760" w:name="_Toc468260035"/>
      <w:bookmarkStart w:id="3761" w:name="_Toc468260164"/>
      <w:bookmarkStart w:id="3762" w:name="_Toc468260293"/>
      <w:bookmarkStart w:id="3763" w:name="_Toc468260422"/>
      <w:bookmarkStart w:id="3764" w:name="_Toc468260551"/>
      <w:bookmarkStart w:id="3765" w:name="_Toc468260680"/>
      <w:bookmarkStart w:id="3766" w:name="_Toc468260808"/>
      <w:bookmarkStart w:id="3767" w:name="_Toc468260939"/>
      <w:bookmarkStart w:id="3768" w:name="_Toc468261070"/>
      <w:bookmarkStart w:id="3769" w:name="_Toc468261201"/>
      <w:bookmarkStart w:id="3770" w:name="_Toc468261332"/>
      <w:bookmarkStart w:id="3771" w:name="_Toc468261463"/>
      <w:bookmarkStart w:id="3772" w:name="_Toc468266777"/>
      <w:bookmarkStart w:id="3773" w:name="_Toc468266905"/>
      <w:bookmarkStart w:id="3774" w:name="_Toc468267033"/>
      <w:bookmarkStart w:id="3775" w:name="_Toc468269444"/>
      <w:bookmarkStart w:id="3776" w:name="_Toc468279410"/>
      <w:bookmarkStart w:id="3777" w:name="_Toc468360262"/>
      <w:bookmarkStart w:id="3778" w:name="_Toc468361203"/>
      <w:bookmarkStart w:id="3779" w:name="_Toc468363433"/>
      <w:bookmarkStart w:id="3780" w:name="_Toc468366260"/>
      <w:bookmarkStart w:id="3781" w:name="_Toc468428350"/>
      <w:bookmarkStart w:id="3782" w:name="_Toc468691746"/>
      <w:bookmarkStart w:id="3783" w:name="_Toc468691873"/>
      <w:bookmarkStart w:id="3784" w:name="_Toc468692000"/>
      <w:bookmarkStart w:id="3785" w:name="_Toc468693954"/>
      <w:bookmarkStart w:id="3786" w:name="_Toc468712649"/>
      <w:bookmarkStart w:id="3787" w:name="_Toc468712777"/>
      <w:bookmarkStart w:id="3788" w:name="_Toc468712904"/>
      <w:bookmarkStart w:id="3789" w:name="_Toc468713031"/>
      <w:bookmarkStart w:id="3790" w:name="_Toc468713158"/>
      <w:bookmarkStart w:id="3791" w:name="_Toc468713285"/>
      <w:bookmarkStart w:id="3792" w:name="_Toc468713412"/>
      <w:bookmarkStart w:id="3793" w:name="_Toc468713539"/>
      <w:bookmarkStart w:id="3794" w:name="_Toc468713792"/>
      <w:bookmarkStart w:id="3795" w:name="_Toc468713919"/>
      <w:bookmarkStart w:id="3796" w:name="_Toc468714046"/>
      <w:bookmarkStart w:id="3797" w:name="_Toc468787055"/>
      <w:bookmarkStart w:id="3798" w:name="_Toc468787373"/>
      <w:bookmarkStart w:id="3799" w:name="_Toc468787501"/>
      <w:bookmarkStart w:id="3800" w:name="_Toc468787629"/>
      <w:bookmarkStart w:id="3801" w:name="_Toc468787756"/>
      <w:bookmarkStart w:id="3802" w:name="_Toc468787883"/>
      <w:bookmarkStart w:id="3803" w:name="_Toc468788010"/>
      <w:bookmarkStart w:id="3804" w:name="_Toc468957690"/>
      <w:bookmarkStart w:id="3805" w:name="_Toc468957817"/>
      <w:bookmarkStart w:id="3806" w:name="_Toc468957944"/>
      <w:bookmarkStart w:id="3807" w:name="_Toc468958071"/>
      <w:bookmarkStart w:id="3808" w:name="_Toc468958198"/>
      <w:bookmarkStart w:id="3809" w:name="_Toc468958325"/>
      <w:bookmarkStart w:id="3810" w:name="_Toc468958452"/>
      <w:bookmarkStart w:id="3811" w:name="_Toc468958579"/>
      <w:bookmarkStart w:id="3812" w:name="_Toc468958706"/>
      <w:bookmarkStart w:id="3813" w:name="_Toc468958833"/>
      <w:bookmarkStart w:id="3814" w:name="_Toc468958960"/>
      <w:bookmarkStart w:id="3815" w:name="_Toc468959087"/>
      <w:bookmarkStart w:id="3816" w:name="_Toc468960588"/>
      <w:bookmarkStart w:id="3817" w:name="_Toc469035061"/>
      <w:bookmarkStart w:id="3818" w:name="_Toc469056771"/>
      <w:bookmarkStart w:id="3819" w:name="_Toc469321083"/>
      <w:bookmarkStart w:id="3820" w:name="_Toc469323812"/>
      <w:bookmarkStart w:id="3821" w:name="_Toc469323938"/>
      <w:bookmarkStart w:id="3822" w:name="_Toc469324489"/>
      <w:bookmarkStart w:id="3823" w:name="_Toc470695367"/>
      <w:bookmarkStart w:id="3824" w:name="_Toc470695520"/>
      <w:bookmarkStart w:id="3825" w:name="_Toc470697024"/>
      <w:bookmarkStart w:id="3826" w:name="_Toc470699908"/>
      <w:bookmarkStart w:id="3827" w:name="_Toc470762754"/>
      <w:bookmarkStart w:id="3828" w:name="_Toc471114572"/>
      <w:bookmarkStart w:id="3829" w:name="_Toc474392988"/>
      <w:bookmarkStart w:id="3830" w:name="_Toc474497879"/>
      <w:bookmarkStart w:id="3831" w:name="_Toc474498638"/>
      <w:bookmarkStart w:id="3832" w:name="_Toc474844497"/>
      <w:bookmarkStart w:id="3833" w:name="_Toc474844624"/>
      <w:bookmarkStart w:id="3834" w:name="_Toc474919894"/>
      <w:bookmarkStart w:id="3835" w:name="_Toc474924903"/>
      <w:bookmarkEnd w:id="3722"/>
      <w:bookmarkEnd w:id="3723"/>
      <w:bookmarkEnd w:id="3724"/>
      <w:bookmarkEnd w:id="3725"/>
      <w:bookmarkEnd w:id="3726"/>
      <w:bookmarkEnd w:id="3727"/>
      <w:bookmarkEnd w:id="3728"/>
      <w:bookmarkEnd w:id="3729"/>
      <w:bookmarkEnd w:id="3730"/>
      <w:bookmarkEnd w:id="3731"/>
      <w:bookmarkEnd w:id="3732"/>
      <w:bookmarkEnd w:id="3733"/>
      <w:bookmarkEnd w:id="3734"/>
      <w:bookmarkEnd w:id="3735"/>
      <w:bookmarkEnd w:id="3736"/>
      <w:bookmarkEnd w:id="3737"/>
      <w:bookmarkEnd w:id="3738"/>
      <w:bookmarkEnd w:id="3739"/>
      <w:bookmarkEnd w:id="3740"/>
      <w:bookmarkEnd w:id="3741"/>
      <w:bookmarkEnd w:id="3742"/>
      <w:bookmarkEnd w:id="3743"/>
      <w:bookmarkEnd w:id="3744"/>
      <w:bookmarkEnd w:id="3745"/>
      <w:bookmarkEnd w:id="3746"/>
      <w:bookmarkEnd w:id="3747"/>
      <w:bookmarkEnd w:id="3748"/>
      <w:bookmarkEnd w:id="3749"/>
      <w:bookmarkEnd w:id="3750"/>
      <w:bookmarkEnd w:id="3751"/>
      <w:bookmarkEnd w:id="3752"/>
      <w:bookmarkEnd w:id="3753"/>
      <w:bookmarkEnd w:id="3754"/>
      <w:bookmarkEnd w:id="3755"/>
      <w:bookmarkEnd w:id="3756"/>
      <w:bookmarkEnd w:id="3757"/>
      <w:bookmarkEnd w:id="3758"/>
      <w:bookmarkEnd w:id="3759"/>
      <w:bookmarkEnd w:id="3760"/>
      <w:bookmarkEnd w:id="3761"/>
      <w:bookmarkEnd w:id="3762"/>
      <w:bookmarkEnd w:id="3763"/>
      <w:bookmarkEnd w:id="3764"/>
      <w:bookmarkEnd w:id="3765"/>
      <w:bookmarkEnd w:id="3766"/>
      <w:bookmarkEnd w:id="3767"/>
      <w:bookmarkEnd w:id="3768"/>
      <w:bookmarkEnd w:id="3769"/>
      <w:bookmarkEnd w:id="3770"/>
      <w:bookmarkEnd w:id="3771"/>
      <w:bookmarkEnd w:id="3772"/>
      <w:bookmarkEnd w:id="3773"/>
      <w:bookmarkEnd w:id="3774"/>
      <w:bookmarkEnd w:id="3775"/>
      <w:bookmarkEnd w:id="3776"/>
      <w:bookmarkEnd w:id="3777"/>
      <w:bookmarkEnd w:id="3778"/>
      <w:bookmarkEnd w:id="3779"/>
      <w:bookmarkEnd w:id="3780"/>
      <w:bookmarkEnd w:id="3781"/>
      <w:bookmarkEnd w:id="3782"/>
      <w:bookmarkEnd w:id="3783"/>
      <w:bookmarkEnd w:id="3784"/>
      <w:bookmarkEnd w:id="3785"/>
      <w:bookmarkEnd w:id="3786"/>
      <w:bookmarkEnd w:id="3787"/>
      <w:bookmarkEnd w:id="3788"/>
      <w:bookmarkEnd w:id="3789"/>
      <w:bookmarkEnd w:id="3790"/>
      <w:bookmarkEnd w:id="3791"/>
      <w:bookmarkEnd w:id="3792"/>
      <w:bookmarkEnd w:id="3793"/>
      <w:bookmarkEnd w:id="3794"/>
      <w:bookmarkEnd w:id="3795"/>
      <w:bookmarkEnd w:id="3796"/>
      <w:bookmarkEnd w:id="3797"/>
      <w:bookmarkEnd w:id="3798"/>
      <w:bookmarkEnd w:id="3799"/>
      <w:bookmarkEnd w:id="3800"/>
      <w:bookmarkEnd w:id="3801"/>
      <w:bookmarkEnd w:id="3802"/>
      <w:bookmarkEnd w:id="3803"/>
      <w:bookmarkEnd w:id="3804"/>
      <w:bookmarkEnd w:id="3805"/>
      <w:bookmarkEnd w:id="3806"/>
      <w:bookmarkEnd w:id="3807"/>
      <w:bookmarkEnd w:id="3808"/>
      <w:bookmarkEnd w:id="3809"/>
      <w:bookmarkEnd w:id="3810"/>
      <w:bookmarkEnd w:id="3811"/>
      <w:bookmarkEnd w:id="3812"/>
      <w:bookmarkEnd w:id="3813"/>
      <w:bookmarkEnd w:id="3814"/>
      <w:bookmarkEnd w:id="3815"/>
      <w:bookmarkEnd w:id="3816"/>
      <w:bookmarkEnd w:id="3817"/>
      <w:bookmarkEnd w:id="3818"/>
      <w:bookmarkEnd w:id="3819"/>
      <w:bookmarkEnd w:id="3820"/>
      <w:bookmarkEnd w:id="3821"/>
      <w:bookmarkEnd w:id="3822"/>
      <w:bookmarkEnd w:id="3823"/>
      <w:bookmarkEnd w:id="3824"/>
      <w:bookmarkEnd w:id="3825"/>
      <w:bookmarkEnd w:id="3826"/>
      <w:bookmarkEnd w:id="3827"/>
      <w:bookmarkEnd w:id="3828"/>
      <w:bookmarkEnd w:id="3829"/>
      <w:bookmarkEnd w:id="3830"/>
      <w:bookmarkEnd w:id="3831"/>
      <w:bookmarkEnd w:id="3832"/>
      <w:bookmarkEnd w:id="3833"/>
      <w:bookmarkEnd w:id="3834"/>
      <w:bookmarkEnd w:id="3835"/>
    </w:p>
    <w:p w:rsidR="00EC3243" w:rsidRPr="00EC3243" w:rsidRDefault="00EC3243" w:rsidP="00EC3243">
      <w:pPr>
        <w:pStyle w:val="Akapitzlist"/>
        <w:keepNext/>
        <w:numPr>
          <w:ilvl w:val="0"/>
          <w:numId w:val="212"/>
        </w:numPr>
        <w:spacing w:before="240" w:after="60" w:line="240" w:lineRule="auto"/>
        <w:outlineLvl w:val="2"/>
        <w:rPr>
          <w:rFonts w:eastAsia="Times New Roman" w:cs="Calibri"/>
          <w:b/>
          <w:bCs/>
          <w:vanish/>
          <w:color w:val="3366FF"/>
          <w:sz w:val="26"/>
          <w:szCs w:val="26"/>
          <w:lang w:eastAsia="pl-PL"/>
        </w:rPr>
      </w:pPr>
      <w:bookmarkStart w:id="3836" w:name="_Toc468104965"/>
      <w:bookmarkStart w:id="3837" w:name="_Toc468105091"/>
      <w:bookmarkStart w:id="3838" w:name="_Toc468105217"/>
      <w:bookmarkStart w:id="3839" w:name="_Toc468105343"/>
      <w:bookmarkStart w:id="3840" w:name="_Toc468105827"/>
      <w:bookmarkStart w:id="3841" w:name="_Toc468105954"/>
      <w:bookmarkStart w:id="3842" w:name="_Toc468116248"/>
      <w:bookmarkStart w:id="3843" w:name="_Toc468178204"/>
      <w:bookmarkStart w:id="3844" w:name="_Toc468181496"/>
      <w:bookmarkStart w:id="3845" w:name="_Toc468181623"/>
      <w:bookmarkStart w:id="3846" w:name="_Toc468181752"/>
      <w:bookmarkStart w:id="3847" w:name="_Toc468181919"/>
      <w:bookmarkStart w:id="3848" w:name="_Toc468185860"/>
      <w:bookmarkStart w:id="3849" w:name="_Toc468190792"/>
      <w:bookmarkStart w:id="3850" w:name="_Toc468190918"/>
      <w:bookmarkStart w:id="3851" w:name="_Toc468191410"/>
      <w:bookmarkStart w:id="3852" w:name="_Toc468258081"/>
      <w:bookmarkStart w:id="3853" w:name="_Toc468258312"/>
      <w:bookmarkStart w:id="3854" w:name="_Toc468258606"/>
      <w:bookmarkStart w:id="3855" w:name="_Toc468258735"/>
      <w:bookmarkStart w:id="3856" w:name="_Toc468258868"/>
      <w:bookmarkStart w:id="3857" w:name="_Toc468258999"/>
      <w:bookmarkStart w:id="3858" w:name="_Toc468259128"/>
      <w:bookmarkStart w:id="3859" w:name="_Toc468259257"/>
      <w:bookmarkStart w:id="3860" w:name="_Toc468259514"/>
      <w:bookmarkStart w:id="3861" w:name="_Toc468259646"/>
      <w:bookmarkStart w:id="3862" w:name="_Toc468259776"/>
      <w:bookmarkStart w:id="3863" w:name="_Toc468259905"/>
      <w:bookmarkStart w:id="3864" w:name="_Toc468260036"/>
      <w:bookmarkStart w:id="3865" w:name="_Toc468260165"/>
      <w:bookmarkStart w:id="3866" w:name="_Toc468260294"/>
      <w:bookmarkStart w:id="3867" w:name="_Toc468260423"/>
      <w:bookmarkStart w:id="3868" w:name="_Toc468260552"/>
      <w:bookmarkStart w:id="3869" w:name="_Toc468260681"/>
      <w:bookmarkStart w:id="3870" w:name="_Toc468260809"/>
      <w:bookmarkStart w:id="3871" w:name="_Toc468260940"/>
      <w:bookmarkStart w:id="3872" w:name="_Toc468261071"/>
      <w:bookmarkStart w:id="3873" w:name="_Toc468261202"/>
      <w:bookmarkStart w:id="3874" w:name="_Toc468261333"/>
      <w:bookmarkStart w:id="3875" w:name="_Toc468261464"/>
      <w:bookmarkStart w:id="3876" w:name="_Toc468266778"/>
      <w:bookmarkStart w:id="3877" w:name="_Toc468266906"/>
      <w:bookmarkStart w:id="3878" w:name="_Toc468267034"/>
      <w:bookmarkStart w:id="3879" w:name="_Toc468269445"/>
      <w:bookmarkStart w:id="3880" w:name="_Toc468279411"/>
      <w:bookmarkStart w:id="3881" w:name="_Toc468360263"/>
      <w:bookmarkStart w:id="3882" w:name="_Toc468361204"/>
      <w:bookmarkStart w:id="3883" w:name="_Toc468363434"/>
      <w:bookmarkStart w:id="3884" w:name="_Toc468366261"/>
      <w:bookmarkStart w:id="3885" w:name="_Toc468428351"/>
      <w:bookmarkStart w:id="3886" w:name="_Toc468691747"/>
      <w:bookmarkStart w:id="3887" w:name="_Toc468691874"/>
      <w:bookmarkStart w:id="3888" w:name="_Toc468692001"/>
      <w:bookmarkStart w:id="3889" w:name="_Toc468693955"/>
      <w:bookmarkStart w:id="3890" w:name="_Toc468712650"/>
      <w:bookmarkStart w:id="3891" w:name="_Toc468712778"/>
      <w:bookmarkStart w:id="3892" w:name="_Toc468712905"/>
      <w:bookmarkStart w:id="3893" w:name="_Toc468713032"/>
      <w:bookmarkStart w:id="3894" w:name="_Toc468713159"/>
      <w:bookmarkStart w:id="3895" w:name="_Toc468713286"/>
      <w:bookmarkStart w:id="3896" w:name="_Toc468713413"/>
      <w:bookmarkStart w:id="3897" w:name="_Toc468713540"/>
      <w:bookmarkStart w:id="3898" w:name="_Toc468713793"/>
      <w:bookmarkStart w:id="3899" w:name="_Toc468713920"/>
      <w:bookmarkStart w:id="3900" w:name="_Toc468714047"/>
      <w:bookmarkStart w:id="3901" w:name="_Toc468787056"/>
      <w:bookmarkStart w:id="3902" w:name="_Toc468787374"/>
      <w:bookmarkStart w:id="3903" w:name="_Toc468787502"/>
      <w:bookmarkStart w:id="3904" w:name="_Toc468787630"/>
      <w:bookmarkStart w:id="3905" w:name="_Toc468787757"/>
      <w:bookmarkStart w:id="3906" w:name="_Toc468787884"/>
      <w:bookmarkStart w:id="3907" w:name="_Toc468788011"/>
      <w:bookmarkStart w:id="3908" w:name="_Toc468957691"/>
      <w:bookmarkStart w:id="3909" w:name="_Toc468957818"/>
      <w:bookmarkStart w:id="3910" w:name="_Toc468957945"/>
      <w:bookmarkStart w:id="3911" w:name="_Toc468958072"/>
      <w:bookmarkStart w:id="3912" w:name="_Toc468958199"/>
      <w:bookmarkStart w:id="3913" w:name="_Toc468958326"/>
      <w:bookmarkStart w:id="3914" w:name="_Toc468958453"/>
      <w:bookmarkStart w:id="3915" w:name="_Toc468958580"/>
      <w:bookmarkStart w:id="3916" w:name="_Toc468958707"/>
      <w:bookmarkStart w:id="3917" w:name="_Toc468958834"/>
      <w:bookmarkStart w:id="3918" w:name="_Toc468958961"/>
      <w:bookmarkStart w:id="3919" w:name="_Toc468959088"/>
      <w:bookmarkStart w:id="3920" w:name="_Toc468960589"/>
      <w:bookmarkStart w:id="3921" w:name="_Toc469035062"/>
      <w:bookmarkStart w:id="3922" w:name="_Toc469056772"/>
      <w:bookmarkStart w:id="3923" w:name="_Toc469321084"/>
      <w:bookmarkStart w:id="3924" w:name="_Toc469323813"/>
      <w:bookmarkStart w:id="3925" w:name="_Toc469323939"/>
      <w:bookmarkStart w:id="3926" w:name="_Toc469324490"/>
      <w:bookmarkStart w:id="3927" w:name="_Toc470695368"/>
      <w:bookmarkStart w:id="3928" w:name="_Toc470695521"/>
      <w:bookmarkStart w:id="3929" w:name="_Toc470697025"/>
      <w:bookmarkStart w:id="3930" w:name="_Toc470699909"/>
      <w:bookmarkStart w:id="3931" w:name="_Toc470762755"/>
      <w:bookmarkStart w:id="3932" w:name="_Toc471114573"/>
      <w:bookmarkStart w:id="3933" w:name="_Toc474392989"/>
      <w:bookmarkStart w:id="3934" w:name="_Toc474497880"/>
      <w:bookmarkStart w:id="3935" w:name="_Toc474498639"/>
      <w:bookmarkStart w:id="3936" w:name="_Toc474844498"/>
      <w:bookmarkStart w:id="3937" w:name="_Toc474844625"/>
      <w:bookmarkStart w:id="3938" w:name="_Toc474919895"/>
      <w:bookmarkStart w:id="3939" w:name="_Toc474924904"/>
      <w:bookmarkEnd w:id="3836"/>
      <w:bookmarkEnd w:id="3837"/>
      <w:bookmarkEnd w:id="3838"/>
      <w:bookmarkEnd w:id="3839"/>
      <w:bookmarkEnd w:id="3840"/>
      <w:bookmarkEnd w:id="3841"/>
      <w:bookmarkEnd w:id="3842"/>
      <w:bookmarkEnd w:id="3843"/>
      <w:bookmarkEnd w:id="3844"/>
      <w:bookmarkEnd w:id="3845"/>
      <w:bookmarkEnd w:id="3846"/>
      <w:bookmarkEnd w:id="3847"/>
      <w:bookmarkEnd w:id="3848"/>
      <w:bookmarkEnd w:id="3849"/>
      <w:bookmarkEnd w:id="3850"/>
      <w:bookmarkEnd w:id="3851"/>
      <w:bookmarkEnd w:id="3852"/>
      <w:bookmarkEnd w:id="3853"/>
      <w:bookmarkEnd w:id="3854"/>
      <w:bookmarkEnd w:id="3855"/>
      <w:bookmarkEnd w:id="3856"/>
      <w:bookmarkEnd w:id="3857"/>
      <w:bookmarkEnd w:id="3858"/>
      <w:bookmarkEnd w:id="3859"/>
      <w:bookmarkEnd w:id="3860"/>
      <w:bookmarkEnd w:id="3861"/>
      <w:bookmarkEnd w:id="3862"/>
      <w:bookmarkEnd w:id="3863"/>
      <w:bookmarkEnd w:id="3864"/>
      <w:bookmarkEnd w:id="3865"/>
      <w:bookmarkEnd w:id="3866"/>
      <w:bookmarkEnd w:id="3867"/>
      <w:bookmarkEnd w:id="3868"/>
      <w:bookmarkEnd w:id="3869"/>
      <w:bookmarkEnd w:id="3870"/>
      <w:bookmarkEnd w:id="3871"/>
      <w:bookmarkEnd w:id="3872"/>
      <w:bookmarkEnd w:id="3873"/>
      <w:bookmarkEnd w:id="3874"/>
      <w:bookmarkEnd w:id="3875"/>
      <w:bookmarkEnd w:id="3876"/>
      <w:bookmarkEnd w:id="3877"/>
      <w:bookmarkEnd w:id="3878"/>
      <w:bookmarkEnd w:id="3879"/>
      <w:bookmarkEnd w:id="3880"/>
      <w:bookmarkEnd w:id="3881"/>
      <w:bookmarkEnd w:id="3882"/>
      <w:bookmarkEnd w:id="3883"/>
      <w:bookmarkEnd w:id="3884"/>
      <w:bookmarkEnd w:id="3885"/>
      <w:bookmarkEnd w:id="3886"/>
      <w:bookmarkEnd w:id="3887"/>
      <w:bookmarkEnd w:id="3888"/>
      <w:bookmarkEnd w:id="3889"/>
      <w:bookmarkEnd w:id="3890"/>
      <w:bookmarkEnd w:id="3891"/>
      <w:bookmarkEnd w:id="3892"/>
      <w:bookmarkEnd w:id="3893"/>
      <w:bookmarkEnd w:id="3894"/>
      <w:bookmarkEnd w:id="3895"/>
      <w:bookmarkEnd w:id="3896"/>
      <w:bookmarkEnd w:id="3897"/>
      <w:bookmarkEnd w:id="3898"/>
      <w:bookmarkEnd w:id="3899"/>
      <w:bookmarkEnd w:id="3900"/>
      <w:bookmarkEnd w:id="3901"/>
      <w:bookmarkEnd w:id="3902"/>
      <w:bookmarkEnd w:id="3903"/>
      <w:bookmarkEnd w:id="3904"/>
      <w:bookmarkEnd w:id="3905"/>
      <w:bookmarkEnd w:id="3906"/>
      <w:bookmarkEnd w:id="3907"/>
      <w:bookmarkEnd w:id="3908"/>
      <w:bookmarkEnd w:id="3909"/>
      <w:bookmarkEnd w:id="3910"/>
      <w:bookmarkEnd w:id="3911"/>
      <w:bookmarkEnd w:id="3912"/>
      <w:bookmarkEnd w:id="3913"/>
      <w:bookmarkEnd w:id="3914"/>
      <w:bookmarkEnd w:id="3915"/>
      <w:bookmarkEnd w:id="3916"/>
      <w:bookmarkEnd w:id="3917"/>
      <w:bookmarkEnd w:id="3918"/>
      <w:bookmarkEnd w:id="3919"/>
      <w:bookmarkEnd w:id="3920"/>
      <w:bookmarkEnd w:id="3921"/>
      <w:bookmarkEnd w:id="3922"/>
      <w:bookmarkEnd w:id="3923"/>
      <w:bookmarkEnd w:id="3924"/>
      <w:bookmarkEnd w:id="3925"/>
      <w:bookmarkEnd w:id="3926"/>
      <w:bookmarkEnd w:id="3927"/>
      <w:bookmarkEnd w:id="3928"/>
      <w:bookmarkEnd w:id="3929"/>
      <w:bookmarkEnd w:id="3930"/>
      <w:bookmarkEnd w:id="3931"/>
      <w:bookmarkEnd w:id="3932"/>
      <w:bookmarkEnd w:id="3933"/>
      <w:bookmarkEnd w:id="3934"/>
      <w:bookmarkEnd w:id="3935"/>
      <w:bookmarkEnd w:id="3936"/>
      <w:bookmarkEnd w:id="3937"/>
      <w:bookmarkEnd w:id="3938"/>
      <w:bookmarkEnd w:id="3939"/>
    </w:p>
    <w:p w:rsidR="00EC3243" w:rsidRPr="00EC3243" w:rsidRDefault="00EC3243" w:rsidP="00EC3243">
      <w:pPr>
        <w:pStyle w:val="Akapitzlist"/>
        <w:keepNext/>
        <w:numPr>
          <w:ilvl w:val="1"/>
          <w:numId w:val="212"/>
        </w:numPr>
        <w:spacing w:before="240" w:after="60" w:line="240" w:lineRule="auto"/>
        <w:outlineLvl w:val="2"/>
        <w:rPr>
          <w:rFonts w:eastAsia="Times New Roman" w:cs="Calibri"/>
          <w:b/>
          <w:bCs/>
          <w:vanish/>
          <w:color w:val="3366FF"/>
          <w:sz w:val="26"/>
          <w:szCs w:val="26"/>
          <w:lang w:eastAsia="pl-PL"/>
        </w:rPr>
      </w:pPr>
      <w:bookmarkStart w:id="3940" w:name="_Toc468104966"/>
      <w:bookmarkStart w:id="3941" w:name="_Toc468105092"/>
      <w:bookmarkStart w:id="3942" w:name="_Toc468105218"/>
      <w:bookmarkStart w:id="3943" w:name="_Toc468105344"/>
      <w:bookmarkStart w:id="3944" w:name="_Toc468105828"/>
      <w:bookmarkStart w:id="3945" w:name="_Toc468105955"/>
      <w:bookmarkStart w:id="3946" w:name="_Toc468116249"/>
      <w:bookmarkStart w:id="3947" w:name="_Toc468178205"/>
      <w:bookmarkStart w:id="3948" w:name="_Toc468181497"/>
      <w:bookmarkStart w:id="3949" w:name="_Toc468181624"/>
      <w:bookmarkStart w:id="3950" w:name="_Toc468181753"/>
      <w:bookmarkStart w:id="3951" w:name="_Toc468181920"/>
      <w:bookmarkStart w:id="3952" w:name="_Toc468185861"/>
      <w:bookmarkStart w:id="3953" w:name="_Toc468190793"/>
      <w:bookmarkStart w:id="3954" w:name="_Toc468190919"/>
      <w:bookmarkStart w:id="3955" w:name="_Toc468191411"/>
      <w:bookmarkStart w:id="3956" w:name="_Toc468258082"/>
      <w:bookmarkStart w:id="3957" w:name="_Toc468258313"/>
      <w:bookmarkStart w:id="3958" w:name="_Toc468258607"/>
      <w:bookmarkStart w:id="3959" w:name="_Toc468258736"/>
      <w:bookmarkStart w:id="3960" w:name="_Toc468258869"/>
      <w:bookmarkStart w:id="3961" w:name="_Toc468259000"/>
      <w:bookmarkStart w:id="3962" w:name="_Toc468259129"/>
      <w:bookmarkStart w:id="3963" w:name="_Toc468259258"/>
      <w:bookmarkStart w:id="3964" w:name="_Toc468259515"/>
      <w:bookmarkStart w:id="3965" w:name="_Toc468259647"/>
      <w:bookmarkStart w:id="3966" w:name="_Toc468259777"/>
      <w:bookmarkStart w:id="3967" w:name="_Toc468259906"/>
      <w:bookmarkStart w:id="3968" w:name="_Toc468260037"/>
      <w:bookmarkStart w:id="3969" w:name="_Toc468260166"/>
      <w:bookmarkStart w:id="3970" w:name="_Toc468260295"/>
      <w:bookmarkStart w:id="3971" w:name="_Toc468260424"/>
      <w:bookmarkStart w:id="3972" w:name="_Toc468260553"/>
      <w:bookmarkStart w:id="3973" w:name="_Toc468260682"/>
      <w:bookmarkStart w:id="3974" w:name="_Toc468260810"/>
      <w:bookmarkStart w:id="3975" w:name="_Toc468260941"/>
      <w:bookmarkStart w:id="3976" w:name="_Toc468261072"/>
      <w:bookmarkStart w:id="3977" w:name="_Toc468261203"/>
      <w:bookmarkStart w:id="3978" w:name="_Toc468261334"/>
      <w:bookmarkStart w:id="3979" w:name="_Toc468261465"/>
      <w:bookmarkStart w:id="3980" w:name="_Toc468266779"/>
      <w:bookmarkStart w:id="3981" w:name="_Toc468266907"/>
      <w:bookmarkStart w:id="3982" w:name="_Toc468267035"/>
      <w:bookmarkStart w:id="3983" w:name="_Toc468269446"/>
      <w:bookmarkStart w:id="3984" w:name="_Toc468279412"/>
      <w:bookmarkStart w:id="3985" w:name="_Toc468360264"/>
      <w:bookmarkStart w:id="3986" w:name="_Toc468361205"/>
      <w:bookmarkStart w:id="3987" w:name="_Toc468363435"/>
      <w:bookmarkStart w:id="3988" w:name="_Toc468366262"/>
      <w:bookmarkStart w:id="3989" w:name="_Toc468428352"/>
      <w:bookmarkStart w:id="3990" w:name="_Toc468691748"/>
      <w:bookmarkStart w:id="3991" w:name="_Toc468691875"/>
      <w:bookmarkStart w:id="3992" w:name="_Toc468692002"/>
      <w:bookmarkStart w:id="3993" w:name="_Toc468693956"/>
      <w:bookmarkStart w:id="3994" w:name="_Toc468712651"/>
      <w:bookmarkStart w:id="3995" w:name="_Toc468712779"/>
      <w:bookmarkStart w:id="3996" w:name="_Toc468712906"/>
      <w:bookmarkStart w:id="3997" w:name="_Toc468713033"/>
      <w:bookmarkStart w:id="3998" w:name="_Toc468713160"/>
      <w:bookmarkStart w:id="3999" w:name="_Toc468713287"/>
      <w:bookmarkStart w:id="4000" w:name="_Toc468713414"/>
      <w:bookmarkStart w:id="4001" w:name="_Toc468713541"/>
      <w:bookmarkStart w:id="4002" w:name="_Toc468713794"/>
      <w:bookmarkStart w:id="4003" w:name="_Toc468713921"/>
      <w:bookmarkStart w:id="4004" w:name="_Toc468714048"/>
      <w:bookmarkStart w:id="4005" w:name="_Toc468787057"/>
      <w:bookmarkStart w:id="4006" w:name="_Toc468787375"/>
      <w:bookmarkStart w:id="4007" w:name="_Toc468787503"/>
      <w:bookmarkStart w:id="4008" w:name="_Toc468787631"/>
      <w:bookmarkStart w:id="4009" w:name="_Toc468787758"/>
      <w:bookmarkStart w:id="4010" w:name="_Toc468787885"/>
      <w:bookmarkStart w:id="4011" w:name="_Toc468788012"/>
      <w:bookmarkStart w:id="4012" w:name="_Toc468957692"/>
      <w:bookmarkStart w:id="4013" w:name="_Toc468957819"/>
      <w:bookmarkStart w:id="4014" w:name="_Toc468957946"/>
      <w:bookmarkStart w:id="4015" w:name="_Toc468958073"/>
      <w:bookmarkStart w:id="4016" w:name="_Toc468958200"/>
      <w:bookmarkStart w:id="4017" w:name="_Toc468958327"/>
      <w:bookmarkStart w:id="4018" w:name="_Toc468958454"/>
      <w:bookmarkStart w:id="4019" w:name="_Toc468958581"/>
      <w:bookmarkStart w:id="4020" w:name="_Toc468958708"/>
      <w:bookmarkStart w:id="4021" w:name="_Toc468958835"/>
      <w:bookmarkStart w:id="4022" w:name="_Toc468958962"/>
      <w:bookmarkStart w:id="4023" w:name="_Toc468959089"/>
      <w:bookmarkStart w:id="4024" w:name="_Toc468960590"/>
      <w:bookmarkStart w:id="4025" w:name="_Toc469035063"/>
      <w:bookmarkStart w:id="4026" w:name="_Toc469056773"/>
      <w:bookmarkStart w:id="4027" w:name="_Toc469321085"/>
      <w:bookmarkStart w:id="4028" w:name="_Toc469323814"/>
      <w:bookmarkStart w:id="4029" w:name="_Toc469323940"/>
      <w:bookmarkStart w:id="4030" w:name="_Toc469324491"/>
      <w:bookmarkStart w:id="4031" w:name="_Toc470695369"/>
      <w:bookmarkStart w:id="4032" w:name="_Toc470695522"/>
      <w:bookmarkStart w:id="4033" w:name="_Toc470697026"/>
      <w:bookmarkStart w:id="4034" w:name="_Toc470699910"/>
      <w:bookmarkStart w:id="4035" w:name="_Toc470762756"/>
      <w:bookmarkStart w:id="4036" w:name="_Toc471114574"/>
      <w:bookmarkStart w:id="4037" w:name="_Toc474392990"/>
      <w:bookmarkStart w:id="4038" w:name="_Toc474497881"/>
      <w:bookmarkStart w:id="4039" w:name="_Toc474498640"/>
      <w:bookmarkStart w:id="4040" w:name="_Toc474844499"/>
      <w:bookmarkStart w:id="4041" w:name="_Toc474844626"/>
      <w:bookmarkStart w:id="4042" w:name="_Toc474919896"/>
      <w:bookmarkStart w:id="4043" w:name="_Toc474924905"/>
      <w:bookmarkEnd w:id="3940"/>
      <w:bookmarkEnd w:id="3941"/>
      <w:bookmarkEnd w:id="3942"/>
      <w:bookmarkEnd w:id="3943"/>
      <w:bookmarkEnd w:id="3944"/>
      <w:bookmarkEnd w:id="3945"/>
      <w:bookmarkEnd w:id="3946"/>
      <w:bookmarkEnd w:id="3947"/>
      <w:bookmarkEnd w:id="3948"/>
      <w:bookmarkEnd w:id="3949"/>
      <w:bookmarkEnd w:id="3950"/>
      <w:bookmarkEnd w:id="3951"/>
      <w:bookmarkEnd w:id="3952"/>
      <w:bookmarkEnd w:id="3953"/>
      <w:bookmarkEnd w:id="3954"/>
      <w:bookmarkEnd w:id="3955"/>
      <w:bookmarkEnd w:id="3956"/>
      <w:bookmarkEnd w:id="3957"/>
      <w:bookmarkEnd w:id="3958"/>
      <w:bookmarkEnd w:id="3959"/>
      <w:bookmarkEnd w:id="3960"/>
      <w:bookmarkEnd w:id="3961"/>
      <w:bookmarkEnd w:id="3962"/>
      <w:bookmarkEnd w:id="3963"/>
      <w:bookmarkEnd w:id="3964"/>
      <w:bookmarkEnd w:id="3965"/>
      <w:bookmarkEnd w:id="3966"/>
      <w:bookmarkEnd w:id="3967"/>
      <w:bookmarkEnd w:id="3968"/>
      <w:bookmarkEnd w:id="3969"/>
      <w:bookmarkEnd w:id="3970"/>
      <w:bookmarkEnd w:id="3971"/>
      <w:bookmarkEnd w:id="3972"/>
      <w:bookmarkEnd w:id="3973"/>
      <w:bookmarkEnd w:id="3974"/>
      <w:bookmarkEnd w:id="3975"/>
      <w:bookmarkEnd w:id="3976"/>
      <w:bookmarkEnd w:id="3977"/>
      <w:bookmarkEnd w:id="3978"/>
      <w:bookmarkEnd w:id="3979"/>
      <w:bookmarkEnd w:id="3980"/>
      <w:bookmarkEnd w:id="3981"/>
      <w:bookmarkEnd w:id="3982"/>
      <w:bookmarkEnd w:id="3983"/>
      <w:bookmarkEnd w:id="3984"/>
      <w:bookmarkEnd w:id="3985"/>
      <w:bookmarkEnd w:id="3986"/>
      <w:bookmarkEnd w:id="3987"/>
      <w:bookmarkEnd w:id="3988"/>
      <w:bookmarkEnd w:id="3989"/>
      <w:bookmarkEnd w:id="3990"/>
      <w:bookmarkEnd w:id="3991"/>
      <w:bookmarkEnd w:id="3992"/>
      <w:bookmarkEnd w:id="3993"/>
      <w:bookmarkEnd w:id="3994"/>
      <w:bookmarkEnd w:id="3995"/>
      <w:bookmarkEnd w:id="3996"/>
      <w:bookmarkEnd w:id="3997"/>
      <w:bookmarkEnd w:id="3998"/>
      <w:bookmarkEnd w:id="3999"/>
      <w:bookmarkEnd w:id="4000"/>
      <w:bookmarkEnd w:id="4001"/>
      <w:bookmarkEnd w:id="4002"/>
      <w:bookmarkEnd w:id="4003"/>
      <w:bookmarkEnd w:id="4004"/>
      <w:bookmarkEnd w:id="4005"/>
      <w:bookmarkEnd w:id="4006"/>
      <w:bookmarkEnd w:id="4007"/>
      <w:bookmarkEnd w:id="4008"/>
      <w:bookmarkEnd w:id="4009"/>
      <w:bookmarkEnd w:id="4010"/>
      <w:bookmarkEnd w:id="4011"/>
      <w:bookmarkEnd w:id="4012"/>
      <w:bookmarkEnd w:id="4013"/>
      <w:bookmarkEnd w:id="4014"/>
      <w:bookmarkEnd w:id="4015"/>
      <w:bookmarkEnd w:id="4016"/>
      <w:bookmarkEnd w:id="4017"/>
      <w:bookmarkEnd w:id="4018"/>
      <w:bookmarkEnd w:id="4019"/>
      <w:bookmarkEnd w:id="4020"/>
      <w:bookmarkEnd w:id="4021"/>
      <w:bookmarkEnd w:id="4022"/>
      <w:bookmarkEnd w:id="4023"/>
      <w:bookmarkEnd w:id="4024"/>
      <w:bookmarkEnd w:id="4025"/>
      <w:bookmarkEnd w:id="4026"/>
      <w:bookmarkEnd w:id="4027"/>
      <w:bookmarkEnd w:id="4028"/>
      <w:bookmarkEnd w:id="4029"/>
      <w:bookmarkEnd w:id="4030"/>
      <w:bookmarkEnd w:id="4031"/>
      <w:bookmarkEnd w:id="4032"/>
      <w:bookmarkEnd w:id="4033"/>
      <w:bookmarkEnd w:id="4034"/>
      <w:bookmarkEnd w:id="4035"/>
      <w:bookmarkEnd w:id="4036"/>
      <w:bookmarkEnd w:id="4037"/>
      <w:bookmarkEnd w:id="4038"/>
      <w:bookmarkEnd w:id="4039"/>
      <w:bookmarkEnd w:id="4040"/>
      <w:bookmarkEnd w:id="4041"/>
      <w:bookmarkEnd w:id="4042"/>
      <w:bookmarkEnd w:id="4043"/>
    </w:p>
    <w:p w:rsidR="001C2FD4" w:rsidRDefault="001C2FD4" w:rsidP="009968FD">
      <w:pPr>
        <w:pStyle w:val="Nagwek3"/>
        <w:numPr>
          <w:ilvl w:val="2"/>
          <w:numId w:val="228"/>
        </w:numPr>
      </w:pPr>
      <w:bookmarkStart w:id="4044" w:name="_Toc474924906"/>
      <w:r>
        <w:t>Bezrobocie</w:t>
      </w:r>
      <w:bookmarkEnd w:id="3483"/>
      <w:bookmarkEnd w:id="4044"/>
    </w:p>
    <w:p w:rsidR="003070A3" w:rsidRPr="003070A3" w:rsidRDefault="003070A3" w:rsidP="003070A3"/>
    <w:p w:rsidR="005260B6" w:rsidRDefault="005260B6" w:rsidP="00086117">
      <w:pPr>
        <w:ind w:firstLine="708"/>
        <w:jc w:val="both"/>
        <w:rPr>
          <w:rFonts w:ascii="Calibri" w:hAnsi="Calibri" w:cs="Calibri"/>
          <w:szCs w:val="20"/>
        </w:rPr>
      </w:pPr>
      <w:r w:rsidRPr="009717A5">
        <w:rPr>
          <w:rFonts w:ascii="Calibri" w:hAnsi="Calibri" w:cs="Calibri"/>
          <w:szCs w:val="20"/>
        </w:rPr>
        <w:t>Bezrobocie należy do najpoważniejszych i najtrudniejszych do rozwiązania problemów obszaru rewitalizacji. Mówią o tym zarówno liczne analizy sytuacji Bytomia, jak i wyniki badań ankietowych przeprowadzanych z mieszkańcami w ramach konsultacji społecznych.</w:t>
      </w:r>
      <w:r w:rsidR="00AD27E2" w:rsidRPr="009717A5">
        <w:rPr>
          <w:rFonts w:ascii="Calibri" w:hAnsi="Calibri" w:cs="Calibri"/>
          <w:szCs w:val="20"/>
        </w:rPr>
        <w:t xml:space="preserve"> </w:t>
      </w:r>
      <w:r w:rsidRPr="009717A5">
        <w:rPr>
          <w:rFonts w:ascii="Calibri" w:hAnsi="Calibri" w:cs="Calibri"/>
          <w:szCs w:val="20"/>
        </w:rPr>
        <w:t xml:space="preserve">W Bytomiu co druga osoba bezrobotna mieszka na obszarze rewitalizacji. </w:t>
      </w:r>
      <w:r w:rsidRPr="009717A5">
        <w:rPr>
          <w:rFonts w:ascii="Calibri" w:hAnsi="Calibri" w:cs="Calibri"/>
          <w:b/>
          <w:bCs/>
          <w:color w:val="C00000"/>
          <w:szCs w:val="20"/>
        </w:rPr>
        <w:t xml:space="preserve">Bezrobocie przekraczające średnią dla miasta występuje </w:t>
      </w:r>
      <w:r w:rsidR="0045204D" w:rsidRPr="009717A5">
        <w:rPr>
          <w:rFonts w:ascii="Calibri" w:hAnsi="Calibri" w:cs="Calibri"/>
          <w:b/>
          <w:bCs/>
          <w:color w:val="C00000"/>
          <w:szCs w:val="20"/>
        </w:rPr>
        <w:t>na obszarze zdegradowanym, w tym w szczególności na obszarze rewitalizacji</w:t>
      </w:r>
      <w:r w:rsidRPr="009717A5">
        <w:rPr>
          <w:rFonts w:ascii="Calibri" w:hAnsi="Calibri" w:cs="Calibri"/>
          <w:b/>
          <w:bCs/>
          <w:color w:val="C00000"/>
          <w:szCs w:val="20"/>
        </w:rPr>
        <w:t>.</w:t>
      </w:r>
      <w:r w:rsidRPr="009717A5">
        <w:rPr>
          <w:rFonts w:ascii="Calibri" w:hAnsi="Calibri" w:cs="Calibri"/>
          <w:szCs w:val="20"/>
        </w:rPr>
        <w:t xml:space="preserve"> </w:t>
      </w:r>
      <w:r w:rsidR="00B17251" w:rsidRPr="009717A5">
        <w:rPr>
          <w:rFonts w:ascii="Calibri" w:hAnsi="Calibri" w:cs="Calibri"/>
          <w:szCs w:val="20"/>
        </w:rPr>
        <w:t>Łącznie m</w:t>
      </w:r>
      <w:r w:rsidRPr="009717A5">
        <w:rPr>
          <w:rFonts w:ascii="Calibri" w:hAnsi="Calibri" w:cs="Calibri"/>
          <w:szCs w:val="20"/>
        </w:rPr>
        <w:t xml:space="preserve">ieszka </w:t>
      </w:r>
      <w:r w:rsidR="0045204D" w:rsidRPr="009717A5">
        <w:rPr>
          <w:rFonts w:ascii="Calibri" w:hAnsi="Calibri" w:cs="Calibri"/>
          <w:szCs w:val="20"/>
        </w:rPr>
        <w:t xml:space="preserve">tu </w:t>
      </w:r>
      <w:r w:rsidRPr="009717A5">
        <w:rPr>
          <w:rFonts w:ascii="Calibri" w:hAnsi="Calibri" w:cs="Calibri"/>
          <w:szCs w:val="20"/>
        </w:rPr>
        <w:t>ponad 4</w:t>
      </w:r>
      <w:r w:rsidR="006B0941" w:rsidRPr="009717A5">
        <w:rPr>
          <w:rFonts w:ascii="Calibri" w:hAnsi="Calibri" w:cs="Calibri"/>
          <w:szCs w:val="20"/>
        </w:rPr>
        <w:t xml:space="preserve"> </w:t>
      </w:r>
      <w:r w:rsidRPr="009717A5">
        <w:rPr>
          <w:rFonts w:ascii="Calibri" w:hAnsi="Calibri" w:cs="Calibri"/>
          <w:szCs w:val="20"/>
        </w:rPr>
        <w:t>000 osób bezrobotnych.</w:t>
      </w:r>
    </w:p>
    <w:p w:rsidR="005260B6" w:rsidRDefault="005260B6" w:rsidP="005260B6">
      <w:pPr>
        <w:ind w:firstLine="708"/>
        <w:jc w:val="both"/>
        <w:rPr>
          <w:rFonts w:ascii="Calibri" w:hAnsi="Calibri" w:cs="Calibri"/>
          <w:szCs w:val="20"/>
        </w:rPr>
      </w:pPr>
      <w:r>
        <w:rPr>
          <w:rFonts w:ascii="Calibri" w:hAnsi="Calibri" w:cs="Calibri"/>
          <w:szCs w:val="20"/>
        </w:rPr>
        <w:t xml:space="preserve">Analizując zjawisko bezrobocia należy zwrócić uwagę na </w:t>
      </w:r>
      <w:r>
        <w:rPr>
          <w:rFonts w:ascii="Calibri" w:hAnsi="Calibri" w:cs="Calibri"/>
          <w:b/>
          <w:bCs/>
          <w:color w:val="C00000"/>
          <w:szCs w:val="20"/>
        </w:rPr>
        <w:t>niewielki – i malejący – odsetek osób aktywnych zawodowo zarówno w całym mieście, jak na obszarze rewitalizacji</w:t>
      </w:r>
      <w:r>
        <w:rPr>
          <w:rFonts w:ascii="Calibri" w:hAnsi="Calibri" w:cs="Calibri"/>
          <w:color w:val="FF0000"/>
          <w:szCs w:val="20"/>
        </w:rPr>
        <w:t>.</w:t>
      </w:r>
      <w:r>
        <w:rPr>
          <w:rFonts w:ascii="Calibri" w:hAnsi="Calibri" w:cs="Calibri"/>
          <w:szCs w:val="20"/>
        </w:rPr>
        <w:t xml:space="preserve"> Wieloletnie, silne związki miasta z branżą górniczą w połączeniu z uprawnieniami do wcześniejszej emerytury, które przysługują górnikom powodują, że grupa osób aktywnych zawodowo w relacji do całej populacji jest w Bytomiu znacznie mniejsza niż w większości miast. Ma to znaczny wpływ na wartości stosowanego standardowo wskaźnika – stopę bezrobocia rejestrowanego definiowaną jako udział osób bezrobotnych w liczbie osób aktywnych zawodowo. Wynosi ona w Bytomiu, aż 17,8%, niemal dwukrotnie przekraczając wskaźnik dla Polski (9,8%)</w:t>
      </w:r>
      <w:r>
        <w:rPr>
          <w:rStyle w:val="Odwoanieprzypisudolnego"/>
          <w:rFonts w:ascii="Calibri" w:hAnsi="Calibri" w:cs="Calibri"/>
          <w:szCs w:val="20"/>
        </w:rPr>
        <w:footnoteReference w:id="8"/>
      </w:r>
      <w:r>
        <w:rPr>
          <w:rFonts w:ascii="Calibri" w:hAnsi="Calibri" w:cs="Calibri"/>
          <w:szCs w:val="20"/>
        </w:rPr>
        <w:t xml:space="preserve">.  </w:t>
      </w:r>
    </w:p>
    <w:p w:rsidR="005260B6" w:rsidRDefault="005260B6" w:rsidP="005260B6">
      <w:pPr>
        <w:ind w:firstLine="708"/>
        <w:jc w:val="both"/>
        <w:rPr>
          <w:rFonts w:ascii="Calibri" w:hAnsi="Calibri" w:cs="Calibri"/>
          <w:b/>
          <w:bCs/>
          <w:color w:val="C00000"/>
          <w:szCs w:val="20"/>
        </w:rPr>
      </w:pPr>
      <w:r>
        <w:rPr>
          <w:rFonts w:ascii="Calibri" w:hAnsi="Calibri" w:cs="Calibri"/>
          <w:szCs w:val="20"/>
        </w:rPr>
        <w:lastRenderedPageBreak/>
        <w:t>Zastosowanie innego wskaźnika - udziału liczby bezrobotnych w liczbie osób w wieku produkcyjnym - również potwierdza bardzo złą sytuację na rynku pracy. Różnice między Bytomiem a krajem nie są w przypadku tego wskaźnika już tak wysokie i lepiej odzwierciedla on rzeczywistą skalę problemu. Wskaźnik ten wyniósł dla Bytomia w 2015 r. 8,6%, a dla Polski 6,5%. W tabeli zestawiono jego wartość od 2004 r. w Bytomiu, w kraju i województwie. Na początku okresu niekorzystna różnica między Bytomiem</w:t>
      </w:r>
      <w:r w:rsidR="000E042E">
        <w:rPr>
          <w:rFonts w:ascii="Calibri" w:hAnsi="Calibri" w:cs="Calibri"/>
          <w:szCs w:val="20"/>
        </w:rPr>
        <w:t>,</w:t>
      </w:r>
      <w:r>
        <w:rPr>
          <w:rFonts w:ascii="Calibri" w:hAnsi="Calibri" w:cs="Calibri"/>
          <w:szCs w:val="20"/>
        </w:rPr>
        <w:t xml:space="preserve"> a Polską szybko malała, co dawało nadzieję na trwałą poprawę sytuacji. W 2008 i 2009 r. wskaźnik dla Bytomia osiągnął nawet wartość niższą niż w kraju. W kolejnych latach trend odwrócił się i obecnie </w:t>
      </w:r>
      <w:r>
        <w:rPr>
          <w:rFonts w:ascii="Calibri" w:hAnsi="Calibri" w:cs="Calibri"/>
          <w:b/>
          <w:bCs/>
          <w:color w:val="C00000"/>
          <w:szCs w:val="20"/>
        </w:rPr>
        <w:t>udział bezrobotnych w liczbie osób w wieku produkcyjnym jest w Bytomiu wyższy aż o 2,1 p</w:t>
      </w:r>
      <w:r w:rsidR="00DB5A6F">
        <w:rPr>
          <w:rFonts w:ascii="Calibri" w:hAnsi="Calibri" w:cs="Calibri"/>
          <w:b/>
          <w:bCs/>
          <w:color w:val="C00000"/>
          <w:szCs w:val="20"/>
        </w:rPr>
        <w:t>.</w:t>
      </w:r>
      <w:r>
        <w:rPr>
          <w:rFonts w:ascii="Calibri" w:hAnsi="Calibri" w:cs="Calibri"/>
          <w:b/>
          <w:bCs/>
          <w:color w:val="C00000"/>
          <w:szCs w:val="20"/>
        </w:rPr>
        <w:t>p. od średniego w Polsce i o 3,4 p.p. od średniego na Śląsku, z tendencją do pogłębiania różnicy</w:t>
      </w:r>
      <w:r>
        <w:rPr>
          <w:rFonts w:ascii="Calibri" w:hAnsi="Calibri" w:cs="Calibri"/>
          <w:color w:val="C00000"/>
          <w:szCs w:val="20"/>
        </w:rPr>
        <w:t>.</w:t>
      </w:r>
      <w:r w:rsidR="00E8685D">
        <w:rPr>
          <w:rFonts w:ascii="Calibri" w:hAnsi="Calibri" w:cs="Calibri"/>
          <w:szCs w:val="20"/>
        </w:rPr>
        <w:t xml:space="preserve"> Jest to niepokojący trend, wskazujący, że</w:t>
      </w:r>
      <w:r w:rsidR="00E8685D" w:rsidRPr="00E8685D">
        <w:rPr>
          <w:rFonts w:ascii="Calibri" w:hAnsi="Calibri" w:cs="Calibri"/>
          <w:b/>
          <w:bCs/>
          <w:color w:val="C00000"/>
          <w:szCs w:val="20"/>
        </w:rPr>
        <w:t xml:space="preserve"> w Bytomiu</w:t>
      </w:r>
      <w:r w:rsidR="00E8685D" w:rsidRPr="00E8685D">
        <w:rPr>
          <w:rFonts w:ascii="Calibri" w:hAnsi="Calibri" w:cs="Calibri"/>
          <w:b/>
          <w:color w:val="C00000"/>
          <w:szCs w:val="20"/>
        </w:rPr>
        <w:t xml:space="preserve"> </w:t>
      </w:r>
      <w:r w:rsidRPr="00E8685D">
        <w:rPr>
          <w:rFonts w:ascii="Calibri" w:hAnsi="Calibri" w:cs="Calibri"/>
          <w:b/>
          <w:bCs/>
          <w:color w:val="C00000"/>
          <w:szCs w:val="20"/>
        </w:rPr>
        <w:t>nie</w:t>
      </w:r>
      <w:r>
        <w:rPr>
          <w:rFonts w:ascii="Calibri" w:hAnsi="Calibri" w:cs="Calibri"/>
          <w:b/>
          <w:bCs/>
          <w:color w:val="C00000"/>
          <w:szCs w:val="20"/>
        </w:rPr>
        <w:t xml:space="preserve"> występują naturalne mechanizmy, które mogłyby zmienić ten stan. </w:t>
      </w:r>
    </w:p>
    <w:p w:rsidR="005260B6" w:rsidRDefault="005260B6" w:rsidP="005260B6">
      <w:pPr>
        <w:ind w:firstLine="708"/>
        <w:jc w:val="both"/>
        <w:rPr>
          <w:rFonts w:ascii="Calibri" w:hAnsi="Calibri" w:cs="Calibri"/>
          <w:b/>
          <w:bCs/>
          <w:color w:val="C00000"/>
          <w:szCs w:val="20"/>
        </w:rPr>
      </w:pPr>
    </w:p>
    <w:p w:rsidR="005260B6" w:rsidRDefault="005260B6" w:rsidP="005260B6">
      <w:pPr>
        <w:pStyle w:val="Legenda"/>
        <w:spacing w:line="312" w:lineRule="auto"/>
        <w:jc w:val="both"/>
        <w:rPr>
          <w:rFonts w:ascii="Calibri" w:hAnsi="Calibri" w:cs="Calibri"/>
        </w:rPr>
      </w:pPr>
      <w:bookmarkStart w:id="4045" w:name="_Toc202771099"/>
      <w:r>
        <w:rPr>
          <w:rFonts w:ascii="Calibri" w:hAnsi="Calibri" w:cs="Calibri"/>
        </w:rPr>
        <w:t xml:space="preserve">Tabela </w:t>
      </w:r>
      <w:r w:rsidR="003972D8">
        <w:rPr>
          <w:rFonts w:ascii="Calibri" w:hAnsi="Calibri" w:cs="Calibri"/>
        </w:rPr>
        <w:fldChar w:fldCharType="begin"/>
      </w:r>
      <w:r>
        <w:rPr>
          <w:rFonts w:ascii="Calibri" w:hAnsi="Calibri" w:cs="Calibri"/>
        </w:rPr>
        <w:instrText xml:space="preserve"> SEQ Tabela \* ARABIC </w:instrText>
      </w:r>
      <w:r w:rsidR="003972D8">
        <w:rPr>
          <w:rFonts w:ascii="Calibri" w:hAnsi="Calibri" w:cs="Calibri"/>
        </w:rPr>
        <w:fldChar w:fldCharType="separate"/>
      </w:r>
      <w:r w:rsidR="00413FFE">
        <w:rPr>
          <w:rFonts w:ascii="Calibri" w:hAnsi="Calibri" w:cs="Calibri"/>
          <w:noProof/>
        </w:rPr>
        <w:t>5</w:t>
      </w:r>
      <w:r w:rsidR="003972D8">
        <w:rPr>
          <w:rFonts w:ascii="Calibri" w:hAnsi="Calibri" w:cs="Calibri"/>
        </w:rPr>
        <w:fldChar w:fldCharType="end"/>
      </w:r>
      <w:r>
        <w:rPr>
          <w:rFonts w:ascii="Calibri" w:hAnsi="Calibri" w:cs="Calibri"/>
          <w:noProof/>
        </w:rPr>
        <w:t>.</w:t>
      </w:r>
      <w:r>
        <w:rPr>
          <w:rFonts w:ascii="Calibri" w:hAnsi="Calibri" w:cs="Calibri"/>
        </w:rPr>
        <w:t xml:space="preserve"> Udział osób bezrobotnych w populacji osób w wieku produkcyjnym</w:t>
      </w:r>
      <w:bookmarkEnd w:id="4045"/>
      <w:r>
        <w:rPr>
          <w:rFonts w:ascii="Calibri" w:hAnsi="Calibri" w:cs="Calibri"/>
        </w:rPr>
        <w:t xml:space="preserve"> </w:t>
      </w:r>
    </w:p>
    <w:tbl>
      <w:tblPr>
        <w:tblW w:w="9200" w:type="dxa"/>
        <w:tblInd w:w="-68" w:type="dxa"/>
        <w:tblCellMar>
          <w:left w:w="70" w:type="dxa"/>
          <w:right w:w="70" w:type="dxa"/>
        </w:tblCellMar>
        <w:tblLook w:val="0000"/>
      </w:tblPr>
      <w:tblGrid>
        <w:gridCol w:w="1900"/>
        <w:gridCol w:w="580"/>
        <w:gridCol w:w="560"/>
        <w:gridCol w:w="560"/>
        <w:gridCol w:w="560"/>
        <w:gridCol w:w="560"/>
        <w:gridCol w:w="560"/>
        <w:gridCol w:w="560"/>
        <w:gridCol w:w="560"/>
        <w:gridCol w:w="560"/>
        <w:gridCol w:w="560"/>
        <w:gridCol w:w="560"/>
        <w:gridCol w:w="560"/>
        <w:gridCol w:w="560"/>
      </w:tblGrid>
      <w:tr w:rsidR="005260B6" w:rsidRPr="00A50C70" w:rsidTr="00B4563B">
        <w:trPr>
          <w:trHeight w:val="300"/>
        </w:trPr>
        <w:tc>
          <w:tcPr>
            <w:tcW w:w="1900" w:type="dxa"/>
            <w:tcBorders>
              <w:top w:val="single" w:sz="4" w:space="0" w:color="auto"/>
              <w:left w:val="single" w:sz="4" w:space="0" w:color="auto"/>
              <w:bottom w:val="single" w:sz="4" w:space="0" w:color="auto"/>
              <w:right w:val="single" w:sz="4" w:space="0" w:color="auto"/>
            </w:tcBorders>
            <w:shd w:val="clear" w:color="auto" w:fill="99CCFF"/>
            <w:noWrap/>
            <w:vAlign w:val="center"/>
          </w:tcPr>
          <w:p w:rsidR="005260B6" w:rsidRPr="00A50C70" w:rsidRDefault="005260B6" w:rsidP="00B4563B">
            <w:pPr>
              <w:jc w:val="center"/>
              <w:rPr>
                <w:rFonts w:ascii="Calibri" w:eastAsiaTheme="minorEastAsia" w:hAnsi="Calibri" w:cs="Calibri"/>
                <w:b/>
                <w:bCs/>
                <w:szCs w:val="20"/>
              </w:rPr>
            </w:pPr>
            <w:r w:rsidRPr="00A50C70">
              <w:rPr>
                <w:rFonts w:ascii="Calibri" w:eastAsiaTheme="minorEastAsia" w:hAnsi="Calibri" w:cs="Calibri"/>
                <w:b/>
                <w:bCs/>
                <w:szCs w:val="20"/>
              </w:rPr>
              <w:t>Wyszczególnienie</w:t>
            </w:r>
          </w:p>
        </w:tc>
        <w:tc>
          <w:tcPr>
            <w:tcW w:w="580" w:type="dxa"/>
            <w:tcBorders>
              <w:top w:val="single" w:sz="4" w:space="0" w:color="auto"/>
              <w:left w:val="nil"/>
              <w:bottom w:val="single" w:sz="4" w:space="0" w:color="auto"/>
              <w:right w:val="single" w:sz="4" w:space="0" w:color="auto"/>
            </w:tcBorders>
            <w:shd w:val="clear" w:color="auto" w:fill="99CCFF"/>
            <w:noWrap/>
            <w:vAlign w:val="center"/>
          </w:tcPr>
          <w:p w:rsidR="005260B6" w:rsidRPr="00A50C70" w:rsidRDefault="005260B6" w:rsidP="00B4563B">
            <w:pPr>
              <w:jc w:val="center"/>
              <w:rPr>
                <w:rFonts w:ascii="Calibri" w:eastAsiaTheme="minorEastAsia" w:hAnsi="Calibri" w:cs="Calibri"/>
                <w:b/>
                <w:bCs/>
                <w:szCs w:val="20"/>
              </w:rPr>
            </w:pPr>
          </w:p>
        </w:tc>
        <w:tc>
          <w:tcPr>
            <w:tcW w:w="560" w:type="dxa"/>
            <w:tcBorders>
              <w:top w:val="single" w:sz="4" w:space="0" w:color="auto"/>
              <w:left w:val="nil"/>
              <w:bottom w:val="single" w:sz="4" w:space="0" w:color="auto"/>
              <w:right w:val="single" w:sz="4" w:space="0" w:color="auto"/>
            </w:tcBorders>
            <w:shd w:val="clear" w:color="auto" w:fill="99CCFF"/>
            <w:vAlign w:val="center"/>
          </w:tcPr>
          <w:p w:rsidR="005260B6" w:rsidRPr="00A50C70" w:rsidRDefault="005260B6" w:rsidP="00B4563B">
            <w:pPr>
              <w:jc w:val="center"/>
              <w:rPr>
                <w:rFonts w:ascii="Calibri" w:eastAsiaTheme="minorEastAsia" w:hAnsi="Calibri" w:cs="Calibri"/>
                <w:b/>
                <w:bCs/>
                <w:color w:val="000000"/>
                <w:szCs w:val="20"/>
              </w:rPr>
            </w:pPr>
            <w:r w:rsidRPr="00A50C70">
              <w:rPr>
                <w:rFonts w:ascii="Calibri" w:eastAsiaTheme="minorEastAsia" w:hAnsi="Calibri" w:cs="Calibri"/>
                <w:b/>
                <w:bCs/>
                <w:color w:val="000000"/>
                <w:szCs w:val="20"/>
              </w:rPr>
              <w:t>2004</w:t>
            </w:r>
          </w:p>
        </w:tc>
        <w:tc>
          <w:tcPr>
            <w:tcW w:w="560" w:type="dxa"/>
            <w:tcBorders>
              <w:top w:val="single" w:sz="4" w:space="0" w:color="auto"/>
              <w:left w:val="nil"/>
              <w:bottom w:val="single" w:sz="4" w:space="0" w:color="auto"/>
              <w:right w:val="single" w:sz="4" w:space="0" w:color="auto"/>
            </w:tcBorders>
            <w:shd w:val="clear" w:color="auto" w:fill="99CCFF"/>
            <w:vAlign w:val="center"/>
          </w:tcPr>
          <w:p w:rsidR="005260B6" w:rsidRPr="00A50C70" w:rsidRDefault="005260B6" w:rsidP="00B4563B">
            <w:pPr>
              <w:jc w:val="center"/>
              <w:rPr>
                <w:rFonts w:ascii="Calibri" w:eastAsiaTheme="minorEastAsia" w:hAnsi="Calibri" w:cs="Calibri"/>
                <w:b/>
                <w:bCs/>
                <w:color w:val="000000"/>
                <w:szCs w:val="20"/>
              </w:rPr>
            </w:pPr>
            <w:r w:rsidRPr="00A50C70">
              <w:rPr>
                <w:rFonts w:ascii="Calibri" w:eastAsiaTheme="minorEastAsia" w:hAnsi="Calibri" w:cs="Calibri"/>
                <w:b/>
                <w:bCs/>
                <w:color w:val="000000"/>
                <w:szCs w:val="20"/>
              </w:rPr>
              <w:t>2005</w:t>
            </w:r>
          </w:p>
        </w:tc>
        <w:tc>
          <w:tcPr>
            <w:tcW w:w="560" w:type="dxa"/>
            <w:tcBorders>
              <w:top w:val="single" w:sz="4" w:space="0" w:color="auto"/>
              <w:left w:val="nil"/>
              <w:bottom w:val="single" w:sz="4" w:space="0" w:color="auto"/>
              <w:right w:val="single" w:sz="4" w:space="0" w:color="auto"/>
            </w:tcBorders>
            <w:shd w:val="clear" w:color="auto" w:fill="99CCFF"/>
            <w:vAlign w:val="center"/>
          </w:tcPr>
          <w:p w:rsidR="005260B6" w:rsidRPr="00A50C70" w:rsidRDefault="005260B6" w:rsidP="00B4563B">
            <w:pPr>
              <w:jc w:val="center"/>
              <w:rPr>
                <w:rFonts w:ascii="Calibri" w:eastAsiaTheme="minorEastAsia" w:hAnsi="Calibri" w:cs="Calibri"/>
                <w:b/>
                <w:bCs/>
                <w:color w:val="000000"/>
                <w:szCs w:val="20"/>
              </w:rPr>
            </w:pPr>
            <w:r w:rsidRPr="00A50C70">
              <w:rPr>
                <w:rFonts w:ascii="Calibri" w:eastAsiaTheme="minorEastAsia" w:hAnsi="Calibri" w:cs="Calibri"/>
                <w:b/>
                <w:bCs/>
                <w:color w:val="000000"/>
                <w:szCs w:val="20"/>
              </w:rPr>
              <w:t>2006</w:t>
            </w:r>
          </w:p>
        </w:tc>
        <w:tc>
          <w:tcPr>
            <w:tcW w:w="560" w:type="dxa"/>
            <w:tcBorders>
              <w:top w:val="single" w:sz="4" w:space="0" w:color="auto"/>
              <w:left w:val="nil"/>
              <w:bottom w:val="single" w:sz="4" w:space="0" w:color="auto"/>
              <w:right w:val="single" w:sz="4" w:space="0" w:color="auto"/>
            </w:tcBorders>
            <w:shd w:val="clear" w:color="auto" w:fill="99CCFF"/>
            <w:vAlign w:val="center"/>
          </w:tcPr>
          <w:p w:rsidR="005260B6" w:rsidRPr="00A50C70" w:rsidRDefault="005260B6" w:rsidP="00B4563B">
            <w:pPr>
              <w:jc w:val="center"/>
              <w:rPr>
                <w:rFonts w:ascii="Calibri" w:eastAsiaTheme="minorEastAsia" w:hAnsi="Calibri" w:cs="Calibri"/>
                <w:b/>
                <w:bCs/>
                <w:color w:val="000000"/>
                <w:szCs w:val="20"/>
              </w:rPr>
            </w:pPr>
            <w:r w:rsidRPr="00A50C70">
              <w:rPr>
                <w:rFonts w:ascii="Calibri" w:eastAsiaTheme="minorEastAsia" w:hAnsi="Calibri" w:cs="Calibri"/>
                <w:b/>
                <w:bCs/>
                <w:color w:val="000000"/>
                <w:szCs w:val="20"/>
              </w:rPr>
              <w:t>2007</w:t>
            </w:r>
          </w:p>
        </w:tc>
        <w:tc>
          <w:tcPr>
            <w:tcW w:w="560" w:type="dxa"/>
            <w:tcBorders>
              <w:top w:val="single" w:sz="4" w:space="0" w:color="auto"/>
              <w:left w:val="nil"/>
              <w:bottom w:val="single" w:sz="4" w:space="0" w:color="auto"/>
              <w:right w:val="single" w:sz="4" w:space="0" w:color="auto"/>
            </w:tcBorders>
            <w:shd w:val="clear" w:color="auto" w:fill="99CCFF"/>
            <w:vAlign w:val="center"/>
          </w:tcPr>
          <w:p w:rsidR="005260B6" w:rsidRPr="00A50C70" w:rsidRDefault="005260B6" w:rsidP="00B4563B">
            <w:pPr>
              <w:jc w:val="center"/>
              <w:rPr>
                <w:rFonts w:ascii="Calibri" w:eastAsiaTheme="minorEastAsia" w:hAnsi="Calibri" w:cs="Calibri"/>
                <w:b/>
                <w:bCs/>
                <w:color w:val="000000"/>
                <w:szCs w:val="20"/>
              </w:rPr>
            </w:pPr>
            <w:r w:rsidRPr="00A50C70">
              <w:rPr>
                <w:rFonts w:ascii="Calibri" w:eastAsiaTheme="minorEastAsia" w:hAnsi="Calibri" w:cs="Calibri"/>
                <w:b/>
                <w:bCs/>
                <w:color w:val="000000"/>
                <w:szCs w:val="20"/>
              </w:rPr>
              <w:t>2008</w:t>
            </w:r>
          </w:p>
        </w:tc>
        <w:tc>
          <w:tcPr>
            <w:tcW w:w="560" w:type="dxa"/>
            <w:tcBorders>
              <w:top w:val="single" w:sz="4" w:space="0" w:color="auto"/>
              <w:left w:val="nil"/>
              <w:bottom w:val="single" w:sz="4" w:space="0" w:color="auto"/>
              <w:right w:val="single" w:sz="4" w:space="0" w:color="auto"/>
            </w:tcBorders>
            <w:shd w:val="clear" w:color="auto" w:fill="99CCFF"/>
            <w:vAlign w:val="center"/>
          </w:tcPr>
          <w:p w:rsidR="005260B6" w:rsidRPr="00A50C70" w:rsidRDefault="005260B6" w:rsidP="00B4563B">
            <w:pPr>
              <w:jc w:val="center"/>
              <w:rPr>
                <w:rFonts w:ascii="Calibri" w:eastAsiaTheme="minorEastAsia" w:hAnsi="Calibri" w:cs="Calibri"/>
                <w:b/>
                <w:bCs/>
                <w:color w:val="000000"/>
                <w:szCs w:val="20"/>
              </w:rPr>
            </w:pPr>
            <w:r w:rsidRPr="00A50C70">
              <w:rPr>
                <w:rFonts w:ascii="Calibri" w:eastAsiaTheme="minorEastAsia" w:hAnsi="Calibri" w:cs="Calibri"/>
                <w:b/>
                <w:bCs/>
                <w:color w:val="000000"/>
                <w:szCs w:val="20"/>
              </w:rPr>
              <w:t>2009</w:t>
            </w:r>
          </w:p>
        </w:tc>
        <w:tc>
          <w:tcPr>
            <w:tcW w:w="560" w:type="dxa"/>
            <w:tcBorders>
              <w:top w:val="single" w:sz="4" w:space="0" w:color="auto"/>
              <w:left w:val="nil"/>
              <w:bottom w:val="single" w:sz="4" w:space="0" w:color="auto"/>
              <w:right w:val="single" w:sz="4" w:space="0" w:color="auto"/>
            </w:tcBorders>
            <w:shd w:val="clear" w:color="auto" w:fill="99CCFF"/>
            <w:vAlign w:val="center"/>
          </w:tcPr>
          <w:p w:rsidR="005260B6" w:rsidRPr="00A50C70" w:rsidRDefault="005260B6" w:rsidP="00B4563B">
            <w:pPr>
              <w:jc w:val="center"/>
              <w:rPr>
                <w:rFonts w:ascii="Calibri" w:eastAsiaTheme="minorEastAsia" w:hAnsi="Calibri" w:cs="Calibri"/>
                <w:b/>
                <w:bCs/>
                <w:color w:val="000000"/>
                <w:szCs w:val="20"/>
              </w:rPr>
            </w:pPr>
            <w:r w:rsidRPr="00A50C70">
              <w:rPr>
                <w:rFonts w:ascii="Calibri" w:eastAsiaTheme="minorEastAsia" w:hAnsi="Calibri" w:cs="Calibri"/>
                <w:b/>
                <w:bCs/>
                <w:color w:val="000000"/>
                <w:szCs w:val="20"/>
              </w:rPr>
              <w:t>2010</w:t>
            </w:r>
          </w:p>
        </w:tc>
        <w:tc>
          <w:tcPr>
            <w:tcW w:w="560" w:type="dxa"/>
            <w:tcBorders>
              <w:top w:val="single" w:sz="4" w:space="0" w:color="auto"/>
              <w:left w:val="nil"/>
              <w:bottom w:val="single" w:sz="4" w:space="0" w:color="auto"/>
              <w:right w:val="single" w:sz="4" w:space="0" w:color="auto"/>
            </w:tcBorders>
            <w:shd w:val="clear" w:color="auto" w:fill="99CCFF"/>
            <w:vAlign w:val="center"/>
          </w:tcPr>
          <w:p w:rsidR="005260B6" w:rsidRPr="00A50C70" w:rsidRDefault="005260B6" w:rsidP="00B4563B">
            <w:pPr>
              <w:jc w:val="center"/>
              <w:rPr>
                <w:rFonts w:ascii="Calibri" w:eastAsiaTheme="minorEastAsia" w:hAnsi="Calibri" w:cs="Calibri"/>
                <w:b/>
                <w:bCs/>
                <w:color w:val="000000"/>
                <w:szCs w:val="20"/>
              </w:rPr>
            </w:pPr>
            <w:r w:rsidRPr="00A50C70">
              <w:rPr>
                <w:rFonts w:ascii="Calibri" w:eastAsiaTheme="minorEastAsia" w:hAnsi="Calibri" w:cs="Calibri"/>
                <w:b/>
                <w:bCs/>
                <w:color w:val="000000"/>
                <w:szCs w:val="20"/>
              </w:rPr>
              <w:t>2011</w:t>
            </w:r>
          </w:p>
        </w:tc>
        <w:tc>
          <w:tcPr>
            <w:tcW w:w="560" w:type="dxa"/>
            <w:tcBorders>
              <w:top w:val="single" w:sz="4" w:space="0" w:color="auto"/>
              <w:left w:val="nil"/>
              <w:bottom w:val="single" w:sz="4" w:space="0" w:color="auto"/>
              <w:right w:val="single" w:sz="4" w:space="0" w:color="auto"/>
            </w:tcBorders>
            <w:shd w:val="clear" w:color="auto" w:fill="99CCFF"/>
            <w:vAlign w:val="center"/>
          </w:tcPr>
          <w:p w:rsidR="005260B6" w:rsidRPr="00A50C70" w:rsidRDefault="005260B6" w:rsidP="00B4563B">
            <w:pPr>
              <w:jc w:val="center"/>
              <w:rPr>
                <w:rFonts w:ascii="Calibri" w:eastAsiaTheme="minorEastAsia" w:hAnsi="Calibri" w:cs="Calibri"/>
                <w:b/>
                <w:bCs/>
                <w:color w:val="000000"/>
                <w:szCs w:val="20"/>
              </w:rPr>
            </w:pPr>
            <w:r w:rsidRPr="00A50C70">
              <w:rPr>
                <w:rFonts w:ascii="Calibri" w:eastAsiaTheme="minorEastAsia" w:hAnsi="Calibri" w:cs="Calibri"/>
                <w:b/>
                <w:bCs/>
                <w:color w:val="000000"/>
                <w:szCs w:val="20"/>
              </w:rPr>
              <w:t>2012</w:t>
            </w:r>
          </w:p>
        </w:tc>
        <w:tc>
          <w:tcPr>
            <w:tcW w:w="560" w:type="dxa"/>
            <w:tcBorders>
              <w:top w:val="single" w:sz="4" w:space="0" w:color="auto"/>
              <w:left w:val="nil"/>
              <w:bottom w:val="single" w:sz="4" w:space="0" w:color="auto"/>
              <w:right w:val="single" w:sz="4" w:space="0" w:color="auto"/>
            </w:tcBorders>
            <w:shd w:val="clear" w:color="auto" w:fill="99CCFF"/>
            <w:vAlign w:val="center"/>
          </w:tcPr>
          <w:p w:rsidR="005260B6" w:rsidRPr="00A50C70" w:rsidRDefault="005260B6" w:rsidP="00B4563B">
            <w:pPr>
              <w:jc w:val="center"/>
              <w:rPr>
                <w:rFonts w:ascii="Calibri" w:eastAsiaTheme="minorEastAsia" w:hAnsi="Calibri" w:cs="Calibri"/>
                <w:b/>
                <w:bCs/>
                <w:color w:val="000000"/>
                <w:szCs w:val="20"/>
              </w:rPr>
            </w:pPr>
            <w:r w:rsidRPr="00A50C70">
              <w:rPr>
                <w:rFonts w:ascii="Calibri" w:eastAsiaTheme="minorEastAsia" w:hAnsi="Calibri" w:cs="Calibri"/>
                <w:b/>
                <w:bCs/>
                <w:color w:val="000000"/>
                <w:szCs w:val="20"/>
              </w:rPr>
              <w:t>2013</w:t>
            </w:r>
          </w:p>
        </w:tc>
        <w:tc>
          <w:tcPr>
            <w:tcW w:w="560" w:type="dxa"/>
            <w:tcBorders>
              <w:top w:val="single" w:sz="4" w:space="0" w:color="auto"/>
              <w:left w:val="nil"/>
              <w:bottom w:val="single" w:sz="4" w:space="0" w:color="auto"/>
              <w:right w:val="single" w:sz="4" w:space="0" w:color="auto"/>
            </w:tcBorders>
            <w:shd w:val="clear" w:color="auto" w:fill="99CCFF"/>
            <w:vAlign w:val="center"/>
          </w:tcPr>
          <w:p w:rsidR="005260B6" w:rsidRPr="00A50C70" w:rsidRDefault="005260B6" w:rsidP="00B4563B">
            <w:pPr>
              <w:jc w:val="center"/>
              <w:rPr>
                <w:rFonts w:ascii="Calibri" w:eastAsiaTheme="minorEastAsia" w:hAnsi="Calibri" w:cs="Calibri"/>
                <w:b/>
                <w:bCs/>
                <w:color w:val="000000"/>
                <w:szCs w:val="20"/>
              </w:rPr>
            </w:pPr>
            <w:r w:rsidRPr="00A50C70">
              <w:rPr>
                <w:rFonts w:ascii="Calibri" w:eastAsiaTheme="minorEastAsia" w:hAnsi="Calibri" w:cs="Calibri"/>
                <w:b/>
                <w:bCs/>
                <w:color w:val="000000"/>
                <w:szCs w:val="20"/>
              </w:rPr>
              <w:t>2014</w:t>
            </w:r>
          </w:p>
        </w:tc>
        <w:tc>
          <w:tcPr>
            <w:tcW w:w="560" w:type="dxa"/>
            <w:tcBorders>
              <w:top w:val="single" w:sz="4" w:space="0" w:color="auto"/>
              <w:left w:val="nil"/>
              <w:bottom w:val="single" w:sz="4" w:space="0" w:color="auto"/>
              <w:right w:val="single" w:sz="4" w:space="0" w:color="auto"/>
            </w:tcBorders>
            <w:shd w:val="clear" w:color="auto" w:fill="99CCFF"/>
            <w:vAlign w:val="center"/>
          </w:tcPr>
          <w:p w:rsidR="005260B6" w:rsidRPr="00A50C70" w:rsidRDefault="005260B6" w:rsidP="00B4563B">
            <w:pPr>
              <w:jc w:val="center"/>
              <w:rPr>
                <w:rFonts w:ascii="Calibri" w:eastAsiaTheme="minorEastAsia" w:hAnsi="Calibri" w:cs="Calibri"/>
                <w:b/>
                <w:bCs/>
                <w:color w:val="000000"/>
                <w:szCs w:val="20"/>
              </w:rPr>
            </w:pPr>
            <w:r w:rsidRPr="00A50C70">
              <w:rPr>
                <w:rFonts w:ascii="Calibri" w:eastAsiaTheme="minorEastAsia" w:hAnsi="Calibri" w:cs="Calibri"/>
                <w:b/>
                <w:bCs/>
                <w:color w:val="000000"/>
                <w:szCs w:val="20"/>
              </w:rPr>
              <w:t>2015</w:t>
            </w:r>
          </w:p>
        </w:tc>
      </w:tr>
      <w:tr w:rsidR="005260B6" w:rsidRPr="00A50C70" w:rsidTr="005260B6">
        <w:trPr>
          <w:trHeight w:val="300"/>
        </w:trPr>
        <w:tc>
          <w:tcPr>
            <w:tcW w:w="1900" w:type="dxa"/>
            <w:tcBorders>
              <w:top w:val="nil"/>
              <w:left w:val="single" w:sz="4" w:space="0" w:color="auto"/>
              <w:bottom w:val="single" w:sz="4" w:space="0" w:color="auto"/>
              <w:right w:val="single" w:sz="4" w:space="0" w:color="auto"/>
            </w:tcBorders>
            <w:noWrap/>
            <w:vAlign w:val="bottom"/>
          </w:tcPr>
          <w:p w:rsidR="005260B6" w:rsidRPr="00F84FC2" w:rsidRDefault="005260B6" w:rsidP="005260B6">
            <w:pPr>
              <w:rPr>
                <w:rFonts w:ascii="Calibri" w:eastAsiaTheme="minorEastAsia" w:hAnsi="Calibri" w:cs="Calibri"/>
                <w:b/>
                <w:szCs w:val="20"/>
              </w:rPr>
            </w:pPr>
            <w:r w:rsidRPr="00F84FC2">
              <w:rPr>
                <w:rFonts w:ascii="Calibri" w:eastAsiaTheme="minorEastAsia" w:hAnsi="Calibri" w:cs="Calibri"/>
                <w:b/>
                <w:szCs w:val="20"/>
              </w:rPr>
              <w:t>BYTOM</w:t>
            </w:r>
          </w:p>
        </w:tc>
        <w:tc>
          <w:tcPr>
            <w:tcW w:w="580" w:type="dxa"/>
            <w:tcBorders>
              <w:top w:val="nil"/>
              <w:left w:val="nil"/>
              <w:bottom w:val="single" w:sz="4" w:space="0" w:color="auto"/>
              <w:right w:val="single" w:sz="4" w:space="0" w:color="auto"/>
            </w:tcBorders>
            <w:noWrap/>
            <w:vAlign w:val="bottom"/>
          </w:tcPr>
          <w:p w:rsidR="005260B6" w:rsidRPr="00A50C70" w:rsidRDefault="005260B6" w:rsidP="005260B6">
            <w:pPr>
              <w:jc w:val="center"/>
              <w:rPr>
                <w:rFonts w:ascii="Calibri" w:eastAsiaTheme="minorEastAsia" w:hAnsi="Calibri" w:cs="Calibri"/>
                <w:szCs w:val="20"/>
              </w:rPr>
            </w:pPr>
            <w:r w:rsidRPr="00A50C70">
              <w:rPr>
                <w:rFonts w:ascii="Calibri" w:eastAsiaTheme="minorEastAsia" w:hAnsi="Calibri" w:cs="Calibri"/>
                <w:szCs w:val="20"/>
              </w:rPr>
              <w:t>[%]</w:t>
            </w:r>
          </w:p>
        </w:tc>
        <w:tc>
          <w:tcPr>
            <w:tcW w:w="560" w:type="dxa"/>
            <w:tcBorders>
              <w:top w:val="nil"/>
              <w:left w:val="nil"/>
              <w:bottom w:val="single" w:sz="4" w:space="0" w:color="auto"/>
              <w:right w:val="single" w:sz="4" w:space="0" w:color="auto"/>
            </w:tcBorders>
            <w:noWrap/>
            <w:vAlign w:val="bottom"/>
          </w:tcPr>
          <w:p w:rsidR="005260B6" w:rsidRPr="00A50C70" w:rsidRDefault="005260B6" w:rsidP="005260B6">
            <w:pPr>
              <w:jc w:val="center"/>
              <w:rPr>
                <w:rFonts w:ascii="Calibri" w:eastAsiaTheme="minorEastAsia" w:hAnsi="Calibri" w:cs="Calibri"/>
                <w:szCs w:val="20"/>
              </w:rPr>
            </w:pPr>
            <w:r w:rsidRPr="00A50C70">
              <w:rPr>
                <w:rFonts w:ascii="Calibri" w:eastAsiaTheme="minorEastAsia" w:hAnsi="Calibri" w:cs="Calibri"/>
                <w:szCs w:val="20"/>
              </w:rPr>
              <w:t>13,7</w:t>
            </w:r>
          </w:p>
        </w:tc>
        <w:tc>
          <w:tcPr>
            <w:tcW w:w="560" w:type="dxa"/>
            <w:tcBorders>
              <w:top w:val="nil"/>
              <w:left w:val="nil"/>
              <w:bottom w:val="single" w:sz="4" w:space="0" w:color="auto"/>
              <w:right w:val="single" w:sz="4" w:space="0" w:color="auto"/>
            </w:tcBorders>
            <w:noWrap/>
            <w:vAlign w:val="bottom"/>
          </w:tcPr>
          <w:p w:rsidR="005260B6" w:rsidRPr="00A50C70" w:rsidRDefault="005260B6" w:rsidP="005260B6">
            <w:pPr>
              <w:jc w:val="center"/>
              <w:rPr>
                <w:rFonts w:ascii="Calibri" w:eastAsiaTheme="minorEastAsia" w:hAnsi="Calibri" w:cs="Calibri"/>
                <w:szCs w:val="20"/>
              </w:rPr>
            </w:pPr>
            <w:r w:rsidRPr="00A50C70">
              <w:rPr>
                <w:rFonts w:ascii="Calibri" w:eastAsiaTheme="minorEastAsia" w:hAnsi="Calibri" w:cs="Calibri"/>
                <w:szCs w:val="20"/>
              </w:rPr>
              <w:t>12,4</w:t>
            </w:r>
          </w:p>
        </w:tc>
        <w:tc>
          <w:tcPr>
            <w:tcW w:w="560" w:type="dxa"/>
            <w:tcBorders>
              <w:top w:val="nil"/>
              <w:left w:val="nil"/>
              <w:bottom w:val="single" w:sz="4" w:space="0" w:color="auto"/>
              <w:right w:val="single" w:sz="4" w:space="0" w:color="auto"/>
            </w:tcBorders>
            <w:noWrap/>
            <w:vAlign w:val="bottom"/>
          </w:tcPr>
          <w:p w:rsidR="005260B6" w:rsidRPr="00A50C70" w:rsidRDefault="005260B6" w:rsidP="005260B6">
            <w:pPr>
              <w:jc w:val="center"/>
              <w:rPr>
                <w:rFonts w:ascii="Calibri" w:eastAsiaTheme="minorEastAsia" w:hAnsi="Calibri" w:cs="Calibri"/>
                <w:szCs w:val="20"/>
              </w:rPr>
            </w:pPr>
            <w:r w:rsidRPr="00A50C70">
              <w:rPr>
                <w:rFonts w:ascii="Calibri" w:eastAsiaTheme="minorEastAsia" w:hAnsi="Calibri" w:cs="Calibri"/>
                <w:szCs w:val="20"/>
              </w:rPr>
              <w:t>10,2</w:t>
            </w:r>
          </w:p>
        </w:tc>
        <w:tc>
          <w:tcPr>
            <w:tcW w:w="560" w:type="dxa"/>
            <w:tcBorders>
              <w:top w:val="nil"/>
              <w:left w:val="nil"/>
              <w:bottom w:val="single" w:sz="4" w:space="0" w:color="auto"/>
              <w:right w:val="single" w:sz="4" w:space="0" w:color="auto"/>
            </w:tcBorders>
            <w:noWrap/>
            <w:vAlign w:val="bottom"/>
          </w:tcPr>
          <w:p w:rsidR="005260B6" w:rsidRPr="00A50C70" w:rsidRDefault="005260B6" w:rsidP="005260B6">
            <w:pPr>
              <w:jc w:val="center"/>
              <w:rPr>
                <w:rFonts w:ascii="Calibri" w:eastAsiaTheme="minorEastAsia" w:hAnsi="Calibri" w:cs="Calibri"/>
                <w:szCs w:val="20"/>
              </w:rPr>
            </w:pPr>
            <w:r w:rsidRPr="00A50C70">
              <w:rPr>
                <w:rFonts w:ascii="Calibri" w:eastAsiaTheme="minorEastAsia" w:hAnsi="Calibri" w:cs="Calibri"/>
                <w:szCs w:val="20"/>
              </w:rPr>
              <w:t>7,4</w:t>
            </w:r>
          </w:p>
        </w:tc>
        <w:tc>
          <w:tcPr>
            <w:tcW w:w="560" w:type="dxa"/>
            <w:tcBorders>
              <w:top w:val="nil"/>
              <w:left w:val="nil"/>
              <w:bottom w:val="single" w:sz="4" w:space="0" w:color="auto"/>
              <w:right w:val="single" w:sz="4" w:space="0" w:color="auto"/>
            </w:tcBorders>
            <w:noWrap/>
            <w:vAlign w:val="bottom"/>
          </w:tcPr>
          <w:p w:rsidR="005260B6" w:rsidRPr="00A50C70" w:rsidRDefault="005260B6" w:rsidP="005260B6">
            <w:pPr>
              <w:jc w:val="center"/>
              <w:rPr>
                <w:rFonts w:ascii="Calibri" w:eastAsiaTheme="minorEastAsia" w:hAnsi="Calibri" w:cs="Calibri"/>
                <w:szCs w:val="20"/>
              </w:rPr>
            </w:pPr>
            <w:r w:rsidRPr="00A50C70">
              <w:rPr>
                <w:rFonts w:ascii="Calibri" w:eastAsiaTheme="minorEastAsia" w:hAnsi="Calibri" w:cs="Calibri"/>
                <w:szCs w:val="20"/>
              </w:rPr>
              <w:t>5,7</w:t>
            </w:r>
          </w:p>
        </w:tc>
        <w:tc>
          <w:tcPr>
            <w:tcW w:w="560" w:type="dxa"/>
            <w:tcBorders>
              <w:top w:val="nil"/>
              <w:left w:val="nil"/>
              <w:bottom w:val="single" w:sz="4" w:space="0" w:color="auto"/>
              <w:right w:val="single" w:sz="4" w:space="0" w:color="auto"/>
            </w:tcBorders>
            <w:noWrap/>
            <w:vAlign w:val="bottom"/>
          </w:tcPr>
          <w:p w:rsidR="005260B6" w:rsidRPr="00A50C70" w:rsidRDefault="005260B6" w:rsidP="005260B6">
            <w:pPr>
              <w:jc w:val="center"/>
              <w:rPr>
                <w:rFonts w:ascii="Calibri" w:eastAsiaTheme="minorEastAsia" w:hAnsi="Calibri" w:cs="Calibri"/>
                <w:szCs w:val="20"/>
              </w:rPr>
            </w:pPr>
            <w:r w:rsidRPr="00A50C70">
              <w:rPr>
                <w:rFonts w:ascii="Calibri" w:eastAsiaTheme="minorEastAsia" w:hAnsi="Calibri" w:cs="Calibri"/>
                <w:szCs w:val="20"/>
              </w:rPr>
              <w:t>7,9</w:t>
            </w:r>
          </w:p>
        </w:tc>
        <w:tc>
          <w:tcPr>
            <w:tcW w:w="560" w:type="dxa"/>
            <w:tcBorders>
              <w:top w:val="nil"/>
              <w:left w:val="nil"/>
              <w:bottom w:val="single" w:sz="4" w:space="0" w:color="auto"/>
              <w:right w:val="single" w:sz="4" w:space="0" w:color="auto"/>
            </w:tcBorders>
            <w:noWrap/>
            <w:vAlign w:val="bottom"/>
          </w:tcPr>
          <w:p w:rsidR="005260B6" w:rsidRPr="00A50C70" w:rsidRDefault="005260B6" w:rsidP="005260B6">
            <w:pPr>
              <w:jc w:val="center"/>
              <w:rPr>
                <w:rFonts w:ascii="Calibri" w:eastAsiaTheme="minorEastAsia" w:hAnsi="Calibri" w:cs="Calibri"/>
                <w:szCs w:val="20"/>
              </w:rPr>
            </w:pPr>
            <w:r w:rsidRPr="00A50C70">
              <w:rPr>
                <w:rFonts w:ascii="Calibri" w:eastAsiaTheme="minorEastAsia" w:hAnsi="Calibri" w:cs="Calibri"/>
                <w:szCs w:val="20"/>
              </w:rPr>
              <w:t>8,6</w:t>
            </w:r>
          </w:p>
        </w:tc>
        <w:tc>
          <w:tcPr>
            <w:tcW w:w="560" w:type="dxa"/>
            <w:tcBorders>
              <w:top w:val="nil"/>
              <w:left w:val="nil"/>
              <w:bottom w:val="single" w:sz="4" w:space="0" w:color="auto"/>
              <w:right w:val="single" w:sz="4" w:space="0" w:color="auto"/>
            </w:tcBorders>
            <w:noWrap/>
            <w:vAlign w:val="bottom"/>
          </w:tcPr>
          <w:p w:rsidR="005260B6" w:rsidRPr="00A50C70" w:rsidRDefault="005260B6" w:rsidP="005260B6">
            <w:pPr>
              <w:jc w:val="center"/>
              <w:rPr>
                <w:rFonts w:ascii="Calibri" w:eastAsiaTheme="minorEastAsia" w:hAnsi="Calibri" w:cs="Calibri"/>
                <w:szCs w:val="20"/>
              </w:rPr>
            </w:pPr>
            <w:r w:rsidRPr="00A50C70">
              <w:rPr>
                <w:rFonts w:ascii="Calibri" w:eastAsiaTheme="minorEastAsia" w:hAnsi="Calibri" w:cs="Calibri"/>
                <w:szCs w:val="20"/>
              </w:rPr>
              <w:t>9,5</w:t>
            </w:r>
          </w:p>
        </w:tc>
        <w:tc>
          <w:tcPr>
            <w:tcW w:w="560" w:type="dxa"/>
            <w:tcBorders>
              <w:top w:val="nil"/>
              <w:left w:val="nil"/>
              <w:bottom w:val="single" w:sz="4" w:space="0" w:color="auto"/>
              <w:right w:val="single" w:sz="4" w:space="0" w:color="auto"/>
            </w:tcBorders>
            <w:noWrap/>
            <w:vAlign w:val="bottom"/>
          </w:tcPr>
          <w:p w:rsidR="005260B6" w:rsidRPr="00A50C70" w:rsidRDefault="005260B6" w:rsidP="005260B6">
            <w:pPr>
              <w:jc w:val="center"/>
              <w:rPr>
                <w:rFonts w:ascii="Calibri" w:eastAsiaTheme="minorEastAsia" w:hAnsi="Calibri" w:cs="Calibri"/>
                <w:szCs w:val="20"/>
              </w:rPr>
            </w:pPr>
            <w:r w:rsidRPr="00A50C70">
              <w:rPr>
                <w:rFonts w:ascii="Calibri" w:eastAsiaTheme="minorEastAsia" w:hAnsi="Calibri" w:cs="Calibri"/>
                <w:szCs w:val="20"/>
              </w:rPr>
              <w:t>9,8</w:t>
            </w:r>
          </w:p>
        </w:tc>
        <w:tc>
          <w:tcPr>
            <w:tcW w:w="560" w:type="dxa"/>
            <w:tcBorders>
              <w:top w:val="nil"/>
              <w:left w:val="nil"/>
              <w:bottom w:val="single" w:sz="4" w:space="0" w:color="auto"/>
              <w:right w:val="single" w:sz="4" w:space="0" w:color="auto"/>
            </w:tcBorders>
            <w:noWrap/>
            <w:vAlign w:val="bottom"/>
          </w:tcPr>
          <w:p w:rsidR="005260B6" w:rsidRPr="00A50C70" w:rsidRDefault="005260B6" w:rsidP="005260B6">
            <w:pPr>
              <w:jc w:val="center"/>
              <w:rPr>
                <w:rFonts w:ascii="Calibri" w:eastAsiaTheme="minorEastAsia" w:hAnsi="Calibri" w:cs="Calibri"/>
                <w:szCs w:val="20"/>
              </w:rPr>
            </w:pPr>
            <w:r w:rsidRPr="00A50C70">
              <w:rPr>
                <w:rFonts w:ascii="Calibri" w:eastAsiaTheme="minorEastAsia" w:hAnsi="Calibri" w:cs="Calibri"/>
                <w:szCs w:val="20"/>
              </w:rPr>
              <w:t>10,5</w:t>
            </w:r>
          </w:p>
        </w:tc>
        <w:tc>
          <w:tcPr>
            <w:tcW w:w="560" w:type="dxa"/>
            <w:tcBorders>
              <w:top w:val="nil"/>
              <w:left w:val="nil"/>
              <w:bottom w:val="single" w:sz="4" w:space="0" w:color="auto"/>
              <w:right w:val="single" w:sz="4" w:space="0" w:color="auto"/>
            </w:tcBorders>
            <w:noWrap/>
            <w:vAlign w:val="bottom"/>
          </w:tcPr>
          <w:p w:rsidR="005260B6" w:rsidRPr="00A50C70" w:rsidRDefault="005260B6" w:rsidP="005260B6">
            <w:pPr>
              <w:jc w:val="center"/>
              <w:rPr>
                <w:rFonts w:ascii="Calibri" w:eastAsiaTheme="minorEastAsia" w:hAnsi="Calibri" w:cs="Calibri"/>
                <w:szCs w:val="20"/>
              </w:rPr>
            </w:pPr>
            <w:r w:rsidRPr="00A50C70">
              <w:rPr>
                <w:rFonts w:ascii="Calibri" w:eastAsiaTheme="minorEastAsia" w:hAnsi="Calibri" w:cs="Calibri"/>
                <w:szCs w:val="20"/>
              </w:rPr>
              <w:t>9,6</w:t>
            </w:r>
          </w:p>
        </w:tc>
        <w:tc>
          <w:tcPr>
            <w:tcW w:w="560" w:type="dxa"/>
            <w:tcBorders>
              <w:top w:val="nil"/>
              <w:left w:val="nil"/>
              <w:bottom w:val="single" w:sz="4" w:space="0" w:color="auto"/>
              <w:right w:val="single" w:sz="4" w:space="0" w:color="auto"/>
            </w:tcBorders>
            <w:noWrap/>
            <w:vAlign w:val="bottom"/>
          </w:tcPr>
          <w:p w:rsidR="005260B6" w:rsidRPr="00A50C70" w:rsidRDefault="005260B6" w:rsidP="005260B6">
            <w:pPr>
              <w:jc w:val="center"/>
              <w:rPr>
                <w:rFonts w:ascii="Calibri" w:eastAsiaTheme="minorEastAsia" w:hAnsi="Calibri" w:cs="Calibri"/>
                <w:szCs w:val="20"/>
              </w:rPr>
            </w:pPr>
            <w:r w:rsidRPr="00A50C70">
              <w:rPr>
                <w:rFonts w:ascii="Calibri" w:eastAsiaTheme="minorEastAsia" w:hAnsi="Calibri" w:cs="Calibri"/>
                <w:szCs w:val="20"/>
              </w:rPr>
              <w:t>8,6</w:t>
            </w:r>
          </w:p>
        </w:tc>
      </w:tr>
      <w:tr w:rsidR="005260B6" w:rsidRPr="00A50C70" w:rsidTr="005260B6">
        <w:trPr>
          <w:trHeight w:val="300"/>
        </w:trPr>
        <w:tc>
          <w:tcPr>
            <w:tcW w:w="1900" w:type="dxa"/>
            <w:tcBorders>
              <w:top w:val="nil"/>
              <w:left w:val="single" w:sz="4" w:space="0" w:color="auto"/>
              <w:bottom w:val="single" w:sz="4" w:space="0" w:color="auto"/>
              <w:right w:val="single" w:sz="4" w:space="0" w:color="auto"/>
            </w:tcBorders>
            <w:noWrap/>
            <w:vAlign w:val="bottom"/>
          </w:tcPr>
          <w:p w:rsidR="005260B6" w:rsidRPr="00A50C70" w:rsidRDefault="005260B6" w:rsidP="005260B6">
            <w:pPr>
              <w:rPr>
                <w:rFonts w:ascii="Calibri" w:eastAsiaTheme="minorEastAsia" w:hAnsi="Calibri" w:cs="Calibri"/>
                <w:szCs w:val="20"/>
              </w:rPr>
            </w:pPr>
            <w:r w:rsidRPr="00A50C70">
              <w:rPr>
                <w:rFonts w:ascii="Calibri" w:eastAsiaTheme="minorEastAsia" w:hAnsi="Calibri" w:cs="Calibri"/>
                <w:szCs w:val="20"/>
              </w:rPr>
              <w:t xml:space="preserve">Polska </w:t>
            </w:r>
          </w:p>
        </w:tc>
        <w:tc>
          <w:tcPr>
            <w:tcW w:w="580" w:type="dxa"/>
            <w:tcBorders>
              <w:top w:val="nil"/>
              <w:left w:val="nil"/>
              <w:bottom w:val="single" w:sz="4" w:space="0" w:color="auto"/>
              <w:right w:val="single" w:sz="4" w:space="0" w:color="auto"/>
            </w:tcBorders>
            <w:noWrap/>
            <w:vAlign w:val="bottom"/>
          </w:tcPr>
          <w:p w:rsidR="005260B6" w:rsidRPr="00A50C70" w:rsidRDefault="005260B6" w:rsidP="005260B6">
            <w:pPr>
              <w:jc w:val="center"/>
              <w:rPr>
                <w:rFonts w:ascii="Calibri" w:eastAsiaTheme="minorEastAsia" w:hAnsi="Calibri" w:cs="Calibri"/>
                <w:szCs w:val="20"/>
              </w:rPr>
            </w:pPr>
            <w:r w:rsidRPr="00A50C70">
              <w:rPr>
                <w:rFonts w:ascii="Calibri" w:eastAsiaTheme="minorEastAsia" w:hAnsi="Calibri" w:cs="Calibri"/>
                <w:szCs w:val="20"/>
              </w:rPr>
              <w:t>[%]</w:t>
            </w:r>
          </w:p>
        </w:tc>
        <w:tc>
          <w:tcPr>
            <w:tcW w:w="560" w:type="dxa"/>
            <w:tcBorders>
              <w:top w:val="nil"/>
              <w:left w:val="nil"/>
              <w:bottom w:val="single" w:sz="4" w:space="0" w:color="auto"/>
              <w:right w:val="single" w:sz="4" w:space="0" w:color="auto"/>
            </w:tcBorders>
            <w:noWrap/>
            <w:vAlign w:val="bottom"/>
          </w:tcPr>
          <w:p w:rsidR="005260B6" w:rsidRPr="00A50C70" w:rsidRDefault="005260B6" w:rsidP="005260B6">
            <w:pPr>
              <w:jc w:val="center"/>
              <w:rPr>
                <w:rFonts w:ascii="Calibri" w:eastAsiaTheme="minorEastAsia" w:hAnsi="Calibri" w:cs="Calibri"/>
                <w:szCs w:val="20"/>
              </w:rPr>
            </w:pPr>
            <w:r w:rsidRPr="00A50C70">
              <w:rPr>
                <w:rFonts w:ascii="Calibri" w:eastAsiaTheme="minorEastAsia" w:hAnsi="Calibri" w:cs="Calibri"/>
                <w:szCs w:val="20"/>
              </w:rPr>
              <w:t>12,4</w:t>
            </w:r>
          </w:p>
        </w:tc>
        <w:tc>
          <w:tcPr>
            <w:tcW w:w="560" w:type="dxa"/>
            <w:tcBorders>
              <w:top w:val="nil"/>
              <w:left w:val="nil"/>
              <w:bottom w:val="single" w:sz="4" w:space="0" w:color="auto"/>
              <w:right w:val="single" w:sz="4" w:space="0" w:color="auto"/>
            </w:tcBorders>
            <w:noWrap/>
            <w:vAlign w:val="bottom"/>
          </w:tcPr>
          <w:p w:rsidR="005260B6" w:rsidRPr="00A50C70" w:rsidRDefault="005260B6" w:rsidP="005260B6">
            <w:pPr>
              <w:jc w:val="center"/>
              <w:rPr>
                <w:rFonts w:ascii="Calibri" w:eastAsiaTheme="minorEastAsia" w:hAnsi="Calibri" w:cs="Calibri"/>
                <w:szCs w:val="20"/>
              </w:rPr>
            </w:pPr>
            <w:r w:rsidRPr="00A50C70">
              <w:rPr>
                <w:rFonts w:ascii="Calibri" w:eastAsiaTheme="minorEastAsia" w:hAnsi="Calibri" w:cs="Calibri"/>
                <w:szCs w:val="20"/>
              </w:rPr>
              <w:t>11,4</w:t>
            </w:r>
          </w:p>
        </w:tc>
        <w:tc>
          <w:tcPr>
            <w:tcW w:w="560" w:type="dxa"/>
            <w:tcBorders>
              <w:top w:val="nil"/>
              <w:left w:val="nil"/>
              <w:bottom w:val="single" w:sz="4" w:space="0" w:color="auto"/>
              <w:right w:val="single" w:sz="4" w:space="0" w:color="auto"/>
            </w:tcBorders>
            <w:noWrap/>
            <w:vAlign w:val="bottom"/>
          </w:tcPr>
          <w:p w:rsidR="005260B6" w:rsidRPr="00A50C70" w:rsidRDefault="005260B6" w:rsidP="005260B6">
            <w:pPr>
              <w:jc w:val="center"/>
              <w:rPr>
                <w:rFonts w:ascii="Calibri" w:eastAsiaTheme="minorEastAsia" w:hAnsi="Calibri" w:cs="Calibri"/>
                <w:szCs w:val="20"/>
              </w:rPr>
            </w:pPr>
            <w:r w:rsidRPr="00A50C70">
              <w:rPr>
                <w:rFonts w:ascii="Calibri" w:eastAsiaTheme="minorEastAsia" w:hAnsi="Calibri" w:cs="Calibri"/>
                <w:szCs w:val="20"/>
              </w:rPr>
              <w:t>9,4</w:t>
            </w:r>
          </w:p>
        </w:tc>
        <w:tc>
          <w:tcPr>
            <w:tcW w:w="560" w:type="dxa"/>
            <w:tcBorders>
              <w:top w:val="nil"/>
              <w:left w:val="nil"/>
              <w:bottom w:val="single" w:sz="4" w:space="0" w:color="auto"/>
              <w:right w:val="single" w:sz="4" w:space="0" w:color="auto"/>
            </w:tcBorders>
            <w:noWrap/>
            <w:vAlign w:val="bottom"/>
          </w:tcPr>
          <w:p w:rsidR="005260B6" w:rsidRPr="00A50C70" w:rsidRDefault="005260B6" w:rsidP="005260B6">
            <w:pPr>
              <w:jc w:val="center"/>
              <w:rPr>
                <w:rFonts w:ascii="Calibri" w:eastAsiaTheme="minorEastAsia" w:hAnsi="Calibri" w:cs="Calibri"/>
                <w:szCs w:val="20"/>
              </w:rPr>
            </w:pPr>
            <w:r w:rsidRPr="00A50C70">
              <w:rPr>
                <w:rFonts w:ascii="Calibri" w:eastAsiaTheme="minorEastAsia" w:hAnsi="Calibri" w:cs="Calibri"/>
                <w:szCs w:val="20"/>
              </w:rPr>
              <w:t>7,1</w:t>
            </w:r>
          </w:p>
        </w:tc>
        <w:tc>
          <w:tcPr>
            <w:tcW w:w="560" w:type="dxa"/>
            <w:tcBorders>
              <w:top w:val="nil"/>
              <w:left w:val="nil"/>
              <w:bottom w:val="single" w:sz="4" w:space="0" w:color="auto"/>
              <w:right w:val="single" w:sz="4" w:space="0" w:color="auto"/>
            </w:tcBorders>
            <w:noWrap/>
            <w:vAlign w:val="bottom"/>
          </w:tcPr>
          <w:p w:rsidR="005260B6" w:rsidRPr="00A50C70" w:rsidRDefault="005260B6" w:rsidP="005260B6">
            <w:pPr>
              <w:jc w:val="center"/>
              <w:rPr>
                <w:rFonts w:ascii="Calibri" w:eastAsiaTheme="minorEastAsia" w:hAnsi="Calibri" w:cs="Calibri"/>
                <w:szCs w:val="20"/>
              </w:rPr>
            </w:pPr>
            <w:r w:rsidRPr="00A50C70">
              <w:rPr>
                <w:rFonts w:ascii="Calibri" w:eastAsiaTheme="minorEastAsia" w:hAnsi="Calibri" w:cs="Calibri"/>
                <w:szCs w:val="20"/>
              </w:rPr>
              <w:t>6,0</w:t>
            </w:r>
          </w:p>
        </w:tc>
        <w:tc>
          <w:tcPr>
            <w:tcW w:w="560" w:type="dxa"/>
            <w:tcBorders>
              <w:top w:val="nil"/>
              <w:left w:val="nil"/>
              <w:bottom w:val="single" w:sz="4" w:space="0" w:color="auto"/>
              <w:right w:val="single" w:sz="4" w:space="0" w:color="auto"/>
            </w:tcBorders>
            <w:noWrap/>
            <w:vAlign w:val="bottom"/>
          </w:tcPr>
          <w:p w:rsidR="005260B6" w:rsidRPr="00A50C70" w:rsidRDefault="005260B6" w:rsidP="005260B6">
            <w:pPr>
              <w:jc w:val="center"/>
              <w:rPr>
                <w:rFonts w:ascii="Calibri" w:eastAsiaTheme="minorEastAsia" w:hAnsi="Calibri" w:cs="Calibri"/>
                <w:szCs w:val="20"/>
              </w:rPr>
            </w:pPr>
            <w:r w:rsidRPr="00A50C70">
              <w:rPr>
                <w:rFonts w:ascii="Calibri" w:eastAsiaTheme="minorEastAsia" w:hAnsi="Calibri" w:cs="Calibri"/>
                <w:szCs w:val="20"/>
              </w:rPr>
              <w:t>7,7</w:t>
            </w:r>
          </w:p>
        </w:tc>
        <w:tc>
          <w:tcPr>
            <w:tcW w:w="560" w:type="dxa"/>
            <w:tcBorders>
              <w:top w:val="nil"/>
              <w:left w:val="nil"/>
              <w:bottom w:val="single" w:sz="4" w:space="0" w:color="auto"/>
              <w:right w:val="single" w:sz="4" w:space="0" w:color="auto"/>
            </w:tcBorders>
            <w:noWrap/>
            <w:vAlign w:val="bottom"/>
          </w:tcPr>
          <w:p w:rsidR="005260B6" w:rsidRPr="00A50C70" w:rsidRDefault="005260B6" w:rsidP="005260B6">
            <w:pPr>
              <w:jc w:val="center"/>
              <w:rPr>
                <w:rFonts w:ascii="Calibri" w:eastAsiaTheme="minorEastAsia" w:hAnsi="Calibri" w:cs="Calibri"/>
                <w:szCs w:val="20"/>
              </w:rPr>
            </w:pPr>
            <w:r w:rsidRPr="00A50C70">
              <w:rPr>
                <w:rFonts w:ascii="Calibri" w:eastAsiaTheme="minorEastAsia" w:hAnsi="Calibri" w:cs="Calibri"/>
                <w:szCs w:val="20"/>
              </w:rPr>
              <w:t>7,9</w:t>
            </w:r>
          </w:p>
        </w:tc>
        <w:tc>
          <w:tcPr>
            <w:tcW w:w="560" w:type="dxa"/>
            <w:tcBorders>
              <w:top w:val="nil"/>
              <w:left w:val="nil"/>
              <w:bottom w:val="single" w:sz="4" w:space="0" w:color="auto"/>
              <w:right w:val="single" w:sz="4" w:space="0" w:color="auto"/>
            </w:tcBorders>
            <w:noWrap/>
            <w:vAlign w:val="bottom"/>
          </w:tcPr>
          <w:p w:rsidR="005260B6" w:rsidRPr="00A50C70" w:rsidRDefault="005260B6" w:rsidP="005260B6">
            <w:pPr>
              <w:jc w:val="center"/>
              <w:rPr>
                <w:rFonts w:ascii="Calibri" w:eastAsiaTheme="minorEastAsia" w:hAnsi="Calibri" w:cs="Calibri"/>
                <w:szCs w:val="20"/>
              </w:rPr>
            </w:pPr>
            <w:r w:rsidRPr="00A50C70">
              <w:rPr>
                <w:rFonts w:ascii="Calibri" w:eastAsiaTheme="minorEastAsia" w:hAnsi="Calibri" w:cs="Calibri"/>
                <w:szCs w:val="20"/>
              </w:rPr>
              <w:t>8,0</w:t>
            </w:r>
          </w:p>
        </w:tc>
        <w:tc>
          <w:tcPr>
            <w:tcW w:w="560" w:type="dxa"/>
            <w:tcBorders>
              <w:top w:val="nil"/>
              <w:left w:val="nil"/>
              <w:bottom w:val="single" w:sz="4" w:space="0" w:color="auto"/>
              <w:right w:val="single" w:sz="4" w:space="0" w:color="auto"/>
            </w:tcBorders>
            <w:noWrap/>
            <w:vAlign w:val="bottom"/>
          </w:tcPr>
          <w:p w:rsidR="005260B6" w:rsidRPr="00A50C70" w:rsidRDefault="005260B6" w:rsidP="005260B6">
            <w:pPr>
              <w:jc w:val="center"/>
              <w:rPr>
                <w:rFonts w:ascii="Calibri" w:eastAsiaTheme="minorEastAsia" w:hAnsi="Calibri" w:cs="Calibri"/>
                <w:szCs w:val="20"/>
              </w:rPr>
            </w:pPr>
            <w:r w:rsidRPr="00A50C70">
              <w:rPr>
                <w:rFonts w:ascii="Calibri" w:eastAsiaTheme="minorEastAsia" w:hAnsi="Calibri" w:cs="Calibri"/>
                <w:szCs w:val="20"/>
              </w:rPr>
              <w:t>8,7</w:t>
            </w:r>
          </w:p>
        </w:tc>
        <w:tc>
          <w:tcPr>
            <w:tcW w:w="560" w:type="dxa"/>
            <w:tcBorders>
              <w:top w:val="nil"/>
              <w:left w:val="nil"/>
              <w:bottom w:val="single" w:sz="4" w:space="0" w:color="auto"/>
              <w:right w:val="single" w:sz="4" w:space="0" w:color="auto"/>
            </w:tcBorders>
            <w:noWrap/>
            <w:vAlign w:val="bottom"/>
          </w:tcPr>
          <w:p w:rsidR="005260B6" w:rsidRPr="00A50C70" w:rsidRDefault="005260B6" w:rsidP="005260B6">
            <w:pPr>
              <w:jc w:val="center"/>
              <w:rPr>
                <w:rFonts w:ascii="Calibri" w:eastAsiaTheme="minorEastAsia" w:hAnsi="Calibri" w:cs="Calibri"/>
                <w:szCs w:val="20"/>
              </w:rPr>
            </w:pPr>
            <w:r w:rsidRPr="00A50C70">
              <w:rPr>
                <w:rFonts w:ascii="Calibri" w:eastAsiaTheme="minorEastAsia" w:hAnsi="Calibri" w:cs="Calibri"/>
                <w:szCs w:val="20"/>
              </w:rPr>
              <w:t>8,8</w:t>
            </w:r>
          </w:p>
        </w:tc>
        <w:tc>
          <w:tcPr>
            <w:tcW w:w="560" w:type="dxa"/>
            <w:tcBorders>
              <w:top w:val="nil"/>
              <w:left w:val="nil"/>
              <w:bottom w:val="single" w:sz="4" w:space="0" w:color="auto"/>
              <w:right w:val="single" w:sz="4" w:space="0" w:color="auto"/>
            </w:tcBorders>
            <w:noWrap/>
            <w:vAlign w:val="bottom"/>
          </w:tcPr>
          <w:p w:rsidR="005260B6" w:rsidRPr="00A50C70" w:rsidRDefault="005260B6" w:rsidP="005260B6">
            <w:pPr>
              <w:jc w:val="center"/>
              <w:rPr>
                <w:rFonts w:ascii="Calibri" w:eastAsiaTheme="minorEastAsia" w:hAnsi="Calibri" w:cs="Calibri"/>
                <w:szCs w:val="20"/>
              </w:rPr>
            </w:pPr>
            <w:r w:rsidRPr="00A50C70">
              <w:rPr>
                <w:rFonts w:ascii="Calibri" w:eastAsiaTheme="minorEastAsia" w:hAnsi="Calibri" w:cs="Calibri"/>
                <w:szCs w:val="20"/>
              </w:rPr>
              <w:t>7,5</w:t>
            </w:r>
          </w:p>
        </w:tc>
        <w:tc>
          <w:tcPr>
            <w:tcW w:w="560" w:type="dxa"/>
            <w:tcBorders>
              <w:top w:val="nil"/>
              <w:left w:val="nil"/>
              <w:bottom w:val="single" w:sz="4" w:space="0" w:color="auto"/>
              <w:right w:val="single" w:sz="4" w:space="0" w:color="auto"/>
            </w:tcBorders>
            <w:noWrap/>
            <w:vAlign w:val="bottom"/>
          </w:tcPr>
          <w:p w:rsidR="005260B6" w:rsidRPr="00A50C70" w:rsidRDefault="005260B6" w:rsidP="005260B6">
            <w:pPr>
              <w:jc w:val="center"/>
              <w:rPr>
                <w:rFonts w:ascii="Calibri" w:eastAsiaTheme="minorEastAsia" w:hAnsi="Calibri" w:cs="Calibri"/>
                <w:szCs w:val="20"/>
              </w:rPr>
            </w:pPr>
            <w:r w:rsidRPr="00A50C70">
              <w:rPr>
                <w:rFonts w:ascii="Calibri" w:eastAsiaTheme="minorEastAsia" w:hAnsi="Calibri" w:cs="Calibri"/>
                <w:szCs w:val="20"/>
              </w:rPr>
              <w:t>6,5</w:t>
            </w:r>
          </w:p>
        </w:tc>
      </w:tr>
      <w:tr w:rsidR="005260B6" w:rsidRPr="00A50C70" w:rsidTr="00120CE3">
        <w:trPr>
          <w:trHeight w:val="300"/>
        </w:trPr>
        <w:tc>
          <w:tcPr>
            <w:tcW w:w="1900" w:type="dxa"/>
            <w:tcBorders>
              <w:top w:val="nil"/>
              <w:left w:val="single" w:sz="4" w:space="0" w:color="auto"/>
              <w:bottom w:val="single" w:sz="4" w:space="0" w:color="auto"/>
              <w:right w:val="single" w:sz="4" w:space="0" w:color="auto"/>
            </w:tcBorders>
            <w:shd w:val="clear" w:color="auto" w:fill="DDD9C3" w:themeFill="background2" w:themeFillShade="E6"/>
            <w:noWrap/>
            <w:vAlign w:val="bottom"/>
          </w:tcPr>
          <w:p w:rsidR="005260B6" w:rsidRPr="00A50C70" w:rsidRDefault="005260B6" w:rsidP="00AD27E2">
            <w:pPr>
              <w:rPr>
                <w:rFonts w:ascii="Calibri" w:eastAsiaTheme="minorEastAsia" w:hAnsi="Calibri" w:cs="Calibri"/>
                <w:b/>
                <w:bCs/>
                <w:szCs w:val="20"/>
              </w:rPr>
            </w:pPr>
            <w:r w:rsidRPr="00A50C70">
              <w:rPr>
                <w:rFonts w:ascii="Calibri" w:eastAsiaTheme="minorEastAsia" w:hAnsi="Calibri" w:cs="Calibri"/>
                <w:b/>
                <w:bCs/>
                <w:szCs w:val="20"/>
              </w:rPr>
              <w:t xml:space="preserve">Bytom </w:t>
            </w:r>
            <w:r w:rsidR="00AD27E2">
              <w:rPr>
                <w:rFonts w:ascii="Calibri" w:eastAsiaTheme="minorEastAsia" w:hAnsi="Calibri" w:cs="Calibri"/>
                <w:b/>
                <w:bCs/>
                <w:szCs w:val="20"/>
              </w:rPr>
              <w:t>a</w:t>
            </w:r>
            <w:r w:rsidRPr="00A50C70">
              <w:rPr>
                <w:rFonts w:ascii="Calibri" w:eastAsiaTheme="minorEastAsia" w:hAnsi="Calibri" w:cs="Calibri"/>
                <w:b/>
                <w:bCs/>
                <w:szCs w:val="20"/>
              </w:rPr>
              <w:t xml:space="preserve"> Polska </w:t>
            </w:r>
          </w:p>
        </w:tc>
        <w:tc>
          <w:tcPr>
            <w:tcW w:w="580" w:type="dxa"/>
            <w:tcBorders>
              <w:top w:val="nil"/>
              <w:left w:val="nil"/>
              <w:bottom w:val="single" w:sz="4" w:space="0" w:color="auto"/>
              <w:right w:val="single" w:sz="4" w:space="0" w:color="auto"/>
            </w:tcBorders>
            <w:shd w:val="clear" w:color="auto" w:fill="DDD9C3" w:themeFill="background2" w:themeFillShade="E6"/>
            <w:noWrap/>
            <w:vAlign w:val="bottom"/>
          </w:tcPr>
          <w:p w:rsidR="005260B6" w:rsidRPr="00A50C70" w:rsidRDefault="005260B6" w:rsidP="005260B6">
            <w:pPr>
              <w:jc w:val="center"/>
              <w:rPr>
                <w:rFonts w:ascii="Calibri" w:eastAsiaTheme="minorEastAsia" w:hAnsi="Calibri" w:cs="Calibri"/>
                <w:b/>
                <w:bCs/>
                <w:szCs w:val="20"/>
              </w:rPr>
            </w:pPr>
            <w:r w:rsidRPr="00A50C70">
              <w:rPr>
                <w:rFonts w:ascii="Calibri" w:eastAsiaTheme="minorEastAsia" w:hAnsi="Calibri" w:cs="Calibri"/>
                <w:b/>
                <w:bCs/>
                <w:szCs w:val="20"/>
              </w:rPr>
              <w:t>[pp]</w:t>
            </w:r>
          </w:p>
        </w:tc>
        <w:tc>
          <w:tcPr>
            <w:tcW w:w="560" w:type="dxa"/>
            <w:tcBorders>
              <w:top w:val="nil"/>
              <w:left w:val="nil"/>
              <w:bottom w:val="single" w:sz="4" w:space="0" w:color="auto"/>
              <w:right w:val="single" w:sz="4" w:space="0" w:color="auto"/>
            </w:tcBorders>
            <w:shd w:val="clear" w:color="auto" w:fill="DDD9C3" w:themeFill="background2" w:themeFillShade="E6"/>
            <w:noWrap/>
            <w:vAlign w:val="bottom"/>
          </w:tcPr>
          <w:p w:rsidR="005260B6" w:rsidRPr="00A50C70" w:rsidRDefault="005260B6" w:rsidP="005260B6">
            <w:pPr>
              <w:jc w:val="center"/>
              <w:rPr>
                <w:rFonts w:ascii="Calibri" w:eastAsiaTheme="minorEastAsia" w:hAnsi="Calibri" w:cs="Calibri"/>
                <w:b/>
                <w:bCs/>
                <w:szCs w:val="20"/>
              </w:rPr>
            </w:pPr>
            <w:r w:rsidRPr="00A50C70">
              <w:rPr>
                <w:rFonts w:ascii="Calibri" w:eastAsiaTheme="minorEastAsia" w:hAnsi="Calibri" w:cs="Calibri"/>
                <w:b/>
                <w:bCs/>
                <w:szCs w:val="20"/>
              </w:rPr>
              <w:t>1,3</w:t>
            </w:r>
          </w:p>
        </w:tc>
        <w:tc>
          <w:tcPr>
            <w:tcW w:w="560" w:type="dxa"/>
            <w:tcBorders>
              <w:top w:val="nil"/>
              <w:left w:val="nil"/>
              <w:bottom w:val="single" w:sz="4" w:space="0" w:color="auto"/>
              <w:right w:val="single" w:sz="4" w:space="0" w:color="auto"/>
            </w:tcBorders>
            <w:shd w:val="clear" w:color="auto" w:fill="DDD9C3" w:themeFill="background2" w:themeFillShade="E6"/>
            <w:noWrap/>
            <w:vAlign w:val="bottom"/>
          </w:tcPr>
          <w:p w:rsidR="005260B6" w:rsidRPr="00A50C70" w:rsidRDefault="005260B6" w:rsidP="005260B6">
            <w:pPr>
              <w:jc w:val="center"/>
              <w:rPr>
                <w:rFonts w:ascii="Calibri" w:eastAsiaTheme="minorEastAsia" w:hAnsi="Calibri" w:cs="Calibri"/>
                <w:b/>
                <w:bCs/>
                <w:szCs w:val="20"/>
              </w:rPr>
            </w:pPr>
            <w:r w:rsidRPr="00A50C70">
              <w:rPr>
                <w:rFonts w:ascii="Calibri" w:eastAsiaTheme="minorEastAsia" w:hAnsi="Calibri" w:cs="Calibri"/>
                <w:b/>
                <w:bCs/>
                <w:szCs w:val="20"/>
              </w:rPr>
              <w:t>1,1</w:t>
            </w:r>
          </w:p>
        </w:tc>
        <w:tc>
          <w:tcPr>
            <w:tcW w:w="560" w:type="dxa"/>
            <w:tcBorders>
              <w:top w:val="nil"/>
              <w:left w:val="nil"/>
              <w:bottom w:val="single" w:sz="4" w:space="0" w:color="auto"/>
              <w:right w:val="single" w:sz="4" w:space="0" w:color="auto"/>
            </w:tcBorders>
            <w:shd w:val="clear" w:color="auto" w:fill="DDD9C3" w:themeFill="background2" w:themeFillShade="E6"/>
            <w:noWrap/>
            <w:vAlign w:val="bottom"/>
          </w:tcPr>
          <w:p w:rsidR="005260B6" w:rsidRPr="00A50C70" w:rsidRDefault="005260B6" w:rsidP="005260B6">
            <w:pPr>
              <w:jc w:val="center"/>
              <w:rPr>
                <w:rFonts w:ascii="Calibri" w:eastAsiaTheme="minorEastAsia" w:hAnsi="Calibri" w:cs="Calibri"/>
                <w:b/>
                <w:bCs/>
                <w:szCs w:val="20"/>
              </w:rPr>
            </w:pPr>
            <w:r w:rsidRPr="00A50C70">
              <w:rPr>
                <w:rFonts w:ascii="Calibri" w:eastAsiaTheme="minorEastAsia" w:hAnsi="Calibri" w:cs="Calibri"/>
                <w:b/>
                <w:bCs/>
                <w:szCs w:val="20"/>
              </w:rPr>
              <w:t>0,7</w:t>
            </w:r>
          </w:p>
        </w:tc>
        <w:tc>
          <w:tcPr>
            <w:tcW w:w="560" w:type="dxa"/>
            <w:tcBorders>
              <w:top w:val="nil"/>
              <w:left w:val="nil"/>
              <w:bottom w:val="single" w:sz="4" w:space="0" w:color="auto"/>
              <w:right w:val="single" w:sz="4" w:space="0" w:color="auto"/>
            </w:tcBorders>
            <w:shd w:val="clear" w:color="auto" w:fill="DDD9C3" w:themeFill="background2" w:themeFillShade="E6"/>
            <w:noWrap/>
            <w:vAlign w:val="bottom"/>
          </w:tcPr>
          <w:p w:rsidR="005260B6" w:rsidRPr="00A50C70" w:rsidRDefault="005260B6" w:rsidP="005260B6">
            <w:pPr>
              <w:jc w:val="center"/>
              <w:rPr>
                <w:rFonts w:ascii="Calibri" w:eastAsiaTheme="minorEastAsia" w:hAnsi="Calibri" w:cs="Calibri"/>
                <w:b/>
                <w:bCs/>
                <w:szCs w:val="20"/>
              </w:rPr>
            </w:pPr>
            <w:r w:rsidRPr="00A50C70">
              <w:rPr>
                <w:rFonts w:ascii="Calibri" w:eastAsiaTheme="minorEastAsia" w:hAnsi="Calibri" w:cs="Calibri"/>
                <w:b/>
                <w:bCs/>
                <w:szCs w:val="20"/>
              </w:rPr>
              <w:t>0,3</w:t>
            </w:r>
          </w:p>
        </w:tc>
        <w:tc>
          <w:tcPr>
            <w:tcW w:w="560" w:type="dxa"/>
            <w:tcBorders>
              <w:top w:val="nil"/>
              <w:left w:val="nil"/>
              <w:bottom w:val="single" w:sz="4" w:space="0" w:color="auto"/>
              <w:right w:val="single" w:sz="4" w:space="0" w:color="auto"/>
            </w:tcBorders>
            <w:shd w:val="clear" w:color="auto" w:fill="DDD9C3" w:themeFill="background2" w:themeFillShade="E6"/>
            <w:noWrap/>
            <w:vAlign w:val="bottom"/>
          </w:tcPr>
          <w:p w:rsidR="005260B6" w:rsidRPr="00A50C70" w:rsidRDefault="005260B6" w:rsidP="005260B6">
            <w:pPr>
              <w:jc w:val="center"/>
              <w:rPr>
                <w:rFonts w:ascii="Calibri" w:eastAsiaTheme="minorEastAsia" w:hAnsi="Calibri" w:cs="Calibri"/>
                <w:b/>
                <w:bCs/>
                <w:szCs w:val="20"/>
              </w:rPr>
            </w:pPr>
            <w:r w:rsidRPr="00A50C70">
              <w:rPr>
                <w:rFonts w:ascii="Calibri" w:eastAsiaTheme="minorEastAsia" w:hAnsi="Calibri" w:cs="Calibri"/>
                <w:b/>
                <w:bCs/>
                <w:szCs w:val="20"/>
              </w:rPr>
              <w:t>-0,3</w:t>
            </w:r>
          </w:p>
        </w:tc>
        <w:tc>
          <w:tcPr>
            <w:tcW w:w="560" w:type="dxa"/>
            <w:tcBorders>
              <w:top w:val="nil"/>
              <w:left w:val="nil"/>
              <w:bottom w:val="single" w:sz="4" w:space="0" w:color="auto"/>
              <w:right w:val="single" w:sz="4" w:space="0" w:color="auto"/>
            </w:tcBorders>
            <w:shd w:val="clear" w:color="auto" w:fill="DDD9C3" w:themeFill="background2" w:themeFillShade="E6"/>
            <w:noWrap/>
            <w:vAlign w:val="bottom"/>
          </w:tcPr>
          <w:p w:rsidR="005260B6" w:rsidRPr="00A50C70" w:rsidRDefault="005260B6" w:rsidP="005260B6">
            <w:pPr>
              <w:jc w:val="center"/>
              <w:rPr>
                <w:rFonts w:ascii="Calibri" w:eastAsiaTheme="minorEastAsia" w:hAnsi="Calibri" w:cs="Calibri"/>
                <w:b/>
                <w:bCs/>
                <w:szCs w:val="20"/>
              </w:rPr>
            </w:pPr>
            <w:r w:rsidRPr="00A50C70">
              <w:rPr>
                <w:rFonts w:ascii="Calibri" w:eastAsiaTheme="minorEastAsia" w:hAnsi="Calibri" w:cs="Calibri"/>
                <w:b/>
                <w:bCs/>
                <w:szCs w:val="20"/>
              </w:rPr>
              <w:t>0,2</w:t>
            </w:r>
          </w:p>
        </w:tc>
        <w:tc>
          <w:tcPr>
            <w:tcW w:w="560" w:type="dxa"/>
            <w:tcBorders>
              <w:top w:val="nil"/>
              <w:left w:val="nil"/>
              <w:bottom w:val="single" w:sz="4" w:space="0" w:color="auto"/>
              <w:right w:val="single" w:sz="4" w:space="0" w:color="auto"/>
            </w:tcBorders>
            <w:shd w:val="clear" w:color="auto" w:fill="DDD9C3" w:themeFill="background2" w:themeFillShade="E6"/>
            <w:noWrap/>
            <w:vAlign w:val="bottom"/>
          </w:tcPr>
          <w:p w:rsidR="005260B6" w:rsidRPr="00A50C70" w:rsidRDefault="005260B6" w:rsidP="005260B6">
            <w:pPr>
              <w:jc w:val="center"/>
              <w:rPr>
                <w:rFonts w:ascii="Calibri" w:eastAsiaTheme="minorEastAsia" w:hAnsi="Calibri" w:cs="Calibri"/>
                <w:b/>
                <w:bCs/>
                <w:szCs w:val="20"/>
              </w:rPr>
            </w:pPr>
            <w:r w:rsidRPr="00A50C70">
              <w:rPr>
                <w:rFonts w:ascii="Calibri" w:eastAsiaTheme="minorEastAsia" w:hAnsi="Calibri" w:cs="Calibri"/>
                <w:b/>
                <w:bCs/>
                <w:szCs w:val="20"/>
              </w:rPr>
              <w:t>0,8</w:t>
            </w:r>
          </w:p>
        </w:tc>
        <w:tc>
          <w:tcPr>
            <w:tcW w:w="560" w:type="dxa"/>
            <w:tcBorders>
              <w:top w:val="nil"/>
              <w:left w:val="nil"/>
              <w:bottom w:val="single" w:sz="4" w:space="0" w:color="auto"/>
              <w:right w:val="single" w:sz="4" w:space="0" w:color="auto"/>
            </w:tcBorders>
            <w:shd w:val="clear" w:color="auto" w:fill="DDD9C3" w:themeFill="background2" w:themeFillShade="E6"/>
            <w:noWrap/>
            <w:vAlign w:val="bottom"/>
          </w:tcPr>
          <w:p w:rsidR="005260B6" w:rsidRPr="00A50C70" w:rsidRDefault="005260B6" w:rsidP="005260B6">
            <w:pPr>
              <w:jc w:val="center"/>
              <w:rPr>
                <w:rFonts w:ascii="Calibri" w:eastAsiaTheme="minorEastAsia" w:hAnsi="Calibri" w:cs="Calibri"/>
                <w:b/>
                <w:bCs/>
                <w:szCs w:val="20"/>
              </w:rPr>
            </w:pPr>
            <w:r w:rsidRPr="00A50C70">
              <w:rPr>
                <w:rFonts w:ascii="Calibri" w:eastAsiaTheme="minorEastAsia" w:hAnsi="Calibri" w:cs="Calibri"/>
                <w:b/>
                <w:bCs/>
                <w:szCs w:val="20"/>
              </w:rPr>
              <w:t>1,5</w:t>
            </w:r>
          </w:p>
        </w:tc>
        <w:tc>
          <w:tcPr>
            <w:tcW w:w="560" w:type="dxa"/>
            <w:tcBorders>
              <w:top w:val="nil"/>
              <w:left w:val="nil"/>
              <w:bottom w:val="single" w:sz="4" w:space="0" w:color="auto"/>
              <w:right w:val="single" w:sz="4" w:space="0" w:color="auto"/>
            </w:tcBorders>
            <w:shd w:val="clear" w:color="auto" w:fill="DDD9C3" w:themeFill="background2" w:themeFillShade="E6"/>
            <w:noWrap/>
            <w:vAlign w:val="bottom"/>
          </w:tcPr>
          <w:p w:rsidR="005260B6" w:rsidRPr="00A50C70" w:rsidRDefault="005260B6" w:rsidP="005260B6">
            <w:pPr>
              <w:jc w:val="center"/>
              <w:rPr>
                <w:rFonts w:ascii="Calibri" w:eastAsiaTheme="minorEastAsia" w:hAnsi="Calibri" w:cs="Calibri"/>
                <w:b/>
                <w:bCs/>
                <w:szCs w:val="20"/>
              </w:rPr>
            </w:pPr>
            <w:r w:rsidRPr="00A50C70">
              <w:rPr>
                <w:rFonts w:ascii="Calibri" w:eastAsiaTheme="minorEastAsia" w:hAnsi="Calibri" w:cs="Calibri"/>
                <w:b/>
                <w:bCs/>
                <w:szCs w:val="20"/>
              </w:rPr>
              <w:t>1,1</w:t>
            </w:r>
          </w:p>
        </w:tc>
        <w:tc>
          <w:tcPr>
            <w:tcW w:w="560" w:type="dxa"/>
            <w:tcBorders>
              <w:top w:val="nil"/>
              <w:left w:val="nil"/>
              <w:bottom w:val="single" w:sz="4" w:space="0" w:color="auto"/>
              <w:right w:val="single" w:sz="4" w:space="0" w:color="auto"/>
            </w:tcBorders>
            <w:shd w:val="clear" w:color="auto" w:fill="DDD9C3" w:themeFill="background2" w:themeFillShade="E6"/>
            <w:noWrap/>
            <w:vAlign w:val="bottom"/>
          </w:tcPr>
          <w:p w:rsidR="005260B6" w:rsidRPr="00A50C70" w:rsidRDefault="005260B6" w:rsidP="005260B6">
            <w:pPr>
              <w:jc w:val="center"/>
              <w:rPr>
                <w:rFonts w:ascii="Calibri" w:eastAsiaTheme="minorEastAsia" w:hAnsi="Calibri" w:cs="Calibri"/>
                <w:b/>
                <w:bCs/>
                <w:szCs w:val="20"/>
              </w:rPr>
            </w:pPr>
            <w:r w:rsidRPr="00A50C70">
              <w:rPr>
                <w:rFonts w:ascii="Calibri" w:eastAsiaTheme="minorEastAsia" w:hAnsi="Calibri" w:cs="Calibri"/>
                <w:b/>
                <w:bCs/>
                <w:szCs w:val="20"/>
              </w:rPr>
              <w:t>1,7</w:t>
            </w:r>
          </w:p>
        </w:tc>
        <w:tc>
          <w:tcPr>
            <w:tcW w:w="560" w:type="dxa"/>
            <w:tcBorders>
              <w:top w:val="nil"/>
              <w:left w:val="nil"/>
              <w:bottom w:val="single" w:sz="4" w:space="0" w:color="auto"/>
              <w:right w:val="single" w:sz="4" w:space="0" w:color="auto"/>
            </w:tcBorders>
            <w:shd w:val="clear" w:color="auto" w:fill="DDD9C3" w:themeFill="background2" w:themeFillShade="E6"/>
            <w:noWrap/>
            <w:vAlign w:val="bottom"/>
          </w:tcPr>
          <w:p w:rsidR="005260B6" w:rsidRPr="00A50C70" w:rsidRDefault="005260B6" w:rsidP="005260B6">
            <w:pPr>
              <w:jc w:val="center"/>
              <w:rPr>
                <w:rFonts w:ascii="Calibri" w:eastAsiaTheme="minorEastAsia" w:hAnsi="Calibri" w:cs="Calibri"/>
                <w:b/>
                <w:bCs/>
                <w:szCs w:val="20"/>
              </w:rPr>
            </w:pPr>
            <w:r w:rsidRPr="00A50C70">
              <w:rPr>
                <w:rFonts w:ascii="Calibri" w:eastAsiaTheme="minorEastAsia" w:hAnsi="Calibri" w:cs="Calibri"/>
                <w:b/>
                <w:bCs/>
                <w:szCs w:val="20"/>
              </w:rPr>
              <w:t>2,1</w:t>
            </w:r>
          </w:p>
        </w:tc>
        <w:tc>
          <w:tcPr>
            <w:tcW w:w="560" w:type="dxa"/>
            <w:tcBorders>
              <w:top w:val="nil"/>
              <w:left w:val="nil"/>
              <w:bottom w:val="single" w:sz="4" w:space="0" w:color="auto"/>
              <w:right w:val="single" w:sz="4" w:space="0" w:color="auto"/>
            </w:tcBorders>
            <w:shd w:val="clear" w:color="auto" w:fill="DDD9C3" w:themeFill="background2" w:themeFillShade="E6"/>
            <w:noWrap/>
            <w:vAlign w:val="bottom"/>
          </w:tcPr>
          <w:p w:rsidR="005260B6" w:rsidRPr="00A50C70" w:rsidRDefault="005260B6" w:rsidP="005260B6">
            <w:pPr>
              <w:jc w:val="center"/>
              <w:rPr>
                <w:rFonts w:ascii="Calibri" w:eastAsiaTheme="minorEastAsia" w:hAnsi="Calibri" w:cs="Calibri"/>
                <w:b/>
                <w:bCs/>
                <w:szCs w:val="20"/>
              </w:rPr>
            </w:pPr>
            <w:r w:rsidRPr="00A50C70">
              <w:rPr>
                <w:rFonts w:ascii="Calibri" w:eastAsiaTheme="minorEastAsia" w:hAnsi="Calibri" w:cs="Calibri"/>
                <w:b/>
                <w:bCs/>
                <w:szCs w:val="20"/>
              </w:rPr>
              <w:t>2,1</w:t>
            </w:r>
          </w:p>
        </w:tc>
      </w:tr>
      <w:tr w:rsidR="005260B6" w:rsidRPr="00A50C70" w:rsidTr="005260B6">
        <w:trPr>
          <w:trHeight w:val="300"/>
        </w:trPr>
        <w:tc>
          <w:tcPr>
            <w:tcW w:w="1900" w:type="dxa"/>
            <w:tcBorders>
              <w:top w:val="nil"/>
              <w:left w:val="single" w:sz="4" w:space="0" w:color="auto"/>
              <w:bottom w:val="single" w:sz="4" w:space="0" w:color="auto"/>
              <w:right w:val="single" w:sz="4" w:space="0" w:color="auto"/>
            </w:tcBorders>
            <w:noWrap/>
            <w:vAlign w:val="bottom"/>
          </w:tcPr>
          <w:p w:rsidR="005260B6" w:rsidRPr="00F84FC2" w:rsidRDefault="005260B6" w:rsidP="005260B6">
            <w:pPr>
              <w:rPr>
                <w:rFonts w:ascii="Calibri" w:eastAsiaTheme="minorEastAsia" w:hAnsi="Calibri" w:cs="Calibri"/>
                <w:b/>
                <w:szCs w:val="20"/>
              </w:rPr>
            </w:pPr>
            <w:r w:rsidRPr="00F84FC2">
              <w:rPr>
                <w:rFonts w:ascii="Calibri" w:eastAsiaTheme="minorEastAsia" w:hAnsi="Calibri" w:cs="Calibri"/>
                <w:b/>
                <w:szCs w:val="20"/>
              </w:rPr>
              <w:t>BYTOM</w:t>
            </w:r>
          </w:p>
        </w:tc>
        <w:tc>
          <w:tcPr>
            <w:tcW w:w="580" w:type="dxa"/>
            <w:tcBorders>
              <w:top w:val="nil"/>
              <w:left w:val="nil"/>
              <w:bottom w:val="single" w:sz="4" w:space="0" w:color="auto"/>
              <w:right w:val="single" w:sz="4" w:space="0" w:color="auto"/>
            </w:tcBorders>
            <w:noWrap/>
            <w:vAlign w:val="bottom"/>
          </w:tcPr>
          <w:p w:rsidR="005260B6" w:rsidRPr="00A50C70" w:rsidRDefault="005260B6" w:rsidP="005260B6">
            <w:pPr>
              <w:jc w:val="center"/>
              <w:rPr>
                <w:rFonts w:ascii="Calibri" w:eastAsiaTheme="minorEastAsia" w:hAnsi="Calibri" w:cs="Calibri"/>
                <w:szCs w:val="20"/>
              </w:rPr>
            </w:pPr>
            <w:r w:rsidRPr="00A50C70">
              <w:rPr>
                <w:rFonts w:ascii="Calibri" w:eastAsiaTheme="minorEastAsia" w:hAnsi="Calibri" w:cs="Calibri"/>
                <w:szCs w:val="20"/>
              </w:rPr>
              <w:t>[%]</w:t>
            </w:r>
          </w:p>
        </w:tc>
        <w:tc>
          <w:tcPr>
            <w:tcW w:w="560" w:type="dxa"/>
            <w:tcBorders>
              <w:top w:val="nil"/>
              <w:left w:val="nil"/>
              <w:bottom w:val="single" w:sz="4" w:space="0" w:color="auto"/>
              <w:right w:val="single" w:sz="4" w:space="0" w:color="auto"/>
            </w:tcBorders>
            <w:noWrap/>
            <w:vAlign w:val="bottom"/>
          </w:tcPr>
          <w:p w:rsidR="005260B6" w:rsidRPr="00A50C70" w:rsidRDefault="005260B6" w:rsidP="005260B6">
            <w:pPr>
              <w:jc w:val="center"/>
              <w:rPr>
                <w:rFonts w:ascii="Calibri" w:eastAsiaTheme="minorEastAsia" w:hAnsi="Calibri" w:cs="Calibri"/>
                <w:szCs w:val="20"/>
              </w:rPr>
            </w:pPr>
            <w:r w:rsidRPr="00A50C70">
              <w:rPr>
                <w:rFonts w:ascii="Calibri" w:eastAsiaTheme="minorEastAsia" w:hAnsi="Calibri" w:cs="Calibri"/>
                <w:szCs w:val="20"/>
              </w:rPr>
              <w:t>13,7</w:t>
            </w:r>
          </w:p>
        </w:tc>
        <w:tc>
          <w:tcPr>
            <w:tcW w:w="560" w:type="dxa"/>
            <w:tcBorders>
              <w:top w:val="nil"/>
              <w:left w:val="nil"/>
              <w:bottom w:val="single" w:sz="4" w:space="0" w:color="auto"/>
              <w:right w:val="single" w:sz="4" w:space="0" w:color="auto"/>
            </w:tcBorders>
            <w:noWrap/>
            <w:vAlign w:val="bottom"/>
          </w:tcPr>
          <w:p w:rsidR="005260B6" w:rsidRPr="00A50C70" w:rsidRDefault="005260B6" w:rsidP="005260B6">
            <w:pPr>
              <w:jc w:val="center"/>
              <w:rPr>
                <w:rFonts w:ascii="Calibri" w:eastAsiaTheme="minorEastAsia" w:hAnsi="Calibri" w:cs="Calibri"/>
                <w:szCs w:val="20"/>
              </w:rPr>
            </w:pPr>
            <w:r w:rsidRPr="00A50C70">
              <w:rPr>
                <w:rFonts w:ascii="Calibri" w:eastAsiaTheme="minorEastAsia" w:hAnsi="Calibri" w:cs="Calibri"/>
                <w:szCs w:val="20"/>
              </w:rPr>
              <w:t>12,4</w:t>
            </w:r>
          </w:p>
        </w:tc>
        <w:tc>
          <w:tcPr>
            <w:tcW w:w="560" w:type="dxa"/>
            <w:tcBorders>
              <w:top w:val="nil"/>
              <w:left w:val="nil"/>
              <w:bottom w:val="single" w:sz="4" w:space="0" w:color="auto"/>
              <w:right w:val="single" w:sz="4" w:space="0" w:color="auto"/>
            </w:tcBorders>
            <w:noWrap/>
            <w:vAlign w:val="bottom"/>
          </w:tcPr>
          <w:p w:rsidR="005260B6" w:rsidRPr="00A50C70" w:rsidRDefault="005260B6" w:rsidP="005260B6">
            <w:pPr>
              <w:jc w:val="center"/>
              <w:rPr>
                <w:rFonts w:ascii="Calibri" w:eastAsiaTheme="minorEastAsia" w:hAnsi="Calibri" w:cs="Calibri"/>
                <w:szCs w:val="20"/>
              </w:rPr>
            </w:pPr>
            <w:r w:rsidRPr="00A50C70">
              <w:rPr>
                <w:rFonts w:ascii="Calibri" w:eastAsiaTheme="minorEastAsia" w:hAnsi="Calibri" w:cs="Calibri"/>
                <w:szCs w:val="20"/>
              </w:rPr>
              <w:t>10,2</w:t>
            </w:r>
          </w:p>
        </w:tc>
        <w:tc>
          <w:tcPr>
            <w:tcW w:w="560" w:type="dxa"/>
            <w:tcBorders>
              <w:top w:val="nil"/>
              <w:left w:val="nil"/>
              <w:bottom w:val="single" w:sz="4" w:space="0" w:color="auto"/>
              <w:right w:val="single" w:sz="4" w:space="0" w:color="auto"/>
            </w:tcBorders>
            <w:noWrap/>
            <w:vAlign w:val="bottom"/>
          </w:tcPr>
          <w:p w:rsidR="005260B6" w:rsidRPr="00A50C70" w:rsidRDefault="005260B6" w:rsidP="005260B6">
            <w:pPr>
              <w:jc w:val="center"/>
              <w:rPr>
                <w:rFonts w:ascii="Calibri" w:eastAsiaTheme="minorEastAsia" w:hAnsi="Calibri" w:cs="Calibri"/>
                <w:szCs w:val="20"/>
              </w:rPr>
            </w:pPr>
            <w:r w:rsidRPr="00A50C70">
              <w:rPr>
                <w:rFonts w:ascii="Calibri" w:eastAsiaTheme="minorEastAsia" w:hAnsi="Calibri" w:cs="Calibri"/>
                <w:szCs w:val="20"/>
              </w:rPr>
              <w:t>7,4</w:t>
            </w:r>
          </w:p>
        </w:tc>
        <w:tc>
          <w:tcPr>
            <w:tcW w:w="560" w:type="dxa"/>
            <w:tcBorders>
              <w:top w:val="nil"/>
              <w:left w:val="nil"/>
              <w:bottom w:val="single" w:sz="4" w:space="0" w:color="auto"/>
              <w:right w:val="single" w:sz="4" w:space="0" w:color="auto"/>
            </w:tcBorders>
            <w:noWrap/>
            <w:vAlign w:val="bottom"/>
          </w:tcPr>
          <w:p w:rsidR="005260B6" w:rsidRPr="00A50C70" w:rsidRDefault="005260B6" w:rsidP="005260B6">
            <w:pPr>
              <w:jc w:val="center"/>
              <w:rPr>
                <w:rFonts w:ascii="Calibri" w:eastAsiaTheme="minorEastAsia" w:hAnsi="Calibri" w:cs="Calibri"/>
                <w:szCs w:val="20"/>
              </w:rPr>
            </w:pPr>
            <w:r w:rsidRPr="00A50C70">
              <w:rPr>
                <w:rFonts w:ascii="Calibri" w:eastAsiaTheme="minorEastAsia" w:hAnsi="Calibri" w:cs="Calibri"/>
                <w:szCs w:val="20"/>
              </w:rPr>
              <w:t>5,7</w:t>
            </w:r>
          </w:p>
        </w:tc>
        <w:tc>
          <w:tcPr>
            <w:tcW w:w="560" w:type="dxa"/>
            <w:tcBorders>
              <w:top w:val="nil"/>
              <w:left w:val="nil"/>
              <w:bottom w:val="single" w:sz="4" w:space="0" w:color="auto"/>
              <w:right w:val="single" w:sz="4" w:space="0" w:color="auto"/>
            </w:tcBorders>
            <w:noWrap/>
            <w:vAlign w:val="bottom"/>
          </w:tcPr>
          <w:p w:rsidR="005260B6" w:rsidRPr="00A50C70" w:rsidRDefault="005260B6" w:rsidP="005260B6">
            <w:pPr>
              <w:jc w:val="center"/>
              <w:rPr>
                <w:rFonts w:ascii="Calibri" w:eastAsiaTheme="minorEastAsia" w:hAnsi="Calibri" w:cs="Calibri"/>
                <w:szCs w:val="20"/>
              </w:rPr>
            </w:pPr>
            <w:r w:rsidRPr="00A50C70">
              <w:rPr>
                <w:rFonts w:ascii="Calibri" w:eastAsiaTheme="minorEastAsia" w:hAnsi="Calibri" w:cs="Calibri"/>
                <w:szCs w:val="20"/>
              </w:rPr>
              <w:t>7,9</w:t>
            </w:r>
          </w:p>
        </w:tc>
        <w:tc>
          <w:tcPr>
            <w:tcW w:w="560" w:type="dxa"/>
            <w:tcBorders>
              <w:top w:val="nil"/>
              <w:left w:val="nil"/>
              <w:bottom w:val="single" w:sz="4" w:space="0" w:color="auto"/>
              <w:right w:val="single" w:sz="4" w:space="0" w:color="auto"/>
            </w:tcBorders>
            <w:noWrap/>
            <w:vAlign w:val="bottom"/>
          </w:tcPr>
          <w:p w:rsidR="005260B6" w:rsidRPr="00A50C70" w:rsidRDefault="005260B6" w:rsidP="005260B6">
            <w:pPr>
              <w:jc w:val="center"/>
              <w:rPr>
                <w:rFonts w:ascii="Calibri" w:eastAsiaTheme="minorEastAsia" w:hAnsi="Calibri" w:cs="Calibri"/>
                <w:szCs w:val="20"/>
              </w:rPr>
            </w:pPr>
            <w:r w:rsidRPr="00A50C70">
              <w:rPr>
                <w:rFonts w:ascii="Calibri" w:eastAsiaTheme="minorEastAsia" w:hAnsi="Calibri" w:cs="Calibri"/>
                <w:szCs w:val="20"/>
              </w:rPr>
              <w:t>8,6</w:t>
            </w:r>
          </w:p>
        </w:tc>
        <w:tc>
          <w:tcPr>
            <w:tcW w:w="560" w:type="dxa"/>
            <w:tcBorders>
              <w:top w:val="nil"/>
              <w:left w:val="nil"/>
              <w:bottom w:val="single" w:sz="4" w:space="0" w:color="auto"/>
              <w:right w:val="single" w:sz="4" w:space="0" w:color="auto"/>
            </w:tcBorders>
            <w:noWrap/>
            <w:vAlign w:val="bottom"/>
          </w:tcPr>
          <w:p w:rsidR="005260B6" w:rsidRPr="00A50C70" w:rsidRDefault="005260B6" w:rsidP="005260B6">
            <w:pPr>
              <w:jc w:val="center"/>
              <w:rPr>
                <w:rFonts w:ascii="Calibri" w:eastAsiaTheme="minorEastAsia" w:hAnsi="Calibri" w:cs="Calibri"/>
                <w:szCs w:val="20"/>
              </w:rPr>
            </w:pPr>
            <w:r w:rsidRPr="00A50C70">
              <w:rPr>
                <w:rFonts w:ascii="Calibri" w:eastAsiaTheme="minorEastAsia" w:hAnsi="Calibri" w:cs="Calibri"/>
                <w:szCs w:val="20"/>
              </w:rPr>
              <w:t>9,5</w:t>
            </w:r>
          </w:p>
        </w:tc>
        <w:tc>
          <w:tcPr>
            <w:tcW w:w="560" w:type="dxa"/>
            <w:tcBorders>
              <w:top w:val="nil"/>
              <w:left w:val="nil"/>
              <w:bottom w:val="single" w:sz="4" w:space="0" w:color="auto"/>
              <w:right w:val="single" w:sz="4" w:space="0" w:color="auto"/>
            </w:tcBorders>
            <w:noWrap/>
            <w:vAlign w:val="bottom"/>
          </w:tcPr>
          <w:p w:rsidR="005260B6" w:rsidRPr="00A50C70" w:rsidRDefault="005260B6" w:rsidP="005260B6">
            <w:pPr>
              <w:jc w:val="center"/>
              <w:rPr>
                <w:rFonts w:ascii="Calibri" w:eastAsiaTheme="minorEastAsia" w:hAnsi="Calibri" w:cs="Calibri"/>
                <w:szCs w:val="20"/>
              </w:rPr>
            </w:pPr>
            <w:r w:rsidRPr="00A50C70">
              <w:rPr>
                <w:rFonts w:ascii="Calibri" w:eastAsiaTheme="minorEastAsia" w:hAnsi="Calibri" w:cs="Calibri"/>
                <w:szCs w:val="20"/>
              </w:rPr>
              <w:t>9,8</w:t>
            </w:r>
          </w:p>
        </w:tc>
        <w:tc>
          <w:tcPr>
            <w:tcW w:w="560" w:type="dxa"/>
            <w:tcBorders>
              <w:top w:val="nil"/>
              <w:left w:val="nil"/>
              <w:bottom w:val="single" w:sz="4" w:space="0" w:color="auto"/>
              <w:right w:val="single" w:sz="4" w:space="0" w:color="auto"/>
            </w:tcBorders>
            <w:noWrap/>
            <w:vAlign w:val="bottom"/>
          </w:tcPr>
          <w:p w:rsidR="005260B6" w:rsidRPr="00A50C70" w:rsidRDefault="005260B6" w:rsidP="005260B6">
            <w:pPr>
              <w:jc w:val="center"/>
              <w:rPr>
                <w:rFonts w:ascii="Calibri" w:eastAsiaTheme="minorEastAsia" w:hAnsi="Calibri" w:cs="Calibri"/>
                <w:szCs w:val="20"/>
              </w:rPr>
            </w:pPr>
            <w:r w:rsidRPr="00A50C70">
              <w:rPr>
                <w:rFonts w:ascii="Calibri" w:eastAsiaTheme="minorEastAsia" w:hAnsi="Calibri" w:cs="Calibri"/>
                <w:szCs w:val="20"/>
              </w:rPr>
              <w:t>10,5</w:t>
            </w:r>
          </w:p>
        </w:tc>
        <w:tc>
          <w:tcPr>
            <w:tcW w:w="560" w:type="dxa"/>
            <w:tcBorders>
              <w:top w:val="nil"/>
              <w:left w:val="nil"/>
              <w:bottom w:val="single" w:sz="4" w:space="0" w:color="auto"/>
              <w:right w:val="single" w:sz="4" w:space="0" w:color="auto"/>
            </w:tcBorders>
            <w:noWrap/>
            <w:vAlign w:val="bottom"/>
          </w:tcPr>
          <w:p w:rsidR="005260B6" w:rsidRPr="00A50C70" w:rsidRDefault="005260B6" w:rsidP="005260B6">
            <w:pPr>
              <w:jc w:val="center"/>
              <w:rPr>
                <w:rFonts w:ascii="Calibri" w:eastAsiaTheme="minorEastAsia" w:hAnsi="Calibri" w:cs="Calibri"/>
                <w:szCs w:val="20"/>
              </w:rPr>
            </w:pPr>
            <w:r w:rsidRPr="00A50C70">
              <w:rPr>
                <w:rFonts w:ascii="Calibri" w:eastAsiaTheme="minorEastAsia" w:hAnsi="Calibri" w:cs="Calibri"/>
                <w:szCs w:val="20"/>
              </w:rPr>
              <w:t>9,6</w:t>
            </w:r>
          </w:p>
        </w:tc>
        <w:tc>
          <w:tcPr>
            <w:tcW w:w="560" w:type="dxa"/>
            <w:tcBorders>
              <w:top w:val="nil"/>
              <w:left w:val="nil"/>
              <w:bottom w:val="single" w:sz="4" w:space="0" w:color="auto"/>
              <w:right w:val="single" w:sz="4" w:space="0" w:color="auto"/>
            </w:tcBorders>
            <w:noWrap/>
            <w:vAlign w:val="bottom"/>
          </w:tcPr>
          <w:p w:rsidR="005260B6" w:rsidRPr="00A50C70" w:rsidRDefault="005260B6" w:rsidP="005260B6">
            <w:pPr>
              <w:jc w:val="center"/>
              <w:rPr>
                <w:rFonts w:ascii="Calibri" w:eastAsiaTheme="minorEastAsia" w:hAnsi="Calibri" w:cs="Calibri"/>
                <w:szCs w:val="20"/>
              </w:rPr>
            </w:pPr>
            <w:r w:rsidRPr="00A50C70">
              <w:rPr>
                <w:rFonts w:ascii="Calibri" w:eastAsiaTheme="minorEastAsia" w:hAnsi="Calibri" w:cs="Calibri"/>
                <w:szCs w:val="20"/>
              </w:rPr>
              <w:t>8,6</w:t>
            </w:r>
          </w:p>
        </w:tc>
      </w:tr>
      <w:tr w:rsidR="005260B6" w:rsidRPr="00A50C70" w:rsidTr="005260B6">
        <w:trPr>
          <w:trHeight w:val="300"/>
        </w:trPr>
        <w:tc>
          <w:tcPr>
            <w:tcW w:w="1900" w:type="dxa"/>
            <w:tcBorders>
              <w:top w:val="nil"/>
              <w:left w:val="single" w:sz="4" w:space="0" w:color="auto"/>
              <w:bottom w:val="single" w:sz="4" w:space="0" w:color="auto"/>
              <w:right w:val="single" w:sz="4" w:space="0" w:color="auto"/>
            </w:tcBorders>
            <w:noWrap/>
            <w:vAlign w:val="bottom"/>
          </w:tcPr>
          <w:p w:rsidR="005260B6" w:rsidRPr="00A50C70" w:rsidRDefault="005260B6" w:rsidP="005260B6">
            <w:pPr>
              <w:rPr>
                <w:rFonts w:ascii="Calibri" w:eastAsiaTheme="minorEastAsia" w:hAnsi="Calibri" w:cs="Calibri"/>
                <w:szCs w:val="20"/>
              </w:rPr>
            </w:pPr>
            <w:r w:rsidRPr="00A50C70">
              <w:rPr>
                <w:rFonts w:ascii="Calibri" w:eastAsiaTheme="minorEastAsia" w:hAnsi="Calibri" w:cs="Calibri"/>
                <w:szCs w:val="20"/>
              </w:rPr>
              <w:t>Woj. Śląskie</w:t>
            </w:r>
          </w:p>
        </w:tc>
        <w:tc>
          <w:tcPr>
            <w:tcW w:w="580" w:type="dxa"/>
            <w:tcBorders>
              <w:top w:val="nil"/>
              <w:left w:val="nil"/>
              <w:bottom w:val="single" w:sz="4" w:space="0" w:color="auto"/>
              <w:right w:val="single" w:sz="4" w:space="0" w:color="auto"/>
            </w:tcBorders>
            <w:noWrap/>
            <w:vAlign w:val="bottom"/>
          </w:tcPr>
          <w:p w:rsidR="005260B6" w:rsidRPr="00A50C70" w:rsidRDefault="005260B6" w:rsidP="005260B6">
            <w:pPr>
              <w:jc w:val="center"/>
              <w:rPr>
                <w:rFonts w:ascii="Calibri" w:eastAsiaTheme="minorEastAsia" w:hAnsi="Calibri" w:cs="Calibri"/>
                <w:szCs w:val="20"/>
              </w:rPr>
            </w:pPr>
            <w:r w:rsidRPr="00A50C70">
              <w:rPr>
                <w:rFonts w:ascii="Calibri" w:eastAsiaTheme="minorEastAsia" w:hAnsi="Calibri" w:cs="Calibri"/>
                <w:szCs w:val="20"/>
              </w:rPr>
              <w:t>[%]</w:t>
            </w:r>
          </w:p>
        </w:tc>
        <w:tc>
          <w:tcPr>
            <w:tcW w:w="560" w:type="dxa"/>
            <w:tcBorders>
              <w:top w:val="nil"/>
              <w:left w:val="nil"/>
              <w:bottom w:val="single" w:sz="4" w:space="0" w:color="auto"/>
              <w:right w:val="single" w:sz="4" w:space="0" w:color="auto"/>
            </w:tcBorders>
            <w:noWrap/>
            <w:vAlign w:val="bottom"/>
          </w:tcPr>
          <w:p w:rsidR="005260B6" w:rsidRPr="00A50C70" w:rsidRDefault="005260B6" w:rsidP="005260B6">
            <w:pPr>
              <w:jc w:val="center"/>
              <w:rPr>
                <w:rFonts w:ascii="Calibri" w:eastAsiaTheme="minorEastAsia" w:hAnsi="Calibri" w:cs="Calibri"/>
                <w:szCs w:val="20"/>
              </w:rPr>
            </w:pPr>
            <w:r w:rsidRPr="00A50C70">
              <w:rPr>
                <w:rFonts w:ascii="Calibri" w:eastAsiaTheme="minorEastAsia" w:hAnsi="Calibri" w:cs="Calibri"/>
                <w:szCs w:val="20"/>
              </w:rPr>
              <w:t>10,1</w:t>
            </w:r>
          </w:p>
        </w:tc>
        <w:tc>
          <w:tcPr>
            <w:tcW w:w="560" w:type="dxa"/>
            <w:tcBorders>
              <w:top w:val="nil"/>
              <w:left w:val="nil"/>
              <w:bottom w:val="single" w:sz="4" w:space="0" w:color="auto"/>
              <w:right w:val="single" w:sz="4" w:space="0" w:color="auto"/>
            </w:tcBorders>
            <w:noWrap/>
            <w:vAlign w:val="bottom"/>
          </w:tcPr>
          <w:p w:rsidR="005260B6" w:rsidRPr="00A50C70" w:rsidRDefault="005260B6" w:rsidP="005260B6">
            <w:pPr>
              <w:jc w:val="center"/>
              <w:rPr>
                <w:rFonts w:ascii="Calibri" w:eastAsiaTheme="minorEastAsia" w:hAnsi="Calibri" w:cs="Calibri"/>
                <w:szCs w:val="20"/>
              </w:rPr>
            </w:pPr>
            <w:r w:rsidRPr="00A50C70">
              <w:rPr>
                <w:rFonts w:ascii="Calibri" w:eastAsiaTheme="minorEastAsia" w:hAnsi="Calibri" w:cs="Calibri"/>
                <w:szCs w:val="20"/>
              </w:rPr>
              <w:t>9,2</w:t>
            </w:r>
          </w:p>
        </w:tc>
        <w:tc>
          <w:tcPr>
            <w:tcW w:w="560" w:type="dxa"/>
            <w:tcBorders>
              <w:top w:val="nil"/>
              <w:left w:val="nil"/>
              <w:bottom w:val="single" w:sz="4" w:space="0" w:color="auto"/>
              <w:right w:val="single" w:sz="4" w:space="0" w:color="auto"/>
            </w:tcBorders>
            <w:noWrap/>
            <w:vAlign w:val="bottom"/>
          </w:tcPr>
          <w:p w:rsidR="005260B6" w:rsidRPr="00A50C70" w:rsidRDefault="005260B6" w:rsidP="005260B6">
            <w:pPr>
              <w:jc w:val="center"/>
              <w:rPr>
                <w:rFonts w:ascii="Calibri" w:eastAsiaTheme="minorEastAsia" w:hAnsi="Calibri" w:cs="Calibri"/>
                <w:szCs w:val="20"/>
              </w:rPr>
            </w:pPr>
            <w:r w:rsidRPr="00A50C70">
              <w:rPr>
                <w:rFonts w:ascii="Calibri" w:eastAsiaTheme="minorEastAsia" w:hAnsi="Calibri" w:cs="Calibri"/>
                <w:szCs w:val="20"/>
              </w:rPr>
              <w:t>7,5</w:t>
            </w:r>
          </w:p>
        </w:tc>
        <w:tc>
          <w:tcPr>
            <w:tcW w:w="560" w:type="dxa"/>
            <w:tcBorders>
              <w:top w:val="nil"/>
              <w:left w:val="nil"/>
              <w:bottom w:val="single" w:sz="4" w:space="0" w:color="auto"/>
              <w:right w:val="single" w:sz="4" w:space="0" w:color="auto"/>
            </w:tcBorders>
            <w:noWrap/>
            <w:vAlign w:val="bottom"/>
          </w:tcPr>
          <w:p w:rsidR="005260B6" w:rsidRPr="00A50C70" w:rsidRDefault="005260B6" w:rsidP="005260B6">
            <w:pPr>
              <w:jc w:val="center"/>
              <w:rPr>
                <w:rFonts w:ascii="Calibri" w:eastAsiaTheme="minorEastAsia" w:hAnsi="Calibri" w:cs="Calibri"/>
                <w:szCs w:val="20"/>
              </w:rPr>
            </w:pPr>
            <w:r w:rsidRPr="00A50C70">
              <w:rPr>
                <w:rFonts w:ascii="Calibri" w:eastAsiaTheme="minorEastAsia" w:hAnsi="Calibri" w:cs="Calibri"/>
                <w:szCs w:val="20"/>
              </w:rPr>
              <w:t>5,4</w:t>
            </w:r>
          </w:p>
        </w:tc>
        <w:tc>
          <w:tcPr>
            <w:tcW w:w="560" w:type="dxa"/>
            <w:tcBorders>
              <w:top w:val="nil"/>
              <w:left w:val="nil"/>
              <w:bottom w:val="single" w:sz="4" w:space="0" w:color="auto"/>
              <w:right w:val="single" w:sz="4" w:space="0" w:color="auto"/>
            </w:tcBorders>
            <w:noWrap/>
            <w:vAlign w:val="bottom"/>
          </w:tcPr>
          <w:p w:rsidR="005260B6" w:rsidRPr="00A50C70" w:rsidRDefault="005260B6" w:rsidP="005260B6">
            <w:pPr>
              <w:jc w:val="center"/>
              <w:rPr>
                <w:rFonts w:ascii="Calibri" w:eastAsiaTheme="minorEastAsia" w:hAnsi="Calibri" w:cs="Calibri"/>
                <w:szCs w:val="20"/>
              </w:rPr>
            </w:pPr>
            <w:r w:rsidRPr="00A50C70">
              <w:rPr>
                <w:rFonts w:ascii="Calibri" w:eastAsiaTheme="minorEastAsia" w:hAnsi="Calibri" w:cs="Calibri"/>
                <w:szCs w:val="20"/>
              </w:rPr>
              <w:t>4,0</w:t>
            </w:r>
          </w:p>
        </w:tc>
        <w:tc>
          <w:tcPr>
            <w:tcW w:w="560" w:type="dxa"/>
            <w:tcBorders>
              <w:top w:val="nil"/>
              <w:left w:val="nil"/>
              <w:bottom w:val="single" w:sz="4" w:space="0" w:color="auto"/>
              <w:right w:val="single" w:sz="4" w:space="0" w:color="auto"/>
            </w:tcBorders>
            <w:noWrap/>
            <w:vAlign w:val="bottom"/>
          </w:tcPr>
          <w:p w:rsidR="005260B6" w:rsidRPr="00A50C70" w:rsidRDefault="005260B6" w:rsidP="005260B6">
            <w:pPr>
              <w:jc w:val="center"/>
              <w:rPr>
                <w:rFonts w:ascii="Calibri" w:eastAsiaTheme="minorEastAsia" w:hAnsi="Calibri" w:cs="Calibri"/>
                <w:szCs w:val="20"/>
              </w:rPr>
            </w:pPr>
            <w:r w:rsidRPr="00A50C70">
              <w:rPr>
                <w:rFonts w:ascii="Calibri" w:eastAsiaTheme="minorEastAsia" w:hAnsi="Calibri" w:cs="Calibri"/>
                <w:szCs w:val="20"/>
              </w:rPr>
              <w:t>5,6</w:t>
            </w:r>
          </w:p>
        </w:tc>
        <w:tc>
          <w:tcPr>
            <w:tcW w:w="560" w:type="dxa"/>
            <w:tcBorders>
              <w:top w:val="nil"/>
              <w:left w:val="nil"/>
              <w:bottom w:val="single" w:sz="4" w:space="0" w:color="auto"/>
              <w:right w:val="single" w:sz="4" w:space="0" w:color="auto"/>
            </w:tcBorders>
            <w:noWrap/>
            <w:vAlign w:val="bottom"/>
          </w:tcPr>
          <w:p w:rsidR="005260B6" w:rsidRPr="00A50C70" w:rsidRDefault="005260B6" w:rsidP="005260B6">
            <w:pPr>
              <w:jc w:val="center"/>
              <w:rPr>
                <w:rFonts w:ascii="Calibri" w:eastAsiaTheme="minorEastAsia" w:hAnsi="Calibri" w:cs="Calibri"/>
                <w:szCs w:val="20"/>
              </w:rPr>
            </w:pPr>
            <w:r w:rsidRPr="00A50C70">
              <w:rPr>
                <w:rFonts w:ascii="Calibri" w:eastAsiaTheme="minorEastAsia" w:hAnsi="Calibri" w:cs="Calibri"/>
                <w:szCs w:val="20"/>
              </w:rPr>
              <w:t>6,0</w:t>
            </w:r>
          </w:p>
        </w:tc>
        <w:tc>
          <w:tcPr>
            <w:tcW w:w="560" w:type="dxa"/>
            <w:tcBorders>
              <w:top w:val="nil"/>
              <w:left w:val="nil"/>
              <w:bottom w:val="single" w:sz="4" w:space="0" w:color="auto"/>
              <w:right w:val="single" w:sz="4" w:space="0" w:color="auto"/>
            </w:tcBorders>
            <w:noWrap/>
            <w:vAlign w:val="bottom"/>
          </w:tcPr>
          <w:p w:rsidR="005260B6" w:rsidRPr="00A50C70" w:rsidRDefault="005260B6" w:rsidP="005260B6">
            <w:pPr>
              <w:jc w:val="center"/>
              <w:rPr>
                <w:rFonts w:ascii="Calibri" w:eastAsiaTheme="minorEastAsia" w:hAnsi="Calibri" w:cs="Calibri"/>
                <w:szCs w:val="20"/>
              </w:rPr>
            </w:pPr>
            <w:r w:rsidRPr="00A50C70">
              <w:rPr>
                <w:rFonts w:ascii="Calibri" w:eastAsiaTheme="minorEastAsia" w:hAnsi="Calibri" w:cs="Calibri"/>
                <w:szCs w:val="20"/>
              </w:rPr>
              <w:t>6,2</w:t>
            </w:r>
          </w:p>
        </w:tc>
        <w:tc>
          <w:tcPr>
            <w:tcW w:w="560" w:type="dxa"/>
            <w:tcBorders>
              <w:top w:val="nil"/>
              <w:left w:val="nil"/>
              <w:bottom w:val="single" w:sz="4" w:space="0" w:color="auto"/>
              <w:right w:val="single" w:sz="4" w:space="0" w:color="auto"/>
            </w:tcBorders>
            <w:noWrap/>
            <w:vAlign w:val="bottom"/>
          </w:tcPr>
          <w:p w:rsidR="005260B6" w:rsidRPr="00A50C70" w:rsidRDefault="005260B6" w:rsidP="005260B6">
            <w:pPr>
              <w:jc w:val="center"/>
              <w:rPr>
                <w:rFonts w:ascii="Calibri" w:eastAsiaTheme="minorEastAsia" w:hAnsi="Calibri" w:cs="Calibri"/>
                <w:szCs w:val="20"/>
              </w:rPr>
            </w:pPr>
            <w:r w:rsidRPr="00A50C70">
              <w:rPr>
                <w:rFonts w:ascii="Calibri" w:eastAsiaTheme="minorEastAsia" w:hAnsi="Calibri" w:cs="Calibri"/>
                <w:szCs w:val="20"/>
              </w:rPr>
              <w:t>6,9</w:t>
            </w:r>
          </w:p>
        </w:tc>
        <w:tc>
          <w:tcPr>
            <w:tcW w:w="560" w:type="dxa"/>
            <w:tcBorders>
              <w:top w:val="nil"/>
              <w:left w:val="nil"/>
              <w:bottom w:val="single" w:sz="4" w:space="0" w:color="auto"/>
              <w:right w:val="single" w:sz="4" w:space="0" w:color="auto"/>
            </w:tcBorders>
            <w:noWrap/>
            <w:vAlign w:val="bottom"/>
          </w:tcPr>
          <w:p w:rsidR="005260B6" w:rsidRPr="00A50C70" w:rsidRDefault="005260B6" w:rsidP="005260B6">
            <w:pPr>
              <w:jc w:val="center"/>
              <w:rPr>
                <w:rFonts w:ascii="Calibri" w:eastAsiaTheme="minorEastAsia" w:hAnsi="Calibri" w:cs="Calibri"/>
                <w:szCs w:val="20"/>
              </w:rPr>
            </w:pPr>
            <w:r w:rsidRPr="00A50C70">
              <w:rPr>
                <w:rFonts w:ascii="Calibri" w:eastAsiaTheme="minorEastAsia" w:hAnsi="Calibri" w:cs="Calibri"/>
                <w:szCs w:val="20"/>
              </w:rPr>
              <w:t>7,1</w:t>
            </w:r>
          </w:p>
        </w:tc>
        <w:tc>
          <w:tcPr>
            <w:tcW w:w="560" w:type="dxa"/>
            <w:tcBorders>
              <w:top w:val="nil"/>
              <w:left w:val="nil"/>
              <w:bottom w:val="single" w:sz="4" w:space="0" w:color="auto"/>
              <w:right w:val="single" w:sz="4" w:space="0" w:color="auto"/>
            </w:tcBorders>
            <w:noWrap/>
            <w:vAlign w:val="bottom"/>
          </w:tcPr>
          <w:p w:rsidR="005260B6" w:rsidRPr="00A50C70" w:rsidRDefault="005260B6" w:rsidP="005260B6">
            <w:pPr>
              <w:jc w:val="center"/>
              <w:rPr>
                <w:rFonts w:ascii="Calibri" w:eastAsiaTheme="minorEastAsia" w:hAnsi="Calibri" w:cs="Calibri"/>
                <w:szCs w:val="20"/>
              </w:rPr>
            </w:pPr>
            <w:r w:rsidRPr="00A50C70">
              <w:rPr>
                <w:rFonts w:ascii="Calibri" w:eastAsiaTheme="minorEastAsia" w:hAnsi="Calibri" w:cs="Calibri"/>
                <w:szCs w:val="20"/>
              </w:rPr>
              <w:t>6,1</w:t>
            </w:r>
          </w:p>
        </w:tc>
        <w:tc>
          <w:tcPr>
            <w:tcW w:w="560" w:type="dxa"/>
            <w:tcBorders>
              <w:top w:val="nil"/>
              <w:left w:val="nil"/>
              <w:bottom w:val="single" w:sz="4" w:space="0" w:color="auto"/>
              <w:right w:val="single" w:sz="4" w:space="0" w:color="auto"/>
            </w:tcBorders>
            <w:noWrap/>
            <w:vAlign w:val="bottom"/>
          </w:tcPr>
          <w:p w:rsidR="005260B6" w:rsidRPr="00A50C70" w:rsidRDefault="005260B6" w:rsidP="005260B6">
            <w:pPr>
              <w:jc w:val="center"/>
              <w:rPr>
                <w:rFonts w:ascii="Calibri" w:eastAsiaTheme="minorEastAsia" w:hAnsi="Calibri" w:cs="Calibri"/>
                <w:szCs w:val="20"/>
              </w:rPr>
            </w:pPr>
            <w:r w:rsidRPr="00A50C70">
              <w:rPr>
                <w:rFonts w:ascii="Calibri" w:eastAsiaTheme="minorEastAsia" w:hAnsi="Calibri" w:cs="Calibri"/>
                <w:szCs w:val="20"/>
              </w:rPr>
              <w:t>5,2</w:t>
            </w:r>
          </w:p>
        </w:tc>
      </w:tr>
      <w:tr w:rsidR="005260B6" w:rsidRPr="00A50C70" w:rsidTr="00120CE3">
        <w:trPr>
          <w:trHeight w:val="300"/>
        </w:trPr>
        <w:tc>
          <w:tcPr>
            <w:tcW w:w="1900" w:type="dxa"/>
            <w:tcBorders>
              <w:top w:val="nil"/>
              <w:left w:val="single" w:sz="4" w:space="0" w:color="auto"/>
              <w:bottom w:val="single" w:sz="4" w:space="0" w:color="auto"/>
              <w:right w:val="single" w:sz="4" w:space="0" w:color="auto"/>
            </w:tcBorders>
            <w:shd w:val="clear" w:color="auto" w:fill="DDD9C3" w:themeFill="background2" w:themeFillShade="E6"/>
            <w:noWrap/>
            <w:vAlign w:val="bottom"/>
          </w:tcPr>
          <w:p w:rsidR="005260B6" w:rsidRPr="00A50C70" w:rsidRDefault="005260B6" w:rsidP="00AD27E2">
            <w:pPr>
              <w:rPr>
                <w:rFonts w:ascii="Calibri" w:eastAsiaTheme="minorEastAsia" w:hAnsi="Calibri" w:cs="Calibri"/>
                <w:b/>
                <w:bCs/>
                <w:szCs w:val="20"/>
              </w:rPr>
            </w:pPr>
            <w:r w:rsidRPr="00A50C70">
              <w:rPr>
                <w:rFonts w:ascii="Calibri" w:eastAsiaTheme="minorEastAsia" w:hAnsi="Calibri" w:cs="Calibri"/>
                <w:b/>
                <w:bCs/>
                <w:szCs w:val="20"/>
              </w:rPr>
              <w:t>Bytom</w:t>
            </w:r>
            <w:r w:rsidR="00AD27E2">
              <w:rPr>
                <w:rFonts w:ascii="Calibri" w:eastAsiaTheme="minorEastAsia" w:hAnsi="Calibri" w:cs="Calibri"/>
                <w:b/>
                <w:bCs/>
                <w:szCs w:val="20"/>
              </w:rPr>
              <w:t xml:space="preserve"> a </w:t>
            </w:r>
            <w:r w:rsidRPr="00A50C70">
              <w:rPr>
                <w:rFonts w:ascii="Calibri" w:eastAsiaTheme="minorEastAsia" w:hAnsi="Calibri" w:cs="Calibri"/>
                <w:b/>
                <w:bCs/>
                <w:szCs w:val="20"/>
              </w:rPr>
              <w:t>woj.</w:t>
            </w:r>
            <w:r w:rsidR="00A40018">
              <w:rPr>
                <w:rFonts w:ascii="Calibri" w:eastAsiaTheme="minorEastAsia" w:hAnsi="Calibri" w:cs="Calibri"/>
                <w:b/>
                <w:bCs/>
                <w:szCs w:val="20"/>
              </w:rPr>
              <w:t xml:space="preserve"> </w:t>
            </w:r>
            <w:r w:rsidRPr="00A50C70">
              <w:rPr>
                <w:rFonts w:ascii="Calibri" w:eastAsiaTheme="minorEastAsia" w:hAnsi="Calibri" w:cs="Calibri"/>
                <w:b/>
                <w:bCs/>
                <w:szCs w:val="20"/>
              </w:rPr>
              <w:t>Śląskie</w:t>
            </w:r>
          </w:p>
        </w:tc>
        <w:tc>
          <w:tcPr>
            <w:tcW w:w="580" w:type="dxa"/>
            <w:tcBorders>
              <w:top w:val="nil"/>
              <w:left w:val="nil"/>
              <w:bottom w:val="single" w:sz="4" w:space="0" w:color="auto"/>
              <w:right w:val="single" w:sz="4" w:space="0" w:color="auto"/>
            </w:tcBorders>
            <w:shd w:val="clear" w:color="auto" w:fill="DDD9C3" w:themeFill="background2" w:themeFillShade="E6"/>
            <w:noWrap/>
            <w:vAlign w:val="bottom"/>
          </w:tcPr>
          <w:p w:rsidR="005260B6" w:rsidRPr="00A50C70" w:rsidRDefault="005260B6" w:rsidP="005260B6">
            <w:pPr>
              <w:jc w:val="center"/>
              <w:rPr>
                <w:rFonts w:ascii="Calibri" w:eastAsiaTheme="minorEastAsia" w:hAnsi="Calibri" w:cs="Calibri"/>
                <w:b/>
                <w:bCs/>
                <w:szCs w:val="20"/>
              </w:rPr>
            </w:pPr>
            <w:r w:rsidRPr="00A50C70">
              <w:rPr>
                <w:rFonts w:ascii="Calibri" w:eastAsiaTheme="minorEastAsia" w:hAnsi="Calibri" w:cs="Calibri"/>
                <w:b/>
                <w:bCs/>
                <w:szCs w:val="20"/>
              </w:rPr>
              <w:t>[pp]</w:t>
            </w:r>
          </w:p>
        </w:tc>
        <w:tc>
          <w:tcPr>
            <w:tcW w:w="560" w:type="dxa"/>
            <w:tcBorders>
              <w:top w:val="nil"/>
              <w:left w:val="nil"/>
              <w:bottom w:val="single" w:sz="4" w:space="0" w:color="auto"/>
              <w:right w:val="single" w:sz="4" w:space="0" w:color="auto"/>
            </w:tcBorders>
            <w:shd w:val="clear" w:color="auto" w:fill="DDD9C3" w:themeFill="background2" w:themeFillShade="E6"/>
            <w:noWrap/>
            <w:vAlign w:val="bottom"/>
          </w:tcPr>
          <w:p w:rsidR="005260B6" w:rsidRPr="00A50C70" w:rsidRDefault="005260B6" w:rsidP="005260B6">
            <w:pPr>
              <w:jc w:val="center"/>
              <w:rPr>
                <w:rFonts w:ascii="Calibri" w:eastAsiaTheme="minorEastAsia" w:hAnsi="Calibri" w:cs="Calibri"/>
                <w:b/>
                <w:bCs/>
                <w:szCs w:val="20"/>
              </w:rPr>
            </w:pPr>
            <w:r w:rsidRPr="00A50C70">
              <w:rPr>
                <w:rFonts w:ascii="Calibri" w:eastAsiaTheme="minorEastAsia" w:hAnsi="Calibri" w:cs="Calibri"/>
                <w:b/>
                <w:bCs/>
                <w:szCs w:val="20"/>
              </w:rPr>
              <w:t>3,6</w:t>
            </w:r>
          </w:p>
        </w:tc>
        <w:tc>
          <w:tcPr>
            <w:tcW w:w="560" w:type="dxa"/>
            <w:tcBorders>
              <w:top w:val="nil"/>
              <w:left w:val="nil"/>
              <w:bottom w:val="single" w:sz="4" w:space="0" w:color="auto"/>
              <w:right w:val="single" w:sz="4" w:space="0" w:color="auto"/>
            </w:tcBorders>
            <w:shd w:val="clear" w:color="auto" w:fill="DDD9C3" w:themeFill="background2" w:themeFillShade="E6"/>
            <w:noWrap/>
            <w:vAlign w:val="bottom"/>
          </w:tcPr>
          <w:p w:rsidR="005260B6" w:rsidRPr="00A50C70" w:rsidRDefault="005260B6" w:rsidP="005260B6">
            <w:pPr>
              <w:jc w:val="center"/>
              <w:rPr>
                <w:rFonts w:ascii="Calibri" w:eastAsiaTheme="minorEastAsia" w:hAnsi="Calibri" w:cs="Calibri"/>
                <w:b/>
                <w:bCs/>
                <w:szCs w:val="20"/>
              </w:rPr>
            </w:pPr>
            <w:r w:rsidRPr="00A50C70">
              <w:rPr>
                <w:rFonts w:ascii="Calibri" w:eastAsiaTheme="minorEastAsia" w:hAnsi="Calibri" w:cs="Calibri"/>
                <w:b/>
                <w:bCs/>
                <w:szCs w:val="20"/>
              </w:rPr>
              <w:t>3,2</w:t>
            </w:r>
          </w:p>
        </w:tc>
        <w:tc>
          <w:tcPr>
            <w:tcW w:w="560" w:type="dxa"/>
            <w:tcBorders>
              <w:top w:val="nil"/>
              <w:left w:val="nil"/>
              <w:bottom w:val="single" w:sz="4" w:space="0" w:color="auto"/>
              <w:right w:val="single" w:sz="4" w:space="0" w:color="auto"/>
            </w:tcBorders>
            <w:shd w:val="clear" w:color="auto" w:fill="DDD9C3" w:themeFill="background2" w:themeFillShade="E6"/>
            <w:noWrap/>
            <w:vAlign w:val="bottom"/>
          </w:tcPr>
          <w:p w:rsidR="005260B6" w:rsidRPr="00A50C70" w:rsidRDefault="005260B6" w:rsidP="005260B6">
            <w:pPr>
              <w:jc w:val="center"/>
              <w:rPr>
                <w:rFonts w:ascii="Calibri" w:eastAsiaTheme="minorEastAsia" w:hAnsi="Calibri" w:cs="Calibri"/>
                <w:b/>
                <w:bCs/>
                <w:szCs w:val="20"/>
              </w:rPr>
            </w:pPr>
            <w:r w:rsidRPr="00A50C70">
              <w:rPr>
                <w:rFonts w:ascii="Calibri" w:eastAsiaTheme="minorEastAsia" w:hAnsi="Calibri" w:cs="Calibri"/>
                <w:b/>
                <w:bCs/>
                <w:szCs w:val="20"/>
              </w:rPr>
              <w:t>2,7</w:t>
            </w:r>
          </w:p>
        </w:tc>
        <w:tc>
          <w:tcPr>
            <w:tcW w:w="560" w:type="dxa"/>
            <w:tcBorders>
              <w:top w:val="nil"/>
              <w:left w:val="nil"/>
              <w:bottom w:val="single" w:sz="4" w:space="0" w:color="auto"/>
              <w:right w:val="single" w:sz="4" w:space="0" w:color="auto"/>
            </w:tcBorders>
            <w:shd w:val="clear" w:color="auto" w:fill="DDD9C3" w:themeFill="background2" w:themeFillShade="E6"/>
            <w:noWrap/>
            <w:vAlign w:val="bottom"/>
          </w:tcPr>
          <w:p w:rsidR="005260B6" w:rsidRPr="00A50C70" w:rsidRDefault="005260B6" w:rsidP="005260B6">
            <w:pPr>
              <w:jc w:val="center"/>
              <w:rPr>
                <w:rFonts w:ascii="Calibri" w:eastAsiaTheme="minorEastAsia" w:hAnsi="Calibri" w:cs="Calibri"/>
                <w:b/>
                <w:bCs/>
                <w:szCs w:val="20"/>
              </w:rPr>
            </w:pPr>
            <w:r w:rsidRPr="00A50C70">
              <w:rPr>
                <w:rFonts w:ascii="Calibri" w:eastAsiaTheme="minorEastAsia" w:hAnsi="Calibri" w:cs="Calibri"/>
                <w:b/>
                <w:bCs/>
                <w:szCs w:val="20"/>
              </w:rPr>
              <w:t>2,0</w:t>
            </w:r>
          </w:p>
        </w:tc>
        <w:tc>
          <w:tcPr>
            <w:tcW w:w="560" w:type="dxa"/>
            <w:tcBorders>
              <w:top w:val="nil"/>
              <w:left w:val="nil"/>
              <w:bottom w:val="single" w:sz="4" w:space="0" w:color="auto"/>
              <w:right w:val="single" w:sz="4" w:space="0" w:color="auto"/>
            </w:tcBorders>
            <w:shd w:val="clear" w:color="auto" w:fill="DDD9C3" w:themeFill="background2" w:themeFillShade="E6"/>
            <w:noWrap/>
            <w:vAlign w:val="bottom"/>
          </w:tcPr>
          <w:p w:rsidR="005260B6" w:rsidRPr="00A50C70" w:rsidRDefault="005260B6" w:rsidP="005260B6">
            <w:pPr>
              <w:jc w:val="center"/>
              <w:rPr>
                <w:rFonts w:ascii="Calibri" w:eastAsiaTheme="minorEastAsia" w:hAnsi="Calibri" w:cs="Calibri"/>
                <w:b/>
                <w:bCs/>
                <w:szCs w:val="20"/>
              </w:rPr>
            </w:pPr>
            <w:r w:rsidRPr="00A50C70">
              <w:rPr>
                <w:rFonts w:ascii="Calibri" w:eastAsiaTheme="minorEastAsia" w:hAnsi="Calibri" w:cs="Calibri"/>
                <w:b/>
                <w:bCs/>
                <w:szCs w:val="20"/>
              </w:rPr>
              <w:t>1,7</w:t>
            </w:r>
          </w:p>
        </w:tc>
        <w:tc>
          <w:tcPr>
            <w:tcW w:w="560" w:type="dxa"/>
            <w:tcBorders>
              <w:top w:val="nil"/>
              <w:left w:val="nil"/>
              <w:bottom w:val="single" w:sz="4" w:space="0" w:color="auto"/>
              <w:right w:val="single" w:sz="4" w:space="0" w:color="auto"/>
            </w:tcBorders>
            <w:shd w:val="clear" w:color="auto" w:fill="DDD9C3" w:themeFill="background2" w:themeFillShade="E6"/>
            <w:noWrap/>
            <w:vAlign w:val="bottom"/>
          </w:tcPr>
          <w:p w:rsidR="005260B6" w:rsidRPr="00A50C70" w:rsidRDefault="005260B6" w:rsidP="005260B6">
            <w:pPr>
              <w:jc w:val="center"/>
              <w:rPr>
                <w:rFonts w:ascii="Calibri" w:eastAsiaTheme="minorEastAsia" w:hAnsi="Calibri" w:cs="Calibri"/>
                <w:b/>
                <w:bCs/>
                <w:szCs w:val="20"/>
              </w:rPr>
            </w:pPr>
            <w:r w:rsidRPr="00A50C70">
              <w:rPr>
                <w:rFonts w:ascii="Calibri" w:eastAsiaTheme="minorEastAsia" w:hAnsi="Calibri" w:cs="Calibri"/>
                <w:b/>
                <w:bCs/>
                <w:szCs w:val="20"/>
              </w:rPr>
              <w:t>2,3</w:t>
            </w:r>
          </w:p>
        </w:tc>
        <w:tc>
          <w:tcPr>
            <w:tcW w:w="560" w:type="dxa"/>
            <w:tcBorders>
              <w:top w:val="nil"/>
              <w:left w:val="nil"/>
              <w:bottom w:val="single" w:sz="4" w:space="0" w:color="auto"/>
              <w:right w:val="single" w:sz="4" w:space="0" w:color="auto"/>
            </w:tcBorders>
            <w:shd w:val="clear" w:color="auto" w:fill="DDD9C3" w:themeFill="background2" w:themeFillShade="E6"/>
            <w:noWrap/>
            <w:vAlign w:val="bottom"/>
          </w:tcPr>
          <w:p w:rsidR="005260B6" w:rsidRPr="00A50C70" w:rsidRDefault="005260B6" w:rsidP="005260B6">
            <w:pPr>
              <w:jc w:val="center"/>
              <w:rPr>
                <w:rFonts w:ascii="Calibri" w:eastAsiaTheme="minorEastAsia" w:hAnsi="Calibri" w:cs="Calibri"/>
                <w:b/>
                <w:bCs/>
                <w:szCs w:val="20"/>
              </w:rPr>
            </w:pPr>
            <w:r w:rsidRPr="00A50C70">
              <w:rPr>
                <w:rFonts w:ascii="Calibri" w:eastAsiaTheme="minorEastAsia" w:hAnsi="Calibri" w:cs="Calibri"/>
                <w:b/>
                <w:bCs/>
                <w:szCs w:val="20"/>
              </w:rPr>
              <w:t>2,6</w:t>
            </w:r>
          </w:p>
        </w:tc>
        <w:tc>
          <w:tcPr>
            <w:tcW w:w="560" w:type="dxa"/>
            <w:tcBorders>
              <w:top w:val="nil"/>
              <w:left w:val="nil"/>
              <w:bottom w:val="single" w:sz="4" w:space="0" w:color="auto"/>
              <w:right w:val="single" w:sz="4" w:space="0" w:color="auto"/>
            </w:tcBorders>
            <w:shd w:val="clear" w:color="auto" w:fill="DDD9C3" w:themeFill="background2" w:themeFillShade="E6"/>
            <w:noWrap/>
            <w:vAlign w:val="bottom"/>
          </w:tcPr>
          <w:p w:rsidR="005260B6" w:rsidRPr="00A50C70" w:rsidRDefault="005260B6" w:rsidP="005260B6">
            <w:pPr>
              <w:jc w:val="center"/>
              <w:rPr>
                <w:rFonts w:ascii="Calibri" w:eastAsiaTheme="minorEastAsia" w:hAnsi="Calibri" w:cs="Calibri"/>
                <w:b/>
                <w:bCs/>
                <w:szCs w:val="20"/>
              </w:rPr>
            </w:pPr>
            <w:r w:rsidRPr="00A50C70">
              <w:rPr>
                <w:rFonts w:ascii="Calibri" w:eastAsiaTheme="minorEastAsia" w:hAnsi="Calibri" w:cs="Calibri"/>
                <w:b/>
                <w:bCs/>
                <w:szCs w:val="20"/>
              </w:rPr>
              <w:t>3,3</w:t>
            </w:r>
          </w:p>
        </w:tc>
        <w:tc>
          <w:tcPr>
            <w:tcW w:w="560" w:type="dxa"/>
            <w:tcBorders>
              <w:top w:val="nil"/>
              <w:left w:val="nil"/>
              <w:bottom w:val="single" w:sz="4" w:space="0" w:color="auto"/>
              <w:right w:val="single" w:sz="4" w:space="0" w:color="auto"/>
            </w:tcBorders>
            <w:shd w:val="clear" w:color="auto" w:fill="DDD9C3" w:themeFill="background2" w:themeFillShade="E6"/>
            <w:noWrap/>
            <w:vAlign w:val="bottom"/>
          </w:tcPr>
          <w:p w:rsidR="005260B6" w:rsidRPr="00A50C70" w:rsidRDefault="005260B6" w:rsidP="005260B6">
            <w:pPr>
              <w:jc w:val="center"/>
              <w:rPr>
                <w:rFonts w:ascii="Calibri" w:eastAsiaTheme="minorEastAsia" w:hAnsi="Calibri" w:cs="Calibri"/>
                <w:b/>
                <w:bCs/>
                <w:szCs w:val="20"/>
              </w:rPr>
            </w:pPr>
            <w:r w:rsidRPr="00A50C70">
              <w:rPr>
                <w:rFonts w:ascii="Calibri" w:eastAsiaTheme="minorEastAsia" w:hAnsi="Calibri" w:cs="Calibri"/>
                <w:b/>
                <w:bCs/>
                <w:szCs w:val="20"/>
              </w:rPr>
              <w:t>2,9</w:t>
            </w:r>
          </w:p>
        </w:tc>
        <w:tc>
          <w:tcPr>
            <w:tcW w:w="560" w:type="dxa"/>
            <w:tcBorders>
              <w:top w:val="nil"/>
              <w:left w:val="nil"/>
              <w:bottom w:val="single" w:sz="4" w:space="0" w:color="auto"/>
              <w:right w:val="single" w:sz="4" w:space="0" w:color="auto"/>
            </w:tcBorders>
            <w:shd w:val="clear" w:color="auto" w:fill="DDD9C3" w:themeFill="background2" w:themeFillShade="E6"/>
            <w:noWrap/>
            <w:vAlign w:val="bottom"/>
          </w:tcPr>
          <w:p w:rsidR="005260B6" w:rsidRPr="00A50C70" w:rsidRDefault="005260B6" w:rsidP="005260B6">
            <w:pPr>
              <w:jc w:val="center"/>
              <w:rPr>
                <w:rFonts w:ascii="Calibri" w:eastAsiaTheme="minorEastAsia" w:hAnsi="Calibri" w:cs="Calibri"/>
                <w:b/>
                <w:bCs/>
                <w:szCs w:val="20"/>
              </w:rPr>
            </w:pPr>
            <w:r w:rsidRPr="00A50C70">
              <w:rPr>
                <w:rFonts w:ascii="Calibri" w:eastAsiaTheme="minorEastAsia" w:hAnsi="Calibri" w:cs="Calibri"/>
                <w:b/>
                <w:bCs/>
                <w:szCs w:val="20"/>
              </w:rPr>
              <w:t>3,4</w:t>
            </w:r>
          </w:p>
        </w:tc>
        <w:tc>
          <w:tcPr>
            <w:tcW w:w="560" w:type="dxa"/>
            <w:tcBorders>
              <w:top w:val="nil"/>
              <w:left w:val="nil"/>
              <w:bottom w:val="single" w:sz="4" w:space="0" w:color="auto"/>
              <w:right w:val="single" w:sz="4" w:space="0" w:color="auto"/>
            </w:tcBorders>
            <w:shd w:val="clear" w:color="auto" w:fill="DDD9C3" w:themeFill="background2" w:themeFillShade="E6"/>
            <w:noWrap/>
            <w:vAlign w:val="bottom"/>
          </w:tcPr>
          <w:p w:rsidR="005260B6" w:rsidRPr="00A50C70" w:rsidRDefault="005260B6" w:rsidP="005260B6">
            <w:pPr>
              <w:jc w:val="center"/>
              <w:rPr>
                <w:rFonts w:ascii="Calibri" w:eastAsiaTheme="minorEastAsia" w:hAnsi="Calibri" w:cs="Calibri"/>
                <w:b/>
                <w:bCs/>
                <w:szCs w:val="20"/>
              </w:rPr>
            </w:pPr>
            <w:r w:rsidRPr="00A50C70">
              <w:rPr>
                <w:rFonts w:ascii="Calibri" w:eastAsiaTheme="minorEastAsia" w:hAnsi="Calibri" w:cs="Calibri"/>
                <w:b/>
                <w:bCs/>
                <w:szCs w:val="20"/>
              </w:rPr>
              <w:t>3,5</w:t>
            </w:r>
          </w:p>
        </w:tc>
        <w:tc>
          <w:tcPr>
            <w:tcW w:w="560" w:type="dxa"/>
            <w:tcBorders>
              <w:top w:val="nil"/>
              <w:left w:val="nil"/>
              <w:bottom w:val="single" w:sz="4" w:space="0" w:color="auto"/>
              <w:right w:val="single" w:sz="4" w:space="0" w:color="auto"/>
            </w:tcBorders>
            <w:shd w:val="clear" w:color="auto" w:fill="DDD9C3" w:themeFill="background2" w:themeFillShade="E6"/>
            <w:noWrap/>
            <w:vAlign w:val="bottom"/>
          </w:tcPr>
          <w:p w:rsidR="005260B6" w:rsidRPr="00A50C70" w:rsidRDefault="005260B6" w:rsidP="005260B6">
            <w:pPr>
              <w:jc w:val="center"/>
              <w:rPr>
                <w:rFonts w:ascii="Calibri" w:eastAsiaTheme="minorEastAsia" w:hAnsi="Calibri" w:cs="Calibri"/>
                <w:b/>
                <w:bCs/>
                <w:szCs w:val="20"/>
              </w:rPr>
            </w:pPr>
            <w:r w:rsidRPr="00A50C70">
              <w:rPr>
                <w:rFonts w:ascii="Calibri" w:eastAsiaTheme="minorEastAsia" w:hAnsi="Calibri" w:cs="Calibri"/>
                <w:b/>
                <w:bCs/>
                <w:szCs w:val="20"/>
              </w:rPr>
              <w:t>3,4</w:t>
            </w:r>
          </w:p>
        </w:tc>
      </w:tr>
    </w:tbl>
    <w:p w:rsidR="005260B6" w:rsidRDefault="005260B6" w:rsidP="005260B6">
      <w:pPr>
        <w:rPr>
          <w:rFonts w:ascii="Calibri" w:hAnsi="Calibri" w:cs="Calibri"/>
          <w:i/>
          <w:iCs/>
          <w:sz w:val="18"/>
          <w:szCs w:val="18"/>
        </w:rPr>
      </w:pPr>
      <w:r>
        <w:rPr>
          <w:rFonts w:ascii="Calibri" w:hAnsi="Calibri" w:cs="Calibri"/>
          <w:i/>
          <w:iCs/>
          <w:sz w:val="18"/>
          <w:szCs w:val="18"/>
        </w:rPr>
        <w:t>Źródło: Bank Danych Lokalnych GUS</w:t>
      </w:r>
    </w:p>
    <w:p w:rsidR="005260B6" w:rsidRDefault="005260B6" w:rsidP="005260B6">
      <w:pPr>
        <w:ind w:firstLine="708"/>
        <w:jc w:val="both"/>
        <w:rPr>
          <w:rFonts w:ascii="Calibri" w:hAnsi="Calibri" w:cs="Calibri"/>
          <w:b/>
          <w:bCs/>
          <w:color w:val="C00000"/>
          <w:szCs w:val="20"/>
        </w:rPr>
      </w:pPr>
    </w:p>
    <w:p w:rsidR="005260B6" w:rsidRDefault="005260B6" w:rsidP="005260B6">
      <w:pPr>
        <w:pStyle w:val="Legenda"/>
        <w:keepNext/>
        <w:spacing w:line="312" w:lineRule="auto"/>
        <w:rPr>
          <w:rFonts w:ascii="Calibri" w:hAnsi="Calibri" w:cs="Calibri"/>
        </w:rPr>
      </w:pPr>
      <w:bookmarkStart w:id="4046" w:name="_Toc191972617"/>
      <w:r>
        <w:rPr>
          <w:rFonts w:ascii="Calibri" w:hAnsi="Calibri" w:cs="Calibri"/>
        </w:rPr>
        <w:t xml:space="preserve">Mapa </w:t>
      </w:r>
      <w:r w:rsidR="003972D8">
        <w:rPr>
          <w:rFonts w:ascii="Calibri" w:hAnsi="Calibri" w:cs="Calibri"/>
        </w:rPr>
        <w:fldChar w:fldCharType="begin"/>
      </w:r>
      <w:r>
        <w:rPr>
          <w:rFonts w:ascii="Calibri" w:hAnsi="Calibri" w:cs="Calibri"/>
        </w:rPr>
        <w:instrText xml:space="preserve"> SEQ Mapa \* ARABIC </w:instrText>
      </w:r>
      <w:r w:rsidR="003972D8">
        <w:rPr>
          <w:rFonts w:ascii="Calibri" w:hAnsi="Calibri" w:cs="Calibri"/>
        </w:rPr>
        <w:fldChar w:fldCharType="separate"/>
      </w:r>
      <w:r w:rsidR="00413FFE">
        <w:rPr>
          <w:rFonts w:ascii="Calibri" w:hAnsi="Calibri" w:cs="Calibri"/>
          <w:noProof/>
        </w:rPr>
        <w:t>5</w:t>
      </w:r>
      <w:r w:rsidR="003972D8">
        <w:rPr>
          <w:rFonts w:ascii="Calibri" w:hAnsi="Calibri" w:cs="Calibri"/>
        </w:rPr>
        <w:fldChar w:fldCharType="end"/>
      </w:r>
      <w:r>
        <w:rPr>
          <w:rFonts w:ascii="Calibri" w:hAnsi="Calibri" w:cs="Calibri"/>
        </w:rPr>
        <w:t>. Udział osób bezrobotnych w ludności w wieku produkcyjnym</w:t>
      </w:r>
      <w:bookmarkEnd w:id="4046"/>
    </w:p>
    <w:p w:rsidR="005260B6" w:rsidRDefault="009B5277" w:rsidP="005260B6">
      <w:pPr>
        <w:autoSpaceDE w:val="0"/>
        <w:autoSpaceDN w:val="0"/>
        <w:adjustRightInd w:val="0"/>
        <w:rPr>
          <w:rFonts w:ascii="Calibri" w:hAnsi="Calibri" w:cs="Calibri"/>
          <w:i/>
          <w:iCs/>
          <w:sz w:val="18"/>
          <w:szCs w:val="18"/>
        </w:rPr>
      </w:pPr>
      <w:r>
        <w:rPr>
          <w:noProof/>
        </w:rPr>
        <w:drawing>
          <wp:inline distT="0" distB="0" distL="0" distR="0">
            <wp:extent cx="5762625" cy="4072255"/>
            <wp:effectExtent l="19050" t="0" r="9525" b="0"/>
            <wp:docPr id="43" name="Obraz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7" cstate="print"/>
                    <a:srcRect/>
                    <a:stretch>
                      <a:fillRect/>
                    </a:stretch>
                  </pic:blipFill>
                  <pic:spPr bwMode="auto">
                    <a:xfrm>
                      <a:off x="0" y="0"/>
                      <a:ext cx="5762625" cy="4072255"/>
                    </a:xfrm>
                    <a:prstGeom prst="rect">
                      <a:avLst/>
                    </a:prstGeom>
                    <a:noFill/>
                    <a:ln w="9525">
                      <a:noFill/>
                      <a:miter lim="800000"/>
                      <a:headEnd/>
                      <a:tailEnd/>
                    </a:ln>
                  </pic:spPr>
                </pic:pic>
              </a:graphicData>
            </a:graphic>
          </wp:inline>
        </w:drawing>
      </w:r>
      <w:r w:rsidR="005260B6">
        <w:t xml:space="preserve"> </w:t>
      </w:r>
      <w:r w:rsidR="005260B6">
        <w:rPr>
          <w:rFonts w:ascii="Calibri" w:hAnsi="Calibri" w:cs="Calibri"/>
          <w:i/>
          <w:iCs/>
          <w:sz w:val="18"/>
          <w:szCs w:val="18"/>
        </w:rPr>
        <w:t xml:space="preserve">Źródło: Opracowanie Instytutu Rozwoju Miast na podstawie danych </w:t>
      </w:r>
      <w:r w:rsidR="0019234A">
        <w:rPr>
          <w:rFonts w:ascii="Calibri" w:hAnsi="Calibri" w:cs="Calibri"/>
          <w:i/>
          <w:iCs/>
          <w:sz w:val="18"/>
          <w:szCs w:val="18"/>
        </w:rPr>
        <w:t>z PUP</w:t>
      </w:r>
    </w:p>
    <w:p w:rsidR="00AD27E2" w:rsidRDefault="00AD27E2" w:rsidP="005260B6">
      <w:pPr>
        <w:ind w:firstLine="708"/>
        <w:jc w:val="both"/>
        <w:rPr>
          <w:rFonts w:cstheme="minorHAnsi"/>
          <w:szCs w:val="20"/>
        </w:rPr>
      </w:pPr>
    </w:p>
    <w:p w:rsidR="00A40018" w:rsidRDefault="00A40018" w:rsidP="00A40018">
      <w:pPr>
        <w:ind w:firstLine="708"/>
        <w:jc w:val="both"/>
        <w:rPr>
          <w:rFonts w:ascii="Calibri" w:hAnsi="Calibri" w:cs="Calibri"/>
          <w:szCs w:val="20"/>
        </w:rPr>
      </w:pPr>
      <w:r>
        <w:rPr>
          <w:rFonts w:ascii="Calibri" w:hAnsi="Calibri" w:cs="Calibri"/>
          <w:szCs w:val="20"/>
        </w:rPr>
        <w:lastRenderedPageBreak/>
        <w:t xml:space="preserve">Liczba bezrobotnych w stosunku do osób w wieku produkcyjnym na obszarze rewitalizacji jest o ponad połowę wyższa, niż średnio w mieście, przy czym jak już sygnalizowano powyżej, średnia miasta jest jedną z najwyższych w województwie śląskim. </w:t>
      </w:r>
      <w:r>
        <w:rPr>
          <w:rFonts w:ascii="Calibri" w:hAnsi="Calibri" w:cs="Calibri"/>
          <w:b/>
          <w:bCs/>
          <w:color w:val="C00000"/>
          <w:szCs w:val="20"/>
        </w:rPr>
        <w:t xml:space="preserve">Wskaźnik liczby osób bezrobotnych w stosunku do liczby osób w wieku produkcyjnym wynosi tu aż 14,4% (w Bytomiu 8,6%, w Polsce 6,5%, w województwie 5,2%). </w:t>
      </w:r>
      <w:r w:rsidRPr="00E8685D">
        <w:rPr>
          <w:rFonts w:ascii="Calibri" w:hAnsi="Calibri" w:cs="Calibri"/>
          <w:b/>
          <w:color w:val="C00000"/>
          <w:szCs w:val="20"/>
        </w:rPr>
        <w:t>Szczególną koncentrację bezrobotnych obserwujemy w podobszarze Bobrek, gdzie ich udział w populacji osób w wieku produkcyjnym ponad dwukrotnie przekracza średnią dla miasta.</w:t>
      </w:r>
      <w:r>
        <w:rPr>
          <w:rFonts w:ascii="Calibri" w:hAnsi="Calibri" w:cs="Calibri"/>
          <w:szCs w:val="20"/>
        </w:rPr>
        <w:t xml:space="preserve"> Z obliczeń wynika, że wynosi ono tam aż 22%</w:t>
      </w:r>
      <w:r>
        <w:rPr>
          <w:rStyle w:val="Odwoanieprzypisudolnego"/>
          <w:rFonts w:ascii="Calibri" w:hAnsi="Calibri" w:cs="Calibri"/>
          <w:szCs w:val="20"/>
        </w:rPr>
        <w:footnoteReference w:id="9"/>
      </w:r>
      <w:r>
        <w:rPr>
          <w:rFonts w:ascii="Calibri" w:hAnsi="Calibri" w:cs="Calibri"/>
          <w:szCs w:val="20"/>
        </w:rPr>
        <w:t>. Bezrobocie 17% i 15% występuje w podobszarach Rozbark i Śródmieście. Wymienione cztery podobszary na całej swej powierzchni borykają się z problemem braku zatrudnienia. Śródmieście Północ i Zachód jako jednostki przekraczają średnią miejską nieznacznie, ale w ich granicach także występują rejony o znacznie mniejszym nasileniu zjawiska. Działania naprawcze należy</w:t>
      </w:r>
      <w:r w:rsidR="004B3233">
        <w:rPr>
          <w:rFonts w:ascii="Calibri" w:hAnsi="Calibri" w:cs="Calibri"/>
          <w:szCs w:val="20"/>
        </w:rPr>
        <w:t>,</w:t>
      </w:r>
      <w:r>
        <w:rPr>
          <w:rFonts w:ascii="Calibri" w:hAnsi="Calibri" w:cs="Calibri"/>
          <w:szCs w:val="20"/>
        </w:rPr>
        <w:t xml:space="preserve"> więc prowadzić we wszystkich wskazanych podobszarach rewitalizacji mając na uwadze preferencje w rekrutacji uczestników projektów z</w:t>
      </w:r>
      <w:r w:rsidR="004B3233">
        <w:rPr>
          <w:rFonts w:ascii="Calibri" w:hAnsi="Calibri" w:cs="Calibri"/>
          <w:szCs w:val="20"/>
        </w:rPr>
        <w:t> </w:t>
      </w:r>
      <w:r>
        <w:rPr>
          <w:rFonts w:ascii="Calibri" w:hAnsi="Calibri" w:cs="Calibri"/>
          <w:szCs w:val="20"/>
        </w:rPr>
        <w:t xml:space="preserve">podobszarów Bobrek, Śródmieście i Rozbark.  </w:t>
      </w:r>
    </w:p>
    <w:p w:rsidR="00A40018" w:rsidRDefault="00A40018" w:rsidP="00A40018">
      <w:pPr>
        <w:ind w:firstLine="708"/>
        <w:jc w:val="both"/>
        <w:rPr>
          <w:rFonts w:ascii="Calibri" w:hAnsi="Calibri" w:cs="Calibri"/>
          <w:szCs w:val="20"/>
        </w:rPr>
      </w:pPr>
      <w:r>
        <w:rPr>
          <w:rFonts w:ascii="Calibri" w:hAnsi="Calibri" w:cs="Calibri"/>
          <w:szCs w:val="20"/>
        </w:rPr>
        <w:t xml:space="preserve">Na załączonej mapie kolorem niebieskim zaznaczone sześciokąty, w których wskaźnik udziału osób bezrobotnych w ludności w wieku produkcyjnym przybiera wartości niższe niż średnia dla miasta. </w:t>
      </w:r>
      <w:r w:rsidRPr="00B90FA8">
        <w:rPr>
          <w:rFonts w:ascii="Calibri" w:hAnsi="Calibri" w:cs="Calibri"/>
          <w:szCs w:val="20"/>
        </w:rPr>
        <w:t>Najciemniejszy odcień oznacza najlepszą sytuację pod względem bezrobocia –</w:t>
      </w:r>
      <w:r>
        <w:rPr>
          <w:rFonts w:ascii="Calibri" w:hAnsi="Calibri" w:cs="Calibri"/>
          <w:szCs w:val="20"/>
        </w:rPr>
        <w:t xml:space="preserve"> wskaźnik jest tam trzykrotnie niższy od średniej. Kolory pomarańczowe i czerwone oznaczają na mapie te sześciokąty, w których bezrobocie przekracza średnią miasta. Im intensywniejszy kolor, tym większe bezrobocie. Najciemniejsze czerwone pola oznaczają wskaźnik dwukrotnie przewyższający średnią dla miasta. </w:t>
      </w:r>
    </w:p>
    <w:p w:rsidR="005260B6" w:rsidRPr="00E500FD" w:rsidRDefault="005260B6" w:rsidP="005260B6">
      <w:pPr>
        <w:ind w:firstLine="708"/>
        <w:jc w:val="both"/>
        <w:rPr>
          <w:rFonts w:cstheme="minorHAnsi"/>
          <w:szCs w:val="20"/>
        </w:rPr>
      </w:pPr>
      <w:r w:rsidRPr="00E500FD">
        <w:rPr>
          <w:rFonts w:cstheme="minorHAnsi"/>
          <w:szCs w:val="20"/>
        </w:rPr>
        <w:t xml:space="preserve">Wysoka stopa bezrobocia w Bytomiu jest poważnym problemem. Jednak zdecydowanie najbardziej niepokojącym zjawiskiem obserwowanym na rynku pracy jest </w:t>
      </w:r>
      <w:r w:rsidRPr="0094354B">
        <w:rPr>
          <w:rFonts w:cstheme="minorHAnsi"/>
          <w:b/>
          <w:color w:val="C00000"/>
          <w:szCs w:val="20"/>
        </w:rPr>
        <w:t xml:space="preserve">bardzo wysoki odsetek osób długotrwale bezrobotnych, który na koniec grudnia 2015 r. wyniósł 64,6%. </w:t>
      </w:r>
      <w:r w:rsidRPr="00E500FD">
        <w:rPr>
          <w:rFonts w:cstheme="minorHAnsi"/>
          <w:szCs w:val="20"/>
        </w:rPr>
        <w:t xml:space="preserve">Grupa ta jest szczególnie obciążona społecznie. W Bytomiu 47% spośród osób bezrobotnych poszukuje zatrudnienia przez ponad 12 miesięcy, a 28% wszystkich bezrobotnych to bezrobotni pozostający bez aktywności zawodowej więcej niż dwa lata. </w:t>
      </w:r>
      <w:r w:rsidRPr="00AD27E2">
        <w:rPr>
          <w:rFonts w:cstheme="minorHAnsi"/>
          <w:b/>
          <w:color w:val="C00000"/>
          <w:szCs w:val="20"/>
        </w:rPr>
        <w:t xml:space="preserve">Problem bezrobocia długotrwałego jest jeszcze większym </w:t>
      </w:r>
      <w:r w:rsidRPr="00AD27E2">
        <w:rPr>
          <w:rFonts w:cstheme="minorHAnsi"/>
          <w:b/>
          <w:bCs/>
          <w:color w:val="C00000"/>
          <w:szCs w:val="20"/>
        </w:rPr>
        <w:t xml:space="preserve">wyzwaniem na obszarze rewitalizacji </w:t>
      </w:r>
      <w:r>
        <w:rPr>
          <w:rFonts w:cstheme="minorHAnsi"/>
          <w:b/>
          <w:bCs/>
          <w:color w:val="C00000"/>
          <w:szCs w:val="20"/>
        </w:rPr>
        <w:t xml:space="preserve">- </w:t>
      </w:r>
      <w:r w:rsidRPr="00E500FD">
        <w:rPr>
          <w:rFonts w:cstheme="minorHAnsi"/>
          <w:szCs w:val="20"/>
        </w:rPr>
        <w:t xml:space="preserve"> odpowiednio 50% i 31%. </w:t>
      </w:r>
    </w:p>
    <w:p w:rsidR="005260B6" w:rsidRDefault="005260B6" w:rsidP="005260B6">
      <w:pPr>
        <w:jc w:val="both"/>
        <w:rPr>
          <w:rFonts w:ascii="Calibri" w:hAnsi="Calibri" w:cs="Calibri"/>
          <w:szCs w:val="20"/>
        </w:rPr>
      </w:pPr>
    </w:p>
    <w:p w:rsidR="005260B6" w:rsidRDefault="005260B6" w:rsidP="005260B6">
      <w:pPr>
        <w:pStyle w:val="Legenda"/>
        <w:spacing w:line="312" w:lineRule="auto"/>
        <w:rPr>
          <w:rFonts w:ascii="Calibri" w:hAnsi="Calibri" w:cs="Calibri"/>
        </w:rPr>
      </w:pPr>
      <w:bookmarkStart w:id="4047" w:name="_Toc202771100"/>
      <w:r>
        <w:rPr>
          <w:rFonts w:ascii="Calibri" w:hAnsi="Calibri" w:cs="Calibri"/>
        </w:rPr>
        <w:t xml:space="preserve">Tabela </w:t>
      </w:r>
      <w:r w:rsidR="003972D8">
        <w:rPr>
          <w:rFonts w:ascii="Calibri" w:hAnsi="Calibri" w:cs="Calibri"/>
        </w:rPr>
        <w:fldChar w:fldCharType="begin"/>
      </w:r>
      <w:r>
        <w:rPr>
          <w:rFonts w:ascii="Calibri" w:hAnsi="Calibri" w:cs="Calibri"/>
        </w:rPr>
        <w:instrText xml:space="preserve"> SEQ Tabela \* ARABIC </w:instrText>
      </w:r>
      <w:r w:rsidR="003972D8">
        <w:rPr>
          <w:rFonts w:ascii="Calibri" w:hAnsi="Calibri" w:cs="Calibri"/>
        </w:rPr>
        <w:fldChar w:fldCharType="separate"/>
      </w:r>
      <w:r w:rsidR="00413FFE">
        <w:rPr>
          <w:rFonts w:ascii="Calibri" w:hAnsi="Calibri" w:cs="Calibri"/>
          <w:noProof/>
        </w:rPr>
        <w:t>6</w:t>
      </w:r>
      <w:r w:rsidR="003972D8">
        <w:rPr>
          <w:rFonts w:ascii="Calibri" w:hAnsi="Calibri" w:cs="Calibri"/>
        </w:rPr>
        <w:fldChar w:fldCharType="end"/>
      </w:r>
      <w:r>
        <w:rPr>
          <w:rFonts w:ascii="Calibri" w:hAnsi="Calibri" w:cs="Calibri"/>
        </w:rPr>
        <w:t>. Bezrobotni według czasu pozostawania bez pracy</w:t>
      </w:r>
      <w:bookmarkEnd w:id="4047"/>
      <w:r>
        <w:rPr>
          <w:rFonts w:ascii="Calibri" w:hAnsi="Calibri" w:cs="Calibri"/>
        </w:rPr>
        <w:t xml:space="preserve"> </w:t>
      </w:r>
    </w:p>
    <w:tbl>
      <w:tblPr>
        <w:tblW w:w="9100" w:type="dxa"/>
        <w:tblInd w:w="-68" w:type="dxa"/>
        <w:tblCellMar>
          <w:left w:w="70" w:type="dxa"/>
          <w:right w:w="70" w:type="dxa"/>
        </w:tblCellMar>
        <w:tblLook w:val="0000"/>
      </w:tblPr>
      <w:tblGrid>
        <w:gridCol w:w="2660"/>
        <w:gridCol w:w="920"/>
        <w:gridCol w:w="920"/>
        <w:gridCol w:w="920"/>
        <w:gridCol w:w="920"/>
        <w:gridCol w:w="920"/>
        <w:gridCol w:w="920"/>
        <w:gridCol w:w="920"/>
      </w:tblGrid>
      <w:tr w:rsidR="005260B6" w:rsidRPr="00A50C70" w:rsidTr="005260B6">
        <w:trPr>
          <w:trHeight w:val="656"/>
        </w:trPr>
        <w:tc>
          <w:tcPr>
            <w:tcW w:w="2660" w:type="dxa"/>
            <w:tcBorders>
              <w:top w:val="single" w:sz="4" w:space="0" w:color="auto"/>
              <w:left w:val="single" w:sz="4" w:space="0" w:color="auto"/>
              <w:bottom w:val="single" w:sz="4" w:space="0" w:color="auto"/>
              <w:right w:val="single" w:sz="4" w:space="0" w:color="auto"/>
            </w:tcBorders>
            <w:shd w:val="clear" w:color="auto" w:fill="99CCFF"/>
            <w:noWrap/>
            <w:vAlign w:val="center"/>
          </w:tcPr>
          <w:p w:rsidR="005260B6" w:rsidRPr="00A50C70" w:rsidRDefault="005260B6" w:rsidP="005260B6">
            <w:pPr>
              <w:jc w:val="center"/>
              <w:rPr>
                <w:rFonts w:ascii="Calibri" w:eastAsiaTheme="minorEastAsia" w:hAnsi="Calibri" w:cs="Calibri"/>
                <w:b/>
                <w:bCs/>
                <w:color w:val="000000"/>
                <w:szCs w:val="20"/>
              </w:rPr>
            </w:pPr>
            <w:r w:rsidRPr="00A50C70">
              <w:rPr>
                <w:rFonts w:ascii="Calibri" w:eastAsiaTheme="minorEastAsia" w:hAnsi="Calibri" w:cs="Calibri"/>
                <w:b/>
                <w:bCs/>
                <w:color w:val="000000"/>
                <w:szCs w:val="20"/>
              </w:rPr>
              <w:t>Podobszar</w:t>
            </w:r>
          </w:p>
        </w:tc>
        <w:tc>
          <w:tcPr>
            <w:tcW w:w="920" w:type="dxa"/>
            <w:tcBorders>
              <w:top w:val="single" w:sz="4" w:space="0" w:color="auto"/>
              <w:left w:val="nil"/>
              <w:bottom w:val="single" w:sz="4" w:space="0" w:color="auto"/>
              <w:right w:val="single" w:sz="4" w:space="0" w:color="auto"/>
            </w:tcBorders>
            <w:shd w:val="clear" w:color="auto" w:fill="99CCFF"/>
            <w:vAlign w:val="center"/>
          </w:tcPr>
          <w:p w:rsidR="005260B6" w:rsidRPr="00A50C70" w:rsidRDefault="005260B6" w:rsidP="005260B6">
            <w:pPr>
              <w:jc w:val="center"/>
              <w:rPr>
                <w:rFonts w:ascii="Calibri" w:eastAsiaTheme="minorEastAsia" w:hAnsi="Calibri" w:cs="Calibri"/>
                <w:b/>
                <w:bCs/>
                <w:color w:val="000000"/>
                <w:sz w:val="18"/>
                <w:szCs w:val="18"/>
              </w:rPr>
            </w:pPr>
            <w:r w:rsidRPr="00A50C70">
              <w:rPr>
                <w:rFonts w:ascii="Calibri" w:eastAsiaTheme="minorEastAsia" w:hAnsi="Calibri" w:cs="Calibri"/>
                <w:b/>
                <w:bCs/>
                <w:color w:val="000000"/>
                <w:sz w:val="18"/>
                <w:szCs w:val="18"/>
              </w:rPr>
              <w:t>na obszarze rewit.</w:t>
            </w:r>
          </w:p>
        </w:tc>
        <w:tc>
          <w:tcPr>
            <w:tcW w:w="920" w:type="dxa"/>
            <w:tcBorders>
              <w:top w:val="single" w:sz="4" w:space="0" w:color="auto"/>
              <w:left w:val="nil"/>
              <w:bottom w:val="single" w:sz="4" w:space="0" w:color="auto"/>
              <w:right w:val="single" w:sz="4" w:space="0" w:color="auto"/>
            </w:tcBorders>
            <w:shd w:val="clear" w:color="auto" w:fill="99CCFF"/>
            <w:vAlign w:val="center"/>
          </w:tcPr>
          <w:p w:rsidR="005260B6" w:rsidRPr="00A50C70" w:rsidRDefault="005260B6" w:rsidP="005260B6">
            <w:pPr>
              <w:jc w:val="center"/>
              <w:rPr>
                <w:rFonts w:ascii="Calibri" w:eastAsiaTheme="minorEastAsia" w:hAnsi="Calibri" w:cs="Calibri"/>
                <w:b/>
                <w:bCs/>
                <w:color w:val="000000"/>
                <w:sz w:val="18"/>
                <w:szCs w:val="18"/>
              </w:rPr>
            </w:pPr>
            <w:r w:rsidRPr="00A50C70">
              <w:rPr>
                <w:rFonts w:ascii="Calibri" w:eastAsiaTheme="minorEastAsia" w:hAnsi="Calibri" w:cs="Calibri"/>
                <w:b/>
                <w:bCs/>
                <w:color w:val="000000"/>
                <w:sz w:val="18"/>
                <w:szCs w:val="18"/>
              </w:rPr>
              <w:t>do 1 miesiąca</w:t>
            </w:r>
          </w:p>
        </w:tc>
        <w:tc>
          <w:tcPr>
            <w:tcW w:w="920" w:type="dxa"/>
            <w:tcBorders>
              <w:top w:val="single" w:sz="4" w:space="0" w:color="auto"/>
              <w:left w:val="nil"/>
              <w:bottom w:val="single" w:sz="4" w:space="0" w:color="auto"/>
              <w:right w:val="single" w:sz="4" w:space="0" w:color="auto"/>
            </w:tcBorders>
            <w:shd w:val="clear" w:color="auto" w:fill="99CCFF"/>
            <w:vAlign w:val="center"/>
          </w:tcPr>
          <w:p w:rsidR="005260B6" w:rsidRPr="00A50C70" w:rsidRDefault="005260B6" w:rsidP="005260B6">
            <w:pPr>
              <w:jc w:val="center"/>
              <w:rPr>
                <w:rFonts w:ascii="Calibri" w:eastAsiaTheme="minorEastAsia" w:hAnsi="Calibri" w:cs="Calibri"/>
                <w:b/>
                <w:bCs/>
                <w:color w:val="000000"/>
                <w:sz w:val="18"/>
                <w:szCs w:val="18"/>
              </w:rPr>
            </w:pPr>
            <w:r w:rsidRPr="00A50C70">
              <w:rPr>
                <w:rFonts w:ascii="Calibri" w:eastAsiaTheme="minorEastAsia" w:hAnsi="Calibri" w:cs="Calibri"/>
                <w:b/>
                <w:bCs/>
                <w:color w:val="000000"/>
                <w:sz w:val="18"/>
                <w:szCs w:val="18"/>
              </w:rPr>
              <w:t>1-3 miesięcy</w:t>
            </w:r>
          </w:p>
        </w:tc>
        <w:tc>
          <w:tcPr>
            <w:tcW w:w="920" w:type="dxa"/>
            <w:tcBorders>
              <w:top w:val="single" w:sz="4" w:space="0" w:color="auto"/>
              <w:left w:val="nil"/>
              <w:bottom w:val="single" w:sz="4" w:space="0" w:color="auto"/>
              <w:right w:val="single" w:sz="4" w:space="0" w:color="auto"/>
            </w:tcBorders>
            <w:shd w:val="clear" w:color="auto" w:fill="99CCFF"/>
            <w:vAlign w:val="center"/>
          </w:tcPr>
          <w:p w:rsidR="005260B6" w:rsidRPr="00A50C70" w:rsidRDefault="005260B6" w:rsidP="005260B6">
            <w:pPr>
              <w:jc w:val="center"/>
              <w:rPr>
                <w:rFonts w:ascii="Calibri" w:eastAsiaTheme="minorEastAsia" w:hAnsi="Calibri" w:cs="Calibri"/>
                <w:b/>
                <w:bCs/>
                <w:color w:val="000000"/>
                <w:sz w:val="18"/>
                <w:szCs w:val="18"/>
              </w:rPr>
            </w:pPr>
            <w:r w:rsidRPr="00A50C70">
              <w:rPr>
                <w:rFonts w:ascii="Calibri" w:eastAsiaTheme="minorEastAsia" w:hAnsi="Calibri" w:cs="Calibri"/>
                <w:b/>
                <w:bCs/>
                <w:color w:val="000000"/>
                <w:sz w:val="18"/>
                <w:szCs w:val="18"/>
              </w:rPr>
              <w:t>3-6 miesięcy</w:t>
            </w:r>
          </w:p>
        </w:tc>
        <w:tc>
          <w:tcPr>
            <w:tcW w:w="920" w:type="dxa"/>
            <w:tcBorders>
              <w:top w:val="single" w:sz="4" w:space="0" w:color="auto"/>
              <w:left w:val="nil"/>
              <w:bottom w:val="single" w:sz="4" w:space="0" w:color="auto"/>
              <w:right w:val="single" w:sz="4" w:space="0" w:color="auto"/>
            </w:tcBorders>
            <w:shd w:val="clear" w:color="auto" w:fill="99CCFF"/>
            <w:vAlign w:val="center"/>
          </w:tcPr>
          <w:p w:rsidR="005260B6" w:rsidRPr="00A50C70" w:rsidRDefault="005260B6" w:rsidP="005260B6">
            <w:pPr>
              <w:jc w:val="center"/>
              <w:rPr>
                <w:rFonts w:ascii="Calibri" w:eastAsiaTheme="minorEastAsia" w:hAnsi="Calibri" w:cs="Calibri"/>
                <w:b/>
                <w:bCs/>
                <w:color w:val="000000"/>
                <w:sz w:val="18"/>
                <w:szCs w:val="18"/>
              </w:rPr>
            </w:pPr>
            <w:r w:rsidRPr="00A50C70">
              <w:rPr>
                <w:rFonts w:ascii="Calibri" w:eastAsiaTheme="minorEastAsia" w:hAnsi="Calibri" w:cs="Calibri"/>
                <w:b/>
                <w:bCs/>
                <w:color w:val="000000"/>
                <w:sz w:val="18"/>
                <w:szCs w:val="18"/>
              </w:rPr>
              <w:t>6-12 miesięcy</w:t>
            </w:r>
          </w:p>
        </w:tc>
        <w:tc>
          <w:tcPr>
            <w:tcW w:w="920" w:type="dxa"/>
            <w:tcBorders>
              <w:top w:val="single" w:sz="4" w:space="0" w:color="auto"/>
              <w:left w:val="nil"/>
              <w:bottom w:val="single" w:sz="4" w:space="0" w:color="auto"/>
              <w:right w:val="single" w:sz="4" w:space="0" w:color="auto"/>
            </w:tcBorders>
            <w:shd w:val="clear" w:color="auto" w:fill="99CCFF"/>
            <w:vAlign w:val="center"/>
          </w:tcPr>
          <w:p w:rsidR="005260B6" w:rsidRPr="00A50C70" w:rsidRDefault="005260B6" w:rsidP="005260B6">
            <w:pPr>
              <w:jc w:val="center"/>
              <w:rPr>
                <w:rFonts w:ascii="Calibri" w:eastAsiaTheme="minorEastAsia" w:hAnsi="Calibri" w:cs="Calibri"/>
                <w:b/>
                <w:bCs/>
                <w:color w:val="000000"/>
                <w:sz w:val="18"/>
                <w:szCs w:val="18"/>
              </w:rPr>
            </w:pPr>
            <w:r w:rsidRPr="00A50C70">
              <w:rPr>
                <w:rFonts w:ascii="Calibri" w:eastAsiaTheme="minorEastAsia" w:hAnsi="Calibri" w:cs="Calibri"/>
                <w:b/>
                <w:bCs/>
                <w:color w:val="000000"/>
                <w:sz w:val="18"/>
                <w:szCs w:val="18"/>
              </w:rPr>
              <w:t>12-24 miesięcy</w:t>
            </w:r>
          </w:p>
        </w:tc>
        <w:tc>
          <w:tcPr>
            <w:tcW w:w="920" w:type="dxa"/>
            <w:tcBorders>
              <w:top w:val="single" w:sz="4" w:space="0" w:color="auto"/>
              <w:left w:val="nil"/>
              <w:bottom w:val="single" w:sz="4" w:space="0" w:color="auto"/>
              <w:right w:val="single" w:sz="4" w:space="0" w:color="auto"/>
            </w:tcBorders>
            <w:shd w:val="clear" w:color="auto" w:fill="99CCFF"/>
            <w:vAlign w:val="center"/>
          </w:tcPr>
          <w:p w:rsidR="005260B6" w:rsidRPr="00A50C70" w:rsidRDefault="005260B6" w:rsidP="005260B6">
            <w:pPr>
              <w:jc w:val="center"/>
              <w:rPr>
                <w:rFonts w:ascii="Calibri" w:eastAsiaTheme="minorEastAsia" w:hAnsi="Calibri" w:cs="Calibri"/>
                <w:b/>
                <w:bCs/>
                <w:color w:val="000000"/>
                <w:sz w:val="18"/>
                <w:szCs w:val="18"/>
              </w:rPr>
            </w:pPr>
            <w:r w:rsidRPr="00A50C70">
              <w:rPr>
                <w:rFonts w:ascii="Calibri" w:eastAsiaTheme="minorEastAsia" w:hAnsi="Calibri" w:cs="Calibri"/>
                <w:b/>
                <w:bCs/>
                <w:color w:val="000000"/>
                <w:sz w:val="18"/>
                <w:szCs w:val="18"/>
              </w:rPr>
              <w:t>powyżej 24 miesięcy</w:t>
            </w:r>
          </w:p>
        </w:tc>
      </w:tr>
      <w:tr w:rsidR="005260B6" w:rsidRPr="00A50C70" w:rsidTr="005260B6">
        <w:trPr>
          <w:trHeight w:val="285"/>
        </w:trPr>
        <w:tc>
          <w:tcPr>
            <w:tcW w:w="2660" w:type="dxa"/>
            <w:tcBorders>
              <w:top w:val="nil"/>
              <w:left w:val="single" w:sz="4" w:space="0" w:color="auto"/>
              <w:bottom w:val="single" w:sz="4" w:space="0" w:color="auto"/>
              <w:right w:val="single" w:sz="4" w:space="0" w:color="auto"/>
            </w:tcBorders>
            <w:noWrap/>
            <w:vAlign w:val="bottom"/>
          </w:tcPr>
          <w:p w:rsidR="005260B6" w:rsidRPr="00A50C70" w:rsidRDefault="005260B6" w:rsidP="005260B6">
            <w:pPr>
              <w:rPr>
                <w:rFonts w:ascii="Calibri" w:eastAsiaTheme="minorEastAsia" w:hAnsi="Calibri" w:cs="Calibri"/>
                <w:b/>
                <w:bCs/>
                <w:color w:val="000000"/>
                <w:szCs w:val="20"/>
              </w:rPr>
            </w:pPr>
            <w:r w:rsidRPr="00A50C70">
              <w:rPr>
                <w:rFonts w:ascii="Calibri" w:eastAsiaTheme="minorEastAsia" w:hAnsi="Calibri" w:cs="Calibri"/>
                <w:b/>
                <w:bCs/>
                <w:color w:val="000000"/>
                <w:szCs w:val="20"/>
              </w:rPr>
              <w:t>Cały obszar rewitalizacji</w:t>
            </w:r>
          </w:p>
        </w:tc>
        <w:tc>
          <w:tcPr>
            <w:tcW w:w="920" w:type="dxa"/>
            <w:tcBorders>
              <w:top w:val="nil"/>
              <w:left w:val="nil"/>
              <w:bottom w:val="single" w:sz="4" w:space="0" w:color="auto"/>
              <w:right w:val="single" w:sz="4" w:space="0" w:color="auto"/>
            </w:tcBorders>
            <w:noWrap/>
            <w:vAlign w:val="bottom"/>
          </w:tcPr>
          <w:p w:rsidR="005260B6" w:rsidRPr="00A50C70" w:rsidRDefault="005260B6" w:rsidP="005260B6">
            <w:pPr>
              <w:jc w:val="center"/>
              <w:rPr>
                <w:rFonts w:ascii="Calibri" w:eastAsiaTheme="minorEastAsia" w:hAnsi="Calibri" w:cs="Calibri"/>
                <w:b/>
                <w:bCs/>
                <w:color w:val="000000"/>
                <w:szCs w:val="20"/>
              </w:rPr>
            </w:pPr>
            <w:r w:rsidRPr="00A50C70">
              <w:rPr>
                <w:rFonts w:ascii="Calibri" w:eastAsiaTheme="minorEastAsia" w:hAnsi="Calibri" w:cs="Calibri"/>
                <w:b/>
                <w:bCs/>
                <w:color w:val="000000"/>
                <w:szCs w:val="20"/>
              </w:rPr>
              <w:t>4 105</w:t>
            </w:r>
          </w:p>
        </w:tc>
        <w:tc>
          <w:tcPr>
            <w:tcW w:w="920" w:type="dxa"/>
            <w:tcBorders>
              <w:top w:val="nil"/>
              <w:left w:val="nil"/>
              <w:bottom w:val="single" w:sz="4" w:space="0" w:color="auto"/>
              <w:right w:val="single" w:sz="4" w:space="0" w:color="auto"/>
            </w:tcBorders>
            <w:noWrap/>
            <w:vAlign w:val="bottom"/>
          </w:tcPr>
          <w:p w:rsidR="005260B6" w:rsidRPr="00A50C70" w:rsidRDefault="005260B6" w:rsidP="005260B6">
            <w:pPr>
              <w:jc w:val="center"/>
              <w:rPr>
                <w:rFonts w:ascii="Calibri" w:eastAsiaTheme="minorEastAsia" w:hAnsi="Calibri" w:cs="Calibri"/>
                <w:b/>
                <w:bCs/>
                <w:color w:val="000000"/>
                <w:szCs w:val="20"/>
              </w:rPr>
            </w:pPr>
            <w:r w:rsidRPr="00A50C70">
              <w:rPr>
                <w:rFonts w:ascii="Calibri" w:eastAsiaTheme="minorEastAsia" w:hAnsi="Calibri" w:cs="Calibri"/>
                <w:b/>
                <w:bCs/>
                <w:color w:val="000000"/>
                <w:szCs w:val="20"/>
              </w:rPr>
              <w:t>7%</w:t>
            </w:r>
          </w:p>
        </w:tc>
        <w:tc>
          <w:tcPr>
            <w:tcW w:w="920" w:type="dxa"/>
            <w:tcBorders>
              <w:top w:val="nil"/>
              <w:left w:val="nil"/>
              <w:bottom w:val="single" w:sz="4" w:space="0" w:color="auto"/>
              <w:right w:val="single" w:sz="4" w:space="0" w:color="auto"/>
            </w:tcBorders>
            <w:noWrap/>
            <w:vAlign w:val="bottom"/>
          </w:tcPr>
          <w:p w:rsidR="005260B6" w:rsidRPr="00A50C70" w:rsidRDefault="005260B6" w:rsidP="005260B6">
            <w:pPr>
              <w:jc w:val="center"/>
              <w:rPr>
                <w:rFonts w:ascii="Calibri" w:eastAsiaTheme="minorEastAsia" w:hAnsi="Calibri" w:cs="Calibri"/>
                <w:b/>
                <w:bCs/>
                <w:color w:val="000000"/>
                <w:szCs w:val="20"/>
              </w:rPr>
            </w:pPr>
            <w:r w:rsidRPr="00A50C70">
              <w:rPr>
                <w:rFonts w:ascii="Calibri" w:eastAsiaTheme="minorEastAsia" w:hAnsi="Calibri" w:cs="Calibri"/>
                <w:b/>
                <w:bCs/>
                <w:color w:val="000000"/>
                <w:szCs w:val="20"/>
              </w:rPr>
              <w:t>11%</w:t>
            </w:r>
          </w:p>
        </w:tc>
        <w:tc>
          <w:tcPr>
            <w:tcW w:w="920" w:type="dxa"/>
            <w:tcBorders>
              <w:top w:val="nil"/>
              <w:left w:val="nil"/>
              <w:bottom w:val="single" w:sz="4" w:space="0" w:color="auto"/>
              <w:right w:val="single" w:sz="4" w:space="0" w:color="auto"/>
            </w:tcBorders>
            <w:noWrap/>
            <w:vAlign w:val="bottom"/>
          </w:tcPr>
          <w:p w:rsidR="005260B6" w:rsidRPr="00A50C70" w:rsidRDefault="005260B6" w:rsidP="005260B6">
            <w:pPr>
              <w:jc w:val="center"/>
              <w:rPr>
                <w:rFonts w:ascii="Calibri" w:eastAsiaTheme="minorEastAsia" w:hAnsi="Calibri" w:cs="Calibri"/>
                <w:b/>
                <w:bCs/>
                <w:color w:val="000000"/>
                <w:szCs w:val="20"/>
              </w:rPr>
            </w:pPr>
            <w:r w:rsidRPr="00A50C70">
              <w:rPr>
                <w:rFonts w:ascii="Calibri" w:eastAsiaTheme="minorEastAsia" w:hAnsi="Calibri" w:cs="Calibri"/>
                <w:b/>
                <w:bCs/>
                <w:color w:val="000000"/>
                <w:szCs w:val="20"/>
              </w:rPr>
              <w:t>14%</w:t>
            </w:r>
          </w:p>
        </w:tc>
        <w:tc>
          <w:tcPr>
            <w:tcW w:w="920" w:type="dxa"/>
            <w:tcBorders>
              <w:top w:val="nil"/>
              <w:left w:val="nil"/>
              <w:bottom w:val="single" w:sz="4" w:space="0" w:color="auto"/>
              <w:right w:val="single" w:sz="4" w:space="0" w:color="auto"/>
            </w:tcBorders>
            <w:noWrap/>
            <w:vAlign w:val="bottom"/>
          </w:tcPr>
          <w:p w:rsidR="005260B6" w:rsidRPr="00A50C70" w:rsidRDefault="005260B6" w:rsidP="005260B6">
            <w:pPr>
              <w:jc w:val="center"/>
              <w:rPr>
                <w:rFonts w:ascii="Calibri" w:eastAsiaTheme="minorEastAsia" w:hAnsi="Calibri" w:cs="Calibri"/>
                <w:b/>
                <w:bCs/>
                <w:color w:val="000000"/>
                <w:szCs w:val="20"/>
              </w:rPr>
            </w:pPr>
            <w:r w:rsidRPr="00A50C70">
              <w:rPr>
                <w:rFonts w:ascii="Calibri" w:eastAsiaTheme="minorEastAsia" w:hAnsi="Calibri" w:cs="Calibri"/>
                <w:b/>
                <w:bCs/>
                <w:color w:val="000000"/>
                <w:szCs w:val="20"/>
              </w:rPr>
              <w:t>18%</w:t>
            </w:r>
          </w:p>
        </w:tc>
        <w:tc>
          <w:tcPr>
            <w:tcW w:w="920" w:type="dxa"/>
            <w:tcBorders>
              <w:top w:val="nil"/>
              <w:left w:val="nil"/>
              <w:bottom w:val="single" w:sz="4" w:space="0" w:color="auto"/>
              <w:right w:val="single" w:sz="4" w:space="0" w:color="auto"/>
            </w:tcBorders>
            <w:noWrap/>
            <w:vAlign w:val="bottom"/>
          </w:tcPr>
          <w:p w:rsidR="005260B6" w:rsidRPr="00A50C70" w:rsidRDefault="005260B6" w:rsidP="005260B6">
            <w:pPr>
              <w:jc w:val="center"/>
              <w:rPr>
                <w:rFonts w:ascii="Calibri" w:eastAsiaTheme="minorEastAsia" w:hAnsi="Calibri" w:cs="Calibri"/>
                <w:b/>
                <w:bCs/>
                <w:color w:val="000000"/>
                <w:szCs w:val="20"/>
              </w:rPr>
            </w:pPr>
            <w:r w:rsidRPr="00A50C70">
              <w:rPr>
                <w:rFonts w:ascii="Calibri" w:eastAsiaTheme="minorEastAsia" w:hAnsi="Calibri" w:cs="Calibri"/>
                <w:b/>
                <w:bCs/>
                <w:color w:val="000000"/>
                <w:szCs w:val="20"/>
              </w:rPr>
              <w:t>19%</w:t>
            </w:r>
          </w:p>
        </w:tc>
        <w:tc>
          <w:tcPr>
            <w:tcW w:w="920" w:type="dxa"/>
            <w:tcBorders>
              <w:top w:val="nil"/>
              <w:left w:val="nil"/>
              <w:bottom w:val="single" w:sz="4" w:space="0" w:color="auto"/>
              <w:right w:val="single" w:sz="4" w:space="0" w:color="auto"/>
            </w:tcBorders>
            <w:noWrap/>
            <w:vAlign w:val="bottom"/>
          </w:tcPr>
          <w:p w:rsidR="005260B6" w:rsidRPr="00A50C70" w:rsidRDefault="005260B6" w:rsidP="005260B6">
            <w:pPr>
              <w:jc w:val="center"/>
              <w:rPr>
                <w:rFonts w:ascii="Calibri" w:eastAsiaTheme="minorEastAsia" w:hAnsi="Calibri" w:cs="Calibri"/>
                <w:b/>
                <w:bCs/>
                <w:color w:val="000000"/>
                <w:szCs w:val="20"/>
              </w:rPr>
            </w:pPr>
            <w:r w:rsidRPr="00A50C70">
              <w:rPr>
                <w:rFonts w:ascii="Calibri" w:eastAsiaTheme="minorEastAsia" w:hAnsi="Calibri" w:cs="Calibri"/>
                <w:b/>
                <w:bCs/>
                <w:color w:val="000000"/>
                <w:szCs w:val="20"/>
              </w:rPr>
              <w:t>31%</w:t>
            </w:r>
          </w:p>
        </w:tc>
      </w:tr>
      <w:tr w:rsidR="005260B6" w:rsidRPr="00A50C70" w:rsidTr="005260B6">
        <w:trPr>
          <w:trHeight w:val="285"/>
        </w:trPr>
        <w:tc>
          <w:tcPr>
            <w:tcW w:w="2660" w:type="dxa"/>
            <w:tcBorders>
              <w:top w:val="nil"/>
              <w:left w:val="single" w:sz="4" w:space="0" w:color="auto"/>
              <w:bottom w:val="single" w:sz="4" w:space="0" w:color="auto"/>
              <w:right w:val="single" w:sz="4" w:space="0" w:color="auto"/>
            </w:tcBorders>
            <w:vAlign w:val="bottom"/>
          </w:tcPr>
          <w:p w:rsidR="005260B6" w:rsidRPr="00A50C70" w:rsidRDefault="005260B6" w:rsidP="005260B6">
            <w:pPr>
              <w:rPr>
                <w:rFonts w:ascii="Calibri" w:eastAsiaTheme="minorEastAsia" w:hAnsi="Calibri" w:cs="Calibri"/>
                <w:color w:val="000000"/>
                <w:szCs w:val="20"/>
              </w:rPr>
            </w:pPr>
            <w:r w:rsidRPr="00A50C70">
              <w:rPr>
                <w:rFonts w:ascii="Calibri" w:eastAsiaTheme="minorEastAsia" w:hAnsi="Calibri" w:cs="Calibri"/>
                <w:color w:val="000000"/>
                <w:szCs w:val="20"/>
              </w:rPr>
              <w:t>Bobrek</w:t>
            </w:r>
          </w:p>
        </w:tc>
        <w:tc>
          <w:tcPr>
            <w:tcW w:w="920" w:type="dxa"/>
            <w:tcBorders>
              <w:top w:val="nil"/>
              <w:left w:val="nil"/>
              <w:bottom w:val="single" w:sz="4" w:space="0" w:color="auto"/>
              <w:right w:val="single" w:sz="4" w:space="0" w:color="auto"/>
            </w:tcBorders>
            <w:noWrap/>
            <w:vAlign w:val="bottom"/>
          </w:tcPr>
          <w:p w:rsidR="005260B6" w:rsidRPr="00A50C70" w:rsidRDefault="005260B6" w:rsidP="005260B6">
            <w:pPr>
              <w:jc w:val="center"/>
              <w:rPr>
                <w:rFonts w:ascii="Calibri" w:eastAsiaTheme="minorEastAsia" w:hAnsi="Calibri" w:cs="Calibri"/>
                <w:color w:val="000000"/>
                <w:szCs w:val="20"/>
              </w:rPr>
            </w:pPr>
            <w:r w:rsidRPr="00A50C70">
              <w:rPr>
                <w:rFonts w:ascii="Calibri" w:eastAsiaTheme="minorEastAsia" w:hAnsi="Calibri" w:cs="Calibri"/>
                <w:color w:val="000000"/>
                <w:szCs w:val="20"/>
              </w:rPr>
              <w:t>688</w:t>
            </w:r>
          </w:p>
        </w:tc>
        <w:tc>
          <w:tcPr>
            <w:tcW w:w="920" w:type="dxa"/>
            <w:tcBorders>
              <w:top w:val="nil"/>
              <w:left w:val="nil"/>
              <w:bottom w:val="single" w:sz="4" w:space="0" w:color="auto"/>
              <w:right w:val="single" w:sz="4" w:space="0" w:color="auto"/>
            </w:tcBorders>
            <w:vAlign w:val="bottom"/>
          </w:tcPr>
          <w:p w:rsidR="005260B6" w:rsidRPr="00A50C70" w:rsidRDefault="005260B6" w:rsidP="005260B6">
            <w:pPr>
              <w:jc w:val="center"/>
              <w:rPr>
                <w:rFonts w:ascii="Calibri" w:eastAsiaTheme="minorEastAsia" w:hAnsi="Calibri" w:cs="Calibri"/>
                <w:color w:val="000000"/>
                <w:szCs w:val="20"/>
              </w:rPr>
            </w:pPr>
            <w:r w:rsidRPr="00A50C70">
              <w:rPr>
                <w:rFonts w:ascii="Calibri" w:eastAsiaTheme="minorEastAsia" w:hAnsi="Calibri" w:cs="Calibri"/>
                <w:color w:val="000000"/>
                <w:szCs w:val="20"/>
              </w:rPr>
              <w:t>6%</w:t>
            </w:r>
          </w:p>
        </w:tc>
        <w:tc>
          <w:tcPr>
            <w:tcW w:w="920" w:type="dxa"/>
            <w:tcBorders>
              <w:top w:val="nil"/>
              <w:left w:val="nil"/>
              <w:bottom w:val="single" w:sz="4" w:space="0" w:color="auto"/>
              <w:right w:val="single" w:sz="4" w:space="0" w:color="auto"/>
            </w:tcBorders>
            <w:vAlign w:val="bottom"/>
          </w:tcPr>
          <w:p w:rsidR="005260B6" w:rsidRPr="00A50C70" w:rsidRDefault="005260B6" w:rsidP="005260B6">
            <w:pPr>
              <w:jc w:val="center"/>
              <w:rPr>
                <w:rFonts w:ascii="Calibri" w:eastAsiaTheme="minorEastAsia" w:hAnsi="Calibri" w:cs="Calibri"/>
                <w:color w:val="000000"/>
                <w:szCs w:val="20"/>
              </w:rPr>
            </w:pPr>
            <w:r w:rsidRPr="00A50C70">
              <w:rPr>
                <w:rFonts w:ascii="Calibri" w:eastAsiaTheme="minorEastAsia" w:hAnsi="Calibri" w:cs="Calibri"/>
                <w:color w:val="000000"/>
                <w:szCs w:val="20"/>
              </w:rPr>
              <w:t>10%</w:t>
            </w:r>
          </w:p>
        </w:tc>
        <w:tc>
          <w:tcPr>
            <w:tcW w:w="920" w:type="dxa"/>
            <w:tcBorders>
              <w:top w:val="nil"/>
              <w:left w:val="nil"/>
              <w:bottom w:val="single" w:sz="4" w:space="0" w:color="auto"/>
              <w:right w:val="single" w:sz="4" w:space="0" w:color="auto"/>
            </w:tcBorders>
            <w:vAlign w:val="bottom"/>
          </w:tcPr>
          <w:p w:rsidR="005260B6" w:rsidRPr="00A50C70" w:rsidRDefault="005260B6" w:rsidP="005260B6">
            <w:pPr>
              <w:jc w:val="center"/>
              <w:rPr>
                <w:rFonts w:ascii="Calibri" w:eastAsiaTheme="minorEastAsia" w:hAnsi="Calibri" w:cs="Calibri"/>
                <w:color w:val="000000"/>
                <w:szCs w:val="20"/>
              </w:rPr>
            </w:pPr>
            <w:r w:rsidRPr="00A50C70">
              <w:rPr>
                <w:rFonts w:ascii="Calibri" w:eastAsiaTheme="minorEastAsia" w:hAnsi="Calibri" w:cs="Calibri"/>
                <w:color w:val="000000"/>
                <w:szCs w:val="20"/>
              </w:rPr>
              <w:t>12%</w:t>
            </w:r>
          </w:p>
        </w:tc>
        <w:tc>
          <w:tcPr>
            <w:tcW w:w="920" w:type="dxa"/>
            <w:tcBorders>
              <w:top w:val="nil"/>
              <w:left w:val="nil"/>
              <w:bottom w:val="single" w:sz="4" w:space="0" w:color="auto"/>
              <w:right w:val="single" w:sz="4" w:space="0" w:color="auto"/>
            </w:tcBorders>
            <w:vAlign w:val="bottom"/>
          </w:tcPr>
          <w:p w:rsidR="005260B6" w:rsidRPr="00A50C70" w:rsidRDefault="005260B6" w:rsidP="005260B6">
            <w:pPr>
              <w:jc w:val="center"/>
              <w:rPr>
                <w:rFonts w:ascii="Calibri" w:eastAsiaTheme="minorEastAsia" w:hAnsi="Calibri" w:cs="Calibri"/>
                <w:color w:val="000000"/>
                <w:szCs w:val="20"/>
              </w:rPr>
            </w:pPr>
            <w:r w:rsidRPr="00A50C70">
              <w:rPr>
                <w:rFonts w:ascii="Calibri" w:eastAsiaTheme="minorEastAsia" w:hAnsi="Calibri" w:cs="Calibri"/>
                <w:color w:val="000000"/>
                <w:szCs w:val="20"/>
              </w:rPr>
              <w:t>16%</w:t>
            </w:r>
          </w:p>
        </w:tc>
        <w:tc>
          <w:tcPr>
            <w:tcW w:w="920" w:type="dxa"/>
            <w:tcBorders>
              <w:top w:val="nil"/>
              <w:left w:val="nil"/>
              <w:bottom w:val="single" w:sz="4" w:space="0" w:color="auto"/>
              <w:right w:val="single" w:sz="4" w:space="0" w:color="auto"/>
            </w:tcBorders>
            <w:vAlign w:val="bottom"/>
          </w:tcPr>
          <w:p w:rsidR="005260B6" w:rsidRPr="00A50C70" w:rsidRDefault="005260B6" w:rsidP="005260B6">
            <w:pPr>
              <w:jc w:val="center"/>
              <w:rPr>
                <w:rFonts w:ascii="Calibri" w:eastAsiaTheme="minorEastAsia" w:hAnsi="Calibri" w:cs="Calibri"/>
                <w:color w:val="000000"/>
                <w:szCs w:val="20"/>
              </w:rPr>
            </w:pPr>
            <w:r w:rsidRPr="00A50C70">
              <w:rPr>
                <w:rFonts w:ascii="Calibri" w:eastAsiaTheme="minorEastAsia" w:hAnsi="Calibri" w:cs="Calibri"/>
                <w:color w:val="000000"/>
                <w:szCs w:val="20"/>
              </w:rPr>
              <w:t>20%</w:t>
            </w:r>
          </w:p>
        </w:tc>
        <w:tc>
          <w:tcPr>
            <w:tcW w:w="920" w:type="dxa"/>
            <w:tcBorders>
              <w:top w:val="nil"/>
              <w:left w:val="nil"/>
              <w:bottom w:val="single" w:sz="4" w:space="0" w:color="auto"/>
              <w:right w:val="single" w:sz="4" w:space="0" w:color="auto"/>
            </w:tcBorders>
            <w:vAlign w:val="bottom"/>
          </w:tcPr>
          <w:p w:rsidR="005260B6" w:rsidRPr="00A50C70" w:rsidRDefault="005260B6" w:rsidP="005260B6">
            <w:pPr>
              <w:jc w:val="center"/>
              <w:rPr>
                <w:rFonts w:ascii="Calibri" w:eastAsiaTheme="minorEastAsia" w:hAnsi="Calibri" w:cs="Calibri"/>
                <w:color w:val="000000"/>
                <w:szCs w:val="20"/>
              </w:rPr>
            </w:pPr>
            <w:r w:rsidRPr="00A50C70">
              <w:rPr>
                <w:rFonts w:ascii="Calibri" w:eastAsiaTheme="minorEastAsia" w:hAnsi="Calibri" w:cs="Calibri"/>
                <w:color w:val="000000"/>
                <w:szCs w:val="20"/>
              </w:rPr>
              <w:t>36%</w:t>
            </w:r>
          </w:p>
        </w:tc>
      </w:tr>
      <w:tr w:rsidR="005260B6" w:rsidRPr="00A50C70" w:rsidTr="005260B6">
        <w:trPr>
          <w:trHeight w:val="285"/>
        </w:trPr>
        <w:tc>
          <w:tcPr>
            <w:tcW w:w="2660" w:type="dxa"/>
            <w:tcBorders>
              <w:top w:val="nil"/>
              <w:left w:val="single" w:sz="4" w:space="0" w:color="auto"/>
              <w:bottom w:val="single" w:sz="4" w:space="0" w:color="auto"/>
              <w:right w:val="single" w:sz="4" w:space="0" w:color="auto"/>
            </w:tcBorders>
            <w:vAlign w:val="bottom"/>
          </w:tcPr>
          <w:p w:rsidR="005260B6" w:rsidRPr="00A50C70" w:rsidRDefault="005260B6" w:rsidP="005260B6">
            <w:pPr>
              <w:rPr>
                <w:rFonts w:ascii="Calibri" w:eastAsiaTheme="minorEastAsia" w:hAnsi="Calibri" w:cs="Calibri"/>
                <w:color w:val="000000"/>
                <w:szCs w:val="20"/>
              </w:rPr>
            </w:pPr>
            <w:r w:rsidRPr="00A50C70">
              <w:rPr>
                <w:rFonts w:ascii="Calibri" w:eastAsiaTheme="minorEastAsia" w:hAnsi="Calibri" w:cs="Calibri"/>
                <w:color w:val="000000"/>
                <w:szCs w:val="20"/>
              </w:rPr>
              <w:t>Śródmieście</w:t>
            </w:r>
          </w:p>
        </w:tc>
        <w:tc>
          <w:tcPr>
            <w:tcW w:w="920" w:type="dxa"/>
            <w:tcBorders>
              <w:top w:val="nil"/>
              <w:left w:val="nil"/>
              <w:bottom w:val="single" w:sz="4" w:space="0" w:color="auto"/>
              <w:right w:val="single" w:sz="4" w:space="0" w:color="auto"/>
            </w:tcBorders>
            <w:noWrap/>
            <w:vAlign w:val="bottom"/>
          </w:tcPr>
          <w:p w:rsidR="005260B6" w:rsidRPr="00A50C70" w:rsidRDefault="005260B6" w:rsidP="005260B6">
            <w:pPr>
              <w:jc w:val="center"/>
              <w:rPr>
                <w:rFonts w:ascii="Calibri" w:eastAsiaTheme="minorEastAsia" w:hAnsi="Calibri" w:cs="Calibri"/>
                <w:color w:val="000000"/>
                <w:szCs w:val="20"/>
              </w:rPr>
            </w:pPr>
            <w:r w:rsidRPr="00A50C70">
              <w:rPr>
                <w:rFonts w:ascii="Calibri" w:eastAsiaTheme="minorEastAsia" w:hAnsi="Calibri" w:cs="Calibri"/>
                <w:color w:val="000000"/>
                <w:szCs w:val="20"/>
              </w:rPr>
              <w:t>1 267</w:t>
            </w:r>
          </w:p>
        </w:tc>
        <w:tc>
          <w:tcPr>
            <w:tcW w:w="920" w:type="dxa"/>
            <w:tcBorders>
              <w:top w:val="nil"/>
              <w:left w:val="nil"/>
              <w:bottom w:val="single" w:sz="4" w:space="0" w:color="auto"/>
              <w:right w:val="single" w:sz="4" w:space="0" w:color="auto"/>
            </w:tcBorders>
            <w:vAlign w:val="bottom"/>
          </w:tcPr>
          <w:p w:rsidR="005260B6" w:rsidRPr="00A50C70" w:rsidRDefault="005260B6" w:rsidP="005260B6">
            <w:pPr>
              <w:jc w:val="center"/>
              <w:rPr>
                <w:rFonts w:ascii="Calibri" w:eastAsiaTheme="minorEastAsia" w:hAnsi="Calibri" w:cs="Calibri"/>
                <w:color w:val="000000"/>
                <w:szCs w:val="20"/>
              </w:rPr>
            </w:pPr>
            <w:r w:rsidRPr="00A50C70">
              <w:rPr>
                <w:rFonts w:ascii="Calibri" w:eastAsiaTheme="minorEastAsia" w:hAnsi="Calibri" w:cs="Calibri"/>
                <w:color w:val="000000"/>
                <w:szCs w:val="20"/>
              </w:rPr>
              <w:t>6%</w:t>
            </w:r>
          </w:p>
        </w:tc>
        <w:tc>
          <w:tcPr>
            <w:tcW w:w="920" w:type="dxa"/>
            <w:tcBorders>
              <w:top w:val="nil"/>
              <w:left w:val="nil"/>
              <w:bottom w:val="single" w:sz="4" w:space="0" w:color="auto"/>
              <w:right w:val="single" w:sz="4" w:space="0" w:color="auto"/>
            </w:tcBorders>
            <w:vAlign w:val="bottom"/>
          </w:tcPr>
          <w:p w:rsidR="005260B6" w:rsidRPr="00A50C70" w:rsidRDefault="005260B6" w:rsidP="005260B6">
            <w:pPr>
              <w:jc w:val="center"/>
              <w:rPr>
                <w:rFonts w:ascii="Calibri" w:eastAsiaTheme="minorEastAsia" w:hAnsi="Calibri" w:cs="Calibri"/>
                <w:color w:val="000000"/>
                <w:szCs w:val="20"/>
              </w:rPr>
            </w:pPr>
            <w:r w:rsidRPr="00A50C70">
              <w:rPr>
                <w:rFonts w:ascii="Calibri" w:eastAsiaTheme="minorEastAsia" w:hAnsi="Calibri" w:cs="Calibri"/>
                <w:color w:val="000000"/>
                <w:szCs w:val="20"/>
              </w:rPr>
              <w:t>10%</w:t>
            </w:r>
          </w:p>
        </w:tc>
        <w:tc>
          <w:tcPr>
            <w:tcW w:w="920" w:type="dxa"/>
            <w:tcBorders>
              <w:top w:val="nil"/>
              <w:left w:val="nil"/>
              <w:bottom w:val="single" w:sz="4" w:space="0" w:color="auto"/>
              <w:right w:val="single" w:sz="4" w:space="0" w:color="auto"/>
            </w:tcBorders>
            <w:vAlign w:val="bottom"/>
          </w:tcPr>
          <w:p w:rsidR="005260B6" w:rsidRPr="00A50C70" w:rsidRDefault="005260B6" w:rsidP="005260B6">
            <w:pPr>
              <w:jc w:val="center"/>
              <w:rPr>
                <w:rFonts w:ascii="Calibri" w:eastAsiaTheme="minorEastAsia" w:hAnsi="Calibri" w:cs="Calibri"/>
                <w:color w:val="000000"/>
                <w:szCs w:val="20"/>
              </w:rPr>
            </w:pPr>
            <w:r w:rsidRPr="00A50C70">
              <w:rPr>
                <w:rFonts w:ascii="Calibri" w:eastAsiaTheme="minorEastAsia" w:hAnsi="Calibri" w:cs="Calibri"/>
                <w:color w:val="000000"/>
                <w:szCs w:val="20"/>
              </w:rPr>
              <w:t>14%</w:t>
            </w:r>
          </w:p>
        </w:tc>
        <w:tc>
          <w:tcPr>
            <w:tcW w:w="920" w:type="dxa"/>
            <w:tcBorders>
              <w:top w:val="nil"/>
              <w:left w:val="nil"/>
              <w:bottom w:val="single" w:sz="4" w:space="0" w:color="auto"/>
              <w:right w:val="single" w:sz="4" w:space="0" w:color="auto"/>
            </w:tcBorders>
            <w:vAlign w:val="bottom"/>
          </w:tcPr>
          <w:p w:rsidR="005260B6" w:rsidRPr="00A50C70" w:rsidRDefault="005260B6" w:rsidP="005260B6">
            <w:pPr>
              <w:jc w:val="center"/>
              <w:rPr>
                <w:rFonts w:ascii="Calibri" w:eastAsiaTheme="minorEastAsia" w:hAnsi="Calibri" w:cs="Calibri"/>
                <w:color w:val="000000"/>
                <w:szCs w:val="20"/>
              </w:rPr>
            </w:pPr>
            <w:r w:rsidRPr="00A50C70">
              <w:rPr>
                <w:rFonts w:ascii="Calibri" w:eastAsiaTheme="minorEastAsia" w:hAnsi="Calibri" w:cs="Calibri"/>
                <w:color w:val="000000"/>
                <w:szCs w:val="20"/>
              </w:rPr>
              <w:t>20%</w:t>
            </w:r>
          </w:p>
        </w:tc>
        <w:tc>
          <w:tcPr>
            <w:tcW w:w="920" w:type="dxa"/>
            <w:tcBorders>
              <w:top w:val="nil"/>
              <w:left w:val="nil"/>
              <w:bottom w:val="single" w:sz="4" w:space="0" w:color="auto"/>
              <w:right w:val="single" w:sz="4" w:space="0" w:color="auto"/>
            </w:tcBorders>
            <w:vAlign w:val="bottom"/>
          </w:tcPr>
          <w:p w:rsidR="005260B6" w:rsidRPr="00A50C70" w:rsidRDefault="005260B6" w:rsidP="005260B6">
            <w:pPr>
              <w:jc w:val="center"/>
              <w:rPr>
                <w:rFonts w:ascii="Calibri" w:eastAsiaTheme="minorEastAsia" w:hAnsi="Calibri" w:cs="Calibri"/>
                <w:color w:val="000000"/>
                <w:szCs w:val="20"/>
              </w:rPr>
            </w:pPr>
            <w:r w:rsidRPr="00A50C70">
              <w:rPr>
                <w:rFonts w:ascii="Calibri" w:eastAsiaTheme="minorEastAsia" w:hAnsi="Calibri" w:cs="Calibri"/>
                <w:color w:val="000000"/>
                <w:szCs w:val="20"/>
              </w:rPr>
              <w:t>19%</w:t>
            </w:r>
          </w:p>
        </w:tc>
        <w:tc>
          <w:tcPr>
            <w:tcW w:w="920" w:type="dxa"/>
            <w:tcBorders>
              <w:top w:val="nil"/>
              <w:left w:val="nil"/>
              <w:bottom w:val="single" w:sz="4" w:space="0" w:color="auto"/>
              <w:right w:val="single" w:sz="4" w:space="0" w:color="auto"/>
            </w:tcBorders>
            <w:vAlign w:val="bottom"/>
          </w:tcPr>
          <w:p w:rsidR="005260B6" w:rsidRPr="00A50C70" w:rsidRDefault="005260B6" w:rsidP="005260B6">
            <w:pPr>
              <w:jc w:val="center"/>
              <w:rPr>
                <w:rFonts w:ascii="Calibri" w:eastAsiaTheme="minorEastAsia" w:hAnsi="Calibri" w:cs="Calibri"/>
                <w:color w:val="000000"/>
                <w:szCs w:val="20"/>
              </w:rPr>
            </w:pPr>
            <w:r w:rsidRPr="00A50C70">
              <w:rPr>
                <w:rFonts w:ascii="Calibri" w:eastAsiaTheme="minorEastAsia" w:hAnsi="Calibri" w:cs="Calibri"/>
                <w:color w:val="000000"/>
                <w:szCs w:val="20"/>
              </w:rPr>
              <w:t>30%</w:t>
            </w:r>
          </w:p>
        </w:tc>
      </w:tr>
      <w:tr w:rsidR="005260B6" w:rsidRPr="00A50C70" w:rsidTr="005260B6">
        <w:trPr>
          <w:trHeight w:val="285"/>
        </w:trPr>
        <w:tc>
          <w:tcPr>
            <w:tcW w:w="2660" w:type="dxa"/>
            <w:tcBorders>
              <w:top w:val="nil"/>
              <w:left w:val="single" w:sz="4" w:space="0" w:color="auto"/>
              <w:bottom w:val="single" w:sz="4" w:space="0" w:color="auto"/>
              <w:right w:val="single" w:sz="4" w:space="0" w:color="auto"/>
            </w:tcBorders>
            <w:vAlign w:val="bottom"/>
          </w:tcPr>
          <w:p w:rsidR="005260B6" w:rsidRPr="00A50C70" w:rsidRDefault="005260B6" w:rsidP="005260B6">
            <w:pPr>
              <w:rPr>
                <w:rFonts w:ascii="Calibri" w:eastAsiaTheme="minorEastAsia" w:hAnsi="Calibri" w:cs="Calibri"/>
                <w:color w:val="000000"/>
                <w:szCs w:val="20"/>
              </w:rPr>
            </w:pPr>
            <w:r w:rsidRPr="00A50C70">
              <w:rPr>
                <w:rFonts w:ascii="Calibri" w:eastAsiaTheme="minorEastAsia" w:hAnsi="Calibri" w:cs="Calibri"/>
                <w:color w:val="000000"/>
                <w:szCs w:val="20"/>
              </w:rPr>
              <w:t>Śródmieście Zachód</w:t>
            </w:r>
          </w:p>
        </w:tc>
        <w:tc>
          <w:tcPr>
            <w:tcW w:w="920" w:type="dxa"/>
            <w:tcBorders>
              <w:top w:val="nil"/>
              <w:left w:val="nil"/>
              <w:bottom w:val="single" w:sz="4" w:space="0" w:color="auto"/>
              <w:right w:val="single" w:sz="4" w:space="0" w:color="auto"/>
            </w:tcBorders>
            <w:noWrap/>
            <w:vAlign w:val="bottom"/>
          </w:tcPr>
          <w:p w:rsidR="005260B6" w:rsidRPr="00A50C70" w:rsidRDefault="005260B6" w:rsidP="005260B6">
            <w:pPr>
              <w:jc w:val="center"/>
              <w:rPr>
                <w:rFonts w:ascii="Calibri" w:eastAsiaTheme="minorEastAsia" w:hAnsi="Calibri" w:cs="Calibri"/>
                <w:color w:val="000000"/>
                <w:szCs w:val="20"/>
              </w:rPr>
            </w:pPr>
            <w:r w:rsidRPr="00A50C70">
              <w:rPr>
                <w:rFonts w:ascii="Calibri" w:eastAsiaTheme="minorEastAsia" w:hAnsi="Calibri" w:cs="Calibri"/>
                <w:color w:val="000000"/>
                <w:szCs w:val="20"/>
              </w:rPr>
              <w:t>505</w:t>
            </w:r>
          </w:p>
        </w:tc>
        <w:tc>
          <w:tcPr>
            <w:tcW w:w="920" w:type="dxa"/>
            <w:tcBorders>
              <w:top w:val="nil"/>
              <w:left w:val="nil"/>
              <w:bottom w:val="single" w:sz="4" w:space="0" w:color="auto"/>
              <w:right w:val="single" w:sz="4" w:space="0" w:color="auto"/>
            </w:tcBorders>
            <w:vAlign w:val="bottom"/>
          </w:tcPr>
          <w:p w:rsidR="005260B6" w:rsidRPr="00A50C70" w:rsidRDefault="005260B6" w:rsidP="005260B6">
            <w:pPr>
              <w:jc w:val="center"/>
              <w:rPr>
                <w:rFonts w:ascii="Calibri" w:eastAsiaTheme="minorEastAsia" w:hAnsi="Calibri" w:cs="Calibri"/>
                <w:color w:val="000000"/>
                <w:szCs w:val="20"/>
              </w:rPr>
            </w:pPr>
            <w:r w:rsidRPr="00A50C70">
              <w:rPr>
                <w:rFonts w:ascii="Calibri" w:eastAsiaTheme="minorEastAsia" w:hAnsi="Calibri" w:cs="Calibri"/>
                <w:color w:val="000000"/>
                <w:szCs w:val="20"/>
              </w:rPr>
              <w:t>7%</w:t>
            </w:r>
          </w:p>
        </w:tc>
        <w:tc>
          <w:tcPr>
            <w:tcW w:w="920" w:type="dxa"/>
            <w:tcBorders>
              <w:top w:val="nil"/>
              <w:left w:val="nil"/>
              <w:bottom w:val="single" w:sz="4" w:space="0" w:color="auto"/>
              <w:right w:val="single" w:sz="4" w:space="0" w:color="auto"/>
            </w:tcBorders>
            <w:vAlign w:val="bottom"/>
          </w:tcPr>
          <w:p w:rsidR="005260B6" w:rsidRPr="00A50C70" w:rsidRDefault="005260B6" w:rsidP="005260B6">
            <w:pPr>
              <w:jc w:val="center"/>
              <w:rPr>
                <w:rFonts w:ascii="Calibri" w:eastAsiaTheme="minorEastAsia" w:hAnsi="Calibri" w:cs="Calibri"/>
                <w:color w:val="000000"/>
                <w:szCs w:val="20"/>
              </w:rPr>
            </w:pPr>
            <w:r w:rsidRPr="00A50C70">
              <w:rPr>
                <w:rFonts w:ascii="Calibri" w:eastAsiaTheme="minorEastAsia" w:hAnsi="Calibri" w:cs="Calibri"/>
                <w:color w:val="000000"/>
                <w:szCs w:val="20"/>
              </w:rPr>
              <w:t>13%</w:t>
            </w:r>
          </w:p>
        </w:tc>
        <w:tc>
          <w:tcPr>
            <w:tcW w:w="920" w:type="dxa"/>
            <w:tcBorders>
              <w:top w:val="nil"/>
              <w:left w:val="nil"/>
              <w:bottom w:val="single" w:sz="4" w:space="0" w:color="auto"/>
              <w:right w:val="single" w:sz="4" w:space="0" w:color="auto"/>
            </w:tcBorders>
            <w:vAlign w:val="bottom"/>
          </w:tcPr>
          <w:p w:rsidR="005260B6" w:rsidRPr="00A50C70" w:rsidRDefault="005260B6" w:rsidP="005260B6">
            <w:pPr>
              <w:jc w:val="center"/>
              <w:rPr>
                <w:rFonts w:ascii="Calibri" w:eastAsiaTheme="minorEastAsia" w:hAnsi="Calibri" w:cs="Calibri"/>
                <w:color w:val="000000"/>
                <w:szCs w:val="20"/>
              </w:rPr>
            </w:pPr>
            <w:r w:rsidRPr="00A50C70">
              <w:rPr>
                <w:rFonts w:ascii="Calibri" w:eastAsiaTheme="minorEastAsia" w:hAnsi="Calibri" w:cs="Calibri"/>
                <w:color w:val="000000"/>
                <w:szCs w:val="20"/>
              </w:rPr>
              <w:t>14%</w:t>
            </w:r>
          </w:p>
        </w:tc>
        <w:tc>
          <w:tcPr>
            <w:tcW w:w="920" w:type="dxa"/>
            <w:tcBorders>
              <w:top w:val="nil"/>
              <w:left w:val="nil"/>
              <w:bottom w:val="single" w:sz="4" w:space="0" w:color="auto"/>
              <w:right w:val="single" w:sz="4" w:space="0" w:color="auto"/>
            </w:tcBorders>
            <w:vAlign w:val="bottom"/>
          </w:tcPr>
          <w:p w:rsidR="005260B6" w:rsidRPr="00A50C70" w:rsidRDefault="005260B6" w:rsidP="005260B6">
            <w:pPr>
              <w:jc w:val="center"/>
              <w:rPr>
                <w:rFonts w:ascii="Calibri" w:eastAsiaTheme="minorEastAsia" w:hAnsi="Calibri" w:cs="Calibri"/>
                <w:color w:val="000000"/>
                <w:szCs w:val="20"/>
              </w:rPr>
            </w:pPr>
            <w:r w:rsidRPr="00A50C70">
              <w:rPr>
                <w:rFonts w:ascii="Calibri" w:eastAsiaTheme="minorEastAsia" w:hAnsi="Calibri" w:cs="Calibri"/>
                <w:color w:val="000000"/>
                <w:szCs w:val="20"/>
              </w:rPr>
              <w:t>19%</w:t>
            </w:r>
          </w:p>
        </w:tc>
        <w:tc>
          <w:tcPr>
            <w:tcW w:w="920" w:type="dxa"/>
            <w:tcBorders>
              <w:top w:val="nil"/>
              <w:left w:val="nil"/>
              <w:bottom w:val="single" w:sz="4" w:space="0" w:color="auto"/>
              <w:right w:val="single" w:sz="4" w:space="0" w:color="auto"/>
            </w:tcBorders>
            <w:vAlign w:val="bottom"/>
          </w:tcPr>
          <w:p w:rsidR="005260B6" w:rsidRPr="00A50C70" w:rsidRDefault="005260B6" w:rsidP="005260B6">
            <w:pPr>
              <w:jc w:val="center"/>
              <w:rPr>
                <w:rFonts w:ascii="Calibri" w:eastAsiaTheme="minorEastAsia" w:hAnsi="Calibri" w:cs="Calibri"/>
                <w:color w:val="000000"/>
                <w:szCs w:val="20"/>
              </w:rPr>
            </w:pPr>
            <w:r w:rsidRPr="00A50C70">
              <w:rPr>
                <w:rFonts w:ascii="Calibri" w:eastAsiaTheme="minorEastAsia" w:hAnsi="Calibri" w:cs="Calibri"/>
                <w:color w:val="000000"/>
                <w:szCs w:val="20"/>
              </w:rPr>
              <w:t>20%</w:t>
            </w:r>
          </w:p>
        </w:tc>
        <w:tc>
          <w:tcPr>
            <w:tcW w:w="920" w:type="dxa"/>
            <w:tcBorders>
              <w:top w:val="nil"/>
              <w:left w:val="nil"/>
              <w:bottom w:val="single" w:sz="4" w:space="0" w:color="auto"/>
              <w:right w:val="single" w:sz="4" w:space="0" w:color="auto"/>
            </w:tcBorders>
            <w:vAlign w:val="bottom"/>
          </w:tcPr>
          <w:p w:rsidR="005260B6" w:rsidRPr="00A50C70" w:rsidRDefault="005260B6" w:rsidP="005260B6">
            <w:pPr>
              <w:jc w:val="center"/>
              <w:rPr>
                <w:rFonts w:ascii="Calibri" w:eastAsiaTheme="minorEastAsia" w:hAnsi="Calibri" w:cs="Calibri"/>
                <w:color w:val="000000"/>
                <w:szCs w:val="20"/>
              </w:rPr>
            </w:pPr>
            <w:r w:rsidRPr="00A50C70">
              <w:rPr>
                <w:rFonts w:ascii="Calibri" w:eastAsiaTheme="minorEastAsia" w:hAnsi="Calibri" w:cs="Calibri"/>
                <w:color w:val="000000"/>
                <w:szCs w:val="20"/>
              </w:rPr>
              <w:t>27%</w:t>
            </w:r>
          </w:p>
        </w:tc>
      </w:tr>
      <w:tr w:rsidR="005260B6" w:rsidRPr="00A50C70" w:rsidTr="005260B6">
        <w:trPr>
          <w:trHeight w:val="285"/>
        </w:trPr>
        <w:tc>
          <w:tcPr>
            <w:tcW w:w="2660" w:type="dxa"/>
            <w:tcBorders>
              <w:top w:val="nil"/>
              <w:left w:val="single" w:sz="4" w:space="0" w:color="auto"/>
              <w:bottom w:val="single" w:sz="4" w:space="0" w:color="auto"/>
              <w:right w:val="single" w:sz="4" w:space="0" w:color="auto"/>
            </w:tcBorders>
            <w:vAlign w:val="bottom"/>
          </w:tcPr>
          <w:p w:rsidR="005260B6" w:rsidRPr="00A50C70" w:rsidRDefault="005260B6" w:rsidP="005260B6">
            <w:pPr>
              <w:rPr>
                <w:rFonts w:ascii="Calibri" w:eastAsiaTheme="minorEastAsia" w:hAnsi="Calibri" w:cs="Calibri"/>
                <w:color w:val="000000"/>
                <w:szCs w:val="20"/>
              </w:rPr>
            </w:pPr>
            <w:r w:rsidRPr="00A50C70">
              <w:rPr>
                <w:rFonts w:ascii="Calibri" w:eastAsiaTheme="minorEastAsia" w:hAnsi="Calibri" w:cs="Calibri"/>
                <w:color w:val="000000"/>
                <w:szCs w:val="20"/>
              </w:rPr>
              <w:t>Rozbark</w:t>
            </w:r>
          </w:p>
        </w:tc>
        <w:tc>
          <w:tcPr>
            <w:tcW w:w="920" w:type="dxa"/>
            <w:tcBorders>
              <w:top w:val="nil"/>
              <w:left w:val="nil"/>
              <w:bottom w:val="single" w:sz="4" w:space="0" w:color="auto"/>
              <w:right w:val="single" w:sz="4" w:space="0" w:color="auto"/>
            </w:tcBorders>
            <w:noWrap/>
            <w:vAlign w:val="bottom"/>
          </w:tcPr>
          <w:p w:rsidR="005260B6" w:rsidRPr="00A50C70" w:rsidRDefault="005260B6" w:rsidP="005260B6">
            <w:pPr>
              <w:jc w:val="center"/>
              <w:rPr>
                <w:rFonts w:ascii="Calibri" w:eastAsiaTheme="minorEastAsia" w:hAnsi="Calibri" w:cs="Calibri"/>
                <w:color w:val="000000"/>
                <w:szCs w:val="20"/>
              </w:rPr>
            </w:pPr>
            <w:r w:rsidRPr="00A50C70">
              <w:rPr>
                <w:rFonts w:ascii="Calibri" w:eastAsiaTheme="minorEastAsia" w:hAnsi="Calibri" w:cs="Calibri"/>
                <w:color w:val="000000"/>
                <w:szCs w:val="20"/>
              </w:rPr>
              <w:t>832</w:t>
            </w:r>
          </w:p>
        </w:tc>
        <w:tc>
          <w:tcPr>
            <w:tcW w:w="920" w:type="dxa"/>
            <w:tcBorders>
              <w:top w:val="nil"/>
              <w:left w:val="nil"/>
              <w:bottom w:val="single" w:sz="4" w:space="0" w:color="auto"/>
              <w:right w:val="single" w:sz="4" w:space="0" w:color="auto"/>
            </w:tcBorders>
            <w:vAlign w:val="bottom"/>
          </w:tcPr>
          <w:p w:rsidR="005260B6" w:rsidRPr="00A50C70" w:rsidRDefault="005260B6" w:rsidP="005260B6">
            <w:pPr>
              <w:jc w:val="center"/>
              <w:rPr>
                <w:rFonts w:ascii="Calibri" w:eastAsiaTheme="minorEastAsia" w:hAnsi="Calibri" w:cs="Calibri"/>
                <w:color w:val="000000"/>
                <w:szCs w:val="20"/>
              </w:rPr>
            </w:pPr>
            <w:r w:rsidRPr="00A50C70">
              <w:rPr>
                <w:rFonts w:ascii="Calibri" w:eastAsiaTheme="minorEastAsia" w:hAnsi="Calibri" w:cs="Calibri"/>
                <w:color w:val="000000"/>
                <w:szCs w:val="20"/>
              </w:rPr>
              <w:t>7%</w:t>
            </w:r>
          </w:p>
        </w:tc>
        <w:tc>
          <w:tcPr>
            <w:tcW w:w="920" w:type="dxa"/>
            <w:tcBorders>
              <w:top w:val="nil"/>
              <w:left w:val="nil"/>
              <w:bottom w:val="single" w:sz="4" w:space="0" w:color="auto"/>
              <w:right w:val="single" w:sz="4" w:space="0" w:color="auto"/>
            </w:tcBorders>
            <w:vAlign w:val="bottom"/>
          </w:tcPr>
          <w:p w:rsidR="005260B6" w:rsidRPr="00A50C70" w:rsidRDefault="005260B6" w:rsidP="005260B6">
            <w:pPr>
              <w:jc w:val="center"/>
              <w:rPr>
                <w:rFonts w:ascii="Calibri" w:eastAsiaTheme="minorEastAsia" w:hAnsi="Calibri" w:cs="Calibri"/>
                <w:color w:val="000000"/>
                <w:szCs w:val="20"/>
              </w:rPr>
            </w:pPr>
            <w:r w:rsidRPr="00A50C70">
              <w:rPr>
                <w:rFonts w:ascii="Calibri" w:eastAsiaTheme="minorEastAsia" w:hAnsi="Calibri" w:cs="Calibri"/>
                <w:color w:val="000000"/>
                <w:szCs w:val="20"/>
              </w:rPr>
              <w:t>10%</w:t>
            </w:r>
          </w:p>
        </w:tc>
        <w:tc>
          <w:tcPr>
            <w:tcW w:w="920" w:type="dxa"/>
            <w:tcBorders>
              <w:top w:val="nil"/>
              <w:left w:val="nil"/>
              <w:bottom w:val="single" w:sz="4" w:space="0" w:color="auto"/>
              <w:right w:val="single" w:sz="4" w:space="0" w:color="auto"/>
            </w:tcBorders>
            <w:vAlign w:val="bottom"/>
          </w:tcPr>
          <w:p w:rsidR="005260B6" w:rsidRPr="00A50C70" w:rsidRDefault="005260B6" w:rsidP="005260B6">
            <w:pPr>
              <w:jc w:val="center"/>
              <w:rPr>
                <w:rFonts w:ascii="Calibri" w:eastAsiaTheme="minorEastAsia" w:hAnsi="Calibri" w:cs="Calibri"/>
                <w:color w:val="000000"/>
                <w:szCs w:val="20"/>
              </w:rPr>
            </w:pPr>
            <w:r w:rsidRPr="00A50C70">
              <w:rPr>
                <w:rFonts w:ascii="Calibri" w:eastAsiaTheme="minorEastAsia" w:hAnsi="Calibri" w:cs="Calibri"/>
                <w:color w:val="000000"/>
                <w:szCs w:val="20"/>
              </w:rPr>
              <w:t>15%</w:t>
            </w:r>
          </w:p>
        </w:tc>
        <w:tc>
          <w:tcPr>
            <w:tcW w:w="920" w:type="dxa"/>
            <w:tcBorders>
              <w:top w:val="nil"/>
              <w:left w:val="nil"/>
              <w:bottom w:val="single" w:sz="4" w:space="0" w:color="auto"/>
              <w:right w:val="single" w:sz="4" w:space="0" w:color="auto"/>
            </w:tcBorders>
            <w:vAlign w:val="bottom"/>
          </w:tcPr>
          <w:p w:rsidR="005260B6" w:rsidRPr="00A50C70" w:rsidRDefault="005260B6" w:rsidP="005260B6">
            <w:pPr>
              <w:jc w:val="center"/>
              <w:rPr>
                <w:rFonts w:ascii="Calibri" w:eastAsiaTheme="minorEastAsia" w:hAnsi="Calibri" w:cs="Calibri"/>
                <w:color w:val="000000"/>
                <w:szCs w:val="20"/>
              </w:rPr>
            </w:pPr>
            <w:r w:rsidRPr="00A50C70">
              <w:rPr>
                <w:rFonts w:ascii="Calibri" w:eastAsiaTheme="minorEastAsia" w:hAnsi="Calibri" w:cs="Calibri"/>
                <w:color w:val="000000"/>
                <w:szCs w:val="20"/>
              </w:rPr>
              <w:t>15%</w:t>
            </w:r>
          </w:p>
        </w:tc>
        <w:tc>
          <w:tcPr>
            <w:tcW w:w="920" w:type="dxa"/>
            <w:tcBorders>
              <w:top w:val="nil"/>
              <w:left w:val="nil"/>
              <w:bottom w:val="single" w:sz="4" w:space="0" w:color="auto"/>
              <w:right w:val="single" w:sz="4" w:space="0" w:color="auto"/>
            </w:tcBorders>
            <w:vAlign w:val="bottom"/>
          </w:tcPr>
          <w:p w:rsidR="005260B6" w:rsidRPr="00A50C70" w:rsidRDefault="005260B6" w:rsidP="005260B6">
            <w:pPr>
              <w:jc w:val="center"/>
              <w:rPr>
                <w:rFonts w:ascii="Calibri" w:eastAsiaTheme="minorEastAsia" w:hAnsi="Calibri" w:cs="Calibri"/>
                <w:color w:val="000000"/>
                <w:szCs w:val="20"/>
              </w:rPr>
            </w:pPr>
            <w:r w:rsidRPr="00A50C70">
              <w:rPr>
                <w:rFonts w:ascii="Calibri" w:eastAsiaTheme="minorEastAsia" w:hAnsi="Calibri" w:cs="Calibri"/>
                <w:color w:val="000000"/>
                <w:szCs w:val="20"/>
              </w:rPr>
              <w:t>20%</w:t>
            </w:r>
          </w:p>
        </w:tc>
        <w:tc>
          <w:tcPr>
            <w:tcW w:w="920" w:type="dxa"/>
            <w:tcBorders>
              <w:top w:val="nil"/>
              <w:left w:val="nil"/>
              <w:bottom w:val="single" w:sz="4" w:space="0" w:color="auto"/>
              <w:right w:val="single" w:sz="4" w:space="0" w:color="auto"/>
            </w:tcBorders>
            <w:vAlign w:val="bottom"/>
          </w:tcPr>
          <w:p w:rsidR="005260B6" w:rsidRPr="00A50C70" w:rsidRDefault="005260B6" w:rsidP="005260B6">
            <w:pPr>
              <w:jc w:val="center"/>
              <w:rPr>
                <w:rFonts w:ascii="Calibri" w:eastAsiaTheme="minorEastAsia" w:hAnsi="Calibri" w:cs="Calibri"/>
                <w:color w:val="000000"/>
                <w:szCs w:val="20"/>
              </w:rPr>
            </w:pPr>
            <w:r w:rsidRPr="00A50C70">
              <w:rPr>
                <w:rFonts w:ascii="Calibri" w:eastAsiaTheme="minorEastAsia" w:hAnsi="Calibri" w:cs="Calibri"/>
                <w:color w:val="000000"/>
                <w:szCs w:val="20"/>
              </w:rPr>
              <w:t>33%</w:t>
            </w:r>
          </w:p>
        </w:tc>
      </w:tr>
      <w:tr w:rsidR="005260B6" w:rsidRPr="00A50C70" w:rsidTr="005260B6">
        <w:trPr>
          <w:trHeight w:val="285"/>
        </w:trPr>
        <w:tc>
          <w:tcPr>
            <w:tcW w:w="2660" w:type="dxa"/>
            <w:tcBorders>
              <w:top w:val="nil"/>
              <w:left w:val="single" w:sz="4" w:space="0" w:color="auto"/>
              <w:bottom w:val="single" w:sz="4" w:space="0" w:color="auto"/>
              <w:right w:val="single" w:sz="4" w:space="0" w:color="auto"/>
            </w:tcBorders>
            <w:vAlign w:val="bottom"/>
          </w:tcPr>
          <w:p w:rsidR="005260B6" w:rsidRPr="00A50C70" w:rsidRDefault="005260B6" w:rsidP="005260B6">
            <w:pPr>
              <w:rPr>
                <w:rFonts w:ascii="Calibri" w:eastAsiaTheme="minorEastAsia" w:hAnsi="Calibri" w:cs="Calibri"/>
                <w:color w:val="000000"/>
                <w:szCs w:val="20"/>
              </w:rPr>
            </w:pPr>
            <w:r w:rsidRPr="00A50C70">
              <w:rPr>
                <w:rFonts w:ascii="Calibri" w:eastAsiaTheme="minorEastAsia" w:hAnsi="Calibri" w:cs="Calibri"/>
                <w:color w:val="000000"/>
                <w:szCs w:val="20"/>
              </w:rPr>
              <w:t>Śródmieście Północ</w:t>
            </w:r>
          </w:p>
        </w:tc>
        <w:tc>
          <w:tcPr>
            <w:tcW w:w="920" w:type="dxa"/>
            <w:tcBorders>
              <w:top w:val="nil"/>
              <w:left w:val="nil"/>
              <w:bottom w:val="single" w:sz="4" w:space="0" w:color="auto"/>
              <w:right w:val="single" w:sz="4" w:space="0" w:color="auto"/>
            </w:tcBorders>
            <w:noWrap/>
            <w:vAlign w:val="bottom"/>
          </w:tcPr>
          <w:p w:rsidR="005260B6" w:rsidRPr="00A50C70" w:rsidRDefault="005260B6" w:rsidP="005260B6">
            <w:pPr>
              <w:jc w:val="center"/>
              <w:rPr>
                <w:rFonts w:ascii="Calibri" w:eastAsiaTheme="minorEastAsia" w:hAnsi="Calibri" w:cs="Calibri"/>
                <w:color w:val="000000"/>
                <w:szCs w:val="20"/>
              </w:rPr>
            </w:pPr>
            <w:r w:rsidRPr="00A50C70">
              <w:rPr>
                <w:rFonts w:ascii="Calibri" w:eastAsiaTheme="minorEastAsia" w:hAnsi="Calibri" w:cs="Calibri"/>
                <w:color w:val="000000"/>
                <w:szCs w:val="20"/>
              </w:rPr>
              <w:t>793</w:t>
            </w:r>
          </w:p>
        </w:tc>
        <w:tc>
          <w:tcPr>
            <w:tcW w:w="920" w:type="dxa"/>
            <w:tcBorders>
              <w:top w:val="nil"/>
              <w:left w:val="nil"/>
              <w:bottom w:val="single" w:sz="4" w:space="0" w:color="auto"/>
              <w:right w:val="single" w:sz="4" w:space="0" w:color="auto"/>
            </w:tcBorders>
            <w:vAlign w:val="bottom"/>
          </w:tcPr>
          <w:p w:rsidR="005260B6" w:rsidRPr="00A50C70" w:rsidRDefault="005260B6" w:rsidP="005260B6">
            <w:pPr>
              <w:jc w:val="center"/>
              <w:rPr>
                <w:rFonts w:ascii="Calibri" w:eastAsiaTheme="minorEastAsia" w:hAnsi="Calibri" w:cs="Calibri"/>
                <w:color w:val="000000"/>
                <w:szCs w:val="20"/>
              </w:rPr>
            </w:pPr>
            <w:r w:rsidRPr="00A50C70">
              <w:rPr>
                <w:rFonts w:ascii="Calibri" w:eastAsiaTheme="minorEastAsia" w:hAnsi="Calibri" w:cs="Calibri"/>
                <w:color w:val="000000"/>
                <w:szCs w:val="20"/>
              </w:rPr>
              <w:t>7%</w:t>
            </w:r>
          </w:p>
        </w:tc>
        <w:tc>
          <w:tcPr>
            <w:tcW w:w="920" w:type="dxa"/>
            <w:tcBorders>
              <w:top w:val="nil"/>
              <w:left w:val="nil"/>
              <w:bottom w:val="single" w:sz="4" w:space="0" w:color="auto"/>
              <w:right w:val="single" w:sz="4" w:space="0" w:color="auto"/>
            </w:tcBorders>
            <w:vAlign w:val="bottom"/>
          </w:tcPr>
          <w:p w:rsidR="005260B6" w:rsidRPr="00A50C70" w:rsidRDefault="005260B6" w:rsidP="005260B6">
            <w:pPr>
              <w:jc w:val="center"/>
              <w:rPr>
                <w:rFonts w:ascii="Calibri" w:eastAsiaTheme="minorEastAsia" w:hAnsi="Calibri" w:cs="Calibri"/>
                <w:color w:val="000000"/>
                <w:szCs w:val="20"/>
              </w:rPr>
            </w:pPr>
            <w:r w:rsidRPr="00A50C70">
              <w:rPr>
                <w:rFonts w:ascii="Calibri" w:eastAsiaTheme="minorEastAsia" w:hAnsi="Calibri" w:cs="Calibri"/>
                <w:color w:val="000000"/>
                <w:szCs w:val="20"/>
              </w:rPr>
              <w:t>13%</w:t>
            </w:r>
          </w:p>
        </w:tc>
        <w:tc>
          <w:tcPr>
            <w:tcW w:w="920" w:type="dxa"/>
            <w:tcBorders>
              <w:top w:val="nil"/>
              <w:left w:val="nil"/>
              <w:bottom w:val="single" w:sz="4" w:space="0" w:color="auto"/>
              <w:right w:val="single" w:sz="4" w:space="0" w:color="auto"/>
            </w:tcBorders>
            <w:vAlign w:val="bottom"/>
          </w:tcPr>
          <w:p w:rsidR="005260B6" w:rsidRPr="00A50C70" w:rsidRDefault="005260B6" w:rsidP="005260B6">
            <w:pPr>
              <w:jc w:val="center"/>
              <w:rPr>
                <w:rFonts w:ascii="Calibri" w:eastAsiaTheme="minorEastAsia" w:hAnsi="Calibri" w:cs="Calibri"/>
                <w:color w:val="000000"/>
                <w:szCs w:val="20"/>
              </w:rPr>
            </w:pPr>
            <w:r w:rsidRPr="00A50C70">
              <w:rPr>
                <w:rFonts w:ascii="Calibri" w:eastAsiaTheme="minorEastAsia" w:hAnsi="Calibri" w:cs="Calibri"/>
                <w:color w:val="000000"/>
                <w:szCs w:val="20"/>
              </w:rPr>
              <w:t>13%</w:t>
            </w:r>
          </w:p>
        </w:tc>
        <w:tc>
          <w:tcPr>
            <w:tcW w:w="920" w:type="dxa"/>
            <w:tcBorders>
              <w:top w:val="nil"/>
              <w:left w:val="nil"/>
              <w:bottom w:val="single" w:sz="4" w:space="0" w:color="auto"/>
              <w:right w:val="single" w:sz="4" w:space="0" w:color="auto"/>
            </w:tcBorders>
            <w:vAlign w:val="bottom"/>
          </w:tcPr>
          <w:p w:rsidR="005260B6" w:rsidRPr="00A50C70" w:rsidRDefault="005260B6" w:rsidP="005260B6">
            <w:pPr>
              <w:jc w:val="center"/>
              <w:rPr>
                <w:rFonts w:ascii="Calibri" w:eastAsiaTheme="minorEastAsia" w:hAnsi="Calibri" w:cs="Calibri"/>
                <w:color w:val="000000"/>
                <w:szCs w:val="20"/>
              </w:rPr>
            </w:pPr>
            <w:r w:rsidRPr="00A50C70">
              <w:rPr>
                <w:rFonts w:ascii="Calibri" w:eastAsiaTheme="minorEastAsia" w:hAnsi="Calibri" w:cs="Calibri"/>
                <w:color w:val="000000"/>
                <w:szCs w:val="20"/>
              </w:rPr>
              <w:t>19%</w:t>
            </w:r>
          </w:p>
        </w:tc>
        <w:tc>
          <w:tcPr>
            <w:tcW w:w="920" w:type="dxa"/>
            <w:tcBorders>
              <w:top w:val="nil"/>
              <w:left w:val="nil"/>
              <w:bottom w:val="single" w:sz="4" w:space="0" w:color="auto"/>
              <w:right w:val="single" w:sz="4" w:space="0" w:color="auto"/>
            </w:tcBorders>
            <w:vAlign w:val="bottom"/>
          </w:tcPr>
          <w:p w:rsidR="005260B6" w:rsidRPr="00A50C70" w:rsidRDefault="005260B6" w:rsidP="005260B6">
            <w:pPr>
              <w:jc w:val="center"/>
              <w:rPr>
                <w:rFonts w:ascii="Calibri" w:eastAsiaTheme="minorEastAsia" w:hAnsi="Calibri" w:cs="Calibri"/>
                <w:color w:val="000000"/>
                <w:szCs w:val="20"/>
              </w:rPr>
            </w:pPr>
            <w:r w:rsidRPr="00A50C70">
              <w:rPr>
                <w:rFonts w:ascii="Calibri" w:eastAsiaTheme="minorEastAsia" w:hAnsi="Calibri" w:cs="Calibri"/>
                <w:color w:val="000000"/>
                <w:szCs w:val="20"/>
              </w:rPr>
              <w:t>18%</w:t>
            </w:r>
          </w:p>
        </w:tc>
        <w:tc>
          <w:tcPr>
            <w:tcW w:w="920" w:type="dxa"/>
            <w:tcBorders>
              <w:top w:val="nil"/>
              <w:left w:val="nil"/>
              <w:bottom w:val="single" w:sz="4" w:space="0" w:color="auto"/>
              <w:right w:val="single" w:sz="4" w:space="0" w:color="auto"/>
            </w:tcBorders>
            <w:vAlign w:val="bottom"/>
          </w:tcPr>
          <w:p w:rsidR="005260B6" w:rsidRPr="00A50C70" w:rsidRDefault="005260B6" w:rsidP="005260B6">
            <w:pPr>
              <w:jc w:val="center"/>
              <w:rPr>
                <w:rFonts w:ascii="Calibri" w:eastAsiaTheme="minorEastAsia" w:hAnsi="Calibri" w:cs="Calibri"/>
                <w:color w:val="000000"/>
                <w:szCs w:val="20"/>
              </w:rPr>
            </w:pPr>
            <w:r w:rsidRPr="00A50C70">
              <w:rPr>
                <w:rFonts w:ascii="Calibri" w:eastAsiaTheme="minorEastAsia" w:hAnsi="Calibri" w:cs="Calibri"/>
                <w:color w:val="000000"/>
                <w:szCs w:val="20"/>
              </w:rPr>
              <w:t>30%</w:t>
            </w:r>
          </w:p>
        </w:tc>
      </w:tr>
      <w:tr w:rsidR="005260B6" w:rsidRPr="00A50C70" w:rsidTr="005260B6">
        <w:trPr>
          <w:trHeight w:val="285"/>
        </w:trPr>
        <w:tc>
          <w:tcPr>
            <w:tcW w:w="2660" w:type="dxa"/>
            <w:tcBorders>
              <w:top w:val="nil"/>
              <w:left w:val="single" w:sz="4" w:space="0" w:color="auto"/>
              <w:bottom w:val="single" w:sz="4" w:space="0" w:color="auto"/>
              <w:right w:val="single" w:sz="4" w:space="0" w:color="auto"/>
            </w:tcBorders>
            <w:vAlign w:val="bottom"/>
          </w:tcPr>
          <w:p w:rsidR="005260B6" w:rsidRPr="00A50C70" w:rsidRDefault="005260B6" w:rsidP="005260B6">
            <w:pPr>
              <w:rPr>
                <w:rFonts w:ascii="Calibri" w:eastAsiaTheme="minorEastAsia" w:hAnsi="Calibri" w:cs="Calibri"/>
                <w:color w:val="000000"/>
                <w:szCs w:val="20"/>
              </w:rPr>
            </w:pPr>
            <w:r w:rsidRPr="00A50C70">
              <w:rPr>
                <w:rFonts w:ascii="Calibri" w:eastAsiaTheme="minorEastAsia" w:hAnsi="Calibri" w:cs="Calibri"/>
                <w:color w:val="000000"/>
                <w:szCs w:val="20"/>
              </w:rPr>
              <w:t>Kolonia Zgorzelec</w:t>
            </w:r>
          </w:p>
        </w:tc>
        <w:tc>
          <w:tcPr>
            <w:tcW w:w="920" w:type="dxa"/>
            <w:tcBorders>
              <w:top w:val="nil"/>
              <w:left w:val="nil"/>
              <w:bottom w:val="single" w:sz="4" w:space="0" w:color="auto"/>
              <w:right w:val="single" w:sz="4" w:space="0" w:color="auto"/>
            </w:tcBorders>
            <w:noWrap/>
            <w:vAlign w:val="bottom"/>
          </w:tcPr>
          <w:p w:rsidR="005260B6" w:rsidRPr="00A50C70" w:rsidRDefault="005260B6" w:rsidP="005260B6">
            <w:pPr>
              <w:jc w:val="center"/>
              <w:rPr>
                <w:rFonts w:ascii="Calibri" w:eastAsiaTheme="minorEastAsia" w:hAnsi="Calibri" w:cs="Calibri"/>
                <w:color w:val="000000"/>
                <w:szCs w:val="20"/>
              </w:rPr>
            </w:pPr>
            <w:r w:rsidRPr="00A50C70">
              <w:rPr>
                <w:rFonts w:ascii="Calibri" w:eastAsiaTheme="minorEastAsia" w:hAnsi="Calibri" w:cs="Calibri"/>
                <w:color w:val="000000"/>
                <w:szCs w:val="20"/>
              </w:rPr>
              <w:t>20</w:t>
            </w:r>
          </w:p>
        </w:tc>
        <w:tc>
          <w:tcPr>
            <w:tcW w:w="920" w:type="dxa"/>
            <w:tcBorders>
              <w:top w:val="nil"/>
              <w:left w:val="nil"/>
              <w:bottom w:val="single" w:sz="4" w:space="0" w:color="auto"/>
              <w:right w:val="single" w:sz="4" w:space="0" w:color="auto"/>
            </w:tcBorders>
            <w:vAlign w:val="bottom"/>
          </w:tcPr>
          <w:p w:rsidR="005260B6" w:rsidRPr="00A50C70" w:rsidRDefault="005260B6" w:rsidP="005260B6">
            <w:pPr>
              <w:jc w:val="center"/>
              <w:rPr>
                <w:rFonts w:ascii="Calibri" w:eastAsiaTheme="minorEastAsia" w:hAnsi="Calibri" w:cs="Calibri"/>
                <w:color w:val="000000"/>
                <w:szCs w:val="20"/>
              </w:rPr>
            </w:pPr>
            <w:r w:rsidRPr="00A50C70">
              <w:rPr>
                <w:rFonts w:ascii="Calibri" w:eastAsiaTheme="minorEastAsia" w:hAnsi="Calibri" w:cs="Calibri"/>
                <w:color w:val="000000"/>
                <w:szCs w:val="20"/>
              </w:rPr>
              <w:t>0%</w:t>
            </w:r>
          </w:p>
        </w:tc>
        <w:tc>
          <w:tcPr>
            <w:tcW w:w="920" w:type="dxa"/>
            <w:tcBorders>
              <w:top w:val="nil"/>
              <w:left w:val="nil"/>
              <w:bottom w:val="single" w:sz="4" w:space="0" w:color="auto"/>
              <w:right w:val="single" w:sz="4" w:space="0" w:color="auto"/>
            </w:tcBorders>
            <w:vAlign w:val="bottom"/>
          </w:tcPr>
          <w:p w:rsidR="005260B6" w:rsidRPr="00A50C70" w:rsidRDefault="005260B6" w:rsidP="005260B6">
            <w:pPr>
              <w:jc w:val="center"/>
              <w:rPr>
                <w:rFonts w:ascii="Calibri" w:eastAsiaTheme="minorEastAsia" w:hAnsi="Calibri" w:cs="Calibri"/>
                <w:color w:val="000000"/>
                <w:szCs w:val="20"/>
              </w:rPr>
            </w:pPr>
            <w:r w:rsidRPr="00A50C70">
              <w:rPr>
                <w:rFonts w:ascii="Calibri" w:eastAsiaTheme="minorEastAsia" w:hAnsi="Calibri" w:cs="Calibri"/>
                <w:color w:val="000000"/>
                <w:szCs w:val="20"/>
              </w:rPr>
              <w:t>0%</w:t>
            </w:r>
          </w:p>
        </w:tc>
        <w:tc>
          <w:tcPr>
            <w:tcW w:w="920" w:type="dxa"/>
            <w:tcBorders>
              <w:top w:val="nil"/>
              <w:left w:val="nil"/>
              <w:bottom w:val="single" w:sz="4" w:space="0" w:color="auto"/>
              <w:right w:val="single" w:sz="4" w:space="0" w:color="auto"/>
            </w:tcBorders>
            <w:vAlign w:val="bottom"/>
          </w:tcPr>
          <w:p w:rsidR="005260B6" w:rsidRPr="00A50C70" w:rsidRDefault="005260B6" w:rsidP="005260B6">
            <w:pPr>
              <w:jc w:val="center"/>
              <w:rPr>
                <w:rFonts w:ascii="Calibri" w:eastAsiaTheme="minorEastAsia" w:hAnsi="Calibri" w:cs="Calibri"/>
                <w:color w:val="000000"/>
                <w:szCs w:val="20"/>
              </w:rPr>
            </w:pPr>
            <w:r w:rsidRPr="00A50C70">
              <w:rPr>
                <w:rFonts w:ascii="Calibri" w:eastAsiaTheme="minorEastAsia" w:hAnsi="Calibri" w:cs="Calibri"/>
                <w:color w:val="000000"/>
                <w:szCs w:val="20"/>
              </w:rPr>
              <w:t>15%</w:t>
            </w:r>
          </w:p>
        </w:tc>
        <w:tc>
          <w:tcPr>
            <w:tcW w:w="920" w:type="dxa"/>
            <w:tcBorders>
              <w:top w:val="nil"/>
              <w:left w:val="nil"/>
              <w:bottom w:val="single" w:sz="4" w:space="0" w:color="auto"/>
              <w:right w:val="single" w:sz="4" w:space="0" w:color="auto"/>
            </w:tcBorders>
            <w:vAlign w:val="bottom"/>
          </w:tcPr>
          <w:p w:rsidR="005260B6" w:rsidRPr="00A50C70" w:rsidRDefault="005260B6" w:rsidP="005260B6">
            <w:pPr>
              <w:jc w:val="center"/>
              <w:rPr>
                <w:rFonts w:ascii="Calibri" w:eastAsiaTheme="minorEastAsia" w:hAnsi="Calibri" w:cs="Calibri"/>
                <w:color w:val="000000"/>
                <w:szCs w:val="20"/>
              </w:rPr>
            </w:pPr>
            <w:r w:rsidRPr="00A50C70">
              <w:rPr>
                <w:rFonts w:ascii="Calibri" w:eastAsiaTheme="minorEastAsia" w:hAnsi="Calibri" w:cs="Calibri"/>
                <w:color w:val="000000"/>
                <w:szCs w:val="20"/>
              </w:rPr>
              <w:t>20%</w:t>
            </w:r>
          </w:p>
        </w:tc>
        <w:tc>
          <w:tcPr>
            <w:tcW w:w="920" w:type="dxa"/>
            <w:tcBorders>
              <w:top w:val="nil"/>
              <w:left w:val="nil"/>
              <w:bottom w:val="single" w:sz="4" w:space="0" w:color="auto"/>
              <w:right w:val="single" w:sz="4" w:space="0" w:color="auto"/>
            </w:tcBorders>
            <w:vAlign w:val="bottom"/>
          </w:tcPr>
          <w:p w:rsidR="005260B6" w:rsidRPr="00A50C70" w:rsidRDefault="005260B6" w:rsidP="005260B6">
            <w:pPr>
              <w:jc w:val="center"/>
              <w:rPr>
                <w:rFonts w:ascii="Calibri" w:eastAsiaTheme="minorEastAsia" w:hAnsi="Calibri" w:cs="Calibri"/>
                <w:color w:val="000000"/>
                <w:szCs w:val="20"/>
              </w:rPr>
            </w:pPr>
            <w:r w:rsidRPr="00A50C70">
              <w:rPr>
                <w:rFonts w:ascii="Calibri" w:eastAsiaTheme="minorEastAsia" w:hAnsi="Calibri" w:cs="Calibri"/>
                <w:color w:val="000000"/>
                <w:szCs w:val="20"/>
              </w:rPr>
              <w:t>20%</w:t>
            </w:r>
          </w:p>
        </w:tc>
        <w:tc>
          <w:tcPr>
            <w:tcW w:w="920" w:type="dxa"/>
            <w:tcBorders>
              <w:top w:val="nil"/>
              <w:left w:val="nil"/>
              <w:bottom w:val="single" w:sz="4" w:space="0" w:color="auto"/>
              <w:right w:val="single" w:sz="4" w:space="0" w:color="auto"/>
            </w:tcBorders>
            <w:vAlign w:val="bottom"/>
          </w:tcPr>
          <w:p w:rsidR="005260B6" w:rsidRPr="00A50C70" w:rsidRDefault="005260B6" w:rsidP="005260B6">
            <w:pPr>
              <w:jc w:val="center"/>
              <w:rPr>
                <w:rFonts w:ascii="Calibri" w:eastAsiaTheme="minorEastAsia" w:hAnsi="Calibri" w:cs="Calibri"/>
                <w:color w:val="000000"/>
                <w:szCs w:val="20"/>
              </w:rPr>
            </w:pPr>
            <w:r w:rsidRPr="00A50C70">
              <w:rPr>
                <w:rFonts w:ascii="Calibri" w:eastAsiaTheme="minorEastAsia" w:hAnsi="Calibri" w:cs="Calibri"/>
                <w:color w:val="000000"/>
                <w:szCs w:val="20"/>
              </w:rPr>
              <w:t>45%</w:t>
            </w:r>
          </w:p>
        </w:tc>
      </w:tr>
    </w:tbl>
    <w:p w:rsidR="005260B6" w:rsidRDefault="005260B6" w:rsidP="005260B6">
      <w:pPr>
        <w:autoSpaceDE w:val="0"/>
        <w:autoSpaceDN w:val="0"/>
        <w:adjustRightInd w:val="0"/>
        <w:rPr>
          <w:rFonts w:ascii="Calibri" w:hAnsi="Calibri" w:cs="Calibri"/>
          <w:i/>
          <w:iCs/>
          <w:sz w:val="18"/>
          <w:szCs w:val="18"/>
        </w:rPr>
      </w:pPr>
      <w:r>
        <w:rPr>
          <w:rFonts w:ascii="Calibri" w:hAnsi="Calibri" w:cs="Calibri"/>
          <w:i/>
          <w:iCs/>
          <w:sz w:val="18"/>
          <w:szCs w:val="18"/>
        </w:rPr>
        <w:t xml:space="preserve">Źródło: Opracowanie Instytutu Rozwoju Miast na podstawie danych </w:t>
      </w:r>
      <w:r w:rsidR="00E8685D">
        <w:rPr>
          <w:rFonts w:ascii="Calibri" w:hAnsi="Calibri" w:cs="Calibri"/>
          <w:i/>
          <w:iCs/>
          <w:sz w:val="18"/>
          <w:szCs w:val="18"/>
        </w:rPr>
        <w:t>z PUP</w:t>
      </w:r>
    </w:p>
    <w:p w:rsidR="005260B6" w:rsidRDefault="005260B6" w:rsidP="005260B6"/>
    <w:p w:rsidR="005260B6" w:rsidRDefault="005260B6" w:rsidP="00AD27E2">
      <w:pPr>
        <w:pStyle w:val="TreA"/>
        <w:jc w:val="both"/>
        <w:rPr>
          <w:rFonts w:ascii="Calibri" w:hAnsi="Calibri" w:cs="Calibri"/>
          <w:sz w:val="20"/>
          <w:szCs w:val="20"/>
        </w:rPr>
      </w:pPr>
      <w:r>
        <w:rPr>
          <w:rFonts w:ascii="Calibri" w:hAnsi="Calibri" w:cs="Calibri"/>
          <w:sz w:val="20"/>
          <w:szCs w:val="20"/>
        </w:rPr>
        <w:t>Najtrudniej jest doprowadzić do powrotu na rynek pracy osoby, które pozostają bezrobotne dłużej niż 24</w:t>
      </w:r>
      <w:r w:rsidR="00B90FA8">
        <w:rPr>
          <w:rFonts w:ascii="Calibri" w:hAnsi="Calibri" w:cs="Calibri"/>
          <w:sz w:val="20"/>
          <w:szCs w:val="20"/>
        </w:rPr>
        <w:t> </w:t>
      </w:r>
      <w:r>
        <w:rPr>
          <w:rFonts w:ascii="Calibri" w:hAnsi="Calibri" w:cs="Calibri"/>
          <w:sz w:val="20"/>
          <w:szCs w:val="20"/>
        </w:rPr>
        <w:t xml:space="preserve">miesiące. W praktyce większość z nich to osoby trwale bezrobotne. </w:t>
      </w:r>
      <w:r w:rsidRPr="0094354B">
        <w:rPr>
          <w:rFonts w:ascii="Calibri" w:hAnsi="Calibri" w:cs="Calibri"/>
          <w:b/>
          <w:color w:val="C00000"/>
          <w:sz w:val="20"/>
          <w:szCs w:val="20"/>
        </w:rPr>
        <w:t>Najwięcej procentowo jest ich w Kolonii Zgorzelec oraz w podobszarze Bobrek</w:t>
      </w:r>
      <w:r>
        <w:rPr>
          <w:rStyle w:val="Odwoanieprzypisudolnego"/>
          <w:rFonts w:ascii="Calibri" w:hAnsi="Calibri" w:cs="Calibri"/>
          <w:sz w:val="20"/>
          <w:szCs w:val="20"/>
        </w:rPr>
        <w:footnoteReference w:id="10"/>
      </w:r>
      <w:r>
        <w:rPr>
          <w:rFonts w:ascii="Calibri" w:hAnsi="Calibri" w:cs="Calibri"/>
          <w:sz w:val="20"/>
          <w:szCs w:val="20"/>
        </w:rPr>
        <w:t xml:space="preserve">. </w:t>
      </w:r>
      <w:r w:rsidRPr="00C319B6">
        <w:rPr>
          <w:rFonts w:ascii="Calibri" w:hAnsi="Calibri" w:cs="Calibri"/>
          <w:sz w:val="20"/>
          <w:szCs w:val="20"/>
        </w:rPr>
        <w:t xml:space="preserve">W sumie </w:t>
      </w:r>
      <w:r w:rsidRPr="00C319B6">
        <w:rPr>
          <w:rFonts w:ascii="Calibri" w:hAnsi="Calibri" w:cs="Calibri"/>
          <w:b/>
          <w:bCs/>
          <w:color w:val="C00000"/>
          <w:sz w:val="20"/>
          <w:szCs w:val="20"/>
        </w:rPr>
        <w:t xml:space="preserve">osób bezrobotnych </w:t>
      </w:r>
      <w:r w:rsidR="00C319B6" w:rsidRPr="00C319B6">
        <w:rPr>
          <w:rFonts w:ascii="Calibri" w:hAnsi="Calibri" w:cs="Calibri"/>
          <w:b/>
          <w:bCs/>
          <w:color w:val="C00000"/>
          <w:sz w:val="20"/>
          <w:szCs w:val="20"/>
        </w:rPr>
        <w:t>powyżej 24 miesięcy</w:t>
      </w:r>
      <w:r w:rsidRPr="00C319B6">
        <w:rPr>
          <w:rFonts w:ascii="Calibri" w:hAnsi="Calibri" w:cs="Calibri"/>
          <w:b/>
          <w:bCs/>
          <w:color w:val="C00000"/>
          <w:sz w:val="20"/>
          <w:szCs w:val="20"/>
        </w:rPr>
        <w:t xml:space="preserve"> jest na obszarze rewitalizacji 1 273 i jest to grupa rosnąca</w:t>
      </w:r>
      <w:r w:rsidRPr="00C319B6">
        <w:rPr>
          <w:rFonts w:ascii="Calibri" w:hAnsi="Calibri" w:cs="Calibri"/>
          <w:color w:val="C00000"/>
          <w:sz w:val="20"/>
          <w:szCs w:val="20"/>
        </w:rPr>
        <w:t>,</w:t>
      </w:r>
      <w:r w:rsidRPr="00C319B6">
        <w:rPr>
          <w:rFonts w:ascii="Calibri" w:hAnsi="Calibri" w:cs="Calibri"/>
          <w:sz w:val="20"/>
          <w:szCs w:val="20"/>
        </w:rPr>
        <w:t xml:space="preserve"> której w procesie rewitalizacji należy poświęcić szczególną uwagę.</w:t>
      </w:r>
      <w:r>
        <w:rPr>
          <w:rFonts w:ascii="Calibri" w:hAnsi="Calibri" w:cs="Calibri"/>
          <w:sz w:val="20"/>
          <w:szCs w:val="20"/>
        </w:rPr>
        <w:t xml:space="preserve"> Pozostawanie bez pracy przez okres dłuższy niż 1 rok skutkuje degradacją ekonomiczną oraz szeroko rozumianą degradacją społeczną poprzez utrwalenie niekorzystnych postaw życiowych, bierności, bezradności, utratę poczucia własnej wartości, zaniedbywanie obowiązków rodzinnych i wychowawczych wobec dzieci. W dłuższej perspektywie powoduje to wykształcenie patologicznych wzorców zachowań oraz wzrost przestępczości. </w:t>
      </w:r>
      <w:r>
        <w:rPr>
          <w:rFonts w:ascii="Calibri" w:hAnsi="Calibri" w:cs="Calibri"/>
          <w:sz w:val="20"/>
          <w:szCs w:val="20"/>
        </w:rPr>
        <w:lastRenderedPageBreak/>
        <w:t xml:space="preserve">Wysokie bezrobocie, czy też niski poziom aktywności zawodowej, bezrobocie długotrwałe spowodowane jest licznymi przyczynami specyficznymi dla Bytomia, obszaru zdegradowanego i podobszarów rewitalizacji. </w:t>
      </w:r>
    </w:p>
    <w:p w:rsidR="005260B6" w:rsidRPr="0024026B" w:rsidRDefault="005260B6" w:rsidP="005260B6">
      <w:pPr>
        <w:pStyle w:val="TreA"/>
        <w:jc w:val="both"/>
        <w:rPr>
          <w:rFonts w:asciiTheme="minorHAnsi" w:hAnsiTheme="minorHAnsi" w:cstheme="minorHAnsi"/>
          <w:sz w:val="20"/>
          <w:szCs w:val="20"/>
        </w:rPr>
      </w:pPr>
      <w:r w:rsidRPr="0094354B">
        <w:rPr>
          <w:rFonts w:asciiTheme="minorHAnsi" w:hAnsiTheme="minorHAnsi" w:cstheme="minorHAnsi"/>
          <w:b/>
          <w:color w:val="C00000"/>
          <w:sz w:val="20"/>
          <w:szCs w:val="20"/>
        </w:rPr>
        <w:t>Przyczyn wysokiego poziomu bezrobocia w Bytomiu należy szukać w procesie restrukturyzacji przemysłu ciężkiego w latach 90 ubiegłego wieku.</w:t>
      </w:r>
      <w:r w:rsidRPr="0024026B">
        <w:rPr>
          <w:rFonts w:asciiTheme="minorHAnsi" w:hAnsiTheme="minorHAnsi" w:cstheme="minorHAnsi"/>
          <w:sz w:val="20"/>
          <w:szCs w:val="20"/>
        </w:rPr>
        <w:t xml:space="preserve"> Industrializacja Bytomia lat 70 i 80 XX wieku doprowadziła do bardzo dużych ruchów migracyjnych i napływu do miasta niskokwalifikowanej  siły roboczej znajdującej zatrudnienie w</w:t>
      </w:r>
      <w:r w:rsidR="00A932C3">
        <w:rPr>
          <w:rFonts w:asciiTheme="minorHAnsi" w:hAnsiTheme="minorHAnsi" w:cstheme="minorHAnsi"/>
          <w:sz w:val="20"/>
          <w:szCs w:val="20"/>
        </w:rPr>
        <w:t> </w:t>
      </w:r>
      <w:r w:rsidRPr="0024026B">
        <w:rPr>
          <w:rFonts w:asciiTheme="minorHAnsi" w:hAnsiTheme="minorHAnsi" w:cstheme="minorHAnsi"/>
          <w:sz w:val="20"/>
          <w:szCs w:val="20"/>
        </w:rPr>
        <w:t xml:space="preserve">bytomskich kopalniach, hutach i zakładach okołogórniczych. Specyfika systemu gospodarki centralnie planowanej i pełnienie przez zakłady pracy roli organizatora całości życia ekonomiczno-społecznego swoich pracowników doprowadziło do ich silnego uzależnienia i braku umiejętności poradzenia sobie przy procesie restrukturyzacji przemysłu ciężkiego w otoczeniu wolnorynkowym. </w:t>
      </w:r>
    </w:p>
    <w:p w:rsidR="005260B6" w:rsidRPr="0024026B" w:rsidRDefault="005260B6" w:rsidP="005260B6">
      <w:pPr>
        <w:pStyle w:val="TreA"/>
        <w:jc w:val="both"/>
        <w:rPr>
          <w:rFonts w:asciiTheme="minorHAnsi" w:hAnsiTheme="minorHAnsi" w:cstheme="minorHAnsi"/>
          <w:sz w:val="20"/>
          <w:szCs w:val="20"/>
        </w:rPr>
      </w:pPr>
      <w:r w:rsidRPr="0024026B">
        <w:rPr>
          <w:rFonts w:asciiTheme="minorHAnsi" w:hAnsiTheme="minorHAnsi" w:cstheme="minorHAnsi"/>
          <w:sz w:val="20"/>
          <w:szCs w:val="20"/>
        </w:rPr>
        <w:t>Do lat 90 XX w. rynek pracy w Bytomiu był niemal całkowicie nastawiony na obsługę dominującego tu przemysłu ciężkiego. Szkolnictwo było ukierunkowane na reprodukcję niewykwalifikowanej lub jednostronnie wykwalifikowanej siły roboczej dla górnictwa i hutnictwa, a napływający z innych części Polski do pracy w</w:t>
      </w:r>
      <w:r w:rsidR="00A932C3">
        <w:rPr>
          <w:rFonts w:asciiTheme="minorHAnsi" w:hAnsiTheme="minorHAnsi" w:cstheme="minorHAnsi"/>
          <w:sz w:val="20"/>
          <w:szCs w:val="20"/>
        </w:rPr>
        <w:t> </w:t>
      </w:r>
      <w:r w:rsidRPr="0024026B">
        <w:rPr>
          <w:rFonts w:asciiTheme="minorHAnsi" w:hAnsiTheme="minorHAnsi" w:cstheme="minorHAnsi"/>
          <w:sz w:val="20"/>
          <w:szCs w:val="20"/>
        </w:rPr>
        <w:t xml:space="preserve">bytomskich kopalniach i hutach zwykle posiadali niskie kwalifikacje zawodowe. </w:t>
      </w:r>
    </w:p>
    <w:p w:rsidR="005260B6" w:rsidRPr="0024026B" w:rsidRDefault="005260B6" w:rsidP="005260B6">
      <w:pPr>
        <w:pStyle w:val="TreA"/>
        <w:jc w:val="both"/>
        <w:rPr>
          <w:rFonts w:asciiTheme="minorHAnsi" w:hAnsiTheme="minorHAnsi" w:cstheme="minorHAnsi"/>
          <w:sz w:val="20"/>
          <w:szCs w:val="20"/>
        </w:rPr>
      </w:pPr>
      <w:r w:rsidRPr="0094354B">
        <w:rPr>
          <w:rFonts w:asciiTheme="minorHAnsi" w:hAnsiTheme="minorHAnsi" w:cstheme="minorHAnsi"/>
          <w:b/>
          <w:color w:val="C00000"/>
          <w:sz w:val="20"/>
          <w:szCs w:val="20"/>
        </w:rPr>
        <w:t>Od początku lat 90 XX wieku głównym problemem osób bezrobotnych były niskie kwalifikacje.</w:t>
      </w:r>
      <w:r w:rsidRPr="0024026B">
        <w:rPr>
          <w:rFonts w:asciiTheme="minorHAnsi" w:hAnsiTheme="minorHAnsi" w:cstheme="minorHAnsi"/>
          <w:sz w:val="20"/>
          <w:szCs w:val="20"/>
        </w:rPr>
        <w:t xml:space="preserve"> Osoby o</w:t>
      </w:r>
      <w:r w:rsidR="00A932C3">
        <w:rPr>
          <w:rFonts w:asciiTheme="minorHAnsi" w:hAnsiTheme="minorHAnsi" w:cstheme="minorHAnsi"/>
          <w:sz w:val="20"/>
          <w:szCs w:val="20"/>
        </w:rPr>
        <w:t> </w:t>
      </w:r>
      <w:r w:rsidRPr="0024026B">
        <w:rPr>
          <w:rFonts w:asciiTheme="minorHAnsi" w:hAnsiTheme="minorHAnsi" w:cstheme="minorHAnsi"/>
          <w:sz w:val="20"/>
          <w:szCs w:val="20"/>
        </w:rPr>
        <w:t>wykształceniu niepełnym podstawowym, podstawowym i zawodowym  na koniec 2001</w:t>
      </w:r>
      <w:r w:rsidR="0094354B">
        <w:rPr>
          <w:rFonts w:asciiTheme="minorHAnsi" w:hAnsiTheme="minorHAnsi" w:cstheme="minorHAnsi"/>
          <w:sz w:val="20"/>
          <w:szCs w:val="20"/>
        </w:rPr>
        <w:t xml:space="preserve"> r.</w:t>
      </w:r>
      <w:r w:rsidRPr="0024026B">
        <w:rPr>
          <w:rFonts w:asciiTheme="minorHAnsi" w:hAnsiTheme="minorHAnsi" w:cstheme="minorHAnsi"/>
          <w:sz w:val="20"/>
          <w:szCs w:val="20"/>
        </w:rPr>
        <w:t xml:space="preserve"> stanowiły 77% bezrobotnych, na koniec 2010</w:t>
      </w:r>
      <w:r w:rsidR="0094354B">
        <w:rPr>
          <w:rFonts w:asciiTheme="minorHAnsi" w:hAnsiTheme="minorHAnsi" w:cstheme="minorHAnsi"/>
          <w:sz w:val="20"/>
          <w:szCs w:val="20"/>
        </w:rPr>
        <w:t xml:space="preserve"> r.</w:t>
      </w:r>
      <w:r w:rsidRPr="0024026B">
        <w:rPr>
          <w:rFonts w:asciiTheme="minorHAnsi" w:hAnsiTheme="minorHAnsi" w:cstheme="minorHAnsi"/>
          <w:sz w:val="20"/>
          <w:szCs w:val="20"/>
        </w:rPr>
        <w:t xml:space="preserve"> 69,2% a na koniec 2014 r. 68,2%. Dodatkowo systemy osłonowe stosowane głównie przy likwidacji kopalń w postaci odpraw dla zwalnianych górników, przy jednoczesnym braku programów pomagającym w ich przekwalif</w:t>
      </w:r>
      <w:r>
        <w:rPr>
          <w:rFonts w:asciiTheme="minorHAnsi" w:hAnsiTheme="minorHAnsi" w:cstheme="minorHAnsi"/>
          <w:sz w:val="20"/>
          <w:szCs w:val="20"/>
        </w:rPr>
        <w:t>i</w:t>
      </w:r>
      <w:r w:rsidRPr="0024026B">
        <w:rPr>
          <w:rFonts w:asciiTheme="minorHAnsi" w:hAnsiTheme="minorHAnsi" w:cstheme="minorHAnsi"/>
          <w:sz w:val="20"/>
          <w:szCs w:val="20"/>
        </w:rPr>
        <w:t>kowaniu lub prowadzeniu własnej firmy, doprowadziły do wydatkowania tych środków na cele konsumpc</w:t>
      </w:r>
      <w:r w:rsidR="00114FE0">
        <w:rPr>
          <w:rFonts w:asciiTheme="minorHAnsi" w:hAnsiTheme="minorHAnsi" w:cstheme="minorHAnsi"/>
          <w:sz w:val="20"/>
          <w:szCs w:val="20"/>
        </w:rPr>
        <w:t>yjne, a nie na przekwlifikowanie,</w:t>
      </w:r>
      <w:r w:rsidRPr="0024026B">
        <w:rPr>
          <w:rFonts w:asciiTheme="minorHAnsi" w:hAnsiTheme="minorHAnsi" w:cstheme="minorHAnsi"/>
          <w:sz w:val="20"/>
          <w:szCs w:val="20"/>
        </w:rPr>
        <w:t xml:space="preserve"> w celu znalezienia pracy. W</w:t>
      </w:r>
      <w:r w:rsidR="00A932C3">
        <w:rPr>
          <w:rFonts w:asciiTheme="minorHAnsi" w:hAnsiTheme="minorHAnsi" w:cstheme="minorHAnsi"/>
          <w:sz w:val="20"/>
          <w:szCs w:val="20"/>
        </w:rPr>
        <w:t> </w:t>
      </w:r>
      <w:r w:rsidRPr="0024026B">
        <w:rPr>
          <w:rFonts w:asciiTheme="minorHAnsi" w:hAnsiTheme="minorHAnsi" w:cstheme="minorHAnsi"/>
          <w:sz w:val="20"/>
          <w:szCs w:val="20"/>
        </w:rPr>
        <w:t>procesie restrukturyzacji zapomniano całkowicie o rzeszy osób zwalnianych z przedsiębiorstw okołogórniczych. Należy pamiętać, że likwidacja jednego miejsca pracy w przemyśle wydobywczym wiąże się z</w:t>
      </w:r>
      <w:r w:rsidR="00A932C3">
        <w:rPr>
          <w:rFonts w:asciiTheme="minorHAnsi" w:hAnsiTheme="minorHAnsi" w:cstheme="minorHAnsi"/>
          <w:sz w:val="20"/>
          <w:szCs w:val="20"/>
        </w:rPr>
        <w:t> </w:t>
      </w:r>
      <w:r w:rsidR="0094354B">
        <w:rPr>
          <w:rFonts w:asciiTheme="minorHAnsi" w:hAnsiTheme="minorHAnsi" w:cstheme="minorHAnsi"/>
          <w:sz w:val="20"/>
          <w:szCs w:val="20"/>
        </w:rPr>
        <w:t>likwidacją</w:t>
      </w:r>
      <w:r w:rsidRPr="0024026B">
        <w:rPr>
          <w:rFonts w:asciiTheme="minorHAnsi" w:hAnsiTheme="minorHAnsi" w:cstheme="minorHAnsi"/>
          <w:sz w:val="20"/>
          <w:szCs w:val="20"/>
        </w:rPr>
        <w:t xml:space="preserve"> od 3</w:t>
      </w:r>
      <w:r w:rsidRPr="0024026B">
        <w:rPr>
          <w:rFonts w:asciiTheme="minorHAnsi" w:hAnsiTheme="minorHAnsi" w:cstheme="minorHAnsi"/>
          <w:sz w:val="20"/>
          <w:szCs w:val="20"/>
          <w:lang w:val="pt-PT"/>
        </w:rPr>
        <w:t xml:space="preserve"> do </w:t>
      </w:r>
      <w:r w:rsidRPr="0024026B">
        <w:rPr>
          <w:rFonts w:asciiTheme="minorHAnsi" w:hAnsiTheme="minorHAnsi" w:cstheme="minorHAnsi"/>
          <w:sz w:val="20"/>
          <w:szCs w:val="20"/>
        </w:rPr>
        <w:t>4 miejsc pracy poza kopalnią. To doprowadziło do powstania wielkiej wyrwy na lokalnym rynku pracy, w którym w przeciągu kilku lat zniknęło w zależności od przyjętej metodologii od 30 do nawet 50</w:t>
      </w:r>
      <w:r w:rsidR="00335AA5">
        <w:rPr>
          <w:rFonts w:asciiTheme="minorHAnsi" w:hAnsiTheme="minorHAnsi" w:cstheme="minorHAnsi"/>
          <w:sz w:val="20"/>
          <w:szCs w:val="20"/>
        </w:rPr>
        <w:t> </w:t>
      </w:r>
      <w:r w:rsidRPr="0024026B">
        <w:rPr>
          <w:rFonts w:asciiTheme="minorHAnsi" w:hAnsiTheme="minorHAnsi" w:cstheme="minorHAnsi"/>
          <w:sz w:val="20"/>
          <w:szCs w:val="20"/>
        </w:rPr>
        <w:t>tysięcy miejsc pracy.</w:t>
      </w:r>
    </w:p>
    <w:p w:rsidR="005260B6" w:rsidRPr="0024026B" w:rsidRDefault="005260B6" w:rsidP="005260B6">
      <w:pPr>
        <w:ind w:firstLine="708"/>
        <w:jc w:val="both"/>
        <w:rPr>
          <w:rFonts w:cstheme="minorHAnsi"/>
          <w:szCs w:val="20"/>
        </w:rPr>
      </w:pPr>
      <w:r w:rsidRPr="0094354B">
        <w:rPr>
          <w:rFonts w:cstheme="minorHAnsi"/>
          <w:b/>
          <w:color w:val="C00000"/>
          <w:szCs w:val="20"/>
        </w:rPr>
        <w:t>Niskie kwalifikacje osób, likwidacja dużych zakładów pracy oraz brak dostosowania do nowych standardów rynku pracy stanowią główne determinanty trudnej sytuacji na rynku pracy.</w:t>
      </w:r>
      <w:r w:rsidRPr="0024026B">
        <w:rPr>
          <w:rFonts w:cstheme="minorHAnsi"/>
          <w:szCs w:val="20"/>
        </w:rPr>
        <w:t xml:space="preserve"> Długie utrzymywanie się takiego stanu rzeczy spowodowało również </w:t>
      </w:r>
      <w:r w:rsidRPr="0094354B">
        <w:rPr>
          <w:rFonts w:cstheme="minorHAnsi"/>
          <w:b/>
          <w:color w:val="C00000"/>
          <w:szCs w:val="20"/>
        </w:rPr>
        <w:t>pojawienie się w mieście dużej skali tzw. bezrobocia wyuczonego,</w:t>
      </w:r>
      <w:r w:rsidRPr="0024026B">
        <w:rPr>
          <w:rFonts w:cstheme="minorHAnsi"/>
          <w:szCs w:val="20"/>
        </w:rPr>
        <w:t xml:space="preserve"> które jest przekazywane kolejnym pokoleniom. To powoduje brak aktywności i</w:t>
      </w:r>
      <w:r w:rsidR="0094354B">
        <w:rPr>
          <w:rFonts w:cstheme="minorHAnsi"/>
          <w:szCs w:val="20"/>
        </w:rPr>
        <w:t> </w:t>
      </w:r>
      <w:r w:rsidRPr="0024026B">
        <w:rPr>
          <w:rFonts w:cstheme="minorHAnsi"/>
          <w:szCs w:val="20"/>
        </w:rPr>
        <w:t>mobilizacji w</w:t>
      </w:r>
      <w:r w:rsidR="00A932C3">
        <w:rPr>
          <w:rFonts w:cstheme="minorHAnsi"/>
          <w:szCs w:val="20"/>
        </w:rPr>
        <w:t> </w:t>
      </w:r>
      <w:r w:rsidRPr="0024026B">
        <w:rPr>
          <w:rFonts w:cstheme="minorHAnsi"/>
          <w:szCs w:val="20"/>
        </w:rPr>
        <w:t>wejściu lub powrocie na rynek pracy. Obserwujemy niską skłonność do dojeżdżania do pracy w</w:t>
      </w:r>
      <w:r w:rsidR="0094354B">
        <w:rPr>
          <w:rFonts w:cstheme="minorHAnsi"/>
          <w:szCs w:val="20"/>
        </w:rPr>
        <w:t> </w:t>
      </w:r>
      <w:r w:rsidRPr="0024026B">
        <w:rPr>
          <w:rFonts w:cstheme="minorHAnsi"/>
          <w:szCs w:val="20"/>
        </w:rPr>
        <w:t xml:space="preserve">innej miejscowości, a nawet innej dzielnicy. Osoby o niskich kwalifikacjach niechętnie wykorzystują wolny czas na zdobywanie nowej wiedzy i umiejętności. Nie wykazują gotowości do przekwalifikowania się i rzadko uczestniczą w programach oferowanych przez </w:t>
      </w:r>
      <w:r w:rsidR="0094354B">
        <w:rPr>
          <w:rFonts w:cstheme="minorHAnsi"/>
          <w:szCs w:val="20"/>
        </w:rPr>
        <w:t xml:space="preserve">Powiatowy </w:t>
      </w:r>
      <w:r w:rsidRPr="0024026B">
        <w:rPr>
          <w:rFonts w:cstheme="minorHAnsi"/>
          <w:szCs w:val="20"/>
        </w:rPr>
        <w:t xml:space="preserve">Urząd Pracy. W grupie tej często spotykamy się z wyuczoną bezradnością. </w:t>
      </w:r>
      <w:r w:rsidRPr="0094354B">
        <w:rPr>
          <w:rFonts w:cstheme="minorHAnsi"/>
          <w:b/>
          <w:color w:val="C00000"/>
          <w:szCs w:val="20"/>
        </w:rPr>
        <w:t>Dużym problemem jest również zadłużenie czynszowe i alimentacyjne dużej części bezrobotnych co powoduje ich ucieczkę w szarą lub czarną strefę rynku.</w:t>
      </w:r>
      <w:r w:rsidRPr="0024026B">
        <w:rPr>
          <w:rFonts w:cstheme="minorHAnsi"/>
          <w:szCs w:val="20"/>
        </w:rPr>
        <w:t xml:space="preserve"> Zauważyć można niski odsetek osób do 30 roku życia posiadających wykształcenie zawodowe i konkretne kwalifikacje. Okoliczności te sprawiają, że pracodawcy napotykają trudność w znalezieniu osób posiadających odpowiednie przygotowanie i uprawnienia. Z kolei lokalne oferty pracy są mało atrakcyjne, ponieważ często oferowana jest jedynie minimalna płaca, nawet w</w:t>
      </w:r>
      <w:r w:rsidR="00FC2DA0">
        <w:rPr>
          <w:rFonts w:cstheme="minorHAnsi"/>
          <w:szCs w:val="20"/>
        </w:rPr>
        <w:t> </w:t>
      </w:r>
      <w:r w:rsidRPr="0024026B">
        <w:rPr>
          <w:rFonts w:cstheme="minorHAnsi"/>
          <w:szCs w:val="20"/>
        </w:rPr>
        <w:t>wypadku prac złożonych i wymagających doświadczenia.</w:t>
      </w:r>
    </w:p>
    <w:p w:rsidR="005260B6" w:rsidRDefault="00A932C3" w:rsidP="005260B6">
      <w:pPr>
        <w:ind w:firstLine="708"/>
        <w:jc w:val="both"/>
        <w:rPr>
          <w:rFonts w:ascii="Calibri" w:hAnsi="Calibri" w:cs="Calibri"/>
          <w:szCs w:val="20"/>
        </w:rPr>
      </w:pPr>
      <w:r>
        <w:rPr>
          <w:rFonts w:ascii="Calibri" w:hAnsi="Calibri" w:cs="Calibri"/>
          <w:szCs w:val="20"/>
        </w:rPr>
        <w:t xml:space="preserve"> Przytoczone powyżej wyniki </w:t>
      </w:r>
      <w:r w:rsidR="005260B6">
        <w:rPr>
          <w:rFonts w:ascii="Calibri" w:hAnsi="Calibri" w:cs="Calibri"/>
          <w:szCs w:val="20"/>
        </w:rPr>
        <w:t xml:space="preserve">analiz wskazują, iż </w:t>
      </w:r>
      <w:r w:rsidR="005260B6" w:rsidRPr="00751D84">
        <w:rPr>
          <w:rFonts w:ascii="Calibri" w:hAnsi="Calibri" w:cs="Calibri"/>
          <w:b/>
          <w:color w:val="C00000"/>
          <w:szCs w:val="20"/>
        </w:rPr>
        <w:t>należy wzmocnić przedsięwzięcia służące ograniczeniu bezrobocia zwłaszcza w podobszarach rewitalizacji,</w:t>
      </w:r>
      <w:r w:rsidR="005260B6">
        <w:rPr>
          <w:rFonts w:ascii="Calibri" w:hAnsi="Calibri" w:cs="Calibri"/>
          <w:szCs w:val="20"/>
        </w:rPr>
        <w:t xml:space="preserve"> ponieważ dotychczasowe wysiłki nie przyniosły spodziewanego efektu. Skala zjawiska, jego poważne przyczyny i głębokie utrwalenie wymagają niestandardowych działań w ramach programu rewitalizacji. </w:t>
      </w:r>
      <w:r w:rsidR="005260B6" w:rsidRPr="00751D84">
        <w:rPr>
          <w:rFonts w:ascii="Calibri" w:hAnsi="Calibri" w:cs="Calibri"/>
          <w:b/>
          <w:color w:val="C00000"/>
          <w:szCs w:val="20"/>
        </w:rPr>
        <w:t>Istotny element dla prawidłowego ukierunkowania podejmowanej interwencji stanowi próba określenia profilu bezrobotnego na podobszarach rewitalizacji.</w:t>
      </w:r>
      <w:r w:rsidR="005260B6">
        <w:rPr>
          <w:rFonts w:ascii="Calibri" w:hAnsi="Calibri" w:cs="Calibri"/>
          <w:szCs w:val="20"/>
        </w:rPr>
        <w:t xml:space="preserve"> Podstawowe cechy demog</w:t>
      </w:r>
      <w:r>
        <w:rPr>
          <w:rFonts w:ascii="Calibri" w:hAnsi="Calibri" w:cs="Calibri"/>
          <w:szCs w:val="20"/>
        </w:rPr>
        <w:t xml:space="preserve">raficzno-społeczne istotne dla </w:t>
      </w:r>
      <w:r w:rsidR="005260B6">
        <w:rPr>
          <w:rFonts w:ascii="Calibri" w:hAnsi="Calibri" w:cs="Calibri"/>
          <w:szCs w:val="20"/>
        </w:rPr>
        <w:t xml:space="preserve">tworzenia profilu osób bezrobotnych to między innymi wykształcenie i wiek osób pozostających bez pracy. </w:t>
      </w:r>
    </w:p>
    <w:p w:rsidR="005260B6" w:rsidRPr="00751D84" w:rsidRDefault="005260B6" w:rsidP="005260B6">
      <w:pPr>
        <w:ind w:firstLine="708"/>
        <w:jc w:val="both"/>
        <w:rPr>
          <w:rFonts w:ascii="Calibri" w:hAnsi="Calibri" w:cs="Calibri"/>
          <w:b/>
          <w:color w:val="C00000"/>
          <w:szCs w:val="20"/>
        </w:rPr>
      </w:pPr>
      <w:r>
        <w:rPr>
          <w:rFonts w:ascii="Calibri" w:hAnsi="Calibri" w:cs="Calibri"/>
          <w:b/>
          <w:bCs/>
          <w:color w:val="C00000"/>
          <w:szCs w:val="20"/>
        </w:rPr>
        <w:t>Na obszarze rewitalizacji co drugi bezrobotny nie ukończył szkoły gimnazjalnej</w:t>
      </w:r>
      <w:r>
        <w:rPr>
          <w:rFonts w:ascii="Calibri" w:hAnsi="Calibri" w:cs="Calibri"/>
          <w:szCs w:val="20"/>
        </w:rPr>
        <w:t xml:space="preserve"> (wskaźnik dla całego miasta wynosi 40%). Zamieszczona poniżej mapa przedstawia rozkład w Bytomiu wskaźnika osób bezrobotnych z wykształceniem gimnazjalnym lub poniżej w stosunku do ogółu bezrobotnych. Najjaśniejszy odcień odpowiada wskaźnikowi niższemu od średniej miasta, czyli sytuacji korzystnej. Trzy ciemniejsze gradacje obejmują obszary o wartości wskaźnika wyższej niż dla miasta; im ciemniejszy kolor, tym sytuacja gorsza. Z mapy wynika, że najtrudniejszym pod tym względem obszarem jest Bobrek (wskaźnik 63%). Także w centrum widoczne są rejony, gdzie więcej niż połowa osób posiada niewystarczające wykształcenie. Wyraźnie widoczna jest koncentracja omawianego problemu na obszarze rewitalizacji, ale także na pozostałym obszarze </w:t>
      </w:r>
      <w:r>
        <w:rPr>
          <w:rFonts w:ascii="Calibri" w:hAnsi="Calibri" w:cs="Calibri"/>
          <w:szCs w:val="20"/>
        </w:rPr>
        <w:lastRenderedPageBreak/>
        <w:t xml:space="preserve">zdegradowanym. </w:t>
      </w:r>
      <w:r w:rsidRPr="00751D84">
        <w:rPr>
          <w:rFonts w:ascii="Calibri" w:hAnsi="Calibri" w:cs="Calibri"/>
          <w:b/>
          <w:color w:val="C00000"/>
          <w:szCs w:val="20"/>
        </w:rPr>
        <w:t>W działaniach</w:t>
      </w:r>
      <w:r w:rsidRPr="00751D84">
        <w:rPr>
          <w:b/>
          <w:color w:val="C00000"/>
        </w:rPr>
        <w:t xml:space="preserve"> </w:t>
      </w:r>
      <w:r w:rsidRPr="00751D84">
        <w:rPr>
          <w:rFonts w:ascii="Calibri" w:hAnsi="Calibri" w:cs="Calibri"/>
          <w:b/>
          <w:color w:val="C00000"/>
          <w:szCs w:val="20"/>
        </w:rPr>
        <w:t>rewitalizacyjnych należy położyć nacisk na pracę z osobami bezrobotnymi o niepełnej edukacji, zwłaszcza, że są one nastawione niechętnie do zwiększania swoich kwalifikacji.</w:t>
      </w:r>
    </w:p>
    <w:p w:rsidR="005260B6" w:rsidRDefault="005260B6" w:rsidP="005260B6">
      <w:pPr>
        <w:jc w:val="both"/>
      </w:pPr>
    </w:p>
    <w:p w:rsidR="005260B6" w:rsidRDefault="005260B6" w:rsidP="005260B6">
      <w:pPr>
        <w:pStyle w:val="Legenda"/>
        <w:jc w:val="both"/>
        <w:rPr>
          <w:rFonts w:ascii="Calibri" w:hAnsi="Calibri" w:cs="Calibri"/>
        </w:rPr>
      </w:pPr>
      <w:bookmarkStart w:id="4048" w:name="_Toc463277300"/>
      <w:bookmarkStart w:id="4049" w:name="_Toc191972618"/>
      <w:r>
        <w:rPr>
          <w:rFonts w:ascii="Calibri" w:hAnsi="Calibri" w:cs="Calibri"/>
        </w:rPr>
        <w:t xml:space="preserve">Mapa </w:t>
      </w:r>
      <w:r w:rsidR="003972D8">
        <w:rPr>
          <w:rFonts w:ascii="Calibri" w:hAnsi="Calibri" w:cs="Calibri"/>
        </w:rPr>
        <w:fldChar w:fldCharType="begin"/>
      </w:r>
      <w:r>
        <w:rPr>
          <w:rFonts w:ascii="Calibri" w:hAnsi="Calibri" w:cs="Calibri"/>
        </w:rPr>
        <w:instrText xml:space="preserve"> SEQ Mapa \* ARABIC </w:instrText>
      </w:r>
      <w:r w:rsidR="003972D8">
        <w:rPr>
          <w:rFonts w:ascii="Calibri" w:hAnsi="Calibri" w:cs="Calibri"/>
        </w:rPr>
        <w:fldChar w:fldCharType="separate"/>
      </w:r>
      <w:r w:rsidR="00413FFE">
        <w:rPr>
          <w:rFonts w:ascii="Calibri" w:hAnsi="Calibri" w:cs="Calibri"/>
          <w:noProof/>
        </w:rPr>
        <w:t>6</w:t>
      </w:r>
      <w:r w:rsidR="003972D8">
        <w:rPr>
          <w:rFonts w:ascii="Calibri" w:hAnsi="Calibri" w:cs="Calibri"/>
        </w:rPr>
        <w:fldChar w:fldCharType="end"/>
      </w:r>
      <w:r>
        <w:rPr>
          <w:rFonts w:ascii="Calibri" w:hAnsi="Calibri" w:cs="Calibri"/>
        </w:rPr>
        <w:t>. Udział osób bezrobotnych z wykształceniem gimnazjalnym i poniżej w ogóle bezrobotnych</w:t>
      </w:r>
      <w:bookmarkEnd w:id="4048"/>
      <w:bookmarkEnd w:id="4049"/>
    </w:p>
    <w:p w:rsidR="005260B6" w:rsidRDefault="009B5277" w:rsidP="005260B6">
      <w:r>
        <w:rPr>
          <w:noProof/>
        </w:rPr>
        <w:drawing>
          <wp:inline distT="0" distB="0" distL="0" distR="0">
            <wp:extent cx="5762625" cy="4072255"/>
            <wp:effectExtent l="19050" t="0" r="9525" b="0"/>
            <wp:docPr id="4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28" cstate="print"/>
                    <a:srcRect/>
                    <a:stretch>
                      <a:fillRect/>
                    </a:stretch>
                  </pic:blipFill>
                  <pic:spPr bwMode="auto">
                    <a:xfrm>
                      <a:off x="0" y="0"/>
                      <a:ext cx="5762625" cy="4072255"/>
                    </a:xfrm>
                    <a:prstGeom prst="rect">
                      <a:avLst/>
                    </a:prstGeom>
                    <a:noFill/>
                    <a:ln w="9525">
                      <a:noFill/>
                      <a:miter lim="800000"/>
                      <a:headEnd/>
                      <a:tailEnd/>
                    </a:ln>
                  </pic:spPr>
                </pic:pic>
              </a:graphicData>
            </a:graphic>
          </wp:inline>
        </w:drawing>
      </w:r>
    </w:p>
    <w:p w:rsidR="005260B6" w:rsidRDefault="005260B6" w:rsidP="005260B6">
      <w:pPr>
        <w:autoSpaceDE w:val="0"/>
        <w:autoSpaceDN w:val="0"/>
        <w:adjustRightInd w:val="0"/>
        <w:rPr>
          <w:rFonts w:ascii="Calibri" w:hAnsi="Calibri" w:cs="Calibri"/>
          <w:i/>
          <w:iCs/>
          <w:sz w:val="18"/>
          <w:szCs w:val="18"/>
        </w:rPr>
      </w:pPr>
      <w:r>
        <w:rPr>
          <w:rFonts w:ascii="Calibri" w:hAnsi="Calibri" w:cs="Calibri"/>
          <w:i/>
          <w:iCs/>
          <w:sz w:val="18"/>
          <w:szCs w:val="18"/>
        </w:rPr>
        <w:t xml:space="preserve">Źródło: Opracowanie Instytutu Rozwoju Miast na podstawie danych </w:t>
      </w:r>
      <w:r w:rsidR="00751D84">
        <w:rPr>
          <w:rFonts w:ascii="Calibri" w:hAnsi="Calibri" w:cs="Calibri"/>
          <w:i/>
          <w:iCs/>
          <w:sz w:val="18"/>
          <w:szCs w:val="18"/>
        </w:rPr>
        <w:t>z PUP</w:t>
      </w:r>
    </w:p>
    <w:p w:rsidR="005260B6" w:rsidRDefault="005260B6" w:rsidP="005260B6"/>
    <w:p w:rsidR="005260B6" w:rsidRDefault="005260B6" w:rsidP="005260B6">
      <w:pPr>
        <w:ind w:firstLine="708"/>
        <w:jc w:val="both"/>
        <w:rPr>
          <w:rFonts w:ascii="Calibri" w:hAnsi="Calibri" w:cs="Calibri"/>
          <w:color w:val="C00000"/>
          <w:szCs w:val="20"/>
        </w:rPr>
      </w:pPr>
      <w:r>
        <w:rPr>
          <w:rFonts w:ascii="Calibri" w:hAnsi="Calibri" w:cs="Calibri"/>
          <w:szCs w:val="20"/>
        </w:rPr>
        <w:t xml:space="preserve">Biorąc pod uwagę wiek osób bezrobotnych na obszarze rewitalizacji należy zwrócić uwagę na osoby młode. Z tabeli wynika, że </w:t>
      </w:r>
      <w:r>
        <w:rPr>
          <w:rFonts w:ascii="Calibri" w:hAnsi="Calibri" w:cs="Calibri"/>
          <w:b/>
          <w:bCs/>
          <w:color w:val="C00000"/>
          <w:szCs w:val="20"/>
        </w:rPr>
        <w:t>niemal we wszystkich podobszarach rewitalizacji prawie co trzeci bezrobotny ma mniej niż 30 lat.</w:t>
      </w:r>
      <w:r>
        <w:rPr>
          <w:rFonts w:ascii="Calibri" w:hAnsi="Calibri" w:cs="Calibri"/>
          <w:color w:val="C00000"/>
          <w:szCs w:val="20"/>
        </w:rPr>
        <w:t xml:space="preserve"> </w:t>
      </w:r>
    </w:p>
    <w:p w:rsidR="005260B6" w:rsidRDefault="005260B6" w:rsidP="005260B6">
      <w:pPr>
        <w:jc w:val="both"/>
        <w:rPr>
          <w:rFonts w:ascii="Calibri" w:hAnsi="Calibri" w:cs="Calibri"/>
          <w:color w:val="C00000"/>
          <w:szCs w:val="20"/>
        </w:rPr>
      </w:pPr>
    </w:p>
    <w:p w:rsidR="005260B6" w:rsidRDefault="005260B6" w:rsidP="005260B6">
      <w:pPr>
        <w:pStyle w:val="Legenda"/>
        <w:spacing w:line="312" w:lineRule="auto"/>
        <w:rPr>
          <w:rFonts w:ascii="Calibri" w:hAnsi="Calibri" w:cs="Calibri"/>
        </w:rPr>
      </w:pPr>
      <w:bookmarkStart w:id="4050" w:name="_Toc202771101"/>
      <w:r>
        <w:rPr>
          <w:rFonts w:ascii="Calibri" w:hAnsi="Calibri" w:cs="Calibri"/>
        </w:rPr>
        <w:t xml:space="preserve">Tabela </w:t>
      </w:r>
      <w:r w:rsidR="003972D8">
        <w:rPr>
          <w:rFonts w:ascii="Calibri" w:hAnsi="Calibri" w:cs="Calibri"/>
        </w:rPr>
        <w:fldChar w:fldCharType="begin"/>
      </w:r>
      <w:r>
        <w:rPr>
          <w:rFonts w:ascii="Calibri" w:hAnsi="Calibri" w:cs="Calibri"/>
        </w:rPr>
        <w:instrText xml:space="preserve"> SEQ Tabela \* ARABIC </w:instrText>
      </w:r>
      <w:r w:rsidR="003972D8">
        <w:rPr>
          <w:rFonts w:ascii="Calibri" w:hAnsi="Calibri" w:cs="Calibri"/>
        </w:rPr>
        <w:fldChar w:fldCharType="separate"/>
      </w:r>
      <w:r w:rsidR="00413FFE">
        <w:rPr>
          <w:rFonts w:ascii="Calibri" w:hAnsi="Calibri" w:cs="Calibri"/>
          <w:noProof/>
        </w:rPr>
        <w:t>7</w:t>
      </w:r>
      <w:r w:rsidR="003972D8">
        <w:rPr>
          <w:rFonts w:ascii="Calibri" w:hAnsi="Calibri" w:cs="Calibri"/>
        </w:rPr>
        <w:fldChar w:fldCharType="end"/>
      </w:r>
      <w:r>
        <w:rPr>
          <w:rFonts w:ascii="Calibri" w:hAnsi="Calibri" w:cs="Calibri"/>
        </w:rPr>
        <w:t xml:space="preserve">. </w:t>
      </w:r>
      <w:r>
        <w:rPr>
          <w:rFonts w:ascii="Calibri" w:hAnsi="Calibri" w:cs="Calibri"/>
          <w:noProof/>
        </w:rPr>
        <w:t>Bezrobotni według wieku</w:t>
      </w:r>
      <w:bookmarkEnd w:id="4050"/>
      <w:r>
        <w:rPr>
          <w:rFonts w:ascii="Calibri" w:hAnsi="Calibri" w:cs="Calibri"/>
        </w:rPr>
        <w:t xml:space="preserve"> </w:t>
      </w:r>
    </w:p>
    <w:tbl>
      <w:tblPr>
        <w:tblW w:w="9089" w:type="dxa"/>
        <w:tblInd w:w="-68" w:type="dxa"/>
        <w:tblCellMar>
          <w:left w:w="70" w:type="dxa"/>
          <w:right w:w="70" w:type="dxa"/>
        </w:tblCellMar>
        <w:tblLook w:val="0000"/>
      </w:tblPr>
      <w:tblGrid>
        <w:gridCol w:w="2700"/>
        <w:gridCol w:w="2137"/>
        <w:gridCol w:w="2126"/>
        <w:gridCol w:w="2126"/>
      </w:tblGrid>
      <w:tr w:rsidR="005260B6" w:rsidRPr="00A50C70" w:rsidTr="00431678">
        <w:trPr>
          <w:trHeight w:val="285"/>
        </w:trPr>
        <w:tc>
          <w:tcPr>
            <w:tcW w:w="2700" w:type="dxa"/>
            <w:tcBorders>
              <w:top w:val="single" w:sz="4" w:space="0" w:color="auto"/>
              <w:left w:val="single" w:sz="4" w:space="0" w:color="auto"/>
              <w:bottom w:val="single" w:sz="4" w:space="0" w:color="auto"/>
              <w:right w:val="single" w:sz="4" w:space="0" w:color="auto"/>
            </w:tcBorders>
            <w:shd w:val="clear" w:color="auto" w:fill="99CCFF"/>
            <w:vAlign w:val="center"/>
          </w:tcPr>
          <w:p w:rsidR="005260B6" w:rsidRPr="00A50C70" w:rsidRDefault="005260B6" w:rsidP="00431678">
            <w:pPr>
              <w:jc w:val="center"/>
              <w:rPr>
                <w:rFonts w:ascii="Calibri" w:eastAsiaTheme="minorEastAsia" w:hAnsi="Calibri" w:cs="Calibri"/>
                <w:b/>
                <w:bCs/>
                <w:color w:val="000000"/>
                <w:szCs w:val="20"/>
              </w:rPr>
            </w:pPr>
            <w:r w:rsidRPr="00A50C70">
              <w:rPr>
                <w:rFonts w:ascii="Calibri" w:eastAsiaTheme="minorEastAsia" w:hAnsi="Calibri" w:cs="Calibri"/>
                <w:b/>
                <w:bCs/>
                <w:color w:val="000000"/>
                <w:szCs w:val="20"/>
              </w:rPr>
              <w:t>Jednostka</w:t>
            </w:r>
          </w:p>
        </w:tc>
        <w:tc>
          <w:tcPr>
            <w:tcW w:w="2137" w:type="dxa"/>
            <w:tcBorders>
              <w:top w:val="single" w:sz="4" w:space="0" w:color="auto"/>
              <w:left w:val="nil"/>
              <w:bottom w:val="single" w:sz="4" w:space="0" w:color="auto"/>
              <w:right w:val="single" w:sz="4" w:space="0" w:color="auto"/>
            </w:tcBorders>
            <w:shd w:val="clear" w:color="auto" w:fill="99CCFF"/>
            <w:vAlign w:val="center"/>
          </w:tcPr>
          <w:p w:rsidR="005260B6" w:rsidRPr="00A50C70" w:rsidRDefault="005260B6" w:rsidP="00431678">
            <w:pPr>
              <w:jc w:val="center"/>
              <w:rPr>
                <w:rFonts w:ascii="Calibri" w:eastAsiaTheme="minorEastAsia" w:hAnsi="Calibri" w:cs="Calibri"/>
                <w:b/>
                <w:bCs/>
                <w:color w:val="000000"/>
                <w:szCs w:val="20"/>
              </w:rPr>
            </w:pPr>
            <w:r w:rsidRPr="00A50C70">
              <w:rPr>
                <w:rFonts w:ascii="Calibri" w:eastAsiaTheme="minorEastAsia" w:hAnsi="Calibri" w:cs="Calibri"/>
                <w:b/>
                <w:bCs/>
                <w:color w:val="000000"/>
                <w:szCs w:val="20"/>
              </w:rPr>
              <w:t>Do 30 roku życia</w:t>
            </w:r>
          </w:p>
        </w:tc>
        <w:tc>
          <w:tcPr>
            <w:tcW w:w="2126" w:type="dxa"/>
            <w:tcBorders>
              <w:top w:val="single" w:sz="4" w:space="0" w:color="auto"/>
              <w:left w:val="nil"/>
              <w:bottom w:val="single" w:sz="4" w:space="0" w:color="auto"/>
              <w:right w:val="single" w:sz="4" w:space="0" w:color="auto"/>
            </w:tcBorders>
            <w:shd w:val="clear" w:color="auto" w:fill="99CCFF"/>
            <w:vAlign w:val="center"/>
          </w:tcPr>
          <w:p w:rsidR="005260B6" w:rsidRPr="00A50C70" w:rsidRDefault="005260B6" w:rsidP="00431678">
            <w:pPr>
              <w:jc w:val="center"/>
              <w:rPr>
                <w:rFonts w:ascii="Calibri" w:eastAsiaTheme="minorEastAsia" w:hAnsi="Calibri" w:cs="Calibri"/>
                <w:b/>
                <w:bCs/>
                <w:color w:val="000000"/>
                <w:szCs w:val="20"/>
              </w:rPr>
            </w:pPr>
            <w:r w:rsidRPr="00A50C70">
              <w:rPr>
                <w:rFonts w:ascii="Calibri" w:eastAsiaTheme="minorEastAsia" w:hAnsi="Calibri" w:cs="Calibri"/>
                <w:b/>
                <w:bCs/>
                <w:color w:val="000000"/>
                <w:szCs w:val="20"/>
              </w:rPr>
              <w:t>Powyżej  30 roku życia</w:t>
            </w:r>
          </w:p>
        </w:tc>
        <w:tc>
          <w:tcPr>
            <w:tcW w:w="2126" w:type="dxa"/>
            <w:tcBorders>
              <w:top w:val="single" w:sz="4" w:space="0" w:color="auto"/>
              <w:left w:val="nil"/>
              <w:bottom w:val="single" w:sz="4" w:space="0" w:color="auto"/>
              <w:right w:val="single" w:sz="4" w:space="0" w:color="auto"/>
            </w:tcBorders>
            <w:shd w:val="clear" w:color="auto" w:fill="99CCFF"/>
            <w:vAlign w:val="center"/>
          </w:tcPr>
          <w:p w:rsidR="005260B6" w:rsidRPr="00A50C70" w:rsidRDefault="005260B6" w:rsidP="00431678">
            <w:pPr>
              <w:jc w:val="center"/>
              <w:rPr>
                <w:rFonts w:ascii="Calibri" w:eastAsiaTheme="minorEastAsia" w:hAnsi="Calibri" w:cs="Calibri"/>
                <w:b/>
                <w:bCs/>
                <w:color w:val="000000"/>
                <w:szCs w:val="20"/>
              </w:rPr>
            </w:pPr>
            <w:r w:rsidRPr="00A50C70">
              <w:rPr>
                <w:rFonts w:ascii="Calibri" w:eastAsiaTheme="minorEastAsia" w:hAnsi="Calibri" w:cs="Calibri"/>
                <w:b/>
                <w:bCs/>
                <w:color w:val="000000"/>
                <w:szCs w:val="20"/>
              </w:rPr>
              <w:t>Powyżej 50 roku życia</w:t>
            </w:r>
          </w:p>
        </w:tc>
      </w:tr>
      <w:tr w:rsidR="005260B6" w:rsidRPr="00A50C70" w:rsidTr="005260B6">
        <w:trPr>
          <w:trHeight w:val="285"/>
        </w:trPr>
        <w:tc>
          <w:tcPr>
            <w:tcW w:w="2700" w:type="dxa"/>
            <w:tcBorders>
              <w:top w:val="single" w:sz="4" w:space="0" w:color="auto"/>
              <w:left w:val="single" w:sz="4" w:space="0" w:color="auto"/>
              <w:bottom w:val="single" w:sz="4" w:space="0" w:color="auto"/>
              <w:right w:val="single" w:sz="4" w:space="0" w:color="auto"/>
            </w:tcBorders>
            <w:vAlign w:val="bottom"/>
          </w:tcPr>
          <w:p w:rsidR="005260B6" w:rsidRPr="00A50C70" w:rsidRDefault="005260B6" w:rsidP="005260B6">
            <w:pPr>
              <w:rPr>
                <w:rFonts w:ascii="Calibri" w:eastAsiaTheme="minorEastAsia" w:hAnsi="Calibri" w:cs="Calibri"/>
                <w:b/>
                <w:bCs/>
                <w:color w:val="000000"/>
                <w:szCs w:val="20"/>
              </w:rPr>
            </w:pPr>
            <w:r w:rsidRPr="00A50C70">
              <w:rPr>
                <w:rFonts w:ascii="Calibri" w:eastAsiaTheme="minorEastAsia" w:hAnsi="Calibri" w:cs="Calibri"/>
                <w:b/>
                <w:bCs/>
                <w:color w:val="000000"/>
                <w:szCs w:val="20"/>
              </w:rPr>
              <w:t>Na obszarze rewitalizacji</w:t>
            </w:r>
          </w:p>
        </w:tc>
        <w:tc>
          <w:tcPr>
            <w:tcW w:w="2137" w:type="dxa"/>
            <w:tcBorders>
              <w:top w:val="single" w:sz="4" w:space="0" w:color="auto"/>
              <w:left w:val="nil"/>
              <w:bottom w:val="single" w:sz="4" w:space="0" w:color="auto"/>
              <w:right w:val="single" w:sz="4" w:space="0" w:color="auto"/>
            </w:tcBorders>
            <w:vAlign w:val="bottom"/>
          </w:tcPr>
          <w:p w:rsidR="005260B6" w:rsidRPr="00A50C70" w:rsidRDefault="005260B6" w:rsidP="005260B6">
            <w:pPr>
              <w:jc w:val="center"/>
              <w:rPr>
                <w:rFonts w:ascii="Calibri" w:eastAsiaTheme="minorEastAsia" w:hAnsi="Calibri" w:cs="Calibri"/>
                <w:b/>
                <w:bCs/>
                <w:color w:val="000000"/>
                <w:szCs w:val="20"/>
              </w:rPr>
            </w:pPr>
            <w:r w:rsidRPr="00A50C70">
              <w:rPr>
                <w:rFonts w:ascii="Calibri" w:eastAsiaTheme="minorEastAsia" w:hAnsi="Calibri" w:cs="Calibri"/>
                <w:b/>
                <w:bCs/>
                <w:color w:val="000000"/>
                <w:szCs w:val="20"/>
              </w:rPr>
              <w:t>27%</w:t>
            </w:r>
          </w:p>
        </w:tc>
        <w:tc>
          <w:tcPr>
            <w:tcW w:w="2126" w:type="dxa"/>
            <w:tcBorders>
              <w:top w:val="single" w:sz="4" w:space="0" w:color="auto"/>
              <w:left w:val="nil"/>
              <w:bottom w:val="single" w:sz="4" w:space="0" w:color="auto"/>
              <w:right w:val="single" w:sz="4" w:space="0" w:color="auto"/>
            </w:tcBorders>
            <w:vAlign w:val="bottom"/>
          </w:tcPr>
          <w:p w:rsidR="005260B6" w:rsidRPr="00A50C70" w:rsidRDefault="005260B6" w:rsidP="005260B6">
            <w:pPr>
              <w:jc w:val="center"/>
              <w:rPr>
                <w:rFonts w:ascii="Calibri" w:eastAsiaTheme="minorEastAsia" w:hAnsi="Calibri" w:cs="Calibri"/>
                <w:b/>
                <w:bCs/>
                <w:color w:val="000000"/>
                <w:szCs w:val="20"/>
              </w:rPr>
            </w:pPr>
            <w:r w:rsidRPr="00A50C70">
              <w:rPr>
                <w:rFonts w:ascii="Calibri" w:eastAsiaTheme="minorEastAsia" w:hAnsi="Calibri" w:cs="Calibri"/>
                <w:b/>
                <w:bCs/>
                <w:color w:val="000000"/>
                <w:szCs w:val="20"/>
              </w:rPr>
              <w:t>44%</w:t>
            </w:r>
          </w:p>
        </w:tc>
        <w:tc>
          <w:tcPr>
            <w:tcW w:w="2126" w:type="dxa"/>
            <w:tcBorders>
              <w:top w:val="single" w:sz="4" w:space="0" w:color="auto"/>
              <w:left w:val="nil"/>
              <w:bottom w:val="single" w:sz="4" w:space="0" w:color="auto"/>
              <w:right w:val="single" w:sz="4" w:space="0" w:color="auto"/>
            </w:tcBorders>
            <w:vAlign w:val="bottom"/>
          </w:tcPr>
          <w:p w:rsidR="005260B6" w:rsidRPr="00A50C70" w:rsidRDefault="005260B6" w:rsidP="005260B6">
            <w:pPr>
              <w:jc w:val="center"/>
              <w:rPr>
                <w:rFonts w:ascii="Calibri" w:eastAsiaTheme="minorEastAsia" w:hAnsi="Calibri" w:cs="Calibri"/>
                <w:b/>
                <w:bCs/>
                <w:color w:val="000000"/>
                <w:szCs w:val="20"/>
              </w:rPr>
            </w:pPr>
            <w:r w:rsidRPr="00A50C70">
              <w:rPr>
                <w:rFonts w:ascii="Calibri" w:eastAsiaTheme="minorEastAsia" w:hAnsi="Calibri" w:cs="Calibri"/>
                <w:b/>
                <w:bCs/>
                <w:color w:val="000000"/>
                <w:szCs w:val="20"/>
              </w:rPr>
              <w:t>29%</w:t>
            </w:r>
          </w:p>
        </w:tc>
      </w:tr>
      <w:tr w:rsidR="005260B6" w:rsidRPr="00A50C70" w:rsidTr="005260B6">
        <w:trPr>
          <w:trHeight w:val="285"/>
        </w:trPr>
        <w:tc>
          <w:tcPr>
            <w:tcW w:w="2700" w:type="dxa"/>
            <w:tcBorders>
              <w:top w:val="nil"/>
              <w:left w:val="single" w:sz="4" w:space="0" w:color="auto"/>
              <w:bottom w:val="single" w:sz="4" w:space="0" w:color="auto"/>
              <w:right w:val="single" w:sz="4" w:space="0" w:color="auto"/>
            </w:tcBorders>
          </w:tcPr>
          <w:p w:rsidR="005260B6" w:rsidRPr="00A50C70" w:rsidRDefault="005260B6" w:rsidP="005260B6">
            <w:pPr>
              <w:rPr>
                <w:rFonts w:ascii="Calibri" w:eastAsiaTheme="minorEastAsia" w:hAnsi="Calibri" w:cs="Calibri"/>
                <w:color w:val="000000"/>
                <w:szCs w:val="20"/>
              </w:rPr>
            </w:pPr>
            <w:r w:rsidRPr="00A50C70">
              <w:rPr>
                <w:rFonts w:ascii="Calibri" w:eastAsiaTheme="minorEastAsia" w:hAnsi="Calibri" w:cs="Calibri"/>
                <w:color w:val="000000"/>
                <w:szCs w:val="20"/>
              </w:rPr>
              <w:t>Bobrek</w:t>
            </w:r>
          </w:p>
        </w:tc>
        <w:tc>
          <w:tcPr>
            <w:tcW w:w="2137" w:type="dxa"/>
            <w:tcBorders>
              <w:top w:val="nil"/>
              <w:left w:val="nil"/>
              <w:bottom w:val="single" w:sz="4" w:space="0" w:color="auto"/>
              <w:right w:val="single" w:sz="4" w:space="0" w:color="auto"/>
            </w:tcBorders>
            <w:vAlign w:val="bottom"/>
          </w:tcPr>
          <w:p w:rsidR="005260B6" w:rsidRPr="00A50C70" w:rsidRDefault="005260B6" w:rsidP="005260B6">
            <w:pPr>
              <w:jc w:val="center"/>
              <w:rPr>
                <w:rFonts w:ascii="Calibri" w:eastAsiaTheme="minorEastAsia" w:hAnsi="Calibri" w:cs="Calibri"/>
                <w:color w:val="000000"/>
                <w:szCs w:val="20"/>
              </w:rPr>
            </w:pPr>
            <w:r w:rsidRPr="00A50C70">
              <w:rPr>
                <w:rFonts w:ascii="Calibri" w:eastAsiaTheme="minorEastAsia" w:hAnsi="Calibri" w:cs="Calibri"/>
                <w:color w:val="000000"/>
                <w:szCs w:val="20"/>
              </w:rPr>
              <w:t>29%</w:t>
            </w:r>
          </w:p>
        </w:tc>
        <w:tc>
          <w:tcPr>
            <w:tcW w:w="2126" w:type="dxa"/>
            <w:tcBorders>
              <w:top w:val="nil"/>
              <w:left w:val="nil"/>
              <w:bottom w:val="single" w:sz="4" w:space="0" w:color="auto"/>
              <w:right w:val="single" w:sz="4" w:space="0" w:color="auto"/>
            </w:tcBorders>
            <w:vAlign w:val="bottom"/>
          </w:tcPr>
          <w:p w:rsidR="005260B6" w:rsidRPr="00A50C70" w:rsidRDefault="005260B6" w:rsidP="005260B6">
            <w:pPr>
              <w:jc w:val="center"/>
              <w:rPr>
                <w:rFonts w:ascii="Calibri" w:eastAsiaTheme="minorEastAsia" w:hAnsi="Calibri" w:cs="Calibri"/>
                <w:color w:val="000000"/>
                <w:szCs w:val="20"/>
              </w:rPr>
            </w:pPr>
            <w:r w:rsidRPr="00A50C70">
              <w:rPr>
                <w:rFonts w:ascii="Calibri" w:eastAsiaTheme="minorEastAsia" w:hAnsi="Calibri" w:cs="Calibri"/>
                <w:color w:val="000000"/>
                <w:szCs w:val="20"/>
              </w:rPr>
              <w:t>45%</w:t>
            </w:r>
          </w:p>
        </w:tc>
        <w:tc>
          <w:tcPr>
            <w:tcW w:w="2126" w:type="dxa"/>
            <w:tcBorders>
              <w:top w:val="nil"/>
              <w:left w:val="nil"/>
              <w:bottom w:val="single" w:sz="4" w:space="0" w:color="auto"/>
              <w:right w:val="single" w:sz="4" w:space="0" w:color="auto"/>
            </w:tcBorders>
            <w:vAlign w:val="bottom"/>
          </w:tcPr>
          <w:p w:rsidR="005260B6" w:rsidRPr="00A50C70" w:rsidRDefault="005260B6" w:rsidP="005260B6">
            <w:pPr>
              <w:jc w:val="center"/>
              <w:rPr>
                <w:rFonts w:ascii="Calibri" w:eastAsiaTheme="minorEastAsia" w:hAnsi="Calibri" w:cs="Calibri"/>
                <w:color w:val="000000"/>
                <w:szCs w:val="20"/>
              </w:rPr>
            </w:pPr>
            <w:r w:rsidRPr="00A50C70">
              <w:rPr>
                <w:rFonts w:ascii="Calibri" w:eastAsiaTheme="minorEastAsia" w:hAnsi="Calibri" w:cs="Calibri"/>
                <w:color w:val="000000"/>
                <w:szCs w:val="20"/>
              </w:rPr>
              <w:t>27%</w:t>
            </w:r>
          </w:p>
        </w:tc>
      </w:tr>
      <w:tr w:rsidR="005260B6" w:rsidRPr="00A50C70" w:rsidTr="005260B6">
        <w:trPr>
          <w:trHeight w:val="285"/>
        </w:trPr>
        <w:tc>
          <w:tcPr>
            <w:tcW w:w="2700" w:type="dxa"/>
            <w:tcBorders>
              <w:top w:val="nil"/>
              <w:left w:val="single" w:sz="4" w:space="0" w:color="auto"/>
              <w:bottom w:val="single" w:sz="4" w:space="0" w:color="auto"/>
              <w:right w:val="single" w:sz="4" w:space="0" w:color="auto"/>
            </w:tcBorders>
          </w:tcPr>
          <w:p w:rsidR="005260B6" w:rsidRPr="00A50C70" w:rsidRDefault="005260B6" w:rsidP="005260B6">
            <w:pPr>
              <w:rPr>
                <w:rFonts w:ascii="Calibri" w:eastAsiaTheme="minorEastAsia" w:hAnsi="Calibri" w:cs="Calibri"/>
                <w:color w:val="000000"/>
                <w:szCs w:val="20"/>
              </w:rPr>
            </w:pPr>
            <w:r w:rsidRPr="00A50C70">
              <w:rPr>
                <w:rFonts w:ascii="Calibri" w:eastAsiaTheme="minorEastAsia" w:hAnsi="Calibri" w:cs="Calibri"/>
                <w:color w:val="000000"/>
                <w:szCs w:val="20"/>
              </w:rPr>
              <w:t>Rozbark</w:t>
            </w:r>
          </w:p>
        </w:tc>
        <w:tc>
          <w:tcPr>
            <w:tcW w:w="2137" w:type="dxa"/>
            <w:tcBorders>
              <w:top w:val="nil"/>
              <w:left w:val="nil"/>
              <w:bottom w:val="single" w:sz="4" w:space="0" w:color="auto"/>
              <w:right w:val="single" w:sz="4" w:space="0" w:color="auto"/>
            </w:tcBorders>
            <w:vAlign w:val="bottom"/>
          </w:tcPr>
          <w:p w:rsidR="005260B6" w:rsidRPr="00A50C70" w:rsidRDefault="005260B6" w:rsidP="005260B6">
            <w:pPr>
              <w:jc w:val="center"/>
              <w:rPr>
                <w:rFonts w:ascii="Calibri" w:eastAsiaTheme="minorEastAsia" w:hAnsi="Calibri" w:cs="Calibri"/>
                <w:color w:val="000000"/>
                <w:szCs w:val="20"/>
              </w:rPr>
            </w:pPr>
            <w:r w:rsidRPr="00A50C70">
              <w:rPr>
                <w:rFonts w:ascii="Calibri" w:eastAsiaTheme="minorEastAsia" w:hAnsi="Calibri" w:cs="Calibri"/>
                <w:color w:val="000000"/>
                <w:szCs w:val="20"/>
              </w:rPr>
              <w:t>27%</w:t>
            </w:r>
          </w:p>
        </w:tc>
        <w:tc>
          <w:tcPr>
            <w:tcW w:w="2126" w:type="dxa"/>
            <w:tcBorders>
              <w:top w:val="nil"/>
              <w:left w:val="nil"/>
              <w:bottom w:val="single" w:sz="4" w:space="0" w:color="auto"/>
              <w:right w:val="single" w:sz="4" w:space="0" w:color="auto"/>
            </w:tcBorders>
            <w:vAlign w:val="bottom"/>
          </w:tcPr>
          <w:p w:rsidR="005260B6" w:rsidRPr="00A50C70" w:rsidRDefault="005260B6" w:rsidP="005260B6">
            <w:pPr>
              <w:jc w:val="center"/>
              <w:rPr>
                <w:rFonts w:ascii="Calibri" w:eastAsiaTheme="minorEastAsia" w:hAnsi="Calibri" w:cs="Calibri"/>
                <w:color w:val="000000"/>
                <w:szCs w:val="20"/>
              </w:rPr>
            </w:pPr>
            <w:r w:rsidRPr="00A50C70">
              <w:rPr>
                <w:rFonts w:ascii="Calibri" w:eastAsiaTheme="minorEastAsia" w:hAnsi="Calibri" w:cs="Calibri"/>
                <w:color w:val="000000"/>
                <w:szCs w:val="20"/>
              </w:rPr>
              <w:t>43%</w:t>
            </w:r>
          </w:p>
        </w:tc>
        <w:tc>
          <w:tcPr>
            <w:tcW w:w="2126" w:type="dxa"/>
            <w:tcBorders>
              <w:top w:val="nil"/>
              <w:left w:val="nil"/>
              <w:bottom w:val="single" w:sz="4" w:space="0" w:color="auto"/>
              <w:right w:val="single" w:sz="4" w:space="0" w:color="auto"/>
            </w:tcBorders>
            <w:vAlign w:val="bottom"/>
          </w:tcPr>
          <w:p w:rsidR="005260B6" w:rsidRPr="00A50C70" w:rsidRDefault="005260B6" w:rsidP="005260B6">
            <w:pPr>
              <w:jc w:val="center"/>
              <w:rPr>
                <w:rFonts w:ascii="Calibri" w:eastAsiaTheme="minorEastAsia" w:hAnsi="Calibri" w:cs="Calibri"/>
                <w:color w:val="000000"/>
                <w:szCs w:val="20"/>
              </w:rPr>
            </w:pPr>
            <w:r w:rsidRPr="00A50C70">
              <w:rPr>
                <w:rFonts w:ascii="Calibri" w:eastAsiaTheme="minorEastAsia" w:hAnsi="Calibri" w:cs="Calibri"/>
                <w:color w:val="000000"/>
                <w:szCs w:val="20"/>
              </w:rPr>
              <w:t>29%</w:t>
            </w:r>
          </w:p>
        </w:tc>
      </w:tr>
      <w:tr w:rsidR="005260B6" w:rsidRPr="00A50C70" w:rsidTr="005260B6">
        <w:trPr>
          <w:trHeight w:val="285"/>
        </w:trPr>
        <w:tc>
          <w:tcPr>
            <w:tcW w:w="2700" w:type="dxa"/>
            <w:tcBorders>
              <w:top w:val="nil"/>
              <w:left w:val="single" w:sz="4" w:space="0" w:color="auto"/>
              <w:bottom w:val="single" w:sz="4" w:space="0" w:color="auto"/>
              <w:right w:val="single" w:sz="4" w:space="0" w:color="auto"/>
            </w:tcBorders>
          </w:tcPr>
          <w:p w:rsidR="005260B6" w:rsidRPr="00A50C70" w:rsidRDefault="005260B6" w:rsidP="005260B6">
            <w:pPr>
              <w:rPr>
                <w:rFonts w:ascii="Calibri" w:eastAsiaTheme="minorEastAsia" w:hAnsi="Calibri" w:cs="Calibri"/>
                <w:color w:val="000000"/>
                <w:szCs w:val="20"/>
              </w:rPr>
            </w:pPr>
            <w:r w:rsidRPr="00A50C70">
              <w:rPr>
                <w:rFonts w:ascii="Calibri" w:eastAsiaTheme="minorEastAsia" w:hAnsi="Calibri" w:cs="Calibri"/>
                <w:color w:val="000000"/>
                <w:szCs w:val="20"/>
              </w:rPr>
              <w:t>Śródmieście</w:t>
            </w:r>
          </w:p>
        </w:tc>
        <w:tc>
          <w:tcPr>
            <w:tcW w:w="2137" w:type="dxa"/>
            <w:tcBorders>
              <w:top w:val="nil"/>
              <w:left w:val="nil"/>
              <w:bottom w:val="single" w:sz="4" w:space="0" w:color="auto"/>
              <w:right w:val="single" w:sz="4" w:space="0" w:color="auto"/>
            </w:tcBorders>
            <w:vAlign w:val="bottom"/>
          </w:tcPr>
          <w:p w:rsidR="005260B6" w:rsidRPr="00A50C70" w:rsidRDefault="005260B6" w:rsidP="005260B6">
            <w:pPr>
              <w:jc w:val="center"/>
              <w:rPr>
                <w:rFonts w:ascii="Calibri" w:eastAsiaTheme="minorEastAsia" w:hAnsi="Calibri" w:cs="Calibri"/>
                <w:color w:val="000000"/>
                <w:szCs w:val="20"/>
              </w:rPr>
            </w:pPr>
            <w:r w:rsidRPr="00A50C70">
              <w:rPr>
                <w:rFonts w:ascii="Calibri" w:eastAsiaTheme="minorEastAsia" w:hAnsi="Calibri" w:cs="Calibri"/>
                <w:color w:val="000000"/>
                <w:szCs w:val="20"/>
              </w:rPr>
              <w:t>27%</w:t>
            </w:r>
          </w:p>
        </w:tc>
        <w:tc>
          <w:tcPr>
            <w:tcW w:w="2126" w:type="dxa"/>
            <w:tcBorders>
              <w:top w:val="nil"/>
              <w:left w:val="nil"/>
              <w:bottom w:val="single" w:sz="4" w:space="0" w:color="auto"/>
              <w:right w:val="single" w:sz="4" w:space="0" w:color="auto"/>
            </w:tcBorders>
            <w:vAlign w:val="bottom"/>
          </w:tcPr>
          <w:p w:rsidR="005260B6" w:rsidRPr="00A50C70" w:rsidRDefault="005260B6" w:rsidP="005260B6">
            <w:pPr>
              <w:jc w:val="center"/>
              <w:rPr>
                <w:rFonts w:ascii="Calibri" w:eastAsiaTheme="minorEastAsia" w:hAnsi="Calibri" w:cs="Calibri"/>
                <w:color w:val="000000"/>
                <w:szCs w:val="20"/>
              </w:rPr>
            </w:pPr>
            <w:r w:rsidRPr="00A50C70">
              <w:rPr>
                <w:rFonts w:ascii="Calibri" w:eastAsiaTheme="minorEastAsia" w:hAnsi="Calibri" w:cs="Calibri"/>
                <w:color w:val="000000"/>
                <w:szCs w:val="20"/>
              </w:rPr>
              <w:t>44%</w:t>
            </w:r>
          </w:p>
        </w:tc>
        <w:tc>
          <w:tcPr>
            <w:tcW w:w="2126" w:type="dxa"/>
            <w:tcBorders>
              <w:top w:val="nil"/>
              <w:left w:val="nil"/>
              <w:bottom w:val="single" w:sz="4" w:space="0" w:color="auto"/>
              <w:right w:val="single" w:sz="4" w:space="0" w:color="auto"/>
            </w:tcBorders>
            <w:vAlign w:val="bottom"/>
          </w:tcPr>
          <w:p w:rsidR="005260B6" w:rsidRPr="00A50C70" w:rsidRDefault="005260B6" w:rsidP="005260B6">
            <w:pPr>
              <w:jc w:val="center"/>
              <w:rPr>
                <w:rFonts w:ascii="Calibri" w:eastAsiaTheme="minorEastAsia" w:hAnsi="Calibri" w:cs="Calibri"/>
                <w:color w:val="000000"/>
                <w:szCs w:val="20"/>
              </w:rPr>
            </w:pPr>
            <w:r w:rsidRPr="00A50C70">
              <w:rPr>
                <w:rFonts w:ascii="Calibri" w:eastAsiaTheme="minorEastAsia" w:hAnsi="Calibri" w:cs="Calibri"/>
                <w:color w:val="000000"/>
                <w:szCs w:val="20"/>
              </w:rPr>
              <w:t>30%</w:t>
            </w:r>
          </w:p>
        </w:tc>
      </w:tr>
      <w:tr w:rsidR="005260B6" w:rsidRPr="00A50C70" w:rsidTr="005260B6">
        <w:trPr>
          <w:trHeight w:val="285"/>
        </w:trPr>
        <w:tc>
          <w:tcPr>
            <w:tcW w:w="2700" w:type="dxa"/>
            <w:tcBorders>
              <w:top w:val="nil"/>
              <w:left w:val="single" w:sz="4" w:space="0" w:color="auto"/>
              <w:bottom w:val="single" w:sz="4" w:space="0" w:color="auto"/>
              <w:right w:val="single" w:sz="4" w:space="0" w:color="auto"/>
            </w:tcBorders>
          </w:tcPr>
          <w:p w:rsidR="005260B6" w:rsidRPr="00A50C70" w:rsidRDefault="005260B6" w:rsidP="005260B6">
            <w:pPr>
              <w:rPr>
                <w:rFonts w:ascii="Calibri" w:eastAsiaTheme="minorEastAsia" w:hAnsi="Calibri" w:cs="Calibri"/>
                <w:color w:val="000000"/>
                <w:szCs w:val="20"/>
              </w:rPr>
            </w:pPr>
            <w:r w:rsidRPr="00A50C70">
              <w:rPr>
                <w:rFonts w:ascii="Calibri" w:eastAsiaTheme="minorEastAsia" w:hAnsi="Calibri" w:cs="Calibri"/>
                <w:color w:val="000000"/>
                <w:szCs w:val="20"/>
              </w:rPr>
              <w:t>Kolonia Zgorzelec</w:t>
            </w:r>
          </w:p>
        </w:tc>
        <w:tc>
          <w:tcPr>
            <w:tcW w:w="2137" w:type="dxa"/>
            <w:tcBorders>
              <w:top w:val="nil"/>
              <w:left w:val="nil"/>
              <w:bottom w:val="single" w:sz="4" w:space="0" w:color="auto"/>
              <w:right w:val="single" w:sz="4" w:space="0" w:color="auto"/>
            </w:tcBorders>
            <w:vAlign w:val="bottom"/>
          </w:tcPr>
          <w:p w:rsidR="005260B6" w:rsidRPr="00A50C70" w:rsidRDefault="005260B6" w:rsidP="005260B6">
            <w:pPr>
              <w:jc w:val="center"/>
              <w:rPr>
                <w:rFonts w:ascii="Calibri" w:eastAsiaTheme="minorEastAsia" w:hAnsi="Calibri" w:cs="Calibri"/>
                <w:color w:val="000000"/>
                <w:szCs w:val="20"/>
              </w:rPr>
            </w:pPr>
            <w:r w:rsidRPr="00A50C70">
              <w:rPr>
                <w:rFonts w:ascii="Calibri" w:eastAsiaTheme="minorEastAsia" w:hAnsi="Calibri" w:cs="Calibri"/>
                <w:color w:val="000000"/>
                <w:szCs w:val="20"/>
              </w:rPr>
              <w:t>13%</w:t>
            </w:r>
          </w:p>
        </w:tc>
        <w:tc>
          <w:tcPr>
            <w:tcW w:w="2126" w:type="dxa"/>
            <w:tcBorders>
              <w:top w:val="nil"/>
              <w:left w:val="nil"/>
              <w:bottom w:val="single" w:sz="4" w:space="0" w:color="auto"/>
              <w:right w:val="single" w:sz="4" w:space="0" w:color="auto"/>
            </w:tcBorders>
            <w:vAlign w:val="bottom"/>
          </w:tcPr>
          <w:p w:rsidR="005260B6" w:rsidRPr="00A50C70" w:rsidRDefault="005260B6" w:rsidP="005260B6">
            <w:pPr>
              <w:jc w:val="center"/>
              <w:rPr>
                <w:rFonts w:ascii="Calibri" w:eastAsiaTheme="minorEastAsia" w:hAnsi="Calibri" w:cs="Calibri"/>
                <w:color w:val="000000"/>
                <w:szCs w:val="20"/>
              </w:rPr>
            </w:pPr>
            <w:r w:rsidRPr="00A50C70">
              <w:rPr>
                <w:rFonts w:ascii="Calibri" w:eastAsiaTheme="minorEastAsia" w:hAnsi="Calibri" w:cs="Calibri"/>
                <w:color w:val="000000"/>
                <w:szCs w:val="20"/>
              </w:rPr>
              <w:t>53%</w:t>
            </w:r>
          </w:p>
        </w:tc>
        <w:tc>
          <w:tcPr>
            <w:tcW w:w="2126" w:type="dxa"/>
            <w:tcBorders>
              <w:top w:val="nil"/>
              <w:left w:val="nil"/>
              <w:bottom w:val="single" w:sz="4" w:space="0" w:color="auto"/>
              <w:right w:val="single" w:sz="4" w:space="0" w:color="auto"/>
            </w:tcBorders>
            <w:vAlign w:val="bottom"/>
          </w:tcPr>
          <w:p w:rsidR="005260B6" w:rsidRPr="00A50C70" w:rsidRDefault="005260B6" w:rsidP="005260B6">
            <w:pPr>
              <w:jc w:val="center"/>
              <w:rPr>
                <w:rFonts w:ascii="Calibri" w:eastAsiaTheme="minorEastAsia" w:hAnsi="Calibri" w:cs="Calibri"/>
                <w:color w:val="000000"/>
                <w:szCs w:val="20"/>
              </w:rPr>
            </w:pPr>
            <w:r w:rsidRPr="00A50C70">
              <w:rPr>
                <w:rFonts w:ascii="Calibri" w:eastAsiaTheme="minorEastAsia" w:hAnsi="Calibri" w:cs="Calibri"/>
                <w:color w:val="000000"/>
                <w:szCs w:val="20"/>
              </w:rPr>
              <w:t>33%</w:t>
            </w:r>
          </w:p>
        </w:tc>
      </w:tr>
    </w:tbl>
    <w:p w:rsidR="005260B6" w:rsidRDefault="005260B6" w:rsidP="005260B6">
      <w:pPr>
        <w:autoSpaceDE w:val="0"/>
        <w:autoSpaceDN w:val="0"/>
        <w:adjustRightInd w:val="0"/>
        <w:rPr>
          <w:rFonts w:ascii="Calibri" w:hAnsi="Calibri" w:cs="Calibri"/>
          <w:i/>
          <w:iCs/>
          <w:sz w:val="18"/>
          <w:szCs w:val="18"/>
        </w:rPr>
      </w:pPr>
      <w:r>
        <w:rPr>
          <w:rFonts w:ascii="Calibri" w:hAnsi="Calibri" w:cs="Calibri"/>
          <w:i/>
          <w:iCs/>
          <w:sz w:val="18"/>
          <w:szCs w:val="18"/>
        </w:rPr>
        <w:t xml:space="preserve">Źródło: Opracowanie Instytutu Rozwoju Miast na podstawie danych </w:t>
      </w:r>
      <w:r w:rsidR="00751D84">
        <w:rPr>
          <w:rFonts w:ascii="Calibri" w:hAnsi="Calibri" w:cs="Calibri"/>
          <w:i/>
          <w:iCs/>
          <w:sz w:val="18"/>
          <w:szCs w:val="18"/>
        </w:rPr>
        <w:t>z PUP</w:t>
      </w:r>
    </w:p>
    <w:p w:rsidR="005260B6" w:rsidRDefault="005260B6" w:rsidP="005260B6">
      <w:pPr>
        <w:ind w:firstLine="600"/>
      </w:pPr>
    </w:p>
    <w:p w:rsidR="005260B6" w:rsidRPr="00751D84" w:rsidRDefault="005260B6" w:rsidP="005260B6">
      <w:pPr>
        <w:jc w:val="both"/>
        <w:rPr>
          <w:rFonts w:cstheme="minorHAnsi"/>
          <w:b/>
          <w:szCs w:val="20"/>
        </w:rPr>
      </w:pPr>
      <w:r w:rsidRPr="00751D84">
        <w:rPr>
          <w:rFonts w:cstheme="minorHAnsi"/>
          <w:b/>
          <w:szCs w:val="20"/>
        </w:rPr>
        <w:t>Podsumowując, przeciętny bytomski bezrobotny, także na podobszarach rewitalizacji, cechuje się:</w:t>
      </w:r>
    </w:p>
    <w:p w:rsidR="005260B6" w:rsidRPr="00C12DD8" w:rsidRDefault="005260B6" w:rsidP="00C12DD8">
      <w:pPr>
        <w:pStyle w:val="Akapitzlist"/>
        <w:numPr>
          <w:ilvl w:val="0"/>
          <w:numId w:val="201"/>
        </w:numPr>
        <w:spacing w:after="0" w:line="240" w:lineRule="auto"/>
        <w:jc w:val="both"/>
        <w:rPr>
          <w:rFonts w:asciiTheme="minorHAnsi" w:hAnsiTheme="minorHAnsi" w:cstheme="minorHAnsi"/>
          <w:sz w:val="20"/>
          <w:szCs w:val="20"/>
        </w:rPr>
      </w:pPr>
      <w:r w:rsidRPr="00C12DD8">
        <w:rPr>
          <w:rFonts w:asciiTheme="minorHAnsi" w:hAnsiTheme="minorHAnsi" w:cstheme="minorHAnsi"/>
          <w:sz w:val="20"/>
          <w:szCs w:val="20"/>
        </w:rPr>
        <w:t>wykształceniem gimnazjalnym,</w:t>
      </w:r>
    </w:p>
    <w:p w:rsidR="005260B6" w:rsidRPr="00C12DD8" w:rsidRDefault="005260B6" w:rsidP="00C12DD8">
      <w:pPr>
        <w:pStyle w:val="Akapitzlist"/>
        <w:numPr>
          <w:ilvl w:val="0"/>
          <w:numId w:val="201"/>
        </w:numPr>
        <w:spacing w:after="0" w:line="240" w:lineRule="auto"/>
        <w:jc w:val="both"/>
        <w:rPr>
          <w:rFonts w:asciiTheme="minorHAnsi" w:hAnsiTheme="minorHAnsi" w:cstheme="minorHAnsi"/>
          <w:sz w:val="20"/>
          <w:szCs w:val="20"/>
        </w:rPr>
      </w:pPr>
      <w:r w:rsidRPr="00C12DD8">
        <w:rPr>
          <w:rFonts w:asciiTheme="minorHAnsi" w:hAnsiTheme="minorHAnsi" w:cstheme="minorHAnsi"/>
          <w:sz w:val="20"/>
          <w:szCs w:val="20"/>
        </w:rPr>
        <w:t>brakiem doświadczenia zawodowego,</w:t>
      </w:r>
    </w:p>
    <w:p w:rsidR="005260B6" w:rsidRPr="00C12DD8" w:rsidRDefault="005260B6" w:rsidP="00C12DD8">
      <w:pPr>
        <w:pStyle w:val="Akapitzlist"/>
        <w:numPr>
          <w:ilvl w:val="0"/>
          <w:numId w:val="201"/>
        </w:numPr>
        <w:spacing w:after="0" w:line="240" w:lineRule="auto"/>
        <w:jc w:val="both"/>
        <w:rPr>
          <w:rFonts w:asciiTheme="minorHAnsi" w:hAnsiTheme="minorHAnsi" w:cstheme="minorHAnsi"/>
          <w:sz w:val="20"/>
          <w:szCs w:val="20"/>
        </w:rPr>
      </w:pPr>
      <w:r w:rsidRPr="00C12DD8">
        <w:rPr>
          <w:rFonts w:asciiTheme="minorHAnsi" w:hAnsiTheme="minorHAnsi" w:cstheme="minorHAnsi"/>
          <w:sz w:val="20"/>
          <w:szCs w:val="20"/>
        </w:rPr>
        <w:t>brakiem kwalifikacji zawodowych,</w:t>
      </w:r>
    </w:p>
    <w:p w:rsidR="005260B6" w:rsidRPr="00C12DD8" w:rsidRDefault="005260B6" w:rsidP="00C12DD8">
      <w:pPr>
        <w:pStyle w:val="Akapitzlist"/>
        <w:numPr>
          <w:ilvl w:val="0"/>
          <w:numId w:val="201"/>
        </w:numPr>
        <w:spacing w:after="0" w:line="240" w:lineRule="auto"/>
        <w:jc w:val="both"/>
        <w:rPr>
          <w:rFonts w:asciiTheme="minorHAnsi" w:hAnsiTheme="minorHAnsi" w:cstheme="minorHAnsi"/>
          <w:sz w:val="20"/>
          <w:szCs w:val="20"/>
        </w:rPr>
      </w:pPr>
      <w:r w:rsidRPr="00C12DD8">
        <w:rPr>
          <w:rFonts w:asciiTheme="minorHAnsi" w:hAnsiTheme="minorHAnsi" w:cstheme="minorHAnsi"/>
          <w:sz w:val="20"/>
          <w:szCs w:val="20"/>
        </w:rPr>
        <w:t>długotrwałym bezrobociem,</w:t>
      </w:r>
    </w:p>
    <w:p w:rsidR="005260B6" w:rsidRPr="00C12DD8" w:rsidRDefault="005260B6" w:rsidP="00C12DD8">
      <w:pPr>
        <w:pStyle w:val="Akapitzlist"/>
        <w:numPr>
          <w:ilvl w:val="0"/>
          <w:numId w:val="201"/>
        </w:numPr>
        <w:spacing w:after="0" w:line="240" w:lineRule="auto"/>
        <w:jc w:val="both"/>
        <w:rPr>
          <w:rFonts w:asciiTheme="minorHAnsi" w:hAnsiTheme="minorHAnsi" w:cstheme="minorHAnsi"/>
          <w:sz w:val="20"/>
          <w:szCs w:val="20"/>
        </w:rPr>
      </w:pPr>
      <w:r w:rsidRPr="00C12DD8">
        <w:rPr>
          <w:rFonts w:asciiTheme="minorHAnsi" w:hAnsiTheme="minorHAnsi" w:cstheme="minorHAnsi"/>
          <w:sz w:val="20"/>
          <w:szCs w:val="20"/>
        </w:rPr>
        <w:t>brakiem motywacji do poszukiwania pracy.</w:t>
      </w:r>
    </w:p>
    <w:p w:rsidR="005260B6" w:rsidRPr="00B47E00" w:rsidRDefault="005260B6" w:rsidP="005260B6">
      <w:pPr>
        <w:ind w:firstLine="709"/>
        <w:jc w:val="both"/>
        <w:rPr>
          <w:rFonts w:cstheme="minorHAnsi"/>
          <w:szCs w:val="20"/>
        </w:rPr>
      </w:pPr>
      <w:r w:rsidRPr="00B47E00">
        <w:rPr>
          <w:rFonts w:cstheme="minorHAnsi"/>
          <w:szCs w:val="20"/>
        </w:rPr>
        <w:lastRenderedPageBreak/>
        <w:t>Na sytuację osób bezrobotnych wpływają zawsze dwie zmienne, tj. jej oddalenie od rynku pracy i</w:t>
      </w:r>
      <w:r w:rsidR="00A472B0">
        <w:rPr>
          <w:rFonts w:cstheme="minorHAnsi"/>
          <w:szCs w:val="20"/>
        </w:rPr>
        <w:t> </w:t>
      </w:r>
      <w:r w:rsidRPr="00B47E00">
        <w:rPr>
          <w:rFonts w:cstheme="minorHAnsi"/>
          <w:szCs w:val="20"/>
        </w:rPr>
        <w:t xml:space="preserve">gotowość do wejścia lub powrotu na ten rynek. Na oddalenie od rynku pracy wpływ mają te czynniki, które stoją na przeszkodzie w wejściu lub powrocie na rynek pracy, tj. m.in. wiek, płeć, poziom wykształcenia, doświadczenie zawodowe, znajomość języków obcych, orzeczony stopień niepełnosprawności, czas pozostawania bez pracy, uprawnienia zawodowe, umiejętności, miejsce zamieszkania. Z kolei </w:t>
      </w:r>
      <w:r w:rsidRPr="00493020">
        <w:rPr>
          <w:rFonts w:cstheme="minorHAnsi"/>
          <w:szCs w:val="20"/>
        </w:rPr>
        <w:t xml:space="preserve">na </w:t>
      </w:r>
      <w:r w:rsidRPr="00493020">
        <w:rPr>
          <w:rStyle w:val="Pogrubienie"/>
          <w:rFonts w:cstheme="minorHAnsi"/>
          <w:b w:val="0"/>
          <w:szCs w:val="20"/>
        </w:rPr>
        <w:t>gotowość do wejścia lub powrotu na rynek pracy</w:t>
      </w:r>
      <w:r w:rsidRPr="00493020">
        <w:rPr>
          <w:rFonts w:cstheme="minorHAnsi"/>
          <w:szCs w:val="20"/>
        </w:rPr>
        <w:t xml:space="preserve"> wpływają te czynniki, które wskazują na potrzebę i chęć do podjęcia</w:t>
      </w:r>
      <w:r w:rsidRPr="00B47E00">
        <w:rPr>
          <w:rFonts w:cstheme="minorHAnsi"/>
          <w:szCs w:val="20"/>
        </w:rPr>
        <w:t xml:space="preserve"> pracy przez osobę bezrobotną, tj. zaangażowanie w samodzielne poszukiwanie pracy, powody rejestracji w</w:t>
      </w:r>
      <w:r w:rsidR="00A472B0">
        <w:rPr>
          <w:rFonts w:cstheme="minorHAnsi"/>
          <w:szCs w:val="20"/>
        </w:rPr>
        <w:t> </w:t>
      </w:r>
      <w:r w:rsidRPr="00B47E00">
        <w:rPr>
          <w:rFonts w:cstheme="minorHAnsi"/>
          <w:szCs w:val="20"/>
        </w:rPr>
        <w:t xml:space="preserve">powiatowym urzędzie pracy, gotowość do dostosowania się do wymagań rynku pracy, dyspozycyjność, powody skłaniające do podjęcia pracy. Analiza tych informacji pozwala określić profil pomocy bezrobotnego.  </w:t>
      </w:r>
    </w:p>
    <w:p w:rsidR="005260B6" w:rsidRPr="005D6C82" w:rsidRDefault="005260B6" w:rsidP="005D6C82">
      <w:pPr>
        <w:ind w:firstLine="709"/>
        <w:jc w:val="both"/>
        <w:rPr>
          <w:rFonts w:cstheme="minorHAnsi"/>
          <w:szCs w:val="20"/>
        </w:rPr>
      </w:pPr>
      <w:r w:rsidRPr="00493020">
        <w:rPr>
          <w:rFonts w:cstheme="minorHAnsi"/>
          <w:b/>
          <w:color w:val="C00000"/>
          <w:szCs w:val="20"/>
        </w:rPr>
        <w:t>Na podobszarach rewitalizacji licznie reprezentowani są bezrobotni</w:t>
      </w:r>
      <w:r w:rsidR="00BC528A">
        <w:rPr>
          <w:rFonts w:cstheme="minorHAnsi"/>
          <w:b/>
          <w:color w:val="C00000"/>
          <w:szCs w:val="20"/>
        </w:rPr>
        <w:t xml:space="preserve">, </w:t>
      </w:r>
      <w:r w:rsidR="00900130">
        <w:rPr>
          <w:rFonts w:cstheme="minorHAnsi"/>
          <w:b/>
          <w:color w:val="C00000"/>
          <w:szCs w:val="20"/>
        </w:rPr>
        <w:t>dla których ustalono III profil pomoc</w:t>
      </w:r>
      <w:r w:rsidR="00BC528A">
        <w:rPr>
          <w:rFonts w:cstheme="minorHAnsi"/>
          <w:b/>
          <w:color w:val="C00000"/>
          <w:szCs w:val="20"/>
        </w:rPr>
        <w:t>y</w:t>
      </w:r>
      <w:r w:rsidR="00795396" w:rsidRPr="00795396">
        <w:rPr>
          <w:rFonts w:cstheme="minorHAnsi"/>
          <w:szCs w:val="20"/>
        </w:rPr>
        <w:t>, czyli</w:t>
      </w:r>
      <w:r w:rsidR="00795396">
        <w:rPr>
          <w:rFonts w:cstheme="minorHAnsi"/>
          <w:b/>
          <w:szCs w:val="20"/>
        </w:rPr>
        <w:t xml:space="preserve"> </w:t>
      </w:r>
      <w:r w:rsidRPr="00B47E00">
        <w:rPr>
          <w:rFonts w:cstheme="minorHAnsi"/>
          <w:szCs w:val="20"/>
        </w:rPr>
        <w:t>w</w:t>
      </w:r>
      <w:r w:rsidR="00795396">
        <w:rPr>
          <w:rFonts w:cstheme="minorHAnsi"/>
          <w:szCs w:val="20"/>
        </w:rPr>
        <w:t>ykazujący duże oddalenie od rynku pracy</w:t>
      </w:r>
      <w:r w:rsidR="00795396" w:rsidRPr="00B47E00">
        <w:rPr>
          <w:rFonts w:cstheme="minorHAnsi"/>
          <w:szCs w:val="20"/>
        </w:rPr>
        <w:t>, a czasem nawet brak gotowości do podjęcia pracy</w:t>
      </w:r>
      <w:r w:rsidR="00795396">
        <w:rPr>
          <w:rFonts w:cstheme="minorHAnsi"/>
          <w:szCs w:val="20"/>
        </w:rPr>
        <w:t>. Stanowią oni</w:t>
      </w:r>
      <w:r w:rsidRPr="00B47E00">
        <w:rPr>
          <w:rFonts w:cstheme="minorHAnsi"/>
          <w:szCs w:val="20"/>
        </w:rPr>
        <w:t xml:space="preserve"> prawie</w:t>
      </w:r>
      <w:r w:rsidR="00795396" w:rsidRPr="00B47E00">
        <w:rPr>
          <w:rFonts w:cstheme="minorHAnsi"/>
          <w:szCs w:val="20"/>
        </w:rPr>
        <w:t xml:space="preserve"> 1,5 tys</w:t>
      </w:r>
      <w:r w:rsidRPr="00B47E00">
        <w:rPr>
          <w:rFonts w:cstheme="minorHAnsi"/>
          <w:szCs w:val="20"/>
        </w:rPr>
        <w:t xml:space="preserve">. osób </w:t>
      </w:r>
      <w:r w:rsidR="00795396">
        <w:rPr>
          <w:rFonts w:cstheme="minorHAnsi"/>
          <w:szCs w:val="20"/>
        </w:rPr>
        <w:t>tj.</w:t>
      </w:r>
      <w:r w:rsidRPr="00B47E00">
        <w:rPr>
          <w:rFonts w:cstheme="minorHAnsi"/>
          <w:szCs w:val="20"/>
        </w:rPr>
        <w:t xml:space="preserve"> nieco ponad 84% ogółu bezrobotnych w</w:t>
      </w:r>
      <w:r w:rsidR="00E01741">
        <w:rPr>
          <w:rFonts w:cstheme="minorHAnsi"/>
          <w:szCs w:val="20"/>
        </w:rPr>
        <w:t> </w:t>
      </w:r>
      <w:r w:rsidRPr="00B47E00">
        <w:rPr>
          <w:rFonts w:cstheme="minorHAnsi"/>
          <w:szCs w:val="20"/>
        </w:rPr>
        <w:t>Bytomiu</w:t>
      </w:r>
      <w:r w:rsidR="00BC528A">
        <w:rPr>
          <w:rFonts w:cstheme="minorHAnsi"/>
          <w:szCs w:val="20"/>
        </w:rPr>
        <w:t>, dla których ustalono III profil pomocy</w:t>
      </w:r>
      <w:r w:rsidRPr="00B47E00">
        <w:rPr>
          <w:rFonts w:cstheme="minorHAnsi"/>
          <w:szCs w:val="20"/>
        </w:rPr>
        <w:t xml:space="preserve">. </w:t>
      </w:r>
      <w:r w:rsidRPr="00493020">
        <w:rPr>
          <w:rFonts w:cstheme="minorHAnsi"/>
          <w:b/>
          <w:color w:val="C00000"/>
          <w:szCs w:val="20"/>
        </w:rPr>
        <w:t xml:space="preserve">Niskie kompetencje, brak kwalifikacji, orzeczona niepełnosprawność, brak opieki nad dziećmi, niewielka mobilność, wiek, to przyczyny, które najczęściej powodują wykluczenie z rynku pracy. </w:t>
      </w:r>
      <w:r w:rsidRPr="00B47E00">
        <w:rPr>
          <w:rFonts w:cstheme="minorHAnsi"/>
          <w:szCs w:val="20"/>
        </w:rPr>
        <w:t xml:space="preserve">Konsekwencją długotrwałego pozostawania bez pracy jest zła sytuacja finansowa tych osób, a nawet ubóstwo. Bardzo często osoba bezrobotna borykająca się z takimi problemami korzysta również ze wsparcia opieki społecznej i zamieszkuje </w:t>
      </w:r>
      <w:r>
        <w:rPr>
          <w:rFonts w:cstheme="minorHAnsi"/>
          <w:szCs w:val="20"/>
        </w:rPr>
        <w:t xml:space="preserve">głównie </w:t>
      </w:r>
      <w:r w:rsidR="00115311">
        <w:rPr>
          <w:rFonts w:cstheme="minorHAnsi"/>
          <w:szCs w:val="20"/>
        </w:rPr>
        <w:t>obszar rewitalizacji</w:t>
      </w:r>
      <w:r w:rsidRPr="00B47E00">
        <w:rPr>
          <w:rFonts w:cstheme="minorHAnsi"/>
          <w:szCs w:val="20"/>
        </w:rPr>
        <w:t>.</w:t>
      </w:r>
    </w:p>
    <w:p w:rsidR="005260B6" w:rsidRDefault="005260B6" w:rsidP="00EF487C">
      <w:pPr>
        <w:ind w:firstLine="708"/>
        <w:jc w:val="both"/>
        <w:rPr>
          <w:rFonts w:ascii="Calibri" w:hAnsi="Calibri" w:cs="Calibri"/>
          <w:szCs w:val="20"/>
        </w:rPr>
      </w:pPr>
      <w:r>
        <w:rPr>
          <w:rFonts w:ascii="Calibri" w:hAnsi="Calibri" w:cs="Calibri"/>
          <w:szCs w:val="20"/>
        </w:rPr>
        <w:t xml:space="preserve">Spośród wszystkich negatywnych zjawisk społecznych </w:t>
      </w:r>
      <w:r w:rsidRPr="00493020">
        <w:rPr>
          <w:rFonts w:ascii="Calibri" w:hAnsi="Calibri" w:cs="Calibri"/>
          <w:b/>
          <w:color w:val="C00000"/>
          <w:szCs w:val="20"/>
        </w:rPr>
        <w:t>bezrobocie jest problemem dominującym na podobszarach rewitalizacji.</w:t>
      </w:r>
      <w:r>
        <w:rPr>
          <w:rFonts w:ascii="Calibri" w:hAnsi="Calibri" w:cs="Calibri"/>
          <w:szCs w:val="20"/>
        </w:rPr>
        <w:t xml:space="preserve"> Z problemem bezrobocia łączą się bezpośrednio i pośrednio wszystkie pozostałe negatywne zjawiska społeczne. Przedstawione powyżej </w:t>
      </w:r>
      <w:r w:rsidRPr="00493020">
        <w:rPr>
          <w:rFonts w:ascii="Calibri" w:hAnsi="Calibri" w:cs="Calibri"/>
          <w:b/>
          <w:color w:val="C00000"/>
          <w:szCs w:val="20"/>
        </w:rPr>
        <w:t xml:space="preserve">wyniki analizy pogłębionej uzasadniają konieczność podjęcia szeregu działań ukierunkowanych na aktywizację zawodową osób bezrobotnych i poprawę ich zdolności do zatrudnienia między innymi poprzez dostosowanie kwalifikacji do potrzeb rynku pracy, czy też promocję samozatrudnienia. Wysoki udział wśród bezrobotnych osób młodych uzasadnia odpowiednie ukierunkowanie i zaangażowanie środków z projektów systemowych realizowanych przez Powiatowy Urząd Pracy w ramach </w:t>
      </w:r>
      <w:r w:rsidR="005D6C82">
        <w:rPr>
          <w:rFonts w:ascii="Calibri" w:hAnsi="Calibri" w:cs="Calibri"/>
          <w:b/>
          <w:color w:val="C00000"/>
          <w:szCs w:val="20"/>
        </w:rPr>
        <w:t>Program</w:t>
      </w:r>
      <w:r w:rsidR="007478BC">
        <w:rPr>
          <w:rFonts w:ascii="Calibri" w:hAnsi="Calibri" w:cs="Calibri"/>
          <w:b/>
          <w:color w:val="C00000"/>
          <w:szCs w:val="20"/>
        </w:rPr>
        <w:t>u Operacyjnego Wiedza Edukacja</w:t>
      </w:r>
      <w:r w:rsidR="005D6C82">
        <w:rPr>
          <w:rFonts w:ascii="Calibri" w:hAnsi="Calibri" w:cs="Calibri"/>
          <w:b/>
          <w:color w:val="C00000"/>
          <w:szCs w:val="20"/>
        </w:rPr>
        <w:t xml:space="preserve"> Rozwój</w:t>
      </w:r>
      <w:r w:rsidR="007478BC">
        <w:rPr>
          <w:rFonts w:ascii="Calibri" w:hAnsi="Calibri" w:cs="Calibri"/>
          <w:b/>
          <w:color w:val="C00000"/>
          <w:szCs w:val="20"/>
        </w:rPr>
        <w:t xml:space="preserve"> 2014-2020</w:t>
      </w:r>
      <w:r w:rsidRPr="00493020">
        <w:rPr>
          <w:rFonts w:ascii="Calibri" w:hAnsi="Calibri" w:cs="Calibri"/>
          <w:b/>
          <w:color w:val="C00000"/>
          <w:szCs w:val="20"/>
        </w:rPr>
        <w:t>, które pozwalają na odpowiednie wsparcie osób bezrobotnych do 30 roku życia.</w:t>
      </w:r>
      <w:r>
        <w:rPr>
          <w:rFonts w:ascii="Calibri" w:hAnsi="Calibri" w:cs="Calibri"/>
          <w:szCs w:val="20"/>
        </w:rPr>
        <w:t xml:space="preserve"> </w:t>
      </w:r>
    </w:p>
    <w:p w:rsidR="002370A6" w:rsidRPr="00F41408" w:rsidRDefault="005260B6" w:rsidP="004E6296">
      <w:pPr>
        <w:spacing w:after="240"/>
        <w:ind w:firstLine="709"/>
        <w:jc w:val="both"/>
      </w:pPr>
      <w:r>
        <w:rPr>
          <w:rFonts w:ascii="Calibri" w:hAnsi="Calibri" w:cs="Calibri"/>
          <w:szCs w:val="20"/>
        </w:rPr>
        <w:t xml:space="preserve">Odrębne </w:t>
      </w:r>
      <w:r w:rsidRPr="00CD6C97">
        <w:rPr>
          <w:rFonts w:ascii="Calibri" w:hAnsi="Calibri" w:cs="Calibri"/>
          <w:b/>
          <w:color w:val="C00000"/>
          <w:szCs w:val="20"/>
        </w:rPr>
        <w:t>działania powinny być skierowane do osób długotrwale bezrobotnych</w:t>
      </w:r>
      <w:r>
        <w:rPr>
          <w:rFonts w:ascii="Calibri" w:hAnsi="Calibri" w:cs="Calibri"/>
          <w:szCs w:val="20"/>
        </w:rPr>
        <w:t xml:space="preserve"> i najbardziej oddalonych od rynku pracy tak licznie reprezentowanych na podobszarach rewitalizacji. Uzasadnione jest w</w:t>
      </w:r>
      <w:r w:rsidR="00CD6C97">
        <w:rPr>
          <w:rFonts w:ascii="Calibri" w:hAnsi="Calibri" w:cs="Calibri"/>
          <w:szCs w:val="20"/>
        </w:rPr>
        <w:t> </w:t>
      </w:r>
      <w:r>
        <w:rPr>
          <w:rFonts w:ascii="Calibri" w:hAnsi="Calibri" w:cs="Calibri"/>
          <w:szCs w:val="20"/>
        </w:rPr>
        <w:t xml:space="preserve">tym wypadku nie tylko </w:t>
      </w:r>
      <w:r w:rsidRPr="009C5EBF">
        <w:rPr>
          <w:rFonts w:ascii="Calibri" w:hAnsi="Calibri" w:cs="Calibri"/>
          <w:b/>
          <w:color w:val="C00000"/>
          <w:szCs w:val="20"/>
        </w:rPr>
        <w:t>prowadzenie programów aktywnej integracji w ramach osi dziewiątej służącej włączeniu społecznemu.</w:t>
      </w:r>
      <w:r>
        <w:rPr>
          <w:rFonts w:ascii="Calibri" w:hAnsi="Calibri" w:cs="Calibri"/>
          <w:szCs w:val="20"/>
        </w:rPr>
        <w:t xml:space="preserve"> Równie </w:t>
      </w:r>
      <w:r w:rsidRPr="009C5EBF">
        <w:rPr>
          <w:rFonts w:ascii="Calibri" w:hAnsi="Calibri" w:cs="Calibri"/>
          <w:b/>
          <w:color w:val="C00000"/>
          <w:szCs w:val="20"/>
        </w:rPr>
        <w:t>istotne jest wsparcie i dalszy rozwój podmiotów reintegracji oraz ekonomii społecznej</w:t>
      </w:r>
      <w:r w:rsidR="00A27E00">
        <w:rPr>
          <w:rFonts w:ascii="Calibri" w:hAnsi="Calibri" w:cs="Calibri"/>
          <w:szCs w:val="20"/>
        </w:rPr>
        <w:t xml:space="preserve"> zwłaszcza, że ich rola w procesie rewitalizacyjnym będzie kluczowa. </w:t>
      </w:r>
      <w:r w:rsidR="00FF6F90">
        <w:t xml:space="preserve">Dzięki możliwości stosowania narzędzi ustawowych takich jak zlecenia wewnętrzne (np. na zasadzie formuły </w:t>
      </w:r>
      <w:r w:rsidR="00FF6F90" w:rsidRPr="008D51CA">
        <w:rPr>
          <w:i/>
        </w:rPr>
        <w:t>in house</w:t>
      </w:r>
      <w:r w:rsidR="00FF6F90">
        <w:t>) dla podmiotów ekonomii społecznej, które będą realizować zlecenia od Miasta w zakresie m.in. utrzymania terenów zrewitalizowanych czy też prac remontowo-budowlanych w obszarze rewitalizacji (zamieszkałym i</w:t>
      </w:r>
      <w:r w:rsidR="00EF487C">
        <w:t> </w:t>
      </w:r>
      <w:r w:rsidR="00FF6F90">
        <w:t>niezamieszkałym), lub też stosowania klauzul społecznych przy realizacji przedsięwzięć w obszarze rewitalizacji, realizowanych przez inne podmioty, będzie możliwość zaangażowania podmiotów ekonomii społecznej lub też pracujących w nich osób - które dzięki uczestnictwu w różnych projektach aktywizujących, będą w stanie wykorzystać nabyte kwalifikacje zawodowe i zyskać (utrzymać) zatrudnienie.</w:t>
      </w:r>
    </w:p>
    <w:p w:rsidR="00F32CB0" w:rsidRPr="004C1180" w:rsidRDefault="00A27E00">
      <w:pPr>
        <w:ind w:firstLine="708"/>
        <w:jc w:val="both"/>
        <w:rPr>
          <w:rFonts w:ascii="Calibri" w:hAnsi="Calibri" w:cs="Calibri"/>
          <w:szCs w:val="20"/>
          <w:shd w:val="clear" w:color="auto" w:fill="FFFFFF"/>
        </w:rPr>
      </w:pPr>
      <w:r w:rsidRPr="004C1180">
        <w:rPr>
          <w:rFonts w:ascii="Calibri" w:hAnsi="Calibri" w:cs="Calibri"/>
          <w:szCs w:val="20"/>
        </w:rPr>
        <w:t xml:space="preserve">Analizując sytuację podmiotów ekonomii społecznej na terenie Bytomia skupiono się na tych faktycznie działających, których wkład w procesy rewitalizacyjne mógłby być wymierny i trwały. </w:t>
      </w:r>
      <w:r w:rsidR="00FB590F" w:rsidRPr="004C1180">
        <w:rPr>
          <w:rFonts w:ascii="Calibri" w:hAnsi="Calibri" w:cs="Calibri"/>
          <w:szCs w:val="20"/>
          <w:shd w:val="clear" w:color="auto" w:fill="FFFFFF"/>
        </w:rPr>
        <w:t>Na terenie</w:t>
      </w:r>
      <w:r w:rsidRPr="004C1180">
        <w:rPr>
          <w:rFonts w:ascii="Calibri" w:hAnsi="Calibri" w:cs="Calibri"/>
          <w:szCs w:val="20"/>
          <w:shd w:val="clear" w:color="auto" w:fill="FFFFFF"/>
        </w:rPr>
        <w:t xml:space="preserve"> miasta</w:t>
      </w:r>
      <w:r w:rsidR="004C1180" w:rsidRPr="004C1180">
        <w:rPr>
          <w:rFonts w:ascii="Calibri" w:hAnsi="Calibri" w:cs="Calibri"/>
          <w:szCs w:val="20"/>
          <w:shd w:val="clear" w:color="auto" w:fill="FFFFFF"/>
        </w:rPr>
        <w:t xml:space="preserve"> </w:t>
      </w:r>
      <w:r w:rsidR="00FB590F" w:rsidRPr="004C1180">
        <w:rPr>
          <w:rFonts w:ascii="Calibri" w:hAnsi="Calibri" w:cs="Calibri"/>
          <w:szCs w:val="20"/>
          <w:shd w:val="clear" w:color="auto" w:fill="FFFFFF"/>
        </w:rPr>
        <w:t>czynną działalność prowadzą następujące spółdzielnie socjalne o różnym profilu działania:</w:t>
      </w:r>
    </w:p>
    <w:p w:rsidR="00F32CB0" w:rsidRDefault="00F32CB0">
      <w:pPr>
        <w:ind w:firstLine="708"/>
        <w:jc w:val="both"/>
        <w:rPr>
          <w:rFonts w:ascii="Calibri" w:hAnsi="Calibri" w:cs="Calibri"/>
          <w:szCs w:val="20"/>
          <w:u w:val="single"/>
          <w:shd w:val="clear" w:color="auto" w:fill="FFFFFF"/>
        </w:rPr>
      </w:pPr>
    </w:p>
    <w:p w:rsidR="005260B6" w:rsidRPr="00AD7547" w:rsidRDefault="005260B6" w:rsidP="005260B6">
      <w:pPr>
        <w:jc w:val="both"/>
        <w:rPr>
          <w:rFonts w:ascii="Calibri" w:hAnsi="Calibri" w:cs="Calibri"/>
          <w:b/>
          <w:szCs w:val="20"/>
          <w:u w:val="single"/>
          <w:shd w:val="clear" w:color="auto" w:fill="FFFFFF"/>
        </w:rPr>
      </w:pPr>
      <w:r w:rsidRPr="00AD7547">
        <w:rPr>
          <w:rFonts w:ascii="Calibri" w:hAnsi="Calibri" w:cs="Calibri"/>
          <w:b/>
          <w:szCs w:val="20"/>
          <w:u w:val="single"/>
          <w:shd w:val="clear" w:color="auto" w:fill="FFFFFF"/>
        </w:rPr>
        <w:t>Bytomsko-Radzionkowska Spółdzielnia Socjalna, ul. Rynek 19</w:t>
      </w:r>
    </w:p>
    <w:p w:rsidR="005260B6" w:rsidRDefault="005260B6" w:rsidP="00457289">
      <w:pPr>
        <w:jc w:val="both"/>
        <w:rPr>
          <w:rFonts w:ascii="Calibri" w:hAnsi="Calibri" w:cs="Calibri"/>
          <w:szCs w:val="20"/>
          <w:shd w:val="clear" w:color="auto" w:fill="FFFFFF"/>
        </w:rPr>
      </w:pPr>
      <w:r>
        <w:rPr>
          <w:rFonts w:ascii="Calibri" w:hAnsi="Calibri" w:cs="Calibri"/>
          <w:szCs w:val="20"/>
        </w:rPr>
        <w:t>Powstała z inicjatywy gminy Bytom oraz gminy Radzionków. Siedziba BRSS znajduje się w Bytomiu</w:t>
      </w:r>
      <w:r w:rsidR="009C5EBF">
        <w:rPr>
          <w:rFonts w:ascii="Calibri" w:hAnsi="Calibri" w:cs="Calibri"/>
          <w:szCs w:val="20"/>
        </w:rPr>
        <w:t>,</w:t>
      </w:r>
      <w:r>
        <w:rPr>
          <w:rFonts w:ascii="Calibri" w:hAnsi="Calibri" w:cs="Calibri"/>
          <w:szCs w:val="20"/>
        </w:rPr>
        <w:t xml:space="preserve"> a</w:t>
      </w:r>
      <w:r w:rsidR="00457289">
        <w:rPr>
          <w:rFonts w:ascii="Calibri" w:hAnsi="Calibri" w:cs="Calibri"/>
          <w:szCs w:val="20"/>
        </w:rPr>
        <w:t> </w:t>
      </w:r>
      <w:r>
        <w:rPr>
          <w:rFonts w:ascii="Calibri" w:hAnsi="Calibri" w:cs="Calibri"/>
          <w:szCs w:val="20"/>
        </w:rPr>
        <w:t xml:space="preserve">zakres jej działalności obejmuje obie gminy założycielskie. Celem działalności BRSS jest odbudowa i umacnianie umiejętności uczestniczenia w życiu społecznym osób bezrobotnych oraz podnoszenie ich kwalifikacji zawodowych. Spółdzielnia zatrudnia 10 osób skierowanych przez Powiatowy Urząd Pracy w Bytomiu (stan na 18.10.2016 r.). </w:t>
      </w:r>
      <w:r>
        <w:rPr>
          <w:rFonts w:ascii="Calibri" w:hAnsi="Calibri" w:cs="Calibri"/>
          <w:szCs w:val="20"/>
          <w:shd w:val="clear" w:color="auto" w:fill="FFFFFF"/>
        </w:rPr>
        <w:t xml:space="preserve">Przedmiotem działalności BRSS są usługi związane z branżą budowlaną i pracami </w:t>
      </w:r>
      <w:r w:rsidRPr="00A7538A">
        <w:rPr>
          <w:rFonts w:ascii="Calibri" w:hAnsi="Calibri" w:cs="Calibri"/>
          <w:szCs w:val="20"/>
          <w:shd w:val="clear" w:color="auto" w:fill="FFFFFF"/>
        </w:rPr>
        <w:t>wykończeniowymi.</w:t>
      </w:r>
    </w:p>
    <w:p w:rsidR="00A7538A" w:rsidRDefault="00A7538A" w:rsidP="00457289">
      <w:pPr>
        <w:jc w:val="both"/>
        <w:rPr>
          <w:rFonts w:ascii="Calibri" w:hAnsi="Calibri" w:cs="Calibri"/>
          <w:szCs w:val="20"/>
          <w:shd w:val="clear" w:color="auto" w:fill="FFFFFF"/>
        </w:rPr>
      </w:pPr>
    </w:p>
    <w:p w:rsidR="004E6296" w:rsidRDefault="004E6296" w:rsidP="00457289">
      <w:pPr>
        <w:jc w:val="both"/>
        <w:rPr>
          <w:rFonts w:ascii="Calibri" w:hAnsi="Calibri" w:cs="Calibri"/>
          <w:szCs w:val="20"/>
          <w:shd w:val="clear" w:color="auto" w:fill="FFFFFF"/>
        </w:rPr>
      </w:pPr>
    </w:p>
    <w:p w:rsidR="00EF487C" w:rsidRPr="00A7538A" w:rsidRDefault="00EF487C" w:rsidP="00457289">
      <w:pPr>
        <w:jc w:val="both"/>
        <w:rPr>
          <w:rFonts w:ascii="Calibri" w:hAnsi="Calibri" w:cs="Calibri"/>
          <w:szCs w:val="20"/>
          <w:shd w:val="clear" w:color="auto" w:fill="FFFFFF"/>
        </w:rPr>
      </w:pPr>
    </w:p>
    <w:p w:rsidR="005260B6" w:rsidRPr="00415441" w:rsidRDefault="005260B6" w:rsidP="005260B6">
      <w:pPr>
        <w:jc w:val="both"/>
        <w:rPr>
          <w:rFonts w:ascii="Calibri" w:hAnsi="Calibri" w:cs="Calibri"/>
          <w:b/>
          <w:szCs w:val="20"/>
          <w:u w:val="single"/>
        </w:rPr>
      </w:pPr>
      <w:r w:rsidRPr="00A7538A">
        <w:rPr>
          <w:rFonts w:ascii="Calibri" w:hAnsi="Calibri" w:cs="Calibri"/>
          <w:b/>
          <w:i/>
          <w:iCs/>
          <w:szCs w:val="20"/>
          <w:u w:val="single"/>
        </w:rPr>
        <w:lastRenderedPageBreak/>
        <w:t xml:space="preserve">W&amp;TEAM </w:t>
      </w:r>
      <w:r w:rsidRPr="00A7538A">
        <w:rPr>
          <w:rFonts w:ascii="Calibri" w:hAnsi="Calibri" w:cs="Calibri"/>
          <w:b/>
          <w:szCs w:val="20"/>
          <w:u w:val="single"/>
        </w:rPr>
        <w:t>Spółdzielnia Socjalna, ul. Jagiellońska</w:t>
      </w:r>
      <w:r w:rsidR="00896BFA" w:rsidRPr="00A7538A">
        <w:rPr>
          <w:rFonts w:ascii="Calibri" w:hAnsi="Calibri" w:cs="Calibri"/>
          <w:b/>
          <w:szCs w:val="20"/>
          <w:u w:val="single"/>
        </w:rPr>
        <w:t xml:space="preserve"> </w:t>
      </w:r>
      <w:r w:rsidRPr="00A7538A">
        <w:rPr>
          <w:rFonts w:ascii="Calibri" w:hAnsi="Calibri" w:cs="Calibri"/>
          <w:b/>
          <w:szCs w:val="20"/>
          <w:u w:val="single"/>
        </w:rPr>
        <w:t>6/21</w:t>
      </w:r>
    </w:p>
    <w:p w:rsidR="005260B6" w:rsidRDefault="005260B6" w:rsidP="00457289">
      <w:pPr>
        <w:jc w:val="both"/>
        <w:rPr>
          <w:rFonts w:ascii="Calibri" w:hAnsi="Calibri" w:cs="Calibri"/>
          <w:b/>
          <w:bCs/>
          <w:szCs w:val="20"/>
        </w:rPr>
      </w:pPr>
      <w:r>
        <w:rPr>
          <w:rFonts w:ascii="Calibri" w:hAnsi="Calibri" w:cs="Calibri"/>
          <w:szCs w:val="20"/>
        </w:rPr>
        <w:t xml:space="preserve">Została założona przez 5 osób (w tym 4 bezrobotne). </w:t>
      </w:r>
      <w:r w:rsidR="00DC642C">
        <w:rPr>
          <w:rFonts w:ascii="Calibri" w:hAnsi="Calibri" w:cs="Calibri"/>
          <w:szCs w:val="20"/>
        </w:rPr>
        <w:t>R</w:t>
      </w:r>
      <w:r>
        <w:rPr>
          <w:rFonts w:ascii="Calibri" w:hAnsi="Calibri" w:cs="Calibri"/>
          <w:szCs w:val="20"/>
        </w:rPr>
        <w:t>ozpoczęła działalność w 2011 r. Jest wspierana merytorycznie przez Fundację Gaudette, przy wykorzystaniu wsparcia finansowego PUP BYTOM. Produkuje kostiumy baletowe, stroje sceniczne i gimnastyczne. Świadczy usługi dla lokalnej ludności z zakresu krawiectwa. Jej odbiorcami są szkoły baletowe i muzyczne, domy kultury, fundacje i organizacje społeczne w całej Polsce. Współpracuje z MOPR w Bytomiu prowadząc nieodpłatnie spotkania w ramach Klubu Integracji Społecznej, gdzie rozpowszechnia wiedzę o spółdzielczości.</w:t>
      </w:r>
      <w:r>
        <w:rPr>
          <w:rFonts w:ascii="Calibri" w:hAnsi="Calibri" w:cs="Calibri"/>
          <w:b/>
          <w:bCs/>
          <w:szCs w:val="20"/>
        </w:rPr>
        <w:t xml:space="preserve"> </w:t>
      </w:r>
    </w:p>
    <w:p w:rsidR="00FF6F90" w:rsidRPr="00F41408" w:rsidRDefault="00FF6F90" w:rsidP="005260B6">
      <w:pPr>
        <w:jc w:val="both"/>
        <w:rPr>
          <w:rFonts w:ascii="Calibri" w:hAnsi="Calibri" w:cs="Calibri"/>
          <w:b/>
          <w:bCs/>
          <w:sz w:val="12"/>
          <w:szCs w:val="20"/>
        </w:rPr>
      </w:pPr>
    </w:p>
    <w:p w:rsidR="005260B6" w:rsidRPr="00415441" w:rsidRDefault="005260B6" w:rsidP="005260B6">
      <w:pPr>
        <w:pStyle w:val="Tekstpodstawowy2"/>
        <w:rPr>
          <w:b/>
          <w:color w:val="141823"/>
          <w:szCs w:val="20"/>
          <w:u w:val="single"/>
        </w:rPr>
      </w:pPr>
      <w:r w:rsidRPr="00415441">
        <w:rPr>
          <w:b/>
          <w:szCs w:val="20"/>
          <w:u w:val="single"/>
        </w:rPr>
        <w:t xml:space="preserve">„FAJNA” Spółdzielnia Socjalna, Oddział  w Bytomiu: </w:t>
      </w:r>
      <w:r w:rsidRPr="00415441">
        <w:rPr>
          <w:b/>
          <w:color w:val="141823"/>
          <w:szCs w:val="20"/>
          <w:u w:val="single"/>
        </w:rPr>
        <w:t>Rynek 26/5</w:t>
      </w:r>
    </w:p>
    <w:p w:rsidR="005260B6" w:rsidRDefault="00415441" w:rsidP="00457289">
      <w:pPr>
        <w:jc w:val="both"/>
        <w:rPr>
          <w:szCs w:val="20"/>
        </w:rPr>
      </w:pPr>
      <w:r>
        <w:rPr>
          <w:szCs w:val="20"/>
        </w:rPr>
        <w:t xml:space="preserve"> </w:t>
      </w:r>
      <w:r w:rsidRPr="00415441">
        <w:rPr>
          <w:szCs w:val="20"/>
        </w:rPr>
        <w:t>Działalność ponadnarodowego przedsiębiorstwa społecznego skupia się przede wszystkim na przeciwdziałaniu wykluczeniu społecznemu osób bezrobotnych z niepełnosprawnościami. Spółdzielnia działa w</w:t>
      </w:r>
      <w:r w:rsidR="00DD467C">
        <w:rPr>
          <w:szCs w:val="20"/>
        </w:rPr>
        <w:t> </w:t>
      </w:r>
      <w:r w:rsidRPr="00415441">
        <w:rPr>
          <w:szCs w:val="20"/>
        </w:rPr>
        <w:t>oparciu o</w:t>
      </w:r>
      <w:r w:rsidR="00457289">
        <w:rPr>
          <w:szCs w:val="20"/>
        </w:rPr>
        <w:t> </w:t>
      </w:r>
      <w:r w:rsidRPr="00415441">
        <w:rPr>
          <w:szCs w:val="20"/>
        </w:rPr>
        <w:t>wieloletnie porozumienia o współpracy z wieloma instytucjami i firmami. Prowadzi zdywersyfikowaną działalność gospodarczą opartą o produkcję, handel i usługi, obejmującą produkcję naturalnego mydła, organizację warsztatów wyrabiania mydeł metodami tradycyjnymi, wytwarzanie elementów małej architektury miejskiej, ogrodowej i parkowej, organizację szkoleń i warsztatów, wsparcie i</w:t>
      </w:r>
      <w:r w:rsidR="00DD467C">
        <w:rPr>
          <w:szCs w:val="20"/>
        </w:rPr>
        <w:t> </w:t>
      </w:r>
      <w:r w:rsidRPr="00415441">
        <w:rPr>
          <w:szCs w:val="20"/>
        </w:rPr>
        <w:t>koordynowanie działań rewitalizacji obszarów zdegradowanych, świadczenie usług projektowania wnętrz i</w:t>
      </w:r>
      <w:r w:rsidR="00DD467C">
        <w:rPr>
          <w:szCs w:val="20"/>
        </w:rPr>
        <w:t> </w:t>
      </w:r>
      <w:r w:rsidRPr="00415441">
        <w:rPr>
          <w:szCs w:val="20"/>
        </w:rPr>
        <w:t>przestrzeni.</w:t>
      </w:r>
    </w:p>
    <w:p w:rsidR="004F5A39" w:rsidRPr="00F41408" w:rsidRDefault="004F5A39" w:rsidP="005260B6">
      <w:pPr>
        <w:ind w:firstLine="709"/>
        <w:jc w:val="both"/>
        <w:rPr>
          <w:rFonts w:ascii="Calibri" w:hAnsi="Calibri" w:cs="Calibri"/>
          <w:sz w:val="10"/>
          <w:szCs w:val="20"/>
        </w:rPr>
      </w:pPr>
    </w:p>
    <w:p w:rsidR="005260B6" w:rsidRDefault="005260B6" w:rsidP="005260B6">
      <w:pPr>
        <w:ind w:firstLine="709"/>
        <w:jc w:val="both"/>
        <w:rPr>
          <w:rFonts w:ascii="Calibri" w:hAnsi="Calibri" w:cs="Calibri"/>
          <w:szCs w:val="20"/>
        </w:rPr>
      </w:pPr>
      <w:r>
        <w:rPr>
          <w:rFonts w:ascii="Calibri" w:hAnsi="Calibri" w:cs="Calibri"/>
          <w:szCs w:val="20"/>
        </w:rPr>
        <w:t xml:space="preserve">Stanowią one właściwą formą wspierania zatrudnienia dla osób przeżywających rozmaite trudności życiowe, czy przebywających w środowiskach obarczonych dysfunkcjami. Są odpowiedzią na wiele sformułowanych w diagnozie problemów. Dlatego w ramach programu rewitalizacji należy stworzyć warunki do zwiększenia ich liczebności i zasięgu działania. </w:t>
      </w:r>
    </w:p>
    <w:p w:rsidR="00D83561" w:rsidRPr="00D83561" w:rsidRDefault="00D83561" w:rsidP="00D83561">
      <w:pPr>
        <w:ind w:firstLine="708"/>
        <w:jc w:val="both"/>
        <w:rPr>
          <w:rFonts w:cstheme="minorHAnsi"/>
          <w:b/>
          <w:color w:val="C00000"/>
          <w:szCs w:val="20"/>
        </w:rPr>
      </w:pPr>
      <w:r w:rsidRPr="004E5D27">
        <w:rPr>
          <w:rFonts w:cstheme="minorHAnsi"/>
          <w:szCs w:val="20"/>
        </w:rPr>
        <w:t>W kontekście przeciwdziałania wykluczeniu społecznemu z przyczyn długotrwałego bezrobocia, czy też znacznego oddalenia od rynku pracy, a także specyficznych czynników określających sytuację na r</w:t>
      </w:r>
      <w:r>
        <w:rPr>
          <w:rFonts w:cstheme="minorHAnsi"/>
          <w:szCs w:val="20"/>
        </w:rPr>
        <w:t xml:space="preserve">ynku pracy, np. </w:t>
      </w:r>
      <w:r w:rsidRPr="004E5D27">
        <w:rPr>
          <w:rFonts w:cstheme="minorHAnsi"/>
          <w:szCs w:val="20"/>
        </w:rPr>
        <w:t>niepełnosprawność</w:t>
      </w:r>
      <w:r>
        <w:rPr>
          <w:rFonts w:cstheme="minorHAnsi"/>
          <w:szCs w:val="20"/>
        </w:rPr>
        <w:t>,</w:t>
      </w:r>
      <w:r w:rsidRPr="004E5D27">
        <w:rPr>
          <w:rFonts w:cstheme="minorHAnsi"/>
          <w:szCs w:val="20"/>
        </w:rPr>
        <w:t xml:space="preserve"> należy podkreślić znaczenie rozwoju usług świadczonych przez podmioty reintegracji, zwłaszcza Centra Integracji Społecznej, czy też Kluby Integracji Społecznej.  Podstawowy potencjał usług reintegracji świadczonych przez działający w Bytomiu KIS (w strukturach MOPR) i CIS (odrębna jednostka miejska) jest zlokalizowany na obszarze rewitalizacji. Liczba dostępnych miejsc wynosi odpowiednio 24 w KIS i</w:t>
      </w:r>
      <w:r>
        <w:rPr>
          <w:rFonts w:cstheme="minorHAnsi"/>
          <w:szCs w:val="20"/>
        </w:rPr>
        <w:t> </w:t>
      </w:r>
      <w:r w:rsidRPr="004E5D27">
        <w:rPr>
          <w:rFonts w:cstheme="minorHAnsi"/>
          <w:szCs w:val="20"/>
        </w:rPr>
        <w:t xml:space="preserve">50 miejsc w 5 pracowniach CIS. Obydwa podmioty na dzień dzisiejszy swoje wsparcie kierują do mieszkańców całego miasta. </w:t>
      </w:r>
      <w:r w:rsidRPr="00D83561">
        <w:rPr>
          <w:rFonts w:cstheme="minorHAnsi"/>
          <w:b/>
          <w:color w:val="C00000"/>
          <w:szCs w:val="20"/>
        </w:rPr>
        <w:t xml:space="preserve">Natomiast z uwagi na przytoczone wyniki diagnozy pogłębionej na obszarze rewitalizacji, zwłaszcza liczbę osób będących bezrobotnymi przez co najmniej 12 miesięcy (50% osób bezrobotnych zamieszkujących obszar rewitalizacji), niezbędne jest odpowiednie ukierunkowanie i dalszy rozwój istniejących podmiotów reintegracji, a także tworzenie nowych. </w:t>
      </w:r>
    </w:p>
    <w:p w:rsidR="005260B6" w:rsidRDefault="005260B6" w:rsidP="00336D80">
      <w:pPr>
        <w:jc w:val="both"/>
        <w:rPr>
          <w:rFonts w:cstheme="minorHAnsi"/>
          <w:szCs w:val="20"/>
        </w:rPr>
      </w:pPr>
    </w:p>
    <w:p w:rsidR="00336D80" w:rsidRDefault="00336D80" w:rsidP="00336D80">
      <w:pPr>
        <w:pStyle w:val="Legenda"/>
        <w:spacing w:line="312" w:lineRule="auto"/>
        <w:rPr>
          <w:rFonts w:ascii="Calibri" w:hAnsi="Calibri" w:cs="Calibri"/>
        </w:rPr>
      </w:pPr>
      <w:bookmarkStart w:id="4051" w:name="_Toc202771102"/>
      <w:r>
        <w:rPr>
          <w:rFonts w:ascii="Calibri" w:hAnsi="Calibri" w:cs="Calibri"/>
        </w:rPr>
        <w:t xml:space="preserve">Tabela </w:t>
      </w:r>
      <w:r w:rsidR="003972D8">
        <w:rPr>
          <w:rFonts w:ascii="Calibri" w:hAnsi="Calibri" w:cs="Calibri"/>
        </w:rPr>
        <w:fldChar w:fldCharType="begin"/>
      </w:r>
      <w:r>
        <w:rPr>
          <w:rFonts w:ascii="Calibri" w:hAnsi="Calibri" w:cs="Calibri"/>
        </w:rPr>
        <w:instrText xml:space="preserve"> SEQ Tabela \* ARABIC </w:instrText>
      </w:r>
      <w:r w:rsidR="003972D8">
        <w:rPr>
          <w:rFonts w:ascii="Calibri" w:hAnsi="Calibri" w:cs="Calibri"/>
        </w:rPr>
        <w:fldChar w:fldCharType="separate"/>
      </w:r>
      <w:r w:rsidR="00413FFE">
        <w:rPr>
          <w:rFonts w:ascii="Calibri" w:hAnsi="Calibri" w:cs="Calibri"/>
          <w:noProof/>
        </w:rPr>
        <w:t>8</w:t>
      </w:r>
      <w:r w:rsidR="003972D8">
        <w:rPr>
          <w:rFonts w:ascii="Calibri" w:hAnsi="Calibri" w:cs="Calibri"/>
        </w:rPr>
        <w:fldChar w:fldCharType="end"/>
      </w:r>
      <w:r>
        <w:rPr>
          <w:rFonts w:ascii="Calibri" w:hAnsi="Calibri" w:cs="Calibri"/>
        </w:rPr>
        <w:t>. Charakterystyka bezrobocia w podobszarach rewitalizacji</w:t>
      </w:r>
      <w:bookmarkEnd w:id="4051"/>
      <w:r>
        <w:rPr>
          <w:rFonts w:ascii="Calibri" w:hAnsi="Calibri" w:cs="Calibri"/>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338"/>
        <w:gridCol w:w="993"/>
        <w:gridCol w:w="1257"/>
        <w:gridCol w:w="1345"/>
        <w:gridCol w:w="1334"/>
        <w:gridCol w:w="813"/>
        <w:gridCol w:w="1130"/>
      </w:tblGrid>
      <w:tr w:rsidR="00461CA5" w:rsidRPr="00EB4203" w:rsidTr="008F7067">
        <w:trPr>
          <w:cantSplit/>
        </w:trPr>
        <w:tc>
          <w:tcPr>
            <w:tcW w:w="2338" w:type="dxa"/>
            <w:vMerge w:val="restart"/>
            <w:shd w:val="clear" w:color="auto" w:fill="99CCFF"/>
            <w:vAlign w:val="center"/>
          </w:tcPr>
          <w:p w:rsidR="00461CA5" w:rsidRPr="00461CA5" w:rsidRDefault="00461CA5" w:rsidP="00461CA5">
            <w:pPr>
              <w:jc w:val="center"/>
              <w:rPr>
                <w:rFonts w:eastAsiaTheme="minorEastAsia" w:cstheme="minorHAnsi"/>
                <w:b/>
                <w:szCs w:val="20"/>
              </w:rPr>
            </w:pPr>
            <w:r w:rsidRPr="00461CA5">
              <w:rPr>
                <w:rFonts w:eastAsiaTheme="minorEastAsia" w:cstheme="minorHAnsi"/>
                <w:b/>
                <w:szCs w:val="20"/>
              </w:rPr>
              <w:t>Wskaźnik</w:t>
            </w:r>
          </w:p>
        </w:tc>
        <w:tc>
          <w:tcPr>
            <w:tcW w:w="6872" w:type="dxa"/>
            <w:gridSpan w:val="6"/>
            <w:shd w:val="clear" w:color="auto" w:fill="99CCFF"/>
            <w:vAlign w:val="center"/>
          </w:tcPr>
          <w:p w:rsidR="00461CA5" w:rsidRPr="00461CA5" w:rsidRDefault="00461CA5" w:rsidP="00CB1CE0">
            <w:pPr>
              <w:spacing w:before="40" w:after="40"/>
              <w:jc w:val="center"/>
              <w:rPr>
                <w:rFonts w:eastAsiaTheme="minorEastAsia" w:cstheme="minorHAnsi"/>
                <w:b/>
                <w:szCs w:val="20"/>
              </w:rPr>
            </w:pPr>
            <w:r w:rsidRPr="00461CA5">
              <w:rPr>
                <w:rFonts w:eastAsiaTheme="minorEastAsia" w:cstheme="minorHAnsi"/>
                <w:b/>
                <w:szCs w:val="20"/>
              </w:rPr>
              <w:t>OBSZARY REWITALIZACJI</w:t>
            </w:r>
          </w:p>
        </w:tc>
      </w:tr>
      <w:tr w:rsidR="00461CA5" w:rsidRPr="00EB4203" w:rsidTr="008F7067">
        <w:trPr>
          <w:cantSplit/>
        </w:trPr>
        <w:tc>
          <w:tcPr>
            <w:tcW w:w="2338" w:type="dxa"/>
            <w:vMerge/>
            <w:shd w:val="clear" w:color="auto" w:fill="99CCFF"/>
            <w:vAlign w:val="center"/>
          </w:tcPr>
          <w:p w:rsidR="00461CA5" w:rsidRPr="00461CA5" w:rsidRDefault="00461CA5" w:rsidP="00461CA5">
            <w:pPr>
              <w:jc w:val="center"/>
              <w:rPr>
                <w:rFonts w:eastAsiaTheme="minorEastAsia" w:cstheme="minorHAnsi"/>
                <w:b/>
                <w:szCs w:val="20"/>
              </w:rPr>
            </w:pPr>
          </w:p>
        </w:tc>
        <w:tc>
          <w:tcPr>
            <w:tcW w:w="993" w:type="dxa"/>
            <w:shd w:val="clear" w:color="auto" w:fill="99CCFF"/>
            <w:vAlign w:val="center"/>
          </w:tcPr>
          <w:p w:rsidR="00461CA5" w:rsidRPr="00461CA5" w:rsidRDefault="00461CA5" w:rsidP="00461CA5">
            <w:pPr>
              <w:jc w:val="center"/>
              <w:rPr>
                <w:rFonts w:eastAsiaTheme="minorEastAsia" w:cstheme="minorHAnsi"/>
                <w:b/>
                <w:szCs w:val="20"/>
              </w:rPr>
            </w:pPr>
            <w:r w:rsidRPr="00461CA5">
              <w:rPr>
                <w:rFonts w:eastAsiaTheme="minorEastAsia" w:cstheme="minorHAnsi"/>
                <w:b/>
                <w:szCs w:val="20"/>
              </w:rPr>
              <w:t>Bobrek</w:t>
            </w:r>
          </w:p>
        </w:tc>
        <w:tc>
          <w:tcPr>
            <w:tcW w:w="1257" w:type="dxa"/>
            <w:shd w:val="clear" w:color="auto" w:fill="99CCFF"/>
            <w:vAlign w:val="center"/>
          </w:tcPr>
          <w:p w:rsidR="00461CA5" w:rsidRPr="00461CA5" w:rsidRDefault="00461CA5" w:rsidP="00461CA5">
            <w:pPr>
              <w:jc w:val="center"/>
              <w:rPr>
                <w:rFonts w:eastAsiaTheme="minorEastAsia" w:cstheme="minorHAnsi"/>
                <w:b/>
                <w:szCs w:val="20"/>
              </w:rPr>
            </w:pPr>
            <w:r w:rsidRPr="00461CA5">
              <w:rPr>
                <w:rFonts w:eastAsiaTheme="minorEastAsia" w:cstheme="minorHAnsi"/>
                <w:b/>
                <w:szCs w:val="20"/>
              </w:rPr>
              <w:t>Śródmieście</w:t>
            </w:r>
          </w:p>
        </w:tc>
        <w:tc>
          <w:tcPr>
            <w:tcW w:w="0" w:type="auto"/>
            <w:shd w:val="clear" w:color="auto" w:fill="99CCFF"/>
            <w:vAlign w:val="center"/>
          </w:tcPr>
          <w:p w:rsidR="00461CA5" w:rsidRPr="00461CA5" w:rsidRDefault="00461CA5" w:rsidP="00461CA5">
            <w:pPr>
              <w:jc w:val="center"/>
              <w:rPr>
                <w:rFonts w:eastAsiaTheme="minorEastAsia" w:cstheme="minorHAnsi"/>
                <w:b/>
                <w:szCs w:val="20"/>
              </w:rPr>
            </w:pPr>
            <w:r w:rsidRPr="00461CA5">
              <w:rPr>
                <w:rFonts w:eastAsiaTheme="minorEastAsia" w:cstheme="minorHAnsi"/>
                <w:b/>
                <w:szCs w:val="20"/>
              </w:rPr>
              <w:t>Śródmieście Zachód</w:t>
            </w:r>
          </w:p>
        </w:tc>
        <w:tc>
          <w:tcPr>
            <w:tcW w:w="0" w:type="auto"/>
            <w:shd w:val="clear" w:color="auto" w:fill="99CCFF"/>
            <w:vAlign w:val="center"/>
          </w:tcPr>
          <w:p w:rsidR="00461CA5" w:rsidRPr="00461CA5" w:rsidRDefault="00461CA5" w:rsidP="00461CA5">
            <w:pPr>
              <w:jc w:val="center"/>
              <w:rPr>
                <w:rFonts w:eastAsiaTheme="minorEastAsia" w:cstheme="minorHAnsi"/>
                <w:b/>
                <w:szCs w:val="20"/>
              </w:rPr>
            </w:pPr>
            <w:r w:rsidRPr="00461CA5">
              <w:rPr>
                <w:rFonts w:eastAsiaTheme="minorEastAsia" w:cstheme="minorHAnsi"/>
                <w:b/>
                <w:szCs w:val="20"/>
              </w:rPr>
              <w:t>Śródmieście Północ</w:t>
            </w:r>
          </w:p>
        </w:tc>
        <w:tc>
          <w:tcPr>
            <w:tcW w:w="0" w:type="auto"/>
            <w:shd w:val="clear" w:color="auto" w:fill="99CCFF"/>
            <w:vAlign w:val="center"/>
          </w:tcPr>
          <w:p w:rsidR="00461CA5" w:rsidRPr="00461CA5" w:rsidRDefault="00461CA5" w:rsidP="00461CA5">
            <w:pPr>
              <w:jc w:val="center"/>
              <w:rPr>
                <w:rFonts w:eastAsiaTheme="minorEastAsia" w:cstheme="minorHAnsi"/>
                <w:b/>
                <w:szCs w:val="20"/>
              </w:rPr>
            </w:pPr>
            <w:r w:rsidRPr="00461CA5">
              <w:rPr>
                <w:rFonts w:eastAsiaTheme="minorEastAsia" w:cstheme="minorHAnsi"/>
                <w:b/>
                <w:szCs w:val="20"/>
              </w:rPr>
              <w:t>Rozbark</w:t>
            </w:r>
          </w:p>
        </w:tc>
        <w:tc>
          <w:tcPr>
            <w:tcW w:w="0" w:type="auto"/>
            <w:shd w:val="clear" w:color="auto" w:fill="99CCFF"/>
            <w:vAlign w:val="center"/>
          </w:tcPr>
          <w:p w:rsidR="00461CA5" w:rsidRPr="00461CA5" w:rsidRDefault="00461CA5" w:rsidP="00461CA5">
            <w:pPr>
              <w:jc w:val="center"/>
              <w:rPr>
                <w:rFonts w:eastAsiaTheme="minorEastAsia" w:cstheme="minorHAnsi"/>
                <w:b/>
                <w:szCs w:val="20"/>
              </w:rPr>
            </w:pPr>
            <w:r w:rsidRPr="00461CA5">
              <w:rPr>
                <w:rFonts w:eastAsiaTheme="minorEastAsia" w:cstheme="minorHAnsi"/>
                <w:b/>
                <w:szCs w:val="20"/>
              </w:rPr>
              <w:t>Kolonia Zgorzelec</w:t>
            </w:r>
          </w:p>
        </w:tc>
      </w:tr>
      <w:tr w:rsidR="00461CA5" w:rsidRPr="00EB4203" w:rsidTr="008F7067">
        <w:tc>
          <w:tcPr>
            <w:tcW w:w="2338" w:type="dxa"/>
          </w:tcPr>
          <w:p w:rsidR="00461CA5" w:rsidRPr="00EB4203" w:rsidRDefault="00461CA5" w:rsidP="004E72C4">
            <w:pPr>
              <w:rPr>
                <w:rFonts w:eastAsiaTheme="minorEastAsia" w:cstheme="minorHAnsi"/>
                <w:szCs w:val="20"/>
              </w:rPr>
            </w:pPr>
            <w:r w:rsidRPr="00EB4203">
              <w:rPr>
                <w:rFonts w:eastAsiaTheme="minorEastAsia" w:cstheme="minorHAnsi"/>
                <w:szCs w:val="20"/>
              </w:rPr>
              <w:t>Liczba osób bezrobotnych</w:t>
            </w:r>
          </w:p>
        </w:tc>
        <w:tc>
          <w:tcPr>
            <w:tcW w:w="993" w:type="dxa"/>
            <w:vAlign w:val="center"/>
          </w:tcPr>
          <w:p w:rsidR="00461CA5" w:rsidRPr="001B0572" w:rsidRDefault="00461CA5" w:rsidP="00A649A2">
            <w:pPr>
              <w:jc w:val="center"/>
              <w:rPr>
                <w:rFonts w:eastAsiaTheme="minorEastAsia" w:cstheme="minorHAnsi"/>
                <w:szCs w:val="20"/>
              </w:rPr>
            </w:pPr>
            <w:r w:rsidRPr="001B0572">
              <w:rPr>
                <w:rFonts w:eastAsiaTheme="minorEastAsia" w:cstheme="minorHAnsi"/>
                <w:szCs w:val="20"/>
              </w:rPr>
              <w:t>688</w:t>
            </w:r>
          </w:p>
        </w:tc>
        <w:tc>
          <w:tcPr>
            <w:tcW w:w="1257" w:type="dxa"/>
            <w:vAlign w:val="center"/>
          </w:tcPr>
          <w:p w:rsidR="00461CA5" w:rsidRPr="001B0572" w:rsidRDefault="00461CA5" w:rsidP="00A649A2">
            <w:pPr>
              <w:jc w:val="center"/>
              <w:rPr>
                <w:rFonts w:eastAsiaTheme="minorEastAsia" w:cstheme="minorHAnsi"/>
                <w:szCs w:val="20"/>
              </w:rPr>
            </w:pPr>
            <w:r w:rsidRPr="001B0572">
              <w:rPr>
                <w:rFonts w:eastAsiaTheme="minorEastAsia" w:cstheme="minorHAnsi"/>
                <w:szCs w:val="20"/>
              </w:rPr>
              <w:t>1267</w:t>
            </w:r>
          </w:p>
        </w:tc>
        <w:tc>
          <w:tcPr>
            <w:tcW w:w="0" w:type="auto"/>
            <w:vAlign w:val="center"/>
          </w:tcPr>
          <w:p w:rsidR="00461CA5" w:rsidRPr="001B0572" w:rsidRDefault="00461CA5" w:rsidP="00A649A2">
            <w:pPr>
              <w:jc w:val="center"/>
              <w:rPr>
                <w:rFonts w:eastAsiaTheme="minorEastAsia" w:cstheme="minorHAnsi"/>
                <w:szCs w:val="20"/>
              </w:rPr>
            </w:pPr>
            <w:r w:rsidRPr="001B0572">
              <w:rPr>
                <w:rFonts w:eastAsiaTheme="minorEastAsia" w:cstheme="minorHAnsi"/>
                <w:szCs w:val="20"/>
              </w:rPr>
              <w:t>505</w:t>
            </w:r>
          </w:p>
        </w:tc>
        <w:tc>
          <w:tcPr>
            <w:tcW w:w="0" w:type="auto"/>
            <w:vAlign w:val="center"/>
          </w:tcPr>
          <w:p w:rsidR="00461CA5" w:rsidRPr="001B0572" w:rsidRDefault="00461CA5" w:rsidP="00A649A2">
            <w:pPr>
              <w:jc w:val="center"/>
              <w:rPr>
                <w:rFonts w:eastAsiaTheme="minorEastAsia" w:cstheme="minorHAnsi"/>
                <w:szCs w:val="20"/>
              </w:rPr>
            </w:pPr>
            <w:r w:rsidRPr="001B0572">
              <w:rPr>
                <w:rFonts w:eastAsiaTheme="minorEastAsia" w:cstheme="minorHAnsi"/>
                <w:szCs w:val="20"/>
              </w:rPr>
              <w:t>793</w:t>
            </w:r>
          </w:p>
        </w:tc>
        <w:tc>
          <w:tcPr>
            <w:tcW w:w="0" w:type="auto"/>
            <w:vAlign w:val="center"/>
          </w:tcPr>
          <w:p w:rsidR="00461CA5" w:rsidRPr="001B0572" w:rsidRDefault="00461CA5" w:rsidP="00A649A2">
            <w:pPr>
              <w:jc w:val="center"/>
              <w:rPr>
                <w:rFonts w:eastAsiaTheme="minorEastAsia" w:cstheme="minorHAnsi"/>
                <w:szCs w:val="20"/>
              </w:rPr>
            </w:pPr>
            <w:r w:rsidRPr="001B0572">
              <w:rPr>
                <w:rFonts w:eastAsiaTheme="minorEastAsia" w:cstheme="minorHAnsi"/>
                <w:szCs w:val="20"/>
              </w:rPr>
              <w:t>832</w:t>
            </w:r>
          </w:p>
        </w:tc>
        <w:tc>
          <w:tcPr>
            <w:tcW w:w="0" w:type="auto"/>
            <w:vAlign w:val="center"/>
          </w:tcPr>
          <w:p w:rsidR="00461CA5" w:rsidRPr="001B0572" w:rsidRDefault="00461CA5" w:rsidP="00A649A2">
            <w:pPr>
              <w:jc w:val="center"/>
              <w:rPr>
                <w:rFonts w:eastAsiaTheme="minorEastAsia" w:cstheme="minorHAnsi"/>
                <w:szCs w:val="20"/>
              </w:rPr>
            </w:pPr>
            <w:r w:rsidRPr="001B0572">
              <w:rPr>
                <w:rFonts w:eastAsiaTheme="minorEastAsia" w:cstheme="minorHAnsi"/>
                <w:szCs w:val="20"/>
              </w:rPr>
              <w:t>20</w:t>
            </w:r>
          </w:p>
        </w:tc>
      </w:tr>
      <w:tr w:rsidR="00461CA5" w:rsidRPr="00EB4203" w:rsidTr="008F7067">
        <w:tc>
          <w:tcPr>
            <w:tcW w:w="2338" w:type="dxa"/>
          </w:tcPr>
          <w:p w:rsidR="00461CA5" w:rsidRPr="00EB4203" w:rsidRDefault="00461CA5" w:rsidP="00F41408">
            <w:pPr>
              <w:spacing w:line="228" w:lineRule="auto"/>
              <w:rPr>
                <w:rFonts w:eastAsiaTheme="minorEastAsia" w:cstheme="minorHAnsi"/>
                <w:szCs w:val="20"/>
              </w:rPr>
            </w:pPr>
            <w:r w:rsidRPr="00EB4203">
              <w:rPr>
                <w:rFonts w:eastAsiaTheme="minorEastAsia" w:cstheme="minorHAnsi"/>
                <w:szCs w:val="20"/>
              </w:rPr>
              <w:t>Udział osób bezrobotnych w</w:t>
            </w:r>
            <w:r w:rsidR="008F7067">
              <w:rPr>
                <w:rFonts w:eastAsiaTheme="minorEastAsia" w:cstheme="minorHAnsi"/>
                <w:szCs w:val="20"/>
              </w:rPr>
              <w:t> </w:t>
            </w:r>
            <w:r w:rsidRPr="00EB4203">
              <w:rPr>
                <w:rFonts w:eastAsiaTheme="minorEastAsia" w:cstheme="minorHAnsi"/>
                <w:szCs w:val="20"/>
              </w:rPr>
              <w:t>populacji osób w wieku produkcyjnym</w:t>
            </w:r>
          </w:p>
        </w:tc>
        <w:tc>
          <w:tcPr>
            <w:tcW w:w="993" w:type="dxa"/>
            <w:vAlign w:val="center"/>
          </w:tcPr>
          <w:p w:rsidR="00461CA5" w:rsidRPr="001B0572" w:rsidRDefault="00461CA5" w:rsidP="00A649A2">
            <w:pPr>
              <w:jc w:val="center"/>
              <w:rPr>
                <w:rFonts w:eastAsiaTheme="minorEastAsia" w:cstheme="minorHAnsi"/>
                <w:szCs w:val="20"/>
              </w:rPr>
            </w:pPr>
            <w:r w:rsidRPr="001B0572">
              <w:rPr>
                <w:rFonts w:eastAsiaTheme="minorEastAsia" w:cstheme="minorHAnsi"/>
                <w:szCs w:val="20"/>
              </w:rPr>
              <w:t>22%</w:t>
            </w:r>
          </w:p>
        </w:tc>
        <w:tc>
          <w:tcPr>
            <w:tcW w:w="1257" w:type="dxa"/>
            <w:vAlign w:val="center"/>
          </w:tcPr>
          <w:p w:rsidR="00461CA5" w:rsidRPr="001B0572" w:rsidRDefault="00461CA5" w:rsidP="00A649A2">
            <w:pPr>
              <w:jc w:val="center"/>
              <w:rPr>
                <w:rFonts w:eastAsiaTheme="minorEastAsia" w:cstheme="minorHAnsi"/>
                <w:szCs w:val="20"/>
              </w:rPr>
            </w:pPr>
            <w:r w:rsidRPr="001B0572">
              <w:rPr>
                <w:rFonts w:eastAsiaTheme="minorEastAsia" w:cstheme="minorHAnsi"/>
                <w:szCs w:val="20"/>
              </w:rPr>
              <w:t>15%</w:t>
            </w:r>
          </w:p>
        </w:tc>
        <w:tc>
          <w:tcPr>
            <w:tcW w:w="0" w:type="auto"/>
            <w:vAlign w:val="center"/>
          </w:tcPr>
          <w:p w:rsidR="00461CA5" w:rsidRPr="001B0572" w:rsidRDefault="00461CA5" w:rsidP="00A649A2">
            <w:pPr>
              <w:jc w:val="center"/>
              <w:rPr>
                <w:rFonts w:eastAsiaTheme="minorEastAsia" w:cstheme="minorHAnsi"/>
                <w:szCs w:val="20"/>
              </w:rPr>
            </w:pPr>
            <w:r w:rsidRPr="001B0572">
              <w:rPr>
                <w:rFonts w:eastAsiaTheme="minorEastAsia" w:cstheme="minorHAnsi"/>
                <w:szCs w:val="20"/>
              </w:rPr>
              <w:t>9%</w:t>
            </w:r>
          </w:p>
        </w:tc>
        <w:tc>
          <w:tcPr>
            <w:tcW w:w="0" w:type="auto"/>
            <w:vAlign w:val="center"/>
          </w:tcPr>
          <w:p w:rsidR="00461CA5" w:rsidRPr="001B0572" w:rsidRDefault="00461CA5" w:rsidP="00A649A2">
            <w:pPr>
              <w:jc w:val="center"/>
              <w:rPr>
                <w:rFonts w:eastAsiaTheme="minorEastAsia" w:cstheme="minorHAnsi"/>
                <w:szCs w:val="20"/>
              </w:rPr>
            </w:pPr>
            <w:r w:rsidRPr="001B0572">
              <w:rPr>
                <w:rFonts w:eastAsiaTheme="minorEastAsia" w:cstheme="minorHAnsi"/>
                <w:szCs w:val="20"/>
              </w:rPr>
              <w:t>11%</w:t>
            </w:r>
          </w:p>
        </w:tc>
        <w:tc>
          <w:tcPr>
            <w:tcW w:w="0" w:type="auto"/>
            <w:vAlign w:val="center"/>
          </w:tcPr>
          <w:p w:rsidR="00461CA5" w:rsidRPr="001B0572" w:rsidRDefault="00461CA5" w:rsidP="00A649A2">
            <w:pPr>
              <w:jc w:val="center"/>
              <w:rPr>
                <w:rFonts w:eastAsiaTheme="minorEastAsia" w:cstheme="minorHAnsi"/>
                <w:szCs w:val="20"/>
              </w:rPr>
            </w:pPr>
            <w:r w:rsidRPr="001B0572">
              <w:rPr>
                <w:rFonts w:eastAsiaTheme="minorEastAsia" w:cstheme="minorHAnsi"/>
                <w:szCs w:val="20"/>
              </w:rPr>
              <w:t>17%</w:t>
            </w:r>
          </w:p>
        </w:tc>
        <w:tc>
          <w:tcPr>
            <w:tcW w:w="0" w:type="auto"/>
            <w:vAlign w:val="center"/>
          </w:tcPr>
          <w:p w:rsidR="00461CA5" w:rsidRPr="001B0572" w:rsidRDefault="00461CA5" w:rsidP="00A649A2">
            <w:pPr>
              <w:jc w:val="center"/>
              <w:rPr>
                <w:rFonts w:eastAsiaTheme="minorEastAsia" w:cstheme="minorHAnsi"/>
                <w:szCs w:val="20"/>
              </w:rPr>
            </w:pPr>
            <w:r w:rsidRPr="001B0572">
              <w:rPr>
                <w:rFonts w:eastAsiaTheme="minorEastAsia" w:cstheme="minorHAnsi"/>
                <w:szCs w:val="20"/>
              </w:rPr>
              <w:t>22%</w:t>
            </w:r>
          </w:p>
        </w:tc>
      </w:tr>
      <w:tr w:rsidR="00461CA5" w:rsidRPr="00EB4203" w:rsidTr="008F7067">
        <w:tc>
          <w:tcPr>
            <w:tcW w:w="2338" w:type="dxa"/>
          </w:tcPr>
          <w:p w:rsidR="00461CA5" w:rsidRPr="00EB4203" w:rsidRDefault="00461CA5" w:rsidP="00F41408">
            <w:pPr>
              <w:spacing w:line="228" w:lineRule="auto"/>
              <w:rPr>
                <w:rFonts w:eastAsiaTheme="minorEastAsia" w:cstheme="minorHAnsi"/>
                <w:szCs w:val="20"/>
              </w:rPr>
            </w:pPr>
            <w:r w:rsidRPr="00EB4203">
              <w:rPr>
                <w:rFonts w:eastAsiaTheme="minorEastAsia" w:cstheme="minorHAnsi"/>
                <w:szCs w:val="20"/>
              </w:rPr>
              <w:t>Udział osób długotrwale bezrobotnych (powyżej 12 miesięcy)</w:t>
            </w:r>
          </w:p>
        </w:tc>
        <w:tc>
          <w:tcPr>
            <w:tcW w:w="993" w:type="dxa"/>
            <w:vAlign w:val="center"/>
          </w:tcPr>
          <w:p w:rsidR="00461CA5" w:rsidRPr="001B0572" w:rsidRDefault="00461CA5" w:rsidP="00A649A2">
            <w:pPr>
              <w:jc w:val="center"/>
              <w:rPr>
                <w:rFonts w:eastAsiaTheme="minorEastAsia" w:cstheme="minorHAnsi"/>
                <w:szCs w:val="20"/>
              </w:rPr>
            </w:pPr>
            <w:r w:rsidRPr="001B0572">
              <w:rPr>
                <w:rFonts w:eastAsiaTheme="minorEastAsia" w:cstheme="minorHAnsi"/>
                <w:szCs w:val="20"/>
              </w:rPr>
              <w:t>56%</w:t>
            </w:r>
          </w:p>
        </w:tc>
        <w:tc>
          <w:tcPr>
            <w:tcW w:w="1257" w:type="dxa"/>
            <w:vAlign w:val="center"/>
          </w:tcPr>
          <w:p w:rsidR="00461CA5" w:rsidRPr="001B0572" w:rsidRDefault="00461CA5" w:rsidP="00A649A2">
            <w:pPr>
              <w:jc w:val="center"/>
              <w:rPr>
                <w:rFonts w:eastAsiaTheme="minorEastAsia" w:cstheme="minorHAnsi"/>
                <w:szCs w:val="20"/>
              </w:rPr>
            </w:pPr>
            <w:r w:rsidRPr="001B0572">
              <w:rPr>
                <w:rFonts w:eastAsiaTheme="minorEastAsia" w:cstheme="minorHAnsi"/>
                <w:szCs w:val="20"/>
              </w:rPr>
              <w:t>49%</w:t>
            </w:r>
          </w:p>
        </w:tc>
        <w:tc>
          <w:tcPr>
            <w:tcW w:w="0" w:type="auto"/>
            <w:vAlign w:val="center"/>
          </w:tcPr>
          <w:p w:rsidR="00461CA5" w:rsidRPr="001B0572" w:rsidRDefault="00461CA5" w:rsidP="00A649A2">
            <w:pPr>
              <w:jc w:val="center"/>
              <w:rPr>
                <w:rFonts w:eastAsiaTheme="minorEastAsia" w:cstheme="minorHAnsi"/>
                <w:szCs w:val="20"/>
              </w:rPr>
            </w:pPr>
            <w:r w:rsidRPr="001B0572">
              <w:rPr>
                <w:rFonts w:eastAsiaTheme="minorEastAsia" w:cstheme="minorHAnsi"/>
                <w:szCs w:val="20"/>
              </w:rPr>
              <w:t>47%</w:t>
            </w:r>
          </w:p>
        </w:tc>
        <w:tc>
          <w:tcPr>
            <w:tcW w:w="0" w:type="auto"/>
            <w:vAlign w:val="center"/>
          </w:tcPr>
          <w:p w:rsidR="00461CA5" w:rsidRPr="001B0572" w:rsidRDefault="00461CA5" w:rsidP="00A649A2">
            <w:pPr>
              <w:jc w:val="center"/>
              <w:rPr>
                <w:rFonts w:eastAsiaTheme="minorEastAsia" w:cstheme="minorHAnsi"/>
                <w:szCs w:val="20"/>
              </w:rPr>
            </w:pPr>
            <w:r w:rsidRPr="001B0572">
              <w:rPr>
                <w:rFonts w:eastAsiaTheme="minorEastAsia" w:cstheme="minorHAnsi"/>
                <w:szCs w:val="20"/>
              </w:rPr>
              <w:t>48%</w:t>
            </w:r>
          </w:p>
        </w:tc>
        <w:tc>
          <w:tcPr>
            <w:tcW w:w="0" w:type="auto"/>
            <w:vAlign w:val="center"/>
          </w:tcPr>
          <w:p w:rsidR="00461CA5" w:rsidRPr="001B0572" w:rsidRDefault="00461CA5" w:rsidP="00A649A2">
            <w:pPr>
              <w:jc w:val="center"/>
              <w:rPr>
                <w:rFonts w:eastAsiaTheme="minorEastAsia" w:cstheme="minorHAnsi"/>
                <w:szCs w:val="20"/>
              </w:rPr>
            </w:pPr>
            <w:r w:rsidRPr="001B0572">
              <w:rPr>
                <w:rFonts w:eastAsiaTheme="minorEastAsia" w:cstheme="minorHAnsi"/>
                <w:szCs w:val="20"/>
              </w:rPr>
              <w:t>53%</w:t>
            </w:r>
          </w:p>
        </w:tc>
        <w:tc>
          <w:tcPr>
            <w:tcW w:w="0" w:type="auto"/>
            <w:vAlign w:val="center"/>
          </w:tcPr>
          <w:p w:rsidR="00461CA5" w:rsidRPr="001B0572" w:rsidRDefault="00461CA5" w:rsidP="00A649A2">
            <w:pPr>
              <w:jc w:val="center"/>
              <w:rPr>
                <w:rFonts w:eastAsiaTheme="minorEastAsia" w:cstheme="minorHAnsi"/>
                <w:szCs w:val="20"/>
              </w:rPr>
            </w:pPr>
            <w:r w:rsidRPr="001B0572">
              <w:rPr>
                <w:rFonts w:eastAsiaTheme="minorEastAsia" w:cstheme="minorHAnsi"/>
                <w:szCs w:val="20"/>
              </w:rPr>
              <w:t>65%</w:t>
            </w:r>
          </w:p>
        </w:tc>
      </w:tr>
      <w:tr w:rsidR="00461CA5" w:rsidRPr="00EB4203" w:rsidTr="008F7067">
        <w:tc>
          <w:tcPr>
            <w:tcW w:w="2338" w:type="dxa"/>
          </w:tcPr>
          <w:p w:rsidR="00461CA5" w:rsidRPr="00EB4203" w:rsidRDefault="008F7067" w:rsidP="00F41408">
            <w:pPr>
              <w:spacing w:line="228" w:lineRule="auto"/>
              <w:rPr>
                <w:rFonts w:eastAsiaTheme="minorEastAsia" w:cstheme="minorHAnsi"/>
                <w:szCs w:val="20"/>
              </w:rPr>
            </w:pPr>
            <w:r>
              <w:rPr>
                <w:rFonts w:eastAsiaTheme="minorEastAsia" w:cstheme="minorHAnsi"/>
                <w:szCs w:val="20"/>
              </w:rPr>
              <w:t xml:space="preserve">Udział osób </w:t>
            </w:r>
            <w:r w:rsidR="00461CA5" w:rsidRPr="00EB4203">
              <w:rPr>
                <w:rFonts w:eastAsiaTheme="minorEastAsia" w:cstheme="minorHAnsi"/>
                <w:szCs w:val="20"/>
              </w:rPr>
              <w:t>bezrobotnych powyżej 24 miesięcy</w:t>
            </w:r>
          </w:p>
        </w:tc>
        <w:tc>
          <w:tcPr>
            <w:tcW w:w="993" w:type="dxa"/>
            <w:vAlign w:val="center"/>
          </w:tcPr>
          <w:p w:rsidR="00461CA5" w:rsidRPr="001B0572" w:rsidRDefault="00461CA5" w:rsidP="00A649A2">
            <w:pPr>
              <w:jc w:val="center"/>
              <w:rPr>
                <w:rFonts w:eastAsiaTheme="minorEastAsia" w:cstheme="minorHAnsi"/>
                <w:szCs w:val="20"/>
              </w:rPr>
            </w:pPr>
            <w:r w:rsidRPr="001B0572">
              <w:rPr>
                <w:rFonts w:eastAsiaTheme="minorEastAsia" w:cstheme="minorHAnsi"/>
                <w:szCs w:val="20"/>
              </w:rPr>
              <w:t>36%</w:t>
            </w:r>
          </w:p>
        </w:tc>
        <w:tc>
          <w:tcPr>
            <w:tcW w:w="1257" w:type="dxa"/>
            <w:vAlign w:val="center"/>
          </w:tcPr>
          <w:p w:rsidR="00461CA5" w:rsidRPr="001B0572" w:rsidRDefault="00461CA5" w:rsidP="00A649A2">
            <w:pPr>
              <w:jc w:val="center"/>
              <w:rPr>
                <w:rFonts w:eastAsiaTheme="minorEastAsia" w:cstheme="minorHAnsi"/>
                <w:szCs w:val="20"/>
              </w:rPr>
            </w:pPr>
            <w:r w:rsidRPr="001B0572">
              <w:rPr>
                <w:rFonts w:eastAsiaTheme="minorEastAsia" w:cstheme="minorHAnsi"/>
                <w:szCs w:val="20"/>
              </w:rPr>
              <w:t>30%</w:t>
            </w:r>
          </w:p>
        </w:tc>
        <w:tc>
          <w:tcPr>
            <w:tcW w:w="0" w:type="auto"/>
            <w:vAlign w:val="center"/>
          </w:tcPr>
          <w:p w:rsidR="00461CA5" w:rsidRPr="001B0572" w:rsidRDefault="00461CA5" w:rsidP="00A649A2">
            <w:pPr>
              <w:jc w:val="center"/>
              <w:rPr>
                <w:rFonts w:eastAsiaTheme="minorEastAsia" w:cstheme="minorHAnsi"/>
                <w:szCs w:val="20"/>
              </w:rPr>
            </w:pPr>
            <w:r w:rsidRPr="001B0572">
              <w:rPr>
                <w:rFonts w:eastAsiaTheme="minorEastAsia" w:cstheme="minorHAnsi"/>
                <w:szCs w:val="20"/>
              </w:rPr>
              <w:t>27%</w:t>
            </w:r>
          </w:p>
        </w:tc>
        <w:tc>
          <w:tcPr>
            <w:tcW w:w="0" w:type="auto"/>
            <w:vAlign w:val="center"/>
          </w:tcPr>
          <w:p w:rsidR="00461CA5" w:rsidRPr="001B0572" w:rsidRDefault="00461CA5" w:rsidP="00A649A2">
            <w:pPr>
              <w:jc w:val="center"/>
              <w:rPr>
                <w:rFonts w:eastAsiaTheme="minorEastAsia" w:cstheme="minorHAnsi"/>
                <w:szCs w:val="20"/>
              </w:rPr>
            </w:pPr>
            <w:r w:rsidRPr="001B0572">
              <w:rPr>
                <w:rFonts w:eastAsiaTheme="minorEastAsia" w:cstheme="minorHAnsi"/>
                <w:szCs w:val="20"/>
              </w:rPr>
              <w:t>30%</w:t>
            </w:r>
          </w:p>
        </w:tc>
        <w:tc>
          <w:tcPr>
            <w:tcW w:w="0" w:type="auto"/>
            <w:vAlign w:val="center"/>
          </w:tcPr>
          <w:p w:rsidR="00461CA5" w:rsidRPr="001B0572" w:rsidRDefault="00461CA5" w:rsidP="00A649A2">
            <w:pPr>
              <w:jc w:val="center"/>
              <w:rPr>
                <w:rFonts w:eastAsiaTheme="minorEastAsia" w:cstheme="minorHAnsi"/>
                <w:szCs w:val="20"/>
              </w:rPr>
            </w:pPr>
            <w:r w:rsidRPr="001B0572">
              <w:rPr>
                <w:rFonts w:eastAsiaTheme="minorEastAsia" w:cstheme="minorHAnsi"/>
                <w:szCs w:val="20"/>
              </w:rPr>
              <w:t>33%</w:t>
            </w:r>
          </w:p>
        </w:tc>
        <w:tc>
          <w:tcPr>
            <w:tcW w:w="0" w:type="auto"/>
            <w:vAlign w:val="center"/>
          </w:tcPr>
          <w:p w:rsidR="00461CA5" w:rsidRPr="001B0572" w:rsidRDefault="00461CA5" w:rsidP="00A649A2">
            <w:pPr>
              <w:jc w:val="center"/>
              <w:rPr>
                <w:rFonts w:eastAsiaTheme="minorEastAsia" w:cstheme="minorHAnsi"/>
                <w:szCs w:val="20"/>
              </w:rPr>
            </w:pPr>
            <w:r w:rsidRPr="001B0572">
              <w:rPr>
                <w:rFonts w:eastAsiaTheme="minorEastAsia" w:cstheme="minorHAnsi"/>
                <w:szCs w:val="20"/>
              </w:rPr>
              <w:t>45%</w:t>
            </w:r>
          </w:p>
        </w:tc>
      </w:tr>
      <w:tr w:rsidR="00461CA5" w:rsidRPr="00EB4203" w:rsidTr="008F7067">
        <w:tc>
          <w:tcPr>
            <w:tcW w:w="2338" w:type="dxa"/>
          </w:tcPr>
          <w:p w:rsidR="00461CA5" w:rsidRPr="00EB4203" w:rsidRDefault="00461CA5" w:rsidP="00F41408">
            <w:pPr>
              <w:spacing w:line="228" w:lineRule="auto"/>
              <w:rPr>
                <w:rFonts w:eastAsiaTheme="minorEastAsia" w:cstheme="minorHAnsi"/>
                <w:szCs w:val="20"/>
              </w:rPr>
            </w:pPr>
            <w:r w:rsidRPr="00EB4203">
              <w:rPr>
                <w:rFonts w:eastAsiaTheme="minorEastAsia" w:cstheme="minorHAnsi"/>
                <w:szCs w:val="20"/>
              </w:rPr>
              <w:t>Udział bezrobotnych z</w:t>
            </w:r>
            <w:r w:rsidR="008F7067">
              <w:rPr>
                <w:rFonts w:eastAsiaTheme="minorEastAsia" w:cstheme="minorHAnsi"/>
                <w:szCs w:val="20"/>
              </w:rPr>
              <w:t> </w:t>
            </w:r>
            <w:r w:rsidRPr="00EB4203">
              <w:rPr>
                <w:rFonts w:eastAsiaTheme="minorEastAsia" w:cstheme="minorHAnsi"/>
                <w:szCs w:val="20"/>
              </w:rPr>
              <w:t>wykształceniem gimnazjalnym lub niższym</w:t>
            </w:r>
          </w:p>
        </w:tc>
        <w:tc>
          <w:tcPr>
            <w:tcW w:w="993" w:type="dxa"/>
            <w:vAlign w:val="center"/>
          </w:tcPr>
          <w:p w:rsidR="00461CA5" w:rsidRPr="001B0572" w:rsidRDefault="00461CA5" w:rsidP="00A649A2">
            <w:pPr>
              <w:jc w:val="center"/>
              <w:rPr>
                <w:rFonts w:eastAsiaTheme="minorEastAsia" w:cstheme="minorHAnsi"/>
                <w:szCs w:val="20"/>
              </w:rPr>
            </w:pPr>
            <w:r w:rsidRPr="001B0572">
              <w:rPr>
                <w:rFonts w:eastAsiaTheme="minorEastAsia" w:cstheme="minorHAnsi"/>
                <w:szCs w:val="20"/>
              </w:rPr>
              <w:t>63%</w:t>
            </w:r>
          </w:p>
        </w:tc>
        <w:tc>
          <w:tcPr>
            <w:tcW w:w="1257" w:type="dxa"/>
            <w:vAlign w:val="center"/>
          </w:tcPr>
          <w:p w:rsidR="00461CA5" w:rsidRPr="001B0572" w:rsidRDefault="00461CA5" w:rsidP="00A649A2">
            <w:pPr>
              <w:jc w:val="center"/>
              <w:rPr>
                <w:rFonts w:eastAsiaTheme="minorEastAsia" w:cstheme="minorHAnsi"/>
                <w:szCs w:val="20"/>
              </w:rPr>
            </w:pPr>
            <w:r w:rsidRPr="001B0572">
              <w:rPr>
                <w:rFonts w:eastAsiaTheme="minorEastAsia" w:cstheme="minorHAnsi"/>
                <w:szCs w:val="20"/>
              </w:rPr>
              <w:t>50%</w:t>
            </w:r>
          </w:p>
        </w:tc>
        <w:tc>
          <w:tcPr>
            <w:tcW w:w="0" w:type="auto"/>
            <w:vAlign w:val="center"/>
          </w:tcPr>
          <w:p w:rsidR="00461CA5" w:rsidRPr="001B0572" w:rsidRDefault="00461CA5" w:rsidP="00A649A2">
            <w:pPr>
              <w:jc w:val="center"/>
              <w:rPr>
                <w:rFonts w:eastAsiaTheme="minorEastAsia" w:cstheme="minorHAnsi"/>
                <w:szCs w:val="20"/>
              </w:rPr>
            </w:pPr>
            <w:r w:rsidRPr="001B0572">
              <w:rPr>
                <w:rFonts w:eastAsiaTheme="minorEastAsia" w:cstheme="minorHAnsi"/>
                <w:szCs w:val="20"/>
              </w:rPr>
              <w:t>41%</w:t>
            </w:r>
          </w:p>
        </w:tc>
        <w:tc>
          <w:tcPr>
            <w:tcW w:w="0" w:type="auto"/>
            <w:vAlign w:val="center"/>
          </w:tcPr>
          <w:p w:rsidR="00461CA5" w:rsidRPr="001B0572" w:rsidRDefault="00461CA5" w:rsidP="00A649A2">
            <w:pPr>
              <w:jc w:val="center"/>
              <w:rPr>
                <w:rFonts w:eastAsiaTheme="minorEastAsia" w:cstheme="minorHAnsi"/>
                <w:szCs w:val="20"/>
              </w:rPr>
            </w:pPr>
            <w:r w:rsidRPr="001B0572">
              <w:rPr>
                <w:rFonts w:eastAsiaTheme="minorEastAsia" w:cstheme="minorHAnsi"/>
                <w:szCs w:val="20"/>
              </w:rPr>
              <w:t>40%</w:t>
            </w:r>
          </w:p>
        </w:tc>
        <w:tc>
          <w:tcPr>
            <w:tcW w:w="0" w:type="auto"/>
            <w:vAlign w:val="center"/>
          </w:tcPr>
          <w:p w:rsidR="00461CA5" w:rsidRPr="001B0572" w:rsidRDefault="00461CA5" w:rsidP="00A649A2">
            <w:pPr>
              <w:jc w:val="center"/>
              <w:rPr>
                <w:rFonts w:eastAsiaTheme="minorEastAsia" w:cstheme="minorHAnsi"/>
                <w:szCs w:val="20"/>
              </w:rPr>
            </w:pPr>
            <w:r w:rsidRPr="001B0572">
              <w:rPr>
                <w:rFonts w:eastAsiaTheme="minorEastAsia" w:cstheme="minorHAnsi"/>
                <w:szCs w:val="20"/>
              </w:rPr>
              <w:t>53%</w:t>
            </w:r>
          </w:p>
        </w:tc>
        <w:tc>
          <w:tcPr>
            <w:tcW w:w="0" w:type="auto"/>
            <w:vAlign w:val="center"/>
          </w:tcPr>
          <w:p w:rsidR="00461CA5" w:rsidRPr="001B0572" w:rsidRDefault="00461CA5" w:rsidP="00A649A2">
            <w:pPr>
              <w:jc w:val="center"/>
              <w:rPr>
                <w:rFonts w:eastAsiaTheme="minorEastAsia" w:cstheme="minorHAnsi"/>
                <w:szCs w:val="20"/>
              </w:rPr>
            </w:pPr>
            <w:r w:rsidRPr="001B0572">
              <w:rPr>
                <w:rFonts w:eastAsiaTheme="minorEastAsia" w:cstheme="minorHAnsi"/>
                <w:szCs w:val="20"/>
              </w:rPr>
              <w:t>55%</w:t>
            </w:r>
          </w:p>
        </w:tc>
      </w:tr>
      <w:tr w:rsidR="00461CA5" w:rsidRPr="00EB4203" w:rsidTr="008F7067">
        <w:tc>
          <w:tcPr>
            <w:tcW w:w="2338" w:type="dxa"/>
          </w:tcPr>
          <w:p w:rsidR="00461CA5" w:rsidRPr="00EB4203" w:rsidRDefault="00461CA5" w:rsidP="00F41408">
            <w:pPr>
              <w:spacing w:line="228" w:lineRule="auto"/>
              <w:rPr>
                <w:rFonts w:eastAsiaTheme="minorEastAsia" w:cstheme="minorHAnsi"/>
                <w:szCs w:val="20"/>
              </w:rPr>
            </w:pPr>
            <w:r w:rsidRPr="00EB4203">
              <w:rPr>
                <w:rFonts w:eastAsiaTheme="minorEastAsia" w:cstheme="minorHAnsi"/>
                <w:szCs w:val="20"/>
              </w:rPr>
              <w:t>Udział bezrobotnych w</w:t>
            </w:r>
            <w:r w:rsidR="008F7067">
              <w:rPr>
                <w:rFonts w:eastAsiaTheme="minorEastAsia" w:cstheme="minorHAnsi"/>
                <w:szCs w:val="20"/>
              </w:rPr>
              <w:t> </w:t>
            </w:r>
            <w:r w:rsidRPr="00EB4203">
              <w:rPr>
                <w:rFonts w:eastAsiaTheme="minorEastAsia" w:cstheme="minorHAnsi"/>
                <w:szCs w:val="20"/>
              </w:rPr>
              <w:t>wieku do 30 lat</w:t>
            </w:r>
          </w:p>
        </w:tc>
        <w:tc>
          <w:tcPr>
            <w:tcW w:w="993" w:type="dxa"/>
            <w:vAlign w:val="center"/>
          </w:tcPr>
          <w:p w:rsidR="00461CA5" w:rsidRPr="001B0572" w:rsidRDefault="00461CA5" w:rsidP="00A649A2">
            <w:pPr>
              <w:jc w:val="center"/>
              <w:rPr>
                <w:rFonts w:eastAsiaTheme="minorEastAsia" w:cstheme="minorHAnsi"/>
                <w:szCs w:val="20"/>
              </w:rPr>
            </w:pPr>
            <w:r w:rsidRPr="001B0572">
              <w:rPr>
                <w:rFonts w:eastAsiaTheme="minorEastAsia" w:cstheme="minorHAnsi"/>
                <w:szCs w:val="20"/>
              </w:rPr>
              <w:t>29%</w:t>
            </w:r>
          </w:p>
        </w:tc>
        <w:tc>
          <w:tcPr>
            <w:tcW w:w="1257" w:type="dxa"/>
            <w:vAlign w:val="center"/>
          </w:tcPr>
          <w:p w:rsidR="00461CA5" w:rsidRPr="001B0572" w:rsidRDefault="00461CA5" w:rsidP="00013880">
            <w:pPr>
              <w:jc w:val="center"/>
              <w:rPr>
                <w:rFonts w:eastAsiaTheme="minorEastAsia" w:cstheme="minorHAnsi"/>
                <w:szCs w:val="20"/>
              </w:rPr>
            </w:pPr>
            <w:r w:rsidRPr="001B0572">
              <w:rPr>
                <w:rFonts w:eastAsiaTheme="minorEastAsia" w:cstheme="minorHAnsi"/>
                <w:szCs w:val="20"/>
              </w:rPr>
              <w:t>27%</w:t>
            </w:r>
            <w:r w:rsidR="00013880">
              <w:rPr>
                <w:rStyle w:val="Odwoanieprzypisudolnego"/>
                <w:rFonts w:eastAsiaTheme="minorEastAsia" w:cstheme="minorHAnsi"/>
                <w:szCs w:val="20"/>
              </w:rPr>
              <w:footnoteReference w:id="11"/>
            </w:r>
          </w:p>
        </w:tc>
        <w:tc>
          <w:tcPr>
            <w:tcW w:w="0" w:type="auto"/>
            <w:vAlign w:val="center"/>
          </w:tcPr>
          <w:p w:rsidR="00461CA5" w:rsidRPr="001B0572" w:rsidRDefault="004F5A39" w:rsidP="00A649A2">
            <w:pPr>
              <w:jc w:val="center"/>
              <w:rPr>
                <w:rFonts w:eastAsiaTheme="minorEastAsia" w:cstheme="minorHAnsi"/>
                <w:szCs w:val="20"/>
              </w:rPr>
            </w:pPr>
            <w:r w:rsidRPr="001B0572">
              <w:rPr>
                <w:rFonts w:eastAsiaTheme="minorEastAsia" w:cstheme="minorHAnsi"/>
                <w:szCs w:val="20"/>
              </w:rPr>
              <w:t>-</w:t>
            </w:r>
          </w:p>
        </w:tc>
        <w:tc>
          <w:tcPr>
            <w:tcW w:w="0" w:type="auto"/>
            <w:vAlign w:val="center"/>
          </w:tcPr>
          <w:p w:rsidR="00461CA5" w:rsidRPr="001B0572" w:rsidRDefault="004F5A39" w:rsidP="00A649A2">
            <w:pPr>
              <w:jc w:val="center"/>
              <w:rPr>
                <w:rFonts w:eastAsiaTheme="minorEastAsia" w:cstheme="minorHAnsi"/>
                <w:szCs w:val="20"/>
              </w:rPr>
            </w:pPr>
            <w:r w:rsidRPr="001B0572">
              <w:rPr>
                <w:rFonts w:eastAsiaTheme="minorEastAsia" w:cstheme="minorHAnsi"/>
                <w:szCs w:val="20"/>
              </w:rPr>
              <w:t>-</w:t>
            </w:r>
          </w:p>
        </w:tc>
        <w:tc>
          <w:tcPr>
            <w:tcW w:w="0" w:type="auto"/>
            <w:vAlign w:val="center"/>
          </w:tcPr>
          <w:p w:rsidR="00461CA5" w:rsidRPr="001B0572" w:rsidRDefault="00461CA5" w:rsidP="00A649A2">
            <w:pPr>
              <w:jc w:val="center"/>
              <w:rPr>
                <w:rFonts w:eastAsiaTheme="minorEastAsia" w:cstheme="minorHAnsi"/>
                <w:szCs w:val="20"/>
              </w:rPr>
            </w:pPr>
            <w:r w:rsidRPr="001B0572">
              <w:rPr>
                <w:rFonts w:eastAsiaTheme="minorEastAsia" w:cstheme="minorHAnsi"/>
                <w:szCs w:val="20"/>
              </w:rPr>
              <w:t>27%</w:t>
            </w:r>
          </w:p>
        </w:tc>
        <w:tc>
          <w:tcPr>
            <w:tcW w:w="0" w:type="auto"/>
            <w:vAlign w:val="center"/>
          </w:tcPr>
          <w:p w:rsidR="00461CA5" w:rsidRPr="001B0572" w:rsidRDefault="00461CA5" w:rsidP="00A649A2">
            <w:pPr>
              <w:jc w:val="center"/>
              <w:rPr>
                <w:rFonts w:eastAsiaTheme="minorEastAsia" w:cstheme="minorHAnsi"/>
                <w:szCs w:val="20"/>
              </w:rPr>
            </w:pPr>
            <w:r w:rsidRPr="001B0572">
              <w:rPr>
                <w:rFonts w:eastAsiaTheme="minorEastAsia" w:cstheme="minorHAnsi"/>
                <w:szCs w:val="20"/>
              </w:rPr>
              <w:t>13%</w:t>
            </w:r>
          </w:p>
        </w:tc>
      </w:tr>
    </w:tbl>
    <w:p w:rsidR="001C2FD4" w:rsidRDefault="007916BA" w:rsidP="00C80963">
      <w:pPr>
        <w:jc w:val="both"/>
        <w:rPr>
          <w:rFonts w:eastAsia="Calibri" w:cs="ArialNarrow"/>
          <w:i/>
          <w:sz w:val="18"/>
          <w:szCs w:val="20"/>
        </w:rPr>
      </w:pPr>
      <w:r w:rsidRPr="00600944">
        <w:rPr>
          <w:rFonts w:eastAsia="Calibri" w:cs="ArialNarrow"/>
          <w:i/>
          <w:sz w:val="18"/>
          <w:szCs w:val="20"/>
        </w:rPr>
        <w:t>Źródło: Opracowanie Instytutu Rozwoju Miast</w:t>
      </w:r>
    </w:p>
    <w:p w:rsidR="001C2FD4" w:rsidRPr="0047224D" w:rsidRDefault="001C2FD4" w:rsidP="009968FD">
      <w:pPr>
        <w:pStyle w:val="Nagwek3"/>
        <w:numPr>
          <w:ilvl w:val="2"/>
          <w:numId w:val="228"/>
        </w:numPr>
      </w:pPr>
      <w:bookmarkStart w:id="4052" w:name="_Toc461612523"/>
      <w:bookmarkStart w:id="4053" w:name="_Toc474924907"/>
      <w:r w:rsidRPr="0047224D">
        <w:lastRenderedPageBreak/>
        <w:t>Ubóstwo</w:t>
      </w:r>
      <w:bookmarkEnd w:id="4052"/>
      <w:bookmarkEnd w:id="4053"/>
    </w:p>
    <w:p w:rsidR="00551C01" w:rsidRDefault="00551C01" w:rsidP="00C80963">
      <w:pPr>
        <w:jc w:val="both"/>
        <w:rPr>
          <w:szCs w:val="20"/>
        </w:rPr>
      </w:pPr>
    </w:p>
    <w:p w:rsidR="005260B6" w:rsidRDefault="005260B6" w:rsidP="005260B6">
      <w:pPr>
        <w:ind w:firstLine="708"/>
        <w:jc w:val="both"/>
        <w:rPr>
          <w:rFonts w:ascii="Calibri" w:hAnsi="Calibri" w:cs="Calibri"/>
          <w:szCs w:val="20"/>
        </w:rPr>
      </w:pPr>
      <w:r>
        <w:rPr>
          <w:rFonts w:ascii="Calibri" w:hAnsi="Calibri" w:cs="Calibri"/>
          <w:szCs w:val="20"/>
        </w:rPr>
        <w:t xml:space="preserve">Transformacja gospodarcza zachodząca w mieście stała się generatorem problemów społecznych. Redukcja miejsc pracy, spadek dochodów znacznej części mieszkańców, brak przystosowania do nowych warunków ekonomicznych doprowadziły do pojawienia się w Bytomiu rozległych obszarów biedy. </w:t>
      </w:r>
    </w:p>
    <w:p w:rsidR="005260B6" w:rsidRDefault="005260B6" w:rsidP="005260B6">
      <w:pPr>
        <w:ind w:firstLine="708"/>
        <w:jc w:val="both"/>
        <w:rPr>
          <w:rFonts w:ascii="Calibri" w:hAnsi="Calibri" w:cs="Calibri"/>
          <w:szCs w:val="20"/>
        </w:rPr>
      </w:pPr>
      <w:r>
        <w:rPr>
          <w:rFonts w:ascii="Calibri" w:hAnsi="Calibri" w:cs="Calibri"/>
          <w:szCs w:val="20"/>
        </w:rPr>
        <w:t xml:space="preserve">Analiza </w:t>
      </w:r>
      <w:r w:rsidR="00DF79D4">
        <w:rPr>
          <w:rFonts w:ascii="Calibri" w:hAnsi="Calibri" w:cs="Calibri"/>
          <w:szCs w:val="20"/>
        </w:rPr>
        <w:t>pogłębiona</w:t>
      </w:r>
      <w:r>
        <w:rPr>
          <w:rFonts w:ascii="Calibri" w:hAnsi="Calibri" w:cs="Calibri"/>
          <w:szCs w:val="20"/>
        </w:rPr>
        <w:t xml:space="preserve"> zjawiska ubóstwa w podobszarach rewitalizacji skupiła się na trzech istotnych kwestiach:</w:t>
      </w:r>
    </w:p>
    <w:p w:rsidR="00F32CB0" w:rsidRDefault="005260B6" w:rsidP="00083893">
      <w:pPr>
        <w:numPr>
          <w:ilvl w:val="0"/>
          <w:numId w:val="161"/>
        </w:numPr>
        <w:ind w:left="714" w:hanging="357"/>
        <w:jc w:val="both"/>
        <w:rPr>
          <w:rFonts w:ascii="Calibri" w:hAnsi="Calibri" w:cs="Calibri"/>
          <w:szCs w:val="20"/>
        </w:rPr>
      </w:pPr>
      <w:r>
        <w:rPr>
          <w:rFonts w:ascii="Calibri" w:hAnsi="Calibri" w:cs="Calibri"/>
          <w:szCs w:val="20"/>
        </w:rPr>
        <w:t>świadczeniach pomocy społecznej (stałych, okresowych, celowych),</w:t>
      </w:r>
    </w:p>
    <w:p w:rsidR="00F32CB0" w:rsidRDefault="005260B6" w:rsidP="00083893">
      <w:pPr>
        <w:numPr>
          <w:ilvl w:val="0"/>
          <w:numId w:val="161"/>
        </w:numPr>
        <w:ind w:left="714" w:hanging="357"/>
        <w:jc w:val="both"/>
        <w:rPr>
          <w:rFonts w:ascii="Calibri" w:hAnsi="Calibri" w:cs="Calibri"/>
          <w:szCs w:val="20"/>
        </w:rPr>
      </w:pPr>
      <w:r>
        <w:rPr>
          <w:rFonts w:ascii="Calibri" w:hAnsi="Calibri" w:cs="Calibri"/>
          <w:szCs w:val="20"/>
        </w:rPr>
        <w:t>dożywianiu uczniów w szkołach,</w:t>
      </w:r>
    </w:p>
    <w:p w:rsidR="00F32CB0" w:rsidRDefault="005260B6" w:rsidP="00083893">
      <w:pPr>
        <w:numPr>
          <w:ilvl w:val="0"/>
          <w:numId w:val="161"/>
        </w:numPr>
        <w:ind w:left="714" w:hanging="357"/>
        <w:jc w:val="both"/>
        <w:rPr>
          <w:rFonts w:ascii="Calibri" w:hAnsi="Calibri" w:cs="Calibri"/>
          <w:szCs w:val="20"/>
        </w:rPr>
      </w:pPr>
      <w:r>
        <w:rPr>
          <w:rFonts w:ascii="Calibri" w:hAnsi="Calibri" w:cs="Calibri"/>
          <w:szCs w:val="20"/>
        </w:rPr>
        <w:t>zadłużeniu czynszowym.</w:t>
      </w:r>
    </w:p>
    <w:p w:rsidR="005260B6" w:rsidRDefault="005260B6" w:rsidP="005260B6">
      <w:pPr>
        <w:ind w:firstLine="708"/>
        <w:jc w:val="both"/>
        <w:rPr>
          <w:rFonts w:ascii="Calibri" w:hAnsi="Calibri" w:cs="Calibri"/>
          <w:szCs w:val="20"/>
        </w:rPr>
      </w:pPr>
      <w:r>
        <w:rPr>
          <w:rFonts w:ascii="Calibri" w:hAnsi="Calibri" w:cs="Calibri"/>
          <w:szCs w:val="20"/>
        </w:rPr>
        <w:t>Skalę ubóstwa i ogniska jego występowania ujawnia analiza różnego rodzaju wsparcia, jakie na mocy przepisów otrzymują osoby znajdujące się w trudnej sytuacji materialnej. Najczęściej wyk</w:t>
      </w:r>
      <w:r w:rsidR="00A17914">
        <w:rPr>
          <w:rFonts w:ascii="Calibri" w:hAnsi="Calibri" w:cs="Calibri"/>
          <w:szCs w:val="20"/>
        </w:rPr>
        <w:t xml:space="preserve">orzystuje się w tym celu dane o </w:t>
      </w:r>
      <w:r>
        <w:rPr>
          <w:rFonts w:ascii="Calibri" w:hAnsi="Calibri" w:cs="Calibri"/>
          <w:szCs w:val="20"/>
        </w:rPr>
        <w:t>świadczeniach pomocy społecznej, ponieważ korzystać z niej mogą osoby o bardzo niskich dochodach. Próg dochodowy, poniżej którego o taką pomoc można się ubiegać, wynosi 634 zł w przypadku osoby gospodarującej samotnie i 514 zł na osobę w rodzinie przypadku gospodarstwa domowego. Od kilku lat liczba beneficjentów wszystkich rodzajów pomocy społecznej stanowi około 9% populacji miasta (około 6,5 tys. rodzin). Jednym z rodzajów tej pomocy są zasiłki pieniężne – stałe, okresowe i celowe. W 2015 r. udzielono ich 8 550 osobom, co daje wskaźnik 55 osób na 1 tys. mieszkańców. Ponad połowa tych zasiłków została przyznana na obszarze rewitalizacji.</w:t>
      </w:r>
    </w:p>
    <w:p w:rsidR="005260B6" w:rsidRDefault="005260B6" w:rsidP="005260B6">
      <w:pPr>
        <w:ind w:firstLine="708"/>
        <w:jc w:val="both"/>
        <w:rPr>
          <w:rFonts w:ascii="Calibri" w:hAnsi="Calibri" w:cs="Calibri"/>
          <w:szCs w:val="20"/>
        </w:rPr>
      </w:pPr>
      <w:r>
        <w:rPr>
          <w:rFonts w:ascii="Calibri" w:hAnsi="Calibri" w:cs="Calibri"/>
          <w:szCs w:val="20"/>
        </w:rPr>
        <w:t xml:space="preserve">Zasiłek stały może być przyznany pełnoletniej osobie niezdolnej do pracy. Jego wysokość wynika z różnicy między progiem dochodowym a uzyskiwanym dochodem. W Bytomiu w 2015 r. zasiłki stałe pobierały 1 134 osoby, co daje wskaźnik 7 osób na 1 tys. mieszkańców. </w:t>
      </w:r>
    </w:p>
    <w:p w:rsidR="005260B6" w:rsidRDefault="005260B6" w:rsidP="005260B6">
      <w:pPr>
        <w:ind w:firstLine="708"/>
        <w:jc w:val="both"/>
        <w:rPr>
          <w:rFonts w:ascii="Calibri" w:hAnsi="Calibri" w:cs="Calibri"/>
          <w:szCs w:val="20"/>
        </w:rPr>
      </w:pPr>
      <w:r>
        <w:rPr>
          <w:rFonts w:ascii="Calibri" w:hAnsi="Calibri" w:cs="Calibri"/>
          <w:szCs w:val="20"/>
        </w:rPr>
        <w:t>Zasiłek okresowy najczęściej przyznawany jest osobom długotrwale chorym, bezrobotnym, niepełnosprawnym. W Bytomiu w 2015 r. zasiłki okresowe pobierało 4 368 osób, co daje wskaźnik 28 osób na 1 tys. mieszkańców. Zasiłe</w:t>
      </w:r>
      <w:r w:rsidR="00A17914">
        <w:rPr>
          <w:rFonts w:ascii="Calibri" w:hAnsi="Calibri" w:cs="Calibri"/>
          <w:szCs w:val="20"/>
        </w:rPr>
        <w:t>k celowy przysługuje osobom nie</w:t>
      </w:r>
      <w:r>
        <w:rPr>
          <w:rFonts w:ascii="Calibri" w:hAnsi="Calibri" w:cs="Calibri"/>
          <w:szCs w:val="20"/>
        </w:rPr>
        <w:t>przekraczającym progów dochodowych – na pokrycie części lub całości: zakupu żywności, leków, leczenia, opału, odzieży, niezbędnych przedmiotów użytku domowego, drobnych remontów i napraw w mieszkaniu, kosztów pogrzebu. W Bytomiu zasiłków celowych udzielono 3 048 osobom, co daje wskaźnik 19 osób na 1 tys. mieszkańców.</w:t>
      </w:r>
    </w:p>
    <w:p w:rsidR="005260B6" w:rsidRDefault="005260B6" w:rsidP="005260B6">
      <w:pPr>
        <w:ind w:firstLine="708"/>
        <w:jc w:val="both"/>
        <w:rPr>
          <w:rFonts w:ascii="Calibri" w:hAnsi="Calibri" w:cs="Calibri"/>
          <w:szCs w:val="20"/>
        </w:rPr>
      </w:pPr>
      <w:r>
        <w:rPr>
          <w:rFonts w:ascii="Calibri" w:hAnsi="Calibri" w:cs="Calibri"/>
          <w:szCs w:val="20"/>
        </w:rPr>
        <w:t xml:space="preserve">W tabeli zestawiono wskaźniki ubóstwa mierzonego liczbą zasiłków wydawanych na 1 tys. osób w poszczególnych podobszarach rewitalizacji. </w:t>
      </w:r>
      <w:r>
        <w:rPr>
          <w:rFonts w:ascii="Calibri" w:hAnsi="Calibri" w:cs="Calibri"/>
          <w:b/>
          <w:bCs/>
          <w:color w:val="C00000"/>
          <w:szCs w:val="20"/>
        </w:rPr>
        <w:t>We wszystkich podobszarach wskaźniki ubóstwa przekraczają średnią dla miasta.</w:t>
      </w:r>
      <w:r>
        <w:rPr>
          <w:rFonts w:ascii="Calibri" w:hAnsi="Calibri" w:cs="Calibri"/>
          <w:szCs w:val="20"/>
        </w:rPr>
        <w:t xml:space="preserve"> </w:t>
      </w:r>
      <w:r w:rsidRPr="00D16014">
        <w:rPr>
          <w:rFonts w:ascii="Calibri" w:hAnsi="Calibri" w:cs="Calibri"/>
          <w:b/>
          <w:color w:val="C00000"/>
          <w:szCs w:val="20"/>
        </w:rPr>
        <w:t>Problem najsilniej występuje w podobszarze Bobrek, gdzie wskaźniki od trzech do czterech razy przekraczają średnią miasta. Zwraca tu uwagę wyjątkowo wysoka liczba zasiłków okresowych – otrzymuje go w Bobrku</w:t>
      </w:r>
      <w:r w:rsidR="006B70F2">
        <w:rPr>
          <w:rFonts w:ascii="Calibri" w:hAnsi="Calibri" w:cs="Calibri"/>
          <w:b/>
          <w:color w:val="C00000"/>
          <w:szCs w:val="20"/>
        </w:rPr>
        <w:t>,</w:t>
      </w:r>
      <w:r w:rsidRPr="00D16014">
        <w:rPr>
          <w:rFonts w:ascii="Calibri" w:hAnsi="Calibri" w:cs="Calibri"/>
          <w:b/>
          <w:color w:val="C00000"/>
          <w:szCs w:val="20"/>
        </w:rPr>
        <w:t xml:space="preserve"> aż co dziesiąta osoba.</w:t>
      </w:r>
      <w:r>
        <w:rPr>
          <w:rFonts w:ascii="Calibri" w:hAnsi="Calibri" w:cs="Calibri"/>
          <w:szCs w:val="20"/>
        </w:rPr>
        <w:t xml:space="preserve"> </w:t>
      </w:r>
    </w:p>
    <w:p w:rsidR="001C7034" w:rsidRDefault="001C7034" w:rsidP="005260B6">
      <w:pPr>
        <w:jc w:val="both"/>
        <w:rPr>
          <w:rFonts w:ascii="Calibri" w:hAnsi="Calibri" w:cs="Calibri"/>
          <w:szCs w:val="20"/>
        </w:rPr>
      </w:pPr>
    </w:p>
    <w:p w:rsidR="005260B6" w:rsidRDefault="005260B6" w:rsidP="005260B6">
      <w:pPr>
        <w:pStyle w:val="Legenda"/>
        <w:spacing w:line="312" w:lineRule="auto"/>
        <w:rPr>
          <w:rFonts w:ascii="Calibri" w:hAnsi="Calibri" w:cs="Calibri"/>
        </w:rPr>
      </w:pPr>
      <w:bookmarkStart w:id="4054" w:name="_Toc202771103"/>
      <w:r>
        <w:rPr>
          <w:rFonts w:ascii="Calibri" w:hAnsi="Calibri" w:cs="Calibri"/>
        </w:rPr>
        <w:t xml:space="preserve">Tabela </w:t>
      </w:r>
      <w:r w:rsidR="003972D8">
        <w:rPr>
          <w:rFonts w:ascii="Calibri" w:hAnsi="Calibri" w:cs="Calibri"/>
        </w:rPr>
        <w:fldChar w:fldCharType="begin"/>
      </w:r>
      <w:r>
        <w:rPr>
          <w:rFonts w:ascii="Calibri" w:hAnsi="Calibri" w:cs="Calibri"/>
        </w:rPr>
        <w:instrText xml:space="preserve"> SEQ Tabela \* ARABIC </w:instrText>
      </w:r>
      <w:r w:rsidR="003972D8">
        <w:rPr>
          <w:rFonts w:ascii="Calibri" w:hAnsi="Calibri" w:cs="Calibri"/>
        </w:rPr>
        <w:fldChar w:fldCharType="separate"/>
      </w:r>
      <w:r w:rsidR="00413FFE">
        <w:rPr>
          <w:rFonts w:ascii="Calibri" w:hAnsi="Calibri" w:cs="Calibri"/>
          <w:noProof/>
        </w:rPr>
        <w:t>9</w:t>
      </w:r>
      <w:r w:rsidR="003972D8">
        <w:rPr>
          <w:rFonts w:ascii="Calibri" w:hAnsi="Calibri" w:cs="Calibri"/>
        </w:rPr>
        <w:fldChar w:fldCharType="end"/>
      </w:r>
      <w:r>
        <w:rPr>
          <w:rFonts w:ascii="Calibri" w:hAnsi="Calibri" w:cs="Calibri"/>
        </w:rPr>
        <w:t>. Zasiłki pomocy społecznej na 1 tys. mieszkańców</w:t>
      </w:r>
      <w:bookmarkEnd w:id="4054"/>
    </w:p>
    <w:tbl>
      <w:tblPr>
        <w:tblW w:w="5000" w:type="pct"/>
        <w:tblCellMar>
          <w:left w:w="70" w:type="dxa"/>
          <w:right w:w="70" w:type="dxa"/>
        </w:tblCellMar>
        <w:tblLook w:val="0000"/>
      </w:tblPr>
      <w:tblGrid>
        <w:gridCol w:w="3351"/>
        <w:gridCol w:w="1953"/>
        <w:gridCol w:w="1953"/>
        <w:gridCol w:w="1953"/>
      </w:tblGrid>
      <w:tr w:rsidR="005260B6" w:rsidRPr="00A50C70" w:rsidTr="005252DC">
        <w:trPr>
          <w:trHeight w:val="285"/>
        </w:trPr>
        <w:tc>
          <w:tcPr>
            <w:tcW w:w="1820" w:type="pct"/>
            <w:tcBorders>
              <w:top w:val="single" w:sz="4" w:space="0" w:color="auto"/>
              <w:left w:val="single" w:sz="4" w:space="0" w:color="auto"/>
              <w:bottom w:val="single" w:sz="4" w:space="0" w:color="auto"/>
              <w:right w:val="single" w:sz="4" w:space="0" w:color="auto"/>
            </w:tcBorders>
            <w:shd w:val="clear" w:color="auto" w:fill="99CCFF"/>
            <w:noWrap/>
            <w:vAlign w:val="center"/>
          </w:tcPr>
          <w:p w:rsidR="005260B6" w:rsidRPr="00A50C70" w:rsidRDefault="005260B6" w:rsidP="005252DC">
            <w:pPr>
              <w:jc w:val="center"/>
              <w:rPr>
                <w:rFonts w:ascii="Calibri" w:eastAsiaTheme="minorEastAsia" w:hAnsi="Calibri" w:cs="Calibri"/>
                <w:b/>
                <w:bCs/>
                <w:color w:val="000000"/>
                <w:szCs w:val="20"/>
              </w:rPr>
            </w:pPr>
            <w:r w:rsidRPr="00A50C70">
              <w:rPr>
                <w:rFonts w:ascii="Calibri" w:eastAsiaTheme="minorEastAsia" w:hAnsi="Calibri" w:cs="Calibri"/>
                <w:b/>
                <w:bCs/>
                <w:color w:val="000000"/>
                <w:szCs w:val="20"/>
              </w:rPr>
              <w:t>Podobszar</w:t>
            </w:r>
          </w:p>
        </w:tc>
        <w:tc>
          <w:tcPr>
            <w:tcW w:w="1060" w:type="pct"/>
            <w:tcBorders>
              <w:top w:val="single" w:sz="4" w:space="0" w:color="auto"/>
              <w:left w:val="nil"/>
              <w:bottom w:val="single" w:sz="4" w:space="0" w:color="auto"/>
              <w:right w:val="single" w:sz="4" w:space="0" w:color="auto"/>
            </w:tcBorders>
            <w:shd w:val="clear" w:color="auto" w:fill="99CCFF"/>
            <w:noWrap/>
            <w:vAlign w:val="center"/>
          </w:tcPr>
          <w:p w:rsidR="005260B6" w:rsidRPr="00A50C70" w:rsidRDefault="005260B6" w:rsidP="005252DC">
            <w:pPr>
              <w:jc w:val="center"/>
              <w:rPr>
                <w:rFonts w:ascii="Calibri" w:eastAsiaTheme="minorEastAsia" w:hAnsi="Calibri" w:cs="Calibri"/>
                <w:b/>
                <w:bCs/>
                <w:color w:val="000000"/>
                <w:szCs w:val="20"/>
              </w:rPr>
            </w:pPr>
            <w:r w:rsidRPr="00A50C70">
              <w:rPr>
                <w:rFonts w:ascii="Calibri" w:eastAsiaTheme="minorEastAsia" w:hAnsi="Calibri" w:cs="Calibri"/>
                <w:b/>
                <w:bCs/>
                <w:color w:val="000000"/>
                <w:szCs w:val="20"/>
              </w:rPr>
              <w:t>Zasiłki stałe</w:t>
            </w:r>
          </w:p>
        </w:tc>
        <w:tc>
          <w:tcPr>
            <w:tcW w:w="1060" w:type="pct"/>
            <w:tcBorders>
              <w:top w:val="single" w:sz="4" w:space="0" w:color="auto"/>
              <w:left w:val="nil"/>
              <w:bottom w:val="single" w:sz="4" w:space="0" w:color="auto"/>
              <w:right w:val="single" w:sz="4" w:space="0" w:color="auto"/>
            </w:tcBorders>
            <w:shd w:val="clear" w:color="auto" w:fill="99CCFF"/>
            <w:noWrap/>
            <w:vAlign w:val="center"/>
          </w:tcPr>
          <w:p w:rsidR="005260B6" w:rsidRPr="00A50C70" w:rsidRDefault="005260B6" w:rsidP="005252DC">
            <w:pPr>
              <w:jc w:val="center"/>
              <w:rPr>
                <w:rFonts w:ascii="Calibri" w:eastAsiaTheme="minorEastAsia" w:hAnsi="Calibri" w:cs="Calibri"/>
                <w:b/>
                <w:bCs/>
                <w:color w:val="000000"/>
                <w:szCs w:val="20"/>
              </w:rPr>
            </w:pPr>
            <w:r w:rsidRPr="00A50C70">
              <w:rPr>
                <w:rFonts w:ascii="Calibri" w:eastAsiaTheme="minorEastAsia" w:hAnsi="Calibri" w:cs="Calibri"/>
                <w:b/>
                <w:bCs/>
                <w:color w:val="000000"/>
                <w:szCs w:val="20"/>
              </w:rPr>
              <w:t>Zasiłki okresowe</w:t>
            </w:r>
          </w:p>
        </w:tc>
        <w:tc>
          <w:tcPr>
            <w:tcW w:w="1060" w:type="pct"/>
            <w:tcBorders>
              <w:top w:val="single" w:sz="4" w:space="0" w:color="auto"/>
              <w:left w:val="nil"/>
              <w:bottom w:val="single" w:sz="4" w:space="0" w:color="auto"/>
              <w:right w:val="single" w:sz="4" w:space="0" w:color="auto"/>
            </w:tcBorders>
            <w:shd w:val="clear" w:color="auto" w:fill="99CCFF"/>
            <w:noWrap/>
            <w:vAlign w:val="center"/>
          </w:tcPr>
          <w:p w:rsidR="005260B6" w:rsidRPr="00A50C70" w:rsidRDefault="005260B6" w:rsidP="005252DC">
            <w:pPr>
              <w:jc w:val="center"/>
              <w:rPr>
                <w:rFonts w:ascii="Calibri" w:eastAsiaTheme="minorEastAsia" w:hAnsi="Calibri" w:cs="Calibri"/>
                <w:b/>
                <w:bCs/>
                <w:color w:val="000000"/>
                <w:szCs w:val="20"/>
              </w:rPr>
            </w:pPr>
            <w:r w:rsidRPr="00A50C70">
              <w:rPr>
                <w:rFonts w:ascii="Calibri" w:eastAsiaTheme="minorEastAsia" w:hAnsi="Calibri" w:cs="Calibri"/>
                <w:b/>
                <w:bCs/>
                <w:color w:val="000000"/>
                <w:szCs w:val="20"/>
              </w:rPr>
              <w:t>Zasiłki celowe</w:t>
            </w:r>
          </w:p>
        </w:tc>
      </w:tr>
      <w:tr w:rsidR="005260B6" w:rsidRPr="00A50C70" w:rsidTr="005252DC">
        <w:trPr>
          <w:trHeight w:val="285"/>
        </w:trPr>
        <w:tc>
          <w:tcPr>
            <w:tcW w:w="1820" w:type="pct"/>
            <w:tcBorders>
              <w:top w:val="nil"/>
              <w:left w:val="single" w:sz="4" w:space="0" w:color="auto"/>
              <w:bottom w:val="single" w:sz="4" w:space="0" w:color="auto"/>
              <w:right w:val="single" w:sz="4" w:space="0" w:color="auto"/>
            </w:tcBorders>
            <w:noWrap/>
            <w:vAlign w:val="bottom"/>
          </w:tcPr>
          <w:p w:rsidR="005260B6" w:rsidRPr="00A50C70" w:rsidRDefault="005260B6" w:rsidP="005260B6">
            <w:pPr>
              <w:rPr>
                <w:rFonts w:ascii="Calibri" w:eastAsiaTheme="minorEastAsia" w:hAnsi="Calibri" w:cs="Calibri"/>
                <w:color w:val="000000"/>
                <w:szCs w:val="20"/>
              </w:rPr>
            </w:pPr>
            <w:r w:rsidRPr="00A50C70">
              <w:rPr>
                <w:rFonts w:ascii="Calibri" w:eastAsiaTheme="minorEastAsia" w:hAnsi="Calibri" w:cs="Calibri"/>
                <w:color w:val="000000"/>
                <w:szCs w:val="20"/>
              </w:rPr>
              <w:t>Bytom</w:t>
            </w:r>
          </w:p>
        </w:tc>
        <w:tc>
          <w:tcPr>
            <w:tcW w:w="1060" w:type="pct"/>
            <w:tcBorders>
              <w:top w:val="nil"/>
              <w:left w:val="nil"/>
              <w:bottom w:val="single" w:sz="4" w:space="0" w:color="auto"/>
              <w:right w:val="single" w:sz="4" w:space="0" w:color="auto"/>
            </w:tcBorders>
            <w:noWrap/>
            <w:vAlign w:val="bottom"/>
          </w:tcPr>
          <w:p w:rsidR="005260B6" w:rsidRPr="001209DD" w:rsidRDefault="005260B6" w:rsidP="005260B6">
            <w:pPr>
              <w:jc w:val="center"/>
              <w:rPr>
                <w:rFonts w:ascii="Calibri" w:eastAsiaTheme="minorEastAsia" w:hAnsi="Calibri" w:cs="Calibri"/>
                <w:color w:val="000000"/>
                <w:szCs w:val="20"/>
              </w:rPr>
            </w:pPr>
            <w:r w:rsidRPr="001209DD">
              <w:rPr>
                <w:rFonts w:ascii="Calibri" w:eastAsiaTheme="minorEastAsia" w:hAnsi="Calibri" w:cs="Calibri"/>
                <w:color w:val="000000"/>
                <w:szCs w:val="20"/>
              </w:rPr>
              <w:t>7</w:t>
            </w:r>
          </w:p>
        </w:tc>
        <w:tc>
          <w:tcPr>
            <w:tcW w:w="1060" w:type="pct"/>
            <w:tcBorders>
              <w:top w:val="nil"/>
              <w:left w:val="nil"/>
              <w:bottom w:val="single" w:sz="4" w:space="0" w:color="auto"/>
              <w:right w:val="single" w:sz="4" w:space="0" w:color="auto"/>
            </w:tcBorders>
            <w:noWrap/>
            <w:vAlign w:val="bottom"/>
          </w:tcPr>
          <w:p w:rsidR="005260B6" w:rsidRPr="001209DD" w:rsidRDefault="005260B6" w:rsidP="005260B6">
            <w:pPr>
              <w:jc w:val="center"/>
              <w:rPr>
                <w:rFonts w:ascii="Calibri" w:eastAsiaTheme="minorEastAsia" w:hAnsi="Calibri" w:cs="Calibri"/>
                <w:color w:val="000000"/>
                <w:szCs w:val="20"/>
              </w:rPr>
            </w:pPr>
            <w:r w:rsidRPr="001209DD">
              <w:rPr>
                <w:rFonts w:ascii="Calibri" w:eastAsiaTheme="minorEastAsia" w:hAnsi="Calibri" w:cs="Calibri"/>
                <w:color w:val="000000"/>
                <w:szCs w:val="20"/>
              </w:rPr>
              <w:t>28</w:t>
            </w:r>
          </w:p>
        </w:tc>
        <w:tc>
          <w:tcPr>
            <w:tcW w:w="1060" w:type="pct"/>
            <w:tcBorders>
              <w:top w:val="nil"/>
              <w:left w:val="nil"/>
              <w:bottom w:val="single" w:sz="4" w:space="0" w:color="auto"/>
              <w:right w:val="single" w:sz="4" w:space="0" w:color="auto"/>
            </w:tcBorders>
            <w:noWrap/>
            <w:vAlign w:val="bottom"/>
          </w:tcPr>
          <w:p w:rsidR="005260B6" w:rsidRPr="001209DD" w:rsidRDefault="005260B6" w:rsidP="005260B6">
            <w:pPr>
              <w:jc w:val="center"/>
              <w:rPr>
                <w:rFonts w:ascii="Calibri" w:eastAsiaTheme="minorEastAsia" w:hAnsi="Calibri" w:cs="Calibri"/>
                <w:color w:val="000000"/>
                <w:szCs w:val="20"/>
              </w:rPr>
            </w:pPr>
            <w:r w:rsidRPr="001209DD">
              <w:rPr>
                <w:rFonts w:ascii="Calibri" w:eastAsiaTheme="minorEastAsia" w:hAnsi="Calibri" w:cs="Calibri"/>
                <w:color w:val="000000"/>
                <w:szCs w:val="20"/>
              </w:rPr>
              <w:t>19</w:t>
            </w:r>
          </w:p>
        </w:tc>
      </w:tr>
      <w:tr w:rsidR="005260B6" w:rsidRPr="00A50C70" w:rsidTr="005252DC">
        <w:trPr>
          <w:trHeight w:val="285"/>
        </w:trPr>
        <w:tc>
          <w:tcPr>
            <w:tcW w:w="1820" w:type="pct"/>
            <w:tcBorders>
              <w:top w:val="nil"/>
              <w:left w:val="single" w:sz="4" w:space="0" w:color="auto"/>
              <w:bottom w:val="single" w:sz="4" w:space="0" w:color="auto"/>
              <w:right w:val="single" w:sz="4" w:space="0" w:color="auto"/>
            </w:tcBorders>
            <w:vAlign w:val="bottom"/>
          </w:tcPr>
          <w:p w:rsidR="005260B6" w:rsidRPr="00A50C70" w:rsidRDefault="005260B6" w:rsidP="005260B6">
            <w:pPr>
              <w:rPr>
                <w:rFonts w:ascii="Calibri" w:eastAsiaTheme="minorEastAsia" w:hAnsi="Calibri" w:cs="Calibri"/>
                <w:color w:val="000000"/>
                <w:szCs w:val="20"/>
              </w:rPr>
            </w:pPr>
            <w:r w:rsidRPr="00A50C70">
              <w:rPr>
                <w:rFonts w:ascii="Calibri" w:eastAsiaTheme="minorEastAsia" w:hAnsi="Calibri" w:cs="Calibri"/>
                <w:color w:val="000000"/>
                <w:szCs w:val="20"/>
              </w:rPr>
              <w:t>Bobrek</w:t>
            </w:r>
          </w:p>
        </w:tc>
        <w:tc>
          <w:tcPr>
            <w:tcW w:w="1060" w:type="pct"/>
            <w:tcBorders>
              <w:top w:val="nil"/>
              <w:left w:val="nil"/>
              <w:bottom w:val="single" w:sz="4" w:space="0" w:color="auto"/>
              <w:right w:val="single" w:sz="4" w:space="0" w:color="auto"/>
            </w:tcBorders>
            <w:noWrap/>
            <w:vAlign w:val="bottom"/>
          </w:tcPr>
          <w:p w:rsidR="005260B6" w:rsidRPr="001209DD" w:rsidRDefault="005260B6" w:rsidP="005260B6">
            <w:pPr>
              <w:jc w:val="center"/>
              <w:rPr>
                <w:rFonts w:ascii="Calibri" w:eastAsiaTheme="minorEastAsia" w:hAnsi="Calibri" w:cs="Calibri"/>
                <w:color w:val="000000"/>
                <w:szCs w:val="20"/>
              </w:rPr>
            </w:pPr>
            <w:r w:rsidRPr="001209DD">
              <w:rPr>
                <w:rFonts w:ascii="Calibri" w:eastAsiaTheme="minorEastAsia" w:hAnsi="Calibri" w:cs="Calibri"/>
                <w:color w:val="000000"/>
                <w:szCs w:val="20"/>
              </w:rPr>
              <w:t>21</w:t>
            </w:r>
          </w:p>
        </w:tc>
        <w:tc>
          <w:tcPr>
            <w:tcW w:w="1060" w:type="pct"/>
            <w:tcBorders>
              <w:top w:val="nil"/>
              <w:left w:val="nil"/>
              <w:bottom w:val="single" w:sz="4" w:space="0" w:color="auto"/>
              <w:right w:val="single" w:sz="4" w:space="0" w:color="auto"/>
            </w:tcBorders>
            <w:noWrap/>
            <w:vAlign w:val="bottom"/>
          </w:tcPr>
          <w:p w:rsidR="005260B6" w:rsidRPr="001209DD" w:rsidRDefault="005260B6" w:rsidP="005260B6">
            <w:pPr>
              <w:jc w:val="center"/>
              <w:rPr>
                <w:rFonts w:ascii="Calibri" w:eastAsiaTheme="minorEastAsia" w:hAnsi="Calibri" w:cs="Calibri"/>
                <w:color w:val="000000"/>
                <w:szCs w:val="20"/>
              </w:rPr>
            </w:pPr>
            <w:r w:rsidRPr="001209DD">
              <w:rPr>
                <w:rFonts w:ascii="Calibri" w:eastAsiaTheme="minorEastAsia" w:hAnsi="Calibri" w:cs="Calibri"/>
                <w:color w:val="000000"/>
                <w:szCs w:val="20"/>
              </w:rPr>
              <w:t>106</w:t>
            </w:r>
          </w:p>
        </w:tc>
        <w:tc>
          <w:tcPr>
            <w:tcW w:w="1060" w:type="pct"/>
            <w:tcBorders>
              <w:top w:val="nil"/>
              <w:left w:val="nil"/>
              <w:bottom w:val="single" w:sz="4" w:space="0" w:color="auto"/>
              <w:right w:val="single" w:sz="4" w:space="0" w:color="auto"/>
            </w:tcBorders>
            <w:noWrap/>
            <w:vAlign w:val="bottom"/>
          </w:tcPr>
          <w:p w:rsidR="005260B6" w:rsidRPr="001209DD" w:rsidRDefault="005260B6" w:rsidP="005260B6">
            <w:pPr>
              <w:jc w:val="center"/>
              <w:rPr>
                <w:rFonts w:ascii="Calibri" w:eastAsiaTheme="minorEastAsia" w:hAnsi="Calibri" w:cs="Calibri"/>
                <w:color w:val="000000"/>
                <w:szCs w:val="20"/>
              </w:rPr>
            </w:pPr>
            <w:r w:rsidRPr="001209DD">
              <w:rPr>
                <w:rFonts w:ascii="Calibri" w:eastAsiaTheme="minorEastAsia" w:hAnsi="Calibri" w:cs="Calibri"/>
                <w:color w:val="000000"/>
                <w:szCs w:val="20"/>
              </w:rPr>
              <w:t>85</w:t>
            </w:r>
          </w:p>
        </w:tc>
      </w:tr>
      <w:tr w:rsidR="005260B6" w:rsidRPr="00A50C70" w:rsidTr="005252DC">
        <w:trPr>
          <w:trHeight w:val="285"/>
        </w:trPr>
        <w:tc>
          <w:tcPr>
            <w:tcW w:w="1820" w:type="pct"/>
            <w:tcBorders>
              <w:top w:val="nil"/>
              <w:left w:val="single" w:sz="4" w:space="0" w:color="auto"/>
              <w:bottom w:val="single" w:sz="4" w:space="0" w:color="auto"/>
              <w:right w:val="single" w:sz="4" w:space="0" w:color="auto"/>
            </w:tcBorders>
            <w:vAlign w:val="bottom"/>
          </w:tcPr>
          <w:p w:rsidR="005260B6" w:rsidRPr="00A50C70" w:rsidRDefault="005260B6" w:rsidP="005260B6">
            <w:pPr>
              <w:rPr>
                <w:rFonts w:ascii="Calibri" w:eastAsiaTheme="minorEastAsia" w:hAnsi="Calibri" w:cs="Calibri"/>
                <w:color w:val="000000"/>
                <w:szCs w:val="20"/>
              </w:rPr>
            </w:pPr>
            <w:r w:rsidRPr="00A50C70">
              <w:rPr>
                <w:rFonts w:ascii="Calibri" w:eastAsiaTheme="minorEastAsia" w:hAnsi="Calibri" w:cs="Calibri"/>
                <w:color w:val="000000"/>
                <w:szCs w:val="20"/>
              </w:rPr>
              <w:t>Śródmieście</w:t>
            </w:r>
          </w:p>
        </w:tc>
        <w:tc>
          <w:tcPr>
            <w:tcW w:w="1060" w:type="pct"/>
            <w:tcBorders>
              <w:top w:val="nil"/>
              <w:left w:val="nil"/>
              <w:bottom w:val="single" w:sz="4" w:space="0" w:color="auto"/>
              <w:right w:val="single" w:sz="4" w:space="0" w:color="auto"/>
            </w:tcBorders>
            <w:noWrap/>
            <w:vAlign w:val="bottom"/>
          </w:tcPr>
          <w:p w:rsidR="005260B6" w:rsidRPr="001209DD" w:rsidRDefault="005260B6" w:rsidP="005260B6">
            <w:pPr>
              <w:jc w:val="center"/>
              <w:rPr>
                <w:rFonts w:ascii="Calibri" w:eastAsiaTheme="minorEastAsia" w:hAnsi="Calibri" w:cs="Calibri"/>
                <w:color w:val="000000"/>
                <w:szCs w:val="20"/>
              </w:rPr>
            </w:pPr>
            <w:r w:rsidRPr="001209DD">
              <w:rPr>
                <w:rFonts w:ascii="Calibri" w:eastAsiaTheme="minorEastAsia" w:hAnsi="Calibri" w:cs="Calibri"/>
                <w:color w:val="000000"/>
                <w:szCs w:val="20"/>
              </w:rPr>
              <w:t>17</w:t>
            </w:r>
          </w:p>
        </w:tc>
        <w:tc>
          <w:tcPr>
            <w:tcW w:w="1060" w:type="pct"/>
            <w:tcBorders>
              <w:top w:val="nil"/>
              <w:left w:val="nil"/>
              <w:bottom w:val="single" w:sz="4" w:space="0" w:color="auto"/>
              <w:right w:val="single" w:sz="4" w:space="0" w:color="auto"/>
            </w:tcBorders>
            <w:noWrap/>
            <w:vAlign w:val="bottom"/>
          </w:tcPr>
          <w:p w:rsidR="005260B6" w:rsidRPr="001209DD" w:rsidRDefault="005260B6" w:rsidP="005260B6">
            <w:pPr>
              <w:jc w:val="center"/>
              <w:rPr>
                <w:rFonts w:ascii="Calibri" w:eastAsiaTheme="minorEastAsia" w:hAnsi="Calibri" w:cs="Calibri"/>
                <w:color w:val="000000"/>
                <w:szCs w:val="20"/>
              </w:rPr>
            </w:pPr>
            <w:r w:rsidRPr="001209DD">
              <w:rPr>
                <w:rFonts w:ascii="Calibri" w:eastAsiaTheme="minorEastAsia" w:hAnsi="Calibri" w:cs="Calibri"/>
                <w:color w:val="000000"/>
                <w:szCs w:val="20"/>
              </w:rPr>
              <w:t>59</w:t>
            </w:r>
          </w:p>
        </w:tc>
        <w:tc>
          <w:tcPr>
            <w:tcW w:w="1060" w:type="pct"/>
            <w:tcBorders>
              <w:top w:val="nil"/>
              <w:left w:val="nil"/>
              <w:bottom w:val="single" w:sz="4" w:space="0" w:color="auto"/>
              <w:right w:val="single" w:sz="4" w:space="0" w:color="auto"/>
            </w:tcBorders>
            <w:noWrap/>
            <w:vAlign w:val="bottom"/>
          </w:tcPr>
          <w:p w:rsidR="005260B6" w:rsidRPr="001209DD" w:rsidRDefault="005260B6" w:rsidP="005260B6">
            <w:pPr>
              <w:jc w:val="center"/>
              <w:rPr>
                <w:rFonts w:ascii="Calibri" w:eastAsiaTheme="minorEastAsia" w:hAnsi="Calibri" w:cs="Calibri"/>
                <w:color w:val="000000"/>
                <w:szCs w:val="20"/>
              </w:rPr>
            </w:pPr>
            <w:r w:rsidRPr="001209DD">
              <w:rPr>
                <w:rFonts w:ascii="Calibri" w:eastAsiaTheme="minorEastAsia" w:hAnsi="Calibri" w:cs="Calibri"/>
                <w:color w:val="000000"/>
                <w:szCs w:val="20"/>
              </w:rPr>
              <w:t>42</w:t>
            </w:r>
          </w:p>
        </w:tc>
      </w:tr>
      <w:tr w:rsidR="005260B6" w:rsidRPr="00A50C70" w:rsidTr="005252DC">
        <w:trPr>
          <w:trHeight w:val="285"/>
        </w:trPr>
        <w:tc>
          <w:tcPr>
            <w:tcW w:w="1820" w:type="pct"/>
            <w:tcBorders>
              <w:top w:val="nil"/>
              <w:left w:val="single" w:sz="4" w:space="0" w:color="auto"/>
              <w:bottom w:val="single" w:sz="4" w:space="0" w:color="auto"/>
              <w:right w:val="single" w:sz="4" w:space="0" w:color="auto"/>
            </w:tcBorders>
            <w:vAlign w:val="bottom"/>
          </w:tcPr>
          <w:p w:rsidR="005260B6" w:rsidRPr="00A50C70" w:rsidRDefault="005260B6" w:rsidP="005260B6">
            <w:pPr>
              <w:rPr>
                <w:rFonts w:ascii="Calibri" w:eastAsiaTheme="minorEastAsia" w:hAnsi="Calibri" w:cs="Calibri"/>
                <w:color w:val="000000"/>
                <w:szCs w:val="20"/>
              </w:rPr>
            </w:pPr>
            <w:r w:rsidRPr="00A50C70">
              <w:rPr>
                <w:rFonts w:ascii="Calibri" w:eastAsiaTheme="minorEastAsia" w:hAnsi="Calibri" w:cs="Calibri"/>
                <w:color w:val="000000"/>
                <w:szCs w:val="20"/>
              </w:rPr>
              <w:t>Śródmieście Zachód</w:t>
            </w:r>
          </w:p>
        </w:tc>
        <w:tc>
          <w:tcPr>
            <w:tcW w:w="1060" w:type="pct"/>
            <w:tcBorders>
              <w:top w:val="nil"/>
              <w:left w:val="nil"/>
              <w:bottom w:val="single" w:sz="4" w:space="0" w:color="auto"/>
              <w:right w:val="single" w:sz="4" w:space="0" w:color="auto"/>
            </w:tcBorders>
            <w:noWrap/>
            <w:vAlign w:val="bottom"/>
          </w:tcPr>
          <w:p w:rsidR="005260B6" w:rsidRPr="001209DD" w:rsidRDefault="005260B6" w:rsidP="005260B6">
            <w:pPr>
              <w:jc w:val="center"/>
              <w:rPr>
                <w:rFonts w:ascii="Calibri" w:eastAsiaTheme="minorEastAsia" w:hAnsi="Calibri" w:cs="Calibri"/>
                <w:color w:val="000000"/>
                <w:szCs w:val="20"/>
              </w:rPr>
            </w:pPr>
            <w:r w:rsidRPr="001209DD">
              <w:rPr>
                <w:rFonts w:ascii="Calibri" w:eastAsiaTheme="minorEastAsia" w:hAnsi="Calibri" w:cs="Calibri"/>
                <w:color w:val="000000"/>
                <w:szCs w:val="20"/>
              </w:rPr>
              <w:t>10</w:t>
            </w:r>
          </w:p>
        </w:tc>
        <w:tc>
          <w:tcPr>
            <w:tcW w:w="1060" w:type="pct"/>
            <w:tcBorders>
              <w:top w:val="nil"/>
              <w:left w:val="nil"/>
              <w:bottom w:val="single" w:sz="4" w:space="0" w:color="auto"/>
              <w:right w:val="single" w:sz="4" w:space="0" w:color="auto"/>
            </w:tcBorders>
            <w:noWrap/>
            <w:vAlign w:val="bottom"/>
          </w:tcPr>
          <w:p w:rsidR="005260B6" w:rsidRPr="001209DD" w:rsidRDefault="005260B6" w:rsidP="005260B6">
            <w:pPr>
              <w:jc w:val="center"/>
              <w:rPr>
                <w:rFonts w:ascii="Calibri" w:eastAsiaTheme="minorEastAsia" w:hAnsi="Calibri" w:cs="Calibri"/>
                <w:color w:val="000000"/>
                <w:szCs w:val="20"/>
              </w:rPr>
            </w:pPr>
            <w:r w:rsidRPr="001209DD">
              <w:rPr>
                <w:rFonts w:ascii="Calibri" w:eastAsiaTheme="minorEastAsia" w:hAnsi="Calibri" w:cs="Calibri"/>
                <w:color w:val="000000"/>
                <w:szCs w:val="20"/>
              </w:rPr>
              <w:t>30</w:t>
            </w:r>
          </w:p>
        </w:tc>
        <w:tc>
          <w:tcPr>
            <w:tcW w:w="1060" w:type="pct"/>
            <w:tcBorders>
              <w:top w:val="nil"/>
              <w:left w:val="nil"/>
              <w:bottom w:val="single" w:sz="4" w:space="0" w:color="auto"/>
              <w:right w:val="single" w:sz="4" w:space="0" w:color="auto"/>
            </w:tcBorders>
            <w:noWrap/>
            <w:vAlign w:val="bottom"/>
          </w:tcPr>
          <w:p w:rsidR="005260B6" w:rsidRPr="001209DD" w:rsidRDefault="005260B6" w:rsidP="005260B6">
            <w:pPr>
              <w:jc w:val="center"/>
              <w:rPr>
                <w:rFonts w:ascii="Calibri" w:eastAsiaTheme="minorEastAsia" w:hAnsi="Calibri" w:cs="Calibri"/>
                <w:color w:val="000000"/>
                <w:szCs w:val="20"/>
              </w:rPr>
            </w:pPr>
            <w:r w:rsidRPr="001209DD">
              <w:rPr>
                <w:rFonts w:ascii="Calibri" w:eastAsiaTheme="minorEastAsia" w:hAnsi="Calibri" w:cs="Calibri"/>
                <w:color w:val="000000"/>
                <w:szCs w:val="20"/>
              </w:rPr>
              <w:t>22</w:t>
            </w:r>
          </w:p>
        </w:tc>
      </w:tr>
      <w:tr w:rsidR="005260B6" w:rsidRPr="00A50C70" w:rsidTr="005252DC">
        <w:trPr>
          <w:trHeight w:val="285"/>
        </w:trPr>
        <w:tc>
          <w:tcPr>
            <w:tcW w:w="1820" w:type="pct"/>
            <w:tcBorders>
              <w:top w:val="nil"/>
              <w:left w:val="single" w:sz="4" w:space="0" w:color="auto"/>
              <w:bottom w:val="single" w:sz="4" w:space="0" w:color="auto"/>
              <w:right w:val="single" w:sz="4" w:space="0" w:color="auto"/>
            </w:tcBorders>
            <w:vAlign w:val="bottom"/>
          </w:tcPr>
          <w:p w:rsidR="005260B6" w:rsidRPr="00A50C70" w:rsidRDefault="005260B6" w:rsidP="005260B6">
            <w:pPr>
              <w:rPr>
                <w:rFonts w:ascii="Calibri" w:eastAsiaTheme="minorEastAsia" w:hAnsi="Calibri" w:cs="Calibri"/>
                <w:color w:val="000000"/>
                <w:szCs w:val="20"/>
              </w:rPr>
            </w:pPr>
            <w:r w:rsidRPr="00A50C70">
              <w:rPr>
                <w:rFonts w:ascii="Calibri" w:eastAsiaTheme="minorEastAsia" w:hAnsi="Calibri" w:cs="Calibri"/>
                <w:color w:val="000000"/>
                <w:szCs w:val="20"/>
              </w:rPr>
              <w:t>Rozbark</w:t>
            </w:r>
          </w:p>
        </w:tc>
        <w:tc>
          <w:tcPr>
            <w:tcW w:w="1060" w:type="pct"/>
            <w:tcBorders>
              <w:top w:val="nil"/>
              <w:left w:val="nil"/>
              <w:bottom w:val="single" w:sz="4" w:space="0" w:color="auto"/>
              <w:right w:val="single" w:sz="4" w:space="0" w:color="auto"/>
            </w:tcBorders>
            <w:noWrap/>
            <w:vAlign w:val="bottom"/>
          </w:tcPr>
          <w:p w:rsidR="005260B6" w:rsidRPr="001209DD" w:rsidRDefault="005260B6" w:rsidP="005260B6">
            <w:pPr>
              <w:jc w:val="center"/>
              <w:rPr>
                <w:rFonts w:ascii="Calibri" w:eastAsiaTheme="minorEastAsia" w:hAnsi="Calibri" w:cs="Calibri"/>
                <w:color w:val="000000"/>
                <w:szCs w:val="20"/>
              </w:rPr>
            </w:pPr>
            <w:r w:rsidRPr="001209DD">
              <w:rPr>
                <w:rFonts w:ascii="Calibri" w:eastAsiaTheme="minorEastAsia" w:hAnsi="Calibri" w:cs="Calibri"/>
                <w:color w:val="000000"/>
                <w:szCs w:val="20"/>
              </w:rPr>
              <w:t>12</w:t>
            </w:r>
          </w:p>
        </w:tc>
        <w:tc>
          <w:tcPr>
            <w:tcW w:w="1060" w:type="pct"/>
            <w:tcBorders>
              <w:top w:val="nil"/>
              <w:left w:val="nil"/>
              <w:bottom w:val="single" w:sz="4" w:space="0" w:color="auto"/>
              <w:right w:val="single" w:sz="4" w:space="0" w:color="auto"/>
            </w:tcBorders>
            <w:noWrap/>
            <w:vAlign w:val="bottom"/>
          </w:tcPr>
          <w:p w:rsidR="005260B6" w:rsidRPr="001209DD" w:rsidRDefault="005260B6" w:rsidP="005260B6">
            <w:pPr>
              <w:jc w:val="center"/>
              <w:rPr>
                <w:rFonts w:ascii="Calibri" w:eastAsiaTheme="minorEastAsia" w:hAnsi="Calibri" w:cs="Calibri"/>
                <w:color w:val="000000"/>
                <w:szCs w:val="20"/>
              </w:rPr>
            </w:pPr>
            <w:r w:rsidRPr="001209DD">
              <w:rPr>
                <w:rFonts w:ascii="Calibri" w:eastAsiaTheme="minorEastAsia" w:hAnsi="Calibri" w:cs="Calibri"/>
                <w:color w:val="000000"/>
                <w:szCs w:val="20"/>
              </w:rPr>
              <w:t>60</w:t>
            </w:r>
          </w:p>
        </w:tc>
        <w:tc>
          <w:tcPr>
            <w:tcW w:w="1060" w:type="pct"/>
            <w:tcBorders>
              <w:top w:val="nil"/>
              <w:left w:val="nil"/>
              <w:bottom w:val="single" w:sz="4" w:space="0" w:color="auto"/>
              <w:right w:val="single" w:sz="4" w:space="0" w:color="auto"/>
            </w:tcBorders>
            <w:noWrap/>
            <w:vAlign w:val="bottom"/>
          </w:tcPr>
          <w:p w:rsidR="005260B6" w:rsidRPr="001209DD" w:rsidRDefault="005260B6" w:rsidP="005260B6">
            <w:pPr>
              <w:jc w:val="center"/>
              <w:rPr>
                <w:rFonts w:ascii="Calibri" w:eastAsiaTheme="minorEastAsia" w:hAnsi="Calibri" w:cs="Calibri"/>
                <w:color w:val="000000"/>
                <w:szCs w:val="20"/>
              </w:rPr>
            </w:pPr>
            <w:r w:rsidRPr="001209DD">
              <w:rPr>
                <w:rFonts w:ascii="Calibri" w:eastAsiaTheme="minorEastAsia" w:hAnsi="Calibri" w:cs="Calibri"/>
                <w:color w:val="000000"/>
                <w:szCs w:val="20"/>
              </w:rPr>
              <w:t>41</w:t>
            </w:r>
          </w:p>
        </w:tc>
      </w:tr>
      <w:tr w:rsidR="005260B6" w:rsidRPr="00A50C70" w:rsidTr="005252DC">
        <w:trPr>
          <w:trHeight w:val="285"/>
        </w:trPr>
        <w:tc>
          <w:tcPr>
            <w:tcW w:w="1820" w:type="pct"/>
            <w:tcBorders>
              <w:top w:val="nil"/>
              <w:left w:val="single" w:sz="4" w:space="0" w:color="auto"/>
              <w:bottom w:val="single" w:sz="4" w:space="0" w:color="auto"/>
              <w:right w:val="single" w:sz="4" w:space="0" w:color="auto"/>
            </w:tcBorders>
            <w:vAlign w:val="bottom"/>
          </w:tcPr>
          <w:p w:rsidR="005260B6" w:rsidRPr="00A50C70" w:rsidRDefault="005260B6" w:rsidP="005260B6">
            <w:pPr>
              <w:rPr>
                <w:rFonts w:ascii="Calibri" w:eastAsiaTheme="minorEastAsia" w:hAnsi="Calibri" w:cs="Calibri"/>
                <w:color w:val="000000"/>
                <w:szCs w:val="20"/>
              </w:rPr>
            </w:pPr>
            <w:r w:rsidRPr="00A50C70">
              <w:rPr>
                <w:rFonts w:ascii="Calibri" w:eastAsiaTheme="minorEastAsia" w:hAnsi="Calibri" w:cs="Calibri"/>
                <w:color w:val="000000"/>
                <w:szCs w:val="20"/>
              </w:rPr>
              <w:t>Śródmieście Północ</w:t>
            </w:r>
          </w:p>
        </w:tc>
        <w:tc>
          <w:tcPr>
            <w:tcW w:w="1060" w:type="pct"/>
            <w:tcBorders>
              <w:top w:val="nil"/>
              <w:left w:val="nil"/>
              <w:bottom w:val="single" w:sz="4" w:space="0" w:color="auto"/>
              <w:right w:val="single" w:sz="4" w:space="0" w:color="auto"/>
            </w:tcBorders>
            <w:noWrap/>
            <w:vAlign w:val="bottom"/>
          </w:tcPr>
          <w:p w:rsidR="005260B6" w:rsidRPr="001209DD" w:rsidRDefault="005260B6" w:rsidP="005260B6">
            <w:pPr>
              <w:jc w:val="center"/>
              <w:rPr>
                <w:rFonts w:ascii="Calibri" w:eastAsiaTheme="minorEastAsia" w:hAnsi="Calibri" w:cs="Calibri"/>
                <w:color w:val="000000"/>
                <w:szCs w:val="20"/>
              </w:rPr>
            </w:pPr>
            <w:r w:rsidRPr="001209DD">
              <w:rPr>
                <w:rFonts w:ascii="Calibri" w:eastAsiaTheme="minorEastAsia" w:hAnsi="Calibri" w:cs="Calibri"/>
                <w:color w:val="000000"/>
                <w:szCs w:val="20"/>
              </w:rPr>
              <w:t>8</w:t>
            </w:r>
          </w:p>
        </w:tc>
        <w:tc>
          <w:tcPr>
            <w:tcW w:w="1060" w:type="pct"/>
            <w:tcBorders>
              <w:top w:val="nil"/>
              <w:left w:val="nil"/>
              <w:bottom w:val="single" w:sz="4" w:space="0" w:color="auto"/>
              <w:right w:val="single" w:sz="4" w:space="0" w:color="auto"/>
            </w:tcBorders>
            <w:noWrap/>
            <w:vAlign w:val="bottom"/>
          </w:tcPr>
          <w:p w:rsidR="005260B6" w:rsidRPr="001209DD" w:rsidRDefault="005260B6" w:rsidP="005260B6">
            <w:pPr>
              <w:jc w:val="center"/>
              <w:rPr>
                <w:rFonts w:ascii="Calibri" w:eastAsiaTheme="minorEastAsia" w:hAnsi="Calibri" w:cs="Calibri"/>
                <w:color w:val="000000"/>
                <w:szCs w:val="20"/>
              </w:rPr>
            </w:pPr>
            <w:r w:rsidRPr="001209DD">
              <w:rPr>
                <w:rFonts w:ascii="Calibri" w:eastAsiaTheme="minorEastAsia" w:hAnsi="Calibri" w:cs="Calibri"/>
                <w:color w:val="000000"/>
                <w:szCs w:val="20"/>
              </w:rPr>
              <w:t>33</w:t>
            </w:r>
          </w:p>
        </w:tc>
        <w:tc>
          <w:tcPr>
            <w:tcW w:w="1060" w:type="pct"/>
            <w:tcBorders>
              <w:top w:val="nil"/>
              <w:left w:val="nil"/>
              <w:bottom w:val="single" w:sz="4" w:space="0" w:color="auto"/>
              <w:right w:val="single" w:sz="4" w:space="0" w:color="auto"/>
            </w:tcBorders>
            <w:noWrap/>
            <w:vAlign w:val="bottom"/>
          </w:tcPr>
          <w:p w:rsidR="005260B6" w:rsidRPr="001209DD" w:rsidRDefault="005260B6" w:rsidP="005260B6">
            <w:pPr>
              <w:jc w:val="center"/>
              <w:rPr>
                <w:rFonts w:ascii="Calibri" w:eastAsiaTheme="minorEastAsia" w:hAnsi="Calibri" w:cs="Calibri"/>
                <w:color w:val="000000"/>
                <w:szCs w:val="20"/>
              </w:rPr>
            </w:pPr>
            <w:r w:rsidRPr="001209DD">
              <w:rPr>
                <w:rFonts w:ascii="Calibri" w:eastAsiaTheme="minorEastAsia" w:hAnsi="Calibri" w:cs="Calibri"/>
                <w:color w:val="000000"/>
                <w:szCs w:val="20"/>
              </w:rPr>
              <w:t>26</w:t>
            </w:r>
          </w:p>
        </w:tc>
      </w:tr>
      <w:tr w:rsidR="005260B6" w:rsidRPr="00A50C70" w:rsidTr="005252DC">
        <w:trPr>
          <w:trHeight w:val="285"/>
        </w:trPr>
        <w:tc>
          <w:tcPr>
            <w:tcW w:w="1820" w:type="pct"/>
            <w:tcBorders>
              <w:top w:val="nil"/>
              <w:left w:val="single" w:sz="4" w:space="0" w:color="auto"/>
              <w:bottom w:val="single" w:sz="4" w:space="0" w:color="auto"/>
              <w:right w:val="single" w:sz="4" w:space="0" w:color="auto"/>
            </w:tcBorders>
            <w:vAlign w:val="bottom"/>
          </w:tcPr>
          <w:p w:rsidR="005260B6" w:rsidRPr="00A50C70" w:rsidRDefault="005260B6" w:rsidP="005260B6">
            <w:pPr>
              <w:rPr>
                <w:rFonts w:ascii="Calibri" w:eastAsiaTheme="minorEastAsia" w:hAnsi="Calibri" w:cs="Calibri"/>
                <w:color w:val="000000"/>
                <w:szCs w:val="20"/>
              </w:rPr>
            </w:pPr>
            <w:r w:rsidRPr="00A50C70">
              <w:rPr>
                <w:rFonts w:ascii="Calibri" w:eastAsiaTheme="minorEastAsia" w:hAnsi="Calibri" w:cs="Calibri"/>
                <w:color w:val="000000"/>
                <w:szCs w:val="20"/>
              </w:rPr>
              <w:t>Kolonia Zgorzelec</w:t>
            </w:r>
          </w:p>
        </w:tc>
        <w:tc>
          <w:tcPr>
            <w:tcW w:w="1060" w:type="pct"/>
            <w:tcBorders>
              <w:top w:val="nil"/>
              <w:left w:val="nil"/>
              <w:bottom w:val="single" w:sz="4" w:space="0" w:color="auto"/>
              <w:right w:val="single" w:sz="4" w:space="0" w:color="auto"/>
            </w:tcBorders>
            <w:noWrap/>
            <w:vAlign w:val="bottom"/>
          </w:tcPr>
          <w:p w:rsidR="005260B6" w:rsidRPr="001209DD" w:rsidRDefault="005260B6" w:rsidP="005260B6">
            <w:pPr>
              <w:jc w:val="center"/>
              <w:rPr>
                <w:rFonts w:ascii="Calibri" w:eastAsiaTheme="minorEastAsia" w:hAnsi="Calibri" w:cs="Calibri"/>
                <w:color w:val="000000"/>
                <w:szCs w:val="20"/>
              </w:rPr>
            </w:pPr>
            <w:r w:rsidRPr="001209DD">
              <w:rPr>
                <w:rFonts w:ascii="Calibri" w:eastAsiaTheme="minorEastAsia" w:hAnsi="Calibri" w:cs="Calibri"/>
                <w:color w:val="000000"/>
                <w:szCs w:val="20"/>
              </w:rPr>
              <w:t>7</w:t>
            </w:r>
          </w:p>
        </w:tc>
        <w:tc>
          <w:tcPr>
            <w:tcW w:w="1060" w:type="pct"/>
            <w:tcBorders>
              <w:top w:val="nil"/>
              <w:left w:val="nil"/>
              <w:bottom w:val="single" w:sz="4" w:space="0" w:color="auto"/>
              <w:right w:val="single" w:sz="4" w:space="0" w:color="auto"/>
            </w:tcBorders>
            <w:noWrap/>
            <w:vAlign w:val="bottom"/>
          </w:tcPr>
          <w:p w:rsidR="005260B6" w:rsidRPr="001209DD" w:rsidRDefault="005260B6" w:rsidP="005260B6">
            <w:pPr>
              <w:jc w:val="center"/>
              <w:rPr>
                <w:rFonts w:ascii="Calibri" w:eastAsiaTheme="minorEastAsia" w:hAnsi="Calibri" w:cs="Calibri"/>
                <w:color w:val="000000"/>
                <w:szCs w:val="20"/>
              </w:rPr>
            </w:pPr>
            <w:r w:rsidRPr="001209DD">
              <w:rPr>
                <w:rFonts w:ascii="Calibri" w:eastAsiaTheme="minorEastAsia" w:hAnsi="Calibri" w:cs="Calibri"/>
                <w:color w:val="000000"/>
                <w:szCs w:val="20"/>
              </w:rPr>
              <w:t>46</w:t>
            </w:r>
          </w:p>
        </w:tc>
        <w:tc>
          <w:tcPr>
            <w:tcW w:w="1060" w:type="pct"/>
            <w:tcBorders>
              <w:top w:val="nil"/>
              <w:left w:val="nil"/>
              <w:bottom w:val="single" w:sz="4" w:space="0" w:color="auto"/>
              <w:right w:val="single" w:sz="4" w:space="0" w:color="auto"/>
            </w:tcBorders>
            <w:noWrap/>
            <w:vAlign w:val="bottom"/>
          </w:tcPr>
          <w:p w:rsidR="005260B6" w:rsidRPr="001209DD" w:rsidRDefault="005260B6" w:rsidP="005260B6">
            <w:pPr>
              <w:jc w:val="center"/>
              <w:rPr>
                <w:rFonts w:ascii="Calibri" w:eastAsiaTheme="minorEastAsia" w:hAnsi="Calibri" w:cs="Calibri"/>
                <w:color w:val="000000"/>
                <w:szCs w:val="20"/>
              </w:rPr>
            </w:pPr>
            <w:r w:rsidRPr="001209DD">
              <w:rPr>
                <w:rFonts w:ascii="Calibri" w:eastAsiaTheme="minorEastAsia" w:hAnsi="Calibri" w:cs="Calibri"/>
                <w:color w:val="000000"/>
                <w:szCs w:val="20"/>
              </w:rPr>
              <w:t>46</w:t>
            </w:r>
          </w:p>
        </w:tc>
      </w:tr>
    </w:tbl>
    <w:p w:rsidR="005260B6" w:rsidRDefault="005260B6" w:rsidP="005260B6">
      <w:pPr>
        <w:autoSpaceDE w:val="0"/>
        <w:autoSpaceDN w:val="0"/>
        <w:adjustRightInd w:val="0"/>
        <w:rPr>
          <w:rFonts w:ascii="Calibri" w:hAnsi="Calibri" w:cs="Calibri"/>
          <w:i/>
          <w:iCs/>
          <w:sz w:val="18"/>
          <w:szCs w:val="18"/>
        </w:rPr>
      </w:pPr>
      <w:r>
        <w:rPr>
          <w:rFonts w:ascii="Calibri" w:hAnsi="Calibri" w:cs="Calibri"/>
          <w:i/>
          <w:iCs/>
          <w:sz w:val="18"/>
          <w:szCs w:val="18"/>
        </w:rPr>
        <w:t>Źródło: Opracowanie Instytutu Rozwoju Miast na podstawie danych MOPR w Bytomiu</w:t>
      </w:r>
    </w:p>
    <w:p w:rsidR="005260B6" w:rsidRDefault="005260B6" w:rsidP="005260B6">
      <w:pPr>
        <w:rPr>
          <w:rFonts w:ascii="Calibri" w:hAnsi="Calibri" w:cs="Calibri"/>
        </w:rPr>
      </w:pPr>
    </w:p>
    <w:p w:rsidR="005260B6" w:rsidRDefault="005260B6" w:rsidP="005260B6">
      <w:pPr>
        <w:ind w:firstLine="708"/>
        <w:jc w:val="both"/>
        <w:rPr>
          <w:rFonts w:ascii="Calibri" w:hAnsi="Calibri" w:cs="Calibri"/>
          <w:szCs w:val="20"/>
        </w:rPr>
      </w:pPr>
      <w:r>
        <w:rPr>
          <w:rFonts w:ascii="Calibri" w:hAnsi="Calibri" w:cs="Calibri"/>
          <w:szCs w:val="20"/>
        </w:rPr>
        <w:t xml:space="preserve">Wizualizacja na mapach rozkładu każdego z trzech rodzajów zasiłków daje podobny obraz zależności między poszczególnymi podobszarami i sytuacją w całym mieście. Dlatego poniżej zamieszczono tylko jedną z map – dotyczącą zasiłków celowych (mapa ilorazowa). Potwierdza ona, że w Bytomiu </w:t>
      </w:r>
      <w:r>
        <w:rPr>
          <w:rFonts w:ascii="Calibri" w:hAnsi="Calibri" w:cs="Calibri"/>
          <w:b/>
          <w:bCs/>
          <w:color w:val="C00000"/>
          <w:szCs w:val="20"/>
        </w:rPr>
        <w:t>najbardziej dotknięty problemem ubóstwa jest Bobrek</w:t>
      </w:r>
      <w:r>
        <w:rPr>
          <w:rFonts w:ascii="Calibri" w:hAnsi="Calibri" w:cs="Calibri"/>
          <w:color w:val="C00000"/>
          <w:szCs w:val="20"/>
        </w:rPr>
        <w:t xml:space="preserve">, </w:t>
      </w:r>
      <w:r>
        <w:rPr>
          <w:rFonts w:ascii="Calibri" w:hAnsi="Calibri" w:cs="Calibri"/>
          <w:szCs w:val="20"/>
        </w:rPr>
        <w:t xml:space="preserve">gdzie średnia miejska w wypadku zasiłku celowego na 1 tys. mieszkańców została przekroczona ponad czterokrotnie. </w:t>
      </w:r>
      <w:r>
        <w:rPr>
          <w:rFonts w:ascii="Calibri" w:hAnsi="Calibri" w:cs="Calibri"/>
          <w:b/>
          <w:bCs/>
          <w:color w:val="C00000"/>
          <w:szCs w:val="20"/>
        </w:rPr>
        <w:t xml:space="preserve">Ubóstwo silnie występuje także w Śródmieściu, Rozbarku </w:t>
      </w:r>
      <w:r>
        <w:rPr>
          <w:rFonts w:ascii="Calibri" w:hAnsi="Calibri" w:cs="Calibri"/>
          <w:b/>
          <w:bCs/>
          <w:color w:val="C00000"/>
          <w:szCs w:val="20"/>
        </w:rPr>
        <w:lastRenderedPageBreak/>
        <w:t>i w Kolonii Zgorzelec</w:t>
      </w:r>
      <w:r>
        <w:rPr>
          <w:rFonts w:ascii="Calibri" w:hAnsi="Calibri" w:cs="Calibri"/>
          <w:szCs w:val="20"/>
        </w:rPr>
        <w:t xml:space="preserve"> – średni wskaźnik miasta został tam przekroczony dwukrotnie. W tych podobszarach należy skupić działania naprawcze. Natomiast Śródmieście Zachód i Północ charakteryzują się wskaźnikiem zbliżonym do przeciętnego, chociaż również w tych podobszarach występują rejony ubóstwa. </w:t>
      </w:r>
    </w:p>
    <w:p w:rsidR="005260B6" w:rsidRDefault="005260B6" w:rsidP="005260B6">
      <w:pPr>
        <w:jc w:val="both"/>
        <w:rPr>
          <w:rFonts w:ascii="Calibri" w:hAnsi="Calibri" w:cs="Calibri"/>
          <w:szCs w:val="20"/>
        </w:rPr>
      </w:pPr>
    </w:p>
    <w:p w:rsidR="005260B6" w:rsidRDefault="005260B6" w:rsidP="005260B6">
      <w:pPr>
        <w:pStyle w:val="Legenda"/>
        <w:spacing w:line="312" w:lineRule="auto"/>
        <w:rPr>
          <w:rFonts w:ascii="Calibri" w:hAnsi="Calibri" w:cs="Calibri"/>
        </w:rPr>
      </w:pPr>
      <w:bookmarkStart w:id="4055" w:name="_Toc463277302"/>
      <w:bookmarkStart w:id="4056" w:name="_Toc191972619"/>
      <w:r>
        <w:rPr>
          <w:rFonts w:ascii="Calibri" w:hAnsi="Calibri" w:cs="Calibri"/>
        </w:rPr>
        <w:t xml:space="preserve">Mapa </w:t>
      </w:r>
      <w:r w:rsidR="003972D8">
        <w:rPr>
          <w:rFonts w:ascii="Calibri" w:hAnsi="Calibri" w:cs="Calibri"/>
        </w:rPr>
        <w:fldChar w:fldCharType="begin"/>
      </w:r>
      <w:r>
        <w:rPr>
          <w:rFonts w:ascii="Calibri" w:hAnsi="Calibri" w:cs="Calibri"/>
        </w:rPr>
        <w:instrText xml:space="preserve"> SEQ Mapa \* ARABIC </w:instrText>
      </w:r>
      <w:r w:rsidR="003972D8">
        <w:rPr>
          <w:rFonts w:ascii="Calibri" w:hAnsi="Calibri" w:cs="Calibri"/>
        </w:rPr>
        <w:fldChar w:fldCharType="separate"/>
      </w:r>
      <w:r w:rsidR="00413FFE">
        <w:rPr>
          <w:rFonts w:ascii="Calibri" w:hAnsi="Calibri" w:cs="Calibri"/>
          <w:noProof/>
        </w:rPr>
        <w:t>7</w:t>
      </w:r>
      <w:r w:rsidR="003972D8">
        <w:rPr>
          <w:rFonts w:ascii="Calibri" w:hAnsi="Calibri" w:cs="Calibri"/>
        </w:rPr>
        <w:fldChar w:fldCharType="end"/>
      </w:r>
      <w:r w:rsidR="005F1134">
        <w:rPr>
          <w:rFonts w:ascii="Calibri" w:hAnsi="Calibri" w:cs="Calibri"/>
        </w:rPr>
        <w:t xml:space="preserve">. </w:t>
      </w:r>
      <w:r>
        <w:rPr>
          <w:rFonts w:ascii="Calibri" w:hAnsi="Calibri" w:cs="Calibri"/>
        </w:rPr>
        <w:t>Osoby otrzymujące zasiłki celowe w Bytomiu</w:t>
      </w:r>
      <w:bookmarkEnd w:id="4055"/>
      <w:bookmarkEnd w:id="4056"/>
      <w:r>
        <w:rPr>
          <w:rFonts w:ascii="Calibri" w:hAnsi="Calibri" w:cs="Calibri"/>
        </w:rPr>
        <w:t xml:space="preserve"> </w:t>
      </w:r>
    </w:p>
    <w:p w:rsidR="005260B6" w:rsidRDefault="009B5277" w:rsidP="005260B6">
      <w:pPr>
        <w:rPr>
          <w:rFonts w:ascii="Calibri" w:hAnsi="Calibri" w:cs="Calibri"/>
        </w:rPr>
      </w:pPr>
      <w:r>
        <w:rPr>
          <w:rFonts w:ascii="Calibri" w:hAnsi="Calibri" w:cs="Calibri"/>
          <w:noProof/>
        </w:rPr>
        <w:drawing>
          <wp:inline distT="0" distB="0" distL="0" distR="0">
            <wp:extent cx="5762625" cy="4072255"/>
            <wp:effectExtent l="19050" t="0" r="9525" b="0"/>
            <wp:docPr id="80" name="Obraz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9" cstate="print"/>
                    <a:srcRect/>
                    <a:stretch>
                      <a:fillRect/>
                    </a:stretch>
                  </pic:blipFill>
                  <pic:spPr bwMode="auto">
                    <a:xfrm>
                      <a:off x="0" y="0"/>
                      <a:ext cx="5762625" cy="4072255"/>
                    </a:xfrm>
                    <a:prstGeom prst="rect">
                      <a:avLst/>
                    </a:prstGeom>
                    <a:noFill/>
                    <a:ln w="9525">
                      <a:noFill/>
                      <a:miter lim="800000"/>
                      <a:headEnd/>
                      <a:tailEnd/>
                    </a:ln>
                  </pic:spPr>
                </pic:pic>
              </a:graphicData>
            </a:graphic>
          </wp:inline>
        </w:drawing>
      </w:r>
    </w:p>
    <w:p w:rsidR="005260B6" w:rsidRDefault="005260B6" w:rsidP="005260B6">
      <w:pPr>
        <w:autoSpaceDE w:val="0"/>
        <w:autoSpaceDN w:val="0"/>
        <w:adjustRightInd w:val="0"/>
        <w:rPr>
          <w:rFonts w:ascii="Calibri" w:hAnsi="Calibri" w:cs="Calibri"/>
          <w:i/>
          <w:iCs/>
          <w:sz w:val="18"/>
          <w:szCs w:val="18"/>
        </w:rPr>
      </w:pPr>
      <w:r>
        <w:rPr>
          <w:rFonts w:ascii="Calibri" w:hAnsi="Calibri" w:cs="Calibri"/>
          <w:i/>
          <w:iCs/>
          <w:sz w:val="18"/>
          <w:szCs w:val="18"/>
        </w:rPr>
        <w:t>Źródło: Opracowanie Instytutu Rozwoju Miast na podstawie danych MOPR</w:t>
      </w:r>
    </w:p>
    <w:p w:rsidR="005260B6" w:rsidRDefault="005260B6" w:rsidP="005260B6">
      <w:pPr>
        <w:rPr>
          <w:rFonts w:ascii="Calibri" w:hAnsi="Calibri" w:cs="Calibri"/>
        </w:rPr>
      </w:pPr>
    </w:p>
    <w:p w:rsidR="004D7546" w:rsidRPr="00961F1B" w:rsidRDefault="005260B6" w:rsidP="002375E2">
      <w:pPr>
        <w:spacing w:after="240"/>
        <w:ind w:firstLine="708"/>
        <w:jc w:val="both"/>
        <w:rPr>
          <w:rFonts w:ascii="Calibri" w:hAnsi="Calibri"/>
          <w:b/>
          <w:color w:val="C00000"/>
        </w:rPr>
      </w:pPr>
      <w:r>
        <w:rPr>
          <w:rFonts w:ascii="Calibri" w:hAnsi="Calibri" w:cs="Calibri"/>
          <w:szCs w:val="20"/>
        </w:rPr>
        <w:t>W każdym mieście znajdują się enklawy, w których mieszkają osoby zmagające się z problemem ubóstwa. Do rzadkości jednak należy sytuacja, w której problem ten dotyka tak rozległych obszarów, składających się z wielu sąsiadujących kwartałów, jak ma to miejsce w zaznaczonych najciemniejszym kolorem rejonach na mapie Bytomia.</w:t>
      </w:r>
      <w:r w:rsidR="00D33821">
        <w:rPr>
          <w:rFonts w:ascii="Calibri" w:hAnsi="Calibri" w:cs="Calibri"/>
          <w:szCs w:val="20"/>
        </w:rPr>
        <w:t xml:space="preserve"> </w:t>
      </w:r>
      <w:r w:rsidR="004D7546">
        <w:rPr>
          <w:rFonts w:ascii="Calibri" w:hAnsi="Calibri"/>
        </w:rPr>
        <w:t xml:space="preserve">Należy zaznaczyć, że </w:t>
      </w:r>
      <w:r w:rsidR="004D7546" w:rsidRPr="00961F1B">
        <w:rPr>
          <w:rFonts w:ascii="Calibri" w:hAnsi="Calibri"/>
          <w:b/>
          <w:color w:val="C00000"/>
        </w:rPr>
        <w:t>główną przyczyną ubóstwa i trudnej sytuacji rodzin na obszarze rewitalizowanym jest wysoki poziom bezrobocia, który zdecydowanie obniża jakość ich życia. Zwykle rodziny nim dotknięte muszą znacznie redukować swoje wydatki do niezbędnego minimum popadając z czasem w zadłużenie czynszowe.</w:t>
      </w:r>
    </w:p>
    <w:p w:rsidR="005260B6" w:rsidRDefault="005260B6" w:rsidP="005260B6">
      <w:pPr>
        <w:ind w:firstLine="708"/>
        <w:jc w:val="both"/>
        <w:rPr>
          <w:rFonts w:ascii="Calibri" w:hAnsi="Calibri" w:cs="Calibri"/>
          <w:szCs w:val="20"/>
        </w:rPr>
      </w:pPr>
      <w:r>
        <w:rPr>
          <w:rFonts w:ascii="Calibri" w:hAnsi="Calibri" w:cs="Calibri"/>
          <w:szCs w:val="20"/>
        </w:rPr>
        <w:t xml:space="preserve">Rodziny niezamożne mogą otrzymywać pomoc z różnych tytułów. Potwierdzeniem trafności zdiagnozowanych ognisk ubóstwa na obszarze rewitalizacji jest duża korelacja, jaka występuje między pobieraniem zasiłków a miejscem zamieszkania uczniów korzystających z dożywiania w szkole i otrzymujących stypendium socjalne. Poniżej zamieszczono mapę obrazującą rozkład pierwszego z tych zjawisk. Wynika z niej, że </w:t>
      </w:r>
      <w:r w:rsidRPr="00D16014">
        <w:rPr>
          <w:rFonts w:ascii="Calibri" w:hAnsi="Calibri" w:cs="Calibri"/>
          <w:b/>
          <w:color w:val="C00000"/>
          <w:szCs w:val="20"/>
        </w:rPr>
        <w:t>w skali całego miasta co piąty uczeń szkoły podstawowej korzysta z dożywiania. Natomiast w podobszarze Bobrek odsetek takich uczniów wynosi 48% (niemal co drugi uczeń), w Śródmieściu 43%</w:t>
      </w:r>
      <w:r w:rsidR="00456AA9">
        <w:rPr>
          <w:rFonts w:ascii="Calibri" w:hAnsi="Calibri" w:cs="Calibri"/>
          <w:b/>
          <w:color w:val="C00000"/>
          <w:szCs w:val="20"/>
        </w:rPr>
        <w:t>,</w:t>
      </w:r>
      <w:r w:rsidRPr="00D16014">
        <w:rPr>
          <w:rFonts w:ascii="Calibri" w:hAnsi="Calibri" w:cs="Calibri"/>
          <w:b/>
          <w:color w:val="C00000"/>
          <w:szCs w:val="20"/>
        </w:rPr>
        <w:t xml:space="preserve"> a w Rozbarku 44%. </w:t>
      </w:r>
      <w:r>
        <w:rPr>
          <w:rFonts w:ascii="Calibri" w:hAnsi="Calibri" w:cs="Calibri"/>
          <w:szCs w:val="20"/>
        </w:rPr>
        <w:t>W pozostałych podobszarach wskaźnik jest zbliżony do średniej miasta.</w:t>
      </w:r>
    </w:p>
    <w:p w:rsidR="005260B6" w:rsidRDefault="005260B6" w:rsidP="005260B6">
      <w:pPr>
        <w:jc w:val="both"/>
        <w:rPr>
          <w:rFonts w:ascii="Calibri" w:hAnsi="Calibri" w:cs="Calibri"/>
          <w:szCs w:val="20"/>
        </w:rPr>
      </w:pPr>
    </w:p>
    <w:p w:rsidR="008F74AC" w:rsidRDefault="008F74AC" w:rsidP="005260B6">
      <w:pPr>
        <w:jc w:val="both"/>
        <w:rPr>
          <w:rFonts w:ascii="Calibri" w:hAnsi="Calibri" w:cs="Calibri"/>
          <w:szCs w:val="20"/>
        </w:rPr>
      </w:pPr>
    </w:p>
    <w:p w:rsidR="008F74AC" w:rsidRDefault="008F74AC" w:rsidP="005260B6">
      <w:pPr>
        <w:jc w:val="both"/>
        <w:rPr>
          <w:rFonts w:ascii="Calibri" w:hAnsi="Calibri" w:cs="Calibri"/>
          <w:szCs w:val="20"/>
        </w:rPr>
      </w:pPr>
    </w:p>
    <w:p w:rsidR="008F74AC" w:rsidRDefault="008F74AC" w:rsidP="005260B6">
      <w:pPr>
        <w:jc w:val="both"/>
        <w:rPr>
          <w:rFonts w:ascii="Calibri" w:hAnsi="Calibri" w:cs="Calibri"/>
          <w:szCs w:val="20"/>
        </w:rPr>
      </w:pPr>
    </w:p>
    <w:p w:rsidR="005260B6" w:rsidRDefault="005260B6" w:rsidP="00CB1CE0">
      <w:pPr>
        <w:pStyle w:val="Legenda"/>
        <w:rPr>
          <w:rFonts w:ascii="Calibri" w:hAnsi="Calibri" w:cs="Calibri"/>
        </w:rPr>
      </w:pPr>
      <w:bookmarkStart w:id="4057" w:name="_Toc463277303"/>
      <w:bookmarkStart w:id="4058" w:name="_Toc191972620"/>
      <w:r>
        <w:rPr>
          <w:rFonts w:ascii="Calibri" w:hAnsi="Calibri" w:cs="Calibri"/>
        </w:rPr>
        <w:lastRenderedPageBreak/>
        <w:t xml:space="preserve">Mapa </w:t>
      </w:r>
      <w:r w:rsidR="003972D8">
        <w:rPr>
          <w:rFonts w:ascii="Calibri" w:hAnsi="Calibri" w:cs="Calibri"/>
        </w:rPr>
        <w:fldChar w:fldCharType="begin"/>
      </w:r>
      <w:r>
        <w:rPr>
          <w:rFonts w:ascii="Calibri" w:hAnsi="Calibri" w:cs="Calibri"/>
        </w:rPr>
        <w:instrText xml:space="preserve"> SEQ Mapa \* ARABIC </w:instrText>
      </w:r>
      <w:r w:rsidR="003972D8">
        <w:rPr>
          <w:rFonts w:ascii="Calibri" w:hAnsi="Calibri" w:cs="Calibri"/>
        </w:rPr>
        <w:fldChar w:fldCharType="separate"/>
      </w:r>
      <w:r w:rsidR="00413FFE">
        <w:rPr>
          <w:rFonts w:ascii="Calibri" w:hAnsi="Calibri" w:cs="Calibri"/>
          <w:noProof/>
        </w:rPr>
        <w:t>8</w:t>
      </w:r>
      <w:r w:rsidR="003972D8">
        <w:rPr>
          <w:rFonts w:ascii="Calibri" w:hAnsi="Calibri" w:cs="Calibri"/>
        </w:rPr>
        <w:fldChar w:fldCharType="end"/>
      </w:r>
      <w:r>
        <w:rPr>
          <w:rFonts w:ascii="Calibri" w:hAnsi="Calibri" w:cs="Calibri"/>
        </w:rPr>
        <w:t>. Uczniowie szkół podstawowych korzystający z dożywiania</w:t>
      </w:r>
      <w:bookmarkEnd w:id="4057"/>
      <w:bookmarkEnd w:id="4058"/>
    </w:p>
    <w:p w:rsidR="005260B6" w:rsidRDefault="009B5277" w:rsidP="00CB1CE0">
      <w:pPr>
        <w:jc w:val="center"/>
      </w:pPr>
      <w:r>
        <w:rPr>
          <w:noProof/>
        </w:rPr>
        <w:drawing>
          <wp:inline distT="0" distB="0" distL="0" distR="0">
            <wp:extent cx="5400000" cy="3829091"/>
            <wp:effectExtent l="19050" t="0" r="0" b="0"/>
            <wp:docPr id="46" name="Obraz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0" cstate="print"/>
                    <a:srcRect/>
                    <a:stretch>
                      <a:fillRect/>
                    </a:stretch>
                  </pic:blipFill>
                  <pic:spPr bwMode="auto">
                    <a:xfrm>
                      <a:off x="0" y="0"/>
                      <a:ext cx="5400000" cy="3829091"/>
                    </a:xfrm>
                    <a:prstGeom prst="rect">
                      <a:avLst/>
                    </a:prstGeom>
                    <a:noFill/>
                    <a:ln w="9525">
                      <a:noFill/>
                      <a:miter lim="800000"/>
                      <a:headEnd/>
                      <a:tailEnd/>
                    </a:ln>
                  </pic:spPr>
                </pic:pic>
              </a:graphicData>
            </a:graphic>
          </wp:inline>
        </w:drawing>
      </w:r>
    </w:p>
    <w:p w:rsidR="005260B6" w:rsidRDefault="005260B6" w:rsidP="005260B6">
      <w:r>
        <w:rPr>
          <w:rFonts w:ascii="Calibri" w:hAnsi="Calibri" w:cs="Calibri"/>
          <w:i/>
          <w:iCs/>
          <w:sz w:val="18"/>
          <w:szCs w:val="18"/>
        </w:rPr>
        <w:t>Źródło: Opracowanie Instytutu Rozwoju Miast na podstawie danych MOPR w Bytomiu</w:t>
      </w:r>
    </w:p>
    <w:p w:rsidR="00A11C17" w:rsidRPr="00CB1CE0" w:rsidRDefault="00A11C17" w:rsidP="005260B6">
      <w:pPr>
        <w:ind w:firstLine="708"/>
        <w:jc w:val="both"/>
        <w:rPr>
          <w:rFonts w:cstheme="minorHAnsi"/>
          <w:sz w:val="14"/>
          <w:szCs w:val="20"/>
        </w:rPr>
      </w:pPr>
    </w:p>
    <w:p w:rsidR="001C2FD4" w:rsidRPr="00CF06A7" w:rsidRDefault="00CF06A7" w:rsidP="00CB1CE0">
      <w:pPr>
        <w:pStyle w:val="Legenda"/>
      </w:pPr>
      <w:bookmarkStart w:id="4059" w:name="_Toc460222262"/>
      <w:bookmarkStart w:id="4060" w:name="_Toc191972621"/>
      <w:r w:rsidRPr="00CF06A7">
        <w:t xml:space="preserve">Mapa </w:t>
      </w:r>
      <w:r w:rsidR="003972D8" w:rsidRPr="00CF06A7">
        <w:fldChar w:fldCharType="begin"/>
      </w:r>
      <w:r w:rsidRPr="00CF06A7">
        <w:instrText xml:space="preserve"> SEQ Mapa \* ARABIC </w:instrText>
      </w:r>
      <w:r w:rsidR="003972D8" w:rsidRPr="00CF06A7">
        <w:fldChar w:fldCharType="separate"/>
      </w:r>
      <w:r w:rsidR="00413FFE">
        <w:rPr>
          <w:noProof/>
        </w:rPr>
        <w:t>9</w:t>
      </w:r>
      <w:r w:rsidR="003972D8" w:rsidRPr="00CF06A7">
        <w:fldChar w:fldCharType="end"/>
      </w:r>
      <w:r>
        <w:t xml:space="preserve">. </w:t>
      </w:r>
      <w:r w:rsidR="001C2FD4" w:rsidRPr="00CF06A7">
        <w:t>Zadłużenie czynszowe w budynkach komunalnych</w:t>
      </w:r>
      <w:bookmarkEnd w:id="4059"/>
      <w:bookmarkEnd w:id="4060"/>
      <w:r w:rsidR="001C2FD4" w:rsidRPr="00CF06A7">
        <w:t xml:space="preserve"> </w:t>
      </w:r>
    </w:p>
    <w:p w:rsidR="001C2FD4" w:rsidRDefault="0043168D" w:rsidP="001C2FD4">
      <w:r>
        <w:rPr>
          <w:noProof/>
        </w:rPr>
        <w:drawing>
          <wp:inline distT="0" distB="0" distL="0" distR="0">
            <wp:extent cx="5400000" cy="3721983"/>
            <wp:effectExtent l="19050" t="0" r="0" b="0"/>
            <wp:docPr id="59" name="Obraz 8" descr="C:\Users\TT\Dropbox\irm-bytom-mapy\wydruki\350 Zadłużenie czynszowe w budynkach będących w zasobie mieszkaniowym gmin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descr="C:\Users\TT\Dropbox\irm-bytom-mapy\wydruki\350 Zadłużenie czynszowe w budynkach będących w zasobie mieszkaniowym gminy.png"/>
                    <pic:cNvPicPr>
                      <a:picLocks noChangeAspect="1" noChangeArrowheads="1"/>
                    </pic:cNvPicPr>
                  </pic:nvPicPr>
                  <pic:blipFill>
                    <a:blip r:embed="rId31" cstate="print"/>
                    <a:srcRect b="2570"/>
                    <a:stretch>
                      <a:fillRect/>
                    </a:stretch>
                  </pic:blipFill>
                  <pic:spPr bwMode="auto">
                    <a:xfrm>
                      <a:off x="0" y="0"/>
                      <a:ext cx="5400000" cy="3721983"/>
                    </a:xfrm>
                    <a:prstGeom prst="rect">
                      <a:avLst/>
                    </a:prstGeom>
                    <a:noFill/>
                    <a:ln w="9525">
                      <a:noFill/>
                      <a:miter lim="800000"/>
                      <a:headEnd/>
                      <a:tailEnd/>
                    </a:ln>
                  </pic:spPr>
                </pic:pic>
              </a:graphicData>
            </a:graphic>
          </wp:inline>
        </w:drawing>
      </w:r>
    </w:p>
    <w:p w:rsidR="00804BD2" w:rsidRPr="005F27F5" w:rsidRDefault="00804BD2" w:rsidP="00804BD2">
      <w:pPr>
        <w:autoSpaceDE w:val="0"/>
        <w:autoSpaceDN w:val="0"/>
        <w:adjustRightInd w:val="0"/>
        <w:rPr>
          <w:rFonts w:eastAsia="Calibri" w:cs="ArialNarrow"/>
          <w:i/>
          <w:sz w:val="18"/>
          <w:szCs w:val="20"/>
        </w:rPr>
      </w:pPr>
      <w:r w:rsidRPr="005F27F5">
        <w:rPr>
          <w:rFonts w:eastAsia="Calibri" w:cs="ArialNarrow"/>
          <w:i/>
          <w:sz w:val="18"/>
          <w:szCs w:val="20"/>
        </w:rPr>
        <w:t xml:space="preserve">Źródło: Opracowanie </w:t>
      </w:r>
      <w:r>
        <w:rPr>
          <w:rFonts w:eastAsia="Calibri" w:cs="ArialNarrow"/>
          <w:i/>
          <w:sz w:val="18"/>
          <w:szCs w:val="20"/>
        </w:rPr>
        <w:t>Instytutu Rozwoju Miast</w:t>
      </w:r>
    </w:p>
    <w:p w:rsidR="00CB1CE0" w:rsidRDefault="00CB1CE0" w:rsidP="00CB1CE0">
      <w:pPr>
        <w:ind w:firstLine="708"/>
        <w:jc w:val="both"/>
        <w:rPr>
          <w:rFonts w:eastAsia="Calibri"/>
        </w:rPr>
      </w:pPr>
      <w:r w:rsidRPr="00A11C17">
        <w:rPr>
          <w:rFonts w:cstheme="minorHAnsi"/>
          <w:b/>
          <w:szCs w:val="20"/>
        </w:rPr>
        <w:lastRenderedPageBreak/>
        <w:t>Kolejnym z przejawów biedy i ubóstwa mieszkańców na obszarze rewitaliz</w:t>
      </w:r>
      <w:r>
        <w:rPr>
          <w:rFonts w:cstheme="minorHAnsi"/>
          <w:b/>
          <w:szCs w:val="20"/>
        </w:rPr>
        <w:t>acji</w:t>
      </w:r>
      <w:r w:rsidRPr="00A11C17">
        <w:rPr>
          <w:rFonts w:cstheme="minorHAnsi"/>
          <w:b/>
          <w:szCs w:val="20"/>
        </w:rPr>
        <w:t xml:space="preserve"> może być skala zadłużenia czynszowego.  </w:t>
      </w:r>
    </w:p>
    <w:p w:rsidR="00CB1CE0" w:rsidRPr="00D16014" w:rsidRDefault="00CB1CE0" w:rsidP="002375E2">
      <w:pPr>
        <w:ind w:firstLine="708"/>
        <w:jc w:val="both"/>
        <w:rPr>
          <w:rFonts w:eastAsia="Calibri"/>
          <w:b/>
          <w:color w:val="C00000"/>
          <w:szCs w:val="20"/>
        </w:rPr>
      </w:pPr>
      <w:bookmarkStart w:id="4061" w:name="_Toc461612524"/>
      <w:r>
        <w:rPr>
          <w:rFonts w:ascii="Calibri" w:hAnsi="Calibri" w:cs="Calibri"/>
          <w:szCs w:val="20"/>
        </w:rPr>
        <w:t>W Bytomiu Zespół analizujący na potrzeby programu rewitalizacji zadłużenie w opłatach czynszowych opracował ankietę dla zbadania tego problemu</w:t>
      </w:r>
      <w:r>
        <w:rPr>
          <w:rStyle w:val="Odwoanieprzypisudolnego"/>
          <w:rFonts w:ascii="Calibri" w:hAnsi="Calibri" w:cs="Calibri"/>
          <w:szCs w:val="20"/>
        </w:rPr>
        <w:footnoteReference w:id="12"/>
      </w:r>
      <w:r>
        <w:rPr>
          <w:rFonts w:ascii="Calibri" w:hAnsi="Calibri" w:cs="Calibri"/>
          <w:szCs w:val="20"/>
        </w:rPr>
        <w:t xml:space="preserve">. Odpowiedzi na zadane pytania udzieliły 302 osoby otrzymujące pomoc społeczną, z których 182 osoby mieszkają na obszarze rewitalizacji. Z badania wynika, że na obszarze tym wskaźnik zadłużenia jest wyższy w porównaniu z całym Bytomiem, a grupa osób zadłużonych jest większa niż w pozostałej części miasta. Swoich długów nie spłaca tu 67% osób, a pozostali jedynie w części. W wypadku 83% badanych na obszarze rewitalizacji zadłużenie będą dziedziczyć ich dzieci. </w:t>
      </w:r>
      <w:bookmarkEnd w:id="4061"/>
      <w:r w:rsidRPr="00C80963">
        <w:rPr>
          <w:rFonts w:eastAsia="Calibri"/>
          <w:szCs w:val="20"/>
        </w:rPr>
        <w:t>Na potrzeby diagnozy przeanalizowano wysokość średniego zadłużenia lokalu mieszkalnego w</w:t>
      </w:r>
      <w:r>
        <w:rPr>
          <w:rFonts w:eastAsia="Calibri"/>
          <w:szCs w:val="20"/>
        </w:rPr>
        <w:t> </w:t>
      </w:r>
      <w:r w:rsidRPr="00C80963">
        <w:rPr>
          <w:rFonts w:eastAsia="Calibri"/>
          <w:szCs w:val="20"/>
        </w:rPr>
        <w:t>budynkach będących w</w:t>
      </w:r>
      <w:r>
        <w:rPr>
          <w:rFonts w:eastAsia="Calibri"/>
          <w:szCs w:val="20"/>
        </w:rPr>
        <w:t> </w:t>
      </w:r>
      <w:r w:rsidRPr="00C80963">
        <w:rPr>
          <w:rFonts w:eastAsia="Calibri"/>
          <w:szCs w:val="20"/>
        </w:rPr>
        <w:t>zasobie mieszkaniowym gminy zlokalizowanych w obszarze</w:t>
      </w:r>
      <w:r>
        <w:rPr>
          <w:rFonts w:eastAsia="Calibri"/>
        </w:rPr>
        <w:t xml:space="preserve"> </w:t>
      </w:r>
      <w:r w:rsidRPr="00C80963">
        <w:rPr>
          <w:rFonts w:eastAsia="Calibri"/>
          <w:szCs w:val="20"/>
        </w:rPr>
        <w:t xml:space="preserve">rewitalizacji. </w:t>
      </w:r>
      <w:r w:rsidRPr="00D16014">
        <w:rPr>
          <w:rFonts w:eastAsia="Calibri"/>
          <w:b/>
          <w:color w:val="C00000"/>
          <w:szCs w:val="20"/>
        </w:rPr>
        <w:t>Dramatycznie wysokie wartości wskaźnika zanotowano w Bobrku, ale również w całym Śródmieściu jest to poważny problem.</w:t>
      </w:r>
    </w:p>
    <w:p w:rsidR="001C2FD4" w:rsidRPr="00C80963" w:rsidRDefault="001C2FD4" w:rsidP="00C91597">
      <w:pPr>
        <w:ind w:firstLine="708"/>
        <w:jc w:val="both"/>
        <w:rPr>
          <w:rFonts w:eastAsia="Calibri"/>
          <w:szCs w:val="20"/>
        </w:rPr>
      </w:pPr>
      <w:r w:rsidRPr="00C80963">
        <w:rPr>
          <w:rFonts w:eastAsia="Calibri"/>
          <w:szCs w:val="20"/>
        </w:rPr>
        <w:t xml:space="preserve">Na </w:t>
      </w:r>
      <w:r w:rsidRPr="00817E42">
        <w:rPr>
          <w:rFonts w:eastAsia="Calibri"/>
          <w:szCs w:val="20"/>
        </w:rPr>
        <w:t xml:space="preserve">mapie </w:t>
      </w:r>
      <w:r w:rsidR="00BD6F7E" w:rsidRPr="00817E42">
        <w:rPr>
          <w:rFonts w:eastAsia="Calibri"/>
          <w:szCs w:val="20"/>
        </w:rPr>
        <w:t>13</w:t>
      </w:r>
      <w:r w:rsidR="00177D55" w:rsidRPr="00817E42">
        <w:rPr>
          <w:rFonts w:eastAsia="Calibri"/>
          <w:szCs w:val="20"/>
        </w:rPr>
        <w:t xml:space="preserve"> </w:t>
      </w:r>
      <w:r w:rsidRPr="00817E42">
        <w:rPr>
          <w:rFonts w:eastAsia="Calibri"/>
          <w:szCs w:val="20"/>
        </w:rPr>
        <w:t>zestawiono</w:t>
      </w:r>
      <w:r w:rsidRPr="00C80963">
        <w:rPr>
          <w:rFonts w:eastAsia="Calibri"/>
          <w:szCs w:val="20"/>
        </w:rPr>
        <w:t xml:space="preserve"> średnie zadłużenie w lokalach w zasobie mieszkaniowym gminy z</w:t>
      </w:r>
      <w:r w:rsidR="00C91597">
        <w:rPr>
          <w:rFonts w:eastAsia="Calibri"/>
          <w:szCs w:val="20"/>
        </w:rPr>
        <w:t> </w:t>
      </w:r>
      <w:r w:rsidRPr="00C80963">
        <w:rPr>
          <w:rFonts w:eastAsia="Calibri"/>
          <w:szCs w:val="20"/>
        </w:rPr>
        <w:t xml:space="preserve">przyznanymi zasiłkami celowymi. Wynika z niej, że zasiłki celowe są skoncentrowane w zasobie komunalnym, co oznacza koncentrację problemów związanych z ubóstwem w tym zasobie, nie tylko w obszarze rewitalizacji, ale w całym mieście. </w:t>
      </w:r>
      <w:r w:rsidRPr="00D16014">
        <w:rPr>
          <w:rFonts w:eastAsia="Calibri"/>
          <w:b/>
          <w:color w:val="C00000"/>
          <w:szCs w:val="20"/>
        </w:rPr>
        <w:t xml:space="preserve">Współwystępowanie na obszarze rewitalizacji problemów z zadłużeniem czynszowym oraz ubóstwem jest ze względu na koncentrację zasobu komunalnego </w:t>
      </w:r>
      <w:r w:rsidR="00C91597" w:rsidRPr="00D16014">
        <w:rPr>
          <w:rFonts w:eastAsia="Calibri"/>
          <w:b/>
          <w:color w:val="C00000"/>
          <w:szCs w:val="20"/>
        </w:rPr>
        <w:t>szczególnie widoczne w Bobrku i </w:t>
      </w:r>
      <w:r w:rsidRPr="00D16014">
        <w:rPr>
          <w:rFonts w:eastAsia="Calibri"/>
          <w:b/>
          <w:color w:val="C00000"/>
          <w:szCs w:val="20"/>
        </w:rPr>
        <w:t>w</w:t>
      </w:r>
      <w:r w:rsidR="00C91597" w:rsidRPr="00D16014">
        <w:rPr>
          <w:rFonts w:eastAsia="Calibri"/>
          <w:b/>
          <w:color w:val="C00000"/>
          <w:szCs w:val="20"/>
        </w:rPr>
        <w:t> </w:t>
      </w:r>
      <w:r w:rsidRPr="00D16014">
        <w:rPr>
          <w:rFonts w:eastAsia="Calibri"/>
          <w:b/>
          <w:color w:val="C00000"/>
          <w:szCs w:val="20"/>
        </w:rPr>
        <w:t>śródmiejskiej części obszaru rewitalizacji.</w:t>
      </w:r>
    </w:p>
    <w:p w:rsidR="009A6409" w:rsidRDefault="009A6409" w:rsidP="001C2FD4">
      <w:pPr>
        <w:rPr>
          <w:rFonts w:eastAsia="Calibri"/>
        </w:rPr>
      </w:pPr>
    </w:p>
    <w:p w:rsidR="001C2FD4" w:rsidRPr="00CF06A7" w:rsidRDefault="00CF06A7" w:rsidP="001C2FD4">
      <w:pPr>
        <w:pStyle w:val="Legenda"/>
        <w:spacing w:line="312" w:lineRule="auto"/>
        <w:rPr>
          <w:rFonts w:eastAsia="Calibri"/>
          <w:szCs w:val="24"/>
        </w:rPr>
      </w:pPr>
      <w:bookmarkStart w:id="4062" w:name="_Toc460222263"/>
      <w:bookmarkStart w:id="4063" w:name="_Toc191972622"/>
      <w:r w:rsidRPr="00CF06A7">
        <w:t xml:space="preserve">Mapa </w:t>
      </w:r>
      <w:r w:rsidR="003972D8" w:rsidRPr="00CF06A7">
        <w:fldChar w:fldCharType="begin"/>
      </w:r>
      <w:r w:rsidRPr="00CF06A7">
        <w:instrText xml:space="preserve"> SEQ Mapa \* ARABIC </w:instrText>
      </w:r>
      <w:r w:rsidR="003972D8" w:rsidRPr="00CF06A7">
        <w:fldChar w:fldCharType="separate"/>
      </w:r>
      <w:r w:rsidR="00413FFE">
        <w:rPr>
          <w:noProof/>
        </w:rPr>
        <w:t>10</w:t>
      </w:r>
      <w:r w:rsidR="003972D8" w:rsidRPr="00CF06A7">
        <w:fldChar w:fldCharType="end"/>
      </w:r>
      <w:r>
        <w:t xml:space="preserve">. </w:t>
      </w:r>
      <w:r w:rsidR="001C2FD4" w:rsidRPr="00CF06A7">
        <w:t>Zadłużenie czynszowe w budynkach komunalnych w zestawieniu z zasiłkami celowymi</w:t>
      </w:r>
      <w:bookmarkEnd w:id="4062"/>
      <w:bookmarkEnd w:id="4063"/>
    </w:p>
    <w:p w:rsidR="001C2FD4" w:rsidRDefault="0043168D" w:rsidP="00CB1CE0">
      <w:pPr>
        <w:jc w:val="center"/>
        <w:rPr>
          <w:rFonts w:eastAsia="Calibri"/>
        </w:rPr>
      </w:pPr>
      <w:r>
        <w:rPr>
          <w:rFonts w:eastAsia="Calibri"/>
          <w:noProof/>
        </w:rPr>
        <w:drawing>
          <wp:inline distT="0" distB="0" distL="0" distR="0">
            <wp:extent cx="5400000" cy="3730909"/>
            <wp:effectExtent l="19050" t="0" r="0" b="0"/>
            <wp:docPr id="58" name="Obraz 6" descr="C:\Users\TT\Dropbox\irm-bytom-mapy\wydruki\361 ZASIŁEK CELOWY A ZADŁUŻENIE CZYNSZOW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descr="C:\Users\TT\Dropbox\irm-bytom-mapy\wydruki\361 ZASIŁEK CELOWY A ZADŁUŻENIE CZYNSZOWE.png"/>
                    <pic:cNvPicPr>
                      <a:picLocks noChangeAspect="1" noChangeArrowheads="1"/>
                    </pic:cNvPicPr>
                  </pic:nvPicPr>
                  <pic:blipFill>
                    <a:blip r:embed="rId32" cstate="print"/>
                    <a:srcRect b="2336"/>
                    <a:stretch>
                      <a:fillRect/>
                    </a:stretch>
                  </pic:blipFill>
                  <pic:spPr bwMode="auto">
                    <a:xfrm>
                      <a:off x="0" y="0"/>
                      <a:ext cx="5400000" cy="3730909"/>
                    </a:xfrm>
                    <a:prstGeom prst="rect">
                      <a:avLst/>
                    </a:prstGeom>
                    <a:noFill/>
                    <a:ln w="9525">
                      <a:noFill/>
                      <a:miter lim="800000"/>
                      <a:headEnd/>
                      <a:tailEnd/>
                    </a:ln>
                  </pic:spPr>
                </pic:pic>
              </a:graphicData>
            </a:graphic>
          </wp:inline>
        </w:drawing>
      </w:r>
    </w:p>
    <w:p w:rsidR="00804BD2" w:rsidRPr="005F27F5" w:rsidRDefault="00804BD2" w:rsidP="00804BD2">
      <w:pPr>
        <w:autoSpaceDE w:val="0"/>
        <w:autoSpaceDN w:val="0"/>
        <w:adjustRightInd w:val="0"/>
        <w:rPr>
          <w:rFonts w:eastAsia="Calibri" w:cs="ArialNarrow"/>
          <w:i/>
          <w:sz w:val="18"/>
          <w:szCs w:val="20"/>
        </w:rPr>
      </w:pPr>
      <w:r w:rsidRPr="005F27F5">
        <w:rPr>
          <w:rFonts w:eastAsia="Calibri" w:cs="ArialNarrow"/>
          <w:i/>
          <w:sz w:val="18"/>
          <w:szCs w:val="20"/>
        </w:rPr>
        <w:t xml:space="preserve">Źródło: Opracowanie </w:t>
      </w:r>
      <w:r>
        <w:rPr>
          <w:rFonts w:eastAsia="Calibri" w:cs="ArialNarrow"/>
          <w:i/>
          <w:sz w:val="18"/>
          <w:szCs w:val="20"/>
        </w:rPr>
        <w:t>Instytutu Rozwoju Miast</w:t>
      </w:r>
    </w:p>
    <w:p w:rsidR="00DF79D4" w:rsidRDefault="00DF79D4" w:rsidP="00DF79D4">
      <w:pPr>
        <w:jc w:val="both"/>
        <w:rPr>
          <w:szCs w:val="20"/>
        </w:rPr>
      </w:pPr>
    </w:p>
    <w:p w:rsidR="00CB1CE0" w:rsidRPr="00D16D10" w:rsidRDefault="004C2042" w:rsidP="00CB1CE0">
      <w:pPr>
        <w:ind w:firstLine="708"/>
        <w:jc w:val="both"/>
        <w:rPr>
          <w:szCs w:val="20"/>
        </w:rPr>
      </w:pPr>
      <w:r>
        <w:rPr>
          <w:szCs w:val="20"/>
        </w:rPr>
        <w:t>Spłatę</w:t>
      </w:r>
      <w:r w:rsidRPr="00D16D10">
        <w:rPr>
          <w:szCs w:val="20"/>
        </w:rPr>
        <w:t xml:space="preserve"> zadłużenia za lokale mieszkalne osobom będącym w trudnej sytuacji materialnej lub życiowej w</w:t>
      </w:r>
      <w:r>
        <w:rPr>
          <w:szCs w:val="20"/>
        </w:rPr>
        <w:t> </w:t>
      </w:r>
      <w:r w:rsidRPr="00D16D10">
        <w:rPr>
          <w:szCs w:val="20"/>
        </w:rPr>
        <w:t xml:space="preserve">formie odpracowania </w:t>
      </w:r>
      <w:r>
        <w:rPr>
          <w:szCs w:val="20"/>
        </w:rPr>
        <w:t>należności na rzecz gminy Bytom umożliwia</w:t>
      </w:r>
      <w:r w:rsidR="00CB1CE0" w:rsidRPr="00D16D10">
        <w:rPr>
          <w:szCs w:val="20"/>
        </w:rPr>
        <w:t xml:space="preserve"> </w:t>
      </w:r>
      <w:r>
        <w:rPr>
          <w:szCs w:val="20"/>
        </w:rPr>
        <w:t>wprowadzone w życie w 2012 r. zarządzenie</w:t>
      </w:r>
      <w:r w:rsidRPr="00D16D10">
        <w:rPr>
          <w:szCs w:val="20"/>
        </w:rPr>
        <w:t xml:space="preserve"> nr 158 Prezyde</w:t>
      </w:r>
      <w:r>
        <w:rPr>
          <w:szCs w:val="20"/>
        </w:rPr>
        <w:t xml:space="preserve">nta Bytomia. </w:t>
      </w:r>
      <w:r w:rsidR="00CB1CE0" w:rsidRPr="00D16D10">
        <w:rPr>
          <w:szCs w:val="20"/>
        </w:rPr>
        <w:t>W momencie wyrażenia przez dłużnika chęci</w:t>
      </w:r>
      <w:r w:rsidR="00CB1CE0">
        <w:rPr>
          <w:szCs w:val="20"/>
        </w:rPr>
        <w:t xml:space="preserve"> przystąpienia do odpracowania</w:t>
      </w:r>
      <w:r w:rsidR="00CB1CE0" w:rsidRPr="00D16D10">
        <w:rPr>
          <w:szCs w:val="20"/>
        </w:rPr>
        <w:t xml:space="preserve"> jest on  zobowiązany do złożenia wniosku o odpracowanie należności wraz z dołączonym aktualnym zaświadczeniem o ubezpieczeniu zdrowotnym z Powiatowego Urzędu Pracy bądź z zakładu pacy </w:t>
      </w:r>
      <w:r w:rsidR="00CB1CE0" w:rsidRPr="00D16D10">
        <w:rPr>
          <w:szCs w:val="20"/>
        </w:rPr>
        <w:lastRenderedPageBreak/>
        <w:t>oraz innych dokumentów, z których wynikać będą dodatkowe wskazania dotyczące odpowiedniego zatrudnienia m.in. orzeczenie o stopniu niepełnosprawności.</w:t>
      </w:r>
    </w:p>
    <w:p w:rsidR="00DF79D4" w:rsidRPr="00F01823" w:rsidRDefault="00DF79D4" w:rsidP="00DD40AE">
      <w:pPr>
        <w:ind w:firstLine="708"/>
        <w:jc w:val="both"/>
        <w:rPr>
          <w:szCs w:val="20"/>
        </w:rPr>
      </w:pPr>
      <w:r w:rsidRPr="00D16D10">
        <w:rPr>
          <w:szCs w:val="20"/>
        </w:rPr>
        <w:t>Podczas przeprowadzania rozmów mediacyjnych wierzyciel może wskazać dodatkowe warunki, które winien wypełnić dłużnik w okresie realizacji umowy dotyczącej spłaty zad</w:t>
      </w:r>
      <w:r w:rsidR="00D83084">
        <w:rPr>
          <w:szCs w:val="20"/>
        </w:rPr>
        <w:t>łużenia</w:t>
      </w:r>
      <w:r w:rsidR="00AE63D1">
        <w:rPr>
          <w:szCs w:val="20"/>
        </w:rPr>
        <w:t xml:space="preserve"> </w:t>
      </w:r>
      <w:r w:rsidR="00D83084" w:rsidRPr="00F01823">
        <w:rPr>
          <w:szCs w:val="20"/>
        </w:rPr>
        <w:t>w formie odpracowania a </w:t>
      </w:r>
      <w:r w:rsidRPr="00F01823">
        <w:rPr>
          <w:szCs w:val="20"/>
        </w:rPr>
        <w:t>w</w:t>
      </w:r>
      <w:r w:rsidR="00D83084" w:rsidRPr="00F01823">
        <w:rPr>
          <w:szCs w:val="20"/>
        </w:rPr>
        <w:t> </w:t>
      </w:r>
      <w:r w:rsidRPr="00F01823">
        <w:rPr>
          <w:szCs w:val="20"/>
        </w:rPr>
        <w:t>szczególności: obowiązek regulowania przez dłużnika bieżących opłat z tytułu czynszu najmu/odszkodowania i innych opłat związanych z użytkowaniem zajmowanego lokalu, obowiązek założenia wodomierza w lokalu bądź złożenie wniosku o dodatek mieszkaniowy. Świadczeń rzeczowych nie mogą wykonywać osoby, wobec których prowadzona jest sk</w:t>
      </w:r>
      <w:r w:rsidR="00B06A04" w:rsidRPr="00F01823">
        <w:rPr>
          <w:szCs w:val="20"/>
        </w:rPr>
        <w:t xml:space="preserve">uteczna egzekucja należności. </w:t>
      </w:r>
    </w:p>
    <w:p w:rsidR="00DF79D4" w:rsidRPr="00F01823" w:rsidRDefault="00DF79D4" w:rsidP="00DF79D4">
      <w:pPr>
        <w:ind w:firstLine="708"/>
        <w:jc w:val="both"/>
        <w:rPr>
          <w:szCs w:val="20"/>
        </w:rPr>
      </w:pPr>
      <w:r w:rsidRPr="00F01823">
        <w:rPr>
          <w:szCs w:val="20"/>
        </w:rPr>
        <w:t xml:space="preserve"> W ramach odpracowania dłużnik może wykonywać następujące czynności:</w:t>
      </w:r>
    </w:p>
    <w:p w:rsidR="00DF79D4" w:rsidRPr="00F01823" w:rsidRDefault="00DF79D4" w:rsidP="00A472B0">
      <w:pPr>
        <w:pStyle w:val="Akapitzlist"/>
        <w:numPr>
          <w:ilvl w:val="0"/>
          <w:numId w:val="203"/>
        </w:numPr>
        <w:spacing w:after="0" w:line="240" w:lineRule="auto"/>
        <w:ind w:left="714" w:hanging="357"/>
        <w:jc w:val="both"/>
        <w:rPr>
          <w:sz w:val="20"/>
          <w:szCs w:val="20"/>
        </w:rPr>
      </w:pPr>
      <w:r w:rsidRPr="00F01823">
        <w:rPr>
          <w:sz w:val="20"/>
          <w:szCs w:val="20"/>
        </w:rPr>
        <w:t>prace porządkowe,</w:t>
      </w:r>
    </w:p>
    <w:p w:rsidR="00DF79D4" w:rsidRPr="00F01823" w:rsidRDefault="00DF79D4" w:rsidP="00A472B0">
      <w:pPr>
        <w:pStyle w:val="Akapitzlist"/>
        <w:numPr>
          <w:ilvl w:val="0"/>
          <w:numId w:val="203"/>
        </w:numPr>
        <w:spacing w:after="0" w:line="240" w:lineRule="auto"/>
        <w:ind w:left="714" w:hanging="357"/>
        <w:jc w:val="both"/>
        <w:rPr>
          <w:sz w:val="20"/>
          <w:szCs w:val="20"/>
        </w:rPr>
      </w:pPr>
      <w:r w:rsidRPr="00F01823">
        <w:rPr>
          <w:sz w:val="20"/>
          <w:szCs w:val="20"/>
        </w:rPr>
        <w:t>pomocnicze prace administracyjne,</w:t>
      </w:r>
    </w:p>
    <w:p w:rsidR="00DF79D4" w:rsidRPr="00F01823" w:rsidRDefault="00DF79D4" w:rsidP="00A472B0">
      <w:pPr>
        <w:pStyle w:val="Akapitzlist"/>
        <w:numPr>
          <w:ilvl w:val="0"/>
          <w:numId w:val="203"/>
        </w:numPr>
        <w:spacing w:after="0" w:line="240" w:lineRule="auto"/>
        <w:ind w:left="714" w:hanging="357"/>
        <w:jc w:val="both"/>
        <w:rPr>
          <w:sz w:val="20"/>
          <w:szCs w:val="20"/>
        </w:rPr>
      </w:pPr>
      <w:r w:rsidRPr="00F01823">
        <w:rPr>
          <w:sz w:val="20"/>
          <w:szCs w:val="20"/>
        </w:rPr>
        <w:t>prace ogrodnicze,</w:t>
      </w:r>
    </w:p>
    <w:p w:rsidR="00DF79D4" w:rsidRPr="00F01823" w:rsidRDefault="00DF79D4" w:rsidP="006F5081">
      <w:pPr>
        <w:pStyle w:val="Akapitzlist"/>
        <w:numPr>
          <w:ilvl w:val="0"/>
          <w:numId w:val="203"/>
        </w:numPr>
        <w:spacing w:after="0" w:line="240" w:lineRule="auto"/>
        <w:ind w:left="714" w:hanging="357"/>
        <w:jc w:val="both"/>
        <w:rPr>
          <w:sz w:val="20"/>
          <w:szCs w:val="20"/>
        </w:rPr>
      </w:pPr>
      <w:r w:rsidRPr="00F01823">
        <w:rPr>
          <w:sz w:val="20"/>
          <w:szCs w:val="20"/>
        </w:rPr>
        <w:t xml:space="preserve">drobne prace remontowe i konserwatorskie. </w:t>
      </w:r>
    </w:p>
    <w:p w:rsidR="0035274A" w:rsidRPr="00F01823" w:rsidRDefault="00DF79D4" w:rsidP="00DF79D4">
      <w:pPr>
        <w:ind w:firstLine="708"/>
        <w:jc w:val="both"/>
        <w:rPr>
          <w:szCs w:val="20"/>
        </w:rPr>
      </w:pPr>
      <w:r w:rsidRPr="00F01823">
        <w:rPr>
          <w:szCs w:val="20"/>
        </w:rPr>
        <w:t xml:space="preserve">Czynności wykonywane w ramach świadczeń rzeczowych w zależności od rodzaju świadczeń rozlicza się według stawki godzinowej w wysokości: </w:t>
      </w:r>
    </w:p>
    <w:p w:rsidR="00CC35CD" w:rsidRPr="00F01823" w:rsidRDefault="00DF79D4" w:rsidP="00CC35CD">
      <w:pPr>
        <w:pStyle w:val="Akapitzlist"/>
        <w:numPr>
          <w:ilvl w:val="0"/>
          <w:numId w:val="358"/>
        </w:numPr>
        <w:spacing w:after="0" w:line="240" w:lineRule="auto"/>
        <w:jc w:val="both"/>
        <w:rPr>
          <w:sz w:val="20"/>
          <w:szCs w:val="20"/>
        </w:rPr>
      </w:pPr>
      <w:r w:rsidRPr="00F01823">
        <w:rPr>
          <w:sz w:val="20"/>
          <w:szCs w:val="20"/>
        </w:rPr>
        <w:t xml:space="preserve">6 zł za godzinę w przypadku prac porządkowych, pomocniczych prac administracyjnych, </w:t>
      </w:r>
    </w:p>
    <w:p w:rsidR="00CC35CD" w:rsidRPr="00F01823" w:rsidRDefault="00DF79D4" w:rsidP="00CC35CD">
      <w:pPr>
        <w:pStyle w:val="Akapitzlist"/>
        <w:numPr>
          <w:ilvl w:val="0"/>
          <w:numId w:val="358"/>
        </w:numPr>
        <w:spacing w:after="0" w:line="240" w:lineRule="auto"/>
        <w:jc w:val="both"/>
        <w:rPr>
          <w:sz w:val="20"/>
          <w:szCs w:val="20"/>
        </w:rPr>
      </w:pPr>
      <w:r w:rsidRPr="00F01823">
        <w:rPr>
          <w:sz w:val="20"/>
          <w:szCs w:val="20"/>
        </w:rPr>
        <w:t xml:space="preserve">8 zł za godzinę w przypadku prac ogrodniczych, </w:t>
      </w:r>
    </w:p>
    <w:p w:rsidR="00DF79D4" w:rsidRPr="00F01823" w:rsidRDefault="00DF79D4" w:rsidP="00CC35CD">
      <w:pPr>
        <w:pStyle w:val="Akapitzlist"/>
        <w:numPr>
          <w:ilvl w:val="0"/>
          <w:numId w:val="358"/>
        </w:numPr>
        <w:spacing w:after="0" w:line="240" w:lineRule="auto"/>
        <w:jc w:val="both"/>
        <w:rPr>
          <w:sz w:val="20"/>
          <w:szCs w:val="20"/>
        </w:rPr>
      </w:pPr>
      <w:r w:rsidRPr="00F01823">
        <w:rPr>
          <w:sz w:val="20"/>
          <w:szCs w:val="20"/>
        </w:rPr>
        <w:t>10 zł za godzinę w przypadku drobnych prac re</w:t>
      </w:r>
      <w:r w:rsidR="0035274A" w:rsidRPr="00F01823">
        <w:rPr>
          <w:sz w:val="20"/>
          <w:szCs w:val="20"/>
        </w:rPr>
        <w:t xml:space="preserve">montowych i konserwatorskich. </w:t>
      </w:r>
    </w:p>
    <w:p w:rsidR="00DF79D4" w:rsidRPr="00D16D10" w:rsidRDefault="00BD6F7E" w:rsidP="00DF79D4">
      <w:pPr>
        <w:ind w:firstLine="708"/>
        <w:jc w:val="both"/>
        <w:rPr>
          <w:szCs w:val="20"/>
        </w:rPr>
      </w:pPr>
      <w:r w:rsidRPr="00F01823">
        <w:rPr>
          <w:szCs w:val="20"/>
        </w:rPr>
        <w:t>W chwili</w:t>
      </w:r>
      <w:r w:rsidR="0035274A" w:rsidRPr="00F01823">
        <w:rPr>
          <w:szCs w:val="20"/>
        </w:rPr>
        <w:t>,</w:t>
      </w:r>
      <w:r w:rsidRPr="00F01823">
        <w:rPr>
          <w:szCs w:val="20"/>
        </w:rPr>
        <w:t xml:space="preserve"> </w:t>
      </w:r>
      <w:r w:rsidR="00DF79D4" w:rsidRPr="00F01823">
        <w:rPr>
          <w:szCs w:val="20"/>
        </w:rPr>
        <w:t>gdy dłużnik z przyczyn przez siebie zawinionych nie zrealizował w sposób należyty umowy dotyczącej spłaty w formie świadczenia rzeczowego, zostaje wykluczony w trybie natychmiasto</w:t>
      </w:r>
      <w:r w:rsidR="00D70F29" w:rsidRPr="00F01823">
        <w:rPr>
          <w:szCs w:val="20"/>
        </w:rPr>
        <w:t xml:space="preserve">wym </w:t>
      </w:r>
      <w:r w:rsidR="00DF79D4" w:rsidRPr="00F01823">
        <w:rPr>
          <w:szCs w:val="20"/>
        </w:rPr>
        <w:t>i nie może uzyskać ponownej zgody na spłatę zadłużenia w formie świadczenia rzeczowego.</w:t>
      </w:r>
    </w:p>
    <w:p w:rsidR="00DF79D4" w:rsidRPr="00D16D10" w:rsidRDefault="00DF79D4" w:rsidP="00DF79D4">
      <w:pPr>
        <w:ind w:firstLine="708"/>
        <w:jc w:val="both"/>
        <w:rPr>
          <w:szCs w:val="20"/>
        </w:rPr>
      </w:pPr>
      <w:r w:rsidRPr="00D16D10">
        <w:rPr>
          <w:szCs w:val="20"/>
        </w:rPr>
        <w:t>Od momentu wejścia w życie programu tj. 2012</w:t>
      </w:r>
      <w:r w:rsidR="004C2042">
        <w:rPr>
          <w:szCs w:val="20"/>
        </w:rPr>
        <w:t xml:space="preserve"> </w:t>
      </w:r>
      <w:r w:rsidRPr="00D16D10">
        <w:rPr>
          <w:szCs w:val="20"/>
        </w:rPr>
        <w:t>r. w</w:t>
      </w:r>
      <w:r w:rsidR="00BD6F7E">
        <w:rPr>
          <w:szCs w:val="20"/>
        </w:rPr>
        <w:t xml:space="preserve">niosek złożyło ponad 800 osób, a od </w:t>
      </w:r>
      <w:r w:rsidR="004C2042">
        <w:rPr>
          <w:szCs w:val="20"/>
        </w:rPr>
        <w:t>1</w:t>
      </w:r>
      <w:r w:rsidR="00F97F18">
        <w:rPr>
          <w:szCs w:val="20"/>
        </w:rPr>
        <w:t> </w:t>
      </w:r>
      <w:r w:rsidR="004C2042">
        <w:rPr>
          <w:szCs w:val="20"/>
        </w:rPr>
        <w:t>stycznia</w:t>
      </w:r>
      <w:r w:rsidR="00F97F18">
        <w:rPr>
          <w:szCs w:val="20"/>
        </w:rPr>
        <w:t> </w:t>
      </w:r>
      <w:r w:rsidR="004C2042">
        <w:rPr>
          <w:szCs w:val="20"/>
        </w:rPr>
        <w:t>2016 r.</w:t>
      </w:r>
      <w:r w:rsidR="00BD6F7E">
        <w:rPr>
          <w:szCs w:val="20"/>
        </w:rPr>
        <w:t xml:space="preserve"> do </w:t>
      </w:r>
      <w:r w:rsidR="004C2042">
        <w:rPr>
          <w:szCs w:val="20"/>
        </w:rPr>
        <w:t>3</w:t>
      </w:r>
      <w:r w:rsidR="00F97F18">
        <w:rPr>
          <w:szCs w:val="20"/>
        </w:rPr>
        <w:t>0 </w:t>
      </w:r>
      <w:r w:rsidR="004C2042">
        <w:rPr>
          <w:szCs w:val="20"/>
        </w:rPr>
        <w:t>czerwca</w:t>
      </w:r>
      <w:r w:rsidR="00F97F18">
        <w:rPr>
          <w:szCs w:val="20"/>
        </w:rPr>
        <w:t> </w:t>
      </w:r>
      <w:r w:rsidR="004C2042">
        <w:rPr>
          <w:szCs w:val="20"/>
        </w:rPr>
        <w:t>2016 r.,</w:t>
      </w:r>
      <w:r w:rsidR="00BD6F7E">
        <w:rPr>
          <w:szCs w:val="20"/>
        </w:rPr>
        <w:t xml:space="preserve"> </w:t>
      </w:r>
      <w:r w:rsidRPr="00D16D10">
        <w:rPr>
          <w:szCs w:val="20"/>
        </w:rPr>
        <w:t>aktywnie brało udział w odpracowaniu 136 osób.</w:t>
      </w:r>
    </w:p>
    <w:p w:rsidR="00DF79D4" w:rsidRDefault="00DF79D4" w:rsidP="001C2FD4">
      <w:pPr>
        <w:rPr>
          <w:rFonts w:eastAsia="Calibri"/>
        </w:rPr>
      </w:pPr>
    </w:p>
    <w:p w:rsidR="00F30859" w:rsidRDefault="00F30859" w:rsidP="00F30859">
      <w:pPr>
        <w:jc w:val="both"/>
        <w:rPr>
          <w:rFonts w:ascii="Calibri" w:hAnsi="Calibri" w:cs="Calibri"/>
          <w:b/>
          <w:bCs/>
          <w:szCs w:val="20"/>
        </w:rPr>
      </w:pPr>
      <w:r>
        <w:rPr>
          <w:rFonts w:ascii="Calibri" w:hAnsi="Calibri" w:cs="Calibri"/>
          <w:b/>
          <w:bCs/>
          <w:szCs w:val="20"/>
        </w:rPr>
        <w:t>Lokale socjalne</w:t>
      </w:r>
    </w:p>
    <w:p w:rsidR="00F30859" w:rsidRPr="00AD27E2" w:rsidRDefault="00F30859" w:rsidP="00F30859">
      <w:pPr>
        <w:ind w:firstLine="708"/>
        <w:jc w:val="both"/>
        <w:rPr>
          <w:rFonts w:cs="Calibri"/>
          <w:szCs w:val="20"/>
        </w:rPr>
      </w:pPr>
      <w:r>
        <w:rPr>
          <w:rFonts w:ascii="Calibri" w:hAnsi="Calibri" w:cs="Calibri"/>
          <w:szCs w:val="20"/>
        </w:rPr>
        <w:t xml:space="preserve">Wskazane powyżej podstawowe </w:t>
      </w:r>
      <w:r w:rsidRPr="00F2395C">
        <w:rPr>
          <w:rFonts w:ascii="Calibri" w:hAnsi="Calibri" w:cs="Calibri"/>
          <w:b/>
          <w:color w:val="C00000"/>
          <w:szCs w:val="20"/>
        </w:rPr>
        <w:t xml:space="preserve">problemy społeczne związane z niedostatkiem materialnym i ubóstwem, często wiążącym się z brakiem zatrudnienia, czy wręcz długotrwałym bezrobociem, ale także niepełnosprawnością, czy też długotrwałą chorobą warunkują konieczność podjęcia wskazanych już w poprzednim podrozdziale działań na rzecz aktywizacji społeczno-zawodowej, wsparcia materialnego, ale także </w:t>
      </w:r>
      <w:r w:rsidRPr="00F2395C">
        <w:rPr>
          <w:rFonts w:cs="Calibri"/>
          <w:b/>
          <w:color w:val="C00000"/>
          <w:szCs w:val="20"/>
        </w:rPr>
        <w:t>zapewnienia lokali socjalnych dla potrzebujących mieszkańców obszarów rewitalizacji.</w:t>
      </w:r>
      <w:r w:rsidRPr="00AD27E2">
        <w:rPr>
          <w:rFonts w:cs="Calibri"/>
          <w:szCs w:val="20"/>
        </w:rPr>
        <w:t xml:space="preserve"> O lokale socjalne ubiegają się osoby o bardzo niskich dochodach, zbyt małych, aby wynajmować mieszkanie komunalne, a także osoby, które posiadają sądowy wyrok eksmisji z prawem do lokalu socjalnego.</w:t>
      </w:r>
    </w:p>
    <w:p w:rsidR="00F30859" w:rsidRPr="00AD27E2" w:rsidRDefault="00F30859" w:rsidP="00F30859">
      <w:pPr>
        <w:pStyle w:val="Tekstpodstawowy2"/>
        <w:rPr>
          <w:szCs w:val="20"/>
        </w:rPr>
      </w:pPr>
      <w:r w:rsidRPr="00AD27E2">
        <w:rPr>
          <w:szCs w:val="20"/>
        </w:rPr>
        <w:t xml:space="preserve">W Bytomiu jest 347 lokali socjalnych, </w:t>
      </w:r>
      <w:r w:rsidR="00047EF6">
        <w:rPr>
          <w:szCs w:val="20"/>
        </w:rPr>
        <w:t xml:space="preserve">z </w:t>
      </w:r>
      <w:r w:rsidRPr="00AD27E2">
        <w:rPr>
          <w:szCs w:val="20"/>
        </w:rPr>
        <w:t xml:space="preserve">czego większość – aż 67% - znajduje się na obszarze rewitalizacji. Najwięcej lokali socjalnych znajduje się w podobszarze Bobrek – 89 oraz Śródmieście – 68.  Umiejscowienie lokali komunalnych w mieście i w podobszarach rewitalizacji </w:t>
      </w:r>
      <w:r w:rsidRPr="00CC4E41">
        <w:rPr>
          <w:szCs w:val="20"/>
        </w:rPr>
        <w:t>obrazuje mapa</w:t>
      </w:r>
      <w:r w:rsidR="005F2F12" w:rsidRPr="00CC4E41">
        <w:rPr>
          <w:szCs w:val="20"/>
        </w:rPr>
        <w:t xml:space="preserve"> 14</w:t>
      </w:r>
      <w:r w:rsidRPr="00CC4E41">
        <w:rPr>
          <w:szCs w:val="20"/>
        </w:rPr>
        <w:t>.</w:t>
      </w:r>
    </w:p>
    <w:p w:rsidR="00F30859" w:rsidRDefault="00F30859" w:rsidP="00F30859">
      <w:pPr>
        <w:jc w:val="both"/>
        <w:rPr>
          <w:rFonts w:ascii="Calibri" w:hAnsi="Calibri" w:cs="Calibri"/>
          <w:szCs w:val="20"/>
        </w:rPr>
      </w:pPr>
      <w:r>
        <w:rPr>
          <w:rFonts w:ascii="Calibri" w:hAnsi="Calibri" w:cs="Calibri"/>
          <w:szCs w:val="20"/>
        </w:rPr>
        <w:t xml:space="preserve">Średnio w Bytomiu na 1 tys. osób przypada 2,19 mieszkań socjalnych. Na obszarze rewitalizacji wskaźnik jest ponad dwa razy wyższy, wynosi 5 mieszkań na 1 tys. osób. Spośród podobszarów rewitalizacji tylko w Śródmieściu Zachód wskaźnik plasuje się poniżej średniej miasta (1,63), a w niewielkim podobszarze Kolonia Zgorzelec mieszkania socjalne nie występują. W pozostałych podobszarach wskaźnik znacznie przewyższa średnią miejską, najwięcej w Bobrku, gdzie wynosi 19 mieszkań socjalnych na 1 tys. osób. </w:t>
      </w:r>
    </w:p>
    <w:p w:rsidR="00F30859" w:rsidRDefault="00F30859" w:rsidP="00F30859">
      <w:pPr>
        <w:ind w:firstLine="708"/>
        <w:jc w:val="both"/>
        <w:rPr>
          <w:rFonts w:ascii="Calibri" w:hAnsi="Calibri" w:cs="Calibri"/>
          <w:szCs w:val="20"/>
        </w:rPr>
      </w:pPr>
      <w:r w:rsidRPr="00CC4E41">
        <w:rPr>
          <w:rFonts w:ascii="Calibri" w:hAnsi="Calibri" w:cs="Calibri"/>
          <w:szCs w:val="20"/>
        </w:rPr>
        <w:t>Na mapie 15 zilustrowano</w:t>
      </w:r>
      <w:r>
        <w:rPr>
          <w:rFonts w:ascii="Calibri" w:hAnsi="Calibri" w:cs="Calibri"/>
          <w:szCs w:val="20"/>
        </w:rPr>
        <w:t xml:space="preserve"> wskaźnik liczby mieszkań socjalnych na 1 tys. mieszkańców w postaci ilorazu. Im ciemniejszy czerwony kolor tym więcej razy wskaźnik przewyższa średnią miasta. </w:t>
      </w:r>
      <w:r w:rsidRPr="00F2395C">
        <w:rPr>
          <w:rFonts w:ascii="Calibri" w:hAnsi="Calibri" w:cs="Calibri"/>
          <w:b/>
          <w:color w:val="C00000"/>
          <w:szCs w:val="20"/>
        </w:rPr>
        <w:t>W Bobrku zagęszczenie lokali socjalnych w relacji do ludności jest aż dziewięć razy wyższe niż przeciętnie w mieście. Skupienie lokali socjalnych obserwujemy także na zachodzie, południu i na wschodzie podobszaru Śródmieście.</w:t>
      </w:r>
    </w:p>
    <w:p w:rsidR="006F5081" w:rsidRDefault="006F5081" w:rsidP="006F5081">
      <w:pPr>
        <w:jc w:val="both"/>
        <w:rPr>
          <w:rFonts w:ascii="Calibri" w:hAnsi="Calibri" w:cs="Calibri"/>
          <w:szCs w:val="20"/>
        </w:rPr>
      </w:pPr>
      <w:r>
        <w:rPr>
          <w:rFonts w:ascii="Calibri" w:hAnsi="Calibri" w:cs="Calibri"/>
          <w:szCs w:val="20"/>
        </w:rPr>
        <w:t>Według stanu na wrzesień 2016 r. na przydział lokali socjalnych oczekiwało 1 146 rodzin, w tym:</w:t>
      </w:r>
    </w:p>
    <w:p w:rsidR="006F5081" w:rsidRPr="00EF757E" w:rsidRDefault="006F5081" w:rsidP="006F5081">
      <w:pPr>
        <w:pStyle w:val="Akapitzlist"/>
        <w:numPr>
          <w:ilvl w:val="0"/>
          <w:numId w:val="204"/>
        </w:numPr>
        <w:spacing w:after="0" w:line="240" w:lineRule="auto"/>
        <w:jc w:val="both"/>
        <w:rPr>
          <w:rFonts w:cs="Calibri"/>
          <w:sz w:val="20"/>
          <w:szCs w:val="20"/>
        </w:rPr>
      </w:pPr>
      <w:r w:rsidRPr="00EF757E">
        <w:rPr>
          <w:rFonts w:cs="Calibri"/>
          <w:sz w:val="20"/>
          <w:szCs w:val="20"/>
        </w:rPr>
        <w:t>z tytułu wykwaterowania ze względu na zły stan techniczny budynku lub lokalu: 20 rodzin,</w:t>
      </w:r>
    </w:p>
    <w:p w:rsidR="006F5081" w:rsidRPr="00EF757E" w:rsidRDefault="006F5081" w:rsidP="006F5081">
      <w:pPr>
        <w:pStyle w:val="Akapitzlist"/>
        <w:numPr>
          <w:ilvl w:val="0"/>
          <w:numId w:val="204"/>
        </w:numPr>
        <w:spacing w:after="0" w:line="240" w:lineRule="auto"/>
        <w:jc w:val="both"/>
        <w:rPr>
          <w:rFonts w:cs="Calibri"/>
          <w:sz w:val="20"/>
          <w:szCs w:val="20"/>
        </w:rPr>
      </w:pPr>
      <w:r w:rsidRPr="00EF757E">
        <w:rPr>
          <w:rFonts w:cs="Calibri"/>
          <w:sz w:val="20"/>
          <w:szCs w:val="20"/>
        </w:rPr>
        <w:t>z tytułu wyroków eksmisyjnych: 1065 rodzin,</w:t>
      </w:r>
    </w:p>
    <w:p w:rsidR="006F5081" w:rsidRPr="00EF757E" w:rsidRDefault="006F5081" w:rsidP="00116FC7">
      <w:pPr>
        <w:pStyle w:val="Akapitzlist"/>
        <w:numPr>
          <w:ilvl w:val="0"/>
          <w:numId w:val="204"/>
        </w:numPr>
        <w:spacing w:after="60" w:line="240" w:lineRule="auto"/>
        <w:ind w:left="714" w:hanging="357"/>
        <w:jc w:val="both"/>
        <w:rPr>
          <w:rFonts w:cs="Calibri"/>
          <w:sz w:val="20"/>
          <w:szCs w:val="20"/>
        </w:rPr>
      </w:pPr>
      <w:r w:rsidRPr="00EF757E">
        <w:rPr>
          <w:rFonts w:cs="Calibri"/>
          <w:sz w:val="20"/>
          <w:szCs w:val="20"/>
        </w:rPr>
        <w:t>z powodu sytuacji materialnej i bytowej: 61 rodzin.</w:t>
      </w:r>
    </w:p>
    <w:p w:rsidR="006F5081" w:rsidRDefault="006F5081" w:rsidP="006F5081">
      <w:pPr>
        <w:jc w:val="both"/>
        <w:rPr>
          <w:rFonts w:ascii="Calibri" w:hAnsi="Calibri" w:cs="Calibri"/>
          <w:szCs w:val="20"/>
        </w:rPr>
      </w:pPr>
      <w:r>
        <w:rPr>
          <w:rFonts w:ascii="Calibri" w:hAnsi="Calibri" w:cs="Calibri"/>
          <w:szCs w:val="20"/>
        </w:rPr>
        <w:t>W 2015 r. przydział mieszkania socjalnego otrzymało zaledwie 41 rodzin, w tym:</w:t>
      </w:r>
    </w:p>
    <w:p w:rsidR="006F5081" w:rsidRPr="00EF757E" w:rsidRDefault="006F5081" w:rsidP="006F5081">
      <w:pPr>
        <w:pStyle w:val="Akapitzlist"/>
        <w:numPr>
          <w:ilvl w:val="0"/>
          <w:numId w:val="205"/>
        </w:numPr>
        <w:spacing w:after="0" w:line="240" w:lineRule="auto"/>
        <w:jc w:val="both"/>
        <w:rPr>
          <w:rFonts w:cs="Calibri"/>
          <w:sz w:val="20"/>
          <w:szCs w:val="20"/>
        </w:rPr>
      </w:pPr>
      <w:r w:rsidRPr="00EF757E">
        <w:rPr>
          <w:rFonts w:cs="Calibri"/>
          <w:sz w:val="20"/>
          <w:szCs w:val="20"/>
        </w:rPr>
        <w:t>w realizacji wyroku sądowego z prawem do mieszkania socjalnego: 12 rodzin</w:t>
      </w:r>
    </w:p>
    <w:p w:rsidR="006F5081" w:rsidRPr="00EF757E" w:rsidRDefault="006F5081" w:rsidP="006F5081">
      <w:pPr>
        <w:pStyle w:val="Akapitzlist"/>
        <w:numPr>
          <w:ilvl w:val="0"/>
          <w:numId w:val="205"/>
        </w:numPr>
        <w:spacing w:after="0" w:line="240" w:lineRule="auto"/>
        <w:jc w:val="both"/>
        <w:rPr>
          <w:rFonts w:cs="Calibri"/>
          <w:sz w:val="20"/>
          <w:szCs w:val="20"/>
        </w:rPr>
      </w:pPr>
      <w:r w:rsidRPr="00EF757E">
        <w:rPr>
          <w:rFonts w:cs="Calibri"/>
          <w:sz w:val="20"/>
          <w:szCs w:val="20"/>
        </w:rPr>
        <w:t>z tytułu wykwaterowania ze względu na zły stan techniczny budynku lub lokalu: 25 rodzin</w:t>
      </w:r>
    </w:p>
    <w:p w:rsidR="006F5081" w:rsidRPr="00EF757E" w:rsidRDefault="006F5081" w:rsidP="006F5081">
      <w:pPr>
        <w:pStyle w:val="Akapitzlist"/>
        <w:numPr>
          <w:ilvl w:val="0"/>
          <w:numId w:val="205"/>
        </w:numPr>
        <w:spacing w:after="0" w:line="240" w:lineRule="auto"/>
        <w:jc w:val="both"/>
        <w:rPr>
          <w:rFonts w:cs="Calibri"/>
          <w:sz w:val="20"/>
          <w:szCs w:val="20"/>
        </w:rPr>
      </w:pPr>
      <w:r w:rsidRPr="00EF757E">
        <w:rPr>
          <w:rFonts w:cs="Calibri"/>
          <w:sz w:val="20"/>
          <w:szCs w:val="20"/>
        </w:rPr>
        <w:t>z powodu sytuacji materialnej i bytowej: 4 rodziny.</w:t>
      </w:r>
    </w:p>
    <w:p w:rsidR="005B41FF" w:rsidRDefault="005B41FF" w:rsidP="005B41FF">
      <w:pPr>
        <w:jc w:val="both"/>
        <w:rPr>
          <w:rFonts w:ascii="Calibri" w:hAnsi="Calibri" w:cs="Calibri"/>
          <w:b/>
          <w:bCs/>
          <w:szCs w:val="20"/>
        </w:rPr>
      </w:pPr>
      <w:r>
        <w:rPr>
          <w:rFonts w:ascii="Calibri" w:hAnsi="Calibri" w:cs="Calibri"/>
          <w:b/>
          <w:bCs/>
          <w:szCs w:val="20"/>
        </w:rPr>
        <w:lastRenderedPageBreak/>
        <w:t xml:space="preserve"> </w:t>
      </w:r>
      <w:bookmarkStart w:id="4064" w:name="_Toc191972623"/>
      <w:r>
        <w:rPr>
          <w:rFonts w:ascii="Calibri" w:hAnsi="Calibri" w:cs="Calibri"/>
          <w:b/>
          <w:bCs/>
          <w:szCs w:val="20"/>
        </w:rPr>
        <w:t xml:space="preserve">Mapa </w:t>
      </w:r>
      <w:r w:rsidR="003972D8">
        <w:rPr>
          <w:rFonts w:ascii="Calibri" w:hAnsi="Calibri" w:cs="Calibri"/>
          <w:b/>
          <w:bCs/>
          <w:szCs w:val="20"/>
        </w:rPr>
        <w:fldChar w:fldCharType="begin"/>
      </w:r>
      <w:r>
        <w:rPr>
          <w:rFonts w:ascii="Calibri" w:hAnsi="Calibri" w:cs="Calibri"/>
          <w:b/>
          <w:bCs/>
          <w:szCs w:val="20"/>
        </w:rPr>
        <w:instrText xml:space="preserve"> SEQ Mapa \* ARABIC </w:instrText>
      </w:r>
      <w:r w:rsidR="003972D8">
        <w:rPr>
          <w:rFonts w:ascii="Calibri" w:hAnsi="Calibri" w:cs="Calibri"/>
          <w:b/>
          <w:bCs/>
          <w:szCs w:val="20"/>
        </w:rPr>
        <w:fldChar w:fldCharType="separate"/>
      </w:r>
      <w:r w:rsidR="00413FFE">
        <w:rPr>
          <w:rFonts w:ascii="Calibri" w:hAnsi="Calibri" w:cs="Calibri"/>
          <w:b/>
          <w:bCs/>
          <w:noProof/>
          <w:szCs w:val="20"/>
        </w:rPr>
        <w:t>11</w:t>
      </w:r>
      <w:r w:rsidR="003972D8">
        <w:rPr>
          <w:rFonts w:ascii="Calibri" w:hAnsi="Calibri" w:cs="Calibri"/>
          <w:b/>
          <w:bCs/>
          <w:szCs w:val="20"/>
        </w:rPr>
        <w:fldChar w:fldCharType="end"/>
      </w:r>
      <w:r w:rsidR="000C7A3F">
        <w:rPr>
          <w:rFonts w:ascii="Calibri" w:hAnsi="Calibri" w:cs="Calibri"/>
          <w:b/>
          <w:bCs/>
          <w:szCs w:val="20"/>
        </w:rPr>
        <w:t xml:space="preserve">. Mieszkania socjalne w </w:t>
      </w:r>
      <w:r>
        <w:rPr>
          <w:rFonts w:ascii="Calibri" w:hAnsi="Calibri" w:cs="Calibri"/>
          <w:b/>
          <w:bCs/>
          <w:szCs w:val="20"/>
        </w:rPr>
        <w:t>Bytomiu</w:t>
      </w:r>
      <w:bookmarkEnd w:id="4064"/>
    </w:p>
    <w:p w:rsidR="005B41FF" w:rsidRDefault="009B5277" w:rsidP="00F30859">
      <w:pPr>
        <w:jc w:val="center"/>
        <w:rPr>
          <w:rFonts w:ascii="Calibri" w:hAnsi="Calibri" w:cs="Calibri"/>
          <w:szCs w:val="20"/>
        </w:rPr>
      </w:pPr>
      <w:r>
        <w:rPr>
          <w:rFonts w:ascii="Calibri" w:hAnsi="Calibri" w:cs="Calibri"/>
          <w:noProof/>
          <w:szCs w:val="20"/>
        </w:rPr>
        <w:drawing>
          <wp:inline distT="0" distB="0" distL="0" distR="0">
            <wp:extent cx="5436000" cy="3776375"/>
            <wp:effectExtent l="19050" t="0" r="0" b="0"/>
            <wp:docPr id="82" name="Obraz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3" cstate="print"/>
                    <a:srcRect b="2020"/>
                    <a:stretch>
                      <a:fillRect/>
                    </a:stretch>
                  </pic:blipFill>
                  <pic:spPr bwMode="auto">
                    <a:xfrm>
                      <a:off x="0" y="0"/>
                      <a:ext cx="5436000" cy="3776375"/>
                    </a:xfrm>
                    <a:prstGeom prst="rect">
                      <a:avLst/>
                    </a:prstGeom>
                    <a:noFill/>
                    <a:ln w="9525">
                      <a:noFill/>
                      <a:miter lim="800000"/>
                      <a:headEnd/>
                      <a:tailEnd/>
                    </a:ln>
                  </pic:spPr>
                </pic:pic>
              </a:graphicData>
            </a:graphic>
          </wp:inline>
        </w:drawing>
      </w:r>
    </w:p>
    <w:p w:rsidR="005B41FF" w:rsidRPr="003C2553" w:rsidRDefault="005B41FF" w:rsidP="005B41FF">
      <w:pPr>
        <w:autoSpaceDE w:val="0"/>
        <w:autoSpaceDN w:val="0"/>
        <w:adjustRightInd w:val="0"/>
        <w:rPr>
          <w:rFonts w:ascii="Calibri" w:hAnsi="Calibri" w:cs="Calibri"/>
          <w:i/>
          <w:iCs/>
          <w:sz w:val="18"/>
          <w:szCs w:val="20"/>
        </w:rPr>
      </w:pPr>
      <w:r w:rsidRPr="003C2553">
        <w:rPr>
          <w:rFonts w:ascii="Calibri" w:hAnsi="Calibri" w:cs="Calibri"/>
          <w:i/>
          <w:iCs/>
          <w:sz w:val="18"/>
          <w:szCs w:val="20"/>
        </w:rPr>
        <w:t>Źródło: Opracowanie Instytutu Rozwoju Miast</w:t>
      </w:r>
    </w:p>
    <w:p w:rsidR="005B41FF" w:rsidRPr="003C2553" w:rsidRDefault="005B41FF" w:rsidP="005B41FF">
      <w:pPr>
        <w:jc w:val="both"/>
        <w:rPr>
          <w:rFonts w:ascii="Calibri" w:hAnsi="Calibri" w:cs="Calibri"/>
          <w:sz w:val="8"/>
          <w:szCs w:val="20"/>
        </w:rPr>
      </w:pPr>
    </w:p>
    <w:p w:rsidR="005B41FF" w:rsidRDefault="005B41FF" w:rsidP="005B41FF">
      <w:pPr>
        <w:pStyle w:val="Legenda"/>
        <w:rPr>
          <w:rFonts w:ascii="Calibri" w:hAnsi="Calibri" w:cs="Calibri"/>
        </w:rPr>
      </w:pPr>
      <w:bookmarkStart w:id="4065" w:name="_Toc191972624"/>
      <w:r>
        <w:rPr>
          <w:rFonts w:ascii="Calibri" w:hAnsi="Calibri" w:cs="Calibri"/>
        </w:rPr>
        <w:t xml:space="preserve">Mapa </w:t>
      </w:r>
      <w:r w:rsidR="003972D8">
        <w:rPr>
          <w:rFonts w:ascii="Calibri" w:hAnsi="Calibri" w:cs="Calibri"/>
        </w:rPr>
        <w:fldChar w:fldCharType="begin"/>
      </w:r>
      <w:r>
        <w:rPr>
          <w:rFonts w:ascii="Calibri" w:hAnsi="Calibri" w:cs="Calibri"/>
        </w:rPr>
        <w:instrText xml:space="preserve"> SEQ Mapa \* ARABIC </w:instrText>
      </w:r>
      <w:r w:rsidR="003972D8">
        <w:rPr>
          <w:rFonts w:ascii="Calibri" w:hAnsi="Calibri" w:cs="Calibri"/>
        </w:rPr>
        <w:fldChar w:fldCharType="separate"/>
      </w:r>
      <w:r w:rsidR="00413FFE">
        <w:rPr>
          <w:rFonts w:ascii="Calibri" w:hAnsi="Calibri" w:cs="Calibri"/>
          <w:noProof/>
        </w:rPr>
        <w:t>12</w:t>
      </w:r>
      <w:r w:rsidR="003972D8">
        <w:rPr>
          <w:rFonts w:ascii="Calibri" w:hAnsi="Calibri" w:cs="Calibri"/>
        </w:rPr>
        <w:fldChar w:fldCharType="end"/>
      </w:r>
      <w:r>
        <w:rPr>
          <w:rFonts w:ascii="Calibri" w:hAnsi="Calibri" w:cs="Calibri"/>
        </w:rPr>
        <w:t>. Mieszkania socjalne na 1 tys. mieszkańców w Bytomiu</w:t>
      </w:r>
      <w:bookmarkEnd w:id="4065"/>
    </w:p>
    <w:p w:rsidR="005B41FF" w:rsidRDefault="009B5277" w:rsidP="00944424">
      <w:pPr>
        <w:jc w:val="center"/>
        <w:rPr>
          <w:rFonts w:ascii="Calibri" w:hAnsi="Calibri" w:cs="Calibri"/>
          <w:szCs w:val="20"/>
        </w:rPr>
      </w:pPr>
      <w:r>
        <w:rPr>
          <w:rFonts w:ascii="Calibri" w:hAnsi="Calibri" w:cs="Calibri"/>
          <w:noProof/>
          <w:szCs w:val="20"/>
        </w:rPr>
        <w:drawing>
          <wp:inline distT="0" distB="0" distL="0" distR="0">
            <wp:extent cx="5400000" cy="3830123"/>
            <wp:effectExtent l="19050" t="0" r="0" b="0"/>
            <wp:docPr id="81" name="Obraz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4" cstate="print"/>
                    <a:srcRect/>
                    <a:stretch>
                      <a:fillRect/>
                    </a:stretch>
                  </pic:blipFill>
                  <pic:spPr bwMode="auto">
                    <a:xfrm>
                      <a:off x="0" y="0"/>
                      <a:ext cx="5400000" cy="3830123"/>
                    </a:xfrm>
                    <a:prstGeom prst="rect">
                      <a:avLst/>
                    </a:prstGeom>
                    <a:noFill/>
                    <a:ln w="9525">
                      <a:noFill/>
                      <a:miter lim="800000"/>
                      <a:headEnd/>
                      <a:tailEnd/>
                    </a:ln>
                  </pic:spPr>
                </pic:pic>
              </a:graphicData>
            </a:graphic>
          </wp:inline>
        </w:drawing>
      </w:r>
    </w:p>
    <w:p w:rsidR="005B41FF" w:rsidRPr="001D1C6E" w:rsidRDefault="005B41FF" w:rsidP="005B41FF">
      <w:pPr>
        <w:autoSpaceDE w:val="0"/>
        <w:autoSpaceDN w:val="0"/>
        <w:adjustRightInd w:val="0"/>
        <w:rPr>
          <w:rFonts w:ascii="Calibri" w:hAnsi="Calibri" w:cs="Calibri"/>
          <w:i/>
          <w:iCs/>
          <w:sz w:val="18"/>
          <w:szCs w:val="20"/>
        </w:rPr>
      </w:pPr>
      <w:r w:rsidRPr="001D1C6E">
        <w:rPr>
          <w:rFonts w:ascii="Calibri" w:hAnsi="Calibri" w:cs="Calibri"/>
          <w:i/>
          <w:iCs/>
          <w:sz w:val="18"/>
          <w:szCs w:val="20"/>
        </w:rPr>
        <w:t>Źródło: Opracowanie Instytutu Rozwoju Miast</w:t>
      </w:r>
    </w:p>
    <w:p w:rsidR="005B41FF" w:rsidRPr="00A21842" w:rsidRDefault="005B41FF" w:rsidP="005B41FF">
      <w:pPr>
        <w:jc w:val="both"/>
        <w:rPr>
          <w:rFonts w:ascii="Calibri" w:hAnsi="Calibri" w:cs="Calibri"/>
          <w:b/>
          <w:color w:val="C00000"/>
          <w:szCs w:val="20"/>
        </w:rPr>
      </w:pPr>
      <w:r>
        <w:rPr>
          <w:rFonts w:ascii="Calibri" w:hAnsi="Calibri" w:cs="Calibri"/>
          <w:szCs w:val="20"/>
        </w:rPr>
        <w:lastRenderedPageBreak/>
        <w:t xml:space="preserve">Jednocześnie w samym 2015 r. zapadło 214 wyroków sądowych z prawem do mieszkania socjalnego. Zestawienie powyższych danych świadczy o </w:t>
      </w:r>
      <w:r w:rsidRPr="00A21842">
        <w:rPr>
          <w:rFonts w:ascii="Calibri" w:hAnsi="Calibri" w:cs="Calibri"/>
          <w:b/>
          <w:color w:val="C00000"/>
          <w:szCs w:val="20"/>
        </w:rPr>
        <w:t>radykalnym niedoborze mieszkań socjalnych.</w:t>
      </w:r>
      <w:r>
        <w:rPr>
          <w:rFonts w:ascii="Calibri" w:hAnsi="Calibri" w:cs="Calibri"/>
          <w:szCs w:val="20"/>
        </w:rPr>
        <w:t xml:space="preserve"> Wyniki przedstawionej powyżej analizy skali zagrożenia ubóstwem w podobszarach rewitalizacji i </w:t>
      </w:r>
      <w:r w:rsidRPr="00A21842">
        <w:rPr>
          <w:rFonts w:ascii="Calibri" w:hAnsi="Calibri" w:cs="Calibri"/>
          <w:b/>
          <w:color w:val="C00000"/>
          <w:szCs w:val="20"/>
        </w:rPr>
        <w:t xml:space="preserve">zdiagnozowane niedobory w zasobie mieszkań socjalnych miasta rodzą pilną potrzebę zwiększenia ich dostępności, a także zapewnienia standardów jakości gwarantowanych w obowiązującym prawodawstwie. Działania w tym zakresie powinny zostać uwzględnione w projektach rewitalizacyjnych. </w:t>
      </w:r>
    </w:p>
    <w:p w:rsidR="005B41FF" w:rsidRDefault="005B41FF" w:rsidP="005B41FF">
      <w:pPr>
        <w:spacing w:after="120"/>
        <w:jc w:val="both"/>
        <w:rPr>
          <w:rFonts w:ascii="Calibri" w:hAnsi="Calibri" w:cs="Calibri"/>
          <w:szCs w:val="20"/>
        </w:rPr>
      </w:pPr>
      <w:r>
        <w:rPr>
          <w:rFonts w:ascii="Calibri" w:hAnsi="Calibri" w:cs="Calibri"/>
          <w:szCs w:val="20"/>
        </w:rPr>
        <w:t>Istotną kwestię stanowi również w powyższym kontekście rozwój mieszkalnictwa wspieranego, które chociaż ukierunkowane na różne grupy docelowe zagrożone wykluczeniem społecznym z takich przyczyn jak niepełnosprawność, bezdomność, czy też młodzież opuszczającą pieczę zastępczą</w:t>
      </w:r>
      <w:r w:rsidR="0038597F">
        <w:rPr>
          <w:rStyle w:val="Odwoanieprzypisudolnego"/>
          <w:rFonts w:ascii="Calibri" w:hAnsi="Calibri" w:cs="Calibri"/>
          <w:szCs w:val="20"/>
        </w:rPr>
        <w:footnoteReference w:id="13"/>
      </w:r>
      <w:r w:rsidR="0038597F">
        <w:rPr>
          <w:rFonts w:ascii="Calibri" w:hAnsi="Calibri" w:cs="Calibri"/>
          <w:szCs w:val="20"/>
        </w:rPr>
        <w:t xml:space="preserve">, </w:t>
      </w:r>
      <w:r>
        <w:rPr>
          <w:rFonts w:ascii="Calibri" w:hAnsi="Calibri" w:cs="Calibri"/>
          <w:szCs w:val="20"/>
        </w:rPr>
        <w:t>to jednak pośrednio wiążące się z zagrożeniem ubóstwem powyż</w:t>
      </w:r>
      <w:r w:rsidR="00A21842">
        <w:rPr>
          <w:rFonts w:ascii="Calibri" w:hAnsi="Calibri" w:cs="Calibri"/>
          <w:szCs w:val="20"/>
        </w:rPr>
        <w:t xml:space="preserve">szych grup. Wymienione grupy są </w:t>
      </w:r>
      <w:r>
        <w:rPr>
          <w:rFonts w:ascii="Calibri" w:hAnsi="Calibri" w:cs="Calibri"/>
          <w:szCs w:val="20"/>
        </w:rPr>
        <w:t>bowiem równocześnie beneficjentami świadczeń opieki społecznej, zwłaszcza zasiłków okresowych i celowych, uznanych za jeden z</w:t>
      </w:r>
      <w:r w:rsidR="006F2933">
        <w:rPr>
          <w:rFonts w:ascii="Calibri" w:hAnsi="Calibri" w:cs="Calibri"/>
          <w:szCs w:val="20"/>
        </w:rPr>
        <w:t> </w:t>
      </w:r>
      <w:r>
        <w:rPr>
          <w:rFonts w:ascii="Calibri" w:hAnsi="Calibri" w:cs="Calibri"/>
          <w:szCs w:val="20"/>
        </w:rPr>
        <w:t xml:space="preserve">poddanych analizie zjawisk obrazujących zagrożenie ubóstwem na obszarze rewitalizacji. </w:t>
      </w:r>
    </w:p>
    <w:p w:rsidR="005B41FF" w:rsidRDefault="005B41FF" w:rsidP="005B41FF">
      <w:pPr>
        <w:jc w:val="both"/>
        <w:rPr>
          <w:rFonts w:ascii="Calibri" w:hAnsi="Calibri" w:cs="Calibri"/>
          <w:szCs w:val="20"/>
        </w:rPr>
      </w:pPr>
      <w:r>
        <w:rPr>
          <w:rFonts w:ascii="Calibri" w:hAnsi="Calibri" w:cs="Calibri"/>
          <w:szCs w:val="20"/>
        </w:rPr>
        <w:t>W ramach istniejącego zasobu mieszkalnictwa wspieranego w Bytomiu można wskazać cztery mieszkania chronione funkcjonujące w strukturze MOPR:</w:t>
      </w:r>
    </w:p>
    <w:p w:rsidR="003654E4" w:rsidRDefault="005B41FF" w:rsidP="00854ADE">
      <w:pPr>
        <w:pStyle w:val="Akapitzlist"/>
        <w:numPr>
          <w:ilvl w:val="0"/>
          <w:numId w:val="162"/>
        </w:numPr>
        <w:suppressAutoHyphens/>
        <w:spacing w:after="0" w:line="240" w:lineRule="auto"/>
        <w:jc w:val="both"/>
        <w:rPr>
          <w:sz w:val="20"/>
          <w:szCs w:val="20"/>
        </w:rPr>
      </w:pPr>
      <w:r w:rsidRPr="00D7583E">
        <w:rPr>
          <w:b/>
          <w:sz w:val="20"/>
          <w:szCs w:val="20"/>
        </w:rPr>
        <w:t>ul. Cicha 24/2</w:t>
      </w:r>
      <w:r>
        <w:rPr>
          <w:sz w:val="20"/>
          <w:szCs w:val="20"/>
        </w:rPr>
        <w:t xml:space="preserve"> – dla 4 osó</w:t>
      </w:r>
      <w:r w:rsidR="00A21842">
        <w:rPr>
          <w:sz w:val="20"/>
          <w:szCs w:val="20"/>
        </w:rPr>
        <w:t>b (poza obszarem rewitalizacji),</w:t>
      </w:r>
    </w:p>
    <w:p w:rsidR="003654E4" w:rsidRDefault="005B41FF" w:rsidP="00854ADE">
      <w:pPr>
        <w:pStyle w:val="Akapitzlist"/>
        <w:numPr>
          <w:ilvl w:val="0"/>
          <w:numId w:val="162"/>
        </w:numPr>
        <w:suppressAutoHyphens/>
        <w:spacing w:after="0" w:line="240" w:lineRule="auto"/>
        <w:jc w:val="both"/>
        <w:rPr>
          <w:sz w:val="20"/>
          <w:szCs w:val="20"/>
        </w:rPr>
      </w:pPr>
      <w:r w:rsidRPr="00D7583E">
        <w:rPr>
          <w:b/>
          <w:sz w:val="20"/>
          <w:szCs w:val="20"/>
        </w:rPr>
        <w:t>ul. Matejki 27/1</w:t>
      </w:r>
      <w:r>
        <w:rPr>
          <w:sz w:val="20"/>
          <w:szCs w:val="20"/>
        </w:rPr>
        <w:t xml:space="preserve"> – dla</w:t>
      </w:r>
      <w:r w:rsidR="00A21842">
        <w:rPr>
          <w:sz w:val="20"/>
          <w:szCs w:val="20"/>
        </w:rPr>
        <w:t xml:space="preserve"> 3 osób (podobszar Śródmieście),</w:t>
      </w:r>
    </w:p>
    <w:p w:rsidR="003654E4" w:rsidRDefault="005B41FF" w:rsidP="00854ADE">
      <w:pPr>
        <w:pStyle w:val="Akapitzlist"/>
        <w:numPr>
          <w:ilvl w:val="0"/>
          <w:numId w:val="162"/>
        </w:numPr>
        <w:suppressAutoHyphens/>
        <w:spacing w:after="0" w:line="240" w:lineRule="auto"/>
        <w:jc w:val="both"/>
        <w:rPr>
          <w:sz w:val="20"/>
          <w:szCs w:val="20"/>
        </w:rPr>
      </w:pPr>
      <w:r w:rsidRPr="00D7583E">
        <w:rPr>
          <w:b/>
          <w:sz w:val="20"/>
          <w:szCs w:val="20"/>
        </w:rPr>
        <w:t>ul. Strzelców Bytomskich 43/3</w:t>
      </w:r>
      <w:r>
        <w:rPr>
          <w:sz w:val="20"/>
          <w:szCs w:val="20"/>
        </w:rPr>
        <w:t xml:space="preserve"> – dla 3 osób</w:t>
      </w:r>
      <w:r w:rsidR="00A21842">
        <w:rPr>
          <w:sz w:val="20"/>
          <w:szCs w:val="20"/>
        </w:rPr>
        <w:t xml:space="preserve"> (podobszar Śródmieście Zachód),</w:t>
      </w:r>
    </w:p>
    <w:p w:rsidR="003654E4" w:rsidRDefault="005B41FF" w:rsidP="00854ADE">
      <w:pPr>
        <w:pStyle w:val="Akapitzlist"/>
        <w:numPr>
          <w:ilvl w:val="0"/>
          <w:numId w:val="162"/>
        </w:numPr>
        <w:suppressAutoHyphens/>
        <w:spacing w:after="0" w:line="240" w:lineRule="auto"/>
        <w:jc w:val="both"/>
        <w:rPr>
          <w:sz w:val="20"/>
          <w:szCs w:val="20"/>
        </w:rPr>
      </w:pPr>
      <w:r w:rsidRPr="00D7583E">
        <w:rPr>
          <w:b/>
          <w:sz w:val="20"/>
          <w:szCs w:val="20"/>
        </w:rPr>
        <w:t>ul. Korfantego 22/1</w:t>
      </w:r>
      <w:r>
        <w:rPr>
          <w:sz w:val="20"/>
          <w:szCs w:val="20"/>
        </w:rPr>
        <w:t xml:space="preserve"> – dla 4 osób (podobszar Śródmieście).</w:t>
      </w:r>
    </w:p>
    <w:p w:rsidR="005B41FF" w:rsidRPr="00C516B0" w:rsidRDefault="005B41FF" w:rsidP="006F2933">
      <w:pPr>
        <w:spacing w:before="240"/>
        <w:jc w:val="both"/>
        <w:rPr>
          <w:rFonts w:ascii="Calibri" w:hAnsi="Calibri" w:cs="Calibri"/>
          <w:b/>
          <w:color w:val="C00000"/>
          <w:szCs w:val="20"/>
        </w:rPr>
      </w:pPr>
      <w:r>
        <w:rPr>
          <w:rFonts w:ascii="Calibri" w:hAnsi="Calibri" w:cs="Calibri"/>
          <w:szCs w:val="20"/>
        </w:rPr>
        <w:t>Kolejne 12 miejsc jest dostępnych w mieszkaniach chronionych prowadzonych przez organizacje pozarządowe, które zlokalizowane są na obszarze rewitalizacji (podobszar Rozbark). Większość dostępnych miejsc ukierunkowana jest na potrzeby osób chorych psychicznie, a także niepełnosprawnych intelektualnie i</w:t>
      </w:r>
      <w:r w:rsidR="006F2933">
        <w:rPr>
          <w:rFonts w:ascii="Calibri" w:hAnsi="Calibri" w:cs="Calibri"/>
          <w:szCs w:val="20"/>
        </w:rPr>
        <w:t> </w:t>
      </w:r>
      <w:r>
        <w:rPr>
          <w:rFonts w:ascii="Calibri" w:hAnsi="Calibri" w:cs="Calibri"/>
          <w:szCs w:val="20"/>
        </w:rPr>
        <w:t>przyjmuje formę mieszkań chronionych. Zarówno w kontekście zagrożenia ubóstwem, zarówno osób niepełnosprawnych i bezd</w:t>
      </w:r>
      <w:r w:rsidR="00727884">
        <w:rPr>
          <w:rFonts w:ascii="Calibri" w:hAnsi="Calibri" w:cs="Calibri"/>
          <w:szCs w:val="20"/>
        </w:rPr>
        <w:t>o</w:t>
      </w:r>
      <w:r>
        <w:rPr>
          <w:rFonts w:ascii="Calibri" w:hAnsi="Calibri" w:cs="Calibri"/>
          <w:szCs w:val="20"/>
        </w:rPr>
        <w:t>mnych oraz przedstawionej w dalszych podrozdziałach pogłębion</w:t>
      </w:r>
      <w:r w:rsidR="007916BA">
        <w:rPr>
          <w:rFonts w:ascii="Calibri" w:hAnsi="Calibri" w:cs="Calibri"/>
          <w:szCs w:val="20"/>
        </w:rPr>
        <w:t>ej analizy ww. grup społecznych</w:t>
      </w:r>
      <w:r>
        <w:rPr>
          <w:rFonts w:ascii="Calibri" w:hAnsi="Calibri" w:cs="Calibri"/>
          <w:szCs w:val="20"/>
        </w:rPr>
        <w:t xml:space="preserve"> staje się </w:t>
      </w:r>
      <w:r w:rsidRPr="00C516B0">
        <w:rPr>
          <w:rFonts w:ascii="Calibri" w:hAnsi="Calibri" w:cs="Calibri"/>
          <w:b/>
          <w:color w:val="C00000"/>
          <w:szCs w:val="20"/>
        </w:rPr>
        <w:t>dalszy rozwój mieszkalnictwa wspieranego, zwłaszcza w formie mieszkań treningowych i</w:t>
      </w:r>
      <w:r w:rsidR="006F2933" w:rsidRPr="00C516B0">
        <w:rPr>
          <w:rFonts w:ascii="Calibri" w:hAnsi="Calibri" w:cs="Calibri"/>
          <w:b/>
          <w:color w:val="C00000"/>
          <w:szCs w:val="20"/>
        </w:rPr>
        <w:t> </w:t>
      </w:r>
      <w:r w:rsidRPr="00C516B0">
        <w:rPr>
          <w:rFonts w:ascii="Calibri" w:hAnsi="Calibri" w:cs="Calibri"/>
          <w:b/>
          <w:color w:val="C00000"/>
          <w:szCs w:val="20"/>
        </w:rPr>
        <w:t xml:space="preserve">wspomaganych wspierających proces reintegracji społecznej oraz zawodowej. </w:t>
      </w:r>
    </w:p>
    <w:p w:rsidR="005B41FF" w:rsidRDefault="005B41FF" w:rsidP="005B41FF">
      <w:pPr>
        <w:jc w:val="both"/>
        <w:rPr>
          <w:rFonts w:ascii="Calibri" w:hAnsi="Calibri" w:cs="Calibri"/>
          <w:szCs w:val="20"/>
        </w:rPr>
      </w:pPr>
    </w:p>
    <w:p w:rsidR="00BA3E4D" w:rsidRDefault="00BA3E4D" w:rsidP="00BA3E4D">
      <w:pPr>
        <w:pStyle w:val="Legenda"/>
        <w:spacing w:line="312" w:lineRule="auto"/>
        <w:rPr>
          <w:rFonts w:ascii="Calibri" w:hAnsi="Calibri" w:cs="Calibri"/>
        </w:rPr>
      </w:pPr>
      <w:bookmarkStart w:id="4066" w:name="_Toc202771104"/>
      <w:r>
        <w:rPr>
          <w:rFonts w:ascii="Calibri" w:hAnsi="Calibri" w:cs="Calibri"/>
        </w:rPr>
        <w:t xml:space="preserve">Tabela </w:t>
      </w:r>
      <w:r w:rsidR="003972D8">
        <w:rPr>
          <w:rFonts w:ascii="Calibri" w:hAnsi="Calibri" w:cs="Calibri"/>
        </w:rPr>
        <w:fldChar w:fldCharType="begin"/>
      </w:r>
      <w:r>
        <w:rPr>
          <w:rFonts w:ascii="Calibri" w:hAnsi="Calibri" w:cs="Calibri"/>
        </w:rPr>
        <w:instrText xml:space="preserve"> SEQ Tabela \* ARABIC </w:instrText>
      </w:r>
      <w:r w:rsidR="003972D8">
        <w:rPr>
          <w:rFonts w:ascii="Calibri" w:hAnsi="Calibri" w:cs="Calibri"/>
        </w:rPr>
        <w:fldChar w:fldCharType="separate"/>
      </w:r>
      <w:r w:rsidR="00413FFE">
        <w:rPr>
          <w:rFonts w:ascii="Calibri" w:hAnsi="Calibri" w:cs="Calibri"/>
          <w:noProof/>
        </w:rPr>
        <w:t>10</w:t>
      </w:r>
      <w:r w:rsidR="003972D8">
        <w:rPr>
          <w:rFonts w:ascii="Calibri" w:hAnsi="Calibri" w:cs="Calibri"/>
        </w:rPr>
        <w:fldChar w:fldCharType="end"/>
      </w:r>
      <w:r>
        <w:rPr>
          <w:rFonts w:ascii="Calibri" w:hAnsi="Calibri" w:cs="Calibri"/>
        </w:rPr>
        <w:t>. Charakterystyka ubóstwa w podobszarach rewitalizacji</w:t>
      </w:r>
      <w:bookmarkEnd w:id="4066"/>
      <w:r>
        <w:rPr>
          <w:rFonts w:ascii="Calibri" w:hAnsi="Calibri" w:cs="Calibri"/>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099"/>
        <w:gridCol w:w="1193"/>
        <w:gridCol w:w="1147"/>
        <w:gridCol w:w="1147"/>
        <w:gridCol w:w="1147"/>
        <w:gridCol w:w="1134"/>
        <w:gridCol w:w="1343"/>
      </w:tblGrid>
      <w:tr w:rsidR="00BA3E4D" w:rsidRPr="007B3430" w:rsidTr="00C94EBD">
        <w:trPr>
          <w:cantSplit/>
        </w:trPr>
        <w:tc>
          <w:tcPr>
            <w:tcW w:w="2099" w:type="dxa"/>
            <w:vMerge w:val="restart"/>
            <w:shd w:val="clear" w:color="auto" w:fill="99CCFF"/>
            <w:vAlign w:val="center"/>
          </w:tcPr>
          <w:p w:rsidR="00BA3E4D" w:rsidRPr="00BA3E4D" w:rsidRDefault="00BA3E4D" w:rsidP="00BA3E4D">
            <w:pPr>
              <w:jc w:val="center"/>
              <w:rPr>
                <w:rFonts w:eastAsiaTheme="minorEastAsia" w:cstheme="minorHAnsi"/>
                <w:b/>
                <w:szCs w:val="20"/>
              </w:rPr>
            </w:pPr>
            <w:r w:rsidRPr="00BA3E4D">
              <w:rPr>
                <w:rFonts w:eastAsiaTheme="minorEastAsia" w:cstheme="minorHAnsi"/>
                <w:b/>
                <w:szCs w:val="20"/>
              </w:rPr>
              <w:t>Wskaźnik</w:t>
            </w:r>
          </w:p>
        </w:tc>
        <w:tc>
          <w:tcPr>
            <w:tcW w:w="7111" w:type="dxa"/>
            <w:gridSpan w:val="6"/>
            <w:shd w:val="clear" w:color="auto" w:fill="99CCFF"/>
            <w:vAlign w:val="center"/>
          </w:tcPr>
          <w:p w:rsidR="00BA3E4D" w:rsidRPr="00BA3E4D" w:rsidRDefault="00BA3E4D" w:rsidP="00525B6E">
            <w:pPr>
              <w:spacing w:before="40" w:after="40"/>
              <w:jc w:val="center"/>
              <w:rPr>
                <w:rFonts w:eastAsiaTheme="minorEastAsia" w:cstheme="minorHAnsi"/>
                <w:b/>
                <w:szCs w:val="20"/>
              </w:rPr>
            </w:pPr>
            <w:r w:rsidRPr="00BA3E4D">
              <w:rPr>
                <w:rFonts w:eastAsiaTheme="minorEastAsia" w:cstheme="minorHAnsi"/>
                <w:b/>
                <w:szCs w:val="20"/>
              </w:rPr>
              <w:t>OBSZARY REWITALIZACJI</w:t>
            </w:r>
          </w:p>
        </w:tc>
      </w:tr>
      <w:tr w:rsidR="00C94EBD" w:rsidRPr="007B3430" w:rsidTr="00C94EBD">
        <w:trPr>
          <w:cantSplit/>
        </w:trPr>
        <w:tc>
          <w:tcPr>
            <w:tcW w:w="2099" w:type="dxa"/>
            <w:vMerge/>
            <w:shd w:val="clear" w:color="auto" w:fill="99CCFF"/>
            <w:vAlign w:val="center"/>
          </w:tcPr>
          <w:p w:rsidR="00BA3E4D" w:rsidRPr="00BA3E4D" w:rsidRDefault="00BA3E4D" w:rsidP="00BA3E4D">
            <w:pPr>
              <w:jc w:val="center"/>
              <w:rPr>
                <w:rFonts w:eastAsiaTheme="minorEastAsia" w:cstheme="minorHAnsi"/>
                <w:b/>
                <w:szCs w:val="20"/>
              </w:rPr>
            </w:pPr>
          </w:p>
        </w:tc>
        <w:tc>
          <w:tcPr>
            <w:tcW w:w="1193" w:type="dxa"/>
            <w:shd w:val="clear" w:color="auto" w:fill="99CCFF"/>
            <w:vAlign w:val="center"/>
          </w:tcPr>
          <w:p w:rsidR="00BA3E4D" w:rsidRPr="00BA3E4D" w:rsidRDefault="00BA3E4D" w:rsidP="00BA3E4D">
            <w:pPr>
              <w:jc w:val="center"/>
              <w:rPr>
                <w:rFonts w:eastAsiaTheme="minorEastAsia" w:cstheme="minorHAnsi"/>
                <w:b/>
                <w:szCs w:val="20"/>
              </w:rPr>
            </w:pPr>
            <w:r w:rsidRPr="00BA3E4D">
              <w:rPr>
                <w:rFonts w:eastAsiaTheme="minorEastAsia" w:cstheme="minorHAnsi"/>
                <w:b/>
                <w:szCs w:val="20"/>
              </w:rPr>
              <w:t>Bobrek</w:t>
            </w:r>
          </w:p>
        </w:tc>
        <w:tc>
          <w:tcPr>
            <w:tcW w:w="1147" w:type="dxa"/>
            <w:shd w:val="clear" w:color="auto" w:fill="99CCFF"/>
            <w:vAlign w:val="center"/>
          </w:tcPr>
          <w:p w:rsidR="00BA3E4D" w:rsidRPr="00BA3E4D" w:rsidRDefault="00BA3E4D" w:rsidP="00BA3E4D">
            <w:pPr>
              <w:jc w:val="center"/>
              <w:rPr>
                <w:rFonts w:eastAsiaTheme="minorEastAsia" w:cstheme="minorHAnsi"/>
                <w:b/>
                <w:szCs w:val="20"/>
              </w:rPr>
            </w:pPr>
            <w:r w:rsidRPr="00BA3E4D">
              <w:rPr>
                <w:rFonts w:eastAsiaTheme="minorEastAsia" w:cstheme="minorHAnsi"/>
                <w:b/>
                <w:szCs w:val="20"/>
              </w:rPr>
              <w:t>Śródmieście</w:t>
            </w:r>
          </w:p>
        </w:tc>
        <w:tc>
          <w:tcPr>
            <w:tcW w:w="1147" w:type="dxa"/>
            <w:shd w:val="clear" w:color="auto" w:fill="99CCFF"/>
            <w:vAlign w:val="center"/>
          </w:tcPr>
          <w:p w:rsidR="00BA3E4D" w:rsidRPr="00BA3E4D" w:rsidRDefault="00BA3E4D" w:rsidP="00BA3E4D">
            <w:pPr>
              <w:jc w:val="center"/>
              <w:rPr>
                <w:rFonts w:eastAsiaTheme="minorEastAsia" w:cstheme="minorHAnsi"/>
                <w:b/>
                <w:szCs w:val="20"/>
              </w:rPr>
            </w:pPr>
            <w:r w:rsidRPr="00BA3E4D">
              <w:rPr>
                <w:rFonts w:eastAsiaTheme="minorEastAsia" w:cstheme="minorHAnsi"/>
                <w:b/>
                <w:szCs w:val="20"/>
              </w:rPr>
              <w:t>Śródmieście Zachód</w:t>
            </w:r>
          </w:p>
        </w:tc>
        <w:tc>
          <w:tcPr>
            <w:tcW w:w="1147" w:type="dxa"/>
            <w:shd w:val="clear" w:color="auto" w:fill="99CCFF"/>
            <w:vAlign w:val="center"/>
          </w:tcPr>
          <w:p w:rsidR="00BA3E4D" w:rsidRPr="00BA3E4D" w:rsidRDefault="00BA3E4D" w:rsidP="00BA3E4D">
            <w:pPr>
              <w:jc w:val="center"/>
              <w:rPr>
                <w:rFonts w:eastAsiaTheme="minorEastAsia" w:cstheme="minorHAnsi"/>
                <w:b/>
                <w:szCs w:val="20"/>
              </w:rPr>
            </w:pPr>
            <w:r w:rsidRPr="00BA3E4D">
              <w:rPr>
                <w:rFonts w:eastAsiaTheme="minorEastAsia" w:cstheme="minorHAnsi"/>
                <w:b/>
                <w:szCs w:val="20"/>
              </w:rPr>
              <w:t>Śródmieście Północ</w:t>
            </w:r>
          </w:p>
        </w:tc>
        <w:tc>
          <w:tcPr>
            <w:tcW w:w="1134" w:type="dxa"/>
            <w:shd w:val="clear" w:color="auto" w:fill="99CCFF"/>
            <w:vAlign w:val="center"/>
          </w:tcPr>
          <w:p w:rsidR="00BA3E4D" w:rsidRPr="00BA3E4D" w:rsidRDefault="00BA3E4D" w:rsidP="00BA3E4D">
            <w:pPr>
              <w:jc w:val="center"/>
              <w:rPr>
                <w:rFonts w:eastAsiaTheme="minorEastAsia" w:cstheme="minorHAnsi"/>
                <w:b/>
                <w:szCs w:val="20"/>
              </w:rPr>
            </w:pPr>
            <w:r w:rsidRPr="00BA3E4D">
              <w:rPr>
                <w:rFonts w:eastAsiaTheme="minorEastAsia" w:cstheme="minorHAnsi"/>
                <w:b/>
                <w:szCs w:val="20"/>
              </w:rPr>
              <w:t>Rozbark</w:t>
            </w:r>
          </w:p>
        </w:tc>
        <w:tc>
          <w:tcPr>
            <w:tcW w:w="1343" w:type="dxa"/>
            <w:shd w:val="clear" w:color="auto" w:fill="99CCFF"/>
            <w:vAlign w:val="center"/>
          </w:tcPr>
          <w:p w:rsidR="00BA3E4D" w:rsidRPr="00BA3E4D" w:rsidRDefault="00BA3E4D" w:rsidP="00BA3E4D">
            <w:pPr>
              <w:jc w:val="center"/>
              <w:rPr>
                <w:rFonts w:eastAsiaTheme="minorEastAsia" w:cstheme="minorHAnsi"/>
                <w:b/>
                <w:szCs w:val="20"/>
              </w:rPr>
            </w:pPr>
            <w:r w:rsidRPr="00BA3E4D">
              <w:rPr>
                <w:rFonts w:eastAsiaTheme="minorEastAsia" w:cstheme="minorHAnsi"/>
                <w:b/>
                <w:szCs w:val="20"/>
              </w:rPr>
              <w:t>Kolonia Zgorzelec</w:t>
            </w:r>
          </w:p>
        </w:tc>
      </w:tr>
      <w:tr w:rsidR="00BA3E4D" w:rsidRPr="007B3430" w:rsidTr="00C94EBD">
        <w:tc>
          <w:tcPr>
            <w:tcW w:w="2099" w:type="dxa"/>
          </w:tcPr>
          <w:p w:rsidR="00BA3E4D" w:rsidRPr="007B3430" w:rsidRDefault="00BA3E4D" w:rsidP="00A8649F">
            <w:pPr>
              <w:rPr>
                <w:rFonts w:eastAsiaTheme="minorEastAsia" w:cstheme="minorHAnsi"/>
                <w:szCs w:val="20"/>
              </w:rPr>
            </w:pPr>
            <w:r w:rsidRPr="004E5D27">
              <w:rPr>
                <w:rFonts w:cstheme="minorHAnsi"/>
                <w:szCs w:val="20"/>
              </w:rPr>
              <w:t>Zasiłki stałe na 1 tys. mieszkańców</w:t>
            </w:r>
          </w:p>
        </w:tc>
        <w:tc>
          <w:tcPr>
            <w:tcW w:w="1193" w:type="dxa"/>
            <w:vAlign w:val="center"/>
          </w:tcPr>
          <w:p w:rsidR="00BA3E4D" w:rsidRPr="001209DD" w:rsidRDefault="00BA3E4D" w:rsidP="00A649A2">
            <w:pPr>
              <w:jc w:val="center"/>
              <w:rPr>
                <w:rFonts w:eastAsiaTheme="minorEastAsia" w:cstheme="minorHAnsi"/>
                <w:szCs w:val="20"/>
              </w:rPr>
            </w:pPr>
            <w:r w:rsidRPr="001209DD">
              <w:rPr>
                <w:rFonts w:cstheme="minorHAnsi"/>
                <w:szCs w:val="20"/>
              </w:rPr>
              <w:t>21</w:t>
            </w:r>
          </w:p>
        </w:tc>
        <w:tc>
          <w:tcPr>
            <w:tcW w:w="1147" w:type="dxa"/>
            <w:vAlign w:val="center"/>
          </w:tcPr>
          <w:p w:rsidR="00BA3E4D" w:rsidRPr="001209DD" w:rsidRDefault="00BA3E4D" w:rsidP="00A649A2">
            <w:pPr>
              <w:jc w:val="center"/>
              <w:rPr>
                <w:rFonts w:eastAsiaTheme="minorEastAsia" w:cstheme="minorHAnsi"/>
                <w:szCs w:val="20"/>
              </w:rPr>
            </w:pPr>
            <w:r w:rsidRPr="001209DD">
              <w:rPr>
                <w:rFonts w:cstheme="minorHAnsi"/>
                <w:szCs w:val="20"/>
              </w:rPr>
              <w:t>17</w:t>
            </w:r>
          </w:p>
        </w:tc>
        <w:tc>
          <w:tcPr>
            <w:tcW w:w="1147" w:type="dxa"/>
            <w:vAlign w:val="center"/>
          </w:tcPr>
          <w:p w:rsidR="00BA3E4D" w:rsidRPr="001209DD" w:rsidRDefault="00BA3E4D" w:rsidP="00A649A2">
            <w:pPr>
              <w:jc w:val="center"/>
              <w:rPr>
                <w:rFonts w:eastAsiaTheme="minorEastAsia" w:cstheme="minorHAnsi"/>
                <w:szCs w:val="20"/>
              </w:rPr>
            </w:pPr>
            <w:r w:rsidRPr="001209DD">
              <w:rPr>
                <w:rFonts w:cstheme="minorHAnsi"/>
                <w:szCs w:val="20"/>
              </w:rPr>
              <w:t>10</w:t>
            </w:r>
          </w:p>
        </w:tc>
        <w:tc>
          <w:tcPr>
            <w:tcW w:w="1147" w:type="dxa"/>
            <w:vAlign w:val="center"/>
          </w:tcPr>
          <w:p w:rsidR="00BA3E4D" w:rsidRPr="001209DD" w:rsidRDefault="00BA3E4D" w:rsidP="00A649A2">
            <w:pPr>
              <w:jc w:val="center"/>
              <w:rPr>
                <w:rFonts w:eastAsiaTheme="minorEastAsia" w:cstheme="minorHAnsi"/>
                <w:szCs w:val="20"/>
              </w:rPr>
            </w:pPr>
            <w:r w:rsidRPr="001209DD">
              <w:rPr>
                <w:rFonts w:cstheme="minorHAnsi"/>
                <w:szCs w:val="20"/>
              </w:rPr>
              <w:t>8</w:t>
            </w:r>
          </w:p>
        </w:tc>
        <w:tc>
          <w:tcPr>
            <w:tcW w:w="1134" w:type="dxa"/>
            <w:vAlign w:val="center"/>
          </w:tcPr>
          <w:p w:rsidR="00BA3E4D" w:rsidRPr="001209DD" w:rsidRDefault="00BA3E4D" w:rsidP="00A649A2">
            <w:pPr>
              <w:jc w:val="center"/>
              <w:rPr>
                <w:rFonts w:eastAsiaTheme="minorEastAsia" w:cstheme="minorHAnsi"/>
                <w:szCs w:val="20"/>
              </w:rPr>
            </w:pPr>
            <w:r w:rsidRPr="001209DD">
              <w:rPr>
                <w:rFonts w:cstheme="minorHAnsi"/>
                <w:szCs w:val="20"/>
              </w:rPr>
              <w:t>12</w:t>
            </w:r>
          </w:p>
        </w:tc>
        <w:tc>
          <w:tcPr>
            <w:tcW w:w="1343" w:type="dxa"/>
            <w:vAlign w:val="center"/>
          </w:tcPr>
          <w:p w:rsidR="00BA3E4D" w:rsidRPr="001209DD" w:rsidRDefault="00BA3E4D" w:rsidP="00A649A2">
            <w:pPr>
              <w:jc w:val="center"/>
              <w:rPr>
                <w:rFonts w:eastAsiaTheme="minorEastAsia" w:cstheme="minorHAnsi"/>
                <w:szCs w:val="20"/>
              </w:rPr>
            </w:pPr>
            <w:r w:rsidRPr="001209DD">
              <w:rPr>
                <w:rFonts w:cstheme="minorHAnsi"/>
                <w:szCs w:val="20"/>
              </w:rPr>
              <w:t>7</w:t>
            </w:r>
          </w:p>
        </w:tc>
      </w:tr>
      <w:tr w:rsidR="00BA3E4D" w:rsidRPr="007B3430" w:rsidTr="00C94EBD">
        <w:tc>
          <w:tcPr>
            <w:tcW w:w="2099" w:type="dxa"/>
          </w:tcPr>
          <w:p w:rsidR="00BA3E4D" w:rsidRPr="007B3430" w:rsidRDefault="00BA3E4D" w:rsidP="00A8649F">
            <w:pPr>
              <w:rPr>
                <w:rFonts w:eastAsiaTheme="minorEastAsia" w:cstheme="minorHAnsi"/>
                <w:szCs w:val="20"/>
              </w:rPr>
            </w:pPr>
            <w:r w:rsidRPr="004E5D27">
              <w:rPr>
                <w:rFonts w:cstheme="minorHAnsi"/>
                <w:szCs w:val="20"/>
              </w:rPr>
              <w:t>Zasiłki okresowe na 1 tys. mieszkańców</w:t>
            </w:r>
          </w:p>
        </w:tc>
        <w:tc>
          <w:tcPr>
            <w:tcW w:w="1193" w:type="dxa"/>
            <w:vAlign w:val="center"/>
          </w:tcPr>
          <w:p w:rsidR="00BA3E4D" w:rsidRPr="001209DD" w:rsidRDefault="00BA3E4D" w:rsidP="00A649A2">
            <w:pPr>
              <w:jc w:val="center"/>
              <w:rPr>
                <w:rFonts w:eastAsiaTheme="minorEastAsia" w:cstheme="minorHAnsi"/>
                <w:szCs w:val="20"/>
              </w:rPr>
            </w:pPr>
            <w:r w:rsidRPr="001209DD">
              <w:rPr>
                <w:rFonts w:cstheme="minorHAnsi"/>
                <w:szCs w:val="20"/>
              </w:rPr>
              <w:t>106</w:t>
            </w:r>
          </w:p>
        </w:tc>
        <w:tc>
          <w:tcPr>
            <w:tcW w:w="1147" w:type="dxa"/>
            <w:vAlign w:val="center"/>
          </w:tcPr>
          <w:p w:rsidR="00BA3E4D" w:rsidRPr="001209DD" w:rsidRDefault="00BA3E4D" w:rsidP="00A649A2">
            <w:pPr>
              <w:jc w:val="center"/>
              <w:rPr>
                <w:rFonts w:eastAsiaTheme="minorEastAsia" w:cstheme="minorHAnsi"/>
                <w:szCs w:val="20"/>
              </w:rPr>
            </w:pPr>
            <w:r w:rsidRPr="001209DD">
              <w:rPr>
                <w:rFonts w:cstheme="minorHAnsi"/>
                <w:szCs w:val="20"/>
              </w:rPr>
              <w:t>59</w:t>
            </w:r>
          </w:p>
        </w:tc>
        <w:tc>
          <w:tcPr>
            <w:tcW w:w="1147" w:type="dxa"/>
            <w:vAlign w:val="center"/>
          </w:tcPr>
          <w:p w:rsidR="00BA3E4D" w:rsidRPr="001209DD" w:rsidRDefault="00BA3E4D" w:rsidP="00A649A2">
            <w:pPr>
              <w:jc w:val="center"/>
              <w:rPr>
                <w:rFonts w:eastAsiaTheme="minorEastAsia" w:cstheme="minorHAnsi"/>
                <w:szCs w:val="20"/>
              </w:rPr>
            </w:pPr>
            <w:r w:rsidRPr="001209DD">
              <w:rPr>
                <w:rFonts w:cstheme="minorHAnsi"/>
                <w:szCs w:val="20"/>
              </w:rPr>
              <w:t>30</w:t>
            </w:r>
          </w:p>
        </w:tc>
        <w:tc>
          <w:tcPr>
            <w:tcW w:w="1147" w:type="dxa"/>
            <w:vAlign w:val="center"/>
          </w:tcPr>
          <w:p w:rsidR="00BA3E4D" w:rsidRPr="001209DD" w:rsidRDefault="00BA3E4D" w:rsidP="00A649A2">
            <w:pPr>
              <w:jc w:val="center"/>
              <w:rPr>
                <w:rFonts w:eastAsiaTheme="minorEastAsia" w:cstheme="minorHAnsi"/>
                <w:szCs w:val="20"/>
              </w:rPr>
            </w:pPr>
            <w:r w:rsidRPr="001209DD">
              <w:rPr>
                <w:rFonts w:cstheme="minorHAnsi"/>
                <w:szCs w:val="20"/>
              </w:rPr>
              <w:t>33</w:t>
            </w:r>
          </w:p>
        </w:tc>
        <w:tc>
          <w:tcPr>
            <w:tcW w:w="1134" w:type="dxa"/>
            <w:vAlign w:val="center"/>
          </w:tcPr>
          <w:p w:rsidR="00BA3E4D" w:rsidRPr="001209DD" w:rsidRDefault="00BA3E4D" w:rsidP="00A649A2">
            <w:pPr>
              <w:jc w:val="center"/>
              <w:rPr>
                <w:rFonts w:eastAsiaTheme="minorEastAsia" w:cstheme="minorHAnsi"/>
                <w:szCs w:val="20"/>
              </w:rPr>
            </w:pPr>
            <w:r w:rsidRPr="001209DD">
              <w:rPr>
                <w:rFonts w:cstheme="minorHAnsi"/>
                <w:szCs w:val="20"/>
              </w:rPr>
              <w:t>60</w:t>
            </w:r>
          </w:p>
        </w:tc>
        <w:tc>
          <w:tcPr>
            <w:tcW w:w="1343" w:type="dxa"/>
            <w:vAlign w:val="center"/>
          </w:tcPr>
          <w:p w:rsidR="00BA3E4D" w:rsidRPr="001209DD" w:rsidRDefault="00BA3E4D" w:rsidP="00A649A2">
            <w:pPr>
              <w:jc w:val="center"/>
              <w:rPr>
                <w:rFonts w:eastAsiaTheme="minorEastAsia" w:cstheme="minorHAnsi"/>
                <w:szCs w:val="20"/>
              </w:rPr>
            </w:pPr>
            <w:r w:rsidRPr="001209DD">
              <w:rPr>
                <w:rFonts w:cstheme="minorHAnsi"/>
                <w:szCs w:val="20"/>
              </w:rPr>
              <w:t>46</w:t>
            </w:r>
          </w:p>
        </w:tc>
      </w:tr>
      <w:tr w:rsidR="00BA3E4D" w:rsidRPr="007B3430" w:rsidTr="00C94EBD">
        <w:tc>
          <w:tcPr>
            <w:tcW w:w="2099" w:type="dxa"/>
          </w:tcPr>
          <w:p w:rsidR="00BA3E4D" w:rsidRPr="007B3430" w:rsidRDefault="00BA3E4D" w:rsidP="00A8649F">
            <w:pPr>
              <w:rPr>
                <w:rFonts w:eastAsiaTheme="minorEastAsia" w:cstheme="minorHAnsi"/>
                <w:szCs w:val="20"/>
              </w:rPr>
            </w:pPr>
            <w:r w:rsidRPr="004E5D27">
              <w:rPr>
                <w:rFonts w:cstheme="minorHAnsi"/>
                <w:szCs w:val="20"/>
              </w:rPr>
              <w:t>Zasiłki celowe na 1 tys. mieszkańców</w:t>
            </w:r>
          </w:p>
        </w:tc>
        <w:tc>
          <w:tcPr>
            <w:tcW w:w="1193" w:type="dxa"/>
            <w:vAlign w:val="center"/>
          </w:tcPr>
          <w:p w:rsidR="00BA3E4D" w:rsidRPr="001209DD" w:rsidRDefault="00BA3E4D" w:rsidP="00A649A2">
            <w:pPr>
              <w:jc w:val="center"/>
              <w:rPr>
                <w:rFonts w:eastAsiaTheme="minorEastAsia" w:cstheme="minorHAnsi"/>
                <w:szCs w:val="20"/>
              </w:rPr>
            </w:pPr>
            <w:r w:rsidRPr="001209DD">
              <w:rPr>
                <w:rFonts w:cstheme="minorHAnsi"/>
                <w:szCs w:val="20"/>
              </w:rPr>
              <w:t>85</w:t>
            </w:r>
          </w:p>
        </w:tc>
        <w:tc>
          <w:tcPr>
            <w:tcW w:w="1147" w:type="dxa"/>
            <w:vAlign w:val="center"/>
          </w:tcPr>
          <w:p w:rsidR="00BA3E4D" w:rsidRPr="001209DD" w:rsidRDefault="00BA3E4D" w:rsidP="00A649A2">
            <w:pPr>
              <w:jc w:val="center"/>
              <w:rPr>
                <w:rFonts w:eastAsiaTheme="minorEastAsia" w:cstheme="minorHAnsi"/>
                <w:szCs w:val="20"/>
              </w:rPr>
            </w:pPr>
            <w:r w:rsidRPr="001209DD">
              <w:rPr>
                <w:rFonts w:cstheme="minorHAnsi"/>
                <w:szCs w:val="20"/>
              </w:rPr>
              <w:t>42</w:t>
            </w:r>
          </w:p>
        </w:tc>
        <w:tc>
          <w:tcPr>
            <w:tcW w:w="1147" w:type="dxa"/>
            <w:vAlign w:val="center"/>
          </w:tcPr>
          <w:p w:rsidR="00BA3E4D" w:rsidRPr="001209DD" w:rsidRDefault="00BA3E4D" w:rsidP="00A649A2">
            <w:pPr>
              <w:jc w:val="center"/>
              <w:rPr>
                <w:rFonts w:eastAsiaTheme="minorEastAsia" w:cstheme="minorHAnsi"/>
                <w:szCs w:val="20"/>
              </w:rPr>
            </w:pPr>
            <w:r w:rsidRPr="001209DD">
              <w:rPr>
                <w:rFonts w:cstheme="minorHAnsi"/>
                <w:szCs w:val="20"/>
              </w:rPr>
              <w:t>22</w:t>
            </w:r>
          </w:p>
        </w:tc>
        <w:tc>
          <w:tcPr>
            <w:tcW w:w="1147" w:type="dxa"/>
            <w:vAlign w:val="center"/>
          </w:tcPr>
          <w:p w:rsidR="00BA3E4D" w:rsidRPr="001209DD" w:rsidRDefault="00BA3E4D" w:rsidP="00A649A2">
            <w:pPr>
              <w:jc w:val="center"/>
              <w:rPr>
                <w:rFonts w:eastAsiaTheme="minorEastAsia" w:cstheme="minorHAnsi"/>
                <w:szCs w:val="20"/>
              </w:rPr>
            </w:pPr>
            <w:r w:rsidRPr="001209DD">
              <w:rPr>
                <w:rFonts w:cstheme="minorHAnsi"/>
                <w:szCs w:val="20"/>
              </w:rPr>
              <w:t>26</w:t>
            </w:r>
          </w:p>
        </w:tc>
        <w:tc>
          <w:tcPr>
            <w:tcW w:w="1134" w:type="dxa"/>
            <w:vAlign w:val="center"/>
          </w:tcPr>
          <w:p w:rsidR="00BA3E4D" w:rsidRPr="001209DD" w:rsidRDefault="00BA3E4D" w:rsidP="00A649A2">
            <w:pPr>
              <w:jc w:val="center"/>
              <w:rPr>
                <w:rFonts w:eastAsiaTheme="minorEastAsia" w:cstheme="minorHAnsi"/>
                <w:szCs w:val="20"/>
              </w:rPr>
            </w:pPr>
            <w:r w:rsidRPr="001209DD">
              <w:rPr>
                <w:rFonts w:cstheme="minorHAnsi"/>
                <w:szCs w:val="20"/>
              </w:rPr>
              <w:t>41</w:t>
            </w:r>
          </w:p>
        </w:tc>
        <w:tc>
          <w:tcPr>
            <w:tcW w:w="1343" w:type="dxa"/>
            <w:vAlign w:val="center"/>
          </w:tcPr>
          <w:p w:rsidR="00BA3E4D" w:rsidRPr="001209DD" w:rsidRDefault="00BA3E4D" w:rsidP="00A649A2">
            <w:pPr>
              <w:jc w:val="center"/>
              <w:rPr>
                <w:rFonts w:eastAsiaTheme="minorEastAsia" w:cstheme="minorHAnsi"/>
                <w:szCs w:val="20"/>
              </w:rPr>
            </w:pPr>
            <w:r w:rsidRPr="001209DD">
              <w:rPr>
                <w:rFonts w:cstheme="minorHAnsi"/>
                <w:szCs w:val="20"/>
              </w:rPr>
              <w:t>46</w:t>
            </w:r>
          </w:p>
        </w:tc>
      </w:tr>
      <w:tr w:rsidR="00BA3E4D" w:rsidRPr="007B3430" w:rsidTr="00C94EBD">
        <w:tc>
          <w:tcPr>
            <w:tcW w:w="2099" w:type="dxa"/>
          </w:tcPr>
          <w:p w:rsidR="00BA3E4D" w:rsidRPr="007B3430" w:rsidRDefault="00BA3E4D" w:rsidP="00A8649F">
            <w:pPr>
              <w:rPr>
                <w:rFonts w:eastAsiaTheme="minorEastAsia" w:cstheme="minorHAnsi"/>
                <w:szCs w:val="20"/>
              </w:rPr>
            </w:pPr>
            <w:r w:rsidRPr="004E5D27">
              <w:rPr>
                <w:rFonts w:cstheme="minorHAnsi"/>
                <w:szCs w:val="20"/>
              </w:rPr>
              <w:t>Odsetek uczniów szkół podstawowych korzystających z</w:t>
            </w:r>
            <w:r w:rsidR="00525B6E">
              <w:rPr>
                <w:rFonts w:cstheme="minorHAnsi"/>
                <w:szCs w:val="20"/>
              </w:rPr>
              <w:t> </w:t>
            </w:r>
            <w:r w:rsidRPr="004E5D27">
              <w:rPr>
                <w:rFonts w:cstheme="minorHAnsi"/>
                <w:szCs w:val="20"/>
              </w:rPr>
              <w:t>dożywiania</w:t>
            </w:r>
          </w:p>
        </w:tc>
        <w:tc>
          <w:tcPr>
            <w:tcW w:w="1193" w:type="dxa"/>
            <w:vAlign w:val="center"/>
          </w:tcPr>
          <w:p w:rsidR="00BA3E4D" w:rsidRPr="001209DD" w:rsidRDefault="00BA3E4D" w:rsidP="00A649A2">
            <w:pPr>
              <w:jc w:val="center"/>
              <w:rPr>
                <w:rFonts w:eastAsiaTheme="minorEastAsia" w:cstheme="minorHAnsi"/>
                <w:szCs w:val="20"/>
              </w:rPr>
            </w:pPr>
            <w:r w:rsidRPr="001209DD">
              <w:rPr>
                <w:rFonts w:cstheme="minorHAnsi"/>
                <w:szCs w:val="20"/>
              </w:rPr>
              <w:t>48%</w:t>
            </w:r>
          </w:p>
        </w:tc>
        <w:tc>
          <w:tcPr>
            <w:tcW w:w="1147" w:type="dxa"/>
            <w:vAlign w:val="center"/>
          </w:tcPr>
          <w:p w:rsidR="00BA3E4D" w:rsidRPr="001209DD" w:rsidRDefault="00BA3E4D" w:rsidP="00A649A2">
            <w:pPr>
              <w:jc w:val="center"/>
              <w:rPr>
                <w:rFonts w:eastAsiaTheme="minorEastAsia" w:cstheme="minorHAnsi"/>
                <w:szCs w:val="20"/>
              </w:rPr>
            </w:pPr>
            <w:r w:rsidRPr="001209DD">
              <w:rPr>
                <w:rFonts w:cstheme="minorHAnsi"/>
                <w:szCs w:val="20"/>
              </w:rPr>
              <w:t>43%</w:t>
            </w:r>
          </w:p>
        </w:tc>
        <w:tc>
          <w:tcPr>
            <w:tcW w:w="1147" w:type="dxa"/>
            <w:vAlign w:val="center"/>
          </w:tcPr>
          <w:p w:rsidR="00BA3E4D" w:rsidRPr="001209DD" w:rsidRDefault="00BA3E4D" w:rsidP="00A649A2">
            <w:pPr>
              <w:jc w:val="center"/>
              <w:rPr>
                <w:rFonts w:eastAsiaTheme="minorEastAsia" w:cstheme="minorHAnsi"/>
                <w:szCs w:val="20"/>
              </w:rPr>
            </w:pPr>
            <w:r w:rsidRPr="001209DD">
              <w:rPr>
                <w:rFonts w:eastAsiaTheme="minorEastAsia" w:cstheme="minorHAnsi"/>
                <w:szCs w:val="20"/>
              </w:rPr>
              <w:t>19%</w:t>
            </w:r>
          </w:p>
        </w:tc>
        <w:tc>
          <w:tcPr>
            <w:tcW w:w="1147" w:type="dxa"/>
            <w:vAlign w:val="center"/>
          </w:tcPr>
          <w:p w:rsidR="00BA3E4D" w:rsidRPr="001209DD" w:rsidRDefault="00BA3E4D" w:rsidP="00A649A2">
            <w:pPr>
              <w:jc w:val="center"/>
              <w:rPr>
                <w:rFonts w:eastAsiaTheme="minorEastAsia" w:cstheme="minorHAnsi"/>
                <w:szCs w:val="20"/>
              </w:rPr>
            </w:pPr>
            <w:r w:rsidRPr="001209DD">
              <w:rPr>
                <w:rFonts w:eastAsiaTheme="minorEastAsia" w:cstheme="minorHAnsi"/>
                <w:szCs w:val="20"/>
              </w:rPr>
              <w:t>22%</w:t>
            </w:r>
          </w:p>
        </w:tc>
        <w:tc>
          <w:tcPr>
            <w:tcW w:w="1134" w:type="dxa"/>
            <w:vAlign w:val="center"/>
          </w:tcPr>
          <w:p w:rsidR="00BA3E4D" w:rsidRPr="001209DD" w:rsidRDefault="00BA3E4D" w:rsidP="00A649A2">
            <w:pPr>
              <w:jc w:val="center"/>
              <w:rPr>
                <w:rFonts w:eastAsiaTheme="minorEastAsia" w:cstheme="minorHAnsi"/>
                <w:szCs w:val="20"/>
              </w:rPr>
            </w:pPr>
            <w:r w:rsidRPr="001209DD">
              <w:rPr>
                <w:rFonts w:cstheme="minorHAnsi"/>
                <w:szCs w:val="20"/>
              </w:rPr>
              <w:t>44%</w:t>
            </w:r>
          </w:p>
        </w:tc>
        <w:tc>
          <w:tcPr>
            <w:tcW w:w="1343" w:type="dxa"/>
            <w:vAlign w:val="center"/>
          </w:tcPr>
          <w:p w:rsidR="00BA3E4D" w:rsidRPr="001209DD" w:rsidRDefault="00BA3E4D" w:rsidP="00A649A2">
            <w:pPr>
              <w:jc w:val="center"/>
              <w:rPr>
                <w:rFonts w:eastAsiaTheme="minorEastAsia" w:cstheme="minorHAnsi"/>
                <w:szCs w:val="20"/>
              </w:rPr>
            </w:pPr>
            <w:r w:rsidRPr="001209DD">
              <w:rPr>
                <w:rFonts w:eastAsiaTheme="minorEastAsia" w:cstheme="minorHAnsi"/>
                <w:szCs w:val="20"/>
              </w:rPr>
              <w:t>20%</w:t>
            </w:r>
          </w:p>
        </w:tc>
      </w:tr>
      <w:tr w:rsidR="00BA3E4D" w:rsidRPr="007B3430" w:rsidTr="00C94EBD">
        <w:tc>
          <w:tcPr>
            <w:tcW w:w="2099" w:type="dxa"/>
          </w:tcPr>
          <w:p w:rsidR="00BA3E4D" w:rsidRPr="007B3430" w:rsidRDefault="00BA3E4D" w:rsidP="00A8649F">
            <w:pPr>
              <w:spacing w:line="228" w:lineRule="auto"/>
              <w:rPr>
                <w:rFonts w:eastAsiaTheme="minorEastAsia" w:cstheme="minorHAnsi"/>
                <w:szCs w:val="20"/>
              </w:rPr>
            </w:pPr>
            <w:r w:rsidRPr="004E5D27">
              <w:rPr>
                <w:rFonts w:cstheme="minorHAnsi"/>
                <w:szCs w:val="20"/>
              </w:rPr>
              <w:t xml:space="preserve">Wysokość średniego zadłużenia </w:t>
            </w:r>
            <w:r>
              <w:rPr>
                <w:rFonts w:cstheme="minorHAnsi"/>
                <w:szCs w:val="20"/>
              </w:rPr>
              <w:t xml:space="preserve">budynku </w:t>
            </w:r>
            <w:r w:rsidRPr="004E5D27">
              <w:rPr>
                <w:rFonts w:cstheme="minorHAnsi"/>
                <w:szCs w:val="20"/>
              </w:rPr>
              <w:t>w</w:t>
            </w:r>
            <w:r w:rsidR="00525B6E">
              <w:rPr>
                <w:rFonts w:cstheme="minorHAnsi"/>
                <w:szCs w:val="20"/>
              </w:rPr>
              <w:t> </w:t>
            </w:r>
            <w:r w:rsidRPr="004E5D27">
              <w:rPr>
                <w:rFonts w:cstheme="minorHAnsi"/>
                <w:szCs w:val="20"/>
              </w:rPr>
              <w:t>zasobie gminy</w:t>
            </w:r>
          </w:p>
        </w:tc>
        <w:tc>
          <w:tcPr>
            <w:tcW w:w="1193" w:type="dxa"/>
            <w:vAlign w:val="center"/>
          </w:tcPr>
          <w:p w:rsidR="00BA3E4D" w:rsidRPr="001209DD" w:rsidRDefault="00BA3E4D" w:rsidP="00A649A2">
            <w:pPr>
              <w:jc w:val="center"/>
              <w:rPr>
                <w:rFonts w:eastAsiaTheme="minorEastAsia" w:cstheme="minorHAnsi"/>
                <w:szCs w:val="20"/>
              </w:rPr>
            </w:pPr>
            <w:r w:rsidRPr="001209DD">
              <w:rPr>
                <w:rFonts w:cstheme="minorHAnsi"/>
                <w:szCs w:val="20"/>
              </w:rPr>
              <w:t>148 tys</w:t>
            </w:r>
            <w:r w:rsidR="00B77A37">
              <w:rPr>
                <w:rFonts w:cstheme="minorHAnsi"/>
                <w:szCs w:val="20"/>
              </w:rPr>
              <w:t>.</w:t>
            </w:r>
            <w:r w:rsidRPr="001209DD">
              <w:rPr>
                <w:rFonts w:cstheme="minorHAnsi"/>
                <w:szCs w:val="20"/>
              </w:rPr>
              <w:t xml:space="preserve"> zł</w:t>
            </w:r>
          </w:p>
        </w:tc>
        <w:tc>
          <w:tcPr>
            <w:tcW w:w="1147" w:type="dxa"/>
            <w:vAlign w:val="center"/>
          </w:tcPr>
          <w:p w:rsidR="00BA3E4D" w:rsidRPr="001209DD" w:rsidRDefault="00BA3E4D" w:rsidP="00A649A2">
            <w:pPr>
              <w:jc w:val="center"/>
              <w:rPr>
                <w:rFonts w:eastAsiaTheme="minorEastAsia" w:cstheme="minorHAnsi"/>
                <w:szCs w:val="20"/>
              </w:rPr>
            </w:pPr>
            <w:r w:rsidRPr="001209DD">
              <w:rPr>
                <w:rFonts w:cstheme="minorHAnsi"/>
                <w:szCs w:val="20"/>
              </w:rPr>
              <w:t>126 tys</w:t>
            </w:r>
            <w:r w:rsidR="00B77A37">
              <w:rPr>
                <w:rFonts w:cstheme="minorHAnsi"/>
                <w:szCs w:val="20"/>
              </w:rPr>
              <w:t>.</w:t>
            </w:r>
            <w:r w:rsidRPr="001209DD">
              <w:rPr>
                <w:rFonts w:cstheme="minorHAnsi"/>
                <w:szCs w:val="20"/>
              </w:rPr>
              <w:t xml:space="preserve"> zł</w:t>
            </w:r>
          </w:p>
        </w:tc>
        <w:tc>
          <w:tcPr>
            <w:tcW w:w="1147" w:type="dxa"/>
            <w:vAlign w:val="center"/>
          </w:tcPr>
          <w:p w:rsidR="00BA3E4D" w:rsidRPr="001209DD" w:rsidRDefault="00BA3E4D" w:rsidP="00A649A2">
            <w:pPr>
              <w:jc w:val="center"/>
              <w:rPr>
                <w:rFonts w:eastAsiaTheme="minorEastAsia" w:cstheme="minorHAnsi"/>
                <w:szCs w:val="20"/>
              </w:rPr>
            </w:pPr>
            <w:r w:rsidRPr="001209DD">
              <w:rPr>
                <w:rFonts w:cstheme="minorHAnsi"/>
                <w:szCs w:val="20"/>
              </w:rPr>
              <w:t>78 tys</w:t>
            </w:r>
            <w:r w:rsidR="00B77A37">
              <w:rPr>
                <w:rFonts w:cstheme="minorHAnsi"/>
                <w:szCs w:val="20"/>
              </w:rPr>
              <w:t>.</w:t>
            </w:r>
            <w:r w:rsidRPr="001209DD">
              <w:rPr>
                <w:rFonts w:cstheme="minorHAnsi"/>
                <w:szCs w:val="20"/>
              </w:rPr>
              <w:t xml:space="preserve"> zł</w:t>
            </w:r>
          </w:p>
        </w:tc>
        <w:tc>
          <w:tcPr>
            <w:tcW w:w="1147" w:type="dxa"/>
            <w:vAlign w:val="center"/>
          </w:tcPr>
          <w:p w:rsidR="00BA3E4D" w:rsidRPr="001209DD" w:rsidRDefault="00BA3E4D" w:rsidP="00A649A2">
            <w:pPr>
              <w:jc w:val="center"/>
              <w:rPr>
                <w:rFonts w:eastAsiaTheme="minorEastAsia" w:cstheme="minorHAnsi"/>
                <w:szCs w:val="20"/>
              </w:rPr>
            </w:pPr>
            <w:r w:rsidRPr="001209DD">
              <w:rPr>
                <w:rFonts w:cstheme="minorHAnsi"/>
                <w:szCs w:val="20"/>
              </w:rPr>
              <w:t>79 tys</w:t>
            </w:r>
            <w:r w:rsidR="00B77A37">
              <w:rPr>
                <w:rFonts w:cstheme="minorHAnsi"/>
                <w:szCs w:val="20"/>
              </w:rPr>
              <w:t>.</w:t>
            </w:r>
            <w:r w:rsidRPr="001209DD">
              <w:rPr>
                <w:rFonts w:cstheme="minorHAnsi"/>
                <w:szCs w:val="20"/>
              </w:rPr>
              <w:t xml:space="preserve"> zł</w:t>
            </w:r>
          </w:p>
        </w:tc>
        <w:tc>
          <w:tcPr>
            <w:tcW w:w="1134" w:type="dxa"/>
            <w:vAlign w:val="center"/>
          </w:tcPr>
          <w:p w:rsidR="00BA3E4D" w:rsidRPr="001209DD" w:rsidRDefault="00BA3E4D" w:rsidP="00A649A2">
            <w:pPr>
              <w:jc w:val="center"/>
              <w:rPr>
                <w:rFonts w:eastAsiaTheme="minorEastAsia" w:cstheme="minorHAnsi"/>
                <w:szCs w:val="20"/>
              </w:rPr>
            </w:pPr>
            <w:r w:rsidRPr="001209DD">
              <w:rPr>
                <w:rFonts w:eastAsiaTheme="minorEastAsia" w:cstheme="minorHAnsi"/>
                <w:szCs w:val="20"/>
              </w:rPr>
              <w:t>106 tys</w:t>
            </w:r>
            <w:r w:rsidR="00B77A37">
              <w:rPr>
                <w:rFonts w:eastAsiaTheme="minorEastAsia" w:cstheme="minorHAnsi"/>
                <w:szCs w:val="20"/>
              </w:rPr>
              <w:t>.</w:t>
            </w:r>
            <w:r w:rsidRPr="001209DD">
              <w:rPr>
                <w:rFonts w:eastAsiaTheme="minorEastAsia" w:cstheme="minorHAnsi"/>
                <w:szCs w:val="20"/>
              </w:rPr>
              <w:t xml:space="preserve"> zł</w:t>
            </w:r>
          </w:p>
        </w:tc>
        <w:tc>
          <w:tcPr>
            <w:tcW w:w="1343" w:type="dxa"/>
            <w:vAlign w:val="center"/>
          </w:tcPr>
          <w:p w:rsidR="00BA3E4D" w:rsidRPr="001209DD" w:rsidRDefault="00BA3E4D" w:rsidP="00A649A2">
            <w:pPr>
              <w:jc w:val="center"/>
              <w:rPr>
                <w:rFonts w:eastAsiaTheme="minorEastAsia" w:cstheme="minorHAnsi"/>
                <w:szCs w:val="20"/>
              </w:rPr>
            </w:pPr>
            <w:r w:rsidRPr="001209DD">
              <w:rPr>
                <w:rFonts w:eastAsiaTheme="minorEastAsia" w:cstheme="minorHAnsi"/>
                <w:szCs w:val="20"/>
              </w:rPr>
              <w:t>25 tys</w:t>
            </w:r>
            <w:r w:rsidR="00B77A37">
              <w:rPr>
                <w:rFonts w:eastAsiaTheme="minorEastAsia" w:cstheme="minorHAnsi"/>
                <w:szCs w:val="20"/>
              </w:rPr>
              <w:t>.</w:t>
            </w:r>
            <w:r w:rsidRPr="001209DD">
              <w:rPr>
                <w:rFonts w:eastAsiaTheme="minorEastAsia" w:cstheme="minorHAnsi"/>
                <w:szCs w:val="20"/>
              </w:rPr>
              <w:t xml:space="preserve"> zł</w:t>
            </w:r>
          </w:p>
        </w:tc>
      </w:tr>
    </w:tbl>
    <w:p w:rsidR="00161A86" w:rsidRDefault="00161A86" w:rsidP="00161A86">
      <w:pPr>
        <w:rPr>
          <w:rFonts w:eastAsia="Calibri" w:cs="ArialNarrow"/>
          <w:i/>
          <w:sz w:val="18"/>
          <w:szCs w:val="20"/>
        </w:rPr>
      </w:pPr>
      <w:r w:rsidRPr="00600944">
        <w:rPr>
          <w:rFonts w:eastAsia="Calibri" w:cs="ArialNarrow"/>
          <w:i/>
          <w:sz w:val="18"/>
          <w:szCs w:val="20"/>
        </w:rPr>
        <w:t>Źródło: Opracowanie Instytutu Rozwoju Miast</w:t>
      </w:r>
    </w:p>
    <w:p w:rsidR="006F5081" w:rsidRDefault="006F5081" w:rsidP="00161A86">
      <w:pPr>
        <w:rPr>
          <w:rFonts w:eastAsia="Calibri" w:cs="ArialNarrow"/>
          <w:i/>
          <w:sz w:val="18"/>
          <w:szCs w:val="20"/>
        </w:rPr>
      </w:pPr>
    </w:p>
    <w:p w:rsidR="001C2FD4" w:rsidRDefault="001C2FD4" w:rsidP="009968FD">
      <w:pPr>
        <w:pStyle w:val="Nagwek3"/>
        <w:numPr>
          <w:ilvl w:val="2"/>
          <w:numId w:val="228"/>
        </w:numPr>
      </w:pPr>
      <w:bookmarkStart w:id="4067" w:name="_Toc461612525"/>
      <w:bookmarkStart w:id="4068" w:name="_Toc474924908"/>
      <w:r>
        <w:lastRenderedPageBreak/>
        <w:t>Przestępczość</w:t>
      </w:r>
      <w:bookmarkEnd w:id="4067"/>
      <w:bookmarkEnd w:id="4068"/>
      <w:r>
        <w:t xml:space="preserve"> </w:t>
      </w:r>
    </w:p>
    <w:p w:rsidR="004846D9" w:rsidRPr="00076AFF" w:rsidRDefault="004846D9" w:rsidP="004846D9">
      <w:pPr>
        <w:rPr>
          <w:sz w:val="18"/>
        </w:rPr>
      </w:pPr>
    </w:p>
    <w:p w:rsidR="009138B7" w:rsidRDefault="009138B7" w:rsidP="009138B7">
      <w:pPr>
        <w:pStyle w:val="Tekstpodstawowy2"/>
        <w:ind w:firstLine="708"/>
        <w:rPr>
          <w:rFonts w:ascii="Calibri" w:hAnsi="Calibri"/>
        </w:rPr>
      </w:pPr>
      <w:r>
        <w:rPr>
          <w:rFonts w:ascii="Calibri" w:hAnsi="Calibri"/>
        </w:rPr>
        <w:t xml:space="preserve">Przestępczość z reguły jest wypadkową wielu problemów społecznych i innych, negatywnych czynników. </w:t>
      </w:r>
      <w:r w:rsidRPr="00076AFF">
        <w:rPr>
          <w:rFonts w:ascii="Calibri" w:hAnsi="Calibri"/>
          <w:b/>
          <w:color w:val="C00000"/>
        </w:rPr>
        <w:t>Jedną z przyczyn jej występowania w Bytomiu są nasilające się negatywne zjawiska społeczne, takie jak bezrobocie, ubóstwo czy uzależnienia (alkoholizm, narkomania) wynikające przede wszystkim z</w:t>
      </w:r>
      <w:r w:rsidR="00076AFF">
        <w:rPr>
          <w:rFonts w:ascii="Calibri" w:hAnsi="Calibri"/>
          <w:b/>
          <w:color w:val="C00000"/>
        </w:rPr>
        <w:t> </w:t>
      </w:r>
      <w:r w:rsidRPr="00076AFF">
        <w:rPr>
          <w:rFonts w:ascii="Calibri" w:hAnsi="Calibri"/>
          <w:b/>
          <w:color w:val="C00000"/>
        </w:rPr>
        <w:t>niedostatku materialnego spowodowanego brakiem zatrudnienia.</w:t>
      </w:r>
      <w:r>
        <w:rPr>
          <w:rFonts w:ascii="Calibri" w:hAnsi="Calibri"/>
        </w:rPr>
        <w:t xml:space="preserve"> Dl</w:t>
      </w:r>
      <w:r w:rsidR="00592643">
        <w:rPr>
          <w:rFonts w:ascii="Calibri" w:hAnsi="Calibri"/>
        </w:rPr>
        <w:t xml:space="preserve">atego też realizacja projektów </w:t>
      </w:r>
      <w:r>
        <w:rPr>
          <w:rFonts w:ascii="Calibri" w:hAnsi="Calibri"/>
        </w:rPr>
        <w:t>ukierunkowanych na rozwiązywanie problemów dotyczących wyżej wskazanych problemów w sferze społecznej przełoży się bezpośrednio na ograniczenie zjawiska przestępczości występującego w obszarze rewitalizowanym.</w:t>
      </w:r>
    </w:p>
    <w:p w:rsidR="005B41FF" w:rsidRPr="00AA2BD7" w:rsidRDefault="005B41FF" w:rsidP="009138B7">
      <w:pPr>
        <w:autoSpaceDE w:val="0"/>
        <w:autoSpaceDN w:val="0"/>
        <w:adjustRightInd w:val="0"/>
        <w:ind w:firstLine="708"/>
        <w:jc w:val="both"/>
        <w:rPr>
          <w:rFonts w:ascii="Calibri" w:hAnsi="Calibri" w:cs="Calibri"/>
          <w:szCs w:val="20"/>
        </w:rPr>
      </w:pPr>
      <w:r w:rsidRPr="00AA2BD7">
        <w:rPr>
          <w:rFonts w:ascii="Calibri" w:hAnsi="Calibri" w:cs="Calibri"/>
          <w:szCs w:val="20"/>
        </w:rPr>
        <w:t xml:space="preserve">Analizę problemu przestępczości na obszarze rewitalizacji rozpoczęto od zestawienia statystyk dotyczących wykroczeń przeciwko porządkowi publicznemu dokonywanych w przestrzeni publicznej. </w:t>
      </w:r>
      <w:r w:rsidRPr="00A21842">
        <w:rPr>
          <w:rFonts w:ascii="Calibri" w:hAnsi="Calibri" w:cs="Calibri"/>
          <w:b/>
          <w:color w:val="C00000"/>
          <w:szCs w:val="20"/>
        </w:rPr>
        <w:t xml:space="preserve">Szczególna koncentracja zdarzeń przestępczych występuje w Bobrku. </w:t>
      </w:r>
      <w:r w:rsidRPr="00AA2BD7">
        <w:rPr>
          <w:rFonts w:ascii="Calibri" w:hAnsi="Calibri" w:cs="Calibri"/>
          <w:szCs w:val="20"/>
        </w:rPr>
        <w:t>Należy jednak podkreślić, że w Bytomiu również poza obszarem rewitalizacji występują enklawy o dużym stopniu zagrożenia bezpieczeństwa i dotyczy to nie tylko obszarów zdegradowanych.</w:t>
      </w:r>
    </w:p>
    <w:p w:rsidR="005B41FF" w:rsidRPr="00076AFF" w:rsidRDefault="005B41FF" w:rsidP="005B41FF">
      <w:pPr>
        <w:ind w:firstLine="708"/>
        <w:jc w:val="both"/>
        <w:rPr>
          <w:rFonts w:ascii="Calibri" w:hAnsi="Calibri" w:cs="Calibri"/>
          <w:sz w:val="16"/>
          <w:szCs w:val="20"/>
        </w:rPr>
      </w:pPr>
    </w:p>
    <w:p w:rsidR="005B41FF" w:rsidRDefault="005B41FF" w:rsidP="00076AFF">
      <w:pPr>
        <w:pStyle w:val="Legenda"/>
        <w:rPr>
          <w:rFonts w:ascii="Calibri" w:hAnsi="Calibri" w:cs="Calibri"/>
        </w:rPr>
      </w:pPr>
      <w:bookmarkStart w:id="4069" w:name="_Toc463277306"/>
      <w:bookmarkStart w:id="4070" w:name="_Toc191972625"/>
      <w:r>
        <w:rPr>
          <w:rFonts w:ascii="Calibri" w:hAnsi="Calibri" w:cs="Calibri"/>
        </w:rPr>
        <w:t xml:space="preserve">Mapa </w:t>
      </w:r>
      <w:r w:rsidR="003972D8">
        <w:rPr>
          <w:rFonts w:ascii="Calibri" w:hAnsi="Calibri" w:cs="Calibri"/>
        </w:rPr>
        <w:fldChar w:fldCharType="begin"/>
      </w:r>
      <w:r>
        <w:rPr>
          <w:rFonts w:ascii="Calibri" w:hAnsi="Calibri" w:cs="Calibri"/>
        </w:rPr>
        <w:instrText xml:space="preserve"> SEQ Mapa \* ARABIC </w:instrText>
      </w:r>
      <w:r w:rsidR="003972D8">
        <w:rPr>
          <w:rFonts w:ascii="Calibri" w:hAnsi="Calibri" w:cs="Calibri"/>
        </w:rPr>
        <w:fldChar w:fldCharType="separate"/>
      </w:r>
      <w:r w:rsidR="00413FFE">
        <w:rPr>
          <w:rFonts w:ascii="Calibri" w:hAnsi="Calibri" w:cs="Calibri"/>
          <w:noProof/>
        </w:rPr>
        <w:t>13</w:t>
      </w:r>
      <w:r w:rsidR="003972D8">
        <w:rPr>
          <w:rFonts w:ascii="Calibri" w:hAnsi="Calibri" w:cs="Calibri"/>
        </w:rPr>
        <w:fldChar w:fldCharType="end"/>
      </w:r>
      <w:r>
        <w:rPr>
          <w:rFonts w:ascii="Calibri" w:hAnsi="Calibri" w:cs="Calibri"/>
        </w:rPr>
        <w:t>. Przestępstwa ogółem na 10 tys. mieszkańców popełnione w 2015 r.</w:t>
      </w:r>
      <w:bookmarkEnd w:id="4069"/>
      <w:bookmarkEnd w:id="4070"/>
    </w:p>
    <w:p w:rsidR="005B41FF" w:rsidRDefault="009B5277" w:rsidP="005B41FF">
      <w:r>
        <w:rPr>
          <w:noProof/>
        </w:rPr>
        <w:drawing>
          <wp:inline distT="0" distB="0" distL="0" distR="0">
            <wp:extent cx="5762625" cy="4083050"/>
            <wp:effectExtent l="19050" t="0" r="9525" b="0"/>
            <wp:docPr id="84" name="Obraz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5" cstate="print"/>
                    <a:srcRect/>
                    <a:stretch>
                      <a:fillRect/>
                    </a:stretch>
                  </pic:blipFill>
                  <pic:spPr bwMode="auto">
                    <a:xfrm>
                      <a:off x="0" y="0"/>
                      <a:ext cx="5762625" cy="4083050"/>
                    </a:xfrm>
                    <a:prstGeom prst="rect">
                      <a:avLst/>
                    </a:prstGeom>
                    <a:noFill/>
                    <a:ln w="9525">
                      <a:noFill/>
                      <a:miter lim="800000"/>
                      <a:headEnd/>
                      <a:tailEnd/>
                    </a:ln>
                  </pic:spPr>
                </pic:pic>
              </a:graphicData>
            </a:graphic>
          </wp:inline>
        </w:drawing>
      </w:r>
    </w:p>
    <w:p w:rsidR="005B41FF" w:rsidRDefault="005B41FF" w:rsidP="005B41FF">
      <w:pPr>
        <w:autoSpaceDE w:val="0"/>
        <w:autoSpaceDN w:val="0"/>
        <w:adjustRightInd w:val="0"/>
        <w:rPr>
          <w:rFonts w:ascii="Calibri" w:hAnsi="Calibri" w:cs="Calibri"/>
          <w:i/>
          <w:iCs/>
          <w:sz w:val="18"/>
          <w:szCs w:val="18"/>
        </w:rPr>
      </w:pPr>
      <w:r>
        <w:rPr>
          <w:rFonts w:ascii="Calibri" w:hAnsi="Calibri" w:cs="Calibri"/>
          <w:i/>
          <w:iCs/>
          <w:sz w:val="18"/>
          <w:szCs w:val="18"/>
        </w:rPr>
        <w:t>Źródło: Opracowanie Instytutu Rozwoju Miast na podstawie danych Komendy Miejskiej Policji w Bytomiu</w:t>
      </w:r>
    </w:p>
    <w:p w:rsidR="005B41FF" w:rsidRPr="00076AFF" w:rsidRDefault="005B41FF" w:rsidP="005B41FF">
      <w:pPr>
        <w:rPr>
          <w:sz w:val="16"/>
        </w:rPr>
      </w:pPr>
    </w:p>
    <w:p w:rsidR="005B41FF" w:rsidRDefault="005B41FF" w:rsidP="005B41FF">
      <w:pPr>
        <w:ind w:firstLine="708"/>
        <w:jc w:val="both"/>
        <w:rPr>
          <w:rFonts w:ascii="Calibri" w:hAnsi="Calibri" w:cs="Calibri"/>
          <w:szCs w:val="20"/>
        </w:rPr>
      </w:pPr>
      <w:r>
        <w:rPr>
          <w:rFonts w:ascii="Calibri" w:hAnsi="Calibri" w:cs="Calibri"/>
          <w:szCs w:val="20"/>
        </w:rPr>
        <w:t xml:space="preserve">Uzupełnieniem badania przestępczości jest analiza poszczególnych rodzajów wykroczeń. Poniżej pokazano rozkład na terenie miasta wskaźników opisujących wykroczenia nieletnich i przemoc w rodzinie. </w:t>
      </w:r>
    </w:p>
    <w:p w:rsidR="005B41FF" w:rsidRDefault="005B41FF" w:rsidP="00076AFF">
      <w:pPr>
        <w:ind w:firstLine="708"/>
        <w:jc w:val="both"/>
        <w:rPr>
          <w:rFonts w:ascii="Calibri" w:hAnsi="Calibri" w:cs="Calibri"/>
          <w:szCs w:val="20"/>
        </w:rPr>
      </w:pPr>
      <w:r>
        <w:rPr>
          <w:rFonts w:ascii="Calibri" w:hAnsi="Calibri" w:cs="Calibri"/>
          <w:szCs w:val="20"/>
        </w:rPr>
        <w:t xml:space="preserve">W 2015 r. </w:t>
      </w:r>
      <w:r>
        <w:rPr>
          <w:rFonts w:ascii="Calibri" w:hAnsi="Calibri" w:cs="Calibri"/>
          <w:b/>
          <w:bCs/>
          <w:color w:val="C00000"/>
          <w:szCs w:val="20"/>
        </w:rPr>
        <w:t>na obszarze rewitalizacji odnotowano 209 czynów karalnych osób nieletnich, co stanowiło 44% wszystkich takich zdarzeń w mieście. Aż 116 z nich miało miejsce w podobszarze Śródmieście</w:t>
      </w:r>
      <w:r>
        <w:rPr>
          <w:rFonts w:ascii="Calibri" w:hAnsi="Calibri" w:cs="Calibri"/>
          <w:szCs w:val="20"/>
        </w:rPr>
        <w:t xml:space="preserve">. Wskaźnik czynów karalnych w stosunku do liczby mieszkańców przekroczył tu średnią miasta trzykrotnie, a w Śródmieściu Zachód – dwukrotnie. W Śródmieściu Północ wskaźnik jest zbliżony do średniej miasta, </w:t>
      </w:r>
      <w:r w:rsidRPr="00A21842">
        <w:rPr>
          <w:rFonts w:ascii="Calibri" w:hAnsi="Calibri" w:cs="Calibri"/>
          <w:b/>
          <w:color w:val="C00000"/>
          <w:szCs w:val="20"/>
        </w:rPr>
        <w:t>nie obserwujemy natomiast znacznej skali wykroczeń nieletnich w Rozbarku (9 zdarzeń), w Bobrku ani w Kolonii Zgorzelec.</w:t>
      </w:r>
      <w:r>
        <w:rPr>
          <w:rFonts w:ascii="Calibri" w:hAnsi="Calibri" w:cs="Calibri"/>
          <w:szCs w:val="20"/>
        </w:rPr>
        <w:t xml:space="preserve"> W skali całego miasta nigdzie poza centralnymi obszarami rewitalizacji nie występuje duża koncentracja czynów karalnych osób nieletnich. </w:t>
      </w:r>
    </w:p>
    <w:p w:rsidR="005B41FF" w:rsidRDefault="005B41FF" w:rsidP="005B41FF">
      <w:pPr>
        <w:ind w:firstLine="708"/>
        <w:jc w:val="both"/>
        <w:rPr>
          <w:rFonts w:ascii="Calibri" w:hAnsi="Calibri" w:cs="Calibri"/>
          <w:szCs w:val="20"/>
        </w:rPr>
      </w:pPr>
      <w:r>
        <w:rPr>
          <w:rFonts w:ascii="Calibri" w:hAnsi="Calibri" w:cs="Calibri"/>
          <w:szCs w:val="20"/>
        </w:rPr>
        <w:lastRenderedPageBreak/>
        <w:t xml:space="preserve">W 2015 r. </w:t>
      </w:r>
      <w:r>
        <w:rPr>
          <w:rFonts w:ascii="Calibri" w:hAnsi="Calibri" w:cs="Calibri"/>
          <w:b/>
          <w:bCs/>
          <w:color w:val="C00000"/>
          <w:szCs w:val="20"/>
        </w:rPr>
        <w:t xml:space="preserve">w Bytomiu odnotowano 190 przypadków przemocy w rodzinie, z czego ponad połowa (108) miała miejsce na obszarze rewitalizacji. W przeliczeniu na 10 tys. mieszkańców najwięcej zdarzeń zaobserwowano </w:t>
      </w:r>
      <w:r w:rsidR="00A21842">
        <w:rPr>
          <w:rFonts w:ascii="Calibri" w:hAnsi="Calibri" w:cs="Calibri"/>
          <w:b/>
          <w:bCs/>
          <w:color w:val="C00000"/>
          <w:szCs w:val="20"/>
        </w:rPr>
        <w:t xml:space="preserve">w </w:t>
      </w:r>
      <w:r>
        <w:rPr>
          <w:rFonts w:ascii="Calibri" w:hAnsi="Calibri" w:cs="Calibri"/>
          <w:b/>
          <w:bCs/>
          <w:color w:val="C00000"/>
          <w:szCs w:val="20"/>
        </w:rPr>
        <w:t xml:space="preserve">Rozbarku i </w:t>
      </w:r>
      <w:r w:rsidR="00A21842">
        <w:rPr>
          <w:rFonts w:ascii="Calibri" w:hAnsi="Calibri" w:cs="Calibri"/>
          <w:b/>
          <w:bCs/>
          <w:color w:val="C00000"/>
          <w:szCs w:val="20"/>
        </w:rPr>
        <w:t xml:space="preserve">w </w:t>
      </w:r>
      <w:r>
        <w:rPr>
          <w:rFonts w:ascii="Calibri" w:hAnsi="Calibri" w:cs="Calibri"/>
          <w:b/>
          <w:bCs/>
          <w:color w:val="C00000"/>
          <w:szCs w:val="20"/>
        </w:rPr>
        <w:t>Śródmieściu Zachód</w:t>
      </w:r>
      <w:r>
        <w:rPr>
          <w:rFonts w:ascii="Calibri" w:hAnsi="Calibri" w:cs="Calibri"/>
          <w:color w:val="C00000"/>
          <w:szCs w:val="20"/>
        </w:rPr>
        <w:t>,</w:t>
      </w:r>
      <w:r>
        <w:rPr>
          <w:rFonts w:ascii="Calibri" w:hAnsi="Calibri" w:cs="Calibri"/>
          <w:szCs w:val="20"/>
        </w:rPr>
        <w:t xml:space="preserve"> gdzie wskaźnik ponad dwukrotnie przekroczył średnią miasta. W pozostałych obszarach był on od 1,4 do 1,9 razy wyższy niż w Bytomiu</w:t>
      </w:r>
      <w:r>
        <w:rPr>
          <w:rStyle w:val="Odwoanieprzypisudolnego"/>
          <w:rFonts w:ascii="Calibri" w:hAnsi="Calibri" w:cs="Calibri"/>
          <w:szCs w:val="20"/>
        </w:rPr>
        <w:footnoteReference w:id="14"/>
      </w:r>
      <w:r>
        <w:rPr>
          <w:rFonts w:ascii="Calibri" w:hAnsi="Calibri" w:cs="Calibri"/>
          <w:szCs w:val="20"/>
        </w:rPr>
        <w:t xml:space="preserve">. Z zamieszczonej mapy wynika, że przemoc domowa nie występuje na całym obszarze rewitalizacji, ale w określonych kwartałach. Poza obszarem rewitalizacji problem ten występuje jedynie sporadycznie.  </w:t>
      </w:r>
    </w:p>
    <w:p w:rsidR="00D503E4" w:rsidRDefault="00D503E4" w:rsidP="005B41FF">
      <w:pPr>
        <w:ind w:firstLine="708"/>
        <w:jc w:val="both"/>
        <w:rPr>
          <w:rFonts w:ascii="Calibri" w:hAnsi="Calibri" w:cs="Calibri"/>
          <w:szCs w:val="20"/>
        </w:rPr>
      </w:pPr>
    </w:p>
    <w:p w:rsidR="005B41FF" w:rsidRDefault="005B41FF" w:rsidP="00D503E4">
      <w:pPr>
        <w:pStyle w:val="Legenda"/>
        <w:rPr>
          <w:rFonts w:ascii="Calibri" w:hAnsi="Calibri" w:cs="Calibri"/>
        </w:rPr>
      </w:pPr>
      <w:bookmarkStart w:id="4071" w:name="_Toc463277307"/>
      <w:bookmarkStart w:id="4072" w:name="_Toc191972626"/>
      <w:r>
        <w:rPr>
          <w:rFonts w:ascii="Calibri" w:hAnsi="Calibri" w:cs="Calibri"/>
        </w:rPr>
        <w:t xml:space="preserve">Mapa </w:t>
      </w:r>
      <w:r w:rsidR="003972D8">
        <w:rPr>
          <w:rFonts w:ascii="Calibri" w:hAnsi="Calibri" w:cs="Calibri"/>
        </w:rPr>
        <w:fldChar w:fldCharType="begin"/>
      </w:r>
      <w:r>
        <w:rPr>
          <w:rFonts w:ascii="Calibri" w:hAnsi="Calibri" w:cs="Calibri"/>
        </w:rPr>
        <w:instrText xml:space="preserve"> SEQ Mapa \* ARABIC </w:instrText>
      </w:r>
      <w:r w:rsidR="003972D8">
        <w:rPr>
          <w:rFonts w:ascii="Calibri" w:hAnsi="Calibri" w:cs="Calibri"/>
        </w:rPr>
        <w:fldChar w:fldCharType="separate"/>
      </w:r>
      <w:r w:rsidR="00413FFE">
        <w:rPr>
          <w:rFonts w:ascii="Calibri" w:hAnsi="Calibri" w:cs="Calibri"/>
          <w:noProof/>
        </w:rPr>
        <w:t>14</w:t>
      </w:r>
      <w:r w:rsidR="003972D8">
        <w:rPr>
          <w:rFonts w:ascii="Calibri" w:hAnsi="Calibri" w:cs="Calibri"/>
        </w:rPr>
        <w:fldChar w:fldCharType="end"/>
      </w:r>
      <w:r>
        <w:rPr>
          <w:rFonts w:ascii="Calibri" w:hAnsi="Calibri" w:cs="Calibri"/>
        </w:rPr>
        <w:t>. Przemoc w rodzinie na 10 tys. mieszkańców w 2015 r.</w:t>
      </w:r>
      <w:bookmarkEnd w:id="4071"/>
      <w:bookmarkEnd w:id="4072"/>
    </w:p>
    <w:p w:rsidR="005B41FF" w:rsidRDefault="009B5277" w:rsidP="005B41FF">
      <w:r>
        <w:rPr>
          <w:noProof/>
        </w:rPr>
        <w:drawing>
          <wp:inline distT="0" distB="0" distL="0" distR="0">
            <wp:extent cx="5762625" cy="4083050"/>
            <wp:effectExtent l="19050" t="0" r="9525" b="0"/>
            <wp:docPr id="83"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pic:cNvPicPr>
                      <a:picLocks noChangeAspect="1" noChangeArrowheads="1"/>
                    </pic:cNvPicPr>
                  </pic:nvPicPr>
                  <pic:blipFill>
                    <a:blip r:embed="rId36" cstate="print"/>
                    <a:srcRect/>
                    <a:stretch>
                      <a:fillRect/>
                    </a:stretch>
                  </pic:blipFill>
                  <pic:spPr bwMode="auto">
                    <a:xfrm>
                      <a:off x="0" y="0"/>
                      <a:ext cx="5762625" cy="4083050"/>
                    </a:xfrm>
                    <a:prstGeom prst="rect">
                      <a:avLst/>
                    </a:prstGeom>
                    <a:noFill/>
                    <a:ln w="9525">
                      <a:noFill/>
                      <a:miter lim="800000"/>
                      <a:headEnd/>
                      <a:tailEnd/>
                    </a:ln>
                  </pic:spPr>
                </pic:pic>
              </a:graphicData>
            </a:graphic>
          </wp:inline>
        </w:drawing>
      </w:r>
    </w:p>
    <w:p w:rsidR="005B41FF" w:rsidRDefault="005B41FF" w:rsidP="005B41FF">
      <w:pPr>
        <w:autoSpaceDE w:val="0"/>
        <w:autoSpaceDN w:val="0"/>
        <w:adjustRightInd w:val="0"/>
        <w:rPr>
          <w:rFonts w:ascii="Calibri" w:hAnsi="Calibri" w:cs="Calibri"/>
          <w:i/>
          <w:iCs/>
          <w:sz w:val="18"/>
          <w:szCs w:val="18"/>
        </w:rPr>
      </w:pPr>
      <w:r>
        <w:rPr>
          <w:rFonts w:ascii="Calibri" w:hAnsi="Calibri" w:cs="Calibri"/>
          <w:i/>
          <w:iCs/>
          <w:sz w:val="18"/>
          <w:szCs w:val="18"/>
        </w:rPr>
        <w:t>Źródło: Opracowanie Instytutu Rozwoju Miast na podstawie danych Komendy Policji w Bytomiu</w:t>
      </w:r>
    </w:p>
    <w:p w:rsidR="00727884" w:rsidRDefault="00727884" w:rsidP="00D503E4">
      <w:pPr>
        <w:spacing w:after="60"/>
        <w:ind w:firstLine="709"/>
        <w:jc w:val="both"/>
        <w:rPr>
          <w:rFonts w:ascii="Calibri" w:hAnsi="Calibri" w:cs="Calibri"/>
          <w:szCs w:val="20"/>
        </w:rPr>
      </w:pPr>
    </w:p>
    <w:p w:rsidR="00336D80" w:rsidRDefault="00336D80" w:rsidP="00336D80">
      <w:pPr>
        <w:pStyle w:val="Legenda"/>
        <w:spacing w:line="312" w:lineRule="auto"/>
        <w:rPr>
          <w:rFonts w:ascii="Calibri" w:hAnsi="Calibri" w:cs="Calibri"/>
        </w:rPr>
      </w:pPr>
      <w:bookmarkStart w:id="4073" w:name="_Toc202771105"/>
      <w:r>
        <w:rPr>
          <w:rFonts w:ascii="Calibri" w:hAnsi="Calibri" w:cs="Calibri"/>
        </w:rPr>
        <w:t xml:space="preserve">Tabela </w:t>
      </w:r>
      <w:r w:rsidR="003972D8">
        <w:rPr>
          <w:rFonts w:ascii="Calibri" w:hAnsi="Calibri" w:cs="Calibri"/>
        </w:rPr>
        <w:fldChar w:fldCharType="begin"/>
      </w:r>
      <w:r>
        <w:rPr>
          <w:rFonts w:ascii="Calibri" w:hAnsi="Calibri" w:cs="Calibri"/>
        </w:rPr>
        <w:instrText xml:space="preserve"> SEQ Tabela \* ARABIC </w:instrText>
      </w:r>
      <w:r w:rsidR="003972D8">
        <w:rPr>
          <w:rFonts w:ascii="Calibri" w:hAnsi="Calibri" w:cs="Calibri"/>
        </w:rPr>
        <w:fldChar w:fldCharType="separate"/>
      </w:r>
      <w:r w:rsidR="00413FFE">
        <w:rPr>
          <w:rFonts w:ascii="Calibri" w:hAnsi="Calibri" w:cs="Calibri"/>
          <w:noProof/>
        </w:rPr>
        <w:t>11</w:t>
      </w:r>
      <w:r w:rsidR="003972D8">
        <w:rPr>
          <w:rFonts w:ascii="Calibri" w:hAnsi="Calibri" w:cs="Calibri"/>
        </w:rPr>
        <w:fldChar w:fldCharType="end"/>
      </w:r>
      <w:r>
        <w:rPr>
          <w:rFonts w:ascii="Calibri" w:hAnsi="Calibri" w:cs="Calibri"/>
        </w:rPr>
        <w:t>. Charakterystyka przestępczości w podobszarach rewitalizacji</w:t>
      </w:r>
      <w:bookmarkEnd w:id="4073"/>
      <w:r>
        <w:rPr>
          <w:rFonts w:ascii="Calibri" w:hAnsi="Calibri" w:cs="Calibri"/>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093"/>
        <w:gridCol w:w="919"/>
        <w:gridCol w:w="1218"/>
        <w:gridCol w:w="1171"/>
        <w:gridCol w:w="1244"/>
        <w:gridCol w:w="1222"/>
        <w:gridCol w:w="1343"/>
      </w:tblGrid>
      <w:tr w:rsidR="005B41FF" w:rsidRPr="007B3430" w:rsidTr="00EC2F11">
        <w:trPr>
          <w:cantSplit/>
        </w:trPr>
        <w:tc>
          <w:tcPr>
            <w:tcW w:w="2093" w:type="dxa"/>
            <w:vMerge w:val="restart"/>
            <w:shd w:val="clear" w:color="auto" w:fill="99CCFF"/>
            <w:vAlign w:val="center"/>
          </w:tcPr>
          <w:p w:rsidR="005B41FF" w:rsidRPr="009415C6" w:rsidRDefault="005B41FF" w:rsidP="009415C6">
            <w:pPr>
              <w:jc w:val="center"/>
              <w:rPr>
                <w:rFonts w:eastAsiaTheme="minorEastAsia" w:cstheme="minorHAnsi"/>
                <w:b/>
                <w:szCs w:val="20"/>
              </w:rPr>
            </w:pPr>
            <w:r w:rsidRPr="009415C6">
              <w:rPr>
                <w:rFonts w:eastAsiaTheme="minorEastAsia" w:cstheme="minorHAnsi"/>
                <w:b/>
                <w:szCs w:val="20"/>
              </w:rPr>
              <w:t>Wskaźnik</w:t>
            </w:r>
          </w:p>
        </w:tc>
        <w:tc>
          <w:tcPr>
            <w:tcW w:w="7117" w:type="dxa"/>
            <w:gridSpan w:val="6"/>
            <w:shd w:val="clear" w:color="auto" w:fill="99CCFF"/>
            <w:vAlign w:val="center"/>
          </w:tcPr>
          <w:p w:rsidR="005B41FF" w:rsidRPr="009415C6" w:rsidRDefault="00D2748E" w:rsidP="009415C6">
            <w:pPr>
              <w:jc w:val="center"/>
              <w:rPr>
                <w:rFonts w:eastAsiaTheme="minorEastAsia" w:cstheme="minorHAnsi"/>
                <w:b/>
                <w:szCs w:val="20"/>
              </w:rPr>
            </w:pPr>
            <w:r w:rsidRPr="009415C6">
              <w:rPr>
                <w:rFonts w:eastAsiaTheme="minorEastAsia" w:cstheme="minorHAnsi"/>
                <w:b/>
                <w:szCs w:val="20"/>
              </w:rPr>
              <w:t>OBSZARY REWITALIZACJI</w:t>
            </w:r>
          </w:p>
        </w:tc>
      </w:tr>
      <w:tr w:rsidR="00EC2F11" w:rsidRPr="007B3430" w:rsidTr="00EC2F11">
        <w:trPr>
          <w:cantSplit/>
        </w:trPr>
        <w:tc>
          <w:tcPr>
            <w:tcW w:w="2093" w:type="dxa"/>
            <w:vMerge/>
            <w:shd w:val="clear" w:color="auto" w:fill="99CCFF"/>
            <w:vAlign w:val="center"/>
          </w:tcPr>
          <w:p w:rsidR="005B41FF" w:rsidRPr="009415C6" w:rsidRDefault="005B41FF" w:rsidP="009415C6">
            <w:pPr>
              <w:jc w:val="center"/>
              <w:rPr>
                <w:rFonts w:eastAsiaTheme="minorEastAsia" w:cstheme="minorHAnsi"/>
                <w:b/>
                <w:szCs w:val="20"/>
              </w:rPr>
            </w:pPr>
          </w:p>
        </w:tc>
        <w:tc>
          <w:tcPr>
            <w:tcW w:w="919" w:type="dxa"/>
            <w:shd w:val="clear" w:color="auto" w:fill="99CCFF"/>
            <w:vAlign w:val="center"/>
          </w:tcPr>
          <w:p w:rsidR="005B41FF" w:rsidRPr="009415C6" w:rsidRDefault="005B41FF" w:rsidP="009415C6">
            <w:pPr>
              <w:jc w:val="center"/>
              <w:rPr>
                <w:rFonts w:eastAsiaTheme="minorEastAsia" w:cstheme="minorHAnsi"/>
                <w:b/>
                <w:szCs w:val="20"/>
              </w:rPr>
            </w:pPr>
            <w:r w:rsidRPr="009415C6">
              <w:rPr>
                <w:rFonts w:eastAsiaTheme="minorEastAsia" w:cstheme="minorHAnsi"/>
                <w:b/>
                <w:szCs w:val="20"/>
              </w:rPr>
              <w:t>Bobrek</w:t>
            </w:r>
          </w:p>
        </w:tc>
        <w:tc>
          <w:tcPr>
            <w:tcW w:w="1218" w:type="dxa"/>
            <w:shd w:val="clear" w:color="auto" w:fill="99CCFF"/>
            <w:vAlign w:val="center"/>
          </w:tcPr>
          <w:p w:rsidR="005B41FF" w:rsidRPr="009415C6" w:rsidRDefault="005B41FF" w:rsidP="009415C6">
            <w:pPr>
              <w:jc w:val="center"/>
              <w:rPr>
                <w:rFonts w:eastAsiaTheme="minorEastAsia" w:cstheme="minorHAnsi"/>
                <w:b/>
                <w:szCs w:val="20"/>
              </w:rPr>
            </w:pPr>
            <w:r w:rsidRPr="009415C6">
              <w:rPr>
                <w:rFonts w:eastAsiaTheme="minorEastAsia" w:cstheme="minorHAnsi"/>
                <w:b/>
                <w:szCs w:val="20"/>
              </w:rPr>
              <w:t>Śródmieście</w:t>
            </w:r>
          </w:p>
        </w:tc>
        <w:tc>
          <w:tcPr>
            <w:tcW w:w="1171" w:type="dxa"/>
            <w:shd w:val="clear" w:color="auto" w:fill="99CCFF"/>
            <w:vAlign w:val="center"/>
          </w:tcPr>
          <w:p w:rsidR="005B41FF" w:rsidRPr="009415C6" w:rsidRDefault="005B41FF" w:rsidP="009415C6">
            <w:pPr>
              <w:jc w:val="center"/>
              <w:rPr>
                <w:rFonts w:eastAsiaTheme="minorEastAsia" w:cstheme="minorHAnsi"/>
                <w:b/>
                <w:szCs w:val="20"/>
              </w:rPr>
            </w:pPr>
            <w:r w:rsidRPr="009415C6">
              <w:rPr>
                <w:rFonts w:eastAsiaTheme="minorEastAsia" w:cstheme="minorHAnsi"/>
                <w:b/>
                <w:szCs w:val="20"/>
              </w:rPr>
              <w:t>Śródmieście Zachód</w:t>
            </w:r>
          </w:p>
        </w:tc>
        <w:tc>
          <w:tcPr>
            <w:tcW w:w="1244" w:type="dxa"/>
            <w:shd w:val="clear" w:color="auto" w:fill="99CCFF"/>
            <w:vAlign w:val="center"/>
          </w:tcPr>
          <w:p w:rsidR="005B41FF" w:rsidRPr="009415C6" w:rsidRDefault="005B41FF" w:rsidP="009415C6">
            <w:pPr>
              <w:jc w:val="center"/>
              <w:rPr>
                <w:rFonts w:eastAsiaTheme="minorEastAsia" w:cstheme="minorHAnsi"/>
                <w:b/>
                <w:szCs w:val="20"/>
              </w:rPr>
            </w:pPr>
            <w:r w:rsidRPr="009415C6">
              <w:rPr>
                <w:rFonts w:eastAsiaTheme="minorEastAsia" w:cstheme="minorHAnsi"/>
                <w:b/>
                <w:szCs w:val="20"/>
              </w:rPr>
              <w:t>Śródmieście Północ</w:t>
            </w:r>
          </w:p>
        </w:tc>
        <w:tc>
          <w:tcPr>
            <w:tcW w:w="1222" w:type="dxa"/>
            <w:shd w:val="clear" w:color="auto" w:fill="99CCFF"/>
            <w:vAlign w:val="center"/>
          </w:tcPr>
          <w:p w:rsidR="005B41FF" w:rsidRPr="009415C6" w:rsidRDefault="005B41FF" w:rsidP="009415C6">
            <w:pPr>
              <w:jc w:val="center"/>
              <w:rPr>
                <w:rFonts w:eastAsiaTheme="minorEastAsia" w:cstheme="minorHAnsi"/>
                <w:b/>
                <w:szCs w:val="20"/>
              </w:rPr>
            </w:pPr>
            <w:r w:rsidRPr="009415C6">
              <w:rPr>
                <w:rFonts w:eastAsiaTheme="minorEastAsia" w:cstheme="minorHAnsi"/>
                <w:b/>
                <w:szCs w:val="20"/>
              </w:rPr>
              <w:t>Rozbark</w:t>
            </w:r>
          </w:p>
        </w:tc>
        <w:tc>
          <w:tcPr>
            <w:tcW w:w="1343" w:type="dxa"/>
            <w:shd w:val="clear" w:color="auto" w:fill="99CCFF"/>
            <w:vAlign w:val="center"/>
          </w:tcPr>
          <w:p w:rsidR="005B41FF" w:rsidRPr="009415C6" w:rsidRDefault="005B41FF" w:rsidP="009415C6">
            <w:pPr>
              <w:jc w:val="center"/>
              <w:rPr>
                <w:rFonts w:eastAsiaTheme="minorEastAsia" w:cstheme="minorHAnsi"/>
                <w:b/>
                <w:szCs w:val="20"/>
              </w:rPr>
            </w:pPr>
            <w:r w:rsidRPr="009415C6">
              <w:rPr>
                <w:rFonts w:eastAsiaTheme="minorEastAsia" w:cstheme="minorHAnsi"/>
                <w:b/>
                <w:szCs w:val="20"/>
              </w:rPr>
              <w:t>Kolonia Zgorzelec</w:t>
            </w:r>
          </w:p>
        </w:tc>
      </w:tr>
      <w:tr w:rsidR="002A77CA" w:rsidRPr="007B3430" w:rsidTr="00EC2F11">
        <w:tc>
          <w:tcPr>
            <w:tcW w:w="2093" w:type="dxa"/>
          </w:tcPr>
          <w:p w:rsidR="002A77CA" w:rsidRPr="003B2057" w:rsidRDefault="002A77CA" w:rsidP="009415C6">
            <w:pPr>
              <w:rPr>
                <w:rFonts w:eastAsiaTheme="minorEastAsia" w:cstheme="minorHAnsi"/>
                <w:szCs w:val="20"/>
              </w:rPr>
            </w:pPr>
            <w:r w:rsidRPr="003B2057">
              <w:rPr>
                <w:rFonts w:cstheme="minorHAnsi"/>
                <w:szCs w:val="20"/>
              </w:rPr>
              <w:t>Przestępstwa ogółem na 10 tys. mieszkańców</w:t>
            </w:r>
          </w:p>
        </w:tc>
        <w:tc>
          <w:tcPr>
            <w:tcW w:w="919" w:type="dxa"/>
            <w:vAlign w:val="center"/>
          </w:tcPr>
          <w:p w:rsidR="002A77CA" w:rsidRPr="007B3430" w:rsidRDefault="002A77CA" w:rsidP="00A649A2">
            <w:pPr>
              <w:jc w:val="center"/>
              <w:rPr>
                <w:rFonts w:eastAsiaTheme="minorEastAsia" w:cstheme="minorHAnsi"/>
                <w:szCs w:val="20"/>
              </w:rPr>
            </w:pPr>
            <w:r>
              <w:rPr>
                <w:rFonts w:eastAsiaTheme="minorEastAsia" w:cstheme="minorHAnsi"/>
                <w:szCs w:val="20"/>
              </w:rPr>
              <w:t>32</w:t>
            </w:r>
          </w:p>
        </w:tc>
        <w:tc>
          <w:tcPr>
            <w:tcW w:w="1218" w:type="dxa"/>
            <w:vAlign w:val="center"/>
          </w:tcPr>
          <w:p w:rsidR="002A77CA" w:rsidRPr="007B3430" w:rsidRDefault="002A77CA" w:rsidP="00A649A2">
            <w:pPr>
              <w:jc w:val="center"/>
              <w:rPr>
                <w:rFonts w:eastAsiaTheme="minorEastAsia" w:cstheme="minorHAnsi"/>
                <w:szCs w:val="20"/>
              </w:rPr>
            </w:pPr>
            <w:r>
              <w:rPr>
                <w:rFonts w:eastAsiaTheme="minorEastAsia" w:cstheme="minorHAnsi"/>
                <w:szCs w:val="20"/>
              </w:rPr>
              <w:t>10</w:t>
            </w:r>
          </w:p>
        </w:tc>
        <w:tc>
          <w:tcPr>
            <w:tcW w:w="1171" w:type="dxa"/>
            <w:vAlign w:val="center"/>
          </w:tcPr>
          <w:p w:rsidR="002A77CA" w:rsidRPr="007B3430" w:rsidRDefault="002A77CA" w:rsidP="00A649A2">
            <w:pPr>
              <w:jc w:val="center"/>
              <w:rPr>
                <w:rFonts w:eastAsiaTheme="minorEastAsia" w:cstheme="minorHAnsi"/>
                <w:szCs w:val="20"/>
              </w:rPr>
            </w:pPr>
            <w:r>
              <w:rPr>
                <w:rFonts w:eastAsiaTheme="minorEastAsia" w:cstheme="minorHAnsi"/>
                <w:szCs w:val="20"/>
              </w:rPr>
              <w:t>8</w:t>
            </w:r>
          </w:p>
        </w:tc>
        <w:tc>
          <w:tcPr>
            <w:tcW w:w="1244" w:type="dxa"/>
            <w:vAlign w:val="center"/>
          </w:tcPr>
          <w:p w:rsidR="002A77CA" w:rsidRPr="007B3430" w:rsidRDefault="002A77CA" w:rsidP="00A649A2">
            <w:pPr>
              <w:jc w:val="center"/>
              <w:rPr>
                <w:rFonts w:eastAsiaTheme="minorEastAsia" w:cstheme="minorHAnsi"/>
                <w:szCs w:val="20"/>
              </w:rPr>
            </w:pPr>
            <w:r>
              <w:rPr>
                <w:rFonts w:eastAsiaTheme="minorEastAsia" w:cstheme="minorHAnsi"/>
                <w:szCs w:val="20"/>
              </w:rPr>
              <w:t>8</w:t>
            </w:r>
          </w:p>
        </w:tc>
        <w:tc>
          <w:tcPr>
            <w:tcW w:w="1222" w:type="dxa"/>
            <w:vAlign w:val="center"/>
          </w:tcPr>
          <w:p w:rsidR="002A77CA" w:rsidRPr="007B3430" w:rsidRDefault="002A77CA" w:rsidP="00A649A2">
            <w:pPr>
              <w:jc w:val="center"/>
              <w:rPr>
                <w:rFonts w:eastAsiaTheme="minorEastAsia" w:cstheme="minorHAnsi"/>
                <w:szCs w:val="20"/>
              </w:rPr>
            </w:pPr>
            <w:r>
              <w:rPr>
                <w:rFonts w:eastAsiaTheme="minorEastAsia" w:cstheme="minorHAnsi"/>
                <w:szCs w:val="20"/>
              </w:rPr>
              <w:t>3</w:t>
            </w:r>
          </w:p>
        </w:tc>
        <w:tc>
          <w:tcPr>
            <w:tcW w:w="1343" w:type="dxa"/>
            <w:vAlign w:val="center"/>
          </w:tcPr>
          <w:p w:rsidR="002A77CA" w:rsidRPr="007B3430" w:rsidRDefault="002A77CA" w:rsidP="00A649A2">
            <w:pPr>
              <w:jc w:val="center"/>
              <w:rPr>
                <w:rFonts w:eastAsiaTheme="minorEastAsia" w:cstheme="minorHAnsi"/>
                <w:szCs w:val="20"/>
              </w:rPr>
            </w:pPr>
            <w:r>
              <w:rPr>
                <w:rFonts w:eastAsiaTheme="minorEastAsia" w:cstheme="minorHAnsi"/>
                <w:szCs w:val="20"/>
              </w:rPr>
              <w:t>0</w:t>
            </w:r>
          </w:p>
        </w:tc>
      </w:tr>
      <w:tr w:rsidR="002A77CA" w:rsidRPr="007B3430" w:rsidTr="00EC2F11">
        <w:tc>
          <w:tcPr>
            <w:tcW w:w="2093" w:type="dxa"/>
          </w:tcPr>
          <w:p w:rsidR="002A77CA" w:rsidRPr="007B3430" w:rsidRDefault="002A77CA" w:rsidP="002A77CA">
            <w:pPr>
              <w:rPr>
                <w:rFonts w:eastAsiaTheme="minorEastAsia" w:cstheme="minorHAnsi"/>
                <w:szCs w:val="20"/>
              </w:rPr>
            </w:pPr>
            <w:r>
              <w:rPr>
                <w:rFonts w:eastAsiaTheme="minorEastAsia" w:cstheme="minorHAnsi"/>
                <w:szCs w:val="20"/>
              </w:rPr>
              <w:t>Liczba osób nieletnich popełniających czyny karalne</w:t>
            </w:r>
          </w:p>
        </w:tc>
        <w:tc>
          <w:tcPr>
            <w:tcW w:w="919" w:type="dxa"/>
            <w:vAlign w:val="center"/>
          </w:tcPr>
          <w:p w:rsidR="002A77CA" w:rsidRPr="007B3430" w:rsidRDefault="002A77CA" w:rsidP="00A649A2">
            <w:pPr>
              <w:jc w:val="center"/>
              <w:rPr>
                <w:rFonts w:eastAsiaTheme="minorEastAsia" w:cstheme="minorHAnsi"/>
                <w:szCs w:val="20"/>
              </w:rPr>
            </w:pPr>
            <w:r>
              <w:rPr>
                <w:rFonts w:eastAsiaTheme="minorEastAsia" w:cstheme="minorHAnsi"/>
                <w:szCs w:val="20"/>
              </w:rPr>
              <w:t>0</w:t>
            </w:r>
          </w:p>
        </w:tc>
        <w:tc>
          <w:tcPr>
            <w:tcW w:w="1218" w:type="dxa"/>
            <w:vAlign w:val="center"/>
          </w:tcPr>
          <w:p w:rsidR="002A77CA" w:rsidRPr="007B3430" w:rsidRDefault="002A77CA" w:rsidP="00A649A2">
            <w:pPr>
              <w:jc w:val="center"/>
              <w:rPr>
                <w:rFonts w:eastAsiaTheme="minorEastAsia" w:cstheme="minorHAnsi"/>
                <w:szCs w:val="20"/>
              </w:rPr>
            </w:pPr>
            <w:r>
              <w:rPr>
                <w:rFonts w:eastAsiaTheme="minorEastAsia" w:cstheme="minorHAnsi"/>
                <w:szCs w:val="20"/>
              </w:rPr>
              <w:t>116</w:t>
            </w:r>
          </w:p>
        </w:tc>
        <w:tc>
          <w:tcPr>
            <w:tcW w:w="1171" w:type="dxa"/>
            <w:vAlign w:val="center"/>
          </w:tcPr>
          <w:p w:rsidR="002A77CA" w:rsidRPr="007B3430" w:rsidRDefault="002A77CA" w:rsidP="00A649A2">
            <w:pPr>
              <w:jc w:val="center"/>
              <w:rPr>
                <w:rFonts w:eastAsiaTheme="minorEastAsia" w:cstheme="minorHAnsi"/>
                <w:szCs w:val="20"/>
              </w:rPr>
            </w:pPr>
            <w:r>
              <w:rPr>
                <w:rFonts w:eastAsiaTheme="minorEastAsia" w:cstheme="minorHAnsi"/>
                <w:szCs w:val="20"/>
              </w:rPr>
              <w:t>209</w:t>
            </w:r>
          </w:p>
        </w:tc>
        <w:tc>
          <w:tcPr>
            <w:tcW w:w="1244" w:type="dxa"/>
            <w:vAlign w:val="center"/>
          </w:tcPr>
          <w:p w:rsidR="002A77CA" w:rsidRPr="007B3430" w:rsidRDefault="002A77CA" w:rsidP="00A649A2">
            <w:pPr>
              <w:jc w:val="center"/>
              <w:rPr>
                <w:rFonts w:eastAsiaTheme="minorEastAsia" w:cstheme="minorHAnsi"/>
                <w:szCs w:val="20"/>
              </w:rPr>
            </w:pPr>
            <w:r>
              <w:rPr>
                <w:rFonts w:eastAsiaTheme="minorEastAsia" w:cstheme="minorHAnsi"/>
                <w:szCs w:val="20"/>
              </w:rPr>
              <w:t>46</w:t>
            </w:r>
          </w:p>
        </w:tc>
        <w:tc>
          <w:tcPr>
            <w:tcW w:w="1222" w:type="dxa"/>
            <w:vAlign w:val="center"/>
          </w:tcPr>
          <w:p w:rsidR="002A77CA" w:rsidRPr="007B3430" w:rsidRDefault="002A77CA" w:rsidP="00A649A2">
            <w:pPr>
              <w:jc w:val="center"/>
              <w:rPr>
                <w:rFonts w:eastAsiaTheme="minorEastAsia" w:cstheme="minorHAnsi"/>
                <w:szCs w:val="20"/>
              </w:rPr>
            </w:pPr>
            <w:r>
              <w:rPr>
                <w:rFonts w:eastAsiaTheme="minorEastAsia" w:cstheme="minorHAnsi"/>
                <w:szCs w:val="20"/>
              </w:rPr>
              <w:t>9</w:t>
            </w:r>
          </w:p>
        </w:tc>
        <w:tc>
          <w:tcPr>
            <w:tcW w:w="1343" w:type="dxa"/>
            <w:vAlign w:val="center"/>
          </w:tcPr>
          <w:p w:rsidR="002A77CA" w:rsidRPr="007B3430" w:rsidRDefault="002A77CA" w:rsidP="00A649A2">
            <w:pPr>
              <w:jc w:val="center"/>
              <w:rPr>
                <w:rFonts w:eastAsiaTheme="minorEastAsia" w:cstheme="minorHAnsi"/>
                <w:szCs w:val="20"/>
              </w:rPr>
            </w:pPr>
            <w:r>
              <w:rPr>
                <w:rFonts w:eastAsiaTheme="minorEastAsia" w:cstheme="minorHAnsi"/>
                <w:szCs w:val="20"/>
              </w:rPr>
              <w:t>0</w:t>
            </w:r>
          </w:p>
        </w:tc>
      </w:tr>
      <w:tr w:rsidR="002A77CA" w:rsidRPr="007B3430" w:rsidTr="00EC2F11">
        <w:tc>
          <w:tcPr>
            <w:tcW w:w="2093" w:type="dxa"/>
          </w:tcPr>
          <w:p w:rsidR="002A77CA" w:rsidRPr="007B3430" w:rsidRDefault="002A77CA" w:rsidP="006B4CAA">
            <w:pPr>
              <w:rPr>
                <w:rFonts w:eastAsiaTheme="minorEastAsia" w:cstheme="minorHAnsi"/>
                <w:szCs w:val="20"/>
              </w:rPr>
            </w:pPr>
            <w:r>
              <w:rPr>
                <w:rFonts w:cstheme="minorHAnsi"/>
                <w:szCs w:val="20"/>
              </w:rPr>
              <w:t>Liczba odnotowanych przypadków przemocy w</w:t>
            </w:r>
            <w:r w:rsidR="006B4CAA">
              <w:rPr>
                <w:rFonts w:cstheme="minorHAnsi"/>
                <w:szCs w:val="20"/>
              </w:rPr>
              <w:t> </w:t>
            </w:r>
            <w:r>
              <w:rPr>
                <w:rFonts w:cstheme="minorHAnsi"/>
                <w:szCs w:val="20"/>
              </w:rPr>
              <w:t>rodzinie</w:t>
            </w:r>
          </w:p>
        </w:tc>
        <w:tc>
          <w:tcPr>
            <w:tcW w:w="919" w:type="dxa"/>
            <w:vAlign w:val="center"/>
          </w:tcPr>
          <w:p w:rsidR="002A77CA" w:rsidRPr="007B3430" w:rsidRDefault="002A77CA" w:rsidP="00A649A2">
            <w:pPr>
              <w:jc w:val="center"/>
              <w:rPr>
                <w:rFonts w:eastAsiaTheme="minorEastAsia" w:cstheme="minorHAnsi"/>
                <w:szCs w:val="20"/>
              </w:rPr>
            </w:pPr>
            <w:r>
              <w:rPr>
                <w:rFonts w:eastAsiaTheme="minorEastAsia" w:cstheme="minorHAnsi"/>
                <w:szCs w:val="20"/>
              </w:rPr>
              <w:t>8</w:t>
            </w:r>
          </w:p>
        </w:tc>
        <w:tc>
          <w:tcPr>
            <w:tcW w:w="1218" w:type="dxa"/>
            <w:vAlign w:val="center"/>
          </w:tcPr>
          <w:p w:rsidR="002A77CA" w:rsidRPr="007B3430" w:rsidRDefault="002A77CA" w:rsidP="00A649A2">
            <w:pPr>
              <w:jc w:val="center"/>
              <w:rPr>
                <w:rFonts w:eastAsiaTheme="minorEastAsia" w:cstheme="minorHAnsi"/>
                <w:szCs w:val="20"/>
              </w:rPr>
            </w:pPr>
            <w:r>
              <w:rPr>
                <w:rFonts w:eastAsiaTheme="minorEastAsia" w:cstheme="minorHAnsi"/>
                <w:szCs w:val="20"/>
              </w:rPr>
              <w:t>27</w:t>
            </w:r>
          </w:p>
        </w:tc>
        <w:tc>
          <w:tcPr>
            <w:tcW w:w="1171" w:type="dxa"/>
            <w:vAlign w:val="center"/>
          </w:tcPr>
          <w:p w:rsidR="002A77CA" w:rsidRPr="007B3430" w:rsidRDefault="002A77CA" w:rsidP="00A649A2">
            <w:pPr>
              <w:jc w:val="center"/>
              <w:rPr>
                <w:rFonts w:eastAsiaTheme="minorEastAsia" w:cstheme="minorHAnsi"/>
                <w:szCs w:val="20"/>
              </w:rPr>
            </w:pPr>
            <w:r>
              <w:rPr>
                <w:rFonts w:eastAsiaTheme="minorEastAsia" w:cstheme="minorHAnsi"/>
                <w:szCs w:val="20"/>
              </w:rPr>
              <w:t>23</w:t>
            </w:r>
          </w:p>
        </w:tc>
        <w:tc>
          <w:tcPr>
            <w:tcW w:w="1244" w:type="dxa"/>
            <w:vAlign w:val="center"/>
          </w:tcPr>
          <w:p w:rsidR="002A77CA" w:rsidRPr="007B3430" w:rsidRDefault="002A77CA" w:rsidP="00A649A2">
            <w:pPr>
              <w:jc w:val="center"/>
              <w:rPr>
                <w:rFonts w:eastAsiaTheme="minorEastAsia" w:cstheme="minorHAnsi"/>
                <w:szCs w:val="20"/>
              </w:rPr>
            </w:pPr>
            <w:r>
              <w:rPr>
                <w:rFonts w:eastAsiaTheme="minorEastAsia" w:cstheme="minorHAnsi"/>
                <w:szCs w:val="20"/>
              </w:rPr>
              <w:t>27</w:t>
            </w:r>
          </w:p>
        </w:tc>
        <w:tc>
          <w:tcPr>
            <w:tcW w:w="1222" w:type="dxa"/>
            <w:vAlign w:val="center"/>
          </w:tcPr>
          <w:p w:rsidR="002A77CA" w:rsidRPr="007B3430" w:rsidRDefault="002A77CA" w:rsidP="00A649A2">
            <w:pPr>
              <w:jc w:val="center"/>
              <w:rPr>
                <w:rFonts w:eastAsiaTheme="minorEastAsia" w:cstheme="minorHAnsi"/>
                <w:szCs w:val="20"/>
              </w:rPr>
            </w:pPr>
            <w:r>
              <w:rPr>
                <w:rFonts w:eastAsiaTheme="minorEastAsia" w:cstheme="minorHAnsi"/>
                <w:szCs w:val="20"/>
              </w:rPr>
              <w:t>23</w:t>
            </w:r>
          </w:p>
        </w:tc>
        <w:tc>
          <w:tcPr>
            <w:tcW w:w="1343" w:type="dxa"/>
            <w:vAlign w:val="center"/>
          </w:tcPr>
          <w:p w:rsidR="002A77CA" w:rsidRPr="007B3430" w:rsidRDefault="002A77CA" w:rsidP="00A649A2">
            <w:pPr>
              <w:jc w:val="center"/>
              <w:rPr>
                <w:rFonts w:eastAsiaTheme="minorEastAsia" w:cstheme="minorHAnsi"/>
                <w:szCs w:val="20"/>
              </w:rPr>
            </w:pPr>
            <w:r>
              <w:rPr>
                <w:rFonts w:eastAsiaTheme="minorEastAsia" w:cstheme="minorHAnsi"/>
                <w:szCs w:val="20"/>
              </w:rPr>
              <w:t>0</w:t>
            </w:r>
          </w:p>
        </w:tc>
      </w:tr>
    </w:tbl>
    <w:p w:rsidR="007D5A8C" w:rsidRPr="005F27F5" w:rsidRDefault="007D5A8C" w:rsidP="007D5A8C">
      <w:pPr>
        <w:autoSpaceDE w:val="0"/>
        <w:autoSpaceDN w:val="0"/>
        <w:adjustRightInd w:val="0"/>
        <w:rPr>
          <w:rFonts w:eastAsia="Calibri" w:cs="ArialNarrow"/>
          <w:i/>
          <w:sz w:val="18"/>
          <w:szCs w:val="20"/>
        </w:rPr>
      </w:pPr>
      <w:r w:rsidRPr="00600944">
        <w:rPr>
          <w:rFonts w:eastAsia="Calibri" w:cs="ArialNarrow"/>
          <w:i/>
          <w:sz w:val="18"/>
          <w:szCs w:val="20"/>
        </w:rPr>
        <w:t>Źródło: Opracowanie</w:t>
      </w:r>
      <w:r w:rsidR="00600944" w:rsidRPr="00600944">
        <w:rPr>
          <w:rFonts w:eastAsia="Calibri" w:cs="ArialNarrow"/>
          <w:i/>
          <w:sz w:val="18"/>
          <w:szCs w:val="20"/>
        </w:rPr>
        <w:t xml:space="preserve"> Instytutu</w:t>
      </w:r>
      <w:r w:rsidRPr="00600944">
        <w:rPr>
          <w:rFonts w:eastAsia="Calibri" w:cs="ArialNarrow"/>
          <w:i/>
          <w:sz w:val="18"/>
          <w:szCs w:val="20"/>
        </w:rPr>
        <w:t xml:space="preserve"> Rozwoju Miast</w:t>
      </w:r>
    </w:p>
    <w:p w:rsidR="001C2FD4" w:rsidRDefault="001C2FD4" w:rsidP="001C2FD4">
      <w:pPr>
        <w:rPr>
          <w:rFonts w:eastAsia="Calibri"/>
        </w:rPr>
      </w:pPr>
    </w:p>
    <w:p w:rsidR="00F830EB" w:rsidRDefault="00F830EB" w:rsidP="00F830EB">
      <w:pPr>
        <w:ind w:firstLine="708"/>
        <w:jc w:val="both"/>
        <w:rPr>
          <w:rFonts w:ascii="Calibri" w:hAnsi="Calibri" w:cs="Calibri"/>
          <w:szCs w:val="20"/>
        </w:rPr>
      </w:pPr>
      <w:r>
        <w:rPr>
          <w:rFonts w:ascii="Calibri" w:hAnsi="Calibri" w:cs="Calibri"/>
          <w:szCs w:val="20"/>
        </w:rPr>
        <w:lastRenderedPageBreak/>
        <w:t>Pogłębionej analizy zjawiska przestępczości na obszarze rewitalizacji dokonano w ramach przeprowadzonych konsultacji społecznych. Niemal we wszystkich podobszarach problemy przestępczości stanowiły jeden z najważniejszych poruszanych tematów. Liczne były głosy wskazujące na poczucie braku bezpieczeństwa, wiele osób mówiło o obawie wychodzenia z domu po zmroku czy o niechętnie udzielanemu dzieciom pozwoleniu na wyjście bez opieki. Formułowano także problem zbyt długiego czasu oczekiwania na interwencję policji po zgłoszeniu. Zwracano uwagę na piractwo drogowe i problem wandalizmu, a także nielegalnego graffiti.</w:t>
      </w:r>
    </w:p>
    <w:p w:rsidR="00F830EB" w:rsidRPr="001D5615" w:rsidRDefault="00F830EB" w:rsidP="00F830EB">
      <w:pPr>
        <w:ind w:firstLine="708"/>
        <w:jc w:val="both"/>
        <w:rPr>
          <w:rFonts w:ascii="Calibri" w:hAnsi="Calibri" w:cs="Calibri"/>
          <w:b/>
          <w:color w:val="C00000"/>
          <w:szCs w:val="20"/>
        </w:rPr>
      </w:pPr>
      <w:r w:rsidRPr="001D5615">
        <w:rPr>
          <w:rFonts w:ascii="Calibri" w:hAnsi="Calibri" w:cs="Calibri"/>
          <w:b/>
          <w:color w:val="C00000"/>
          <w:szCs w:val="20"/>
        </w:rPr>
        <w:t>Zdiagnozowana skala problemów związanych z przestępczością na podobszarach rewitalizacji i brak poczucia bezpieczeństwa mieszkańców uzasadnia podjęcie działań ukierunkowanych między innymi na rozwój monitoringu, czy też objęcie wsparciem młodzież</w:t>
      </w:r>
      <w:r w:rsidR="00A301DD">
        <w:rPr>
          <w:rFonts w:ascii="Calibri" w:hAnsi="Calibri" w:cs="Calibri"/>
          <w:b/>
          <w:color w:val="C00000"/>
          <w:szCs w:val="20"/>
        </w:rPr>
        <w:t>y zagrożonej</w:t>
      </w:r>
      <w:r w:rsidRPr="001D5615">
        <w:rPr>
          <w:rFonts w:ascii="Calibri" w:hAnsi="Calibri" w:cs="Calibri"/>
          <w:b/>
          <w:color w:val="C00000"/>
          <w:szCs w:val="20"/>
        </w:rPr>
        <w:t xml:space="preserve"> demoralizacją. </w:t>
      </w:r>
    </w:p>
    <w:p w:rsidR="00F830EB" w:rsidRDefault="00F830EB" w:rsidP="001C2FD4">
      <w:pPr>
        <w:rPr>
          <w:rFonts w:eastAsia="Calibri"/>
        </w:rPr>
      </w:pPr>
    </w:p>
    <w:p w:rsidR="001C2FD4" w:rsidRDefault="001C2FD4" w:rsidP="009968FD">
      <w:pPr>
        <w:pStyle w:val="Nagwek3"/>
        <w:numPr>
          <w:ilvl w:val="2"/>
          <w:numId w:val="228"/>
        </w:numPr>
      </w:pPr>
      <w:bookmarkStart w:id="4074" w:name="_Toc461612526"/>
      <w:bookmarkStart w:id="4075" w:name="_Toc474924909"/>
      <w:r>
        <w:t>Inne problemy społeczne i dysfunkcje</w:t>
      </w:r>
      <w:bookmarkEnd w:id="4074"/>
      <w:bookmarkEnd w:id="4075"/>
    </w:p>
    <w:p w:rsidR="00551C01" w:rsidRDefault="00551C01" w:rsidP="00C80963">
      <w:pPr>
        <w:jc w:val="both"/>
        <w:rPr>
          <w:szCs w:val="20"/>
        </w:rPr>
      </w:pPr>
    </w:p>
    <w:p w:rsidR="001C2FD4" w:rsidRPr="00C80963" w:rsidRDefault="001C2FD4" w:rsidP="00C91597">
      <w:pPr>
        <w:ind w:firstLine="708"/>
        <w:jc w:val="both"/>
        <w:rPr>
          <w:szCs w:val="20"/>
        </w:rPr>
      </w:pPr>
      <w:r w:rsidRPr="00C80963">
        <w:rPr>
          <w:szCs w:val="20"/>
        </w:rPr>
        <w:t>Na obszarze rewitalizacji w stopniu większym niż przeciętnie w mieście występują inne problemy ze sfery społecznej, jak uzależnienia, bezradność w sprawach opiekuńczo – wychowawczych, długotrwałe choroby i</w:t>
      </w:r>
      <w:r w:rsidR="0013236B">
        <w:rPr>
          <w:szCs w:val="20"/>
        </w:rPr>
        <w:t> </w:t>
      </w:r>
      <w:r w:rsidRPr="00C80963">
        <w:rPr>
          <w:szCs w:val="20"/>
        </w:rPr>
        <w:t>niepełnosprawność.</w:t>
      </w:r>
    </w:p>
    <w:p w:rsidR="001C2FD4" w:rsidRDefault="001C2FD4" w:rsidP="001C2FD4"/>
    <w:p w:rsidR="001C2FD4" w:rsidRPr="003304DB" w:rsidRDefault="001C2FD4" w:rsidP="009968FD">
      <w:pPr>
        <w:pStyle w:val="Nagwek4"/>
        <w:numPr>
          <w:ilvl w:val="3"/>
          <w:numId w:val="228"/>
        </w:numPr>
        <w:ind w:left="1077" w:hanging="1077"/>
        <w:rPr>
          <w:rFonts w:eastAsia="Calibri"/>
          <w:i w:val="0"/>
        </w:rPr>
      </w:pPr>
      <w:bookmarkStart w:id="4076" w:name="_Toc461612527"/>
      <w:r w:rsidRPr="003304DB">
        <w:rPr>
          <w:rFonts w:eastAsia="Calibri"/>
          <w:i w:val="0"/>
        </w:rPr>
        <w:t>Uzależnienia</w:t>
      </w:r>
      <w:bookmarkEnd w:id="4076"/>
    </w:p>
    <w:p w:rsidR="00351E5B" w:rsidRPr="008A67DC" w:rsidRDefault="00351E5B" w:rsidP="00C91597">
      <w:pPr>
        <w:ind w:firstLine="708"/>
        <w:jc w:val="both"/>
        <w:rPr>
          <w:sz w:val="18"/>
          <w:szCs w:val="14"/>
        </w:rPr>
      </w:pPr>
    </w:p>
    <w:p w:rsidR="00351E5B" w:rsidRDefault="00351E5B" w:rsidP="00351E5B">
      <w:pPr>
        <w:ind w:firstLine="708"/>
        <w:jc w:val="both"/>
        <w:rPr>
          <w:rFonts w:ascii="Calibri" w:hAnsi="Calibri" w:cs="Calibri"/>
          <w:szCs w:val="20"/>
        </w:rPr>
      </w:pPr>
      <w:r>
        <w:rPr>
          <w:rFonts w:ascii="Calibri" w:hAnsi="Calibri" w:cs="Calibri"/>
          <w:szCs w:val="20"/>
        </w:rPr>
        <w:t>Uzależnienia, wśród których najczęściej występuje choroba alkoholowa, należy traktować jako jeden z</w:t>
      </w:r>
      <w:r w:rsidR="00F65CC5">
        <w:rPr>
          <w:rFonts w:ascii="Calibri" w:hAnsi="Calibri" w:cs="Calibri"/>
          <w:szCs w:val="20"/>
        </w:rPr>
        <w:t> </w:t>
      </w:r>
      <w:r>
        <w:rPr>
          <w:rFonts w:ascii="Calibri" w:hAnsi="Calibri" w:cs="Calibri"/>
          <w:szCs w:val="20"/>
        </w:rPr>
        <w:t>ważniejszych problemów obszaru rewitalizacji. Dane pozyskane z jednej z podstawowych jednostek prowadzących działania w sferze zapobiegania i minimalizacji skutków uzależnień w Bytomiu, a mianowicie Centrum Interwencji Kryzysowej i Przeciwdziałania Uzależnieniom wykazały, iż liczba osób uzależnionych i</w:t>
      </w:r>
      <w:r w:rsidR="00F65CC5">
        <w:rPr>
          <w:rFonts w:ascii="Calibri" w:hAnsi="Calibri" w:cs="Calibri"/>
          <w:szCs w:val="20"/>
        </w:rPr>
        <w:t> </w:t>
      </w:r>
      <w:r>
        <w:rPr>
          <w:rFonts w:ascii="Calibri" w:hAnsi="Calibri" w:cs="Calibri"/>
          <w:szCs w:val="20"/>
        </w:rPr>
        <w:t xml:space="preserve">korzystających z usług świadczonych w Centrum wyniosła w samym tylko 2015 roku 428 osób. Natomiast </w:t>
      </w:r>
      <w:r w:rsidRPr="001D5615">
        <w:rPr>
          <w:rFonts w:ascii="Calibri" w:hAnsi="Calibri" w:cs="Calibri"/>
          <w:b/>
          <w:color w:val="C00000"/>
          <w:szCs w:val="20"/>
        </w:rPr>
        <w:t>liczba mieszkańców Bytomia przyjętych do Izby Wytrzeźwień to prawie 4000 osób. Prawie jedna czwarta osób przyjętych do Izby Wytrzeźwień w 2015 roku mieszkała na obszarze rewitalizacji.</w:t>
      </w:r>
      <w:r>
        <w:rPr>
          <w:rFonts w:ascii="Calibri" w:hAnsi="Calibri" w:cs="Calibri"/>
          <w:szCs w:val="20"/>
        </w:rPr>
        <w:t xml:space="preserve"> </w:t>
      </w:r>
    </w:p>
    <w:p w:rsidR="00351E5B" w:rsidRDefault="00351E5B" w:rsidP="00351E5B">
      <w:pPr>
        <w:ind w:firstLine="708"/>
        <w:jc w:val="both"/>
        <w:rPr>
          <w:rFonts w:ascii="Calibri" w:hAnsi="Calibri" w:cs="Calibri"/>
          <w:szCs w:val="20"/>
        </w:rPr>
      </w:pPr>
      <w:r>
        <w:rPr>
          <w:rFonts w:ascii="Calibri" w:hAnsi="Calibri" w:cs="Calibri"/>
          <w:szCs w:val="20"/>
        </w:rPr>
        <w:t>Warto podkreślić, iż na podstawie danych dotyczących osób doprowadzanych do Izby Wytrzeźwień, a</w:t>
      </w:r>
      <w:r w:rsidR="00F65CC5">
        <w:rPr>
          <w:rFonts w:ascii="Calibri" w:hAnsi="Calibri" w:cs="Calibri"/>
          <w:szCs w:val="20"/>
        </w:rPr>
        <w:t> </w:t>
      </w:r>
      <w:r>
        <w:rPr>
          <w:rFonts w:ascii="Calibri" w:hAnsi="Calibri" w:cs="Calibri"/>
          <w:szCs w:val="20"/>
        </w:rPr>
        <w:t xml:space="preserve">także korzystających z oferty terapeutycznej lub też podejmujących leczenie w CIKiPU można stwierdzić, iż problemy związane z uzależnieniami dotyczą wszystkich podobszarów rewitalizacji, przy czym najbardziej widoczne są na podobszarze Śródmieścia. </w:t>
      </w:r>
    </w:p>
    <w:p w:rsidR="00351E5B" w:rsidRDefault="00351E5B" w:rsidP="00351E5B"/>
    <w:p w:rsidR="00351E5B" w:rsidRDefault="00351E5B" w:rsidP="00351E5B">
      <w:pPr>
        <w:pStyle w:val="Legenda"/>
        <w:spacing w:line="312" w:lineRule="auto"/>
        <w:rPr>
          <w:rFonts w:ascii="Calibri" w:hAnsi="Calibri" w:cs="Calibri"/>
        </w:rPr>
      </w:pPr>
      <w:bookmarkStart w:id="4077" w:name="_Toc202771106"/>
      <w:r>
        <w:rPr>
          <w:rFonts w:ascii="Calibri" w:hAnsi="Calibri" w:cs="Calibri"/>
        </w:rPr>
        <w:t xml:space="preserve">Tabela </w:t>
      </w:r>
      <w:r w:rsidR="003972D8">
        <w:rPr>
          <w:rFonts w:ascii="Calibri" w:hAnsi="Calibri" w:cs="Calibri"/>
        </w:rPr>
        <w:fldChar w:fldCharType="begin"/>
      </w:r>
      <w:r>
        <w:rPr>
          <w:rFonts w:ascii="Calibri" w:hAnsi="Calibri" w:cs="Calibri"/>
        </w:rPr>
        <w:instrText xml:space="preserve"> SEQ Tabela \* ARABIC </w:instrText>
      </w:r>
      <w:r w:rsidR="003972D8">
        <w:rPr>
          <w:rFonts w:ascii="Calibri" w:hAnsi="Calibri" w:cs="Calibri"/>
        </w:rPr>
        <w:fldChar w:fldCharType="separate"/>
      </w:r>
      <w:r w:rsidR="00413FFE">
        <w:rPr>
          <w:rFonts w:ascii="Calibri" w:hAnsi="Calibri" w:cs="Calibri"/>
          <w:noProof/>
        </w:rPr>
        <w:t>12</w:t>
      </w:r>
      <w:r w:rsidR="003972D8">
        <w:rPr>
          <w:rFonts w:ascii="Calibri" w:hAnsi="Calibri" w:cs="Calibri"/>
        </w:rPr>
        <w:fldChar w:fldCharType="end"/>
      </w:r>
      <w:r>
        <w:rPr>
          <w:rFonts w:ascii="Calibri" w:hAnsi="Calibri" w:cs="Calibri"/>
        </w:rPr>
        <w:t>. Korzystający z usług CIKiPU w 2015 roku</w:t>
      </w:r>
      <w:bookmarkEnd w:id="4077"/>
    </w:p>
    <w:tbl>
      <w:tblPr>
        <w:tblW w:w="0" w:type="auto"/>
        <w:tblLayout w:type="fixed"/>
        <w:tblCellMar>
          <w:left w:w="70" w:type="dxa"/>
          <w:right w:w="70" w:type="dxa"/>
        </w:tblCellMar>
        <w:tblLook w:val="0000"/>
      </w:tblPr>
      <w:tblGrid>
        <w:gridCol w:w="1771"/>
        <w:gridCol w:w="2410"/>
        <w:gridCol w:w="2552"/>
        <w:gridCol w:w="2477"/>
      </w:tblGrid>
      <w:tr w:rsidR="00351E5B" w:rsidRPr="00A50C70" w:rsidTr="00645C17">
        <w:trPr>
          <w:trHeight w:val="285"/>
        </w:trPr>
        <w:tc>
          <w:tcPr>
            <w:tcW w:w="1771" w:type="dxa"/>
            <w:tcBorders>
              <w:top w:val="single" w:sz="4" w:space="0" w:color="auto"/>
              <w:left w:val="single" w:sz="4" w:space="0" w:color="auto"/>
              <w:bottom w:val="single" w:sz="4" w:space="0" w:color="auto"/>
              <w:right w:val="single" w:sz="4" w:space="0" w:color="auto"/>
            </w:tcBorders>
            <w:shd w:val="clear" w:color="auto" w:fill="99CCFF"/>
            <w:noWrap/>
            <w:vAlign w:val="center"/>
          </w:tcPr>
          <w:p w:rsidR="00351E5B" w:rsidRPr="00A50C70" w:rsidRDefault="00351E5B" w:rsidP="00F65CC5">
            <w:pPr>
              <w:jc w:val="center"/>
              <w:rPr>
                <w:rFonts w:ascii="Calibri" w:eastAsiaTheme="minorEastAsia" w:hAnsi="Calibri" w:cs="Calibri"/>
                <w:b/>
                <w:bCs/>
                <w:color w:val="000000"/>
                <w:szCs w:val="20"/>
              </w:rPr>
            </w:pPr>
            <w:r w:rsidRPr="00A50C70">
              <w:rPr>
                <w:rFonts w:ascii="Calibri" w:eastAsiaTheme="minorEastAsia" w:hAnsi="Calibri" w:cs="Calibri"/>
                <w:b/>
                <w:bCs/>
                <w:color w:val="000000"/>
                <w:szCs w:val="20"/>
              </w:rPr>
              <w:t>Podobszar</w:t>
            </w:r>
          </w:p>
        </w:tc>
        <w:tc>
          <w:tcPr>
            <w:tcW w:w="2410" w:type="dxa"/>
            <w:tcBorders>
              <w:top w:val="single" w:sz="4" w:space="0" w:color="auto"/>
              <w:left w:val="nil"/>
              <w:bottom w:val="single" w:sz="4" w:space="0" w:color="auto"/>
              <w:right w:val="single" w:sz="4" w:space="0" w:color="auto"/>
            </w:tcBorders>
            <w:shd w:val="clear" w:color="auto" w:fill="99CCFF"/>
            <w:noWrap/>
            <w:vAlign w:val="bottom"/>
          </w:tcPr>
          <w:p w:rsidR="00351E5B" w:rsidRPr="00A50C70" w:rsidRDefault="00351E5B" w:rsidP="00915EAA">
            <w:pPr>
              <w:jc w:val="center"/>
              <w:rPr>
                <w:rFonts w:ascii="Calibri" w:eastAsiaTheme="minorEastAsia" w:hAnsi="Calibri" w:cs="Calibri"/>
                <w:b/>
                <w:bCs/>
                <w:color w:val="000000"/>
                <w:szCs w:val="20"/>
              </w:rPr>
            </w:pPr>
            <w:r>
              <w:rPr>
                <w:rFonts w:ascii="Calibri" w:eastAsiaTheme="minorEastAsia" w:hAnsi="Calibri" w:cs="Calibri"/>
                <w:b/>
                <w:bCs/>
                <w:color w:val="000000"/>
                <w:szCs w:val="20"/>
              </w:rPr>
              <w:t>Osoby doprowadzone do Izby Wytrzeźwień</w:t>
            </w:r>
          </w:p>
        </w:tc>
        <w:tc>
          <w:tcPr>
            <w:tcW w:w="2552" w:type="dxa"/>
            <w:tcBorders>
              <w:top w:val="single" w:sz="4" w:space="0" w:color="auto"/>
              <w:left w:val="nil"/>
              <w:bottom w:val="single" w:sz="4" w:space="0" w:color="auto"/>
              <w:right w:val="single" w:sz="4" w:space="0" w:color="auto"/>
            </w:tcBorders>
            <w:shd w:val="clear" w:color="auto" w:fill="99CCFF"/>
            <w:noWrap/>
            <w:vAlign w:val="bottom"/>
          </w:tcPr>
          <w:p w:rsidR="00351E5B" w:rsidRPr="00A50C70" w:rsidRDefault="00351E5B" w:rsidP="00915EAA">
            <w:pPr>
              <w:jc w:val="center"/>
              <w:rPr>
                <w:rFonts w:ascii="Calibri" w:eastAsiaTheme="minorEastAsia" w:hAnsi="Calibri" w:cs="Calibri"/>
                <w:b/>
                <w:bCs/>
                <w:color w:val="000000"/>
                <w:szCs w:val="20"/>
              </w:rPr>
            </w:pPr>
            <w:r>
              <w:rPr>
                <w:rFonts w:ascii="Calibri" w:eastAsiaTheme="minorEastAsia" w:hAnsi="Calibri" w:cs="Calibri"/>
                <w:b/>
                <w:bCs/>
                <w:color w:val="000000"/>
                <w:szCs w:val="20"/>
              </w:rPr>
              <w:t>Osoby skierowane do leczenia przez MKRPA</w:t>
            </w:r>
          </w:p>
        </w:tc>
        <w:tc>
          <w:tcPr>
            <w:tcW w:w="2477" w:type="dxa"/>
            <w:tcBorders>
              <w:top w:val="single" w:sz="4" w:space="0" w:color="auto"/>
              <w:left w:val="nil"/>
              <w:bottom w:val="single" w:sz="4" w:space="0" w:color="auto"/>
              <w:right w:val="single" w:sz="4" w:space="0" w:color="auto"/>
            </w:tcBorders>
            <w:shd w:val="clear" w:color="auto" w:fill="99CCFF"/>
            <w:noWrap/>
            <w:vAlign w:val="bottom"/>
          </w:tcPr>
          <w:p w:rsidR="00351E5B" w:rsidRPr="00A50C70" w:rsidRDefault="00351E5B" w:rsidP="00915EAA">
            <w:pPr>
              <w:jc w:val="center"/>
              <w:rPr>
                <w:rFonts w:ascii="Calibri" w:eastAsiaTheme="minorEastAsia" w:hAnsi="Calibri" w:cs="Calibri"/>
                <w:b/>
                <w:bCs/>
                <w:color w:val="000000"/>
                <w:szCs w:val="20"/>
              </w:rPr>
            </w:pPr>
            <w:r>
              <w:rPr>
                <w:rFonts w:ascii="Calibri" w:eastAsiaTheme="minorEastAsia" w:hAnsi="Calibri" w:cs="Calibri"/>
                <w:b/>
                <w:bCs/>
                <w:color w:val="000000"/>
                <w:szCs w:val="20"/>
              </w:rPr>
              <w:t>Osoby korzystające z oferty terapeutycznej</w:t>
            </w:r>
          </w:p>
        </w:tc>
      </w:tr>
      <w:tr w:rsidR="00351E5B" w:rsidRPr="00A50C70" w:rsidTr="00645C17">
        <w:trPr>
          <w:trHeight w:val="285"/>
        </w:trPr>
        <w:tc>
          <w:tcPr>
            <w:tcW w:w="1771" w:type="dxa"/>
            <w:tcBorders>
              <w:top w:val="nil"/>
              <w:left w:val="single" w:sz="4" w:space="0" w:color="auto"/>
              <w:bottom w:val="single" w:sz="4" w:space="0" w:color="auto"/>
              <w:right w:val="single" w:sz="4" w:space="0" w:color="auto"/>
            </w:tcBorders>
            <w:vAlign w:val="bottom"/>
          </w:tcPr>
          <w:p w:rsidR="00351E5B" w:rsidRPr="00A50C70" w:rsidRDefault="00351E5B" w:rsidP="00351E5B">
            <w:pPr>
              <w:rPr>
                <w:rFonts w:ascii="Calibri" w:eastAsiaTheme="minorEastAsia" w:hAnsi="Calibri" w:cs="Calibri"/>
                <w:color w:val="000000"/>
                <w:szCs w:val="20"/>
              </w:rPr>
            </w:pPr>
            <w:r w:rsidRPr="00A50C70">
              <w:rPr>
                <w:rFonts w:ascii="Calibri" w:eastAsiaTheme="minorEastAsia" w:hAnsi="Calibri" w:cs="Calibri"/>
                <w:color w:val="000000"/>
                <w:szCs w:val="20"/>
              </w:rPr>
              <w:t>Bobrek</w:t>
            </w:r>
          </w:p>
        </w:tc>
        <w:tc>
          <w:tcPr>
            <w:tcW w:w="2410" w:type="dxa"/>
            <w:tcBorders>
              <w:top w:val="nil"/>
              <w:left w:val="nil"/>
              <w:bottom w:val="single" w:sz="4" w:space="0" w:color="auto"/>
              <w:right w:val="single" w:sz="4" w:space="0" w:color="auto"/>
            </w:tcBorders>
            <w:noWrap/>
            <w:vAlign w:val="bottom"/>
          </w:tcPr>
          <w:p w:rsidR="00351E5B" w:rsidRPr="00A50C70" w:rsidRDefault="00351E5B" w:rsidP="00351E5B">
            <w:pPr>
              <w:jc w:val="center"/>
              <w:rPr>
                <w:rFonts w:ascii="Calibri" w:eastAsiaTheme="minorEastAsia" w:hAnsi="Calibri" w:cs="Calibri"/>
                <w:color w:val="000000"/>
                <w:szCs w:val="20"/>
              </w:rPr>
            </w:pPr>
            <w:r>
              <w:rPr>
                <w:rFonts w:ascii="Calibri" w:eastAsiaTheme="minorEastAsia" w:hAnsi="Calibri" w:cs="Calibri"/>
                <w:color w:val="000000"/>
                <w:szCs w:val="20"/>
              </w:rPr>
              <w:t>165</w:t>
            </w:r>
          </w:p>
        </w:tc>
        <w:tc>
          <w:tcPr>
            <w:tcW w:w="2552" w:type="dxa"/>
            <w:tcBorders>
              <w:top w:val="nil"/>
              <w:left w:val="nil"/>
              <w:bottom w:val="single" w:sz="4" w:space="0" w:color="auto"/>
              <w:right w:val="single" w:sz="4" w:space="0" w:color="auto"/>
            </w:tcBorders>
            <w:noWrap/>
            <w:vAlign w:val="bottom"/>
          </w:tcPr>
          <w:p w:rsidR="00351E5B" w:rsidRPr="00A50C70" w:rsidRDefault="00351E5B" w:rsidP="00351E5B">
            <w:pPr>
              <w:jc w:val="center"/>
              <w:rPr>
                <w:rFonts w:ascii="Calibri" w:eastAsiaTheme="minorEastAsia" w:hAnsi="Calibri" w:cs="Calibri"/>
                <w:color w:val="000000"/>
                <w:szCs w:val="20"/>
              </w:rPr>
            </w:pPr>
            <w:r>
              <w:rPr>
                <w:rFonts w:ascii="Calibri" w:eastAsiaTheme="minorEastAsia" w:hAnsi="Calibri" w:cs="Calibri"/>
                <w:color w:val="000000"/>
                <w:szCs w:val="20"/>
              </w:rPr>
              <w:t>16</w:t>
            </w:r>
          </w:p>
        </w:tc>
        <w:tc>
          <w:tcPr>
            <w:tcW w:w="2477" w:type="dxa"/>
            <w:tcBorders>
              <w:top w:val="nil"/>
              <w:left w:val="nil"/>
              <w:bottom w:val="single" w:sz="4" w:space="0" w:color="auto"/>
              <w:right w:val="single" w:sz="4" w:space="0" w:color="auto"/>
            </w:tcBorders>
            <w:noWrap/>
            <w:vAlign w:val="bottom"/>
          </w:tcPr>
          <w:p w:rsidR="00351E5B" w:rsidRPr="00A50C70" w:rsidRDefault="00351E5B" w:rsidP="00351E5B">
            <w:pPr>
              <w:jc w:val="center"/>
              <w:rPr>
                <w:rFonts w:ascii="Calibri" w:eastAsiaTheme="minorEastAsia" w:hAnsi="Calibri" w:cs="Calibri"/>
                <w:color w:val="000000"/>
                <w:szCs w:val="20"/>
              </w:rPr>
            </w:pPr>
            <w:r>
              <w:rPr>
                <w:rFonts w:ascii="Calibri" w:eastAsiaTheme="minorEastAsia" w:hAnsi="Calibri" w:cs="Calibri"/>
                <w:color w:val="000000"/>
                <w:szCs w:val="20"/>
              </w:rPr>
              <w:t>12</w:t>
            </w:r>
          </w:p>
        </w:tc>
      </w:tr>
      <w:tr w:rsidR="00351E5B" w:rsidRPr="00A50C70" w:rsidTr="00645C17">
        <w:trPr>
          <w:trHeight w:val="285"/>
        </w:trPr>
        <w:tc>
          <w:tcPr>
            <w:tcW w:w="1771" w:type="dxa"/>
            <w:tcBorders>
              <w:top w:val="nil"/>
              <w:left w:val="single" w:sz="4" w:space="0" w:color="auto"/>
              <w:bottom w:val="single" w:sz="4" w:space="0" w:color="auto"/>
              <w:right w:val="single" w:sz="4" w:space="0" w:color="auto"/>
            </w:tcBorders>
            <w:vAlign w:val="bottom"/>
          </w:tcPr>
          <w:p w:rsidR="00351E5B" w:rsidRPr="00A50C70" w:rsidRDefault="00351E5B" w:rsidP="00351E5B">
            <w:pPr>
              <w:rPr>
                <w:rFonts w:ascii="Calibri" w:eastAsiaTheme="minorEastAsia" w:hAnsi="Calibri" w:cs="Calibri"/>
                <w:color w:val="000000"/>
                <w:szCs w:val="20"/>
              </w:rPr>
            </w:pPr>
            <w:r w:rsidRPr="00A50C70">
              <w:rPr>
                <w:rFonts w:ascii="Calibri" w:eastAsiaTheme="minorEastAsia" w:hAnsi="Calibri" w:cs="Calibri"/>
                <w:color w:val="000000"/>
                <w:szCs w:val="20"/>
              </w:rPr>
              <w:t>Śródmieście</w:t>
            </w:r>
          </w:p>
        </w:tc>
        <w:tc>
          <w:tcPr>
            <w:tcW w:w="2410" w:type="dxa"/>
            <w:tcBorders>
              <w:top w:val="nil"/>
              <w:left w:val="nil"/>
              <w:bottom w:val="single" w:sz="4" w:space="0" w:color="auto"/>
              <w:right w:val="single" w:sz="4" w:space="0" w:color="auto"/>
            </w:tcBorders>
            <w:noWrap/>
            <w:vAlign w:val="bottom"/>
          </w:tcPr>
          <w:p w:rsidR="00351E5B" w:rsidRPr="00A50C70" w:rsidRDefault="00351E5B" w:rsidP="00351E5B">
            <w:pPr>
              <w:jc w:val="center"/>
              <w:rPr>
                <w:rFonts w:ascii="Calibri" w:eastAsiaTheme="minorEastAsia" w:hAnsi="Calibri" w:cs="Calibri"/>
                <w:color w:val="000000"/>
                <w:szCs w:val="20"/>
              </w:rPr>
            </w:pPr>
            <w:r>
              <w:rPr>
                <w:rFonts w:ascii="Calibri" w:eastAsiaTheme="minorEastAsia" w:hAnsi="Calibri" w:cs="Calibri"/>
                <w:color w:val="000000"/>
                <w:szCs w:val="20"/>
              </w:rPr>
              <w:t>260</w:t>
            </w:r>
          </w:p>
        </w:tc>
        <w:tc>
          <w:tcPr>
            <w:tcW w:w="2552" w:type="dxa"/>
            <w:tcBorders>
              <w:top w:val="nil"/>
              <w:left w:val="nil"/>
              <w:bottom w:val="single" w:sz="4" w:space="0" w:color="auto"/>
              <w:right w:val="single" w:sz="4" w:space="0" w:color="auto"/>
            </w:tcBorders>
            <w:noWrap/>
            <w:vAlign w:val="bottom"/>
          </w:tcPr>
          <w:p w:rsidR="00351E5B" w:rsidRPr="00A50C70" w:rsidRDefault="00351E5B" w:rsidP="00351E5B">
            <w:pPr>
              <w:jc w:val="center"/>
              <w:rPr>
                <w:rFonts w:ascii="Calibri" w:eastAsiaTheme="minorEastAsia" w:hAnsi="Calibri" w:cs="Calibri"/>
                <w:color w:val="000000"/>
                <w:szCs w:val="20"/>
              </w:rPr>
            </w:pPr>
            <w:r>
              <w:rPr>
                <w:rFonts w:ascii="Calibri" w:eastAsiaTheme="minorEastAsia" w:hAnsi="Calibri" w:cs="Calibri"/>
                <w:color w:val="000000"/>
                <w:szCs w:val="20"/>
              </w:rPr>
              <w:t>31</w:t>
            </w:r>
          </w:p>
        </w:tc>
        <w:tc>
          <w:tcPr>
            <w:tcW w:w="2477" w:type="dxa"/>
            <w:tcBorders>
              <w:top w:val="nil"/>
              <w:left w:val="nil"/>
              <w:bottom w:val="single" w:sz="4" w:space="0" w:color="auto"/>
              <w:right w:val="single" w:sz="4" w:space="0" w:color="auto"/>
            </w:tcBorders>
            <w:noWrap/>
            <w:vAlign w:val="bottom"/>
          </w:tcPr>
          <w:p w:rsidR="00351E5B" w:rsidRPr="00A50C70" w:rsidRDefault="00351E5B" w:rsidP="00351E5B">
            <w:pPr>
              <w:jc w:val="center"/>
              <w:rPr>
                <w:rFonts w:ascii="Calibri" w:eastAsiaTheme="minorEastAsia" w:hAnsi="Calibri" w:cs="Calibri"/>
                <w:color w:val="000000"/>
                <w:szCs w:val="20"/>
              </w:rPr>
            </w:pPr>
            <w:r>
              <w:rPr>
                <w:rFonts w:ascii="Calibri" w:eastAsiaTheme="minorEastAsia" w:hAnsi="Calibri" w:cs="Calibri"/>
                <w:color w:val="000000"/>
                <w:szCs w:val="20"/>
              </w:rPr>
              <w:t>23</w:t>
            </w:r>
          </w:p>
        </w:tc>
      </w:tr>
      <w:tr w:rsidR="00351E5B" w:rsidRPr="00A50C70" w:rsidTr="00645C17">
        <w:trPr>
          <w:trHeight w:val="285"/>
        </w:trPr>
        <w:tc>
          <w:tcPr>
            <w:tcW w:w="1771" w:type="dxa"/>
            <w:tcBorders>
              <w:top w:val="nil"/>
              <w:left w:val="single" w:sz="4" w:space="0" w:color="auto"/>
              <w:bottom w:val="single" w:sz="4" w:space="0" w:color="auto"/>
              <w:right w:val="single" w:sz="4" w:space="0" w:color="auto"/>
            </w:tcBorders>
            <w:vAlign w:val="bottom"/>
          </w:tcPr>
          <w:p w:rsidR="00351E5B" w:rsidRPr="00A50C70" w:rsidRDefault="00351E5B" w:rsidP="00351E5B">
            <w:pPr>
              <w:rPr>
                <w:rFonts w:ascii="Calibri" w:eastAsiaTheme="minorEastAsia" w:hAnsi="Calibri" w:cs="Calibri"/>
                <w:color w:val="000000"/>
                <w:szCs w:val="20"/>
              </w:rPr>
            </w:pPr>
            <w:r w:rsidRPr="00A50C70">
              <w:rPr>
                <w:rFonts w:ascii="Calibri" w:eastAsiaTheme="minorEastAsia" w:hAnsi="Calibri" w:cs="Calibri"/>
                <w:color w:val="000000"/>
                <w:szCs w:val="20"/>
              </w:rPr>
              <w:t>Śródmieście Zachód</w:t>
            </w:r>
          </w:p>
        </w:tc>
        <w:tc>
          <w:tcPr>
            <w:tcW w:w="2410" w:type="dxa"/>
            <w:tcBorders>
              <w:top w:val="nil"/>
              <w:left w:val="nil"/>
              <w:bottom w:val="single" w:sz="4" w:space="0" w:color="auto"/>
              <w:right w:val="single" w:sz="4" w:space="0" w:color="auto"/>
            </w:tcBorders>
            <w:noWrap/>
            <w:vAlign w:val="bottom"/>
          </w:tcPr>
          <w:p w:rsidR="00351E5B" w:rsidRPr="00A50C70" w:rsidRDefault="00351E5B" w:rsidP="00351E5B">
            <w:pPr>
              <w:jc w:val="center"/>
              <w:rPr>
                <w:rFonts w:ascii="Calibri" w:eastAsiaTheme="minorEastAsia" w:hAnsi="Calibri" w:cs="Calibri"/>
                <w:color w:val="000000"/>
                <w:szCs w:val="20"/>
              </w:rPr>
            </w:pPr>
            <w:r>
              <w:rPr>
                <w:rFonts w:ascii="Calibri" w:eastAsiaTheme="minorEastAsia" w:hAnsi="Calibri" w:cs="Calibri"/>
                <w:color w:val="000000"/>
                <w:szCs w:val="20"/>
              </w:rPr>
              <w:t>123</w:t>
            </w:r>
          </w:p>
        </w:tc>
        <w:tc>
          <w:tcPr>
            <w:tcW w:w="2552" w:type="dxa"/>
            <w:tcBorders>
              <w:top w:val="nil"/>
              <w:left w:val="nil"/>
              <w:bottom w:val="single" w:sz="4" w:space="0" w:color="auto"/>
              <w:right w:val="single" w:sz="4" w:space="0" w:color="auto"/>
            </w:tcBorders>
            <w:noWrap/>
            <w:vAlign w:val="bottom"/>
          </w:tcPr>
          <w:p w:rsidR="00351E5B" w:rsidRPr="00A50C70" w:rsidRDefault="00351E5B" w:rsidP="00351E5B">
            <w:pPr>
              <w:jc w:val="center"/>
              <w:rPr>
                <w:rFonts w:ascii="Calibri" w:eastAsiaTheme="minorEastAsia" w:hAnsi="Calibri" w:cs="Calibri"/>
                <w:color w:val="000000"/>
                <w:szCs w:val="20"/>
              </w:rPr>
            </w:pPr>
            <w:r>
              <w:rPr>
                <w:rFonts w:ascii="Calibri" w:eastAsiaTheme="minorEastAsia" w:hAnsi="Calibri" w:cs="Calibri"/>
                <w:color w:val="000000"/>
                <w:szCs w:val="20"/>
              </w:rPr>
              <w:t>18</w:t>
            </w:r>
          </w:p>
        </w:tc>
        <w:tc>
          <w:tcPr>
            <w:tcW w:w="2477" w:type="dxa"/>
            <w:tcBorders>
              <w:top w:val="nil"/>
              <w:left w:val="nil"/>
              <w:bottom w:val="single" w:sz="4" w:space="0" w:color="auto"/>
              <w:right w:val="single" w:sz="4" w:space="0" w:color="auto"/>
            </w:tcBorders>
            <w:noWrap/>
            <w:vAlign w:val="bottom"/>
          </w:tcPr>
          <w:p w:rsidR="00351E5B" w:rsidRPr="00A50C70" w:rsidRDefault="00351E5B" w:rsidP="00351E5B">
            <w:pPr>
              <w:jc w:val="center"/>
              <w:rPr>
                <w:rFonts w:ascii="Calibri" w:eastAsiaTheme="minorEastAsia" w:hAnsi="Calibri" w:cs="Calibri"/>
                <w:color w:val="000000"/>
                <w:szCs w:val="20"/>
              </w:rPr>
            </w:pPr>
            <w:r>
              <w:rPr>
                <w:rFonts w:ascii="Calibri" w:eastAsiaTheme="minorEastAsia" w:hAnsi="Calibri" w:cs="Calibri"/>
                <w:color w:val="000000"/>
                <w:szCs w:val="20"/>
              </w:rPr>
              <w:t>17</w:t>
            </w:r>
          </w:p>
        </w:tc>
      </w:tr>
      <w:tr w:rsidR="00351E5B" w:rsidRPr="00A50C70" w:rsidTr="00645C17">
        <w:trPr>
          <w:trHeight w:val="285"/>
        </w:trPr>
        <w:tc>
          <w:tcPr>
            <w:tcW w:w="1771" w:type="dxa"/>
            <w:tcBorders>
              <w:top w:val="nil"/>
              <w:left w:val="single" w:sz="4" w:space="0" w:color="auto"/>
              <w:bottom w:val="single" w:sz="4" w:space="0" w:color="auto"/>
              <w:right w:val="single" w:sz="4" w:space="0" w:color="auto"/>
            </w:tcBorders>
            <w:vAlign w:val="bottom"/>
          </w:tcPr>
          <w:p w:rsidR="00351E5B" w:rsidRPr="00A50C70" w:rsidRDefault="00351E5B" w:rsidP="00351E5B">
            <w:pPr>
              <w:rPr>
                <w:rFonts w:ascii="Calibri" w:eastAsiaTheme="minorEastAsia" w:hAnsi="Calibri" w:cs="Calibri"/>
                <w:color w:val="000000"/>
                <w:szCs w:val="20"/>
              </w:rPr>
            </w:pPr>
            <w:r w:rsidRPr="00A50C70">
              <w:rPr>
                <w:rFonts w:ascii="Calibri" w:eastAsiaTheme="minorEastAsia" w:hAnsi="Calibri" w:cs="Calibri"/>
                <w:color w:val="000000"/>
                <w:szCs w:val="20"/>
              </w:rPr>
              <w:t>Rozbark</w:t>
            </w:r>
          </w:p>
        </w:tc>
        <w:tc>
          <w:tcPr>
            <w:tcW w:w="2410" w:type="dxa"/>
            <w:tcBorders>
              <w:top w:val="nil"/>
              <w:left w:val="nil"/>
              <w:bottom w:val="single" w:sz="4" w:space="0" w:color="auto"/>
              <w:right w:val="single" w:sz="4" w:space="0" w:color="auto"/>
            </w:tcBorders>
            <w:noWrap/>
            <w:vAlign w:val="bottom"/>
          </w:tcPr>
          <w:p w:rsidR="00351E5B" w:rsidRPr="00A50C70" w:rsidRDefault="00351E5B" w:rsidP="00351E5B">
            <w:pPr>
              <w:jc w:val="center"/>
              <w:rPr>
                <w:rFonts w:ascii="Calibri" w:eastAsiaTheme="minorEastAsia" w:hAnsi="Calibri" w:cs="Calibri"/>
                <w:color w:val="000000"/>
                <w:szCs w:val="20"/>
              </w:rPr>
            </w:pPr>
            <w:r>
              <w:rPr>
                <w:rFonts w:ascii="Calibri" w:eastAsiaTheme="minorEastAsia" w:hAnsi="Calibri" w:cs="Calibri"/>
                <w:color w:val="000000"/>
                <w:szCs w:val="20"/>
              </w:rPr>
              <w:t>182</w:t>
            </w:r>
          </w:p>
        </w:tc>
        <w:tc>
          <w:tcPr>
            <w:tcW w:w="2552" w:type="dxa"/>
            <w:tcBorders>
              <w:top w:val="nil"/>
              <w:left w:val="nil"/>
              <w:bottom w:val="single" w:sz="4" w:space="0" w:color="auto"/>
              <w:right w:val="single" w:sz="4" w:space="0" w:color="auto"/>
            </w:tcBorders>
            <w:noWrap/>
            <w:vAlign w:val="bottom"/>
          </w:tcPr>
          <w:p w:rsidR="00351E5B" w:rsidRPr="00A50C70" w:rsidRDefault="00351E5B" w:rsidP="00351E5B">
            <w:pPr>
              <w:jc w:val="center"/>
              <w:rPr>
                <w:rFonts w:ascii="Calibri" w:eastAsiaTheme="minorEastAsia" w:hAnsi="Calibri" w:cs="Calibri"/>
                <w:color w:val="000000"/>
                <w:szCs w:val="20"/>
              </w:rPr>
            </w:pPr>
            <w:r>
              <w:rPr>
                <w:rFonts w:ascii="Calibri" w:eastAsiaTheme="minorEastAsia" w:hAnsi="Calibri" w:cs="Calibri"/>
                <w:color w:val="000000"/>
                <w:szCs w:val="20"/>
              </w:rPr>
              <w:t>17</w:t>
            </w:r>
          </w:p>
        </w:tc>
        <w:tc>
          <w:tcPr>
            <w:tcW w:w="2477" w:type="dxa"/>
            <w:tcBorders>
              <w:top w:val="nil"/>
              <w:left w:val="nil"/>
              <w:bottom w:val="single" w:sz="4" w:space="0" w:color="auto"/>
              <w:right w:val="single" w:sz="4" w:space="0" w:color="auto"/>
            </w:tcBorders>
            <w:noWrap/>
            <w:vAlign w:val="bottom"/>
          </w:tcPr>
          <w:p w:rsidR="00351E5B" w:rsidRPr="00A50C70" w:rsidRDefault="00351E5B" w:rsidP="00351E5B">
            <w:pPr>
              <w:jc w:val="center"/>
              <w:rPr>
                <w:rFonts w:ascii="Calibri" w:eastAsiaTheme="minorEastAsia" w:hAnsi="Calibri" w:cs="Calibri"/>
                <w:color w:val="000000"/>
                <w:szCs w:val="20"/>
              </w:rPr>
            </w:pPr>
            <w:r>
              <w:rPr>
                <w:rFonts w:ascii="Calibri" w:eastAsiaTheme="minorEastAsia" w:hAnsi="Calibri" w:cs="Calibri"/>
                <w:color w:val="000000"/>
                <w:szCs w:val="20"/>
              </w:rPr>
              <w:t>18</w:t>
            </w:r>
          </w:p>
        </w:tc>
      </w:tr>
      <w:tr w:rsidR="00351E5B" w:rsidRPr="00A50C70" w:rsidTr="00645C17">
        <w:trPr>
          <w:trHeight w:val="285"/>
        </w:trPr>
        <w:tc>
          <w:tcPr>
            <w:tcW w:w="1771" w:type="dxa"/>
            <w:tcBorders>
              <w:top w:val="nil"/>
              <w:left w:val="single" w:sz="4" w:space="0" w:color="auto"/>
              <w:bottom w:val="single" w:sz="4" w:space="0" w:color="auto"/>
              <w:right w:val="single" w:sz="4" w:space="0" w:color="auto"/>
            </w:tcBorders>
            <w:vAlign w:val="bottom"/>
          </w:tcPr>
          <w:p w:rsidR="00351E5B" w:rsidRPr="00A50C70" w:rsidRDefault="00351E5B" w:rsidP="00351E5B">
            <w:pPr>
              <w:rPr>
                <w:rFonts w:ascii="Calibri" w:eastAsiaTheme="minorEastAsia" w:hAnsi="Calibri" w:cs="Calibri"/>
                <w:color w:val="000000"/>
                <w:szCs w:val="20"/>
              </w:rPr>
            </w:pPr>
            <w:r w:rsidRPr="00A50C70">
              <w:rPr>
                <w:rFonts w:ascii="Calibri" w:eastAsiaTheme="minorEastAsia" w:hAnsi="Calibri" w:cs="Calibri"/>
                <w:color w:val="000000"/>
                <w:szCs w:val="20"/>
              </w:rPr>
              <w:t>Śródmieście Północ</w:t>
            </w:r>
          </w:p>
        </w:tc>
        <w:tc>
          <w:tcPr>
            <w:tcW w:w="2410" w:type="dxa"/>
            <w:tcBorders>
              <w:top w:val="nil"/>
              <w:left w:val="nil"/>
              <w:bottom w:val="single" w:sz="4" w:space="0" w:color="auto"/>
              <w:right w:val="single" w:sz="4" w:space="0" w:color="auto"/>
            </w:tcBorders>
            <w:noWrap/>
            <w:vAlign w:val="bottom"/>
          </w:tcPr>
          <w:p w:rsidR="00351E5B" w:rsidRPr="00A50C70" w:rsidRDefault="00351E5B" w:rsidP="00351E5B">
            <w:pPr>
              <w:jc w:val="center"/>
              <w:rPr>
                <w:rFonts w:ascii="Calibri" w:eastAsiaTheme="minorEastAsia" w:hAnsi="Calibri" w:cs="Calibri"/>
                <w:color w:val="000000"/>
                <w:szCs w:val="20"/>
              </w:rPr>
            </w:pPr>
            <w:r>
              <w:rPr>
                <w:rFonts w:ascii="Calibri" w:eastAsiaTheme="minorEastAsia" w:hAnsi="Calibri" w:cs="Calibri"/>
                <w:color w:val="000000"/>
                <w:szCs w:val="20"/>
              </w:rPr>
              <w:t>161</w:t>
            </w:r>
          </w:p>
        </w:tc>
        <w:tc>
          <w:tcPr>
            <w:tcW w:w="2552" w:type="dxa"/>
            <w:tcBorders>
              <w:top w:val="nil"/>
              <w:left w:val="nil"/>
              <w:bottom w:val="single" w:sz="4" w:space="0" w:color="auto"/>
              <w:right w:val="single" w:sz="4" w:space="0" w:color="auto"/>
            </w:tcBorders>
            <w:noWrap/>
            <w:vAlign w:val="bottom"/>
          </w:tcPr>
          <w:p w:rsidR="00351E5B" w:rsidRPr="00A50C70" w:rsidRDefault="00351E5B" w:rsidP="00351E5B">
            <w:pPr>
              <w:jc w:val="center"/>
              <w:rPr>
                <w:rFonts w:ascii="Calibri" w:eastAsiaTheme="minorEastAsia" w:hAnsi="Calibri" w:cs="Calibri"/>
                <w:color w:val="000000"/>
                <w:szCs w:val="20"/>
              </w:rPr>
            </w:pPr>
            <w:r>
              <w:rPr>
                <w:rFonts w:ascii="Calibri" w:eastAsiaTheme="minorEastAsia" w:hAnsi="Calibri" w:cs="Calibri"/>
                <w:color w:val="000000"/>
                <w:szCs w:val="20"/>
              </w:rPr>
              <w:t>21</w:t>
            </w:r>
          </w:p>
        </w:tc>
        <w:tc>
          <w:tcPr>
            <w:tcW w:w="2477" w:type="dxa"/>
            <w:tcBorders>
              <w:top w:val="nil"/>
              <w:left w:val="nil"/>
              <w:bottom w:val="single" w:sz="4" w:space="0" w:color="auto"/>
              <w:right w:val="single" w:sz="4" w:space="0" w:color="auto"/>
            </w:tcBorders>
            <w:noWrap/>
            <w:vAlign w:val="bottom"/>
          </w:tcPr>
          <w:p w:rsidR="00351E5B" w:rsidRPr="00A50C70" w:rsidRDefault="00351E5B" w:rsidP="00351E5B">
            <w:pPr>
              <w:jc w:val="center"/>
              <w:rPr>
                <w:rFonts w:ascii="Calibri" w:eastAsiaTheme="minorEastAsia" w:hAnsi="Calibri" w:cs="Calibri"/>
                <w:color w:val="000000"/>
                <w:szCs w:val="20"/>
              </w:rPr>
            </w:pPr>
            <w:r>
              <w:rPr>
                <w:rFonts w:ascii="Calibri" w:eastAsiaTheme="minorEastAsia" w:hAnsi="Calibri" w:cs="Calibri"/>
                <w:color w:val="000000"/>
                <w:szCs w:val="20"/>
              </w:rPr>
              <w:t>14</w:t>
            </w:r>
          </w:p>
        </w:tc>
      </w:tr>
      <w:tr w:rsidR="00351E5B" w:rsidRPr="00A50C70" w:rsidTr="00645C17">
        <w:trPr>
          <w:trHeight w:val="285"/>
        </w:trPr>
        <w:tc>
          <w:tcPr>
            <w:tcW w:w="1771" w:type="dxa"/>
            <w:tcBorders>
              <w:top w:val="nil"/>
              <w:left w:val="single" w:sz="4" w:space="0" w:color="auto"/>
              <w:bottom w:val="single" w:sz="4" w:space="0" w:color="auto"/>
              <w:right w:val="single" w:sz="4" w:space="0" w:color="auto"/>
            </w:tcBorders>
            <w:vAlign w:val="bottom"/>
          </w:tcPr>
          <w:p w:rsidR="00351E5B" w:rsidRPr="00A50C70" w:rsidRDefault="00351E5B" w:rsidP="00351E5B">
            <w:pPr>
              <w:rPr>
                <w:rFonts w:ascii="Calibri" w:eastAsiaTheme="minorEastAsia" w:hAnsi="Calibri" w:cs="Calibri"/>
                <w:color w:val="000000"/>
                <w:szCs w:val="20"/>
              </w:rPr>
            </w:pPr>
            <w:r w:rsidRPr="00A50C70">
              <w:rPr>
                <w:rFonts w:ascii="Calibri" w:eastAsiaTheme="minorEastAsia" w:hAnsi="Calibri" w:cs="Calibri"/>
                <w:color w:val="000000"/>
                <w:szCs w:val="20"/>
              </w:rPr>
              <w:t>Kolonia Zgorzelec</w:t>
            </w:r>
          </w:p>
        </w:tc>
        <w:tc>
          <w:tcPr>
            <w:tcW w:w="2410" w:type="dxa"/>
            <w:tcBorders>
              <w:top w:val="nil"/>
              <w:left w:val="nil"/>
              <w:bottom w:val="single" w:sz="4" w:space="0" w:color="auto"/>
              <w:right w:val="single" w:sz="4" w:space="0" w:color="auto"/>
            </w:tcBorders>
            <w:noWrap/>
            <w:vAlign w:val="bottom"/>
          </w:tcPr>
          <w:p w:rsidR="00351E5B" w:rsidRPr="00A50C70" w:rsidRDefault="00351E5B" w:rsidP="00351E5B">
            <w:pPr>
              <w:jc w:val="center"/>
              <w:rPr>
                <w:rFonts w:ascii="Calibri" w:eastAsiaTheme="minorEastAsia" w:hAnsi="Calibri" w:cs="Calibri"/>
                <w:color w:val="000000"/>
                <w:szCs w:val="20"/>
              </w:rPr>
            </w:pPr>
            <w:r>
              <w:rPr>
                <w:rFonts w:ascii="Calibri" w:eastAsiaTheme="minorEastAsia" w:hAnsi="Calibri" w:cs="Calibri"/>
                <w:color w:val="000000"/>
                <w:szCs w:val="20"/>
              </w:rPr>
              <w:t>0</w:t>
            </w:r>
          </w:p>
        </w:tc>
        <w:tc>
          <w:tcPr>
            <w:tcW w:w="2552" w:type="dxa"/>
            <w:tcBorders>
              <w:top w:val="nil"/>
              <w:left w:val="nil"/>
              <w:bottom w:val="single" w:sz="4" w:space="0" w:color="auto"/>
              <w:right w:val="single" w:sz="4" w:space="0" w:color="auto"/>
            </w:tcBorders>
            <w:noWrap/>
            <w:vAlign w:val="bottom"/>
          </w:tcPr>
          <w:p w:rsidR="00351E5B" w:rsidRPr="00A50C70" w:rsidRDefault="00351E5B" w:rsidP="00351E5B">
            <w:pPr>
              <w:jc w:val="center"/>
              <w:rPr>
                <w:rFonts w:ascii="Calibri" w:eastAsiaTheme="minorEastAsia" w:hAnsi="Calibri" w:cs="Calibri"/>
                <w:color w:val="000000"/>
                <w:szCs w:val="20"/>
              </w:rPr>
            </w:pPr>
            <w:r>
              <w:rPr>
                <w:rFonts w:ascii="Calibri" w:eastAsiaTheme="minorEastAsia" w:hAnsi="Calibri" w:cs="Calibri"/>
                <w:color w:val="000000"/>
                <w:szCs w:val="20"/>
              </w:rPr>
              <w:t>0</w:t>
            </w:r>
          </w:p>
        </w:tc>
        <w:tc>
          <w:tcPr>
            <w:tcW w:w="2477" w:type="dxa"/>
            <w:tcBorders>
              <w:top w:val="nil"/>
              <w:left w:val="nil"/>
              <w:bottom w:val="single" w:sz="4" w:space="0" w:color="auto"/>
              <w:right w:val="single" w:sz="4" w:space="0" w:color="auto"/>
            </w:tcBorders>
            <w:noWrap/>
            <w:vAlign w:val="bottom"/>
          </w:tcPr>
          <w:p w:rsidR="00351E5B" w:rsidRPr="00A50C70" w:rsidRDefault="00351E5B" w:rsidP="00351E5B">
            <w:pPr>
              <w:jc w:val="center"/>
              <w:rPr>
                <w:rFonts w:ascii="Calibri" w:eastAsiaTheme="minorEastAsia" w:hAnsi="Calibri" w:cs="Calibri"/>
                <w:color w:val="000000"/>
                <w:szCs w:val="20"/>
              </w:rPr>
            </w:pPr>
            <w:r>
              <w:rPr>
                <w:rFonts w:ascii="Calibri" w:eastAsiaTheme="minorEastAsia" w:hAnsi="Calibri" w:cs="Calibri"/>
                <w:color w:val="000000"/>
                <w:szCs w:val="20"/>
              </w:rPr>
              <w:t>0</w:t>
            </w:r>
          </w:p>
        </w:tc>
      </w:tr>
    </w:tbl>
    <w:p w:rsidR="00351E5B" w:rsidRDefault="00351E5B" w:rsidP="00351E5B">
      <w:pPr>
        <w:autoSpaceDE w:val="0"/>
        <w:autoSpaceDN w:val="0"/>
        <w:adjustRightInd w:val="0"/>
        <w:rPr>
          <w:rFonts w:ascii="Calibri" w:hAnsi="Calibri" w:cs="Calibri"/>
          <w:i/>
          <w:iCs/>
          <w:sz w:val="18"/>
          <w:szCs w:val="18"/>
        </w:rPr>
      </w:pPr>
      <w:r>
        <w:rPr>
          <w:rFonts w:ascii="Calibri" w:hAnsi="Calibri" w:cs="Calibri"/>
          <w:i/>
          <w:iCs/>
          <w:sz w:val="18"/>
          <w:szCs w:val="18"/>
        </w:rPr>
        <w:t>Źródło: Opracowanie na podstawie danych CIKiPU w Bytomiu</w:t>
      </w:r>
    </w:p>
    <w:p w:rsidR="00351E5B" w:rsidRDefault="00351E5B" w:rsidP="00351E5B">
      <w:pPr>
        <w:rPr>
          <w:rFonts w:ascii="Calibri" w:hAnsi="Calibri" w:cs="Calibri"/>
        </w:rPr>
      </w:pPr>
    </w:p>
    <w:p w:rsidR="00351E5B" w:rsidRPr="001D5615" w:rsidRDefault="00351E5B" w:rsidP="00351E5B">
      <w:pPr>
        <w:ind w:firstLine="709"/>
        <w:jc w:val="both"/>
        <w:rPr>
          <w:rFonts w:cstheme="minorHAnsi"/>
          <w:b/>
          <w:color w:val="C00000"/>
          <w:szCs w:val="20"/>
        </w:rPr>
      </w:pPr>
      <w:r w:rsidRPr="00847FC3">
        <w:rPr>
          <w:rFonts w:cstheme="minorHAnsi"/>
          <w:szCs w:val="20"/>
        </w:rPr>
        <w:t>Niestety, problemy związane z zagrożeniem uzależnieniami i eksperymentowaniem z substancjami psychoaktywnymi coraz częściej dotyczą osób nieletnich. W 2015 roku odnotowano wyraźny wzrost osób niepełnoletnich eksperymentujących i uzależnionych od substancji psychoaktywnych korzystających z usług Centrum – odpowiednio 33 osoby nieletnie w 2015 roku, wobec 11 osób w 2014 roku. Podobnie jak w</w:t>
      </w:r>
      <w:r w:rsidR="009A5A91">
        <w:rPr>
          <w:rFonts w:cstheme="minorHAnsi"/>
          <w:szCs w:val="20"/>
        </w:rPr>
        <w:t> </w:t>
      </w:r>
      <w:r w:rsidRPr="00847FC3">
        <w:rPr>
          <w:rFonts w:cstheme="minorHAnsi"/>
          <w:szCs w:val="20"/>
        </w:rPr>
        <w:t xml:space="preserve">przypadku osób pełnoletnich, także w przypadku osób nieletnich widoczne jest pewne nieznaczne zróżnicowanie zjawiska w wyznaczonych podobszarach rewitalizacji. </w:t>
      </w:r>
      <w:r w:rsidRPr="001D5615">
        <w:rPr>
          <w:rFonts w:cstheme="minorHAnsi"/>
          <w:b/>
          <w:color w:val="C00000"/>
          <w:szCs w:val="20"/>
        </w:rPr>
        <w:t xml:space="preserve">Najwięcej młodzieży korzystającej z usług Centrum zamieszkiwało podobszar rewitalizacji Śródmieście. </w:t>
      </w:r>
    </w:p>
    <w:p w:rsidR="00351E5B" w:rsidRDefault="00351E5B" w:rsidP="00351E5B">
      <w:pPr>
        <w:pStyle w:val="Legenda"/>
        <w:spacing w:line="312" w:lineRule="auto"/>
        <w:rPr>
          <w:rFonts w:ascii="Calibri" w:hAnsi="Calibri" w:cs="Calibri"/>
        </w:rPr>
      </w:pPr>
      <w:bookmarkStart w:id="4078" w:name="_Toc202771107"/>
      <w:r>
        <w:rPr>
          <w:rFonts w:ascii="Calibri" w:hAnsi="Calibri" w:cs="Calibri"/>
        </w:rPr>
        <w:lastRenderedPageBreak/>
        <w:t xml:space="preserve">Tabela </w:t>
      </w:r>
      <w:r w:rsidR="003972D8">
        <w:rPr>
          <w:rFonts w:ascii="Calibri" w:hAnsi="Calibri" w:cs="Calibri"/>
        </w:rPr>
        <w:fldChar w:fldCharType="begin"/>
      </w:r>
      <w:r>
        <w:rPr>
          <w:rFonts w:ascii="Calibri" w:hAnsi="Calibri" w:cs="Calibri"/>
        </w:rPr>
        <w:instrText xml:space="preserve"> SEQ Tabela \* ARABIC </w:instrText>
      </w:r>
      <w:r w:rsidR="003972D8">
        <w:rPr>
          <w:rFonts w:ascii="Calibri" w:hAnsi="Calibri" w:cs="Calibri"/>
        </w:rPr>
        <w:fldChar w:fldCharType="separate"/>
      </w:r>
      <w:r w:rsidR="00413FFE">
        <w:rPr>
          <w:rFonts w:ascii="Calibri" w:hAnsi="Calibri" w:cs="Calibri"/>
          <w:noProof/>
        </w:rPr>
        <w:t>13</w:t>
      </w:r>
      <w:r w:rsidR="003972D8">
        <w:rPr>
          <w:rFonts w:ascii="Calibri" w:hAnsi="Calibri" w:cs="Calibri"/>
        </w:rPr>
        <w:fldChar w:fldCharType="end"/>
      </w:r>
      <w:r>
        <w:rPr>
          <w:rFonts w:ascii="Calibri" w:hAnsi="Calibri" w:cs="Calibri"/>
        </w:rPr>
        <w:t>. Osoby nieletnie korzystające z usług CIKiPU w 2015 roku</w:t>
      </w:r>
      <w:bookmarkEnd w:id="4078"/>
    </w:p>
    <w:tbl>
      <w:tblPr>
        <w:tblW w:w="5000" w:type="pct"/>
        <w:tblCellMar>
          <w:left w:w="70" w:type="dxa"/>
          <w:right w:w="70" w:type="dxa"/>
        </w:tblCellMar>
        <w:tblLook w:val="0000"/>
      </w:tblPr>
      <w:tblGrid>
        <w:gridCol w:w="5049"/>
        <w:gridCol w:w="4161"/>
      </w:tblGrid>
      <w:tr w:rsidR="00351E5B" w:rsidRPr="00A50C70" w:rsidTr="007B0DD6">
        <w:trPr>
          <w:trHeight w:val="285"/>
        </w:trPr>
        <w:tc>
          <w:tcPr>
            <w:tcW w:w="2741" w:type="pct"/>
            <w:tcBorders>
              <w:top w:val="single" w:sz="4" w:space="0" w:color="auto"/>
              <w:left w:val="single" w:sz="4" w:space="0" w:color="auto"/>
              <w:bottom w:val="single" w:sz="4" w:space="0" w:color="auto"/>
              <w:right w:val="single" w:sz="4" w:space="0" w:color="auto"/>
            </w:tcBorders>
            <w:shd w:val="clear" w:color="auto" w:fill="99CCFF"/>
            <w:noWrap/>
            <w:vAlign w:val="center"/>
          </w:tcPr>
          <w:p w:rsidR="00351E5B" w:rsidRPr="00A50C70" w:rsidRDefault="00351E5B" w:rsidP="00915EAA">
            <w:pPr>
              <w:jc w:val="center"/>
              <w:rPr>
                <w:rFonts w:ascii="Calibri" w:eastAsiaTheme="minorEastAsia" w:hAnsi="Calibri" w:cs="Calibri"/>
                <w:b/>
                <w:bCs/>
                <w:color w:val="000000"/>
                <w:szCs w:val="20"/>
              </w:rPr>
            </w:pPr>
            <w:r w:rsidRPr="00A50C70">
              <w:rPr>
                <w:rFonts w:ascii="Calibri" w:eastAsiaTheme="minorEastAsia" w:hAnsi="Calibri" w:cs="Calibri"/>
                <w:b/>
                <w:bCs/>
                <w:color w:val="000000"/>
                <w:szCs w:val="20"/>
              </w:rPr>
              <w:t>Podobszar</w:t>
            </w:r>
          </w:p>
        </w:tc>
        <w:tc>
          <w:tcPr>
            <w:tcW w:w="2259" w:type="pct"/>
            <w:tcBorders>
              <w:top w:val="single" w:sz="4" w:space="0" w:color="auto"/>
              <w:left w:val="nil"/>
              <w:bottom w:val="single" w:sz="4" w:space="0" w:color="auto"/>
              <w:right w:val="single" w:sz="4" w:space="0" w:color="auto"/>
            </w:tcBorders>
            <w:shd w:val="clear" w:color="auto" w:fill="99CCFF"/>
            <w:noWrap/>
            <w:vAlign w:val="center"/>
          </w:tcPr>
          <w:p w:rsidR="00351E5B" w:rsidRPr="00A50C70" w:rsidRDefault="00351E5B" w:rsidP="00915EAA">
            <w:pPr>
              <w:jc w:val="center"/>
              <w:rPr>
                <w:rFonts w:ascii="Calibri" w:eastAsiaTheme="minorEastAsia" w:hAnsi="Calibri" w:cs="Calibri"/>
                <w:b/>
                <w:bCs/>
                <w:color w:val="000000"/>
                <w:szCs w:val="20"/>
              </w:rPr>
            </w:pPr>
            <w:r>
              <w:rPr>
                <w:rFonts w:ascii="Calibri" w:eastAsiaTheme="minorEastAsia" w:hAnsi="Calibri" w:cs="Calibri"/>
                <w:b/>
                <w:bCs/>
                <w:color w:val="000000"/>
                <w:szCs w:val="20"/>
              </w:rPr>
              <w:t>Liczba osób</w:t>
            </w:r>
          </w:p>
        </w:tc>
      </w:tr>
      <w:tr w:rsidR="00351E5B" w:rsidRPr="00A50C70" w:rsidTr="007B0DD6">
        <w:trPr>
          <w:trHeight w:val="285"/>
        </w:trPr>
        <w:tc>
          <w:tcPr>
            <w:tcW w:w="2741" w:type="pct"/>
            <w:tcBorders>
              <w:top w:val="nil"/>
              <w:left w:val="single" w:sz="4" w:space="0" w:color="auto"/>
              <w:bottom w:val="single" w:sz="4" w:space="0" w:color="auto"/>
              <w:right w:val="single" w:sz="4" w:space="0" w:color="auto"/>
            </w:tcBorders>
            <w:vAlign w:val="bottom"/>
          </w:tcPr>
          <w:p w:rsidR="00351E5B" w:rsidRPr="00A50C70" w:rsidRDefault="00351E5B" w:rsidP="00351E5B">
            <w:pPr>
              <w:rPr>
                <w:rFonts w:ascii="Calibri" w:eastAsiaTheme="minorEastAsia" w:hAnsi="Calibri" w:cs="Calibri"/>
                <w:color w:val="000000"/>
                <w:szCs w:val="20"/>
              </w:rPr>
            </w:pPr>
            <w:r w:rsidRPr="00A50C70">
              <w:rPr>
                <w:rFonts w:ascii="Calibri" w:eastAsiaTheme="minorEastAsia" w:hAnsi="Calibri" w:cs="Calibri"/>
                <w:color w:val="000000"/>
                <w:szCs w:val="20"/>
              </w:rPr>
              <w:t>Bobrek</w:t>
            </w:r>
          </w:p>
        </w:tc>
        <w:tc>
          <w:tcPr>
            <w:tcW w:w="2259" w:type="pct"/>
            <w:tcBorders>
              <w:top w:val="nil"/>
              <w:left w:val="nil"/>
              <w:bottom w:val="single" w:sz="4" w:space="0" w:color="auto"/>
              <w:right w:val="single" w:sz="4" w:space="0" w:color="auto"/>
            </w:tcBorders>
            <w:noWrap/>
            <w:vAlign w:val="bottom"/>
          </w:tcPr>
          <w:p w:rsidR="00351E5B" w:rsidRPr="00A50C70" w:rsidRDefault="00351E5B" w:rsidP="00351E5B">
            <w:pPr>
              <w:jc w:val="center"/>
              <w:rPr>
                <w:rFonts w:ascii="Calibri" w:eastAsiaTheme="minorEastAsia" w:hAnsi="Calibri" w:cs="Calibri"/>
                <w:color w:val="000000"/>
                <w:szCs w:val="20"/>
              </w:rPr>
            </w:pPr>
            <w:r>
              <w:rPr>
                <w:rFonts w:ascii="Calibri" w:eastAsiaTheme="minorEastAsia" w:hAnsi="Calibri" w:cs="Calibri"/>
                <w:color w:val="000000"/>
                <w:szCs w:val="20"/>
              </w:rPr>
              <w:t>3</w:t>
            </w:r>
          </w:p>
        </w:tc>
      </w:tr>
      <w:tr w:rsidR="00351E5B" w:rsidRPr="00A50C70" w:rsidTr="007B0DD6">
        <w:trPr>
          <w:trHeight w:val="285"/>
        </w:trPr>
        <w:tc>
          <w:tcPr>
            <w:tcW w:w="2741" w:type="pct"/>
            <w:tcBorders>
              <w:top w:val="nil"/>
              <w:left w:val="single" w:sz="4" w:space="0" w:color="auto"/>
              <w:bottom w:val="single" w:sz="4" w:space="0" w:color="auto"/>
              <w:right w:val="single" w:sz="4" w:space="0" w:color="auto"/>
            </w:tcBorders>
            <w:vAlign w:val="bottom"/>
          </w:tcPr>
          <w:p w:rsidR="00351E5B" w:rsidRPr="00A50C70" w:rsidRDefault="00351E5B" w:rsidP="00351E5B">
            <w:pPr>
              <w:rPr>
                <w:rFonts w:ascii="Calibri" w:eastAsiaTheme="minorEastAsia" w:hAnsi="Calibri" w:cs="Calibri"/>
                <w:color w:val="000000"/>
                <w:szCs w:val="20"/>
              </w:rPr>
            </w:pPr>
            <w:r w:rsidRPr="00A50C70">
              <w:rPr>
                <w:rFonts w:ascii="Calibri" w:eastAsiaTheme="minorEastAsia" w:hAnsi="Calibri" w:cs="Calibri"/>
                <w:color w:val="000000"/>
                <w:szCs w:val="20"/>
              </w:rPr>
              <w:t>Śródmieście</w:t>
            </w:r>
          </w:p>
        </w:tc>
        <w:tc>
          <w:tcPr>
            <w:tcW w:w="2259" w:type="pct"/>
            <w:tcBorders>
              <w:top w:val="nil"/>
              <w:left w:val="nil"/>
              <w:bottom w:val="single" w:sz="4" w:space="0" w:color="auto"/>
              <w:right w:val="single" w:sz="4" w:space="0" w:color="auto"/>
            </w:tcBorders>
            <w:noWrap/>
            <w:vAlign w:val="bottom"/>
          </w:tcPr>
          <w:p w:rsidR="00351E5B" w:rsidRPr="00A50C70" w:rsidRDefault="00351E5B" w:rsidP="00351E5B">
            <w:pPr>
              <w:jc w:val="center"/>
              <w:rPr>
                <w:rFonts w:ascii="Calibri" w:eastAsiaTheme="minorEastAsia" w:hAnsi="Calibri" w:cs="Calibri"/>
                <w:color w:val="000000"/>
                <w:szCs w:val="20"/>
              </w:rPr>
            </w:pPr>
            <w:r>
              <w:rPr>
                <w:rFonts w:ascii="Calibri" w:eastAsiaTheme="minorEastAsia" w:hAnsi="Calibri" w:cs="Calibri"/>
                <w:color w:val="000000"/>
                <w:szCs w:val="20"/>
              </w:rPr>
              <w:t>8</w:t>
            </w:r>
          </w:p>
        </w:tc>
      </w:tr>
      <w:tr w:rsidR="00351E5B" w:rsidRPr="00A50C70" w:rsidTr="007B0DD6">
        <w:trPr>
          <w:trHeight w:val="285"/>
        </w:trPr>
        <w:tc>
          <w:tcPr>
            <w:tcW w:w="2741" w:type="pct"/>
            <w:tcBorders>
              <w:top w:val="nil"/>
              <w:left w:val="single" w:sz="4" w:space="0" w:color="auto"/>
              <w:bottom w:val="single" w:sz="4" w:space="0" w:color="auto"/>
              <w:right w:val="single" w:sz="4" w:space="0" w:color="auto"/>
            </w:tcBorders>
            <w:vAlign w:val="bottom"/>
          </w:tcPr>
          <w:p w:rsidR="00351E5B" w:rsidRPr="00A50C70" w:rsidRDefault="00351E5B" w:rsidP="00351E5B">
            <w:pPr>
              <w:rPr>
                <w:rFonts w:ascii="Calibri" w:eastAsiaTheme="minorEastAsia" w:hAnsi="Calibri" w:cs="Calibri"/>
                <w:color w:val="000000"/>
                <w:szCs w:val="20"/>
              </w:rPr>
            </w:pPr>
            <w:r w:rsidRPr="00A50C70">
              <w:rPr>
                <w:rFonts w:ascii="Calibri" w:eastAsiaTheme="minorEastAsia" w:hAnsi="Calibri" w:cs="Calibri"/>
                <w:color w:val="000000"/>
                <w:szCs w:val="20"/>
              </w:rPr>
              <w:t>Śródmieście Zachód</w:t>
            </w:r>
          </w:p>
        </w:tc>
        <w:tc>
          <w:tcPr>
            <w:tcW w:w="2259" w:type="pct"/>
            <w:tcBorders>
              <w:top w:val="nil"/>
              <w:left w:val="nil"/>
              <w:bottom w:val="single" w:sz="4" w:space="0" w:color="auto"/>
              <w:right w:val="single" w:sz="4" w:space="0" w:color="auto"/>
            </w:tcBorders>
            <w:noWrap/>
            <w:vAlign w:val="bottom"/>
          </w:tcPr>
          <w:p w:rsidR="00351E5B" w:rsidRPr="00A50C70" w:rsidRDefault="00351E5B" w:rsidP="00351E5B">
            <w:pPr>
              <w:jc w:val="center"/>
              <w:rPr>
                <w:rFonts w:ascii="Calibri" w:eastAsiaTheme="minorEastAsia" w:hAnsi="Calibri" w:cs="Calibri"/>
                <w:color w:val="000000"/>
                <w:szCs w:val="20"/>
              </w:rPr>
            </w:pPr>
            <w:r>
              <w:rPr>
                <w:rFonts w:ascii="Calibri" w:eastAsiaTheme="minorEastAsia" w:hAnsi="Calibri" w:cs="Calibri"/>
                <w:color w:val="000000"/>
                <w:szCs w:val="20"/>
              </w:rPr>
              <w:t>0</w:t>
            </w:r>
          </w:p>
        </w:tc>
      </w:tr>
      <w:tr w:rsidR="00351E5B" w:rsidRPr="00A50C70" w:rsidTr="007B0DD6">
        <w:trPr>
          <w:trHeight w:val="285"/>
        </w:trPr>
        <w:tc>
          <w:tcPr>
            <w:tcW w:w="2741" w:type="pct"/>
            <w:tcBorders>
              <w:top w:val="nil"/>
              <w:left w:val="single" w:sz="4" w:space="0" w:color="auto"/>
              <w:bottom w:val="single" w:sz="4" w:space="0" w:color="auto"/>
              <w:right w:val="single" w:sz="4" w:space="0" w:color="auto"/>
            </w:tcBorders>
            <w:vAlign w:val="bottom"/>
          </w:tcPr>
          <w:p w:rsidR="00351E5B" w:rsidRPr="00A50C70" w:rsidRDefault="00351E5B" w:rsidP="00351E5B">
            <w:pPr>
              <w:rPr>
                <w:rFonts w:ascii="Calibri" w:eastAsiaTheme="minorEastAsia" w:hAnsi="Calibri" w:cs="Calibri"/>
                <w:color w:val="000000"/>
                <w:szCs w:val="20"/>
              </w:rPr>
            </w:pPr>
            <w:r w:rsidRPr="00A50C70">
              <w:rPr>
                <w:rFonts w:ascii="Calibri" w:eastAsiaTheme="minorEastAsia" w:hAnsi="Calibri" w:cs="Calibri"/>
                <w:color w:val="000000"/>
                <w:szCs w:val="20"/>
              </w:rPr>
              <w:t>Rozbark</w:t>
            </w:r>
          </w:p>
        </w:tc>
        <w:tc>
          <w:tcPr>
            <w:tcW w:w="2259" w:type="pct"/>
            <w:tcBorders>
              <w:top w:val="nil"/>
              <w:left w:val="nil"/>
              <w:bottom w:val="single" w:sz="4" w:space="0" w:color="auto"/>
              <w:right w:val="single" w:sz="4" w:space="0" w:color="auto"/>
            </w:tcBorders>
            <w:noWrap/>
            <w:vAlign w:val="bottom"/>
          </w:tcPr>
          <w:p w:rsidR="00351E5B" w:rsidRPr="00A50C70" w:rsidRDefault="00351E5B" w:rsidP="00351E5B">
            <w:pPr>
              <w:jc w:val="center"/>
              <w:rPr>
                <w:rFonts w:ascii="Calibri" w:eastAsiaTheme="minorEastAsia" w:hAnsi="Calibri" w:cs="Calibri"/>
                <w:color w:val="000000"/>
                <w:szCs w:val="20"/>
              </w:rPr>
            </w:pPr>
            <w:r>
              <w:rPr>
                <w:rFonts w:ascii="Calibri" w:eastAsiaTheme="minorEastAsia" w:hAnsi="Calibri" w:cs="Calibri"/>
                <w:color w:val="000000"/>
                <w:szCs w:val="20"/>
              </w:rPr>
              <w:t>3</w:t>
            </w:r>
          </w:p>
        </w:tc>
      </w:tr>
      <w:tr w:rsidR="00351E5B" w:rsidRPr="00A50C70" w:rsidTr="007B0DD6">
        <w:trPr>
          <w:trHeight w:val="285"/>
        </w:trPr>
        <w:tc>
          <w:tcPr>
            <w:tcW w:w="2741" w:type="pct"/>
            <w:tcBorders>
              <w:top w:val="nil"/>
              <w:left w:val="single" w:sz="4" w:space="0" w:color="auto"/>
              <w:bottom w:val="single" w:sz="4" w:space="0" w:color="auto"/>
              <w:right w:val="single" w:sz="4" w:space="0" w:color="auto"/>
            </w:tcBorders>
            <w:vAlign w:val="bottom"/>
          </w:tcPr>
          <w:p w:rsidR="00351E5B" w:rsidRPr="00A50C70" w:rsidRDefault="00351E5B" w:rsidP="00351E5B">
            <w:pPr>
              <w:rPr>
                <w:rFonts w:ascii="Calibri" w:eastAsiaTheme="minorEastAsia" w:hAnsi="Calibri" w:cs="Calibri"/>
                <w:color w:val="000000"/>
                <w:szCs w:val="20"/>
              </w:rPr>
            </w:pPr>
            <w:r w:rsidRPr="00A50C70">
              <w:rPr>
                <w:rFonts w:ascii="Calibri" w:eastAsiaTheme="minorEastAsia" w:hAnsi="Calibri" w:cs="Calibri"/>
                <w:color w:val="000000"/>
                <w:szCs w:val="20"/>
              </w:rPr>
              <w:t>Śródmieście Północ</w:t>
            </w:r>
          </w:p>
        </w:tc>
        <w:tc>
          <w:tcPr>
            <w:tcW w:w="2259" w:type="pct"/>
            <w:tcBorders>
              <w:top w:val="nil"/>
              <w:left w:val="nil"/>
              <w:bottom w:val="single" w:sz="4" w:space="0" w:color="auto"/>
              <w:right w:val="single" w:sz="4" w:space="0" w:color="auto"/>
            </w:tcBorders>
            <w:noWrap/>
            <w:vAlign w:val="bottom"/>
          </w:tcPr>
          <w:p w:rsidR="00351E5B" w:rsidRPr="00A50C70" w:rsidRDefault="00351E5B" w:rsidP="00351E5B">
            <w:pPr>
              <w:jc w:val="center"/>
              <w:rPr>
                <w:rFonts w:ascii="Calibri" w:eastAsiaTheme="minorEastAsia" w:hAnsi="Calibri" w:cs="Calibri"/>
                <w:color w:val="000000"/>
                <w:szCs w:val="20"/>
              </w:rPr>
            </w:pPr>
            <w:r>
              <w:rPr>
                <w:rFonts w:ascii="Calibri" w:eastAsiaTheme="minorEastAsia" w:hAnsi="Calibri" w:cs="Calibri"/>
                <w:color w:val="000000"/>
                <w:szCs w:val="20"/>
              </w:rPr>
              <w:t>1</w:t>
            </w:r>
          </w:p>
        </w:tc>
      </w:tr>
      <w:tr w:rsidR="00351E5B" w:rsidRPr="00A50C70" w:rsidTr="007B0DD6">
        <w:trPr>
          <w:trHeight w:val="285"/>
        </w:trPr>
        <w:tc>
          <w:tcPr>
            <w:tcW w:w="2741" w:type="pct"/>
            <w:tcBorders>
              <w:top w:val="nil"/>
              <w:left w:val="single" w:sz="4" w:space="0" w:color="auto"/>
              <w:bottom w:val="single" w:sz="4" w:space="0" w:color="auto"/>
              <w:right w:val="single" w:sz="4" w:space="0" w:color="auto"/>
            </w:tcBorders>
            <w:vAlign w:val="bottom"/>
          </w:tcPr>
          <w:p w:rsidR="00351E5B" w:rsidRPr="00A50C70" w:rsidRDefault="00351E5B" w:rsidP="00351E5B">
            <w:pPr>
              <w:rPr>
                <w:rFonts w:ascii="Calibri" w:eastAsiaTheme="minorEastAsia" w:hAnsi="Calibri" w:cs="Calibri"/>
                <w:color w:val="000000"/>
                <w:szCs w:val="20"/>
              </w:rPr>
            </w:pPr>
            <w:r w:rsidRPr="00A50C70">
              <w:rPr>
                <w:rFonts w:ascii="Calibri" w:eastAsiaTheme="minorEastAsia" w:hAnsi="Calibri" w:cs="Calibri"/>
                <w:color w:val="000000"/>
                <w:szCs w:val="20"/>
              </w:rPr>
              <w:t>Kolonia Zgorzelec</w:t>
            </w:r>
          </w:p>
        </w:tc>
        <w:tc>
          <w:tcPr>
            <w:tcW w:w="2259" w:type="pct"/>
            <w:tcBorders>
              <w:top w:val="nil"/>
              <w:left w:val="nil"/>
              <w:bottom w:val="single" w:sz="4" w:space="0" w:color="auto"/>
              <w:right w:val="single" w:sz="4" w:space="0" w:color="auto"/>
            </w:tcBorders>
            <w:noWrap/>
            <w:vAlign w:val="bottom"/>
          </w:tcPr>
          <w:p w:rsidR="00351E5B" w:rsidRPr="00A50C70" w:rsidRDefault="00351E5B" w:rsidP="00351E5B">
            <w:pPr>
              <w:jc w:val="center"/>
              <w:rPr>
                <w:rFonts w:ascii="Calibri" w:eastAsiaTheme="minorEastAsia" w:hAnsi="Calibri" w:cs="Calibri"/>
                <w:color w:val="000000"/>
                <w:szCs w:val="20"/>
              </w:rPr>
            </w:pPr>
            <w:r>
              <w:rPr>
                <w:rFonts w:ascii="Calibri" w:eastAsiaTheme="minorEastAsia" w:hAnsi="Calibri" w:cs="Calibri"/>
                <w:color w:val="000000"/>
                <w:szCs w:val="20"/>
              </w:rPr>
              <w:t>0</w:t>
            </w:r>
          </w:p>
        </w:tc>
      </w:tr>
    </w:tbl>
    <w:p w:rsidR="00351E5B" w:rsidRDefault="00351E5B" w:rsidP="00351E5B">
      <w:pPr>
        <w:autoSpaceDE w:val="0"/>
        <w:autoSpaceDN w:val="0"/>
        <w:adjustRightInd w:val="0"/>
        <w:rPr>
          <w:rFonts w:ascii="Calibri" w:hAnsi="Calibri" w:cs="Calibri"/>
          <w:i/>
          <w:iCs/>
          <w:sz w:val="18"/>
          <w:szCs w:val="18"/>
        </w:rPr>
      </w:pPr>
      <w:r>
        <w:rPr>
          <w:rFonts w:ascii="Calibri" w:hAnsi="Calibri" w:cs="Calibri"/>
          <w:i/>
          <w:iCs/>
          <w:sz w:val="18"/>
          <w:szCs w:val="18"/>
        </w:rPr>
        <w:t>Źródło: Opracowanie na podstawie danych CIKiPU w Bytomiu</w:t>
      </w:r>
    </w:p>
    <w:p w:rsidR="00351E5B" w:rsidRPr="00751C10" w:rsidRDefault="00351E5B" w:rsidP="00351E5B">
      <w:pPr>
        <w:rPr>
          <w:rFonts w:ascii="Calibri" w:hAnsi="Calibri" w:cs="Calibri"/>
          <w:sz w:val="24"/>
        </w:rPr>
      </w:pPr>
    </w:p>
    <w:p w:rsidR="00351E5B" w:rsidRDefault="00351E5B" w:rsidP="00351E5B">
      <w:pPr>
        <w:ind w:firstLine="708"/>
        <w:jc w:val="both"/>
        <w:rPr>
          <w:rFonts w:ascii="Calibri" w:hAnsi="Calibri" w:cs="Calibri"/>
          <w:szCs w:val="20"/>
        </w:rPr>
      </w:pPr>
      <w:r>
        <w:rPr>
          <w:rFonts w:ascii="Calibri" w:hAnsi="Calibri" w:cs="Calibri"/>
          <w:szCs w:val="20"/>
        </w:rPr>
        <w:t xml:space="preserve">Skalę problemu uzależnienia wśród mieszkańców obszarów rewitalizacji obrazuje również częściowo liczba osób (zasiłkobiorców) korzystających z pomocy społecznej z powodu alkoholizmu. Wskaźnik zasiłków udzielonych w związku z uzależnieniami wynosi w Bytomiu 2,6 na 1 tys. osób. Z przeprowadzonych analiz wynika, </w:t>
      </w:r>
      <w:r>
        <w:rPr>
          <w:rFonts w:ascii="Calibri" w:hAnsi="Calibri" w:cs="Calibri"/>
          <w:color w:val="C00000"/>
          <w:szCs w:val="20"/>
        </w:rPr>
        <w:t xml:space="preserve">że </w:t>
      </w:r>
      <w:r>
        <w:rPr>
          <w:rFonts w:ascii="Calibri" w:hAnsi="Calibri" w:cs="Calibri"/>
          <w:b/>
          <w:bCs/>
          <w:color w:val="C00000"/>
          <w:szCs w:val="20"/>
        </w:rPr>
        <w:t>w Rozbarku jest on niemal trzykrotnie wyższy, w Śródmieściu, Śródmieściu Północ i w Bobrku 2 do 2,5 razy wyższy od średniej dla miasta.</w:t>
      </w:r>
      <w:r>
        <w:rPr>
          <w:rFonts w:ascii="Calibri" w:hAnsi="Calibri" w:cs="Calibri"/>
          <w:szCs w:val="20"/>
        </w:rPr>
        <w:t xml:space="preserve"> Po naniesieniu wartości wskaźnika na mapę okazało się, że problem uzależnienia od alkoholu występuje niemal wyłącznie w obszarze rewitalizacji. Czerwone punkty, oznaczające największe nasilenie problemu, skupiają się w wybranych rejonach Śródmieścia, na granicy Śródmieścia z</w:t>
      </w:r>
      <w:r w:rsidR="009A5A91">
        <w:rPr>
          <w:rFonts w:ascii="Calibri" w:hAnsi="Calibri" w:cs="Calibri"/>
          <w:szCs w:val="20"/>
        </w:rPr>
        <w:t> </w:t>
      </w:r>
      <w:r>
        <w:rPr>
          <w:rFonts w:ascii="Calibri" w:hAnsi="Calibri" w:cs="Calibri"/>
          <w:szCs w:val="20"/>
        </w:rPr>
        <w:t>Rozbarkiem i w zachodniej części podobszaru Bobrek.</w:t>
      </w:r>
    </w:p>
    <w:p w:rsidR="00351E5B" w:rsidRDefault="00351E5B" w:rsidP="00351E5B">
      <w:pPr>
        <w:pStyle w:val="Legenda"/>
        <w:spacing w:line="312" w:lineRule="auto"/>
      </w:pPr>
    </w:p>
    <w:p w:rsidR="00351E5B" w:rsidRDefault="00351E5B" w:rsidP="00751C10">
      <w:pPr>
        <w:pStyle w:val="Legenda"/>
        <w:rPr>
          <w:rFonts w:ascii="Calibri" w:hAnsi="Calibri" w:cs="Calibri"/>
        </w:rPr>
      </w:pPr>
      <w:bookmarkStart w:id="4079" w:name="_Toc463277308"/>
      <w:bookmarkStart w:id="4080" w:name="_Toc191972627"/>
      <w:r>
        <w:rPr>
          <w:rFonts w:ascii="Calibri" w:hAnsi="Calibri" w:cs="Calibri"/>
        </w:rPr>
        <w:t xml:space="preserve">Mapa </w:t>
      </w:r>
      <w:r w:rsidR="003972D8">
        <w:rPr>
          <w:rFonts w:ascii="Calibri" w:hAnsi="Calibri" w:cs="Calibri"/>
        </w:rPr>
        <w:fldChar w:fldCharType="begin"/>
      </w:r>
      <w:r>
        <w:rPr>
          <w:rFonts w:ascii="Calibri" w:hAnsi="Calibri" w:cs="Calibri"/>
        </w:rPr>
        <w:instrText xml:space="preserve"> SEQ Mapa \* ARABIC </w:instrText>
      </w:r>
      <w:r w:rsidR="003972D8">
        <w:rPr>
          <w:rFonts w:ascii="Calibri" w:hAnsi="Calibri" w:cs="Calibri"/>
        </w:rPr>
        <w:fldChar w:fldCharType="separate"/>
      </w:r>
      <w:r w:rsidR="00413FFE">
        <w:rPr>
          <w:rFonts w:ascii="Calibri" w:hAnsi="Calibri" w:cs="Calibri"/>
          <w:noProof/>
        </w:rPr>
        <w:t>15</w:t>
      </w:r>
      <w:r w:rsidR="003972D8">
        <w:rPr>
          <w:rFonts w:ascii="Calibri" w:hAnsi="Calibri" w:cs="Calibri"/>
        </w:rPr>
        <w:fldChar w:fldCharType="end"/>
      </w:r>
      <w:r>
        <w:rPr>
          <w:rFonts w:ascii="Calibri" w:hAnsi="Calibri" w:cs="Calibri"/>
        </w:rPr>
        <w:t>. Wskaźnik zasiłków z powodu uzależnień w Bytomiu</w:t>
      </w:r>
      <w:bookmarkEnd w:id="4079"/>
      <w:bookmarkEnd w:id="4080"/>
      <w:r>
        <w:rPr>
          <w:rFonts w:ascii="Calibri" w:hAnsi="Calibri" w:cs="Calibri"/>
        </w:rPr>
        <w:t xml:space="preserve">  </w:t>
      </w:r>
    </w:p>
    <w:p w:rsidR="00351E5B" w:rsidRDefault="009B5277" w:rsidP="00751C10">
      <w:pPr>
        <w:jc w:val="center"/>
      </w:pPr>
      <w:r>
        <w:rPr>
          <w:noProof/>
        </w:rPr>
        <w:drawing>
          <wp:inline distT="0" distB="0" distL="0" distR="0">
            <wp:extent cx="5508000" cy="3901604"/>
            <wp:effectExtent l="19050" t="0" r="0" b="0"/>
            <wp:docPr id="86"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37" cstate="print"/>
                    <a:srcRect/>
                    <a:stretch>
                      <a:fillRect/>
                    </a:stretch>
                  </pic:blipFill>
                  <pic:spPr bwMode="auto">
                    <a:xfrm>
                      <a:off x="0" y="0"/>
                      <a:ext cx="5508000" cy="3901604"/>
                    </a:xfrm>
                    <a:prstGeom prst="rect">
                      <a:avLst/>
                    </a:prstGeom>
                    <a:noFill/>
                    <a:ln w="9525">
                      <a:noFill/>
                      <a:miter lim="800000"/>
                      <a:headEnd/>
                      <a:tailEnd/>
                    </a:ln>
                  </pic:spPr>
                </pic:pic>
              </a:graphicData>
            </a:graphic>
          </wp:inline>
        </w:drawing>
      </w:r>
    </w:p>
    <w:p w:rsidR="00351E5B" w:rsidRDefault="00351E5B" w:rsidP="00351E5B">
      <w:pPr>
        <w:autoSpaceDE w:val="0"/>
        <w:autoSpaceDN w:val="0"/>
        <w:adjustRightInd w:val="0"/>
        <w:rPr>
          <w:rFonts w:ascii="Calibri" w:hAnsi="Calibri" w:cs="Calibri"/>
          <w:i/>
          <w:iCs/>
          <w:sz w:val="18"/>
          <w:szCs w:val="18"/>
        </w:rPr>
      </w:pPr>
      <w:r>
        <w:rPr>
          <w:rFonts w:ascii="Calibri" w:hAnsi="Calibri" w:cs="Calibri"/>
          <w:i/>
          <w:iCs/>
          <w:sz w:val="18"/>
          <w:szCs w:val="18"/>
        </w:rPr>
        <w:t>Źródło: Opracowanie Instytutu Rozwoju Miast na podstawie danych MOPR w Bytomiu</w:t>
      </w:r>
    </w:p>
    <w:p w:rsidR="00351E5B" w:rsidRDefault="00351E5B" w:rsidP="00351E5B"/>
    <w:p w:rsidR="00351E5B" w:rsidRDefault="00075BD7" w:rsidP="00351E5B">
      <w:pPr>
        <w:ind w:firstLine="708"/>
        <w:jc w:val="both"/>
        <w:rPr>
          <w:rFonts w:ascii="Calibri" w:hAnsi="Calibri" w:cs="Calibri"/>
          <w:szCs w:val="20"/>
        </w:rPr>
      </w:pPr>
      <w:r>
        <w:rPr>
          <w:rFonts w:ascii="Calibri" w:hAnsi="Calibri" w:cs="Calibri"/>
          <w:szCs w:val="20"/>
        </w:rPr>
        <w:t xml:space="preserve">Warto podkreślić, iż </w:t>
      </w:r>
      <w:r w:rsidR="00351E5B">
        <w:rPr>
          <w:rFonts w:ascii="Calibri" w:hAnsi="Calibri" w:cs="Calibri"/>
          <w:szCs w:val="20"/>
        </w:rPr>
        <w:t xml:space="preserve">osoba uzależniona generuje poważne problemy dla całej rodziny i krąg osób dotkniętych patologią jest znacznie szerszy, niż liczba uzależnionych. W badaniach ankietowych, służących pogłębieniu diagnozy problemu uzależnień na obszarze rewitalizacji, problem alkoholizmu mieszkańcy stawiali na drugim miejscu, po bezrobociu. Podnosili także kwestię spożywania alkoholu w miejscach publicznych, </w:t>
      </w:r>
      <w:r w:rsidR="00351E5B">
        <w:rPr>
          <w:rFonts w:ascii="Calibri" w:hAnsi="Calibri" w:cs="Calibri"/>
          <w:szCs w:val="20"/>
        </w:rPr>
        <w:lastRenderedPageBreak/>
        <w:t>zauważając jednocześnie, że niekorzystnym zachowaniom sprzyja duża liczba sklepów sprzedających alkohol, szczególnie punktów całodobowych. Oprócz problemu alkoholizmu na obszarze rewitalizacji występuje ze szczególnym nasileniem zjawisko narkomanii.</w:t>
      </w:r>
    </w:p>
    <w:p w:rsidR="00351E5B" w:rsidRDefault="00351E5B" w:rsidP="00351E5B">
      <w:pPr>
        <w:ind w:firstLine="708"/>
        <w:jc w:val="both"/>
        <w:rPr>
          <w:rFonts w:ascii="Calibri" w:hAnsi="Calibri" w:cs="Calibri"/>
          <w:szCs w:val="20"/>
        </w:rPr>
      </w:pPr>
      <w:r>
        <w:rPr>
          <w:rFonts w:ascii="Calibri" w:hAnsi="Calibri" w:cs="Calibri"/>
          <w:szCs w:val="20"/>
        </w:rPr>
        <w:t xml:space="preserve">Przedstawiona powyżej </w:t>
      </w:r>
      <w:r w:rsidRPr="00CD4030">
        <w:rPr>
          <w:rFonts w:ascii="Calibri" w:hAnsi="Calibri" w:cs="Calibri"/>
          <w:b/>
          <w:color w:val="C00000"/>
          <w:szCs w:val="20"/>
        </w:rPr>
        <w:t>skala problemu uzależnienia na podobszarach rewitalizacji uzasadnia wsparcie dostępu do usług społecznych i zdrowotnych ukierunkowanych na wsparcie osób uzależnionych i</w:t>
      </w:r>
      <w:r w:rsidR="00CD4030">
        <w:rPr>
          <w:rFonts w:ascii="Calibri" w:hAnsi="Calibri" w:cs="Calibri"/>
          <w:b/>
          <w:color w:val="C00000"/>
          <w:szCs w:val="20"/>
        </w:rPr>
        <w:t> </w:t>
      </w:r>
      <w:r w:rsidRPr="00CD4030">
        <w:rPr>
          <w:rFonts w:ascii="Calibri" w:hAnsi="Calibri" w:cs="Calibri"/>
          <w:b/>
          <w:color w:val="C00000"/>
          <w:szCs w:val="20"/>
        </w:rPr>
        <w:t>ich rodzin, zwłaszcza osób nieletnich zagrożonych demoralizacją.</w:t>
      </w:r>
      <w:r>
        <w:rPr>
          <w:rFonts w:ascii="Calibri" w:hAnsi="Calibri" w:cs="Calibri"/>
          <w:szCs w:val="20"/>
        </w:rPr>
        <w:t xml:space="preserve"> Powyższe dane wskazują, iż w świetle odczuć społecznych, a także skali wsparcia pomocy społecznej świadczonej w związku z problemem zagrożenia uzależnieniami na obszarze rewitalizacji liczba osób korzystających z usług w jednostkach specjalizujących się w</w:t>
      </w:r>
      <w:r w:rsidR="00075BD7">
        <w:rPr>
          <w:rFonts w:ascii="Calibri" w:hAnsi="Calibri" w:cs="Calibri"/>
          <w:szCs w:val="20"/>
        </w:rPr>
        <w:t> </w:t>
      </w:r>
      <w:r>
        <w:rPr>
          <w:rFonts w:ascii="Calibri" w:hAnsi="Calibri" w:cs="Calibri"/>
          <w:szCs w:val="20"/>
        </w:rPr>
        <w:t xml:space="preserve">przeciwdziałaniu i minimalizacji negatywnych skutków uzależnień jest nadal niewielka. </w:t>
      </w:r>
    </w:p>
    <w:p w:rsidR="00336D80" w:rsidRDefault="00336D80" w:rsidP="00336D80">
      <w:pPr>
        <w:jc w:val="both"/>
        <w:rPr>
          <w:rFonts w:ascii="Calibri" w:hAnsi="Calibri" w:cs="Calibri"/>
          <w:szCs w:val="20"/>
        </w:rPr>
      </w:pPr>
    </w:p>
    <w:p w:rsidR="00336D80" w:rsidRDefault="00336D80" w:rsidP="00336D80">
      <w:pPr>
        <w:pStyle w:val="Legenda"/>
        <w:spacing w:line="312" w:lineRule="auto"/>
        <w:rPr>
          <w:rFonts w:ascii="Calibri" w:hAnsi="Calibri" w:cs="Calibri"/>
        </w:rPr>
      </w:pPr>
      <w:bookmarkStart w:id="4081" w:name="_Toc202771108"/>
      <w:r>
        <w:rPr>
          <w:rFonts w:ascii="Calibri" w:hAnsi="Calibri" w:cs="Calibri"/>
        </w:rPr>
        <w:t xml:space="preserve">Tabela </w:t>
      </w:r>
      <w:r w:rsidR="003972D8">
        <w:rPr>
          <w:rFonts w:ascii="Calibri" w:hAnsi="Calibri" w:cs="Calibri"/>
        </w:rPr>
        <w:fldChar w:fldCharType="begin"/>
      </w:r>
      <w:r>
        <w:rPr>
          <w:rFonts w:ascii="Calibri" w:hAnsi="Calibri" w:cs="Calibri"/>
        </w:rPr>
        <w:instrText xml:space="preserve"> SEQ Tabela \* ARABIC </w:instrText>
      </w:r>
      <w:r w:rsidR="003972D8">
        <w:rPr>
          <w:rFonts w:ascii="Calibri" w:hAnsi="Calibri" w:cs="Calibri"/>
        </w:rPr>
        <w:fldChar w:fldCharType="separate"/>
      </w:r>
      <w:r w:rsidR="00413FFE">
        <w:rPr>
          <w:rFonts w:ascii="Calibri" w:hAnsi="Calibri" w:cs="Calibri"/>
          <w:noProof/>
        </w:rPr>
        <w:t>14</w:t>
      </w:r>
      <w:r w:rsidR="003972D8">
        <w:rPr>
          <w:rFonts w:ascii="Calibri" w:hAnsi="Calibri" w:cs="Calibri"/>
        </w:rPr>
        <w:fldChar w:fldCharType="end"/>
      </w:r>
      <w:r>
        <w:rPr>
          <w:rFonts w:ascii="Calibri" w:hAnsi="Calibri" w:cs="Calibri"/>
        </w:rPr>
        <w:t>. Charakterystyka problemu uzależnień w podobszarach rewitalizacji</w:t>
      </w:r>
      <w:bookmarkEnd w:id="4081"/>
      <w:r>
        <w:rPr>
          <w:rFonts w:ascii="Calibri" w:hAnsi="Calibri" w:cs="Calibri"/>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338"/>
        <w:gridCol w:w="1134"/>
        <w:gridCol w:w="1253"/>
        <w:gridCol w:w="1299"/>
        <w:gridCol w:w="1291"/>
        <w:gridCol w:w="813"/>
        <w:gridCol w:w="1082"/>
      </w:tblGrid>
      <w:tr w:rsidR="00351E5B" w:rsidRPr="007B3430" w:rsidTr="00AB685A">
        <w:trPr>
          <w:cantSplit/>
        </w:trPr>
        <w:tc>
          <w:tcPr>
            <w:tcW w:w="2338" w:type="dxa"/>
            <w:vMerge w:val="restart"/>
            <w:shd w:val="clear" w:color="auto" w:fill="99CCFF"/>
            <w:vAlign w:val="center"/>
          </w:tcPr>
          <w:p w:rsidR="00351E5B" w:rsidRPr="00E20CB5" w:rsidRDefault="00351E5B" w:rsidP="00E20CB5">
            <w:pPr>
              <w:jc w:val="center"/>
              <w:rPr>
                <w:rFonts w:eastAsiaTheme="minorEastAsia" w:cstheme="minorHAnsi"/>
                <w:b/>
                <w:szCs w:val="20"/>
              </w:rPr>
            </w:pPr>
            <w:r w:rsidRPr="00E20CB5">
              <w:rPr>
                <w:rFonts w:eastAsiaTheme="minorEastAsia" w:cstheme="minorHAnsi"/>
                <w:b/>
                <w:szCs w:val="20"/>
              </w:rPr>
              <w:t>Wskaźnik</w:t>
            </w:r>
          </w:p>
        </w:tc>
        <w:tc>
          <w:tcPr>
            <w:tcW w:w="6872" w:type="dxa"/>
            <w:gridSpan w:val="6"/>
            <w:shd w:val="clear" w:color="auto" w:fill="99CCFF"/>
            <w:vAlign w:val="center"/>
          </w:tcPr>
          <w:p w:rsidR="00351E5B" w:rsidRPr="00E20CB5" w:rsidRDefault="00D2748E" w:rsidP="00A545D4">
            <w:pPr>
              <w:spacing w:before="40" w:after="40"/>
              <w:jc w:val="center"/>
              <w:rPr>
                <w:rFonts w:eastAsiaTheme="minorEastAsia" w:cstheme="minorHAnsi"/>
                <w:b/>
                <w:szCs w:val="20"/>
              </w:rPr>
            </w:pPr>
            <w:r w:rsidRPr="00E20CB5">
              <w:rPr>
                <w:rFonts w:eastAsiaTheme="minorEastAsia" w:cstheme="minorHAnsi"/>
                <w:b/>
                <w:szCs w:val="20"/>
              </w:rPr>
              <w:t>OBSZARY REWITALIZACJI</w:t>
            </w:r>
          </w:p>
        </w:tc>
      </w:tr>
      <w:tr w:rsidR="00351E5B" w:rsidRPr="007B3430" w:rsidTr="00AB685A">
        <w:trPr>
          <w:cantSplit/>
        </w:trPr>
        <w:tc>
          <w:tcPr>
            <w:tcW w:w="2338" w:type="dxa"/>
            <w:vMerge/>
            <w:shd w:val="clear" w:color="auto" w:fill="99CCFF"/>
            <w:vAlign w:val="center"/>
          </w:tcPr>
          <w:p w:rsidR="00351E5B" w:rsidRPr="00E20CB5" w:rsidRDefault="00351E5B" w:rsidP="00E20CB5">
            <w:pPr>
              <w:jc w:val="center"/>
              <w:rPr>
                <w:rFonts w:eastAsiaTheme="minorEastAsia" w:cstheme="minorHAnsi"/>
                <w:b/>
                <w:szCs w:val="20"/>
              </w:rPr>
            </w:pPr>
          </w:p>
        </w:tc>
        <w:tc>
          <w:tcPr>
            <w:tcW w:w="1134" w:type="dxa"/>
            <w:shd w:val="clear" w:color="auto" w:fill="99CCFF"/>
            <w:vAlign w:val="center"/>
          </w:tcPr>
          <w:p w:rsidR="00351E5B" w:rsidRPr="00E20CB5" w:rsidRDefault="00351E5B" w:rsidP="00E20CB5">
            <w:pPr>
              <w:jc w:val="center"/>
              <w:rPr>
                <w:rFonts w:eastAsiaTheme="minorEastAsia" w:cstheme="minorHAnsi"/>
                <w:b/>
                <w:szCs w:val="20"/>
              </w:rPr>
            </w:pPr>
            <w:r w:rsidRPr="00E20CB5">
              <w:rPr>
                <w:rFonts w:eastAsiaTheme="minorEastAsia" w:cstheme="minorHAnsi"/>
                <w:b/>
                <w:szCs w:val="20"/>
              </w:rPr>
              <w:t>Bobrek</w:t>
            </w:r>
          </w:p>
        </w:tc>
        <w:tc>
          <w:tcPr>
            <w:tcW w:w="1253" w:type="dxa"/>
            <w:shd w:val="clear" w:color="auto" w:fill="99CCFF"/>
            <w:vAlign w:val="center"/>
          </w:tcPr>
          <w:p w:rsidR="00351E5B" w:rsidRPr="00E20CB5" w:rsidRDefault="00351E5B" w:rsidP="00E20CB5">
            <w:pPr>
              <w:jc w:val="center"/>
              <w:rPr>
                <w:rFonts w:eastAsiaTheme="minorEastAsia" w:cstheme="minorHAnsi"/>
                <w:b/>
                <w:szCs w:val="20"/>
              </w:rPr>
            </w:pPr>
            <w:r w:rsidRPr="00E20CB5">
              <w:rPr>
                <w:rFonts w:eastAsiaTheme="minorEastAsia" w:cstheme="minorHAnsi"/>
                <w:b/>
                <w:szCs w:val="20"/>
              </w:rPr>
              <w:t>Śródmieście</w:t>
            </w:r>
          </w:p>
        </w:tc>
        <w:tc>
          <w:tcPr>
            <w:tcW w:w="0" w:type="auto"/>
            <w:shd w:val="clear" w:color="auto" w:fill="99CCFF"/>
            <w:vAlign w:val="center"/>
          </w:tcPr>
          <w:p w:rsidR="00351E5B" w:rsidRPr="00E20CB5" w:rsidRDefault="00351E5B" w:rsidP="00E20CB5">
            <w:pPr>
              <w:jc w:val="center"/>
              <w:rPr>
                <w:rFonts w:eastAsiaTheme="minorEastAsia" w:cstheme="minorHAnsi"/>
                <w:b/>
                <w:szCs w:val="20"/>
              </w:rPr>
            </w:pPr>
            <w:r w:rsidRPr="00E20CB5">
              <w:rPr>
                <w:rFonts w:eastAsiaTheme="minorEastAsia" w:cstheme="minorHAnsi"/>
                <w:b/>
                <w:szCs w:val="20"/>
              </w:rPr>
              <w:t>Śródmieście Zachód</w:t>
            </w:r>
          </w:p>
        </w:tc>
        <w:tc>
          <w:tcPr>
            <w:tcW w:w="0" w:type="auto"/>
            <w:shd w:val="clear" w:color="auto" w:fill="99CCFF"/>
            <w:vAlign w:val="center"/>
          </w:tcPr>
          <w:p w:rsidR="00351E5B" w:rsidRPr="00E20CB5" w:rsidRDefault="00351E5B" w:rsidP="00E20CB5">
            <w:pPr>
              <w:jc w:val="center"/>
              <w:rPr>
                <w:rFonts w:eastAsiaTheme="minorEastAsia" w:cstheme="minorHAnsi"/>
                <w:b/>
                <w:szCs w:val="20"/>
              </w:rPr>
            </w:pPr>
            <w:r w:rsidRPr="00E20CB5">
              <w:rPr>
                <w:rFonts w:eastAsiaTheme="minorEastAsia" w:cstheme="minorHAnsi"/>
                <w:b/>
                <w:szCs w:val="20"/>
              </w:rPr>
              <w:t>Śródmieście Północ</w:t>
            </w:r>
          </w:p>
        </w:tc>
        <w:tc>
          <w:tcPr>
            <w:tcW w:w="0" w:type="auto"/>
            <w:shd w:val="clear" w:color="auto" w:fill="99CCFF"/>
            <w:vAlign w:val="center"/>
          </w:tcPr>
          <w:p w:rsidR="00351E5B" w:rsidRPr="00E20CB5" w:rsidRDefault="00351E5B" w:rsidP="00E20CB5">
            <w:pPr>
              <w:jc w:val="center"/>
              <w:rPr>
                <w:rFonts w:eastAsiaTheme="minorEastAsia" w:cstheme="minorHAnsi"/>
                <w:b/>
                <w:szCs w:val="20"/>
              </w:rPr>
            </w:pPr>
            <w:r w:rsidRPr="00E20CB5">
              <w:rPr>
                <w:rFonts w:eastAsiaTheme="minorEastAsia" w:cstheme="minorHAnsi"/>
                <w:b/>
                <w:szCs w:val="20"/>
              </w:rPr>
              <w:t>Rozbark</w:t>
            </w:r>
          </w:p>
        </w:tc>
        <w:tc>
          <w:tcPr>
            <w:tcW w:w="0" w:type="auto"/>
            <w:shd w:val="clear" w:color="auto" w:fill="99CCFF"/>
            <w:vAlign w:val="center"/>
          </w:tcPr>
          <w:p w:rsidR="00351E5B" w:rsidRPr="00E20CB5" w:rsidRDefault="00351E5B" w:rsidP="00E20CB5">
            <w:pPr>
              <w:jc w:val="center"/>
              <w:rPr>
                <w:rFonts w:eastAsiaTheme="minorEastAsia" w:cstheme="minorHAnsi"/>
                <w:b/>
                <w:szCs w:val="20"/>
              </w:rPr>
            </w:pPr>
            <w:r w:rsidRPr="00E20CB5">
              <w:rPr>
                <w:rFonts w:eastAsiaTheme="minorEastAsia" w:cstheme="minorHAnsi"/>
                <w:b/>
                <w:szCs w:val="20"/>
              </w:rPr>
              <w:t>Kolonia Zgorzelec</w:t>
            </w:r>
          </w:p>
        </w:tc>
      </w:tr>
      <w:tr w:rsidR="008F4C9A" w:rsidRPr="007B3430" w:rsidTr="00AB685A">
        <w:tc>
          <w:tcPr>
            <w:tcW w:w="2338" w:type="dxa"/>
          </w:tcPr>
          <w:p w:rsidR="008F4C9A" w:rsidRPr="00E33D7F" w:rsidRDefault="008F4C9A" w:rsidP="00AB685A">
            <w:pPr>
              <w:rPr>
                <w:rFonts w:eastAsiaTheme="minorEastAsia" w:cstheme="minorHAnsi"/>
                <w:szCs w:val="20"/>
              </w:rPr>
            </w:pPr>
            <w:r w:rsidRPr="00E33D7F">
              <w:rPr>
                <w:rFonts w:cstheme="minorHAnsi"/>
                <w:szCs w:val="20"/>
              </w:rPr>
              <w:t xml:space="preserve">Liczba osób korzystających z </w:t>
            </w:r>
            <w:r>
              <w:rPr>
                <w:rFonts w:cstheme="minorHAnsi"/>
                <w:szCs w:val="20"/>
              </w:rPr>
              <w:t>pomocy społecznej</w:t>
            </w:r>
            <w:r w:rsidRPr="00E33D7F">
              <w:rPr>
                <w:rFonts w:cstheme="minorHAnsi"/>
                <w:szCs w:val="20"/>
              </w:rPr>
              <w:t xml:space="preserve"> z</w:t>
            </w:r>
            <w:r w:rsidR="00AB685A">
              <w:rPr>
                <w:rFonts w:cstheme="minorHAnsi"/>
                <w:szCs w:val="20"/>
              </w:rPr>
              <w:t> </w:t>
            </w:r>
            <w:r w:rsidRPr="00E33D7F">
              <w:rPr>
                <w:rFonts w:cstheme="minorHAnsi"/>
                <w:szCs w:val="20"/>
              </w:rPr>
              <w:t>powodu alkoholizmu na 1 tys. mieszkańców</w:t>
            </w:r>
          </w:p>
        </w:tc>
        <w:tc>
          <w:tcPr>
            <w:tcW w:w="1134" w:type="dxa"/>
            <w:vAlign w:val="center"/>
          </w:tcPr>
          <w:p w:rsidR="008F4C9A" w:rsidRPr="007B3430" w:rsidRDefault="008F4C9A" w:rsidP="00A649A2">
            <w:pPr>
              <w:jc w:val="center"/>
              <w:rPr>
                <w:rFonts w:eastAsiaTheme="minorEastAsia" w:cstheme="minorHAnsi"/>
                <w:szCs w:val="20"/>
              </w:rPr>
            </w:pPr>
            <w:r>
              <w:rPr>
                <w:rFonts w:eastAsiaTheme="minorEastAsia" w:cstheme="minorHAnsi"/>
                <w:szCs w:val="20"/>
              </w:rPr>
              <w:t>5,6</w:t>
            </w:r>
          </w:p>
        </w:tc>
        <w:tc>
          <w:tcPr>
            <w:tcW w:w="1253" w:type="dxa"/>
            <w:vAlign w:val="center"/>
          </w:tcPr>
          <w:p w:rsidR="008F4C9A" w:rsidRPr="007B3430" w:rsidRDefault="008F4C9A" w:rsidP="00A649A2">
            <w:pPr>
              <w:jc w:val="center"/>
              <w:rPr>
                <w:rFonts w:eastAsiaTheme="minorEastAsia" w:cstheme="minorHAnsi"/>
                <w:szCs w:val="20"/>
              </w:rPr>
            </w:pPr>
            <w:r>
              <w:rPr>
                <w:rFonts w:eastAsiaTheme="minorEastAsia" w:cstheme="minorHAnsi"/>
                <w:szCs w:val="20"/>
              </w:rPr>
              <w:t>6,6</w:t>
            </w:r>
          </w:p>
        </w:tc>
        <w:tc>
          <w:tcPr>
            <w:tcW w:w="0" w:type="auto"/>
            <w:vAlign w:val="center"/>
          </w:tcPr>
          <w:p w:rsidR="008F4C9A" w:rsidRPr="007B3430" w:rsidRDefault="008F4C9A" w:rsidP="00A649A2">
            <w:pPr>
              <w:jc w:val="center"/>
              <w:rPr>
                <w:rFonts w:eastAsiaTheme="minorEastAsia" w:cstheme="minorHAnsi"/>
                <w:szCs w:val="20"/>
              </w:rPr>
            </w:pPr>
            <w:r>
              <w:rPr>
                <w:rFonts w:eastAsiaTheme="minorEastAsia" w:cstheme="minorHAnsi"/>
                <w:szCs w:val="20"/>
              </w:rPr>
              <w:t>3,0</w:t>
            </w:r>
          </w:p>
        </w:tc>
        <w:tc>
          <w:tcPr>
            <w:tcW w:w="0" w:type="auto"/>
            <w:vAlign w:val="center"/>
          </w:tcPr>
          <w:p w:rsidR="008F4C9A" w:rsidRPr="007B3430" w:rsidRDefault="008F4C9A" w:rsidP="00A649A2">
            <w:pPr>
              <w:jc w:val="center"/>
              <w:rPr>
                <w:rFonts w:eastAsiaTheme="minorEastAsia" w:cstheme="minorHAnsi"/>
                <w:szCs w:val="20"/>
              </w:rPr>
            </w:pPr>
            <w:r>
              <w:rPr>
                <w:rFonts w:eastAsiaTheme="minorEastAsia" w:cstheme="minorHAnsi"/>
                <w:szCs w:val="20"/>
              </w:rPr>
              <w:t>6,1</w:t>
            </w:r>
          </w:p>
        </w:tc>
        <w:tc>
          <w:tcPr>
            <w:tcW w:w="0" w:type="auto"/>
            <w:vAlign w:val="center"/>
          </w:tcPr>
          <w:p w:rsidR="008F4C9A" w:rsidRPr="007B3430" w:rsidRDefault="008F4C9A" w:rsidP="00A649A2">
            <w:pPr>
              <w:jc w:val="center"/>
              <w:rPr>
                <w:rFonts w:eastAsiaTheme="minorEastAsia" w:cstheme="minorHAnsi"/>
                <w:szCs w:val="20"/>
              </w:rPr>
            </w:pPr>
            <w:r>
              <w:rPr>
                <w:rFonts w:eastAsiaTheme="minorEastAsia" w:cstheme="minorHAnsi"/>
                <w:szCs w:val="20"/>
              </w:rPr>
              <w:t>7,1</w:t>
            </w:r>
          </w:p>
        </w:tc>
        <w:tc>
          <w:tcPr>
            <w:tcW w:w="0" w:type="auto"/>
            <w:vAlign w:val="center"/>
          </w:tcPr>
          <w:p w:rsidR="008F4C9A" w:rsidRPr="007B3430" w:rsidRDefault="008F4C9A" w:rsidP="00A649A2">
            <w:pPr>
              <w:jc w:val="center"/>
              <w:rPr>
                <w:rFonts w:eastAsiaTheme="minorEastAsia" w:cstheme="minorHAnsi"/>
                <w:szCs w:val="20"/>
              </w:rPr>
            </w:pPr>
            <w:r>
              <w:rPr>
                <w:rFonts w:eastAsiaTheme="minorEastAsia" w:cstheme="minorHAnsi"/>
                <w:szCs w:val="20"/>
              </w:rPr>
              <w:t>0</w:t>
            </w:r>
          </w:p>
        </w:tc>
      </w:tr>
      <w:tr w:rsidR="008F4C9A" w:rsidRPr="007B3430" w:rsidTr="00AB685A">
        <w:tc>
          <w:tcPr>
            <w:tcW w:w="2338" w:type="dxa"/>
          </w:tcPr>
          <w:p w:rsidR="008F4C9A" w:rsidRPr="00703D11" w:rsidRDefault="008F4C9A" w:rsidP="00E20CB5">
            <w:pPr>
              <w:rPr>
                <w:rFonts w:eastAsiaTheme="minorEastAsia" w:cstheme="minorHAnsi"/>
                <w:szCs w:val="20"/>
              </w:rPr>
            </w:pPr>
            <w:r w:rsidRPr="00703D11">
              <w:rPr>
                <w:rFonts w:ascii="Calibri" w:eastAsiaTheme="minorEastAsia" w:hAnsi="Calibri" w:cs="Calibri"/>
                <w:bCs/>
                <w:color w:val="000000"/>
                <w:szCs w:val="20"/>
              </w:rPr>
              <w:t>Liczba osób skierowanych do leczenia w CIKiPU przez MKRPA</w:t>
            </w:r>
          </w:p>
        </w:tc>
        <w:tc>
          <w:tcPr>
            <w:tcW w:w="1134" w:type="dxa"/>
            <w:vAlign w:val="center"/>
          </w:tcPr>
          <w:p w:rsidR="008F4C9A" w:rsidRPr="007B3430" w:rsidRDefault="008F4C9A" w:rsidP="00A649A2">
            <w:pPr>
              <w:jc w:val="center"/>
              <w:rPr>
                <w:rFonts w:eastAsiaTheme="minorEastAsia" w:cstheme="minorHAnsi"/>
                <w:szCs w:val="20"/>
              </w:rPr>
            </w:pPr>
            <w:r>
              <w:rPr>
                <w:rFonts w:eastAsiaTheme="minorEastAsia" w:cstheme="minorHAnsi"/>
                <w:szCs w:val="20"/>
              </w:rPr>
              <w:t>16</w:t>
            </w:r>
          </w:p>
        </w:tc>
        <w:tc>
          <w:tcPr>
            <w:tcW w:w="1253" w:type="dxa"/>
            <w:vAlign w:val="center"/>
          </w:tcPr>
          <w:p w:rsidR="008F4C9A" w:rsidRPr="007B3430" w:rsidRDefault="008F4C9A" w:rsidP="00A649A2">
            <w:pPr>
              <w:jc w:val="center"/>
              <w:rPr>
                <w:rFonts w:eastAsiaTheme="minorEastAsia" w:cstheme="minorHAnsi"/>
                <w:szCs w:val="20"/>
              </w:rPr>
            </w:pPr>
            <w:r>
              <w:rPr>
                <w:rFonts w:eastAsiaTheme="minorEastAsia" w:cstheme="minorHAnsi"/>
                <w:szCs w:val="20"/>
              </w:rPr>
              <w:t>31</w:t>
            </w:r>
          </w:p>
        </w:tc>
        <w:tc>
          <w:tcPr>
            <w:tcW w:w="0" w:type="auto"/>
            <w:vAlign w:val="center"/>
          </w:tcPr>
          <w:p w:rsidR="008F4C9A" w:rsidRPr="007B3430" w:rsidRDefault="008F4C9A" w:rsidP="00A649A2">
            <w:pPr>
              <w:jc w:val="center"/>
              <w:rPr>
                <w:rFonts w:eastAsiaTheme="minorEastAsia" w:cstheme="minorHAnsi"/>
                <w:szCs w:val="20"/>
              </w:rPr>
            </w:pPr>
            <w:r>
              <w:rPr>
                <w:rFonts w:eastAsiaTheme="minorEastAsia" w:cstheme="minorHAnsi"/>
                <w:szCs w:val="20"/>
              </w:rPr>
              <w:t>18</w:t>
            </w:r>
          </w:p>
        </w:tc>
        <w:tc>
          <w:tcPr>
            <w:tcW w:w="0" w:type="auto"/>
            <w:vAlign w:val="center"/>
          </w:tcPr>
          <w:p w:rsidR="008F4C9A" w:rsidRPr="007B3430" w:rsidRDefault="008F4C9A" w:rsidP="00A649A2">
            <w:pPr>
              <w:jc w:val="center"/>
              <w:rPr>
                <w:rFonts w:eastAsiaTheme="minorEastAsia" w:cstheme="minorHAnsi"/>
                <w:szCs w:val="20"/>
              </w:rPr>
            </w:pPr>
            <w:r>
              <w:rPr>
                <w:rFonts w:eastAsiaTheme="minorEastAsia" w:cstheme="minorHAnsi"/>
                <w:szCs w:val="20"/>
              </w:rPr>
              <w:t>21</w:t>
            </w:r>
          </w:p>
        </w:tc>
        <w:tc>
          <w:tcPr>
            <w:tcW w:w="0" w:type="auto"/>
            <w:vAlign w:val="center"/>
          </w:tcPr>
          <w:p w:rsidR="008F4C9A" w:rsidRPr="007B3430" w:rsidRDefault="008F4C9A" w:rsidP="00A649A2">
            <w:pPr>
              <w:jc w:val="center"/>
              <w:rPr>
                <w:rFonts w:eastAsiaTheme="minorEastAsia" w:cstheme="minorHAnsi"/>
                <w:szCs w:val="20"/>
              </w:rPr>
            </w:pPr>
            <w:r>
              <w:rPr>
                <w:rFonts w:eastAsiaTheme="minorEastAsia" w:cstheme="minorHAnsi"/>
                <w:szCs w:val="20"/>
              </w:rPr>
              <w:t>17</w:t>
            </w:r>
          </w:p>
        </w:tc>
        <w:tc>
          <w:tcPr>
            <w:tcW w:w="0" w:type="auto"/>
            <w:vAlign w:val="center"/>
          </w:tcPr>
          <w:p w:rsidR="008F4C9A" w:rsidRPr="007B3430" w:rsidRDefault="008F4C9A" w:rsidP="00A649A2">
            <w:pPr>
              <w:jc w:val="center"/>
              <w:rPr>
                <w:rFonts w:eastAsiaTheme="minorEastAsia" w:cstheme="minorHAnsi"/>
                <w:szCs w:val="20"/>
              </w:rPr>
            </w:pPr>
            <w:r>
              <w:rPr>
                <w:rFonts w:eastAsiaTheme="minorEastAsia" w:cstheme="minorHAnsi"/>
                <w:szCs w:val="20"/>
              </w:rPr>
              <w:t>0</w:t>
            </w:r>
          </w:p>
        </w:tc>
      </w:tr>
    </w:tbl>
    <w:p w:rsidR="007D5A8C" w:rsidRPr="005F27F5" w:rsidRDefault="008F4C9A" w:rsidP="007D5A8C">
      <w:pPr>
        <w:autoSpaceDE w:val="0"/>
        <w:autoSpaceDN w:val="0"/>
        <w:adjustRightInd w:val="0"/>
        <w:rPr>
          <w:rFonts w:eastAsia="Calibri" w:cs="ArialNarrow"/>
          <w:i/>
          <w:sz w:val="18"/>
          <w:szCs w:val="20"/>
        </w:rPr>
      </w:pPr>
      <w:r w:rsidRPr="00600944">
        <w:rPr>
          <w:rFonts w:eastAsia="Calibri" w:cs="ArialNarrow"/>
          <w:i/>
          <w:sz w:val="18"/>
          <w:szCs w:val="20"/>
        </w:rPr>
        <w:t>Źródło: Opracowanie Instytutu Rozwoju Miast</w:t>
      </w:r>
    </w:p>
    <w:p w:rsidR="001C2FD4" w:rsidRPr="00A545D4" w:rsidRDefault="001C2FD4" w:rsidP="001C2FD4">
      <w:pPr>
        <w:rPr>
          <w:sz w:val="18"/>
        </w:rPr>
      </w:pPr>
    </w:p>
    <w:p w:rsidR="001C2FD4" w:rsidRPr="003304DB" w:rsidRDefault="001C2FD4" w:rsidP="00751C10">
      <w:pPr>
        <w:pStyle w:val="Nagwek4"/>
        <w:numPr>
          <w:ilvl w:val="3"/>
          <w:numId w:val="228"/>
        </w:numPr>
        <w:spacing w:before="160"/>
        <w:ind w:left="1077" w:hanging="1077"/>
        <w:jc w:val="both"/>
        <w:rPr>
          <w:i w:val="0"/>
        </w:rPr>
      </w:pPr>
      <w:bookmarkStart w:id="4082" w:name="_Toc461612528"/>
      <w:r w:rsidRPr="003304DB">
        <w:rPr>
          <w:i w:val="0"/>
        </w:rPr>
        <w:t>Bezradność w sprawach opiekuńc</w:t>
      </w:r>
      <w:r w:rsidR="003304DB" w:rsidRPr="003304DB">
        <w:rPr>
          <w:i w:val="0"/>
        </w:rPr>
        <w:t>zo-</w:t>
      </w:r>
      <w:r w:rsidRPr="003304DB">
        <w:rPr>
          <w:i w:val="0"/>
        </w:rPr>
        <w:t>wychowawczych i prowadzenia gospodarstwa domowego</w:t>
      </w:r>
      <w:bookmarkEnd w:id="4082"/>
    </w:p>
    <w:p w:rsidR="006827B5" w:rsidRPr="00751C10" w:rsidRDefault="006827B5" w:rsidP="00500A22">
      <w:pPr>
        <w:ind w:firstLine="709"/>
        <w:jc w:val="both"/>
        <w:rPr>
          <w:sz w:val="16"/>
          <w:szCs w:val="20"/>
        </w:rPr>
      </w:pPr>
    </w:p>
    <w:p w:rsidR="00351E5B" w:rsidRPr="00500A22" w:rsidRDefault="00351E5B" w:rsidP="00751C10">
      <w:pPr>
        <w:ind w:firstLine="709"/>
        <w:jc w:val="both"/>
        <w:rPr>
          <w:szCs w:val="20"/>
        </w:rPr>
      </w:pPr>
      <w:r w:rsidRPr="00500A22">
        <w:rPr>
          <w:szCs w:val="20"/>
        </w:rPr>
        <w:t>Pracownicy pomocy społecznej wielokrotnie spotykają się ze zjawiskiem bezradności w sprawach opiekuńczo-wychowawczych i prowadzenia gospodarstwa domowego. Jak wynika z nazwy, może ona dotyczyć relacji, ale także nieumiejętności prowadzenia gospodarstwa domowego, zapewnienia żywności, odzieży, itp</w:t>
      </w:r>
      <w:r w:rsidRPr="00500A22">
        <w:rPr>
          <w:rStyle w:val="Odwoanieprzypisudolnego"/>
          <w:rFonts w:cs="Calibri"/>
          <w:szCs w:val="20"/>
        </w:rPr>
        <w:footnoteReference w:id="15"/>
      </w:r>
      <w:r w:rsidRPr="00500A22">
        <w:rPr>
          <w:szCs w:val="20"/>
        </w:rPr>
        <w:t xml:space="preserve">. Z powodu tej dysfunkcji w Bytomiu z pomocy skorzystało ogółem 1 681 rodzin, łącznie 7 035 osób. </w:t>
      </w:r>
    </w:p>
    <w:p w:rsidR="00351E5B" w:rsidRPr="00500A22" w:rsidRDefault="00351E5B" w:rsidP="00751C10">
      <w:pPr>
        <w:ind w:firstLine="709"/>
        <w:jc w:val="both"/>
        <w:rPr>
          <w:szCs w:val="20"/>
        </w:rPr>
      </w:pPr>
      <w:r w:rsidRPr="00500A22">
        <w:rPr>
          <w:szCs w:val="20"/>
        </w:rPr>
        <w:t xml:space="preserve">Problem wyjątkowo silnie występuje </w:t>
      </w:r>
      <w:r w:rsidRPr="00500A22">
        <w:rPr>
          <w:b/>
          <w:bCs/>
          <w:color w:val="C00000"/>
          <w:szCs w:val="20"/>
        </w:rPr>
        <w:t>w podobszarze Bobrek, gdzie niemal co czwarta osoba korzysta ze wsparcia MOPR w związku z bezradnością</w:t>
      </w:r>
      <w:r w:rsidRPr="00500A22">
        <w:rPr>
          <w:szCs w:val="20"/>
        </w:rPr>
        <w:t xml:space="preserve"> (1 143 osoby w całym, niewielkim podobszarze). </w:t>
      </w:r>
      <w:r w:rsidRPr="00500A22">
        <w:rPr>
          <w:b/>
          <w:bCs/>
          <w:color w:val="C00000"/>
          <w:szCs w:val="20"/>
        </w:rPr>
        <w:t>W Śródmieściu i Rozbarku wskaźnik przekracza 100 na 1 tys</w:t>
      </w:r>
      <w:r w:rsidRPr="00500A22">
        <w:rPr>
          <w:color w:val="C00000"/>
          <w:szCs w:val="20"/>
        </w:rPr>
        <w:t>.</w:t>
      </w:r>
      <w:r w:rsidRPr="00500A22">
        <w:rPr>
          <w:szCs w:val="20"/>
        </w:rPr>
        <w:t xml:space="preserve"> mieszkańców, w pozostałych podobszarach kształtuje się blisko średniej (45 na 1 tys. mieszkańców). Na zamieszczonej mapie im ciemniejszy czerwony kolor, tym bardziej przekroczona jest średnia dla Bytomia. Należy zauważyć, że </w:t>
      </w:r>
      <w:r w:rsidRPr="00500A22">
        <w:rPr>
          <w:b/>
          <w:bCs/>
          <w:color w:val="C00000"/>
          <w:szCs w:val="20"/>
        </w:rPr>
        <w:t>poza obszarem rewitalizacji problem bezradności w sprawach opiekuńczo – wychowawczych występuje sporadycznie</w:t>
      </w:r>
      <w:r w:rsidRPr="00500A22">
        <w:rPr>
          <w:color w:val="C00000"/>
          <w:szCs w:val="20"/>
        </w:rPr>
        <w:t>,</w:t>
      </w:r>
      <w:r w:rsidRPr="00500A22">
        <w:rPr>
          <w:szCs w:val="20"/>
        </w:rPr>
        <w:t xml:space="preserve"> jedynie punktowo. W ramach programu rewitalizacji należy wzmocnić działania wspierające rodziny głównie w podobszarze Bobrek oraz w</w:t>
      </w:r>
      <w:r w:rsidR="00075BD7">
        <w:rPr>
          <w:szCs w:val="20"/>
        </w:rPr>
        <w:t> </w:t>
      </w:r>
      <w:r w:rsidRPr="00500A22">
        <w:rPr>
          <w:szCs w:val="20"/>
        </w:rPr>
        <w:t>wyróżniających się na mapie kolorem czerwonym rejonach Śródmieścia.</w:t>
      </w:r>
    </w:p>
    <w:p w:rsidR="00751C10" w:rsidRPr="001D5615" w:rsidRDefault="00751C10" w:rsidP="00751C10">
      <w:pPr>
        <w:ind w:firstLine="708"/>
        <w:jc w:val="both"/>
        <w:rPr>
          <w:b/>
          <w:szCs w:val="20"/>
        </w:rPr>
      </w:pPr>
      <w:r w:rsidRPr="00500A22">
        <w:rPr>
          <w:szCs w:val="20"/>
        </w:rPr>
        <w:t>Jednym ze skutków bezradności opiekuńczo – wychowawczej jest brak wzorców prawidłowo kształtujących dzieci i młodzież. Domy, w których występuje ta dysfunkcja, często są jednocześnie dotknięte bezrobociem i ubóstwem. W efekcie dzieci są zaniedbane zarówno w sferze fizycznej</w:t>
      </w:r>
      <w:r w:rsidR="001D5615">
        <w:rPr>
          <w:szCs w:val="20"/>
        </w:rPr>
        <w:t>,</w:t>
      </w:r>
      <w:r w:rsidRPr="00500A22">
        <w:rPr>
          <w:szCs w:val="20"/>
        </w:rPr>
        <w:t xml:space="preserve"> jak i rozwojowej. Rzutuje to na ich gorszy start edukacyjny i sprzyja zachowaniom nieakceptowanym społecznie, a także karalnym. </w:t>
      </w:r>
      <w:r w:rsidRPr="001D5615">
        <w:rPr>
          <w:b/>
          <w:szCs w:val="20"/>
        </w:rPr>
        <w:t>Dlatego na obszarze rewitalizacji obserwujemy:</w:t>
      </w:r>
    </w:p>
    <w:p w:rsidR="00751C10" w:rsidRDefault="00751C10" w:rsidP="00751C10">
      <w:pPr>
        <w:pStyle w:val="Akapitzlist"/>
        <w:numPr>
          <w:ilvl w:val="0"/>
          <w:numId w:val="51"/>
        </w:numPr>
        <w:spacing w:after="0" w:line="240" w:lineRule="auto"/>
        <w:ind w:left="714" w:hanging="357"/>
        <w:jc w:val="both"/>
        <w:rPr>
          <w:sz w:val="20"/>
          <w:szCs w:val="20"/>
        </w:rPr>
      </w:pPr>
      <w:r>
        <w:rPr>
          <w:sz w:val="20"/>
          <w:szCs w:val="20"/>
        </w:rPr>
        <w:t>duży odsetek uczniów wychowujących się w rodzinach dotkniętych bezrobociem, ubóstwem;</w:t>
      </w:r>
    </w:p>
    <w:p w:rsidR="00751C10" w:rsidRDefault="00751C10" w:rsidP="00751C10">
      <w:pPr>
        <w:pStyle w:val="Akapitzlist"/>
        <w:numPr>
          <w:ilvl w:val="0"/>
          <w:numId w:val="51"/>
        </w:numPr>
        <w:spacing w:after="0" w:line="240" w:lineRule="auto"/>
        <w:ind w:left="714" w:hanging="357"/>
        <w:jc w:val="both"/>
        <w:rPr>
          <w:sz w:val="20"/>
          <w:szCs w:val="20"/>
        </w:rPr>
      </w:pPr>
      <w:r>
        <w:rPr>
          <w:sz w:val="20"/>
          <w:szCs w:val="20"/>
        </w:rPr>
        <w:t>duży odsetek uczniów zagrożonych demoralizacją i wykluczeniem społecznym;</w:t>
      </w:r>
    </w:p>
    <w:p w:rsidR="00751C10" w:rsidRDefault="00751C10" w:rsidP="00751C10">
      <w:pPr>
        <w:pStyle w:val="Akapitzlist"/>
        <w:numPr>
          <w:ilvl w:val="0"/>
          <w:numId w:val="51"/>
        </w:numPr>
        <w:spacing w:after="0" w:line="240" w:lineRule="auto"/>
        <w:ind w:left="714" w:hanging="357"/>
        <w:jc w:val="both"/>
        <w:rPr>
          <w:sz w:val="20"/>
          <w:szCs w:val="20"/>
        </w:rPr>
      </w:pPr>
      <w:r>
        <w:rPr>
          <w:sz w:val="20"/>
          <w:szCs w:val="20"/>
        </w:rPr>
        <w:t>niski udział uczniów w życiu kulturalnym;</w:t>
      </w:r>
    </w:p>
    <w:p w:rsidR="00751C10" w:rsidRDefault="00751C10" w:rsidP="00751C10">
      <w:pPr>
        <w:pStyle w:val="Akapitzlist"/>
        <w:numPr>
          <w:ilvl w:val="0"/>
          <w:numId w:val="51"/>
        </w:numPr>
        <w:spacing w:after="0" w:line="240" w:lineRule="auto"/>
        <w:ind w:left="714" w:hanging="357"/>
        <w:jc w:val="both"/>
        <w:rPr>
          <w:sz w:val="20"/>
          <w:szCs w:val="20"/>
        </w:rPr>
      </w:pPr>
      <w:r>
        <w:rPr>
          <w:sz w:val="20"/>
          <w:szCs w:val="20"/>
        </w:rPr>
        <w:t>dewastację i niszczenie mienia szkoły oraz obiektów na terenie miasta (np. elementów małej architektury, wyremontowanych budynków).</w:t>
      </w:r>
    </w:p>
    <w:p w:rsidR="00351E5B" w:rsidRPr="007D5A8C" w:rsidRDefault="00351E5B" w:rsidP="00351E5B">
      <w:pPr>
        <w:pStyle w:val="Legenda"/>
        <w:spacing w:line="312" w:lineRule="auto"/>
        <w:rPr>
          <w:rFonts w:cs="Calibri"/>
        </w:rPr>
      </w:pPr>
      <w:bookmarkStart w:id="4083" w:name="_Toc191972628"/>
      <w:r w:rsidRPr="007D5A8C">
        <w:rPr>
          <w:rFonts w:cs="Calibri"/>
        </w:rPr>
        <w:lastRenderedPageBreak/>
        <w:t xml:space="preserve">Mapa </w:t>
      </w:r>
      <w:r w:rsidR="003972D8" w:rsidRPr="007D5A8C">
        <w:rPr>
          <w:rFonts w:cs="Calibri"/>
        </w:rPr>
        <w:fldChar w:fldCharType="begin"/>
      </w:r>
      <w:r w:rsidRPr="007D5A8C">
        <w:rPr>
          <w:rFonts w:cs="Calibri"/>
        </w:rPr>
        <w:instrText xml:space="preserve"> SEQ Mapa \* ARABIC </w:instrText>
      </w:r>
      <w:r w:rsidR="003972D8" w:rsidRPr="007D5A8C">
        <w:rPr>
          <w:rFonts w:cs="Calibri"/>
        </w:rPr>
        <w:fldChar w:fldCharType="separate"/>
      </w:r>
      <w:r w:rsidR="00413FFE">
        <w:rPr>
          <w:rFonts w:cs="Calibri"/>
          <w:noProof/>
        </w:rPr>
        <w:t>16</w:t>
      </w:r>
      <w:r w:rsidR="003972D8" w:rsidRPr="007D5A8C">
        <w:rPr>
          <w:rFonts w:cs="Calibri"/>
        </w:rPr>
        <w:fldChar w:fldCharType="end"/>
      </w:r>
      <w:r w:rsidRPr="007D5A8C">
        <w:rPr>
          <w:rFonts w:cs="Calibri"/>
        </w:rPr>
        <w:t>. Zasiłki z powodu bezradności opiekuńczo - wychowawczej w Bytomiu</w:t>
      </w:r>
      <w:bookmarkEnd w:id="4083"/>
      <w:r w:rsidRPr="007D5A8C">
        <w:rPr>
          <w:rFonts w:cs="Calibri"/>
        </w:rPr>
        <w:t xml:space="preserve">  </w:t>
      </w:r>
    </w:p>
    <w:p w:rsidR="00351E5B" w:rsidRDefault="009B5277" w:rsidP="00351E5B">
      <w:pPr>
        <w:pStyle w:val="NormalnyWeb"/>
        <w:spacing w:before="0" w:beforeAutospacing="0" w:after="0" w:afterAutospacing="0" w:line="312" w:lineRule="auto"/>
        <w:rPr>
          <w:rFonts w:cs="Calibri"/>
        </w:rPr>
      </w:pPr>
      <w:r>
        <w:rPr>
          <w:rFonts w:cs="Calibri"/>
          <w:noProof/>
        </w:rPr>
        <w:drawing>
          <wp:inline distT="0" distB="0" distL="0" distR="0">
            <wp:extent cx="5762625" cy="4040505"/>
            <wp:effectExtent l="19050" t="0" r="9525" b="0"/>
            <wp:docPr id="87" name="Obraz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38" cstate="print"/>
                    <a:srcRect/>
                    <a:stretch>
                      <a:fillRect/>
                    </a:stretch>
                  </pic:blipFill>
                  <pic:spPr bwMode="auto">
                    <a:xfrm>
                      <a:off x="0" y="0"/>
                      <a:ext cx="5762625" cy="4040505"/>
                    </a:xfrm>
                    <a:prstGeom prst="rect">
                      <a:avLst/>
                    </a:prstGeom>
                    <a:noFill/>
                    <a:ln w="9525">
                      <a:noFill/>
                      <a:miter lim="800000"/>
                      <a:headEnd/>
                      <a:tailEnd/>
                    </a:ln>
                  </pic:spPr>
                </pic:pic>
              </a:graphicData>
            </a:graphic>
          </wp:inline>
        </w:drawing>
      </w:r>
    </w:p>
    <w:p w:rsidR="00351E5B" w:rsidRPr="00AE19F2" w:rsidRDefault="00351E5B" w:rsidP="00351E5B">
      <w:pPr>
        <w:autoSpaceDE w:val="0"/>
        <w:autoSpaceDN w:val="0"/>
        <w:adjustRightInd w:val="0"/>
        <w:rPr>
          <w:i/>
          <w:iCs/>
          <w:sz w:val="18"/>
          <w:szCs w:val="18"/>
        </w:rPr>
      </w:pPr>
      <w:r w:rsidRPr="00AE19F2">
        <w:rPr>
          <w:i/>
          <w:iCs/>
          <w:sz w:val="18"/>
          <w:szCs w:val="18"/>
        </w:rPr>
        <w:t>Źródło: Opracowanie Instytutu Rozwoju Miast na podstawie danych MOPR w Bytomiu</w:t>
      </w:r>
    </w:p>
    <w:p w:rsidR="00351E5B" w:rsidRDefault="00351E5B" w:rsidP="00351E5B"/>
    <w:p w:rsidR="00351E5B" w:rsidRPr="001D5615" w:rsidRDefault="00351E5B" w:rsidP="00751C10">
      <w:pPr>
        <w:pStyle w:val="Akapitzlist"/>
        <w:spacing w:after="0" w:line="240" w:lineRule="auto"/>
        <w:ind w:left="0" w:firstLine="708"/>
        <w:jc w:val="both"/>
        <w:rPr>
          <w:b/>
          <w:color w:val="C00000"/>
          <w:sz w:val="20"/>
          <w:szCs w:val="20"/>
        </w:rPr>
      </w:pPr>
      <w:r w:rsidRPr="001D5615">
        <w:rPr>
          <w:b/>
          <w:color w:val="C00000"/>
          <w:sz w:val="20"/>
          <w:szCs w:val="20"/>
        </w:rPr>
        <w:t>Konsekwencją powyższych negatywnych zjawisk społecznych, których koncentracja jest widoczna na podobszarach rewitalizacji (Bobrek, Śródmieście, Rozbark) jest znacząca skala potrzeb wsparcia rodzin w</w:t>
      </w:r>
      <w:r w:rsidR="00885B70" w:rsidRPr="001D5615">
        <w:rPr>
          <w:b/>
          <w:color w:val="C00000"/>
          <w:sz w:val="20"/>
          <w:szCs w:val="20"/>
        </w:rPr>
        <w:t> </w:t>
      </w:r>
      <w:r w:rsidRPr="001D5615">
        <w:rPr>
          <w:b/>
          <w:color w:val="C00000"/>
          <w:sz w:val="20"/>
          <w:szCs w:val="20"/>
        </w:rPr>
        <w:t>pełnionych przez nich funkcjach w formie asystentury rodzinnej, usług świadczonych w placówkach wsparcia dziennego i środowiskowych formach opieki, czy też tzw. pracy podwórkowej.</w:t>
      </w:r>
      <w:r>
        <w:rPr>
          <w:sz w:val="20"/>
          <w:szCs w:val="20"/>
        </w:rPr>
        <w:t xml:space="preserve"> Wsparcie w tym zakresie świadczą zarówno jednostki systemu edukacji, wsparcia rodziny oraz organizacje pozarządowe. Negatywną ko</w:t>
      </w:r>
      <w:r w:rsidR="006A0718">
        <w:rPr>
          <w:sz w:val="20"/>
          <w:szCs w:val="20"/>
        </w:rPr>
        <w:t xml:space="preserve">nsekwencją </w:t>
      </w:r>
      <w:r>
        <w:rPr>
          <w:sz w:val="20"/>
          <w:szCs w:val="20"/>
        </w:rPr>
        <w:t xml:space="preserve">niewystarczającego </w:t>
      </w:r>
      <w:r w:rsidRPr="00500A22">
        <w:rPr>
          <w:sz w:val="20"/>
          <w:szCs w:val="20"/>
        </w:rPr>
        <w:t>wsparcia dysfunkcyjnych rodzin jest znaczna liczba dzieci umieszczanych w</w:t>
      </w:r>
      <w:r w:rsidR="009A5A91">
        <w:rPr>
          <w:sz w:val="20"/>
          <w:szCs w:val="20"/>
        </w:rPr>
        <w:t> </w:t>
      </w:r>
      <w:r w:rsidRPr="00500A22">
        <w:rPr>
          <w:sz w:val="20"/>
          <w:szCs w:val="20"/>
        </w:rPr>
        <w:t>pieczy zastępczej, zarówno w formie instytucjonalnej</w:t>
      </w:r>
      <w:r w:rsidR="001D5615">
        <w:rPr>
          <w:sz w:val="20"/>
          <w:szCs w:val="20"/>
        </w:rPr>
        <w:t>,</w:t>
      </w:r>
      <w:r w:rsidRPr="00500A22">
        <w:rPr>
          <w:sz w:val="20"/>
          <w:szCs w:val="20"/>
        </w:rPr>
        <w:t xml:space="preserve"> jak i rodzinnej. Liczba dzieci przebywających w pieczy zastępczej wynosi obecnie 828 (stan na 8 listopada 2016 r.) </w:t>
      </w:r>
      <w:r w:rsidRPr="001D5615">
        <w:rPr>
          <w:b/>
          <w:color w:val="C00000"/>
          <w:sz w:val="20"/>
          <w:szCs w:val="20"/>
        </w:rPr>
        <w:t>Z uwagi na więks</w:t>
      </w:r>
      <w:r w:rsidR="001D5615" w:rsidRPr="001D5615">
        <w:rPr>
          <w:b/>
          <w:color w:val="C00000"/>
          <w:sz w:val="20"/>
          <w:szCs w:val="20"/>
        </w:rPr>
        <w:t xml:space="preserve">zą skalę bezradności opiekuńczo - </w:t>
      </w:r>
      <w:r w:rsidRPr="001D5615">
        <w:rPr>
          <w:b/>
          <w:color w:val="C00000"/>
          <w:sz w:val="20"/>
          <w:szCs w:val="20"/>
        </w:rPr>
        <w:t>wychowawczej w obszarze rewitaliz</w:t>
      </w:r>
      <w:r w:rsidR="00500A22" w:rsidRPr="001D5615">
        <w:rPr>
          <w:b/>
          <w:color w:val="C00000"/>
          <w:sz w:val="20"/>
          <w:szCs w:val="20"/>
        </w:rPr>
        <w:t>acji</w:t>
      </w:r>
      <w:r w:rsidRPr="001D5615">
        <w:rPr>
          <w:b/>
          <w:color w:val="C00000"/>
          <w:sz w:val="20"/>
          <w:szCs w:val="20"/>
        </w:rPr>
        <w:t>, dzieci umieszczane w pieczy zastępczej w</w:t>
      </w:r>
      <w:r w:rsidR="001D5615" w:rsidRPr="001D5615">
        <w:rPr>
          <w:b/>
          <w:color w:val="C00000"/>
          <w:sz w:val="20"/>
          <w:szCs w:val="20"/>
        </w:rPr>
        <w:t> </w:t>
      </w:r>
      <w:r w:rsidRPr="001D5615">
        <w:rPr>
          <w:b/>
          <w:color w:val="C00000"/>
          <w:sz w:val="20"/>
          <w:szCs w:val="20"/>
        </w:rPr>
        <w:t xml:space="preserve">większości pochodzą z tego obszaru. </w:t>
      </w:r>
    </w:p>
    <w:p w:rsidR="006A0718" w:rsidRDefault="006A0718" w:rsidP="00351E5B"/>
    <w:p w:rsidR="00500A22" w:rsidRPr="00500A22" w:rsidRDefault="00500A22" w:rsidP="00500A22">
      <w:pPr>
        <w:pStyle w:val="Legenda"/>
        <w:spacing w:line="312" w:lineRule="auto"/>
        <w:rPr>
          <w:rFonts w:cs="Calibri"/>
        </w:rPr>
      </w:pPr>
      <w:bookmarkStart w:id="4084" w:name="_Toc202771109"/>
      <w:r w:rsidRPr="00500A22">
        <w:rPr>
          <w:rFonts w:cs="Calibri"/>
        </w:rPr>
        <w:t xml:space="preserve">Tabela </w:t>
      </w:r>
      <w:r w:rsidR="003972D8" w:rsidRPr="00500A22">
        <w:rPr>
          <w:rFonts w:cs="Calibri"/>
        </w:rPr>
        <w:fldChar w:fldCharType="begin"/>
      </w:r>
      <w:r w:rsidRPr="00500A22">
        <w:rPr>
          <w:rFonts w:cs="Calibri"/>
        </w:rPr>
        <w:instrText xml:space="preserve"> SEQ Tabela \* ARABIC </w:instrText>
      </w:r>
      <w:r w:rsidR="003972D8" w:rsidRPr="00500A22">
        <w:rPr>
          <w:rFonts w:cs="Calibri"/>
        </w:rPr>
        <w:fldChar w:fldCharType="separate"/>
      </w:r>
      <w:r w:rsidR="00413FFE">
        <w:rPr>
          <w:rFonts w:cs="Calibri"/>
          <w:noProof/>
        </w:rPr>
        <w:t>15</w:t>
      </w:r>
      <w:r w:rsidR="003972D8" w:rsidRPr="00500A22">
        <w:rPr>
          <w:rFonts w:cs="Calibri"/>
        </w:rPr>
        <w:fldChar w:fldCharType="end"/>
      </w:r>
      <w:r w:rsidRPr="00500A22">
        <w:rPr>
          <w:rFonts w:cs="Calibri"/>
        </w:rPr>
        <w:t>. Wybrane formy wsparcia problemów opiekuńczo - wychowawczych</w:t>
      </w:r>
      <w:bookmarkEnd w:id="4084"/>
      <w:r w:rsidRPr="00500A22">
        <w:rPr>
          <w:rFonts w:cs="Calibri"/>
        </w:rPr>
        <w:t xml:space="preserve"> </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1837"/>
        <w:gridCol w:w="2229"/>
        <w:gridCol w:w="1625"/>
        <w:gridCol w:w="3595"/>
      </w:tblGrid>
      <w:tr w:rsidR="00351E5B" w:rsidRPr="00500A22" w:rsidTr="00751C10">
        <w:tc>
          <w:tcPr>
            <w:tcW w:w="978" w:type="pct"/>
            <w:shd w:val="clear" w:color="auto" w:fill="99CCFF"/>
            <w:vAlign w:val="center"/>
          </w:tcPr>
          <w:p w:rsidR="00351E5B" w:rsidRPr="00E20CB5" w:rsidRDefault="00351E5B" w:rsidP="00D44CBD">
            <w:pPr>
              <w:jc w:val="center"/>
              <w:rPr>
                <w:b/>
                <w:bCs/>
                <w:szCs w:val="20"/>
              </w:rPr>
            </w:pPr>
            <w:r w:rsidRPr="00E20CB5">
              <w:rPr>
                <w:b/>
                <w:bCs/>
                <w:szCs w:val="20"/>
              </w:rPr>
              <w:t>Podobszar</w:t>
            </w:r>
          </w:p>
        </w:tc>
        <w:tc>
          <w:tcPr>
            <w:tcW w:w="1204" w:type="pct"/>
            <w:shd w:val="clear" w:color="auto" w:fill="99CCFF"/>
            <w:vAlign w:val="center"/>
          </w:tcPr>
          <w:p w:rsidR="00351E5B" w:rsidRPr="00E20CB5" w:rsidRDefault="00351E5B" w:rsidP="00D44CBD">
            <w:pPr>
              <w:jc w:val="center"/>
              <w:rPr>
                <w:b/>
                <w:bCs/>
                <w:szCs w:val="20"/>
              </w:rPr>
            </w:pPr>
            <w:r w:rsidRPr="00E20CB5">
              <w:rPr>
                <w:b/>
                <w:bCs/>
                <w:szCs w:val="20"/>
              </w:rPr>
              <w:t>Liczba rodzin objętych asystenturą rodzinną</w:t>
            </w:r>
          </w:p>
        </w:tc>
        <w:tc>
          <w:tcPr>
            <w:tcW w:w="878" w:type="pct"/>
            <w:shd w:val="clear" w:color="auto" w:fill="99CCFF"/>
            <w:vAlign w:val="center"/>
          </w:tcPr>
          <w:p w:rsidR="00351E5B" w:rsidRPr="00E20CB5" w:rsidRDefault="00351E5B" w:rsidP="00D44CBD">
            <w:pPr>
              <w:jc w:val="center"/>
              <w:rPr>
                <w:b/>
                <w:bCs/>
                <w:szCs w:val="20"/>
              </w:rPr>
            </w:pPr>
            <w:r w:rsidRPr="00E20CB5">
              <w:rPr>
                <w:b/>
                <w:bCs/>
                <w:szCs w:val="20"/>
              </w:rPr>
              <w:t>Liczba rodzin zastępczych</w:t>
            </w:r>
          </w:p>
        </w:tc>
        <w:tc>
          <w:tcPr>
            <w:tcW w:w="1939" w:type="pct"/>
            <w:shd w:val="clear" w:color="auto" w:fill="99CCFF"/>
            <w:vAlign w:val="center"/>
          </w:tcPr>
          <w:p w:rsidR="00351E5B" w:rsidRPr="00E20CB5" w:rsidRDefault="00351E5B" w:rsidP="00D44CBD">
            <w:pPr>
              <w:jc w:val="center"/>
              <w:rPr>
                <w:b/>
                <w:bCs/>
                <w:szCs w:val="20"/>
              </w:rPr>
            </w:pPr>
            <w:r w:rsidRPr="00E20CB5">
              <w:rPr>
                <w:b/>
                <w:bCs/>
                <w:szCs w:val="20"/>
              </w:rPr>
              <w:t>Liczba usamodzielnianych wychowanków opuszczających pieczę zastępczą</w:t>
            </w:r>
          </w:p>
        </w:tc>
      </w:tr>
      <w:tr w:rsidR="00351E5B" w:rsidRPr="00500A22" w:rsidTr="00751C10">
        <w:tc>
          <w:tcPr>
            <w:tcW w:w="978" w:type="pct"/>
            <w:vAlign w:val="bottom"/>
          </w:tcPr>
          <w:p w:rsidR="00351E5B" w:rsidRPr="00500A22" w:rsidRDefault="00351E5B" w:rsidP="00351E5B">
            <w:pPr>
              <w:rPr>
                <w:szCs w:val="20"/>
              </w:rPr>
            </w:pPr>
            <w:r w:rsidRPr="00500A22">
              <w:rPr>
                <w:szCs w:val="20"/>
              </w:rPr>
              <w:t>Bobrek</w:t>
            </w:r>
          </w:p>
        </w:tc>
        <w:tc>
          <w:tcPr>
            <w:tcW w:w="1204" w:type="pct"/>
          </w:tcPr>
          <w:p w:rsidR="00351E5B" w:rsidRPr="00500A22" w:rsidRDefault="00351E5B" w:rsidP="00500A22">
            <w:pPr>
              <w:jc w:val="center"/>
              <w:rPr>
                <w:szCs w:val="20"/>
              </w:rPr>
            </w:pPr>
            <w:r w:rsidRPr="00500A22">
              <w:rPr>
                <w:szCs w:val="20"/>
              </w:rPr>
              <w:t>24</w:t>
            </w:r>
          </w:p>
        </w:tc>
        <w:tc>
          <w:tcPr>
            <w:tcW w:w="878" w:type="pct"/>
          </w:tcPr>
          <w:p w:rsidR="00351E5B" w:rsidRPr="00500A22" w:rsidRDefault="00351E5B" w:rsidP="00500A22">
            <w:pPr>
              <w:jc w:val="center"/>
              <w:rPr>
                <w:szCs w:val="20"/>
              </w:rPr>
            </w:pPr>
            <w:r w:rsidRPr="00500A22">
              <w:rPr>
                <w:szCs w:val="20"/>
              </w:rPr>
              <w:t>21</w:t>
            </w:r>
          </w:p>
        </w:tc>
        <w:tc>
          <w:tcPr>
            <w:tcW w:w="1939" w:type="pct"/>
          </w:tcPr>
          <w:p w:rsidR="00351E5B" w:rsidRPr="00500A22" w:rsidRDefault="00351E5B" w:rsidP="00500A22">
            <w:pPr>
              <w:jc w:val="center"/>
              <w:rPr>
                <w:szCs w:val="20"/>
              </w:rPr>
            </w:pPr>
            <w:r w:rsidRPr="00500A22">
              <w:rPr>
                <w:szCs w:val="20"/>
              </w:rPr>
              <w:t>17</w:t>
            </w:r>
          </w:p>
        </w:tc>
      </w:tr>
      <w:tr w:rsidR="00351E5B" w:rsidRPr="00500A22" w:rsidTr="00751C10">
        <w:tc>
          <w:tcPr>
            <w:tcW w:w="978" w:type="pct"/>
            <w:vAlign w:val="bottom"/>
          </w:tcPr>
          <w:p w:rsidR="00351E5B" w:rsidRPr="00500A22" w:rsidRDefault="00351E5B" w:rsidP="00351E5B">
            <w:pPr>
              <w:rPr>
                <w:szCs w:val="20"/>
              </w:rPr>
            </w:pPr>
            <w:r w:rsidRPr="00500A22">
              <w:rPr>
                <w:szCs w:val="20"/>
              </w:rPr>
              <w:t>Śródmieście</w:t>
            </w:r>
          </w:p>
        </w:tc>
        <w:tc>
          <w:tcPr>
            <w:tcW w:w="1204" w:type="pct"/>
          </w:tcPr>
          <w:p w:rsidR="00351E5B" w:rsidRPr="00500A22" w:rsidRDefault="00351E5B" w:rsidP="00500A22">
            <w:pPr>
              <w:jc w:val="center"/>
              <w:rPr>
                <w:szCs w:val="20"/>
              </w:rPr>
            </w:pPr>
            <w:r w:rsidRPr="00500A22">
              <w:rPr>
                <w:szCs w:val="20"/>
              </w:rPr>
              <w:t>25</w:t>
            </w:r>
          </w:p>
        </w:tc>
        <w:tc>
          <w:tcPr>
            <w:tcW w:w="878" w:type="pct"/>
          </w:tcPr>
          <w:p w:rsidR="00351E5B" w:rsidRPr="00500A22" w:rsidRDefault="00351E5B" w:rsidP="00500A22">
            <w:pPr>
              <w:jc w:val="center"/>
              <w:rPr>
                <w:szCs w:val="20"/>
              </w:rPr>
            </w:pPr>
            <w:r w:rsidRPr="00500A22">
              <w:rPr>
                <w:szCs w:val="20"/>
              </w:rPr>
              <w:t>22</w:t>
            </w:r>
          </w:p>
        </w:tc>
        <w:tc>
          <w:tcPr>
            <w:tcW w:w="1939" w:type="pct"/>
          </w:tcPr>
          <w:p w:rsidR="00351E5B" w:rsidRPr="00500A22" w:rsidRDefault="00351E5B" w:rsidP="00500A22">
            <w:pPr>
              <w:jc w:val="center"/>
              <w:rPr>
                <w:szCs w:val="20"/>
              </w:rPr>
            </w:pPr>
            <w:r w:rsidRPr="00500A22">
              <w:rPr>
                <w:szCs w:val="20"/>
              </w:rPr>
              <w:t>17</w:t>
            </w:r>
          </w:p>
        </w:tc>
      </w:tr>
      <w:tr w:rsidR="00351E5B" w:rsidRPr="00500A22" w:rsidTr="00751C10">
        <w:tc>
          <w:tcPr>
            <w:tcW w:w="978" w:type="pct"/>
            <w:vAlign w:val="bottom"/>
          </w:tcPr>
          <w:p w:rsidR="00351E5B" w:rsidRPr="00500A22" w:rsidRDefault="00351E5B" w:rsidP="00351E5B">
            <w:pPr>
              <w:rPr>
                <w:szCs w:val="20"/>
              </w:rPr>
            </w:pPr>
            <w:r w:rsidRPr="00500A22">
              <w:rPr>
                <w:szCs w:val="20"/>
              </w:rPr>
              <w:t>Śródmieście Zachód</w:t>
            </w:r>
          </w:p>
        </w:tc>
        <w:tc>
          <w:tcPr>
            <w:tcW w:w="1204" w:type="pct"/>
          </w:tcPr>
          <w:p w:rsidR="00351E5B" w:rsidRPr="00500A22" w:rsidRDefault="00351E5B" w:rsidP="00500A22">
            <w:pPr>
              <w:jc w:val="center"/>
              <w:rPr>
                <w:szCs w:val="20"/>
              </w:rPr>
            </w:pPr>
            <w:r w:rsidRPr="00500A22">
              <w:rPr>
                <w:szCs w:val="20"/>
              </w:rPr>
              <w:t>15</w:t>
            </w:r>
          </w:p>
        </w:tc>
        <w:tc>
          <w:tcPr>
            <w:tcW w:w="878" w:type="pct"/>
          </w:tcPr>
          <w:p w:rsidR="00351E5B" w:rsidRPr="00500A22" w:rsidRDefault="00351E5B" w:rsidP="00500A22">
            <w:pPr>
              <w:jc w:val="center"/>
              <w:rPr>
                <w:szCs w:val="20"/>
              </w:rPr>
            </w:pPr>
            <w:r w:rsidRPr="00500A22">
              <w:rPr>
                <w:szCs w:val="20"/>
              </w:rPr>
              <w:t>18</w:t>
            </w:r>
          </w:p>
        </w:tc>
        <w:tc>
          <w:tcPr>
            <w:tcW w:w="1939" w:type="pct"/>
          </w:tcPr>
          <w:p w:rsidR="00351E5B" w:rsidRPr="00500A22" w:rsidRDefault="00351E5B" w:rsidP="00500A22">
            <w:pPr>
              <w:jc w:val="center"/>
              <w:rPr>
                <w:szCs w:val="20"/>
              </w:rPr>
            </w:pPr>
            <w:r w:rsidRPr="00500A22">
              <w:rPr>
                <w:szCs w:val="20"/>
              </w:rPr>
              <w:t>8</w:t>
            </w:r>
          </w:p>
        </w:tc>
      </w:tr>
      <w:tr w:rsidR="00351E5B" w:rsidRPr="00500A22" w:rsidTr="00751C10">
        <w:tc>
          <w:tcPr>
            <w:tcW w:w="978" w:type="pct"/>
            <w:vAlign w:val="bottom"/>
          </w:tcPr>
          <w:p w:rsidR="00351E5B" w:rsidRPr="00500A22" w:rsidRDefault="00351E5B" w:rsidP="00351E5B">
            <w:pPr>
              <w:rPr>
                <w:szCs w:val="20"/>
              </w:rPr>
            </w:pPr>
            <w:r w:rsidRPr="00500A22">
              <w:rPr>
                <w:szCs w:val="20"/>
              </w:rPr>
              <w:t>Rozbark</w:t>
            </w:r>
          </w:p>
        </w:tc>
        <w:tc>
          <w:tcPr>
            <w:tcW w:w="1204" w:type="pct"/>
          </w:tcPr>
          <w:p w:rsidR="00351E5B" w:rsidRPr="00500A22" w:rsidRDefault="00351E5B" w:rsidP="00500A22">
            <w:pPr>
              <w:jc w:val="center"/>
              <w:rPr>
                <w:szCs w:val="20"/>
              </w:rPr>
            </w:pPr>
            <w:r w:rsidRPr="00500A22">
              <w:rPr>
                <w:szCs w:val="20"/>
              </w:rPr>
              <w:t>31</w:t>
            </w:r>
          </w:p>
        </w:tc>
        <w:tc>
          <w:tcPr>
            <w:tcW w:w="878" w:type="pct"/>
          </w:tcPr>
          <w:p w:rsidR="00351E5B" w:rsidRPr="00500A22" w:rsidRDefault="00351E5B" w:rsidP="00500A22">
            <w:pPr>
              <w:jc w:val="center"/>
              <w:rPr>
                <w:szCs w:val="20"/>
              </w:rPr>
            </w:pPr>
            <w:r w:rsidRPr="00500A22">
              <w:rPr>
                <w:szCs w:val="20"/>
              </w:rPr>
              <w:t>35</w:t>
            </w:r>
          </w:p>
        </w:tc>
        <w:tc>
          <w:tcPr>
            <w:tcW w:w="1939" w:type="pct"/>
          </w:tcPr>
          <w:p w:rsidR="00351E5B" w:rsidRPr="00500A22" w:rsidRDefault="00351E5B" w:rsidP="00500A22">
            <w:pPr>
              <w:jc w:val="center"/>
              <w:rPr>
                <w:szCs w:val="20"/>
              </w:rPr>
            </w:pPr>
            <w:r w:rsidRPr="00500A22">
              <w:rPr>
                <w:szCs w:val="20"/>
              </w:rPr>
              <w:t>10</w:t>
            </w:r>
          </w:p>
        </w:tc>
      </w:tr>
      <w:tr w:rsidR="00351E5B" w:rsidRPr="00500A22" w:rsidTr="00751C10">
        <w:tc>
          <w:tcPr>
            <w:tcW w:w="978" w:type="pct"/>
            <w:vAlign w:val="bottom"/>
          </w:tcPr>
          <w:p w:rsidR="00351E5B" w:rsidRPr="00500A22" w:rsidRDefault="00351E5B" w:rsidP="00351E5B">
            <w:pPr>
              <w:rPr>
                <w:szCs w:val="20"/>
              </w:rPr>
            </w:pPr>
            <w:r w:rsidRPr="00500A22">
              <w:rPr>
                <w:szCs w:val="20"/>
              </w:rPr>
              <w:t>Śródmieście Północ</w:t>
            </w:r>
          </w:p>
        </w:tc>
        <w:tc>
          <w:tcPr>
            <w:tcW w:w="1204" w:type="pct"/>
          </w:tcPr>
          <w:p w:rsidR="00351E5B" w:rsidRPr="00500A22" w:rsidRDefault="00351E5B" w:rsidP="00500A22">
            <w:pPr>
              <w:jc w:val="center"/>
              <w:rPr>
                <w:szCs w:val="20"/>
              </w:rPr>
            </w:pPr>
            <w:r w:rsidRPr="00500A22">
              <w:rPr>
                <w:szCs w:val="20"/>
              </w:rPr>
              <w:t>17</w:t>
            </w:r>
          </w:p>
        </w:tc>
        <w:tc>
          <w:tcPr>
            <w:tcW w:w="878" w:type="pct"/>
          </w:tcPr>
          <w:p w:rsidR="00351E5B" w:rsidRPr="00500A22" w:rsidRDefault="00351E5B" w:rsidP="00500A22">
            <w:pPr>
              <w:jc w:val="center"/>
              <w:rPr>
                <w:szCs w:val="20"/>
              </w:rPr>
            </w:pPr>
            <w:r w:rsidRPr="00500A22">
              <w:rPr>
                <w:szCs w:val="20"/>
              </w:rPr>
              <w:t>25</w:t>
            </w:r>
          </w:p>
        </w:tc>
        <w:tc>
          <w:tcPr>
            <w:tcW w:w="1939" w:type="pct"/>
          </w:tcPr>
          <w:p w:rsidR="00351E5B" w:rsidRPr="00500A22" w:rsidRDefault="00351E5B" w:rsidP="00500A22">
            <w:pPr>
              <w:jc w:val="center"/>
              <w:rPr>
                <w:szCs w:val="20"/>
              </w:rPr>
            </w:pPr>
            <w:r w:rsidRPr="00500A22">
              <w:rPr>
                <w:szCs w:val="20"/>
              </w:rPr>
              <w:t>31</w:t>
            </w:r>
          </w:p>
        </w:tc>
      </w:tr>
      <w:tr w:rsidR="00351E5B" w:rsidRPr="00500A22" w:rsidTr="00751C10">
        <w:tc>
          <w:tcPr>
            <w:tcW w:w="978" w:type="pct"/>
            <w:vAlign w:val="bottom"/>
          </w:tcPr>
          <w:p w:rsidR="00351E5B" w:rsidRPr="00500A22" w:rsidRDefault="00351E5B" w:rsidP="00351E5B">
            <w:pPr>
              <w:rPr>
                <w:szCs w:val="20"/>
              </w:rPr>
            </w:pPr>
            <w:r w:rsidRPr="00500A22">
              <w:rPr>
                <w:szCs w:val="20"/>
              </w:rPr>
              <w:t>Kolonia Zgorzelec</w:t>
            </w:r>
          </w:p>
        </w:tc>
        <w:tc>
          <w:tcPr>
            <w:tcW w:w="1204" w:type="pct"/>
          </w:tcPr>
          <w:p w:rsidR="00351E5B" w:rsidRPr="00500A22" w:rsidRDefault="00351E5B" w:rsidP="00500A22">
            <w:pPr>
              <w:jc w:val="center"/>
              <w:rPr>
                <w:szCs w:val="20"/>
              </w:rPr>
            </w:pPr>
            <w:r w:rsidRPr="00500A22">
              <w:rPr>
                <w:szCs w:val="20"/>
              </w:rPr>
              <w:t>0</w:t>
            </w:r>
          </w:p>
        </w:tc>
        <w:tc>
          <w:tcPr>
            <w:tcW w:w="878" w:type="pct"/>
          </w:tcPr>
          <w:p w:rsidR="00351E5B" w:rsidRPr="00500A22" w:rsidRDefault="00351E5B" w:rsidP="00500A22">
            <w:pPr>
              <w:jc w:val="center"/>
              <w:rPr>
                <w:szCs w:val="20"/>
              </w:rPr>
            </w:pPr>
            <w:r w:rsidRPr="00500A22">
              <w:rPr>
                <w:szCs w:val="20"/>
              </w:rPr>
              <w:t>0</w:t>
            </w:r>
          </w:p>
        </w:tc>
        <w:tc>
          <w:tcPr>
            <w:tcW w:w="1939" w:type="pct"/>
          </w:tcPr>
          <w:p w:rsidR="00351E5B" w:rsidRPr="00500A22" w:rsidRDefault="00351E5B" w:rsidP="00500A22">
            <w:pPr>
              <w:jc w:val="center"/>
              <w:rPr>
                <w:szCs w:val="20"/>
              </w:rPr>
            </w:pPr>
            <w:r w:rsidRPr="00500A22">
              <w:rPr>
                <w:szCs w:val="20"/>
              </w:rPr>
              <w:t>0</w:t>
            </w:r>
          </w:p>
        </w:tc>
      </w:tr>
      <w:tr w:rsidR="00351E5B" w:rsidRPr="00500A22" w:rsidTr="00751C10">
        <w:tc>
          <w:tcPr>
            <w:tcW w:w="978" w:type="pct"/>
            <w:shd w:val="clear" w:color="auto" w:fill="99CCFF"/>
            <w:vAlign w:val="bottom"/>
          </w:tcPr>
          <w:p w:rsidR="00351E5B" w:rsidRPr="00915EAA" w:rsidRDefault="00351E5B" w:rsidP="00915EAA">
            <w:pPr>
              <w:jc w:val="right"/>
              <w:rPr>
                <w:b/>
                <w:szCs w:val="20"/>
              </w:rPr>
            </w:pPr>
            <w:r w:rsidRPr="00915EAA">
              <w:rPr>
                <w:b/>
                <w:szCs w:val="20"/>
              </w:rPr>
              <w:t>RAZEM</w:t>
            </w:r>
          </w:p>
        </w:tc>
        <w:tc>
          <w:tcPr>
            <w:tcW w:w="1204" w:type="pct"/>
            <w:shd w:val="clear" w:color="auto" w:fill="99CCFF"/>
          </w:tcPr>
          <w:p w:rsidR="00351E5B" w:rsidRPr="00915EAA" w:rsidRDefault="00351E5B" w:rsidP="00500A22">
            <w:pPr>
              <w:jc w:val="center"/>
              <w:rPr>
                <w:b/>
                <w:szCs w:val="20"/>
              </w:rPr>
            </w:pPr>
            <w:r w:rsidRPr="00915EAA">
              <w:rPr>
                <w:b/>
                <w:szCs w:val="20"/>
              </w:rPr>
              <w:t>112</w:t>
            </w:r>
          </w:p>
        </w:tc>
        <w:tc>
          <w:tcPr>
            <w:tcW w:w="878" w:type="pct"/>
            <w:shd w:val="clear" w:color="auto" w:fill="99CCFF"/>
          </w:tcPr>
          <w:p w:rsidR="00351E5B" w:rsidRPr="00915EAA" w:rsidRDefault="00351E5B" w:rsidP="00500A22">
            <w:pPr>
              <w:jc w:val="center"/>
              <w:rPr>
                <w:b/>
                <w:szCs w:val="20"/>
              </w:rPr>
            </w:pPr>
            <w:r w:rsidRPr="00915EAA">
              <w:rPr>
                <w:b/>
                <w:szCs w:val="20"/>
              </w:rPr>
              <w:t>121</w:t>
            </w:r>
          </w:p>
        </w:tc>
        <w:tc>
          <w:tcPr>
            <w:tcW w:w="1939" w:type="pct"/>
            <w:shd w:val="clear" w:color="auto" w:fill="99CCFF"/>
          </w:tcPr>
          <w:p w:rsidR="00351E5B" w:rsidRPr="00915EAA" w:rsidRDefault="00351E5B" w:rsidP="00500A22">
            <w:pPr>
              <w:jc w:val="center"/>
              <w:rPr>
                <w:b/>
                <w:szCs w:val="20"/>
              </w:rPr>
            </w:pPr>
            <w:r w:rsidRPr="00915EAA">
              <w:rPr>
                <w:b/>
                <w:szCs w:val="20"/>
              </w:rPr>
              <w:t>83</w:t>
            </w:r>
          </w:p>
        </w:tc>
      </w:tr>
    </w:tbl>
    <w:p w:rsidR="00351E5B" w:rsidRPr="00AE19F2" w:rsidRDefault="00351E5B" w:rsidP="00351E5B">
      <w:pPr>
        <w:jc w:val="both"/>
        <w:rPr>
          <w:i/>
          <w:iCs/>
          <w:sz w:val="18"/>
          <w:szCs w:val="20"/>
        </w:rPr>
      </w:pPr>
      <w:r w:rsidRPr="00AE19F2">
        <w:rPr>
          <w:i/>
          <w:iCs/>
          <w:sz w:val="18"/>
          <w:szCs w:val="20"/>
        </w:rPr>
        <w:t>Źródło: Opracowanie Miejski Oś</w:t>
      </w:r>
      <w:r w:rsidR="00651D00">
        <w:rPr>
          <w:i/>
          <w:iCs/>
          <w:sz w:val="18"/>
          <w:szCs w:val="20"/>
        </w:rPr>
        <w:t>rodek Pomocy Rodzinie w Bytomiu</w:t>
      </w:r>
    </w:p>
    <w:p w:rsidR="00351E5B" w:rsidRPr="00500A22" w:rsidRDefault="00351E5B" w:rsidP="00DC3E67">
      <w:pPr>
        <w:pStyle w:val="Akapitzlist"/>
        <w:spacing w:after="0" w:line="240" w:lineRule="auto"/>
        <w:ind w:left="0" w:firstLine="708"/>
        <w:jc w:val="both"/>
        <w:rPr>
          <w:rFonts w:asciiTheme="minorHAnsi" w:hAnsiTheme="minorHAnsi"/>
          <w:sz w:val="20"/>
          <w:szCs w:val="20"/>
        </w:rPr>
      </w:pPr>
      <w:r w:rsidRPr="00500A22">
        <w:rPr>
          <w:rFonts w:asciiTheme="minorHAnsi" w:hAnsiTheme="minorHAnsi"/>
          <w:sz w:val="20"/>
          <w:szCs w:val="20"/>
        </w:rPr>
        <w:lastRenderedPageBreak/>
        <w:t xml:space="preserve">W porównaniu ze znaczną liczbą rodzin objętych pomocą społeczną z powodu bezradności opiekuńczo-wychowawczej, liczba aktualnie pracujących asystentów rodziny jest niewystarczająca. Dodatkowo dostęp do usług wsparcia rodziny ogranicza fakt znacznego obciążenia zatrudnionych asystentów rodziny. Obecnie pracują oni z maksymalną ustawowo określoną liczbą rodzin (15 rodzin na każdego asystenta). Można ocenić, że zarówno dostępność, jak i efektywność tych usług jest niezadowalająca. </w:t>
      </w:r>
    </w:p>
    <w:p w:rsidR="00351E5B" w:rsidRPr="00500A22" w:rsidRDefault="00351E5B" w:rsidP="00DC3E67">
      <w:pPr>
        <w:pStyle w:val="Akapitzlist"/>
        <w:spacing w:after="0" w:line="240" w:lineRule="auto"/>
        <w:ind w:left="0" w:firstLine="708"/>
        <w:jc w:val="both"/>
        <w:rPr>
          <w:rFonts w:asciiTheme="minorHAnsi" w:hAnsiTheme="minorHAnsi"/>
          <w:sz w:val="20"/>
          <w:szCs w:val="20"/>
        </w:rPr>
      </w:pPr>
      <w:r w:rsidRPr="00500A22">
        <w:rPr>
          <w:rFonts w:asciiTheme="minorHAnsi" w:hAnsiTheme="minorHAnsi"/>
          <w:sz w:val="20"/>
          <w:szCs w:val="20"/>
        </w:rPr>
        <w:t>Analogiczna sytuacja występuje w przypadku form wsparcia dedykowanych rodzinom zastępczym. Zatrudnieni przez MOPR koordynatorzy rodzinnej pieczy zastępczej pracują z 15 środowiskami każdy. Obecnie tylko 30 rodzin zastępczych w całym mieście jest objętych wsparciem koordynatorów, podczas gdy tylko na obszarze rewitaliz</w:t>
      </w:r>
      <w:r w:rsidR="00727884" w:rsidRPr="00500A22">
        <w:rPr>
          <w:rFonts w:asciiTheme="minorHAnsi" w:hAnsiTheme="minorHAnsi"/>
          <w:sz w:val="20"/>
          <w:szCs w:val="20"/>
        </w:rPr>
        <w:t>acji</w:t>
      </w:r>
      <w:r w:rsidRPr="00500A22">
        <w:rPr>
          <w:rFonts w:asciiTheme="minorHAnsi" w:hAnsiTheme="minorHAnsi"/>
          <w:sz w:val="20"/>
          <w:szCs w:val="20"/>
        </w:rPr>
        <w:t xml:space="preserve"> takich rodzin jest 121. </w:t>
      </w:r>
    </w:p>
    <w:p w:rsidR="00351E5B" w:rsidRDefault="00351E5B" w:rsidP="00DC3E67">
      <w:pPr>
        <w:pStyle w:val="Akapitzlist"/>
        <w:spacing w:after="0" w:line="240" w:lineRule="auto"/>
        <w:ind w:left="0" w:firstLine="708"/>
        <w:jc w:val="both"/>
        <w:rPr>
          <w:rFonts w:asciiTheme="minorHAnsi" w:hAnsiTheme="minorHAnsi"/>
          <w:sz w:val="20"/>
          <w:szCs w:val="20"/>
        </w:rPr>
      </w:pPr>
      <w:r w:rsidRPr="00500A22">
        <w:rPr>
          <w:rFonts w:asciiTheme="minorHAnsi" w:hAnsiTheme="minorHAnsi"/>
          <w:sz w:val="20"/>
          <w:szCs w:val="20"/>
        </w:rPr>
        <w:t xml:space="preserve">Dotychczasowa praktyka MOPR wskazuje, że </w:t>
      </w:r>
      <w:r w:rsidRPr="001D5615">
        <w:rPr>
          <w:rFonts w:asciiTheme="minorHAnsi" w:hAnsiTheme="minorHAnsi"/>
          <w:b/>
          <w:color w:val="C00000"/>
          <w:sz w:val="20"/>
          <w:szCs w:val="20"/>
        </w:rPr>
        <w:t>proces usamodzielniania wychowanków opuszczających pieczę zastępczą powinien być prowadzony kompleksowo, łącznie z wyposażeniem części wychowanków w</w:t>
      </w:r>
      <w:r w:rsidR="001D5615">
        <w:rPr>
          <w:rFonts w:asciiTheme="minorHAnsi" w:hAnsiTheme="minorHAnsi"/>
          <w:b/>
          <w:color w:val="C00000"/>
          <w:sz w:val="20"/>
          <w:szCs w:val="20"/>
        </w:rPr>
        <w:t> </w:t>
      </w:r>
      <w:r w:rsidRPr="001D5615">
        <w:rPr>
          <w:rFonts w:asciiTheme="minorHAnsi" w:hAnsiTheme="minorHAnsi"/>
          <w:b/>
          <w:color w:val="C00000"/>
          <w:sz w:val="20"/>
          <w:szCs w:val="20"/>
        </w:rPr>
        <w:t>dostęp do lokalu mieszkalnego dostosowanego do ich możliwości finansowych.</w:t>
      </w:r>
      <w:r w:rsidRPr="00500A22">
        <w:rPr>
          <w:rFonts w:asciiTheme="minorHAnsi" w:hAnsiTheme="minorHAnsi"/>
          <w:sz w:val="20"/>
          <w:szCs w:val="20"/>
        </w:rPr>
        <w:t xml:space="preserve"> Wychowankowie oprócz pomocy ze strony opiekunów usamodzielnienia wymagają wsparcia w postaci treningów życiowych, kształcenia umiejętności społecznych, czasem wyposażenia w kompetencje zawodowe.</w:t>
      </w:r>
    </w:p>
    <w:p w:rsidR="00500A22" w:rsidRPr="00500A22" w:rsidRDefault="00500A22" w:rsidP="00500A22">
      <w:pPr>
        <w:pStyle w:val="Akapitzlist"/>
        <w:spacing w:after="0" w:line="240" w:lineRule="auto"/>
        <w:ind w:left="0"/>
        <w:jc w:val="both"/>
        <w:rPr>
          <w:rFonts w:asciiTheme="minorHAnsi" w:hAnsiTheme="minorHAnsi"/>
          <w:sz w:val="20"/>
          <w:szCs w:val="20"/>
        </w:rPr>
      </w:pPr>
    </w:p>
    <w:p w:rsidR="00351E5B" w:rsidRPr="00500A22" w:rsidRDefault="00351E5B" w:rsidP="00500A22">
      <w:pPr>
        <w:jc w:val="both"/>
        <w:rPr>
          <w:b/>
          <w:bCs/>
          <w:szCs w:val="20"/>
        </w:rPr>
      </w:pPr>
      <w:r w:rsidRPr="00500A22">
        <w:rPr>
          <w:b/>
          <w:bCs/>
          <w:szCs w:val="20"/>
        </w:rPr>
        <w:t>Placówki opiekuńcze dla dzieci i młodzieży</w:t>
      </w:r>
    </w:p>
    <w:p w:rsidR="00351E5B" w:rsidRPr="00500A22" w:rsidRDefault="00351E5B" w:rsidP="00500A22">
      <w:pPr>
        <w:jc w:val="both"/>
        <w:rPr>
          <w:szCs w:val="20"/>
        </w:rPr>
      </w:pPr>
      <w:r w:rsidRPr="00500A22">
        <w:rPr>
          <w:szCs w:val="20"/>
        </w:rPr>
        <w:t xml:space="preserve">W Bytomiu funkcjonują trzy placówki opiekuńczo – wychowawcze dla dzieci i młodzieży: </w:t>
      </w:r>
    </w:p>
    <w:p w:rsidR="003654E4" w:rsidRDefault="00351E5B" w:rsidP="00DC164D">
      <w:pPr>
        <w:pStyle w:val="Akapitzlist"/>
        <w:numPr>
          <w:ilvl w:val="0"/>
          <w:numId w:val="163"/>
        </w:numPr>
        <w:suppressAutoHyphens/>
        <w:spacing w:after="0" w:line="240" w:lineRule="auto"/>
        <w:ind w:left="714" w:hanging="357"/>
        <w:jc w:val="both"/>
        <w:rPr>
          <w:rFonts w:asciiTheme="minorHAnsi" w:hAnsiTheme="minorHAnsi"/>
          <w:sz w:val="20"/>
          <w:szCs w:val="20"/>
        </w:rPr>
      </w:pPr>
      <w:r w:rsidRPr="00500A22">
        <w:rPr>
          <w:rFonts w:asciiTheme="minorHAnsi" w:hAnsiTheme="minorHAnsi"/>
          <w:sz w:val="20"/>
          <w:szCs w:val="20"/>
        </w:rPr>
        <w:t xml:space="preserve">Dom Dziecka nr 1, ul Matki Ewy 5, </w:t>
      </w:r>
    </w:p>
    <w:p w:rsidR="003654E4" w:rsidRDefault="00351E5B" w:rsidP="00DC164D">
      <w:pPr>
        <w:pStyle w:val="Akapitzlist"/>
        <w:numPr>
          <w:ilvl w:val="0"/>
          <w:numId w:val="163"/>
        </w:numPr>
        <w:suppressAutoHyphens/>
        <w:spacing w:after="0" w:line="240" w:lineRule="auto"/>
        <w:ind w:left="714" w:hanging="357"/>
        <w:jc w:val="both"/>
        <w:rPr>
          <w:rFonts w:asciiTheme="minorHAnsi" w:hAnsiTheme="minorHAnsi"/>
          <w:sz w:val="20"/>
          <w:szCs w:val="20"/>
        </w:rPr>
      </w:pPr>
      <w:r w:rsidRPr="00500A22">
        <w:rPr>
          <w:rFonts w:asciiTheme="minorHAnsi" w:hAnsiTheme="minorHAnsi"/>
          <w:sz w:val="20"/>
          <w:szCs w:val="20"/>
        </w:rPr>
        <w:t>Placówka Opiekuńczo – Wychowawcza „Bezpieczny Dom” ul Wrocławska 46,</w:t>
      </w:r>
    </w:p>
    <w:p w:rsidR="003654E4" w:rsidRDefault="00351E5B" w:rsidP="00DC164D">
      <w:pPr>
        <w:pStyle w:val="Akapitzlist"/>
        <w:numPr>
          <w:ilvl w:val="0"/>
          <w:numId w:val="163"/>
        </w:numPr>
        <w:suppressAutoHyphens/>
        <w:spacing w:after="0" w:line="240" w:lineRule="auto"/>
        <w:ind w:left="714" w:hanging="357"/>
        <w:jc w:val="both"/>
        <w:rPr>
          <w:rFonts w:asciiTheme="minorHAnsi" w:hAnsiTheme="minorHAnsi"/>
          <w:sz w:val="20"/>
          <w:szCs w:val="20"/>
        </w:rPr>
      </w:pPr>
      <w:r w:rsidRPr="00500A22">
        <w:rPr>
          <w:rFonts w:asciiTheme="minorHAnsi" w:hAnsiTheme="minorHAnsi"/>
          <w:sz w:val="20"/>
          <w:szCs w:val="20"/>
        </w:rPr>
        <w:t>Placówka Opiekuńczo – Wychowawcza „Szansa dla Dziecka” plac Jana 13.</w:t>
      </w:r>
    </w:p>
    <w:p w:rsidR="00351E5B" w:rsidRPr="00500A22" w:rsidRDefault="00351E5B" w:rsidP="00500A22">
      <w:pPr>
        <w:jc w:val="both"/>
        <w:rPr>
          <w:szCs w:val="20"/>
        </w:rPr>
      </w:pPr>
      <w:r w:rsidRPr="00500A22">
        <w:rPr>
          <w:szCs w:val="20"/>
        </w:rPr>
        <w:t xml:space="preserve">Łącznie dysponują one 116 miejscami i jest to liczba niewystarczająca – w 2015 r. w placówkach poza Bytomiem przebywało 47 dzieci, których miejscem zamieszkania przed umieszczeniem w placówce był Bytom. </w:t>
      </w:r>
    </w:p>
    <w:p w:rsidR="00351E5B" w:rsidRPr="001D5615" w:rsidRDefault="00351E5B" w:rsidP="00500A22">
      <w:pPr>
        <w:jc w:val="both"/>
        <w:rPr>
          <w:b/>
          <w:color w:val="C00000"/>
          <w:szCs w:val="20"/>
        </w:rPr>
      </w:pPr>
      <w:r w:rsidRPr="00500A22">
        <w:rPr>
          <w:szCs w:val="20"/>
        </w:rPr>
        <w:t>Ze względu na ochronę danych osobowych dotarcie do danych adresowych dzieci znajdujących</w:t>
      </w:r>
      <w:r w:rsidR="00EA6D89">
        <w:rPr>
          <w:szCs w:val="20"/>
        </w:rPr>
        <w:t xml:space="preserve"> </w:t>
      </w:r>
      <w:r w:rsidR="003B4EF1">
        <w:rPr>
          <w:szCs w:val="20"/>
        </w:rPr>
        <w:t>się w </w:t>
      </w:r>
      <w:r w:rsidRPr="00500A22">
        <w:rPr>
          <w:szCs w:val="20"/>
        </w:rPr>
        <w:t xml:space="preserve">placówkach jest utrudnione. </w:t>
      </w:r>
      <w:r w:rsidRPr="001D5615">
        <w:rPr>
          <w:b/>
          <w:color w:val="C00000"/>
          <w:szCs w:val="20"/>
        </w:rPr>
        <w:t>Na podstawie zdiagnozowanych negatywnych zjawisk społecznych na obszarze rewitalizacji można przyjąć, że duża liczba dzieci przebywających w placówkach pochodzi z obszaru rewitalizacji. W ramach programu rewitalizacji należy stworzyć warunki do zwiększenia dostępności takich placówek. W</w:t>
      </w:r>
      <w:r w:rsidR="00037798" w:rsidRPr="001D5615">
        <w:rPr>
          <w:b/>
          <w:color w:val="C00000"/>
          <w:szCs w:val="20"/>
        </w:rPr>
        <w:t> </w:t>
      </w:r>
      <w:r w:rsidRPr="001D5615">
        <w:rPr>
          <w:b/>
          <w:color w:val="C00000"/>
          <w:szCs w:val="20"/>
        </w:rPr>
        <w:t>szczególności dostępność powinna być powiązana z deinstytucjonalizacją placówek opiekuńczo-wychowawczych oraz rozwojem rodzinnych form pieczy zastępczej.</w:t>
      </w:r>
    </w:p>
    <w:p w:rsidR="00351E5B" w:rsidRPr="00500A22" w:rsidRDefault="00351E5B" w:rsidP="00500A22">
      <w:pPr>
        <w:jc w:val="both"/>
        <w:rPr>
          <w:szCs w:val="20"/>
        </w:rPr>
      </w:pPr>
    </w:p>
    <w:p w:rsidR="001C2FD4" w:rsidRPr="007D5A8C" w:rsidRDefault="001C2FD4" w:rsidP="009968FD">
      <w:pPr>
        <w:pStyle w:val="Nagwek4"/>
        <w:numPr>
          <w:ilvl w:val="3"/>
          <w:numId w:val="228"/>
        </w:numPr>
        <w:rPr>
          <w:rFonts w:asciiTheme="minorHAnsi" w:hAnsiTheme="minorHAnsi"/>
          <w:i w:val="0"/>
        </w:rPr>
      </w:pPr>
      <w:bookmarkStart w:id="4085" w:name="_Toc461612530"/>
      <w:r w:rsidRPr="007D5A8C">
        <w:rPr>
          <w:rFonts w:asciiTheme="minorHAnsi" w:hAnsiTheme="minorHAnsi"/>
          <w:i w:val="0"/>
        </w:rPr>
        <w:t>Osoby z niepełnosprawnościami w strukturze mieszkańców</w:t>
      </w:r>
      <w:bookmarkEnd w:id="4085"/>
      <w:r w:rsidR="00351E5B" w:rsidRPr="007D5A8C">
        <w:rPr>
          <w:rFonts w:asciiTheme="minorHAnsi" w:hAnsiTheme="minorHAnsi"/>
          <w:i w:val="0"/>
        </w:rPr>
        <w:t xml:space="preserve"> i stan zdrowia mieszkańców</w:t>
      </w:r>
    </w:p>
    <w:p w:rsidR="00092EFF" w:rsidRDefault="00092EFF" w:rsidP="00306654">
      <w:pPr>
        <w:ind w:firstLine="708"/>
        <w:jc w:val="both"/>
        <w:rPr>
          <w:szCs w:val="20"/>
        </w:rPr>
      </w:pPr>
    </w:p>
    <w:p w:rsidR="00092EFF" w:rsidRDefault="00092EFF" w:rsidP="00092EFF">
      <w:pPr>
        <w:ind w:firstLine="708"/>
        <w:jc w:val="both"/>
        <w:rPr>
          <w:rFonts w:ascii="Calibri" w:hAnsi="Calibri" w:cs="Calibri"/>
          <w:szCs w:val="20"/>
        </w:rPr>
      </w:pPr>
      <w:r>
        <w:rPr>
          <w:rFonts w:ascii="Calibri" w:hAnsi="Calibri" w:cs="Calibri"/>
          <w:szCs w:val="20"/>
        </w:rPr>
        <w:t xml:space="preserve">Analiza zagadnień problemowych w obszarze zdrowia, a także sytuacji osób niepełnosprawnych napotyka na istotne przeszkody wynikające z charakteru danych koniecznych do pozyskania, które nie tylko wiążą się z ochroną danych osobowych, ale należą do grupy danych wrażliwych. </w:t>
      </w:r>
    </w:p>
    <w:p w:rsidR="00092EFF" w:rsidRDefault="00092EFF" w:rsidP="00092EFF">
      <w:pPr>
        <w:ind w:firstLine="708"/>
        <w:jc w:val="both"/>
        <w:rPr>
          <w:rFonts w:ascii="Calibri" w:hAnsi="Calibri" w:cs="Calibri"/>
          <w:szCs w:val="20"/>
        </w:rPr>
      </w:pPr>
      <w:r>
        <w:rPr>
          <w:rFonts w:ascii="Calibri" w:hAnsi="Calibri" w:cs="Calibri"/>
          <w:szCs w:val="20"/>
        </w:rPr>
        <w:t>Na podstawie uzyskanych informacji, najczęściej stwierdzaną grupą chorób wśród pacjentów w wieku powyżej 19 lat, objętych opieką lekarza POZ, są w Bytomiu choroby układu krążenia oraz nowotwory. Obserwuje się wzrost liczby osób, u których zdiagnozowano zaburzenia zachowania i choroby psychiczne, a</w:t>
      </w:r>
      <w:r w:rsidR="00037798">
        <w:rPr>
          <w:rFonts w:ascii="Calibri" w:hAnsi="Calibri" w:cs="Calibri"/>
          <w:szCs w:val="20"/>
        </w:rPr>
        <w:t> </w:t>
      </w:r>
      <w:r>
        <w:rPr>
          <w:rFonts w:ascii="Calibri" w:hAnsi="Calibri" w:cs="Calibri"/>
          <w:szCs w:val="20"/>
        </w:rPr>
        <w:t>także osób poddawanych terapii uzależnień, głównie w grupie osób w wieku produkcyjnym. Wzrost jest w</w:t>
      </w:r>
      <w:r w:rsidR="00037798">
        <w:rPr>
          <w:rFonts w:ascii="Calibri" w:hAnsi="Calibri" w:cs="Calibri"/>
          <w:szCs w:val="20"/>
        </w:rPr>
        <w:t> </w:t>
      </w:r>
      <w:r>
        <w:rPr>
          <w:rFonts w:ascii="Calibri" w:hAnsi="Calibri" w:cs="Calibri"/>
          <w:szCs w:val="20"/>
        </w:rPr>
        <w:t>pewnym stopniu wynikiem rosnącej świadomości charakteru tych zaburzeń – dawniej osoby nimi dotknięte rzadziej zgłaszały się do lekarza. Skala zjawiska wymaga jednak podjęcia działań zaradczych. W tabeli zestawiono dane zebrane przez Zespół analizujący na potrzeby GPR aspekty zdrowotne</w:t>
      </w:r>
      <w:r>
        <w:rPr>
          <w:rStyle w:val="Odwoanieprzypisudolnego"/>
          <w:rFonts w:ascii="Calibri" w:hAnsi="Calibri" w:cs="Calibri"/>
          <w:szCs w:val="20"/>
        </w:rPr>
        <w:footnoteReference w:id="16"/>
      </w:r>
      <w:r>
        <w:rPr>
          <w:rFonts w:ascii="Calibri" w:hAnsi="Calibri" w:cs="Calibri"/>
          <w:szCs w:val="20"/>
        </w:rPr>
        <w:t xml:space="preserve">. </w:t>
      </w:r>
    </w:p>
    <w:p w:rsidR="00092EFF" w:rsidRDefault="00092EFF" w:rsidP="00092EFF">
      <w:pPr>
        <w:pStyle w:val="Legenda"/>
        <w:spacing w:line="312" w:lineRule="auto"/>
      </w:pPr>
    </w:p>
    <w:p w:rsidR="0030134A" w:rsidRDefault="0030134A" w:rsidP="0030134A"/>
    <w:p w:rsidR="0030134A" w:rsidRDefault="0030134A" w:rsidP="0030134A"/>
    <w:p w:rsidR="0030134A" w:rsidRDefault="0030134A" w:rsidP="0030134A"/>
    <w:p w:rsidR="0030134A" w:rsidRDefault="0030134A" w:rsidP="0030134A"/>
    <w:p w:rsidR="0030134A" w:rsidRPr="0030134A" w:rsidRDefault="0030134A" w:rsidP="0030134A"/>
    <w:p w:rsidR="00092EFF" w:rsidRDefault="00092EFF" w:rsidP="00092EFF">
      <w:pPr>
        <w:pStyle w:val="Legenda"/>
        <w:spacing w:line="312" w:lineRule="auto"/>
        <w:rPr>
          <w:rFonts w:ascii="Calibri" w:hAnsi="Calibri" w:cs="Calibri"/>
        </w:rPr>
      </w:pPr>
      <w:bookmarkStart w:id="4086" w:name="_Toc202771110"/>
      <w:r>
        <w:rPr>
          <w:rFonts w:ascii="Calibri" w:hAnsi="Calibri" w:cs="Calibri"/>
        </w:rPr>
        <w:lastRenderedPageBreak/>
        <w:t xml:space="preserve">Tabela </w:t>
      </w:r>
      <w:r w:rsidR="003972D8">
        <w:rPr>
          <w:rFonts w:ascii="Calibri" w:hAnsi="Calibri" w:cs="Calibri"/>
        </w:rPr>
        <w:fldChar w:fldCharType="begin"/>
      </w:r>
      <w:r>
        <w:rPr>
          <w:rFonts w:ascii="Calibri" w:hAnsi="Calibri" w:cs="Calibri"/>
        </w:rPr>
        <w:instrText xml:space="preserve"> SEQ Tabela \* ARABIC </w:instrText>
      </w:r>
      <w:r w:rsidR="003972D8">
        <w:rPr>
          <w:rFonts w:ascii="Calibri" w:hAnsi="Calibri" w:cs="Calibri"/>
        </w:rPr>
        <w:fldChar w:fldCharType="separate"/>
      </w:r>
      <w:r w:rsidR="00413FFE">
        <w:rPr>
          <w:rFonts w:ascii="Calibri" w:hAnsi="Calibri" w:cs="Calibri"/>
          <w:noProof/>
        </w:rPr>
        <w:t>16</w:t>
      </w:r>
      <w:r w:rsidR="003972D8">
        <w:rPr>
          <w:rFonts w:ascii="Calibri" w:hAnsi="Calibri" w:cs="Calibri"/>
        </w:rPr>
        <w:fldChar w:fldCharType="end"/>
      </w:r>
      <w:r>
        <w:rPr>
          <w:rFonts w:ascii="Calibri" w:hAnsi="Calibri" w:cs="Calibri"/>
        </w:rPr>
        <w:t>. Zaburzenia i choroby psychiczne w Bytomiu</w:t>
      </w:r>
      <w:bookmarkEnd w:id="4086"/>
      <w:r>
        <w:rPr>
          <w:rFonts w:ascii="Calibri" w:hAnsi="Calibri" w:cs="Calibri"/>
        </w:rPr>
        <w:t xml:space="preserve"> </w:t>
      </w:r>
    </w:p>
    <w:tbl>
      <w:tblPr>
        <w:tblW w:w="9180" w:type="dxa"/>
        <w:tblInd w:w="-68" w:type="dxa"/>
        <w:tblCellMar>
          <w:left w:w="70" w:type="dxa"/>
          <w:right w:w="70" w:type="dxa"/>
        </w:tblCellMar>
        <w:tblLook w:val="0000"/>
      </w:tblPr>
      <w:tblGrid>
        <w:gridCol w:w="5340"/>
        <w:gridCol w:w="1280"/>
        <w:gridCol w:w="1280"/>
        <w:gridCol w:w="1280"/>
      </w:tblGrid>
      <w:tr w:rsidR="00092EFF" w:rsidRPr="00500A22" w:rsidTr="00D44CBD">
        <w:trPr>
          <w:trHeight w:val="285"/>
        </w:trPr>
        <w:tc>
          <w:tcPr>
            <w:tcW w:w="5340" w:type="dxa"/>
            <w:tcBorders>
              <w:top w:val="single" w:sz="4" w:space="0" w:color="auto"/>
              <w:left w:val="single" w:sz="4" w:space="0" w:color="auto"/>
              <w:bottom w:val="single" w:sz="4" w:space="0" w:color="auto"/>
              <w:right w:val="single" w:sz="4" w:space="0" w:color="auto"/>
            </w:tcBorders>
            <w:shd w:val="clear" w:color="auto" w:fill="99CCFF"/>
            <w:noWrap/>
            <w:vAlign w:val="center"/>
          </w:tcPr>
          <w:p w:rsidR="00092EFF" w:rsidRPr="00500A22" w:rsidRDefault="00092EFF" w:rsidP="00D44CBD">
            <w:pPr>
              <w:jc w:val="center"/>
              <w:rPr>
                <w:rFonts w:eastAsiaTheme="minorEastAsia" w:cs="Calibri"/>
                <w:b/>
                <w:bCs/>
                <w:color w:val="000000"/>
                <w:szCs w:val="20"/>
              </w:rPr>
            </w:pPr>
            <w:r w:rsidRPr="00500A22">
              <w:rPr>
                <w:rFonts w:eastAsiaTheme="minorEastAsia" w:cs="Calibri"/>
                <w:b/>
                <w:bCs/>
                <w:color w:val="000000"/>
                <w:szCs w:val="20"/>
              </w:rPr>
              <w:t>Wyszczególnienie</w:t>
            </w:r>
          </w:p>
        </w:tc>
        <w:tc>
          <w:tcPr>
            <w:tcW w:w="1280" w:type="dxa"/>
            <w:tcBorders>
              <w:top w:val="single" w:sz="4" w:space="0" w:color="auto"/>
              <w:left w:val="nil"/>
              <w:bottom w:val="single" w:sz="4" w:space="0" w:color="auto"/>
              <w:right w:val="single" w:sz="4" w:space="0" w:color="auto"/>
            </w:tcBorders>
            <w:shd w:val="clear" w:color="auto" w:fill="99CCFF"/>
            <w:noWrap/>
            <w:vAlign w:val="center"/>
          </w:tcPr>
          <w:p w:rsidR="00092EFF" w:rsidRPr="00500A22" w:rsidRDefault="00092EFF" w:rsidP="00D44CBD">
            <w:pPr>
              <w:jc w:val="center"/>
              <w:rPr>
                <w:rFonts w:eastAsiaTheme="minorEastAsia" w:cs="Calibri"/>
                <w:b/>
                <w:bCs/>
                <w:color w:val="000000"/>
                <w:szCs w:val="20"/>
              </w:rPr>
            </w:pPr>
            <w:r w:rsidRPr="00500A22">
              <w:rPr>
                <w:rFonts w:eastAsiaTheme="minorEastAsia" w:cs="Calibri"/>
                <w:b/>
                <w:bCs/>
                <w:color w:val="000000"/>
                <w:szCs w:val="20"/>
              </w:rPr>
              <w:t>2013</w:t>
            </w:r>
          </w:p>
        </w:tc>
        <w:tc>
          <w:tcPr>
            <w:tcW w:w="1280" w:type="dxa"/>
            <w:tcBorders>
              <w:top w:val="single" w:sz="4" w:space="0" w:color="auto"/>
              <w:left w:val="nil"/>
              <w:bottom w:val="single" w:sz="4" w:space="0" w:color="auto"/>
              <w:right w:val="single" w:sz="4" w:space="0" w:color="auto"/>
            </w:tcBorders>
            <w:shd w:val="clear" w:color="auto" w:fill="99CCFF"/>
            <w:noWrap/>
            <w:vAlign w:val="center"/>
          </w:tcPr>
          <w:p w:rsidR="00092EFF" w:rsidRPr="00500A22" w:rsidRDefault="00092EFF" w:rsidP="00D44CBD">
            <w:pPr>
              <w:jc w:val="center"/>
              <w:rPr>
                <w:rFonts w:eastAsiaTheme="minorEastAsia" w:cs="Calibri"/>
                <w:b/>
                <w:bCs/>
                <w:color w:val="000000"/>
                <w:szCs w:val="20"/>
              </w:rPr>
            </w:pPr>
            <w:r w:rsidRPr="00500A22">
              <w:rPr>
                <w:rFonts w:eastAsiaTheme="minorEastAsia" w:cs="Calibri"/>
                <w:b/>
                <w:bCs/>
                <w:color w:val="000000"/>
                <w:szCs w:val="20"/>
              </w:rPr>
              <w:t>2014</w:t>
            </w:r>
          </w:p>
        </w:tc>
        <w:tc>
          <w:tcPr>
            <w:tcW w:w="1280" w:type="dxa"/>
            <w:tcBorders>
              <w:top w:val="single" w:sz="4" w:space="0" w:color="auto"/>
              <w:left w:val="nil"/>
              <w:bottom w:val="single" w:sz="4" w:space="0" w:color="auto"/>
              <w:right w:val="single" w:sz="4" w:space="0" w:color="auto"/>
            </w:tcBorders>
            <w:shd w:val="clear" w:color="auto" w:fill="99CCFF"/>
            <w:noWrap/>
            <w:vAlign w:val="center"/>
          </w:tcPr>
          <w:p w:rsidR="00092EFF" w:rsidRPr="00500A22" w:rsidRDefault="00092EFF" w:rsidP="00D44CBD">
            <w:pPr>
              <w:jc w:val="center"/>
              <w:rPr>
                <w:rFonts w:eastAsiaTheme="minorEastAsia" w:cs="Calibri"/>
                <w:b/>
                <w:bCs/>
                <w:color w:val="000000"/>
                <w:szCs w:val="20"/>
              </w:rPr>
            </w:pPr>
            <w:r w:rsidRPr="00500A22">
              <w:rPr>
                <w:rFonts w:eastAsiaTheme="minorEastAsia" w:cs="Calibri"/>
                <w:b/>
                <w:bCs/>
                <w:color w:val="000000"/>
                <w:szCs w:val="20"/>
              </w:rPr>
              <w:t>2015</w:t>
            </w:r>
          </w:p>
        </w:tc>
      </w:tr>
      <w:tr w:rsidR="00092EFF" w:rsidRPr="00500A22" w:rsidTr="00E51A8B">
        <w:trPr>
          <w:trHeight w:val="285"/>
        </w:trPr>
        <w:tc>
          <w:tcPr>
            <w:tcW w:w="5340" w:type="dxa"/>
            <w:tcBorders>
              <w:top w:val="nil"/>
              <w:left w:val="single" w:sz="4" w:space="0" w:color="auto"/>
              <w:bottom w:val="single" w:sz="4" w:space="0" w:color="auto"/>
              <w:right w:val="single" w:sz="4" w:space="0" w:color="auto"/>
            </w:tcBorders>
            <w:noWrap/>
            <w:vAlign w:val="bottom"/>
          </w:tcPr>
          <w:p w:rsidR="00092EFF" w:rsidRPr="00500A22" w:rsidRDefault="00092EFF" w:rsidP="00E51A8B">
            <w:pPr>
              <w:rPr>
                <w:rFonts w:eastAsiaTheme="minorEastAsia" w:cs="Calibri"/>
                <w:color w:val="000000"/>
                <w:szCs w:val="20"/>
              </w:rPr>
            </w:pPr>
            <w:r w:rsidRPr="00500A22">
              <w:rPr>
                <w:rFonts w:eastAsiaTheme="minorEastAsia" w:cs="Calibri"/>
                <w:color w:val="000000"/>
                <w:szCs w:val="20"/>
              </w:rPr>
              <w:t>Liczba pacjentów Poradni Zdrowia Psychicznego Wojewódzkiego Szpitala Specjalistycznego nr 4</w:t>
            </w:r>
          </w:p>
        </w:tc>
        <w:tc>
          <w:tcPr>
            <w:tcW w:w="1280" w:type="dxa"/>
            <w:tcBorders>
              <w:top w:val="nil"/>
              <w:left w:val="nil"/>
              <w:bottom w:val="single" w:sz="4" w:space="0" w:color="auto"/>
              <w:right w:val="single" w:sz="4" w:space="0" w:color="auto"/>
            </w:tcBorders>
            <w:noWrap/>
            <w:vAlign w:val="bottom"/>
          </w:tcPr>
          <w:p w:rsidR="00092EFF" w:rsidRPr="00500A22" w:rsidRDefault="00092EFF" w:rsidP="00E51A8B">
            <w:pPr>
              <w:jc w:val="center"/>
              <w:rPr>
                <w:rFonts w:eastAsiaTheme="minorEastAsia" w:cs="Calibri"/>
                <w:color w:val="000000"/>
                <w:szCs w:val="20"/>
              </w:rPr>
            </w:pPr>
            <w:r w:rsidRPr="00500A22">
              <w:rPr>
                <w:rFonts w:eastAsiaTheme="minorEastAsia" w:cs="Calibri"/>
                <w:color w:val="000000"/>
                <w:szCs w:val="20"/>
              </w:rPr>
              <w:t>1000</w:t>
            </w:r>
          </w:p>
        </w:tc>
        <w:tc>
          <w:tcPr>
            <w:tcW w:w="1280" w:type="dxa"/>
            <w:tcBorders>
              <w:top w:val="nil"/>
              <w:left w:val="nil"/>
              <w:bottom w:val="single" w:sz="4" w:space="0" w:color="auto"/>
              <w:right w:val="single" w:sz="4" w:space="0" w:color="auto"/>
            </w:tcBorders>
            <w:noWrap/>
            <w:vAlign w:val="bottom"/>
          </w:tcPr>
          <w:p w:rsidR="00092EFF" w:rsidRPr="00500A22" w:rsidRDefault="00092EFF" w:rsidP="00E51A8B">
            <w:pPr>
              <w:jc w:val="center"/>
              <w:rPr>
                <w:rFonts w:eastAsiaTheme="minorEastAsia" w:cs="Calibri"/>
                <w:color w:val="000000"/>
                <w:szCs w:val="20"/>
              </w:rPr>
            </w:pPr>
            <w:r w:rsidRPr="00500A22">
              <w:rPr>
                <w:rFonts w:eastAsiaTheme="minorEastAsia" w:cs="Calibri"/>
                <w:color w:val="000000"/>
                <w:szCs w:val="20"/>
              </w:rPr>
              <w:t>1065</w:t>
            </w:r>
          </w:p>
        </w:tc>
        <w:tc>
          <w:tcPr>
            <w:tcW w:w="1280" w:type="dxa"/>
            <w:tcBorders>
              <w:top w:val="nil"/>
              <w:left w:val="nil"/>
              <w:bottom w:val="single" w:sz="4" w:space="0" w:color="auto"/>
              <w:right w:val="single" w:sz="4" w:space="0" w:color="auto"/>
            </w:tcBorders>
            <w:noWrap/>
            <w:vAlign w:val="bottom"/>
          </w:tcPr>
          <w:p w:rsidR="00092EFF" w:rsidRPr="00500A22" w:rsidRDefault="00092EFF" w:rsidP="00E51A8B">
            <w:pPr>
              <w:jc w:val="center"/>
              <w:rPr>
                <w:rFonts w:eastAsiaTheme="minorEastAsia" w:cs="Calibri"/>
                <w:color w:val="000000"/>
                <w:szCs w:val="20"/>
              </w:rPr>
            </w:pPr>
            <w:r w:rsidRPr="00500A22">
              <w:rPr>
                <w:rFonts w:eastAsiaTheme="minorEastAsia" w:cs="Calibri"/>
                <w:color w:val="000000"/>
                <w:szCs w:val="20"/>
              </w:rPr>
              <w:t>1090</w:t>
            </w:r>
          </w:p>
        </w:tc>
      </w:tr>
      <w:tr w:rsidR="00092EFF" w:rsidRPr="00500A22" w:rsidTr="00E51A8B">
        <w:trPr>
          <w:trHeight w:val="285"/>
        </w:trPr>
        <w:tc>
          <w:tcPr>
            <w:tcW w:w="5340" w:type="dxa"/>
            <w:tcBorders>
              <w:top w:val="nil"/>
              <w:left w:val="single" w:sz="4" w:space="0" w:color="auto"/>
              <w:bottom w:val="single" w:sz="4" w:space="0" w:color="auto"/>
              <w:right w:val="single" w:sz="4" w:space="0" w:color="auto"/>
            </w:tcBorders>
            <w:noWrap/>
            <w:vAlign w:val="bottom"/>
          </w:tcPr>
          <w:p w:rsidR="00092EFF" w:rsidRPr="00500A22" w:rsidRDefault="00092EFF" w:rsidP="00E51A8B">
            <w:pPr>
              <w:rPr>
                <w:rFonts w:eastAsiaTheme="minorEastAsia" w:cs="Calibri"/>
                <w:color w:val="000000"/>
                <w:szCs w:val="20"/>
              </w:rPr>
            </w:pPr>
            <w:r w:rsidRPr="00500A22">
              <w:rPr>
                <w:rFonts w:eastAsiaTheme="minorEastAsia" w:cs="Calibri"/>
                <w:color w:val="000000"/>
                <w:szCs w:val="20"/>
              </w:rPr>
              <w:t xml:space="preserve">    -</w:t>
            </w:r>
            <w:r w:rsidR="00316783">
              <w:rPr>
                <w:rFonts w:eastAsiaTheme="minorEastAsia" w:cs="Calibri"/>
                <w:color w:val="000000"/>
                <w:szCs w:val="20"/>
              </w:rPr>
              <w:t xml:space="preserve"> </w:t>
            </w:r>
            <w:r w:rsidRPr="00500A22">
              <w:rPr>
                <w:rFonts w:eastAsiaTheme="minorEastAsia" w:cs="Calibri"/>
                <w:color w:val="000000"/>
                <w:szCs w:val="20"/>
              </w:rPr>
              <w:t>w tym w wieku produkcyjnym</w:t>
            </w:r>
          </w:p>
        </w:tc>
        <w:tc>
          <w:tcPr>
            <w:tcW w:w="1280" w:type="dxa"/>
            <w:tcBorders>
              <w:top w:val="nil"/>
              <w:left w:val="nil"/>
              <w:bottom w:val="single" w:sz="4" w:space="0" w:color="auto"/>
              <w:right w:val="single" w:sz="4" w:space="0" w:color="auto"/>
            </w:tcBorders>
            <w:noWrap/>
            <w:vAlign w:val="bottom"/>
          </w:tcPr>
          <w:p w:rsidR="00092EFF" w:rsidRPr="00500A22" w:rsidRDefault="00092EFF" w:rsidP="00E51A8B">
            <w:pPr>
              <w:jc w:val="center"/>
              <w:rPr>
                <w:rFonts w:eastAsiaTheme="minorEastAsia" w:cs="Calibri"/>
                <w:color w:val="000000"/>
                <w:szCs w:val="20"/>
              </w:rPr>
            </w:pPr>
            <w:r w:rsidRPr="00500A22">
              <w:rPr>
                <w:rFonts w:eastAsiaTheme="minorEastAsia" w:cs="Calibri"/>
                <w:color w:val="000000"/>
                <w:szCs w:val="20"/>
              </w:rPr>
              <w:t>778</w:t>
            </w:r>
          </w:p>
        </w:tc>
        <w:tc>
          <w:tcPr>
            <w:tcW w:w="1280" w:type="dxa"/>
            <w:tcBorders>
              <w:top w:val="nil"/>
              <w:left w:val="nil"/>
              <w:bottom w:val="single" w:sz="4" w:space="0" w:color="auto"/>
              <w:right w:val="single" w:sz="4" w:space="0" w:color="auto"/>
            </w:tcBorders>
            <w:noWrap/>
            <w:vAlign w:val="bottom"/>
          </w:tcPr>
          <w:p w:rsidR="00092EFF" w:rsidRPr="00500A22" w:rsidRDefault="00092EFF" w:rsidP="00E51A8B">
            <w:pPr>
              <w:jc w:val="center"/>
              <w:rPr>
                <w:rFonts w:eastAsiaTheme="minorEastAsia" w:cs="Calibri"/>
                <w:color w:val="000000"/>
                <w:szCs w:val="20"/>
              </w:rPr>
            </w:pPr>
            <w:r w:rsidRPr="00500A22">
              <w:rPr>
                <w:rFonts w:eastAsiaTheme="minorEastAsia" w:cs="Calibri"/>
                <w:color w:val="000000"/>
                <w:szCs w:val="20"/>
              </w:rPr>
              <w:t>884</w:t>
            </w:r>
          </w:p>
        </w:tc>
        <w:tc>
          <w:tcPr>
            <w:tcW w:w="1280" w:type="dxa"/>
            <w:tcBorders>
              <w:top w:val="nil"/>
              <w:left w:val="nil"/>
              <w:bottom w:val="single" w:sz="4" w:space="0" w:color="auto"/>
              <w:right w:val="single" w:sz="4" w:space="0" w:color="auto"/>
            </w:tcBorders>
            <w:noWrap/>
            <w:vAlign w:val="bottom"/>
          </w:tcPr>
          <w:p w:rsidR="00092EFF" w:rsidRPr="00500A22" w:rsidRDefault="00092EFF" w:rsidP="00E51A8B">
            <w:pPr>
              <w:jc w:val="center"/>
              <w:rPr>
                <w:rFonts w:eastAsiaTheme="minorEastAsia" w:cs="Calibri"/>
                <w:color w:val="000000"/>
                <w:szCs w:val="20"/>
              </w:rPr>
            </w:pPr>
            <w:r w:rsidRPr="00500A22">
              <w:rPr>
                <w:rFonts w:eastAsiaTheme="minorEastAsia" w:cs="Calibri"/>
                <w:color w:val="000000"/>
                <w:szCs w:val="20"/>
              </w:rPr>
              <w:t>873</w:t>
            </w:r>
          </w:p>
        </w:tc>
      </w:tr>
      <w:tr w:rsidR="00092EFF" w:rsidRPr="00500A22" w:rsidTr="00E51A8B">
        <w:trPr>
          <w:trHeight w:val="285"/>
        </w:trPr>
        <w:tc>
          <w:tcPr>
            <w:tcW w:w="5340" w:type="dxa"/>
            <w:tcBorders>
              <w:top w:val="nil"/>
              <w:left w:val="single" w:sz="4" w:space="0" w:color="auto"/>
              <w:bottom w:val="single" w:sz="4" w:space="0" w:color="auto"/>
              <w:right w:val="single" w:sz="4" w:space="0" w:color="auto"/>
            </w:tcBorders>
            <w:noWrap/>
            <w:vAlign w:val="bottom"/>
          </w:tcPr>
          <w:p w:rsidR="00092EFF" w:rsidRPr="00500A22" w:rsidRDefault="00092EFF" w:rsidP="00E51A8B">
            <w:pPr>
              <w:rPr>
                <w:rFonts w:eastAsiaTheme="minorEastAsia" w:cs="Calibri"/>
                <w:color w:val="000000"/>
                <w:szCs w:val="20"/>
              </w:rPr>
            </w:pPr>
            <w:r w:rsidRPr="00500A22">
              <w:rPr>
                <w:rFonts w:eastAsiaTheme="minorEastAsia" w:cs="Calibri"/>
                <w:color w:val="000000"/>
                <w:szCs w:val="20"/>
              </w:rPr>
              <w:t>Liczba pacjentów Oddziału Psychiatrycznego Dziennego</w:t>
            </w:r>
          </w:p>
        </w:tc>
        <w:tc>
          <w:tcPr>
            <w:tcW w:w="1280" w:type="dxa"/>
            <w:tcBorders>
              <w:top w:val="nil"/>
              <w:left w:val="nil"/>
              <w:bottom w:val="single" w:sz="4" w:space="0" w:color="auto"/>
              <w:right w:val="single" w:sz="4" w:space="0" w:color="auto"/>
            </w:tcBorders>
            <w:noWrap/>
            <w:vAlign w:val="bottom"/>
          </w:tcPr>
          <w:p w:rsidR="00092EFF" w:rsidRPr="00500A22" w:rsidRDefault="00092EFF" w:rsidP="00E51A8B">
            <w:pPr>
              <w:jc w:val="center"/>
              <w:rPr>
                <w:rFonts w:eastAsiaTheme="minorEastAsia" w:cs="Calibri"/>
                <w:color w:val="000000"/>
                <w:szCs w:val="20"/>
              </w:rPr>
            </w:pPr>
            <w:r w:rsidRPr="00500A22">
              <w:rPr>
                <w:rFonts w:eastAsiaTheme="minorEastAsia" w:cs="Calibri"/>
                <w:color w:val="000000"/>
                <w:szCs w:val="20"/>
              </w:rPr>
              <w:t>101</w:t>
            </w:r>
          </w:p>
        </w:tc>
        <w:tc>
          <w:tcPr>
            <w:tcW w:w="1280" w:type="dxa"/>
            <w:tcBorders>
              <w:top w:val="nil"/>
              <w:left w:val="nil"/>
              <w:bottom w:val="single" w:sz="4" w:space="0" w:color="auto"/>
              <w:right w:val="single" w:sz="4" w:space="0" w:color="auto"/>
            </w:tcBorders>
            <w:noWrap/>
            <w:vAlign w:val="bottom"/>
          </w:tcPr>
          <w:p w:rsidR="00092EFF" w:rsidRPr="00500A22" w:rsidRDefault="00092EFF" w:rsidP="00E51A8B">
            <w:pPr>
              <w:jc w:val="center"/>
              <w:rPr>
                <w:rFonts w:eastAsiaTheme="minorEastAsia" w:cs="Calibri"/>
                <w:color w:val="000000"/>
                <w:szCs w:val="20"/>
              </w:rPr>
            </w:pPr>
            <w:r w:rsidRPr="00500A22">
              <w:rPr>
                <w:rFonts w:eastAsiaTheme="minorEastAsia" w:cs="Calibri"/>
                <w:color w:val="000000"/>
                <w:szCs w:val="20"/>
              </w:rPr>
              <w:t>109</w:t>
            </w:r>
          </w:p>
        </w:tc>
        <w:tc>
          <w:tcPr>
            <w:tcW w:w="1280" w:type="dxa"/>
            <w:tcBorders>
              <w:top w:val="nil"/>
              <w:left w:val="nil"/>
              <w:bottom w:val="single" w:sz="4" w:space="0" w:color="auto"/>
              <w:right w:val="single" w:sz="4" w:space="0" w:color="auto"/>
            </w:tcBorders>
            <w:noWrap/>
            <w:vAlign w:val="bottom"/>
          </w:tcPr>
          <w:p w:rsidR="00092EFF" w:rsidRPr="00500A22" w:rsidRDefault="00092EFF" w:rsidP="00E51A8B">
            <w:pPr>
              <w:jc w:val="center"/>
              <w:rPr>
                <w:rFonts w:eastAsiaTheme="minorEastAsia" w:cs="Calibri"/>
                <w:color w:val="000000"/>
                <w:szCs w:val="20"/>
              </w:rPr>
            </w:pPr>
            <w:r w:rsidRPr="00500A22">
              <w:rPr>
                <w:rFonts w:eastAsiaTheme="minorEastAsia" w:cs="Calibri"/>
                <w:color w:val="000000"/>
                <w:szCs w:val="20"/>
              </w:rPr>
              <w:t>103</w:t>
            </w:r>
          </w:p>
        </w:tc>
      </w:tr>
      <w:tr w:rsidR="00092EFF" w:rsidRPr="00500A22" w:rsidTr="00E51A8B">
        <w:trPr>
          <w:trHeight w:val="285"/>
        </w:trPr>
        <w:tc>
          <w:tcPr>
            <w:tcW w:w="5340" w:type="dxa"/>
            <w:tcBorders>
              <w:top w:val="nil"/>
              <w:left w:val="single" w:sz="4" w:space="0" w:color="auto"/>
              <w:bottom w:val="single" w:sz="4" w:space="0" w:color="auto"/>
              <w:right w:val="single" w:sz="4" w:space="0" w:color="auto"/>
            </w:tcBorders>
            <w:noWrap/>
            <w:vAlign w:val="bottom"/>
          </w:tcPr>
          <w:p w:rsidR="00092EFF" w:rsidRPr="00500A22" w:rsidRDefault="00092EFF" w:rsidP="00E51A8B">
            <w:pPr>
              <w:rPr>
                <w:rFonts w:eastAsiaTheme="minorEastAsia" w:cs="Calibri"/>
                <w:color w:val="000000"/>
                <w:szCs w:val="20"/>
              </w:rPr>
            </w:pPr>
            <w:r w:rsidRPr="00500A22">
              <w:rPr>
                <w:rFonts w:eastAsiaTheme="minorEastAsia" w:cs="Calibri"/>
                <w:color w:val="000000"/>
                <w:szCs w:val="20"/>
              </w:rPr>
              <w:t xml:space="preserve">    -</w:t>
            </w:r>
            <w:r w:rsidR="00316783">
              <w:rPr>
                <w:rFonts w:eastAsiaTheme="minorEastAsia" w:cs="Calibri"/>
                <w:color w:val="000000"/>
                <w:szCs w:val="20"/>
              </w:rPr>
              <w:t xml:space="preserve"> </w:t>
            </w:r>
            <w:r w:rsidRPr="00500A22">
              <w:rPr>
                <w:rFonts w:eastAsiaTheme="minorEastAsia" w:cs="Calibri"/>
                <w:color w:val="000000"/>
                <w:szCs w:val="20"/>
              </w:rPr>
              <w:t>w tym w wieku produkcyjnym</w:t>
            </w:r>
          </w:p>
        </w:tc>
        <w:tc>
          <w:tcPr>
            <w:tcW w:w="1280" w:type="dxa"/>
            <w:tcBorders>
              <w:top w:val="nil"/>
              <w:left w:val="nil"/>
              <w:bottom w:val="single" w:sz="4" w:space="0" w:color="auto"/>
              <w:right w:val="single" w:sz="4" w:space="0" w:color="auto"/>
            </w:tcBorders>
            <w:noWrap/>
            <w:vAlign w:val="bottom"/>
          </w:tcPr>
          <w:p w:rsidR="00092EFF" w:rsidRPr="00500A22" w:rsidRDefault="00092EFF" w:rsidP="00E51A8B">
            <w:pPr>
              <w:jc w:val="center"/>
              <w:rPr>
                <w:rFonts w:eastAsiaTheme="minorEastAsia" w:cs="Calibri"/>
                <w:color w:val="000000"/>
                <w:szCs w:val="20"/>
              </w:rPr>
            </w:pPr>
            <w:r w:rsidRPr="00500A22">
              <w:rPr>
                <w:rFonts w:eastAsiaTheme="minorEastAsia" w:cs="Calibri"/>
                <w:color w:val="000000"/>
                <w:szCs w:val="20"/>
              </w:rPr>
              <w:t>78</w:t>
            </w:r>
          </w:p>
        </w:tc>
        <w:tc>
          <w:tcPr>
            <w:tcW w:w="1280" w:type="dxa"/>
            <w:tcBorders>
              <w:top w:val="nil"/>
              <w:left w:val="nil"/>
              <w:bottom w:val="single" w:sz="4" w:space="0" w:color="auto"/>
              <w:right w:val="single" w:sz="4" w:space="0" w:color="auto"/>
            </w:tcBorders>
            <w:noWrap/>
            <w:vAlign w:val="bottom"/>
          </w:tcPr>
          <w:p w:rsidR="00092EFF" w:rsidRPr="00500A22" w:rsidRDefault="00092EFF" w:rsidP="00E51A8B">
            <w:pPr>
              <w:jc w:val="center"/>
              <w:rPr>
                <w:rFonts w:eastAsiaTheme="minorEastAsia" w:cs="Calibri"/>
                <w:color w:val="000000"/>
                <w:szCs w:val="20"/>
              </w:rPr>
            </w:pPr>
            <w:r w:rsidRPr="00500A22">
              <w:rPr>
                <w:rFonts w:eastAsiaTheme="minorEastAsia" w:cs="Calibri"/>
                <w:color w:val="000000"/>
                <w:szCs w:val="20"/>
              </w:rPr>
              <w:t>109</w:t>
            </w:r>
          </w:p>
        </w:tc>
        <w:tc>
          <w:tcPr>
            <w:tcW w:w="1280" w:type="dxa"/>
            <w:tcBorders>
              <w:top w:val="nil"/>
              <w:left w:val="nil"/>
              <w:bottom w:val="single" w:sz="4" w:space="0" w:color="auto"/>
              <w:right w:val="single" w:sz="4" w:space="0" w:color="auto"/>
            </w:tcBorders>
            <w:noWrap/>
            <w:vAlign w:val="bottom"/>
          </w:tcPr>
          <w:p w:rsidR="00092EFF" w:rsidRPr="00500A22" w:rsidRDefault="00092EFF" w:rsidP="00E51A8B">
            <w:pPr>
              <w:jc w:val="center"/>
              <w:rPr>
                <w:rFonts w:eastAsiaTheme="minorEastAsia" w:cs="Calibri"/>
                <w:color w:val="000000"/>
                <w:szCs w:val="20"/>
              </w:rPr>
            </w:pPr>
            <w:r w:rsidRPr="00500A22">
              <w:rPr>
                <w:rFonts w:eastAsiaTheme="minorEastAsia" w:cs="Calibri"/>
                <w:color w:val="000000"/>
                <w:szCs w:val="20"/>
              </w:rPr>
              <w:t>92</w:t>
            </w:r>
          </w:p>
        </w:tc>
      </w:tr>
      <w:tr w:rsidR="00092EFF" w:rsidRPr="00500A22" w:rsidTr="00E51A8B">
        <w:trPr>
          <w:trHeight w:val="285"/>
        </w:trPr>
        <w:tc>
          <w:tcPr>
            <w:tcW w:w="5340" w:type="dxa"/>
            <w:tcBorders>
              <w:top w:val="nil"/>
              <w:left w:val="single" w:sz="4" w:space="0" w:color="auto"/>
              <w:bottom w:val="single" w:sz="4" w:space="0" w:color="auto"/>
              <w:right w:val="single" w:sz="4" w:space="0" w:color="auto"/>
            </w:tcBorders>
            <w:noWrap/>
            <w:vAlign w:val="bottom"/>
          </w:tcPr>
          <w:p w:rsidR="00092EFF" w:rsidRPr="00500A22" w:rsidRDefault="00092EFF" w:rsidP="00E51A8B">
            <w:pPr>
              <w:rPr>
                <w:rFonts w:eastAsiaTheme="minorEastAsia" w:cs="Calibri"/>
                <w:color w:val="000000"/>
                <w:szCs w:val="20"/>
              </w:rPr>
            </w:pPr>
            <w:r w:rsidRPr="00500A22">
              <w:rPr>
                <w:rFonts w:eastAsiaTheme="minorEastAsia" w:cs="Calibri"/>
                <w:color w:val="000000"/>
                <w:szCs w:val="20"/>
              </w:rPr>
              <w:t>Liczba pacjentów leczonych w Oddziale Psychiatrycznym</w:t>
            </w:r>
          </w:p>
        </w:tc>
        <w:tc>
          <w:tcPr>
            <w:tcW w:w="1280" w:type="dxa"/>
            <w:tcBorders>
              <w:top w:val="nil"/>
              <w:left w:val="nil"/>
              <w:bottom w:val="single" w:sz="4" w:space="0" w:color="auto"/>
              <w:right w:val="single" w:sz="4" w:space="0" w:color="auto"/>
            </w:tcBorders>
            <w:noWrap/>
            <w:vAlign w:val="bottom"/>
          </w:tcPr>
          <w:p w:rsidR="00092EFF" w:rsidRPr="00500A22" w:rsidRDefault="00092EFF" w:rsidP="00E51A8B">
            <w:pPr>
              <w:jc w:val="center"/>
              <w:rPr>
                <w:rFonts w:eastAsiaTheme="minorEastAsia" w:cs="Calibri"/>
                <w:color w:val="000000"/>
                <w:szCs w:val="20"/>
              </w:rPr>
            </w:pPr>
            <w:r w:rsidRPr="00500A22">
              <w:rPr>
                <w:rFonts w:eastAsiaTheme="minorEastAsia" w:cs="Calibri"/>
                <w:color w:val="000000"/>
                <w:szCs w:val="20"/>
              </w:rPr>
              <w:t>262</w:t>
            </w:r>
          </w:p>
        </w:tc>
        <w:tc>
          <w:tcPr>
            <w:tcW w:w="1280" w:type="dxa"/>
            <w:tcBorders>
              <w:top w:val="nil"/>
              <w:left w:val="nil"/>
              <w:bottom w:val="single" w:sz="4" w:space="0" w:color="auto"/>
              <w:right w:val="single" w:sz="4" w:space="0" w:color="auto"/>
            </w:tcBorders>
            <w:noWrap/>
            <w:vAlign w:val="bottom"/>
          </w:tcPr>
          <w:p w:rsidR="00092EFF" w:rsidRPr="00500A22" w:rsidRDefault="00092EFF" w:rsidP="00E51A8B">
            <w:pPr>
              <w:jc w:val="center"/>
              <w:rPr>
                <w:rFonts w:eastAsiaTheme="minorEastAsia" w:cs="Calibri"/>
                <w:color w:val="000000"/>
                <w:szCs w:val="20"/>
              </w:rPr>
            </w:pPr>
            <w:r w:rsidRPr="00500A22">
              <w:rPr>
                <w:rFonts w:eastAsiaTheme="minorEastAsia" w:cs="Calibri"/>
                <w:color w:val="000000"/>
                <w:szCs w:val="20"/>
              </w:rPr>
              <w:t>248</w:t>
            </w:r>
          </w:p>
        </w:tc>
        <w:tc>
          <w:tcPr>
            <w:tcW w:w="1280" w:type="dxa"/>
            <w:tcBorders>
              <w:top w:val="nil"/>
              <w:left w:val="nil"/>
              <w:bottom w:val="single" w:sz="4" w:space="0" w:color="auto"/>
              <w:right w:val="single" w:sz="4" w:space="0" w:color="auto"/>
            </w:tcBorders>
            <w:noWrap/>
            <w:vAlign w:val="bottom"/>
          </w:tcPr>
          <w:p w:rsidR="00092EFF" w:rsidRPr="00500A22" w:rsidRDefault="00092EFF" w:rsidP="00E51A8B">
            <w:pPr>
              <w:jc w:val="center"/>
              <w:rPr>
                <w:rFonts w:eastAsiaTheme="minorEastAsia" w:cs="Calibri"/>
                <w:color w:val="000000"/>
                <w:szCs w:val="20"/>
              </w:rPr>
            </w:pPr>
            <w:r w:rsidRPr="00500A22">
              <w:rPr>
                <w:rFonts w:eastAsiaTheme="minorEastAsia" w:cs="Calibri"/>
                <w:color w:val="000000"/>
                <w:szCs w:val="20"/>
              </w:rPr>
              <w:t>326</w:t>
            </w:r>
          </w:p>
        </w:tc>
      </w:tr>
      <w:tr w:rsidR="00092EFF" w:rsidRPr="00500A22" w:rsidTr="00E51A8B">
        <w:trPr>
          <w:trHeight w:val="285"/>
        </w:trPr>
        <w:tc>
          <w:tcPr>
            <w:tcW w:w="5340" w:type="dxa"/>
            <w:tcBorders>
              <w:top w:val="nil"/>
              <w:left w:val="single" w:sz="4" w:space="0" w:color="auto"/>
              <w:bottom w:val="single" w:sz="4" w:space="0" w:color="auto"/>
              <w:right w:val="single" w:sz="4" w:space="0" w:color="auto"/>
            </w:tcBorders>
            <w:noWrap/>
            <w:vAlign w:val="bottom"/>
          </w:tcPr>
          <w:p w:rsidR="00092EFF" w:rsidRPr="00500A22" w:rsidRDefault="00092EFF" w:rsidP="00E51A8B">
            <w:pPr>
              <w:rPr>
                <w:rFonts w:eastAsiaTheme="minorEastAsia" w:cs="Calibri"/>
                <w:color w:val="000000"/>
                <w:szCs w:val="20"/>
              </w:rPr>
            </w:pPr>
            <w:r w:rsidRPr="00500A22">
              <w:rPr>
                <w:rFonts w:eastAsiaTheme="minorEastAsia" w:cs="Calibri"/>
                <w:color w:val="000000"/>
                <w:szCs w:val="20"/>
              </w:rPr>
              <w:t xml:space="preserve">    -</w:t>
            </w:r>
            <w:r w:rsidR="00316783">
              <w:rPr>
                <w:rFonts w:eastAsiaTheme="minorEastAsia" w:cs="Calibri"/>
                <w:color w:val="000000"/>
                <w:szCs w:val="20"/>
              </w:rPr>
              <w:t xml:space="preserve"> </w:t>
            </w:r>
            <w:r w:rsidRPr="00500A22">
              <w:rPr>
                <w:rFonts w:eastAsiaTheme="minorEastAsia" w:cs="Calibri"/>
                <w:color w:val="000000"/>
                <w:szCs w:val="20"/>
              </w:rPr>
              <w:t>w tym w wieku produkcyjnym</w:t>
            </w:r>
          </w:p>
        </w:tc>
        <w:tc>
          <w:tcPr>
            <w:tcW w:w="1280" w:type="dxa"/>
            <w:tcBorders>
              <w:top w:val="nil"/>
              <w:left w:val="nil"/>
              <w:bottom w:val="single" w:sz="4" w:space="0" w:color="auto"/>
              <w:right w:val="single" w:sz="4" w:space="0" w:color="auto"/>
            </w:tcBorders>
            <w:noWrap/>
            <w:vAlign w:val="bottom"/>
          </w:tcPr>
          <w:p w:rsidR="00092EFF" w:rsidRPr="00500A22" w:rsidRDefault="00092EFF" w:rsidP="00E51A8B">
            <w:pPr>
              <w:jc w:val="center"/>
              <w:rPr>
                <w:rFonts w:eastAsiaTheme="minorEastAsia" w:cs="Calibri"/>
                <w:color w:val="000000"/>
                <w:szCs w:val="20"/>
              </w:rPr>
            </w:pPr>
            <w:r w:rsidRPr="00500A22">
              <w:rPr>
                <w:rFonts w:eastAsiaTheme="minorEastAsia" w:cs="Calibri"/>
                <w:color w:val="000000"/>
                <w:szCs w:val="20"/>
              </w:rPr>
              <w:t>206</w:t>
            </w:r>
          </w:p>
        </w:tc>
        <w:tc>
          <w:tcPr>
            <w:tcW w:w="1280" w:type="dxa"/>
            <w:tcBorders>
              <w:top w:val="nil"/>
              <w:left w:val="nil"/>
              <w:bottom w:val="single" w:sz="4" w:space="0" w:color="auto"/>
              <w:right w:val="single" w:sz="4" w:space="0" w:color="auto"/>
            </w:tcBorders>
            <w:noWrap/>
            <w:vAlign w:val="bottom"/>
          </w:tcPr>
          <w:p w:rsidR="00092EFF" w:rsidRPr="00500A22" w:rsidRDefault="00092EFF" w:rsidP="00E51A8B">
            <w:pPr>
              <w:jc w:val="center"/>
              <w:rPr>
                <w:rFonts w:eastAsiaTheme="minorEastAsia" w:cs="Calibri"/>
                <w:color w:val="000000"/>
                <w:szCs w:val="20"/>
              </w:rPr>
            </w:pPr>
            <w:r w:rsidRPr="00500A22">
              <w:rPr>
                <w:rFonts w:eastAsiaTheme="minorEastAsia" w:cs="Calibri"/>
                <w:color w:val="000000"/>
                <w:szCs w:val="20"/>
              </w:rPr>
              <w:t>206</w:t>
            </w:r>
          </w:p>
        </w:tc>
        <w:tc>
          <w:tcPr>
            <w:tcW w:w="1280" w:type="dxa"/>
            <w:tcBorders>
              <w:top w:val="nil"/>
              <w:left w:val="nil"/>
              <w:bottom w:val="single" w:sz="4" w:space="0" w:color="auto"/>
              <w:right w:val="single" w:sz="4" w:space="0" w:color="auto"/>
            </w:tcBorders>
            <w:noWrap/>
            <w:vAlign w:val="bottom"/>
          </w:tcPr>
          <w:p w:rsidR="00092EFF" w:rsidRPr="00500A22" w:rsidRDefault="00092EFF" w:rsidP="00E51A8B">
            <w:pPr>
              <w:jc w:val="center"/>
              <w:rPr>
                <w:rFonts w:eastAsiaTheme="minorEastAsia" w:cs="Calibri"/>
                <w:color w:val="000000"/>
                <w:szCs w:val="20"/>
              </w:rPr>
            </w:pPr>
            <w:r w:rsidRPr="00500A22">
              <w:rPr>
                <w:rFonts w:eastAsiaTheme="minorEastAsia" w:cs="Calibri"/>
                <w:color w:val="000000"/>
                <w:szCs w:val="20"/>
              </w:rPr>
              <w:t>241</w:t>
            </w:r>
          </w:p>
        </w:tc>
      </w:tr>
    </w:tbl>
    <w:p w:rsidR="00092EFF" w:rsidRDefault="00092EFF" w:rsidP="00092EFF">
      <w:pPr>
        <w:autoSpaceDE w:val="0"/>
        <w:autoSpaceDN w:val="0"/>
        <w:adjustRightInd w:val="0"/>
        <w:rPr>
          <w:rFonts w:ascii="Calibri" w:hAnsi="Calibri" w:cs="Calibri"/>
          <w:i/>
          <w:iCs/>
          <w:sz w:val="18"/>
          <w:szCs w:val="18"/>
        </w:rPr>
      </w:pPr>
      <w:r>
        <w:rPr>
          <w:rFonts w:ascii="Calibri" w:hAnsi="Calibri" w:cs="Calibri"/>
          <w:i/>
          <w:iCs/>
          <w:sz w:val="18"/>
          <w:szCs w:val="18"/>
        </w:rPr>
        <w:t>Źródło: Opracowanie Instytutu Rozwoju Miast</w:t>
      </w:r>
    </w:p>
    <w:p w:rsidR="00092EFF" w:rsidRDefault="00092EFF" w:rsidP="00092EFF">
      <w:pPr>
        <w:rPr>
          <w:rFonts w:ascii="Calibri" w:hAnsi="Calibri" w:cs="Calibri"/>
        </w:rPr>
      </w:pPr>
    </w:p>
    <w:p w:rsidR="00092EFF" w:rsidRPr="001D5615" w:rsidRDefault="00092EFF" w:rsidP="00092EFF">
      <w:pPr>
        <w:ind w:firstLine="708"/>
        <w:jc w:val="both"/>
        <w:rPr>
          <w:rFonts w:ascii="Calibri" w:hAnsi="Calibri" w:cs="Calibri"/>
          <w:b/>
          <w:color w:val="C00000"/>
          <w:szCs w:val="20"/>
        </w:rPr>
      </w:pPr>
      <w:r>
        <w:rPr>
          <w:rFonts w:ascii="Calibri" w:hAnsi="Calibri" w:cs="Calibri"/>
          <w:szCs w:val="20"/>
        </w:rPr>
        <w:t xml:space="preserve">Skala problemów zdrowotnych na obszarze rewitalizacji nie została szczegółowo zbadana ze względu na trudność w dostępie do danych wrażliwych. Biorąc jednak pod uwagę jego charakterystykę, w tym kumulację problemów społecznych, należy wnioskować, że </w:t>
      </w:r>
      <w:r w:rsidRPr="001D5615">
        <w:rPr>
          <w:rFonts w:ascii="Calibri" w:hAnsi="Calibri" w:cs="Calibri"/>
          <w:b/>
          <w:color w:val="C00000"/>
          <w:szCs w:val="20"/>
        </w:rPr>
        <w:t>problemy zdrowotne występują tu w sposób znacznie silniejszy, niż w całym mieście.</w:t>
      </w:r>
    </w:p>
    <w:p w:rsidR="00092EFF" w:rsidRDefault="00092EFF" w:rsidP="00092EFF">
      <w:pPr>
        <w:ind w:firstLine="708"/>
        <w:jc w:val="both"/>
        <w:rPr>
          <w:rFonts w:ascii="Calibri" w:hAnsi="Calibri" w:cs="Calibri"/>
          <w:szCs w:val="20"/>
        </w:rPr>
      </w:pPr>
      <w:r>
        <w:rPr>
          <w:rFonts w:ascii="Calibri" w:hAnsi="Calibri" w:cs="Calibri"/>
          <w:szCs w:val="20"/>
        </w:rPr>
        <w:t>Określenie dokładnej liczby mieszkańców z niepełnosprawnościami w obszarze rewitalizacji i ich precyzyjna analiza jest równie trudna z uwagi na brak dokładnych i kompleksowych danych w tym zakresie. Podobnie jak w przypadku ochrony zdrowia dane te są szczególnie wrażliwe. Zespół analizujący na potrzeby programu rewitalizacji skalę niepełnosprawności w Bytomiu</w:t>
      </w:r>
      <w:r>
        <w:rPr>
          <w:rStyle w:val="Odwoanieprzypisudolnego"/>
          <w:rFonts w:ascii="Calibri" w:hAnsi="Calibri" w:cs="Calibri"/>
          <w:szCs w:val="20"/>
        </w:rPr>
        <w:footnoteReference w:id="17"/>
      </w:r>
      <w:r>
        <w:rPr>
          <w:rFonts w:ascii="Calibri" w:hAnsi="Calibri" w:cs="Calibri"/>
          <w:szCs w:val="20"/>
        </w:rPr>
        <w:t xml:space="preserve"> na podstawie danych Powiatowego Zespołu ds.</w:t>
      </w:r>
      <w:r w:rsidR="00351EB4">
        <w:rPr>
          <w:rFonts w:ascii="Calibri" w:hAnsi="Calibri" w:cs="Calibri"/>
          <w:szCs w:val="20"/>
        </w:rPr>
        <w:t> </w:t>
      </w:r>
      <w:r>
        <w:rPr>
          <w:rFonts w:ascii="Calibri" w:hAnsi="Calibri" w:cs="Calibri"/>
          <w:szCs w:val="20"/>
        </w:rPr>
        <w:t>Orzekania o Niepełnosprawności określił, że w 2015 roku w obszarze rewitalizacji wydano łącznie 1 181 orzeczeń dla osób dorosłych i dzieci. Szczegółowe dane w tym zakresie przedstawia poniższa tabela.</w:t>
      </w:r>
    </w:p>
    <w:p w:rsidR="00092EFF" w:rsidRDefault="00092EFF" w:rsidP="00092EFF">
      <w:pPr>
        <w:pStyle w:val="Legenda"/>
        <w:spacing w:line="312" w:lineRule="auto"/>
      </w:pPr>
    </w:p>
    <w:p w:rsidR="00092EFF" w:rsidRDefault="00092EFF" w:rsidP="00092EFF">
      <w:pPr>
        <w:pStyle w:val="Legenda"/>
        <w:spacing w:line="312" w:lineRule="auto"/>
        <w:rPr>
          <w:rFonts w:ascii="Calibri" w:hAnsi="Calibri" w:cs="Calibri"/>
        </w:rPr>
      </w:pPr>
      <w:bookmarkStart w:id="4087" w:name="_Toc202771111"/>
      <w:r>
        <w:rPr>
          <w:rFonts w:ascii="Calibri" w:hAnsi="Calibri" w:cs="Calibri"/>
        </w:rPr>
        <w:t xml:space="preserve">Tabela </w:t>
      </w:r>
      <w:r w:rsidR="003972D8">
        <w:rPr>
          <w:rFonts w:ascii="Calibri" w:hAnsi="Calibri" w:cs="Calibri"/>
        </w:rPr>
        <w:fldChar w:fldCharType="begin"/>
      </w:r>
      <w:r>
        <w:rPr>
          <w:rFonts w:ascii="Calibri" w:hAnsi="Calibri" w:cs="Calibri"/>
        </w:rPr>
        <w:instrText xml:space="preserve"> SEQ Tabela \* ARABIC </w:instrText>
      </w:r>
      <w:r w:rsidR="003972D8">
        <w:rPr>
          <w:rFonts w:ascii="Calibri" w:hAnsi="Calibri" w:cs="Calibri"/>
        </w:rPr>
        <w:fldChar w:fldCharType="separate"/>
      </w:r>
      <w:r w:rsidR="00413FFE">
        <w:rPr>
          <w:rFonts w:ascii="Calibri" w:hAnsi="Calibri" w:cs="Calibri"/>
          <w:noProof/>
        </w:rPr>
        <w:t>17</w:t>
      </w:r>
      <w:r w:rsidR="003972D8">
        <w:rPr>
          <w:rFonts w:ascii="Calibri" w:hAnsi="Calibri" w:cs="Calibri"/>
        </w:rPr>
        <w:fldChar w:fldCharType="end"/>
      </w:r>
      <w:r>
        <w:rPr>
          <w:rFonts w:ascii="Calibri" w:hAnsi="Calibri" w:cs="Calibri"/>
        </w:rPr>
        <w:t>. Osoby z niepełnosprawnością na obszarze rewitalizacji</w:t>
      </w:r>
      <w:bookmarkEnd w:id="4087"/>
      <w:r>
        <w:rPr>
          <w:rFonts w:ascii="Calibri" w:hAnsi="Calibri" w:cs="Calibri"/>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05"/>
        <w:gridCol w:w="1294"/>
        <w:gridCol w:w="1978"/>
        <w:gridCol w:w="1294"/>
        <w:gridCol w:w="942"/>
        <w:gridCol w:w="858"/>
        <w:gridCol w:w="815"/>
      </w:tblGrid>
      <w:tr w:rsidR="0030134A" w:rsidRPr="00A50C70" w:rsidTr="0030134A">
        <w:tc>
          <w:tcPr>
            <w:tcW w:w="1133" w:type="pct"/>
            <w:shd w:val="clear" w:color="auto" w:fill="99CCFF"/>
            <w:vAlign w:val="center"/>
          </w:tcPr>
          <w:p w:rsidR="00092EFF" w:rsidRPr="00A50C70" w:rsidRDefault="00092EFF" w:rsidP="00D44CBD">
            <w:pPr>
              <w:jc w:val="center"/>
              <w:rPr>
                <w:rFonts w:ascii="Calibri" w:eastAsiaTheme="minorEastAsia" w:hAnsi="Calibri" w:cs="Calibri"/>
                <w:b/>
                <w:bCs/>
                <w:szCs w:val="20"/>
              </w:rPr>
            </w:pPr>
            <w:r w:rsidRPr="00A50C70">
              <w:rPr>
                <w:rFonts w:ascii="Calibri" w:eastAsiaTheme="minorEastAsia" w:hAnsi="Calibri" w:cs="Calibri"/>
                <w:b/>
                <w:bCs/>
                <w:szCs w:val="20"/>
              </w:rPr>
              <w:t>Wyszczególnienie</w:t>
            </w:r>
          </w:p>
        </w:tc>
        <w:tc>
          <w:tcPr>
            <w:tcW w:w="697" w:type="pct"/>
            <w:shd w:val="clear" w:color="auto" w:fill="99CCFF"/>
            <w:vAlign w:val="center"/>
          </w:tcPr>
          <w:p w:rsidR="00092EFF" w:rsidRPr="00A50C70" w:rsidRDefault="00092EFF" w:rsidP="00D44CBD">
            <w:pPr>
              <w:jc w:val="center"/>
              <w:rPr>
                <w:rFonts w:ascii="Calibri" w:eastAsiaTheme="minorEastAsia" w:hAnsi="Calibri" w:cs="Calibri"/>
                <w:b/>
                <w:bCs/>
                <w:szCs w:val="20"/>
              </w:rPr>
            </w:pPr>
            <w:r w:rsidRPr="00A50C70">
              <w:rPr>
                <w:rFonts w:ascii="Calibri" w:eastAsiaTheme="minorEastAsia" w:hAnsi="Calibri" w:cs="Calibri"/>
                <w:b/>
                <w:bCs/>
                <w:szCs w:val="20"/>
              </w:rPr>
              <w:t>Śródmieście</w:t>
            </w:r>
          </w:p>
        </w:tc>
        <w:tc>
          <w:tcPr>
            <w:tcW w:w="1065" w:type="pct"/>
            <w:shd w:val="clear" w:color="auto" w:fill="99CCFF"/>
            <w:vAlign w:val="center"/>
          </w:tcPr>
          <w:p w:rsidR="00092EFF" w:rsidRPr="00A50C70" w:rsidRDefault="00092EFF" w:rsidP="0030134A">
            <w:pPr>
              <w:jc w:val="center"/>
              <w:rPr>
                <w:rFonts w:ascii="Calibri" w:eastAsiaTheme="minorEastAsia" w:hAnsi="Calibri" w:cs="Calibri"/>
                <w:b/>
                <w:bCs/>
                <w:szCs w:val="20"/>
              </w:rPr>
            </w:pPr>
            <w:r w:rsidRPr="00A50C70">
              <w:rPr>
                <w:rFonts w:ascii="Calibri" w:eastAsiaTheme="minorEastAsia" w:hAnsi="Calibri" w:cs="Calibri"/>
                <w:b/>
                <w:bCs/>
                <w:szCs w:val="20"/>
              </w:rPr>
              <w:t>Śródmieście Zachód</w:t>
            </w:r>
          </w:p>
        </w:tc>
        <w:tc>
          <w:tcPr>
            <w:tcW w:w="697" w:type="pct"/>
            <w:shd w:val="clear" w:color="auto" w:fill="99CCFF"/>
            <w:vAlign w:val="center"/>
          </w:tcPr>
          <w:p w:rsidR="00092EFF" w:rsidRPr="00A50C70" w:rsidRDefault="00092EFF" w:rsidP="00D44CBD">
            <w:pPr>
              <w:jc w:val="center"/>
              <w:rPr>
                <w:rFonts w:ascii="Calibri" w:eastAsiaTheme="minorEastAsia" w:hAnsi="Calibri" w:cs="Calibri"/>
                <w:b/>
                <w:bCs/>
                <w:szCs w:val="20"/>
              </w:rPr>
            </w:pPr>
            <w:r w:rsidRPr="00A50C70">
              <w:rPr>
                <w:rFonts w:ascii="Calibri" w:eastAsiaTheme="minorEastAsia" w:hAnsi="Calibri" w:cs="Calibri"/>
                <w:b/>
                <w:bCs/>
                <w:szCs w:val="20"/>
              </w:rPr>
              <w:t xml:space="preserve">Śródmieście   </w:t>
            </w:r>
            <w:r w:rsidRPr="00A50C70">
              <w:rPr>
                <w:rFonts w:ascii="Calibri" w:eastAsiaTheme="minorEastAsia" w:hAnsi="Calibri" w:cs="Calibri"/>
                <w:b/>
                <w:bCs/>
                <w:szCs w:val="20"/>
              </w:rPr>
              <w:br/>
              <w:t xml:space="preserve">   Północ</w:t>
            </w:r>
          </w:p>
        </w:tc>
        <w:tc>
          <w:tcPr>
            <w:tcW w:w="507" w:type="pct"/>
            <w:shd w:val="clear" w:color="auto" w:fill="99CCFF"/>
            <w:vAlign w:val="center"/>
          </w:tcPr>
          <w:p w:rsidR="00092EFF" w:rsidRPr="00A50C70" w:rsidRDefault="00092EFF" w:rsidP="00D44CBD">
            <w:pPr>
              <w:jc w:val="center"/>
              <w:rPr>
                <w:rFonts w:ascii="Calibri" w:eastAsiaTheme="minorEastAsia" w:hAnsi="Calibri" w:cs="Calibri"/>
                <w:b/>
                <w:bCs/>
                <w:szCs w:val="20"/>
              </w:rPr>
            </w:pPr>
            <w:r w:rsidRPr="00A50C70">
              <w:rPr>
                <w:rFonts w:ascii="Calibri" w:eastAsiaTheme="minorEastAsia" w:hAnsi="Calibri" w:cs="Calibri"/>
                <w:b/>
                <w:bCs/>
                <w:szCs w:val="20"/>
              </w:rPr>
              <w:t>Rozbark</w:t>
            </w:r>
          </w:p>
        </w:tc>
        <w:tc>
          <w:tcPr>
            <w:tcW w:w="462" w:type="pct"/>
            <w:shd w:val="clear" w:color="auto" w:fill="99CCFF"/>
            <w:vAlign w:val="center"/>
          </w:tcPr>
          <w:p w:rsidR="00092EFF" w:rsidRPr="00A50C70" w:rsidRDefault="00D44CBD" w:rsidP="00D44CBD">
            <w:pPr>
              <w:jc w:val="center"/>
              <w:rPr>
                <w:rFonts w:ascii="Calibri" w:eastAsiaTheme="minorEastAsia" w:hAnsi="Calibri" w:cs="Calibri"/>
                <w:b/>
                <w:bCs/>
                <w:szCs w:val="20"/>
              </w:rPr>
            </w:pPr>
            <w:r>
              <w:rPr>
                <w:rFonts w:ascii="Calibri" w:eastAsiaTheme="minorEastAsia" w:hAnsi="Calibri" w:cs="Calibri"/>
                <w:b/>
                <w:bCs/>
                <w:szCs w:val="20"/>
              </w:rPr>
              <w:t>Bobrek</w:t>
            </w:r>
          </w:p>
        </w:tc>
        <w:tc>
          <w:tcPr>
            <w:tcW w:w="439" w:type="pct"/>
            <w:shd w:val="clear" w:color="auto" w:fill="99CCFF"/>
            <w:vAlign w:val="center"/>
          </w:tcPr>
          <w:p w:rsidR="00092EFF" w:rsidRPr="00A50C70" w:rsidRDefault="00092EFF" w:rsidP="00D44CBD">
            <w:pPr>
              <w:jc w:val="center"/>
              <w:rPr>
                <w:rFonts w:ascii="Calibri" w:eastAsiaTheme="minorEastAsia" w:hAnsi="Calibri" w:cs="Calibri"/>
                <w:b/>
                <w:bCs/>
                <w:szCs w:val="20"/>
              </w:rPr>
            </w:pPr>
            <w:r w:rsidRPr="00A50C70">
              <w:rPr>
                <w:rFonts w:ascii="Calibri" w:eastAsiaTheme="minorEastAsia" w:hAnsi="Calibri" w:cs="Calibri"/>
                <w:b/>
                <w:bCs/>
                <w:szCs w:val="20"/>
              </w:rPr>
              <w:t>Razem</w:t>
            </w:r>
          </w:p>
        </w:tc>
      </w:tr>
      <w:tr w:rsidR="0030134A" w:rsidRPr="00A50C70" w:rsidTr="0030134A">
        <w:tc>
          <w:tcPr>
            <w:tcW w:w="1133" w:type="pct"/>
          </w:tcPr>
          <w:p w:rsidR="00092EFF" w:rsidRPr="00A50C70" w:rsidRDefault="00092EFF" w:rsidP="00E51A8B">
            <w:pPr>
              <w:rPr>
                <w:rFonts w:ascii="Calibri" w:eastAsiaTheme="minorEastAsia" w:hAnsi="Calibri" w:cs="Calibri"/>
                <w:szCs w:val="20"/>
              </w:rPr>
            </w:pPr>
            <w:r w:rsidRPr="00A50C70">
              <w:rPr>
                <w:rFonts w:ascii="Calibri" w:eastAsiaTheme="minorEastAsia" w:hAnsi="Calibri" w:cs="Calibri"/>
                <w:szCs w:val="20"/>
              </w:rPr>
              <w:t>Stopień znaczny</w:t>
            </w:r>
          </w:p>
        </w:tc>
        <w:tc>
          <w:tcPr>
            <w:tcW w:w="697" w:type="pct"/>
          </w:tcPr>
          <w:p w:rsidR="00092EFF" w:rsidRPr="00A50C70" w:rsidRDefault="00092EFF" w:rsidP="00E51A8B">
            <w:pPr>
              <w:jc w:val="center"/>
              <w:rPr>
                <w:rFonts w:ascii="Calibri" w:eastAsiaTheme="minorEastAsia" w:hAnsi="Calibri" w:cs="Calibri"/>
                <w:szCs w:val="20"/>
              </w:rPr>
            </w:pPr>
            <w:r w:rsidRPr="00A50C70">
              <w:rPr>
                <w:rFonts w:ascii="Calibri" w:eastAsiaTheme="minorEastAsia" w:hAnsi="Calibri" w:cs="Calibri"/>
                <w:szCs w:val="20"/>
              </w:rPr>
              <w:t>86</w:t>
            </w:r>
          </w:p>
        </w:tc>
        <w:tc>
          <w:tcPr>
            <w:tcW w:w="1065" w:type="pct"/>
          </w:tcPr>
          <w:p w:rsidR="00092EFF" w:rsidRPr="00A50C70" w:rsidRDefault="00092EFF" w:rsidP="00E51A8B">
            <w:pPr>
              <w:jc w:val="center"/>
              <w:rPr>
                <w:rFonts w:ascii="Calibri" w:eastAsiaTheme="minorEastAsia" w:hAnsi="Calibri" w:cs="Calibri"/>
                <w:szCs w:val="20"/>
              </w:rPr>
            </w:pPr>
            <w:r w:rsidRPr="00A50C70">
              <w:rPr>
                <w:rFonts w:ascii="Calibri" w:eastAsiaTheme="minorEastAsia" w:hAnsi="Calibri" w:cs="Calibri"/>
                <w:szCs w:val="20"/>
              </w:rPr>
              <w:t>55</w:t>
            </w:r>
          </w:p>
        </w:tc>
        <w:tc>
          <w:tcPr>
            <w:tcW w:w="697" w:type="pct"/>
          </w:tcPr>
          <w:p w:rsidR="00092EFF" w:rsidRPr="00A50C70" w:rsidRDefault="00092EFF" w:rsidP="00E51A8B">
            <w:pPr>
              <w:jc w:val="center"/>
              <w:rPr>
                <w:rFonts w:ascii="Calibri" w:eastAsiaTheme="minorEastAsia" w:hAnsi="Calibri" w:cs="Calibri"/>
                <w:szCs w:val="20"/>
              </w:rPr>
            </w:pPr>
            <w:r w:rsidRPr="00A50C70">
              <w:rPr>
                <w:rFonts w:ascii="Calibri" w:eastAsiaTheme="minorEastAsia" w:hAnsi="Calibri" w:cs="Calibri"/>
                <w:szCs w:val="20"/>
              </w:rPr>
              <w:t>56</w:t>
            </w:r>
          </w:p>
        </w:tc>
        <w:tc>
          <w:tcPr>
            <w:tcW w:w="507" w:type="pct"/>
          </w:tcPr>
          <w:p w:rsidR="00092EFF" w:rsidRPr="00A50C70" w:rsidRDefault="00092EFF" w:rsidP="00E51A8B">
            <w:pPr>
              <w:jc w:val="center"/>
              <w:rPr>
                <w:rFonts w:ascii="Calibri" w:eastAsiaTheme="minorEastAsia" w:hAnsi="Calibri" w:cs="Calibri"/>
                <w:szCs w:val="20"/>
              </w:rPr>
            </w:pPr>
            <w:r w:rsidRPr="00A50C70">
              <w:rPr>
                <w:rFonts w:ascii="Calibri" w:eastAsiaTheme="minorEastAsia" w:hAnsi="Calibri" w:cs="Calibri"/>
                <w:szCs w:val="20"/>
              </w:rPr>
              <w:t>53</w:t>
            </w:r>
          </w:p>
        </w:tc>
        <w:tc>
          <w:tcPr>
            <w:tcW w:w="462" w:type="pct"/>
          </w:tcPr>
          <w:p w:rsidR="00092EFF" w:rsidRPr="00A50C70" w:rsidRDefault="00092EFF" w:rsidP="00E51A8B">
            <w:pPr>
              <w:jc w:val="center"/>
              <w:rPr>
                <w:rFonts w:ascii="Calibri" w:eastAsiaTheme="minorEastAsia" w:hAnsi="Calibri" w:cs="Calibri"/>
                <w:szCs w:val="20"/>
              </w:rPr>
            </w:pPr>
            <w:r w:rsidRPr="00A50C70">
              <w:rPr>
                <w:rFonts w:ascii="Calibri" w:eastAsiaTheme="minorEastAsia" w:hAnsi="Calibri" w:cs="Calibri"/>
                <w:szCs w:val="20"/>
              </w:rPr>
              <w:t>20</w:t>
            </w:r>
          </w:p>
        </w:tc>
        <w:tc>
          <w:tcPr>
            <w:tcW w:w="439" w:type="pct"/>
          </w:tcPr>
          <w:p w:rsidR="00092EFF" w:rsidRPr="00A50C70" w:rsidRDefault="00092EFF" w:rsidP="00E51A8B">
            <w:pPr>
              <w:jc w:val="center"/>
              <w:rPr>
                <w:rFonts w:ascii="Calibri" w:eastAsiaTheme="minorEastAsia" w:hAnsi="Calibri" w:cs="Calibri"/>
                <w:szCs w:val="20"/>
              </w:rPr>
            </w:pPr>
            <w:r w:rsidRPr="00A50C70">
              <w:rPr>
                <w:rFonts w:ascii="Calibri" w:eastAsiaTheme="minorEastAsia" w:hAnsi="Calibri" w:cs="Calibri"/>
                <w:szCs w:val="20"/>
              </w:rPr>
              <w:t>270</w:t>
            </w:r>
          </w:p>
        </w:tc>
      </w:tr>
      <w:tr w:rsidR="0030134A" w:rsidRPr="00A50C70" w:rsidTr="0030134A">
        <w:tc>
          <w:tcPr>
            <w:tcW w:w="1133" w:type="pct"/>
          </w:tcPr>
          <w:p w:rsidR="00092EFF" w:rsidRPr="00A50C70" w:rsidRDefault="00092EFF" w:rsidP="00E51A8B">
            <w:pPr>
              <w:rPr>
                <w:rFonts w:ascii="Calibri" w:eastAsiaTheme="minorEastAsia" w:hAnsi="Calibri" w:cs="Calibri"/>
                <w:szCs w:val="20"/>
              </w:rPr>
            </w:pPr>
            <w:r w:rsidRPr="00A50C70">
              <w:rPr>
                <w:rFonts w:ascii="Calibri" w:eastAsiaTheme="minorEastAsia" w:hAnsi="Calibri" w:cs="Calibri"/>
                <w:szCs w:val="20"/>
              </w:rPr>
              <w:t>Stopień umiarkowany</w:t>
            </w:r>
          </w:p>
        </w:tc>
        <w:tc>
          <w:tcPr>
            <w:tcW w:w="697" w:type="pct"/>
          </w:tcPr>
          <w:p w:rsidR="00092EFF" w:rsidRPr="00A50C70" w:rsidRDefault="00092EFF" w:rsidP="00E51A8B">
            <w:pPr>
              <w:jc w:val="center"/>
              <w:rPr>
                <w:rFonts w:ascii="Calibri" w:eastAsiaTheme="minorEastAsia" w:hAnsi="Calibri" w:cs="Calibri"/>
                <w:szCs w:val="20"/>
              </w:rPr>
            </w:pPr>
            <w:r w:rsidRPr="00A50C70">
              <w:rPr>
                <w:rFonts w:ascii="Calibri" w:eastAsiaTheme="minorEastAsia" w:hAnsi="Calibri" w:cs="Calibri"/>
                <w:szCs w:val="20"/>
              </w:rPr>
              <w:t>128</w:t>
            </w:r>
          </w:p>
        </w:tc>
        <w:tc>
          <w:tcPr>
            <w:tcW w:w="1065" w:type="pct"/>
          </w:tcPr>
          <w:p w:rsidR="00092EFF" w:rsidRPr="00A50C70" w:rsidRDefault="00092EFF" w:rsidP="00E51A8B">
            <w:pPr>
              <w:jc w:val="center"/>
              <w:rPr>
                <w:rFonts w:ascii="Calibri" w:eastAsiaTheme="minorEastAsia" w:hAnsi="Calibri" w:cs="Calibri"/>
                <w:szCs w:val="20"/>
              </w:rPr>
            </w:pPr>
            <w:r w:rsidRPr="00A50C70">
              <w:rPr>
                <w:rFonts w:ascii="Calibri" w:eastAsiaTheme="minorEastAsia" w:hAnsi="Calibri" w:cs="Calibri"/>
                <w:szCs w:val="20"/>
              </w:rPr>
              <w:t>104</w:t>
            </w:r>
          </w:p>
        </w:tc>
        <w:tc>
          <w:tcPr>
            <w:tcW w:w="697" w:type="pct"/>
          </w:tcPr>
          <w:p w:rsidR="00092EFF" w:rsidRPr="00A50C70" w:rsidRDefault="00092EFF" w:rsidP="00E51A8B">
            <w:pPr>
              <w:jc w:val="center"/>
              <w:rPr>
                <w:rFonts w:ascii="Calibri" w:eastAsiaTheme="minorEastAsia" w:hAnsi="Calibri" w:cs="Calibri"/>
                <w:szCs w:val="20"/>
              </w:rPr>
            </w:pPr>
            <w:r w:rsidRPr="00A50C70">
              <w:rPr>
                <w:rFonts w:ascii="Calibri" w:eastAsiaTheme="minorEastAsia" w:hAnsi="Calibri" w:cs="Calibri"/>
                <w:szCs w:val="20"/>
              </w:rPr>
              <w:t>106</w:t>
            </w:r>
          </w:p>
        </w:tc>
        <w:tc>
          <w:tcPr>
            <w:tcW w:w="507" w:type="pct"/>
          </w:tcPr>
          <w:p w:rsidR="00092EFF" w:rsidRPr="00A50C70" w:rsidRDefault="00092EFF" w:rsidP="00E51A8B">
            <w:pPr>
              <w:jc w:val="center"/>
              <w:rPr>
                <w:rFonts w:ascii="Calibri" w:eastAsiaTheme="minorEastAsia" w:hAnsi="Calibri" w:cs="Calibri"/>
                <w:szCs w:val="20"/>
              </w:rPr>
            </w:pPr>
            <w:r w:rsidRPr="00A50C70">
              <w:rPr>
                <w:rFonts w:ascii="Calibri" w:eastAsiaTheme="minorEastAsia" w:hAnsi="Calibri" w:cs="Calibri"/>
                <w:szCs w:val="20"/>
              </w:rPr>
              <w:t>87</w:t>
            </w:r>
          </w:p>
        </w:tc>
        <w:tc>
          <w:tcPr>
            <w:tcW w:w="462" w:type="pct"/>
          </w:tcPr>
          <w:p w:rsidR="00092EFF" w:rsidRPr="00A50C70" w:rsidRDefault="00092EFF" w:rsidP="00E51A8B">
            <w:pPr>
              <w:jc w:val="center"/>
              <w:rPr>
                <w:rFonts w:ascii="Calibri" w:eastAsiaTheme="minorEastAsia" w:hAnsi="Calibri" w:cs="Calibri"/>
                <w:szCs w:val="20"/>
              </w:rPr>
            </w:pPr>
            <w:r w:rsidRPr="00A50C70">
              <w:rPr>
                <w:rFonts w:ascii="Calibri" w:eastAsiaTheme="minorEastAsia" w:hAnsi="Calibri" w:cs="Calibri"/>
                <w:szCs w:val="20"/>
              </w:rPr>
              <w:t>27</w:t>
            </w:r>
          </w:p>
        </w:tc>
        <w:tc>
          <w:tcPr>
            <w:tcW w:w="439" w:type="pct"/>
          </w:tcPr>
          <w:p w:rsidR="00092EFF" w:rsidRPr="00A50C70" w:rsidRDefault="00092EFF" w:rsidP="00E51A8B">
            <w:pPr>
              <w:jc w:val="center"/>
              <w:rPr>
                <w:rFonts w:ascii="Calibri" w:eastAsiaTheme="minorEastAsia" w:hAnsi="Calibri" w:cs="Calibri"/>
                <w:szCs w:val="20"/>
              </w:rPr>
            </w:pPr>
            <w:r w:rsidRPr="00A50C70">
              <w:rPr>
                <w:rFonts w:ascii="Calibri" w:eastAsiaTheme="minorEastAsia" w:hAnsi="Calibri" w:cs="Calibri"/>
                <w:szCs w:val="20"/>
              </w:rPr>
              <w:t>452</w:t>
            </w:r>
          </w:p>
        </w:tc>
      </w:tr>
      <w:tr w:rsidR="0030134A" w:rsidRPr="00A50C70" w:rsidTr="0030134A">
        <w:tc>
          <w:tcPr>
            <w:tcW w:w="1133" w:type="pct"/>
          </w:tcPr>
          <w:p w:rsidR="00092EFF" w:rsidRPr="00A50C70" w:rsidRDefault="00092EFF" w:rsidP="00E51A8B">
            <w:pPr>
              <w:rPr>
                <w:rFonts w:ascii="Calibri" w:eastAsiaTheme="minorEastAsia" w:hAnsi="Calibri" w:cs="Calibri"/>
                <w:szCs w:val="20"/>
              </w:rPr>
            </w:pPr>
            <w:r w:rsidRPr="00A50C70">
              <w:rPr>
                <w:rFonts w:ascii="Calibri" w:eastAsiaTheme="minorEastAsia" w:hAnsi="Calibri" w:cs="Calibri"/>
                <w:szCs w:val="20"/>
              </w:rPr>
              <w:t>Stopień lekki</w:t>
            </w:r>
          </w:p>
        </w:tc>
        <w:tc>
          <w:tcPr>
            <w:tcW w:w="697" w:type="pct"/>
          </w:tcPr>
          <w:p w:rsidR="00092EFF" w:rsidRPr="00A50C70" w:rsidRDefault="00092EFF" w:rsidP="00E51A8B">
            <w:pPr>
              <w:jc w:val="center"/>
              <w:rPr>
                <w:rFonts w:ascii="Calibri" w:eastAsiaTheme="minorEastAsia" w:hAnsi="Calibri" w:cs="Calibri"/>
                <w:szCs w:val="20"/>
              </w:rPr>
            </w:pPr>
            <w:r w:rsidRPr="00A50C70">
              <w:rPr>
                <w:rFonts w:ascii="Calibri" w:eastAsiaTheme="minorEastAsia" w:hAnsi="Calibri" w:cs="Calibri"/>
                <w:szCs w:val="20"/>
              </w:rPr>
              <w:t>67</w:t>
            </w:r>
          </w:p>
        </w:tc>
        <w:tc>
          <w:tcPr>
            <w:tcW w:w="1065" w:type="pct"/>
          </w:tcPr>
          <w:p w:rsidR="00092EFF" w:rsidRPr="00A50C70" w:rsidRDefault="00092EFF" w:rsidP="00E51A8B">
            <w:pPr>
              <w:jc w:val="center"/>
              <w:rPr>
                <w:rFonts w:ascii="Calibri" w:eastAsiaTheme="minorEastAsia" w:hAnsi="Calibri" w:cs="Calibri"/>
                <w:szCs w:val="20"/>
              </w:rPr>
            </w:pPr>
            <w:r w:rsidRPr="00A50C70">
              <w:rPr>
                <w:rFonts w:ascii="Calibri" w:eastAsiaTheme="minorEastAsia" w:hAnsi="Calibri" w:cs="Calibri"/>
                <w:szCs w:val="20"/>
              </w:rPr>
              <w:t>44</w:t>
            </w:r>
          </w:p>
        </w:tc>
        <w:tc>
          <w:tcPr>
            <w:tcW w:w="697" w:type="pct"/>
          </w:tcPr>
          <w:p w:rsidR="00092EFF" w:rsidRPr="00A50C70" w:rsidRDefault="00092EFF" w:rsidP="00E51A8B">
            <w:pPr>
              <w:jc w:val="center"/>
              <w:rPr>
                <w:rFonts w:ascii="Calibri" w:eastAsiaTheme="minorEastAsia" w:hAnsi="Calibri" w:cs="Calibri"/>
                <w:szCs w:val="20"/>
              </w:rPr>
            </w:pPr>
            <w:r w:rsidRPr="00A50C70">
              <w:rPr>
                <w:rFonts w:ascii="Calibri" w:eastAsiaTheme="minorEastAsia" w:hAnsi="Calibri" w:cs="Calibri"/>
                <w:szCs w:val="20"/>
              </w:rPr>
              <w:t>53</w:t>
            </w:r>
          </w:p>
        </w:tc>
        <w:tc>
          <w:tcPr>
            <w:tcW w:w="507" w:type="pct"/>
          </w:tcPr>
          <w:p w:rsidR="00092EFF" w:rsidRPr="00A50C70" w:rsidRDefault="00092EFF" w:rsidP="00E51A8B">
            <w:pPr>
              <w:jc w:val="center"/>
              <w:rPr>
                <w:rFonts w:ascii="Calibri" w:eastAsiaTheme="minorEastAsia" w:hAnsi="Calibri" w:cs="Calibri"/>
                <w:szCs w:val="20"/>
              </w:rPr>
            </w:pPr>
            <w:r w:rsidRPr="00A50C70">
              <w:rPr>
                <w:rFonts w:ascii="Calibri" w:eastAsiaTheme="minorEastAsia" w:hAnsi="Calibri" w:cs="Calibri"/>
                <w:szCs w:val="20"/>
              </w:rPr>
              <w:t>42</w:t>
            </w:r>
          </w:p>
        </w:tc>
        <w:tc>
          <w:tcPr>
            <w:tcW w:w="462" w:type="pct"/>
          </w:tcPr>
          <w:p w:rsidR="00092EFF" w:rsidRPr="00A50C70" w:rsidRDefault="00092EFF" w:rsidP="00E51A8B">
            <w:pPr>
              <w:jc w:val="center"/>
              <w:rPr>
                <w:rFonts w:ascii="Calibri" w:eastAsiaTheme="minorEastAsia" w:hAnsi="Calibri" w:cs="Calibri"/>
                <w:szCs w:val="20"/>
              </w:rPr>
            </w:pPr>
            <w:r w:rsidRPr="00A50C70">
              <w:rPr>
                <w:rFonts w:ascii="Calibri" w:eastAsiaTheme="minorEastAsia" w:hAnsi="Calibri" w:cs="Calibri"/>
                <w:szCs w:val="20"/>
              </w:rPr>
              <w:t>31</w:t>
            </w:r>
          </w:p>
        </w:tc>
        <w:tc>
          <w:tcPr>
            <w:tcW w:w="439" w:type="pct"/>
          </w:tcPr>
          <w:p w:rsidR="00092EFF" w:rsidRPr="00A50C70" w:rsidRDefault="00092EFF" w:rsidP="00E51A8B">
            <w:pPr>
              <w:jc w:val="center"/>
              <w:rPr>
                <w:rFonts w:ascii="Calibri" w:eastAsiaTheme="minorEastAsia" w:hAnsi="Calibri" w:cs="Calibri"/>
                <w:szCs w:val="20"/>
              </w:rPr>
            </w:pPr>
            <w:r w:rsidRPr="00A50C70">
              <w:rPr>
                <w:rFonts w:ascii="Calibri" w:eastAsiaTheme="minorEastAsia" w:hAnsi="Calibri" w:cs="Calibri"/>
                <w:szCs w:val="20"/>
              </w:rPr>
              <w:t>237</w:t>
            </w:r>
          </w:p>
        </w:tc>
      </w:tr>
      <w:tr w:rsidR="0030134A" w:rsidRPr="00A50C70" w:rsidTr="0030134A">
        <w:tc>
          <w:tcPr>
            <w:tcW w:w="1133" w:type="pct"/>
          </w:tcPr>
          <w:p w:rsidR="00092EFF" w:rsidRPr="00A50C70" w:rsidRDefault="00092EFF" w:rsidP="00E51A8B">
            <w:pPr>
              <w:rPr>
                <w:rFonts w:ascii="Calibri" w:eastAsiaTheme="minorEastAsia" w:hAnsi="Calibri" w:cs="Calibri"/>
                <w:szCs w:val="20"/>
              </w:rPr>
            </w:pPr>
            <w:r w:rsidRPr="00A50C70">
              <w:rPr>
                <w:rFonts w:ascii="Calibri" w:eastAsiaTheme="minorEastAsia" w:hAnsi="Calibri" w:cs="Calibri"/>
                <w:szCs w:val="20"/>
              </w:rPr>
              <w:t>Dzieci</w:t>
            </w:r>
          </w:p>
        </w:tc>
        <w:tc>
          <w:tcPr>
            <w:tcW w:w="697" w:type="pct"/>
          </w:tcPr>
          <w:p w:rsidR="00092EFF" w:rsidRPr="00A50C70" w:rsidRDefault="00092EFF" w:rsidP="00E51A8B">
            <w:pPr>
              <w:jc w:val="center"/>
              <w:rPr>
                <w:rFonts w:ascii="Calibri" w:eastAsiaTheme="minorEastAsia" w:hAnsi="Calibri" w:cs="Calibri"/>
                <w:szCs w:val="20"/>
              </w:rPr>
            </w:pPr>
            <w:r w:rsidRPr="00A50C70">
              <w:rPr>
                <w:rFonts w:ascii="Calibri" w:eastAsiaTheme="minorEastAsia" w:hAnsi="Calibri" w:cs="Calibri"/>
                <w:szCs w:val="20"/>
              </w:rPr>
              <w:t>63</w:t>
            </w:r>
          </w:p>
        </w:tc>
        <w:tc>
          <w:tcPr>
            <w:tcW w:w="1065" w:type="pct"/>
          </w:tcPr>
          <w:p w:rsidR="00092EFF" w:rsidRPr="00A50C70" w:rsidRDefault="00092EFF" w:rsidP="00E51A8B">
            <w:pPr>
              <w:jc w:val="center"/>
              <w:rPr>
                <w:rFonts w:ascii="Calibri" w:eastAsiaTheme="minorEastAsia" w:hAnsi="Calibri" w:cs="Calibri"/>
                <w:szCs w:val="20"/>
              </w:rPr>
            </w:pPr>
            <w:r w:rsidRPr="00A50C70">
              <w:rPr>
                <w:rFonts w:ascii="Calibri" w:eastAsiaTheme="minorEastAsia" w:hAnsi="Calibri" w:cs="Calibri"/>
                <w:szCs w:val="20"/>
              </w:rPr>
              <w:t>23</w:t>
            </w:r>
          </w:p>
        </w:tc>
        <w:tc>
          <w:tcPr>
            <w:tcW w:w="697" w:type="pct"/>
          </w:tcPr>
          <w:p w:rsidR="00092EFF" w:rsidRPr="00A50C70" w:rsidRDefault="00092EFF" w:rsidP="00E51A8B">
            <w:pPr>
              <w:jc w:val="center"/>
              <w:rPr>
                <w:rFonts w:ascii="Calibri" w:eastAsiaTheme="minorEastAsia" w:hAnsi="Calibri" w:cs="Calibri"/>
                <w:szCs w:val="20"/>
              </w:rPr>
            </w:pPr>
            <w:r w:rsidRPr="00A50C70">
              <w:rPr>
                <w:rFonts w:ascii="Calibri" w:eastAsiaTheme="minorEastAsia" w:hAnsi="Calibri" w:cs="Calibri"/>
                <w:szCs w:val="20"/>
              </w:rPr>
              <w:t>49</w:t>
            </w:r>
          </w:p>
        </w:tc>
        <w:tc>
          <w:tcPr>
            <w:tcW w:w="507" w:type="pct"/>
          </w:tcPr>
          <w:p w:rsidR="00092EFF" w:rsidRPr="00A50C70" w:rsidRDefault="00092EFF" w:rsidP="00E51A8B">
            <w:pPr>
              <w:jc w:val="center"/>
              <w:rPr>
                <w:rFonts w:ascii="Calibri" w:eastAsiaTheme="minorEastAsia" w:hAnsi="Calibri" w:cs="Calibri"/>
                <w:szCs w:val="20"/>
              </w:rPr>
            </w:pPr>
            <w:r w:rsidRPr="00A50C70">
              <w:rPr>
                <w:rFonts w:ascii="Calibri" w:eastAsiaTheme="minorEastAsia" w:hAnsi="Calibri" w:cs="Calibri"/>
                <w:szCs w:val="20"/>
              </w:rPr>
              <w:t>49</w:t>
            </w:r>
          </w:p>
        </w:tc>
        <w:tc>
          <w:tcPr>
            <w:tcW w:w="462" w:type="pct"/>
          </w:tcPr>
          <w:p w:rsidR="00092EFF" w:rsidRPr="00A50C70" w:rsidRDefault="00092EFF" w:rsidP="00E51A8B">
            <w:pPr>
              <w:jc w:val="center"/>
              <w:rPr>
                <w:rFonts w:ascii="Calibri" w:eastAsiaTheme="minorEastAsia" w:hAnsi="Calibri" w:cs="Calibri"/>
                <w:szCs w:val="20"/>
              </w:rPr>
            </w:pPr>
            <w:r w:rsidRPr="00A50C70">
              <w:rPr>
                <w:rFonts w:ascii="Calibri" w:eastAsiaTheme="minorEastAsia" w:hAnsi="Calibri" w:cs="Calibri"/>
                <w:szCs w:val="20"/>
              </w:rPr>
              <w:t>38</w:t>
            </w:r>
          </w:p>
        </w:tc>
        <w:tc>
          <w:tcPr>
            <w:tcW w:w="439" w:type="pct"/>
          </w:tcPr>
          <w:p w:rsidR="00092EFF" w:rsidRPr="00A50C70" w:rsidRDefault="00092EFF" w:rsidP="00E51A8B">
            <w:pPr>
              <w:jc w:val="center"/>
              <w:rPr>
                <w:rFonts w:ascii="Calibri" w:eastAsiaTheme="minorEastAsia" w:hAnsi="Calibri" w:cs="Calibri"/>
                <w:szCs w:val="20"/>
              </w:rPr>
            </w:pPr>
            <w:r w:rsidRPr="00A50C70">
              <w:rPr>
                <w:rFonts w:ascii="Calibri" w:eastAsiaTheme="minorEastAsia" w:hAnsi="Calibri" w:cs="Calibri"/>
                <w:szCs w:val="20"/>
              </w:rPr>
              <w:t>222</w:t>
            </w:r>
          </w:p>
        </w:tc>
      </w:tr>
      <w:tr w:rsidR="0030134A" w:rsidRPr="00A50C70" w:rsidTr="0030134A">
        <w:tc>
          <w:tcPr>
            <w:tcW w:w="1133" w:type="pct"/>
            <w:shd w:val="clear" w:color="auto" w:fill="99CCFF"/>
          </w:tcPr>
          <w:p w:rsidR="00092EFF" w:rsidRPr="00075BD7" w:rsidRDefault="00092EFF" w:rsidP="00075BD7">
            <w:pPr>
              <w:jc w:val="right"/>
              <w:rPr>
                <w:rFonts w:ascii="Calibri" w:eastAsiaTheme="minorEastAsia" w:hAnsi="Calibri" w:cs="Calibri"/>
                <w:b/>
                <w:szCs w:val="20"/>
              </w:rPr>
            </w:pPr>
            <w:r w:rsidRPr="00075BD7">
              <w:rPr>
                <w:rFonts w:ascii="Calibri" w:eastAsiaTheme="minorEastAsia" w:hAnsi="Calibri" w:cs="Calibri"/>
                <w:b/>
                <w:szCs w:val="20"/>
              </w:rPr>
              <w:t>RAZEM</w:t>
            </w:r>
          </w:p>
        </w:tc>
        <w:tc>
          <w:tcPr>
            <w:tcW w:w="697" w:type="pct"/>
            <w:shd w:val="clear" w:color="auto" w:fill="99CCFF"/>
          </w:tcPr>
          <w:p w:rsidR="00092EFF" w:rsidRPr="00075BD7" w:rsidRDefault="00092EFF" w:rsidP="00E51A8B">
            <w:pPr>
              <w:jc w:val="center"/>
              <w:rPr>
                <w:rFonts w:ascii="Calibri" w:eastAsiaTheme="minorEastAsia" w:hAnsi="Calibri" w:cs="Calibri"/>
                <w:b/>
                <w:szCs w:val="20"/>
              </w:rPr>
            </w:pPr>
            <w:r w:rsidRPr="00075BD7">
              <w:rPr>
                <w:rFonts w:ascii="Calibri" w:eastAsiaTheme="minorEastAsia" w:hAnsi="Calibri" w:cs="Calibri"/>
                <w:b/>
                <w:szCs w:val="20"/>
              </w:rPr>
              <w:t>344</w:t>
            </w:r>
          </w:p>
        </w:tc>
        <w:tc>
          <w:tcPr>
            <w:tcW w:w="1065" w:type="pct"/>
            <w:shd w:val="clear" w:color="auto" w:fill="99CCFF"/>
          </w:tcPr>
          <w:p w:rsidR="00092EFF" w:rsidRPr="00075BD7" w:rsidRDefault="00092EFF" w:rsidP="00E51A8B">
            <w:pPr>
              <w:jc w:val="center"/>
              <w:rPr>
                <w:rFonts w:ascii="Calibri" w:eastAsiaTheme="minorEastAsia" w:hAnsi="Calibri" w:cs="Calibri"/>
                <w:b/>
                <w:szCs w:val="20"/>
              </w:rPr>
            </w:pPr>
            <w:r w:rsidRPr="00075BD7">
              <w:rPr>
                <w:rFonts w:ascii="Calibri" w:eastAsiaTheme="minorEastAsia" w:hAnsi="Calibri" w:cs="Calibri"/>
                <w:b/>
                <w:szCs w:val="20"/>
              </w:rPr>
              <w:t>226</w:t>
            </w:r>
          </w:p>
        </w:tc>
        <w:tc>
          <w:tcPr>
            <w:tcW w:w="697" w:type="pct"/>
            <w:shd w:val="clear" w:color="auto" w:fill="99CCFF"/>
          </w:tcPr>
          <w:p w:rsidR="00092EFF" w:rsidRPr="00075BD7" w:rsidRDefault="00092EFF" w:rsidP="00E51A8B">
            <w:pPr>
              <w:jc w:val="center"/>
              <w:rPr>
                <w:rFonts w:ascii="Calibri" w:eastAsiaTheme="minorEastAsia" w:hAnsi="Calibri" w:cs="Calibri"/>
                <w:b/>
                <w:szCs w:val="20"/>
              </w:rPr>
            </w:pPr>
            <w:r w:rsidRPr="00075BD7">
              <w:rPr>
                <w:rFonts w:ascii="Calibri" w:eastAsiaTheme="minorEastAsia" w:hAnsi="Calibri" w:cs="Calibri"/>
                <w:b/>
                <w:szCs w:val="20"/>
              </w:rPr>
              <w:t>264</w:t>
            </w:r>
          </w:p>
        </w:tc>
        <w:tc>
          <w:tcPr>
            <w:tcW w:w="507" w:type="pct"/>
            <w:shd w:val="clear" w:color="auto" w:fill="99CCFF"/>
          </w:tcPr>
          <w:p w:rsidR="00092EFF" w:rsidRPr="00075BD7" w:rsidRDefault="00092EFF" w:rsidP="00E51A8B">
            <w:pPr>
              <w:jc w:val="center"/>
              <w:rPr>
                <w:rFonts w:ascii="Calibri" w:eastAsiaTheme="minorEastAsia" w:hAnsi="Calibri" w:cs="Calibri"/>
                <w:b/>
                <w:szCs w:val="20"/>
              </w:rPr>
            </w:pPr>
            <w:r w:rsidRPr="00075BD7">
              <w:rPr>
                <w:rFonts w:ascii="Calibri" w:eastAsiaTheme="minorEastAsia" w:hAnsi="Calibri" w:cs="Calibri"/>
                <w:b/>
                <w:szCs w:val="20"/>
              </w:rPr>
              <w:t>231</w:t>
            </w:r>
          </w:p>
        </w:tc>
        <w:tc>
          <w:tcPr>
            <w:tcW w:w="462" w:type="pct"/>
            <w:shd w:val="clear" w:color="auto" w:fill="99CCFF"/>
          </w:tcPr>
          <w:p w:rsidR="00092EFF" w:rsidRPr="00075BD7" w:rsidRDefault="00092EFF" w:rsidP="00E51A8B">
            <w:pPr>
              <w:jc w:val="center"/>
              <w:rPr>
                <w:rFonts w:ascii="Calibri" w:eastAsiaTheme="minorEastAsia" w:hAnsi="Calibri" w:cs="Calibri"/>
                <w:b/>
                <w:szCs w:val="20"/>
              </w:rPr>
            </w:pPr>
            <w:r w:rsidRPr="00075BD7">
              <w:rPr>
                <w:rFonts w:ascii="Calibri" w:eastAsiaTheme="minorEastAsia" w:hAnsi="Calibri" w:cs="Calibri"/>
                <w:b/>
                <w:szCs w:val="20"/>
              </w:rPr>
              <w:t>116</w:t>
            </w:r>
          </w:p>
        </w:tc>
        <w:tc>
          <w:tcPr>
            <w:tcW w:w="439" w:type="pct"/>
            <w:shd w:val="clear" w:color="auto" w:fill="99CCFF"/>
          </w:tcPr>
          <w:p w:rsidR="00092EFF" w:rsidRPr="00075BD7" w:rsidRDefault="00092EFF" w:rsidP="00E51A8B">
            <w:pPr>
              <w:jc w:val="center"/>
              <w:rPr>
                <w:rFonts w:ascii="Calibri" w:eastAsiaTheme="minorEastAsia" w:hAnsi="Calibri" w:cs="Calibri"/>
                <w:b/>
                <w:szCs w:val="20"/>
              </w:rPr>
            </w:pPr>
            <w:r w:rsidRPr="00075BD7">
              <w:rPr>
                <w:rFonts w:ascii="Calibri" w:eastAsiaTheme="minorEastAsia" w:hAnsi="Calibri" w:cs="Calibri"/>
                <w:b/>
                <w:szCs w:val="20"/>
              </w:rPr>
              <w:t>1181</w:t>
            </w:r>
          </w:p>
        </w:tc>
      </w:tr>
    </w:tbl>
    <w:p w:rsidR="00092EFF" w:rsidRDefault="00092EFF" w:rsidP="00092EFF">
      <w:pPr>
        <w:autoSpaceDE w:val="0"/>
        <w:autoSpaceDN w:val="0"/>
        <w:adjustRightInd w:val="0"/>
        <w:rPr>
          <w:rFonts w:ascii="Calibri" w:hAnsi="Calibri" w:cs="Calibri"/>
          <w:i/>
          <w:iCs/>
          <w:sz w:val="18"/>
          <w:szCs w:val="18"/>
        </w:rPr>
      </w:pPr>
      <w:r>
        <w:rPr>
          <w:rFonts w:ascii="Calibri" w:hAnsi="Calibri" w:cs="Calibri"/>
          <w:i/>
          <w:iCs/>
          <w:sz w:val="18"/>
          <w:szCs w:val="18"/>
        </w:rPr>
        <w:t>Źródło: Opracowanie Instytutu Rozwoju Miast</w:t>
      </w:r>
    </w:p>
    <w:p w:rsidR="00092EFF" w:rsidRDefault="00092EFF" w:rsidP="00092EFF">
      <w:pPr>
        <w:rPr>
          <w:rFonts w:ascii="Calibri" w:hAnsi="Calibri" w:cs="Calibri"/>
        </w:rPr>
      </w:pPr>
    </w:p>
    <w:p w:rsidR="00092EFF" w:rsidRPr="001D5615" w:rsidRDefault="00092EFF" w:rsidP="00092EFF">
      <w:pPr>
        <w:ind w:firstLine="708"/>
        <w:jc w:val="both"/>
        <w:rPr>
          <w:rFonts w:ascii="Calibri" w:hAnsi="Calibri" w:cs="Calibri"/>
          <w:b/>
          <w:color w:val="C00000"/>
          <w:szCs w:val="20"/>
        </w:rPr>
      </w:pPr>
      <w:r>
        <w:rPr>
          <w:rFonts w:ascii="Calibri" w:hAnsi="Calibri" w:cs="Calibri"/>
          <w:szCs w:val="20"/>
        </w:rPr>
        <w:t>Z zamieszczonej poniżej mapy wynika, że poza obszarem rewitalizacji liczba</w:t>
      </w:r>
      <w:r w:rsidR="00316783">
        <w:rPr>
          <w:rFonts w:ascii="Calibri" w:hAnsi="Calibri" w:cs="Calibri"/>
          <w:szCs w:val="20"/>
        </w:rPr>
        <w:t xml:space="preserve"> osób korzystających z zasiłków z </w:t>
      </w:r>
      <w:r>
        <w:rPr>
          <w:rFonts w:ascii="Calibri" w:hAnsi="Calibri" w:cs="Calibri"/>
          <w:szCs w:val="20"/>
        </w:rPr>
        <w:t xml:space="preserve">powodu niepełnosprawności tylko sporadycznie przekracza średnią dla miasta. </w:t>
      </w:r>
      <w:r>
        <w:rPr>
          <w:rFonts w:ascii="Calibri" w:hAnsi="Calibri" w:cs="Calibri"/>
          <w:b/>
          <w:bCs/>
          <w:color w:val="C00000"/>
          <w:szCs w:val="20"/>
        </w:rPr>
        <w:t>Osoby z niepełnosprawnością mieszkają w większości na obszarze rewitalizacji: w Bobrku jest ich w stosunku do liczby mieszkańców niemal trzykrotnie więcej niż przeciętnie w Bytomiu, w Śródmieściu 2,5 razy więcej.</w:t>
      </w:r>
      <w:r>
        <w:rPr>
          <w:rFonts w:ascii="Calibri" w:hAnsi="Calibri" w:cs="Calibri"/>
          <w:szCs w:val="20"/>
        </w:rPr>
        <w:t xml:space="preserve"> Jedynie w Śródmieściu Północ problem niepełnosprawności nie występuje w dużym natężeniu. Wyraźna koncentracja osób niepełnosprawnych na obszarze rewitalizacji skłania do zaplanowania w ramach Programu działań skierowanych na ich wsparcie i na ułatwienie im funkcjonowania w przestrzeni publicznej. W kontekście występującego zagrożenia osób niepełnosprawnych biedą i ubóstwem, niejednokrotnie związanej z brakiem możliwości podjęcia pracy, uzasadnione staje się podjęcie działań mających na celu ich integrację społeczną, między innymi poprzez rozwój usług świadczonych w mieszkaniach wspomaganych i treningowych, czy też rozwój usług społecznych i zdrowotnych. Niewielka część osób ze stwierdzoną niepełnosprawnością aktywnie poszukuje pracy, pomimo wsparcia jakie oferowane jest przez szereg instytucji rynku pracy. W 2015 roku, na obszarze rewitalizacji, tylko 264 osoby niepełnosprawne były zarejestrowane w Powiatowym Urzędzie Pracy jako osoby bezrobotne (najwięcej, bo </w:t>
      </w:r>
      <w:r w:rsidRPr="001D5615">
        <w:rPr>
          <w:rFonts w:ascii="Calibri" w:hAnsi="Calibri" w:cs="Calibri"/>
          <w:b/>
          <w:color w:val="C00000"/>
          <w:szCs w:val="20"/>
        </w:rPr>
        <w:t>157 osób niepełnosprawnych, zarejestrowanych jako bezrobotni zamieszkiwało podobszar Śródmieścia). Przedstawione wyniki analizy pogłębionej podkreślają konieczność realizacji projektów wspierających rozwój podmiotów reintegracji, między innymi wspomnianych już Centrów Integracji Społecznej, czy też Klubów Integracji Społecznej.</w:t>
      </w:r>
    </w:p>
    <w:p w:rsidR="00092EFF" w:rsidRDefault="00092EFF" w:rsidP="00092EFF">
      <w:pPr>
        <w:pStyle w:val="Legenda"/>
        <w:spacing w:line="312" w:lineRule="auto"/>
        <w:rPr>
          <w:rFonts w:ascii="Calibri" w:hAnsi="Calibri" w:cs="Calibri"/>
        </w:rPr>
      </w:pPr>
      <w:bookmarkStart w:id="4088" w:name="_Toc463277310"/>
      <w:bookmarkStart w:id="4089" w:name="_Toc191972629"/>
      <w:r>
        <w:rPr>
          <w:rFonts w:ascii="Calibri" w:hAnsi="Calibri" w:cs="Calibri"/>
        </w:rPr>
        <w:lastRenderedPageBreak/>
        <w:t xml:space="preserve">Mapa </w:t>
      </w:r>
      <w:r w:rsidR="003972D8">
        <w:rPr>
          <w:rFonts w:ascii="Calibri" w:hAnsi="Calibri" w:cs="Calibri"/>
        </w:rPr>
        <w:fldChar w:fldCharType="begin"/>
      </w:r>
      <w:r>
        <w:rPr>
          <w:rFonts w:ascii="Calibri" w:hAnsi="Calibri" w:cs="Calibri"/>
        </w:rPr>
        <w:instrText xml:space="preserve"> SEQ Mapa \* ARABIC </w:instrText>
      </w:r>
      <w:r w:rsidR="003972D8">
        <w:rPr>
          <w:rFonts w:ascii="Calibri" w:hAnsi="Calibri" w:cs="Calibri"/>
        </w:rPr>
        <w:fldChar w:fldCharType="separate"/>
      </w:r>
      <w:r w:rsidR="00413FFE">
        <w:rPr>
          <w:rFonts w:ascii="Calibri" w:hAnsi="Calibri" w:cs="Calibri"/>
          <w:noProof/>
        </w:rPr>
        <w:t>17</w:t>
      </w:r>
      <w:r w:rsidR="003972D8">
        <w:rPr>
          <w:rFonts w:ascii="Calibri" w:hAnsi="Calibri" w:cs="Calibri"/>
        </w:rPr>
        <w:fldChar w:fldCharType="end"/>
      </w:r>
      <w:r>
        <w:rPr>
          <w:rFonts w:ascii="Calibri" w:hAnsi="Calibri" w:cs="Calibri"/>
        </w:rPr>
        <w:t>. Osoby z niepełnosprawnością w Bytomiu</w:t>
      </w:r>
      <w:bookmarkEnd w:id="4088"/>
      <w:bookmarkEnd w:id="4089"/>
      <w:r>
        <w:rPr>
          <w:rFonts w:ascii="Calibri" w:hAnsi="Calibri" w:cs="Calibri"/>
        </w:rPr>
        <w:t xml:space="preserve">  </w:t>
      </w:r>
    </w:p>
    <w:p w:rsidR="00092EFF" w:rsidRDefault="009B5277" w:rsidP="00092EFF">
      <w:r>
        <w:rPr>
          <w:noProof/>
        </w:rPr>
        <w:drawing>
          <wp:inline distT="0" distB="0" distL="0" distR="0">
            <wp:extent cx="5762625" cy="4083050"/>
            <wp:effectExtent l="19050" t="0" r="9525" b="0"/>
            <wp:docPr id="8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pic:cNvPicPr>
                      <a:picLocks noChangeAspect="1" noChangeArrowheads="1"/>
                    </pic:cNvPicPr>
                  </pic:nvPicPr>
                  <pic:blipFill>
                    <a:blip r:embed="rId39" cstate="print"/>
                    <a:srcRect/>
                    <a:stretch>
                      <a:fillRect/>
                    </a:stretch>
                  </pic:blipFill>
                  <pic:spPr bwMode="auto">
                    <a:xfrm>
                      <a:off x="0" y="0"/>
                      <a:ext cx="5762625" cy="4083050"/>
                    </a:xfrm>
                    <a:prstGeom prst="rect">
                      <a:avLst/>
                    </a:prstGeom>
                    <a:noFill/>
                    <a:ln w="9525">
                      <a:noFill/>
                      <a:miter lim="800000"/>
                      <a:headEnd/>
                      <a:tailEnd/>
                    </a:ln>
                  </pic:spPr>
                </pic:pic>
              </a:graphicData>
            </a:graphic>
          </wp:inline>
        </w:drawing>
      </w:r>
    </w:p>
    <w:p w:rsidR="00092EFF" w:rsidRDefault="00092EFF" w:rsidP="00092EFF">
      <w:pPr>
        <w:autoSpaceDE w:val="0"/>
        <w:autoSpaceDN w:val="0"/>
        <w:adjustRightInd w:val="0"/>
        <w:rPr>
          <w:rFonts w:ascii="Calibri" w:hAnsi="Calibri" w:cs="Calibri"/>
          <w:i/>
          <w:iCs/>
          <w:sz w:val="18"/>
          <w:szCs w:val="18"/>
        </w:rPr>
      </w:pPr>
      <w:r>
        <w:rPr>
          <w:rFonts w:ascii="Calibri" w:hAnsi="Calibri" w:cs="Calibri"/>
          <w:i/>
          <w:iCs/>
          <w:sz w:val="18"/>
          <w:szCs w:val="18"/>
        </w:rPr>
        <w:t>Źródło: Opracowanie Instytutu Rozwoju Miast na podstawie danych MOPR w Bytomiu</w:t>
      </w:r>
    </w:p>
    <w:p w:rsidR="00653C83" w:rsidRDefault="00653C83" w:rsidP="00092EFF">
      <w:pPr>
        <w:jc w:val="both"/>
        <w:rPr>
          <w:rFonts w:cstheme="minorHAnsi"/>
          <w:szCs w:val="20"/>
        </w:rPr>
      </w:pPr>
    </w:p>
    <w:p w:rsidR="001C2FD4" w:rsidRPr="00BF69B6" w:rsidRDefault="001C2FD4" w:rsidP="009968FD">
      <w:pPr>
        <w:pStyle w:val="Nagwek4"/>
        <w:numPr>
          <w:ilvl w:val="3"/>
          <w:numId w:val="228"/>
        </w:numPr>
        <w:rPr>
          <w:i w:val="0"/>
        </w:rPr>
      </w:pPr>
      <w:bookmarkStart w:id="4090" w:name="_Toc461612531"/>
      <w:r w:rsidRPr="00BF69B6">
        <w:rPr>
          <w:i w:val="0"/>
        </w:rPr>
        <w:t>Bezdomność</w:t>
      </w:r>
      <w:bookmarkEnd w:id="4090"/>
    </w:p>
    <w:p w:rsidR="00092EFF" w:rsidRDefault="00092EFF" w:rsidP="00500A22">
      <w:pPr>
        <w:jc w:val="both"/>
        <w:rPr>
          <w:szCs w:val="20"/>
        </w:rPr>
      </w:pPr>
    </w:p>
    <w:p w:rsidR="00092EFF" w:rsidRDefault="00092EFF" w:rsidP="00092EFF">
      <w:pPr>
        <w:ind w:firstLine="708"/>
        <w:jc w:val="both"/>
        <w:rPr>
          <w:rFonts w:ascii="Calibri" w:hAnsi="Calibri" w:cs="Calibri"/>
          <w:szCs w:val="20"/>
        </w:rPr>
      </w:pPr>
      <w:r>
        <w:rPr>
          <w:rFonts w:ascii="Calibri" w:hAnsi="Calibri" w:cs="Calibri"/>
          <w:szCs w:val="20"/>
        </w:rPr>
        <w:t>Jednym ze szczególnie trudnych problemów społecznych jest bezdomność. Szacuje się, że na terenie gminy Bytom osób bezdomnych jest około dwustu. Problematyka bezdomności i same osoby bezdomne niejednokrotnie wymykają się „zapisom” statystyki. W związku z powyższym, pogłębioną analizę zjawiska na obszarze rewitalizacji oparto na danych i informacjach udostępnionych przez jednostki działające na rzecz osób bezdomnych.</w:t>
      </w:r>
    </w:p>
    <w:p w:rsidR="00092EFF" w:rsidRDefault="00092EFF" w:rsidP="007E0892">
      <w:pPr>
        <w:ind w:firstLine="708"/>
        <w:jc w:val="both"/>
        <w:rPr>
          <w:rFonts w:ascii="Calibri" w:hAnsi="Calibri" w:cs="Calibri"/>
          <w:szCs w:val="20"/>
          <w:lang w:eastAsia="en-US"/>
        </w:rPr>
      </w:pPr>
      <w:r>
        <w:rPr>
          <w:rFonts w:ascii="Calibri" w:hAnsi="Calibri" w:cs="Calibri"/>
          <w:szCs w:val="20"/>
        </w:rPr>
        <w:t xml:space="preserve">Liczba osób bezdomnych, korzystających z Noclegowni, których ostatnim adresem stałego zameldowania był obszar rewitalizacji kształtuje się następująco: </w:t>
      </w:r>
    </w:p>
    <w:p w:rsidR="003654E4" w:rsidRDefault="00AD0C60">
      <w:pPr>
        <w:pStyle w:val="Akapitzlist5"/>
        <w:numPr>
          <w:ilvl w:val="0"/>
          <w:numId w:val="164"/>
        </w:numPr>
        <w:suppressAutoHyphens w:val="0"/>
        <w:spacing w:after="0" w:line="240" w:lineRule="auto"/>
        <w:jc w:val="both"/>
        <w:rPr>
          <w:sz w:val="20"/>
          <w:szCs w:val="20"/>
        </w:rPr>
      </w:pPr>
      <w:r>
        <w:rPr>
          <w:sz w:val="20"/>
          <w:szCs w:val="20"/>
        </w:rPr>
        <w:t xml:space="preserve">Śródmieście - </w:t>
      </w:r>
      <w:r w:rsidR="00092EFF">
        <w:rPr>
          <w:sz w:val="20"/>
          <w:szCs w:val="20"/>
        </w:rPr>
        <w:t>26 osób</w:t>
      </w:r>
      <w:r w:rsidR="00B77A37">
        <w:rPr>
          <w:sz w:val="20"/>
          <w:szCs w:val="20"/>
        </w:rPr>
        <w:t>,</w:t>
      </w:r>
    </w:p>
    <w:p w:rsidR="003654E4" w:rsidRDefault="00AD0C60">
      <w:pPr>
        <w:pStyle w:val="Akapitzlist5"/>
        <w:numPr>
          <w:ilvl w:val="0"/>
          <w:numId w:val="164"/>
        </w:numPr>
        <w:suppressAutoHyphens w:val="0"/>
        <w:spacing w:after="0" w:line="240" w:lineRule="auto"/>
        <w:jc w:val="both"/>
        <w:rPr>
          <w:sz w:val="20"/>
          <w:szCs w:val="20"/>
        </w:rPr>
      </w:pPr>
      <w:r>
        <w:rPr>
          <w:sz w:val="20"/>
          <w:szCs w:val="20"/>
        </w:rPr>
        <w:t>Śródmieście</w:t>
      </w:r>
      <w:r w:rsidR="00092EFF">
        <w:rPr>
          <w:sz w:val="20"/>
          <w:szCs w:val="20"/>
        </w:rPr>
        <w:t xml:space="preserve"> Północ </w:t>
      </w:r>
      <w:r>
        <w:rPr>
          <w:sz w:val="20"/>
          <w:szCs w:val="20"/>
        </w:rPr>
        <w:t xml:space="preserve">- </w:t>
      </w:r>
      <w:r w:rsidR="00092EFF">
        <w:rPr>
          <w:sz w:val="20"/>
          <w:szCs w:val="20"/>
        </w:rPr>
        <w:t>10 osób</w:t>
      </w:r>
      <w:r w:rsidR="00B77A37">
        <w:rPr>
          <w:sz w:val="20"/>
          <w:szCs w:val="20"/>
        </w:rPr>
        <w:t>,</w:t>
      </w:r>
    </w:p>
    <w:p w:rsidR="003654E4" w:rsidRDefault="00AD0C60">
      <w:pPr>
        <w:pStyle w:val="Akapitzlist5"/>
        <w:numPr>
          <w:ilvl w:val="0"/>
          <w:numId w:val="164"/>
        </w:numPr>
        <w:suppressAutoHyphens w:val="0"/>
        <w:spacing w:after="0" w:line="240" w:lineRule="auto"/>
        <w:jc w:val="both"/>
        <w:rPr>
          <w:sz w:val="20"/>
          <w:szCs w:val="20"/>
        </w:rPr>
      </w:pPr>
      <w:r>
        <w:rPr>
          <w:sz w:val="20"/>
          <w:szCs w:val="20"/>
        </w:rPr>
        <w:t xml:space="preserve">Śródmieście Zachód - </w:t>
      </w:r>
      <w:r w:rsidR="00092EFF">
        <w:rPr>
          <w:sz w:val="20"/>
          <w:szCs w:val="20"/>
        </w:rPr>
        <w:t>10 osób</w:t>
      </w:r>
      <w:r w:rsidR="00B77A37">
        <w:rPr>
          <w:sz w:val="20"/>
          <w:szCs w:val="20"/>
        </w:rPr>
        <w:t>,</w:t>
      </w:r>
    </w:p>
    <w:p w:rsidR="003654E4" w:rsidRDefault="00AD0C60">
      <w:pPr>
        <w:pStyle w:val="Akapitzlist5"/>
        <w:numPr>
          <w:ilvl w:val="0"/>
          <w:numId w:val="164"/>
        </w:numPr>
        <w:suppressAutoHyphens w:val="0"/>
        <w:spacing w:after="0" w:line="240" w:lineRule="auto"/>
        <w:jc w:val="both"/>
        <w:rPr>
          <w:sz w:val="20"/>
          <w:szCs w:val="20"/>
        </w:rPr>
      </w:pPr>
      <w:r>
        <w:rPr>
          <w:sz w:val="20"/>
          <w:szCs w:val="20"/>
        </w:rPr>
        <w:t xml:space="preserve">Rozbark - </w:t>
      </w:r>
      <w:r w:rsidR="00092EFF">
        <w:rPr>
          <w:sz w:val="20"/>
          <w:szCs w:val="20"/>
        </w:rPr>
        <w:t>12 osób</w:t>
      </w:r>
      <w:r w:rsidR="00B77A37">
        <w:rPr>
          <w:sz w:val="20"/>
          <w:szCs w:val="20"/>
        </w:rPr>
        <w:t>,</w:t>
      </w:r>
    </w:p>
    <w:p w:rsidR="003654E4" w:rsidRDefault="00092EFF">
      <w:pPr>
        <w:pStyle w:val="Akapitzlist5"/>
        <w:numPr>
          <w:ilvl w:val="0"/>
          <w:numId w:val="164"/>
        </w:numPr>
        <w:suppressAutoHyphens w:val="0"/>
        <w:spacing w:after="0" w:line="240" w:lineRule="auto"/>
        <w:jc w:val="both"/>
        <w:rPr>
          <w:rFonts w:ascii="Times New Roman" w:hAnsi="Times New Roman" w:cs="Times New Roman"/>
          <w:sz w:val="20"/>
          <w:szCs w:val="20"/>
        </w:rPr>
      </w:pPr>
      <w:r>
        <w:rPr>
          <w:sz w:val="20"/>
          <w:szCs w:val="20"/>
        </w:rPr>
        <w:t xml:space="preserve">Bobrek </w:t>
      </w:r>
      <w:r w:rsidR="00AD0C60">
        <w:rPr>
          <w:sz w:val="20"/>
          <w:szCs w:val="20"/>
        </w:rPr>
        <w:t xml:space="preserve">- </w:t>
      </w:r>
      <w:r w:rsidR="00B77A37">
        <w:rPr>
          <w:sz w:val="20"/>
          <w:szCs w:val="20"/>
        </w:rPr>
        <w:t>20 osób,</w:t>
      </w:r>
    </w:p>
    <w:p w:rsidR="003654E4" w:rsidRDefault="00092EFF">
      <w:pPr>
        <w:pStyle w:val="Akapitzlist5"/>
        <w:numPr>
          <w:ilvl w:val="0"/>
          <w:numId w:val="164"/>
        </w:numPr>
        <w:suppressAutoHyphens w:val="0"/>
        <w:spacing w:after="0" w:line="240" w:lineRule="auto"/>
        <w:jc w:val="both"/>
        <w:rPr>
          <w:rFonts w:ascii="Times New Roman" w:hAnsi="Times New Roman" w:cs="Times New Roman"/>
          <w:sz w:val="20"/>
          <w:szCs w:val="20"/>
        </w:rPr>
      </w:pPr>
      <w:r>
        <w:rPr>
          <w:sz w:val="20"/>
          <w:szCs w:val="20"/>
        </w:rPr>
        <w:t xml:space="preserve">Kolonia Zgorzelec </w:t>
      </w:r>
      <w:r w:rsidR="00AD0C60">
        <w:rPr>
          <w:sz w:val="20"/>
          <w:szCs w:val="20"/>
        </w:rPr>
        <w:t xml:space="preserve">- </w:t>
      </w:r>
      <w:r>
        <w:rPr>
          <w:sz w:val="20"/>
          <w:szCs w:val="20"/>
        </w:rPr>
        <w:t>0 osób</w:t>
      </w:r>
      <w:r w:rsidR="00B77A37">
        <w:rPr>
          <w:sz w:val="20"/>
          <w:szCs w:val="20"/>
        </w:rPr>
        <w:t>.</w:t>
      </w:r>
    </w:p>
    <w:p w:rsidR="00092EFF" w:rsidRPr="00115311" w:rsidRDefault="00092EFF" w:rsidP="007E0892">
      <w:pPr>
        <w:pStyle w:val="Tekstpodstawowywcity3"/>
        <w:ind w:left="0" w:firstLine="708"/>
        <w:jc w:val="both"/>
        <w:rPr>
          <w:strike/>
          <w:sz w:val="20"/>
          <w:szCs w:val="20"/>
        </w:rPr>
      </w:pPr>
      <w:r w:rsidRPr="00D9248F">
        <w:rPr>
          <w:b/>
          <w:color w:val="C00000"/>
          <w:sz w:val="20"/>
          <w:szCs w:val="20"/>
        </w:rPr>
        <w:t>Osoby bezdomne przebywające w noclegowni to osoby w większości długotrwale bezrobotne, posiadające wykształcenie podstawowe bądź zasadnicze zawodowe. Około 20% osób bezdomnych to osoby z orzeczeniem o stopniu niepełnosprawności bądź z orzeczeniem ZUS o niezdolności do pracy. W 2015 r. większość osób bezdomnych korzystających z noclegowni miało ostatni adres zameldowania na obszarze rewitalizacji.</w:t>
      </w:r>
      <w:r w:rsidRPr="00115311">
        <w:rPr>
          <w:sz w:val="20"/>
          <w:szCs w:val="20"/>
        </w:rPr>
        <w:t xml:space="preserve"> Interwencje Straży Miejskiej związane z osobami bezdomnymi głównie dotyczą koczowania w</w:t>
      </w:r>
      <w:r w:rsidR="00D9248F">
        <w:rPr>
          <w:sz w:val="20"/>
          <w:szCs w:val="20"/>
        </w:rPr>
        <w:t> </w:t>
      </w:r>
      <w:r w:rsidRPr="00115311">
        <w:rPr>
          <w:sz w:val="20"/>
          <w:szCs w:val="20"/>
        </w:rPr>
        <w:t xml:space="preserve">miejscach niezamieszkałych, popełniania drobnych wykroczeń. </w:t>
      </w:r>
    </w:p>
    <w:p w:rsidR="00092EFF" w:rsidRDefault="00092EFF" w:rsidP="007E0892">
      <w:pPr>
        <w:ind w:firstLine="708"/>
        <w:jc w:val="both"/>
        <w:rPr>
          <w:rFonts w:ascii="Calibri" w:hAnsi="Calibri" w:cs="Calibri"/>
          <w:szCs w:val="20"/>
          <w:lang w:eastAsia="en-US"/>
        </w:rPr>
      </w:pPr>
      <w:r>
        <w:rPr>
          <w:rFonts w:ascii="Calibri" w:hAnsi="Calibri" w:cs="Calibri"/>
          <w:szCs w:val="20"/>
        </w:rPr>
        <w:lastRenderedPageBreak/>
        <w:t>Bezdomność z uwagi na skalę zjawiska, jego złożone przyczyny oraz szczególnie dotkliwe społeczno- ekonomiczne skutki, jest kwestią społeczną o zasięgu i znaczeniu globalnym, mającą jednak swoje specyficzne, regionalne i lokalne uwarunkowania. Bezdomność na terenie Bytomia zasadniczo nie różni się od innych miejskich aglomeracji, zjawisko warunkują liczne przyczyny, do których n</w:t>
      </w:r>
      <w:r w:rsidR="00D9248F">
        <w:rPr>
          <w:rFonts w:ascii="Calibri" w:hAnsi="Calibri" w:cs="Calibri"/>
          <w:szCs w:val="20"/>
        </w:rPr>
        <w:t>ależy zaliczyć przede wszystkim</w:t>
      </w:r>
      <w:r>
        <w:rPr>
          <w:rFonts w:ascii="Calibri" w:hAnsi="Calibri" w:cs="Calibri"/>
          <w:szCs w:val="20"/>
        </w:rPr>
        <w:t xml:space="preserve">: </w:t>
      </w:r>
    </w:p>
    <w:p w:rsidR="003654E4" w:rsidRDefault="00092EFF">
      <w:pPr>
        <w:pStyle w:val="Akapitzlist5"/>
        <w:numPr>
          <w:ilvl w:val="0"/>
          <w:numId w:val="165"/>
        </w:numPr>
        <w:suppressAutoHyphens w:val="0"/>
        <w:spacing w:after="0" w:line="240" w:lineRule="auto"/>
        <w:jc w:val="both"/>
        <w:rPr>
          <w:sz w:val="20"/>
          <w:szCs w:val="20"/>
        </w:rPr>
      </w:pPr>
      <w:r>
        <w:rPr>
          <w:sz w:val="20"/>
          <w:szCs w:val="20"/>
        </w:rPr>
        <w:t>rozpad rodziny, zerwanie więzi formalnych, psychologicznych i społecznych,</w:t>
      </w:r>
    </w:p>
    <w:p w:rsidR="003654E4" w:rsidRDefault="00092EFF" w:rsidP="007E0892">
      <w:pPr>
        <w:pStyle w:val="Akapitzlist5"/>
        <w:numPr>
          <w:ilvl w:val="0"/>
          <w:numId w:val="165"/>
        </w:numPr>
        <w:suppressAutoHyphens w:val="0"/>
        <w:spacing w:after="0" w:line="240" w:lineRule="auto"/>
        <w:jc w:val="both"/>
        <w:rPr>
          <w:sz w:val="20"/>
          <w:szCs w:val="20"/>
        </w:rPr>
      </w:pPr>
      <w:r>
        <w:rPr>
          <w:sz w:val="20"/>
          <w:szCs w:val="20"/>
        </w:rPr>
        <w:t>eksmisje – prawny nakaz opuszczenia lokalu, spowodowany w ponad 90 % przypadków zadłużeniem czynszowym,</w:t>
      </w:r>
    </w:p>
    <w:p w:rsidR="003654E4" w:rsidRDefault="00092EFF" w:rsidP="007E0892">
      <w:pPr>
        <w:pStyle w:val="Akapitzlist5"/>
        <w:numPr>
          <w:ilvl w:val="0"/>
          <w:numId w:val="165"/>
        </w:numPr>
        <w:suppressAutoHyphens w:val="0"/>
        <w:spacing w:after="0" w:line="240" w:lineRule="auto"/>
        <w:jc w:val="both"/>
        <w:rPr>
          <w:sz w:val="20"/>
          <w:szCs w:val="20"/>
        </w:rPr>
      </w:pPr>
      <w:r>
        <w:rPr>
          <w:sz w:val="20"/>
          <w:szCs w:val="20"/>
        </w:rPr>
        <w:t>opuszczenie zakładu karnego, brak stałych dochodów,</w:t>
      </w:r>
    </w:p>
    <w:p w:rsidR="003654E4" w:rsidRDefault="00092EFF" w:rsidP="007E0892">
      <w:pPr>
        <w:pStyle w:val="Akapitzlist5"/>
        <w:numPr>
          <w:ilvl w:val="0"/>
          <w:numId w:val="165"/>
        </w:numPr>
        <w:suppressAutoHyphens w:val="0"/>
        <w:spacing w:after="0" w:line="240" w:lineRule="auto"/>
        <w:jc w:val="both"/>
        <w:rPr>
          <w:sz w:val="20"/>
          <w:szCs w:val="20"/>
        </w:rPr>
      </w:pPr>
      <w:r>
        <w:rPr>
          <w:sz w:val="20"/>
          <w:szCs w:val="20"/>
        </w:rPr>
        <w:t>przemoc w rodzinie,</w:t>
      </w:r>
    </w:p>
    <w:p w:rsidR="003654E4" w:rsidRDefault="00092EFF" w:rsidP="007E0892">
      <w:pPr>
        <w:pStyle w:val="Akapitzlist5"/>
        <w:numPr>
          <w:ilvl w:val="0"/>
          <w:numId w:val="165"/>
        </w:numPr>
        <w:suppressAutoHyphens w:val="0"/>
        <w:spacing w:after="0" w:line="240" w:lineRule="auto"/>
        <w:jc w:val="both"/>
        <w:rPr>
          <w:sz w:val="20"/>
          <w:szCs w:val="20"/>
        </w:rPr>
      </w:pPr>
      <w:r>
        <w:rPr>
          <w:sz w:val="20"/>
          <w:szCs w:val="20"/>
        </w:rPr>
        <w:t>uzależnienia,</w:t>
      </w:r>
    </w:p>
    <w:p w:rsidR="003654E4" w:rsidRDefault="00092EFF" w:rsidP="007E0892">
      <w:pPr>
        <w:pStyle w:val="Akapitzlist5"/>
        <w:numPr>
          <w:ilvl w:val="0"/>
          <w:numId w:val="165"/>
        </w:numPr>
        <w:suppressAutoHyphens w:val="0"/>
        <w:spacing w:after="0" w:line="240" w:lineRule="auto"/>
        <w:jc w:val="both"/>
        <w:rPr>
          <w:sz w:val="20"/>
          <w:szCs w:val="20"/>
        </w:rPr>
      </w:pPr>
      <w:r>
        <w:rPr>
          <w:sz w:val="20"/>
          <w:szCs w:val="20"/>
        </w:rPr>
        <w:t>powrót z emigracji zarobkowej przy jednoczesnym braku możliwości powrotu do mieszkania,</w:t>
      </w:r>
    </w:p>
    <w:p w:rsidR="003654E4" w:rsidRDefault="00092EFF" w:rsidP="007E0892">
      <w:pPr>
        <w:pStyle w:val="Akapitzlist5"/>
        <w:numPr>
          <w:ilvl w:val="0"/>
          <w:numId w:val="165"/>
        </w:numPr>
        <w:suppressAutoHyphens w:val="0"/>
        <w:spacing w:after="0" w:line="240" w:lineRule="auto"/>
        <w:jc w:val="both"/>
        <w:rPr>
          <w:sz w:val="20"/>
          <w:szCs w:val="20"/>
        </w:rPr>
      </w:pPr>
      <w:r>
        <w:rPr>
          <w:sz w:val="20"/>
          <w:szCs w:val="20"/>
        </w:rPr>
        <w:t>brak schronienia spowodowany likwidacją hoteli pracowniczych, opuszczeniem Domu Dziecka, placówki wychowawczej itp.</w:t>
      </w:r>
    </w:p>
    <w:p w:rsidR="00092EFF" w:rsidRDefault="00092EFF" w:rsidP="007E0892">
      <w:pPr>
        <w:ind w:firstLine="708"/>
        <w:jc w:val="both"/>
        <w:rPr>
          <w:rFonts w:ascii="Calibri" w:hAnsi="Calibri" w:cs="Calibri"/>
          <w:szCs w:val="20"/>
          <w:lang w:eastAsia="en-US"/>
        </w:rPr>
      </w:pPr>
      <w:r>
        <w:rPr>
          <w:rFonts w:ascii="Calibri" w:hAnsi="Calibri" w:cs="Calibri"/>
          <w:szCs w:val="20"/>
        </w:rPr>
        <w:t xml:space="preserve">Jednostki działające na rzecz osób bezdomnych w Bytomiu borykają się z problemem bezdomności </w:t>
      </w:r>
      <w:r w:rsidRPr="00D9248F">
        <w:rPr>
          <w:rFonts w:ascii="Calibri" w:hAnsi="Calibri" w:cs="Calibri"/>
          <w:iCs/>
          <w:szCs w:val="20"/>
        </w:rPr>
        <w:t>lokalnej</w:t>
      </w:r>
      <w:r w:rsidR="00D9248F">
        <w:rPr>
          <w:rFonts w:ascii="Calibri" w:hAnsi="Calibri" w:cs="Calibri"/>
          <w:iCs/>
          <w:szCs w:val="20"/>
        </w:rPr>
        <w:t xml:space="preserve">, </w:t>
      </w:r>
      <w:r>
        <w:rPr>
          <w:rFonts w:ascii="Calibri" w:hAnsi="Calibri" w:cs="Calibri"/>
          <w:szCs w:val="20"/>
        </w:rPr>
        <w:t xml:space="preserve">czyli osobami, których ostatnim miejscem zameldowania była gmina Bytom. Powyższy problem dominuje w obszarach objętych programem rewitalizacji w odniesieniu do pochodzenia a więc ostatniego miejsca zameldowania osób bezdomnych. Dominującym problemem w tym obszarze są eksmisje oraz bezrobocie, zjawisko to warunkują liczne przyczyny nie różniące się od opisanych powyżej. </w:t>
      </w:r>
    </w:p>
    <w:p w:rsidR="00092EFF" w:rsidRDefault="00092EFF" w:rsidP="00B101EF">
      <w:pPr>
        <w:pStyle w:val="Akapitzlist5"/>
        <w:spacing w:after="0" w:line="240" w:lineRule="auto"/>
        <w:jc w:val="both"/>
        <w:rPr>
          <w:sz w:val="20"/>
          <w:szCs w:val="20"/>
        </w:rPr>
      </w:pPr>
    </w:p>
    <w:p w:rsidR="00B101EF" w:rsidRPr="00B101EF" w:rsidRDefault="00B101EF" w:rsidP="00B101EF">
      <w:pPr>
        <w:pStyle w:val="Legenda"/>
        <w:spacing w:line="312" w:lineRule="auto"/>
        <w:rPr>
          <w:rFonts w:ascii="Calibri" w:hAnsi="Calibri" w:cs="Calibri"/>
        </w:rPr>
      </w:pPr>
      <w:bookmarkStart w:id="4091" w:name="_Toc202771112"/>
      <w:r>
        <w:rPr>
          <w:rFonts w:ascii="Calibri" w:hAnsi="Calibri" w:cs="Calibri"/>
        </w:rPr>
        <w:t xml:space="preserve">Tabela </w:t>
      </w:r>
      <w:r w:rsidR="003972D8">
        <w:rPr>
          <w:rFonts w:ascii="Calibri" w:hAnsi="Calibri" w:cs="Calibri"/>
        </w:rPr>
        <w:fldChar w:fldCharType="begin"/>
      </w:r>
      <w:r>
        <w:rPr>
          <w:rFonts w:ascii="Calibri" w:hAnsi="Calibri" w:cs="Calibri"/>
        </w:rPr>
        <w:instrText xml:space="preserve"> SEQ Tabela \* ARABIC </w:instrText>
      </w:r>
      <w:r w:rsidR="003972D8">
        <w:rPr>
          <w:rFonts w:ascii="Calibri" w:hAnsi="Calibri" w:cs="Calibri"/>
        </w:rPr>
        <w:fldChar w:fldCharType="separate"/>
      </w:r>
      <w:r w:rsidR="00413FFE">
        <w:rPr>
          <w:rFonts w:ascii="Calibri" w:hAnsi="Calibri" w:cs="Calibri"/>
          <w:noProof/>
        </w:rPr>
        <w:t>18</w:t>
      </w:r>
      <w:r w:rsidR="003972D8">
        <w:rPr>
          <w:rFonts w:ascii="Calibri" w:hAnsi="Calibri" w:cs="Calibri"/>
        </w:rPr>
        <w:fldChar w:fldCharType="end"/>
      </w:r>
      <w:r>
        <w:rPr>
          <w:rFonts w:ascii="Calibri" w:hAnsi="Calibri" w:cs="Calibri"/>
        </w:rPr>
        <w:t>. Charakterystyka problemu bezdomności w podobszarach rewitalizacji</w:t>
      </w:r>
      <w:bookmarkEnd w:id="4091"/>
      <w:r>
        <w:rPr>
          <w:rFonts w:ascii="Calibri" w:hAnsi="Calibri" w:cs="Calibri"/>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480"/>
        <w:gridCol w:w="992"/>
        <w:gridCol w:w="1276"/>
        <w:gridCol w:w="1276"/>
        <w:gridCol w:w="1293"/>
        <w:gridCol w:w="813"/>
        <w:gridCol w:w="1080"/>
      </w:tblGrid>
      <w:tr w:rsidR="00092EFF" w:rsidRPr="007B3430" w:rsidTr="00711CEB">
        <w:trPr>
          <w:cantSplit/>
        </w:trPr>
        <w:tc>
          <w:tcPr>
            <w:tcW w:w="2480" w:type="dxa"/>
            <w:vMerge w:val="restart"/>
            <w:shd w:val="clear" w:color="auto" w:fill="99CCFF"/>
            <w:vAlign w:val="center"/>
          </w:tcPr>
          <w:p w:rsidR="00092EFF" w:rsidRPr="00C44283" w:rsidRDefault="00092EFF" w:rsidP="00C44283">
            <w:pPr>
              <w:jc w:val="center"/>
              <w:rPr>
                <w:rFonts w:eastAsiaTheme="minorEastAsia" w:cstheme="minorHAnsi"/>
                <w:b/>
                <w:szCs w:val="20"/>
              </w:rPr>
            </w:pPr>
            <w:r w:rsidRPr="00C44283">
              <w:rPr>
                <w:rFonts w:eastAsiaTheme="minorEastAsia" w:cstheme="minorHAnsi"/>
                <w:b/>
                <w:szCs w:val="20"/>
              </w:rPr>
              <w:t>Wskaźnik</w:t>
            </w:r>
          </w:p>
        </w:tc>
        <w:tc>
          <w:tcPr>
            <w:tcW w:w="6730" w:type="dxa"/>
            <w:gridSpan w:val="6"/>
            <w:shd w:val="clear" w:color="auto" w:fill="99CCFF"/>
            <w:vAlign w:val="center"/>
          </w:tcPr>
          <w:p w:rsidR="00092EFF" w:rsidRPr="00C44283" w:rsidRDefault="00092EFF" w:rsidP="008C1C57">
            <w:pPr>
              <w:spacing w:before="40" w:after="40"/>
              <w:jc w:val="center"/>
              <w:rPr>
                <w:rFonts w:eastAsiaTheme="minorEastAsia" w:cstheme="minorHAnsi"/>
                <w:b/>
                <w:szCs w:val="20"/>
              </w:rPr>
            </w:pPr>
            <w:r w:rsidRPr="00C44283">
              <w:rPr>
                <w:rFonts w:eastAsiaTheme="minorEastAsia" w:cstheme="minorHAnsi"/>
                <w:b/>
                <w:szCs w:val="20"/>
              </w:rPr>
              <w:t>Obszary rewitalizacji</w:t>
            </w:r>
          </w:p>
        </w:tc>
      </w:tr>
      <w:tr w:rsidR="00092EFF" w:rsidRPr="007B3430" w:rsidTr="00711CEB">
        <w:trPr>
          <w:cantSplit/>
        </w:trPr>
        <w:tc>
          <w:tcPr>
            <w:tcW w:w="2480" w:type="dxa"/>
            <w:vMerge/>
            <w:shd w:val="clear" w:color="auto" w:fill="99CCFF"/>
            <w:vAlign w:val="center"/>
          </w:tcPr>
          <w:p w:rsidR="00092EFF" w:rsidRPr="00C44283" w:rsidRDefault="00092EFF" w:rsidP="00C44283">
            <w:pPr>
              <w:jc w:val="center"/>
              <w:rPr>
                <w:rFonts w:eastAsiaTheme="minorEastAsia" w:cstheme="minorHAnsi"/>
                <w:b/>
                <w:szCs w:val="20"/>
              </w:rPr>
            </w:pPr>
          </w:p>
        </w:tc>
        <w:tc>
          <w:tcPr>
            <w:tcW w:w="992" w:type="dxa"/>
            <w:shd w:val="clear" w:color="auto" w:fill="99CCFF"/>
            <w:vAlign w:val="center"/>
          </w:tcPr>
          <w:p w:rsidR="00092EFF" w:rsidRPr="00C44283" w:rsidRDefault="00092EFF" w:rsidP="00C256F3">
            <w:pPr>
              <w:spacing w:line="216" w:lineRule="auto"/>
              <w:jc w:val="center"/>
              <w:rPr>
                <w:rFonts w:eastAsiaTheme="minorEastAsia" w:cstheme="minorHAnsi"/>
                <w:b/>
                <w:szCs w:val="20"/>
              </w:rPr>
            </w:pPr>
            <w:r w:rsidRPr="00C44283">
              <w:rPr>
                <w:rFonts w:eastAsiaTheme="minorEastAsia" w:cstheme="minorHAnsi"/>
                <w:b/>
                <w:szCs w:val="20"/>
              </w:rPr>
              <w:t>Bobrek</w:t>
            </w:r>
          </w:p>
        </w:tc>
        <w:tc>
          <w:tcPr>
            <w:tcW w:w="1276" w:type="dxa"/>
            <w:shd w:val="clear" w:color="auto" w:fill="99CCFF"/>
            <w:vAlign w:val="center"/>
          </w:tcPr>
          <w:p w:rsidR="00092EFF" w:rsidRPr="00C44283" w:rsidRDefault="00092EFF" w:rsidP="00C256F3">
            <w:pPr>
              <w:spacing w:line="216" w:lineRule="auto"/>
              <w:jc w:val="center"/>
              <w:rPr>
                <w:rFonts w:eastAsiaTheme="minorEastAsia" w:cstheme="minorHAnsi"/>
                <w:b/>
                <w:szCs w:val="20"/>
              </w:rPr>
            </w:pPr>
            <w:r w:rsidRPr="00C44283">
              <w:rPr>
                <w:rFonts w:eastAsiaTheme="minorEastAsia" w:cstheme="minorHAnsi"/>
                <w:b/>
                <w:szCs w:val="20"/>
              </w:rPr>
              <w:t>Śródmieście</w:t>
            </w:r>
          </w:p>
        </w:tc>
        <w:tc>
          <w:tcPr>
            <w:tcW w:w="1276" w:type="dxa"/>
            <w:shd w:val="clear" w:color="auto" w:fill="99CCFF"/>
            <w:vAlign w:val="center"/>
          </w:tcPr>
          <w:p w:rsidR="00092EFF" w:rsidRPr="00C44283" w:rsidRDefault="00092EFF" w:rsidP="00C256F3">
            <w:pPr>
              <w:spacing w:line="216" w:lineRule="auto"/>
              <w:jc w:val="center"/>
              <w:rPr>
                <w:rFonts w:eastAsiaTheme="minorEastAsia" w:cstheme="minorHAnsi"/>
                <w:b/>
                <w:szCs w:val="20"/>
              </w:rPr>
            </w:pPr>
            <w:r w:rsidRPr="00C44283">
              <w:rPr>
                <w:rFonts w:eastAsiaTheme="minorEastAsia" w:cstheme="minorHAnsi"/>
                <w:b/>
                <w:szCs w:val="20"/>
              </w:rPr>
              <w:t>Śródmieście Zachód</w:t>
            </w:r>
          </w:p>
        </w:tc>
        <w:tc>
          <w:tcPr>
            <w:tcW w:w="1293" w:type="dxa"/>
            <w:shd w:val="clear" w:color="auto" w:fill="99CCFF"/>
            <w:vAlign w:val="center"/>
          </w:tcPr>
          <w:p w:rsidR="00092EFF" w:rsidRPr="00C44283" w:rsidRDefault="00092EFF" w:rsidP="00C256F3">
            <w:pPr>
              <w:spacing w:line="216" w:lineRule="auto"/>
              <w:jc w:val="center"/>
              <w:rPr>
                <w:rFonts w:eastAsiaTheme="minorEastAsia" w:cstheme="minorHAnsi"/>
                <w:b/>
                <w:szCs w:val="20"/>
              </w:rPr>
            </w:pPr>
            <w:r w:rsidRPr="00C44283">
              <w:rPr>
                <w:rFonts w:eastAsiaTheme="minorEastAsia" w:cstheme="minorHAnsi"/>
                <w:b/>
                <w:szCs w:val="20"/>
              </w:rPr>
              <w:t>Śródmieście Północ</w:t>
            </w:r>
          </w:p>
        </w:tc>
        <w:tc>
          <w:tcPr>
            <w:tcW w:w="813" w:type="dxa"/>
            <w:shd w:val="clear" w:color="auto" w:fill="99CCFF"/>
            <w:vAlign w:val="center"/>
          </w:tcPr>
          <w:p w:rsidR="00092EFF" w:rsidRPr="00C44283" w:rsidRDefault="00092EFF" w:rsidP="00C256F3">
            <w:pPr>
              <w:spacing w:line="216" w:lineRule="auto"/>
              <w:jc w:val="center"/>
              <w:rPr>
                <w:rFonts w:eastAsiaTheme="minorEastAsia" w:cstheme="minorHAnsi"/>
                <w:b/>
                <w:szCs w:val="20"/>
              </w:rPr>
            </w:pPr>
            <w:r w:rsidRPr="00C44283">
              <w:rPr>
                <w:rFonts w:eastAsiaTheme="minorEastAsia" w:cstheme="minorHAnsi"/>
                <w:b/>
                <w:szCs w:val="20"/>
              </w:rPr>
              <w:t>Rozbark</w:t>
            </w:r>
          </w:p>
        </w:tc>
        <w:tc>
          <w:tcPr>
            <w:tcW w:w="1080" w:type="dxa"/>
            <w:shd w:val="clear" w:color="auto" w:fill="99CCFF"/>
            <w:vAlign w:val="center"/>
          </w:tcPr>
          <w:p w:rsidR="00092EFF" w:rsidRPr="00C44283" w:rsidRDefault="00092EFF" w:rsidP="00C256F3">
            <w:pPr>
              <w:spacing w:line="216" w:lineRule="auto"/>
              <w:jc w:val="center"/>
              <w:rPr>
                <w:rFonts w:eastAsiaTheme="minorEastAsia" w:cstheme="minorHAnsi"/>
                <w:b/>
                <w:szCs w:val="20"/>
              </w:rPr>
            </w:pPr>
            <w:r w:rsidRPr="00C44283">
              <w:rPr>
                <w:rFonts w:eastAsiaTheme="minorEastAsia" w:cstheme="minorHAnsi"/>
                <w:b/>
                <w:szCs w:val="20"/>
              </w:rPr>
              <w:t>Kolonia Zgorzelec</w:t>
            </w:r>
          </w:p>
        </w:tc>
      </w:tr>
      <w:tr w:rsidR="00092EFF" w:rsidRPr="007B3430" w:rsidTr="00711CEB">
        <w:tc>
          <w:tcPr>
            <w:tcW w:w="2480" w:type="dxa"/>
          </w:tcPr>
          <w:p w:rsidR="00092EFF" w:rsidRPr="00E33D7F" w:rsidRDefault="00092EFF" w:rsidP="00C44283">
            <w:pPr>
              <w:rPr>
                <w:rFonts w:eastAsiaTheme="minorEastAsia" w:cstheme="minorHAnsi"/>
                <w:szCs w:val="20"/>
              </w:rPr>
            </w:pPr>
            <w:r w:rsidRPr="00E33D7F">
              <w:rPr>
                <w:rFonts w:cstheme="minorHAnsi"/>
                <w:szCs w:val="20"/>
              </w:rPr>
              <w:t xml:space="preserve">Liczba osób </w:t>
            </w:r>
            <w:r>
              <w:rPr>
                <w:rFonts w:cstheme="minorHAnsi"/>
                <w:szCs w:val="20"/>
              </w:rPr>
              <w:t>bezdomnych korzystających z noclegowni według ostatniego adresu zameldowania</w:t>
            </w:r>
          </w:p>
        </w:tc>
        <w:tc>
          <w:tcPr>
            <w:tcW w:w="992" w:type="dxa"/>
            <w:vAlign w:val="center"/>
          </w:tcPr>
          <w:p w:rsidR="00092EFF" w:rsidRPr="007B3430" w:rsidRDefault="00092EFF" w:rsidP="00711CEB">
            <w:pPr>
              <w:jc w:val="center"/>
              <w:rPr>
                <w:rFonts w:eastAsiaTheme="minorEastAsia" w:cstheme="minorHAnsi"/>
                <w:szCs w:val="20"/>
              </w:rPr>
            </w:pPr>
            <w:r>
              <w:rPr>
                <w:rFonts w:eastAsiaTheme="minorEastAsia" w:cstheme="minorHAnsi"/>
                <w:szCs w:val="20"/>
              </w:rPr>
              <w:t>20</w:t>
            </w:r>
          </w:p>
        </w:tc>
        <w:tc>
          <w:tcPr>
            <w:tcW w:w="1276" w:type="dxa"/>
            <w:vAlign w:val="center"/>
          </w:tcPr>
          <w:p w:rsidR="00092EFF" w:rsidRPr="007B3430" w:rsidRDefault="00092EFF" w:rsidP="00711CEB">
            <w:pPr>
              <w:jc w:val="center"/>
              <w:rPr>
                <w:rFonts w:eastAsiaTheme="minorEastAsia" w:cstheme="minorHAnsi"/>
                <w:szCs w:val="20"/>
              </w:rPr>
            </w:pPr>
            <w:r>
              <w:rPr>
                <w:rFonts w:eastAsiaTheme="minorEastAsia" w:cstheme="minorHAnsi"/>
                <w:szCs w:val="20"/>
              </w:rPr>
              <w:t>26</w:t>
            </w:r>
          </w:p>
        </w:tc>
        <w:tc>
          <w:tcPr>
            <w:tcW w:w="1276" w:type="dxa"/>
            <w:vAlign w:val="center"/>
          </w:tcPr>
          <w:p w:rsidR="00092EFF" w:rsidRPr="007B3430" w:rsidRDefault="00092EFF" w:rsidP="00711CEB">
            <w:pPr>
              <w:jc w:val="center"/>
              <w:rPr>
                <w:rFonts w:eastAsiaTheme="minorEastAsia" w:cstheme="minorHAnsi"/>
                <w:szCs w:val="20"/>
              </w:rPr>
            </w:pPr>
            <w:r>
              <w:rPr>
                <w:rFonts w:eastAsiaTheme="minorEastAsia" w:cstheme="minorHAnsi"/>
                <w:szCs w:val="20"/>
              </w:rPr>
              <w:t>10</w:t>
            </w:r>
          </w:p>
        </w:tc>
        <w:tc>
          <w:tcPr>
            <w:tcW w:w="1293" w:type="dxa"/>
            <w:vAlign w:val="center"/>
          </w:tcPr>
          <w:p w:rsidR="00092EFF" w:rsidRPr="007B3430" w:rsidRDefault="00092EFF" w:rsidP="00711CEB">
            <w:pPr>
              <w:jc w:val="center"/>
              <w:rPr>
                <w:rFonts w:eastAsiaTheme="minorEastAsia" w:cstheme="minorHAnsi"/>
                <w:szCs w:val="20"/>
              </w:rPr>
            </w:pPr>
            <w:r>
              <w:rPr>
                <w:rFonts w:eastAsiaTheme="minorEastAsia" w:cstheme="minorHAnsi"/>
                <w:szCs w:val="20"/>
              </w:rPr>
              <w:t>10</w:t>
            </w:r>
          </w:p>
        </w:tc>
        <w:tc>
          <w:tcPr>
            <w:tcW w:w="813" w:type="dxa"/>
            <w:vAlign w:val="center"/>
          </w:tcPr>
          <w:p w:rsidR="00092EFF" w:rsidRPr="007B3430" w:rsidRDefault="00092EFF" w:rsidP="00711CEB">
            <w:pPr>
              <w:jc w:val="center"/>
              <w:rPr>
                <w:rFonts w:eastAsiaTheme="minorEastAsia" w:cstheme="minorHAnsi"/>
                <w:szCs w:val="20"/>
              </w:rPr>
            </w:pPr>
            <w:r>
              <w:rPr>
                <w:rFonts w:eastAsiaTheme="minorEastAsia" w:cstheme="minorHAnsi"/>
                <w:szCs w:val="20"/>
              </w:rPr>
              <w:t>12</w:t>
            </w:r>
          </w:p>
        </w:tc>
        <w:tc>
          <w:tcPr>
            <w:tcW w:w="1080" w:type="dxa"/>
            <w:vAlign w:val="center"/>
          </w:tcPr>
          <w:p w:rsidR="00092EFF" w:rsidRPr="007B3430" w:rsidRDefault="00092EFF" w:rsidP="00711CEB">
            <w:pPr>
              <w:jc w:val="center"/>
              <w:rPr>
                <w:rFonts w:eastAsiaTheme="minorEastAsia" w:cstheme="minorHAnsi"/>
                <w:szCs w:val="20"/>
              </w:rPr>
            </w:pPr>
            <w:r>
              <w:rPr>
                <w:rFonts w:eastAsiaTheme="minorEastAsia" w:cstheme="minorHAnsi"/>
                <w:szCs w:val="20"/>
              </w:rPr>
              <w:t>0</w:t>
            </w:r>
          </w:p>
        </w:tc>
      </w:tr>
    </w:tbl>
    <w:p w:rsidR="006140C6" w:rsidRPr="006140C6" w:rsidRDefault="006140C6" w:rsidP="009968FD">
      <w:pPr>
        <w:pStyle w:val="Akapitzlist"/>
        <w:keepNext/>
        <w:numPr>
          <w:ilvl w:val="0"/>
          <w:numId w:val="228"/>
        </w:numPr>
        <w:spacing w:before="240" w:after="60" w:line="240" w:lineRule="auto"/>
        <w:outlineLvl w:val="2"/>
        <w:rPr>
          <w:rFonts w:cs="Calibri"/>
          <w:b/>
          <w:bCs/>
          <w:vanish/>
          <w:color w:val="3366FF"/>
          <w:sz w:val="26"/>
          <w:szCs w:val="26"/>
          <w:lang w:eastAsia="pl-PL"/>
        </w:rPr>
      </w:pPr>
      <w:bookmarkStart w:id="4092" w:name="_Toc467663427"/>
      <w:bookmarkStart w:id="4093" w:name="_Toc467665452"/>
      <w:bookmarkStart w:id="4094" w:name="_Toc467665606"/>
      <w:bookmarkStart w:id="4095" w:name="_Toc467669528"/>
      <w:bookmarkStart w:id="4096" w:name="_Toc467832033"/>
      <w:bookmarkStart w:id="4097" w:name="_Toc467832153"/>
      <w:bookmarkStart w:id="4098" w:name="_Toc467834858"/>
      <w:bookmarkStart w:id="4099" w:name="_Toc467843539"/>
      <w:bookmarkStart w:id="4100" w:name="_Toc467845525"/>
      <w:bookmarkStart w:id="4101" w:name="_Toc467847468"/>
      <w:bookmarkStart w:id="4102" w:name="_Toc467847590"/>
      <w:bookmarkStart w:id="4103" w:name="_Toc467847712"/>
      <w:bookmarkStart w:id="4104" w:name="_Toc467847836"/>
      <w:bookmarkStart w:id="4105" w:name="_Toc467847960"/>
      <w:bookmarkStart w:id="4106" w:name="_Toc467848084"/>
      <w:bookmarkStart w:id="4107" w:name="_Toc467848208"/>
      <w:bookmarkStart w:id="4108" w:name="_Toc467848332"/>
      <w:bookmarkStart w:id="4109" w:name="_Toc467848456"/>
      <w:bookmarkStart w:id="4110" w:name="_Toc468097929"/>
      <w:bookmarkStart w:id="4111" w:name="_Toc468098054"/>
      <w:bookmarkStart w:id="4112" w:name="_Toc468104721"/>
      <w:bookmarkStart w:id="4113" w:name="_Toc468104845"/>
      <w:bookmarkStart w:id="4114" w:name="_Toc468104971"/>
      <w:bookmarkStart w:id="4115" w:name="_Toc468105097"/>
      <w:bookmarkStart w:id="4116" w:name="_Toc468105223"/>
      <w:bookmarkStart w:id="4117" w:name="_Toc468105349"/>
      <w:bookmarkStart w:id="4118" w:name="_Toc468105833"/>
      <w:bookmarkStart w:id="4119" w:name="_Toc468105960"/>
      <w:bookmarkStart w:id="4120" w:name="_Toc468116254"/>
      <w:bookmarkStart w:id="4121" w:name="_Toc468178210"/>
      <w:bookmarkStart w:id="4122" w:name="_Toc468181502"/>
      <w:bookmarkStart w:id="4123" w:name="_Toc468181629"/>
      <w:bookmarkStart w:id="4124" w:name="_Toc468181758"/>
      <w:bookmarkStart w:id="4125" w:name="_Toc468181925"/>
      <w:bookmarkStart w:id="4126" w:name="_Toc468185866"/>
      <w:bookmarkStart w:id="4127" w:name="_Toc468190798"/>
      <w:bookmarkStart w:id="4128" w:name="_Toc468190924"/>
      <w:bookmarkStart w:id="4129" w:name="_Toc468191416"/>
      <w:bookmarkStart w:id="4130" w:name="_Toc468258087"/>
      <w:bookmarkStart w:id="4131" w:name="_Toc468258318"/>
      <w:bookmarkStart w:id="4132" w:name="_Toc468258612"/>
      <w:bookmarkStart w:id="4133" w:name="_Toc468258741"/>
      <w:bookmarkStart w:id="4134" w:name="_Toc468258874"/>
      <w:bookmarkStart w:id="4135" w:name="_Toc468259005"/>
      <w:bookmarkStart w:id="4136" w:name="_Toc468259134"/>
      <w:bookmarkStart w:id="4137" w:name="_Toc468259263"/>
      <w:bookmarkStart w:id="4138" w:name="_Toc468259520"/>
      <w:bookmarkStart w:id="4139" w:name="_Toc468259652"/>
      <w:bookmarkStart w:id="4140" w:name="_Toc468259782"/>
      <w:bookmarkStart w:id="4141" w:name="_Toc468259911"/>
      <w:bookmarkStart w:id="4142" w:name="_Toc468260042"/>
      <w:bookmarkStart w:id="4143" w:name="_Toc468260171"/>
      <w:bookmarkStart w:id="4144" w:name="_Toc468260300"/>
      <w:bookmarkStart w:id="4145" w:name="_Toc468260429"/>
      <w:bookmarkStart w:id="4146" w:name="_Toc468260558"/>
      <w:bookmarkStart w:id="4147" w:name="_Toc468260687"/>
      <w:bookmarkStart w:id="4148" w:name="_Toc468260815"/>
      <w:bookmarkStart w:id="4149" w:name="_Toc468260946"/>
      <w:bookmarkStart w:id="4150" w:name="_Toc468261077"/>
      <w:bookmarkStart w:id="4151" w:name="_Toc468261208"/>
      <w:bookmarkStart w:id="4152" w:name="_Toc468261339"/>
      <w:bookmarkStart w:id="4153" w:name="_Toc468261470"/>
      <w:bookmarkStart w:id="4154" w:name="_Toc468266784"/>
      <w:bookmarkStart w:id="4155" w:name="_Toc468266912"/>
      <w:bookmarkStart w:id="4156" w:name="_Toc468267040"/>
      <w:bookmarkStart w:id="4157" w:name="_Toc468269451"/>
      <w:bookmarkStart w:id="4158" w:name="_Toc468279417"/>
      <w:bookmarkStart w:id="4159" w:name="_Toc468360269"/>
      <w:bookmarkStart w:id="4160" w:name="_Toc468361210"/>
      <w:bookmarkStart w:id="4161" w:name="_Toc468363440"/>
      <w:bookmarkStart w:id="4162" w:name="_Toc468366267"/>
      <w:bookmarkStart w:id="4163" w:name="_Toc468428357"/>
      <w:bookmarkStart w:id="4164" w:name="_Toc468691753"/>
      <w:bookmarkStart w:id="4165" w:name="_Toc468691880"/>
      <w:bookmarkStart w:id="4166" w:name="_Toc468692007"/>
      <w:bookmarkStart w:id="4167" w:name="_Toc468693961"/>
      <w:bookmarkStart w:id="4168" w:name="_Toc468712656"/>
      <w:bookmarkStart w:id="4169" w:name="_Toc468712784"/>
      <w:bookmarkStart w:id="4170" w:name="_Toc468712911"/>
      <w:bookmarkStart w:id="4171" w:name="_Toc468713038"/>
      <w:bookmarkStart w:id="4172" w:name="_Toc468713165"/>
      <w:bookmarkStart w:id="4173" w:name="_Toc468713292"/>
      <w:bookmarkStart w:id="4174" w:name="_Toc468713419"/>
      <w:bookmarkStart w:id="4175" w:name="_Toc468713546"/>
      <w:bookmarkStart w:id="4176" w:name="_Toc468713799"/>
      <w:bookmarkStart w:id="4177" w:name="_Toc468713926"/>
      <w:bookmarkStart w:id="4178" w:name="_Toc468714053"/>
      <w:bookmarkStart w:id="4179" w:name="_Toc468787062"/>
      <w:bookmarkStart w:id="4180" w:name="_Toc468787380"/>
      <w:bookmarkStart w:id="4181" w:name="_Toc468787508"/>
      <w:bookmarkStart w:id="4182" w:name="_Toc468787636"/>
      <w:bookmarkStart w:id="4183" w:name="_Toc468787763"/>
      <w:bookmarkStart w:id="4184" w:name="_Toc468787890"/>
      <w:bookmarkStart w:id="4185" w:name="_Toc468788017"/>
      <w:bookmarkStart w:id="4186" w:name="_Toc468957697"/>
      <w:bookmarkStart w:id="4187" w:name="_Toc468957824"/>
      <w:bookmarkStart w:id="4188" w:name="_Toc468957951"/>
      <w:bookmarkStart w:id="4189" w:name="_Toc468958078"/>
      <w:bookmarkStart w:id="4190" w:name="_Toc468958205"/>
      <w:bookmarkStart w:id="4191" w:name="_Toc468958332"/>
      <w:bookmarkStart w:id="4192" w:name="_Toc468958459"/>
      <w:bookmarkStart w:id="4193" w:name="_Toc468958586"/>
      <w:bookmarkStart w:id="4194" w:name="_Toc468958713"/>
      <w:bookmarkStart w:id="4195" w:name="_Toc468958840"/>
      <w:bookmarkStart w:id="4196" w:name="_Toc468958967"/>
      <w:bookmarkStart w:id="4197" w:name="_Toc468959094"/>
      <w:bookmarkStart w:id="4198" w:name="_Toc468960595"/>
      <w:bookmarkStart w:id="4199" w:name="_Toc469035068"/>
      <w:bookmarkStart w:id="4200" w:name="_Toc469056778"/>
      <w:bookmarkStart w:id="4201" w:name="_Toc469321090"/>
      <w:bookmarkStart w:id="4202" w:name="_Toc469323819"/>
      <w:bookmarkStart w:id="4203" w:name="_Toc469323945"/>
      <w:bookmarkStart w:id="4204" w:name="_Toc469324496"/>
      <w:bookmarkStart w:id="4205" w:name="_Toc470695374"/>
      <w:bookmarkStart w:id="4206" w:name="_Toc470695527"/>
      <w:bookmarkStart w:id="4207" w:name="_Toc470697031"/>
      <w:bookmarkStart w:id="4208" w:name="_Toc470699915"/>
      <w:bookmarkStart w:id="4209" w:name="_Toc470762761"/>
      <w:bookmarkStart w:id="4210" w:name="_Toc471114579"/>
      <w:bookmarkStart w:id="4211" w:name="_Toc474392995"/>
      <w:bookmarkStart w:id="4212" w:name="_Toc474497886"/>
      <w:bookmarkStart w:id="4213" w:name="_Toc474498645"/>
      <w:bookmarkStart w:id="4214" w:name="_Toc474844504"/>
      <w:bookmarkStart w:id="4215" w:name="_Toc474844631"/>
      <w:bookmarkStart w:id="4216" w:name="_Toc474919901"/>
      <w:bookmarkStart w:id="4217" w:name="_Toc474924910"/>
      <w:bookmarkStart w:id="4218" w:name="_Toc461612532"/>
      <w:bookmarkEnd w:id="4092"/>
      <w:bookmarkEnd w:id="4093"/>
      <w:bookmarkEnd w:id="4094"/>
      <w:bookmarkEnd w:id="4095"/>
      <w:bookmarkEnd w:id="4096"/>
      <w:bookmarkEnd w:id="4097"/>
      <w:bookmarkEnd w:id="4098"/>
      <w:bookmarkEnd w:id="4099"/>
      <w:bookmarkEnd w:id="4100"/>
      <w:bookmarkEnd w:id="4101"/>
      <w:bookmarkEnd w:id="4102"/>
      <w:bookmarkEnd w:id="4103"/>
      <w:bookmarkEnd w:id="4104"/>
      <w:bookmarkEnd w:id="4105"/>
      <w:bookmarkEnd w:id="4106"/>
      <w:bookmarkEnd w:id="4107"/>
      <w:bookmarkEnd w:id="4108"/>
      <w:bookmarkEnd w:id="4109"/>
      <w:bookmarkEnd w:id="4110"/>
      <w:bookmarkEnd w:id="4111"/>
      <w:bookmarkEnd w:id="4112"/>
      <w:bookmarkEnd w:id="4113"/>
      <w:bookmarkEnd w:id="4114"/>
      <w:bookmarkEnd w:id="4115"/>
      <w:bookmarkEnd w:id="4116"/>
      <w:bookmarkEnd w:id="4117"/>
      <w:bookmarkEnd w:id="4118"/>
      <w:bookmarkEnd w:id="4119"/>
      <w:bookmarkEnd w:id="4120"/>
      <w:bookmarkEnd w:id="4121"/>
      <w:bookmarkEnd w:id="4122"/>
      <w:bookmarkEnd w:id="4123"/>
      <w:bookmarkEnd w:id="4124"/>
      <w:bookmarkEnd w:id="4125"/>
      <w:bookmarkEnd w:id="4126"/>
      <w:bookmarkEnd w:id="4127"/>
      <w:bookmarkEnd w:id="4128"/>
      <w:bookmarkEnd w:id="4129"/>
      <w:bookmarkEnd w:id="4130"/>
      <w:bookmarkEnd w:id="4131"/>
      <w:bookmarkEnd w:id="4132"/>
      <w:bookmarkEnd w:id="4133"/>
      <w:bookmarkEnd w:id="4134"/>
      <w:bookmarkEnd w:id="4135"/>
      <w:bookmarkEnd w:id="4136"/>
      <w:bookmarkEnd w:id="4137"/>
      <w:bookmarkEnd w:id="4138"/>
      <w:bookmarkEnd w:id="4139"/>
      <w:bookmarkEnd w:id="4140"/>
      <w:bookmarkEnd w:id="4141"/>
      <w:bookmarkEnd w:id="4142"/>
      <w:bookmarkEnd w:id="4143"/>
      <w:bookmarkEnd w:id="4144"/>
      <w:bookmarkEnd w:id="4145"/>
      <w:bookmarkEnd w:id="4146"/>
      <w:bookmarkEnd w:id="4147"/>
      <w:bookmarkEnd w:id="4148"/>
      <w:bookmarkEnd w:id="4149"/>
      <w:bookmarkEnd w:id="4150"/>
      <w:bookmarkEnd w:id="4151"/>
      <w:bookmarkEnd w:id="4152"/>
      <w:bookmarkEnd w:id="4153"/>
      <w:bookmarkEnd w:id="4154"/>
      <w:bookmarkEnd w:id="4155"/>
      <w:bookmarkEnd w:id="4156"/>
      <w:bookmarkEnd w:id="4157"/>
      <w:bookmarkEnd w:id="4158"/>
      <w:bookmarkEnd w:id="4159"/>
      <w:bookmarkEnd w:id="4160"/>
      <w:bookmarkEnd w:id="4161"/>
      <w:bookmarkEnd w:id="4162"/>
      <w:bookmarkEnd w:id="4163"/>
      <w:bookmarkEnd w:id="4164"/>
      <w:bookmarkEnd w:id="4165"/>
      <w:bookmarkEnd w:id="4166"/>
      <w:bookmarkEnd w:id="4167"/>
      <w:bookmarkEnd w:id="4168"/>
      <w:bookmarkEnd w:id="4169"/>
      <w:bookmarkEnd w:id="4170"/>
      <w:bookmarkEnd w:id="4171"/>
      <w:bookmarkEnd w:id="4172"/>
      <w:bookmarkEnd w:id="4173"/>
      <w:bookmarkEnd w:id="4174"/>
      <w:bookmarkEnd w:id="4175"/>
      <w:bookmarkEnd w:id="4176"/>
      <w:bookmarkEnd w:id="4177"/>
      <w:bookmarkEnd w:id="4178"/>
      <w:bookmarkEnd w:id="4179"/>
      <w:bookmarkEnd w:id="4180"/>
      <w:bookmarkEnd w:id="4181"/>
      <w:bookmarkEnd w:id="4182"/>
      <w:bookmarkEnd w:id="4183"/>
      <w:bookmarkEnd w:id="4184"/>
      <w:bookmarkEnd w:id="4185"/>
      <w:bookmarkEnd w:id="4186"/>
      <w:bookmarkEnd w:id="4187"/>
      <w:bookmarkEnd w:id="4188"/>
      <w:bookmarkEnd w:id="4189"/>
      <w:bookmarkEnd w:id="4190"/>
      <w:bookmarkEnd w:id="4191"/>
      <w:bookmarkEnd w:id="4192"/>
      <w:bookmarkEnd w:id="4193"/>
      <w:bookmarkEnd w:id="4194"/>
      <w:bookmarkEnd w:id="4195"/>
      <w:bookmarkEnd w:id="4196"/>
      <w:bookmarkEnd w:id="4197"/>
      <w:bookmarkEnd w:id="4198"/>
      <w:bookmarkEnd w:id="4199"/>
      <w:bookmarkEnd w:id="4200"/>
      <w:bookmarkEnd w:id="4201"/>
      <w:bookmarkEnd w:id="4202"/>
      <w:bookmarkEnd w:id="4203"/>
      <w:bookmarkEnd w:id="4204"/>
      <w:bookmarkEnd w:id="4205"/>
      <w:bookmarkEnd w:id="4206"/>
      <w:bookmarkEnd w:id="4207"/>
      <w:bookmarkEnd w:id="4208"/>
      <w:bookmarkEnd w:id="4209"/>
      <w:bookmarkEnd w:id="4210"/>
      <w:bookmarkEnd w:id="4211"/>
      <w:bookmarkEnd w:id="4212"/>
      <w:bookmarkEnd w:id="4213"/>
      <w:bookmarkEnd w:id="4214"/>
      <w:bookmarkEnd w:id="4215"/>
      <w:bookmarkEnd w:id="4216"/>
      <w:bookmarkEnd w:id="4217"/>
    </w:p>
    <w:p w:rsidR="006140C6" w:rsidRPr="006140C6" w:rsidRDefault="006140C6" w:rsidP="009968FD">
      <w:pPr>
        <w:pStyle w:val="Akapitzlist"/>
        <w:keepNext/>
        <w:numPr>
          <w:ilvl w:val="0"/>
          <w:numId w:val="228"/>
        </w:numPr>
        <w:spacing w:before="240" w:after="60" w:line="240" w:lineRule="auto"/>
        <w:outlineLvl w:val="2"/>
        <w:rPr>
          <w:rFonts w:cs="Calibri"/>
          <w:b/>
          <w:bCs/>
          <w:vanish/>
          <w:color w:val="3366FF"/>
          <w:sz w:val="26"/>
          <w:szCs w:val="26"/>
          <w:lang w:eastAsia="pl-PL"/>
        </w:rPr>
      </w:pPr>
      <w:bookmarkStart w:id="4219" w:name="_Toc467663428"/>
      <w:bookmarkStart w:id="4220" w:name="_Toc467665453"/>
      <w:bookmarkStart w:id="4221" w:name="_Toc467665607"/>
      <w:bookmarkStart w:id="4222" w:name="_Toc467669529"/>
      <w:bookmarkStart w:id="4223" w:name="_Toc467832034"/>
      <w:bookmarkStart w:id="4224" w:name="_Toc467832154"/>
      <w:bookmarkStart w:id="4225" w:name="_Toc467834859"/>
      <w:bookmarkStart w:id="4226" w:name="_Toc467843540"/>
      <w:bookmarkStart w:id="4227" w:name="_Toc467845526"/>
      <w:bookmarkStart w:id="4228" w:name="_Toc467847469"/>
      <w:bookmarkStart w:id="4229" w:name="_Toc467847591"/>
      <w:bookmarkStart w:id="4230" w:name="_Toc467847713"/>
      <w:bookmarkStart w:id="4231" w:name="_Toc467847837"/>
      <w:bookmarkStart w:id="4232" w:name="_Toc467847961"/>
      <w:bookmarkStart w:id="4233" w:name="_Toc467848085"/>
      <w:bookmarkStart w:id="4234" w:name="_Toc467848209"/>
      <w:bookmarkStart w:id="4235" w:name="_Toc467848333"/>
      <w:bookmarkStart w:id="4236" w:name="_Toc467848457"/>
      <w:bookmarkStart w:id="4237" w:name="_Toc468097930"/>
      <w:bookmarkStart w:id="4238" w:name="_Toc468098055"/>
      <w:bookmarkStart w:id="4239" w:name="_Toc468104722"/>
      <w:bookmarkStart w:id="4240" w:name="_Toc468104846"/>
      <w:bookmarkStart w:id="4241" w:name="_Toc468104972"/>
      <w:bookmarkStart w:id="4242" w:name="_Toc468105098"/>
      <w:bookmarkStart w:id="4243" w:name="_Toc468105224"/>
      <w:bookmarkStart w:id="4244" w:name="_Toc468105350"/>
      <w:bookmarkStart w:id="4245" w:name="_Toc468105834"/>
      <w:bookmarkStart w:id="4246" w:name="_Toc468105961"/>
      <w:bookmarkStart w:id="4247" w:name="_Toc468116255"/>
      <w:bookmarkStart w:id="4248" w:name="_Toc468178211"/>
      <w:bookmarkStart w:id="4249" w:name="_Toc468181503"/>
      <w:bookmarkStart w:id="4250" w:name="_Toc468181630"/>
      <w:bookmarkStart w:id="4251" w:name="_Toc468181759"/>
      <w:bookmarkStart w:id="4252" w:name="_Toc468181926"/>
      <w:bookmarkStart w:id="4253" w:name="_Toc468185867"/>
      <w:bookmarkStart w:id="4254" w:name="_Toc468190799"/>
      <w:bookmarkStart w:id="4255" w:name="_Toc468190925"/>
      <w:bookmarkStart w:id="4256" w:name="_Toc468191417"/>
      <w:bookmarkStart w:id="4257" w:name="_Toc468258088"/>
      <w:bookmarkStart w:id="4258" w:name="_Toc468258319"/>
      <w:bookmarkStart w:id="4259" w:name="_Toc468258613"/>
      <w:bookmarkStart w:id="4260" w:name="_Toc468258742"/>
      <w:bookmarkStart w:id="4261" w:name="_Toc468258875"/>
      <w:bookmarkStart w:id="4262" w:name="_Toc468259006"/>
      <w:bookmarkStart w:id="4263" w:name="_Toc468259135"/>
      <w:bookmarkStart w:id="4264" w:name="_Toc468259264"/>
      <w:bookmarkStart w:id="4265" w:name="_Toc468259521"/>
      <w:bookmarkStart w:id="4266" w:name="_Toc468259653"/>
      <w:bookmarkStart w:id="4267" w:name="_Toc468259783"/>
      <w:bookmarkStart w:id="4268" w:name="_Toc468259912"/>
      <w:bookmarkStart w:id="4269" w:name="_Toc468260043"/>
      <w:bookmarkStart w:id="4270" w:name="_Toc468260172"/>
      <w:bookmarkStart w:id="4271" w:name="_Toc468260301"/>
      <w:bookmarkStart w:id="4272" w:name="_Toc468260430"/>
      <w:bookmarkStart w:id="4273" w:name="_Toc468260559"/>
      <w:bookmarkStart w:id="4274" w:name="_Toc468260688"/>
      <w:bookmarkStart w:id="4275" w:name="_Toc468260816"/>
      <w:bookmarkStart w:id="4276" w:name="_Toc468260947"/>
      <w:bookmarkStart w:id="4277" w:name="_Toc468261078"/>
      <w:bookmarkStart w:id="4278" w:name="_Toc468261209"/>
      <w:bookmarkStart w:id="4279" w:name="_Toc468261340"/>
      <w:bookmarkStart w:id="4280" w:name="_Toc468261471"/>
      <w:bookmarkStart w:id="4281" w:name="_Toc468266785"/>
      <w:bookmarkStart w:id="4282" w:name="_Toc468266913"/>
      <w:bookmarkStart w:id="4283" w:name="_Toc468267041"/>
      <w:bookmarkStart w:id="4284" w:name="_Toc468269452"/>
      <w:bookmarkStart w:id="4285" w:name="_Toc468279418"/>
      <w:bookmarkStart w:id="4286" w:name="_Toc468360270"/>
      <w:bookmarkStart w:id="4287" w:name="_Toc468361211"/>
      <w:bookmarkStart w:id="4288" w:name="_Toc468363441"/>
      <w:bookmarkStart w:id="4289" w:name="_Toc468366268"/>
      <w:bookmarkStart w:id="4290" w:name="_Toc468428358"/>
      <w:bookmarkStart w:id="4291" w:name="_Toc468691754"/>
      <w:bookmarkStart w:id="4292" w:name="_Toc468691881"/>
      <w:bookmarkStart w:id="4293" w:name="_Toc468692008"/>
      <w:bookmarkStart w:id="4294" w:name="_Toc468693962"/>
      <w:bookmarkStart w:id="4295" w:name="_Toc468712657"/>
      <w:bookmarkStart w:id="4296" w:name="_Toc468712785"/>
      <w:bookmarkStart w:id="4297" w:name="_Toc468712912"/>
      <w:bookmarkStart w:id="4298" w:name="_Toc468713039"/>
      <w:bookmarkStart w:id="4299" w:name="_Toc468713166"/>
      <w:bookmarkStart w:id="4300" w:name="_Toc468713293"/>
      <w:bookmarkStart w:id="4301" w:name="_Toc468713420"/>
      <w:bookmarkStart w:id="4302" w:name="_Toc468713547"/>
      <w:bookmarkStart w:id="4303" w:name="_Toc468713800"/>
      <w:bookmarkStart w:id="4304" w:name="_Toc468713927"/>
      <w:bookmarkStart w:id="4305" w:name="_Toc468714054"/>
      <w:bookmarkStart w:id="4306" w:name="_Toc468787063"/>
      <w:bookmarkStart w:id="4307" w:name="_Toc468787381"/>
      <w:bookmarkStart w:id="4308" w:name="_Toc468787509"/>
      <w:bookmarkStart w:id="4309" w:name="_Toc468787637"/>
      <w:bookmarkStart w:id="4310" w:name="_Toc468787764"/>
      <w:bookmarkStart w:id="4311" w:name="_Toc468787891"/>
      <w:bookmarkStart w:id="4312" w:name="_Toc468788018"/>
      <w:bookmarkStart w:id="4313" w:name="_Toc468957698"/>
      <w:bookmarkStart w:id="4314" w:name="_Toc468957825"/>
      <w:bookmarkStart w:id="4315" w:name="_Toc468957952"/>
      <w:bookmarkStart w:id="4316" w:name="_Toc468958079"/>
      <w:bookmarkStart w:id="4317" w:name="_Toc468958206"/>
      <w:bookmarkStart w:id="4318" w:name="_Toc468958333"/>
      <w:bookmarkStart w:id="4319" w:name="_Toc468958460"/>
      <w:bookmarkStart w:id="4320" w:name="_Toc468958587"/>
      <w:bookmarkStart w:id="4321" w:name="_Toc468958714"/>
      <w:bookmarkStart w:id="4322" w:name="_Toc468958841"/>
      <w:bookmarkStart w:id="4323" w:name="_Toc468958968"/>
      <w:bookmarkStart w:id="4324" w:name="_Toc468959095"/>
      <w:bookmarkStart w:id="4325" w:name="_Toc468960596"/>
      <w:bookmarkStart w:id="4326" w:name="_Toc469035069"/>
      <w:bookmarkStart w:id="4327" w:name="_Toc469056779"/>
      <w:bookmarkStart w:id="4328" w:name="_Toc469321091"/>
      <w:bookmarkStart w:id="4329" w:name="_Toc469323820"/>
      <w:bookmarkStart w:id="4330" w:name="_Toc469323946"/>
      <w:bookmarkStart w:id="4331" w:name="_Toc469324497"/>
      <w:bookmarkStart w:id="4332" w:name="_Toc470695375"/>
      <w:bookmarkStart w:id="4333" w:name="_Toc470695528"/>
      <w:bookmarkStart w:id="4334" w:name="_Toc470697032"/>
      <w:bookmarkStart w:id="4335" w:name="_Toc470699916"/>
      <w:bookmarkStart w:id="4336" w:name="_Toc470762762"/>
      <w:bookmarkStart w:id="4337" w:name="_Toc471114580"/>
      <w:bookmarkStart w:id="4338" w:name="_Toc474392996"/>
      <w:bookmarkStart w:id="4339" w:name="_Toc474497887"/>
      <w:bookmarkStart w:id="4340" w:name="_Toc474498646"/>
      <w:bookmarkStart w:id="4341" w:name="_Toc474844505"/>
      <w:bookmarkStart w:id="4342" w:name="_Toc474844632"/>
      <w:bookmarkStart w:id="4343" w:name="_Toc474919902"/>
      <w:bookmarkStart w:id="4344" w:name="_Toc474924911"/>
      <w:bookmarkEnd w:id="4219"/>
      <w:bookmarkEnd w:id="4220"/>
      <w:bookmarkEnd w:id="4221"/>
      <w:bookmarkEnd w:id="4222"/>
      <w:bookmarkEnd w:id="4223"/>
      <w:bookmarkEnd w:id="4224"/>
      <w:bookmarkEnd w:id="4225"/>
      <w:bookmarkEnd w:id="4226"/>
      <w:bookmarkEnd w:id="4227"/>
      <w:bookmarkEnd w:id="4228"/>
      <w:bookmarkEnd w:id="4229"/>
      <w:bookmarkEnd w:id="4230"/>
      <w:bookmarkEnd w:id="4231"/>
      <w:bookmarkEnd w:id="4232"/>
      <w:bookmarkEnd w:id="4233"/>
      <w:bookmarkEnd w:id="4234"/>
      <w:bookmarkEnd w:id="4235"/>
      <w:bookmarkEnd w:id="4236"/>
      <w:bookmarkEnd w:id="4237"/>
      <w:bookmarkEnd w:id="4238"/>
      <w:bookmarkEnd w:id="4239"/>
      <w:bookmarkEnd w:id="4240"/>
      <w:bookmarkEnd w:id="4241"/>
      <w:bookmarkEnd w:id="4242"/>
      <w:bookmarkEnd w:id="4243"/>
      <w:bookmarkEnd w:id="4244"/>
      <w:bookmarkEnd w:id="4245"/>
      <w:bookmarkEnd w:id="4246"/>
      <w:bookmarkEnd w:id="4247"/>
      <w:bookmarkEnd w:id="4248"/>
      <w:bookmarkEnd w:id="4249"/>
      <w:bookmarkEnd w:id="4250"/>
      <w:bookmarkEnd w:id="4251"/>
      <w:bookmarkEnd w:id="4252"/>
      <w:bookmarkEnd w:id="4253"/>
      <w:bookmarkEnd w:id="4254"/>
      <w:bookmarkEnd w:id="4255"/>
      <w:bookmarkEnd w:id="4256"/>
      <w:bookmarkEnd w:id="4257"/>
      <w:bookmarkEnd w:id="4258"/>
      <w:bookmarkEnd w:id="4259"/>
      <w:bookmarkEnd w:id="4260"/>
      <w:bookmarkEnd w:id="4261"/>
      <w:bookmarkEnd w:id="4262"/>
      <w:bookmarkEnd w:id="4263"/>
      <w:bookmarkEnd w:id="4264"/>
      <w:bookmarkEnd w:id="4265"/>
      <w:bookmarkEnd w:id="4266"/>
      <w:bookmarkEnd w:id="4267"/>
      <w:bookmarkEnd w:id="4268"/>
      <w:bookmarkEnd w:id="4269"/>
      <w:bookmarkEnd w:id="4270"/>
      <w:bookmarkEnd w:id="4271"/>
      <w:bookmarkEnd w:id="4272"/>
      <w:bookmarkEnd w:id="4273"/>
      <w:bookmarkEnd w:id="4274"/>
      <w:bookmarkEnd w:id="4275"/>
      <w:bookmarkEnd w:id="4276"/>
      <w:bookmarkEnd w:id="4277"/>
      <w:bookmarkEnd w:id="4278"/>
      <w:bookmarkEnd w:id="4279"/>
      <w:bookmarkEnd w:id="4280"/>
      <w:bookmarkEnd w:id="4281"/>
      <w:bookmarkEnd w:id="4282"/>
      <w:bookmarkEnd w:id="4283"/>
      <w:bookmarkEnd w:id="4284"/>
      <w:bookmarkEnd w:id="4285"/>
      <w:bookmarkEnd w:id="4286"/>
      <w:bookmarkEnd w:id="4287"/>
      <w:bookmarkEnd w:id="4288"/>
      <w:bookmarkEnd w:id="4289"/>
      <w:bookmarkEnd w:id="4290"/>
      <w:bookmarkEnd w:id="4291"/>
      <w:bookmarkEnd w:id="4292"/>
      <w:bookmarkEnd w:id="4293"/>
      <w:bookmarkEnd w:id="4294"/>
      <w:bookmarkEnd w:id="4295"/>
      <w:bookmarkEnd w:id="4296"/>
      <w:bookmarkEnd w:id="4297"/>
      <w:bookmarkEnd w:id="4298"/>
      <w:bookmarkEnd w:id="4299"/>
      <w:bookmarkEnd w:id="4300"/>
      <w:bookmarkEnd w:id="4301"/>
      <w:bookmarkEnd w:id="4302"/>
      <w:bookmarkEnd w:id="4303"/>
      <w:bookmarkEnd w:id="4304"/>
      <w:bookmarkEnd w:id="4305"/>
      <w:bookmarkEnd w:id="4306"/>
      <w:bookmarkEnd w:id="4307"/>
      <w:bookmarkEnd w:id="4308"/>
      <w:bookmarkEnd w:id="4309"/>
      <w:bookmarkEnd w:id="4310"/>
      <w:bookmarkEnd w:id="4311"/>
      <w:bookmarkEnd w:id="4312"/>
      <w:bookmarkEnd w:id="4313"/>
      <w:bookmarkEnd w:id="4314"/>
      <w:bookmarkEnd w:id="4315"/>
      <w:bookmarkEnd w:id="4316"/>
      <w:bookmarkEnd w:id="4317"/>
      <w:bookmarkEnd w:id="4318"/>
      <w:bookmarkEnd w:id="4319"/>
      <w:bookmarkEnd w:id="4320"/>
      <w:bookmarkEnd w:id="4321"/>
      <w:bookmarkEnd w:id="4322"/>
      <w:bookmarkEnd w:id="4323"/>
      <w:bookmarkEnd w:id="4324"/>
      <w:bookmarkEnd w:id="4325"/>
      <w:bookmarkEnd w:id="4326"/>
      <w:bookmarkEnd w:id="4327"/>
      <w:bookmarkEnd w:id="4328"/>
      <w:bookmarkEnd w:id="4329"/>
      <w:bookmarkEnd w:id="4330"/>
      <w:bookmarkEnd w:id="4331"/>
      <w:bookmarkEnd w:id="4332"/>
      <w:bookmarkEnd w:id="4333"/>
      <w:bookmarkEnd w:id="4334"/>
      <w:bookmarkEnd w:id="4335"/>
      <w:bookmarkEnd w:id="4336"/>
      <w:bookmarkEnd w:id="4337"/>
      <w:bookmarkEnd w:id="4338"/>
      <w:bookmarkEnd w:id="4339"/>
      <w:bookmarkEnd w:id="4340"/>
      <w:bookmarkEnd w:id="4341"/>
      <w:bookmarkEnd w:id="4342"/>
      <w:bookmarkEnd w:id="4343"/>
      <w:bookmarkEnd w:id="4344"/>
    </w:p>
    <w:p w:rsidR="006140C6" w:rsidRPr="006140C6" w:rsidRDefault="006140C6" w:rsidP="009968FD">
      <w:pPr>
        <w:pStyle w:val="Akapitzlist"/>
        <w:keepNext/>
        <w:numPr>
          <w:ilvl w:val="1"/>
          <w:numId w:val="228"/>
        </w:numPr>
        <w:spacing w:before="240" w:after="60" w:line="240" w:lineRule="auto"/>
        <w:outlineLvl w:val="2"/>
        <w:rPr>
          <w:rFonts w:cs="Calibri"/>
          <w:b/>
          <w:bCs/>
          <w:vanish/>
          <w:color w:val="3366FF"/>
          <w:sz w:val="26"/>
          <w:szCs w:val="26"/>
          <w:lang w:eastAsia="pl-PL"/>
        </w:rPr>
      </w:pPr>
      <w:bookmarkStart w:id="4345" w:name="_Toc467663429"/>
      <w:bookmarkStart w:id="4346" w:name="_Toc467665454"/>
      <w:bookmarkStart w:id="4347" w:name="_Toc467665608"/>
      <w:bookmarkStart w:id="4348" w:name="_Toc467669530"/>
      <w:bookmarkStart w:id="4349" w:name="_Toc467832035"/>
      <w:bookmarkStart w:id="4350" w:name="_Toc467832155"/>
      <w:bookmarkStart w:id="4351" w:name="_Toc467834860"/>
      <w:bookmarkStart w:id="4352" w:name="_Toc467843541"/>
      <w:bookmarkStart w:id="4353" w:name="_Toc467845527"/>
      <w:bookmarkStart w:id="4354" w:name="_Toc467847470"/>
      <w:bookmarkStart w:id="4355" w:name="_Toc467847592"/>
      <w:bookmarkStart w:id="4356" w:name="_Toc467847714"/>
      <w:bookmarkStart w:id="4357" w:name="_Toc467847838"/>
      <w:bookmarkStart w:id="4358" w:name="_Toc467847962"/>
      <w:bookmarkStart w:id="4359" w:name="_Toc467848086"/>
      <w:bookmarkStart w:id="4360" w:name="_Toc467848210"/>
      <w:bookmarkStart w:id="4361" w:name="_Toc467848334"/>
      <w:bookmarkStart w:id="4362" w:name="_Toc467848458"/>
      <w:bookmarkStart w:id="4363" w:name="_Toc468097931"/>
      <w:bookmarkStart w:id="4364" w:name="_Toc468098056"/>
      <w:bookmarkStart w:id="4365" w:name="_Toc468104723"/>
      <w:bookmarkStart w:id="4366" w:name="_Toc468104847"/>
      <w:bookmarkStart w:id="4367" w:name="_Toc468104973"/>
      <w:bookmarkStart w:id="4368" w:name="_Toc468105099"/>
      <w:bookmarkStart w:id="4369" w:name="_Toc468105225"/>
      <w:bookmarkStart w:id="4370" w:name="_Toc468105351"/>
      <w:bookmarkStart w:id="4371" w:name="_Toc468105835"/>
      <w:bookmarkStart w:id="4372" w:name="_Toc468105962"/>
      <w:bookmarkStart w:id="4373" w:name="_Toc468116256"/>
      <w:bookmarkStart w:id="4374" w:name="_Toc468178212"/>
      <w:bookmarkStart w:id="4375" w:name="_Toc468181504"/>
      <w:bookmarkStart w:id="4376" w:name="_Toc468181631"/>
      <w:bookmarkStart w:id="4377" w:name="_Toc468181760"/>
      <w:bookmarkStart w:id="4378" w:name="_Toc468181927"/>
      <w:bookmarkStart w:id="4379" w:name="_Toc468185868"/>
      <w:bookmarkStart w:id="4380" w:name="_Toc468190800"/>
      <w:bookmarkStart w:id="4381" w:name="_Toc468190926"/>
      <w:bookmarkStart w:id="4382" w:name="_Toc468191418"/>
      <w:bookmarkStart w:id="4383" w:name="_Toc468258089"/>
      <w:bookmarkStart w:id="4384" w:name="_Toc468258320"/>
      <w:bookmarkStart w:id="4385" w:name="_Toc468258614"/>
      <w:bookmarkStart w:id="4386" w:name="_Toc468258743"/>
      <w:bookmarkStart w:id="4387" w:name="_Toc468258876"/>
      <w:bookmarkStart w:id="4388" w:name="_Toc468259007"/>
      <w:bookmarkStart w:id="4389" w:name="_Toc468259136"/>
      <w:bookmarkStart w:id="4390" w:name="_Toc468259265"/>
      <w:bookmarkStart w:id="4391" w:name="_Toc468259522"/>
      <w:bookmarkStart w:id="4392" w:name="_Toc468259654"/>
      <w:bookmarkStart w:id="4393" w:name="_Toc468259784"/>
      <w:bookmarkStart w:id="4394" w:name="_Toc468259913"/>
      <w:bookmarkStart w:id="4395" w:name="_Toc468260044"/>
      <w:bookmarkStart w:id="4396" w:name="_Toc468260173"/>
      <w:bookmarkStart w:id="4397" w:name="_Toc468260302"/>
      <w:bookmarkStart w:id="4398" w:name="_Toc468260431"/>
      <w:bookmarkStart w:id="4399" w:name="_Toc468260560"/>
      <w:bookmarkStart w:id="4400" w:name="_Toc468260689"/>
      <w:bookmarkStart w:id="4401" w:name="_Toc468260817"/>
      <w:bookmarkStart w:id="4402" w:name="_Toc468260948"/>
      <w:bookmarkStart w:id="4403" w:name="_Toc468261079"/>
      <w:bookmarkStart w:id="4404" w:name="_Toc468261210"/>
      <w:bookmarkStart w:id="4405" w:name="_Toc468261341"/>
      <w:bookmarkStart w:id="4406" w:name="_Toc468261472"/>
      <w:bookmarkStart w:id="4407" w:name="_Toc468266786"/>
      <w:bookmarkStart w:id="4408" w:name="_Toc468266914"/>
      <w:bookmarkStart w:id="4409" w:name="_Toc468267042"/>
      <w:bookmarkStart w:id="4410" w:name="_Toc468269453"/>
      <w:bookmarkStart w:id="4411" w:name="_Toc468279419"/>
      <w:bookmarkStart w:id="4412" w:name="_Toc468360271"/>
      <w:bookmarkStart w:id="4413" w:name="_Toc468361212"/>
      <w:bookmarkStart w:id="4414" w:name="_Toc468363442"/>
      <w:bookmarkStart w:id="4415" w:name="_Toc468366269"/>
      <w:bookmarkStart w:id="4416" w:name="_Toc468428359"/>
      <w:bookmarkStart w:id="4417" w:name="_Toc468691755"/>
      <w:bookmarkStart w:id="4418" w:name="_Toc468691882"/>
      <w:bookmarkStart w:id="4419" w:name="_Toc468692009"/>
      <w:bookmarkStart w:id="4420" w:name="_Toc468693963"/>
      <w:bookmarkStart w:id="4421" w:name="_Toc468712658"/>
      <w:bookmarkStart w:id="4422" w:name="_Toc468712786"/>
      <w:bookmarkStart w:id="4423" w:name="_Toc468712913"/>
      <w:bookmarkStart w:id="4424" w:name="_Toc468713040"/>
      <w:bookmarkStart w:id="4425" w:name="_Toc468713167"/>
      <w:bookmarkStart w:id="4426" w:name="_Toc468713294"/>
      <w:bookmarkStart w:id="4427" w:name="_Toc468713421"/>
      <w:bookmarkStart w:id="4428" w:name="_Toc468713548"/>
      <w:bookmarkStart w:id="4429" w:name="_Toc468713801"/>
      <w:bookmarkStart w:id="4430" w:name="_Toc468713928"/>
      <w:bookmarkStart w:id="4431" w:name="_Toc468714055"/>
      <w:bookmarkStart w:id="4432" w:name="_Toc468787064"/>
      <w:bookmarkStart w:id="4433" w:name="_Toc468787382"/>
      <w:bookmarkStart w:id="4434" w:name="_Toc468787510"/>
      <w:bookmarkStart w:id="4435" w:name="_Toc468787638"/>
      <w:bookmarkStart w:id="4436" w:name="_Toc468787765"/>
      <w:bookmarkStart w:id="4437" w:name="_Toc468787892"/>
      <w:bookmarkStart w:id="4438" w:name="_Toc468788019"/>
      <w:bookmarkStart w:id="4439" w:name="_Toc468957699"/>
      <w:bookmarkStart w:id="4440" w:name="_Toc468957826"/>
      <w:bookmarkStart w:id="4441" w:name="_Toc468957953"/>
      <w:bookmarkStart w:id="4442" w:name="_Toc468958080"/>
      <w:bookmarkStart w:id="4443" w:name="_Toc468958207"/>
      <w:bookmarkStart w:id="4444" w:name="_Toc468958334"/>
      <w:bookmarkStart w:id="4445" w:name="_Toc468958461"/>
      <w:bookmarkStart w:id="4446" w:name="_Toc468958588"/>
      <w:bookmarkStart w:id="4447" w:name="_Toc468958715"/>
      <w:bookmarkStart w:id="4448" w:name="_Toc468958842"/>
      <w:bookmarkStart w:id="4449" w:name="_Toc468958969"/>
      <w:bookmarkStart w:id="4450" w:name="_Toc468959096"/>
      <w:bookmarkStart w:id="4451" w:name="_Toc468960597"/>
      <w:bookmarkStart w:id="4452" w:name="_Toc469035070"/>
      <w:bookmarkStart w:id="4453" w:name="_Toc469056780"/>
      <w:bookmarkStart w:id="4454" w:name="_Toc469321092"/>
      <w:bookmarkStart w:id="4455" w:name="_Toc469323821"/>
      <w:bookmarkStart w:id="4456" w:name="_Toc469323947"/>
      <w:bookmarkStart w:id="4457" w:name="_Toc469324498"/>
      <w:bookmarkStart w:id="4458" w:name="_Toc470695376"/>
      <w:bookmarkStart w:id="4459" w:name="_Toc470695529"/>
      <w:bookmarkStart w:id="4460" w:name="_Toc470697033"/>
      <w:bookmarkStart w:id="4461" w:name="_Toc470699917"/>
      <w:bookmarkStart w:id="4462" w:name="_Toc470762763"/>
      <w:bookmarkStart w:id="4463" w:name="_Toc471114581"/>
      <w:bookmarkStart w:id="4464" w:name="_Toc474392997"/>
      <w:bookmarkStart w:id="4465" w:name="_Toc474497888"/>
      <w:bookmarkStart w:id="4466" w:name="_Toc474498647"/>
      <w:bookmarkStart w:id="4467" w:name="_Toc474844506"/>
      <w:bookmarkStart w:id="4468" w:name="_Toc474844633"/>
      <w:bookmarkStart w:id="4469" w:name="_Toc474919903"/>
      <w:bookmarkStart w:id="4470" w:name="_Toc474924912"/>
      <w:bookmarkEnd w:id="4345"/>
      <w:bookmarkEnd w:id="4346"/>
      <w:bookmarkEnd w:id="4347"/>
      <w:bookmarkEnd w:id="4348"/>
      <w:bookmarkEnd w:id="4349"/>
      <w:bookmarkEnd w:id="4350"/>
      <w:bookmarkEnd w:id="4351"/>
      <w:bookmarkEnd w:id="4352"/>
      <w:bookmarkEnd w:id="4353"/>
      <w:bookmarkEnd w:id="4354"/>
      <w:bookmarkEnd w:id="4355"/>
      <w:bookmarkEnd w:id="4356"/>
      <w:bookmarkEnd w:id="4357"/>
      <w:bookmarkEnd w:id="4358"/>
      <w:bookmarkEnd w:id="4359"/>
      <w:bookmarkEnd w:id="4360"/>
      <w:bookmarkEnd w:id="4361"/>
      <w:bookmarkEnd w:id="4362"/>
      <w:bookmarkEnd w:id="4363"/>
      <w:bookmarkEnd w:id="4364"/>
      <w:bookmarkEnd w:id="4365"/>
      <w:bookmarkEnd w:id="4366"/>
      <w:bookmarkEnd w:id="4367"/>
      <w:bookmarkEnd w:id="4368"/>
      <w:bookmarkEnd w:id="4369"/>
      <w:bookmarkEnd w:id="4370"/>
      <w:bookmarkEnd w:id="4371"/>
      <w:bookmarkEnd w:id="4372"/>
      <w:bookmarkEnd w:id="4373"/>
      <w:bookmarkEnd w:id="4374"/>
      <w:bookmarkEnd w:id="4375"/>
      <w:bookmarkEnd w:id="4376"/>
      <w:bookmarkEnd w:id="4377"/>
      <w:bookmarkEnd w:id="4378"/>
      <w:bookmarkEnd w:id="4379"/>
      <w:bookmarkEnd w:id="4380"/>
      <w:bookmarkEnd w:id="4381"/>
      <w:bookmarkEnd w:id="4382"/>
      <w:bookmarkEnd w:id="4383"/>
      <w:bookmarkEnd w:id="4384"/>
      <w:bookmarkEnd w:id="4385"/>
      <w:bookmarkEnd w:id="4386"/>
      <w:bookmarkEnd w:id="4387"/>
      <w:bookmarkEnd w:id="4388"/>
      <w:bookmarkEnd w:id="4389"/>
      <w:bookmarkEnd w:id="4390"/>
      <w:bookmarkEnd w:id="4391"/>
      <w:bookmarkEnd w:id="4392"/>
      <w:bookmarkEnd w:id="4393"/>
      <w:bookmarkEnd w:id="4394"/>
      <w:bookmarkEnd w:id="4395"/>
      <w:bookmarkEnd w:id="4396"/>
      <w:bookmarkEnd w:id="4397"/>
      <w:bookmarkEnd w:id="4398"/>
      <w:bookmarkEnd w:id="4399"/>
      <w:bookmarkEnd w:id="4400"/>
      <w:bookmarkEnd w:id="4401"/>
      <w:bookmarkEnd w:id="4402"/>
      <w:bookmarkEnd w:id="4403"/>
      <w:bookmarkEnd w:id="4404"/>
      <w:bookmarkEnd w:id="4405"/>
      <w:bookmarkEnd w:id="4406"/>
      <w:bookmarkEnd w:id="4407"/>
      <w:bookmarkEnd w:id="4408"/>
      <w:bookmarkEnd w:id="4409"/>
      <w:bookmarkEnd w:id="4410"/>
      <w:bookmarkEnd w:id="4411"/>
      <w:bookmarkEnd w:id="4412"/>
      <w:bookmarkEnd w:id="4413"/>
      <w:bookmarkEnd w:id="4414"/>
      <w:bookmarkEnd w:id="4415"/>
      <w:bookmarkEnd w:id="4416"/>
      <w:bookmarkEnd w:id="4417"/>
      <w:bookmarkEnd w:id="4418"/>
      <w:bookmarkEnd w:id="4419"/>
      <w:bookmarkEnd w:id="4420"/>
      <w:bookmarkEnd w:id="4421"/>
      <w:bookmarkEnd w:id="4422"/>
      <w:bookmarkEnd w:id="4423"/>
      <w:bookmarkEnd w:id="4424"/>
      <w:bookmarkEnd w:id="4425"/>
      <w:bookmarkEnd w:id="4426"/>
      <w:bookmarkEnd w:id="4427"/>
      <w:bookmarkEnd w:id="4428"/>
      <w:bookmarkEnd w:id="4429"/>
      <w:bookmarkEnd w:id="4430"/>
      <w:bookmarkEnd w:id="4431"/>
      <w:bookmarkEnd w:id="4432"/>
      <w:bookmarkEnd w:id="4433"/>
      <w:bookmarkEnd w:id="4434"/>
      <w:bookmarkEnd w:id="4435"/>
      <w:bookmarkEnd w:id="4436"/>
      <w:bookmarkEnd w:id="4437"/>
      <w:bookmarkEnd w:id="4438"/>
      <w:bookmarkEnd w:id="4439"/>
      <w:bookmarkEnd w:id="4440"/>
      <w:bookmarkEnd w:id="4441"/>
      <w:bookmarkEnd w:id="4442"/>
      <w:bookmarkEnd w:id="4443"/>
      <w:bookmarkEnd w:id="4444"/>
      <w:bookmarkEnd w:id="4445"/>
      <w:bookmarkEnd w:id="4446"/>
      <w:bookmarkEnd w:id="4447"/>
      <w:bookmarkEnd w:id="4448"/>
      <w:bookmarkEnd w:id="4449"/>
      <w:bookmarkEnd w:id="4450"/>
      <w:bookmarkEnd w:id="4451"/>
      <w:bookmarkEnd w:id="4452"/>
      <w:bookmarkEnd w:id="4453"/>
      <w:bookmarkEnd w:id="4454"/>
      <w:bookmarkEnd w:id="4455"/>
      <w:bookmarkEnd w:id="4456"/>
      <w:bookmarkEnd w:id="4457"/>
      <w:bookmarkEnd w:id="4458"/>
      <w:bookmarkEnd w:id="4459"/>
      <w:bookmarkEnd w:id="4460"/>
      <w:bookmarkEnd w:id="4461"/>
      <w:bookmarkEnd w:id="4462"/>
      <w:bookmarkEnd w:id="4463"/>
      <w:bookmarkEnd w:id="4464"/>
      <w:bookmarkEnd w:id="4465"/>
      <w:bookmarkEnd w:id="4466"/>
      <w:bookmarkEnd w:id="4467"/>
      <w:bookmarkEnd w:id="4468"/>
      <w:bookmarkEnd w:id="4469"/>
      <w:bookmarkEnd w:id="4470"/>
    </w:p>
    <w:p w:rsidR="006140C6" w:rsidRPr="006140C6" w:rsidRDefault="006140C6" w:rsidP="009968FD">
      <w:pPr>
        <w:pStyle w:val="Akapitzlist"/>
        <w:keepNext/>
        <w:numPr>
          <w:ilvl w:val="1"/>
          <w:numId w:val="228"/>
        </w:numPr>
        <w:spacing w:before="240" w:after="60" w:line="240" w:lineRule="auto"/>
        <w:outlineLvl w:val="2"/>
        <w:rPr>
          <w:rFonts w:cs="Calibri"/>
          <w:b/>
          <w:bCs/>
          <w:vanish/>
          <w:color w:val="3366FF"/>
          <w:sz w:val="26"/>
          <w:szCs w:val="26"/>
          <w:lang w:eastAsia="pl-PL"/>
        </w:rPr>
      </w:pPr>
      <w:bookmarkStart w:id="4471" w:name="_Toc467663430"/>
      <w:bookmarkStart w:id="4472" w:name="_Toc467665455"/>
      <w:bookmarkStart w:id="4473" w:name="_Toc467665609"/>
      <w:bookmarkStart w:id="4474" w:name="_Toc467669531"/>
      <w:bookmarkStart w:id="4475" w:name="_Toc467832036"/>
      <w:bookmarkStart w:id="4476" w:name="_Toc467832156"/>
      <w:bookmarkStart w:id="4477" w:name="_Toc467834861"/>
      <w:bookmarkStart w:id="4478" w:name="_Toc467843542"/>
      <w:bookmarkStart w:id="4479" w:name="_Toc467845528"/>
      <w:bookmarkStart w:id="4480" w:name="_Toc467847471"/>
      <w:bookmarkStart w:id="4481" w:name="_Toc467847593"/>
      <w:bookmarkStart w:id="4482" w:name="_Toc467847715"/>
      <w:bookmarkStart w:id="4483" w:name="_Toc467847839"/>
      <w:bookmarkStart w:id="4484" w:name="_Toc467847963"/>
      <w:bookmarkStart w:id="4485" w:name="_Toc467848087"/>
      <w:bookmarkStart w:id="4486" w:name="_Toc467848211"/>
      <w:bookmarkStart w:id="4487" w:name="_Toc467848335"/>
      <w:bookmarkStart w:id="4488" w:name="_Toc467848459"/>
      <w:bookmarkStart w:id="4489" w:name="_Toc468097932"/>
      <w:bookmarkStart w:id="4490" w:name="_Toc468098057"/>
      <w:bookmarkStart w:id="4491" w:name="_Toc468104724"/>
      <w:bookmarkStart w:id="4492" w:name="_Toc468104848"/>
      <w:bookmarkStart w:id="4493" w:name="_Toc468104974"/>
      <w:bookmarkStart w:id="4494" w:name="_Toc468105100"/>
      <w:bookmarkStart w:id="4495" w:name="_Toc468105226"/>
      <w:bookmarkStart w:id="4496" w:name="_Toc468105352"/>
      <w:bookmarkStart w:id="4497" w:name="_Toc468105836"/>
      <w:bookmarkStart w:id="4498" w:name="_Toc468105963"/>
      <w:bookmarkStart w:id="4499" w:name="_Toc468116257"/>
      <w:bookmarkStart w:id="4500" w:name="_Toc468178213"/>
      <w:bookmarkStart w:id="4501" w:name="_Toc468181505"/>
      <w:bookmarkStart w:id="4502" w:name="_Toc468181632"/>
      <w:bookmarkStart w:id="4503" w:name="_Toc468181761"/>
      <w:bookmarkStart w:id="4504" w:name="_Toc468181928"/>
      <w:bookmarkStart w:id="4505" w:name="_Toc468185869"/>
      <w:bookmarkStart w:id="4506" w:name="_Toc468190801"/>
      <w:bookmarkStart w:id="4507" w:name="_Toc468190927"/>
      <w:bookmarkStart w:id="4508" w:name="_Toc468191419"/>
      <w:bookmarkStart w:id="4509" w:name="_Toc468258090"/>
      <w:bookmarkStart w:id="4510" w:name="_Toc468258321"/>
      <w:bookmarkStart w:id="4511" w:name="_Toc468258615"/>
      <w:bookmarkStart w:id="4512" w:name="_Toc468258744"/>
      <w:bookmarkStart w:id="4513" w:name="_Toc468258877"/>
      <w:bookmarkStart w:id="4514" w:name="_Toc468259008"/>
      <w:bookmarkStart w:id="4515" w:name="_Toc468259137"/>
      <w:bookmarkStart w:id="4516" w:name="_Toc468259266"/>
      <w:bookmarkStart w:id="4517" w:name="_Toc468259523"/>
      <w:bookmarkStart w:id="4518" w:name="_Toc468259655"/>
      <w:bookmarkStart w:id="4519" w:name="_Toc468259785"/>
      <w:bookmarkStart w:id="4520" w:name="_Toc468259914"/>
      <w:bookmarkStart w:id="4521" w:name="_Toc468260045"/>
      <w:bookmarkStart w:id="4522" w:name="_Toc468260174"/>
      <w:bookmarkStart w:id="4523" w:name="_Toc468260303"/>
      <w:bookmarkStart w:id="4524" w:name="_Toc468260432"/>
      <w:bookmarkStart w:id="4525" w:name="_Toc468260561"/>
      <w:bookmarkStart w:id="4526" w:name="_Toc468260690"/>
      <w:bookmarkStart w:id="4527" w:name="_Toc468260818"/>
      <w:bookmarkStart w:id="4528" w:name="_Toc468260949"/>
      <w:bookmarkStart w:id="4529" w:name="_Toc468261080"/>
      <w:bookmarkStart w:id="4530" w:name="_Toc468261211"/>
      <w:bookmarkStart w:id="4531" w:name="_Toc468261342"/>
      <w:bookmarkStart w:id="4532" w:name="_Toc468261473"/>
      <w:bookmarkStart w:id="4533" w:name="_Toc468266787"/>
      <w:bookmarkStart w:id="4534" w:name="_Toc468266915"/>
      <w:bookmarkStart w:id="4535" w:name="_Toc468267043"/>
      <w:bookmarkStart w:id="4536" w:name="_Toc468269454"/>
      <w:bookmarkStart w:id="4537" w:name="_Toc468279420"/>
      <w:bookmarkStart w:id="4538" w:name="_Toc468360272"/>
      <w:bookmarkStart w:id="4539" w:name="_Toc468361213"/>
      <w:bookmarkStart w:id="4540" w:name="_Toc468363443"/>
      <w:bookmarkStart w:id="4541" w:name="_Toc468366270"/>
      <w:bookmarkStart w:id="4542" w:name="_Toc468428360"/>
      <w:bookmarkStart w:id="4543" w:name="_Toc468691756"/>
      <w:bookmarkStart w:id="4544" w:name="_Toc468691883"/>
      <w:bookmarkStart w:id="4545" w:name="_Toc468692010"/>
      <w:bookmarkStart w:id="4546" w:name="_Toc468693964"/>
      <w:bookmarkStart w:id="4547" w:name="_Toc468712659"/>
      <w:bookmarkStart w:id="4548" w:name="_Toc468712787"/>
      <w:bookmarkStart w:id="4549" w:name="_Toc468712914"/>
      <w:bookmarkStart w:id="4550" w:name="_Toc468713041"/>
      <w:bookmarkStart w:id="4551" w:name="_Toc468713168"/>
      <w:bookmarkStart w:id="4552" w:name="_Toc468713295"/>
      <w:bookmarkStart w:id="4553" w:name="_Toc468713422"/>
      <w:bookmarkStart w:id="4554" w:name="_Toc468713549"/>
      <w:bookmarkStart w:id="4555" w:name="_Toc468713802"/>
      <w:bookmarkStart w:id="4556" w:name="_Toc468713929"/>
      <w:bookmarkStart w:id="4557" w:name="_Toc468714056"/>
      <w:bookmarkStart w:id="4558" w:name="_Toc468787065"/>
      <w:bookmarkStart w:id="4559" w:name="_Toc468787383"/>
      <w:bookmarkStart w:id="4560" w:name="_Toc468787511"/>
      <w:bookmarkStart w:id="4561" w:name="_Toc468787639"/>
      <w:bookmarkStart w:id="4562" w:name="_Toc468787766"/>
      <w:bookmarkStart w:id="4563" w:name="_Toc468787893"/>
      <w:bookmarkStart w:id="4564" w:name="_Toc468788020"/>
      <w:bookmarkStart w:id="4565" w:name="_Toc468957700"/>
      <w:bookmarkStart w:id="4566" w:name="_Toc468957827"/>
      <w:bookmarkStart w:id="4567" w:name="_Toc468957954"/>
      <w:bookmarkStart w:id="4568" w:name="_Toc468958081"/>
      <w:bookmarkStart w:id="4569" w:name="_Toc468958208"/>
      <w:bookmarkStart w:id="4570" w:name="_Toc468958335"/>
      <w:bookmarkStart w:id="4571" w:name="_Toc468958462"/>
      <w:bookmarkStart w:id="4572" w:name="_Toc468958589"/>
      <w:bookmarkStart w:id="4573" w:name="_Toc468958716"/>
      <w:bookmarkStart w:id="4574" w:name="_Toc468958843"/>
      <w:bookmarkStart w:id="4575" w:name="_Toc468958970"/>
      <w:bookmarkStart w:id="4576" w:name="_Toc468959097"/>
      <w:bookmarkStart w:id="4577" w:name="_Toc468960598"/>
      <w:bookmarkStart w:id="4578" w:name="_Toc469035071"/>
      <w:bookmarkStart w:id="4579" w:name="_Toc469056781"/>
      <w:bookmarkStart w:id="4580" w:name="_Toc469321093"/>
      <w:bookmarkStart w:id="4581" w:name="_Toc469323822"/>
      <w:bookmarkStart w:id="4582" w:name="_Toc469323948"/>
      <w:bookmarkStart w:id="4583" w:name="_Toc469324499"/>
      <w:bookmarkStart w:id="4584" w:name="_Toc470695377"/>
      <w:bookmarkStart w:id="4585" w:name="_Toc470695530"/>
      <w:bookmarkStart w:id="4586" w:name="_Toc470697034"/>
      <w:bookmarkStart w:id="4587" w:name="_Toc470699918"/>
      <w:bookmarkStart w:id="4588" w:name="_Toc470762764"/>
      <w:bookmarkStart w:id="4589" w:name="_Toc471114582"/>
      <w:bookmarkStart w:id="4590" w:name="_Toc474392998"/>
      <w:bookmarkStart w:id="4591" w:name="_Toc474497889"/>
      <w:bookmarkStart w:id="4592" w:name="_Toc474498648"/>
      <w:bookmarkStart w:id="4593" w:name="_Toc474844507"/>
      <w:bookmarkStart w:id="4594" w:name="_Toc474844634"/>
      <w:bookmarkStart w:id="4595" w:name="_Toc474919904"/>
      <w:bookmarkStart w:id="4596" w:name="_Toc474924913"/>
      <w:bookmarkEnd w:id="4471"/>
      <w:bookmarkEnd w:id="4472"/>
      <w:bookmarkEnd w:id="4473"/>
      <w:bookmarkEnd w:id="4474"/>
      <w:bookmarkEnd w:id="4475"/>
      <w:bookmarkEnd w:id="4476"/>
      <w:bookmarkEnd w:id="4477"/>
      <w:bookmarkEnd w:id="4478"/>
      <w:bookmarkEnd w:id="4479"/>
      <w:bookmarkEnd w:id="4480"/>
      <w:bookmarkEnd w:id="4481"/>
      <w:bookmarkEnd w:id="4482"/>
      <w:bookmarkEnd w:id="4483"/>
      <w:bookmarkEnd w:id="4484"/>
      <w:bookmarkEnd w:id="4485"/>
      <w:bookmarkEnd w:id="4486"/>
      <w:bookmarkEnd w:id="4487"/>
      <w:bookmarkEnd w:id="4488"/>
      <w:bookmarkEnd w:id="4489"/>
      <w:bookmarkEnd w:id="4490"/>
      <w:bookmarkEnd w:id="4491"/>
      <w:bookmarkEnd w:id="4492"/>
      <w:bookmarkEnd w:id="4493"/>
      <w:bookmarkEnd w:id="4494"/>
      <w:bookmarkEnd w:id="4495"/>
      <w:bookmarkEnd w:id="4496"/>
      <w:bookmarkEnd w:id="4497"/>
      <w:bookmarkEnd w:id="4498"/>
      <w:bookmarkEnd w:id="4499"/>
      <w:bookmarkEnd w:id="4500"/>
      <w:bookmarkEnd w:id="4501"/>
      <w:bookmarkEnd w:id="4502"/>
      <w:bookmarkEnd w:id="4503"/>
      <w:bookmarkEnd w:id="4504"/>
      <w:bookmarkEnd w:id="4505"/>
      <w:bookmarkEnd w:id="4506"/>
      <w:bookmarkEnd w:id="4507"/>
      <w:bookmarkEnd w:id="4508"/>
      <w:bookmarkEnd w:id="4509"/>
      <w:bookmarkEnd w:id="4510"/>
      <w:bookmarkEnd w:id="4511"/>
      <w:bookmarkEnd w:id="4512"/>
      <w:bookmarkEnd w:id="4513"/>
      <w:bookmarkEnd w:id="4514"/>
      <w:bookmarkEnd w:id="4515"/>
      <w:bookmarkEnd w:id="4516"/>
      <w:bookmarkEnd w:id="4517"/>
      <w:bookmarkEnd w:id="4518"/>
      <w:bookmarkEnd w:id="4519"/>
      <w:bookmarkEnd w:id="4520"/>
      <w:bookmarkEnd w:id="4521"/>
      <w:bookmarkEnd w:id="4522"/>
      <w:bookmarkEnd w:id="4523"/>
      <w:bookmarkEnd w:id="4524"/>
      <w:bookmarkEnd w:id="4525"/>
      <w:bookmarkEnd w:id="4526"/>
      <w:bookmarkEnd w:id="4527"/>
      <w:bookmarkEnd w:id="4528"/>
      <w:bookmarkEnd w:id="4529"/>
      <w:bookmarkEnd w:id="4530"/>
      <w:bookmarkEnd w:id="4531"/>
      <w:bookmarkEnd w:id="4532"/>
      <w:bookmarkEnd w:id="4533"/>
      <w:bookmarkEnd w:id="4534"/>
      <w:bookmarkEnd w:id="4535"/>
      <w:bookmarkEnd w:id="4536"/>
      <w:bookmarkEnd w:id="4537"/>
      <w:bookmarkEnd w:id="4538"/>
      <w:bookmarkEnd w:id="4539"/>
      <w:bookmarkEnd w:id="4540"/>
      <w:bookmarkEnd w:id="4541"/>
      <w:bookmarkEnd w:id="4542"/>
      <w:bookmarkEnd w:id="4543"/>
      <w:bookmarkEnd w:id="4544"/>
      <w:bookmarkEnd w:id="4545"/>
      <w:bookmarkEnd w:id="4546"/>
      <w:bookmarkEnd w:id="4547"/>
      <w:bookmarkEnd w:id="4548"/>
      <w:bookmarkEnd w:id="4549"/>
      <w:bookmarkEnd w:id="4550"/>
      <w:bookmarkEnd w:id="4551"/>
      <w:bookmarkEnd w:id="4552"/>
      <w:bookmarkEnd w:id="4553"/>
      <w:bookmarkEnd w:id="4554"/>
      <w:bookmarkEnd w:id="4555"/>
      <w:bookmarkEnd w:id="4556"/>
      <w:bookmarkEnd w:id="4557"/>
      <w:bookmarkEnd w:id="4558"/>
      <w:bookmarkEnd w:id="4559"/>
      <w:bookmarkEnd w:id="4560"/>
      <w:bookmarkEnd w:id="4561"/>
      <w:bookmarkEnd w:id="4562"/>
      <w:bookmarkEnd w:id="4563"/>
      <w:bookmarkEnd w:id="4564"/>
      <w:bookmarkEnd w:id="4565"/>
      <w:bookmarkEnd w:id="4566"/>
      <w:bookmarkEnd w:id="4567"/>
      <w:bookmarkEnd w:id="4568"/>
      <w:bookmarkEnd w:id="4569"/>
      <w:bookmarkEnd w:id="4570"/>
      <w:bookmarkEnd w:id="4571"/>
      <w:bookmarkEnd w:id="4572"/>
      <w:bookmarkEnd w:id="4573"/>
      <w:bookmarkEnd w:id="4574"/>
      <w:bookmarkEnd w:id="4575"/>
      <w:bookmarkEnd w:id="4576"/>
      <w:bookmarkEnd w:id="4577"/>
      <w:bookmarkEnd w:id="4578"/>
      <w:bookmarkEnd w:id="4579"/>
      <w:bookmarkEnd w:id="4580"/>
      <w:bookmarkEnd w:id="4581"/>
      <w:bookmarkEnd w:id="4582"/>
      <w:bookmarkEnd w:id="4583"/>
      <w:bookmarkEnd w:id="4584"/>
      <w:bookmarkEnd w:id="4585"/>
      <w:bookmarkEnd w:id="4586"/>
      <w:bookmarkEnd w:id="4587"/>
      <w:bookmarkEnd w:id="4588"/>
      <w:bookmarkEnd w:id="4589"/>
      <w:bookmarkEnd w:id="4590"/>
      <w:bookmarkEnd w:id="4591"/>
      <w:bookmarkEnd w:id="4592"/>
      <w:bookmarkEnd w:id="4593"/>
      <w:bookmarkEnd w:id="4594"/>
      <w:bookmarkEnd w:id="4595"/>
      <w:bookmarkEnd w:id="4596"/>
    </w:p>
    <w:p w:rsidR="006140C6" w:rsidRPr="006140C6" w:rsidRDefault="006140C6" w:rsidP="009968FD">
      <w:pPr>
        <w:pStyle w:val="Akapitzlist"/>
        <w:keepNext/>
        <w:numPr>
          <w:ilvl w:val="1"/>
          <w:numId w:val="228"/>
        </w:numPr>
        <w:spacing w:before="240" w:after="60" w:line="240" w:lineRule="auto"/>
        <w:outlineLvl w:val="2"/>
        <w:rPr>
          <w:rFonts w:cs="Calibri"/>
          <w:b/>
          <w:bCs/>
          <w:vanish/>
          <w:color w:val="3366FF"/>
          <w:sz w:val="26"/>
          <w:szCs w:val="26"/>
          <w:lang w:eastAsia="pl-PL"/>
        </w:rPr>
      </w:pPr>
      <w:bookmarkStart w:id="4597" w:name="_Toc467663431"/>
      <w:bookmarkStart w:id="4598" w:name="_Toc467665456"/>
      <w:bookmarkStart w:id="4599" w:name="_Toc467665610"/>
      <w:bookmarkStart w:id="4600" w:name="_Toc467669532"/>
      <w:bookmarkStart w:id="4601" w:name="_Toc467832037"/>
      <w:bookmarkStart w:id="4602" w:name="_Toc467832157"/>
      <w:bookmarkStart w:id="4603" w:name="_Toc467834862"/>
      <w:bookmarkStart w:id="4604" w:name="_Toc467843543"/>
      <w:bookmarkStart w:id="4605" w:name="_Toc467845529"/>
      <w:bookmarkStart w:id="4606" w:name="_Toc467847472"/>
      <w:bookmarkStart w:id="4607" w:name="_Toc467847594"/>
      <w:bookmarkStart w:id="4608" w:name="_Toc467847716"/>
      <w:bookmarkStart w:id="4609" w:name="_Toc467847840"/>
      <w:bookmarkStart w:id="4610" w:name="_Toc467847964"/>
      <w:bookmarkStart w:id="4611" w:name="_Toc467848088"/>
      <w:bookmarkStart w:id="4612" w:name="_Toc467848212"/>
      <w:bookmarkStart w:id="4613" w:name="_Toc467848336"/>
      <w:bookmarkStart w:id="4614" w:name="_Toc467848460"/>
      <w:bookmarkStart w:id="4615" w:name="_Toc468097933"/>
      <w:bookmarkStart w:id="4616" w:name="_Toc468098058"/>
      <w:bookmarkStart w:id="4617" w:name="_Toc468104725"/>
      <w:bookmarkStart w:id="4618" w:name="_Toc468104849"/>
      <w:bookmarkStart w:id="4619" w:name="_Toc468104975"/>
      <w:bookmarkStart w:id="4620" w:name="_Toc468105101"/>
      <w:bookmarkStart w:id="4621" w:name="_Toc468105227"/>
      <w:bookmarkStart w:id="4622" w:name="_Toc468105353"/>
      <w:bookmarkStart w:id="4623" w:name="_Toc468105837"/>
      <w:bookmarkStart w:id="4624" w:name="_Toc468105964"/>
      <w:bookmarkStart w:id="4625" w:name="_Toc468116258"/>
      <w:bookmarkStart w:id="4626" w:name="_Toc468178214"/>
      <w:bookmarkStart w:id="4627" w:name="_Toc468181506"/>
      <w:bookmarkStart w:id="4628" w:name="_Toc468181633"/>
      <w:bookmarkStart w:id="4629" w:name="_Toc468181762"/>
      <w:bookmarkStart w:id="4630" w:name="_Toc468181929"/>
      <w:bookmarkStart w:id="4631" w:name="_Toc468185870"/>
      <w:bookmarkStart w:id="4632" w:name="_Toc468190802"/>
      <w:bookmarkStart w:id="4633" w:name="_Toc468190928"/>
      <w:bookmarkStart w:id="4634" w:name="_Toc468191420"/>
      <w:bookmarkStart w:id="4635" w:name="_Toc468258091"/>
      <w:bookmarkStart w:id="4636" w:name="_Toc468258322"/>
      <w:bookmarkStart w:id="4637" w:name="_Toc468258616"/>
      <w:bookmarkStart w:id="4638" w:name="_Toc468258745"/>
      <w:bookmarkStart w:id="4639" w:name="_Toc468258878"/>
      <w:bookmarkStart w:id="4640" w:name="_Toc468259009"/>
      <w:bookmarkStart w:id="4641" w:name="_Toc468259138"/>
      <w:bookmarkStart w:id="4642" w:name="_Toc468259267"/>
      <w:bookmarkStart w:id="4643" w:name="_Toc468259524"/>
      <w:bookmarkStart w:id="4644" w:name="_Toc468259656"/>
      <w:bookmarkStart w:id="4645" w:name="_Toc468259786"/>
      <w:bookmarkStart w:id="4646" w:name="_Toc468259915"/>
      <w:bookmarkStart w:id="4647" w:name="_Toc468260046"/>
      <w:bookmarkStart w:id="4648" w:name="_Toc468260175"/>
      <w:bookmarkStart w:id="4649" w:name="_Toc468260304"/>
      <w:bookmarkStart w:id="4650" w:name="_Toc468260433"/>
      <w:bookmarkStart w:id="4651" w:name="_Toc468260562"/>
      <w:bookmarkStart w:id="4652" w:name="_Toc468260691"/>
      <w:bookmarkStart w:id="4653" w:name="_Toc468260819"/>
      <w:bookmarkStart w:id="4654" w:name="_Toc468260950"/>
      <w:bookmarkStart w:id="4655" w:name="_Toc468261081"/>
      <w:bookmarkStart w:id="4656" w:name="_Toc468261212"/>
      <w:bookmarkStart w:id="4657" w:name="_Toc468261343"/>
      <w:bookmarkStart w:id="4658" w:name="_Toc468261474"/>
      <w:bookmarkStart w:id="4659" w:name="_Toc468266788"/>
      <w:bookmarkStart w:id="4660" w:name="_Toc468266916"/>
      <w:bookmarkStart w:id="4661" w:name="_Toc468267044"/>
      <w:bookmarkStart w:id="4662" w:name="_Toc468269455"/>
      <w:bookmarkStart w:id="4663" w:name="_Toc468279421"/>
      <w:bookmarkStart w:id="4664" w:name="_Toc468360273"/>
      <w:bookmarkStart w:id="4665" w:name="_Toc468361214"/>
      <w:bookmarkStart w:id="4666" w:name="_Toc468363444"/>
      <w:bookmarkStart w:id="4667" w:name="_Toc468366271"/>
      <w:bookmarkStart w:id="4668" w:name="_Toc468428361"/>
      <w:bookmarkStart w:id="4669" w:name="_Toc468691757"/>
      <w:bookmarkStart w:id="4670" w:name="_Toc468691884"/>
      <w:bookmarkStart w:id="4671" w:name="_Toc468692011"/>
      <w:bookmarkStart w:id="4672" w:name="_Toc468693965"/>
      <w:bookmarkStart w:id="4673" w:name="_Toc468712660"/>
      <w:bookmarkStart w:id="4674" w:name="_Toc468712788"/>
      <w:bookmarkStart w:id="4675" w:name="_Toc468712915"/>
      <w:bookmarkStart w:id="4676" w:name="_Toc468713042"/>
      <w:bookmarkStart w:id="4677" w:name="_Toc468713169"/>
      <w:bookmarkStart w:id="4678" w:name="_Toc468713296"/>
      <w:bookmarkStart w:id="4679" w:name="_Toc468713423"/>
      <w:bookmarkStart w:id="4680" w:name="_Toc468713550"/>
      <w:bookmarkStart w:id="4681" w:name="_Toc468713803"/>
      <w:bookmarkStart w:id="4682" w:name="_Toc468713930"/>
      <w:bookmarkStart w:id="4683" w:name="_Toc468714057"/>
      <w:bookmarkStart w:id="4684" w:name="_Toc468787066"/>
      <w:bookmarkStart w:id="4685" w:name="_Toc468787384"/>
      <w:bookmarkStart w:id="4686" w:name="_Toc468787512"/>
      <w:bookmarkStart w:id="4687" w:name="_Toc468787640"/>
      <w:bookmarkStart w:id="4688" w:name="_Toc468787767"/>
      <w:bookmarkStart w:id="4689" w:name="_Toc468787894"/>
      <w:bookmarkStart w:id="4690" w:name="_Toc468788021"/>
      <w:bookmarkStart w:id="4691" w:name="_Toc468957701"/>
      <w:bookmarkStart w:id="4692" w:name="_Toc468957828"/>
      <w:bookmarkStart w:id="4693" w:name="_Toc468957955"/>
      <w:bookmarkStart w:id="4694" w:name="_Toc468958082"/>
      <w:bookmarkStart w:id="4695" w:name="_Toc468958209"/>
      <w:bookmarkStart w:id="4696" w:name="_Toc468958336"/>
      <w:bookmarkStart w:id="4697" w:name="_Toc468958463"/>
      <w:bookmarkStart w:id="4698" w:name="_Toc468958590"/>
      <w:bookmarkStart w:id="4699" w:name="_Toc468958717"/>
      <w:bookmarkStart w:id="4700" w:name="_Toc468958844"/>
      <w:bookmarkStart w:id="4701" w:name="_Toc468958971"/>
      <w:bookmarkStart w:id="4702" w:name="_Toc468959098"/>
      <w:bookmarkStart w:id="4703" w:name="_Toc468960599"/>
      <w:bookmarkStart w:id="4704" w:name="_Toc469035072"/>
      <w:bookmarkStart w:id="4705" w:name="_Toc469056782"/>
      <w:bookmarkStart w:id="4706" w:name="_Toc469321094"/>
      <w:bookmarkStart w:id="4707" w:name="_Toc469323823"/>
      <w:bookmarkStart w:id="4708" w:name="_Toc469323949"/>
      <w:bookmarkStart w:id="4709" w:name="_Toc469324500"/>
      <w:bookmarkStart w:id="4710" w:name="_Toc470695378"/>
      <w:bookmarkStart w:id="4711" w:name="_Toc470695531"/>
      <w:bookmarkStart w:id="4712" w:name="_Toc470697035"/>
      <w:bookmarkStart w:id="4713" w:name="_Toc470699919"/>
      <w:bookmarkStart w:id="4714" w:name="_Toc470762765"/>
      <w:bookmarkStart w:id="4715" w:name="_Toc471114583"/>
      <w:bookmarkStart w:id="4716" w:name="_Toc474392999"/>
      <w:bookmarkStart w:id="4717" w:name="_Toc474497890"/>
      <w:bookmarkStart w:id="4718" w:name="_Toc474498649"/>
      <w:bookmarkStart w:id="4719" w:name="_Toc474844508"/>
      <w:bookmarkStart w:id="4720" w:name="_Toc474844635"/>
      <w:bookmarkStart w:id="4721" w:name="_Toc474919905"/>
      <w:bookmarkStart w:id="4722" w:name="_Toc474924914"/>
      <w:bookmarkEnd w:id="4597"/>
      <w:bookmarkEnd w:id="4598"/>
      <w:bookmarkEnd w:id="4599"/>
      <w:bookmarkEnd w:id="4600"/>
      <w:bookmarkEnd w:id="4601"/>
      <w:bookmarkEnd w:id="4602"/>
      <w:bookmarkEnd w:id="4603"/>
      <w:bookmarkEnd w:id="4604"/>
      <w:bookmarkEnd w:id="4605"/>
      <w:bookmarkEnd w:id="4606"/>
      <w:bookmarkEnd w:id="4607"/>
      <w:bookmarkEnd w:id="4608"/>
      <w:bookmarkEnd w:id="4609"/>
      <w:bookmarkEnd w:id="4610"/>
      <w:bookmarkEnd w:id="4611"/>
      <w:bookmarkEnd w:id="4612"/>
      <w:bookmarkEnd w:id="4613"/>
      <w:bookmarkEnd w:id="4614"/>
      <w:bookmarkEnd w:id="4615"/>
      <w:bookmarkEnd w:id="4616"/>
      <w:bookmarkEnd w:id="4617"/>
      <w:bookmarkEnd w:id="4618"/>
      <w:bookmarkEnd w:id="4619"/>
      <w:bookmarkEnd w:id="4620"/>
      <w:bookmarkEnd w:id="4621"/>
      <w:bookmarkEnd w:id="4622"/>
      <w:bookmarkEnd w:id="4623"/>
      <w:bookmarkEnd w:id="4624"/>
      <w:bookmarkEnd w:id="4625"/>
      <w:bookmarkEnd w:id="4626"/>
      <w:bookmarkEnd w:id="4627"/>
      <w:bookmarkEnd w:id="4628"/>
      <w:bookmarkEnd w:id="4629"/>
      <w:bookmarkEnd w:id="4630"/>
      <w:bookmarkEnd w:id="4631"/>
      <w:bookmarkEnd w:id="4632"/>
      <w:bookmarkEnd w:id="4633"/>
      <w:bookmarkEnd w:id="4634"/>
      <w:bookmarkEnd w:id="4635"/>
      <w:bookmarkEnd w:id="4636"/>
      <w:bookmarkEnd w:id="4637"/>
      <w:bookmarkEnd w:id="4638"/>
      <w:bookmarkEnd w:id="4639"/>
      <w:bookmarkEnd w:id="4640"/>
      <w:bookmarkEnd w:id="4641"/>
      <w:bookmarkEnd w:id="4642"/>
      <w:bookmarkEnd w:id="4643"/>
      <w:bookmarkEnd w:id="4644"/>
      <w:bookmarkEnd w:id="4645"/>
      <w:bookmarkEnd w:id="4646"/>
      <w:bookmarkEnd w:id="4647"/>
      <w:bookmarkEnd w:id="4648"/>
      <w:bookmarkEnd w:id="4649"/>
      <w:bookmarkEnd w:id="4650"/>
      <w:bookmarkEnd w:id="4651"/>
      <w:bookmarkEnd w:id="4652"/>
      <w:bookmarkEnd w:id="4653"/>
      <w:bookmarkEnd w:id="4654"/>
      <w:bookmarkEnd w:id="4655"/>
      <w:bookmarkEnd w:id="4656"/>
      <w:bookmarkEnd w:id="4657"/>
      <w:bookmarkEnd w:id="4658"/>
      <w:bookmarkEnd w:id="4659"/>
      <w:bookmarkEnd w:id="4660"/>
      <w:bookmarkEnd w:id="4661"/>
      <w:bookmarkEnd w:id="4662"/>
      <w:bookmarkEnd w:id="4663"/>
      <w:bookmarkEnd w:id="4664"/>
      <w:bookmarkEnd w:id="4665"/>
      <w:bookmarkEnd w:id="4666"/>
      <w:bookmarkEnd w:id="4667"/>
      <w:bookmarkEnd w:id="4668"/>
      <w:bookmarkEnd w:id="4669"/>
      <w:bookmarkEnd w:id="4670"/>
      <w:bookmarkEnd w:id="4671"/>
      <w:bookmarkEnd w:id="4672"/>
      <w:bookmarkEnd w:id="4673"/>
      <w:bookmarkEnd w:id="4674"/>
      <w:bookmarkEnd w:id="4675"/>
      <w:bookmarkEnd w:id="4676"/>
      <w:bookmarkEnd w:id="4677"/>
      <w:bookmarkEnd w:id="4678"/>
      <w:bookmarkEnd w:id="4679"/>
      <w:bookmarkEnd w:id="4680"/>
      <w:bookmarkEnd w:id="4681"/>
      <w:bookmarkEnd w:id="4682"/>
      <w:bookmarkEnd w:id="4683"/>
      <w:bookmarkEnd w:id="4684"/>
      <w:bookmarkEnd w:id="4685"/>
      <w:bookmarkEnd w:id="4686"/>
      <w:bookmarkEnd w:id="4687"/>
      <w:bookmarkEnd w:id="4688"/>
      <w:bookmarkEnd w:id="4689"/>
      <w:bookmarkEnd w:id="4690"/>
      <w:bookmarkEnd w:id="4691"/>
      <w:bookmarkEnd w:id="4692"/>
      <w:bookmarkEnd w:id="4693"/>
      <w:bookmarkEnd w:id="4694"/>
      <w:bookmarkEnd w:id="4695"/>
      <w:bookmarkEnd w:id="4696"/>
      <w:bookmarkEnd w:id="4697"/>
      <w:bookmarkEnd w:id="4698"/>
      <w:bookmarkEnd w:id="4699"/>
      <w:bookmarkEnd w:id="4700"/>
      <w:bookmarkEnd w:id="4701"/>
      <w:bookmarkEnd w:id="4702"/>
      <w:bookmarkEnd w:id="4703"/>
      <w:bookmarkEnd w:id="4704"/>
      <w:bookmarkEnd w:id="4705"/>
      <w:bookmarkEnd w:id="4706"/>
      <w:bookmarkEnd w:id="4707"/>
      <w:bookmarkEnd w:id="4708"/>
      <w:bookmarkEnd w:id="4709"/>
      <w:bookmarkEnd w:id="4710"/>
      <w:bookmarkEnd w:id="4711"/>
      <w:bookmarkEnd w:id="4712"/>
      <w:bookmarkEnd w:id="4713"/>
      <w:bookmarkEnd w:id="4714"/>
      <w:bookmarkEnd w:id="4715"/>
      <w:bookmarkEnd w:id="4716"/>
      <w:bookmarkEnd w:id="4717"/>
      <w:bookmarkEnd w:id="4718"/>
      <w:bookmarkEnd w:id="4719"/>
      <w:bookmarkEnd w:id="4720"/>
      <w:bookmarkEnd w:id="4721"/>
      <w:bookmarkEnd w:id="4722"/>
    </w:p>
    <w:p w:rsidR="006140C6" w:rsidRPr="006140C6" w:rsidRDefault="006140C6" w:rsidP="009968FD">
      <w:pPr>
        <w:pStyle w:val="Akapitzlist"/>
        <w:keepNext/>
        <w:numPr>
          <w:ilvl w:val="2"/>
          <w:numId w:val="228"/>
        </w:numPr>
        <w:spacing w:before="240" w:after="60" w:line="240" w:lineRule="auto"/>
        <w:outlineLvl w:val="2"/>
        <w:rPr>
          <w:rFonts w:cs="Calibri"/>
          <w:b/>
          <w:bCs/>
          <w:vanish/>
          <w:color w:val="3366FF"/>
          <w:sz w:val="26"/>
          <w:szCs w:val="26"/>
          <w:lang w:eastAsia="pl-PL"/>
        </w:rPr>
      </w:pPr>
      <w:bookmarkStart w:id="4723" w:name="_Toc467663432"/>
      <w:bookmarkStart w:id="4724" w:name="_Toc467665457"/>
      <w:bookmarkStart w:id="4725" w:name="_Toc467665611"/>
      <w:bookmarkStart w:id="4726" w:name="_Toc467669533"/>
      <w:bookmarkStart w:id="4727" w:name="_Toc467832038"/>
      <w:bookmarkStart w:id="4728" w:name="_Toc467832158"/>
      <w:bookmarkStart w:id="4729" w:name="_Toc467834863"/>
      <w:bookmarkStart w:id="4730" w:name="_Toc467843544"/>
      <w:bookmarkStart w:id="4731" w:name="_Toc467845530"/>
      <w:bookmarkStart w:id="4732" w:name="_Toc467847473"/>
      <w:bookmarkStart w:id="4733" w:name="_Toc467847595"/>
      <w:bookmarkStart w:id="4734" w:name="_Toc467847717"/>
      <w:bookmarkStart w:id="4735" w:name="_Toc467847841"/>
      <w:bookmarkStart w:id="4736" w:name="_Toc467847965"/>
      <w:bookmarkStart w:id="4737" w:name="_Toc467848089"/>
      <w:bookmarkStart w:id="4738" w:name="_Toc467848213"/>
      <w:bookmarkStart w:id="4739" w:name="_Toc467848337"/>
      <w:bookmarkStart w:id="4740" w:name="_Toc467848461"/>
      <w:bookmarkStart w:id="4741" w:name="_Toc468097934"/>
      <w:bookmarkStart w:id="4742" w:name="_Toc468098059"/>
      <w:bookmarkStart w:id="4743" w:name="_Toc468104726"/>
      <w:bookmarkStart w:id="4744" w:name="_Toc468104850"/>
      <w:bookmarkStart w:id="4745" w:name="_Toc468104976"/>
      <w:bookmarkStart w:id="4746" w:name="_Toc468105102"/>
      <w:bookmarkStart w:id="4747" w:name="_Toc468105228"/>
      <w:bookmarkStart w:id="4748" w:name="_Toc468105354"/>
      <w:bookmarkStart w:id="4749" w:name="_Toc468105838"/>
      <w:bookmarkStart w:id="4750" w:name="_Toc468105965"/>
      <w:bookmarkStart w:id="4751" w:name="_Toc468116259"/>
      <w:bookmarkStart w:id="4752" w:name="_Toc468178215"/>
      <w:bookmarkStart w:id="4753" w:name="_Toc468181507"/>
      <w:bookmarkStart w:id="4754" w:name="_Toc468181634"/>
      <w:bookmarkStart w:id="4755" w:name="_Toc468181763"/>
      <w:bookmarkStart w:id="4756" w:name="_Toc468181930"/>
      <w:bookmarkStart w:id="4757" w:name="_Toc468185871"/>
      <w:bookmarkStart w:id="4758" w:name="_Toc468190803"/>
      <w:bookmarkStart w:id="4759" w:name="_Toc468190929"/>
      <w:bookmarkStart w:id="4760" w:name="_Toc468191421"/>
      <w:bookmarkStart w:id="4761" w:name="_Toc468258092"/>
      <w:bookmarkStart w:id="4762" w:name="_Toc468258323"/>
      <w:bookmarkStart w:id="4763" w:name="_Toc468258617"/>
      <w:bookmarkStart w:id="4764" w:name="_Toc468258746"/>
      <w:bookmarkStart w:id="4765" w:name="_Toc468258879"/>
      <w:bookmarkStart w:id="4766" w:name="_Toc468259010"/>
      <w:bookmarkStart w:id="4767" w:name="_Toc468259139"/>
      <w:bookmarkStart w:id="4768" w:name="_Toc468259268"/>
      <w:bookmarkStart w:id="4769" w:name="_Toc468259525"/>
      <w:bookmarkStart w:id="4770" w:name="_Toc468259657"/>
      <w:bookmarkStart w:id="4771" w:name="_Toc468259787"/>
      <w:bookmarkStart w:id="4772" w:name="_Toc468259916"/>
      <w:bookmarkStart w:id="4773" w:name="_Toc468260047"/>
      <w:bookmarkStart w:id="4774" w:name="_Toc468260176"/>
      <w:bookmarkStart w:id="4775" w:name="_Toc468260305"/>
      <w:bookmarkStart w:id="4776" w:name="_Toc468260434"/>
      <w:bookmarkStart w:id="4777" w:name="_Toc468260563"/>
      <w:bookmarkStart w:id="4778" w:name="_Toc468260692"/>
      <w:bookmarkStart w:id="4779" w:name="_Toc468260820"/>
      <w:bookmarkStart w:id="4780" w:name="_Toc468260951"/>
      <w:bookmarkStart w:id="4781" w:name="_Toc468261082"/>
      <w:bookmarkStart w:id="4782" w:name="_Toc468261213"/>
      <w:bookmarkStart w:id="4783" w:name="_Toc468261344"/>
      <w:bookmarkStart w:id="4784" w:name="_Toc468261475"/>
      <w:bookmarkStart w:id="4785" w:name="_Toc468266789"/>
      <w:bookmarkStart w:id="4786" w:name="_Toc468266917"/>
      <w:bookmarkStart w:id="4787" w:name="_Toc468267045"/>
      <w:bookmarkStart w:id="4788" w:name="_Toc468269456"/>
      <w:bookmarkStart w:id="4789" w:name="_Toc468279422"/>
      <w:bookmarkStart w:id="4790" w:name="_Toc468360274"/>
      <w:bookmarkStart w:id="4791" w:name="_Toc468361215"/>
      <w:bookmarkStart w:id="4792" w:name="_Toc468363445"/>
      <w:bookmarkStart w:id="4793" w:name="_Toc468366272"/>
      <w:bookmarkStart w:id="4794" w:name="_Toc468428362"/>
      <w:bookmarkStart w:id="4795" w:name="_Toc468691758"/>
      <w:bookmarkStart w:id="4796" w:name="_Toc468691885"/>
      <w:bookmarkStart w:id="4797" w:name="_Toc468692012"/>
      <w:bookmarkStart w:id="4798" w:name="_Toc468693966"/>
      <w:bookmarkStart w:id="4799" w:name="_Toc468712661"/>
      <w:bookmarkStart w:id="4800" w:name="_Toc468712789"/>
      <w:bookmarkStart w:id="4801" w:name="_Toc468712916"/>
      <w:bookmarkStart w:id="4802" w:name="_Toc468713043"/>
      <w:bookmarkStart w:id="4803" w:name="_Toc468713170"/>
      <w:bookmarkStart w:id="4804" w:name="_Toc468713297"/>
      <w:bookmarkStart w:id="4805" w:name="_Toc468713424"/>
      <w:bookmarkStart w:id="4806" w:name="_Toc468713551"/>
      <w:bookmarkStart w:id="4807" w:name="_Toc468713804"/>
      <w:bookmarkStart w:id="4808" w:name="_Toc468713931"/>
      <w:bookmarkStart w:id="4809" w:name="_Toc468714058"/>
      <w:bookmarkStart w:id="4810" w:name="_Toc468787067"/>
      <w:bookmarkStart w:id="4811" w:name="_Toc468787385"/>
      <w:bookmarkStart w:id="4812" w:name="_Toc468787513"/>
      <w:bookmarkStart w:id="4813" w:name="_Toc468787641"/>
      <w:bookmarkStart w:id="4814" w:name="_Toc468787768"/>
      <w:bookmarkStart w:id="4815" w:name="_Toc468787895"/>
      <w:bookmarkStart w:id="4816" w:name="_Toc468788022"/>
      <w:bookmarkStart w:id="4817" w:name="_Toc468957702"/>
      <w:bookmarkStart w:id="4818" w:name="_Toc468957829"/>
      <w:bookmarkStart w:id="4819" w:name="_Toc468957956"/>
      <w:bookmarkStart w:id="4820" w:name="_Toc468958083"/>
      <w:bookmarkStart w:id="4821" w:name="_Toc468958210"/>
      <w:bookmarkStart w:id="4822" w:name="_Toc468958337"/>
      <w:bookmarkStart w:id="4823" w:name="_Toc468958464"/>
      <w:bookmarkStart w:id="4824" w:name="_Toc468958591"/>
      <w:bookmarkStart w:id="4825" w:name="_Toc468958718"/>
      <w:bookmarkStart w:id="4826" w:name="_Toc468958845"/>
      <w:bookmarkStart w:id="4827" w:name="_Toc468958972"/>
      <w:bookmarkStart w:id="4828" w:name="_Toc468959099"/>
      <w:bookmarkStart w:id="4829" w:name="_Toc468960600"/>
      <w:bookmarkStart w:id="4830" w:name="_Toc469035073"/>
      <w:bookmarkStart w:id="4831" w:name="_Toc469056783"/>
      <w:bookmarkStart w:id="4832" w:name="_Toc469321095"/>
      <w:bookmarkStart w:id="4833" w:name="_Toc469323824"/>
      <w:bookmarkStart w:id="4834" w:name="_Toc469323950"/>
      <w:bookmarkStart w:id="4835" w:name="_Toc469324501"/>
      <w:bookmarkStart w:id="4836" w:name="_Toc470695379"/>
      <w:bookmarkStart w:id="4837" w:name="_Toc470695532"/>
      <w:bookmarkStart w:id="4838" w:name="_Toc470697036"/>
      <w:bookmarkStart w:id="4839" w:name="_Toc470699920"/>
      <w:bookmarkStart w:id="4840" w:name="_Toc470762766"/>
      <w:bookmarkStart w:id="4841" w:name="_Toc471114584"/>
      <w:bookmarkStart w:id="4842" w:name="_Toc474393000"/>
      <w:bookmarkStart w:id="4843" w:name="_Toc474497891"/>
      <w:bookmarkStart w:id="4844" w:name="_Toc474498650"/>
      <w:bookmarkStart w:id="4845" w:name="_Toc474844509"/>
      <w:bookmarkStart w:id="4846" w:name="_Toc474844636"/>
      <w:bookmarkStart w:id="4847" w:name="_Toc474919906"/>
      <w:bookmarkStart w:id="4848" w:name="_Toc474924915"/>
      <w:bookmarkEnd w:id="4723"/>
      <w:bookmarkEnd w:id="4724"/>
      <w:bookmarkEnd w:id="4725"/>
      <w:bookmarkEnd w:id="4726"/>
      <w:bookmarkEnd w:id="4727"/>
      <w:bookmarkEnd w:id="4728"/>
      <w:bookmarkEnd w:id="4729"/>
      <w:bookmarkEnd w:id="4730"/>
      <w:bookmarkEnd w:id="4731"/>
      <w:bookmarkEnd w:id="4732"/>
      <w:bookmarkEnd w:id="4733"/>
      <w:bookmarkEnd w:id="4734"/>
      <w:bookmarkEnd w:id="4735"/>
      <w:bookmarkEnd w:id="4736"/>
      <w:bookmarkEnd w:id="4737"/>
      <w:bookmarkEnd w:id="4738"/>
      <w:bookmarkEnd w:id="4739"/>
      <w:bookmarkEnd w:id="4740"/>
      <w:bookmarkEnd w:id="4741"/>
      <w:bookmarkEnd w:id="4742"/>
      <w:bookmarkEnd w:id="4743"/>
      <w:bookmarkEnd w:id="4744"/>
      <w:bookmarkEnd w:id="4745"/>
      <w:bookmarkEnd w:id="4746"/>
      <w:bookmarkEnd w:id="4747"/>
      <w:bookmarkEnd w:id="4748"/>
      <w:bookmarkEnd w:id="4749"/>
      <w:bookmarkEnd w:id="4750"/>
      <w:bookmarkEnd w:id="4751"/>
      <w:bookmarkEnd w:id="4752"/>
      <w:bookmarkEnd w:id="4753"/>
      <w:bookmarkEnd w:id="4754"/>
      <w:bookmarkEnd w:id="4755"/>
      <w:bookmarkEnd w:id="4756"/>
      <w:bookmarkEnd w:id="4757"/>
      <w:bookmarkEnd w:id="4758"/>
      <w:bookmarkEnd w:id="4759"/>
      <w:bookmarkEnd w:id="4760"/>
      <w:bookmarkEnd w:id="4761"/>
      <w:bookmarkEnd w:id="4762"/>
      <w:bookmarkEnd w:id="4763"/>
      <w:bookmarkEnd w:id="4764"/>
      <w:bookmarkEnd w:id="4765"/>
      <w:bookmarkEnd w:id="4766"/>
      <w:bookmarkEnd w:id="4767"/>
      <w:bookmarkEnd w:id="4768"/>
      <w:bookmarkEnd w:id="4769"/>
      <w:bookmarkEnd w:id="4770"/>
      <w:bookmarkEnd w:id="4771"/>
      <w:bookmarkEnd w:id="4772"/>
      <w:bookmarkEnd w:id="4773"/>
      <w:bookmarkEnd w:id="4774"/>
      <w:bookmarkEnd w:id="4775"/>
      <w:bookmarkEnd w:id="4776"/>
      <w:bookmarkEnd w:id="4777"/>
      <w:bookmarkEnd w:id="4778"/>
      <w:bookmarkEnd w:id="4779"/>
      <w:bookmarkEnd w:id="4780"/>
      <w:bookmarkEnd w:id="4781"/>
      <w:bookmarkEnd w:id="4782"/>
      <w:bookmarkEnd w:id="4783"/>
      <w:bookmarkEnd w:id="4784"/>
      <w:bookmarkEnd w:id="4785"/>
      <w:bookmarkEnd w:id="4786"/>
      <w:bookmarkEnd w:id="4787"/>
      <w:bookmarkEnd w:id="4788"/>
      <w:bookmarkEnd w:id="4789"/>
      <w:bookmarkEnd w:id="4790"/>
      <w:bookmarkEnd w:id="4791"/>
      <w:bookmarkEnd w:id="4792"/>
      <w:bookmarkEnd w:id="4793"/>
      <w:bookmarkEnd w:id="4794"/>
      <w:bookmarkEnd w:id="4795"/>
      <w:bookmarkEnd w:id="4796"/>
      <w:bookmarkEnd w:id="4797"/>
      <w:bookmarkEnd w:id="4798"/>
      <w:bookmarkEnd w:id="4799"/>
      <w:bookmarkEnd w:id="4800"/>
      <w:bookmarkEnd w:id="4801"/>
      <w:bookmarkEnd w:id="4802"/>
      <w:bookmarkEnd w:id="4803"/>
      <w:bookmarkEnd w:id="4804"/>
      <w:bookmarkEnd w:id="4805"/>
      <w:bookmarkEnd w:id="4806"/>
      <w:bookmarkEnd w:id="4807"/>
      <w:bookmarkEnd w:id="4808"/>
      <w:bookmarkEnd w:id="4809"/>
      <w:bookmarkEnd w:id="4810"/>
      <w:bookmarkEnd w:id="4811"/>
      <w:bookmarkEnd w:id="4812"/>
      <w:bookmarkEnd w:id="4813"/>
      <w:bookmarkEnd w:id="4814"/>
      <w:bookmarkEnd w:id="4815"/>
      <w:bookmarkEnd w:id="4816"/>
      <w:bookmarkEnd w:id="4817"/>
      <w:bookmarkEnd w:id="4818"/>
      <w:bookmarkEnd w:id="4819"/>
      <w:bookmarkEnd w:id="4820"/>
      <w:bookmarkEnd w:id="4821"/>
      <w:bookmarkEnd w:id="4822"/>
      <w:bookmarkEnd w:id="4823"/>
      <w:bookmarkEnd w:id="4824"/>
      <w:bookmarkEnd w:id="4825"/>
      <w:bookmarkEnd w:id="4826"/>
      <w:bookmarkEnd w:id="4827"/>
      <w:bookmarkEnd w:id="4828"/>
      <w:bookmarkEnd w:id="4829"/>
      <w:bookmarkEnd w:id="4830"/>
      <w:bookmarkEnd w:id="4831"/>
      <w:bookmarkEnd w:id="4832"/>
      <w:bookmarkEnd w:id="4833"/>
      <w:bookmarkEnd w:id="4834"/>
      <w:bookmarkEnd w:id="4835"/>
      <w:bookmarkEnd w:id="4836"/>
      <w:bookmarkEnd w:id="4837"/>
      <w:bookmarkEnd w:id="4838"/>
      <w:bookmarkEnd w:id="4839"/>
      <w:bookmarkEnd w:id="4840"/>
      <w:bookmarkEnd w:id="4841"/>
      <w:bookmarkEnd w:id="4842"/>
      <w:bookmarkEnd w:id="4843"/>
      <w:bookmarkEnd w:id="4844"/>
      <w:bookmarkEnd w:id="4845"/>
      <w:bookmarkEnd w:id="4846"/>
      <w:bookmarkEnd w:id="4847"/>
      <w:bookmarkEnd w:id="4848"/>
    </w:p>
    <w:p w:rsidR="006140C6" w:rsidRPr="006140C6" w:rsidRDefault="006140C6" w:rsidP="009968FD">
      <w:pPr>
        <w:pStyle w:val="Akapitzlist"/>
        <w:keepNext/>
        <w:numPr>
          <w:ilvl w:val="2"/>
          <w:numId w:val="228"/>
        </w:numPr>
        <w:spacing w:before="240" w:after="60" w:line="240" w:lineRule="auto"/>
        <w:outlineLvl w:val="2"/>
        <w:rPr>
          <w:rFonts w:cs="Calibri"/>
          <w:b/>
          <w:bCs/>
          <w:vanish/>
          <w:color w:val="3366FF"/>
          <w:sz w:val="26"/>
          <w:szCs w:val="26"/>
          <w:lang w:eastAsia="pl-PL"/>
        </w:rPr>
      </w:pPr>
      <w:bookmarkStart w:id="4849" w:name="_Toc467663433"/>
      <w:bookmarkStart w:id="4850" w:name="_Toc467665458"/>
      <w:bookmarkStart w:id="4851" w:name="_Toc467665612"/>
      <w:bookmarkStart w:id="4852" w:name="_Toc467669534"/>
      <w:bookmarkStart w:id="4853" w:name="_Toc467832039"/>
      <w:bookmarkStart w:id="4854" w:name="_Toc467832159"/>
      <w:bookmarkStart w:id="4855" w:name="_Toc467834864"/>
      <w:bookmarkStart w:id="4856" w:name="_Toc467843545"/>
      <w:bookmarkStart w:id="4857" w:name="_Toc467845531"/>
      <w:bookmarkStart w:id="4858" w:name="_Toc467847474"/>
      <w:bookmarkStart w:id="4859" w:name="_Toc467847596"/>
      <w:bookmarkStart w:id="4860" w:name="_Toc467847718"/>
      <w:bookmarkStart w:id="4861" w:name="_Toc467847842"/>
      <w:bookmarkStart w:id="4862" w:name="_Toc467847966"/>
      <w:bookmarkStart w:id="4863" w:name="_Toc467848090"/>
      <w:bookmarkStart w:id="4864" w:name="_Toc467848214"/>
      <w:bookmarkStart w:id="4865" w:name="_Toc467848338"/>
      <w:bookmarkStart w:id="4866" w:name="_Toc467848462"/>
      <w:bookmarkStart w:id="4867" w:name="_Toc468097935"/>
      <w:bookmarkStart w:id="4868" w:name="_Toc468098060"/>
      <w:bookmarkStart w:id="4869" w:name="_Toc468104727"/>
      <w:bookmarkStart w:id="4870" w:name="_Toc468104851"/>
      <w:bookmarkStart w:id="4871" w:name="_Toc468104977"/>
      <w:bookmarkStart w:id="4872" w:name="_Toc468105103"/>
      <w:bookmarkStart w:id="4873" w:name="_Toc468105229"/>
      <w:bookmarkStart w:id="4874" w:name="_Toc468105355"/>
      <w:bookmarkStart w:id="4875" w:name="_Toc468105839"/>
      <w:bookmarkStart w:id="4876" w:name="_Toc468105966"/>
      <w:bookmarkStart w:id="4877" w:name="_Toc468116260"/>
      <w:bookmarkStart w:id="4878" w:name="_Toc468178216"/>
      <w:bookmarkStart w:id="4879" w:name="_Toc468181508"/>
      <w:bookmarkStart w:id="4880" w:name="_Toc468181635"/>
      <w:bookmarkStart w:id="4881" w:name="_Toc468181764"/>
      <w:bookmarkStart w:id="4882" w:name="_Toc468181931"/>
      <w:bookmarkStart w:id="4883" w:name="_Toc468185872"/>
      <w:bookmarkStart w:id="4884" w:name="_Toc468190804"/>
      <w:bookmarkStart w:id="4885" w:name="_Toc468190930"/>
      <w:bookmarkStart w:id="4886" w:name="_Toc468191422"/>
      <w:bookmarkStart w:id="4887" w:name="_Toc468258093"/>
      <w:bookmarkStart w:id="4888" w:name="_Toc468258324"/>
      <w:bookmarkStart w:id="4889" w:name="_Toc468258618"/>
      <w:bookmarkStart w:id="4890" w:name="_Toc468258747"/>
      <w:bookmarkStart w:id="4891" w:name="_Toc468258880"/>
      <w:bookmarkStart w:id="4892" w:name="_Toc468259011"/>
      <w:bookmarkStart w:id="4893" w:name="_Toc468259140"/>
      <w:bookmarkStart w:id="4894" w:name="_Toc468259269"/>
      <w:bookmarkStart w:id="4895" w:name="_Toc468259526"/>
      <w:bookmarkStart w:id="4896" w:name="_Toc468259658"/>
      <w:bookmarkStart w:id="4897" w:name="_Toc468259788"/>
      <w:bookmarkStart w:id="4898" w:name="_Toc468259917"/>
      <w:bookmarkStart w:id="4899" w:name="_Toc468260048"/>
      <w:bookmarkStart w:id="4900" w:name="_Toc468260177"/>
      <w:bookmarkStart w:id="4901" w:name="_Toc468260306"/>
      <w:bookmarkStart w:id="4902" w:name="_Toc468260435"/>
      <w:bookmarkStart w:id="4903" w:name="_Toc468260564"/>
      <w:bookmarkStart w:id="4904" w:name="_Toc468260693"/>
      <w:bookmarkStart w:id="4905" w:name="_Toc468260821"/>
      <w:bookmarkStart w:id="4906" w:name="_Toc468260952"/>
      <w:bookmarkStart w:id="4907" w:name="_Toc468261083"/>
      <w:bookmarkStart w:id="4908" w:name="_Toc468261214"/>
      <w:bookmarkStart w:id="4909" w:name="_Toc468261345"/>
      <w:bookmarkStart w:id="4910" w:name="_Toc468261476"/>
      <w:bookmarkStart w:id="4911" w:name="_Toc468266790"/>
      <w:bookmarkStart w:id="4912" w:name="_Toc468266918"/>
      <w:bookmarkStart w:id="4913" w:name="_Toc468267046"/>
      <w:bookmarkStart w:id="4914" w:name="_Toc468269457"/>
      <w:bookmarkStart w:id="4915" w:name="_Toc468279423"/>
      <w:bookmarkStart w:id="4916" w:name="_Toc468360275"/>
      <w:bookmarkStart w:id="4917" w:name="_Toc468361216"/>
      <w:bookmarkStart w:id="4918" w:name="_Toc468363446"/>
      <w:bookmarkStart w:id="4919" w:name="_Toc468366273"/>
      <w:bookmarkStart w:id="4920" w:name="_Toc468428363"/>
      <w:bookmarkStart w:id="4921" w:name="_Toc468691759"/>
      <w:bookmarkStart w:id="4922" w:name="_Toc468691886"/>
      <w:bookmarkStart w:id="4923" w:name="_Toc468692013"/>
      <w:bookmarkStart w:id="4924" w:name="_Toc468693967"/>
      <w:bookmarkStart w:id="4925" w:name="_Toc468712662"/>
      <w:bookmarkStart w:id="4926" w:name="_Toc468712790"/>
      <w:bookmarkStart w:id="4927" w:name="_Toc468712917"/>
      <w:bookmarkStart w:id="4928" w:name="_Toc468713044"/>
      <w:bookmarkStart w:id="4929" w:name="_Toc468713171"/>
      <w:bookmarkStart w:id="4930" w:name="_Toc468713298"/>
      <w:bookmarkStart w:id="4931" w:name="_Toc468713425"/>
      <w:bookmarkStart w:id="4932" w:name="_Toc468713552"/>
      <w:bookmarkStart w:id="4933" w:name="_Toc468713805"/>
      <w:bookmarkStart w:id="4934" w:name="_Toc468713932"/>
      <w:bookmarkStart w:id="4935" w:name="_Toc468714059"/>
      <w:bookmarkStart w:id="4936" w:name="_Toc468787068"/>
      <w:bookmarkStart w:id="4937" w:name="_Toc468787386"/>
      <w:bookmarkStart w:id="4938" w:name="_Toc468787514"/>
      <w:bookmarkStart w:id="4939" w:name="_Toc468787642"/>
      <w:bookmarkStart w:id="4940" w:name="_Toc468787769"/>
      <w:bookmarkStart w:id="4941" w:name="_Toc468787896"/>
      <w:bookmarkStart w:id="4942" w:name="_Toc468788023"/>
      <w:bookmarkStart w:id="4943" w:name="_Toc468957703"/>
      <w:bookmarkStart w:id="4944" w:name="_Toc468957830"/>
      <w:bookmarkStart w:id="4945" w:name="_Toc468957957"/>
      <w:bookmarkStart w:id="4946" w:name="_Toc468958084"/>
      <w:bookmarkStart w:id="4947" w:name="_Toc468958211"/>
      <w:bookmarkStart w:id="4948" w:name="_Toc468958338"/>
      <w:bookmarkStart w:id="4949" w:name="_Toc468958465"/>
      <w:bookmarkStart w:id="4950" w:name="_Toc468958592"/>
      <w:bookmarkStart w:id="4951" w:name="_Toc468958719"/>
      <w:bookmarkStart w:id="4952" w:name="_Toc468958846"/>
      <w:bookmarkStart w:id="4953" w:name="_Toc468958973"/>
      <w:bookmarkStart w:id="4954" w:name="_Toc468959100"/>
      <w:bookmarkStart w:id="4955" w:name="_Toc468960601"/>
      <w:bookmarkStart w:id="4956" w:name="_Toc469035074"/>
      <w:bookmarkStart w:id="4957" w:name="_Toc469056784"/>
      <w:bookmarkStart w:id="4958" w:name="_Toc469321096"/>
      <w:bookmarkStart w:id="4959" w:name="_Toc469323825"/>
      <w:bookmarkStart w:id="4960" w:name="_Toc469323951"/>
      <w:bookmarkStart w:id="4961" w:name="_Toc469324502"/>
      <w:bookmarkStart w:id="4962" w:name="_Toc470695380"/>
      <w:bookmarkStart w:id="4963" w:name="_Toc470695533"/>
      <w:bookmarkStart w:id="4964" w:name="_Toc470697037"/>
      <w:bookmarkStart w:id="4965" w:name="_Toc470699921"/>
      <w:bookmarkStart w:id="4966" w:name="_Toc470762767"/>
      <w:bookmarkStart w:id="4967" w:name="_Toc471114585"/>
      <w:bookmarkStart w:id="4968" w:name="_Toc474393001"/>
      <w:bookmarkStart w:id="4969" w:name="_Toc474497892"/>
      <w:bookmarkStart w:id="4970" w:name="_Toc474498651"/>
      <w:bookmarkStart w:id="4971" w:name="_Toc474844510"/>
      <w:bookmarkStart w:id="4972" w:name="_Toc474844637"/>
      <w:bookmarkStart w:id="4973" w:name="_Toc474919907"/>
      <w:bookmarkStart w:id="4974" w:name="_Toc474924916"/>
      <w:bookmarkEnd w:id="4849"/>
      <w:bookmarkEnd w:id="4850"/>
      <w:bookmarkEnd w:id="4851"/>
      <w:bookmarkEnd w:id="4852"/>
      <w:bookmarkEnd w:id="4853"/>
      <w:bookmarkEnd w:id="4854"/>
      <w:bookmarkEnd w:id="4855"/>
      <w:bookmarkEnd w:id="4856"/>
      <w:bookmarkEnd w:id="4857"/>
      <w:bookmarkEnd w:id="4858"/>
      <w:bookmarkEnd w:id="4859"/>
      <w:bookmarkEnd w:id="4860"/>
      <w:bookmarkEnd w:id="4861"/>
      <w:bookmarkEnd w:id="4862"/>
      <w:bookmarkEnd w:id="4863"/>
      <w:bookmarkEnd w:id="4864"/>
      <w:bookmarkEnd w:id="4865"/>
      <w:bookmarkEnd w:id="4866"/>
      <w:bookmarkEnd w:id="4867"/>
      <w:bookmarkEnd w:id="4868"/>
      <w:bookmarkEnd w:id="4869"/>
      <w:bookmarkEnd w:id="4870"/>
      <w:bookmarkEnd w:id="4871"/>
      <w:bookmarkEnd w:id="4872"/>
      <w:bookmarkEnd w:id="4873"/>
      <w:bookmarkEnd w:id="4874"/>
      <w:bookmarkEnd w:id="4875"/>
      <w:bookmarkEnd w:id="4876"/>
      <w:bookmarkEnd w:id="4877"/>
      <w:bookmarkEnd w:id="4878"/>
      <w:bookmarkEnd w:id="4879"/>
      <w:bookmarkEnd w:id="4880"/>
      <w:bookmarkEnd w:id="4881"/>
      <w:bookmarkEnd w:id="4882"/>
      <w:bookmarkEnd w:id="4883"/>
      <w:bookmarkEnd w:id="4884"/>
      <w:bookmarkEnd w:id="4885"/>
      <w:bookmarkEnd w:id="4886"/>
      <w:bookmarkEnd w:id="4887"/>
      <w:bookmarkEnd w:id="4888"/>
      <w:bookmarkEnd w:id="4889"/>
      <w:bookmarkEnd w:id="4890"/>
      <w:bookmarkEnd w:id="4891"/>
      <w:bookmarkEnd w:id="4892"/>
      <w:bookmarkEnd w:id="4893"/>
      <w:bookmarkEnd w:id="4894"/>
      <w:bookmarkEnd w:id="4895"/>
      <w:bookmarkEnd w:id="4896"/>
      <w:bookmarkEnd w:id="4897"/>
      <w:bookmarkEnd w:id="4898"/>
      <w:bookmarkEnd w:id="4899"/>
      <w:bookmarkEnd w:id="4900"/>
      <w:bookmarkEnd w:id="4901"/>
      <w:bookmarkEnd w:id="4902"/>
      <w:bookmarkEnd w:id="4903"/>
      <w:bookmarkEnd w:id="4904"/>
      <w:bookmarkEnd w:id="4905"/>
      <w:bookmarkEnd w:id="4906"/>
      <w:bookmarkEnd w:id="4907"/>
      <w:bookmarkEnd w:id="4908"/>
      <w:bookmarkEnd w:id="4909"/>
      <w:bookmarkEnd w:id="4910"/>
      <w:bookmarkEnd w:id="4911"/>
      <w:bookmarkEnd w:id="4912"/>
      <w:bookmarkEnd w:id="4913"/>
      <w:bookmarkEnd w:id="4914"/>
      <w:bookmarkEnd w:id="4915"/>
      <w:bookmarkEnd w:id="4916"/>
      <w:bookmarkEnd w:id="4917"/>
      <w:bookmarkEnd w:id="4918"/>
      <w:bookmarkEnd w:id="4919"/>
      <w:bookmarkEnd w:id="4920"/>
      <w:bookmarkEnd w:id="4921"/>
      <w:bookmarkEnd w:id="4922"/>
      <w:bookmarkEnd w:id="4923"/>
      <w:bookmarkEnd w:id="4924"/>
      <w:bookmarkEnd w:id="4925"/>
      <w:bookmarkEnd w:id="4926"/>
      <w:bookmarkEnd w:id="4927"/>
      <w:bookmarkEnd w:id="4928"/>
      <w:bookmarkEnd w:id="4929"/>
      <w:bookmarkEnd w:id="4930"/>
      <w:bookmarkEnd w:id="4931"/>
      <w:bookmarkEnd w:id="4932"/>
      <w:bookmarkEnd w:id="4933"/>
      <w:bookmarkEnd w:id="4934"/>
      <w:bookmarkEnd w:id="4935"/>
      <w:bookmarkEnd w:id="4936"/>
      <w:bookmarkEnd w:id="4937"/>
      <w:bookmarkEnd w:id="4938"/>
      <w:bookmarkEnd w:id="4939"/>
      <w:bookmarkEnd w:id="4940"/>
      <w:bookmarkEnd w:id="4941"/>
      <w:bookmarkEnd w:id="4942"/>
      <w:bookmarkEnd w:id="4943"/>
      <w:bookmarkEnd w:id="4944"/>
      <w:bookmarkEnd w:id="4945"/>
      <w:bookmarkEnd w:id="4946"/>
      <w:bookmarkEnd w:id="4947"/>
      <w:bookmarkEnd w:id="4948"/>
      <w:bookmarkEnd w:id="4949"/>
      <w:bookmarkEnd w:id="4950"/>
      <w:bookmarkEnd w:id="4951"/>
      <w:bookmarkEnd w:id="4952"/>
      <w:bookmarkEnd w:id="4953"/>
      <w:bookmarkEnd w:id="4954"/>
      <w:bookmarkEnd w:id="4955"/>
      <w:bookmarkEnd w:id="4956"/>
      <w:bookmarkEnd w:id="4957"/>
      <w:bookmarkEnd w:id="4958"/>
      <w:bookmarkEnd w:id="4959"/>
      <w:bookmarkEnd w:id="4960"/>
      <w:bookmarkEnd w:id="4961"/>
      <w:bookmarkEnd w:id="4962"/>
      <w:bookmarkEnd w:id="4963"/>
      <w:bookmarkEnd w:id="4964"/>
      <w:bookmarkEnd w:id="4965"/>
      <w:bookmarkEnd w:id="4966"/>
      <w:bookmarkEnd w:id="4967"/>
      <w:bookmarkEnd w:id="4968"/>
      <w:bookmarkEnd w:id="4969"/>
      <w:bookmarkEnd w:id="4970"/>
      <w:bookmarkEnd w:id="4971"/>
      <w:bookmarkEnd w:id="4972"/>
      <w:bookmarkEnd w:id="4973"/>
      <w:bookmarkEnd w:id="4974"/>
    </w:p>
    <w:p w:rsidR="006140C6" w:rsidRPr="006140C6" w:rsidRDefault="006140C6" w:rsidP="009968FD">
      <w:pPr>
        <w:pStyle w:val="Akapitzlist"/>
        <w:keepNext/>
        <w:numPr>
          <w:ilvl w:val="2"/>
          <w:numId w:val="228"/>
        </w:numPr>
        <w:spacing w:before="240" w:after="60" w:line="240" w:lineRule="auto"/>
        <w:outlineLvl w:val="2"/>
        <w:rPr>
          <w:rFonts w:cs="Calibri"/>
          <w:b/>
          <w:bCs/>
          <w:vanish/>
          <w:color w:val="3366FF"/>
          <w:sz w:val="26"/>
          <w:szCs w:val="26"/>
          <w:lang w:eastAsia="pl-PL"/>
        </w:rPr>
      </w:pPr>
      <w:bookmarkStart w:id="4975" w:name="_Toc467663434"/>
      <w:bookmarkStart w:id="4976" w:name="_Toc467665459"/>
      <w:bookmarkStart w:id="4977" w:name="_Toc467665613"/>
      <w:bookmarkStart w:id="4978" w:name="_Toc467669535"/>
      <w:bookmarkStart w:id="4979" w:name="_Toc467832040"/>
      <w:bookmarkStart w:id="4980" w:name="_Toc467832160"/>
      <w:bookmarkStart w:id="4981" w:name="_Toc467834865"/>
      <w:bookmarkStart w:id="4982" w:name="_Toc467843546"/>
      <w:bookmarkStart w:id="4983" w:name="_Toc467845532"/>
      <w:bookmarkStart w:id="4984" w:name="_Toc467847475"/>
      <w:bookmarkStart w:id="4985" w:name="_Toc467847597"/>
      <w:bookmarkStart w:id="4986" w:name="_Toc467847719"/>
      <w:bookmarkStart w:id="4987" w:name="_Toc467847843"/>
      <w:bookmarkStart w:id="4988" w:name="_Toc467847967"/>
      <w:bookmarkStart w:id="4989" w:name="_Toc467848091"/>
      <w:bookmarkStart w:id="4990" w:name="_Toc467848215"/>
      <w:bookmarkStart w:id="4991" w:name="_Toc467848339"/>
      <w:bookmarkStart w:id="4992" w:name="_Toc467848463"/>
      <w:bookmarkStart w:id="4993" w:name="_Toc468097936"/>
      <w:bookmarkStart w:id="4994" w:name="_Toc468098061"/>
      <w:bookmarkStart w:id="4995" w:name="_Toc468104728"/>
      <w:bookmarkStart w:id="4996" w:name="_Toc468104852"/>
      <w:bookmarkStart w:id="4997" w:name="_Toc468104978"/>
      <w:bookmarkStart w:id="4998" w:name="_Toc468105104"/>
      <w:bookmarkStart w:id="4999" w:name="_Toc468105230"/>
      <w:bookmarkStart w:id="5000" w:name="_Toc468105356"/>
      <w:bookmarkStart w:id="5001" w:name="_Toc468105840"/>
      <w:bookmarkStart w:id="5002" w:name="_Toc468105967"/>
      <w:bookmarkStart w:id="5003" w:name="_Toc468116261"/>
      <w:bookmarkStart w:id="5004" w:name="_Toc468178217"/>
      <w:bookmarkStart w:id="5005" w:name="_Toc468181509"/>
      <w:bookmarkStart w:id="5006" w:name="_Toc468181636"/>
      <w:bookmarkStart w:id="5007" w:name="_Toc468181765"/>
      <w:bookmarkStart w:id="5008" w:name="_Toc468181932"/>
      <w:bookmarkStart w:id="5009" w:name="_Toc468185873"/>
      <w:bookmarkStart w:id="5010" w:name="_Toc468190805"/>
      <w:bookmarkStart w:id="5011" w:name="_Toc468190931"/>
      <w:bookmarkStart w:id="5012" w:name="_Toc468191423"/>
      <w:bookmarkStart w:id="5013" w:name="_Toc468258094"/>
      <w:bookmarkStart w:id="5014" w:name="_Toc468258325"/>
      <w:bookmarkStart w:id="5015" w:name="_Toc468258619"/>
      <w:bookmarkStart w:id="5016" w:name="_Toc468258748"/>
      <w:bookmarkStart w:id="5017" w:name="_Toc468258881"/>
      <w:bookmarkStart w:id="5018" w:name="_Toc468259012"/>
      <w:bookmarkStart w:id="5019" w:name="_Toc468259141"/>
      <w:bookmarkStart w:id="5020" w:name="_Toc468259270"/>
      <w:bookmarkStart w:id="5021" w:name="_Toc468259527"/>
      <w:bookmarkStart w:id="5022" w:name="_Toc468259659"/>
      <w:bookmarkStart w:id="5023" w:name="_Toc468259789"/>
      <w:bookmarkStart w:id="5024" w:name="_Toc468259918"/>
      <w:bookmarkStart w:id="5025" w:name="_Toc468260049"/>
      <w:bookmarkStart w:id="5026" w:name="_Toc468260178"/>
      <w:bookmarkStart w:id="5027" w:name="_Toc468260307"/>
      <w:bookmarkStart w:id="5028" w:name="_Toc468260436"/>
      <w:bookmarkStart w:id="5029" w:name="_Toc468260565"/>
      <w:bookmarkStart w:id="5030" w:name="_Toc468260694"/>
      <w:bookmarkStart w:id="5031" w:name="_Toc468260822"/>
      <w:bookmarkStart w:id="5032" w:name="_Toc468260953"/>
      <w:bookmarkStart w:id="5033" w:name="_Toc468261084"/>
      <w:bookmarkStart w:id="5034" w:name="_Toc468261215"/>
      <w:bookmarkStart w:id="5035" w:name="_Toc468261346"/>
      <w:bookmarkStart w:id="5036" w:name="_Toc468261477"/>
      <w:bookmarkStart w:id="5037" w:name="_Toc468266791"/>
      <w:bookmarkStart w:id="5038" w:name="_Toc468266919"/>
      <w:bookmarkStart w:id="5039" w:name="_Toc468267047"/>
      <w:bookmarkStart w:id="5040" w:name="_Toc468269458"/>
      <w:bookmarkStart w:id="5041" w:name="_Toc468279424"/>
      <w:bookmarkStart w:id="5042" w:name="_Toc468360276"/>
      <w:bookmarkStart w:id="5043" w:name="_Toc468361217"/>
      <w:bookmarkStart w:id="5044" w:name="_Toc468363447"/>
      <w:bookmarkStart w:id="5045" w:name="_Toc468366274"/>
      <w:bookmarkStart w:id="5046" w:name="_Toc468428364"/>
      <w:bookmarkStart w:id="5047" w:name="_Toc468691760"/>
      <w:bookmarkStart w:id="5048" w:name="_Toc468691887"/>
      <w:bookmarkStart w:id="5049" w:name="_Toc468692014"/>
      <w:bookmarkStart w:id="5050" w:name="_Toc468693968"/>
      <w:bookmarkStart w:id="5051" w:name="_Toc468712663"/>
      <w:bookmarkStart w:id="5052" w:name="_Toc468712791"/>
      <w:bookmarkStart w:id="5053" w:name="_Toc468712918"/>
      <w:bookmarkStart w:id="5054" w:name="_Toc468713045"/>
      <w:bookmarkStart w:id="5055" w:name="_Toc468713172"/>
      <w:bookmarkStart w:id="5056" w:name="_Toc468713299"/>
      <w:bookmarkStart w:id="5057" w:name="_Toc468713426"/>
      <w:bookmarkStart w:id="5058" w:name="_Toc468713553"/>
      <w:bookmarkStart w:id="5059" w:name="_Toc468713806"/>
      <w:bookmarkStart w:id="5060" w:name="_Toc468713933"/>
      <w:bookmarkStart w:id="5061" w:name="_Toc468714060"/>
      <w:bookmarkStart w:id="5062" w:name="_Toc468787069"/>
      <w:bookmarkStart w:id="5063" w:name="_Toc468787387"/>
      <w:bookmarkStart w:id="5064" w:name="_Toc468787515"/>
      <w:bookmarkStart w:id="5065" w:name="_Toc468787643"/>
      <w:bookmarkStart w:id="5066" w:name="_Toc468787770"/>
      <w:bookmarkStart w:id="5067" w:name="_Toc468787897"/>
      <w:bookmarkStart w:id="5068" w:name="_Toc468788024"/>
      <w:bookmarkStart w:id="5069" w:name="_Toc468957704"/>
      <w:bookmarkStart w:id="5070" w:name="_Toc468957831"/>
      <w:bookmarkStart w:id="5071" w:name="_Toc468957958"/>
      <w:bookmarkStart w:id="5072" w:name="_Toc468958085"/>
      <w:bookmarkStart w:id="5073" w:name="_Toc468958212"/>
      <w:bookmarkStart w:id="5074" w:name="_Toc468958339"/>
      <w:bookmarkStart w:id="5075" w:name="_Toc468958466"/>
      <w:bookmarkStart w:id="5076" w:name="_Toc468958593"/>
      <w:bookmarkStart w:id="5077" w:name="_Toc468958720"/>
      <w:bookmarkStart w:id="5078" w:name="_Toc468958847"/>
      <w:bookmarkStart w:id="5079" w:name="_Toc468958974"/>
      <w:bookmarkStart w:id="5080" w:name="_Toc468959101"/>
      <w:bookmarkStart w:id="5081" w:name="_Toc468960602"/>
      <w:bookmarkStart w:id="5082" w:name="_Toc469035075"/>
      <w:bookmarkStart w:id="5083" w:name="_Toc469056785"/>
      <w:bookmarkStart w:id="5084" w:name="_Toc469321097"/>
      <w:bookmarkStart w:id="5085" w:name="_Toc469323826"/>
      <w:bookmarkStart w:id="5086" w:name="_Toc469323952"/>
      <w:bookmarkStart w:id="5087" w:name="_Toc469324503"/>
      <w:bookmarkStart w:id="5088" w:name="_Toc470695381"/>
      <w:bookmarkStart w:id="5089" w:name="_Toc470695534"/>
      <w:bookmarkStart w:id="5090" w:name="_Toc470697038"/>
      <w:bookmarkStart w:id="5091" w:name="_Toc470699922"/>
      <w:bookmarkStart w:id="5092" w:name="_Toc470762768"/>
      <w:bookmarkStart w:id="5093" w:name="_Toc471114586"/>
      <w:bookmarkStart w:id="5094" w:name="_Toc474393002"/>
      <w:bookmarkStart w:id="5095" w:name="_Toc474497893"/>
      <w:bookmarkStart w:id="5096" w:name="_Toc474498652"/>
      <w:bookmarkStart w:id="5097" w:name="_Toc474844511"/>
      <w:bookmarkStart w:id="5098" w:name="_Toc474844638"/>
      <w:bookmarkStart w:id="5099" w:name="_Toc474919908"/>
      <w:bookmarkStart w:id="5100" w:name="_Toc474924917"/>
      <w:bookmarkEnd w:id="4975"/>
      <w:bookmarkEnd w:id="4976"/>
      <w:bookmarkEnd w:id="4977"/>
      <w:bookmarkEnd w:id="4978"/>
      <w:bookmarkEnd w:id="4979"/>
      <w:bookmarkEnd w:id="4980"/>
      <w:bookmarkEnd w:id="4981"/>
      <w:bookmarkEnd w:id="4982"/>
      <w:bookmarkEnd w:id="4983"/>
      <w:bookmarkEnd w:id="4984"/>
      <w:bookmarkEnd w:id="4985"/>
      <w:bookmarkEnd w:id="4986"/>
      <w:bookmarkEnd w:id="4987"/>
      <w:bookmarkEnd w:id="4988"/>
      <w:bookmarkEnd w:id="4989"/>
      <w:bookmarkEnd w:id="4990"/>
      <w:bookmarkEnd w:id="4991"/>
      <w:bookmarkEnd w:id="4992"/>
      <w:bookmarkEnd w:id="4993"/>
      <w:bookmarkEnd w:id="4994"/>
      <w:bookmarkEnd w:id="4995"/>
      <w:bookmarkEnd w:id="4996"/>
      <w:bookmarkEnd w:id="4997"/>
      <w:bookmarkEnd w:id="4998"/>
      <w:bookmarkEnd w:id="4999"/>
      <w:bookmarkEnd w:id="5000"/>
      <w:bookmarkEnd w:id="5001"/>
      <w:bookmarkEnd w:id="5002"/>
      <w:bookmarkEnd w:id="5003"/>
      <w:bookmarkEnd w:id="5004"/>
      <w:bookmarkEnd w:id="5005"/>
      <w:bookmarkEnd w:id="5006"/>
      <w:bookmarkEnd w:id="5007"/>
      <w:bookmarkEnd w:id="5008"/>
      <w:bookmarkEnd w:id="5009"/>
      <w:bookmarkEnd w:id="5010"/>
      <w:bookmarkEnd w:id="5011"/>
      <w:bookmarkEnd w:id="5012"/>
      <w:bookmarkEnd w:id="5013"/>
      <w:bookmarkEnd w:id="5014"/>
      <w:bookmarkEnd w:id="5015"/>
      <w:bookmarkEnd w:id="5016"/>
      <w:bookmarkEnd w:id="5017"/>
      <w:bookmarkEnd w:id="5018"/>
      <w:bookmarkEnd w:id="5019"/>
      <w:bookmarkEnd w:id="5020"/>
      <w:bookmarkEnd w:id="5021"/>
      <w:bookmarkEnd w:id="5022"/>
      <w:bookmarkEnd w:id="5023"/>
      <w:bookmarkEnd w:id="5024"/>
      <w:bookmarkEnd w:id="5025"/>
      <w:bookmarkEnd w:id="5026"/>
      <w:bookmarkEnd w:id="5027"/>
      <w:bookmarkEnd w:id="5028"/>
      <w:bookmarkEnd w:id="5029"/>
      <w:bookmarkEnd w:id="5030"/>
      <w:bookmarkEnd w:id="5031"/>
      <w:bookmarkEnd w:id="5032"/>
      <w:bookmarkEnd w:id="5033"/>
      <w:bookmarkEnd w:id="5034"/>
      <w:bookmarkEnd w:id="5035"/>
      <w:bookmarkEnd w:id="5036"/>
      <w:bookmarkEnd w:id="5037"/>
      <w:bookmarkEnd w:id="5038"/>
      <w:bookmarkEnd w:id="5039"/>
      <w:bookmarkEnd w:id="5040"/>
      <w:bookmarkEnd w:id="5041"/>
      <w:bookmarkEnd w:id="5042"/>
      <w:bookmarkEnd w:id="5043"/>
      <w:bookmarkEnd w:id="5044"/>
      <w:bookmarkEnd w:id="5045"/>
      <w:bookmarkEnd w:id="5046"/>
      <w:bookmarkEnd w:id="5047"/>
      <w:bookmarkEnd w:id="5048"/>
      <w:bookmarkEnd w:id="5049"/>
      <w:bookmarkEnd w:id="5050"/>
      <w:bookmarkEnd w:id="5051"/>
      <w:bookmarkEnd w:id="5052"/>
      <w:bookmarkEnd w:id="5053"/>
      <w:bookmarkEnd w:id="5054"/>
      <w:bookmarkEnd w:id="5055"/>
      <w:bookmarkEnd w:id="5056"/>
      <w:bookmarkEnd w:id="5057"/>
      <w:bookmarkEnd w:id="5058"/>
      <w:bookmarkEnd w:id="5059"/>
      <w:bookmarkEnd w:id="5060"/>
      <w:bookmarkEnd w:id="5061"/>
      <w:bookmarkEnd w:id="5062"/>
      <w:bookmarkEnd w:id="5063"/>
      <w:bookmarkEnd w:id="5064"/>
      <w:bookmarkEnd w:id="5065"/>
      <w:bookmarkEnd w:id="5066"/>
      <w:bookmarkEnd w:id="5067"/>
      <w:bookmarkEnd w:id="5068"/>
      <w:bookmarkEnd w:id="5069"/>
      <w:bookmarkEnd w:id="5070"/>
      <w:bookmarkEnd w:id="5071"/>
      <w:bookmarkEnd w:id="5072"/>
      <w:bookmarkEnd w:id="5073"/>
      <w:bookmarkEnd w:id="5074"/>
      <w:bookmarkEnd w:id="5075"/>
      <w:bookmarkEnd w:id="5076"/>
      <w:bookmarkEnd w:id="5077"/>
      <w:bookmarkEnd w:id="5078"/>
      <w:bookmarkEnd w:id="5079"/>
      <w:bookmarkEnd w:id="5080"/>
      <w:bookmarkEnd w:id="5081"/>
      <w:bookmarkEnd w:id="5082"/>
      <w:bookmarkEnd w:id="5083"/>
      <w:bookmarkEnd w:id="5084"/>
      <w:bookmarkEnd w:id="5085"/>
      <w:bookmarkEnd w:id="5086"/>
      <w:bookmarkEnd w:id="5087"/>
      <w:bookmarkEnd w:id="5088"/>
      <w:bookmarkEnd w:id="5089"/>
      <w:bookmarkEnd w:id="5090"/>
      <w:bookmarkEnd w:id="5091"/>
      <w:bookmarkEnd w:id="5092"/>
      <w:bookmarkEnd w:id="5093"/>
      <w:bookmarkEnd w:id="5094"/>
      <w:bookmarkEnd w:id="5095"/>
      <w:bookmarkEnd w:id="5096"/>
      <w:bookmarkEnd w:id="5097"/>
      <w:bookmarkEnd w:id="5098"/>
      <w:bookmarkEnd w:id="5099"/>
      <w:bookmarkEnd w:id="5100"/>
    </w:p>
    <w:p w:rsidR="006140C6" w:rsidRPr="006140C6" w:rsidRDefault="006140C6" w:rsidP="009968FD">
      <w:pPr>
        <w:pStyle w:val="Akapitzlist"/>
        <w:keepNext/>
        <w:numPr>
          <w:ilvl w:val="2"/>
          <w:numId w:val="228"/>
        </w:numPr>
        <w:spacing w:before="240" w:after="60" w:line="240" w:lineRule="auto"/>
        <w:outlineLvl w:val="2"/>
        <w:rPr>
          <w:rFonts w:cs="Calibri"/>
          <w:b/>
          <w:bCs/>
          <w:vanish/>
          <w:color w:val="3366FF"/>
          <w:sz w:val="26"/>
          <w:szCs w:val="26"/>
          <w:lang w:eastAsia="pl-PL"/>
        </w:rPr>
      </w:pPr>
      <w:bookmarkStart w:id="5101" w:name="_Toc467663435"/>
      <w:bookmarkStart w:id="5102" w:name="_Toc467665460"/>
      <w:bookmarkStart w:id="5103" w:name="_Toc467665614"/>
      <w:bookmarkStart w:id="5104" w:name="_Toc467669536"/>
      <w:bookmarkStart w:id="5105" w:name="_Toc467832041"/>
      <w:bookmarkStart w:id="5106" w:name="_Toc467832161"/>
      <w:bookmarkStart w:id="5107" w:name="_Toc467834866"/>
      <w:bookmarkStart w:id="5108" w:name="_Toc467843547"/>
      <w:bookmarkStart w:id="5109" w:name="_Toc467845533"/>
      <w:bookmarkStart w:id="5110" w:name="_Toc467847476"/>
      <w:bookmarkStart w:id="5111" w:name="_Toc467847598"/>
      <w:bookmarkStart w:id="5112" w:name="_Toc467847720"/>
      <w:bookmarkStart w:id="5113" w:name="_Toc467847844"/>
      <w:bookmarkStart w:id="5114" w:name="_Toc467847968"/>
      <w:bookmarkStart w:id="5115" w:name="_Toc467848092"/>
      <w:bookmarkStart w:id="5116" w:name="_Toc467848216"/>
      <w:bookmarkStart w:id="5117" w:name="_Toc467848340"/>
      <w:bookmarkStart w:id="5118" w:name="_Toc467848464"/>
      <w:bookmarkStart w:id="5119" w:name="_Toc468097937"/>
      <w:bookmarkStart w:id="5120" w:name="_Toc468098062"/>
      <w:bookmarkStart w:id="5121" w:name="_Toc468104729"/>
      <w:bookmarkStart w:id="5122" w:name="_Toc468104853"/>
      <w:bookmarkStart w:id="5123" w:name="_Toc468104979"/>
      <w:bookmarkStart w:id="5124" w:name="_Toc468105105"/>
      <w:bookmarkStart w:id="5125" w:name="_Toc468105231"/>
      <w:bookmarkStart w:id="5126" w:name="_Toc468105357"/>
      <w:bookmarkStart w:id="5127" w:name="_Toc468105841"/>
      <w:bookmarkStart w:id="5128" w:name="_Toc468105968"/>
      <w:bookmarkStart w:id="5129" w:name="_Toc468116262"/>
      <w:bookmarkStart w:id="5130" w:name="_Toc468178218"/>
      <w:bookmarkStart w:id="5131" w:name="_Toc468181510"/>
      <w:bookmarkStart w:id="5132" w:name="_Toc468181637"/>
      <w:bookmarkStart w:id="5133" w:name="_Toc468181766"/>
      <w:bookmarkStart w:id="5134" w:name="_Toc468181933"/>
      <w:bookmarkStart w:id="5135" w:name="_Toc468185874"/>
      <w:bookmarkStart w:id="5136" w:name="_Toc468190806"/>
      <w:bookmarkStart w:id="5137" w:name="_Toc468190932"/>
      <w:bookmarkStart w:id="5138" w:name="_Toc468191424"/>
      <w:bookmarkStart w:id="5139" w:name="_Toc468258095"/>
      <w:bookmarkStart w:id="5140" w:name="_Toc468258326"/>
      <w:bookmarkStart w:id="5141" w:name="_Toc468258620"/>
      <w:bookmarkStart w:id="5142" w:name="_Toc468258749"/>
      <w:bookmarkStart w:id="5143" w:name="_Toc468258882"/>
      <w:bookmarkStart w:id="5144" w:name="_Toc468259013"/>
      <w:bookmarkStart w:id="5145" w:name="_Toc468259142"/>
      <w:bookmarkStart w:id="5146" w:name="_Toc468259271"/>
      <w:bookmarkStart w:id="5147" w:name="_Toc468259528"/>
      <w:bookmarkStart w:id="5148" w:name="_Toc468259660"/>
      <w:bookmarkStart w:id="5149" w:name="_Toc468259790"/>
      <w:bookmarkStart w:id="5150" w:name="_Toc468259919"/>
      <w:bookmarkStart w:id="5151" w:name="_Toc468260050"/>
      <w:bookmarkStart w:id="5152" w:name="_Toc468260179"/>
      <w:bookmarkStart w:id="5153" w:name="_Toc468260308"/>
      <w:bookmarkStart w:id="5154" w:name="_Toc468260437"/>
      <w:bookmarkStart w:id="5155" w:name="_Toc468260566"/>
      <w:bookmarkStart w:id="5156" w:name="_Toc468260695"/>
      <w:bookmarkStart w:id="5157" w:name="_Toc468260823"/>
      <w:bookmarkStart w:id="5158" w:name="_Toc468260954"/>
      <w:bookmarkStart w:id="5159" w:name="_Toc468261085"/>
      <w:bookmarkStart w:id="5160" w:name="_Toc468261216"/>
      <w:bookmarkStart w:id="5161" w:name="_Toc468261347"/>
      <w:bookmarkStart w:id="5162" w:name="_Toc468261478"/>
      <w:bookmarkStart w:id="5163" w:name="_Toc468266792"/>
      <w:bookmarkStart w:id="5164" w:name="_Toc468266920"/>
      <w:bookmarkStart w:id="5165" w:name="_Toc468267048"/>
      <w:bookmarkStart w:id="5166" w:name="_Toc468269459"/>
      <w:bookmarkStart w:id="5167" w:name="_Toc468279425"/>
      <w:bookmarkStart w:id="5168" w:name="_Toc468360277"/>
      <w:bookmarkStart w:id="5169" w:name="_Toc468361218"/>
      <w:bookmarkStart w:id="5170" w:name="_Toc468363448"/>
      <w:bookmarkStart w:id="5171" w:name="_Toc468366275"/>
      <w:bookmarkStart w:id="5172" w:name="_Toc468428365"/>
      <w:bookmarkStart w:id="5173" w:name="_Toc468691761"/>
      <w:bookmarkStart w:id="5174" w:name="_Toc468691888"/>
      <w:bookmarkStart w:id="5175" w:name="_Toc468692015"/>
      <w:bookmarkStart w:id="5176" w:name="_Toc468693969"/>
      <w:bookmarkStart w:id="5177" w:name="_Toc468712664"/>
      <w:bookmarkStart w:id="5178" w:name="_Toc468712792"/>
      <w:bookmarkStart w:id="5179" w:name="_Toc468712919"/>
      <w:bookmarkStart w:id="5180" w:name="_Toc468713046"/>
      <w:bookmarkStart w:id="5181" w:name="_Toc468713173"/>
      <w:bookmarkStart w:id="5182" w:name="_Toc468713300"/>
      <w:bookmarkStart w:id="5183" w:name="_Toc468713427"/>
      <w:bookmarkStart w:id="5184" w:name="_Toc468713554"/>
      <w:bookmarkStart w:id="5185" w:name="_Toc468713807"/>
      <w:bookmarkStart w:id="5186" w:name="_Toc468713934"/>
      <w:bookmarkStart w:id="5187" w:name="_Toc468714061"/>
      <w:bookmarkStart w:id="5188" w:name="_Toc468787070"/>
      <w:bookmarkStart w:id="5189" w:name="_Toc468787388"/>
      <w:bookmarkStart w:id="5190" w:name="_Toc468787516"/>
      <w:bookmarkStart w:id="5191" w:name="_Toc468787644"/>
      <w:bookmarkStart w:id="5192" w:name="_Toc468787771"/>
      <w:bookmarkStart w:id="5193" w:name="_Toc468787898"/>
      <w:bookmarkStart w:id="5194" w:name="_Toc468788025"/>
      <w:bookmarkStart w:id="5195" w:name="_Toc468957705"/>
      <w:bookmarkStart w:id="5196" w:name="_Toc468957832"/>
      <w:bookmarkStart w:id="5197" w:name="_Toc468957959"/>
      <w:bookmarkStart w:id="5198" w:name="_Toc468958086"/>
      <w:bookmarkStart w:id="5199" w:name="_Toc468958213"/>
      <w:bookmarkStart w:id="5200" w:name="_Toc468958340"/>
      <w:bookmarkStart w:id="5201" w:name="_Toc468958467"/>
      <w:bookmarkStart w:id="5202" w:name="_Toc468958594"/>
      <w:bookmarkStart w:id="5203" w:name="_Toc468958721"/>
      <w:bookmarkStart w:id="5204" w:name="_Toc468958848"/>
      <w:bookmarkStart w:id="5205" w:name="_Toc468958975"/>
      <w:bookmarkStart w:id="5206" w:name="_Toc468959102"/>
      <w:bookmarkStart w:id="5207" w:name="_Toc468960603"/>
      <w:bookmarkStart w:id="5208" w:name="_Toc469035076"/>
      <w:bookmarkStart w:id="5209" w:name="_Toc469056786"/>
      <w:bookmarkStart w:id="5210" w:name="_Toc469321098"/>
      <w:bookmarkStart w:id="5211" w:name="_Toc469323827"/>
      <w:bookmarkStart w:id="5212" w:name="_Toc469323953"/>
      <w:bookmarkStart w:id="5213" w:name="_Toc469324504"/>
      <w:bookmarkStart w:id="5214" w:name="_Toc470695382"/>
      <w:bookmarkStart w:id="5215" w:name="_Toc470695535"/>
      <w:bookmarkStart w:id="5216" w:name="_Toc470697039"/>
      <w:bookmarkStart w:id="5217" w:name="_Toc470699923"/>
      <w:bookmarkStart w:id="5218" w:name="_Toc470762769"/>
      <w:bookmarkStart w:id="5219" w:name="_Toc471114587"/>
      <w:bookmarkStart w:id="5220" w:name="_Toc474393003"/>
      <w:bookmarkStart w:id="5221" w:name="_Toc474497894"/>
      <w:bookmarkStart w:id="5222" w:name="_Toc474498653"/>
      <w:bookmarkStart w:id="5223" w:name="_Toc474844512"/>
      <w:bookmarkStart w:id="5224" w:name="_Toc474844639"/>
      <w:bookmarkStart w:id="5225" w:name="_Toc474919909"/>
      <w:bookmarkStart w:id="5226" w:name="_Toc474924918"/>
      <w:bookmarkEnd w:id="5101"/>
      <w:bookmarkEnd w:id="5102"/>
      <w:bookmarkEnd w:id="5103"/>
      <w:bookmarkEnd w:id="5104"/>
      <w:bookmarkEnd w:id="5105"/>
      <w:bookmarkEnd w:id="5106"/>
      <w:bookmarkEnd w:id="5107"/>
      <w:bookmarkEnd w:id="5108"/>
      <w:bookmarkEnd w:id="5109"/>
      <w:bookmarkEnd w:id="5110"/>
      <w:bookmarkEnd w:id="5111"/>
      <w:bookmarkEnd w:id="5112"/>
      <w:bookmarkEnd w:id="5113"/>
      <w:bookmarkEnd w:id="5114"/>
      <w:bookmarkEnd w:id="5115"/>
      <w:bookmarkEnd w:id="5116"/>
      <w:bookmarkEnd w:id="5117"/>
      <w:bookmarkEnd w:id="5118"/>
      <w:bookmarkEnd w:id="5119"/>
      <w:bookmarkEnd w:id="5120"/>
      <w:bookmarkEnd w:id="5121"/>
      <w:bookmarkEnd w:id="5122"/>
      <w:bookmarkEnd w:id="5123"/>
      <w:bookmarkEnd w:id="5124"/>
      <w:bookmarkEnd w:id="5125"/>
      <w:bookmarkEnd w:id="5126"/>
      <w:bookmarkEnd w:id="5127"/>
      <w:bookmarkEnd w:id="5128"/>
      <w:bookmarkEnd w:id="5129"/>
      <w:bookmarkEnd w:id="5130"/>
      <w:bookmarkEnd w:id="5131"/>
      <w:bookmarkEnd w:id="5132"/>
      <w:bookmarkEnd w:id="5133"/>
      <w:bookmarkEnd w:id="5134"/>
      <w:bookmarkEnd w:id="5135"/>
      <w:bookmarkEnd w:id="5136"/>
      <w:bookmarkEnd w:id="5137"/>
      <w:bookmarkEnd w:id="5138"/>
      <w:bookmarkEnd w:id="5139"/>
      <w:bookmarkEnd w:id="5140"/>
      <w:bookmarkEnd w:id="5141"/>
      <w:bookmarkEnd w:id="5142"/>
      <w:bookmarkEnd w:id="5143"/>
      <w:bookmarkEnd w:id="5144"/>
      <w:bookmarkEnd w:id="5145"/>
      <w:bookmarkEnd w:id="5146"/>
      <w:bookmarkEnd w:id="5147"/>
      <w:bookmarkEnd w:id="5148"/>
      <w:bookmarkEnd w:id="5149"/>
      <w:bookmarkEnd w:id="5150"/>
      <w:bookmarkEnd w:id="5151"/>
      <w:bookmarkEnd w:id="5152"/>
      <w:bookmarkEnd w:id="5153"/>
      <w:bookmarkEnd w:id="5154"/>
      <w:bookmarkEnd w:id="5155"/>
      <w:bookmarkEnd w:id="5156"/>
      <w:bookmarkEnd w:id="5157"/>
      <w:bookmarkEnd w:id="5158"/>
      <w:bookmarkEnd w:id="5159"/>
      <w:bookmarkEnd w:id="5160"/>
      <w:bookmarkEnd w:id="5161"/>
      <w:bookmarkEnd w:id="5162"/>
      <w:bookmarkEnd w:id="5163"/>
      <w:bookmarkEnd w:id="5164"/>
      <w:bookmarkEnd w:id="5165"/>
      <w:bookmarkEnd w:id="5166"/>
      <w:bookmarkEnd w:id="5167"/>
      <w:bookmarkEnd w:id="5168"/>
      <w:bookmarkEnd w:id="5169"/>
      <w:bookmarkEnd w:id="5170"/>
      <w:bookmarkEnd w:id="5171"/>
      <w:bookmarkEnd w:id="5172"/>
      <w:bookmarkEnd w:id="5173"/>
      <w:bookmarkEnd w:id="5174"/>
      <w:bookmarkEnd w:id="5175"/>
      <w:bookmarkEnd w:id="5176"/>
      <w:bookmarkEnd w:id="5177"/>
      <w:bookmarkEnd w:id="5178"/>
      <w:bookmarkEnd w:id="5179"/>
      <w:bookmarkEnd w:id="5180"/>
      <w:bookmarkEnd w:id="5181"/>
      <w:bookmarkEnd w:id="5182"/>
      <w:bookmarkEnd w:id="5183"/>
      <w:bookmarkEnd w:id="5184"/>
      <w:bookmarkEnd w:id="5185"/>
      <w:bookmarkEnd w:id="5186"/>
      <w:bookmarkEnd w:id="5187"/>
      <w:bookmarkEnd w:id="5188"/>
      <w:bookmarkEnd w:id="5189"/>
      <w:bookmarkEnd w:id="5190"/>
      <w:bookmarkEnd w:id="5191"/>
      <w:bookmarkEnd w:id="5192"/>
      <w:bookmarkEnd w:id="5193"/>
      <w:bookmarkEnd w:id="5194"/>
      <w:bookmarkEnd w:id="5195"/>
      <w:bookmarkEnd w:id="5196"/>
      <w:bookmarkEnd w:id="5197"/>
      <w:bookmarkEnd w:id="5198"/>
      <w:bookmarkEnd w:id="5199"/>
      <w:bookmarkEnd w:id="5200"/>
      <w:bookmarkEnd w:id="5201"/>
      <w:bookmarkEnd w:id="5202"/>
      <w:bookmarkEnd w:id="5203"/>
      <w:bookmarkEnd w:id="5204"/>
      <w:bookmarkEnd w:id="5205"/>
      <w:bookmarkEnd w:id="5206"/>
      <w:bookmarkEnd w:id="5207"/>
      <w:bookmarkEnd w:id="5208"/>
      <w:bookmarkEnd w:id="5209"/>
      <w:bookmarkEnd w:id="5210"/>
      <w:bookmarkEnd w:id="5211"/>
      <w:bookmarkEnd w:id="5212"/>
      <w:bookmarkEnd w:id="5213"/>
      <w:bookmarkEnd w:id="5214"/>
      <w:bookmarkEnd w:id="5215"/>
      <w:bookmarkEnd w:id="5216"/>
      <w:bookmarkEnd w:id="5217"/>
      <w:bookmarkEnd w:id="5218"/>
      <w:bookmarkEnd w:id="5219"/>
      <w:bookmarkEnd w:id="5220"/>
      <w:bookmarkEnd w:id="5221"/>
      <w:bookmarkEnd w:id="5222"/>
      <w:bookmarkEnd w:id="5223"/>
      <w:bookmarkEnd w:id="5224"/>
      <w:bookmarkEnd w:id="5225"/>
      <w:bookmarkEnd w:id="5226"/>
    </w:p>
    <w:p w:rsidR="000C4A1A" w:rsidRDefault="000C4A1A" w:rsidP="000C4A1A">
      <w:pPr>
        <w:rPr>
          <w:rFonts w:eastAsia="Calibri"/>
          <w:i/>
          <w:sz w:val="18"/>
          <w:szCs w:val="20"/>
        </w:rPr>
      </w:pPr>
      <w:r w:rsidRPr="000C4A1A">
        <w:rPr>
          <w:rFonts w:eastAsia="Calibri"/>
          <w:i/>
          <w:sz w:val="18"/>
          <w:szCs w:val="20"/>
        </w:rPr>
        <w:t>Źródło: Opracowanie własne</w:t>
      </w:r>
    </w:p>
    <w:p w:rsidR="003675D1" w:rsidRDefault="003675D1" w:rsidP="000C4A1A">
      <w:pPr>
        <w:rPr>
          <w:rFonts w:eastAsia="Calibri"/>
          <w:szCs w:val="20"/>
        </w:rPr>
      </w:pPr>
    </w:p>
    <w:p w:rsidR="00AD6128" w:rsidRDefault="00AD6128" w:rsidP="007E0892">
      <w:pPr>
        <w:pStyle w:val="Akapitzlist5"/>
        <w:spacing w:after="0" w:line="240" w:lineRule="auto"/>
        <w:ind w:left="0" w:firstLine="708"/>
        <w:jc w:val="both"/>
        <w:rPr>
          <w:sz w:val="20"/>
          <w:szCs w:val="20"/>
        </w:rPr>
      </w:pPr>
      <w:r>
        <w:rPr>
          <w:sz w:val="20"/>
          <w:szCs w:val="20"/>
        </w:rPr>
        <w:t xml:space="preserve">Ze względu na istotę, przedmiot i zakres kwestii społecznej bezdomności </w:t>
      </w:r>
      <w:r w:rsidRPr="00F124CB">
        <w:rPr>
          <w:b/>
          <w:color w:val="C00000"/>
          <w:sz w:val="20"/>
          <w:szCs w:val="20"/>
        </w:rPr>
        <w:t>do głównych celów interwencji podejmowanej w obszarze rewitalizacji należy zaliczyć przede wszystkim: zapewnienie osobom bezdomnym bezpieczeństwa socjalnego oraz warunków do pełnienia właściwych, adekwatnych do ich możliwości i</w:t>
      </w:r>
      <w:r w:rsidR="00F124CB">
        <w:rPr>
          <w:b/>
          <w:color w:val="C00000"/>
          <w:sz w:val="20"/>
          <w:szCs w:val="20"/>
        </w:rPr>
        <w:t> </w:t>
      </w:r>
      <w:r w:rsidRPr="00F124CB">
        <w:rPr>
          <w:b/>
          <w:color w:val="C00000"/>
          <w:sz w:val="20"/>
          <w:szCs w:val="20"/>
        </w:rPr>
        <w:t>potrzeb,</w:t>
      </w:r>
      <w:r>
        <w:rPr>
          <w:sz w:val="20"/>
          <w:szCs w:val="20"/>
        </w:rPr>
        <w:t xml:space="preserve"> społecznie użytecznych ról i funkcji, reintegrację społeczno</w:t>
      </w:r>
      <w:r w:rsidR="00F124CB">
        <w:rPr>
          <w:sz w:val="20"/>
          <w:szCs w:val="20"/>
        </w:rPr>
        <w:t xml:space="preserve"> </w:t>
      </w:r>
      <w:r>
        <w:rPr>
          <w:sz w:val="20"/>
          <w:szCs w:val="20"/>
        </w:rPr>
        <w:t xml:space="preserve">- zawodową, zwiększenie szans na wyjście z bezdomności poprzez wspieranie i promocję stosowanych metod w celu samodzielnego funkcjonowania w środowisku. </w:t>
      </w:r>
      <w:r w:rsidRPr="00F124CB">
        <w:rPr>
          <w:b/>
          <w:color w:val="C00000"/>
          <w:sz w:val="20"/>
          <w:szCs w:val="20"/>
        </w:rPr>
        <w:t>W celu skutecznego wyprowadzania osób z bezdomności należy uzupełnić system wsparcia o element pośredni pomiędzy noclegownią a samodzielnym zamieszkiwaniem, np. poprzez mieszkania wspomagane.</w:t>
      </w:r>
      <w:r>
        <w:rPr>
          <w:sz w:val="20"/>
          <w:szCs w:val="20"/>
        </w:rPr>
        <w:t xml:space="preserve"> Dodatkowo należy podjąć działania zmniejszające skalę bezdomności ulicznej poprzez wdrożenie metod pracy z osobami bezdomnymi bezpośrednio w ich środowisku.</w:t>
      </w:r>
      <w:r>
        <w:rPr>
          <w:rStyle w:val="Odwoanieprzypisudolnego"/>
          <w:sz w:val="20"/>
          <w:szCs w:val="20"/>
        </w:rPr>
        <w:footnoteReference w:id="18"/>
      </w:r>
    </w:p>
    <w:p w:rsidR="00AD6128" w:rsidRPr="003675D1" w:rsidRDefault="00AD6128" w:rsidP="00C256F3">
      <w:pPr>
        <w:rPr>
          <w:rFonts w:eastAsia="Calibri"/>
          <w:szCs w:val="20"/>
        </w:rPr>
      </w:pPr>
    </w:p>
    <w:p w:rsidR="001C2FD4" w:rsidRDefault="001C2FD4" w:rsidP="00C256F3">
      <w:pPr>
        <w:pStyle w:val="Nagwek3"/>
        <w:numPr>
          <w:ilvl w:val="2"/>
          <w:numId w:val="187"/>
        </w:numPr>
        <w:spacing w:before="160"/>
        <w:rPr>
          <w:rFonts w:eastAsia="Calibri"/>
        </w:rPr>
      </w:pPr>
      <w:bookmarkStart w:id="5227" w:name="_Toc474924919"/>
      <w:r>
        <w:rPr>
          <w:rFonts w:eastAsia="Calibri"/>
        </w:rPr>
        <w:t>Osoby starsze na obszarze rewitalizacji</w:t>
      </w:r>
      <w:bookmarkEnd w:id="4218"/>
      <w:bookmarkEnd w:id="5227"/>
    </w:p>
    <w:p w:rsidR="00BF69B6" w:rsidRPr="00BF69B6" w:rsidRDefault="00BF69B6" w:rsidP="00BF69B6">
      <w:pPr>
        <w:rPr>
          <w:rFonts w:eastAsia="Calibri"/>
        </w:rPr>
      </w:pPr>
    </w:p>
    <w:p w:rsidR="00092EFF" w:rsidRDefault="00092EFF" w:rsidP="00115311">
      <w:pPr>
        <w:ind w:firstLine="708"/>
        <w:jc w:val="both"/>
        <w:rPr>
          <w:rFonts w:ascii="Calibri" w:hAnsi="Calibri" w:cs="Calibri"/>
          <w:szCs w:val="20"/>
        </w:rPr>
      </w:pPr>
      <w:r>
        <w:rPr>
          <w:rFonts w:ascii="Calibri" w:hAnsi="Calibri" w:cs="Calibri"/>
          <w:szCs w:val="20"/>
        </w:rPr>
        <w:t>W Bytomiu, podobnie jak w całym k</w:t>
      </w:r>
      <w:r w:rsidR="00F124CB">
        <w:rPr>
          <w:rFonts w:ascii="Calibri" w:hAnsi="Calibri" w:cs="Calibri"/>
          <w:szCs w:val="20"/>
        </w:rPr>
        <w:t>raju, występuje proces starzenia</w:t>
      </w:r>
      <w:r>
        <w:rPr>
          <w:rFonts w:ascii="Calibri" w:hAnsi="Calibri" w:cs="Calibri"/>
          <w:szCs w:val="20"/>
        </w:rPr>
        <w:t xml:space="preserve"> się społeczeństwa. W 2015 r. osoby w wieku poprodukcyjnym stanowiły w Polsce 19,6% populacji, w województwie śląskim 20,7%, a w Bytomiu 22,1%. Wysoki udział osób w wieku poprodukcyjnym rodzi konieczność podejmowania działań wychodzących naprzeciw problemom, z jakimi borykają się osoby starsze. Do najważniejszych należą:</w:t>
      </w:r>
    </w:p>
    <w:p w:rsidR="00092EFF" w:rsidRDefault="00092EFF" w:rsidP="00037798">
      <w:pPr>
        <w:pStyle w:val="Akapitzlist"/>
        <w:numPr>
          <w:ilvl w:val="0"/>
          <w:numId w:val="48"/>
        </w:numPr>
        <w:spacing w:after="0" w:line="240" w:lineRule="auto"/>
        <w:ind w:left="714" w:hanging="357"/>
        <w:jc w:val="both"/>
        <w:rPr>
          <w:sz w:val="20"/>
          <w:szCs w:val="20"/>
        </w:rPr>
      </w:pPr>
      <w:r>
        <w:rPr>
          <w:sz w:val="20"/>
          <w:szCs w:val="20"/>
        </w:rPr>
        <w:t>trudność w dostosowaniu się do zmienionej sytuacji życiowej po przejściu na emeryturę czy śmierci małżonka,</w:t>
      </w:r>
    </w:p>
    <w:p w:rsidR="00092EFF" w:rsidRDefault="00092EFF" w:rsidP="00037798">
      <w:pPr>
        <w:pStyle w:val="Akapitzlist"/>
        <w:numPr>
          <w:ilvl w:val="0"/>
          <w:numId w:val="48"/>
        </w:numPr>
        <w:spacing w:after="0" w:line="240" w:lineRule="auto"/>
        <w:ind w:left="714" w:hanging="357"/>
        <w:jc w:val="both"/>
        <w:rPr>
          <w:sz w:val="20"/>
          <w:szCs w:val="20"/>
        </w:rPr>
      </w:pPr>
      <w:r>
        <w:rPr>
          <w:sz w:val="20"/>
          <w:szCs w:val="20"/>
        </w:rPr>
        <w:t>ograniczenie kontaktów, wycofanie się z życia społecznego i w konsekwencji samotność,</w:t>
      </w:r>
    </w:p>
    <w:p w:rsidR="00092EFF" w:rsidRDefault="00092EFF" w:rsidP="00037798">
      <w:pPr>
        <w:pStyle w:val="Akapitzlist"/>
        <w:numPr>
          <w:ilvl w:val="0"/>
          <w:numId w:val="48"/>
        </w:numPr>
        <w:spacing w:after="0" w:line="240" w:lineRule="auto"/>
        <w:ind w:left="714" w:hanging="357"/>
        <w:jc w:val="both"/>
        <w:rPr>
          <w:sz w:val="20"/>
          <w:szCs w:val="20"/>
        </w:rPr>
      </w:pPr>
      <w:r>
        <w:rPr>
          <w:sz w:val="20"/>
          <w:szCs w:val="20"/>
        </w:rPr>
        <w:lastRenderedPageBreak/>
        <w:t>stan zdrowia – choroby, niesprawność, brak samodzielności w codziennych sprawach,</w:t>
      </w:r>
    </w:p>
    <w:p w:rsidR="00092EFF" w:rsidRDefault="00092EFF" w:rsidP="00037798">
      <w:pPr>
        <w:pStyle w:val="Akapitzlist"/>
        <w:numPr>
          <w:ilvl w:val="0"/>
          <w:numId w:val="48"/>
        </w:numPr>
        <w:spacing w:after="0" w:line="240" w:lineRule="auto"/>
        <w:ind w:left="714" w:hanging="357"/>
        <w:jc w:val="both"/>
        <w:rPr>
          <w:sz w:val="20"/>
          <w:szCs w:val="20"/>
        </w:rPr>
      </w:pPr>
      <w:r>
        <w:rPr>
          <w:sz w:val="20"/>
          <w:szCs w:val="20"/>
        </w:rPr>
        <w:t>bariery architektoniczne i niewystarczająca ilość ułatwień w przestrzeni publicznej dla osób o ograniczonej sprawności, trudność w korzystaniu z komunikacji, a w konsekwencji ograniczony dostęp do usług.</w:t>
      </w:r>
    </w:p>
    <w:p w:rsidR="00092EFF" w:rsidRPr="00F124CB" w:rsidRDefault="00092EFF" w:rsidP="00037798">
      <w:pPr>
        <w:spacing w:after="120"/>
        <w:ind w:firstLine="708"/>
        <w:jc w:val="both"/>
        <w:rPr>
          <w:rFonts w:ascii="Calibri" w:hAnsi="Calibri" w:cs="Calibri"/>
          <w:szCs w:val="20"/>
        </w:rPr>
      </w:pPr>
      <w:r>
        <w:rPr>
          <w:rFonts w:ascii="Calibri" w:hAnsi="Calibri" w:cs="Calibri"/>
          <w:szCs w:val="20"/>
        </w:rPr>
        <w:t xml:space="preserve">Na obszarze rewitalizacji w 2015 r. mieszkało 9 065 kobiet powyżej 59 r.ż. i mężczyzn powyżej 64 r.ż. Z zamieszczonej mapy wynika, że </w:t>
      </w:r>
      <w:r w:rsidRPr="00F124CB">
        <w:rPr>
          <w:rFonts w:ascii="Calibri" w:hAnsi="Calibri" w:cs="Calibri"/>
          <w:b/>
          <w:color w:val="C00000"/>
          <w:szCs w:val="20"/>
        </w:rPr>
        <w:t xml:space="preserve">w podobszarach Śródmieście Północ i Śródmieście Zachód udział osób w wieku poprodukcyjnym w populacji przekracza średnią dla miasta. </w:t>
      </w:r>
      <w:r w:rsidRPr="00F124CB">
        <w:rPr>
          <w:rFonts w:ascii="Calibri" w:hAnsi="Calibri" w:cs="Calibri"/>
          <w:szCs w:val="20"/>
        </w:rPr>
        <w:t>Działania skierowane na zaspokojenie potrzeb osób starszych powinny być wdrażane szczególnie w tych podobszarach.</w:t>
      </w:r>
    </w:p>
    <w:p w:rsidR="002F21D0" w:rsidRDefault="002F21D0" w:rsidP="002F21D0">
      <w:pPr>
        <w:ind w:firstLine="708"/>
        <w:jc w:val="both"/>
        <w:rPr>
          <w:rFonts w:ascii="Calibri" w:hAnsi="Calibri" w:cs="Calibri"/>
          <w:szCs w:val="20"/>
        </w:rPr>
      </w:pPr>
      <w:r>
        <w:rPr>
          <w:rFonts w:ascii="Calibri" w:hAnsi="Calibri" w:cs="Calibri"/>
          <w:szCs w:val="20"/>
        </w:rPr>
        <w:t>W pozostałych podobszarach wskaźnik starości demograficznej plasuje się poniżej średniej dla miasta. Jednak w każdym z nich występują enklawy o podwyższonym udziale osób starszych wśród ogółu mieszkańców. Nawet w podobszarze Bobrek, dla którego wskaźnik starości demograficznej jest o ponad połowę niższy niż średnia, znajdują się rejony, gdzie mieszka więcej niż przeciętnie osó</w:t>
      </w:r>
      <w:r w:rsidR="00B77A37">
        <w:rPr>
          <w:rFonts w:ascii="Calibri" w:hAnsi="Calibri" w:cs="Calibri"/>
          <w:szCs w:val="20"/>
        </w:rPr>
        <w:t>b w wieku starszym (Osiedle ul. </w:t>
      </w:r>
      <w:r>
        <w:rPr>
          <w:rFonts w:ascii="Calibri" w:hAnsi="Calibri" w:cs="Calibri"/>
          <w:szCs w:val="20"/>
        </w:rPr>
        <w:t>Pod</w:t>
      </w:r>
      <w:r w:rsidR="00B77A37">
        <w:rPr>
          <w:rFonts w:ascii="Calibri" w:hAnsi="Calibri" w:cs="Calibri"/>
          <w:szCs w:val="20"/>
        </w:rPr>
        <w:t> </w:t>
      </w:r>
      <w:r>
        <w:rPr>
          <w:rFonts w:ascii="Calibri" w:hAnsi="Calibri" w:cs="Calibri"/>
          <w:szCs w:val="20"/>
        </w:rPr>
        <w:t>Brzozami). Należy podkreślić, że problemy identyfikowane zwykle w odniesieniu do osób w wieku 60+ i</w:t>
      </w:r>
      <w:r w:rsidR="00B77A37">
        <w:rPr>
          <w:rFonts w:ascii="Calibri" w:hAnsi="Calibri" w:cs="Calibri"/>
          <w:szCs w:val="20"/>
        </w:rPr>
        <w:t> </w:t>
      </w:r>
      <w:r>
        <w:rPr>
          <w:rFonts w:ascii="Calibri" w:hAnsi="Calibri" w:cs="Calibri"/>
          <w:szCs w:val="20"/>
        </w:rPr>
        <w:t>65+, w Bytomiu obejmują znaczną grupę osób poniżej wieku emerytalnego. Składają się na to dwa powody:</w:t>
      </w:r>
    </w:p>
    <w:p w:rsidR="002F21D0" w:rsidRDefault="002F21D0" w:rsidP="002F21D0">
      <w:pPr>
        <w:pStyle w:val="Akapitzlist"/>
        <w:numPr>
          <w:ilvl w:val="0"/>
          <w:numId w:val="89"/>
        </w:numPr>
        <w:spacing w:after="0" w:line="240" w:lineRule="auto"/>
        <w:jc w:val="both"/>
        <w:rPr>
          <w:sz w:val="20"/>
          <w:szCs w:val="20"/>
        </w:rPr>
      </w:pPr>
      <w:r>
        <w:rPr>
          <w:sz w:val="20"/>
          <w:szCs w:val="20"/>
        </w:rPr>
        <w:t>górnicy są szczególnie narażeni na problemy zdrowotne, wynikające z pracy w kopalni. Zły stan zdrowia, występowanie poważnych chorób, dotyczy tu znacznie większej grupy osób, w wieku określanym jako produkcyjny, niż przeciętnie w kraju;</w:t>
      </w:r>
    </w:p>
    <w:p w:rsidR="002F21D0" w:rsidRDefault="002F21D0" w:rsidP="002F21D0">
      <w:pPr>
        <w:pStyle w:val="Akapitzlist"/>
        <w:numPr>
          <w:ilvl w:val="0"/>
          <w:numId w:val="89"/>
        </w:numPr>
        <w:spacing w:after="0" w:line="240" w:lineRule="auto"/>
        <w:jc w:val="both"/>
        <w:rPr>
          <w:sz w:val="20"/>
          <w:szCs w:val="20"/>
        </w:rPr>
      </w:pPr>
      <w:r>
        <w:rPr>
          <w:sz w:val="20"/>
          <w:szCs w:val="20"/>
        </w:rPr>
        <w:t>problem wolnego czasu i braku aktywności, formułowany zwykle dla grupy osób w wieku poprodukcyjnym, w Bytomiu dotyczy również tych osób, które pobierają wcześniejszą emeryturę, a więc już nie pracują, chociaż wiekowo należą do grupy osób w wieku produkcyjnym.</w:t>
      </w:r>
    </w:p>
    <w:p w:rsidR="00092EFF" w:rsidRDefault="00092EFF" w:rsidP="00092EFF">
      <w:pPr>
        <w:pStyle w:val="Legenda"/>
      </w:pPr>
    </w:p>
    <w:p w:rsidR="00092EFF" w:rsidRDefault="00092EFF" w:rsidP="00092EFF">
      <w:pPr>
        <w:pStyle w:val="Legenda"/>
        <w:rPr>
          <w:rFonts w:ascii="Calibri" w:hAnsi="Calibri" w:cs="Calibri"/>
        </w:rPr>
      </w:pPr>
      <w:bookmarkStart w:id="5228" w:name="_Toc463277311"/>
      <w:bookmarkStart w:id="5229" w:name="_Toc191972630"/>
      <w:r>
        <w:rPr>
          <w:rFonts w:ascii="Calibri" w:hAnsi="Calibri" w:cs="Calibri"/>
        </w:rPr>
        <w:t xml:space="preserve">Mapa </w:t>
      </w:r>
      <w:r w:rsidR="003972D8">
        <w:rPr>
          <w:rFonts w:ascii="Calibri" w:hAnsi="Calibri" w:cs="Calibri"/>
        </w:rPr>
        <w:fldChar w:fldCharType="begin"/>
      </w:r>
      <w:r>
        <w:rPr>
          <w:rFonts w:ascii="Calibri" w:hAnsi="Calibri" w:cs="Calibri"/>
        </w:rPr>
        <w:instrText xml:space="preserve"> SEQ Mapa \* ARABIC </w:instrText>
      </w:r>
      <w:r w:rsidR="003972D8">
        <w:rPr>
          <w:rFonts w:ascii="Calibri" w:hAnsi="Calibri" w:cs="Calibri"/>
        </w:rPr>
        <w:fldChar w:fldCharType="separate"/>
      </w:r>
      <w:r w:rsidR="00413FFE">
        <w:rPr>
          <w:rFonts w:ascii="Calibri" w:hAnsi="Calibri" w:cs="Calibri"/>
          <w:noProof/>
        </w:rPr>
        <w:t>18</w:t>
      </w:r>
      <w:r w:rsidR="003972D8">
        <w:rPr>
          <w:rFonts w:ascii="Calibri" w:hAnsi="Calibri" w:cs="Calibri"/>
        </w:rPr>
        <w:fldChar w:fldCharType="end"/>
      </w:r>
      <w:r>
        <w:rPr>
          <w:rFonts w:ascii="Calibri" w:hAnsi="Calibri" w:cs="Calibri"/>
        </w:rPr>
        <w:t>. Udział osób w wieku poprodukcyjnym w populacji</w:t>
      </w:r>
      <w:bookmarkEnd w:id="5228"/>
      <w:bookmarkEnd w:id="5229"/>
    </w:p>
    <w:p w:rsidR="00092EFF" w:rsidRDefault="009B5277" w:rsidP="002F21D0">
      <w:pPr>
        <w:pStyle w:val="Legenda"/>
        <w:rPr>
          <w:rFonts w:ascii="Calibri" w:hAnsi="Calibri" w:cs="Calibri"/>
          <w:i/>
          <w:iCs/>
        </w:rPr>
      </w:pPr>
      <w:r>
        <w:rPr>
          <w:rFonts w:ascii="Calibri" w:hAnsi="Calibri" w:cs="Calibri"/>
          <w:i/>
          <w:iCs/>
          <w:noProof/>
        </w:rPr>
        <w:drawing>
          <wp:inline distT="0" distB="0" distL="0" distR="0">
            <wp:extent cx="5400000" cy="3849037"/>
            <wp:effectExtent l="19050" t="0" r="0" b="0"/>
            <wp:docPr id="91" name="Obraz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40" cstate="print"/>
                    <a:srcRect/>
                    <a:stretch>
                      <a:fillRect/>
                    </a:stretch>
                  </pic:blipFill>
                  <pic:spPr bwMode="auto">
                    <a:xfrm>
                      <a:off x="0" y="0"/>
                      <a:ext cx="5400000" cy="3849037"/>
                    </a:xfrm>
                    <a:prstGeom prst="rect">
                      <a:avLst/>
                    </a:prstGeom>
                    <a:noFill/>
                    <a:ln w="9525">
                      <a:noFill/>
                      <a:miter lim="800000"/>
                      <a:headEnd/>
                      <a:tailEnd/>
                    </a:ln>
                  </pic:spPr>
                </pic:pic>
              </a:graphicData>
            </a:graphic>
          </wp:inline>
        </w:drawing>
      </w:r>
    </w:p>
    <w:p w:rsidR="00092EFF" w:rsidRDefault="00092EFF" w:rsidP="00092EFF">
      <w:pPr>
        <w:autoSpaceDE w:val="0"/>
        <w:autoSpaceDN w:val="0"/>
        <w:adjustRightInd w:val="0"/>
        <w:rPr>
          <w:rFonts w:ascii="Calibri" w:hAnsi="Calibri" w:cs="Calibri"/>
          <w:i/>
          <w:iCs/>
          <w:sz w:val="18"/>
          <w:szCs w:val="18"/>
        </w:rPr>
      </w:pPr>
      <w:r>
        <w:rPr>
          <w:rFonts w:ascii="Calibri" w:hAnsi="Calibri" w:cs="Calibri"/>
          <w:i/>
          <w:iCs/>
          <w:sz w:val="18"/>
          <w:szCs w:val="18"/>
        </w:rPr>
        <w:t>Źródło: Opracowanie Instytutu Rozwoju Miast</w:t>
      </w:r>
    </w:p>
    <w:p w:rsidR="002F21D0" w:rsidRPr="00E6024D" w:rsidRDefault="002F21D0" w:rsidP="002F21D0">
      <w:pPr>
        <w:pStyle w:val="Legenda"/>
        <w:rPr>
          <w:rFonts w:ascii="Calibri" w:hAnsi="Calibri" w:cs="Calibri"/>
        </w:rPr>
      </w:pPr>
      <w:bookmarkStart w:id="5230" w:name="_Toc463277312"/>
    </w:p>
    <w:p w:rsidR="00E6024D" w:rsidRDefault="00E6024D" w:rsidP="00E6024D">
      <w:pPr>
        <w:ind w:firstLine="708"/>
        <w:jc w:val="both"/>
        <w:rPr>
          <w:rFonts w:ascii="Calibri" w:hAnsi="Calibri" w:cs="Calibri"/>
          <w:szCs w:val="20"/>
        </w:rPr>
      </w:pPr>
      <w:r>
        <w:rPr>
          <w:rFonts w:ascii="Calibri" w:hAnsi="Calibri" w:cs="Calibri"/>
          <w:szCs w:val="20"/>
        </w:rPr>
        <w:t xml:space="preserve">W konsekwencji </w:t>
      </w:r>
      <w:r>
        <w:rPr>
          <w:rFonts w:ascii="Calibri" w:hAnsi="Calibri" w:cs="Calibri"/>
          <w:b/>
          <w:bCs/>
          <w:color w:val="C00000"/>
          <w:szCs w:val="20"/>
        </w:rPr>
        <w:t>na obszarze rewitalizacji mieszka znaczna grupa osób poniżej zdefiniowanego wieku emerytalnego, która jednak ze względu na brak aktywności zawodowej i stan zdrowia ma potrzeby takie same, jak grupa 60+ i 65+</w:t>
      </w:r>
      <w:r>
        <w:rPr>
          <w:rFonts w:ascii="Calibri" w:hAnsi="Calibri" w:cs="Calibri"/>
          <w:szCs w:val="20"/>
        </w:rPr>
        <w:t xml:space="preserve">. Podobny jest także stosunek większości z tych osób do pracy zawodowej: otrzymując emeryturę nie są zwykle skłonne do poszukiwania zatrudnienia, mimo młodszego wieku, także </w:t>
      </w:r>
      <w:r>
        <w:rPr>
          <w:rFonts w:ascii="Calibri" w:hAnsi="Calibri" w:cs="Calibri"/>
          <w:szCs w:val="20"/>
        </w:rPr>
        <w:lastRenderedPageBreak/>
        <w:t>dlatego, że emerytury górnicze są wysokie. Dlatego mówiąc o działaniach skierowanych do osób w</w:t>
      </w:r>
      <w:r>
        <w:t xml:space="preserve"> </w:t>
      </w:r>
      <w:r>
        <w:rPr>
          <w:rFonts w:ascii="Calibri" w:hAnsi="Calibri" w:cs="Calibri"/>
          <w:szCs w:val="20"/>
        </w:rPr>
        <w:t xml:space="preserve">wieku poprodukcyjnym należy mieć na uwadze, że powinny one objąć znacznie więcej osób, niż wynikałoby to z danych statystycznych. </w:t>
      </w:r>
    </w:p>
    <w:p w:rsidR="00E6024D" w:rsidRDefault="00E6024D" w:rsidP="002F21D0">
      <w:pPr>
        <w:pStyle w:val="Legenda"/>
        <w:rPr>
          <w:rFonts w:ascii="Calibri" w:hAnsi="Calibri" w:cs="Calibri"/>
        </w:rPr>
      </w:pPr>
    </w:p>
    <w:p w:rsidR="00092EFF" w:rsidRDefault="00092EFF" w:rsidP="002F21D0">
      <w:pPr>
        <w:pStyle w:val="Legenda"/>
        <w:rPr>
          <w:rFonts w:ascii="Calibri" w:hAnsi="Calibri" w:cs="Calibri"/>
        </w:rPr>
      </w:pPr>
      <w:bookmarkStart w:id="5231" w:name="_Toc191972631"/>
      <w:r>
        <w:rPr>
          <w:rFonts w:ascii="Calibri" w:hAnsi="Calibri" w:cs="Calibri"/>
        </w:rPr>
        <w:t xml:space="preserve">Mapa </w:t>
      </w:r>
      <w:r w:rsidR="003972D8">
        <w:rPr>
          <w:rFonts w:ascii="Calibri" w:hAnsi="Calibri" w:cs="Calibri"/>
        </w:rPr>
        <w:fldChar w:fldCharType="begin"/>
      </w:r>
      <w:r>
        <w:rPr>
          <w:rFonts w:ascii="Calibri" w:hAnsi="Calibri" w:cs="Calibri"/>
        </w:rPr>
        <w:instrText xml:space="preserve"> SEQ Mapa \* ARABIC </w:instrText>
      </w:r>
      <w:r w:rsidR="003972D8">
        <w:rPr>
          <w:rFonts w:ascii="Calibri" w:hAnsi="Calibri" w:cs="Calibri"/>
        </w:rPr>
        <w:fldChar w:fldCharType="separate"/>
      </w:r>
      <w:r w:rsidR="00413FFE">
        <w:rPr>
          <w:rFonts w:ascii="Calibri" w:hAnsi="Calibri" w:cs="Calibri"/>
          <w:noProof/>
        </w:rPr>
        <w:t>19</w:t>
      </w:r>
      <w:r w:rsidR="003972D8">
        <w:rPr>
          <w:rFonts w:ascii="Calibri" w:hAnsi="Calibri" w:cs="Calibri"/>
        </w:rPr>
        <w:fldChar w:fldCharType="end"/>
      </w:r>
      <w:r>
        <w:rPr>
          <w:rFonts w:ascii="Calibri" w:hAnsi="Calibri" w:cs="Calibri"/>
        </w:rPr>
        <w:t>. Kobiety w wieku powyżej 75 lat w populacji osób w tym wieku</w:t>
      </w:r>
      <w:bookmarkEnd w:id="5230"/>
      <w:bookmarkEnd w:id="5231"/>
    </w:p>
    <w:p w:rsidR="00092EFF" w:rsidRDefault="009B5277" w:rsidP="002F21D0">
      <w:r>
        <w:rPr>
          <w:noProof/>
        </w:rPr>
        <w:drawing>
          <wp:inline distT="0" distB="0" distL="0" distR="0">
            <wp:extent cx="5364000" cy="3727365"/>
            <wp:effectExtent l="19050" t="0" r="8100" b="0"/>
            <wp:docPr id="90" name="Obraz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41" cstate="print"/>
                    <a:srcRect b="1716"/>
                    <a:stretch>
                      <a:fillRect/>
                    </a:stretch>
                  </pic:blipFill>
                  <pic:spPr bwMode="auto">
                    <a:xfrm>
                      <a:off x="0" y="0"/>
                      <a:ext cx="5364000" cy="3727365"/>
                    </a:xfrm>
                    <a:prstGeom prst="rect">
                      <a:avLst/>
                    </a:prstGeom>
                    <a:noFill/>
                    <a:ln w="9525">
                      <a:noFill/>
                      <a:miter lim="800000"/>
                      <a:headEnd/>
                      <a:tailEnd/>
                    </a:ln>
                  </pic:spPr>
                </pic:pic>
              </a:graphicData>
            </a:graphic>
          </wp:inline>
        </w:drawing>
      </w:r>
    </w:p>
    <w:p w:rsidR="00092EFF" w:rsidRDefault="00092EFF" w:rsidP="00092EFF">
      <w:pPr>
        <w:autoSpaceDE w:val="0"/>
        <w:autoSpaceDN w:val="0"/>
        <w:adjustRightInd w:val="0"/>
        <w:rPr>
          <w:rFonts w:ascii="Calibri" w:hAnsi="Calibri" w:cs="Calibri"/>
          <w:i/>
          <w:iCs/>
          <w:sz w:val="18"/>
          <w:szCs w:val="18"/>
        </w:rPr>
      </w:pPr>
      <w:r>
        <w:rPr>
          <w:rFonts w:ascii="Calibri" w:hAnsi="Calibri" w:cs="Calibri"/>
          <w:i/>
          <w:iCs/>
          <w:sz w:val="18"/>
          <w:szCs w:val="18"/>
        </w:rPr>
        <w:t>Źródło: Opracowanie Instytutu Rozwoju Miast</w:t>
      </w:r>
    </w:p>
    <w:p w:rsidR="00E6024D" w:rsidRDefault="00E6024D" w:rsidP="00092EFF">
      <w:pPr>
        <w:ind w:firstLine="709"/>
        <w:jc w:val="both"/>
        <w:rPr>
          <w:rFonts w:ascii="Calibri" w:hAnsi="Calibri" w:cs="Calibri"/>
          <w:b/>
          <w:color w:val="C00000"/>
          <w:szCs w:val="20"/>
        </w:rPr>
      </w:pPr>
    </w:p>
    <w:p w:rsidR="00092EFF" w:rsidRDefault="00092EFF" w:rsidP="00092EFF">
      <w:pPr>
        <w:ind w:firstLine="709"/>
        <w:jc w:val="both"/>
        <w:rPr>
          <w:rFonts w:ascii="Calibri" w:hAnsi="Calibri" w:cs="Calibri"/>
          <w:szCs w:val="20"/>
        </w:rPr>
      </w:pPr>
      <w:r w:rsidRPr="00F124CB">
        <w:rPr>
          <w:rFonts w:ascii="Calibri" w:hAnsi="Calibri" w:cs="Calibri"/>
          <w:b/>
          <w:color w:val="C00000"/>
          <w:szCs w:val="20"/>
        </w:rPr>
        <w:t>Szczególną grupą wśród osób starszych są te, które ukończyły 75 rok życia (tzw. wiek starczy). Średnio w całym mieście jest ich w populacji 7%, a w obszarze rewitalizacji 8%.</w:t>
      </w:r>
      <w:r>
        <w:rPr>
          <w:rFonts w:ascii="Calibri" w:hAnsi="Calibri" w:cs="Calibri"/>
          <w:szCs w:val="20"/>
        </w:rPr>
        <w:t xml:space="preserve"> </w:t>
      </w:r>
      <w:r w:rsidRPr="00F124CB">
        <w:rPr>
          <w:rFonts w:ascii="Calibri" w:hAnsi="Calibri" w:cs="Calibri"/>
          <w:b/>
          <w:color w:val="C00000"/>
          <w:szCs w:val="20"/>
        </w:rPr>
        <w:t>Największy udział osób w</w:t>
      </w:r>
      <w:r w:rsidR="00F124CB" w:rsidRPr="00F124CB">
        <w:rPr>
          <w:rFonts w:ascii="Calibri" w:hAnsi="Calibri" w:cs="Calibri"/>
          <w:b/>
          <w:color w:val="C00000"/>
          <w:szCs w:val="20"/>
        </w:rPr>
        <w:t> </w:t>
      </w:r>
      <w:r w:rsidRPr="00F124CB">
        <w:rPr>
          <w:rFonts w:ascii="Calibri" w:hAnsi="Calibri" w:cs="Calibri"/>
          <w:b/>
          <w:color w:val="C00000"/>
          <w:szCs w:val="20"/>
        </w:rPr>
        <w:t>wieku powyżej 75 lat odnotowano w podobszarze Śródmieście Północ, gdzie przeciętnie co dziesiąty mieszkaniec należy do tej grupy wiekowej.</w:t>
      </w:r>
      <w:r>
        <w:rPr>
          <w:rFonts w:ascii="Calibri" w:hAnsi="Calibri" w:cs="Calibri"/>
          <w:szCs w:val="20"/>
        </w:rPr>
        <w:t xml:space="preserve"> W Bytomiu w grupie osób, które przekroczyły 75 rok życia, niemal 2/3 stanowią kobiety. Świadczy to o znacznie wcześniejszej umieralności mężczyzn. Zachodzi potrzeba wsparcia w codziennych sprawach znacznej grupy starszych, samotnych kobiet – wsparcia ze strony bliskich oraz ze strony instytucji publicznych. </w:t>
      </w:r>
      <w:r w:rsidRPr="00F124CB">
        <w:rPr>
          <w:rFonts w:ascii="Calibri" w:hAnsi="Calibri" w:cs="Calibri"/>
          <w:b/>
          <w:color w:val="C00000"/>
          <w:szCs w:val="20"/>
        </w:rPr>
        <w:t>Ogółem na obszarze rewitalizacji mieszkają 2 322 kobiety, które przekroczyły 75 rok życia i tylko 1 144 mężczyzn.</w:t>
      </w:r>
      <w:r>
        <w:rPr>
          <w:rFonts w:ascii="Calibri" w:hAnsi="Calibri" w:cs="Calibri"/>
          <w:szCs w:val="20"/>
        </w:rPr>
        <w:t xml:space="preserve"> </w:t>
      </w:r>
      <w:r>
        <w:rPr>
          <w:rFonts w:ascii="Calibri" w:hAnsi="Calibri" w:cs="Calibri"/>
          <w:b/>
          <w:bCs/>
          <w:color w:val="C00000"/>
          <w:szCs w:val="20"/>
        </w:rPr>
        <w:t>W większości podobszarów udział kobiet w tym wieku w populacji 75+ wynosi powyżej 67%.</w:t>
      </w:r>
      <w:r>
        <w:rPr>
          <w:rFonts w:ascii="Calibri" w:hAnsi="Calibri" w:cs="Calibri"/>
          <w:szCs w:val="20"/>
        </w:rPr>
        <w:t xml:space="preserve"> Z zamieszczonej mapy wynika, w których fragmentach obszaru rewitalizacji przewaga liczebna starszych kobiet jest wyższa niż przeciętnie. Należy tu wymienić głównie Bobrek i Śródmieście. Różnice w udziale kobiet i</w:t>
      </w:r>
      <w:r w:rsidR="00D8673E">
        <w:rPr>
          <w:rFonts w:ascii="Calibri" w:hAnsi="Calibri" w:cs="Calibri"/>
          <w:szCs w:val="20"/>
        </w:rPr>
        <w:t> </w:t>
      </w:r>
      <w:r>
        <w:rPr>
          <w:rFonts w:ascii="Calibri" w:hAnsi="Calibri" w:cs="Calibri"/>
          <w:szCs w:val="20"/>
        </w:rPr>
        <w:t xml:space="preserve">mężczyzn w populacji obserwujemy także w niższych grupach wiekowych, przy czym dysproporcje rosną wraz z wiekiem. </w:t>
      </w:r>
    </w:p>
    <w:p w:rsidR="00092EFF" w:rsidRDefault="00092EFF" w:rsidP="00092EFF">
      <w:pPr>
        <w:ind w:firstLine="709"/>
        <w:jc w:val="both"/>
        <w:rPr>
          <w:rFonts w:ascii="Calibri" w:hAnsi="Calibri" w:cs="Calibri"/>
          <w:szCs w:val="20"/>
        </w:rPr>
      </w:pPr>
      <w:r w:rsidRPr="00F124CB">
        <w:rPr>
          <w:rFonts w:ascii="Calibri" w:hAnsi="Calibri" w:cs="Calibri"/>
          <w:b/>
          <w:color w:val="C00000"/>
          <w:szCs w:val="20"/>
        </w:rPr>
        <w:t>Ludność miasta Bytomia jest przykładem „starzejącego się” społeczeństwa.</w:t>
      </w:r>
      <w:r>
        <w:rPr>
          <w:rFonts w:ascii="Calibri" w:hAnsi="Calibri" w:cs="Calibri"/>
          <w:szCs w:val="20"/>
        </w:rPr>
        <w:t xml:space="preserve"> Wskazuje to na zagrożenie ciągłości rozwoju demograficznego Bytomia, co może mieć swoje konsekwencje w rozwoju większości dziedzin w mieście. </w:t>
      </w:r>
      <w:r w:rsidRPr="00F124CB">
        <w:rPr>
          <w:rFonts w:ascii="Calibri" w:hAnsi="Calibri" w:cs="Calibri"/>
          <w:b/>
          <w:color w:val="C00000"/>
          <w:szCs w:val="20"/>
        </w:rPr>
        <w:t>Szczególną grupę wymagającą wsparcia stanowią osoby starsze powyżej 75 roku życia, wymagające niejednokrotnie specjalistycznych usług opiekuńczych o charakterze zdrowotnym</w:t>
      </w:r>
      <w:r>
        <w:rPr>
          <w:rFonts w:ascii="Calibri" w:hAnsi="Calibri" w:cs="Calibri"/>
          <w:szCs w:val="20"/>
        </w:rPr>
        <w:t>, ale także ukierunkowanych na tą grupę usług społecznych służących ich włączeniu społecznemu, czy też międzypokoleniowej, lokalnej integracji. Ważną rolę w systemie wsparcia osób starszych pełnią placówki opiekuńcze dla dorosłych, a więc domy pomocy społecznej i dzienne domy pomocy. W Bytomiu znajduje się pięć domów pomocy społecznej, odpowiednio:</w:t>
      </w:r>
    </w:p>
    <w:p w:rsidR="00145549" w:rsidRPr="00F124CB" w:rsidRDefault="00092EFF">
      <w:pPr>
        <w:pStyle w:val="NormalnyWeb"/>
        <w:numPr>
          <w:ilvl w:val="0"/>
          <w:numId w:val="166"/>
        </w:numPr>
        <w:spacing w:before="0" w:beforeAutospacing="0" w:after="0" w:afterAutospacing="0"/>
        <w:jc w:val="both"/>
        <w:rPr>
          <w:rFonts w:ascii="Calibri" w:hAnsi="Calibri" w:cs="Calibri"/>
          <w:b/>
          <w:szCs w:val="20"/>
        </w:rPr>
      </w:pPr>
      <w:r w:rsidRPr="00F124CB">
        <w:rPr>
          <w:rStyle w:val="Pogrubienie"/>
          <w:rFonts w:ascii="Calibri" w:hAnsi="Calibri" w:cs="Calibri"/>
          <w:b w:val="0"/>
          <w:szCs w:val="20"/>
        </w:rPr>
        <w:t xml:space="preserve">Dom Pomocy Społecznej dla Dorosłych, </w:t>
      </w:r>
      <w:r w:rsidRPr="00F124CB">
        <w:rPr>
          <w:rFonts w:ascii="Calibri" w:hAnsi="Calibri" w:cs="Calibri"/>
          <w:szCs w:val="20"/>
        </w:rPr>
        <w:t>41-902 Bytom ul. Dworcowa 7,</w:t>
      </w:r>
    </w:p>
    <w:p w:rsidR="00145549" w:rsidRPr="002F21D0" w:rsidRDefault="00092EFF">
      <w:pPr>
        <w:pStyle w:val="NormalnyWeb"/>
        <w:numPr>
          <w:ilvl w:val="0"/>
          <w:numId w:val="166"/>
        </w:numPr>
        <w:spacing w:before="0" w:beforeAutospacing="0" w:after="0" w:afterAutospacing="0"/>
        <w:jc w:val="both"/>
        <w:rPr>
          <w:rFonts w:ascii="Calibri" w:hAnsi="Calibri" w:cs="Calibri"/>
          <w:szCs w:val="20"/>
        </w:rPr>
      </w:pPr>
      <w:r w:rsidRPr="00F124CB">
        <w:rPr>
          <w:rStyle w:val="Pogrubienie"/>
          <w:rFonts w:ascii="Calibri" w:hAnsi="Calibri" w:cs="Calibri"/>
          <w:b w:val="0"/>
          <w:szCs w:val="20"/>
        </w:rPr>
        <w:t>Dom Pomocy Społecznej "Kombatant",</w:t>
      </w:r>
      <w:r w:rsidRPr="002F21D0">
        <w:rPr>
          <w:rStyle w:val="Pogrubienie"/>
          <w:rFonts w:ascii="Calibri" w:hAnsi="Calibri" w:cs="Calibri"/>
          <w:szCs w:val="20"/>
        </w:rPr>
        <w:t xml:space="preserve"> </w:t>
      </w:r>
      <w:r w:rsidRPr="002F21D0">
        <w:rPr>
          <w:rFonts w:ascii="Calibri" w:hAnsi="Calibri" w:cs="Calibri"/>
          <w:szCs w:val="20"/>
        </w:rPr>
        <w:t>ul. Stolarzowicka 33,</w:t>
      </w:r>
    </w:p>
    <w:p w:rsidR="00145549" w:rsidRPr="002F21D0" w:rsidRDefault="00092EFF">
      <w:pPr>
        <w:pStyle w:val="Akapitzlist"/>
        <w:numPr>
          <w:ilvl w:val="0"/>
          <w:numId w:val="166"/>
        </w:numPr>
        <w:suppressAutoHyphens/>
        <w:spacing w:after="0" w:line="240" w:lineRule="auto"/>
        <w:jc w:val="both"/>
        <w:rPr>
          <w:sz w:val="20"/>
          <w:szCs w:val="20"/>
        </w:rPr>
      </w:pPr>
      <w:r w:rsidRPr="002F21D0">
        <w:rPr>
          <w:sz w:val="20"/>
          <w:szCs w:val="20"/>
        </w:rPr>
        <w:lastRenderedPageBreak/>
        <w:t>DPS „Wędrowiec”, ul. ks. Frenzla 204,</w:t>
      </w:r>
    </w:p>
    <w:p w:rsidR="00145549" w:rsidRPr="002F21D0" w:rsidRDefault="00092EFF">
      <w:pPr>
        <w:pStyle w:val="Akapitzlist"/>
        <w:numPr>
          <w:ilvl w:val="0"/>
          <w:numId w:val="166"/>
        </w:numPr>
        <w:suppressAutoHyphens/>
        <w:spacing w:after="0" w:line="240" w:lineRule="auto"/>
        <w:jc w:val="both"/>
        <w:rPr>
          <w:sz w:val="20"/>
          <w:szCs w:val="20"/>
        </w:rPr>
      </w:pPr>
      <w:r w:rsidRPr="002F21D0">
        <w:rPr>
          <w:sz w:val="20"/>
          <w:szCs w:val="20"/>
          <w:lang w:eastAsia="pl-PL"/>
        </w:rPr>
        <w:t>Ewangelicki Dom Opieki „Ostoja Pokoju”, ul. Matki Ewy 1, </w:t>
      </w:r>
    </w:p>
    <w:p w:rsidR="00145549" w:rsidRPr="002F21D0" w:rsidRDefault="00092EFF">
      <w:pPr>
        <w:pStyle w:val="Akapitzlist"/>
        <w:numPr>
          <w:ilvl w:val="0"/>
          <w:numId w:val="166"/>
        </w:numPr>
        <w:suppressAutoHyphens/>
        <w:spacing w:line="240" w:lineRule="auto"/>
        <w:jc w:val="both"/>
        <w:rPr>
          <w:rStyle w:val="apple-converted-space"/>
          <w:rFonts w:ascii="Calibri" w:hAnsi="Calibri" w:cs="Calibri"/>
          <w:b/>
          <w:bCs/>
          <w:color w:val="3366FF"/>
          <w:spacing w:val="2"/>
          <w:sz w:val="20"/>
          <w:szCs w:val="20"/>
          <w:lang w:eastAsia="pl-PL"/>
        </w:rPr>
      </w:pPr>
      <w:r w:rsidRPr="002F21D0">
        <w:rPr>
          <w:spacing w:val="2"/>
          <w:sz w:val="20"/>
          <w:szCs w:val="20"/>
        </w:rPr>
        <w:t>DPS Stowarzyszenie „Pomocna dłoń”, ul. Strzelców Bytomskich 450</w:t>
      </w:r>
      <w:r w:rsidRPr="002F21D0">
        <w:rPr>
          <w:rStyle w:val="apple-converted-space"/>
          <w:rFonts w:ascii="Calibri" w:hAnsi="Calibri" w:cs="Calibri"/>
          <w:spacing w:val="2"/>
          <w:sz w:val="20"/>
          <w:szCs w:val="20"/>
        </w:rPr>
        <w:t>.</w:t>
      </w:r>
    </w:p>
    <w:p w:rsidR="00092EFF" w:rsidRDefault="00092EFF" w:rsidP="00092EFF">
      <w:pPr>
        <w:pStyle w:val="Akapitzlist"/>
        <w:suppressAutoHyphens/>
        <w:spacing w:after="0" w:line="240" w:lineRule="auto"/>
        <w:ind w:left="0" w:firstLine="709"/>
        <w:jc w:val="both"/>
        <w:rPr>
          <w:sz w:val="20"/>
          <w:szCs w:val="20"/>
        </w:rPr>
      </w:pPr>
      <w:r w:rsidRPr="002F21D0">
        <w:rPr>
          <w:rStyle w:val="apple-converted-space"/>
          <w:rFonts w:ascii="Calibri" w:hAnsi="Calibri" w:cs="Calibri"/>
          <w:spacing w:val="2"/>
          <w:sz w:val="20"/>
          <w:szCs w:val="20"/>
        </w:rPr>
        <w:t>Tylko jedna z powyższych placówek zlokalizowana jest na podobszarze</w:t>
      </w:r>
      <w:r>
        <w:rPr>
          <w:rStyle w:val="apple-converted-space"/>
          <w:rFonts w:ascii="Calibri" w:hAnsi="Calibri" w:cs="Calibri"/>
          <w:spacing w:val="2"/>
          <w:sz w:val="20"/>
          <w:szCs w:val="20"/>
        </w:rPr>
        <w:t xml:space="preserve"> rewitalizacji (w Śródmieściu). Uzupełnienie potencjału organizacyjnego miasta stanowi </w:t>
      </w:r>
      <w:r>
        <w:rPr>
          <w:sz w:val="20"/>
          <w:szCs w:val="20"/>
        </w:rPr>
        <w:t>pięć dziennych domów pomocy, z których pierwszy</w:t>
      </w:r>
      <w:r w:rsidR="00725F2E">
        <w:rPr>
          <w:sz w:val="20"/>
          <w:szCs w:val="20"/>
        </w:rPr>
        <w:t xml:space="preserve">, drugi </w:t>
      </w:r>
      <w:r>
        <w:rPr>
          <w:sz w:val="20"/>
          <w:szCs w:val="20"/>
        </w:rPr>
        <w:t>i</w:t>
      </w:r>
      <w:r w:rsidR="00D8673E">
        <w:rPr>
          <w:sz w:val="20"/>
          <w:szCs w:val="20"/>
        </w:rPr>
        <w:t> </w:t>
      </w:r>
      <w:r>
        <w:rPr>
          <w:sz w:val="20"/>
          <w:szCs w:val="20"/>
        </w:rPr>
        <w:t>ostatni działają na obsza</w:t>
      </w:r>
      <w:r w:rsidR="00F124CB">
        <w:rPr>
          <w:sz w:val="20"/>
          <w:szCs w:val="20"/>
        </w:rPr>
        <w:t>rze rewitalizacji, a mianowicie:</w:t>
      </w:r>
      <w:r>
        <w:rPr>
          <w:sz w:val="20"/>
          <w:szCs w:val="20"/>
        </w:rPr>
        <w:t xml:space="preserve"> </w:t>
      </w:r>
    </w:p>
    <w:p w:rsidR="00145549" w:rsidRDefault="00092EFF">
      <w:pPr>
        <w:pStyle w:val="Akapitzlist"/>
        <w:numPr>
          <w:ilvl w:val="0"/>
          <w:numId w:val="167"/>
        </w:numPr>
        <w:suppressAutoHyphens/>
        <w:spacing w:after="0" w:line="240" w:lineRule="auto"/>
        <w:jc w:val="both"/>
        <w:rPr>
          <w:sz w:val="20"/>
          <w:szCs w:val="20"/>
        </w:rPr>
      </w:pPr>
      <w:r>
        <w:rPr>
          <w:sz w:val="20"/>
          <w:szCs w:val="20"/>
        </w:rPr>
        <w:t>Dzienny Dom Pomocy nr 1 – ul. Piłsudskiego 69,</w:t>
      </w:r>
    </w:p>
    <w:p w:rsidR="00145549" w:rsidRDefault="00092EFF">
      <w:pPr>
        <w:pStyle w:val="Akapitzlist"/>
        <w:numPr>
          <w:ilvl w:val="0"/>
          <w:numId w:val="167"/>
        </w:numPr>
        <w:suppressAutoHyphens/>
        <w:spacing w:after="0" w:line="240" w:lineRule="auto"/>
        <w:jc w:val="both"/>
        <w:rPr>
          <w:sz w:val="20"/>
          <w:szCs w:val="20"/>
        </w:rPr>
      </w:pPr>
      <w:r>
        <w:rPr>
          <w:sz w:val="20"/>
          <w:szCs w:val="20"/>
        </w:rPr>
        <w:t>Dzienny Dom Pomocy nr 2 – ul. Woźniaka 28,</w:t>
      </w:r>
    </w:p>
    <w:p w:rsidR="00145549" w:rsidRDefault="00092EFF">
      <w:pPr>
        <w:pStyle w:val="Akapitzlist"/>
        <w:numPr>
          <w:ilvl w:val="0"/>
          <w:numId w:val="167"/>
        </w:numPr>
        <w:suppressAutoHyphens/>
        <w:spacing w:after="0" w:line="240" w:lineRule="auto"/>
        <w:jc w:val="both"/>
        <w:rPr>
          <w:sz w:val="20"/>
          <w:szCs w:val="20"/>
        </w:rPr>
      </w:pPr>
      <w:r>
        <w:rPr>
          <w:sz w:val="20"/>
          <w:szCs w:val="20"/>
        </w:rPr>
        <w:t>Dzienny Dom Pomocy nr 3 – ul. Orzegowska 20a,</w:t>
      </w:r>
    </w:p>
    <w:p w:rsidR="00145549" w:rsidRDefault="00092EFF">
      <w:pPr>
        <w:pStyle w:val="Akapitzlist"/>
        <w:numPr>
          <w:ilvl w:val="0"/>
          <w:numId w:val="167"/>
        </w:numPr>
        <w:suppressAutoHyphens/>
        <w:spacing w:after="0" w:line="240" w:lineRule="auto"/>
        <w:jc w:val="both"/>
        <w:rPr>
          <w:sz w:val="20"/>
          <w:szCs w:val="20"/>
        </w:rPr>
      </w:pPr>
      <w:r>
        <w:rPr>
          <w:sz w:val="20"/>
          <w:szCs w:val="20"/>
        </w:rPr>
        <w:t>Dzienny Dom Pomocy nr 4 – ul. Karpacka 25,</w:t>
      </w:r>
    </w:p>
    <w:p w:rsidR="00145549" w:rsidRDefault="00092EFF">
      <w:pPr>
        <w:pStyle w:val="Akapitzlist"/>
        <w:numPr>
          <w:ilvl w:val="0"/>
          <w:numId w:val="167"/>
        </w:numPr>
        <w:suppressAutoHyphens/>
        <w:spacing w:after="0" w:line="240" w:lineRule="auto"/>
        <w:jc w:val="both"/>
        <w:rPr>
          <w:sz w:val="20"/>
          <w:szCs w:val="20"/>
        </w:rPr>
      </w:pPr>
      <w:r>
        <w:rPr>
          <w:sz w:val="20"/>
          <w:szCs w:val="20"/>
        </w:rPr>
        <w:t>Dzienny Dom Pomocy nr 5 – ul. Pasteura 4.</w:t>
      </w:r>
    </w:p>
    <w:p w:rsidR="00092EFF" w:rsidRDefault="00092EFF" w:rsidP="002F21D0">
      <w:pPr>
        <w:spacing w:after="240"/>
        <w:jc w:val="both"/>
        <w:rPr>
          <w:rFonts w:ascii="Calibri" w:hAnsi="Calibri" w:cs="Calibri"/>
          <w:szCs w:val="20"/>
        </w:rPr>
      </w:pPr>
      <w:r>
        <w:rPr>
          <w:rFonts w:ascii="Calibri" w:hAnsi="Calibri" w:cs="Calibri"/>
          <w:szCs w:val="20"/>
        </w:rPr>
        <w:t xml:space="preserve">W kontekście powyższych wyników analiz, </w:t>
      </w:r>
      <w:r w:rsidRPr="00F124CB">
        <w:rPr>
          <w:rFonts w:ascii="Calibri" w:hAnsi="Calibri" w:cs="Calibri"/>
          <w:b/>
          <w:color w:val="C00000"/>
          <w:szCs w:val="20"/>
        </w:rPr>
        <w:t>rozwój dziennych jednostek wsparcia osób dorosłych, w tym osób starszych powinien być jednym z istotnych kierunków podejmowanej interwencji na obszarze rewitalizacji</w:t>
      </w:r>
      <w:r>
        <w:rPr>
          <w:rFonts w:ascii="Calibri" w:hAnsi="Calibri" w:cs="Calibri"/>
          <w:szCs w:val="20"/>
        </w:rPr>
        <w:t>, zwłaszcza w kontekście deinstytucjonalizacji świadczonej opieki i wsparcia, a także lokalnego charakteru świadczonej opieki. Kluczowe są dwie sfery: zdrowie i czas wolny. Na obszarach zamieszkałych przez osoby starsze należy wzmocnić działania profilaktyczne podtrzymujące dobry stan zdrowia, a także zapewnić pomoc w</w:t>
      </w:r>
      <w:r w:rsidR="004F5A39">
        <w:rPr>
          <w:rFonts w:ascii="Calibri" w:hAnsi="Calibri" w:cs="Calibri"/>
          <w:szCs w:val="20"/>
        </w:rPr>
        <w:t> </w:t>
      </w:r>
      <w:r>
        <w:rPr>
          <w:rFonts w:ascii="Calibri" w:hAnsi="Calibri" w:cs="Calibri"/>
          <w:szCs w:val="20"/>
        </w:rPr>
        <w:t>sytuacji występowania chorób i ograniczeń związanych z wiekiem. Potrzebne są punkty opieki dziennej i</w:t>
      </w:r>
      <w:r w:rsidR="004F5A39">
        <w:rPr>
          <w:rFonts w:ascii="Calibri" w:hAnsi="Calibri" w:cs="Calibri"/>
          <w:szCs w:val="20"/>
        </w:rPr>
        <w:t> </w:t>
      </w:r>
      <w:r>
        <w:rPr>
          <w:rFonts w:ascii="Calibri" w:hAnsi="Calibri" w:cs="Calibri"/>
          <w:szCs w:val="20"/>
        </w:rPr>
        <w:t xml:space="preserve">specjalistyczne usługi skierowane do osób starszych. Należy także zadbać o propozycje aktywnego spędzania czasu, szczególnie w formie różnorodnych zajęć aktywizujących. </w:t>
      </w:r>
    </w:p>
    <w:p w:rsidR="00A97322" w:rsidRPr="00A97322" w:rsidRDefault="005C64D9" w:rsidP="004F5A39">
      <w:pPr>
        <w:jc w:val="both"/>
        <w:rPr>
          <w:szCs w:val="20"/>
        </w:rPr>
      </w:pPr>
      <w:r w:rsidRPr="00A97322">
        <w:rPr>
          <w:rFonts w:cs="Calibri"/>
          <w:szCs w:val="20"/>
        </w:rPr>
        <w:t xml:space="preserve"> </w:t>
      </w:r>
      <w:r w:rsidR="004F5A39">
        <w:rPr>
          <w:rFonts w:cs="Calibri"/>
          <w:szCs w:val="20"/>
        </w:rPr>
        <w:tab/>
      </w:r>
      <w:r w:rsidR="00A97322" w:rsidRPr="00A97322">
        <w:rPr>
          <w:szCs w:val="20"/>
        </w:rPr>
        <w:t>Przedstawiona powyżej pogłębiona analiza problemów społecznych w poszczególnych obszarach rewitalizacji w pełni nie odzwierciedla zagadnień problemowych związanych z funkcjonowaniem społeczności lokalnych, które mają szerszy, przekrojowy charakter i których nie można przypisać do żadnego z omówionych powyżej działów (np. bezrobocie, ubóstwo, przestępczość). Uzyskane w drodze wywiadów bezpośrednich z</w:t>
      </w:r>
      <w:r w:rsidR="004F5A39">
        <w:rPr>
          <w:szCs w:val="20"/>
        </w:rPr>
        <w:t> </w:t>
      </w:r>
      <w:r w:rsidR="00A97322" w:rsidRPr="00A97322">
        <w:rPr>
          <w:szCs w:val="20"/>
        </w:rPr>
        <w:t xml:space="preserve">mieszkańcami i spotkań warsztatowych informacje pokazały, iż tego typu kwestię problemową stanowi </w:t>
      </w:r>
      <w:r w:rsidR="00A97322" w:rsidRPr="00674401">
        <w:rPr>
          <w:b/>
          <w:color w:val="C00000"/>
          <w:szCs w:val="20"/>
        </w:rPr>
        <w:t>niewystarczający poziom zaangażowania mieszkańców w działania lokalne</w:t>
      </w:r>
      <w:r w:rsidR="00A97322" w:rsidRPr="00A97322">
        <w:rPr>
          <w:szCs w:val="20"/>
        </w:rPr>
        <w:t>, a także niska świadomość w</w:t>
      </w:r>
      <w:r w:rsidR="004F5A39">
        <w:rPr>
          <w:szCs w:val="20"/>
        </w:rPr>
        <w:t> </w:t>
      </w:r>
      <w:r w:rsidR="00A97322" w:rsidRPr="00A97322">
        <w:rPr>
          <w:szCs w:val="20"/>
        </w:rPr>
        <w:t xml:space="preserve">zakresie długofalowego charakteru działań rewitalizacyjnych. W konsekwencji, za jeden z bardziej pożądanych kierunków działań we wszystkich podobszarach rewitalizacji należy uznać </w:t>
      </w:r>
      <w:r w:rsidR="00A97322" w:rsidRPr="00674401">
        <w:rPr>
          <w:b/>
          <w:color w:val="C00000"/>
          <w:szCs w:val="20"/>
        </w:rPr>
        <w:t>podejmowanie inicjatyw służących wzmacnianiu zaangażowania społecznego, a także potencjału środowisk i społeczności lokalnych, przykładowo poprzez programy aktywności lokalnych, identyfikację i wsparcie lokalnych liderów, czy też inicjatyw sąsiedzkich</w:t>
      </w:r>
      <w:r w:rsidR="00A97322" w:rsidRPr="00A97322">
        <w:rPr>
          <w:szCs w:val="20"/>
        </w:rPr>
        <w:t>. Działania w tym zakresie powinny nawiązywać do zidentyfikowanych potrzeb i bazować na dotychczasowych doświadczeniach w sferze animowania działalności środowisk lokalnych. Potrzebę rozwoju tego typu inicjatyw potwierdzają również przedstawione poniżej wyniki analizy pogłębionej kapitału społecznego i organizacji pozarządowych na obszarze rewitalizacji.</w:t>
      </w:r>
    </w:p>
    <w:p w:rsidR="001C2FD4" w:rsidRDefault="001C2FD4" w:rsidP="00C80963">
      <w:pPr>
        <w:jc w:val="both"/>
        <w:rPr>
          <w:rFonts w:eastAsia="Calibri"/>
          <w:szCs w:val="20"/>
        </w:rPr>
      </w:pPr>
    </w:p>
    <w:p w:rsidR="003852D4" w:rsidRPr="003852D4" w:rsidRDefault="003852D4" w:rsidP="003852D4">
      <w:pPr>
        <w:pStyle w:val="Akapitzlist"/>
        <w:keepNext/>
        <w:numPr>
          <w:ilvl w:val="0"/>
          <w:numId w:val="179"/>
        </w:numPr>
        <w:spacing w:before="240" w:after="60" w:line="240" w:lineRule="auto"/>
        <w:outlineLvl w:val="2"/>
        <w:rPr>
          <w:rFonts w:eastAsia="Times New Roman" w:cs="Calibri"/>
          <w:b/>
          <w:bCs/>
          <w:vanish/>
          <w:color w:val="3366FF"/>
          <w:sz w:val="26"/>
          <w:szCs w:val="26"/>
          <w:lang w:eastAsia="pl-PL"/>
        </w:rPr>
      </w:pPr>
      <w:bookmarkStart w:id="5232" w:name="_Toc467665462"/>
      <w:bookmarkStart w:id="5233" w:name="_Toc467665616"/>
      <w:bookmarkStart w:id="5234" w:name="_Toc467669538"/>
      <w:bookmarkStart w:id="5235" w:name="_Toc467832043"/>
      <w:bookmarkStart w:id="5236" w:name="_Toc467832163"/>
      <w:bookmarkStart w:id="5237" w:name="_Toc467834868"/>
      <w:bookmarkStart w:id="5238" w:name="_Toc467843549"/>
      <w:bookmarkStart w:id="5239" w:name="_Toc467845535"/>
      <w:bookmarkStart w:id="5240" w:name="_Toc467847478"/>
      <w:bookmarkStart w:id="5241" w:name="_Toc467847600"/>
      <w:bookmarkStart w:id="5242" w:name="_Toc467847722"/>
      <w:bookmarkStart w:id="5243" w:name="_Toc467847846"/>
      <w:bookmarkStart w:id="5244" w:name="_Toc467847970"/>
      <w:bookmarkStart w:id="5245" w:name="_Toc467848094"/>
      <w:bookmarkStart w:id="5246" w:name="_Toc467848218"/>
      <w:bookmarkStart w:id="5247" w:name="_Toc467848342"/>
      <w:bookmarkStart w:id="5248" w:name="_Toc467848466"/>
      <w:bookmarkStart w:id="5249" w:name="_Toc468097939"/>
      <w:bookmarkStart w:id="5250" w:name="_Toc468098064"/>
      <w:bookmarkStart w:id="5251" w:name="_Toc468104731"/>
      <w:bookmarkStart w:id="5252" w:name="_Toc468104855"/>
      <w:bookmarkStart w:id="5253" w:name="_Toc468104981"/>
      <w:bookmarkStart w:id="5254" w:name="_Toc468105107"/>
      <w:bookmarkStart w:id="5255" w:name="_Toc468105233"/>
      <w:bookmarkStart w:id="5256" w:name="_Toc468105359"/>
      <w:bookmarkStart w:id="5257" w:name="_Toc468105843"/>
      <w:bookmarkStart w:id="5258" w:name="_Toc468105970"/>
      <w:bookmarkStart w:id="5259" w:name="_Toc468116264"/>
      <w:bookmarkStart w:id="5260" w:name="_Toc468178220"/>
      <w:bookmarkStart w:id="5261" w:name="_Toc468181512"/>
      <w:bookmarkStart w:id="5262" w:name="_Toc468181639"/>
      <w:bookmarkStart w:id="5263" w:name="_Toc468181768"/>
      <w:bookmarkStart w:id="5264" w:name="_Toc468181935"/>
      <w:bookmarkStart w:id="5265" w:name="_Toc468185876"/>
      <w:bookmarkStart w:id="5266" w:name="_Toc468190808"/>
      <w:bookmarkStart w:id="5267" w:name="_Toc468190934"/>
      <w:bookmarkStart w:id="5268" w:name="_Toc468191426"/>
      <w:bookmarkStart w:id="5269" w:name="_Toc468258097"/>
      <w:bookmarkStart w:id="5270" w:name="_Toc468258328"/>
      <w:bookmarkStart w:id="5271" w:name="_Toc468258622"/>
      <w:bookmarkStart w:id="5272" w:name="_Toc468258751"/>
      <w:bookmarkStart w:id="5273" w:name="_Toc468258884"/>
      <w:bookmarkStart w:id="5274" w:name="_Toc468259015"/>
      <w:bookmarkStart w:id="5275" w:name="_Toc468259144"/>
      <w:bookmarkStart w:id="5276" w:name="_Toc468259273"/>
      <w:bookmarkStart w:id="5277" w:name="_Toc468259530"/>
      <w:bookmarkStart w:id="5278" w:name="_Toc468259662"/>
      <w:bookmarkStart w:id="5279" w:name="_Toc468259792"/>
      <w:bookmarkStart w:id="5280" w:name="_Toc468259921"/>
      <w:bookmarkStart w:id="5281" w:name="_Toc468260052"/>
      <w:bookmarkStart w:id="5282" w:name="_Toc468260181"/>
      <w:bookmarkStart w:id="5283" w:name="_Toc468260310"/>
      <w:bookmarkStart w:id="5284" w:name="_Toc468260439"/>
      <w:bookmarkStart w:id="5285" w:name="_Toc468260568"/>
      <w:bookmarkStart w:id="5286" w:name="_Toc468260697"/>
      <w:bookmarkStart w:id="5287" w:name="_Toc468260825"/>
      <w:bookmarkStart w:id="5288" w:name="_Toc468260956"/>
      <w:bookmarkStart w:id="5289" w:name="_Toc468261087"/>
      <w:bookmarkStart w:id="5290" w:name="_Toc468261218"/>
      <w:bookmarkStart w:id="5291" w:name="_Toc468261349"/>
      <w:bookmarkStart w:id="5292" w:name="_Toc468261480"/>
      <w:bookmarkStart w:id="5293" w:name="_Toc468266794"/>
      <w:bookmarkStart w:id="5294" w:name="_Toc468266922"/>
      <w:bookmarkStart w:id="5295" w:name="_Toc468267050"/>
      <w:bookmarkStart w:id="5296" w:name="_Toc468269461"/>
      <w:bookmarkStart w:id="5297" w:name="_Toc468279427"/>
      <w:bookmarkStart w:id="5298" w:name="_Toc468360279"/>
      <w:bookmarkStart w:id="5299" w:name="_Toc468361220"/>
      <w:bookmarkStart w:id="5300" w:name="_Toc468363450"/>
      <w:bookmarkStart w:id="5301" w:name="_Toc468366277"/>
      <w:bookmarkStart w:id="5302" w:name="_Toc468428367"/>
      <w:bookmarkStart w:id="5303" w:name="_Toc468691763"/>
      <w:bookmarkStart w:id="5304" w:name="_Toc468691890"/>
      <w:bookmarkStart w:id="5305" w:name="_Toc468692017"/>
      <w:bookmarkStart w:id="5306" w:name="_Toc468693971"/>
      <w:bookmarkStart w:id="5307" w:name="_Toc468712666"/>
      <w:bookmarkStart w:id="5308" w:name="_Toc468712794"/>
      <w:bookmarkStart w:id="5309" w:name="_Toc468712921"/>
      <w:bookmarkStart w:id="5310" w:name="_Toc468713048"/>
      <w:bookmarkStart w:id="5311" w:name="_Toc468713175"/>
      <w:bookmarkStart w:id="5312" w:name="_Toc468713302"/>
      <w:bookmarkStart w:id="5313" w:name="_Toc468713429"/>
      <w:bookmarkStart w:id="5314" w:name="_Toc468713556"/>
      <w:bookmarkStart w:id="5315" w:name="_Toc468713809"/>
      <w:bookmarkStart w:id="5316" w:name="_Toc468713936"/>
      <w:bookmarkStart w:id="5317" w:name="_Toc468714063"/>
      <w:bookmarkStart w:id="5318" w:name="_Toc468787072"/>
      <w:bookmarkStart w:id="5319" w:name="_Toc468787390"/>
      <w:bookmarkStart w:id="5320" w:name="_Toc468787518"/>
      <w:bookmarkStart w:id="5321" w:name="_Toc468787646"/>
      <w:bookmarkStart w:id="5322" w:name="_Toc468787773"/>
      <w:bookmarkStart w:id="5323" w:name="_Toc468787900"/>
      <w:bookmarkStart w:id="5324" w:name="_Toc468788027"/>
      <w:bookmarkStart w:id="5325" w:name="_Toc468957707"/>
      <w:bookmarkStart w:id="5326" w:name="_Toc468957834"/>
      <w:bookmarkStart w:id="5327" w:name="_Toc468957961"/>
      <w:bookmarkStart w:id="5328" w:name="_Toc468958088"/>
      <w:bookmarkStart w:id="5329" w:name="_Toc468958215"/>
      <w:bookmarkStart w:id="5330" w:name="_Toc468958342"/>
      <w:bookmarkStart w:id="5331" w:name="_Toc468958469"/>
      <w:bookmarkStart w:id="5332" w:name="_Toc468958596"/>
      <w:bookmarkStart w:id="5333" w:name="_Toc468958723"/>
      <w:bookmarkStart w:id="5334" w:name="_Toc468958850"/>
      <w:bookmarkStart w:id="5335" w:name="_Toc468958977"/>
      <w:bookmarkStart w:id="5336" w:name="_Toc468959104"/>
      <w:bookmarkStart w:id="5337" w:name="_Toc468960605"/>
      <w:bookmarkStart w:id="5338" w:name="_Toc469035078"/>
      <w:bookmarkStart w:id="5339" w:name="_Toc469056788"/>
      <w:bookmarkStart w:id="5340" w:name="_Toc469321100"/>
      <w:bookmarkStart w:id="5341" w:name="_Toc469323829"/>
      <w:bookmarkStart w:id="5342" w:name="_Toc469323955"/>
      <w:bookmarkStart w:id="5343" w:name="_Toc469324506"/>
      <w:bookmarkStart w:id="5344" w:name="_Toc470695384"/>
      <w:bookmarkStart w:id="5345" w:name="_Toc470695537"/>
      <w:bookmarkStart w:id="5346" w:name="_Toc470697041"/>
      <w:bookmarkStart w:id="5347" w:name="_Toc470699925"/>
      <w:bookmarkStart w:id="5348" w:name="_Toc470762771"/>
      <w:bookmarkStart w:id="5349" w:name="_Toc471114589"/>
      <w:bookmarkStart w:id="5350" w:name="_Toc474393005"/>
      <w:bookmarkStart w:id="5351" w:name="_Toc474497896"/>
      <w:bookmarkStart w:id="5352" w:name="_Toc474498655"/>
      <w:bookmarkStart w:id="5353" w:name="_Toc474844514"/>
      <w:bookmarkStart w:id="5354" w:name="_Toc474844641"/>
      <w:bookmarkStart w:id="5355" w:name="_Toc474919911"/>
      <w:bookmarkStart w:id="5356" w:name="_Toc474924920"/>
      <w:bookmarkStart w:id="5357" w:name="_Toc461612533"/>
      <w:bookmarkEnd w:id="5232"/>
      <w:bookmarkEnd w:id="5233"/>
      <w:bookmarkEnd w:id="5234"/>
      <w:bookmarkEnd w:id="5235"/>
      <w:bookmarkEnd w:id="5236"/>
      <w:bookmarkEnd w:id="5237"/>
      <w:bookmarkEnd w:id="5238"/>
      <w:bookmarkEnd w:id="5239"/>
      <w:bookmarkEnd w:id="5240"/>
      <w:bookmarkEnd w:id="5241"/>
      <w:bookmarkEnd w:id="5242"/>
      <w:bookmarkEnd w:id="5243"/>
      <w:bookmarkEnd w:id="5244"/>
      <w:bookmarkEnd w:id="5245"/>
      <w:bookmarkEnd w:id="5246"/>
      <w:bookmarkEnd w:id="5247"/>
      <w:bookmarkEnd w:id="5248"/>
      <w:bookmarkEnd w:id="5249"/>
      <w:bookmarkEnd w:id="5250"/>
      <w:bookmarkEnd w:id="5251"/>
      <w:bookmarkEnd w:id="5252"/>
      <w:bookmarkEnd w:id="5253"/>
      <w:bookmarkEnd w:id="5254"/>
      <w:bookmarkEnd w:id="5255"/>
      <w:bookmarkEnd w:id="5256"/>
      <w:bookmarkEnd w:id="5257"/>
      <w:bookmarkEnd w:id="5258"/>
      <w:bookmarkEnd w:id="5259"/>
      <w:bookmarkEnd w:id="5260"/>
      <w:bookmarkEnd w:id="5261"/>
      <w:bookmarkEnd w:id="5262"/>
      <w:bookmarkEnd w:id="5263"/>
      <w:bookmarkEnd w:id="5264"/>
      <w:bookmarkEnd w:id="5265"/>
      <w:bookmarkEnd w:id="5266"/>
      <w:bookmarkEnd w:id="5267"/>
      <w:bookmarkEnd w:id="5268"/>
      <w:bookmarkEnd w:id="5269"/>
      <w:bookmarkEnd w:id="5270"/>
      <w:bookmarkEnd w:id="5271"/>
      <w:bookmarkEnd w:id="5272"/>
      <w:bookmarkEnd w:id="5273"/>
      <w:bookmarkEnd w:id="5274"/>
      <w:bookmarkEnd w:id="5275"/>
      <w:bookmarkEnd w:id="5276"/>
      <w:bookmarkEnd w:id="5277"/>
      <w:bookmarkEnd w:id="5278"/>
      <w:bookmarkEnd w:id="5279"/>
      <w:bookmarkEnd w:id="5280"/>
      <w:bookmarkEnd w:id="5281"/>
      <w:bookmarkEnd w:id="5282"/>
      <w:bookmarkEnd w:id="5283"/>
      <w:bookmarkEnd w:id="5284"/>
      <w:bookmarkEnd w:id="5285"/>
      <w:bookmarkEnd w:id="5286"/>
      <w:bookmarkEnd w:id="5287"/>
      <w:bookmarkEnd w:id="5288"/>
      <w:bookmarkEnd w:id="5289"/>
      <w:bookmarkEnd w:id="5290"/>
      <w:bookmarkEnd w:id="5291"/>
      <w:bookmarkEnd w:id="5292"/>
      <w:bookmarkEnd w:id="5293"/>
      <w:bookmarkEnd w:id="5294"/>
      <w:bookmarkEnd w:id="5295"/>
      <w:bookmarkEnd w:id="5296"/>
      <w:bookmarkEnd w:id="5297"/>
      <w:bookmarkEnd w:id="5298"/>
      <w:bookmarkEnd w:id="5299"/>
      <w:bookmarkEnd w:id="5300"/>
      <w:bookmarkEnd w:id="5301"/>
      <w:bookmarkEnd w:id="5302"/>
      <w:bookmarkEnd w:id="5303"/>
      <w:bookmarkEnd w:id="5304"/>
      <w:bookmarkEnd w:id="5305"/>
      <w:bookmarkEnd w:id="5306"/>
      <w:bookmarkEnd w:id="5307"/>
      <w:bookmarkEnd w:id="5308"/>
      <w:bookmarkEnd w:id="5309"/>
      <w:bookmarkEnd w:id="5310"/>
      <w:bookmarkEnd w:id="5311"/>
      <w:bookmarkEnd w:id="5312"/>
      <w:bookmarkEnd w:id="5313"/>
      <w:bookmarkEnd w:id="5314"/>
      <w:bookmarkEnd w:id="5315"/>
      <w:bookmarkEnd w:id="5316"/>
      <w:bookmarkEnd w:id="5317"/>
      <w:bookmarkEnd w:id="5318"/>
      <w:bookmarkEnd w:id="5319"/>
      <w:bookmarkEnd w:id="5320"/>
      <w:bookmarkEnd w:id="5321"/>
      <w:bookmarkEnd w:id="5322"/>
      <w:bookmarkEnd w:id="5323"/>
      <w:bookmarkEnd w:id="5324"/>
      <w:bookmarkEnd w:id="5325"/>
      <w:bookmarkEnd w:id="5326"/>
      <w:bookmarkEnd w:id="5327"/>
      <w:bookmarkEnd w:id="5328"/>
      <w:bookmarkEnd w:id="5329"/>
      <w:bookmarkEnd w:id="5330"/>
      <w:bookmarkEnd w:id="5331"/>
      <w:bookmarkEnd w:id="5332"/>
      <w:bookmarkEnd w:id="5333"/>
      <w:bookmarkEnd w:id="5334"/>
      <w:bookmarkEnd w:id="5335"/>
      <w:bookmarkEnd w:id="5336"/>
      <w:bookmarkEnd w:id="5337"/>
      <w:bookmarkEnd w:id="5338"/>
      <w:bookmarkEnd w:id="5339"/>
      <w:bookmarkEnd w:id="5340"/>
      <w:bookmarkEnd w:id="5341"/>
      <w:bookmarkEnd w:id="5342"/>
      <w:bookmarkEnd w:id="5343"/>
      <w:bookmarkEnd w:id="5344"/>
      <w:bookmarkEnd w:id="5345"/>
      <w:bookmarkEnd w:id="5346"/>
      <w:bookmarkEnd w:id="5347"/>
      <w:bookmarkEnd w:id="5348"/>
      <w:bookmarkEnd w:id="5349"/>
      <w:bookmarkEnd w:id="5350"/>
      <w:bookmarkEnd w:id="5351"/>
      <w:bookmarkEnd w:id="5352"/>
      <w:bookmarkEnd w:id="5353"/>
      <w:bookmarkEnd w:id="5354"/>
      <w:bookmarkEnd w:id="5355"/>
      <w:bookmarkEnd w:id="5356"/>
    </w:p>
    <w:p w:rsidR="003852D4" w:rsidRPr="003852D4" w:rsidRDefault="003852D4" w:rsidP="003852D4">
      <w:pPr>
        <w:pStyle w:val="Akapitzlist"/>
        <w:keepNext/>
        <w:numPr>
          <w:ilvl w:val="0"/>
          <w:numId w:val="179"/>
        </w:numPr>
        <w:spacing w:before="240" w:after="60" w:line="240" w:lineRule="auto"/>
        <w:outlineLvl w:val="2"/>
        <w:rPr>
          <w:rFonts w:eastAsia="Times New Roman" w:cs="Calibri"/>
          <w:b/>
          <w:bCs/>
          <w:vanish/>
          <w:color w:val="3366FF"/>
          <w:sz w:val="26"/>
          <w:szCs w:val="26"/>
          <w:lang w:eastAsia="pl-PL"/>
        </w:rPr>
      </w:pPr>
      <w:bookmarkStart w:id="5358" w:name="_Toc467665463"/>
      <w:bookmarkStart w:id="5359" w:name="_Toc467665617"/>
      <w:bookmarkStart w:id="5360" w:name="_Toc467669539"/>
      <w:bookmarkStart w:id="5361" w:name="_Toc467832044"/>
      <w:bookmarkStart w:id="5362" w:name="_Toc467832164"/>
      <w:bookmarkStart w:id="5363" w:name="_Toc467834869"/>
      <w:bookmarkStart w:id="5364" w:name="_Toc467843550"/>
      <w:bookmarkStart w:id="5365" w:name="_Toc467845536"/>
      <w:bookmarkStart w:id="5366" w:name="_Toc467847479"/>
      <w:bookmarkStart w:id="5367" w:name="_Toc467847601"/>
      <w:bookmarkStart w:id="5368" w:name="_Toc467847723"/>
      <w:bookmarkStart w:id="5369" w:name="_Toc467847847"/>
      <w:bookmarkStart w:id="5370" w:name="_Toc467847971"/>
      <w:bookmarkStart w:id="5371" w:name="_Toc467848095"/>
      <w:bookmarkStart w:id="5372" w:name="_Toc467848219"/>
      <w:bookmarkStart w:id="5373" w:name="_Toc467848343"/>
      <w:bookmarkStart w:id="5374" w:name="_Toc467848467"/>
      <w:bookmarkStart w:id="5375" w:name="_Toc468097940"/>
      <w:bookmarkStart w:id="5376" w:name="_Toc468098065"/>
      <w:bookmarkStart w:id="5377" w:name="_Toc468104732"/>
      <w:bookmarkStart w:id="5378" w:name="_Toc468104856"/>
      <w:bookmarkStart w:id="5379" w:name="_Toc468104982"/>
      <w:bookmarkStart w:id="5380" w:name="_Toc468105108"/>
      <w:bookmarkStart w:id="5381" w:name="_Toc468105234"/>
      <w:bookmarkStart w:id="5382" w:name="_Toc468105360"/>
      <w:bookmarkStart w:id="5383" w:name="_Toc468105844"/>
      <w:bookmarkStart w:id="5384" w:name="_Toc468105971"/>
      <w:bookmarkStart w:id="5385" w:name="_Toc468116265"/>
      <w:bookmarkStart w:id="5386" w:name="_Toc468178221"/>
      <w:bookmarkStart w:id="5387" w:name="_Toc468181513"/>
      <w:bookmarkStart w:id="5388" w:name="_Toc468181640"/>
      <w:bookmarkStart w:id="5389" w:name="_Toc468181769"/>
      <w:bookmarkStart w:id="5390" w:name="_Toc468181936"/>
      <w:bookmarkStart w:id="5391" w:name="_Toc468185877"/>
      <w:bookmarkStart w:id="5392" w:name="_Toc468190809"/>
      <w:bookmarkStart w:id="5393" w:name="_Toc468190935"/>
      <w:bookmarkStart w:id="5394" w:name="_Toc468191427"/>
      <w:bookmarkStart w:id="5395" w:name="_Toc468258098"/>
      <w:bookmarkStart w:id="5396" w:name="_Toc468258329"/>
      <w:bookmarkStart w:id="5397" w:name="_Toc468258623"/>
      <w:bookmarkStart w:id="5398" w:name="_Toc468258752"/>
      <w:bookmarkStart w:id="5399" w:name="_Toc468258885"/>
      <w:bookmarkStart w:id="5400" w:name="_Toc468259016"/>
      <w:bookmarkStart w:id="5401" w:name="_Toc468259145"/>
      <w:bookmarkStart w:id="5402" w:name="_Toc468259274"/>
      <w:bookmarkStart w:id="5403" w:name="_Toc468259531"/>
      <w:bookmarkStart w:id="5404" w:name="_Toc468259663"/>
      <w:bookmarkStart w:id="5405" w:name="_Toc468259793"/>
      <w:bookmarkStart w:id="5406" w:name="_Toc468259922"/>
      <w:bookmarkStart w:id="5407" w:name="_Toc468260053"/>
      <w:bookmarkStart w:id="5408" w:name="_Toc468260182"/>
      <w:bookmarkStart w:id="5409" w:name="_Toc468260311"/>
      <w:bookmarkStart w:id="5410" w:name="_Toc468260440"/>
      <w:bookmarkStart w:id="5411" w:name="_Toc468260569"/>
      <w:bookmarkStart w:id="5412" w:name="_Toc468260698"/>
      <w:bookmarkStart w:id="5413" w:name="_Toc468260826"/>
      <w:bookmarkStart w:id="5414" w:name="_Toc468260957"/>
      <w:bookmarkStart w:id="5415" w:name="_Toc468261088"/>
      <w:bookmarkStart w:id="5416" w:name="_Toc468261219"/>
      <w:bookmarkStart w:id="5417" w:name="_Toc468261350"/>
      <w:bookmarkStart w:id="5418" w:name="_Toc468261481"/>
      <w:bookmarkStart w:id="5419" w:name="_Toc468266795"/>
      <w:bookmarkStart w:id="5420" w:name="_Toc468266923"/>
      <w:bookmarkStart w:id="5421" w:name="_Toc468267051"/>
      <w:bookmarkStart w:id="5422" w:name="_Toc468269462"/>
      <w:bookmarkStart w:id="5423" w:name="_Toc468279428"/>
      <w:bookmarkStart w:id="5424" w:name="_Toc468360280"/>
      <w:bookmarkStart w:id="5425" w:name="_Toc468361221"/>
      <w:bookmarkStart w:id="5426" w:name="_Toc468363451"/>
      <w:bookmarkStart w:id="5427" w:name="_Toc468366278"/>
      <w:bookmarkStart w:id="5428" w:name="_Toc468428368"/>
      <w:bookmarkStart w:id="5429" w:name="_Toc468691764"/>
      <w:bookmarkStart w:id="5430" w:name="_Toc468691891"/>
      <w:bookmarkStart w:id="5431" w:name="_Toc468692018"/>
      <w:bookmarkStart w:id="5432" w:name="_Toc468693972"/>
      <w:bookmarkStart w:id="5433" w:name="_Toc468712667"/>
      <w:bookmarkStart w:id="5434" w:name="_Toc468712795"/>
      <w:bookmarkStart w:id="5435" w:name="_Toc468712922"/>
      <w:bookmarkStart w:id="5436" w:name="_Toc468713049"/>
      <w:bookmarkStart w:id="5437" w:name="_Toc468713176"/>
      <w:bookmarkStart w:id="5438" w:name="_Toc468713303"/>
      <w:bookmarkStart w:id="5439" w:name="_Toc468713430"/>
      <w:bookmarkStart w:id="5440" w:name="_Toc468713557"/>
      <w:bookmarkStart w:id="5441" w:name="_Toc468713810"/>
      <w:bookmarkStart w:id="5442" w:name="_Toc468713937"/>
      <w:bookmarkStart w:id="5443" w:name="_Toc468714064"/>
      <w:bookmarkStart w:id="5444" w:name="_Toc468787073"/>
      <w:bookmarkStart w:id="5445" w:name="_Toc468787391"/>
      <w:bookmarkStart w:id="5446" w:name="_Toc468787519"/>
      <w:bookmarkStart w:id="5447" w:name="_Toc468787647"/>
      <w:bookmarkStart w:id="5448" w:name="_Toc468787774"/>
      <w:bookmarkStart w:id="5449" w:name="_Toc468787901"/>
      <w:bookmarkStart w:id="5450" w:name="_Toc468788028"/>
      <w:bookmarkStart w:id="5451" w:name="_Toc468957708"/>
      <w:bookmarkStart w:id="5452" w:name="_Toc468957835"/>
      <w:bookmarkStart w:id="5453" w:name="_Toc468957962"/>
      <w:bookmarkStart w:id="5454" w:name="_Toc468958089"/>
      <w:bookmarkStart w:id="5455" w:name="_Toc468958216"/>
      <w:bookmarkStart w:id="5456" w:name="_Toc468958343"/>
      <w:bookmarkStart w:id="5457" w:name="_Toc468958470"/>
      <w:bookmarkStart w:id="5458" w:name="_Toc468958597"/>
      <w:bookmarkStart w:id="5459" w:name="_Toc468958724"/>
      <w:bookmarkStart w:id="5460" w:name="_Toc468958851"/>
      <w:bookmarkStart w:id="5461" w:name="_Toc468958978"/>
      <w:bookmarkStart w:id="5462" w:name="_Toc468959105"/>
      <w:bookmarkStart w:id="5463" w:name="_Toc468960606"/>
      <w:bookmarkStart w:id="5464" w:name="_Toc469035079"/>
      <w:bookmarkStart w:id="5465" w:name="_Toc469056789"/>
      <w:bookmarkStart w:id="5466" w:name="_Toc469321101"/>
      <w:bookmarkStart w:id="5467" w:name="_Toc469323830"/>
      <w:bookmarkStart w:id="5468" w:name="_Toc469323956"/>
      <w:bookmarkStart w:id="5469" w:name="_Toc469324507"/>
      <w:bookmarkStart w:id="5470" w:name="_Toc470695385"/>
      <w:bookmarkStart w:id="5471" w:name="_Toc470695538"/>
      <w:bookmarkStart w:id="5472" w:name="_Toc470697042"/>
      <w:bookmarkStart w:id="5473" w:name="_Toc470699926"/>
      <w:bookmarkStart w:id="5474" w:name="_Toc470762772"/>
      <w:bookmarkStart w:id="5475" w:name="_Toc471114590"/>
      <w:bookmarkStart w:id="5476" w:name="_Toc474393006"/>
      <w:bookmarkStart w:id="5477" w:name="_Toc474497897"/>
      <w:bookmarkStart w:id="5478" w:name="_Toc474498656"/>
      <w:bookmarkStart w:id="5479" w:name="_Toc474844515"/>
      <w:bookmarkStart w:id="5480" w:name="_Toc474844642"/>
      <w:bookmarkStart w:id="5481" w:name="_Toc474919912"/>
      <w:bookmarkStart w:id="5482" w:name="_Toc474924921"/>
      <w:bookmarkEnd w:id="5358"/>
      <w:bookmarkEnd w:id="5359"/>
      <w:bookmarkEnd w:id="5360"/>
      <w:bookmarkEnd w:id="5361"/>
      <w:bookmarkEnd w:id="5362"/>
      <w:bookmarkEnd w:id="5363"/>
      <w:bookmarkEnd w:id="5364"/>
      <w:bookmarkEnd w:id="5365"/>
      <w:bookmarkEnd w:id="5366"/>
      <w:bookmarkEnd w:id="5367"/>
      <w:bookmarkEnd w:id="5368"/>
      <w:bookmarkEnd w:id="5369"/>
      <w:bookmarkEnd w:id="5370"/>
      <w:bookmarkEnd w:id="5371"/>
      <w:bookmarkEnd w:id="5372"/>
      <w:bookmarkEnd w:id="5373"/>
      <w:bookmarkEnd w:id="5374"/>
      <w:bookmarkEnd w:id="5375"/>
      <w:bookmarkEnd w:id="5376"/>
      <w:bookmarkEnd w:id="5377"/>
      <w:bookmarkEnd w:id="5378"/>
      <w:bookmarkEnd w:id="5379"/>
      <w:bookmarkEnd w:id="5380"/>
      <w:bookmarkEnd w:id="5381"/>
      <w:bookmarkEnd w:id="5382"/>
      <w:bookmarkEnd w:id="5383"/>
      <w:bookmarkEnd w:id="5384"/>
      <w:bookmarkEnd w:id="5385"/>
      <w:bookmarkEnd w:id="5386"/>
      <w:bookmarkEnd w:id="5387"/>
      <w:bookmarkEnd w:id="5388"/>
      <w:bookmarkEnd w:id="5389"/>
      <w:bookmarkEnd w:id="5390"/>
      <w:bookmarkEnd w:id="5391"/>
      <w:bookmarkEnd w:id="5392"/>
      <w:bookmarkEnd w:id="5393"/>
      <w:bookmarkEnd w:id="5394"/>
      <w:bookmarkEnd w:id="5395"/>
      <w:bookmarkEnd w:id="5396"/>
      <w:bookmarkEnd w:id="5397"/>
      <w:bookmarkEnd w:id="5398"/>
      <w:bookmarkEnd w:id="5399"/>
      <w:bookmarkEnd w:id="5400"/>
      <w:bookmarkEnd w:id="5401"/>
      <w:bookmarkEnd w:id="5402"/>
      <w:bookmarkEnd w:id="5403"/>
      <w:bookmarkEnd w:id="5404"/>
      <w:bookmarkEnd w:id="5405"/>
      <w:bookmarkEnd w:id="5406"/>
      <w:bookmarkEnd w:id="5407"/>
      <w:bookmarkEnd w:id="5408"/>
      <w:bookmarkEnd w:id="5409"/>
      <w:bookmarkEnd w:id="5410"/>
      <w:bookmarkEnd w:id="5411"/>
      <w:bookmarkEnd w:id="5412"/>
      <w:bookmarkEnd w:id="5413"/>
      <w:bookmarkEnd w:id="5414"/>
      <w:bookmarkEnd w:id="5415"/>
      <w:bookmarkEnd w:id="5416"/>
      <w:bookmarkEnd w:id="5417"/>
      <w:bookmarkEnd w:id="5418"/>
      <w:bookmarkEnd w:id="5419"/>
      <w:bookmarkEnd w:id="5420"/>
      <w:bookmarkEnd w:id="5421"/>
      <w:bookmarkEnd w:id="5422"/>
      <w:bookmarkEnd w:id="5423"/>
      <w:bookmarkEnd w:id="5424"/>
      <w:bookmarkEnd w:id="5425"/>
      <w:bookmarkEnd w:id="5426"/>
      <w:bookmarkEnd w:id="5427"/>
      <w:bookmarkEnd w:id="5428"/>
      <w:bookmarkEnd w:id="5429"/>
      <w:bookmarkEnd w:id="5430"/>
      <w:bookmarkEnd w:id="5431"/>
      <w:bookmarkEnd w:id="5432"/>
      <w:bookmarkEnd w:id="5433"/>
      <w:bookmarkEnd w:id="5434"/>
      <w:bookmarkEnd w:id="5435"/>
      <w:bookmarkEnd w:id="5436"/>
      <w:bookmarkEnd w:id="5437"/>
      <w:bookmarkEnd w:id="5438"/>
      <w:bookmarkEnd w:id="5439"/>
      <w:bookmarkEnd w:id="5440"/>
      <w:bookmarkEnd w:id="5441"/>
      <w:bookmarkEnd w:id="5442"/>
      <w:bookmarkEnd w:id="5443"/>
      <w:bookmarkEnd w:id="5444"/>
      <w:bookmarkEnd w:id="5445"/>
      <w:bookmarkEnd w:id="5446"/>
      <w:bookmarkEnd w:id="5447"/>
      <w:bookmarkEnd w:id="5448"/>
      <w:bookmarkEnd w:id="5449"/>
      <w:bookmarkEnd w:id="5450"/>
      <w:bookmarkEnd w:id="5451"/>
      <w:bookmarkEnd w:id="5452"/>
      <w:bookmarkEnd w:id="5453"/>
      <w:bookmarkEnd w:id="5454"/>
      <w:bookmarkEnd w:id="5455"/>
      <w:bookmarkEnd w:id="5456"/>
      <w:bookmarkEnd w:id="5457"/>
      <w:bookmarkEnd w:id="5458"/>
      <w:bookmarkEnd w:id="5459"/>
      <w:bookmarkEnd w:id="5460"/>
      <w:bookmarkEnd w:id="5461"/>
      <w:bookmarkEnd w:id="5462"/>
      <w:bookmarkEnd w:id="5463"/>
      <w:bookmarkEnd w:id="5464"/>
      <w:bookmarkEnd w:id="5465"/>
      <w:bookmarkEnd w:id="5466"/>
      <w:bookmarkEnd w:id="5467"/>
      <w:bookmarkEnd w:id="5468"/>
      <w:bookmarkEnd w:id="5469"/>
      <w:bookmarkEnd w:id="5470"/>
      <w:bookmarkEnd w:id="5471"/>
      <w:bookmarkEnd w:id="5472"/>
      <w:bookmarkEnd w:id="5473"/>
      <w:bookmarkEnd w:id="5474"/>
      <w:bookmarkEnd w:id="5475"/>
      <w:bookmarkEnd w:id="5476"/>
      <w:bookmarkEnd w:id="5477"/>
      <w:bookmarkEnd w:id="5478"/>
      <w:bookmarkEnd w:id="5479"/>
      <w:bookmarkEnd w:id="5480"/>
      <w:bookmarkEnd w:id="5481"/>
      <w:bookmarkEnd w:id="5482"/>
    </w:p>
    <w:p w:rsidR="003852D4" w:rsidRPr="003852D4" w:rsidRDefault="003852D4" w:rsidP="003852D4">
      <w:pPr>
        <w:pStyle w:val="Akapitzlist"/>
        <w:keepNext/>
        <w:numPr>
          <w:ilvl w:val="1"/>
          <w:numId w:val="179"/>
        </w:numPr>
        <w:spacing w:before="240" w:after="60" w:line="240" w:lineRule="auto"/>
        <w:outlineLvl w:val="2"/>
        <w:rPr>
          <w:rFonts w:eastAsia="Times New Roman" w:cs="Calibri"/>
          <w:b/>
          <w:bCs/>
          <w:vanish/>
          <w:color w:val="3366FF"/>
          <w:sz w:val="26"/>
          <w:szCs w:val="26"/>
          <w:lang w:eastAsia="pl-PL"/>
        </w:rPr>
      </w:pPr>
      <w:bookmarkStart w:id="5483" w:name="_Toc467665464"/>
      <w:bookmarkStart w:id="5484" w:name="_Toc467665618"/>
      <w:bookmarkStart w:id="5485" w:name="_Toc467669540"/>
      <w:bookmarkStart w:id="5486" w:name="_Toc467832045"/>
      <w:bookmarkStart w:id="5487" w:name="_Toc467832165"/>
      <w:bookmarkStart w:id="5488" w:name="_Toc467834870"/>
      <w:bookmarkStart w:id="5489" w:name="_Toc467843551"/>
      <w:bookmarkStart w:id="5490" w:name="_Toc467845537"/>
      <w:bookmarkStart w:id="5491" w:name="_Toc467847480"/>
      <w:bookmarkStart w:id="5492" w:name="_Toc467847602"/>
      <w:bookmarkStart w:id="5493" w:name="_Toc467847724"/>
      <w:bookmarkStart w:id="5494" w:name="_Toc467847848"/>
      <w:bookmarkStart w:id="5495" w:name="_Toc467847972"/>
      <w:bookmarkStart w:id="5496" w:name="_Toc467848096"/>
      <w:bookmarkStart w:id="5497" w:name="_Toc467848220"/>
      <w:bookmarkStart w:id="5498" w:name="_Toc467848344"/>
      <w:bookmarkStart w:id="5499" w:name="_Toc467848468"/>
      <w:bookmarkStart w:id="5500" w:name="_Toc468097941"/>
      <w:bookmarkStart w:id="5501" w:name="_Toc468098066"/>
      <w:bookmarkStart w:id="5502" w:name="_Toc468104733"/>
      <w:bookmarkStart w:id="5503" w:name="_Toc468104857"/>
      <w:bookmarkStart w:id="5504" w:name="_Toc468104983"/>
      <w:bookmarkStart w:id="5505" w:name="_Toc468105109"/>
      <w:bookmarkStart w:id="5506" w:name="_Toc468105235"/>
      <w:bookmarkStart w:id="5507" w:name="_Toc468105361"/>
      <w:bookmarkStart w:id="5508" w:name="_Toc468105845"/>
      <w:bookmarkStart w:id="5509" w:name="_Toc468105972"/>
      <w:bookmarkStart w:id="5510" w:name="_Toc468116266"/>
      <w:bookmarkStart w:id="5511" w:name="_Toc468178222"/>
      <w:bookmarkStart w:id="5512" w:name="_Toc468181514"/>
      <w:bookmarkStart w:id="5513" w:name="_Toc468181641"/>
      <w:bookmarkStart w:id="5514" w:name="_Toc468181770"/>
      <w:bookmarkStart w:id="5515" w:name="_Toc468181937"/>
      <w:bookmarkStart w:id="5516" w:name="_Toc468185878"/>
      <w:bookmarkStart w:id="5517" w:name="_Toc468190810"/>
      <w:bookmarkStart w:id="5518" w:name="_Toc468190936"/>
      <w:bookmarkStart w:id="5519" w:name="_Toc468191428"/>
      <w:bookmarkStart w:id="5520" w:name="_Toc468258099"/>
      <w:bookmarkStart w:id="5521" w:name="_Toc468258330"/>
      <w:bookmarkStart w:id="5522" w:name="_Toc468258624"/>
      <w:bookmarkStart w:id="5523" w:name="_Toc468258753"/>
      <w:bookmarkStart w:id="5524" w:name="_Toc468258886"/>
      <w:bookmarkStart w:id="5525" w:name="_Toc468259017"/>
      <w:bookmarkStart w:id="5526" w:name="_Toc468259146"/>
      <w:bookmarkStart w:id="5527" w:name="_Toc468259275"/>
      <w:bookmarkStart w:id="5528" w:name="_Toc468259532"/>
      <w:bookmarkStart w:id="5529" w:name="_Toc468259664"/>
      <w:bookmarkStart w:id="5530" w:name="_Toc468259794"/>
      <w:bookmarkStart w:id="5531" w:name="_Toc468259923"/>
      <w:bookmarkStart w:id="5532" w:name="_Toc468260054"/>
      <w:bookmarkStart w:id="5533" w:name="_Toc468260183"/>
      <w:bookmarkStart w:id="5534" w:name="_Toc468260312"/>
      <w:bookmarkStart w:id="5535" w:name="_Toc468260441"/>
      <w:bookmarkStart w:id="5536" w:name="_Toc468260570"/>
      <w:bookmarkStart w:id="5537" w:name="_Toc468260699"/>
      <w:bookmarkStart w:id="5538" w:name="_Toc468260827"/>
      <w:bookmarkStart w:id="5539" w:name="_Toc468260958"/>
      <w:bookmarkStart w:id="5540" w:name="_Toc468261089"/>
      <w:bookmarkStart w:id="5541" w:name="_Toc468261220"/>
      <w:bookmarkStart w:id="5542" w:name="_Toc468261351"/>
      <w:bookmarkStart w:id="5543" w:name="_Toc468261482"/>
      <w:bookmarkStart w:id="5544" w:name="_Toc468266796"/>
      <w:bookmarkStart w:id="5545" w:name="_Toc468266924"/>
      <w:bookmarkStart w:id="5546" w:name="_Toc468267052"/>
      <w:bookmarkStart w:id="5547" w:name="_Toc468269463"/>
      <w:bookmarkStart w:id="5548" w:name="_Toc468279429"/>
      <w:bookmarkStart w:id="5549" w:name="_Toc468360281"/>
      <w:bookmarkStart w:id="5550" w:name="_Toc468361222"/>
      <w:bookmarkStart w:id="5551" w:name="_Toc468363452"/>
      <w:bookmarkStart w:id="5552" w:name="_Toc468366279"/>
      <w:bookmarkStart w:id="5553" w:name="_Toc468428369"/>
      <w:bookmarkStart w:id="5554" w:name="_Toc468691765"/>
      <w:bookmarkStart w:id="5555" w:name="_Toc468691892"/>
      <w:bookmarkStart w:id="5556" w:name="_Toc468692019"/>
      <w:bookmarkStart w:id="5557" w:name="_Toc468693973"/>
      <w:bookmarkStart w:id="5558" w:name="_Toc468712668"/>
      <w:bookmarkStart w:id="5559" w:name="_Toc468712796"/>
      <w:bookmarkStart w:id="5560" w:name="_Toc468712923"/>
      <w:bookmarkStart w:id="5561" w:name="_Toc468713050"/>
      <w:bookmarkStart w:id="5562" w:name="_Toc468713177"/>
      <w:bookmarkStart w:id="5563" w:name="_Toc468713304"/>
      <w:bookmarkStart w:id="5564" w:name="_Toc468713431"/>
      <w:bookmarkStart w:id="5565" w:name="_Toc468713558"/>
      <w:bookmarkStart w:id="5566" w:name="_Toc468713811"/>
      <w:bookmarkStart w:id="5567" w:name="_Toc468713938"/>
      <w:bookmarkStart w:id="5568" w:name="_Toc468714065"/>
      <w:bookmarkStart w:id="5569" w:name="_Toc468787074"/>
      <w:bookmarkStart w:id="5570" w:name="_Toc468787392"/>
      <w:bookmarkStart w:id="5571" w:name="_Toc468787520"/>
      <w:bookmarkStart w:id="5572" w:name="_Toc468787648"/>
      <w:bookmarkStart w:id="5573" w:name="_Toc468787775"/>
      <w:bookmarkStart w:id="5574" w:name="_Toc468787902"/>
      <w:bookmarkStart w:id="5575" w:name="_Toc468788029"/>
      <w:bookmarkStart w:id="5576" w:name="_Toc468957709"/>
      <w:bookmarkStart w:id="5577" w:name="_Toc468957836"/>
      <w:bookmarkStart w:id="5578" w:name="_Toc468957963"/>
      <w:bookmarkStart w:id="5579" w:name="_Toc468958090"/>
      <w:bookmarkStart w:id="5580" w:name="_Toc468958217"/>
      <w:bookmarkStart w:id="5581" w:name="_Toc468958344"/>
      <w:bookmarkStart w:id="5582" w:name="_Toc468958471"/>
      <w:bookmarkStart w:id="5583" w:name="_Toc468958598"/>
      <w:bookmarkStart w:id="5584" w:name="_Toc468958725"/>
      <w:bookmarkStart w:id="5585" w:name="_Toc468958852"/>
      <w:bookmarkStart w:id="5586" w:name="_Toc468958979"/>
      <w:bookmarkStart w:id="5587" w:name="_Toc468959106"/>
      <w:bookmarkStart w:id="5588" w:name="_Toc468960607"/>
      <w:bookmarkStart w:id="5589" w:name="_Toc469035080"/>
      <w:bookmarkStart w:id="5590" w:name="_Toc469056790"/>
      <w:bookmarkStart w:id="5591" w:name="_Toc469321102"/>
      <w:bookmarkStart w:id="5592" w:name="_Toc469323831"/>
      <w:bookmarkStart w:id="5593" w:name="_Toc469323957"/>
      <w:bookmarkStart w:id="5594" w:name="_Toc469324508"/>
      <w:bookmarkStart w:id="5595" w:name="_Toc470695386"/>
      <w:bookmarkStart w:id="5596" w:name="_Toc470695539"/>
      <w:bookmarkStart w:id="5597" w:name="_Toc470697043"/>
      <w:bookmarkStart w:id="5598" w:name="_Toc470699927"/>
      <w:bookmarkStart w:id="5599" w:name="_Toc470762773"/>
      <w:bookmarkStart w:id="5600" w:name="_Toc471114591"/>
      <w:bookmarkStart w:id="5601" w:name="_Toc474393007"/>
      <w:bookmarkStart w:id="5602" w:name="_Toc474497898"/>
      <w:bookmarkStart w:id="5603" w:name="_Toc474498657"/>
      <w:bookmarkStart w:id="5604" w:name="_Toc474844516"/>
      <w:bookmarkStart w:id="5605" w:name="_Toc474844643"/>
      <w:bookmarkStart w:id="5606" w:name="_Toc474919913"/>
      <w:bookmarkStart w:id="5607" w:name="_Toc474924922"/>
      <w:bookmarkEnd w:id="5483"/>
      <w:bookmarkEnd w:id="5484"/>
      <w:bookmarkEnd w:id="5485"/>
      <w:bookmarkEnd w:id="5486"/>
      <w:bookmarkEnd w:id="5487"/>
      <w:bookmarkEnd w:id="5488"/>
      <w:bookmarkEnd w:id="5489"/>
      <w:bookmarkEnd w:id="5490"/>
      <w:bookmarkEnd w:id="5491"/>
      <w:bookmarkEnd w:id="5492"/>
      <w:bookmarkEnd w:id="5493"/>
      <w:bookmarkEnd w:id="5494"/>
      <w:bookmarkEnd w:id="5495"/>
      <w:bookmarkEnd w:id="5496"/>
      <w:bookmarkEnd w:id="5497"/>
      <w:bookmarkEnd w:id="5498"/>
      <w:bookmarkEnd w:id="5499"/>
      <w:bookmarkEnd w:id="5500"/>
      <w:bookmarkEnd w:id="5501"/>
      <w:bookmarkEnd w:id="5502"/>
      <w:bookmarkEnd w:id="5503"/>
      <w:bookmarkEnd w:id="5504"/>
      <w:bookmarkEnd w:id="5505"/>
      <w:bookmarkEnd w:id="5506"/>
      <w:bookmarkEnd w:id="5507"/>
      <w:bookmarkEnd w:id="5508"/>
      <w:bookmarkEnd w:id="5509"/>
      <w:bookmarkEnd w:id="5510"/>
      <w:bookmarkEnd w:id="5511"/>
      <w:bookmarkEnd w:id="5512"/>
      <w:bookmarkEnd w:id="5513"/>
      <w:bookmarkEnd w:id="5514"/>
      <w:bookmarkEnd w:id="5515"/>
      <w:bookmarkEnd w:id="5516"/>
      <w:bookmarkEnd w:id="5517"/>
      <w:bookmarkEnd w:id="5518"/>
      <w:bookmarkEnd w:id="5519"/>
      <w:bookmarkEnd w:id="5520"/>
      <w:bookmarkEnd w:id="5521"/>
      <w:bookmarkEnd w:id="5522"/>
      <w:bookmarkEnd w:id="5523"/>
      <w:bookmarkEnd w:id="5524"/>
      <w:bookmarkEnd w:id="5525"/>
      <w:bookmarkEnd w:id="5526"/>
      <w:bookmarkEnd w:id="5527"/>
      <w:bookmarkEnd w:id="5528"/>
      <w:bookmarkEnd w:id="5529"/>
      <w:bookmarkEnd w:id="5530"/>
      <w:bookmarkEnd w:id="5531"/>
      <w:bookmarkEnd w:id="5532"/>
      <w:bookmarkEnd w:id="5533"/>
      <w:bookmarkEnd w:id="5534"/>
      <w:bookmarkEnd w:id="5535"/>
      <w:bookmarkEnd w:id="5536"/>
      <w:bookmarkEnd w:id="5537"/>
      <w:bookmarkEnd w:id="5538"/>
      <w:bookmarkEnd w:id="5539"/>
      <w:bookmarkEnd w:id="5540"/>
      <w:bookmarkEnd w:id="5541"/>
      <w:bookmarkEnd w:id="5542"/>
      <w:bookmarkEnd w:id="5543"/>
      <w:bookmarkEnd w:id="5544"/>
      <w:bookmarkEnd w:id="5545"/>
      <w:bookmarkEnd w:id="5546"/>
      <w:bookmarkEnd w:id="5547"/>
      <w:bookmarkEnd w:id="5548"/>
      <w:bookmarkEnd w:id="5549"/>
      <w:bookmarkEnd w:id="5550"/>
      <w:bookmarkEnd w:id="5551"/>
      <w:bookmarkEnd w:id="5552"/>
      <w:bookmarkEnd w:id="5553"/>
      <w:bookmarkEnd w:id="5554"/>
      <w:bookmarkEnd w:id="5555"/>
      <w:bookmarkEnd w:id="5556"/>
      <w:bookmarkEnd w:id="5557"/>
      <w:bookmarkEnd w:id="5558"/>
      <w:bookmarkEnd w:id="5559"/>
      <w:bookmarkEnd w:id="5560"/>
      <w:bookmarkEnd w:id="5561"/>
      <w:bookmarkEnd w:id="5562"/>
      <w:bookmarkEnd w:id="5563"/>
      <w:bookmarkEnd w:id="5564"/>
      <w:bookmarkEnd w:id="5565"/>
      <w:bookmarkEnd w:id="5566"/>
      <w:bookmarkEnd w:id="5567"/>
      <w:bookmarkEnd w:id="5568"/>
      <w:bookmarkEnd w:id="5569"/>
      <w:bookmarkEnd w:id="5570"/>
      <w:bookmarkEnd w:id="5571"/>
      <w:bookmarkEnd w:id="5572"/>
      <w:bookmarkEnd w:id="5573"/>
      <w:bookmarkEnd w:id="5574"/>
      <w:bookmarkEnd w:id="5575"/>
      <w:bookmarkEnd w:id="5576"/>
      <w:bookmarkEnd w:id="5577"/>
      <w:bookmarkEnd w:id="5578"/>
      <w:bookmarkEnd w:id="5579"/>
      <w:bookmarkEnd w:id="5580"/>
      <w:bookmarkEnd w:id="5581"/>
      <w:bookmarkEnd w:id="5582"/>
      <w:bookmarkEnd w:id="5583"/>
      <w:bookmarkEnd w:id="5584"/>
      <w:bookmarkEnd w:id="5585"/>
      <w:bookmarkEnd w:id="5586"/>
      <w:bookmarkEnd w:id="5587"/>
      <w:bookmarkEnd w:id="5588"/>
      <w:bookmarkEnd w:id="5589"/>
      <w:bookmarkEnd w:id="5590"/>
      <w:bookmarkEnd w:id="5591"/>
      <w:bookmarkEnd w:id="5592"/>
      <w:bookmarkEnd w:id="5593"/>
      <w:bookmarkEnd w:id="5594"/>
      <w:bookmarkEnd w:id="5595"/>
      <w:bookmarkEnd w:id="5596"/>
      <w:bookmarkEnd w:id="5597"/>
      <w:bookmarkEnd w:id="5598"/>
      <w:bookmarkEnd w:id="5599"/>
      <w:bookmarkEnd w:id="5600"/>
      <w:bookmarkEnd w:id="5601"/>
      <w:bookmarkEnd w:id="5602"/>
      <w:bookmarkEnd w:id="5603"/>
      <w:bookmarkEnd w:id="5604"/>
      <w:bookmarkEnd w:id="5605"/>
      <w:bookmarkEnd w:id="5606"/>
      <w:bookmarkEnd w:id="5607"/>
    </w:p>
    <w:p w:rsidR="003852D4" w:rsidRPr="003852D4" w:rsidRDefault="003852D4" w:rsidP="003852D4">
      <w:pPr>
        <w:pStyle w:val="Akapitzlist"/>
        <w:keepNext/>
        <w:numPr>
          <w:ilvl w:val="1"/>
          <w:numId w:val="179"/>
        </w:numPr>
        <w:spacing w:before="240" w:after="60" w:line="240" w:lineRule="auto"/>
        <w:outlineLvl w:val="2"/>
        <w:rPr>
          <w:rFonts w:eastAsia="Times New Roman" w:cs="Calibri"/>
          <w:b/>
          <w:bCs/>
          <w:vanish/>
          <w:color w:val="3366FF"/>
          <w:sz w:val="26"/>
          <w:szCs w:val="26"/>
          <w:lang w:eastAsia="pl-PL"/>
        </w:rPr>
      </w:pPr>
      <w:bookmarkStart w:id="5608" w:name="_Toc467665465"/>
      <w:bookmarkStart w:id="5609" w:name="_Toc467665619"/>
      <w:bookmarkStart w:id="5610" w:name="_Toc467669541"/>
      <w:bookmarkStart w:id="5611" w:name="_Toc467832046"/>
      <w:bookmarkStart w:id="5612" w:name="_Toc467832166"/>
      <w:bookmarkStart w:id="5613" w:name="_Toc467834871"/>
      <w:bookmarkStart w:id="5614" w:name="_Toc467843552"/>
      <w:bookmarkStart w:id="5615" w:name="_Toc467845538"/>
      <w:bookmarkStart w:id="5616" w:name="_Toc467847481"/>
      <w:bookmarkStart w:id="5617" w:name="_Toc467847603"/>
      <w:bookmarkStart w:id="5618" w:name="_Toc467847725"/>
      <w:bookmarkStart w:id="5619" w:name="_Toc467847849"/>
      <w:bookmarkStart w:id="5620" w:name="_Toc467847973"/>
      <w:bookmarkStart w:id="5621" w:name="_Toc467848097"/>
      <w:bookmarkStart w:id="5622" w:name="_Toc467848221"/>
      <w:bookmarkStart w:id="5623" w:name="_Toc467848345"/>
      <w:bookmarkStart w:id="5624" w:name="_Toc467848469"/>
      <w:bookmarkStart w:id="5625" w:name="_Toc468097942"/>
      <w:bookmarkStart w:id="5626" w:name="_Toc468098067"/>
      <w:bookmarkStart w:id="5627" w:name="_Toc468104734"/>
      <w:bookmarkStart w:id="5628" w:name="_Toc468104858"/>
      <w:bookmarkStart w:id="5629" w:name="_Toc468104984"/>
      <w:bookmarkStart w:id="5630" w:name="_Toc468105110"/>
      <w:bookmarkStart w:id="5631" w:name="_Toc468105236"/>
      <w:bookmarkStart w:id="5632" w:name="_Toc468105362"/>
      <w:bookmarkStart w:id="5633" w:name="_Toc468105846"/>
      <w:bookmarkStart w:id="5634" w:name="_Toc468105973"/>
      <w:bookmarkStart w:id="5635" w:name="_Toc468116267"/>
      <w:bookmarkStart w:id="5636" w:name="_Toc468178223"/>
      <w:bookmarkStart w:id="5637" w:name="_Toc468181515"/>
      <w:bookmarkStart w:id="5638" w:name="_Toc468181642"/>
      <w:bookmarkStart w:id="5639" w:name="_Toc468181771"/>
      <w:bookmarkStart w:id="5640" w:name="_Toc468181938"/>
      <w:bookmarkStart w:id="5641" w:name="_Toc468185879"/>
      <w:bookmarkStart w:id="5642" w:name="_Toc468190811"/>
      <w:bookmarkStart w:id="5643" w:name="_Toc468190937"/>
      <w:bookmarkStart w:id="5644" w:name="_Toc468191429"/>
      <w:bookmarkStart w:id="5645" w:name="_Toc468258100"/>
      <w:bookmarkStart w:id="5646" w:name="_Toc468258331"/>
      <w:bookmarkStart w:id="5647" w:name="_Toc468258625"/>
      <w:bookmarkStart w:id="5648" w:name="_Toc468258754"/>
      <w:bookmarkStart w:id="5649" w:name="_Toc468258887"/>
      <w:bookmarkStart w:id="5650" w:name="_Toc468259018"/>
      <w:bookmarkStart w:id="5651" w:name="_Toc468259147"/>
      <w:bookmarkStart w:id="5652" w:name="_Toc468259276"/>
      <w:bookmarkStart w:id="5653" w:name="_Toc468259533"/>
      <w:bookmarkStart w:id="5654" w:name="_Toc468259665"/>
      <w:bookmarkStart w:id="5655" w:name="_Toc468259795"/>
      <w:bookmarkStart w:id="5656" w:name="_Toc468259924"/>
      <w:bookmarkStart w:id="5657" w:name="_Toc468260055"/>
      <w:bookmarkStart w:id="5658" w:name="_Toc468260184"/>
      <w:bookmarkStart w:id="5659" w:name="_Toc468260313"/>
      <w:bookmarkStart w:id="5660" w:name="_Toc468260442"/>
      <w:bookmarkStart w:id="5661" w:name="_Toc468260571"/>
      <w:bookmarkStart w:id="5662" w:name="_Toc468260700"/>
      <w:bookmarkStart w:id="5663" w:name="_Toc468260828"/>
      <w:bookmarkStart w:id="5664" w:name="_Toc468260959"/>
      <w:bookmarkStart w:id="5665" w:name="_Toc468261090"/>
      <w:bookmarkStart w:id="5666" w:name="_Toc468261221"/>
      <w:bookmarkStart w:id="5667" w:name="_Toc468261352"/>
      <w:bookmarkStart w:id="5668" w:name="_Toc468261483"/>
      <w:bookmarkStart w:id="5669" w:name="_Toc468266797"/>
      <w:bookmarkStart w:id="5670" w:name="_Toc468266925"/>
      <w:bookmarkStart w:id="5671" w:name="_Toc468267053"/>
      <w:bookmarkStart w:id="5672" w:name="_Toc468269464"/>
      <w:bookmarkStart w:id="5673" w:name="_Toc468279430"/>
      <w:bookmarkStart w:id="5674" w:name="_Toc468360282"/>
      <w:bookmarkStart w:id="5675" w:name="_Toc468361223"/>
      <w:bookmarkStart w:id="5676" w:name="_Toc468363453"/>
      <w:bookmarkStart w:id="5677" w:name="_Toc468366280"/>
      <w:bookmarkStart w:id="5678" w:name="_Toc468428370"/>
      <w:bookmarkStart w:id="5679" w:name="_Toc468691766"/>
      <w:bookmarkStart w:id="5680" w:name="_Toc468691893"/>
      <w:bookmarkStart w:id="5681" w:name="_Toc468692020"/>
      <w:bookmarkStart w:id="5682" w:name="_Toc468693974"/>
      <w:bookmarkStart w:id="5683" w:name="_Toc468712669"/>
      <w:bookmarkStart w:id="5684" w:name="_Toc468712797"/>
      <w:bookmarkStart w:id="5685" w:name="_Toc468712924"/>
      <w:bookmarkStart w:id="5686" w:name="_Toc468713051"/>
      <w:bookmarkStart w:id="5687" w:name="_Toc468713178"/>
      <w:bookmarkStart w:id="5688" w:name="_Toc468713305"/>
      <w:bookmarkStart w:id="5689" w:name="_Toc468713432"/>
      <w:bookmarkStart w:id="5690" w:name="_Toc468713559"/>
      <w:bookmarkStart w:id="5691" w:name="_Toc468713812"/>
      <w:bookmarkStart w:id="5692" w:name="_Toc468713939"/>
      <w:bookmarkStart w:id="5693" w:name="_Toc468714066"/>
      <w:bookmarkStart w:id="5694" w:name="_Toc468787075"/>
      <w:bookmarkStart w:id="5695" w:name="_Toc468787393"/>
      <w:bookmarkStart w:id="5696" w:name="_Toc468787521"/>
      <w:bookmarkStart w:id="5697" w:name="_Toc468787649"/>
      <w:bookmarkStart w:id="5698" w:name="_Toc468787776"/>
      <w:bookmarkStart w:id="5699" w:name="_Toc468787903"/>
      <w:bookmarkStart w:id="5700" w:name="_Toc468788030"/>
      <w:bookmarkStart w:id="5701" w:name="_Toc468957710"/>
      <w:bookmarkStart w:id="5702" w:name="_Toc468957837"/>
      <w:bookmarkStart w:id="5703" w:name="_Toc468957964"/>
      <w:bookmarkStart w:id="5704" w:name="_Toc468958091"/>
      <w:bookmarkStart w:id="5705" w:name="_Toc468958218"/>
      <w:bookmarkStart w:id="5706" w:name="_Toc468958345"/>
      <w:bookmarkStart w:id="5707" w:name="_Toc468958472"/>
      <w:bookmarkStart w:id="5708" w:name="_Toc468958599"/>
      <w:bookmarkStart w:id="5709" w:name="_Toc468958726"/>
      <w:bookmarkStart w:id="5710" w:name="_Toc468958853"/>
      <w:bookmarkStart w:id="5711" w:name="_Toc468958980"/>
      <w:bookmarkStart w:id="5712" w:name="_Toc468959107"/>
      <w:bookmarkStart w:id="5713" w:name="_Toc468960608"/>
      <w:bookmarkStart w:id="5714" w:name="_Toc469035081"/>
      <w:bookmarkStart w:id="5715" w:name="_Toc469056791"/>
      <w:bookmarkStart w:id="5716" w:name="_Toc469321103"/>
      <w:bookmarkStart w:id="5717" w:name="_Toc469323832"/>
      <w:bookmarkStart w:id="5718" w:name="_Toc469323958"/>
      <w:bookmarkStart w:id="5719" w:name="_Toc469324509"/>
      <w:bookmarkStart w:id="5720" w:name="_Toc470695387"/>
      <w:bookmarkStart w:id="5721" w:name="_Toc470695540"/>
      <w:bookmarkStart w:id="5722" w:name="_Toc470697044"/>
      <w:bookmarkStart w:id="5723" w:name="_Toc470699928"/>
      <w:bookmarkStart w:id="5724" w:name="_Toc470762774"/>
      <w:bookmarkStart w:id="5725" w:name="_Toc471114592"/>
      <w:bookmarkStart w:id="5726" w:name="_Toc474393008"/>
      <w:bookmarkStart w:id="5727" w:name="_Toc474497899"/>
      <w:bookmarkStart w:id="5728" w:name="_Toc474498658"/>
      <w:bookmarkStart w:id="5729" w:name="_Toc474844517"/>
      <w:bookmarkStart w:id="5730" w:name="_Toc474844644"/>
      <w:bookmarkStart w:id="5731" w:name="_Toc474919914"/>
      <w:bookmarkStart w:id="5732" w:name="_Toc474924923"/>
      <w:bookmarkEnd w:id="5608"/>
      <w:bookmarkEnd w:id="5609"/>
      <w:bookmarkEnd w:id="5610"/>
      <w:bookmarkEnd w:id="5611"/>
      <w:bookmarkEnd w:id="5612"/>
      <w:bookmarkEnd w:id="5613"/>
      <w:bookmarkEnd w:id="5614"/>
      <w:bookmarkEnd w:id="5615"/>
      <w:bookmarkEnd w:id="5616"/>
      <w:bookmarkEnd w:id="5617"/>
      <w:bookmarkEnd w:id="5618"/>
      <w:bookmarkEnd w:id="5619"/>
      <w:bookmarkEnd w:id="5620"/>
      <w:bookmarkEnd w:id="5621"/>
      <w:bookmarkEnd w:id="5622"/>
      <w:bookmarkEnd w:id="5623"/>
      <w:bookmarkEnd w:id="5624"/>
      <w:bookmarkEnd w:id="5625"/>
      <w:bookmarkEnd w:id="5626"/>
      <w:bookmarkEnd w:id="5627"/>
      <w:bookmarkEnd w:id="5628"/>
      <w:bookmarkEnd w:id="5629"/>
      <w:bookmarkEnd w:id="5630"/>
      <w:bookmarkEnd w:id="5631"/>
      <w:bookmarkEnd w:id="5632"/>
      <w:bookmarkEnd w:id="5633"/>
      <w:bookmarkEnd w:id="5634"/>
      <w:bookmarkEnd w:id="5635"/>
      <w:bookmarkEnd w:id="5636"/>
      <w:bookmarkEnd w:id="5637"/>
      <w:bookmarkEnd w:id="5638"/>
      <w:bookmarkEnd w:id="5639"/>
      <w:bookmarkEnd w:id="5640"/>
      <w:bookmarkEnd w:id="5641"/>
      <w:bookmarkEnd w:id="5642"/>
      <w:bookmarkEnd w:id="5643"/>
      <w:bookmarkEnd w:id="5644"/>
      <w:bookmarkEnd w:id="5645"/>
      <w:bookmarkEnd w:id="5646"/>
      <w:bookmarkEnd w:id="5647"/>
      <w:bookmarkEnd w:id="5648"/>
      <w:bookmarkEnd w:id="5649"/>
      <w:bookmarkEnd w:id="5650"/>
      <w:bookmarkEnd w:id="5651"/>
      <w:bookmarkEnd w:id="5652"/>
      <w:bookmarkEnd w:id="5653"/>
      <w:bookmarkEnd w:id="5654"/>
      <w:bookmarkEnd w:id="5655"/>
      <w:bookmarkEnd w:id="5656"/>
      <w:bookmarkEnd w:id="5657"/>
      <w:bookmarkEnd w:id="5658"/>
      <w:bookmarkEnd w:id="5659"/>
      <w:bookmarkEnd w:id="5660"/>
      <w:bookmarkEnd w:id="5661"/>
      <w:bookmarkEnd w:id="5662"/>
      <w:bookmarkEnd w:id="5663"/>
      <w:bookmarkEnd w:id="5664"/>
      <w:bookmarkEnd w:id="5665"/>
      <w:bookmarkEnd w:id="5666"/>
      <w:bookmarkEnd w:id="5667"/>
      <w:bookmarkEnd w:id="5668"/>
      <w:bookmarkEnd w:id="5669"/>
      <w:bookmarkEnd w:id="5670"/>
      <w:bookmarkEnd w:id="5671"/>
      <w:bookmarkEnd w:id="5672"/>
      <w:bookmarkEnd w:id="5673"/>
      <w:bookmarkEnd w:id="5674"/>
      <w:bookmarkEnd w:id="5675"/>
      <w:bookmarkEnd w:id="5676"/>
      <w:bookmarkEnd w:id="5677"/>
      <w:bookmarkEnd w:id="5678"/>
      <w:bookmarkEnd w:id="5679"/>
      <w:bookmarkEnd w:id="5680"/>
      <w:bookmarkEnd w:id="5681"/>
      <w:bookmarkEnd w:id="5682"/>
      <w:bookmarkEnd w:id="5683"/>
      <w:bookmarkEnd w:id="5684"/>
      <w:bookmarkEnd w:id="5685"/>
      <w:bookmarkEnd w:id="5686"/>
      <w:bookmarkEnd w:id="5687"/>
      <w:bookmarkEnd w:id="5688"/>
      <w:bookmarkEnd w:id="5689"/>
      <w:bookmarkEnd w:id="5690"/>
      <w:bookmarkEnd w:id="5691"/>
      <w:bookmarkEnd w:id="5692"/>
      <w:bookmarkEnd w:id="5693"/>
      <w:bookmarkEnd w:id="5694"/>
      <w:bookmarkEnd w:id="5695"/>
      <w:bookmarkEnd w:id="5696"/>
      <w:bookmarkEnd w:id="5697"/>
      <w:bookmarkEnd w:id="5698"/>
      <w:bookmarkEnd w:id="5699"/>
      <w:bookmarkEnd w:id="5700"/>
      <w:bookmarkEnd w:id="5701"/>
      <w:bookmarkEnd w:id="5702"/>
      <w:bookmarkEnd w:id="5703"/>
      <w:bookmarkEnd w:id="5704"/>
      <w:bookmarkEnd w:id="5705"/>
      <w:bookmarkEnd w:id="5706"/>
      <w:bookmarkEnd w:id="5707"/>
      <w:bookmarkEnd w:id="5708"/>
      <w:bookmarkEnd w:id="5709"/>
      <w:bookmarkEnd w:id="5710"/>
      <w:bookmarkEnd w:id="5711"/>
      <w:bookmarkEnd w:id="5712"/>
      <w:bookmarkEnd w:id="5713"/>
      <w:bookmarkEnd w:id="5714"/>
      <w:bookmarkEnd w:id="5715"/>
      <w:bookmarkEnd w:id="5716"/>
      <w:bookmarkEnd w:id="5717"/>
      <w:bookmarkEnd w:id="5718"/>
      <w:bookmarkEnd w:id="5719"/>
      <w:bookmarkEnd w:id="5720"/>
      <w:bookmarkEnd w:id="5721"/>
      <w:bookmarkEnd w:id="5722"/>
      <w:bookmarkEnd w:id="5723"/>
      <w:bookmarkEnd w:id="5724"/>
      <w:bookmarkEnd w:id="5725"/>
      <w:bookmarkEnd w:id="5726"/>
      <w:bookmarkEnd w:id="5727"/>
      <w:bookmarkEnd w:id="5728"/>
      <w:bookmarkEnd w:id="5729"/>
      <w:bookmarkEnd w:id="5730"/>
      <w:bookmarkEnd w:id="5731"/>
      <w:bookmarkEnd w:id="5732"/>
    </w:p>
    <w:p w:rsidR="003852D4" w:rsidRPr="003852D4" w:rsidRDefault="003852D4" w:rsidP="003852D4">
      <w:pPr>
        <w:pStyle w:val="Akapitzlist"/>
        <w:keepNext/>
        <w:numPr>
          <w:ilvl w:val="2"/>
          <w:numId w:val="179"/>
        </w:numPr>
        <w:spacing w:before="240" w:after="60" w:line="240" w:lineRule="auto"/>
        <w:outlineLvl w:val="2"/>
        <w:rPr>
          <w:rFonts w:eastAsia="Times New Roman" w:cs="Calibri"/>
          <w:b/>
          <w:bCs/>
          <w:vanish/>
          <w:color w:val="3366FF"/>
          <w:sz w:val="26"/>
          <w:szCs w:val="26"/>
          <w:lang w:eastAsia="pl-PL"/>
        </w:rPr>
      </w:pPr>
      <w:bookmarkStart w:id="5733" w:name="_Toc467665466"/>
      <w:bookmarkStart w:id="5734" w:name="_Toc467665620"/>
      <w:bookmarkStart w:id="5735" w:name="_Toc467669542"/>
      <w:bookmarkStart w:id="5736" w:name="_Toc467832047"/>
      <w:bookmarkStart w:id="5737" w:name="_Toc467832167"/>
      <w:bookmarkStart w:id="5738" w:name="_Toc467834872"/>
      <w:bookmarkStart w:id="5739" w:name="_Toc467843553"/>
      <w:bookmarkStart w:id="5740" w:name="_Toc467845539"/>
      <w:bookmarkStart w:id="5741" w:name="_Toc467847482"/>
      <w:bookmarkStart w:id="5742" w:name="_Toc467847604"/>
      <w:bookmarkStart w:id="5743" w:name="_Toc467847726"/>
      <w:bookmarkStart w:id="5744" w:name="_Toc467847850"/>
      <w:bookmarkStart w:id="5745" w:name="_Toc467847974"/>
      <w:bookmarkStart w:id="5746" w:name="_Toc467848098"/>
      <w:bookmarkStart w:id="5747" w:name="_Toc467848222"/>
      <w:bookmarkStart w:id="5748" w:name="_Toc467848346"/>
      <w:bookmarkStart w:id="5749" w:name="_Toc467848470"/>
      <w:bookmarkStart w:id="5750" w:name="_Toc468097943"/>
      <w:bookmarkStart w:id="5751" w:name="_Toc468098068"/>
      <w:bookmarkStart w:id="5752" w:name="_Toc468104735"/>
      <w:bookmarkStart w:id="5753" w:name="_Toc468104859"/>
      <w:bookmarkStart w:id="5754" w:name="_Toc468104985"/>
      <w:bookmarkStart w:id="5755" w:name="_Toc468105111"/>
      <w:bookmarkStart w:id="5756" w:name="_Toc468105237"/>
      <w:bookmarkStart w:id="5757" w:name="_Toc468105363"/>
      <w:bookmarkStart w:id="5758" w:name="_Toc468105847"/>
      <w:bookmarkStart w:id="5759" w:name="_Toc468105974"/>
      <w:bookmarkStart w:id="5760" w:name="_Toc468116268"/>
      <w:bookmarkStart w:id="5761" w:name="_Toc468178224"/>
      <w:bookmarkStart w:id="5762" w:name="_Toc468181516"/>
      <w:bookmarkStart w:id="5763" w:name="_Toc468181643"/>
      <w:bookmarkStart w:id="5764" w:name="_Toc468181772"/>
      <w:bookmarkStart w:id="5765" w:name="_Toc468181939"/>
      <w:bookmarkStart w:id="5766" w:name="_Toc468185880"/>
      <w:bookmarkStart w:id="5767" w:name="_Toc468190812"/>
      <w:bookmarkStart w:id="5768" w:name="_Toc468190938"/>
      <w:bookmarkStart w:id="5769" w:name="_Toc468191430"/>
      <w:bookmarkStart w:id="5770" w:name="_Toc468258101"/>
      <w:bookmarkStart w:id="5771" w:name="_Toc468258332"/>
      <w:bookmarkStart w:id="5772" w:name="_Toc468258626"/>
      <w:bookmarkStart w:id="5773" w:name="_Toc468258755"/>
      <w:bookmarkStart w:id="5774" w:name="_Toc468258888"/>
      <w:bookmarkStart w:id="5775" w:name="_Toc468259019"/>
      <w:bookmarkStart w:id="5776" w:name="_Toc468259148"/>
      <w:bookmarkStart w:id="5777" w:name="_Toc468259277"/>
      <w:bookmarkStart w:id="5778" w:name="_Toc468259534"/>
      <w:bookmarkStart w:id="5779" w:name="_Toc468259666"/>
      <w:bookmarkStart w:id="5780" w:name="_Toc468259796"/>
      <w:bookmarkStart w:id="5781" w:name="_Toc468259925"/>
      <w:bookmarkStart w:id="5782" w:name="_Toc468260056"/>
      <w:bookmarkStart w:id="5783" w:name="_Toc468260185"/>
      <w:bookmarkStart w:id="5784" w:name="_Toc468260314"/>
      <w:bookmarkStart w:id="5785" w:name="_Toc468260443"/>
      <w:bookmarkStart w:id="5786" w:name="_Toc468260572"/>
      <w:bookmarkStart w:id="5787" w:name="_Toc468260701"/>
      <w:bookmarkStart w:id="5788" w:name="_Toc468260829"/>
      <w:bookmarkStart w:id="5789" w:name="_Toc468260960"/>
      <w:bookmarkStart w:id="5790" w:name="_Toc468261091"/>
      <w:bookmarkStart w:id="5791" w:name="_Toc468261222"/>
      <w:bookmarkStart w:id="5792" w:name="_Toc468261353"/>
      <w:bookmarkStart w:id="5793" w:name="_Toc468261484"/>
      <w:bookmarkStart w:id="5794" w:name="_Toc468266798"/>
      <w:bookmarkStart w:id="5795" w:name="_Toc468266926"/>
      <w:bookmarkStart w:id="5796" w:name="_Toc468267054"/>
      <w:bookmarkStart w:id="5797" w:name="_Toc468269465"/>
      <w:bookmarkStart w:id="5798" w:name="_Toc468279431"/>
      <w:bookmarkStart w:id="5799" w:name="_Toc468360283"/>
      <w:bookmarkStart w:id="5800" w:name="_Toc468361224"/>
      <w:bookmarkStart w:id="5801" w:name="_Toc468363454"/>
      <w:bookmarkStart w:id="5802" w:name="_Toc468366281"/>
      <w:bookmarkStart w:id="5803" w:name="_Toc468428371"/>
      <w:bookmarkStart w:id="5804" w:name="_Toc468691767"/>
      <w:bookmarkStart w:id="5805" w:name="_Toc468691894"/>
      <w:bookmarkStart w:id="5806" w:name="_Toc468692021"/>
      <w:bookmarkStart w:id="5807" w:name="_Toc468693975"/>
      <w:bookmarkStart w:id="5808" w:name="_Toc468712670"/>
      <w:bookmarkStart w:id="5809" w:name="_Toc468712798"/>
      <w:bookmarkStart w:id="5810" w:name="_Toc468712925"/>
      <w:bookmarkStart w:id="5811" w:name="_Toc468713052"/>
      <w:bookmarkStart w:id="5812" w:name="_Toc468713179"/>
      <w:bookmarkStart w:id="5813" w:name="_Toc468713306"/>
      <w:bookmarkStart w:id="5814" w:name="_Toc468713433"/>
      <w:bookmarkStart w:id="5815" w:name="_Toc468713560"/>
      <w:bookmarkStart w:id="5816" w:name="_Toc468713813"/>
      <w:bookmarkStart w:id="5817" w:name="_Toc468713940"/>
      <w:bookmarkStart w:id="5818" w:name="_Toc468714067"/>
      <w:bookmarkStart w:id="5819" w:name="_Toc468787076"/>
      <w:bookmarkStart w:id="5820" w:name="_Toc468787394"/>
      <w:bookmarkStart w:id="5821" w:name="_Toc468787522"/>
      <w:bookmarkStart w:id="5822" w:name="_Toc468787650"/>
      <w:bookmarkStart w:id="5823" w:name="_Toc468787777"/>
      <w:bookmarkStart w:id="5824" w:name="_Toc468787904"/>
      <w:bookmarkStart w:id="5825" w:name="_Toc468788031"/>
      <w:bookmarkStart w:id="5826" w:name="_Toc468957711"/>
      <w:bookmarkStart w:id="5827" w:name="_Toc468957838"/>
      <w:bookmarkStart w:id="5828" w:name="_Toc468957965"/>
      <w:bookmarkStart w:id="5829" w:name="_Toc468958092"/>
      <w:bookmarkStart w:id="5830" w:name="_Toc468958219"/>
      <w:bookmarkStart w:id="5831" w:name="_Toc468958346"/>
      <w:bookmarkStart w:id="5832" w:name="_Toc468958473"/>
      <w:bookmarkStart w:id="5833" w:name="_Toc468958600"/>
      <w:bookmarkStart w:id="5834" w:name="_Toc468958727"/>
      <w:bookmarkStart w:id="5835" w:name="_Toc468958854"/>
      <w:bookmarkStart w:id="5836" w:name="_Toc468958981"/>
      <w:bookmarkStart w:id="5837" w:name="_Toc468959108"/>
      <w:bookmarkStart w:id="5838" w:name="_Toc468960609"/>
      <w:bookmarkStart w:id="5839" w:name="_Toc469035082"/>
      <w:bookmarkStart w:id="5840" w:name="_Toc469056792"/>
      <w:bookmarkStart w:id="5841" w:name="_Toc469321104"/>
      <w:bookmarkStart w:id="5842" w:name="_Toc469323833"/>
      <w:bookmarkStart w:id="5843" w:name="_Toc469323959"/>
      <w:bookmarkStart w:id="5844" w:name="_Toc469324510"/>
      <w:bookmarkStart w:id="5845" w:name="_Toc470695388"/>
      <w:bookmarkStart w:id="5846" w:name="_Toc470695541"/>
      <w:bookmarkStart w:id="5847" w:name="_Toc470697045"/>
      <w:bookmarkStart w:id="5848" w:name="_Toc470699929"/>
      <w:bookmarkStart w:id="5849" w:name="_Toc470762775"/>
      <w:bookmarkStart w:id="5850" w:name="_Toc471114593"/>
      <w:bookmarkStart w:id="5851" w:name="_Toc474393009"/>
      <w:bookmarkStart w:id="5852" w:name="_Toc474497900"/>
      <w:bookmarkStart w:id="5853" w:name="_Toc474498659"/>
      <w:bookmarkStart w:id="5854" w:name="_Toc474844518"/>
      <w:bookmarkStart w:id="5855" w:name="_Toc474844645"/>
      <w:bookmarkStart w:id="5856" w:name="_Toc474919915"/>
      <w:bookmarkStart w:id="5857" w:name="_Toc474924924"/>
      <w:bookmarkEnd w:id="5733"/>
      <w:bookmarkEnd w:id="5734"/>
      <w:bookmarkEnd w:id="5735"/>
      <w:bookmarkEnd w:id="5736"/>
      <w:bookmarkEnd w:id="5737"/>
      <w:bookmarkEnd w:id="5738"/>
      <w:bookmarkEnd w:id="5739"/>
      <w:bookmarkEnd w:id="5740"/>
      <w:bookmarkEnd w:id="5741"/>
      <w:bookmarkEnd w:id="5742"/>
      <w:bookmarkEnd w:id="5743"/>
      <w:bookmarkEnd w:id="5744"/>
      <w:bookmarkEnd w:id="5745"/>
      <w:bookmarkEnd w:id="5746"/>
      <w:bookmarkEnd w:id="5747"/>
      <w:bookmarkEnd w:id="5748"/>
      <w:bookmarkEnd w:id="5749"/>
      <w:bookmarkEnd w:id="5750"/>
      <w:bookmarkEnd w:id="5751"/>
      <w:bookmarkEnd w:id="5752"/>
      <w:bookmarkEnd w:id="5753"/>
      <w:bookmarkEnd w:id="5754"/>
      <w:bookmarkEnd w:id="5755"/>
      <w:bookmarkEnd w:id="5756"/>
      <w:bookmarkEnd w:id="5757"/>
      <w:bookmarkEnd w:id="5758"/>
      <w:bookmarkEnd w:id="5759"/>
      <w:bookmarkEnd w:id="5760"/>
      <w:bookmarkEnd w:id="5761"/>
      <w:bookmarkEnd w:id="5762"/>
      <w:bookmarkEnd w:id="5763"/>
      <w:bookmarkEnd w:id="5764"/>
      <w:bookmarkEnd w:id="5765"/>
      <w:bookmarkEnd w:id="5766"/>
      <w:bookmarkEnd w:id="5767"/>
      <w:bookmarkEnd w:id="5768"/>
      <w:bookmarkEnd w:id="5769"/>
      <w:bookmarkEnd w:id="5770"/>
      <w:bookmarkEnd w:id="5771"/>
      <w:bookmarkEnd w:id="5772"/>
      <w:bookmarkEnd w:id="5773"/>
      <w:bookmarkEnd w:id="5774"/>
      <w:bookmarkEnd w:id="5775"/>
      <w:bookmarkEnd w:id="5776"/>
      <w:bookmarkEnd w:id="5777"/>
      <w:bookmarkEnd w:id="5778"/>
      <w:bookmarkEnd w:id="5779"/>
      <w:bookmarkEnd w:id="5780"/>
      <w:bookmarkEnd w:id="5781"/>
      <w:bookmarkEnd w:id="5782"/>
      <w:bookmarkEnd w:id="5783"/>
      <w:bookmarkEnd w:id="5784"/>
      <w:bookmarkEnd w:id="5785"/>
      <w:bookmarkEnd w:id="5786"/>
      <w:bookmarkEnd w:id="5787"/>
      <w:bookmarkEnd w:id="5788"/>
      <w:bookmarkEnd w:id="5789"/>
      <w:bookmarkEnd w:id="5790"/>
      <w:bookmarkEnd w:id="5791"/>
      <w:bookmarkEnd w:id="5792"/>
      <w:bookmarkEnd w:id="5793"/>
      <w:bookmarkEnd w:id="5794"/>
      <w:bookmarkEnd w:id="5795"/>
      <w:bookmarkEnd w:id="5796"/>
      <w:bookmarkEnd w:id="5797"/>
      <w:bookmarkEnd w:id="5798"/>
      <w:bookmarkEnd w:id="5799"/>
      <w:bookmarkEnd w:id="5800"/>
      <w:bookmarkEnd w:id="5801"/>
      <w:bookmarkEnd w:id="5802"/>
      <w:bookmarkEnd w:id="5803"/>
      <w:bookmarkEnd w:id="5804"/>
      <w:bookmarkEnd w:id="5805"/>
      <w:bookmarkEnd w:id="5806"/>
      <w:bookmarkEnd w:id="5807"/>
      <w:bookmarkEnd w:id="5808"/>
      <w:bookmarkEnd w:id="5809"/>
      <w:bookmarkEnd w:id="5810"/>
      <w:bookmarkEnd w:id="5811"/>
      <w:bookmarkEnd w:id="5812"/>
      <w:bookmarkEnd w:id="5813"/>
      <w:bookmarkEnd w:id="5814"/>
      <w:bookmarkEnd w:id="5815"/>
      <w:bookmarkEnd w:id="5816"/>
      <w:bookmarkEnd w:id="5817"/>
      <w:bookmarkEnd w:id="5818"/>
      <w:bookmarkEnd w:id="5819"/>
      <w:bookmarkEnd w:id="5820"/>
      <w:bookmarkEnd w:id="5821"/>
      <w:bookmarkEnd w:id="5822"/>
      <w:bookmarkEnd w:id="5823"/>
      <w:bookmarkEnd w:id="5824"/>
      <w:bookmarkEnd w:id="5825"/>
      <w:bookmarkEnd w:id="5826"/>
      <w:bookmarkEnd w:id="5827"/>
      <w:bookmarkEnd w:id="5828"/>
      <w:bookmarkEnd w:id="5829"/>
      <w:bookmarkEnd w:id="5830"/>
      <w:bookmarkEnd w:id="5831"/>
      <w:bookmarkEnd w:id="5832"/>
      <w:bookmarkEnd w:id="5833"/>
      <w:bookmarkEnd w:id="5834"/>
      <w:bookmarkEnd w:id="5835"/>
      <w:bookmarkEnd w:id="5836"/>
      <w:bookmarkEnd w:id="5837"/>
      <w:bookmarkEnd w:id="5838"/>
      <w:bookmarkEnd w:id="5839"/>
      <w:bookmarkEnd w:id="5840"/>
      <w:bookmarkEnd w:id="5841"/>
      <w:bookmarkEnd w:id="5842"/>
      <w:bookmarkEnd w:id="5843"/>
      <w:bookmarkEnd w:id="5844"/>
      <w:bookmarkEnd w:id="5845"/>
      <w:bookmarkEnd w:id="5846"/>
      <w:bookmarkEnd w:id="5847"/>
      <w:bookmarkEnd w:id="5848"/>
      <w:bookmarkEnd w:id="5849"/>
      <w:bookmarkEnd w:id="5850"/>
      <w:bookmarkEnd w:id="5851"/>
      <w:bookmarkEnd w:id="5852"/>
      <w:bookmarkEnd w:id="5853"/>
      <w:bookmarkEnd w:id="5854"/>
      <w:bookmarkEnd w:id="5855"/>
      <w:bookmarkEnd w:id="5856"/>
      <w:bookmarkEnd w:id="5857"/>
    </w:p>
    <w:p w:rsidR="003852D4" w:rsidRPr="003852D4" w:rsidRDefault="003852D4" w:rsidP="003852D4">
      <w:pPr>
        <w:pStyle w:val="Akapitzlist"/>
        <w:keepNext/>
        <w:numPr>
          <w:ilvl w:val="2"/>
          <w:numId w:val="179"/>
        </w:numPr>
        <w:spacing w:before="240" w:after="60" w:line="240" w:lineRule="auto"/>
        <w:outlineLvl w:val="2"/>
        <w:rPr>
          <w:rFonts w:eastAsia="Times New Roman" w:cs="Calibri"/>
          <w:b/>
          <w:bCs/>
          <w:vanish/>
          <w:color w:val="3366FF"/>
          <w:sz w:val="26"/>
          <w:szCs w:val="26"/>
          <w:lang w:eastAsia="pl-PL"/>
        </w:rPr>
      </w:pPr>
      <w:bookmarkStart w:id="5858" w:name="_Toc467665467"/>
      <w:bookmarkStart w:id="5859" w:name="_Toc467665621"/>
      <w:bookmarkStart w:id="5860" w:name="_Toc467669543"/>
      <w:bookmarkStart w:id="5861" w:name="_Toc467832048"/>
      <w:bookmarkStart w:id="5862" w:name="_Toc467832168"/>
      <w:bookmarkStart w:id="5863" w:name="_Toc467834873"/>
      <w:bookmarkStart w:id="5864" w:name="_Toc467843554"/>
      <w:bookmarkStart w:id="5865" w:name="_Toc467845540"/>
      <w:bookmarkStart w:id="5866" w:name="_Toc467847483"/>
      <w:bookmarkStart w:id="5867" w:name="_Toc467847605"/>
      <w:bookmarkStart w:id="5868" w:name="_Toc467847727"/>
      <w:bookmarkStart w:id="5869" w:name="_Toc467847851"/>
      <w:bookmarkStart w:id="5870" w:name="_Toc467847975"/>
      <w:bookmarkStart w:id="5871" w:name="_Toc467848099"/>
      <w:bookmarkStart w:id="5872" w:name="_Toc467848223"/>
      <w:bookmarkStart w:id="5873" w:name="_Toc467848347"/>
      <w:bookmarkStart w:id="5874" w:name="_Toc467848471"/>
      <w:bookmarkStart w:id="5875" w:name="_Toc468097944"/>
      <w:bookmarkStart w:id="5876" w:name="_Toc468098069"/>
      <w:bookmarkStart w:id="5877" w:name="_Toc468104736"/>
      <w:bookmarkStart w:id="5878" w:name="_Toc468104860"/>
      <w:bookmarkStart w:id="5879" w:name="_Toc468104986"/>
      <w:bookmarkStart w:id="5880" w:name="_Toc468105112"/>
      <w:bookmarkStart w:id="5881" w:name="_Toc468105238"/>
      <w:bookmarkStart w:id="5882" w:name="_Toc468105364"/>
      <w:bookmarkStart w:id="5883" w:name="_Toc468105848"/>
      <w:bookmarkStart w:id="5884" w:name="_Toc468105975"/>
      <w:bookmarkStart w:id="5885" w:name="_Toc468116269"/>
      <w:bookmarkStart w:id="5886" w:name="_Toc468178225"/>
      <w:bookmarkStart w:id="5887" w:name="_Toc468181517"/>
      <w:bookmarkStart w:id="5888" w:name="_Toc468181644"/>
      <w:bookmarkStart w:id="5889" w:name="_Toc468181773"/>
      <w:bookmarkStart w:id="5890" w:name="_Toc468181940"/>
      <w:bookmarkStart w:id="5891" w:name="_Toc468185881"/>
      <w:bookmarkStart w:id="5892" w:name="_Toc468190813"/>
      <w:bookmarkStart w:id="5893" w:name="_Toc468190939"/>
      <w:bookmarkStart w:id="5894" w:name="_Toc468191431"/>
      <w:bookmarkStart w:id="5895" w:name="_Toc468258102"/>
      <w:bookmarkStart w:id="5896" w:name="_Toc468258333"/>
      <w:bookmarkStart w:id="5897" w:name="_Toc468258627"/>
      <w:bookmarkStart w:id="5898" w:name="_Toc468258756"/>
      <w:bookmarkStart w:id="5899" w:name="_Toc468258889"/>
      <w:bookmarkStart w:id="5900" w:name="_Toc468259020"/>
      <w:bookmarkStart w:id="5901" w:name="_Toc468259149"/>
      <w:bookmarkStart w:id="5902" w:name="_Toc468259278"/>
      <w:bookmarkStart w:id="5903" w:name="_Toc468259535"/>
      <w:bookmarkStart w:id="5904" w:name="_Toc468259667"/>
      <w:bookmarkStart w:id="5905" w:name="_Toc468259797"/>
      <w:bookmarkStart w:id="5906" w:name="_Toc468259926"/>
      <w:bookmarkStart w:id="5907" w:name="_Toc468260057"/>
      <w:bookmarkStart w:id="5908" w:name="_Toc468260186"/>
      <w:bookmarkStart w:id="5909" w:name="_Toc468260315"/>
      <w:bookmarkStart w:id="5910" w:name="_Toc468260444"/>
      <w:bookmarkStart w:id="5911" w:name="_Toc468260573"/>
      <w:bookmarkStart w:id="5912" w:name="_Toc468260702"/>
      <w:bookmarkStart w:id="5913" w:name="_Toc468260830"/>
      <w:bookmarkStart w:id="5914" w:name="_Toc468260961"/>
      <w:bookmarkStart w:id="5915" w:name="_Toc468261092"/>
      <w:bookmarkStart w:id="5916" w:name="_Toc468261223"/>
      <w:bookmarkStart w:id="5917" w:name="_Toc468261354"/>
      <w:bookmarkStart w:id="5918" w:name="_Toc468261485"/>
      <w:bookmarkStart w:id="5919" w:name="_Toc468266799"/>
      <w:bookmarkStart w:id="5920" w:name="_Toc468266927"/>
      <w:bookmarkStart w:id="5921" w:name="_Toc468267055"/>
      <w:bookmarkStart w:id="5922" w:name="_Toc468269466"/>
      <w:bookmarkStart w:id="5923" w:name="_Toc468279432"/>
      <w:bookmarkStart w:id="5924" w:name="_Toc468360284"/>
      <w:bookmarkStart w:id="5925" w:name="_Toc468361225"/>
      <w:bookmarkStart w:id="5926" w:name="_Toc468363455"/>
      <w:bookmarkStart w:id="5927" w:name="_Toc468366282"/>
      <w:bookmarkStart w:id="5928" w:name="_Toc468428372"/>
      <w:bookmarkStart w:id="5929" w:name="_Toc468691768"/>
      <w:bookmarkStart w:id="5930" w:name="_Toc468691895"/>
      <w:bookmarkStart w:id="5931" w:name="_Toc468692022"/>
      <w:bookmarkStart w:id="5932" w:name="_Toc468693976"/>
      <w:bookmarkStart w:id="5933" w:name="_Toc468712671"/>
      <w:bookmarkStart w:id="5934" w:name="_Toc468712799"/>
      <w:bookmarkStart w:id="5935" w:name="_Toc468712926"/>
      <w:bookmarkStart w:id="5936" w:name="_Toc468713053"/>
      <w:bookmarkStart w:id="5937" w:name="_Toc468713180"/>
      <w:bookmarkStart w:id="5938" w:name="_Toc468713307"/>
      <w:bookmarkStart w:id="5939" w:name="_Toc468713434"/>
      <w:bookmarkStart w:id="5940" w:name="_Toc468713561"/>
      <w:bookmarkStart w:id="5941" w:name="_Toc468713814"/>
      <w:bookmarkStart w:id="5942" w:name="_Toc468713941"/>
      <w:bookmarkStart w:id="5943" w:name="_Toc468714068"/>
      <w:bookmarkStart w:id="5944" w:name="_Toc468787077"/>
      <w:bookmarkStart w:id="5945" w:name="_Toc468787395"/>
      <w:bookmarkStart w:id="5946" w:name="_Toc468787523"/>
      <w:bookmarkStart w:id="5947" w:name="_Toc468787651"/>
      <w:bookmarkStart w:id="5948" w:name="_Toc468787778"/>
      <w:bookmarkStart w:id="5949" w:name="_Toc468787905"/>
      <w:bookmarkStart w:id="5950" w:name="_Toc468788032"/>
      <w:bookmarkStart w:id="5951" w:name="_Toc468957712"/>
      <w:bookmarkStart w:id="5952" w:name="_Toc468957839"/>
      <w:bookmarkStart w:id="5953" w:name="_Toc468957966"/>
      <w:bookmarkStart w:id="5954" w:name="_Toc468958093"/>
      <w:bookmarkStart w:id="5955" w:name="_Toc468958220"/>
      <w:bookmarkStart w:id="5956" w:name="_Toc468958347"/>
      <w:bookmarkStart w:id="5957" w:name="_Toc468958474"/>
      <w:bookmarkStart w:id="5958" w:name="_Toc468958601"/>
      <w:bookmarkStart w:id="5959" w:name="_Toc468958728"/>
      <w:bookmarkStart w:id="5960" w:name="_Toc468958855"/>
      <w:bookmarkStart w:id="5961" w:name="_Toc468958982"/>
      <w:bookmarkStart w:id="5962" w:name="_Toc468959109"/>
      <w:bookmarkStart w:id="5963" w:name="_Toc468960610"/>
      <w:bookmarkStart w:id="5964" w:name="_Toc469035083"/>
      <w:bookmarkStart w:id="5965" w:name="_Toc469056793"/>
      <w:bookmarkStart w:id="5966" w:name="_Toc469321105"/>
      <w:bookmarkStart w:id="5967" w:name="_Toc469323834"/>
      <w:bookmarkStart w:id="5968" w:name="_Toc469323960"/>
      <w:bookmarkStart w:id="5969" w:name="_Toc469324511"/>
      <w:bookmarkStart w:id="5970" w:name="_Toc470695389"/>
      <w:bookmarkStart w:id="5971" w:name="_Toc470695542"/>
      <w:bookmarkStart w:id="5972" w:name="_Toc470697046"/>
      <w:bookmarkStart w:id="5973" w:name="_Toc470699930"/>
      <w:bookmarkStart w:id="5974" w:name="_Toc470762776"/>
      <w:bookmarkStart w:id="5975" w:name="_Toc471114594"/>
      <w:bookmarkStart w:id="5976" w:name="_Toc474393010"/>
      <w:bookmarkStart w:id="5977" w:name="_Toc474497901"/>
      <w:bookmarkStart w:id="5978" w:name="_Toc474498660"/>
      <w:bookmarkStart w:id="5979" w:name="_Toc474844519"/>
      <w:bookmarkStart w:id="5980" w:name="_Toc474844646"/>
      <w:bookmarkStart w:id="5981" w:name="_Toc474919916"/>
      <w:bookmarkStart w:id="5982" w:name="_Toc474924925"/>
      <w:bookmarkEnd w:id="5858"/>
      <w:bookmarkEnd w:id="5859"/>
      <w:bookmarkEnd w:id="5860"/>
      <w:bookmarkEnd w:id="5861"/>
      <w:bookmarkEnd w:id="5862"/>
      <w:bookmarkEnd w:id="5863"/>
      <w:bookmarkEnd w:id="5864"/>
      <w:bookmarkEnd w:id="5865"/>
      <w:bookmarkEnd w:id="5866"/>
      <w:bookmarkEnd w:id="5867"/>
      <w:bookmarkEnd w:id="5868"/>
      <w:bookmarkEnd w:id="5869"/>
      <w:bookmarkEnd w:id="5870"/>
      <w:bookmarkEnd w:id="5871"/>
      <w:bookmarkEnd w:id="5872"/>
      <w:bookmarkEnd w:id="5873"/>
      <w:bookmarkEnd w:id="5874"/>
      <w:bookmarkEnd w:id="5875"/>
      <w:bookmarkEnd w:id="5876"/>
      <w:bookmarkEnd w:id="5877"/>
      <w:bookmarkEnd w:id="5878"/>
      <w:bookmarkEnd w:id="5879"/>
      <w:bookmarkEnd w:id="5880"/>
      <w:bookmarkEnd w:id="5881"/>
      <w:bookmarkEnd w:id="5882"/>
      <w:bookmarkEnd w:id="5883"/>
      <w:bookmarkEnd w:id="5884"/>
      <w:bookmarkEnd w:id="5885"/>
      <w:bookmarkEnd w:id="5886"/>
      <w:bookmarkEnd w:id="5887"/>
      <w:bookmarkEnd w:id="5888"/>
      <w:bookmarkEnd w:id="5889"/>
      <w:bookmarkEnd w:id="5890"/>
      <w:bookmarkEnd w:id="5891"/>
      <w:bookmarkEnd w:id="5892"/>
      <w:bookmarkEnd w:id="5893"/>
      <w:bookmarkEnd w:id="5894"/>
      <w:bookmarkEnd w:id="5895"/>
      <w:bookmarkEnd w:id="5896"/>
      <w:bookmarkEnd w:id="5897"/>
      <w:bookmarkEnd w:id="5898"/>
      <w:bookmarkEnd w:id="5899"/>
      <w:bookmarkEnd w:id="5900"/>
      <w:bookmarkEnd w:id="5901"/>
      <w:bookmarkEnd w:id="5902"/>
      <w:bookmarkEnd w:id="5903"/>
      <w:bookmarkEnd w:id="5904"/>
      <w:bookmarkEnd w:id="5905"/>
      <w:bookmarkEnd w:id="5906"/>
      <w:bookmarkEnd w:id="5907"/>
      <w:bookmarkEnd w:id="5908"/>
      <w:bookmarkEnd w:id="5909"/>
      <w:bookmarkEnd w:id="5910"/>
      <w:bookmarkEnd w:id="5911"/>
      <w:bookmarkEnd w:id="5912"/>
      <w:bookmarkEnd w:id="5913"/>
      <w:bookmarkEnd w:id="5914"/>
      <w:bookmarkEnd w:id="5915"/>
      <w:bookmarkEnd w:id="5916"/>
      <w:bookmarkEnd w:id="5917"/>
      <w:bookmarkEnd w:id="5918"/>
      <w:bookmarkEnd w:id="5919"/>
      <w:bookmarkEnd w:id="5920"/>
      <w:bookmarkEnd w:id="5921"/>
      <w:bookmarkEnd w:id="5922"/>
      <w:bookmarkEnd w:id="5923"/>
      <w:bookmarkEnd w:id="5924"/>
      <w:bookmarkEnd w:id="5925"/>
      <w:bookmarkEnd w:id="5926"/>
      <w:bookmarkEnd w:id="5927"/>
      <w:bookmarkEnd w:id="5928"/>
      <w:bookmarkEnd w:id="5929"/>
      <w:bookmarkEnd w:id="5930"/>
      <w:bookmarkEnd w:id="5931"/>
      <w:bookmarkEnd w:id="5932"/>
      <w:bookmarkEnd w:id="5933"/>
      <w:bookmarkEnd w:id="5934"/>
      <w:bookmarkEnd w:id="5935"/>
      <w:bookmarkEnd w:id="5936"/>
      <w:bookmarkEnd w:id="5937"/>
      <w:bookmarkEnd w:id="5938"/>
      <w:bookmarkEnd w:id="5939"/>
      <w:bookmarkEnd w:id="5940"/>
      <w:bookmarkEnd w:id="5941"/>
      <w:bookmarkEnd w:id="5942"/>
      <w:bookmarkEnd w:id="5943"/>
      <w:bookmarkEnd w:id="5944"/>
      <w:bookmarkEnd w:id="5945"/>
      <w:bookmarkEnd w:id="5946"/>
      <w:bookmarkEnd w:id="5947"/>
      <w:bookmarkEnd w:id="5948"/>
      <w:bookmarkEnd w:id="5949"/>
      <w:bookmarkEnd w:id="5950"/>
      <w:bookmarkEnd w:id="5951"/>
      <w:bookmarkEnd w:id="5952"/>
      <w:bookmarkEnd w:id="5953"/>
      <w:bookmarkEnd w:id="5954"/>
      <w:bookmarkEnd w:id="5955"/>
      <w:bookmarkEnd w:id="5956"/>
      <w:bookmarkEnd w:id="5957"/>
      <w:bookmarkEnd w:id="5958"/>
      <w:bookmarkEnd w:id="5959"/>
      <w:bookmarkEnd w:id="5960"/>
      <w:bookmarkEnd w:id="5961"/>
      <w:bookmarkEnd w:id="5962"/>
      <w:bookmarkEnd w:id="5963"/>
      <w:bookmarkEnd w:id="5964"/>
      <w:bookmarkEnd w:id="5965"/>
      <w:bookmarkEnd w:id="5966"/>
      <w:bookmarkEnd w:id="5967"/>
      <w:bookmarkEnd w:id="5968"/>
      <w:bookmarkEnd w:id="5969"/>
      <w:bookmarkEnd w:id="5970"/>
      <w:bookmarkEnd w:id="5971"/>
      <w:bookmarkEnd w:id="5972"/>
      <w:bookmarkEnd w:id="5973"/>
      <w:bookmarkEnd w:id="5974"/>
      <w:bookmarkEnd w:id="5975"/>
      <w:bookmarkEnd w:id="5976"/>
      <w:bookmarkEnd w:id="5977"/>
      <w:bookmarkEnd w:id="5978"/>
      <w:bookmarkEnd w:id="5979"/>
      <w:bookmarkEnd w:id="5980"/>
      <w:bookmarkEnd w:id="5981"/>
      <w:bookmarkEnd w:id="5982"/>
    </w:p>
    <w:p w:rsidR="003852D4" w:rsidRPr="003852D4" w:rsidRDefault="003852D4" w:rsidP="003852D4">
      <w:pPr>
        <w:pStyle w:val="Akapitzlist"/>
        <w:keepNext/>
        <w:numPr>
          <w:ilvl w:val="2"/>
          <w:numId w:val="179"/>
        </w:numPr>
        <w:spacing w:before="240" w:after="60" w:line="240" w:lineRule="auto"/>
        <w:outlineLvl w:val="2"/>
        <w:rPr>
          <w:rFonts w:eastAsia="Times New Roman" w:cs="Calibri"/>
          <w:b/>
          <w:bCs/>
          <w:vanish/>
          <w:color w:val="3366FF"/>
          <w:sz w:val="26"/>
          <w:szCs w:val="26"/>
          <w:lang w:eastAsia="pl-PL"/>
        </w:rPr>
      </w:pPr>
      <w:bookmarkStart w:id="5983" w:name="_Toc467665468"/>
      <w:bookmarkStart w:id="5984" w:name="_Toc467665622"/>
      <w:bookmarkStart w:id="5985" w:name="_Toc467669544"/>
      <w:bookmarkStart w:id="5986" w:name="_Toc467832049"/>
      <w:bookmarkStart w:id="5987" w:name="_Toc467832169"/>
      <w:bookmarkStart w:id="5988" w:name="_Toc467834874"/>
      <w:bookmarkStart w:id="5989" w:name="_Toc467843555"/>
      <w:bookmarkStart w:id="5990" w:name="_Toc467845541"/>
      <w:bookmarkStart w:id="5991" w:name="_Toc467847484"/>
      <w:bookmarkStart w:id="5992" w:name="_Toc467847606"/>
      <w:bookmarkStart w:id="5993" w:name="_Toc467847728"/>
      <w:bookmarkStart w:id="5994" w:name="_Toc467847852"/>
      <w:bookmarkStart w:id="5995" w:name="_Toc467847976"/>
      <w:bookmarkStart w:id="5996" w:name="_Toc467848100"/>
      <w:bookmarkStart w:id="5997" w:name="_Toc467848224"/>
      <w:bookmarkStart w:id="5998" w:name="_Toc467848348"/>
      <w:bookmarkStart w:id="5999" w:name="_Toc467848472"/>
      <w:bookmarkStart w:id="6000" w:name="_Toc468097945"/>
      <w:bookmarkStart w:id="6001" w:name="_Toc468098070"/>
      <w:bookmarkStart w:id="6002" w:name="_Toc468104737"/>
      <w:bookmarkStart w:id="6003" w:name="_Toc468104861"/>
      <w:bookmarkStart w:id="6004" w:name="_Toc468104987"/>
      <w:bookmarkStart w:id="6005" w:name="_Toc468105113"/>
      <w:bookmarkStart w:id="6006" w:name="_Toc468105239"/>
      <w:bookmarkStart w:id="6007" w:name="_Toc468105365"/>
      <w:bookmarkStart w:id="6008" w:name="_Toc468105849"/>
      <w:bookmarkStart w:id="6009" w:name="_Toc468105976"/>
      <w:bookmarkStart w:id="6010" w:name="_Toc468116270"/>
      <w:bookmarkStart w:id="6011" w:name="_Toc468178226"/>
      <w:bookmarkStart w:id="6012" w:name="_Toc468181518"/>
      <w:bookmarkStart w:id="6013" w:name="_Toc468181645"/>
      <w:bookmarkStart w:id="6014" w:name="_Toc468181774"/>
      <w:bookmarkStart w:id="6015" w:name="_Toc468181941"/>
      <w:bookmarkStart w:id="6016" w:name="_Toc468185882"/>
      <w:bookmarkStart w:id="6017" w:name="_Toc468190814"/>
      <w:bookmarkStart w:id="6018" w:name="_Toc468190940"/>
      <w:bookmarkStart w:id="6019" w:name="_Toc468191432"/>
      <w:bookmarkStart w:id="6020" w:name="_Toc468258103"/>
      <w:bookmarkStart w:id="6021" w:name="_Toc468258334"/>
      <w:bookmarkStart w:id="6022" w:name="_Toc468258628"/>
      <w:bookmarkStart w:id="6023" w:name="_Toc468258757"/>
      <w:bookmarkStart w:id="6024" w:name="_Toc468258890"/>
      <w:bookmarkStart w:id="6025" w:name="_Toc468259021"/>
      <w:bookmarkStart w:id="6026" w:name="_Toc468259150"/>
      <w:bookmarkStart w:id="6027" w:name="_Toc468259279"/>
      <w:bookmarkStart w:id="6028" w:name="_Toc468259536"/>
      <w:bookmarkStart w:id="6029" w:name="_Toc468259668"/>
      <w:bookmarkStart w:id="6030" w:name="_Toc468259798"/>
      <w:bookmarkStart w:id="6031" w:name="_Toc468259927"/>
      <w:bookmarkStart w:id="6032" w:name="_Toc468260058"/>
      <w:bookmarkStart w:id="6033" w:name="_Toc468260187"/>
      <w:bookmarkStart w:id="6034" w:name="_Toc468260316"/>
      <w:bookmarkStart w:id="6035" w:name="_Toc468260445"/>
      <w:bookmarkStart w:id="6036" w:name="_Toc468260574"/>
      <w:bookmarkStart w:id="6037" w:name="_Toc468260703"/>
      <w:bookmarkStart w:id="6038" w:name="_Toc468260831"/>
      <w:bookmarkStart w:id="6039" w:name="_Toc468260962"/>
      <w:bookmarkStart w:id="6040" w:name="_Toc468261093"/>
      <w:bookmarkStart w:id="6041" w:name="_Toc468261224"/>
      <w:bookmarkStart w:id="6042" w:name="_Toc468261355"/>
      <w:bookmarkStart w:id="6043" w:name="_Toc468261486"/>
      <w:bookmarkStart w:id="6044" w:name="_Toc468266800"/>
      <w:bookmarkStart w:id="6045" w:name="_Toc468266928"/>
      <w:bookmarkStart w:id="6046" w:name="_Toc468267056"/>
      <w:bookmarkStart w:id="6047" w:name="_Toc468269467"/>
      <w:bookmarkStart w:id="6048" w:name="_Toc468279433"/>
      <w:bookmarkStart w:id="6049" w:name="_Toc468360285"/>
      <w:bookmarkStart w:id="6050" w:name="_Toc468361226"/>
      <w:bookmarkStart w:id="6051" w:name="_Toc468363456"/>
      <w:bookmarkStart w:id="6052" w:name="_Toc468366283"/>
      <w:bookmarkStart w:id="6053" w:name="_Toc468428373"/>
      <w:bookmarkStart w:id="6054" w:name="_Toc468691769"/>
      <w:bookmarkStart w:id="6055" w:name="_Toc468691896"/>
      <w:bookmarkStart w:id="6056" w:name="_Toc468692023"/>
      <w:bookmarkStart w:id="6057" w:name="_Toc468693977"/>
      <w:bookmarkStart w:id="6058" w:name="_Toc468712672"/>
      <w:bookmarkStart w:id="6059" w:name="_Toc468712800"/>
      <w:bookmarkStart w:id="6060" w:name="_Toc468712927"/>
      <w:bookmarkStart w:id="6061" w:name="_Toc468713054"/>
      <w:bookmarkStart w:id="6062" w:name="_Toc468713181"/>
      <w:bookmarkStart w:id="6063" w:name="_Toc468713308"/>
      <w:bookmarkStart w:id="6064" w:name="_Toc468713435"/>
      <w:bookmarkStart w:id="6065" w:name="_Toc468713562"/>
      <w:bookmarkStart w:id="6066" w:name="_Toc468713815"/>
      <w:bookmarkStart w:id="6067" w:name="_Toc468713942"/>
      <w:bookmarkStart w:id="6068" w:name="_Toc468714069"/>
      <w:bookmarkStart w:id="6069" w:name="_Toc468787078"/>
      <w:bookmarkStart w:id="6070" w:name="_Toc468787396"/>
      <w:bookmarkStart w:id="6071" w:name="_Toc468787524"/>
      <w:bookmarkStart w:id="6072" w:name="_Toc468787652"/>
      <w:bookmarkStart w:id="6073" w:name="_Toc468787779"/>
      <w:bookmarkStart w:id="6074" w:name="_Toc468787906"/>
      <w:bookmarkStart w:id="6075" w:name="_Toc468788033"/>
      <w:bookmarkStart w:id="6076" w:name="_Toc468957713"/>
      <w:bookmarkStart w:id="6077" w:name="_Toc468957840"/>
      <w:bookmarkStart w:id="6078" w:name="_Toc468957967"/>
      <w:bookmarkStart w:id="6079" w:name="_Toc468958094"/>
      <w:bookmarkStart w:id="6080" w:name="_Toc468958221"/>
      <w:bookmarkStart w:id="6081" w:name="_Toc468958348"/>
      <w:bookmarkStart w:id="6082" w:name="_Toc468958475"/>
      <w:bookmarkStart w:id="6083" w:name="_Toc468958602"/>
      <w:bookmarkStart w:id="6084" w:name="_Toc468958729"/>
      <w:bookmarkStart w:id="6085" w:name="_Toc468958856"/>
      <w:bookmarkStart w:id="6086" w:name="_Toc468958983"/>
      <w:bookmarkStart w:id="6087" w:name="_Toc468959110"/>
      <w:bookmarkStart w:id="6088" w:name="_Toc468960611"/>
      <w:bookmarkStart w:id="6089" w:name="_Toc469035084"/>
      <w:bookmarkStart w:id="6090" w:name="_Toc469056794"/>
      <w:bookmarkStart w:id="6091" w:name="_Toc469321106"/>
      <w:bookmarkStart w:id="6092" w:name="_Toc469323835"/>
      <w:bookmarkStart w:id="6093" w:name="_Toc469323961"/>
      <w:bookmarkStart w:id="6094" w:name="_Toc469324512"/>
      <w:bookmarkStart w:id="6095" w:name="_Toc470695390"/>
      <w:bookmarkStart w:id="6096" w:name="_Toc470695543"/>
      <w:bookmarkStart w:id="6097" w:name="_Toc470697047"/>
      <w:bookmarkStart w:id="6098" w:name="_Toc470699931"/>
      <w:bookmarkStart w:id="6099" w:name="_Toc470762777"/>
      <w:bookmarkStart w:id="6100" w:name="_Toc471114595"/>
      <w:bookmarkStart w:id="6101" w:name="_Toc474393011"/>
      <w:bookmarkStart w:id="6102" w:name="_Toc474497902"/>
      <w:bookmarkStart w:id="6103" w:name="_Toc474498661"/>
      <w:bookmarkStart w:id="6104" w:name="_Toc474844520"/>
      <w:bookmarkStart w:id="6105" w:name="_Toc474844647"/>
      <w:bookmarkStart w:id="6106" w:name="_Toc474919917"/>
      <w:bookmarkStart w:id="6107" w:name="_Toc474924926"/>
      <w:bookmarkEnd w:id="5983"/>
      <w:bookmarkEnd w:id="5984"/>
      <w:bookmarkEnd w:id="5985"/>
      <w:bookmarkEnd w:id="5986"/>
      <w:bookmarkEnd w:id="5987"/>
      <w:bookmarkEnd w:id="5988"/>
      <w:bookmarkEnd w:id="5989"/>
      <w:bookmarkEnd w:id="5990"/>
      <w:bookmarkEnd w:id="5991"/>
      <w:bookmarkEnd w:id="5992"/>
      <w:bookmarkEnd w:id="5993"/>
      <w:bookmarkEnd w:id="5994"/>
      <w:bookmarkEnd w:id="5995"/>
      <w:bookmarkEnd w:id="5996"/>
      <w:bookmarkEnd w:id="5997"/>
      <w:bookmarkEnd w:id="5998"/>
      <w:bookmarkEnd w:id="5999"/>
      <w:bookmarkEnd w:id="6000"/>
      <w:bookmarkEnd w:id="6001"/>
      <w:bookmarkEnd w:id="6002"/>
      <w:bookmarkEnd w:id="6003"/>
      <w:bookmarkEnd w:id="6004"/>
      <w:bookmarkEnd w:id="6005"/>
      <w:bookmarkEnd w:id="6006"/>
      <w:bookmarkEnd w:id="6007"/>
      <w:bookmarkEnd w:id="6008"/>
      <w:bookmarkEnd w:id="6009"/>
      <w:bookmarkEnd w:id="6010"/>
      <w:bookmarkEnd w:id="6011"/>
      <w:bookmarkEnd w:id="6012"/>
      <w:bookmarkEnd w:id="6013"/>
      <w:bookmarkEnd w:id="6014"/>
      <w:bookmarkEnd w:id="6015"/>
      <w:bookmarkEnd w:id="6016"/>
      <w:bookmarkEnd w:id="6017"/>
      <w:bookmarkEnd w:id="6018"/>
      <w:bookmarkEnd w:id="6019"/>
      <w:bookmarkEnd w:id="6020"/>
      <w:bookmarkEnd w:id="6021"/>
      <w:bookmarkEnd w:id="6022"/>
      <w:bookmarkEnd w:id="6023"/>
      <w:bookmarkEnd w:id="6024"/>
      <w:bookmarkEnd w:id="6025"/>
      <w:bookmarkEnd w:id="6026"/>
      <w:bookmarkEnd w:id="6027"/>
      <w:bookmarkEnd w:id="6028"/>
      <w:bookmarkEnd w:id="6029"/>
      <w:bookmarkEnd w:id="6030"/>
      <w:bookmarkEnd w:id="6031"/>
      <w:bookmarkEnd w:id="6032"/>
      <w:bookmarkEnd w:id="6033"/>
      <w:bookmarkEnd w:id="6034"/>
      <w:bookmarkEnd w:id="6035"/>
      <w:bookmarkEnd w:id="6036"/>
      <w:bookmarkEnd w:id="6037"/>
      <w:bookmarkEnd w:id="6038"/>
      <w:bookmarkEnd w:id="6039"/>
      <w:bookmarkEnd w:id="6040"/>
      <w:bookmarkEnd w:id="6041"/>
      <w:bookmarkEnd w:id="6042"/>
      <w:bookmarkEnd w:id="6043"/>
      <w:bookmarkEnd w:id="6044"/>
      <w:bookmarkEnd w:id="6045"/>
      <w:bookmarkEnd w:id="6046"/>
      <w:bookmarkEnd w:id="6047"/>
      <w:bookmarkEnd w:id="6048"/>
      <w:bookmarkEnd w:id="6049"/>
      <w:bookmarkEnd w:id="6050"/>
      <w:bookmarkEnd w:id="6051"/>
      <w:bookmarkEnd w:id="6052"/>
      <w:bookmarkEnd w:id="6053"/>
      <w:bookmarkEnd w:id="6054"/>
      <w:bookmarkEnd w:id="6055"/>
      <w:bookmarkEnd w:id="6056"/>
      <w:bookmarkEnd w:id="6057"/>
      <w:bookmarkEnd w:id="6058"/>
      <w:bookmarkEnd w:id="6059"/>
      <w:bookmarkEnd w:id="6060"/>
      <w:bookmarkEnd w:id="6061"/>
      <w:bookmarkEnd w:id="6062"/>
      <w:bookmarkEnd w:id="6063"/>
      <w:bookmarkEnd w:id="6064"/>
      <w:bookmarkEnd w:id="6065"/>
      <w:bookmarkEnd w:id="6066"/>
      <w:bookmarkEnd w:id="6067"/>
      <w:bookmarkEnd w:id="6068"/>
      <w:bookmarkEnd w:id="6069"/>
      <w:bookmarkEnd w:id="6070"/>
      <w:bookmarkEnd w:id="6071"/>
      <w:bookmarkEnd w:id="6072"/>
      <w:bookmarkEnd w:id="6073"/>
      <w:bookmarkEnd w:id="6074"/>
      <w:bookmarkEnd w:id="6075"/>
      <w:bookmarkEnd w:id="6076"/>
      <w:bookmarkEnd w:id="6077"/>
      <w:bookmarkEnd w:id="6078"/>
      <w:bookmarkEnd w:id="6079"/>
      <w:bookmarkEnd w:id="6080"/>
      <w:bookmarkEnd w:id="6081"/>
      <w:bookmarkEnd w:id="6082"/>
      <w:bookmarkEnd w:id="6083"/>
      <w:bookmarkEnd w:id="6084"/>
      <w:bookmarkEnd w:id="6085"/>
      <w:bookmarkEnd w:id="6086"/>
      <w:bookmarkEnd w:id="6087"/>
      <w:bookmarkEnd w:id="6088"/>
      <w:bookmarkEnd w:id="6089"/>
      <w:bookmarkEnd w:id="6090"/>
      <w:bookmarkEnd w:id="6091"/>
      <w:bookmarkEnd w:id="6092"/>
      <w:bookmarkEnd w:id="6093"/>
      <w:bookmarkEnd w:id="6094"/>
      <w:bookmarkEnd w:id="6095"/>
      <w:bookmarkEnd w:id="6096"/>
      <w:bookmarkEnd w:id="6097"/>
      <w:bookmarkEnd w:id="6098"/>
      <w:bookmarkEnd w:id="6099"/>
      <w:bookmarkEnd w:id="6100"/>
      <w:bookmarkEnd w:id="6101"/>
      <w:bookmarkEnd w:id="6102"/>
      <w:bookmarkEnd w:id="6103"/>
      <w:bookmarkEnd w:id="6104"/>
      <w:bookmarkEnd w:id="6105"/>
      <w:bookmarkEnd w:id="6106"/>
      <w:bookmarkEnd w:id="6107"/>
    </w:p>
    <w:p w:rsidR="003852D4" w:rsidRPr="003852D4" w:rsidRDefault="003852D4" w:rsidP="003852D4">
      <w:pPr>
        <w:pStyle w:val="Akapitzlist"/>
        <w:keepNext/>
        <w:numPr>
          <w:ilvl w:val="2"/>
          <w:numId w:val="179"/>
        </w:numPr>
        <w:spacing w:before="240" w:after="60" w:line="240" w:lineRule="auto"/>
        <w:outlineLvl w:val="2"/>
        <w:rPr>
          <w:rFonts w:eastAsia="Times New Roman" w:cs="Calibri"/>
          <w:b/>
          <w:bCs/>
          <w:vanish/>
          <w:color w:val="3366FF"/>
          <w:sz w:val="26"/>
          <w:szCs w:val="26"/>
          <w:lang w:eastAsia="pl-PL"/>
        </w:rPr>
      </w:pPr>
      <w:bookmarkStart w:id="6108" w:name="_Toc467665469"/>
      <w:bookmarkStart w:id="6109" w:name="_Toc467665623"/>
      <w:bookmarkStart w:id="6110" w:name="_Toc467669545"/>
      <w:bookmarkStart w:id="6111" w:name="_Toc467832050"/>
      <w:bookmarkStart w:id="6112" w:name="_Toc467832170"/>
      <w:bookmarkStart w:id="6113" w:name="_Toc467834875"/>
      <w:bookmarkStart w:id="6114" w:name="_Toc467843556"/>
      <w:bookmarkStart w:id="6115" w:name="_Toc467845542"/>
      <w:bookmarkStart w:id="6116" w:name="_Toc467847485"/>
      <w:bookmarkStart w:id="6117" w:name="_Toc467847607"/>
      <w:bookmarkStart w:id="6118" w:name="_Toc467847729"/>
      <w:bookmarkStart w:id="6119" w:name="_Toc467847853"/>
      <w:bookmarkStart w:id="6120" w:name="_Toc467847977"/>
      <w:bookmarkStart w:id="6121" w:name="_Toc467848101"/>
      <w:bookmarkStart w:id="6122" w:name="_Toc467848225"/>
      <w:bookmarkStart w:id="6123" w:name="_Toc467848349"/>
      <w:bookmarkStart w:id="6124" w:name="_Toc467848473"/>
      <w:bookmarkStart w:id="6125" w:name="_Toc468097946"/>
      <w:bookmarkStart w:id="6126" w:name="_Toc468098071"/>
      <w:bookmarkStart w:id="6127" w:name="_Toc468104738"/>
      <w:bookmarkStart w:id="6128" w:name="_Toc468104862"/>
      <w:bookmarkStart w:id="6129" w:name="_Toc468104988"/>
      <w:bookmarkStart w:id="6130" w:name="_Toc468105114"/>
      <w:bookmarkStart w:id="6131" w:name="_Toc468105240"/>
      <w:bookmarkStart w:id="6132" w:name="_Toc468105366"/>
      <w:bookmarkStart w:id="6133" w:name="_Toc468105850"/>
      <w:bookmarkStart w:id="6134" w:name="_Toc468105977"/>
      <w:bookmarkStart w:id="6135" w:name="_Toc468116271"/>
      <w:bookmarkStart w:id="6136" w:name="_Toc468178227"/>
      <w:bookmarkStart w:id="6137" w:name="_Toc468181519"/>
      <w:bookmarkStart w:id="6138" w:name="_Toc468181646"/>
      <w:bookmarkStart w:id="6139" w:name="_Toc468181775"/>
      <w:bookmarkStart w:id="6140" w:name="_Toc468181942"/>
      <w:bookmarkStart w:id="6141" w:name="_Toc468185883"/>
      <w:bookmarkStart w:id="6142" w:name="_Toc468190815"/>
      <w:bookmarkStart w:id="6143" w:name="_Toc468190941"/>
      <w:bookmarkStart w:id="6144" w:name="_Toc468191433"/>
      <w:bookmarkStart w:id="6145" w:name="_Toc468258104"/>
      <w:bookmarkStart w:id="6146" w:name="_Toc468258335"/>
      <w:bookmarkStart w:id="6147" w:name="_Toc468258629"/>
      <w:bookmarkStart w:id="6148" w:name="_Toc468258758"/>
      <w:bookmarkStart w:id="6149" w:name="_Toc468258891"/>
      <w:bookmarkStart w:id="6150" w:name="_Toc468259022"/>
      <w:bookmarkStart w:id="6151" w:name="_Toc468259151"/>
      <w:bookmarkStart w:id="6152" w:name="_Toc468259280"/>
      <w:bookmarkStart w:id="6153" w:name="_Toc468259537"/>
      <w:bookmarkStart w:id="6154" w:name="_Toc468259669"/>
      <w:bookmarkStart w:id="6155" w:name="_Toc468259799"/>
      <w:bookmarkStart w:id="6156" w:name="_Toc468259928"/>
      <w:bookmarkStart w:id="6157" w:name="_Toc468260059"/>
      <w:bookmarkStart w:id="6158" w:name="_Toc468260188"/>
      <w:bookmarkStart w:id="6159" w:name="_Toc468260317"/>
      <w:bookmarkStart w:id="6160" w:name="_Toc468260446"/>
      <w:bookmarkStart w:id="6161" w:name="_Toc468260575"/>
      <w:bookmarkStart w:id="6162" w:name="_Toc468260704"/>
      <w:bookmarkStart w:id="6163" w:name="_Toc468260832"/>
      <w:bookmarkStart w:id="6164" w:name="_Toc468260963"/>
      <w:bookmarkStart w:id="6165" w:name="_Toc468261094"/>
      <w:bookmarkStart w:id="6166" w:name="_Toc468261225"/>
      <w:bookmarkStart w:id="6167" w:name="_Toc468261356"/>
      <w:bookmarkStart w:id="6168" w:name="_Toc468261487"/>
      <w:bookmarkStart w:id="6169" w:name="_Toc468266801"/>
      <w:bookmarkStart w:id="6170" w:name="_Toc468266929"/>
      <w:bookmarkStart w:id="6171" w:name="_Toc468267057"/>
      <w:bookmarkStart w:id="6172" w:name="_Toc468269468"/>
      <w:bookmarkStart w:id="6173" w:name="_Toc468279434"/>
      <w:bookmarkStart w:id="6174" w:name="_Toc468360286"/>
      <w:bookmarkStart w:id="6175" w:name="_Toc468361227"/>
      <w:bookmarkStart w:id="6176" w:name="_Toc468363457"/>
      <w:bookmarkStart w:id="6177" w:name="_Toc468366284"/>
      <w:bookmarkStart w:id="6178" w:name="_Toc468428374"/>
      <w:bookmarkStart w:id="6179" w:name="_Toc468691770"/>
      <w:bookmarkStart w:id="6180" w:name="_Toc468691897"/>
      <w:bookmarkStart w:id="6181" w:name="_Toc468692024"/>
      <w:bookmarkStart w:id="6182" w:name="_Toc468693978"/>
      <w:bookmarkStart w:id="6183" w:name="_Toc468712673"/>
      <w:bookmarkStart w:id="6184" w:name="_Toc468712801"/>
      <w:bookmarkStart w:id="6185" w:name="_Toc468712928"/>
      <w:bookmarkStart w:id="6186" w:name="_Toc468713055"/>
      <w:bookmarkStart w:id="6187" w:name="_Toc468713182"/>
      <w:bookmarkStart w:id="6188" w:name="_Toc468713309"/>
      <w:bookmarkStart w:id="6189" w:name="_Toc468713436"/>
      <w:bookmarkStart w:id="6190" w:name="_Toc468713563"/>
      <w:bookmarkStart w:id="6191" w:name="_Toc468713816"/>
      <w:bookmarkStart w:id="6192" w:name="_Toc468713943"/>
      <w:bookmarkStart w:id="6193" w:name="_Toc468714070"/>
      <w:bookmarkStart w:id="6194" w:name="_Toc468787079"/>
      <w:bookmarkStart w:id="6195" w:name="_Toc468787397"/>
      <w:bookmarkStart w:id="6196" w:name="_Toc468787525"/>
      <w:bookmarkStart w:id="6197" w:name="_Toc468787653"/>
      <w:bookmarkStart w:id="6198" w:name="_Toc468787780"/>
      <w:bookmarkStart w:id="6199" w:name="_Toc468787907"/>
      <w:bookmarkStart w:id="6200" w:name="_Toc468788034"/>
      <w:bookmarkStart w:id="6201" w:name="_Toc468957714"/>
      <w:bookmarkStart w:id="6202" w:name="_Toc468957841"/>
      <w:bookmarkStart w:id="6203" w:name="_Toc468957968"/>
      <w:bookmarkStart w:id="6204" w:name="_Toc468958095"/>
      <w:bookmarkStart w:id="6205" w:name="_Toc468958222"/>
      <w:bookmarkStart w:id="6206" w:name="_Toc468958349"/>
      <w:bookmarkStart w:id="6207" w:name="_Toc468958476"/>
      <w:bookmarkStart w:id="6208" w:name="_Toc468958603"/>
      <w:bookmarkStart w:id="6209" w:name="_Toc468958730"/>
      <w:bookmarkStart w:id="6210" w:name="_Toc468958857"/>
      <w:bookmarkStart w:id="6211" w:name="_Toc468958984"/>
      <w:bookmarkStart w:id="6212" w:name="_Toc468959111"/>
      <w:bookmarkStart w:id="6213" w:name="_Toc468960612"/>
      <w:bookmarkStart w:id="6214" w:name="_Toc469035085"/>
      <w:bookmarkStart w:id="6215" w:name="_Toc469056795"/>
      <w:bookmarkStart w:id="6216" w:name="_Toc469321107"/>
      <w:bookmarkStart w:id="6217" w:name="_Toc469323836"/>
      <w:bookmarkStart w:id="6218" w:name="_Toc469323962"/>
      <w:bookmarkStart w:id="6219" w:name="_Toc469324513"/>
      <w:bookmarkStart w:id="6220" w:name="_Toc470695391"/>
      <w:bookmarkStart w:id="6221" w:name="_Toc470695544"/>
      <w:bookmarkStart w:id="6222" w:name="_Toc470697048"/>
      <w:bookmarkStart w:id="6223" w:name="_Toc470699932"/>
      <w:bookmarkStart w:id="6224" w:name="_Toc470762778"/>
      <w:bookmarkStart w:id="6225" w:name="_Toc471114596"/>
      <w:bookmarkStart w:id="6226" w:name="_Toc474393012"/>
      <w:bookmarkStart w:id="6227" w:name="_Toc474497903"/>
      <w:bookmarkStart w:id="6228" w:name="_Toc474498662"/>
      <w:bookmarkStart w:id="6229" w:name="_Toc474844521"/>
      <w:bookmarkStart w:id="6230" w:name="_Toc474844648"/>
      <w:bookmarkStart w:id="6231" w:name="_Toc474919918"/>
      <w:bookmarkStart w:id="6232" w:name="_Toc474924927"/>
      <w:bookmarkEnd w:id="6108"/>
      <w:bookmarkEnd w:id="6109"/>
      <w:bookmarkEnd w:id="6110"/>
      <w:bookmarkEnd w:id="6111"/>
      <w:bookmarkEnd w:id="6112"/>
      <w:bookmarkEnd w:id="6113"/>
      <w:bookmarkEnd w:id="6114"/>
      <w:bookmarkEnd w:id="6115"/>
      <w:bookmarkEnd w:id="6116"/>
      <w:bookmarkEnd w:id="6117"/>
      <w:bookmarkEnd w:id="6118"/>
      <w:bookmarkEnd w:id="6119"/>
      <w:bookmarkEnd w:id="6120"/>
      <w:bookmarkEnd w:id="6121"/>
      <w:bookmarkEnd w:id="6122"/>
      <w:bookmarkEnd w:id="6123"/>
      <w:bookmarkEnd w:id="6124"/>
      <w:bookmarkEnd w:id="6125"/>
      <w:bookmarkEnd w:id="6126"/>
      <w:bookmarkEnd w:id="6127"/>
      <w:bookmarkEnd w:id="6128"/>
      <w:bookmarkEnd w:id="6129"/>
      <w:bookmarkEnd w:id="6130"/>
      <w:bookmarkEnd w:id="6131"/>
      <w:bookmarkEnd w:id="6132"/>
      <w:bookmarkEnd w:id="6133"/>
      <w:bookmarkEnd w:id="6134"/>
      <w:bookmarkEnd w:id="6135"/>
      <w:bookmarkEnd w:id="6136"/>
      <w:bookmarkEnd w:id="6137"/>
      <w:bookmarkEnd w:id="6138"/>
      <w:bookmarkEnd w:id="6139"/>
      <w:bookmarkEnd w:id="6140"/>
      <w:bookmarkEnd w:id="6141"/>
      <w:bookmarkEnd w:id="6142"/>
      <w:bookmarkEnd w:id="6143"/>
      <w:bookmarkEnd w:id="6144"/>
      <w:bookmarkEnd w:id="6145"/>
      <w:bookmarkEnd w:id="6146"/>
      <w:bookmarkEnd w:id="6147"/>
      <w:bookmarkEnd w:id="6148"/>
      <w:bookmarkEnd w:id="6149"/>
      <w:bookmarkEnd w:id="6150"/>
      <w:bookmarkEnd w:id="6151"/>
      <w:bookmarkEnd w:id="6152"/>
      <w:bookmarkEnd w:id="6153"/>
      <w:bookmarkEnd w:id="6154"/>
      <w:bookmarkEnd w:id="6155"/>
      <w:bookmarkEnd w:id="6156"/>
      <w:bookmarkEnd w:id="6157"/>
      <w:bookmarkEnd w:id="6158"/>
      <w:bookmarkEnd w:id="6159"/>
      <w:bookmarkEnd w:id="6160"/>
      <w:bookmarkEnd w:id="6161"/>
      <w:bookmarkEnd w:id="6162"/>
      <w:bookmarkEnd w:id="6163"/>
      <w:bookmarkEnd w:id="6164"/>
      <w:bookmarkEnd w:id="6165"/>
      <w:bookmarkEnd w:id="6166"/>
      <w:bookmarkEnd w:id="6167"/>
      <w:bookmarkEnd w:id="6168"/>
      <w:bookmarkEnd w:id="6169"/>
      <w:bookmarkEnd w:id="6170"/>
      <w:bookmarkEnd w:id="6171"/>
      <w:bookmarkEnd w:id="6172"/>
      <w:bookmarkEnd w:id="6173"/>
      <w:bookmarkEnd w:id="6174"/>
      <w:bookmarkEnd w:id="6175"/>
      <w:bookmarkEnd w:id="6176"/>
      <w:bookmarkEnd w:id="6177"/>
      <w:bookmarkEnd w:id="6178"/>
      <w:bookmarkEnd w:id="6179"/>
      <w:bookmarkEnd w:id="6180"/>
      <w:bookmarkEnd w:id="6181"/>
      <w:bookmarkEnd w:id="6182"/>
      <w:bookmarkEnd w:id="6183"/>
      <w:bookmarkEnd w:id="6184"/>
      <w:bookmarkEnd w:id="6185"/>
      <w:bookmarkEnd w:id="6186"/>
      <w:bookmarkEnd w:id="6187"/>
      <w:bookmarkEnd w:id="6188"/>
      <w:bookmarkEnd w:id="6189"/>
      <w:bookmarkEnd w:id="6190"/>
      <w:bookmarkEnd w:id="6191"/>
      <w:bookmarkEnd w:id="6192"/>
      <w:bookmarkEnd w:id="6193"/>
      <w:bookmarkEnd w:id="6194"/>
      <w:bookmarkEnd w:id="6195"/>
      <w:bookmarkEnd w:id="6196"/>
      <w:bookmarkEnd w:id="6197"/>
      <w:bookmarkEnd w:id="6198"/>
      <w:bookmarkEnd w:id="6199"/>
      <w:bookmarkEnd w:id="6200"/>
      <w:bookmarkEnd w:id="6201"/>
      <w:bookmarkEnd w:id="6202"/>
      <w:bookmarkEnd w:id="6203"/>
      <w:bookmarkEnd w:id="6204"/>
      <w:bookmarkEnd w:id="6205"/>
      <w:bookmarkEnd w:id="6206"/>
      <w:bookmarkEnd w:id="6207"/>
      <w:bookmarkEnd w:id="6208"/>
      <w:bookmarkEnd w:id="6209"/>
      <w:bookmarkEnd w:id="6210"/>
      <w:bookmarkEnd w:id="6211"/>
      <w:bookmarkEnd w:id="6212"/>
      <w:bookmarkEnd w:id="6213"/>
      <w:bookmarkEnd w:id="6214"/>
      <w:bookmarkEnd w:id="6215"/>
      <w:bookmarkEnd w:id="6216"/>
      <w:bookmarkEnd w:id="6217"/>
      <w:bookmarkEnd w:id="6218"/>
      <w:bookmarkEnd w:id="6219"/>
      <w:bookmarkEnd w:id="6220"/>
      <w:bookmarkEnd w:id="6221"/>
      <w:bookmarkEnd w:id="6222"/>
      <w:bookmarkEnd w:id="6223"/>
      <w:bookmarkEnd w:id="6224"/>
      <w:bookmarkEnd w:id="6225"/>
      <w:bookmarkEnd w:id="6226"/>
      <w:bookmarkEnd w:id="6227"/>
      <w:bookmarkEnd w:id="6228"/>
      <w:bookmarkEnd w:id="6229"/>
      <w:bookmarkEnd w:id="6230"/>
      <w:bookmarkEnd w:id="6231"/>
      <w:bookmarkEnd w:id="6232"/>
    </w:p>
    <w:p w:rsidR="003852D4" w:rsidRPr="003852D4" w:rsidRDefault="003852D4" w:rsidP="003852D4">
      <w:pPr>
        <w:pStyle w:val="Akapitzlist"/>
        <w:keepNext/>
        <w:numPr>
          <w:ilvl w:val="2"/>
          <w:numId w:val="179"/>
        </w:numPr>
        <w:spacing w:before="240" w:after="60" w:line="240" w:lineRule="auto"/>
        <w:outlineLvl w:val="2"/>
        <w:rPr>
          <w:rFonts w:eastAsia="Times New Roman" w:cs="Calibri"/>
          <w:b/>
          <w:bCs/>
          <w:vanish/>
          <w:color w:val="3366FF"/>
          <w:sz w:val="26"/>
          <w:szCs w:val="26"/>
          <w:lang w:eastAsia="pl-PL"/>
        </w:rPr>
      </w:pPr>
      <w:bookmarkStart w:id="6233" w:name="_Toc467665470"/>
      <w:bookmarkStart w:id="6234" w:name="_Toc467665624"/>
      <w:bookmarkStart w:id="6235" w:name="_Toc467669546"/>
      <w:bookmarkStart w:id="6236" w:name="_Toc467832051"/>
      <w:bookmarkStart w:id="6237" w:name="_Toc467832171"/>
      <w:bookmarkStart w:id="6238" w:name="_Toc467834876"/>
      <w:bookmarkStart w:id="6239" w:name="_Toc467843557"/>
      <w:bookmarkStart w:id="6240" w:name="_Toc467845543"/>
      <w:bookmarkStart w:id="6241" w:name="_Toc467847486"/>
      <w:bookmarkStart w:id="6242" w:name="_Toc467847608"/>
      <w:bookmarkStart w:id="6243" w:name="_Toc467847730"/>
      <w:bookmarkStart w:id="6244" w:name="_Toc467847854"/>
      <w:bookmarkStart w:id="6245" w:name="_Toc467847978"/>
      <w:bookmarkStart w:id="6246" w:name="_Toc467848102"/>
      <w:bookmarkStart w:id="6247" w:name="_Toc467848226"/>
      <w:bookmarkStart w:id="6248" w:name="_Toc467848350"/>
      <w:bookmarkStart w:id="6249" w:name="_Toc467848474"/>
      <w:bookmarkStart w:id="6250" w:name="_Toc468097947"/>
      <w:bookmarkStart w:id="6251" w:name="_Toc468098072"/>
      <w:bookmarkStart w:id="6252" w:name="_Toc468104739"/>
      <w:bookmarkStart w:id="6253" w:name="_Toc468104863"/>
      <w:bookmarkStart w:id="6254" w:name="_Toc468104989"/>
      <w:bookmarkStart w:id="6255" w:name="_Toc468105115"/>
      <w:bookmarkStart w:id="6256" w:name="_Toc468105241"/>
      <w:bookmarkStart w:id="6257" w:name="_Toc468105367"/>
      <w:bookmarkStart w:id="6258" w:name="_Toc468105851"/>
      <w:bookmarkStart w:id="6259" w:name="_Toc468105978"/>
      <w:bookmarkStart w:id="6260" w:name="_Toc468116272"/>
      <w:bookmarkStart w:id="6261" w:name="_Toc468178228"/>
      <w:bookmarkStart w:id="6262" w:name="_Toc468181520"/>
      <w:bookmarkStart w:id="6263" w:name="_Toc468181647"/>
      <w:bookmarkStart w:id="6264" w:name="_Toc468181776"/>
      <w:bookmarkStart w:id="6265" w:name="_Toc468181943"/>
      <w:bookmarkStart w:id="6266" w:name="_Toc468185884"/>
      <w:bookmarkStart w:id="6267" w:name="_Toc468190816"/>
      <w:bookmarkStart w:id="6268" w:name="_Toc468190942"/>
      <w:bookmarkStart w:id="6269" w:name="_Toc468191434"/>
      <w:bookmarkStart w:id="6270" w:name="_Toc468258105"/>
      <w:bookmarkStart w:id="6271" w:name="_Toc468258336"/>
      <w:bookmarkStart w:id="6272" w:name="_Toc468258630"/>
      <w:bookmarkStart w:id="6273" w:name="_Toc468258759"/>
      <w:bookmarkStart w:id="6274" w:name="_Toc468258892"/>
      <w:bookmarkStart w:id="6275" w:name="_Toc468259023"/>
      <w:bookmarkStart w:id="6276" w:name="_Toc468259152"/>
      <w:bookmarkStart w:id="6277" w:name="_Toc468259281"/>
      <w:bookmarkStart w:id="6278" w:name="_Toc468259538"/>
      <w:bookmarkStart w:id="6279" w:name="_Toc468259670"/>
      <w:bookmarkStart w:id="6280" w:name="_Toc468259800"/>
      <w:bookmarkStart w:id="6281" w:name="_Toc468259929"/>
      <w:bookmarkStart w:id="6282" w:name="_Toc468260060"/>
      <w:bookmarkStart w:id="6283" w:name="_Toc468260189"/>
      <w:bookmarkStart w:id="6284" w:name="_Toc468260318"/>
      <w:bookmarkStart w:id="6285" w:name="_Toc468260447"/>
      <w:bookmarkStart w:id="6286" w:name="_Toc468260576"/>
      <w:bookmarkStart w:id="6287" w:name="_Toc468260705"/>
      <w:bookmarkStart w:id="6288" w:name="_Toc468260833"/>
      <w:bookmarkStart w:id="6289" w:name="_Toc468260964"/>
      <w:bookmarkStart w:id="6290" w:name="_Toc468261095"/>
      <w:bookmarkStart w:id="6291" w:name="_Toc468261226"/>
      <w:bookmarkStart w:id="6292" w:name="_Toc468261357"/>
      <w:bookmarkStart w:id="6293" w:name="_Toc468261488"/>
      <w:bookmarkStart w:id="6294" w:name="_Toc468266802"/>
      <w:bookmarkStart w:id="6295" w:name="_Toc468266930"/>
      <w:bookmarkStart w:id="6296" w:name="_Toc468267058"/>
      <w:bookmarkStart w:id="6297" w:name="_Toc468269469"/>
      <w:bookmarkStart w:id="6298" w:name="_Toc468279435"/>
      <w:bookmarkStart w:id="6299" w:name="_Toc468360287"/>
      <w:bookmarkStart w:id="6300" w:name="_Toc468361228"/>
      <w:bookmarkStart w:id="6301" w:name="_Toc468363458"/>
      <w:bookmarkStart w:id="6302" w:name="_Toc468366285"/>
      <w:bookmarkStart w:id="6303" w:name="_Toc468428375"/>
      <w:bookmarkStart w:id="6304" w:name="_Toc468691771"/>
      <w:bookmarkStart w:id="6305" w:name="_Toc468691898"/>
      <w:bookmarkStart w:id="6306" w:name="_Toc468692025"/>
      <w:bookmarkStart w:id="6307" w:name="_Toc468693979"/>
      <w:bookmarkStart w:id="6308" w:name="_Toc468712674"/>
      <w:bookmarkStart w:id="6309" w:name="_Toc468712802"/>
      <w:bookmarkStart w:id="6310" w:name="_Toc468712929"/>
      <w:bookmarkStart w:id="6311" w:name="_Toc468713056"/>
      <w:bookmarkStart w:id="6312" w:name="_Toc468713183"/>
      <w:bookmarkStart w:id="6313" w:name="_Toc468713310"/>
      <w:bookmarkStart w:id="6314" w:name="_Toc468713437"/>
      <w:bookmarkStart w:id="6315" w:name="_Toc468713564"/>
      <w:bookmarkStart w:id="6316" w:name="_Toc468713817"/>
      <w:bookmarkStart w:id="6317" w:name="_Toc468713944"/>
      <w:bookmarkStart w:id="6318" w:name="_Toc468714071"/>
      <w:bookmarkStart w:id="6319" w:name="_Toc468787080"/>
      <w:bookmarkStart w:id="6320" w:name="_Toc468787398"/>
      <w:bookmarkStart w:id="6321" w:name="_Toc468787526"/>
      <w:bookmarkStart w:id="6322" w:name="_Toc468787654"/>
      <w:bookmarkStart w:id="6323" w:name="_Toc468787781"/>
      <w:bookmarkStart w:id="6324" w:name="_Toc468787908"/>
      <w:bookmarkStart w:id="6325" w:name="_Toc468788035"/>
      <w:bookmarkStart w:id="6326" w:name="_Toc468957715"/>
      <w:bookmarkStart w:id="6327" w:name="_Toc468957842"/>
      <w:bookmarkStart w:id="6328" w:name="_Toc468957969"/>
      <w:bookmarkStart w:id="6329" w:name="_Toc468958096"/>
      <w:bookmarkStart w:id="6330" w:name="_Toc468958223"/>
      <w:bookmarkStart w:id="6331" w:name="_Toc468958350"/>
      <w:bookmarkStart w:id="6332" w:name="_Toc468958477"/>
      <w:bookmarkStart w:id="6333" w:name="_Toc468958604"/>
      <w:bookmarkStart w:id="6334" w:name="_Toc468958731"/>
      <w:bookmarkStart w:id="6335" w:name="_Toc468958858"/>
      <w:bookmarkStart w:id="6336" w:name="_Toc468958985"/>
      <w:bookmarkStart w:id="6337" w:name="_Toc468959112"/>
      <w:bookmarkStart w:id="6338" w:name="_Toc468960613"/>
      <w:bookmarkStart w:id="6339" w:name="_Toc469035086"/>
      <w:bookmarkStart w:id="6340" w:name="_Toc469056796"/>
      <w:bookmarkStart w:id="6341" w:name="_Toc469321108"/>
      <w:bookmarkStart w:id="6342" w:name="_Toc469323837"/>
      <w:bookmarkStart w:id="6343" w:name="_Toc469323963"/>
      <w:bookmarkStart w:id="6344" w:name="_Toc469324514"/>
      <w:bookmarkStart w:id="6345" w:name="_Toc470695392"/>
      <w:bookmarkStart w:id="6346" w:name="_Toc470695545"/>
      <w:bookmarkStart w:id="6347" w:name="_Toc470697049"/>
      <w:bookmarkStart w:id="6348" w:name="_Toc470699933"/>
      <w:bookmarkStart w:id="6349" w:name="_Toc470762779"/>
      <w:bookmarkStart w:id="6350" w:name="_Toc471114597"/>
      <w:bookmarkStart w:id="6351" w:name="_Toc474393013"/>
      <w:bookmarkStart w:id="6352" w:name="_Toc474497904"/>
      <w:bookmarkStart w:id="6353" w:name="_Toc474498663"/>
      <w:bookmarkStart w:id="6354" w:name="_Toc474844522"/>
      <w:bookmarkStart w:id="6355" w:name="_Toc474844649"/>
      <w:bookmarkStart w:id="6356" w:name="_Toc474919919"/>
      <w:bookmarkStart w:id="6357" w:name="_Toc474924928"/>
      <w:bookmarkEnd w:id="6233"/>
      <w:bookmarkEnd w:id="6234"/>
      <w:bookmarkEnd w:id="6235"/>
      <w:bookmarkEnd w:id="6236"/>
      <w:bookmarkEnd w:id="6237"/>
      <w:bookmarkEnd w:id="6238"/>
      <w:bookmarkEnd w:id="6239"/>
      <w:bookmarkEnd w:id="6240"/>
      <w:bookmarkEnd w:id="6241"/>
      <w:bookmarkEnd w:id="6242"/>
      <w:bookmarkEnd w:id="6243"/>
      <w:bookmarkEnd w:id="6244"/>
      <w:bookmarkEnd w:id="6245"/>
      <w:bookmarkEnd w:id="6246"/>
      <w:bookmarkEnd w:id="6247"/>
      <w:bookmarkEnd w:id="6248"/>
      <w:bookmarkEnd w:id="6249"/>
      <w:bookmarkEnd w:id="6250"/>
      <w:bookmarkEnd w:id="6251"/>
      <w:bookmarkEnd w:id="6252"/>
      <w:bookmarkEnd w:id="6253"/>
      <w:bookmarkEnd w:id="6254"/>
      <w:bookmarkEnd w:id="6255"/>
      <w:bookmarkEnd w:id="6256"/>
      <w:bookmarkEnd w:id="6257"/>
      <w:bookmarkEnd w:id="6258"/>
      <w:bookmarkEnd w:id="6259"/>
      <w:bookmarkEnd w:id="6260"/>
      <w:bookmarkEnd w:id="6261"/>
      <w:bookmarkEnd w:id="6262"/>
      <w:bookmarkEnd w:id="6263"/>
      <w:bookmarkEnd w:id="6264"/>
      <w:bookmarkEnd w:id="6265"/>
      <w:bookmarkEnd w:id="6266"/>
      <w:bookmarkEnd w:id="6267"/>
      <w:bookmarkEnd w:id="6268"/>
      <w:bookmarkEnd w:id="6269"/>
      <w:bookmarkEnd w:id="6270"/>
      <w:bookmarkEnd w:id="6271"/>
      <w:bookmarkEnd w:id="6272"/>
      <w:bookmarkEnd w:id="6273"/>
      <w:bookmarkEnd w:id="6274"/>
      <w:bookmarkEnd w:id="6275"/>
      <w:bookmarkEnd w:id="6276"/>
      <w:bookmarkEnd w:id="6277"/>
      <w:bookmarkEnd w:id="6278"/>
      <w:bookmarkEnd w:id="6279"/>
      <w:bookmarkEnd w:id="6280"/>
      <w:bookmarkEnd w:id="6281"/>
      <w:bookmarkEnd w:id="6282"/>
      <w:bookmarkEnd w:id="6283"/>
      <w:bookmarkEnd w:id="6284"/>
      <w:bookmarkEnd w:id="6285"/>
      <w:bookmarkEnd w:id="6286"/>
      <w:bookmarkEnd w:id="6287"/>
      <w:bookmarkEnd w:id="6288"/>
      <w:bookmarkEnd w:id="6289"/>
      <w:bookmarkEnd w:id="6290"/>
      <w:bookmarkEnd w:id="6291"/>
      <w:bookmarkEnd w:id="6292"/>
      <w:bookmarkEnd w:id="6293"/>
      <w:bookmarkEnd w:id="6294"/>
      <w:bookmarkEnd w:id="6295"/>
      <w:bookmarkEnd w:id="6296"/>
      <w:bookmarkEnd w:id="6297"/>
      <w:bookmarkEnd w:id="6298"/>
      <w:bookmarkEnd w:id="6299"/>
      <w:bookmarkEnd w:id="6300"/>
      <w:bookmarkEnd w:id="6301"/>
      <w:bookmarkEnd w:id="6302"/>
      <w:bookmarkEnd w:id="6303"/>
      <w:bookmarkEnd w:id="6304"/>
      <w:bookmarkEnd w:id="6305"/>
      <w:bookmarkEnd w:id="6306"/>
      <w:bookmarkEnd w:id="6307"/>
      <w:bookmarkEnd w:id="6308"/>
      <w:bookmarkEnd w:id="6309"/>
      <w:bookmarkEnd w:id="6310"/>
      <w:bookmarkEnd w:id="6311"/>
      <w:bookmarkEnd w:id="6312"/>
      <w:bookmarkEnd w:id="6313"/>
      <w:bookmarkEnd w:id="6314"/>
      <w:bookmarkEnd w:id="6315"/>
      <w:bookmarkEnd w:id="6316"/>
      <w:bookmarkEnd w:id="6317"/>
      <w:bookmarkEnd w:id="6318"/>
      <w:bookmarkEnd w:id="6319"/>
      <w:bookmarkEnd w:id="6320"/>
      <w:bookmarkEnd w:id="6321"/>
      <w:bookmarkEnd w:id="6322"/>
      <w:bookmarkEnd w:id="6323"/>
      <w:bookmarkEnd w:id="6324"/>
      <w:bookmarkEnd w:id="6325"/>
      <w:bookmarkEnd w:id="6326"/>
      <w:bookmarkEnd w:id="6327"/>
      <w:bookmarkEnd w:id="6328"/>
      <w:bookmarkEnd w:id="6329"/>
      <w:bookmarkEnd w:id="6330"/>
      <w:bookmarkEnd w:id="6331"/>
      <w:bookmarkEnd w:id="6332"/>
      <w:bookmarkEnd w:id="6333"/>
      <w:bookmarkEnd w:id="6334"/>
      <w:bookmarkEnd w:id="6335"/>
      <w:bookmarkEnd w:id="6336"/>
      <w:bookmarkEnd w:id="6337"/>
      <w:bookmarkEnd w:id="6338"/>
      <w:bookmarkEnd w:id="6339"/>
      <w:bookmarkEnd w:id="6340"/>
      <w:bookmarkEnd w:id="6341"/>
      <w:bookmarkEnd w:id="6342"/>
      <w:bookmarkEnd w:id="6343"/>
      <w:bookmarkEnd w:id="6344"/>
      <w:bookmarkEnd w:id="6345"/>
      <w:bookmarkEnd w:id="6346"/>
      <w:bookmarkEnd w:id="6347"/>
      <w:bookmarkEnd w:id="6348"/>
      <w:bookmarkEnd w:id="6349"/>
      <w:bookmarkEnd w:id="6350"/>
      <w:bookmarkEnd w:id="6351"/>
      <w:bookmarkEnd w:id="6352"/>
      <w:bookmarkEnd w:id="6353"/>
      <w:bookmarkEnd w:id="6354"/>
      <w:bookmarkEnd w:id="6355"/>
      <w:bookmarkEnd w:id="6356"/>
      <w:bookmarkEnd w:id="6357"/>
    </w:p>
    <w:p w:rsidR="001C2FD4" w:rsidRPr="001D6519" w:rsidRDefault="001C2FD4" w:rsidP="002E1683">
      <w:pPr>
        <w:pStyle w:val="Nagwek3"/>
        <w:numPr>
          <w:ilvl w:val="2"/>
          <w:numId w:val="187"/>
        </w:numPr>
        <w:rPr>
          <w:rFonts w:eastAsia="Calibri"/>
          <w:color w:val="auto"/>
        </w:rPr>
      </w:pPr>
      <w:bookmarkStart w:id="6358" w:name="_Toc474924929"/>
      <w:r w:rsidRPr="0067419C">
        <w:t xml:space="preserve">Kapitał społeczny </w:t>
      </w:r>
      <w:r>
        <w:t>i organizacje pozarządowe</w:t>
      </w:r>
      <w:bookmarkEnd w:id="5357"/>
      <w:bookmarkEnd w:id="6358"/>
    </w:p>
    <w:p w:rsidR="000318A6" w:rsidRDefault="000318A6" w:rsidP="00C80963">
      <w:pPr>
        <w:jc w:val="both"/>
        <w:rPr>
          <w:szCs w:val="20"/>
        </w:rPr>
      </w:pPr>
    </w:p>
    <w:p w:rsidR="001C2FD4" w:rsidRPr="00C80963" w:rsidRDefault="001C2FD4" w:rsidP="00322AFB">
      <w:pPr>
        <w:spacing w:after="120"/>
        <w:ind w:firstLine="709"/>
        <w:jc w:val="both"/>
        <w:rPr>
          <w:szCs w:val="20"/>
        </w:rPr>
      </w:pPr>
      <w:r w:rsidRPr="00C80963">
        <w:rPr>
          <w:szCs w:val="20"/>
        </w:rPr>
        <w:t>Z analizy przeprowadzonej przez Zes</w:t>
      </w:r>
      <w:r w:rsidR="00191848">
        <w:rPr>
          <w:szCs w:val="20"/>
        </w:rPr>
        <w:t>pół badający na potrzeby programu r</w:t>
      </w:r>
      <w:r w:rsidRPr="00C80963">
        <w:rPr>
          <w:szCs w:val="20"/>
        </w:rPr>
        <w:t>ewitalizacji aktywność społeczną i</w:t>
      </w:r>
      <w:r w:rsidR="0013236B">
        <w:rPr>
          <w:szCs w:val="20"/>
        </w:rPr>
        <w:t> </w:t>
      </w:r>
      <w:r w:rsidRPr="00C80963">
        <w:rPr>
          <w:szCs w:val="20"/>
        </w:rPr>
        <w:t>kulturalną mieszkańców</w:t>
      </w:r>
      <w:r w:rsidRPr="00C80963">
        <w:rPr>
          <w:rStyle w:val="Odwoanieprzypisudolnego"/>
          <w:szCs w:val="20"/>
        </w:rPr>
        <w:footnoteReference w:id="19"/>
      </w:r>
      <w:r w:rsidRPr="00C80963">
        <w:rPr>
          <w:szCs w:val="20"/>
        </w:rPr>
        <w:t xml:space="preserve"> wynika, że na obszarze rewitalizacji występuje m. in.:</w:t>
      </w:r>
    </w:p>
    <w:p w:rsidR="001C2FD4" w:rsidRPr="00C80963" w:rsidRDefault="001C2FD4" w:rsidP="00D14402">
      <w:pPr>
        <w:pStyle w:val="Akapitzlist"/>
        <w:numPr>
          <w:ilvl w:val="0"/>
          <w:numId w:val="50"/>
        </w:numPr>
        <w:spacing w:after="0" w:line="240" w:lineRule="auto"/>
        <w:ind w:left="714" w:hanging="357"/>
        <w:jc w:val="both"/>
        <w:rPr>
          <w:rFonts w:asciiTheme="minorHAnsi" w:hAnsiTheme="minorHAnsi"/>
          <w:sz w:val="20"/>
          <w:szCs w:val="20"/>
        </w:rPr>
      </w:pPr>
      <w:r w:rsidRPr="00C80963">
        <w:rPr>
          <w:rFonts w:asciiTheme="minorHAnsi" w:hAnsiTheme="minorHAnsi"/>
          <w:sz w:val="20"/>
          <w:szCs w:val="20"/>
        </w:rPr>
        <w:t>rażąco niska aktywność społeczna, obywatelska,</w:t>
      </w:r>
    </w:p>
    <w:p w:rsidR="001C2FD4" w:rsidRPr="00C80963" w:rsidRDefault="001C2FD4" w:rsidP="00D14402">
      <w:pPr>
        <w:pStyle w:val="Akapitzlist"/>
        <w:numPr>
          <w:ilvl w:val="0"/>
          <w:numId w:val="50"/>
        </w:numPr>
        <w:spacing w:after="0" w:line="240" w:lineRule="auto"/>
        <w:ind w:left="714" w:hanging="357"/>
        <w:jc w:val="both"/>
        <w:rPr>
          <w:rFonts w:asciiTheme="minorHAnsi" w:hAnsiTheme="minorHAnsi"/>
          <w:sz w:val="20"/>
          <w:szCs w:val="20"/>
        </w:rPr>
      </w:pPr>
      <w:r w:rsidRPr="00C80963">
        <w:rPr>
          <w:rFonts w:asciiTheme="minorHAnsi" w:hAnsiTheme="minorHAnsi"/>
          <w:sz w:val="20"/>
          <w:szCs w:val="20"/>
        </w:rPr>
        <w:t>bierność społeczna, wycofywanie się z przestrzeni publicznej,</w:t>
      </w:r>
    </w:p>
    <w:p w:rsidR="001C2FD4" w:rsidRPr="00C80963" w:rsidRDefault="001C2FD4" w:rsidP="00D14402">
      <w:pPr>
        <w:pStyle w:val="Akapitzlist"/>
        <w:numPr>
          <w:ilvl w:val="0"/>
          <w:numId w:val="50"/>
        </w:numPr>
        <w:spacing w:after="0" w:line="240" w:lineRule="auto"/>
        <w:ind w:left="714" w:hanging="357"/>
        <w:jc w:val="both"/>
        <w:rPr>
          <w:rFonts w:asciiTheme="minorHAnsi" w:hAnsiTheme="minorHAnsi"/>
          <w:sz w:val="20"/>
          <w:szCs w:val="20"/>
        </w:rPr>
      </w:pPr>
      <w:r w:rsidRPr="00C80963">
        <w:rPr>
          <w:rFonts w:asciiTheme="minorHAnsi" w:hAnsiTheme="minorHAnsi"/>
          <w:sz w:val="20"/>
          <w:szCs w:val="20"/>
        </w:rPr>
        <w:t>niska wartość kapitału społecznego,</w:t>
      </w:r>
    </w:p>
    <w:p w:rsidR="001C2FD4" w:rsidRPr="00C80963" w:rsidRDefault="001C2FD4" w:rsidP="00D14402">
      <w:pPr>
        <w:pStyle w:val="Akapitzlist"/>
        <w:numPr>
          <w:ilvl w:val="0"/>
          <w:numId w:val="50"/>
        </w:numPr>
        <w:spacing w:after="0" w:line="240" w:lineRule="auto"/>
        <w:ind w:left="714" w:hanging="357"/>
        <w:jc w:val="both"/>
        <w:rPr>
          <w:rFonts w:asciiTheme="minorHAnsi" w:hAnsiTheme="minorHAnsi"/>
          <w:sz w:val="20"/>
          <w:szCs w:val="20"/>
        </w:rPr>
      </w:pPr>
      <w:r w:rsidRPr="00C80963">
        <w:rPr>
          <w:rFonts w:asciiTheme="minorHAnsi" w:hAnsiTheme="minorHAnsi"/>
          <w:sz w:val="20"/>
          <w:szCs w:val="20"/>
        </w:rPr>
        <w:t>niski poziom zaufania społecznego,</w:t>
      </w:r>
    </w:p>
    <w:p w:rsidR="001C2FD4" w:rsidRPr="00C80963" w:rsidRDefault="001C2FD4" w:rsidP="00D14402">
      <w:pPr>
        <w:pStyle w:val="Akapitzlist"/>
        <w:numPr>
          <w:ilvl w:val="0"/>
          <w:numId w:val="50"/>
        </w:numPr>
        <w:spacing w:after="0" w:line="240" w:lineRule="auto"/>
        <w:ind w:left="714" w:hanging="357"/>
        <w:jc w:val="both"/>
        <w:rPr>
          <w:rFonts w:asciiTheme="minorHAnsi" w:hAnsiTheme="minorHAnsi"/>
          <w:sz w:val="20"/>
          <w:szCs w:val="20"/>
        </w:rPr>
      </w:pPr>
      <w:r w:rsidRPr="00C80963">
        <w:rPr>
          <w:rFonts w:asciiTheme="minorHAnsi" w:hAnsiTheme="minorHAnsi"/>
          <w:sz w:val="20"/>
          <w:szCs w:val="20"/>
        </w:rPr>
        <w:t>niski udział mieszkańców w wydarzeniach kulturalnych i sportowych,</w:t>
      </w:r>
    </w:p>
    <w:p w:rsidR="001C2FD4" w:rsidRPr="00C80963" w:rsidRDefault="001C2FD4" w:rsidP="00D14402">
      <w:pPr>
        <w:pStyle w:val="Akapitzlist"/>
        <w:numPr>
          <w:ilvl w:val="0"/>
          <w:numId w:val="50"/>
        </w:numPr>
        <w:spacing w:after="0" w:line="240" w:lineRule="auto"/>
        <w:ind w:left="714" w:hanging="357"/>
        <w:jc w:val="both"/>
        <w:rPr>
          <w:rFonts w:asciiTheme="minorHAnsi" w:hAnsiTheme="minorHAnsi"/>
          <w:sz w:val="20"/>
          <w:szCs w:val="20"/>
        </w:rPr>
      </w:pPr>
      <w:r w:rsidRPr="00C80963">
        <w:rPr>
          <w:rFonts w:asciiTheme="minorHAnsi" w:hAnsiTheme="minorHAnsi"/>
          <w:sz w:val="20"/>
          <w:szCs w:val="20"/>
        </w:rPr>
        <w:t xml:space="preserve">niski </w:t>
      </w:r>
      <w:r w:rsidRPr="00C80963">
        <w:rPr>
          <w:rFonts w:asciiTheme="minorHAnsi" w:eastAsia="Times New Roman" w:hAnsiTheme="minorHAnsi"/>
          <w:sz w:val="20"/>
          <w:szCs w:val="20"/>
          <w:lang w:eastAsia="pl-PL"/>
        </w:rPr>
        <w:t xml:space="preserve">stopień zrzeszenia się mieszkańców, </w:t>
      </w:r>
    </w:p>
    <w:p w:rsidR="001C2FD4" w:rsidRPr="00C80963" w:rsidRDefault="001C2FD4" w:rsidP="00D14402">
      <w:pPr>
        <w:pStyle w:val="Akapitzlist"/>
        <w:numPr>
          <w:ilvl w:val="0"/>
          <w:numId w:val="50"/>
        </w:numPr>
        <w:spacing w:after="0" w:line="240" w:lineRule="auto"/>
        <w:ind w:left="714" w:hanging="357"/>
        <w:jc w:val="both"/>
        <w:rPr>
          <w:rFonts w:asciiTheme="minorHAnsi" w:hAnsiTheme="minorHAnsi"/>
          <w:sz w:val="20"/>
          <w:szCs w:val="20"/>
        </w:rPr>
      </w:pPr>
      <w:r w:rsidRPr="00C80963">
        <w:rPr>
          <w:rFonts w:asciiTheme="minorHAnsi" w:eastAsia="Times New Roman" w:hAnsiTheme="minorHAnsi"/>
          <w:sz w:val="20"/>
          <w:szCs w:val="20"/>
          <w:lang w:eastAsia="pl-PL"/>
        </w:rPr>
        <w:t>rezygnacja z udziału w wydarzeniach kulturalnych z pobudek ekonomicznych,</w:t>
      </w:r>
    </w:p>
    <w:p w:rsidR="001C2FD4" w:rsidRPr="00C80963" w:rsidRDefault="001C2FD4" w:rsidP="00D14402">
      <w:pPr>
        <w:pStyle w:val="Akapitzlist"/>
        <w:numPr>
          <w:ilvl w:val="0"/>
          <w:numId w:val="50"/>
        </w:numPr>
        <w:spacing w:after="120" w:line="240" w:lineRule="auto"/>
        <w:ind w:left="714" w:hanging="357"/>
        <w:contextualSpacing/>
        <w:jc w:val="both"/>
        <w:rPr>
          <w:rFonts w:asciiTheme="minorHAnsi" w:hAnsiTheme="minorHAnsi"/>
          <w:sz w:val="20"/>
          <w:szCs w:val="20"/>
          <w:lang w:eastAsia="zh-CN"/>
        </w:rPr>
      </w:pPr>
      <w:r w:rsidRPr="00C80963">
        <w:rPr>
          <w:rFonts w:asciiTheme="minorHAnsi" w:eastAsia="Times New Roman" w:hAnsiTheme="minorHAnsi"/>
          <w:sz w:val="20"/>
          <w:szCs w:val="20"/>
          <w:lang w:eastAsia="pl-PL"/>
        </w:rPr>
        <w:t>zjawisko braku potrzeby uczestnictwa w kulturze.</w:t>
      </w:r>
    </w:p>
    <w:p w:rsidR="001C2FD4" w:rsidRPr="00CF06A7" w:rsidRDefault="00CF06A7" w:rsidP="001C2FD4">
      <w:pPr>
        <w:pStyle w:val="Legenda"/>
        <w:keepNext/>
        <w:spacing w:line="312" w:lineRule="auto"/>
      </w:pPr>
      <w:bookmarkStart w:id="6359" w:name="_Toc460222271"/>
      <w:bookmarkStart w:id="6360" w:name="_Toc191972632"/>
      <w:r w:rsidRPr="00CF06A7">
        <w:lastRenderedPageBreak/>
        <w:t xml:space="preserve">Mapa </w:t>
      </w:r>
      <w:r w:rsidR="003972D8" w:rsidRPr="00CF06A7">
        <w:fldChar w:fldCharType="begin"/>
      </w:r>
      <w:r w:rsidRPr="00CF06A7">
        <w:instrText xml:space="preserve"> SEQ Mapa \* ARABIC </w:instrText>
      </w:r>
      <w:r w:rsidR="003972D8" w:rsidRPr="00CF06A7">
        <w:fldChar w:fldCharType="separate"/>
      </w:r>
      <w:r w:rsidR="00413FFE">
        <w:rPr>
          <w:noProof/>
        </w:rPr>
        <w:t>20</w:t>
      </w:r>
      <w:r w:rsidR="003972D8" w:rsidRPr="00CF06A7">
        <w:fldChar w:fldCharType="end"/>
      </w:r>
      <w:r w:rsidRPr="00CF06A7">
        <w:t xml:space="preserve">. </w:t>
      </w:r>
      <w:r w:rsidR="001C2FD4" w:rsidRPr="00CF06A7">
        <w:t>Frekwencja wyborcza w wyborach samorządowych w 2014 r.</w:t>
      </w:r>
      <w:bookmarkEnd w:id="6359"/>
      <w:bookmarkEnd w:id="6360"/>
    </w:p>
    <w:p w:rsidR="001C2FD4" w:rsidRDefault="0043168D" w:rsidP="00B44876">
      <w:pPr>
        <w:spacing w:line="276" w:lineRule="auto"/>
        <w:rPr>
          <w:rFonts w:eastAsia="Calibri"/>
          <w:i/>
          <w:szCs w:val="20"/>
        </w:rPr>
      </w:pPr>
      <w:r>
        <w:rPr>
          <w:rFonts w:eastAsia="Calibri"/>
          <w:i/>
          <w:noProof/>
          <w:szCs w:val="20"/>
        </w:rPr>
        <w:drawing>
          <wp:inline distT="0" distB="0" distL="0" distR="0">
            <wp:extent cx="5762625" cy="4076700"/>
            <wp:effectExtent l="19050" t="0" r="9525" b="0"/>
            <wp:docPr id="50" name="Obraz 5" descr="C:\Users\TT\Dropbox\irm-bytom-mapy\wydruki\550-2B Frekwencja w wyborach samorządowych (2014) – wybory do rady miast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descr="C:\Users\TT\Dropbox\irm-bytom-mapy\wydruki\550-2B Frekwencja w wyborach samorządowych (2014) – wybory do rady miasta.png"/>
                    <pic:cNvPicPr>
                      <a:picLocks noChangeAspect="1" noChangeArrowheads="1"/>
                    </pic:cNvPicPr>
                  </pic:nvPicPr>
                  <pic:blipFill>
                    <a:blip r:embed="rId42" cstate="print"/>
                    <a:srcRect/>
                    <a:stretch>
                      <a:fillRect/>
                    </a:stretch>
                  </pic:blipFill>
                  <pic:spPr bwMode="auto">
                    <a:xfrm>
                      <a:off x="0" y="0"/>
                      <a:ext cx="5762625" cy="4076700"/>
                    </a:xfrm>
                    <a:prstGeom prst="rect">
                      <a:avLst/>
                    </a:prstGeom>
                    <a:noFill/>
                    <a:ln w="9525">
                      <a:noFill/>
                      <a:miter lim="800000"/>
                      <a:headEnd/>
                      <a:tailEnd/>
                    </a:ln>
                  </pic:spPr>
                </pic:pic>
              </a:graphicData>
            </a:graphic>
          </wp:inline>
        </w:drawing>
      </w:r>
    </w:p>
    <w:p w:rsidR="001C2FD4" w:rsidRPr="00804BD2" w:rsidRDefault="00804BD2" w:rsidP="00B44876">
      <w:pPr>
        <w:autoSpaceDE w:val="0"/>
        <w:autoSpaceDN w:val="0"/>
        <w:adjustRightInd w:val="0"/>
        <w:spacing w:before="60"/>
        <w:rPr>
          <w:rFonts w:eastAsia="Calibri" w:cs="ArialNarrow"/>
          <w:i/>
          <w:sz w:val="18"/>
          <w:szCs w:val="20"/>
        </w:rPr>
      </w:pPr>
      <w:r w:rsidRPr="005F27F5">
        <w:rPr>
          <w:rFonts w:eastAsia="Calibri" w:cs="ArialNarrow"/>
          <w:i/>
          <w:sz w:val="18"/>
          <w:szCs w:val="20"/>
        </w:rPr>
        <w:t xml:space="preserve">Źródło: Opracowanie </w:t>
      </w:r>
      <w:r>
        <w:rPr>
          <w:rFonts w:eastAsia="Calibri" w:cs="ArialNarrow"/>
          <w:i/>
          <w:sz w:val="18"/>
          <w:szCs w:val="20"/>
        </w:rPr>
        <w:t xml:space="preserve">Instytutu Rozwoju Miast </w:t>
      </w:r>
      <w:r w:rsidR="001C2FD4" w:rsidRPr="005F27F5">
        <w:rPr>
          <w:rFonts w:eastAsia="Calibri"/>
          <w:i/>
          <w:sz w:val="18"/>
          <w:szCs w:val="20"/>
        </w:rPr>
        <w:t xml:space="preserve">na podstawie </w:t>
      </w:r>
      <w:r w:rsidR="00191848" w:rsidRPr="005F27F5">
        <w:rPr>
          <w:rFonts w:eastAsia="Calibri"/>
          <w:i/>
          <w:sz w:val="18"/>
          <w:szCs w:val="20"/>
        </w:rPr>
        <w:t xml:space="preserve">danych Państwowej </w:t>
      </w:r>
      <w:r w:rsidR="001C2FD4" w:rsidRPr="005F27F5">
        <w:rPr>
          <w:rFonts w:eastAsia="Calibri"/>
          <w:i/>
          <w:sz w:val="18"/>
          <w:szCs w:val="20"/>
        </w:rPr>
        <w:t>Komisji Wyborczej</w:t>
      </w:r>
    </w:p>
    <w:p w:rsidR="001C2FD4" w:rsidRPr="00B44876" w:rsidRDefault="001C2FD4" w:rsidP="00B44876">
      <w:pPr>
        <w:spacing w:before="60"/>
      </w:pPr>
    </w:p>
    <w:p w:rsidR="002F21D0" w:rsidRPr="00C80963" w:rsidRDefault="002F21D0" w:rsidP="00B44876">
      <w:pPr>
        <w:spacing w:after="40"/>
        <w:ind w:firstLine="709"/>
        <w:jc w:val="both"/>
        <w:rPr>
          <w:rFonts w:eastAsia="Calibri"/>
          <w:szCs w:val="20"/>
        </w:rPr>
      </w:pPr>
      <w:r w:rsidRPr="00C80963">
        <w:rPr>
          <w:b/>
          <w:color w:val="C00000"/>
          <w:szCs w:val="20"/>
        </w:rPr>
        <w:t>Niski poziom kapitału społecznego na obszarze rewitalizacji potwierdza niska frekwencja w</w:t>
      </w:r>
      <w:r>
        <w:rPr>
          <w:b/>
          <w:color w:val="C00000"/>
          <w:szCs w:val="20"/>
        </w:rPr>
        <w:t> </w:t>
      </w:r>
      <w:r w:rsidRPr="00C80963">
        <w:rPr>
          <w:b/>
          <w:color w:val="C00000"/>
          <w:szCs w:val="20"/>
        </w:rPr>
        <w:t>wyborach samorządowych</w:t>
      </w:r>
      <w:r w:rsidRPr="00C80963">
        <w:rPr>
          <w:szCs w:val="20"/>
        </w:rPr>
        <w:t xml:space="preserve"> </w:t>
      </w:r>
      <w:r w:rsidRPr="00C80963">
        <w:rPr>
          <w:rFonts w:eastAsia="Calibri"/>
          <w:szCs w:val="20"/>
        </w:rPr>
        <w:t>przeprowadzonych 16 listopada 2014 r. W Polsce średnio wyniosła ona 45,5%, w</w:t>
      </w:r>
      <w:r>
        <w:rPr>
          <w:rFonts w:eastAsia="Calibri"/>
          <w:szCs w:val="20"/>
        </w:rPr>
        <w:t> </w:t>
      </w:r>
      <w:r w:rsidRPr="00C80963">
        <w:rPr>
          <w:rFonts w:eastAsia="Calibri"/>
          <w:szCs w:val="20"/>
        </w:rPr>
        <w:t>Bytomiu tylko 33,4%. Na obszarze rewitalizacji była jeszcze niższa, jedynie na północy Śródmieścia, na niewielkim terenie ścisłego centrum i we wschodniej części Śródmieścia była zbliżona lub nieznacznie przekroczyła średnią (33-34%). Z zamieszczonej mapy wynika, że w pozostałej części obszaru frekwencja wypadła znacznie poniżej tej (bardzo przecież niskiej) średniej miasta</w:t>
      </w:r>
      <w:r w:rsidRPr="00C80963">
        <w:rPr>
          <w:rStyle w:val="Odwoanieprzypisudolnego"/>
          <w:rFonts w:eastAsia="Calibri"/>
          <w:szCs w:val="20"/>
        </w:rPr>
        <w:footnoteReference w:id="20"/>
      </w:r>
      <w:r w:rsidRPr="00C80963">
        <w:rPr>
          <w:rFonts w:eastAsia="Calibri"/>
          <w:szCs w:val="20"/>
        </w:rPr>
        <w:t xml:space="preserve">. </w:t>
      </w:r>
      <w:r w:rsidRPr="00C80963">
        <w:rPr>
          <w:rFonts w:eastAsia="Calibri"/>
          <w:b/>
          <w:color w:val="C00000"/>
          <w:szCs w:val="20"/>
        </w:rPr>
        <w:t>W północnej części podobszaru Bobrek była o połowę niższa (17%). W pozostałej części tej dzielnicy i w Rozbarku wyniosła od 22% do 26%.</w:t>
      </w:r>
      <w:r w:rsidRPr="00C80963">
        <w:rPr>
          <w:rFonts w:eastAsia="Calibri"/>
          <w:szCs w:val="20"/>
        </w:rPr>
        <w:t xml:space="preserve"> W</w:t>
      </w:r>
      <w:r>
        <w:rPr>
          <w:rFonts w:eastAsia="Calibri"/>
          <w:szCs w:val="20"/>
        </w:rPr>
        <w:t> </w:t>
      </w:r>
      <w:r w:rsidRPr="00C80963">
        <w:rPr>
          <w:rFonts w:eastAsia="Calibri"/>
          <w:szCs w:val="20"/>
        </w:rPr>
        <w:t>podobszarach Śródmieścia najczęściej była o kilka p.p. niższa od średniej miasta.</w:t>
      </w:r>
    </w:p>
    <w:p w:rsidR="002F21D0" w:rsidRPr="00C80963" w:rsidRDefault="002F21D0" w:rsidP="00B44876">
      <w:pPr>
        <w:ind w:firstLine="709"/>
        <w:jc w:val="both"/>
        <w:rPr>
          <w:rFonts w:eastAsia="Calibri"/>
          <w:szCs w:val="20"/>
        </w:rPr>
      </w:pPr>
      <w:r w:rsidRPr="00C80963">
        <w:rPr>
          <w:rFonts w:eastAsia="Calibri"/>
          <w:szCs w:val="20"/>
        </w:rPr>
        <w:t xml:space="preserve">Można zatem przyjąć, że </w:t>
      </w:r>
      <w:r w:rsidRPr="00C80963">
        <w:rPr>
          <w:rFonts w:eastAsia="Calibri"/>
          <w:b/>
          <w:color w:val="C00000"/>
          <w:szCs w:val="20"/>
        </w:rPr>
        <w:t>w Bobrku i Rozbarku mogą wystąpić trudności z zaangażowaniem mieszkańców w</w:t>
      </w:r>
      <w:r>
        <w:rPr>
          <w:rFonts w:eastAsia="Calibri"/>
          <w:b/>
          <w:color w:val="C00000"/>
          <w:szCs w:val="20"/>
        </w:rPr>
        <w:t> </w:t>
      </w:r>
      <w:r w:rsidRPr="00C80963">
        <w:rPr>
          <w:rFonts w:eastAsia="Calibri"/>
          <w:b/>
          <w:color w:val="C00000"/>
          <w:szCs w:val="20"/>
        </w:rPr>
        <w:t>działania rewitalizacyjne</w:t>
      </w:r>
      <w:r w:rsidRPr="00C80963">
        <w:rPr>
          <w:rFonts w:eastAsia="Calibri"/>
          <w:color w:val="C00000"/>
          <w:szCs w:val="20"/>
        </w:rPr>
        <w:t>.</w:t>
      </w:r>
      <w:r w:rsidRPr="00C80963">
        <w:rPr>
          <w:rFonts w:eastAsia="Calibri"/>
          <w:szCs w:val="20"/>
        </w:rPr>
        <w:t xml:space="preserve"> Potrzebna jest tam długotrwała praca animatorów i instytucji (samorządowych, pozarządowych, kościołów), aby stopniowo doprowadzić do wzrostu akt</w:t>
      </w:r>
      <w:r>
        <w:rPr>
          <w:rFonts w:eastAsia="Calibri"/>
          <w:szCs w:val="20"/>
        </w:rPr>
        <w:t>ywności społecznej. Działania takie</w:t>
      </w:r>
      <w:r w:rsidRPr="00C80963">
        <w:rPr>
          <w:rFonts w:eastAsia="Calibri"/>
          <w:szCs w:val="20"/>
        </w:rPr>
        <w:t xml:space="preserve"> są już tam prowadzone i należy je kontynuować. </w:t>
      </w:r>
      <w:r w:rsidRPr="00C80963">
        <w:rPr>
          <w:rFonts w:eastAsia="Calibri"/>
          <w:b/>
          <w:color w:val="C00000"/>
          <w:szCs w:val="20"/>
        </w:rPr>
        <w:t>W pozostałych podobszarach centralnych można liczyć na włączenie się części społeczności w działania</w:t>
      </w:r>
      <w:r w:rsidRPr="00C80963">
        <w:rPr>
          <w:rFonts w:eastAsia="Calibri"/>
          <w:szCs w:val="20"/>
        </w:rPr>
        <w:t xml:space="preserve"> rewitalizacyjne. Wnioski te pokrywają się z</w:t>
      </w:r>
      <w:r>
        <w:rPr>
          <w:rFonts w:eastAsia="Calibri"/>
          <w:szCs w:val="20"/>
        </w:rPr>
        <w:t> </w:t>
      </w:r>
      <w:r w:rsidRPr="00C80963">
        <w:rPr>
          <w:rFonts w:eastAsia="Calibri"/>
          <w:szCs w:val="20"/>
        </w:rPr>
        <w:t>obserwacjami zaangażowania społeczności lokalnych podczas konsultacji społecznych prowadzonych w</w:t>
      </w:r>
      <w:r>
        <w:rPr>
          <w:rFonts w:eastAsia="Calibri"/>
          <w:szCs w:val="20"/>
        </w:rPr>
        <w:t>  p</w:t>
      </w:r>
      <w:r w:rsidRPr="00C80963">
        <w:rPr>
          <w:rFonts w:eastAsia="Calibri"/>
          <w:szCs w:val="20"/>
        </w:rPr>
        <w:t>oszczególnych podobszarach.</w:t>
      </w:r>
    </w:p>
    <w:p w:rsidR="001C2FD4" w:rsidRPr="00C80963" w:rsidRDefault="001C2FD4" w:rsidP="00B44876">
      <w:pPr>
        <w:spacing w:before="40"/>
        <w:ind w:firstLine="709"/>
        <w:jc w:val="both"/>
        <w:rPr>
          <w:szCs w:val="20"/>
        </w:rPr>
      </w:pPr>
      <w:r w:rsidRPr="00C80963">
        <w:rPr>
          <w:szCs w:val="20"/>
        </w:rPr>
        <w:t xml:space="preserve">Kapitał społeczny mieszkańców obszaru rewitalizacji poza </w:t>
      </w:r>
      <w:r w:rsidR="00A5509C">
        <w:rPr>
          <w:szCs w:val="20"/>
        </w:rPr>
        <w:t xml:space="preserve">Śródmieściem </w:t>
      </w:r>
      <w:r w:rsidRPr="00C80963">
        <w:rPr>
          <w:szCs w:val="20"/>
        </w:rPr>
        <w:t xml:space="preserve">jest niewielki. Przekłada się to na liczbę organizacji pozarządowych, których w Rozbarku i Bobrku jest mało (po 6 w każdym z tych podobszarów na 233 w mieście). Natomiast tam, gdzie zdiagnozowano wyższy poziom kapitału społecznego, czyli </w:t>
      </w:r>
      <w:r w:rsidRPr="00C80963">
        <w:rPr>
          <w:b/>
          <w:color w:val="C00000"/>
          <w:szCs w:val="20"/>
        </w:rPr>
        <w:t>w</w:t>
      </w:r>
      <w:r w:rsidR="006F533E">
        <w:rPr>
          <w:b/>
          <w:color w:val="C00000"/>
          <w:szCs w:val="20"/>
        </w:rPr>
        <w:t> </w:t>
      </w:r>
      <w:r w:rsidRPr="00C80963">
        <w:rPr>
          <w:b/>
          <w:color w:val="C00000"/>
          <w:szCs w:val="20"/>
        </w:rPr>
        <w:t>podobszarach Śródmieścia, działa łącznie 90 organizacji pozarządowych. Mogą one spełnić ważną rolę w</w:t>
      </w:r>
      <w:r w:rsidR="006F533E">
        <w:rPr>
          <w:b/>
          <w:color w:val="C00000"/>
          <w:szCs w:val="20"/>
        </w:rPr>
        <w:t> </w:t>
      </w:r>
      <w:r w:rsidRPr="00C80963">
        <w:rPr>
          <w:b/>
          <w:color w:val="C00000"/>
          <w:szCs w:val="20"/>
        </w:rPr>
        <w:t xml:space="preserve">procesie rewitalizacji, jednak pod warunkiem, że ich zakres działania i oferta będzie adekwatna do potrzeb </w:t>
      </w:r>
      <w:r w:rsidRPr="00C80963">
        <w:rPr>
          <w:b/>
          <w:color w:val="C00000"/>
          <w:szCs w:val="20"/>
        </w:rPr>
        <w:lastRenderedPageBreak/>
        <w:t>ludności zamieszkującej obszar.</w:t>
      </w:r>
      <w:r w:rsidRPr="00C80963">
        <w:rPr>
          <w:szCs w:val="20"/>
        </w:rPr>
        <w:t xml:space="preserve"> Należy dokonać rewizji działalności organizacji pod tym kątem i wdrożyć mechanizmy zachęcające działające i nowe organizacje do zaproponowania oferty, jakiej potrzebują mieszkańcy obszaru interwencji.</w:t>
      </w:r>
    </w:p>
    <w:p w:rsidR="000318A6" w:rsidRDefault="000318A6" w:rsidP="001C2FD4">
      <w:pPr>
        <w:pStyle w:val="Legenda"/>
        <w:spacing w:line="312" w:lineRule="auto"/>
      </w:pPr>
      <w:bookmarkStart w:id="6361" w:name="_Toc460222272"/>
    </w:p>
    <w:p w:rsidR="001C2FD4" w:rsidRPr="00CF06A7" w:rsidRDefault="00CF06A7" w:rsidP="002F21D0">
      <w:pPr>
        <w:pStyle w:val="Legenda"/>
        <w:rPr>
          <w:rFonts w:eastAsia="Calibri"/>
          <w:szCs w:val="24"/>
        </w:rPr>
      </w:pPr>
      <w:bookmarkStart w:id="6362" w:name="_Toc191972633"/>
      <w:r w:rsidRPr="00CF06A7">
        <w:t xml:space="preserve">Mapa </w:t>
      </w:r>
      <w:r w:rsidR="003972D8" w:rsidRPr="00CF06A7">
        <w:fldChar w:fldCharType="begin"/>
      </w:r>
      <w:r w:rsidRPr="00CF06A7">
        <w:instrText xml:space="preserve"> SEQ Mapa \* ARABIC </w:instrText>
      </w:r>
      <w:r w:rsidR="003972D8" w:rsidRPr="00CF06A7">
        <w:fldChar w:fldCharType="separate"/>
      </w:r>
      <w:r w:rsidR="00413FFE">
        <w:rPr>
          <w:noProof/>
        </w:rPr>
        <w:t>21</w:t>
      </w:r>
      <w:r w:rsidR="003972D8" w:rsidRPr="00CF06A7">
        <w:fldChar w:fldCharType="end"/>
      </w:r>
      <w:r w:rsidRPr="00CF06A7">
        <w:t>.</w:t>
      </w:r>
      <w:r w:rsidR="001C2FD4" w:rsidRPr="00CF06A7">
        <w:t xml:space="preserve"> Kluby sportowe i Uczniowskie Kluby Sportowe w Bytomiu</w:t>
      </w:r>
      <w:bookmarkEnd w:id="6361"/>
      <w:bookmarkEnd w:id="6362"/>
      <w:r w:rsidR="001C2FD4" w:rsidRPr="00CF06A7">
        <w:t xml:space="preserve">  </w:t>
      </w:r>
    </w:p>
    <w:p w:rsidR="001C2FD4" w:rsidRDefault="0043168D" w:rsidP="002F21D0">
      <w:r>
        <w:rPr>
          <w:noProof/>
        </w:rPr>
        <w:drawing>
          <wp:inline distT="0" distB="0" distL="0" distR="0">
            <wp:extent cx="5616000" cy="3902612"/>
            <wp:effectExtent l="19050" t="0" r="3750" b="0"/>
            <wp:docPr id="49" name="Obraz 4" descr="C:\Users\TT\Dropbox\irm-bytom-mapy\wydruki\561B ORGANIZACJE POZARZĄDOWE SPORTOWE W BYTOMI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C:\Users\TT\Dropbox\irm-bytom-mapy\wydruki\561B ORGANIZACJE POZARZĄDOWE SPORTOWE W BYTOMIU.png"/>
                    <pic:cNvPicPr>
                      <a:picLocks noChangeAspect="1" noChangeArrowheads="1"/>
                    </pic:cNvPicPr>
                  </pic:nvPicPr>
                  <pic:blipFill>
                    <a:blip r:embed="rId43" cstate="print"/>
                    <a:srcRect b="1869"/>
                    <a:stretch>
                      <a:fillRect/>
                    </a:stretch>
                  </pic:blipFill>
                  <pic:spPr bwMode="auto">
                    <a:xfrm>
                      <a:off x="0" y="0"/>
                      <a:ext cx="5616000" cy="3902612"/>
                    </a:xfrm>
                    <a:prstGeom prst="rect">
                      <a:avLst/>
                    </a:prstGeom>
                    <a:noFill/>
                    <a:ln w="9525">
                      <a:noFill/>
                      <a:miter lim="800000"/>
                      <a:headEnd/>
                      <a:tailEnd/>
                    </a:ln>
                  </pic:spPr>
                </pic:pic>
              </a:graphicData>
            </a:graphic>
          </wp:inline>
        </w:drawing>
      </w:r>
    </w:p>
    <w:p w:rsidR="00804BD2" w:rsidRPr="005F27F5" w:rsidRDefault="00804BD2" w:rsidP="00804BD2">
      <w:pPr>
        <w:autoSpaceDE w:val="0"/>
        <w:autoSpaceDN w:val="0"/>
        <w:adjustRightInd w:val="0"/>
        <w:rPr>
          <w:rFonts w:eastAsia="Calibri" w:cs="ArialNarrow"/>
          <w:i/>
          <w:sz w:val="18"/>
          <w:szCs w:val="20"/>
        </w:rPr>
      </w:pPr>
      <w:r w:rsidRPr="005F27F5">
        <w:rPr>
          <w:rFonts w:eastAsia="Calibri" w:cs="ArialNarrow"/>
          <w:i/>
          <w:sz w:val="18"/>
          <w:szCs w:val="20"/>
        </w:rPr>
        <w:t xml:space="preserve">Źródło: Opracowanie </w:t>
      </w:r>
      <w:r>
        <w:rPr>
          <w:rFonts w:eastAsia="Calibri" w:cs="ArialNarrow"/>
          <w:i/>
          <w:sz w:val="18"/>
          <w:szCs w:val="20"/>
        </w:rPr>
        <w:t>Instytutu Rozwoju Miast</w:t>
      </w:r>
    </w:p>
    <w:p w:rsidR="0099033C" w:rsidRDefault="0099033C" w:rsidP="002F21D0">
      <w:pPr>
        <w:ind w:firstLine="708"/>
        <w:jc w:val="both"/>
        <w:rPr>
          <w:szCs w:val="20"/>
        </w:rPr>
      </w:pPr>
    </w:p>
    <w:p w:rsidR="002F21D0" w:rsidRPr="00C80963" w:rsidRDefault="002F21D0" w:rsidP="002F21D0">
      <w:pPr>
        <w:ind w:firstLine="708"/>
        <w:jc w:val="both"/>
        <w:rPr>
          <w:szCs w:val="20"/>
        </w:rPr>
      </w:pPr>
      <w:r w:rsidRPr="00C80963">
        <w:rPr>
          <w:szCs w:val="20"/>
        </w:rPr>
        <w:t xml:space="preserve">Szczególnie ważna na terenach problemowych jest działalność w zakresie kultury fizycznej. </w:t>
      </w:r>
      <w:r w:rsidRPr="00626434">
        <w:rPr>
          <w:szCs w:val="20"/>
        </w:rPr>
        <w:t>Z mapy 24</w:t>
      </w:r>
      <w:r w:rsidRPr="00C80963">
        <w:rPr>
          <w:szCs w:val="20"/>
        </w:rPr>
        <w:t xml:space="preserve"> wynika, że na obszarze rewitalizacji nie ma wielu podmiotów tego typu. </w:t>
      </w:r>
      <w:r w:rsidRPr="00C80963">
        <w:rPr>
          <w:b/>
          <w:color w:val="C00000"/>
          <w:szCs w:val="20"/>
        </w:rPr>
        <w:t>Kluby sportowe i Uczniowskie Kluby Sportowe tylko nielicznie występują w d</w:t>
      </w:r>
      <w:r>
        <w:rPr>
          <w:b/>
          <w:color w:val="C00000"/>
          <w:szCs w:val="20"/>
        </w:rPr>
        <w:t>zielnicach Ś</w:t>
      </w:r>
      <w:r w:rsidRPr="00C80963">
        <w:rPr>
          <w:b/>
          <w:color w:val="C00000"/>
          <w:szCs w:val="20"/>
        </w:rPr>
        <w:t>ródmieścia, a niemal wcale nie ma ich w Bobrku i</w:t>
      </w:r>
      <w:r>
        <w:rPr>
          <w:b/>
          <w:color w:val="C00000"/>
          <w:szCs w:val="20"/>
        </w:rPr>
        <w:t> </w:t>
      </w:r>
      <w:r w:rsidRPr="00C80963">
        <w:rPr>
          <w:b/>
          <w:color w:val="C00000"/>
          <w:szCs w:val="20"/>
        </w:rPr>
        <w:t>Rozbarku.</w:t>
      </w:r>
      <w:r w:rsidRPr="00C80963">
        <w:rPr>
          <w:szCs w:val="20"/>
        </w:rPr>
        <w:t xml:space="preserve"> Tymczasem właśnie aktywność sportowa może być dla młodzieży z obszaru rewitalizacji tym elementem, który pozwoli na pokonanie licznych obciążeń i negatywnych wzorców związanych z trudnym środowiskiem. </w:t>
      </w:r>
    </w:p>
    <w:p w:rsidR="001C2FD4" w:rsidRPr="00C80963" w:rsidRDefault="001C2FD4" w:rsidP="006F533E">
      <w:pPr>
        <w:ind w:firstLine="708"/>
        <w:jc w:val="both"/>
        <w:rPr>
          <w:szCs w:val="20"/>
        </w:rPr>
      </w:pPr>
      <w:r w:rsidRPr="00C80963">
        <w:rPr>
          <w:szCs w:val="20"/>
        </w:rPr>
        <w:t>Należy podjąć działania zachęcające osoby o odpowiednim przygotowaniu do pracy sportowej z</w:t>
      </w:r>
      <w:r w:rsidR="006F533E">
        <w:rPr>
          <w:szCs w:val="20"/>
        </w:rPr>
        <w:t> </w:t>
      </w:r>
      <w:r w:rsidRPr="00C80963">
        <w:rPr>
          <w:szCs w:val="20"/>
        </w:rPr>
        <w:t xml:space="preserve">młodzieżą na obszarze rewitalizacji. Jednym ze sposobów może być zwiększenie budżetu na dotacje dla organizacji sportowych. </w:t>
      </w:r>
    </w:p>
    <w:p w:rsidR="001C2FD4" w:rsidRDefault="001C2FD4" w:rsidP="006F533E">
      <w:pPr>
        <w:ind w:firstLine="708"/>
        <w:jc w:val="both"/>
        <w:rPr>
          <w:szCs w:val="20"/>
        </w:rPr>
      </w:pPr>
      <w:r w:rsidRPr="00C80963">
        <w:rPr>
          <w:szCs w:val="20"/>
        </w:rPr>
        <w:t>W Bytomiu w 2016 r. na zadania kultury fizycznej przeznaczono 382 tys. zł, z czego 200 tys. zł na finansowani</w:t>
      </w:r>
      <w:r w:rsidR="001302B3">
        <w:rPr>
          <w:szCs w:val="20"/>
        </w:rPr>
        <w:t>e</w:t>
      </w:r>
      <w:r w:rsidRPr="00C80963">
        <w:rPr>
          <w:szCs w:val="20"/>
        </w:rPr>
        <w:t xml:space="preserve"> działalności klubów sportowych i 182 tys. zł na organizację imprez. Środki te trafiły w większości do klubów poza obszarem rewitalizacji. Na mapie zaznaczono dotacje z b</w:t>
      </w:r>
      <w:r w:rsidR="00EB178D">
        <w:rPr>
          <w:szCs w:val="20"/>
        </w:rPr>
        <w:t>udżetu gminy, jakie otrzymały w </w:t>
      </w:r>
      <w:r w:rsidRPr="00C80963">
        <w:rPr>
          <w:szCs w:val="20"/>
        </w:rPr>
        <w:t>2016</w:t>
      </w:r>
      <w:r w:rsidR="00EB178D">
        <w:rPr>
          <w:szCs w:val="20"/>
        </w:rPr>
        <w:t> </w:t>
      </w:r>
      <w:r w:rsidRPr="00C80963">
        <w:rPr>
          <w:szCs w:val="20"/>
        </w:rPr>
        <w:t xml:space="preserve">r. kluby sportowe na swoją działalność oraz dotacje udzielone na organizację zajęć i imprez sportowych. Obszar rewitalizacji jest pod tym względem wspierany w niewystarczającym stopniu. </w:t>
      </w:r>
    </w:p>
    <w:p w:rsidR="0004304A" w:rsidRDefault="0004304A" w:rsidP="0004304A">
      <w:pPr>
        <w:jc w:val="both"/>
        <w:rPr>
          <w:szCs w:val="20"/>
        </w:rPr>
      </w:pPr>
    </w:p>
    <w:p w:rsidR="00B44876" w:rsidRDefault="00B44876" w:rsidP="0004304A">
      <w:pPr>
        <w:jc w:val="both"/>
        <w:rPr>
          <w:szCs w:val="20"/>
        </w:rPr>
      </w:pPr>
    </w:p>
    <w:p w:rsidR="00B44876" w:rsidRDefault="00B44876" w:rsidP="0004304A">
      <w:pPr>
        <w:jc w:val="both"/>
        <w:rPr>
          <w:szCs w:val="20"/>
        </w:rPr>
      </w:pPr>
    </w:p>
    <w:p w:rsidR="00B44876" w:rsidRDefault="00B44876" w:rsidP="0004304A">
      <w:pPr>
        <w:jc w:val="both"/>
        <w:rPr>
          <w:szCs w:val="20"/>
        </w:rPr>
      </w:pPr>
    </w:p>
    <w:p w:rsidR="00B44876" w:rsidRDefault="00B44876" w:rsidP="0004304A">
      <w:pPr>
        <w:jc w:val="both"/>
        <w:rPr>
          <w:szCs w:val="20"/>
        </w:rPr>
      </w:pPr>
    </w:p>
    <w:p w:rsidR="00B44876" w:rsidRDefault="00B44876" w:rsidP="0004304A">
      <w:pPr>
        <w:jc w:val="both"/>
        <w:rPr>
          <w:szCs w:val="20"/>
        </w:rPr>
      </w:pPr>
    </w:p>
    <w:p w:rsidR="001C2FD4" w:rsidRPr="00CF06A7" w:rsidRDefault="00CF06A7" w:rsidP="009F09B5">
      <w:pPr>
        <w:pStyle w:val="Legenda"/>
        <w:rPr>
          <w:rFonts w:eastAsia="Calibri"/>
          <w:szCs w:val="24"/>
        </w:rPr>
      </w:pPr>
      <w:bookmarkStart w:id="6363" w:name="_Toc460222273"/>
      <w:bookmarkStart w:id="6364" w:name="_Toc191972634"/>
      <w:r w:rsidRPr="00CF06A7">
        <w:lastRenderedPageBreak/>
        <w:t xml:space="preserve">Mapa </w:t>
      </w:r>
      <w:r w:rsidR="003972D8" w:rsidRPr="00CF06A7">
        <w:fldChar w:fldCharType="begin"/>
      </w:r>
      <w:r w:rsidRPr="00CF06A7">
        <w:instrText xml:space="preserve"> SEQ Mapa \* ARABIC </w:instrText>
      </w:r>
      <w:r w:rsidR="003972D8" w:rsidRPr="00CF06A7">
        <w:fldChar w:fldCharType="separate"/>
      </w:r>
      <w:r w:rsidR="00413FFE">
        <w:rPr>
          <w:noProof/>
        </w:rPr>
        <w:t>22</w:t>
      </w:r>
      <w:r w:rsidR="003972D8" w:rsidRPr="00CF06A7">
        <w:fldChar w:fldCharType="end"/>
      </w:r>
      <w:r w:rsidRPr="00CF06A7">
        <w:t>.</w:t>
      </w:r>
      <w:r w:rsidR="001C2FD4" w:rsidRPr="00CF06A7">
        <w:t xml:space="preserve"> Dotacje udzielone organizacjom sportowym w 2016 r.</w:t>
      </w:r>
      <w:bookmarkEnd w:id="6363"/>
      <w:bookmarkEnd w:id="6364"/>
      <w:r w:rsidR="001C2FD4" w:rsidRPr="00CF06A7">
        <w:t xml:space="preserve"> </w:t>
      </w:r>
    </w:p>
    <w:p w:rsidR="001C2FD4" w:rsidRDefault="0043168D" w:rsidP="009F09B5">
      <w:pPr>
        <w:jc w:val="center"/>
      </w:pPr>
      <w:r>
        <w:rPr>
          <w:noProof/>
        </w:rPr>
        <w:drawing>
          <wp:inline distT="0" distB="0" distL="0" distR="0">
            <wp:extent cx="5436000" cy="3769213"/>
            <wp:effectExtent l="19050" t="0" r="0" b="0"/>
            <wp:docPr id="48" name="Obraz 2" descr="C:\Users\TT\Dropbox\irm-bytom-mapy\wydruki\563 Dotacje na kulturę fizyczną udzielone w 20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C:\Users\TT\Dropbox\irm-bytom-mapy\wydruki\563 Dotacje na kulturę fizyczną udzielone w 2016.png"/>
                    <pic:cNvPicPr>
                      <a:picLocks noChangeAspect="1" noChangeArrowheads="1"/>
                    </pic:cNvPicPr>
                  </pic:nvPicPr>
                  <pic:blipFill>
                    <a:blip r:embed="rId44" cstate="print"/>
                    <a:srcRect b="1875"/>
                    <a:stretch>
                      <a:fillRect/>
                    </a:stretch>
                  </pic:blipFill>
                  <pic:spPr bwMode="auto">
                    <a:xfrm>
                      <a:off x="0" y="0"/>
                      <a:ext cx="5436000" cy="3769213"/>
                    </a:xfrm>
                    <a:prstGeom prst="rect">
                      <a:avLst/>
                    </a:prstGeom>
                    <a:noFill/>
                    <a:ln w="9525">
                      <a:noFill/>
                      <a:miter lim="800000"/>
                      <a:headEnd/>
                      <a:tailEnd/>
                    </a:ln>
                  </pic:spPr>
                </pic:pic>
              </a:graphicData>
            </a:graphic>
          </wp:inline>
        </w:drawing>
      </w:r>
    </w:p>
    <w:p w:rsidR="00804BD2" w:rsidRPr="005F27F5" w:rsidRDefault="00804BD2" w:rsidP="00804BD2">
      <w:pPr>
        <w:autoSpaceDE w:val="0"/>
        <w:autoSpaceDN w:val="0"/>
        <w:adjustRightInd w:val="0"/>
        <w:rPr>
          <w:rFonts w:eastAsia="Calibri" w:cs="ArialNarrow"/>
          <w:i/>
          <w:sz w:val="18"/>
          <w:szCs w:val="20"/>
        </w:rPr>
      </w:pPr>
      <w:r w:rsidRPr="005F27F5">
        <w:rPr>
          <w:rFonts w:eastAsia="Calibri" w:cs="ArialNarrow"/>
          <w:i/>
          <w:sz w:val="18"/>
          <w:szCs w:val="20"/>
        </w:rPr>
        <w:t xml:space="preserve">Źródło: Opracowanie </w:t>
      </w:r>
      <w:r>
        <w:rPr>
          <w:rFonts w:eastAsia="Calibri" w:cs="ArialNarrow"/>
          <w:i/>
          <w:sz w:val="18"/>
          <w:szCs w:val="20"/>
        </w:rPr>
        <w:t>Instytutu Rozwoju Miast</w:t>
      </w:r>
    </w:p>
    <w:p w:rsidR="00C100CA" w:rsidRPr="009F09B5" w:rsidRDefault="00C100CA" w:rsidP="001C2FD4">
      <w:pPr>
        <w:rPr>
          <w:sz w:val="18"/>
        </w:rPr>
      </w:pPr>
    </w:p>
    <w:p w:rsidR="001C2FD4" w:rsidRPr="00CF06A7" w:rsidRDefault="00CF06A7" w:rsidP="009F09B5">
      <w:pPr>
        <w:pStyle w:val="Legenda"/>
      </w:pPr>
      <w:bookmarkStart w:id="6365" w:name="_Toc460222274"/>
      <w:bookmarkStart w:id="6366" w:name="_Toc191972635"/>
      <w:r w:rsidRPr="00CF06A7">
        <w:t xml:space="preserve">Mapa </w:t>
      </w:r>
      <w:r w:rsidR="003972D8" w:rsidRPr="00CF06A7">
        <w:fldChar w:fldCharType="begin"/>
      </w:r>
      <w:r w:rsidRPr="00CF06A7">
        <w:instrText xml:space="preserve"> SEQ Mapa \* ARABIC </w:instrText>
      </w:r>
      <w:r w:rsidR="003972D8" w:rsidRPr="00CF06A7">
        <w:fldChar w:fldCharType="separate"/>
      </w:r>
      <w:r w:rsidR="00413FFE">
        <w:rPr>
          <w:noProof/>
        </w:rPr>
        <w:t>23</w:t>
      </w:r>
      <w:r w:rsidR="003972D8" w:rsidRPr="00CF06A7">
        <w:fldChar w:fldCharType="end"/>
      </w:r>
      <w:r w:rsidRPr="00CF06A7">
        <w:t xml:space="preserve">. Cykliczne imprezy </w:t>
      </w:r>
      <w:r w:rsidR="001C2FD4" w:rsidRPr="00CF06A7">
        <w:t>sportowe w Bytomiu</w:t>
      </w:r>
      <w:bookmarkEnd w:id="6365"/>
      <w:bookmarkEnd w:id="6366"/>
    </w:p>
    <w:p w:rsidR="001C2FD4" w:rsidRDefault="0043168D" w:rsidP="009F09B5">
      <w:pPr>
        <w:jc w:val="center"/>
      </w:pPr>
      <w:r>
        <w:rPr>
          <w:noProof/>
        </w:rPr>
        <w:drawing>
          <wp:inline distT="0" distB="0" distL="0" distR="0">
            <wp:extent cx="5436000" cy="3759742"/>
            <wp:effectExtent l="19050" t="0" r="0" b="0"/>
            <wp:docPr id="47" name="Obraz 14" descr="C:\Users\TT\Dropbox\irm-bytom-mapy\wydruki\904B CYKLICZNIE ORGANIZOWANE SPORTOWE IMPREZY WSPIERANE PRZEZ MIASTO-prbl-ta_ma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4" descr="C:\Users\TT\Dropbox\irm-bytom-mapy\wydruki\904B CYKLICZNIE ORGANIZOWANE SPORTOWE IMPREZY WSPIERANE PRZEZ MIASTO-prbl-ta_mapa.png"/>
                    <pic:cNvPicPr>
                      <a:picLocks noChangeAspect="1" noChangeArrowheads="1"/>
                    </pic:cNvPicPr>
                  </pic:nvPicPr>
                  <pic:blipFill>
                    <a:blip r:embed="rId45" cstate="print"/>
                    <a:srcRect b="2063"/>
                    <a:stretch>
                      <a:fillRect/>
                    </a:stretch>
                  </pic:blipFill>
                  <pic:spPr bwMode="auto">
                    <a:xfrm>
                      <a:off x="0" y="0"/>
                      <a:ext cx="5436000" cy="3759742"/>
                    </a:xfrm>
                    <a:prstGeom prst="rect">
                      <a:avLst/>
                    </a:prstGeom>
                    <a:noFill/>
                    <a:ln w="9525">
                      <a:noFill/>
                      <a:miter lim="800000"/>
                      <a:headEnd/>
                      <a:tailEnd/>
                    </a:ln>
                  </pic:spPr>
                </pic:pic>
              </a:graphicData>
            </a:graphic>
          </wp:inline>
        </w:drawing>
      </w:r>
    </w:p>
    <w:p w:rsidR="00804BD2" w:rsidRPr="005F27F5" w:rsidRDefault="00804BD2" w:rsidP="009F09B5">
      <w:pPr>
        <w:autoSpaceDE w:val="0"/>
        <w:autoSpaceDN w:val="0"/>
        <w:adjustRightInd w:val="0"/>
        <w:rPr>
          <w:rFonts w:eastAsia="Calibri" w:cs="ArialNarrow"/>
          <w:i/>
          <w:sz w:val="18"/>
          <w:szCs w:val="20"/>
        </w:rPr>
      </w:pPr>
      <w:r w:rsidRPr="005F27F5">
        <w:rPr>
          <w:rFonts w:eastAsia="Calibri" w:cs="ArialNarrow"/>
          <w:i/>
          <w:sz w:val="18"/>
          <w:szCs w:val="20"/>
        </w:rPr>
        <w:t xml:space="preserve">Źródło: Opracowanie </w:t>
      </w:r>
      <w:r>
        <w:rPr>
          <w:rFonts w:eastAsia="Calibri" w:cs="ArialNarrow"/>
          <w:i/>
          <w:sz w:val="18"/>
          <w:szCs w:val="20"/>
        </w:rPr>
        <w:t>Instytutu Rozwoju Miast</w:t>
      </w:r>
    </w:p>
    <w:p w:rsidR="009F09B5" w:rsidRPr="00FA1B14" w:rsidRDefault="009F09B5" w:rsidP="00FA1B14">
      <w:pPr>
        <w:ind w:firstLine="708"/>
        <w:jc w:val="both"/>
        <w:rPr>
          <w:szCs w:val="20"/>
        </w:rPr>
      </w:pPr>
      <w:r w:rsidRPr="00C80963">
        <w:rPr>
          <w:b/>
          <w:color w:val="C00000"/>
          <w:szCs w:val="20"/>
        </w:rPr>
        <w:lastRenderedPageBreak/>
        <w:t>Cykliczne imprezy sportowe organizowane w Bytomiu przez kluby, a dofinansowywane przez gminę, w</w:t>
      </w:r>
      <w:r>
        <w:rPr>
          <w:b/>
          <w:color w:val="C00000"/>
          <w:szCs w:val="20"/>
        </w:rPr>
        <w:t> </w:t>
      </w:r>
      <w:r w:rsidRPr="00C80963">
        <w:rPr>
          <w:b/>
          <w:color w:val="C00000"/>
          <w:szCs w:val="20"/>
        </w:rPr>
        <w:t>większości odbywają się poza obszarem rewitalizacji.</w:t>
      </w:r>
      <w:r w:rsidRPr="00C80963">
        <w:rPr>
          <w:szCs w:val="20"/>
        </w:rPr>
        <w:t xml:space="preserve"> Ich lokalizację zaznaczono na mapie. Numery odpowiadają liczbie zaplanowanych w danym miejscu imprez w 2016 r. </w:t>
      </w:r>
      <w:r>
        <w:rPr>
          <w:szCs w:val="20"/>
        </w:rPr>
        <w:t>Uwagę zwraca</w:t>
      </w:r>
      <w:r w:rsidRPr="00C80963">
        <w:rPr>
          <w:szCs w:val="20"/>
        </w:rPr>
        <w:t xml:space="preserve"> całkowity brak takich wydarzeń w podobszarach Bobrek i Rozbark.</w:t>
      </w:r>
    </w:p>
    <w:p w:rsidR="009F09B5" w:rsidRPr="001901D3" w:rsidRDefault="009F09B5" w:rsidP="001C2FD4">
      <w:pPr>
        <w:rPr>
          <w:sz w:val="18"/>
        </w:rPr>
      </w:pPr>
    </w:p>
    <w:p w:rsidR="001C2FD4" w:rsidRPr="00CF06A7" w:rsidRDefault="00CF06A7" w:rsidP="00C100CA">
      <w:pPr>
        <w:pStyle w:val="Legenda"/>
        <w:rPr>
          <w:rFonts w:eastAsia="Calibri"/>
          <w:szCs w:val="24"/>
        </w:rPr>
      </w:pPr>
      <w:bookmarkStart w:id="6367" w:name="_Toc460222275"/>
      <w:bookmarkStart w:id="6368" w:name="_Toc191972636"/>
      <w:r w:rsidRPr="00CF06A7">
        <w:t xml:space="preserve">Mapa </w:t>
      </w:r>
      <w:r w:rsidR="003972D8" w:rsidRPr="00CF06A7">
        <w:fldChar w:fldCharType="begin"/>
      </w:r>
      <w:r w:rsidRPr="00CF06A7">
        <w:instrText xml:space="preserve"> SEQ Mapa \* ARABIC </w:instrText>
      </w:r>
      <w:r w:rsidR="003972D8" w:rsidRPr="00CF06A7">
        <w:fldChar w:fldCharType="separate"/>
      </w:r>
      <w:r w:rsidR="00413FFE">
        <w:rPr>
          <w:noProof/>
        </w:rPr>
        <w:t>24</w:t>
      </w:r>
      <w:r w:rsidR="003972D8" w:rsidRPr="00CF06A7">
        <w:fldChar w:fldCharType="end"/>
      </w:r>
      <w:r w:rsidRPr="00CF06A7">
        <w:t>.</w:t>
      </w:r>
      <w:r w:rsidR="001C2FD4" w:rsidRPr="00CF06A7">
        <w:t xml:space="preserve"> Obiekty sportowe w Bytomiu</w:t>
      </w:r>
      <w:bookmarkEnd w:id="6367"/>
      <w:bookmarkEnd w:id="6368"/>
      <w:r w:rsidR="001C2FD4" w:rsidRPr="00CF06A7">
        <w:t xml:space="preserve">  </w:t>
      </w:r>
    </w:p>
    <w:p w:rsidR="001C2FD4" w:rsidRDefault="0043168D" w:rsidP="001C2FD4">
      <w:pPr>
        <w:rPr>
          <w:rFonts w:eastAsia="Calibri"/>
        </w:rPr>
      </w:pPr>
      <w:r>
        <w:rPr>
          <w:rFonts w:eastAsia="Calibri"/>
          <w:noProof/>
        </w:rPr>
        <w:drawing>
          <wp:inline distT="0" distB="0" distL="0" distR="0">
            <wp:extent cx="5580000" cy="3860070"/>
            <wp:effectExtent l="19050" t="0" r="1650" b="0"/>
            <wp:docPr id="45" name="Obraz 2" descr="C:\Users\TT\Dysk Google\IRM-BYTOM-mapy\wydruki (1)\901 WYKAZ OBIEKTÓW INFRASTRUKTURY SPORTOWE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C:\Users\TT\Dysk Google\IRM-BYTOM-mapy\wydruki (1)\901 WYKAZ OBIEKTÓW INFRASTRUKTURY SPORTOWEJ.png"/>
                    <pic:cNvPicPr>
                      <a:picLocks noChangeAspect="1" noChangeArrowheads="1"/>
                    </pic:cNvPicPr>
                  </pic:nvPicPr>
                  <pic:blipFill>
                    <a:blip r:embed="rId46" cstate="print"/>
                    <a:srcRect b="1874"/>
                    <a:stretch>
                      <a:fillRect/>
                    </a:stretch>
                  </pic:blipFill>
                  <pic:spPr bwMode="auto">
                    <a:xfrm>
                      <a:off x="0" y="0"/>
                      <a:ext cx="5580000" cy="3860070"/>
                    </a:xfrm>
                    <a:prstGeom prst="rect">
                      <a:avLst/>
                    </a:prstGeom>
                    <a:noFill/>
                    <a:ln w="9525">
                      <a:noFill/>
                      <a:miter lim="800000"/>
                      <a:headEnd/>
                      <a:tailEnd/>
                    </a:ln>
                  </pic:spPr>
                </pic:pic>
              </a:graphicData>
            </a:graphic>
          </wp:inline>
        </w:drawing>
      </w:r>
    </w:p>
    <w:p w:rsidR="00804BD2" w:rsidRPr="005F27F5" w:rsidRDefault="00804BD2" w:rsidP="00804BD2">
      <w:pPr>
        <w:autoSpaceDE w:val="0"/>
        <w:autoSpaceDN w:val="0"/>
        <w:adjustRightInd w:val="0"/>
        <w:rPr>
          <w:rFonts w:eastAsia="Calibri" w:cs="ArialNarrow"/>
          <w:i/>
          <w:sz w:val="18"/>
          <w:szCs w:val="20"/>
        </w:rPr>
      </w:pPr>
      <w:r w:rsidRPr="005F27F5">
        <w:rPr>
          <w:rFonts w:eastAsia="Calibri" w:cs="ArialNarrow"/>
          <w:i/>
          <w:sz w:val="18"/>
          <w:szCs w:val="20"/>
        </w:rPr>
        <w:t xml:space="preserve">Źródło: Opracowanie </w:t>
      </w:r>
      <w:r>
        <w:rPr>
          <w:rFonts w:eastAsia="Calibri" w:cs="ArialNarrow"/>
          <w:i/>
          <w:sz w:val="18"/>
          <w:szCs w:val="20"/>
        </w:rPr>
        <w:t>Instytutu Rozwoju Miast</w:t>
      </w:r>
    </w:p>
    <w:p w:rsidR="00FA1B14" w:rsidRDefault="00FA1B14" w:rsidP="00C100CA">
      <w:pPr>
        <w:ind w:firstLine="708"/>
        <w:jc w:val="both"/>
        <w:rPr>
          <w:szCs w:val="20"/>
        </w:rPr>
      </w:pPr>
    </w:p>
    <w:p w:rsidR="00C100CA" w:rsidRDefault="00C100CA" w:rsidP="00FA1B14">
      <w:pPr>
        <w:spacing w:after="240"/>
        <w:ind w:firstLine="708"/>
        <w:jc w:val="both"/>
        <w:rPr>
          <w:szCs w:val="20"/>
        </w:rPr>
      </w:pPr>
      <w:r w:rsidRPr="00C80963">
        <w:rPr>
          <w:szCs w:val="20"/>
        </w:rPr>
        <w:t>Imprezy sportowe i rekreacyjne mogą być organizowane nie tylko w obiektach sportowych, ale także w</w:t>
      </w:r>
      <w:r>
        <w:rPr>
          <w:szCs w:val="20"/>
        </w:rPr>
        <w:t> </w:t>
      </w:r>
      <w:r w:rsidRPr="00C80963">
        <w:rPr>
          <w:szCs w:val="20"/>
        </w:rPr>
        <w:t xml:space="preserve">szkołach i na </w:t>
      </w:r>
      <w:r>
        <w:rPr>
          <w:szCs w:val="20"/>
        </w:rPr>
        <w:t>wolnym</w:t>
      </w:r>
      <w:r w:rsidRPr="00C80963">
        <w:rPr>
          <w:szCs w:val="20"/>
        </w:rPr>
        <w:t xml:space="preserve"> powietrzu. Mimo tego należy zauważyć, że brak odpowiednich obiektów sportowych utrudnia organizację takich imprez. Analiza kolejnej mapy prowadzi do wniosku, że </w:t>
      </w:r>
      <w:r w:rsidRPr="00C80963">
        <w:rPr>
          <w:b/>
          <w:color w:val="C00000"/>
          <w:szCs w:val="20"/>
        </w:rPr>
        <w:t>w Bytomiu jest zbyt mało obiektów sportowych</w:t>
      </w:r>
      <w:r w:rsidRPr="00C80963">
        <w:rPr>
          <w:color w:val="C00000"/>
          <w:szCs w:val="20"/>
        </w:rPr>
        <w:t xml:space="preserve"> </w:t>
      </w:r>
      <w:r w:rsidRPr="00FA1B14">
        <w:rPr>
          <w:b/>
          <w:color w:val="C00000"/>
          <w:szCs w:val="20"/>
        </w:rPr>
        <w:t>oraz – że</w:t>
      </w:r>
      <w:r w:rsidRPr="00C80963">
        <w:rPr>
          <w:color w:val="C00000"/>
          <w:szCs w:val="20"/>
        </w:rPr>
        <w:t xml:space="preserve"> </w:t>
      </w:r>
      <w:r w:rsidRPr="00C80963">
        <w:rPr>
          <w:b/>
          <w:color w:val="C00000"/>
          <w:szCs w:val="20"/>
        </w:rPr>
        <w:t>niemal nie występują one na obszarze rewitalizacji.</w:t>
      </w:r>
      <w:r w:rsidRPr="00C80963">
        <w:rPr>
          <w:szCs w:val="20"/>
        </w:rPr>
        <w:t xml:space="preserve"> </w:t>
      </w:r>
    </w:p>
    <w:p w:rsidR="001C2FD4" w:rsidRPr="00C80963" w:rsidRDefault="001C2FD4" w:rsidP="006F533E">
      <w:pPr>
        <w:ind w:firstLine="708"/>
        <w:jc w:val="both"/>
        <w:rPr>
          <w:b/>
          <w:color w:val="C00000"/>
          <w:szCs w:val="20"/>
        </w:rPr>
      </w:pPr>
      <w:r w:rsidRPr="00C80963">
        <w:rPr>
          <w:szCs w:val="20"/>
        </w:rPr>
        <w:t xml:space="preserve">Jak wynika z powyższych analiz, oferta sportowa i dostępność bazy sportowo – rekreacyjnej jest na obszarze rewitalizacji niewystarczająca. Rekreacja i sport są sprawdzonymi narzędziami dającymi szansę młodym ludziom na przezwyciężenie obciążeń wynikających z dorastania w trudnym społecznie obszarze. </w:t>
      </w:r>
      <w:r w:rsidRPr="00C80963">
        <w:rPr>
          <w:b/>
          <w:color w:val="C00000"/>
          <w:szCs w:val="20"/>
        </w:rPr>
        <w:t>W</w:t>
      </w:r>
      <w:r w:rsidR="006F533E">
        <w:rPr>
          <w:b/>
          <w:color w:val="C00000"/>
          <w:szCs w:val="20"/>
        </w:rPr>
        <w:t> </w:t>
      </w:r>
      <w:r w:rsidR="001302B3">
        <w:rPr>
          <w:b/>
          <w:color w:val="C00000"/>
          <w:szCs w:val="20"/>
        </w:rPr>
        <w:t xml:space="preserve">ramach </w:t>
      </w:r>
      <w:r w:rsidR="004D18EE">
        <w:rPr>
          <w:b/>
          <w:color w:val="C00000"/>
          <w:szCs w:val="20"/>
        </w:rPr>
        <w:t>GPR</w:t>
      </w:r>
      <w:r w:rsidRPr="00C80963">
        <w:rPr>
          <w:b/>
          <w:color w:val="C00000"/>
          <w:szCs w:val="20"/>
        </w:rPr>
        <w:t xml:space="preserve"> należy zadbać o dowartościowanie tej dziedziny poprzez zwiększenie budżetu przeznaczonego na sport młodzieżowy, skierowania go na obszar rewitalizacji, tworzenie warunków do rozwoju małych klubów sportowych (UKS-y) i radykalną poprawę infrastruktury sportowej. </w:t>
      </w:r>
    </w:p>
    <w:p w:rsidR="00C924B7" w:rsidRPr="00C924B7" w:rsidRDefault="001C2FD4" w:rsidP="00C80963">
      <w:pPr>
        <w:jc w:val="both"/>
        <w:rPr>
          <w:szCs w:val="20"/>
        </w:rPr>
      </w:pPr>
      <w:r w:rsidRPr="00C80963">
        <w:rPr>
          <w:szCs w:val="20"/>
        </w:rPr>
        <w:t xml:space="preserve">Ten ostatni aspekt wiąże się z koniecznością poprawy możliwości uprawiania rekreacji również przez osoby dorosłe, co jest szczególnie istotne wobec zdiagnozowanych problemów zdrowotnych ludności. </w:t>
      </w:r>
      <w:r w:rsidRPr="00C80963">
        <w:rPr>
          <w:b/>
          <w:color w:val="C00000"/>
          <w:szCs w:val="20"/>
        </w:rPr>
        <w:t>Infrastruktura sportowa oraz zajęcia ruchowe dostosowane do wieku powinny także być w znacznie większym stopniu dostępne dla osób starszych</w:t>
      </w:r>
      <w:r w:rsidRPr="00C80963">
        <w:rPr>
          <w:szCs w:val="20"/>
        </w:rPr>
        <w:t xml:space="preserve"> – zarówno w wieku poprodukcyjnym, jak i tych, które otrzymują wcześniejszą emeryturę.</w:t>
      </w:r>
      <w:r w:rsidR="00C924B7">
        <w:rPr>
          <w:szCs w:val="20"/>
        </w:rPr>
        <w:t xml:space="preserve"> </w:t>
      </w:r>
      <w:r w:rsidR="00C924B7" w:rsidRPr="00C924B7">
        <w:t>Mogą</w:t>
      </w:r>
      <w:r w:rsidR="00C924B7" w:rsidRPr="00C924B7">
        <w:rPr>
          <w:b/>
          <w:bCs/>
        </w:rPr>
        <w:t xml:space="preserve"> </w:t>
      </w:r>
      <w:r w:rsidR="00C924B7" w:rsidRPr="00C924B7">
        <w:t>one spełnić ważną rolę w procesie rewitalizacji, jednak pod warunkiem, że ich zakres działania i oferta będzie adekwatna do potrzeb ludności zamieszkującej obszar (potencjał aktywni</w:t>
      </w:r>
      <w:r w:rsidR="00C924B7" w:rsidRPr="007002FC">
        <w:rPr>
          <w:bCs/>
        </w:rPr>
        <w:t>e</w:t>
      </w:r>
      <w:r w:rsidR="00C924B7" w:rsidRPr="00C924B7">
        <w:rPr>
          <w:b/>
          <w:bCs/>
        </w:rPr>
        <w:t xml:space="preserve"> </w:t>
      </w:r>
      <w:r w:rsidR="00C924B7" w:rsidRPr="00C924B7">
        <w:t>działających organizacji pozarządowych został przedstawiony w podrozdziale 2.5.1).</w:t>
      </w:r>
      <w:r w:rsidR="00C924B7" w:rsidRPr="00C924B7">
        <w:rPr>
          <w:b/>
          <w:bCs/>
        </w:rPr>
        <w:t> </w:t>
      </w:r>
    </w:p>
    <w:p w:rsidR="001C2FD4" w:rsidRDefault="001C2FD4" w:rsidP="001C2FD4"/>
    <w:p w:rsidR="00FA1B14" w:rsidRPr="00D872E4" w:rsidRDefault="00FA1B14" w:rsidP="001C2FD4"/>
    <w:p w:rsidR="003852D4" w:rsidRPr="003852D4" w:rsidRDefault="003852D4" w:rsidP="003852D4">
      <w:pPr>
        <w:pStyle w:val="Akapitzlist"/>
        <w:keepNext/>
        <w:numPr>
          <w:ilvl w:val="0"/>
          <w:numId w:val="180"/>
        </w:numPr>
        <w:spacing w:before="120" w:after="60" w:line="240" w:lineRule="auto"/>
        <w:outlineLvl w:val="2"/>
        <w:rPr>
          <w:rFonts w:eastAsia="Times New Roman" w:cs="Calibri"/>
          <w:b/>
          <w:bCs/>
          <w:vanish/>
          <w:color w:val="3366FF"/>
          <w:sz w:val="26"/>
          <w:szCs w:val="26"/>
          <w:lang w:eastAsia="pl-PL"/>
        </w:rPr>
      </w:pPr>
      <w:bookmarkStart w:id="6369" w:name="_Toc467665472"/>
      <w:bookmarkStart w:id="6370" w:name="_Toc467665626"/>
      <w:bookmarkStart w:id="6371" w:name="_Toc467669548"/>
      <w:bookmarkStart w:id="6372" w:name="_Toc467832053"/>
      <w:bookmarkStart w:id="6373" w:name="_Toc467832173"/>
      <w:bookmarkStart w:id="6374" w:name="_Toc467834878"/>
      <w:bookmarkStart w:id="6375" w:name="_Toc467843559"/>
      <w:bookmarkStart w:id="6376" w:name="_Toc467845545"/>
      <w:bookmarkStart w:id="6377" w:name="_Toc467847488"/>
      <w:bookmarkStart w:id="6378" w:name="_Toc467847610"/>
      <w:bookmarkStart w:id="6379" w:name="_Toc467847732"/>
      <w:bookmarkStart w:id="6380" w:name="_Toc467847856"/>
      <w:bookmarkStart w:id="6381" w:name="_Toc467847980"/>
      <w:bookmarkStart w:id="6382" w:name="_Toc467848104"/>
      <w:bookmarkStart w:id="6383" w:name="_Toc467848228"/>
      <w:bookmarkStart w:id="6384" w:name="_Toc467848352"/>
      <w:bookmarkStart w:id="6385" w:name="_Toc467848476"/>
      <w:bookmarkStart w:id="6386" w:name="_Toc468097949"/>
      <w:bookmarkStart w:id="6387" w:name="_Toc468098074"/>
      <w:bookmarkStart w:id="6388" w:name="_Toc468104741"/>
      <w:bookmarkStart w:id="6389" w:name="_Toc468104865"/>
      <w:bookmarkStart w:id="6390" w:name="_Toc468104991"/>
      <w:bookmarkStart w:id="6391" w:name="_Toc468105117"/>
      <w:bookmarkStart w:id="6392" w:name="_Toc468105243"/>
      <w:bookmarkStart w:id="6393" w:name="_Toc468105369"/>
      <w:bookmarkStart w:id="6394" w:name="_Toc468105853"/>
      <w:bookmarkStart w:id="6395" w:name="_Toc468105980"/>
      <w:bookmarkStart w:id="6396" w:name="_Toc468116274"/>
      <w:bookmarkStart w:id="6397" w:name="_Toc468178230"/>
      <w:bookmarkStart w:id="6398" w:name="_Toc468181522"/>
      <w:bookmarkStart w:id="6399" w:name="_Toc468181649"/>
      <w:bookmarkStart w:id="6400" w:name="_Toc468181778"/>
      <w:bookmarkStart w:id="6401" w:name="_Toc468181945"/>
      <w:bookmarkStart w:id="6402" w:name="_Toc468185886"/>
      <w:bookmarkStart w:id="6403" w:name="_Toc468190818"/>
      <w:bookmarkStart w:id="6404" w:name="_Toc468190944"/>
      <w:bookmarkStart w:id="6405" w:name="_Toc468191436"/>
      <w:bookmarkStart w:id="6406" w:name="_Toc468258107"/>
      <w:bookmarkStart w:id="6407" w:name="_Toc468258338"/>
      <w:bookmarkStart w:id="6408" w:name="_Toc468258632"/>
      <w:bookmarkStart w:id="6409" w:name="_Toc468258761"/>
      <w:bookmarkStart w:id="6410" w:name="_Toc468258894"/>
      <w:bookmarkStart w:id="6411" w:name="_Toc468259025"/>
      <w:bookmarkStart w:id="6412" w:name="_Toc468259154"/>
      <w:bookmarkStart w:id="6413" w:name="_Toc468259283"/>
      <w:bookmarkStart w:id="6414" w:name="_Toc468259540"/>
      <w:bookmarkStart w:id="6415" w:name="_Toc468259672"/>
      <w:bookmarkStart w:id="6416" w:name="_Toc468259802"/>
      <w:bookmarkStart w:id="6417" w:name="_Toc468259931"/>
      <w:bookmarkStart w:id="6418" w:name="_Toc468260062"/>
      <w:bookmarkStart w:id="6419" w:name="_Toc468260191"/>
      <w:bookmarkStart w:id="6420" w:name="_Toc468260320"/>
      <w:bookmarkStart w:id="6421" w:name="_Toc468260449"/>
      <w:bookmarkStart w:id="6422" w:name="_Toc468260578"/>
      <w:bookmarkStart w:id="6423" w:name="_Toc468260707"/>
      <w:bookmarkStart w:id="6424" w:name="_Toc468260835"/>
      <w:bookmarkStart w:id="6425" w:name="_Toc468260966"/>
      <w:bookmarkStart w:id="6426" w:name="_Toc468261097"/>
      <w:bookmarkStart w:id="6427" w:name="_Toc468261228"/>
      <w:bookmarkStart w:id="6428" w:name="_Toc468261359"/>
      <w:bookmarkStart w:id="6429" w:name="_Toc468261490"/>
      <w:bookmarkStart w:id="6430" w:name="_Toc468266804"/>
      <w:bookmarkStart w:id="6431" w:name="_Toc468266932"/>
      <w:bookmarkStart w:id="6432" w:name="_Toc468267060"/>
      <w:bookmarkStart w:id="6433" w:name="_Toc468269471"/>
      <w:bookmarkStart w:id="6434" w:name="_Toc468279437"/>
      <w:bookmarkStart w:id="6435" w:name="_Toc468360289"/>
      <w:bookmarkStart w:id="6436" w:name="_Toc468361230"/>
      <w:bookmarkStart w:id="6437" w:name="_Toc468363460"/>
      <w:bookmarkStart w:id="6438" w:name="_Toc468366287"/>
      <w:bookmarkStart w:id="6439" w:name="_Toc468428377"/>
      <w:bookmarkStart w:id="6440" w:name="_Toc468691773"/>
      <w:bookmarkStart w:id="6441" w:name="_Toc468691900"/>
      <w:bookmarkStart w:id="6442" w:name="_Toc468692027"/>
      <w:bookmarkStart w:id="6443" w:name="_Toc468693981"/>
      <w:bookmarkStart w:id="6444" w:name="_Toc468712676"/>
      <w:bookmarkStart w:id="6445" w:name="_Toc468712804"/>
      <w:bookmarkStart w:id="6446" w:name="_Toc468712931"/>
      <w:bookmarkStart w:id="6447" w:name="_Toc468713058"/>
      <w:bookmarkStart w:id="6448" w:name="_Toc468713185"/>
      <w:bookmarkStart w:id="6449" w:name="_Toc468713312"/>
      <w:bookmarkStart w:id="6450" w:name="_Toc468713439"/>
      <w:bookmarkStart w:id="6451" w:name="_Toc468713566"/>
      <w:bookmarkStart w:id="6452" w:name="_Toc468713819"/>
      <w:bookmarkStart w:id="6453" w:name="_Toc468713946"/>
      <w:bookmarkStart w:id="6454" w:name="_Toc468714073"/>
      <w:bookmarkStart w:id="6455" w:name="_Toc468787082"/>
      <w:bookmarkStart w:id="6456" w:name="_Toc468787400"/>
      <w:bookmarkStart w:id="6457" w:name="_Toc468787528"/>
      <w:bookmarkStart w:id="6458" w:name="_Toc468787656"/>
      <w:bookmarkStart w:id="6459" w:name="_Toc468787783"/>
      <w:bookmarkStart w:id="6460" w:name="_Toc468787910"/>
      <w:bookmarkStart w:id="6461" w:name="_Toc468788037"/>
      <w:bookmarkStart w:id="6462" w:name="_Toc468957717"/>
      <w:bookmarkStart w:id="6463" w:name="_Toc468957844"/>
      <w:bookmarkStart w:id="6464" w:name="_Toc468957971"/>
      <w:bookmarkStart w:id="6465" w:name="_Toc468958098"/>
      <w:bookmarkStart w:id="6466" w:name="_Toc468958225"/>
      <w:bookmarkStart w:id="6467" w:name="_Toc468958352"/>
      <w:bookmarkStart w:id="6468" w:name="_Toc468958479"/>
      <w:bookmarkStart w:id="6469" w:name="_Toc468958606"/>
      <w:bookmarkStart w:id="6470" w:name="_Toc468958733"/>
      <w:bookmarkStart w:id="6471" w:name="_Toc468958860"/>
      <w:bookmarkStart w:id="6472" w:name="_Toc468958987"/>
      <w:bookmarkStart w:id="6473" w:name="_Toc468959114"/>
      <w:bookmarkStart w:id="6474" w:name="_Toc468960615"/>
      <w:bookmarkStart w:id="6475" w:name="_Toc469035088"/>
      <w:bookmarkStart w:id="6476" w:name="_Toc469056798"/>
      <w:bookmarkStart w:id="6477" w:name="_Toc469321110"/>
      <w:bookmarkStart w:id="6478" w:name="_Toc469323839"/>
      <w:bookmarkStart w:id="6479" w:name="_Toc469323965"/>
      <w:bookmarkStart w:id="6480" w:name="_Toc469324516"/>
      <w:bookmarkStart w:id="6481" w:name="_Toc470695394"/>
      <w:bookmarkStart w:id="6482" w:name="_Toc470695547"/>
      <w:bookmarkStart w:id="6483" w:name="_Toc470697051"/>
      <w:bookmarkStart w:id="6484" w:name="_Toc470699935"/>
      <w:bookmarkStart w:id="6485" w:name="_Toc470762781"/>
      <w:bookmarkStart w:id="6486" w:name="_Toc471114599"/>
      <w:bookmarkStart w:id="6487" w:name="_Toc474393015"/>
      <w:bookmarkStart w:id="6488" w:name="_Toc474497906"/>
      <w:bookmarkStart w:id="6489" w:name="_Toc474498665"/>
      <w:bookmarkStart w:id="6490" w:name="_Toc474844524"/>
      <w:bookmarkStart w:id="6491" w:name="_Toc474844651"/>
      <w:bookmarkStart w:id="6492" w:name="_Toc474919921"/>
      <w:bookmarkStart w:id="6493" w:name="_Toc474924930"/>
      <w:bookmarkStart w:id="6494" w:name="_Toc461612534"/>
      <w:bookmarkEnd w:id="6369"/>
      <w:bookmarkEnd w:id="6370"/>
      <w:bookmarkEnd w:id="6371"/>
      <w:bookmarkEnd w:id="6372"/>
      <w:bookmarkEnd w:id="6373"/>
      <w:bookmarkEnd w:id="6374"/>
      <w:bookmarkEnd w:id="6375"/>
      <w:bookmarkEnd w:id="6376"/>
      <w:bookmarkEnd w:id="6377"/>
      <w:bookmarkEnd w:id="6378"/>
      <w:bookmarkEnd w:id="6379"/>
      <w:bookmarkEnd w:id="6380"/>
      <w:bookmarkEnd w:id="6381"/>
      <w:bookmarkEnd w:id="6382"/>
      <w:bookmarkEnd w:id="6383"/>
      <w:bookmarkEnd w:id="6384"/>
      <w:bookmarkEnd w:id="6385"/>
      <w:bookmarkEnd w:id="6386"/>
      <w:bookmarkEnd w:id="6387"/>
      <w:bookmarkEnd w:id="6388"/>
      <w:bookmarkEnd w:id="6389"/>
      <w:bookmarkEnd w:id="6390"/>
      <w:bookmarkEnd w:id="6391"/>
      <w:bookmarkEnd w:id="6392"/>
      <w:bookmarkEnd w:id="6393"/>
      <w:bookmarkEnd w:id="6394"/>
      <w:bookmarkEnd w:id="6395"/>
      <w:bookmarkEnd w:id="6396"/>
      <w:bookmarkEnd w:id="6397"/>
      <w:bookmarkEnd w:id="6398"/>
      <w:bookmarkEnd w:id="6399"/>
      <w:bookmarkEnd w:id="6400"/>
      <w:bookmarkEnd w:id="6401"/>
      <w:bookmarkEnd w:id="6402"/>
      <w:bookmarkEnd w:id="6403"/>
      <w:bookmarkEnd w:id="6404"/>
      <w:bookmarkEnd w:id="6405"/>
      <w:bookmarkEnd w:id="6406"/>
      <w:bookmarkEnd w:id="6407"/>
      <w:bookmarkEnd w:id="6408"/>
      <w:bookmarkEnd w:id="6409"/>
      <w:bookmarkEnd w:id="6410"/>
      <w:bookmarkEnd w:id="6411"/>
      <w:bookmarkEnd w:id="6412"/>
      <w:bookmarkEnd w:id="6413"/>
      <w:bookmarkEnd w:id="6414"/>
      <w:bookmarkEnd w:id="6415"/>
      <w:bookmarkEnd w:id="6416"/>
      <w:bookmarkEnd w:id="6417"/>
      <w:bookmarkEnd w:id="6418"/>
      <w:bookmarkEnd w:id="6419"/>
      <w:bookmarkEnd w:id="6420"/>
      <w:bookmarkEnd w:id="6421"/>
      <w:bookmarkEnd w:id="6422"/>
      <w:bookmarkEnd w:id="6423"/>
      <w:bookmarkEnd w:id="6424"/>
      <w:bookmarkEnd w:id="6425"/>
      <w:bookmarkEnd w:id="6426"/>
      <w:bookmarkEnd w:id="6427"/>
      <w:bookmarkEnd w:id="6428"/>
      <w:bookmarkEnd w:id="6429"/>
      <w:bookmarkEnd w:id="6430"/>
      <w:bookmarkEnd w:id="6431"/>
      <w:bookmarkEnd w:id="6432"/>
      <w:bookmarkEnd w:id="6433"/>
      <w:bookmarkEnd w:id="6434"/>
      <w:bookmarkEnd w:id="6435"/>
      <w:bookmarkEnd w:id="6436"/>
      <w:bookmarkEnd w:id="6437"/>
      <w:bookmarkEnd w:id="6438"/>
      <w:bookmarkEnd w:id="6439"/>
      <w:bookmarkEnd w:id="6440"/>
      <w:bookmarkEnd w:id="6441"/>
      <w:bookmarkEnd w:id="6442"/>
      <w:bookmarkEnd w:id="6443"/>
      <w:bookmarkEnd w:id="6444"/>
      <w:bookmarkEnd w:id="6445"/>
      <w:bookmarkEnd w:id="6446"/>
      <w:bookmarkEnd w:id="6447"/>
      <w:bookmarkEnd w:id="6448"/>
      <w:bookmarkEnd w:id="6449"/>
      <w:bookmarkEnd w:id="6450"/>
      <w:bookmarkEnd w:id="6451"/>
      <w:bookmarkEnd w:id="6452"/>
      <w:bookmarkEnd w:id="6453"/>
      <w:bookmarkEnd w:id="6454"/>
      <w:bookmarkEnd w:id="6455"/>
      <w:bookmarkEnd w:id="6456"/>
      <w:bookmarkEnd w:id="6457"/>
      <w:bookmarkEnd w:id="6458"/>
      <w:bookmarkEnd w:id="6459"/>
      <w:bookmarkEnd w:id="6460"/>
      <w:bookmarkEnd w:id="6461"/>
      <w:bookmarkEnd w:id="6462"/>
      <w:bookmarkEnd w:id="6463"/>
      <w:bookmarkEnd w:id="6464"/>
      <w:bookmarkEnd w:id="6465"/>
      <w:bookmarkEnd w:id="6466"/>
      <w:bookmarkEnd w:id="6467"/>
      <w:bookmarkEnd w:id="6468"/>
      <w:bookmarkEnd w:id="6469"/>
      <w:bookmarkEnd w:id="6470"/>
      <w:bookmarkEnd w:id="6471"/>
      <w:bookmarkEnd w:id="6472"/>
      <w:bookmarkEnd w:id="6473"/>
      <w:bookmarkEnd w:id="6474"/>
      <w:bookmarkEnd w:id="6475"/>
      <w:bookmarkEnd w:id="6476"/>
      <w:bookmarkEnd w:id="6477"/>
      <w:bookmarkEnd w:id="6478"/>
      <w:bookmarkEnd w:id="6479"/>
      <w:bookmarkEnd w:id="6480"/>
      <w:bookmarkEnd w:id="6481"/>
      <w:bookmarkEnd w:id="6482"/>
      <w:bookmarkEnd w:id="6483"/>
      <w:bookmarkEnd w:id="6484"/>
      <w:bookmarkEnd w:id="6485"/>
      <w:bookmarkEnd w:id="6486"/>
      <w:bookmarkEnd w:id="6487"/>
      <w:bookmarkEnd w:id="6488"/>
      <w:bookmarkEnd w:id="6489"/>
      <w:bookmarkEnd w:id="6490"/>
      <w:bookmarkEnd w:id="6491"/>
      <w:bookmarkEnd w:id="6492"/>
      <w:bookmarkEnd w:id="6493"/>
    </w:p>
    <w:p w:rsidR="003852D4" w:rsidRPr="003852D4" w:rsidRDefault="003852D4" w:rsidP="003852D4">
      <w:pPr>
        <w:pStyle w:val="Akapitzlist"/>
        <w:keepNext/>
        <w:numPr>
          <w:ilvl w:val="0"/>
          <w:numId w:val="180"/>
        </w:numPr>
        <w:spacing w:before="120" w:after="60" w:line="240" w:lineRule="auto"/>
        <w:outlineLvl w:val="2"/>
        <w:rPr>
          <w:rFonts w:eastAsia="Times New Roman" w:cs="Calibri"/>
          <w:b/>
          <w:bCs/>
          <w:vanish/>
          <w:color w:val="3366FF"/>
          <w:sz w:val="26"/>
          <w:szCs w:val="26"/>
          <w:lang w:eastAsia="pl-PL"/>
        </w:rPr>
      </w:pPr>
      <w:bookmarkStart w:id="6495" w:name="_Toc467665473"/>
      <w:bookmarkStart w:id="6496" w:name="_Toc467665627"/>
      <w:bookmarkStart w:id="6497" w:name="_Toc467669549"/>
      <w:bookmarkStart w:id="6498" w:name="_Toc467832054"/>
      <w:bookmarkStart w:id="6499" w:name="_Toc467832174"/>
      <w:bookmarkStart w:id="6500" w:name="_Toc467834879"/>
      <w:bookmarkStart w:id="6501" w:name="_Toc467843560"/>
      <w:bookmarkStart w:id="6502" w:name="_Toc467845546"/>
      <w:bookmarkStart w:id="6503" w:name="_Toc467847489"/>
      <w:bookmarkStart w:id="6504" w:name="_Toc467847611"/>
      <w:bookmarkStart w:id="6505" w:name="_Toc467847733"/>
      <w:bookmarkStart w:id="6506" w:name="_Toc467847857"/>
      <w:bookmarkStart w:id="6507" w:name="_Toc467847981"/>
      <w:bookmarkStart w:id="6508" w:name="_Toc467848105"/>
      <w:bookmarkStart w:id="6509" w:name="_Toc467848229"/>
      <w:bookmarkStart w:id="6510" w:name="_Toc467848353"/>
      <w:bookmarkStart w:id="6511" w:name="_Toc467848477"/>
      <w:bookmarkStart w:id="6512" w:name="_Toc468097950"/>
      <w:bookmarkStart w:id="6513" w:name="_Toc468098075"/>
      <w:bookmarkStart w:id="6514" w:name="_Toc468104742"/>
      <w:bookmarkStart w:id="6515" w:name="_Toc468104866"/>
      <w:bookmarkStart w:id="6516" w:name="_Toc468104992"/>
      <w:bookmarkStart w:id="6517" w:name="_Toc468105118"/>
      <w:bookmarkStart w:id="6518" w:name="_Toc468105244"/>
      <w:bookmarkStart w:id="6519" w:name="_Toc468105370"/>
      <w:bookmarkStart w:id="6520" w:name="_Toc468105854"/>
      <w:bookmarkStart w:id="6521" w:name="_Toc468105981"/>
      <w:bookmarkStart w:id="6522" w:name="_Toc468116275"/>
      <w:bookmarkStart w:id="6523" w:name="_Toc468178231"/>
      <w:bookmarkStart w:id="6524" w:name="_Toc468181523"/>
      <w:bookmarkStart w:id="6525" w:name="_Toc468181650"/>
      <w:bookmarkStart w:id="6526" w:name="_Toc468181779"/>
      <w:bookmarkStart w:id="6527" w:name="_Toc468181946"/>
      <w:bookmarkStart w:id="6528" w:name="_Toc468185887"/>
      <w:bookmarkStart w:id="6529" w:name="_Toc468190819"/>
      <w:bookmarkStart w:id="6530" w:name="_Toc468190945"/>
      <w:bookmarkStart w:id="6531" w:name="_Toc468191437"/>
      <w:bookmarkStart w:id="6532" w:name="_Toc468258108"/>
      <w:bookmarkStart w:id="6533" w:name="_Toc468258339"/>
      <w:bookmarkStart w:id="6534" w:name="_Toc468258633"/>
      <w:bookmarkStart w:id="6535" w:name="_Toc468258762"/>
      <w:bookmarkStart w:id="6536" w:name="_Toc468258895"/>
      <w:bookmarkStart w:id="6537" w:name="_Toc468259026"/>
      <w:bookmarkStart w:id="6538" w:name="_Toc468259155"/>
      <w:bookmarkStart w:id="6539" w:name="_Toc468259284"/>
      <w:bookmarkStart w:id="6540" w:name="_Toc468259541"/>
      <w:bookmarkStart w:id="6541" w:name="_Toc468259673"/>
      <w:bookmarkStart w:id="6542" w:name="_Toc468259803"/>
      <w:bookmarkStart w:id="6543" w:name="_Toc468259932"/>
      <w:bookmarkStart w:id="6544" w:name="_Toc468260063"/>
      <w:bookmarkStart w:id="6545" w:name="_Toc468260192"/>
      <w:bookmarkStart w:id="6546" w:name="_Toc468260321"/>
      <w:bookmarkStart w:id="6547" w:name="_Toc468260450"/>
      <w:bookmarkStart w:id="6548" w:name="_Toc468260579"/>
      <w:bookmarkStart w:id="6549" w:name="_Toc468260708"/>
      <w:bookmarkStart w:id="6550" w:name="_Toc468260836"/>
      <w:bookmarkStart w:id="6551" w:name="_Toc468260967"/>
      <w:bookmarkStart w:id="6552" w:name="_Toc468261098"/>
      <w:bookmarkStart w:id="6553" w:name="_Toc468261229"/>
      <w:bookmarkStart w:id="6554" w:name="_Toc468261360"/>
      <w:bookmarkStart w:id="6555" w:name="_Toc468261491"/>
      <w:bookmarkStart w:id="6556" w:name="_Toc468266805"/>
      <w:bookmarkStart w:id="6557" w:name="_Toc468266933"/>
      <w:bookmarkStart w:id="6558" w:name="_Toc468267061"/>
      <w:bookmarkStart w:id="6559" w:name="_Toc468269472"/>
      <w:bookmarkStart w:id="6560" w:name="_Toc468279438"/>
      <w:bookmarkStart w:id="6561" w:name="_Toc468360290"/>
      <w:bookmarkStart w:id="6562" w:name="_Toc468361231"/>
      <w:bookmarkStart w:id="6563" w:name="_Toc468363461"/>
      <w:bookmarkStart w:id="6564" w:name="_Toc468366288"/>
      <w:bookmarkStart w:id="6565" w:name="_Toc468428378"/>
      <w:bookmarkStart w:id="6566" w:name="_Toc468691774"/>
      <w:bookmarkStart w:id="6567" w:name="_Toc468691901"/>
      <w:bookmarkStart w:id="6568" w:name="_Toc468692028"/>
      <w:bookmarkStart w:id="6569" w:name="_Toc468693982"/>
      <w:bookmarkStart w:id="6570" w:name="_Toc468712677"/>
      <w:bookmarkStart w:id="6571" w:name="_Toc468712805"/>
      <w:bookmarkStart w:id="6572" w:name="_Toc468712932"/>
      <w:bookmarkStart w:id="6573" w:name="_Toc468713059"/>
      <w:bookmarkStart w:id="6574" w:name="_Toc468713186"/>
      <w:bookmarkStart w:id="6575" w:name="_Toc468713313"/>
      <w:bookmarkStart w:id="6576" w:name="_Toc468713440"/>
      <w:bookmarkStart w:id="6577" w:name="_Toc468713567"/>
      <w:bookmarkStart w:id="6578" w:name="_Toc468713820"/>
      <w:bookmarkStart w:id="6579" w:name="_Toc468713947"/>
      <w:bookmarkStart w:id="6580" w:name="_Toc468714074"/>
      <w:bookmarkStart w:id="6581" w:name="_Toc468787083"/>
      <w:bookmarkStart w:id="6582" w:name="_Toc468787401"/>
      <w:bookmarkStart w:id="6583" w:name="_Toc468787529"/>
      <w:bookmarkStart w:id="6584" w:name="_Toc468787657"/>
      <w:bookmarkStart w:id="6585" w:name="_Toc468787784"/>
      <w:bookmarkStart w:id="6586" w:name="_Toc468787911"/>
      <w:bookmarkStart w:id="6587" w:name="_Toc468788038"/>
      <w:bookmarkStart w:id="6588" w:name="_Toc468957718"/>
      <w:bookmarkStart w:id="6589" w:name="_Toc468957845"/>
      <w:bookmarkStart w:id="6590" w:name="_Toc468957972"/>
      <w:bookmarkStart w:id="6591" w:name="_Toc468958099"/>
      <w:bookmarkStart w:id="6592" w:name="_Toc468958226"/>
      <w:bookmarkStart w:id="6593" w:name="_Toc468958353"/>
      <w:bookmarkStart w:id="6594" w:name="_Toc468958480"/>
      <w:bookmarkStart w:id="6595" w:name="_Toc468958607"/>
      <w:bookmarkStart w:id="6596" w:name="_Toc468958734"/>
      <w:bookmarkStart w:id="6597" w:name="_Toc468958861"/>
      <w:bookmarkStart w:id="6598" w:name="_Toc468958988"/>
      <w:bookmarkStart w:id="6599" w:name="_Toc468959115"/>
      <w:bookmarkStart w:id="6600" w:name="_Toc468960616"/>
      <w:bookmarkStart w:id="6601" w:name="_Toc469035089"/>
      <w:bookmarkStart w:id="6602" w:name="_Toc469056799"/>
      <w:bookmarkStart w:id="6603" w:name="_Toc469321111"/>
      <w:bookmarkStart w:id="6604" w:name="_Toc469323840"/>
      <w:bookmarkStart w:id="6605" w:name="_Toc469323966"/>
      <w:bookmarkStart w:id="6606" w:name="_Toc469324517"/>
      <w:bookmarkStart w:id="6607" w:name="_Toc470695395"/>
      <w:bookmarkStart w:id="6608" w:name="_Toc470695548"/>
      <w:bookmarkStart w:id="6609" w:name="_Toc470697052"/>
      <w:bookmarkStart w:id="6610" w:name="_Toc470699936"/>
      <w:bookmarkStart w:id="6611" w:name="_Toc470762782"/>
      <w:bookmarkStart w:id="6612" w:name="_Toc471114600"/>
      <w:bookmarkStart w:id="6613" w:name="_Toc474393016"/>
      <w:bookmarkStart w:id="6614" w:name="_Toc474497907"/>
      <w:bookmarkStart w:id="6615" w:name="_Toc474498666"/>
      <w:bookmarkStart w:id="6616" w:name="_Toc474844525"/>
      <w:bookmarkStart w:id="6617" w:name="_Toc474844652"/>
      <w:bookmarkStart w:id="6618" w:name="_Toc474919922"/>
      <w:bookmarkStart w:id="6619" w:name="_Toc474924931"/>
      <w:bookmarkEnd w:id="6495"/>
      <w:bookmarkEnd w:id="6496"/>
      <w:bookmarkEnd w:id="6497"/>
      <w:bookmarkEnd w:id="6498"/>
      <w:bookmarkEnd w:id="6499"/>
      <w:bookmarkEnd w:id="6500"/>
      <w:bookmarkEnd w:id="6501"/>
      <w:bookmarkEnd w:id="6502"/>
      <w:bookmarkEnd w:id="6503"/>
      <w:bookmarkEnd w:id="6504"/>
      <w:bookmarkEnd w:id="6505"/>
      <w:bookmarkEnd w:id="6506"/>
      <w:bookmarkEnd w:id="6507"/>
      <w:bookmarkEnd w:id="6508"/>
      <w:bookmarkEnd w:id="6509"/>
      <w:bookmarkEnd w:id="6510"/>
      <w:bookmarkEnd w:id="6511"/>
      <w:bookmarkEnd w:id="6512"/>
      <w:bookmarkEnd w:id="6513"/>
      <w:bookmarkEnd w:id="6514"/>
      <w:bookmarkEnd w:id="6515"/>
      <w:bookmarkEnd w:id="6516"/>
      <w:bookmarkEnd w:id="6517"/>
      <w:bookmarkEnd w:id="6518"/>
      <w:bookmarkEnd w:id="6519"/>
      <w:bookmarkEnd w:id="6520"/>
      <w:bookmarkEnd w:id="6521"/>
      <w:bookmarkEnd w:id="6522"/>
      <w:bookmarkEnd w:id="6523"/>
      <w:bookmarkEnd w:id="6524"/>
      <w:bookmarkEnd w:id="6525"/>
      <w:bookmarkEnd w:id="6526"/>
      <w:bookmarkEnd w:id="6527"/>
      <w:bookmarkEnd w:id="6528"/>
      <w:bookmarkEnd w:id="6529"/>
      <w:bookmarkEnd w:id="6530"/>
      <w:bookmarkEnd w:id="6531"/>
      <w:bookmarkEnd w:id="6532"/>
      <w:bookmarkEnd w:id="6533"/>
      <w:bookmarkEnd w:id="6534"/>
      <w:bookmarkEnd w:id="6535"/>
      <w:bookmarkEnd w:id="6536"/>
      <w:bookmarkEnd w:id="6537"/>
      <w:bookmarkEnd w:id="6538"/>
      <w:bookmarkEnd w:id="6539"/>
      <w:bookmarkEnd w:id="6540"/>
      <w:bookmarkEnd w:id="6541"/>
      <w:bookmarkEnd w:id="6542"/>
      <w:bookmarkEnd w:id="6543"/>
      <w:bookmarkEnd w:id="6544"/>
      <w:bookmarkEnd w:id="6545"/>
      <w:bookmarkEnd w:id="6546"/>
      <w:bookmarkEnd w:id="6547"/>
      <w:bookmarkEnd w:id="6548"/>
      <w:bookmarkEnd w:id="6549"/>
      <w:bookmarkEnd w:id="6550"/>
      <w:bookmarkEnd w:id="6551"/>
      <w:bookmarkEnd w:id="6552"/>
      <w:bookmarkEnd w:id="6553"/>
      <w:bookmarkEnd w:id="6554"/>
      <w:bookmarkEnd w:id="6555"/>
      <w:bookmarkEnd w:id="6556"/>
      <w:bookmarkEnd w:id="6557"/>
      <w:bookmarkEnd w:id="6558"/>
      <w:bookmarkEnd w:id="6559"/>
      <w:bookmarkEnd w:id="6560"/>
      <w:bookmarkEnd w:id="6561"/>
      <w:bookmarkEnd w:id="6562"/>
      <w:bookmarkEnd w:id="6563"/>
      <w:bookmarkEnd w:id="6564"/>
      <w:bookmarkEnd w:id="6565"/>
      <w:bookmarkEnd w:id="6566"/>
      <w:bookmarkEnd w:id="6567"/>
      <w:bookmarkEnd w:id="6568"/>
      <w:bookmarkEnd w:id="6569"/>
      <w:bookmarkEnd w:id="6570"/>
      <w:bookmarkEnd w:id="6571"/>
      <w:bookmarkEnd w:id="6572"/>
      <w:bookmarkEnd w:id="6573"/>
      <w:bookmarkEnd w:id="6574"/>
      <w:bookmarkEnd w:id="6575"/>
      <w:bookmarkEnd w:id="6576"/>
      <w:bookmarkEnd w:id="6577"/>
      <w:bookmarkEnd w:id="6578"/>
      <w:bookmarkEnd w:id="6579"/>
      <w:bookmarkEnd w:id="6580"/>
      <w:bookmarkEnd w:id="6581"/>
      <w:bookmarkEnd w:id="6582"/>
      <w:bookmarkEnd w:id="6583"/>
      <w:bookmarkEnd w:id="6584"/>
      <w:bookmarkEnd w:id="6585"/>
      <w:bookmarkEnd w:id="6586"/>
      <w:bookmarkEnd w:id="6587"/>
      <w:bookmarkEnd w:id="6588"/>
      <w:bookmarkEnd w:id="6589"/>
      <w:bookmarkEnd w:id="6590"/>
      <w:bookmarkEnd w:id="6591"/>
      <w:bookmarkEnd w:id="6592"/>
      <w:bookmarkEnd w:id="6593"/>
      <w:bookmarkEnd w:id="6594"/>
      <w:bookmarkEnd w:id="6595"/>
      <w:bookmarkEnd w:id="6596"/>
      <w:bookmarkEnd w:id="6597"/>
      <w:bookmarkEnd w:id="6598"/>
      <w:bookmarkEnd w:id="6599"/>
      <w:bookmarkEnd w:id="6600"/>
      <w:bookmarkEnd w:id="6601"/>
      <w:bookmarkEnd w:id="6602"/>
      <w:bookmarkEnd w:id="6603"/>
      <w:bookmarkEnd w:id="6604"/>
      <w:bookmarkEnd w:id="6605"/>
      <w:bookmarkEnd w:id="6606"/>
      <w:bookmarkEnd w:id="6607"/>
      <w:bookmarkEnd w:id="6608"/>
      <w:bookmarkEnd w:id="6609"/>
      <w:bookmarkEnd w:id="6610"/>
      <w:bookmarkEnd w:id="6611"/>
      <w:bookmarkEnd w:id="6612"/>
      <w:bookmarkEnd w:id="6613"/>
      <w:bookmarkEnd w:id="6614"/>
      <w:bookmarkEnd w:id="6615"/>
      <w:bookmarkEnd w:id="6616"/>
      <w:bookmarkEnd w:id="6617"/>
      <w:bookmarkEnd w:id="6618"/>
      <w:bookmarkEnd w:id="6619"/>
    </w:p>
    <w:p w:rsidR="003852D4" w:rsidRPr="003852D4" w:rsidRDefault="003852D4" w:rsidP="003852D4">
      <w:pPr>
        <w:pStyle w:val="Akapitzlist"/>
        <w:keepNext/>
        <w:numPr>
          <w:ilvl w:val="1"/>
          <w:numId w:val="180"/>
        </w:numPr>
        <w:spacing w:before="120" w:after="60" w:line="240" w:lineRule="auto"/>
        <w:outlineLvl w:val="2"/>
        <w:rPr>
          <w:rFonts w:eastAsia="Times New Roman" w:cs="Calibri"/>
          <w:b/>
          <w:bCs/>
          <w:vanish/>
          <w:color w:val="3366FF"/>
          <w:sz w:val="26"/>
          <w:szCs w:val="26"/>
          <w:lang w:eastAsia="pl-PL"/>
        </w:rPr>
      </w:pPr>
      <w:bookmarkStart w:id="6620" w:name="_Toc467665474"/>
      <w:bookmarkStart w:id="6621" w:name="_Toc467665628"/>
      <w:bookmarkStart w:id="6622" w:name="_Toc467669550"/>
      <w:bookmarkStart w:id="6623" w:name="_Toc467832055"/>
      <w:bookmarkStart w:id="6624" w:name="_Toc467832175"/>
      <w:bookmarkStart w:id="6625" w:name="_Toc467834880"/>
      <w:bookmarkStart w:id="6626" w:name="_Toc467843561"/>
      <w:bookmarkStart w:id="6627" w:name="_Toc467845547"/>
      <w:bookmarkStart w:id="6628" w:name="_Toc467847490"/>
      <w:bookmarkStart w:id="6629" w:name="_Toc467847612"/>
      <w:bookmarkStart w:id="6630" w:name="_Toc467847734"/>
      <w:bookmarkStart w:id="6631" w:name="_Toc467847858"/>
      <w:bookmarkStart w:id="6632" w:name="_Toc467847982"/>
      <w:bookmarkStart w:id="6633" w:name="_Toc467848106"/>
      <w:bookmarkStart w:id="6634" w:name="_Toc467848230"/>
      <w:bookmarkStart w:id="6635" w:name="_Toc467848354"/>
      <w:bookmarkStart w:id="6636" w:name="_Toc467848478"/>
      <w:bookmarkStart w:id="6637" w:name="_Toc468097951"/>
      <w:bookmarkStart w:id="6638" w:name="_Toc468098076"/>
      <w:bookmarkStart w:id="6639" w:name="_Toc468104743"/>
      <w:bookmarkStart w:id="6640" w:name="_Toc468104867"/>
      <w:bookmarkStart w:id="6641" w:name="_Toc468104993"/>
      <w:bookmarkStart w:id="6642" w:name="_Toc468105119"/>
      <w:bookmarkStart w:id="6643" w:name="_Toc468105245"/>
      <w:bookmarkStart w:id="6644" w:name="_Toc468105371"/>
      <w:bookmarkStart w:id="6645" w:name="_Toc468105855"/>
      <w:bookmarkStart w:id="6646" w:name="_Toc468105982"/>
      <w:bookmarkStart w:id="6647" w:name="_Toc468116276"/>
      <w:bookmarkStart w:id="6648" w:name="_Toc468178232"/>
      <w:bookmarkStart w:id="6649" w:name="_Toc468181524"/>
      <w:bookmarkStart w:id="6650" w:name="_Toc468181651"/>
      <w:bookmarkStart w:id="6651" w:name="_Toc468181780"/>
      <w:bookmarkStart w:id="6652" w:name="_Toc468181947"/>
      <w:bookmarkStart w:id="6653" w:name="_Toc468185888"/>
      <w:bookmarkStart w:id="6654" w:name="_Toc468190820"/>
      <w:bookmarkStart w:id="6655" w:name="_Toc468190946"/>
      <w:bookmarkStart w:id="6656" w:name="_Toc468191438"/>
      <w:bookmarkStart w:id="6657" w:name="_Toc468258109"/>
      <w:bookmarkStart w:id="6658" w:name="_Toc468258340"/>
      <w:bookmarkStart w:id="6659" w:name="_Toc468258634"/>
      <w:bookmarkStart w:id="6660" w:name="_Toc468258763"/>
      <w:bookmarkStart w:id="6661" w:name="_Toc468258896"/>
      <w:bookmarkStart w:id="6662" w:name="_Toc468259027"/>
      <w:bookmarkStart w:id="6663" w:name="_Toc468259156"/>
      <w:bookmarkStart w:id="6664" w:name="_Toc468259285"/>
      <w:bookmarkStart w:id="6665" w:name="_Toc468259542"/>
      <w:bookmarkStart w:id="6666" w:name="_Toc468259674"/>
      <w:bookmarkStart w:id="6667" w:name="_Toc468259804"/>
      <w:bookmarkStart w:id="6668" w:name="_Toc468259933"/>
      <w:bookmarkStart w:id="6669" w:name="_Toc468260064"/>
      <w:bookmarkStart w:id="6670" w:name="_Toc468260193"/>
      <w:bookmarkStart w:id="6671" w:name="_Toc468260322"/>
      <w:bookmarkStart w:id="6672" w:name="_Toc468260451"/>
      <w:bookmarkStart w:id="6673" w:name="_Toc468260580"/>
      <w:bookmarkStart w:id="6674" w:name="_Toc468260709"/>
      <w:bookmarkStart w:id="6675" w:name="_Toc468260837"/>
      <w:bookmarkStart w:id="6676" w:name="_Toc468260968"/>
      <w:bookmarkStart w:id="6677" w:name="_Toc468261099"/>
      <w:bookmarkStart w:id="6678" w:name="_Toc468261230"/>
      <w:bookmarkStart w:id="6679" w:name="_Toc468261361"/>
      <w:bookmarkStart w:id="6680" w:name="_Toc468261492"/>
      <w:bookmarkStart w:id="6681" w:name="_Toc468266806"/>
      <w:bookmarkStart w:id="6682" w:name="_Toc468266934"/>
      <w:bookmarkStart w:id="6683" w:name="_Toc468267062"/>
      <w:bookmarkStart w:id="6684" w:name="_Toc468269473"/>
      <w:bookmarkStart w:id="6685" w:name="_Toc468279439"/>
      <w:bookmarkStart w:id="6686" w:name="_Toc468360291"/>
      <w:bookmarkStart w:id="6687" w:name="_Toc468361232"/>
      <w:bookmarkStart w:id="6688" w:name="_Toc468363462"/>
      <w:bookmarkStart w:id="6689" w:name="_Toc468366289"/>
      <w:bookmarkStart w:id="6690" w:name="_Toc468428379"/>
      <w:bookmarkStart w:id="6691" w:name="_Toc468691775"/>
      <w:bookmarkStart w:id="6692" w:name="_Toc468691902"/>
      <w:bookmarkStart w:id="6693" w:name="_Toc468692029"/>
      <w:bookmarkStart w:id="6694" w:name="_Toc468693983"/>
      <w:bookmarkStart w:id="6695" w:name="_Toc468712678"/>
      <w:bookmarkStart w:id="6696" w:name="_Toc468712806"/>
      <w:bookmarkStart w:id="6697" w:name="_Toc468712933"/>
      <w:bookmarkStart w:id="6698" w:name="_Toc468713060"/>
      <w:bookmarkStart w:id="6699" w:name="_Toc468713187"/>
      <w:bookmarkStart w:id="6700" w:name="_Toc468713314"/>
      <w:bookmarkStart w:id="6701" w:name="_Toc468713441"/>
      <w:bookmarkStart w:id="6702" w:name="_Toc468713568"/>
      <w:bookmarkStart w:id="6703" w:name="_Toc468713821"/>
      <w:bookmarkStart w:id="6704" w:name="_Toc468713948"/>
      <w:bookmarkStart w:id="6705" w:name="_Toc468714075"/>
      <w:bookmarkStart w:id="6706" w:name="_Toc468787084"/>
      <w:bookmarkStart w:id="6707" w:name="_Toc468787402"/>
      <w:bookmarkStart w:id="6708" w:name="_Toc468787530"/>
      <w:bookmarkStart w:id="6709" w:name="_Toc468787658"/>
      <w:bookmarkStart w:id="6710" w:name="_Toc468787785"/>
      <w:bookmarkStart w:id="6711" w:name="_Toc468787912"/>
      <w:bookmarkStart w:id="6712" w:name="_Toc468788039"/>
      <w:bookmarkStart w:id="6713" w:name="_Toc468957719"/>
      <w:bookmarkStart w:id="6714" w:name="_Toc468957846"/>
      <w:bookmarkStart w:id="6715" w:name="_Toc468957973"/>
      <w:bookmarkStart w:id="6716" w:name="_Toc468958100"/>
      <w:bookmarkStart w:id="6717" w:name="_Toc468958227"/>
      <w:bookmarkStart w:id="6718" w:name="_Toc468958354"/>
      <w:bookmarkStart w:id="6719" w:name="_Toc468958481"/>
      <w:bookmarkStart w:id="6720" w:name="_Toc468958608"/>
      <w:bookmarkStart w:id="6721" w:name="_Toc468958735"/>
      <w:bookmarkStart w:id="6722" w:name="_Toc468958862"/>
      <w:bookmarkStart w:id="6723" w:name="_Toc468958989"/>
      <w:bookmarkStart w:id="6724" w:name="_Toc468959116"/>
      <w:bookmarkStart w:id="6725" w:name="_Toc468960617"/>
      <w:bookmarkStart w:id="6726" w:name="_Toc469035090"/>
      <w:bookmarkStart w:id="6727" w:name="_Toc469056800"/>
      <w:bookmarkStart w:id="6728" w:name="_Toc469321112"/>
      <w:bookmarkStart w:id="6729" w:name="_Toc469323841"/>
      <w:bookmarkStart w:id="6730" w:name="_Toc469323967"/>
      <w:bookmarkStart w:id="6731" w:name="_Toc469324518"/>
      <w:bookmarkStart w:id="6732" w:name="_Toc470695396"/>
      <w:bookmarkStart w:id="6733" w:name="_Toc470695549"/>
      <w:bookmarkStart w:id="6734" w:name="_Toc470697053"/>
      <w:bookmarkStart w:id="6735" w:name="_Toc470699937"/>
      <w:bookmarkStart w:id="6736" w:name="_Toc470762783"/>
      <w:bookmarkStart w:id="6737" w:name="_Toc471114601"/>
      <w:bookmarkStart w:id="6738" w:name="_Toc474393017"/>
      <w:bookmarkStart w:id="6739" w:name="_Toc474497908"/>
      <w:bookmarkStart w:id="6740" w:name="_Toc474498667"/>
      <w:bookmarkStart w:id="6741" w:name="_Toc474844526"/>
      <w:bookmarkStart w:id="6742" w:name="_Toc474844653"/>
      <w:bookmarkStart w:id="6743" w:name="_Toc474919923"/>
      <w:bookmarkStart w:id="6744" w:name="_Toc474924932"/>
      <w:bookmarkEnd w:id="6620"/>
      <w:bookmarkEnd w:id="6621"/>
      <w:bookmarkEnd w:id="6622"/>
      <w:bookmarkEnd w:id="6623"/>
      <w:bookmarkEnd w:id="6624"/>
      <w:bookmarkEnd w:id="6625"/>
      <w:bookmarkEnd w:id="6626"/>
      <w:bookmarkEnd w:id="6627"/>
      <w:bookmarkEnd w:id="6628"/>
      <w:bookmarkEnd w:id="6629"/>
      <w:bookmarkEnd w:id="6630"/>
      <w:bookmarkEnd w:id="6631"/>
      <w:bookmarkEnd w:id="6632"/>
      <w:bookmarkEnd w:id="6633"/>
      <w:bookmarkEnd w:id="6634"/>
      <w:bookmarkEnd w:id="6635"/>
      <w:bookmarkEnd w:id="6636"/>
      <w:bookmarkEnd w:id="6637"/>
      <w:bookmarkEnd w:id="6638"/>
      <w:bookmarkEnd w:id="6639"/>
      <w:bookmarkEnd w:id="6640"/>
      <w:bookmarkEnd w:id="6641"/>
      <w:bookmarkEnd w:id="6642"/>
      <w:bookmarkEnd w:id="6643"/>
      <w:bookmarkEnd w:id="6644"/>
      <w:bookmarkEnd w:id="6645"/>
      <w:bookmarkEnd w:id="6646"/>
      <w:bookmarkEnd w:id="6647"/>
      <w:bookmarkEnd w:id="6648"/>
      <w:bookmarkEnd w:id="6649"/>
      <w:bookmarkEnd w:id="6650"/>
      <w:bookmarkEnd w:id="6651"/>
      <w:bookmarkEnd w:id="6652"/>
      <w:bookmarkEnd w:id="6653"/>
      <w:bookmarkEnd w:id="6654"/>
      <w:bookmarkEnd w:id="6655"/>
      <w:bookmarkEnd w:id="6656"/>
      <w:bookmarkEnd w:id="6657"/>
      <w:bookmarkEnd w:id="6658"/>
      <w:bookmarkEnd w:id="6659"/>
      <w:bookmarkEnd w:id="6660"/>
      <w:bookmarkEnd w:id="6661"/>
      <w:bookmarkEnd w:id="6662"/>
      <w:bookmarkEnd w:id="6663"/>
      <w:bookmarkEnd w:id="6664"/>
      <w:bookmarkEnd w:id="6665"/>
      <w:bookmarkEnd w:id="6666"/>
      <w:bookmarkEnd w:id="6667"/>
      <w:bookmarkEnd w:id="6668"/>
      <w:bookmarkEnd w:id="6669"/>
      <w:bookmarkEnd w:id="6670"/>
      <w:bookmarkEnd w:id="6671"/>
      <w:bookmarkEnd w:id="6672"/>
      <w:bookmarkEnd w:id="6673"/>
      <w:bookmarkEnd w:id="6674"/>
      <w:bookmarkEnd w:id="6675"/>
      <w:bookmarkEnd w:id="6676"/>
      <w:bookmarkEnd w:id="6677"/>
      <w:bookmarkEnd w:id="6678"/>
      <w:bookmarkEnd w:id="6679"/>
      <w:bookmarkEnd w:id="6680"/>
      <w:bookmarkEnd w:id="6681"/>
      <w:bookmarkEnd w:id="6682"/>
      <w:bookmarkEnd w:id="6683"/>
      <w:bookmarkEnd w:id="6684"/>
      <w:bookmarkEnd w:id="6685"/>
      <w:bookmarkEnd w:id="6686"/>
      <w:bookmarkEnd w:id="6687"/>
      <w:bookmarkEnd w:id="6688"/>
      <w:bookmarkEnd w:id="6689"/>
      <w:bookmarkEnd w:id="6690"/>
      <w:bookmarkEnd w:id="6691"/>
      <w:bookmarkEnd w:id="6692"/>
      <w:bookmarkEnd w:id="6693"/>
      <w:bookmarkEnd w:id="6694"/>
      <w:bookmarkEnd w:id="6695"/>
      <w:bookmarkEnd w:id="6696"/>
      <w:bookmarkEnd w:id="6697"/>
      <w:bookmarkEnd w:id="6698"/>
      <w:bookmarkEnd w:id="6699"/>
      <w:bookmarkEnd w:id="6700"/>
      <w:bookmarkEnd w:id="6701"/>
      <w:bookmarkEnd w:id="6702"/>
      <w:bookmarkEnd w:id="6703"/>
      <w:bookmarkEnd w:id="6704"/>
      <w:bookmarkEnd w:id="6705"/>
      <w:bookmarkEnd w:id="6706"/>
      <w:bookmarkEnd w:id="6707"/>
      <w:bookmarkEnd w:id="6708"/>
      <w:bookmarkEnd w:id="6709"/>
      <w:bookmarkEnd w:id="6710"/>
      <w:bookmarkEnd w:id="6711"/>
      <w:bookmarkEnd w:id="6712"/>
      <w:bookmarkEnd w:id="6713"/>
      <w:bookmarkEnd w:id="6714"/>
      <w:bookmarkEnd w:id="6715"/>
      <w:bookmarkEnd w:id="6716"/>
      <w:bookmarkEnd w:id="6717"/>
      <w:bookmarkEnd w:id="6718"/>
      <w:bookmarkEnd w:id="6719"/>
      <w:bookmarkEnd w:id="6720"/>
      <w:bookmarkEnd w:id="6721"/>
      <w:bookmarkEnd w:id="6722"/>
      <w:bookmarkEnd w:id="6723"/>
      <w:bookmarkEnd w:id="6724"/>
      <w:bookmarkEnd w:id="6725"/>
      <w:bookmarkEnd w:id="6726"/>
      <w:bookmarkEnd w:id="6727"/>
      <w:bookmarkEnd w:id="6728"/>
      <w:bookmarkEnd w:id="6729"/>
      <w:bookmarkEnd w:id="6730"/>
      <w:bookmarkEnd w:id="6731"/>
      <w:bookmarkEnd w:id="6732"/>
      <w:bookmarkEnd w:id="6733"/>
      <w:bookmarkEnd w:id="6734"/>
      <w:bookmarkEnd w:id="6735"/>
      <w:bookmarkEnd w:id="6736"/>
      <w:bookmarkEnd w:id="6737"/>
      <w:bookmarkEnd w:id="6738"/>
      <w:bookmarkEnd w:id="6739"/>
      <w:bookmarkEnd w:id="6740"/>
      <w:bookmarkEnd w:id="6741"/>
      <w:bookmarkEnd w:id="6742"/>
      <w:bookmarkEnd w:id="6743"/>
      <w:bookmarkEnd w:id="6744"/>
    </w:p>
    <w:p w:rsidR="003852D4" w:rsidRPr="003852D4" w:rsidRDefault="003852D4" w:rsidP="003852D4">
      <w:pPr>
        <w:pStyle w:val="Akapitzlist"/>
        <w:keepNext/>
        <w:numPr>
          <w:ilvl w:val="1"/>
          <w:numId w:val="180"/>
        </w:numPr>
        <w:spacing w:before="120" w:after="60" w:line="240" w:lineRule="auto"/>
        <w:outlineLvl w:val="2"/>
        <w:rPr>
          <w:rFonts w:eastAsia="Times New Roman" w:cs="Calibri"/>
          <w:b/>
          <w:bCs/>
          <w:vanish/>
          <w:color w:val="3366FF"/>
          <w:sz w:val="26"/>
          <w:szCs w:val="26"/>
          <w:lang w:eastAsia="pl-PL"/>
        </w:rPr>
      </w:pPr>
      <w:bookmarkStart w:id="6745" w:name="_Toc467665475"/>
      <w:bookmarkStart w:id="6746" w:name="_Toc467665629"/>
      <w:bookmarkStart w:id="6747" w:name="_Toc467669551"/>
      <w:bookmarkStart w:id="6748" w:name="_Toc467832056"/>
      <w:bookmarkStart w:id="6749" w:name="_Toc467832176"/>
      <w:bookmarkStart w:id="6750" w:name="_Toc467834881"/>
      <w:bookmarkStart w:id="6751" w:name="_Toc467843562"/>
      <w:bookmarkStart w:id="6752" w:name="_Toc467845548"/>
      <w:bookmarkStart w:id="6753" w:name="_Toc467847491"/>
      <w:bookmarkStart w:id="6754" w:name="_Toc467847613"/>
      <w:bookmarkStart w:id="6755" w:name="_Toc467847735"/>
      <w:bookmarkStart w:id="6756" w:name="_Toc467847859"/>
      <w:bookmarkStart w:id="6757" w:name="_Toc467847983"/>
      <w:bookmarkStart w:id="6758" w:name="_Toc467848107"/>
      <w:bookmarkStart w:id="6759" w:name="_Toc467848231"/>
      <w:bookmarkStart w:id="6760" w:name="_Toc467848355"/>
      <w:bookmarkStart w:id="6761" w:name="_Toc467848479"/>
      <w:bookmarkStart w:id="6762" w:name="_Toc468097952"/>
      <w:bookmarkStart w:id="6763" w:name="_Toc468098077"/>
      <w:bookmarkStart w:id="6764" w:name="_Toc468104744"/>
      <w:bookmarkStart w:id="6765" w:name="_Toc468104868"/>
      <w:bookmarkStart w:id="6766" w:name="_Toc468104994"/>
      <w:bookmarkStart w:id="6767" w:name="_Toc468105120"/>
      <w:bookmarkStart w:id="6768" w:name="_Toc468105246"/>
      <w:bookmarkStart w:id="6769" w:name="_Toc468105372"/>
      <w:bookmarkStart w:id="6770" w:name="_Toc468105856"/>
      <w:bookmarkStart w:id="6771" w:name="_Toc468105983"/>
      <w:bookmarkStart w:id="6772" w:name="_Toc468116277"/>
      <w:bookmarkStart w:id="6773" w:name="_Toc468178233"/>
      <w:bookmarkStart w:id="6774" w:name="_Toc468181525"/>
      <w:bookmarkStart w:id="6775" w:name="_Toc468181652"/>
      <w:bookmarkStart w:id="6776" w:name="_Toc468181781"/>
      <w:bookmarkStart w:id="6777" w:name="_Toc468181948"/>
      <w:bookmarkStart w:id="6778" w:name="_Toc468185889"/>
      <w:bookmarkStart w:id="6779" w:name="_Toc468190821"/>
      <w:bookmarkStart w:id="6780" w:name="_Toc468190947"/>
      <w:bookmarkStart w:id="6781" w:name="_Toc468191439"/>
      <w:bookmarkStart w:id="6782" w:name="_Toc468258110"/>
      <w:bookmarkStart w:id="6783" w:name="_Toc468258341"/>
      <w:bookmarkStart w:id="6784" w:name="_Toc468258635"/>
      <w:bookmarkStart w:id="6785" w:name="_Toc468258764"/>
      <w:bookmarkStart w:id="6786" w:name="_Toc468258897"/>
      <w:bookmarkStart w:id="6787" w:name="_Toc468259028"/>
      <w:bookmarkStart w:id="6788" w:name="_Toc468259157"/>
      <w:bookmarkStart w:id="6789" w:name="_Toc468259286"/>
      <w:bookmarkStart w:id="6790" w:name="_Toc468259543"/>
      <w:bookmarkStart w:id="6791" w:name="_Toc468259675"/>
      <w:bookmarkStart w:id="6792" w:name="_Toc468259805"/>
      <w:bookmarkStart w:id="6793" w:name="_Toc468259934"/>
      <w:bookmarkStart w:id="6794" w:name="_Toc468260065"/>
      <w:bookmarkStart w:id="6795" w:name="_Toc468260194"/>
      <w:bookmarkStart w:id="6796" w:name="_Toc468260323"/>
      <w:bookmarkStart w:id="6797" w:name="_Toc468260452"/>
      <w:bookmarkStart w:id="6798" w:name="_Toc468260581"/>
      <w:bookmarkStart w:id="6799" w:name="_Toc468260710"/>
      <w:bookmarkStart w:id="6800" w:name="_Toc468260838"/>
      <w:bookmarkStart w:id="6801" w:name="_Toc468260969"/>
      <w:bookmarkStart w:id="6802" w:name="_Toc468261100"/>
      <w:bookmarkStart w:id="6803" w:name="_Toc468261231"/>
      <w:bookmarkStart w:id="6804" w:name="_Toc468261362"/>
      <w:bookmarkStart w:id="6805" w:name="_Toc468261493"/>
      <w:bookmarkStart w:id="6806" w:name="_Toc468266807"/>
      <w:bookmarkStart w:id="6807" w:name="_Toc468266935"/>
      <w:bookmarkStart w:id="6808" w:name="_Toc468267063"/>
      <w:bookmarkStart w:id="6809" w:name="_Toc468269474"/>
      <w:bookmarkStart w:id="6810" w:name="_Toc468279440"/>
      <w:bookmarkStart w:id="6811" w:name="_Toc468360292"/>
      <w:bookmarkStart w:id="6812" w:name="_Toc468361233"/>
      <w:bookmarkStart w:id="6813" w:name="_Toc468363463"/>
      <w:bookmarkStart w:id="6814" w:name="_Toc468366290"/>
      <w:bookmarkStart w:id="6815" w:name="_Toc468428380"/>
      <w:bookmarkStart w:id="6816" w:name="_Toc468691776"/>
      <w:bookmarkStart w:id="6817" w:name="_Toc468691903"/>
      <w:bookmarkStart w:id="6818" w:name="_Toc468692030"/>
      <w:bookmarkStart w:id="6819" w:name="_Toc468693984"/>
      <w:bookmarkStart w:id="6820" w:name="_Toc468712679"/>
      <w:bookmarkStart w:id="6821" w:name="_Toc468712807"/>
      <w:bookmarkStart w:id="6822" w:name="_Toc468712934"/>
      <w:bookmarkStart w:id="6823" w:name="_Toc468713061"/>
      <w:bookmarkStart w:id="6824" w:name="_Toc468713188"/>
      <w:bookmarkStart w:id="6825" w:name="_Toc468713315"/>
      <w:bookmarkStart w:id="6826" w:name="_Toc468713442"/>
      <w:bookmarkStart w:id="6827" w:name="_Toc468713569"/>
      <w:bookmarkStart w:id="6828" w:name="_Toc468713822"/>
      <w:bookmarkStart w:id="6829" w:name="_Toc468713949"/>
      <w:bookmarkStart w:id="6830" w:name="_Toc468714076"/>
      <w:bookmarkStart w:id="6831" w:name="_Toc468787085"/>
      <w:bookmarkStart w:id="6832" w:name="_Toc468787403"/>
      <w:bookmarkStart w:id="6833" w:name="_Toc468787531"/>
      <w:bookmarkStart w:id="6834" w:name="_Toc468787659"/>
      <w:bookmarkStart w:id="6835" w:name="_Toc468787786"/>
      <w:bookmarkStart w:id="6836" w:name="_Toc468787913"/>
      <w:bookmarkStart w:id="6837" w:name="_Toc468788040"/>
      <w:bookmarkStart w:id="6838" w:name="_Toc468957720"/>
      <w:bookmarkStart w:id="6839" w:name="_Toc468957847"/>
      <w:bookmarkStart w:id="6840" w:name="_Toc468957974"/>
      <w:bookmarkStart w:id="6841" w:name="_Toc468958101"/>
      <w:bookmarkStart w:id="6842" w:name="_Toc468958228"/>
      <w:bookmarkStart w:id="6843" w:name="_Toc468958355"/>
      <w:bookmarkStart w:id="6844" w:name="_Toc468958482"/>
      <w:bookmarkStart w:id="6845" w:name="_Toc468958609"/>
      <w:bookmarkStart w:id="6846" w:name="_Toc468958736"/>
      <w:bookmarkStart w:id="6847" w:name="_Toc468958863"/>
      <w:bookmarkStart w:id="6848" w:name="_Toc468958990"/>
      <w:bookmarkStart w:id="6849" w:name="_Toc468959117"/>
      <w:bookmarkStart w:id="6850" w:name="_Toc468960618"/>
      <w:bookmarkStart w:id="6851" w:name="_Toc469035091"/>
      <w:bookmarkStart w:id="6852" w:name="_Toc469056801"/>
      <w:bookmarkStart w:id="6853" w:name="_Toc469321113"/>
      <w:bookmarkStart w:id="6854" w:name="_Toc469323842"/>
      <w:bookmarkStart w:id="6855" w:name="_Toc469323968"/>
      <w:bookmarkStart w:id="6856" w:name="_Toc469324519"/>
      <w:bookmarkStart w:id="6857" w:name="_Toc470695397"/>
      <w:bookmarkStart w:id="6858" w:name="_Toc470695550"/>
      <w:bookmarkStart w:id="6859" w:name="_Toc470697054"/>
      <w:bookmarkStart w:id="6860" w:name="_Toc470699938"/>
      <w:bookmarkStart w:id="6861" w:name="_Toc470762784"/>
      <w:bookmarkStart w:id="6862" w:name="_Toc471114602"/>
      <w:bookmarkStart w:id="6863" w:name="_Toc474393018"/>
      <w:bookmarkStart w:id="6864" w:name="_Toc474497909"/>
      <w:bookmarkStart w:id="6865" w:name="_Toc474498668"/>
      <w:bookmarkStart w:id="6866" w:name="_Toc474844527"/>
      <w:bookmarkStart w:id="6867" w:name="_Toc474844654"/>
      <w:bookmarkStart w:id="6868" w:name="_Toc474919924"/>
      <w:bookmarkStart w:id="6869" w:name="_Toc474924933"/>
      <w:bookmarkEnd w:id="6745"/>
      <w:bookmarkEnd w:id="6746"/>
      <w:bookmarkEnd w:id="6747"/>
      <w:bookmarkEnd w:id="6748"/>
      <w:bookmarkEnd w:id="6749"/>
      <w:bookmarkEnd w:id="6750"/>
      <w:bookmarkEnd w:id="6751"/>
      <w:bookmarkEnd w:id="6752"/>
      <w:bookmarkEnd w:id="6753"/>
      <w:bookmarkEnd w:id="6754"/>
      <w:bookmarkEnd w:id="6755"/>
      <w:bookmarkEnd w:id="6756"/>
      <w:bookmarkEnd w:id="6757"/>
      <w:bookmarkEnd w:id="6758"/>
      <w:bookmarkEnd w:id="6759"/>
      <w:bookmarkEnd w:id="6760"/>
      <w:bookmarkEnd w:id="6761"/>
      <w:bookmarkEnd w:id="6762"/>
      <w:bookmarkEnd w:id="6763"/>
      <w:bookmarkEnd w:id="6764"/>
      <w:bookmarkEnd w:id="6765"/>
      <w:bookmarkEnd w:id="6766"/>
      <w:bookmarkEnd w:id="6767"/>
      <w:bookmarkEnd w:id="6768"/>
      <w:bookmarkEnd w:id="6769"/>
      <w:bookmarkEnd w:id="6770"/>
      <w:bookmarkEnd w:id="6771"/>
      <w:bookmarkEnd w:id="6772"/>
      <w:bookmarkEnd w:id="6773"/>
      <w:bookmarkEnd w:id="6774"/>
      <w:bookmarkEnd w:id="6775"/>
      <w:bookmarkEnd w:id="6776"/>
      <w:bookmarkEnd w:id="6777"/>
      <w:bookmarkEnd w:id="6778"/>
      <w:bookmarkEnd w:id="6779"/>
      <w:bookmarkEnd w:id="6780"/>
      <w:bookmarkEnd w:id="6781"/>
      <w:bookmarkEnd w:id="6782"/>
      <w:bookmarkEnd w:id="6783"/>
      <w:bookmarkEnd w:id="6784"/>
      <w:bookmarkEnd w:id="6785"/>
      <w:bookmarkEnd w:id="6786"/>
      <w:bookmarkEnd w:id="6787"/>
      <w:bookmarkEnd w:id="6788"/>
      <w:bookmarkEnd w:id="6789"/>
      <w:bookmarkEnd w:id="6790"/>
      <w:bookmarkEnd w:id="6791"/>
      <w:bookmarkEnd w:id="6792"/>
      <w:bookmarkEnd w:id="6793"/>
      <w:bookmarkEnd w:id="6794"/>
      <w:bookmarkEnd w:id="6795"/>
      <w:bookmarkEnd w:id="6796"/>
      <w:bookmarkEnd w:id="6797"/>
      <w:bookmarkEnd w:id="6798"/>
      <w:bookmarkEnd w:id="6799"/>
      <w:bookmarkEnd w:id="6800"/>
      <w:bookmarkEnd w:id="6801"/>
      <w:bookmarkEnd w:id="6802"/>
      <w:bookmarkEnd w:id="6803"/>
      <w:bookmarkEnd w:id="6804"/>
      <w:bookmarkEnd w:id="6805"/>
      <w:bookmarkEnd w:id="6806"/>
      <w:bookmarkEnd w:id="6807"/>
      <w:bookmarkEnd w:id="6808"/>
      <w:bookmarkEnd w:id="6809"/>
      <w:bookmarkEnd w:id="6810"/>
      <w:bookmarkEnd w:id="6811"/>
      <w:bookmarkEnd w:id="6812"/>
      <w:bookmarkEnd w:id="6813"/>
      <w:bookmarkEnd w:id="6814"/>
      <w:bookmarkEnd w:id="6815"/>
      <w:bookmarkEnd w:id="6816"/>
      <w:bookmarkEnd w:id="6817"/>
      <w:bookmarkEnd w:id="6818"/>
      <w:bookmarkEnd w:id="6819"/>
      <w:bookmarkEnd w:id="6820"/>
      <w:bookmarkEnd w:id="6821"/>
      <w:bookmarkEnd w:id="6822"/>
      <w:bookmarkEnd w:id="6823"/>
      <w:bookmarkEnd w:id="6824"/>
      <w:bookmarkEnd w:id="6825"/>
      <w:bookmarkEnd w:id="6826"/>
      <w:bookmarkEnd w:id="6827"/>
      <w:bookmarkEnd w:id="6828"/>
      <w:bookmarkEnd w:id="6829"/>
      <w:bookmarkEnd w:id="6830"/>
      <w:bookmarkEnd w:id="6831"/>
      <w:bookmarkEnd w:id="6832"/>
      <w:bookmarkEnd w:id="6833"/>
      <w:bookmarkEnd w:id="6834"/>
      <w:bookmarkEnd w:id="6835"/>
      <w:bookmarkEnd w:id="6836"/>
      <w:bookmarkEnd w:id="6837"/>
      <w:bookmarkEnd w:id="6838"/>
      <w:bookmarkEnd w:id="6839"/>
      <w:bookmarkEnd w:id="6840"/>
      <w:bookmarkEnd w:id="6841"/>
      <w:bookmarkEnd w:id="6842"/>
      <w:bookmarkEnd w:id="6843"/>
      <w:bookmarkEnd w:id="6844"/>
      <w:bookmarkEnd w:id="6845"/>
      <w:bookmarkEnd w:id="6846"/>
      <w:bookmarkEnd w:id="6847"/>
      <w:bookmarkEnd w:id="6848"/>
      <w:bookmarkEnd w:id="6849"/>
      <w:bookmarkEnd w:id="6850"/>
      <w:bookmarkEnd w:id="6851"/>
      <w:bookmarkEnd w:id="6852"/>
      <w:bookmarkEnd w:id="6853"/>
      <w:bookmarkEnd w:id="6854"/>
      <w:bookmarkEnd w:id="6855"/>
      <w:bookmarkEnd w:id="6856"/>
      <w:bookmarkEnd w:id="6857"/>
      <w:bookmarkEnd w:id="6858"/>
      <w:bookmarkEnd w:id="6859"/>
      <w:bookmarkEnd w:id="6860"/>
      <w:bookmarkEnd w:id="6861"/>
      <w:bookmarkEnd w:id="6862"/>
      <w:bookmarkEnd w:id="6863"/>
      <w:bookmarkEnd w:id="6864"/>
      <w:bookmarkEnd w:id="6865"/>
      <w:bookmarkEnd w:id="6866"/>
      <w:bookmarkEnd w:id="6867"/>
      <w:bookmarkEnd w:id="6868"/>
      <w:bookmarkEnd w:id="6869"/>
    </w:p>
    <w:p w:rsidR="003852D4" w:rsidRPr="003852D4" w:rsidRDefault="003852D4" w:rsidP="003852D4">
      <w:pPr>
        <w:pStyle w:val="Akapitzlist"/>
        <w:keepNext/>
        <w:numPr>
          <w:ilvl w:val="1"/>
          <w:numId w:val="180"/>
        </w:numPr>
        <w:spacing w:before="120" w:after="60" w:line="240" w:lineRule="auto"/>
        <w:outlineLvl w:val="2"/>
        <w:rPr>
          <w:rFonts w:eastAsia="Times New Roman" w:cs="Calibri"/>
          <w:b/>
          <w:bCs/>
          <w:vanish/>
          <w:color w:val="3366FF"/>
          <w:sz w:val="26"/>
          <w:szCs w:val="26"/>
          <w:lang w:eastAsia="pl-PL"/>
        </w:rPr>
      </w:pPr>
      <w:bookmarkStart w:id="6870" w:name="_Toc467665476"/>
      <w:bookmarkStart w:id="6871" w:name="_Toc467665630"/>
      <w:bookmarkStart w:id="6872" w:name="_Toc467669552"/>
      <w:bookmarkStart w:id="6873" w:name="_Toc467832057"/>
      <w:bookmarkStart w:id="6874" w:name="_Toc467832177"/>
      <w:bookmarkStart w:id="6875" w:name="_Toc467834882"/>
      <w:bookmarkStart w:id="6876" w:name="_Toc467843563"/>
      <w:bookmarkStart w:id="6877" w:name="_Toc467845549"/>
      <w:bookmarkStart w:id="6878" w:name="_Toc467847492"/>
      <w:bookmarkStart w:id="6879" w:name="_Toc467847614"/>
      <w:bookmarkStart w:id="6880" w:name="_Toc467847736"/>
      <w:bookmarkStart w:id="6881" w:name="_Toc467847860"/>
      <w:bookmarkStart w:id="6882" w:name="_Toc467847984"/>
      <w:bookmarkStart w:id="6883" w:name="_Toc467848108"/>
      <w:bookmarkStart w:id="6884" w:name="_Toc467848232"/>
      <w:bookmarkStart w:id="6885" w:name="_Toc467848356"/>
      <w:bookmarkStart w:id="6886" w:name="_Toc467848480"/>
      <w:bookmarkStart w:id="6887" w:name="_Toc468097953"/>
      <w:bookmarkStart w:id="6888" w:name="_Toc468098078"/>
      <w:bookmarkStart w:id="6889" w:name="_Toc468104745"/>
      <w:bookmarkStart w:id="6890" w:name="_Toc468104869"/>
      <w:bookmarkStart w:id="6891" w:name="_Toc468104995"/>
      <w:bookmarkStart w:id="6892" w:name="_Toc468105121"/>
      <w:bookmarkStart w:id="6893" w:name="_Toc468105247"/>
      <w:bookmarkStart w:id="6894" w:name="_Toc468105373"/>
      <w:bookmarkStart w:id="6895" w:name="_Toc468105857"/>
      <w:bookmarkStart w:id="6896" w:name="_Toc468105984"/>
      <w:bookmarkStart w:id="6897" w:name="_Toc468116278"/>
      <w:bookmarkStart w:id="6898" w:name="_Toc468178234"/>
      <w:bookmarkStart w:id="6899" w:name="_Toc468181526"/>
      <w:bookmarkStart w:id="6900" w:name="_Toc468181653"/>
      <w:bookmarkStart w:id="6901" w:name="_Toc468181782"/>
      <w:bookmarkStart w:id="6902" w:name="_Toc468181949"/>
      <w:bookmarkStart w:id="6903" w:name="_Toc468185890"/>
      <w:bookmarkStart w:id="6904" w:name="_Toc468190822"/>
      <w:bookmarkStart w:id="6905" w:name="_Toc468190948"/>
      <w:bookmarkStart w:id="6906" w:name="_Toc468191440"/>
      <w:bookmarkStart w:id="6907" w:name="_Toc468258111"/>
      <w:bookmarkStart w:id="6908" w:name="_Toc468258342"/>
      <w:bookmarkStart w:id="6909" w:name="_Toc468258636"/>
      <w:bookmarkStart w:id="6910" w:name="_Toc468258765"/>
      <w:bookmarkStart w:id="6911" w:name="_Toc468258898"/>
      <w:bookmarkStart w:id="6912" w:name="_Toc468259029"/>
      <w:bookmarkStart w:id="6913" w:name="_Toc468259158"/>
      <w:bookmarkStart w:id="6914" w:name="_Toc468259287"/>
      <w:bookmarkStart w:id="6915" w:name="_Toc468259544"/>
      <w:bookmarkStart w:id="6916" w:name="_Toc468259676"/>
      <w:bookmarkStart w:id="6917" w:name="_Toc468259806"/>
      <w:bookmarkStart w:id="6918" w:name="_Toc468259935"/>
      <w:bookmarkStart w:id="6919" w:name="_Toc468260066"/>
      <w:bookmarkStart w:id="6920" w:name="_Toc468260195"/>
      <w:bookmarkStart w:id="6921" w:name="_Toc468260324"/>
      <w:bookmarkStart w:id="6922" w:name="_Toc468260453"/>
      <w:bookmarkStart w:id="6923" w:name="_Toc468260582"/>
      <w:bookmarkStart w:id="6924" w:name="_Toc468260711"/>
      <w:bookmarkStart w:id="6925" w:name="_Toc468260839"/>
      <w:bookmarkStart w:id="6926" w:name="_Toc468260970"/>
      <w:bookmarkStart w:id="6927" w:name="_Toc468261101"/>
      <w:bookmarkStart w:id="6928" w:name="_Toc468261232"/>
      <w:bookmarkStart w:id="6929" w:name="_Toc468261363"/>
      <w:bookmarkStart w:id="6930" w:name="_Toc468261494"/>
      <w:bookmarkStart w:id="6931" w:name="_Toc468266808"/>
      <w:bookmarkStart w:id="6932" w:name="_Toc468266936"/>
      <w:bookmarkStart w:id="6933" w:name="_Toc468267064"/>
      <w:bookmarkStart w:id="6934" w:name="_Toc468269475"/>
      <w:bookmarkStart w:id="6935" w:name="_Toc468279441"/>
      <w:bookmarkStart w:id="6936" w:name="_Toc468360293"/>
      <w:bookmarkStart w:id="6937" w:name="_Toc468361234"/>
      <w:bookmarkStart w:id="6938" w:name="_Toc468363464"/>
      <w:bookmarkStart w:id="6939" w:name="_Toc468366291"/>
      <w:bookmarkStart w:id="6940" w:name="_Toc468428381"/>
      <w:bookmarkStart w:id="6941" w:name="_Toc468691777"/>
      <w:bookmarkStart w:id="6942" w:name="_Toc468691904"/>
      <w:bookmarkStart w:id="6943" w:name="_Toc468692031"/>
      <w:bookmarkStart w:id="6944" w:name="_Toc468693985"/>
      <w:bookmarkStart w:id="6945" w:name="_Toc468712680"/>
      <w:bookmarkStart w:id="6946" w:name="_Toc468712808"/>
      <w:bookmarkStart w:id="6947" w:name="_Toc468712935"/>
      <w:bookmarkStart w:id="6948" w:name="_Toc468713062"/>
      <w:bookmarkStart w:id="6949" w:name="_Toc468713189"/>
      <w:bookmarkStart w:id="6950" w:name="_Toc468713316"/>
      <w:bookmarkStart w:id="6951" w:name="_Toc468713443"/>
      <w:bookmarkStart w:id="6952" w:name="_Toc468713570"/>
      <w:bookmarkStart w:id="6953" w:name="_Toc468713823"/>
      <w:bookmarkStart w:id="6954" w:name="_Toc468713950"/>
      <w:bookmarkStart w:id="6955" w:name="_Toc468714077"/>
      <w:bookmarkStart w:id="6956" w:name="_Toc468787086"/>
      <w:bookmarkStart w:id="6957" w:name="_Toc468787404"/>
      <w:bookmarkStart w:id="6958" w:name="_Toc468787532"/>
      <w:bookmarkStart w:id="6959" w:name="_Toc468787660"/>
      <w:bookmarkStart w:id="6960" w:name="_Toc468787787"/>
      <w:bookmarkStart w:id="6961" w:name="_Toc468787914"/>
      <w:bookmarkStart w:id="6962" w:name="_Toc468788041"/>
      <w:bookmarkStart w:id="6963" w:name="_Toc468957721"/>
      <w:bookmarkStart w:id="6964" w:name="_Toc468957848"/>
      <w:bookmarkStart w:id="6965" w:name="_Toc468957975"/>
      <w:bookmarkStart w:id="6966" w:name="_Toc468958102"/>
      <w:bookmarkStart w:id="6967" w:name="_Toc468958229"/>
      <w:bookmarkStart w:id="6968" w:name="_Toc468958356"/>
      <w:bookmarkStart w:id="6969" w:name="_Toc468958483"/>
      <w:bookmarkStart w:id="6970" w:name="_Toc468958610"/>
      <w:bookmarkStart w:id="6971" w:name="_Toc468958737"/>
      <w:bookmarkStart w:id="6972" w:name="_Toc468958864"/>
      <w:bookmarkStart w:id="6973" w:name="_Toc468958991"/>
      <w:bookmarkStart w:id="6974" w:name="_Toc468959118"/>
      <w:bookmarkStart w:id="6975" w:name="_Toc468960619"/>
      <w:bookmarkStart w:id="6976" w:name="_Toc469035092"/>
      <w:bookmarkStart w:id="6977" w:name="_Toc469056802"/>
      <w:bookmarkStart w:id="6978" w:name="_Toc469321114"/>
      <w:bookmarkStart w:id="6979" w:name="_Toc469323843"/>
      <w:bookmarkStart w:id="6980" w:name="_Toc469323969"/>
      <w:bookmarkStart w:id="6981" w:name="_Toc469324520"/>
      <w:bookmarkStart w:id="6982" w:name="_Toc470695398"/>
      <w:bookmarkStart w:id="6983" w:name="_Toc470695551"/>
      <w:bookmarkStart w:id="6984" w:name="_Toc470697055"/>
      <w:bookmarkStart w:id="6985" w:name="_Toc470699939"/>
      <w:bookmarkStart w:id="6986" w:name="_Toc470762785"/>
      <w:bookmarkStart w:id="6987" w:name="_Toc471114603"/>
      <w:bookmarkStart w:id="6988" w:name="_Toc474393019"/>
      <w:bookmarkStart w:id="6989" w:name="_Toc474497910"/>
      <w:bookmarkStart w:id="6990" w:name="_Toc474498669"/>
      <w:bookmarkStart w:id="6991" w:name="_Toc474844528"/>
      <w:bookmarkStart w:id="6992" w:name="_Toc474844655"/>
      <w:bookmarkStart w:id="6993" w:name="_Toc474919925"/>
      <w:bookmarkStart w:id="6994" w:name="_Toc474924934"/>
      <w:bookmarkEnd w:id="6870"/>
      <w:bookmarkEnd w:id="6871"/>
      <w:bookmarkEnd w:id="6872"/>
      <w:bookmarkEnd w:id="6873"/>
      <w:bookmarkEnd w:id="6874"/>
      <w:bookmarkEnd w:id="6875"/>
      <w:bookmarkEnd w:id="6876"/>
      <w:bookmarkEnd w:id="6877"/>
      <w:bookmarkEnd w:id="6878"/>
      <w:bookmarkEnd w:id="6879"/>
      <w:bookmarkEnd w:id="6880"/>
      <w:bookmarkEnd w:id="6881"/>
      <w:bookmarkEnd w:id="6882"/>
      <w:bookmarkEnd w:id="6883"/>
      <w:bookmarkEnd w:id="6884"/>
      <w:bookmarkEnd w:id="6885"/>
      <w:bookmarkEnd w:id="6886"/>
      <w:bookmarkEnd w:id="6887"/>
      <w:bookmarkEnd w:id="6888"/>
      <w:bookmarkEnd w:id="6889"/>
      <w:bookmarkEnd w:id="6890"/>
      <w:bookmarkEnd w:id="6891"/>
      <w:bookmarkEnd w:id="6892"/>
      <w:bookmarkEnd w:id="6893"/>
      <w:bookmarkEnd w:id="6894"/>
      <w:bookmarkEnd w:id="6895"/>
      <w:bookmarkEnd w:id="6896"/>
      <w:bookmarkEnd w:id="6897"/>
      <w:bookmarkEnd w:id="6898"/>
      <w:bookmarkEnd w:id="6899"/>
      <w:bookmarkEnd w:id="6900"/>
      <w:bookmarkEnd w:id="6901"/>
      <w:bookmarkEnd w:id="6902"/>
      <w:bookmarkEnd w:id="6903"/>
      <w:bookmarkEnd w:id="6904"/>
      <w:bookmarkEnd w:id="6905"/>
      <w:bookmarkEnd w:id="6906"/>
      <w:bookmarkEnd w:id="6907"/>
      <w:bookmarkEnd w:id="6908"/>
      <w:bookmarkEnd w:id="6909"/>
      <w:bookmarkEnd w:id="6910"/>
      <w:bookmarkEnd w:id="6911"/>
      <w:bookmarkEnd w:id="6912"/>
      <w:bookmarkEnd w:id="6913"/>
      <w:bookmarkEnd w:id="6914"/>
      <w:bookmarkEnd w:id="6915"/>
      <w:bookmarkEnd w:id="6916"/>
      <w:bookmarkEnd w:id="6917"/>
      <w:bookmarkEnd w:id="6918"/>
      <w:bookmarkEnd w:id="6919"/>
      <w:bookmarkEnd w:id="6920"/>
      <w:bookmarkEnd w:id="6921"/>
      <w:bookmarkEnd w:id="6922"/>
      <w:bookmarkEnd w:id="6923"/>
      <w:bookmarkEnd w:id="6924"/>
      <w:bookmarkEnd w:id="6925"/>
      <w:bookmarkEnd w:id="6926"/>
      <w:bookmarkEnd w:id="6927"/>
      <w:bookmarkEnd w:id="6928"/>
      <w:bookmarkEnd w:id="6929"/>
      <w:bookmarkEnd w:id="6930"/>
      <w:bookmarkEnd w:id="6931"/>
      <w:bookmarkEnd w:id="6932"/>
      <w:bookmarkEnd w:id="6933"/>
      <w:bookmarkEnd w:id="6934"/>
      <w:bookmarkEnd w:id="6935"/>
      <w:bookmarkEnd w:id="6936"/>
      <w:bookmarkEnd w:id="6937"/>
      <w:bookmarkEnd w:id="6938"/>
      <w:bookmarkEnd w:id="6939"/>
      <w:bookmarkEnd w:id="6940"/>
      <w:bookmarkEnd w:id="6941"/>
      <w:bookmarkEnd w:id="6942"/>
      <w:bookmarkEnd w:id="6943"/>
      <w:bookmarkEnd w:id="6944"/>
      <w:bookmarkEnd w:id="6945"/>
      <w:bookmarkEnd w:id="6946"/>
      <w:bookmarkEnd w:id="6947"/>
      <w:bookmarkEnd w:id="6948"/>
      <w:bookmarkEnd w:id="6949"/>
      <w:bookmarkEnd w:id="6950"/>
      <w:bookmarkEnd w:id="6951"/>
      <w:bookmarkEnd w:id="6952"/>
      <w:bookmarkEnd w:id="6953"/>
      <w:bookmarkEnd w:id="6954"/>
      <w:bookmarkEnd w:id="6955"/>
      <w:bookmarkEnd w:id="6956"/>
      <w:bookmarkEnd w:id="6957"/>
      <w:bookmarkEnd w:id="6958"/>
      <w:bookmarkEnd w:id="6959"/>
      <w:bookmarkEnd w:id="6960"/>
      <w:bookmarkEnd w:id="6961"/>
      <w:bookmarkEnd w:id="6962"/>
      <w:bookmarkEnd w:id="6963"/>
      <w:bookmarkEnd w:id="6964"/>
      <w:bookmarkEnd w:id="6965"/>
      <w:bookmarkEnd w:id="6966"/>
      <w:bookmarkEnd w:id="6967"/>
      <w:bookmarkEnd w:id="6968"/>
      <w:bookmarkEnd w:id="6969"/>
      <w:bookmarkEnd w:id="6970"/>
      <w:bookmarkEnd w:id="6971"/>
      <w:bookmarkEnd w:id="6972"/>
      <w:bookmarkEnd w:id="6973"/>
      <w:bookmarkEnd w:id="6974"/>
      <w:bookmarkEnd w:id="6975"/>
      <w:bookmarkEnd w:id="6976"/>
      <w:bookmarkEnd w:id="6977"/>
      <w:bookmarkEnd w:id="6978"/>
      <w:bookmarkEnd w:id="6979"/>
      <w:bookmarkEnd w:id="6980"/>
      <w:bookmarkEnd w:id="6981"/>
      <w:bookmarkEnd w:id="6982"/>
      <w:bookmarkEnd w:id="6983"/>
      <w:bookmarkEnd w:id="6984"/>
      <w:bookmarkEnd w:id="6985"/>
      <w:bookmarkEnd w:id="6986"/>
      <w:bookmarkEnd w:id="6987"/>
      <w:bookmarkEnd w:id="6988"/>
      <w:bookmarkEnd w:id="6989"/>
      <w:bookmarkEnd w:id="6990"/>
      <w:bookmarkEnd w:id="6991"/>
      <w:bookmarkEnd w:id="6992"/>
      <w:bookmarkEnd w:id="6993"/>
      <w:bookmarkEnd w:id="6994"/>
    </w:p>
    <w:p w:rsidR="003852D4" w:rsidRPr="003852D4" w:rsidRDefault="003852D4" w:rsidP="003852D4">
      <w:pPr>
        <w:pStyle w:val="Akapitzlist"/>
        <w:keepNext/>
        <w:numPr>
          <w:ilvl w:val="2"/>
          <w:numId w:val="180"/>
        </w:numPr>
        <w:spacing w:before="120" w:after="60" w:line="240" w:lineRule="auto"/>
        <w:outlineLvl w:val="2"/>
        <w:rPr>
          <w:rFonts w:eastAsia="Times New Roman" w:cs="Calibri"/>
          <w:b/>
          <w:bCs/>
          <w:vanish/>
          <w:color w:val="3366FF"/>
          <w:sz w:val="26"/>
          <w:szCs w:val="26"/>
          <w:lang w:eastAsia="pl-PL"/>
        </w:rPr>
      </w:pPr>
      <w:bookmarkStart w:id="6995" w:name="_Toc467665477"/>
      <w:bookmarkStart w:id="6996" w:name="_Toc467665631"/>
      <w:bookmarkStart w:id="6997" w:name="_Toc467669553"/>
      <w:bookmarkStart w:id="6998" w:name="_Toc467832058"/>
      <w:bookmarkStart w:id="6999" w:name="_Toc467832178"/>
      <w:bookmarkStart w:id="7000" w:name="_Toc467834883"/>
      <w:bookmarkStart w:id="7001" w:name="_Toc467843564"/>
      <w:bookmarkStart w:id="7002" w:name="_Toc467845550"/>
      <w:bookmarkStart w:id="7003" w:name="_Toc467847493"/>
      <w:bookmarkStart w:id="7004" w:name="_Toc467847615"/>
      <w:bookmarkStart w:id="7005" w:name="_Toc467847737"/>
      <w:bookmarkStart w:id="7006" w:name="_Toc467847861"/>
      <w:bookmarkStart w:id="7007" w:name="_Toc467847985"/>
      <w:bookmarkStart w:id="7008" w:name="_Toc467848109"/>
      <w:bookmarkStart w:id="7009" w:name="_Toc467848233"/>
      <w:bookmarkStart w:id="7010" w:name="_Toc467848357"/>
      <w:bookmarkStart w:id="7011" w:name="_Toc467848481"/>
      <w:bookmarkStart w:id="7012" w:name="_Toc468097954"/>
      <w:bookmarkStart w:id="7013" w:name="_Toc468098079"/>
      <w:bookmarkStart w:id="7014" w:name="_Toc468104746"/>
      <w:bookmarkStart w:id="7015" w:name="_Toc468104870"/>
      <w:bookmarkStart w:id="7016" w:name="_Toc468104996"/>
      <w:bookmarkStart w:id="7017" w:name="_Toc468105122"/>
      <w:bookmarkStart w:id="7018" w:name="_Toc468105248"/>
      <w:bookmarkStart w:id="7019" w:name="_Toc468105374"/>
      <w:bookmarkStart w:id="7020" w:name="_Toc468105858"/>
      <w:bookmarkStart w:id="7021" w:name="_Toc468105985"/>
      <w:bookmarkStart w:id="7022" w:name="_Toc468116279"/>
      <w:bookmarkStart w:id="7023" w:name="_Toc468178235"/>
      <w:bookmarkStart w:id="7024" w:name="_Toc468181527"/>
      <w:bookmarkStart w:id="7025" w:name="_Toc468181654"/>
      <w:bookmarkStart w:id="7026" w:name="_Toc468181783"/>
      <w:bookmarkStart w:id="7027" w:name="_Toc468181950"/>
      <w:bookmarkStart w:id="7028" w:name="_Toc468185891"/>
      <w:bookmarkStart w:id="7029" w:name="_Toc468190823"/>
      <w:bookmarkStart w:id="7030" w:name="_Toc468190949"/>
      <w:bookmarkStart w:id="7031" w:name="_Toc468191441"/>
      <w:bookmarkStart w:id="7032" w:name="_Toc468258112"/>
      <w:bookmarkStart w:id="7033" w:name="_Toc468258343"/>
      <w:bookmarkStart w:id="7034" w:name="_Toc468258637"/>
      <w:bookmarkStart w:id="7035" w:name="_Toc468258766"/>
      <w:bookmarkStart w:id="7036" w:name="_Toc468258899"/>
      <w:bookmarkStart w:id="7037" w:name="_Toc468259030"/>
      <w:bookmarkStart w:id="7038" w:name="_Toc468259159"/>
      <w:bookmarkStart w:id="7039" w:name="_Toc468259288"/>
      <w:bookmarkStart w:id="7040" w:name="_Toc468259545"/>
      <w:bookmarkStart w:id="7041" w:name="_Toc468259677"/>
      <w:bookmarkStart w:id="7042" w:name="_Toc468259807"/>
      <w:bookmarkStart w:id="7043" w:name="_Toc468259936"/>
      <w:bookmarkStart w:id="7044" w:name="_Toc468260067"/>
      <w:bookmarkStart w:id="7045" w:name="_Toc468260196"/>
      <w:bookmarkStart w:id="7046" w:name="_Toc468260325"/>
      <w:bookmarkStart w:id="7047" w:name="_Toc468260454"/>
      <w:bookmarkStart w:id="7048" w:name="_Toc468260583"/>
      <w:bookmarkStart w:id="7049" w:name="_Toc468260712"/>
      <w:bookmarkStart w:id="7050" w:name="_Toc468260840"/>
      <w:bookmarkStart w:id="7051" w:name="_Toc468260971"/>
      <w:bookmarkStart w:id="7052" w:name="_Toc468261102"/>
      <w:bookmarkStart w:id="7053" w:name="_Toc468261233"/>
      <w:bookmarkStart w:id="7054" w:name="_Toc468261364"/>
      <w:bookmarkStart w:id="7055" w:name="_Toc468261495"/>
      <w:bookmarkStart w:id="7056" w:name="_Toc468266809"/>
      <w:bookmarkStart w:id="7057" w:name="_Toc468266937"/>
      <w:bookmarkStart w:id="7058" w:name="_Toc468267065"/>
      <w:bookmarkStart w:id="7059" w:name="_Toc468269476"/>
      <w:bookmarkStart w:id="7060" w:name="_Toc468279442"/>
      <w:bookmarkStart w:id="7061" w:name="_Toc468360294"/>
      <w:bookmarkStart w:id="7062" w:name="_Toc468361235"/>
      <w:bookmarkStart w:id="7063" w:name="_Toc468363465"/>
      <w:bookmarkStart w:id="7064" w:name="_Toc468366292"/>
      <w:bookmarkStart w:id="7065" w:name="_Toc468428382"/>
      <w:bookmarkStart w:id="7066" w:name="_Toc468691778"/>
      <w:bookmarkStart w:id="7067" w:name="_Toc468691905"/>
      <w:bookmarkStart w:id="7068" w:name="_Toc468692032"/>
      <w:bookmarkStart w:id="7069" w:name="_Toc468693986"/>
      <w:bookmarkStart w:id="7070" w:name="_Toc468712681"/>
      <w:bookmarkStart w:id="7071" w:name="_Toc468712809"/>
      <w:bookmarkStart w:id="7072" w:name="_Toc468712936"/>
      <w:bookmarkStart w:id="7073" w:name="_Toc468713063"/>
      <w:bookmarkStart w:id="7074" w:name="_Toc468713190"/>
      <w:bookmarkStart w:id="7075" w:name="_Toc468713317"/>
      <w:bookmarkStart w:id="7076" w:name="_Toc468713444"/>
      <w:bookmarkStart w:id="7077" w:name="_Toc468713571"/>
      <w:bookmarkStart w:id="7078" w:name="_Toc468713824"/>
      <w:bookmarkStart w:id="7079" w:name="_Toc468713951"/>
      <w:bookmarkStart w:id="7080" w:name="_Toc468714078"/>
      <w:bookmarkStart w:id="7081" w:name="_Toc468787087"/>
      <w:bookmarkStart w:id="7082" w:name="_Toc468787405"/>
      <w:bookmarkStart w:id="7083" w:name="_Toc468787533"/>
      <w:bookmarkStart w:id="7084" w:name="_Toc468787661"/>
      <w:bookmarkStart w:id="7085" w:name="_Toc468787788"/>
      <w:bookmarkStart w:id="7086" w:name="_Toc468787915"/>
      <w:bookmarkStart w:id="7087" w:name="_Toc468788042"/>
      <w:bookmarkStart w:id="7088" w:name="_Toc468957722"/>
      <w:bookmarkStart w:id="7089" w:name="_Toc468957849"/>
      <w:bookmarkStart w:id="7090" w:name="_Toc468957976"/>
      <w:bookmarkStart w:id="7091" w:name="_Toc468958103"/>
      <w:bookmarkStart w:id="7092" w:name="_Toc468958230"/>
      <w:bookmarkStart w:id="7093" w:name="_Toc468958357"/>
      <w:bookmarkStart w:id="7094" w:name="_Toc468958484"/>
      <w:bookmarkStart w:id="7095" w:name="_Toc468958611"/>
      <w:bookmarkStart w:id="7096" w:name="_Toc468958738"/>
      <w:bookmarkStart w:id="7097" w:name="_Toc468958865"/>
      <w:bookmarkStart w:id="7098" w:name="_Toc468958992"/>
      <w:bookmarkStart w:id="7099" w:name="_Toc468959119"/>
      <w:bookmarkStart w:id="7100" w:name="_Toc468960620"/>
      <w:bookmarkStart w:id="7101" w:name="_Toc469035093"/>
      <w:bookmarkStart w:id="7102" w:name="_Toc469056803"/>
      <w:bookmarkStart w:id="7103" w:name="_Toc469321115"/>
      <w:bookmarkStart w:id="7104" w:name="_Toc469323844"/>
      <w:bookmarkStart w:id="7105" w:name="_Toc469323970"/>
      <w:bookmarkStart w:id="7106" w:name="_Toc469324521"/>
      <w:bookmarkStart w:id="7107" w:name="_Toc470695399"/>
      <w:bookmarkStart w:id="7108" w:name="_Toc470695552"/>
      <w:bookmarkStart w:id="7109" w:name="_Toc470697056"/>
      <w:bookmarkStart w:id="7110" w:name="_Toc470699940"/>
      <w:bookmarkStart w:id="7111" w:name="_Toc470762786"/>
      <w:bookmarkStart w:id="7112" w:name="_Toc471114604"/>
      <w:bookmarkStart w:id="7113" w:name="_Toc474393020"/>
      <w:bookmarkStart w:id="7114" w:name="_Toc474497911"/>
      <w:bookmarkStart w:id="7115" w:name="_Toc474498670"/>
      <w:bookmarkStart w:id="7116" w:name="_Toc474844529"/>
      <w:bookmarkStart w:id="7117" w:name="_Toc474844656"/>
      <w:bookmarkStart w:id="7118" w:name="_Toc474919926"/>
      <w:bookmarkStart w:id="7119" w:name="_Toc474924935"/>
      <w:bookmarkEnd w:id="6995"/>
      <w:bookmarkEnd w:id="6996"/>
      <w:bookmarkEnd w:id="6997"/>
      <w:bookmarkEnd w:id="6998"/>
      <w:bookmarkEnd w:id="6999"/>
      <w:bookmarkEnd w:id="7000"/>
      <w:bookmarkEnd w:id="7001"/>
      <w:bookmarkEnd w:id="7002"/>
      <w:bookmarkEnd w:id="7003"/>
      <w:bookmarkEnd w:id="7004"/>
      <w:bookmarkEnd w:id="7005"/>
      <w:bookmarkEnd w:id="7006"/>
      <w:bookmarkEnd w:id="7007"/>
      <w:bookmarkEnd w:id="7008"/>
      <w:bookmarkEnd w:id="7009"/>
      <w:bookmarkEnd w:id="7010"/>
      <w:bookmarkEnd w:id="7011"/>
      <w:bookmarkEnd w:id="7012"/>
      <w:bookmarkEnd w:id="7013"/>
      <w:bookmarkEnd w:id="7014"/>
      <w:bookmarkEnd w:id="7015"/>
      <w:bookmarkEnd w:id="7016"/>
      <w:bookmarkEnd w:id="7017"/>
      <w:bookmarkEnd w:id="7018"/>
      <w:bookmarkEnd w:id="7019"/>
      <w:bookmarkEnd w:id="7020"/>
      <w:bookmarkEnd w:id="7021"/>
      <w:bookmarkEnd w:id="7022"/>
      <w:bookmarkEnd w:id="7023"/>
      <w:bookmarkEnd w:id="7024"/>
      <w:bookmarkEnd w:id="7025"/>
      <w:bookmarkEnd w:id="7026"/>
      <w:bookmarkEnd w:id="7027"/>
      <w:bookmarkEnd w:id="7028"/>
      <w:bookmarkEnd w:id="7029"/>
      <w:bookmarkEnd w:id="7030"/>
      <w:bookmarkEnd w:id="7031"/>
      <w:bookmarkEnd w:id="7032"/>
      <w:bookmarkEnd w:id="7033"/>
      <w:bookmarkEnd w:id="7034"/>
      <w:bookmarkEnd w:id="7035"/>
      <w:bookmarkEnd w:id="7036"/>
      <w:bookmarkEnd w:id="7037"/>
      <w:bookmarkEnd w:id="7038"/>
      <w:bookmarkEnd w:id="7039"/>
      <w:bookmarkEnd w:id="7040"/>
      <w:bookmarkEnd w:id="7041"/>
      <w:bookmarkEnd w:id="7042"/>
      <w:bookmarkEnd w:id="7043"/>
      <w:bookmarkEnd w:id="7044"/>
      <w:bookmarkEnd w:id="7045"/>
      <w:bookmarkEnd w:id="7046"/>
      <w:bookmarkEnd w:id="7047"/>
      <w:bookmarkEnd w:id="7048"/>
      <w:bookmarkEnd w:id="7049"/>
      <w:bookmarkEnd w:id="7050"/>
      <w:bookmarkEnd w:id="7051"/>
      <w:bookmarkEnd w:id="7052"/>
      <w:bookmarkEnd w:id="7053"/>
      <w:bookmarkEnd w:id="7054"/>
      <w:bookmarkEnd w:id="7055"/>
      <w:bookmarkEnd w:id="7056"/>
      <w:bookmarkEnd w:id="7057"/>
      <w:bookmarkEnd w:id="7058"/>
      <w:bookmarkEnd w:id="7059"/>
      <w:bookmarkEnd w:id="7060"/>
      <w:bookmarkEnd w:id="7061"/>
      <w:bookmarkEnd w:id="7062"/>
      <w:bookmarkEnd w:id="7063"/>
      <w:bookmarkEnd w:id="7064"/>
      <w:bookmarkEnd w:id="7065"/>
      <w:bookmarkEnd w:id="7066"/>
      <w:bookmarkEnd w:id="7067"/>
      <w:bookmarkEnd w:id="7068"/>
      <w:bookmarkEnd w:id="7069"/>
      <w:bookmarkEnd w:id="7070"/>
      <w:bookmarkEnd w:id="7071"/>
      <w:bookmarkEnd w:id="7072"/>
      <w:bookmarkEnd w:id="7073"/>
      <w:bookmarkEnd w:id="7074"/>
      <w:bookmarkEnd w:id="7075"/>
      <w:bookmarkEnd w:id="7076"/>
      <w:bookmarkEnd w:id="7077"/>
      <w:bookmarkEnd w:id="7078"/>
      <w:bookmarkEnd w:id="7079"/>
      <w:bookmarkEnd w:id="7080"/>
      <w:bookmarkEnd w:id="7081"/>
      <w:bookmarkEnd w:id="7082"/>
      <w:bookmarkEnd w:id="7083"/>
      <w:bookmarkEnd w:id="7084"/>
      <w:bookmarkEnd w:id="7085"/>
      <w:bookmarkEnd w:id="7086"/>
      <w:bookmarkEnd w:id="7087"/>
      <w:bookmarkEnd w:id="7088"/>
      <w:bookmarkEnd w:id="7089"/>
      <w:bookmarkEnd w:id="7090"/>
      <w:bookmarkEnd w:id="7091"/>
      <w:bookmarkEnd w:id="7092"/>
      <w:bookmarkEnd w:id="7093"/>
      <w:bookmarkEnd w:id="7094"/>
      <w:bookmarkEnd w:id="7095"/>
      <w:bookmarkEnd w:id="7096"/>
      <w:bookmarkEnd w:id="7097"/>
      <w:bookmarkEnd w:id="7098"/>
      <w:bookmarkEnd w:id="7099"/>
      <w:bookmarkEnd w:id="7100"/>
      <w:bookmarkEnd w:id="7101"/>
      <w:bookmarkEnd w:id="7102"/>
      <w:bookmarkEnd w:id="7103"/>
      <w:bookmarkEnd w:id="7104"/>
      <w:bookmarkEnd w:id="7105"/>
      <w:bookmarkEnd w:id="7106"/>
      <w:bookmarkEnd w:id="7107"/>
      <w:bookmarkEnd w:id="7108"/>
      <w:bookmarkEnd w:id="7109"/>
      <w:bookmarkEnd w:id="7110"/>
      <w:bookmarkEnd w:id="7111"/>
      <w:bookmarkEnd w:id="7112"/>
      <w:bookmarkEnd w:id="7113"/>
      <w:bookmarkEnd w:id="7114"/>
      <w:bookmarkEnd w:id="7115"/>
      <w:bookmarkEnd w:id="7116"/>
      <w:bookmarkEnd w:id="7117"/>
      <w:bookmarkEnd w:id="7118"/>
      <w:bookmarkEnd w:id="7119"/>
    </w:p>
    <w:p w:rsidR="003852D4" w:rsidRPr="003852D4" w:rsidRDefault="003852D4" w:rsidP="003852D4">
      <w:pPr>
        <w:pStyle w:val="Akapitzlist"/>
        <w:keepNext/>
        <w:numPr>
          <w:ilvl w:val="2"/>
          <w:numId w:val="180"/>
        </w:numPr>
        <w:spacing w:before="120" w:after="60" w:line="240" w:lineRule="auto"/>
        <w:outlineLvl w:val="2"/>
        <w:rPr>
          <w:rFonts w:eastAsia="Times New Roman" w:cs="Calibri"/>
          <w:b/>
          <w:bCs/>
          <w:vanish/>
          <w:color w:val="3366FF"/>
          <w:sz w:val="26"/>
          <w:szCs w:val="26"/>
          <w:lang w:eastAsia="pl-PL"/>
        </w:rPr>
      </w:pPr>
      <w:bookmarkStart w:id="7120" w:name="_Toc467665478"/>
      <w:bookmarkStart w:id="7121" w:name="_Toc467665632"/>
      <w:bookmarkStart w:id="7122" w:name="_Toc467669554"/>
      <w:bookmarkStart w:id="7123" w:name="_Toc467832059"/>
      <w:bookmarkStart w:id="7124" w:name="_Toc467832179"/>
      <w:bookmarkStart w:id="7125" w:name="_Toc467834884"/>
      <w:bookmarkStart w:id="7126" w:name="_Toc467843565"/>
      <w:bookmarkStart w:id="7127" w:name="_Toc467845551"/>
      <w:bookmarkStart w:id="7128" w:name="_Toc467847494"/>
      <w:bookmarkStart w:id="7129" w:name="_Toc467847616"/>
      <w:bookmarkStart w:id="7130" w:name="_Toc467847738"/>
      <w:bookmarkStart w:id="7131" w:name="_Toc467847862"/>
      <w:bookmarkStart w:id="7132" w:name="_Toc467847986"/>
      <w:bookmarkStart w:id="7133" w:name="_Toc467848110"/>
      <w:bookmarkStart w:id="7134" w:name="_Toc467848234"/>
      <w:bookmarkStart w:id="7135" w:name="_Toc467848358"/>
      <w:bookmarkStart w:id="7136" w:name="_Toc467848482"/>
      <w:bookmarkStart w:id="7137" w:name="_Toc468097955"/>
      <w:bookmarkStart w:id="7138" w:name="_Toc468098080"/>
      <w:bookmarkStart w:id="7139" w:name="_Toc468104747"/>
      <w:bookmarkStart w:id="7140" w:name="_Toc468104871"/>
      <w:bookmarkStart w:id="7141" w:name="_Toc468104997"/>
      <w:bookmarkStart w:id="7142" w:name="_Toc468105123"/>
      <w:bookmarkStart w:id="7143" w:name="_Toc468105249"/>
      <w:bookmarkStart w:id="7144" w:name="_Toc468105375"/>
      <w:bookmarkStart w:id="7145" w:name="_Toc468105859"/>
      <w:bookmarkStart w:id="7146" w:name="_Toc468105986"/>
      <w:bookmarkStart w:id="7147" w:name="_Toc468116280"/>
      <w:bookmarkStart w:id="7148" w:name="_Toc468178236"/>
      <w:bookmarkStart w:id="7149" w:name="_Toc468181528"/>
      <w:bookmarkStart w:id="7150" w:name="_Toc468181655"/>
      <w:bookmarkStart w:id="7151" w:name="_Toc468181784"/>
      <w:bookmarkStart w:id="7152" w:name="_Toc468181951"/>
      <w:bookmarkStart w:id="7153" w:name="_Toc468185892"/>
      <w:bookmarkStart w:id="7154" w:name="_Toc468190824"/>
      <w:bookmarkStart w:id="7155" w:name="_Toc468190950"/>
      <w:bookmarkStart w:id="7156" w:name="_Toc468191442"/>
      <w:bookmarkStart w:id="7157" w:name="_Toc468258113"/>
      <w:bookmarkStart w:id="7158" w:name="_Toc468258344"/>
      <w:bookmarkStart w:id="7159" w:name="_Toc468258638"/>
      <w:bookmarkStart w:id="7160" w:name="_Toc468258767"/>
      <w:bookmarkStart w:id="7161" w:name="_Toc468258900"/>
      <w:bookmarkStart w:id="7162" w:name="_Toc468259031"/>
      <w:bookmarkStart w:id="7163" w:name="_Toc468259160"/>
      <w:bookmarkStart w:id="7164" w:name="_Toc468259289"/>
      <w:bookmarkStart w:id="7165" w:name="_Toc468259546"/>
      <w:bookmarkStart w:id="7166" w:name="_Toc468259678"/>
      <w:bookmarkStart w:id="7167" w:name="_Toc468259808"/>
      <w:bookmarkStart w:id="7168" w:name="_Toc468259937"/>
      <w:bookmarkStart w:id="7169" w:name="_Toc468260068"/>
      <w:bookmarkStart w:id="7170" w:name="_Toc468260197"/>
      <w:bookmarkStart w:id="7171" w:name="_Toc468260326"/>
      <w:bookmarkStart w:id="7172" w:name="_Toc468260455"/>
      <w:bookmarkStart w:id="7173" w:name="_Toc468260584"/>
      <w:bookmarkStart w:id="7174" w:name="_Toc468260713"/>
      <w:bookmarkStart w:id="7175" w:name="_Toc468260841"/>
      <w:bookmarkStart w:id="7176" w:name="_Toc468260972"/>
      <w:bookmarkStart w:id="7177" w:name="_Toc468261103"/>
      <w:bookmarkStart w:id="7178" w:name="_Toc468261234"/>
      <w:bookmarkStart w:id="7179" w:name="_Toc468261365"/>
      <w:bookmarkStart w:id="7180" w:name="_Toc468261496"/>
      <w:bookmarkStart w:id="7181" w:name="_Toc468266810"/>
      <w:bookmarkStart w:id="7182" w:name="_Toc468266938"/>
      <w:bookmarkStart w:id="7183" w:name="_Toc468267066"/>
      <w:bookmarkStart w:id="7184" w:name="_Toc468269477"/>
      <w:bookmarkStart w:id="7185" w:name="_Toc468279443"/>
      <w:bookmarkStart w:id="7186" w:name="_Toc468360295"/>
      <w:bookmarkStart w:id="7187" w:name="_Toc468361236"/>
      <w:bookmarkStart w:id="7188" w:name="_Toc468363466"/>
      <w:bookmarkStart w:id="7189" w:name="_Toc468366293"/>
      <w:bookmarkStart w:id="7190" w:name="_Toc468428383"/>
      <w:bookmarkStart w:id="7191" w:name="_Toc468691779"/>
      <w:bookmarkStart w:id="7192" w:name="_Toc468691906"/>
      <w:bookmarkStart w:id="7193" w:name="_Toc468692033"/>
      <w:bookmarkStart w:id="7194" w:name="_Toc468693987"/>
      <w:bookmarkStart w:id="7195" w:name="_Toc468712682"/>
      <w:bookmarkStart w:id="7196" w:name="_Toc468712810"/>
      <w:bookmarkStart w:id="7197" w:name="_Toc468712937"/>
      <w:bookmarkStart w:id="7198" w:name="_Toc468713064"/>
      <w:bookmarkStart w:id="7199" w:name="_Toc468713191"/>
      <w:bookmarkStart w:id="7200" w:name="_Toc468713318"/>
      <w:bookmarkStart w:id="7201" w:name="_Toc468713445"/>
      <w:bookmarkStart w:id="7202" w:name="_Toc468713572"/>
      <w:bookmarkStart w:id="7203" w:name="_Toc468713825"/>
      <w:bookmarkStart w:id="7204" w:name="_Toc468713952"/>
      <w:bookmarkStart w:id="7205" w:name="_Toc468714079"/>
      <w:bookmarkStart w:id="7206" w:name="_Toc468787088"/>
      <w:bookmarkStart w:id="7207" w:name="_Toc468787406"/>
      <w:bookmarkStart w:id="7208" w:name="_Toc468787534"/>
      <w:bookmarkStart w:id="7209" w:name="_Toc468787662"/>
      <w:bookmarkStart w:id="7210" w:name="_Toc468787789"/>
      <w:bookmarkStart w:id="7211" w:name="_Toc468787916"/>
      <w:bookmarkStart w:id="7212" w:name="_Toc468788043"/>
      <w:bookmarkStart w:id="7213" w:name="_Toc468957723"/>
      <w:bookmarkStart w:id="7214" w:name="_Toc468957850"/>
      <w:bookmarkStart w:id="7215" w:name="_Toc468957977"/>
      <w:bookmarkStart w:id="7216" w:name="_Toc468958104"/>
      <w:bookmarkStart w:id="7217" w:name="_Toc468958231"/>
      <w:bookmarkStart w:id="7218" w:name="_Toc468958358"/>
      <w:bookmarkStart w:id="7219" w:name="_Toc468958485"/>
      <w:bookmarkStart w:id="7220" w:name="_Toc468958612"/>
      <w:bookmarkStart w:id="7221" w:name="_Toc468958739"/>
      <w:bookmarkStart w:id="7222" w:name="_Toc468958866"/>
      <w:bookmarkStart w:id="7223" w:name="_Toc468958993"/>
      <w:bookmarkStart w:id="7224" w:name="_Toc468959120"/>
      <w:bookmarkStart w:id="7225" w:name="_Toc468960621"/>
      <w:bookmarkStart w:id="7226" w:name="_Toc469035094"/>
      <w:bookmarkStart w:id="7227" w:name="_Toc469056804"/>
      <w:bookmarkStart w:id="7228" w:name="_Toc469321116"/>
      <w:bookmarkStart w:id="7229" w:name="_Toc469323845"/>
      <w:bookmarkStart w:id="7230" w:name="_Toc469323971"/>
      <w:bookmarkStart w:id="7231" w:name="_Toc469324522"/>
      <w:bookmarkStart w:id="7232" w:name="_Toc470695400"/>
      <w:bookmarkStart w:id="7233" w:name="_Toc470695553"/>
      <w:bookmarkStart w:id="7234" w:name="_Toc470697057"/>
      <w:bookmarkStart w:id="7235" w:name="_Toc470699941"/>
      <w:bookmarkStart w:id="7236" w:name="_Toc470762787"/>
      <w:bookmarkStart w:id="7237" w:name="_Toc471114605"/>
      <w:bookmarkStart w:id="7238" w:name="_Toc474393021"/>
      <w:bookmarkStart w:id="7239" w:name="_Toc474497912"/>
      <w:bookmarkStart w:id="7240" w:name="_Toc474498671"/>
      <w:bookmarkStart w:id="7241" w:name="_Toc474844530"/>
      <w:bookmarkStart w:id="7242" w:name="_Toc474844657"/>
      <w:bookmarkStart w:id="7243" w:name="_Toc474919927"/>
      <w:bookmarkStart w:id="7244" w:name="_Toc474924936"/>
      <w:bookmarkEnd w:id="7120"/>
      <w:bookmarkEnd w:id="7121"/>
      <w:bookmarkEnd w:id="7122"/>
      <w:bookmarkEnd w:id="7123"/>
      <w:bookmarkEnd w:id="7124"/>
      <w:bookmarkEnd w:id="7125"/>
      <w:bookmarkEnd w:id="7126"/>
      <w:bookmarkEnd w:id="7127"/>
      <w:bookmarkEnd w:id="7128"/>
      <w:bookmarkEnd w:id="7129"/>
      <w:bookmarkEnd w:id="7130"/>
      <w:bookmarkEnd w:id="7131"/>
      <w:bookmarkEnd w:id="7132"/>
      <w:bookmarkEnd w:id="7133"/>
      <w:bookmarkEnd w:id="7134"/>
      <w:bookmarkEnd w:id="7135"/>
      <w:bookmarkEnd w:id="7136"/>
      <w:bookmarkEnd w:id="7137"/>
      <w:bookmarkEnd w:id="7138"/>
      <w:bookmarkEnd w:id="7139"/>
      <w:bookmarkEnd w:id="7140"/>
      <w:bookmarkEnd w:id="7141"/>
      <w:bookmarkEnd w:id="7142"/>
      <w:bookmarkEnd w:id="7143"/>
      <w:bookmarkEnd w:id="7144"/>
      <w:bookmarkEnd w:id="7145"/>
      <w:bookmarkEnd w:id="7146"/>
      <w:bookmarkEnd w:id="7147"/>
      <w:bookmarkEnd w:id="7148"/>
      <w:bookmarkEnd w:id="7149"/>
      <w:bookmarkEnd w:id="7150"/>
      <w:bookmarkEnd w:id="7151"/>
      <w:bookmarkEnd w:id="7152"/>
      <w:bookmarkEnd w:id="7153"/>
      <w:bookmarkEnd w:id="7154"/>
      <w:bookmarkEnd w:id="7155"/>
      <w:bookmarkEnd w:id="7156"/>
      <w:bookmarkEnd w:id="7157"/>
      <w:bookmarkEnd w:id="7158"/>
      <w:bookmarkEnd w:id="7159"/>
      <w:bookmarkEnd w:id="7160"/>
      <w:bookmarkEnd w:id="7161"/>
      <w:bookmarkEnd w:id="7162"/>
      <w:bookmarkEnd w:id="7163"/>
      <w:bookmarkEnd w:id="7164"/>
      <w:bookmarkEnd w:id="7165"/>
      <w:bookmarkEnd w:id="7166"/>
      <w:bookmarkEnd w:id="7167"/>
      <w:bookmarkEnd w:id="7168"/>
      <w:bookmarkEnd w:id="7169"/>
      <w:bookmarkEnd w:id="7170"/>
      <w:bookmarkEnd w:id="7171"/>
      <w:bookmarkEnd w:id="7172"/>
      <w:bookmarkEnd w:id="7173"/>
      <w:bookmarkEnd w:id="7174"/>
      <w:bookmarkEnd w:id="7175"/>
      <w:bookmarkEnd w:id="7176"/>
      <w:bookmarkEnd w:id="7177"/>
      <w:bookmarkEnd w:id="7178"/>
      <w:bookmarkEnd w:id="7179"/>
      <w:bookmarkEnd w:id="7180"/>
      <w:bookmarkEnd w:id="7181"/>
      <w:bookmarkEnd w:id="7182"/>
      <w:bookmarkEnd w:id="7183"/>
      <w:bookmarkEnd w:id="7184"/>
      <w:bookmarkEnd w:id="7185"/>
      <w:bookmarkEnd w:id="7186"/>
      <w:bookmarkEnd w:id="7187"/>
      <w:bookmarkEnd w:id="7188"/>
      <w:bookmarkEnd w:id="7189"/>
      <w:bookmarkEnd w:id="7190"/>
      <w:bookmarkEnd w:id="7191"/>
      <w:bookmarkEnd w:id="7192"/>
      <w:bookmarkEnd w:id="7193"/>
      <w:bookmarkEnd w:id="7194"/>
      <w:bookmarkEnd w:id="7195"/>
      <w:bookmarkEnd w:id="7196"/>
      <w:bookmarkEnd w:id="7197"/>
      <w:bookmarkEnd w:id="7198"/>
      <w:bookmarkEnd w:id="7199"/>
      <w:bookmarkEnd w:id="7200"/>
      <w:bookmarkEnd w:id="7201"/>
      <w:bookmarkEnd w:id="7202"/>
      <w:bookmarkEnd w:id="7203"/>
      <w:bookmarkEnd w:id="7204"/>
      <w:bookmarkEnd w:id="7205"/>
      <w:bookmarkEnd w:id="7206"/>
      <w:bookmarkEnd w:id="7207"/>
      <w:bookmarkEnd w:id="7208"/>
      <w:bookmarkEnd w:id="7209"/>
      <w:bookmarkEnd w:id="7210"/>
      <w:bookmarkEnd w:id="7211"/>
      <w:bookmarkEnd w:id="7212"/>
      <w:bookmarkEnd w:id="7213"/>
      <w:bookmarkEnd w:id="7214"/>
      <w:bookmarkEnd w:id="7215"/>
      <w:bookmarkEnd w:id="7216"/>
      <w:bookmarkEnd w:id="7217"/>
      <w:bookmarkEnd w:id="7218"/>
      <w:bookmarkEnd w:id="7219"/>
      <w:bookmarkEnd w:id="7220"/>
      <w:bookmarkEnd w:id="7221"/>
      <w:bookmarkEnd w:id="7222"/>
      <w:bookmarkEnd w:id="7223"/>
      <w:bookmarkEnd w:id="7224"/>
      <w:bookmarkEnd w:id="7225"/>
      <w:bookmarkEnd w:id="7226"/>
      <w:bookmarkEnd w:id="7227"/>
      <w:bookmarkEnd w:id="7228"/>
      <w:bookmarkEnd w:id="7229"/>
      <w:bookmarkEnd w:id="7230"/>
      <w:bookmarkEnd w:id="7231"/>
      <w:bookmarkEnd w:id="7232"/>
      <w:bookmarkEnd w:id="7233"/>
      <w:bookmarkEnd w:id="7234"/>
      <w:bookmarkEnd w:id="7235"/>
      <w:bookmarkEnd w:id="7236"/>
      <w:bookmarkEnd w:id="7237"/>
      <w:bookmarkEnd w:id="7238"/>
      <w:bookmarkEnd w:id="7239"/>
      <w:bookmarkEnd w:id="7240"/>
      <w:bookmarkEnd w:id="7241"/>
      <w:bookmarkEnd w:id="7242"/>
      <w:bookmarkEnd w:id="7243"/>
      <w:bookmarkEnd w:id="7244"/>
    </w:p>
    <w:p w:rsidR="003852D4" w:rsidRPr="003852D4" w:rsidRDefault="003852D4" w:rsidP="003852D4">
      <w:pPr>
        <w:pStyle w:val="Akapitzlist"/>
        <w:keepNext/>
        <w:numPr>
          <w:ilvl w:val="2"/>
          <w:numId w:val="180"/>
        </w:numPr>
        <w:spacing w:before="120" w:after="60" w:line="240" w:lineRule="auto"/>
        <w:outlineLvl w:val="2"/>
        <w:rPr>
          <w:rFonts w:eastAsia="Times New Roman" w:cs="Calibri"/>
          <w:b/>
          <w:bCs/>
          <w:vanish/>
          <w:color w:val="3366FF"/>
          <w:sz w:val="26"/>
          <w:szCs w:val="26"/>
          <w:lang w:eastAsia="pl-PL"/>
        </w:rPr>
      </w:pPr>
      <w:bookmarkStart w:id="7245" w:name="_Toc467665479"/>
      <w:bookmarkStart w:id="7246" w:name="_Toc467665633"/>
      <w:bookmarkStart w:id="7247" w:name="_Toc467669555"/>
      <w:bookmarkStart w:id="7248" w:name="_Toc467832060"/>
      <w:bookmarkStart w:id="7249" w:name="_Toc467832180"/>
      <w:bookmarkStart w:id="7250" w:name="_Toc467834885"/>
      <w:bookmarkStart w:id="7251" w:name="_Toc467843566"/>
      <w:bookmarkStart w:id="7252" w:name="_Toc467845552"/>
      <w:bookmarkStart w:id="7253" w:name="_Toc467847495"/>
      <w:bookmarkStart w:id="7254" w:name="_Toc467847617"/>
      <w:bookmarkStart w:id="7255" w:name="_Toc467847739"/>
      <w:bookmarkStart w:id="7256" w:name="_Toc467847863"/>
      <w:bookmarkStart w:id="7257" w:name="_Toc467847987"/>
      <w:bookmarkStart w:id="7258" w:name="_Toc467848111"/>
      <w:bookmarkStart w:id="7259" w:name="_Toc467848235"/>
      <w:bookmarkStart w:id="7260" w:name="_Toc467848359"/>
      <w:bookmarkStart w:id="7261" w:name="_Toc467848483"/>
      <w:bookmarkStart w:id="7262" w:name="_Toc468097956"/>
      <w:bookmarkStart w:id="7263" w:name="_Toc468098081"/>
      <w:bookmarkStart w:id="7264" w:name="_Toc468104748"/>
      <w:bookmarkStart w:id="7265" w:name="_Toc468104872"/>
      <w:bookmarkStart w:id="7266" w:name="_Toc468104998"/>
      <w:bookmarkStart w:id="7267" w:name="_Toc468105124"/>
      <w:bookmarkStart w:id="7268" w:name="_Toc468105250"/>
      <w:bookmarkStart w:id="7269" w:name="_Toc468105376"/>
      <w:bookmarkStart w:id="7270" w:name="_Toc468105860"/>
      <w:bookmarkStart w:id="7271" w:name="_Toc468105987"/>
      <w:bookmarkStart w:id="7272" w:name="_Toc468116281"/>
      <w:bookmarkStart w:id="7273" w:name="_Toc468178237"/>
      <w:bookmarkStart w:id="7274" w:name="_Toc468181529"/>
      <w:bookmarkStart w:id="7275" w:name="_Toc468181656"/>
      <w:bookmarkStart w:id="7276" w:name="_Toc468181785"/>
      <w:bookmarkStart w:id="7277" w:name="_Toc468181952"/>
      <w:bookmarkStart w:id="7278" w:name="_Toc468185893"/>
      <w:bookmarkStart w:id="7279" w:name="_Toc468190825"/>
      <w:bookmarkStart w:id="7280" w:name="_Toc468190951"/>
      <w:bookmarkStart w:id="7281" w:name="_Toc468191443"/>
      <w:bookmarkStart w:id="7282" w:name="_Toc468258114"/>
      <w:bookmarkStart w:id="7283" w:name="_Toc468258345"/>
      <w:bookmarkStart w:id="7284" w:name="_Toc468258639"/>
      <w:bookmarkStart w:id="7285" w:name="_Toc468258768"/>
      <w:bookmarkStart w:id="7286" w:name="_Toc468258901"/>
      <w:bookmarkStart w:id="7287" w:name="_Toc468259032"/>
      <w:bookmarkStart w:id="7288" w:name="_Toc468259161"/>
      <w:bookmarkStart w:id="7289" w:name="_Toc468259290"/>
      <w:bookmarkStart w:id="7290" w:name="_Toc468259547"/>
      <w:bookmarkStart w:id="7291" w:name="_Toc468259679"/>
      <w:bookmarkStart w:id="7292" w:name="_Toc468259809"/>
      <w:bookmarkStart w:id="7293" w:name="_Toc468259938"/>
      <w:bookmarkStart w:id="7294" w:name="_Toc468260069"/>
      <w:bookmarkStart w:id="7295" w:name="_Toc468260198"/>
      <w:bookmarkStart w:id="7296" w:name="_Toc468260327"/>
      <w:bookmarkStart w:id="7297" w:name="_Toc468260456"/>
      <w:bookmarkStart w:id="7298" w:name="_Toc468260585"/>
      <w:bookmarkStart w:id="7299" w:name="_Toc468260714"/>
      <w:bookmarkStart w:id="7300" w:name="_Toc468260842"/>
      <w:bookmarkStart w:id="7301" w:name="_Toc468260973"/>
      <w:bookmarkStart w:id="7302" w:name="_Toc468261104"/>
      <w:bookmarkStart w:id="7303" w:name="_Toc468261235"/>
      <w:bookmarkStart w:id="7304" w:name="_Toc468261366"/>
      <w:bookmarkStart w:id="7305" w:name="_Toc468261497"/>
      <w:bookmarkStart w:id="7306" w:name="_Toc468266811"/>
      <w:bookmarkStart w:id="7307" w:name="_Toc468266939"/>
      <w:bookmarkStart w:id="7308" w:name="_Toc468267067"/>
      <w:bookmarkStart w:id="7309" w:name="_Toc468269478"/>
      <w:bookmarkStart w:id="7310" w:name="_Toc468279444"/>
      <w:bookmarkStart w:id="7311" w:name="_Toc468360296"/>
      <w:bookmarkStart w:id="7312" w:name="_Toc468361237"/>
      <w:bookmarkStart w:id="7313" w:name="_Toc468363467"/>
      <w:bookmarkStart w:id="7314" w:name="_Toc468366294"/>
      <w:bookmarkStart w:id="7315" w:name="_Toc468428384"/>
      <w:bookmarkStart w:id="7316" w:name="_Toc468691780"/>
      <w:bookmarkStart w:id="7317" w:name="_Toc468691907"/>
      <w:bookmarkStart w:id="7318" w:name="_Toc468692034"/>
      <w:bookmarkStart w:id="7319" w:name="_Toc468693988"/>
      <w:bookmarkStart w:id="7320" w:name="_Toc468712683"/>
      <w:bookmarkStart w:id="7321" w:name="_Toc468712811"/>
      <w:bookmarkStart w:id="7322" w:name="_Toc468712938"/>
      <w:bookmarkStart w:id="7323" w:name="_Toc468713065"/>
      <w:bookmarkStart w:id="7324" w:name="_Toc468713192"/>
      <w:bookmarkStart w:id="7325" w:name="_Toc468713319"/>
      <w:bookmarkStart w:id="7326" w:name="_Toc468713446"/>
      <w:bookmarkStart w:id="7327" w:name="_Toc468713573"/>
      <w:bookmarkStart w:id="7328" w:name="_Toc468713826"/>
      <w:bookmarkStart w:id="7329" w:name="_Toc468713953"/>
      <w:bookmarkStart w:id="7330" w:name="_Toc468714080"/>
      <w:bookmarkStart w:id="7331" w:name="_Toc468787089"/>
      <w:bookmarkStart w:id="7332" w:name="_Toc468787407"/>
      <w:bookmarkStart w:id="7333" w:name="_Toc468787535"/>
      <w:bookmarkStart w:id="7334" w:name="_Toc468787663"/>
      <w:bookmarkStart w:id="7335" w:name="_Toc468787790"/>
      <w:bookmarkStart w:id="7336" w:name="_Toc468787917"/>
      <w:bookmarkStart w:id="7337" w:name="_Toc468788044"/>
      <w:bookmarkStart w:id="7338" w:name="_Toc468957724"/>
      <w:bookmarkStart w:id="7339" w:name="_Toc468957851"/>
      <w:bookmarkStart w:id="7340" w:name="_Toc468957978"/>
      <w:bookmarkStart w:id="7341" w:name="_Toc468958105"/>
      <w:bookmarkStart w:id="7342" w:name="_Toc468958232"/>
      <w:bookmarkStart w:id="7343" w:name="_Toc468958359"/>
      <w:bookmarkStart w:id="7344" w:name="_Toc468958486"/>
      <w:bookmarkStart w:id="7345" w:name="_Toc468958613"/>
      <w:bookmarkStart w:id="7346" w:name="_Toc468958740"/>
      <w:bookmarkStart w:id="7347" w:name="_Toc468958867"/>
      <w:bookmarkStart w:id="7348" w:name="_Toc468958994"/>
      <w:bookmarkStart w:id="7349" w:name="_Toc468959121"/>
      <w:bookmarkStart w:id="7350" w:name="_Toc468960622"/>
      <w:bookmarkStart w:id="7351" w:name="_Toc469035095"/>
      <w:bookmarkStart w:id="7352" w:name="_Toc469056805"/>
      <w:bookmarkStart w:id="7353" w:name="_Toc469321117"/>
      <w:bookmarkStart w:id="7354" w:name="_Toc469323846"/>
      <w:bookmarkStart w:id="7355" w:name="_Toc469323972"/>
      <w:bookmarkStart w:id="7356" w:name="_Toc469324523"/>
      <w:bookmarkStart w:id="7357" w:name="_Toc470695401"/>
      <w:bookmarkStart w:id="7358" w:name="_Toc470695554"/>
      <w:bookmarkStart w:id="7359" w:name="_Toc470697058"/>
      <w:bookmarkStart w:id="7360" w:name="_Toc470699942"/>
      <w:bookmarkStart w:id="7361" w:name="_Toc470762788"/>
      <w:bookmarkStart w:id="7362" w:name="_Toc471114606"/>
      <w:bookmarkStart w:id="7363" w:name="_Toc474393022"/>
      <w:bookmarkStart w:id="7364" w:name="_Toc474497913"/>
      <w:bookmarkStart w:id="7365" w:name="_Toc474498672"/>
      <w:bookmarkStart w:id="7366" w:name="_Toc474844531"/>
      <w:bookmarkStart w:id="7367" w:name="_Toc474844658"/>
      <w:bookmarkStart w:id="7368" w:name="_Toc474919928"/>
      <w:bookmarkStart w:id="7369" w:name="_Toc474924937"/>
      <w:bookmarkEnd w:id="7245"/>
      <w:bookmarkEnd w:id="7246"/>
      <w:bookmarkEnd w:id="7247"/>
      <w:bookmarkEnd w:id="7248"/>
      <w:bookmarkEnd w:id="7249"/>
      <w:bookmarkEnd w:id="7250"/>
      <w:bookmarkEnd w:id="7251"/>
      <w:bookmarkEnd w:id="7252"/>
      <w:bookmarkEnd w:id="7253"/>
      <w:bookmarkEnd w:id="7254"/>
      <w:bookmarkEnd w:id="7255"/>
      <w:bookmarkEnd w:id="7256"/>
      <w:bookmarkEnd w:id="7257"/>
      <w:bookmarkEnd w:id="7258"/>
      <w:bookmarkEnd w:id="7259"/>
      <w:bookmarkEnd w:id="7260"/>
      <w:bookmarkEnd w:id="7261"/>
      <w:bookmarkEnd w:id="7262"/>
      <w:bookmarkEnd w:id="7263"/>
      <w:bookmarkEnd w:id="7264"/>
      <w:bookmarkEnd w:id="7265"/>
      <w:bookmarkEnd w:id="7266"/>
      <w:bookmarkEnd w:id="7267"/>
      <w:bookmarkEnd w:id="7268"/>
      <w:bookmarkEnd w:id="7269"/>
      <w:bookmarkEnd w:id="7270"/>
      <w:bookmarkEnd w:id="7271"/>
      <w:bookmarkEnd w:id="7272"/>
      <w:bookmarkEnd w:id="7273"/>
      <w:bookmarkEnd w:id="7274"/>
      <w:bookmarkEnd w:id="7275"/>
      <w:bookmarkEnd w:id="7276"/>
      <w:bookmarkEnd w:id="7277"/>
      <w:bookmarkEnd w:id="7278"/>
      <w:bookmarkEnd w:id="7279"/>
      <w:bookmarkEnd w:id="7280"/>
      <w:bookmarkEnd w:id="7281"/>
      <w:bookmarkEnd w:id="7282"/>
      <w:bookmarkEnd w:id="7283"/>
      <w:bookmarkEnd w:id="7284"/>
      <w:bookmarkEnd w:id="7285"/>
      <w:bookmarkEnd w:id="7286"/>
      <w:bookmarkEnd w:id="7287"/>
      <w:bookmarkEnd w:id="7288"/>
      <w:bookmarkEnd w:id="7289"/>
      <w:bookmarkEnd w:id="7290"/>
      <w:bookmarkEnd w:id="7291"/>
      <w:bookmarkEnd w:id="7292"/>
      <w:bookmarkEnd w:id="7293"/>
      <w:bookmarkEnd w:id="7294"/>
      <w:bookmarkEnd w:id="7295"/>
      <w:bookmarkEnd w:id="7296"/>
      <w:bookmarkEnd w:id="7297"/>
      <w:bookmarkEnd w:id="7298"/>
      <w:bookmarkEnd w:id="7299"/>
      <w:bookmarkEnd w:id="7300"/>
      <w:bookmarkEnd w:id="7301"/>
      <w:bookmarkEnd w:id="7302"/>
      <w:bookmarkEnd w:id="7303"/>
      <w:bookmarkEnd w:id="7304"/>
      <w:bookmarkEnd w:id="7305"/>
      <w:bookmarkEnd w:id="7306"/>
      <w:bookmarkEnd w:id="7307"/>
      <w:bookmarkEnd w:id="7308"/>
      <w:bookmarkEnd w:id="7309"/>
      <w:bookmarkEnd w:id="7310"/>
      <w:bookmarkEnd w:id="7311"/>
      <w:bookmarkEnd w:id="7312"/>
      <w:bookmarkEnd w:id="7313"/>
      <w:bookmarkEnd w:id="7314"/>
      <w:bookmarkEnd w:id="7315"/>
      <w:bookmarkEnd w:id="7316"/>
      <w:bookmarkEnd w:id="7317"/>
      <w:bookmarkEnd w:id="7318"/>
      <w:bookmarkEnd w:id="7319"/>
      <w:bookmarkEnd w:id="7320"/>
      <w:bookmarkEnd w:id="7321"/>
      <w:bookmarkEnd w:id="7322"/>
      <w:bookmarkEnd w:id="7323"/>
      <w:bookmarkEnd w:id="7324"/>
      <w:bookmarkEnd w:id="7325"/>
      <w:bookmarkEnd w:id="7326"/>
      <w:bookmarkEnd w:id="7327"/>
      <w:bookmarkEnd w:id="7328"/>
      <w:bookmarkEnd w:id="7329"/>
      <w:bookmarkEnd w:id="7330"/>
      <w:bookmarkEnd w:id="7331"/>
      <w:bookmarkEnd w:id="7332"/>
      <w:bookmarkEnd w:id="7333"/>
      <w:bookmarkEnd w:id="7334"/>
      <w:bookmarkEnd w:id="7335"/>
      <w:bookmarkEnd w:id="7336"/>
      <w:bookmarkEnd w:id="7337"/>
      <w:bookmarkEnd w:id="7338"/>
      <w:bookmarkEnd w:id="7339"/>
      <w:bookmarkEnd w:id="7340"/>
      <w:bookmarkEnd w:id="7341"/>
      <w:bookmarkEnd w:id="7342"/>
      <w:bookmarkEnd w:id="7343"/>
      <w:bookmarkEnd w:id="7344"/>
      <w:bookmarkEnd w:id="7345"/>
      <w:bookmarkEnd w:id="7346"/>
      <w:bookmarkEnd w:id="7347"/>
      <w:bookmarkEnd w:id="7348"/>
      <w:bookmarkEnd w:id="7349"/>
      <w:bookmarkEnd w:id="7350"/>
      <w:bookmarkEnd w:id="7351"/>
      <w:bookmarkEnd w:id="7352"/>
      <w:bookmarkEnd w:id="7353"/>
      <w:bookmarkEnd w:id="7354"/>
      <w:bookmarkEnd w:id="7355"/>
      <w:bookmarkEnd w:id="7356"/>
      <w:bookmarkEnd w:id="7357"/>
      <w:bookmarkEnd w:id="7358"/>
      <w:bookmarkEnd w:id="7359"/>
      <w:bookmarkEnd w:id="7360"/>
      <w:bookmarkEnd w:id="7361"/>
      <w:bookmarkEnd w:id="7362"/>
      <w:bookmarkEnd w:id="7363"/>
      <w:bookmarkEnd w:id="7364"/>
      <w:bookmarkEnd w:id="7365"/>
      <w:bookmarkEnd w:id="7366"/>
      <w:bookmarkEnd w:id="7367"/>
      <w:bookmarkEnd w:id="7368"/>
      <w:bookmarkEnd w:id="7369"/>
    </w:p>
    <w:p w:rsidR="003852D4" w:rsidRPr="003852D4" w:rsidRDefault="003852D4" w:rsidP="003852D4">
      <w:pPr>
        <w:pStyle w:val="Akapitzlist"/>
        <w:keepNext/>
        <w:numPr>
          <w:ilvl w:val="2"/>
          <w:numId w:val="180"/>
        </w:numPr>
        <w:spacing w:before="120" w:after="60" w:line="240" w:lineRule="auto"/>
        <w:outlineLvl w:val="2"/>
        <w:rPr>
          <w:rFonts w:eastAsia="Times New Roman" w:cs="Calibri"/>
          <w:b/>
          <w:bCs/>
          <w:vanish/>
          <w:color w:val="3366FF"/>
          <w:sz w:val="26"/>
          <w:szCs w:val="26"/>
          <w:lang w:eastAsia="pl-PL"/>
        </w:rPr>
      </w:pPr>
      <w:bookmarkStart w:id="7370" w:name="_Toc467665480"/>
      <w:bookmarkStart w:id="7371" w:name="_Toc467665634"/>
      <w:bookmarkStart w:id="7372" w:name="_Toc467669556"/>
      <w:bookmarkStart w:id="7373" w:name="_Toc467832061"/>
      <w:bookmarkStart w:id="7374" w:name="_Toc467832181"/>
      <w:bookmarkStart w:id="7375" w:name="_Toc467834886"/>
      <w:bookmarkStart w:id="7376" w:name="_Toc467843567"/>
      <w:bookmarkStart w:id="7377" w:name="_Toc467845553"/>
      <w:bookmarkStart w:id="7378" w:name="_Toc467847496"/>
      <w:bookmarkStart w:id="7379" w:name="_Toc467847618"/>
      <w:bookmarkStart w:id="7380" w:name="_Toc467847740"/>
      <w:bookmarkStart w:id="7381" w:name="_Toc467847864"/>
      <w:bookmarkStart w:id="7382" w:name="_Toc467847988"/>
      <w:bookmarkStart w:id="7383" w:name="_Toc467848112"/>
      <w:bookmarkStart w:id="7384" w:name="_Toc467848236"/>
      <w:bookmarkStart w:id="7385" w:name="_Toc467848360"/>
      <w:bookmarkStart w:id="7386" w:name="_Toc467848484"/>
      <w:bookmarkStart w:id="7387" w:name="_Toc468097957"/>
      <w:bookmarkStart w:id="7388" w:name="_Toc468098082"/>
      <w:bookmarkStart w:id="7389" w:name="_Toc468104749"/>
      <w:bookmarkStart w:id="7390" w:name="_Toc468104873"/>
      <w:bookmarkStart w:id="7391" w:name="_Toc468104999"/>
      <w:bookmarkStart w:id="7392" w:name="_Toc468105125"/>
      <w:bookmarkStart w:id="7393" w:name="_Toc468105251"/>
      <w:bookmarkStart w:id="7394" w:name="_Toc468105377"/>
      <w:bookmarkStart w:id="7395" w:name="_Toc468105861"/>
      <w:bookmarkStart w:id="7396" w:name="_Toc468105988"/>
      <w:bookmarkStart w:id="7397" w:name="_Toc468116282"/>
      <w:bookmarkStart w:id="7398" w:name="_Toc468178238"/>
      <w:bookmarkStart w:id="7399" w:name="_Toc468181530"/>
      <w:bookmarkStart w:id="7400" w:name="_Toc468181657"/>
      <w:bookmarkStart w:id="7401" w:name="_Toc468181786"/>
      <w:bookmarkStart w:id="7402" w:name="_Toc468181953"/>
      <w:bookmarkStart w:id="7403" w:name="_Toc468185894"/>
      <w:bookmarkStart w:id="7404" w:name="_Toc468190826"/>
      <w:bookmarkStart w:id="7405" w:name="_Toc468190952"/>
      <w:bookmarkStart w:id="7406" w:name="_Toc468191444"/>
      <w:bookmarkStart w:id="7407" w:name="_Toc468258115"/>
      <w:bookmarkStart w:id="7408" w:name="_Toc468258346"/>
      <w:bookmarkStart w:id="7409" w:name="_Toc468258640"/>
      <w:bookmarkStart w:id="7410" w:name="_Toc468258769"/>
      <w:bookmarkStart w:id="7411" w:name="_Toc468258902"/>
      <w:bookmarkStart w:id="7412" w:name="_Toc468259033"/>
      <w:bookmarkStart w:id="7413" w:name="_Toc468259162"/>
      <w:bookmarkStart w:id="7414" w:name="_Toc468259291"/>
      <w:bookmarkStart w:id="7415" w:name="_Toc468259548"/>
      <w:bookmarkStart w:id="7416" w:name="_Toc468259680"/>
      <w:bookmarkStart w:id="7417" w:name="_Toc468259810"/>
      <w:bookmarkStart w:id="7418" w:name="_Toc468259939"/>
      <w:bookmarkStart w:id="7419" w:name="_Toc468260070"/>
      <w:bookmarkStart w:id="7420" w:name="_Toc468260199"/>
      <w:bookmarkStart w:id="7421" w:name="_Toc468260328"/>
      <w:bookmarkStart w:id="7422" w:name="_Toc468260457"/>
      <w:bookmarkStart w:id="7423" w:name="_Toc468260586"/>
      <w:bookmarkStart w:id="7424" w:name="_Toc468260715"/>
      <w:bookmarkStart w:id="7425" w:name="_Toc468260843"/>
      <w:bookmarkStart w:id="7426" w:name="_Toc468260974"/>
      <w:bookmarkStart w:id="7427" w:name="_Toc468261105"/>
      <w:bookmarkStart w:id="7428" w:name="_Toc468261236"/>
      <w:bookmarkStart w:id="7429" w:name="_Toc468261367"/>
      <w:bookmarkStart w:id="7430" w:name="_Toc468261498"/>
      <w:bookmarkStart w:id="7431" w:name="_Toc468266812"/>
      <w:bookmarkStart w:id="7432" w:name="_Toc468266940"/>
      <w:bookmarkStart w:id="7433" w:name="_Toc468267068"/>
      <w:bookmarkStart w:id="7434" w:name="_Toc468269479"/>
      <w:bookmarkStart w:id="7435" w:name="_Toc468279445"/>
      <w:bookmarkStart w:id="7436" w:name="_Toc468360297"/>
      <w:bookmarkStart w:id="7437" w:name="_Toc468361238"/>
      <w:bookmarkStart w:id="7438" w:name="_Toc468363468"/>
      <w:bookmarkStart w:id="7439" w:name="_Toc468366295"/>
      <w:bookmarkStart w:id="7440" w:name="_Toc468428385"/>
      <w:bookmarkStart w:id="7441" w:name="_Toc468691781"/>
      <w:bookmarkStart w:id="7442" w:name="_Toc468691908"/>
      <w:bookmarkStart w:id="7443" w:name="_Toc468692035"/>
      <w:bookmarkStart w:id="7444" w:name="_Toc468693989"/>
      <w:bookmarkStart w:id="7445" w:name="_Toc468712684"/>
      <w:bookmarkStart w:id="7446" w:name="_Toc468712812"/>
      <w:bookmarkStart w:id="7447" w:name="_Toc468712939"/>
      <w:bookmarkStart w:id="7448" w:name="_Toc468713066"/>
      <w:bookmarkStart w:id="7449" w:name="_Toc468713193"/>
      <w:bookmarkStart w:id="7450" w:name="_Toc468713320"/>
      <w:bookmarkStart w:id="7451" w:name="_Toc468713447"/>
      <w:bookmarkStart w:id="7452" w:name="_Toc468713574"/>
      <w:bookmarkStart w:id="7453" w:name="_Toc468713827"/>
      <w:bookmarkStart w:id="7454" w:name="_Toc468713954"/>
      <w:bookmarkStart w:id="7455" w:name="_Toc468714081"/>
      <w:bookmarkStart w:id="7456" w:name="_Toc468787090"/>
      <w:bookmarkStart w:id="7457" w:name="_Toc468787408"/>
      <w:bookmarkStart w:id="7458" w:name="_Toc468787536"/>
      <w:bookmarkStart w:id="7459" w:name="_Toc468787664"/>
      <w:bookmarkStart w:id="7460" w:name="_Toc468787791"/>
      <w:bookmarkStart w:id="7461" w:name="_Toc468787918"/>
      <w:bookmarkStart w:id="7462" w:name="_Toc468788045"/>
      <w:bookmarkStart w:id="7463" w:name="_Toc468957725"/>
      <w:bookmarkStart w:id="7464" w:name="_Toc468957852"/>
      <w:bookmarkStart w:id="7465" w:name="_Toc468957979"/>
      <w:bookmarkStart w:id="7466" w:name="_Toc468958106"/>
      <w:bookmarkStart w:id="7467" w:name="_Toc468958233"/>
      <w:bookmarkStart w:id="7468" w:name="_Toc468958360"/>
      <w:bookmarkStart w:id="7469" w:name="_Toc468958487"/>
      <w:bookmarkStart w:id="7470" w:name="_Toc468958614"/>
      <w:bookmarkStart w:id="7471" w:name="_Toc468958741"/>
      <w:bookmarkStart w:id="7472" w:name="_Toc468958868"/>
      <w:bookmarkStart w:id="7473" w:name="_Toc468958995"/>
      <w:bookmarkStart w:id="7474" w:name="_Toc468959122"/>
      <w:bookmarkStart w:id="7475" w:name="_Toc468960623"/>
      <w:bookmarkStart w:id="7476" w:name="_Toc469035096"/>
      <w:bookmarkStart w:id="7477" w:name="_Toc469056806"/>
      <w:bookmarkStart w:id="7478" w:name="_Toc469321118"/>
      <w:bookmarkStart w:id="7479" w:name="_Toc469323847"/>
      <w:bookmarkStart w:id="7480" w:name="_Toc469323973"/>
      <w:bookmarkStart w:id="7481" w:name="_Toc469324524"/>
      <w:bookmarkStart w:id="7482" w:name="_Toc470695402"/>
      <w:bookmarkStart w:id="7483" w:name="_Toc470695555"/>
      <w:bookmarkStart w:id="7484" w:name="_Toc470697059"/>
      <w:bookmarkStart w:id="7485" w:name="_Toc470699943"/>
      <w:bookmarkStart w:id="7486" w:name="_Toc470762789"/>
      <w:bookmarkStart w:id="7487" w:name="_Toc471114607"/>
      <w:bookmarkStart w:id="7488" w:name="_Toc474393023"/>
      <w:bookmarkStart w:id="7489" w:name="_Toc474497914"/>
      <w:bookmarkStart w:id="7490" w:name="_Toc474498673"/>
      <w:bookmarkStart w:id="7491" w:name="_Toc474844532"/>
      <w:bookmarkStart w:id="7492" w:name="_Toc474844659"/>
      <w:bookmarkStart w:id="7493" w:name="_Toc474919929"/>
      <w:bookmarkStart w:id="7494" w:name="_Toc474924938"/>
      <w:bookmarkEnd w:id="7370"/>
      <w:bookmarkEnd w:id="7371"/>
      <w:bookmarkEnd w:id="7372"/>
      <w:bookmarkEnd w:id="7373"/>
      <w:bookmarkEnd w:id="7374"/>
      <w:bookmarkEnd w:id="7375"/>
      <w:bookmarkEnd w:id="7376"/>
      <w:bookmarkEnd w:id="7377"/>
      <w:bookmarkEnd w:id="7378"/>
      <w:bookmarkEnd w:id="7379"/>
      <w:bookmarkEnd w:id="7380"/>
      <w:bookmarkEnd w:id="7381"/>
      <w:bookmarkEnd w:id="7382"/>
      <w:bookmarkEnd w:id="7383"/>
      <w:bookmarkEnd w:id="7384"/>
      <w:bookmarkEnd w:id="7385"/>
      <w:bookmarkEnd w:id="7386"/>
      <w:bookmarkEnd w:id="7387"/>
      <w:bookmarkEnd w:id="7388"/>
      <w:bookmarkEnd w:id="7389"/>
      <w:bookmarkEnd w:id="7390"/>
      <w:bookmarkEnd w:id="7391"/>
      <w:bookmarkEnd w:id="7392"/>
      <w:bookmarkEnd w:id="7393"/>
      <w:bookmarkEnd w:id="7394"/>
      <w:bookmarkEnd w:id="7395"/>
      <w:bookmarkEnd w:id="7396"/>
      <w:bookmarkEnd w:id="7397"/>
      <w:bookmarkEnd w:id="7398"/>
      <w:bookmarkEnd w:id="7399"/>
      <w:bookmarkEnd w:id="7400"/>
      <w:bookmarkEnd w:id="7401"/>
      <w:bookmarkEnd w:id="7402"/>
      <w:bookmarkEnd w:id="7403"/>
      <w:bookmarkEnd w:id="7404"/>
      <w:bookmarkEnd w:id="7405"/>
      <w:bookmarkEnd w:id="7406"/>
      <w:bookmarkEnd w:id="7407"/>
      <w:bookmarkEnd w:id="7408"/>
      <w:bookmarkEnd w:id="7409"/>
      <w:bookmarkEnd w:id="7410"/>
      <w:bookmarkEnd w:id="7411"/>
      <w:bookmarkEnd w:id="7412"/>
      <w:bookmarkEnd w:id="7413"/>
      <w:bookmarkEnd w:id="7414"/>
      <w:bookmarkEnd w:id="7415"/>
      <w:bookmarkEnd w:id="7416"/>
      <w:bookmarkEnd w:id="7417"/>
      <w:bookmarkEnd w:id="7418"/>
      <w:bookmarkEnd w:id="7419"/>
      <w:bookmarkEnd w:id="7420"/>
      <w:bookmarkEnd w:id="7421"/>
      <w:bookmarkEnd w:id="7422"/>
      <w:bookmarkEnd w:id="7423"/>
      <w:bookmarkEnd w:id="7424"/>
      <w:bookmarkEnd w:id="7425"/>
      <w:bookmarkEnd w:id="7426"/>
      <w:bookmarkEnd w:id="7427"/>
      <w:bookmarkEnd w:id="7428"/>
      <w:bookmarkEnd w:id="7429"/>
      <w:bookmarkEnd w:id="7430"/>
      <w:bookmarkEnd w:id="7431"/>
      <w:bookmarkEnd w:id="7432"/>
      <w:bookmarkEnd w:id="7433"/>
      <w:bookmarkEnd w:id="7434"/>
      <w:bookmarkEnd w:id="7435"/>
      <w:bookmarkEnd w:id="7436"/>
      <w:bookmarkEnd w:id="7437"/>
      <w:bookmarkEnd w:id="7438"/>
      <w:bookmarkEnd w:id="7439"/>
      <w:bookmarkEnd w:id="7440"/>
      <w:bookmarkEnd w:id="7441"/>
      <w:bookmarkEnd w:id="7442"/>
      <w:bookmarkEnd w:id="7443"/>
      <w:bookmarkEnd w:id="7444"/>
      <w:bookmarkEnd w:id="7445"/>
      <w:bookmarkEnd w:id="7446"/>
      <w:bookmarkEnd w:id="7447"/>
      <w:bookmarkEnd w:id="7448"/>
      <w:bookmarkEnd w:id="7449"/>
      <w:bookmarkEnd w:id="7450"/>
      <w:bookmarkEnd w:id="7451"/>
      <w:bookmarkEnd w:id="7452"/>
      <w:bookmarkEnd w:id="7453"/>
      <w:bookmarkEnd w:id="7454"/>
      <w:bookmarkEnd w:id="7455"/>
      <w:bookmarkEnd w:id="7456"/>
      <w:bookmarkEnd w:id="7457"/>
      <w:bookmarkEnd w:id="7458"/>
      <w:bookmarkEnd w:id="7459"/>
      <w:bookmarkEnd w:id="7460"/>
      <w:bookmarkEnd w:id="7461"/>
      <w:bookmarkEnd w:id="7462"/>
      <w:bookmarkEnd w:id="7463"/>
      <w:bookmarkEnd w:id="7464"/>
      <w:bookmarkEnd w:id="7465"/>
      <w:bookmarkEnd w:id="7466"/>
      <w:bookmarkEnd w:id="7467"/>
      <w:bookmarkEnd w:id="7468"/>
      <w:bookmarkEnd w:id="7469"/>
      <w:bookmarkEnd w:id="7470"/>
      <w:bookmarkEnd w:id="7471"/>
      <w:bookmarkEnd w:id="7472"/>
      <w:bookmarkEnd w:id="7473"/>
      <w:bookmarkEnd w:id="7474"/>
      <w:bookmarkEnd w:id="7475"/>
      <w:bookmarkEnd w:id="7476"/>
      <w:bookmarkEnd w:id="7477"/>
      <w:bookmarkEnd w:id="7478"/>
      <w:bookmarkEnd w:id="7479"/>
      <w:bookmarkEnd w:id="7480"/>
      <w:bookmarkEnd w:id="7481"/>
      <w:bookmarkEnd w:id="7482"/>
      <w:bookmarkEnd w:id="7483"/>
      <w:bookmarkEnd w:id="7484"/>
      <w:bookmarkEnd w:id="7485"/>
      <w:bookmarkEnd w:id="7486"/>
      <w:bookmarkEnd w:id="7487"/>
      <w:bookmarkEnd w:id="7488"/>
      <w:bookmarkEnd w:id="7489"/>
      <w:bookmarkEnd w:id="7490"/>
      <w:bookmarkEnd w:id="7491"/>
      <w:bookmarkEnd w:id="7492"/>
      <w:bookmarkEnd w:id="7493"/>
      <w:bookmarkEnd w:id="7494"/>
    </w:p>
    <w:p w:rsidR="003852D4" w:rsidRPr="003852D4" w:rsidRDefault="003852D4" w:rsidP="003852D4">
      <w:pPr>
        <w:pStyle w:val="Akapitzlist"/>
        <w:keepNext/>
        <w:numPr>
          <w:ilvl w:val="2"/>
          <w:numId w:val="180"/>
        </w:numPr>
        <w:spacing w:before="120" w:after="60" w:line="240" w:lineRule="auto"/>
        <w:outlineLvl w:val="2"/>
        <w:rPr>
          <w:rFonts w:eastAsia="Times New Roman" w:cs="Calibri"/>
          <w:b/>
          <w:bCs/>
          <w:vanish/>
          <w:color w:val="3366FF"/>
          <w:sz w:val="26"/>
          <w:szCs w:val="26"/>
          <w:lang w:eastAsia="pl-PL"/>
        </w:rPr>
      </w:pPr>
      <w:bookmarkStart w:id="7495" w:name="_Toc467665481"/>
      <w:bookmarkStart w:id="7496" w:name="_Toc467665635"/>
      <w:bookmarkStart w:id="7497" w:name="_Toc467669557"/>
      <w:bookmarkStart w:id="7498" w:name="_Toc467832062"/>
      <w:bookmarkStart w:id="7499" w:name="_Toc467832182"/>
      <w:bookmarkStart w:id="7500" w:name="_Toc467834887"/>
      <w:bookmarkStart w:id="7501" w:name="_Toc467843568"/>
      <w:bookmarkStart w:id="7502" w:name="_Toc467845554"/>
      <w:bookmarkStart w:id="7503" w:name="_Toc467847497"/>
      <w:bookmarkStart w:id="7504" w:name="_Toc467847619"/>
      <w:bookmarkStart w:id="7505" w:name="_Toc467847741"/>
      <w:bookmarkStart w:id="7506" w:name="_Toc467847865"/>
      <w:bookmarkStart w:id="7507" w:name="_Toc467847989"/>
      <w:bookmarkStart w:id="7508" w:name="_Toc467848113"/>
      <w:bookmarkStart w:id="7509" w:name="_Toc467848237"/>
      <w:bookmarkStart w:id="7510" w:name="_Toc467848361"/>
      <w:bookmarkStart w:id="7511" w:name="_Toc467848485"/>
      <w:bookmarkStart w:id="7512" w:name="_Toc468097958"/>
      <w:bookmarkStart w:id="7513" w:name="_Toc468098083"/>
      <w:bookmarkStart w:id="7514" w:name="_Toc468104750"/>
      <w:bookmarkStart w:id="7515" w:name="_Toc468104874"/>
      <w:bookmarkStart w:id="7516" w:name="_Toc468105000"/>
      <w:bookmarkStart w:id="7517" w:name="_Toc468105126"/>
      <w:bookmarkStart w:id="7518" w:name="_Toc468105252"/>
      <w:bookmarkStart w:id="7519" w:name="_Toc468105378"/>
      <w:bookmarkStart w:id="7520" w:name="_Toc468105862"/>
      <w:bookmarkStart w:id="7521" w:name="_Toc468105989"/>
      <w:bookmarkStart w:id="7522" w:name="_Toc468116283"/>
      <w:bookmarkStart w:id="7523" w:name="_Toc468178239"/>
      <w:bookmarkStart w:id="7524" w:name="_Toc468181531"/>
      <w:bookmarkStart w:id="7525" w:name="_Toc468181658"/>
      <w:bookmarkStart w:id="7526" w:name="_Toc468181787"/>
      <w:bookmarkStart w:id="7527" w:name="_Toc468181954"/>
      <w:bookmarkStart w:id="7528" w:name="_Toc468185895"/>
      <w:bookmarkStart w:id="7529" w:name="_Toc468190827"/>
      <w:bookmarkStart w:id="7530" w:name="_Toc468190953"/>
      <w:bookmarkStart w:id="7531" w:name="_Toc468191445"/>
      <w:bookmarkStart w:id="7532" w:name="_Toc468258116"/>
      <w:bookmarkStart w:id="7533" w:name="_Toc468258347"/>
      <w:bookmarkStart w:id="7534" w:name="_Toc468258641"/>
      <w:bookmarkStart w:id="7535" w:name="_Toc468258770"/>
      <w:bookmarkStart w:id="7536" w:name="_Toc468258903"/>
      <w:bookmarkStart w:id="7537" w:name="_Toc468259034"/>
      <w:bookmarkStart w:id="7538" w:name="_Toc468259163"/>
      <w:bookmarkStart w:id="7539" w:name="_Toc468259292"/>
      <w:bookmarkStart w:id="7540" w:name="_Toc468259549"/>
      <w:bookmarkStart w:id="7541" w:name="_Toc468259681"/>
      <w:bookmarkStart w:id="7542" w:name="_Toc468259811"/>
      <w:bookmarkStart w:id="7543" w:name="_Toc468259940"/>
      <w:bookmarkStart w:id="7544" w:name="_Toc468260071"/>
      <w:bookmarkStart w:id="7545" w:name="_Toc468260200"/>
      <w:bookmarkStart w:id="7546" w:name="_Toc468260329"/>
      <w:bookmarkStart w:id="7547" w:name="_Toc468260458"/>
      <w:bookmarkStart w:id="7548" w:name="_Toc468260587"/>
      <w:bookmarkStart w:id="7549" w:name="_Toc468260716"/>
      <w:bookmarkStart w:id="7550" w:name="_Toc468260844"/>
      <w:bookmarkStart w:id="7551" w:name="_Toc468260975"/>
      <w:bookmarkStart w:id="7552" w:name="_Toc468261106"/>
      <w:bookmarkStart w:id="7553" w:name="_Toc468261237"/>
      <w:bookmarkStart w:id="7554" w:name="_Toc468261368"/>
      <w:bookmarkStart w:id="7555" w:name="_Toc468261499"/>
      <w:bookmarkStart w:id="7556" w:name="_Toc468266813"/>
      <w:bookmarkStart w:id="7557" w:name="_Toc468266941"/>
      <w:bookmarkStart w:id="7558" w:name="_Toc468267069"/>
      <w:bookmarkStart w:id="7559" w:name="_Toc468269480"/>
      <w:bookmarkStart w:id="7560" w:name="_Toc468279446"/>
      <w:bookmarkStart w:id="7561" w:name="_Toc468360298"/>
      <w:bookmarkStart w:id="7562" w:name="_Toc468361239"/>
      <w:bookmarkStart w:id="7563" w:name="_Toc468363469"/>
      <w:bookmarkStart w:id="7564" w:name="_Toc468366296"/>
      <w:bookmarkStart w:id="7565" w:name="_Toc468428386"/>
      <w:bookmarkStart w:id="7566" w:name="_Toc468691782"/>
      <w:bookmarkStart w:id="7567" w:name="_Toc468691909"/>
      <w:bookmarkStart w:id="7568" w:name="_Toc468692036"/>
      <w:bookmarkStart w:id="7569" w:name="_Toc468693990"/>
      <w:bookmarkStart w:id="7570" w:name="_Toc468712685"/>
      <w:bookmarkStart w:id="7571" w:name="_Toc468712813"/>
      <w:bookmarkStart w:id="7572" w:name="_Toc468712940"/>
      <w:bookmarkStart w:id="7573" w:name="_Toc468713067"/>
      <w:bookmarkStart w:id="7574" w:name="_Toc468713194"/>
      <w:bookmarkStart w:id="7575" w:name="_Toc468713321"/>
      <w:bookmarkStart w:id="7576" w:name="_Toc468713448"/>
      <w:bookmarkStart w:id="7577" w:name="_Toc468713575"/>
      <w:bookmarkStart w:id="7578" w:name="_Toc468713828"/>
      <w:bookmarkStart w:id="7579" w:name="_Toc468713955"/>
      <w:bookmarkStart w:id="7580" w:name="_Toc468714082"/>
      <w:bookmarkStart w:id="7581" w:name="_Toc468787091"/>
      <w:bookmarkStart w:id="7582" w:name="_Toc468787409"/>
      <w:bookmarkStart w:id="7583" w:name="_Toc468787537"/>
      <w:bookmarkStart w:id="7584" w:name="_Toc468787665"/>
      <w:bookmarkStart w:id="7585" w:name="_Toc468787792"/>
      <w:bookmarkStart w:id="7586" w:name="_Toc468787919"/>
      <w:bookmarkStart w:id="7587" w:name="_Toc468788046"/>
      <w:bookmarkStart w:id="7588" w:name="_Toc468957726"/>
      <w:bookmarkStart w:id="7589" w:name="_Toc468957853"/>
      <w:bookmarkStart w:id="7590" w:name="_Toc468957980"/>
      <w:bookmarkStart w:id="7591" w:name="_Toc468958107"/>
      <w:bookmarkStart w:id="7592" w:name="_Toc468958234"/>
      <w:bookmarkStart w:id="7593" w:name="_Toc468958361"/>
      <w:bookmarkStart w:id="7594" w:name="_Toc468958488"/>
      <w:bookmarkStart w:id="7595" w:name="_Toc468958615"/>
      <w:bookmarkStart w:id="7596" w:name="_Toc468958742"/>
      <w:bookmarkStart w:id="7597" w:name="_Toc468958869"/>
      <w:bookmarkStart w:id="7598" w:name="_Toc468958996"/>
      <w:bookmarkStart w:id="7599" w:name="_Toc468959123"/>
      <w:bookmarkStart w:id="7600" w:name="_Toc468960624"/>
      <w:bookmarkStart w:id="7601" w:name="_Toc469035097"/>
      <w:bookmarkStart w:id="7602" w:name="_Toc469056807"/>
      <w:bookmarkStart w:id="7603" w:name="_Toc469321119"/>
      <w:bookmarkStart w:id="7604" w:name="_Toc469323848"/>
      <w:bookmarkStart w:id="7605" w:name="_Toc469323974"/>
      <w:bookmarkStart w:id="7606" w:name="_Toc469324525"/>
      <w:bookmarkStart w:id="7607" w:name="_Toc470695403"/>
      <w:bookmarkStart w:id="7608" w:name="_Toc470695556"/>
      <w:bookmarkStart w:id="7609" w:name="_Toc470697060"/>
      <w:bookmarkStart w:id="7610" w:name="_Toc470699944"/>
      <w:bookmarkStart w:id="7611" w:name="_Toc470762790"/>
      <w:bookmarkStart w:id="7612" w:name="_Toc471114608"/>
      <w:bookmarkStart w:id="7613" w:name="_Toc474393024"/>
      <w:bookmarkStart w:id="7614" w:name="_Toc474497915"/>
      <w:bookmarkStart w:id="7615" w:name="_Toc474498674"/>
      <w:bookmarkStart w:id="7616" w:name="_Toc474844533"/>
      <w:bookmarkStart w:id="7617" w:name="_Toc474844660"/>
      <w:bookmarkStart w:id="7618" w:name="_Toc474919930"/>
      <w:bookmarkStart w:id="7619" w:name="_Toc474924939"/>
      <w:bookmarkEnd w:id="7495"/>
      <w:bookmarkEnd w:id="7496"/>
      <w:bookmarkEnd w:id="7497"/>
      <w:bookmarkEnd w:id="7498"/>
      <w:bookmarkEnd w:id="7499"/>
      <w:bookmarkEnd w:id="7500"/>
      <w:bookmarkEnd w:id="7501"/>
      <w:bookmarkEnd w:id="7502"/>
      <w:bookmarkEnd w:id="7503"/>
      <w:bookmarkEnd w:id="7504"/>
      <w:bookmarkEnd w:id="7505"/>
      <w:bookmarkEnd w:id="7506"/>
      <w:bookmarkEnd w:id="7507"/>
      <w:bookmarkEnd w:id="7508"/>
      <w:bookmarkEnd w:id="7509"/>
      <w:bookmarkEnd w:id="7510"/>
      <w:bookmarkEnd w:id="7511"/>
      <w:bookmarkEnd w:id="7512"/>
      <w:bookmarkEnd w:id="7513"/>
      <w:bookmarkEnd w:id="7514"/>
      <w:bookmarkEnd w:id="7515"/>
      <w:bookmarkEnd w:id="7516"/>
      <w:bookmarkEnd w:id="7517"/>
      <w:bookmarkEnd w:id="7518"/>
      <w:bookmarkEnd w:id="7519"/>
      <w:bookmarkEnd w:id="7520"/>
      <w:bookmarkEnd w:id="7521"/>
      <w:bookmarkEnd w:id="7522"/>
      <w:bookmarkEnd w:id="7523"/>
      <w:bookmarkEnd w:id="7524"/>
      <w:bookmarkEnd w:id="7525"/>
      <w:bookmarkEnd w:id="7526"/>
      <w:bookmarkEnd w:id="7527"/>
      <w:bookmarkEnd w:id="7528"/>
      <w:bookmarkEnd w:id="7529"/>
      <w:bookmarkEnd w:id="7530"/>
      <w:bookmarkEnd w:id="7531"/>
      <w:bookmarkEnd w:id="7532"/>
      <w:bookmarkEnd w:id="7533"/>
      <w:bookmarkEnd w:id="7534"/>
      <w:bookmarkEnd w:id="7535"/>
      <w:bookmarkEnd w:id="7536"/>
      <w:bookmarkEnd w:id="7537"/>
      <w:bookmarkEnd w:id="7538"/>
      <w:bookmarkEnd w:id="7539"/>
      <w:bookmarkEnd w:id="7540"/>
      <w:bookmarkEnd w:id="7541"/>
      <w:bookmarkEnd w:id="7542"/>
      <w:bookmarkEnd w:id="7543"/>
      <w:bookmarkEnd w:id="7544"/>
      <w:bookmarkEnd w:id="7545"/>
      <w:bookmarkEnd w:id="7546"/>
      <w:bookmarkEnd w:id="7547"/>
      <w:bookmarkEnd w:id="7548"/>
      <w:bookmarkEnd w:id="7549"/>
      <w:bookmarkEnd w:id="7550"/>
      <w:bookmarkEnd w:id="7551"/>
      <w:bookmarkEnd w:id="7552"/>
      <w:bookmarkEnd w:id="7553"/>
      <w:bookmarkEnd w:id="7554"/>
      <w:bookmarkEnd w:id="7555"/>
      <w:bookmarkEnd w:id="7556"/>
      <w:bookmarkEnd w:id="7557"/>
      <w:bookmarkEnd w:id="7558"/>
      <w:bookmarkEnd w:id="7559"/>
      <w:bookmarkEnd w:id="7560"/>
      <w:bookmarkEnd w:id="7561"/>
      <w:bookmarkEnd w:id="7562"/>
      <w:bookmarkEnd w:id="7563"/>
      <w:bookmarkEnd w:id="7564"/>
      <w:bookmarkEnd w:id="7565"/>
      <w:bookmarkEnd w:id="7566"/>
      <w:bookmarkEnd w:id="7567"/>
      <w:bookmarkEnd w:id="7568"/>
      <w:bookmarkEnd w:id="7569"/>
      <w:bookmarkEnd w:id="7570"/>
      <w:bookmarkEnd w:id="7571"/>
      <w:bookmarkEnd w:id="7572"/>
      <w:bookmarkEnd w:id="7573"/>
      <w:bookmarkEnd w:id="7574"/>
      <w:bookmarkEnd w:id="7575"/>
      <w:bookmarkEnd w:id="7576"/>
      <w:bookmarkEnd w:id="7577"/>
      <w:bookmarkEnd w:id="7578"/>
      <w:bookmarkEnd w:id="7579"/>
      <w:bookmarkEnd w:id="7580"/>
      <w:bookmarkEnd w:id="7581"/>
      <w:bookmarkEnd w:id="7582"/>
      <w:bookmarkEnd w:id="7583"/>
      <w:bookmarkEnd w:id="7584"/>
      <w:bookmarkEnd w:id="7585"/>
      <w:bookmarkEnd w:id="7586"/>
      <w:bookmarkEnd w:id="7587"/>
      <w:bookmarkEnd w:id="7588"/>
      <w:bookmarkEnd w:id="7589"/>
      <w:bookmarkEnd w:id="7590"/>
      <w:bookmarkEnd w:id="7591"/>
      <w:bookmarkEnd w:id="7592"/>
      <w:bookmarkEnd w:id="7593"/>
      <w:bookmarkEnd w:id="7594"/>
      <w:bookmarkEnd w:id="7595"/>
      <w:bookmarkEnd w:id="7596"/>
      <w:bookmarkEnd w:id="7597"/>
      <w:bookmarkEnd w:id="7598"/>
      <w:bookmarkEnd w:id="7599"/>
      <w:bookmarkEnd w:id="7600"/>
      <w:bookmarkEnd w:id="7601"/>
      <w:bookmarkEnd w:id="7602"/>
      <w:bookmarkEnd w:id="7603"/>
      <w:bookmarkEnd w:id="7604"/>
      <w:bookmarkEnd w:id="7605"/>
      <w:bookmarkEnd w:id="7606"/>
      <w:bookmarkEnd w:id="7607"/>
      <w:bookmarkEnd w:id="7608"/>
      <w:bookmarkEnd w:id="7609"/>
      <w:bookmarkEnd w:id="7610"/>
      <w:bookmarkEnd w:id="7611"/>
      <w:bookmarkEnd w:id="7612"/>
      <w:bookmarkEnd w:id="7613"/>
      <w:bookmarkEnd w:id="7614"/>
      <w:bookmarkEnd w:id="7615"/>
      <w:bookmarkEnd w:id="7616"/>
      <w:bookmarkEnd w:id="7617"/>
      <w:bookmarkEnd w:id="7618"/>
      <w:bookmarkEnd w:id="7619"/>
    </w:p>
    <w:p w:rsidR="003852D4" w:rsidRPr="003852D4" w:rsidRDefault="003852D4" w:rsidP="003852D4">
      <w:pPr>
        <w:pStyle w:val="Akapitzlist"/>
        <w:keepNext/>
        <w:numPr>
          <w:ilvl w:val="2"/>
          <w:numId w:val="180"/>
        </w:numPr>
        <w:spacing w:before="120" w:after="60" w:line="240" w:lineRule="auto"/>
        <w:outlineLvl w:val="2"/>
        <w:rPr>
          <w:rFonts w:eastAsia="Times New Roman" w:cs="Calibri"/>
          <w:b/>
          <w:bCs/>
          <w:vanish/>
          <w:color w:val="3366FF"/>
          <w:sz w:val="26"/>
          <w:szCs w:val="26"/>
          <w:lang w:eastAsia="pl-PL"/>
        </w:rPr>
      </w:pPr>
      <w:bookmarkStart w:id="7620" w:name="_Toc467665482"/>
      <w:bookmarkStart w:id="7621" w:name="_Toc467665636"/>
      <w:bookmarkStart w:id="7622" w:name="_Toc467669558"/>
      <w:bookmarkStart w:id="7623" w:name="_Toc467832063"/>
      <w:bookmarkStart w:id="7624" w:name="_Toc467832183"/>
      <w:bookmarkStart w:id="7625" w:name="_Toc467834888"/>
      <w:bookmarkStart w:id="7626" w:name="_Toc467843569"/>
      <w:bookmarkStart w:id="7627" w:name="_Toc467845555"/>
      <w:bookmarkStart w:id="7628" w:name="_Toc467847498"/>
      <w:bookmarkStart w:id="7629" w:name="_Toc467847620"/>
      <w:bookmarkStart w:id="7630" w:name="_Toc467847742"/>
      <w:bookmarkStart w:id="7631" w:name="_Toc467847866"/>
      <w:bookmarkStart w:id="7632" w:name="_Toc467847990"/>
      <w:bookmarkStart w:id="7633" w:name="_Toc467848114"/>
      <w:bookmarkStart w:id="7634" w:name="_Toc467848238"/>
      <w:bookmarkStart w:id="7635" w:name="_Toc467848362"/>
      <w:bookmarkStart w:id="7636" w:name="_Toc467848486"/>
      <w:bookmarkStart w:id="7637" w:name="_Toc468097959"/>
      <w:bookmarkStart w:id="7638" w:name="_Toc468098084"/>
      <w:bookmarkStart w:id="7639" w:name="_Toc468104751"/>
      <w:bookmarkStart w:id="7640" w:name="_Toc468104875"/>
      <w:bookmarkStart w:id="7641" w:name="_Toc468105001"/>
      <w:bookmarkStart w:id="7642" w:name="_Toc468105127"/>
      <w:bookmarkStart w:id="7643" w:name="_Toc468105253"/>
      <w:bookmarkStart w:id="7644" w:name="_Toc468105379"/>
      <w:bookmarkStart w:id="7645" w:name="_Toc468105863"/>
      <w:bookmarkStart w:id="7646" w:name="_Toc468105990"/>
      <w:bookmarkStart w:id="7647" w:name="_Toc468116284"/>
      <w:bookmarkStart w:id="7648" w:name="_Toc468178240"/>
      <w:bookmarkStart w:id="7649" w:name="_Toc468181532"/>
      <w:bookmarkStart w:id="7650" w:name="_Toc468181659"/>
      <w:bookmarkStart w:id="7651" w:name="_Toc468181788"/>
      <w:bookmarkStart w:id="7652" w:name="_Toc468181955"/>
      <w:bookmarkStart w:id="7653" w:name="_Toc468185896"/>
      <w:bookmarkStart w:id="7654" w:name="_Toc468190828"/>
      <w:bookmarkStart w:id="7655" w:name="_Toc468190954"/>
      <w:bookmarkStart w:id="7656" w:name="_Toc468191446"/>
      <w:bookmarkStart w:id="7657" w:name="_Toc468258117"/>
      <w:bookmarkStart w:id="7658" w:name="_Toc468258348"/>
      <w:bookmarkStart w:id="7659" w:name="_Toc468258642"/>
      <w:bookmarkStart w:id="7660" w:name="_Toc468258771"/>
      <w:bookmarkStart w:id="7661" w:name="_Toc468258904"/>
      <w:bookmarkStart w:id="7662" w:name="_Toc468259035"/>
      <w:bookmarkStart w:id="7663" w:name="_Toc468259164"/>
      <w:bookmarkStart w:id="7664" w:name="_Toc468259293"/>
      <w:bookmarkStart w:id="7665" w:name="_Toc468259550"/>
      <w:bookmarkStart w:id="7666" w:name="_Toc468259682"/>
      <w:bookmarkStart w:id="7667" w:name="_Toc468259812"/>
      <w:bookmarkStart w:id="7668" w:name="_Toc468259941"/>
      <w:bookmarkStart w:id="7669" w:name="_Toc468260072"/>
      <w:bookmarkStart w:id="7670" w:name="_Toc468260201"/>
      <w:bookmarkStart w:id="7671" w:name="_Toc468260330"/>
      <w:bookmarkStart w:id="7672" w:name="_Toc468260459"/>
      <w:bookmarkStart w:id="7673" w:name="_Toc468260588"/>
      <w:bookmarkStart w:id="7674" w:name="_Toc468260717"/>
      <w:bookmarkStart w:id="7675" w:name="_Toc468260845"/>
      <w:bookmarkStart w:id="7676" w:name="_Toc468260976"/>
      <w:bookmarkStart w:id="7677" w:name="_Toc468261107"/>
      <w:bookmarkStart w:id="7678" w:name="_Toc468261238"/>
      <w:bookmarkStart w:id="7679" w:name="_Toc468261369"/>
      <w:bookmarkStart w:id="7680" w:name="_Toc468261500"/>
      <w:bookmarkStart w:id="7681" w:name="_Toc468266814"/>
      <w:bookmarkStart w:id="7682" w:name="_Toc468266942"/>
      <w:bookmarkStart w:id="7683" w:name="_Toc468267070"/>
      <w:bookmarkStart w:id="7684" w:name="_Toc468269481"/>
      <w:bookmarkStart w:id="7685" w:name="_Toc468279447"/>
      <w:bookmarkStart w:id="7686" w:name="_Toc468360299"/>
      <w:bookmarkStart w:id="7687" w:name="_Toc468361240"/>
      <w:bookmarkStart w:id="7688" w:name="_Toc468363470"/>
      <w:bookmarkStart w:id="7689" w:name="_Toc468366297"/>
      <w:bookmarkStart w:id="7690" w:name="_Toc468428387"/>
      <w:bookmarkStart w:id="7691" w:name="_Toc468691783"/>
      <w:bookmarkStart w:id="7692" w:name="_Toc468691910"/>
      <w:bookmarkStart w:id="7693" w:name="_Toc468692037"/>
      <w:bookmarkStart w:id="7694" w:name="_Toc468693991"/>
      <w:bookmarkStart w:id="7695" w:name="_Toc468712686"/>
      <w:bookmarkStart w:id="7696" w:name="_Toc468712814"/>
      <w:bookmarkStart w:id="7697" w:name="_Toc468712941"/>
      <w:bookmarkStart w:id="7698" w:name="_Toc468713068"/>
      <w:bookmarkStart w:id="7699" w:name="_Toc468713195"/>
      <w:bookmarkStart w:id="7700" w:name="_Toc468713322"/>
      <w:bookmarkStart w:id="7701" w:name="_Toc468713449"/>
      <w:bookmarkStart w:id="7702" w:name="_Toc468713576"/>
      <w:bookmarkStart w:id="7703" w:name="_Toc468713829"/>
      <w:bookmarkStart w:id="7704" w:name="_Toc468713956"/>
      <w:bookmarkStart w:id="7705" w:name="_Toc468714083"/>
      <w:bookmarkStart w:id="7706" w:name="_Toc468787092"/>
      <w:bookmarkStart w:id="7707" w:name="_Toc468787410"/>
      <w:bookmarkStart w:id="7708" w:name="_Toc468787538"/>
      <w:bookmarkStart w:id="7709" w:name="_Toc468787666"/>
      <w:bookmarkStart w:id="7710" w:name="_Toc468787793"/>
      <w:bookmarkStart w:id="7711" w:name="_Toc468787920"/>
      <w:bookmarkStart w:id="7712" w:name="_Toc468788047"/>
      <w:bookmarkStart w:id="7713" w:name="_Toc468957727"/>
      <w:bookmarkStart w:id="7714" w:name="_Toc468957854"/>
      <w:bookmarkStart w:id="7715" w:name="_Toc468957981"/>
      <w:bookmarkStart w:id="7716" w:name="_Toc468958108"/>
      <w:bookmarkStart w:id="7717" w:name="_Toc468958235"/>
      <w:bookmarkStart w:id="7718" w:name="_Toc468958362"/>
      <w:bookmarkStart w:id="7719" w:name="_Toc468958489"/>
      <w:bookmarkStart w:id="7720" w:name="_Toc468958616"/>
      <w:bookmarkStart w:id="7721" w:name="_Toc468958743"/>
      <w:bookmarkStart w:id="7722" w:name="_Toc468958870"/>
      <w:bookmarkStart w:id="7723" w:name="_Toc468958997"/>
      <w:bookmarkStart w:id="7724" w:name="_Toc468959124"/>
      <w:bookmarkStart w:id="7725" w:name="_Toc468960625"/>
      <w:bookmarkStart w:id="7726" w:name="_Toc469035098"/>
      <w:bookmarkStart w:id="7727" w:name="_Toc469056808"/>
      <w:bookmarkStart w:id="7728" w:name="_Toc469321120"/>
      <w:bookmarkStart w:id="7729" w:name="_Toc469323849"/>
      <w:bookmarkStart w:id="7730" w:name="_Toc469323975"/>
      <w:bookmarkStart w:id="7731" w:name="_Toc469324526"/>
      <w:bookmarkStart w:id="7732" w:name="_Toc470695404"/>
      <w:bookmarkStart w:id="7733" w:name="_Toc470695557"/>
      <w:bookmarkStart w:id="7734" w:name="_Toc470697061"/>
      <w:bookmarkStart w:id="7735" w:name="_Toc470699945"/>
      <w:bookmarkStart w:id="7736" w:name="_Toc470762791"/>
      <w:bookmarkStart w:id="7737" w:name="_Toc471114609"/>
      <w:bookmarkStart w:id="7738" w:name="_Toc474393025"/>
      <w:bookmarkStart w:id="7739" w:name="_Toc474497916"/>
      <w:bookmarkStart w:id="7740" w:name="_Toc474498675"/>
      <w:bookmarkStart w:id="7741" w:name="_Toc474844534"/>
      <w:bookmarkStart w:id="7742" w:name="_Toc474844661"/>
      <w:bookmarkStart w:id="7743" w:name="_Toc474919931"/>
      <w:bookmarkStart w:id="7744" w:name="_Toc474924940"/>
      <w:bookmarkEnd w:id="7620"/>
      <w:bookmarkEnd w:id="7621"/>
      <w:bookmarkEnd w:id="7622"/>
      <w:bookmarkEnd w:id="7623"/>
      <w:bookmarkEnd w:id="7624"/>
      <w:bookmarkEnd w:id="7625"/>
      <w:bookmarkEnd w:id="7626"/>
      <w:bookmarkEnd w:id="7627"/>
      <w:bookmarkEnd w:id="7628"/>
      <w:bookmarkEnd w:id="7629"/>
      <w:bookmarkEnd w:id="7630"/>
      <w:bookmarkEnd w:id="7631"/>
      <w:bookmarkEnd w:id="7632"/>
      <w:bookmarkEnd w:id="7633"/>
      <w:bookmarkEnd w:id="7634"/>
      <w:bookmarkEnd w:id="7635"/>
      <w:bookmarkEnd w:id="7636"/>
      <w:bookmarkEnd w:id="7637"/>
      <w:bookmarkEnd w:id="7638"/>
      <w:bookmarkEnd w:id="7639"/>
      <w:bookmarkEnd w:id="7640"/>
      <w:bookmarkEnd w:id="7641"/>
      <w:bookmarkEnd w:id="7642"/>
      <w:bookmarkEnd w:id="7643"/>
      <w:bookmarkEnd w:id="7644"/>
      <w:bookmarkEnd w:id="7645"/>
      <w:bookmarkEnd w:id="7646"/>
      <w:bookmarkEnd w:id="7647"/>
      <w:bookmarkEnd w:id="7648"/>
      <w:bookmarkEnd w:id="7649"/>
      <w:bookmarkEnd w:id="7650"/>
      <w:bookmarkEnd w:id="7651"/>
      <w:bookmarkEnd w:id="7652"/>
      <w:bookmarkEnd w:id="7653"/>
      <w:bookmarkEnd w:id="7654"/>
      <w:bookmarkEnd w:id="7655"/>
      <w:bookmarkEnd w:id="7656"/>
      <w:bookmarkEnd w:id="7657"/>
      <w:bookmarkEnd w:id="7658"/>
      <w:bookmarkEnd w:id="7659"/>
      <w:bookmarkEnd w:id="7660"/>
      <w:bookmarkEnd w:id="7661"/>
      <w:bookmarkEnd w:id="7662"/>
      <w:bookmarkEnd w:id="7663"/>
      <w:bookmarkEnd w:id="7664"/>
      <w:bookmarkEnd w:id="7665"/>
      <w:bookmarkEnd w:id="7666"/>
      <w:bookmarkEnd w:id="7667"/>
      <w:bookmarkEnd w:id="7668"/>
      <w:bookmarkEnd w:id="7669"/>
      <w:bookmarkEnd w:id="7670"/>
      <w:bookmarkEnd w:id="7671"/>
      <w:bookmarkEnd w:id="7672"/>
      <w:bookmarkEnd w:id="7673"/>
      <w:bookmarkEnd w:id="7674"/>
      <w:bookmarkEnd w:id="7675"/>
      <w:bookmarkEnd w:id="7676"/>
      <w:bookmarkEnd w:id="7677"/>
      <w:bookmarkEnd w:id="7678"/>
      <w:bookmarkEnd w:id="7679"/>
      <w:bookmarkEnd w:id="7680"/>
      <w:bookmarkEnd w:id="7681"/>
      <w:bookmarkEnd w:id="7682"/>
      <w:bookmarkEnd w:id="7683"/>
      <w:bookmarkEnd w:id="7684"/>
      <w:bookmarkEnd w:id="7685"/>
      <w:bookmarkEnd w:id="7686"/>
      <w:bookmarkEnd w:id="7687"/>
      <w:bookmarkEnd w:id="7688"/>
      <w:bookmarkEnd w:id="7689"/>
      <w:bookmarkEnd w:id="7690"/>
      <w:bookmarkEnd w:id="7691"/>
      <w:bookmarkEnd w:id="7692"/>
      <w:bookmarkEnd w:id="7693"/>
      <w:bookmarkEnd w:id="7694"/>
      <w:bookmarkEnd w:id="7695"/>
      <w:bookmarkEnd w:id="7696"/>
      <w:bookmarkEnd w:id="7697"/>
      <w:bookmarkEnd w:id="7698"/>
      <w:bookmarkEnd w:id="7699"/>
      <w:bookmarkEnd w:id="7700"/>
      <w:bookmarkEnd w:id="7701"/>
      <w:bookmarkEnd w:id="7702"/>
      <w:bookmarkEnd w:id="7703"/>
      <w:bookmarkEnd w:id="7704"/>
      <w:bookmarkEnd w:id="7705"/>
      <w:bookmarkEnd w:id="7706"/>
      <w:bookmarkEnd w:id="7707"/>
      <w:bookmarkEnd w:id="7708"/>
      <w:bookmarkEnd w:id="7709"/>
      <w:bookmarkEnd w:id="7710"/>
      <w:bookmarkEnd w:id="7711"/>
      <w:bookmarkEnd w:id="7712"/>
      <w:bookmarkEnd w:id="7713"/>
      <w:bookmarkEnd w:id="7714"/>
      <w:bookmarkEnd w:id="7715"/>
      <w:bookmarkEnd w:id="7716"/>
      <w:bookmarkEnd w:id="7717"/>
      <w:bookmarkEnd w:id="7718"/>
      <w:bookmarkEnd w:id="7719"/>
      <w:bookmarkEnd w:id="7720"/>
      <w:bookmarkEnd w:id="7721"/>
      <w:bookmarkEnd w:id="7722"/>
      <w:bookmarkEnd w:id="7723"/>
      <w:bookmarkEnd w:id="7724"/>
      <w:bookmarkEnd w:id="7725"/>
      <w:bookmarkEnd w:id="7726"/>
      <w:bookmarkEnd w:id="7727"/>
      <w:bookmarkEnd w:id="7728"/>
      <w:bookmarkEnd w:id="7729"/>
      <w:bookmarkEnd w:id="7730"/>
      <w:bookmarkEnd w:id="7731"/>
      <w:bookmarkEnd w:id="7732"/>
      <w:bookmarkEnd w:id="7733"/>
      <w:bookmarkEnd w:id="7734"/>
      <w:bookmarkEnd w:id="7735"/>
      <w:bookmarkEnd w:id="7736"/>
      <w:bookmarkEnd w:id="7737"/>
      <w:bookmarkEnd w:id="7738"/>
      <w:bookmarkEnd w:id="7739"/>
      <w:bookmarkEnd w:id="7740"/>
      <w:bookmarkEnd w:id="7741"/>
      <w:bookmarkEnd w:id="7742"/>
      <w:bookmarkEnd w:id="7743"/>
      <w:bookmarkEnd w:id="7744"/>
    </w:p>
    <w:p w:rsidR="001C2FD4" w:rsidRPr="003852D4" w:rsidRDefault="001C2FD4" w:rsidP="00051274">
      <w:pPr>
        <w:pStyle w:val="Nagwek3"/>
        <w:numPr>
          <w:ilvl w:val="2"/>
          <w:numId w:val="180"/>
        </w:numPr>
        <w:spacing w:before="220"/>
        <w:ind w:left="567" w:hanging="505"/>
        <w:rPr>
          <w:rFonts w:eastAsia="Calibri"/>
          <w:color w:val="auto"/>
        </w:rPr>
      </w:pPr>
      <w:bookmarkStart w:id="7745" w:name="_Toc474924941"/>
      <w:r>
        <w:t>Edukacja</w:t>
      </w:r>
      <w:bookmarkEnd w:id="6494"/>
      <w:bookmarkEnd w:id="7745"/>
    </w:p>
    <w:p w:rsidR="0032629E" w:rsidRDefault="0032629E" w:rsidP="00C80963">
      <w:pPr>
        <w:jc w:val="both"/>
        <w:rPr>
          <w:szCs w:val="20"/>
        </w:rPr>
      </w:pPr>
    </w:p>
    <w:p w:rsidR="001C2FD4" w:rsidRDefault="001C2FD4" w:rsidP="006F533E">
      <w:pPr>
        <w:ind w:firstLine="708"/>
        <w:jc w:val="both"/>
        <w:rPr>
          <w:szCs w:val="20"/>
        </w:rPr>
      </w:pPr>
      <w:r w:rsidRPr="00C80963">
        <w:rPr>
          <w:szCs w:val="20"/>
        </w:rPr>
        <w:t xml:space="preserve">O ile wyniki uczniów z egzaminu maturalnego zasadniczo nie odbiegają </w:t>
      </w:r>
      <w:r w:rsidRPr="00C80963">
        <w:rPr>
          <w:i/>
          <w:szCs w:val="20"/>
        </w:rPr>
        <w:t>in minus</w:t>
      </w:r>
      <w:r w:rsidRPr="00C80963">
        <w:rPr>
          <w:szCs w:val="20"/>
        </w:rPr>
        <w:t xml:space="preserve"> od średniej dla Polski oraz województwa, a niekiedy je przewyższają, to wyniki uczniów ze sprawdzianu</w:t>
      </w:r>
      <w:r w:rsidRPr="00180E48">
        <w:t xml:space="preserve"> </w:t>
      </w:r>
      <w:r w:rsidRPr="00C80963">
        <w:rPr>
          <w:szCs w:val="20"/>
        </w:rPr>
        <w:t>po szóstej klasie szkoły podstawowej i egzaminu gimnazjalnego plasują Bytom wyraźnie poniżej wartości przeciętnych dla kraju i</w:t>
      </w:r>
      <w:r w:rsidR="0013236B">
        <w:rPr>
          <w:szCs w:val="20"/>
        </w:rPr>
        <w:t> </w:t>
      </w:r>
      <w:r w:rsidRPr="00C80963">
        <w:rPr>
          <w:szCs w:val="20"/>
        </w:rPr>
        <w:t>regionu</w:t>
      </w:r>
      <w:r w:rsidRPr="00C80963">
        <w:rPr>
          <w:rStyle w:val="Odwoanieprzypisudolnego"/>
          <w:szCs w:val="20"/>
        </w:rPr>
        <w:footnoteReference w:id="21"/>
      </w:r>
      <w:r w:rsidRPr="00C80963">
        <w:rPr>
          <w:szCs w:val="20"/>
        </w:rPr>
        <w:t>.</w:t>
      </w:r>
    </w:p>
    <w:p w:rsidR="00D872E4" w:rsidRPr="00C80963" w:rsidRDefault="00D872E4" w:rsidP="006F533E">
      <w:pPr>
        <w:ind w:firstLine="708"/>
        <w:jc w:val="both"/>
        <w:rPr>
          <w:szCs w:val="20"/>
        </w:rPr>
      </w:pPr>
    </w:p>
    <w:p w:rsidR="00D872E4" w:rsidRPr="00CF06A7" w:rsidRDefault="00D872E4" w:rsidP="00051274">
      <w:pPr>
        <w:pStyle w:val="Legenda"/>
        <w:rPr>
          <w:rFonts w:eastAsia="Calibri"/>
          <w:szCs w:val="24"/>
        </w:rPr>
      </w:pPr>
      <w:bookmarkStart w:id="7746" w:name="_Toc191972637"/>
      <w:r w:rsidRPr="00CF06A7">
        <w:t xml:space="preserve">Mapa </w:t>
      </w:r>
      <w:r w:rsidR="003972D8" w:rsidRPr="00CF06A7">
        <w:fldChar w:fldCharType="begin"/>
      </w:r>
      <w:r w:rsidRPr="00CF06A7">
        <w:instrText xml:space="preserve"> SEQ Mapa \* ARABIC </w:instrText>
      </w:r>
      <w:r w:rsidR="003972D8" w:rsidRPr="00CF06A7">
        <w:fldChar w:fldCharType="separate"/>
      </w:r>
      <w:r w:rsidR="00413FFE">
        <w:rPr>
          <w:noProof/>
        </w:rPr>
        <w:t>25</w:t>
      </w:r>
      <w:r w:rsidR="003972D8" w:rsidRPr="00CF06A7">
        <w:fldChar w:fldCharType="end"/>
      </w:r>
      <w:r w:rsidRPr="00CF06A7">
        <w:t>. Wyniki sprawdzianu po 6. klasie w Bytomiu</w:t>
      </w:r>
      <w:bookmarkEnd w:id="7746"/>
      <w:r w:rsidRPr="00CF06A7">
        <w:t xml:space="preserve">  </w:t>
      </w:r>
    </w:p>
    <w:p w:rsidR="00D872E4" w:rsidRPr="00DF77FD" w:rsidRDefault="0043168D" w:rsidP="00D872E4">
      <w:pPr>
        <w:jc w:val="center"/>
      </w:pPr>
      <w:r>
        <w:rPr>
          <w:noProof/>
        </w:rPr>
        <w:drawing>
          <wp:inline distT="0" distB="0" distL="0" distR="0">
            <wp:extent cx="5760000" cy="3981793"/>
            <wp:effectExtent l="19050" t="0" r="0" b="0"/>
            <wp:docPr id="44" name="Obraz 1" descr="C:\Users\TT\Dropbox\irm-bytom-mapy\wydruki\500-3 WYNIKI SPRAWDZIANU PO 6 KLASIE (część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Users\TT\Dropbox\irm-bytom-mapy\wydruki\500-3 WYNIKI SPRAWDZIANU PO 6 KLASIE (część 1).png"/>
                    <pic:cNvPicPr>
                      <a:picLocks noChangeAspect="1" noChangeArrowheads="1"/>
                    </pic:cNvPicPr>
                  </pic:nvPicPr>
                  <pic:blipFill>
                    <a:blip r:embed="rId47" cstate="print"/>
                    <a:srcRect b="1985"/>
                    <a:stretch>
                      <a:fillRect/>
                    </a:stretch>
                  </pic:blipFill>
                  <pic:spPr bwMode="auto">
                    <a:xfrm>
                      <a:off x="0" y="0"/>
                      <a:ext cx="5760000" cy="3981793"/>
                    </a:xfrm>
                    <a:prstGeom prst="rect">
                      <a:avLst/>
                    </a:prstGeom>
                    <a:noFill/>
                    <a:ln w="9525">
                      <a:noFill/>
                      <a:miter lim="800000"/>
                      <a:headEnd/>
                      <a:tailEnd/>
                    </a:ln>
                  </pic:spPr>
                </pic:pic>
              </a:graphicData>
            </a:graphic>
          </wp:inline>
        </w:drawing>
      </w:r>
    </w:p>
    <w:p w:rsidR="00D872E4" w:rsidRPr="005F27F5" w:rsidRDefault="00D872E4" w:rsidP="00D872E4">
      <w:pPr>
        <w:autoSpaceDE w:val="0"/>
        <w:autoSpaceDN w:val="0"/>
        <w:adjustRightInd w:val="0"/>
        <w:rPr>
          <w:rFonts w:eastAsia="Calibri" w:cs="ArialNarrow"/>
          <w:i/>
          <w:sz w:val="18"/>
          <w:szCs w:val="20"/>
        </w:rPr>
      </w:pPr>
      <w:r w:rsidRPr="005F27F5">
        <w:rPr>
          <w:rFonts w:eastAsia="Calibri" w:cs="ArialNarrow"/>
          <w:i/>
          <w:sz w:val="18"/>
          <w:szCs w:val="20"/>
        </w:rPr>
        <w:t xml:space="preserve">Źródło: Opracowanie </w:t>
      </w:r>
      <w:r>
        <w:rPr>
          <w:rFonts w:eastAsia="Calibri" w:cs="ArialNarrow"/>
          <w:i/>
          <w:sz w:val="18"/>
          <w:szCs w:val="20"/>
        </w:rPr>
        <w:t>Instytutu Rozwoju Miast</w:t>
      </w:r>
    </w:p>
    <w:p w:rsidR="003C3439" w:rsidRDefault="003C3439" w:rsidP="00DF77FD">
      <w:pPr>
        <w:ind w:firstLine="708"/>
        <w:jc w:val="both"/>
        <w:rPr>
          <w:szCs w:val="20"/>
        </w:rPr>
      </w:pPr>
    </w:p>
    <w:p w:rsidR="001C2FD4" w:rsidRDefault="001C2FD4" w:rsidP="00DF77FD">
      <w:pPr>
        <w:ind w:firstLine="708"/>
        <w:jc w:val="both"/>
        <w:rPr>
          <w:szCs w:val="20"/>
        </w:rPr>
      </w:pPr>
      <w:r w:rsidRPr="00C80963">
        <w:rPr>
          <w:szCs w:val="20"/>
        </w:rPr>
        <w:t xml:space="preserve">Na potrzeby diagnozy zbadano wyniki sprawdzianu po 6 klasie według miejsca zamieszkania uczniów. Wyniki dotyczące części pierwszej sprawdzianu, czyli j. polskiego i matematyki, naniesiono na mapę. Szare pola oznaczają te rejony, w których średni wynik mieszkających tam uczniów uplasował się poniżej średniej dla Bytomia. </w:t>
      </w:r>
      <w:r w:rsidRPr="0043168D">
        <w:rPr>
          <w:szCs w:val="20"/>
        </w:rPr>
        <w:t>Wyniki poniżej przeciętnej występują we wszystkich rejonach miasta.</w:t>
      </w:r>
      <w:r w:rsidRPr="00C80963">
        <w:rPr>
          <w:szCs w:val="20"/>
        </w:rPr>
        <w:t xml:space="preserve"> Zauważalna jest jednak ich koncentracja w podobszarach rewitalizacji. Słabsze wyniki osiągają uczniowie znacznej </w:t>
      </w:r>
      <w:r w:rsidR="004D18EE">
        <w:rPr>
          <w:szCs w:val="20"/>
        </w:rPr>
        <w:t>części Bobrka,</w:t>
      </w:r>
      <w:r w:rsidRPr="00C80963">
        <w:rPr>
          <w:szCs w:val="20"/>
        </w:rPr>
        <w:t xml:space="preserve"> Rozbarku i Śródmieścia, a także wschod</w:t>
      </w:r>
      <w:r w:rsidR="00900EB7">
        <w:rPr>
          <w:szCs w:val="20"/>
        </w:rPr>
        <w:t>niej części Śródmieścia</w:t>
      </w:r>
      <w:r w:rsidR="00502CE5">
        <w:rPr>
          <w:szCs w:val="20"/>
        </w:rPr>
        <w:t xml:space="preserve"> Północ</w:t>
      </w:r>
      <w:r w:rsidRPr="00C80963">
        <w:rPr>
          <w:szCs w:val="20"/>
        </w:rPr>
        <w:t>. Dlatego na wszystkich tych podobszarach śr</w:t>
      </w:r>
      <w:r w:rsidR="007002FC">
        <w:rPr>
          <w:szCs w:val="20"/>
        </w:rPr>
        <w:t>edni wynik ze sprawdzianu jest</w:t>
      </w:r>
      <w:r w:rsidRPr="00C80963">
        <w:rPr>
          <w:szCs w:val="20"/>
        </w:rPr>
        <w:t xml:space="preserve"> 10% poniżej średniej dla miasta. Odwrotna sytuacja ma miejsce w</w:t>
      </w:r>
      <w:r w:rsidR="0013236B">
        <w:rPr>
          <w:szCs w:val="20"/>
        </w:rPr>
        <w:t> </w:t>
      </w:r>
      <w:r w:rsidR="004D18EE">
        <w:rPr>
          <w:szCs w:val="20"/>
        </w:rPr>
        <w:t>Śródmieściu</w:t>
      </w:r>
      <w:r w:rsidRPr="00C80963">
        <w:rPr>
          <w:szCs w:val="20"/>
        </w:rPr>
        <w:t xml:space="preserve"> Zachód, gdzie średni wynik przewyższa o 10% średnią.</w:t>
      </w:r>
    </w:p>
    <w:p w:rsidR="007002FC" w:rsidRPr="007002FC" w:rsidRDefault="007002FC" w:rsidP="00DF77FD">
      <w:pPr>
        <w:ind w:firstLine="708"/>
        <w:jc w:val="both"/>
        <w:rPr>
          <w:szCs w:val="20"/>
        </w:rPr>
      </w:pPr>
      <w:r>
        <w:t>Powyższe stwierdzenie uzasadnia</w:t>
      </w:r>
      <w:r w:rsidRPr="007002FC">
        <w:t xml:space="preserve"> wdrożenie działań rewitalizacyjnych ukierunkowanych na wzrost jakości poziomu edukacji na różnych poziomach – przedszkolnym (cel: wzrost upowszechnienia wysokiej jakości edukacji przedszkolnej), ogólnokształcącym (cel: wzrost dostępu do wysokiej jakości oferty kształcenia ogólnokształcącego) oraz zawodowym (cel: wsparcie szkolnictwa zawodowego).</w:t>
      </w:r>
    </w:p>
    <w:p w:rsidR="0038597F" w:rsidRDefault="0038597F" w:rsidP="0038597F">
      <w:pPr>
        <w:jc w:val="both"/>
        <w:rPr>
          <w:szCs w:val="20"/>
        </w:rPr>
      </w:pPr>
    </w:p>
    <w:p w:rsidR="001C2FD4" w:rsidRDefault="001C2FD4" w:rsidP="006D764E">
      <w:pPr>
        <w:pStyle w:val="Nagwek2"/>
        <w:numPr>
          <w:ilvl w:val="1"/>
          <w:numId w:val="388"/>
        </w:numPr>
      </w:pPr>
      <w:bookmarkStart w:id="7747" w:name="_Toc461612535"/>
      <w:bookmarkStart w:id="7748" w:name="_Toc474924942"/>
      <w:r>
        <w:lastRenderedPageBreak/>
        <w:t>Analiza negatywnych zjawisk i czynników w pozostałych sferach na obszarze rewitalizacji w kontekście całej gminy</w:t>
      </w:r>
      <w:bookmarkEnd w:id="7747"/>
      <w:bookmarkEnd w:id="7748"/>
    </w:p>
    <w:p w:rsidR="001C2FD4" w:rsidRDefault="001C2FD4" w:rsidP="0055392F">
      <w:pPr>
        <w:pStyle w:val="Nagwek3"/>
        <w:numPr>
          <w:ilvl w:val="2"/>
          <w:numId w:val="388"/>
        </w:numPr>
      </w:pPr>
      <w:bookmarkStart w:id="7749" w:name="_Toc461612536"/>
      <w:bookmarkStart w:id="7750" w:name="_Toc474924943"/>
      <w:r>
        <w:t>Sfera gospodarcza: Rynek pracy i przemysł</w:t>
      </w:r>
      <w:bookmarkEnd w:id="7749"/>
      <w:bookmarkEnd w:id="7750"/>
    </w:p>
    <w:p w:rsidR="0032629E" w:rsidRDefault="0032629E" w:rsidP="00C80963">
      <w:pPr>
        <w:autoSpaceDE w:val="0"/>
        <w:autoSpaceDN w:val="0"/>
        <w:adjustRightInd w:val="0"/>
        <w:jc w:val="both"/>
        <w:rPr>
          <w:szCs w:val="20"/>
        </w:rPr>
      </w:pPr>
    </w:p>
    <w:p w:rsidR="001C2FD4" w:rsidRPr="00C80963" w:rsidRDefault="001C2FD4" w:rsidP="00DF77FD">
      <w:pPr>
        <w:autoSpaceDE w:val="0"/>
        <w:autoSpaceDN w:val="0"/>
        <w:adjustRightInd w:val="0"/>
        <w:ind w:firstLine="708"/>
        <w:jc w:val="both"/>
        <w:rPr>
          <w:szCs w:val="20"/>
        </w:rPr>
      </w:pPr>
      <w:r w:rsidRPr="00C80963">
        <w:rPr>
          <w:szCs w:val="20"/>
        </w:rPr>
        <w:t>Baza ekonomiczna Bytomia uległa w ciągu ostatnich kilkunastu l</w:t>
      </w:r>
      <w:r w:rsidR="00DF77FD">
        <w:rPr>
          <w:szCs w:val="20"/>
        </w:rPr>
        <w:t>at drastycznemu zredukowaniu, a </w:t>
      </w:r>
      <w:r w:rsidRPr="00C80963">
        <w:rPr>
          <w:szCs w:val="20"/>
        </w:rPr>
        <w:t>w</w:t>
      </w:r>
      <w:r w:rsidR="00DF77FD">
        <w:rPr>
          <w:szCs w:val="20"/>
        </w:rPr>
        <w:t> </w:t>
      </w:r>
      <w:r w:rsidRPr="00C80963">
        <w:rPr>
          <w:szCs w:val="20"/>
        </w:rPr>
        <w:t>strukturze gospodarczej miasta nie ukształtowały się perspektywiczne sektory działalności, mogące stać się nowymi filarami konkurencyjności. Potwierdzają to wnioski zawarte w raporcie z przeprowadzonego badania pn. „Ocena kondycji ekonomicznej osób fizycznych i podmiotów gospodarczych miasta Bytom” sporządzonego przez Instytut Nauk Społeczno-Ekonomicznych w Łodzi:</w:t>
      </w:r>
    </w:p>
    <w:p w:rsidR="001C2FD4" w:rsidRPr="00C80963" w:rsidRDefault="001C2FD4" w:rsidP="008F1C3D">
      <w:pPr>
        <w:widowControl w:val="0"/>
        <w:autoSpaceDE w:val="0"/>
        <w:autoSpaceDN w:val="0"/>
        <w:adjustRightInd w:val="0"/>
        <w:jc w:val="both"/>
        <w:rPr>
          <w:szCs w:val="20"/>
        </w:rPr>
      </w:pPr>
      <w:r w:rsidRPr="00C80963">
        <w:rPr>
          <w:szCs w:val="20"/>
        </w:rPr>
        <w:t>„</w:t>
      </w:r>
      <w:r w:rsidRPr="00900EB7">
        <w:rPr>
          <w:i/>
          <w:szCs w:val="20"/>
        </w:rPr>
        <w:t>Z przeprowadzonych analiz wynika, że sytuacja społeczno-gospodarcza Bytomia w badanym okresie</w:t>
      </w:r>
      <w:r w:rsidRPr="00900EB7">
        <w:rPr>
          <w:rStyle w:val="Odwoanieprzypisudolnego"/>
          <w:i/>
          <w:szCs w:val="20"/>
        </w:rPr>
        <w:footnoteReference w:id="22"/>
      </w:r>
      <w:r w:rsidRPr="00900EB7">
        <w:rPr>
          <w:i/>
          <w:szCs w:val="20"/>
        </w:rPr>
        <w:t xml:space="preserve"> należała do najtrudniejszych w skali całego GZM. (...) Bytom należy do najsłabszych pod względem społeczno-ekonomicznym ośrodków GZM. Przyczyn takiego stanu rzeczy należy dopatrywać się w górniczej historii miasta. Znaczna redukcja działalności wydobywczej – spowodowana likwidacją sześciu z siedmiu kopalń węgla kamiennego funkcjonujących na terenie Bytomia w latach 90-tych XX wieku – dała początek większości problemów społeczno-gospodarczych, z którymi miasto nadal się boryka</w:t>
      </w:r>
      <w:r w:rsidRPr="00C80963">
        <w:rPr>
          <w:szCs w:val="20"/>
        </w:rPr>
        <w:t>.”</w:t>
      </w:r>
    </w:p>
    <w:p w:rsidR="001C2FD4" w:rsidRPr="00C80963" w:rsidRDefault="001C2FD4" w:rsidP="00C80963">
      <w:pPr>
        <w:jc w:val="both"/>
        <w:rPr>
          <w:szCs w:val="20"/>
        </w:rPr>
      </w:pPr>
      <w:r w:rsidRPr="00C80963">
        <w:rPr>
          <w:szCs w:val="20"/>
        </w:rPr>
        <w:t>Bezpośrednią przyczyną dzisiejszego stanu miasta jest zatem regres dominującej do lat dziewięćdziesiątych XX</w:t>
      </w:r>
      <w:r w:rsidR="000A7D68">
        <w:rPr>
          <w:szCs w:val="20"/>
        </w:rPr>
        <w:t> </w:t>
      </w:r>
      <w:r w:rsidRPr="00C80963">
        <w:rPr>
          <w:szCs w:val="20"/>
        </w:rPr>
        <w:t>wieku działalności górniczej i hutniczej. Źródła problemów są jednak znacznie głębsze, gdyż wiążą się przede wszystkim z utratą wielofunkcyjnego charakteru miasta po 1945 roku oraz jego zdominowaniem przez monofunkcyjny kompleks górniczo-hutniczy [zob. Gwosdz 2014, Krzysztofik 2012</w:t>
      </w:r>
      <w:r w:rsidRPr="00C80963">
        <w:rPr>
          <w:rStyle w:val="Odwoanieprzypisudolnego"/>
          <w:szCs w:val="20"/>
        </w:rPr>
        <w:footnoteReference w:id="23"/>
      </w:r>
      <w:r w:rsidRPr="00C80963">
        <w:rPr>
          <w:szCs w:val="20"/>
        </w:rPr>
        <w:t xml:space="preserve">]. </w:t>
      </w:r>
    </w:p>
    <w:p w:rsidR="001C2FD4" w:rsidRPr="00C80963" w:rsidRDefault="001C2FD4" w:rsidP="00C80963">
      <w:pPr>
        <w:autoSpaceDE w:val="0"/>
        <w:autoSpaceDN w:val="0"/>
        <w:adjustRightInd w:val="0"/>
        <w:jc w:val="both"/>
        <w:rPr>
          <w:rFonts w:eastAsia="Century751No2PL-Roman"/>
          <w:szCs w:val="20"/>
        </w:rPr>
      </w:pPr>
      <w:r w:rsidRPr="00C80963">
        <w:rPr>
          <w:rFonts w:eastAsia="Century751No2PL-Roman"/>
          <w:szCs w:val="20"/>
        </w:rPr>
        <w:t xml:space="preserve">Od roku 1995, tj. od momentu rozpoczęcia </w:t>
      </w:r>
      <w:r w:rsidRPr="00C80963">
        <w:rPr>
          <w:szCs w:val="20"/>
        </w:rPr>
        <w:t>procesu restrukturyzacji przemysłu (zamknięcie 6 kopalń i 2 hut) nastąpiła</w:t>
      </w:r>
      <w:r w:rsidRPr="00C80963">
        <w:rPr>
          <w:rFonts w:eastAsia="Century751No2PL-Roman"/>
          <w:szCs w:val="20"/>
        </w:rPr>
        <w:t xml:space="preserve"> głęboka zmiana bytomskiego rynku pracy. </w:t>
      </w:r>
      <w:r w:rsidRPr="00C80963">
        <w:rPr>
          <w:szCs w:val="20"/>
        </w:rPr>
        <w:t>Zamknięcie kopalń i hut pociągnęło za sobą upadek zakładów z nimi kooperujących oraz r</w:t>
      </w:r>
      <w:r w:rsidRPr="00C80963">
        <w:rPr>
          <w:rFonts w:eastAsia="Century751No2PL-Roman"/>
          <w:szCs w:val="20"/>
        </w:rPr>
        <w:t xml:space="preserve">ozbicie lokalnych i regionalnych łańcuchów współpracy. Według GUS spowodowało to w sumie </w:t>
      </w:r>
      <w:r w:rsidRPr="00C80963">
        <w:rPr>
          <w:szCs w:val="20"/>
        </w:rPr>
        <w:t xml:space="preserve">utratę ponad 30 tys. miejsc pracy, szacuje się jednak, że było to ponad 50 tys. </w:t>
      </w:r>
      <w:r w:rsidRPr="00C80963">
        <w:rPr>
          <w:rFonts w:eastAsia="Century751No2PL-Roman"/>
          <w:szCs w:val="20"/>
        </w:rPr>
        <w:t xml:space="preserve">Liczba pracujących w tradycyjnych sektorach przemysłowych – górnictwie i hutnictwie zmniejszyła się, natomiast wzrosła rola innych branż przemysłu przetwórczego, a przede wszystkim usług.   </w:t>
      </w:r>
    </w:p>
    <w:p w:rsidR="001C2FD4" w:rsidRPr="00FE66B3" w:rsidRDefault="001C2FD4" w:rsidP="00C80963">
      <w:pPr>
        <w:jc w:val="both"/>
        <w:rPr>
          <w:b/>
          <w:color w:val="C00000"/>
          <w:szCs w:val="20"/>
        </w:rPr>
      </w:pPr>
      <w:r w:rsidRPr="00FE66B3">
        <w:rPr>
          <w:b/>
          <w:color w:val="C00000"/>
          <w:szCs w:val="20"/>
        </w:rPr>
        <w:t xml:space="preserve">Największym pracodawcą w sektorze przedsiębiorstw pozostaje ostatnia funkcjonująca w mieście kopalnia węgla kamiennego, tj. KWK Bobrek-Piekary Ruch Bobrek (około 2,0 tys. zatrudnionych). </w:t>
      </w:r>
    </w:p>
    <w:p w:rsidR="001C2FD4" w:rsidRPr="00C80963" w:rsidRDefault="001C2FD4" w:rsidP="00C80963">
      <w:pPr>
        <w:jc w:val="both"/>
        <w:rPr>
          <w:szCs w:val="20"/>
        </w:rPr>
      </w:pPr>
      <w:r w:rsidRPr="00C80963">
        <w:rPr>
          <w:szCs w:val="20"/>
        </w:rPr>
        <w:t>Utrata dotychczasowej bazy ekonomicznej oraz niewielkie zdolności do wykreowania nowych dynamicznych działalności gospodarczych wywołały w Bytomiu regres we wszystkich sferach, także gospodarczej.</w:t>
      </w:r>
    </w:p>
    <w:p w:rsidR="001C2FD4" w:rsidRPr="00C80963" w:rsidRDefault="001C2FD4" w:rsidP="00C80963">
      <w:pPr>
        <w:jc w:val="both"/>
        <w:rPr>
          <w:szCs w:val="20"/>
        </w:rPr>
      </w:pPr>
      <w:r w:rsidRPr="00C80963">
        <w:rPr>
          <w:szCs w:val="20"/>
        </w:rPr>
        <w:t>Jedną z barier utrudniających przyciąganie nowych inwestorów i rozwój przedsiębiorczości w mieście jest niewystarczająca oferta inwestycyjna (tj. brak kompleksowo przygotowanych oraz uzbrojonych terenów inwestycyjnych). Większość potencjalnych terenów inwestycyjnych w Bytomiu stanowią tereny i obiekty poprzemysłowe, które wymagają poniesienia znacznych nakładów w celu ich przygotowania pod nowe inwestycje [</w:t>
      </w:r>
      <w:r w:rsidRPr="00C80963">
        <w:rPr>
          <w:i/>
          <w:szCs w:val="20"/>
        </w:rPr>
        <w:t>Bytom 2020+. Uwarunkowania społeczno-gospodarcze… 2013</w:t>
      </w:r>
      <w:r w:rsidRPr="00C80963">
        <w:rPr>
          <w:szCs w:val="20"/>
        </w:rPr>
        <w:t>]</w:t>
      </w:r>
      <w:r w:rsidRPr="00C80963">
        <w:rPr>
          <w:rStyle w:val="Odwoanieprzypisudolnego"/>
          <w:szCs w:val="20"/>
        </w:rPr>
        <w:footnoteReference w:id="24"/>
      </w:r>
      <w:r w:rsidRPr="00C80963">
        <w:rPr>
          <w:szCs w:val="20"/>
        </w:rPr>
        <w:t>. Jednocześnie możliwości lokalizacji nowych inwestycji gospodarczych w Bytomiu istotnie ograniczone są ze względu na znaczną powierzchnię terenów objętych szkodami górniczymi (ponad ⅓ obszaru miasta). Ponadto czynnikami wpływającymi na obniżenie atrakcyjności inwestycyjnej miasta są negatywna presja środowiskowa ze strony dużych zakładów przemysłowych</w:t>
      </w:r>
      <w:r w:rsidRPr="00FA5C7F">
        <w:t xml:space="preserve"> </w:t>
      </w:r>
      <w:r w:rsidRPr="00C80963">
        <w:rPr>
          <w:szCs w:val="20"/>
        </w:rPr>
        <w:t>reprezentujących tradycyjne branże gospodarki, a także negatywny wizerunek Bytomia jako miasta zdegradowanego [</w:t>
      </w:r>
      <w:r w:rsidRPr="00C80963">
        <w:rPr>
          <w:i/>
          <w:szCs w:val="20"/>
        </w:rPr>
        <w:t>Strategia Rozwoju Miasta</w:t>
      </w:r>
      <w:r w:rsidR="0017230A">
        <w:rPr>
          <w:i/>
          <w:szCs w:val="20"/>
        </w:rPr>
        <w:t>.</w:t>
      </w:r>
      <w:r w:rsidRPr="00C80963">
        <w:rPr>
          <w:i/>
          <w:szCs w:val="20"/>
        </w:rPr>
        <w:t xml:space="preserve"> Bytom 2020+</w:t>
      </w:r>
      <w:r w:rsidRPr="00C80963">
        <w:rPr>
          <w:szCs w:val="20"/>
        </w:rPr>
        <w:t>].</w:t>
      </w:r>
    </w:p>
    <w:p w:rsidR="001C2FD4" w:rsidRPr="00C80963" w:rsidRDefault="001C2FD4" w:rsidP="00C80963">
      <w:pPr>
        <w:jc w:val="both"/>
        <w:rPr>
          <w:szCs w:val="20"/>
        </w:rPr>
      </w:pPr>
      <w:r w:rsidRPr="00C80963">
        <w:rPr>
          <w:szCs w:val="20"/>
        </w:rPr>
        <w:t xml:space="preserve">W konsekwencji Bytom cechuje się relatywnie </w:t>
      </w:r>
      <w:r w:rsidRPr="00FE66B3">
        <w:rPr>
          <w:b/>
          <w:color w:val="C00000"/>
          <w:szCs w:val="20"/>
        </w:rPr>
        <w:t>niskim poziomem atrakcyjności inwestycyjnej również dla zagranicznych inwestorów</w:t>
      </w:r>
      <w:r w:rsidRPr="00C80963">
        <w:rPr>
          <w:szCs w:val="20"/>
        </w:rPr>
        <w:t>, czego przejawem jest niewielka liczba funkcjonujących w mieście podmiotów z</w:t>
      </w:r>
      <w:r w:rsidR="0013236B">
        <w:rPr>
          <w:szCs w:val="20"/>
        </w:rPr>
        <w:t> </w:t>
      </w:r>
      <w:r w:rsidRPr="00C80963">
        <w:rPr>
          <w:szCs w:val="20"/>
        </w:rPr>
        <w:t xml:space="preserve">udziałem kapitału zagranicznego. W 2014 roku na Bytom przypadało jedynie 2,0% ogółu podmiotów </w:t>
      </w:r>
      <w:r w:rsidRPr="00C80963">
        <w:rPr>
          <w:szCs w:val="20"/>
        </w:rPr>
        <w:lastRenderedPageBreak/>
        <w:t>z</w:t>
      </w:r>
      <w:r w:rsidR="0013236B">
        <w:rPr>
          <w:szCs w:val="20"/>
        </w:rPr>
        <w:t> </w:t>
      </w:r>
      <w:r w:rsidRPr="00C80963">
        <w:rPr>
          <w:szCs w:val="20"/>
        </w:rPr>
        <w:t>udziałem kapitału zagranicznego działających w województwie śląskim i tylko 0,7% całkowitej wartości kapitału zagranicznego zainwestowanego w regionie [BDL GUS, dane za 2014 r.].</w:t>
      </w:r>
    </w:p>
    <w:p w:rsidR="001C2FD4" w:rsidRPr="00C80963" w:rsidRDefault="001C2FD4" w:rsidP="00C80963">
      <w:pPr>
        <w:jc w:val="both"/>
        <w:rPr>
          <w:szCs w:val="20"/>
        </w:rPr>
      </w:pPr>
      <w:r w:rsidRPr="00FE66B3">
        <w:rPr>
          <w:b/>
          <w:color w:val="C00000"/>
          <w:szCs w:val="20"/>
        </w:rPr>
        <w:t>Słabością miasta jest mała liczba dużych i rozpoznawalnych podmiotów gospodarczych mających siedzibę w</w:t>
      </w:r>
      <w:r w:rsidR="008F1C3D" w:rsidRPr="00FE66B3">
        <w:rPr>
          <w:b/>
          <w:color w:val="C00000"/>
          <w:szCs w:val="20"/>
        </w:rPr>
        <w:t> </w:t>
      </w:r>
      <w:r w:rsidRPr="00FE66B3">
        <w:rPr>
          <w:b/>
          <w:color w:val="C00000"/>
          <w:szCs w:val="20"/>
        </w:rPr>
        <w:t>Bytomiu</w:t>
      </w:r>
      <w:r w:rsidRPr="00C80963">
        <w:rPr>
          <w:rStyle w:val="Odwoanieprzypisudolnego"/>
          <w:szCs w:val="20"/>
        </w:rPr>
        <w:footnoteReference w:id="25"/>
      </w:r>
      <w:r w:rsidRPr="00C80963">
        <w:rPr>
          <w:szCs w:val="20"/>
        </w:rPr>
        <w:t>. Jedynie dwie firmy zlokalizowane w Bytomiu znajdują się na najnowszej edycji listy 2000 największych polskich przedsiębiorstw dziennika Rzeczpospolita (dla porównania w stolicy województwa funkcjonuje 45 takich firm, w Gliwicach – 13, w Chorzowie – 9, w Zabrzu – 5)</w:t>
      </w:r>
      <w:r w:rsidRPr="00C80963">
        <w:rPr>
          <w:rStyle w:val="Odwoanieprzypisudolnego"/>
          <w:szCs w:val="20"/>
        </w:rPr>
        <w:footnoteReference w:id="26"/>
      </w:r>
      <w:r w:rsidRPr="00C80963">
        <w:rPr>
          <w:szCs w:val="20"/>
        </w:rPr>
        <w:t xml:space="preserve">. </w:t>
      </w:r>
      <w:r w:rsidRPr="00FE66B3">
        <w:rPr>
          <w:b/>
          <w:color w:val="C00000"/>
          <w:szCs w:val="20"/>
        </w:rPr>
        <w:t>W Bytomiu działa także niewiele dynamicznych małych i średnich przedsiębiorstw.</w:t>
      </w:r>
      <w:r w:rsidRPr="00C80963">
        <w:rPr>
          <w:szCs w:val="20"/>
        </w:rPr>
        <w:t xml:space="preserve"> Liczba bytomskich firm notowanych w rankingu Gazele Biznesu wyraźnie odbiega </w:t>
      </w:r>
      <w:r w:rsidRPr="00C80963">
        <w:rPr>
          <w:i/>
          <w:szCs w:val="20"/>
        </w:rPr>
        <w:t>in minus</w:t>
      </w:r>
      <w:r w:rsidRPr="00C80963">
        <w:rPr>
          <w:szCs w:val="20"/>
        </w:rPr>
        <w:t xml:space="preserve"> od wartości notowanych dla innych dużych miast konurbacji katowickiej. </w:t>
      </w:r>
    </w:p>
    <w:p w:rsidR="001C2FD4" w:rsidRDefault="001C2FD4" w:rsidP="00D01F1F">
      <w:pPr>
        <w:ind w:firstLine="708"/>
        <w:jc w:val="both"/>
        <w:rPr>
          <w:szCs w:val="20"/>
        </w:rPr>
      </w:pPr>
      <w:r w:rsidRPr="00C80963">
        <w:rPr>
          <w:szCs w:val="20"/>
        </w:rPr>
        <w:t xml:space="preserve">Na tle Polski i województwa śląskiego, a także pozostałych miast na prawach powiatu w kraju, Bytom cechuje się niskim poziomem przedsiębiorczości. W 2014 roku na każdy 1000 mieszkańców Bytomia przypadało średnio 96 podmiotów wpisanych do rejestru REGON, podczas gdy przeciętnie w Polsce i województwie odpowiednio 107 oraz 101. Różnice te są jeszcze większe w zestawieniu ze średnią dla wszystkich miast w kraju (130) oraz regionie (106). Zauważamy jednocześnie </w:t>
      </w:r>
      <w:r w:rsidRPr="00FE66B3">
        <w:rPr>
          <w:b/>
          <w:color w:val="C00000"/>
          <w:szCs w:val="20"/>
        </w:rPr>
        <w:t>niską dynamikę przyrostu nowych przedsiębiorstw</w:t>
      </w:r>
      <w:r w:rsidRPr="00C80963">
        <w:rPr>
          <w:szCs w:val="20"/>
        </w:rPr>
        <w:t>. W</w:t>
      </w:r>
      <w:r w:rsidR="00DC5824">
        <w:rPr>
          <w:szCs w:val="20"/>
        </w:rPr>
        <w:t> </w:t>
      </w:r>
      <w:r w:rsidRPr="00C80963">
        <w:rPr>
          <w:szCs w:val="20"/>
        </w:rPr>
        <w:t>2014 roku liczba nowo zarejestrowanych podmiotów w rejestrze REGON w przeliczeniu na 1000</w:t>
      </w:r>
      <w:r w:rsidR="006944B9">
        <w:rPr>
          <w:szCs w:val="20"/>
        </w:rPr>
        <w:t> </w:t>
      </w:r>
      <w:r w:rsidRPr="00C80963">
        <w:rPr>
          <w:szCs w:val="20"/>
        </w:rPr>
        <w:t>mieszkańców wynosiła w</w:t>
      </w:r>
      <w:r w:rsidR="00900EB7">
        <w:rPr>
          <w:szCs w:val="20"/>
        </w:rPr>
        <w:t> </w:t>
      </w:r>
      <w:r w:rsidRPr="00C80963">
        <w:rPr>
          <w:szCs w:val="20"/>
        </w:rPr>
        <w:t>Bytomiu 6,7. W tym samym czasie przeciętnie w kraju i regionie wskaźnik ten przyjmował wartości odpowiednio 9,3 oraz 8,0 [BDL GUS, dane za 2014 r.].</w:t>
      </w:r>
    </w:p>
    <w:p w:rsidR="008A541F" w:rsidRDefault="008A541F" w:rsidP="00D01F1F">
      <w:pPr>
        <w:ind w:firstLine="708"/>
        <w:jc w:val="both"/>
        <w:rPr>
          <w:szCs w:val="20"/>
        </w:rPr>
      </w:pPr>
      <w:r>
        <w:rPr>
          <w:szCs w:val="20"/>
        </w:rPr>
        <w:t>Na poniższej mapie przedstawiono rozkład przestrzenny na terenie Bytomia spółek prawa handlowego (a więc jednej z kategorii podmiotów z rejestru REGON). Widoczne jest znaczne zagęszczenie spółek na niemal całym obszarze Śródmieścia. We wszystkich pozostałych podobszarach rewitalizacji wskaźnik liczby firm na 1</w:t>
      </w:r>
      <w:r w:rsidR="00DC5824">
        <w:rPr>
          <w:szCs w:val="20"/>
        </w:rPr>
        <w:t> </w:t>
      </w:r>
      <w:r>
        <w:rPr>
          <w:szCs w:val="20"/>
        </w:rPr>
        <w:t>tys. ludności jest znacznie niższy; liczne są tam kwartały, w których albo w ogóle nie ma spółek prawa handlowego, albo występują one w śladowych ilościach (białe pola na mapie).</w:t>
      </w:r>
    </w:p>
    <w:p w:rsidR="00A0726E" w:rsidRDefault="00A0726E" w:rsidP="00C80963">
      <w:pPr>
        <w:jc w:val="both"/>
        <w:rPr>
          <w:szCs w:val="20"/>
        </w:rPr>
      </w:pPr>
    </w:p>
    <w:p w:rsidR="00A0726E" w:rsidRDefault="00A0726E" w:rsidP="00A0726E">
      <w:pPr>
        <w:pStyle w:val="Legenda"/>
        <w:spacing w:line="312" w:lineRule="auto"/>
      </w:pPr>
      <w:bookmarkStart w:id="7751" w:name="_Toc191972638"/>
      <w:r w:rsidRPr="009E7F57">
        <w:t xml:space="preserve">Mapa </w:t>
      </w:r>
      <w:fldSimple w:instr=" SEQ Mapa \* ARABIC ">
        <w:r w:rsidR="00413FFE">
          <w:rPr>
            <w:noProof/>
          </w:rPr>
          <w:t>26</w:t>
        </w:r>
      </w:fldSimple>
      <w:r w:rsidR="00956673">
        <w:t>.</w:t>
      </w:r>
      <w:r>
        <w:t xml:space="preserve"> Spółki prawa handlowego w Bytomiu na 1 tys.</w:t>
      </w:r>
      <w:r w:rsidR="00D8673E">
        <w:t xml:space="preserve"> </w:t>
      </w:r>
      <w:r>
        <w:t>mieszkańców</w:t>
      </w:r>
      <w:bookmarkEnd w:id="7751"/>
    </w:p>
    <w:p w:rsidR="00A0726E" w:rsidRDefault="00A0726E" w:rsidP="008A541F">
      <w:pPr>
        <w:jc w:val="center"/>
      </w:pPr>
      <w:r>
        <w:rPr>
          <w:noProof/>
        </w:rPr>
        <w:drawing>
          <wp:inline distT="0" distB="0" distL="0" distR="0">
            <wp:extent cx="5400000" cy="3806668"/>
            <wp:effectExtent l="19050" t="0" r="0" b="0"/>
            <wp:docPr id="94" name="Obraz 2" descr="C:\Users\TT\Dropbox\irm-bytom-mapy\WYDRUKI\uzupelnienie-20161127\840 Spółki prawa handlowego na 1000 mieszkańcó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T\Dropbox\irm-bytom-mapy\WYDRUKI\uzupelnienie-20161127\840 Spółki prawa handlowego na 1000 mieszkańców.png"/>
                    <pic:cNvPicPr>
                      <a:picLocks noChangeAspect="1" noChangeArrowheads="1"/>
                    </pic:cNvPicPr>
                  </pic:nvPicPr>
                  <pic:blipFill>
                    <a:blip r:embed="rId48" cstate="print"/>
                    <a:srcRect/>
                    <a:stretch>
                      <a:fillRect/>
                    </a:stretch>
                  </pic:blipFill>
                  <pic:spPr bwMode="auto">
                    <a:xfrm>
                      <a:off x="0" y="0"/>
                      <a:ext cx="5400000" cy="3806668"/>
                    </a:xfrm>
                    <a:prstGeom prst="rect">
                      <a:avLst/>
                    </a:prstGeom>
                    <a:noFill/>
                    <a:ln w="9525">
                      <a:noFill/>
                      <a:miter lim="800000"/>
                      <a:headEnd/>
                      <a:tailEnd/>
                    </a:ln>
                  </pic:spPr>
                </pic:pic>
              </a:graphicData>
            </a:graphic>
          </wp:inline>
        </w:drawing>
      </w:r>
    </w:p>
    <w:p w:rsidR="00A0726E" w:rsidRPr="005F27F5" w:rsidRDefault="00A0726E" w:rsidP="00A0726E">
      <w:pPr>
        <w:autoSpaceDE w:val="0"/>
        <w:autoSpaceDN w:val="0"/>
        <w:adjustRightInd w:val="0"/>
        <w:rPr>
          <w:rFonts w:eastAsia="Calibri" w:cs="ArialNarrow"/>
          <w:i/>
          <w:sz w:val="18"/>
          <w:szCs w:val="20"/>
        </w:rPr>
      </w:pPr>
      <w:r w:rsidRPr="005F27F5">
        <w:rPr>
          <w:rFonts w:eastAsia="Calibri" w:cs="ArialNarrow"/>
          <w:i/>
          <w:sz w:val="18"/>
          <w:szCs w:val="20"/>
        </w:rPr>
        <w:t xml:space="preserve">Źródło: Opracowanie </w:t>
      </w:r>
      <w:r>
        <w:rPr>
          <w:rFonts w:eastAsia="Calibri" w:cs="ArialNarrow"/>
          <w:i/>
          <w:sz w:val="18"/>
          <w:szCs w:val="20"/>
        </w:rPr>
        <w:t>Instytutu Rozwoju Miast</w:t>
      </w:r>
    </w:p>
    <w:p w:rsidR="00D42F6F" w:rsidRDefault="00D42F6F" w:rsidP="00D01F1F">
      <w:pPr>
        <w:ind w:firstLine="708"/>
        <w:jc w:val="both"/>
        <w:rPr>
          <w:szCs w:val="20"/>
        </w:rPr>
      </w:pPr>
      <w:r>
        <w:rPr>
          <w:szCs w:val="20"/>
        </w:rPr>
        <w:lastRenderedPageBreak/>
        <w:t>Na kolejnej mapie punkty odpowiadają średnim, dużym i bardzo dużym spółkom. Większość firm z tej grupy występuje poza obszarem rewitalizacji, co potwierdza diagnozę o słabej kondycji gospodarczej na obszarze interwencji. Z kolei małe przedsiębiorstwa (mapa 31) są liczni reprezentowane w podobszarach centralnych, ale niemal nieobecne w pozostałych podobszarach rewitalizacji.</w:t>
      </w:r>
    </w:p>
    <w:p w:rsidR="00D42F6F" w:rsidRDefault="00D42F6F" w:rsidP="00D42F6F">
      <w:pPr>
        <w:autoSpaceDE w:val="0"/>
        <w:autoSpaceDN w:val="0"/>
        <w:adjustRightInd w:val="0"/>
        <w:rPr>
          <w:rFonts w:eastAsia="Calibri" w:cs="ArialNarrow"/>
          <w:sz w:val="18"/>
          <w:szCs w:val="20"/>
        </w:rPr>
      </w:pPr>
    </w:p>
    <w:p w:rsidR="00D42F6F" w:rsidRPr="00611299" w:rsidRDefault="00D42F6F" w:rsidP="00611299">
      <w:pPr>
        <w:pStyle w:val="Legenda"/>
        <w:spacing w:line="168" w:lineRule="auto"/>
      </w:pPr>
      <w:bookmarkStart w:id="7752" w:name="_Toc191972639"/>
      <w:r w:rsidRPr="009E7F57">
        <w:t xml:space="preserve">Mapa </w:t>
      </w:r>
      <w:fldSimple w:instr=" SEQ Mapa \* ARABIC ">
        <w:r w:rsidR="00413FFE">
          <w:rPr>
            <w:noProof/>
          </w:rPr>
          <w:t>27</w:t>
        </w:r>
      </w:fldSimple>
      <w:r w:rsidRPr="009E7F57">
        <w:t xml:space="preserve">. </w:t>
      </w:r>
      <w:r>
        <w:t>Średnie, duże i bardzo duże spółki prawa handlowego w Bytomiu</w:t>
      </w:r>
      <w:bookmarkEnd w:id="7752"/>
    </w:p>
    <w:p w:rsidR="00D42F6F" w:rsidRDefault="00D42F6F" w:rsidP="00D42F6F">
      <w:pPr>
        <w:autoSpaceDE w:val="0"/>
        <w:autoSpaceDN w:val="0"/>
        <w:adjustRightInd w:val="0"/>
        <w:jc w:val="center"/>
        <w:rPr>
          <w:rFonts w:eastAsia="Calibri" w:cs="ArialNarrow"/>
          <w:i/>
          <w:sz w:val="18"/>
          <w:szCs w:val="20"/>
        </w:rPr>
      </w:pPr>
      <w:r>
        <w:rPr>
          <w:noProof/>
          <w:szCs w:val="20"/>
        </w:rPr>
        <w:drawing>
          <wp:inline distT="0" distB="0" distL="0" distR="0">
            <wp:extent cx="5040630" cy="3429000"/>
            <wp:effectExtent l="19050" t="0" r="7620" b="0"/>
            <wp:docPr id="51" name="Obraz 7" descr="K:\ZPP\Kasia M\GPR - popr. po konsultacjach\uzupełnienia!!!\konsultacje IRM\mapy PKD\841 - ilosc pracownikow spolek prawa handlowego (tylko C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K:\ZPP\Kasia M\GPR - popr. po konsultacjach\uzupełnienia!!!\konsultacje IRM\mapy PKD\841 - ilosc pracownikow spolek prawa handlowego (tylko CDE).png"/>
                    <pic:cNvPicPr>
                      <a:picLocks noChangeAspect="1" noChangeArrowheads="1"/>
                    </pic:cNvPicPr>
                  </pic:nvPicPr>
                  <pic:blipFill>
                    <a:blip r:embed="rId49" cstate="print"/>
                    <a:srcRect t="1493" b="1879"/>
                    <a:stretch>
                      <a:fillRect/>
                    </a:stretch>
                  </pic:blipFill>
                  <pic:spPr bwMode="auto">
                    <a:xfrm>
                      <a:off x="0" y="0"/>
                      <a:ext cx="5040630" cy="3429000"/>
                    </a:xfrm>
                    <a:prstGeom prst="rect">
                      <a:avLst/>
                    </a:prstGeom>
                    <a:noFill/>
                    <a:ln w="9525">
                      <a:noFill/>
                      <a:miter lim="800000"/>
                      <a:headEnd/>
                      <a:tailEnd/>
                    </a:ln>
                  </pic:spPr>
                </pic:pic>
              </a:graphicData>
            </a:graphic>
          </wp:inline>
        </w:drawing>
      </w:r>
    </w:p>
    <w:p w:rsidR="00D42F6F" w:rsidRPr="005F27F5" w:rsidRDefault="00D42F6F" w:rsidP="00D42F6F">
      <w:pPr>
        <w:autoSpaceDE w:val="0"/>
        <w:autoSpaceDN w:val="0"/>
        <w:adjustRightInd w:val="0"/>
        <w:rPr>
          <w:rFonts w:eastAsia="Calibri" w:cs="ArialNarrow"/>
          <w:i/>
          <w:sz w:val="18"/>
          <w:szCs w:val="20"/>
        </w:rPr>
      </w:pPr>
      <w:r w:rsidRPr="005F27F5">
        <w:rPr>
          <w:rFonts w:eastAsia="Calibri" w:cs="ArialNarrow"/>
          <w:i/>
          <w:sz w:val="18"/>
          <w:szCs w:val="20"/>
        </w:rPr>
        <w:t xml:space="preserve">Źródło: Opracowanie </w:t>
      </w:r>
      <w:r>
        <w:rPr>
          <w:rFonts w:eastAsia="Calibri" w:cs="ArialNarrow"/>
          <w:i/>
          <w:sz w:val="18"/>
          <w:szCs w:val="20"/>
        </w:rPr>
        <w:t>Instytutu Rozwoju Miast</w:t>
      </w:r>
    </w:p>
    <w:p w:rsidR="00D42F6F" w:rsidRPr="00611299" w:rsidRDefault="00D42F6F" w:rsidP="00D42F6F">
      <w:pPr>
        <w:jc w:val="both"/>
        <w:rPr>
          <w:sz w:val="14"/>
          <w:szCs w:val="20"/>
        </w:rPr>
      </w:pPr>
    </w:p>
    <w:p w:rsidR="00D42F6F" w:rsidRDefault="00D42F6F" w:rsidP="00611299">
      <w:pPr>
        <w:pStyle w:val="Legenda"/>
        <w:keepNext/>
        <w:spacing w:line="168" w:lineRule="auto"/>
        <w:jc w:val="both"/>
      </w:pPr>
      <w:bookmarkStart w:id="7753" w:name="_Toc191972640"/>
      <w:r>
        <w:t xml:space="preserve">Mapa </w:t>
      </w:r>
      <w:fldSimple w:instr=" SEQ Mapa \* ARABIC ">
        <w:r w:rsidR="00413FFE">
          <w:rPr>
            <w:noProof/>
          </w:rPr>
          <w:t>28</w:t>
        </w:r>
      </w:fldSimple>
      <w:r>
        <w:t>. Małe przedsiębiorstwa</w:t>
      </w:r>
      <w:bookmarkEnd w:id="7753"/>
      <w:r>
        <w:t xml:space="preserve"> </w:t>
      </w:r>
    </w:p>
    <w:p w:rsidR="00D42F6F" w:rsidRDefault="00D42F6F" w:rsidP="00D42F6F">
      <w:pPr>
        <w:jc w:val="center"/>
        <w:rPr>
          <w:szCs w:val="20"/>
        </w:rPr>
      </w:pPr>
      <w:r w:rsidRPr="00DE5814">
        <w:rPr>
          <w:noProof/>
          <w:szCs w:val="20"/>
        </w:rPr>
        <w:drawing>
          <wp:inline distT="0" distB="0" distL="0" distR="0">
            <wp:extent cx="5076000" cy="3453061"/>
            <wp:effectExtent l="19050" t="0" r="0" b="0"/>
            <wp:docPr id="60" name="Obraz 8" descr="K:\ZPP\Kasia M\GPR - popr. po konsultacjach\uzupełnienia!!!\konsultacje IRM\mapy PKD\841 - ilosc pracownikow spolek prawa handlowego (tylko 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ZPP\Kasia M\GPR - popr. po konsultacjach\uzupełnienia!!!\konsultacje IRM\mapy PKD\841 - ilosc pracownikow spolek prawa handlowego (tylko B).png"/>
                    <pic:cNvPicPr>
                      <a:picLocks noChangeAspect="1" noChangeArrowheads="1"/>
                    </pic:cNvPicPr>
                  </pic:nvPicPr>
                  <pic:blipFill>
                    <a:blip r:embed="rId50" cstate="print"/>
                    <a:srcRect t="1624" b="1741"/>
                    <a:stretch>
                      <a:fillRect/>
                    </a:stretch>
                  </pic:blipFill>
                  <pic:spPr bwMode="auto">
                    <a:xfrm>
                      <a:off x="0" y="0"/>
                      <a:ext cx="5076000" cy="3453061"/>
                    </a:xfrm>
                    <a:prstGeom prst="rect">
                      <a:avLst/>
                    </a:prstGeom>
                    <a:noFill/>
                    <a:ln w="9525">
                      <a:noFill/>
                      <a:miter lim="800000"/>
                      <a:headEnd/>
                      <a:tailEnd/>
                    </a:ln>
                  </pic:spPr>
                </pic:pic>
              </a:graphicData>
            </a:graphic>
          </wp:inline>
        </w:drawing>
      </w:r>
    </w:p>
    <w:p w:rsidR="00D42F6F" w:rsidRDefault="00D42F6F" w:rsidP="00D42F6F">
      <w:pPr>
        <w:autoSpaceDE w:val="0"/>
        <w:autoSpaceDN w:val="0"/>
        <w:adjustRightInd w:val="0"/>
        <w:rPr>
          <w:rFonts w:eastAsia="Calibri" w:cs="ArialNarrow"/>
          <w:i/>
          <w:sz w:val="18"/>
          <w:szCs w:val="20"/>
        </w:rPr>
      </w:pPr>
      <w:r w:rsidRPr="005F27F5">
        <w:rPr>
          <w:rFonts w:eastAsia="Calibri" w:cs="ArialNarrow"/>
          <w:i/>
          <w:sz w:val="18"/>
          <w:szCs w:val="20"/>
        </w:rPr>
        <w:t xml:space="preserve">Źródło: Opracowanie </w:t>
      </w:r>
      <w:r>
        <w:rPr>
          <w:rFonts w:eastAsia="Calibri" w:cs="ArialNarrow"/>
          <w:i/>
          <w:sz w:val="18"/>
          <w:szCs w:val="20"/>
        </w:rPr>
        <w:t>Instytutu Rozwoju Miast</w:t>
      </w:r>
    </w:p>
    <w:p w:rsidR="00D42F6F" w:rsidRDefault="00D42F6F" w:rsidP="00D01F1F">
      <w:pPr>
        <w:ind w:firstLine="708"/>
        <w:jc w:val="both"/>
        <w:rPr>
          <w:szCs w:val="20"/>
        </w:rPr>
      </w:pPr>
      <w:r>
        <w:rPr>
          <w:szCs w:val="20"/>
        </w:rPr>
        <w:lastRenderedPageBreak/>
        <w:t>Najwięcej działa w Bytomiu mikroprzedsiębiorstw zatrudniających do 9 pracowników. Obserwujemy zagęszczenie tego typu spółek w Śródmieściu i Śródmieściu Północ. W pozostałych podobszarach rewitalizacji występują one śladowo, znaczni</w:t>
      </w:r>
      <w:r w:rsidR="000D61EC">
        <w:rPr>
          <w:szCs w:val="20"/>
        </w:rPr>
        <w:t>e</w:t>
      </w:r>
      <w:r>
        <w:rPr>
          <w:szCs w:val="20"/>
        </w:rPr>
        <w:t xml:space="preserve"> mniej intensywnie, niż na innych zamieszkałych terenach miasta. Szczególnym brakiem miejsc pracy, także w mikroprzedsiębiorstwach, charakteryzuje się Bobrek. </w:t>
      </w:r>
    </w:p>
    <w:p w:rsidR="00D42F6F" w:rsidRDefault="00D42F6F" w:rsidP="00D42F6F">
      <w:pPr>
        <w:jc w:val="both"/>
        <w:rPr>
          <w:szCs w:val="20"/>
        </w:rPr>
      </w:pPr>
    </w:p>
    <w:p w:rsidR="00D42F6F" w:rsidRDefault="00D42F6F" w:rsidP="00D42F6F">
      <w:pPr>
        <w:pStyle w:val="Legenda"/>
        <w:keepNext/>
        <w:jc w:val="both"/>
      </w:pPr>
      <w:bookmarkStart w:id="7754" w:name="_Toc191972641"/>
      <w:r>
        <w:t xml:space="preserve">Mapa </w:t>
      </w:r>
      <w:fldSimple w:instr=" SEQ Mapa \* ARABIC ">
        <w:r w:rsidR="00413FFE">
          <w:rPr>
            <w:noProof/>
          </w:rPr>
          <w:t>29</w:t>
        </w:r>
      </w:fldSimple>
      <w:r>
        <w:t>. Mikroprzedsiębiorstwa</w:t>
      </w:r>
      <w:bookmarkEnd w:id="7754"/>
      <w:r>
        <w:t xml:space="preserve"> </w:t>
      </w:r>
    </w:p>
    <w:p w:rsidR="00D42F6F" w:rsidRDefault="00D42F6F" w:rsidP="00D42F6F">
      <w:pPr>
        <w:jc w:val="center"/>
        <w:rPr>
          <w:szCs w:val="20"/>
        </w:rPr>
      </w:pPr>
      <w:r>
        <w:rPr>
          <w:noProof/>
          <w:szCs w:val="20"/>
        </w:rPr>
        <w:drawing>
          <wp:inline distT="0" distB="0" distL="0" distR="0">
            <wp:extent cx="5438775" cy="3705225"/>
            <wp:effectExtent l="19050" t="0" r="9525" b="0"/>
            <wp:docPr id="68" name="Obraz 6" descr="K:\ZPP\Kasia M\GPR - popr. po konsultacjach\uzupełnienia!!!\konsultacje IRM\mapy PKD\841 - ilosc pracownikow spolek prawa handlowego (tylko 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K:\ZPP\Kasia M\GPR - popr. po konsultacjach\uzupełnienia!!!\konsultacje IRM\mapy PKD\841 - ilosc pracownikow spolek prawa handlowego (tylko A).png"/>
                    <pic:cNvPicPr>
                      <a:picLocks noChangeAspect="1" noChangeArrowheads="1"/>
                    </pic:cNvPicPr>
                  </pic:nvPicPr>
                  <pic:blipFill>
                    <a:blip r:embed="rId51" cstate="print"/>
                    <a:srcRect t="1491" b="1874"/>
                    <a:stretch>
                      <a:fillRect/>
                    </a:stretch>
                  </pic:blipFill>
                  <pic:spPr bwMode="auto">
                    <a:xfrm>
                      <a:off x="0" y="0"/>
                      <a:ext cx="5438775" cy="3705225"/>
                    </a:xfrm>
                    <a:prstGeom prst="rect">
                      <a:avLst/>
                    </a:prstGeom>
                    <a:noFill/>
                    <a:ln w="9525">
                      <a:noFill/>
                      <a:miter lim="800000"/>
                      <a:headEnd/>
                      <a:tailEnd/>
                    </a:ln>
                  </pic:spPr>
                </pic:pic>
              </a:graphicData>
            </a:graphic>
          </wp:inline>
        </w:drawing>
      </w:r>
    </w:p>
    <w:p w:rsidR="00D42F6F" w:rsidRPr="005F27F5" w:rsidRDefault="00D42F6F" w:rsidP="00D42F6F">
      <w:pPr>
        <w:autoSpaceDE w:val="0"/>
        <w:autoSpaceDN w:val="0"/>
        <w:adjustRightInd w:val="0"/>
        <w:rPr>
          <w:rFonts w:eastAsia="Calibri" w:cs="ArialNarrow"/>
          <w:i/>
          <w:sz w:val="18"/>
          <w:szCs w:val="20"/>
        </w:rPr>
      </w:pPr>
      <w:r w:rsidRPr="005F27F5">
        <w:rPr>
          <w:rFonts w:eastAsia="Calibri" w:cs="ArialNarrow"/>
          <w:i/>
          <w:sz w:val="18"/>
          <w:szCs w:val="20"/>
        </w:rPr>
        <w:t xml:space="preserve">Źródło: Opracowanie </w:t>
      </w:r>
      <w:r>
        <w:rPr>
          <w:rFonts w:eastAsia="Calibri" w:cs="ArialNarrow"/>
          <w:i/>
          <w:sz w:val="18"/>
          <w:szCs w:val="20"/>
        </w:rPr>
        <w:t>Instytutu Rozwoju Miast</w:t>
      </w:r>
    </w:p>
    <w:p w:rsidR="00D42F6F" w:rsidRDefault="00D42F6F" w:rsidP="00D42F6F">
      <w:pPr>
        <w:jc w:val="both"/>
        <w:rPr>
          <w:sz w:val="18"/>
          <w:szCs w:val="20"/>
        </w:rPr>
      </w:pPr>
    </w:p>
    <w:p w:rsidR="00D42F6F" w:rsidRPr="005F15BF" w:rsidRDefault="00D42F6F" w:rsidP="006F44DE">
      <w:pPr>
        <w:autoSpaceDE w:val="0"/>
        <w:autoSpaceDN w:val="0"/>
        <w:adjustRightInd w:val="0"/>
        <w:ind w:firstLine="708"/>
        <w:jc w:val="both"/>
        <w:rPr>
          <w:rFonts w:eastAsia="Calibri" w:cs="ArialNarrow"/>
          <w:szCs w:val="20"/>
        </w:rPr>
      </w:pPr>
      <w:r w:rsidRPr="005F15BF">
        <w:rPr>
          <w:rFonts w:eastAsia="Calibri" w:cs="ArialNarrow"/>
          <w:szCs w:val="20"/>
        </w:rPr>
        <w:t>We wszystkich podobszarach najbardziej powszechnym rodzajem działalności spółek jest handel hurtowy (PKD nr 46), następnie zazwyczaj handel detaliczny (PKD nr 47) i roboty budowlane (PKD nr 41)</w:t>
      </w:r>
      <w:r w:rsidRPr="005F15BF">
        <w:rPr>
          <w:rStyle w:val="Odwoanieprzypisudolnego"/>
          <w:rFonts w:eastAsia="Calibri" w:cs="ArialNarrow"/>
          <w:szCs w:val="20"/>
        </w:rPr>
        <w:footnoteReference w:id="27"/>
      </w:r>
      <w:r w:rsidRPr="005F15BF">
        <w:rPr>
          <w:rFonts w:eastAsia="Calibri" w:cs="ArialNarrow"/>
          <w:szCs w:val="20"/>
        </w:rPr>
        <w:t>.</w:t>
      </w:r>
      <w:r w:rsidR="00692307">
        <w:rPr>
          <w:rFonts w:eastAsia="Calibri" w:cs="ArialNarrow"/>
          <w:szCs w:val="20"/>
        </w:rPr>
        <w:t xml:space="preserve"> </w:t>
      </w:r>
      <w:r>
        <w:rPr>
          <w:rFonts w:eastAsia="Calibri" w:cs="ArialNarrow"/>
          <w:szCs w:val="20"/>
        </w:rPr>
        <w:t>Z</w:t>
      </w:r>
      <w:r w:rsidR="006F44DE">
        <w:rPr>
          <w:rFonts w:eastAsia="Calibri" w:cs="ArialNarrow"/>
          <w:szCs w:val="20"/>
        </w:rPr>
        <w:t> </w:t>
      </w:r>
      <w:r>
        <w:rPr>
          <w:rFonts w:eastAsia="Calibri" w:cs="ArialNarrow"/>
          <w:szCs w:val="20"/>
        </w:rPr>
        <w:t>poniższej tabeli wynika, że firmy reprezentujące trzy najbardziej powszechne rodzaje działalności stanowią w</w:t>
      </w:r>
      <w:r w:rsidR="006F44DE">
        <w:rPr>
          <w:rFonts w:eastAsia="Calibri" w:cs="ArialNarrow"/>
          <w:szCs w:val="20"/>
        </w:rPr>
        <w:t> </w:t>
      </w:r>
      <w:r>
        <w:rPr>
          <w:rFonts w:eastAsia="Calibri" w:cs="ArialNarrow"/>
          <w:szCs w:val="20"/>
        </w:rPr>
        <w:t>poszczególnych podobszarach od 37,7% do 49,5%. Oznacza to znaczną koncentrację profilu firm</w:t>
      </w:r>
      <w:r>
        <w:rPr>
          <w:rStyle w:val="Odwoanieprzypisudolnego"/>
          <w:rFonts w:eastAsia="Calibri" w:cs="ArialNarrow"/>
          <w:szCs w:val="20"/>
        </w:rPr>
        <w:footnoteReference w:id="28"/>
      </w:r>
      <w:r>
        <w:rPr>
          <w:rFonts w:eastAsia="Calibri" w:cs="ArialNarrow"/>
          <w:szCs w:val="20"/>
        </w:rPr>
        <w:t xml:space="preserve">. </w:t>
      </w:r>
    </w:p>
    <w:p w:rsidR="00D42F6F" w:rsidRPr="005F15BF" w:rsidRDefault="00D42F6F" w:rsidP="00D42F6F">
      <w:pPr>
        <w:autoSpaceDE w:val="0"/>
        <w:autoSpaceDN w:val="0"/>
        <w:adjustRightInd w:val="0"/>
        <w:rPr>
          <w:rFonts w:ascii="Calibri" w:hAnsi="Calibri"/>
          <w:szCs w:val="20"/>
        </w:rPr>
      </w:pPr>
    </w:p>
    <w:p w:rsidR="00D42F6F" w:rsidRPr="008E2748" w:rsidRDefault="00D42F6F" w:rsidP="00D42F6F">
      <w:pPr>
        <w:pStyle w:val="Legenda"/>
        <w:spacing w:line="312" w:lineRule="auto"/>
        <w:rPr>
          <w:rFonts w:ascii="Calibri" w:hAnsi="Calibri" w:cs="Calibri"/>
        </w:rPr>
      </w:pPr>
      <w:bookmarkStart w:id="7755" w:name="_Toc202771113"/>
      <w:r>
        <w:rPr>
          <w:rFonts w:ascii="Calibri" w:hAnsi="Calibri" w:cs="Calibri"/>
        </w:rPr>
        <w:t xml:space="preserve">Tabela </w:t>
      </w:r>
      <w:r w:rsidR="003972D8">
        <w:rPr>
          <w:rFonts w:ascii="Calibri" w:hAnsi="Calibri" w:cs="Calibri"/>
        </w:rPr>
        <w:fldChar w:fldCharType="begin"/>
      </w:r>
      <w:r>
        <w:rPr>
          <w:rFonts w:ascii="Calibri" w:hAnsi="Calibri" w:cs="Calibri"/>
        </w:rPr>
        <w:instrText xml:space="preserve"> SEQ Tabela \* ARABIC </w:instrText>
      </w:r>
      <w:r w:rsidR="003972D8">
        <w:rPr>
          <w:rFonts w:ascii="Calibri" w:hAnsi="Calibri" w:cs="Calibri"/>
        </w:rPr>
        <w:fldChar w:fldCharType="separate"/>
      </w:r>
      <w:r w:rsidR="00413FFE">
        <w:rPr>
          <w:rFonts w:ascii="Calibri" w:hAnsi="Calibri" w:cs="Calibri"/>
          <w:noProof/>
        </w:rPr>
        <w:t>19</w:t>
      </w:r>
      <w:r w:rsidR="003972D8">
        <w:rPr>
          <w:rFonts w:ascii="Calibri" w:hAnsi="Calibri" w:cs="Calibri"/>
        </w:rPr>
        <w:fldChar w:fldCharType="end"/>
      </w:r>
      <w:r>
        <w:rPr>
          <w:rFonts w:ascii="Calibri" w:hAnsi="Calibri" w:cs="Calibri"/>
        </w:rPr>
        <w:t xml:space="preserve">. Trzy najczęściej występujące rodzaje działalności spółek </w:t>
      </w:r>
      <w:r w:rsidR="00FF6B04">
        <w:rPr>
          <w:rFonts w:ascii="Calibri" w:hAnsi="Calibri" w:cs="Calibri"/>
        </w:rPr>
        <w:t>w podobszarach rewitalizacji</w:t>
      </w:r>
      <w:bookmarkEnd w:id="7755"/>
    </w:p>
    <w:tbl>
      <w:tblPr>
        <w:tblW w:w="9040" w:type="dxa"/>
        <w:tblInd w:w="56" w:type="dxa"/>
        <w:tblCellMar>
          <w:left w:w="70" w:type="dxa"/>
          <w:right w:w="70" w:type="dxa"/>
        </w:tblCellMar>
        <w:tblLook w:val="04A0"/>
      </w:tblPr>
      <w:tblGrid>
        <w:gridCol w:w="4479"/>
        <w:gridCol w:w="1147"/>
        <w:gridCol w:w="1147"/>
        <w:gridCol w:w="1120"/>
        <w:gridCol w:w="1147"/>
      </w:tblGrid>
      <w:tr w:rsidR="00D42F6F" w:rsidRPr="006E4908" w:rsidTr="00AE4886">
        <w:trPr>
          <w:trHeight w:val="480"/>
        </w:trPr>
        <w:tc>
          <w:tcPr>
            <w:tcW w:w="4560" w:type="dxa"/>
            <w:tcBorders>
              <w:top w:val="single" w:sz="4" w:space="0" w:color="auto"/>
              <w:left w:val="single" w:sz="4" w:space="0" w:color="auto"/>
              <w:bottom w:val="single" w:sz="4" w:space="0" w:color="auto"/>
              <w:right w:val="single" w:sz="4" w:space="0" w:color="auto"/>
            </w:tcBorders>
            <w:shd w:val="clear" w:color="auto" w:fill="99CCFF"/>
            <w:vAlign w:val="center"/>
            <w:hideMark/>
          </w:tcPr>
          <w:p w:rsidR="00D42F6F" w:rsidRPr="006F294A" w:rsidRDefault="00D42F6F" w:rsidP="006F294A">
            <w:pPr>
              <w:jc w:val="center"/>
              <w:rPr>
                <w:rFonts w:ascii="Calibri" w:hAnsi="Calibri" w:cs="Arial"/>
                <w:b/>
                <w:bCs/>
                <w:szCs w:val="18"/>
              </w:rPr>
            </w:pPr>
            <w:r w:rsidRPr="006F294A">
              <w:rPr>
                <w:rFonts w:ascii="Calibri" w:hAnsi="Calibri" w:cs="Arial"/>
                <w:b/>
                <w:bCs/>
                <w:szCs w:val="18"/>
              </w:rPr>
              <w:t>PKD</w:t>
            </w:r>
          </w:p>
        </w:tc>
        <w:tc>
          <w:tcPr>
            <w:tcW w:w="1120" w:type="dxa"/>
            <w:tcBorders>
              <w:top w:val="single" w:sz="4" w:space="0" w:color="auto"/>
              <w:left w:val="nil"/>
              <w:bottom w:val="single" w:sz="4" w:space="0" w:color="auto"/>
              <w:right w:val="single" w:sz="4" w:space="0" w:color="auto"/>
            </w:tcBorders>
            <w:shd w:val="clear" w:color="auto" w:fill="99CCFF"/>
            <w:vAlign w:val="center"/>
            <w:hideMark/>
          </w:tcPr>
          <w:p w:rsidR="00D42F6F" w:rsidRPr="006F294A" w:rsidRDefault="00D42F6F" w:rsidP="006F294A">
            <w:pPr>
              <w:jc w:val="center"/>
              <w:rPr>
                <w:rFonts w:ascii="Calibri" w:hAnsi="Calibri" w:cs="Arial"/>
                <w:b/>
                <w:bCs/>
                <w:szCs w:val="18"/>
              </w:rPr>
            </w:pPr>
            <w:r w:rsidRPr="006F294A">
              <w:rPr>
                <w:rFonts w:ascii="Calibri" w:hAnsi="Calibri" w:cs="Arial"/>
                <w:b/>
                <w:bCs/>
                <w:szCs w:val="18"/>
              </w:rPr>
              <w:t>Śródmieście</w:t>
            </w:r>
          </w:p>
        </w:tc>
        <w:tc>
          <w:tcPr>
            <w:tcW w:w="1120" w:type="dxa"/>
            <w:tcBorders>
              <w:top w:val="single" w:sz="4" w:space="0" w:color="auto"/>
              <w:left w:val="nil"/>
              <w:bottom w:val="single" w:sz="4" w:space="0" w:color="auto"/>
              <w:right w:val="single" w:sz="4" w:space="0" w:color="auto"/>
            </w:tcBorders>
            <w:shd w:val="clear" w:color="auto" w:fill="99CCFF"/>
            <w:vAlign w:val="center"/>
            <w:hideMark/>
          </w:tcPr>
          <w:p w:rsidR="00D42F6F" w:rsidRPr="006F294A" w:rsidRDefault="00D42F6F" w:rsidP="006F294A">
            <w:pPr>
              <w:jc w:val="center"/>
              <w:rPr>
                <w:rFonts w:ascii="Calibri" w:hAnsi="Calibri" w:cs="Arial"/>
                <w:b/>
                <w:bCs/>
                <w:szCs w:val="18"/>
              </w:rPr>
            </w:pPr>
            <w:r w:rsidRPr="006F294A">
              <w:rPr>
                <w:rFonts w:ascii="Calibri" w:hAnsi="Calibri" w:cs="Arial"/>
                <w:b/>
                <w:bCs/>
                <w:szCs w:val="18"/>
              </w:rPr>
              <w:t>Śródmieście Północ</w:t>
            </w:r>
          </w:p>
        </w:tc>
        <w:tc>
          <w:tcPr>
            <w:tcW w:w="1120" w:type="dxa"/>
            <w:tcBorders>
              <w:top w:val="single" w:sz="4" w:space="0" w:color="auto"/>
              <w:left w:val="nil"/>
              <w:bottom w:val="single" w:sz="4" w:space="0" w:color="auto"/>
              <w:right w:val="single" w:sz="4" w:space="0" w:color="auto"/>
            </w:tcBorders>
            <w:shd w:val="clear" w:color="auto" w:fill="99CCFF"/>
            <w:vAlign w:val="center"/>
            <w:hideMark/>
          </w:tcPr>
          <w:p w:rsidR="00D42F6F" w:rsidRPr="006F294A" w:rsidRDefault="00D42F6F" w:rsidP="006F294A">
            <w:pPr>
              <w:jc w:val="center"/>
              <w:rPr>
                <w:rFonts w:ascii="Calibri" w:hAnsi="Calibri" w:cs="Arial"/>
                <w:b/>
                <w:bCs/>
                <w:szCs w:val="18"/>
              </w:rPr>
            </w:pPr>
            <w:r w:rsidRPr="006F294A">
              <w:rPr>
                <w:rFonts w:ascii="Calibri" w:hAnsi="Calibri" w:cs="Arial"/>
                <w:b/>
                <w:bCs/>
                <w:szCs w:val="18"/>
              </w:rPr>
              <w:t>Rozbark</w:t>
            </w:r>
          </w:p>
        </w:tc>
        <w:tc>
          <w:tcPr>
            <w:tcW w:w="1120" w:type="dxa"/>
            <w:tcBorders>
              <w:top w:val="single" w:sz="4" w:space="0" w:color="auto"/>
              <w:left w:val="nil"/>
              <w:bottom w:val="single" w:sz="4" w:space="0" w:color="auto"/>
              <w:right w:val="single" w:sz="4" w:space="0" w:color="auto"/>
            </w:tcBorders>
            <w:shd w:val="clear" w:color="auto" w:fill="99CCFF"/>
            <w:vAlign w:val="center"/>
            <w:hideMark/>
          </w:tcPr>
          <w:p w:rsidR="00D42F6F" w:rsidRPr="006F294A" w:rsidRDefault="00D42F6F" w:rsidP="006F294A">
            <w:pPr>
              <w:jc w:val="center"/>
              <w:rPr>
                <w:rFonts w:ascii="Calibri" w:hAnsi="Calibri" w:cs="Arial"/>
                <w:b/>
                <w:bCs/>
                <w:szCs w:val="18"/>
              </w:rPr>
            </w:pPr>
            <w:r w:rsidRPr="006F294A">
              <w:rPr>
                <w:rFonts w:ascii="Calibri" w:hAnsi="Calibri" w:cs="Arial"/>
                <w:b/>
                <w:bCs/>
                <w:szCs w:val="18"/>
              </w:rPr>
              <w:t>Śródmieście Zachód</w:t>
            </w:r>
          </w:p>
        </w:tc>
      </w:tr>
      <w:tr w:rsidR="00D42F6F" w:rsidRPr="006E4908" w:rsidTr="00D42F6F">
        <w:trPr>
          <w:trHeight w:val="480"/>
        </w:trPr>
        <w:tc>
          <w:tcPr>
            <w:tcW w:w="4560" w:type="dxa"/>
            <w:tcBorders>
              <w:top w:val="nil"/>
              <w:left w:val="single" w:sz="4" w:space="0" w:color="auto"/>
              <w:bottom w:val="single" w:sz="4" w:space="0" w:color="auto"/>
              <w:right w:val="single" w:sz="4" w:space="0" w:color="auto"/>
            </w:tcBorders>
            <w:shd w:val="clear" w:color="auto" w:fill="auto"/>
            <w:vAlign w:val="center"/>
            <w:hideMark/>
          </w:tcPr>
          <w:p w:rsidR="00D42F6F" w:rsidRPr="00443340" w:rsidRDefault="00AE4886" w:rsidP="00D42F6F">
            <w:pPr>
              <w:rPr>
                <w:rFonts w:ascii="Calibri" w:hAnsi="Calibri" w:cs="Arial"/>
                <w:szCs w:val="20"/>
              </w:rPr>
            </w:pPr>
            <w:r w:rsidRPr="00443340">
              <w:rPr>
                <w:rFonts w:ascii="Calibri" w:hAnsi="Calibri" w:cs="Arial"/>
                <w:szCs w:val="20"/>
              </w:rPr>
              <w:t>Handel hurtowy, z wyłączeniem handlu pojazdami samochodowymi</w:t>
            </w:r>
          </w:p>
        </w:tc>
        <w:tc>
          <w:tcPr>
            <w:tcW w:w="1120" w:type="dxa"/>
            <w:tcBorders>
              <w:top w:val="nil"/>
              <w:left w:val="nil"/>
              <w:bottom w:val="single" w:sz="4" w:space="0" w:color="auto"/>
              <w:right w:val="single" w:sz="4" w:space="0" w:color="auto"/>
            </w:tcBorders>
            <w:shd w:val="clear" w:color="auto" w:fill="auto"/>
            <w:noWrap/>
            <w:vAlign w:val="center"/>
            <w:hideMark/>
          </w:tcPr>
          <w:p w:rsidR="00D42F6F" w:rsidRPr="006E4908" w:rsidRDefault="00D42F6F" w:rsidP="00D42F6F">
            <w:pPr>
              <w:jc w:val="center"/>
              <w:rPr>
                <w:rFonts w:ascii="Calibri" w:hAnsi="Calibri" w:cs="Arial"/>
                <w:sz w:val="18"/>
                <w:szCs w:val="18"/>
              </w:rPr>
            </w:pPr>
            <w:r w:rsidRPr="006E4908">
              <w:rPr>
                <w:rFonts w:ascii="Calibri" w:hAnsi="Calibri" w:cs="Arial"/>
                <w:sz w:val="18"/>
                <w:szCs w:val="18"/>
              </w:rPr>
              <w:t>18,10%</w:t>
            </w:r>
          </w:p>
        </w:tc>
        <w:tc>
          <w:tcPr>
            <w:tcW w:w="1120" w:type="dxa"/>
            <w:tcBorders>
              <w:top w:val="nil"/>
              <w:left w:val="nil"/>
              <w:bottom w:val="single" w:sz="4" w:space="0" w:color="auto"/>
              <w:right w:val="single" w:sz="4" w:space="0" w:color="auto"/>
            </w:tcBorders>
            <w:shd w:val="clear" w:color="auto" w:fill="auto"/>
            <w:noWrap/>
            <w:vAlign w:val="center"/>
            <w:hideMark/>
          </w:tcPr>
          <w:p w:rsidR="00D42F6F" w:rsidRPr="006E4908" w:rsidRDefault="00D42F6F" w:rsidP="00D42F6F">
            <w:pPr>
              <w:jc w:val="center"/>
              <w:rPr>
                <w:rFonts w:ascii="Calibri" w:hAnsi="Calibri" w:cs="Arial"/>
                <w:sz w:val="18"/>
                <w:szCs w:val="18"/>
              </w:rPr>
            </w:pPr>
            <w:r w:rsidRPr="006E4908">
              <w:rPr>
                <w:rFonts w:ascii="Calibri" w:hAnsi="Calibri" w:cs="Arial"/>
                <w:sz w:val="18"/>
                <w:szCs w:val="18"/>
              </w:rPr>
              <w:t>21,50%</w:t>
            </w:r>
          </w:p>
        </w:tc>
        <w:tc>
          <w:tcPr>
            <w:tcW w:w="1120" w:type="dxa"/>
            <w:tcBorders>
              <w:top w:val="nil"/>
              <w:left w:val="nil"/>
              <w:bottom w:val="single" w:sz="4" w:space="0" w:color="auto"/>
              <w:right w:val="single" w:sz="4" w:space="0" w:color="auto"/>
            </w:tcBorders>
            <w:shd w:val="clear" w:color="auto" w:fill="auto"/>
            <w:noWrap/>
            <w:vAlign w:val="center"/>
            <w:hideMark/>
          </w:tcPr>
          <w:p w:rsidR="00D42F6F" w:rsidRPr="006E4908" w:rsidRDefault="00D42F6F" w:rsidP="00D42F6F">
            <w:pPr>
              <w:jc w:val="center"/>
              <w:rPr>
                <w:rFonts w:ascii="Calibri" w:hAnsi="Calibri" w:cs="Arial"/>
                <w:sz w:val="18"/>
                <w:szCs w:val="18"/>
              </w:rPr>
            </w:pPr>
            <w:r w:rsidRPr="006E4908">
              <w:rPr>
                <w:rFonts w:ascii="Calibri" w:hAnsi="Calibri" w:cs="Arial"/>
                <w:sz w:val="18"/>
                <w:szCs w:val="18"/>
              </w:rPr>
              <w:t>31,30%</w:t>
            </w:r>
          </w:p>
        </w:tc>
        <w:tc>
          <w:tcPr>
            <w:tcW w:w="1120" w:type="dxa"/>
            <w:tcBorders>
              <w:top w:val="nil"/>
              <w:left w:val="nil"/>
              <w:bottom w:val="single" w:sz="4" w:space="0" w:color="auto"/>
              <w:right w:val="single" w:sz="4" w:space="0" w:color="auto"/>
            </w:tcBorders>
            <w:shd w:val="clear" w:color="auto" w:fill="auto"/>
            <w:noWrap/>
            <w:vAlign w:val="center"/>
            <w:hideMark/>
          </w:tcPr>
          <w:p w:rsidR="00D42F6F" w:rsidRPr="006E4908" w:rsidRDefault="00D42F6F" w:rsidP="00D42F6F">
            <w:pPr>
              <w:jc w:val="center"/>
              <w:rPr>
                <w:rFonts w:ascii="Calibri" w:hAnsi="Calibri" w:cs="Arial"/>
                <w:sz w:val="18"/>
                <w:szCs w:val="18"/>
              </w:rPr>
            </w:pPr>
            <w:r w:rsidRPr="006E4908">
              <w:rPr>
                <w:rFonts w:ascii="Calibri" w:hAnsi="Calibri" w:cs="Arial"/>
                <w:sz w:val="18"/>
                <w:szCs w:val="18"/>
              </w:rPr>
              <w:t>23,10%</w:t>
            </w:r>
          </w:p>
        </w:tc>
      </w:tr>
      <w:tr w:rsidR="00D42F6F" w:rsidRPr="006E4908" w:rsidTr="00D42F6F">
        <w:trPr>
          <w:trHeight w:val="480"/>
        </w:trPr>
        <w:tc>
          <w:tcPr>
            <w:tcW w:w="4560" w:type="dxa"/>
            <w:tcBorders>
              <w:top w:val="nil"/>
              <w:left w:val="single" w:sz="4" w:space="0" w:color="auto"/>
              <w:bottom w:val="single" w:sz="4" w:space="0" w:color="auto"/>
              <w:right w:val="single" w:sz="4" w:space="0" w:color="auto"/>
            </w:tcBorders>
            <w:shd w:val="clear" w:color="auto" w:fill="auto"/>
            <w:vAlign w:val="center"/>
            <w:hideMark/>
          </w:tcPr>
          <w:p w:rsidR="00D42F6F" w:rsidRPr="00443340" w:rsidRDefault="00AE4886" w:rsidP="00D42F6F">
            <w:pPr>
              <w:rPr>
                <w:rFonts w:ascii="Calibri" w:hAnsi="Calibri" w:cs="Arial"/>
                <w:szCs w:val="20"/>
              </w:rPr>
            </w:pPr>
            <w:r w:rsidRPr="00443340">
              <w:rPr>
                <w:rFonts w:ascii="Calibri" w:hAnsi="Calibri" w:cs="Arial"/>
                <w:szCs w:val="20"/>
              </w:rPr>
              <w:t>Handel detaliczny, z wyłączeniem handlu detalicznego pojazdami samochodowymi</w:t>
            </w:r>
          </w:p>
        </w:tc>
        <w:tc>
          <w:tcPr>
            <w:tcW w:w="1120" w:type="dxa"/>
            <w:tcBorders>
              <w:top w:val="nil"/>
              <w:left w:val="nil"/>
              <w:bottom w:val="single" w:sz="4" w:space="0" w:color="auto"/>
              <w:right w:val="single" w:sz="4" w:space="0" w:color="auto"/>
            </w:tcBorders>
            <w:shd w:val="clear" w:color="auto" w:fill="auto"/>
            <w:noWrap/>
            <w:vAlign w:val="center"/>
            <w:hideMark/>
          </w:tcPr>
          <w:p w:rsidR="00D42F6F" w:rsidRPr="006E4908" w:rsidRDefault="00D42F6F" w:rsidP="00D42F6F">
            <w:pPr>
              <w:jc w:val="center"/>
              <w:rPr>
                <w:rFonts w:ascii="Calibri" w:hAnsi="Calibri" w:cs="Arial"/>
                <w:sz w:val="18"/>
                <w:szCs w:val="18"/>
              </w:rPr>
            </w:pPr>
            <w:r w:rsidRPr="006E4908">
              <w:rPr>
                <w:rFonts w:ascii="Calibri" w:hAnsi="Calibri" w:cs="Arial"/>
                <w:sz w:val="18"/>
                <w:szCs w:val="18"/>
              </w:rPr>
              <w:t>10,30%</w:t>
            </w:r>
          </w:p>
        </w:tc>
        <w:tc>
          <w:tcPr>
            <w:tcW w:w="1120" w:type="dxa"/>
            <w:tcBorders>
              <w:top w:val="nil"/>
              <w:left w:val="nil"/>
              <w:bottom w:val="single" w:sz="4" w:space="0" w:color="auto"/>
              <w:right w:val="single" w:sz="4" w:space="0" w:color="auto"/>
            </w:tcBorders>
            <w:shd w:val="clear" w:color="auto" w:fill="auto"/>
            <w:noWrap/>
            <w:vAlign w:val="center"/>
            <w:hideMark/>
          </w:tcPr>
          <w:p w:rsidR="00D42F6F" w:rsidRPr="006E4908" w:rsidRDefault="00D42F6F" w:rsidP="00D42F6F">
            <w:pPr>
              <w:jc w:val="center"/>
              <w:rPr>
                <w:rFonts w:ascii="Calibri" w:hAnsi="Calibri" w:cs="Arial"/>
                <w:sz w:val="18"/>
                <w:szCs w:val="18"/>
              </w:rPr>
            </w:pPr>
            <w:r w:rsidRPr="006E4908">
              <w:rPr>
                <w:rFonts w:ascii="Calibri" w:hAnsi="Calibri" w:cs="Arial"/>
                <w:sz w:val="18"/>
                <w:szCs w:val="18"/>
              </w:rPr>
              <w:t>19,60%</w:t>
            </w:r>
          </w:p>
        </w:tc>
        <w:tc>
          <w:tcPr>
            <w:tcW w:w="1120" w:type="dxa"/>
            <w:tcBorders>
              <w:top w:val="nil"/>
              <w:left w:val="nil"/>
              <w:bottom w:val="single" w:sz="4" w:space="0" w:color="auto"/>
              <w:right w:val="single" w:sz="4" w:space="0" w:color="auto"/>
            </w:tcBorders>
            <w:shd w:val="clear" w:color="auto" w:fill="auto"/>
            <w:noWrap/>
            <w:vAlign w:val="center"/>
            <w:hideMark/>
          </w:tcPr>
          <w:p w:rsidR="00D42F6F" w:rsidRPr="006E4908" w:rsidRDefault="00D42F6F" w:rsidP="00D42F6F">
            <w:pPr>
              <w:jc w:val="center"/>
              <w:rPr>
                <w:rFonts w:ascii="Calibri" w:hAnsi="Calibri" w:cs="Arial"/>
                <w:sz w:val="18"/>
                <w:szCs w:val="18"/>
              </w:rPr>
            </w:pPr>
            <w:r w:rsidRPr="006E4908">
              <w:rPr>
                <w:rFonts w:ascii="Calibri" w:hAnsi="Calibri" w:cs="Arial"/>
                <w:sz w:val="18"/>
                <w:szCs w:val="18"/>
              </w:rPr>
              <w:t>10,40%</w:t>
            </w:r>
          </w:p>
        </w:tc>
        <w:tc>
          <w:tcPr>
            <w:tcW w:w="1120" w:type="dxa"/>
            <w:tcBorders>
              <w:top w:val="nil"/>
              <w:left w:val="nil"/>
              <w:bottom w:val="single" w:sz="4" w:space="0" w:color="auto"/>
              <w:right w:val="single" w:sz="4" w:space="0" w:color="auto"/>
            </w:tcBorders>
            <w:shd w:val="clear" w:color="auto" w:fill="auto"/>
            <w:noWrap/>
            <w:vAlign w:val="center"/>
            <w:hideMark/>
          </w:tcPr>
          <w:p w:rsidR="00D42F6F" w:rsidRPr="006E4908" w:rsidRDefault="00D42F6F" w:rsidP="00D42F6F">
            <w:pPr>
              <w:jc w:val="center"/>
              <w:rPr>
                <w:rFonts w:ascii="Calibri" w:hAnsi="Calibri" w:cs="Arial"/>
                <w:sz w:val="18"/>
                <w:szCs w:val="18"/>
              </w:rPr>
            </w:pPr>
            <w:r w:rsidRPr="006E4908">
              <w:rPr>
                <w:rFonts w:ascii="Calibri" w:hAnsi="Calibri" w:cs="Arial"/>
                <w:sz w:val="18"/>
                <w:szCs w:val="18"/>
              </w:rPr>
              <w:t>11,60%</w:t>
            </w:r>
          </w:p>
        </w:tc>
      </w:tr>
      <w:tr w:rsidR="00D42F6F" w:rsidRPr="006E4908" w:rsidTr="00D42F6F">
        <w:trPr>
          <w:trHeight w:val="480"/>
        </w:trPr>
        <w:tc>
          <w:tcPr>
            <w:tcW w:w="4560" w:type="dxa"/>
            <w:tcBorders>
              <w:top w:val="nil"/>
              <w:left w:val="single" w:sz="4" w:space="0" w:color="auto"/>
              <w:bottom w:val="single" w:sz="4" w:space="0" w:color="auto"/>
              <w:right w:val="single" w:sz="4" w:space="0" w:color="auto"/>
            </w:tcBorders>
            <w:shd w:val="clear" w:color="auto" w:fill="auto"/>
            <w:vAlign w:val="center"/>
            <w:hideMark/>
          </w:tcPr>
          <w:p w:rsidR="00D42F6F" w:rsidRPr="00443340" w:rsidRDefault="00AE4886" w:rsidP="00D42F6F">
            <w:pPr>
              <w:rPr>
                <w:rFonts w:ascii="Calibri" w:hAnsi="Calibri" w:cs="Arial"/>
                <w:szCs w:val="20"/>
              </w:rPr>
            </w:pPr>
            <w:r w:rsidRPr="00443340">
              <w:rPr>
                <w:rFonts w:ascii="Calibri" w:hAnsi="Calibri" w:cs="Arial"/>
                <w:szCs w:val="20"/>
              </w:rPr>
              <w:t>Roboty budowlane związane ze wznoszeniem budynków</w:t>
            </w:r>
          </w:p>
        </w:tc>
        <w:tc>
          <w:tcPr>
            <w:tcW w:w="1120" w:type="dxa"/>
            <w:tcBorders>
              <w:top w:val="nil"/>
              <w:left w:val="nil"/>
              <w:bottom w:val="single" w:sz="4" w:space="0" w:color="auto"/>
              <w:right w:val="single" w:sz="4" w:space="0" w:color="auto"/>
            </w:tcBorders>
            <w:shd w:val="clear" w:color="auto" w:fill="auto"/>
            <w:noWrap/>
            <w:vAlign w:val="center"/>
            <w:hideMark/>
          </w:tcPr>
          <w:p w:rsidR="00D42F6F" w:rsidRPr="006E4908" w:rsidRDefault="00D42F6F" w:rsidP="00D42F6F">
            <w:pPr>
              <w:jc w:val="center"/>
              <w:rPr>
                <w:rFonts w:ascii="Calibri" w:hAnsi="Calibri" w:cs="Arial"/>
                <w:sz w:val="18"/>
                <w:szCs w:val="18"/>
              </w:rPr>
            </w:pPr>
            <w:r w:rsidRPr="006E4908">
              <w:rPr>
                <w:rFonts w:ascii="Calibri" w:hAnsi="Calibri" w:cs="Arial"/>
                <w:sz w:val="18"/>
                <w:szCs w:val="18"/>
              </w:rPr>
              <w:t>9,30%</w:t>
            </w:r>
          </w:p>
        </w:tc>
        <w:tc>
          <w:tcPr>
            <w:tcW w:w="1120" w:type="dxa"/>
            <w:tcBorders>
              <w:top w:val="nil"/>
              <w:left w:val="nil"/>
              <w:bottom w:val="single" w:sz="4" w:space="0" w:color="auto"/>
              <w:right w:val="single" w:sz="4" w:space="0" w:color="auto"/>
            </w:tcBorders>
            <w:shd w:val="clear" w:color="auto" w:fill="auto"/>
            <w:noWrap/>
            <w:vAlign w:val="center"/>
            <w:hideMark/>
          </w:tcPr>
          <w:p w:rsidR="00D42F6F" w:rsidRPr="006E4908" w:rsidRDefault="00D42F6F" w:rsidP="00D42F6F">
            <w:pPr>
              <w:jc w:val="center"/>
              <w:rPr>
                <w:rFonts w:ascii="Calibri" w:hAnsi="Calibri" w:cs="Arial"/>
                <w:sz w:val="18"/>
                <w:szCs w:val="18"/>
              </w:rPr>
            </w:pPr>
            <w:r w:rsidRPr="006E4908">
              <w:rPr>
                <w:rFonts w:ascii="Calibri" w:hAnsi="Calibri" w:cs="Arial"/>
                <w:sz w:val="18"/>
                <w:szCs w:val="18"/>
              </w:rPr>
              <w:t>8,40%</w:t>
            </w:r>
          </w:p>
        </w:tc>
        <w:tc>
          <w:tcPr>
            <w:tcW w:w="1120" w:type="dxa"/>
            <w:tcBorders>
              <w:top w:val="nil"/>
              <w:left w:val="nil"/>
              <w:bottom w:val="single" w:sz="4" w:space="0" w:color="auto"/>
              <w:right w:val="single" w:sz="4" w:space="0" w:color="auto"/>
            </w:tcBorders>
            <w:shd w:val="clear" w:color="auto" w:fill="auto"/>
            <w:noWrap/>
            <w:vAlign w:val="center"/>
            <w:hideMark/>
          </w:tcPr>
          <w:p w:rsidR="00D42F6F" w:rsidRPr="006E4908" w:rsidRDefault="00D42F6F" w:rsidP="00D42F6F">
            <w:pPr>
              <w:jc w:val="center"/>
              <w:rPr>
                <w:rFonts w:ascii="Calibri" w:hAnsi="Calibri" w:cs="Arial"/>
                <w:sz w:val="18"/>
                <w:szCs w:val="18"/>
              </w:rPr>
            </w:pPr>
            <w:r w:rsidRPr="006E4908">
              <w:rPr>
                <w:rFonts w:ascii="Calibri" w:hAnsi="Calibri" w:cs="Arial"/>
                <w:sz w:val="18"/>
                <w:szCs w:val="18"/>
              </w:rPr>
              <w:t>6,30%</w:t>
            </w:r>
          </w:p>
        </w:tc>
        <w:tc>
          <w:tcPr>
            <w:tcW w:w="1120" w:type="dxa"/>
            <w:tcBorders>
              <w:top w:val="nil"/>
              <w:left w:val="nil"/>
              <w:bottom w:val="single" w:sz="4" w:space="0" w:color="auto"/>
              <w:right w:val="single" w:sz="4" w:space="0" w:color="auto"/>
            </w:tcBorders>
            <w:shd w:val="clear" w:color="auto" w:fill="auto"/>
            <w:noWrap/>
            <w:vAlign w:val="center"/>
            <w:hideMark/>
          </w:tcPr>
          <w:p w:rsidR="00D42F6F" w:rsidRPr="006E4908" w:rsidRDefault="00D42F6F" w:rsidP="00D42F6F">
            <w:pPr>
              <w:jc w:val="center"/>
              <w:rPr>
                <w:rFonts w:ascii="Calibri" w:hAnsi="Calibri" w:cs="Arial"/>
                <w:sz w:val="18"/>
                <w:szCs w:val="18"/>
              </w:rPr>
            </w:pPr>
            <w:r w:rsidRPr="006E4908">
              <w:rPr>
                <w:rFonts w:ascii="Calibri" w:hAnsi="Calibri" w:cs="Arial"/>
                <w:sz w:val="18"/>
                <w:szCs w:val="18"/>
              </w:rPr>
              <w:t> </w:t>
            </w:r>
          </w:p>
        </w:tc>
      </w:tr>
      <w:tr w:rsidR="00D42F6F" w:rsidRPr="006E4908" w:rsidTr="00D42F6F">
        <w:trPr>
          <w:trHeight w:val="480"/>
        </w:trPr>
        <w:tc>
          <w:tcPr>
            <w:tcW w:w="4560" w:type="dxa"/>
            <w:tcBorders>
              <w:top w:val="nil"/>
              <w:left w:val="single" w:sz="4" w:space="0" w:color="auto"/>
              <w:bottom w:val="single" w:sz="4" w:space="0" w:color="auto"/>
              <w:right w:val="single" w:sz="4" w:space="0" w:color="auto"/>
            </w:tcBorders>
            <w:shd w:val="clear" w:color="auto" w:fill="auto"/>
            <w:vAlign w:val="center"/>
            <w:hideMark/>
          </w:tcPr>
          <w:p w:rsidR="00D42F6F" w:rsidRPr="00443340" w:rsidRDefault="00AE4886" w:rsidP="00D42F6F">
            <w:pPr>
              <w:rPr>
                <w:rFonts w:ascii="Calibri" w:hAnsi="Calibri" w:cs="Arial"/>
                <w:szCs w:val="20"/>
              </w:rPr>
            </w:pPr>
            <w:r w:rsidRPr="00443340">
              <w:rPr>
                <w:rFonts w:ascii="Calibri" w:hAnsi="Calibri" w:cs="Arial"/>
                <w:szCs w:val="20"/>
              </w:rPr>
              <w:t>Działalność firm centralnych (head offices); doradztwo związane z zarządzaniem</w:t>
            </w:r>
          </w:p>
        </w:tc>
        <w:tc>
          <w:tcPr>
            <w:tcW w:w="1120" w:type="dxa"/>
            <w:tcBorders>
              <w:top w:val="nil"/>
              <w:left w:val="nil"/>
              <w:bottom w:val="single" w:sz="4" w:space="0" w:color="auto"/>
              <w:right w:val="single" w:sz="4" w:space="0" w:color="auto"/>
            </w:tcBorders>
            <w:shd w:val="clear" w:color="auto" w:fill="auto"/>
            <w:noWrap/>
            <w:vAlign w:val="center"/>
            <w:hideMark/>
          </w:tcPr>
          <w:p w:rsidR="00D42F6F" w:rsidRPr="006E4908" w:rsidRDefault="00D42F6F" w:rsidP="00D42F6F">
            <w:pPr>
              <w:jc w:val="center"/>
              <w:rPr>
                <w:rFonts w:ascii="Calibri" w:hAnsi="Calibri" w:cs="Arial"/>
                <w:sz w:val="18"/>
                <w:szCs w:val="18"/>
              </w:rPr>
            </w:pPr>
            <w:r w:rsidRPr="006E4908">
              <w:rPr>
                <w:rFonts w:ascii="Calibri" w:hAnsi="Calibri" w:cs="Arial"/>
                <w:sz w:val="18"/>
                <w:szCs w:val="18"/>
              </w:rPr>
              <w:t> </w:t>
            </w:r>
          </w:p>
        </w:tc>
        <w:tc>
          <w:tcPr>
            <w:tcW w:w="1120" w:type="dxa"/>
            <w:tcBorders>
              <w:top w:val="nil"/>
              <w:left w:val="nil"/>
              <w:bottom w:val="single" w:sz="4" w:space="0" w:color="auto"/>
              <w:right w:val="single" w:sz="4" w:space="0" w:color="auto"/>
            </w:tcBorders>
            <w:shd w:val="clear" w:color="auto" w:fill="auto"/>
            <w:noWrap/>
            <w:vAlign w:val="center"/>
            <w:hideMark/>
          </w:tcPr>
          <w:p w:rsidR="00D42F6F" w:rsidRPr="006E4908" w:rsidRDefault="00D42F6F" w:rsidP="00D42F6F">
            <w:pPr>
              <w:jc w:val="center"/>
              <w:rPr>
                <w:rFonts w:ascii="Calibri" w:hAnsi="Calibri" w:cs="Arial"/>
                <w:sz w:val="18"/>
                <w:szCs w:val="18"/>
              </w:rPr>
            </w:pPr>
            <w:r w:rsidRPr="006E4908">
              <w:rPr>
                <w:rFonts w:ascii="Calibri" w:hAnsi="Calibri" w:cs="Arial"/>
                <w:sz w:val="18"/>
                <w:szCs w:val="18"/>
              </w:rPr>
              <w:t> </w:t>
            </w:r>
          </w:p>
        </w:tc>
        <w:tc>
          <w:tcPr>
            <w:tcW w:w="1120" w:type="dxa"/>
            <w:tcBorders>
              <w:top w:val="nil"/>
              <w:left w:val="nil"/>
              <w:bottom w:val="single" w:sz="4" w:space="0" w:color="auto"/>
              <w:right w:val="single" w:sz="4" w:space="0" w:color="auto"/>
            </w:tcBorders>
            <w:shd w:val="clear" w:color="auto" w:fill="auto"/>
            <w:noWrap/>
            <w:vAlign w:val="center"/>
            <w:hideMark/>
          </w:tcPr>
          <w:p w:rsidR="00D42F6F" w:rsidRPr="006E4908" w:rsidRDefault="00D42F6F" w:rsidP="00D42F6F">
            <w:pPr>
              <w:jc w:val="center"/>
              <w:rPr>
                <w:rFonts w:ascii="Calibri" w:hAnsi="Calibri" w:cs="Arial"/>
                <w:sz w:val="18"/>
                <w:szCs w:val="18"/>
              </w:rPr>
            </w:pPr>
            <w:r w:rsidRPr="006E4908">
              <w:rPr>
                <w:rFonts w:ascii="Calibri" w:hAnsi="Calibri" w:cs="Arial"/>
                <w:sz w:val="18"/>
                <w:szCs w:val="18"/>
              </w:rPr>
              <w:t> </w:t>
            </w:r>
          </w:p>
        </w:tc>
        <w:tc>
          <w:tcPr>
            <w:tcW w:w="1120" w:type="dxa"/>
            <w:tcBorders>
              <w:top w:val="nil"/>
              <w:left w:val="nil"/>
              <w:bottom w:val="single" w:sz="4" w:space="0" w:color="auto"/>
              <w:right w:val="single" w:sz="4" w:space="0" w:color="auto"/>
            </w:tcBorders>
            <w:shd w:val="clear" w:color="auto" w:fill="auto"/>
            <w:noWrap/>
            <w:vAlign w:val="center"/>
            <w:hideMark/>
          </w:tcPr>
          <w:p w:rsidR="00D42F6F" w:rsidRPr="006E4908" w:rsidRDefault="00D42F6F" w:rsidP="00D42F6F">
            <w:pPr>
              <w:jc w:val="center"/>
              <w:rPr>
                <w:rFonts w:ascii="Calibri" w:hAnsi="Calibri" w:cs="Arial"/>
                <w:sz w:val="18"/>
                <w:szCs w:val="18"/>
              </w:rPr>
            </w:pPr>
            <w:r w:rsidRPr="006E4908">
              <w:rPr>
                <w:rFonts w:ascii="Calibri" w:hAnsi="Calibri" w:cs="Arial"/>
                <w:sz w:val="18"/>
                <w:szCs w:val="18"/>
              </w:rPr>
              <w:t>7,70%</w:t>
            </w:r>
          </w:p>
        </w:tc>
      </w:tr>
      <w:tr w:rsidR="00D42F6F" w:rsidRPr="006E4908" w:rsidTr="00443340">
        <w:trPr>
          <w:trHeight w:val="255"/>
        </w:trPr>
        <w:tc>
          <w:tcPr>
            <w:tcW w:w="4560" w:type="dxa"/>
            <w:tcBorders>
              <w:top w:val="nil"/>
              <w:left w:val="single" w:sz="4" w:space="0" w:color="auto"/>
              <w:bottom w:val="single" w:sz="4" w:space="0" w:color="auto"/>
              <w:right w:val="single" w:sz="4" w:space="0" w:color="auto"/>
            </w:tcBorders>
            <w:shd w:val="clear" w:color="auto" w:fill="99CCFF"/>
            <w:vAlign w:val="bottom"/>
            <w:hideMark/>
          </w:tcPr>
          <w:p w:rsidR="00D42F6F" w:rsidRPr="00443340" w:rsidRDefault="00D42F6F" w:rsidP="00D42F6F">
            <w:pPr>
              <w:jc w:val="right"/>
              <w:rPr>
                <w:rFonts w:ascii="Calibri" w:hAnsi="Calibri" w:cs="Arial"/>
                <w:b/>
                <w:bCs/>
                <w:szCs w:val="20"/>
              </w:rPr>
            </w:pPr>
            <w:r w:rsidRPr="00443340">
              <w:rPr>
                <w:rFonts w:ascii="Calibri" w:hAnsi="Calibri" w:cs="Arial"/>
                <w:b/>
                <w:bCs/>
                <w:szCs w:val="20"/>
              </w:rPr>
              <w:t xml:space="preserve">Udział trzech pierwszych rodzajów działalności </w:t>
            </w:r>
          </w:p>
        </w:tc>
        <w:tc>
          <w:tcPr>
            <w:tcW w:w="1120" w:type="dxa"/>
            <w:tcBorders>
              <w:top w:val="nil"/>
              <w:left w:val="nil"/>
              <w:bottom w:val="single" w:sz="4" w:space="0" w:color="auto"/>
              <w:right w:val="single" w:sz="4" w:space="0" w:color="auto"/>
            </w:tcBorders>
            <w:shd w:val="clear" w:color="auto" w:fill="99CCFF"/>
            <w:noWrap/>
            <w:vAlign w:val="bottom"/>
            <w:hideMark/>
          </w:tcPr>
          <w:p w:rsidR="00D42F6F" w:rsidRPr="00443340" w:rsidRDefault="00D42F6F" w:rsidP="00D42F6F">
            <w:pPr>
              <w:jc w:val="center"/>
              <w:rPr>
                <w:rFonts w:ascii="Calibri" w:hAnsi="Calibri" w:cs="Arial"/>
                <w:b/>
                <w:bCs/>
                <w:szCs w:val="20"/>
              </w:rPr>
            </w:pPr>
            <w:r w:rsidRPr="00443340">
              <w:rPr>
                <w:rFonts w:ascii="Calibri" w:hAnsi="Calibri" w:cs="Arial"/>
                <w:b/>
                <w:bCs/>
                <w:szCs w:val="20"/>
              </w:rPr>
              <w:t>37,70%</w:t>
            </w:r>
          </w:p>
        </w:tc>
        <w:tc>
          <w:tcPr>
            <w:tcW w:w="1120" w:type="dxa"/>
            <w:tcBorders>
              <w:top w:val="nil"/>
              <w:left w:val="nil"/>
              <w:bottom w:val="single" w:sz="4" w:space="0" w:color="auto"/>
              <w:right w:val="single" w:sz="4" w:space="0" w:color="auto"/>
            </w:tcBorders>
            <w:shd w:val="clear" w:color="auto" w:fill="99CCFF"/>
            <w:noWrap/>
            <w:vAlign w:val="bottom"/>
            <w:hideMark/>
          </w:tcPr>
          <w:p w:rsidR="00D42F6F" w:rsidRPr="00443340" w:rsidRDefault="00D42F6F" w:rsidP="00D42F6F">
            <w:pPr>
              <w:jc w:val="center"/>
              <w:rPr>
                <w:rFonts w:ascii="Calibri" w:hAnsi="Calibri" w:cs="Arial"/>
                <w:b/>
                <w:bCs/>
                <w:szCs w:val="20"/>
              </w:rPr>
            </w:pPr>
            <w:r w:rsidRPr="00443340">
              <w:rPr>
                <w:rFonts w:ascii="Calibri" w:hAnsi="Calibri" w:cs="Arial"/>
                <w:b/>
                <w:bCs/>
                <w:szCs w:val="20"/>
              </w:rPr>
              <w:t>49,50%</w:t>
            </w:r>
          </w:p>
        </w:tc>
        <w:tc>
          <w:tcPr>
            <w:tcW w:w="1120" w:type="dxa"/>
            <w:tcBorders>
              <w:top w:val="nil"/>
              <w:left w:val="nil"/>
              <w:bottom w:val="single" w:sz="4" w:space="0" w:color="auto"/>
              <w:right w:val="single" w:sz="4" w:space="0" w:color="auto"/>
            </w:tcBorders>
            <w:shd w:val="clear" w:color="auto" w:fill="99CCFF"/>
            <w:noWrap/>
            <w:vAlign w:val="bottom"/>
            <w:hideMark/>
          </w:tcPr>
          <w:p w:rsidR="00D42F6F" w:rsidRPr="00443340" w:rsidRDefault="00D42F6F" w:rsidP="00D42F6F">
            <w:pPr>
              <w:jc w:val="center"/>
              <w:rPr>
                <w:rFonts w:ascii="Calibri" w:hAnsi="Calibri" w:cs="Arial"/>
                <w:b/>
                <w:bCs/>
                <w:szCs w:val="20"/>
              </w:rPr>
            </w:pPr>
            <w:r w:rsidRPr="00443340">
              <w:rPr>
                <w:rFonts w:ascii="Calibri" w:hAnsi="Calibri" w:cs="Arial"/>
                <w:b/>
                <w:bCs/>
                <w:szCs w:val="20"/>
              </w:rPr>
              <w:t>48,00%</w:t>
            </w:r>
          </w:p>
        </w:tc>
        <w:tc>
          <w:tcPr>
            <w:tcW w:w="1120" w:type="dxa"/>
            <w:tcBorders>
              <w:top w:val="nil"/>
              <w:left w:val="nil"/>
              <w:bottom w:val="single" w:sz="4" w:space="0" w:color="auto"/>
              <w:right w:val="single" w:sz="4" w:space="0" w:color="auto"/>
            </w:tcBorders>
            <w:shd w:val="clear" w:color="auto" w:fill="99CCFF"/>
            <w:noWrap/>
            <w:vAlign w:val="bottom"/>
            <w:hideMark/>
          </w:tcPr>
          <w:p w:rsidR="00D42F6F" w:rsidRPr="00443340" w:rsidRDefault="00D42F6F" w:rsidP="00D42F6F">
            <w:pPr>
              <w:jc w:val="center"/>
              <w:rPr>
                <w:rFonts w:ascii="Calibri" w:hAnsi="Calibri" w:cs="Arial"/>
                <w:b/>
                <w:bCs/>
                <w:szCs w:val="20"/>
              </w:rPr>
            </w:pPr>
            <w:r w:rsidRPr="00443340">
              <w:rPr>
                <w:rFonts w:ascii="Calibri" w:hAnsi="Calibri" w:cs="Arial"/>
                <w:b/>
                <w:bCs/>
                <w:szCs w:val="20"/>
              </w:rPr>
              <w:t>42,40%</w:t>
            </w:r>
          </w:p>
        </w:tc>
      </w:tr>
    </w:tbl>
    <w:p w:rsidR="00D42F6F" w:rsidRPr="005F27F5" w:rsidRDefault="00D42F6F" w:rsidP="00D42F6F">
      <w:pPr>
        <w:autoSpaceDE w:val="0"/>
        <w:autoSpaceDN w:val="0"/>
        <w:adjustRightInd w:val="0"/>
        <w:rPr>
          <w:rFonts w:eastAsia="Calibri" w:cs="ArialNarrow"/>
          <w:i/>
          <w:sz w:val="18"/>
          <w:szCs w:val="20"/>
        </w:rPr>
      </w:pPr>
      <w:r w:rsidRPr="005F27F5">
        <w:rPr>
          <w:rFonts w:eastAsia="Calibri" w:cs="ArialNarrow"/>
          <w:i/>
          <w:sz w:val="18"/>
          <w:szCs w:val="20"/>
        </w:rPr>
        <w:t xml:space="preserve">Źródło: Opracowanie </w:t>
      </w:r>
      <w:r>
        <w:rPr>
          <w:rFonts w:eastAsia="Calibri" w:cs="ArialNarrow"/>
          <w:i/>
          <w:sz w:val="18"/>
          <w:szCs w:val="20"/>
        </w:rPr>
        <w:t>Instytutu Rozwoju Miast</w:t>
      </w:r>
    </w:p>
    <w:p w:rsidR="00D42F6F" w:rsidRPr="005F15BF" w:rsidRDefault="00D42F6F" w:rsidP="006F44DE">
      <w:pPr>
        <w:autoSpaceDE w:val="0"/>
        <w:autoSpaceDN w:val="0"/>
        <w:adjustRightInd w:val="0"/>
        <w:ind w:firstLine="708"/>
        <w:jc w:val="both"/>
        <w:rPr>
          <w:rFonts w:ascii="Calibri" w:hAnsi="Calibri"/>
          <w:szCs w:val="20"/>
        </w:rPr>
      </w:pPr>
      <w:r>
        <w:rPr>
          <w:rFonts w:ascii="Calibri" w:hAnsi="Calibri"/>
          <w:szCs w:val="20"/>
        </w:rPr>
        <w:lastRenderedPageBreak/>
        <w:t>Dla pełniejszego zobrazowania rodzajów prowadzonej działalności poniżej zestawiono dla dwóch najbardziej nasyconych spółkami podobszarów – Śródmieścia i Śródmieścia Północ – rodzaje działalności PKD, które wystąpiły co najmniej dwa razy. Pominięto te rodzaje, które są domeną pojedynczych spółek. Przekrój rodzajów działalności jest szeroki, oczywiście większy w wypadku Śródmieścia, gdzie koncentruje się najwięcej firm.</w:t>
      </w:r>
    </w:p>
    <w:p w:rsidR="00D42F6F" w:rsidRDefault="00D42F6F" w:rsidP="00D42F6F">
      <w:pPr>
        <w:autoSpaceDE w:val="0"/>
        <w:autoSpaceDN w:val="0"/>
        <w:adjustRightInd w:val="0"/>
        <w:rPr>
          <w:rFonts w:ascii="Calibri" w:hAnsi="Calibri"/>
          <w:szCs w:val="20"/>
        </w:rPr>
      </w:pPr>
    </w:p>
    <w:p w:rsidR="00D42F6F" w:rsidRPr="00B101EF" w:rsidRDefault="00D42F6F" w:rsidP="00D42F6F">
      <w:pPr>
        <w:pStyle w:val="Legenda"/>
        <w:spacing w:line="312" w:lineRule="auto"/>
        <w:rPr>
          <w:rFonts w:ascii="Calibri" w:hAnsi="Calibri" w:cs="Calibri"/>
        </w:rPr>
      </w:pPr>
      <w:bookmarkStart w:id="7756" w:name="_Toc202771114"/>
      <w:r>
        <w:rPr>
          <w:rFonts w:ascii="Calibri" w:hAnsi="Calibri" w:cs="Calibri"/>
        </w:rPr>
        <w:t xml:space="preserve">Tabela </w:t>
      </w:r>
      <w:r w:rsidR="003972D8">
        <w:rPr>
          <w:rFonts w:ascii="Calibri" w:hAnsi="Calibri" w:cs="Calibri"/>
        </w:rPr>
        <w:fldChar w:fldCharType="begin"/>
      </w:r>
      <w:r>
        <w:rPr>
          <w:rFonts w:ascii="Calibri" w:hAnsi="Calibri" w:cs="Calibri"/>
        </w:rPr>
        <w:instrText xml:space="preserve"> SEQ Tabela \* ARABIC </w:instrText>
      </w:r>
      <w:r w:rsidR="003972D8">
        <w:rPr>
          <w:rFonts w:ascii="Calibri" w:hAnsi="Calibri" w:cs="Calibri"/>
        </w:rPr>
        <w:fldChar w:fldCharType="separate"/>
      </w:r>
      <w:r w:rsidR="00413FFE">
        <w:rPr>
          <w:rFonts w:ascii="Calibri" w:hAnsi="Calibri" w:cs="Calibri"/>
          <w:noProof/>
        </w:rPr>
        <w:t>20</w:t>
      </w:r>
      <w:r w:rsidR="003972D8">
        <w:rPr>
          <w:rFonts w:ascii="Calibri" w:hAnsi="Calibri" w:cs="Calibri"/>
        </w:rPr>
        <w:fldChar w:fldCharType="end"/>
      </w:r>
      <w:r>
        <w:rPr>
          <w:rFonts w:ascii="Calibri" w:hAnsi="Calibri" w:cs="Calibri"/>
        </w:rPr>
        <w:t>. Charakterystyka działalności spółek wg PKD w Śródmieściu i Śródmieściu Północ</w:t>
      </w:r>
      <w:bookmarkEnd w:id="7756"/>
    </w:p>
    <w:tbl>
      <w:tblPr>
        <w:tblW w:w="0" w:type="auto"/>
        <w:tblInd w:w="56" w:type="dxa"/>
        <w:tblLayout w:type="fixed"/>
        <w:tblCellMar>
          <w:left w:w="70" w:type="dxa"/>
          <w:right w:w="70" w:type="dxa"/>
        </w:tblCellMar>
        <w:tblLook w:val="04A0"/>
      </w:tblPr>
      <w:tblGrid>
        <w:gridCol w:w="482"/>
        <w:gridCol w:w="7896"/>
        <w:gridCol w:w="776"/>
      </w:tblGrid>
      <w:tr w:rsidR="00D42F6F" w:rsidRPr="006D42E1" w:rsidTr="006D42E1">
        <w:trPr>
          <w:trHeight w:val="289"/>
        </w:trPr>
        <w:tc>
          <w:tcPr>
            <w:tcW w:w="482" w:type="dxa"/>
            <w:tcBorders>
              <w:top w:val="single" w:sz="4" w:space="0" w:color="auto"/>
              <w:left w:val="single" w:sz="4" w:space="0" w:color="auto"/>
              <w:bottom w:val="single" w:sz="4" w:space="0" w:color="auto"/>
              <w:right w:val="single" w:sz="4" w:space="0" w:color="auto"/>
            </w:tcBorders>
            <w:shd w:val="clear" w:color="auto" w:fill="99CCFF"/>
            <w:noWrap/>
            <w:vAlign w:val="center"/>
            <w:hideMark/>
          </w:tcPr>
          <w:p w:rsidR="00D42F6F" w:rsidRPr="006D42E1" w:rsidRDefault="00D42F6F" w:rsidP="00440F67">
            <w:pPr>
              <w:jc w:val="center"/>
              <w:rPr>
                <w:rFonts w:ascii="Calibri" w:hAnsi="Calibri" w:cs="Arial"/>
                <w:b/>
                <w:bCs/>
                <w:szCs w:val="20"/>
              </w:rPr>
            </w:pPr>
            <w:r w:rsidRPr="006D42E1">
              <w:rPr>
                <w:rFonts w:ascii="Calibri" w:hAnsi="Calibri" w:cs="Arial"/>
                <w:b/>
                <w:bCs/>
                <w:szCs w:val="20"/>
              </w:rPr>
              <w:t>PKD</w:t>
            </w:r>
          </w:p>
        </w:tc>
        <w:tc>
          <w:tcPr>
            <w:tcW w:w="7896" w:type="dxa"/>
            <w:tcBorders>
              <w:top w:val="single" w:sz="4" w:space="0" w:color="auto"/>
              <w:left w:val="nil"/>
              <w:bottom w:val="single" w:sz="4" w:space="0" w:color="auto"/>
              <w:right w:val="single" w:sz="4" w:space="0" w:color="auto"/>
            </w:tcBorders>
            <w:shd w:val="clear" w:color="auto" w:fill="99CCFF"/>
            <w:vAlign w:val="center"/>
            <w:hideMark/>
          </w:tcPr>
          <w:p w:rsidR="00D42F6F" w:rsidRPr="006D42E1" w:rsidRDefault="00D42F6F" w:rsidP="00440F67">
            <w:pPr>
              <w:jc w:val="center"/>
              <w:rPr>
                <w:rFonts w:ascii="Calibri" w:hAnsi="Calibri" w:cs="Arial"/>
                <w:b/>
                <w:bCs/>
                <w:szCs w:val="20"/>
              </w:rPr>
            </w:pPr>
            <w:r w:rsidRPr="006D42E1">
              <w:rPr>
                <w:rFonts w:ascii="Calibri" w:hAnsi="Calibri" w:cs="Arial"/>
                <w:b/>
                <w:bCs/>
                <w:szCs w:val="20"/>
              </w:rPr>
              <w:t xml:space="preserve">ŚRÓDMIEŚCIE </w:t>
            </w:r>
            <w:r w:rsidR="00443340" w:rsidRPr="006D42E1">
              <w:rPr>
                <w:rFonts w:ascii="Calibri" w:hAnsi="Calibri" w:cs="Arial"/>
                <w:b/>
                <w:bCs/>
                <w:szCs w:val="20"/>
              </w:rPr>
              <w:t>–</w:t>
            </w:r>
            <w:r w:rsidRPr="006D42E1">
              <w:rPr>
                <w:rFonts w:ascii="Calibri" w:hAnsi="Calibri" w:cs="Arial"/>
                <w:b/>
                <w:bCs/>
                <w:szCs w:val="20"/>
              </w:rPr>
              <w:t xml:space="preserve"> RODZAJ DZIAŁALNOŚCI WEDŁUG PKD</w:t>
            </w:r>
          </w:p>
        </w:tc>
        <w:tc>
          <w:tcPr>
            <w:tcW w:w="776" w:type="dxa"/>
            <w:tcBorders>
              <w:top w:val="single" w:sz="4" w:space="0" w:color="auto"/>
              <w:left w:val="nil"/>
              <w:bottom w:val="single" w:sz="4" w:space="0" w:color="auto"/>
              <w:right w:val="single" w:sz="4" w:space="0" w:color="auto"/>
            </w:tcBorders>
            <w:shd w:val="clear" w:color="auto" w:fill="99CCFF"/>
            <w:noWrap/>
            <w:vAlign w:val="center"/>
            <w:hideMark/>
          </w:tcPr>
          <w:p w:rsidR="00D42F6F" w:rsidRPr="006D42E1" w:rsidRDefault="00D42F6F" w:rsidP="00440F67">
            <w:pPr>
              <w:jc w:val="center"/>
              <w:rPr>
                <w:rFonts w:ascii="Calibri" w:hAnsi="Calibri" w:cs="Arial"/>
                <w:b/>
                <w:bCs/>
                <w:szCs w:val="20"/>
              </w:rPr>
            </w:pPr>
            <w:r w:rsidRPr="006D42E1">
              <w:rPr>
                <w:rFonts w:ascii="Calibri" w:hAnsi="Calibri" w:cs="Arial"/>
                <w:b/>
                <w:bCs/>
                <w:szCs w:val="20"/>
              </w:rPr>
              <w:t>LICZBA SPÓŁEK</w:t>
            </w:r>
          </w:p>
        </w:tc>
      </w:tr>
      <w:tr w:rsidR="00D42F6F" w:rsidRPr="006D42E1" w:rsidTr="006D42E1">
        <w:trPr>
          <w:trHeight w:val="255"/>
        </w:trPr>
        <w:tc>
          <w:tcPr>
            <w:tcW w:w="482" w:type="dxa"/>
            <w:tcBorders>
              <w:top w:val="nil"/>
              <w:left w:val="single" w:sz="4" w:space="0" w:color="auto"/>
              <w:bottom w:val="single" w:sz="4" w:space="0" w:color="auto"/>
              <w:right w:val="single" w:sz="4" w:space="0" w:color="auto"/>
            </w:tcBorders>
            <w:shd w:val="clear" w:color="auto" w:fill="auto"/>
            <w:noWrap/>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46</w:t>
            </w:r>
          </w:p>
        </w:tc>
        <w:tc>
          <w:tcPr>
            <w:tcW w:w="7896" w:type="dxa"/>
            <w:tcBorders>
              <w:top w:val="nil"/>
              <w:left w:val="nil"/>
              <w:bottom w:val="single" w:sz="4" w:space="0" w:color="auto"/>
              <w:right w:val="single" w:sz="4" w:space="0" w:color="auto"/>
            </w:tcBorders>
            <w:shd w:val="clear" w:color="auto" w:fill="auto"/>
            <w:vAlign w:val="center"/>
            <w:hideMark/>
          </w:tcPr>
          <w:p w:rsidR="00D42F6F" w:rsidRPr="006D42E1" w:rsidRDefault="00D42F6F" w:rsidP="006D42E1">
            <w:pPr>
              <w:spacing w:before="20" w:after="20"/>
              <w:rPr>
                <w:rFonts w:ascii="Calibri" w:hAnsi="Calibri" w:cs="Arial"/>
                <w:sz w:val="19"/>
                <w:szCs w:val="19"/>
              </w:rPr>
            </w:pPr>
            <w:r w:rsidRPr="006D42E1">
              <w:rPr>
                <w:rFonts w:ascii="Calibri" w:hAnsi="Calibri" w:cs="Arial"/>
                <w:sz w:val="19"/>
                <w:szCs w:val="19"/>
              </w:rPr>
              <w:t>HANDEL HURTOWY, Z WYŁĄCZENIEM HANDLU POJAZDAMI SAMOCHODOWYMI</w:t>
            </w:r>
          </w:p>
        </w:tc>
        <w:tc>
          <w:tcPr>
            <w:tcW w:w="776" w:type="dxa"/>
            <w:tcBorders>
              <w:top w:val="nil"/>
              <w:left w:val="nil"/>
              <w:bottom w:val="single" w:sz="4" w:space="0" w:color="auto"/>
              <w:right w:val="single" w:sz="4" w:space="0" w:color="auto"/>
            </w:tcBorders>
            <w:shd w:val="clear" w:color="auto" w:fill="auto"/>
            <w:noWrap/>
            <w:vAlign w:val="center"/>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37</w:t>
            </w:r>
          </w:p>
        </w:tc>
      </w:tr>
      <w:tr w:rsidR="00D42F6F" w:rsidRPr="006D42E1" w:rsidTr="006D42E1">
        <w:trPr>
          <w:trHeight w:val="255"/>
        </w:trPr>
        <w:tc>
          <w:tcPr>
            <w:tcW w:w="482" w:type="dxa"/>
            <w:tcBorders>
              <w:top w:val="nil"/>
              <w:left w:val="single" w:sz="4" w:space="0" w:color="auto"/>
              <w:bottom w:val="single" w:sz="4" w:space="0" w:color="auto"/>
              <w:right w:val="single" w:sz="4" w:space="0" w:color="auto"/>
            </w:tcBorders>
            <w:shd w:val="clear" w:color="auto" w:fill="auto"/>
            <w:noWrap/>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47</w:t>
            </w:r>
          </w:p>
        </w:tc>
        <w:tc>
          <w:tcPr>
            <w:tcW w:w="7896" w:type="dxa"/>
            <w:tcBorders>
              <w:top w:val="nil"/>
              <w:left w:val="nil"/>
              <w:bottom w:val="single" w:sz="4" w:space="0" w:color="auto"/>
              <w:right w:val="single" w:sz="4" w:space="0" w:color="auto"/>
            </w:tcBorders>
            <w:shd w:val="clear" w:color="auto" w:fill="auto"/>
            <w:vAlign w:val="center"/>
            <w:hideMark/>
          </w:tcPr>
          <w:p w:rsidR="00D42F6F" w:rsidRPr="006D42E1" w:rsidRDefault="00D42F6F" w:rsidP="006D42E1">
            <w:pPr>
              <w:spacing w:before="20" w:after="20"/>
              <w:rPr>
                <w:rFonts w:ascii="Calibri" w:hAnsi="Calibri" w:cs="Arial"/>
                <w:sz w:val="19"/>
                <w:szCs w:val="19"/>
              </w:rPr>
            </w:pPr>
            <w:r w:rsidRPr="006D42E1">
              <w:rPr>
                <w:rFonts w:ascii="Calibri" w:hAnsi="Calibri" w:cs="Arial"/>
                <w:sz w:val="19"/>
                <w:szCs w:val="19"/>
              </w:rPr>
              <w:t>HANDEL DETALICZNY, Z WYŁĄCZENIEM HANDLU DETALICZNEGO POJAZDAMI SAMOCHODOWYMI</w:t>
            </w:r>
          </w:p>
        </w:tc>
        <w:tc>
          <w:tcPr>
            <w:tcW w:w="776" w:type="dxa"/>
            <w:tcBorders>
              <w:top w:val="nil"/>
              <w:left w:val="nil"/>
              <w:bottom w:val="single" w:sz="4" w:space="0" w:color="auto"/>
              <w:right w:val="single" w:sz="4" w:space="0" w:color="auto"/>
            </w:tcBorders>
            <w:shd w:val="clear" w:color="auto" w:fill="auto"/>
            <w:noWrap/>
            <w:vAlign w:val="center"/>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21</w:t>
            </w:r>
          </w:p>
        </w:tc>
      </w:tr>
      <w:tr w:rsidR="00D42F6F" w:rsidRPr="006D42E1" w:rsidTr="006D42E1">
        <w:trPr>
          <w:trHeight w:val="255"/>
        </w:trPr>
        <w:tc>
          <w:tcPr>
            <w:tcW w:w="482" w:type="dxa"/>
            <w:tcBorders>
              <w:top w:val="nil"/>
              <w:left w:val="single" w:sz="4" w:space="0" w:color="auto"/>
              <w:bottom w:val="single" w:sz="4" w:space="0" w:color="auto"/>
              <w:right w:val="single" w:sz="4" w:space="0" w:color="auto"/>
            </w:tcBorders>
            <w:shd w:val="clear" w:color="auto" w:fill="auto"/>
            <w:noWrap/>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41</w:t>
            </w:r>
          </w:p>
        </w:tc>
        <w:tc>
          <w:tcPr>
            <w:tcW w:w="7896" w:type="dxa"/>
            <w:tcBorders>
              <w:top w:val="nil"/>
              <w:left w:val="nil"/>
              <w:bottom w:val="single" w:sz="4" w:space="0" w:color="auto"/>
              <w:right w:val="single" w:sz="4" w:space="0" w:color="auto"/>
            </w:tcBorders>
            <w:shd w:val="clear" w:color="auto" w:fill="auto"/>
            <w:vAlign w:val="center"/>
            <w:hideMark/>
          </w:tcPr>
          <w:p w:rsidR="00D42F6F" w:rsidRPr="006D42E1" w:rsidRDefault="00D42F6F" w:rsidP="006D42E1">
            <w:pPr>
              <w:spacing w:before="20" w:after="20"/>
              <w:rPr>
                <w:rFonts w:ascii="Calibri" w:hAnsi="Calibri" w:cs="Arial"/>
                <w:sz w:val="19"/>
                <w:szCs w:val="19"/>
              </w:rPr>
            </w:pPr>
            <w:r w:rsidRPr="006D42E1">
              <w:rPr>
                <w:rFonts w:ascii="Calibri" w:hAnsi="Calibri" w:cs="Arial"/>
                <w:sz w:val="19"/>
                <w:szCs w:val="19"/>
              </w:rPr>
              <w:t>ROBOTY BUDOWLANE ZWIĄZANE ZE WZNOSZENIEM BUDYNKÓW</w:t>
            </w:r>
          </w:p>
        </w:tc>
        <w:tc>
          <w:tcPr>
            <w:tcW w:w="776" w:type="dxa"/>
            <w:tcBorders>
              <w:top w:val="nil"/>
              <w:left w:val="nil"/>
              <w:bottom w:val="single" w:sz="4" w:space="0" w:color="auto"/>
              <w:right w:val="single" w:sz="4" w:space="0" w:color="auto"/>
            </w:tcBorders>
            <w:shd w:val="clear" w:color="auto" w:fill="auto"/>
            <w:noWrap/>
            <w:vAlign w:val="center"/>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19</w:t>
            </w:r>
          </w:p>
        </w:tc>
      </w:tr>
      <w:tr w:rsidR="00D42F6F" w:rsidRPr="006D42E1" w:rsidTr="006D42E1">
        <w:trPr>
          <w:trHeight w:val="255"/>
        </w:trPr>
        <w:tc>
          <w:tcPr>
            <w:tcW w:w="482" w:type="dxa"/>
            <w:tcBorders>
              <w:top w:val="nil"/>
              <w:left w:val="single" w:sz="4" w:space="0" w:color="auto"/>
              <w:bottom w:val="single" w:sz="4" w:space="0" w:color="auto"/>
              <w:right w:val="single" w:sz="4" w:space="0" w:color="auto"/>
            </w:tcBorders>
            <w:shd w:val="clear" w:color="auto" w:fill="auto"/>
            <w:noWrap/>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69</w:t>
            </w:r>
          </w:p>
        </w:tc>
        <w:tc>
          <w:tcPr>
            <w:tcW w:w="7896" w:type="dxa"/>
            <w:tcBorders>
              <w:top w:val="nil"/>
              <w:left w:val="nil"/>
              <w:bottom w:val="single" w:sz="4" w:space="0" w:color="auto"/>
              <w:right w:val="single" w:sz="4" w:space="0" w:color="auto"/>
            </w:tcBorders>
            <w:shd w:val="clear" w:color="auto" w:fill="auto"/>
            <w:vAlign w:val="center"/>
            <w:hideMark/>
          </w:tcPr>
          <w:p w:rsidR="00D42F6F" w:rsidRPr="006D42E1" w:rsidRDefault="00D42F6F" w:rsidP="006D42E1">
            <w:pPr>
              <w:spacing w:before="20" w:after="20"/>
              <w:rPr>
                <w:rFonts w:ascii="Calibri" w:hAnsi="Calibri" w:cs="Arial"/>
                <w:sz w:val="19"/>
                <w:szCs w:val="19"/>
              </w:rPr>
            </w:pPr>
            <w:r w:rsidRPr="006D42E1">
              <w:rPr>
                <w:rFonts w:ascii="Calibri" w:hAnsi="Calibri" w:cs="Arial"/>
                <w:sz w:val="19"/>
                <w:szCs w:val="19"/>
              </w:rPr>
              <w:t>DZIAŁALNOŚĆ PRAWNICZA, RACHUNKOWO-KSIĘGOWA I DORADZTWO PODATKOWE</w:t>
            </w:r>
          </w:p>
        </w:tc>
        <w:tc>
          <w:tcPr>
            <w:tcW w:w="776" w:type="dxa"/>
            <w:tcBorders>
              <w:top w:val="nil"/>
              <w:left w:val="nil"/>
              <w:bottom w:val="single" w:sz="4" w:space="0" w:color="auto"/>
              <w:right w:val="single" w:sz="4" w:space="0" w:color="auto"/>
            </w:tcBorders>
            <w:shd w:val="clear" w:color="auto" w:fill="auto"/>
            <w:noWrap/>
            <w:vAlign w:val="center"/>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12</w:t>
            </w:r>
          </w:p>
        </w:tc>
      </w:tr>
      <w:tr w:rsidR="00D42F6F" w:rsidRPr="006D42E1" w:rsidTr="006D42E1">
        <w:trPr>
          <w:trHeight w:val="255"/>
        </w:trPr>
        <w:tc>
          <w:tcPr>
            <w:tcW w:w="482" w:type="dxa"/>
            <w:tcBorders>
              <w:top w:val="nil"/>
              <w:left w:val="single" w:sz="4" w:space="0" w:color="auto"/>
              <w:bottom w:val="single" w:sz="4" w:space="0" w:color="auto"/>
              <w:right w:val="single" w:sz="4" w:space="0" w:color="auto"/>
            </w:tcBorders>
            <w:shd w:val="clear" w:color="auto" w:fill="auto"/>
            <w:noWrap/>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43</w:t>
            </w:r>
          </w:p>
        </w:tc>
        <w:tc>
          <w:tcPr>
            <w:tcW w:w="7896" w:type="dxa"/>
            <w:tcBorders>
              <w:top w:val="nil"/>
              <w:left w:val="nil"/>
              <w:bottom w:val="single" w:sz="4" w:space="0" w:color="auto"/>
              <w:right w:val="single" w:sz="4" w:space="0" w:color="auto"/>
            </w:tcBorders>
            <w:shd w:val="clear" w:color="auto" w:fill="auto"/>
            <w:vAlign w:val="center"/>
            <w:hideMark/>
          </w:tcPr>
          <w:p w:rsidR="00D42F6F" w:rsidRPr="006D42E1" w:rsidRDefault="00D42F6F" w:rsidP="006D42E1">
            <w:pPr>
              <w:spacing w:before="20" w:after="20"/>
              <w:rPr>
                <w:rFonts w:ascii="Calibri" w:hAnsi="Calibri" w:cs="Arial"/>
                <w:sz w:val="19"/>
                <w:szCs w:val="19"/>
              </w:rPr>
            </w:pPr>
            <w:r w:rsidRPr="006D42E1">
              <w:rPr>
                <w:rFonts w:ascii="Calibri" w:hAnsi="Calibri" w:cs="Arial"/>
                <w:sz w:val="19"/>
                <w:szCs w:val="19"/>
              </w:rPr>
              <w:t>ROBOTY BUDOWLANE SPECJALISTYCZNE</w:t>
            </w:r>
          </w:p>
        </w:tc>
        <w:tc>
          <w:tcPr>
            <w:tcW w:w="776" w:type="dxa"/>
            <w:tcBorders>
              <w:top w:val="nil"/>
              <w:left w:val="nil"/>
              <w:bottom w:val="single" w:sz="4" w:space="0" w:color="auto"/>
              <w:right w:val="single" w:sz="4" w:space="0" w:color="auto"/>
            </w:tcBorders>
            <w:shd w:val="clear" w:color="auto" w:fill="auto"/>
            <w:noWrap/>
            <w:vAlign w:val="center"/>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11</w:t>
            </w:r>
          </w:p>
        </w:tc>
      </w:tr>
      <w:tr w:rsidR="00D42F6F" w:rsidRPr="006D42E1" w:rsidTr="006D42E1">
        <w:trPr>
          <w:trHeight w:val="255"/>
        </w:trPr>
        <w:tc>
          <w:tcPr>
            <w:tcW w:w="482" w:type="dxa"/>
            <w:tcBorders>
              <w:top w:val="nil"/>
              <w:left w:val="single" w:sz="4" w:space="0" w:color="auto"/>
              <w:bottom w:val="single" w:sz="4" w:space="0" w:color="auto"/>
              <w:right w:val="single" w:sz="4" w:space="0" w:color="auto"/>
            </w:tcBorders>
            <w:shd w:val="clear" w:color="auto" w:fill="auto"/>
            <w:noWrap/>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68</w:t>
            </w:r>
          </w:p>
        </w:tc>
        <w:tc>
          <w:tcPr>
            <w:tcW w:w="7896" w:type="dxa"/>
            <w:tcBorders>
              <w:top w:val="nil"/>
              <w:left w:val="nil"/>
              <w:bottom w:val="single" w:sz="4" w:space="0" w:color="auto"/>
              <w:right w:val="single" w:sz="4" w:space="0" w:color="auto"/>
            </w:tcBorders>
            <w:shd w:val="clear" w:color="auto" w:fill="auto"/>
            <w:vAlign w:val="center"/>
            <w:hideMark/>
          </w:tcPr>
          <w:p w:rsidR="00D42F6F" w:rsidRPr="006D42E1" w:rsidRDefault="00D42F6F" w:rsidP="006D42E1">
            <w:pPr>
              <w:spacing w:before="20" w:after="20"/>
              <w:rPr>
                <w:rFonts w:ascii="Calibri" w:hAnsi="Calibri" w:cs="Arial"/>
                <w:sz w:val="19"/>
                <w:szCs w:val="19"/>
              </w:rPr>
            </w:pPr>
            <w:r w:rsidRPr="006D42E1">
              <w:rPr>
                <w:rFonts w:ascii="Calibri" w:hAnsi="Calibri" w:cs="Arial"/>
                <w:sz w:val="19"/>
                <w:szCs w:val="19"/>
              </w:rPr>
              <w:t>DZIAŁALNOŚĆ WSPOMAGAJĄCA USŁUGI FINANSOWE ORAZ UBEZPIECZENIA I FUNDUSZE EMERYTALNE</w:t>
            </w:r>
          </w:p>
        </w:tc>
        <w:tc>
          <w:tcPr>
            <w:tcW w:w="776" w:type="dxa"/>
            <w:tcBorders>
              <w:top w:val="nil"/>
              <w:left w:val="nil"/>
              <w:bottom w:val="single" w:sz="4" w:space="0" w:color="auto"/>
              <w:right w:val="single" w:sz="4" w:space="0" w:color="auto"/>
            </w:tcBorders>
            <w:shd w:val="clear" w:color="auto" w:fill="auto"/>
            <w:noWrap/>
            <w:vAlign w:val="center"/>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10</w:t>
            </w:r>
          </w:p>
        </w:tc>
      </w:tr>
      <w:tr w:rsidR="00D42F6F" w:rsidRPr="006D42E1" w:rsidTr="006D42E1">
        <w:trPr>
          <w:trHeight w:val="255"/>
        </w:trPr>
        <w:tc>
          <w:tcPr>
            <w:tcW w:w="482" w:type="dxa"/>
            <w:tcBorders>
              <w:top w:val="nil"/>
              <w:left w:val="single" w:sz="4" w:space="0" w:color="auto"/>
              <w:bottom w:val="single" w:sz="4" w:space="0" w:color="auto"/>
              <w:right w:val="single" w:sz="4" w:space="0" w:color="auto"/>
            </w:tcBorders>
            <w:shd w:val="clear" w:color="auto" w:fill="auto"/>
            <w:noWrap/>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71</w:t>
            </w:r>
          </w:p>
        </w:tc>
        <w:tc>
          <w:tcPr>
            <w:tcW w:w="7896" w:type="dxa"/>
            <w:tcBorders>
              <w:top w:val="nil"/>
              <w:left w:val="nil"/>
              <w:bottom w:val="single" w:sz="4" w:space="0" w:color="auto"/>
              <w:right w:val="single" w:sz="4" w:space="0" w:color="auto"/>
            </w:tcBorders>
            <w:shd w:val="clear" w:color="auto" w:fill="auto"/>
            <w:vAlign w:val="center"/>
            <w:hideMark/>
          </w:tcPr>
          <w:p w:rsidR="00D42F6F" w:rsidRPr="006D42E1" w:rsidRDefault="00D42F6F" w:rsidP="006D42E1">
            <w:pPr>
              <w:spacing w:before="20" w:after="20"/>
              <w:rPr>
                <w:rFonts w:ascii="Calibri" w:hAnsi="Calibri" w:cs="Arial"/>
                <w:sz w:val="19"/>
                <w:szCs w:val="19"/>
              </w:rPr>
            </w:pPr>
            <w:r w:rsidRPr="006D42E1">
              <w:rPr>
                <w:rFonts w:ascii="Calibri" w:hAnsi="Calibri" w:cs="Arial"/>
                <w:sz w:val="19"/>
                <w:szCs w:val="19"/>
              </w:rPr>
              <w:t>DZIAŁALNOŚĆ W ZAKRESIE ARCHITEKTURY I INŻYNIERII; BADANIA I ANALIZY TECHNICZNE</w:t>
            </w:r>
          </w:p>
        </w:tc>
        <w:tc>
          <w:tcPr>
            <w:tcW w:w="776" w:type="dxa"/>
            <w:tcBorders>
              <w:top w:val="nil"/>
              <w:left w:val="nil"/>
              <w:bottom w:val="single" w:sz="4" w:space="0" w:color="auto"/>
              <w:right w:val="single" w:sz="4" w:space="0" w:color="auto"/>
            </w:tcBorders>
            <w:shd w:val="clear" w:color="auto" w:fill="auto"/>
            <w:noWrap/>
            <w:vAlign w:val="center"/>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10</w:t>
            </w:r>
          </w:p>
        </w:tc>
      </w:tr>
      <w:tr w:rsidR="00D42F6F" w:rsidRPr="006D42E1" w:rsidTr="006D42E1">
        <w:trPr>
          <w:trHeight w:val="255"/>
        </w:trPr>
        <w:tc>
          <w:tcPr>
            <w:tcW w:w="482" w:type="dxa"/>
            <w:tcBorders>
              <w:top w:val="nil"/>
              <w:left w:val="single" w:sz="4" w:space="0" w:color="auto"/>
              <w:bottom w:val="single" w:sz="4" w:space="0" w:color="auto"/>
              <w:right w:val="single" w:sz="4" w:space="0" w:color="auto"/>
            </w:tcBorders>
            <w:shd w:val="clear" w:color="auto" w:fill="auto"/>
            <w:noWrap/>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86</w:t>
            </w:r>
          </w:p>
        </w:tc>
        <w:tc>
          <w:tcPr>
            <w:tcW w:w="7896" w:type="dxa"/>
            <w:tcBorders>
              <w:top w:val="nil"/>
              <w:left w:val="nil"/>
              <w:bottom w:val="single" w:sz="4" w:space="0" w:color="auto"/>
              <w:right w:val="single" w:sz="4" w:space="0" w:color="auto"/>
            </w:tcBorders>
            <w:shd w:val="clear" w:color="auto" w:fill="auto"/>
            <w:vAlign w:val="center"/>
            <w:hideMark/>
          </w:tcPr>
          <w:p w:rsidR="00D42F6F" w:rsidRPr="006D42E1" w:rsidRDefault="00D42F6F" w:rsidP="006D42E1">
            <w:pPr>
              <w:spacing w:before="20" w:after="20"/>
              <w:rPr>
                <w:rFonts w:ascii="Calibri" w:hAnsi="Calibri" w:cs="Arial"/>
                <w:sz w:val="19"/>
                <w:szCs w:val="19"/>
              </w:rPr>
            </w:pPr>
            <w:r w:rsidRPr="006D42E1">
              <w:rPr>
                <w:rFonts w:ascii="Calibri" w:hAnsi="Calibri" w:cs="Arial"/>
                <w:sz w:val="19"/>
                <w:szCs w:val="19"/>
              </w:rPr>
              <w:t>OPIEKA ZDROWOTNA</w:t>
            </w:r>
          </w:p>
        </w:tc>
        <w:tc>
          <w:tcPr>
            <w:tcW w:w="776" w:type="dxa"/>
            <w:tcBorders>
              <w:top w:val="nil"/>
              <w:left w:val="nil"/>
              <w:bottom w:val="single" w:sz="4" w:space="0" w:color="auto"/>
              <w:right w:val="single" w:sz="4" w:space="0" w:color="auto"/>
            </w:tcBorders>
            <w:shd w:val="clear" w:color="auto" w:fill="auto"/>
            <w:noWrap/>
            <w:vAlign w:val="center"/>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10</w:t>
            </w:r>
          </w:p>
        </w:tc>
      </w:tr>
      <w:tr w:rsidR="00D42F6F" w:rsidRPr="006D42E1" w:rsidTr="006D42E1">
        <w:trPr>
          <w:trHeight w:val="255"/>
        </w:trPr>
        <w:tc>
          <w:tcPr>
            <w:tcW w:w="482" w:type="dxa"/>
            <w:tcBorders>
              <w:top w:val="nil"/>
              <w:left w:val="single" w:sz="4" w:space="0" w:color="auto"/>
              <w:bottom w:val="single" w:sz="4" w:space="0" w:color="auto"/>
              <w:right w:val="single" w:sz="4" w:space="0" w:color="auto"/>
            </w:tcBorders>
            <w:shd w:val="clear" w:color="auto" w:fill="auto"/>
            <w:noWrap/>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64</w:t>
            </w:r>
          </w:p>
        </w:tc>
        <w:tc>
          <w:tcPr>
            <w:tcW w:w="7896" w:type="dxa"/>
            <w:tcBorders>
              <w:top w:val="nil"/>
              <w:left w:val="nil"/>
              <w:bottom w:val="single" w:sz="4" w:space="0" w:color="auto"/>
              <w:right w:val="single" w:sz="4" w:space="0" w:color="auto"/>
            </w:tcBorders>
            <w:shd w:val="clear" w:color="auto" w:fill="auto"/>
            <w:vAlign w:val="center"/>
            <w:hideMark/>
          </w:tcPr>
          <w:p w:rsidR="00D42F6F" w:rsidRPr="006D42E1" w:rsidRDefault="00D42F6F" w:rsidP="006D42E1">
            <w:pPr>
              <w:spacing w:before="20" w:after="20"/>
              <w:rPr>
                <w:rFonts w:ascii="Calibri" w:hAnsi="Calibri" w:cs="Arial"/>
                <w:sz w:val="19"/>
                <w:szCs w:val="19"/>
              </w:rPr>
            </w:pPr>
            <w:r w:rsidRPr="006D42E1">
              <w:rPr>
                <w:rFonts w:ascii="Calibri" w:hAnsi="Calibri" w:cs="Arial"/>
                <w:sz w:val="19"/>
                <w:szCs w:val="19"/>
              </w:rPr>
              <w:t>FINANSOWA DZIAŁALNOŚĆ USŁUGOWA, Z WYŁĄCZENIEM UBEZPIECZEŃ I FUNDUSZÓW EMERYTALNYCH</w:t>
            </w:r>
          </w:p>
        </w:tc>
        <w:tc>
          <w:tcPr>
            <w:tcW w:w="776" w:type="dxa"/>
            <w:tcBorders>
              <w:top w:val="nil"/>
              <w:left w:val="nil"/>
              <w:bottom w:val="single" w:sz="4" w:space="0" w:color="auto"/>
              <w:right w:val="single" w:sz="4" w:space="0" w:color="auto"/>
            </w:tcBorders>
            <w:shd w:val="clear" w:color="auto" w:fill="auto"/>
            <w:noWrap/>
            <w:vAlign w:val="center"/>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8</w:t>
            </w:r>
          </w:p>
        </w:tc>
      </w:tr>
      <w:tr w:rsidR="00D42F6F" w:rsidRPr="006D42E1" w:rsidTr="006D42E1">
        <w:trPr>
          <w:trHeight w:val="255"/>
        </w:trPr>
        <w:tc>
          <w:tcPr>
            <w:tcW w:w="482" w:type="dxa"/>
            <w:tcBorders>
              <w:top w:val="nil"/>
              <w:left w:val="single" w:sz="4" w:space="0" w:color="auto"/>
              <w:bottom w:val="single" w:sz="4" w:space="0" w:color="auto"/>
              <w:right w:val="single" w:sz="4" w:space="0" w:color="auto"/>
            </w:tcBorders>
            <w:shd w:val="clear" w:color="auto" w:fill="auto"/>
            <w:noWrap/>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49</w:t>
            </w:r>
          </w:p>
        </w:tc>
        <w:tc>
          <w:tcPr>
            <w:tcW w:w="7896" w:type="dxa"/>
            <w:tcBorders>
              <w:top w:val="nil"/>
              <w:left w:val="nil"/>
              <w:bottom w:val="single" w:sz="4" w:space="0" w:color="auto"/>
              <w:right w:val="single" w:sz="4" w:space="0" w:color="auto"/>
            </w:tcBorders>
            <w:shd w:val="clear" w:color="auto" w:fill="auto"/>
            <w:vAlign w:val="center"/>
            <w:hideMark/>
          </w:tcPr>
          <w:p w:rsidR="00D42F6F" w:rsidRPr="006D42E1" w:rsidRDefault="00D42F6F" w:rsidP="006D42E1">
            <w:pPr>
              <w:spacing w:before="20" w:after="20"/>
              <w:rPr>
                <w:rFonts w:ascii="Calibri" w:hAnsi="Calibri" w:cs="Arial"/>
                <w:sz w:val="19"/>
                <w:szCs w:val="19"/>
              </w:rPr>
            </w:pPr>
            <w:r w:rsidRPr="006D42E1">
              <w:rPr>
                <w:rFonts w:ascii="Calibri" w:hAnsi="Calibri" w:cs="Arial"/>
                <w:sz w:val="19"/>
                <w:szCs w:val="19"/>
              </w:rPr>
              <w:t>TRANSPORT LĄDOWY ORAZ TRANSPORT RUROCIĄGOWY</w:t>
            </w:r>
          </w:p>
        </w:tc>
        <w:tc>
          <w:tcPr>
            <w:tcW w:w="776" w:type="dxa"/>
            <w:tcBorders>
              <w:top w:val="nil"/>
              <w:left w:val="nil"/>
              <w:bottom w:val="single" w:sz="4" w:space="0" w:color="auto"/>
              <w:right w:val="single" w:sz="4" w:space="0" w:color="auto"/>
            </w:tcBorders>
            <w:shd w:val="clear" w:color="auto" w:fill="auto"/>
            <w:noWrap/>
            <w:vAlign w:val="center"/>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5</w:t>
            </w:r>
          </w:p>
        </w:tc>
      </w:tr>
      <w:tr w:rsidR="00D42F6F" w:rsidRPr="006D42E1" w:rsidTr="006D42E1">
        <w:trPr>
          <w:trHeight w:val="255"/>
        </w:trPr>
        <w:tc>
          <w:tcPr>
            <w:tcW w:w="482" w:type="dxa"/>
            <w:tcBorders>
              <w:top w:val="nil"/>
              <w:left w:val="single" w:sz="4" w:space="0" w:color="auto"/>
              <w:bottom w:val="single" w:sz="4" w:space="0" w:color="auto"/>
              <w:right w:val="single" w:sz="4" w:space="0" w:color="auto"/>
            </w:tcBorders>
            <w:shd w:val="clear" w:color="auto" w:fill="auto"/>
            <w:noWrap/>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62</w:t>
            </w:r>
          </w:p>
        </w:tc>
        <w:tc>
          <w:tcPr>
            <w:tcW w:w="7896" w:type="dxa"/>
            <w:tcBorders>
              <w:top w:val="nil"/>
              <w:left w:val="nil"/>
              <w:bottom w:val="single" w:sz="4" w:space="0" w:color="auto"/>
              <w:right w:val="single" w:sz="4" w:space="0" w:color="auto"/>
            </w:tcBorders>
            <w:shd w:val="clear" w:color="auto" w:fill="auto"/>
            <w:vAlign w:val="center"/>
            <w:hideMark/>
          </w:tcPr>
          <w:p w:rsidR="00D42F6F" w:rsidRPr="006D42E1" w:rsidRDefault="00D42F6F" w:rsidP="006D42E1">
            <w:pPr>
              <w:spacing w:before="20" w:after="20"/>
              <w:rPr>
                <w:rFonts w:ascii="Calibri" w:hAnsi="Calibri" w:cs="Arial"/>
                <w:sz w:val="19"/>
                <w:szCs w:val="19"/>
              </w:rPr>
            </w:pPr>
            <w:r w:rsidRPr="006D42E1">
              <w:rPr>
                <w:rFonts w:ascii="Calibri" w:hAnsi="Calibri" w:cs="Arial"/>
                <w:sz w:val="19"/>
                <w:szCs w:val="19"/>
              </w:rPr>
              <w:t xml:space="preserve">DZIAŁALNOŚĆ ZWIĄZANA Z OPROGRAMOWANIEM I DORADZTWEM W ZAKRESIE INFORMATYKI </w:t>
            </w:r>
          </w:p>
        </w:tc>
        <w:tc>
          <w:tcPr>
            <w:tcW w:w="776" w:type="dxa"/>
            <w:tcBorders>
              <w:top w:val="nil"/>
              <w:left w:val="nil"/>
              <w:bottom w:val="single" w:sz="4" w:space="0" w:color="auto"/>
              <w:right w:val="single" w:sz="4" w:space="0" w:color="auto"/>
            </w:tcBorders>
            <w:shd w:val="clear" w:color="auto" w:fill="auto"/>
            <w:noWrap/>
            <w:vAlign w:val="center"/>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5</w:t>
            </w:r>
          </w:p>
        </w:tc>
      </w:tr>
      <w:tr w:rsidR="00D42F6F" w:rsidRPr="006D42E1" w:rsidTr="006D42E1">
        <w:trPr>
          <w:trHeight w:val="255"/>
        </w:trPr>
        <w:tc>
          <w:tcPr>
            <w:tcW w:w="482" w:type="dxa"/>
            <w:tcBorders>
              <w:top w:val="nil"/>
              <w:left w:val="single" w:sz="4" w:space="0" w:color="auto"/>
              <w:bottom w:val="single" w:sz="4" w:space="0" w:color="auto"/>
              <w:right w:val="single" w:sz="4" w:space="0" w:color="auto"/>
            </w:tcBorders>
            <w:shd w:val="clear" w:color="auto" w:fill="auto"/>
            <w:noWrap/>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66</w:t>
            </w:r>
          </w:p>
        </w:tc>
        <w:tc>
          <w:tcPr>
            <w:tcW w:w="7896" w:type="dxa"/>
            <w:tcBorders>
              <w:top w:val="nil"/>
              <w:left w:val="nil"/>
              <w:bottom w:val="single" w:sz="4" w:space="0" w:color="auto"/>
              <w:right w:val="single" w:sz="4" w:space="0" w:color="auto"/>
            </w:tcBorders>
            <w:shd w:val="clear" w:color="auto" w:fill="auto"/>
            <w:vAlign w:val="center"/>
            <w:hideMark/>
          </w:tcPr>
          <w:p w:rsidR="00D42F6F" w:rsidRPr="006D42E1" w:rsidRDefault="00D42F6F" w:rsidP="006D42E1">
            <w:pPr>
              <w:spacing w:before="20" w:after="20"/>
              <w:rPr>
                <w:rFonts w:ascii="Calibri" w:hAnsi="Calibri" w:cs="Arial"/>
                <w:sz w:val="19"/>
                <w:szCs w:val="19"/>
              </w:rPr>
            </w:pPr>
            <w:r w:rsidRPr="006D42E1">
              <w:rPr>
                <w:rFonts w:ascii="Calibri" w:hAnsi="Calibri" w:cs="Arial"/>
                <w:sz w:val="19"/>
                <w:szCs w:val="19"/>
              </w:rPr>
              <w:t>DZIAŁALNOŚĆ WSPOMAGAJĄCA USŁUGI FINANSOWE ORAZ UBEZPIECZENIA I FUNDUSZE EMERYTALNE</w:t>
            </w:r>
          </w:p>
        </w:tc>
        <w:tc>
          <w:tcPr>
            <w:tcW w:w="776" w:type="dxa"/>
            <w:tcBorders>
              <w:top w:val="nil"/>
              <w:left w:val="nil"/>
              <w:bottom w:val="single" w:sz="4" w:space="0" w:color="auto"/>
              <w:right w:val="single" w:sz="4" w:space="0" w:color="auto"/>
            </w:tcBorders>
            <w:shd w:val="clear" w:color="auto" w:fill="auto"/>
            <w:noWrap/>
            <w:vAlign w:val="center"/>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5</w:t>
            </w:r>
          </w:p>
        </w:tc>
      </w:tr>
      <w:tr w:rsidR="00D42F6F" w:rsidRPr="006D42E1" w:rsidTr="006D42E1">
        <w:trPr>
          <w:trHeight w:val="255"/>
        </w:trPr>
        <w:tc>
          <w:tcPr>
            <w:tcW w:w="482" w:type="dxa"/>
            <w:tcBorders>
              <w:top w:val="nil"/>
              <w:left w:val="single" w:sz="4" w:space="0" w:color="auto"/>
              <w:bottom w:val="single" w:sz="4" w:space="0" w:color="auto"/>
              <w:right w:val="single" w:sz="4" w:space="0" w:color="auto"/>
            </w:tcBorders>
            <w:shd w:val="clear" w:color="auto" w:fill="auto"/>
            <w:noWrap/>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42</w:t>
            </w:r>
          </w:p>
        </w:tc>
        <w:tc>
          <w:tcPr>
            <w:tcW w:w="7896" w:type="dxa"/>
            <w:tcBorders>
              <w:top w:val="nil"/>
              <w:left w:val="nil"/>
              <w:bottom w:val="single" w:sz="4" w:space="0" w:color="auto"/>
              <w:right w:val="single" w:sz="4" w:space="0" w:color="auto"/>
            </w:tcBorders>
            <w:shd w:val="clear" w:color="auto" w:fill="auto"/>
            <w:vAlign w:val="center"/>
            <w:hideMark/>
          </w:tcPr>
          <w:p w:rsidR="00D42F6F" w:rsidRPr="006D42E1" w:rsidRDefault="00D42F6F" w:rsidP="006D42E1">
            <w:pPr>
              <w:spacing w:before="20" w:after="20"/>
              <w:rPr>
                <w:rFonts w:ascii="Calibri" w:hAnsi="Calibri" w:cs="Arial"/>
                <w:sz w:val="19"/>
                <w:szCs w:val="19"/>
              </w:rPr>
            </w:pPr>
            <w:r w:rsidRPr="006D42E1">
              <w:rPr>
                <w:rFonts w:ascii="Calibri" w:hAnsi="Calibri" w:cs="Arial"/>
                <w:sz w:val="19"/>
                <w:szCs w:val="19"/>
              </w:rPr>
              <w:t>ROBOTY ZWIĄZANE Z BUDOWĄ OBIEKTÓW INŻYNIERII LĄDOWEJ I WODNEJ</w:t>
            </w:r>
          </w:p>
        </w:tc>
        <w:tc>
          <w:tcPr>
            <w:tcW w:w="776" w:type="dxa"/>
            <w:tcBorders>
              <w:top w:val="nil"/>
              <w:left w:val="nil"/>
              <w:bottom w:val="single" w:sz="4" w:space="0" w:color="auto"/>
              <w:right w:val="single" w:sz="4" w:space="0" w:color="auto"/>
            </w:tcBorders>
            <w:shd w:val="clear" w:color="auto" w:fill="auto"/>
            <w:noWrap/>
            <w:vAlign w:val="center"/>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4</w:t>
            </w:r>
          </w:p>
        </w:tc>
      </w:tr>
      <w:tr w:rsidR="00D42F6F" w:rsidRPr="006D42E1" w:rsidTr="006D42E1">
        <w:trPr>
          <w:trHeight w:val="255"/>
        </w:trPr>
        <w:tc>
          <w:tcPr>
            <w:tcW w:w="482" w:type="dxa"/>
            <w:tcBorders>
              <w:top w:val="nil"/>
              <w:left w:val="single" w:sz="4" w:space="0" w:color="auto"/>
              <w:bottom w:val="single" w:sz="4" w:space="0" w:color="auto"/>
              <w:right w:val="single" w:sz="4" w:space="0" w:color="auto"/>
            </w:tcBorders>
            <w:shd w:val="clear" w:color="auto" w:fill="auto"/>
            <w:noWrap/>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70</w:t>
            </w:r>
          </w:p>
        </w:tc>
        <w:tc>
          <w:tcPr>
            <w:tcW w:w="7896" w:type="dxa"/>
            <w:tcBorders>
              <w:top w:val="nil"/>
              <w:left w:val="nil"/>
              <w:bottom w:val="single" w:sz="4" w:space="0" w:color="auto"/>
              <w:right w:val="single" w:sz="4" w:space="0" w:color="auto"/>
            </w:tcBorders>
            <w:shd w:val="clear" w:color="auto" w:fill="auto"/>
            <w:vAlign w:val="center"/>
            <w:hideMark/>
          </w:tcPr>
          <w:p w:rsidR="00D42F6F" w:rsidRPr="006D42E1" w:rsidRDefault="00D42F6F" w:rsidP="006D42E1">
            <w:pPr>
              <w:spacing w:before="20" w:after="20"/>
              <w:rPr>
                <w:rFonts w:ascii="Calibri" w:hAnsi="Calibri" w:cs="Arial"/>
                <w:sz w:val="19"/>
                <w:szCs w:val="19"/>
              </w:rPr>
            </w:pPr>
            <w:r w:rsidRPr="006D42E1">
              <w:rPr>
                <w:rFonts w:ascii="Calibri" w:hAnsi="Calibri" w:cs="Arial"/>
                <w:sz w:val="19"/>
                <w:szCs w:val="19"/>
              </w:rPr>
              <w:t>DZIAŁALNOŚĆ FIRM CENTRALNYCH (HEAD OFFICES); DORADZTWO ZWIĄZANE Z ZARZĄDZANIEM</w:t>
            </w:r>
          </w:p>
        </w:tc>
        <w:tc>
          <w:tcPr>
            <w:tcW w:w="776" w:type="dxa"/>
            <w:tcBorders>
              <w:top w:val="nil"/>
              <w:left w:val="nil"/>
              <w:bottom w:val="single" w:sz="4" w:space="0" w:color="auto"/>
              <w:right w:val="single" w:sz="4" w:space="0" w:color="auto"/>
            </w:tcBorders>
            <w:shd w:val="clear" w:color="auto" w:fill="auto"/>
            <w:noWrap/>
            <w:vAlign w:val="center"/>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4</w:t>
            </w:r>
          </w:p>
        </w:tc>
      </w:tr>
      <w:tr w:rsidR="00D42F6F" w:rsidRPr="006D42E1" w:rsidTr="006D42E1">
        <w:trPr>
          <w:trHeight w:val="255"/>
        </w:trPr>
        <w:tc>
          <w:tcPr>
            <w:tcW w:w="482" w:type="dxa"/>
            <w:tcBorders>
              <w:top w:val="nil"/>
              <w:left w:val="single" w:sz="4" w:space="0" w:color="auto"/>
              <w:bottom w:val="single" w:sz="4" w:space="0" w:color="auto"/>
              <w:right w:val="single" w:sz="4" w:space="0" w:color="auto"/>
            </w:tcBorders>
            <w:shd w:val="clear" w:color="auto" w:fill="auto"/>
            <w:noWrap/>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01</w:t>
            </w:r>
          </w:p>
        </w:tc>
        <w:tc>
          <w:tcPr>
            <w:tcW w:w="7896" w:type="dxa"/>
            <w:tcBorders>
              <w:top w:val="nil"/>
              <w:left w:val="nil"/>
              <w:bottom w:val="single" w:sz="4" w:space="0" w:color="auto"/>
              <w:right w:val="single" w:sz="4" w:space="0" w:color="auto"/>
            </w:tcBorders>
            <w:shd w:val="clear" w:color="auto" w:fill="auto"/>
            <w:vAlign w:val="center"/>
            <w:hideMark/>
          </w:tcPr>
          <w:p w:rsidR="00D42F6F" w:rsidRPr="006D42E1" w:rsidRDefault="00D42F6F" w:rsidP="006D42E1">
            <w:pPr>
              <w:spacing w:before="20" w:after="20"/>
              <w:rPr>
                <w:rFonts w:ascii="Calibri" w:hAnsi="Calibri" w:cs="Arial"/>
                <w:sz w:val="19"/>
                <w:szCs w:val="19"/>
              </w:rPr>
            </w:pPr>
            <w:r w:rsidRPr="006D42E1">
              <w:rPr>
                <w:rFonts w:ascii="Calibri" w:hAnsi="Calibri" w:cs="Arial"/>
                <w:sz w:val="19"/>
                <w:szCs w:val="19"/>
              </w:rPr>
              <w:t>UPRAWY ROLNE, CHÓW I HODOWLA ZWIERZĄT, ŁOWIECTWO, WŁĄCZAJĄC DZIAŁALNOŚĆ USŁUGOWĄ</w:t>
            </w:r>
          </w:p>
        </w:tc>
        <w:tc>
          <w:tcPr>
            <w:tcW w:w="776" w:type="dxa"/>
            <w:tcBorders>
              <w:top w:val="nil"/>
              <w:left w:val="nil"/>
              <w:bottom w:val="single" w:sz="4" w:space="0" w:color="auto"/>
              <w:right w:val="single" w:sz="4" w:space="0" w:color="auto"/>
            </w:tcBorders>
            <w:shd w:val="clear" w:color="auto" w:fill="auto"/>
            <w:noWrap/>
            <w:vAlign w:val="center"/>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3</w:t>
            </w:r>
          </w:p>
        </w:tc>
      </w:tr>
      <w:tr w:rsidR="00D42F6F" w:rsidRPr="006D42E1" w:rsidTr="006D42E1">
        <w:trPr>
          <w:trHeight w:val="255"/>
        </w:trPr>
        <w:tc>
          <w:tcPr>
            <w:tcW w:w="482" w:type="dxa"/>
            <w:tcBorders>
              <w:top w:val="nil"/>
              <w:left w:val="single" w:sz="4" w:space="0" w:color="auto"/>
              <w:bottom w:val="single" w:sz="4" w:space="0" w:color="auto"/>
              <w:right w:val="single" w:sz="4" w:space="0" w:color="auto"/>
            </w:tcBorders>
            <w:shd w:val="clear" w:color="auto" w:fill="auto"/>
            <w:noWrap/>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10</w:t>
            </w:r>
          </w:p>
        </w:tc>
        <w:tc>
          <w:tcPr>
            <w:tcW w:w="7896" w:type="dxa"/>
            <w:tcBorders>
              <w:top w:val="nil"/>
              <w:left w:val="nil"/>
              <w:bottom w:val="single" w:sz="4" w:space="0" w:color="auto"/>
              <w:right w:val="single" w:sz="4" w:space="0" w:color="auto"/>
            </w:tcBorders>
            <w:shd w:val="clear" w:color="auto" w:fill="auto"/>
            <w:vAlign w:val="center"/>
            <w:hideMark/>
          </w:tcPr>
          <w:p w:rsidR="00D42F6F" w:rsidRPr="006D42E1" w:rsidRDefault="00D42F6F" w:rsidP="006D42E1">
            <w:pPr>
              <w:spacing w:before="20" w:after="20"/>
              <w:rPr>
                <w:rFonts w:ascii="Calibri" w:hAnsi="Calibri" w:cs="Arial"/>
                <w:sz w:val="19"/>
                <w:szCs w:val="19"/>
              </w:rPr>
            </w:pPr>
            <w:r w:rsidRPr="006D42E1">
              <w:rPr>
                <w:rFonts w:ascii="Calibri" w:hAnsi="Calibri" w:cs="Arial"/>
                <w:sz w:val="19"/>
                <w:szCs w:val="19"/>
              </w:rPr>
              <w:t>PRODUKCJA ARTYKUŁÓW SPOŻYWCZYCH</w:t>
            </w:r>
          </w:p>
        </w:tc>
        <w:tc>
          <w:tcPr>
            <w:tcW w:w="776" w:type="dxa"/>
            <w:tcBorders>
              <w:top w:val="nil"/>
              <w:left w:val="nil"/>
              <w:bottom w:val="single" w:sz="4" w:space="0" w:color="auto"/>
              <w:right w:val="single" w:sz="4" w:space="0" w:color="auto"/>
            </w:tcBorders>
            <w:shd w:val="clear" w:color="auto" w:fill="auto"/>
            <w:noWrap/>
            <w:vAlign w:val="center"/>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3</w:t>
            </w:r>
          </w:p>
        </w:tc>
      </w:tr>
      <w:tr w:rsidR="00D42F6F" w:rsidRPr="006D42E1" w:rsidTr="006D42E1">
        <w:trPr>
          <w:trHeight w:val="255"/>
        </w:trPr>
        <w:tc>
          <w:tcPr>
            <w:tcW w:w="482" w:type="dxa"/>
            <w:tcBorders>
              <w:top w:val="nil"/>
              <w:left w:val="single" w:sz="4" w:space="0" w:color="auto"/>
              <w:bottom w:val="single" w:sz="4" w:space="0" w:color="auto"/>
              <w:right w:val="single" w:sz="4" w:space="0" w:color="auto"/>
            </w:tcBorders>
            <w:shd w:val="clear" w:color="auto" w:fill="auto"/>
            <w:noWrap/>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45</w:t>
            </w:r>
          </w:p>
        </w:tc>
        <w:tc>
          <w:tcPr>
            <w:tcW w:w="7896" w:type="dxa"/>
            <w:tcBorders>
              <w:top w:val="nil"/>
              <w:left w:val="nil"/>
              <w:bottom w:val="single" w:sz="4" w:space="0" w:color="auto"/>
              <w:right w:val="single" w:sz="4" w:space="0" w:color="auto"/>
            </w:tcBorders>
            <w:shd w:val="clear" w:color="auto" w:fill="auto"/>
            <w:vAlign w:val="center"/>
            <w:hideMark/>
          </w:tcPr>
          <w:p w:rsidR="00D42F6F" w:rsidRPr="006D42E1" w:rsidRDefault="00D42F6F" w:rsidP="006D42E1">
            <w:pPr>
              <w:spacing w:before="20" w:after="20"/>
              <w:rPr>
                <w:rFonts w:ascii="Calibri" w:hAnsi="Calibri" w:cs="Arial"/>
                <w:sz w:val="19"/>
                <w:szCs w:val="19"/>
              </w:rPr>
            </w:pPr>
            <w:r w:rsidRPr="006D42E1">
              <w:rPr>
                <w:rFonts w:ascii="Calibri" w:hAnsi="Calibri" w:cs="Arial"/>
                <w:sz w:val="19"/>
                <w:szCs w:val="19"/>
              </w:rPr>
              <w:t>HANDEL HURTOWY I DETALICZNY POJAZDAMI SAMOCHODOWYMI; NAPRAWA POJAZDÓW SAMOCHODOWYCH</w:t>
            </w:r>
          </w:p>
        </w:tc>
        <w:tc>
          <w:tcPr>
            <w:tcW w:w="776" w:type="dxa"/>
            <w:tcBorders>
              <w:top w:val="nil"/>
              <w:left w:val="nil"/>
              <w:bottom w:val="single" w:sz="4" w:space="0" w:color="auto"/>
              <w:right w:val="single" w:sz="4" w:space="0" w:color="auto"/>
            </w:tcBorders>
            <w:shd w:val="clear" w:color="auto" w:fill="auto"/>
            <w:noWrap/>
            <w:vAlign w:val="center"/>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3</w:t>
            </w:r>
          </w:p>
        </w:tc>
      </w:tr>
      <w:tr w:rsidR="00D42F6F" w:rsidRPr="006D42E1" w:rsidTr="006D42E1">
        <w:trPr>
          <w:trHeight w:val="255"/>
        </w:trPr>
        <w:tc>
          <w:tcPr>
            <w:tcW w:w="482" w:type="dxa"/>
            <w:tcBorders>
              <w:top w:val="nil"/>
              <w:left w:val="single" w:sz="4" w:space="0" w:color="auto"/>
              <w:bottom w:val="single" w:sz="4" w:space="0" w:color="auto"/>
              <w:right w:val="single" w:sz="4" w:space="0" w:color="auto"/>
            </w:tcBorders>
            <w:shd w:val="clear" w:color="auto" w:fill="auto"/>
            <w:noWrap/>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52</w:t>
            </w:r>
          </w:p>
        </w:tc>
        <w:tc>
          <w:tcPr>
            <w:tcW w:w="7896" w:type="dxa"/>
            <w:tcBorders>
              <w:top w:val="nil"/>
              <w:left w:val="nil"/>
              <w:bottom w:val="single" w:sz="4" w:space="0" w:color="auto"/>
              <w:right w:val="single" w:sz="4" w:space="0" w:color="auto"/>
            </w:tcBorders>
            <w:shd w:val="clear" w:color="auto" w:fill="auto"/>
            <w:vAlign w:val="center"/>
            <w:hideMark/>
          </w:tcPr>
          <w:p w:rsidR="00D42F6F" w:rsidRPr="006D42E1" w:rsidRDefault="00D42F6F" w:rsidP="006D42E1">
            <w:pPr>
              <w:spacing w:before="20" w:after="20"/>
              <w:rPr>
                <w:rFonts w:ascii="Calibri" w:hAnsi="Calibri" w:cs="Arial"/>
                <w:sz w:val="19"/>
                <w:szCs w:val="19"/>
              </w:rPr>
            </w:pPr>
            <w:r w:rsidRPr="006D42E1">
              <w:rPr>
                <w:rFonts w:ascii="Calibri" w:hAnsi="Calibri" w:cs="Arial"/>
                <w:sz w:val="19"/>
                <w:szCs w:val="19"/>
              </w:rPr>
              <w:t>MAGAZYNOWANIE I DZIAŁALNOŚĆ USŁUGOWA WSPOMAGAJĄCA TRANSPORT</w:t>
            </w:r>
          </w:p>
        </w:tc>
        <w:tc>
          <w:tcPr>
            <w:tcW w:w="776" w:type="dxa"/>
            <w:tcBorders>
              <w:top w:val="nil"/>
              <w:left w:val="nil"/>
              <w:bottom w:val="single" w:sz="4" w:space="0" w:color="auto"/>
              <w:right w:val="single" w:sz="4" w:space="0" w:color="auto"/>
            </w:tcBorders>
            <w:shd w:val="clear" w:color="auto" w:fill="auto"/>
            <w:noWrap/>
            <w:vAlign w:val="center"/>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3</w:t>
            </w:r>
          </w:p>
        </w:tc>
      </w:tr>
      <w:tr w:rsidR="00D42F6F" w:rsidRPr="006D42E1" w:rsidTr="006D42E1">
        <w:trPr>
          <w:trHeight w:val="255"/>
        </w:trPr>
        <w:tc>
          <w:tcPr>
            <w:tcW w:w="482" w:type="dxa"/>
            <w:tcBorders>
              <w:top w:val="nil"/>
              <w:left w:val="single" w:sz="4" w:space="0" w:color="auto"/>
              <w:bottom w:val="single" w:sz="4" w:space="0" w:color="auto"/>
              <w:right w:val="single" w:sz="4" w:space="0" w:color="auto"/>
            </w:tcBorders>
            <w:shd w:val="clear" w:color="auto" w:fill="auto"/>
            <w:noWrap/>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56</w:t>
            </w:r>
          </w:p>
        </w:tc>
        <w:tc>
          <w:tcPr>
            <w:tcW w:w="7896" w:type="dxa"/>
            <w:tcBorders>
              <w:top w:val="nil"/>
              <w:left w:val="nil"/>
              <w:bottom w:val="single" w:sz="4" w:space="0" w:color="auto"/>
              <w:right w:val="single" w:sz="4" w:space="0" w:color="auto"/>
            </w:tcBorders>
            <w:shd w:val="clear" w:color="auto" w:fill="auto"/>
            <w:vAlign w:val="center"/>
            <w:hideMark/>
          </w:tcPr>
          <w:p w:rsidR="00D42F6F" w:rsidRPr="006D42E1" w:rsidRDefault="00D42F6F" w:rsidP="006D42E1">
            <w:pPr>
              <w:spacing w:before="20" w:after="20"/>
              <w:rPr>
                <w:rFonts w:ascii="Calibri" w:hAnsi="Calibri" w:cs="Arial"/>
                <w:sz w:val="19"/>
                <w:szCs w:val="19"/>
              </w:rPr>
            </w:pPr>
            <w:r w:rsidRPr="006D42E1">
              <w:rPr>
                <w:rFonts w:ascii="Calibri" w:hAnsi="Calibri" w:cs="Arial"/>
                <w:sz w:val="19"/>
                <w:szCs w:val="19"/>
              </w:rPr>
              <w:t>DZIAŁALNOŚĆ USŁUGOWA ZWIĄZANA Z WYŻYWIENIEM</w:t>
            </w:r>
          </w:p>
        </w:tc>
        <w:tc>
          <w:tcPr>
            <w:tcW w:w="776" w:type="dxa"/>
            <w:tcBorders>
              <w:top w:val="nil"/>
              <w:left w:val="nil"/>
              <w:bottom w:val="single" w:sz="4" w:space="0" w:color="auto"/>
              <w:right w:val="single" w:sz="4" w:space="0" w:color="auto"/>
            </w:tcBorders>
            <w:shd w:val="clear" w:color="auto" w:fill="auto"/>
            <w:noWrap/>
            <w:vAlign w:val="center"/>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3</w:t>
            </w:r>
          </w:p>
        </w:tc>
      </w:tr>
      <w:tr w:rsidR="00D42F6F" w:rsidRPr="006D42E1" w:rsidTr="006D42E1">
        <w:trPr>
          <w:trHeight w:val="255"/>
        </w:trPr>
        <w:tc>
          <w:tcPr>
            <w:tcW w:w="482" w:type="dxa"/>
            <w:tcBorders>
              <w:top w:val="nil"/>
              <w:left w:val="single" w:sz="4" w:space="0" w:color="auto"/>
              <w:bottom w:val="single" w:sz="4" w:space="0" w:color="auto"/>
              <w:right w:val="single" w:sz="4" w:space="0" w:color="auto"/>
            </w:tcBorders>
            <w:shd w:val="clear" w:color="auto" w:fill="auto"/>
            <w:noWrap/>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18</w:t>
            </w:r>
          </w:p>
        </w:tc>
        <w:tc>
          <w:tcPr>
            <w:tcW w:w="7896" w:type="dxa"/>
            <w:tcBorders>
              <w:top w:val="nil"/>
              <w:left w:val="nil"/>
              <w:bottom w:val="single" w:sz="4" w:space="0" w:color="auto"/>
              <w:right w:val="single" w:sz="4" w:space="0" w:color="auto"/>
            </w:tcBorders>
            <w:shd w:val="clear" w:color="auto" w:fill="auto"/>
            <w:vAlign w:val="center"/>
            <w:hideMark/>
          </w:tcPr>
          <w:p w:rsidR="00D42F6F" w:rsidRPr="006D42E1" w:rsidRDefault="00D42F6F" w:rsidP="006D42E1">
            <w:pPr>
              <w:spacing w:before="20" w:after="20"/>
              <w:rPr>
                <w:rFonts w:ascii="Calibri" w:hAnsi="Calibri" w:cs="Arial"/>
                <w:sz w:val="19"/>
                <w:szCs w:val="19"/>
              </w:rPr>
            </w:pPr>
            <w:r w:rsidRPr="006D42E1">
              <w:rPr>
                <w:rFonts w:ascii="Calibri" w:hAnsi="Calibri" w:cs="Arial"/>
                <w:sz w:val="19"/>
                <w:szCs w:val="19"/>
              </w:rPr>
              <w:t>POLIGRAFIA I REPRODUKCJA ZAPISANYCH NOŚNIKÓW INFORMACJI</w:t>
            </w:r>
          </w:p>
        </w:tc>
        <w:tc>
          <w:tcPr>
            <w:tcW w:w="776" w:type="dxa"/>
            <w:tcBorders>
              <w:top w:val="nil"/>
              <w:left w:val="nil"/>
              <w:bottom w:val="single" w:sz="4" w:space="0" w:color="auto"/>
              <w:right w:val="single" w:sz="4" w:space="0" w:color="auto"/>
            </w:tcBorders>
            <w:shd w:val="clear" w:color="auto" w:fill="auto"/>
            <w:noWrap/>
            <w:vAlign w:val="center"/>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2</w:t>
            </w:r>
          </w:p>
        </w:tc>
      </w:tr>
      <w:tr w:rsidR="00D42F6F" w:rsidRPr="006D42E1" w:rsidTr="006D42E1">
        <w:trPr>
          <w:trHeight w:val="255"/>
        </w:trPr>
        <w:tc>
          <w:tcPr>
            <w:tcW w:w="482" w:type="dxa"/>
            <w:tcBorders>
              <w:top w:val="nil"/>
              <w:left w:val="single" w:sz="4" w:space="0" w:color="auto"/>
              <w:bottom w:val="single" w:sz="4" w:space="0" w:color="auto"/>
              <w:right w:val="single" w:sz="4" w:space="0" w:color="auto"/>
            </w:tcBorders>
            <w:shd w:val="clear" w:color="auto" w:fill="auto"/>
            <w:noWrap/>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27</w:t>
            </w:r>
          </w:p>
        </w:tc>
        <w:tc>
          <w:tcPr>
            <w:tcW w:w="7896" w:type="dxa"/>
            <w:tcBorders>
              <w:top w:val="nil"/>
              <w:left w:val="nil"/>
              <w:bottom w:val="single" w:sz="4" w:space="0" w:color="auto"/>
              <w:right w:val="single" w:sz="4" w:space="0" w:color="auto"/>
            </w:tcBorders>
            <w:shd w:val="clear" w:color="auto" w:fill="auto"/>
            <w:vAlign w:val="center"/>
            <w:hideMark/>
          </w:tcPr>
          <w:p w:rsidR="00D42F6F" w:rsidRPr="006D42E1" w:rsidRDefault="00D42F6F" w:rsidP="006D42E1">
            <w:pPr>
              <w:spacing w:before="20" w:after="20"/>
              <w:rPr>
                <w:rFonts w:ascii="Calibri" w:hAnsi="Calibri" w:cs="Arial"/>
                <w:sz w:val="19"/>
                <w:szCs w:val="19"/>
              </w:rPr>
            </w:pPr>
            <w:r w:rsidRPr="006D42E1">
              <w:rPr>
                <w:rFonts w:ascii="Calibri" w:hAnsi="Calibri" w:cs="Arial"/>
                <w:sz w:val="19"/>
                <w:szCs w:val="19"/>
              </w:rPr>
              <w:t>PRODUKCJA URZĄDZEŃ ELEKTRYCZNYCH</w:t>
            </w:r>
          </w:p>
        </w:tc>
        <w:tc>
          <w:tcPr>
            <w:tcW w:w="776" w:type="dxa"/>
            <w:tcBorders>
              <w:top w:val="nil"/>
              <w:left w:val="nil"/>
              <w:bottom w:val="single" w:sz="4" w:space="0" w:color="auto"/>
              <w:right w:val="single" w:sz="4" w:space="0" w:color="auto"/>
            </w:tcBorders>
            <w:shd w:val="clear" w:color="auto" w:fill="auto"/>
            <w:noWrap/>
            <w:vAlign w:val="center"/>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2</w:t>
            </w:r>
          </w:p>
        </w:tc>
      </w:tr>
      <w:tr w:rsidR="00D42F6F" w:rsidRPr="006D42E1" w:rsidTr="006D42E1">
        <w:trPr>
          <w:trHeight w:val="255"/>
        </w:trPr>
        <w:tc>
          <w:tcPr>
            <w:tcW w:w="482" w:type="dxa"/>
            <w:tcBorders>
              <w:top w:val="nil"/>
              <w:left w:val="single" w:sz="4" w:space="0" w:color="auto"/>
              <w:bottom w:val="single" w:sz="4" w:space="0" w:color="auto"/>
              <w:right w:val="single" w:sz="4" w:space="0" w:color="auto"/>
            </w:tcBorders>
            <w:shd w:val="clear" w:color="auto" w:fill="auto"/>
            <w:noWrap/>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78</w:t>
            </w:r>
          </w:p>
        </w:tc>
        <w:tc>
          <w:tcPr>
            <w:tcW w:w="7896" w:type="dxa"/>
            <w:tcBorders>
              <w:top w:val="nil"/>
              <w:left w:val="nil"/>
              <w:bottom w:val="single" w:sz="4" w:space="0" w:color="auto"/>
              <w:right w:val="single" w:sz="4" w:space="0" w:color="auto"/>
            </w:tcBorders>
            <w:shd w:val="clear" w:color="auto" w:fill="auto"/>
            <w:vAlign w:val="center"/>
            <w:hideMark/>
          </w:tcPr>
          <w:p w:rsidR="00D42F6F" w:rsidRPr="006D42E1" w:rsidRDefault="00D42F6F" w:rsidP="006D42E1">
            <w:pPr>
              <w:spacing w:before="20" w:after="20"/>
              <w:rPr>
                <w:rFonts w:ascii="Calibri" w:hAnsi="Calibri" w:cs="Arial"/>
                <w:sz w:val="19"/>
                <w:szCs w:val="19"/>
              </w:rPr>
            </w:pPr>
            <w:r w:rsidRPr="006D42E1">
              <w:rPr>
                <w:rFonts w:ascii="Calibri" w:hAnsi="Calibri" w:cs="Arial"/>
                <w:sz w:val="19"/>
                <w:szCs w:val="19"/>
              </w:rPr>
              <w:t>DZIAŁALNOŚĆ ZWIĄZANA Z ZATRUDNIENIEM</w:t>
            </w:r>
          </w:p>
        </w:tc>
        <w:tc>
          <w:tcPr>
            <w:tcW w:w="776" w:type="dxa"/>
            <w:tcBorders>
              <w:top w:val="nil"/>
              <w:left w:val="nil"/>
              <w:bottom w:val="single" w:sz="4" w:space="0" w:color="auto"/>
              <w:right w:val="single" w:sz="4" w:space="0" w:color="auto"/>
            </w:tcBorders>
            <w:shd w:val="clear" w:color="auto" w:fill="auto"/>
            <w:noWrap/>
            <w:vAlign w:val="center"/>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2</w:t>
            </w:r>
          </w:p>
        </w:tc>
      </w:tr>
      <w:tr w:rsidR="00D42F6F" w:rsidRPr="006D42E1" w:rsidTr="006D42E1">
        <w:trPr>
          <w:trHeight w:val="480"/>
        </w:trPr>
        <w:tc>
          <w:tcPr>
            <w:tcW w:w="482" w:type="dxa"/>
            <w:tcBorders>
              <w:top w:val="nil"/>
              <w:left w:val="single" w:sz="4" w:space="0" w:color="auto"/>
              <w:bottom w:val="single" w:sz="4" w:space="0" w:color="auto"/>
              <w:right w:val="single" w:sz="4" w:space="0" w:color="auto"/>
            </w:tcBorders>
            <w:shd w:val="clear" w:color="auto" w:fill="auto"/>
            <w:noWrap/>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79</w:t>
            </w:r>
          </w:p>
        </w:tc>
        <w:tc>
          <w:tcPr>
            <w:tcW w:w="7896" w:type="dxa"/>
            <w:tcBorders>
              <w:top w:val="nil"/>
              <w:left w:val="nil"/>
              <w:bottom w:val="single" w:sz="4" w:space="0" w:color="auto"/>
              <w:right w:val="single" w:sz="4" w:space="0" w:color="auto"/>
            </w:tcBorders>
            <w:shd w:val="clear" w:color="auto" w:fill="auto"/>
            <w:vAlign w:val="center"/>
            <w:hideMark/>
          </w:tcPr>
          <w:p w:rsidR="00D42F6F" w:rsidRPr="006D42E1" w:rsidRDefault="00D42F6F" w:rsidP="006D42E1">
            <w:pPr>
              <w:spacing w:before="20" w:after="20"/>
              <w:rPr>
                <w:rFonts w:ascii="Calibri" w:hAnsi="Calibri" w:cs="Arial"/>
                <w:sz w:val="19"/>
                <w:szCs w:val="19"/>
              </w:rPr>
            </w:pPr>
            <w:r w:rsidRPr="006D42E1">
              <w:rPr>
                <w:rFonts w:ascii="Calibri" w:hAnsi="Calibri" w:cs="Arial"/>
                <w:sz w:val="19"/>
                <w:szCs w:val="19"/>
              </w:rPr>
              <w:t>DZIAŁALNOŚĆ ORGANIZATORÓW TURYSTYKI, POŚREDNIKÓW I AGENTÓW TURYSTYCZNYCH ORAZ POZOSTAŁA DZIAŁALNOŚĆ USŁUGOWA W ZAKRESIE REZERWACJI I</w:t>
            </w:r>
          </w:p>
        </w:tc>
        <w:tc>
          <w:tcPr>
            <w:tcW w:w="776" w:type="dxa"/>
            <w:tcBorders>
              <w:top w:val="nil"/>
              <w:left w:val="nil"/>
              <w:bottom w:val="single" w:sz="4" w:space="0" w:color="auto"/>
              <w:right w:val="single" w:sz="4" w:space="0" w:color="auto"/>
            </w:tcBorders>
            <w:shd w:val="clear" w:color="auto" w:fill="auto"/>
            <w:noWrap/>
            <w:vAlign w:val="center"/>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2</w:t>
            </w:r>
          </w:p>
        </w:tc>
      </w:tr>
      <w:tr w:rsidR="00D42F6F" w:rsidRPr="006D42E1" w:rsidTr="006D42E1">
        <w:trPr>
          <w:trHeight w:val="480"/>
        </w:trPr>
        <w:tc>
          <w:tcPr>
            <w:tcW w:w="482" w:type="dxa"/>
            <w:tcBorders>
              <w:top w:val="nil"/>
              <w:left w:val="single" w:sz="4" w:space="0" w:color="auto"/>
              <w:bottom w:val="single" w:sz="4" w:space="0" w:color="auto"/>
              <w:right w:val="single" w:sz="4" w:space="0" w:color="auto"/>
            </w:tcBorders>
            <w:shd w:val="clear" w:color="auto" w:fill="auto"/>
            <w:noWrap/>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81</w:t>
            </w:r>
          </w:p>
        </w:tc>
        <w:tc>
          <w:tcPr>
            <w:tcW w:w="7896" w:type="dxa"/>
            <w:tcBorders>
              <w:top w:val="nil"/>
              <w:left w:val="nil"/>
              <w:bottom w:val="single" w:sz="4" w:space="0" w:color="auto"/>
              <w:right w:val="single" w:sz="4" w:space="0" w:color="auto"/>
            </w:tcBorders>
            <w:shd w:val="clear" w:color="auto" w:fill="auto"/>
            <w:vAlign w:val="center"/>
            <w:hideMark/>
          </w:tcPr>
          <w:p w:rsidR="00D42F6F" w:rsidRPr="006D42E1" w:rsidRDefault="00D42F6F" w:rsidP="006D42E1">
            <w:pPr>
              <w:spacing w:before="20" w:after="20"/>
              <w:rPr>
                <w:rFonts w:ascii="Calibri" w:hAnsi="Calibri" w:cs="Arial"/>
                <w:sz w:val="19"/>
                <w:szCs w:val="19"/>
              </w:rPr>
            </w:pPr>
            <w:r w:rsidRPr="006D42E1">
              <w:rPr>
                <w:rFonts w:ascii="Calibri" w:hAnsi="Calibri" w:cs="Arial"/>
                <w:sz w:val="19"/>
                <w:szCs w:val="19"/>
              </w:rPr>
              <w:t>DZIAŁALNOŚĆ USŁUGOWA ZWIĄZANA Z UTRZYMANIEM PORZĄDKU W BUDYNKACH I ZAGOSPODAROWANIEM TERENÓW ZIELENI</w:t>
            </w:r>
          </w:p>
        </w:tc>
        <w:tc>
          <w:tcPr>
            <w:tcW w:w="776" w:type="dxa"/>
            <w:tcBorders>
              <w:top w:val="nil"/>
              <w:left w:val="nil"/>
              <w:bottom w:val="single" w:sz="4" w:space="0" w:color="auto"/>
              <w:right w:val="single" w:sz="4" w:space="0" w:color="auto"/>
            </w:tcBorders>
            <w:shd w:val="clear" w:color="auto" w:fill="auto"/>
            <w:noWrap/>
            <w:vAlign w:val="center"/>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2</w:t>
            </w:r>
          </w:p>
        </w:tc>
      </w:tr>
      <w:tr w:rsidR="00D42F6F" w:rsidRPr="006D42E1" w:rsidTr="006D42E1">
        <w:trPr>
          <w:trHeight w:val="480"/>
        </w:trPr>
        <w:tc>
          <w:tcPr>
            <w:tcW w:w="482" w:type="dxa"/>
            <w:tcBorders>
              <w:top w:val="nil"/>
              <w:left w:val="single" w:sz="4" w:space="0" w:color="auto"/>
              <w:bottom w:val="single" w:sz="4" w:space="0" w:color="auto"/>
              <w:right w:val="single" w:sz="4" w:space="0" w:color="auto"/>
            </w:tcBorders>
            <w:shd w:val="clear" w:color="auto" w:fill="auto"/>
            <w:noWrap/>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82</w:t>
            </w:r>
          </w:p>
        </w:tc>
        <w:tc>
          <w:tcPr>
            <w:tcW w:w="7896" w:type="dxa"/>
            <w:tcBorders>
              <w:top w:val="nil"/>
              <w:left w:val="nil"/>
              <w:bottom w:val="single" w:sz="4" w:space="0" w:color="auto"/>
              <w:right w:val="single" w:sz="4" w:space="0" w:color="auto"/>
            </w:tcBorders>
            <w:shd w:val="clear" w:color="auto" w:fill="auto"/>
            <w:vAlign w:val="center"/>
            <w:hideMark/>
          </w:tcPr>
          <w:p w:rsidR="00D42F6F" w:rsidRPr="006D42E1" w:rsidRDefault="00D42F6F" w:rsidP="006D42E1">
            <w:pPr>
              <w:spacing w:before="20" w:after="20"/>
              <w:rPr>
                <w:rFonts w:ascii="Calibri" w:hAnsi="Calibri" w:cs="Arial"/>
                <w:sz w:val="19"/>
                <w:szCs w:val="19"/>
              </w:rPr>
            </w:pPr>
            <w:r w:rsidRPr="006D42E1">
              <w:rPr>
                <w:rFonts w:ascii="Calibri" w:hAnsi="Calibri" w:cs="Arial"/>
                <w:sz w:val="19"/>
                <w:szCs w:val="19"/>
              </w:rPr>
              <w:t>DZIAŁALNOŚĆ ZWIĄZANA Z ADMINISTRACYJNĄ OBSŁUGĄ BIURA I POZOSTAŁA DZIAŁALNOŚĆ WSPOMAGAJĄCA PROWADZENIE DZIAŁALNOŚCI GOSPODARCZEJ</w:t>
            </w:r>
          </w:p>
        </w:tc>
        <w:tc>
          <w:tcPr>
            <w:tcW w:w="776" w:type="dxa"/>
            <w:tcBorders>
              <w:top w:val="nil"/>
              <w:left w:val="nil"/>
              <w:bottom w:val="single" w:sz="4" w:space="0" w:color="auto"/>
              <w:right w:val="single" w:sz="4" w:space="0" w:color="auto"/>
            </w:tcBorders>
            <w:shd w:val="clear" w:color="auto" w:fill="auto"/>
            <w:noWrap/>
            <w:vAlign w:val="center"/>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2</w:t>
            </w:r>
          </w:p>
        </w:tc>
      </w:tr>
      <w:tr w:rsidR="00D42F6F" w:rsidRPr="006D42E1" w:rsidTr="006D42E1">
        <w:trPr>
          <w:trHeight w:val="255"/>
        </w:trPr>
        <w:tc>
          <w:tcPr>
            <w:tcW w:w="482" w:type="dxa"/>
            <w:tcBorders>
              <w:top w:val="nil"/>
              <w:left w:val="single" w:sz="4" w:space="0" w:color="auto"/>
              <w:bottom w:val="single" w:sz="4" w:space="0" w:color="auto"/>
              <w:right w:val="single" w:sz="4" w:space="0" w:color="auto"/>
            </w:tcBorders>
            <w:shd w:val="clear" w:color="auto" w:fill="auto"/>
            <w:noWrap/>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85</w:t>
            </w:r>
          </w:p>
        </w:tc>
        <w:tc>
          <w:tcPr>
            <w:tcW w:w="7896" w:type="dxa"/>
            <w:tcBorders>
              <w:top w:val="nil"/>
              <w:left w:val="nil"/>
              <w:bottom w:val="single" w:sz="4" w:space="0" w:color="auto"/>
              <w:right w:val="single" w:sz="4" w:space="0" w:color="auto"/>
            </w:tcBorders>
            <w:shd w:val="clear" w:color="auto" w:fill="auto"/>
            <w:vAlign w:val="center"/>
            <w:hideMark/>
          </w:tcPr>
          <w:p w:rsidR="00D42F6F" w:rsidRPr="006D42E1" w:rsidRDefault="00D42F6F" w:rsidP="006D42E1">
            <w:pPr>
              <w:spacing w:before="20" w:after="20"/>
              <w:rPr>
                <w:rFonts w:ascii="Calibri" w:hAnsi="Calibri" w:cs="Arial"/>
                <w:sz w:val="19"/>
                <w:szCs w:val="19"/>
              </w:rPr>
            </w:pPr>
            <w:r w:rsidRPr="006D42E1">
              <w:rPr>
                <w:rFonts w:ascii="Calibri" w:hAnsi="Calibri" w:cs="Arial"/>
                <w:sz w:val="19"/>
                <w:szCs w:val="19"/>
              </w:rPr>
              <w:t>EDUKACJA</w:t>
            </w:r>
          </w:p>
        </w:tc>
        <w:tc>
          <w:tcPr>
            <w:tcW w:w="776" w:type="dxa"/>
            <w:tcBorders>
              <w:top w:val="nil"/>
              <w:left w:val="nil"/>
              <w:bottom w:val="single" w:sz="4" w:space="0" w:color="auto"/>
              <w:right w:val="single" w:sz="4" w:space="0" w:color="auto"/>
            </w:tcBorders>
            <w:shd w:val="clear" w:color="auto" w:fill="auto"/>
            <w:noWrap/>
            <w:vAlign w:val="center"/>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2</w:t>
            </w:r>
          </w:p>
        </w:tc>
      </w:tr>
      <w:tr w:rsidR="00D42F6F" w:rsidRPr="006D42E1" w:rsidTr="006D42E1">
        <w:trPr>
          <w:trHeight w:val="255"/>
        </w:trPr>
        <w:tc>
          <w:tcPr>
            <w:tcW w:w="482" w:type="dxa"/>
            <w:tcBorders>
              <w:top w:val="nil"/>
              <w:left w:val="single" w:sz="4" w:space="0" w:color="auto"/>
              <w:bottom w:val="single" w:sz="4" w:space="0" w:color="auto"/>
              <w:right w:val="single" w:sz="4" w:space="0" w:color="auto"/>
            </w:tcBorders>
            <w:shd w:val="clear" w:color="auto" w:fill="99CCFF"/>
            <w:noWrap/>
            <w:vAlign w:val="center"/>
            <w:hideMark/>
          </w:tcPr>
          <w:p w:rsidR="00D42F6F" w:rsidRPr="006D42E1" w:rsidRDefault="00D42F6F" w:rsidP="00AE4886">
            <w:pPr>
              <w:jc w:val="center"/>
              <w:rPr>
                <w:rFonts w:ascii="Calibri" w:hAnsi="Calibri" w:cs="Arial"/>
                <w:b/>
                <w:bCs/>
                <w:szCs w:val="20"/>
              </w:rPr>
            </w:pPr>
            <w:r w:rsidRPr="006D42E1">
              <w:rPr>
                <w:rFonts w:ascii="Calibri" w:hAnsi="Calibri" w:cs="Arial"/>
                <w:b/>
                <w:bCs/>
                <w:szCs w:val="20"/>
              </w:rPr>
              <w:t>PKD</w:t>
            </w:r>
          </w:p>
        </w:tc>
        <w:tc>
          <w:tcPr>
            <w:tcW w:w="7896" w:type="dxa"/>
            <w:tcBorders>
              <w:top w:val="nil"/>
              <w:left w:val="nil"/>
              <w:bottom w:val="single" w:sz="4" w:space="0" w:color="auto"/>
              <w:right w:val="single" w:sz="4" w:space="0" w:color="auto"/>
            </w:tcBorders>
            <w:shd w:val="clear" w:color="auto" w:fill="99CCFF"/>
            <w:vAlign w:val="center"/>
            <w:hideMark/>
          </w:tcPr>
          <w:p w:rsidR="00D42F6F" w:rsidRPr="006D42E1" w:rsidRDefault="00D42F6F" w:rsidP="00AE4886">
            <w:pPr>
              <w:jc w:val="center"/>
              <w:rPr>
                <w:rFonts w:ascii="Calibri" w:hAnsi="Calibri" w:cs="Arial"/>
                <w:b/>
                <w:bCs/>
                <w:szCs w:val="20"/>
              </w:rPr>
            </w:pPr>
            <w:r w:rsidRPr="006D42E1">
              <w:rPr>
                <w:rFonts w:ascii="Calibri" w:hAnsi="Calibri" w:cs="Arial"/>
                <w:b/>
                <w:bCs/>
                <w:szCs w:val="20"/>
              </w:rPr>
              <w:t>ŚRÓDMIEŚCIE PÓŁNOC</w:t>
            </w:r>
            <w:r w:rsidR="00443340" w:rsidRPr="006D42E1">
              <w:rPr>
                <w:rFonts w:ascii="Calibri" w:hAnsi="Calibri" w:cs="Arial"/>
                <w:b/>
                <w:bCs/>
                <w:szCs w:val="20"/>
              </w:rPr>
              <w:t xml:space="preserve"> – </w:t>
            </w:r>
            <w:r w:rsidRPr="006D42E1">
              <w:rPr>
                <w:rFonts w:ascii="Calibri" w:hAnsi="Calibri" w:cs="Arial"/>
                <w:b/>
                <w:bCs/>
                <w:szCs w:val="20"/>
              </w:rPr>
              <w:t>RODZAJ DZIAŁALNOŚCI WEDŁUG PKD</w:t>
            </w:r>
          </w:p>
        </w:tc>
        <w:tc>
          <w:tcPr>
            <w:tcW w:w="776" w:type="dxa"/>
            <w:tcBorders>
              <w:top w:val="nil"/>
              <w:left w:val="nil"/>
              <w:bottom w:val="single" w:sz="4" w:space="0" w:color="auto"/>
              <w:right w:val="single" w:sz="4" w:space="0" w:color="auto"/>
            </w:tcBorders>
            <w:shd w:val="clear" w:color="auto" w:fill="99CCFF"/>
            <w:noWrap/>
            <w:vAlign w:val="center"/>
            <w:hideMark/>
          </w:tcPr>
          <w:p w:rsidR="00D42F6F" w:rsidRPr="006D42E1" w:rsidRDefault="00D42F6F" w:rsidP="00AE4886">
            <w:pPr>
              <w:jc w:val="center"/>
              <w:rPr>
                <w:rFonts w:ascii="Calibri" w:hAnsi="Calibri" w:cs="Arial"/>
                <w:b/>
                <w:bCs/>
                <w:szCs w:val="20"/>
              </w:rPr>
            </w:pPr>
            <w:r w:rsidRPr="006D42E1">
              <w:rPr>
                <w:rFonts w:ascii="Calibri" w:hAnsi="Calibri" w:cs="Arial"/>
                <w:b/>
                <w:bCs/>
                <w:szCs w:val="20"/>
              </w:rPr>
              <w:t>LICZBA SPÓŁEK</w:t>
            </w:r>
          </w:p>
        </w:tc>
      </w:tr>
      <w:tr w:rsidR="00D42F6F" w:rsidRPr="006D42E1" w:rsidTr="006D42E1">
        <w:trPr>
          <w:trHeight w:val="255"/>
        </w:trPr>
        <w:tc>
          <w:tcPr>
            <w:tcW w:w="482" w:type="dxa"/>
            <w:tcBorders>
              <w:top w:val="nil"/>
              <w:left w:val="single" w:sz="4" w:space="0" w:color="auto"/>
              <w:bottom w:val="single" w:sz="4" w:space="0" w:color="auto"/>
              <w:right w:val="single" w:sz="4" w:space="0" w:color="auto"/>
            </w:tcBorders>
            <w:shd w:val="clear" w:color="auto" w:fill="auto"/>
            <w:noWrap/>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46</w:t>
            </w:r>
          </w:p>
        </w:tc>
        <w:tc>
          <w:tcPr>
            <w:tcW w:w="7896" w:type="dxa"/>
            <w:tcBorders>
              <w:top w:val="nil"/>
              <w:left w:val="nil"/>
              <w:bottom w:val="single" w:sz="4" w:space="0" w:color="auto"/>
              <w:right w:val="single" w:sz="4" w:space="0" w:color="auto"/>
            </w:tcBorders>
            <w:shd w:val="clear" w:color="auto" w:fill="auto"/>
            <w:vAlign w:val="center"/>
            <w:hideMark/>
          </w:tcPr>
          <w:p w:rsidR="00D42F6F" w:rsidRPr="006D42E1" w:rsidRDefault="00D42F6F" w:rsidP="006D42E1">
            <w:pPr>
              <w:spacing w:before="20" w:after="20"/>
              <w:rPr>
                <w:rFonts w:ascii="Calibri" w:hAnsi="Calibri" w:cs="Arial"/>
                <w:sz w:val="19"/>
                <w:szCs w:val="19"/>
              </w:rPr>
            </w:pPr>
            <w:r w:rsidRPr="006D42E1">
              <w:rPr>
                <w:rFonts w:ascii="Calibri" w:hAnsi="Calibri" w:cs="Arial"/>
                <w:sz w:val="19"/>
                <w:szCs w:val="19"/>
              </w:rPr>
              <w:t>HANDEL HURTOWY, Z WYŁĄCZENIEM HANDLU POJAZDAMI SAMOCHODOWYMI</w:t>
            </w:r>
          </w:p>
        </w:tc>
        <w:tc>
          <w:tcPr>
            <w:tcW w:w="776" w:type="dxa"/>
            <w:tcBorders>
              <w:top w:val="nil"/>
              <w:left w:val="nil"/>
              <w:bottom w:val="single" w:sz="4" w:space="0" w:color="auto"/>
              <w:right w:val="single" w:sz="4" w:space="0" w:color="auto"/>
            </w:tcBorders>
            <w:shd w:val="clear" w:color="auto" w:fill="auto"/>
            <w:noWrap/>
            <w:vAlign w:val="center"/>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23</w:t>
            </w:r>
          </w:p>
        </w:tc>
      </w:tr>
      <w:tr w:rsidR="00D42F6F" w:rsidRPr="006D42E1" w:rsidTr="006D42E1">
        <w:trPr>
          <w:trHeight w:val="255"/>
        </w:trPr>
        <w:tc>
          <w:tcPr>
            <w:tcW w:w="482" w:type="dxa"/>
            <w:tcBorders>
              <w:top w:val="nil"/>
              <w:left w:val="single" w:sz="4" w:space="0" w:color="auto"/>
              <w:bottom w:val="single" w:sz="4" w:space="0" w:color="auto"/>
              <w:right w:val="single" w:sz="4" w:space="0" w:color="auto"/>
            </w:tcBorders>
            <w:shd w:val="clear" w:color="auto" w:fill="auto"/>
            <w:noWrap/>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47</w:t>
            </w:r>
          </w:p>
        </w:tc>
        <w:tc>
          <w:tcPr>
            <w:tcW w:w="7896" w:type="dxa"/>
            <w:tcBorders>
              <w:top w:val="nil"/>
              <w:left w:val="nil"/>
              <w:bottom w:val="single" w:sz="4" w:space="0" w:color="auto"/>
              <w:right w:val="single" w:sz="4" w:space="0" w:color="auto"/>
            </w:tcBorders>
            <w:shd w:val="clear" w:color="auto" w:fill="auto"/>
            <w:vAlign w:val="center"/>
            <w:hideMark/>
          </w:tcPr>
          <w:p w:rsidR="00D42F6F" w:rsidRPr="006D42E1" w:rsidRDefault="00D42F6F" w:rsidP="006D42E1">
            <w:pPr>
              <w:spacing w:before="20" w:after="20"/>
              <w:rPr>
                <w:rFonts w:ascii="Calibri" w:hAnsi="Calibri" w:cs="Arial"/>
                <w:sz w:val="19"/>
                <w:szCs w:val="19"/>
              </w:rPr>
            </w:pPr>
            <w:r w:rsidRPr="006D42E1">
              <w:rPr>
                <w:rFonts w:ascii="Calibri" w:hAnsi="Calibri" w:cs="Arial"/>
                <w:sz w:val="19"/>
                <w:szCs w:val="19"/>
              </w:rPr>
              <w:t>HANDEL DETALICZNY, Z WYŁĄCZENIEM HANDLU DETALICZNEGO POJAZDAMI SAMOCHODOWYMI</w:t>
            </w:r>
          </w:p>
        </w:tc>
        <w:tc>
          <w:tcPr>
            <w:tcW w:w="776" w:type="dxa"/>
            <w:tcBorders>
              <w:top w:val="nil"/>
              <w:left w:val="nil"/>
              <w:bottom w:val="single" w:sz="4" w:space="0" w:color="auto"/>
              <w:right w:val="single" w:sz="4" w:space="0" w:color="auto"/>
            </w:tcBorders>
            <w:shd w:val="clear" w:color="auto" w:fill="auto"/>
            <w:noWrap/>
            <w:vAlign w:val="center"/>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21</w:t>
            </w:r>
          </w:p>
        </w:tc>
      </w:tr>
      <w:tr w:rsidR="00D42F6F" w:rsidRPr="006D42E1" w:rsidTr="002E4957">
        <w:trPr>
          <w:trHeight w:val="255"/>
        </w:trPr>
        <w:tc>
          <w:tcPr>
            <w:tcW w:w="482" w:type="dxa"/>
            <w:tcBorders>
              <w:top w:val="nil"/>
              <w:left w:val="single" w:sz="4" w:space="0" w:color="auto"/>
              <w:bottom w:val="single" w:sz="4" w:space="0" w:color="auto"/>
              <w:right w:val="single" w:sz="4" w:space="0" w:color="auto"/>
            </w:tcBorders>
            <w:shd w:val="clear" w:color="auto" w:fill="auto"/>
            <w:noWrap/>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41</w:t>
            </w:r>
          </w:p>
        </w:tc>
        <w:tc>
          <w:tcPr>
            <w:tcW w:w="7896" w:type="dxa"/>
            <w:tcBorders>
              <w:top w:val="nil"/>
              <w:left w:val="nil"/>
              <w:bottom w:val="single" w:sz="4" w:space="0" w:color="auto"/>
              <w:right w:val="single" w:sz="4" w:space="0" w:color="auto"/>
            </w:tcBorders>
            <w:shd w:val="clear" w:color="auto" w:fill="auto"/>
            <w:vAlign w:val="center"/>
            <w:hideMark/>
          </w:tcPr>
          <w:p w:rsidR="00D42F6F" w:rsidRPr="006D42E1" w:rsidRDefault="00D42F6F" w:rsidP="006D42E1">
            <w:pPr>
              <w:spacing w:before="20" w:after="20"/>
              <w:rPr>
                <w:rFonts w:ascii="Calibri" w:hAnsi="Calibri" w:cs="Arial"/>
                <w:sz w:val="19"/>
                <w:szCs w:val="19"/>
              </w:rPr>
            </w:pPr>
            <w:r w:rsidRPr="006D42E1">
              <w:rPr>
                <w:rFonts w:ascii="Calibri" w:hAnsi="Calibri" w:cs="Arial"/>
                <w:sz w:val="19"/>
                <w:szCs w:val="19"/>
              </w:rPr>
              <w:t>ROBOTY BUDOWLANE ZWIĄZANE ZE WZNOSZENIEM BUDYNKÓW</w:t>
            </w:r>
          </w:p>
        </w:tc>
        <w:tc>
          <w:tcPr>
            <w:tcW w:w="776" w:type="dxa"/>
            <w:tcBorders>
              <w:top w:val="nil"/>
              <w:left w:val="nil"/>
              <w:bottom w:val="single" w:sz="4" w:space="0" w:color="auto"/>
              <w:right w:val="single" w:sz="4" w:space="0" w:color="auto"/>
            </w:tcBorders>
            <w:shd w:val="clear" w:color="auto" w:fill="auto"/>
            <w:noWrap/>
            <w:vAlign w:val="center"/>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9</w:t>
            </w:r>
          </w:p>
        </w:tc>
      </w:tr>
      <w:tr w:rsidR="00D42F6F" w:rsidRPr="006D42E1" w:rsidTr="002E4957">
        <w:trPr>
          <w:trHeight w:val="255"/>
        </w:trPr>
        <w:tc>
          <w:tcPr>
            <w:tcW w:w="482" w:type="dxa"/>
            <w:tcBorders>
              <w:top w:val="single" w:sz="4" w:space="0" w:color="auto"/>
              <w:left w:val="single" w:sz="4" w:space="0" w:color="auto"/>
              <w:bottom w:val="single" w:sz="4" w:space="0" w:color="auto"/>
              <w:right w:val="single" w:sz="4" w:space="0" w:color="auto"/>
            </w:tcBorders>
            <w:shd w:val="clear" w:color="auto" w:fill="auto"/>
            <w:noWrap/>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lastRenderedPageBreak/>
              <w:t>71</w:t>
            </w:r>
          </w:p>
        </w:tc>
        <w:tc>
          <w:tcPr>
            <w:tcW w:w="7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2F6F" w:rsidRPr="006D42E1" w:rsidRDefault="00D42F6F" w:rsidP="006D42E1">
            <w:pPr>
              <w:spacing w:before="20" w:after="20"/>
              <w:rPr>
                <w:rFonts w:ascii="Calibri" w:hAnsi="Calibri" w:cs="Arial"/>
                <w:sz w:val="19"/>
                <w:szCs w:val="19"/>
              </w:rPr>
            </w:pPr>
            <w:r w:rsidRPr="006D42E1">
              <w:rPr>
                <w:rFonts w:ascii="Calibri" w:hAnsi="Calibri" w:cs="Arial"/>
                <w:sz w:val="19"/>
                <w:szCs w:val="19"/>
              </w:rPr>
              <w:t>DZIAŁALNOŚĆ W ZAKRESIE ARCHITEKTURY I INŻYNIERII; BADANIA I ANALIZY TECHNICZNE</w:t>
            </w:r>
          </w:p>
        </w:tc>
        <w:tc>
          <w:tcPr>
            <w:tcW w:w="7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6</w:t>
            </w:r>
          </w:p>
        </w:tc>
      </w:tr>
      <w:tr w:rsidR="00D42F6F" w:rsidRPr="006D42E1" w:rsidTr="002E4957">
        <w:trPr>
          <w:trHeight w:val="255"/>
        </w:trPr>
        <w:tc>
          <w:tcPr>
            <w:tcW w:w="482" w:type="dxa"/>
            <w:tcBorders>
              <w:top w:val="single" w:sz="4" w:space="0" w:color="auto"/>
              <w:left w:val="single" w:sz="4" w:space="0" w:color="auto"/>
              <w:bottom w:val="single" w:sz="4" w:space="0" w:color="auto"/>
              <w:right w:val="single" w:sz="4" w:space="0" w:color="auto"/>
            </w:tcBorders>
            <w:shd w:val="clear" w:color="auto" w:fill="auto"/>
            <w:noWrap/>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63</w:t>
            </w:r>
          </w:p>
        </w:tc>
        <w:tc>
          <w:tcPr>
            <w:tcW w:w="7896" w:type="dxa"/>
            <w:tcBorders>
              <w:top w:val="single" w:sz="4" w:space="0" w:color="auto"/>
              <w:left w:val="nil"/>
              <w:bottom w:val="single" w:sz="4" w:space="0" w:color="auto"/>
              <w:right w:val="single" w:sz="4" w:space="0" w:color="auto"/>
            </w:tcBorders>
            <w:shd w:val="clear" w:color="auto" w:fill="auto"/>
            <w:vAlign w:val="center"/>
            <w:hideMark/>
          </w:tcPr>
          <w:p w:rsidR="00D42F6F" w:rsidRPr="006D42E1" w:rsidRDefault="00D42F6F" w:rsidP="006D42E1">
            <w:pPr>
              <w:spacing w:before="20" w:after="20"/>
              <w:rPr>
                <w:rFonts w:ascii="Calibri" w:hAnsi="Calibri" w:cs="Arial"/>
                <w:sz w:val="19"/>
                <w:szCs w:val="19"/>
              </w:rPr>
            </w:pPr>
            <w:r w:rsidRPr="006D42E1">
              <w:rPr>
                <w:rFonts w:ascii="Calibri" w:hAnsi="Calibri" w:cs="Arial"/>
                <w:sz w:val="19"/>
                <w:szCs w:val="19"/>
              </w:rPr>
              <w:t>FINANSOWA DZIAŁALNOŚĆ USŁUGOWA, Z WYŁĄCZENIEM UBEZPIECZEŃ I FUNDUSZÓW EMERYTALNYCH</w:t>
            </w:r>
          </w:p>
        </w:tc>
        <w:tc>
          <w:tcPr>
            <w:tcW w:w="776" w:type="dxa"/>
            <w:tcBorders>
              <w:top w:val="single" w:sz="4" w:space="0" w:color="auto"/>
              <w:left w:val="nil"/>
              <w:bottom w:val="single" w:sz="4" w:space="0" w:color="auto"/>
              <w:right w:val="single" w:sz="4" w:space="0" w:color="auto"/>
            </w:tcBorders>
            <w:shd w:val="clear" w:color="auto" w:fill="auto"/>
            <w:noWrap/>
            <w:vAlign w:val="center"/>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5</w:t>
            </w:r>
          </w:p>
        </w:tc>
      </w:tr>
      <w:tr w:rsidR="00D42F6F" w:rsidRPr="006D42E1" w:rsidTr="006D42E1">
        <w:trPr>
          <w:trHeight w:val="255"/>
        </w:trPr>
        <w:tc>
          <w:tcPr>
            <w:tcW w:w="482" w:type="dxa"/>
            <w:tcBorders>
              <w:top w:val="nil"/>
              <w:left w:val="single" w:sz="4" w:space="0" w:color="auto"/>
              <w:bottom w:val="single" w:sz="4" w:space="0" w:color="auto"/>
              <w:right w:val="single" w:sz="4" w:space="0" w:color="auto"/>
            </w:tcBorders>
            <w:shd w:val="clear" w:color="auto" w:fill="auto"/>
            <w:noWrap/>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45</w:t>
            </w:r>
          </w:p>
        </w:tc>
        <w:tc>
          <w:tcPr>
            <w:tcW w:w="7896" w:type="dxa"/>
            <w:tcBorders>
              <w:top w:val="nil"/>
              <w:left w:val="nil"/>
              <w:bottom w:val="single" w:sz="4" w:space="0" w:color="auto"/>
              <w:right w:val="single" w:sz="4" w:space="0" w:color="auto"/>
            </w:tcBorders>
            <w:shd w:val="clear" w:color="auto" w:fill="auto"/>
            <w:vAlign w:val="center"/>
            <w:hideMark/>
          </w:tcPr>
          <w:p w:rsidR="00D42F6F" w:rsidRPr="006D42E1" w:rsidRDefault="00D42F6F" w:rsidP="006D42E1">
            <w:pPr>
              <w:spacing w:before="20" w:after="20"/>
              <w:rPr>
                <w:rFonts w:ascii="Calibri" w:hAnsi="Calibri" w:cs="Arial"/>
                <w:sz w:val="19"/>
                <w:szCs w:val="19"/>
              </w:rPr>
            </w:pPr>
            <w:r w:rsidRPr="006D42E1">
              <w:rPr>
                <w:rFonts w:ascii="Calibri" w:hAnsi="Calibri" w:cs="Arial"/>
                <w:sz w:val="19"/>
                <w:szCs w:val="19"/>
              </w:rPr>
              <w:t>HANDEL HURTOWY I DETALICZNY POJAZDAMI SAMOCHODOWYMI; NAPRAWA POJAZDÓW SAMOCHODOWYCH</w:t>
            </w:r>
          </w:p>
        </w:tc>
        <w:tc>
          <w:tcPr>
            <w:tcW w:w="776" w:type="dxa"/>
            <w:tcBorders>
              <w:top w:val="nil"/>
              <w:left w:val="nil"/>
              <w:bottom w:val="single" w:sz="4" w:space="0" w:color="auto"/>
              <w:right w:val="single" w:sz="4" w:space="0" w:color="auto"/>
            </w:tcBorders>
            <w:shd w:val="clear" w:color="auto" w:fill="auto"/>
            <w:noWrap/>
            <w:vAlign w:val="center"/>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4</w:t>
            </w:r>
          </w:p>
        </w:tc>
      </w:tr>
      <w:tr w:rsidR="00D42F6F" w:rsidRPr="006D42E1" w:rsidTr="006D42E1">
        <w:trPr>
          <w:trHeight w:val="255"/>
        </w:trPr>
        <w:tc>
          <w:tcPr>
            <w:tcW w:w="482" w:type="dxa"/>
            <w:tcBorders>
              <w:top w:val="nil"/>
              <w:left w:val="single" w:sz="4" w:space="0" w:color="auto"/>
              <w:bottom w:val="single" w:sz="4" w:space="0" w:color="auto"/>
              <w:right w:val="single" w:sz="4" w:space="0" w:color="auto"/>
            </w:tcBorders>
            <w:shd w:val="clear" w:color="auto" w:fill="auto"/>
            <w:noWrap/>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49</w:t>
            </w:r>
          </w:p>
        </w:tc>
        <w:tc>
          <w:tcPr>
            <w:tcW w:w="7896" w:type="dxa"/>
            <w:tcBorders>
              <w:top w:val="nil"/>
              <w:left w:val="nil"/>
              <w:bottom w:val="single" w:sz="4" w:space="0" w:color="auto"/>
              <w:right w:val="single" w:sz="4" w:space="0" w:color="auto"/>
            </w:tcBorders>
            <w:shd w:val="clear" w:color="auto" w:fill="auto"/>
            <w:vAlign w:val="center"/>
            <w:hideMark/>
          </w:tcPr>
          <w:p w:rsidR="00D42F6F" w:rsidRPr="006D42E1" w:rsidRDefault="00D42F6F" w:rsidP="006D42E1">
            <w:pPr>
              <w:spacing w:before="20" w:after="20"/>
              <w:rPr>
                <w:rFonts w:ascii="Calibri" w:hAnsi="Calibri" w:cs="Arial"/>
                <w:sz w:val="19"/>
                <w:szCs w:val="19"/>
              </w:rPr>
            </w:pPr>
            <w:r w:rsidRPr="006D42E1">
              <w:rPr>
                <w:rFonts w:ascii="Calibri" w:hAnsi="Calibri" w:cs="Arial"/>
                <w:sz w:val="19"/>
                <w:szCs w:val="19"/>
              </w:rPr>
              <w:t>TRANSPORT LĄDOWY ORAZ TRANSPORT RUROCIĄGOWY</w:t>
            </w:r>
          </w:p>
        </w:tc>
        <w:tc>
          <w:tcPr>
            <w:tcW w:w="776" w:type="dxa"/>
            <w:tcBorders>
              <w:top w:val="nil"/>
              <w:left w:val="nil"/>
              <w:bottom w:val="single" w:sz="4" w:space="0" w:color="auto"/>
              <w:right w:val="single" w:sz="4" w:space="0" w:color="auto"/>
            </w:tcBorders>
            <w:shd w:val="clear" w:color="auto" w:fill="auto"/>
            <w:noWrap/>
            <w:vAlign w:val="center"/>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3</w:t>
            </w:r>
          </w:p>
        </w:tc>
      </w:tr>
      <w:tr w:rsidR="00D42F6F" w:rsidRPr="006D42E1" w:rsidTr="006D42E1">
        <w:trPr>
          <w:trHeight w:val="255"/>
        </w:trPr>
        <w:tc>
          <w:tcPr>
            <w:tcW w:w="482" w:type="dxa"/>
            <w:tcBorders>
              <w:top w:val="nil"/>
              <w:left w:val="single" w:sz="4" w:space="0" w:color="auto"/>
              <w:bottom w:val="single" w:sz="4" w:space="0" w:color="auto"/>
              <w:right w:val="single" w:sz="4" w:space="0" w:color="auto"/>
            </w:tcBorders>
            <w:shd w:val="clear" w:color="auto" w:fill="auto"/>
            <w:noWrap/>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64</w:t>
            </w:r>
          </w:p>
        </w:tc>
        <w:tc>
          <w:tcPr>
            <w:tcW w:w="7896" w:type="dxa"/>
            <w:tcBorders>
              <w:top w:val="nil"/>
              <w:left w:val="nil"/>
              <w:bottom w:val="single" w:sz="4" w:space="0" w:color="auto"/>
              <w:right w:val="single" w:sz="4" w:space="0" w:color="auto"/>
            </w:tcBorders>
            <w:shd w:val="clear" w:color="auto" w:fill="auto"/>
            <w:vAlign w:val="center"/>
            <w:hideMark/>
          </w:tcPr>
          <w:p w:rsidR="00D42F6F" w:rsidRPr="006D42E1" w:rsidRDefault="00D42F6F" w:rsidP="006D42E1">
            <w:pPr>
              <w:spacing w:before="20" w:after="20"/>
              <w:rPr>
                <w:rFonts w:ascii="Calibri" w:hAnsi="Calibri" w:cs="Arial"/>
                <w:sz w:val="19"/>
                <w:szCs w:val="19"/>
              </w:rPr>
            </w:pPr>
            <w:r w:rsidRPr="006D42E1">
              <w:rPr>
                <w:rFonts w:ascii="Calibri" w:hAnsi="Calibri" w:cs="Arial"/>
                <w:sz w:val="19"/>
                <w:szCs w:val="19"/>
              </w:rPr>
              <w:t>FINANSOWA DZIAŁALNOŚĆ USŁUGOWA, Z WYŁĄCZENIEM UBEZPIECZEŃ I FUNDUSZÓW EMERYTALNYCH</w:t>
            </w:r>
          </w:p>
        </w:tc>
        <w:tc>
          <w:tcPr>
            <w:tcW w:w="776" w:type="dxa"/>
            <w:tcBorders>
              <w:top w:val="nil"/>
              <w:left w:val="nil"/>
              <w:bottom w:val="single" w:sz="4" w:space="0" w:color="auto"/>
              <w:right w:val="single" w:sz="4" w:space="0" w:color="auto"/>
            </w:tcBorders>
            <w:shd w:val="clear" w:color="auto" w:fill="auto"/>
            <w:noWrap/>
            <w:vAlign w:val="center"/>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3</w:t>
            </w:r>
          </w:p>
        </w:tc>
      </w:tr>
      <w:tr w:rsidR="00D42F6F" w:rsidRPr="006D42E1" w:rsidTr="006D42E1">
        <w:trPr>
          <w:trHeight w:val="255"/>
        </w:trPr>
        <w:tc>
          <w:tcPr>
            <w:tcW w:w="482" w:type="dxa"/>
            <w:tcBorders>
              <w:top w:val="nil"/>
              <w:left w:val="single" w:sz="4" w:space="0" w:color="auto"/>
              <w:bottom w:val="single" w:sz="4" w:space="0" w:color="auto"/>
              <w:right w:val="single" w:sz="4" w:space="0" w:color="auto"/>
            </w:tcBorders>
            <w:shd w:val="clear" w:color="auto" w:fill="auto"/>
            <w:noWrap/>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08</w:t>
            </w:r>
          </w:p>
        </w:tc>
        <w:tc>
          <w:tcPr>
            <w:tcW w:w="7896" w:type="dxa"/>
            <w:tcBorders>
              <w:top w:val="nil"/>
              <w:left w:val="nil"/>
              <w:bottom w:val="single" w:sz="4" w:space="0" w:color="auto"/>
              <w:right w:val="single" w:sz="4" w:space="0" w:color="auto"/>
            </w:tcBorders>
            <w:shd w:val="clear" w:color="auto" w:fill="auto"/>
            <w:vAlign w:val="center"/>
            <w:hideMark/>
          </w:tcPr>
          <w:p w:rsidR="00D42F6F" w:rsidRPr="006D42E1" w:rsidRDefault="00D42F6F" w:rsidP="006D42E1">
            <w:pPr>
              <w:spacing w:before="20" w:after="20"/>
              <w:rPr>
                <w:rFonts w:ascii="Calibri" w:hAnsi="Calibri" w:cs="Arial"/>
                <w:sz w:val="19"/>
                <w:szCs w:val="19"/>
              </w:rPr>
            </w:pPr>
            <w:r w:rsidRPr="006D42E1">
              <w:rPr>
                <w:rFonts w:ascii="Calibri" w:hAnsi="Calibri" w:cs="Arial"/>
                <w:sz w:val="19"/>
                <w:szCs w:val="19"/>
              </w:rPr>
              <w:t>POZOSTAŁE GÓRNICTWO I WYDOBYWANIE</w:t>
            </w:r>
          </w:p>
        </w:tc>
        <w:tc>
          <w:tcPr>
            <w:tcW w:w="776" w:type="dxa"/>
            <w:tcBorders>
              <w:top w:val="nil"/>
              <w:left w:val="nil"/>
              <w:bottom w:val="single" w:sz="4" w:space="0" w:color="auto"/>
              <w:right w:val="single" w:sz="4" w:space="0" w:color="auto"/>
            </w:tcBorders>
            <w:shd w:val="clear" w:color="auto" w:fill="auto"/>
            <w:noWrap/>
            <w:vAlign w:val="center"/>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2</w:t>
            </w:r>
          </w:p>
        </w:tc>
      </w:tr>
      <w:tr w:rsidR="00D42F6F" w:rsidRPr="006D42E1" w:rsidTr="006D42E1">
        <w:trPr>
          <w:trHeight w:val="255"/>
        </w:trPr>
        <w:tc>
          <w:tcPr>
            <w:tcW w:w="482" w:type="dxa"/>
            <w:tcBorders>
              <w:top w:val="nil"/>
              <w:left w:val="single" w:sz="4" w:space="0" w:color="auto"/>
              <w:bottom w:val="single" w:sz="4" w:space="0" w:color="auto"/>
              <w:right w:val="single" w:sz="4" w:space="0" w:color="auto"/>
            </w:tcBorders>
            <w:shd w:val="clear" w:color="auto" w:fill="auto"/>
            <w:noWrap/>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09</w:t>
            </w:r>
          </w:p>
        </w:tc>
        <w:tc>
          <w:tcPr>
            <w:tcW w:w="7896" w:type="dxa"/>
            <w:tcBorders>
              <w:top w:val="nil"/>
              <w:left w:val="nil"/>
              <w:bottom w:val="single" w:sz="4" w:space="0" w:color="auto"/>
              <w:right w:val="single" w:sz="4" w:space="0" w:color="auto"/>
            </w:tcBorders>
            <w:shd w:val="clear" w:color="auto" w:fill="auto"/>
            <w:vAlign w:val="center"/>
            <w:hideMark/>
          </w:tcPr>
          <w:p w:rsidR="00D42F6F" w:rsidRPr="006D42E1" w:rsidRDefault="00D42F6F" w:rsidP="006D42E1">
            <w:pPr>
              <w:spacing w:before="20" w:after="20"/>
              <w:rPr>
                <w:rFonts w:ascii="Calibri" w:hAnsi="Calibri" w:cs="Arial"/>
                <w:sz w:val="19"/>
                <w:szCs w:val="19"/>
              </w:rPr>
            </w:pPr>
            <w:r w:rsidRPr="006D42E1">
              <w:rPr>
                <w:rFonts w:ascii="Calibri" w:hAnsi="Calibri" w:cs="Arial"/>
                <w:sz w:val="19"/>
                <w:szCs w:val="19"/>
              </w:rPr>
              <w:t>DZIAŁALNOŚĆ USŁUGOWA WSPOMAGAJĄCA GÓRNICTWO I WYDOBYWANIE</w:t>
            </w:r>
          </w:p>
        </w:tc>
        <w:tc>
          <w:tcPr>
            <w:tcW w:w="776" w:type="dxa"/>
            <w:tcBorders>
              <w:top w:val="nil"/>
              <w:left w:val="nil"/>
              <w:bottom w:val="single" w:sz="4" w:space="0" w:color="auto"/>
              <w:right w:val="single" w:sz="4" w:space="0" w:color="auto"/>
            </w:tcBorders>
            <w:shd w:val="clear" w:color="auto" w:fill="auto"/>
            <w:noWrap/>
            <w:vAlign w:val="center"/>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2</w:t>
            </w:r>
          </w:p>
        </w:tc>
      </w:tr>
      <w:tr w:rsidR="00D42F6F" w:rsidRPr="006D42E1" w:rsidTr="006D42E1">
        <w:trPr>
          <w:trHeight w:val="480"/>
        </w:trPr>
        <w:tc>
          <w:tcPr>
            <w:tcW w:w="482" w:type="dxa"/>
            <w:tcBorders>
              <w:top w:val="nil"/>
              <w:left w:val="single" w:sz="4" w:space="0" w:color="auto"/>
              <w:bottom w:val="single" w:sz="4" w:space="0" w:color="auto"/>
              <w:right w:val="single" w:sz="4" w:space="0" w:color="auto"/>
            </w:tcBorders>
            <w:shd w:val="clear" w:color="auto" w:fill="auto"/>
            <w:noWrap/>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38</w:t>
            </w:r>
          </w:p>
        </w:tc>
        <w:tc>
          <w:tcPr>
            <w:tcW w:w="7896" w:type="dxa"/>
            <w:tcBorders>
              <w:top w:val="nil"/>
              <w:left w:val="nil"/>
              <w:bottom w:val="single" w:sz="4" w:space="0" w:color="auto"/>
              <w:right w:val="single" w:sz="4" w:space="0" w:color="auto"/>
            </w:tcBorders>
            <w:shd w:val="clear" w:color="auto" w:fill="auto"/>
            <w:vAlign w:val="center"/>
            <w:hideMark/>
          </w:tcPr>
          <w:p w:rsidR="00D42F6F" w:rsidRPr="006D42E1" w:rsidRDefault="00D42F6F" w:rsidP="006D42E1">
            <w:pPr>
              <w:spacing w:before="20" w:after="20"/>
              <w:rPr>
                <w:rFonts w:ascii="Calibri" w:hAnsi="Calibri" w:cs="Arial"/>
                <w:sz w:val="19"/>
                <w:szCs w:val="19"/>
              </w:rPr>
            </w:pPr>
            <w:r w:rsidRPr="006D42E1">
              <w:rPr>
                <w:rFonts w:ascii="Calibri" w:hAnsi="Calibri" w:cs="Arial"/>
                <w:sz w:val="19"/>
                <w:szCs w:val="19"/>
              </w:rPr>
              <w:t>DZIAŁALNOŚĆ ZWIĄZANA ZE ZBIERANIEM, PRZETWARZANIEM I UNIESZKODLIWIANIEM ODPADÓW; ODZYSK SUROWCÓW</w:t>
            </w:r>
          </w:p>
        </w:tc>
        <w:tc>
          <w:tcPr>
            <w:tcW w:w="776" w:type="dxa"/>
            <w:tcBorders>
              <w:top w:val="nil"/>
              <w:left w:val="nil"/>
              <w:bottom w:val="single" w:sz="4" w:space="0" w:color="auto"/>
              <w:right w:val="single" w:sz="4" w:space="0" w:color="auto"/>
            </w:tcBorders>
            <w:shd w:val="clear" w:color="auto" w:fill="auto"/>
            <w:noWrap/>
            <w:vAlign w:val="center"/>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2</w:t>
            </w:r>
          </w:p>
        </w:tc>
      </w:tr>
      <w:tr w:rsidR="00D42F6F" w:rsidRPr="006D42E1" w:rsidTr="006D42E1">
        <w:trPr>
          <w:trHeight w:val="255"/>
        </w:trPr>
        <w:tc>
          <w:tcPr>
            <w:tcW w:w="482" w:type="dxa"/>
            <w:tcBorders>
              <w:top w:val="nil"/>
              <w:left w:val="single" w:sz="4" w:space="0" w:color="auto"/>
              <w:bottom w:val="single" w:sz="4" w:space="0" w:color="auto"/>
              <w:right w:val="single" w:sz="4" w:space="0" w:color="auto"/>
            </w:tcBorders>
            <w:shd w:val="clear" w:color="auto" w:fill="auto"/>
            <w:noWrap/>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42</w:t>
            </w:r>
          </w:p>
        </w:tc>
        <w:tc>
          <w:tcPr>
            <w:tcW w:w="7896" w:type="dxa"/>
            <w:tcBorders>
              <w:top w:val="nil"/>
              <w:left w:val="nil"/>
              <w:bottom w:val="single" w:sz="4" w:space="0" w:color="auto"/>
              <w:right w:val="single" w:sz="4" w:space="0" w:color="auto"/>
            </w:tcBorders>
            <w:shd w:val="clear" w:color="auto" w:fill="auto"/>
            <w:vAlign w:val="center"/>
            <w:hideMark/>
          </w:tcPr>
          <w:p w:rsidR="00D42F6F" w:rsidRPr="006D42E1" w:rsidRDefault="00D42F6F" w:rsidP="006D42E1">
            <w:pPr>
              <w:spacing w:before="20" w:after="20"/>
              <w:rPr>
                <w:rFonts w:ascii="Calibri" w:hAnsi="Calibri" w:cs="Arial"/>
                <w:sz w:val="19"/>
                <w:szCs w:val="19"/>
              </w:rPr>
            </w:pPr>
            <w:r w:rsidRPr="006D42E1">
              <w:rPr>
                <w:rFonts w:ascii="Calibri" w:hAnsi="Calibri" w:cs="Arial"/>
                <w:sz w:val="19"/>
                <w:szCs w:val="19"/>
              </w:rPr>
              <w:t>ROBOTY ZWIĄZANE Z BUDOWĄ OBIEKTÓW INŻYNIERII LĄDOWEJ I WODNEJ</w:t>
            </w:r>
          </w:p>
        </w:tc>
        <w:tc>
          <w:tcPr>
            <w:tcW w:w="776" w:type="dxa"/>
            <w:tcBorders>
              <w:top w:val="nil"/>
              <w:left w:val="nil"/>
              <w:bottom w:val="single" w:sz="4" w:space="0" w:color="auto"/>
              <w:right w:val="single" w:sz="4" w:space="0" w:color="auto"/>
            </w:tcBorders>
            <w:shd w:val="clear" w:color="auto" w:fill="auto"/>
            <w:noWrap/>
            <w:vAlign w:val="center"/>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2</w:t>
            </w:r>
          </w:p>
        </w:tc>
      </w:tr>
      <w:tr w:rsidR="00D42F6F" w:rsidRPr="006D42E1" w:rsidTr="006D42E1">
        <w:trPr>
          <w:trHeight w:val="255"/>
        </w:trPr>
        <w:tc>
          <w:tcPr>
            <w:tcW w:w="482" w:type="dxa"/>
            <w:tcBorders>
              <w:top w:val="nil"/>
              <w:left w:val="single" w:sz="4" w:space="0" w:color="auto"/>
              <w:bottom w:val="single" w:sz="4" w:space="0" w:color="auto"/>
              <w:right w:val="single" w:sz="4" w:space="0" w:color="auto"/>
            </w:tcBorders>
            <w:shd w:val="clear" w:color="auto" w:fill="auto"/>
            <w:noWrap/>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43</w:t>
            </w:r>
          </w:p>
        </w:tc>
        <w:tc>
          <w:tcPr>
            <w:tcW w:w="7896" w:type="dxa"/>
            <w:tcBorders>
              <w:top w:val="nil"/>
              <w:left w:val="nil"/>
              <w:bottom w:val="single" w:sz="4" w:space="0" w:color="auto"/>
              <w:right w:val="single" w:sz="4" w:space="0" w:color="auto"/>
            </w:tcBorders>
            <w:shd w:val="clear" w:color="auto" w:fill="auto"/>
            <w:vAlign w:val="center"/>
            <w:hideMark/>
          </w:tcPr>
          <w:p w:rsidR="00D42F6F" w:rsidRPr="006D42E1" w:rsidRDefault="00D42F6F" w:rsidP="006D42E1">
            <w:pPr>
              <w:spacing w:before="20" w:after="20"/>
              <w:rPr>
                <w:rFonts w:ascii="Calibri" w:hAnsi="Calibri" w:cs="Arial"/>
                <w:sz w:val="19"/>
                <w:szCs w:val="19"/>
              </w:rPr>
            </w:pPr>
            <w:r w:rsidRPr="006D42E1">
              <w:rPr>
                <w:rFonts w:ascii="Calibri" w:hAnsi="Calibri" w:cs="Arial"/>
                <w:sz w:val="19"/>
                <w:szCs w:val="19"/>
              </w:rPr>
              <w:t>ROBOTY BUDOWLANE SPECJALISTYCZNE</w:t>
            </w:r>
          </w:p>
        </w:tc>
        <w:tc>
          <w:tcPr>
            <w:tcW w:w="776" w:type="dxa"/>
            <w:tcBorders>
              <w:top w:val="nil"/>
              <w:left w:val="nil"/>
              <w:bottom w:val="single" w:sz="4" w:space="0" w:color="auto"/>
              <w:right w:val="single" w:sz="4" w:space="0" w:color="auto"/>
            </w:tcBorders>
            <w:shd w:val="clear" w:color="auto" w:fill="auto"/>
            <w:noWrap/>
            <w:vAlign w:val="center"/>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2</w:t>
            </w:r>
          </w:p>
        </w:tc>
      </w:tr>
      <w:tr w:rsidR="00D42F6F" w:rsidRPr="006D42E1" w:rsidTr="006D42E1">
        <w:trPr>
          <w:trHeight w:val="255"/>
        </w:trPr>
        <w:tc>
          <w:tcPr>
            <w:tcW w:w="482" w:type="dxa"/>
            <w:tcBorders>
              <w:top w:val="nil"/>
              <w:left w:val="single" w:sz="4" w:space="0" w:color="auto"/>
              <w:bottom w:val="single" w:sz="4" w:space="0" w:color="auto"/>
              <w:right w:val="single" w:sz="4" w:space="0" w:color="auto"/>
            </w:tcBorders>
            <w:shd w:val="clear" w:color="auto" w:fill="auto"/>
            <w:noWrap/>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56</w:t>
            </w:r>
          </w:p>
        </w:tc>
        <w:tc>
          <w:tcPr>
            <w:tcW w:w="7896" w:type="dxa"/>
            <w:tcBorders>
              <w:top w:val="nil"/>
              <w:left w:val="nil"/>
              <w:bottom w:val="single" w:sz="4" w:space="0" w:color="auto"/>
              <w:right w:val="single" w:sz="4" w:space="0" w:color="auto"/>
            </w:tcBorders>
            <w:shd w:val="clear" w:color="auto" w:fill="auto"/>
            <w:vAlign w:val="center"/>
            <w:hideMark/>
          </w:tcPr>
          <w:p w:rsidR="00D42F6F" w:rsidRPr="006D42E1" w:rsidRDefault="00D42F6F" w:rsidP="006D42E1">
            <w:pPr>
              <w:spacing w:before="20" w:after="20"/>
              <w:rPr>
                <w:rFonts w:ascii="Calibri" w:hAnsi="Calibri" w:cs="Arial"/>
                <w:sz w:val="19"/>
                <w:szCs w:val="19"/>
              </w:rPr>
            </w:pPr>
            <w:r w:rsidRPr="006D42E1">
              <w:rPr>
                <w:rFonts w:ascii="Calibri" w:hAnsi="Calibri" w:cs="Arial"/>
                <w:sz w:val="19"/>
                <w:szCs w:val="19"/>
              </w:rPr>
              <w:t>DZIAŁALNOŚĆ USŁUGOWA ZWIĄZANA Z WYŻYWIENIEM</w:t>
            </w:r>
          </w:p>
        </w:tc>
        <w:tc>
          <w:tcPr>
            <w:tcW w:w="776" w:type="dxa"/>
            <w:tcBorders>
              <w:top w:val="nil"/>
              <w:left w:val="nil"/>
              <w:bottom w:val="single" w:sz="4" w:space="0" w:color="auto"/>
              <w:right w:val="single" w:sz="4" w:space="0" w:color="auto"/>
            </w:tcBorders>
            <w:shd w:val="clear" w:color="auto" w:fill="auto"/>
            <w:noWrap/>
            <w:vAlign w:val="center"/>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2</w:t>
            </w:r>
          </w:p>
        </w:tc>
      </w:tr>
      <w:tr w:rsidR="00D42F6F" w:rsidRPr="006D42E1" w:rsidTr="006D42E1">
        <w:trPr>
          <w:trHeight w:val="255"/>
        </w:trPr>
        <w:tc>
          <w:tcPr>
            <w:tcW w:w="482" w:type="dxa"/>
            <w:tcBorders>
              <w:top w:val="nil"/>
              <w:left w:val="single" w:sz="4" w:space="0" w:color="auto"/>
              <w:bottom w:val="single" w:sz="4" w:space="0" w:color="auto"/>
              <w:right w:val="single" w:sz="4" w:space="0" w:color="auto"/>
            </w:tcBorders>
            <w:shd w:val="clear" w:color="auto" w:fill="auto"/>
            <w:noWrap/>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62</w:t>
            </w:r>
          </w:p>
        </w:tc>
        <w:tc>
          <w:tcPr>
            <w:tcW w:w="7896" w:type="dxa"/>
            <w:tcBorders>
              <w:top w:val="nil"/>
              <w:left w:val="nil"/>
              <w:bottom w:val="single" w:sz="4" w:space="0" w:color="auto"/>
              <w:right w:val="single" w:sz="4" w:space="0" w:color="auto"/>
            </w:tcBorders>
            <w:shd w:val="clear" w:color="auto" w:fill="auto"/>
            <w:vAlign w:val="center"/>
            <w:hideMark/>
          </w:tcPr>
          <w:p w:rsidR="00D42F6F" w:rsidRPr="006D42E1" w:rsidRDefault="00D42F6F" w:rsidP="006D42E1">
            <w:pPr>
              <w:spacing w:before="20" w:after="20"/>
              <w:rPr>
                <w:rFonts w:ascii="Calibri" w:hAnsi="Calibri" w:cs="Arial"/>
                <w:sz w:val="19"/>
                <w:szCs w:val="19"/>
              </w:rPr>
            </w:pPr>
            <w:r w:rsidRPr="006D42E1">
              <w:rPr>
                <w:rFonts w:ascii="Calibri" w:hAnsi="Calibri" w:cs="Arial"/>
                <w:sz w:val="19"/>
                <w:szCs w:val="19"/>
              </w:rPr>
              <w:t xml:space="preserve">DZIAŁALNOŚĆ ZWIĄZANA Z OPROGRAMOWANIEM I DORADZTWEM W ZAKRESIE INFORMATYKI </w:t>
            </w:r>
          </w:p>
        </w:tc>
        <w:tc>
          <w:tcPr>
            <w:tcW w:w="776" w:type="dxa"/>
            <w:tcBorders>
              <w:top w:val="nil"/>
              <w:left w:val="nil"/>
              <w:bottom w:val="single" w:sz="4" w:space="0" w:color="auto"/>
              <w:right w:val="single" w:sz="4" w:space="0" w:color="auto"/>
            </w:tcBorders>
            <w:shd w:val="clear" w:color="auto" w:fill="auto"/>
            <w:noWrap/>
            <w:vAlign w:val="center"/>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2</w:t>
            </w:r>
          </w:p>
        </w:tc>
      </w:tr>
      <w:tr w:rsidR="00D42F6F" w:rsidRPr="006D42E1" w:rsidTr="006D42E1">
        <w:trPr>
          <w:trHeight w:val="255"/>
        </w:trPr>
        <w:tc>
          <w:tcPr>
            <w:tcW w:w="482" w:type="dxa"/>
            <w:tcBorders>
              <w:top w:val="nil"/>
              <w:left w:val="single" w:sz="4" w:space="0" w:color="auto"/>
              <w:bottom w:val="single" w:sz="4" w:space="0" w:color="auto"/>
              <w:right w:val="single" w:sz="4" w:space="0" w:color="auto"/>
            </w:tcBorders>
            <w:shd w:val="clear" w:color="auto" w:fill="auto"/>
            <w:noWrap/>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68</w:t>
            </w:r>
          </w:p>
        </w:tc>
        <w:tc>
          <w:tcPr>
            <w:tcW w:w="7896" w:type="dxa"/>
            <w:tcBorders>
              <w:top w:val="nil"/>
              <w:left w:val="nil"/>
              <w:bottom w:val="single" w:sz="4" w:space="0" w:color="auto"/>
              <w:right w:val="single" w:sz="4" w:space="0" w:color="auto"/>
            </w:tcBorders>
            <w:shd w:val="clear" w:color="auto" w:fill="auto"/>
            <w:vAlign w:val="center"/>
            <w:hideMark/>
          </w:tcPr>
          <w:p w:rsidR="00D42F6F" w:rsidRPr="006D42E1" w:rsidRDefault="00D42F6F" w:rsidP="006D42E1">
            <w:pPr>
              <w:spacing w:before="20" w:after="20"/>
              <w:rPr>
                <w:rFonts w:ascii="Calibri" w:hAnsi="Calibri" w:cs="Arial"/>
                <w:sz w:val="19"/>
                <w:szCs w:val="19"/>
              </w:rPr>
            </w:pPr>
            <w:r w:rsidRPr="006D42E1">
              <w:rPr>
                <w:rFonts w:ascii="Calibri" w:hAnsi="Calibri" w:cs="Arial"/>
                <w:sz w:val="19"/>
                <w:szCs w:val="19"/>
              </w:rPr>
              <w:t>DZIAŁALNOŚĆ ZWIĄZANA Z OBSŁUGĄ RYNKU NIERUCHOMOŚCI</w:t>
            </w:r>
          </w:p>
        </w:tc>
        <w:tc>
          <w:tcPr>
            <w:tcW w:w="776" w:type="dxa"/>
            <w:tcBorders>
              <w:top w:val="nil"/>
              <w:left w:val="nil"/>
              <w:bottom w:val="single" w:sz="4" w:space="0" w:color="auto"/>
              <w:right w:val="single" w:sz="4" w:space="0" w:color="auto"/>
            </w:tcBorders>
            <w:shd w:val="clear" w:color="auto" w:fill="auto"/>
            <w:noWrap/>
            <w:vAlign w:val="center"/>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2</w:t>
            </w:r>
          </w:p>
        </w:tc>
      </w:tr>
      <w:tr w:rsidR="00D42F6F" w:rsidRPr="006D42E1" w:rsidTr="006D42E1">
        <w:trPr>
          <w:trHeight w:val="255"/>
        </w:trPr>
        <w:tc>
          <w:tcPr>
            <w:tcW w:w="482" w:type="dxa"/>
            <w:tcBorders>
              <w:top w:val="nil"/>
              <w:left w:val="single" w:sz="4" w:space="0" w:color="auto"/>
              <w:bottom w:val="single" w:sz="4" w:space="0" w:color="auto"/>
              <w:right w:val="single" w:sz="4" w:space="0" w:color="auto"/>
            </w:tcBorders>
            <w:shd w:val="clear" w:color="auto" w:fill="auto"/>
            <w:noWrap/>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69</w:t>
            </w:r>
          </w:p>
        </w:tc>
        <w:tc>
          <w:tcPr>
            <w:tcW w:w="7896" w:type="dxa"/>
            <w:tcBorders>
              <w:top w:val="nil"/>
              <w:left w:val="nil"/>
              <w:bottom w:val="single" w:sz="4" w:space="0" w:color="auto"/>
              <w:right w:val="single" w:sz="4" w:space="0" w:color="auto"/>
            </w:tcBorders>
            <w:shd w:val="clear" w:color="auto" w:fill="auto"/>
            <w:vAlign w:val="center"/>
            <w:hideMark/>
          </w:tcPr>
          <w:p w:rsidR="00D42F6F" w:rsidRPr="006D42E1" w:rsidRDefault="00D42F6F" w:rsidP="006D42E1">
            <w:pPr>
              <w:spacing w:before="20" w:after="20"/>
              <w:rPr>
                <w:rFonts w:ascii="Calibri" w:hAnsi="Calibri" w:cs="Arial"/>
                <w:sz w:val="19"/>
                <w:szCs w:val="19"/>
              </w:rPr>
            </w:pPr>
            <w:r w:rsidRPr="006D42E1">
              <w:rPr>
                <w:rFonts w:ascii="Calibri" w:hAnsi="Calibri" w:cs="Arial"/>
                <w:sz w:val="19"/>
                <w:szCs w:val="19"/>
              </w:rPr>
              <w:t>DZIAŁALNOŚĆ PRAWNICZA, RACHUNKOWO-KSIĘGOWA I DORADZTWO PODATKOWE</w:t>
            </w:r>
          </w:p>
        </w:tc>
        <w:tc>
          <w:tcPr>
            <w:tcW w:w="776" w:type="dxa"/>
            <w:tcBorders>
              <w:top w:val="nil"/>
              <w:left w:val="nil"/>
              <w:bottom w:val="single" w:sz="4" w:space="0" w:color="auto"/>
              <w:right w:val="single" w:sz="4" w:space="0" w:color="auto"/>
            </w:tcBorders>
            <w:shd w:val="clear" w:color="auto" w:fill="auto"/>
            <w:noWrap/>
            <w:vAlign w:val="center"/>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2</w:t>
            </w:r>
          </w:p>
        </w:tc>
      </w:tr>
      <w:tr w:rsidR="00D42F6F" w:rsidRPr="006D42E1" w:rsidTr="006D42E1">
        <w:trPr>
          <w:trHeight w:val="255"/>
        </w:trPr>
        <w:tc>
          <w:tcPr>
            <w:tcW w:w="482" w:type="dxa"/>
            <w:tcBorders>
              <w:top w:val="nil"/>
              <w:left w:val="single" w:sz="4" w:space="0" w:color="auto"/>
              <w:bottom w:val="single" w:sz="4" w:space="0" w:color="auto"/>
              <w:right w:val="single" w:sz="4" w:space="0" w:color="auto"/>
            </w:tcBorders>
            <w:shd w:val="clear" w:color="auto" w:fill="auto"/>
            <w:noWrap/>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77</w:t>
            </w:r>
          </w:p>
        </w:tc>
        <w:tc>
          <w:tcPr>
            <w:tcW w:w="7896" w:type="dxa"/>
            <w:tcBorders>
              <w:top w:val="nil"/>
              <w:left w:val="nil"/>
              <w:bottom w:val="single" w:sz="4" w:space="0" w:color="auto"/>
              <w:right w:val="single" w:sz="4" w:space="0" w:color="auto"/>
            </w:tcBorders>
            <w:shd w:val="clear" w:color="auto" w:fill="auto"/>
            <w:vAlign w:val="center"/>
            <w:hideMark/>
          </w:tcPr>
          <w:p w:rsidR="00D42F6F" w:rsidRPr="006D42E1" w:rsidRDefault="00D42F6F" w:rsidP="006D42E1">
            <w:pPr>
              <w:spacing w:before="20" w:after="20"/>
              <w:rPr>
                <w:rFonts w:ascii="Calibri" w:hAnsi="Calibri" w:cs="Arial"/>
                <w:sz w:val="19"/>
                <w:szCs w:val="19"/>
              </w:rPr>
            </w:pPr>
            <w:r w:rsidRPr="006D42E1">
              <w:rPr>
                <w:rFonts w:ascii="Calibri" w:hAnsi="Calibri" w:cs="Arial"/>
                <w:sz w:val="19"/>
                <w:szCs w:val="19"/>
              </w:rPr>
              <w:t>WYNAJEM I DZIERŻAWA</w:t>
            </w:r>
          </w:p>
        </w:tc>
        <w:tc>
          <w:tcPr>
            <w:tcW w:w="776" w:type="dxa"/>
            <w:tcBorders>
              <w:top w:val="nil"/>
              <w:left w:val="nil"/>
              <w:bottom w:val="single" w:sz="4" w:space="0" w:color="auto"/>
              <w:right w:val="single" w:sz="4" w:space="0" w:color="auto"/>
            </w:tcBorders>
            <w:shd w:val="clear" w:color="auto" w:fill="auto"/>
            <w:noWrap/>
            <w:vAlign w:val="center"/>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2</w:t>
            </w:r>
          </w:p>
        </w:tc>
      </w:tr>
      <w:tr w:rsidR="00D42F6F" w:rsidRPr="006D42E1" w:rsidTr="006D42E1">
        <w:trPr>
          <w:trHeight w:val="255"/>
        </w:trPr>
        <w:tc>
          <w:tcPr>
            <w:tcW w:w="482" w:type="dxa"/>
            <w:tcBorders>
              <w:top w:val="nil"/>
              <w:left w:val="single" w:sz="4" w:space="0" w:color="auto"/>
              <w:bottom w:val="single" w:sz="4" w:space="0" w:color="auto"/>
              <w:right w:val="single" w:sz="4" w:space="0" w:color="auto"/>
            </w:tcBorders>
            <w:shd w:val="clear" w:color="auto" w:fill="auto"/>
            <w:noWrap/>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86</w:t>
            </w:r>
          </w:p>
        </w:tc>
        <w:tc>
          <w:tcPr>
            <w:tcW w:w="7896" w:type="dxa"/>
            <w:tcBorders>
              <w:top w:val="nil"/>
              <w:left w:val="nil"/>
              <w:bottom w:val="single" w:sz="4" w:space="0" w:color="auto"/>
              <w:right w:val="single" w:sz="4" w:space="0" w:color="auto"/>
            </w:tcBorders>
            <w:shd w:val="clear" w:color="auto" w:fill="auto"/>
            <w:vAlign w:val="center"/>
            <w:hideMark/>
          </w:tcPr>
          <w:p w:rsidR="00D42F6F" w:rsidRPr="006D42E1" w:rsidRDefault="00D42F6F" w:rsidP="006D42E1">
            <w:pPr>
              <w:spacing w:before="20" w:after="20"/>
              <w:rPr>
                <w:rFonts w:ascii="Calibri" w:hAnsi="Calibri" w:cs="Arial"/>
                <w:sz w:val="19"/>
                <w:szCs w:val="19"/>
              </w:rPr>
            </w:pPr>
            <w:r w:rsidRPr="006D42E1">
              <w:rPr>
                <w:rFonts w:ascii="Calibri" w:hAnsi="Calibri" w:cs="Arial"/>
                <w:sz w:val="19"/>
                <w:szCs w:val="19"/>
              </w:rPr>
              <w:t>OPIEKA ZDROWOTNA</w:t>
            </w:r>
          </w:p>
        </w:tc>
        <w:tc>
          <w:tcPr>
            <w:tcW w:w="776" w:type="dxa"/>
            <w:tcBorders>
              <w:top w:val="nil"/>
              <w:left w:val="nil"/>
              <w:bottom w:val="single" w:sz="4" w:space="0" w:color="auto"/>
              <w:right w:val="single" w:sz="4" w:space="0" w:color="auto"/>
            </w:tcBorders>
            <w:shd w:val="clear" w:color="auto" w:fill="auto"/>
            <w:noWrap/>
            <w:vAlign w:val="center"/>
            <w:hideMark/>
          </w:tcPr>
          <w:p w:rsidR="00D42F6F" w:rsidRPr="006D42E1" w:rsidRDefault="00D42F6F" w:rsidP="006D42E1">
            <w:pPr>
              <w:spacing w:before="20" w:after="20"/>
              <w:jc w:val="center"/>
              <w:rPr>
                <w:rFonts w:ascii="Calibri" w:hAnsi="Calibri" w:cs="Arial"/>
                <w:sz w:val="19"/>
                <w:szCs w:val="19"/>
              </w:rPr>
            </w:pPr>
            <w:r w:rsidRPr="006D42E1">
              <w:rPr>
                <w:rFonts w:ascii="Calibri" w:hAnsi="Calibri" w:cs="Arial"/>
                <w:sz w:val="19"/>
                <w:szCs w:val="19"/>
              </w:rPr>
              <w:t>2</w:t>
            </w:r>
          </w:p>
        </w:tc>
      </w:tr>
    </w:tbl>
    <w:p w:rsidR="00D42F6F" w:rsidRPr="005F27F5" w:rsidRDefault="00D42F6F" w:rsidP="00D42F6F">
      <w:pPr>
        <w:autoSpaceDE w:val="0"/>
        <w:autoSpaceDN w:val="0"/>
        <w:adjustRightInd w:val="0"/>
        <w:rPr>
          <w:rFonts w:eastAsia="Calibri" w:cs="ArialNarrow"/>
          <w:i/>
          <w:sz w:val="18"/>
          <w:szCs w:val="20"/>
        </w:rPr>
      </w:pPr>
      <w:r w:rsidRPr="005F27F5">
        <w:rPr>
          <w:rFonts w:eastAsia="Calibri" w:cs="ArialNarrow"/>
          <w:i/>
          <w:sz w:val="18"/>
          <w:szCs w:val="20"/>
        </w:rPr>
        <w:t xml:space="preserve">Źródło: Opracowanie </w:t>
      </w:r>
      <w:r>
        <w:rPr>
          <w:rFonts w:eastAsia="Calibri" w:cs="ArialNarrow"/>
          <w:i/>
          <w:sz w:val="18"/>
          <w:szCs w:val="20"/>
        </w:rPr>
        <w:t>Instytutu Rozwoju Miast</w:t>
      </w:r>
    </w:p>
    <w:p w:rsidR="00D34BBB" w:rsidRDefault="00D34BBB" w:rsidP="005D6911">
      <w:pPr>
        <w:autoSpaceDE w:val="0"/>
        <w:autoSpaceDN w:val="0"/>
        <w:adjustRightInd w:val="0"/>
        <w:rPr>
          <w:rFonts w:ascii="Calibri" w:hAnsi="Calibri"/>
        </w:rPr>
      </w:pPr>
    </w:p>
    <w:p w:rsidR="005D6911" w:rsidRDefault="005D6911" w:rsidP="005D6911">
      <w:pPr>
        <w:autoSpaceDE w:val="0"/>
        <w:autoSpaceDN w:val="0"/>
        <w:adjustRightInd w:val="0"/>
        <w:rPr>
          <w:rFonts w:ascii="Calibri" w:hAnsi="Calibri"/>
        </w:rPr>
      </w:pPr>
      <w:r>
        <w:rPr>
          <w:rFonts w:ascii="Calibri" w:hAnsi="Calibri"/>
        </w:rPr>
        <w:t>Niezamieszkałe podobszary obszaru rewitalizacji z reguły są wyłączone z jakiejkolwiek aktywności gospodarczej. Jedynie w przypadku dwóch podobszarów występuje znikoma działalność, tj.:</w:t>
      </w:r>
    </w:p>
    <w:p w:rsidR="00316783" w:rsidRDefault="005D6911" w:rsidP="005D6911">
      <w:pPr>
        <w:numPr>
          <w:ilvl w:val="0"/>
          <w:numId w:val="211"/>
        </w:numPr>
        <w:autoSpaceDE w:val="0"/>
        <w:autoSpaceDN w:val="0"/>
        <w:adjustRightInd w:val="0"/>
        <w:ind w:left="714" w:hanging="357"/>
        <w:jc w:val="both"/>
        <w:rPr>
          <w:rFonts w:ascii="Calibri" w:hAnsi="Calibri"/>
        </w:rPr>
      </w:pPr>
      <w:r>
        <w:rPr>
          <w:rFonts w:ascii="Calibri" w:hAnsi="Calibri"/>
        </w:rPr>
        <w:t xml:space="preserve">EC Szombierki – Pola Szombierskie (30) – 6 podmiotów, prowadzących działalność związaną ze </w:t>
      </w:r>
      <w:r>
        <w:rPr>
          <w:rFonts w:ascii="Calibri" w:hAnsi="Calibri" w:cs="Arial"/>
          <w:szCs w:val="20"/>
        </w:rPr>
        <w:t>sprzedażą detalicznej części i akcesoriów do pojazdów samochodowych, konserwacją i naprawą pojazdów samochodowych, robotami budowlanymi związanymi ze wznoszeniem budynków mieszkalnych i niemieszkalnych, wytwarzaniem i zaopatrywaniem w parę wodną, gorącą wodę i</w:t>
      </w:r>
      <w:r w:rsidR="000A7D68">
        <w:rPr>
          <w:rFonts w:ascii="Calibri" w:hAnsi="Calibri" w:cs="Arial"/>
          <w:szCs w:val="20"/>
        </w:rPr>
        <w:t> </w:t>
      </w:r>
      <w:r>
        <w:rPr>
          <w:rFonts w:ascii="Calibri" w:hAnsi="Calibri" w:cs="Arial"/>
          <w:szCs w:val="20"/>
        </w:rPr>
        <w:t>powietrze do układów klimatyzacyjnych, pozostałą działalność rozrywkowa i rekreacyjna</w:t>
      </w:r>
      <w:r>
        <w:rPr>
          <w:rFonts w:ascii="Calibri" w:hAnsi="Calibri"/>
        </w:rPr>
        <w:t>,</w:t>
      </w:r>
    </w:p>
    <w:p w:rsidR="005D6911" w:rsidRPr="00316783" w:rsidRDefault="005D6911" w:rsidP="005D6911">
      <w:pPr>
        <w:numPr>
          <w:ilvl w:val="0"/>
          <w:numId w:val="211"/>
        </w:numPr>
        <w:autoSpaceDE w:val="0"/>
        <w:autoSpaceDN w:val="0"/>
        <w:adjustRightInd w:val="0"/>
        <w:ind w:left="714" w:hanging="357"/>
        <w:jc w:val="both"/>
        <w:rPr>
          <w:rFonts w:ascii="Calibri" w:hAnsi="Calibri"/>
        </w:rPr>
      </w:pPr>
      <w:r w:rsidRPr="00316783">
        <w:rPr>
          <w:rFonts w:ascii="Calibri" w:hAnsi="Calibri"/>
        </w:rPr>
        <w:t>tereny poprzemysłowe Orzeł Biały (32) – 2 podmioty zajmujące się produkcją mebli i sprzedażą hurtową napojów bezalkoholowych.</w:t>
      </w:r>
    </w:p>
    <w:p w:rsidR="001C2FD4" w:rsidRPr="00C80963" w:rsidRDefault="001C2FD4" w:rsidP="00996945">
      <w:pPr>
        <w:ind w:firstLine="708"/>
        <w:jc w:val="both"/>
        <w:rPr>
          <w:szCs w:val="20"/>
        </w:rPr>
      </w:pPr>
      <w:r w:rsidRPr="00C80963">
        <w:rPr>
          <w:szCs w:val="20"/>
        </w:rPr>
        <w:t>W sumie należy zauważyć, że w Bytomiu mało jest inwestycji i inicjatyw gospodarczych mogących tworzyć podwaliny pod przyszłą dywersyfikację gospodarczą oraz takich, które budowałyby kapitał ludzki i</w:t>
      </w:r>
      <w:r w:rsidR="0013236B">
        <w:rPr>
          <w:szCs w:val="20"/>
        </w:rPr>
        <w:t> </w:t>
      </w:r>
      <w:r w:rsidRPr="00C80963">
        <w:rPr>
          <w:szCs w:val="20"/>
        </w:rPr>
        <w:t>instytucjonalny.</w:t>
      </w:r>
    </w:p>
    <w:p w:rsidR="001C2FD4" w:rsidRPr="00C80963" w:rsidRDefault="001C2FD4" w:rsidP="008A4108">
      <w:pPr>
        <w:ind w:firstLine="708"/>
        <w:jc w:val="both"/>
        <w:rPr>
          <w:szCs w:val="20"/>
        </w:rPr>
      </w:pPr>
      <w:r w:rsidRPr="00C80963">
        <w:rPr>
          <w:szCs w:val="20"/>
        </w:rPr>
        <w:t xml:space="preserve">Szczególnie niekorzystnym zjawiskiem, zarówno o charakterze ekonomicznym, jak również społecznym, jest </w:t>
      </w:r>
      <w:r w:rsidRPr="00FE66B3">
        <w:rPr>
          <w:b/>
          <w:color w:val="C00000"/>
          <w:szCs w:val="20"/>
        </w:rPr>
        <w:t>niski poziom przedsiębiorczości mieszkańców, mierzony liczbą osób fizycznych prowadzących działalność gospodarczą w przeliczeniu na 100 osób w wieku produkcyjnym</w:t>
      </w:r>
      <w:r w:rsidRPr="00C80963">
        <w:rPr>
          <w:szCs w:val="20"/>
        </w:rPr>
        <w:t>. Należy zaznaczyć, że pod względem wartości powyższego wskaźnika, w 2014 roku, Bytom plasował się dopiero na 61 pozycji wśród miast na prawach powiatu w Polsce (niższe lokaty zajęły jedynie: Zabrze, Świętochłowice, Piekary Śląskie, Ruda Śląska i Jastrzębie-Zdrój</w:t>
      </w:r>
      <w:r w:rsidRPr="00C80963">
        <w:rPr>
          <w:rStyle w:val="Odwoanieprzypisudolnego"/>
          <w:szCs w:val="20"/>
        </w:rPr>
        <w:footnoteReference w:id="29"/>
      </w:r>
      <w:r w:rsidRPr="00C80963">
        <w:rPr>
          <w:szCs w:val="20"/>
        </w:rPr>
        <w:t>). Niewątpliwie ważną przyczyną jest tu płytki rynek lokalny.</w:t>
      </w:r>
      <w:r w:rsidRPr="00C80963">
        <w:rPr>
          <w:rStyle w:val="Odwoanieprzypisudolnego"/>
          <w:szCs w:val="20"/>
        </w:rPr>
        <w:footnoteReference w:id="30"/>
      </w:r>
    </w:p>
    <w:p w:rsidR="001C2FD4" w:rsidRDefault="001C2FD4" w:rsidP="008A4108">
      <w:pPr>
        <w:ind w:firstLine="708"/>
        <w:jc w:val="both"/>
        <w:rPr>
          <w:b/>
          <w:color w:val="C00000"/>
          <w:szCs w:val="20"/>
        </w:rPr>
      </w:pPr>
      <w:r w:rsidRPr="00C80963">
        <w:rPr>
          <w:szCs w:val="20"/>
        </w:rPr>
        <w:t xml:space="preserve">W Bytomiu średnio na 100 osób zarejestrowanych jest 6,9 działalności gospodarczych. Z załączonej mapy wynika, </w:t>
      </w:r>
      <w:r w:rsidRPr="00861CC5">
        <w:rPr>
          <w:b/>
          <w:color w:val="C00000"/>
          <w:szCs w:val="20"/>
        </w:rPr>
        <w:t>że</w:t>
      </w:r>
      <w:r w:rsidRPr="00C80963">
        <w:rPr>
          <w:color w:val="C00000"/>
          <w:szCs w:val="20"/>
        </w:rPr>
        <w:t xml:space="preserve"> </w:t>
      </w:r>
      <w:r w:rsidRPr="00C80963">
        <w:rPr>
          <w:b/>
          <w:color w:val="C00000"/>
          <w:szCs w:val="20"/>
        </w:rPr>
        <w:t>najmniejsza aktywność gospodarcza występuje w podobszarze Bobrek – wskaźnik jest tam dwukrotnie niższy, niż przeciętnie w mieście.</w:t>
      </w:r>
      <w:r w:rsidRPr="00C80963">
        <w:rPr>
          <w:szCs w:val="20"/>
        </w:rPr>
        <w:t xml:space="preserve"> Podobszary Śródmieście Północ, Zachód oraz Rozbark </w:t>
      </w:r>
      <w:r w:rsidRPr="00C80963">
        <w:rPr>
          <w:szCs w:val="20"/>
        </w:rPr>
        <w:lastRenderedPageBreak/>
        <w:t xml:space="preserve">charakteryzują </w:t>
      </w:r>
      <w:r w:rsidR="00DE0F46">
        <w:rPr>
          <w:szCs w:val="20"/>
        </w:rPr>
        <w:t xml:space="preserve">się </w:t>
      </w:r>
      <w:r w:rsidRPr="00C80963">
        <w:rPr>
          <w:szCs w:val="20"/>
        </w:rPr>
        <w:t xml:space="preserve">wskaźnikiem zbliżonym do średniej. Natomiast </w:t>
      </w:r>
      <w:r w:rsidRPr="00C80963">
        <w:rPr>
          <w:b/>
          <w:color w:val="C00000"/>
          <w:szCs w:val="20"/>
        </w:rPr>
        <w:t xml:space="preserve">w </w:t>
      </w:r>
      <w:r w:rsidR="0030685B">
        <w:rPr>
          <w:b/>
          <w:color w:val="C00000"/>
          <w:szCs w:val="20"/>
        </w:rPr>
        <w:t>podobszarze Śródmieście</w:t>
      </w:r>
      <w:r w:rsidRPr="00C80963">
        <w:rPr>
          <w:b/>
          <w:color w:val="C00000"/>
          <w:szCs w:val="20"/>
        </w:rPr>
        <w:t xml:space="preserve"> liczba działalności jest zdecydowanie wyższa niż w pozostałych rejonach miasta – wskaźnik</w:t>
      </w:r>
      <w:r w:rsidRPr="00C80963">
        <w:rPr>
          <w:color w:val="C00000"/>
          <w:szCs w:val="20"/>
        </w:rPr>
        <w:t xml:space="preserve"> </w:t>
      </w:r>
      <w:r w:rsidRPr="00C80963">
        <w:rPr>
          <w:b/>
          <w:color w:val="C00000"/>
          <w:szCs w:val="20"/>
        </w:rPr>
        <w:t>dwukrotnie przewyższa tam średnią.</w:t>
      </w:r>
    </w:p>
    <w:p w:rsidR="006D42E1" w:rsidRDefault="006D42E1" w:rsidP="008A4108">
      <w:pPr>
        <w:ind w:firstLine="708"/>
        <w:jc w:val="both"/>
        <w:rPr>
          <w:b/>
          <w:color w:val="C00000"/>
          <w:szCs w:val="20"/>
        </w:rPr>
      </w:pPr>
    </w:p>
    <w:p w:rsidR="001C2FD4" w:rsidRPr="008F4DC5" w:rsidRDefault="008F4DC5" w:rsidP="001C2FD4">
      <w:pPr>
        <w:pStyle w:val="Legenda"/>
      </w:pPr>
      <w:bookmarkStart w:id="7757" w:name="_Toc460222276"/>
      <w:bookmarkStart w:id="7758" w:name="_Toc191972642"/>
      <w:r w:rsidRPr="008F4DC5">
        <w:t xml:space="preserve">Mapa </w:t>
      </w:r>
      <w:r w:rsidR="003972D8" w:rsidRPr="008F4DC5">
        <w:fldChar w:fldCharType="begin"/>
      </w:r>
      <w:r w:rsidRPr="008F4DC5">
        <w:instrText xml:space="preserve"> SEQ Mapa \* ARABIC </w:instrText>
      </w:r>
      <w:r w:rsidR="003972D8" w:rsidRPr="008F4DC5">
        <w:fldChar w:fldCharType="separate"/>
      </w:r>
      <w:r w:rsidR="00413FFE">
        <w:rPr>
          <w:noProof/>
        </w:rPr>
        <w:t>30</w:t>
      </w:r>
      <w:r w:rsidR="003972D8" w:rsidRPr="008F4DC5">
        <w:fldChar w:fldCharType="end"/>
      </w:r>
      <w:r w:rsidRPr="008F4DC5">
        <w:t>.</w:t>
      </w:r>
      <w:r w:rsidR="001C2FD4" w:rsidRPr="008F4DC5">
        <w:t xml:space="preserve"> Podmioty zarejestrowane w CEIDG na 100 osób</w:t>
      </w:r>
      <w:bookmarkEnd w:id="7757"/>
      <w:bookmarkEnd w:id="7758"/>
    </w:p>
    <w:p w:rsidR="001C2FD4" w:rsidRDefault="0043168D" w:rsidP="001C2FD4">
      <w:r>
        <w:rPr>
          <w:noProof/>
        </w:rPr>
        <w:drawing>
          <wp:inline distT="0" distB="0" distL="0" distR="0">
            <wp:extent cx="5762625" cy="4076700"/>
            <wp:effectExtent l="19050" t="0" r="9525" b="0"/>
            <wp:docPr id="40" name="Obraz 4" descr="C:\Users\TT\Dropbox\irm-bytom-mapy\wydruki\650-2 Liczba zarejestrowanych podmiotów gospodarki narodowej (CEIDG) na 100 osó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C:\Users\TT\Dropbox\irm-bytom-mapy\wydruki\650-2 Liczba zarejestrowanych podmiotów gospodarki narodowej (CEIDG) na 100 osób.png"/>
                    <pic:cNvPicPr>
                      <a:picLocks noChangeAspect="1" noChangeArrowheads="1"/>
                    </pic:cNvPicPr>
                  </pic:nvPicPr>
                  <pic:blipFill>
                    <a:blip r:embed="rId52" cstate="print"/>
                    <a:srcRect/>
                    <a:stretch>
                      <a:fillRect/>
                    </a:stretch>
                  </pic:blipFill>
                  <pic:spPr bwMode="auto">
                    <a:xfrm>
                      <a:off x="0" y="0"/>
                      <a:ext cx="5762625" cy="4076700"/>
                    </a:xfrm>
                    <a:prstGeom prst="rect">
                      <a:avLst/>
                    </a:prstGeom>
                    <a:noFill/>
                    <a:ln w="9525">
                      <a:noFill/>
                      <a:miter lim="800000"/>
                      <a:headEnd/>
                      <a:tailEnd/>
                    </a:ln>
                  </pic:spPr>
                </pic:pic>
              </a:graphicData>
            </a:graphic>
          </wp:inline>
        </w:drawing>
      </w:r>
    </w:p>
    <w:p w:rsidR="00804BD2" w:rsidRPr="005F27F5" w:rsidRDefault="00804BD2" w:rsidP="00804BD2">
      <w:pPr>
        <w:autoSpaceDE w:val="0"/>
        <w:autoSpaceDN w:val="0"/>
        <w:adjustRightInd w:val="0"/>
        <w:rPr>
          <w:rFonts w:eastAsia="Calibri" w:cs="ArialNarrow"/>
          <w:i/>
          <w:sz w:val="18"/>
          <w:szCs w:val="20"/>
        </w:rPr>
      </w:pPr>
      <w:r w:rsidRPr="005F27F5">
        <w:rPr>
          <w:rFonts w:eastAsia="Calibri" w:cs="ArialNarrow"/>
          <w:i/>
          <w:sz w:val="18"/>
          <w:szCs w:val="20"/>
        </w:rPr>
        <w:t xml:space="preserve">Źródło: Opracowanie </w:t>
      </w:r>
      <w:r>
        <w:rPr>
          <w:rFonts w:eastAsia="Calibri" w:cs="ArialNarrow"/>
          <w:i/>
          <w:sz w:val="18"/>
          <w:szCs w:val="20"/>
        </w:rPr>
        <w:t>Instytutu Rozwoju Miast</w:t>
      </w:r>
    </w:p>
    <w:p w:rsidR="001C2FD4" w:rsidRDefault="001C2FD4" w:rsidP="001C2FD4"/>
    <w:p w:rsidR="001C2FD4" w:rsidRDefault="001C2FD4" w:rsidP="008A4108">
      <w:pPr>
        <w:jc w:val="both"/>
        <w:rPr>
          <w:color w:val="C00000"/>
          <w:szCs w:val="20"/>
        </w:rPr>
      </w:pPr>
      <w:r w:rsidRPr="00C80963">
        <w:rPr>
          <w:szCs w:val="20"/>
        </w:rPr>
        <w:t>Sytuacja ta jest typowa dla centrów wszystkich miast. Nie musi jednak oznaczać dobrej kondycji zlokalizowanych tu przedsiębiorstw. Przeciwnie, podczas konsultacji społecznych mieszkańcy dostrzegali niekorzystne zjawiska w tej sferze. Dużą liczbę ogłoszeń o wolnych lokalach użytkowych do wynajęcia odczytywali jako wyraz trudnej sytuacji mikroprzedsiębiorstw i słabych perspektyw ich rozwoju. Oceniali, że prywatne sklepy są zamykane z powodu braku przychodu wystarczającego na pokrycie podatków i opłat oraz wyrażali zaniepokojenie otwieraniem sklepów sieciowych. Tak</w:t>
      </w:r>
      <w:r w:rsidR="00AD4E10">
        <w:rPr>
          <w:szCs w:val="20"/>
        </w:rPr>
        <w:t>,</w:t>
      </w:r>
      <w:r w:rsidRPr="00C80963">
        <w:rPr>
          <w:szCs w:val="20"/>
        </w:rPr>
        <w:t xml:space="preserve"> więc </w:t>
      </w:r>
      <w:r w:rsidRPr="00C80963">
        <w:rPr>
          <w:b/>
          <w:color w:val="C00000"/>
          <w:szCs w:val="20"/>
        </w:rPr>
        <w:t>podstawy ekonomiczne małych, lokalnych firm</w:t>
      </w:r>
      <w:r w:rsidR="001B3E57">
        <w:rPr>
          <w:b/>
          <w:color w:val="C00000"/>
          <w:szCs w:val="20"/>
        </w:rPr>
        <w:t xml:space="preserve">, działających na ubogim rynku </w:t>
      </w:r>
      <w:r w:rsidRPr="00C80963">
        <w:rPr>
          <w:b/>
          <w:color w:val="C00000"/>
          <w:szCs w:val="20"/>
        </w:rPr>
        <w:t>są wątłe, a ich przetrwanie niepewne</w:t>
      </w:r>
      <w:r w:rsidRPr="00C80963">
        <w:rPr>
          <w:color w:val="C00000"/>
          <w:szCs w:val="20"/>
        </w:rPr>
        <w:t>.</w:t>
      </w:r>
    </w:p>
    <w:p w:rsidR="009315F6" w:rsidRDefault="009315F6" w:rsidP="009315F6">
      <w:pPr>
        <w:autoSpaceDE w:val="0"/>
        <w:autoSpaceDN w:val="0"/>
        <w:adjustRightInd w:val="0"/>
        <w:ind w:firstLine="708"/>
        <w:jc w:val="both"/>
        <w:rPr>
          <w:rFonts w:ascii="Calibri" w:hAnsi="Calibri"/>
        </w:rPr>
      </w:pPr>
      <w:r>
        <w:rPr>
          <w:rFonts w:ascii="Calibri" w:hAnsi="Calibri"/>
        </w:rPr>
        <w:t>Przeprowadzone w 2013 r. badanie klimatu przedsiębiorczości w Bytomiu wskazało, ze najistotniejszymi czynnikami utrudniającymi prowadzenie działalności gospodarczej na terenie Bytomia są: zły stan infrastruktury drogowej i mieszkaniowej, wysoka stopa bezrobocia, nadmiar sklepów wiel</w:t>
      </w:r>
      <w:r w:rsidR="008F74AC">
        <w:rPr>
          <w:rFonts w:ascii="Calibri" w:hAnsi="Calibri"/>
        </w:rPr>
        <w:t>k</w:t>
      </w:r>
      <w:r>
        <w:rPr>
          <w:rFonts w:ascii="Calibri" w:hAnsi="Calibri"/>
        </w:rPr>
        <w:t>opowierzchniowych, biurokracja, podatki lokalne, zubożenie społeczeństwa oraz szkody górnicze. Ankietowani przedsiębiorcy podkreślali, że istotne znaczenie dla nich ma możliwość pozyskiwania bezzwrotnych środków zewnętrznych na dofinansowanie swoich projektów rozwojowych, przy czym blisko 60% ankietowanych nie korzystało jeszcze z żadnej formy pomocy finansowej.</w:t>
      </w:r>
    </w:p>
    <w:p w:rsidR="009315F6" w:rsidRDefault="009315F6" w:rsidP="009315F6">
      <w:pPr>
        <w:autoSpaceDE w:val="0"/>
        <w:autoSpaceDN w:val="0"/>
        <w:adjustRightInd w:val="0"/>
        <w:jc w:val="both"/>
        <w:rPr>
          <w:rFonts w:ascii="Calibri" w:hAnsi="Calibri"/>
        </w:rPr>
      </w:pPr>
    </w:p>
    <w:p w:rsidR="007011FF" w:rsidRDefault="007011FF" w:rsidP="007011FF">
      <w:pPr>
        <w:pStyle w:val="Legenda"/>
        <w:keepNext/>
        <w:jc w:val="both"/>
      </w:pPr>
      <w:bookmarkStart w:id="7759" w:name="_Toc474925113"/>
      <w:r>
        <w:lastRenderedPageBreak/>
        <w:t xml:space="preserve">Wykres </w:t>
      </w:r>
      <w:fldSimple w:instr=" SEQ Wykres \* ARABIC ">
        <w:r w:rsidR="00413FFE">
          <w:rPr>
            <w:noProof/>
          </w:rPr>
          <w:t>1</w:t>
        </w:r>
      </w:fldSimple>
      <w:r>
        <w:t>. Obszary działalności przedsiębiorstwa, w których potrzebna jest pomoc zewnętrzna</w:t>
      </w:r>
      <w:bookmarkEnd w:id="7759"/>
    </w:p>
    <w:p w:rsidR="009315F6" w:rsidRDefault="009315F6" w:rsidP="009315F6">
      <w:pPr>
        <w:pStyle w:val="Tekstpodstawowy2"/>
        <w:rPr>
          <w:rFonts w:ascii="Calibri" w:hAnsi="Calibri"/>
        </w:rPr>
      </w:pPr>
      <w:r>
        <w:rPr>
          <w:rFonts w:ascii="Calibri" w:hAnsi="Calibri"/>
          <w:noProof/>
        </w:rPr>
        <w:drawing>
          <wp:inline distT="0" distB="0" distL="0" distR="0">
            <wp:extent cx="5562600" cy="3209925"/>
            <wp:effectExtent l="0" t="0" r="0" b="0"/>
            <wp:docPr id="66" name="Obiekt 9"/>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rsidR="009315F6" w:rsidRDefault="00FB4CC0" w:rsidP="00736DBD">
      <w:pPr>
        <w:pStyle w:val="Tekstpodstawowy3"/>
        <w:spacing w:before="40" w:after="0"/>
        <w:jc w:val="both"/>
        <w:rPr>
          <w:i/>
          <w:sz w:val="18"/>
        </w:rPr>
      </w:pPr>
      <w:r w:rsidRPr="00FB4CC0">
        <w:rPr>
          <w:i/>
          <w:sz w:val="18"/>
        </w:rPr>
        <w:t>Ź</w:t>
      </w:r>
      <w:r w:rsidR="009315F6" w:rsidRPr="00FB4CC0">
        <w:rPr>
          <w:i/>
          <w:sz w:val="18"/>
        </w:rPr>
        <w:t>ródło: Badanie klimatu przedsiębiorczości w Bytomiu, Wydział Strategii i Funduszy Europejskich, Urząd Miejski w Bytomiu, lipiec 2013 r., str. 7</w:t>
      </w:r>
    </w:p>
    <w:p w:rsidR="00683628" w:rsidRPr="00683628" w:rsidRDefault="00683628" w:rsidP="0017482E">
      <w:pPr>
        <w:pStyle w:val="Tekstpodstawowy3"/>
        <w:spacing w:after="0"/>
        <w:rPr>
          <w:sz w:val="20"/>
        </w:rPr>
      </w:pPr>
    </w:p>
    <w:p w:rsidR="009315F6" w:rsidRDefault="009315F6" w:rsidP="009315F6">
      <w:pPr>
        <w:pStyle w:val="Tekstpodstawowy"/>
        <w:ind w:firstLine="708"/>
        <w:jc w:val="both"/>
        <w:rPr>
          <w:rFonts w:ascii="Calibri" w:hAnsi="Calibri"/>
        </w:rPr>
      </w:pPr>
      <w:r>
        <w:rPr>
          <w:rFonts w:ascii="Calibri" w:hAnsi="Calibri"/>
        </w:rPr>
        <w:t>Znacząca grupa przedsiębiorców (70% badanych), uważa, że kondycja gospodarcza Bytomia w</w:t>
      </w:r>
      <w:r w:rsidR="000526A2">
        <w:rPr>
          <w:rFonts w:ascii="Calibri" w:hAnsi="Calibri"/>
        </w:rPr>
        <w:t> </w:t>
      </w:r>
      <w:r>
        <w:rPr>
          <w:rFonts w:ascii="Calibri" w:hAnsi="Calibri"/>
        </w:rPr>
        <w:t xml:space="preserve">ostatnich trzech latach w znacznym stopniu pogorszyła się. Pomimo przekonania o małej atrakcyjności miasta do prowadzenia własnej działalności gospodarczej pozytywnym aspektem jest fakt, że bytomskie przedsiębiorstwa nie planują w przyszłości przeniesienia swojej działalności poza miasto Bytom (78% ankietowanych).  Najwięcej ankietowanych zaznaczało, że samorząd lokalny powinien w szczególności wyznaczać sobie za główny cel przyciąganie inwestorów z zewnątrz. Gmina powinna podejmować działania, których efektem będzie wypracowanie odpowiedniego wizerunku miasta jako optymalnej lokalizacji dla biznesu. Stąd też </w:t>
      </w:r>
      <w:r w:rsidRPr="00AA6ADD">
        <w:rPr>
          <w:rFonts w:ascii="Calibri" w:hAnsi="Calibri"/>
          <w:b/>
          <w:color w:val="C00000"/>
        </w:rPr>
        <w:t>konieczne jest przyciągniecie do miasta dużych przedsiębiorstw produkcyjnych generujących dużo miejsc pracy. Stąd konieczność rekultywacji terenów zanieczyszczonych i ich uzbrojenie celem podniesienia jakości ofert</w:t>
      </w:r>
      <w:r w:rsidR="00C56139" w:rsidRPr="00AA6ADD">
        <w:rPr>
          <w:rFonts w:ascii="Calibri" w:hAnsi="Calibri"/>
          <w:b/>
          <w:color w:val="C00000"/>
        </w:rPr>
        <w:t>y</w:t>
      </w:r>
      <w:r w:rsidRPr="00AA6ADD">
        <w:rPr>
          <w:rFonts w:ascii="Calibri" w:hAnsi="Calibri"/>
          <w:b/>
          <w:color w:val="C00000"/>
        </w:rPr>
        <w:t xml:space="preserve"> inwestycyjnej miasta.</w:t>
      </w:r>
    </w:p>
    <w:p w:rsidR="009315F6" w:rsidRDefault="009315F6" w:rsidP="009315F6">
      <w:pPr>
        <w:pStyle w:val="Tekstpodstawowy"/>
        <w:spacing w:after="0"/>
        <w:jc w:val="both"/>
        <w:rPr>
          <w:rFonts w:ascii="Calibri" w:hAnsi="Calibri"/>
        </w:rPr>
      </w:pPr>
      <w:r>
        <w:rPr>
          <w:rFonts w:ascii="Calibri" w:hAnsi="Calibri"/>
        </w:rPr>
        <w:t>Działania gminy powinny zmierzać w kierunku poszukiwania rozwiązań, które umocniłyby przedsiębiorstwa lokalne, które mają znaczący wpływ nie tylko na rozwój miasta oraz kształtowanie jego wizerunku, ale także pośrednio na jakość życia mieszkańców.</w:t>
      </w:r>
    </w:p>
    <w:p w:rsidR="001C2FD4" w:rsidRPr="00C80963" w:rsidRDefault="001C2FD4" w:rsidP="008A4108">
      <w:pPr>
        <w:ind w:firstLine="708"/>
        <w:jc w:val="both"/>
        <w:rPr>
          <w:szCs w:val="20"/>
        </w:rPr>
      </w:pPr>
      <w:r w:rsidRPr="00C80963">
        <w:rPr>
          <w:szCs w:val="20"/>
        </w:rPr>
        <w:t>Jednym z elementów wpływających na potencjał rozwoju gospodarczego jest odpowiednia liczba pracowników o kwalifikacjach odpowiadających lokalnemu rynkowi pracy, a także ich elastyczność w</w:t>
      </w:r>
      <w:r w:rsidR="008A4108">
        <w:rPr>
          <w:szCs w:val="20"/>
        </w:rPr>
        <w:t> </w:t>
      </w:r>
      <w:r w:rsidRPr="00C80963">
        <w:rPr>
          <w:szCs w:val="20"/>
        </w:rPr>
        <w:t xml:space="preserve">uzupełnianiu kompetencji zawodowych zgodnie z potrzebami pracodawców. </w:t>
      </w:r>
    </w:p>
    <w:p w:rsidR="00F7004D" w:rsidRDefault="001C2FD4" w:rsidP="008A4108">
      <w:pPr>
        <w:ind w:firstLine="708"/>
        <w:jc w:val="both"/>
        <w:rPr>
          <w:szCs w:val="20"/>
        </w:rPr>
      </w:pPr>
      <w:r w:rsidRPr="00C80963">
        <w:rPr>
          <w:szCs w:val="20"/>
        </w:rPr>
        <w:t xml:space="preserve">W poprzednim podrozdziale, charakteryzując aspekty bezrobocia, opisano problem wysokiego na obszarze rewitalizacji udziału wśród bezrobotnych osób o wykształceniu co najwyżej gimnazjalnym. Zauważono także niechęć bezrobotnych mieszkańców obszaru rewitalizacji do nabywania kwalifikacji, które mogłyby zwiększyć ich szansę na znalezienie pracy. </w:t>
      </w:r>
    </w:p>
    <w:p w:rsidR="001C2FD4" w:rsidRPr="00C80963" w:rsidRDefault="00F7004D" w:rsidP="008A4108">
      <w:pPr>
        <w:ind w:firstLine="708"/>
        <w:jc w:val="both"/>
        <w:rPr>
          <w:szCs w:val="20"/>
        </w:rPr>
      </w:pPr>
      <w:r>
        <w:rPr>
          <w:szCs w:val="20"/>
        </w:rPr>
        <w:t xml:space="preserve">Udział osób bezrobotnych o wykształceniu poniżej średniego jest wskaźnikiem używanym w sferze gospodarczej dla </w:t>
      </w:r>
      <w:r w:rsidR="00BA0841">
        <w:rPr>
          <w:szCs w:val="20"/>
        </w:rPr>
        <w:t xml:space="preserve">zdiagnozowania możliwości rozwoju przedsiębiorstw w oparciu o lokalne zasoby pracowników. </w:t>
      </w:r>
      <w:r w:rsidR="00BA0841" w:rsidRPr="00AA6ADD">
        <w:rPr>
          <w:b/>
          <w:color w:val="C00000"/>
          <w:szCs w:val="20"/>
        </w:rPr>
        <w:t>Wysoki wskaźnik jest czynnikiem niekorzystnym</w:t>
      </w:r>
      <w:r w:rsidR="001C2FD4" w:rsidRPr="00AA6ADD">
        <w:rPr>
          <w:b/>
          <w:color w:val="C00000"/>
          <w:szCs w:val="20"/>
        </w:rPr>
        <w:t>, zniechęc</w:t>
      </w:r>
      <w:r w:rsidR="00BA0841" w:rsidRPr="00AA6ADD">
        <w:rPr>
          <w:b/>
          <w:color w:val="C00000"/>
          <w:szCs w:val="20"/>
        </w:rPr>
        <w:t>a</w:t>
      </w:r>
      <w:r w:rsidR="001C2FD4" w:rsidRPr="00AA6ADD">
        <w:rPr>
          <w:b/>
          <w:color w:val="C00000"/>
          <w:szCs w:val="20"/>
        </w:rPr>
        <w:t xml:space="preserve"> przedsiębiorców do prowadzenia działalności, </w:t>
      </w:r>
      <w:r w:rsidR="00BA0841" w:rsidRPr="00AA6ADD">
        <w:rPr>
          <w:b/>
          <w:color w:val="C00000"/>
          <w:szCs w:val="20"/>
        </w:rPr>
        <w:t>a w konsekwencji nie sprzyja</w:t>
      </w:r>
      <w:r w:rsidR="001C2FD4" w:rsidRPr="00AA6ADD">
        <w:rPr>
          <w:b/>
          <w:color w:val="C00000"/>
          <w:szCs w:val="20"/>
        </w:rPr>
        <w:t xml:space="preserve"> tworzeni</w:t>
      </w:r>
      <w:r w:rsidR="00BA0841" w:rsidRPr="00AA6ADD">
        <w:rPr>
          <w:b/>
          <w:color w:val="C00000"/>
          <w:szCs w:val="20"/>
        </w:rPr>
        <w:t>u nowych miejsc pracy i hamuje</w:t>
      </w:r>
      <w:r w:rsidR="001C2FD4" w:rsidRPr="00AA6ADD">
        <w:rPr>
          <w:b/>
          <w:color w:val="C00000"/>
          <w:szCs w:val="20"/>
        </w:rPr>
        <w:t xml:space="preserve"> możliwość rozwoju gospodarczego.</w:t>
      </w:r>
      <w:r w:rsidR="001C2FD4" w:rsidRPr="00C80963">
        <w:rPr>
          <w:szCs w:val="20"/>
        </w:rPr>
        <w:t xml:space="preserve"> Dla zilustrowania tego aspektu poniżej </w:t>
      </w:r>
      <w:r w:rsidR="007863E3">
        <w:rPr>
          <w:szCs w:val="20"/>
        </w:rPr>
        <w:t>powtórzono</w:t>
      </w:r>
      <w:r w:rsidR="001C2FD4" w:rsidRPr="00C80963">
        <w:rPr>
          <w:szCs w:val="20"/>
        </w:rPr>
        <w:t xml:space="preserve"> mapę wskaźnika udziału osób bezrobotnych z niskim wykształceniem </w:t>
      </w:r>
      <w:r w:rsidR="007863E3">
        <w:rPr>
          <w:szCs w:val="20"/>
        </w:rPr>
        <w:t xml:space="preserve">– w </w:t>
      </w:r>
      <w:r w:rsidR="001C2FD4" w:rsidRPr="00C80963">
        <w:rPr>
          <w:szCs w:val="20"/>
        </w:rPr>
        <w:t>wersji ilorazowej. Wynika z</w:t>
      </w:r>
      <w:r w:rsidR="0013236B">
        <w:rPr>
          <w:szCs w:val="20"/>
        </w:rPr>
        <w:t> </w:t>
      </w:r>
      <w:r w:rsidR="008C1D29">
        <w:rPr>
          <w:szCs w:val="20"/>
        </w:rPr>
        <w:t>niej, że jedynie podobszary Ś</w:t>
      </w:r>
      <w:r w:rsidR="001C2FD4" w:rsidRPr="00C80963">
        <w:rPr>
          <w:szCs w:val="20"/>
        </w:rPr>
        <w:t xml:space="preserve">ródmieście Północ i Zachód charakteryzują się wskaźnikiem odpowiadającym średniej miasta (a więc i tak stosunkowo niskim). We wszystkich pozostałych podobszarach wskaźnik jest od 25% do 58% wyższy. </w:t>
      </w:r>
      <w:r w:rsidR="009B6032">
        <w:rPr>
          <w:szCs w:val="20"/>
        </w:rPr>
        <w:t xml:space="preserve"> </w:t>
      </w:r>
    </w:p>
    <w:p w:rsidR="001C2FD4" w:rsidRPr="008F4DC5" w:rsidRDefault="008F4DC5" w:rsidP="00664FAE">
      <w:pPr>
        <w:pStyle w:val="Legenda"/>
        <w:spacing w:after="40"/>
      </w:pPr>
      <w:bookmarkStart w:id="7760" w:name="_Toc460222277"/>
      <w:bookmarkStart w:id="7761" w:name="_Toc191972643"/>
      <w:r w:rsidRPr="008F4DC5">
        <w:lastRenderedPageBreak/>
        <w:t xml:space="preserve">Mapa </w:t>
      </w:r>
      <w:r w:rsidR="003972D8" w:rsidRPr="008F4DC5">
        <w:fldChar w:fldCharType="begin"/>
      </w:r>
      <w:r w:rsidRPr="008F4DC5">
        <w:instrText xml:space="preserve"> SEQ Mapa \* ARABIC </w:instrText>
      </w:r>
      <w:r w:rsidR="003972D8" w:rsidRPr="008F4DC5">
        <w:fldChar w:fldCharType="separate"/>
      </w:r>
      <w:r w:rsidR="00413FFE">
        <w:rPr>
          <w:noProof/>
        </w:rPr>
        <w:t>31</w:t>
      </w:r>
      <w:r w:rsidR="003972D8" w:rsidRPr="008F4DC5">
        <w:fldChar w:fldCharType="end"/>
      </w:r>
      <w:r w:rsidRPr="008F4DC5">
        <w:t>.</w:t>
      </w:r>
      <w:r w:rsidR="001C2FD4" w:rsidRPr="008F4DC5">
        <w:t xml:space="preserve"> Udział osób bezrobotnych z wykształceniem gimnazjalnym i poniżej w ogóle bezrobotnych</w:t>
      </w:r>
      <w:bookmarkEnd w:id="7760"/>
      <w:bookmarkEnd w:id="7761"/>
    </w:p>
    <w:p w:rsidR="001C2FD4" w:rsidRDefault="0043168D" w:rsidP="001C2FD4">
      <w:pPr>
        <w:rPr>
          <w:rFonts w:eastAsia="Calibri"/>
        </w:rPr>
      </w:pPr>
      <w:r>
        <w:rPr>
          <w:noProof/>
        </w:rPr>
        <w:drawing>
          <wp:inline distT="0" distB="0" distL="0" distR="0">
            <wp:extent cx="5762625" cy="4076700"/>
            <wp:effectExtent l="19050" t="0" r="9525" b="0"/>
            <wp:docPr id="39" name="Obraz 3" descr="C:\Users\TT\Dropbox\irm-bytom-mapy\wydruki\610-2 ODSETEK OSÓB BEZROBOTNYCH Z WYKSZTAŁCENIEM GIMN LUB PONIŻEJ W OGÓLNEJ LICZBIE BEZROBOTNYC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C:\Users\TT\Dropbox\irm-bytom-mapy\wydruki\610-2 ODSETEK OSÓB BEZROBOTNYCH Z WYKSZTAŁCENIEM GIMN LUB PONIŻEJ W OGÓLNEJ LICZBIE BEZROBOTNYCH.png"/>
                    <pic:cNvPicPr>
                      <a:picLocks noChangeAspect="1" noChangeArrowheads="1"/>
                    </pic:cNvPicPr>
                  </pic:nvPicPr>
                  <pic:blipFill>
                    <a:blip r:embed="rId54" cstate="print"/>
                    <a:srcRect/>
                    <a:stretch>
                      <a:fillRect/>
                    </a:stretch>
                  </pic:blipFill>
                  <pic:spPr bwMode="auto">
                    <a:xfrm>
                      <a:off x="0" y="0"/>
                      <a:ext cx="5762625" cy="4076700"/>
                    </a:xfrm>
                    <a:prstGeom prst="rect">
                      <a:avLst/>
                    </a:prstGeom>
                    <a:noFill/>
                    <a:ln w="9525">
                      <a:noFill/>
                      <a:miter lim="800000"/>
                      <a:headEnd/>
                      <a:tailEnd/>
                    </a:ln>
                  </pic:spPr>
                </pic:pic>
              </a:graphicData>
            </a:graphic>
          </wp:inline>
        </w:drawing>
      </w:r>
    </w:p>
    <w:p w:rsidR="00804BD2" w:rsidRPr="005F27F5" w:rsidRDefault="00804BD2" w:rsidP="00804BD2">
      <w:pPr>
        <w:autoSpaceDE w:val="0"/>
        <w:autoSpaceDN w:val="0"/>
        <w:adjustRightInd w:val="0"/>
        <w:rPr>
          <w:rFonts w:eastAsia="Calibri" w:cs="ArialNarrow"/>
          <w:i/>
          <w:sz w:val="18"/>
          <w:szCs w:val="20"/>
        </w:rPr>
      </w:pPr>
      <w:r w:rsidRPr="005F27F5">
        <w:rPr>
          <w:rFonts w:eastAsia="Calibri" w:cs="ArialNarrow"/>
          <w:i/>
          <w:sz w:val="18"/>
          <w:szCs w:val="20"/>
        </w:rPr>
        <w:t xml:space="preserve">Źródło: Opracowanie </w:t>
      </w:r>
      <w:r>
        <w:rPr>
          <w:rFonts w:eastAsia="Calibri" w:cs="ArialNarrow"/>
          <w:i/>
          <w:sz w:val="18"/>
          <w:szCs w:val="20"/>
        </w:rPr>
        <w:t>Instytutu Rozwoju Miast</w:t>
      </w:r>
    </w:p>
    <w:p w:rsidR="001C2FD4" w:rsidRDefault="001C2FD4" w:rsidP="001C2FD4"/>
    <w:p w:rsidR="001C2FD4" w:rsidRPr="00B9657F" w:rsidRDefault="006E7E93" w:rsidP="0055392F">
      <w:pPr>
        <w:pStyle w:val="Nagwek3"/>
        <w:numPr>
          <w:ilvl w:val="2"/>
          <w:numId w:val="388"/>
        </w:numPr>
        <w:ind w:left="567" w:hanging="505"/>
      </w:pPr>
      <w:bookmarkStart w:id="7762" w:name="_Toc461612537"/>
      <w:bookmarkStart w:id="7763" w:name="_Toc474924944"/>
      <w:r>
        <w:t>Sfera techniczna: Z</w:t>
      </w:r>
      <w:r w:rsidR="001C2FD4">
        <w:t>ły stan i standard budynków komunalnych</w:t>
      </w:r>
      <w:bookmarkEnd w:id="7762"/>
      <w:bookmarkEnd w:id="7763"/>
    </w:p>
    <w:p w:rsidR="0032629E" w:rsidRDefault="0032629E" w:rsidP="001C2FD4">
      <w:pPr>
        <w:rPr>
          <w:rFonts w:eastAsia="Calibri"/>
          <w:szCs w:val="20"/>
        </w:rPr>
      </w:pPr>
    </w:p>
    <w:p w:rsidR="001C2FD4" w:rsidRPr="00C80963" w:rsidRDefault="001C2FD4" w:rsidP="008A4108">
      <w:pPr>
        <w:ind w:firstLine="708"/>
        <w:jc w:val="both"/>
        <w:rPr>
          <w:rFonts w:eastAsia="Calibri"/>
          <w:szCs w:val="20"/>
        </w:rPr>
      </w:pPr>
      <w:r w:rsidRPr="00C80963">
        <w:rPr>
          <w:rFonts w:eastAsia="Calibri"/>
          <w:szCs w:val="20"/>
        </w:rPr>
        <w:t>Na komunalną własność mieszkaniową składa się 13 888 lokali, w których mieszka 25 500 osób – 17% populacji miasta. Lokale te są usytuowane w budynkach należących do gminy (6 267 mieszkań) i w budynkach, w których gmina posiada udziały (7 621 mieszkań)</w:t>
      </w:r>
      <w:r w:rsidRPr="00C80963">
        <w:rPr>
          <w:rStyle w:val="Odwoanieprzypisudolnego"/>
          <w:rFonts w:eastAsia="Calibri"/>
          <w:szCs w:val="20"/>
        </w:rPr>
        <w:footnoteReference w:id="31"/>
      </w:r>
      <w:r w:rsidRPr="00C80963">
        <w:rPr>
          <w:rFonts w:eastAsia="Calibri"/>
          <w:szCs w:val="20"/>
        </w:rPr>
        <w:t xml:space="preserve">. W porównaniu z innymi miastami w Polsce liczba mieszkań komunalnych w relacji do wszystkich mieszkań jest wysoka. </w:t>
      </w:r>
    </w:p>
    <w:p w:rsidR="001C2FD4" w:rsidRPr="00C80963" w:rsidRDefault="001C2FD4" w:rsidP="008A4108">
      <w:pPr>
        <w:ind w:firstLine="708"/>
        <w:jc w:val="both"/>
        <w:rPr>
          <w:rFonts w:eastAsia="Calibri"/>
          <w:color w:val="C00000"/>
          <w:szCs w:val="20"/>
        </w:rPr>
      </w:pPr>
      <w:r w:rsidRPr="00C80963">
        <w:rPr>
          <w:rFonts w:eastAsia="Calibri"/>
          <w:szCs w:val="20"/>
        </w:rPr>
        <w:t>Udział budynków należących do gminy i budynków wspólnot mieszkaniowych, w których gmina posiada mieszkania, w ogólnej liczbie budynków w mieście wynosi średnio aż 27%. Natomiast na obszarze rewitalizacji wskaźnik ten jest znacznie większy. Z mapy wynika</w:t>
      </w:r>
      <w:r w:rsidRPr="0038597F">
        <w:rPr>
          <w:rFonts w:eastAsia="Calibri"/>
          <w:szCs w:val="20"/>
        </w:rPr>
        <w:t>, że</w:t>
      </w:r>
      <w:r w:rsidRPr="00C80963">
        <w:rPr>
          <w:rFonts w:eastAsia="Calibri"/>
          <w:color w:val="C00000"/>
          <w:szCs w:val="20"/>
        </w:rPr>
        <w:t xml:space="preserve"> </w:t>
      </w:r>
      <w:r w:rsidRPr="00C80963">
        <w:rPr>
          <w:rFonts w:eastAsia="Calibri"/>
          <w:b/>
          <w:color w:val="C00000"/>
          <w:szCs w:val="20"/>
        </w:rPr>
        <w:t>w Centrum od 44% do ponad 60% wszystkich budynków mieszkalnych stanowią budynki gminne lub wspólnot mieszkaniowych z udziałem gminy.</w:t>
      </w:r>
      <w:r w:rsidRPr="00C80963">
        <w:rPr>
          <w:rFonts w:eastAsia="Calibri"/>
          <w:color w:val="C00000"/>
          <w:szCs w:val="20"/>
        </w:rPr>
        <w:t xml:space="preserve"> </w:t>
      </w:r>
    </w:p>
    <w:p w:rsidR="00664FAE" w:rsidRPr="00C80963" w:rsidRDefault="00664FAE" w:rsidP="00664FAE">
      <w:pPr>
        <w:ind w:firstLine="708"/>
        <w:jc w:val="both"/>
        <w:rPr>
          <w:rFonts w:eastAsia="Calibri"/>
          <w:szCs w:val="20"/>
        </w:rPr>
      </w:pPr>
      <w:bookmarkStart w:id="7764" w:name="_Toc460222278"/>
      <w:r w:rsidRPr="00C80963">
        <w:rPr>
          <w:rFonts w:eastAsia="Calibri"/>
          <w:szCs w:val="20"/>
        </w:rPr>
        <w:t xml:space="preserve">Przytoczone dane wskazują na znaczną koncentrację budynków komunalnych w obszarze rewitalizacji. </w:t>
      </w:r>
      <w:r w:rsidR="00275C32" w:rsidRPr="00626434">
        <w:rPr>
          <w:rFonts w:eastAsia="Calibri"/>
          <w:szCs w:val="20"/>
        </w:rPr>
        <w:t>M</w:t>
      </w:r>
      <w:r w:rsidRPr="00626434">
        <w:rPr>
          <w:rFonts w:eastAsia="Calibri"/>
          <w:szCs w:val="20"/>
        </w:rPr>
        <w:t>apa</w:t>
      </w:r>
      <w:r w:rsidR="000D0474" w:rsidRPr="00626434">
        <w:rPr>
          <w:rFonts w:eastAsia="Calibri"/>
          <w:szCs w:val="20"/>
        </w:rPr>
        <w:t xml:space="preserve"> 3</w:t>
      </w:r>
      <w:r w:rsidR="003E1265" w:rsidRPr="00626434">
        <w:rPr>
          <w:rFonts w:eastAsia="Calibri"/>
          <w:szCs w:val="20"/>
        </w:rPr>
        <w:t>6</w:t>
      </w:r>
      <w:r w:rsidRPr="00C80963">
        <w:rPr>
          <w:rFonts w:eastAsia="Calibri"/>
          <w:szCs w:val="20"/>
        </w:rPr>
        <w:t xml:space="preserve"> potwierdza, że poza obszarem własność komunalna występuje w znacznie mniejszym stopniu. Co</w:t>
      </w:r>
      <w:r w:rsidR="00621E88">
        <w:rPr>
          <w:rFonts w:eastAsia="Calibri"/>
          <w:szCs w:val="20"/>
        </w:rPr>
        <w:t> </w:t>
      </w:r>
      <w:r w:rsidRPr="00C80963">
        <w:rPr>
          <w:rFonts w:eastAsia="Calibri"/>
          <w:szCs w:val="20"/>
        </w:rPr>
        <w:t xml:space="preserve">więcej, budynki poza obszarem rewitalizacji to w większości budynki wspólnot mieszkaniowych z udziałem gminy, natomiast </w:t>
      </w:r>
      <w:r w:rsidRPr="00F124CB">
        <w:rPr>
          <w:rFonts w:eastAsia="Calibri"/>
          <w:b/>
          <w:color w:val="C00000"/>
          <w:szCs w:val="20"/>
        </w:rPr>
        <w:t>na obszarze rewitalizacji obserwujemy koncentrację budynków należących do gminy</w:t>
      </w:r>
      <w:r w:rsidRPr="00C80963">
        <w:rPr>
          <w:rFonts w:eastAsia="Calibri"/>
          <w:szCs w:val="20"/>
        </w:rPr>
        <w:t xml:space="preserve"> (takich budynków </w:t>
      </w:r>
      <w:r>
        <w:rPr>
          <w:rFonts w:eastAsia="Calibri"/>
          <w:szCs w:val="20"/>
        </w:rPr>
        <w:t xml:space="preserve">znajduje się </w:t>
      </w:r>
      <w:r w:rsidRPr="00C80963">
        <w:rPr>
          <w:rFonts w:eastAsia="Calibri"/>
          <w:szCs w:val="20"/>
        </w:rPr>
        <w:t xml:space="preserve">485 na obszarze rewitalizacji). </w:t>
      </w:r>
      <w:r w:rsidRPr="00F124CB">
        <w:rPr>
          <w:rFonts w:eastAsia="Calibri"/>
          <w:b/>
          <w:color w:val="C00000"/>
          <w:szCs w:val="20"/>
        </w:rPr>
        <w:t>W podobszarze Bobrek i Kolonia Zgorzelec niemal wszystkie mieszkania, jakimi dysponuje gmina, znajdują się w budynkach należących do gminy.</w:t>
      </w:r>
    </w:p>
    <w:p w:rsidR="00664FAE" w:rsidRDefault="00664FAE" w:rsidP="001C2FD4">
      <w:pPr>
        <w:pStyle w:val="Legenda"/>
        <w:spacing w:line="312" w:lineRule="auto"/>
      </w:pPr>
    </w:p>
    <w:p w:rsidR="001C2FD4" w:rsidRPr="008F4DC5" w:rsidRDefault="008F4DC5" w:rsidP="00664FAE">
      <w:pPr>
        <w:pStyle w:val="Legenda"/>
        <w:rPr>
          <w:rFonts w:eastAsia="Calibri"/>
          <w:szCs w:val="24"/>
        </w:rPr>
      </w:pPr>
      <w:bookmarkStart w:id="7765" w:name="_Toc191972644"/>
      <w:r w:rsidRPr="00893CEA">
        <w:lastRenderedPageBreak/>
        <w:t xml:space="preserve">Mapa </w:t>
      </w:r>
      <w:r w:rsidR="003972D8" w:rsidRPr="00893CEA">
        <w:fldChar w:fldCharType="begin"/>
      </w:r>
      <w:r w:rsidRPr="00893CEA">
        <w:instrText xml:space="preserve"> SEQ Mapa \* ARABIC </w:instrText>
      </w:r>
      <w:r w:rsidR="003972D8" w:rsidRPr="00893CEA">
        <w:fldChar w:fldCharType="separate"/>
      </w:r>
      <w:r w:rsidR="00413FFE">
        <w:rPr>
          <w:noProof/>
        </w:rPr>
        <w:t>32</w:t>
      </w:r>
      <w:r w:rsidR="003972D8" w:rsidRPr="00893CEA">
        <w:fldChar w:fldCharType="end"/>
      </w:r>
      <w:r>
        <w:t>.</w:t>
      </w:r>
      <w:r w:rsidR="001C2FD4" w:rsidRPr="008F4DC5">
        <w:t xml:space="preserve"> Udział budynków należących do gminy i budynków wspólnot mieszkaniowych</w:t>
      </w:r>
      <w:bookmarkEnd w:id="7764"/>
      <w:bookmarkEnd w:id="7765"/>
    </w:p>
    <w:p w:rsidR="001C2FD4" w:rsidRDefault="0043168D" w:rsidP="000934DD">
      <w:pPr>
        <w:jc w:val="center"/>
        <w:rPr>
          <w:rFonts w:eastAsia="Calibri"/>
          <w:b/>
        </w:rPr>
      </w:pPr>
      <w:r>
        <w:rPr>
          <w:rFonts w:eastAsia="Calibri"/>
          <w:b/>
          <w:noProof/>
        </w:rPr>
        <w:drawing>
          <wp:inline distT="0" distB="0" distL="0" distR="0">
            <wp:extent cx="5400000" cy="3811240"/>
            <wp:effectExtent l="19050" t="0" r="0" b="0"/>
            <wp:docPr id="38" name="Obraz 1" descr="C:\Users\TT\Dysk Google\IRM-BYTOM-mapy\wydruki (1)\705-1 UDZIAŁ MIESZKALNYCH BUDYNKÓW KOMUNALNYCH I GMINNYCH WSPÓLNOT MIESZKANIOWYCH W LICZBIE BUDYNKÓW OGÓŁE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Users\TT\Dysk Google\IRM-BYTOM-mapy\wydruki (1)\705-1 UDZIAŁ MIESZKALNYCH BUDYNKÓW KOMUNALNYCH I GMINNYCH WSPÓLNOT MIESZKANIOWYCH W LICZBIE BUDYNKÓW OGÓŁEM.png"/>
                    <pic:cNvPicPr>
                      <a:picLocks noChangeAspect="1" noChangeArrowheads="1"/>
                    </pic:cNvPicPr>
                  </pic:nvPicPr>
                  <pic:blipFill>
                    <a:blip r:embed="rId55" cstate="print"/>
                    <a:srcRect/>
                    <a:stretch>
                      <a:fillRect/>
                    </a:stretch>
                  </pic:blipFill>
                  <pic:spPr bwMode="auto">
                    <a:xfrm>
                      <a:off x="0" y="0"/>
                      <a:ext cx="5400000" cy="3811240"/>
                    </a:xfrm>
                    <a:prstGeom prst="rect">
                      <a:avLst/>
                    </a:prstGeom>
                    <a:noFill/>
                    <a:ln w="9525">
                      <a:noFill/>
                      <a:miter lim="800000"/>
                      <a:headEnd/>
                      <a:tailEnd/>
                    </a:ln>
                  </pic:spPr>
                </pic:pic>
              </a:graphicData>
            </a:graphic>
          </wp:inline>
        </w:drawing>
      </w:r>
    </w:p>
    <w:p w:rsidR="00804BD2" w:rsidRPr="005F27F5" w:rsidRDefault="00804BD2" w:rsidP="00804BD2">
      <w:pPr>
        <w:autoSpaceDE w:val="0"/>
        <w:autoSpaceDN w:val="0"/>
        <w:adjustRightInd w:val="0"/>
        <w:rPr>
          <w:rFonts w:eastAsia="Calibri" w:cs="ArialNarrow"/>
          <w:i/>
          <w:sz w:val="18"/>
          <w:szCs w:val="20"/>
        </w:rPr>
      </w:pPr>
      <w:r w:rsidRPr="005F27F5">
        <w:rPr>
          <w:rFonts w:eastAsia="Calibri" w:cs="ArialNarrow"/>
          <w:i/>
          <w:sz w:val="18"/>
          <w:szCs w:val="20"/>
        </w:rPr>
        <w:t xml:space="preserve">Źródło: Opracowanie </w:t>
      </w:r>
      <w:r>
        <w:rPr>
          <w:rFonts w:eastAsia="Calibri" w:cs="ArialNarrow"/>
          <w:i/>
          <w:sz w:val="18"/>
          <w:szCs w:val="20"/>
        </w:rPr>
        <w:t>Instytutu Rozwoju Miast</w:t>
      </w:r>
    </w:p>
    <w:p w:rsidR="001C2FD4" w:rsidRPr="00664FAE" w:rsidRDefault="001C2FD4" w:rsidP="001C2FD4">
      <w:pPr>
        <w:rPr>
          <w:rFonts w:eastAsia="Calibri"/>
          <w:b/>
          <w:sz w:val="18"/>
        </w:rPr>
      </w:pPr>
    </w:p>
    <w:p w:rsidR="001C2FD4" w:rsidRPr="008F4DC5" w:rsidRDefault="008F4DC5" w:rsidP="00664FAE">
      <w:pPr>
        <w:pStyle w:val="Legenda"/>
        <w:rPr>
          <w:rFonts w:eastAsia="Calibri"/>
          <w:szCs w:val="24"/>
        </w:rPr>
      </w:pPr>
      <w:bookmarkStart w:id="7766" w:name="_Toc191972645"/>
      <w:r w:rsidRPr="008F4DC5">
        <w:t xml:space="preserve">Mapa </w:t>
      </w:r>
      <w:r w:rsidR="003972D8" w:rsidRPr="008F4DC5">
        <w:fldChar w:fldCharType="begin"/>
      </w:r>
      <w:r w:rsidRPr="008F4DC5">
        <w:instrText xml:space="preserve"> SEQ Mapa \* ARABIC </w:instrText>
      </w:r>
      <w:r w:rsidR="003972D8" w:rsidRPr="008F4DC5">
        <w:fldChar w:fldCharType="separate"/>
      </w:r>
      <w:r w:rsidR="00413FFE">
        <w:rPr>
          <w:noProof/>
        </w:rPr>
        <w:t>33</w:t>
      </w:r>
      <w:r w:rsidR="003972D8" w:rsidRPr="008F4DC5">
        <w:fldChar w:fldCharType="end"/>
      </w:r>
      <w:r w:rsidRPr="008F4DC5">
        <w:t>.</w:t>
      </w:r>
      <w:r w:rsidR="001C2FD4" w:rsidRPr="008F4DC5">
        <w:t xml:space="preserve"> Budynki gminne i budynki wspólnot mieszkaniowych z udziałem gminy</w:t>
      </w:r>
      <w:bookmarkEnd w:id="7766"/>
      <w:r w:rsidR="001C2FD4" w:rsidRPr="008F4DC5">
        <w:t xml:space="preserve"> </w:t>
      </w:r>
    </w:p>
    <w:p w:rsidR="001C2FD4" w:rsidRDefault="0043168D" w:rsidP="000934DD">
      <w:pPr>
        <w:jc w:val="center"/>
        <w:rPr>
          <w:rFonts w:eastAsia="Calibri"/>
        </w:rPr>
      </w:pPr>
      <w:r>
        <w:rPr>
          <w:rFonts w:eastAsia="Calibri"/>
          <w:noProof/>
        </w:rPr>
        <w:drawing>
          <wp:inline distT="0" distB="0" distL="0" distR="0">
            <wp:extent cx="5400000" cy="3721983"/>
            <wp:effectExtent l="19050" t="0" r="0" b="0"/>
            <wp:docPr id="37" name="Obraz 11" descr="C:\Users\TT\Dropbox\irm-bytom-mapy\wydruki\700 MAPA BUDYNKÓW KOMUNALNYC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1" descr="C:\Users\TT\Dropbox\irm-bytom-mapy\wydruki\700 MAPA BUDYNKÓW KOMUNALNYCH.png"/>
                    <pic:cNvPicPr>
                      <a:picLocks noChangeAspect="1" noChangeArrowheads="1"/>
                    </pic:cNvPicPr>
                  </pic:nvPicPr>
                  <pic:blipFill>
                    <a:blip r:embed="rId56" cstate="print"/>
                    <a:srcRect b="2570"/>
                    <a:stretch>
                      <a:fillRect/>
                    </a:stretch>
                  </pic:blipFill>
                  <pic:spPr bwMode="auto">
                    <a:xfrm>
                      <a:off x="0" y="0"/>
                      <a:ext cx="5400000" cy="3721983"/>
                    </a:xfrm>
                    <a:prstGeom prst="rect">
                      <a:avLst/>
                    </a:prstGeom>
                    <a:noFill/>
                    <a:ln w="9525">
                      <a:noFill/>
                      <a:miter lim="800000"/>
                      <a:headEnd/>
                      <a:tailEnd/>
                    </a:ln>
                  </pic:spPr>
                </pic:pic>
              </a:graphicData>
            </a:graphic>
          </wp:inline>
        </w:drawing>
      </w:r>
    </w:p>
    <w:p w:rsidR="00804BD2" w:rsidRPr="005F27F5" w:rsidRDefault="00804BD2" w:rsidP="00804BD2">
      <w:pPr>
        <w:autoSpaceDE w:val="0"/>
        <w:autoSpaceDN w:val="0"/>
        <w:adjustRightInd w:val="0"/>
        <w:rPr>
          <w:rFonts w:eastAsia="Calibri" w:cs="ArialNarrow"/>
          <w:i/>
          <w:sz w:val="18"/>
          <w:szCs w:val="20"/>
        </w:rPr>
      </w:pPr>
      <w:r w:rsidRPr="005F27F5">
        <w:rPr>
          <w:rFonts w:eastAsia="Calibri" w:cs="ArialNarrow"/>
          <w:i/>
          <w:sz w:val="18"/>
          <w:szCs w:val="20"/>
        </w:rPr>
        <w:t xml:space="preserve">Źródło: Opracowanie </w:t>
      </w:r>
      <w:r>
        <w:rPr>
          <w:rFonts w:eastAsia="Calibri" w:cs="ArialNarrow"/>
          <w:i/>
          <w:sz w:val="18"/>
          <w:szCs w:val="20"/>
        </w:rPr>
        <w:t>Instytutu Rozwoju Miast</w:t>
      </w:r>
    </w:p>
    <w:p w:rsidR="001C2FD4" w:rsidRPr="008F4DC5" w:rsidRDefault="008F4DC5" w:rsidP="001C2FD4">
      <w:pPr>
        <w:pStyle w:val="Legenda"/>
        <w:spacing w:line="312" w:lineRule="auto"/>
        <w:rPr>
          <w:rFonts w:eastAsia="Calibri"/>
          <w:szCs w:val="24"/>
        </w:rPr>
      </w:pPr>
      <w:bookmarkStart w:id="7767" w:name="_Toc191972646"/>
      <w:r w:rsidRPr="008F4DC5">
        <w:lastRenderedPageBreak/>
        <w:t xml:space="preserve">Mapa </w:t>
      </w:r>
      <w:r w:rsidR="003972D8" w:rsidRPr="008F4DC5">
        <w:fldChar w:fldCharType="begin"/>
      </w:r>
      <w:r w:rsidRPr="008F4DC5">
        <w:instrText xml:space="preserve"> SEQ Mapa \* ARABIC </w:instrText>
      </w:r>
      <w:r w:rsidR="003972D8" w:rsidRPr="008F4DC5">
        <w:fldChar w:fldCharType="separate"/>
      </w:r>
      <w:r w:rsidR="00413FFE">
        <w:rPr>
          <w:noProof/>
        </w:rPr>
        <w:t>34</w:t>
      </w:r>
      <w:r w:rsidR="003972D8" w:rsidRPr="008F4DC5">
        <w:fldChar w:fldCharType="end"/>
      </w:r>
      <w:r w:rsidRPr="008F4DC5">
        <w:t>.</w:t>
      </w:r>
      <w:r w:rsidR="001C2FD4" w:rsidRPr="008F4DC5">
        <w:t xml:space="preserve"> Budynki gminne i budynki wspólnot mieszkaniowych z udziałem gminy -</w:t>
      </w:r>
      <w:r w:rsidR="00681B94">
        <w:t xml:space="preserve"> </w:t>
      </w:r>
      <w:r w:rsidR="001C2FD4" w:rsidRPr="008F4DC5">
        <w:t>centrum</w:t>
      </w:r>
      <w:bookmarkEnd w:id="7767"/>
    </w:p>
    <w:p w:rsidR="001C2FD4" w:rsidRDefault="0043168D" w:rsidP="002064AE">
      <w:pPr>
        <w:jc w:val="center"/>
        <w:rPr>
          <w:rFonts w:eastAsia="Calibri"/>
        </w:rPr>
      </w:pPr>
      <w:r>
        <w:rPr>
          <w:rFonts w:eastAsia="Calibri"/>
          <w:noProof/>
        </w:rPr>
        <w:drawing>
          <wp:inline distT="0" distB="0" distL="0" distR="0">
            <wp:extent cx="5762625" cy="4076700"/>
            <wp:effectExtent l="19050" t="0" r="9525" b="0"/>
            <wp:docPr id="36" name="Obraz 1" descr="C:\Users\TT\Dropbox\irm-bytom-mapy\WYDRUKI\710-A WIEK MIESZKALNYCH BUDYNKÓW KOMUNALNYC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Users\TT\Dropbox\irm-bytom-mapy\WYDRUKI\710-A WIEK MIESZKALNYCH BUDYNKÓW KOMUNALNYCH.png"/>
                    <pic:cNvPicPr>
                      <a:picLocks noChangeAspect="1" noChangeArrowheads="1"/>
                    </pic:cNvPicPr>
                  </pic:nvPicPr>
                  <pic:blipFill>
                    <a:blip r:embed="rId57" cstate="print"/>
                    <a:srcRect/>
                    <a:stretch>
                      <a:fillRect/>
                    </a:stretch>
                  </pic:blipFill>
                  <pic:spPr bwMode="auto">
                    <a:xfrm>
                      <a:off x="0" y="0"/>
                      <a:ext cx="5762625" cy="4076700"/>
                    </a:xfrm>
                    <a:prstGeom prst="rect">
                      <a:avLst/>
                    </a:prstGeom>
                    <a:noFill/>
                    <a:ln w="9525">
                      <a:noFill/>
                      <a:miter lim="800000"/>
                      <a:headEnd/>
                      <a:tailEnd/>
                    </a:ln>
                  </pic:spPr>
                </pic:pic>
              </a:graphicData>
            </a:graphic>
          </wp:inline>
        </w:drawing>
      </w:r>
      <w:r>
        <w:rPr>
          <w:rFonts w:eastAsia="Calibri"/>
          <w:noProof/>
        </w:rPr>
        <w:drawing>
          <wp:inline distT="0" distB="0" distL="0" distR="0">
            <wp:extent cx="3771900" cy="3771900"/>
            <wp:effectExtent l="19050" t="0" r="0" b="0"/>
            <wp:docPr id="35" name="Obraz 12" descr="C:\Users\TT\Dropbox\irm-bytom-mapy\wydruki\710-B2 WIEK MIESZKALNYCH BUDYNKÓW KOMUNALNYC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2" descr="C:\Users\TT\Dropbox\irm-bytom-mapy\wydruki\710-B2 WIEK MIESZKALNYCH BUDYNKÓW KOMUNALNYCH.png"/>
                    <pic:cNvPicPr>
                      <a:picLocks noChangeAspect="1" noChangeArrowheads="1"/>
                    </pic:cNvPicPr>
                  </pic:nvPicPr>
                  <pic:blipFill>
                    <a:blip r:embed="rId58" cstate="print"/>
                    <a:srcRect/>
                    <a:stretch>
                      <a:fillRect/>
                    </a:stretch>
                  </pic:blipFill>
                  <pic:spPr bwMode="auto">
                    <a:xfrm>
                      <a:off x="0" y="0"/>
                      <a:ext cx="3771900" cy="3771900"/>
                    </a:xfrm>
                    <a:prstGeom prst="rect">
                      <a:avLst/>
                    </a:prstGeom>
                    <a:noFill/>
                    <a:ln w="9525">
                      <a:noFill/>
                      <a:miter lim="800000"/>
                      <a:headEnd/>
                      <a:tailEnd/>
                    </a:ln>
                  </pic:spPr>
                </pic:pic>
              </a:graphicData>
            </a:graphic>
          </wp:inline>
        </w:drawing>
      </w:r>
    </w:p>
    <w:p w:rsidR="00804BD2" w:rsidRPr="005F27F5" w:rsidRDefault="00804BD2" w:rsidP="00804BD2">
      <w:pPr>
        <w:autoSpaceDE w:val="0"/>
        <w:autoSpaceDN w:val="0"/>
        <w:adjustRightInd w:val="0"/>
        <w:rPr>
          <w:rFonts w:eastAsia="Calibri" w:cs="ArialNarrow"/>
          <w:i/>
          <w:sz w:val="18"/>
          <w:szCs w:val="20"/>
        </w:rPr>
      </w:pPr>
      <w:r w:rsidRPr="005F27F5">
        <w:rPr>
          <w:rFonts w:eastAsia="Calibri" w:cs="ArialNarrow"/>
          <w:i/>
          <w:sz w:val="18"/>
          <w:szCs w:val="20"/>
        </w:rPr>
        <w:t xml:space="preserve">Źródło: Opracowanie </w:t>
      </w:r>
      <w:r>
        <w:rPr>
          <w:rFonts w:eastAsia="Calibri" w:cs="ArialNarrow"/>
          <w:i/>
          <w:sz w:val="18"/>
          <w:szCs w:val="20"/>
        </w:rPr>
        <w:t>Instytutu Rozwoju Miast</w:t>
      </w:r>
    </w:p>
    <w:p w:rsidR="00915C42" w:rsidRDefault="00915C42" w:rsidP="00A37F92">
      <w:pPr>
        <w:jc w:val="both"/>
      </w:pPr>
      <w:r w:rsidRPr="00C80963">
        <w:rPr>
          <w:rFonts w:eastAsia="Calibri"/>
          <w:szCs w:val="20"/>
        </w:rPr>
        <w:lastRenderedPageBreak/>
        <w:t xml:space="preserve">Opisane proporcje wskazują na specyficzny charakter obszaru rewitalizacji. Konsekwencje tak dużego udziału budynków komunalnych (należących do gminy i wspólnotowych) w przestrzeni obszaru rewitalizacji są wielorakie. Są to w dużej mierze </w:t>
      </w:r>
      <w:r w:rsidRPr="00F124CB">
        <w:rPr>
          <w:rFonts w:eastAsia="Calibri"/>
          <w:b/>
          <w:color w:val="C00000"/>
          <w:szCs w:val="20"/>
        </w:rPr>
        <w:t>budynki stare, niedoinwestowane, czę</w:t>
      </w:r>
      <w:r>
        <w:rPr>
          <w:rFonts w:eastAsia="Calibri"/>
          <w:b/>
          <w:color w:val="C00000"/>
          <w:szCs w:val="20"/>
        </w:rPr>
        <w:t>sto nie</w:t>
      </w:r>
      <w:r w:rsidRPr="00F124CB">
        <w:rPr>
          <w:rFonts w:eastAsia="Calibri"/>
          <w:b/>
          <w:color w:val="C00000"/>
          <w:szCs w:val="20"/>
        </w:rPr>
        <w:t xml:space="preserve">spełniające współczesnych standardów wyposażenia w media, co negatywnie wpływa na obszar rewitalizacji. </w:t>
      </w:r>
      <w:r>
        <w:rPr>
          <w:szCs w:val="20"/>
        </w:rPr>
        <w:t xml:space="preserve">Zaniechanie remontów budynków wchodzących w mieszkaniowy zasób Gminy Bytom przez ostatnie lata należy wyjaśnić brakiem środków w budżecie, to z kolei wiąże się nieodzownie z brakiem uiszczania opłat czynszowych przez najemców, dzierżawców i użytkowników przedmiotowych lokali. Problem ten posiada podłoże w bezrobociu – likwidacji miejsc pracy m.in. kopalń i zubożeniu społeczeństwa (z 11 </w:t>
      </w:r>
      <w:r w:rsidR="00A37F92">
        <w:rPr>
          <w:szCs w:val="20"/>
        </w:rPr>
        <w:t xml:space="preserve">niegdyś działających kopalń </w:t>
      </w:r>
      <w:r>
        <w:rPr>
          <w:szCs w:val="20"/>
        </w:rPr>
        <w:t xml:space="preserve">i 2 hut w Bytomiu obecnie funkcjonuje tylko 1 kopalnia). </w:t>
      </w:r>
      <w:r w:rsidRPr="00C80963">
        <w:rPr>
          <w:rFonts w:eastAsia="Calibri"/>
          <w:szCs w:val="20"/>
        </w:rPr>
        <w:t xml:space="preserve">Z drugiej strony przewaga własności gminnej jest szansą, ponieważ publiczny właściciel i zarządca ma decydujący wpływ na kształtowanie przestrzeni poprzez spójne działania remontowe dotyczące większych ciągów zabudowy. Ma także możliwości pozyskiwania środków na poprawę stanu zasobu, jakich nie mają prywatni właściciele. </w:t>
      </w:r>
    </w:p>
    <w:p w:rsidR="00915C42" w:rsidRPr="00C80963" w:rsidRDefault="00915C42" w:rsidP="00915C42">
      <w:pPr>
        <w:jc w:val="both"/>
        <w:rPr>
          <w:szCs w:val="20"/>
        </w:rPr>
      </w:pPr>
      <w:r w:rsidRPr="00C80963">
        <w:rPr>
          <w:b/>
          <w:color w:val="C00000"/>
          <w:szCs w:val="20"/>
        </w:rPr>
        <w:t>Budynki należące do gminy w większości mają ponad sto lat</w:t>
      </w:r>
      <w:r w:rsidRPr="00C80963">
        <w:rPr>
          <w:color w:val="C00000"/>
          <w:szCs w:val="20"/>
        </w:rPr>
        <w:t>.</w:t>
      </w:r>
      <w:r w:rsidRPr="00C80963">
        <w:rPr>
          <w:szCs w:val="20"/>
        </w:rPr>
        <w:t xml:space="preserve"> W Kolonii Zgorzelec wszystkie pochodzą sprzed 1914 r., a w podobszarze Bobrek jedynie kilka budynków powstało po I wojnie światowej. </w:t>
      </w:r>
    </w:p>
    <w:p w:rsidR="00915C42" w:rsidRPr="00C80963" w:rsidRDefault="00915C42" w:rsidP="00915C42">
      <w:pPr>
        <w:jc w:val="both"/>
        <w:rPr>
          <w:szCs w:val="20"/>
        </w:rPr>
      </w:pPr>
      <w:r w:rsidRPr="00C80963">
        <w:rPr>
          <w:szCs w:val="20"/>
        </w:rPr>
        <w:t>Z analizy przeprowadzonej przez Zespół badający na potrzeby Programu Rewitalizacji aspekty ekonomii społecznej</w:t>
      </w:r>
      <w:r w:rsidRPr="00C80963">
        <w:rPr>
          <w:rStyle w:val="Odwoanieprzypisudolnego"/>
          <w:szCs w:val="20"/>
        </w:rPr>
        <w:footnoteReference w:id="32"/>
      </w:r>
      <w:r w:rsidRPr="00C80963">
        <w:rPr>
          <w:szCs w:val="20"/>
        </w:rPr>
        <w:t xml:space="preserve"> wynika, że średni wiek budynków mieszkalnych na obszarze rewitalizacji wynosi w Śródmieściu 109 lat, w Śródmieściu Zachód 84 lata, w Śródmieściu Północ 88 lat, w Rozbarku 97 lat, w podobszarze Bobrek 95 lat, w Kolonii Zgorzelec 109 lat.</w:t>
      </w:r>
    </w:p>
    <w:p w:rsidR="00915C42" w:rsidRDefault="00915C42" w:rsidP="00915C42">
      <w:pPr>
        <w:jc w:val="both"/>
        <w:rPr>
          <w:rFonts w:eastAsia="Calibri"/>
          <w:szCs w:val="20"/>
        </w:rPr>
      </w:pPr>
      <w:r w:rsidRPr="00C80963">
        <w:rPr>
          <w:rFonts w:eastAsia="Calibri"/>
          <w:szCs w:val="20"/>
        </w:rPr>
        <w:t xml:space="preserve">Wiek budynków gminnych w podobszarach centralnych </w:t>
      </w:r>
      <w:r w:rsidRPr="00626434">
        <w:rPr>
          <w:rFonts w:eastAsia="Calibri"/>
          <w:szCs w:val="20"/>
        </w:rPr>
        <w:t>przedstawia mapa 37</w:t>
      </w:r>
      <w:r w:rsidRPr="00C80963">
        <w:rPr>
          <w:rStyle w:val="Odwoanieprzypisudolnego"/>
          <w:rFonts w:eastAsia="Calibri"/>
          <w:szCs w:val="20"/>
        </w:rPr>
        <w:footnoteReference w:id="33"/>
      </w:r>
      <w:r w:rsidRPr="00C80963">
        <w:rPr>
          <w:rFonts w:eastAsia="Calibri"/>
          <w:szCs w:val="20"/>
        </w:rPr>
        <w:t>. Kolorem ciemnoczerwonym oznaczono budynki sprzed 1914 r., pomarańczowym – z okresu międzywojennego. Jedynie kilka budynków powstało po 1945 r. (kolor niebieski) i po 1970 r. (kolor zielony).</w:t>
      </w:r>
    </w:p>
    <w:p w:rsidR="00915C42" w:rsidRDefault="00915C42" w:rsidP="00D1694B">
      <w:pPr>
        <w:ind w:firstLine="708"/>
        <w:jc w:val="both"/>
        <w:rPr>
          <w:rFonts w:eastAsia="Calibri"/>
          <w:szCs w:val="20"/>
        </w:rPr>
      </w:pPr>
    </w:p>
    <w:p w:rsidR="001C2FD4" w:rsidRPr="00D1694B" w:rsidRDefault="008F4DC5" w:rsidP="00A37F92">
      <w:pPr>
        <w:pStyle w:val="Legenda"/>
        <w:rPr>
          <w:rFonts w:eastAsia="Calibri"/>
          <w:szCs w:val="24"/>
        </w:rPr>
      </w:pPr>
      <w:bookmarkStart w:id="7768" w:name="_Toc191972647"/>
      <w:r w:rsidRPr="008F4DC5">
        <w:t xml:space="preserve">Mapa </w:t>
      </w:r>
      <w:r w:rsidR="003972D8" w:rsidRPr="008F4DC5">
        <w:fldChar w:fldCharType="begin"/>
      </w:r>
      <w:r w:rsidRPr="008F4DC5">
        <w:instrText xml:space="preserve"> SEQ Mapa \* ARABIC </w:instrText>
      </w:r>
      <w:r w:rsidR="003972D8" w:rsidRPr="008F4DC5">
        <w:fldChar w:fldCharType="separate"/>
      </w:r>
      <w:r w:rsidR="00413FFE">
        <w:rPr>
          <w:noProof/>
        </w:rPr>
        <w:t>35</w:t>
      </w:r>
      <w:r w:rsidR="003972D8" w:rsidRPr="008F4DC5">
        <w:fldChar w:fldCharType="end"/>
      </w:r>
      <w:r w:rsidRPr="008F4DC5">
        <w:t>.</w:t>
      </w:r>
      <w:r w:rsidR="001C2FD4" w:rsidRPr="008F4DC5">
        <w:t xml:space="preserve"> Łazienki w mieszkaniach komunalnych – budynki gminne</w:t>
      </w:r>
      <w:bookmarkEnd w:id="7768"/>
    </w:p>
    <w:p w:rsidR="001C2FD4" w:rsidRDefault="0043168D" w:rsidP="00A37F92">
      <w:pPr>
        <w:jc w:val="center"/>
        <w:rPr>
          <w:rFonts w:eastAsia="Calibri"/>
        </w:rPr>
      </w:pPr>
      <w:r>
        <w:rPr>
          <w:rFonts w:eastAsia="Calibri"/>
          <w:noProof/>
        </w:rPr>
        <w:drawing>
          <wp:inline distT="0" distB="0" distL="0" distR="0">
            <wp:extent cx="5400000" cy="3728074"/>
            <wp:effectExtent l="19050" t="0" r="0" b="0"/>
            <wp:docPr id="34" name="Obraz 4" descr="C:\Users\TT\Dropbox\irm-bytom-mapy\wydruki\uzupelnienie\801-3gm Łazienka w mieszkaniach komunalnych (własność gmin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C:\Users\TT\Dropbox\irm-bytom-mapy\wydruki\uzupelnienie\801-3gm Łazienka w mieszkaniach komunalnych (własność gminy).png"/>
                    <pic:cNvPicPr>
                      <a:picLocks noChangeAspect="1" noChangeArrowheads="1"/>
                    </pic:cNvPicPr>
                  </pic:nvPicPr>
                  <pic:blipFill>
                    <a:blip r:embed="rId59" cstate="print"/>
                    <a:srcRect b="2342"/>
                    <a:stretch>
                      <a:fillRect/>
                    </a:stretch>
                  </pic:blipFill>
                  <pic:spPr bwMode="auto">
                    <a:xfrm>
                      <a:off x="0" y="0"/>
                      <a:ext cx="5400000" cy="3728074"/>
                    </a:xfrm>
                    <a:prstGeom prst="rect">
                      <a:avLst/>
                    </a:prstGeom>
                    <a:noFill/>
                    <a:ln w="9525">
                      <a:noFill/>
                      <a:miter lim="800000"/>
                      <a:headEnd/>
                      <a:tailEnd/>
                    </a:ln>
                  </pic:spPr>
                </pic:pic>
              </a:graphicData>
            </a:graphic>
          </wp:inline>
        </w:drawing>
      </w:r>
    </w:p>
    <w:p w:rsidR="00804BD2" w:rsidRPr="005F27F5" w:rsidRDefault="00804BD2" w:rsidP="00804BD2">
      <w:pPr>
        <w:autoSpaceDE w:val="0"/>
        <w:autoSpaceDN w:val="0"/>
        <w:adjustRightInd w:val="0"/>
        <w:rPr>
          <w:rFonts w:eastAsia="Calibri" w:cs="ArialNarrow"/>
          <w:i/>
          <w:sz w:val="18"/>
          <w:szCs w:val="20"/>
        </w:rPr>
      </w:pPr>
      <w:r w:rsidRPr="005F27F5">
        <w:rPr>
          <w:rFonts w:eastAsia="Calibri" w:cs="ArialNarrow"/>
          <w:i/>
          <w:sz w:val="18"/>
          <w:szCs w:val="20"/>
        </w:rPr>
        <w:t xml:space="preserve">Źródło: Opracowanie </w:t>
      </w:r>
      <w:r>
        <w:rPr>
          <w:rFonts w:eastAsia="Calibri" w:cs="ArialNarrow"/>
          <w:i/>
          <w:sz w:val="18"/>
          <w:szCs w:val="20"/>
        </w:rPr>
        <w:t>Instytutu Rozwoju Miast</w:t>
      </w:r>
    </w:p>
    <w:p w:rsidR="001C2FD4" w:rsidRPr="00C80963" w:rsidRDefault="001C2FD4" w:rsidP="00915CFD">
      <w:pPr>
        <w:ind w:firstLine="708"/>
        <w:jc w:val="both"/>
        <w:rPr>
          <w:rFonts w:eastAsia="Calibri"/>
          <w:szCs w:val="20"/>
        </w:rPr>
      </w:pPr>
      <w:r w:rsidRPr="00C80963">
        <w:rPr>
          <w:rFonts w:eastAsia="Calibri"/>
          <w:szCs w:val="20"/>
        </w:rPr>
        <w:lastRenderedPageBreak/>
        <w:t xml:space="preserve">Analogiczną sytuację obserwujemy </w:t>
      </w:r>
      <w:r w:rsidR="008562CA">
        <w:rPr>
          <w:rFonts w:eastAsia="Calibri"/>
          <w:b/>
          <w:color w:val="C00000"/>
          <w:szCs w:val="20"/>
        </w:rPr>
        <w:t>pod względem wyposażenia w WC</w:t>
      </w:r>
      <w:r w:rsidRPr="008562CA">
        <w:rPr>
          <w:rFonts w:eastAsia="Calibri"/>
          <w:b/>
          <w:color w:val="C00000"/>
          <w:szCs w:val="20"/>
        </w:rPr>
        <w:t>, w które wyposażonych jest 87% mieszkań gminy w budynkach wspólnot, ale tylko połowa mieszkań w budynkach gminy</w:t>
      </w:r>
      <w:r w:rsidRPr="00C80963">
        <w:rPr>
          <w:rFonts w:eastAsia="Calibri"/>
          <w:szCs w:val="20"/>
        </w:rPr>
        <w:t xml:space="preserve">. Mapa ilustruje zróżnicowanie terytorialne pod tym względem. Ciemniejsze pola odpowiadają sytuacji, w której nawet tylko co dziesiąte mieszkanie posiada </w:t>
      </w:r>
      <w:r w:rsidR="0076628F">
        <w:rPr>
          <w:rFonts w:eastAsia="Calibri"/>
          <w:szCs w:val="20"/>
        </w:rPr>
        <w:t>WC</w:t>
      </w:r>
      <w:r w:rsidRPr="00C80963">
        <w:rPr>
          <w:rFonts w:eastAsia="Calibri"/>
          <w:szCs w:val="20"/>
        </w:rPr>
        <w:t>.</w:t>
      </w:r>
    </w:p>
    <w:p w:rsidR="00902EBA" w:rsidRPr="00915CFD" w:rsidRDefault="00902EBA" w:rsidP="00915CFD"/>
    <w:p w:rsidR="001C2FD4" w:rsidRPr="008F4DC5" w:rsidRDefault="008F4DC5" w:rsidP="001C2FD4">
      <w:pPr>
        <w:pStyle w:val="Legenda"/>
        <w:spacing w:line="312" w:lineRule="auto"/>
        <w:rPr>
          <w:rFonts w:eastAsia="Calibri"/>
          <w:szCs w:val="24"/>
        </w:rPr>
      </w:pPr>
      <w:bookmarkStart w:id="7769" w:name="_Toc191972648"/>
      <w:r w:rsidRPr="008F4DC5">
        <w:t xml:space="preserve">Mapa </w:t>
      </w:r>
      <w:r w:rsidR="003972D8" w:rsidRPr="008F4DC5">
        <w:fldChar w:fldCharType="begin"/>
      </w:r>
      <w:r w:rsidRPr="008F4DC5">
        <w:instrText xml:space="preserve"> SEQ Mapa \* ARABIC </w:instrText>
      </w:r>
      <w:r w:rsidR="003972D8" w:rsidRPr="008F4DC5">
        <w:fldChar w:fldCharType="separate"/>
      </w:r>
      <w:r w:rsidR="00413FFE">
        <w:rPr>
          <w:noProof/>
        </w:rPr>
        <w:t>36</w:t>
      </w:r>
      <w:r w:rsidR="003972D8" w:rsidRPr="008F4DC5">
        <w:fldChar w:fldCharType="end"/>
      </w:r>
      <w:r w:rsidRPr="008F4DC5">
        <w:t>.</w:t>
      </w:r>
      <w:r w:rsidR="001C2FD4" w:rsidRPr="008F4DC5">
        <w:t xml:space="preserve"> WC w mieszkaniach komunalnych – budynki gminne</w:t>
      </w:r>
      <w:bookmarkEnd w:id="7769"/>
    </w:p>
    <w:p w:rsidR="001C2FD4" w:rsidRDefault="0043168D" w:rsidP="001C2FD4">
      <w:pPr>
        <w:rPr>
          <w:rFonts w:eastAsia="Calibri"/>
        </w:rPr>
      </w:pPr>
      <w:r>
        <w:rPr>
          <w:rFonts w:eastAsia="Calibri"/>
          <w:noProof/>
        </w:rPr>
        <w:drawing>
          <wp:inline distT="0" distB="0" distL="0" distR="0">
            <wp:extent cx="5762625" cy="3981450"/>
            <wp:effectExtent l="19050" t="0" r="9525" b="0"/>
            <wp:docPr id="33" name="Obraz 5" descr="C:\Users\TT\Dropbox\irm-bytom-mapy\wydruki\uzupelnienie\802-3gm WC w mieszkaniach komunalnych (własność gmin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descr="C:\Users\TT\Dropbox\irm-bytom-mapy\wydruki\uzupelnienie\802-3gm WC w mieszkaniach komunalnych (własność gminy).png"/>
                    <pic:cNvPicPr>
                      <a:picLocks noChangeAspect="1" noChangeArrowheads="1"/>
                    </pic:cNvPicPr>
                  </pic:nvPicPr>
                  <pic:blipFill>
                    <a:blip r:embed="rId60" cstate="print"/>
                    <a:srcRect b="2336"/>
                    <a:stretch>
                      <a:fillRect/>
                    </a:stretch>
                  </pic:blipFill>
                  <pic:spPr bwMode="auto">
                    <a:xfrm>
                      <a:off x="0" y="0"/>
                      <a:ext cx="5762625" cy="3981450"/>
                    </a:xfrm>
                    <a:prstGeom prst="rect">
                      <a:avLst/>
                    </a:prstGeom>
                    <a:noFill/>
                    <a:ln w="9525">
                      <a:noFill/>
                      <a:miter lim="800000"/>
                      <a:headEnd/>
                      <a:tailEnd/>
                    </a:ln>
                  </pic:spPr>
                </pic:pic>
              </a:graphicData>
            </a:graphic>
          </wp:inline>
        </w:drawing>
      </w:r>
    </w:p>
    <w:p w:rsidR="00804BD2" w:rsidRPr="005F27F5" w:rsidRDefault="00804BD2" w:rsidP="00804BD2">
      <w:pPr>
        <w:autoSpaceDE w:val="0"/>
        <w:autoSpaceDN w:val="0"/>
        <w:adjustRightInd w:val="0"/>
        <w:rPr>
          <w:rFonts w:eastAsia="Calibri" w:cs="ArialNarrow"/>
          <w:i/>
          <w:sz w:val="18"/>
          <w:szCs w:val="20"/>
        </w:rPr>
      </w:pPr>
      <w:r w:rsidRPr="005F27F5">
        <w:rPr>
          <w:rFonts w:eastAsia="Calibri" w:cs="ArialNarrow"/>
          <w:i/>
          <w:sz w:val="18"/>
          <w:szCs w:val="20"/>
        </w:rPr>
        <w:t xml:space="preserve">Źródło: Opracowanie </w:t>
      </w:r>
      <w:r>
        <w:rPr>
          <w:rFonts w:eastAsia="Calibri" w:cs="ArialNarrow"/>
          <w:i/>
          <w:sz w:val="18"/>
          <w:szCs w:val="20"/>
        </w:rPr>
        <w:t>Instytutu Rozwoju Miast</w:t>
      </w:r>
    </w:p>
    <w:p w:rsidR="001C2FD4" w:rsidRDefault="001C2FD4" w:rsidP="001C2FD4">
      <w:pPr>
        <w:rPr>
          <w:rFonts w:eastAsia="Calibri"/>
        </w:rPr>
      </w:pPr>
    </w:p>
    <w:p w:rsidR="001C2FD4" w:rsidRDefault="001C2FD4" w:rsidP="00061817">
      <w:pPr>
        <w:ind w:firstLine="708"/>
        <w:jc w:val="both"/>
        <w:rPr>
          <w:rFonts w:eastAsia="Calibri"/>
          <w:szCs w:val="20"/>
        </w:rPr>
      </w:pPr>
      <w:r w:rsidRPr="008562CA">
        <w:rPr>
          <w:rFonts w:eastAsia="Calibri"/>
          <w:b/>
          <w:color w:val="C00000"/>
          <w:szCs w:val="20"/>
        </w:rPr>
        <w:t>Budynki komunalne nie posiadają</w:t>
      </w:r>
      <w:r w:rsidR="00EF4D00" w:rsidRPr="008562CA">
        <w:rPr>
          <w:rFonts w:eastAsia="Calibri"/>
          <w:b/>
          <w:color w:val="C00000"/>
          <w:szCs w:val="20"/>
        </w:rPr>
        <w:t xml:space="preserve"> </w:t>
      </w:r>
      <w:r w:rsidR="00EF4D00" w:rsidRPr="008562CA">
        <w:rPr>
          <w:b/>
          <w:color w:val="C00000"/>
          <w:szCs w:val="20"/>
        </w:rPr>
        <w:t>instalacji centralnej</w:t>
      </w:r>
      <w:r w:rsidRPr="008562CA">
        <w:rPr>
          <w:rFonts w:eastAsia="Calibri"/>
          <w:b/>
          <w:color w:val="C00000"/>
          <w:szCs w:val="20"/>
        </w:rPr>
        <w:t xml:space="preserve"> ciepłej wody</w:t>
      </w:r>
      <w:r w:rsidRPr="00C80963">
        <w:rPr>
          <w:rFonts w:eastAsia="Calibri"/>
          <w:szCs w:val="20"/>
        </w:rPr>
        <w:t xml:space="preserve"> (jedynie 161 lokali na ponad 13</w:t>
      </w:r>
      <w:r w:rsidR="00F705B3">
        <w:rPr>
          <w:rFonts w:eastAsia="Calibri"/>
          <w:szCs w:val="20"/>
        </w:rPr>
        <w:t> </w:t>
      </w:r>
      <w:r w:rsidRPr="00C80963">
        <w:rPr>
          <w:rFonts w:eastAsia="Calibri"/>
          <w:szCs w:val="20"/>
        </w:rPr>
        <w:t>tys. posiada ciepłą wodę). W</w:t>
      </w:r>
      <w:r w:rsidR="0013236B">
        <w:rPr>
          <w:rFonts w:eastAsia="Calibri"/>
          <w:szCs w:val="20"/>
        </w:rPr>
        <w:t> </w:t>
      </w:r>
      <w:r w:rsidRPr="00C80963">
        <w:rPr>
          <w:rFonts w:eastAsia="Calibri"/>
          <w:szCs w:val="20"/>
        </w:rPr>
        <w:t>tym wypadku nie ma różnicy między budynkami wspólnot mieszkaniowych a</w:t>
      </w:r>
      <w:r w:rsidR="004F5A39">
        <w:rPr>
          <w:rFonts w:eastAsia="Calibri"/>
          <w:szCs w:val="20"/>
        </w:rPr>
        <w:t> </w:t>
      </w:r>
      <w:r w:rsidRPr="00C80963">
        <w:rPr>
          <w:rFonts w:eastAsia="Calibri"/>
          <w:szCs w:val="20"/>
        </w:rPr>
        <w:t>budynkami gminy.</w:t>
      </w:r>
    </w:p>
    <w:p w:rsidR="00736665" w:rsidRPr="004F5A39" w:rsidRDefault="00736665" w:rsidP="00061817">
      <w:pPr>
        <w:pStyle w:val="Standard"/>
        <w:spacing w:after="0" w:line="240" w:lineRule="auto"/>
        <w:ind w:firstLine="708"/>
        <w:jc w:val="both"/>
        <w:rPr>
          <w:bCs/>
          <w:color w:val="auto"/>
        </w:rPr>
      </w:pPr>
      <w:r w:rsidRPr="004F5A39">
        <w:rPr>
          <w:bCs/>
          <w:color w:val="auto"/>
          <w:sz w:val="20"/>
          <w:szCs w:val="20"/>
        </w:rPr>
        <w:t xml:space="preserve">Budynki gminne w przeważającej większości posiadają ogrzewanie o niskiej sprawności energetycznej. Aż 95,5% budynków komunalnych posiada ogrzewanie piecowe węglowe. W </w:t>
      </w:r>
      <w:r w:rsidR="0076628F">
        <w:rPr>
          <w:bCs/>
          <w:color w:val="auto"/>
          <w:sz w:val="20"/>
          <w:szCs w:val="20"/>
        </w:rPr>
        <w:t>podobszarach centralnych</w:t>
      </w:r>
      <w:r w:rsidRPr="004F5A39">
        <w:rPr>
          <w:bCs/>
          <w:color w:val="auto"/>
          <w:sz w:val="20"/>
          <w:szCs w:val="20"/>
        </w:rPr>
        <w:t xml:space="preserve"> (tj.</w:t>
      </w:r>
      <w:r w:rsidR="00FD12C1">
        <w:rPr>
          <w:bCs/>
          <w:color w:val="auto"/>
          <w:sz w:val="20"/>
          <w:szCs w:val="20"/>
        </w:rPr>
        <w:t> </w:t>
      </w:r>
      <w:r w:rsidRPr="004F5A39">
        <w:rPr>
          <w:bCs/>
          <w:color w:val="auto"/>
          <w:sz w:val="20"/>
          <w:szCs w:val="20"/>
        </w:rPr>
        <w:t>w</w:t>
      </w:r>
      <w:r w:rsidR="00FD12C1">
        <w:rPr>
          <w:bCs/>
          <w:color w:val="auto"/>
          <w:sz w:val="20"/>
          <w:szCs w:val="20"/>
        </w:rPr>
        <w:t> </w:t>
      </w:r>
      <w:r w:rsidRPr="004F5A39">
        <w:rPr>
          <w:bCs/>
          <w:color w:val="auto"/>
          <w:sz w:val="20"/>
          <w:szCs w:val="20"/>
        </w:rPr>
        <w:t>podobszarze 10, 11, 12, 13) aż w 99% budynków komunaln</w:t>
      </w:r>
      <w:r w:rsidR="00FD12C1">
        <w:rPr>
          <w:bCs/>
          <w:color w:val="auto"/>
          <w:sz w:val="20"/>
          <w:szCs w:val="20"/>
        </w:rPr>
        <w:t>ych dominuje ogrzewanie węglowe</w:t>
      </w:r>
      <w:r w:rsidRPr="004F5A39">
        <w:rPr>
          <w:bCs/>
          <w:color w:val="auto"/>
          <w:sz w:val="20"/>
          <w:szCs w:val="20"/>
        </w:rPr>
        <w:t xml:space="preserve"> </w:t>
      </w:r>
      <w:r w:rsidR="00FD12C1">
        <w:rPr>
          <w:bCs/>
          <w:color w:val="auto"/>
          <w:sz w:val="20"/>
          <w:szCs w:val="20"/>
        </w:rPr>
        <w:t>(</w:t>
      </w:r>
      <w:r w:rsidRPr="004F5A39">
        <w:rPr>
          <w:bCs/>
          <w:color w:val="auto"/>
          <w:sz w:val="20"/>
          <w:szCs w:val="20"/>
        </w:rPr>
        <w:t>piece kaflowe opalane węglem kamiennym</w:t>
      </w:r>
      <w:r w:rsidR="00FD12C1">
        <w:rPr>
          <w:bCs/>
          <w:color w:val="auto"/>
          <w:sz w:val="20"/>
          <w:szCs w:val="20"/>
        </w:rPr>
        <w:t>)</w:t>
      </w:r>
      <w:r w:rsidRPr="004F5A39">
        <w:rPr>
          <w:bCs/>
          <w:color w:val="auto"/>
          <w:sz w:val="20"/>
          <w:szCs w:val="20"/>
        </w:rPr>
        <w:t>. W podobszarze rewitalizacji nr 8 tj. Bobrek, aż 98% budynków posiada nie</w:t>
      </w:r>
      <w:r w:rsidR="00F14517" w:rsidRPr="004F5A39">
        <w:rPr>
          <w:bCs/>
          <w:color w:val="auto"/>
          <w:sz w:val="20"/>
          <w:szCs w:val="20"/>
        </w:rPr>
        <w:t>e</w:t>
      </w:r>
      <w:r w:rsidRPr="004F5A39">
        <w:rPr>
          <w:bCs/>
          <w:color w:val="auto"/>
          <w:sz w:val="20"/>
          <w:szCs w:val="20"/>
        </w:rPr>
        <w:t>fektywne źródło energii ciepl</w:t>
      </w:r>
      <w:r w:rsidR="005B5E91">
        <w:rPr>
          <w:bCs/>
          <w:color w:val="auto"/>
          <w:sz w:val="20"/>
          <w:szCs w:val="20"/>
        </w:rPr>
        <w:t>n</w:t>
      </w:r>
      <w:r w:rsidRPr="004F5A39">
        <w:rPr>
          <w:bCs/>
          <w:color w:val="auto"/>
          <w:sz w:val="20"/>
          <w:szCs w:val="20"/>
        </w:rPr>
        <w:t>ej. W odniesieniu do podobszaru nr</w:t>
      </w:r>
      <w:r w:rsidR="00C326B8">
        <w:rPr>
          <w:bCs/>
          <w:color w:val="auto"/>
          <w:sz w:val="20"/>
          <w:szCs w:val="20"/>
        </w:rPr>
        <w:t> </w:t>
      </w:r>
      <w:r w:rsidRPr="004F5A39">
        <w:rPr>
          <w:bCs/>
          <w:color w:val="auto"/>
          <w:sz w:val="20"/>
          <w:szCs w:val="20"/>
        </w:rPr>
        <w:t>19 Kolonia Zgorzelec na 24 budynki własności Gminy Bytom tylko 4 posiadają efektywne źródła ogrzewania (wspólny kocioł gazowy umieszc</w:t>
      </w:r>
      <w:r w:rsidR="008562CA">
        <w:rPr>
          <w:bCs/>
          <w:color w:val="auto"/>
          <w:sz w:val="20"/>
          <w:szCs w:val="20"/>
        </w:rPr>
        <w:t>z</w:t>
      </w:r>
      <w:r w:rsidRPr="004F5A39">
        <w:rPr>
          <w:bCs/>
          <w:color w:val="auto"/>
          <w:sz w:val="20"/>
          <w:szCs w:val="20"/>
        </w:rPr>
        <w:t>ony w</w:t>
      </w:r>
      <w:r w:rsidR="0076628F">
        <w:rPr>
          <w:bCs/>
          <w:color w:val="auto"/>
          <w:sz w:val="20"/>
          <w:szCs w:val="20"/>
        </w:rPr>
        <w:t> </w:t>
      </w:r>
      <w:r w:rsidRPr="004F5A39">
        <w:rPr>
          <w:bCs/>
          <w:color w:val="auto"/>
          <w:sz w:val="20"/>
          <w:szCs w:val="20"/>
        </w:rPr>
        <w:t xml:space="preserve">piwnicy) tj. 16%. </w:t>
      </w:r>
    </w:p>
    <w:p w:rsidR="00D92BA0" w:rsidRPr="00FD12C1" w:rsidRDefault="00D92BA0" w:rsidP="00061817">
      <w:pPr>
        <w:pStyle w:val="Standard"/>
        <w:spacing w:line="240" w:lineRule="auto"/>
        <w:ind w:firstLine="708"/>
        <w:jc w:val="both"/>
        <w:rPr>
          <w:rFonts w:asciiTheme="minorHAnsi" w:hAnsiTheme="minorHAnsi"/>
          <w:b/>
          <w:color w:val="C00000"/>
          <w:sz w:val="20"/>
          <w:szCs w:val="20"/>
        </w:rPr>
      </w:pPr>
      <w:r w:rsidRPr="00CA781B">
        <w:rPr>
          <w:rFonts w:asciiTheme="minorHAnsi" w:hAnsiTheme="minorHAnsi"/>
          <w:color w:val="000000"/>
          <w:kern w:val="0"/>
          <w:sz w:val="20"/>
          <w:szCs w:val="20"/>
        </w:rPr>
        <w:t xml:space="preserve">Wyposażenie budynków komunalnych w instalację gazową stanowi niejako bezpośrednie nawiązanie do wcześniej wymienionych nieefektywnych źródeł ogrzewania. </w:t>
      </w:r>
      <w:r w:rsidRPr="00FD12C1">
        <w:rPr>
          <w:rFonts w:asciiTheme="minorHAnsi" w:hAnsiTheme="minorHAnsi"/>
          <w:b/>
          <w:color w:val="C00000"/>
          <w:kern w:val="0"/>
          <w:sz w:val="20"/>
          <w:szCs w:val="20"/>
        </w:rPr>
        <w:t xml:space="preserve">Aż 55% wszystkich budynków gminnych nie posiada instalacji gazowej. Szczególnie widoczne to jest w podobszarze 8 (Bobrek), w których 100% budynków gminnych nie posiada instalacji gazowej i wykorzystuje do ogrzewania piece kaflowe zasilane węglem kamiennym. </w:t>
      </w:r>
      <w:r w:rsidRPr="00CA781B">
        <w:rPr>
          <w:rFonts w:asciiTheme="minorHAnsi" w:hAnsiTheme="minorHAnsi"/>
          <w:color w:val="000000"/>
          <w:kern w:val="0"/>
          <w:sz w:val="20"/>
          <w:szCs w:val="20"/>
        </w:rPr>
        <w:t>Podobne problemy można zaobserwować w podobszarze 19 (Kolonia Zgorzelec), na 24 budynki będące własnością gminy Bytom</w:t>
      </w:r>
      <w:r w:rsidRPr="004F5A39">
        <w:rPr>
          <w:rFonts w:asciiTheme="minorHAnsi" w:hAnsiTheme="minorHAnsi"/>
          <w:color w:val="auto"/>
          <w:kern w:val="0"/>
          <w:sz w:val="20"/>
          <w:szCs w:val="20"/>
        </w:rPr>
        <w:t xml:space="preserve">, </w:t>
      </w:r>
      <w:r w:rsidR="00BB32CD" w:rsidRPr="004F5A39">
        <w:rPr>
          <w:bCs/>
          <w:color w:val="auto"/>
          <w:sz w:val="20"/>
          <w:szCs w:val="20"/>
        </w:rPr>
        <w:t>84%</w:t>
      </w:r>
      <w:r w:rsidR="00BB32CD">
        <w:rPr>
          <w:b/>
          <w:bCs/>
          <w:color w:val="009900"/>
          <w:sz w:val="20"/>
          <w:szCs w:val="20"/>
        </w:rPr>
        <w:t xml:space="preserve"> </w:t>
      </w:r>
      <w:r w:rsidRPr="00CA781B">
        <w:rPr>
          <w:rFonts w:asciiTheme="minorHAnsi" w:hAnsiTheme="minorHAnsi"/>
          <w:color w:val="000000"/>
          <w:kern w:val="0"/>
          <w:sz w:val="20"/>
          <w:szCs w:val="20"/>
        </w:rPr>
        <w:t xml:space="preserve">nie posiada instalacji gazowej wykorzystując przy tym do ogrzewania niskosprawnościowe źródła ogrzewania. </w:t>
      </w:r>
      <w:r w:rsidRPr="00FD12C1">
        <w:rPr>
          <w:rFonts w:asciiTheme="minorHAnsi" w:hAnsiTheme="minorHAnsi"/>
          <w:b/>
          <w:color w:val="C00000"/>
          <w:kern w:val="0"/>
          <w:sz w:val="20"/>
          <w:szCs w:val="20"/>
        </w:rPr>
        <w:t xml:space="preserve">W </w:t>
      </w:r>
      <w:r w:rsidR="0076628F">
        <w:rPr>
          <w:rFonts w:asciiTheme="minorHAnsi" w:hAnsiTheme="minorHAnsi"/>
          <w:b/>
          <w:color w:val="C00000"/>
          <w:kern w:val="0"/>
          <w:sz w:val="20"/>
          <w:szCs w:val="20"/>
        </w:rPr>
        <w:t>podobszarach centralnych</w:t>
      </w:r>
      <w:r w:rsidRPr="00FD12C1">
        <w:rPr>
          <w:rFonts w:asciiTheme="minorHAnsi" w:hAnsiTheme="minorHAnsi"/>
          <w:b/>
          <w:color w:val="C00000"/>
          <w:kern w:val="0"/>
          <w:sz w:val="20"/>
          <w:szCs w:val="20"/>
        </w:rPr>
        <w:t xml:space="preserve"> (podobszary 10, 11, 12, 13) 21% budynków nie posiada instalacji gazowej.</w:t>
      </w:r>
    </w:p>
    <w:p w:rsidR="00246002" w:rsidRDefault="00D92BA0" w:rsidP="00061817">
      <w:pPr>
        <w:spacing w:after="120"/>
        <w:jc w:val="both"/>
        <w:rPr>
          <w:color w:val="000000"/>
          <w:szCs w:val="20"/>
        </w:rPr>
      </w:pPr>
      <w:r w:rsidRPr="00CA781B">
        <w:rPr>
          <w:color w:val="000000"/>
          <w:szCs w:val="20"/>
        </w:rPr>
        <w:lastRenderedPageBreak/>
        <w:t>Gazyfikacja ww. podobszarów spowoduje znaczne ograniczenie niskiej emisji, podniesie standard zabudowy jednocześnie zwiększając atrakcyjność dzielnicy.</w:t>
      </w:r>
    </w:p>
    <w:p w:rsidR="001C2FD4" w:rsidRPr="00061817" w:rsidRDefault="001C2FD4" w:rsidP="00061817">
      <w:pPr>
        <w:jc w:val="both"/>
        <w:rPr>
          <w:rFonts w:eastAsia="Calibri"/>
          <w:b/>
          <w:szCs w:val="20"/>
        </w:rPr>
      </w:pPr>
      <w:r w:rsidRPr="00061817">
        <w:rPr>
          <w:rFonts w:eastAsia="Calibri"/>
          <w:b/>
          <w:szCs w:val="20"/>
        </w:rPr>
        <w:t xml:space="preserve">Stan techniczny budynków należących do gminy określany jest w Bytomiu w skali pięciostopniowej jako: </w:t>
      </w:r>
    </w:p>
    <w:p w:rsidR="001C2FD4" w:rsidRPr="00CA781B" w:rsidRDefault="001C2FD4" w:rsidP="004230D4">
      <w:pPr>
        <w:pStyle w:val="Akapitzlist"/>
        <w:numPr>
          <w:ilvl w:val="0"/>
          <w:numId w:val="49"/>
        </w:numPr>
        <w:spacing w:after="120" w:line="240" w:lineRule="auto"/>
        <w:ind w:left="714" w:hanging="357"/>
        <w:contextualSpacing/>
        <w:jc w:val="both"/>
        <w:rPr>
          <w:rFonts w:asciiTheme="minorHAnsi" w:hAnsiTheme="minorHAnsi"/>
          <w:sz w:val="20"/>
          <w:szCs w:val="20"/>
        </w:rPr>
      </w:pPr>
      <w:r w:rsidRPr="00CA781B">
        <w:rPr>
          <w:rFonts w:asciiTheme="minorHAnsi" w:hAnsiTheme="minorHAnsi"/>
          <w:sz w:val="20"/>
          <w:szCs w:val="20"/>
        </w:rPr>
        <w:t>bardzo dobry (5 budynków),</w:t>
      </w:r>
    </w:p>
    <w:p w:rsidR="001C2FD4" w:rsidRPr="00CA781B" w:rsidRDefault="001C2FD4" w:rsidP="004230D4">
      <w:pPr>
        <w:pStyle w:val="Akapitzlist"/>
        <w:numPr>
          <w:ilvl w:val="0"/>
          <w:numId w:val="49"/>
        </w:numPr>
        <w:spacing w:after="120" w:line="240" w:lineRule="auto"/>
        <w:ind w:left="714" w:hanging="357"/>
        <w:contextualSpacing/>
        <w:jc w:val="both"/>
        <w:rPr>
          <w:rFonts w:asciiTheme="minorHAnsi" w:hAnsiTheme="minorHAnsi"/>
          <w:sz w:val="20"/>
          <w:szCs w:val="20"/>
        </w:rPr>
      </w:pPr>
      <w:r w:rsidRPr="00CA781B">
        <w:rPr>
          <w:rFonts w:asciiTheme="minorHAnsi" w:hAnsiTheme="minorHAnsi"/>
          <w:sz w:val="20"/>
          <w:szCs w:val="20"/>
        </w:rPr>
        <w:t>dobry (12 budynków),</w:t>
      </w:r>
    </w:p>
    <w:p w:rsidR="001C2FD4" w:rsidRPr="00CA781B" w:rsidRDefault="001C2FD4" w:rsidP="004230D4">
      <w:pPr>
        <w:pStyle w:val="Akapitzlist"/>
        <w:numPr>
          <w:ilvl w:val="0"/>
          <w:numId w:val="49"/>
        </w:numPr>
        <w:spacing w:after="120" w:line="240" w:lineRule="auto"/>
        <w:ind w:left="714" w:hanging="357"/>
        <w:contextualSpacing/>
        <w:jc w:val="both"/>
        <w:rPr>
          <w:rFonts w:asciiTheme="minorHAnsi" w:hAnsiTheme="minorHAnsi"/>
          <w:sz w:val="20"/>
          <w:szCs w:val="20"/>
        </w:rPr>
      </w:pPr>
      <w:r w:rsidRPr="00CA781B">
        <w:rPr>
          <w:rFonts w:asciiTheme="minorHAnsi" w:hAnsiTheme="minorHAnsi"/>
          <w:sz w:val="20"/>
          <w:szCs w:val="20"/>
        </w:rPr>
        <w:t>zadowalający (526 budynków),</w:t>
      </w:r>
    </w:p>
    <w:p w:rsidR="001C2FD4" w:rsidRPr="00CA781B" w:rsidRDefault="001C2FD4" w:rsidP="004230D4">
      <w:pPr>
        <w:pStyle w:val="Akapitzlist"/>
        <w:numPr>
          <w:ilvl w:val="0"/>
          <w:numId w:val="49"/>
        </w:numPr>
        <w:spacing w:after="120" w:line="240" w:lineRule="auto"/>
        <w:ind w:left="714" w:hanging="357"/>
        <w:contextualSpacing/>
        <w:jc w:val="both"/>
        <w:rPr>
          <w:rFonts w:asciiTheme="minorHAnsi" w:hAnsiTheme="minorHAnsi"/>
          <w:sz w:val="20"/>
          <w:szCs w:val="20"/>
        </w:rPr>
      </w:pPr>
      <w:r w:rsidRPr="00CA781B">
        <w:rPr>
          <w:rFonts w:asciiTheme="minorHAnsi" w:hAnsiTheme="minorHAnsi"/>
          <w:sz w:val="20"/>
          <w:szCs w:val="20"/>
        </w:rPr>
        <w:t>zły (92 budynki),</w:t>
      </w:r>
    </w:p>
    <w:p w:rsidR="001C2FD4" w:rsidRDefault="001C2FD4" w:rsidP="00276FF9">
      <w:pPr>
        <w:pStyle w:val="Akapitzlist"/>
        <w:numPr>
          <w:ilvl w:val="0"/>
          <w:numId w:val="49"/>
        </w:numPr>
        <w:spacing w:after="0" w:line="240" w:lineRule="auto"/>
        <w:ind w:left="714" w:hanging="357"/>
        <w:contextualSpacing/>
        <w:jc w:val="both"/>
        <w:rPr>
          <w:rFonts w:asciiTheme="minorHAnsi" w:hAnsiTheme="minorHAnsi"/>
          <w:sz w:val="20"/>
          <w:szCs w:val="20"/>
        </w:rPr>
      </w:pPr>
      <w:r w:rsidRPr="00CA781B">
        <w:rPr>
          <w:rFonts w:asciiTheme="minorHAnsi" w:hAnsiTheme="minorHAnsi"/>
          <w:sz w:val="20"/>
          <w:szCs w:val="20"/>
        </w:rPr>
        <w:t>bardzo zły (43 budynki)</w:t>
      </w:r>
      <w:r w:rsidRPr="00CA781B">
        <w:rPr>
          <w:rStyle w:val="Odwoanieprzypisudolnego"/>
          <w:rFonts w:asciiTheme="minorHAnsi" w:hAnsiTheme="minorHAnsi"/>
          <w:sz w:val="20"/>
          <w:szCs w:val="20"/>
        </w:rPr>
        <w:footnoteReference w:id="34"/>
      </w:r>
      <w:r w:rsidRPr="00CA781B">
        <w:rPr>
          <w:rFonts w:asciiTheme="minorHAnsi" w:hAnsiTheme="minorHAnsi"/>
          <w:sz w:val="20"/>
          <w:szCs w:val="20"/>
        </w:rPr>
        <w:t>.</w:t>
      </w:r>
    </w:p>
    <w:p w:rsidR="00246002" w:rsidRDefault="00246002" w:rsidP="00246002">
      <w:pPr>
        <w:contextualSpacing/>
        <w:jc w:val="both"/>
        <w:rPr>
          <w:szCs w:val="20"/>
        </w:rPr>
      </w:pPr>
    </w:p>
    <w:p w:rsidR="00246002" w:rsidRDefault="00246002" w:rsidP="00246002">
      <w:pPr>
        <w:pStyle w:val="Legenda"/>
        <w:spacing w:line="312" w:lineRule="auto"/>
        <w:rPr>
          <w:rFonts w:ascii="Calibri" w:hAnsi="Calibri" w:cs="Calibri"/>
        </w:rPr>
      </w:pPr>
      <w:bookmarkStart w:id="7770" w:name="_Toc202771115"/>
      <w:r>
        <w:rPr>
          <w:rFonts w:ascii="Calibri" w:hAnsi="Calibri" w:cs="Calibri"/>
        </w:rPr>
        <w:t xml:space="preserve">Tabela </w:t>
      </w:r>
      <w:r w:rsidR="003972D8">
        <w:rPr>
          <w:rFonts w:ascii="Calibri" w:hAnsi="Calibri" w:cs="Calibri"/>
        </w:rPr>
        <w:fldChar w:fldCharType="begin"/>
      </w:r>
      <w:r>
        <w:rPr>
          <w:rFonts w:ascii="Calibri" w:hAnsi="Calibri" w:cs="Calibri"/>
        </w:rPr>
        <w:instrText xml:space="preserve"> SEQ Tabela \* ARABIC </w:instrText>
      </w:r>
      <w:r w:rsidR="003972D8">
        <w:rPr>
          <w:rFonts w:ascii="Calibri" w:hAnsi="Calibri" w:cs="Calibri"/>
        </w:rPr>
        <w:fldChar w:fldCharType="separate"/>
      </w:r>
      <w:r w:rsidR="00413FFE">
        <w:rPr>
          <w:rFonts w:ascii="Calibri" w:hAnsi="Calibri" w:cs="Calibri"/>
          <w:noProof/>
        </w:rPr>
        <w:t>21</w:t>
      </w:r>
      <w:r w:rsidR="003972D8">
        <w:rPr>
          <w:rFonts w:ascii="Calibri" w:hAnsi="Calibri" w:cs="Calibri"/>
        </w:rPr>
        <w:fldChar w:fldCharType="end"/>
      </w:r>
      <w:r>
        <w:rPr>
          <w:rFonts w:ascii="Calibri" w:hAnsi="Calibri" w:cs="Calibri"/>
        </w:rPr>
        <w:t xml:space="preserve">. Kryteria oceny i klasyfikacji technicznej stanu zużycia technicznego </w:t>
      </w:r>
      <w:r w:rsidR="001015B7">
        <w:rPr>
          <w:rFonts w:ascii="Calibri" w:hAnsi="Calibri" w:cs="Calibri"/>
        </w:rPr>
        <w:t>elementów budynku</w:t>
      </w:r>
      <w:bookmarkEnd w:id="7770"/>
      <w:r>
        <w:rPr>
          <w:rFonts w:ascii="Calibri" w:hAnsi="Calibri" w:cs="Calibri"/>
        </w:rPr>
        <w:t xml:space="preserve"> </w:t>
      </w:r>
    </w:p>
    <w:tbl>
      <w:tblPr>
        <w:tblW w:w="907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tblPr>
      <w:tblGrid>
        <w:gridCol w:w="1843"/>
        <w:gridCol w:w="1985"/>
        <w:gridCol w:w="5242"/>
      </w:tblGrid>
      <w:tr w:rsidR="00D92BA0" w:rsidRPr="001015B7" w:rsidTr="00A839D9">
        <w:tc>
          <w:tcPr>
            <w:tcW w:w="1843" w:type="dxa"/>
            <w:shd w:val="clear" w:color="auto" w:fill="99CCFF"/>
            <w:tcMar>
              <w:top w:w="55" w:type="dxa"/>
              <w:left w:w="55" w:type="dxa"/>
              <w:bottom w:w="55" w:type="dxa"/>
              <w:right w:w="55" w:type="dxa"/>
            </w:tcMar>
            <w:vAlign w:val="center"/>
          </w:tcPr>
          <w:p w:rsidR="00D92BA0" w:rsidRPr="001015B7" w:rsidRDefault="00D92BA0" w:rsidP="00A839D9">
            <w:pPr>
              <w:pStyle w:val="TableContents"/>
              <w:spacing w:after="0" w:line="240" w:lineRule="auto"/>
              <w:jc w:val="center"/>
              <w:rPr>
                <w:b/>
                <w:sz w:val="20"/>
                <w:szCs w:val="20"/>
              </w:rPr>
            </w:pPr>
            <w:r w:rsidRPr="001015B7">
              <w:rPr>
                <w:b/>
                <w:sz w:val="20"/>
                <w:szCs w:val="20"/>
              </w:rPr>
              <w:t>Klasyfikacja stanu technicznego</w:t>
            </w:r>
          </w:p>
        </w:tc>
        <w:tc>
          <w:tcPr>
            <w:tcW w:w="1985" w:type="dxa"/>
            <w:shd w:val="clear" w:color="auto" w:fill="99CCFF"/>
            <w:tcMar>
              <w:top w:w="55" w:type="dxa"/>
              <w:left w:w="55" w:type="dxa"/>
              <w:bottom w:w="55" w:type="dxa"/>
              <w:right w:w="55" w:type="dxa"/>
            </w:tcMar>
            <w:vAlign w:val="center"/>
          </w:tcPr>
          <w:p w:rsidR="00D92BA0" w:rsidRPr="001015B7" w:rsidRDefault="00D92BA0" w:rsidP="00A839D9">
            <w:pPr>
              <w:pStyle w:val="TableContents"/>
              <w:spacing w:after="0" w:line="240" w:lineRule="auto"/>
              <w:jc w:val="center"/>
              <w:rPr>
                <w:b/>
                <w:sz w:val="20"/>
                <w:szCs w:val="20"/>
              </w:rPr>
            </w:pPr>
            <w:r w:rsidRPr="001015B7">
              <w:rPr>
                <w:b/>
                <w:sz w:val="20"/>
                <w:szCs w:val="20"/>
              </w:rPr>
              <w:t>Procentowe zużycie elementów</w:t>
            </w:r>
          </w:p>
        </w:tc>
        <w:tc>
          <w:tcPr>
            <w:tcW w:w="5242" w:type="dxa"/>
            <w:shd w:val="clear" w:color="auto" w:fill="99CCFF"/>
            <w:tcMar>
              <w:top w:w="55" w:type="dxa"/>
              <w:left w:w="55" w:type="dxa"/>
              <w:bottom w:w="55" w:type="dxa"/>
              <w:right w:w="55" w:type="dxa"/>
            </w:tcMar>
            <w:vAlign w:val="center"/>
          </w:tcPr>
          <w:p w:rsidR="00D92BA0" w:rsidRPr="001015B7" w:rsidRDefault="00D92BA0" w:rsidP="00A839D9">
            <w:pPr>
              <w:pStyle w:val="TableContents"/>
              <w:spacing w:after="0" w:line="240" w:lineRule="auto"/>
              <w:jc w:val="center"/>
              <w:rPr>
                <w:b/>
                <w:sz w:val="20"/>
                <w:szCs w:val="20"/>
              </w:rPr>
            </w:pPr>
            <w:r w:rsidRPr="001015B7">
              <w:rPr>
                <w:b/>
                <w:sz w:val="20"/>
                <w:szCs w:val="20"/>
              </w:rPr>
              <w:t>Kryterium oceny</w:t>
            </w:r>
          </w:p>
        </w:tc>
      </w:tr>
      <w:tr w:rsidR="00D92BA0" w:rsidTr="001015B7">
        <w:tc>
          <w:tcPr>
            <w:tcW w:w="1843" w:type="dxa"/>
            <w:tcMar>
              <w:top w:w="55" w:type="dxa"/>
              <w:left w:w="55" w:type="dxa"/>
              <w:bottom w:w="55" w:type="dxa"/>
              <w:right w:w="55" w:type="dxa"/>
            </w:tcMar>
            <w:vAlign w:val="center"/>
          </w:tcPr>
          <w:p w:rsidR="00D92BA0" w:rsidRPr="00A62888" w:rsidRDefault="00D92BA0" w:rsidP="00276FF9">
            <w:pPr>
              <w:pStyle w:val="TableContents"/>
              <w:spacing w:after="0" w:line="228" w:lineRule="auto"/>
              <w:rPr>
                <w:b/>
                <w:sz w:val="20"/>
                <w:szCs w:val="20"/>
              </w:rPr>
            </w:pPr>
            <w:r w:rsidRPr="00A62888">
              <w:rPr>
                <w:b/>
                <w:sz w:val="20"/>
                <w:szCs w:val="20"/>
              </w:rPr>
              <w:t>bardzo dobry</w:t>
            </w:r>
          </w:p>
        </w:tc>
        <w:tc>
          <w:tcPr>
            <w:tcW w:w="1985" w:type="dxa"/>
            <w:tcMar>
              <w:top w:w="55" w:type="dxa"/>
              <w:left w:w="55" w:type="dxa"/>
              <w:bottom w:w="55" w:type="dxa"/>
              <w:right w:w="55" w:type="dxa"/>
            </w:tcMar>
            <w:vAlign w:val="center"/>
          </w:tcPr>
          <w:p w:rsidR="00D92BA0" w:rsidRDefault="00D92BA0" w:rsidP="00276FF9">
            <w:pPr>
              <w:pStyle w:val="TableContents"/>
              <w:spacing w:after="0" w:line="228" w:lineRule="auto"/>
              <w:jc w:val="center"/>
              <w:rPr>
                <w:sz w:val="20"/>
                <w:szCs w:val="20"/>
              </w:rPr>
            </w:pPr>
            <w:r>
              <w:rPr>
                <w:sz w:val="20"/>
                <w:szCs w:val="20"/>
              </w:rPr>
              <w:t>do 15</w:t>
            </w:r>
            <w:r w:rsidR="001015B7">
              <w:rPr>
                <w:sz w:val="20"/>
                <w:szCs w:val="20"/>
              </w:rPr>
              <w:t>%</w:t>
            </w:r>
          </w:p>
        </w:tc>
        <w:tc>
          <w:tcPr>
            <w:tcW w:w="5242" w:type="dxa"/>
            <w:tcMar>
              <w:top w:w="55" w:type="dxa"/>
              <w:left w:w="55" w:type="dxa"/>
              <w:bottom w:w="55" w:type="dxa"/>
              <w:right w:w="55" w:type="dxa"/>
            </w:tcMar>
            <w:vAlign w:val="center"/>
          </w:tcPr>
          <w:p w:rsidR="00D92BA0" w:rsidRDefault="00D92BA0" w:rsidP="003874CA">
            <w:pPr>
              <w:pStyle w:val="TableContents"/>
              <w:spacing w:after="0" w:line="228" w:lineRule="auto"/>
              <w:jc w:val="both"/>
              <w:rPr>
                <w:sz w:val="20"/>
                <w:szCs w:val="20"/>
              </w:rPr>
            </w:pPr>
            <w:r>
              <w:rPr>
                <w:sz w:val="20"/>
                <w:szCs w:val="20"/>
              </w:rPr>
              <w:t>Elementy budynku utrzymane są w stanie bardzo dobrym. Nie</w:t>
            </w:r>
            <w:r w:rsidR="00B51BB9">
              <w:rPr>
                <w:sz w:val="20"/>
                <w:szCs w:val="20"/>
              </w:rPr>
              <w:t> </w:t>
            </w:r>
            <w:r>
              <w:rPr>
                <w:sz w:val="20"/>
                <w:szCs w:val="20"/>
              </w:rPr>
              <w:t>wykazują zużycia technicznego.</w:t>
            </w:r>
          </w:p>
        </w:tc>
      </w:tr>
      <w:tr w:rsidR="00D92BA0" w:rsidTr="001015B7">
        <w:tc>
          <w:tcPr>
            <w:tcW w:w="1843" w:type="dxa"/>
            <w:tcMar>
              <w:top w:w="55" w:type="dxa"/>
              <w:left w:w="55" w:type="dxa"/>
              <w:bottom w:w="55" w:type="dxa"/>
              <w:right w:w="55" w:type="dxa"/>
            </w:tcMar>
            <w:vAlign w:val="center"/>
          </w:tcPr>
          <w:p w:rsidR="00D92BA0" w:rsidRPr="00A62888" w:rsidRDefault="00D92BA0" w:rsidP="00276FF9">
            <w:pPr>
              <w:pStyle w:val="TableContents"/>
              <w:spacing w:after="0" w:line="228" w:lineRule="auto"/>
              <w:rPr>
                <w:b/>
                <w:sz w:val="20"/>
                <w:szCs w:val="20"/>
              </w:rPr>
            </w:pPr>
            <w:r w:rsidRPr="00A62888">
              <w:rPr>
                <w:b/>
                <w:sz w:val="20"/>
                <w:szCs w:val="20"/>
              </w:rPr>
              <w:t>dobry</w:t>
            </w:r>
          </w:p>
        </w:tc>
        <w:tc>
          <w:tcPr>
            <w:tcW w:w="1985" w:type="dxa"/>
            <w:tcMar>
              <w:top w:w="55" w:type="dxa"/>
              <w:left w:w="55" w:type="dxa"/>
              <w:bottom w:w="55" w:type="dxa"/>
              <w:right w:w="55" w:type="dxa"/>
            </w:tcMar>
            <w:vAlign w:val="center"/>
          </w:tcPr>
          <w:p w:rsidR="00D92BA0" w:rsidRDefault="00D92BA0" w:rsidP="00276FF9">
            <w:pPr>
              <w:pStyle w:val="TableContents"/>
              <w:spacing w:after="0" w:line="228" w:lineRule="auto"/>
              <w:jc w:val="center"/>
              <w:rPr>
                <w:sz w:val="20"/>
                <w:szCs w:val="20"/>
              </w:rPr>
            </w:pPr>
            <w:r>
              <w:rPr>
                <w:sz w:val="20"/>
                <w:szCs w:val="20"/>
              </w:rPr>
              <w:t>16-30</w:t>
            </w:r>
            <w:r w:rsidR="001015B7">
              <w:rPr>
                <w:sz w:val="20"/>
                <w:szCs w:val="20"/>
              </w:rPr>
              <w:t>%</w:t>
            </w:r>
          </w:p>
        </w:tc>
        <w:tc>
          <w:tcPr>
            <w:tcW w:w="5242" w:type="dxa"/>
            <w:tcMar>
              <w:top w:w="55" w:type="dxa"/>
              <w:left w:w="55" w:type="dxa"/>
              <w:bottom w:w="55" w:type="dxa"/>
              <w:right w:w="55" w:type="dxa"/>
            </w:tcMar>
            <w:vAlign w:val="center"/>
          </w:tcPr>
          <w:p w:rsidR="00D92BA0" w:rsidRDefault="00D92BA0" w:rsidP="003874CA">
            <w:pPr>
              <w:pStyle w:val="TableContents"/>
              <w:spacing w:after="0" w:line="228" w:lineRule="auto"/>
              <w:jc w:val="both"/>
              <w:rPr>
                <w:sz w:val="20"/>
                <w:szCs w:val="20"/>
              </w:rPr>
            </w:pPr>
            <w:r>
              <w:rPr>
                <w:sz w:val="20"/>
                <w:szCs w:val="20"/>
              </w:rPr>
              <w:t>Elementy budynku utrzymane są w stanie dobrym. Wykazują jedynie niewielkie zużycie techniczne.</w:t>
            </w:r>
          </w:p>
        </w:tc>
      </w:tr>
      <w:tr w:rsidR="00D92BA0" w:rsidTr="001015B7">
        <w:tc>
          <w:tcPr>
            <w:tcW w:w="1843" w:type="dxa"/>
            <w:tcMar>
              <w:top w:w="55" w:type="dxa"/>
              <w:left w:w="55" w:type="dxa"/>
              <w:bottom w:w="55" w:type="dxa"/>
              <w:right w:w="55" w:type="dxa"/>
            </w:tcMar>
            <w:vAlign w:val="center"/>
          </w:tcPr>
          <w:p w:rsidR="00D92BA0" w:rsidRPr="00A62888" w:rsidRDefault="00D92BA0" w:rsidP="00276FF9">
            <w:pPr>
              <w:pStyle w:val="TableContents"/>
              <w:spacing w:after="0" w:line="228" w:lineRule="auto"/>
              <w:rPr>
                <w:b/>
                <w:sz w:val="20"/>
                <w:szCs w:val="20"/>
              </w:rPr>
            </w:pPr>
            <w:r w:rsidRPr="00A62888">
              <w:rPr>
                <w:b/>
                <w:sz w:val="20"/>
                <w:szCs w:val="20"/>
              </w:rPr>
              <w:t>zadowalający</w:t>
            </w:r>
          </w:p>
        </w:tc>
        <w:tc>
          <w:tcPr>
            <w:tcW w:w="1985" w:type="dxa"/>
            <w:tcMar>
              <w:top w:w="55" w:type="dxa"/>
              <w:left w:w="55" w:type="dxa"/>
              <w:bottom w:w="55" w:type="dxa"/>
              <w:right w:w="55" w:type="dxa"/>
            </w:tcMar>
            <w:vAlign w:val="center"/>
          </w:tcPr>
          <w:p w:rsidR="00D92BA0" w:rsidRDefault="00D92BA0" w:rsidP="00276FF9">
            <w:pPr>
              <w:pStyle w:val="TableContents"/>
              <w:spacing w:after="0" w:line="228" w:lineRule="auto"/>
              <w:jc w:val="center"/>
              <w:rPr>
                <w:sz w:val="20"/>
                <w:szCs w:val="20"/>
              </w:rPr>
            </w:pPr>
            <w:r>
              <w:rPr>
                <w:sz w:val="20"/>
                <w:szCs w:val="20"/>
              </w:rPr>
              <w:t>31-50</w:t>
            </w:r>
            <w:r w:rsidR="001015B7">
              <w:rPr>
                <w:sz w:val="20"/>
                <w:szCs w:val="20"/>
              </w:rPr>
              <w:t>%</w:t>
            </w:r>
          </w:p>
        </w:tc>
        <w:tc>
          <w:tcPr>
            <w:tcW w:w="5242" w:type="dxa"/>
            <w:tcMar>
              <w:top w:w="55" w:type="dxa"/>
              <w:left w:w="55" w:type="dxa"/>
              <w:bottom w:w="55" w:type="dxa"/>
              <w:right w:w="55" w:type="dxa"/>
            </w:tcMar>
            <w:vAlign w:val="center"/>
          </w:tcPr>
          <w:p w:rsidR="00D92BA0" w:rsidRDefault="00D92BA0" w:rsidP="003874CA">
            <w:pPr>
              <w:pStyle w:val="TableContents"/>
              <w:spacing w:after="0" w:line="228" w:lineRule="auto"/>
              <w:jc w:val="both"/>
              <w:rPr>
                <w:sz w:val="20"/>
                <w:szCs w:val="20"/>
              </w:rPr>
            </w:pPr>
            <w:r>
              <w:rPr>
                <w:sz w:val="20"/>
                <w:szCs w:val="20"/>
              </w:rPr>
              <w:t>Elementy budynku utrzymane są w należytym stanie technicznym. Celowa jest bieżąca konserwacja.</w:t>
            </w:r>
          </w:p>
        </w:tc>
      </w:tr>
      <w:tr w:rsidR="00D92BA0" w:rsidTr="001015B7">
        <w:tc>
          <w:tcPr>
            <w:tcW w:w="1843" w:type="dxa"/>
            <w:tcMar>
              <w:top w:w="55" w:type="dxa"/>
              <w:left w:w="55" w:type="dxa"/>
              <w:bottom w:w="55" w:type="dxa"/>
              <w:right w:w="55" w:type="dxa"/>
            </w:tcMar>
            <w:vAlign w:val="center"/>
          </w:tcPr>
          <w:p w:rsidR="00D92BA0" w:rsidRPr="00A62888" w:rsidRDefault="00D92BA0" w:rsidP="00276FF9">
            <w:pPr>
              <w:pStyle w:val="TableContents"/>
              <w:spacing w:after="0" w:line="228" w:lineRule="auto"/>
              <w:rPr>
                <w:b/>
                <w:sz w:val="20"/>
                <w:szCs w:val="20"/>
              </w:rPr>
            </w:pPr>
            <w:r w:rsidRPr="00A62888">
              <w:rPr>
                <w:b/>
                <w:sz w:val="20"/>
                <w:szCs w:val="20"/>
              </w:rPr>
              <w:t>zły</w:t>
            </w:r>
          </w:p>
        </w:tc>
        <w:tc>
          <w:tcPr>
            <w:tcW w:w="1985" w:type="dxa"/>
            <w:tcMar>
              <w:top w:w="55" w:type="dxa"/>
              <w:left w:w="55" w:type="dxa"/>
              <w:bottom w:w="55" w:type="dxa"/>
              <w:right w:w="55" w:type="dxa"/>
            </w:tcMar>
            <w:vAlign w:val="center"/>
          </w:tcPr>
          <w:p w:rsidR="00D92BA0" w:rsidRDefault="00D92BA0" w:rsidP="00276FF9">
            <w:pPr>
              <w:pStyle w:val="TableContents"/>
              <w:spacing w:after="0" w:line="228" w:lineRule="auto"/>
              <w:jc w:val="center"/>
              <w:rPr>
                <w:sz w:val="20"/>
                <w:szCs w:val="20"/>
              </w:rPr>
            </w:pPr>
            <w:r>
              <w:rPr>
                <w:sz w:val="20"/>
                <w:szCs w:val="20"/>
              </w:rPr>
              <w:t>51-70</w:t>
            </w:r>
            <w:r w:rsidR="001015B7">
              <w:rPr>
                <w:sz w:val="20"/>
                <w:szCs w:val="20"/>
              </w:rPr>
              <w:t>%</w:t>
            </w:r>
          </w:p>
        </w:tc>
        <w:tc>
          <w:tcPr>
            <w:tcW w:w="5242" w:type="dxa"/>
            <w:tcMar>
              <w:top w:w="55" w:type="dxa"/>
              <w:left w:w="55" w:type="dxa"/>
              <w:bottom w:w="55" w:type="dxa"/>
              <w:right w:w="55" w:type="dxa"/>
            </w:tcMar>
            <w:vAlign w:val="center"/>
          </w:tcPr>
          <w:p w:rsidR="00D92BA0" w:rsidRDefault="00D92BA0" w:rsidP="003874CA">
            <w:pPr>
              <w:pStyle w:val="TableContents"/>
              <w:spacing w:after="0" w:line="228" w:lineRule="auto"/>
              <w:jc w:val="both"/>
              <w:rPr>
                <w:sz w:val="20"/>
                <w:szCs w:val="20"/>
              </w:rPr>
            </w:pPr>
            <w:r>
              <w:rPr>
                <w:sz w:val="20"/>
                <w:szCs w:val="20"/>
              </w:rPr>
              <w:t>W elementach budynku występują znaczne uszkodzenia lub ubytki. Wymagana naprawa główna.</w:t>
            </w:r>
          </w:p>
        </w:tc>
      </w:tr>
      <w:tr w:rsidR="00D92BA0" w:rsidTr="001015B7">
        <w:tc>
          <w:tcPr>
            <w:tcW w:w="1843" w:type="dxa"/>
            <w:tcMar>
              <w:top w:w="55" w:type="dxa"/>
              <w:left w:w="55" w:type="dxa"/>
              <w:bottom w:w="55" w:type="dxa"/>
              <w:right w:w="55" w:type="dxa"/>
            </w:tcMar>
            <w:vAlign w:val="center"/>
          </w:tcPr>
          <w:p w:rsidR="00D92BA0" w:rsidRPr="00A62888" w:rsidRDefault="00D92BA0" w:rsidP="00276FF9">
            <w:pPr>
              <w:pStyle w:val="TableContents"/>
              <w:spacing w:after="0" w:line="228" w:lineRule="auto"/>
              <w:rPr>
                <w:b/>
                <w:sz w:val="20"/>
                <w:szCs w:val="20"/>
              </w:rPr>
            </w:pPr>
            <w:r w:rsidRPr="00A62888">
              <w:rPr>
                <w:b/>
                <w:sz w:val="20"/>
                <w:szCs w:val="20"/>
              </w:rPr>
              <w:t>bardzo zły</w:t>
            </w:r>
          </w:p>
        </w:tc>
        <w:tc>
          <w:tcPr>
            <w:tcW w:w="1985" w:type="dxa"/>
            <w:tcMar>
              <w:top w:w="55" w:type="dxa"/>
              <w:left w:w="55" w:type="dxa"/>
              <w:bottom w:w="55" w:type="dxa"/>
              <w:right w:w="55" w:type="dxa"/>
            </w:tcMar>
            <w:vAlign w:val="center"/>
          </w:tcPr>
          <w:p w:rsidR="00D92BA0" w:rsidRDefault="00D92BA0" w:rsidP="00276FF9">
            <w:pPr>
              <w:pStyle w:val="TableContents"/>
              <w:spacing w:after="0" w:line="228" w:lineRule="auto"/>
              <w:jc w:val="center"/>
              <w:rPr>
                <w:sz w:val="20"/>
                <w:szCs w:val="20"/>
              </w:rPr>
            </w:pPr>
            <w:r>
              <w:rPr>
                <w:sz w:val="20"/>
                <w:szCs w:val="20"/>
              </w:rPr>
              <w:t>powyżej 70</w:t>
            </w:r>
            <w:r w:rsidR="001015B7">
              <w:rPr>
                <w:sz w:val="20"/>
                <w:szCs w:val="20"/>
              </w:rPr>
              <w:t>%</w:t>
            </w:r>
          </w:p>
        </w:tc>
        <w:tc>
          <w:tcPr>
            <w:tcW w:w="5242" w:type="dxa"/>
            <w:tcMar>
              <w:top w:w="55" w:type="dxa"/>
              <w:left w:w="55" w:type="dxa"/>
              <w:bottom w:w="55" w:type="dxa"/>
              <w:right w:w="55" w:type="dxa"/>
            </w:tcMar>
            <w:vAlign w:val="center"/>
          </w:tcPr>
          <w:p w:rsidR="00D92BA0" w:rsidRDefault="00D92BA0" w:rsidP="003874CA">
            <w:pPr>
              <w:pStyle w:val="TableContents"/>
              <w:spacing w:after="0" w:line="228" w:lineRule="auto"/>
              <w:jc w:val="both"/>
              <w:rPr>
                <w:sz w:val="20"/>
                <w:szCs w:val="20"/>
              </w:rPr>
            </w:pPr>
            <w:r>
              <w:rPr>
                <w:sz w:val="20"/>
                <w:szCs w:val="20"/>
              </w:rPr>
              <w:t>Budynek wykazuje poważne uszkodzenia elementów konstrukcyjnych stwarzających zagrożenie dla zdrowia i życia. Budynek wyłączony z użytkowania.</w:t>
            </w:r>
          </w:p>
        </w:tc>
      </w:tr>
    </w:tbl>
    <w:p w:rsidR="009B5277" w:rsidRPr="00A739AE" w:rsidRDefault="00A739AE" w:rsidP="00A739AE">
      <w:pPr>
        <w:autoSpaceDE w:val="0"/>
        <w:autoSpaceDN w:val="0"/>
        <w:adjustRightInd w:val="0"/>
        <w:rPr>
          <w:rFonts w:eastAsia="Calibri" w:cs="ArialNarrow"/>
          <w:i/>
          <w:sz w:val="18"/>
          <w:szCs w:val="20"/>
        </w:rPr>
      </w:pPr>
      <w:r w:rsidRPr="001B0572">
        <w:rPr>
          <w:rFonts w:eastAsia="Calibri" w:cs="ArialNarrow"/>
          <w:i/>
          <w:sz w:val="18"/>
          <w:szCs w:val="20"/>
        </w:rPr>
        <w:t xml:space="preserve">Źródło: </w:t>
      </w:r>
      <w:r w:rsidR="00B77A37">
        <w:rPr>
          <w:rFonts w:eastAsia="Calibri" w:cs="ArialNarrow"/>
          <w:i/>
          <w:sz w:val="18"/>
          <w:szCs w:val="20"/>
        </w:rPr>
        <w:t>Bytomskie Mieszkania</w:t>
      </w:r>
      <w:r w:rsidRPr="001B0572">
        <w:rPr>
          <w:rFonts w:eastAsia="Calibri" w:cs="ArialNarrow"/>
          <w:i/>
          <w:sz w:val="18"/>
          <w:szCs w:val="20"/>
        </w:rPr>
        <w:t xml:space="preserve"> </w:t>
      </w:r>
    </w:p>
    <w:p w:rsidR="009B5277" w:rsidRDefault="009B5277">
      <w:pPr>
        <w:spacing w:after="120"/>
        <w:contextualSpacing/>
        <w:jc w:val="both"/>
        <w:rPr>
          <w:szCs w:val="20"/>
        </w:rPr>
      </w:pPr>
    </w:p>
    <w:p w:rsidR="001C2FD4" w:rsidRPr="00C80963" w:rsidRDefault="001C2FD4" w:rsidP="0013236B">
      <w:pPr>
        <w:jc w:val="both"/>
        <w:rPr>
          <w:rFonts w:eastAsia="Calibri"/>
          <w:szCs w:val="20"/>
        </w:rPr>
      </w:pPr>
      <w:r w:rsidRPr="00C80963">
        <w:rPr>
          <w:rFonts w:eastAsia="Calibri"/>
          <w:b/>
          <w:color w:val="C00000"/>
          <w:szCs w:val="20"/>
        </w:rPr>
        <w:t>Zwraca uwagę znikoma liczb</w:t>
      </w:r>
      <w:r w:rsidR="002A7995">
        <w:rPr>
          <w:rFonts w:eastAsia="Calibri"/>
          <w:b/>
          <w:color w:val="C00000"/>
          <w:szCs w:val="20"/>
        </w:rPr>
        <w:t>a</w:t>
      </w:r>
      <w:r w:rsidRPr="00C80963">
        <w:rPr>
          <w:rFonts w:eastAsia="Calibri"/>
          <w:b/>
          <w:color w:val="C00000"/>
          <w:szCs w:val="20"/>
        </w:rPr>
        <w:t xml:space="preserve"> budynków w stanie dobrym i bardzo dobrym.</w:t>
      </w:r>
      <w:r w:rsidRPr="00C80963">
        <w:rPr>
          <w:rFonts w:eastAsia="Calibri"/>
          <w:szCs w:val="20"/>
        </w:rPr>
        <w:t xml:space="preserve"> Stan większości budynków określono jako zadowalający. Tak duża liczebność tej kategorii skłania do wniosku, że zawiera ona bardzo dużą grupę budynków, o zróżnicowanych potrzebach remontowych. Brakuje w mieście bardziej precyzyjnego określenia stanu budynków. W tej sytuacji umieszczenie budynku w grupie „zły” lub „bardzo zły” należy traktować jako wyraz stanu zdecydowanie wymagającego pilnych działań.</w:t>
      </w:r>
    </w:p>
    <w:p w:rsidR="00D92BA0" w:rsidRDefault="001C2FD4" w:rsidP="0013236B">
      <w:pPr>
        <w:jc w:val="both"/>
        <w:rPr>
          <w:rFonts w:eastAsia="Calibri"/>
          <w:szCs w:val="20"/>
        </w:rPr>
      </w:pPr>
      <w:r w:rsidRPr="00C80963">
        <w:rPr>
          <w:rFonts w:eastAsia="Calibri"/>
          <w:b/>
          <w:color w:val="C00000"/>
          <w:szCs w:val="20"/>
        </w:rPr>
        <w:t>W złym lub bardzo złym stanie technicznym znajduje się co piąty budynek należący do gminy.</w:t>
      </w:r>
      <w:r w:rsidRPr="00C80963">
        <w:rPr>
          <w:rFonts w:eastAsia="Calibri"/>
          <w:szCs w:val="20"/>
        </w:rPr>
        <w:t xml:space="preserve"> W Kolonii Zgorzelec ponad 60% budynków należy do tej grupy. </w:t>
      </w:r>
      <w:r w:rsidR="00D92BA0" w:rsidRPr="00D92BA0">
        <w:rPr>
          <w:rFonts w:eastAsia="Calibri"/>
          <w:szCs w:val="20"/>
        </w:rPr>
        <w:t>Są to budynki wyłączone z użytkowania.</w:t>
      </w:r>
    </w:p>
    <w:p w:rsidR="000279BE" w:rsidRDefault="000279BE" w:rsidP="0013236B">
      <w:pPr>
        <w:jc w:val="both"/>
        <w:rPr>
          <w:rFonts w:eastAsia="Calibri"/>
          <w:szCs w:val="20"/>
        </w:rPr>
      </w:pPr>
    </w:p>
    <w:p w:rsidR="008F51A3" w:rsidRPr="008F51A3" w:rsidRDefault="008F51A3" w:rsidP="008F51A3">
      <w:pPr>
        <w:pStyle w:val="Legenda"/>
        <w:keepNext/>
        <w:spacing w:after="60"/>
      </w:pPr>
      <w:bookmarkStart w:id="7771" w:name="_Toc474924995"/>
      <w:r w:rsidRPr="008F51A3">
        <w:t xml:space="preserve">Ilustracja </w:t>
      </w:r>
      <w:r w:rsidR="003972D8" w:rsidRPr="008F51A3">
        <w:fldChar w:fldCharType="begin"/>
      </w:r>
      <w:r w:rsidRPr="008F51A3">
        <w:instrText xml:space="preserve"> SEQ Ilustracja \* ARABIC </w:instrText>
      </w:r>
      <w:r w:rsidR="003972D8" w:rsidRPr="008F51A3">
        <w:fldChar w:fldCharType="separate"/>
      </w:r>
      <w:r w:rsidR="00413FFE">
        <w:rPr>
          <w:noProof/>
        </w:rPr>
        <w:t>2</w:t>
      </w:r>
      <w:r w:rsidR="003972D8" w:rsidRPr="008F51A3">
        <w:fldChar w:fldCharType="end"/>
      </w:r>
      <w:r w:rsidRPr="008F51A3">
        <w:t>. Kolonia Zgorzelec 10, 11</w:t>
      </w:r>
      <w:bookmarkEnd w:id="7771"/>
    </w:p>
    <w:p w:rsidR="008F51A3" w:rsidRPr="008F51A3" w:rsidRDefault="008F51A3" w:rsidP="008F51A3">
      <w:r w:rsidRPr="008F51A3">
        <w:rPr>
          <w:noProof/>
        </w:rPr>
        <w:drawing>
          <wp:inline distT="0" distB="0" distL="0" distR="0">
            <wp:extent cx="5760720" cy="1623418"/>
            <wp:effectExtent l="19050" t="0" r="0" b="0"/>
            <wp:docPr id="7" name="Obraz 1"/>
            <wp:cNvGraphicFramePr/>
            <a:graphic xmlns:a="http://schemas.openxmlformats.org/drawingml/2006/main">
              <a:graphicData uri="http://schemas.openxmlformats.org/drawingml/2006/picture">
                <pic:pic xmlns:pic="http://schemas.openxmlformats.org/drawingml/2006/picture">
                  <pic:nvPicPr>
                    <pic:cNvPr id="1030" name="Picture 6"/>
                    <pic:cNvPicPr>
                      <a:picLocks noChangeAspect="1" noChangeArrowheads="1"/>
                    </pic:cNvPicPr>
                  </pic:nvPicPr>
                  <pic:blipFill>
                    <a:blip r:embed="rId61" cstate="print"/>
                    <a:srcRect/>
                    <a:stretch>
                      <a:fillRect/>
                    </a:stretch>
                  </pic:blipFill>
                  <pic:spPr bwMode="auto">
                    <a:xfrm>
                      <a:off x="0" y="0"/>
                      <a:ext cx="5760720" cy="1623418"/>
                    </a:xfrm>
                    <a:prstGeom prst="rect">
                      <a:avLst/>
                    </a:prstGeom>
                    <a:noFill/>
                    <a:ln w="9525">
                      <a:noFill/>
                      <a:miter lim="800000"/>
                      <a:headEnd/>
                      <a:tailEnd/>
                    </a:ln>
                    <a:effectLst/>
                  </pic:spPr>
                </pic:pic>
              </a:graphicData>
            </a:graphic>
          </wp:inline>
        </w:drawing>
      </w:r>
    </w:p>
    <w:p w:rsidR="008F51A3" w:rsidRPr="008F51A3" w:rsidRDefault="008F51A3" w:rsidP="008F51A3">
      <w:pPr>
        <w:rPr>
          <w:i/>
          <w:sz w:val="18"/>
          <w:szCs w:val="20"/>
        </w:rPr>
      </w:pPr>
      <w:r w:rsidRPr="008F51A3">
        <w:rPr>
          <w:i/>
          <w:sz w:val="18"/>
          <w:szCs w:val="20"/>
        </w:rPr>
        <w:t>Źródło: Bytomskie Mieszkania</w:t>
      </w:r>
    </w:p>
    <w:p w:rsidR="008F51A3" w:rsidRPr="008F51A3" w:rsidRDefault="008F51A3" w:rsidP="008F51A3">
      <w:pPr>
        <w:pStyle w:val="Legenda"/>
        <w:keepNext/>
        <w:spacing w:after="60"/>
      </w:pPr>
      <w:bookmarkStart w:id="7772" w:name="_Toc474924996"/>
      <w:r w:rsidRPr="008F51A3">
        <w:lastRenderedPageBreak/>
        <w:t xml:space="preserve">Ilustracja </w:t>
      </w:r>
      <w:r w:rsidR="003972D8" w:rsidRPr="008F51A3">
        <w:fldChar w:fldCharType="begin"/>
      </w:r>
      <w:r w:rsidRPr="008F51A3">
        <w:instrText xml:space="preserve"> SEQ Ilustracja \* ARABIC </w:instrText>
      </w:r>
      <w:r w:rsidR="003972D8" w:rsidRPr="008F51A3">
        <w:fldChar w:fldCharType="separate"/>
      </w:r>
      <w:r w:rsidR="00413FFE">
        <w:rPr>
          <w:noProof/>
        </w:rPr>
        <w:t>3</w:t>
      </w:r>
      <w:r w:rsidR="003972D8" w:rsidRPr="008F51A3">
        <w:fldChar w:fldCharType="end"/>
      </w:r>
      <w:r w:rsidRPr="008F51A3">
        <w:t>. Kolonia Zgorzelec 12, 16</w:t>
      </w:r>
      <w:bookmarkEnd w:id="7772"/>
    </w:p>
    <w:p w:rsidR="008F51A3" w:rsidRPr="008F51A3" w:rsidRDefault="008F51A3" w:rsidP="008F51A3">
      <w:pPr>
        <w:rPr>
          <w:i/>
          <w:sz w:val="18"/>
          <w:szCs w:val="20"/>
        </w:rPr>
      </w:pPr>
      <w:r w:rsidRPr="008F51A3">
        <w:rPr>
          <w:i/>
          <w:noProof/>
          <w:sz w:val="18"/>
          <w:szCs w:val="20"/>
        </w:rPr>
        <w:drawing>
          <wp:inline distT="0" distB="0" distL="0" distR="0">
            <wp:extent cx="5760720" cy="1624033"/>
            <wp:effectExtent l="19050" t="0" r="0" b="0"/>
            <wp:docPr id="8" name="Obraz 7" descr="i:\Dokumenty_net\Moje obrazy\Nowy obraz (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Dokumenty_net\Moje obrazy\Nowy obraz (3).bmp"/>
                    <pic:cNvPicPr>
                      <a:picLocks noChangeAspect="1" noChangeArrowheads="1"/>
                    </pic:cNvPicPr>
                  </pic:nvPicPr>
                  <pic:blipFill>
                    <a:blip r:embed="rId62" cstate="print"/>
                    <a:srcRect/>
                    <a:stretch>
                      <a:fillRect/>
                    </a:stretch>
                  </pic:blipFill>
                  <pic:spPr bwMode="auto">
                    <a:xfrm>
                      <a:off x="0" y="0"/>
                      <a:ext cx="5760720" cy="1624033"/>
                    </a:xfrm>
                    <a:prstGeom prst="rect">
                      <a:avLst/>
                    </a:prstGeom>
                    <a:noFill/>
                    <a:ln w="9525">
                      <a:noFill/>
                      <a:miter lim="800000"/>
                      <a:headEnd/>
                      <a:tailEnd/>
                    </a:ln>
                  </pic:spPr>
                </pic:pic>
              </a:graphicData>
            </a:graphic>
          </wp:inline>
        </w:drawing>
      </w:r>
      <w:r w:rsidRPr="008F51A3">
        <w:rPr>
          <w:i/>
          <w:sz w:val="18"/>
          <w:szCs w:val="20"/>
        </w:rPr>
        <w:t xml:space="preserve"> Źródło: Bytomskie Mieszkania</w:t>
      </w:r>
    </w:p>
    <w:p w:rsidR="008F51A3" w:rsidRPr="00276FF9" w:rsidRDefault="008F51A3" w:rsidP="008F51A3">
      <w:pPr>
        <w:rPr>
          <w:i/>
          <w:sz w:val="18"/>
          <w:szCs w:val="20"/>
        </w:rPr>
      </w:pPr>
    </w:p>
    <w:p w:rsidR="008F51A3" w:rsidRPr="008F51A3" w:rsidRDefault="008F51A3" w:rsidP="008F51A3">
      <w:pPr>
        <w:pStyle w:val="Legenda"/>
        <w:keepNext/>
        <w:spacing w:after="60"/>
      </w:pPr>
      <w:bookmarkStart w:id="7773" w:name="_Toc474924997"/>
      <w:r w:rsidRPr="008F51A3">
        <w:t xml:space="preserve">Ilustracja </w:t>
      </w:r>
      <w:r w:rsidR="003972D8" w:rsidRPr="008F51A3">
        <w:fldChar w:fldCharType="begin"/>
      </w:r>
      <w:r w:rsidRPr="008F51A3">
        <w:instrText xml:space="preserve"> SEQ Ilustracja \* ARABIC </w:instrText>
      </w:r>
      <w:r w:rsidR="003972D8" w:rsidRPr="008F51A3">
        <w:fldChar w:fldCharType="separate"/>
      </w:r>
      <w:r w:rsidR="00413FFE">
        <w:rPr>
          <w:noProof/>
        </w:rPr>
        <w:t>4</w:t>
      </w:r>
      <w:r w:rsidR="003972D8" w:rsidRPr="008F51A3">
        <w:fldChar w:fldCharType="end"/>
      </w:r>
      <w:r w:rsidRPr="008F51A3">
        <w:t>. Kolonia Zgorzelec 31, 32</w:t>
      </w:r>
      <w:bookmarkEnd w:id="7773"/>
    </w:p>
    <w:p w:rsidR="008F51A3" w:rsidRPr="008F51A3" w:rsidRDefault="008F51A3" w:rsidP="008F51A3">
      <w:pPr>
        <w:rPr>
          <w:i/>
          <w:sz w:val="18"/>
          <w:szCs w:val="20"/>
        </w:rPr>
      </w:pPr>
      <w:r w:rsidRPr="008F51A3">
        <w:rPr>
          <w:noProof/>
        </w:rPr>
        <w:drawing>
          <wp:inline distT="0" distB="0" distL="0" distR="0">
            <wp:extent cx="5760720" cy="1623060"/>
            <wp:effectExtent l="19050" t="0" r="0" b="0"/>
            <wp:docPr id="9" name="Obraz 9" descr="C:\Documents and Settings\kmieszala\Ustawienia lokalne\Temporary Internet Files\Content.Word\Nowy obraz (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Documents and Settings\kmieszala\Ustawienia lokalne\Temporary Internet Files\Content.Word\Nowy obraz (4).bmp"/>
                    <pic:cNvPicPr>
                      <a:picLocks noChangeAspect="1" noChangeArrowheads="1"/>
                    </pic:cNvPicPr>
                  </pic:nvPicPr>
                  <pic:blipFill>
                    <a:blip r:embed="rId63" cstate="print"/>
                    <a:srcRect/>
                    <a:stretch>
                      <a:fillRect/>
                    </a:stretch>
                  </pic:blipFill>
                  <pic:spPr bwMode="auto">
                    <a:xfrm>
                      <a:off x="0" y="0"/>
                      <a:ext cx="5760720" cy="1623060"/>
                    </a:xfrm>
                    <a:prstGeom prst="rect">
                      <a:avLst/>
                    </a:prstGeom>
                    <a:noFill/>
                    <a:ln w="9525">
                      <a:noFill/>
                      <a:miter lim="800000"/>
                      <a:headEnd/>
                      <a:tailEnd/>
                    </a:ln>
                  </pic:spPr>
                </pic:pic>
              </a:graphicData>
            </a:graphic>
          </wp:inline>
        </w:drawing>
      </w:r>
      <w:r w:rsidRPr="008F51A3">
        <w:rPr>
          <w:i/>
          <w:sz w:val="18"/>
          <w:szCs w:val="20"/>
        </w:rPr>
        <w:t>Źródło: Bytomskie Mieszkania</w:t>
      </w:r>
    </w:p>
    <w:p w:rsidR="00C32947" w:rsidRPr="00276FF9" w:rsidRDefault="00C32947" w:rsidP="008F51A3">
      <w:pPr>
        <w:pStyle w:val="Legenda"/>
        <w:keepNext/>
        <w:rPr>
          <w:sz w:val="18"/>
        </w:rPr>
      </w:pPr>
    </w:p>
    <w:p w:rsidR="008F51A3" w:rsidRPr="008F51A3" w:rsidRDefault="008F51A3" w:rsidP="008F51A3">
      <w:pPr>
        <w:pStyle w:val="Legenda"/>
        <w:keepNext/>
        <w:spacing w:after="60"/>
      </w:pPr>
      <w:bookmarkStart w:id="7774" w:name="_Toc474924998"/>
      <w:r w:rsidRPr="008F51A3">
        <w:t xml:space="preserve">Ilustracja </w:t>
      </w:r>
      <w:r w:rsidR="003972D8" w:rsidRPr="008F51A3">
        <w:fldChar w:fldCharType="begin"/>
      </w:r>
      <w:r w:rsidRPr="008F51A3">
        <w:instrText xml:space="preserve"> SEQ Ilustracja \* ARABIC </w:instrText>
      </w:r>
      <w:r w:rsidR="003972D8" w:rsidRPr="008F51A3">
        <w:fldChar w:fldCharType="separate"/>
      </w:r>
      <w:r w:rsidR="00413FFE">
        <w:rPr>
          <w:noProof/>
        </w:rPr>
        <w:t>5</w:t>
      </w:r>
      <w:r w:rsidR="003972D8" w:rsidRPr="008F51A3">
        <w:fldChar w:fldCharType="end"/>
      </w:r>
      <w:r w:rsidRPr="008F51A3">
        <w:t>. Kolonia Zgorzelec 26, 33</w:t>
      </w:r>
      <w:bookmarkEnd w:id="7774"/>
    </w:p>
    <w:p w:rsidR="008F51A3" w:rsidRPr="008F51A3" w:rsidRDefault="008F51A3" w:rsidP="008F51A3">
      <w:pPr>
        <w:rPr>
          <w:i/>
          <w:sz w:val="18"/>
          <w:szCs w:val="20"/>
        </w:rPr>
      </w:pPr>
      <w:r w:rsidRPr="008F51A3">
        <w:rPr>
          <w:noProof/>
        </w:rPr>
        <w:drawing>
          <wp:inline distT="0" distB="0" distL="0" distR="0">
            <wp:extent cx="5760720" cy="1636136"/>
            <wp:effectExtent l="19050" t="0" r="0" b="0"/>
            <wp:docPr id="11" name="Obraz 1" descr="C:\Documents and Settings\kmieszala\Ustawienia lokalne\Temporary Internet Files\Content.Word\Nowy obraz (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kmieszala\Ustawienia lokalne\Temporary Internet Files\Content.Word\Nowy obraz (1).bmp"/>
                    <pic:cNvPicPr>
                      <a:picLocks noChangeAspect="1" noChangeArrowheads="1"/>
                    </pic:cNvPicPr>
                  </pic:nvPicPr>
                  <pic:blipFill>
                    <a:blip r:embed="rId64" cstate="print"/>
                    <a:srcRect/>
                    <a:stretch>
                      <a:fillRect/>
                    </a:stretch>
                  </pic:blipFill>
                  <pic:spPr bwMode="auto">
                    <a:xfrm>
                      <a:off x="0" y="0"/>
                      <a:ext cx="5760720" cy="1636136"/>
                    </a:xfrm>
                    <a:prstGeom prst="rect">
                      <a:avLst/>
                    </a:prstGeom>
                    <a:noFill/>
                    <a:ln w="9525">
                      <a:noFill/>
                      <a:miter lim="800000"/>
                      <a:headEnd/>
                      <a:tailEnd/>
                    </a:ln>
                  </pic:spPr>
                </pic:pic>
              </a:graphicData>
            </a:graphic>
          </wp:inline>
        </w:drawing>
      </w:r>
      <w:r w:rsidRPr="008F51A3">
        <w:rPr>
          <w:i/>
          <w:sz w:val="18"/>
          <w:szCs w:val="20"/>
        </w:rPr>
        <w:t xml:space="preserve"> Źródło: Bytomskie Mieszkania</w:t>
      </w:r>
    </w:p>
    <w:p w:rsidR="008F51A3" w:rsidRPr="008F51A3" w:rsidRDefault="008F51A3" w:rsidP="008F51A3">
      <w:pPr>
        <w:rPr>
          <w:i/>
          <w:sz w:val="18"/>
          <w:szCs w:val="20"/>
        </w:rPr>
      </w:pPr>
    </w:p>
    <w:p w:rsidR="008F51A3" w:rsidRPr="008F51A3" w:rsidRDefault="008F51A3" w:rsidP="008F51A3">
      <w:pPr>
        <w:pStyle w:val="Legenda"/>
        <w:keepNext/>
        <w:spacing w:after="60"/>
      </w:pPr>
      <w:bookmarkStart w:id="7775" w:name="_Toc474924999"/>
      <w:r w:rsidRPr="008F51A3">
        <w:t xml:space="preserve">Ilustracja </w:t>
      </w:r>
      <w:r w:rsidR="003972D8" w:rsidRPr="008F51A3">
        <w:fldChar w:fldCharType="begin"/>
      </w:r>
      <w:r w:rsidRPr="008F51A3">
        <w:instrText xml:space="preserve"> SEQ Ilustracja \* ARABIC </w:instrText>
      </w:r>
      <w:r w:rsidR="003972D8" w:rsidRPr="008F51A3">
        <w:fldChar w:fldCharType="separate"/>
      </w:r>
      <w:r w:rsidR="00413FFE">
        <w:rPr>
          <w:noProof/>
        </w:rPr>
        <w:t>6</w:t>
      </w:r>
      <w:r w:rsidR="003972D8" w:rsidRPr="008F51A3">
        <w:fldChar w:fldCharType="end"/>
      </w:r>
      <w:r w:rsidRPr="008F51A3">
        <w:t>. Kolonia Zgorzelec 34, 37</w:t>
      </w:r>
      <w:bookmarkEnd w:id="7775"/>
    </w:p>
    <w:p w:rsidR="008F51A3" w:rsidRPr="008F51A3" w:rsidRDefault="008F51A3" w:rsidP="008F51A3">
      <w:pPr>
        <w:rPr>
          <w:i/>
          <w:sz w:val="18"/>
          <w:szCs w:val="20"/>
        </w:rPr>
      </w:pPr>
      <w:r w:rsidRPr="008F51A3">
        <w:rPr>
          <w:noProof/>
        </w:rPr>
        <w:drawing>
          <wp:inline distT="0" distB="0" distL="0" distR="0">
            <wp:extent cx="5760720" cy="1623332"/>
            <wp:effectExtent l="19050" t="0" r="0" b="0"/>
            <wp:docPr id="12" name="Obraz 4" descr="C:\Documents and Settings\kmieszala\Ustawienia lokalne\Temporary Internet Files\Content.Word\Nowy obraz (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kmieszala\Ustawienia lokalne\Temporary Internet Files\Content.Word\Nowy obraz (2).bmp"/>
                    <pic:cNvPicPr>
                      <a:picLocks noChangeAspect="1" noChangeArrowheads="1"/>
                    </pic:cNvPicPr>
                  </pic:nvPicPr>
                  <pic:blipFill>
                    <a:blip r:embed="rId65" cstate="print"/>
                    <a:srcRect/>
                    <a:stretch>
                      <a:fillRect/>
                    </a:stretch>
                  </pic:blipFill>
                  <pic:spPr bwMode="auto">
                    <a:xfrm>
                      <a:off x="0" y="0"/>
                      <a:ext cx="5760720" cy="1623332"/>
                    </a:xfrm>
                    <a:prstGeom prst="rect">
                      <a:avLst/>
                    </a:prstGeom>
                    <a:noFill/>
                    <a:ln w="9525">
                      <a:noFill/>
                      <a:miter lim="800000"/>
                      <a:headEnd/>
                      <a:tailEnd/>
                    </a:ln>
                  </pic:spPr>
                </pic:pic>
              </a:graphicData>
            </a:graphic>
          </wp:inline>
        </w:drawing>
      </w:r>
      <w:r w:rsidRPr="008F51A3">
        <w:rPr>
          <w:i/>
          <w:sz w:val="18"/>
          <w:szCs w:val="20"/>
        </w:rPr>
        <w:t xml:space="preserve"> Źródło: Bytomskie Mieszkania</w:t>
      </w:r>
    </w:p>
    <w:p w:rsidR="00331753" w:rsidRDefault="001C2FD4" w:rsidP="00FD12C1">
      <w:pPr>
        <w:ind w:firstLine="708"/>
        <w:jc w:val="both"/>
        <w:rPr>
          <w:rFonts w:eastAsia="Calibri"/>
          <w:szCs w:val="20"/>
        </w:rPr>
      </w:pPr>
      <w:r w:rsidRPr="00C80963">
        <w:rPr>
          <w:rFonts w:eastAsia="Calibri"/>
          <w:szCs w:val="20"/>
        </w:rPr>
        <w:lastRenderedPageBreak/>
        <w:t xml:space="preserve">Natomiast w </w:t>
      </w:r>
      <w:r w:rsidR="00AC0EC6">
        <w:rPr>
          <w:rFonts w:eastAsia="Calibri"/>
          <w:szCs w:val="20"/>
        </w:rPr>
        <w:t>podobszarach centralnych</w:t>
      </w:r>
      <w:r w:rsidRPr="00C80963">
        <w:rPr>
          <w:rFonts w:eastAsia="Calibri"/>
          <w:szCs w:val="20"/>
        </w:rPr>
        <w:t xml:space="preserve"> obserwujemy liczne enklawy, gdzie w złym lub bardzo złym stanie technicznym jest co najmniej 40% budynków. Wszędzie tam, gdzie na mapie widoczne są ciemne odcienie koloru czerwonego, degradacja substancji komunalnej przybrała</w:t>
      </w:r>
      <w:r w:rsidR="00FD12C1">
        <w:rPr>
          <w:rFonts w:eastAsia="Calibri"/>
          <w:szCs w:val="20"/>
        </w:rPr>
        <w:t xml:space="preserve"> rozmiary ekstremalne i wymagana jest nadzwyczajna interwencja</w:t>
      </w:r>
      <w:r w:rsidRPr="00C80963">
        <w:rPr>
          <w:rFonts w:eastAsia="Calibri"/>
          <w:szCs w:val="20"/>
        </w:rPr>
        <w:t xml:space="preserve">. </w:t>
      </w:r>
    </w:p>
    <w:p w:rsidR="001C2FD4" w:rsidRPr="0061015B" w:rsidRDefault="001C2FD4" w:rsidP="0013236B">
      <w:pPr>
        <w:jc w:val="both"/>
        <w:rPr>
          <w:rFonts w:eastAsia="Calibri"/>
          <w:sz w:val="18"/>
          <w:szCs w:val="20"/>
        </w:rPr>
      </w:pPr>
      <w:r w:rsidRPr="00C80963">
        <w:rPr>
          <w:rFonts w:eastAsia="Calibri"/>
          <w:szCs w:val="20"/>
        </w:rPr>
        <w:t xml:space="preserve"> </w:t>
      </w:r>
    </w:p>
    <w:p w:rsidR="001C2FD4" w:rsidRPr="008F4DC5" w:rsidRDefault="008F4DC5" w:rsidP="0061015B">
      <w:pPr>
        <w:pStyle w:val="Legenda"/>
        <w:spacing w:line="168" w:lineRule="auto"/>
        <w:rPr>
          <w:rFonts w:eastAsia="Calibri"/>
          <w:szCs w:val="24"/>
        </w:rPr>
      </w:pPr>
      <w:bookmarkStart w:id="7776" w:name="_Toc460222281"/>
      <w:bookmarkStart w:id="7777" w:name="_Toc191972649"/>
      <w:r w:rsidRPr="008F4DC5">
        <w:t xml:space="preserve">Mapa </w:t>
      </w:r>
      <w:r w:rsidR="003972D8" w:rsidRPr="008F4DC5">
        <w:fldChar w:fldCharType="begin"/>
      </w:r>
      <w:r w:rsidRPr="008F4DC5">
        <w:instrText xml:space="preserve"> SEQ Mapa \* ARABIC </w:instrText>
      </w:r>
      <w:r w:rsidR="003972D8" w:rsidRPr="008F4DC5">
        <w:fldChar w:fldCharType="separate"/>
      </w:r>
      <w:r w:rsidR="00413FFE">
        <w:rPr>
          <w:noProof/>
        </w:rPr>
        <w:t>37</w:t>
      </w:r>
      <w:r w:rsidR="003972D8" w:rsidRPr="008F4DC5">
        <w:fldChar w:fldCharType="end"/>
      </w:r>
      <w:r w:rsidRPr="008F4DC5">
        <w:t>.</w:t>
      </w:r>
      <w:r w:rsidR="001C2FD4" w:rsidRPr="008F4DC5">
        <w:t xml:space="preserve"> Stan techniczny budynków należących do gminy</w:t>
      </w:r>
      <w:bookmarkEnd w:id="7776"/>
      <w:bookmarkEnd w:id="7777"/>
    </w:p>
    <w:p w:rsidR="001C2FD4" w:rsidRPr="00303C53" w:rsidRDefault="0043168D" w:rsidP="001539DF">
      <w:pPr>
        <w:spacing w:after="40"/>
        <w:jc w:val="center"/>
        <w:rPr>
          <w:rFonts w:eastAsia="Calibri"/>
          <w:b/>
        </w:rPr>
      </w:pPr>
      <w:r>
        <w:rPr>
          <w:rFonts w:eastAsia="Calibri"/>
          <w:b/>
          <w:noProof/>
        </w:rPr>
        <w:drawing>
          <wp:inline distT="0" distB="0" distL="0" distR="0">
            <wp:extent cx="5076000" cy="3506883"/>
            <wp:effectExtent l="19050" t="0" r="0" b="0"/>
            <wp:docPr id="32" name="Obraz 2" descr="C:\Users\TT\Dysk Google\IRM-BYTOM-mapy\wydruki (1)\722-1 STAN TECHNICZNY BUDYNKÓW KOMUNALNYC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C:\Users\TT\Dysk Google\IRM-BYTOM-mapy\wydruki (1)\722-1 STAN TECHNICZNY BUDYNKÓW KOMUNALNYCH.png"/>
                    <pic:cNvPicPr>
                      <a:picLocks noChangeAspect="1" noChangeArrowheads="1"/>
                    </pic:cNvPicPr>
                  </pic:nvPicPr>
                  <pic:blipFill>
                    <a:blip r:embed="rId66" cstate="print"/>
                    <a:srcRect t="864" b="864"/>
                    <a:stretch>
                      <a:fillRect/>
                    </a:stretch>
                  </pic:blipFill>
                  <pic:spPr bwMode="auto">
                    <a:xfrm>
                      <a:off x="0" y="0"/>
                      <a:ext cx="5076000" cy="3506883"/>
                    </a:xfrm>
                    <a:prstGeom prst="rect">
                      <a:avLst/>
                    </a:prstGeom>
                    <a:noFill/>
                    <a:ln w="9525">
                      <a:noFill/>
                      <a:miter lim="800000"/>
                      <a:headEnd/>
                      <a:tailEnd/>
                    </a:ln>
                  </pic:spPr>
                </pic:pic>
              </a:graphicData>
            </a:graphic>
          </wp:inline>
        </w:drawing>
      </w:r>
    </w:p>
    <w:p w:rsidR="00804BD2" w:rsidRPr="005F27F5" w:rsidRDefault="00804BD2" w:rsidP="0061015B">
      <w:pPr>
        <w:autoSpaceDE w:val="0"/>
        <w:autoSpaceDN w:val="0"/>
        <w:adjustRightInd w:val="0"/>
        <w:spacing w:line="168" w:lineRule="auto"/>
        <w:rPr>
          <w:rFonts w:eastAsia="Calibri" w:cs="ArialNarrow"/>
          <w:i/>
          <w:sz w:val="18"/>
          <w:szCs w:val="20"/>
        </w:rPr>
      </w:pPr>
      <w:r w:rsidRPr="005F27F5">
        <w:rPr>
          <w:rFonts w:eastAsia="Calibri" w:cs="ArialNarrow"/>
          <w:i/>
          <w:sz w:val="18"/>
          <w:szCs w:val="20"/>
        </w:rPr>
        <w:t xml:space="preserve">Źródło: Opracowanie </w:t>
      </w:r>
      <w:r>
        <w:rPr>
          <w:rFonts w:eastAsia="Calibri" w:cs="ArialNarrow"/>
          <w:i/>
          <w:sz w:val="18"/>
          <w:szCs w:val="20"/>
        </w:rPr>
        <w:t>Instytutu Rozwoju Miast</w:t>
      </w:r>
    </w:p>
    <w:p w:rsidR="001C2FD4" w:rsidRPr="001539DF" w:rsidRDefault="001C2FD4" w:rsidP="001C2FD4">
      <w:pPr>
        <w:rPr>
          <w:rFonts w:eastAsia="Calibri"/>
          <w:sz w:val="12"/>
        </w:rPr>
      </w:pPr>
    </w:p>
    <w:p w:rsidR="00852A3E" w:rsidRPr="008F4DC5" w:rsidRDefault="00852A3E" w:rsidP="0061015B">
      <w:pPr>
        <w:pStyle w:val="Legenda"/>
        <w:spacing w:line="168" w:lineRule="auto"/>
        <w:rPr>
          <w:rFonts w:eastAsia="Calibri"/>
          <w:szCs w:val="24"/>
        </w:rPr>
      </w:pPr>
      <w:bookmarkStart w:id="7778" w:name="_Toc191972650"/>
      <w:r w:rsidRPr="008F4DC5">
        <w:t xml:space="preserve">Mapa </w:t>
      </w:r>
      <w:r w:rsidR="003972D8" w:rsidRPr="008F4DC5">
        <w:fldChar w:fldCharType="begin"/>
      </w:r>
      <w:r w:rsidRPr="008F4DC5">
        <w:instrText xml:space="preserve"> SEQ Mapa \* ARABIC </w:instrText>
      </w:r>
      <w:r w:rsidR="003972D8" w:rsidRPr="008F4DC5">
        <w:fldChar w:fldCharType="separate"/>
      </w:r>
      <w:r w:rsidR="00413FFE">
        <w:rPr>
          <w:noProof/>
        </w:rPr>
        <w:t>38</w:t>
      </w:r>
      <w:r w:rsidR="003972D8" w:rsidRPr="008F4DC5">
        <w:fldChar w:fldCharType="end"/>
      </w:r>
      <w:r w:rsidRPr="008F4DC5">
        <w:t>. Zasiłek celowy a komunalne budynki w złym lub bardzo złym stanie technicznym</w:t>
      </w:r>
      <w:bookmarkEnd w:id="7778"/>
    </w:p>
    <w:p w:rsidR="0061015B" w:rsidRDefault="0043168D" w:rsidP="00852A3E">
      <w:pPr>
        <w:autoSpaceDE w:val="0"/>
        <w:autoSpaceDN w:val="0"/>
        <w:adjustRightInd w:val="0"/>
        <w:rPr>
          <w:rFonts w:eastAsia="Calibri" w:cs="ArialNarrow"/>
          <w:i/>
          <w:sz w:val="18"/>
          <w:szCs w:val="20"/>
        </w:rPr>
      </w:pPr>
      <w:r>
        <w:rPr>
          <w:rFonts w:eastAsia="Calibri"/>
          <w:b/>
          <w:noProof/>
        </w:rPr>
        <w:drawing>
          <wp:inline distT="0" distB="0" distL="0" distR="0">
            <wp:extent cx="5040000" cy="3451407"/>
            <wp:effectExtent l="19050" t="0" r="8250" b="0"/>
            <wp:docPr id="31" name="Obraz 13" descr="C:\Users\TT\Dropbox\irm-bytom-mapy\wydruki\360-1 ZASIŁEK CELOWY A KOMUNALNE BUDYNKI MIESZKALNE W ZŁYM I BARDZO ZŁYM STANIE TECHNICZN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3" descr="C:\Users\TT\Dropbox\irm-bytom-mapy\wydruki\360-1 ZASIŁEK CELOWY A KOMUNALNE BUDYNKI MIESZKALNE W ZŁYM I BARDZO ZŁYM STANIE TECHNICZNYM.png"/>
                    <pic:cNvPicPr>
                      <a:picLocks noChangeAspect="1" noChangeArrowheads="1"/>
                    </pic:cNvPicPr>
                  </pic:nvPicPr>
                  <pic:blipFill>
                    <a:blip r:embed="rId67" cstate="print"/>
                    <a:srcRect t="861" b="1994"/>
                    <a:stretch>
                      <a:fillRect/>
                    </a:stretch>
                  </pic:blipFill>
                  <pic:spPr bwMode="auto">
                    <a:xfrm>
                      <a:off x="0" y="0"/>
                      <a:ext cx="5040000" cy="3451407"/>
                    </a:xfrm>
                    <a:prstGeom prst="rect">
                      <a:avLst/>
                    </a:prstGeom>
                    <a:noFill/>
                    <a:ln w="9525">
                      <a:noFill/>
                      <a:miter lim="800000"/>
                      <a:headEnd/>
                      <a:tailEnd/>
                    </a:ln>
                  </pic:spPr>
                </pic:pic>
              </a:graphicData>
            </a:graphic>
          </wp:inline>
        </w:drawing>
      </w:r>
    </w:p>
    <w:p w:rsidR="00852A3E" w:rsidRPr="00804BD2" w:rsidRDefault="00852A3E" w:rsidP="0061015B">
      <w:pPr>
        <w:autoSpaceDE w:val="0"/>
        <w:autoSpaceDN w:val="0"/>
        <w:adjustRightInd w:val="0"/>
        <w:spacing w:line="168" w:lineRule="auto"/>
        <w:rPr>
          <w:rFonts w:eastAsia="Calibri" w:cs="ArialNarrow"/>
          <w:i/>
          <w:sz w:val="18"/>
          <w:szCs w:val="20"/>
        </w:rPr>
      </w:pPr>
      <w:r w:rsidRPr="00804BD2">
        <w:rPr>
          <w:rFonts w:eastAsia="Calibri" w:cs="ArialNarrow"/>
          <w:i/>
          <w:sz w:val="18"/>
          <w:szCs w:val="20"/>
        </w:rPr>
        <w:t xml:space="preserve"> </w:t>
      </w:r>
      <w:r w:rsidRPr="005F27F5">
        <w:rPr>
          <w:rFonts w:eastAsia="Calibri" w:cs="ArialNarrow"/>
          <w:i/>
          <w:sz w:val="18"/>
          <w:szCs w:val="20"/>
        </w:rPr>
        <w:t xml:space="preserve">Źródło: Opracowanie </w:t>
      </w:r>
      <w:r>
        <w:rPr>
          <w:rFonts w:eastAsia="Calibri" w:cs="ArialNarrow"/>
          <w:i/>
          <w:sz w:val="18"/>
          <w:szCs w:val="20"/>
        </w:rPr>
        <w:t>Instytutu Rozwoju Miast</w:t>
      </w:r>
    </w:p>
    <w:p w:rsidR="001C2FD4" w:rsidRPr="00C80963" w:rsidRDefault="001C2FD4" w:rsidP="00F61D5D">
      <w:pPr>
        <w:ind w:firstLine="708"/>
        <w:jc w:val="both"/>
        <w:rPr>
          <w:rFonts w:eastAsia="Calibri"/>
          <w:szCs w:val="20"/>
        </w:rPr>
      </w:pPr>
      <w:r w:rsidRPr="00C80963">
        <w:rPr>
          <w:rFonts w:eastAsia="Calibri"/>
          <w:szCs w:val="20"/>
        </w:rPr>
        <w:lastRenderedPageBreak/>
        <w:t>W budynkach o złym</w:t>
      </w:r>
      <w:r w:rsidR="002152EB">
        <w:rPr>
          <w:rFonts w:eastAsia="Calibri"/>
          <w:szCs w:val="20"/>
        </w:rPr>
        <w:t xml:space="preserve"> </w:t>
      </w:r>
      <w:r w:rsidRPr="00C80963">
        <w:rPr>
          <w:rFonts w:eastAsia="Calibri"/>
          <w:szCs w:val="20"/>
        </w:rPr>
        <w:t>i bardzo złym stanie technicznym mieszkają w dużej mierze osoby w trudnej</w:t>
      </w:r>
      <w:r w:rsidR="002152EB">
        <w:rPr>
          <w:rFonts w:eastAsia="Calibri"/>
          <w:szCs w:val="20"/>
        </w:rPr>
        <w:t xml:space="preserve"> sytuacji materialnej. Korelacje</w:t>
      </w:r>
      <w:r w:rsidRPr="00C80963">
        <w:rPr>
          <w:rFonts w:eastAsia="Calibri"/>
          <w:szCs w:val="20"/>
        </w:rPr>
        <w:t xml:space="preserve"> między stanem budynku</w:t>
      </w:r>
      <w:r w:rsidR="002152EB">
        <w:rPr>
          <w:rFonts w:eastAsia="Calibri"/>
          <w:szCs w:val="20"/>
        </w:rPr>
        <w:t>,</w:t>
      </w:r>
      <w:r w:rsidRPr="00C80963">
        <w:rPr>
          <w:rFonts w:eastAsia="Calibri"/>
          <w:szCs w:val="20"/>
        </w:rPr>
        <w:t xml:space="preserve"> a zasiłkami pobieranymi przez lokatorów z MOPR przedstawia </w:t>
      </w:r>
      <w:r w:rsidRPr="006A06A2">
        <w:rPr>
          <w:rFonts w:eastAsia="Calibri"/>
          <w:szCs w:val="20"/>
        </w:rPr>
        <w:t>mapa</w:t>
      </w:r>
      <w:r w:rsidR="008E5B24" w:rsidRPr="006A06A2">
        <w:rPr>
          <w:rFonts w:eastAsia="Calibri"/>
          <w:szCs w:val="20"/>
        </w:rPr>
        <w:t xml:space="preserve"> 41</w:t>
      </w:r>
      <w:r w:rsidRPr="006A06A2">
        <w:rPr>
          <w:rFonts w:eastAsia="Calibri"/>
          <w:szCs w:val="20"/>
        </w:rPr>
        <w:t>.</w:t>
      </w:r>
    </w:p>
    <w:p w:rsidR="001C2FD4" w:rsidRDefault="00AC0EC6" w:rsidP="00F61D5D">
      <w:pPr>
        <w:ind w:firstLine="708"/>
        <w:jc w:val="both"/>
        <w:rPr>
          <w:szCs w:val="20"/>
        </w:rPr>
      </w:pPr>
      <w:r>
        <w:rPr>
          <w:szCs w:val="20"/>
        </w:rPr>
        <w:t>B</w:t>
      </w:r>
      <w:r w:rsidR="001C2FD4" w:rsidRPr="00C80963">
        <w:rPr>
          <w:szCs w:val="20"/>
        </w:rPr>
        <w:t>udynki komunalne na obszarze rewitalizacji stanowią dużą część wszystkich budynków mieszkalnych funkcjonujących w obszarze. Jako zły należy określić stan zachowania większości czynszowej zabudowy z</w:t>
      </w:r>
      <w:r>
        <w:rPr>
          <w:szCs w:val="20"/>
        </w:rPr>
        <w:t> </w:t>
      </w:r>
      <w:r w:rsidR="001C2FD4" w:rsidRPr="00C80963">
        <w:rPr>
          <w:szCs w:val="20"/>
        </w:rPr>
        <w:t>przełomu XIX</w:t>
      </w:r>
      <w:r w:rsidR="00D1694B">
        <w:rPr>
          <w:szCs w:val="20"/>
        </w:rPr>
        <w:t> </w:t>
      </w:r>
      <w:r w:rsidR="001C2FD4" w:rsidRPr="00C80963">
        <w:rPr>
          <w:szCs w:val="20"/>
        </w:rPr>
        <w:t>i</w:t>
      </w:r>
      <w:r w:rsidR="00D1694B">
        <w:rPr>
          <w:szCs w:val="20"/>
        </w:rPr>
        <w:t> </w:t>
      </w:r>
      <w:r w:rsidR="001C2FD4" w:rsidRPr="00C80963">
        <w:rPr>
          <w:szCs w:val="20"/>
        </w:rPr>
        <w:t>XX</w:t>
      </w:r>
      <w:r w:rsidR="00D1694B">
        <w:rPr>
          <w:szCs w:val="20"/>
        </w:rPr>
        <w:t> </w:t>
      </w:r>
      <w:r w:rsidR="002152EB">
        <w:rPr>
          <w:szCs w:val="20"/>
        </w:rPr>
        <w:t xml:space="preserve">w. </w:t>
      </w:r>
      <w:r w:rsidR="001C2FD4" w:rsidRPr="00C80963">
        <w:rPr>
          <w:szCs w:val="20"/>
        </w:rPr>
        <w:t>Budynki są silnie zniszczone (długotrwały brak remontów, wpływy szkód górniczych na zaniedbania w</w:t>
      </w:r>
      <w:r w:rsidR="00303C53">
        <w:rPr>
          <w:szCs w:val="20"/>
        </w:rPr>
        <w:t> </w:t>
      </w:r>
      <w:r w:rsidR="001C2FD4" w:rsidRPr="00C80963">
        <w:rPr>
          <w:szCs w:val="20"/>
        </w:rPr>
        <w:t>postaci odpadających tynków, balkonów i wykuszy</w:t>
      </w:r>
      <w:r w:rsidR="002152EB">
        <w:rPr>
          <w:szCs w:val="20"/>
        </w:rPr>
        <w:t>)</w:t>
      </w:r>
      <w:r w:rsidR="00FD12C1">
        <w:rPr>
          <w:szCs w:val="20"/>
        </w:rPr>
        <w:t xml:space="preserve"> i</w:t>
      </w:r>
      <w:r w:rsidR="001C2FD4" w:rsidRPr="00C80963">
        <w:rPr>
          <w:szCs w:val="20"/>
        </w:rPr>
        <w:t xml:space="preserve"> słabo wyposażone (ogrzewanie piecowe, częsty brak łazienek i</w:t>
      </w:r>
      <w:r w:rsidR="002152EB">
        <w:rPr>
          <w:szCs w:val="20"/>
        </w:rPr>
        <w:t> </w:t>
      </w:r>
      <w:r w:rsidR="001C2FD4" w:rsidRPr="00C80963">
        <w:rPr>
          <w:szCs w:val="20"/>
        </w:rPr>
        <w:t xml:space="preserve">ubikacji w mieszkaniach). W najgorszym stanie są budynki oficynowe – one też mają najniższy standard. Standard wyposażenia stanowi też główny problem w wypadku budynków kolonii robotniczych. Obecnie spełniają one jedynie warunki lokali socjalnych. </w:t>
      </w:r>
    </w:p>
    <w:p w:rsidR="00925CAD" w:rsidRPr="004044D1" w:rsidRDefault="00925CAD" w:rsidP="00F61D5D">
      <w:pPr>
        <w:ind w:firstLine="708"/>
        <w:jc w:val="both"/>
        <w:rPr>
          <w:szCs w:val="20"/>
        </w:rPr>
      </w:pPr>
    </w:p>
    <w:p w:rsidR="00925CAD" w:rsidRPr="00925CAD" w:rsidRDefault="00925CAD" w:rsidP="00925CAD">
      <w:pPr>
        <w:pStyle w:val="Legenda"/>
        <w:keepNext/>
        <w:spacing w:after="60"/>
      </w:pPr>
      <w:bookmarkStart w:id="7779" w:name="_Toc474925000"/>
      <w:r w:rsidRPr="00925CAD">
        <w:t xml:space="preserve">Ilustracja </w:t>
      </w:r>
      <w:r w:rsidR="003972D8" w:rsidRPr="00925CAD">
        <w:fldChar w:fldCharType="begin"/>
      </w:r>
      <w:r w:rsidRPr="00925CAD">
        <w:instrText xml:space="preserve"> SEQ Ilustracja \* ARABIC </w:instrText>
      </w:r>
      <w:r w:rsidR="003972D8" w:rsidRPr="00925CAD">
        <w:fldChar w:fldCharType="separate"/>
      </w:r>
      <w:r w:rsidR="00413FFE">
        <w:rPr>
          <w:noProof/>
        </w:rPr>
        <w:t>7</w:t>
      </w:r>
      <w:r w:rsidR="003972D8" w:rsidRPr="00925CAD">
        <w:fldChar w:fldCharType="end"/>
      </w:r>
      <w:r w:rsidRPr="00925CAD">
        <w:t>. Ul. Piekarska 27, 43</w:t>
      </w:r>
      <w:bookmarkEnd w:id="7779"/>
    </w:p>
    <w:p w:rsidR="00925CAD" w:rsidRPr="00925CAD" w:rsidRDefault="00925CAD" w:rsidP="00925CAD">
      <w:pPr>
        <w:rPr>
          <w:i/>
          <w:sz w:val="18"/>
          <w:szCs w:val="20"/>
        </w:rPr>
      </w:pPr>
      <w:r w:rsidRPr="00925CAD">
        <w:rPr>
          <w:i/>
          <w:noProof/>
          <w:sz w:val="18"/>
          <w:szCs w:val="20"/>
        </w:rPr>
        <w:drawing>
          <wp:inline distT="0" distB="0" distL="0" distR="0">
            <wp:extent cx="5760720" cy="1664377"/>
            <wp:effectExtent l="19050" t="0" r="0" b="0"/>
            <wp:docPr id="15" name="Obraz 18" descr="i:\Dokumenty_net\Moje obrazy\Nowy obraz (5).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Dokumenty_net\Moje obrazy\Nowy obraz (5).bmp"/>
                    <pic:cNvPicPr>
                      <a:picLocks noChangeAspect="1" noChangeArrowheads="1"/>
                    </pic:cNvPicPr>
                  </pic:nvPicPr>
                  <pic:blipFill>
                    <a:blip r:embed="rId68" cstate="print"/>
                    <a:srcRect/>
                    <a:stretch>
                      <a:fillRect/>
                    </a:stretch>
                  </pic:blipFill>
                  <pic:spPr bwMode="auto">
                    <a:xfrm>
                      <a:off x="0" y="0"/>
                      <a:ext cx="5760720" cy="1664377"/>
                    </a:xfrm>
                    <a:prstGeom prst="rect">
                      <a:avLst/>
                    </a:prstGeom>
                    <a:noFill/>
                    <a:ln w="9525">
                      <a:noFill/>
                      <a:miter lim="800000"/>
                      <a:headEnd/>
                      <a:tailEnd/>
                    </a:ln>
                  </pic:spPr>
                </pic:pic>
              </a:graphicData>
            </a:graphic>
          </wp:inline>
        </w:drawing>
      </w:r>
      <w:r w:rsidRPr="00925CAD">
        <w:rPr>
          <w:i/>
          <w:sz w:val="18"/>
          <w:szCs w:val="20"/>
        </w:rPr>
        <w:t xml:space="preserve"> Źródło: Bytomskie Mieszkania</w:t>
      </w:r>
    </w:p>
    <w:p w:rsidR="00925CAD" w:rsidRPr="004044D1" w:rsidRDefault="00925CAD" w:rsidP="00925CAD">
      <w:pPr>
        <w:rPr>
          <w:i/>
          <w:sz w:val="14"/>
          <w:szCs w:val="20"/>
        </w:rPr>
      </w:pPr>
    </w:p>
    <w:p w:rsidR="00925CAD" w:rsidRPr="00925CAD" w:rsidRDefault="00925CAD" w:rsidP="00925CAD">
      <w:pPr>
        <w:pStyle w:val="Legenda"/>
        <w:keepNext/>
        <w:spacing w:after="60"/>
      </w:pPr>
      <w:bookmarkStart w:id="7780" w:name="_Toc474925001"/>
      <w:r w:rsidRPr="00925CAD">
        <w:t xml:space="preserve">Ilustracja </w:t>
      </w:r>
      <w:r w:rsidR="003972D8" w:rsidRPr="00925CAD">
        <w:fldChar w:fldCharType="begin"/>
      </w:r>
      <w:r w:rsidRPr="00925CAD">
        <w:instrText xml:space="preserve"> SEQ Ilustracja \* ARABIC </w:instrText>
      </w:r>
      <w:r w:rsidR="003972D8" w:rsidRPr="00925CAD">
        <w:fldChar w:fldCharType="separate"/>
      </w:r>
      <w:r w:rsidR="00413FFE">
        <w:rPr>
          <w:noProof/>
        </w:rPr>
        <w:t>8</w:t>
      </w:r>
      <w:r w:rsidR="003972D8" w:rsidRPr="00925CAD">
        <w:fldChar w:fldCharType="end"/>
      </w:r>
      <w:r w:rsidRPr="00925CAD">
        <w:t>. Ul. Żeromskiego 32, 34-36</w:t>
      </w:r>
      <w:bookmarkEnd w:id="7780"/>
    </w:p>
    <w:p w:rsidR="00925CAD" w:rsidRDefault="00925CAD" w:rsidP="00925CAD">
      <w:pPr>
        <w:rPr>
          <w:i/>
          <w:sz w:val="18"/>
          <w:szCs w:val="20"/>
        </w:rPr>
      </w:pPr>
      <w:r w:rsidRPr="00925CAD">
        <w:rPr>
          <w:i/>
          <w:noProof/>
          <w:sz w:val="18"/>
          <w:szCs w:val="20"/>
        </w:rPr>
        <w:drawing>
          <wp:inline distT="0" distB="0" distL="0" distR="0">
            <wp:extent cx="5760720" cy="1664067"/>
            <wp:effectExtent l="19050" t="0" r="0" b="0"/>
            <wp:docPr id="24" name="Obraz 20" descr="i:\Dokumenty_net\Moje obrazy\Nowy obraz (7).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i:\Dokumenty_net\Moje obrazy\Nowy obraz (7).bmp"/>
                    <pic:cNvPicPr>
                      <a:picLocks noChangeAspect="1" noChangeArrowheads="1"/>
                    </pic:cNvPicPr>
                  </pic:nvPicPr>
                  <pic:blipFill>
                    <a:blip r:embed="rId69" cstate="print"/>
                    <a:srcRect/>
                    <a:stretch>
                      <a:fillRect/>
                    </a:stretch>
                  </pic:blipFill>
                  <pic:spPr bwMode="auto">
                    <a:xfrm>
                      <a:off x="0" y="0"/>
                      <a:ext cx="5760720" cy="1664067"/>
                    </a:xfrm>
                    <a:prstGeom prst="rect">
                      <a:avLst/>
                    </a:prstGeom>
                    <a:noFill/>
                    <a:ln w="9525">
                      <a:noFill/>
                      <a:miter lim="800000"/>
                      <a:headEnd/>
                      <a:tailEnd/>
                    </a:ln>
                  </pic:spPr>
                </pic:pic>
              </a:graphicData>
            </a:graphic>
          </wp:inline>
        </w:drawing>
      </w:r>
      <w:r w:rsidRPr="00925CAD">
        <w:rPr>
          <w:i/>
          <w:sz w:val="18"/>
          <w:szCs w:val="20"/>
        </w:rPr>
        <w:t xml:space="preserve"> Źródło: Bytomskie Mieszkania</w:t>
      </w:r>
    </w:p>
    <w:p w:rsidR="004044D1" w:rsidRPr="004044D1" w:rsidRDefault="004044D1" w:rsidP="00925CAD">
      <w:pPr>
        <w:rPr>
          <w:i/>
          <w:sz w:val="16"/>
          <w:szCs w:val="20"/>
        </w:rPr>
      </w:pPr>
    </w:p>
    <w:p w:rsidR="00925CAD" w:rsidRPr="00925CAD" w:rsidRDefault="00925CAD" w:rsidP="00925CAD">
      <w:pPr>
        <w:pStyle w:val="Legenda"/>
        <w:keepNext/>
        <w:spacing w:after="60"/>
      </w:pPr>
      <w:bookmarkStart w:id="7781" w:name="_Toc474925002"/>
      <w:r w:rsidRPr="00925CAD">
        <w:t xml:space="preserve">Ilustracja </w:t>
      </w:r>
      <w:r w:rsidR="003972D8" w:rsidRPr="00925CAD">
        <w:fldChar w:fldCharType="begin"/>
      </w:r>
      <w:r w:rsidRPr="00925CAD">
        <w:instrText xml:space="preserve"> SEQ Ilustracja \* ARABIC </w:instrText>
      </w:r>
      <w:r w:rsidR="003972D8" w:rsidRPr="00925CAD">
        <w:fldChar w:fldCharType="separate"/>
      </w:r>
      <w:r w:rsidR="00413FFE">
        <w:rPr>
          <w:noProof/>
        </w:rPr>
        <w:t>9</w:t>
      </w:r>
      <w:r w:rsidR="003972D8" w:rsidRPr="00925CAD">
        <w:fldChar w:fldCharType="end"/>
      </w:r>
      <w:r w:rsidRPr="00925CAD">
        <w:t>. Ul. Piłsudskiego 15</w:t>
      </w:r>
      <w:bookmarkEnd w:id="7781"/>
    </w:p>
    <w:p w:rsidR="00925CAD" w:rsidRPr="00925CAD" w:rsidRDefault="00925CAD" w:rsidP="00925CAD">
      <w:pPr>
        <w:rPr>
          <w:i/>
          <w:sz w:val="18"/>
          <w:szCs w:val="20"/>
        </w:rPr>
      </w:pPr>
      <w:r w:rsidRPr="00925CAD">
        <w:rPr>
          <w:i/>
          <w:noProof/>
          <w:sz w:val="18"/>
          <w:szCs w:val="20"/>
        </w:rPr>
        <w:drawing>
          <wp:inline distT="0" distB="0" distL="0" distR="0">
            <wp:extent cx="5760720" cy="1816500"/>
            <wp:effectExtent l="19050" t="0" r="0" b="0"/>
            <wp:docPr id="41" name="Obraz 21" descr="i:\Dokumenty_net\Moje obrazy\Nowy obraz (8).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i:\Dokumenty_net\Moje obrazy\Nowy obraz (8).bmp"/>
                    <pic:cNvPicPr>
                      <a:picLocks noChangeAspect="1" noChangeArrowheads="1"/>
                    </pic:cNvPicPr>
                  </pic:nvPicPr>
                  <pic:blipFill>
                    <a:blip r:embed="rId70" cstate="print"/>
                    <a:srcRect/>
                    <a:stretch>
                      <a:fillRect/>
                    </a:stretch>
                  </pic:blipFill>
                  <pic:spPr bwMode="auto">
                    <a:xfrm>
                      <a:off x="0" y="0"/>
                      <a:ext cx="5760720" cy="1816500"/>
                    </a:xfrm>
                    <a:prstGeom prst="rect">
                      <a:avLst/>
                    </a:prstGeom>
                    <a:noFill/>
                    <a:ln w="9525">
                      <a:noFill/>
                      <a:miter lim="800000"/>
                      <a:headEnd/>
                      <a:tailEnd/>
                    </a:ln>
                  </pic:spPr>
                </pic:pic>
              </a:graphicData>
            </a:graphic>
          </wp:inline>
        </w:drawing>
      </w:r>
      <w:r w:rsidRPr="00925CAD">
        <w:rPr>
          <w:i/>
          <w:sz w:val="18"/>
          <w:szCs w:val="20"/>
        </w:rPr>
        <w:t xml:space="preserve"> Źródło: Bytomskie Mieszkania</w:t>
      </w:r>
    </w:p>
    <w:p w:rsidR="00925CAD" w:rsidRPr="00925CAD" w:rsidRDefault="00925CAD" w:rsidP="00925CAD">
      <w:pPr>
        <w:pStyle w:val="Legenda"/>
        <w:keepNext/>
        <w:spacing w:after="60"/>
        <w:rPr>
          <w:b w:val="0"/>
          <w:i/>
          <w:noProof/>
        </w:rPr>
      </w:pPr>
      <w:bookmarkStart w:id="7782" w:name="_Toc474925003"/>
      <w:r w:rsidRPr="00925CAD">
        <w:lastRenderedPageBreak/>
        <w:t xml:space="preserve">Ilustracja </w:t>
      </w:r>
      <w:r w:rsidR="003972D8" w:rsidRPr="00925CAD">
        <w:fldChar w:fldCharType="begin"/>
      </w:r>
      <w:r w:rsidRPr="00925CAD">
        <w:instrText xml:space="preserve"> SEQ Ilustracja \* ARABIC </w:instrText>
      </w:r>
      <w:r w:rsidR="003972D8" w:rsidRPr="00925CAD">
        <w:fldChar w:fldCharType="separate"/>
      </w:r>
      <w:r w:rsidR="00413FFE">
        <w:rPr>
          <w:noProof/>
        </w:rPr>
        <w:t>10</w:t>
      </w:r>
      <w:r w:rsidR="003972D8" w:rsidRPr="00925CAD">
        <w:fldChar w:fldCharType="end"/>
      </w:r>
      <w:r w:rsidRPr="00925CAD">
        <w:t>. Ul. Piłsudskiego 34, 38</w:t>
      </w:r>
      <w:bookmarkEnd w:id="7782"/>
      <w:r w:rsidRPr="00925CAD">
        <w:t xml:space="preserve"> </w:t>
      </w:r>
    </w:p>
    <w:p w:rsidR="00925CAD" w:rsidRPr="00925CAD" w:rsidRDefault="00925CAD" w:rsidP="00925CAD">
      <w:pPr>
        <w:pStyle w:val="Legenda"/>
        <w:keepNext/>
      </w:pPr>
      <w:r w:rsidRPr="00925CAD">
        <w:rPr>
          <w:i/>
          <w:noProof/>
          <w:sz w:val="18"/>
        </w:rPr>
        <w:drawing>
          <wp:inline distT="0" distB="0" distL="0" distR="0">
            <wp:extent cx="5731579" cy="1800000"/>
            <wp:effectExtent l="19050" t="0" r="2471" b="0"/>
            <wp:docPr id="63" name="Obraz 60" descr="i:\Dokumenty_net\Moje obrazy\Nowy obraz (1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i:\Dokumenty_net\Moje obrazy\Nowy obraz (14).bmp"/>
                    <pic:cNvPicPr>
                      <a:picLocks noChangeAspect="1" noChangeArrowheads="1"/>
                    </pic:cNvPicPr>
                  </pic:nvPicPr>
                  <pic:blipFill>
                    <a:blip r:embed="rId71" cstate="print"/>
                    <a:srcRect/>
                    <a:stretch>
                      <a:fillRect/>
                    </a:stretch>
                  </pic:blipFill>
                  <pic:spPr bwMode="auto">
                    <a:xfrm>
                      <a:off x="0" y="0"/>
                      <a:ext cx="5731579" cy="1800000"/>
                    </a:xfrm>
                    <a:prstGeom prst="rect">
                      <a:avLst/>
                    </a:prstGeom>
                    <a:noFill/>
                    <a:ln w="9525">
                      <a:noFill/>
                      <a:miter lim="800000"/>
                      <a:headEnd/>
                      <a:tailEnd/>
                    </a:ln>
                  </pic:spPr>
                </pic:pic>
              </a:graphicData>
            </a:graphic>
          </wp:inline>
        </w:drawing>
      </w:r>
      <w:r w:rsidRPr="00925CAD">
        <w:rPr>
          <w:b w:val="0"/>
          <w:i/>
        </w:rPr>
        <w:t xml:space="preserve"> </w:t>
      </w:r>
      <w:r w:rsidRPr="00925CAD">
        <w:rPr>
          <w:b w:val="0"/>
          <w:i/>
          <w:sz w:val="18"/>
        </w:rPr>
        <w:t>Źródło: Bytomskie Mieszkania</w:t>
      </w:r>
    </w:p>
    <w:p w:rsidR="00925CAD" w:rsidRPr="007E7545" w:rsidRDefault="00925CAD" w:rsidP="00925CAD">
      <w:pPr>
        <w:rPr>
          <w:i/>
          <w:sz w:val="18"/>
          <w:szCs w:val="20"/>
        </w:rPr>
      </w:pPr>
    </w:p>
    <w:p w:rsidR="00B41B38" w:rsidRDefault="00925CAD" w:rsidP="00925CAD">
      <w:pPr>
        <w:pStyle w:val="Legenda"/>
        <w:keepNext/>
        <w:spacing w:after="60"/>
      </w:pPr>
      <w:bookmarkStart w:id="7783" w:name="_Toc474925004"/>
      <w:r w:rsidRPr="00925CAD">
        <w:t xml:space="preserve">Ilustracja </w:t>
      </w:r>
      <w:r w:rsidR="003972D8" w:rsidRPr="00925CAD">
        <w:fldChar w:fldCharType="begin"/>
      </w:r>
      <w:r w:rsidRPr="00925CAD">
        <w:instrText xml:space="preserve"> SEQ Ilustracja \* ARABIC </w:instrText>
      </w:r>
      <w:r w:rsidR="003972D8" w:rsidRPr="00925CAD">
        <w:fldChar w:fldCharType="separate"/>
      </w:r>
      <w:r w:rsidR="00413FFE">
        <w:rPr>
          <w:noProof/>
        </w:rPr>
        <w:t>11</w:t>
      </w:r>
      <w:r w:rsidR="003972D8" w:rsidRPr="00925CAD">
        <w:fldChar w:fldCharType="end"/>
      </w:r>
      <w:r w:rsidRPr="00925CAD">
        <w:t>. Ul. Konstytucji 31a, ul. Piecucha 10</w:t>
      </w:r>
      <w:bookmarkEnd w:id="7783"/>
    </w:p>
    <w:p w:rsidR="00925CAD" w:rsidRPr="00925CAD" w:rsidRDefault="00925CAD" w:rsidP="00925CAD">
      <w:pPr>
        <w:pStyle w:val="Legenda"/>
        <w:keepNext/>
      </w:pPr>
      <w:r w:rsidRPr="00925CAD">
        <w:rPr>
          <w:b w:val="0"/>
          <w:i/>
          <w:noProof/>
        </w:rPr>
        <w:drawing>
          <wp:inline distT="0" distB="0" distL="0" distR="0">
            <wp:extent cx="5760720" cy="1638695"/>
            <wp:effectExtent l="19050" t="0" r="0" b="0"/>
            <wp:docPr id="52" name="Obraz 38" descr="C:\Documents and Settings\kmieszala\Ustawienia lokalne\Temporary Internet Files\Content.Word\Nowy obraz (9).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Documents and Settings\kmieszala\Ustawienia lokalne\Temporary Internet Files\Content.Word\Nowy obraz (9).bmp"/>
                    <pic:cNvPicPr>
                      <a:picLocks noChangeAspect="1" noChangeArrowheads="1"/>
                    </pic:cNvPicPr>
                  </pic:nvPicPr>
                  <pic:blipFill>
                    <a:blip r:embed="rId72" cstate="print"/>
                    <a:srcRect/>
                    <a:stretch>
                      <a:fillRect/>
                    </a:stretch>
                  </pic:blipFill>
                  <pic:spPr bwMode="auto">
                    <a:xfrm>
                      <a:off x="0" y="0"/>
                      <a:ext cx="5760720" cy="1638695"/>
                    </a:xfrm>
                    <a:prstGeom prst="rect">
                      <a:avLst/>
                    </a:prstGeom>
                    <a:noFill/>
                    <a:ln w="9525">
                      <a:noFill/>
                      <a:miter lim="800000"/>
                      <a:headEnd/>
                      <a:tailEnd/>
                    </a:ln>
                  </pic:spPr>
                </pic:pic>
              </a:graphicData>
            </a:graphic>
          </wp:inline>
        </w:drawing>
      </w:r>
      <w:r w:rsidRPr="00925CAD">
        <w:rPr>
          <w:b w:val="0"/>
          <w:i/>
          <w:sz w:val="18"/>
        </w:rPr>
        <w:t xml:space="preserve"> Źródło: Bytomskie Mieszkania</w:t>
      </w:r>
    </w:p>
    <w:p w:rsidR="00925CAD" w:rsidRDefault="00925CAD" w:rsidP="00925CAD">
      <w:pPr>
        <w:jc w:val="both"/>
        <w:rPr>
          <w:szCs w:val="20"/>
        </w:rPr>
      </w:pPr>
    </w:p>
    <w:p w:rsidR="001C2FD4" w:rsidRPr="00C80963" w:rsidRDefault="001C2FD4" w:rsidP="00024B0F">
      <w:pPr>
        <w:ind w:firstLine="708"/>
        <w:jc w:val="both"/>
        <w:rPr>
          <w:color w:val="C00000"/>
          <w:szCs w:val="20"/>
        </w:rPr>
      </w:pPr>
      <w:r w:rsidRPr="00FD12C1">
        <w:rPr>
          <w:b/>
          <w:color w:val="C00000"/>
          <w:szCs w:val="20"/>
        </w:rPr>
        <w:t>Kumulacja tak wielu wiekowych budynków w złym stanie na niewielkiej przestrzeni jest sytuacją wyjątkową. Taki stan mieszkalnictwa utrwala występujące tam problemy społeczne.</w:t>
      </w:r>
      <w:r w:rsidRPr="00C80963">
        <w:rPr>
          <w:szCs w:val="20"/>
        </w:rPr>
        <w:t xml:space="preserve"> Środki finansowe niezbędne na poprawę jakości zasobu przekraczają nie tylko możliwości gminy, ale także krajowych środków pomocowych. </w:t>
      </w:r>
      <w:r w:rsidRPr="00FD12C1">
        <w:rPr>
          <w:b/>
          <w:color w:val="C00000"/>
          <w:szCs w:val="20"/>
        </w:rPr>
        <w:t>Program rewitalizacji jest w tym kontekście ważnym narzędziem poprawy stanu zasobu komunalnego.</w:t>
      </w:r>
      <w:r w:rsidRPr="00C80963">
        <w:rPr>
          <w:szCs w:val="20"/>
        </w:rPr>
        <w:t xml:space="preserve"> </w:t>
      </w:r>
      <w:r w:rsidRPr="00C80963">
        <w:rPr>
          <w:b/>
          <w:color w:val="C00000"/>
          <w:szCs w:val="20"/>
        </w:rPr>
        <w:t>Należy podkreślić, że bez radykalnej poprawy jakości środowiska mieszkaniowego inne działania rewitalizacyjne nie przyniosą oczekiwanych efektów.</w:t>
      </w:r>
      <w:r w:rsidRPr="00C80963">
        <w:rPr>
          <w:color w:val="C00000"/>
          <w:szCs w:val="20"/>
        </w:rPr>
        <w:t xml:space="preserve"> </w:t>
      </w:r>
    </w:p>
    <w:p w:rsidR="00D1694B" w:rsidRPr="00AD6898" w:rsidRDefault="00D1694B" w:rsidP="001C2FD4">
      <w:pPr>
        <w:rPr>
          <w:rFonts w:eastAsia="Calibri"/>
        </w:rPr>
      </w:pPr>
    </w:p>
    <w:p w:rsidR="001C2FD4" w:rsidRDefault="001C2FD4" w:rsidP="0055392F">
      <w:pPr>
        <w:pStyle w:val="Nagwek3"/>
        <w:numPr>
          <w:ilvl w:val="2"/>
          <w:numId w:val="388"/>
        </w:numPr>
        <w:ind w:left="567" w:hanging="505"/>
      </w:pPr>
      <w:bookmarkStart w:id="7784" w:name="_Toc461612538"/>
      <w:bookmarkStart w:id="7785" w:name="_Toc474924945"/>
      <w:r>
        <w:t>Sfera przestrzenno-funkcjonalna: Przestrzeń publiczna i aspekty funkcjonalne</w:t>
      </w:r>
      <w:bookmarkEnd w:id="7784"/>
      <w:bookmarkEnd w:id="7785"/>
    </w:p>
    <w:p w:rsidR="0041273E" w:rsidRPr="0041273E" w:rsidRDefault="0041273E" w:rsidP="0041273E"/>
    <w:p w:rsidR="001C2FD4" w:rsidRDefault="001C2FD4" w:rsidP="00303C53">
      <w:pPr>
        <w:ind w:firstLine="708"/>
        <w:jc w:val="both"/>
        <w:rPr>
          <w:szCs w:val="20"/>
        </w:rPr>
      </w:pPr>
      <w:r w:rsidRPr="00C80963">
        <w:rPr>
          <w:szCs w:val="20"/>
        </w:rPr>
        <w:t>Aspekt przestrzenny jest atutem dużej części obszaru rewitalizacji z powodu unikalnej architektury i</w:t>
      </w:r>
      <w:r w:rsidR="0013236B">
        <w:rPr>
          <w:szCs w:val="20"/>
        </w:rPr>
        <w:t> </w:t>
      </w:r>
      <w:r w:rsidRPr="00C80963">
        <w:rPr>
          <w:szCs w:val="20"/>
        </w:rPr>
        <w:t xml:space="preserve">zachowanych założeń urbanistycznych, co zostanie przedstawione w dalszej części diagnozy. Jednak zły stan techniczny wielu obiektów i zaniedbana przestrzeń wspólna powodują, że aspekt negatywny </w:t>
      </w:r>
      <w:r w:rsidR="00FD12C1" w:rsidRPr="00C80963">
        <w:rPr>
          <w:szCs w:val="20"/>
        </w:rPr>
        <w:t xml:space="preserve">przeważa </w:t>
      </w:r>
      <w:r w:rsidRPr="00C80963">
        <w:rPr>
          <w:szCs w:val="20"/>
        </w:rPr>
        <w:t xml:space="preserve">w wielu fragmentach obszaru rewitalizacji. </w:t>
      </w:r>
    </w:p>
    <w:p w:rsidR="00D92BA0" w:rsidRPr="00246002" w:rsidRDefault="00D92BA0" w:rsidP="00024B0F">
      <w:pPr>
        <w:jc w:val="both"/>
        <w:rPr>
          <w:rFonts w:cstheme="minorHAnsi"/>
          <w:szCs w:val="20"/>
        </w:rPr>
      </w:pPr>
      <w:r w:rsidRPr="00246002">
        <w:rPr>
          <w:rFonts w:cstheme="minorHAnsi"/>
          <w:szCs w:val="20"/>
        </w:rPr>
        <w:t>Przestrzeń publiczną w obszarze rewitalizacji stanowią przede wszystkim: ulice, place, parki i skwery</w:t>
      </w:r>
      <w:r w:rsidR="00FD12C1">
        <w:rPr>
          <w:rFonts w:cstheme="minorHAnsi"/>
          <w:szCs w:val="20"/>
        </w:rPr>
        <w:t>,</w:t>
      </w:r>
      <w:r w:rsidRPr="00246002">
        <w:rPr>
          <w:rFonts w:cstheme="minorHAnsi"/>
          <w:szCs w:val="20"/>
        </w:rPr>
        <w:t xml:space="preserve"> a potencjalną przestrzeń półpubliczną – przede wszystkim wnętrza kwartałów. Jakość przestrzeni publicznej oraz sposób jej zagospodarowania wpływa w decydującym stopniu na postrzeganie rew</w:t>
      </w:r>
      <w:r w:rsidR="0053051A">
        <w:rPr>
          <w:rFonts w:cstheme="minorHAnsi"/>
          <w:szCs w:val="20"/>
        </w:rPr>
        <w:t xml:space="preserve">italizowanego obszaru i miasta. </w:t>
      </w:r>
      <w:r w:rsidRPr="00FD12C1">
        <w:rPr>
          <w:rFonts w:cstheme="minorHAnsi"/>
          <w:b/>
          <w:color w:val="C00000"/>
          <w:szCs w:val="20"/>
        </w:rPr>
        <w:t>Stan przestrzeni publicznych na obszarach rewitalizacji w Bytomiu uległ głębokiej degradacji</w:t>
      </w:r>
      <w:r w:rsidRPr="00FD12C1">
        <w:rPr>
          <w:rFonts w:cstheme="minorHAnsi"/>
          <w:color w:val="C00000"/>
          <w:szCs w:val="20"/>
        </w:rPr>
        <w:t>.</w:t>
      </w:r>
      <w:r w:rsidRPr="00246002">
        <w:rPr>
          <w:rFonts w:cstheme="minorHAnsi"/>
          <w:szCs w:val="20"/>
        </w:rPr>
        <w:t xml:space="preserve"> Zachowanie wartości kulturowo-przyrodniczych i ożywianie przestrzeni tych obszarów wymaga podjęcia kompleksowych, zakrojonych na szeroką skalę działań konserwacyjnych i modernizacyjnych przy konieczności racjonalnego gospodarowania przestrzenią w warunkach ograniczania liczby mieszkańców.</w:t>
      </w:r>
    </w:p>
    <w:p w:rsidR="00D92BA0" w:rsidRPr="00FD12C1" w:rsidRDefault="00D92BA0" w:rsidP="00024B0F">
      <w:pPr>
        <w:jc w:val="both"/>
        <w:rPr>
          <w:rFonts w:cstheme="minorHAnsi"/>
          <w:b/>
          <w:color w:val="C00000"/>
          <w:szCs w:val="20"/>
        </w:rPr>
      </w:pPr>
      <w:r w:rsidRPr="00FD12C1">
        <w:rPr>
          <w:rFonts w:cstheme="minorHAnsi"/>
          <w:b/>
          <w:color w:val="C00000"/>
          <w:szCs w:val="20"/>
        </w:rPr>
        <w:t>Specyfiką obszarów rewitalizacji jest nasycenie przestrzeni zabytkami oraz regres funkcji w klucz</w:t>
      </w:r>
      <w:r w:rsidR="00866333" w:rsidRPr="00FD12C1">
        <w:rPr>
          <w:rFonts w:cstheme="minorHAnsi"/>
          <w:b/>
          <w:color w:val="C00000"/>
          <w:szCs w:val="20"/>
        </w:rPr>
        <w:t>owych przestrzeniach publicznych</w:t>
      </w:r>
      <w:r w:rsidR="00FD12C1" w:rsidRPr="00FD12C1">
        <w:rPr>
          <w:rFonts w:cstheme="minorHAnsi"/>
          <w:b/>
          <w:color w:val="C00000"/>
          <w:szCs w:val="20"/>
        </w:rPr>
        <w:t>.</w:t>
      </w:r>
      <w:r w:rsidRPr="00FD12C1">
        <w:rPr>
          <w:rFonts w:cstheme="minorHAnsi"/>
          <w:b/>
          <w:color w:val="C00000"/>
          <w:szCs w:val="20"/>
        </w:rPr>
        <w:t xml:space="preserve"> </w:t>
      </w:r>
    </w:p>
    <w:p w:rsidR="00AB5C87" w:rsidRDefault="00AB5C87" w:rsidP="00FD12C1">
      <w:pPr>
        <w:pStyle w:val="Standard"/>
        <w:spacing w:after="0" w:line="240" w:lineRule="auto"/>
        <w:ind w:firstLine="708"/>
        <w:jc w:val="both"/>
        <w:rPr>
          <w:rFonts w:asciiTheme="minorHAnsi" w:hAnsiTheme="minorHAnsi"/>
          <w:color w:val="000000"/>
          <w:kern w:val="0"/>
          <w:sz w:val="20"/>
          <w:szCs w:val="20"/>
        </w:rPr>
      </w:pPr>
    </w:p>
    <w:p w:rsidR="00866333" w:rsidRPr="00061817" w:rsidRDefault="00866333" w:rsidP="00FD12C1">
      <w:pPr>
        <w:pStyle w:val="Standard"/>
        <w:spacing w:after="0" w:line="240" w:lineRule="auto"/>
        <w:ind w:firstLine="708"/>
        <w:jc w:val="both"/>
        <w:rPr>
          <w:rFonts w:asciiTheme="minorHAnsi" w:eastAsia="Calibri" w:hAnsiTheme="minorHAnsi"/>
          <w:b/>
          <w:sz w:val="20"/>
          <w:szCs w:val="20"/>
        </w:rPr>
      </w:pPr>
      <w:r w:rsidRPr="00061817">
        <w:rPr>
          <w:rFonts w:asciiTheme="minorHAnsi" w:eastAsia="Calibri" w:hAnsiTheme="minorHAnsi"/>
          <w:b/>
          <w:sz w:val="20"/>
          <w:szCs w:val="20"/>
        </w:rPr>
        <w:lastRenderedPageBreak/>
        <w:t>Stan techniczny elewacji budynków</w:t>
      </w:r>
      <w:r w:rsidR="00AB5C87">
        <w:rPr>
          <w:rFonts w:asciiTheme="minorHAnsi" w:eastAsia="Calibri" w:hAnsiTheme="minorHAnsi"/>
          <w:b/>
          <w:sz w:val="20"/>
          <w:szCs w:val="20"/>
        </w:rPr>
        <w:t>,</w:t>
      </w:r>
      <w:r w:rsidR="00AB5C87" w:rsidRPr="00AB5C87">
        <w:rPr>
          <w:rFonts w:asciiTheme="minorHAnsi" w:hAnsiTheme="minorHAnsi"/>
          <w:color w:val="000000"/>
          <w:kern w:val="0"/>
          <w:sz w:val="20"/>
          <w:szCs w:val="20"/>
        </w:rPr>
        <w:t xml:space="preserve"> </w:t>
      </w:r>
      <w:r w:rsidR="00C20026" w:rsidRPr="00C20026">
        <w:rPr>
          <w:rFonts w:asciiTheme="minorHAnsi" w:hAnsiTheme="minorHAnsi"/>
          <w:b/>
          <w:color w:val="000000"/>
          <w:kern w:val="0"/>
          <w:sz w:val="20"/>
          <w:szCs w:val="20"/>
        </w:rPr>
        <w:t xml:space="preserve">oceniany na podstawie </w:t>
      </w:r>
      <w:r w:rsidR="00C20026">
        <w:rPr>
          <w:rFonts w:asciiTheme="minorHAnsi" w:hAnsiTheme="minorHAnsi"/>
          <w:b/>
          <w:color w:val="000000"/>
          <w:kern w:val="0"/>
          <w:sz w:val="20"/>
          <w:szCs w:val="20"/>
        </w:rPr>
        <w:t>okresowych rocznych obowiązkowych przeglądów ogólnobudowlanych</w:t>
      </w:r>
      <w:r w:rsidR="00AB5C87" w:rsidRPr="00AB5C87">
        <w:rPr>
          <w:rFonts w:asciiTheme="minorHAnsi" w:hAnsiTheme="minorHAnsi"/>
          <w:b/>
          <w:color w:val="000000"/>
          <w:kern w:val="0"/>
          <w:sz w:val="20"/>
          <w:szCs w:val="20"/>
        </w:rPr>
        <w:t xml:space="preserve"> budynków komunalnych</w:t>
      </w:r>
      <w:r w:rsidR="00AB5C87">
        <w:rPr>
          <w:rFonts w:asciiTheme="minorHAnsi" w:eastAsia="Calibri" w:hAnsiTheme="minorHAnsi"/>
          <w:b/>
          <w:sz w:val="20"/>
          <w:szCs w:val="20"/>
        </w:rPr>
        <w:t>,</w:t>
      </w:r>
      <w:r w:rsidRPr="00061817">
        <w:rPr>
          <w:rFonts w:asciiTheme="minorHAnsi" w:eastAsia="Calibri" w:hAnsiTheme="minorHAnsi"/>
          <w:b/>
          <w:sz w:val="20"/>
          <w:szCs w:val="20"/>
        </w:rPr>
        <w:t xml:space="preserve"> należących do gminy określany jest w</w:t>
      </w:r>
      <w:r w:rsidR="00C20026">
        <w:rPr>
          <w:rFonts w:asciiTheme="minorHAnsi" w:eastAsia="Calibri" w:hAnsiTheme="minorHAnsi"/>
          <w:b/>
          <w:sz w:val="20"/>
          <w:szCs w:val="20"/>
        </w:rPr>
        <w:t> </w:t>
      </w:r>
      <w:r w:rsidRPr="00061817">
        <w:rPr>
          <w:rFonts w:asciiTheme="minorHAnsi" w:eastAsia="Calibri" w:hAnsiTheme="minorHAnsi"/>
          <w:b/>
          <w:sz w:val="20"/>
          <w:szCs w:val="20"/>
        </w:rPr>
        <w:t>skali czterostopniowej jako:</w:t>
      </w:r>
    </w:p>
    <w:p w:rsidR="003654E4" w:rsidRDefault="00882E92" w:rsidP="004039A2">
      <w:pPr>
        <w:pStyle w:val="Akapitzlist"/>
        <w:numPr>
          <w:ilvl w:val="0"/>
          <w:numId w:val="160"/>
        </w:numPr>
        <w:suppressAutoHyphens/>
        <w:autoSpaceDN w:val="0"/>
        <w:spacing w:after="0" w:line="240" w:lineRule="auto"/>
        <w:ind w:left="714" w:hanging="357"/>
        <w:jc w:val="both"/>
        <w:textAlignment w:val="baseline"/>
        <w:rPr>
          <w:rFonts w:asciiTheme="minorHAnsi" w:hAnsiTheme="minorHAnsi"/>
          <w:sz w:val="20"/>
          <w:szCs w:val="20"/>
          <w:shd w:val="clear" w:color="auto" w:fill="FFFFFF"/>
        </w:rPr>
      </w:pPr>
      <w:r w:rsidRPr="00882E92">
        <w:rPr>
          <w:rFonts w:asciiTheme="minorHAnsi" w:hAnsiTheme="minorHAnsi"/>
          <w:b/>
          <w:sz w:val="20"/>
          <w:szCs w:val="20"/>
          <w:shd w:val="clear" w:color="auto" w:fill="FFFFFF"/>
        </w:rPr>
        <w:t>bardzo dobry</w:t>
      </w:r>
      <w:r>
        <w:rPr>
          <w:rFonts w:asciiTheme="minorHAnsi" w:hAnsiTheme="minorHAnsi"/>
          <w:sz w:val="20"/>
          <w:szCs w:val="20"/>
          <w:shd w:val="clear" w:color="auto" w:fill="FFFFFF"/>
        </w:rPr>
        <w:t xml:space="preserve"> - </w:t>
      </w:r>
      <w:r w:rsidR="00866333" w:rsidRPr="00CA781B">
        <w:rPr>
          <w:rFonts w:asciiTheme="minorHAnsi" w:hAnsiTheme="minorHAnsi"/>
          <w:sz w:val="20"/>
          <w:szCs w:val="20"/>
          <w:shd w:val="clear" w:color="auto" w:fill="FFFFFF"/>
        </w:rPr>
        <w:t>0,9</w:t>
      </w:r>
      <w:r>
        <w:rPr>
          <w:rFonts w:asciiTheme="minorHAnsi" w:hAnsiTheme="minorHAnsi"/>
          <w:sz w:val="20"/>
          <w:szCs w:val="20"/>
          <w:shd w:val="clear" w:color="auto" w:fill="FFFFFF"/>
        </w:rPr>
        <w:t>% wszystkich budynków gminnych</w:t>
      </w:r>
      <w:r w:rsidR="00866333" w:rsidRPr="00CA781B">
        <w:rPr>
          <w:rFonts w:asciiTheme="minorHAnsi" w:hAnsiTheme="minorHAnsi"/>
          <w:sz w:val="20"/>
          <w:szCs w:val="20"/>
          <w:shd w:val="clear" w:color="auto" w:fill="FFFFFF"/>
        </w:rPr>
        <w:t>,</w:t>
      </w:r>
    </w:p>
    <w:p w:rsidR="003654E4" w:rsidRDefault="00882E92" w:rsidP="004039A2">
      <w:pPr>
        <w:pStyle w:val="Akapitzlist"/>
        <w:numPr>
          <w:ilvl w:val="0"/>
          <w:numId w:val="159"/>
        </w:numPr>
        <w:suppressAutoHyphens/>
        <w:autoSpaceDN w:val="0"/>
        <w:spacing w:after="0" w:line="240" w:lineRule="auto"/>
        <w:ind w:left="714" w:hanging="357"/>
        <w:jc w:val="both"/>
        <w:textAlignment w:val="baseline"/>
        <w:rPr>
          <w:rFonts w:asciiTheme="minorHAnsi" w:hAnsiTheme="minorHAnsi"/>
          <w:sz w:val="20"/>
          <w:szCs w:val="20"/>
          <w:shd w:val="clear" w:color="auto" w:fill="FFFFFF"/>
        </w:rPr>
      </w:pPr>
      <w:r w:rsidRPr="00882E92">
        <w:rPr>
          <w:rFonts w:asciiTheme="minorHAnsi" w:hAnsiTheme="minorHAnsi"/>
          <w:b/>
          <w:sz w:val="20"/>
          <w:szCs w:val="20"/>
          <w:shd w:val="clear" w:color="auto" w:fill="FFFFFF"/>
        </w:rPr>
        <w:t>zadowalający</w:t>
      </w:r>
      <w:r>
        <w:rPr>
          <w:rFonts w:asciiTheme="minorHAnsi" w:hAnsiTheme="minorHAnsi"/>
          <w:sz w:val="20"/>
          <w:szCs w:val="20"/>
          <w:shd w:val="clear" w:color="auto" w:fill="FFFFFF"/>
        </w:rPr>
        <w:t xml:space="preserve"> - </w:t>
      </w:r>
      <w:r w:rsidR="00C20026">
        <w:rPr>
          <w:rFonts w:asciiTheme="minorHAnsi" w:hAnsiTheme="minorHAnsi"/>
          <w:sz w:val="20"/>
          <w:szCs w:val="20"/>
          <w:shd w:val="clear" w:color="auto" w:fill="FFFFFF"/>
        </w:rPr>
        <w:t>18,9%</w:t>
      </w:r>
      <w:r w:rsidR="00866333" w:rsidRPr="00CA781B">
        <w:rPr>
          <w:rFonts w:asciiTheme="minorHAnsi" w:hAnsiTheme="minorHAnsi"/>
          <w:sz w:val="20"/>
          <w:szCs w:val="20"/>
          <w:shd w:val="clear" w:color="auto" w:fill="FFFFFF"/>
        </w:rPr>
        <w:t xml:space="preserve"> ws</w:t>
      </w:r>
      <w:r>
        <w:rPr>
          <w:rFonts w:asciiTheme="minorHAnsi" w:hAnsiTheme="minorHAnsi"/>
          <w:sz w:val="20"/>
          <w:szCs w:val="20"/>
          <w:shd w:val="clear" w:color="auto" w:fill="FFFFFF"/>
        </w:rPr>
        <w:t>zystkich budynków gminnych</w:t>
      </w:r>
      <w:r w:rsidR="00866333" w:rsidRPr="00CA781B">
        <w:rPr>
          <w:rFonts w:asciiTheme="minorHAnsi" w:hAnsiTheme="minorHAnsi"/>
          <w:sz w:val="20"/>
          <w:szCs w:val="20"/>
          <w:shd w:val="clear" w:color="auto" w:fill="FFFFFF"/>
        </w:rPr>
        <w:t>,</w:t>
      </w:r>
    </w:p>
    <w:p w:rsidR="003654E4" w:rsidRDefault="00882E92" w:rsidP="004039A2">
      <w:pPr>
        <w:pStyle w:val="Akapitzlist"/>
        <w:numPr>
          <w:ilvl w:val="0"/>
          <w:numId w:val="159"/>
        </w:numPr>
        <w:suppressAutoHyphens/>
        <w:autoSpaceDN w:val="0"/>
        <w:spacing w:after="0" w:line="240" w:lineRule="auto"/>
        <w:ind w:left="714" w:hanging="357"/>
        <w:jc w:val="both"/>
        <w:textAlignment w:val="baseline"/>
        <w:rPr>
          <w:rFonts w:asciiTheme="minorHAnsi" w:hAnsiTheme="minorHAnsi"/>
          <w:sz w:val="20"/>
          <w:szCs w:val="20"/>
          <w:shd w:val="clear" w:color="auto" w:fill="FFFFFF"/>
        </w:rPr>
      </w:pPr>
      <w:r w:rsidRPr="00882E92">
        <w:rPr>
          <w:rFonts w:asciiTheme="minorHAnsi" w:hAnsiTheme="minorHAnsi"/>
          <w:b/>
          <w:sz w:val="20"/>
          <w:szCs w:val="20"/>
          <w:shd w:val="clear" w:color="auto" w:fill="FFFFFF"/>
        </w:rPr>
        <w:t>średni</w:t>
      </w:r>
      <w:r>
        <w:rPr>
          <w:rFonts w:asciiTheme="minorHAnsi" w:hAnsiTheme="minorHAnsi"/>
          <w:sz w:val="20"/>
          <w:szCs w:val="20"/>
          <w:shd w:val="clear" w:color="auto" w:fill="FFFFFF"/>
        </w:rPr>
        <w:t xml:space="preserve"> - </w:t>
      </w:r>
      <w:r w:rsidR="00866333" w:rsidRPr="00CA781B">
        <w:rPr>
          <w:rFonts w:asciiTheme="minorHAnsi" w:hAnsiTheme="minorHAnsi"/>
          <w:sz w:val="20"/>
          <w:szCs w:val="20"/>
          <w:shd w:val="clear" w:color="auto" w:fill="FFFFFF"/>
        </w:rPr>
        <w:t>67,0</w:t>
      </w:r>
      <w:r>
        <w:rPr>
          <w:rFonts w:asciiTheme="minorHAnsi" w:hAnsiTheme="minorHAnsi"/>
          <w:sz w:val="20"/>
          <w:szCs w:val="20"/>
          <w:shd w:val="clear" w:color="auto" w:fill="FFFFFF"/>
        </w:rPr>
        <w:t>% wszystkich budynków gminnych</w:t>
      </w:r>
      <w:r w:rsidR="00866333" w:rsidRPr="00CA781B">
        <w:rPr>
          <w:rFonts w:asciiTheme="minorHAnsi" w:hAnsiTheme="minorHAnsi"/>
          <w:sz w:val="20"/>
          <w:szCs w:val="20"/>
          <w:shd w:val="clear" w:color="auto" w:fill="FFFFFF"/>
        </w:rPr>
        <w:t>,</w:t>
      </w:r>
    </w:p>
    <w:p w:rsidR="003654E4" w:rsidRDefault="00882E92" w:rsidP="004039A2">
      <w:pPr>
        <w:pStyle w:val="Akapitzlist"/>
        <w:numPr>
          <w:ilvl w:val="0"/>
          <w:numId w:val="159"/>
        </w:numPr>
        <w:suppressAutoHyphens/>
        <w:autoSpaceDN w:val="0"/>
        <w:spacing w:after="0" w:line="240" w:lineRule="auto"/>
        <w:ind w:left="714" w:hanging="357"/>
        <w:jc w:val="both"/>
        <w:textAlignment w:val="baseline"/>
        <w:rPr>
          <w:rFonts w:asciiTheme="minorHAnsi" w:hAnsiTheme="minorHAnsi"/>
        </w:rPr>
      </w:pPr>
      <w:r w:rsidRPr="00882E92">
        <w:rPr>
          <w:rFonts w:asciiTheme="minorHAnsi" w:hAnsiTheme="minorHAnsi"/>
          <w:b/>
          <w:color w:val="000000"/>
          <w:sz w:val="20"/>
          <w:szCs w:val="20"/>
          <w:shd w:val="clear" w:color="auto" w:fill="FFFFFF"/>
        </w:rPr>
        <w:t>zły</w:t>
      </w:r>
      <w:r>
        <w:rPr>
          <w:rFonts w:asciiTheme="minorHAnsi" w:hAnsiTheme="minorHAnsi"/>
          <w:color w:val="000000"/>
          <w:sz w:val="20"/>
          <w:szCs w:val="20"/>
          <w:shd w:val="clear" w:color="auto" w:fill="FFFFFF"/>
        </w:rPr>
        <w:t xml:space="preserve"> - </w:t>
      </w:r>
      <w:r w:rsidR="00C20026">
        <w:rPr>
          <w:rFonts w:asciiTheme="minorHAnsi" w:hAnsiTheme="minorHAnsi"/>
          <w:color w:val="000000"/>
          <w:sz w:val="20"/>
          <w:szCs w:val="20"/>
          <w:shd w:val="clear" w:color="auto" w:fill="FFFFFF"/>
        </w:rPr>
        <w:t>13,2</w:t>
      </w:r>
      <w:r w:rsidR="00866333" w:rsidRPr="00CA781B">
        <w:rPr>
          <w:rFonts w:asciiTheme="minorHAnsi" w:hAnsiTheme="minorHAnsi"/>
          <w:color w:val="000000"/>
          <w:sz w:val="20"/>
          <w:szCs w:val="20"/>
          <w:shd w:val="clear" w:color="auto" w:fill="FFFFFF"/>
        </w:rPr>
        <w:t>% wszystkich budynków gminnych</w:t>
      </w:r>
      <w:r w:rsidR="00866333" w:rsidRPr="00CA781B">
        <w:rPr>
          <w:rStyle w:val="Odwoanieprzypisudolnego"/>
          <w:rFonts w:asciiTheme="minorHAnsi" w:hAnsiTheme="minorHAnsi"/>
          <w:color w:val="000000"/>
          <w:sz w:val="20"/>
          <w:szCs w:val="20"/>
          <w:shd w:val="clear" w:color="auto" w:fill="FFFFFF"/>
        </w:rPr>
        <w:footnoteReference w:id="35"/>
      </w:r>
      <w:r w:rsidR="00866333" w:rsidRPr="00CA781B">
        <w:rPr>
          <w:rFonts w:asciiTheme="minorHAnsi" w:hAnsiTheme="minorHAnsi"/>
          <w:color w:val="000000"/>
          <w:sz w:val="20"/>
          <w:szCs w:val="20"/>
          <w:shd w:val="clear" w:color="auto" w:fill="FFFFFF"/>
        </w:rPr>
        <w:t>.</w:t>
      </w:r>
    </w:p>
    <w:p w:rsidR="00866333" w:rsidRDefault="00866333" w:rsidP="004039A2">
      <w:pPr>
        <w:pStyle w:val="Standard"/>
        <w:spacing w:after="0"/>
        <w:jc w:val="both"/>
        <w:rPr>
          <w:sz w:val="20"/>
        </w:rPr>
      </w:pPr>
    </w:p>
    <w:p w:rsidR="001015B7" w:rsidRDefault="001015B7" w:rsidP="001015B7">
      <w:pPr>
        <w:pStyle w:val="Legenda"/>
        <w:spacing w:line="312" w:lineRule="auto"/>
        <w:rPr>
          <w:rFonts w:ascii="Calibri" w:hAnsi="Calibri" w:cs="Calibri"/>
        </w:rPr>
      </w:pPr>
      <w:bookmarkStart w:id="7786" w:name="_Toc202771116"/>
      <w:r>
        <w:rPr>
          <w:rFonts w:ascii="Calibri" w:hAnsi="Calibri" w:cs="Calibri"/>
        </w:rPr>
        <w:t xml:space="preserve">Tabela </w:t>
      </w:r>
      <w:r w:rsidR="003972D8">
        <w:rPr>
          <w:rFonts w:ascii="Calibri" w:hAnsi="Calibri" w:cs="Calibri"/>
        </w:rPr>
        <w:fldChar w:fldCharType="begin"/>
      </w:r>
      <w:r>
        <w:rPr>
          <w:rFonts w:ascii="Calibri" w:hAnsi="Calibri" w:cs="Calibri"/>
        </w:rPr>
        <w:instrText xml:space="preserve"> SEQ Tabela \* ARABIC </w:instrText>
      </w:r>
      <w:r w:rsidR="003972D8">
        <w:rPr>
          <w:rFonts w:ascii="Calibri" w:hAnsi="Calibri" w:cs="Calibri"/>
        </w:rPr>
        <w:fldChar w:fldCharType="separate"/>
      </w:r>
      <w:r w:rsidR="00413FFE">
        <w:rPr>
          <w:rFonts w:ascii="Calibri" w:hAnsi="Calibri" w:cs="Calibri"/>
          <w:noProof/>
        </w:rPr>
        <w:t>22</w:t>
      </w:r>
      <w:r w:rsidR="003972D8">
        <w:rPr>
          <w:rFonts w:ascii="Calibri" w:hAnsi="Calibri" w:cs="Calibri"/>
        </w:rPr>
        <w:fldChar w:fldCharType="end"/>
      </w:r>
      <w:r>
        <w:rPr>
          <w:rFonts w:ascii="Calibri" w:hAnsi="Calibri" w:cs="Calibri"/>
        </w:rPr>
        <w:t>. Kryteria oceny i klasyfikacji technicznej stanu zużycia technicznego elewacji budynku</w:t>
      </w:r>
      <w:bookmarkEnd w:id="7786"/>
      <w:r>
        <w:rPr>
          <w:rFonts w:ascii="Calibri" w:hAnsi="Calibri" w:cs="Calibri"/>
        </w:rPr>
        <w:t xml:space="preserve"> </w:t>
      </w:r>
    </w:p>
    <w:tbl>
      <w:tblPr>
        <w:tblW w:w="907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tblPr>
      <w:tblGrid>
        <w:gridCol w:w="1843"/>
        <w:gridCol w:w="1843"/>
        <w:gridCol w:w="5384"/>
      </w:tblGrid>
      <w:tr w:rsidR="00866333" w:rsidRPr="001015B7" w:rsidTr="00111CC9">
        <w:tc>
          <w:tcPr>
            <w:tcW w:w="1843" w:type="dxa"/>
            <w:shd w:val="clear" w:color="auto" w:fill="99CCFF"/>
            <w:tcMar>
              <w:top w:w="55" w:type="dxa"/>
              <w:left w:w="55" w:type="dxa"/>
              <w:bottom w:w="55" w:type="dxa"/>
              <w:right w:w="55" w:type="dxa"/>
            </w:tcMar>
            <w:vAlign w:val="center"/>
          </w:tcPr>
          <w:p w:rsidR="00866333" w:rsidRPr="001015B7" w:rsidRDefault="00866333" w:rsidP="00111CC9">
            <w:pPr>
              <w:pStyle w:val="TableContents"/>
              <w:spacing w:after="0" w:line="240" w:lineRule="auto"/>
              <w:jc w:val="center"/>
              <w:rPr>
                <w:b/>
                <w:sz w:val="20"/>
                <w:szCs w:val="20"/>
              </w:rPr>
            </w:pPr>
            <w:r w:rsidRPr="001015B7">
              <w:rPr>
                <w:b/>
                <w:sz w:val="20"/>
                <w:szCs w:val="20"/>
              </w:rPr>
              <w:t>Klasyfikacja stanu technicznego</w:t>
            </w:r>
          </w:p>
        </w:tc>
        <w:tc>
          <w:tcPr>
            <w:tcW w:w="1843" w:type="dxa"/>
            <w:shd w:val="clear" w:color="auto" w:fill="99CCFF"/>
            <w:tcMar>
              <w:top w:w="55" w:type="dxa"/>
              <w:left w:w="55" w:type="dxa"/>
              <w:bottom w:w="55" w:type="dxa"/>
              <w:right w:w="55" w:type="dxa"/>
            </w:tcMar>
            <w:vAlign w:val="center"/>
          </w:tcPr>
          <w:p w:rsidR="00866333" w:rsidRPr="001015B7" w:rsidRDefault="00866333" w:rsidP="00111CC9">
            <w:pPr>
              <w:pStyle w:val="TableContents"/>
              <w:spacing w:after="0" w:line="240" w:lineRule="auto"/>
              <w:jc w:val="center"/>
              <w:rPr>
                <w:b/>
                <w:sz w:val="20"/>
                <w:szCs w:val="20"/>
              </w:rPr>
            </w:pPr>
            <w:r w:rsidRPr="001015B7">
              <w:rPr>
                <w:b/>
                <w:sz w:val="20"/>
                <w:szCs w:val="20"/>
              </w:rPr>
              <w:t>Procentowe zużycie elementów</w:t>
            </w:r>
          </w:p>
        </w:tc>
        <w:tc>
          <w:tcPr>
            <w:tcW w:w="5384" w:type="dxa"/>
            <w:shd w:val="clear" w:color="auto" w:fill="99CCFF"/>
            <w:tcMar>
              <w:top w:w="55" w:type="dxa"/>
              <w:left w:w="55" w:type="dxa"/>
              <w:bottom w:w="55" w:type="dxa"/>
              <w:right w:w="55" w:type="dxa"/>
            </w:tcMar>
            <w:vAlign w:val="center"/>
          </w:tcPr>
          <w:p w:rsidR="00866333" w:rsidRPr="001015B7" w:rsidRDefault="00866333" w:rsidP="00111CC9">
            <w:pPr>
              <w:pStyle w:val="TableContents"/>
              <w:spacing w:after="0" w:line="240" w:lineRule="auto"/>
              <w:jc w:val="center"/>
              <w:rPr>
                <w:b/>
                <w:sz w:val="20"/>
                <w:szCs w:val="20"/>
              </w:rPr>
            </w:pPr>
            <w:r w:rsidRPr="001015B7">
              <w:rPr>
                <w:b/>
                <w:sz w:val="20"/>
                <w:szCs w:val="20"/>
              </w:rPr>
              <w:t>Kryterium oceny</w:t>
            </w:r>
          </w:p>
        </w:tc>
      </w:tr>
      <w:tr w:rsidR="00866333" w:rsidRPr="00CA781B" w:rsidTr="001015B7">
        <w:tc>
          <w:tcPr>
            <w:tcW w:w="1843" w:type="dxa"/>
            <w:tcMar>
              <w:top w:w="55" w:type="dxa"/>
              <w:left w:w="55" w:type="dxa"/>
              <w:bottom w:w="55" w:type="dxa"/>
              <w:right w:w="55" w:type="dxa"/>
            </w:tcMar>
            <w:vAlign w:val="center"/>
          </w:tcPr>
          <w:p w:rsidR="00866333" w:rsidRPr="00C2636D" w:rsidRDefault="00866333" w:rsidP="001015B7">
            <w:pPr>
              <w:pStyle w:val="TableContents"/>
              <w:spacing w:after="0" w:line="240" w:lineRule="auto"/>
              <w:rPr>
                <w:b/>
                <w:sz w:val="20"/>
                <w:szCs w:val="20"/>
              </w:rPr>
            </w:pPr>
            <w:r w:rsidRPr="00C2636D">
              <w:rPr>
                <w:b/>
                <w:sz w:val="20"/>
                <w:szCs w:val="20"/>
              </w:rPr>
              <w:t>bardzo dobry</w:t>
            </w:r>
          </w:p>
        </w:tc>
        <w:tc>
          <w:tcPr>
            <w:tcW w:w="1843" w:type="dxa"/>
            <w:tcMar>
              <w:top w:w="55" w:type="dxa"/>
              <w:left w:w="55" w:type="dxa"/>
              <w:bottom w:w="55" w:type="dxa"/>
              <w:right w:w="55" w:type="dxa"/>
            </w:tcMar>
            <w:vAlign w:val="center"/>
          </w:tcPr>
          <w:p w:rsidR="00866333" w:rsidRPr="00CA781B" w:rsidRDefault="00866333" w:rsidP="00CA781B">
            <w:pPr>
              <w:pStyle w:val="TableContents"/>
              <w:spacing w:after="0" w:line="240" w:lineRule="auto"/>
              <w:jc w:val="center"/>
              <w:rPr>
                <w:sz w:val="20"/>
                <w:szCs w:val="20"/>
              </w:rPr>
            </w:pPr>
            <w:r w:rsidRPr="00CA781B">
              <w:rPr>
                <w:sz w:val="20"/>
                <w:szCs w:val="20"/>
              </w:rPr>
              <w:t>do 15</w:t>
            </w:r>
            <w:r w:rsidR="001015B7">
              <w:rPr>
                <w:sz w:val="20"/>
                <w:szCs w:val="20"/>
              </w:rPr>
              <w:t>%</w:t>
            </w:r>
          </w:p>
        </w:tc>
        <w:tc>
          <w:tcPr>
            <w:tcW w:w="5384" w:type="dxa"/>
            <w:tcMar>
              <w:top w:w="55" w:type="dxa"/>
              <w:left w:w="55" w:type="dxa"/>
              <w:bottom w:w="55" w:type="dxa"/>
              <w:right w:w="55" w:type="dxa"/>
            </w:tcMar>
            <w:vAlign w:val="center"/>
          </w:tcPr>
          <w:p w:rsidR="00866333" w:rsidRPr="00CA781B" w:rsidRDefault="00866333" w:rsidP="009515BA">
            <w:pPr>
              <w:pStyle w:val="TableContents"/>
              <w:spacing w:after="0" w:line="240" w:lineRule="auto"/>
              <w:jc w:val="both"/>
              <w:rPr>
                <w:sz w:val="20"/>
                <w:szCs w:val="20"/>
              </w:rPr>
            </w:pPr>
            <w:r w:rsidRPr="00CA781B">
              <w:rPr>
                <w:sz w:val="20"/>
                <w:szCs w:val="20"/>
              </w:rPr>
              <w:t>Elewacje utrzymane są w stanie bardzo dobrym. Nie wykazują zużycia technicznego.</w:t>
            </w:r>
          </w:p>
        </w:tc>
      </w:tr>
      <w:tr w:rsidR="00866333" w:rsidRPr="00CA781B" w:rsidTr="001015B7">
        <w:tc>
          <w:tcPr>
            <w:tcW w:w="1843" w:type="dxa"/>
            <w:tcMar>
              <w:top w:w="55" w:type="dxa"/>
              <w:left w:w="55" w:type="dxa"/>
              <w:bottom w:w="55" w:type="dxa"/>
              <w:right w:w="55" w:type="dxa"/>
            </w:tcMar>
            <w:vAlign w:val="center"/>
          </w:tcPr>
          <w:p w:rsidR="00866333" w:rsidRPr="00C2636D" w:rsidRDefault="00866333" w:rsidP="001015B7">
            <w:pPr>
              <w:pStyle w:val="TableContents"/>
              <w:spacing w:after="0" w:line="240" w:lineRule="auto"/>
              <w:rPr>
                <w:b/>
                <w:sz w:val="20"/>
                <w:szCs w:val="20"/>
              </w:rPr>
            </w:pPr>
            <w:r w:rsidRPr="00C2636D">
              <w:rPr>
                <w:b/>
                <w:sz w:val="20"/>
                <w:szCs w:val="20"/>
              </w:rPr>
              <w:t>zadowalający</w:t>
            </w:r>
          </w:p>
        </w:tc>
        <w:tc>
          <w:tcPr>
            <w:tcW w:w="1843" w:type="dxa"/>
            <w:tcMar>
              <w:top w:w="55" w:type="dxa"/>
              <w:left w:w="55" w:type="dxa"/>
              <w:bottom w:w="55" w:type="dxa"/>
              <w:right w:w="55" w:type="dxa"/>
            </w:tcMar>
            <w:vAlign w:val="center"/>
          </w:tcPr>
          <w:p w:rsidR="00866333" w:rsidRPr="00CA781B" w:rsidRDefault="00866333" w:rsidP="00CA781B">
            <w:pPr>
              <w:pStyle w:val="TableContents"/>
              <w:spacing w:after="0" w:line="240" w:lineRule="auto"/>
              <w:jc w:val="center"/>
              <w:rPr>
                <w:sz w:val="20"/>
                <w:szCs w:val="20"/>
              </w:rPr>
            </w:pPr>
            <w:r w:rsidRPr="00CA781B">
              <w:rPr>
                <w:sz w:val="20"/>
                <w:szCs w:val="20"/>
              </w:rPr>
              <w:t>16-30</w:t>
            </w:r>
            <w:r w:rsidR="001015B7">
              <w:rPr>
                <w:sz w:val="20"/>
                <w:szCs w:val="20"/>
              </w:rPr>
              <w:t>%</w:t>
            </w:r>
          </w:p>
        </w:tc>
        <w:tc>
          <w:tcPr>
            <w:tcW w:w="5384" w:type="dxa"/>
            <w:tcMar>
              <w:top w:w="55" w:type="dxa"/>
              <w:left w:w="55" w:type="dxa"/>
              <w:bottom w:w="55" w:type="dxa"/>
              <w:right w:w="55" w:type="dxa"/>
            </w:tcMar>
            <w:vAlign w:val="center"/>
          </w:tcPr>
          <w:p w:rsidR="00866333" w:rsidRPr="00CA781B" w:rsidRDefault="00866333" w:rsidP="009515BA">
            <w:pPr>
              <w:pStyle w:val="TableContents"/>
              <w:spacing w:after="0" w:line="240" w:lineRule="auto"/>
              <w:jc w:val="both"/>
              <w:rPr>
                <w:sz w:val="20"/>
                <w:szCs w:val="20"/>
              </w:rPr>
            </w:pPr>
            <w:r w:rsidRPr="00CA781B">
              <w:rPr>
                <w:sz w:val="20"/>
                <w:szCs w:val="20"/>
              </w:rPr>
              <w:t>Elementy elewacji utrzymane są w stanie dobrym. Cegły i tynki z</w:t>
            </w:r>
            <w:r w:rsidR="009515BA">
              <w:rPr>
                <w:sz w:val="20"/>
                <w:szCs w:val="20"/>
              </w:rPr>
              <w:t> </w:t>
            </w:r>
            <w:r w:rsidRPr="00CA781B">
              <w:rPr>
                <w:sz w:val="20"/>
                <w:szCs w:val="20"/>
              </w:rPr>
              <w:t>niewielkimi widocznymi pęknięciami i miejscowym zmurszeniem do 15% powierzchni.</w:t>
            </w:r>
          </w:p>
        </w:tc>
      </w:tr>
      <w:tr w:rsidR="00866333" w:rsidRPr="00CA781B" w:rsidTr="001015B7">
        <w:tc>
          <w:tcPr>
            <w:tcW w:w="1843" w:type="dxa"/>
            <w:tcMar>
              <w:top w:w="55" w:type="dxa"/>
              <w:left w:w="55" w:type="dxa"/>
              <w:bottom w:w="55" w:type="dxa"/>
              <w:right w:w="55" w:type="dxa"/>
            </w:tcMar>
            <w:vAlign w:val="center"/>
          </w:tcPr>
          <w:p w:rsidR="00866333" w:rsidRPr="00C2636D" w:rsidRDefault="00866333" w:rsidP="001015B7">
            <w:pPr>
              <w:pStyle w:val="TableContents"/>
              <w:spacing w:after="0" w:line="240" w:lineRule="auto"/>
              <w:rPr>
                <w:b/>
                <w:sz w:val="20"/>
                <w:szCs w:val="20"/>
              </w:rPr>
            </w:pPr>
            <w:r w:rsidRPr="00C2636D">
              <w:rPr>
                <w:b/>
                <w:sz w:val="20"/>
                <w:szCs w:val="20"/>
              </w:rPr>
              <w:t>średni</w:t>
            </w:r>
          </w:p>
        </w:tc>
        <w:tc>
          <w:tcPr>
            <w:tcW w:w="1843" w:type="dxa"/>
            <w:tcMar>
              <w:top w:w="55" w:type="dxa"/>
              <w:left w:w="55" w:type="dxa"/>
              <w:bottom w:w="55" w:type="dxa"/>
              <w:right w:w="55" w:type="dxa"/>
            </w:tcMar>
            <w:vAlign w:val="center"/>
          </w:tcPr>
          <w:p w:rsidR="00866333" w:rsidRPr="00CA781B" w:rsidRDefault="00866333" w:rsidP="00CA781B">
            <w:pPr>
              <w:pStyle w:val="TableContents"/>
              <w:spacing w:after="0" w:line="240" w:lineRule="auto"/>
              <w:jc w:val="center"/>
              <w:rPr>
                <w:sz w:val="20"/>
                <w:szCs w:val="20"/>
              </w:rPr>
            </w:pPr>
            <w:r w:rsidRPr="00CA781B">
              <w:rPr>
                <w:sz w:val="20"/>
                <w:szCs w:val="20"/>
              </w:rPr>
              <w:t>31-50</w:t>
            </w:r>
            <w:r w:rsidR="001015B7">
              <w:rPr>
                <w:sz w:val="20"/>
                <w:szCs w:val="20"/>
              </w:rPr>
              <w:t>%</w:t>
            </w:r>
          </w:p>
        </w:tc>
        <w:tc>
          <w:tcPr>
            <w:tcW w:w="5384" w:type="dxa"/>
            <w:tcMar>
              <w:top w:w="55" w:type="dxa"/>
              <w:left w:w="55" w:type="dxa"/>
              <w:bottom w:w="55" w:type="dxa"/>
              <w:right w:w="55" w:type="dxa"/>
            </w:tcMar>
            <w:vAlign w:val="center"/>
          </w:tcPr>
          <w:p w:rsidR="00866333" w:rsidRPr="00CA781B" w:rsidRDefault="00866333" w:rsidP="009515BA">
            <w:pPr>
              <w:pStyle w:val="TableContents"/>
              <w:spacing w:after="0" w:line="240" w:lineRule="auto"/>
              <w:jc w:val="both"/>
              <w:rPr>
                <w:sz w:val="20"/>
                <w:szCs w:val="20"/>
              </w:rPr>
            </w:pPr>
            <w:r w:rsidRPr="00CA781B">
              <w:rPr>
                <w:sz w:val="20"/>
                <w:szCs w:val="20"/>
              </w:rPr>
              <w:t>Elementy budynku utrzymane są w należytym stanie wymagającym interwencji. Zmurszenie i renowacja elementów elewacji w granicach do 35%. Celowa jest bieżąca konserwacja.</w:t>
            </w:r>
          </w:p>
        </w:tc>
      </w:tr>
      <w:tr w:rsidR="00866333" w:rsidRPr="00CA781B" w:rsidTr="001015B7">
        <w:tc>
          <w:tcPr>
            <w:tcW w:w="1843" w:type="dxa"/>
            <w:tcMar>
              <w:top w:w="55" w:type="dxa"/>
              <w:left w:w="55" w:type="dxa"/>
              <w:bottom w:w="55" w:type="dxa"/>
              <w:right w:w="55" w:type="dxa"/>
            </w:tcMar>
            <w:vAlign w:val="center"/>
          </w:tcPr>
          <w:p w:rsidR="00866333" w:rsidRPr="00C2636D" w:rsidRDefault="00866333" w:rsidP="001015B7">
            <w:pPr>
              <w:pStyle w:val="TableContents"/>
              <w:spacing w:after="0" w:line="240" w:lineRule="auto"/>
              <w:rPr>
                <w:b/>
                <w:sz w:val="20"/>
                <w:szCs w:val="20"/>
              </w:rPr>
            </w:pPr>
            <w:r w:rsidRPr="00C2636D">
              <w:rPr>
                <w:b/>
                <w:sz w:val="20"/>
                <w:szCs w:val="20"/>
              </w:rPr>
              <w:t>zły</w:t>
            </w:r>
          </w:p>
        </w:tc>
        <w:tc>
          <w:tcPr>
            <w:tcW w:w="1843" w:type="dxa"/>
            <w:tcMar>
              <w:top w:w="55" w:type="dxa"/>
              <w:left w:w="55" w:type="dxa"/>
              <w:bottom w:w="55" w:type="dxa"/>
              <w:right w:w="55" w:type="dxa"/>
            </w:tcMar>
            <w:vAlign w:val="center"/>
          </w:tcPr>
          <w:p w:rsidR="00866333" w:rsidRPr="00CA781B" w:rsidRDefault="00866333" w:rsidP="00CA781B">
            <w:pPr>
              <w:pStyle w:val="TableContents"/>
              <w:spacing w:after="0" w:line="240" w:lineRule="auto"/>
              <w:jc w:val="center"/>
              <w:rPr>
                <w:sz w:val="20"/>
                <w:szCs w:val="20"/>
              </w:rPr>
            </w:pPr>
            <w:r w:rsidRPr="00CA781B">
              <w:rPr>
                <w:sz w:val="20"/>
                <w:szCs w:val="20"/>
              </w:rPr>
              <w:t>51-70</w:t>
            </w:r>
            <w:r w:rsidR="001015B7">
              <w:rPr>
                <w:sz w:val="20"/>
                <w:szCs w:val="20"/>
              </w:rPr>
              <w:t>%</w:t>
            </w:r>
          </w:p>
        </w:tc>
        <w:tc>
          <w:tcPr>
            <w:tcW w:w="5384" w:type="dxa"/>
            <w:tcMar>
              <w:top w:w="55" w:type="dxa"/>
              <w:left w:w="55" w:type="dxa"/>
              <w:bottom w:w="55" w:type="dxa"/>
              <w:right w:w="55" w:type="dxa"/>
            </w:tcMar>
            <w:vAlign w:val="center"/>
          </w:tcPr>
          <w:p w:rsidR="00866333" w:rsidRPr="00CA781B" w:rsidRDefault="00866333" w:rsidP="009515BA">
            <w:pPr>
              <w:pStyle w:val="TableContents"/>
              <w:spacing w:after="0" w:line="240" w:lineRule="auto"/>
              <w:jc w:val="both"/>
              <w:rPr>
                <w:sz w:val="20"/>
                <w:szCs w:val="20"/>
              </w:rPr>
            </w:pPr>
            <w:r w:rsidRPr="00CA781B">
              <w:rPr>
                <w:sz w:val="20"/>
                <w:szCs w:val="20"/>
              </w:rPr>
              <w:t>W elementach budynku występują znaczne</w:t>
            </w:r>
            <w:r w:rsidR="00BB1E11">
              <w:rPr>
                <w:sz w:val="20"/>
                <w:szCs w:val="20"/>
              </w:rPr>
              <w:t xml:space="preserve"> uszkodzenia lub ubytki. Tynki </w:t>
            </w:r>
            <w:r w:rsidRPr="00CA781B">
              <w:rPr>
                <w:sz w:val="20"/>
                <w:szCs w:val="20"/>
              </w:rPr>
              <w:t>skruszałe na powierzchni ponad 35%, elementy architektoniczne elewacji poważnie zniszczone. Wymagana jest naprawa główna.</w:t>
            </w:r>
          </w:p>
        </w:tc>
      </w:tr>
    </w:tbl>
    <w:p w:rsidR="00A739AE" w:rsidRPr="00A739AE" w:rsidRDefault="00A739AE" w:rsidP="00A739AE">
      <w:pPr>
        <w:autoSpaceDE w:val="0"/>
        <w:autoSpaceDN w:val="0"/>
        <w:adjustRightInd w:val="0"/>
        <w:rPr>
          <w:rFonts w:eastAsia="Calibri" w:cs="ArialNarrow"/>
          <w:i/>
          <w:sz w:val="18"/>
          <w:szCs w:val="20"/>
        </w:rPr>
      </w:pPr>
      <w:r w:rsidRPr="00946950">
        <w:rPr>
          <w:rFonts w:eastAsia="Calibri" w:cs="ArialNarrow"/>
          <w:i/>
          <w:sz w:val="18"/>
          <w:szCs w:val="20"/>
        </w:rPr>
        <w:t xml:space="preserve">Źródło: </w:t>
      </w:r>
      <w:r w:rsidR="00946950" w:rsidRPr="00946950">
        <w:rPr>
          <w:rFonts w:eastAsia="Calibri" w:cs="ArialNarrow"/>
          <w:i/>
          <w:sz w:val="18"/>
          <w:szCs w:val="20"/>
        </w:rPr>
        <w:t>Bytomskie Mieszkania</w:t>
      </w:r>
      <w:r w:rsidRPr="00946950">
        <w:rPr>
          <w:rFonts w:eastAsia="Calibri" w:cs="ArialNarrow"/>
          <w:i/>
          <w:sz w:val="18"/>
          <w:szCs w:val="20"/>
        </w:rPr>
        <w:t xml:space="preserve"> </w:t>
      </w:r>
    </w:p>
    <w:p w:rsidR="000F710C" w:rsidRDefault="000F710C" w:rsidP="00C20026">
      <w:pPr>
        <w:pStyle w:val="Standard"/>
        <w:spacing w:after="0" w:line="240" w:lineRule="auto"/>
        <w:jc w:val="both"/>
        <w:rPr>
          <w:rFonts w:asciiTheme="minorHAnsi" w:hAnsiTheme="minorHAnsi"/>
          <w:color w:val="000000"/>
          <w:kern w:val="0"/>
          <w:sz w:val="20"/>
          <w:szCs w:val="20"/>
        </w:rPr>
      </w:pPr>
    </w:p>
    <w:p w:rsidR="00866333" w:rsidRPr="00CA781B" w:rsidRDefault="00866333" w:rsidP="00C20026">
      <w:pPr>
        <w:pStyle w:val="Standard"/>
        <w:spacing w:after="0" w:line="240" w:lineRule="auto"/>
        <w:jc w:val="both"/>
        <w:rPr>
          <w:rFonts w:asciiTheme="minorHAnsi" w:hAnsiTheme="minorHAnsi"/>
          <w:sz w:val="20"/>
          <w:szCs w:val="20"/>
        </w:rPr>
      </w:pPr>
      <w:r w:rsidRPr="00CA781B">
        <w:rPr>
          <w:rFonts w:asciiTheme="minorHAnsi" w:hAnsiTheme="minorHAnsi"/>
          <w:color w:val="000000"/>
          <w:kern w:val="0"/>
          <w:sz w:val="20"/>
          <w:szCs w:val="20"/>
        </w:rPr>
        <w:t>Elewacje budynków ocenionych w czterostopniowej skali jako stan średni wymagają daleko posuniętych prac konserwatorskich zarówno w obszarze odtworzenia częstokroć zabytkowych detali architektonicznych, ale także w zakresie estetyki.</w:t>
      </w:r>
    </w:p>
    <w:p w:rsidR="00866333" w:rsidRPr="00CA781B" w:rsidRDefault="00D60CF0" w:rsidP="00D60CF0">
      <w:pPr>
        <w:ind w:firstLine="708"/>
        <w:jc w:val="both"/>
      </w:pPr>
      <w:r w:rsidRPr="00CA781B">
        <w:t>Wysokiej klasy architektonicznej kamienice, poddane</w:t>
      </w:r>
      <w:r w:rsidR="00D92BA0" w:rsidRPr="00CA781B">
        <w:t xml:space="preserve"> renowacji</w:t>
      </w:r>
      <w:r w:rsidRPr="00CA781B">
        <w:t xml:space="preserve">, współtworzą przestrzeń ze zdewastowanymi i nieużytkowanymi obiektami. </w:t>
      </w:r>
      <w:r w:rsidR="00866333" w:rsidRPr="00CA781B">
        <w:rPr>
          <w:color w:val="000000"/>
          <w:szCs w:val="20"/>
        </w:rPr>
        <w:t>Obecnie w Bytomiu 55 budynków jest wyłączonych z</w:t>
      </w:r>
      <w:r w:rsidR="00613633">
        <w:rPr>
          <w:color w:val="000000"/>
          <w:szCs w:val="20"/>
        </w:rPr>
        <w:t> </w:t>
      </w:r>
      <w:r w:rsidR="00866333" w:rsidRPr="00CA781B">
        <w:rPr>
          <w:color w:val="000000"/>
          <w:szCs w:val="20"/>
        </w:rPr>
        <w:t>użytkowania. Są to najczęściej budynki w bardzo złym stanie technicznym.</w:t>
      </w:r>
    </w:p>
    <w:p w:rsidR="00D60CF0" w:rsidRDefault="00D60CF0" w:rsidP="00D60CF0">
      <w:pPr>
        <w:ind w:firstLine="708"/>
        <w:jc w:val="both"/>
        <w:rPr>
          <w:szCs w:val="20"/>
        </w:rPr>
      </w:pPr>
      <w:r w:rsidRPr="00CA781B">
        <w:rPr>
          <w:szCs w:val="20"/>
        </w:rPr>
        <w:t xml:space="preserve">Występują ubytki w pierzejach ulic, a jakość bezpośredniego otoczenia – przestrzeni półpublicznych i podwórek – jest niska. Przestrzenie półpubliczne i podwórka są w znacznej mierze niezagospodarowane, co powoduje, że mieszkańcy organizują ją samodzielnie, tworząc prowizoryczne, własne „meble miejskie” lub sadząc krzewy i kwiaty bezpośrednio pod oknami w strefie wejściowej do obiektu. Spędzanie wolnego czasu przed budynkiem razem z rodziną i sąsiadami jest ważnym elementem krajobrazu wielu śląskim miast - również Bytomia. </w:t>
      </w:r>
    </w:p>
    <w:p w:rsidR="004D4620" w:rsidRPr="00246002" w:rsidRDefault="004D4620" w:rsidP="004D4620">
      <w:pPr>
        <w:ind w:firstLine="708"/>
        <w:jc w:val="both"/>
        <w:rPr>
          <w:szCs w:val="20"/>
        </w:rPr>
      </w:pPr>
      <w:r w:rsidRPr="00246002">
        <w:rPr>
          <w:szCs w:val="20"/>
        </w:rPr>
        <w:t>Często w przestrzeniach półpublicznych i podwórkach wolnostojące garaże lub śmietniki i wypadająca z nich zawartość znajdują się w centralnym punkcie podwórka. Zdecydowana większość podwórek na terenach rewitalizacji to brzydkie, brudne, zaniedbane place, bez jakiejkolwiek infrastruktury rekreacyjnej, urządzeń placów zabaw i oświetlenia. Stan placów zabaw zagraża niejednokrotnie zdrowiu i bezpieczeństwu użytkowników, natomiast ciemne i zaniedbane podwórka są miejscem sprzyjającym pogłębianiu istniejących patologii, często prowadzących do przestępstw (napadów, rozbojów, bijatyk, itp.).</w:t>
      </w:r>
    </w:p>
    <w:p w:rsidR="004D4620" w:rsidRPr="00246002" w:rsidRDefault="004D4620" w:rsidP="004D4620">
      <w:pPr>
        <w:tabs>
          <w:tab w:val="left" w:pos="5529"/>
        </w:tabs>
        <w:ind w:firstLine="708"/>
        <w:jc w:val="both"/>
        <w:rPr>
          <w:szCs w:val="20"/>
        </w:rPr>
      </w:pPr>
      <w:r w:rsidRPr="00246002">
        <w:rPr>
          <w:szCs w:val="20"/>
        </w:rPr>
        <w:t>Zdiagnozowanym zjawiskiem o charakterze funkcjonalno-przestrzennym jest nieodpowiadający potrzebom mieszkańców standard terenów rekreacyjnych i placów zabaw. Bardzo brakuje głębszego przyjrzenia się specyficznym potrzebom różnych grup wiekowych i osób o różnym stanie sprawności</w:t>
      </w:r>
      <w:r>
        <w:rPr>
          <w:szCs w:val="20"/>
        </w:rPr>
        <w:t>.</w:t>
      </w:r>
    </w:p>
    <w:p w:rsidR="00931739" w:rsidRPr="00474851" w:rsidRDefault="00931739" w:rsidP="00047B51">
      <w:pPr>
        <w:pStyle w:val="Legenda"/>
        <w:keepNext/>
        <w:spacing w:after="20"/>
      </w:pPr>
      <w:bookmarkStart w:id="7787" w:name="_Toc474925005"/>
      <w:r w:rsidRPr="00474851">
        <w:lastRenderedPageBreak/>
        <w:t xml:space="preserve">Ilustracja </w:t>
      </w:r>
      <w:r w:rsidR="003972D8" w:rsidRPr="00474851">
        <w:fldChar w:fldCharType="begin"/>
      </w:r>
      <w:r w:rsidRPr="00474851">
        <w:instrText xml:space="preserve"> SEQ Ilustracja \* ARABIC </w:instrText>
      </w:r>
      <w:r w:rsidR="003972D8" w:rsidRPr="00474851">
        <w:fldChar w:fldCharType="separate"/>
      </w:r>
      <w:r w:rsidR="00413FFE">
        <w:rPr>
          <w:noProof/>
        </w:rPr>
        <w:t>12</w:t>
      </w:r>
      <w:r w:rsidR="003972D8" w:rsidRPr="00474851">
        <w:fldChar w:fldCharType="end"/>
      </w:r>
      <w:r w:rsidRPr="00474851">
        <w:t>. Ul. Katowicka 11-13, ul. Siemianowicka 16</w:t>
      </w:r>
      <w:bookmarkEnd w:id="7787"/>
    </w:p>
    <w:p w:rsidR="00931739" w:rsidRPr="00925CAD" w:rsidRDefault="00931739" w:rsidP="00931739">
      <w:pPr>
        <w:rPr>
          <w:i/>
          <w:sz w:val="18"/>
          <w:szCs w:val="20"/>
        </w:rPr>
      </w:pPr>
      <w:r w:rsidRPr="00474851">
        <w:rPr>
          <w:i/>
          <w:noProof/>
          <w:sz w:val="18"/>
          <w:szCs w:val="20"/>
        </w:rPr>
        <w:drawing>
          <wp:inline distT="0" distB="0" distL="0" distR="0">
            <wp:extent cx="5760720" cy="1615812"/>
            <wp:effectExtent l="19050" t="0" r="0" b="0"/>
            <wp:docPr id="57" name="Obraz 36" descr="i:\Dokumenty_net\Moje obrazy\Nowy obraz (6).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i:\Dokumenty_net\Moje obrazy\Nowy obraz (6).bmp"/>
                    <pic:cNvPicPr>
                      <a:picLocks noChangeAspect="1" noChangeArrowheads="1"/>
                    </pic:cNvPicPr>
                  </pic:nvPicPr>
                  <pic:blipFill>
                    <a:blip r:embed="rId73" cstate="print"/>
                    <a:srcRect/>
                    <a:stretch>
                      <a:fillRect/>
                    </a:stretch>
                  </pic:blipFill>
                  <pic:spPr bwMode="auto">
                    <a:xfrm>
                      <a:off x="0" y="0"/>
                      <a:ext cx="5760720" cy="1615812"/>
                    </a:xfrm>
                    <a:prstGeom prst="rect">
                      <a:avLst/>
                    </a:prstGeom>
                    <a:noFill/>
                    <a:ln w="9525">
                      <a:noFill/>
                      <a:miter lim="800000"/>
                      <a:headEnd/>
                      <a:tailEnd/>
                    </a:ln>
                  </pic:spPr>
                </pic:pic>
              </a:graphicData>
            </a:graphic>
          </wp:inline>
        </w:drawing>
      </w:r>
      <w:r w:rsidRPr="00474851">
        <w:rPr>
          <w:i/>
          <w:sz w:val="18"/>
          <w:szCs w:val="20"/>
        </w:rPr>
        <w:t xml:space="preserve"> Źródło: Bytomskie Mieszkania</w:t>
      </w:r>
    </w:p>
    <w:p w:rsidR="00B42C91" w:rsidRPr="00047B51" w:rsidRDefault="00B42C91" w:rsidP="00C06FBF">
      <w:pPr>
        <w:pStyle w:val="Legenda"/>
        <w:keepNext/>
        <w:rPr>
          <w:sz w:val="16"/>
        </w:rPr>
      </w:pPr>
    </w:p>
    <w:p w:rsidR="00C06FBF" w:rsidRPr="00C06FBF" w:rsidRDefault="00C06FBF" w:rsidP="00047B51">
      <w:pPr>
        <w:pStyle w:val="Legenda"/>
        <w:keepNext/>
        <w:spacing w:after="20"/>
      </w:pPr>
      <w:bookmarkStart w:id="7788" w:name="_Toc474925006"/>
      <w:r w:rsidRPr="00C06FBF">
        <w:t xml:space="preserve">Ilustracja </w:t>
      </w:r>
      <w:r w:rsidR="003972D8" w:rsidRPr="00C06FBF">
        <w:fldChar w:fldCharType="begin"/>
      </w:r>
      <w:r w:rsidRPr="00C06FBF">
        <w:instrText xml:space="preserve"> SEQ Ilustracja \* ARABIC </w:instrText>
      </w:r>
      <w:r w:rsidR="003972D8" w:rsidRPr="00C06FBF">
        <w:fldChar w:fldCharType="separate"/>
      </w:r>
      <w:r w:rsidR="00413FFE">
        <w:rPr>
          <w:noProof/>
        </w:rPr>
        <w:t>13</w:t>
      </w:r>
      <w:r w:rsidR="003972D8" w:rsidRPr="00C06FBF">
        <w:fldChar w:fldCharType="end"/>
      </w:r>
      <w:r w:rsidRPr="00C06FBF">
        <w:t>. Przestrzeń miejska: Plac Drzymały, Kolonia Zgorzelec 10, 11, 12, 13</w:t>
      </w:r>
      <w:bookmarkEnd w:id="7788"/>
      <w:r w:rsidRPr="00C06FBF">
        <w:t xml:space="preserve"> </w:t>
      </w:r>
    </w:p>
    <w:p w:rsidR="00C06FBF" w:rsidRPr="00C06FBF" w:rsidRDefault="00C06FBF" w:rsidP="00C06FBF">
      <w:pPr>
        <w:pStyle w:val="Legenda"/>
        <w:keepNext/>
      </w:pPr>
      <w:r w:rsidRPr="00C06FBF">
        <w:rPr>
          <w:i/>
          <w:noProof/>
        </w:rPr>
        <w:drawing>
          <wp:inline distT="0" distB="0" distL="0" distR="0">
            <wp:extent cx="5760720" cy="1617230"/>
            <wp:effectExtent l="19050" t="0" r="0" b="0"/>
            <wp:docPr id="53" name="Obraz 41" descr="i:\Dokumenty_net\Moje obrazy\Nowy obraz (1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i:\Dokumenty_net\Moje obrazy\Nowy obraz (10).bmp"/>
                    <pic:cNvPicPr>
                      <a:picLocks noChangeAspect="1" noChangeArrowheads="1"/>
                    </pic:cNvPicPr>
                  </pic:nvPicPr>
                  <pic:blipFill>
                    <a:blip r:embed="rId74" cstate="print"/>
                    <a:srcRect/>
                    <a:stretch>
                      <a:fillRect/>
                    </a:stretch>
                  </pic:blipFill>
                  <pic:spPr bwMode="auto">
                    <a:xfrm>
                      <a:off x="0" y="0"/>
                      <a:ext cx="5760720" cy="1617230"/>
                    </a:xfrm>
                    <a:prstGeom prst="rect">
                      <a:avLst/>
                    </a:prstGeom>
                    <a:noFill/>
                    <a:ln w="9525">
                      <a:noFill/>
                      <a:miter lim="800000"/>
                      <a:headEnd/>
                      <a:tailEnd/>
                    </a:ln>
                  </pic:spPr>
                </pic:pic>
              </a:graphicData>
            </a:graphic>
          </wp:inline>
        </w:drawing>
      </w:r>
      <w:r w:rsidRPr="00C06FBF">
        <w:rPr>
          <w:b w:val="0"/>
          <w:i/>
        </w:rPr>
        <w:t xml:space="preserve"> </w:t>
      </w:r>
      <w:r w:rsidRPr="00C06FBF">
        <w:rPr>
          <w:b w:val="0"/>
          <w:i/>
          <w:sz w:val="18"/>
        </w:rPr>
        <w:t>Źródło: Bytomskie Mieszkania</w:t>
      </w:r>
    </w:p>
    <w:p w:rsidR="00C06FBF" w:rsidRPr="00047B51" w:rsidRDefault="00C06FBF" w:rsidP="00C06FBF">
      <w:pPr>
        <w:rPr>
          <w:i/>
          <w:sz w:val="18"/>
          <w:szCs w:val="20"/>
        </w:rPr>
      </w:pPr>
    </w:p>
    <w:p w:rsidR="00C06FBF" w:rsidRPr="00C06FBF" w:rsidRDefault="00C06FBF" w:rsidP="00047B51">
      <w:pPr>
        <w:pStyle w:val="Legenda"/>
        <w:keepNext/>
        <w:spacing w:after="20"/>
      </w:pPr>
      <w:bookmarkStart w:id="7789" w:name="_Toc474925007"/>
      <w:r w:rsidRPr="00C06FBF">
        <w:t xml:space="preserve">Ilustracja </w:t>
      </w:r>
      <w:r w:rsidR="003972D8" w:rsidRPr="00C06FBF">
        <w:fldChar w:fldCharType="begin"/>
      </w:r>
      <w:r w:rsidRPr="00C06FBF">
        <w:instrText xml:space="preserve"> SEQ Ilustracja \* ARABIC </w:instrText>
      </w:r>
      <w:r w:rsidR="003972D8" w:rsidRPr="00C06FBF">
        <w:fldChar w:fldCharType="separate"/>
      </w:r>
      <w:r w:rsidR="00413FFE">
        <w:rPr>
          <w:noProof/>
        </w:rPr>
        <w:t>14</w:t>
      </w:r>
      <w:r w:rsidR="003972D8" w:rsidRPr="00C06FBF">
        <w:fldChar w:fldCharType="end"/>
      </w:r>
      <w:r w:rsidRPr="00C06FBF">
        <w:t xml:space="preserve">. Przestrzeń miejska: ul. Stalowa, </w:t>
      </w:r>
      <w:r w:rsidR="00F351DC" w:rsidRPr="00F351DC">
        <w:t>ul. Stalowa – ul. Pasteura – ul. Piecucha</w:t>
      </w:r>
      <w:bookmarkEnd w:id="7789"/>
    </w:p>
    <w:p w:rsidR="00C06FBF" w:rsidRPr="00C06FBF" w:rsidRDefault="00C06FBF" w:rsidP="00C06FBF">
      <w:pPr>
        <w:pStyle w:val="Legenda"/>
        <w:keepNext/>
      </w:pPr>
      <w:r w:rsidRPr="00C06FBF">
        <w:rPr>
          <w:i/>
          <w:noProof/>
        </w:rPr>
        <w:drawing>
          <wp:inline distT="0" distB="0" distL="0" distR="0">
            <wp:extent cx="5760720" cy="1623020"/>
            <wp:effectExtent l="19050" t="0" r="0" b="0"/>
            <wp:docPr id="54" name="Obraz 42" descr="i:\Dokumenty_net\Moje obrazy\Nowy obraz (1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i:\Dokumenty_net\Moje obrazy\Nowy obraz (11).bmp"/>
                    <pic:cNvPicPr>
                      <a:picLocks noChangeAspect="1" noChangeArrowheads="1"/>
                    </pic:cNvPicPr>
                  </pic:nvPicPr>
                  <pic:blipFill>
                    <a:blip r:embed="rId75" cstate="print"/>
                    <a:srcRect/>
                    <a:stretch>
                      <a:fillRect/>
                    </a:stretch>
                  </pic:blipFill>
                  <pic:spPr bwMode="auto">
                    <a:xfrm>
                      <a:off x="0" y="0"/>
                      <a:ext cx="5760720" cy="1623020"/>
                    </a:xfrm>
                    <a:prstGeom prst="rect">
                      <a:avLst/>
                    </a:prstGeom>
                    <a:noFill/>
                    <a:ln w="9525">
                      <a:noFill/>
                      <a:miter lim="800000"/>
                      <a:headEnd/>
                      <a:tailEnd/>
                    </a:ln>
                  </pic:spPr>
                </pic:pic>
              </a:graphicData>
            </a:graphic>
          </wp:inline>
        </w:drawing>
      </w:r>
      <w:r w:rsidRPr="00C06FBF">
        <w:rPr>
          <w:b w:val="0"/>
          <w:i/>
        </w:rPr>
        <w:t xml:space="preserve"> </w:t>
      </w:r>
      <w:r w:rsidRPr="00C06FBF">
        <w:rPr>
          <w:b w:val="0"/>
          <w:i/>
          <w:sz w:val="18"/>
        </w:rPr>
        <w:t>Źródło: Bytomskie Mieszkania</w:t>
      </w:r>
    </w:p>
    <w:p w:rsidR="00C06FBF" w:rsidRPr="00047B51" w:rsidRDefault="00C06FBF" w:rsidP="00C06FBF">
      <w:pPr>
        <w:rPr>
          <w:i/>
          <w:sz w:val="18"/>
          <w:szCs w:val="20"/>
        </w:rPr>
      </w:pPr>
    </w:p>
    <w:p w:rsidR="00B41B38" w:rsidRDefault="00C06FBF" w:rsidP="00047B51">
      <w:pPr>
        <w:pStyle w:val="Legenda"/>
        <w:keepNext/>
        <w:spacing w:after="20"/>
      </w:pPr>
      <w:bookmarkStart w:id="7790" w:name="_Toc474925008"/>
      <w:r w:rsidRPr="00C06FBF">
        <w:t xml:space="preserve">Ilustracja </w:t>
      </w:r>
      <w:r w:rsidR="003972D8" w:rsidRPr="00C06FBF">
        <w:fldChar w:fldCharType="begin"/>
      </w:r>
      <w:r w:rsidRPr="00C06FBF">
        <w:instrText xml:space="preserve"> SEQ Ilustracja \* ARABIC </w:instrText>
      </w:r>
      <w:r w:rsidR="003972D8" w:rsidRPr="00C06FBF">
        <w:fldChar w:fldCharType="separate"/>
      </w:r>
      <w:r w:rsidR="00413FFE">
        <w:rPr>
          <w:noProof/>
        </w:rPr>
        <w:t>15</w:t>
      </w:r>
      <w:r w:rsidR="003972D8" w:rsidRPr="00C06FBF">
        <w:fldChar w:fldCharType="end"/>
      </w:r>
      <w:r w:rsidRPr="00C06FBF">
        <w:t>. Przest</w:t>
      </w:r>
      <w:r w:rsidR="00F351DC">
        <w:t xml:space="preserve">rzeń miejska: ul. Piecucha – ul. </w:t>
      </w:r>
      <w:r w:rsidRPr="00C06FBF">
        <w:t>Pasteura, Piłsudskiego 50</w:t>
      </w:r>
      <w:bookmarkEnd w:id="7790"/>
    </w:p>
    <w:p w:rsidR="00C06FBF" w:rsidRPr="00C06FBF" w:rsidRDefault="00C06FBF" w:rsidP="00C06FBF">
      <w:pPr>
        <w:pStyle w:val="Legenda"/>
        <w:keepNext/>
        <w:spacing w:after="60"/>
      </w:pPr>
      <w:r w:rsidRPr="00C06FBF">
        <w:rPr>
          <w:noProof/>
        </w:rPr>
        <w:drawing>
          <wp:inline distT="0" distB="0" distL="0" distR="0">
            <wp:extent cx="5760720" cy="1569772"/>
            <wp:effectExtent l="19050" t="0" r="0" b="0"/>
            <wp:docPr id="55" name="Obraz 56" descr="C:\Documents and Settings\kmieszala\Ustawienia lokalne\Temporary Internet Files\Content.Word\Nowy obraz (1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C:\Documents and Settings\kmieszala\Ustawienia lokalne\Temporary Internet Files\Content.Word\Nowy obraz (13).bmp"/>
                    <pic:cNvPicPr>
                      <a:picLocks noChangeAspect="1" noChangeArrowheads="1"/>
                    </pic:cNvPicPr>
                  </pic:nvPicPr>
                  <pic:blipFill>
                    <a:blip r:embed="rId76" cstate="print"/>
                    <a:srcRect/>
                    <a:stretch>
                      <a:fillRect/>
                    </a:stretch>
                  </pic:blipFill>
                  <pic:spPr bwMode="auto">
                    <a:xfrm>
                      <a:off x="0" y="0"/>
                      <a:ext cx="5760720" cy="1569772"/>
                    </a:xfrm>
                    <a:prstGeom prst="rect">
                      <a:avLst/>
                    </a:prstGeom>
                    <a:noFill/>
                    <a:ln w="9525">
                      <a:noFill/>
                      <a:miter lim="800000"/>
                      <a:headEnd/>
                      <a:tailEnd/>
                    </a:ln>
                  </pic:spPr>
                </pic:pic>
              </a:graphicData>
            </a:graphic>
          </wp:inline>
        </w:drawing>
      </w:r>
      <w:r w:rsidRPr="00C06FBF">
        <w:rPr>
          <w:b w:val="0"/>
          <w:i/>
        </w:rPr>
        <w:t xml:space="preserve"> </w:t>
      </w:r>
      <w:r w:rsidRPr="00C06FBF">
        <w:rPr>
          <w:b w:val="0"/>
          <w:i/>
          <w:sz w:val="18"/>
        </w:rPr>
        <w:t>Źródło: Bytomskie Mieszkania</w:t>
      </w:r>
    </w:p>
    <w:p w:rsidR="00C06FBF" w:rsidRDefault="00C06FBF" w:rsidP="00C06FBF">
      <w:pPr>
        <w:jc w:val="both"/>
        <w:rPr>
          <w:szCs w:val="20"/>
        </w:rPr>
      </w:pPr>
    </w:p>
    <w:p w:rsidR="00B41B38" w:rsidRDefault="00581F12" w:rsidP="00A16338">
      <w:pPr>
        <w:pStyle w:val="Legenda"/>
        <w:keepNext/>
        <w:spacing w:after="20"/>
      </w:pPr>
      <w:bookmarkStart w:id="7791" w:name="_Toc474925009"/>
      <w:r w:rsidRPr="00581F12">
        <w:lastRenderedPageBreak/>
        <w:t xml:space="preserve">Ilustracja </w:t>
      </w:r>
      <w:r w:rsidR="003972D8" w:rsidRPr="00581F12">
        <w:fldChar w:fldCharType="begin"/>
      </w:r>
      <w:r w:rsidRPr="00581F12">
        <w:instrText xml:space="preserve"> SEQ Ilustracja \* ARABIC </w:instrText>
      </w:r>
      <w:r w:rsidR="003972D8" w:rsidRPr="00581F12">
        <w:fldChar w:fldCharType="separate"/>
      </w:r>
      <w:r w:rsidR="00413FFE">
        <w:rPr>
          <w:noProof/>
        </w:rPr>
        <w:t>16</w:t>
      </w:r>
      <w:r w:rsidR="003972D8" w:rsidRPr="00581F12">
        <w:fldChar w:fldCharType="end"/>
      </w:r>
      <w:r w:rsidRPr="00581F12">
        <w:t>. Przestrzeń miejska: Piekarska 39, Piłsudskiego 34-36</w:t>
      </w:r>
      <w:bookmarkEnd w:id="7791"/>
    </w:p>
    <w:p w:rsidR="00B42C91" w:rsidRPr="00A16338" w:rsidRDefault="00581F12" w:rsidP="00A16338">
      <w:pPr>
        <w:pStyle w:val="Legenda"/>
        <w:keepNext/>
        <w:rPr>
          <w:b w:val="0"/>
          <w:i/>
          <w:sz w:val="18"/>
        </w:rPr>
      </w:pPr>
      <w:r w:rsidRPr="00581F12">
        <w:rPr>
          <w:noProof/>
        </w:rPr>
        <w:drawing>
          <wp:inline distT="0" distB="0" distL="0" distR="0">
            <wp:extent cx="5760720" cy="1654515"/>
            <wp:effectExtent l="19050" t="0" r="0" b="0"/>
            <wp:docPr id="56" name="Obraz 62" descr="C:\Documents and Settings\kmieszala\Ustawienia lokalne\Temporary Internet Files\Content.Word\Nowy obraz (15).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C:\Documents and Settings\kmieszala\Ustawienia lokalne\Temporary Internet Files\Content.Word\Nowy obraz (15).bmp"/>
                    <pic:cNvPicPr>
                      <a:picLocks noChangeAspect="1" noChangeArrowheads="1"/>
                    </pic:cNvPicPr>
                  </pic:nvPicPr>
                  <pic:blipFill>
                    <a:blip r:embed="rId77" cstate="print"/>
                    <a:srcRect/>
                    <a:stretch>
                      <a:fillRect/>
                    </a:stretch>
                  </pic:blipFill>
                  <pic:spPr bwMode="auto">
                    <a:xfrm>
                      <a:off x="0" y="0"/>
                      <a:ext cx="5760720" cy="1654515"/>
                    </a:xfrm>
                    <a:prstGeom prst="rect">
                      <a:avLst/>
                    </a:prstGeom>
                    <a:noFill/>
                    <a:ln w="9525">
                      <a:noFill/>
                      <a:miter lim="800000"/>
                      <a:headEnd/>
                      <a:tailEnd/>
                    </a:ln>
                  </pic:spPr>
                </pic:pic>
              </a:graphicData>
            </a:graphic>
          </wp:inline>
        </w:drawing>
      </w:r>
      <w:r w:rsidRPr="00581F12">
        <w:rPr>
          <w:b w:val="0"/>
          <w:i/>
          <w:sz w:val="18"/>
        </w:rPr>
        <w:t>Źródło: Bytomskie Mieszkania</w:t>
      </w:r>
    </w:p>
    <w:p w:rsidR="00A16338" w:rsidRPr="00A16338" w:rsidRDefault="00A16338" w:rsidP="00A16338">
      <w:pPr>
        <w:pStyle w:val="Legenda"/>
        <w:keepNext/>
      </w:pPr>
    </w:p>
    <w:p w:rsidR="00B42C91" w:rsidRPr="00232CC7" w:rsidRDefault="00B42C91" w:rsidP="00A16338">
      <w:pPr>
        <w:pStyle w:val="Legenda"/>
        <w:keepNext/>
      </w:pPr>
      <w:bookmarkStart w:id="7792" w:name="_Toc474925010"/>
      <w:r w:rsidRPr="00232CC7">
        <w:t xml:space="preserve">Ilustracja </w:t>
      </w:r>
      <w:fldSimple w:instr=" SEQ Ilustracja \* ARABIC ">
        <w:r w:rsidR="00413FFE">
          <w:rPr>
            <w:noProof/>
          </w:rPr>
          <w:t>17</w:t>
        </w:r>
      </w:fldSimple>
      <w:r w:rsidRPr="00232CC7">
        <w:t>. Przestrzeń miejska: ul. Jaronia – ul. Musialika, Plac Świętej Barbary – ul. Kochanowskiego</w:t>
      </w:r>
      <w:bookmarkEnd w:id="7792"/>
    </w:p>
    <w:p w:rsidR="00B42C91" w:rsidRPr="00A16338" w:rsidRDefault="00B42C91" w:rsidP="00A16338">
      <w:pPr>
        <w:pStyle w:val="Legenda"/>
        <w:keepNext/>
        <w:rPr>
          <w:b w:val="0"/>
          <w:i/>
          <w:sz w:val="18"/>
        </w:rPr>
      </w:pPr>
      <w:r w:rsidRPr="00232CC7">
        <w:rPr>
          <w:noProof/>
        </w:rPr>
        <w:drawing>
          <wp:inline distT="0" distB="0" distL="0" distR="0">
            <wp:extent cx="5760720" cy="1636087"/>
            <wp:effectExtent l="19050" t="0" r="0" b="0"/>
            <wp:docPr id="99" name="Obraz 1" descr="i:\Dokumenty_net\Moje obrazy\Nowy obraz (16).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Dokumenty_net\Moje obrazy\Nowy obraz (16).bmp"/>
                    <pic:cNvPicPr>
                      <a:picLocks noChangeAspect="1" noChangeArrowheads="1"/>
                    </pic:cNvPicPr>
                  </pic:nvPicPr>
                  <pic:blipFill>
                    <a:blip r:embed="rId78" cstate="print"/>
                    <a:srcRect/>
                    <a:stretch>
                      <a:fillRect/>
                    </a:stretch>
                  </pic:blipFill>
                  <pic:spPr bwMode="auto">
                    <a:xfrm>
                      <a:off x="0" y="0"/>
                      <a:ext cx="5760720" cy="1636087"/>
                    </a:xfrm>
                    <a:prstGeom prst="rect">
                      <a:avLst/>
                    </a:prstGeom>
                    <a:noFill/>
                    <a:ln w="9525">
                      <a:noFill/>
                      <a:miter lim="800000"/>
                      <a:headEnd/>
                      <a:tailEnd/>
                    </a:ln>
                  </pic:spPr>
                </pic:pic>
              </a:graphicData>
            </a:graphic>
          </wp:inline>
        </w:drawing>
      </w:r>
      <w:r w:rsidRPr="00232CC7">
        <w:rPr>
          <w:b w:val="0"/>
          <w:i/>
          <w:sz w:val="18"/>
        </w:rPr>
        <w:t>Źródło: Miejski Zarząd Zieleni i Gospodarki Komunalnej</w:t>
      </w:r>
    </w:p>
    <w:p w:rsidR="00A16338" w:rsidRPr="00A16338" w:rsidRDefault="00A16338" w:rsidP="00A16338">
      <w:pPr>
        <w:pStyle w:val="Legenda"/>
        <w:keepNext/>
      </w:pPr>
    </w:p>
    <w:p w:rsidR="00B42C91" w:rsidRPr="00232CC7" w:rsidRDefault="00B42C91" w:rsidP="00A16338">
      <w:pPr>
        <w:pStyle w:val="Legenda"/>
        <w:keepNext/>
        <w:spacing w:after="20"/>
      </w:pPr>
      <w:bookmarkStart w:id="7793" w:name="_Toc474925011"/>
      <w:r w:rsidRPr="00232CC7">
        <w:t xml:space="preserve">Ilustracja </w:t>
      </w:r>
      <w:fldSimple w:instr=" SEQ Ilustracja \* ARABIC ">
        <w:r w:rsidR="00413FFE">
          <w:rPr>
            <w:noProof/>
          </w:rPr>
          <w:t>18</w:t>
        </w:r>
      </w:fldSimple>
      <w:r w:rsidRPr="00232CC7">
        <w:t>. Przestrzeń miejska: ul. Królowej Jadwigi – ul. Reymonta, ul. Sienna</w:t>
      </w:r>
      <w:bookmarkEnd w:id="7793"/>
    </w:p>
    <w:p w:rsidR="00B42C91" w:rsidRPr="00A16338" w:rsidRDefault="00B42C91" w:rsidP="00B42C91">
      <w:pPr>
        <w:pStyle w:val="Legenda"/>
        <w:keepNext/>
        <w:rPr>
          <w:sz w:val="18"/>
        </w:rPr>
      </w:pPr>
      <w:r w:rsidRPr="00232CC7">
        <w:rPr>
          <w:b w:val="0"/>
          <w:bCs w:val="0"/>
          <w:noProof/>
        </w:rPr>
        <w:drawing>
          <wp:inline distT="0" distB="0" distL="0" distR="0">
            <wp:extent cx="5760720" cy="1635369"/>
            <wp:effectExtent l="19050" t="0" r="0" b="0"/>
            <wp:docPr id="100" name="Obraz 3" descr="i:\Dokumenty_net\Moje obrazy\Nowy obraz (17).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Dokumenty_net\Moje obrazy\Nowy obraz (17).bmp"/>
                    <pic:cNvPicPr>
                      <a:picLocks noChangeAspect="1" noChangeArrowheads="1"/>
                    </pic:cNvPicPr>
                  </pic:nvPicPr>
                  <pic:blipFill>
                    <a:blip r:embed="rId79" cstate="print"/>
                    <a:srcRect/>
                    <a:stretch>
                      <a:fillRect/>
                    </a:stretch>
                  </pic:blipFill>
                  <pic:spPr bwMode="auto">
                    <a:xfrm>
                      <a:off x="0" y="0"/>
                      <a:ext cx="5760720" cy="1635369"/>
                    </a:xfrm>
                    <a:prstGeom prst="rect">
                      <a:avLst/>
                    </a:prstGeom>
                    <a:noFill/>
                    <a:ln w="9525">
                      <a:noFill/>
                      <a:miter lim="800000"/>
                      <a:headEnd/>
                      <a:tailEnd/>
                    </a:ln>
                  </pic:spPr>
                </pic:pic>
              </a:graphicData>
            </a:graphic>
          </wp:inline>
        </w:drawing>
      </w:r>
      <w:r w:rsidRPr="00232CC7">
        <w:rPr>
          <w:b w:val="0"/>
          <w:i/>
          <w:sz w:val="18"/>
        </w:rPr>
        <w:t>Źródło: Miejski Zarząd Zieleni i Gospodarki Komunalnej</w:t>
      </w:r>
      <w:r w:rsidR="00A16338">
        <w:rPr>
          <w:b w:val="0"/>
          <w:i/>
          <w:sz w:val="18"/>
        </w:rPr>
        <w:br/>
      </w:r>
    </w:p>
    <w:p w:rsidR="00232CC7" w:rsidRPr="00232CC7" w:rsidRDefault="00232CC7" w:rsidP="00A16338">
      <w:pPr>
        <w:pStyle w:val="Legenda"/>
        <w:keepNext/>
      </w:pPr>
      <w:bookmarkStart w:id="7794" w:name="_Toc474925012"/>
      <w:r w:rsidRPr="00232CC7">
        <w:t xml:space="preserve">Ilustracja </w:t>
      </w:r>
      <w:r w:rsidR="003972D8" w:rsidRPr="00232CC7">
        <w:fldChar w:fldCharType="begin"/>
      </w:r>
      <w:r w:rsidRPr="00232CC7">
        <w:instrText xml:space="preserve"> SEQ Ilustracja \* ARABIC </w:instrText>
      </w:r>
      <w:r w:rsidR="003972D8" w:rsidRPr="00232CC7">
        <w:fldChar w:fldCharType="separate"/>
      </w:r>
      <w:r w:rsidR="00413FFE">
        <w:rPr>
          <w:noProof/>
        </w:rPr>
        <w:t>19</w:t>
      </w:r>
      <w:r w:rsidR="003972D8" w:rsidRPr="00232CC7">
        <w:fldChar w:fldCharType="end"/>
      </w:r>
      <w:r w:rsidRPr="00232CC7">
        <w:t>. Przestrzeń miejska: ul. Musialika 3</w:t>
      </w:r>
      <w:bookmarkEnd w:id="7794"/>
    </w:p>
    <w:p w:rsidR="00232CC7" w:rsidRDefault="00232CC7" w:rsidP="00A16338">
      <w:pPr>
        <w:pStyle w:val="Legenda"/>
        <w:keepNext/>
        <w:rPr>
          <w:b w:val="0"/>
          <w:i/>
          <w:sz w:val="18"/>
        </w:rPr>
      </w:pPr>
      <w:r w:rsidRPr="00232CC7">
        <w:rPr>
          <w:b w:val="0"/>
          <w:bCs w:val="0"/>
          <w:noProof/>
        </w:rPr>
        <w:drawing>
          <wp:inline distT="0" distB="0" distL="0" distR="0">
            <wp:extent cx="5760720" cy="1673723"/>
            <wp:effectExtent l="19050" t="0" r="0" b="0"/>
            <wp:docPr id="64" name="Obraz 6" descr="i:\Dokumenty_net\Moje obrazy\Nowy obraz (18).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Dokumenty_net\Moje obrazy\Nowy obraz (18).bmp"/>
                    <pic:cNvPicPr>
                      <a:picLocks noChangeAspect="1" noChangeArrowheads="1"/>
                    </pic:cNvPicPr>
                  </pic:nvPicPr>
                  <pic:blipFill>
                    <a:blip r:embed="rId80" cstate="print"/>
                    <a:srcRect/>
                    <a:stretch>
                      <a:fillRect/>
                    </a:stretch>
                  </pic:blipFill>
                  <pic:spPr bwMode="auto">
                    <a:xfrm>
                      <a:off x="0" y="0"/>
                      <a:ext cx="5760720" cy="1673723"/>
                    </a:xfrm>
                    <a:prstGeom prst="rect">
                      <a:avLst/>
                    </a:prstGeom>
                    <a:noFill/>
                    <a:ln w="9525">
                      <a:noFill/>
                      <a:miter lim="800000"/>
                      <a:headEnd/>
                      <a:tailEnd/>
                    </a:ln>
                  </pic:spPr>
                </pic:pic>
              </a:graphicData>
            </a:graphic>
          </wp:inline>
        </w:drawing>
      </w:r>
      <w:r w:rsidRPr="00232CC7">
        <w:rPr>
          <w:b w:val="0"/>
          <w:i/>
          <w:sz w:val="18"/>
        </w:rPr>
        <w:t>Źródło: Miejski Zarząd Zieleni i Gospodarki Komunalnej</w:t>
      </w:r>
    </w:p>
    <w:p w:rsidR="00D60CF0" w:rsidRPr="00246002" w:rsidRDefault="00D60CF0" w:rsidP="00D60CF0">
      <w:pPr>
        <w:ind w:firstLine="708"/>
        <w:jc w:val="both"/>
        <w:rPr>
          <w:szCs w:val="20"/>
        </w:rPr>
      </w:pPr>
      <w:r w:rsidRPr="00246002">
        <w:rPr>
          <w:szCs w:val="20"/>
        </w:rPr>
        <w:lastRenderedPageBreak/>
        <w:t>Place zabaw i miejsca rekreacji są wyeksploatowane</w:t>
      </w:r>
      <w:r w:rsidRPr="00CA781B">
        <w:rPr>
          <w:szCs w:val="20"/>
        </w:rPr>
        <w:t xml:space="preserve">, brakuje wybrukowanych dojść do klatek schodowych. Na </w:t>
      </w:r>
      <w:r w:rsidRPr="00246002">
        <w:rPr>
          <w:szCs w:val="20"/>
        </w:rPr>
        <w:t xml:space="preserve">Rozbarku znajdują się jeszcze pomieszczenia gospodarcze, pełniące niegdyś funkcje powiązane z hodowlą zwierząt czy gromadzeniem zapasów żywności dla poszczególnych domostw. Dzisiaj są one przekształcane przez mieszkańców (np. na garaże, warsztaty samochodowe) lub niszczeją. </w:t>
      </w:r>
    </w:p>
    <w:p w:rsidR="00866333" w:rsidRPr="00246002" w:rsidRDefault="00866333" w:rsidP="00866333">
      <w:pPr>
        <w:ind w:firstLine="708"/>
        <w:jc w:val="both"/>
        <w:rPr>
          <w:szCs w:val="20"/>
        </w:rPr>
      </w:pPr>
      <w:r w:rsidRPr="00246002">
        <w:rPr>
          <w:szCs w:val="20"/>
        </w:rPr>
        <w:t xml:space="preserve">Place zabaw i podwórka kształtują wizerunek miasta w oczach mieszkańców i przyjezdnych, wpływają na jakość życia mieszkańców, a równocześnie umożliwiają bezpieczny i atrakcyjny sposób spędzania czasu wolnego dzieci i młodzieży, ucząc odpowiedzialności za najbliższe otoczenie, pomagając nawiązywać przyjaźnie, uczyć współpracy i „zdrowej” rywalizacji. Zadbane i dozorowane podwórka i place zabaw ograniczają kontakt dzieci i młodzieży z środowiskami patologicznymi, a dla starszych są miejscem bezpiecznego odpoczynku na świeżym powietrzu. </w:t>
      </w:r>
    </w:p>
    <w:p w:rsidR="00866333" w:rsidRPr="003359E0" w:rsidRDefault="00866333" w:rsidP="00866333">
      <w:pPr>
        <w:ind w:firstLine="708"/>
        <w:jc w:val="both"/>
        <w:rPr>
          <w:b/>
          <w:color w:val="C00000"/>
          <w:szCs w:val="20"/>
        </w:rPr>
      </w:pPr>
      <w:r w:rsidRPr="00246002">
        <w:rPr>
          <w:szCs w:val="20"/>
        </w:rPr>
        <w:t>Fakt ten potwierdzają wyniki „Badania opinii mieszkańców miasta Bytom dotyczącej oceny stanu miasta, warunków życia oraz oczekiwań wobec władz miejskich</w:t>
      </w:r>
      <w:r w:rsidR="003359E0">
        <w:rPr>
          <w:szCs w:val="20"/>
        </w:rPr>
        <w:t>”</w:t>
      </w:r>
      <w:r w:rsidRPr="00246002">
        <w:rPr>
          <w:szCs w:val="20"/>
        </w:rPr>
        <w:t xml:space="preserve"> </w:t>
      </w:r>
      <w:r w:rsidR="003359E0">
        <w:rPr>
          <w:szCs w:val="20"/>
        </w:rPr>
        <w:t xml:space="preserve">z </w:t>
      </w:r>
      <w:r w:rsidR="003359E0" w:rsidRPr="00246002">
        <w:rPr>
          <w:szCs w:val="20"/>
        </w:rPr>
        <w:t>2013</w:t>
      </w:r>
      <w:r w:rsidR="003359E0">
        <w:rPr>
          <w:szCs w:val="20"/>
        </w:rPr>
        <w:t xml:space="preserve"> r.,</w:t>
      </w:r>
      <w:r w:rsidR="003359E0" w:rsidRPr="00246002">
        <w:rPr>
          <w:szCs w:val="20"/>
        </w:rPr>
        <w:t xml:space="preserve"> </w:t>
      </w:r>
      <w:r w:rsidRPr="00246002">
        <w:rPr>
          <w:szCs w:val="20"/>
        </w:rPr>
        <w:t>przeprowadzone</w:t>
      </w:r>
      <w:r w:rsidR="003359E0">
        <w:rPr>
          <w:szCs w:val="20"/>
        </w:rPr>
        <w:t>go</w:t>
      </w:r>
      <w:r w:rsidRPr="00246002">
        <w:rPr>
          <w:szCs w:val="20"/>
        </w:rPr>
        <w:t xml:space="preserve"> przez Marketing Research World z siedzibą w Gliwicach. W części „Moja dzielnica” pytano m.in. o skomunikowanie, czystość, stan budynków, ofertę sklepów, stan chodników, bezpieczeństwo, miejsca rekreacji i spędzania czasu na świeżym powietrzu, place zabaw. </w:t>
      </w:r>
      <w:r w:rsidRPr="003359E0">
        <w:rPr>
          <w:b/>
          <w:color w:val="C00000"/>
          <w:szCs w:val="20"/>
        </w:rPr>
        <w:t xml:space="preserve">Najwięcej negatywnych opinii mieszkańców dotyczyło placów zabaw. Najsłabszy wynik w tym zakresie uzyskały dzielnice Rozbark, Bobrek, Śródmieście. Nieco wyższe oceny dotyczyły miejsc do rekreacji i aktywnego wypoczynku na świeżym powietrzu. Najsłabiej wypadła tu dzielnica Bobrek. </w:t>
      </w:r>
    </w:p>
    <w:p w:rsidR="00866333" w:rsidRPr="00CA781B" w:rsidRDefault="00AC0EC6" w:rsidP="00D60CF0">
      <w:pPr>
        <w:ind w:firstLine="708"/>
        <w:jc w:val="both"/>
        <w:rPr>
          <w:szCs w:val="20"/>
        </w:rPr>
      </w:pPr>
      <w:r>
        <w:rPr>
          <w:szCs w:val="20"/>
        </w:rPr>
        <w:t>W podobszarze Śródmieście i Rozbark</w:t>
      </w:r>
      <w:r w:rsidR="00D60CF0" w:rsidRPr="00246002">
        <w:rPr>
          <w:szCs w:val="20"/>
        </w:rPr>
        <w:t xml:space="preserve"> zabudowa w znacznej części tworzy zamknięte kwartały, zakomponowane przez budynki nawiązujące do siebie wysokością kondygnacji i podziałem okiennym. Tworzą one w wielu miejscach ład przestrzenny i atrakcyjne pierzeje ulic, pomimo niskiego lub złego stanu technicznego zabudowy mieszkaniowej. Dla obszaru rewitalizacji typowe są kontrasty. Piękne kamienice sąsiadują ze zdewastowanymi zabytkami i pozbawionymi opieki pustostanami. Podczas konsultacji społecznych przeprowadzonych w </w:t>
      </w:r>
      <w:r>
        <w:rPr>
          <w:szCs w:val="20"/>
        </w:rPr>
        <w:t>podobszarze Śródmieście</w:t>
      </w:r>
      <w:r w:rsidR="00D60CF0" w:rsidRPr="00246002">
        <w:rPr>
          <w:szCs w:val="20"/>
        </w:rPr>
        <w:t xml:space="preserve"> wiosną 2016 r. mieszkańcy zwracali uwagę na tę dwoistość, podkreślając wady w postaci chaosu </w:t>
      </w:r>
      <w:r w:rsidR="00866333" w:rsidRPr="00246002">
        <w:rPr>
          <w:szCs w:val="20"/>
        </w:rPr>
        <w:t xml:space="preserve">przestrzennego </w:t>
      </w:r>
      <w:r w:rsidR="00D60CF0" w:rsidRPr="00246002">
        <w:rPr>
          <w:szCs w:val="20"/>
        </w:rPr>
        <w:t>i brak</w:t>
      </w:r>
      <w:r w:rsidR="003359E0">
        <w:rPr>
          <w:szCs w:val="20"/>
        </w:rPr>
        <w:t>u</w:t>
      </w:r>
      <w:r w:rsidR="00D60CF0" w:rsidRPr="00246002">
        <w:rPr>
          <w:szCs w:val="20"/>
        </w:rPr>
        <w:t xml:space="preserve"> spójności</w:t>
      </w:r>
      <w:r w:rsidR="00D60CF0" w:rsidRPr="00CA781B">
        <w:rPr>
          <w:szCs w:val="20"/>
        </w:rPr>
        <w:t xml:space="preserve"> estetycznej - wskazany szczególnie w</w:t>
      </w:r>
      <w:r>
        <w:rPr>
          <w:szCs w:val="20"/>
        </w:rPr>
        <w:t> </w:t>
      </w:r>
      <w:r w:rsidR="00D60CF0" w:rsidRPr="00CA781B">
        <w:rPr>
          <w:szCs w:val="20"/>
        </w:rPr>
        <w:t xml:space="preserve">okolicach Rynku. Mówili o witrynach sklepów, które wymagają uporządkowania, a także o banerach reklamowych o niskiej wartości estetycznej. </w:t>
      </w:r>
    </w:p>
    <w:p w:rsidR="009B5277" w:rsidRPr="00CA781B" w:rsidRDefault="00866333" w:rsidP="003359E0">
      <w:pPr>
        <w:pStyle w:val="Standard"/>
        <w:spacing w:after="0" w:line="240" w:lineRule="auto"/>
        <w:ind w:firstLine="708"/>
        <w:jc w:val="both"/>
        <w:rPr>
          <w:rFonts w:asciiTheme="minorHAnsi" w:hAnsiTheme="minorHAnsi"/>
        </w:rPr>
      </w:pPr>
      <w:r w:rsidRPr="00CA781B">
        <w:rPr>
          <w:rFonts w:asciiTheme="minorHAnsi" w:hAnsiTheme="minorHAnsi"/>
          <w:sz w:val="20"/>
          <w:szCs w:val="20"/>
        </w:rPr>
        <w:t xml:space="preserve">W Bytomiu wg stanu na 30 czerwca jest </w:t>
      </w:r>
      <w:r w:rsidRPr="003359E0">
        <w:rPr>
          <w:rFonts w:asciiTheme="minorHAnsi" w:hAnsiTheme="minorHAnsi"/>
          <w:b/>
          <w:color w:val="C00000"/>
          <w:sz w:val="20"/>
          <w:szCs w:val="20"/>
        </w:rPr>
        <w:t>695 sztuk pustostanów lokali użytkowych</w:t>
      </w:r>
      <w:r w:rsidRPr="00CA781B">
        <w:rPr>
          <w:rFonts w:asciiTheme="minorHAnsi" w:hAnsiTheme="minorHAnsi"/>
          <w:sz w:val="20"/>
          <w:szCs w:val="20"/>
        </w:rPr>
        <w:t>, w tym w</w:t>
      </w:r>
      <w:r w:rsidR="003359E0">
        <w:rPr>
          <w:rFonts w:asciiTheme="minorHAnsi" w:hAnsiTheme="minorHAnsi"/>
          <w:sz w:val="20"/>
          <w:szCs w:val="20"/>
        </w:rPr>
        <w:t> </w:t>
      </w:r>
      <w:r w:rsidRPr="00CA781B">
        <w:rPr>
          <w:rFonts w:asciiTheme="minorHAnsi" w:hAnsiTheme="minorHAnsi"/>
          <w:sz w:val="20"/>
          <w:szCs w:val="20"/>
        </w:rPr>
        <w:t>budynka</w:t>
      </w:r>
      <w:r w:rsidR="00AC0EC6">
        <w:rPr>
          <w:rFonts w:asciiTheme="minorHAnsi" w:hAnsiTheme="minorHAnsi"/>
          <w:sz w:val="20"/>
          <w:szCs w:val="20"/>
        </w:rPr>
        <w:t xml:space="preserve">ch komunalnych będących w 100% </w:t>
      </w:r>
      <w:r w:rsidRPr="00CA781B">
        <w:rPr>
          <w:rFonts w:asciiTheme="minorHAnsi" w:hAnsiTheme="minorHAnsi"/>
          <w:sz w:val="20"/>
          <w:szCs w:val="20"/>
        </w:rPr>
        <w:t>własnością Gminy jest to 199 sztuk pustostanów, co stanowi 28,6% wszystkich pustostanów. Liczba pustostanów lokali użytkowych do zasiedlenia wynosi 272 sztuki, w tym w budynkach komunalnych będących własnością 100% Gminy wynosi 100 sztuk, co stanowi 36,7% wszystkich lokali użytkowych do zasiedlenia. Pozostała ilość pustostanów lokali użytkowych są to w przeważającej</w:t>
      </w:r>
      <w:r w:rsidR="00AC0EC6">
        <w:rPr>
          <w:rFonts w:asciiTheme="minorHAnsi" w:hAnsiTheme="minorHAnsi"/>
          <w:sz w:val="20"/>
          <w:szCs w:val="20"/>
        </w:rPr>
        <w:t xml:space="preserve"> części pustostany zawieszone ze względu na stan techniczny. W</w:t>
      </w:r>
      <w:r w:rsidRPr="00CA781B">
        <w:rPr>
          <w:rFonts w:asciiTheme="minorHAnsi" w:hAnsiTheme="minorHAnsi"/>
          <w:sz w:val="20"/>
          <w:szCs w:val="20"/>
        </w:rPr>
        <w:t xml:space="preserve"> przypadku budynków komunalnych jest to 99 sztuk lokali zawieszonych, co stanowi 49 % wszystkich pustostanów w budynkach komunalnych.</w:t>
      </w:r>
    </w:p>
    <w:p w:rsidR="00D60CF0" w:rsidRPr="00C80963" w:rsidRDefault="00D60CF0" w:rsidP="00D60CF0">
      <w:pPr>
        <w:ind w:firstLine="708"/>
        <w:jc w:val="both"/>
        <w:rPr>
          <w:szCs w:val="20"/>
        </w:rPr>
      </w:pPr>
      <w:r w:rsidRPr="00C80963">
        <w:rPr>
          <w:szCs w:val="20"/>
        </w:rPr>
        <w:t>Podobne uwagi wnosili podczas konsultacji także mieszkańcy innych podobszarów. Dodatkowo uczestnicy spotkań narzekali na brak dbałości o zieleń; ich zdaniem często wystarc</w:t>
      </w:r>
      <w:r w:rsidR="003359E0">
        <w:rPr>
          <w:szCs w:val="20"/>
        </w:rPr>
        <w:t>zyłoby uporządkowanie zaniedbanych trawników i skwerów i przycięcie krzewów</w:t>
      </w:r>
      <w:r w:rsidRPr="00C80963">
        <w:rPr>
          <w:szCs w:val="20"/>
        </w:rPr>
        <w:t>, aby znacznie poprawić estetykę przestrzeni. Mówiono także o</w:t>
      </w:r>
      <w:r>
        <w:rPr>
          <w:szCs w:val="20"/>
        </w:rPr>
        <w:t> </w:t>
      </w:r>
      <w:r w:rsidRPr="00C80963">
        <w:rPr>
          <w:szCs w:val="20"/>
        </w:rPr>
        <w:t>nieposprzątanych ulicach, nieestetycznych śmietnikach czy zaniedbanych budynkach garażowych. Temat złego stanu technicznego budynków pojawił się niemal w każdym podobszarze, podobnie, jak kwestia licznych, stopniowo niszczejących pustostanów, często grożących katastrofą budowlaną.</w:t>
      </w:r>
    </w:p>
    <w:p w:rsidR="00D60CF0" w:rsidRPr="00C80963" w:rsidRDefault="00D60CF0" w:rsidP="00D60CF0">
      <w:pPr>
        <w:jc w:val="both"/>
        <w:rPr>
          <w:szCs w:val="20"/>
        </w:rPr>
      </w:pPr>
      <w:r w:rsidRPr="00C80963">
        <w:rPr>
          <w:szCs w:val="20"/>
        </w:rPr>
        <w:t xml:space="preserve">Podobne uwagi formułowali mieszkańcy centrum podczas badania ankietowego przeprowadzonego w 2013 r. na potrzeby Programu Aktywności Lokalnej. Główne wnioski z ankiet odnoszące się do sfery przestrzennej to znaczny stopień zaniedbań w sprawach porządku i czystości oraz zaniedbana, niszczejąca infrastruktura mieszkaniowa (pustostany, zaniedbane kamienice i ich elewacje). </w:t>
      </w:r>
    </w:p>
    <w:p w:rsidR="00D60CF0" w:rsidRPr="00246002" w:rsidRDefault="00D60CF0" w:rsidP="00D60CF0">
      <w:pPr>
        <w:ind w:firstLine="708"/>
        <w:jc w:val="both"/>
        <w:rPr>
          <w:szCs w:val="20"/>
        </w:rPr>
      </w:pPr>
      <w:r w:rsidRPr="00C80963">
        <w:rPr>
          <w:szCs w:val="20"/>
        </w:rPr>
        <w:t xml:space="preserve">W tym samym badaniu ankietowym w odniesieniu do aspektów funkcjonalnych mieszkańcy </w:t>
      </w:r>
      <w:r w:rsidR="00AC0EC6">
        <w:rPr>
          <w:szCs w:val="20"/>
        </w:rPr>
        <w:t>podobszaru Śródmieście</w:t>
      </w:r>
      <w:r w:rsidRPr="00C80963">
        <w:rPr>
          <w:szCs w:val="20"/>
        </w:rPr>
        <w:t xml:space="preserve"> za najważniejsze braki uznali niedostatek w postaci placów zabaw i boisk, a także zbyt mało miejsc do wypoczynku. Z kolei podczas konsultacji społecznych wiosną 2016 r. mieszkańcy Śródmieścia Północ i</w:t>
      </w:r>
      <w:r>
        <w:rPr>
          <w:szCs w:val="20"/>
        </w:rPr>
        <w:t> </w:t>
      </w:r>
      <w:r w:rsidRPr="00C80963">
        <w:rPr>
          <w:szCs w:val="20"/>
        </w:rPr>
        <w:t xml:space="preserve">Rozbarku sformułowali problem niewystarczającej komunikacji publicznej. Autobusy jeżdżą rzadko, przez co centrum miasta, mimo niewielkiej odległości, pozostaje niedostępne dla wielu osób. Również w innych podobszarach mówiono, że usprawnienia w tym względzie i modernizacja taboru są koniecznością, aby przekonać </w:t>
      </w:r>
      <w:r w:rsidRPr="00246002">
        <w:rPr>
          <w:szCs w:val="20"/>
        </w:rPr>
        <w:t>mieszkańców do rezygnacji z dojazdu samochodem. Bardzo często poruszano kwestię braku dróg rowerowych.</w:t>
      </w:r>
    </w:p>
    <w:p w:rsidR="00866333" w:rsidRPr="00246002" w:rsidRDefault="00866333" w:rsidP="00866333">
      <w:pPr>
        <w:ind w:firstLine="708"/>
        <w:jc w:val="both"/>
        <w:rPr>
          <w:szCs w:val="20"/>
        </w:rPr>
      </w:pPr>
      <w:r w:rsidRPr="00833EF1">
        <w:rPr>
          <w:b/>
          <w:color w:val="C00000"/>
          <w:szCs w:val="20"/>
        </w:rPr>
        <w:lastRenderedPageBreak/>
        <w:t>Diagnoza wykazała</w:t>
      </w:r>
      <w:r w:rsidRPr="00246002">
        <w:rPr>
          <w:szCs w:val="20"/>
        </w:rPr>
        <w:t xml:space="preserve"> </w:t>
      </w:r>
      <w:r w:rsidRPr="00DF2B9E">
        <w:rPr>
          <w:b/>
          <w:color w:val="C00000"/>
          <w:szCs w:val="20"/>
        </w:rPr>
        <w:t>oczekiwanie urozmaicania przestrzeni, szczególnie wewnątrzkwartałowych względem głównych ulic i osi, które spełniałyby potrzeby różnych grup (młodzieży, dzieci, seniorów).</w:t>
      </w:r>
    </w:p>
    <w:p w:rsidR="00866333" w:rsidRPr="00246002" w:rsidRDefault="00866333" w:rsidP="00866333">
      <w:pPr>
        <w:ind w:firstLine="708"/>
        <w:jc w:val="both"/>
        <w:rPr>
          <w:szCs w:val="20"/>
        </w:rPr>
      </w:pPr>
      <w:r w:rsidRPr="00246002">
        <w:rPr>
          <w:szCs w:val="20"/>
        </w:rPr>
        <w:t>Miejskie przestrzenie powinny być określonymi przez architekturę ramami dla sieci powiązań wielu przejawów życia społecznego. Człowiek będąc twórcą krajobrazu powinien w istocie być także jego elementem. Miarą witalności przestrzeni miejskich jest więc człowiek, a odnowy krajobrazu miejskiego nie może ograniczać się jedynie do zabiegów konserwatorskich czy też estetyzacji przestrzeni ale ma ona prowadzić do wytworzenia się warunków dla indywidualnego i społecznego rozwoju oraz rzeczywistego trwałego ożywienia przestrzeni obszarów rewitalizacji.</w:t>
      </w:r>
    </w:p>
    <w:p w:rsidR="00D60CF0" w:rsidRPr="00246002" w:rsidRDefault="00866333" w:rsidP="00866333">
      <w:pPr>
        <w:ind w:firstLine="708"/>
        <w:jc w:val="both"/>
        <w:rPr>
          <w:szCs w:val="20"/>
        </w:rPr>
      </w:pPr>
      <w:r w:rsidRPr="00246002">
        <w:rPr>
          <w:szCs w:val="20"/>
        </w:rPr>
        <w:t xml:space="preserve">Diagnoza potwierdziła także, iż </w:t>
      </w:r>
      <w:r w:rsidRPr="003359E0">
        <w:rPr>
          <w:b/>
          <w:color w:val="C00000"/>
          <w:szCs w:val="20"/>
        </w:rPr>
        <w:t>mieszkańcy zgłaszają postulat włączania ich w projektowanie własnego otoczenia,</w:t>
      </w:r>
      <w:r w:rsidRPr="00246002">
        <w:rPr>
          <w:szCs w:val="20"/>
        </w:rPr>
        <w:t xml:space="preserve"> </w:t>
      </w:r>
      <w:r w:rsidRPr="003359E0">
        <w:rPr>
          <w:b/>
          <w:color w:val="C00000"/>
          <w:szCs w:val="20"/>
        </w:rPr>
        <w:t>w szczególności przestrzeni publicznych</w:t>
      </w:r>
      <w:r w:rsidRPr="00246002">
        <w:rPr>
          <w:szCs w:val="20"/>
        </w:rPr>
        <w:t xml:space="preserve">, których współużytkownikami staną się potem. W szczególności dotyczy to przestrzeni wewnątrz kwartałów, gdzie zasadą powinno być </w:t>
      </w:r>
      <w:r w:rsidRPr="003359E0">
        <w:rPr>
          <w:b/>
          <w:color w:val="C00000"/>
          <w:szCs w:val="20"/>
        </w:rPr>
        <w:t>otwieranie przejść i udostępnianie wnętrz kwartałów nie tylko ich mieszkańcom, ale szerszej grupie użytkowników miasta.</w:t>
      </w:r>
    </w:p>
    <w:p w:rsidR="001C2FD4" w:rsidRDefault="001C2FD4" w:rsidP="001C2FD4"/>
    <w:p w:rsidR="00866333" w:rsidRPr="00246002" w:rsidRDefault="00866333" w:rsidP="00866333">
      <w:pPr>
        <w:pStyle w:val="Legenda"/>
        <w:keepNext/>
        <w:spacing w:after="60"/>
        <w:rPr>
          <w:rFonts w:ascii="Calibri" w:hAnsi="Calibri"/>
        </w:rPr>
      </w:pPr>
      <w:bookmarkStart w:id="7795" w:name="_Toc474925065"/>
      <w:r w:rsidRPr="00A63242">
        <w:rPr>
          <w:rFonts w:ascii="Calibri" w:hAnsi="Calibri"/>
        </w:rPr>
        <w:t xml:space="preserve">Schemat </w:t>
      </w:r>
      <w:r w:rsidR="003972D8" w:rsidRPr="00A63242">
        <w:rPr>
          <w:rFonts w:ascii="Calibri" w:hAnsi="Calibri"/>
        </w:rPr>
        <w:fldChar w:fldCharType="begin"/>
      </w:r>
      <w:r w:rsidRPr="00A63242">
        <w:rPr>
          <w:rFonts w:ascii="Calibri" w:hAnsi="Calibri"/>
        </w:rPr>
        <w:instrText xml:space="preserve"> SEQ Schemat \* ARABIC </w:instrText>
      </w:r>
      <w:r w:rsidR="003972D8" w:rsidRPr="00A63242">
        <w:rPr>
          <w:rFonts w:ascii="Calibri" w:hAnsi="Calibri"/>
        </w:rPr>
        <w:fldChar w:fldCharType="separate"/>
      </w:r>
      <w:r w:rsidR="00413FFE">
        <w:rPr>
          <w:rFonts w:ascii="Calibri" w:hAnsi="Calibri"/>
          <w:noProof/>
        </w:rPr>
        <w:t>1</w:t>
      </w:r>
      <w:r w:rsidR="003972D8" w:rsidRPr="00A63242">
        <w:rPr>
          <w:rFonts w:ascii="Calibri" w:hAnsi="Calibri"/>
        </w:rPr>
        <w:fldChar w:fldCharType="end"/>
      </w:r>
      <w:r w:rsidRPr="00A63242">
        <w:rPr>
          <w:rFonts w:ascii="Calibri" w:hAnsi="Calibri"/>
        </w:rPr>
        <w:t>. Przestrzeń publiczna</w:t>
      </w:r>
      <w:bookmarkEnd w:id="7795"/>
    </w:p>
    <w:tbl>
      <w:tblPr>
        <w:tblW w:w="9140" w:type="dxa"/>
        <w:tblInd w:w="-68" w:type="dxa"/>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Layout w:type="fixed"/>
        <w:tblCellMar>
          <w:top w:w="113" w:type="dxa"/>
          <w:left w:w="70" w:type="dxa"/>
          <w:right w:w="70" w:type="dxa"/>
        </w:tblCellMar>
        <w:tblLook w:val="0000"/>
      </w:tblPr>
      <w:tblGrid>
        <w:gridCol w:w="777"/>
        <w:gridCol w:w="2269"/>
        <w:gridCol w:w="1524"/>
        <w:gridCol w:w="1523"/>
        <w:gridCol w:w="2480"/>
        <w:gridCol w:w="567"/>
      </w:tblGrid>
      <w:tr w:rsidR="00866333" w:rsidRPr="00246002" w:rsidTr="00D2748E">
        <w:trPr>
          <w:cantSplit/>
          <w:trHeight w:val="1134"/>
        </w:trPr>
        <w:tc>
          <w:tcPr>
            <w:tcW w:w="777" w:type="dxa"/>
            <w:tcBorders>
              <w:top w:val="nil"/>
              <w:left w:val="nil"/>
              <w:bottom w:val="nil"/>
            </w:tcBorders>
          </w:tcPr>
          <w:p w:rsidR="00866333" w:rsidRPr="00246002" w:rsidRDefault="00866333" w:rsidP="005260B6">
            <w:pPr>
              <w:spacing w:after="200" w:line="276" w:lineRule="auto"/>
              <w:rPr>
                <w:rFonts w:ascii="Calibri" w:hAnsi="Calibri" w:cs="Calibri"/>
                <w:szCs w:val="20"/>
              </w:rPr>
            </w:pPr>
          </w:p>
        </w:tc>
        <w:tc>
          <w:tcPr>
            <w:tcW w:w="7796" w:type="dxa"/>
            <w:gridSpan w:val="4"/>
            <w:shd w:val="clear" w:color="auto" w:fill="99CCFF"/>
            <w:vAlign w:val="center"/>
          </w:tcPr>
          <w:p w:rsidR="00866333" w:rsidRPr="001C3D2E" w:rsidRDefault="00866333" w:rsidP="005260B6">
            <w:pPr>
              <w:pStyle w:val="StandardArial11"/>
              <w:spacing w:line="276" w:lineRule="auto"/>
              <w:jc w:val="center"/>
              <w:rPr>
                <w:rFonts w:ascii="Calibri" w:hAnsi="Calibri" w:cs="Calibri"/>
                <w:b/>
                <w:bCs/>
                <w:szCs w:val="20"/>
              </w:rPr>
            </w:pPr>
            <w:r w:rsidRPr="001C3D2E">
              <w:rPr>
                <w:rFonts w:ascii="Calibri" w:hAnsi="Calibri" w:cs="Calibri"/>
                <w:b/>
                <w:bCs/>
                <w:szCs w:val="20"/>
              </w:rPr>
              <w:t>PROBLEM KLUCZOWY</w:t>
            </w:r>
          </w:p>
          <w:p w:rsidR="00866333" w:rsidRPr="00246002" w:rsidRDefault="00866333" w:rsidP="005260B6">
            <w:pPr>
              <w:pStyle w:val="StandardArial11"/>
              <w:spacing w:line="276" w:lineRule="auto"/>
              <w:jc w:val="center"/>
              <w:rPr>
                <w:rFonts w:ascii="Calibri" w:hAnsi="Calibri" w:cs="Calibri"/>
                <w:sz w:val="20"/>
                <w:szCs w:val="20"/>
              </w:rPr>
            </w:pPr>
            <w:r w:rsidRPr="00246002">
              <w:rPr>
                <w:rFonts w:ascii="Calibri" w:hAnsi="Calibri" w:cs="Calibri"/>
                <w:b/>
                <w:bCs/>
                <w:sz w:val="20"/>
                <w:szCs w:val="20"/>
              </w:rPr>
              <w:t>Zły stan techniczny i zaniedbana przestrzeń wspólna</w:t>
            </w:r>
          </w:p>
        </w:tc>
        <w:tc>
          <w:tcPr>
            <w:tcW w:w="567" w:type="dxa"/>
            <w:tcBorders>
              <w:top w:val="nil"/>
              <w:bottom w:val="nil"/>
              <w:right w:val="nil"/>
            </w:tcBorders>
          </w:tcPr>
          <w:p w:rsidR="00866333" w:rsidRPr="00246002" w:rsidRDefault="00866333" w:rsidP="005260B6">
            <w:pPr>
              <w:spacing w:line="276" w:lineRule="auto"/>
              <w:jc w:val="center"/>
              <w:rPr>
                <w:rFonts w:ascii="Calibri" w:hAnsi="Calibri" w:cs="Calibri"/>
                <w:szCs w:val="20"/>
              </w:rPr>
            </w:pPr>
          </w:p>
        </w:tc>
      </w:tr>
      <w:tr w:rsidR="00866333" w:rsidRPr="00246002" w:rsidTr="005260B6">
        <w:trPr>
          <w:cantSplit/>
          <w:trHeight w:val="397"/>
        </w:trPr>
        <w:tc>
          <w:tcPr>
            <w:tcW w:w="9140" w:type="dxa"/>
            <w:gridSpan w:val="6"/>
            <w:tcBorders>
              <w:top w:val="nil"/>
              <w:left w:val="nil"/>
              <w:right w:val="nil"/>
            </w:tcBorders>
          </w:tcPr>
          <w:p w:rsidR="00866333" w:rsidRPr="00246002" w:rsidRDefault="003972D8" w:rsidP="005260B6">
            <w:pPr>
              <w:spacing w:line="276" w:lineRule="auto"/>
              <w:rPr>
                <w:rFonts w:ascii="Calibri" w:hAnsi="Calibri" w:cs="Calibri"/>
                <w:szCs w:val="20"/>
              </w:rPr>
            </w:pPr>
            <w:r w:rsidRPr="003972D8">
              <w:rPr>
                <w:rFonts w:ascii="Times New Roman" w:hAnsi="Times New Roman"/>
                <w:noProof/>
                <w:sz w:val="24"/>
              </w:rPr>
              <w:pi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_x0000_s1047" type="#_x0000_t68" style="position:absolute;margin-left:154.25pt;margin-top:2.85pt;width:146.2pt;height:38.5pt;rotation:180;z-index:251690496;mso-wrap-edited:f;mso-position-horizontal-relative:text;mso-position-vertical-relative:text" adj="12268,5565" fillcolor="#95b3d7" strokecolor="blue" strokeweight="1pt">
                  <v:fill color2="#dbe5f1" angle="-45" focus="-50%" type="gradient"/>
                  <v:shadow on="t" type="perspective" color="#243f60" opacity=".5" offset="1pt" offset2="-3pt"/>
                  <w10:wrap type="topAndBottom"/>
                </v:shape>
              </w:pict>
            </w:r>
          </w:p>
        </w:tc>
      </w:tr>
      <w:tr w:rsidR="00866333" w:rsidRPr="00246002" w:rsidTr="00D2748E">
        <w:trPr>
          <w:cantSplit/>
          <w:trHeight w:hRule="exact" w:val="454"/>
        </w:trPr>
        <w:tc>
          <w:tcPr>
            <w:tcW w:w="9140" w:type="dxa"/>
            <w:gridSpan w:val="6"/>
            <w:shd w:val="clear" w:color="auto" w:fill="99CCFF"/>
            <w:vAlign w:val="center"/>
          </w:tcPr>
          <w:p w:rsidR="00866333" w:rsidRPr="00246002" w:rsidRDefault="00866333" w:rsidP="005260B6">
            <w:pPr>
              <w:pStyle w:val="StandardArial11"/>
              <w:spacing w:line="276" w:lineRule="auto"/>
              <w:jc w:val="center"/>
              <w:rPr>
                <w:rFonts w:ascii="Calibri" w:hAnsi="Calibri" w:cs="Calibri"/>
                <w:b/>
                <w:bCs/>
                <w:sz w:val="20"/>
                <w:szCs w:val="20"/>
              </w:rPr>
            </w:pPr>
            <w:r w:rsidRPr="00246002">
              <w:rPr>
                <w:rFonts w:ascii="Calibri" w:hAnsi="Calibri" w:cs="Calibri"/>
                <w:b/>
                <w:bCs/>
                <w:sz w:val="20"/>
                <w:szCs w:val="20"/>
              </w:rPr>
              <w:t>SKUTKI</w:t>
            </w:r>
          </w:p>
          <w:p w:rsidR="00866333" w:rsidRPr="00246002" w:rsidRDefault="00866333" w:rsidP="005260B6">
            <w:pPr>
              <w:pStyle w:val="StandardArial11"/>
              <w:spacing w:line="276" w:lineRule="auto"/>
              <w:jc w:val="center"/>
              <w:rPr>
                <w:rFonts w:ascii="Calibri" w:hAnsi="Calibri" w:cs="Calibri"/>
                <w:sz w:val="20"/>
                <w:szCs w:val="20"/>
              </w:rPr>
            </w:pPr>
          </w:p>
          <w:p w:rsidR="00866333" w:rsidRPr="00246002" w:rsidRDefault="00866333" w:rsidP="005260B6">
            <w:pPr>
              <w:pStyle w:val="StandardArial11"/>
              <w:spacing w:line="276" w:lineRule="auto"/>
              <w:jc w:val="center"/>
              <w:rPr>
                <w:rFonts w:ascii="Calibri" w:hAnsi="Calibri" w:cs="Calibri"/>
                <w:sz w:val="20"/>
                <w:szCs w:val="20"/>
              </w:rPr>
            </w:pPr>
          </w:p>
        </w:tc>
      </w:tr>
      <w:tr w:rsidR="00866333" w:rsidRPr="00246002" w:rsidTr="005260B6">
        <w:trPr>
          <w:cantSplit/>
          <w:trHeight w:val="567"/>
        </w:trPr>
        <w:tc>
          <w:tcPr>
            <w:tcW w:w="4570" w:type="dxa"/>
            <w:gridSpan w:val="3"/>
            <w:vAlign w:val="center"/>
          </w:tcPr>
          <w:p w:rsidR="00866333" w:rsidRPr="002C7692" w:rsidRDefault="00866333" w:rsidP="002C7692">
            <w:pPr>
              <w:spacing w:line="276" w:lineRule="auto"/>
              <w:jc w:val="center"/>
              <w:rPr>
                <w:rFonts w:ascii="Calibri" w:hAnsi="Calibri" w:cs="Calibri"/>
                <w:b/>
                <w:sz w:val="18"/>
                <w:szCs w:val="18"/>
              </w:rPr>
            </w:pPr>
            <w:r w:rsidRPr="002C7692">
              <w:rPr>
                <w:rFonts w:ascii="Calibri" w:hAnsi="Calibri" w:cs="Calibri"/>
                <w:b/>
                <w:sz w:val="18"/>
                <w:szCs w:val="18"/>
              </w:rPr>
              <w:t>postępująca „brzydota” przestrzeni miejskich obniżająca estetykę i konkurencyjność miasta</w:t>
            </w:r>
          </w:p>
        </w:tc>
        <w:tc>
          <w:tcPr>
            <w:tcW w:w="4570" w:type="dxa"/>
            <w:gridSpan w:val="3"/>
            <w:vAlign w:val="center"/>
          </w:tcPr>
          <w:p w:rsidR="00866333" w:rsidRPr="002C7692" w:rsidRDefault="00866333" w:rsidP="002C7692">
            <w:pPr>
              <w:spacing w:line="276" w:lineRule="auto"/>
              <w:jc w:val="center"/>
              <w:rPr>
                <w:rFonts w:ascii="Calibri" w:hAnsi="Calibri" w:cs="Calibri"/>
                <w:b/>
                <w:sz w:val="18"/>
                <w:szCs w:val="18"/>
              </w:rPr>
            </w:pPr>
            <w:r w:rsidRPr="002C7692">
              <w:rPr>
                <w:rFonts w:ascii="Calibri" w:hAnsi="Calibri" w:cs="Calibri"/>
                <w:b/>
                <w:sz w:val="18"/>
                <w:szCs w:val="18"/>
              </w:rPr>
              <w:t>negatywny wpływ zdegradowanych przestrzeni na atrakcyjność rezydencjalną i inwestycyjną</w:t>
            </w:r>
          </w:p>
        </w:tc>
      </w:tr>
      <w:tr w:rsidR="00866333" w:rsidRPr="00246002" w:rsidTr="005260B6">
        <w:trPr>
          <w:cantSplit/>
          <w:trHeight w:val="397"/>
        </w:trPr>
        <w:tc>
          <w:tcPr>
            <w:tcW w:w="9140" w:type="dxa"/>
            <w:gridSpan w:val="6"/>
            <w:tcBorders>
              <w:left w:val="nil"/>
              <w:bottom w:val="single" w:sz="4" w:space="0" w:color="548DD4"/>
              <w:right w:val="nil"/>
            </w:tcBorders>
            <w:vAlign w:val="center"/>
          </w:tcPr>
          <w:p w:rsidR="00866333" w:rsidRPr="00246002" w:rsidRDefault="003972D8" w:rsidP="005260B6">
            <w:pPr>
              <w:spacing w:line="276" w:lineRule="auto"/>
              <w:rPr>
                <w:rFonts w:ascii="Calibri" w:hAnsi="Calibri" w:cs="Calibri"/>
                <w:szCs w:val="20"/>
              </w:rPr>
            </w:pPr>
            <w:r w:rsidRPr="003972D8">
              <w:rPr>
                <w:rFonts w:ascii="Times New Roman" w:hAnsi="Times New Roman"/>
                <w:noProof/>
                <w:sz w:val="24"/>
              </w:rPr>
              <w:pict>
                <v:shape id="_x0000_s1048" type="#_x0000_t68" style="position:absolute;margin-left:154.25pt;margin-top:-42.4pt;width:141.35pt;height:40.4pt;rotation:180;z-index:251691520;mso-wrap-edited:f;mso-position-horizontal-relative:text;mso-position-vertical-relative:text" adj="12268,5565" fillcolor="#95b3d7" strokecolor="blue" strokeweight="1pt">
                  <v:fill color2="#dbe5f1" angle="-45" focus="-50%" type="gradient"/>
                  <v:shadow on="t" type="perspective" color="#243f60" opacity=".5" offset="1pt" offset2="-3pt"/>
                  <w10:wrap type="topAndBottom"/>
                </v:shape>
              </w:pict>
            </w:r>
          </w:p>
        </w:tc>
      </w:tr>
      <w:tr w:rsidR="00866333" w:rsidRPr="00246002" w:rsidTr="005260B6">
        <w:trPr>
          <w:cantSplit/>
          <w:trHeight w:val="1092"/>
        </w:trPr>
        <w:tc>
          <w:tcPr>
            <w:tcW w:w="3046" w:type="dxa"/>
            <w:gridSpan w:val="2"/>
            <w:tcBorders>
              <w:top w:val="single" w:sz="4" w:space="0" w:color="548DD4"/>
              <w:left w:val="single" w:sz="4" w:space="0" w:color="548DD4"/>
              <w:bottom w:val="single" w:sz="4" w:space="0" w:color="548DD4"/>
              <w:right w:val="single" w:sz="4" w:space="0" w:color="548DD4"/>
            </w:tcBorders>
            <w:vAlign w:val="center"/>
          </w:tcPr>
          <w:p w:rsidR="00866333" w:rsidRPr="002C7692" w:rsidRDefault="00866333" w:rsidP="005260B6">
            <w:pPr>
              <w:spacing w:line="276" w:lineRule="auto"/>
              <w:jc w:val="center"/>
              <w:rPr>
                <w:rFonts w:ascii="Calibri" w:hAnsi="Calibri" w:cs="Calibri"/>
                <w:b/>
                <w:sz w:val="18"/>
                <w:szCs w:val="18"/>
              </w:rPr>
            </w:pPr>
            <w:r w:rsidRPr="002C7692">
              <w:rPr>
                <w:rFonts w:ascii="Calibri" w:hAnsi="Calibri" w:cs="Calibri"/>
                <w:b/>
                <w:sz w:val="18"/>
                <w:szCs w:val="18"/>
              </w:rPr>
              <w:t xml:space="preserve">degradacja wartości przestrzeni obszaru rewitalizacji i jego tkanki architektonicznej </w:t>
            </w:r>
          </w:p>
          <w:p w:rsidR="00866333" w:rsidRPr="002C7692" w:rsidRDefault="00866333" w:rsidP="005260B6">
            <w:pPr>
              <w:spacing w:line="276" w:lineRule="auto"/>
              <w:jc w:val="center"/>
              <w:rPr>
                <w:rFonts w:ascii="Calibri" w:hAnsi="Calibri" w:cs="Calibri"/>
                <w:b/>
                <w:sz w:val="18"/>
                <w:szCs w:val="18"/>
              </w:rPr>
            </w:pPr>
          </w:p>
        </w:tc>
        <w:tc>
          <w:tcPr>
            <w:tcW w:w="3047" w:type="dxa"/>
            <w:gridSpan w:val="2"/>
            <w:tcBorders>
              <w:top w:val="single" w:sz="4" w:space="0" w:color="548DD4"/>
              <w:left w:val="single" w:sz="4" w:space="0" w:color="548DD4"/>
              <w:bottom w:val="single" w:sz="4" w:space="0" w:color="548DD4"/>
              <w:right w:val="single" w:sz="4" w:space="0" w:color="548DD4"/>
            </w:tcBorders>
            <w:vAlign w:val="center"/>
          </w:tcPr>
          <w:p w:rsidR="00866333" w:rsidRPr="002C7692" w:rsidRDefault="00866333" w:rsidP="005260B6">
            <w:pPr>
              <w:spacing w:line="276" w:lineRule="auto"/>
              <w:jc w:val="center"/>
              <w:rPr>
                <w:rFonts w:ascii="Calibri" w:hAnsi="Calibri" w:cs="Calibri"/>
                <w:b/>
                <w:sz w:val="18"/>
                <w:szCs w:val="18"/>
              </w:rPr>
            </w:pPr>
            <w:r w:rsidRPr="002C7692">
              <w:rPr>
                <w:rFonts w:ascii="Calibri" w:hAnsi="Calibri" w:cs="Calibri"/>
                <w:b/>
                <w:sz w:val="18"/>
                <w:szCs w:val="18"/>
              </w:rPr>
              <w:t>regres funkcjonalny (kulturowy i</w:t>
            </w:r>
            <w:r w:rsidR="004222BD" w:rsidRPr="002C7692">
              <w:rPr>
                <w:rFonts w:ascii="Calibri" w:hAnsi="Calibri" w:cs="Calibri"/>
                <w:b/>
                <w:sz w:val="18"/>
                <w:szCs w:val="18"/>
              </w:rPr>
              <w:t> </w:t>
            </w:r>
            <w:r w:rsidRPr="002C7692">
              <w:rPr>
                <w:rFonts w:ascii="Calibri" w:hAnsi="Calibri" w:cs="Calibri"/>
                <w:b/>
                <w:sz w:val="18"/>
                <w:szCs w:val="18"/>
              </w:rPr>
              <w:t>społeczny) kluczowych przestrzeni publicznych</w:t>
            </w:r>
          </w:p>
          <w:p w:rsidR="00866333" w:rsidRPr="002C7692" w:rsidRDefault="00866333" w:rsidP="005260B6">
            <w:pPr>
              <w:spacing w:line="276" w:lineRule="auto"/>
              <w:jc w:val="center"/>
              <w:rPr>
                <w:rFonts w:ascii="Calibri" w:hAnsi="Calibri" w:cs="Calibri"/>
                <w:b/>
                <w:sz w:val="18"/>
                <w:szCs w:val="18"/>
              </w:rPr>
            </w:pPr>
          </w:p>
        </w:tc>
        <w:tc>
          <w:tcPr>
            <w:tcW w:w="3047" w:type="dxa"/>
            <w:gridSpan w:val="2"/>
            <w:tcBorders>
              <w:top w:val="single" w:sz="4" w:space="0" w:color="548DD4"/>
              <w:left w:val="single" w:sz="4" w:space="0" w:color="548DD4"/>
              <w:bottom w:val="single" w:sz="4" w:space="0" w:color="548DD4"/>
              <w:right w:val="single" w:sz="4" w:space="0" w:color="548DD4"/>
            </w:tcBorders>
            <w:vAlign w:val="center"/>
          </w:tcPr>
          <w:p w:rsidR="00866333" w:rsidRPr="002C7692" w:rsidRDefault="00866333" w:rsidP="005260B6">
            <w:pPr>
              <w:jc w:val="center"/>
              <w:rPr>
                <w:rFonts w:ascii="Calibri" w:hAnsi="Calibri" w:cs="Calibri"/>
                <w:b/>
                <w:sz w:val="18"/>
                <w:szCs w:val="18"/>
              </w:rPr>
            </w:pPr>
            <w:r w:rsidRPr="002C7692">
              <w:rPr>
                <w:rFonts w:ascii="Calibri" w:hAnsi="Calibri" w:cs="Calibri"/>
                <w:b/>
                <w:sz w:val="18"/>
                <w:szCs w:val="18"/>
              </w:rPr>
              <w:t xml:space="preserve">brak dostępności przestrzeni publicznych o wysokiej jakości, w tym zielonych enklaw chwilowego wypoczynku i stref dla pieszych </w:t>
            </w:r>
          </w:p>
        </w:tc>
      </w:tr>
      <w:tr w:rsidR="00866333" w:rsidRPr="00246002" w:rsidTr="005260B6">
        <w:trPr>
          <w:cantSplit/>
          <w:trHeight w:val="1032"/>
        </w:trPr>
        <w:tc>
          <w:tcPr>
            <w:tcW w:w="3046" w:type="dxa"/>
            <w:gridSpan w:val="2"/>
            <w:tcBorders>
              <w:top w:val="single" w:sz="4" w:space="0" w:color="548DD4"/>
              <w:left w:val="single" w:sz="4" w:space="0" w:color="548DD4"/>
              <w:bottom w:val="single" w:sz="4" w:space="0" w:color="548DD4"/>
              <w:right w:val="single" w:sz="4" w:space="0" w:color="548DD4"/>
            </w:tcBorders>
            <w:vAlign w:val="center"/>
          </w:tcPr>
          <w:p w:rsidR="00866333" w:rsidRPr="002C7692" w:rsidRDefault="00866333" w:rsidP="005260B6">
            <w:pPr>
              <w:jc w:val="center"/>
              <w:rPr>
                <w:rFonts w:ascii="Calibri" w:hAnsi="Calibri" w:cs="Calibri"/>
                <w:b/>
                <w:sz w:val="18"/>
                <w:szCs w:val="18"/>
              </w:rPr>
            </w:pPr>
            <w:r w:rsidRPr="002C7692">
              <w:rPr>
                <w:rFonts w:ascii="Calibri" w:hAnsi="Calibri" w:cs="Calibri"/>
                <w:b/>
                <w:sz w:val="18"/>
                <w:szCs w:val="18"/>
              </w:rPr>
              <w:t>zaniedbanie obszarów rekreacji i spędzania czasu wolnego w otoczeniu budynków mieszkalnych</w:t>
            </w:r>
          </w:p>
        </w:tc>
        <w:tc>
          <w:tcPr>
            <w:tcW w:w="3047" w:type="dxa"/>
            <w:gridSpan w:val="2"/>
            <w:tcBorders>
              <w:top w:val="single" w:sz="4" w:space="0" w:color="548DD4"/>
              <w:left w:val="single" w:sz="4" w:space="0" w:color="548DD4"/>
              <w:bottom w:val="single" w:sz="4" w:space="0" w:color="548DD4"/>
              <w:right w:val="single" w:sz="4" w:space="0" w:color="548DD4"/>
            </w:tcBorders>
            <w:vAlign w:val="center"/>
          </w:tcPr>
          <w:p w:rsidR="00866333" w:rsidRPr="002C7692" w:rsidRDefault="00866333" w:rsidP="005260B6">
            <w:pPr>
              <w:jc w:val="center"/>
              <w:rPr>
                <w:rFonts w:ascii="Calibri" w:hAnsi="Calibri" w:cs="Calibri"/>
                <w:b/>
                <w:sz w:val="18"/>
                <w:szCs w:val="18"/>
              </w:rPr>
            </w:pPr>
            <w:r w:rsidRPr="002C7692">
              <w:rPr>
                <w:rFonts w:ascii="Calibri" w:hAnsi="Calibri" w:cs="Calibri"/>
                <w:b/>
                <w:sz w:val="18"/>
                <w:szCs w:val="18"/>
              </w:rPr>
              <w:t>niedostateczna liczba atrakcyjnych placów zabaw i miejsc spędzania czasu wolnego w otoczeniu budynków</w:t>
            </w:r>
          </w:p>
        </w:tc>
        <w:tc>
          <w:tcPr>
            <w:tcW w:w="3047" w:type="dxa"/>
            <w:gridSpan w:val="2"/>
            <w:tcBorders>
              <w:top w:val="single" w:sz="4" w:space="0" w:color="548DD4"/>
              <w:left w:val="single" w:sz="4" w:space="0" w:color="548DD4"/>
              <w:bottom w:val="single" w:sz="4" w:space="0" w:color="548DD4"/>
              <w:right w:val="single" w:sz="4" w:space="0" w:color="548DD4"/>
            </w:tcBorders>
            <w:vAlign w:val="center"/>
          </w:tcPr>
          <w:p w:rsidR="00866333" w:rsidRPr="002C7692" w:rsidRDefault="00866333" w:rsidP="004222BD">
            <w:pPr>
              <w:jc w:val="center"/>
              <w:rPr>
                <w:rFonts w:ascii="Calibri" w:hAnsi="Calibri" w:cs="Calibri"/>
                <w:b/>
                <w:sz w:val="18"/>
                <w:szCs w:val="18"/>
              </w:rPr>
            </w:pPr>
            <w:r w:rsidRPr="002C7692">
              <w:rPr>
                <w:rFonts w:ascii="Calibri" w:hAnsi="Calibri" w:cs="Calibri"/>
                <w:b/>
                <w:sz w:val="18"/>
                <w:szCs w:val="18"/>
              </w:rPr>
              <w:t>spędzanie czasu wolnego przez dzieci i</w:t>
            </w:r>
            <w:r w:rsidR="004222BD" w:rsidRPr="002C7692">
              <w:rPr>
                <w:rFonts w:ascii="Calibri" w:hAnsi="Calibri" w:cs="Calibri"/>
                <w:b/>
                <w:sz w:val="18"/>
                <w:szCs w:val="18"/>
              </w:rPr>
              <w:t> </w:t>
            </w:r>
            <w:r w:rsidRPr="002C7692">
              <w:rPr>
                <w:rFonts w:ascii="Calibri" w:hAnsi="Calibri" w:cs="Calibri"/>
                <w:b/>
                <w:sz w:val="18"/>
                <w:szCs w:val="18"/>
              </w:rPr>
              <w:t>młodzie</w:t>
            </w:r>
            <w:r w:rsidR="004222BD" w:rsidRPr="002C7692">
              <w:rPr>
                <w:rFonts w:ascii="Calibri" w:hAnsi="Calibri" w:cs="Calibri"/>
                <w:b/>
                <w:sz w:val="18"/>
                <w:szCs w:val="18"/>
              </w:rPr>
              <w:t>ż w miejscach niebezpiecznych i </w:t>
            </w:r>
            <w:r w:rsidRPr="002C7692">
              <w:rPr>
                <w:rFonts w:ascii="Calibri" w:hAnsi="Calibri" w:cs="Calibri"/>
                <w:b/>
                <w:sz w:val="18"/>
                <w:szCs w:val="18"/>
              </w:rPr>
              <w:t>mało atrakcyjnych</w:t>
            </w:r>
          </w:p>
        </w:tc>
      </w:tr>
      <w:tr w:rsidR="00866333" w:rsidRPr="00246002" w:rsidTr="005260B6">
        <w:trPr>
          <w:cantSplit/>
          <w:trHeight w:val="560"/>
        </w:trPr>
        <w:tc>
          <w:tcPr>
            <w:tcW w:w="9140" w:type="dxa"/>
            <w:gridSpan w:val="6"/>
            <w:tcBorders>
              <w:top w:val="single" w:sz="4" w:space="0" w:color="548DD4"/>
              <w:left w:val="nil"/>
              <w:right w:val="nil"/>
            </w:tcBorders>
            <w:vAlign w:val="center"/>
          </w:tcPr>
          <w:p w:rsidR="00866333" w:rsidRPr="00246002" w:rsidRDefault="003972D8" w:rsidP="005260B6">
            <w:pPr>
              <w:spacing w:line="276" w:lineRule="auto"/>
              <w:rPr>
                <w:rFonts w:ascii="Calibri" w:hAnsi="Calibri" w:cs="Calibri"/>
                <w:szCs w:val="20"/>
              </w:rPr>
            </w:pPr>
            <w:r w:rsidRPr="003972D8">
              <w:rPr>
                <w:rFonts w:ascii="Times New Roman" w:hAnsi="Times New Roman"/>
                <w:noProof/>
                <w:sz w:val="24"/>
              </w:rPr>
              <w:pict>
                <v:shape id="_x0000_s1049" type="#_x0000_t68" style="position:absolute;margin-left:154.2pt;margin-top:-41.9pt;width:141.4pt;height:39.75pt;rotation:180;z-index:251692544;mso-wrap-edited:f;mso-position-horizontal-relative:text;mso-position-vertical-relative:text" adj="12268,5565" fillcolor="#95b3d7" strokecolor="blue" strokeweight="1pt">
                  <v:fill color2="#dbe5f1" angle="-45" focus="-50%" type="gradient"/>
                  <v:shadow on="t" type="perspective" color="#243f60" opacity=".5" offset="1pt" offset2="-3pt"/>
                  <w10:wrap type="topAndBottom"/>
                </v:shape>
              </w:pict>
            </w:r>
          </w:p>
        </w:tc>
      </w:tr>
      <w:tr w:rsidR="00866333" w:rsidRPr="00246002" w:rsidTr="005260B6">
        <w:trPr>
          <w:cantSplit/>
          <w:trHeight w:val="170"/>
        </w:trPr>
        <w:tc>
          <w:tcPr>
            <w:tcW w:w="9140" w:type="dxa"/>
            <w:gridSpan w:val="6"/>
            <w:vAlign w:val="center"/>
          </w:tcPr>
          <w:p w:rsidR="00866333" w:rsidRPr="00246002" w:rsidRDefault="00866333" w:rsidP="002C7692">
            <w:pPr>
              <w:spacing w:line="276" w:lineRule="auto"/>
              <w:jc w:val="center"/>
              <w:rPr>
                <w:rFonts w:ascii="Calibri" w:hAnsi="Calibri" w:cs="Calibri"/>
                <w:szCs w:val="20"/>
              </w:rPr>
            </w:pPr>
            <w:r w:rsidRPr="002C7692">
              <w:rPr>
                <w:rFonts w:ascii="Calibri" w:hAnsi="Calibri" w:cs="Calibri"/>
                <w:b/>
                <w:sz w:val="18"/>
                <w:szCs w:val="18"/>
              </w:rPr>
              <w:t>dysharmonia zachowań i aspiracji społecznych z przestrzenią, będącą miejscem tych zachowań oraz przedmiotem aspiracji</w:t>
            </w:r>
            <w:r w:rsidR="002C7692">
              <w:rPr>
                <w:rFonts w:ascii="Calibri" w:hAnsi="Calibri" w:cs="Calibri"/>
                <w:b/>
                <w:sz w:val="18"/>
                <w:szCs w:val="18"/>
              </w:rPr>
              <w:t xml:space="preserve"> </w:t>
            </w:r>
            <w:r w:rsidRPr="002C7692">
              <w:rPr>
                <w:rFonts w:ascii="Calibri" w:hAnsi="Calibri" w:cs="Calibri"/>
                <w:b/>
                <w:sz w:val="18"/>
                <w:szCs w:val="18"/>
              </w:rPr>
              <w:t>postępująca degradacja społeczna</w:t>
            </w:r>
          </w:p>
        </w:tc>
      </w:tr>
    </w:tbl>
    <w:p w:rsidR="00866333" w:rsidRPr="00246002" w:rsidRDefault="00866333" w:rsidP="00866333">
      <w:pPr>
        <w:rPr>
          <w:rFonts w:eastAsia="Calibri" w:cs="ArialNarrow"/>
          <w:i/>
          <w:sz w:val="18"/>
          <w:szCs w:val="20"/>
        </w:rPr>
      </w:pPr>
      <w:r w:rsidRPr="00246002">
        <w:rPr>
          <w:rFonts w:eastAsia="Calibri" w:cs="ArialNarrow"/>
          <w:i/>
          <w:sz w:val="18"/>
          <w:szCs w:val="20"/>
        </w:rPr>
        <w:t>Źródło: Opracowanie własne</w:t>
      </w:r>
    </w:p>
    <w:p w:rsidR="001C2FD4" w:rsidRDefault="001C2FD4" w:rsidP="0055392F">
      <w:pPr>
        <w:pStyle w:val="Nagwek3"/>
        <w:numPr>
          <w:ilvl w:val="2"/>
          <w:numId w:val="388"/>
        </w:numPr>
        <w:ind w:left="567" w:hanging="505"/>
      </w:pPr>
      <w:bookmarkStart w:id="7796" w:name="_Toc461612539"/>
      <w:bookmarkStart w:id="7797" w:name="_Toc474924946"/>
      <w:r>
        <w:lastRenderedPageBreak/>
        <w:t>Sfera środowiskowa: Szkody górnicze, niska emisja i hałas</w:t>
      </w:r>
      <w:bookmarkEnd w:id="7796"/>
      <w:bookmarkEnd w:id="7797"/>
    </w:p>
    <w:p w:rsidR="0041273E" w:rsidRPr="00AD6898" w:rsidRDefault="0041273E" w:rsidP="0041273E"/>
    <w:p w:rsidR="001C2FD4" w:rsidRPr="00C80963" w:rsidRDefault="001C2FD4" w:rsidP="00EB191D">
      <w:pPr>
        <w:ind w:firstLine="708"/>
        <w:jc w:val="both"/>
        <w:rPr>
          <w:szCs w:val="20"/>
        </w:rPr>
      </w:pPr>
      <w:r w:rsidRPr="00C80963">
        <w:rPr>
          <w:szCs w:val="20"/>
        </w:rPr>
        <w:t xml:space="preserve">Eksploatacja górnicza wpłynęła w sposób dramatyczny na sytuację środowiskową miasta. Górnictwo węgla kamiennego oraz rud cynku i ołowiu tworzyło przez wiele wieków bazę rozwoju ekonomicznego miasta, generując jednak obok efektów pozytywnych także szereg zjawisk niepożądanych. Przed przekształceniami górnictwa, 83% całego obszaru miasta stanowiły obszary górnicze kopalń. Eksploatacja górnicza koncentrowała się pod gęstą zabudową Śródmieścia oraz pod dzielnicami Karb i Miechowice. Pod terenami dzielnic Szombierki, Bobrek, Łagiewniki i osiedlem Arki Bożka eksploatację górniczą zakończono pod koniec lat osiemdziesiątych ubiegłego wieku. </w:t>
      </w:r>
    </w:p>
    <w:p w:rsidR="001C2FD4" w:rsidRPr="00C80963" w:rsidRDefault="001C2FD4" w:rsidP="00EB191D">
      <w:pPr>
        <w:ind w:firstLine="708"/>
        <w:jc w:val="both"/>
        <w:rPr>
          <w:szCs w:val="20"/>
        </w:rPr>
      </w:pPr>
      <w:r w:rsidRPr="00C80963">
        <w:rPr>
          <w:szCs w:val="20"/>
        </w:rPr>
        <w:t>Przestrzeń objęta przewidywanymi szkodliwymi wpływami robót górniczych stanowi dużą cześć miasta i</w:t>
      </w:r>
      <w:r w:rsidR="0013236B">
        <w:rPr>
          <w:szCs w:val="20"/>
        </w:rPr>
        <w:t> </w:t>
      </w:r>
      <w:r w:rsidRPr="00C80963">
        <w:rPr>
          <w:szCs w:val="20"/>
        </w:rPr>
        <w:t>zlokalizowana jest w jego środkowej części, położonej w zasięgu obszarów górniczych</w:t>
      </w:r>
      <w:r w:rsidRPr="00C80963">
        <w:rPr>
          <w:rStyle w:val="Odwoanieprzypisudolnego"/>
          <w:szCs w:val="20"/>
        </w:rPr>
        <w:footnoteReference w:id="36"/>
      </w:r>
      <w:r w:rsidRPr="00C80963">
        <w:rPr>
          <w:szCs w:val="20"/>
        </w:rPr>
        <w:t xml:space="preserve"> i terenów górniczych</w:t>
      </w:r>
      <w:r w:rsidRPr="00C80963">
        <w:rPr>
          <w:rStyle w:val="Odwoanieprzypisudolnego"/>
          <w:szCs w:val="20"/>
        </w:rPr>
        <w:footnoteReference w:id="37"/>
      </w:r>
      <w:r w:rsidRPr="00C80963">
        <w:rPr>
          <w:szCs w:val="20"/>
        </w:rPr>
        <w:t>. Obszary górnicze zajmują 23 km</w:t>
      </w:r>
      <w:r w:rsidRPr="00C80963">
        <w:rPr>
          <w:szCs w:val="20"/>
          <w:vertAlign w:val="superscript"/>
        </w:rPr>
        <w:t>2</w:t>
      </w:r>
      <w:r w:rsidRPr="00C80963">
        <w:rPr>
          <w:szCs w:val="20"/>
        </w:rPr>
        <w:t xml:space="preserve"> (33,25% powierzchni miasta), natomiast tereny górnicze zajmują 32 km</w:t>
      </w:r>
      <w:r w:rsidRPr="00C80963">
        <w:rPr>
          <w:szCs w:val="20"/>
          <w:vertAlign w:val="superscript"/>
        </w:rPr>
        <w:t>2</w:t>
      </w:r>
      <w:r w:rsidRPr="00C80963">
        <w:rPr>
          <w:szCs w:val="20"/>
        </w:rPr>
        <w:t xml:space="preserve"> (46,5% powierzchni miasta). Największą powierzchnię zajmuje teren górniczy Byt</w:t>
      </w:r>
      <w:r w:rsidR="00D1694B">
        <w:rPr>
          <w:szCs w:val="20"/>
        </w:rPr>
        <w:t xml:space="preserve">om – Centrum I, który obejmuje </w:t>
      </w:r>
      <w:r w:rsidRPr="00C80963">
        <w:rPr>
          <w:szCs w:val="20"/>
        </w:rPr>
        <w:t xml:space="preserve">między innymi śródmiejskie podobszary rewitalizacji. </w:t>
      </w:r>
    </w:p>
    <w:p w:rsidR="00866333" w:rsidRPr="00866333" w:rsidRDefault="00866333" w:rsidP="00866333">
      <w:pPr>
        <w:jc w:val="both"/>
        <w:rPr>
          <w:szCs w:val="20"/>
        </w:rPr>
      </w:pPr>
      <w:bookmarkStart w:id="7798" w:name="_Toc460222283"/>
      <w:r w:rsidRPr="00866333">
        <w:rPr>
          <w:szCs w:val="20"/>
        </w:rPr>
        <w:t>W latach 2014-2016 najwięcej uszkodzeń spowodowanych ruchem zakładu górniczego w budynkach komunalnych powstało poza obszarem rewitalizacji tj. w dzielnicy Karb i Miechowice</w:t>
      </w:r>
      <w:r w:rsidR="00674067">
        <w:rPr>
          <w:szCs w:val="20"/>
        </w:rPr>
        <w:t>, g</w:t>
      </w:r>
      <w:r w:rsidRPr="00866333">
        <w:rPr>
          <w:szCs w:val="20"/>
        </w:rPr>
        <w:t>dzie zrealizowano 71</w:t>
      </w:r>
      <w:r w:rsidR="004222BD">
        <w:rPr>
          <w:szCs w:val="20"/>
        </w:rPr>
        <w:t> </w:t>
      </w:r>
      <w:r w:rsidRPr="00866333">
        <w:rPr>
          <w:szCs w:val="20"/>
        </w:rPr>
        <w:t xml:space="preserve">ugód o naprawę szkody górniczej natomiast w Śródmieściu 21 ugód. Skalę ilościową występujących uszkodzeń </w:t>
      </w:r>
      <w:r w:rsidR="00AC0EC6">
        <w:rPr>
          <w:szCs w:val="20"/>
        </w:rPr>
        <w:t xml:space="preserve">w </w:t>
      </w:r>
      <w:r w:rsidRPr="00866333">
        <w:rPr>
          <w:szCs w:val="20"/>
        </w:rPr>
        <w:t xml:space="preserve">ww. latach obrazuje przedstawiona </w:t>
      </w:r>
      <w:r w:rsidRPr="006A06A2">
        <w:rPr>
          <w:szCs w:val="20"/>
        </w:rPr>
        <w:t xml:space="preserve">tabela </w:t>
      </w:r>
      <w:r w:rsidR="00966DEE">
        <w:rPr>
          <w:szCs w:val="20"/>
        </w:rPr>
        <w:t>24</w:t>
      </w:r>
      <w:r w:rsidRPr="006A06A2">
        <w:rPr>
          <w:szCs w:val="20"/>
        </w:rPr>
        <w:t>.</w:t>
      </w:r>
    </w:p>
    <w:p w:rsidR="00866333" w:rsidRPr="00866333" w:rsidRDefault="00866333" w:rsidP="00866333">
      <w:pPr>
        <w:jc w:val="both"/>
        <w:rPr>
          <w:szCs w:val="20"/>
        </w:rPr>
      </w:pPr>
      <w:r w:rsidRPr="00866333">
        <w:rPr>
          <w:szCs w:val="20"/>
        </w:rPr>
        <w:t>Realizacja złożonych wniosków o naprawę szkód górniczych trwa od 1 roku do 3 lat.</w:t>
      </w:r>
    </w:p>
    <w:p w:rsidR="00866333" w:rsidRPr="00866333" w:rsidRDefault="00866333" w:rsidP="00866333">
      <w:pPr>
        <w:jc w:val="both"/>
        <w:rPr>
          <w:szCs w:val="20"/>
        </w:rPr>
      </w:pPr>
      <w:r w:rsidRPr="00866333">
        <w:rPr>
          <w:szCs w:val="20"/>
        </w:rPr>
        <w:t>Najczęściej występujące uszkodzenia budynków to: pęknięcia ścian, sufitów, nadproży, przewodów kominowych, wybrzuszenia ścian, posadzek, deformacja stolarki oraz w niektórych przypadkach wychylenie budynku.</w:t>
      </w:r>
    </w:p>
    <w:p w:rsidR="00866333" w:rsidRPr="00866333" w:rsidRDefault="00866333" w:rsidP="00316783">
      <w:pPr>
        <w:jc w:val="both"/>
        <w:rPr>
          <w:szCs w:val="20"/>
        </w:rPr>
      </w:pPr>
      <w:r w:rsidRPr="00866333">
        <w:rPr>
          <w:szCs w:val="20"/>
        </w:rPr>
        <w:t>Naprawa występujących uszkodzeń finansowana jest ze środków własn</w:t>
      </w:r>
      <w:r w:rsidR="00474851">
        <w:rPr>
          <w:szCs w:val="20"/>
        </w:rPr>
        <w:t>ych przedsiębiorcy górniczego i</w:t>
      </w:r>
      <w:r w:rsidR="00316783">
        <w:rPr>
          <w:szCs w:val="20"/>
        </w:rPr>
        <w:t xml:space="preserve"> polega m</w:t>
      </w:r>
      <w:r w:rsidRPr="00866333">
        <w:rPr>
          <w:szCs w:val="20"/>
        </w:rPr>
        <w:t>.in. na: przemurowaniu pęknięć ścian, przewodów kominowych, wymiany spękanych tynków, dopasowanie lub wymiana zdeformowanej stolarki, miejscowe wzmocnienie ścian piwnic i fu</w:t>
      </w:r>
      <w:r w:rsidR="001015B7">
        <w:rPr>
          <w:szCs w:val="20"/>
        </w:rPr>
        <w:t>ndamentów oraz roboty malarskie</w:t>
      </w:r>
      <w:r w:rsidRPr="00866333">
        <w:rPr>
          <w:szCs w:val="20"/>
        </w:rPr>
        <w:t>.</w:t>
      </w:r>
    </w:p>
    <w:p w:rsidR="00866333" w:rsidRDefault="00866333" w:rsidP="00316783">
      <w:pPr>
        <w:jc w:val="both"/>
        <w:rPr>
          <w:szCs w:val="20"/>
        </w:rPr>
      </w:pPr>
      <w:r w:rsidRPr="00866333">
        <w:rPr>
          <w:szCs w:val="20"/>
        </w:rPr>
        <w:t>W roku 2016 zrealizowano dwie ugody dotyczące ,,podnoszenia</w:t>
      </w:r>
      <w:r w:rsidR="00316783">
        <w:rPr>
          <w:szCs w:val="20"/>
        </w:rPr>
        <w:t xml:space="preserve">”/rektyfikacji budynku oraz </w:t>
      </w:r>
      <w:r w:rsidRPr="00866333">
        <w:rPr>
          <w:szCs w:val="20"/>
        </w:rPr>
        <w:t>zawarto dwie następne ugody na ww. roboty poza obszarem rewitalizacji.</w:t>
      </w:r>
    </w:p>
    <w:p w:rsidR="001015B7" w:rsidRDefault="001015B7" w:rsidP="00866333">
      <w:pPr>
        <w:jc w:val="both"/>
        <w:rPr>
          <w:szCs w:val="20"/>
        </w:rPr>
      </w:pPr>
    </w:p>
    <w:p w:rsidR="009B5277" w:rsidRPr="000F4322" w:rsidRDefault="001015B7" w:rsidP="000F4322">
      <w:pPr>
        <w:pStyle w:val="Legenda"/>
        <w:spacing w:line="312" w:lineRule="auto"/>
        <w:rPr>
          <w:rFonts w:ascii="Calibri" w:hAnsi="Calibri" w:cs="Calibri"/>
        </w:rPr>
      </w:pPr>
      <w:bookmarkStart w:id="7799" w:name="_Toc202771117"/>
      <w:r>
        <w:rPr>
          <w:rFonts w:ascii="Calibri" w:hAnsi="Calibri" w:cs="Calibri"/>
        </w:rPr>
        <w:t xml:space="preserve">Tabela </w:t>
      </w:r>
      <w:r w:rsidR="003972D8">
        <w:rPr>
          <w:rFonts w:ascii="Calibri" w:hAnsi="Calibri" w:cs="Calibri"/>
        </w:rPr>
        <w:fldChar w:fldCharType="begin"/>
      </w:r>
      <w:r>
        <w:rPr>
          <w:rFonts w:ascii="Calibri" w:hAnsi="Calibri" w:cs="Calibri"/>
        </w:rPr>
        <w:instrText xml:space="preserve"> SEQ Tabela \* ARABIC </w:instrText>
      </w:r>
      <w:r w:rsidR="003972D8">
        <w:rPr>
          <w:rFonts w:ascii="Calibri" w:hAnsi="Calibri" w:cs="Calibri"/>
        </w:rPr>
        <w:fldChar w:fldCharType="separate"/>
      </w:r>
      <w:r w:rsidR="00413FFE">
        <w:rPr>
          <w:rFonts w:ascii="Calibri" w:hAnsi="Calibri" w:cs="Calibri"/>
          <w:noProof/>
        </w:rPr>
        <w:t>23</w:t>
      </w:r>
      <w:r w:rsidR="003972D8">
        <w:rPr>
          <w:rFonts w:ascii="Calibri" w:hAnsi="Calibri" w:cs="Calibri"/>
        </w:rPr>
        <w:fldChar w:fldCharType="end"/>
      </w:r>
      <w:r>
        <w:rPr>
          <w:rFonts w:ascii="Calibri" w:hAnsi="Calibri" w:cs="Calibri"/>
        </w:rPr>
        <w:t>. Ilościowy wykaz szkód górniczych 2014-2016</w:t>
      </w:r>
      <w:bookmarkEnd w:id="7799"/>
    </w:p>
    <w:tbl>
      <w:tblPr>
        <w:tblW w:w="0" w:type="auto"/>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2030"/>
        <w:gridCol w:w="1119"/>
        <w:gridCol w:w="1246"/>
        <w:gridCol w:w="1119"/>
        <w:gridCol w:w="1246"/>
        <w:gridCol w:w="1119"/>
        <w:gridCol w:w="1246"/>
      </w:tblGrid>
      <w:tr w:rsidR="00866333" w:rsidRPr="00CA781B" w:rsidTr="00A739AE">
        <w:tc>
          <w:tcPr>
            <w:tcW w:w="0" w:type="auto"/>
            <w:vMerge w:val="restart"/>
            <w:shd w:val="clear" w:color="auto" w:fill="99CCFF"/>
            <w:tcMar>
              <w:top w:w="55" w:type="dxa"/>
              <w:left w:w="55" w:type="dxa"/>
              <w:bottom w:w="55" w:type="dxa"/>
              <w:right w:w="55" w:type="dxa"/>
            </w:tcMar>
            <w:vAlign w:val="center"/>
          </w:tcPr>
          <w:p w:rsidR="00866333" w:rsidRPr="00A739AE" w:rsidRDefault="00A739AE" w:rsidP="00A739AE">
            <w:pPr>
              <w:pStyle w:val="TableContents"/>
              <w:spacing w:after="0" w:line="240" w:lineRule="auto"/>
              <w:jc w:val="center"/>
              <w:rPr>
                <w:b/>
                <w:sz w:val="20"/>
                <w:szCs w:val="20"/>
              </w:rPr>
            </w:pPr>
            <w:r>
              <w:rPr>
                <w:b/>
                <w:sz w:val="20"/>
                <w:szCs w:val="20"/>
              </w:rPr>
              <w:t>Wyszczegól</w:t>
            </w:r>
            <w:r w:rsidR="001015B7" w:rsidRPr="00A739AE">
              <w:rPr>
                <w:b/>
                <w:sz w:val="20"/>
                <w:szCs w:val="20"/>
              </w:rPr>
              <w:t>nienie</w:t>
            </w:r>
          </w:p>
        </w:tc>
        <w:tc>
          <w:tcPr>
            <w:tcW w:w="0" w:type="auto"/>
            <w:gridSpan w:val="2"/>
            <w:shd w:val="clear" w:color="auto" w:fill="99CCFF"/>
            <w:tcMar>
              <w:top w:w="55" w:type="dxa"/>
              <w:left w:w="55" w:type="dxa"/>
              <w:bottom w:w="55" w:type="dxa"/>
              <w:right w:w="55" w:type="dxa"/>
            </w:tcMar>
            <w:vAlign w:val="center"/>
          </w:tcPr>
          <w:p w:rsidR="00866333" w:rsidRPr="00A739AE" w:rsidRDefault="00866333" w:rsidP="00A739AE">
            <w:pPr>
              <w:pStyle w:val="TableContents"/>
              <w:spacing w:after="0" w:line="240" w:lineRule="auto"/>
              <w:jc w:val="center"/>
              <w:rPr>
                <w:b/>
                <w:sz w:val="20"/>
                <w:szCs w:val="20"/>
              </w:rPr>
            </w:pPr>
            <w:r w:rsidRPr="00A739AE">
              <w:rPr>
                <w:b/>
                <w:sz w:val="20"/>
                <w:szCs w:val="20"/>
              </w:rPr>
              <w:t>2014</w:t>
            </w:r>
          </w:p>
        </w:tc>
        <w:tc>
          <w:tcPr>
            <w:tcW w:w="0" w:type="auto"/>
            <w:gridSpan w:val="2"/>
            <w:shd w:val="clear" w:color="auto" w:fill="99CCFF"/>
            <w:tcMar>
              <w:top w:w="55" w:type="dxa"/>
              <w:left w:w="55" w:type="dxa"/>
              <w:bottom w:w="55" w:type="dxa"/>
              <w:right w:w="55" w:type="dxa"/>
            </w:tcMar>
            <w:vAlign w:val="center"/>
          </w:tcPr>
          <w:p w:rsidR="00866333" w:rsidRPr="00A739AE" w:rsidRDefault="00866333" w:rsidP="00A739AE">
            <w:pPr>
              <w:pStyle w:val="TableContents"/>
              <w:spacing w:after="0" w:line="240" w:lineRule="auto"/>
              <w:jc w:val="center"/>
              <w:rPr>
                <w:b/>
                <w:sz w:val="20"/>
                <w:szCs w:val="20"/>
              </w:rPr>
            </w:pPr>
            <w:r w:rsidRPr="00A739AE">
              <w:rPr>
                <w:b/>
                <w:sz w:val="20"/>
                <w:szCs w:val="20"/>
              </w:rPr>
              <w:t>2015</w:t>
            </w:r>
          </w:p>
        </w:tc>
        <w:tc>
          <w:tcPr>
            <w:tcW w:w="0" w:type="auto"/>
            <w:gridSpan w:val="2"/>
            <w:shd w:val="clear" w:color="auto" w:fill="99CCFF"/>
            <w:tcMar>
              <w:top w:w="55" w:type="dxa"/>
              <w:left w:w="55" w:type="dxa"/>
              <w:bottom w:w="55" w:type="dxa"/>
              <w:right w:w="55" w:type="dxa"/>
            </w:tcMar>
            <w:vAlign w:val="center"/>
          </w:tcPr>
          <w:p w:rsidR="00866333" w:rsidRPr="00A739AE" w:rsidRDefault="00866333" w:rsidP="00A739AE">
            <w:pPr>
              <w:pStyle w:val="TableContents"/>
              <w:spacing w:after="0" w:line="240" w:lineRule="auto"/>
              <w:jc w:val="center"/>
              <w:rPr>
                <w:b/>
                <w:sz w:val="20"/>
                <w:szCs w:val="20"/>
              </w:rPr>
            </w:pPr>
            <w:r w:rsidRPr="00A739AE">
              <w:rPr>
                <w:b/>
                <w:sz w:val="20"/>
                <w:szCs w:val="20"/>
              </w:rPr>
              <w:t>2016</w:t>
            </w:r>
          </w:p>
        </w:tc>
      </w:tr>
      <w:tr w:rsidR="00866333" w:rsidRPr="00CA781B" w:rsidTr="00A739AE">
        <w:tc>
          <w:tcPr>
            <w:tcW w:w="0" w:type="auto"/>
            <w:vMerge/>
            <w:shd w:val="clear" w:color="auto" w:fill="99CCFF"/>
            <w:tcMar>
              <w:top w:w="55" w:type="dxa"/>
              <w:left w:w="55" w:type="dxa"/>
              <w:bottom w:w="55" w:type="dxa"/>
              <w:right w:w="55" w:type="dxa"/>
            </w:tcMar>
            <w:vAlign w:val="center"/>
          </w:tcPr>
          <w:p w:rsidR="00866333" w:rsidRPr="00A739AE" w:rsidRDefault="00866333" w:rsidP="00A739AE">
            <w:pPr>
              <w:jc w:val="center"/>
              <w:rPr>
                <w:b/>
                <w:szCs w:val="20"/>
              </w:rPr>
            </w:pPr>
          </w:p>
        </w:tc>
        <w:tc>
          <w:tcPr>
            <w:tcW w:w="0" w:type="auto"/>
            <w:shd w:val="clear" w:color="auto" w:fill="99CCFF"/>
            <w:tcMar>
              <w:top w:w="55" w:type="dxa"/>
              <w:left w:w="55" w:type="dxa"/>
              <w:bottom w:w="55" w:type="dxa"/>
              <w:right w:w="55" w:type="dxa"/>
            </w:tcMar>
            <w:vAlign w:val="center"/>
          </w:tcPr>
          <w:p w:rsidR="00866333" w:rsidRPr="00A739AE" w:rsidRDefault="00866333" w:rsidP="00A739AE">
            <w:pPr>
              <w:pStyle w:val="TableContents"/>
              <w:spacing w:after="0" w:line="240" w:lineRule="auto"/>
              <w:jc w:val="center"/>
              <w:rPr>
                <w:b/>
                <w:sz w:val="18"/>
                <w:szCs w:val="20"/>
              </w:rPr>
            </w:pPr>
            <w:r w:rsidRPr="00A739AE">
              <w:rPr>
                <w:b/>
                <w:sz w:val="18"/>
                <w:szCs w:val="20"/>
              </w:rPr>
              <w:t>Obszar rewitalizacji</w:t>
            </w:r>
          </w:p>
        </w:tc>
        <w:tc>
          <w:tcPr>
            <w:tcW w:w="0" w:type="auto"/>
            <w:shd w:val="clear" w:color="auto" w:fill="99CCFF"/>
            <w:tcMar>
              <w:top w:w="55" w:type="dxa"/>
              <w:left w:w="55" w:type="dxa"/>
              <w:bottom w:w="55" w:type="dxa"/>
              <w:right w:w="55" w:type="dxa"/>
            </w:tcMar>
            <w:vAlign w:val="center"/>
          </w:tcPr>
          <w:p w:rsidR="00866333" w:rsidRPr="00A739AE" w:rsidRDefault="00866333" w:rsidP="00A739AE">
            <w:pPr>
              <w:pStyle w:val="TableContents"/>
              <w:spacing w:after="0" w:line="240" w:lineRule="auto"/>
              <w:jc w:val="center"/>
              <w:rPr>
                <w:b/>
                <w:sz w:val="18"/>
                <w:szCs w:val="20"/>
              </w:rPr>
            </w:pPr>
            <w:r w:rsidRPr="00A739AE">
              <w:rPr>
                <w:b/>
                <w:sz w:val="18"/>
                <w:szCs w:val="20"/>
              </w:rPr>
              <w:t>Poza obszarem rewitalizacji</w:t>
            </w:r>
          </w:p>
        </w:tc>
        <w:tc>
          <w:tcPr>
            <w:tcW w:w="0" w:type="auto"/>
            <w:shd w:val="clear" w:color="auto" w:fill="99CCFF"/>
            <w:tcMar>
              <w:top w:w="55" w:type="dxa"/>
              <w:left w:w="55" w:type="dxa"/>
              <w:bottom w:w="55" w:type="dxa"/>
              <w:right w:w="55" w:type="dxa"/>
            </w:tcMar>
            <w:vAlign w:val="center"/>
          </w:tcPr>
          <w:p w:rsidR="00866333" w:rsidRPr="00A739AE" w:rsidRDefault="00866333" w:rsidP="00A739AE">
            <w:pPr>
              <w:pStyle w:val="TableContents"/>
              <w:spacing w:after="0" w:line="240" w:lineRule="auto"/>
              <w:jc w:val="center"/>
              <w:rPr>
                <w:b/>
                <w:sz w:val="18"/>
                <w:szCs w:val="20"/>
              </w:rPr>
            </w:pPr>
            <w:r w:rsidRPr="00A739AE">
              <w:rPr>
                <w:b/>
                <w:sz w:val="18"/>
                <w:szCs w:val="20"/>
              </w:rPr>
              <w:t>Obszar rewitalizacji</w:t>
            </w:r>
          </w:p>
        </w:tc>
        <w:tc>
          <w:tcPr>
            <w:tcW w:w="0" w:type="auto"/>
            <w:shd w:val="clear" w:color="auto" w:fill="99CCFF"/>
            <w:tcMar>
              <w:top w:w="55" w:type="dxa"/>
              <w:left w:w="55" w:type="dxa"/>
              <w:bottom w:w="55" w:type="dxa"/>
              <w:right w:w="55" w:type="dxa"/>
            </w:tcMar>
            <w:vAlign w:val="center"/>
          </w:tcPr>
          <w:p w:rsidR="00866333" w:rsidRPr="00A739AE" w:rsidRDefault="00866333" w:rsidP="00A739AE">
            <w:pPr>
              <w:pStyle w:val="TableContents"/>
              <w:spacing w:after="0" w:line="240" w:lineRule="auto"/>
              <w:jc w:val="center"/>
              <w:rPr>
                <w:b/>
                <w:sz w:val="18"/>
                <w:szCs w:val="20"/>
              </w:rPr>
            </w:pPr>
            <w:r w:rsidRPr="00A739AE">
              <w:rPr>
                <w:b/>
                <w:sz w:val="18"/>
                <w:szCs w:val="20"/>
              </w:rPr>
              <w:t>Poza obszarem rewitalizacji</w:t>
            </w:r>
          </w:p>
        </w:tc>
        <w:tc>
          <w:tcPr>
            <w:tcW w:w="0" w:type="auto"/>
            <w:shd w:val="clear" w:color="auto" w:fill="99CCFF"/>
            <w:tcMar>
              <w:top w:w="55" w:type="dxa"/>
              <w:left w:w="55" w:type="dxa"/>
              <w:bottom w:w="55" w:type="dxa"/>
              <w:right w:w="55" w:type="dxa"/>
            </w:tcMar>
            <w:vAlign w:val="center"/>
          </w:tcPr>
          <w:p w:rsidR="00866333" w:rsidRPr="00A739AE" w:rsidRDefault="00866333" w:rsidP="00A739AE">
            <w:pPr>
              <w:pStyle w:val="TableContents"/>
              <w:spacing w:after="0" w:line="240" w:lineRule="auto"/>
              <w:jc w:val="center"/>
              <w:rPr>
                <w:b/>
                <w:sz w:val="18"/>
                <w:szCs w:val="20"/>
              </w:rPr>
            </w:pPr>
            <w:r w:rsidRPr="00A739AE">
              <w:rPr>
                <w:b/>
                <w:sz w:val="18"/>
                <w:szCs w:val="20"/>
              </w:rPr>
              <w:t>Obszar rewitalizacji</w:t>
            </w:r>
          </w:p>
        </w:tc>
        <w:tc>
          <w:tcPr>
            <w:tcW w:w="0" w:type="auto"/>
            <w:shd w:val="clear" w:color="auto" w:fill="99CCFF"/>
            <w:tcMar>
              <w:top w:w="55" w:type="dxa"/>
              <w:left w:w="55" w:type="dxa"/>
              <w:bottom w:w="55" w:type="dxa"/>
              <w:right w:w="55" w:type="dxa"/>
            </w:tcMar>
            <w:vAlign w:val="center"/>
          </w:tcPr>
          <w:p w:rsidR="00866333" w:rsidRPr="00A739AE" w:rsidRDefault="00866333" w:rsidP="00A739AE">
            <w:pPr>
              <w:pStyle w:val="TableContents"/>
              <w:spacing w:after="0" w:line="240" w:lineRule="auto"/>
              <w:jc w:val="center"/>
              <w:rPr>
                <w:b/>
                <w:sz w:val="18"/>
                <w:szCs w:val="20"/>
              </w:rPr>
            </w:pPr>
            <w:r w:rsidRPr="00A739AE">
              <w:rPr>
                <w:b/>
                <w:sz w:val="18"/>
                <w:szCs w:val="20"/>
              </w:rPr>
              <w:t>Poza obszarem rewitalizacji</w:t>
            </w:r>
          </w:p>
        </w:tc>
      </w:tr>
      <w:tr w:rsidR="00866333" w:rsidRPr="00CA781B" w:rsidTr="00A739AE">
        <w:tc>
          <w:tcPr>
            <w:tcW w:w="0" w:type="auto"/>
            <w:tcMar>
              <w:top w:w="55" w:type="dxa"/>
              <w:left w:w="55" w:type="dxa"/>
              <w:bottom w:w="55" w:type="dxa"/>
              <w:right w:w="55" w:type="dxa"/>
            </w:tcMar>
            <w:vAlign w:val="center"/>
          </w:tcPr>
          <w:p w:rsidR="00866333" w:rsidRPr="00CA781B" w:rsidRDefault="00866333" w:rsidP="001015B7">
            <w:pPr>
              <w:pStyle w:val="TableContents"/>
              <w:spacing w:after="0" w:line="240" w:lineRule="auto"/>
              <w:rPr>
                <w:sz w:val="20"/>
                <w:szCs w:val="20"/>
              </w:rPr>
            </w:pPr>
            <w:r w:rsidRPr="00CA781B">
              <w:rPr>
                <w:sz w:val="20"/>
                <w:szCs w:val="20"/>
              </w:rPr>
              <w:t>Wnioski o naprawę szkody górniczej</w:t>
            </w:r>
          </w:p>
        </w:tc>
        <w:tc>
          <w:tcPr>
            <w:tcW w:w="0" w:type="auto"/>
            <w:tcMar>
              <w:top w:w="55" w:type="dxa"/>
              <w:left w:w="55" w:type="dxa"/>
              <w:bottom w:w="55" w:type="dxa"/>
              <w:right w:w="55" w:type="dxa"/>
            </w:tcMar>
            <w:vAlign w:val="center"/>
          </w:tcPr>
          <w:p w:rsidR="00866333" w:rsidRPr="00CA781B" w:rsidRDefault="00866333" w:rsidP="00CA781B">
            <w:pPr>
              <w:pStyle w:val="TableContents"/>
              <w:spacing w:after="0" w:line="240" w:lineRule="auto"/>
              <w:jc w:val="center"/>
              <w:rPr>
                <w:sz w:val="20"/>
                <w:szCs w:val="20"/>
              </w:rPr>
            </w:pPr>
            <w:r w:rsidRPr="00CA781B">
              <w:rPr>
                <w:sz w:val="20"/>
                <w:szCs w:val="20"/>
              </w:rPr>
              <w:t>1</w:t>
            </w:r>
          </w:p>
        </w:tc>
        <w:tc>
          <w:tcPr>
            <w:tcW w:w="0" w:type="auto"/>
            <w:tcMar>
              <w:top w:w="55" w:type="dxa"/>
              <w:left w:w="55" w:type="dxa"/>
              <w:bottom w:w="55" w:type="dxa"/>
              <w:right w:w="55" w:type="dxa"/>
            </w:tcMar>
            <w:vAlign w:val="center"/>
          </w:tcPr>
          <w:p w:rsidR="00866333" w:rsidRPr="00CA781B" w:rsidRDefault="00866333" w:rsidP="00CA781B">
            <w:pPr>
              <w:pStyle w:val="TableContents"/>
              <w:spacing w:after="0" w:line="240" w:lineRule="auto"/>
              <w:jc w:val="center"/>
              <w:rPr>
                <w:sz w:val="20"/>
                <w:szCs w:val="20"/>
              </w:rPr>
            </w:pPr>
            <w:r w:rsidRPr="00CA781B">
              <w:rPr>
                <w:sz w:val="20"/>
                <w:szCs w:val="20"/>
              </w:rPr>
              <w:t>23</w:t>
            </w:r>
          </w:p>
        </w:tc>
        <w:tc>
          <w:tcPr>
            <w:tcW w:w="0" w:type="auto"/>
            <w:tcMar>
              <w:top w:w="55" w:type="dxa"/>
              <w:left w:w="55" w:type="dxa"/>
              <w:bottom w:w="55" w:type="dxa"/>
              <w:right w:w="55" w:type="dxa"/>
            </w:tcMar>
            <w:vAlign w:val="center"/>
          </w:tcPr>
          <w:p w:rsidR="00866333" w:rsidRPr="00CA781B" w:rsidRDefault="00866333" w:rsidP="00CA781B">
            <w:pPr>
              <w:pStyle w:val="TableContents"/>
              <w:spacing w:after="0" w:line="240" w:lineRule="auto"/>
              <w:jc w:val="center"/>
              <w:rPr>
                <w:sz w:val="20"/>
                <w:szCs w:val="20"/>
              </w:rPr>
            </w:pPr>
            <w:r w:rsidRPr="00CA781B">
              <w:rPr>
                <w:sz w:val="20"/>
                <w:szCs w:val="20"/>
              </w:rPr>
              <w:t>1</w:t>
            </w:r>
          </w:p>
        </w:tc>
        <w:tc>
          <w:tcPr>
            <w:tcW w:w="0" w:type="auto"/>
            <w:tcMar>
              <w:top w:w="55" w:type="dxa"/>
              <w:left w:w="55" w:type="dxa"/>
              <w:bottom w:w="55" w:type="dxa"/>
              <w:right w:w="55" w:type="dxa"/>
            </w:tcMar>
            <w:vAlign w:val="center"/>
          </w:tcPr>
          <w:p w:rsidR="00866333" w:rsidRPr="00CA781B" w:rsidRDefault="00866333" w:rsidP="00CA781B">
            <w:pPr>
              <w:pStyle w:val="TableContents"/>
              <w:spacing w:after="0" w:line="240" w:lineRule="auto"/>
              <w:jc w:val="center"/>
              <w:rPr>
                <w:sz w:val="20"/>
                <w:szCs w:val="20"/>
              </w:rPr>
            </w:pPr>
            <w:r w:rsidRPr="00CA781B">
              <w:rPr>
                <w:sz w:val="20"/>
                <w:szCs w:val="20"/>
              </w:rPr>
              <w:t>5</w:t>
            </w:r>
          </w:p>
        </w:tc>
        <w:tc>
          <w:tcPr>
            <w:tcW w:w="0" w:type="auto"/>
            <w:tcMar>
              <w:top w:w="55" w:type="dxa"/>
              <w:left w:w="55" w:type="dxa"/>
              <w:bottom w:w="55" w:type="dxa"/>
              <w:right w:w="55" w:type="dxa"/>
            </w:tcMar>
            <w:vAlign w:val="center"/>
          </w:tcPr>
          <w:p w:rsidR="00866333" w:rsidRPr="00CA781B" w:rsidRDefault="00866333" w:rsidP="00CA781B">
            <w:pPr>
              <w:pStyle w:val="TableContents"/>
              <w:spacing w:after="0" w:line="240" w:lineRule="auto"/>
              <w:jc w:val="center"/>
              <w:rPr>
                <w:sz w:val="20"/>
                <w:szCs w:val="20"/>
              </w:rPr>
            </w:pPr>
            <w:r w:rsidRPr="00CA781B">
              <w:rPr>
                <w:sz w:val="20"/>
                <w:szCs w:val="20"/>
              </w:rPr>
              <w:t>3</w:t>
            </w:r>
          </w:p>
        </w:tc>
        <w:tc>
          <w:tcPr>
            <w:tcW w:w="0" w:type="auto"/>
            <w:tcMar>
              <w:top w:w="55" w:type="dxa"/>
              <w:left w:w="55" w:type="dxa"/>
              <w:bottom w:w="55" w:type="dxa"/>
              <w:right w:w="55" w:type="dxa"/>
            </w:tcMar>
            <w:vAlign w:val="center"/>
          </w:tcPr>
          <w:p w:rsidR="00866333" w:rsidRPr="00CA781B" w:rsidRDefault="00866333" w:rsidP="00CA781B">
            <w:pPr>
              <w:pStyle w:val="TableContents"/>
              <w:spacing w:after="0" w:line="240" w:lineRule="auto"/>
              <w:jc w:val="center"/>
              <w:rPr>
                <w:sz w:val="20"/>
                <w:szCs w:val="20"/>
              </w:rPr>
            </w:pPr>
            <w:r w:rsidRPr="00CA781B">
              <w:rPr>
                <w:sz w:val="20"/>
                <w:szCs w:val="20"/>
              </w:rPr>
              <w:t>13</w:t>
            </w:r>
          </w:p>
        </w:tc>
      </w:tr>
      <w:tr w:rsidR="00866333" w:rsidRPr="00CA781B" w:rsidTr="00A739AE">
        <w:tc>
          <w:tcPr>
            <w:tcW w:w="0" w:type="auto"/>
            <w:tcMar>
              <w:top w:w="55" w:type="dxa"/>
              <w:left w:w="55" w:type="dxa"/>
              <w:bottom w:w="55" w:type="dxa"/>
              <w:right w:w="55" w:type="dxa"/>
            </w:tcMar>
            <w:vAlign w:val="center"/>
          </w:tcPr>
          <w:p w:rsidR="00866333" w:rsidRPr="00CA781B" w:rsidRDefault="00866333" w:rsidP="00316783">
            <w:pPr>
              <w:pStyle w:val="TableContents"/>
              <w:spacing w:after="0" w:line="240" w:lineRule="auto"/>
              <w:rPr>
                <w:sz w:val="20"/>
                <w:szCs w:val="20"/>
              </w:rPr>
            </w:pPr>
            <w:r w:rsidRPr="00CA781B">
              <w:rPr>
                <w:sz w:val="20"/>
                <w:szCs w:val="20"/>
              </w:rPr>
              <w:t>Zawarte ugody o</w:t>
            </w:r>
            <w:r w:rsidR="00316783">
              <w:rPr>
                <w:sz w:val="20"/>
                <w:szCs w:val="20"/>
              </w:rPr>
              <w:t> </w:t>
            </w:r>
            <w:r w:rsidRPr="00CA781B">
              <w:rPr>
                <w:sz w:val="20"/>
                <w:szCs w:val="20"/>
              </w:rPr>
              <w:t>naprawę szkody górniczej</w:t>
            </w:r>
          </w:p>
        </w:tc>
        <w:tc>
          <w:tcPr>
            <w:tcW w:w="0" w:type="auto"/>
            <w:tcMar>
              <w:top w:w="55" w:type="dxa"/>
              <w:left w:w="55" w:type="dxa"/>
              <w:bottom w:w="55" w:type="dxa"/>
              <w:right w:w="55" w:type="dxa"/>
            </w:tcMar>
            <w:vAlign w:val="center"/>
          </w:tcPr>
          <w:p w:rsidR="00866333" w:rsidRPr="00CA781B" w:rsidRDefault="00866333" w:rsidP="00CA781B">
            <w:pPr>
              <w:pStyle w:val="TableContents"/>
              <w:spacing w:after="0" w:line="240" w:lineRule="auto"/>
              <w:jc w:val="center"/>
              <w:rPr>
                <w:sz w:val="20"/>
                <w:szCs w:val="20"/>
              </w:rPr>
            </w:pPr>
            <w:r w:rsidRPr="00CA781B">
              <w:rPr>
                <w:sz w:val="20"/>
                <w:szCs w:val="20"/>
              </w:rPr>
              <w:t>4</w:t>
            </w:r>
          </w:p>
        </w:tc>
        <w:tc>
          <w:tcPr>
            <w:tcW w:w="0" w:type="auto"/>
            <w:tcMar>
              <w:top w:w="55" w:type="dxa"/>
              <w:left w:w="55" w:type="dxa"/>
              <w:bottom w:w="55" w:type="dxa"/>
              <w:right w:w="55" w:type="dxa"/>
            </w:tcMar>
            <w:vAlign w:val="center"/>
          </w:tcPr>
          <w:p w:rsidR="00866333" w:rsidRPr="00CA781B" w:rsidRDefault="00866333" w:rsidP="00CA781B">
            <w:pPr>
              <w:pStyle w:val="TableContents"/>
              <w:spacing w:after="0" w:line="240" w:lineRule="auto"/>
              <w:jc w:val="center"/>
              <w:rPr>
                <w:sz w:val="20"/>
                <w:szCs w:val="20"/>
              </w:rPr>
            </w:pPr>
            <w:r w:rsidRPr="00CA781B">
              <w:rPr>
                <w:sz w:val="20"/>
                <w:szCs w:val="20"/>
              </w:rPr>
              <w:t>11</w:t>
            </w:r>
          </w:p>
        </w:tc>
        <w:tc>
          <w:tcPr>
            <w:tcW w:w="0" w:type="auto"/>
            <w:tcMar>
              <w:top w:w="55" w:type="dxa"/>
              <w:left w:w="55" w:type="dxa"/>
              <w:bottom w:w="55" w:type="dxa"/>
              <w:right w:w="55" w:type="dxa"/>
            </w:tcMar>
            <w:vAlign w:val="center"/>
          </w:tcPr>
          <w:p w:rsidR="00866333" w:rsidRPr="00CA781B" w:rsidRDefault="00866333" w:rsidP="00CA781B">
            <w:pPr>
              <w:pStyle w:val="TableContents"/>
              <w:spacing w:after="0" w:line="240" w:lineRule="auto"/>
              <w:jc w:val="center"/>
              <w:rPr>
                <w:sz w:val="20"/>
                <w:szCs w:val="20"/>
              </w:rPr>
            </w:pPr>
            <w:r w:rsidRPr="00CA781B">
              <w:rPr>
                <w:sz w:val="20"/>
                <w:szCs w:val="20"/>
              </w:rPr>
              <w:t>0</w:t>
            </w:r>
          </w:p>
        </w:tc>
        <w:tc>
          <w:tcPr>
            <w:tcW w:w="0" w:type="auto"/>
            <w:tcMar>
              <w:top w:w="55" w:type="dxa"/>
              <w:left w:w="55" w:type="dxa"/>
              <w:bottom w:w="55" w:type="dxa"/>
              <w:right w:w="55" w:type="dxa"/>
            </w:tcMar>
            <w:vAlign w:val="center"/>
          </w:tcPr>
          <w:p w:rsidR="00866333" w:rsidRPr="00CA781B" w:rsidRDefault="00866333" w:rsidP="00CA781B">
            <w:pPr>
              <w:pStyle w:val="TableContents"/>
              <w:spacing w:after="0" w:line="240" w:lineRule="auto"/>
              <w:jc w:val="center"/>
              <w:rPr>
                <w:sz w:val="20"/>
                <w:szCs w:val="20"/>
              </w:rPr>
            </w:pPr>
            <w:r w:rsidRPr="00CA781B">
              <w:rPr>
                <w:sz w:val="20"/>
                <w:szCs w:val="20"/>
              </w:rPr>
              <w:t>15</w:t>
            </w:r>
          </w:p>
        </w:tc>
        <w:tc>
          <w:tcPr>
            <w:tcW w:w="0" w:type="auto"/>
            <w:tcMar>
              <w:top w:w="55" w:type="dxa"/>
              <w:left w:w="55" w:type="dxa"/>
              <w:bottom w:w="55" w:type="dxa"/>
              <w:right w:w="55" w:type="dxa"/>
            </w:tcMar>
            <w:vAlign w:val="center"/>
          </w:tcPr>
          <w:p w:rsidR="00866333" w:rsidRPr="00CA781B" w:rsidRDefault="00866333" w:rsidP="00CA781B">
            <w:pPr>
              <w:pStyle w:val="TableContents"/>
              <w:spacing w:after="0" w:line="240" w:lineRule="auto"/>
              <w:jc w:val="center"/>
              <w:rPr>
                <w:sz w:val="20"/>
                <w:szCs w:val="20"/>
              </w:rPr>
            </w:pPr>
            <w:r w:rsidRPr="00CA781B">
              <w:rPr>
                <w:sz w:val="20"/>
                <w:szCs w:val="20"/>
              </w:rPr>
              <w:t>4</w:t>
            </w:r>
          </w:p>
        </w:tc>
        <w:tc>
          <w:tcPr>
            <w:tcW w:w="0" w:type="auto"/>
            <w:tcMar>
              <w:top w:w="55" w:type="dxa"/>
              <w:left w:w="55" w:type="dxa"/>
              <w:bottom w:w="55" w:type="dxa"/>
              <w:right w:w="55" w:type="dxa"/>
            </w:tcMar>
            <w:vAlign w:val="center"/>
          </w:tcPr>
          <w:p w:rsidR="00866333" w:rsidRPr="00CA781B" w:rsidRDefault="00866333" w:rsidP="00CA781B">
            <w:pPr>
              <w:pStyle w:val="TableContents"/>
              <w:spacing w:after="0" w:line="240" w:lineRule="auto"/>
              <w:jc w:val="center"/>
              <w:rPr>
                <w:sz w:val="20"/>
                <w:szCs w:val="20"/>
              </w:rPr>
            </w:pPr>
            <w:r w:rsidRPr="00CA781B">
              <w:rPr>
                <w:sz w:val="20"/>
                <w:szCs w:val="20"/>
              </w:rPr>
              <w:t>8</w:t>
            </w:r>
          </w:p>
        </w:tc>
      </w:tr>
      <w:tr w:rsidR="00866333" w:rsidRPr="00CA781B" w:rsidTr="00A739AE">
        <w:tc>
          <w:tcPr>
            <w:tcW w:w="0" w:type="auto"/>
            <w:tcMar>
              <w:top w:w="55" w:type="dxa"/>
              <w:left w:w="55" w:type="dxa"/>
              <w:bottom w:w="55" w:type="dxa"/>
              <w:right w:w="55" w:type="dxa"/>
            </w:tcMar>
            <w:vAlign w:val="center"/>
          </w:tcPr>
          <w:p w:rsidR="00866333" w:rsidRPr="00CA781B" w:rsidRDefault="00866333" w:rsidP="00316783">
            <w:pPr>
              <w:pStyle w:val="TableContents"/>
              <w:spacing w:after="0" w:line="240" w:lineRule="auto"/>
              <w:rPr>
                <w:sz w:val="20"/>
                <w:szCs w:val="20"/>
              </w:rPr>
            </w:pPr>
            <w:r w:rsidRPr="00CA781B">
              <w:rPr>
                <w:sz w:val="20"/>
                <w:szCs w:val="20"/>
              </w:rPr>
              <w:t>Zrealizowane ugody z</w:t>
            </w:r>
            <w:r w:rsidR="00316783">
              <w:rPr>
                <w:sz w:val="20"/>
                <w:szCs w:val="20"/>
              </w:rPr>
              <w:t> </w:t>
            </w:r>
            <w:r w:rsidRPr="00CA781B">
              <w:rPr>
                <w:sz w:val="20"/>
                <w:szCs w:val="20"/>
              </w:rPr>
              <w:t>tytułu szkód górniczych</w:t>
            </w:r>
          </w:p>
        </w:tc>
        <w:tc>
          <w:tcPr>
            <w:tcW w:w="0" w:type="auto"/>
            <w:tcMar>
              <w:top w:w="55" w:type="dxa"/>
              <w:left w:w="55" w:type="dxa"/>
              <w:bottom w:w="55" w:type="dxa"/>
              <w:right w:w="55" w:type="dxa"/>
            </w:tcMar>
            <w:vAlign w:val="center"/>
          </w:tcPr>
          <w:p w:rsidR="00866333" w:rsidRPr="00CA781B" w:rsidRDefault="00866333" w:rsidP="00CA781B">
            <w:pPr>
              <w:pStyle w:val="TableContents"/>
              <w:spacing w:after="0" w:line="240" w:lineRule="auto"/>
              <w:jc w:val="center"/>
              <w:rPr>
                <w:sz w:val="20"/>
                <w:szCs w:val="20"/>
              </w:rPr>
            </w:pPr>
            <w:r w:rsidRPr="00CA781B">
              <w:rPr>
                <w:sz w:val="20"/>
                <w:szCs w:val="20"/>
              </w:rPr>
              <w:t>17</w:t>
            </w:r>
          </w:p>
        </w:tc>
        <w:tc>
          <w:tcPr>
            <w:tcW w:w="0" w:type="auto"/>
            <w:tcMar>
              <w:top w:w="55" w:type="dxa"/>
              <w:left w:w="55" w:type="dxa"/>
              <w:bottom w:w="55" w:type="dxa"/>
              <w:right w:w="55" w:type="dxa"/>
            </w:tcMar>
            <w:vAlign w:val="center"/>
          </w:tcPr>
          <w:p w:rsidR="00866333" w:rsidRPr="00CA781B" w:rsidRDefault="00866333" w:rsidP="00CA781B">
            <w:pPr>
              <w:pStyle w:val="TableContents"/>
              <w:spacing w:after="0" w:line="240" w:lineRule="auto"/>
              <w:jc w:val="center"/>
              <w:rPr>
                <w:sz w:val="20"/>
                <w:szCs w:val="20"/>
              </w:rPr>
            </w:pPr>
            <w:r w:rsidRPr="00CA781B">
              <w:rPr>
                <w:sz w:val="20"/>
                <w:szCs w:val="20"/>
              </w:rPr>
              <w:t>14</w:t>
            </w:r>
          </w:p>
        </w:tc>
        <w:tc>
          <w:tcPr>
            <w:tcW w:w="0" w:type="auto"/>
            <w:tcMar>
              <w:top w:w="55" w:type="dxa"/>
              <w:left w:w="55" w:type="dxa"/>
              <w:bottom w:w="55" w:type="dxa"/>
              <w:right w:w="55" w:type="dxa"/>
            </w:tcMar>
            <w:vAlign w:val="center"/>
          </w:tcPr>
          <w:p w:rsidR="00866333" w:rsidRPr="00CA781B" w:rsidRDefault="00866333" w:rsidP="00CA781B">
            <w:pPr>
              <w:pStyle w:val="TableContents"/>
              <w:spacing w:after="0" w:line="240" w:lineRule="auto"/>
              <w:jc w:val="center"/>
              <w:rPr>
                <w:sz w:val="20"/>
                <w:szCs w:val="20"/>
              </w:rPr>
            </w:pPr>
            <w:r w:rsidRPr="00CA781B">
              <w:rPr>
                <w:sz w:val="20"/>
                <w:szCs w:val="20"/>
              </w:rPr>
              <w:t>3</w:t>
            </w:r>
          </w:p>
        </w:tc>
        <w:tc>
          <w:tcPr>
            <w:tcW w:w="0" w:type="auto"/>
            <w:tcMar>
              <w:top w:w="55" w:type="dxa"/>
              <w:left w:w="55" w:type="dxa"/>
              <w:bottom w:w="55" w:type="dxa"/>
              <w:right w:w="55" w:type="dxa"/>
            </w:tcMar>
            <w:vAlign w:val="center"/>
          </w:tcPr>
          <w:p w:rsidR="00866333" w:rsidRPr="00CA781B" w:rsidRDefault="00866333" w:rsidP="00CA781B">
            <w:pPr>
              <w:pStyle w:val="TableContents"/>
              <w:spacing w:after="0" w:line="240" w:lineRule="auto"/>
              <w:jc w:val="center"/>
              <w:rPr>
                <w:sz w:val="20"/>
                <w:szCs w:val="20"/>
              </w:rPr>
            </w:pPr>
            <w:r w:rsidRPr="00CA781B">
              <w:rPr>
                <w:sz w:val="20"/>
                <w:szCs w:val="20"/>
              </w:rPr>
              <w:t>15</w:t>
            </w:r>
          </w:p>
        </w:tc>
        <w:tc>
          <w:tcPr>
            <w:tcW w:w="0" w:type="auto"/>
            <w:tcMar>
              <w:top w:w="55" w:type="dxa"/>
              <w:left w:w="55" w:type="dxa"/>
              <w:bottom w:w="55" w:type="dxa"/>
              <w:right w:w="55" w:type="dxa"/>
            </w:tcMar>
            <w:vAlign w:val="center"/>
          </w:tcPr>
          <w:p w:rsidR="00866333" w:rsidRPr="00CA781B" w:rsidRDefault="00866333" w:rsidP="00CA781B">
            <w:pPr>
              <w:pStyle w:val="TableContents"/>
              <w:spacing w:after="0" w:line="240" w:lineRule="auto"/>
              <w:jc w:val="center"/>
              <w:rPr>
                <w:sz w:val="20"/>
                <w:szCs w:val="20"/>
              </w:rPr>
            </w:pPr>
            <w:r w:rsidRPr="00CA781B">
              <w:rPr>
                <w:sz w:val="20"/>
                <w:szCs w:val="20"/>
              </w:rPr>
              <w:t>1</w:t>
            </w:r>
          </w:p>
        </w:tc>
        <w:tc>
          <w:tcPr>
            <w:tcW w:w="0" w:type="auto"/>
            <w:tcMar>
              <w:top w:w="55" w:type="dxa"/>
              <w:left w:w="55" w:type="dxa"/>
              <w:bottom w:w="55" w:type="dxa"/>
              <w:right w:w="55" w:type="dxa"/>
            </w:tcMar>
            <w:vAlign w:val="center"/>
          </w:tcPr>
          <w:p w:rsidR="00866333" w:rsidRPr="00CA781B" w:rsidRDefault="00866333" w:rsidP="00CA781B">
            <w:pPr>
              <w:pStyle w:val="TableContents"/>
              <w:spacing w:after="0" w:line="240" w:lineRule="auto"/>
              <w:jc w:val="center"/>
              <w:rPr>
                <w:sz w:val="20"/>
                <w:szCs w:val="20"/>
              </w:rPr>
            </w:pPr>
            <w:r w:rsidRPr="00CA781B">
              <w:rPr>
                <w:sz w:val="20"/>
                <w:szCs w:val="20"/>
              </w:rPr>
              <w:t>42</w:t>
            </w:r>
          </w:p>
        </w:tc>
      </w:tr>
    </w:tbl>
    <w:p w:rsidR="00401317" w:rsidRPr="00A739AE" w:rsidRDefault="00401317" w:rsidP="00401317">
      <w:pPr>
        <w:autoSpaceDE w:val="0"/>
        <w:autoSpaceDN w:val="0"/>
        <w:adjustRightInd w:val="0"/>
        <w:rPr>
          <w:rFonts w:eastAsia="Calibri" w:cs="ArialNarrow"/>
          <w:i/>
          <w:sz w:val="18"/>
          <w:szCs w:val="20"/>
        </w:rPr>
      </w:pPr>
      <w:r w:rsidRPr="00287763">
        <w:rPr>
          <w:rFonts w:eastAsia="Calibri" w:cs="ArialNarrow"/>
          <w:i/>
          <w:sz w:val="18"/>
          <w:szCs w:val="20"/>
        </w:rPr>
        <w:t xml:space="preserve">Źródło: Opracowanie własne </w:t>
      </w:r>
    </w:p>
    <w:p w:rsidR="00BB6A01" w:rsidRDefault="00BB6A01" w:rsidP="00D1694B">
      <w:pPr>
        <w:ind w:firstLine="708"/>
        <w:jc w:val="both"/>
        <w:rPr>
          <w:szCs w:val="20"/>
        </w:rPr>
      </w:pPr>
    </w:p>
    <w:p w:rsidR="001C2FD4" w:rsidRPr="00EB191D" w:rsidRDefault="008F4DC5" w:rsidP="00EB191D">
      <w:pPr>
        <w:pStyle w:val="Legenda"/>
        <w:spacing w:line="312" w:lineRule="auto"/>
        <w:rPr>
          <w:rFonts w:eastAsia="Calibri"/>
          <w:szCs w:val="24"/>
        </w:rPr>
      </w:pPr>
      <w:bookmarkStart w:id="7800" w:name="_Toc191972651"/>
      <w:r w:rsidRPr="008F4DC5">
        <w:lastRenderedPageBreak/>
        <w:t xml:space="preserve">Mapa </w:t>
      </w:r>
      <w:r w:rsidR="003972D8" w:rsidRPr="008F4DC5">
        <w:fldChar w:fldCharType="begin"/>
      </w:r>
      <w:r w:rsidRPr="008F4DC5">
        <w:instrText xml:space="preserve"> SEQ Mapa \* ARABIC </w:instrText>
      </w:r>
      <w:r w:rsidR="003972D8" w:rsidRPr="008F4DC5">
        <w:fldChar w:fldCharType="separate"/>
      </w:r>
      <w:r w:rsidR="00413FFE">
        <w:rPr>
          <w:noProof/>
        </w:rPr>
        <w:t>39</w:t>
      </w:r>
      <w:r w:rsidR="003972D8" w:rsidRPr="008F4DC5">
        <w:fldChar w:fldCharType="end"/>
      </w:r>
      <w:r w:rsidRPr="008F4DC5">
        <w:t>.</w:t>
      </w:r>
      <w:r w:rsidR="001C2FD4" w:rsidRPr="008F4DC5">
        <w:t xml:space="preserve"> Obszary eksploatacji górniczej na obszarze gminy Bytom</w:t>
      </w:r>
      <w:bookmarkEnd w:id="7798"/>
      <w:bookmarkEnd w:id="7800"/>
    </w:p>
    <w:p w:rsidR="001C2FD4" w:rsidRPr="00EB191D" w:rsidRDefault="0043168D" w:rsidP="001C2FD4">
      <w:r>
        <w:rPr>
          <w:noProof/>
        </w:rPr>
        <w:drawing>
          <wp:inline distT="0" distB="0" distL="0" distR="0">
            <wp:extent cx="5400675" cy="4276725"/>
            <wp:effectExtent l="19050" t="19050" r="28575" b="28575"/>
            <wp:docPr id="30" name="Obraz 19" descr="tereny_gornicze_byt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9" descr="tereny_gornicze_bytom"/>
                    <pic:cNvPicPr>
                      <a:picLocks noChangeAspect="1" noChangeArrowheads="1"/>
                    </pic:cNvPicPr>
                  </pic:nvPicPr>
                  <pic:blipFill>
                    <a:blip r:embed="rId81" cstate="print"/>
                    <a:srcRect/>
                    <a:stretch>
                      <a:fillRect/>
                    </a:stretch>
                  </pic:blipFill>
                  <pic:spPr bwMode="auto">
                    <a:xfrm>
                      <a:off x="0" y="0"/>
                      <a:ext cx="5400675" cy="4276725"/>
                    </a:xfrm>
                    <a:prstGeom prst="rect">
                      <a:avLst/>
                    </a:prstGeom>
                    <a:noFill/>
                    <a:ln w="9525" cmpd="sng">
                      <a:solidFill>
                        <a:srgbClr val="7030A0"/>
                      </a:solidFill>
                      <a:miter lim="800000"/>
                      <a:headEnd/>
                      <a:tailEnd/>
                    </a:ln>
                    <a:effectLst/>
                  </pic:spPr>
                </pic:pic>
              </a:graphicData>
            </a:graphic>
          </wp:inline>
        </w:drawing>
      </w:r>
    </w:p>
    <w:p w:rsidR="00804BD2" w:rsidRPr="005F27F5" w:rsidRDefault="00804BD2" w:rsidP="00804BD2">
      <w:pPr>
        <w:autoSpaceDE w:val="0"/>
        <w:autoSpaceDN w:val="0"/>
        <w:adjustRightInd w:val="0"/>
        <w:rPr>
          <w:rFonts w:eastAsia="Calibri" w:cs="ArialNarrow"/>
          <w:i/>
          <w:sz w:val="18"/>
          <w:szCs w:val="20"/>
        </w:rPr>
      </w:pPr>
      <w:r w:rsidRPr="005F27F5">
        <w:rPr>
          <w:rFonts w:eastAsia="Calibri" w:cs="ArialNarrow"/>
          <w:i/>
          <w:sz w:val="18"/>
          <w:szCs w:val="20"/>
        </w:rPr>
        <w:t xml:space="preserve">Źródło: Opracowanie </w:t>
      </w:r>
      <w:r>
        <w:rPr>
          <w:rFonts w:eastAsia="Calibri" w:cs="ArialNarrow"/>
          <w:i/>
          <w:sz w:val="18"/>
          <w:szCs w:val="20"/>
        </w:rPr>
        <w:t>Instytutu Rozwoju Miast</w:t>
      </w:r>
    </w:p>
    <w:p w:rsidR="00BB6A01" w:rsidRDefault="00BB6A01" w:rsidP="00D1694B">
      <w:pPr>
        <w:ind w:firstLine="708"/>
        <w:jc w:val="both"/>
        <w:rPr>
          <w:szCs w:val="20"/>
        </w:rPr>
      </w:pPr>
    </w:p>
    <w:p w:rsidR="00C422BE" w:rsidRPr="00C422BE" w:rsidRDefault="00D1694B" w:rsidP="00C422BE">
      <w:pPr>
        <w:ind w:firstLine="708"/>
        <w:jc w:val="both"/>
        <w:rPr>
          <w:szCs w:val="20"/>
        </w:rPr>
      </w:pPr>
      <w:r w:rsidRPr="00C80963">
        <w:rPr>
          <w:szCs w:val="20"/>
        </w:rPr>
        <w:t>Na powierzchni wystąpiły liczne skutki eksploatacji podziemnej w postaci obniżenia i deformacji terenu, występowania drgań gruntu wywołanych wstrząsami górniczymi, zaburzenia stosunków wodnych, które szkodliwie oddziałują na znajdujące się obiekty kubaturowe i liniowe. W obiektach drogowych pojawiły się uszkodzenia w postaci garbów, przełomów, zapadnięć, a w sieci wodno-kanalizacyjnej i gazowej rozerwania rur oraz wypadnięcia kielichów. W związku z tym, że działalność górnicza trwa nadal to przekształcenia powierzchni ziemi maja charakter postępujący i są bardzo istotnym problemem ochrony środowiska. Jak wynika z załączonej mapy, pokaźna część obszaru rewitalizacji znajduje się na terenach obj</w:t>
      </w:r>
      <w:r>
        <w:rPr>
          <w:szCs w:val="20"/>
        </w:rPr>
        <w:t>ętych powyższą charakterystyką.</w:t>
      </w:r>
      <w:r w:rsidR="00C422BE">
        <w:rPr>
          <w:szCs w:val="20"/>
        </w:rPr>
        <w:t xml:space="preserve"> </w:t>
      </w:r>
      <w:r w:rsidR="00C422BE" w:rsidRPr="00C422BE">
        <w:rPr>
          <w:szCs w:val="20"/>
        </w:rPr>
        <w:t>Budynki komunalne, które narażone są na wpływ szkód górniczych monitorowane są na bieżąco przez służby techniczne podmiotu odpowiedzialnego za zarządzanie mieszkaniowym zasobem gminy. Efektywność działań prowadzonych przez gminę Bytom sprowadza się do zawierania ugód dotyczących remontów</w:t>
      </w:r>
      <w:r w:rsidR="001A7665">
        <w:rPr>
          <w:szCs w:val="20"/>
        </w:rPr>
        <w:t xml:space="preserve"> lub odszkodowań z przedsiębior</w:t>
      </w:r>
      <w:r w:rsidR="00426CAC">
        <w:rPr>
          <w:szCs w:val="20"/>
        </w:rPr>
        <w:t>cą</w:t>
      </w:r>
      <w:r w:rsidR="00C422BE" w:rsidRPr="00C422BE">
        <w:rPr>
          <w:szCs w:val="20"/>
        </w:rPr>
        <w:t xml:space="preserve"> górniczym będącym sprawcą szkody.</w:t>
      </w:r>
    </w:p>
    <w:p w:rsidR="004222BD" w:rsidRDefault="00C422BE" w:rsidP="00991FC0">
      <w:pPr>
        <w:ind w:firstLine="708"/>
        <w:jc w:val="both"/>
        <w:rPr>
          <w:szCs w:val="20"/>
        </w:rPr>
      </w:pPr>
      <w:r w:rsidRPr="00C422BE">
        <w:rPr>
          <w:szCs w:val="20"/>
        </w:rPr>
        <w:t>Mając na uwadze powyższe w obszarze rewitalizacji szkody górnicze występują w ograniczonym stopniu. Daje to niejako zielone światło do realizacji przedsięwzięć współfinansowanych ze środków  zewnętrznych.</w:t>
      </w:r>
      <w:r w:rsidR="00991FC0">
        <w:rPr>
          <w:szCs w:val="20"/>
        </w:rPr>
        <w:t xml:space="preserve"> </w:t>
      </w:r>
      <w:r w:rsidR="00257051" w:rsidRPr="00257051">
        <w:rPr>
          <w:szCs w:val="20"/>
        </w:rPr>
        <w:t xml:space="preserve">Budowa obiektów na obszarach górniczych wymaga zazwyczaj dodatkowych rozwiązań konstrukcyjnych oraz właściwych metod w zakresie posadowienia fundamentów z uwagi na ewentualne osunięcia, przesunięcia lub tąpnięcia gruntu. Oznacza to, że podmiot prowadzący inwestycję budowlaną musi ponieść dodatkowe koszty zaprojektowania i wykonania zabezpieczenia przed tymi zjawiskami. Prawo do żądania zwrotu od zakładu górniczego uzasadnionych kosztów dodatkowego zabezpieczenia nieruchomości na obszarze górniczym wynika z ustawy z dnia 9 czerwca 2011 r. Prawo geologiczne i górnicze (Dz. U. z 2014 r. poz. 613 ze zm.) Procedury zwrotu poniesionych kosztów różnią się między poszczególnymi zakładami górniczymi. W niektórych przypadkach kontakt między inwestorem i zakładem górniczym następuje przed rozpoczęciem inwestycji, co wiąże się z udzieleniem informacji przez zakład górniczy na temat warunków </w:t>
      </w:r>
      <w:r w:rsidR="00257051" w:rsidRPr="00257051">
        <w:rPr>
          <w:szCs w:val="20"/>
        </w:rPr>
        <w:lastRenderedPageBreak/>
        <w:t>górniczo-geologicznych terenu, na którym planowana jest inwestycja. Kooperacja ta w wielu przypadkach trwa przez kolejne fazy inwestycji, począwszy od planowania dodatkowego zabezpieczenia, poprzez nadzór nad prowadzonymi pracami, aż do ich zatwierdzenia, a podpisanie porozumienia (ugody) i wypłata środków jest często ostatnim krokiem dłuższego procesu. Niekiedy procedura zwrotu kosztów jest krótsza i sprowadza się do przedstawienia odpowiedniego wniosku wr</w:t>
      </w:r>
      <w:r w:rsidR="00A173CC">
        <w:rPr>
          <w:szCs w:val="20"/>
        </w:rPr>
        <w:t xml:space="preserve">az z dokumentacją na podstawie, </w:t>
      </w:r>
      <w:r w:rsidR="00257051" w:rsidRPr="00257051">
        <w:rPr>
          <w:szCs w:val="20"/>
        </w:rPr>
        <w:t>której zakład górniczy przygotowuje ugodę.</w:t>
      </w:r>
    </w:p>
    <w:p w:rsidR="001C2FD4" w:rsidRPr="00C80963" w:rsidRDefault="001C2FD4" w:rsidP="00991FC0">
      <w:pPr>
        <w:ind w:firstLine="708"/>
        <w:jc w:val="both"/>
        <w:rPr>
          <w:szCs w:val="20"/>
        </w:rPr>
      </w:pPr>
      <w:r w:rsidRPr="00C80963">
        <w:rPr>
          <w:szCs w:val="20"/>
        </w:rPr>
        <w:t xml:space="preserve">W Bytomiu od kilku lat nie funkcjonuje już stacja pomiarowa śląskiego monitoringu powietrza, co utrudnia wykonywanie bieżących analiz sytuacji w mieście. Zgodnie z Ustawą </w:t>
      </w:r>
      <w:r w:rsidR="00942BD7">
        <w:rPr>
          <w:szCs w:val="20"/>
        </w:rPr>
        <w:t xml:space="preserve">Prawo Ochrony </w:t>
      </w:r>
      <w:r w:rsidRPr="00C80963">
        <w:rPr>
          <w:szCs w:val="20"/>
        </w:rPr>
        <w:t>Środowiska (tekst jednolity Dz. U.</w:t>
      </w:r>
      <w:r w:rsidR="00545043">
        <w:rPr>
          <w:szCs w:val="20"/>
        </w:rPr>
        <w:t xml:space="preserve"> z 2016 r. poz. 672</w:t>
      </w:r>
      <w:r w:rsidRPr="00C80963">
        <w:rPr>
          <w:szCs w:val="20"/>
        </w:rPr>
        <w:t>) coroczne oceny stanu powietrza są dokonywane w</w:t>
      </w:r>
      <w:r w:rsidR="0013236B">
        <w:rPr>
          <w:szCs w:val="20"/>
        </w:rPr>
        <w:t> </w:t>
      </w:r>
      <w:r w:rsidRPr="00C80963">
        <w:rPr>
          <w:szCs w:val="20"/>
        </w:rPr>
        <w:t>strefach. Bytom znajduje się w strefie pn. aglomeracja górnośląska, jednej z 5 stref wydzielonych na terenie województwa śląskiego. W</w:t>
      </w:r>
      <w:r w:rsidR="004222BD">
        <w:rPr>
          <w:szCs w:val="20"/>
        </w:rPr>
        <w:t> </w:t>
      </w:r>
      <w:r w:rsidRPr="00C80963">
        <w:rPr>
          <w:szCs w:val="20"/>
        </w:rPr>
        <w:t>związku z tym dane publikowane przez Wojewódzki Inspektorat Ochrony Środowiska dotyczące tej strefy odnoszą się także do Bytomia. Bytom znajduje się wśród miast o dużej skali zagrożenia środowiska emisją zanieczyszczeń powietrza z zakładów szczególnie uciążliwych</w:t>
      </w:r>
      <w:r w:rsidR="00D03181">
        <w:rPr>
          <w:szCs w:val="20"/>
        </w:rPr>
        <w:t>.</w:t>
      </w:r>
      <w:r w:rsidRPr="00C80963">
        <w:rPr>
          <w:szCs w:val="20"/>
        </w:rPr>
        <w:t xml:space="preserve"> Emisja zanieczyszczeń pyłowych w 2012 roku wyniosła 300 ton, z czego jedynie 16 ton zostało zatrzymanych w</w:t>
      </w:r>
      <w:r w:rsidR="0013236B">
        <w:rPr>
          <w:szCs w:val="20"/>
        </w:rPr>
        <w:t> </w:t>
      </w:r>
      <w:r w:rsidRPr="00C80963">
        <w:rPr>
          <w:szCs w:val="20"/>
        </w:rPr>
        <w:t>urządzeniach do redukcji zanieczyszczeń. Emisja zanieczyszczeń gazowych składała się z emisji dwutlenku siarki (2 tys. ton), tlenku azotu (800 ton) i dwutlenku węgla (355 tys. ton). W urządzeniach do redukcji zatrzymanych zostało 400 ton zanieczyszczeń gazowych</w:t>
      </w:r>
      <w:r w:rsidRPr="00C80963">
        <w:rPr>
          <w:rStyle w:val="Odwoanieprzypisudolnego"/>
          <w:szCs w:val="20"/>
        </w:rPr>
        <w:footnoteReference w:id="38"/>
      </w:r>
      <w:r w:rsidRPr="00C80963">
        <w:rPr>
          <w:szCs w:val="20"/>
        </w:rPr>
        <w:t>. Źródłem zanieczyszczeń powietrza w obszarze Bytom</w:t>
      </w:r>
      <w:r w:rsidR="00D03181">
        <w:rPr>
          <w:szCs w:val="20"/>
        </w:rPr>
        <w:t xml:space="preserve">ia są przede wszystkim związki </w:t>
      </w:r>
      <w:r w:rsidRPr="00C80963">
        <w:rPr>
          <w:szCs w:val="20"/>
        </w:rPr>
        <w:t>siarki, azotu, dwutlenek węgla oraz pyły, a ich obecność w powietrzu w różnym stopniu wpływa na klimat. Dużym rozmiarom emisji sprzyja koncentracja przemysłu i dużych skupisk ludzkich, a</w:t>
      </w:r>
      <w:r w:rsidR="00A173CC">
        <w:rPr>
          <w:szCs w:val="20"/>
        </w:rPr>
        <w:t> </w:t>
      </w:r>
      <w:r w:rsidRPr="00C80963">
        <w:rPr>
          <w:szCs w:val="20"/>
        </w:rPr>
        <w:t>źródła zanieczyszczeń to głównie spalanie paliw kopalnych w elektrociepłowniach, przemyśle oraz śr</w:t>
      </w:r>
      <w:r w:rsidR="00D03181">
        <w:rPr>
          <w:szCs w:val="20"/>
        </w:rPr>
        <w:t xml:space="preserve">odkach transportu. Bardzo dużą </w:t>
      </w:r>
      <w:r w:rsidRPr="00C80963">
        <w:rPr>
          <w:szCs w:val="20"/>
        </w:rPr>
        <w:t xml:space="preserve">emisję zanieczyszczeń do atmosfery powoduje powszechne wykorzystanie węgla kamiennego jako podstawowego surowca opałowego. </w:t>
      </w:r>
    </w:p>
    <w:p w:rsidR="001C2FD4" w:rsidRPr="00C80963" w:rsidRDefault="001C2FD4" w:rsidP="007E3578">
      <w:pPr>
        <w:ind w:firstLine="708"/>
        <w:jc w:val="both"/>
        <w:rPr>
          <w:szCs w:val="20"/>
        </w:rPr>
      </w:pPr>
      <w:r w:rsidRPr="00C80963">
        <w:rPr>
          <w:szCs w:val="20"/>
        </w:rPr>
        <w:t>Nie ma możliwości zbadania szczegółowych aspektów zanieczyszczenia w obszarze rewitalizacji. Należy przyjąć, że powyższa analiza dotycząca całego miasta charakteryzuje również obszar rewitalizacji. Podczas konsultacji społecznych mieszkańcy obszaru rewitalizacji podnosili problem zanieczyszczenia powietrza. Skarżyli się przede wszystkim na palenie materiałami nieprzeznaczonymi do tego celu w piecach w okresie wczesnej wiosny. Problem niskiej emisji wynika po części z ograniczonych możliwości finansowych mieszkańców, ale także z</w:t>
      </w:r>
      <w:r w:rsidR="0013236B">
        <w:rPr>
          <w:szCs w:val="20"/>
        </w:rPr>
        <w:t> </w:t>
      </w:r>
      <w:r w:rsidRPr="00C80963">
        <w:rPr>
          <w:szCs w:val="20"/>
        </w:rPr>
        <w:t>braku dostępu do miejscowej sieci ciepłowniczej</w:t>
      </w:r>
      <w:r w:rsidR="00C422BE">
        <w:rPr>
          <w:szCs w:val="20"/>
        </w:rPr>
        <w:t xml:space="preserve"> lub efektywnych źródeł ogrzewania np. gazowego</w:t>
      </w:r>
      <w:bookmarkStart w:id="7801" w:name="_GoBack"/>
      <w:bookmarkEnd w:id="7801"/>
      <w:r w:rsidRPr="00C80963">
        <w:rPr>
          <w:szCs w:val="20"/>
        </w:rPr>
        <w:t>.</w:t>
      </w:r>
    </w:p>
    <w:p w:rsidR="00D062C5" w:rsidRPr="006E329D" w:rsidRDefault="00D062C5" w:rsidP="006E329D">
      <w:pPr>
        <w:pStyle w:val="Standard"/>
        <w:spacing w:after="0" w:line="240" w:lineRule="auto"/>
        <w:ind w:firstLine="708"/>
        <w:jc w:val="both"/>
        <w:rPr>
          <w:bCs/>
          <w:color w:val="auto"/>
        </w:rPr>
      </w:pPr>
      <w:r w:rsidRPr="00EA33EE">
        <w:rPr>
          <w:b/>
          <w:bCs/>
          <w:color w:val="C00000"/>
          <w:sz w:val="20"/>
          <w:szCs w:val="20"/>
        </w:rPr>
        <w:t>Zła sytuacja dotycząca wyposażenia lokali gminnych w budynkach komunalnych ma także odzwierciedlenie w nieefektywnych źródłach ogrzewania, które są jednym z głównych emiterów niskiej emisji.</w:t>
      </w:r>
      <w:r w:rsidRPr="006E329D">
        <w:rPr>
          <w:bCs/>
          <w:color w:val="auto"/>
          <w:sz w:val="20"/>
          <w:szCs w:val="20"/>
        </w:rPr>
        <w:t xml:space="preserve">  Należy zaznaczyć, że niska emisja jest wynikiem nieświadomości człowieka i źle pojmowanej oszczędności. Zazwyczaj do ogrzewania stosuje się niskiej, a nawet złej, jakości paliwo, które bardzo często mieszane są z</w:t>
      </w:r>
      <w:r w:rsidR="006E329D">
        <w:rPr>
          <w:bCs/>
          <w:color w:val="auto"/>
          <w:sz w:val="20"/>
          <w:szCs w:val="20"/>
        </w:rPr>
        <w:t> </w:t>
      </w:r>
      <w:r w:rsidRPr="006E329D">
        <w:rPr>
          <w:bCs/>
          <w:color w:val="auto"/>
          <w:sz w:val="20"/>
          <w:szCs w:val="20"/>
        </w:rPr>
        <w:t>odpadami powstającymi w gospodarstwach domowych.  W ten sposób do atmosfery emitowane są zanieczyszczenia i niebezpieczne związki, które pogarszają jakość powierza.</w:t>
      </w:r>
    </w:p>
    <w:p w:rsidR="00D062C5" w:rsidRPr="006E329D" w:rsidRDefault="00D062C5" w:rsidP="006E329D">
      <w:pPr>
        <w:pStyle w:val="Standard"/>
        <w:spacing w:after="0" w:line="240" w:lineRule="auto"/>
        <w:jc w:val="both"/>
        <w:rPr>
          <w:rFonts w:asciiTheme="minorHAnsi" w:hAnsiTheme="minorHAnsi"/>
          <w:bCs/>
          <w:color w:val="auto"/>
          <w:sz w:val="20"/>
          <w:szCs w:val="20"/>
          <w:highlight w:val="white"/>
        </w:rPr>
      </w:pPr>
      <w:r w:rsidRPr="006E329D">
        <w:rPr>
          <w:rFonts w:asciiTheme="minorHAnsi" w:hAnsiTheme="minorHAnsi"/>
          <w:bCs/>
          <w:color w:val="auto"/>
          <w:sz w:val="20"/>
          <w:szCs w:val="20"/>
          <w:highlight w:val="white"/>
        </w:rPr>
        <w:t xml:space="preserve">Niskoemisyjne </w:t>
      </w:r>
      <w:r w:rsidR="00527EE6">
        <w:rPr>
          <w:rFonts w:asciiTheme="minorHAnsi" w:hAnsiTheme="minorHAnsi"/>
          <w:bCs/>
          <w:color w:val="auto"/>
          <w:sz w:val="20"/>
          <w:szCs w:val="20"/>
          <w:highlight w:val="white"/>
        </w:rPr>
        <w:t>ź</w:t>
      </w:r>
      <w:r w:rsidRPr="006E329D">
        <w:rPr>
          <w:rFonts w:asciiTheme="minorHAnsi" w:hAnsiTheme="minorHAnsi"/>
          <w:bCs/>
          <w:color w:val="auto"/>
          <w:sz w:val="20"/>
          <w:szCs w:val="20"/>
          <w:highlight w:val="white"/>
        </w:rPr>
        <w:t>ródła ogrzewania w odn</w:t>
      </w:r>
      <w:r w:rsidR="00AC0EC6">
        <w:rPr>
          <w:rFonts w:asciiTheme="minorHAnsi" w:hAnsiTheme="minorHAnsi"/>
          <w:bCs/>
          <w:color w:val="auto"/>
          <w:sz w:val="20"/>
          <w:szCs w:val="20"/>
          <w:highlight w:val="white"/>
        </w:rPr>
        <w:t>iesieniu do budynków będących wł</w:t>
      </w:r>
      <w:r w:rsidRPr="006E329D">
        <w:rPr>
          <w:rFonts w:asciiTheme="minorHAnsi" w:hAnsiTheme="minorHAnsi"/>
          <w:bCs/>
          <w:color w:val="auto"/>
          <w:sz w:val="20"/>
          <w:szCs w:val="20"/>
          <w:highlight w:val="white"/>
        </w:rPr>
        <w:t>asnością Gminy Bytom występują w</w:t>
      </w:r>
      <w:r w:rsidR="00A173CC">
        <w:rPr>
          <w:rFonts w:asciiTheme="minorHAnsi" w:hAnsiTheme="minorHAnsi"/>
          <w:bCs/>
          <w:color w:val="auto"/>
          <w:sz w:val="20"/>
          <w:szCs w:val="20"/>
          <w:highlight w:val="white"/>
        </w:rPr>
        <w:t> </w:t>
      </w:r>
      <w:r w:rsidRPr="006E329D">
        <w:rPr>
          <w:rFonts w:asciiTheme="minorHAnsi" w:hAnsiTheme="minorHAnsi"/>
          <w:bCs/>
          <w:color w:val="auto"/>
          <w:sz w:val="20"/>
          <w:szCs w:val="20"/>
          <w:highlight w:val="white"/>
        </w:rPr>
        <w:t xml:space="preserve">znaczącej przewadze na obszarze rewitalizacji. Tylko 4,5% budynków komunalnych posiada centralne ogrzewanie. </w:t>
      </w:r>
    </w:p>
    <w:p w:rsidR="003704BA" w:rsidRDefault="003704BA" w:rsidP="006E329D">
      <w:pPr>
        <w:pStyle w:val="Standard"/>
        <w:spacing w:after="0" w:line="240" w:lineRule="auto"/>
        <w:ind w:firstLine="708"/>
        <w:jc w:val="both"/>
        <w:rPr>
          <w:sz w:val="20"/>
          <w:szCs w:val="20"/>
        </w:rPr>
      </w:pPr>
      <w:r w:rsidRPr="009E7F57">
        <w:rPr>
          <w:sz w:val="20"/>
          <w:szCs w:val="20"/>
        </w:rPr>
        <w:t>W budynkach mieszkalnych należących w 100% do Gminy znajduje się 4 248 pieców opalanych węglem oraz 186 grzejników etażowych opalanych węglem. Taki sposób ogrzewania mieszkań powoduje problem niskiej emisji. Na mapie kolorem zaznaczono te sześciokąty, w których występują budynki komunalne posiadające mieszkania opalane węgle</w:t>
      </w:r>
      <w:r w:rsidR="00426CAC">
        <w:rPr>
          <w:sz w:val="20"/>
          <w:szCs w:val="20"/>
        </w:rPr>
        <w:t>m</w:t>
      </w:r>
      <w:r w:rsidRPr="009E7F57">
        <w:rPr>
          <w:sz w:val="20"/>
          <w:szCs w:val="20"/>
        </w:rPr>
        <w:t xml:space="preserve">. Im ciemniejszy kolor tym więcej źródeł niskiej emisji w sześciokącie. Niska emisja jest największym problemem w Bobrku, a także w północno – zachodniej części podobszaru Śródmieście. </w:t>
      </w:r>
    </w:p>
    <w:p w:rsidR="006E329D" w:rsidRDefault="006E329D" w:rsidP="006E329D">
      <w:pPr>
        <w:pStyle w:val="Standard"/>
        <w:spacing w:after="0" w:line="240" w:lineRule="auto"/>
        <w:ind w:firstLine="708"/>
        <w:jc w:val="both"/>
        <w:rPr>
          <w:sz w:val="20"/>
          <w:szCs w:val="20"/>
        </w:rPr>
      </w:pPr>
    </w:p>
    <w:p w:rsidR="00C8577F" w:rsidRDefault="00C8577F" w:rsidP="003704BA">
      <w:pPr>
        <w:pStyle w:val="Legenda"/>
        <w:spacing w:line="312" w:lineRule="auto"/>
      </w:pPr>
      <w:bookmarkStart w:id="7802" w:name="_Toc466024277"/>
    </w:p>
    <w:p w:rsidR="00C8577F" w:rsidRDefault="00C8577F" w:rsidP="003704BA">
      <w:pPr>
        <w:pStyle w:val="Legenda"/>
        <w:spacing w:line="312" w:lineRule="auto"/>
      </w:pPr>
    </w:p>
    <w:p w:rsidR="00C8577F" w:rsidRDefault="00C8577F" w:rsidP="003704BA">
      <w:pPr>
        <w:pStyle w:val="Legenda"/>
        <w:spacing w:line="312" w:lineRule="auto"/>
      </w:pPr>
    </w:p>
    <w:p w:rsidR="00C8577F" w:rsidRDefault="00C8577F" w:rsidP="003704BA">
      <w:pPr>
        <w:pStyle w:val="Legenda"/>
        <w:spacing w:line="312" w:lineRule="auto"/>
      </w:pPr>
    </w:p>
    <w:p w:rsidR="00C8577F" w:rsidRDefault="00C8577F" w:rsidP="003704BA">
      <w:pPr>
        <w:pStyle w:val="Legenda"/>
        <w:spacing w:line="312" w:lineRule="auto"/>
      </w:pPr>
    </w:p>
    <w:p w:rsidR="00C8577F" w:rsidRDefault="00C8577F" w:rsidP="003704BA">
      <w:pPr>
        <w:pStyle w:val="Legenda"/>
        <w:spacing w:line="312" w:lineRule="auto"/>
      </w:pPr>
    </w:p>
    <w:p w:rsidR="003704BA" w:rsidRDefault="003704BA" w:rsidP="003704BA">
      <w:pPr>
        <w:pStyle w:val="Legenda"/>
        <w:spacing w:line="312" w:lineRule="auto"/>
      </w:pPr>
      <w:bookmarkStart w:id="7803" w:name="_Toc191972652"/>
      <w:r w:rsidRPr="009E7F57">
        <w:lastRenderedPageBreak/>
        <w:t xml:space="preserve">Mapa </w:t>
      </w:r>
      <w:fldSimple w:instr=" SEQ Mapa \* ARABIC ">
        <w:r w:rsidR="00413FFE">
          <w:rPr>
            <w:noProof/>
          </w:rPr>
          <w:t>40</w:t>
        </w:r>
      </w:fldSimple>
      <w:r w:rsidRPr="009E7F57">
        <w:t>.</w:t>
      </w:r>
      <w:bookmarkEnd w:id="7802"/>
      <w:r w:rsidR="00956673">
        <w:t xml:space="preserve"> </w:t>
      </w:r>
      <w:r>
        <w:t>Ogrzewanie piecowe węglowe powodujące niską emisję (budynki 100% gminy)</w:t>
      </w:r>
      <w:bookmarkEnd w:id="7803"/>
    </w:p>
    <w:p w:rsidR="003704BA" w:rsidRDefault="003704BA" w:rsidP="003704BA">
      <w:pPr>
        <w:jc w:val="center"/>
      </w:pPr>
      <w:r w:rsidRPr="009E7F57">
        <w:rPr>
          <w:noProof/>
        </w:rPr>
        <w:drawing>
          <wp:inline distT="0" distB="0" distL="0" distR="0">
            <wp:extent cx="5616000" cy="3972972"/>
            <wp:effectExtent l="19050" t="0" r="3750" b="0"/>
            <wp:docPr id="98" name="Obraz 1" descr="C:\Users\TT\Dropbox\irm-bytom-mapy\WYDRUKI\uzupelnienie-20161127\830-1 Ogrzewanie piecowe węglowe budynki gmin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T\Dropbox\irm-bytom-mapy\WYDRUKI\uzupelnienie-20161127\830-1 Ogrzewanie piecowe węglowe budynki gminne.png"/>
                    <pic:cNvPicPr>
                      <a:picLocks noChangeAspect="1" noChangeArrowheads="1"/>
                    </pic:cNvPicPr>
                  </pic:nvPicPr>
                  <pic:blipFill>
                    <a:blip r:embed="rId82" cstate="print"/>
                    <a:srcRect/>
                    <a:stretch>
                      <a:fillRect/>
                    </a:stretch>
                  </pic:blipFill>
                  <pic:spPr bwMode="auto">
                    <a:xfrm>
                      <a:off x="0" y="0"/>
                      <a:ext cx="5616000" cy="3972972"/>
                    </a:xfrm>
                    <a:prstGeom prst="rect">
                      <a:avLst/>
                    </a:prstGeom>
                    <a:noFill/>
                    <a:ln w="9525">
                      <a:noFill/>
                      <a:miter lim="800000"/>
                      <a:headEnd/>
                      <a:tailEnd/>
                    </a:ln>
                  </pic:spPr>
                </pic:pic>
              </a:graphicData>
            </a:graphic>
          </wp:inline>
        </w:drawing>
      </w:r>
    </w:p>
    <w:p w:rsidR="003704BA" w:rsidRPr="005F27F5" w:rsidRDefault="003704BA" w:rsidP="003704BA">
      <w:pPr>
        <w:autoSpaceDE w:val="0"/>
        <w:autoSpaceDN w:val="0"/>
        <w:adjustRightInd w:val="0"/>
        <w:rPr>
          <w:rFonts w:eastAsia="Calibri" w:cs="ArialNarrow"/>
          <w:i/>
          <w:sz w:val="18"/>
          <w:szCs w:val="20"/>
        </w:rPr>
      </w:pPr>
      <w:r w:rsidRPr="005F27F5">
        <w:rPr>
          <w:rFonts w:eastAsia="Calibri" w:cs="ArialNarrow"/>
          <w:i/>
          <w:sz w:val="18"/>
          <w:szCs w:val="20"/>
        </w:rPr>
        <w:t xml:space="preserve">Źródło: Opracowanie </w:t>
      </w:r>
      <w:r>
        <w:rPr>
          <w:rFonts w:eastAsia="Calibri" w:cs="ArialNarrow"/>
          <w:i/>
          <w:sz w:val="18"/>
          <w:szCs w:val="20"/>
        </w:rPr>
        <w:t>Instytutu Rozwoju Miast</w:t>
      </w:r>
    </w:p>
    <w:p w:rsidR="003704BA" w:rsidRDefault="003704BA" w:rsidP="00F63376">
      <w:pPr>
        <w:pStyle w:val="Standard"/>
        <w:spacing w:after="0" w:line="240" w:lineRule="auto"/>
        <w:jc w:val="both"/>
        <w:rPr>
          <w:rFonts w:asciiTheme="minorHAnsi" w:hAnsiTheme="minorHAnsi"/>
          <w:b/>
          <w:bCs/>
          <w:color w:val="009900"/>
          <w:sz w:val="20"/>
          <w:szCs w:val="20"/>
          <w:highlight w:val="white"/>
        </w:rPr>
      </w:pPr>
    </w:p>
    <w:p w:rsidR="001C2FD4" w:rsidRPr="00C80963" w:rsidRDefault="001C2FD4" w:rsidP="007E3578">
      <w:pPr>
        <w:ind w:firstLine="708"/>
        <w:jc w:val="both"/>
        <w:rPr>
          <w:szCs w:val="20"/>
        </w:rPr>
      </w:pPr>
      <w:r w:rsidRPr="00191EFD">
        <w:rPr>
          <w:szCs w:val="20"/>
        </w:rPr>
        <w:t xml:space="preserve">Pomimo </w:t>
      </w:r>
      <w:r w:rsidRPr="00C80963">
        <w:rPr>
          <w:szCs w:val="20"/>
        </w:rPr>
        <w:t xml:space="preserve">dużego odsetka terenów zieleni, w tym także terenów o wysokiej wartości przyrodniczej, sytuacja ekologiczna miasta wymaga polepszenia. Przyroda miasta została zdegradowana w wyniku rozwoju osadnictwa, przemysłu i transportu. Szczególnie jest to odczuwalne w centralnych częściach miasta, gdzie stan zieleni jest niezadowalający. </w:t>
      </w:r>
    </w:p>
    <w:p w:rsidR="001C2FD4" w:rsidRPr="00C80963" w:rsidRDefault="001C2FD4" w:rsidP="007E3578">
      <w:pPr>
        <w:ind w:firstLine="708"/>
        <w:jc w:val="both"/>
        <w:rPr>
          <w:szCs w:val="20"/>
        </w:rPr>
      </w:pPr>
      <w:r w:rsidRPr="00EB278E">
        <w:rPr>
          <w:b/>
          <w:color w:val="C00000"/>
          <w:szCs w:val="20"/>
        </w:rPr>
        <w:t>Na obszarze Bytomia główne źródła hałasu to komunikacja i przemysł.</w:t>
      </w:r>
      <w:r w:rsidRPr="00C80963">
        <w:rPr>
          <w:szCs w:val="20"/>
        </w:rPr>
        <w:t xml:space="preserve"> Powoduje to, że najbardziej niekorzystne warunki pod względem hałasu występują wzdłuż szlaków komunikacyjnych oraz przy zakładach przemysłowych gdzie występuj</w:t>
      </w:r>
      <w:r w:rsidR="00322AFB">
        <w:rPr>
          <w:szCs w:val="20"/>
        </w:rPr>
        <w:t xml:space="preserve">ą przekroczenia dopuszczalnych </w:t>
      </w:r>
      <w:r w:rsidRPr="00C80963">
        <w:rPr>
          <w:szCs w:val="20"/>
        </w:rPr>
        <w:t>wartości hałasu. W tych miejscach warunki akustyczne są uciążliwe, a nawet szkodliwe dla zdrowia ludzi</w:t>
      </w:r>
      <w:r w:rsidRPr="00C80963">
        <w:rPr>
          <w:rStyle w:val="Odwoanieprzypisudolnego"/>
          <w:szCs w:val="20"/>
        </w:rPr>
        <w:footnoteReference w:id="39"/>
      </w:r>
      <w:r w:rsidRPr="00C80963">
        <w:rPr>
          <w:szCs w:val="20"/>
        </w:rPr>
        <w:t>. Najwyższy poziom hałasu obserwuje się w</w:t>
      </w:r>
      <w:r w:rsidR="00D03181">
        <w:rPr>
          <w:szCs w:val="20"/>
        </w:rPr>
        <w:t> </w:t>
      </w:r>
      <w:r w:rsidRPr="00C80963">
        <w:rPr>
          <w:szCs w:val="20"/>
        </w:rPr>
        <w:t>centrum miasta, gdzie największy wpływ na poziom hałasu ma niekorzystne usytuowanie przecinających się tras komunikacyjnych samochodowych i tramwajowych oraz bliskie sąsiedztwo linii kolejowych. Na obszarze rewitalizacji obserwuje się tendencję wydłużania się czasu narażenia na hałas, szczególnie w porze nocnej. W</w:t>
      </w:r>
      <w:r w:rsidR="0013236B">
        <w:rPr>
          <w:szCs w:val="20"/>
        </w:rPr>
        <w:t> </w:t>
      </w:r>
      <w:r w:rsidRPr="00C80963">
        <w:rPr>
          <w:szCs w:val="20"/>
        </w:rPr>
        <w:t>związku ze stale zwiększającą się liczbą samochodów oraz towarzyszącym temu wzrostem natężenia ruchu ulicznego moż</w:t>
      </w:r>
      <w:r w:rsidR="008C1D29">
        <w:rPr>
          <w:szCs w:val="20"/>
        </w:rPr>
        <w:t>na przypuszczać, że na terenie Ś</w:t>
      </w:r>
      <w:r w:rsidRPr="00C80963">
        <w:rPr>
          <w:szCs w:val="20"/>
        </w:rPr>
        <w:t xml:space="preserve">ródmieścia Bytomia mogą powstawać przekroczenia dopuszczalnych norm hałasu. </w:t>
      </w:r>
    </w:p>
    <w:p w:rsidR="001C2FD4" w:rsidRPr="00C80963" w:rsidRDefault="001C2FD4" w:rsidP="007E3578">
      <w:pPr>
        <w:ind w:firstLine="708"/>
        <w:jc w:val="both"/>
        <w:rPr>
          <w:szCs w:val="20"/>
        </w:rPr>
      </w:pPr>
      <w:r w:rsidRPr="00C80963">
        <w:rPr>
          <w:szCs w:val="20"/>
        </w:rPr>
        <w:t xml:space="preserve">Na przełomie października i listopada 2013 roku zostały </w:t>
      </w:r>
      <w:r w:rsidR="00D03181">
        <w:rPr>
          <w:szCs w:val="20"/>
        </w:rPr>
        <w:t>przeprowadzone badania wśród 70</w:t>
      </w:r>
      <w:r w:rsidRPr="00C80963">
        <w:rPr>
          <w:szCs w:val="20"/>
        </w:rPr>
        <w:t xml:space="preserve"> rodzin mieszkających w centrum Bytomia, objętych pomocą Miejskiego Ośrodka Pomocy Rodzinie w Bytomiu w</w:t>
      </w:r>
      <w:r w:rsidR="0013236B">
        <w:rPr>
          <w:szCs w:val="20"/>
        </w:rPr>
        <w:t> </w:t>
      </w:r>
      <w:r w:rsidRPr="00C80963">
        <w:rPr>
          <w:szCs w:val="20"/>
        </w:rPr>
        <w:t xml:space="preserve">ramach Programu Aktywności Lokalnej. Głównym narzędziem badawczym była ankieta skierowana do mieszkańców Śródmieścia. Jednym z głównych problemów wskazanych w ankiecie był hałas. </w:t>
      </w:r>
    </w:p>
    <w:p w:rsidR="001C2FD4" w:rsidRDefault="001C2FD4" w:rsidP="00C80963">
      <w:pPr>
        <w:jc w:val="both"/>
        <w:rPr>
          <w:szCs w:val="20"/>
        </w:rPr>
      </w:pPr>
      <w:r w:rsidRPr="00C80963">
        <w:rPr>
          <w:szCs w:val="20"/>
        </w:rPr>
        <w:t>Hałas, drgania oraz zanieczyszczenie powietrza były wskazywane jak</w:t>
      </w:r>
      <w:r w:rsidR="00D03181">
        <w:rPr>
          <w:szCs w:val="20"/>
        </w:rPr>
        <w:t>o powód planów wyprowadzenia się</w:t>
      </w:r>
      <w:r w:rsidRPr="00C80963">
        <w:rPr>
          <w:szCs w:val="20"/>
        </w:rPr>
        <w:t xml:space="preserve"> z</w:t>
      </w:r>
      <w:r w:rsidR="0013236B">
        <w:rPr>
          <w:szCs w:val="20"/>
        </w:rPr>
        <w:t> </w:t>
      </w:r>
      <w:r w:rsidRPr="00C80963">
        <w:rPr>
          <w:szCs w:val="20"/>
        </w:rPr>
        <w:t xml:space="preserve">miasta w najbliższej przyszłości. </w:t>
      </w:r>
    </w:p>
    <w:p w:rsidR="00896BD7" w:rsidRPr="00C80963" w:rsidRDefault="00896BD7" w:rsidP="00C80963">
      <w:pPr>
        <w:jc w:val="both"/>
        <w:rPr>
          <w:szCs w:val="20"/>
        </w:rPr>
      </w:pPr>
    </w:p>
    <w:p w:rsidR="001C2FD4" w:rsidRDefault="001C2FD4" w:rsidP="006D764E">
      <w:pPr>
        <w:pStyle w:val="Nagwek2"/>
        <w:numPr>
          <w:ilvl w:val="1"/>
          <w:numId w:val="388"/>
        </w:numPr>
      </w:pPr>
      <w:bookmarkStart w:id="7804" w:name="_Toc461612540"/>
      <w:bookmarkStart w:id="7805" w:name="_Toc474924947"/>
      <w:r>
        <w:lastRenderedPageBreak/>
        <w:t>Analiza lokalnych potencjałów obszaru rewitalizacji</w:t>
      </w:r>
      <w:bookmarkEnd w:id="7804"/>
      <w:bookmarkEnd w:id="7805"/>
    </w:p>
    <w:p w:rsidR="0042749E" w:rsidRDefault="0042749E" w:rsidP="00296405">
      <w:pPr>
        <w:ind w:firstLine="431"/>
        <w:jc w:val="both"/>
        <w:rPr>
          <w:szCs w:val="20"/>
        </w:rPr>
      </w:pPr>
    </w:p>
    <w:p w:rsidR="001C2FD4" w:rsidRPr="00C80963" w:rsidRDefault="001C2FD4" w:rsidP="00296405">
      <w:pPr>
        <w:ind w:firstLine="431"/>
        <w:jc w:val="both"/>
        <w:rPr>
          <w:szCs w:val="20"/>
        </w:rPr>
      </w:pPr>
      <w:r w:rsidRPr="00C80963">
        <w:rPr>
          <w:szCs w:val="20"/>
        </w:rPr>
        <w:t>W poprzednim podrozdziale opisano liczne negatywne zjawiska występujące w obszarze rewitalizacji w</w:t>
      </w:r>
      <w:r w:rsidR="0013236B">
        <w:rPr>
          <w:szCs w:val="20"/>
        </w:rPr>
        <w:t> </w:t>
      </w:r>
      <w:r w:rsidRPr="00C80963">
        <w:rPr>
          <w:szCs w:val="20"/>
        </w:rPr>
        <w:t>Bytomiu, które obrazują głęboki kryzys, w jakim znajduje się ten obszar. Jednocześnie występuje tu kilka czynników, stanowiących potencjał do wykorzys</w:t>
      </w:r>
      <w:r w:rsidR="00296405">
        <w:rPr>
          <w:szCs w:val="20"/>
        </w:rPr>
        <w:t>tania w procesie rewitalizacji:</w:t>
      </w:r>
    </w:p>
    <w:p w:rsidR="001C2FD4" w:rsidRPr="00C80963" w:rsidRDefault="001C2FD4" w:rsidP="00CA787B">
      <w:pPr>
        <w:pStyle w:val="Akapitzlist"/>
        <w:numPr>
          <w:ilvl w:val="0"/>
          <w:numId w:val="74"/>
        </w:numPr>
        <w:spacing w:after="120" w:line="240" w:lineRule="auto"/>
        <w:ind w:left="714" w:hanging="357"/>
        <w:contextualSpacing/>
        <w:jc w:val="both"/>
        <w:rPr>
          <w:rFonts w:asciiTheme="minorHAnsi" w:hAnsiTheme="minorHAnsi"/>
          <w:sz w:val="20"/>
          <w:szCs w:val="20"/>
        </w:rPr>
      </w:pPr>
      <w:r w:rsidRPr="00C80963">
        <w:rPr>
          <w:rFonts w:asciiTheme="minorHAnsi" w:hAnsiTheme="minorHAnsi"/>
          <w:sz w:val="20"/>
          <w:szCs w:val="20"/>
        </w:rPr>
        <w:t>potencjał organizacji pozarządowych, które posiadają doświadczenie i zasoby mogące ułatwić i</w:t>
      </w:r>
      <w:r w:rsidR="0013236B">
        <w:rPr>
          <w:rFonts w:asciiTheme="minorHAnsi" w:hAnsiTheme="minorHAnsi"/>
          <w:sz w:val="20"/>
          <w:szCs w:val="20"/>
        </w:rPr>
        <w:t> </w:t>
      </w:r>
      <w:r w:rsidRPr="00C80963">
        <w:rPr>
          <w:rFonts w:asciiTheme="minorHAnsi" w:hAnsiTheme="minorHAnsi"/>
          <w:sz w:val="20"/>
          <w:szCs w:val="20"/>
        </w:rPr>
        <w:t>wzmocnić działania rewitalizacyjne,</w:t>
      </w:r>
    </w:p>
    <w:p w:rsidR="001C2FD4" w:rsidRPr="00C80963" w:rsidRDefault="001C2FD4" w:rsidP="00CA787B">
      <w:pPr>
        <w:pStyle w:val="Akapitzlist"/>
        <w:numPr>
          <w:ilvl w:val="0"/>
          <w:numId w:val="74"/>
        </w:numPr>
        <w:spacing w:after="120" w:line="240" w:lineRule="auto"/>
        <w:ind w:left="714" w:hanging="357"/>
        <w:contextualSpacing/>
        <w:jc w:val="both"/>
        <w:rPr>
          <w:rFonts w:asciiTheme="minorHAnsi" w:hAnsiTheme="minorHAnsi"/>
          <w:sz w:val="20"/>
          <w:szCs w:val="20"/>
        </w:rPr>
      </w:pPr>
      <w:r w:rsidRPr="00C80963">
        <w:rPr>
          <w:rFonts w:asciiTheme="minorHAnsi" w:hAnsiTheme="minorHAnsi"/>
          <w:sz w:val="20"/>
          <w:szCs w:val="20"/>
        </w:rPr>
        <w:t>lokalizacja na obszarze rewitalizacji ważnych obiektów kultury,</w:t>
      </w:r>
    </w:p>
    <w:p w:rsidR="001C2FD4" w:rsidRPr="00C80963" w:rsidRDefault="001C2FD4" w:rsidP="00CA787B">
      <w:pPr>
        <w:pStyle w:val="Akapitzlist"/>
        <w:numPr>
          <w:ilvl w:val="0"/>
          <w:numId w:val="74"/>
        </w:numPr>
        <w:spacing w:after="120" w:line="240" w:lineRule="auto"/>
        <w:ind w:left="714" w:hanging="357"/>
        <w:contextualSpacing/>
        <w:jc w:val="both"/>
        <w:rPr>
          <w:rFonts w:asciiTheme="minorHAnsi" w:hAnsiTheme="minorHAnsi"/>
          <w:sz w:val="20"/>
          <w:szCs w:val="20"/>
        </w:rPr>
      </w:pPr>
      <w:r w:rsidRPr="00C80963">
        <w:rPr>
          <w:rFonts w:asciiTheme="minorHAnsi" w:hAnsiTheme="minorHAnsi"/>
          <w:sz w:val="20"/>
          <w:szCs w:val="20"/>
        </w:rPr>
        <w:t>atrakcyjne założenia przestrzenne, architektura i zabytki,</w:t>
      </w:r>
    </w:p>
    <w:p w:rsidR="00A211A3" w:rsidRDefault="00D1694B" w:rsidP="00F63376">
      <w:pPr>
        <w:pStyle w:val="Akapitzlist"/>
        <w:numPr>
          <w:ilvl w:val="0"/>
          <w:numId w:val="74"/>
        </w:numPr>
        <w:spacing w:after="0" w:line="240" w:lineRule="auto"/>
        <w:ind w:left="714" w:hanging="357"/>
        <w:contextualSpacing/>
        <w:jc w:val="both"/>
        <w:rPr>
          <w:rFonts w:asciiTheme="minorHAnsi" w:hAnsiTheme="minorHAnsi"/>
          <w:sz w:val="20"/>
          <w:szCs w:val="20"/>
        </w:rPr>
      </w:pPr>
      <w:r>
        <w:rPr>
          <w:rFonts w:asciiTheme="minorHAnsi" w:hAnsiTheme="minorHAnsi"/>
          <w:sz w:val="20"/>
          <w:szCs w:val="20"/>
        </w:rPr>
        <w:t>tereny zieleni.</w:t>
      </w:r>
    </w:p>
    <w:p w:rsidR="00F63376" w:rsidRPr="00F63376" w:rsidRDefault="00F63376" w:rsidP="00F63376">
      <w:pPr>
        <w:contextualSpacing/>
        <w:jc w:val="both"/>
        <w:rPr>
          <w:szCs w:val="20"/>
        </w:rPr>
      </w:pPr>
    </w:p>
    <w:p w:rsidR="001C2FD4" w:rsidRDefault="001C2FD4" w:rsidP="006D764E">
      <w:pPr>
        <w:pStyle w:val="Nagwek3"/>
        <w:numPr>
          <w:ilvl w:val="2"/>
          <w:numId w:val="448"/>
        </w:numPr>
      </w:pPr>
      <w:bookmarkStart w:id="7806" w:name="_Toc461612541"/>
      <w:bookmarkStart w:id="7807" w:name="_Toc474924948"/>
      <w:r>
        <w:t>Organizacje pozarządowe</w:t>
      </w:r>
      <w:bookmarkEnd w:id="7806"/>
      <w:bookmarkEnd w:id="7807"/>
    </w:p>
    <w:p w:rsidR="0041273E" w:rsidRPr="0041273E" w:rsidRDefault="0041273E" w:rsidP="0041273E"/>
    <w:p w:rsidR="001C2FD4" w:rsidRPr="00C80963" w:rsidRDefault="001C2FD4" w:rsidP="007E3578">
      <w:pPr>
        <w:ind w:firstLine="708"/>
        <w:jc w:val="both"/>
        <w:rPr>
          <w:szCs w:val="20"/>
        </w:rPr>
      </w:pPr>
      <w:r w:rsidRPr="00C80963">
        <w:rPr>
          <w:szCs w:val="20"/>
          <w:lang w:eastAsia="ar-SA"/>
        </w:rPr>
        <w:t>W Bytomiu działają 233 organizacje pozarządowe, które prowadzą różnorodne działania dla wszystkich grup wiekowych mieszkańców miasta.</w:t>
      </w:r>
      <w:r w:rsidR="00331753">
        <w:rPr>
          <w:szCs w:val="20"/>
          <w:lang w:eastAsia="ar-SA"/>
        </w:rPr>
        <w:t xml:space="preserve"> </w:t>
      </w:r>
    </w:p>
    <w:p w:rsidR="0041273E" w:rsidRDefault="0041273E" w:rsidP="001C2FD4">
      <w:pPr>
        <w:pStyle w:val="Legenda"/>
        <w:spacing w:line="312" w:lineRule="auto"/>
      </w:pPr>
      <w:bookmarkStart w:id="7808" w:name="_Toc460222284"/>
    </w:p>
    <w:p w:rsidR="001C2FD4" w:rsidRPr="008F4DC5" w:rsidRDefault="008F4DC5" w:rsidP="001C2FD4">
      <w:pPr>
        <w:pStyle w:val="Legenda"/>
        <w:spacing w:line="312" w:lineRule="auto"/>
        <w:rPr>
          <w:rFonts w:eastAsia="Calibri"/>
          <w:szCs w:val="24"/>
        </w:rPr>
      </w:pPr>
      <w:bookmarkStart w:id="7809" w:name="_Toc191972653"/>
      <w:r w:rsidRPr="008F4DC5">
        <w:t xml:space="preserve">Mapa </w:t>
      </w:r>
      <w:r w:rsidR="003972D8" w:rsidRPr="008F4DC5">
        <w:fldChar w:fldCharType="begin"/>
      </w:r>
      <w:r w:rsidRPr="008F4DC5">
        <w:instrText xml:space="preserve"> SEQ Mapa \* ARABIC </w:instrText>
      </w:r>
      <w:r w:rsidR="003972D8" w:rsidRPr="008F4DC5">
        <w:fldChar w:fldCharType="separate"/>
      </w:r>
      <w:r w:rsidR="00413FFE">
        <w:rPr>
          <w:noProof/>
        </w:rPr>
        <w:t>41</w:t>
      </w:r>
      <w:r w:rsidR="003972D8" w:rsidRPr="008F4DC5">
        <w:fldChar w:fldCharType="end"/>
      </w:r>
      <w:r w:rsidRPr="008F4DC5">
        <w:t>.</w:t>
      </w:r>
      <w:r w:rsidR="001C2FD4" w:rsidRPr="008F4DC5">
        <w:t xml:space="preserve"> Organizacje pozarządowe w Bytomiu na 1 tys. mieszkańców</w:t>
      </w:r>
      <w:bookmarkEnd w:id="7808"/>
      <w:bookmarkEnd w:id="7809"/>
    </w:p>
    <w:p w:rsidR="001C2FD4" w:rsidRDefault="0043168D" w:rsidP="001C2FD4">
      <w:pPr>
        <w:suppressAutoHyphens/>
        <w:rPr>
          <w:rFonts w:cs="Arial"/>
          <w:lang w:eastAsia="ar-SA"/>
        </w:rPr>
      </w:pPr>
      <w:r>
        <w:rPr>
          <w:rFonts w:cs="Arial"/>
          <w:noProof/>
        </w:rPr>
        <w:drawing>
          <wp:inline distT="0" distB="0" distL="0" distR="0">
            <wp:extent cx="5762625" cy="4076700"/>
            <wp:effectExtent l="19050" t="0" r="9525" b="0"/>
            <wp:docPr id="29" name="Obraz 2" descr="C:\Users\TT\Dropbox\irm-bytom-mapy\wydruki\560-1 Liczba organizacji pozarządowych na 1 tys. mieszkańcó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C:\Users\TT\Dropbox\irm-bytom-mapy\wydruki\560-1 Liczba organizacji pozarządowych na 1 tys. mieszkańców.png"/>
                    <pic:cNvPicPr>
                      <a:picLocks noChangeAspect="1" noChangeArrowheads="1"/>
                    </pic:cNvPicPr>
                  </pic:nvPicPr>
                  <pic:blipFill>
                    <a:blip r:embed="rId83" cstate="print"/>
                    <a:srcRect/>
                    <a:stretch>
                      <a:fillRect/>
                    </a:stretch>
                  </pic:blipFill>
                  <pic:spPr bwMode="auto">
                    <a:xfrm>
                      <a:off x="0" y="0"/>
                      <a:ext cx="5762625" cy="4076700"/>
                    </a:xfrm>
                    <a:prstGeom prst="rect">
                      <a:avLst/>
                    </a:prstGeom>
                    <a:noFill/>
                    <a:ln w="9525">
                      <a:noFill/>
                      <a:miter lim="800000"/>
                      <a:headEnd/>
                      <a:tailEnd/>
                    </a:ln>
                  </pic:spPr>
                </pic:pic>
              </a:graphicData>
            </a:graphic>
          </wp:inline>
        </w:drawing>
      </w:r>
    </w:p>
    <w:p w:rsidR="00804BD2" w:rsidRPr="005F27F5" w:rsidRDefault="00804BD2" w:rsidP="00804BD2">
      <w:pPr>
        <w:autoSpaceDE w:val="0"/>
        <w:autoSpaceDN w:val="0"/>
        <w:adjustRightInd w:val="0"/>
        <w:rPr>
          <w:rFonts w:eastAsia="Calibri" w:cs="ArialNarrow"/>
          <w:i/>
          <w:sz w:val="18"/>
          <w:szCs w:val="20"/>
        </w:rPr>
      </w:pPr>
      <w:r w:rsidRPr="005F27F5">
        <w:rPr>
          <w:rFonts w:eastAsia="Calibri" w:cs="ArialNarrow"/>
          <w:i/>
          <w:sz w:val="18"/>
          <w:szCs w:val="20"/>
        </w:rPr>
        <w:t xml:space="preserve">Źródło: Opracowanie </w:t>
      </w:r>
      <w:r>
        <w:rPr>
          <w:rFonts w:eastAsia="Calibri" w:cs="ArialNarrow"/>
          <w:i/>
          <w:sz w:val="18"/>
          <w:szCs w:val="20"/>
        </w:rPr>
        <w:t>Instytutu Rozwoju Miast</w:t>
      </w:r>
    </w:p>
    <w:p w:rsidR="001C2FD4" w:rsidRDefault="001C2FD4" w:rsidP="001C2FD4">
      <w:pPr>
        <w:suppressAutoHyphens/>
        <w:rPr>
          <w:rFonts w:cs="Arial"/>
          <w:lang w:eastAsia="ar-SA"/>
        </w:rPr>
      </w:pPr>
    </w:p>
    <w:p w:rsidR="001C2FD4" w:rsidRPr="00C80963" w:rsidRDefault="001C2FD4" w:rsidP="007E3578">
      <w:pPr>
        <w:suppressAutoHyphens/>
        <w:ind w:firstLine="708"/>
        <w:jc w:val="both"/>
        <w:rPr>
          <w:szCs w:val="20"/>
          <w:lang w:eastAsia="ar-SA"/>
        </w:rPr>
      </w:pPr>
      <w:r w:rsidRPr="00C80963">
        <w:rPr>
          <w:rFonts w:cs="Arial"/>
          <w:color w:val="000000"/>
          <w:szCs w:val="20"/>
          <w:lang w:eastAsia="ar-SA"/>
        </w:rPr>
        <w:t xml:space="preserve">Niemal co druga organizacja znajduje się na obszarze rewitalizacji. Oznacza to, że na obszarze wymagającym szczególnej interwencji działania rewitalizacyjne znajdują oparcie w podmiotach, których naturalnym celem jest zaangażowanie w rozwiązywanie lokalnych problemów. </w:t>
      </w:r>
      <w:r w:rsidRPr="00C80963">
        <w:rPr>
          <w:szCs w:val="20"/>
          <w:lang w:eastAsia="ar-SA"/>
        </w:rPr>
        <w:t>Ta korzystna sytuacja ma miejsce głównie w</w:t>
      </w:r>
      <w:r w:rsidR="0013236B">
        <w:rPr>
          <w:szCs w:val="20"/>
          <w:lang w:eastAsia="ar-SA"/>
        </w:rPr>
        <w:t> </w:t>
      </w:r>
      <w:r w:rsidRPr="00C80963">
        <w:rPr>
          <w:szCs w:val="20"/>
          <w:lang w:eastAsia="ar-SA"/>
        </w:rPr>
        <w:t xml:space="preserve">dzielnicach centralnych. Z załączonej mapy wynika, że w przeliczeniu na 1 tys. mieszkańców </w:t>
      </w:r>
      <w:r w:rsidRPr="00C80963">
        <w:rPr>
          <w:szCs w:val="20"/>
          <w:lang w:eastAsia="ar-SA"/>
        </w:rPr>
        <w:lastRenderedPageBreak/>
        <w:t>najwięcej organizacji działa w podobszarze Śró</w:t>
      </w:r>
      <w:r w:rsidR="00EA37D4">
        <w:rPr>
          <w:szCs w:val="20"/>
          <w:lang w:eastAsia="ar-SA"/>
        </w:rPr>
        <w:t xml:space="preserve">dmieście, a także Śródmieście </w:t>
      </w:r>
      <w:r w:rsidRPr="00C80963">
        <w:rPr>
          <w:szCs w:val="20"/>
          <w:lang w:eastAsia="ar-SA"/>
        </w:rPr>
        <w:t xml:space="preserve">Północ. W tych dwóch </w:t>
      </w:r>
      <w:r w:rsidR="00AC0EC6">
        <w:rPr>
          <w:szCs w:val="20"/>
          <w:lang w:eastAsia="ar-SA"/>
        </w:rPr>
        <w:t>podobszarach</w:t>
      </w:r>
      <w:r w:rsidRPr="00C80963">
        <w:rPr>
          <w:szCs w:val="20"/>
          <w:lang w:eastAsia="ar-SA"/>
        </w:rPr>
        <w:t xml:space="preserve"> jest aż 85 organizacji. Zasięg ich działania obejmuje także pozostałe centralne podobszary. Aktywność organizacji uzupełniają parafie i organizacje kościelne, szczególnie tam, gdzie organizacji pozarządowych w</w:t>
      </w:r>
      <w:r w:rsidR="00EA37D4">
        <w:rPr>
          <w:szCs w:val="20"/>
          <w:lang w:eastAsia="ar-SA"/>
        </w:rPr>
        <w:t> </w:t>
      </w:r>
      <w:r w:rsidRPr="00C80963">
        <w:rPr>
          <w:szCs w:val="20"/>
          <w:lang w:eastAsia="ar-SA"/>
        </w:rPr>
        <w:t xml:space="preserve">relacji do liczby ludności jest mniej, jak w podobszarze Bobrek. Podejmują one szczególnie działania na rzecz rodzin i </w:t>
      </w:r>
      <w:r w:rsidR="00EA37D4">
        <w:rPr>
          <w:bCs/>
          <w:szCs w:val="20"/>
        </w:rPr>
        <w:t>osób dotkniętych ubóstwem.</w:t>
      </w:r>
    </w:p>
    <w:p w:rsidR="00BB6A01" w:rsidRPr="00C53A15" w:rsidRDefault="001C2FD4" w:rsidP="00C53A15">
      <w:pPr>
        <w:suppressAutoHyphens/>
        <w:ind w:firstLine="708"/>
        <w:jc w:val="both"/>
        <w:rPr>
          <w:rFonts w:cs="Arial"/>
          <w:szCs w:val="20"/>
          <w:lang w:eastAsia="ar-SA"/>
        </w:rPr>
      </w:pPr>
      <w:r w:rsidRPr="00C80963">
        <w:rPr>
          <w:rFonts w:cs="Arial"/>
          <w:szCs w:val="20"/>
          <w:lang w:eastAsia="ar-SA"/>
        </w:rPr>
        <w:t>Ze względu na rodzaj działalności organizacje pozarządowe dzieli się zwykle na działające w sferze sportu i</w:t>
      </w:r>
      <w:r w:rsidR="0013236B">
        <w:rPr>
          <w:rFonts w:cs="Arial"/>
          <w:szCs w:val="20"/>
          <w:lang w:eastAsia="ar-SA"/>
        </w:rPr>
        <w:t> </w:t>
      </w:r>
      <w:r w:rsidRPr="00C80963">
        <w:rPr>
          <w:rFonts w:cs="Arial"/>
          <w:szCs w:val="20"/>
          <w:lang w:eastAsia="ar-SA"/>
        </w:rPr>
        <w:t>kultury fizycznej oraz pozostałe. Ten pierwszy rodzaj organizacji jest na obszarze rewitalizacji reprezentowany na poziomie przeciętnym. Natomiast organizacji zajmujących się kulturą i sprawami społecznymi jest tu wiele</w:t>
      </w:r>
      <w:r w:rsidR="00B9275C">
        <w:rPr>
          <w:rFonts w:cs="Arial"/>
          <w:szCs w:val="20"/>
          <w:lang w:eastAsia="ar-SA"/>
        </w:rPr>
        <w:t xml:space="preserve"> - na 142 organizacje pozarządowe pozasportowe działające w Bytomiu 86 znajduje się w obszarze rewitalizacji.  </w:t>
      </w:r>
      <w:r w:rsidRPr="00C80963">
        <w:rPr>
          <w:rFonts w:cs="Arial"/>
          <w:szCs w:val="20"/>
          <w:lang w:eastAsia="ar-SA"/>
        </w:rPr>
        <w:t>Z</w:t>
      </w:r>
      <w:r w:rsidR="0013236B">
        <w:rPr>
          <w:rFonts w:cs="Arial"/>
          <w:szCs w:val="20"/>
          <w:lang w:eastAsia="ar-SA"/>
        </w:rPr>
        <w:t> </w:t>
      </w:r>
      <w:r w:rsidRPr="00C80963">
        <w:rPr>
          <w:rFonts w:cs="Arial"/>
          <w:szCs w:val="20"/>
          <w:lang w:eastAsia="ar-SA"/>
        </w:rPr>
        <w:t xml:space="preserve">mapy wynika, że większość </w:t>
      </w:r>
      <w:r w:rsidR="00B9275C">
        <w:rPr>
          <w:rFonts w:cs="Arial"/>
          <w:szCs w:val="20"/>
          <w:lang w:eastAsia="ar-SA"/>
        </w:rPr>
        <w:t>z nich</w:t>
      </w:r>
      <w:r w:rsidRPr="00C80963">
        <w:rPr>
          <w:rFonts w:cs="Arial"/>
          <w:szCs w:val="20"/>
          <w:lang w:eastAsia="ar-SA"/>
        </w:rPr>
        <w:t xml:space="preserve"> </w:t>
      </w:r>
      <w:r w:rsidR="00B9275C">
        <w:rPr>
          <w:rFonts w:cs="Arial"/>
          <w:szCs w:val="20"/>
          <w:lang w:eastAsia="ar-SA"/>
        </w:rPr>
        <w:t xml:space="preserve">znajduje się </w:t>
      </w:r>
      <w:r w:rsidR="00AC0EC6">
        <w:rPr>
          <w:rFonts w:cs="Arial"/>
          <w:szCs w:val="20"/>
          <w:lang w:eastAsia="ar-SA"/>
        </w:rPr>
        <w:t>w podobszarach</w:t>
      </w:r>
      <w:r w:rsidR="00B9275C">
        <w:rPr>
          <w:rFonts w:cs="Arial"/>
          <w:szCs w:val="20"/>
          <w:lang w:eastAsia="ar-SA"/>
        </w:rPr>
        <w:t xml:space="preserve"> śródmiejskich, przede wszyst</w:t>
      </w:r>
      <w:r w:rsidR="00C53A15">
        <w:rPr>
          <w:rFonts w:cs="Arial"/>
          <w:szCs w:val="20"/>
          <w:lang w:eastAsia="ar-SA"/>
        </w:rPr>
        <w:t>kim w Śródmieściu C</w:t>
      </w:r>
      <w:r w:rsidR="00B9275C">
        <w:rPr>
          <w:rFonts w:cs="Arial"/>
          <w:szCs w:val="20"/>
          <w:lang w:eastAsia="ar-SA"/>
        </w:rPr>
        <w:t xml:space="preserve">entrum i </w:t>
      </w:r>
      <w:r w:rsidR="00C53A15">
        <w:rPr>
          <w:rFonts w:cs="Arial"/>
          <w:szCs w:val="20"/>
          <w:lang w:eastAsia="ar-SA"/>
        </w:rPr>
        <w:t>Północ.</w:t>
      </w:r>
      <w:r w:rsidRPr="00C80963">
        <w:rPr>
          <w:rFonts w:cs="Arial"/>
          <w:szCs w:val="20"/>
          <w:lang w:eastAsia="ar-SA"/>
        </w:rPr>
        <w:t xml:space="preserve"> </w:t>
      </w:r>
      <w:bookmarkStart w:id="7810" w:name="_Toc460222285"/>
    </w:p>
    <w:p w:rsidR="00BB6A01" w:rsidRPr="00001569" w:rsidRDefault="00BB6A01" w:rsidP="00001569"/>
    <w:p w:rsidR="001C2FD4" w:rsidRPr="008F4DC5" w:rsidRDefault="008F4DC5" w:rsidP="00B640B0">
      <w:pPr>
        <w:pStyle w:val="Legenda"/>
        <w:rPr>
          <w:rFonts w:eastAsia="Calibri"/>
          <w:szCs w:val="24"/>
        </w:rPr>
      </w:pPr>
      <w:bookmarkStart w:id="7811" w:name="_Toc191972654"/>
      <w:r w:rsidRPr="008F4DC5">
        <w:t xml:space="preserve">Mapa </w:t>
      </w:r>
      <w:r w:rsidR="003972D8" w:rsidRPr="008F4DC5">
        <w:fldChar w:fldCharType="begin"/>
      </w:r>
      <w:r w:rsidRPr="008F4DC5">
        <w:instrText xml:space="preserve"> SEQ Mapa \* ARABIC </w:instrText>
      </w:r>
      <w:r w:rsidR="003972D8" w:rsidRPr="008F4DC5">
        <w:fldChar w:fldCharType="separate"/>
      </w:r>
      <w:r w:rsidR="00413FFE">
        <w:rPr>
          <w:noProof/>
        </w:rPr>
        <w:t>42</w:t>
      </w:r>
      <w:r w:rsidR="003972D8" w:rsidRPr="008F4DC5">
        <w:fldChar w:fldCharType="end"/>
      </w:r>
      <w:r w:rsidRPr="008F4DC5">
        <w:t>.</w:t>
      </w:r>
      <w:r w:rsidR="001C2FD4" w:rsidRPr="008F4DC5">
        <w:t xml:space="preserve"> Organizacje pozarządowe działające w dziedzinie kultury i spraw społecznych</w:t>
      </w:r>
      <w:bookmarkEnd w:id="7810"/>
      <w:bookmarkEnd w:id="7811"/>
      <w:r w:rsidR="001C2FD4" w:rsidRPr="008F4DC5">
        <w:t xml:space="preserve">  </w:t>
      </w:r>
    </w:p>
    <w:p w:rsidR="001C2FD4" w:rsidRPr="007E3578" w:rsidRDefault="0043168D" w:rsidP="00B640B0">
      <w:pPr>
        <w:suppressAutoHyphens/>
        <w:jc w:val="center"/>
        <w:rPr>
          <w:rFonts w:cs="Arial"/>
          <w:lang w:eastAsia="ar-SA"/>
        </w:rPr>
      </w:pPr>
      <w:r>
        <w:rPr>
          <w:rFonts w:cs="Arial"/>
          <w:noProof/>
        </w:rPr>
        <w:drawing>
          <wp:inline distT="0" distB="0" distL="0" distR="0">
            <wp:extent cx="5438775" cy="3771900"/>
            <wp:effectExtent l="19050" t="0" r="9525" b="0"/>
            <wp:docPr id="28" name="Obraz 3" descr="C:\Users\TT\Dropbox\irm-bytom-mapy\wydruki\562B ORGANIZACJE POZARZĄDOWE INNE NIŻ SPORTOWE W BYTOMI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C:\Users\TT\Dropbox\irm-bytom-mapy\wydruki\562B ORGANIZACJE POZARZĄDOWE INNE NIŻ SPORTOWE W BYTOMIU.png"/>
                    <pic:cNvPicPr>
                      <a:picLocks noChangeAspect="1" noChangeArrowheads="1"/>
                    </pic:cNvPicPr>
                  </pic:nvPicPr>
                  <pic:blipFill>
                    <a:blip r:embed="rId84" cstate="print"/>
                    <a:srcRect b="2063"/>
                    <a:stretch>
                      <a:fillRect/>
                    </a:stretch>
                  </pic:blipFill>
                  <pic:spPr bwMode="auto">
                    <a:xfrm>
                      <a:off x="0" y="0"/>
                      <a:ext cx="5438775" cy="3771900"/>
                    </a:xfrm>
                    <a:prstGeom prst="rect">
                      <a:avLst/>
                    </a:prstGeom>
                    <a:noFill/>
                    <a:ln w="9525">
                      <a:noFill/>
                      <a:miter lim="800000"/>
                      <a:headEnd/>
                      <a:tailEnd/>
                    </a:ln>
                  </pic:spPr>
                </pic:pic>
              </a:graphicData>
            </a:graphic>
          </wp:inline>
        </w:drawing>
      </w:r>
    </w:p>
    <w:p w:rsidR="00804BD2" w:rsidRPr="005F27F5" w:rsidRDefault="00804BD2" w:rsidP="00804BD2">
      <w:pPr>
        <w:autoSpaceDE w:val="0"/>
        <w:autoSpaceDN w:val="0"/>
        <w:adjustRightInd w:val="0"/>
        <w:rPr>
          <w:rFonts w:eastAsia="Calibri" w:cs="ArialNarrow"/>
          <w:i/>
          <w:sz w:val="18"/>
          <w:szCs w:val="20"/>
        </w:rPr>
      </w:pPr>
      <w:r w:rsidRPr="005F27F5">
        <w:rPr>
          <w:rFonts w:eastAsia="Calibri" w:cs="ArialNarrow"/>
          <w:i/>
          <w:sz w:val="18"/>
          <w:szCs w:val="20"/>
        </w:rPr>
        <w:t xml:space="preserve">Źródło: Opracowanie </w:t>
      </w:r>
      <w:r>
        <w:rPr>
          <w:rFonts w:eastAsia="Calibri" w:cs="ArialNarrow"/>
          <w:i/>
          <w:sz w:val="18"/>
          <w:szCs w:val="20"/>
        </w:rPr>
        <w:t>Instytutu Rozwoju Miast</w:t>
      </w:r>
    </w:p>
    <w:p w:rsidR="00331753" w:rsidRDefault="00331753" w:rsidP="00B640B0">
      <w:pPr>
        <w:pStyle w:val="Legenda"/>
      </w:pPr>
      <w:bookmarkStart w:id="7812" w:name="_Toc460222286"/>
    </w:p>
    <w:p w:rsidR="00ED6020" w:rsidRPr="00852EC1" w:rsidRDefault="00ED6020" w:rsidP="00190AE8">
      <w:pPr>
        <w:ind w:firstLine="708"/>
        <w:jc w:val="both"/>
        <w:rPr>
          <w:szCs w:val="20"/>
        </w:rPr>
      </w:pPr>
      <w:r w:rsidRPr="00852EC1">
        <w:rPr>
          <w:szCs w:val="20"/>
        </w:rPr>
        <w:t xml:space="preserve">Wśród licznych organizacji prowadzących </w:t>
      </w:r>
      <w:r w:rsidR="00D556D5" w:rsidRPr="00852EC1">
        <w:rPr>
          <w:szCs w:val="20"/>
        </w:rPr>
        <w:t xml:space="preserve">różnorodną </w:t>
      </w:r>
      <w:r w:rsidRPr="00852EC1">
        <w:rPr>
          <w:szCs w:val="20"/>
        </w:rPr>
        <w:t>działalność na obszarze rewitalizacji do najaktywniejszych należą między innymi:</w:t>
      </w:r>
    </w:p>
    <w:p w:rsidR="00ED6020" w:rsidRPr="00852EC1" w:rsidRDefault="00ED6020" w:rsidP="00ED6020">
      <w:pPr>
        <w:pStyle w:val="font8"/>
        <w:spacing w:before="0" w:after="0"/>
        <w:rPr>
          <w:b/>
          <w:bCs/>
          <w:szCs w:val="20"/>
        </w:rPr>
      </w:pPr>
    </w:p>
    <w:p w:rsidR="00ED6020" w:rsidRPr="00852EC1" w:rsidRDefault="00ED6020" w:rsidP="00190AE8">
      <w:pPr>
        <w:pStyle w:val="font8"/>
        <w:spacing w:before="0" w:after="0"/>
        <w:jc w:val="both"/>
        <w:rPr>
          <w:szCs w:val="20"/>
        </w:rPr>
      </w:pPr>
      <w:r w:rsidRPr="00852EC1">
        <w:rPr>
          <w:b/>
          <w:bCs/>
          <w:szCs w:val="20"/>
        </w:rPr>
        <w:t>IOGT Polska</w:t>
      </w:r>
      <w:r w:rsidRPr="00852EC1">
        <w:rPr>
          <w:szCs w:val="20"/>
        </w:rPr>
        <w:t xml:space="preserve"> </w:t>
      </w:r>
      <w:r w:rsidR="00190AE8" w:rsidRPr="00852EC1">
        <w:rPr>
          <w:szCs w:val="20"/>
        </w:rPr>
        <w:tab/>
      </w:r>
      <w:r w:rsidRPr="00852EC1">
        <w:rPr>
          <w:szCs w:val="20"/>
        </w:rPr>
        <w:br/>
      </w:r>
      <w:r w:rsidRPr="00852EC1">
        <w:rPr>
          <w:iCs/>
          <w:szCs w:val="20"/>
          <w:lang w:eastAsia="pl-PL"/>
        </w:rPr>
        <w:t>Organizacja IOGT jest jedną z największych międzynarodowych organi</w:t>
      </w:r>
      <w:r w:rsidR="00190AE8" w:rsidRPr="00852EC1">
        <w:rPr>
          <w:iCs/>
          <w:szCs w:val="20"/>
          <w:lang w:eastAsia="pl-PL"/>
        </w:rPr>
        <w:t xml:space="preserve">zacji pozarządowych na świecie, </w:t>
      </w:r>
      <w:r w:rsidRPr="00852EC1">
        <w:rPr>
          <w:iCs/>
          <w:szCs w:val="20"/>
          <w:lang w:eastAsia="pl-PL"/>
        </w:rPr>
        <w:t>działającą w tematyce profilaktyki uzależnień od alkoholu. Głównym jej celem jest tworzenie środowiska wolnego od alkoholu i narkotyków oraz edukacja społeczeństwa w tym zakresie.</w:t>
      </w:r>
    </w:p>
    <w:p w:rsidR="00ED6020" w:rsidRPr="00852EC1" w:rsidRDefault="00ED6020" w:rsidP="00190AE8">
      <w:pPr>
        <w:jc w:val="both"/>
        <w:rPr>
          <w:szCs w:val="20"/>
        </w:rPr>
      </w:pPr>
      <w:r w:rsidRPr="00852EC1">
        <w:rPr>
          <w:iCs/>
          <w:szCs w:val="20"/>
        </w:rPr>
        <w:t>IOGT Polska działa w tematyce profilaktyki uzależnień oraz wykluczenia społecznego. Ma również na celu aktywizację różnych środowisk społecznych i umożliwienie im warunków do rozwijania swoich pasji</w:t>
      </w:r>
      <w:r w:rsidR="00190AE8" w:rsidRPr="00852EC1">
        <w:rPr>
          <w:iCs/>
          <w:szCs w:val="20"/>
        </w:rPr>
        <w:t xml:space="preserve"> </w:t>
      </w:r>
      <w:r w:rsidRPr="00852EC1">
        <w:rPr>
          <w:iCs/>
          <w:szCs w:val="20"/>
        </w:rPr>
        <w:t>i</w:t>
      </w:r>
      <w:r w:rsidR="00190AE8" w:rsidRPr="00852EC1">
        <w:rPr>
          <w:iCs/>
          <w:szCs w:val="20"/>
        </w:rPr>
        <w:t> </w:t>
      </w:r>
      <w:r w:rsidRPr="00852EC1">
        <w:rPr>
          <w:iCs/>
          <w:szCs w:val="20"/>
        </w:rPr>
        <w:t>zainteresowań.</w:t>
      </w:r>
    </w:p>
    <w:p w:rsidR="00ED6020" w:rsidRPr="00852EC1" w:rsidRDefault="00ED6020" w:rsidP="00ED6020">
      <w:pPr>
        <w:rPr>
          <w:b/>
          <w:bCs/>
          <w:szCs w:val="20"/>
        </w:rPr>
      </w:pPr>
    </w:p>
    <w:p w:rsidR="00916081" w:rsidRPr="00852EC1" w:rsidRDefault="00ED6020" w:rsidP="00190AE8">
      <w:pPr>
        <w:jc w:val="both"/>
        <w:rPr>
          <w:szCs w:val="20"/>
        </w:rPr>
      </w:pPr>
      <w:r w:rsidRPr="00852EC1">
        <w:rPr>
          <w:b/>
          <w:bCs/>
          <w:szCs w:val="20"/>
        </w:rPr>
        <w:t>Fundacja Dom Nadziei</w:t>
      </w:r>
      <w:r w:rsidR="00190AE8" w:rsidRPr="00852EC1">
        <w:rPr>
          <w:b/>
          <w:bCs/>
          <w:szCs w:val="20"/>
        </w:rPr>
        <w:tab/>
      </w:r>
      <w:r w:rsidRPr="00852EC1">
        <w:rPr>
          <w:szCs w:val="20"/>
        </w:rPr>
        <w:t xml:space="preserve"> </w:t>
      </w:r>
      <w:r w:rsidRPr="00852EC1">
        <w:rPr>
          <w:szCs w:val="20"/>
        </w:rPr>
        <w:br/>
        <w:t>Katolicki Ośrodek „Dom Nadziei” im. Ks. Jana Berthiera, jest stacjonarnym i całodobowym oddziałem terapii i</w:t>
      </w:r>
      <w:r w:rsidR="00190AE8" w:rsidRPr="00852EC1">
        <w:rPr>
          <w:szCs w:val="20"/>
        </w:rPr>
        <w:t> </w:t>
      </w:r>
      <w:r w:rsidRPr="00852EC1">
        <w:rPr>
          <w:szCs w:val="20"/>
        </w:rPr>
        <w:t xml:space="preserve">rehabilitacji dla młodzieży w wieku </w:t>
      </w:r>
      <w:r w:rsidRPr="00852EC1">
        <w:rPr>
          <w:bCs/>
          <w:szCs w:val="20"/>
        </w:rPr>
        <w:t>14 - 21 lat,</w:t>
      </w:r>
      <w:r w:rsidRPr="00852EC1">
        <w:rPr>
          <w:b/>
          <w:bCs/>
          <w:szCs w:val="20"/>
        </w:rPr>
        <w:t xml:space="preserve"> </w:t>
      </w:r>
      <w:r w:rsidRPr="00852EC1">
        <w:rPr>
          <w:szCs w:val="20"/>
        </w:rPr>
        <w:t xml:space="preserve">uzależnionej od substancji psychoaktywnych, w tym z podwójną </w:t>
      </w:r>
      <w:r w:rsidRPr="00852EC1">
        <w:rPr>
          <w:szCs w:val="20"/>
        </w:rPr>
        <w:lastRenderedPageBreak/>
        <w:t xml:space="preserve">diagnozą (zaburzenia typu schizofrenii, zaburzenia afektywne, zaburzenia nerwicowe oraz inne). Fundacja prowadzi także Poradnię Profilaktyki i Terapii Uzależnień, która oferuje </w:t>
      </w:r>
      <w:r w:rsidRPr="00852EC1">
        <w:rPr>
          <w:bCs/>
          <w:szCs w:val="20"/>
        </w:rPr>
        <w:t>pomoc psychoterapeutyczną</w:t>
      </w:r>
      <w:r w:rsidRPr="00852EC1">
        <w:rPr>
          <w:szCs w:val="20"/>
        </w:rPr>
        <w:t xml:space="preserve"> dla osób:</w:t>
      </w:r>
    </w:p>
    <w:p w:rsidR="00916081" w:rsidRPr="00852EC1" w:rsidRDefault="00ED6020" w:rsidP="00916081">
      <w:pPr>
        <w:pStyle w:val="Akapitzlist"/>
        <w:numPr>
          <w:ilvl w:val="0"/>
          <w:numId w:val="206"/>
        </w:numPr>
        <w:spacing w:after="0" w:line="240" w:lineRule="auto"/>
        <w:ind w:left="714" w:hanging="357"/>
        <w:rPr>
          <w:rFonts w:cs="TiepoloItcTEE-Book"/>
          <w:b/>
          <w:bCs/>
          <w:sz w:val="20"/>
          <w:szCs w:val="20"/>
        </w:rPr>
      </w:pPr>
      <w:r w:rsidRPr="00852EC1">
        <w:rPr>
          <w:sz w:val="20"/>
          <w:szCs w:val="20"/>
        </w:rPr>
        <w:t>z uzależnieniami</w:t>
      </w:r>
      <w:r w:rsidR="00916081" w:rsidRPr="00852EC1">
        <w:rPr>
          <w:sz w:val="20"/>
          <w:szCs w:val="20"/>
        </w:rPr>
        <w:t xml:space="preserve"> od substancji psychoaktywnych,</w:t>
      </w:r>
    </w:p>
    <w:p w:rsidR="00916081" w:rsidRPr="00852EC1" w:rsidRDefault="00ED6020" w:rsidP="00916081">
      <w:pPr>
        <w:pStyle w:val="Akapitzlist"/>
        <w:numPr>
          <w:ilvl w:val="0"/>
          <w:numId w:val="206"/>
        </w:numPr>
        <w:spacing w:after="0" w:line="240" w:lineRule="auto"/>
        <w:ind w:left="714" w:hanging="357"/>
        <w:rPr>
          <w:rFonts w:cs="TiepoloItcTEE-Book"/>
          <w:b/>
          <w:bCs/>
          <w:sz w:val="20"/>
          <w:szCs w:val="20"/>
        </w:rPr>
      </w:pPr>
      <w:r w:rsidRPr="00852EC1">
        <w:rPr>
          <w:sz w:val="20"/>
          <w:szCs w:val="20"/>
        </w:rPr>
        <w:t xml:space="preserve">z uzależnieniem </w:t>
      </w:r>
      <w:r w:rsidR="00916081" w:rsidRPr="00852EC1">
        <w:rPr>
          <w:sz w:val="20"/>
          <w:szCs w:val="20"/>
        </w:rPr>
        <w:t>od alkoholu,</w:t>
      </w:r>
    </w:p>
    <w:p w:rsidR="00916081" w:rsidRPr="00852EC1" w:rsidRDefault="00ED6020" w:rsidP="00916081">
      <w:pPr>
        <w:pStyle w:val="Akapitzlist"/>
        <w:numPr>
          <w:ilvl w:val="0"/>
          <w:numId w:val="206"/>
        </w:numPr>
        <w:spacing w:after="0" w:line="240" w:lineRule="auto"/>
        <w:ind w:left="714" w:hanging="357"/>
        <w:rPr>
          <w:rFonts w:cs="TiepoloItcTEE-Book"/>
          <w:b/>
          <w:bCs/>
          <w:sz w:val="20"/>
          <w:szCs w:val="20"/>
        </w:rPr>
      </w:pPr>
      <w:r w:rsidRPr="00852EC1">
        <w:rPr>
          <w:sz w:val="20"/>
          <w:szCs w:val="20"/>
        </w:rPr>
        <w:t xml:space="preserve">z </w:t>
      </w:r>
      <w:r w:rsidR="00916081" w:rsidRPr="00852EC1">
        <w:rPr>
          <w:sz w:val="20"/>
          <w:szCs w:val="20"/>
        </w:rPr>
        <w:t>uzależnieniami behawioralnymi</w:t>
      </w:r>
      <w:r w:rsidR="000262DC">
        <w:rPr>
          <w:sz w:val="20"/>
          <w:szCs w:val="20"/>
        </w:rPr>
        <w:t>,</w:t>
      </w:r>
    </w:p>
    <w:p w:rsidR="00ED6020" w:rsidRPr="00EE6A8B" w:rsidRDefault="00ED6020" w:rsidP="00916081">
      <w:pPr>
        <w:pStyle w:val="Akapitzlist"/>
        <w:numPr>
          <w:ilvl w:val="0"/>
          <w:numId w:val="206"/>
        </w:numPr>
        <w:spacing w:after="0" w:line="240" w:lineRule="auto"/>
        <w:ind w:left="714" w:hanging="357"/>
        <w:rPr>
          <w:rFonts w:cs="TiepoloItcTEE-Book"/>
          <w:b/>
          <w:bCs/>
          <w:sz w:val="20"/>
          <w:szCs w:val="20"/>
        </w:rPr>
      </w:pPr>
      <w:r w:rsidRPr="00852EC1">
        <w:rPr>
          <w:sz w:val="20"/>
          <w:szCs w:val="20"/>
        </w:rPr>
        <w:t>eksperymentujących ze środkami psychoaktywnymi</w:t>
      </w:r>
      <w:r w:rsidR="000262DC">
        <w:rPr>
          <w:sz w:val="20"/>
          <w:szCs w:val="20"/>
        </w:rPr>
        <w:t>.</w:t>
      </w:r>
      <w:r w:rsidRPr="00852EC1">
        <w:rPr>
          <w:szCs w:val="20"/>
        </w:rPr>
        <w:br/>
      </w:r>
    </w:p>
    <w:p w:rsidR="00027491" w:rsidRPr="00852EC1" w:rsidRDefault="00ED6020" w:rsidP="00ED6020">
      <w:pPr>
        <w:rPr>
          <w:rFonts w:cs="TiepoloItcTEE-Book"/>
          <w:szCs w:val="20"/>
        </w:rPr>
      </w:pPr>
      <w:r w:rsidRPr="00852EC1">
        <w:rPr>
          <w:rFonts w:cs="TiepoloItcTEE-Book"/>
          <w:b/>
          <w:bCs/>
          <w:szCs w:val="20"/>
        </w:rPr>
        <w:t>Stowarzyszenie Liga Kobiet Nieobojętnych</w:t>
      </w:r>
      <w:r w:rsidRPr="00852EC1">
        <w:rPr>
          <w:rFonts w:cs="TiepoloItcTEE-Book"/>
          <w:szCs w:val="20"/>
        </w:rPr>
        <w:t xml:space="preserve"> </w:t>
      </w:r>
      <w:r w:rsidRPr="00852EC1">
        <w:rPr>
          <w:rFonts w:cs="TiepoloItcTEE-Book"/>
          <w:szCs w:val="20"/>
        </w:rPr>
        <w:br/>
      </w:r>
      <w:r w:rsidRPr="00852EC1">
        <w:rPr>
          <w:szCs w:val="20"/>
        </w:rPr>
        <w:t>Stowarzyszenie stawia sobie następujące cele</w:t>
      </w:r>
      <w:r w:rsidRPr="00852EC1">
        <w:rPr>
          <w:rFonts w:cs="TiepoloItcTEE-Book"/>
          <w:szCs w:val="20"/>
        </w:rPr>
        <w:t>:</w:t>
      </w:r>
    </w:p>
    <w:p w:rsidR="00027491" w:rsidRPr="00852EC1" w:rsidRDefault="00AC0EC6" w:rsidP="00027491">
      <w:pPr>
        <w:pStyle w:val="Akapitzlist"/>
        <w:numPr>
          <w:ilvl w:val="0"/>
          <w:numId w:val="207"/>
        </w:numPr>
        <w:spacing w:after="0" w:line="240" w:lineRule="auto"/>
        <w:ind w:left="714" w:hanging="357"/>
        <w:rPr>
          <w:rFonts w:cs="TiepoloItcTEE-Book"/>
          <w:sz w:val="20"/>
          <w:szCs w:val="20"/>
        </w:rPr>
      </w:pPr>
      <w:r>
        <w:rPr>
          <w:rFonts w:cs="TiepoloItcTEE-Book"/>
          <w:sz w:val="20"/>
          <w:szCs w:val="20"/>
        </w:rPr>
        <w:t>p</w:t>
      </w:r>
      <w:r w:rsidR="00ED6020" w:rsidRPr="00EE141D">
        <w:rPr>
          <w:rFonts w:cs="TiepoloItcTEE-Book"/>
          <w:sz w:val="20"/>
          <w:szCs w:val="20"/>
        </w:rPr>
        <w:t>romocja bytomskiej kultury</w:t>
      </w:r>
      <w:r w:rsidR="00ED6020" w:rsidRPr="00852EC1">
        <w:rPr>
          <w:rFonts w:cs="TiepoloItcTEE-Book"/>
          <w:sz w:val="20"/>
          <w:szCs w:val="20"/>
        </w:rPr>
        <w:t>, his</w:t>
      </w:r>
      <w:r w:rsidR="00027491" w:rsidRPr="00852EC1">
        <w:rPr>
          <w:rFonts w:cs="TiepoloItcTEE-Book"/>
          <w:sz w:val="20"/>
          <w:szCs w:val="20"/>
        </w:rPr>
        <w:t>torii, walorów turystycznych,</w:t>
      </w:r>
    </w:p>
    <w:p w:rsidR="00027491" w:rsidRPr="00852EC1" w:rsidRDefault="00AC0EC6" w:rsidP="00027491">
      <w:pPr>
        <w:pStyle w:val="Akapitzlist"/>
        <w:numPr>
          <w:ilvl w:val="0"/>
          <w:numId w:val="207"/>
        </w:numPr>
        <w:spacing w:after="0" w:line="240" w:lineRule="auto"/>
        <w:ind w:left="714" w:hanging="357"/>
        <w:rPr>
          <w:rFonts w:cs="TiepoloItcTEE-Book"/>
          <w:sz w:val="20"/>
          <w:szCs w:val="20"/>
        </w:rPr>
      </w:pPr>
      <w:r>
        <w:rPr>
          <w:rFonts w:cs="TiepoloItcTEE-Book"/>
          <w:sz w:val="20"/>
          <w:szCs w:val="20"/>
        </w:rPr>
        <w:t>p</w:t>
      </w:r>
      <w:r w:rsidR="00ED6020" w:rsidRPr="00852EC1">
        <w:rPr>
          <w:rFonts w:cs="TiepoloItcTEE-Book"/>
          <w:sz w:val="20"/>
          <w:szCs w:val="20"/>
        </w:rPr>
        <w:t>romocja nowego wizerunku Bytomia, atrakcyjne</w:t>
      </w:r>
      <w:r w:rsidR="00027491" w:rsidRPr="00852EC1">
        <w:rPr>
          <w:rFonts w:cs="TiepoloItcTEE-Book"/>
          <w:sz w:val="20"/>
          <w:szCs w:val="20"/>
        </w:rPr>
        <w:t>go dla inwestorów i turystów,</w:t>
      </w:r>
    </w:p>
    <w:p w:rsidR="00027491" w:rsidRPr="00852EC1" w:rsidRDefault="00AC0EC6" w:rsidP="00027491">
      <w:pPr>
        <w:pStyle w:val="Akapitzlist"/>
        <w:numPr>
          <w:ilvl w:val="0"/>
          <w:numId w:val="207"/>
        </w:numPr>
        <w:spacing w:after="0" w:line="240" w:lineRule="auto"/>
        <w:ind w:left="714" w:hanging="357"/>
        <w:rPr>
          <w:rFonts w:cs="TiepoloItcTEE-Book"/>
          <w:sz w:val="20"/>
          <w:szCs w:val="20"/>
        </w:rPr>
      </w:pPr>
      <w:r>
        <w:rPr>
          <w:rFonts w:cs="TiepoloItcTEE-Book"/>
          <w:sz w:val="20"/>
          <w:szCs w:val="20"/>
        </w:rPr>
        <w:t>p</w:t>
      </w:r>
      <w:r w:rsidR="00ED6020" w:rsidRPr="00852EC1">
        <w:rPr>
          <w:rFonts w:cs="TiepoloItcTEE-Book"/>
          <w:sz w:val="20"/>
          <w:szCs w:val="20"/>
        </w:rPr>
        <w:t>romocja bytomianek, wybór „Bytomian</w:t>
      </w:r>
      <w:r w:rsidR="00027491" w:rsidRPr="00852EC1">
        <w:rPr>
          <w:rFonts w:cs="TiepoloItcTEE-Book"/>
          <w:sz w:val="20"/>
          <w:szCs w:val="20"/>
        </w:rPr>
        <w:t>ki Roku” i "Bytomianina Roku"</w:t>
      </w:r>
      <w:r w:rsidR="006A7D57">
        <w:rPr>
          <w:rFonts w:cs="TiepoloItcTEE-Book"/>
          <w:sz w:val="20"/>
          <w:szCs w:val="20"/>
        </w:rPr>
        <w:t>,</w:t>
      </w:r>
    </w:p>
    <w:p w:rsidR="00027491" w:rsidRPr="00852EC1" w:rsidRDefault="00AC0EC6" w:rsidP="00027491">
      <w:pPr>
        <w:pStyle w:val="Akapitzlist"/>
        <w:numPr>
          <w:ilvl w:val="0"/>
          <w:numId w:val="207"/>
        </w:numPr>
        <w:spacing w:after="0" w:line="240" w:lineRule="auto"/>
        <w:ind w:left="714" w:hanging="357"/>
        <w:rPr>
          <w:rFonts w:cs="TiepoloItcTEE-Book"/>
          <w:sz w:val="20"/>
          <w:szCs w:val="20"/>
        </w:rPr>
      </w:pPr>
      <w:r>
        <w:rPr>
          <w:rFonts w:cs="TiepoloItcTEE-Book"/>
          <w:sz w:val="20"/>
          <w:szCs w:val="20"/>
        </w:rPr>
        <w:t>w</w:t>
      </w:r>
      <w:r w:rsidR="00ED6020" w:rsidRPr="00852EC1">
        <w:rPr>
          <w:rFonts w:cs="TiepoloItcTEE-Book"/>
          <w:sz w:val="20"/>
          <w:szCs w:val="20"/>
        </w:rPr>
        <w:t xml:space="preserve">spieranie talentów naukowych, artystycznych i </w:t>
      </w:r>
      <w:r w:rsidR="00027491" w:rsidRPr="00852EC1">
        <w:rPr>
          <w:rFonts w:cs="TiepoloItcTEE-Book"/>
          <w:sz w:val="20"/>
          <w:szCs w:val="20"/>
        </w:rPr>
        <w:t>sportowych dzieci i młodzieży</w:t>
      </w:r>
      <w:r w:rsidR="006A7D57">
        <w:rPr>
          <w:rFonts w:cs="TiepoloItcTEE-Book"/>
          <w:sz w:val="20"/>
          <w:szCs w:val="20"/>
        </w:rPr>
        <w:t>,</w:t>
      </w:r>
    </w:p>
    <w:p w:rsidR="00027491" w:rsidRPr="00852EC1" w:rsidRDefault="00AC0EC6" w:rsidP="00027491">
      <w:pPr>
        <w:pStyle w:val="Akapitzlist"/>
        <w:numPr>
          <w:ilvl w:val="0"/>
          <w:numId w:val="207"/>
        </w:numPr>
        <w:spacing w:after="0" w:line="240" w:lineRule="auto"/>
        <w:ind w:left="714" w:hanging="357"/>
        <w:rPr>
          <w:rFonts w:cs="TiepoloItcTEE-Book"/>
          <w:sz w:val="20"/>
          <w:szCs w:val="20"/>
        </w:rPr>
      </w:pPr>
      <w:r>
        <w:rPr>
          <w:rFonts w:cs="TiepoloItcTEE-Book"/>
          <w:sz w:val="20"/>
          <w:szCs w:val="20"/>
        </w:rPr>
        <w:t>i</w:t>
      </w:r>
      <w:r w:rsidR="00ED6020" w:rsidRPr="00852EC1">
        <w:rPr>
          <w:rFonts w:cs="TiepoloItcTEE-Book"/>
          <w:sz w:val="20"/>
          <w:szCs w:val="20"/>
        </w:rPr>
        <w:t>nicjowanie działań na rzecz idei „cz</w:t>
      </w:r>
      <w:r w:rsidR="00027491" w:rsidRPr="00852EC1">
        <w:rPr>
          <w:rFonts w:cs="TiepoloItcTEE-Book"/>
          <w:sz w:val="20"/>
          <w:szCs w:val="20"/>
        </w:rPr>
        <w:t>ysty Bytom”,</w:t>
      </w:r>
    </w:p>
    <w:p w:rsidR="00027491" w:rsidRPr="00852EC1" w:rsidRDefault="00AC0EC6" w:rsidP="00027491">
      <w:pPr>
        <w:pStyle w:val="Akapitzlist"/>
        <w:numPr>
          <w:ilvl w:val="0"/>
          <w:numId w:val="207"/>
        </w:numPr>
        <w:spacing w:after="0" w:line="240" w:lineRule="auto"/>
        <w:ind w:left="714" w:hanging="357"/>
        <w:rPr>
          <w:rFonts w:cs="TiepoloItcTEE-Book"/>
          <w:sz w:val="20"/>
          <w:szCs w:val="20"/>
        </w:rPr>
      </w:pPr>
      <w:r>
        <w:rPr>
          <w:rFonts w:cs="TiepoloItcTEE-Book"/>
          <w:sz w:val="20"/>
          <w:szCs w:val="20"/>
        </w:rPr>
        <w:t>n</w:t>
      </w:r>
      <w:r w:rsidR="00ED6020" w:rsidRPr="00852EC1">
        <w:rPr>
          <w:rFonts w:cs="TiepoloItcTEE-Book"/>
          <w:sz w:val="20"/>
          <w:szCs w:val="20"/>
        </w:rPr>
        <w:t>awiązywanie kontakt</w:t>
      </w:r>
      <w:r w:rsidR="00027491" w:rsidRPr="00852EC1">
        <w:rPr>
          <w:rFonts w:cs="TiepoloItcTEE-Book"/>
          <w:sz w:val="20"/>
          <w:szCs w:val="20"/>
        </w:rPr>
        <w:t>ów z bytomiankami za granicą,</w:t>
      </w:r>
    </w:p>
    <w:p w:rsidR="00027491" w:rsidRPr="00852EC1" w:rsidRDefault="00AC0EC6" w:rsidP="00027491">
      <w:pPr>
        <w:pStyle w:val="Akapitzlist"/>
        <w:numPr>
          <w:ilvl w:val="0"/>
          <w:numId w:val="207"/>
        </w:numPr>
        <w:spacing w:after="0" w:line="240" w:lineRule="auto"/>
        <w:ind w:left="714" w:hanging="357"/>
        <w:rPr>
          <w:rFonts w:cs="TiepoloItcTEE-Book"/>
          <w:sz w:val="20"/>
          <w:szCs w:val="20"/>
        </w:rPr>
      </w:pPr>
      <w:r>
        <w:rPr>
          <w:rFonts w:cs="TiepoloItcTEE-Book"/>
          <w:sz w:val="20"/>
          <w:szCs w:val="20"/>
        </w:rPr>
        <w:t>i</w:t>
      </w:r>
      <w:r w:rsidR="00ED6020" w:rsidRPr="00852EC1">
        <w:rPr>
          <w:rFonts w:cs="TiepoloItcTEE-Book"/>
          <w:sz w:val="20"/>
          <w:szCs w:val="20"/>
        </w:rPr>
        <w:t>nicjowanie działań niosącyc</w:t>
      </w:r>
      <w:r w:rsidR="00027491" w:rsidRPr="00852EC1">
        <w:rPr>
          <w:rFonts w:cs="TiepoloItcTEE-Book"/>
          <w:sz w:val="20"/>
          <w:szCs w:val="20"/>
        </w:rPr>
        <w:t>h pomoc rodzinom w potrzebie,</w:t>
      </w:r>
    </w:p>
    <w:p w:rsidR="00027491" w:rsidRPr="00852EC1" w:rsidRDefault="00AC0EC6" w:rsidP="00027491">
      <w:pPr>
        <w:pStyle w:val="Akapitzlist"/>
        <w:numPr>
          <w:ilvl w:val="0"/>
          <w:numId w:val="207"/>
        </w:numPr>
        <w:spacing w:after="0" w:line="240" w:lineRule="auto"/>
        <w:ind w:left="714" w:hanging="357"/>
        <w:rPr>
          <w:rFonts w:cs="TiepoloItcTEE-Book"/>
          <w:sz w:val="20"/>
          <w:szCs w:val="20"/>
        </w:rPr>
      </w:pPr>
      <w:r>
        <w:rPr>
          <w:rFonts w:cs="TiepoloItcTEE-Book"/>
          <w:sz w:val="20"/>
          <w:szCs w:val="20"/>
        </w:rPr>
        <w:t>i</w:t>
      </w:r>
      <w:r w:rsidR="00ED6020" w:rsidRPr="00852EC1">
        <w:rPr>
          <w:rFonts w:cs="TiepoloItcTEE-Book"/>
          <w:sz w:val="20"/>
          <w:szCs w:val="20"/>
        </w:rPr>
        <w:t xml:space="preserve">nicjowanie i organizowanie działań </w:t>
      </w:r>
      <w:r w:rsidR="00027491" w:rsidRPr="00852EC1">
        <w:rPr>
          <w:rFonts w:cs="TiepoloItcTEE-Book"/>
          <w:sz w:val="20"/>
          <w:szCs w:val="20"/>
        </w:rPr>
        <w:t>na rzecz bytomskich seniorów,</w:t>
      </w:r>
    </w:p>
    <w:p w:rsidR="00027491" w:rsidRPr="00852EC1" w:rsidRDefault="00AC0EC6" w:rsidP="00027491">
      <w:pPr>
        <w:pStyle w:val="Akapitzlist"/>
        <w:numPr>
          <w:ilvl w:val="0"/>
          <w:numId w:val="207"/>
        </w:numPr>
        <w:spacing w:after="0" w:line="240" w:lineRule="auto"/>
        <w:ind w:left="714" w:hanging="357"/>
        <w:rPr>
          <w:rFonts w:cs="TiepoloItcTEE-Book"/>
          <w:sz w:val="20"/>
          <w:szCs w:val="20"/>
        </w:rPr>
      </w:pPr>
      <w:r>
        <w:rPr>
          <w:rFonts w:cs="TiepoloItcTEE-Book"/>
          <w:sz w:val="20"/>
          <w:szCs w:val="20"/>
        </w:rPr>
        <w:t>w</w:t>
      </w:r>
      <w:r w:rsidR="00ED6020" w:rsidRPr="00852EC1">
        <w:rPr>
          <w:rFonts w:cs="TiepoloItcTEE-Book"/>
          <w:sz w:val="20"/>
          <w:szCs w:val="20"/>
        </w:rPr>
        <w:t>ypowiadani</w:t>
      </w:r>
      <w:r w:rsidR="00027491" w:rsidRPr="00852EC1">
        <w:rPr>
          <w:rFonts w:cs="TiepoloItcTEE-Book"/>
          <w:sz w:val="20"/>
          <w:szCs w:val="20"/>
        </w:rPr>
        <w:t>e się w sprawach publicznych,</w:t>
      </w:r>
    </w:p>
    <w:p w:rsidR="00ED6020" w:rsidRPr="00852EC1" w:rsidRDefault="00AC0EC6" w:rsidP="00027491">
      <w:pPr>
        <w:pStyle w:val="Akapitzlist"/>
        <w:numPr>
          <w:ilvl w:val="0"/>
          <w:numId w:val="207"/>
        </w:numPr>
        <w:spacing w:after="0" w:line="240" w:lineRule="auto"/>
        <w:ind w:left="714" w:hanging="357"/>
        <w:rPr>
          <w:rFonts w:cs="TiepoloItcTEE-Book"/>
          <w:sz w:val="20"/>
          <w:szCs w:val="20"/>
        </w:rPr>
      </w:pPr>
      <w:r>
        <w:rPr>
          <w:rFonts w:cs="TiepoloItcTEE-Book"/>
          <w:sz w:val="20"/>
          <w:szCs w:val="20"/>
        </w:rPr>
        <w:t>p</w:t>
      </w:r>
      <w:r w:rsidR="00ED6020" w:rsidRPr="00852EC1">
        <w:rPr>
          <w:rFonts w:cs="TiepoloItcTEE-Book"/>
          <w:sz w:val="20"/>
          <w:szCs w:val="20"/>
        </w:rPr>
        <w:t xml:space="preserve">ozyskiwanie środków na działalność z </w:t>
      </w:r>
      <w:r w:rsidR="000D1022">
        <w:rPr>
          <w:rFonts w:cs="TiepoloItcTEE-Book"/>
          <w:sz w:val="20"/>
          <w:szCs w:val="20"/>
        </w:rPr>
        <w:t>dostępnych funduszy pomocowych.</w:t>
      </w:r>
    </w:p>
    <w:p w:rsidR="00ED6020" w:rsidRPr="00852EC1" w:rsidRDefault="00ED6020" w:rsidP="00ED6020">
      <w:pPr>
        <w:rPr>
          <w:rFonts w:cs="TiepoloItcTEE-Book"/>
          <w:b/>
          <w:bCs/>
          <w:szCs w:val="20"/>
        </w:rPr>
      </w:pPr>
    </w:p>
    <w:p w:rsidR="00ED6020" w:rsidRPr="00852EC1" w:rsidRDefault="00ED6020" w:rsidP="00852EC1">
      <w:pPr>
        <w:jc w:val="both"/>
        <w:rPr>
          <w:b/>
          <w:bCs/>
          <w:szCs w:val="20"/>
        </w:rPr>
      </w:pPr>
      <w:r w:rsidRPr="00852EC1">
        <w:rPr>
          <w:rFonts w:cs="TiepoloItcTEE-Book"/>
          <w:b/>
          <w:bCs/>
          <w:szCs w:val="20"/>
        </w:rPr>
        <w:t>Chrześcijańskie Stowarzyszenie Dzieci i Młodzieży „Nowe Pokolenie”</w:t>
      </w:r>
      <w:r w:rsidRPr="00852EC1">
        <w:rPr>
          <w:rFonts w:cs="TiepoloItcTEE-Book"/>
          <w:szCs w:val="20"/>
        </w:rPr>
        <w:t xml:space="preserve"> </w:t>
      </w:r>
      <w:r w:rsidR="00852EC1" w:rsidRPr="00852EC1">
        <w:rPr>
          <w:rFonts w:cs="TiepoloItcTEE-Book"/>
          <w:szCs w:val="20"/>
        </w:rPr>
        <w:tab/>
      </w:r>
      <w:r w:rsidRPr="00852EC1">
        <w:rPr>
          <w:rFonts w:cs="TiepoloItcTEE-Book"/>
          <w:szCs w:val="20"/>
        </w:rPr>
        <w:br/>
        <w:t xml:space="preserve">Zakres działania Stowarzyszenia to: pomoc społeczna, działalność charytatywna, turystyka i krajoznawstwo, przeciwdziałanie uzależnieniom i patologiom społecznym. Głównym celem stowarzyszenia i zarazem hasłem przewodnim jest: „Przygotować to pokolenie tak, aby nowe pokolenie miało za kim podążać”. Przede wszystkim skupianie się na pracy z dziećmi i młodzieżą prowadząc spotkania edukacyjne, muzyczne i teatralne. </w:t>
      </w:r>
      <w:r w:rsidRPr="00852EC1">
        <w:rPr>
          <w:rFonts w:cs="TiepoloItcTEE-Book"/>
          <w:szCs w:val="20"/>
        </w:rPr>
        <w:br/>
      </w:r>
    </w:p>
    <w:p w:rsidR="00ED6020" w:rsidRPr="00852EC1" w:rsidRDefault="00ED6020" w:rsidP="00852EC1">
      <w:pPr>
        <w:jc w:val="both"/>
        <w:rPr>
          <w:szCs w:val="20"/>
        </w:rPr>
      </w:pPr>
      <w:r w:rsidRPr="00852EC1">
        <w:rPr>
          <w:b/>
          <w:bCs/>
          <w:szCs w:val="20"/>
        </w:rPr>
        <w:t xml:space="preserve">Stowarzyszenie Na Rzecz Osób Starszych i Niepełnosprawnych </w:t>
      </w:r>
      <w:r w:rsidR="00AC0EC6">
        <w:rPr>
          <w:b/>
          <w:bCs/>
          <w:szCs w:val="20"/>
        </w:rPr>
        <w:t>Fizycznie, Intelektualnie, Osób Chorych Psychicznie oraz Osób Uzależnionych od A</w:t>
      </w:r>
      <w:r w:rsidRPr="00852EC1">
        <w:rPr>
          <w:b/>
          <w:bCs/>
          <w:szCs w:val="20"/>
        </w:rPr>
        <w:t>lkoholu „Pomocna Dłoń”</w:t>
      </w:r>
      <w:r w:rsidR="00852EC1" w:rsidRPr="00852EC1">
        <w:rPr>
          <w:b/>
          <w:bCs/>
          <w:szCs w:val="20"/>
        </w:rPr>
        <w:tab/>
      </w:r>
      <w:r w:rsidRPr="00852EC1">
        <w:rPr>
          <w:szCs w:val="20"/>
        </w:rPr>
        <w:t xml:space="preserve"> </w:t>
      </w:r>
      <w:r w:rsidRPr="00852EC1">
        <w:rPr>
          <w:szCs w:val="20"/>
        </w:rPr>
        <w:br/>
        <w:t>Polem działania jest pomoc społeczna, ochrona i promocja zdrowia, działalność na rzecz osób niepełnosprawnych, promocja zatrudnienia i aktywizacja zawodowa osób pozostających bez pracy i</w:t>
      </w:r>
      <w:r w:rsidR="00852EC1" w:rsidRPr="00852EC1">
        <w:rPr>
          <w:szCs w:val="20"/>
        </w:rPr>
        <w:t> </w:t>
      </w:r>
      <w:r w:rsidRPr="00852EC1">
        <w:rPr>
          <w:szCs w:val="20"/>
        </w:rPr>
        <w:t xml:space="preserve">zagrożonych zwolnieniem z pracy, działalność na rzecz osób w wieku emerytalnym, przeciwdziałanie uzależnieniom i patologiom społecznym, aktywizacja zawodowa i społeczna osób zagrożonych wykluczeniem społecznym lub wykluczonych, wspieranie osób starszych i niepełnosprawnych fizycznie i intelektualnie. </w:t>
      </w:r>
    </w:p>
    <w:p w:rsidR="00ED6020" w:rsidRPr="00852EC1" w:rsidRDefault="00ED6020" w:rsidP="00ED6020">
      <w:pPr>
        <w:rPr>
          <w:rFonts w:cs="TiepoloItcTEE-Book"/>
          <w:b/>
          <w:bCs/>
          <w:szCs w:val="20"/>
        </w:rPr>
      </w:pPr>
    </w:p>
    <w:p w:rsidR="00ED6020" w:rsidRPr="00852EC1" w:rsidRDefault="00ED6020" w:rsidP="00852EC1">
      <w:pPr>
        <w:jc w:val="both"/>
        <w:rPr>
          <w:szCs w:val="20"/>
        </w:rPr>
      </w:pPr>
      <w:r w:rsidRPr="00852EC1">
        <w:rPr>
          <w:rFonts w:cs="TiepoloItcTEE-Book"/>
          <w:b/>
          <w:bCs/>
          <w:szCs w:val="20"/>
        </w:rPr>
        <w:t>ZHP – Hufiec Bytom</w:t>
      </w:r>
      <w:r w:rsidR="00852EC1" w:rsidRPr="00852EC1">
        <w:rPr>
          <w:rFonts w:cs="TiepoloItcTEE-Book"/>
          <w:b/>
          <w:bCs/>
          <w:szCs w:val="20"/>
        </w:rPr>
        <w:tab/>
      </w:r>
      <w:r w:rsidRPr="00852EC1">
        <w:rPr>
          <w:rFonts w:cs="TiepoloItcTEE-Book"/>
          <w:szCs w:val="20"/>
        </w:rPr>
        <w:t xml:space="preserve"> </w:t>
      </w:r>
      <w:r w:rsidRPr="00852EC1">
        <w:rPr>
          <w:rFonts w:cs="TiepoloItcTEE-Book"/>
          <w:szCs w:val="20"/>
        </w:rPr>
        <w:br/>
        <w:t>Na obszarze rewitalizacji aktywnie działa harcerstwo. Hufiec ZHP Bytom jest organizatorem obozów letnich i</w:t>
      </w:r>
      <w:r w:rsidR="00852EC1" w:rsidRPr="00852EC1">
        <w:rPr>
          <w:rFonts w:cs="TiepoloItcTEE-Book"/>
          <w:szCs w:val="20"/>
        </w:rPr>
        <w:t> </w:t>
      </w:r>
      <w:r w:rsidRPr="00852EC1">
        <w:rPr>
          <w:rFonts w:cs="TiepoloItcTEE-Book"/>
          <w:szCs w:val="20"/>
        </w:rPr>
        <w:t>zimowych. Komenda zarządza dwoma harcerskimi bazami turystyczno-noclegowymi, które są zlokalizowane w</w:t>
      </w:r>
      <w:r w:rsidR="00852EC1" w:rsidRPr="00852EC1">
        <w:rPr>
          <w:rFonts w:cs="TiepoloItcTEE-Book"/>
          <w:szCs w:val="20"/>
        </w:rPr>
        <w:t> </w:t>
      </w:r>
      <w:r w:rsidRPr="00852EC1">
        <w:rPr>
          <w:rFonts w:cs="TiepoloItcTEE-Book"/>
          <w:szCs w:val="20"/>
        </w:rPr>
        <w:t xml:space="preserve">Kokotku i Przeczycach. </w:t>
      </w:r>
    </w:p>
    <w:p w:rsidR="00ED6020" w:rsidRPr="00852EC1" w:rsidRDefault="00ED6020" w:rsidP="00ED6020">
      <w:pPr>
        <w:rPr>
          <w:szCs w:val="20"/>
        </w:rPr>
      </w:pPr>
    </w:p>
    <w:p w:rsidR="0085520F" w:rsidRPr="00852EC1" w:rsidRDefault="0085520F" w:rsidP="0085520F">
      <w:pPr>
        <w:jc w:val="both"/>
        <w:rPr>
          <w:rFonts w:ascii="Calibri" w:hAnsi="Calibri" w:cs="Cambria"/>
          <w:szCs w:val="20"/>
          <w:lang w:val="cs-CZ"/>
        </w:rPr>
      </w:pPr>
      <w:r w:rsidRPr="00852EC1">
        <w:rPr>
          <w:rFonts w:ascii="Calibri" w:hAnsi="Calibri" w:cs="Cambria"/>
          <w:b/>
          <w:szCs w:val="20"/>
          <w:lang w:val="cs-CZ"/>
        </w:rPr>
        <w:t>Fundacja „INICJATYWA”</w:t>
      </w:r>
      <w:r w:rsidRPr="00852EC1">
        <w:rPr>
          <w:rFonts w:ascii="Calibri" w:hAnsi="Calibri" w:cs="Cambria"/>
          <w:szCs w:val="20"/>
          <w:lang w:val="cs-CZ"/>
        </w:rPr>
        <w:t xml:space="preserve"> </w:t>
      </w:r>
    </w:p>
    <w:p w:rsidR="00A40326" w:rsidRDefault="0085520F" w:rsidP="0085520F">
      <w:pPr>
        <w:jc w:val="both"/>
        <w:rPr>
          <w:rFonts w:ascii="Calibri" w:hAnsi="Calibri" w:cs="Cambria"/>
          <w:szCs w:val="20"/>
          <w:lang w:val="cs-CZ"/>
        </w:rPr>
      </w:pPr>
      <w:r w:rsidRPr="00852EC1">
        <w:rPr>
          <w:rFonts w:ascii="Calibri" w:hAnsi="Calibri" w:cs="Cambria"/>
          <w:szCs w:val="20"/>
          <w:lang w:val="cs-CZ"/>
        </w:rPr>
        <w:t>Fundacja od momentu swojego powstania (2014) zajmuje się problematyką rewitalizacji społeczności lokalnej Miasta. Działalność Fundacji opiera się na integrowaniu szeroko pojmowanego środowiska obywatelskiego, ruchów społecznych i grup mniejszościowych. Realizowane działania Fundacji w zakresie rewitalizacji opierają się na wykorzystywaniu kompleksowych, zindywidualizowanych instrumentów aktywnej integracji. Fundacja prowadzi działania integrujące społeczność lokalną wykorzystując przy tym różne metody pracy ze społecznością lokalną – indywidualną, grupową oraz środowiskową.</w:t>
      </w:r>
    </w:p>
    <w:p w:rsidR="0085520F" w:rsidRPr="00852EC1" w:rsidRDefault="0085520F" w:rsidP="0085520F">
      <w:pPr>
        <w:jc w:val="both"/>
        <w:rPr>
          <w:rFonts w:ascii="Calibri" w:hAnsi="Calibri" w:cs="Cambria"/>
          <w:szCs w:val="20"/>
          <w:lang w:val="cs-CZ"/>
        </w:rPr>
      </w:pPr>
      <w:r w:rsidRPr="00852EC1">
        <w:rPr>
          <w:rFonts w:ascii="Calibri" w:hAnsi="Calibri" w:cs="Cambria"/>
          <w:szCs w:val="20"/>
          <w:lang w:val="cs-CZ"/>
        </w:rPr>
        <w:t xml:space="preserve"> </w:t>
      </w:r>
    </w:p>
    <w:p w:rsidR="0085520F" w:rsidRPr="00852EC1" w:rsidRDefault="0085520F" w:rsidP="0085520F">
      <w:pPr>
        <w:jc w:val="both"/>
        <w:rPr>
          <w:rFonts w:ascii="Calibri" w:hAnsi="Calibri" w:cs="Cambria"/>
          <w:b/>
          <w:szCs w:val="20"/>
          <w:lang w:val="cs-CZ"/>
        </w:rPr>
      </w:pPr>
      <w:r w:rsidRPr="00852EC1">
        <w:rPr>
          <w:rFonts w:ascii="Calibri" w:hAnsi="Calibri" w:cs="Cambria"/>
          <w:b/>
          <w:szCs w:val="20"/>
          <w:lang w:val="cs-CZ"/>
        </w:rPr>
        <w:t>Centrum Misji i Ewangelizacji Koś</w:t>
      </w:r>
      <w:r w:rsidR="009E23D3">
        <w:rPr>
          <w:rFonts w:ascii="Calibri" w:hAnsi="Calibri" w:cs="Cambria"/>
          <w:b/>
          <w:szCs w:val="20"/>
          <w:lang w:val="cs-CZ"/>
        </w:rPr>
        <w:t>cioła Ewangelicko-Augsburskiego</w:t>
      </w:r>
    </w:p>
    <w:p w:rsidR="0085520F" w:rsidRPr="00852EC1" w:rsidRDefault="0085520F" w:rsidP="0085520F">
      <w:pPr>
        <w:jc w:val="both"/>
        <w:rPr>
          <w:rFonts w:ascii="Calibri" w:hAnsi="Calibri" w:cs="Verdana"/>
          <w:szCs w:val="20"/>
        </w:rPr>
      </w:pPr>
      <w:r w:rsidRPr="00852EC1">
        <w:rPr>
          <w:rFonts w:ascii="Calibri" w:hAnsi="Calibri" w:cs="Cambria"/>
          <w:szCs w:val="20"/>
          <w:lang w:val="cs-CZ"/>
        </w:rPr>
        <w:t xml:space="preserve">Centrum aktywnie działa na rzecz osob wykluczonych – funkcjonująca w ramach niego </w:t>
      </w:r>
      <w:r w:rsidRPr="00852EC1">
        <w:rPr>
          <w:rFonts w:ascii="Calibri" w:hAnsi="Calibri" w:cs="Verdana"/>
          <w:b/>
          <w:bCs/>
          <w:szCs w:val="20"/>
        </w:rPr>
        <w:t>Grupa Pedagogów Ulicy (streetworkerów)</w:t>
      </w:r>
      <w:r w:rsidRPr="00852EC1">
        <w:rPr>
          <w:rFonts w:ascii="Calibri" w:hAnsi="Calibri" w:cs="Verdana"/>
          <w:szCs w:val="20"/>
        </w:rPr>
        <w:t xml:space="preserve"> UNO działa od 2010 roku i realizuje program z zakresu pedagogiki ulicy w dzielnicach Bytomia - Bobrek i Rozbark. Jego celem jest wsparcie i rozwój dzieci marginalizowanych społecznie oraz towarzyszenie ich rodzinom. Pedagodzy pracują tam, gdzie można spotkać dzieci i młodzież, realizując z nimi zajęcia z zakresu animacji, warsztaty oraz projekty artystyczno-społeczne.</w:t>
      </w:r>
    </w:p>
    <w:p w:rsidR="0085520F" w:rsidRPr="00852EC1" w:rsidRDefault="0085520F" w:rsidP="003358E1">
      <w:pPr>
        <w:spacing w:line="192" w:lineRule="auto"/>
        <w:jc w:val="both"/>
        <w:rPr>
          <w:rFonts w:ascii="Calibri" w:hAnsi="Calibri" w:cs="Lato-Regular"/>
          <w:b/>
          <w:szCs w:val="20"/>
        </w:rPr>
      </w:pPr>
      <w:r w:rsidRPr="00852EC1">
        <w:rPr>
          <w:rFonts w:ascii="Calibri" w:hAnsi="Calibri" w:cs="Lato-Regular"/>
          <w:b/>
          <w:szCs w:val="20"/>
        </w:rPr>
        <w:lastRenderedPageBreak/>
        <w:t xml:space="preserve">Polskie Stowarzyszenia Na Rzecz Osób z Niepełnosprawnością Intelektualną (wcześniej z Upośledzeniem Umysłowym) Koło w Bytomiu </w:t>
      </w:r>
    </w:p>
    <w:p w:rsidR="0085520F" w:rsidRPr="00852EC1" w:rsidRDefault="0085520F" w:rsidP="00431D29">
      <w:pPr>
        <w:spacing w:after="120"/>
        <w:jc w:val="both"/>
        <w:rPr>
          <w:rFonts w:ascii="Calibri" w:hAnsi="Calibri" w:cs="Lato-Regular"/>
          <w:szCs w:val="20"/>
        </w:rPr>
      </w:pPr>
      <w:r w:rsidRPr="00852EC1">
        <w:rPr>
          <w:rFonts w:ascii="Calibri" w:hAnsi="Calibri" w:cs="Lato-Regular"/>
          <w:szCs w:val="20"/>
        </w:rPr>
        <w:t>Stowarzyszenie powstało w październiku 1993 roku, od początku aktywnie działając na rzecz osób niepełnosprawnych umysłowo. Obecne działania Stowarzyszenia obejmują szerokie spektrum interwencji prowadzonej na rzecz kompleksowego włączania osób wykluczonych z tytułu niepełnosprawności intelektualnej – poprzez placówki takie jak: Ośro</w:t>
      </w:r>
      <w:r w:rsidR="0033464A">
        <w:rPr>
          <w:rFonts w:ascii="Calibri" w:hAnsi="Calibri" w:cs="Lato-Regular"/>
          <w:szCs w:val="20"/>
        </w:rPr>
        <w:t>dek Rehabilitacyjno-Edukacyjno-</w:t>
      </w:r>
      <w:r w:rsidRPr="00852EC1">
        <w:rPr>
          <w:rFonts w:ascii="Calibri" w:hAnsi="Calibri" w:cs="Lato-Regular"/>
          <w:szCs w:val="20"/>
        </w:rPr>
        <w:t xml:space="preserve">Wychowawczy z Punktem Wczesnej Interwencji, Warsztat Terapii Zajęciowej, Mieszkania Chronione – Hostel czy Centrum Doradztwa Zawodowego i Wspierania Osób Niepełnosprawnych Intelektualnie. </w:t>
      </w:r>
    </w:p>
    <w:p w:rsidR="0085520F" w:rsidRPr="00852EC1" w:rsidRDefault="0085520F" w:rsidP="0085520F">
      <w:pPr>
        <w:jc w:val="both"/>
        <w:rPr>
          <w:rFonts w:ascii="Calibri" w:hAnsi="Calibri" w:cs="Lato-Regular"/>
          <w:szCs w:val="20"/>
        </w:rPr>
      </w:pPr>
      <w:r w:rsidRPr="00852EC1">
        <w:rPr>
          <w:rFonts w:ascii="Calibri" w:hAnsi="Calibri" w:cs="Lato-Regular"/>
          <w:szCs w:val="20"/>
        </w:rPr>
        <w:t xml:space="preserve"> </w:t>
      </w:r>
      <w:r w:rsidR="00852EC1">
        <w:rPr>
          <w:rFonts w:ascii="Calibri" w:hAnsi="Calibri" w:cs="Lato-Regular"/>
          <w:szCs w:val="20"/>
        </w:rPr>
        <w:tab/>
      </w:r>
      <w:r w:rsidRPr="00852EC1">
        <w:rPr>
          <w:rFonts w:ascii="Calibri" w:hAnsi="Calibri" w:cs="Lato-Regular"/>
          <w:szCs w:val="20"/>
        </w:rPr>
        <w:t xml:space="preserve">Powyżej wymienione podmioty to tylko niektóre spośród licznych organizacji pozarządowych, aktywnie działających w obszarze rewitalizacji. O ich potencjalne świadczy fakt, ze większość z nich aktywnie ubiegać się będzie o środki na przedsięwzięcia rewitalizacyjne w ramach konkursów RPO WSL ogłaszanych dla Obszaru Strategicznej Interwencji - ich pomysły zostały uwzględnione w </w:t>
      </w:r>
      <w:r w:rsidR="00852EC1">
        <w:rPr>
          <w:rFonts w:ascii="Calibri" w:hAnsi="Calibri" w:cs="Lato-Regular"/>
          <w:szCs w:val="20"/>
        </w:rPr>
        <w:t>„</w:t>
      </w:r>
      <w:r w:rsidRPr="00852EC1">
        <w:rPr>
          <w:rFonts w:ascii="Calibri" w:hAnsi="Calibri" w:cs="Lato-Regular"/>
          <w:szCs w:val="20"/>
        </w:rPr>
        <w:t>Gminnym Progr</w:t>
      </w:r>
      <w:r w:rsidR="00852EC1">
        <w:rPr>
          <w:rFonts w:ascii="Calibri" w:hAnsi="Calibri" w:cs="Lato-Regular"/>
          <w:szCs w:val="20"/>
        </w:rPr>
        <w:t xml:space="preserve">amie Rewitalizacji. Bytom 2020+”. </w:t>
      </w:r>
      <w:r w:rsidRPr="00852EC1">
        <w:rPr>
          <w:rFonts w:ascii="Calibri" w:hAnsi="Calibri" w:cs="Lato-Regular"/>
          <w:szCs w:val="20"/>
        </w:rPr>
        <w:t xml:space="preserve">Dużym potencjałem dysponują również stowarzyszenia, które poprzez profil swej działalności trwale związane są z miastem i z obszarem rewitalizacji – są to m.in. Towarzystwo Miłośników Bytomia, Stowarzyszenie Górnośląskich Kolei Wąskotorowych czy Inicjatywa ulicy Mickiewicza Bytom. </w:t>
      </w:r>
    </w:p>
    <w:p w:rsidR="00ED6020" w:rsidRPr="00852EC1" w:rsidRDefault="001A2B0F" w:rsidP="00852EC1">
      <w:pPr>
        <w:ind w:firstLine="708"/>
        <w:jc w:val="both"/>
        <w:rPr>
          <w:szCs w:val="20"/>
        </w:rPr>
      </w:pPr>
      <w:r w:rsidRPr="00852EC1">
        <w:rPr>
          <w:szCs w:val="20"/>
        </w:rPr>
        <w:t xml:space="preserve">Organizacje pozarządowe realizują zadania powierzone im przez gminę w ramach konkursów. W budżecie miasta na 2016 r. przeznaczono na działania w </w:t>
      </w:r>
      <w:r w:rsidR="00AC0EC6">
        <w:rPr>
          <w:szCs w:val="20"/>
        </w:rPr>
        <w:t>dziedzinie kultury 297 tys. zł. S</w:t>
      </w:r>
      <w:r w:rsidRPr="00852EC1">
        <w:rPr>
          <w:szCs w:val="20"/>
        </w:rPr>
        <w:t>uma ta została przeznaczona na 42 wydarzenia realizowane przez lokalne podmioty. Większość imprez kulturalnych zaplanowano w centralnych podobszarach rewitalizacji. Jednak oddźwięk mieszkańców na te wydarzenia jest niewystarczający. Mieszkańcy wykazują niewielką aktywność i chęć udziału w proponowanych przez organizacje pozarządowe wydarzeniach. Taka sytuacja może wynikać z paru powodów.  Jednym z nich jest podejmowanie przez mieszkańców aktywności w najbliższym otoczeniu domu – zabudowy wielorodzinnej w formie biernej (spędzanie czasu na ławce lub na placu zabaw z dziećmi). Innym powodem może być brak dostępu lub niewystarczający zasięg prze</w:t>
      </w:r>
      <w:r w:rsidR="0033464A">
        <w:rPr>
          <w:szCs w:val="20"/>
        </w:rPr>
        <w:t>kazywanych informacji o wydarzeniach</w:t>
      </w:r>
      <w:r w:rsidRPr="00852EC1">
        <w:rPr>
          <w:szCs w:val="20"/>
        </w:rPr>
        <w:t>, co powoduje, że mieszkańcy nie mają wiedzy o podejmowanych w mieście inicjatywach. Natomiast duże wydarzenia, koncerty są reklamowane w</w:t>
      </w:r>
      <w:r w:rsidR="0033464A">
        <w:rPr>
          <w:szCs w:val="20"/>
        </w:rPr>
        <w:t> </w:t>
      </w:r>
      <w:r w:rsidRPr="00852EC1">
        <w:rPr>
          <w:szCs w:val="20"/>
        </w:rPr>
        <w:t>mieście i przyciągają duże grupy mieszkańców.</w:t>
      </w:r>
      <w:r w:rsidR="00431D29">
        <w:rPr>
          <w:szCs w:val="20"/>
        </w:rPr>
        <w:t xml:space="preserve"> </w:t>
      </w:r>
      <w:r w:rsidRPr="00852EC1">
        <w:rPr>
          <w:szCs w:val="20"/>
        </w:rPr>
        <w:t>Na mapie zaznaczono organizacje, które otrzymały dotacje w</w:t>
      </w:r>
      <w:r w:rsidR="00431D29">
        <w:rPr>
          <w:szCs w:val="20"/>
        </w:rPr>
        <w:t> </w:t>
      </w:r>
      <w:r w:rsidRPr="00852EC1">
        <w:rPr>
          <w:szCs w:val="20"/>
        </w:rPr>
        <w:t>dziedzinie kultury w 2016 r. Większość z</w:t>
      </w:r>
      <w:r w:rsidR="00676826">
        <w:rPr>
          <w:szCs w:val="20"/>
        </w:rPr>
        <w:t> </w:t>
      </w:r>
      <w:r w:rsidRPr="00852EC1">
        <w:rPr>
          <w:szCs w:val="20"/>
        </w:rPr>
        <w:t xml:space="preserve">nich znajduje się na obszarze rewitalizacji. </w:t>
      </w:r>
    </w:p>
    <w:p w:rsidR="00ED6020" w:rsidRPr="003358E1" w:rsidRDefault="00ED6020" w:rsidP="00ED6020">
      <w:pPr>
        <w:rPr>
          <w:sz w:val="14"/>
          <w:szCs w:val="20"/>
        </w:rPr>
      </w:pPr>
    </w:p>
    <w:p w:rsidR="001C2FD4" w:rsidRPr="00AE2BC8" w:rsidRDefault="008F4DC5" w:rsidP="00B640B0">
      <w:pPr>
        <w:pStyle w:val="Legenda"/>
        <w:rPr>
          <w:rFonts w:ascii="Calibri" w:eastAsia="Calibri" w:hAnsi="Calibri"/>
          <w:szCs w:val="24"/>
        </w:rPr>
      </w:pPr>
      <w:bookmarkStart w:id="7813" w:name="_Toc191972655"/>
      <w:r w:rsidRPr="00AE2BC8">
        <w:rPr>
          <w:rFonts w:ascii="Calibri" w:hAnsi="Calibri"/>
        </w:rPr>
        <w:t xml:space="preserve">Mapa </w:t>
      </w:r>
      <w:r w:rsidR="003972D8" w:rsidRPr="00AE2BC8">
        <w:rPr>
          <w:rFonts w:ascii="Calibri" w:hAnsi="Calibri"/>
        </w:rPr>
        <w:fldChar w:fldCharType="begin"/>
      </w:r>
      <w:r w:rsidRPr="00AE2BC8">
        <w:rPr>
          <w:rFonts w:ascii="Calibri" w:hAnsi="Calibri"/>
        </w:rPr>
        <w:instrText xml:space="preserve"> SEQ Mapa \* ARABIC </w:instrText>
      </w:r>
      <w:r w:rsidR="003972D8" w:rsidRPr="00AE2BC8">
        <w:rPr>
          <w:rFonts w:ascii="Calibri" w:hAnsi="Calibri"/>
        </w:rPr>
        <w:fldChar w:fldCharType="separate"/>
      </w:r>
      <w:r w:rsidR="00413FFE">
        <w:rPr>
          <w:rFonts w:ascii="Calibri" w:hAnsi="Calibri"/>
          <w:noProof/>
        </w:rPr>
        <w:t>43</w:t>
      </w:r>
      <w:r w:rsidR="003972D8" w:rsidRPr="00AE2BC8">
        <w:rPr>
          <w:rFonts w:ascii="Calibri" w:hAnsi="Calibri"/>
        </w:rPr>
        <w:fldChar w:fldCharType="end"/>
      </w:r>
      <w:r w:rsidRPr="00AE2BC8">
        <w:rPr>
          <w:rFonts w:ascii="Calibri" w:hAnsi="Calibri"/>
        </w:rPr>
        <w:t>.</w:t>
      </w:r>
      <w:r w:rsidR="001C2FD4" w:rsidRPr="00AE2BC8">
        <w:rPr>
          <w:rFonts w:ascii="Calibri" w:hAnsi="Calibri"/>
        </w:rPr>
        <w:t xml:space="preserve"> Dotacje udzielone organizacjom na zadania w dziedzinie kultury w 2016 r.</w:t>
      </w:r>
      <w:bookmarkEnd w:id="7812"/>
      <w:bookmarkEnd w:id="7813"/>
      <w:r w:rsidR="001C2FD4" w:rsidRPr="00AE2BC8">
        <w:rPr>
          <w:rFonts w:ascii="Calibri" w:hAnsi="Calibri"/>
        </w:rPr>
        <w:t xml:space="preserve"> </w:t>
      </w:r>
    </w:p>
    <w:p w:rsidR="001C2FD4" w:rsidRPr="007E3578" w:rsidRDefault="0043168D" w:rsidP="00B640B0">
      <w:pPr>
        <w:jc w:val="center"/>
      </w:pPr>
      <w:r>
        <w:rPr>
          <w:noProof/>
        </w:rPr>
        <w:drawing>
          <wp:inline distT="0" distB="0" distL="0" distR="0">
            <wp:extent cx="5400000" cy="3688266"/>
            <wp:effectExtent l="19050" t="0" r="0" b="0"/>
            <wp:docPr id="27" name="Obraz 1" descr="C:\Users\TT\Dropbox\irm-bytom-mapy\wydruki\564 Dotacje na kulturę i turystykę udzielone w 20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Users\TT\Dropbox\irm-bytom-mapy\wydruki\564 Dotacje na kulturę i turystykę udzielone w 2016.png"/>
                    <pic:cNvPicPr>
                      <a:picLocks noChangeAspect="1" noChangeArrowheads="1"/>
                    </pic:cNvPicPr>
                  </pic:nvPicPr>
                  <pic:blipFill>
                    <a:blip r:embed="rId85" cstate="print"/>
                    <a:srcRect t="1236" b="2336"/>
                    <a:stretch>
                      <a:fillRect/>
                    </a:stretch>
                  </pic:blipFill>
                  <pic:spPr bwMode="auto">
                    <a:xfrm>
                      <a:off x="0" y="0"/>
                      <a:ext cx="5400000" cy="3688266"/>
                    </a:xfrm>
                    <a:prstGeom prst="rect">
                      <a:avLst/>
                    </a:prstGeom>
                    <a:noFill/>
                    <a:ln w="9525">
                      <a:noFill/>
                      <a:miter lim="800000"/>
                      <a:headEnd/>
                      <a:tailEnd/>
                    </a:ln>
                  </pic:spPr>
                </pic:pic>
              </a:graphicData>
            </a:graphic>
          </wp:inline>
        </w:drawing>
      </w:r>
    </w:p>
    <w:p w:rsidR="00804BD2" w:rsidRPr="005F27F5" w:rsidRDefault="00804BD2" w:rsidP="003358E1">
      <w:pPr>
        <w:autoSpaceDE w:val="0"/>
        <w:autoSpaceDN w:val="0"/>
        <w:adjustRightInd w:val="0"/>
        <w:spacing w:line="168" w:lineRule="auto"/>
        <w:rPr>
          <w:rFonts w:eastAsia="Calibri" w:cs="ArialNarrow"/>
          <w:i/>
          <w:sz w:val="18"/>
          <w:szCs w:val="20"/>
        </w:rPr>
      </w:pPr>
      <w:r w:rsidRPr="005F27F5">
        <w:rPr>
          <w:rFonts w:eastAsia="Calibri" w:cs="ArialNarrow"/>
          <w:i/>
          <w:sz w:val="18"/>
          <w:szCs w:val="20"/>
        </w:rPr>
        <w:t xml:space="preserve">Źródło: Opracowanie </w:t>
      </w:r>
      <w:r>
        <w:rPr>
          <w:rFonts w:eastAsia="Calibri" w:cs="ArialNarrow"/>
          <w:i/>
          <w:sz w:val="18"/>
          <w:szCs w:val="20"/>
        </w:rPr>
        <w:t>Instytutu Rozwoju Miast</w:t>
      </w:r>
    </w:p>
    <w:p w:rsidR="008535E2" w:rsidRPr="00676826" w:rsidRDefault="001C2FD4" w:rsidP="003358E1">
      <w:pPr>
        <w:jc w:val="both"/>
        <w:rPr>
          <w:szCs w:val="20"/>
        </w:rPr>
      </w:pPr>
      <w:r>
        <w:lastRenderedPageBreak/>
        <w:t xml:space="preserve"> </w:t>
      </w:r>
      <w:r w:rsidR="004F2090">
        <w:tab/>
      </w:r>
      <w:r w:rsidR="008535E2" w:rsidRPr="00676826">
        <w:rPr>
          <w:szCs w:val="20"/>
        </w:rPr>
        <w:t>Oferta organizacji pozarządowych jest często uzupełniana przez parafie aktywnie działające na rzecz osób wykluczonych w obszarze rewitalizacji. Do najbardziej aktywnych zaliczyć można parafie tak jak:</w:t>
      </w:r>
    </w:p>
    <w:p w:rsidR="008535E2" w:rsidRPr="004220FD" w:rsidRDefault="008535E2" w:rsidP="008535E2">
      <w:pPr>
        <w:rPr>
          <w:sz w:val="18"/>
          <w:szCs w:val="20"/>
        </w:rPr>
      </w:pPr>
    </w:p>
    <w:p w:rsidR="008535E2" w:rsidRPr="00676826" w:rsidRDefault="008535E2" w:rsidP="008535E2">
      <w:pPr>
        <w:rPr>
          <w:b/>
          <w:bCs/>
          <w:szCs w:val="20"/>
        </w:rPr>
      </w:pPr>
      <w:r w:rsidRPr="00676826">
        <w:rPr>
          <w:b/>
          <w:bCs/>
          <w:szCs w:val="20"/>
        </w:rPr>
        <w:t>Para</w:t>
      </w:r>
      <w:r w:rsidR="009E23D3">
        <w:rPr>
          <w:b/>
          <w:bCs/>
          <w:szCs w:val="20"/>
        </w:rPr>
        <w:t>fia Św. Krzyża Bytom Miechowice</w:t>
      </w:r>
    </w:p>
    <w:p w:rsidR="008535E2" w:rsidRPr="00676826" w:rsidRDefault="008535E2" w:rsidP="00676826">
      <w:pPr>
        <w:jc w:val="both"/>
        <w:rPr>
          <w:szCs w:val="20"/>
        </w:rPr>
      </w:pPr>
      <w:r w:rsidRPr="00676826">
        <w:rPr>
          <w:szCs w:val="20"/>
        </w:rPr>
        <w:t>Parafia prowadzi szeroką działalność społeczną i kulturalną dla parafian oraz innych mieszkańców Bytomia w</w:t>
      </w:r>
      <w:r w:rsidR="00676826">
        <w:rPr>
          <w:szCs w:val="20"/>
        </w:rPr>
        <w:t> </w:t>
      </w:r>
      <w:r w:rsidRPr="00676826">
        <w:rPr>
          <w:szCs w:val="20"/>
        </w:rPr>
        <w:t>tym obszarów rewitalizowanych. Do głównych inicjatyw należą: chór parafialny, młodzieżowy i dziecięcy zespoły teatralne czy też klub seniora. Działalność parafii obejmuje również organizację imprez kulturalnych (w</w:t>
      </w:r>
      <w:r w:rsidR="00676826">
        <w:rPr>
          <w:szCs w:val="20"/>
        </w:rPr>
        <w:t> </w:t>
      </w:r>
      <w:r w:rsidRPr="00676826">
        <w:rPr>
          <w:szCs w:val="20"/>
        </w:rPr>
        <w:t>tym koncerty i festyny), półkolonii czy też darmowych zabaw i imprez dla dzieci i młodzieży. W działalności Parafii uczestniczy rocznie ok. 6 tys. osób.</w:t>
      </w:r>
    </w:p>
    <w:p w:rsidR="008535E2" w:rsidRPr="004220FD" w:rsidRDefault="008535E2" w:rsidP="008535E2">
      <w:pPr>
        <w:rPr>
          <w:sz w:val="16"/>
          <w:szCs w:val="20"/>
        </w:rPr>
      </w:pPr>
    </w:p>
    <w:p w:rsidR="008535E2" w:rsidRPr="00676826" w:rsidRDefault="009E23D3" w:rsidP="008535E2">
      <w:pPr>
        <w:rPr>
          <w:b/>
          <w:szCs w:val="20"/>
        </w:rPr>
      </w:pPr>
      <w:r>
        <w:rPr>
          <w:b/>
          <w:szCs w:val="20"/>
        </w:rPr>
        <w:t>Parafia Św. Trójcy</w:t>
      </w:r>
    </w:p>
    <w:p w:rsidR="008535E2" w:rsidRDefault="008535E2" w:rsidP="00676826">
      <w:pPr>
        <w:pStyle w:val="Textbody"/>
        <w:spacing w:after="0"/>
        <w:jc w:val="both"/>
        <w:rPr>
          <w:rFonts w:asciiTheme="minorHAnsi" w:hAnsiTheme="minorHAnsi" w:cs="Times New Roman"/>
          <w:color w:val="auto"/>
          <w:sz w:val="20"/>
          <w:szCs w:val="20"/>
          <w:lang w:val="pl-PL"/>
        </w:rPr>
      </w:pPr>
      <w:r w:rsidRPr="00676826">
        <w:rPr>
          <w:rFonts w:asciiTheme="minorHAnsi" w:hAnsiTheme="minorHAnsi" w:cs="Times New Roman"/>
          <w:color w:val="auto"/>
          <w:sz w:val="20"/>
          <w:szCs w:val="20"/>
          <w:lang w:val="pl-PL"/>
        </w:rPr>
        <w:t>Aktywność społeczna Parafii Świętej Trójcy w Bytomiu płynie z jej misji i charakterystycznego położenie w</w:t>
      </w:r>
      <w:r w:rsidR="00676826">
        <w:rPr>
          <w:rFonts w:asciiTheme="minorHAnsi" w:hAnsiTheme="minorHAnsi" w:cs="Times New Roman"/>
          <w:color w:val="auto"/>
          <w:sz w:val="20"/>
          <w:szCs w:val="20"/>
          <w:lang w:val="pl-PL"/>
        </w:rPr>
        <w:t> </w:t>
      </w:r>
      <w:r w:rsidRPr="00676826">
        <w:rPr>
          <w:rFonts w:asciiTheme="minorHAnsi" w:hAnsiTheme="minorHAnsi" w:cs="Times New Roman"/>
          <w:color w:val="auto"/>
          <w:sz w:val="20"/>
          <w:szCs w:val="20"/>
          <w:lang w:val="pl-PL"/>
        </w:rPr>
        <w:t>ścisłym Śródmieściu - w części miasta silnie zdegradowanej w tkance społecznej i infrastrukturalnej. Działania parafii obejmują m.in.: organizację kolonii charytatywnych, festynów, koncertów, zajęć świetlicowych czy też wyjazdów o charakterze pielgrzymkowym. Parafia prowadzi również koło teatralne dla dzieci i młodzieży.</w:t>
      </w:r>
    </w:p>
    <w:p w:rsidR="00676826" w:rsidRPr="004220FD" w:rsidRDefault="00676826" w:rsidP="00676826">
      <w:pPr>
        <w:pStyle w:val="Textbody"/>
        <w:spacing w:after="0"/>
        <w:jc w:val="both"/>
        <w:rPr>
          <w:rFonts w:asciiTheme="minorHAnsi" w:hAnsiTheme="minorHAnsi" w:cs="Times New Roman"/>
          <w:color w:val="auto"/>
          <w:sz w:val="16"/>
          <w:szCs w:val="20"/>
          <w:lang w:val="pl-PL"/>
        </w:rPr>
      </w:pPr>
    </w:p>
    <w:p w:rsidR="008535E2" w:rsidRPr="00676826" w:rsidRDefault="009E23D3" w:rsidP="00676826">
      <w:pPr>
        <w:pStyle w:val="Textbody"/>
        <w:spacing w:after="0"/>
        <w:jc w:val="both"/>
        <w:rPr>
          <w:rFonts w:asciiTheme="minorHAnsi" w:hAnsiTheme="minorHAnsi" w:cs="Times New Roman"/>
          <w:b/>
          <w:color w:val="auto"/>
          <w:sz w:val="20"/>
          <w:szCs w:val="20"/>
          <w:lang w:val="pl-PL"/>
        </w:rPr>
      </w:pPr>
      <w:r>
        <w:rPr>
          <w:rFonts w:asciiTheme="minorHAnsi" w:hAnsiTheme="minorHAnsi" w:cs="Times New Roman"/>
          <w:b/>
          <w:color w:val="auto"/>
          <w:sz w:val="20"/>
          <w:szCs w:val="20"/>
          <w:lang w:val="pl-PL"/>
        </w:rPr>
        <w:t>Parafia Św. Wojciecha</w:t>
      </w:r>
    </w:p>
    <w:p w:rsidR="008535E2" w:rsidRDefault="008535E2" w:rsidP="00676826">
      <w:pPr>
        <w:pStyle w:val="Textbody"/>
        <w:spacing w:after="0"/>
        <w:jc w:val="both"/>
        <w:rPr>
          <w:rFonts w:asciiTheme="minorHAnsi" w:hAnsiTheme="minorHAnsi" w:cs="Times New Roman"/>
          <w:color w:val="auto"/>
          <w:sz w:val="20"/>
          <w:szCs w:val="20"/>
          <w:lang w:val="pl-PL"/>
        </w:rPr>
      </w:pPr>
      <w:r w:rsidRPr="00676826">
        <w:rPr>
          <w:rFonts w:asciiTheme="minorHAnsi" w:hAnsiTheme="minorHAnsi" w:cs="Times New Roman"/>
          <w:color w:val="auto"/>
          <w:sz w:val="20"/>
          <w:szCs w:val="20"/>
          <w:lang w:val="pl-PL"/>
        </w:rPr>
        <w:t>Obok działalności religijnej, parafia realizuje działania edukacyjne (katechezy, spotkania), kulturalne (koncerty, wystawy) oraz społeczne (zbiórki żywności dla najuboższych, dożyw</w:t>
      </w:r>
      <w:r w:rsidR="00514E5B">
        <w:rPr>
          <w:rFonts w:asciiTheme="minorHAnsi" w:hAnsiTheme="minorHAnsi" w:cs="Times New Roman"/>
          <w:color w:val="auto"/>
          <w:sz w:val="20"/>
          <w:szCs w:val="20"/>
          <w:lang w:val="pl-PL"/>
        </w:rPr>
        <w:t>i</w:t>
      </w:r>
      <w:r w:rsidRPr="00676826">
        <w:rPr>
          <w:rFonts w:asciiTheme="minorHAnsi" w:hAnsiTheme="minorHAnsi" w:cs="Times New Roman"/>
          <w:color w:val="auto"/>
          <w:sz w:val="20"/>
          <w:szCs w:val="20"/>
          <w:lang w:val="pl-PL"/>
        </w:rPr>
        <w:t>anie potrzebujących).</w:t>
      </w:r>
    </w:p>
    <w:p w:rsidR="00676826" w:rsidRPr="004220FD" w:rsidRDefault="00676826" w:rsidP="00676826">
      <w:pPr>
        <w:pStyle w:val="Textbody"/>
        <w:spacing w:after="0"/>
        <w:jc w:val="both"/>
        <w:rPr>
          <w:rFonts w:asciiTheme="minorHAnsi" w:hAnsiTheme="minorHAnsi" w:cs="Times New Roman"/>
          <w:color w:val="auto"/>
          <w:sz w:val="16"/>
          <w:szCs w:val="20"/>
          <w:lang w:val="pl-PL"/>
        </w:rPr>
      </w:pPr>
    </w:p>
    <w:p w:rsidR="008535E2" w:rsidRPr="00676826" w:rsidRDefault="009E23D3" w:rsidP="00676826">
      <w:pPr>
        <w:pStyle w:val="Textbody"/>
        <w:spacing w:after="0"/>
        <w:jc w:val="both"/>
        <w:rPr>
          <w:rFonts w:asciiTheme="minorHAnsi" w:hAnsiTheme="minorHAnsi" w:cs="Times New Roman"/>
          <w:b/>
          <w:bCs/>
          <w:color w:val="auto"/>
          <w:sz w:val="20"/>
          <w:szCs w:val="20"/>
          <w:lang w:val="pl-PL"/>
        </w:rPr>
      </w:pPr>
      <w:r>
        <w:rPr>
          <w:rFonts w:asciiTheme="minorHAnsi" w:hAnsiTheme="minorHAnsi" w:cs="Times New Roman"/>
          <w:b/>
          <w:bCs/>
          <w:color w:val="auto"/>
          <w:sz w:val="20"/>
          <w:szCs w:val="20"/>
          <w:lang w:val="pl-PL"/>
        </w:rPr>
        <w:t>Parafia Św. Małgorzaty</w:t>
      </w:r>
    </w:p>
    <w:p w:rsidR="008535E2" w:rsidRDefault="008535E2" w:rsidP="004220FD">
      <w:pPr>
        <w:pStyle w:val="Textbody"/>
        <w:spacing w:after="0"/>
        <w:jc w:val="both"/>
        <w:rPr>
          <w:rFonts w:asciiTheme="minorHAnsi" w:hAnsiTheme="minorHAnsi"/>
          <w:color w:val="auto"/>
          <w:sz w:val="20"/>
          <w:szCs w:val="20"/>
          <w:lang w:val="pl-PL"/>
        </w:rPr>
      </w:pPr>
      <w:r w:rsidRPr="00676826">
        <w:rPr>
          <w:rFonts w:asciiTheme="minorHAnsi" w:hAnsiTheme="minorHAnsi"/>
          <w:color w:val="auto"/>
          <w:sz w:val="20"/>
          <w:szCs w:val="20"/>
          <w:lang w:val="pl-PL"/>
        </w:rPr>
        <w:t>Parafia pw. św. Małgorzaty poza działalnością podstawową, która przyczynia się do integracji społecznej parafian, zamieszkujących rewitalizowany obszar, prowadzi działalność społeczną i kulturalną dla parafian oraz innych mieszkańców Bytomia w tym obszarów rewitalizowanych. Do głównych działalności należą: comiesięczne spotkania z misjonarzami, spotkania z historykami dotyczące historii wzgórza św. Małgorzaty, organizacja wystaw związanych z historią, pracą misyjną oraz innych o tematyce religijnej i społecznej,</w:t>
      </w:r>
      <w:r w:rsidRPr="00676826">
        <w:rPr>
          <w:rFonts w:asciiTheme="minorHAnsi" w:hAnsiTheme="minorHAnsi" w:cs="Times New Roman"/>
          <w:color w:val="auto"/>
          <w:sz w:val="20"/>
          <w:szCs w:val="20"/>
          <w:lang w:val="pl-PL"/>
        </w:rPr>
        <w:t xml:space="preserve"> </w:t>
      </w:r>
      <w:r w:rsidRPr="00676826">
        <w:rPr>
          <w:rFonts w:asciiTheme="minorHAnsi" w:hAnsiTheme="minorHAnsi"/>
          <w:color w:val="auto"/>
          <w:sz w:val="20"/>
          <w:szCs w:val="20"/>
          <w:lang w:val="pl-PL"/>
        </w:rPr>
        <w:t>organizacja kursów dla seniorów, comiesięczne spotkania grupy misyjnej, koncerty kolęd w kościele.</w:t>
      </w:r>
    </w:p>
    <w:p w:rsidR="004220FD" w:rsidRPr="004220FD" w:rsidRDefault="004220FD" w:rsidP="004220FD">
      <w:pPr>
        <w:pStyle w:val="Textbody"/>
        <w:spacing w:after="0"/>
        <w:jc w:val="both"/>
        <w:rPr>
          <w:rFonts w:asciiTheme="minorHAnsi" w:hAnsiTheme="minorHAnsi" w:cs="Times New Roman"/>
          <w:color w:val="auto"/>
          <w:sz w:val="16"/>
          <w:szCs w:val="20"/>
          <w:lang w:val="pl-PL"/>
        </w:rPr>
      </w:pPr>
    </w:p>
    <w:p w:rsidR="008535E2" w:rsidRPr="00676826" w:rsidRDefault="008535E2" w:rsidP="008535E2">
      <w:pPr>
        <w:widowControl w:val="0"/>
        <w:suppressAutoHyphens/>
        <w:autoSpaceDN w:val="0"/>
        <w:textAlignment w:val="baseline"/>
        <w:rPr>
          <w:b/>
          <w:szCs w:val="20"/>
        </w:rPr>
      </w:pPr>
      <w:r w:rsidRPr="00676826">
        <w:rPr>
          <w:b/>
          <w:szCs w:val="20"/>
        </w:rPr>
        <w:t>Parafia Wniebowzięcia N</w:t>
      </w:r>
      <w:r w:rsidR="009E23D3">
        <w:rPr>
          <w:b/>
          <w:szCs w:val="20"/>
        </w:rPr>
        <w:t>MP</w:t>
      </w:r>
    </w:p>
    <w:p w:rsidR="008535E2" w:rsidRDefault="008535E2" w:rsidP="008535E2">
      <w:pPr>
        <w:jc w:val="both"/>
        <w:rPr>
          <w:szCs w:val="20"/>
        </w:rPr>
      </w:pPr>
      <w:r w:rsidRPr="00676826">
        <w:rPr>
          <w:szCs w:val="20"/>
        </w:rPr>
        <w:t>Aktywność społeczna parafii w okresie ostatnich dwóch lat obejmowała m.in.: działania na rzecz rodzin w</w:t>
      </w:r>
      <w:r w:rsidR="00676826">
        <w:rPr>
          <w:szCs w:val="20"/>
        </w:rPr>
        <w:t> </w:t>
      </w:r>
      <w:r w:rsidRPr="00676826">
        <w:rPr>
          <w:szCs w:val="20"/>
        </w:rPr>
        <w:t>ramach Centrum Pomocy Rodzinie (bezpłatne usługi prawnika, logopedy, w razie konieczności kuratora rodzinnego); działania na rzecz uzależnionych (głównie młodzieży) w ramach Poradni Uzależnień – filii Domu Nadziei w Bobrku; wydawanie żywności bezdomnym i biednym (codziennie ok. 25 os.);</w:t>
      </w:r>
      <w:r w:rsidRPr="00676826">
        <w:rPr>
          <w:rFonts w:eastAsia="Calibri"/>
          <w:szCs w:val="20"/>
          <w:lang w:eastAsia="en-US"/>
        </w:rPr>
        <w:t xml:space="preserve"> </w:t>
      </w:r>
      <w:r w:rsidRPr="00676826">
        <w:rPr>
          <w:szCs w:val="20"/>
        </w:rPr>
        <w:t>wyjazdy dzieci na zimowisko oraz na obozy letnie, spotkania Wspólnoty AA i DAA; spotkania Wspólnoty Burego Misia i</w:t>
      </w:r>
      <w:r w:rsidR="00676826">
        <w:rPr>
          <w:szCs w:val="20"/>
        </w:rPr>
        <w:t> </w:t>
      </w:r>
      <w:r w:rsidRPr="00676826">
        <w:rPr>
          <w:szCs w:val="20"/>
        </w:rPr>
        <w:t>różnorodne działania na rzecz niepełnosprawnych dzieci i młodzieży z terenu miasta; spotkania chóru mniejszości niemieckiej, spotkania Związku Emerytów i Rencistów; okolicznościowe prelekcje, odczyty i</w:t>
      </w:r>
      <w:r w:rsidR="00676826">
        <w:rPr>
          <w:szCs w:val="20"/>
        </w:rPr>
        <w:t> </w:t>
      </w:r>
      <w:r w:rsidRPr="00676826">
        <w:rPr>
          <w:szCs w:val="20"/>
        </w:rPr>
        <w:t>spotkania dla bezrobotnych, chorych organizowane w domu katechetycznym przez różne instytucje.</w:t>
      </w:r>
    </w:p>
    <w:p w:rsidR="00CC3470" w:rsidRPr="004220FD" w:rsidRDefault="00CC3470" w:rsidP="008535E2">
      <w:pPr>
        <w:jc w:val="both"/>
        <w:rPr>
          <w:sz w:val="16"/>
          <w:szCs w:val="20"/>
        </w:rPr>
      </w:pPr>
    </w:p>
    <w:p w:rsidR="00CC3470" w:rsidRPr="00676826" w:rsidRDefault="00CC3470" w:rsidP="00CC3470">
      <w:pPr>
        <w:widowControl w:val="0"/>
        <w:suppressAutoHyphens/>
        <w:autoSpaceDN w:val="0"/>
        <w:textAlignment w:val="baseline"/>
        <w:rPr>
          <w:b/>
          <w:szCs w:val="20"/>
        </w:rPr>
      </w:pPr>
      <w:r w:rsidRPr="00676826">
        <w:rPr>
          <w:b/>
          <w:szCs w:val="20"/>
        </w:rPr>
        <w:t xml:space="preserve">Parafia </w:t>
      </w:r>
      <w:r>
        <w:rPr>
          <w:b/>
          <w:szCs w:val="20"/>
        </w:rPr>
        <w:t>Św. Jacka</w:t>
      </w:r>
    </w:p>
    <w:p w:rsidR="008535E2" w:rsidRPr="00CC3470" w:rsidRDefault="00CC3470" w:rsidP="00CC3470">
      <w:pPr>
        <w:jc w:val="both"/>
        <w:rPr>
          <w:szCs w:val="20"/>
        </w:rPr>
      </w:pPr>
      <w:r w:rsidRPr="00413227">
        <w:rPr>
          <w:rStyle w:val="HTML-staaszeroko"/>
          <w:rFonts w:asciiTheme="minorHAnsi" w:hAnsiTheme="minorHAnsi"/>
        </w:rPr>
        <w:t>Parafia jest największą i najaktywniejszą organizacją społeczną w podobszarze Rozbark, działającą na rzecz  zmian lokalnej rzeczywistości przez zwiększenie integracji społecznej osób zagrożonych wykluczeniem lub wykluczonych oraz ich otoczenia. Mieszkańcy uczestnicząc w działaniach podejmowanych przez Parafię mają szansę zmniejszenia barier psychologicznych, społecznych i zdrowotnych przyczyniających się do izolacji społeczno-zawodowej. Mogą także zdobyć lub rozwinąć umiejętności i kwalifikacje ułatwiające zaistnienie w życiu społecznym.</w:t>
      </w:r>
      <w:r>
        <w:rPr>
          <w:rStyle w:val="HTML-staaszeroko"/>
          <w:rFonts w:asciiTheme="minorHAnsi" w:hAnsiTheme="minorHAnsi"/>
        </w:rPr>
        <w:t xml:space="preserve"> </w:t>
      </w:r>
      <w:r w:rsidRPr="00CC3470">
        <w:rPr>
          <w:rStyle w:val="HTML-staaszeroko"/>
          <w:rFonts w:asciiTheme="minorHAnsi" w:hAnsiTheme="minorHAnsi"/>
        </w:rPr>
        <w:t>Działalność Parafii ma głównie charakter kulturalny, w ramach której organizuje liczne imprezy, koncerty, wieczory autorskie zarówno o charakterze cyklicznym jak i okazjonalne. Prowadzi również działalność edukacyjną, w ramach której organizuje pozaszkolne zajęcia dla dzieci i młodzieży ze środowisk wykluczenia społecznego. Zajęcia dydaktyczne mają na celu wyrównanie szans poprzez rozwój intelektualny, kształtowanie tożsamości regionalnej i narodowej. W zajęciach tych bierze udział ok. 50 dzieci i młodzieży.</w:t>
      </w:r>
      <w:r w:rsidRPr="00CC3470">
        <w:rPr>
          <w:rFonts w:cs="Courier New"/>
          <w:szCs w:val="20"/>
        </w:rPr>
        <w:br/>
      </w:r>
      <w:r w:rsidRPr="00CC3470">
        <w:rPr>
          <w:rStyle w:val="HTML-staaszeroko"/>
          <w:rFonts w:asciiTheme="minorHAnsi" w:hAnsiTheme="minorHAnsi"/>
        </w:rPr>
        <w:t>Na terenie Parafii działa Katolickie Stowarzyszenie Niepełnosprawnych, które wraz z Parafią prowadzi działalność na rzecz osób niepełnosprawnych. Stowarzyszenie zajmuje się organizacją zajęć dydaktycznych, warsztatów a także uczestniczy w programach kulturalnych oraz korzysta z pomocy instytucji i jednostek tj.:</w:t>
      </w:r>
      <w:r w:rsidR="00A173CC">
        <w:rPr>
          <w:rStyle w:val="HTML-staaszeroko"/>
          <w:rFonts w:asciiTheme="minorHAnsi" w:hAnsiTheme="minorHAnsi"/>
        </w:rPr>
        <w:t> </w:t>
      </w:r>
      <w:r w:rsidRPr="00CC3470">
        <w:rPr>
          <w:rStyle w:val="HTML-staaszeroko"/>
          <w:rFonts w:asciiTheme="minorHAnsi" w:hAnsiTheme="minorHAnsi"/>
        </w:rPr>
        <w:t>Ministerstwa Kultury i Dziedzictwa Narodowego, Ministerstwa Pracy i Polityki Społecznej, Narodowego Centrum Kultury, PFRON, Ministerstwa Spraw Zagranicznych.</w:t>
      </w:r>
    </w:p>
    <w:p w:rsidR="001C2FD4" w:rsidRPr="0067419C" w:rsidRDefault="001C2FD4" w:rsidP="006D764E">
      <w:pPr>
        <w:pStyle w:val="Nagwek3"/>
        <w:numPr>
          <w:ilvl w:val="2"/>
          <w:numId w:val="448"/>
        </w:numPr>
        <w:spacing w:before="0"/>
      </w:pPr>
      <w:bookmarkStart w:id="7814" w:name="_Toc461612542"/>
      <w:bookmarkStart w:id="7815" w:name="_Toc474924949"/>
      <w:r>
        <w:lastRenderedPageBreak/>
        <w:t>Instytucje kultury</w:t>
      </w:r>
      <w:bookmarkEnd w:id="7814"/>
      <w:bookmarkEnd w:id="7815"/>
    </w:p>
    <w:p w:rsidR="0041273E" w:rsidRDefault="0041273E" w:rsidP="00C80963">
      <w:pPr>
        <w:jc w:val="both"/>
        <w:rPr>
          <w:szCs w:val="20"/>
        </w:rPr>
      </w:pPr>
    </w:p>
    <w:p w:rsidR="007B034D" w:rsidRPr="007B034D" w:rsidRDefault="000077A1" w:rsidP="006B21FE">
      <w:pPr>
        <w:pStyle w:val="Tekstpodstawowy2"/>
        <w:ind w:firstLine="708"/>
        <w:rPr>
          <w:szCs w:val="20"/>
        </w:rPr>
      </w:pPr>
      <w:r w:rsidRPr="000077A1">
        <w:rPr>
          <w:szCs w:val="20"/>
        </w:rPr>
        <w:t>Potencjał organizacji pozarządowych, działających w dziedzinie kultury na obszarze rewitalizacji oraz skupione na tym obszarze instytucje kultury to czynnik istotny, sprzyjający wyprowadzaniu miasta z kryzysu. Ośrodki kulturalne o znaczeniu ponadregionalnym i międzynarodowym znajdujące się na obszarze rewitalizacji to: Opera Śląska, Muzeum Górnośląskie, Teatr Tańca i Ruchu ROZBARK, Bytomskie Centrum Kultury (BeCeK), Centrum Sztuki Współczesnej KRONIKA. Ich działalność może przyczynić się do wytworzenia nowych obszarów działalności (sztuka, media, rozrywka, usługi), a także do poprawy sytuacji gospodarczej obszaru rewitalizacji. Spośród instytucji kultury, w tym 5 o znaczeniu międzynarodowym, 7 o znaczeniu regionalnym, 7 o znaczeniu lokalnym - w tym 2 samorządowe instytucje kultury Województwa Śląskiego, należy wymienić:</w:t>
      </w:r>
    </w:p>
    <w:p w:rsidR="00B80742" w:rsidRPr="00B80742" w:rsidRDefault="00B80742" w:rsidP="006B21FE">
      <w:pPr>
        <w:pStyle w:val="Akapitzlist"/>
        <w:numPr>
          <w:ilvl w:val="0"/>
          <w:numId w:val="170"/>
        </w:numPr>
        <w:spacing w:after="0" w:line="240" w:lineRule="auto"/>
        <w:jc w:val="both"/>
        <w:rPr>
          <w:rFonts w:asciiTheme="minorHAnsi" w:hAnsiTheme="minorHAnsi"/>
          <w:sz w:val="20"/>
          <w:szCs w:val="20"/>
        </w:rPr>
      </w:pPr>
      <w:r w:rsidRPr="00B80742">
        <w:rPr>
          <w:rFonts w:asciiTheme="minorHAnsi" w:hAnsiTheme="minorHAnsi"/>
          <w:sz w:val="20"/>
          <w:szCs w:val="20"/>
        </w:rPr>
        <w:t>Operę Śląską,</w:t>
      </w:r>
    </w:p>
    <w:p w:rsidR="00B80742" w:rsidRPr="00B80742" w:rsidRDefault="00B80742" w:rsidP="006B21FE">
      <w:pPr>
        <w:pStyle w:val="Akapitzlist"/>
        <w:numPr>
          <w:ilvl w:val="0"/>
          <w:numId w:val="170"/>
        </w:numPr>
        <w:spacing w:after="0" w:line="240" w:lineRule="auto"/>
        <w:jc w:val="both"/>
        <w:rPr>
          <w:rFonts w:asciiTheme="minorHAnsi" w:hAnsiTheme="minorHAnsi"/>
          <w:sz w:val="20"/>
          <w:szCs w:val="20"/>
        </w:rPr>
      </w:pPr>
      <w:r w:rsidRPr="00B80742">
        <w:rPr>
          <w:rFonts w:asciiTheme="minorHAnsi" w:hAnsiTheme="minorHAnsi"/>
          <w:sz w:val="20"/>
          <w:szCs w:val="20"/>
        </w:rPr>
        <w:t>Muzeum Górnośląskie</w:t>
      </w:r>
      <w:r w:rsidR="00EF4543">
        <w:rPr>
          <w:rFonts w:asciiTheme="minorHAnsi" w:hAnsiTheme="minorHAnsi"/>
          <w:sz w:val="20"/>
          <w:szCs w:val="20"/>
        </w:rPr>
        <w:t>,</w:t>
      </w:r>
    </w:p>
    <w:p w:rsidR="00B80742" w:rsidRPr="00B80742" w:rsidRDefault="00B80742" w:rsidP="006B21FE">
      <w:pPr>
        <w:pStyle w:val="Akapitzlist"/>
        <w:numPr>
          <w:ilvl w:val="0"/>
          <w:numId w:val="170"/>
        </w:numPr>
        <w:spacing w:after="0" w:line="240" w:lineRule="auto"/>
        <w:jc w:val="both"/>
        <w:rPr>
          <w:rFonts w:asciiTheme="minorHAnsi" w:hAnsiTheme="minorHAnsi"/>
          <w:sz w:val="20"/>
          <w:szCs w:val="20"/>
        </w:rPr>
      </w:pPr>
      <w:r w:rsidRPr="00B80742">
        <w:rPr>
          <w:rFonts w:asciiTheme="minorHAnsi" w:hAnsiTheme="minorHAnsi"/>
          <w:sz w:val="20"/>
          <w:szCs w:val="20"/>
        </w:rPr>
        <w:t>Bytomski Teatr Tańca i Ruchu Rozbark,</w:t>
      </w:r>
    </w:p>
    <w:p w:rsidR="00B80742" w:rsidRPr="00B80742" w:rsidRDefault="00B80742" w:rsidP="006B21FE">
      <w:pPr>
        <w:pStyle w:val="Akapitzlist"/>
        <w:numPr>
          <w:ilvl w:val="0"/>
          <w:numId w:val="170"/>
        </w:numPr>
        <w:spacing w:after="0" w:line="240" w:lineRule="auto"/>
        <w:jc w:val="both"/>
        <w:rPr>
          <w:rFonts w:asciiTheme="minorHAnsi" w:hAnsiTheme="minorHAnsi"/>
          <w:sz w:val="20"/>
          <w:szCs w:val="20"/>
        </w:rPr>
      </w:pPr>
      <w:r w:rsidRPr="00B80742">
        <w:rPr>
          <w:rFonts w:asciiTheme="minorHAnsi" w:hAnsiTheme="minorHAnsi"/>
          <w:sz w:val="20"/>
          <w:szCs w:val="20"/>
        </w:rPr>
        <w:t xml:space="preserve">Bytomskie Centrum Kultury, </w:t>
      </w:r>
    </w:p>
    <w:p w:rsidR="00B80742" w:rsidRPr="00B80742" w:rsidRDefault="00B80742" w:rsidP="006B21FE">
      <w:pPr>
        <w:pStyle w:val="Akapitzlist"/>
        <w:numPr>
          <w:ilvl w:val="0"/>
          <w:numId w:val="170"/>
        </w:numPr>
        <w:spacing w:after="0" w:line="240" w:lineRule="auto"/>
        <w:jc w:val="both"/>
        <w:rPr>
          <w:rFonts w:asciiTheme="minorHAnsi" w:hAnsiTheme="minorHAnsi"/>
          <w:sz w:val="20"/>
          <w:szCs w:val="20"/>
        </w:rPr>
      </w:pPr>
      <w:r w:rsidRPr="00B80742">
        <w:rPr>
          <w:rFonts w:asciiTheme="minorHAnsi" w:hAnsiTheme="minorHAnsi"/>
          <w:sz w:val="20"/>
          <w:szCs w:val="20"/>
        </w:rPr>
        <w:t xml:space="preserve">Centrum Sztuki Współczesnej KRONIKA. </w:t>
      </w:r>
    </w:p>
    <w:p w:rsidR="007B034D" w:rsidRPr="007B034D" w:rsidRDefault="00B80742" w:rsidP="006B21FE">
      <w:pPr>
        <w:ind w:firstLine="709"/>
        <w:jc w:val="both"/>
        <w:rPr>
          <w:rFonts w:cs="Calibri"/>
          <w:szCs w:val="20"/>
        </w:rPr>
      </w:pPr>
      <w:r w:rsidRPr="00B80742">
        <w:rPr>
          <w:rFonts w:cs="Calibri"/>
          <w:szCs w:val="20"/>
        </w:rPr>
        <w:t xml:space="preserve">Z zamieszczonej </w:t>
      </w:r>
      <w:r w:rsidRPr="006A06A2">
        <w:rPr>
          <w:rFonts w:cs="Calibri"/>
          <w:szCs w:val="20"/>
        </w:rPr>
        <w:t>mapy 4</w:t>
      </w:r>
      <w:r w:rsidR="0027609C" w:rsidRPr="006A06A2">
        <w:rPr>
          <w:rFonts w:cs="Calibri"/>
          <w:szCs w:val="20"/>
        </w:rPr>
        <w:t>7</w:t>
      </w:r>
      <w:r w:rsidRPr="00B80742">
        <w:rPr>
          <w:rFonts w:cs="Calibri"/>
          <w:szCs w:val="20"/>
        </w:rPr>
        <w:t xml:space="preserve"> wynika, że najważniejsze placówki kultury znajdują się wyłącznie w centralnym obszarze rewitalizacji.  Z ich ofert rocznie korzysta ponad 239 000 osób. W roku 2015 liczba odwiedzających kształtowała się następująco:</w:t>
      </w:r>
    </w:p>
    <w:p w:rsidR="00B80742" w:rsidRPr="00B80742" w:rsidRDefault="00B80742" w:rsidP="006B21FE">
      <w:pPr>
        <w:pStyle w:val="Akapitzlist"/>
        <w:numPr>
          <w:ilvl w:val="0"/>
          <w:numId w:val="169"/>
        </w:numPr>
        <w:spacing w:after="0" w:line="240" w:lineRule="auto"/>
        <w:jc w:val="both"/>
        <w:rPr>
          <w:rFonts w:asciiTheme="minorHAnsi" w:hAnsiTheme="minorHAnsi" w:cs="Calibri"/>
          <w:sz w:val="20"/>
          <w:szCs w:val="20"/>
        </w:rPr>
      </w:pPr>
      <w:r w:rsidRPr="00B80742">
        <w:rPr>
          <w:rFonts w:asciiTheme="minorHAnsi" w:hAnsiTheme="minorHAnsi" w:cs="Calibri"/>
          <w:sz w:val="20"/>
          <w:szCs w:val="20"/>
        </w:rPr>
        <w:t xml:space="preserve">Opera Śląską - 67 187 widzów, </w:t>
      </w:r>
    </w:p>
    <w:p w:rsidR="00B80742" w:rsidRPr="00B80742" w:rsidRDefault="00B80742" w:rsidP="006B21FE">
      <w:pPr>
        <w:pStyle w:val="Akapitzlist"/>
        <w:numPr>
          <w:ilvl w:val="0"/>
          <w:numId w:val="169"/>
        </w:numPr>
        <w:spacing w:after="0" w:line="240" w:lineRule="auto"/>
        <w:jc w:val="both"/>
        <w:rPr>
          <w:rFonts w:asciiTheme="minorHAnsi" w:hAnsiTheme="minorHAnsi" w:cs="Calibri"/>
          <w:sz w:val="20"/>
          <w:szCs w:val="20"/>
        </w:rPr>
      </w:pPr>
      <w:r w:rsidRPr="00B80742">
        <w:rPr>
          <w:rFonts w:asciiTheme="minorHAnsi" w:hAnsiTheme="minorHAnsi" w:cs="Calibri"/>
          <w:sz w:val="20"/>
          <w:szCs w:val="20"/>
        </w:rPr>
        <w:t xml:space="preserve">Teatr Tańca i Ruchu ROZBARK - 19 906 widzów, </w:t>
      </w:r>
    </w:p>
    <w:p w:rsidR="00B80742" w:rsidRPr="00B80742" w:rsidRDefault="00B80742" w:rsidP="006B21FE">
      <w:pPr>
        <w:pStyle w:val="Akapitzlist"/>
        <w:numPr>
          <w:ilvl w:val="0"/>
          <w:numId w:val="169"/>
        </w:numPr>
        <w:spacing w:after="0" w:line="240" w:lineRule="auto"/>
        <w:jc w:val="both"/>
        <w:rPr>
          <w:rFonts w:asciiTheme="minorHAnsi" w:hAnsiTheme="minorHAnsi" w:cs="Calibri"/>
          <w:sz w:val="20"/>
          <w:szCs w:val="20"/>
        </w:rPr>
      </w:pPr>
      <w:r w:rsidRPr="00B80742">
        <w:rPr>
          <w:rFonts w:asciiTheme="minorHAnsi" w:hAnsiTheme="minorHAnsi" w:cs="Calibri"/>
          <w:sz w:val="20"/>
          <w:szCs w:val="20"/>
        </w:rPr>
        <w:t xml:space="preserve">BECEK - 69 905 widzów i osób biorących udział w innych niż spektakle wydarzeniach, </w:t>
      </w:r>
    </w:p>
    <w:p w:rsidR="00B80742" w:rsidRPr="00B80742" w:rsidRDefault="00B80742" w:rsidP="006B21FE">
      <w:pPr>
        <w:pStyle w:val="Akapitzlist"/>
        <w:numPr>
          <w:ilvl w:val="0"/>
          <w:numId w:val="169"/>
        </w:numPr>
        <w:spacing w:after="0" w:line="240" w:lineRule="auto"/>
        <w:jc w:val="both"/>
        <w:rPr>
          <w:rFonts w:asciiTheme="minorHAnsi" w:hAnsiTheme="minorHAnsi" w:cs="Calibri"/>
          <w:sz w:val="20"/>
          <w:szCs w:val="20"/>
        </w:rPr>
      </w:pPr>
      <w:r w:rsidRPr="00B80742">
        <w:rPr>
          <w:rFonts w:asciiTheme="minorHAnsi" w:hAnsiTheme="minorHAnsi" w:cs="Calibri"/>
          <w:sz w:val="20"/>
          <w:szCs w:val="20"/>
        </w:rPr>
        <w:t>Centrum</w:t>
      </w:r>
      <w:r w:rsidRPr="00B80742">
        <w:rPr>
          <w:rFonts w:asciiTheme="minorHAnsi" w:hAnsiTheme="minorHAnsi"/>
          <w:b/>
          <w:bCs/>
          <w:sz w:val="20"/>
          <w:szCs w:val="20"/>
        </w:rPr>
        <w:t xml:space="preserve"> </w:t>
      </w:r>
      <w:r w:rsidRPr="00B80742">
        <w:rPr>
          <w:rFonts w:asciiTheme="minorHAnsi" w:hAnsiTheme="minorHAnsi" w:cs="Calibri"/>
          <w:sz w:val="20"/>
          <w:szCs w:val="20"/>
        </w:rPr>
        <w:t>Sztuki Współczesnej KRONIKA - 12 230 odwiedzających</w:t>
      </w:r>
      <w:r w:rsidR="00EF4543">
        <w:rPr>
          <w:rFonts w:asciiTheme="minorHAnsi" w:hAnsiTheme="minorHAnsi" w:cs="Calibri"/>
          <w:sz w:val="20"/>
          <w:szCs w:val="20"/>
        </w:rPr>
        <w:t>,</w:t>
      </w:r>
    </w:p>
    <w:p w:rsidR="00B80742" w:rsidRPr="00B80742" w:rsidRDefault="00B80742" w:rsidP="006B21FE">
      <w:pPr>
        <w:pStyle w:val="Akapitzlist"/>
        <w:numPr>
          <w:ilvl w:val="0"/>
          <w:numId w:val="169"/>
        </w:numPr>
        <w:spacing w:after="0" w:line="240" w:lineRule="auto"/>
        <w:jc w:val="both"/>
        <w:rPr>
          <w:rFonts w:asciiTheme="minorHAnsi" w:hAnsiTheme="minorHAnsi" w:cs="Calibri"/>
          <w:sz w:val="20"/>
          <w:szCs w:val="20"/>
        </w:rPr>
      </w:pPr>
      <w:r w:rsidRPr="00B80742">
        <w:rPr>
          <w:rFonts w:asciiTheme="minorHAnsi" w:hAnsiTheme="minorHAnsi" w:cs="Calibri"/>
          <w:sz w:val="20"/>
          <w:szCs w:val="20"/>
        </w:rPr>
        <w:t>Muz</w:t>
      </w:r>
      <w:r w:rsidR="00514E5B">
        <w:rPr>
          <w:rFonts w:asciiTheme="minorHAnsi" w:hAnsiTheme="minorHAnsi" w:cs="Calibri"/>
          <w:sz w:val="20"/>
          <w:szCs w:val="20"/>
        </w:rPr>
        <w:t>eum Górnośląskie - 33 265 odwiedzają</w:t>
      </w:r>
      <w:r w:rsidRPr="00B80742">
        <w:rPr>
          <w:rFonts w:asciiTheme="minorHAnsi" w:hAnsiTheme="minorHAnsi" w:cs="Calibri"/>
          <w:sz w:val="20"/>
          <w:szCs w:val="20"/>
        </w:rPr>
        <w:t>cych</w:t>
      </w:r>
      <w:r w:rsidR="00EF4543">
        <w:rPr>
          <w:rFonts w:asciiTheme="minorHAnsi" w:hAnsiTheme="minorHAnsi" w:cs="Calibri"/>
          <w:sz w:val="20"/>
          <w:szCs w:val="20"/>
        </w:rPr>
        <w:t>,</w:t>
      </w:r>
    </w:p>
    <w:p w:rsidR="00B80742" w:rsidRPr="00B80742" w:rsidRDefault="00B80742" w:rsidP="006B21FE">
      <w:pPr>
        <w:pStyle w:val="Akapitzlist"/>
        <w:numPr>
          <w:ilvl w:val="0"/>
          <w:numId w:val="169"/>
        </w:numPr>
        <w:spacing w:after="0" w:line="240" w:lineRule="auto"/>
        <w:jc w:val="both"/>
        <w:rPr>
          <w:rFonts w:asciiTheme="minorHAnsi" w:hAnsiTheme="minorHAnsi" w:cs="Calibri"/>
          <w:sz w:val="20"/>
          <w:szCs w:val="20"/>
        </w:rPr>
      </w:pPr>
      <w:r w:rsidRPr="00B80742">
        <w:rPr>
          <w:rFonts w:asciiTheme="minorHAnsi" w:hAnsiTheme="minorHAnsi" w:cs="Calibri"/>
          <w:sz w:val="20"/>
          <w:szCs w:val="20"/>
        </w:rPr>
        <w:t>Miejska Biblioteka Publiczna - 12 816 czytelników</w:t>
      </w:r>
      <w:r w:rsidR="00EF4543">
        <w:rPr>
          <w:rFonts w:asciiTheme="minorHAnsi" w:hAnsiTheme="minorHAnsi" w:cs="Calibri"/>
          <w:sz w:val="20"/>
          <w:szCs w:val="20"/>
        </w:rPr>
        <w:t>,</w:t>
      </w:r>
    </w:p>
    <w:p w:rsidR="007B034D" w:rsidRPr="003813DA" w:rsidRDefault="00B80742" w:rsidP="003813DA">
      <w:pPr>
        <w:pStyle w:val="Akapitzlist"/>
        <w:numPr>
          <w:ilvl w:val="0"/>
          <w:numId w:val="169"/>
        </w:numPr>
        <w:spacing w:after="0" w:line="240" w:lineRule="auto"/>
        <w:jc w:val="both"/>
        <w:rPr>
          <w:rFonts w:asciiTheme="minorHAnsi" w:hAnsiTheme="minorHAnsi" w:cs="Calibri"/>
          <w:sz w:val="20"/>
          <w:szCs w:val="20"/>
        </w:rPr>
      </w:pPr>
      <w:r w:rsidRPr="00B80742">
        <w:rPr>
          <w:rFonts w:asciiTheme="minorHAnsi" w:hAnsiTheme="minorHAnsi" w:cs="Calibri"/>
          <w:sz w:val="20"/>
          <w:szCs w:val="20"/>
        </w:rPr>
        <w:t xml:space="preserve">Galeria </w:t>
      </w:r>
      <w:r w:rsidRPr="00B80742">
        <w:rPr>
          <w:rFonts w:asciiTheme="minorHAnsi" w:hAnsiTheme="minorHAnsi" w:cs="Calibri"/>
          <w:i/>
          <w:iCs/>
          <w:sz w:val="20"/>
          <w:szCs w:val="20"/>
        </w:rPr>
        <w:t>Na Poziomie</w:t>
      </w:r>
      <w:r w:rsidRPr="00B80742">
        <w:rPr>
          <w:rFonts w:asciiTheme="minorHAnsi" w:hAnsiTheme="minorHAnsi" w:cs="Calibri"/>
          <w:sz w:val="20"/>
          <w:szCs w:val="20"/>
        </w:rPr>
        <w:t xml:space="preserve"> w Centrum Handlowym AGORA - 8500 odwiedzających. </w:t>
      </w:r>
    </w:p>
    <w:p w:rsidR="000150A4" w:rsidRPr="006064F2" w:rsidRDefault="000150A4" w:rsidP="00EE0700">
      <w:pPr>
        <w:pStyle w:val="Legenda"/>
        <w:spacing w:line="312" w:lineRule="auto"/>
        <w:rPr>
          <w:sz w:val="16"/>
        </w:rPr>
      </w:pPr>
      <w:bookmarkStart w:id="7816" w:name="_Toc460222287"/>
    </w:p>
    <w:p w:rsidR="00EE0700" w:rsidRPr="008F4DC5" w:rsidRDefault="00EE0700" w:rsidP="006064F2">
      <w:pPr>
        <w:pStyle w:val="Legenda"/>
        <w:spacing w:line="216" w:lineRule="auto"/>
        <w:rPr>
          <w:szCs w:val="24"/>
        </w:rPr>
      </w:pPr>
      <w:bookmarkStart w:id="7817" w:name="_Toc191972656"/>
      <w:r w:rsidRPr="008F4DC5">
        <w:t xml:space="preserve">Mapa </w:t>
      </w:r>
      <w:fldSimple w:instr=" SEQ Mapa \* ARABIC ">
        <w:r w:rsidR="00413FFE">
          <w:rPr>
            <w:noProof/>
          </w:rPr>
          <w:t>44</w:t>
        </w:r>
      </w:fldSimple>
      <w:r w:rsidRPr="008F4DC5">
        <w:t>. Instytucje kultury w Bytomiu</w:t>
      </w:r>
      <w:bookmarkEnd w:id="7817"/>
      <w:r w:rsidRPr="008F4DC5">
        <w:t xml:space="preserve"> </w:t>
      </w:r>
    </w:p>
    <w:p w:rsidR="00EE0700" w:rsidRPr="00673C27" w:rsidRDefault="00EE0700" w:rsidP="00EE0700">
      <w:r>
        <w:rPr>
          <w:noProof/>
        </w:rPr>
        <w:drawing>
          <wp:inline distT="0" distB="0" distL="0" distR="0">
            <wp:extent cx="5580000" cy="3846050"/>
            <wp:effectExtent l="19050" t="0" r="1650" b="0"/>
            <wp:docPr id="67" name="Obraz 1" descr="C:\Users\TT\Dropbox\irm-bytom-mapy\wydruki\915 Instytucje kultury w Bytomi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Users\TT\Dropbox\irm-bytom-mapy\wydruki\915 Instytucje kultury w Bytomiu.png"/>
                    <pic:cNvPicPr>
                      <a:picLocks noChangeAspect="1" noChangeArrowheads="1"/>
                    </pic:cNvPicPr>
                  </pic:nvPicPr>
                  <pic:blipFill>
                    <a:blip r:embed="rId86" cstate="print"/>
                    <a:srcRect b="2342"/>
                    <a:stretch>
                      <a:fillRect/>
                    </a:stretch>
                  </pic:blipFill>
                  <pic:spPr bwMode="auto">
                    <a:xfrm>
                      <a:off x="0" y="0"/>
                      <a:ext cx="5580000" cy="3846050"/>
                    </a:xfrm>
                    <a:prstGeom prst="rect">
                      <a:avLst/>
                    </a:prstGeom>
                    <a:noFill/>
                    <a:ln w="9525">
                      <a:noFill/>
                      <a:miter lim="800000"/>
                      <a:headEnd/>
                      <a:tailEnd/>
                    </a:ln>
                  </pic:spPr>
                </pic:pic>
              </a:graphicData>
            </a:graphic>
          </wp:inline>
        </w:drawing>
      </w:r>
    </w:p>
    <w:p w:rsidR="00EE0700" w:rsidRPr="005F27F5" w:rsidRDefault="00EE0700" w:rsidP="00EE0700">
      <w:pPr>
        <w:autoSpaceDE w:val="0"/>
        <w:autoSpaceDN w:val="0"/>
        <w:adjustRightInd w:val="0"/>
        <w:rPr>
          <w:rFonts w:eastAsia="Calibri" w:cs="ArialNarrow"/>
          <w:i/>
          <w:sz w:val="18"/>
          <w:szCs w:val="20"/>
        </w:rPr>
      </w:pPr>
      <w:r w:rsidRPr="005F27F5">
        <w:rPr>
          <w:rFonts w:eastAsia="Calibri" w:cs="ArialNarrow"/>
          <w:i/>
          <w:sz w:val="18"/>
          <w:szCs w:val="20"/>
        </w:rPr>
        <w:t xml:space="preserve">Źródło: Opracowanie </w:t>
      </w:r>
      <w:r>
        <w:rPr>
          <w:rFonts w:eastAsia="Calibri" w:cs="ArialNarrow"/>
          <w:i/>
          <w:sz w:val="18"/>
          <w:szCs w:val="20"/>
        </w:rPr>
        <w:t>Instytutu Rozwoju Miast</w:t>
      </w:r>
    </w:p>
    <w:p w:rsidR="00EE0700" w:rsidRPr="00EF4543" w:rsidRDefault="00EE0700" w:rsidP="00EF4543">
      <w:pPr>
        <w:pStyle w:val="Tekstpodstawowy"/>
        <w:spacing w:after="0"/>
        <w:ind w:firstLine="708"/>
        <w:jc w:val="both"/>
        <w:rPr>
          <w:rFonts w:cs="Arial"/>
          <w:szCs w:val="20"/>
        </w:rPr>
      </w:pPr>
      <w:r w:rsidRPr="00EF4543">
        <w:rPr>
          <w:rFonts w:cs="Arial"/>
          <w:szCs w:val="20"/>
        </w:rPr>
        <w:lastRenderedPageBreak/>
        <w:t xml:space="preserve">Siedzibą </w:t>
      </w:r>
      <w:r w:rsidRPr="00E3779A">
        <w:rPr>
          <w:rFonts w:cs="Arial"/>
          <w:b/>
          <w:szCs w:val="20"/>
        </w:rPr>
        <w:t>Opery Śląskiej</w:t>
      </w:r>
      <w:r w:rsidRPr="00EF4543">
        <w:rPr>
          <w:rFonts w:cs="Arial"/>
          <w:szCs w:val="20"/>
        </w:rPr>
        <w:t xml:space="preserve"> (istniejącej od 70 lat) jest zabytkowy, ponad 110-letni gmach. Opera, by upowszechniać sztukę stale gości na scenach macierzystego regionu, a także w innych miastach Polski. W roku 2015 Opera Śląska zaprezentowała ogółem 183 spektakle, w tym 145 w siedzibie (121 na dużej scenie i 24 w</w:t>
      </w:r>
      <w:r w:rsidR="00EF4543" w:rsidRPr="00EF4543">
        <w:rPr>
          <w:rFonts w:cs="Arial"/>
          <w:szCs w:val="20"/>
        </w:rPr>
        <w:t> </w:t>
      </w:r>
      <w:r w:rsidRPr="00EF4543">
        <w:rPr>
          <w:rFonts w:cs="Arial"/>
          <w:szCs w:val="20"/>
        </w:rPr>
        <w:t>sali im. Adama Didura), spektakli premierowych – 1, koncertów premierowych – 1, wznowienia – 5, na wyjazdach krajowych – 38. Przedstawienia i koncerty obejrzało łącznie 67 187 widzów.</w:t>
      </w:r>
    </w:p>
    <w:p w:rsidR="00EE0700" w:rsidRPr="00EF4543" w:rsidRDefault="00EE0700" w:rsidP="00EF4543">
      <w:pPr>
        <w:pStyle w:val="Tekstpodstawowy"/>
        <w:spacing w:after="0"/>
        <w:ind w:firstLine="708"/>
        <w:jc w:val="both"/>
        <w:rPr>
          <w:rFonts w:cs="Arial"/>
          <w:szCs w:val="20"/>
        </w:rPr>
      </w:pPr>
      <w:r w:rsidRPr="00EF4543">
        <w:rPr>
          <w:rFonts w:cs="Arial"/>
          <w:szCs w:val="20"/>
        </w:rPr>
        <w:t>Stosunkowo młoda w porównaniu do innych instytucja kultury, jaką jest bytomski Teatr Tańca i Ruchu Rozbark, bardzo silnie zakorzeniła się w sercach mieszkańców miasta. Świadczyć o tym mogą liczne imprezy i</w:t>
      </w:r>
      <w:r w:rsidR="00EF4543" w:rsidRPr="00EF4543">
        <w:rPr>
          <w:rFonts w:cs="Arial"/>
          <w:szCs w:val="20"/>
        </w:rPr>
        <w:t> </w:t>
      </w:r>
      <w:r w:rsidRPr="00EF4543">
        <w:rPr>
          <w:rFonts w:cs="Arial"/>
          <w:szCs w:val="20"/>
        </w:rPr>
        <w:t>przedsięwzięcia o charakterze kulturalnym, naukowym i społecznym, które były w nim realizowane. Prowadzone w teatrze zajęcia kierowane są zarówno dla seniorów, jak również dzieci i młodzieży. Dzięki temu każdy może odnaleźć w nim coś dla siebie. Instytucja czynnie propaguje sztukę tańca współczesnego, wzbogaconego o inne formy sztuki ruchu, takie jak pantomima, balet klasyczny, taniec uliczny itp. Na deskach teatru regularnie prezentowane są przedstawienia w wykonaniu studentów Wydziału Teatru Tańca - Wyższej Szkoły Teatralnej im. L. Solskiego w Krakowie, który ma siedzibę w Bytomiu. Łącznie w 2015 roku, w Bytomskim Teatrze Tańca i Ruchu Rozbark miały miejsce 833 wydarzenia artystyc</w:t>
      </w:r>
      <w:r w:rsidR="006001DF">
        <w:rPr>
          <w:rFonts w:cs="Arial"/>
          <w:szCs w:val="20"/>
        </w:rPr>
        <w:t>zne, w których uczestniczyło 19 </w:t>
      </w:r>
      <w:r w:rsidRPr="00EF4543">
        <w:rPr>
          <w:rFonts w:cs="Arial"/>
          <w:szCs w:val="20"/>
        </w:rPr>
        <w:t>906</w:t>
      </w:r>
      <w:r w:rsidR="006001DF">
        <w:rPr>
          <w:rFonts w:cs="Arial"/>
          <w:szCs w:val="20"/>
        </w:rPr>
        <w:t> </w:t>
      </w:r>
      <w:r w:rsidRPr="00EF4543">
        <w:rPr>
          <w:rFonts w:cs="Arial"/>
          <w:szCs w:val="20"/>
        </w:rPr>
        <w:t>widzów.</w:t>
      </w:r>
    </w:p>
    <w:p w:rsidR="00EE0700" w:rsidRPr="00EF4543" w:rsidRDefault="00EE0700" w:rsidP="00EF4543">
      <w:pPr>
        <w:pStyle w:val="Tekstpodstawowywcity2"/>
        <w:spacing w:after="0" w:line="240" w:lineRule="auto"/>
        <w:ind w:left="0" w:firstLine="708"/>
        <w:jc w:val="both"/>
        <w:rPr>
          <w:rFonts w:cs="Arial"/>
          <w:szCs w:val="20"/>
        </w:rPr>
      </w:pPr>
      <w:r w:rsidRPr="00EF4543">
        <w:rPr>
          <w:rFonts w:cs="Arial"/>
          <w:szCs w:val="20"/>
        </w:rPr>
        <w:t xml:space="preserve">W 2015 roku </w:t>
      </w:r>
      <w:r w:rsidRPr="00E3779A">
        <w:rPr>
          <w:rFonts w:cs="Arial"/>
          <w:b/>
          <w:szCs w:val="20"/>
        </w:rPr>
        <w:t>Bytomskie Centrum Kultury</w:t>
      </w:r>
      <w:r w:rsidRPr="00EF4543">
        <w:rPr>
          <w:rFonts w:cs="Arial"/>
          <w:szCs w:val="20"/>
        </w:rPr>
        <w:t xml:space="preserve"> zorganizowało łącznie ok. 411 imprez, z czego 307 to projekty własne BCK, a 104 - imprezy obce. Łączna liczba widzów na wszystkich im</w:t>
      </w:r>
      <w:r w:rsidR="00AC0EC6">
        <w:rPr>
          <w:rFonts w:cs="Arial"/>
          <w:szCs w:val="20"/>
        </w:rPr>
        <w:t>prezach wyniosła nieco ponad 69 </w:t>
      </w:r>
      <w:r w:rsidRPr="00EF4543">
        <w:rPr>
          <w:rFonts w:cs="Arial"/>
          <w:szCs w:val="20"/>
        </w:rPr>
        <w:t>900 osób. Zwiększona ilość widzów podczas organizowanych imprez świadczy o dużym zainteresowaniu centrum. O znaczeniu BCK w życiu miasta świadczą niezwykle ważne, lokalne imprezy, takie jak Dni Bytomia czy Koncert Wielkiej Orkiestry Świątecznej Pomocy. BCK z powodzeniem od lat prowadzi cieszące się wielkim zainteresowanie kino studyjne (BCKino), a także jest organizatorem licznych akcji i</w:t>
      </w:r>
      <w:r w:rsidR="00EF4543" w:rsidRPr="00EF4543">
        <w:rPr>
          <w:rFonts w:cs="Arial"/>
          <w:szCs w:val="20"/>
        </w:rPr>
        <w:t> </w:t>
      </w:r>
      <w:r w:rsidRPr="00EF4543">
        <w:rPr>
          <w:rFonts w:cs="Arial"/>
          <w:szCs w:val="20"/>
        </w:rPr>
        <w:t xml:space="preserve">projektów integrujących lokalną społeczność, takich jak Klub Zielonej Żyrafy, Restart Przychodni Kreatywnej. </w:t>
      </w:r>
      <w:r w:rsidRPr="006E329D">
        <w:rPr>
          <w:rFonts w:cs="Arial"/>
          <w:szCs w:val="20"/>
        </w:rPr>
        <w:t>Bobrek Art. 5!</w:t>
      </w:r>
      <w:r w:rsidRPr="00EF4543">
        <w:rPr>
          <w:rFonts w:cs="Arial"/>
          <w:szCs w:val="20"/>
        </w:rPr>
        <w:t xml:space="preserve"> czy też Festiwal Teatralny dla Dzieci MASKARADA.</w:t>
      </w:r>
    </w:p>
    <w:p w:rsidR="00EE0700" w:rsidRPr="000B4F9C" w:rsidRDefault="00757207" w:rsidP="000B4F9C">
      <w:pPr>
        <w:pStyle w:val="Tekstpodstawowywcity2"/>
        <w:spacing w:after="0" w:line="240" w:lineRule="auto"/>
        <w:ind w:left="0" w:firstLine="708"/>
        <w:jc w:val="both"/>
        <w:rPr>
          <w:rFonts w:cs="Arial"/>
          <w:szCs w:val="20"/>
        </w:rPr>
      </w:pPr>
      <w:r w:rsidRPr="00757207">
        <w:rPr>
          <w:rFonts w:cs="Arial"/>
          <w:b/>
          <w:szCs w:val="20"/>
        </w:rPr>
        <w:t>Centrum Sztuki Współczesnej</w:t>
      </w:r>
      <w:r w:rsidR="00EE0700" w:rsidRPr="00757207">
        <w:rPr>
          <w:rFonts w:cs="Arial"/>
          <w:b/>
          <w:szCs w:val="20"/>
        </w:rPr>
        <w:t xml:space="preserve"> „Kronika”</w:t>
      </w:r>
      <w:r w:rsidR="00EE0700" w:rsidRPr="000B4F9C">
        <w:rPr>
          <w:rFonts w:cs="Arial"/>
          <w:szCs w:val="20"/>
        </w:rPr>
        <w:t xml:space="preserve"> to jedna z najbardziej znanych instytucji kultury w</w:t>
      </w:r>
      <w:r w:rsidR="000B4F9C">
        <w:rPr>
          <w:rFonts w:cs="Arial"/>
          <w:szCs w:val="20"/>
        </w:rPr>
        <w:t> </w:t>
      </w:r>
      <w:r w:rsidR="00EE0700" w:rsidRPr="000B4F9C">
        <w:rPr>
          <w:rFonts w:cs="Arial"/>
          <w:szCs w:val="20"/>
        </w:rPr>
        <w:t>mieście. Galeria w 2015 roku zrealizowała 6 koncertów, 16 wystaw głównych w swojej siedzibie i 7 poza nią. Łączna</w:t>
      </w:r>
      <w:r w:rsidR="00B46F12">
        <w:rPr>
          <w:rFonts w:cs="Arial"/>
          <w:szCs w:val="20"/>
        </w:rPr>
        <w:t> </w:t>
      </w:r>
      <w:r w:rsidR="00EE0700" w:rsidRPr="000B4F9C">
        <w:rPr>
          <w:rFonts w:cs="Arial"/>
          <w:szCs w:val="20"/>
        </w:rPr>
        <w:t>frekwencja odwiedzających wyniosła 12 230 osób, w tym 3 752 osoby</w:t>
      </w:r>
      <w:r w:rsidR="002D2B15">
        <w:rPr>
          <w:rFonts w:cs="Arial"/>
          <w:szCs w:val="20"/>
        </w:rPr>
        <w:t>,</w:t>
      </w:r>
      <w:r w:rsidR="00EE0700" w:rsidRPr="000B4F9C">
        <w:rPr>
          <w:rFonts w:cs="Arial"/>
          <w:szCs w:val="20"/>
        </w:rPr>
        <w:t xml:space="preserve"> które odwiedziły wystawy w</w:t>
      </w:r>
      <w:r w:rsidR="000B4F9C">
        <w:rPr>
          <w:rFonts w:cs="Arial"/>
          <w:szCs w:val="20"/>
        </w:rPr>
        <w:t> </w:t>
      </w:r>
      <w:r w:rsidR="00EE0700" w:rsidRPr="000B4F9C">
        <w:rPr>
          <w:rFonts w:cs="Arial"/>
          <w:szCs w:val="20"/>
        </w:rPr>
        <w:t>siedzibie galerii. KRONIKA w ramach podejmowanych działań realizowała wiele projektów m.in. projekt edukacyjny współfinansowany przez Fundację Orange pod tytułem ”Nieograniczone Pole Widzenia”. Uczestnikami projektu byli wychowankowie Placówki Opiekuńczo-Wychowawczej oraz Zespołu Szkół Specjalnych w Bytomiu.</w:t>
      </w:r>
    </w:p>
    <w:p w:rsidR="00EE0700" w:rsidRPr="00041975" w:rsidRDefault="00EE0700" w:rsidP="000B4F9C">
      <w:pPr>
        <w:pStyle w:val="Tekstpodstawowy"/>
        <w:spacing w:after="0"/>
        <w:ind w:firstLine="708"/>
        <w:jc w:val="both"/>
        <w:rPr>
          <w:rFonts w:ascii="Calibri" w:hAnsi="Calibri" w:cs="Arial"/>
          <w:szCs w:val="20"/>
        </w:rPr>
      </w:pPr>
      <w:r w:rsidRPr="00E3779A">
        <w:rPr>
          <w:rFonts w:cs="Arial"/>
          <w:b/>
          <w:szCs w:val="20"/>
        </w:rPr>
        <w:t>Muzeum Górnośląskie</w:t>
      </w:r>
      <w:r w:rsidRPr="000B4F9C">
        <w:rPr>
          <w:rFonts w:cs="Arial"/>
          <w:szCs w:val="20"/>
        </w:rPr>
        <w:t xml:space="preserve"> jest jedną z najstarszych instytucji kultury w Bytomiu. Jego historia sięga 1910 roku, kiedy przez grupę miłośników dziejów Bytomia zostało założone Bytomskie Towarzystwo Historyczno-Muzealne. Dziś Muzeum Górnośląskie to poważna, licząca się w kraju placówka muzealna o</w:t>
      </w:r>
      <w:r w:rsidR="000B4F9C">
        <w:rPr>
          <w:rFonts w:cs="Arial"/>
          <w:szCs w:val="20"/>
        </w:rPr>
        <w:t> </w:t>
      </w:r>
      <w:r w:rsidRPr="000B4F9C">
        <w:rPr>
          <w:rFonts w:cs="Arial"/>
          <w:szCs w:val="20"/>
        </w:rPr>
        <w:t>niekwestionowanym dorobku, bogatych zbiorach i autonomicznym programie. W Muzeum funkcjonuje siedem działów merytorycznych: Dział Archeologii, Dział Etnografii, Dział Historii, Dział Przyrody, Dział Sztuki, Dział Edukacyjno-Promocyjny oraz działy pomocnicze jak np. Dział Wydawniczy czy Biblioteka. Pracownicy każdego z nich prowadzą własną działalność wystawienniczą, badawczą oraz przygotowują publikacje ze swojej dziedziny.</w:t>
      </w:r>
      <w:r w:rsidRPr="00041975">
        <w:rPr>
          <w:rFonts w:ascii="Calibri" w:hAnsi="Calibri" w:cs="Arial"/>
          <w:szCs w:val="20"/>
        </w:rPr>
        <w:t xml:space="preserve"> </w:t>
      </w:r>
    </w:p>
    <w:p w:rsidR="00F3250F" w:rsidRPr="00C80963" w:rsidRDefault="00F3250F" w:rsidP="006064F2">
      <w:pPr>
        <w:spacing w:after="120"/>
        <w:ind w:firstLine="709"/>
        <w:jc w:val="both"/>
        <w:rPr>
          <w:szCs w:val="20"/>
        </w:rPr>
      </w:pPr>
      <w:r w:rsidRPr="00E3779A">
        <w:rPr>
          <w:b/>
          <w:szCs w:val="20"/>
        </w:rPr>
        <w:t>Program działania wymienionych placówek, aktywność środowisk artystycznych, organizowane w</w:t>
      </w:r>
      <w:r w:rsidR="000F709B" w:rsidRPr="00E3779A">
        <w:rPr>
          <w:b/>
          <w:szCs w:val="20"/>
        </w:rPr>
        <w:t> </w:t>
      </w:r>
      <w:r w:rsidRPr="00E3779A">
        <w:rPr>
          <w:b/>
          <w:szCs w:val="20"/>
        </w:rPr>
        <w:t>mieście wydarzenia kulturalne o charakterze doraźnym i cyklicznym, stawiają Bytom na pozycji jednego z</w:t>
      </w:r>
      <w:r w:rsidR="000F709B" w:rsidRPr="00E3779A">
        <w:rPr>
          <w:b/>
          <w:szCs w:val="20"/>
        </w:rPr>
        <w:t> </w:t>
      </w:r>
      <w:r w:rsidRPr="00E3779A">
        <w:rPr>
          <w:b/>
          <w:szCs w:val="20"/>
        </w:rPr>
        <w:t>liderów kulturalnych w Aglomeracji Górnośląskiej.</w:t>
      </w:r>
      <w:r w:rsidRPr="00C80963">
        <w:rPr>
          <w:szCs w:val="20"/>
        </w:rPr>
        <w:t xml:space="preserve"> Zainteresowanie odbiorców ofertą wzrasta, czego przykładem może być liczba osób zwiedzających Muzeum Górnośląskie.</w:t>
      </w:r>
      <w:r w:rsidR="00333639">
        <w:rPr>
          <w:szCs w:val="20"/>
        </w:rPr>
        <w:t xml:space="preserve"> Wzrosła ona z 11,4 tys. osób w </w:t>
      </w:r>
      <w:r w:rsidRPr="00C80963">
        <w:rPr>
          <w:szCs w:val="20"/>
        </w:rPr>
        <w:t>2000</w:t>
      </w:r>
      <w:r w:rsidR="00333639">
        <w:rPr>
          <w:szCs w:val="20"/>
        </w:rPr>
        <w:t> </w:t>
      </w:r>
      <w:r w:rsidRPr="00C80963">
        <w:rPr>
          <w:szCs w:val="20"/>
        </w:rPr>
        <w:t xml:space="preserve">roku do 111 tys. </w:t>
      </w:r>
      <w:r>
        <w:rPr>
          <w:szCs w:val="20"/>
        </w:rPr>
        <w:t>w </w:t>
      </w:r>
      <w:r w:rsidRPr="00C80963">
        <w:rPr>
          <w:szCs w:val="20"/>
        </w:rPr>
        <w:t>roku 2013.</w:t>
      </w:r>
    </w:p>
    <w:p w:rsidR="00F3250F" w:rsidRPr="00C80963" w:rsidRDefault="00F3250F" w:rsidP="00F3250F">
      <w:pPr>
        <w:jc w:val="both"/>
        <w:rPr>
          <w:szCs w:val="20"/>
        </w:rPr>
      </w:pPr>
      <w:r w:rsidRPr="00C80963">
        <w:rPr>
          <w:szCs w:val="20"/>
        </w:rPr>
        <w:t>Wsparciem dla funkcjonowania instytucji kultury oraz środowisk twórczych są placówki edukacyjne, zwłaszcza te ukierunkowane na edukację muzyczną. Na obszarze rewitalizacji funkcjonują:</w:t>
      </w:r>
    </w:p>
    <w:p w:rsidR="00F3250F" w:rsidRPr="00C80963" w:rsidRDefault="00F3250F" w:rsidP="004F6E0F">
      <w:pPr>
        <w:pStyle w:val="Akapitzlist"/>
        <w:numPr>
          <w:ilvl w:val="0"/>
          <w:numId w:val="76"/>
        </w:numPr>
        <w:spacing w:after="120" w:line="240" w:lineRule="auto"/>
        <w:ind w:left="714" w:hanging="357"/>
        <w:contextualSpacing/>
        <w:jc w:val="both"/>
        <w:rPr>
          <w:rFonts w:asciiTheme="minorHAnsi" w:hAnsiTheme="minorHAnsi"/>
          <w:sz w:val="20"/>
          <w:szCs w:val="20"/>
        </w:rPr>
      </w:pPr>
      <w:r w:rsidRPr="00C80963">
        <w:rPr>
          <w:rFonts w:asciiTheme="minorHAnsi" w:hAnsiTheme="minorHAnsi"/>
          <w:sz w:val="20"/>
          <w:szCs w:val="20"/>
        </w:rPr>
        <w:t>Ogólnokształcąca Szkoła Muzyczna I i I</w:t>
      </w:r>
      <w:r>
        <w:rPr>
          <w:rFonts w:asciiTheme="minorHAnsi" w:hAnsiTheme="minorHAnsi"/>
          <w:sz w:val="20"/>
          <w:szCs w:val="20"/>
        </w:rPr>
        <w:t>I stopnia im. Fryderyka Chopina,</w:t>
      </w:r>
    </w:p>
    <w:p w:rsidR="00F3250F" w:rsidRPr="00C80963" w:rsidRDefault="00F3250F" w:rsidP="004F6E0F">
      <w:pPr>
        <w:pStyle w:val="Akapitzlist"/>
        <w:numPr>
          <w:ilvl w:val="0"/>
          <w:numId w:val="76"/>
        </w:numPr>
        <w:spacing w:after="120" w:line="240" w:lineRule="auto"/>
        <w:ind w:left="714" w:hanging="357"/>
        <w:contextualSpacing/>
        <w:jc w:val="both"/>
        <w:rPr>
          <w:rFonts w:asciiTheme="minorHAnsi" w:hAnsiTheme="minorHAnsi"/>
          <w:sz w:val="20"/>
          <w:szCs w:val="20"/>
        </w:rPr>
      </w:pPr>
      <w:r w:rsidRPr="00C80963">
        <w:rPr>
          <w:rFonts w:asciiTheme="minorHAnsi" w:hAnsiTheme="minorHAnsi"/>
          <w:sz w:val="20"/>
          <w:szCs w:val="20"/>
        </w:rPr>
        <w:t>Ogólnokształcąca Szkoła Ba</w:t>
      </w:r>
      <w:r>
        <w:rPr>
          <w:rFonts w:asciiTheme="minorHAnsi" w:hAnsiTheme="minorHAnsi"/>
          <w:sz w:val="20"/>
          <w:szCs w:val="20"/>
        </w:rPr>
        <w:t>letowa im. Ludomira Różyckiego,</w:t>
      </w:r>
    </w:p>
    <w:p w:rsidR="00F3250F" w:rsidRPr="00C80963" w:rsidRDefault="00F3250F" w:rsidP="006064F2">
      <w:pPr>
        <w:pStyle w:val="Akapitzlist"/>
        <w:numPr>
          <w:ilvl w:val="0"/>
          <w:numId w:val="76"/>
        </w:numPr>
        <w:spacing w:after="0" w:line="240" w:lineRule="auto"/>
        <w:ind w:left="714" w:hanging="357"/>
        <w:contextualSpacing/>
        <w:jc w:val="both"/>
        <w:rPr>
          <w:rFonts w:asciiTheme="minorHAnsi" w:hAnsiTheme="minorHAnsi"/>
          <w:sz w:val="20"/>
          <w:szCs w:val="20"/>
        </w:rPr>
      </w:pPr>
      <w:r w:rsidRPr="00C80963">
        <w:rPr>
          <w:rFonts w:asciiTheme="minorHAnsi" w:hAnsiTheme="minorHAnsi"/>
          <w:sz w:val="20"/>
          <w:szCs w:val="20"/>
        </w:rPr>
        <w:t>Wydział Teatru Tańca stanowiący Oddział Zamiejscowy P</w:t>
      </w:r>
      <w:r w:rsidR="007D7FB5">
        <w:rPr>
          <w:rFonts w:asciiTheme="minorHAnsi" w:hAnsiTheme="minorHAnsi"/>
          <w:sz w:val="20"/>
          <w:szCs w:val="20"/>
        </w:rPr>
        <w:t xml:space="preserve">aństwowej </w:t>
      </w:r>
      <w:r w:rsidRPr="00C80963">
        <w:rPr>
          <w:rFonts w:asciiTheme="minorHAnsi" w:hAnsiTheme="minorHAnsi"/>
          <w:sz w:val="20"/>
          <w:szCs w:val="20"/>
        </w:rPr>
        <w:t>W</w:t>
      </w:r>
      <w:r w:rsidR="007D7FB5">
        <w:rPr>
          <w:rFonts w:asciiTheme="minorHAnsi" w:hAnsiTheme="minorHAnsi"/>
          <w:sz w:val="20"/>
          <w:szCs w:val="20"/>
        </w:rPr>
        <w:t xml:space="preserve">yższej </w:t>
      </w:r>
      <w:r w:rsidRPr="00C80963">
        <w:rPr>
          <w:rFonts w:asciiTheme="minorHAnsi" w:hAnsiTheme="minorHAnsi"/>
          <w:sz w:val="20"/>
          <w:szCs w:val="20"/>
        </w:rPr>
        <w:t>S</w:t>
      </w:r>
      <w:r w:rsidR="007D7FB5">
        <w:rPr>
          <w:rFonts w:asciiTheme="minorHAnsi" w:hAnsiTheme="minorHAnsi"/>
          <w:sz w:val="20"/>
          <w:szCs w:val="20"/>
        </w:rPr>
        <w:t xml:space="preserve">zkoły </w:t>
      </w:r>
      <w:r w:rsidRPr="00C80963">
        <w:rPr>
          <w:rFonts w:asciiTheme="minorHAnsi" w:hAnsiTheme="minorHAnsi"/>
          <w:sz w:val="20"/>
          <w:szCs w:val="20"/>
        </w:rPr>
        <w:t>T</w:t>
      </w:r>
      <w:r w:rsidR="007D7FB5">
        <w:rPr>
          <w:rFonts w:asciiTheme="minorHAnsi" w:hAnsiTheme="minorHAnsi"/>
          <w:sz w:val="20"/>
          <w:szCs w:val="20"/>
        </w:rPr>
        <w:t>eatralnej im.</w:t>
      </w:r>
      <w:r w:rsidR="006064F2">
        <w:rPr>
          <w:rFonts w:asciiTheme="minorHAnsi" w:hAnsiTheme="minorHAnsi"/>
          <w:sz w:val="20"/>
          <w:szCs w:val="20"/>
        </w:rPr>
        <w:t> </w:t>
      </w:r>
      <w:r w:rsidR="007D7FB5">
        <w:rPr>
          <w:rFonts w:asciiTheme="minorHAnsi" w:hAnsiTheme="minorHAnsi"/>
          <w:sz w:val="20"/>
          <w:szCs w:val="20"/>
        </w:rPr>
        <w:t>Ludwika Solskiego</w:t>
      </w:r>
      <w:r w:rsidRPr="00C80963">
        <w:rPr>
          <w:rFonts w:asciiTheme="minorHAnsi" w:hAnsiTheme="minorHAnsi"/>
          <w:sz w:val="20"/>
          <w:szCs w:val="20"/>
        </w:rPr>
        <w:t xml:space="preserve"> w Krakowie ze specjalnością aktor ruchu. </w:t>
      </w:r>
    </w:p>
    <w:p w:rsidR="00F3250F" w:rsidRDefault="00F3250F" w:rsidP="004F2090">
      <w:pPr>
        <w:ind w:firstLine="708"/>
        <w:jc w:val="both"/>
        <w:rPr>
          <w:szCs w:val="20"/>
        </w:rPr>
      </w:pPr>
      <w:r w:rsidRPr="00C80963">
        <w:rPr>
          <w:szCs w:val="20"/>
        </w:rPr>
        <w:lastRenderedPageBreak/>
        <w:t>Potencjał kulturalny Bytomia może stanowić dobrą podstawę dla odrodzenia miasta zarówno w</w:t>
      </w:r>
      <w:r w:rsidR="004F2090">
        <w:rPr>
          <w:szCs w:val="20"/>
        </w:rPr>
        <w:t> </w:t>
      </w:r>
      <w:r w:rsidRPr="00C80963">
        <w:rPr>
          <w:szCs w:val="20"/>
        </w:rPr>
        <w:t>płaszczyźnie gospodarczej, jak i społecznej. Rozwój funkcji kulturalnych stanowi też podstawę dla zmiany wizerunku miasta i</w:t>
      </w:r>
      <w:r>
        <w:rPr>
          <w:szCs w:val="20"/>
        </w:rPr>
        <w:t> </w:t>
      </w:r>
      <w:r w:rsidRPr="00C80963">
        <w:rPr>
          <w:szCs w:val="20"/>
        </w:rPr>
        <w:t>ustalenia jego pozycji w otoczeniu</w:t>
      </w:r>
      <w:r w:rsidRPr="00C80963">
        <w:rPr>
          <w:rStyle w:val="Odwoanieprzypisudolnego"/>
          <w:szCs w:val="20"/>
        </w:rPr>
        <w:footnoteReference w:id="40"/>
      </w:r>
      <w:r w:rsidRPr="00C80963">
        <w:rPr>
          <w:szCs w:val="20"/>
        </w:rPr>
        <w:t xml:space="preserve">. </w:t>
      </w:r>
    </w:p>
    <w:bookmarkEnd w:id="7816"/>
    <w:p w:rsidR="001C2FD4" w:rsidRPr="00F61EF6" w:rsidRDefault="001C2FD4" w:rsidP="001C2FD4"/>
    <w:p w:rsidR="001C2FD4" w:rsidRPr="00440B08" w:rsidRDefault="001C2FD4" w:rsidP="006D764E">
      <w:pPr>
        <w:pStyle w:val="Nagwek3"/>
        <w:numPr>
          <w:ilvl w:val="2"/>
          <w:numId w:val="448"/>
        </w:numPr>
        <w:ind w:left="567" w:hanging="505"/>
      </w:pPr>
      <w:bookmarkStart w:id="7818" w:name="_Toc461612543"/>
      <w:bookmarkStart w:id="7819" w:name="_Toc474924950"/>
      <w:r>
        <w:t>Walory przestrzenne i zabytki</w:t>
      </w:r>
      <w:bookmarkEnd w:id="7818"/>
      <w:bookmarkEnd w:id="7819"/>
    </w:p>
    <w:p w:rsidR="0041273E" w:rsidRDefault="0041273E" w:rsidP="00C80963">
      <w:pPr>
        <w:jc w:val="both"/>
        <w:rPr>
          <w:szCs w:val="20"/>
        </w:rPr>
      </w:pPr>
    </w:p>
    <w:p w:rsidR="00F9121A" w:rsidRPr="00F9121A" w:rsidRDefault="00F9121A" w:rsidP="00F9121A">
      <w:pPr>
        <w:autoSpaceDE w:val="0"/>
        <w:autoSpaceDN w:val="0"/>
        <w:adjustRightInd w:val="0"/>
        <w:ind w:firstLine="708"/>
        <w:jc w:val="both"/>
        <w:rPr>
          <w:rFonts w:ascii="Calibri" w:eastAsia="TimesNewRomanPSMT" w:hAnsi="Calibri"/>
          <w:szCs w:val="22"/>
        </w:rPr>
      </w:pPr>
      <w:r w:rsidRPr="00F9121A">
        <w:rPr>
          <w:rFonts w:ascii="Calibri" w:eastAsia="TimesNewRomanPSMT" w:hAnsi="Calibri"/>
          <w:szCs w:val="22"/>
        </w:rPr>
        <w:t>W por</w:t>
      </w:r>
      <w:r w:rsidRPr="00F9121A">
        <w:rPr>
          <w:rFonts w:ascii="Calibri" w:eastAsia="TimesNewRomanPSMT" w:hAnsi="Calibri" w:hint="eastAsia"/>
          <w:szCs w:val="22"/>
        </w:rPr>
        <w:t>ó</w:t>
      </w:r>
      <w:r w:rsidRPr="00F9121A">
        <w:rPr>
          <w:rFonts w:ascii="Calibri" w:eastAsia="TimesNewRomanPSMT" w:hAnsi="Calibri"/>
          <w:szCs w:val="22"/>
        </w:rPr>
        <w:t>wnaniu z innymi miastami Aglomeracji G</w:t>
      </w:r>
      <w:r w:rsidRPr="00F9121A">
        <w:rPr>
          <w:rFonts w:ascii="Calibri" w:eastAsia="TimesNewRomanPSMT" w:hAnsi="Calibri" w:hint="eastAsia"/>
          <w:szCs w:val="22"/>
        </w:rPr>
        <w:t>ó</w:t>
      </w:r>
      <w:r w:rsidRPr="00F9121A">
        <w:rPr>
          <w:rFonts w:ascii="Calibri" w:eastAsia="TimesNewRomanPSMT" w:hAnsi="Calibri"/>
          <w:szCs w:val="22"/>
        </w:rPr>
        <w:t>rno</w:t>
      </w:r>
      <w:r w:rsidRPr="00F9121A">
        <w:rPr>
          <w:rFonts w:ascii="Calibri" w:eastAsia="TimesNewRomanPSMT" w:hAnsi="Calibri" w:hint="eastAsia"/>
          <w:szCs w:val="22"/>
        </w:rPr>
        <w:t>ś</w:t>
      </w:r>
      <w:r w:rsidRPr="00F9121A">
        <w:rPr>
          <w:rFonts w:ascii="Calibri" w:eastAsia="TimesNewRomanPSMT" w:hAnsi="Calibri"/>
          <w:szCs w:val="22"/>
        </w:rPr>
        <w:t>l</w:t>
      </w:r>
      <w:r w:rsidRPr="00F9121A">
        <w:rPr>
          <w:rFonts w:ascii="Calibri" w:eastAsia="TimesNewRomanPSMT" w:hAnsi="Calibri" w:hint="eastAsia"/>
          <w:szCs w:val="22"/>
        </w:rPr>
        <w:t>ą</w:t>
      </w:r>
      <w:r w:rsidRPr="00F9121A">
        <w:rPr>
          <w:rFonts w:ascii="Calibri" w:eastAsia="TimesNewRomanPSMT" w:hAnsi="Calibri"/>
          <w:szCs w:val="22"/>
        </w:rPr>
        <w:t>skiej, Bytom posiada najwi</w:t>
      </w:r>
      <w:r w:rsidRPr="00F9121A">
        <w:rPr>
          <w:rFonts w:ascii="Calibri" w:eastAsia="TimesNewRomanPSMT" w:hAnsi="Calibri" w:hint="eastAsia"/>
          <w:szCs w:val="22"/>
        </w:rPr>
        <w:t>ę</w:t>
      </w:r>
      <w:r w:rsidRPr="00F9121A">
        <w:rPr>
          <w:rFonts w:ascii="Calibri" w:eastAsia="TimesNewRomanPSMT" w:hAnsi="Calibri"/>
          <w:szCs w:val="22"/>
        </w:rPr>
        <w:t>cej obiekt</w:t>
      </w:r>
      <w:r w:rsidRPr="00F9121A">
        <w:rPr>
          <w:rFonts w:ascii="Calibri" w:eastAsia="TimesNewRomanPSMT" w:hAnsi="Calibri" w:hint="eastAsia"/>
          <w:szCs w:val="22"/>
        </w:rPr>
        <w:t>ó</w:t>
      </w:r>
      <w:r w:rsidRPr="00F9121A">
        <w:rPr>
          <w:rFonts w:ascii="Calibri" w:eastAsia="TimesNewRomanPSMT" w:hAnsi="Calibri"/>
          <w:szCs w:val="22"/>
        </w:rPr>
        <w:t>w zabytkowych. Spo</w:t>
      </w:r>
      <w:r w:rsidRPr="00F9121A">
        <w:rPr>
          <w:rFonts w:ascii="Calibri" w:eastAsia="TimesNewRomanPSMT" w:hAnsi="Calibri" w:hint="eastAsia"/>
          <w:szCs w:val="22"/>
        </w:rPr>
        <w:t>ś</w:t>
      </w:r>
      <w:r w:rsidRPr="00F9121A">
        <w:rPr>
          <w:rFonts w:ascii="Calibri" w:eastAsia="TimesNewRomanPSMT" w:hAnsi="Calibri"/>
          <w:szCs w:val="22"/>
        </w:rPr>
        <w:t>r</w:t>
      </w:r>
      <w:r w:rsidRPr="00F9121A">
        <w:rPr>
          <w:rFonts w:ascii="Calibri" w:eastAsia="TimesNewRomanPSMT" w:hAnsi="Calibri" w:hint="eastAsia"/>
          <w:szCs w:val="22"/>
        </w:rPr>
        <w:t>ó</w:t>
      </w:r>
      <w:r w:rsidRPr="00F9121A">
        <w:rPr>
          <w:rFonts w:ascii="Calibri" w:eastAsia="TimesNewRomanPSMT" w:hAnsi="Calibri"/>
          <w:szCs w:val="22"/>
        </w:rPr>
        <w:t>d umieszczonych w ewidencji zabytków, największe nagromadzenie obiektów zlokalizowane je</w:t>
      </w:r>
      <w:r w:rsidR="001912BA">
        <w:rPr>
          <w:rFonts w:ascii="Calibri" w:eastAsia="TimesNewRomanPSMT" w:hAnsi="Calibri"/>
          <w:szCs w:val="22"/>
        </w:rPr>
        <w:t xml:space="preserve">st w </w:t>
      </w:r>
      <w:r w:rsidRPr="00F9121A">
        <w:rPr>
          <w:rFonts w:ascii="Calibri" w:eastAsia="TimesNewRomanPSMT" w:hAnsi="Calibri" w:hint="eastAsia"/>
          <w:szCs w:val="22"/>
        </w:rPr>
        <w:t>Ś</w:t>
      </w:r>
      <w:r w:rsidRPr="00F9121A">
        <w:rPr>
          <w:rFonts w:ascii="Calibri" w:eastAsia="TimesNewRomanPSMT" w:hAnsi="Calibri"/>
          <w:szCs w:val="22"/>
        </w:rPr>
        <w:t>r</w:t>
      </w:r>
      <w:r w:rsidRPr="00F9121A">
        <w:rPr>
          <w:rFonts w:ascii="Calibri" w:eastAsia="TimesNewRomanPSMT" w:hAnsi="Calibri" w:hint="eastAsia"/>
          <w:szCs w:val="22"/>
        </w:rPr>
        <w:t>ó</w:t>
      </w:r>
      <w:r w:rsidRPr="00F9121A">
        <w:rPr>
          <w:rFonts w:ascii="Calibri" w:eastAsia="TimesNewRomanPSMT" w:hAnsi="Calibri"/>
          <w:szCs w:val="22"/>
        </w:rPr>
        <w:t>dmie</w:t>
      </w:r>
      <w:r w:rsidRPr="00F9121A">
        <w:rPr>
          <w:rFonts w:ascii="Calibri" w:eastAsia="TimesNewRomanPSMT" w:hAnsi="Calibri" w:hint="eastAsia"/>
          <w:szCs w:val="22"/>
        </w:rPr>
        <w:t>ś</w:t>
      </w:r>
      <w:r w:rsidRPr="00F9121A">
        <w:rPr>
          <w:rFonts w:ascii="Calibri" w:eastAsia="TimesNewRomanPSMT" w:hAnsi="Calibri"/>
          <w:szCs w:val="22"/>
        </w:rPr>
        <w:t>ciu.</w:t>
      </w:r>
    </w:p>
    <w:p w:rsidR="00F9121A" w:rsidRPr="00F9121A" w:rsidRDefault="00F9121A" w:rsidP="00F9121A">
      <w:pPr>
        <w:autoSpaceDE w:val="0"/>
        <w:autoSpaceDN w:val="0"/>
        <w:adjustRightInd w:val="0"/>
        <w:jc w:val="both"/>
        <w:rPr>
          <w:rFonts w:ascii="Calibri" w:eastAsia="TimesNewRomanPSMT" w:hAnsi="Calibri"/>
          <w:szCs w:val="22"/>
        </w:rPr>
      </w:pPr>
      <w:r w:rsidRPr="00F9121A">
        <w:rPr>
          <w:rFonts w:ascii="Calibri" w:eastAsia="TimesNewRomanPSMT" w:hAnsi="Calibri"/>
          <w:szCs w:val="22"/>
        </w:rPr>
        <w:t>W</w:t>
      </w:r>
      <w:r w:rsidRPr="00F9121A">
        <w:rPr>
          <w:rFonts w:ascii="Calibri" w:eastAsia="TimesNewRomanPSMT" w:hAnsi="Calibri" w:hint="eastAsia"/>
          <w:szCs w:val="22"/>
        </w:rPr>
        <w:t>ś</w:t>
      </w:r>
      <w:r w:rsidRPr="00F9121A">
        <w:rPr>
          <w:rFonts w:ascii="Calibri" w:eastAsia="TimesNewRomanPSMT" w:hAnsi="Calibri"/>
          <w:szCs w:val="22"/>
        </w:rPr>
        <w:t>r</w:t>
      </w:r>
      <w:r w:rsidRPr="00F9121A">
        <w:rPr>
          <w:rFonts w:ascii="Calibri" w:eastAsia="TimesNewRomanPSMT" w:hAnsi="Calibri" w:hint="eastAsia"/>
          <w:szCs w:val="22"/>
        </w:rPr>
        <w:t>ó</w:t>
      </w:r>
      <w:r w:rsidRPr="00F9121A">
        <w:rPr>
          <w:rFonts w:ascii="Calibri" w:eastAsia="TimesNewRomanPSMT" w:hAnsi="Calibri"/>
          <w:szCs w:val="22"/>
        </w:rPr>
        <w:t>d zabytk</w:t>
      </w:r>
      <w:r w:rsidRPr="00F9121A">
        <w:rPr>
          <w:rFonts w:ascii="Calibri" w:eastAsia="TimesNewRomanPSMT" w:hAnsi="Calibri" w:hint="eastAsia"/>
          <w:szCs w:val="22"/>
        </w:rPr>
        <w:t>ó</w:t>
      </w:r>
      <w:r w:rsidRPr="00F9121A">
        <w:rPr>
          <w:rFonts w:ascii="Calibri" w:eastAsia="TimesNewRomanPSMT" w:hAnsi="Calibri"/>
          <w:szCs w:val="22"/>
        </w:rPr>
        <w:t>w architektonicznych, obiektami wyr</w:t>
      </w:r>
      <w:r w:rsidRPr="00F9121A">
        <w:rPr>
          <w:rFonts w:ascii="Calibri" w:eastAsia="TimesNewRomanPSMT" w:hAnsi="Calibri" w:hint="eastAsia"/>
          <w:szCs w:val="22"/>
        </w:rPr>
        <w:t>óż</w:t>
      </w:r>
      <w:r w:rsidRPr="00F9121A">
        <w:rPr>
          <w:rFonts w:ascii="Calibri" w:eastAsia="TimesNewRomanPSMT" w:hAnsi="Calibri"/>
          <w:szCs w:val="22"/>
        </w:rPr>
        <w:t>niaj</w:t>
      </w:r>
      <w:r w:rsidRPr="00F9121A">
        <w:rPr>
          <w:rFonts w:ascii="Calibri" w:eastAsia="TimesNewRomanPSMT" w:hAnsi="Calibri" w:hint="eastAsia"/>
          <w:szCs w:val="22"/>
        </w:rPr>
        <w:t>ą</w:t>
      </w:r>
      <w:r w:rsidRPr="00F9121A">
        <w:rPr>
          <w:rFonts w:ascii="Calibri" w:eastAsia="TimesNewRomanPSMT" w:hAnsi="Calibri"/>
          <w:szCs w:val="22"/>
        </w:rPr>
        <w:t>cymi si</w:t>
      </w:r>
      <w:r w:rsidRPr="00F9121A">
        <w:rPr>
          <w:rFonts w:ascii="Calibri" w:eastAsia="TimesNewRomanPSMT" w:hAnsi="Calibri" w:hint="eastAsia"/>
          <w:szCs w:val="22"/>
        </w:rPr>
        <w:t>ę</w:t>
      </w:r>
      <w:r w:rsidRPr="00F9121A">
        <w:rPr>
          <w:rFonts w:ascii="Calibri" w:eastAsia="TimesNewRomanPSMT" w:hAnsi="Calibri"/>
          <w:szCs w:val="22"/>
        </w:rPr>
        <w:t xml:space="preserve"> w krajobrazie kulturowym miasta s</w:t>
      </w:r>
      <w:r w:rsidRPr="00F9121A">
        <w:rPr>
          <w:rFonts w:ascii="Calibri" w:eastAsia="TimesNewRomanPSMT" w:hAnsi="Calibri" w:hint="eastAsia"/>
          <w:szCs w:val="22"/>
        </w:rPr>
        <w:t>ą</w:t>
      </w:r>
      <w:r w:rsidRPr="00F9121A">
        <w:rPr>
          <w:rFonts w:ascii="Calibri" w:eastAsia="TimesNewRomanPSMT" w:hAnsi="Calibri"/>
          <w:szCs w:val="22"/>
        </w:rPr>
        <w:t>:</w:t>
      </w:r>
    </w:p>
    <w:p w:rsidR="00F9121A" w:rsidRPr="00F9121A" w:rsidRDefault="00F9121A" w:rsidP="004F6E0F">
      <w:pPr>
        <w:numPr>
          <w:ilvl w:val="0"/>
          <w:numId w:val="64"/>
        </w:numPr>
        <w:autoSpaceDE w:val="0"/>
        <w:autoSpaceDN w:val="0"/>
        <w:adjustRightInd w:val="0"/>
        <w:spacing w:before="120"/>
        <w:ind w:left="714" w:hanging="357"/>
        <w:jc w:val="both"/>
        <w:rPr>
          <w:rFonts w:ascii="Calibri" w:eastAsia="TimesNewRomanPSMT" w:hAnsi="Calibri"/>
          <w:szCs w:val="22"/>
        </w:rPr>
      </w:pPr>
      <w:r w:rsidRPr="00F9121A">
        <w:rPr>
          <w:rFonts w:ascii="Calibri" w:eastAsia="TimesNewRomanPSMT" w:hAnsi="Calibri"/>
          <w:szCs w:val="22"/>
        </w:rPr>
        <w:t>ko</w:t>
      </w:r>
      <w:r w:rsidRPr="00F9121A">
        <w:rPr>
          <w:rFonts w:ascii="Calibri" w:eastAsia="TimesNewRomanPSMT" w:hAnsi="Calibri" w:hint="eastAsia"/>
          <w:szCs w:val="22"/>
        </w:rPr>
        <w:t>ś</w:t>
      </w:r>
      <w:r w:rsidRPr="00F9121A">
        <w:rPr>
          <w:rFonts w:ascii="Calibri" w:eastAsia="TimesNewRomanPSMT" w:hAnsi="Calibri"/>
          <w:szCs w:val="22"/>
        </w:rPr>
        <w:t>cio</w:t>
      </w:r>
      <w:r w:rsidRPr="00F9121A">
        <w:rPr>
          <w:rFonts w:ascii="Calibri" w:eastAsia="TimesNewRomanPSMT" w:hAnsi="Calibri" w:hint="eastAsia"/>
          <w:szCs w:val="22"/>
        </w:rPr>
        <w:t>ł</w:t>
      </w:r>
      <w:r w:rsidRPr="00F9121A">
        <w:rPr>
          <w:rFonts w:ascii="Calibri" w:eastAsia="TimesNewRomanPSMT" w:hAnsi="Calibri"/>
          <w:szCs w:val="22"/>
        </w:rPr>
        <w:t>y: Wniebowzi</w:t>
      </w:r>
      <w:r w:rsidRPr="00F9121A">
        <w:rPr>
          <w:rFonts w:ascii="Calibri" w:eastAsia="TimesNewRomanPSMT" w:hAnsi="Calibri" w:hint="eastAsia"/>
          <w:szCs w:val="22"/>
        </w:rPr>
        <w:t>ę</w:t>
      </w:r>
      <w:r w:rsidRPr="00F9121A">
        <w:rPr>
          <w:rFonts w:ascii="Calibri" w:eastAsia="TimesNewRomanPSMT" w:hAnsi="Calibri"/>
          <w:szCs w:val="22"/>
        </w:rPr>
        <w:t>cia Naj</w:t>
      </w:r>
      <w:r w:rsidRPr="00F9121A">
        <w:rPr>
          <w:rFonts w:ascii="Calibri" w:eastAsia="TimesNewRomanPSMT" w:hAnsi="Calibri" w:hint="eastAsia"/>
          <w:szCs w:val="22"/>
        </w:rPr>
        <w:t>ś</w:t>
      </w:r>
      <w:r w:rsidRPr="00F9121A">
        <w:rPr>
          <w:rFonts w:ascii="Calibri" w:eastAsia="TimesNewRomanPSMT" w:hAnsi="Calibri"/>
          <w:szCs w:val="22"/>
        </w:rPr>
        <w:t>wi</w:t>
      </w:r>
      <w:r w:rsidRPr="00F9121A">
        <w:rPr>
          <w:rFonts w:ascii="Calibri" w:eastAsia="TimesNewRomanPSMT" w:hAnsi="Calibri" w:hint="eastAsia"/>
          <w:szCs w:val="22"/>
        </w:rPr>
        <w:t>ę</w:t>
      </w:r>
      <w:r w:rsidRPr="00F9121A">
        <w:rPr>
          <w:rFonts w:ascii="Calibri" w:eastAsia="TimesNewRomanPSMT" w:hAnsi="Calibri"/>
          <w:szCs w:val="22"/>
        </w:rPr>
        <w:t xml:space="preserve">tszej Marii Panny (Rynek), </w:t>
      </w:r>
      <w:r w:rsidRPr="00F9121A">
        <w:rPr>
          <w:rFonts w:ascii="Calibri" w:eastAsia="TimesNewRomanPSMT" w:hAnsi="Calibri" w:hint="eastAsia"/>
          <w:szCs w:val="22"/>
        </w:rPr>
        <w:t>ś</w:t>
      </w:r>
      <w:r w:rsidRPr="00F9121A">
        <w:rPr>
          <w:rFonts w:ascii="Calibri" w:eastAsia="TimesNewRomanPSMT" w:hAnsi="Calibri"/>
          <w:szCs w:val="22"/>
        </w:rPr>
        <w:t xml:space="preserve">w. Wojciecha (pl. Klasztorny), </w:t>
      </w:r>
      <w:r w:rsidRPr="00F9121A">
        <w:rPr>
          <w:rFonts w:ascii="Calibri" w:eastAsia="TimesNewRomanPSMT" w:hAnsi="Calibri" w:hint="eastAsia"/>
          <w:szCs w:val="22"/>
        </w:rPr>
        <w:t>ś</w:t>
      </w:r>
      <w:r w:rsidRPr="00F9121A">
        <w:rPr>
          <w:rFonts w:ascii="Calibri" w:eastAsia="TimesNewRomanPSMT" w:hAnsi="Calibri"/>
          <w:szCs w:val="22"/>
        </w:rPr>
        <w:t>w.</w:t>
      </w:r>
      <w:r w:rsidR="00F61EF6">
        <w:rPr>
          <w:rFonts w:ascii="Calibri" w:eastAsia="TimesNewRomanPSMT" w:hAnsi="Calibri"/>
          <w:szCs w:val="22"/>
        </w:rPr>
        <w:t xml:space="preserve"> </w:t>
      </w:r>
      <w:r w:rsidRPr="00F9121A">
        <w:rPr>
          <w:rFonts w:ascii="Calibri" w:eastAsia="TimesNewRomanPSMT" w:hAnsi="Calibri"/>
          <w:szCs w:val="22"/>
        </w:rPr>
        <w:t>Jacka (ul.</w:t>
      </w:r>
      <w:r>
        <w:rPr>
          <w:rFonts w:ascii="Calibri" w:eastAsia="TimesNewRomanPSMT" w:hAnsi="Calibri"/>
          <w:szCs w:val="22"/>
        </w:rPr>
        <w:t> </w:t>
      </w:r>
      <w:r w:rsidRPr="00F9121A">
        <w:rPr>
          <w:rFonts w:ascii="Calibri" w:eastAsia="TimesNewRomanPSMT" w:hAnsi="Calibri"/>
          <w:szCs w:val="22"/>
        </w:rPr>
        <w:t xml:space="preserve">Witczaka), </w:t>
      </w:r>
      <w:r w:rsidRPr="00F9121A">
        <w:rPr>
          <w:rFonts w:ascii="Calibri" w:eastAsia="TimesNewRomanPSMT" w:hAnsi="Calibri" w:hint="eastAsia"/>
          <w:szCs w:val="22"/>
        </w:rPr>
        <w:t>ś</w:t>
      </w:r>
      <w:r w:rsidRPr="00F9121A">
        <w:rPr>
          <w:rFonts w:ascii="Calibri" w:eastAsia="TimesNewRomanPSMT" w:hAnsi="Calibri"/>
          <w:szCs w:val="22"/>
        </w:rPr>
        <w:t>w. Tr</w:t>
      </w:r>
      <w:r w:rsidRPr="00F9121A">
        <w:rPr>
          <w:rFonts w:ascii="Calibri" w:eastAsia="TimesNewRomanPSMT" w:hAnsi="Calibri" w:hint="eastAsia"/>
          <w:szCs w:val="22"/>
        </w:rPr>
        <w:t>ó</w:t>
      </w:r>
      <w:r w:rsidRPr="00F9121A">
        <w:rPr>
          <w:rFonts w:ascii="Calibri" w:eastAsia="TimesNewRomanPSMT" w:hAnsi="Calibri"/>
          <w:szCs w:val="22"/>
        </w:rPr>
        <w:t xml:space="preserve">jcy (ul. Piekarska), kaplica </w:t>
      </w:r>
      <w:r w:rsidRPr="00F9121A">
        <w:rPr>
          <w:rFonts w:ascii="Calibri" w:eastAsia="TimesNewRomanPSMT" w:hAnsi="Calibri" w:hint="eastAsia"/>
          <w:szCs w:val="22"/>
        </w:rPr>
        <w:t>ś</w:t>
      </w:r>
      <w:r w:rsidR="009743BE">
        <w:rPr>
          <w:rFonts w:ascii="Calibri" w:eastAsia="TimesNewRomanPSMT" w:hAnsi="Calibri"/>
          <w:szCs w:val="22"/>
        </w:rPr>
        <w:t>w. Ducha (ul. Krakowska),</w:t>
      </w:r>
    </w:p>
    <w:p w:rsidR="00F9121A" w:rsidRPr="00F9121A" w:rsidRDefault="00F9121A" w:rsidP="004F6E0F">
      <w:pPr>
        <w:numPr>
          <w:ilvl w:val="0"/>
          <w:numId w:val="63"/>
        </w:numPr>
        <w:autoSpaceDE w:val="0"/>
        <w:autoSpaceDN w:val="0"/>
        <w:adjustRightInd w:val="0"/>
        <w:ind w:left="714" w:hanging="357"/>
        <w:jc w:val="both"/>
        <w:rPr>
          <w:rFonts w:ascii="Calibri" w:eastAsia="TimesNewRomanPSMT" w:hAnsi="Calibri"/>
          <w:szCs w:val="22"/>
        </w:rPr>
      </w:pPr>
      <w:r w:rsidRPr="00F9121A">
        <w:rPr>
          <w:rFonts w:ascii="Calibri" w:eastAsia="TimesNewRomanPSMT" w:hAnsi="Calibri"/>
          <w:szCs w:val="22"/>
        </w:rPr>
        <w:t>budynki u</w:t>
      </w:r>
      <w:r w:rsidRPr="00F9121A">
        <w:rPr>
          <w:rFonts w:ascii="Calibri" w:eastAsia="TimesNewRomanPSMT" w:hAnsi="Calibri" w:hint="eastAsia"/>
          <w:szCs w:val="22"/>
        </w:rPr>
        <w:t>ż</w:t>
      </w:r>
      <w:r w:rsidRPr="00F9121A">
        <w:rPr>
          <w:rFonts w:ascii="Calibri" w:eastAsia="TimesNewRomanPSMT" w:hAnsi="Calibri"/>
          <w:szCs w:val="22"/>
        </w:rPr>
        <w:t>yteczno</w:t>
      </w:r>
      <w:r w:rsidRPr="00F9121A">
        <w:rPr>
          <w:rFonts w:ascii="Calibri" w:eastAsia="TimesNewRomanPSMT" w:hAnsi="Calibri" w:hint="eastAsia"/>
          <w:szCs w:val="22"/>
        </w:rPr>
        <w:t>ś</w:t>
      </w:r>
      <w:r w:rsidRPr="00F9121A">
        <w:rPr>
          <w:rFonts w:ascii="Calibri" w:eastAsia="TimesNewRomanPSMT" w:hAnsi="Calibri"/>
          <w:szCs w:val="22"/>
        </w:rPr>
        <w:t>ci publicznej: budynek dawnej Poczty G</w:t>
      </w:r>
      <w:r w:rsidRPr="00F9121A">
        <w:rPr>
          <w:rFonts w:ascii="Calibri" w:eastAsia="TimesNewRomanPSMT" w:hAnsi="Calibri" w:hint="eastAsia"/>
          <w:szCs w:val="22"/>
        </w:rPr>
        <w:t>łó</w:t>
      </w:r>
      <w:r w:rsidRPr="00F9121A">
        <w:rPr>
          <w:rFonts w:ascii="Calibri" w:eastAsia="TimesNewRomanPSMT" w:hAnsi="Calibri"/>
          <w:szCs w:val="22"/>
        </w:rPr>
        <w:t>wnej (ul. Piekarska), S</w:t>
      </w:r>
      <w:r w:rsidRPr="00F9121A">
        <w:rPr>
          <w:rFonts w:ascii="Calibri" w:eastAsia="TimesNewRomanPSMT" w:hAnsi="Calibri" w:hint="eastAsia"/>
          <w:szCs w:val="22"/>
        </w:rPr>
        <w:t>ą</w:t>
      </w:r>
      <w:r w:rsidRPr="00F9121A">
        <w:rPr>
          <w:rFonts w:ascii="Calibri" w:eastAsia="TimesNewRomanPSMT" w:hAnsi="Calibri"/>
          <w:szCs w:val="22"/>
        </w:rPr>
        <w:t>d Rejonowy (ul.</w:t>
      </w:r>
      <w:r>
        <w:rPr>
          <w:rFonts w:ascii="Calibri" w:eastAsia="TimesNewRomanPSMT" w:hAnsi="Calibri"/>
          <w:szCs w:val="22"/>
        </w:rPr>
        <w:t> </w:t>
      </w:r>
      <w:r w:rsidRPr="00F9121A">
        <w:rPr>
          <w:rFonts w:ascii="Calibri" w:eastAsia="TimesNewRomanPSMT" w:hAnsi="Calibri"/>
          <w:szCs w:val="22"/>
        </w:rPr>
        <w:t xml:space="preserve">Piekarska), </w:t>
      </w:r>
      <w:r w:rsidR="00EA37D4">
        <w:rPr>
          <w:rFonts w:ascii="Calibri" w:eastAsia="TimesNewRomanPSMT" w:hAnsi="Calibri"/>
          <w:szCs w:val="22"/>
        </w:rPr>
        <w:t>Areszt Śledczy</w:t>
      </w:r>
      <w:r w:rsidRPr="00F9121A">
        <w:rPr>
          <w:rFonts w:ascii="Calibri" w:eastAsia="TimesNewRomanPSMT" w:hAnsi="Calibri"/>
          <w:szCs w:val="22"/>
        </w:rPr>
        <w:t xml:space="preserve"> (ul. Wrocławska), Opera </w:t>
      </w:r>
      <w:r w:rsidRPr="00F9121A">
        <w:rPr>
          <w:rFonts w:ascii="Calibri" w:eastAsia="TimesNewRomanPSMT" w:hAnsi="Calibri" w:hint="eastAsia"/>
          <w:szCs w:val="22"/>
        </w:rPr>
        <w:t>Ś</w:t>
      </w:r>
      <w:r w:rsidRPr="00F9121A">
        <w:rPr>
          <w:rFonts w:ascii="Calibri" w:eastAsia="TimesNewRomanPSMT" w:hAnsi="Calibri"/>
          <w:szCs w:val="22"/>
        </w:rPr>
        <w:t>l</w:t>
      </w:r>
      <w:r w:rsidRPr="00F9121A">
        <w:rPr>
          <w:rFonts w:ascii="Calibri" w:eastAsia="TimesNewRomanPSMT" w:hAnsi="Calibri" w:hint="eastAsia"/>
          <w:szCs w:val="22"/>
        </w:rPr>
        <w:t>ą</w:t>
      </w:r>
      <w:r w:rsidRPr="00F9121A">
        <w:rPr>
          <w:rFonts w:ascii="Calibri" w:eastAsia="TimesNewRomanPSMT" w:hAnsi="Calibri"/>
          <w:szCs w:val="22"/>
        </w:rPr>
        <w:t>ska (dawny teatr miejski)</w:t>
      </w:r>
      <w:r w:rsidR="00DA4F3E">
        <w:rPr>
          <w:rFonts w:ascii="Calibri" w:eastAsia="TimesNewRomanPSMT" w:hAnsi="Calibri"/>
          <w:szCs w:val="22"/>
        </w:rPr>
        <w:t>,</w:t>
      </w:r>
      <w:r w:rsidRPr="00F9121A">
        <w:rPr>
          <w:rFonts w:ascii="Calibri" w:eastAsia="TimesNewRomanPSMT" w:hAnsi="Calibri"/>
          <w:szCs w:val="22"/>
        </w:rPr>
        <w:t xml:space="preserve"> Muzeum G</w:t>
      </w:r>
      <w:r w:rsidRPr="00F9121A">
        <w:rPr>
          <w:rFonts w:ascii="Calibri" w:eastAsia="TimesNewRomanPSMT" w:hAnsi="Calibri" w:hint="eastAsia"/>
          <w:szCs w:val="22"/>
        </w:rPr>
        <w:t>ó</w:t>
      </w:r>
      <w:r w:rsidRPr="00F9121A">
        <w:rPr>
          <w:rFonts w:ascii="Calibri" w:eastAsia="TimesNewRomanPSMT" w:hAnsi="Calibri"/>
          <w:szCs w:val="22"/>
        </w:rPr>
        <w:t>rno</w:t>
      </w:r>
      <w:r w:rsidRPr="00F9121A">
        <w:rPr>
          <w:rFonts w:ascii="Calibri" w:eastAsia="TimesNewRomanPSMT" w:hAnsi="Calibri" w:hint="eastAsia"/>
          <w:szCs w:val="22"/>
        </w:rPr>
        <w:t>ś</w:t>
      </w:r>
      <w:r w:rsidRPr="00F9121A">
        <w:rPr>
          <w:rFonts w:ascii="Calibri" w:eastAsia="TimesNewRomanPSMT" w:hAnsi="Calibri"/>
          <w:szCs w:val="22"/>
        </w:rPr>
        <w:t>l</w:t>
      </w:r>
      <w:r w:rsidRPr="00F9121A">
        <w:rPr>
          <w:rFonts w:ascii="Calibri" w:eastAsia="TimesNewRomanPSMT" w:hAnsi="Calibri" w:hint="eastAsia"/>
          <w:szCs w:val="22"/>
        </w:rPr>
        <w:t>ą</w:t>
      </w:r>
      <w:r w:rsidR="009743BE">
        <w:rPr>
          <w:rFonts w:ascii="Calibri" w:eastAsia="TimesNewRomanPSMT" w:hAnsi="Calibri"/>
          <w:szCs w:val="22"/>
        </w:rPr>
        <w:t>skie (ul. Korfantego),</w:t>
      </w:r>
    </w:p>
    <w:p w:rsidR="00F9121A" w:rsidRPr="00F9121A" w:rsidRDefault="00F9121A" w:rsidP="004F6E0F">
      <w:pPr>
        <w:numPr>
          <w:ilvl w:val="0"/>
          <w:numId w:val="8"/>
        </w:numPr>
        <w:autoSpaceDE w:val="0"/>
        <w:autoSpaceDN w:val="0"/>
        <w:adjustRightInd w:val="0"/>
        <w:spacing w:after="120"/>
        <w:ind w:left="714" w:hanging="357"/>
        <w:jc w:val="both"/>
        <w:rPr>
          <w:rFonts w:ascii="Calibri" w:eastAsia="TimesNewRomanPSMT" w:hAnsi="Calibri"/>
          <w:szCs w:val="22"/>
        </w:rPr>
      </w:pPr>
      <w:r w:rsidRPr="00F9121A">
        <w:rPr>
          <w:rFonts w:ascii="Calibri" w:eastAsia="TimesNewRomanPSMT" w:hAnsi="Calibri"/>
          <w:szCs w:val="22"/>
        </w:rPr>
        <w:t>zesp</w:t>
      </w:r>
      <w:r w:rsidRPr="00F9121A">
        <w:rPr>
          <w:rFonts w:ascii="Calibri" w:eastAsia="TimesNewRomanPSMT" w:hAnsi="Calibri" w:hint="eastAsia"/>
          <w:szCs w:val="22"/>
        </w:rPr>
        <w:t>ół</w:t>
      </w:r>
      <w:r w:rsidRPr="00F9121A">
        <w:rPr>
          <w:rFonts w:ascii="Calibri" w:eastAsia="TimesNewRomanPSMT" w:hAnsi="Calibri"/>
          <w:szCs w:val="22"/>
        </w:rPr>
        <w:t xml:space="preserve"> zabudowy wielkomiejskiej, w tym</w:t>
      </w:r>
      <w:r w:rsidRPr="00F9121A">
        <w:rPr>
          <w:rFonts w:ascii="Calibri" w:eastAsia="SymbolMT" w:hAnsi="Calibri"/>
          <w:szCs w:val="22"/>
        </w:rPr>
        <w:t xml:space="preserve"> </w:t>
      </w:r>
      <w:r w:rsidRPr="00F9121A">
        <w:rPr>
          <w:rFonts w:ascii="Calibri" w:eastAsia="TimesNewRomanPSMT" w:hAnsi="Calibri"/>
          <w:szCs w:val="22"/>
        </w:rPr>
        <w:t>kamienice w rejonie ul. Dworcowej, Rynku, ul. Jainty, ul.</w:t>
      </w:r>
      <w:r>
        <w:rPr>
          <w:rFonts w:ascii="Calibri" w:eastAsia="TimesNewRomanPSMT" w:hAnsi="Calibri"/>
          <w:szCs w:val="22"/>
        </w:rPr>
        <w:t> </w:t>
      </w:r>
      <w:r w:rsidRPr="00F9121A">
        <w:rPr>
          <w:rFonts w:ascii="Calibri" w:eastAsia="TimesNewRomanPSMT" w:hAnsi="Calibri"/>
          <w:szCs w:val="22"/>
        </w:rPr>
        <w:t>Gliwickiej.</w:t>
      </w:r>
    </w:p>
    <w:p w:rsidR="00F9121A" w:rsidRDefault="00F9121A" w:rsidP="00F9121A">
      <w:pPr>
        <w:autoSpaceDE w:val="0"/>
        <w:autoSpaceDN w:val="0"/>
        <w:adjustRightInd w:val="0"/>
        <w:ind w:firstLine="360"/>
        <w:jc w:val="both"/>
        <w:rPr>
          <w:rFonts w:ascii="Calibri" w:eastAsia="TimesNewRomanPSMT" w:hAnsi="Calibri"/>
          <w:szCs w:val="22"/>
        </w:rPr>
      </w:pPr>
      <w:r w:rsidRPr="00F9121A">
        <w:rPr>
          <w:rFonts w:ascii="Calibri" w:hAnsi="Calibri"/>
          <w:szCs w:val="20"/>
        </w:rPr>
        <w:t>Część obiektów</w:t>
      </w:r>
      <w:r>
        <w:rPr>
          <w:rFonts w:ascii="Calibri" w:hAnsi="Calibri"/>
          <w:szCs w:val="20"/>
        </w:rPr>
        <w:t xml:space="preserve"> zabytkowych o wybitnych walorach pełni funkcje kulturotwórcze (np. gmachy Opery Śląskiej i Muzeum Górnośląskiego, kamienica przy Rynku 26 – siedziba galerii „Kronika”, kamienica przy ul. Powstańców Warszawskich 12 – siedziba MDK nr I).</w:t>
      </w:r>
    </w:p>
    <w:p w:rsidR="00F9121A" w:rsidRPr="00F9121A" w:rsidRDefault="00F9121A" w:rsidP="00F9121A">
      <w:pPr>
        <w:ind w:firstLine="360"/>
        <w:jc w:val="both"/>
        <w:rPr>
          <w:rFonts w:ascii="Calibri" w:eastAsia="TimesNewRomanPSMT" w:hAnsi="Calibri"/>
          <w:szCs w:val="22"/>
        </w:rPr>
      </w:pPr>
      <w:r w:rsidRPr="00F9121A">
        <w:rPr>
          <w:rFonts w:ascii="Calibri" w:eastAsia="TimesNewRomanPSMT" w:hAnsi="Calibri"/>
          <w:szCs w:val="22"/>
        </w:rPr>
        <w:t>Wi</w:t>
      </w:r>
      <w:r w:rsidRPr="00F9121A">
        <w:rPr>
          <w:rFonts w:ascii="Calibri" w:eastAsia="TimesNewRomanPSMT" w:hAnsi="Calibri" w:hint="eastAsia"/>
          <w:szCs w:val="22"/>
        </w:rPr>
        <w:t>ę</w:t>
      </w:r>
      <w:r w:rsidRPr="00F9121A">
        <w:rPr>
          <w:rFonts w:ascii="Calibri" w:eastAsia="TimesNewRomanPSMT" w:hAnsi="Calibri"/>
          <w:szCs w:val="22"/>
        </w:rPr>
        <w:t>kszo</w:t>
      </w:r>
      <w:r w:rsidRPr="00F9121A">
        <w:rPr>
          <w:rFonts w:ascii="Calibri" w:eastAsia="TimesNewRomanPSMT" w:hAnsi="Calibri" w:hint="eastAsia"/>
          <w:szCs w:val="22"/>
        </w:rPr>
        <w:t>ść</w:t>
      </w:r>
      <w:r w:rsidRPr="00F9121A">
        <w:rPr>
          <w:rFonts w:ascii="Calibri" w:eastAsia="TimesNewRomanPSMT" w:hAnsi="Calibri"/>
          <w:szCs w:val="22"/>
        </w:rPr>
        <w:t xml:space="preserve"> istniej</w:t>
      </w:r>
      <w:r w:rsidRPr="00F9121A">
        <w:rPr>
          <w:rFonts w:ascii="Calibri" w:eastAsia="TimesNewRomanPSMT" w:hAnsi="Calibri" w:hint="eastAsia"/>
          <w:szCs w:val="22"/>
        </w:rPr>
        <w:t>ą</w:t>
      </w:r>
      <w:r w:rsidRPr="00F9121A">
        <w:rPr>
          <w:rFonts w:ascii="Calibri" w:eastAsia="TimesNewRomanPSMT" w:hAnsi="Calibri"/>
          <w:szCs w:val="22"/>
        </w:rPr>
        <w:t>cych zabytk</w:t>
      </w:r>
      <w:r w:rsidRPr="00F9121A">
        <w:rPr>
          <w:rFonts w:ascii="Calibri" w:eastAsia="TimesNewRomanPSMT" w:hAnsi="Calibri" w:hint="eastAsia"/>
          <w:szCs w:val="22"/>
        </w:rPr>
        <w:t>ó</w:t>
      </w:r>
      <w:r w:rsidRPr="00F9121A">
        <w:rPr>
          <w:rFonts w:ascii="Calibri" w:eastAsia="TimesNewRomanPSMT" w:hAnsi="Calibri"/>
          <w:szCs w:val="22"/>
        </w:rPr>
        <w:t xml:space="preserve">w Bytomia pochodzi z okresu XIX i XX w. </w:t>
      </w:r>
      <w:r w:rsidR="008307E0" w:rsidRPr="0022054E">
        <w:rPr>
          <w:rFonts w:ascii="Calibri" w:hAnsi="Calibri" w:cs="Calibri"/>
          <w:szCs w:val="20"/>
        </w:rPr>
        <w:t>W latach 2011-2015 wpisane do rejestru zab</w:t>
      </w:r>
      <w:r w:rsidR="00EE5247">
        <w:rPr>
          <w:rFonts w:ascii="Calibri" w:hAnsi="Calibri" w:cs="Calibri"/>
          <w:szCs w:val="20"/>
        </w:rPr>
        <w:t xml:space="preserve">ytki ruchome to 341 obiektów a </w:t>
      </w:r>
      <w:r w:rsidR="008307E0" w:rsidRPr="0022054E">
        <w:rPr>
          <w:rFonts w:ascii="Calibri" w:hAnsi="Calibri" w:cs="Calibri"/>
          <w:szCs w:val="20"/>
        </w:rPr>
        <w:t>uznane jako ruchome to 1083. W tym – obiekty sakralne w obszarze rewitalizacji, wp</w:t>
      </w:r>
      <w:r w:rsidR="00EE5247">
        <w:rPr>
          <w:rFonts w:ascii="Calibri" w:hAnsi="Calibri" w:cs="Calibri"/>
          <w:szCs w:val="20"/>
        </w:rPr>
        <w:t>isane do rejestru to 6 obiektów, 3 cmentarze</w:t>
      </w:r>
      <w:r w:rsidR="008307E0" w:rsidRPr="0022054E">
        <w:rPr>
          <w:rFonts w:ascii="Calibri" w:hAnsi="Calibri" w:cs="Calibri"/>
          <w:szCs w:val="20"/>
        </w:rPr>
        <w:t>, w tym najwięk</w:t>
      </w:r>
      <w:r w:rsidR="009743BE">
        <w:rPr>
          <w:rFonts w:ascii="Calibri" w:hAnsi="Calibri" w:cs="Calibri"/>
          <w:szCs w:val="20"/>
        </w:rPr>
        <w:t>szy Mater Dolorosa i Żydowski. D</w:t>
      </w:r>
      <w:r w:rsidR="008307E0" w:rsidRPr="0022054E">
        <w:rPr>
          <w:rFonts w:ascii="Calibri" w:hAnsi="Calibri" w:cs="Calibri"/>
          <w:szCs w:val="20"/>
        </w:rPr>
        <w:t xml:space="preserve">o obiektów zabytkowych dodatkowo zaliczyć należy również </w:t>
      </w:r>
      <w:r w:rsidR="008307E0" w:rsidRPr="009743BE">
        <w:rPr>
          <w:rFonts w:ascii="Calibri" w:hAnsi="Calibri" w:cs="Calibri"/>
          <w:b/>
          <w:szCs w:val="20"/>
        </w:rPr>
        <w:t>kościół pw. św. Małgorzaty</w:t>
      </w:r>
      <w:r w:rsidR="008307E0" w:rsidRPr="0022054E">
        <w:rPr>
          <w:rFonts w:ascii="Calibri" w:hAnsi="Calibri" w:cs="Calibri"/>
          <w:szCs w:val="20"/>
        </w:rPr>
        <w:t xml:space="preserve"> i przyległy do kościoła cmentarz, które znajdują się na terenie stanowiska archeologicznego na Wzgórzu Małgorzatki wpisanego do rejestru zabytków. </w:t>
      </w:r>
      <w:r w:rsidRPr="00F9121A">
        <w:rPr>
          <w:rFonts w:ascii="Calibri" w:eastAsia="TimesNewRomanPSMT" w:hAnsi="Calibri"/>
          <w:szCs w:val="22"/>
        </w:rPr>
        <w:t xml:space="preserve">Zabudowa </w:t>
      </w:r>
      <w:r w:rsidRPr="00F9121A">
        <w:rPr>
          <w:rFonts w:ascii="Calibri" w:eastAsia="TimesNewRomanPSMT" w:hAnsi="Calibri" w:hint="eastAsia"/>
          <w:szCs w:val="22"/>
        </w:rPr>
        <w:t>ś</w:t>
      </w:r>
      <w:r w:rsidRPr="00F9121A">
        <w:rPr>
          <w:rFonts w:ascii="Calibri" w:eastAsia="TimesNewRomanPSMT" w:hAnsi="Calibri"/>
          <w:szCs w:val="22"/>
        </w:rPr>
        <w:t>redniowieczna w</w:t>
      </w:r>
      <w:r>
        <w:rPr>
          <w:rFonts w:ascii="Calibri" w:eastAsia="TimesNewRomanPSMT" w:hAnsi="Calibri"/>
          <w:szCs w:val="22"/>
        </w:rPr>
        <w:t> </w:t>
      </w:r>
      <w:r w:rsidRPr="00F9121A">
        <w:rPr>
          <w:rFonts w:ascii="Calibri" w:eastAsia="TimesNewRomanPSMT" w:hAnsi="Calibri"/>
          <w:szCs w:val="22"/>
        </w:rPr>
        <w:t>czystej postaci reprezentowana jest szcz</w:t>
      </w:r>
      <w:r w:rsidRPr="00F9121A">
        <w:rPr>
          <w:rFonts w:ascii="Calibri" w:eastAsia="TimesNewRomanPSMT" w:hAnsi="Calibri" w:hint="eastAsia"/>
          <w:szCs w:val="22"/>
        </w:rPr>
        <w:t>ą</w:t>
      </w:r>
      <w:r w:rsidRPr="00F9121A">
        <w:rPr>
          <w:rFonts w:ascii="Calibri" w:eastAsia="TimesNewRomanPSMT" w:hAnsi="Calibri"/>
          <w:szCs w:val="22"/>
        </w:rPr>
        <w:t>tkowo. Jej przyk</w:t>
      </w:r>
      <w:r w:rsidRPr="00F9121A">
        <w:rPr>
          <w:rFonts w:ascii="Calibri" w:eastAsia="TimesNewRomanPSMT" w:hAnsi="Calibri" w:hint="eastAsia"/>
          <w:szCs w:val="22"/>
        </w:rPr>
        <w:t>ł</w:t>
      </w:r>
      <w:r w:rsidRPr="00F9121A">
        <w:rPr>
          <w:rFonts w:ascii="Calibri" w:eastAsia="TimesNewRomanPSMT" w:hAnsi="Calibri"/>
          <w:szCs w:val="22"/>
        </w:rPr>
        <w:t>adami s</w:t>
      </w:r>
      <w:r w:rsidRPr="00F9121A">
        <w:rPr>
          <w:rFonts w:ascii="Calibri" w:eastAsia="TimesNewRomanPSMT" w:hAnsi="Calibri" w:hint="eastAsia"/>
          <w:szCs w:val="22"/>
        </w:rPr>
        <w:t>ą</w:t>
      </w:r>
      <w:r w:rsidRPr="00F9121A">
        <w:rPr>
          <w:rFonts w:ascii="Calibri" w:eastAsia="TimesNewRomanPSMT" w:hAnsi="Calibri"/>
          <w:szCs w:val="22"/>
        </w:rPr>
        <w:t>: piwnice dawnego domu Gorywod</w:t>
      </w:r>
      <w:r w:rsidRPr="00F9121A">
        <w:rPr>
          <w:rFonts w:ascii="Calibri" w:eastAsia="TimesNewRomanPSMT" w:hAnsi="Calibri" w:hint="eastAsia"/>
          <w:szCs w:val="22"/>
        </w:rPr>
        <w:t>ó</w:t>
      </w:r>
      <w:r w:rsidRPr="00F9121A">
        <w:rPr>
          <w:rFonts w:ascii="Calibri" w:eastAsia="TimesNewRomanPSMT" w:hAnsi="Calibri"/>
          <w:szCs w:val="22"/>
        </w:rPr>
        <w:t>w przy Rynku czy fragmenty mur</w:t>
      </w:r>
      <w:r w:rsidRPr="00F9121A">
        <w:rPr>
          <w:rFonts w:ascii="Calibri" w:eastAsia="TimesNewRomanPSMT" w:hAnsi="Calibri" w:hint="eastAsia"/>
          <w:szCs w:val="22"/>
        </w:rPr>
        <w:t>ó</w:t>
      </w:r>
      <w:r w:rsidRPr="00F9121A">
        <w:rPr>
          <w:rFonts w:ascii="Calibri" w:eastAsia="TimesNewRomanPSMT" w:hAnsi="Calibri"/>
          <w:szCs w:val="22"/>
        </w:rPr>
        <w:t>w miejskich. Archeologiczne badania ratownicze poprzedzaj</w:t>
      </w:r>
      <w:r w:rsidRPr="00F9121A">
        <w:rPr>
          <w:rFonts w:ascii="Calibri" w:eastAsia="TimesNewRomanPSMT" w:hAnsi="Calibri" w:hint="eastAsia"/>
          <w:szCs w:val="22"/>
        </w:rPr>
        <w:t>ą</w:t>
      </w:r>
      <w:r w:rsidRPr="00F9121A">
        <w:rPr>
          <w:rFonts w:ascii="Calibri" w:eastAsia="TimesNewRomanPSMT" w:hAnsi="Calibri"/>
          <w:szCs w:val="22"/>
        </w:rPr>
        <w:t>ce inwestycje w</w:t>
      </w:r>
      <w:r>
        <w:rPr>
          <w:rFonts w:ascii="Calibri" w:eastAsia="TimesNewRomanPSMT" w:hAnsi="Calibri"/>
          <w:szCs w:val="22"/>
        </w:rPr>
        <w:t> </w:t>
      </w:r>
      <w:r w:rsidRPr="00F9121A">
        <w:rPr>
          <w:rFonts w:ascii="Calibri" w:eastAsia="TimesNewRomanPSMT" w:hAnsi="Calibri"/>
          <w:szCs w:val="22"/>
        </w:rPr>
        <w:t>centrum dowodz</w:t>
      </w:r>
      <w:r w:rsidRPr="00F9121A">
        <w:rPr>
          <w:rFonts w:ascii="Calibri" w:eastAsia="TimesNewRomanPSMT" w:hAnsi="Calibri" w:hint="eastAsia"/>
          <w:szCs w:val="22"/>
        </w:rPr>
        <w:t>ą</w:t>
      </w:r>
      <w:r w:rsidRPr="00F9121A">
        <w:rPr>
          <w:rFonts w:ascii="Calibri" w:eastAsia="TimesNewRomanPSMT" w:hAnsi="Calibri"/>
          <w:szCs w:val="22"/>
        </w:rPr>
        <w:t xml:space="preserve">, </w:t>
      </w:r>
      <w:r w:rsidRPr="00F9121A">
        <w:rPr>
          <w:rFonts w:ascii="Calibri" w:eastAsia="TimesNewRomanPSMT" w:hAnsi="Calibri" w:hint="eastAsia"/>
          <w:szCs w:val="22"/>
        </w:rPr>
        <w:t>ż</w:t>
      </w:r>
      <w:r w:rsidRPr="00F9121A">
        <w:rPr>
          <w:rFonts w:ascii="Calibri" w:eastAsia="TimesNewRomanPSMT" w:hAnsi="Calibri"/>
          <w:szCs w:val="22"/>
        </w:rPr>
        <w:t>e cz</w:t>
      </w:r>
      <w:r w:rsidRPr="00F9121A">
        <w:rPr>
          <w:rFonts w:ascii="Calibri" w:eastAsia="TimesNewRomanPSMT" w:hAnsi="Calibri" w:hint="eastAsia"/>
          <w:szCs w:val="22"/>
        </w:rPr>
        <w:t>ęść</w:t>
      </w:r>
      <w:r w:rsidRPr="00F9121A">
        <w:rPr>
          <w:rFonts w:ascii="Calibri" w:eastAsia="TimesNewRomanPSMT" w:hAnsi="Calibri"/>
          <w:szCs w:val="22"/>
        </w:rPr>
        <w:t xml:space="preserve"> relikt</w:t>
      </w:r>
      <w:r w:rsidRPr="00F9121A">
        <w:rPr>
          <w:rFonts w:ascii="Calibri" w:eastAsia="TimesNewRomanPSMT" w:hAnsi="Calibri" w:hint="eastAsia"/>
          <w:szCs w:val="22"/>
        </w:rPr>
        <w:t>ó</w:t>
      </w:r>
      <w:r w:rsidRPr="00F9121A">
        <w:rPr>
          <w:rFonts w:ascii="Calibri" w:eastAsia="TimesNewRomanPSMT" w:hAnsi="Calibri"/>
          <w:szCs w:val="22"/>
        </w:rPr>
        <w:t>w dawnej zabudowy (ratusz miejski, waga miejska, bramy i mury miejskie) zachowana jest pod obecnymi poziomami u</w:t>
      </w:r>
      <w:r w:rsidRPr="00F9121A">
        <w:rPr>
          <w:rFonts w:ascii="Calibri" w:eastAsia="TimesNewRomanPSMT" w:hAnsi="Calibri" w:hint="eastAsia"/>
          <w:szCs w:val="22"/>
        </w:rPr>
        <w:t>ż</w:t>
      </w:r>
      <w:r w:rsidRPr="00F9121A">
        <w:rPr>
          <w:rFonts w:ascii="Calibri" w:eastAsia="TimesNewRomanPSMT" w:hAnsi="Calibri"/>
          <w:szCs w:val="22"/>
        </w:rPr>
        <w:t xml:space="preserve">ytkowymi. Najstarsze zachowane budowle </w:t>
      </w:r>
      <w:r w:rsidRPr="00F9121A">
        <w:rPr>
          <w:rFonts w:ascii="Calibri" w:eastAsia="TimesNewRomanPSMT" w:hAnsi="Calibri" w:hint="eastAsia"/>
          <w:szCs w:val="22"/>
        </w:rPr>
        <w:t>–</w:t>
      </w:r>
      <w:r w:rsidRPr="00F9121A">
        <w:rPr>
          <w:rFonts w:ascii="Calibri" w:eastAsia="TimesNewRomanPSMT" w:hAnsi="Calibri"/>
          <w:szCs w:val="22"/>
        </w:rPr>
        <w:t xml:space="preserve"> </w:t>
      </w:r>
      <w:r w:rsidRPr="00F9121A">
        <w:rPr>
          <w:rFonts w:ascii="Calibri" w:eastAsia="TimesNewRomanPSMT" w:hAnsi="Calibri"/>
          <w:b/>
          <w:bCs/>
          <w:szCs w:val="22"/>
        </w:rPr>
        <w:t xml:space="preserve">gotyckie kościoły </w:t>
      </w:r>
      <w:r w:rsidRPr="009743BE">
        <w:rPr>
          <w:rFonts w:ascii="Calibri" w:eastAsia="TimesNewRomanPSMT" w:hAnsi="Calibri"/>
          <w:b/>
          <w:szCs w:val="22"/>
        </w:rPr>
        <w:t>pw. Wniebowzi</w:t>
      </w:r>
      <w:r w:rsidRPr="009743BE">
        <w:rPr>
          <w:rFonts w:ascii="Calibri" w:eastAsia="TimesNewRomanPSMT" w:hAnsi="Calibri" w:hint="eastAsia"/>
          <w:b/>
          <w:szCs w:val="22"/>
        </w:rPr>
        <w:t>ę</w:t>
      </w:r>
      <w:r w:rsidRPr="009743BE">
        <w:rPr>
          <w:rFonts w:ascii="Calibri" w:eastAsia="TimesNewRomanPSMT" w:hAnsi="Calibri"/>
          <w:b/>
          <w:szCs w:val="22"/>
        </w:rPr>
        <w:t>cia Naj</w:t>
      </w:r>
      <w:r w:rsidRPr="009743BE">
        <w:rPr>
          <w:rFonts w:ascii="Calibri" w:eastAsia="TimesNewRomanPSMT" w:hAnsi="Calibri" w:hint="eastAsia"/>
          <w:b/>
          <w:szCs w:val="22"/>
        </w:rPr>
        <w:t>ś</w:t>
      </w:r>
      <w:r w:rsidRPr="009743BE">
        <w:rPr>
          <w:rFonts w:ascii="Calibri" w:eastAsia="TimesNewRomanPSMT" w:hAnsi="Calibri"/>
          <w:b/>
          <w:szCs w:val="22"/>
        </w:rPr>
        <w:t>wi</w:t>
      </w:r>
      <w:r w:rsidRPr="009743BE">
        <w:rPr>
          <w:rFonts w:ascii="Calibri" w:eastAsia="TimesNewRomanPSMT" w:hAnsi="Calibri" w:hint="eastAsia"/>
          <w:b/>
          <w:szCs w:val="22"/>
        </w:rPr>
        <w:t>ę</w:t>
      </w:r>
      <w:r w:rsidRPr="009743BE">
        <w:rPr>
          <w:rFonts w:ascii="Calibri" w:eastAsia="TimesNewRomanPSMT" w:hAnsi="Calibri"/>
          <w:b/>
          <w:szCs w:val="22"/>
        </w:rPr>
        <w:t xml:space="preserve">tszej Marii Panny i </w:t>
      </w:r>
      <w:r w:rsidRPr="009743BE">
        <w:rPr>
          <w:rFonts w:ascii="Calibri" w:eastAsia="TimesNewRomanPSMT" w:hAnsi="Calibri" w:hint="eastAsia"/>
          <w:b/>
          <w:szCs w:val="22"/>
        </w:rPr>
        <w:t>ś</w:t>
      </w:r>
      <w:r w:rsidRPr="009743BE">
        <w:rPr>
          <w:rFonts w:ascii="Calibri" w:eastAsia="TimesNewRomanPSMT" w:hAnsi="Calibri"/>
          <w:b/>
          <w:szCs w:val="22"/>
        </w:rPr>
        <w:t>w. Wojciecha</w:t>
      </w:r>
      <w:r w:rsidRPr="00F9121A">
        <w:rPr>
          <w:rFonts w:ascii="Calibri" w:eastAsia="TimesNewRomanPSMT" w:hAnsi="Calibri"/>
          <w:szCs w:val="22"/>
        </w:rPr>
        <w:t xml:space="preserve"> </w:t>
      </w:r>
      <w:r w:rsidRPr="00F9121A">
        <w:rPr>
          <w:rFonts w:ascii="Calibri" w:eastAsia="TimesNewRomanPSMT" w:hAnsi="Calibri" w:hint="eastAsia"/>
          <w:szCs w:val="22"/>
        </w:rPr>
        <w:t>–</w:t>
      </w:r>
      <w:r w:rsidRPr="00F9121A">
        <w:rPr>
          <w:rFonts w:ascii="Calibri" w:eastAsia="TimesNewRomanPSMT" w:hAnsi="Calibri"/>
          <w:szCs w:val="22"/>
        </w:rPr>
        <w:t xml:space="preserve"> zosta</w:t>
      </w:r>
      <w:r w:rsidRPr="00F9121A">
        <w:rPr>
          <w:rFonts w:ascii="Calibri" w:eastAsia="TimesNewRomanPSMT" w:hAnsi="Calibri" w:hint="eastAsia"/>
          <w:szCs w:val="22"/>
        </w:rPr>
        <w:t>ł</w:t>
      </w:r>
      <w:r w:rsidRPr="00F9121A">
        <w:rPr>
          <w:rFonts w:ascii="Calibri" w:eastAsia="TimesNewRomanPSMT" w:hAnsi="Calibri"/>
          <w:szCs w:val="22"/>
        </w:rPr>
        <w:t>y przebudowane w p</w:t>
      </w:r>
      <w:r w:rsidRPr="00F9121A">
        <w:rPr>
          <w:rFonts w:ascii="Calibri" w:eastAsia="TimesNewRomanPSMT" w:hAnsi="Calibri" w:hint="eastAsia"/>
          <w:szCs w:val="22"/>
        </w:rPr>
        <w:t>óź</w:t>
      </w:r>
      <w:r w:rsidRPr="00F9121A">
        <w:rPr>
          <w:rFonts w:ascii="Calibri" w:eastAsia="TimesNewRomanPSMT" w:hAnsi="Calibri"/>
          <w:szCs w:val="22"/>
        </w:rPr>
        <w:t>niejszych latach. Z</w:t>
      </w:r>
      <w:r>
        <w:rPr>
          <w:rFonts w:ascii="Calibri" w:eastAsia="TimesNewRomanPSMT" w:hAnsi="Calibri"/>
          <w:szCs w:val="22"/>
        </w:rPr>
        <w:t> </w:t>
      </w:r>
      <w:r w:rsidRPr="00F9121A">
        <w:rPr>
          <w:rFonts w:ascii="Calibri" w:eastAsia="TimesNewRomanPSMT" w:hAnsi="Calibri"/>
          <w:szCs w:val="22"/>
        </w:rPr>
        <w:t>okresu baroku, w prawie niezmienionej formie zachowa</w:t>
      </w:r>
      <w:r w:rsidRPr="00F9121A">
        <w:rPr>
          <w:rFonts w:ascii="Calibri" w:eastAsia="TimesNewRomanPSMT" w:hAnsi="Calibri" w:hint="eastAsia"/>
          <w:szCs w:val="22"/>
        </w:rPr>
        <w:t>ł</w:t>
      </w:r>
      <w:r w:rsidRPr="00F9121A">
        <w:rPr>
          <w:rFonts w:ascii="Calibri" w:eastAsia="TimesNewRomanPSMT" w:hAnsi="Calibri"/>
          <w:szCs w:val="22"/>
        </w:rPr>
        <w:t xml:space="preserve"> si</w:t>
      </w:r>
      <w:r w:rsidRPr="00F9121A">
        <w:rPr>
          <w:rFonts w:ascii="Calibri" w:eastAsia="TimesNewRomanPSMT" w:hAnsi="Calibri" w:hint="eastAsia"/>
          <w:szCs w:val="22"/>
        </w:rPr>
        <w:t>ę</w:t>
      </w:r>
      <w:r w:rsidRPr="00F9121A">
        <w:rPr>
          <w:rFonts w:ascii="Calibri" w:eastAsia="TimesNewRomanPSMT" w:hAnsi="Calibri"/>
          <w:szCs w:val="22"/>
        </w:rPr>
        <w:t xml:space="preserve"> natomiast </w:t>
      </w:r>
      <w:r w:rsidRPr="009743BE">
        <w:rPr>
          <w:rFonts w:ascii="Calibri" w:eastAsia="TimesNewRomanPSMT" w:hAnsi="Calibri"/>
          <w:b/>
          <w:szCs w:val="22"/>
        </w:rPr>
        <w:t>ko</w:t>
      </w:r>
      <w:r w:rsidRPr="009743BE">
        <w:rPr>
          <w:rFonts w:ascii="Calibri" w:eastAsia="TimesNewRomanPSMT" w:hAnsi="Calibri" w:hint="eastAsia"/>
          <w:b/>
          <w:szCs w:val="22"/>
        </w:rPr>
        <w:t>ś</w:t>
      </w:r>
      <w:r w:rsidRPr="009743BE">
        <w:rPr>
          <w:rFonts w:ascii="Calibri" w:eastAsia="TimesNewRomanPSMT" w:hAnsi="Calibri"/>
          <w:b/>
          <w:szCs w:val="22"/>
        </w:rPr>
        <w:t>ci</w:t>
      </w:r>
      <w:r w:rsidRPr="009743BE">
        <w:rPr>
          <w:rFonts w:ascii="Calibri" w:eastAsia="TimesNewRomanPSMT" w:hAnsi="Calibri" w:hint="eastAsia"/>
          <w:b/>
          <w:szCs w:val="22"/>
        </w:rPr>
        <w:t>ół</w:t>
      </w:r>
      <w:r w:rsidRPr="009743BE">
        <w:rPr>
          <w:rFonts w:ascii="Calibri" w:eastAsia="TimesNewRomanPSMT" w:hAnsi="Calibri"/>
          <w:b/>
          <w:szCs w:val="22"/>
        </w:rPr>
        <w:t xml:space="preserve"> </w:t>
      </w:r>
      <w:r w:rsidRPr="009743BE">
        <w:rPr>
          <w:rFonts w:ascii="Calibri" w:eastAsia="TimesNewRomanPSMT" w:hAnsi="Calibri" w:hint="eastAsia"/>
          <w:b/>
          <w:szCs w:val="22"/>
        </w:rPr>
        <w:t>Ś</w:t>
      </w:r>
      <w:r w:rsidRPr="009743BE">
        <w:rPr>
          <w:rFonts w:ascii="Calibri" w:eastAsia="TimesNewRomanPSMT" w:hAnsi="Calibri"/>
          <w:b/>
          <w:szCs w:val="22"/>
        </w:rPr>
        <w:t>w. Ducha</w:t>
      </w:r>
      <w:r w:rsidRPr="00F9121A">
        <w:rPr>
          <w:rFonts w:ascii="Calibri" w:eastAsia="TimesNewRomanPSMT" w:hAnsi="Calibri"/>
          <w:szCs w:val="22"/>
        </w:rPr>
        <w:t xml:space="preserve"> wraz z prawie kompletnym wyposa</w:t>
      </w:r>
      <w:r w:rsidRPr="00F9121A">
        <w:rPr>
          <w:rFonts w:ascii="Calibri" w:eastAsia="TimesNewRomanPSMT" w:hAnsi="Calibri" w:hint="eastAsia"/>
          <w:szCs w:val="22"/>
        </w:rPr>
        <w:t>ż</w:t>
      </w:r>
      <w:r w:rsidRPr="00F9121A">
        <w:rPr>
          <w:rFonts w:ascii="Calibri" w:eastAsia="TimesNewRomanPSMT" w:hAnsi="Calibri"/>
          <w:szCs w:val="22"/>
        </w:rPr>
        <w:t>eniem. Pozosta</w:t>
      </w:r>
      <w:r w:rsidRPr="00F9121A">
        <w:rPr>
          <w:rFonts w:ascii="Calibri" w:eastAsia="TimesNewRomanPSMT" w:hAnsi="Calibri" w:hint="eastAsia"/>
          <w:szCs w:val="22"/>
        </w:rPr>
        <w:t>ł</w:t>
      </w:r>
      <w:r w:rsidRPr="00F9121A">
        <w:rPr>
          <w:rFonts w:ascii="Calibri" w:eastAsia="TimesNewRomanPSMT" w:hAnsi="Calibri"/>
          <w:szCs w:val="22"/>
        </w:rPr>
        <w:t>e obiekty sakralne prezentuj</w:t>
      </w:r>
      <w:r w:rsidRPr="00F9121A">
        <w:rPr>
          <w:rFonts w:ascii="Calibri" w:eastAsia="TimesNewRomanPSMT" w:hAnsi="Calibri" w:hint="eastAsia"/>
          <w:szCs w:val="22"/>
        </w:rPr>
        <w:t>ą</w:t>
      </w:r>
      <w:r w:rsidRPr="00F9121A">
        <w:rPr>
          <w:rFonts w:ascii="Calibri" w:eastAsia="TimesNewRomanPSMT" w:hAnsi="Calibri"/>
          <w:szCs w:val="22"/>
        </w:rPr>
        <w:t xml:space="preserve"> formy neostylowe lub modernistyczne.</w:t>
      </w:r>
    </w:p>
    <w:p w:rsidR="00F9121A" w:rsidRPr="00F9121A" w:rsidRDefault="00F9121A" w:rsidP="00F9121A">
      <w:pPr>
        <w:ind w:firstLine="360"/>
        <w:jc w:val="both"/>
        <w:rPr>
          <w:rFonts w:ascii="Calibri" w:hAnsi="Calibri"/>
          <w:szCs w:val="20"/>
        </w:rPr>
      </w:pPr>
      <w:r w:rsidRPr="00F9121A">
        <w:rPr>
          <w:rFonts w:ascii="Calibri" w:eastAsia="TimesNewRomanPSMT" w:hAnsi="Calibri"/>
          <w:color w:val="000000"/>
          <w:szCs w:val="22"/>
        </w:rPr>
        <w:t xml:space="preserve">W architekturze </w:t>
      </w:r>
      <w:r w:rsidRPr="00F9121A">
        <w:rPr>
          <w:rFonts w:ascii="Calibri" w:eastAsia="TimesNewRomanPSMT" w:hAnsi="Calibri" w:hint="eastAsia"/>
          <w:color w:val="000000"/>
          <w:szCs w:val="22"/>
        </w:rPr>
        <w:t>ś</w:t>
      </w:r>
      <w:r w:rsidRPr="00F9121A">
        <w:rPr>
          <w:rFonts w:ascii="Calibri" w:eastAsia="TimesNewRomanPSMT" w:hAnsi="Calibri"/>
          <w:color w:val="000000"/>
          <w:szCs w:val="22"/>
        </w:rPr>
        <w:t>wieckiej miasta dominuje budownictwo mieszcza</w:t>
      </w:r>
      <w:r w:rsidRPr="00F9121A">
        <w:rPr>
          <w:rFonts w:ascii="Calibri" w:eastAsia="TimesNewRomanPSMT" w:hAnsi="Calibri" w:hint="eastAsia"/>
          <w:color w:val="000000"/>
          <w:szCs w:val="22"/>
        </w:rPr>
        <w:t>ń</w:t>
      </w:r>
      <w:r w:rsidRPr="00F9121A">
        <w:rPr>
          <w:rFonts w:ascii="Calibri" w:eastAsia="TimesNewRomanPSMT" w:hAnsi="Calibri"/>
          <w:color w:val="000000"/>
          <w:szCs w:val="22"/>
        </w:rPr>
        <w:t xml:space="preserve">skie, reprezentowane przez </w:t>
      </w:r>
      <w:r w:rsidRPr="00F9121A">
        <w:rPr>
          <w:rFonts w:ascii="Calibri" w:eastAsia="TimesNewRomanPSMT" w:hAnsi="Calibri"/>
          <w:b/>
          <w:bCs/>
          <w:color w:val="000000"/>
          <w:szCs w:val="22"/>
        </w:rPr>
        <w:t xml:space="preserve">kamienice czynszowe z przełomu XIX i XX </w:t>
      </w:r>
      <w:r w:rsidRPr="00F9121A">
        <w:rPr>
          <w:rFonts w:ascii="Calibri" w:eastAsia="TimesNewRomanPSMT" w:hAnsi="Calibri"/>
          <w:color w:val="000000"/>
          <w:szCs w:val="22"/>
        </w:rPr>
        <w:t>w. wznoszone w r</w:t>
      </w:r>
      <w:r w:rsidRPr="00F9121A">
        <w:rPr>
          <w:rFonts w:ascii="Calibri" w:eastAsia="TimesNewRomanPSMT" w:hAnsi="Calibri" w:hint="eastAsia"/>
          <w:color w:val="000000"/>
          <w:szCs w:val="22"/>
        </w:rPr>
        <w:t>óż</w:t>
      </w:r>
      <w:r w:rsidRPr="00F9121A">
        <w:rPr>
          <w:rFonts w:ascii="Calibri" w:eastAsia="TimesNewRomanPSMT" w:hAnsi="Calibri"/>
          <w:color w:val="000000"/>
          <w:szCs w:val="22"/>
        </w:rPr>
        <w:t xml:space="preserve">nych stylach historycznych, eklektyczne i secesyjne, projektowane przez bytomskich, </w:t>
      </w:r>
      <w:r w:rsidRPr="00F9121A">
        <w:rPr>
          <w:rFonts w:ascii="Calibri" w:eastAsia="TimesNewRomanPSMT" w:hAnsi="Calibri" w:hint="eastAsia"/>
          <w:color w:val="000000"/>
          <w:szCs w:val="22"/>
        </w:rPr>
        <w:t>ś</w:t>
      </w:r>
      <w:r w:rsidRPr="00F9121A">
        <w:rPr>
          <w:rFonts w:ascii="Calibri" w:eastAsia="TimesNewRomanPSMT" w:hAnsi="Calibri"/>
          <w:color w:val="000000"/>
          <w:szCs w:val="22"/>
        </w:rPr>
        <w:t>l</w:t>
      </w:r>
      <w:r w:rsidRPr="00F9121A">
        <w:rPr>
          <w:rFonts w:ascii="Calibri" w:eastAsia="TimesNewRomanPSMT" w:hAnsi="Calibri" w:hint="eastAsia"/>
          <w:color w:val="000000"/>
          <w:szCs w:val="22"/>
        </w:rPr>
        <w:t>ą</w:t>
      </w:r>
      <w:r w:rsidRPr="00F9121A">
        <w:rPr>
          <w:rFonts w:ascii="Calibri" w:eastAsia="TimesNewRomanPSMT" w:hAnsi="Calibri"/>
          <w:color w:val="000000"/>
          <w:szCs w:val="22"/>
        </w:rPr>
        <w:t>skich, berli</w:t>
      </w:r>
      <w:r w:rsidRPr="00F9121A">
        <w:rPr>
          <w:rFonts w:ascii="Calibri" w:eastAsia="TimesNewRomanPSMT" w:hAnsi="Calibri" w:hint="eastAsia"/>
          <w:color w:val="000000"/>
          <w:szCs w:val="22"/>
        </w:rPr>
        <w:t>ń</w:t>
      </w:r>
      <w:r w:rsidRPr="00F9121A">
        <w:rPr>
          <w:rFonts w:ascii="Calibri" w:eastAsia="TimesNewRomanPSMT" w:hAnsi="Calibri"/>
          <w:color w:val="000000"/>
          <w:szCs w:val="22"/>
        </w:rPr>
        <w:t>skich i wiede</w:t>
      </w:r>
      <w:r w:rsidRPr="00F9121A">
        <w:rPr>
          <w:rFonts w:ascii="Calibri" w:eastAsia="TimesNewRomanPSMT" w:hAnsi="Calibri" w:hint="eastAsia"/>
          <w:color w:val="000000"/>
          <w:szCs w:val="22"/>
        </w:rPr>
        <w:t>ń</w:t>
      </w:r>
      <w:r w:rsidRPr="00F9121A">
        <w:rPr>
          <w:rFonts w:ascii="Calibri" w:eastAsia="TimesNewRomanPSMT" w:hAnsi="Calibri"/>
          <w:color w:val="000000"/>
          <w:szCs w:val="22"/>
        </w:rPr>
        <w:t>skich architekt</w:t>
      </w:r>
      <w:r w:rsidRPr="00F9121A">
        <w:rPr>
          <w:rFonts w:ascii="Calibri" w:eastAsia="TimesNewRomanPSMT" w:hAnsi="Calibri" w:hint="eastAsia"/>
          <w:color w:val="000000"/>
          <w:szCs w:val="22"/>
        </w:rPr>
        <w:t>ó</w:t>
      </w:r>
      <w:r w:rsidRPr="00F9121A">
        <w:rPr>
          <w:rFonts w:ascii="Calibri" w:eastAsia="TimesNewRomanPSMT" w:hAnsi="Calibri"/>
          <w:color w:val="000000"/>
          <w:szCs w:val="22"/>
        </w:rPr>
        <w:t>w.</w:t>
      </w:r>
      <w:r w:rsidRPr="00F9121A">
        <w:rPr>
          <w:rFonts w:ascii="Calibri" w:hAnsi="Calibri"/>
          <w:szCs w:val="20"/>
        </w:rPr>
        <w:t xml:space="preserve"> Tworzą one charakterystyczną grupę wyróżniającą się na tle pozostałej architektury Górnego Śląska. Cenny zespół stanowi kompleks modernistycznej zabudowy z czasów Republiki Weimarskiej, usytuowany w północnej i zachodniej części Śródmieścia oraz na Rozbarku. </w:t>
      </w:r>
    </w:p>
    <w:p w:rsidR="00F9121A" w:rsidRDefault="00F9121A" w:rsidP="00F9121A">
      <w:pPr>
        <w:autoSpaceDE w:val="0"/>
        <w:autoSpaceDN w:val="0"/>
        <w:adjustRightInd w:val="0"/>
        <w:ind w:firstLine="708"/>
        <w:jc w:val="both"/>
        <w:rPr>
          <w:rFonts w:ascii="Calibri" w:eastAsia="TimesNewRomanPSMT" w:hAnsi="Calibri"/>
          <w:szCs w:val="22"/>
        </w:rPr>
      </w:pPr>
      <w:r w:rsidRPr="00F9121A">
        <w:rPr>
          <w:rFonts w:ascii="Calibri" w:eastAsia="TimesNewRomanPSMT" w:hAnsi="Calibri"/>
          <w:szCs w:val="22"/>
        </w:rPr>
        <w:t xml:space="preserve">Bytom </w:t>
      </w:r>
      <w:r w:rsidR="009743BE">
        <w:rPr>
          <w:rFonts w:ascii="Calibri" w:eastAsia="TimesNewRomanPSMT" w:hAnsi="Calibri"/>
          <w:szCs w:val="22"/>
        </w:rPr>
        <w:t>o</w:t>
      </w:r>
      <w:r w:rsidRPr="00F9121A">
        <w:rPr>
          <w:rFonts w:ascii="Calibri" w:eastAsia="TimesNewRomanPSMT" w:hAnsi="Calibri"/>
          <w:szCs w:val="22"/>
        </w:rPr>
        <w:t>pr</w:t>
      </w:r>
      <w:r w:rsidRPr="00F9121A">
        <w:rPr>
          <w:rFonts w:ascii="Calibri" w:eastAsia="TimesNewRomanPSMT" w:hAnsi="Calibri" w:hint="eastAsia"/>
          <w:szCs w:val="22"/>
        </w:rPr>
        <w:t>ó</w:t>
      </w:r>
      <w:r w:rsidRPr="00F9121A">
        <w:rPr>
          <w:rFonts w:ascii="Calibri" w:eastAsia="TimesNewRomanPSMT" w:hAnsi="Calibri"/>
          <w:szCs w:val="22"/>
        </w:rPr>
        <w:t>cz zabytkowej architektury posiada r</w:t>
      </w:r>
      <w:r w:rsidRPr="00F9121A">
        <w:rPr>
          <w:rFonts w:ascii="Calibri" w:eastAsia="TimesNewRomanPSMT" w:hAnsi="Calibri" w:hint="eastAsia"/>
          <w:szCs w:val="22"/>
        </w:rPr>
        <w:t>ó</w:t>
      </w:r>
      <w:r w:rsidRPr="00F9121A">
        <w:rPr>
          <w:rFonts w:ascii="Calibri" w:eastAsia="TimesNewRomanPSMT" w:hAnsi="Calibri"/>
          <w:szCs w:val="22"/>
        </w:rPr>
        <w:t>wnie</w:t>
      </w:r>
      <w:r w:rsidRPr="00F9121A">
        <w:rPr>
          <w:rFonts w:ascii="Calibri" w:eastAsia="TimesNewRomanPSMT" w:hAnsi="Calibri" w:hint="eastAsia"/>
          <w:szCs w:val="22"/>
        </w:rPr>
        <w:t>ż</w:t>
      </w:r>
      <w:r w:rsidRPr="00F9121A">
        <w:rPr>
          <w:rFonts w:ascii="Calibri" w:eastAsia="TimesNewRomanPSMT" w:hAnsi="Calibri"/>
          <w:szCs w:val="22"/>
        </w:rPr>
        <w:t xml:space="preserve"> </w:t>
      </w:r>
      <w:r w:rsidRPr="00F9121A">
        <w:rPr>
          <w:rFonts w:ascii="Calibri" w:eastAsia="TimesNewRomanPSMT" w:hAnsi="Calibri"/>
          <w:b/>
          <w:bCs/>
          <w:szCs w:val="22"/>
        </w:rPr>
        <w:t>zabytkowe układy komponowanej zieleni</w:t>
      </w:r>
      <w:r w:rsidRPr="00F9121A">
        <w:rPr>
          <w:rFonts w:ascii="Calibri" w:eastAsia="TimesNewRomanPSMT" w:hAnsi="Calibri"/>
          <w:szCs w:val="22"/>
        </w:rPr>
        <w:t>. Wymieni</w:t>
      </w:r>
      <w:r w:rsidRPr="00F9121A">
        <w:rPr>
          <w:rFonts w:ascii="Calibri" w:eastAsia="TimesNewRomanPSMT" w:hAnsi="Calibri" w:hint="eastAsia"/>
          <w:szCs w:val="22"/>
        </w:rPr>
        <w:t>ć</w:t>
      </w:r>
      <w:r w:rsidRPr="00F9121A">
        <w:rPr>
          <w:rFonts w:ascii="Calibri" w:eastAsia="TimesNewRomanPSMT" w:hAnsi="Calibri"/>
          <w:szCs w:val="22"/>
        </w:rPr>
        <w:t xml:space="preserve"> nale</w:t>
      </w:r>
      <w:r w:rsidRPr="00F9121A">
        <w:rPr>
          <w:rFonts w:ascii="Calibri" w:eastAsia="TimesNewRomanPSMT" w:hAnsi="Calibri" w:hint="eastAsia"/>
          <w:szCs w:val="22"/>
        </w:rPr>
        <w:t>ż</w:t>
      </w:r>
      <w:r w:rsidRPr="00F9121A">
        <w:rPr>
          <w:rFonts w:ascii="Calibri" w:eastAsia="TimesNewRomanPSMT" w:hAnsi="Calibri"/>
          <w:szCs w:val="22"/>
        </w:rPr>
        <w:t>y krajobrazowy Park Miejski za</w:t>
      </w:r>
      <w:r w:rsidRPr="00F9121A">
        <w:rPr>
          <w:rFonts w:ascii="Calibri" w:eastAsia="TimesNewRomanPSMT" w:hAnsi="Calibri" w:hint="eastAsia"/>
          <w:szCs w:val="22"/>
        </w:rPr>
        <w:t>ł</w:t>
      </w:r>
      <w:r w:rsidRPr="00F9121A">
        <w:rPr>
          <w:rFonts w:ascii="Calibri" w:eastAsia="TimesNewRomanPSMT" w:hAnsi="Calibri"/>
          <w:szCs w:val="22"/>
        </w:rPr>
        <w:t>o</w:t>
      </w:r>
      <w:r w:rsidRPr="00F9121A">
        <w:rPr>
          <w:rFonts w:ascii="Calibri" w:eastAsia="TimesNewRomanPSMT" w:hAnsi="Calibri" w:hint="eastAsia"/>
          <w:szCs w:val="22"/>
        </w:rPr>
        <w:t>ż</w:t>
      </w:r>
      <w:r w:rsidRPr="00F9121A">
        <w:rPr>
          <w:rFonts w:ascii="Calibri" w:eastAsia="TimesNewRomanPSMT" w:hAnsi="Calibri"/>
          <w:szCs w:val="22"/>
        </w:rPr>
        <w:t>ony oko</w:t>
      </w:r>
      <w:r w:rsidRPr="00F9121A">
        <w:rPr>
          <w:rFonts w:ascii="Calibri" w:eastAsia="TimesNewRomanPSMT" w:hAnsi="Calibri" w:hint="eastAsia"/>
          <w:szCs w:val="22"/>
        </w:rPr>
        <w:t>ł</w:t>
      </w:r>
      <w:r w:rsidRPr="00F9121A">
        <w:rPr>
          <w:rFonts w:ascii="Calibri" w:eastAsia="TimesNewRomanPSMT" w:hAnsi="Calibri"/>
          <w:szCs w:val="22"/>
        </w:rPr>
        <w:t xml:space="preserve">o 1840 r. </w:t>
      </w:r>
      <w:r w:rsidR="00EA37D4">
        <w:rPr>
          <w:rFonts w:ascii="Calibri" w:eastAsia="TimesNewRomanPSMT" w:hAnsi="Calibri"/>
          <w:szCs w:val="22"/>
        </w:rPr>
        <w:t>(</w:t>
      </w:r>
      <w:r w:rsidRPr="00F9121A">
        <w:rPr>
          <w:rFonts w:ascii="Calibri" w:eastAsia="TimesNewRomanPSMT" w:hAnsi="Calibri"/>
          <w:szCs w:val="22"/>
        </w:rPr>
        <w:t>w kt</w:t>
      </w:r>
      <w:r w:rsidRPr="00F9121A">
        <w:rPr>
          <w:rFonts w:ascii="Calibri" w:eastAsia="TimesNewRomanPSMT" w:hAnsi="Calibri" w:hint="eastAsia"/>
          <w:szCs w:val="22"/>
        </w:rPr>
        <w:t>ó</w:t>
      </w:r>
      <w:r w:rsidRPr="00F9121A">
        <w:rPr>
          <w:rFonts w:ascii="Calibri" w:eastAsia="TimesNewRomanPSMT" w:hAnsi="Calibri"/>
          <w:szCs w:val="22"/>
        </w:rPr>
        <w:t>rym w 1898</w:t>
      </w:r>
      <w:r w:rsidR="00EA37D4">
        <w:rPr>
          <w:rFonts w:ascii="Calibri" w:eastAsia="TimesNewRomanPSMT" w:hAnsi="Calibri"/>
          <w:szCs w:val="22"/>
        </w:rPr>
        <w:t xml:space="preserve"> r.</w:t>
      </w:r>
      <w:r w:rsidRPr="00F9121A">
        <w:rPr>
          <w:rFonts w:ascii="Calibri" w:eastAsia="TimesNewRomanPSMT" w:hAnsi="Calibri"/>
          <w:szCs w:val="22"/>
        </w:rPr>
        <w:t xml:space="preserve"> urz</w:t>
      </w:r>
      <w:r w:rsidRPr="00F9121A">
        <w:rPr>
          <w:rFonts w:ascii="Calibri" w:eastAsia="TimesNewRomanPSMT" w:hAnsi="Calibri" w:hint="eastAsia"/>
          <w:szCs w:val="22"/>
        </w:rPr>
        <w:t>ą</w:t>
      </w:r>
      <w:r w:rsidRPr="00F9121A">
        <w:rPr>
          <w:rFonts w:ascii="Calibri" w:eastAsia="TimesNewRomanPSMT" w:hAnsi="Calibri"/>
          <w:szCs w:val="22"/>
        </w:rPr>
        <w:t>dzono ogr</w:t>
      </w:r>
      <w:r w:rsidRPr="00F9121A">
        <w:rPr>
          <w:rFonts w:ascii="Calibri" w:eastAsia="TimesNewRomanPSMT" w:hAnsi="Calibri" w:hint="eastAsia"/>
          <w:szCs w:val="22"/>
        </w:rPr>
        <w:t>ó</w:t>
      </w:r>
      <w:r w:rsidRPr="00F9121A">
        <w:rPr>
          <w:rFonts w:ascii="Calibri" w:eastAsia="TimesNewRomanPSMT" w:hAnsi="Calibri"/>
          <w:szCs w:val="22"/>
        </w:rPr>
        <w:t>d zoologiczny</w:t>
      </w:r>
      <w:r w:rsidR="00EA37D4">
        <w:rPr>
          <w:rFonts w:ascii="Calibri" w:eastAsia="TimesNewRomanPSMT" w:hAnsi="Calibri"/>
          <w:szCs w:val="22"/>
        </w:rPr>
        <w:t>)</w:t>
      </w:r>
      <w:r w:rsidRPr="00F9121A">
        <w:rPr>
          <w:rFonts w:ascii="Calibri" w:eastAsia="TimesNewRomanPSMT" w:hAnsi="Calibri"/>
          <w:szCs w:val="22"/>
        </w:rPr>
        <w:t>, park le</w:t>
      </w:r>
      <w:r w:rsidRPr="00F9121A">
        <w:rPr>
          <w:rFonts w:ascii="Calibri" w:eastAsia="TimesNewRomanPSMT" w:hAnsi="Calibri" w:hint="eastAsia"/>
          <w:szCs w:val="22"/>
        </w:rPr>
        <w:t>ś</w:t>
      </w:r>
      <w:r w:rsidRPr="00F9121A">
        <w:rPr>
          <w:rFonts w:ascii="Calibri" w:eastAsia="TimesNewRomanPSMT" w:hAnsi="Calibri"/>
          <w:szCs w:val="22"/>
        </w:rPr>
        <w:t>ny Fazaniec, park dworski w dawnej posiad</w:t>
      </w:r>
      <w:r w:rsidRPr="00F9121A">
        <w:rPr>
          <w:rFonts w:ascii="Calibri" w:eastAsia="TimesNewRomanPSMT" w:hAnsi="Calibri" w:hint="eastAsia"/>
          <w:szCs w:val="22"/>
        </w:rPr>
        <w:t>ł</w:t>
      </w:r>
      <w:r w:rsidRPr="00F9121A">
        <w:rPr>
          <w:rFonts w:ascii="Calibri" w:eastAsia="TimesNewRomanPSMT" w:hAnsi="Calibri"/>
          <w:szCs w:val="22"/>
        </w:rPr>
        <w:t>o</w:t>
      </w:r>
      <w:r w:rsidRPr="00F9121A">
        <w:rPr>
          <w:rFonts w:ascii="Calibri" w:eastAsia="TimesNewRomanPSMT" w:hAnsi="Calibri" w:hint="eastAsia"/>
          <w:szCs w:val="22"/>
        </w:rPr>
        <w:t>ś</w:t>
      </w:r>
      <w:r w:rsidRPr="00F9121A">
        <w:rPr>
          <w:rFonts w:ascii="Calibri" w:eastAsia="TimesNewRomanPSMT" w:hAnsi="Calibri"/>
          <w:szCs w:val="22"/>
        </w:rPr>
        <w:t>ci Thiele-Winckler</w:t>
      </w:r>
      <w:r w:rsidRPr="00F9121A">
        <w:rPr>
          <w:rFonts w:ascii="Calibri" w:eastAsia="TimesNewRomanPSMT" w:hAnsi="Calibri" w:hint="eastAsia"/>
          <w:szCs w:val="22"/>
        </w:rPr>
        <w:t>ó</w:t>
      </w:r>
      <w:r w:rsidRPr="00F9121A">
        <w:rPr>
          <w:rFonts w:ascii="Calibri" w:eastAsia="TimesNewRomanPSMT" w:hAnsi="Calibri"/>
          <w:szCs w:val="22"/>
        </w:rPr>
        <w:t>w w Miechowicach. Na terenie miasta znajduj</w:t>
      </w:r>
      <w:r w:rsidRPr="00F9121A">
        <w:rPr>
          <w:rFonts w:ascii="Calibri" w:eastAsia="TimesNewRomanPSMT" w:hAnsi="Calibri" w:hint="eastAsia"/>
          <w:szCs w:val="22"/>
        </w:rPr>
        <w:t>ą</w:t>
      </w:r>
      <w:r w:rsidRPr="00F9121A">
        <w:rPr>
          <w:rFonts w:ascii="Calibri" w:eastAsia="TimesNewRomanPSMT" w:hAnsi="Calibri"/>
          <w:szCs w:val="22"/>
        </w:rPr>
        <w:t xml:space="preserve"> si</w:t>
      </w:r>
      <w:r w:rsidRPr="00F9121A">
        <w:rPr>
          <w:rFonts w:ascii="Calibri" w:eastAsia="TimesNewRomanPSMT" w:hAnsi="Calibri" w:hint="eastAsia"/>
          <w:szCs w:val="22"/>
        </w:rPr>
        <w:t>ę</w:t>
      </w:r>
      <w:r w:rsidRPr="00F9121A">
        <w:rPr>
          <w:rFonts w:ascii="Calibri" w:eastAsia="TimesNewRomanPSMT" w:hAnsi="Calibri"/>
          <w:szCs w:val="22"/>
        </w:rPr>
        <w:t xml:space="preserve"> tak</w:t>
      </w:r>
      <w:r w:rsidRPr="00F9121A">
        <w:rPr>
          <w:rFonts w:ascii="Calibri" w:eastAsia="TimesNewRomanPSMT" w:hAnsi="Calibri" w:hint="eastAsia"/>
          <w:szCs w:val="22"/>
        </w:rPr>
        <w:t>ż</w:t>
      </w:r>
      <w:r w:rsidRPr="00F9121A">
        <w:rPr>
          <w:rFonts w:ascii="Calibri" w:eastAsia="TimesNewRomanPSMT" w:hAnsi="Calibri"/>
          <w:szCs w:val="22"/>
        </w:rPr>
        <w:t>e zabytkowe cmentarze: katolicki Mater Dolorosa, z zachowanym zespo</w:t>
      </w:r>
      <w:r w:rsidRPr="00F9121A">
        <w:rPr>
          <w:rFonts w:ascii="Calibri" w:eastAsia="TimesNewRomanPSMT" w:hAnsi="Calibri" w:hint="eastAsia"/>
          <w:szCs w:val="22"/>
        </w:rPr>
        <w:t>ł</w:t>
      </w:r>
      <w:r w:rsidRPr="00F9121A">
        <w:rPr>
          <w:rFonts w:ascii="Calibri" w:eastAsia="TimesNewRomanPSMT" w:hAnsi="Calibri"/>
          <w:szCs w:val="22"/>
        </w:rPr>
        <w:t>em rze</w:t>
      </w:r>
      <w:r w:rsidRPr="00F9121A">
        <w:rPr>
          <w:rFonts w:ascii="Calibri" w:eastAsia="TimesNewRomanPSMT" w:hAnsi="Calibri" w:hint="eastAsia"/>
          <w:szCs w:val="22"/>
        </w:rPr>
        <w:t>ź</w:t>
      </w:r>
      <w:r w:rsidRPr="00F9121A">
        <w:rPr>
          <w:rFonts w:ascii="Calibri" w:eastAsia="TimesNewRomanPSMT" w:hAnsi="Calibri"/>
          <w:szCs w:val="22"/>
        </w:rPr>
        <w:t>by nagrobnej i kaplic grobowych pochodz</w:t>
      </w:r>
      <w:r w:rsidRPr="00F9121A">
        <w:rPr>
          <w:rFonts w:ascii="Calibri" w:eastAsia="TimesNewRomanPSMT" w:hAnsi="Calibri" w:hint="eastAsia"/>
          <w:szCs w:val="22"/>
        </w:rPr>
        <w:t>ą</w:t>
      </w:r>
      <w:r w:rsidRPr="00F9121A">
        <w:rPr>
          <w:rFonts w:ascii="Calibri" w:eastAsia="TimesNewRomanPSMT" w:hAnsi="Calibri"/>
          <w:szCs w:val="22"/>
        </w:rPr>
        <w:t>cych z okresu od ko</w:t>
      </w:r>
      <w:r w:rsidRPr="00F9121A">
        <w:rPr>
          <w:rFonts w:ascii="Calibri" w:eastAsia="TimesNewRomanPSMT" w:hAnsi="Calibri" w:hint="eastAsia"/>
          <w:szCs w:val="22"/>
        </w:rPr>
        <w:t>ń</w:t>
      </w:r>
      <w:r w:rsidRPr="00F9121A">
        <w:rPr>
          <w:rFonts w:ascii="Calibri" w:eastAsia="TimesNewRomanPSMT" w:hAnsi="Calibri"/>
          <w:szCs w:val="22"/>
        </w:rPr>
        <w:t xml:space="preserve">ca XIX w. do lat 20-tych XX w. oraz ewangelicki i </w:t>
      </w:r>
      <w:r w:rsidRPr="00F9121A">
        <w:rPr>
          <w:rFonts w:ascii="Calibri" w:eastAsia="TimesNewRomanPSMT" w:hAnsi="Calibri" w:hint="eastAsia"/>
          <w:szCs w:val="22"/>
        </w:rPr>
        <w:t>ż</w:t>
      </w:r>
      <w:r w:rsidRPr="00F9121A">
        <w:rPr>
          <w:rFonts w:ascii="Calibri" w:eastAsia="TimesNewRomanPSMT" w:hAnsi="Calibri"/>
          <w:szCs w:val="22"/>
        </w:rPr>
        <w:t>ydowski.</w:t>
      </w:r>
    </w:p>
    <w:p w:rsidR="004F6E0F" w:rsidRPr="00F9121A" w:rsidRDefault="004F6E0F" w:rsidP="00F9121A">
      <w:pPr>
        <w:autoSpaceDE w:val="0"/>
        <w:autoSpaceDN w:val="0"/>
        <w:adjustRightInd w:val="0"/>
        <w:ind w:firstLine="708"/>
        <w:jc w:val="both"/>
        <w:rPr>
          <w:rFonts w:ascii="Calibri" w:eastAsia="TimesNewRomanPSMT" w:hAnsi="Calibri"/>
          <w:szCs w:val="22"/>
        </w:rPr>
      </w:pPr>
    </w:p>
    <w:p w:rsidR="006064F2" w:rsidRDefault="006064F2" w:rsidP="001C2FD4">
      <w:pPr>
        <w:pStyle w:val="Legenda"/>
        <w:spacing w:line="312" w:lineRule="auto"/>
      </w:pPr>
      <w:bookmarkStart w:id="7820" w:name="_Toc460222288"/>
    </w:p>
    <w:p w:rsidR="001C2FD4" w:rsidRPr="008F4DC5" w:rsidRDefault="008F4DC5" w:rsidP="001C2FD4">
      <w:pPr>
        <w:pStyle w:val="Legenda"/>
        <w:spacing w:line="312" w:lineRule="auto"/>
        <w:rPr>
          <w:szCs w:val="24"/>
        </w:rPr>
      </w:pPr>
      <w:bookmarkStart w:id="7821" w:name="_Toc191972657"/>
      <w:r w:rsidRPr="008F4DC5">
        <w:lastRenderedPageBreak/>
        <w:t xml:space="preserve">Mapa </w:t>
      </w:r>
      <w:r w:rsidR="003972D8" w:rsidRPr="008F4DC5">
        <w:fldChar w:fldCharType="begin"/>
      </w:r>
      <w:r w:rsidRPr="008F4DC5">
        <w:instrText xml:space="preserve"> SEQ Mapa \* ARABIC </w:instrText>
      </w:r>
      <w:r w:rsidR="003972D8" w:rsidRPr="008F4DC5">
        <w:fldChar w:fldCharType="separate"/>
      </w:r>
      <w:r w:rsidR="00413FFE">
        <w:rPr>
          <w:noProof/>
        </w:rPr>
        <w:t>45</w:t>
      </w:r>
      <w:r w:rsidR="003972D8" w:rsidRPr="008F4DC5">
        <w:fldChar w:fldCharType="end"/>
      </w:r>
      <w:r w:rsidRPr="008F4DC5">
        <w:t>.</w:t>
      </w:r>
      <w:r w:rsidR="001C2FD4" w:rsidRPr="008F4DC5">
        <w:t xml:space="preserve"> </w:t>
      </w:r>
      <w:r w:rsidR="00942BD7">
        <w:t xml:space="preserve">Najważniejsze obiekty zabytkowe </w:t>
      </w:r>
      <w:r w:rsidR="001C2FD4" w:rsidRPr="008F4DC5">
        <w:t>w Bytomiu</w:t>
      </w:r>
      <w:bookmarkEnd w:id="7820"/>
      <w:bookmarkEnd w:id="7821"/>
      <w:r w:rsidR="001C2FD4" w:rsidRPr="008F4DC5">
        <w:t xml:space="preserve"> </w:t>
      </w:r>
    </w:p>
    <w:p w:rsidR="001C2FD4" w:rsidRDefault="0043168D" w:rsidP="00EA2059">
      <w:pPr>
        <w:jc w:val="center"/>
      </w:pPr>
      <w:r>
        <w:rPr>
          <w:noProof/>
        </w:rPr>
        <w:drawing>
          <wp:inline distT="0" distB="0" distL="0" distR="0">
            <wp:extent cx="5000625" cy="3533775"/>
            <wp:effectExtent l="19050" t="0" r="9525" b="0"/>
            <wp:docPr id="25" name="Obraz 1" descr="C:\Users\TT\Dropbox\irm-bytom-mapy\wydruki\910B Najważniejsze zabytki w Bytomi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Users\TT\Dropbox\irm-bytom-mapy\wydruki\910B Najważniejsze zabytki w Bytomiu.png"/>
                    <pic:cNvPicPr>
                      <a:picLocks noChangeAspect="1" noChangeArrowheads="1"/>
                    </pic:cNvPicPr>
                  </pic:nvPicPr>
                  <pic:blipFill>
                    <a:blip r:embed="rId87" cstate="print"/>
                    <a:srcRect/>
                    <a:stretch>
                      <a:fillRect/>
                    </a:stretch>
                  </pic:blipFill>
                  <pic:spPr bwMode="auto">
                    <a:xfrm>
                      <a:off x="0" y="0"/>
                      <a:ext cx="5000625" cy="3533775"/>
                    </a:xfrm>
                    <a:prstGeom prst="rect">
                      <a:avLst/>
                    </a:prstGeom>
                    <a:noFill/>
                    <a:ln w="9525">
                      <a:noFill/>
                      <a:miter lim="800000"/>
                      <a:headEnd/>
                      <a:tailEnd/>
                    </a:ln>
                  </pic:spPr>
                </pic:pic>
              </a:graphicData>
            </a:graphic>
          </wp:inline>
        </w:drawing>
      </w:r>
    </w:p>
    <w:p w:rsidR="00B9181A" w:rsidRPr="005F27F5" w:rsidRDefault="00B9181A" w:rsidP="00B9181A">
      <w:pPr>
        <w:autoSpaceDE w:val="0"/>
        <w:autoSpaceDN w:val="0"/>
        <w:adjustRightInd w:val="0"/>
        <w:rPr>
          <w:rFonts w:eastAsia="Calibri" w:cs="ArialNarrow"/>
          <w:i/>
          <w:sz w:val="18"/>
          <w:szCs w:val="20"/>
        </w:rPr>
      </w:pPr>
      <w:r w:rsidRPr="005F27F5">
        <w:rPr>
          <w:rFonts w:eastAsia="Calibri" w:cs="ArialNarrow"/>
          <w:i/>
          <w:sz w:val="18"/>
          <w:szCs w:val="20"/>
        </w:rPr>
        <w:t xml:space="preserve">Źródło: Opracowanie </w:t>
      </w:r>
      <w:r>
        <w:rPr>
          <w:rFonts w:eastAsia="Calibri" w:cs="ArialNarrow"/>
          <w:i/>
          <w:sz w:val="18"/>
          <w:szCs w:val="20"/>
        </w:rPr>
        <w:t>Instytutu Rozwoju Miast</w:t>
      </w:r>
    </w:p>
    <w:p w:rsidR="001C2FD4" w:rsidRDefault="001C2FD4" w:rsidP="001C2FD4"/>
    <w:p w:rsidR="00F9121A" w:rsidRDefault="00F9121A" w:rsidP="00F9121A">
      <w:pPr>
        <w:autoSpaceDE w:val="0"/>
        <w:autoSpaceDN w:val="0"/>
        <w:adjustRightInd w:val="0"/>
        <w:ind w:firstLine="708"/>
        <w:jc w:val="both"/>
        <w:rPr>
          <w:rFonts w:ascii="Calibri" w:eastAsia="TimesNewRomanPSMT" w:hAnsi="Calibri"/>
          <w:szCs w:val="22"/>
        </w:rPr>
      </w:pPr>
      <w:r w:rsidRPr="009743BE">
        <w:rPr>
          <w:rFonts w:ascii="Calibri" w:hAnsi="Calibri"/>
          <w:b/>
          <w:color w:val="C00000"/>
          <w:szCs w:val="20"/>
        </w:rPr>
        <w:t>Osobną grupę atrakcyjnych obiektów stanowią dawne zespoły przemysłowe i zabytki techniki oraz zabytkowe, zachowujące lokalny śląski koloryt</w:t>
      </w:r>
      <w:r w:rsidRPr="009743BE">
        <w:rPr>
          <w:rFonts w:ascii="Calibri" w:eastAsia="TimesNewRomanPSMT" w:hAnsi="Calibri"/>
          <w:b/>
          <w:color w:val="C00000"/>
          <w:szCs w:val="22"/>
        </w:rPr>
        <w:t xml:space="preserve"> m.in.: kolonie i osiedla robotnicze</w:t>
      </w:r>
      <w:r w:rsidRPr="00F9121A">
        <w:rPr>
          <w:rFonts w:ascii="Calibri" w:eastAsia="TimesNewRomanPSMT" w:hAnsi="Calibri"/>
          <w:szCs w:val="22"/>
        </w:rPr>
        <w:t xml:space="preserve"> (Bobrek i Kolonia Zgorzelec w</w:t>
      </w:r>
      <w:r w:rsidR="002E5EDE">
        <w:rPr>
          <w:rFonts w:ascii="Calibri" w:eastAsia="TimesNewRomanPSMT" w:hAnsi="Calibri"/>
          <w:szCs w:val="22"/>
        </w:rPr>
        <w:t> </w:t>
      </w:r>
      <w:r w:rsidRPr="00F9121A">
        <w:rPr>
          <w:rFonts w:ascii="Calibri" w:eastAsia="TimesNewRomanPSMT" w:hAnsi="Calibri" w:hint="eastAsia"/>
          <w:szCs w:val="22"/>
        </w:rPr>
        <w:t>Ł</w:t>
      </w:r>
      <w:r w:rsidRPr="00F9121A">
        <w:rPr>
          <w:rFonts w:ascii="Calibri" w:eastAsia="TimesNewRomanPSMT" w:hAnsi="Calibri"/>
          <w:szCs w:val="22"/>
        </w:rPr>
        <w:t xml:space="preserve">agiewnikach) </w:t>
      </w:r>
      <w:r w:rsidRPr="00F9121A">
        <w:rPr>
          <w:rFonts w:ascii="Calibri" w:hAnsi="Calibri"/>
          <w:szCs w:val="20"/>
        </w:rPr>
        <w:t>stanowiące przykład typowej zabudowy dzielnicy robotniczej</w:t>
      </w:r>
      <w:r w:rsidRPr="00F9121A">
        <w:rPr>
          <w:rFonts w:ascii="Calibri" w:eastAsia="TimesNewRomanPSMT" w:hAnsi="Calibri"/>
          <w:szCs w:val="22"/>
        </w:rPr>
        <w:t>. Na terenie miasta zewidencjonowano 72 zabytkowe obiekty zwi</w:t>
      </w:r>
      <w:r w:rsidRPr="00F9121A">
        <w:rPr>
          <w:rFonts w:ascii="Calibri" w:eastAsia="TimesNewRomanPSMT" w:hAnsi="Calibri" w:hint="eastAsia"/>
          <w:szCs w:val="22"/>
        </w:rPr>
        <w:t>ą</w:t>
      </w:r>
      <w:r w:rsidRPr="00F9121A">
        <w:rPr>
          <w:rFonts w:ascii="Calibri" w:eastAsia="TimesNewRomanPSMT" w:hAnsi="Calibri"/>
          <w:szCs w:val="22"/>
        </w:rPr>
        <w:t>zane z przemys</w:t>
      </w:r>
      <w:r w:rsidRPr="00F9121A">
        <w:rPr>
          <w:rFonts w:ascii="Calibri" w:eastAsia="TimesNewRomanPSMT" w:hAnsi="Calibri" w:hint="eastAsia"/>
          <w:szCs w:val="22"/>
        </w:rPr>
        <w:t>ł</w:t>
      </w:r>
      <w:r w:rsidRPr="00F9121A">
        <w:rPr>
          <w:rFonts w:ascii="Calibri" w:eastAsia="TimesNewRomanPSMT" w:hAnsi="Calibri"/>
          <w:szCs w:val="22"/>
        </w:rPr>
        <w:t>em. Do najwybitniejszych nale</w:t>
      </w:r>
      <w:r w:rsidRPr="00F9121A">
        <w:rPr>
          <w:rFonts w:ascii="Calibri" w:eastAsia="TimesNewRomanPSMT" w:hAnsi="Calibri" w:hint="eastAsia"/>
          <w:szCs w:val="22"/>
        </w:rPr>
        <w:t>żą</w:t>
      </w:r>
      <w:r w:rsidRPr="00F9121A">
        <w:rPr>
          <w:rFonts w:ascii="Calibri" w:eastAsia="TimesNewRomanPSMT" w:hAnsi="Calibri"/>
          <w:szCs w:val="22"/>
        </w:rPr>
        <w:t>: modernistyczne zespo</w:t>
      </w:r>
      <w:r w:rsidRPr="00F9121A">
        <w:rPr>
          <w:rFonts w:ascii="Calibri" w:eastAsia="TimesNewRomanPSMT" w:hAnsi="Calibri" w:hint="eastAsia"/>
          <w:szCs w:val="22"/>
        </w:rPr>
        <w:t>ł</w:t>
      </w:r>
      <w:r w:rsidRPr="00F9121A">
        <w:rPr>
          <w:rFonts w:ascii="Calibri" w:eastAsia="TimesNewRomanPSMT" w:hAnsi="Calibri"/>
          <w:szCs w:val="22"/>
        </w:rPr>
        <w:t xml:space="preserve">y dawnej oczyszczalni </w:t>
      </w:r>
      <w:r w:rsidRPr="00F9121A">
        <w:rPr>
          <w:rFonts w:ascii="Calibri" w:eastAsia="TimesNewRomanPSMT" w:hAnsi="Calibri" w:hint="eastAsia"/>
          <w:szCs w:val="22"/>
        </w:rPr>
        <w:t>ś</w:t>
      </w:r>
      <w:r w:rsidRPr="00F9121A">
        <w:rPr>
          <w:rFonts w:ascii="Calibri" w:eastAsia="TimesNewRomanPSMT" w:hAnsi="Calibri"/>
          <w:szCs w:val="22"/>
        </w:rPr>
        <w:t>ciek</w:t>
      </w:r>
      <w:r w:rsidRPr="00F9121A">
        <w:rPr>
          <w:rFonts w:ascii="Calibri" w:eastAsia="TimesNewRomanPSMT" w:hAnsi="Calibri" w:hint="eastAsia"/>
          <w:szCs w:val="22"/>
        </w:rPr>
        <w:t>ó</w:t>
      </w:r>
      <w:r w:rsidRPr="00F9121A">
        <w:rPr>
          <w:rFonts w:ascii="Calibri" w:eastAsia="TimesNewRomanPSMT" w:hAnsi="Calibri"/>
          <w:szCs w:val="22"/>
        </w:rPr>
        <w:t xml:space="preserve">w przy ul. </w:t>
      </w:r>
      <w:r w:rsidRPr="00F9121A">
        <w:rPr>
          <w:rFonts w:ascii="Calibri" w:eastAsia="TimesNewRomanPSMT" w:hAnsi="Calibri" w:hint="eastAsia"/>
          <w:szCs w:val="22"/>
        </w:rPr>
        <w:t>Ł</w:t>
      </w:r>
      <w:r w:rsidRPr="00F9121A">
        <w:rPr>
          <w:rFonts w:ascii="Calibri" w:eastAsia="TimesNewRomanPSMT" w:hAnsi="Calibri"/>
          <w:szCs w:val="22"/>
        </w:rPr>
        <w:t>agiewnickiej, elektrociep</w:t>
      </w:r>
      <w:r w:rsidRPr="00F9121A">
        <w:rPr>
          <w:rFonts w:ascii="Calibri" w:eastAsia="TimesNewRomanPSMT" w:hAnsi="Calibri" w:hint="eastAsia"/>
          <w:szCs w:val="22"/>
        </w:rPr>
        <w:t>ł</w:t>
      </w:r>
      <w:r w:rsidRPr="00F9121A">
        <w:rPr>
          <w:rFonts w:ascii="Calibri" w:eastAsia="TimesNewRomanPSMT" w:hAnsi="Calibri"/>
          <w:szCs w:val="22"/>
        </w:rPr>
        <w:t xml:space="preserve">owni </w:t>
      </w:r>
      <w:r w:rsidR="00EA37D4">
        <w:rPr>
          <w:rFonts w:ascii="Calibri" w:eastAsia="TimesNewRomanPSMT" w:hAnsi="Calibri"/>
          <w:szCs w:val="22"/>
        </w:rPr>
        <w:t>„</w:t>
      </w:r>
      <w:r w:rsidRPr="00F9121A">
        <w:rPr>
          <w:rFonts w:ascii="Calibri" w:eastAsia="TimesNewRomanPSMT" w:hAnsi="Calibri"/>
          <w:szCs w:val="22"/>
        </w:rPr>
        <w:t>Szombierki</w:t>
      </w:r>
      <w:r w:rsidR="00EA37D4">
        <w:rPr>
          <w:rFonts w:ascii="Calibri" w:eastAsia="TimesNewRomanPSMT" w:hAnsi="Calibri"/>
          <w:szCs w:val="22"/>
        </w:rPr>
        <w:t>”</w:t>
      </w:r>
      <w:r w:rsidRPr="00F9121A">
        <w:rPr>
          <w:rFonts w:ascii="Calibri" w:eastAsia="TimesNewRomanPSMT" w:hAnsi="Calibri"/>
          <w:szCs w:val="22"/>
        </w:rPr>
        <w:t xml:space="preserve">, dawna cechownia kopalni </w:t>
      </w:r>
      <w:r w:rsidR="00EA37D4">
        <w:rPr>
          <w:rFonts w:ascii="Calibri" w:eastAsia="TimesNewRomanPSMT" w:hAnsi="Calibri"/>
          <w:szCs w:val="22"/>
        </w:rPr>
        <w:t>„</w:t>
      </w:r>
      <w:r w:rsidRPr="00F9121A">
        <w:rPr>
          <w:rFonts w:ascii="Calibri" w:eastAsia="TimesNewRomanPSMT" w:hAnsi="Calibri"/>
          <w:szCs w:val="22"/>
        </w:rPr>
        <w:t>Rozbark</w:t>
      </w:r>
      <w:r w:rsidR="00EA37D4">
        <w:rPr>
          <w:rFonts w:ascii="Calibri" w:eastAsia="TimesNewRomanPSMT" w:hAnsi="Calibri"/>
          <w:szCs w:val="22"/>
        </w:rPr>
        <w:t>”</w:t>
      </w:r>
      <w:r w:rsidRPr="00F9121A">
        <w:rPr>
          <w:rFonts w:ascii="Calibri" w:eastAsia="TimesNewRomanPSMT" w:hAnsi="Calibri"/>
          <w:szCs w:val="22"/>
        </w:rPr>
        <w:t xml:space="preserve"> oraz budynek nadszybia dawnego szybu </w:t>
      </w:r>
      <w:r w:rsidR="00EA37D4">
        <w:rPr>
          <w:rFonts w:ascii="Calibri" w:eastAsia="TimesNewRomanPSMT" w:hAnsi="Calibri"/>
          <w:szCs w:val="22"/>
        </w:rPr>
        <w:t>„</w:t>
      </w:r>
      <w:r w:rsidRPr="00F9121A">
        <w:rPr>
          <w:rFonts w:ascii="Calibri" w:eastAsia="TimesNewRomanPSMT" w:hAnsi="Calibri"/>
          <w:szCs w:val="22"/>
        </w:rPr>
        <w:t>Bo</w:t>
      </w:r>
      <w:r w:rsidRPr="00F9121A">
        <w:rPr>
          <w:rFonts w:ascii="Calibri" w:eastAsia="TimesNewRomanPSMT" w:hAnsi="Calibri" w:hint="eastAsia"/>
          <w:szCs w:val="22"/>
        </w:rPr>
        <w:t>ń</w:t>
      </w:r>
      <w:r w:rsidRPr="00F9121A">
        <w:rPr>
          <w:rFonts w:ascii="Calibri" w:eastAsia="TimesNewRomanPSMT" w:hAnsi="Calibri"/>
          <w:szCs w:val="22"/>
        </w:rPr>
        <w:t>czyk</w:t>
      </w:r>
      <w:r w:rsidR="00EA37D4">
        <w:rPr>
          <w:rFonts w:ascii="Calibri" w:eastAsia="TimesNewRomanPSMT" w:hAnsi="Calibri"/>
          <w:szCs w:val="22"/>
        </w:rPr>
        <w:t>”</w:t>
      </w:r>
      <w:r w:rsidRPr="00F9121A">
        <w:rPr>
          <w:rFonts w:ascii="Calibri" w:eastAsia="TimesNewRomanPSMT" w:hAnsi="Calibri"/>
          <w:szCs w:val="22"/>
        </w:rPr>
        <w:t xml:space="preserve"> tej</w:t>
      </w:r>
      <w:r w:rsidRPr="00F9121A">
        <w:rPr>
          <w:rFonts w:ascii="Calibri" w:eastAsia="TimesNewRomanPSMT" w:hAnsi="Calibri" w:hint="eastAsia"/>
          <w:szCs w:val="22"/>
        </w:rPr>
        <w:t>ż</w:t>
      </w:r>
      <w:r w:rsidRPr="00F9121A">
        <w:rPr>
          <w:rFonts w:ascii="Calibri" w:eastAsia="TimesNewRomanPSMT" w:hAnsi="Calibri"/>
          <w:szCs w:val="22"/>
        </w:rPr>
        <w:t>e kopalni, wie</w:t>
      </w:r>
      <w:r w:rsidRPr="00F9121A">
        <w:rPr>
          <w:rFonts w:ascii="Calibri" w:eastAsia="TimesNewRomanPSMT" w:hAnsi="Calibri" w:hint="eastAsia"/>
          <w:szCs w:val="22"/>
        </w:rPr>
        <w:t>ż</w:t>
      </w:r>
      <w:r w:rsidRPr="00F9121A">
        <w:rPr>
          <w:rFonts w:ascii="Calibri" w:eastAsia="TimesNewRomanPSMT" w:hAnsi="Calibri"/>
          <w:szCs w:val="22"/>
        </w:rPr>
        <w:t>a wyci</w:t>
      </w:r>
      <w:r w:rsidRPr="00F9121A">
        <w:rPr>
          <w:rFonts w:ascii="Calibri" w:eastAsia="TimesNewRomanPSMT" w:hAnsi="Calibri" w:hint="eastAsia"/>
          <w:szCs w:val="22"/>
        </w:rPr>
        <w:t>ą</w:t>
      </w:r>
      <w:r w:rsidRPr="00F9121A">
        <w:rPr>
          <w:rFonts w:ascii="Calibri" w:eastAsia="TimesNewRomanPSMT" w:hAnsi="Calibri"/>
          <w:szCs w:val="22"/>
        </w:rPr>
        <w:t xml:space="preserve">gowa dawnego szybu </w:t>
      </w:r>
      <w:r w:rsidR="00EA37D4">
        <w:rPr>
          <w:rFonts w:ascii="Calibri" w:eastAsia="TimesNewRomanPSMT" w:hAnsi="Calibri"/>
          <w:szCs w:val="22"/>
        </w:rPr>
        <w:t>„</w:t>
      </w:r>
      <w:r w:rsidRPr="00F9121A">
        <w:rPr>
          <w:rFonts w:ascii="Calibri" w:eastAsia="TimesNewRomanPSMT" w:hAnsi="Calibri"/>
          <w:szCs w:val="22"/>
        </w:rPr>
        <w:t>Krystyna</w:t>
      </w:r>
      <w:r w:rsidR="00EA37D4">
        <w:rPr>
          <w:rFonts w:ascii="Calibri" w:eastAsia="TimesNewRomanPSMT" w:hAnsi="Calibri"/>
          <w:szCs w:val="22"/>
        </w:rPr>
        <w:t xml:space="preserve">” </w:t>
      </w:r>
      <w:r w:rsidRPr="00F9121A">
        <w:rPr>
          <w:rFonts w:ascii="Calibri" w:eastAsia="TimesNewRomanPSMT" w:hAnsi="Calibri"/>
          <w:szCs w:val="22"/>
        </w:rPr>
        <w:t xml:space="preserve">kopalni </w:t>
      </w:r>
      <w:r w:rsidR="00EA37D4">
        <w:rPr>
          <w:rFonts w:ascii="Calibri" w:eastAsia="TimesNewRomanPSMT" w:hAnsi="Calibri"/>
          <w:szCs w:val="22"/>
        </w:rPr>
        <w:t>„</w:t>
      </w:r>
      <w:r w:rsidRPr="00F9121A">
        <w:rPr>
          <w:rFonts w:ascii="Calibri" w:eastAsia="TimesNewRomanPSMT" w:hAnsi="Calibri"/>
          <w:szCs w:val="22"/>
        </w:rPr>
        <w:t>Szombierki</w:t>
      </w:r>
      <w:r w:rsidR="00EA37D4">
        <w:rPr>
          <w:rFonts w:ascii="Calibri" w:eastAsia="TimesNewRomanPSMT" w:hAnsi="Calibri"/>
          <w:szCs w:val="22"/>
        </w:rPr>
        <w:t xml:space="preserve">” </w:t>
      </w:r>
      <w:r w:rsidRPr="00F9121A">
        <w:rPr>
          <w:rFonts w:ascii="Calibri" w:eastAsia="TimesNewRomanPSMT" w:hAnsi="Calibri"/>
          <w:szCs w:val="22"/>
        </w:rPr>
        <w:t>oraz zesp</w:t>
      </w:r>
      <w:r w:rsidRPr="00F9121A">
        <w:rPr>
          <w:rFonts w:ascii="Calibri" w:eastAsia="TimesNewRomanPSMT" w:hAnsi="Calibri" w:hint="eastAsia"/>
          <w:szCs w:val="22"/>
        </w:rPr>
        <w:t>ół</w:t>
      </w:r>
      <w:r w:rsidRPr="00F9121A">
        <w:rPr>
          <w:rFonts w:ascii="Calibri" w:eastAsia="TimesNewRomanPSMT" w:hAnsi="Calibri"/>
          <w:szCs w:val="22"/>
        </w:rPr>
        <w:t xml:space="preserve"> dawnych warsztat</w:t>
      </w:r>
      <w:r w:rsidRPr="00F9121A">
        <w:rPr>
          <w:rFonts w:ascii="Calibri" w:eastAsia="TimesNewRomanPSMT" w:hAnsi="Calibri" w:hint="eastAsia"/>
          <w:szCs w:val="22"/>
        </w:rPr>
        <w:t>ó</w:t>
      </w:r>
      <w:r w:rsidRPr="00F9121A">
        <w:rPr>
          <w:rFonts w:ascii="Calibri" w:eastAsia="TimesNewRomanPSMT" w:hAnsi="Calibri"/>
          <w:szCs w:val="22"/>
        </w:rPr>
        <w:t>w naprawczych kolei w</w:t>
      </w:r>
      <w:r w:rsidRPr="00F9121A">
        <w:rPr>
          <w:rFonts w:ascii="Calibri" w:eastAsia="TimesNewRomanPSMT" w:hAnsi="Calibri" w:hint="eastAsia"/>
          <w:szCs w:val="22"/>
        </w:rPr>
        <w:t>ą</w:t>
      </w:r>
      <w:r w:rsidRPr="00F9121A">
        <w:rPr>
          <w:rFonts w:ascii="Calibri" w:eastAsia="TimesNewRomanPSMT" w:hAnsi="Calibri"/>
          <w:szCs w:val="22"/>
        </w:rPr>
        <w:t>skotorowych przy ul. Brzezi</w:t>
      </w:r>
      <w:r w:rsidRPr="00F9121A">
        <w:rPr>
          <w:rFonts w:ascii="Calibri" w:eastAsia="TimesNewRomanPSMT" w:hAnsi="Calibri" w:hint="eastAsia"/>
          <w:szCs w:val="22"/>
        </w:rPr>
        <w:t>ń</w:t>
      </w:r>
      <w:r w:rsidRPr="00F9121A">
        <w:rPr>
          <w:rFonts w:ascii="Calibri" w:eastAsia="TimesNewRomanPSMT" w:hAnsi="Calibri"/>
          <w:szCs w:val="22"/>
        </w:rPr>
        <w:t>skiej.</w:t>
      </w:r>
    </w:p>
    <w:p w:rsidR="00F9121A" w:rsidRPr="009743BE" w:rsidRDefault="00F9121A" w:rsidP="00F9121A">
      <w:pPr>
        <w:ind w:firstLine="708"/>
        <w:jc w:val="both"/>
        <w:rPr>
          <w:rFonts w:ascii="Calibri" w:hAnsi="Calibri"/>
          <w:b/>
          <w:color w:val="C00000"/>
          <w:szCs w:val="20"/>
          <w:highlight w:val="yellow"/>
        </w:rPr>
      </w:pPr>
      <w:r w:rsidRPr="009743BE">
        <w:rPr>
          <w:rFonts w:ascii="Calibri" w:hAnsi="Calibri"/>
          <w:b/>
          <w:color w:val="C00000"/>
          <w:szCs w:val="20"/>
        </w:rPr>
        <w:t>Liczba, wartość i urozmaicenie zabytków zlokalizowanych na terenie rewitalizacji tworzą istotny wyróżnik Bytomia w regionie. Poważnym problemem jest jednak stan tych zabytków oraz skala koniecznych działań naprawczych.</w:t>
      </w:r>
    </w:p>
    <w:p w:rsidR="00F9121A" w:rsidRPr="00136650" w:rsidRDefault="00F9121A" w:rsidP="001C2FD4"/>
    <w:p w:rsidR="001C2FD4" w:rsidRPr="0067419C" w:rsidRDefault="001C2FD4" w:rsidP="006D764E">
      <w:pPr>
        <w:pStyle w:val="Nagwek3"/>
        <w:numPr>
          <w:ilvl w:val="2"/>
          <w:numId w:val="448"/>
        </w:numPr>
        <w:ind w:left="567" w:hanging="505"/>
      </w:pPr>
      <w:bookmarkStart w:id="7822" w:name="_Toc461612544"/>
      <w:bookmarkStart w:id="7823" w:name="_Toc474924951"/>
      <w:r>
        <w:t>Zieleń miejska</w:t>
      </w:r>
      <w:bookmarkEnd w:id="7822"/>
      <w:bookmarkEnd w:id="7823"/>
    </w:p>
    <w:p w:rsidR="0041273E" w:rsidRDefault="0041273E" w:rsidP="00C80963">
      <w:pPr>
        <w:jc w:val="both"/>
        <w:rPr>
          <w:szCs w:val="20"/>
        </w:rPr>
      </w:pPr>
    </w:p>
    <w:p w:rsidR="001C2FD4" w:rsidRPr="00C80963" w:rsidRDefault="001C2FD4" w:rsidP="00EA2059">
      <w:pPr>
        <w:ind w:firstLine="708"/>
        <w:jc w:val="both"/>
        <w:rPr>
          <w:szCs w:val="20"/>
        </w:rPr>
      </w:pPr>
      <w:r w:rsidRPr="00C80963">
        <w:rPr>
          <w:szCs w:val="20"/>
        </w:rPr>
        <w:t xml:space="preserve">Bytom charakteryzuje się dużą powierzchnią terenów zieleni w porównaniu z innymi miastami Aglomeracji Górnośląskiej. Chociaż największe obszary zieleni znajdują się w północno-zachodniej części miasta, również obszar rewitalizacji wyróżnia się dużym udziałem zieleni urządzonej. </w:t>
      </w:r>
    </w:p>
    <w:p w:rsidR="001C2FD4" w:rsidRPr="00C80963" w:rsidRDefault="001C2FD4" w:rsidP="00EA2059">
      <w:pPr>
        <w:ind w:firstLine="708"/>
        <w:jc w:val="both"/>
        <w:rPr>
          <w:szCs w:val="20"/>
        </w:rPr>
      </w:pPr>
      <w:r w:rsidRPr="00C80963">
        <w:rPr>
          <w:szCs w:val="20"/>
        </w:rPr>
        <w:t xml:space="preserve">Na terenie podobszarów </w:t>
      </w:r>
      <w:r w:rsidR="00AC0EC6">
        <w:rPr>
          <w:szCs w:val="20"/>
        </w:rPr>
        <w:t>śródmiejskich</w:t>
      </w:r>
      <w:r w:rsidRPr="00C80963">
        <w:rPr>
          <w:szCs w:val="20"/>
        </w:rPr>
        <w:t xml:space="preserve">, poza fragmentami o najściślejszej zabudowie, obserwujemy interesujące założenia planistyczne przedwojennych osiedli domów wielorodzinnych, w które starannie wkomponowano zieleń miejską. Na obszarze rewitalizacji znajdują </w:t>
      </w:r>
      <w:r w:rsidR="00DE0F46">
        <w:rPr>
          <w:szCs w:val="20"/>
        </w:rPr>
        <w:t xml:space="preserve"> się </w:t>
      </w:r>
      <w:r w:rsidRPr="00C80963">
        <w:rPr>
          <w:szCs w:val="20"/>
        </w:rPr>
        <w:t>także osiedla dom</w:t>
      </w:r>
      <w:r w:rsidR="00136650">
        <w:rPr>
          <w:szCs w:val="20"/>
        </w:rPr>
        <w:t xml:space="preserve">ów jednorodzinnych, otoczonych </w:t>
      </w:r>
      <w:r w:rsidRPr="00C80963">
        <w:rPr>
          <w:szCs w:val="20"/>
        </w:rPr>
        <w:t xml:space="preserve">zielenią. </w:t>
      </w:r>
    </w:p>
    <w:p w:rsidR="001C2FD4" w:rsidRPr="00C80963" w:rsidRDefault="001C2FD4" w:rsidP="00EA2059">
      <w:pPr>
        <w:ind w:firstLine="708"/>
        <w:jc w:val="both"/>
        <w:rPr>
          <w:color w:val="000000"/>
          <w:szCs w:val="20"/>
        </w:rPr>
      </w:pPr>
      <w:r w:rsidRPr="00C80963">
        <w:rPr>
          <w:szCs w:val="20"/>
        </w:rPr>
        <w:t xml:space="preserve">Ważną rolę w przestrzeni przyrodniczej Bytomia pełnią parki miejskie. Oprócz podstawowej funkcji krajobrazowej parki miejskie pełnią także funkcje rekreacyjne, kulturowe i dydaktyczne. </w:t>
      </w:r>
      <w:r w:rsidRPr="00C80963">
        <w:rPr>
          <w:bCs/>
          <w:szCs w:val="20"/>
        </w:rPr>
        <w:t>Park Miejski im.</w:t>
      </w:r>
      <w:r w:rsidR="00F037CA">
        <w:rPr>
          <w:bCs/>
          <w:szCs w:val="20"/>
        </w:rPr>
        <w:t> </w:t>
      </w:r>
      <w:r w:rsidRPr="00C80963">
        <w:rPr>
          <w:bCs/>
          <w:szCs w:val="20"/>
        </w:rPr>
        <w:t>Franciszka Kachla</w:t>
      </w:r>
      <w:r w:rsidRPr="00C80963">
        <w:rPr>
          <w:szCs w:val="20"/>
        </w:rPr>
        <w:t xml:space="preserve"> zlokalizowany w Śródmieściu między ul. Wrocławską a Tarnogórską, zajmuje powierzchnię ok.</w:t>
      </w:r>
      <w:r w:rsidR="005C447A">
        <w:rPr>
          <w:szCs w:val="20"/>
        </w:rPr>
        <w:t> </w:t>
      </w:r>
      <w:r w:rsidRPr="00C80963">
        <w:rPr>
          <w:szCs w:val="20"/>
        </w:rPr>
        <w:t xml:space="preserve">43 ha. Park, wpisany  do rejestru zabytków, graniczy z podobszarem Śródmieście. Cenny </w:t>
      </w:r>
      <w:r w:rsidRPr="00C80963">
        <w:rPr>
          <w:szCs w:val="20"/>
        </w:rPr>
        <w:lastRenderedPageBreak/>
        <w:t xml:space="preserve">zespół tworzy w Miechowicach zabytkowy </w:t>
      </w:r>
      <w:r w:rsidRPr="00C80963">
        <w:rPr>
          <w:bCs/>
          <w:szCs w:val="20"/>
        </w:rPr>
        <w:t>Park Ludowy</w:t>
      </w:r>
      <w:r w:rsidRPr="00C80963">
        <w:rPr>
          <w:b/>
          <w:color w:val="7030A0"/>
          <w:szCs w:val="20"/>
        </w:rPr>
        <w:t xml:space="preserve"> </w:t>
      </w:r>
      <w:r w:rsidRPr="00C80963">
        <w:rPr>
          <w:szCs w:val="20"/>
        </w:rPr>
        <w:t>z ruiną pałacu T</w:t>
      </w:r>
      <w:r w:rsidR="00DA4F3E">
        <w:rPr>
          <w:szCs w:val="20"/>
        </w:rPr>
        <w:t>h</w:t>
      </w:r>
      <w:r w:rsidRPr="00C80963">
        <w:rPr>
          <w:szCs w:val="20"/>
        </w:rPr>
        <w:t>iele-Wincklerów. Z</w:t>
      </w:r>
      <w:r w:rsidRPr="00C80963">
        <w:rPr>
          <w:color w:val="000000"/>
          <w:szCs w:val="20"/>
        </w:rPr>
        <w:t>ajmuje powierzchnię prawie 14</w:t>
      </w:r>
      <w:r w:rsidR="00DA4F3E">
        <w:rPr>
          <w:color w:val="000000"/>
          <w:szCs w:val="20"/>
        </w:rPr>
        <w:t> </w:t>
      </w:r>
      <w:r w:rsidRPr="00C80963">
        <w:rPr>
          <w:color w:val="000000"/>
          <w:szCs w:val="20"/>
        </w:rPr>
        <w:t xml:space="preserve">ha. </w:t>
      </w:r>
      <w:r w:rsidR="00AC0EC6">
        <w:rPr>
          <w:color w:val="000000"/>
          <w:szCs w:val="20"/>
        </w:rPr>
        <w:t>Park znajduje się na j</w:t>
      </w:r>
      <w:r w:rsidRPr="00C80963">
        <w:rPr>
          <w:color w:val="000000"/>
          <w:szCs w:val="20"/>
        </w:rPr>
        <w:t>eden z niezamieszkałych podobszarów rewitalizacji (podobszar „</w:t>
      </w:r>
      <w:r w:rsidR="001F661E">
        <w:rPr>
          <w:color w:val="000000"/>
          <w:szCs w:val="20"/>
        </w:rPr>
        <w:t>Teren inwestycyjny - Bytom</w:t>
      </w:r>
      <w:r w:rsidRPr="00C80963">
        <w:rPr>
          <w:color w:val="000000"/>
          <w:szCs w:val="20"/>
        </w:rPr>
        <w:t xml:space="preserve"> Miechowice</w:t>
      </w:r>
      <w:r w:rsidR="00136650">
        <w:rPr>
          <w:color w:val="000000"/>
          <w:szCs w:val="20"/>
        </w:rPr>
        <w:t>”</w:t>
      </w:r>
      <w:r w:rsidRPr="00C80963">
        <w:rPr>
          <w:color w:val="000000"/>
          <w:szCs w:val="20"/>
        </w:rPr>
        <w:t xml:space="preserve">). </w:t>
      </w:r>
    </w:p>
    <w:p w:rsidR="001C2FD4" w:rsidRPr="00C80963" w:rsidRDefault="001C2FD4" w:rsidP="00EA2059">
      <w:pPr>
        <w:ind w:firstLine="708"/>
        <w:jc w:val="both"/>
        <w:rPr>
          <w:szCs w:val="20"/>
        </w:rPr>
      </w:pPr>
      <w:r w:rsidRPr="00C80963">
        <w:rPr>
          <w:szCs w:val="20"/>
        </w:rPr>
        <w:t>Tereny zieleni stanowią duży potencjał w zakresie kreowania projektów społecznych i propozycji dedykowanych dla mieszkańców. Są także miejscami wypoczynku i rekreacji mieszkańców obszaru rewitalizacji.</w:t>
      </w:r>
    </w:p>
    <w:p w:rsidR="001C2FD4" w:rsidRDefault="001C2FD4" w:rsidP="001C2FD4"/>
    <w:p w:rsidR="00FA5F78" w:rsidRPr="00FA5F78" w:rsidRDefault="00FA5F78" w:rsidP="00FA5F78">
      <w:pPr>
        <w:pStyle w:val="Legenda"/>
        <w:keepNext/>
        <w:spacing w:after="60"/>
      </w:pPr>
      <w:bookmarkStart w:id="7824" w:name="_Toc474925013"/>
      <w:r w:rsidRPr="00FA5F78">
        <w:t xml:space="preserve">Ilustracja </w:t>
      </w:r>
      <w:r w:rsidR="003972D8" w:rsidRPr="00FA5F78">
        <w:fldChar w:fldCharType="begin"/>
      </w:r>
      <w:r w:rsidRPr="00FA5F78">
        <w:instrText xml:space="preserve"> SEQ Ilustracja \* ARABIC </w:instrText>
      </w:r>
      <w:r w:rsidR="003972D8" w:rsidRPr="00FA5F78">
        <w:fldChar w:fldCharType="separate"/>
      </w:r>
      <w:r w:rsidR="00413FFE">
        <w:rPr>
          <w:noProof/>
        </w:rPr>
        <w:t>20</w:t>
      </w:r>
      <w:r w:rsidR="003972D8" w:rsidRPr="00FA5F78">
        <w:fldChar w:fldCharType="end"/>
      </w:r>
      <w:r w:rsidRPr="00FA5F78">
        <w:t xml:space="preserve">. Pałac </w:t>
      </w:r>
      <w:r w:rsidR="00DD40AE">
        <w:t xml:space="preserve">Thiele-Wincklerów </w:t>
      </w:r>
      <w:r w:rsidRPr="00FA5F78">
        <w:t>w Miechowicach</w:t>
      </w:r>
      <w:bookmarkEnd w:id="7824"/>
    </w:p>
    <w:p w:rsidR="00FA5F78" w:rsidRPr="00FA5F78" w:rsidRDefault="00FA5F78" w:rsidP="005C447A">
      <w:pPr>
        <w:pStyle w:val="Legenda"/>
        <w:keepNext/>
        <w:spacing w:after="60"/>
        <w:jc w:val="center"/>
        <w:rPr>
          <w:b w:val="0"/>
          <w:i/>
        </w:rPr>
      </w:pPr>
      <w:r w:rsidRPr="00FA5F78">
        <w:rPr>
          <w:noProof/>
        </w:rPr>
        <w:drawing>
          <wp:inline distT="0" distB="0" distL="0" distR="0">
            <wp:extent cx="3600000" cy="2717881"/>
            <wp:effectExtent l="19050" t="0" r="450" b="0"/>
            <wp:docPr id="65" name="Obraz 45" descr="C:\Documents and Settings\kmieszala\Ustawienia lokalne\Temporary Internet Files\Content.Word\Nowy obraz (1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Documents and Settings\kmieszala\Ustawienia lokalne\Temporary Internet Files\Content.Word\Nowy obraz (12).bmp"/>
                    <pic:cNvPicPr>
                      <a:picLocks noChangeAspect="1" noChangeArrowheads="1"/>
                    </pic:cNvPicPr>
                  </pic:nvPicPr>
                  <pic:blipFill>
                    <a:blip r:embed="rId88" cstate="print"/>
                    <a:srcRect/>
                    <a:stretch>
                      <a:fillRect/>
                    </a:stretch>
                  </pic:blipFill>
                  <pic:spPr bwMode="auto">
                    <a:xfrm>
                      <a:off x="0" y="0"/>
                      <a:ext cx="3600000" cy="2717881"/>
                    </a:xfrm>
                    <a:prstGeom prst="rect">
                      <a:avLst/>
                    </a:prstGeom>
                    <a:noFill/>
                    <a:ln w="9525">
                      <a:noFill/>
                      <a:miter lim="800000"/>
                      <a:headEnd/>
                      <a:tailEnd/>
                    </a:ln>
                  </pic:spPr>
                </pic:pic>
              </a:graphicData>
            </a:graphic>
          </wp:inline>
        </w:drawing>
      </w:r>
    </w:p>
    <w:p w:rsidR="00FA5F78" w:rsidRPr="00FA5F78" w:rsidRDefault="00FA5F78" w:rsidP="00FA5F78">
      <w:pPr>
        <w:pStyle w:val="Legenda"/>
        <w:keepNext/>
        <w:rPr>
          <w:sz w:val="18"/>
        </w:rPr>
      </w:pPr>
      <w:r w:rsidRPr="00FA5F78">
        <w:rPr>
          <w:b w:val="0"/>
          <w:i/>
          <w:sz w:val="18"/>
        </w:rPr>
        <w:t>Źródło: UM Bytom</w:t>
      </w:r>
    </w:p>
    <w:p w:rsidR="00FA5F78" w:rsidRPr="00136650" w:rsidRDefault="00FA5F78" w:rsidP="001C2FD4"/>
    <w:p w:rsidR="001C2FD4" w:rsidRDefault="001C2FD4" w:rsidP="006D764E">
      <w:pPr>
        <w:pStyle w:val="Nagwek3"/>
        <w:numPr>
          <w:ilvl w:val="2"/>
          <w:numId w:val="448"/>
        </w:numPr>
        <w:ind w:left="567" w:hanging="505"/>
      </w:pPr>
      <w:bookmarkStart w:id="7825" w:name="_Toc461612545"/>
      <w:bookmarkStart w:id="7826" w:name="_Toc474924952"/>
      <w:r>
        <w:t>Niezamieszkałe obszary rewitalizacji</w:t>
      </w:r>
      <w:bookmarkEnd w:id="7825"/>
      <w:bookmarkEnd w:id="7826"/>
    </w:p>
    <w:p w:rsidR="0041273E" w:rsidRDefault="0041273E" w:rsidP="00C80963">
      <w:pPr>
        <w:jc w:val="both"/>
        <w:rPr>
          <w:rFonts w:eastAsia="Calibri"/>
          <w:szCs w:val="20"/>
        </w:rPr>
      </w:pPr>
    </w:p>
    <w:p w:rsidR="001C2FD4" w:rsidRPr="00C80963" w:rsidRDefault="001C2FD4" w:rsidP="00EA2059">
      <w:pPr>
        <w:ind w:firstLine="708"/>
        <w:jc w:val="both"/>
        <w:rPr>
          <w:rFonts w:eastAsia="Calibri"/>
          <w:szCs w:val="20"/>
        </w:rPr>
      </w:pPr>
      <w:r w:rsidRPr="00C80963">
        <w:rPr>
          <w:rFonts w:eastAsia="Calibri"/>
          <w:szCs w:val="20"/>
        </w:rPr>
        <w:t xml:space="preserve">Oprócz podobszarów zamieszkałych, w obszarze rewitalizacji znalazło </w:t>
      </w:r>
      <w:r w:rsidR="00DE0F46">
        <w:rPr>
          <w:rFonts w:eastAsia="Calibri"/>
          <w:szCs w:val="20"/>
        </w:rPr>
        <w:t xml:space="preserve">się </w:t>
      </w:r>
      <w:r w:rsidRPr="00C80963">
        <w:rPr>
          <w:rFonts w:eastAsia="Calibri"/>
          <w:szCs w:val="20"/>
        </w:rPr>
        <w:t xml:space="preserve">dziewięć obszarów niezamieszkałych. Są to w większości tereny poprzemysłowe, które posiadają znaczny potencjał dla całego miasta. Warunkiem ich wykorzystania jest nadanie im nowych funkcji, poprzedzone niezbędnymi pracami renowacyjnymi. Działania na tych podobszarach będą miały pozytywny wpływ na pozostałe podobszary rewitalizacji i ich mieszkańców, poprzez m.in. tworzenie miejsc pod działalność gospodarczą, tworzenie nowych miejsc pracy, miejsc rekreacji, itp. </w:t>
      </w:r>
    </w:p>
    <w:p w:rsidR="001C2FD4" w:rsidRPr="003D3B46" w:rsidRDefault="001C2FD4" w:rsidP="001C2FD4">
      <w:pPr>
        <w:autoSpaceDE w:val="0"/>
        <w:autoSpaceDN w:val="0"/>
        <w:adjustRightInd w:val="0"/>
        <w:rPr>
          <w:rFonts w:cs="Calibri"/>
        </w:rPr>
      </w:pPr>
    </w:p>
    <w:p w:rsidR="001C2FD4" w:rsidRPr="004F2090" w:rsidRDefault="001C2FD4" w:rsidP="00C80963">
      <w:pPr>
        <w:autoSpaceDE w:val="0"/>
        <w:autoSpaceDN w:val="0"/>
        <w:adjustRightInd w:val="0"/>
        <w:jc w:val="both"/>
        <w:rPr>
          <w:rFonts w:cs="Calibri"/>
          <w:b/>
          <w:sz w:val="22"/>
          <w:szCs w:val="20"/>
        </w:rPr>
      </w:pPr>
      <w:r w:rsidRPr="004F2090">
        <w:rPr>
          <w:rFonts w:cs="Calibri"/>
          <w:b/>
          <w:sz w:val="22"/>
          <w:szCs w:val="20"/>
        </w:rPr>
        <w:t>Teren dawnej KWK Rozbark</w:t>
      </w:r>
      <w:r w:rsidR="003359E0">
        <w:rPr>
          <w:rFonts w:cs="Calibri"/>
          <w:b/>
          <w:sz w:val="22"/>
          <w:szCs w:val="20"/>
        </w:rPr>
        <w:t xml:space="preserve"> (podobszar 24)</w:t>
      </w:r>
    </w:p>
    <w:p w:rsidR="001C2FD4" w:rsidRPr="00C80963" w:rsidRDefault="001C2FD4" w:rsidP="0041273E">
      <w:pPr>
        <w:pStyle w:val="Tekstprzypisudolnego"/>
        <w:autoSpaceDE w:val="0"/>
        <w:autoSpaceDN w:val="0"/>
        <w:adjustRightInd w:val="0"/>
        <w:spacing w:after="120"/>
        <w:jc w:val="both"/>
      </w:pPr>
      <w:r w:rsidRPr="00C80963">
        <w:t>Na terenie znajdują się zabudowania pokopalniane, w znacznym stopniu zdewastowane. Trzy z nich tj.</w:t>
      </w:r>
      <w:r w:rsidR="00136650">
        <w:t> </w:t>
      </w:r>
      <w:r w:rsidRPr="00C80963">
        <w:t xml:space="preserve">cechownia, kotłownia oraz maszynownia szybu „Bończyk” wraz z charakterystycznym murem oporowym wpisane są do rejestru </w:t>
      </w:r>
      <w:r w:rsidRPr="00136650">
        <w:rPr>
          <w:iCs/>
        </w:rPr>
        <w:t>zabytków województwa śląskiego</w:t>
      </w:r>
      <w:r w:rsidRPr="00C80963">
        <w:t>. Część obszaru została poddana renowacji w latach 2011- 2013, w ramach projektu pn.: Rewitalizacja terenów po byłe</w:t>
      </w:r>
      <w:r w:rsidR="00136650">
        <w:t>j KWK Rozbark - Etap I, realizowanego przy wsparciu funduszy unijnych (EFRR) w ramach RPO WSL 2007-2013.</w:t>
      </w:r>
      <w:r w:rsidRPr="00C80963">
        <w:t xml:space="preserve"> </w:t>
      </w:r>
    </w:p>
    <w:p w:rsidR="001C2FD4" w:rsidRPr="00C80963" w:rsidRDefault="001C2FD4" w:rsidP="0041273E">
      <w:pPr>
        <w:pStyle w:val="Tekstprzypisudolnego"/>
        <w:autoSpaceDE w:val="0"/>
        <w:autoSpaceDN w:val="0"/>
        <w:adjustRightInd w:val="0"/>
        <w:spacing w:after="120"/>
        <w:jc w:val="both"/>
      </w:pPr>
      <w:r w:rsidRPr="00C80963">
        <w:t xml:space="preserve">Potencjał podobszaru związany jest z centralnym położeniem, bezpośrednio przy podobszarach rewitalizacji Rozbark i Śródmieście. </w:t>
      </w:r>
    </w:p>
    <w:p w:rsidR="001C2FD4" w:rsidRDefault="001C2FD4" w:rsidP="00C80963">
      <w:pPr>
        <w:autoSpaceDE w:val="0"/>
        <w:autoSpaceDN w:val="0"/>
        <w:adjustRightInd w:val="0"/>
        <w:jc w:val="both"/>
        <w:rPr>
          <w:rFonts w:cs="Calibri"/>
          <w:szCs w:val="20"/>
        </w:rPr>
      </w:pPr>
      <w:r w:rsidRPr="00C80963">
        <w:rPr>
          <w:rFonts w:eastAsia="Calibri"/>
          <w:szCs w:val="20"/>
        </w:rPr>
        <w:t xml:space="preserve">Dawną kopalnię Rozbark można wykorzystać w różny sposób. Jest tu możliwe utworzenie strefy aktywności gospodarczej. Na terenach pokopalnianych można zlokalizować nowe przedsiębiorstwa, w których zatrudnienie znajdą mieszkańcy zidentyfikowanych w mieście terenów zdegradowanych. </w:t>
      </w:r>
      <w:r w:rsidRPr="00C80963">
        <w:rPr>
          <w:rFonts w:cs="Calibri"/>
          <w:szCs w:val="20"/>
        </w:rPr>
        <w:t xml:space="preserve">Warto też rozważyć przekształcenie dawnej zabudowy przemysłowej i przystosowanie jej do funkcji rekreacyjnych. Wobec zdiagnozowanego niedostatku infrastruktury sportowo – rekreacyjnej w dzielnicach centralnych taka forma renowacji terenu przyczyniłaby się do rozwiązania jednego z istotnych problemów obszaru rewitalizacji. </w:t>
      </w:r>
    </w:p>
    <w:p w:rsidR="003F4323" w:rsidRPr="006870CF" w:rsidRDefault="003F4323" w:rsidP="003F4323">
      <w:pPr>
        <w:jc w:val="both"/>
        <w:rPr>
          <w:szCs w:val="20"/>
        </w:rPr>
      </w:pPr>
      <w:r w:rsidRPr="006870CF">
        <w:rPr>
          <w:szCs w:val="20"/>
        </w:rPr>
        <w:lastRenderedPageBreak/>
        <w:t>Niezbędne będzie zrealizowanie działań związanych z dostosowaniem podłoża do nowych inwestycji poprzez wykonanie robót geologiczno – inżynierskich oraz badań geofizycznych, częściową wymianę gruntu, oczyszczanie gruntu z zanieczyszczeń, zagospodarowanie terenu wraz z uzbrojeniem i makroniwelacją z</w:t>
      </w:r>
      <w:r w:rsidR="000150A4">
        <w:rPr>
          <w:szCs w:val="20"/>
        </w:rPr>
        <w:t> </w:t>
      </w:r>
      <w:r w:rsidRPr="006870CF">
        <w:rPr>
          <w:szCs w:val="20"/>
        </w:rPr>
        <w:t>przeznaczeniem na strefę inwestycyjną.</w:t>
      </w:r>
    </w:p>
    <w:p w:rsidR="004F2090" w:rsidRPr="00C80963" w:rsidRDefault="004F2090" w:rsidP="00C80963">
      <w:pPr>
        <w:autoSpaceDE w:val="0"/>
        <w:autoSpaceDN w:val="0"/>
        <w:adjustRightInd w:val="0"/>
        <w:jc w:val="both"/>
        <w:rPr>
          <w:rFonts w:cs="Calibri"/>
          <w:szCs w:val="20"/>
        </w:rPr>
      </w:pPr>
    </w:p>
    <w:p w:rsidR="001C2FD4" w:rsidRPr="004F2090" w:rsidRDefault="001C2FD4" w:rsidP="00C80963">
      <w:pPr>
        <w:autoSpaceDE w:val="0"/>
        <w:autoSpaceDN w:val="0"/>
        <w:adjustRightInd w:val="0"/>
        <w:jc w:val="both"/>
        <w:rPr>
          <w:rFonts w:cs="Calibri"/>
          <w:b/>
          <w:sz w:val="22"/>
          <w:szCs w:val="20"/>
        </w:rPr>
      </w:pPr>
      <w:r w:rsidRPr="004F2090">
        <w:rPr>
          <w:rFonts w:cs="Calibri"/>
          <w:b/>
          <w:sz w:val="22"/>
          <w:szCs w:val="20"/>
        </w:rPr>
        <w:t>Teren dawnej KWK Szombierki</w:t>
      </w:r>
      <w:r w:rsidR="003359E0">
        <w:rPr>
          <w:rFonts w:cs="Calibri"/>
          <w:b/>
          <w:sz w:val="22"/>
          <w:szCs w:val="20"/>
        </w:rPr>
        <w:t xml:space="preserve"> (podobszar 25)</w:t>
      </w:r>
    </w:p>
    <w:p w:rsidR="001C2FD4" w:rsidRPr="00C80963" w:rsidRDefault="001C2FD4" w:rsidP="00C80963">
      <w:pPr>
        <w:autoSpaceDE w:val="0"/>
        <w:autoSpaceDN w:val="0"/>
        <w:adjustRightInd w:val="0"/>
        <w:jc w:val="both"/>
        <w:rPr>
          <w:rFonts w:cs="Calibri"/>
          <w:szCs w:val="20"/>
        </w:rPr>
      </w:pPr>
      <w:r w:rsidRPr="00C80963">
        <w:rPr>
          <w:rFonts w:cs="Calibri"/>
          <w:szCs w:val="20"/>
        </w:rPr>
        <w:t>Jest to teren po zlikwidowanej w 1997 r. kopani węgla kamiennego. Jest dogodnie położony na południe od centrum Bytomia. Zapisy MPZP „Szombierki Południe” świadczą o trafnym określeniu potencjału tego obszaru; zaplanowano tu połączenie funkcji mieszkaniowej z funkcją rekreacyjną. Na podobszarze istniej</w:t>
      </w:r>
      <w:r w:rsidR="00514E5B">
        <w:rPr>
          <w:rFonts w:cs="Calibri"/>
          <w:szCs w:val="20"/>
        </w:rPr>
        <w:t>e</w:t>
      </w:r>
      <w:r w:rsidRPr="00C80963">
        <w:rPr>
          <w:rFonts w:cs="Calibri"/>
          <w:szCs w:val="20"/>
        </w:rPr>
        <w:t xml:space="preserve"> możliwość budowy osiedli mieszkaniowych w zabudowie jednorodzinnej i wielorodzinnej. Duża powierzchnia, w tym biologicznie czynna oraz bliskość podobszaru </w:t>
      </w:r>
      <w:r w:rsidR="00191A39">
        <w:rPr>
          <w:rFonts w:cs="Calibri"/>
          <w:szCs w:val="20"/>
        </w:rPr>
        <w:t>nr 26 tereny po dawnej Hucie</w:t>
      </w:r>
      <w:r w:rsidRPr="00C80963">
        <w:rPr>
          <w:rFonts w:cs="Calibri"/>
          <w:szCs w:val="20"/>
        </w:rPr>
        <w:t xml:space="preserve"> Zygmunt, posiadającego podobny potencjał rekreacyjny, stwarza warunki do dalszego rozwoju infrastruktury sportowej i wypoczynkowej (</w:t>
      </w:r>
      <w:r w:rsidRPr="00C80963">
        <w:rPr>
          <w:rFonts w:eastAsia="Calibri"/>
          <w:szCs w:val="20"/>
        </w:rPr>
        <w:t>ogólno</w:t>
      </w:r>
      <w:r w:rsidR="00136650">
        <w:rPr>
          <w:rFonts w:eastAsia="Calibri"/>
          <w:szCs w:val="20"/>
        </w:rPr>
        <w:t>dostępna przestrzeń rekreacyjna</w:t>
      </w:r>
      <w:r w:rsidRPr="00C80963">
        <w:rPr>
          <w:rFonts w:eastAsia="Calibri"/>
          <w:szCs w:val="20"/>
        </w:rPr>
        <w:t xml:space="preserve">, </w:t>
      </w:r>
      <w:r w:rsidRPr="00C80963">
        <w:rPr>
          <w:rFonts w:cs="Calibri"/>
          <w:szCs w:val="20"/>
        </w:rPr>
        <w:t xml:space="preserve">ścieżki rowerowe, boiska). </w:t>
      </w:r>
    </w:p>
    <w:p w:rsidR="001C2FD4" w:rsidRPr="00C80963" w:rsidRDefault="001C2FD4" w:rsidP="00C80963">
      <w:pPr>
        <w:autoSpaceDE w:val="0"/>
        <w:autoSpaceDN w:val="0"/>
        <w:adjustRightInd w:val="0"/>
        <w:jc w:val="both"/>
        <w:rPr>
          <w:rFonts w:cs="Calibri"/>
          <w:szCs w:val="20"/>
        </w:rPr>
      </w:pPr>
      <w:r w:rsidRPr="00C80963">
        <w:rPr>
          <w:rFonts w:cs="Calibri"/>
          <w:szCs w:val="20"/>
        </w:rPr>
        <w:t>Należy również zauważyć potencjał zachowanego tu dziedzictwa materialnego, jak obiekty sakralne na wzgórzu św. Małgorzaty oraz po</w:t>
      </w:r>
      <w:r w:rsidR="00191A39">
        <w:rPr>
          <w:rFonts w:cs="Calibri"/>
          <w:szCs w:val="20"/>
        </w:rPr>
        <w:t>st</w:t>
      </w:r>
      <w:r w:rsidRPr="00C80963">
        <w:rPr>
          <w:rFonts w:cs="Calibri"/>
          <w:szCs w:val="20"/>
        </w:rPr>
        <w:t xml:space="preserve">industrialne (Szyb Krystyna i Szyb Ewa), mogące po rewaloryzacji pełnić atrakcyjną rolę edukacyjną i kulturalną.  </w:t>
      </w:r>
    </w:p>
    <w:p w:rsidR="001C2FD4" w:rsidRPr="00C80963" w:rsidRDefault="001C2FD4" w:rsidP="00C80963">
      <w:pPr>
        <w:autoSpaceDE w:val="0"/>
        <w:autoSpaceDN w:val="0"/>
        <w:adjustRightInd w:val="0"/>
        <w:jc w:val="both"/>
        <w:rPr>
          <w:rFonts w:cs="Calibri"/>
          <w:szCs w:val="20"/>
        </w:rPr>
      </w:pPr>
      <w:r w:rsidRPr="00C80963">
        <w:rPr>
          <w:rFonts w:cs="Calibri"/>
          <w:szCs w:val="20"/>
        </w:rPr>
        <w:t xml:space="preserve">Zagospodarowanie tego podobszaru zwiększy możliwości rekreacyjne dla mieszkańców położonych niedaleko podobszarów </w:t>
      </w:r>
      <w:r w:rsidR="007D3B09">
        <w:rPr>
          <w:rFonts w:cs="Calibri"/>
          <w:szCs w:val="20"/>
        </w:rPr>
        <w:t>rewitalizacji</w:t>
      </w:r>
      <w:r w:rsidRPr="00C80963">
        <w:rPr>
          <w:rFonts w:cs="Calibri"/>
          <w:szCs w:val="20"/>
        </w:rPr>
        <w:t xml:space="preserve">. </w:t>
      </w:r>
    </w:p>
    <w:p w:rsidR="001C2FD4" w:rsidRPr="00C80963" w:rsidRDefault="001C2FD4" w:rsidP="00C80963">
      <w:pPr>
        <w:autoSpaceDE w:val="0"/>
        <w:autoSpaceDN w:val="0"/>
        <w:adjustRightInd w:val="0"/>
        <w:jc w:val="both"/>
        <w:rPr>
          <w:rFonts w:cs="Calibri"/>
          <w:szCs w:val="20"/>
        </w:rPr>
      </w:pPr>
    </w:p>
    <w:p w:rsidR="001C2FD4" w:rsidRPr="004F2090" w:rsidRDefault="001C2FD4" w:rsidP="00C80963">
      <w:pPr>
        <w:autoSpaceDE w:val="0"/>
        <w:autoSpaceDN w:val="0"/>
        <w:adjustRightInd w:val="0"/>
        <w:jc w:val="both"/>
        <w:rPr>
          <w:rFonts w:cs="Calibri"/>
          <w:b/>
          <w:sz w:val="22"/>
          <w:szCs w:val="20"/>
        </w:rPr>
      </w:pPr>
      <w:r w:rsidRPr="004F2090">
        <w:rPr>
          <w:rFonts w:cs="Calibri"/>
          <w:b/>
          <w:sz w:val="22"/>
          <w:szCs w:val="20"/>
        </w:rPr>
        <w:t>Teren dawnej Huty Zygmunt</w:t>
      </w:r>
      <w:r w:rsidR="003359E0">
        <w:rPr>
          <w:rFonts w:cs="Calibri"/>
          <w:b/>
          <w:sz w:val="22"/>
          <w:szCs w:val="20"/>
        </w:rPr>
        <w:t xml:space="preserve"> (podobszar 26)</w:t>
      </w:r>
    </w:p>
    <w:p w:rsidR="001C2FD4" w:rsidRPr="00C80963" w:rsidRDefault="001C2FD4" w:rsidP="00C80963">
      <w:pPr>
        <w:autoSpaceDE w:val="0"/>
        <w:autoSpaceDN w:val="0"/>
        <w:adjustRightInd w:val="0"/>
        <w:jc w:val="both"/>
        <w:rPr>
          <w:rFonts w:cs="Calibri"/>
          <w:szCs w:val="20"/>
        </w:rPr>
      </w:pPr>
      <w:r w:rsidRPr="00C80963">
        <w:rPr>
          <w:rFonts w:cs="Calibri"/>
          <w:szCs w:val="20"/>
        </w:rPr>
        <w:t>Teren zlokalizowany jest w sąsiedztwie zabytkowego osiedla mie</w:t>
      </w:r>
      <w:r w:rsidR="00136650">
        <w:rPr>
          <w:rFonts w:cs="Calibri"/>
          <w:szCs w:val="20"/>
        </w:rPr>
        <w:t>szkaniowego Kolonia Zgorzelec. S</w:t>
      </w:r>
      <w:r w:rsidRPr="00C80963">
        <w:rPr>
          <w:rFonts w:cs="Calibri"/>
          <w:szCs w:val="20"/>
        </w:rPr>
        <w:t>tanowi zdegradowany teren po Hucie Zygmunt, na którym wcześniej prowadzono podziemną eksploatację węgla kamiennego przez zlikwidowaną KWK Szombierki. Działalność górnicza doprowadziła do deformacji powierzchni terenu oraz zanieczyszczeń gruntu. Teren wymaga przeprowadzenia działań naprawczych i</w:t>
      </w:r>
      <w:r w:rsidR="0013236B">
        <w:rPr>
          <w:rFonts w:cs="Calibri"/>
          <w:szCs w:val="20"/>
        </w:rPr>
        <w:t> </w:t>
      </w:r>
      <w:r w:rsidRPr="00C80963">
        <w:rPr>
          <w:rFonts w:cs="Calibri"/>
          <w:szCs w:val="20"/>
        </w:rPr>
        <w:t>rekultywacyjnych celem przywrócenia użyteczności na podobszarze zanieczyszczonym.</w:t>
      </w:r>
    </w:p>
    <w:p w:rsidR="001C2FD4" w:rsidRPr="00C80963" w:rsidRDefault="001C2FD4" w:rsidP="00C80963">
      <w:pPr>
        <w:autoSpaceDE w:val="0"/>
        <w:autoSpaceDN w:val="0"/>
        <w:adjustRightInd w:val="0"/>
        <w:jc w:val="both"/>
        <w:rPr>
          <w:rFonts w:cs="Calibri"/>
          <w:szCs w:val="20"/>
        </w:rPr>
      </w:pPr>
      <w:r w:rsidRPr="00C80963">
        <w:rPr>
          <w:rFonts w:cs="Calibri"/>
          <w:szCs w:val="20"/>
        </w:rPr>
        <w:t>Podobszar ten, zgodnie z obowiązującym MPZP, można przeznaczyć pod zieleń i usługi sportu i rekreacji, zabudowę mieszkaniową jednorodzinną oraz produkcję, co pozwoli na nadanie nowych funkcji przyrodniczo-rekreacyjnych, mieszkalnych i produkcyjnych. Należy rozważyć utworzenie w tym miejscu rozległego terenu rekreacji, połączonego z pobliskim podobszarem KWK Szombierki oraz podobszarem Kolonia Zgorzelec.</w:t>
      </w:r>
    </w:p>
    <w:p w:rsidR="001C2FD4" w:rsidRPr="00C80963" w:rsidRDefault="001C2FD4" w:rsidP="00C80963">
      <w:pPr>
        <w:jc w:val="both"/>
        <w:rPr>
          <w:rFonts w:cs="Calibri"/>
          <w:szCs w:val="20"/>
        </w:rPr>
      </w:pPr>
    </w:p>
    <w:p w:rsidR="001C2FD4" w:rsidRPr="004F2090" w:rsidRDefault="001C2FD4" w:rsidP="00C80963">
      <w:pPr>
        <w:autoSpaceDE w:val="0"/>
        <w:autoSpaceDN w:val="0"/>
        <w:adjustRightInd w:val="0"/>
        <w:jc w:val="both"/>
        <w:rPr>
          <w:rFonts w:cs="Calibri"/>
          <w:b/>
          <w:sz w:val="22"/>
          <w:szCs w:val="20"/>
        </w:rPr>
      </w:pPr>
      <w:r w:rsidRPr="004F2090">
        <w:rPr>
          <w:rFonts w:cs="Calibri"/>
          <w:b/>
          <w:sz w:val="22"/>
          <w:szCs w:val="20"/>
        </w:rPr>
        <w:t>Teren KWK Centrum</w:t>
      </w:r>
      <w:r w:rsidR="003359E0">
        <w:rPr>
          <w:rFonts w:cs="Calibri"/>
          <w:b/>
          <w:sz w:val="22"/>
          <w:szCs w:val="20"/>
        </w:rPr>
        <w:t xml:space="preserve"> (podobszar 27)</w:t>
      </w:r>
    </w:p>
    <w:p w:rsidR="001C2FD4" w:rsidRPr="00C80963" w:rsidRDefault="001C2FD4" w:rsidP="00C80963">
      <w:pPr>
        <w:autoSpaceDE w:val="0"/>
        <w:autoSpaceDN w:val="0"/>
        <w:adjustRightInd w:val="0"/>
        <w:jc w:val="both"/>
        <w:rPr>
          <w:rFonts w:cs="Calibri"/>
          <w:szCs w:val="20"/>
        </w:rPr>
      </w:pPr>
      <w:r w:rsidRPr="00C80963">
        <w:rPr>
          <w:rFonts w:cs="Calibri"/>
          <w:szCs w:val="20"/>
        </w:rPr>
        <w:t>Teren po zlikwidowanej w 2015 r. kopalni Bobrek-Centrum. Na podobszarze znajdują się obiekty poprzemysłowe oraz duża ilość pokopalnianych hałd i osadników. Część podobszaru prz</w:t>
      </w:r>
      <w:r w:rsidR="00136650">
        <w:rPr>
          <w:rFonts w:cs="Calibri"/>
          <w:szCs w:val="20"/>
        </w:rPr>
        <w:t>eznaczona jest na nową strażnicę</w:t>
      </w:r>
      <w:r w:rsidRPr="00C80963">
        <w:rPr>
          <w:rFonts w:cs="Calibri"/>
          <w:szCs w:val="20"/>
        </w:rPr>
        <w:t xml:space="preserve"> Państwowej Straży Pożarnej. Przez teren planuje się przeprowadzić Bytomską Centralną Trasę Północ-Południe (BCT N-S, tzw. BeCeTka).</w:t>
      </w:r>
    </w:p>
    <w:p w:rsidR="001C2FD4" w:rsidRPr="00C80963" w:rsidRDefault="001C2FD4" w:rsidP="00C80963">
      <w:pPr>
        <w:autoSpaceDE w:val="0"/>
        <w:autoSpaceDN w:val="0"/>
        <w:adjustRightInd w:val="0"/>
        <w:jc w:val="both"/>
        <w:rPr>
          <w:rFonts w:cs="Calibri"/>
          <w:szCs w:val="20"/>
        </w:rPr>
      </w:pPr>
      <w:r w:rsidRPr="00C80963">
        <w:rPr>
          <w:rFonts w:cs="Calibri"/>
          <w:szCs w:val="20"/>
        </w:rPr>
        <w:t xml:space="preserve">Zgodnie z zapisami obowiązującego </w:t>
      </w:r>
      <w:r w:rsidRPr="00C80963">
        <w:rPr>
          <w:rFonts w:cs="Calibri-Italic"/>
          <w:i/>
          <w:iCs/>
          <w:szCs w:val="20"/>
        </w:rPr>
        <w:t>Studium uwarunkowań i kierunków</w:t>
      </w:r>
      <w:r w:rsidRPr="00C80963">
        <w:rPr>
          <w:rFonts w:cs="Calibri"/>
          <w:szCs w:val="20"/>
        </w:rPr>
        <w:t xml:space="preserve"> </w:t>
      </w:r>
      <w:r w:rsidRPr="00C80963">
        <w:rPr>
          <w:rFonts w:cs="Calibri-Italic"/>
          <w:i/>
          <w:iCs/>
          <w:szCs w:val="20"/>
        </w:rPr>
        <w:t xml:space="preserve">zagospodarowania przestrzennego Gminy Bytom </w:t>
      </w:r>
      <w:r w:rsidRPr="00C80963">
        <w:rPr>
          <w:rFonts w:cs="Calibri"/>
          <w:szCs w:val="20"/>
        </w:rPr>
        <w:t>znajdujące się na tym terenie obiekty produkcyjne i przemysłowe, po uprzedniej niwelacji i</w:t>
      </w:r>
      <w:r w:rsidR="0013236B">
        <w:rPr>
          <w:rFonts w:cs="Calibri"/>
          <w:szCs w:val="20"/>
        </w:rPr>
        <w:t> </w:t>
      </w:r>
      <w:r w:rsidRPr="00C80963">
        <w:rPr>
          <w:rFonts w:cs="Calibri"/>
          <w:szCs w:val="20"/>
        </w:rPr>
        <w:t xml:space="preserve">oczyszczeniu z ewentualnych depozytów skażonych chemicznie) mogą być wykorzystane pod nowe funkcje gospodarcze. </w:t>
      </w:r>
    </w:p>
    <w:p w:rsidR="001C2FD4" w:rsidRPr="00C80963" w:rsidRDefault="001C2FD4" w:rsidP="00C80963">
      <w:pPr>
        <w:jc w:val="both"/>
        <w:rPr>
          <w:rFonts w:cs="Calibri"/>
          <w:szCs w:val="20"/>
        </w:rPr>
      </w:pPr>
    </w:p>
    <w:p w:rsidR="001C2FD4" w:rsidRPr="004F2090" w:rsidRDefault="003940A2" w:rsidP="00C80963">
      <w:pPr>
        <w:autoSpaceDE w:val="0"/>
        <w:autoSpaceDN w:val="0"/>
        <w:adjustRightInd w:val="0"/>
        <w:jc w:val="both"/>
        <w:rPr>
          <w:rFonts w:cs="Calibri"/>
          <w:b/>
          <w:sz w:val="22"/>
          <w:szCs w:val="20"/>
        </w:rPr>
      </w:pPr>
      <w:r w:rsidRPr="003940A2">
        <w:rPr>
          <w:rFonts w:cs="Calibri"/>
          <w:b/>
          <w:sz w:val="22"/>
          <w:szCs w:val="20"/>
        </w:rPr>
        <w:t>Teren inwestycyjny – Bytom Miechowice</w:t>
      </w:r>
      <w:r w:rsidRPr="003940A2">
        <w:rPr>
          <w:rFonts w:cs="Calibri"/>
          <w:sz w:val="22"/>
          <w:szCs w:val="20"/>
        </w:rPr>
        <w:t xml:space="preserve"> </w:t>
      </w:r>
      <w:r w:rsidR="003359E0">
        <w:rPr>
          <w:rFonts w:cs="Calibri"/>
          <w:b/>
          <w:sz w:val="22"/>
          <w:szCs w:val="20"/>
        </w:rPr>
        <w:t>(podobszar 28)</w:t>
      </w:r>
    </w:p>
    <w:p w:rsidR="001C2FD4" w:rsidRPr="00C80963" w:rsidRDefault="001C2FD4" w:rsidP="00C80963">
      <w:pPr>
        <w:autoSpaceDE w:val="0"/>
        <w:autoSpaceDN w:val="0"/>
        <w:adjustRightInd w:val="0"/>
        <w:jc w:val="both"/>
        <w:rPr>
          <w:rFonts w:cs="Calibri"/>
          <w:szCs w:val="20"/>
        </w:rPr>
      </w:pPr>
      <w:r w:rsidRPr="00C80963">
        <w:rPr>
          <w:rFonts w:cs="Calibri"/>
          <w:szCs w:val="20"/>
        </w:rPr>
        <w:t>Prowadzona tu była eksploatacja rud cynku i ołowiu, w granicach Obszaru Górniczego „Miechowice” byłego Zakładu Górniczo-Hutniczego „Orzeł Biały”. Obecnie jest to teren nasypowy, po dawnej hałdzie należącej do ZGH „Orzeł Biały”, który składował tam odpady kopalniane. Teren jest zanieczyszczony i wymaga rekultywacji z</w:t>
      </w:r>
      <w:r w:rsidR="0013236B">
        <w:rPr>
          <w:rFonts w:cs="Calibri"/>
          <w:szCs w:val="20"/>
        </w:rPr>
        <w:t> </w:t>
      </w:r>
      <w:r w:rsidRPr="00C80963">
        <w:rPr>
          <w:rFonts w:cs="Calibri"/>
          <w:szCs w:val="20"/>
        </w:rPr>
        <w:t xml:space="preserve">powodu przekroczenia standardów niektórych norm czystości gleby. Obecnie jest nieuzbrojony, niezagospodarowany, pokryty nieużytkami. </w:t>
      </w:r>
    </w:p>
    <w:p w:rsidR="001C2FD4" w:rsidRPr="00C80963" w:rsidRDefault="001C2FD4" w:rsidP="00C80963">
      <w:pPr>
        <w:autoSpaceDE w:val="0"/>
        <w:autoSpaceDN w:val="0"/>
        <w:adjustRightInd w:val="0"/>
        <w:jc w:val="both"/>
        <w:rPr>
          <w:rFonts w:cs="Calibri"/>
          <w:szCs w:val="20"/>
        </w:rPr>
      </w:pPr>
      <w:r w:rsidRPr="00C80963">
        <w:rPr>
          <w:rFonts w:cs="Calibri"/>
          <w:szCs w:val="20"/>
        </w:rPr>
        <w:t xml:space="preserve">Po wykonaniu prac rekultywacyjnych, przebudowie układu drogowego i utworzeniu </w:t>
      </w:r>
      <w:r w:rsidRPr="00C80963">
        <w:rPr>
          <w:szCs w:val="20"/>
        </w:rPr>
        <w:t xml:space="preserve">niezbędnej infrastruktury </w:t>
      </w:r>
      <w:r w:rsidRPr="00C80963">
        <w:rPr>
          <w:rFonts w:cs="Calibri"/>
          <w:szCs w:val="20"/>
        </w:rPr>
        <w:t xml:space="preserve">teren może stać się atrakcyjnym miejscem inwestycyjnym. Możliwa jest tu działalność </w:t>
      </w:r>
      <w:r w:rsidRPr="00C80963">
        <w:rPr>
          <w:rFonts w:eastAsia="Calibri"/>
          <w:szCs w:val="20"/>
        </w:rPr>
        <w:t xml:space="preserve">produkcyjna i usługowa. </w:t>
      </w:r>
      <w:r w:rsidRPr="00C80963">
        <w:rPr>
          <w:rFonts w:cs="Calibri"/>
          <w:szCs w:val="20"/>
        </w:rPr>
        <w:t xml:space="preserve">Położenie przy drodze krajowej 88 tworzy dogodne warunki </w:t>
      </w:r>
      <w:r w:rsidRPr="00C80963">
        <w:rPr>
          <w:rFonts w:eastAsia="Calibri"/>
          <w:szCs w:val="20"/>
        </w:rPr>
        <w:t xml:space="preserve">do lokalizacji firm logistycznych i transportowych. </w:t>
      </w:r>
    </w:p>
    <w:p w:rsidR="001C2FD4" w:rsidRPr="00C80963" w:rsidRDefault="001C2FD4" w:rsidP="0041273E">
      <w:pPr>
        <w:autoSpaceDE w:val="0"/>
        <w:autoSpaceDN w:val="0"/>
        <w:adjustRightInd w:val="0"/>
        <w:jc w:val="both"/>
        <w:rPr>
          <w:rFonts w:cs="Calibri"/>
          <w:szCs w:val="20"/>
        </w:rPr>
      </w:pPr>
      <w:r w:rsidRPr="00C80963">
        <w:rPr>
          <w:rFonts w:cs="Calibri"/>
          <w:szCs w:val="20"/>
        </w:rPr>
        <w:t xml:space="preserve"> W północnej części tego obszaru znajduje się zespół pałacowo - parkowy </w:t>
      </w:r>
      <w:r w:rsidRPr="00C80963">
        <w:rPr>
          <w:rFonts w:eastAsia="Calibri"/>
          <w:szCs w:val="20"/>
        </w:rPr>
        <w:t>Thiele-Winclerów</w:t>
      </w:r>
      <w:r w:rsidRPr="00C80963">
        <w:rPr>
          <w:rFonts w:cs="Calibri"/>
          <w:szCs w:val="20"/>
        </w:rPr>
        <w:t xml:space="preserve">, obecnie w ruinie. Jest to zabytek </w:t>
      </w:r>
      <w:r w:rsidRPr="00C80963">
        <w:rPr>
          <w:rFonts w:eastAsia="Calibri"/>
          <w:szCs w:val="20"/>
        </w:rPr>
        <w:t xml:space="preserve">wpisany do rejestru pod nr A/303/10. Założenie pałacowe wybudowane w stylu neogotyku angielskiego obejmuje pozostałości oficyny pałacu z wieżą wodną, stanowiącą fragment zachodniego skrzydła </w:t>
      </w:r>
      <w:r w:rsidR="0041273E">
        <w:rPr>
          <w:rFonts w:eastAsia="Calibri"/>
          <w:szCs w:val="20"/>
        </w:rPr>
        <w:lastRenderedPageBreak/>
        <w:t xml:space="preserve">pałacu oraz rumowisko </w:t>
      </w:r>
      <w:r w:rsidRPr="00C80963">
        <w:rPr>
          <w:rFonts w:eastAsia="Calibri"/>
          <w:szCs w:val="20"/>
        </w:rPr>
        <w:t>po pozostałej części pałacu. Ocalały fragment pałacu znajduje się w złym stanie technicznym, wykazuje uszkodzenia spowodowane różnymi czynnikami głównie szkodami górniczymi. Całość jest zaniedbana, niedostępna i stanowi zagrożenie (obecnie obiekt zabezpieczony ogrodzeniem, a zewnętrzne otwory okienne i drzwiowe zamurowano). Rumowisko – wnętrze wtórne, jest gęsto porośnięte drzewami samosiejkami.</w:t>
      </w:r>
      <w:r w:rsidR="0041273E">
        <w:rPr>
          <w:rFonts w:eastAsia="Calibri"/>
          <w:szCs w:val="20"/>
        </w:rPr>
        <w:t xml:space="preserve"> </w:t>
      </w:r>
      <w:r w:rsidRPr="00C80963">
        <w:rPr>
          <w:rFonts w:cs="Calibri"/>
          <w:szCs w:val="20"/>
        </w:rPr>
        <w:t>Renowacja parku i pałacu Thiele-Wincklerów może przyczynić się do poprawy oferty kulturalno-edukacyjnej miasta.</w:t>
      </w:r>
    </w:p>
    <w:p w:rsidR="001C2FD4" w:rsidRPr="00C80963" w:rsidRDefault="001C2FD4" w:rsidP="00C80963">
      <w:pPr>
        <w:jc w:val="both"/>
        <w:rPr>
          <w:szCs w:val="20"/>
        </w:rPr>
      </w:pPr>
    </w:p>
    <w:p w:rsidR="001C2FD4" w:rsidRPr="004F2090" w:rsidRDefault="001C2FD4" w:rsidP="00C80963">
      <w:pPr>
        <w:autoSpaceDE w:val="0"/>
        <w:autoSpaceDN w:val="0"/>
        <w:adjustRightInd w:val="0"/>
        <w:jc w:val="both"/>
        <w:rPr>
          <w:rFonts w:cs="Calibri"/>
          <w:b/>
          <w:sz w:val="22"/>
          <w:szCs w:val="20"/>
        </w:rPr>
      </w:pPr>
      <w:r w:rsidRPr="004F2090">
        <w:rPr>
          <w:rFonts w:cs="Calibri"/>
          <w:b/>
          <w:sz w:val="22"/>
          <w:szCs w:val="20"/>
        </w:rPr>
        <w:t>Teren dawnej huty Bobrek</w:t>
      </w:r>
      <w:r w:rsidR="003359E0">
        <w:rPr>
          <w:rFonts w:cs="Calibri"/>
          <w:b/>
          <w:sz w:val="22"/>
          <w:szCs w:val="20"/>
        </w:rPr>
        <w:t xml:space="preserve"> (podobszar 21)</w:t>
      </w:r>
    </w:p>
    <w:p w:rsidR="001C2FD4" w:rsidRPr="00C80963" w:rsidRDefault="001C2FD4" w:rsidP="00C80963">
      <w:pPr>
        <w:autoSpaceDE w:val="0"/>
        <w:autoSpaceDN w:val="0"/>
        <w:adjustRightInd w:val="0"/>
        <w:jc w:val="both"/>
        <w:rPr>
          <w:rFonts w:cs="Calibri"/>
          <w:szCs w:val="20"/>
        </w:rPr>
      </w:pPr>
      <w:r w:rsidRPr="00C80963">
        <w:rPr>
          <w:rFonts w:cs="Calibri"/>
          <w:szCs w:val="20"/>
        </w:rPr>
        <w:t>Jest to zdegradowany teren pohutniczy. Znajdu</w:t>
      </w:r>
      <w:r w:rsidR="00136650">
        <w:rPr>
          <w:rFonts w:cs="Calibri"/>
          <w:szCs w:val="20"/>
        </w:rPr>
        <w:t>ją się tu obiekty poprzemysłowe</w:t>
      </w:r>
      <w:r w:rsidRPr="00C80963">
        <w:rPr>
          <w:rFonts w:cs="Calibri"/>
          <w:szCs w:val="20"/>
        </w:rPr>
        <w:t>, częściowo wykorzystywane na inne funkcje. Znaczną część nieużytkowanego obecnie terenu stanowi częściowo wyeksploatowana hałda pokutnicza z zachowanymi pozostałościami żelbetowych i betonowych konstrukcji nieistniejących obiektów.</w:t>
      </w:r>
    </w:p>
    <w:p w:rsidR="001C2FD4" w:rsidRPr="00C80963" w:rsidRDefault="001C2FD4" w:rsidP="00C80963">
      <w:pPr>
        <w:autoSpaceDE w:val="0"/>
        <w:autoSpaceDN w:val="0"/>
        <w:adjustRightInd w:val="0"/>
        <w:jc w:val="both"/>
        <w:rPr>
          <w:rFonts w:cs="Calibri"/>
          <w:szCs w:val="20"/>
        </w:rPr>
      </w:pPr>
      <w:r w:rsidRPr="00C80963">
        <w:rPr>
          <w:rFonts w:cs="Calibri"/>
          <w:szCs w:val="20"/>
        </w:rPr>
        <w:t>MPZP przewiduje na tym terenie możliwość działalności inwestycyjnej. Mogą tu powstać obiekty produkcyjne, magazynowe oraz usługowe. Wcześniej jednak niezbędne jest zrealizowanie działań związanych z</w:t>
      </w:r>
      <w:r w:rsidR="0013236B">
        <w:rPr>
          <w:rFonts w:cs="Calibri"/>
          <w:szCs w:val="20"/>
        </w:rPr>
        <w:t> </w:t>
      </w:r>
      <w:r w:rsidRPr="00C80963">
        <w:rPr>
          <w:rFonts w:cs="Calibri"/>
          <w:szCs w:val="20"/>
        </w:rPr>
        <w:t xml:space="preserve">dostosowaniem podłoża do nowych inwestycji poprzez m.in. niwelację terenu, częściowa wymianę gruntu, oczyszczanie gruntu z zanieczyszczeń, itp. </w:t>
      </w:r>
    </w:p>
    <w:p w:rsidR="001C2FD4" w:rsidRPr="00C80963" w:rsidRDefault="001C2FD4" w:rsidP="00C80963">
      <w:pPr>
        <w:autoSpaceDE w:val="0"/>
        <w:autoSpaceDN w:val="0"/>
        <w:adjustRightInd w:val="0"/>
        <w:jc w:val="both"/>
        <w:rPr>
          <w:rFonts w:cs="Calibri"/>
          <w:szCs w:val="20"/>
        </w:rPr>
      </w:pPr>
      <w:r w:rsidRPr="00C80963">
        <w:rPr>
          <w:rFonts w:cs="Calibri"/>
          <w:szCs w:val="20"/>
        </w:rPr>
        <w:t xml:space="preserve">Takie wykorzystanie tego terenu spowoduje utworzenie miejsc pracy, co stanowi szansę na poprawę sytuacji sąsiadującego podobszaru rewitalizacji „Bobrek”. </w:t>
      </w:r>
    </w:p>
    <w:p w:rsidR="001C2FD4" w:rsidRPr="00C80963" w:rsidRDefault="001C2FD4" w:rsidP="00C80963">
      <w:pPr>
        <w:jc w:val="both"/>
        <w:rPr>
          <w:rFonts w:cs="Calibri"/>
          <w:szCs w:val="20"/>
        </w:rPr>
      </w:pPr>
    </w:p>
    <w:p w:rsidR="001C2FD4" w:rsidRPr="004F2090" w:rsidRDefault="001C2FD4" w:rsidP="00C80963">
      <w:pPr>
        <w:autoSpaceDE w:val="0"/>
        <w:autoSpaceDN w:val="0"/>
        <w:adjustRightInd w:val="0"/>
        <w:jc w:val="both"/>
        <w:rPr>
          <w:rFonts w:cs="Calibri"/>
          <w:b/>
          <w:sz w:val="22"/>
          <w:szCs w:val="20"/>
        </w:rPr>
      </w:pPr>
      <w:r w:rsidRPr="004F2090">
        <w:rPr>
          <w:rFonts w:cs="Calibri"/>
          <w:b/>
          <w:sz w:val="22"/>
          <w:szCs w:val="20"/>
        </w:rPr>
        <w:t>EC Szombierki i Pola Szombierskie</w:t>
      </w:r>
      <w:r w:rsidR="003359E0">
        <w:rPr>
          <w:rFonts w:cs="Calibri"/>
          <w:b/>
          <w:sz w:val="22"/>
          <w:szCs w:val="20"/>
        </w:rPr>
        <w:t xml:space="preserve"> (podobszar 30)</w:t>
      </w:r>
    </w:p>
    <w:p w:rsidR="001C2FD4" w:rsidRPr="00C80963" w:rsidRDefault="001C2FD4" w:rsidP="00C80963">
      <w:pPr>
        <w:autoSpaceDE w:val="0"/>
        <w:autoSpaceDN w:val="0"/>
        <w:adjustRightInd w:val="0"/>
        <w:jc w:val="both"/>
        <w:rPr>
          <w:rFonts w:cs="Calibri"/>
          <w:szCs w:val="20"/>
        </w:rPr>
      </w:pPr>
      <w:r w:rsidRPr="00C80963">
        <w:rPr>
          <w:rFonts w:cs="Calibri"/>
          <w:szCs w:val="20"/>
        </w:rPr>
        <w:t>Teren nieczynnej elektrociepłowni „Szombierki” zabudowany jest częściowo obiektami technologicznie związanymi z produkcją energii elektrycznej i cieplnej, z budynkiem głównym wpisanym do rejestru zabytków. W części niezabudowanej obiektu znajdują się liczne osadniki i zbiorniki technologiczne.</w:t>
      </w:r>
    </w:p>
    <w:p w:rsidR="001C2FD4" w:rsidRPr="00C80963" w:rsidRDefault="001C2FD4" w:rsidP="00C80963">
      <w:pPr>
        <w:autoSpaceDE w:val="0"/>
        <w:autoSpaceDN w:val="0"/>
        <w:adjustRightInd w:val="0"/>
        <w:jc w:val="both"/>
        <w:rPr>
          <w:rFonts w:cs="Calibri"/>
          <w:szCs w:val="20"/>
        </w:rPr>
      </w:pPr>
      <w:r w:rsidRPr="00C80963">
        <w:rPr>
          <w:rFonts w:cs="Calibri"/>
          <w:szCs w:val="20"/>
        </w:rPr>
        <w:t>Pola szombierskie to część terenów byłej huty ”Bobrek”, wykorzystywanych poprzednio na cele magazynowo-składowe. W większości jest to teren niezabudowany z pozostałościami zlikwidowanych obiektów i</w:t>
      </w:r>
      <w:r w:rsidR="0013236B">
        <w:rPr>
          <w:rFonts w:cs="Calibri"/>
          <w:szCs w:val="20"/>
        </w:rPr>
        <w:t> </w:t>
      </w:r>
      <w:r w:rsidRPr="00C80963">
        <w:rPr>
          <w:rFonts w:cs="Calibri"/>
          <w:szCs w:val="20"/>
        </w:rPr>
        <w:t>niezinwentaryzowaną infrastrukturą techniczną w gruncie.</w:t>
      </w:r>
    </w:p>
    <w:p w:rsidR="001C2FD4" w:rsidRPr="00C80963" w:rsidRDefault="001C2FD4" w:rsidP="00C80963">
      <w:pPr>
        <w:autoSpaceDE w:val="0"/>
        <w:autoSpaceDN w:val="0"/>
        <w:adjustRightInd w:val="0"/>
        <w:jc w:val="both"/>
        <w:rPr>
          <w:rFonts w:cs="Calibri"/>
          <w:szCs w:val="20"/>
        </w:rPr>
      </w:pPr>
      <w:r w:rsidRPr="00C80963">
        <w:rPr>
          <w:rFonts w:cs="Calibri"/>
          <w:szCs w:val="20"/>
        </w:rPr>
        <w:t>Na terenie EC Szombierki możliwa jest realizacja funkcji usługowych i częściowo produkcyjnych w powiązaniu z</w:t>
      </w:r>
      <w:r w:rsidR="0013236B">
        <w:rPr>
          <w:rFonts w:cs="Calibri"/>
          <w:szCs w:val="20"/>
        </w:rPr>
        <w:t> </w:t>
      </w:r>
      <w:r w:rsidRPr="00C80963">
        <w:rPr>
          <w:rFonts w:cs="Calibri"/>
          <w:szCs w:val="20"/>
        </w:rPr>
        <w:t>projektowanym układem komunikacyjnym i ze szczególnym uwzględnieniem funkcji wystawienniczych, handlowych, ekspozycyjnych, konferencyjnych, i wdrażania nowych technologii. Na terenie Pól Szombierskich możliwa jest realizacja zabudowy usługowej oraz nieuciążliwej działalności produkcyjnej.</w:t>
      </w:r>
    </w:p>
    <w:p w:rsidR="001C2FD4" w:rsidRPr="00C80963" w:rsidRDefault="001C2FD4" w:rsidP="00C80963">
      <w:pPr>
        <w:jc w:val="both"/>
        <w:rPr>
          <w:rFonts w:cs="Calibri"/>
          <w:szCs w:val="20"/>
        </w:rPr>
      </w:pPr>
    </w:p>
    <w:p w:rsidR="001C2FD4" w:rsidRPr="004F2090" w:rsidRDefault="001C2FD4" w:rsidP="00C80963">
      <w:pPr>
        <w:autoSpaceDE w:val="0"/>
        <w:autoSpaceDN w:val="0"/>
        <w:adjustRightInd w:val="0"/>
        <w:jc w:val="both"/>
        <w:rPr>
          <w:rFonts w:cs="Calibri"/>
          <w:b/>
          <w:sz w:val="22"/>
          <w:szCs w:val="20"/>
        </w:rPr>
      </w:pPr>
      <w:r w:rsidRPr="004F2090">
        <w:rPr>
          <w:rFonts w:cs="Calibri"/>
          <w:b/>
          <w:sz w:val="22"/>
          <w:szCs w:val="20"/>
        </w:rPr>
        <w:t>Rezerwat przyrody „Żabie Doły”</w:t>
      </w:r>
      <w:r w:rsidR="003359E0">
        <w:rPr>
          <w:rFonts w:cs="Calibri"/>
          <w:b/>
          <w:sz w:val="22"/>
          <w:szCs w:val="20"/>
        </w:rPr>
        <w:t xml:space="preserve"> (podobszar 31)</w:t>
      </w:r>
    </w:p>
    <w:p w:rsidR="001C2FD4" w:rsidRPr="00C80963" w:rsidRDefault="001C2FD4" w:rsidP="00C80963">
      <w:pPr>
        <w:autoSpaceDE w:val="0"/>
        <w:autoSpaceDN w:val="0"/>
        <w:adjustRightInd w:val="0"/>
        <w:jc w:val="both"/>
        <w:rPr>
          <w:rFonts w:cs="Calibri"/>
          <w:szCs w:val="20"/>
        </w:rPr>
      </w:pPr>
      <w:r w:rsidRPr="00C80963">
        <w:rPr>
          <w:rFonts w:cs="Calibri"/>
          <w:szCs w:val="20"/>
        </w:rPr>
        <w:t>Zespół przyrodniczo – krajobrazowy „Żabie Doły” obejmuje teren licznych zbiorników wodnych oraz okalające nieużytki, hałdy osadów poflotacyjnych, podmokłe łąki i niewielkie kępy zadrzewień. Obszar ten już na początku lat osiemdziesiątych zaliczono do terenów ornitologicznie cennych w woj. katowickim. Na podobszarze konieczne są działania mające na celu zachowanie bioróżnorodności, w tym oczyszczeniu linii brzegowej zbiorników wodnych wraz z uzupełnieniem roślinności nadwodnej stanowiącej siedliska dla ptaków wodno-błotnych oraz uporządkowanie terenu wraz z usunięciem zalegających miejscowo odpadów, posadzenie nowych drzew i krzewów.</w:t>
      </w:r>
    </w:p>
    <w:p w:rsidR="001C2FD4" w:rsidRPr="00C80963" w:rsidRDefault="001C2FD4" w:rsidP="00C80963">
      <w:pPr>
        <w:autoSpaceDE w:val="0"/>
        <w:autoSpaceDN w:val="0"/>
        <w:adjustRightInd w:val="0"/>
        <w:jc w:val="both"/>
        <w:rPr>
          <w:rFonts w:cs="Calibri"/>
          <w:szCs w:val="20"/>
        </w:rPr>
      </w:pPr>
      <w:r w:rsidRPr="00C80963">
        <w:rPr>
          <w:rFonts w:cs="Calibri"/>
          <w:szCs w:val="20"/>
        </w:rPr>
        <w:t xml:space="preserve">Po przeprowadzeniu działań renowacyjnych teren może stać się ważnym miejscem rekreacji w otoczeniu przyrody, szczególnie dla mieszkańców nieodległych śródmiejskich podobszarów rewitalizacji. </w:t>
      </w:r>
    </w:p>
    <w:p w:rsidR="001C2FD4" w:rsidRPr="00C80963" w:rsidRDefault="001C2FD4" w:rsidP="00C80963">
      <w:pPr>
        <w:autoSpaceDE w:val="0"/>
        <w:autoSpaceDN w:val="0"/>
        <w:adjustRightInd w:val="0"/>
        <w:jc w:val="both"/>
        <w:rPr>
          <w:rFonts w:cs="Calibri"/>
          <w:szCs w:val="20"/>
        </w:rPr>
      </w:pPr>
      <w:r w:rsidRPr="00C80963">
        <w:rPr>
          <w:rFonts w:cs="Calibri"/>
          <w:szCs w:val="20"/>
        </w:rPr>
        <w:t>Działania skierowane na ochronę przyrody powinny tu być połączone z edukacją ekologiczną oraz rozwojem infrastruktury przyczyniającej się do zwiększenia atrakcyjności cennego przyrodniczo terenu w granicach miasta Bytomia (ścieżki spacerowe, ścieżki dydaktyczne, itp.). Ochrona i udostępnienie tego podobszaru będą odpowiedzią na niedostatek wysokiej jakości terenów przyrodniczych na zdegradowanych i wskazanych do rewitalizacji zamieszkanych podobszarach miasta.</w:t>
      </w:r>
    </w:p>
    <w:p w:rsidR="001C2FD4" w:rsidRPr="00C80963" w:rsidRDefault="001C2FD4" w:rsidP="00C80963">
      <w:pPr>
        <w:autoSpaceDE w:val="0"/>
        <w:autoSpaceDN w:val="0"/>
        <w:adjustRightInd w:val="0"/>
        <w:jc w:val="both"/>
        <w:rPr>
          <w:rFonts w:cs="Calibri"/>
          <w:szCs w:val="20"/>
        </w:rPr>
      </w:pPr>
    </w:p>
    <w:p w:rsidR="001C2FD4" w:rsidRPr="004F2090" w:rsidRDefault="001C2FD4" w:rsidP="00C80963">
      <w:pPr>
        <w:autoSpaceDE w:val="0"/>
        <w:autoSpaceDN w:val="0"/>
        <w:adjustRightInd w:val="0"/>
        <w:jc w:val="both"/>
        <w:rPr>
          <w:rFonts w:cs="Calibri"/>
          <w:b/>
          <w:sz w:val="22"/>
          <w:szCs w:val="20"/>
        </w:rPr>
      </w:pPr>
      <w:r w:rsidRPr="004F2090">
        <w:rPr>
          <w:rFonts w:cs="Calibri"/>
          <w:b/>
          <w:sz w:val="22"/>
          <w:szCs w:val="20"/>
        </w:rPr>
        <w:t>Tereny poprzemysłowe „Orzeł Biały”</w:t>
      </w:r>
      <w:r w:rsidR="003359E0">
        <w:rPr>
          <w:rFonts w:cs="Calibri"/>
          <w:b/>
          <w:sz w:val="22"/>
          <w:szCs w:val="20"/>
        </w:rPr>
        <w:t xml:space="preserve"> (podobszar 32)</w:t>
      </w:r>
    </w:p>
    <w:p w:rsidR="005247C6" w:rsidRPr="006870CF" w:rsidRDefault="005247C6" w:rsidP="005247C6">
      <w:pPr>
        <w:jc w:val="both"/>
        <w:rPr>
          <w:szCs w:val="20"/>
        </w:rPr>
      </w:pPr>
      <w:r w:rsidRPr="006870CF">
        <w:rPr>
          <w:szCs w:val="20"/>
        </w:rPr>
        <w:t>Teren o powierzchni 70 ha. Zdegradowany,</w:t>
      </w:r>
      <w:r w:rsidR="005B6F70">
        <w:rPr>
          <w:szCs w:val="20"/>
        </w:rPr>
        <w:t xml:space="preserve"> </w:t>
      </w:r>
      <w:r w:rsidRPr="006870CF">
        <w:rPr>
          <w:szCs w:val="20"/>
        </w:rPr>
        <w:t>poprzemysłowy, pohutniczy. Na terenie znajdują się obiekty poprzemysłowe, częściowo wykorzystywane na inne funkcje. Znaczną część nieużytkowanego obecnie terenu stanowi</w:t>
      </w:r>
      <w:r w:rsidR="00B43867">
        <w:rPr>
          <w:szCs w:val="20"/>
        </w:rPr>
        <w:t xml:space="preserve"> </w:t>
      </w:r>
      <w:r w:rsidRPr="006870CF">
        <w:rPr>
          <w:szCs w:val="20"/>
        </w:rPr>
        <w:t xml:space="preserve">częściowo wyeksploatowana hałda pohutnicza z zachowanymi pozostałościami żelbetowych </w:t>
      </w:r>
      <w:r w:rsidRPr="006870CF">
        <w:rPr>
          <w:szCs w:val="20"/>
        </w:rPr>
        <w:br/>
        <w:t>i betonowych konstrukcji nieistniejących obiektów. Zidentyfikowane problemy: gospodarcze, środowiskowe, przestrzenno-funkcjonalne.</w:t>
      </w:r>
    </w:p>
    <w:p w:rsidR="005247C6" w:rsidRPr="006870CF" w:rsidRDefault="005247C6" w:rsidP="005247C6">
      <w:pPr>
        <w:jc w:val="both"/>
        <w:rPr>
          <w:szCs w:val="20"/>
        </w:rPr>
      </w:pPr>
      <w:r w:rsidRPr="006870CF">
        <w:rPr>
          <w:szCs w:val="20"/>
        </w:rPr>
        <w:lastRenderedPageBreak/>
        <w:t>W oparciu o zapisy obowiązujących MPZP dla części podobszaru planowane jest powstawanie obiektów produkcyjnych i zaplecza magazynowego oraz obiektów usługowych. Na tym podobszarze będą mogły powstawać nowe miejsca pracy dla mieszkańców terenów wskazanych do rewitalizacji.</w:t>
      </w:r>
    </w:p>
    <w:p w:rsidR="005247C6" w:rsidRPr="006870CF" w:rsidRDefault="005247C6" w:rsidP="005247C6">
      <w:pPr>
        <w:jc w:val="both"/>
        <w:rPr>
          <w:szCs w:val="20"/>
        </w:rPr>
      </w:pPr>
      <w:r w:rsidRPr="006870CF">
        <w:rPr>
          <w:szCs w:val="20"/>
        </w:rPr>
        <w:t>Niezbędne będzie zrealizowanie działań związanych z dostosowaniem podłoża do nowych inwestycji poprzez wykonanie robót geologiczno – inżynierskich oraz badań geofizycznych, niwelację terenu, częściową wymianę gruntu, oczyszczanie gruntu z zanieczyszczeń, zagospodarowaniem terenu wraz z uzbrojeniem z</w:t>
      </w:r>
      <w:r w:rsidR="00246311">
        <w:rPr>
          <w:szCs w:val="20"/>
        </w:rPr>
        <w:t> </w:t>
      </w:r>
      <w:r w:rsidRPr="006870CF">
        <w:rPr>
          <w:szCs w:val="20"/>
        </w:rPr>
        <w:t>przeznaczeniem na strefę inwestycyjną.</w:t>
      </w:r>
    </w:p>
    <w:p w:rsidR="001C2FD4" w:rsidRPr="00C80963" w:rsidRDefault="001C2FD4" w:rsidP="00C80963">
      <w:pPr>
        <w:autoSpaceDE w:val="0"/>
        <w:autoSpaceDN w:val="0"/>
        <w:adjustRightInd w:val="0"/>
        <w:jc w:val="both"/>
        <w:rPr>
          <w:rFonts w:cs="Calibri"/>
          <w:szCs w:val="20"/>
        </w:rPr>
      </w:pPr>
      <w:r w:rsidRPr="00C80963">
        <w:rPr>
          <w:rFonts w:cs="Calibri"/>
          <w:szCs w:val="20"/>
        </w:rPr>
        <w:t xml:space="preserve">Na terenie występują osadniki z pozostałościami odpadów technologicznych. Podobszar jest zanieczyszczony chemicznie i metalami ciężkimi. </w:t>
      </w:r>
    </w:p>
    <w:p w:rsidR="001C2FD4" w:rsidRDefault="001C2FD4" w:rsidP="00C80963">
      <w:pPr>
        <w:autoSpaceDE w:val="0"/>
        <w:autoSpaceDN w:val="0"/>
        <w:adjustRightInd w:val="0"/>
        <w:jc w:val="both"/>
        <w:rPr>
          <w:rFonts w:cs="Calibri"/>
          <w:szCs w:val="20"/>
        </w:rPr>
      </w:pPr>
      <w:r w:rsidRPr="00C80963">
        <w:rPr>
          <w:rFonts w:cs="Calibri"/>
          <w:szCs w:val="20"/>
        </w:rPr>
        <w:t xml:space="preserve">Zgodnie z zapisami obowiązującego </w:t>
      </w:r>
      <w:r w:rsidRPr="00C80963">
        <w:rPr>
          <w:rFonts w:cs="Calibri-Italic"/>
          <w:i/>
          <w:iCs/>
          <w:szCs w:val="20"/>
        </w:rPr>
        <w:t xml:space="preserve">Studium uwarunkowań i kierunków zagospodarowania przestrzennego Gminy Bytom </w:t>
      </w:r>
      <w:r w:rsidRPr="00C80963">
        <w:rPr>
          <w:rFonts w:cs="Calibri"/>
          <w:szCs w:val="20"/>
        </w:rPr>
        <w:t>może tu powstać zabudowa usługowo-techniczna, obiekty produkcyjne i przemysłowe. Niezbędn</w:t>
      </w:r>
      <w:r w:rsidR="000B6675">
        <w:rPr>
          <w:rFonts w:cs="Calibri"/>
          <w:szCs w:val="20"/>
        </w:rPr>
        <w:t>e będzie uprzednie przygotowanie</w:t>
      </w:r>
      <w:r w:rsidRPr="00C80963">
        <w:rPr>
          <w:rFonts w:cs="Calibri"/>
          <w:szCs w:val="20"/>
        </w:rPr>
        <w:t xml:space="preserve"> podobszaru, w tym w szczególności rozebranie zwałowisk pohutniczych (niwelacja, oczyszczenie z depozytów skażonych chemicznie) oraz realizacja uzbrojenia terenu i</w:t>
      </w:r>
      <w:r w:rsidR="0013236B">
        <w:rPr>
          <w:rFonts w:cs="Calibri"/>
          <w:szCs w:val="20"/>
        </w:rPr>
        <w:t> </w:t>
      </w:r>
      <w:r w:rsidRPr="00C80963">
        <w:rPr>
          <w:rFonts w:cs="Calibri"/>
          <w:szCs w:val="20"/>
        </w:rPr>
        <w:t xml:space="preserve">dróg wewnętrznych). Na tak przygotowanym terenie będą mogły powstawać inwestycje, w których zatrudnienie znajdą mieszkańcy podobszarów wskazanych do rewitalizacji, zwłaszcza pobliskich podobszarów rewitalizacji Rozbarku i Śródmieścia. </w:t>
      </w:r>
    </w:p>
    <w:p w:rsidR="007956B3" w:rsidRDefault="007956B3" w:rsidP="007956B3">
      <w:bookmarkStart w:id="7827" w:name="_Toc461612546"/>
    </w:p>
    <w:p w:rsidR="007956B3" w:rsidRPr="0086406B" w:rsidRDefault="007956B3" w:rsidP="006D764E">
      <w:pPr>
        <w:pStyle w:val="Nagwek2"/>
        <w:numPr>
          <w:ilvl w:val="1"/>
          <w:numId w:val="448"/>
        </w:numPr>
        <w:ind w:left="431" w:hanging="431"/>
      </w:pPr>
      <w:bookmarkStart w:id="7828" w:name="_Toc474924953"/>
      <w:bookmarkStart w:id="7829" w:name="OLE_LINK1"/>
      <w:bookmarkStart w:id="7830" w:name="OLE_LINK2"/>
      <w:r w:rsidRPr="0086406B">
        <w:t>Podsumowanie skali i charakteru potrzeb rewitalizacyjnych w poszczególnych podobszarach</w:t>
      </w:r>
      <w:bookmarkEnd w:id="7828"/>
    </w:p>
    <w:p w:rsidR="007956B3" w:rsidRDefault="007956B3" w:rsidP="007956B3"/>
    <w:p w:rsidR="007956B3" w:rsidRDefault="007956B3" w:rsidP="00522CE9">
      <w:pPr>
        <w:pStyle w:val="Tekstpodstawowy2"/>
        <w:ind w:firstLine="708"/>
        <w:rPr>
          <w:rFonts w:ascii="Calibri" w:hAnsi="Calibri"/>
        </w:rPr>
      </w:pPr>
      <w:r>
        <w:rPr>
          <w:rFonts w:ascii="Calibri" w:hAnsi="Calibri"/>
        </w:rPr>
        <w:t xml:space="preserve">Uchwałą Rady Miasta z dnia 29 marca 2016 r. wyznaczony został obszar rewitalizacji, na który składa się sześć obszarów zamieszkałych i dziewięć niezamieszkałych. Taka konfiguracja podobszarów wynika z analiz przeprowadzonych na etapie delimitacji. Znajduje ona usprawiedliwienie w charakterze miasta i rozłożeniu problemów na jego obszarze i umożliwia prowadzenie skutecznej </w:t>
      </w:r>
      <w:r w:rsidR="00801A68">
        <w:rPr>
          <w:rFonts w:ascii="Calibri" w:hAnsi="Calibri"/>
        </w:rPr>
        <w:t>interwencji tam, gdzie jest ona</w:t>
      </w:r>
      <w:r>
        <w:rPr>
          <w:rFonts w:ascii="Calibri" w:hAnsi="Calibri"/>
        </w:rPr>
        <w:t xml:space="preserve"> najbardziej potrzebna. Jednocześnie jednak wydzielenie wielu podobszarów wymagało decyzji co do struktury diagnozy obszaru rewitalizacji. </w:t>
      </w:r>
    </w:p>
    <w:p w:rsidR="007956B3" w:rsidRDefault="007956B3" w:rsidP="00522CE9">
      <w:pPr>
        <w:jc w:val="both"/>
        <w:rPr>
          <w:rFonts w:ascii="Calibri" w:hAnsi="Calibri"/>
        </w:rPr>
      </w:pPr>
      <w:r>
        <w:rPr>
          <w:rFonts w:ascii="Calibri" w:hAnsi="Calibri"/>
        </w:rPr>
        <w:t>Poszczególne problemy w sferze społecznej i w pozostałych sferach występują zwykle albo na wszystkich podobszarach, albo przynajmniej na kilku z nich. Podobszary różnią się jedynie natężeniem niekorzystnych zjawisk. Charakteryzowanie kolejno każdego z podobszarów prowadziłoby do wielokrotnego powtarzania tych samych treści i spostrzeżeń, a także nie pozwalałoby na formułowanie pr</w:t>
      </w:r>
      <w:r w:rsidR="00801A68">
        <w:rPr>
          <w:rFonts w:ascii="Calibri" w:hAnsi="Calibri"/>
        </w:rPr>
        <w:t>oblemów w szerszym kontekście i </w:t>
      </w:r>
      <w:r>
        <w:rPr>
          <w:rFonts w:ascii="Calibri" w:hAnsi="Calibri"/>
        </w:rPr>
        <w:t>w</w:t>
      </w:r>
      <w:r w:rsidR="00801A68">
        <w:rPr>
          <w:rFonts w:ascii="Calibri" w:hAnsi="Calibri"/>
        </w:rPr>
        <w:t> </w:t>
      </w:r>
      <w:r>
        <w:rPr>
          <w:rFonts w:ascii="Calibri" w:hAnsi="Calibri"/>
        </w:rPr>
        <w:t xml:space="preserve">ciągłości terytorialnej całego obszaru interwencji. Z tego powodu uznano, że lepiej odpowiada rzeczywistej sytuacji obszaru rewitalizacji traktowanie go w diagnozie jako całości i opisywanie kolejnych zjawisk dla całego obszaru rewitalizacji, z uwypukleniem zróżnicowania danego zjawiska w poszczególnych podobszarach. </w:t>
      </w:r>
    </w:p>
    <w:p w:rsidR="007956B3" w:rsidRDefault="007956B3" w:rsidP="00522CE9">
      <w:pPr>
        <w:jc w:val="both"/>
        <w:rPr>
          <w:rFonts w:ascii="Calibri" w:hAnsi="Calibri"/>
        </w:rPr>
      </w:pPr>
      <w:r>
        <w:rPr>
          <w:rFonts w:ascii="Calibri" w:hAnsi="Calibri"/>
        </w:rPr>
        <w:t xml:space="preserve">Takie podejście pozwala także na konstruowanie projektów w sposób efektywny. Na przykład taki sam rodzaj interwencji oddziałujący na dany problem w wielu podobszarach dzięki zastosowanemu podejściu może być tworzyć jeden spójny projekt, który będzie realizowany na wszystkich podobszarach, które tego wymagają. </w:t>
      </w:r>
    </w:p>
    <w:p w:rsidR="007956B3" w:rsidRDefault="007956B3" w:rsidP="00522CE9">
      <w:pPr>
        <w:jc w:val="both"/>
        <w:rPr>
          <w:rFonts w:ascii="Calibri" w:hAnsi="Calibri"/>
        </w:rPr>
      </w:pPr>
      <w:r>
        <w:rPr>
          <w:rFonts w:ascii="Calibri" w:hAnsi="Calibri"/>
        </w:rPr>
        <w:t>To adekwatne do sytuacji miasta podejście powinno być jednak uzupełnione o wymaganą przez ustawę charakterystykę każdego podobszaru oddzielnie. Temu celowi służy niniejszy podrozdział. Ma on charakter podsumowania i uwypukla najważniejsze cechy każdego z podobszarów. Nie zastępuje głównej części diagnozy. W celu pełnego rozpoznania kontekstów w poszczególnych podobszarach niezbędne jest zapoznanie się także z</w:t>
      </w:r>
      <w:r w:rsidR="00801A68">
        <w:rPr>
          <w:rFonts w:ascii="Calibri" w:hAnsi="Calibri"/>
        </w:rPr>
        <w:t> </w:t>
      </w:r>
      <w:r>
        <w:rPr>
          <w:rFonts w:ascii="Calibri" w:hAnsi="Calibri"/>
        </w:rPr>
        <w:t xml:space="preserve">poprzednimi rozdziałami diagnozy, gdzie w sposób bardziej kompleksowy ujęto wszystkie zagadnienia dotyczące obszaru rewitalizacji jako całości oraz podobszarów. </w:t>
      </w:r>
    </w:p>
    <w:p w:rsidR="007956B3" w:rsidRDefault="007956B3" w:rsidP="00522CE9">
      <w:pPr>
        <w:jc w:val="both"/>
        <w:rPr>
          <w:rFonts w:ascii="Calibri" w:hAnsi="Calibri"/>
        </w:rPr>
      </w:pPr>
      <w:r>
        <w:rPr>
          <w:rFonts w:ascii="Calibri" w:hAnsi="Calibri"/>
        </w:rPr>
        <w:t>Poniżej przedstawiono zatem syntetyczny opis każdego z sześciu podobszarów zamieszkałych. Natomiast charakterystyka obszarów niezamieszkałych została opracowana w poprzedniej części diagnozy, w rozdziale dotyczącym potencjałów obszaru rewitalizacji. Takie umiejscowienie opisu obszarów niezamieszkałych wynika z</w:t>
      </w:r>
      <w:r w:rsidR="00801A68">
        <w:rPr>
          <w:rFonts w:ascii="Calibri" w:hAnsi="Calibri"/>
        </w:rPr>
        <w:t> </w:t>
      </w:r>
      <w:r>
        <w:rPr>
          <w:rFonts w:ascii="Calibri" w:hAnsi="Calibri"/>
        </w:rPr>
        <w:t xml:space="preserve">roli, jaką podobszary te mają pełnić w programie rewitalizacji: powinny być traktowane zdecydowanie jako potencjały wspomagające proces wychodzenia z kryzysu obszarów zamieszkałych. </w:t>
      </w:r>
    </w:p>
    <w:p w:rsidR="007956B3" w:rsidRDefault="007956B3" w:rsidP="00522CE9">
      <w:pPr>
        <w:jc w:val="both"/>
        <w:rPr>
          <w:rFonts w:ascii="Calibri" w:hAnsi="Calibri"/>
          <w:b/>
        </w:rPr>
      </w:pPr>
    </w:p>
    <w:p w:rsidR="00AD5A69" w:rsidRDefault="00AD5A69" w:rsidP="00522CE9">
      <w:pPr>
        <w:jc w:val="both"/>
        <w:rPr>
          <w:rFonts w:ascii="Calibri" w:hAnsi="Calibri"/>
          <w:b/>
        </w:rPr>
      </w:pPr>
    </w:p>
    <w:p w:rsidR="00AD5A69" w:rsidRDefault="00AD5A69" w:rsidP="00522CE9">
      <w:pPr>
        <w:jc w:val="both"/>
        <w:rPr>
          <w:rFonts w:ascii="Calibri" w:hAnsi="Calibri"/>
          <w:b/>
        </w:rPr>
      </w:pPr>
    </w:p>
    <w:p w:rsidR="007956B3" w:rsidRPr="00AD5A69" w:rsidRDefault="007956B3" w:rsidP="00522CE9">
      <w:pPr>
        <w:jc w:val="both"/>
        <w:rPr>
          <w:rFonts w:ascii="Calibri" w:hAnsi="Calibri"/>
          <w:b/>
          <w:sz w:val="22"/>
        </w:rPr>
      </w:pPr>
      <w:r w:rsidRPr="00AD5A69">
        <w:rPr>
          <w:rFonts w:ascii="Calibri" w:hAnsi="Calibri"/>
          <w:b/>
          <w:sz w:val="22"/>
        </w:rPr>
        <w:lastRenderedPageBreak/>
        <w:t>Bobrek (podobszar rewitalizacji 8)</w:t>
      </w:r>
    </w:p>
    <w:p w:rsidR="007956B3" w:rsidRDefault="007956B3" w:rsidP="00522CE9">
      <w:pPr>
        <w:jc w:val="both"/>
        <w:rPr>
          <w:rFonts w:ascii="Calibri" w:hAnsi="Calibri"/>
        </w:rPr>
      </w:pPr>
      <w:r>
        <w:rPr>
          <w:rFonts w:ascii="Calibri" w:hAnsi="Calibri"/>
        </w:rPr>
        <w:t>Dzielnica Bobrek znajduje się w południowo - zachodniej części Bytomia. Zajmuje powierzchnię 49 ha i</w:t>
      </w:r>
      <w:r w:rsidR="00801A68">
        <w:rPr>
          <w:rFonts w:ascii="Calibri" w:hAnsi="Calibri"/>
        </w:rPr>
        <w:t> </w:t>
      </w:r>
      <w:r>
        <w:rPr>
          <w:rFonts w:ascii="Calibri" w:hAnsi="Calibri"/>
        </w:rPr>
        <w:t>zamieszkała jest przez 4 664 osoby</w:t>
      </w:r>
      <w:r>
        <w:rPr>
          <w:rStyle w:val="Odwoanieprzypisudolnego"/>
          <w:rFonts w:ascii="Calibri" w:hAnsi="Calibri"/>
        </w:rPr>
        <w:footnoteReference w:id="41"/>
      </w:r>
      <w:r>
        <w:rPr>
          <w:rFonts w:ascii="Calibri" w:hAnsi="Calibri"/>
        </w:rPr>
        <w:t xml:space="preserve">, co stanowi 2,94% populacji miasta. </w:t>
      </w:r>
    </w:p>
    <w:p w:rsidR="00BA56F9" w:rsidRDefault="007956B3" w:rsidP="00522CE9">
      <w:pPr>
        <w:jc w:val="both"/>
        <w:rPr>
          <w:rFonts w:ascii="Calibri" w:eastAsia="Calibri" w:hAnsi="Calibri"/>
        </w:rPr>
      </w:pPr>
      <w:r>
        <w:rPr>
          <w:rFonts w:ascii="Calibri" w:eastAsia="Calibri" w:hAnsi="Calibri"/>
        </w:rPr>
        <w:t xml:space="preserve">Jest to niewielki podobszar położony z dala od centrum miasta. Stanowi historycznie i przestrzennie odrębną dzielnicę, silnie związaną z nieczynną już miejscową hutą. </w:t>
      </w:r>
    </w:p>
    <w:p w:rsidR="007956B3" w:rsidRDefault="00BA56F9" w:rsidP="00522CE9">
      <w:pPr>
        <w:jc w:val="both"/>
        <w:rPr>
          <w:rFonts w:ascii="Calibri" w:eastAsia="Calibri" w:hAnsi="Calibri"/>
        </w:rPr>
      </w:pPr>
      <w:r>
        <w:t>Zespół osiedla robotniczego</w:t>
      </w:r>
      <w:r w:rsidR="006F17E4">
        <w:t xml:space="preserve"> w dzielnicy Bobrek powstał na przełomie</w:t>
      </w:r>
      <w:r>
        <w:t xml:space="preserve"> XIX i XX wieku w zabudowie wolnostojącej lub pół zwartej. Budynki mieszkalne trzy i czterokondygnacyjne wybudowane z czerwonej cegły łączą różne konwencje stylowe i stanowią ciekawy zespół urbanistyczny. Duży wpływ na budowę i rozbudowę osiedla robotniczego miał prężnie rozwijający się w tamtych czasach przemysł, co wiązało się z dużym zapotrzebowaniem na m</w:t>
      </w:r>
      <w:r w:rsidR="000B6675">
        <w:t xml:space="preserve">ieszkania dla robotników, a </w:t>
      </w:r>
      <w:r w:rsidR="00191A39">
        <w:t xml:space="preserve">co </w:t>
      </w:r>
      <w:r w:rsidR="000B6675">
        <w:t xml:space="preserve">za tym idzie </w:t>
      </w:r>
      <w:r>
        <w:t>konieczno</w:t>
      </w:r>
      <w:r w:rsidR="000B6675">
        <w:t>ść budowy obiektów</w:t>
      </w:r>
      <w:r>
        <w:t xml:space="preserve"> sakralnych, użyteczności publicznej i ku</w:t>
      </w:r>
      <w:r w:rsidR="000B6675">
        <w:t xml:space="preserve">ltury, które obecnie objęte są </w:t>
      </w:r>
      <w:r>
        <w:t xml:space="preserve">ochroną konserwatorską. </w:t>
      </w:r>
      <w:r w:rsidR="007956B3">
        <w:rPr>
          <w:rFonts w:ascii="Calibri" w:eastAsia="Calibri" w:hAnsi="Calibri"/>
        </w:rPr>
        <w:t>Od końca XIX w. Bobrek przeżywał szybki rozwój, o</w:t>
      </w:r>
      <w:r w:rsidR="00801A68">
        <w:rPr>
          <w:rFonts w:ascii="Calibri" w:eastAsia="Calibri" w:hAnsi="Calibri"/>
        </w:rPr>
        <w:t> </w:t>
      </w:r>
      <w:r w:rsidR="007956B3">
        <w:rPr>
          <w:rFonts w:ascii="Calibri" w:eastAsia="Calibri" w:hAnsi="Calibri"/>
        </w:rPr>
        <w:t xml:space="preserve">czym świadczy narastająca liczba mieszkańców: 2 300 w 1891 r., 6 000 </w:t>
      </w:r>
      <w:r w:rsidR="00B57DFA">
        <w:rPr>
          <w:rFonts w:ascii="Calibri" w:eastAsia="Calibri" w:hAnsi="Calibri"/>
        </w:rPr>
        <w:t>w 1904 r. i aż 12 900 w 1928 r.</w:t>
      </w:r>
      <w:r w:rsidR="007956B3">
        <w:rPr>
          <w:rFonts w:ascii="Calibri" w:eastAsia="Calibri" w:hAnsi="Calibri"/>
        </w:rPr>
        <w:t xml:space="preserve"> Po</w:t>
      </w:r>
      <w:r w:rsidR="00801A68">
        <w:rPr>
          <w:rFonts w:ascii="Calibri" w:eastAsia="Calibri" w:hAnsi="Calibri"/>
        </w:rPr>
        <w:t> </w:t>
      </w:r>
      <w:r w:rsidR="007956B3">
        <w:rPr>
          <w:rFonts w:ascii="Calibri" w:eastAsia="Calibri" w:hAnsi="Calibri"/>
        </w:rPr>
        <w:t>II</w:t>
      </w:r>
      <w:r w:rsidR="00801A68">
        <w:rPr>
          <w:rFonts w:ascii="Calibri" w:eastAsia="Calibri" w:hAnsi="Calibri"/>
        </w:rPr>
        <w:t> </w:t>
      </w:r>
      <w:r w:rsidR="007956B3">
        <w:rPr>
          <w:rFonts w:ascii="Calibri" w:eastAsia="Calibri" w:hAnsi="Calibri"/>
        </w:rPr>
        <w:t>wojnie</w:t>
      </w:r>
      <w:r w:rsidR="00191A39">
        <w:rPr>
          <w:rFonts w:ascii="Calibri" w:eastAsia="Calibri" w:hAnsi="Calibri"/>
        </w:rPr>
        <w:t xml:space="preserve"> światowej</w:t>
      </w:r>
      <w:r w:rsidR="007956B3">
        <w:rPr>
          <w:rFonts w:ascii="Calibri" w:eastAsia="Calibri" w:hAnsi="Calibri"/>
        </w:rPr>
        <w:t xml:space="preserve"> Bobrek tętnił życiem, działała tu kopalnia i huta z koksownią oraz wiele innych zakładów produkcyjnych. Upadek przemysłu spowodował masową emigrację z dzielnicy. Wolne mieszkania wykorzystano dla przesiedlania ludności z innych dzielnic, co wzmocniło problemy społeczne Bobrka. Obecnie podobszar ten cechują wybitnie negatywne wskaźniki kluczowych zjawisk społecznych, a skala problemów wymaga regularnego wsparcia ze strony pomocy społecznej.</w:t>
      </w:r>
    </w:p>
    <w:p w:rsidR="001B1FA1" w:rsidRDefault="001B1FA1" w:rsidP="001B1FA1">
      <w:pPr>
        <w:jc w:val="both"/>
      </w:pPr>
      <w:r>
        <w:t xml:space="preserve">W dzielnicy widocznie zarysowany został podział na charakter i rodzaj zabudowy i tak w części południowej dzielnicy Bobrek zlokalizowana jest zabudowa jednorodzinna powstała w okresie powojennym, zaś w części północnej dzielnicy znajdują się zabudowania z początku XX wieku tzw. familoki. </w:t>
      </w:r>
    </w:p>
    <w:p w:rsidR="007956B3" w:rsidRPr="001B1FA1" w:rsidRDefault="001B1FA1" w:rsidP="001B1FA1">
      <w:pPr>
        <w:jc w:val="both"/>
      </w:pPr>
      <w:r>
        <w:t>Charakterystyczna dla obszaru dzielnicy jest powtarzalność zabudowy i przestrzeni miejskich widoczna szczególnie w obszarze „Nowej Koloni Robotniczej” wpisanej do rejestru zabytków.</w:t>
      </w:r>
    </w:p>
    <w:p w:rsidR="007956B3" w:rsidRDefault="007956B3" w:rsidP="001B1FA1">
      <w:pPr>
        <w:jc w:val="both"/>
        <w:rPr>
          <w:rFonts w:ascii="Calibri" w:hAnsi="Calibri"/>
        </w:rPr>
      </w:pPr>
      <w:r>
        <w:rPr>
          <w:rFonts w:ascii="Calibri" w:hAnsi="Calibri"/>
        </w:rPr>
        <w:t>W podobszarze Bobrek bardzo silnie występuje problem ubóstwa. Podczas gdy przeciętnie w mieście z</w:t>
      </w:r>
      <w:r w:rsidR="00801A68">
        <w:rPr>
          <w:rFonts w:ascii="Calibri" w:hAnsi="Calibri"/>
        </w:rPr>
        <w:t> </w:t>
      </w:r>
      <w:r>
        <w:rPr>
          <w:rFonts w:ascii="Calibri" w:hAnsi="Calibri"/>
        </w:rPr>
        <w:t xml:space="preserve">dożywiania korzysta co piąty uczeń szkoły podstawowej, w Bobrku co drugi. Z zasiłków celowych korzysta tu 85 osób na 1 tys., czyli niemal co dziesiąta osoba (w Bytomiu wskaźnik wynosi 19). Tak znaczne przekroczenie średniej plasuje Bobrek wśród najtrudniejszych pod względem ubóstwa podobszarów. </w:t>
      </w:r>
    </w:p>
    <w:p w:rsidR="007956B3" w:rsidRDefault="007956B3" w:rsidP="00522CE9">
      <w:pPr>
        <w:jc w:val="both"/>
        <w:rPr>
          <w:rFonts w:ascii="Calibri" w:hAnsi="Calibri"/>
        </w:rPr>
      </w:pPr>
      <w:r>
        <w:rPr>
          <w:rFonts w:ascii="Calibri" w:hAnsi="Calibri"/>
        </w:rPr>
        <w:t>Obserwujemy tu także wybitne nasilenie problemu bezradności w sprawach opiekuńczo – wychowawczych. Biorąc pod uwagę zasiłki pomocy społecznej udzielane z tego tytułu zaobserwowano, że aż co czwarta zamieszkała tu osoba żyje w rodzinie dotkniętej tą dysfunkcją.</w:t>
      </w:r>
    </w:p>
    <w:p w:rsidR="007956B3" w:rsidRDefault="007956B3" w:rsidP="00522CE9">
      <w:pPr>
        <w:jc w:val="both"/>
        <w:rPr>
          <w:rFonts w:ascii="Calibri" w:hAnsi="Calibri"/>
        </w:rPr>
      </w:pPr>
      <w:r>
        <w:rPr>
          <w:rFonts w:ascii="Calibri" w:hAnsi="Calibri"/>
        </w:rPr>
        <w:t xml:space="preserve">W Bobrku najsilniej ze wszystkich podobszarów zaznacza się problem niepełnosprawności. Mieszka tu ponad trzykrotnie więcej osób dotkniętych niepełnosprawnością niż przeciętnie w Bytomiu. </w:t>
      </w:r>
    </w:p>
    <w:p w:rsidR="007956B3" w:rsidRDefault="007956B3" w:rsidP="00522CE9">
      <w:pPr>
        <w:jc w:val="both"/>
        <w:rPr>
          <w:rFonts w:ascii="Calibri" w:hAnsi="Calibri"/>
        </w:rPr>
      </w:pPr>
      <w:r>
        <w:rPr>
          <w:rFonts w:ascii="Calibri" w:hAnsi="Calibri"/>
        </w:rPr>
        <w:t xml:space="preserve">Natomiast przemoc w rodzinie utrzymuje się na poziomie niższym, niż dla całego miasta, a czynów karalnych osób nieletnich nie odnotowano. </w:t>
      </w:r>
    </w:p>
    <w:p w:rsidR="007956B3" w:rsidRDefault="007956B3" w:rsidP="00522CE9">
      <w:pPr>
        <w:jc w:val="both"/>
        <w:rPr>
          <w:rFonts w:ascii="Calibri" w:hAnsi="Calibri"/>
        </w:rPr>
      </w:pPr>
      <w:r>
        <w:rPr>
          <w:rFonts w:ascii="Calibri" w:hAnsi="Calibri"/>
        </w:rPr>
        <w:t xml:space="preserve">Frekwencja wyborcza w wyborach samorządowych w 2014 r. była na terenie dzielnicy najniższa ze wszystkich podobszarów. W północnej części Bobrka wyniosła ona jedynie 20%. Oznacza to, że kapitał społeczny jest tu wyjątkowo niski i należy spodziewać się trudności w zaangażowaniu mieszkańców na rzecz wspólnych działań. </w:t>
      </w:r>
    </w:p>
    <w:p w:rsidR="007956B3" w:rsidRDefault="007956B3" w:rsidP="00522CE9">
      <w:pPr>
        <w:jc w:val="both"/>
        <w:rPr>
          <w:rFonts w:ascii="Calibri" w:hAnsi="Calibri"/>
        </w:rPr>
      </w:pPr>
      <w:r>
        <w:rPr>
          <w:rFonts w:ascii="Calibri" w:hAnsi="Calibri"/>
        </w:rPr>
        <w:t xml:space="preserve">Prawie nie działają tu organizacje sportowe, nie odbywają się imprezy sportowe, nie ma obiektów rekreacyjnych. Niemal nieobecne są organizacje pozarządowe ze sfery społecznej i kultury. Te braki w pewnym stopniu uzupełnia prężnie działający Katolicki Ośrodek „Dom Nadziei” prowadzony przez fundację, która pracuje z trudną młodzieżą. </w:t>
      </w:r>
    </w:p>
    <w:p w:rsidR="007956B3" w:rsidRDefault="007956B3" w:rsidP="00522CE9">
      <w:pPr>
        <w:jc w:val="both"/>
        <w:rPr>
          <w:rFonts w:ascii="Calibri" w:hAnsi="Calibri"/>
        </w:rPr>
      </w:pPr>
      <w:r>
        <w:rPr>
          <w:rFonts w:ascii="Calibri" w:hAnsi="Calibri"/>
        </w:rPr>
        <w:t xml:space="preserve">Podobnie jak we wszystkich podobszarach, dużym problemem jest bezrobocie </w:t>
      </w:r>
      <w:r w:rsidR="00191A39">
        <w:rPr>
          <w:rFonts w:ascii="Calibri" w:hAnsi="Calibri"/>
        </w:rPr>
        <w:t>w tym</w:t>
      </w:r>
      <w:r>
        <w:rPr>
          <w:rFonts w:ascii="Calibri" w:hAnsi="Calibri"/>
        </w:rPr>
        <w:t xml:space="preserve"> bezrobocie osób posiadających wykształcenie najwyżej gimnazjalne. Wyjątkowo nieliczne są tu podmioty gospodarcze. </w:t>
      </w:r>
    </w:p>
    <w:p w:rsidR="007956B3" w:rsidRDefault="007956B3" w:rsidP="00522CE9">
      <w:pPr>
        <w:jc w:val="both"/>
        <w:rPr>
          <w:rFonts w:ascii="Calibri" w:hAnsi="Calibri"/>
        </w:rPr>
      </w:pPr>
      <w:r>
        <w:rPr>
          <w:rFonts w:ascii="Calibri" w:hAnsi="Calibri"/>
        </w:rPr>
        <w:t>Budynków komunalnych jest tu więcej niż przeciętnie w mieście, a ich stan techniczny wymaga interwencji.</w:t>
      </w:r>
    </w:p>
    <w:p w:rsidR="007956B3" w:rsidRDefault="007956B3" w:rsidP="00522CE9">
      <w:pPr>
        <w:jc w:val="both"/>
        <w:rPr>
          <w:rFonts w:ascii="Calibri" w:hAnsi="Calibri"/>
        </w:rPr>
      </w:pPr>
      <w:r>
        <w:rPr>
          <w:rFonts w:ascii="Calibri" w:hAnsi="Calibri"/>
        </w:rPr>
        <w:t>Podobszar charakteryzuje się większym niż przeciętnie udziałem dzieci i młodzieży w populacji.</w:t>
      </w:r>
    </w:p>
    <w:p w:rsidR="007956B3" w:rsidRDefault="007956B3" w:rsidP="00522CE9">
      <w:pPr>
        <w:jc w:val="both"/>
        <w:rPr>
          <w:rFonts w:ascii="Calibri" w:hAnsi="Calibri"/>
        </w:rPr>
      </w:pPr>
    </w:p>
    <w:p w:rsidR="007956B3" w:rsidRPr="00AD5A69" w:rsidRDefault="007956B3" w:rsidP="00522CE9">
      <w:pPr>
        <w:jc w:val="both"/>
        <w:rPr>
          <w:rFonts w:ascii="Calibri" w:hAnsi="Calibri"/>
          <w:b/>
          <w:sz w:val="22"/>
        </w:rPr>
      </w:pPr>
      <w:r w:rsidRPr="00AD5A69">
        <w:rPr>
          <w:rFonts w:ascii="Calibri" w:hAnsi="Calibri"/>
          <w:b/>
          <w:sz w:val="22"/>
        </w:rPr>
        <w:t>Kolonia Zgorzelec (podobszar rewitalizacji 19)</w:t>
      </w:r>
    </w:p>
    <w:p w:rsidR="00B74A6D" w:rsidRDefault="007956B3" w:rsidP="00BB1232">
      <w:pPr>
        <w:jc w:val="both"/>
        <w:rPr>
          <w:rFonts w:ascii="Calibri" w:hAnsi="Calibri"/>
        </w:rPr>
      </w:pPr>
      <w:r>
        <w:rPr>
          <w:rFonts w:ascii="Calibri" w:hAnsi="Calibri"/>
        </w:rPr>
        <w:t xml:space="preserve">Osiedle Kolonia Zgorzelec znajduje się w południowej części Bytomia. Zajmuje powierzchnię jedynie 7 ha, na której mieszkają tylko 152 osoby, co stanowi 0,1% populacji miasta. Kolonia Zgorzelec jest dawnym osiedlem robotniczym, założonym w ostatnich latach XIX w. przez Huberta von </w:t>
      </w:r>
      <w:r w:rsidRPr="006A06A2">
        <w:rPr>
          <w:rFonts w:ascii="Calibri" w:hAnsi="Calibri"/>
        </w:rPr>
        <w:t>Tiele-Wincklera</w:t>
      </w:r>
      <w:r>
        <w:rPr>
          <w:rFonts w:ascii="Calibri" w:hAnsi="Calibri"/>
        </w:rPr>
        <w:t xml:space="preserve"> dla pracowników huty. </w:t>
      </w:r>
      <w:r w:rsidR="00B74A6D">
        <w:t xml:space="preserve">Położone jest między Szombierkami i Łagiewnikami, dzielnicami Bytomia i obejmuje 34 budynki mieszkalne tzw. </w:t>
      </w:r>
      <w:r w:rsidR="00B74A6D">
        <w:lastRenderedPageBreak/>
        <w:t>familoki dwu i czterorodzinne, z których część jest obecnie niezamieszkała. Budynki zbudowane zostały z</w:t>
      </w:r>
      <w:r w:rsidR="00AD5A69">
        <w:t> </w:t>
      </w:r>
      <w:r w:rsidR="00B74A6D">
        <w:t>czerwonej cegły w zabudowie wolnostojącej. Osiedle robotnicze objęte jest</w:t>
      </w:r>
      <w:r w:rsidR="007D4E8E">
        <w:t xml:space="preserve"> ścisłą ochroną konserwatorską w</w:t>
      </w:r>
      <w:r w:rsidR="00AD5A69">
        <w:t> </w:t>
      </w:r>
      <w:r w:rsidR="00B74A6D">
        <w:t xml:space="preserve">1994 r. osiedle zostało wpisane do rejestru zabytków. </w:t>
      </w:r>
      <w:r w:rsidR="00B74A6D">
        <w:rPr>
          <w:bCs/>
        </w:rPr>
        <w:t>W latach 90 XX w. na terenie osiedla prowadzona była rewitalizacja jako działanie wspólne gminy Bytom, kraju związkowego Północna Nadrenia-Westfalia oraz wspólnoty mieszkaniowej z Recklinghausen w Republice Federalnej Niemiec. W trakcie tej rewitalizacji przeprowadzono remont w 9 budynkach. Układ urbanistyczny osiedla wraz z zabudową stanowi cenny przykład zespołu urbanistyczno-architektonicznego z okresu największego rozwoju przemysłu na terenie Górnego Śląska.</w:t>
      </w:r>
    </w:p>
    <w:p w:rsidR="007956B3" w:rsidRDefault="007956B3" w:rsidP="00522CE9">
      <w:pPr>
        <w:jc w:val="both"/>
        <w:rPr>
          <w:rFonts w:ascii="Calibri" w:hAnsi="Calibri"/>
        </w:rPr>
      </w:pPr>
      <w:r>
        <w:rPr>
          <w:rFonts w:ascii="Calibri" w:hAnsi="Calibri"/>
        </w:rPr>
        <w:t>Kolonia Zgorzelec została uwzględniona w „Gminnym Programie Rewitalizacji. Bytom 2020+” ze względu na wyjątkowy charakter i potencjał, jaki kryje w sobie jako zespół jednolitych budynków robotniczych, położonych w interesującej pod względem przyrodniczym okolicy</w:t>
      </w:r>
      <w:r w:rsidR="00191A39">
        <w:rPr>
          <w:rFonts w:ascii="Calibri" w:hAnsi="Calibri"/>
        </w:rPr>
        <w:t>. W</w:t>
      </w:r>
      <w:r>
        <w:rPr>
          <w:rFonts w:ascii="Calibri" w:hAnsi="Calibri"/>
        </w:rPr>
        <w:t xml:space="preserve">ystępują tu w dużym nasileniu różnorodne problemy, głównie społeczne. </w:t>
      </w:r>
      <w:r>
        <w:rPr>
          <w:rFonts w:ascii="Calibri" w:eastAsia="Calibri" w:hAnsi="Calibri"/>
        </w:rPr>
        <w:t>Z uwagi na niewielką powierzchnię i populację możliwe są tu kompleksowe działania mogące stosunkowo niewielkim nakładem środków radykalnie poprawić sytuację osiedla</w:t>
      </w:r>
      <w:r>
        <w:rPr>
          <w:rFonts w:ascii="Calibri" w:hAnsi="Calibri"/>
        </w:rPr>
        <w:t>.</w:t>
      </w:r>
    </w:p>
    <w:p w:rsidR="007956B3" w:rsidRDefault="007956B3" w:rsidP="00522CE9">
      <w:pPr>
        <w:jc w:val="both"/>
        <w:rPr>
          <w:rFonts w:ascii="Calibri" w:hAnsi="Calibri"/>
        </w:rPr>
      </w:pPr>
      <w:r>
        <w:rPr>
          <w:rFonts w:ascii="Calibri" w:eastAsia="Calibri" w:hAnsi="Calibri"/>
        </w:rPr>
        <w:t xml:space="preserve">Ubóstwo jest poważnym problemem dla co dwudziestej osoby z tej niewielkiej społeczności. Bezrobocie ponad dwukrotnie przekracza średnią dla miasta. Co drugi bezrobotny ma wykształcenie co najwyżej gimnazjalne. Osób niepełnosprawnych jest w populacji ponad dwukrotnie więcej, niż średnio w mieście. </w:t>
      </w:r>
      <w:r>
        <w:rPr>
          <w:rFonts w:ascii="Calibri" w:hAnsi="Calibri"/>
        </w:rPr>
        <w:t>Frekwencja wyborcza, będąca miernikiem aktywności społecznej, jest niska.</w:t>
      </w:r>
    </w:p>
    <w:p w:rsidR="007956B3" w:rsidRDefault="007956B3" w:rsidP="00522CE9">
      <w:pPr>
        <w:jc w:val="both"/>
        <w:rPr>
          <w:rFonts w:ascii="Calibri" w:eastAsia="Calibri" w:hAnsi="Calibri"/>
        </w:rPr>
      </w:pPr>
      <w:r>
        <w:rPr>
          <w:rFonts w:ascii="Calibri" w:hAnsi="Calibri"/>
        </w:rPr>
        <w:t>Natomiast pozostałe badane negatywne zjawiska społeczne nie występują lub występują w stopniu niewielkim. Nie odnotowano tu przypadków przemocy w rodzinie, ani czynów karalnych osób nieletnich. Nie są przyznawane zasiłki z powodu uzależnień, a b</w:t>
      </w:r>
      <w:r>
        <w:rPr>
          <w:rFonts w:ascii="Calibri" w:eastAsia="Calibri" w:hAnsi="Calibri"/>
        </w:rPr>
        <w:t>ezradność w sprawach opiekuńczo wychowawczych występuje rzadko.</w:t>
      </w:r>
      <w:r w:rsidR="00AD5A69">
        <w:rPr>
          <w:rFonts w:ascii="Calibri" w:eastAsia="Calibri" w:hAnsi="Calibri"/>
        </w:rPr>
        <w:t xml:space="preserve"> </w:t>
      </w:r>
      <w:r>
        <w:rPr>
          <w:rFonts w:ascii="Calibri" w:eastAsia="Calibri" w:hAnsi="Calibri"/>
        </w:rPr>
        <w:t>Nie działają tu organizacje pozarządowe, ale spowodowane jest to wyjątkowo niewielkim terytorium i</w:t>
      </w:r>
      <w:r w:rsidR="00801A68">
        <w:rPr>
          <w:rFonts w:ascii="Calibri" w:eastAsia="Calibri" w:hAnsi="Calibri"/>
        </w:rPr>
        <w:t> </w:t>
      </w:r>
      <w:r>
        <w:rPr>
          <w:rFonts w:ascii="Calibri" w:eastAsia="Calibri" w:hAnsi="Calibri"/>
        </w:rPr>
        <w:t>wyjątkowo niewielką liczbą zamieszkałych osób.</w:t>
      </w:r>
    </w:p>
    <w:p w:rsidR="007956B3" w:rsidRDefault="007956B3" w:rsidP="00522CE9">
      <w:pPr>
        <w:jc w:val="both"/>
        <w:rPr>
          <w:rFonts w:ascii="Calibri" w:eastAsia="Calibri" w:hAnsi="Calibri"/>
        </w:rPr>
      </w:pPr>
      <w:r>
        <w:rPr>
          <w:rFonts w:ascii="Calibri" w:eastAsia="Calibri" w:hAnsi="Calibri"/>
        </w:rPr>
        <w:t xml:space="preserve">Wszystkie budynki </w:t>
      </w:r>
      <w:r w:rsidR="00BB1232">
        <w:t xml:space="preserve">wyłączone z użytkowania (14 budynków) </w:t>
      </w:r>
      <w:r>
        <w:rPr>
          <w:rFonts w:ascii="Calibri" w:eastAsia="Calibri" w:hAnsi="Calibri"/>
        </w:rPr>
        <w:t xml:space="preserve">znajdujące się w podobszarze należą do gminy (100% własności). Poważnym problemem jest ich stan techniczny - 85% z nich jest w złym lub bardzo złym stanie technicznym i wymaga pilnych remontów. </w:t>
      </w:r>
    </w:p>
    <w:p w:rsidR="007956B3" w:rsidRDefault="007956B3" w:rsidP="00522CE9">
      <w:pPr>
        <w:jc w:val="both"/>
        <w:rPr>
          <w:rFonts w:ascii="Calibri" w:hAnsi="Calibri"/>
        </w:rPr>
      </w:pPr>
    </w:p>
    <w:p w:rsidR="007956B3" w:rsidRPr="00AD5A69" w:rsidRDefault="007956B3" w:rsidP="00522CE9">
      <w:pPr>
        <w:jc w:val="both"/>
        <w:rPr>
          <w:rFonts w:ascii="Calibri" w:hAnsi="Calibri"/>
          <w:b/>
          <w:sz w:val="22"/>
        </w:rPr>
      </w:pPr>
      <w:r w:rsidRPr="00AD5A69">
        <w:rPr>
          <w:rFonts w:ascii="Calibri" w:hAnsi="Calibri"/>
          <w:b/>
          <w:sz w:val="22"/>
        </w:rPr>
        <w:t>Rozbark (podobszar rewitalizacji 12)</w:t>
      </w:r>
    </w:p>
    <w:p w:rsidR="007956B3" w:rsidRDefault="007956B3" w:rsidP="00522CE9">
      <w:pPr>
        <w:jc w:val="both"/>
        <w:rPr>
          <w:rFonts w:ascii="Calibri" w:hAnsi="Calibri"/>
        </w:rPr>
      </w:pPr>
      <w:r>
        <w:rPr>
          <w:rFonts w:ascii="Calibri" w:hAnsi="Calibri"/>
        </w:rPr>
        <w:t>Dzielnica leży na wschodnim skraju Bytomia. Od zachodu graniczy z dzielnicami śródmiejskimi. Podobszar rewitalizacji ma powierzchnię 76 ha i jest zamieszkały przez 7 900 osób (4,98% ludności Bytomia).</w:t>
      </w:r>
    </w:p>
    <w:p w:rsidR="004D3C7E" w:rsidRDefault="007956B3" w:rsidP="00E06F5B">
      <w:pPr>
        <w:jc w:val="both"/>
        <w:rPr>
          <w:color w:val="373737"/>
          <w:highlight w:val="white"/>
        </w:rPr>
      </w:pPr>
      <w:r>
        <w:rPr>
          <w:rFonts w:ascii="Calibri" w:hAnsi="Calibri"/>
        </w:rPr>
        <w:t>Przed II wojną Rozbark był elegancką, mieszczańską dzielnicą o charakterze przemysłowym, handlowym i</w:t>
      </w:r>
      <w:r w:rsidR="00801A68">
        <w:rPr>
          <w:rFonts w:ascii="Calibri" w:hAnsi="Calibri"/>
        </w:rPr>
        <w:t> </w:t>
      </w:r>
      <w:r>
        <w:rPr>
          <w:rFonts w:ascii="Calibri" w:hAnsi="Calibri"/>
        </w:rPr>
        <w:t>usługowym. Po 1945 r. zaczął tracić swój charakter. Obecnie Rozbark dzieli się na kilka odrębnych osiedli. Na północnym zachodzie dzielnica stanowi przedłużenie śródmieścia, panuje tu gęsta zabudowa składająca się z</w:t>
      </w:r>
      <w:r w:rsidR="00801A68">
        <w:rPr>
          <w:rFonts w:ascii="Calibri" w:hAnsi="Calibri"/>
        </w:rPr>
        <w:t> </w:t>
      </w:r>
      <w:r>
        <w:rPr>
          <w:rFonts w:ascii="Calibri" w:hAnsi="Calibri"/>
        </w:rPr>
        <w:t>poniemieckich kamienic</w:t>
      </w:r>
      <w:r w:rsidR="004D3C7E">
        <w:rPr>
          <w:color w:val="373737"/>
          <w:shd w:val="clear" w:color="auto" w:fill="FFFFFF"/>
        </w:rPr>
        <w:t xml:space="preserve">.  W części dzielnicy wciąż da się zauważyć funkcjonujące zabudowania typowe dla obszarów wiejskich (stodoły, stajnie) stanowią one zazwyczaj zabudowania zlokalizowane w części oficynowej. </w:t>
      </w:r>
    </w:p>
    <w:p w:rsidR="004D3C7E" w:rsidRDefault="004D3C7E" w:rsidP="00E06F5B">
      <w:pPr>
        <w:jc w:val="both"/>
        <w:rPr>
          <w:rFonts w:ascii="Calibri" w:hAnsi="Calibri"/>
        </w:rPr>
      </w:pPr>
      <w:r>
        <w:rPr>
          <w:color w:val="373737"/>
          <w:shd w:val="clear" w:color="auto" w:fill="FFFFFF"/>
        </w:rPr>
        <w:t xml:space="preserve">Interesującą przestrzenią publiczną w tym obszarze jest </w:t>
      </w:r>
      <w:r w:rsidR="00523B5C">
        <w:rPr>
          <w:color w:val="373737"/>
          <w:shd w:val="clear" w:color="auto" w:fill="FFFFFF"/>
        </w:rPr>
        <w:t>układ urbanistyczny wokół placu</w:t>
      </w:r>
      <w:r>
        <w:rPr>
          <w:color w:val="373737"/>
          <w:shd w:val="clear" w:color="auto" w:fill="FFFFFF"/>
        </w:rPr>
        <w:t xml:space="preserve"> św. Barbary, który od wieków był niejako centrum Rozbarku.</w:t>
      </w:r>
    </w:p>
    <w:p w:rsidR="007956B3" w:rsidRDefault="007956B3" w:rsidP="00522CE9">
      <w:pPr>
        <w:jc w:val="both"/>
        <w:rPr>
          <w:rFonts w:ascii="Calibri" w:eastAsia="Calibri" w:hAnsi="Calibri"/>
        </w:rPr>
      </w:pPr>
      <w:r>
        <w:rPr>
          <w:rFonts w:ascii="Calibri" w:hAnsi="Calibri"/>
        </w:rPr>
        <w:t>Rozbark to d</w:t>
      </w:r>
      <w:r>
        <w:rPr>
          <w:rFonts w:ascii="Calibri" w:eastAsia="Calibri" w:hAnsi="Calibri"/>
        </w:rPr>
        <w:t>rugi po Bobrku podobszar o wskaźnikach znacznie odbiegających od średniej miasta. Posiada najwyższy wskaźnik osób otrzymujących zasiłek z powodu uzależnień. Koncentracja zjawiska występuje w kilku konkretnych kwartałach ulic. Również najwyższy w całym obszarze rewitalizacji jest tu wskaźnik przemocy w</w:t>
      </w:r>
      <w:r w:rsidR="00523B5C">
        <w:rPr>
          <w:rFonts w:ascii="Calibri" w:eastAsia="Calibri" w:hAnsi="Calibri"/>
        </w:rPr>
        <w:t> </w:t>
      </w:r>
      <w:r>
        <w:rPr>
          <w:rFonts w:ascii="Calibri" w:eastAsia="Calibri" w:hAnsi="Calibri"/>
        </w:rPr>
        <w:t>rodzinie. Co ciekawe, znacznie mniej notuje się tu czynów karalnych osób nieletnich w stosunku do populacji, niż średnio w mieście.</w:t>
      </w:r>
    </w:p>
    <w:p w:rsidR="007956B3" w:rsidRDefault="007956B3" w:rsidP="00522CE9">
      <w:pPr>
        <w:jc w:val="both"/>
        <w:rPr>
          <w:rFonts w:ascii="Calibri" w:eastAsia="Calibri" w:hAnsi="Calibri"/>
        </w:rPr>
      </w:pPr>
      <w:r>
        <w:rPr>
          <w:rFonts w:ascii="Calibri" w:eastAsia="Calibri" w:hAnsi="Calibri"/>
        </w:rPr>
        <w:t xml:space="preserve">Znacznym problemem jest ubóstwo. 44% uczniów szkół podstawowych korzysta z dożywiania, a wskaźnik osób otrzymujących zasiłki celowe dwukrotnie przekracza średnią dla miasta, podobnie, jak bezrobocie. Co drugi bezrobotny ma wykształcenie najwyżej gimnazjalne. Co dziesiąta osoba żyje w rodzinie dotkniętej problemem bezradności w sprawach opiekuńczo – wychowawczych, co oznacza, że wskaźnik dwukrotnie przekracza średnią dla miasta. Mieszka tu znacznie więcej osób niepełnosprawnych, niż w innych dzielnicach Bytomia. </w:t>
      </w:r>
    </w:p>
    <w:p w:rsidR="007956B3" w:rsidRDefault="007956B3" w:rsidP="00522CE9">
      <w:pPr>
        <w:jc w:val="both"/>
        <w:rPr>
          <w:rFonts w:ascii="Calibri" w:hAnsi="Calibri"/>
        </w:rPr>
      </w:pPr>
      <w:r>
        <w:rPr>
          <w:rFonts w:ascii="Calibri" w:eastAsia="Calibri" w:hAnsi="Calibri"/>
        </w:rPr>
        <w:t xml:space="preserve">Występuje bardzo niska frekwencja wyborcza, w jednym z obwodów nie przekroczyła ona w 2014 r. 25%. Świadczy to o niskim potencjale kapitału społecznego. </w:t>
      </w:r>
      <w:r>
        <w:rPr>
          <w:rFonts w:ascii="Calibri" w:hAnsi="Calibri"/>
        </w:rPr>
        <w:t>Prawie nie ma w Rozbarku organizacji pozarządowych działających w dziedzinie sportu. Niewiele jest także pozostałych organizacji. Należy natomiast odnotować z</w:t>
      </w:r>
      <w:r w:rsidR="00801A68">
        <w:rPr>
          <w:rFonts w:ascii="Calibri" w:hAnsi="Calibri"/>
        </w:rPr>
        <w:t> </w:t>
      </w:r>
      <w:r>
        <w:rPr>
          <w:rFonts w:ascii="Calibri" w:hAnsi="Calibri"/>
        </w:rPr>
        <w:t xml:space="preserve">rozmachem działający </w:t>
      </w:r>
      <w:r>
        <w:rPr>
          <w:rFonts w:ascii="Calibri" w:hAnsi="Calibri" w:cs="Arial"/>
        </w:rPr>
        <w:t xml:space="preserve">Bytomski Teatr Tańca i Ruchu ROZBARK, </w:t>
      </w:r>
      <w:r>
        <w:rPr>
          <w:rFonts w:ascii="Calibri" w:hAnsi="Calibri"/>
        </w:rPr>
        <w:t xml:space="preserve">w którym prowadzone są różnorodne zajęcia, warsztaty teatralne i taneczne dla różnych grup wiekowych. </w:t>
      </w:r>
    </w:p>
    <w:p w:rsidR="007956B3" w:rsidRDefault="007956B3" w:rsidP="00522CE9">
      <w:pPr>
        <w:jc w:val="both"/>
        <w:rPr>
          <w:rFonts w:ascii="Calibri" w:hAnsi="Calibri"/>
        </w:rPr>
      </w:pPr>
      <w:r>
        <w:rPr>
          <w:rFonts w:ascii="Calibri" w:hAnsi="Calibri"/>
        </w:rPr>
        <w:t>Co drugi budynek w dzielnicy należy do zasobu komunalnego, z czego większość wymaga remontów. B</w:t>
      </w:r>
      <w:r>
        <w:rPr>
          <w:rFonts w:ascii="Calibri" w:eastAsia="Calibri" w:hAnsi="Calibri"/>
        </w:rPr>
        <w:t>ardzo duża liczba starych budynków komunalnych w złym stanie wpływa negatywnie na charakter dzielnicy.</w:t>
      </w:r>
      <w:r>
        <w:rPr>
          <w:rFonts w:ascii="Calibri" w:hAnsi="Calibri"/>
        </w:rPr>
        <w:t xml:space="preserve"> </w:t>
      </w:r>
    </w:p>
    <w:p w:rsidR="007956B3" w:rsidRDefault="007956B3" w:rsidP="00522CE9">
      <w:pPr>
        <w:jc w:val="both"/>
        <w:rPr>
          <w:rFonts w:ascii="Calibri" w:hAnsi="Calibri"/>
        </w:rPr>
      </w:pPr>
    </w:p>
    <w:p w:rsidR="007956B3" w:rsidRPr="00AD5A69" w:rsidRDefault="007956B3" w:rsidP="00522CE9">
      <w:pPr>
        <w:jc w:val="both"/>
        <w:rPr>
          <w:rFonts w:ascii="Calibri" w:hAnsi="Calibri"/>
          <w:b/>
          <w:sz w:val="22"/>
        </w:rPr>
      </w:pPr>
      <w:r w:rsidRPr="00AD5A69">
        <w:rPr>
          <w:rFonts w:ascii="Calibri" w:hAnsi="Calibri"/>
          <w:b/>
          <w:sz w:val="22"/>
        </w:rPr>
        <w:lastRenderedPageBreak/>
        <w:t>Śródmieście (podobszar rewitalizacji 10)</w:t>
      </w:r>
    </w:p>
    <w:p w:rsidR="007956B3" w:rsidRDefault="007956B3" w:rsidP="00522CE9">
      <w:pPr>
        <w:jc w:val="both"/>
        <w:rPr>
          <w:rFonts w:ascii="Calibri" w:hAnsi="Calibri"/>
        </w:rPr>
      </w:pPr>
      <w:r>
        <w:rPr>
          <w:rFonts w:ascii="Calibri" w:hAnsi="Calibri"/>
        </w:rPr>
        <w:t>Podobszar rewitalizacji Śródmieście ma powierzchnię 90 ha i jest zamieszkały przez 13 000 osób (8,22% ludności Bytomia).</w:t>
      </w:r>
    </w:p>
    <w:p w:rsidR="007956B3" w:rsidRDefault="007956B3" w:rsidP="00E06F5B">
      <w:pPr>
        <w:jc w:val="both"/>
        <w:rPr>
          <w:rFonts w:ascii="Calibri" w:eastAsia="Calibri" w:hAnsi="Calibri"/>
        </w:rPr>
      </w:pPr>
      <w:r>
        <w:rPr>
          <w:rFonts w:ascii="Calibri" w:eastAsia="Calibri" w:hAnsi="Calibri"/>
        </w:rPr>
        <w:t xml:space="preserve">Dzielnicę cechują kontrasty przestrzenne – cenne zabytki sąsiadują tu z zaniedbanymi kwartałami. Charakterystyczny dla Śródmieścia jest najwyższy ze wszystkich podobszarów udział budynków komunalnych – sześć na dziesięć budynków należy do gminy. Wiele budynków jest w złym stanie, ponieważ niewystarczająca akcja remontowa jest typowym problemem zasobu komunalnego. Oznacza to również niedostatek w sferze estetyki przestrzeni publicznej, gdyż często stare, dawniej eleganckie budynki, mają obecnie elewacje, które od dawna nie były odnawiane. </w:t>
      </w:r>
    </w:p>
    <w:p w:rsidR="00E06F5B" w:rsidRDefault="00E06F5B" w:rsidP="00E06F5B">
      <w:pPr>
        <w:jc w:val="both"/>
      </w:pPr>
      <w:r>
        <w:t>Znaczna część obszaru Śródmieścia objęta jest miejscowym planem zagospodarowania przestrzennego śródmieścia Bytomia pod nazwą „Plan Rewitalizacji i Rozwoju Śródmieścia (ReRoŚ)”</w:t>
      </w:r>
      <w:r w:rsidR="00F20DBE">
        <w:t>.</w:t>
      </w:r>
    </w:p>
    <w:p w:rsidR="00E06F5B" w:rsidRDefault="00E06F5B" w:rsidP="00E06F5B">
      <w:pPr>
        <w:jc w:val="both"/>
      </w:pPr>
      <w:r>
        <w:t xml:space="preserve">Ponadto obszar Śródmieścia jest dobrze uzbrojony w sieci mediów w tym wodociągowo-kanalizacyjną, elektroenergetyczną, ciepłowniczą, gazową oraz teleinformatyczną. Taka infrastruktura pozwala na zapewnienie mieszkańcom podstawowych standardów niezbędnych dla zamieszkania zarówno dla młodych rodzin, jak i osób starszych. </w:t>
      </w:r>
    </w:p>
    <w:p w:rsidR="007956B3" w:rsidRDefault="007956B3" w:rsidP="00522CE9">
      <w:pPr>
        <w:jc w:val="both"/>
        <w:rPr>
          <w:rFonts w:ascii="Calibri" w:hAnsi="Calibri"/>
        </w:rPr>
      </w:pPr>
      <w:r>
        <w:rPr>
          <w:rFonts w:ascii="Calibri" w:eastAsia="Calibri" w:hAnsi="Calibri"/>
        </w:rPr>
        <w:t xml:space="preserve">W sferze społecznej Śródmieście ma najwyższy spośród podobszarów rewitalizacji wskaźnik czynów karalnych popełnionych przez nieletnich. Aż trzykrotnie przekracza on średnią miasta. Również tutaj, niewiele tylko słabiej niż w Rozbarku, zaznacza się problem uzależnienia, głownie od alkoholu. Pomoc społeczna związana z tą dysfunkcją udzielana jest dwa razy częściej, niż średnio w mieście. Podobne proporcje w stosunku do wyników dla całego miasta obserwujemy w przypadku bezrobocia, bezradności w sprawach opiekuńczo wychowawczych, ubóstwa mierzonego korzystaniem z zasiłków stałych, okresowych i celowych czy odsetkiem uczniów szkoły podstawowej korzystających z dożywiania. Dla większości z wymienionych negatywnych zjawisk charakterystyczna jest szczególna koncentracja </w:t>
      </w:r>
      <w:r>
        <w:rPr>
          <w:rFonts w:ascii="Calibri" w:hAnsi="Calibri"/>
        </w:rPr>
        <w:t>w północno – zachodniej części Śródmieścia, po obu stronach ul. Piłsudskiego. Wymienione zjawiska są w tym rejonie trzy razy bardziej nasilone niż przeciętnie w Bytomiu.</w:t>
      </w:r>
    </w:p>
    <w:p w:rsidR="007956B3" w:rsidRDefault="007956B3" w:rsidP="00522CE9">
      <w:pPr>
        <w:jc w:val="both"/>
        <w:rPr>
          <w:rFonts w:ascii="Calibri" w:hAnsi="Calibri"/>
        </w:rPr>
      </w:pPr>
      <w:r>
        <w:rPr>
          <w:rFonts w:ascii="Calibri" w:hAnsi="Calibri"/>
        </w:rPr>
        <w:t>W Śródmieściu występują także pozytywne cechy. Bardzo dużo działa tu osób prowadzących działalność gospodarczą. Licznie reprezentowane są organizacje pozarządowe, które działają w różnych dziedzinach i</w:t>
      </w:r>
      <w:r w:rsidR="00801A68">
        <w:rPr>
          <w:rFonts w:ascii="Calibri" w:hAnsi="Calibri"/>
        </w:rPr>
        <w:t> </w:t>
      </w:r>
      <w:r>
        <w:rPr>
          <w:rFonts w:ascii="Calibri" w:hAnsi="Calibri"/>
        </w:rPr>
        <w:t xml:space="preserve">kierują swoje propozycje do różnych grup wiekowych. Dotacje, które otrzymują od Miasta te organizacje, znacznie przekraczają skalą dotacje udzielane na działalność w innych podobszarach rewitalizacji. Warta podkreślenia jest duża liczba zabytków i obiektów kultury. Natomiast zbyt mała jest działalność klubów sportowych i UKS. </w:t>
      </w:r>
    </w:p>
    <w:p w:rsidR="007956B3" w:rsidRDefault="007956B3" w:rsidP="00522CE9">
      <w:pPr>
        <w:jc w:val="both"/>
        <w:rPr>
          <w:rFonts w:ascii="Calibri" w:hAnsi="Calibri"/>
        </w:rPr>
      </w:pPr>
    </w:p>
    <w:p w:rsidR="007956B3" w:rsidRPr="00AD5A69" w:rsidRDefault="007956B3" w:rsidP="00522CE9">
      <w:pPr>
        <w:jc w:val="both"/>
        <w:rPr>
          <w:rFonts w:ascii="Calibri" w:hAnsi="Calibri"/>
          <w:b/>
          <w:sz w:val="22"/>
        </w:rPr>
      </w:pPr>
      <w:r w:rsidRPr="00AD5A69">
        <w:rPr>
          <w:rFonts w:ascii="Calibri" w:hAnsi="Calibri"/>
          <w:b/>
          <w:sz w:val="22"/>
        </w:rPr>
        <w:t>Śródmieście Zachód (podobszar rewitalizacji 11)</w:t>
      </w:r>
    </w:p>
    <w:p w:rsidR="00E06F5B" w:rsidRPr="00E06F5B" w:rsidRDefault="007956B3" w:rsidP="00E06F5B">
      <w:pPr>
        <w:jc w:val="both"/>
      </w:pPr>
      <w:r>
        <w:rPr>
          <w:rFonts w:ascii="Calibri" w:hAnsi="Calibri"/>
        </w:rPr>
        <w:t>Podobszar rewitalizacji Śródmieście Zachód ma powierzchnię 76 ha i jest zamieszkały przez 8 610 osób (5,42% ludności Bytomia).</w:t>
      </w:r>
      <w:r w:rsidR="008C3CDF">
        <w:rPr>
          <w:rFonts w:ascii="Calibri" w:hAnsi="Calibri"/>
        </w:rPr>
        <w:t xml:space="preserve"> </w:t>
      </w:r>
      <w:r w:rsidR="00E06F5B">
        <w:t>W części północnej podobszaru zlokalizowana jest zabudowa typu jednorodzinnego szeregowego oraz drewniana zabudowa typu „fińskiego”. Na pozostałym obszarze najczęściej usytuowane są budynki wzniesione przed II wojną światową. Większość budynków w tym obszarze to budynki będące własnością wspólnot mieszkaniowych. W dzielnicy tej b</w:t>
      </w:r>
      <w:r w:rsidR="008C3CDF">
        <w:t xml:space="preserve">udynki będące własnością Gminy </w:t>
      </w:r>
      <w:r w:rsidR="00E06F5B">
        <w:t>Bytom są w</w:t>
      </w:r>
      <w:r w:rsidR="008C3CDF">
        <w:t> </w:t>
      </w:r>
      <w:r w:rsidR="00E06F5B">
        <w:t>najlepszym stanie technicznym.</w:t>
      </w:r>
    </w:p>
    <w:p w:rsidR="007956B3" w:rsidRDefault="007956B3" w:rsidP="00E06F5B">
      <w:pPr>
        <w:jc w:val="both"/>
        <w:rPr>
          <w:rFonts w:ascii="Calibri" w:eastAsia="Calibri" w:hAnsi="Calibri"/>
        </w:rPr>
      </w:pPr>
      <w:r>
        <w:rPr>
          <w:rFonts w:ascii="Calibri" w:eastAsia="Calibri" w:hAnsi="Calibri"/>
        </w:rPr>
        <w:t>Występuje tu wiele problemów, ale zwykle wskaźniki nie odbiegają od średniej miasta tak bardzo, jak w</w:t>
      </w:r>
      <w:r w:rsidR="00801A68">
        <w:rPr>
          <w:rFonts w:ascii="Calibri" w:eastAsia="Calibri" w:hAnsi="Calibri"/>
        </w:rPr>
        <w:t> </w:t>
      </w:r>
      <w:r>
        <w:rPr>
          <w:rFonts w:ascii="Calibri" w:eastAsia="Calibri" w:hAnsi="Calibri"/>
        </w:rPr>
        <w:t xml:space="preserve">przypadku pozostałych podobszarów. </w:t>
      </w:r>
    </w:p>
    <w:p w:rsidR="007956B3" w:rsidRDefault="007956B3" w:rsidP="00522CE9">
      <w:pPr>
        <w:jc w:val="both"/>
        <w:rPr>
          <w:rFonts w:ascii="Calibri" w:eastAsia="Calibri" w:hAnsi="Calibri"/>
        </w:rPr>
      </w:pPr>
      <w:r>
        <w:rPr>
          <w:rFonts w:ascii="Calibri" w:eastAsia="Calibri" w:hAnsi="Calibri"/>
        </w:rPr>
        <w:t>Wysoki jest wskaźnik przemocy w rodzinie, niemal dwukrotnie przewyższa średnią dla miasta. Problem skupia się w kilku kwartałach w północnej części podobszaru. W tych samych rejonach słabe są wyniki sprawdzianu po 6 klasie. Na całym podobszarze występuje nadreprezentacja osób w wieku poprodukcyjnym, a w jego środkowej części – znaczny odsetek osób w wieku powyżej 75 roku życia. Frekwencja wyborcza jest niska i</w:t>
      </w:r>
      <w:r w:rsidR="008C3CDF">
        <w:rPr>
          <w:rFonts w:ascii="Calibri" w:eastAsia="Calibri" w:hAnsi="Calibri"/>
        </w:rPr>
        <w:t> </w:t>
      </w:r>
      <w:r>
        <w:rPr>
          <w:rFonts w:ascii="Calibri" w:eastAsia="Calibri" w:hAnsi="Calibri"/>
        </w:rPr>
        <w:t xml:space="preserve">niemal nie obserwujemy działalności organizacji pozarządowych. </w:t>
      </w:r>
    </w:p>
    <w:p w:rsidR="007956B3" w:rsidRDefault="007956B3" w:rsidP="00522CE9">
      <w:pPr>
        <w:jc w:val="both"/>
        <w:rPr>
          <w:rFonts w:ascii="Calibri" w:eastAsia="Calibri" w:hAnsi="Calibri"/>
        </w:rPr>
      </w:pPr>
      <w:r>
        <w:rPr>
          <w:rFonts w:ascii="Calibri" w:eastAsia="Calibri" w:hAnsi="Calibri"/>
        </w:rPr>
        <w:t>Również tutaj znajduje się duża liczba budynków komunalnych – co drugi budynek należy do miasta i liczne są potrzeby remontowe.</w:t>
      </w:r>
    </w:p>
    <w:p w:rsidR="007956B3" w:rsidRDefault="007956B3" w:rsidP="00522CE9">
      <w:pPr>
        <w:jc w:val="both"/>
        <w:rPr>
          <w:rFonts w:ascii="Calibri" w:eastAsia="Calibri" w:hAnsi="Calibri"/>
        </w:rPr>
      </w:pPr>
      <w:r>
        <w:rPr>
          <w:rFonts w:ascii="Calibri" w:eastAsia="Calibri" w:hAnsi="Calibri"/>
        </w:rPr>
        <w:t xml:space="preserve">Atutem jest Park Miejski im. F. Kachla, który co prawda nie znajduje </w:t>
      </w:r>
      <w:r w:rsidR="00DE0F46">
        <w:rPr>
          <w:rFonts w:ascii="Calibri" w:eastAsia="Calibri" w:hAnsi="Calibri"/>
        </w:rPr>
        <w:t xml:space="preserve">się </w:t>
      </w:r>
      <w:r>
        <w:rPr>
          <w:rFonts w:ascii="Calibri" w:eastAsia="Calibri" w:hAnsi="Calibri"/>
        </w:rPr>
        <w:t xml:space="preserve">w podobszarze, ale ciągnie się wzdłuż jego zachodniej granicy, umożliwiając mieszkańcom Śródmieścia </w:t>
      </w:r>
      <w:r w:rsidR="00191A39">
        <w:rPr>
          <w:rFonts w:ascii="Calibri" w:eastAsia="Calibri" w:hAnsi="Calibri"/>
        </w:rPr>
        <w:t>Zachód</w:t>
      </w:r>
      <w:r>
        <w:rPr>
          <w:rFonts w:ascii="Calibri" w:eastAsia="Calibri" w:hAnsi="Calibri"/>
        </w:rPr>
        <w:t xml:space="preserve"> korzystanie z tego dużego kompleksu zieleni. </w:t>
      </w:r>
    </w:p>
    <w:p w:rsidR="007956B3" w:rsidRDefault="007956B3" w:rsidP="00522CE9">
      <w:pPr>
        <w:jc w:val="both"/>
        <w:rPr>
          <w:rFonts w:ascii="Calibri" w:hAnsi="Calibri"/>
        </w:rPr>
      </w:pPr>
    </w:p>
    <w:p w:rsidR="008C3CDF" w:rsidRDefault="008C3CDF" w:rsidP="00522CE9">
      <w:pPr>
        <w:jc w:val="both"/>
        <w:rPr>
          <w:rFonts w:ascii="Calibri" w:hAnsi="Calibri"/>
        </w:rPr>
      </w:pPr>
    </w:p>
    <w:p w:rsidR="008C3CDF" w:rsidRDefault="008C3CDF" w:rsidP="00522CE9">
      <w:pPr>
        <w:jc w:val="both"/>
        <w:rPr>
          <w:rFonts w:ascii="Calibri" w:hAnsi="Calibri"/>
        </w:rPr>
      </w:pPr>
    </w:p>
    <w:p w:rsidR="007956B3" w:rsidRPr="00AD5A69" w:rsidRDefault="007956B3" w:rsidP="00522CE9">
      <w:pPr>
        <w:jc w:val="both"/>
        <w:rPr>
          <w:rFonts w:ascii="Calibri" w:hAnsi="Calibri"/>
          <w:b/>
          <w:sz w:val="22"/>
        </w:rPr>
      </w:pPr>
      <w:r w:rsidRPr="00AD5A69">
        <w:rPr>
          <w:rFonts w:ascii="Calibri" w:hAnsi="Calibri"/>
          <w:b/>
          <w:sz w:val="22"/>
        </w:rPr>
        <w:lastRenderedPageBreak/>
        <w:t>Śródmieście Północ (podobszar rewitalizacji 13)</w:t>
      </w:r>
    </w:p>
    <w:p w:rsidR="00E06F5B" w:rsidRPr="00E06F5B" w:rsidRDefault="007956B3" w:rsidP="00E06F5B">
      <w:pPr>
        <w:jc w:val="both"/>
      </w:pPr>
      <w:r>
        <w:rPr>
          <w:rFonts w:ascii="Calibri" w:hAnsi="Calibri"/>
        </w:rPr>
        <w:t>Podobszar rewitalizacji Śródmieście Północ ma powierzchnię 76 ha i jest zamieszkały przez 11 600 osób (7,31% ludności Bytomia).</w:t>
      </w:r>
      <w:r w:rsidR="00D3725C">
        <w:rPr>
          <w:rFonts w:ascii="Calibri" w:hAnsi="Calibri"/>
        </w:rPr>
        <w:t xml:space="preserve"> </w:t>
      </w:r>
      <w:r w:rsidR="00E06F5B">
        <w:t xml:space="preserve">Obszar północnego Śródmieścia nierozerwalnie związany jest ze ścisłym centrum miasta zarówno komunikacyjnie, jak i przestrzennie. W części północnej tego podobszaru znajduje się kilkanaście budynków jednorodzinnych o konstrukcji drewnianej typu ,,fińskiego’’ powstałych w okresie powojennym. Przestrzenie publiczne charakterystyczne dla tego obszaru to place m.in. plac Słowiański czy też plac Akademicki. </w:t>
      </w:r>
    </w:p>
    <w:p w:rsidR="007956B3" w:rsidRDefault="007956B3" w:rsidP="00522CE9">
      <w:pPr>
        <w:jc w:val="both"/>
        <w:rPr>
          <w:rFonts w:ascii="Calibri" w:eastAsia="Calibri" w:hAnsi="Calibri"/>
        </w:rPr>
      </w:pPr>
      <w:r>
        <w:rPr>
          <w:rFonts w:ascii="Calibri" w:eastAsia="Calibri" w:hAnsi="Calibri"/>
        </w:rPr>
        <w:t xml:space="preserve">Występuje tu wiele problemów społecznych, ale zwykle wskaźniki dla całego podobszaru nie odbiegają od średniej miasta tak bardzo, jak w przypadku pozostałych podobszarów. Stosunkowo najmniej negatywnych zjawisk występuje na północy podobszaru. </w:t>
      </w:r>
      <w:r w:rsidR="00D3725C">
        <w:rPr>
          <w:rFonts w:ascii="Calibri" w:eastAsia="Calibri" w:hAnsi="Calibri"/>
        </w:rPr>
        <w:t xml:space="preserve"> </w:t>
      </w:r>
      <w:r>
        <w:rPr>
          <w:rFonts w:ascii="Calibri" w:eastAsia="Calibri" w:hAnsi="Calibri"/>
        </w:rPr>
        <w:t>Na całym podobszarze występuje nadreprezentacja osób w wieku poprodukcyjnym, a odsetek osób powyżej 75 roku życia jest największy spośród wszystkich podobszarów.</w:t>
      </w:r>
    </w:p>
    <w:p w:rsidR="007956B3" w:rsidRDefault="007956B3" w:rsidP="00522CE9">
      <w:pPr>
        <w:jc w:val="both"/>
        <w:rPr>
          <w:rFonts w:ascii="Calibri" w:eastAsia="Calibri" w:hAnsi="Calibri"/>
        </w:rPr>
      </w:pPr>
      <w:r>
        <w:rPr>
          <w:rFonts w:ascii="Calibri" w:eastAsia="Calibri" w:hAnsi="Calibri"/>
        </w:rPr>
        <w:t>Poważnym problemem jest uzależnienie od alkoholu. Koncentracja zjawiska występuje w  kwartałach skupionych w środkowej części podobszaru. W tym samym rejonie obserwujemy nasilenie czynów karalnych osób nieletnich. Organizacji pozarządowych nie jest dużo, ale te, które działają, mają siedzibę właśnie w</w:t>
      </w:r>
      <w:r w:rsidR="00801A68">
        <w:rPr>
          <w:rFonts w:ascii="Calibri" w:eastAsia="Calibri" w:hAnsi="Calibri"/>
        </w:rPr>
        <w:t> </w:t>
      </w:r>
      <w:r>
        <w:rPr>
          <w:rFonts w:ascii="Calibri" w:eastAsia="Calibri" w:hAnsi="Calibri"/>
        </w:rPr>
        <w:t>centralnej części podobszaru, co daje możliwość adekwatnego oddziaływania na główne problemy lokalne.</w:t>
      </w:r>
    </w:p>
    <w:p w:rsidR="007956B3" w:rsidRDefault="007956B3" w:rsidP="00522CE9">
      <w:pPr>
        <w:jc w:val="both"/>
        <w:rPr>
          <w:rFonts w:ascii="Calibri" w:eastAsia="Calibri" w:hAnsi="Calibri"/>
        </w:rPr>
      </w:pPr>
      <w:r>
        <w:rPr>
          <w:rFonts w:ascii="Calibri" w:eastAsia="Calibri" w:hAnsi="Calibri"/>
        </w:rPr>
        <w:t xml:space="preserve">Ubóstwo w środkowej i południowej części </w:t>
      </w:r>
      <w:r w:rsidR="00191A39">
        <w:rPr>
          <w:rFonts w:ascii="Calibri" w:eastAsia="Calibri" w:hAnsi="Calibri"/>
        </w:rPr>
        <w:t>zaznacza się znacznie silniej niż w części północnej podobszaru.</w:t>
      </w:r>
      <w:r>
        <w:rPr>
          <w:rFonts w:ascii="Calibri" w:eastAsia="Calibri" w:hAnsi="Calibri"/>
        </w:rPr>
        <w:t xml:space="preserve"> Odsetek osób otrzymujących zasiłki stałe, celowe i okresowe wyraźnie przekracza tu średnią miasta. W taki sam sposób rozkłada się problem bezrobocia, niepełnosprawności, ubóstwa i przemocy w</w:t>
      </w:r>
      <w:r w:rsidR="00801A68">
        <w:rPr>
          <w:rFonts w:ascii="Calibri" w:eastAsia="Calibri" w:hAnsi="Calibri"/>
        </w:rPr>
        <w:t> </w:t>
      </w:r>
      <w:r>
        <w:rPr>
          <w:rFonts w:ascii="Calibri" w:eastAsia="Calibri" w:hAnsi="Calibri"/>
        </w:rPr>
        <w:t>rodzinie.</w:t>
      </w:r>
      <w:r w:rsidR="00D3725C">
        <w:rPr>
          <w:rFonts w:ascii="Calibri" w:eastAsia="Calibri" w:hAnsi="Calibri"/>
        </w:rPr>
        <w:t xml:space="preserve"> </w:t>
      </w:r>
      <w:r>
        <w:rPr>
          <w:rFonts w:ascii="Calibri" w:eastAsia="Calibri" w:hAnsi="Calibri"/>
        </w:rPr>
        <w:t>Również tutaj znajduje się duża liczba budynków komunalnych. Połowa budynków to budynki komunalne, charakteryzujące się wysokimi potrzebami remontowymi.</w:t>
      </w:r>
    </w:p>
    <w:p w:rsidR="000628EF" w:rsidRPr="00C83FEF" w:rsidRDefault="00523B5C" w:rsidP="000628EF">
      <w:pPr>
        <w:ind w:firstLine="708"/>
        <w:jc w:val="both"/>
        <w:rPr>
          <w:rFonts w:eastAsia="Calibri"/>
          <w:szCs w:val="20"/>
        </w:rPr>
      </w:pPr>
      <w:r w:rsidRPr="006A06A2">
        <w:rPr>
          <w:rFonts w:eastAsia="Calibri"/>
          <w:szCs w:val="20"/>
        </w:rPr>
        <w:t>W tabeli 2</w:t>
      </w:r>
      <w:r w:rsidR="00D3725C" w:rsidRPr="006A06A2">
        <w:rPr>
          <w:rFonts w:eastAsia="Calibri"/>
          <w:szCs w:val="20"/>
        </w:rPr>
        <w:t>5</w:t>
      </w:r>
      <w:r w:rsidR="000628EF" w:rsidRPr="006A06A2">
        <w:rPr>
          <w:rFonts w:eastAsia="Calibri"/>
          <w:szCs w:val="20"/>
        </w:rPr>
        <w:t xml:space="preserve"> zebrano</w:t>
      </w:r>
      <w:r w:rsidR="000628EF" w:rsidRPr="00C83FEF">
        <w:rPr>
          <w:rFonts w:eastAsia="Calibri"/>
          <w:szCs w:val="20"/>
        </w:rPr>
        <w:t xml:space="preserve"> najważniejsze informacje o poszczególnych podobszarach rewitalizacji, aby mogły służyć programowaniu działań w</w:t>
      </w:r>
      <w:r w:rsidR="000628EF">
        <w:rPr>
          <w:rFonts w:eastAsia="Calibri"/>
          <w:szCs w:val="20"/>
        </w:rPr>
        <w:t> </w:t>
      </w:r>
      <w:r w:rsidR="000628EF" w:rsidRPr="00C83FEF">
        <w:rPr>
          <w:rFonts w:eastAsia="Calibri"/>
          <w:szCs w:val="20"/>
        </w:rPr>
        <w:t>sferze społecznej.</w:t>
      </w:r>
      <w:r w:rsidR="000628EF">
        <w:rPr>
          <w:rFonts w:eastAsia="Calibri"/>
          <w:szCs w:val="20"/>
        </w:rPr>
        <w:t xml:space="preserve">  </w:t>
      </w:r>
    </w:p>
    <w:p w:rsidR="00A649A2" w:rsidRDefault="00A649A2" w:rsidP="00522CE9">
      <w:pPr>
        <w:jc w:val="both"/>
        <w:rPr>
          <w:rFonts w:ascii="Calibri" w:eastAsia="Calibri" w:hAnsi="Calibri"/>
        </w:rPr>
      </w:pPr>
    </w:p>
    <w:p w:rsidR="008A2D26" w:rsidRDefault="008A2D26" w:rsidP="00522CE9">
      <w:pPr>
        <w:jc w:val="both"/>
        <w:rPr>
          <w:rFonts w:ascii="Calibri" w:eastAsia="Calibri" w:hAnsi="Calibri"/>
        </w:rPr>
      </w:pPr>
    </w:p>
    <w:p w:rsidR="008A2D26" w:rsidRDefault="008A2D26" w:rsidP="00522CE9">
      <w:pPr>
        <w:jc w:val="both"/>
        <w:rPr>
          <w:rFonts w:ascii="Calibri" w:eastAsia="Calibri" w:hAnsi="Calibri"/>
        </w:rPr>
      </w:pPr>
    </w:p>
    <w:p w:rsidR="008A2D26" w:rsidRDefault="008A2D26" w:rsidP="00522CE9">
      <w:pPr>
        <w:jc w:val="both"/>
        <w:rPr>
          <w:rFonts w:ascii="Calibri" w:eastAsia="Calibri" w:hAnsi="Calibri"/>
        </w:rPr>
      </w:pPr>
    </w:p>
    <w:p w:rsidR="008A2D26" w:rsidRDefault="008A2D26" w:rsidP="00522CE9">
      <w:pPr>
        <w:jc w:val="both"/>
        <w:rPr>
          <w:rFonts w:ascii="Calibri" w:eastAsia="Calibri" w:hAnsi="Calibri"/>
        </w:rPr>
      </w:pPr>
    </w:p>
    <w:p w:rsidR="008A2D26" w:rsidRDefault="008A2D26" w:rsidP="00522CE9">
      <w:pPr>
        <w:jc w:val="both"/>
        <w:rPr>
          <w:rFonts w:ascii="Calibri" w:eastAsia="Calibri" w:hAnsi="Calibri"/>
        </w:rPr>
      </w:pPr>
    </w:p>
    <w:p w:rsidR="008A2D26" w:rsidRDefault="008A2D26" w:rsidP="00522CE9">
      <w:pPr>
        <w:jc w:val="both"/>
        <w:rPr>
          <w:rFonts w:ascii="Calibri" w:eastAsia="Calibri" w:hAnsi="Calibri"/>
        </w:rPr>
      </w:pPr>
    </w:p>
    <w:p w:rsidR="008A2D26" w:rsidRDefault="008A2D26" w:rsidP="00522CE9">
      <w:pPr>
        <w:jc w:val="both"/>
        <w:rPr>
          <w:rFonts w:ascii="Calibri" w:eastAsia="Calibri" w:hAnsi="Calibri"/>
        </w:rPr>
        <w:sectPr w:rsidR="008A2D26" w:rsidSect="0055039E">
          <w:footerReference w:type="default" r:id="rId89"/>
          <w:pgSz w:w="11906" w:h="16838"/>
          <w:pgMar w:top="1418" w:right="1418" w:bottom="1418" w:left="1418" w:header="708" w:footer="708" w:gutter="0"/>
          <w:cols w:space="708"/>
          <w:docGrid w:linePitch="600" w:charSpace="32768"/>
        </w:sectPr>
      </w:pPr>
    </w:p>
    <w:p w:rsidR="008A2D26" w:rsidRPr="00EA2059" w:rsidRDefault="008A2D26" w:rsidP="008A2D26">
      <w:pPr>
        <w:pStyle w:val="Legenda"/>
        <w:spacing w:line="312" w:lineRule="auto"/>
      </w:pPr>
      <w:bookmarkStart w:id="7831" w:name="_Toc202771118"/>
      <w:r w:rsidRPr="00EA2059">
        <w:lastRenderedPageBreak/>
        <w:t xml:space="preserve">Tabela </w:t>
      </w:r>
      <w:fldSimple w:instr=" SEQ Tabela \* ARABIC ">
        <w:r w:rsidR="00413FFE">
          <w:rPr>
            <w:noProof/>
          </w:rPr>
          <w:t>24</w:t>
        </w:r>
      </w:fldSimple>
      <w:r w:rsidRPr="00EA2059">
        <w:t xml:space="preserve">. Podsumowanie diagnozy w podobszarach </w:t>
      </w:r>
      <w:r w:rsidR="00124700">
        <w:t>rewitalizacji Bytomia</w:t>
      </w:r>
      <w:r w:rsidR="00C73966">
        <w:t>,</w:t>
      </w:r>
      <w:r w:rsidR="00124700">
        <w:t xml:space="preserve"> </w:t>
      </w:r>
      <w:r w:rsidRPr="00EA2059">
        <w:t>w sferze społecznej</w:t>
      </w:r>
      <w:bookmarkEnd w:id="7831"/>
      <w:r w:rsidRPr="00EA2059">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95"/>
      </w:tblGrid>
      <w:tr w:rsidR="008A2D26" w:rsidRPr="00EA2059" w:rsidTr="00051FBC">
        <w:trPr>
          <w:jc w:val="center"/>
        </w:trPr>
        <w:tc>
          <w:tcPr>
            <w:tcW w:w="5495" w:type="dxa"/>
            <w:shd w:val="clear" w:color="auto" w:fill="92D050"/>
          </w:tcPr>
          <w:p w:rsidR="008A2D26" w:rsidRPr="009E13BE" w:rsidRDefault="008A2D26" w:rsidP="00051FBC">
            <w:pPr>
              <w:spacing w:line="264" w:lineRule="auto"/>
              <w:rPr>
                <w:rFonts w:ascii="Calibri" w:eastAsia="Calibri" w:hAnsi="Calibri" w:cstheme="minorBidi"/>
                <w:b/>
                <w:szCs w:val="20"/>
                <w:lang w:eastAsia="en-US"/>
              </w:rPr>
            </w:pPr>
            <w:r w:rsidRPr="009E13BE">
              <w:rPr>
                <w:rFonts w:ascii="Calibri" w:eastAsia="Calibri" w:hAnsi="Calibri" w:cstheme="minorBidi"/>
                <w:b/>
                <w:szCs w:val="20"/>
                <w:lang w:eastAsia="en-US"/>
              </w:rPr>
              <w:t>SYTUACJA LEPSZA NIŻ PRZECIĘTNIE W MIEŚCIE</w:t>
            </w:r>
          </w:p>
        </w:tc>
      </w:tr>
      <w:tr w:rsidR="008A2D26" w:rsidRPr="00EA2059" w:rsidTr="00051FBC">
        <w:trPr>
          <w:jc w:val="center"/>
        </w:trPr>
        <w:tc>
          <w:tcPr>
            <w:tcW w:w="5495" w:type="dxa"/>
            <w:tcBorders>
              <w:bottom w:val="single" w:sz="4" w:space="0" w:color="auto"/>
            </w:tcBorders>
          </w:tcPr>
          <w:p w:rsidR="008A2D26" w:rsidRPr="009E13BE" w:rsidRDefault="008A2D26" w:rsidP="00051FBC">
            <w:pPr>
              <w:spacing w:line="264" w:lineRule="auto"/>
              <w:rPr>
                <w:rFonts w:ascii="Calibri" w:eastAsia="Calibri" w:hAnsi="Calibri" w:cstheme="minorBidi"/>
                <w:b/>
                <w:szCs w:val="20"/>
                <w:lang w:eastAsia="en-US"/>
              </w:rPr>
            </w:pPr>
            <w:r w:rsidRPr="009E13BE">
              <w:rPr>
                <w:rFonts w:ascii="Calibri" w:eastAsia="Calibri" w:hAnsi="Calibri" w:cstheme="minorBidi"/>
                <w:b/>
                <w:szCs w:val="20"/>
                <w:lang w:eastAsia="en-US"/>
              </w:rPr>
              <w:t>BLISKO PRZECIĘTNEJ</w:t>
            </w:r>
          </w:p>
        </w:tc>
      </w:tr>
      <w:tr w:rsidR="008A2D26" w:rsidRPr="00EA2059" w:rsidTr="00051FBC">
        <w:trPr>
          <w:jc w:val="center"/>
        </w:trPr>
        <w:tc>
          <w:tcPr>
            <w:tcW w:w="5495" w:type="dxa"/>
            <w:tcBorders>
              <w:bottom w:val="single" w:sz="4" w:space="0" w:color="auto"/>
            </w:tcBorders>
            <w:shd w:val="clear" w:color="auto" w:fill="FABF8F" w:themeFill="accent6" w:themeFillTint="99"/>
          </w:tcPr>
          <w:p w:rsidR="008A2D26" w:rsidRPr="009E13BE" w:rsidRDefault="008A2D26" w:rsidP="00051FBC">
            <w:pPr>
              <w:spacing w:line="264" w:lineRule="auto"/>
              <w:rPr>
                <w:rFonts w:ascii="Calibri" w:eastAsia="Calibri" w:hAnsi="Calibri" w:cstheme="minorBidi"/>
                <w:b/>
                <w:szCs w:val="20"/>
                <w:lang w:eastAsia="en-US"/>
              </w:rPr>
            </w:pPr>
            <w:r w:rsidRPr="009E13BE">
              <w:rPr>
                <w:rFonts w:ascii="Calibri" w:eastAsia="Calibri" w:hAnsi="Calibri" w:cstheme="minorBidi"/>
                <w:b/>
                <w:szCs w:val="20"/>
                <w:lang w:eastAsia="en-US"/>
              </w:rPr>
              <w:t>SYTUACJA GORSZA NIŻ ŚREDNIO W MIEŚCIE</w:t>
            </w:r>
          </w:p>
        </w:tc>
      </w:tr>
      <w:tr w:rsidR="008A2D26" w:rsidRPr="00EA2059" w:rsidTr="00051FBC">
        <w:trPr>
          <w:jc w:val="center"/>
        </w:trPr>
        <w:tc>
          <w:tcPr>
            <w:tcW w:w="5495" w:type="dxa"/>
            <w:tcBorders>
              <w:bottom w:val="single" w:sz="4" w:space="0" w:color="auto"/>
            </w:tcBorders>
            <w:shd w:val="clear" w:color="auto" w:fill="E36C0A" w:themeFill="accent6" w:themeFillShade="BF"/>
          </w:tcPr>
          <w:p w:rsidR="008A2D26" w:rsidRPr="009E13BE" w:rsidRDefault="008A2D26" w:rsidP="00051FBC">
            <w:pPr>
              <w:spacing w:line="264" w:lineRule="auto"/>
              <w:rPr>
                <w:rFonts w:ascii="Calibri" w:eastAsia="Calibri" w:hAnsi="Calibri" w:cstheme="minorBidi"/>
                <w:b/>
                <w:szCs w:val="20"/>
                <w:lang w:eastAsia="en-US"/>
              </w:rPr>
            </w:pPr>
            <w:r w:rsidRPr="009E13BE">
              <w:rPr>
                <w:rFonts w:ascii="Calibri" w:eastAsia="Calibri" w:hAnsi="Calibri" w:cstheme="minorBidi"/>
                <w:b/>
                <w:szCs w:val="20"/>
                <w:lang w:eastAsia="en-US"/>
              </w:rPr>
              <w:t>SYTUACJA ZNACZNIE GORSZA NIŻ ŚREDNIO W MIEŚCIE</w:t>
            </w:r>
          </w:p>
        </w:tc>
      </w:tr>
      <w:tr w:rsidR="008A2D26" w:rsidRPr="00EA2059" w:rsidTr="00051FBC">
        <w:trPr>
          <w:jc w:val="center"/>
        </w:trPr>
        <w:tc>
          <w:tcPr>
            <w:tcW w:w="5495" w:type="dxa"/>
            <w:tcBorders>
              <w:bottom w:val="single" w:sz="4" w:space="0" w:color="auto"/>
            </w:tcBorders>
            <w:shd w:val="clear" w:color="auto" w:fill="984806" w:themeFill="accent6" w:themeFillShade="80"/>
          </w:tcPr>
          <w:p w:rsidR="008A2D26" w:rsidRPr="009E13BE" w:rsidRDefault="008A2D26" w:rsidP="00051FBC">
            <w:pPr>
              <w:spacing w:line="264" w:lineRule="auto"/>
              <w:rPr>
                <w:rFonts w:ascii="Calibri" w:eastAsia="Calibri" w:hAnsi="Calibri" w:cstheme="minorBidi"/>
                <w:b/>
                <w:szCs w:val="20"/>
                <w:lang w:eastAsia="en-US"/>
              </w:rPr>
            </w:pPr>
            <w:r w:rsidRPr="009E13BE">
              <w:rPr>
                <w:rFonts w:ascii="Calibri" w:eastAsia="Calibri" w:hAnsi="Calibri" w:cstheme="minorBidi"/>
                <w:b/>
                <w:szCs w:val="20"/>
                <w:lang w:eastAsia="en-US"/>
              </w:rPr>
              <w:t>SYTUACJA WYBITNIE NIEKORZYSTNA</w:t>
            </w:r>
          </w:p>
        </w:tc>
      </w:tr>
    </w:tbl>
    <w:p w:rsidR="008A2D26" w:rsidRPr="00082724" w:rsidRDefault="008A2D26" w:rsidP="008A2D26">
      <w:pPr>
        <w:spacing w:line="264" w:lineRule="auto"/>
        <w:rPr>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74"/>
        <w:gridCol w:w="2084"/>
        <w:gridCol w:w="2070"/>
        <w:gridCol w:w="2050"/>
        <w:gridCol w:w="1962"/>
        <w:gridCol w:w="1996"/>
        <w:gridCol w:w="2082"/>
      </w:tblGrid>
      <w:tr w:rsidR="008A2D26" w:rsidRPr="00D24D08" w:rsidTr="00051FBC">
        <w:trPr>
          <w:tblHeader/>
        </w:trPr>
        <w:tc>
          <w:tcPr>
            <w:tcW w:w="694" w:type="pct"/>
            <w:tcBorders>
              <w:bottom w:val="single" w:sz="4" w:space="0" w:color="auto"/>
            </w:tcBorders>
            <w:shd w:val="clear" w:color="auto" w:fill="99CCFF"/>
            <w:vAlign w:val="center"/>
          </w:tcPr>
          <w:p w:rsidR="008A2D26" w:rsidRPr="009E13BE" w:rsidRDefault="008A2D26" w:rsidP="0081003B">
            <w:pPr>
              <w:spacing w:before="20" w:after="20"/>
              <w:jc w:val="center"/>
              <w:rPr>
                <w:rFonts w:ascii="Calibri" w:eastAsia="Calibri" w:hAnsi="Calibri" w:cstheme="minorBidi"/>
                <w:b/>
                <w:smallCaps/>
                <w:szCs w:val="16"/>
                <w:lang w:eastAsia="en-US"/>
              </w:rPr>
            </w:pPr>
            <w:r w:rsidRPr="009E13BE">
              <w:rPr>
                <w:rFonts w:ascii="Calibri" w:eastAsia="Calibri" w:hAnsi="Calibri" w:cstheme="minorBidi"/>
                <w:b/>
                <w:smallCaps/>
                <w:szCs w:val="16"/>
                <w:lang w:eastAsia="en-US"/>
              </w:rPr>
              <w:t>WYSZCZEGÓLNIENIE</w:t>
            </w:r>
          </w:p>
        </w:tc>
        <w:tc>
          <w:tcPr>
            <w:tcW w:w="733" w:type="pct"/>
            <w:tcBorders>
              <w:bottom w:val="single" w:sz="4" w:space="0" w:color="auto"/>
            </w:tcBorders>
            <w:shd w:val="clear" w:color="auto" w:fill="99CCFF"/>
            <w:vAlign w:val="center"/>
          </w:tcPr>
          <w:p w:rsidR="008A2D26" w:rsidRPr="009E13BE" w:rsidRDefault="008A2D26" w:rsidP="0081003B">
            <w:pPr>
              <w:spacing w:before="20" w:after="20"/>
              <w:jc w:val="center"/>
              <w:rPr>
                <w:rFonts w:ascii="Calibri" w:eastAsia="Calibri" w:hAnsi="Calibri" w:cstheme="minorBidi"/>
                <w:b/>
                <w:szCs w:val="16"/>
                <w:lang w:eastAsia="en-US"/>
              </w:rPr>
            </w:pPr>
            <w:r w:rsidRPr="009E13BE">
              <w:rPr>
                <w:rFonts w:ascii="Calibri" w:eastAsia="Calibri" w:hAnsi="Calibri" w:cstheme="minorBidi"/>
                <w:b/>
                <w:szCs w:val="16"/>
                <w:lang w:eastAsia="en-US"/>
              </w:rPr>
              <w:t>BOBREK</w:t>
            </w:r>
          </w:p>
        </w:tc>
        <w:tc>
          <w:tcPr>
            <w:tcW w:w="728" w:type="pct"/>
            <w:tcBorders>
              <w:bottom w:val="single" w:sz="4" w:space="0" w:color="auto"/>
            </w:tcBorders>
            <w:shd w:val="clear" w:color="auto" w:fill="99CCFF"/>
            <w:vAlign w:val="center"/>
          </w:tcPr>
          <w:p w:rsidR="008A2D26" w:rsidRPr="009E13BE" w:rsidRDefault="008A2D26" w:rsidP="0081003B">
            <w:pPr>
              <w:spacing w:before="20" w:after="20"/>
              <w:jc w:val="center"/>
              <w:rPr>
                <w:rFonts w:ascii="Calibri" w:eastAsia="Calibri" w:hAnsi="Calibri" w:cstheme="minorBidi"/>
                <w:b/>
                <w:szCs w:val="16"/>
                <w:lang w:eastAsia="en-US"/>
              </w:rPr>
            </w:pPr>
            <w:r w:rsidRPr="009E13BE">
              <w:rPr>
                <w:rFonts w:ascii="Calibri" w:eastAsia="Calibri" w:hAnsi="Calibri" w:cstheme="minorBidi"/>
                <w:b/>
                <w:szCs w:val="16"/>
                <w:lang w:eastAsia="en-US"/>
              </w:rPr>
              <w:t>ROZBARK</w:t>
            </w:r>
          </w:p>
        </w:tc>
        <w:tc>
          <w:tcPr>
            <w:tcW w:w="721" w:type="pct"/>
            <w:tcBorders>
              <w:bottom w:val="single" w:sz="4" w:space="0" w:color="auto"/>
            </w:tcBorders>
            <w:shd w:val="clear" w:color="auto" w:fill="99CCFF"/>
            <w:vAlign w:val="center"/>
          </w:tcPr>
          <w:p w:rsidR="008A2D26" w:rsidRPr="009E13BE" w:rsidRDefault="008A2D26" w:rsidP="0081003B">
            <w:pPr>
              <w:spacing w:before="20" w:after="20"/>
              <w:jc w:val="center"/>
              <w:rPr>
                <w:rFonts w:ascii="Calibri" w:eastAsia="Calibri" w:hAnsi="Calibri" w:cstheme="minorBidi"/>
                <w:b/>
                <w:szCs w:val="16"/>
                <w:lang w:eastAsia="en-US"/>
              </w:rPr>
            </w:pPr>
            <w:r w:rsidRPr="009E13BE">
              <w:rPr>
                <w:rFonts w:ascii="Calibri" w:eastAsia="Calibri" w:hAnsi="Calibri" w:cstheme="minorBidi"/>
                <w:b/>
                <w:szCs w:val="16"/>
                <w:lang w:eastAsia="en-US"/>
              </w:rPr>
              <w:t>ŚRÓDMIEŚCIE</w:t>
            </w:r>
          </w:p>
        </w:tc>
        <w:tc>
          <w:tcPr>
            <w:tcW w:w="690" w:type="pct"/>
            <w:tcBorders>
              <w:bottom w:val="single" w:sz="4" w:space="0" w:color="auto"/>
            </w:tcBorders>
            <w:shd w:val="clear" w:color="auto" w:fill="99CCFF"/>
            <w:vAlign w:val="center"/>
          </w:tcPr>
          <w:p w:rsidR="008A2D26" w:rsidRPr="009E13BE" w:rsidRDefault="008A2D26" w:rsidP="0081003B">
            <w:pPr>
              <w:spacing w:before="20" w:after="20"/>
              <w:jc w:val="center"/>
              <w:rPr>
                <w:rFonts w:ascii="Calibri" w:eastAsia="Calibri" w:hAnsi="Calibri" w:cstheme="minorBidi"/>
                <w:b/>
                <w:szCs w:val="16"/>
                <w:lang w:eastAsia="en-US"/>
              </w:rPr>
            </w:pPr>
            <w:r w:rsidRPr="009E13BE">
              <w:rPr>
                <w:rFonts w:ascii="Calibri" w:eastAsia="Calibri" w:hAnsi="Calibri" w:cstheme="minorBidi"/>
                <w:b/>
                <w:szCs w:val="16"/>
                <w:lang w:eastAsia="en-US"/>
              </w:rPr>
              <w:t>ŚRÓDMIEŚCIE ZACHÓD</w:t>
            </w:r>
          </w:p>
        </w:tc>
        <w:tc>
          <w:tcPr>
            <w:tcW w:w="702" w:type="pct"/>
            <w:tcBorders>
              <w:bottom w:val="single" w:sz="4" w:space="0" w:color="auto"/>
            </w:tcBorders>
            <w:shd w:val="clear" w:color="auto" w:fill="99CCFF"/>
            <w:vAlign w:val="center"/>
          </w:tcPr>
          <w:p w:rsidR="008A2D26" w:rsidRPr="009E13BE" w:rsidRDefault="008A2D26" w:rsidP="0081003B">
            <w:pPr>
              <w:spacing w:before="20" w:after="20"/>
              <w:jc w:val="center"/>
              <w:rPr>
                <w:rFonts w:ascii="Calibri" w:eastAsia="Calibri" w:hAnsi="Calibri" w:cstheme="minorBidi"/>
                <w:b/>
                <w:szCs w:val="16"/>
                <w:lang w:eastAsia="en-US"/>
              </w:rPr>
            </w:pPr>
            <w:r w:rsidRPr="009E13BE">
              <w:rPr>
                <w:rFonts w:ascii="Calibri" w:eastAsia="Calibri" w:hAnsi="Calibri" w:cstheme="minorBidi"/>
                <w:b/>
                <w:szCs w:val="16"/>
                <w:lang w:eastAsia="en-US"/>
              </w:rPr>
              <w:t>ŚRÓDMIEŚCIE PÓŁNOC</w:t>
            </w:r>
          </w:p>
        </w:tc>
        <w:tc>
          <w:tcPr>
            <w:tcW w:w="733" w:type="pct"/>
            <w:tcBorders>
              <w:bottom w:val="single" w:sz="4" w:space="0" w:color="auto"/>
            </w:tcBorders>
            <w:shd w:val="clear" w:color="auto" w:fill="99CCFF"/>
            <w:vAlign w:val="center"/>
          </w:tcPr>
          <w:p w:rsidR="008A2D26" w:rsidRPr="009E13BE" w:rsidRDefault="007756DA" w:rsidP="0081003B">
            <w:pPr>
              <w:spacing w:before="20" w:after="20"/>
              <w:jc w:val="center"/>
              <w:rPr>
                <w:rFonts w:ascii="Calibri" w:eastAsia="Calibri" w:hAnsi="Calibri" w:cstheme="minorBidi"/>
                <w:b/>
                <w:szCs w:val="16"/>
                <w:lang w:eastAsia="en-US"/>
              </w:rPr>
            </w:pPr>
            <w:r>
              <w:rPr>
                <w:rFonts w:ascii="Calibri" w:eastAsia="Calibri" w:hAnsi="Calibri" w:cstheme="minorBidi"/>
                <w:b/>
                <w:szCs w:val="16"/>
                <w:lang w:eastAsia="en-US"/>
              </w:rPr>
              <w:t>KOLONIA</w:t>
            </w:r>
            <w:r w:rsidR="008A2D26" w:rsidRPr="009E13BE">
              <w:rPr>
                <w:rFonts w:ascii="Calibri" w:eastAsia="Calibri" w:hAnsi="Calibri" w:cstheme="minorBidi"/>
                <w:b/>
                <w:szCs w:val="16"/>
                <w:lang w:eastAsia="en-US"/>
              </w:rPr>
              <w:t xml:space="preserve"> ZGORZELEC</w:t>
            </w:r>
          </w:p>
        </w:tc>
      </w:tr>
      <w:tr w:rsidR="008A2D26" w:rsidRPr="00082724" w:rsidTr="00051FBC">
        <w:tc>
          <w:tcPr>
            <w:tcW w:w="694" w:type="pct"/>
            <w:tcBorders>
              <w:bottom w:val="single" w:sz="4" w:space="0" w:color="auto"/>
            </w:tcBorders>
            <w:shd w:val="clear" w:color="auto" w:fill="auto"/>
          </w:tcPr>
          <w:p w:rsidR="008A2D26" w:rsidRPr="009E13BE" w:rsidRDefault="008A2D26" w:rsidP="0081003B">
            <w:pPr>
              <w:rPr>
                <w:rFonts w:ascii="Calibri" w:eastAsia="Calibri" w:hAnsi="Calibri" w:cstheme="minorBidi"/>
                <w:b/>
                <w:smallCaps/>
                <w:szCs w:val="20"/>
                <w:lang w:eastAsia="en-US"/>
              </w:rPr>
            </w:pPr>
          </w:p>
          <w:p w:rsidR="008A2D26" w:rsidRPr="009E13BE" w:rsidRDefault="008A2D26" w:rsidP="0081003B">
            <w:pPr>
              <w:rPr>
                <w:rFonts w:ascii="Calibri" w:eastAsia="Calibri" w:hAnsi="Calibri" w:cstheme="minorBidi"/>
                <w:b/>
                <w:smallCaps/>
                <w:szCs w:val="20"/>
                <w:lang w:eastAsia="en-US"/>
              </w:rPr>
            </w:pPr>
          </w:p>
          <w:p w:rsidR="008A2D26" w:rsidRPr="009E13BE" w:rsidRDefault="008A2D26" w:rsidP="0081003B">
            <w:pPr>
              <w:rPr>
                <w:rFonts w:ascii="Calibri" w:eastAsia="Calibri" w:hAnsi="Calibri" w:cstheme="minorBidi"/>
                <w:b/>
                <w:smallCaps/>
                <w:szCs w:val="20"/>
                <w:lang w:eastAsia="en-US"/>
              </w:rPr>
            </w:pPr>
          </w:p>
          <w:p w:rsidR="008A2D26" w:rsidRPr="009E13BE" w:rsidRDefault="008A2D26" w:rsidP="0081003B">
            <w:pPr>
              <w:rPr>
                <w:rFonts w:ascii="Calibri" w:eastAsia="Calibri" w:hAnsi="Calibri" w:cstheme="minorBidi"/>
                <w:b/>
                <w:smallCaps/>
                <w:szCs w:val="20"/>
                <w:lang w:eastAsia="en-US"/>
              </w:rPr>
            </w:pPr>
          </w:p>
          <w:p w:rsidR="008A2D26" w:rsidRPr="009E13BE" w:rsidRDefault="008A2D26" w:rsidP="0081003B">
            <w:pPr>
              <w:rPr>
                <w:rFonts w:ascii="Calibri" w:eastAsia="Calibri" w:hAnsi="Calibri" w:cstheme="minorBidi"/>
                <w:b/>
                <w:smallCaps/>
                <w:szCs w:val="20"/>
                <w:lang w:eastAsia="en-US"/>
              </w:rPr>
            </w:pPr>
          </w:p>
          <w:p w:rsidR="008A2D26" w:rsidRPr="009E13BE" w:rsidRDefault="008A2D26" w:rsidP="0081003B">
            <w:pPr>
              <w:rPr>
                <w:rFonts w:ascii="Calibri" w:eastAsia="Calibri" w:hAnsi="Calibri" w:cstheme="minorBidi"/>
                <w:b/>
                <w:smallCaps/>
                <w:szCs w:val="20"/>
                <w:lang w:eastAsia="en-US"/>
              </w:rPr>
            </w:pPr>
          </w:p>
          <w:p w:rsidR="008A2D26" w:rsidRPr="009E13BE" w:rsidRDefault="008A2D26" w:rsidP="0081003B">
            <w:pPr>
              <w:rPr>
                <w:rFonts w:ascii="Calibri" w:eastAsia="Calibri" w:hAnsi="Calibri" w:cstheme="minorBidi"/>
                <w:b/>
                <w:smallCaps/>
                <w:szCs w:val="20"/>
                <w:lang w:eastAsia="en-US"/>
              </w:rPr>
            </w:pPr>
          </w:p>
          <w:p w:rsidR="008A2D26" w:rsidRPr="009E13BE" w:rsidRDefault="008A2D26" w:rsidP="0081003B">
            <w:pPr>
              <w:rPr>
                <w:rFonts w:ascii="Calibri" w:eastAsia="Calibri" w:hAnsi="Calibri" w:cstheme="minorBidi"/>
                <w:b/>
                <w:smallCaps/>
                <w:szCs w:val="20"/>
                <w:lang w:eastAsia="en-US"/>
              </w:rPr>
            </w:pPr>
          </w:p>
          <w:p w:rsidR="008A2D26" w:rsidRPr="009E13BE" w:rsidRDefault="008A2D26" w:rsidP="0081003B">
            <w:pPr>
              <w:rPr>
                <w:rFonts w:ascii="Calibri" w:eastAsia="Calibri" w:hAnsi="Calibri" w:cstheme="minorBidi"/>
                <w:b/>
                <w:smallCaps/>
                <w:szCs w:val="20"/>
                <w:lang w:eastAsia="en-US"/>
              </w:rPr>
            </w:pPr>
          </w:p>
          <w:p w:rsidR="008A2D26" w:rsidRPr="009E13BE" w:rsidRDefault="008A2D26" w:rsidP="0081003B">
            <w:pPr>
              <w:rPr>
                <w:rFonts w:ascii="Calibri" w:eastAsia="Calibri" w:hAnsi="Calibri" w:cstheme="minorBidi"/>
                <w:b/>
                <w:smallCaps/>
                <w:szCs w:val="20"/>
                <w:lang w:eastAsia="en-US"/>
              </w:rPr>
            </w:pPr>
          </w:p>
          <w:p w:rsidR="008A2D26" w:rsidRPr="009E13BE" w:rsidRDefault="008A2D26" w:rsidP="0081003B">
            <w:pPr>
              <w:rPr>
                <w:rFonts w:ascii="Calibri" w:eastAsia="Calibri" w:hAnsi="Calibri" w:cstheme="minorBidi"/>
                <w:b/>
                <w:smallCaps/>
                <w:szCs w:val="20"/>
                <w:lang w:eastAsia="en-US"/>
              </w:rPr>
            </w:pPr>
          </w:p>
          <w:p w:rsidR="008A2D26" w:rsidRPr="009E13BE" w:rsidRDefault="008A2D26" w:rsidP="0081003B">
            <w:pPr>
              <w:rPr>
                <w:rFonts w:ascii="Calibri" w:eastAsia="Calibri" w:hAnsi="Calibri" w:cstheme="minorBidi"/>
                <w:b/>
                <w:smallCaps/>
                <w:szCs w:val="20"/>
                <w:lang w:eastAsia="en-US"/>
              </w:rPr>
            </w:pPr>
          </w:p>
          <w:p w:rsidR="008A2D26" w:rsidRPr="00C124BC" w:rsidRDefault="002D3B22" w:rsidP="00C124BC">
            <w:pPr>
              <w:rPr>
                <w:rFonts w:ascii="Calibri" w:eastAsia="Calibri" w:hAnsi="Calibri" w:cstheme="minorBidi"/>
                <w:b/>
                <w:smallCaps/>
                <w:sz w:val="21"/>
                <w:szCs w:val="21"/>
                <w:lang w:eastAsia="en-US"/>
              </w:rPr>
            </w:pPr>
            <w:r w:rsidRPr="002D3B22">
              <w:rPr>
                <w:rFonts w:ascii="Calibri" w:eastAsia="Calibri" w:hAnsi="Calibri" w:cstheme="minorBidi"/>
                <w:b/>
                <w:smallCaps/>
                <w:sz w:val="18"/>
                <w:szCs w:val="21"/>
                <w:lang w:eastAsia="en-US"/>
              </w:rPr>
              <w:t xml:space="preserve">CHARAKTERYSTYKA PODOBSZARU </w:t>
            </w:r>
          </w:p>
        </w:tc>
        <w:tc>
          <w:tcPr>
            <w:tcW w:w="733" w:type="pct"/>
            <w:tcBorders>
              <w:bottom w:val="single" w:sz="4" w:space="0" w:color="auto"/>
            </w:tcBorders>
            <w:shd w:val="clear" w:color="auto" w:fill="auto"/>
          </w:tcPr>
          <w:p w:rsidR="008A2D26" w:rsidRPr="009E13BE" w:rsidRDefault="008A2D26" w:rsidP="00C124BC">
            <w:pPr>
              <w:rPr>
                <w:rFonts w:ascii="Calibri" w:eastAsia="Calibri" w:hAnsi="Calibri" w:cstheme="minorBidi"/>
                <w:szCs w:val="20"/>
                <w:lang w:eastAsia="en-US"/>
              </w:rPr>
            </w:pPr>
            <w:r w:rsidRPr="009E13BE">
              <w:rPr>
                <w:rFonts w:ascii="Calibri" w:eastAsia="Calibri" w:hAnsi="Calibri" w:cstheme="minorBidi"/>
                <w:szCs w:val="20"/>
                <w:lang w:eastAsia="en-US"/>
              </w:rPr>
              <w:t>Niewielki podobszar z</w:t>
            </w:r>
            <w:r w:rsidR="00C124BC">
              <w:rPr>
                <w:rFonts w:ascii="Calibri" w:eastAsia="Calibri" w:hAnsi="Calibri" w:cstheme="minorBidi"/>
                <w:szCs w:val="20"/>
                <w:lang w:eastAsia="en-US"/>
              </w:rPr>
              <w:t> </w:t>
            </w:r>
            <w:r w:rsidRPr="009E13BE">
              <w:rPr>
                <w:rFonts w:ascii="Calibri" w:eastAsia="Calibri" w:hAnsi="Calibri" w:cstheme="minorBidi"/>
                <w:szCs w:val="20"/>
                <w:lang w:eastAsia="en-US"/>
              </w:rPr>
              <w:t>dala od centrum, odrębna dzielnica, silnie związana z</w:t>
            </w:r>
            <w:r w:rsidR="00C124BC">
              <w:rPr>
                <w:rFonts w:ascii="Calibri" w:eastAsia="Calibri" w:hAnsi="Calibri" w:cstheme="minorBidi"/>
                <w:szCs w:val="20"/>
                <w:lang w:eastAsia="en-US"/>
              </w:rPr>
              <w:t> </w:t>
            </w:r>
            <w:r w:rsidRPr="009E13BE">
              <w:rPr>
                <w:rFonts w:ascii="Calibri" w:eastAsia="Calibri" w:hAnsi="Calibri" w:cstheme="minorBidi"/>
                <w:szCs w:val="20"/>
                <w:lang w:eastAsia="en-US"/>
              </w:rPr>
              <w:t>nieczynną już miejscową hutą. Wybitnie złe wskaźniki kluczowych zjawisk społecznych. Skala problemów wymaga regularnego wsparcia ze strony pomocy społecznej, organizacji, parafii. Kapitał społeczny i</w:t>
            </w:r>
            <w:r w:rsidR="00523B5C">
              <w:rPr>
                <w:rFonts w:ascii="Calibri" w:eastAsia="Calibri" w:hAnsi="Calibri" w:cstheme="minorBidi"/>
                <w:szCs w:val="20"/>
                <w:lang w:eastAsia="en-US"/>
              </w:rPr>
              <w:t> </w:t>
            </w:r>
            <w:r w:rsidRPr="009E13BE">
              <w:rPr>
                <w:rFonts w:ascii="Calibri" w:eastAsia="Calibri" w:hAnsi="Calibri" w:cstheme="minorBidi"/>
                <w:szCs w:val="20"/>
                <w:lang w:eastAsia="en-US"/>
              </w:rPr>
              <w:t>zaangażowanie mieszkańców minimalne, najniższe w mieście. Mało osób starszych, duży udział młodzieży w populacji</w:t>
            </w:r>
          </w:p>
        </w:tc>
        <w:tc>
          <w:tcPr>
            <w:tcW w:w="728" w:type="pct"/>
            <w:tcBorders>
              <w:bottom w:val="single" w:sz="4" w:space="0" w:color="auto"/>
            </w:tcBorders>
            <w:shd w:val="clear" w:color="auto" w:fill="auto"/>
          </w:tcPr>
          <w:p w:rsidR="008A2D26" w:rsidRPr="009E13BE" w:rsidRDefault="008A2D26" w:rsidP="00C124BC">
            <w:pPr>
              <w:rPr>
                <w:rFonts w:ascii="Calibri" w:eastAsia="Calibri" w:hAnsi="Calibri" w:cstheme="minorBidi"/>
                <w:szCs w:val="20"/>
                <w:lang w:eastAsia="en-US"/>
              </w:rPr>
            </w:pPr>
            <w:r w:rsidRPr="009E13BE">
              <w:rPr>
                <w:rFonts w:ascii="Calibri" w:eastAsia="Calibri" w:hAnsi="Calibri" w:cstheme="minorBidi"/>
                <w:szCs w:val="20"/>
                <w:lang w:eastAsia="en-US"/>
              </w:rPr>
              <w:t>Podobszar graniczący z centrum, ale już pozbawiony atutów i</w:t>
            </w:r>
            <w:r w:rsidR="00E37CDB">
              <w:rPr>
                <w:rFonts w:ascii="Calibri" w:eastAsia="Calibri" w:hAnsi="Calibri" w:cstheme="minorBidi"/>
                <w:szCs w:val="20"/>
                <w:lang w:eastAsia="en-US"/>
              </w:rPr>
              <w:t> </w:t>
            </w:r>
            <w:r w:rsidRPr="009E13BE">
              <w:rPr>
                <w:rFonts w:ascii="Calibri" w:eastAsia="Calibri" w:hAnsi="Calibri" w:cstheme="minorBidi"/>
                <w:szCs w:val="20"/>
                <w:lang w:eastAsia="en-US"/>
              </w:rPr>
              <w:t>szans dzielnicy centralnej. Podobnie jak w Śródmieściu – bardzo duża liczba starych budynków komunalnych w złym stanie, wpływająca negatywnie na charakter dzielnicy. Drugi po Bobrku podobszar o</w:t>
            </w:r>
            <w:r w:rsidR="00C124BC">
              <w:rPr>
                <w:rFonts w:ascii="Calibri" w:eastAsia="Calibri" w:hAnsi="Calibri" w:cstheme="minorBidi"/>
                <w:szCs w:val="20"/>
                <w:lang w:eastAsia="en-US"/>
              </w:rPr>
              <w:t> </w:t>
            </w:r>
            <w:r w:rsidRPr="009E13BE">
              <w:rPr>
                <w:rFonts w:ascii="Calibri" w:eastAsia="Calibri" w:hAnsi="Calibri" w:cstheme="minorBidi"/>
                <w:szCs w:val="20"/>
                <w:lang w:eastAsia="en-US"/>
              </w:rPr>
              <w:t>wskaźnikach znacznie odbiegających od średniej miasta. Bardzo słaba działalność NGO, brak imprez i atrakcji</w:t>
            </w:r>
          </w:p>
        </w:tc>
        <w:tc>
          <w:tcPr>
            <w:tcW w:w="721" w:type="pct"/>
            <w:tcBorders>
              <w:bottom w:val="single" w:sz="4" w:space="0" w:color="auto"/>
            </w:tcBorders>
            <w:shd w:val="clear" w:color="auto" w:fill="auto"/>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Centrum miasta. Liczne budynki komunalne w złym stanie. Kontrasty przestrzenne – cenne zabytki obok zaniedbanych kwartałów. Wiele problemów charakterystycznych dla centrum, jednocześnie liczne potencjały, jak np. silnie rozwinięta działalność kulturalna</w:t>
            </w:r>
          </w:p>
          <w:p w:rsidR="008A2D26" w:rsidRPr="009E13BE" w:rsidRDefault="008A2D26" w:rsidP="0081003B">
            <w:pPr>
              <w:rPr>
                <w:rFonts w:ascii="Calibri" w:eastAsia="Calibri" w:hAnsi="Calibri" w:cstheme="minorBidi"/>
                <w:szCs w:val="20"/>
                <w:lang w:eastAsia="en-US"/>
              </w:rPr>
            </w:pPr>
          </w:p>
        </w:tc>
        <w:tc>
          <w:tcPr>
            <w:tcW w:w="690" w:type="pct"/>
            <w:tcBorders>
              <w:bottom w:val="single" w:sz="4" w:space="0" w:color="auto"/>
            </w:tcBorders>
            <w:shd w:val="clear" w:color="auto" w:fill="auto"/>
          </w:tcPr>
          <w:p w:rsidR="008A2D26" w:rsidRPr="009E13BE" w:rsidRDefault="008A2D26" w:rsidP="00C124BC">
            <w:pPr>
              <w:rPr>
                <w:rFonts w:ascii="Calibri" w:eastAsia="Calibri" w:hAnsi="Calibri" w:cstheme="minorBidi"/>
                <w:szCs w:val="20"/>
                <w:lang w:eastAsia="en-US"/>
              </w:rPr>
            </w:pPr>
            <w:r w:rsidRPr="009E13BE">
              <w:rPr>
                <w:rFonts w:ascii="Calibri" w:eastAsia="Calibri" w:hAnsi="Calibri" w:cstheme="minorBidi"/>
                <w:szCs w:val="20"/>
                <w:lang w:eastAsia="en-US"/>
              </w:rPr>
              <w:t>Występuje wiele problemów, ale zwykle wskaźniki nie odbiegają od średniej miasta tak bardzo, jak w</w:t>
            </w:r>
            <w:r w:rsidR="00C124BC">
              <w:rPr>
                <w:rFonts w:ascii="Calibri" w:eastAsia="Calibri" w:hAnsi="Calibri" w:cstheme="minorBidi"/>
                <w:szCs w:val="20"/>
                <w:lang w:eastAsia="en-US"/>
              </w:rPr>
              <w:t> </w:t>
            </w:r>
            <w:r w:rsidRPr="009E13BE">
              <w:rPr>
                <w:rFonts w:ascii="Calibri" w:eastAsia="Calibri" w:hAnsi="Calibri" w:cstheme="minorBidi"/>
                <w:szCs w:val="20"/>
                <w:lang w:eastAsia="en-US"/>
              </w:rPr>
              <w:t>przypadku pozostałych podobszarów. Więcej przestrzeni, więcej zieleni - atutem jest duży park tuż przy granicy podobszaru</w:t>
            </w:r>
          </w:p>
        </w:tc>
        <w:tc>
          <w:tcPr>
            <w:tcW w:w="702" w:type="pct"/>
            <w:tcBorders>
              <w:bottom w:val="single" w:sz="4" w:space="0" w:color="auto"/>
            </w:tcBorders>
            <w:shd w:val="clear" w:color="auto" w:fill="auto"/>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Występuje wiele problemów, ale zwykle wskaźniki nie odbiegają od średniej miasta tak bardzo, jak w przypadku pozostałych podobszarów.  Na północy podobszaru najczęściej brak negatywnych zjawisk. Największy spośród podobszarów odsetek osób powyżej 75 roku życia</w:t>
            </w:r>
          </w:p>
        </w:tc>
        <w:tc>
          <w:tcPr>
            <w:tcW w:w="733" w:type="pct"/>
            <w:tcBorders>
              <w:bottom w:val="single" w:sz="4" w:space="0" w:color="auto"/>
            </w:tcBorders>
            <w:shd w:val="clear" w:color="auto" w:fill="auto"/>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Specyficzny, niewielki obszar na południu miasta, zamieszkały przez 152 osoby. Kompleks zabytkowych budynków robotniczych z XIX w. Przyroda, spokojna okolica. Koncentracja licznych problemów, jednak ilościowo zawsze niewielka ich skala z powodu małej liczby osób. Z uwagi na niewielką powierzchnię i populację – możliwe kompleksowe działania mogące radykalnie poprawić sytuację osiedla</w:t>
            </w:r>
          </w:p>
        </w:tc>
      </w:tr>
      <w:tr w:rsidR="008A2D26" w:rsidRPr="00082724" w:rsidTr="00051FBC">
        <w:tc>
          <w:tcPr>
            <w:tcW w:w="694" w:type="pct"/>
            <w:tcBorders>
              <w:bottom w:val="single" w:sz="4" w:space="0" w:color="auto"/>
            </w:tcBorders>
            <w:shd w:val="clear" w:color="auto" w:fill="auto"/>
          </w:tcPr>
          <w:p w:rsidR="008A2D26" w:rsidRPr="002D3B22" w:rsidRDefault="002D3B22" w:rsidP="0081003B">
            <w:pPr>
              <w:rPr>
                <w:rFonts w:eastAsia="Calibri" w:cstheme="minorBidi"/>
                <w:b/>
                <w:smallCaps/>
                <w:sz w:val="18"/>
                <w:szCs w:val="18"/>
                <w:lang w:eastAsia="en-US"/>
              </w:rPr>
            </w:pPr>
            <w:r w:rsidRPr="002D3B22">
              <w:rPr>
                <w:rFonts w:eastAsia="Calibri" w:cstheme="minorBidi"/>
                <w:b/>
                <w:smallCaps/>
                <w:sz w:val="18"/>
                <w:szCs w:val="18"/>
                <w:lang w:eastAsia="en-US"/>
              </w:rPr>
              <w:lastRenderedPageBreak/>
              <w:t>LUDNOŚĆ - % POPULACJI BYTOMIA</w:t>
            </w:r>
          </w:p>
        </w:tc>
        <w:tc>
          <w:tcPr>
            <w:tcW w:w="733" w:type="pct"/>
            <w:tcBorders>
              <w:bottom w:val="single" w:sz="4" w:space="0" w:color="auto"/>
            </w:tcBorders>
            <w:shd w:val="clear" w:color="auto" w:fill="auto"/>
          </w:tcPr>
          <w:p w:rsidR="008A2D26" w:rsidRPr="009E13BE" w:rsidRDefault="008A2D26" w:rsidP="0081003B">
            <w:pPr>
              <w:jc w:val="center"/>
              <w:rPr>
                <w:rFonts w:ascii="Calibri" w:eastAsia="Calibri" w:hAnsi="Calibri" w:cstheme="minorBidi"/>
                <w:szCs w:val="20"/>
                <w:lang w:eastAsia="en-US"/>
              </w:rPr>
            </w:pPr>
            <w:r w:rsidRPr="009E13BE">
              <w:rPr>
                <w:rFonts w:ascii="Calibri" w:eastAsia="Calibri" w:hAnsi="Calibri" w:cstheme="minorBidi"/>
                <w:szCs w:val="20"/>
                <w:lang w:eastAsia="en-US"/>
              </w:rPr>
              <w:t>2,9%</w:t>
            </w:r>
          </w:p>
        </w:tc>
        <w:tc>
          <w:tcPr>
            <w:tcW w:w="728" w:type="pct"/>
            <w:tcBorders>
              <w:bottom w:val="single" w:sz="4" w:space="0" w:color="auto"/>
            </w:tcBorders>
            <w:shd w:val="clear" w:color="auto" w:fill="auto"/>
          </w:tcPr>
          <w:p w:rsidR="008A2D26" w:rsidRPr="009E13BE" w:rsidRDefault="008A2D26" w:rsidP="0081003B">
            <w:pPr>
              <w:jc w:val="center"/>
              <w:rPr>
                <w:rFonts w:ascii="Calibri" w:eastAsia="Calibri" w:hAnsi="Calibri" w:cstheme="minorBidi"/>
                <w:szCs w:val="20"/>
                <w:lang w:eastAsia="en-US"/>
              </w:rPr>
            </w:pPr>
            <w:r w:rsidRPr="009E13BE">
              <w:rPr>
                <w:rFonts w:ascii="Calibri" w:eastAsia="Calibri" w:hAnsi="Calibri" w:cstheme="minorBidi"/>
                <w:szCs w:val="20"/>
                <w:lang w:eastAsia="en-US"/>
              </w:rPr>
              <w:t>5,0%</w:t>
            </w:r>
          </w:p>
        </w:tc>
        <w:tc>
          <w:tcPr>
            <w:tcW w:w="721" w:type="pct"/>
            <w:tcBorders>
              <w:bottom w:val="single" w:sz="4" w:space="0" w:color="auto"/>
            </w:tcBorders>
            <w:shd w:val="clear" w:color="auto" w:fill="auto"/>
          </w:tcPr>
          <w:p w:rsidR="008A2D26" w:rsidRPr="009E13BE" w:rsidRDefault="008A2D26" w:rsidP="0081003B">
            <w:pPr>
              <w:jc w:val="center"/>
              <w:rPr>
                <w:rFonts w:ascii="Calibri" w:eastAsia="Calibri" w:hAnsi="Calibri" w:cstheme="minorBidi"/>
                <w:szCs w:val="20"/>
                <w:lang w:eastAsia="en-US"/>
              </w:rPr>
            </w:pPr>
            <w:r w:rsidRPr="009E13BE">
              <w:rPr>
                <w:rFonts w:ascii="Calibri" w:eastAsia="Calibri" w:hAnsi="Calibri" w:cstheme="minorBidi"/>
                <w:szCs w:val="20"/>
                <w:lang w:eastAsia="en-US"/>
              </w:rPr>
              <w:t>8,2%</w:t>
            </w:r>
          </w:p>
        </w:tc>
        <w:tc>
          <w:tcPr>
            <w:tcW w:w="690" w:type="pct"/>
            <w:tcBorders>
              <w:bottom w:val="single" w:sz="4" w:space="0" w:color="auto"/>
            </w:tcBorders>
            <w:shd w:val="clear" w:color="auto" w:fill="auto"/>
          </w:tcPr>
          <w:p w:rsidR="008A2D26" w:rsidRPr="009E13BE" w:rsidRDefault="008A2D26" w:rsidP="0081003B">
            <w:pPr>
              <w:jc w:val="center"/>
              <w:rPr>
                <w:rFonts w:ascii="Calibri" w:eastAsia="Calibri" w:hAnsi="Calibri" w:cstheme="minorBidi"/>
                <w:szCs w:val="20"/>
                <w:lang w:eastAsia="en-US"/>
              </w:rPr>
            </w:pPr>
            <w:r w:rsidRPr="009E13BE">
              <w:rPr>
                <w:rFonts w:ascii="Calibri" w:eastAsia="Calibri" w:hAnsi="Calibri" w:cstheme="minorBidi"/>
                <w:szCs w:val="20"/>
                <w:lang w:eastAsia="en-US"/>
              </w:rPr>
              <w:t>5,4%</w:t>
            </w:r>
          </w:p>
        </w:tc>
        <w:tc>
          <w:tcPr>
            <w:tcW w:w="702" w:type="pct"/>
            <w:tcBorders>
              <w:bottom w:val="single" w:sz="4" w:space="0" w:color="auto"/>
            </w:tcBorders>
            <w:shd w:val="clear" w:color="auto" w:fill="auto"/>
          </w:tcPr>
          <w:p w:rsidR="008A2D26" w:rsidRPr="009E13BE" w:rsidRDefault="008A2D26" w:rsidP="0081003B">
            <w:pPr>
              <w:jc w:val="center"/>
              <w:rPr>
                <w:rFonts w:ascii="Calibri" w:eastAsia="Calibri" w:hAnsi="Calibri" w:cstheme="minorBidi"/>
                <w:szCs w:val="20"/>
                <w:lang w:eastAsia="en-US"/>
              </w:rPr>
            </w:pPr>
            <w:r w:rsidRPr="009E13BE">
              <w:rPr>
                <w:rFonts w:ascii="Calibri" w:eastAsia="Calibri" w:hAnsi="Calibri" w:cstheme="minorBidi"/>
                <w:szCs w:val="20"/>
                <w:lang w:eastAsia="en-US"/>
              </w:rPr>
              <w:t>7,3%</w:t>
            </w:r>
          </w:p>
        </w:tc>
        <w:tc>
          <w:tcPr>
            <w:tcW w:w="733" w:type="pct"/>
            <w:tcBorders>
              <w:bottom w:val="single" w:sz="4" w:space="0" w:color="auto"/>
            </w:tcBorders>
            <w:shd w:val="clear" w:color="auto" w:fill="auto"/>
          </w:tcPr>
          <w:p w:rsidR="008A2D26" w:rsidRPr="009E13BE" w:rsidRDefault="008A2D26" w:rsidP="0081003B">
            <w:pPr>
              <w:jc w:val="center"/>
              <w:rPr>
                <w:rFonts w:ascii="Calibri" w:eastAsia="Calibri" w:hAnsi="Calibri" w:cstheme="minorBidi"/>
                <w:szCs w:val="20"/>
                <w:lang w:eastAsia="en-US"/>
              </w:rPr>
            </w:pPr>
            <w:r w:rsidRPr="009E13BE">
              <w:rPr>
                <w:rFonts w:ascii="Calibri" w:eastAsia="Calibri" w:hAnsi="Calibri" w:cstheme="minorBidi"/>
                <w:szCs w:val="20"/>
                <w:lang w:eastAsia="en-US"/>
              </w:rPr>
              <w:t>0,1%</w:t>
            </w:r>
          </w:p>
        </w:tc>
      </w:tr>
      <w:tr w:rsidR="008A2D26" w:rsidRPr="00082724" w:rsidTr="00051FBC">
        <w:tc>
          <w:tcPr>
            <w:tcW w:w="694" w:type="pct"/>
            <w:tcBorders>
              <w:bottom w:val="single" w:sz="4" w:space="0" w:color="auto"/>
            </w:tcBorders>
            <w:shd w:val="clear" w:color="auto" w:fill="auto"/>
          </w:tcPr>
          <w:p w:rsidR="008A2D26" w:rsidRPr="002D3B22" w:rsidRDefault="002D3B22" w:rsidP="0081003B">
            <w:pPr>
              <w:rPr>
                <w:rFonts w:eastAsia="Tahoma,Bold" w:cs="Tahoma"/>
                <w:b/>
                <w:smallCaps/>
                <w:color w:val="4BACC6" w:themeColor="accent5"/>
                <w:sz w:val="18"/>
                <w:szCs w:val="18"/>
                <w:lang w:eastAsia="en-US"/>
              </w:rPr>
            </w:pPr>
            <w:r w:rsidRPr="002D3B22">
              <w:rPr>
                <w:rFonts w:eastAsia="Calibri" w:cstheme="minorBidi"/>
                <w:b/>
                <w:smallCaps/>
                <w:sz w:val="18"/>
                <w:szCs w:val="18"/>
                <w:lang w:eastAsia="en-US"/>
              </w:rPr>
              <w:t xml:space="preserve">GĘSTOŚĆ ZALUDNIENIA (BYTOM: 2 285 OSÓB NA </w:t>
            </w:r>
            <w:r w:rsidRPr="002D3B22">
              <w:rPr>
                <w:rFonts w:eastAsia="Calibri"/>
                <w:b/>
                <w:smallCaps/>
                <w:sz w:val="18"/>
                <w:szCs w:val="18"/>
                <w:lang w:eastAsia="en-US"/>
              </w:rPr>
              <w:t>K</w:t>
            </w:r>
            <w:r w:rsidRPr="002D3B22">
              <w:rPr>
                <w:rFonts w:eastAsia="Lucida Sans Unicode" w:cs="Calibri"/>
                <w:b/>
                <w:smallCaps/>
                <w:kern w:val="1"/>
                <w:sz w:val="18"/>
                <w:szCs w:val="18"/>
                <w:lang w:eastAsia="en-US"/>
              </w:rPr>
              <w:t>M</w:t>
            </w:r>
            <w:r w:rsidRPr="002D3B22">
              <w:rPr>
                <w:rFonts w:eastAsia="Lucida Sans Unicode" w:cs="Calibri"/>
                <w:b/>
                <w:smallCaps/>
                <w:kern w:val="1"/>
                <w:sz w:val="18"/>
                <w:szCs w:val="18"/>
                <w:vertAlign w:val="superscript"/>
                <w:lang w:eastAsia="en-US"/>
              </w:rPr>
              <w:t>2</w:t>
            </w:r>
            <w:r w:rsidRPr="002D3B22">
              <w:rPr>
                <w:rFonts w:eastAsia="Tahoma,Bold" w:cs="Tahoma"/>
                <w:b/>
                <w:smallCaps/>
                <w:sz w:val="18"/>
                <w:szCs w:val="18"/>
                <w:lang w:eastAsia="en-US"/>
              </w:rPr>
              <w:t>)</w:t>
            </w:r>
            <w:r w:rsidRPr="002D3B22">
              <w:rPr>
                <w:rFonts w:eastAsia="Calibri" w:cstheme="minorBidi"/>
                <w:b/>
                <w:smallCaps/>
                <w:sz w:val="18"/>
                <w:szCs w:val="18"/>
                <w:lang w:eastAsia="en-US"/>
              </w:rPr>
              <w:t xml:space="preserve"> </w:t>
            </w:r>
          </w:p>
        </w:tc>
        <w:tc>
          <w:tcPr>
            <w:tcW w:w="733" w:type="pct"/>
            <w:tcBorders>
              <w:bottom w:val="single" w:sz="4" w:space="0" w:color="auto"/>
            </w:tcBorders>
            <w:shd w:val="clear" w:color="auto" w:fill="auto"/>
          </w:tcPr>
          <w:p w:rsidR="008A2D26" w:rsidRPr="009E13BE" w:rsidRDefault="008A2D26" w:rsidP="0081003B">
            <w:pPr>
              <w:jc w:val="center"/>
              <w:rPr>
                <w:rFonts w:ascii="Calibri" w:eastAsia="Calibri" w:hAnsi="Calibri" w:cstheme="minorBidi"/>
                <w:szCs w:val="20"/>
                <w:lang w:eastAsia="en-US"/>
              </w:rPr>
            </w:pPr>
            <w:r w:rsidRPr="009E13BE">
              <w:rPr>
                <w:rFonts w:ascii="Calibri" w:eastAsia="Calibri" w:hAnsi="Calibri" w:cstheme="minorBidi"/>
                <w:szCs w:val="20"/>
                <w:lang w:eastAsia="en-US"/>
              </w:rPr>
              <w:t>9 600</w:t>
            </w:r>
          </w:p>
        </w:tc>
        <w:tc>
          <w:tcPr>
            <w:tcW w:w="728" w:type="pct"/>
            <w:tcBorders>
              <w:bottom w:val="single" w:sz="4" w:space="0" w:color="auto"/>
            </w:tcBorders>
            <w:shd w:val="clear" w:color="auto" w:fill="auto"/>
          </w:tcPr>
          <w:p w:rsidR="008A2D26" w:rsidRPr="009E13BE" w:rsidRDefault="008A2D26" w:rsidP="0081003B">
            <w:pPr>
              <w:jc w:val="center"/>
              <w:rPr>
                <w:rFonts w:ascii="Calibri" w:eastAsia="Calibri" w:hAnsi="Calibri" w:cstheme="minorBidi"/>
                <w:szCs w:val="20"/>
                <w:lang w:eastAsia="en-US"/>
              </w:rPr>
            </w:pPr>
            <w:r w:rsidRPr="009E13BE">
              <w:rPr>
                <w:rFonts w:ascii="Calibri" w:eastAsia="Calibri" w:hAnsi="Calibri" w:cstheme="minorBidi"/>
                <w:szCs w:val="20"/>
                <w:lang w:eastAsia="en-US"/>
              </w:rPr>
              <w:t>10 450</w:t>
            </w:r>
          </w:p>
        </w:tc>
        <w:tc>
          <w:tcPr>
            <w:tcW w:w="721" w:type="pct"/>
            <w:tcBorders>
              <w:bottom w:val="single" w:sz="4" w:space="0" w:color="auto"/>
            </w:tcBorders>
            <w:shd w:val="clear" w:color="auto" w:fill="auto"/>
          </w:tcPr>
          <w:p w:rsidR="008A2D26" w:rsidRPr="009E13BE" w:rsidRDefault="008A2D26" w:rsidP="0081003B">
            <w:pPr>
              <w:jc w:val="center"/>
              <w:rPr>
                <w:rFonts w:ascii="Calibri" w:eastAsia="Calibri" w:hAnsi="Calibri" w:cstheme="minorBidi"/>
                <w:szCs w:val="20"/>
                <w:lang w:eastAsia="en-US"/>
              </w:rPr>
            </w:pPr>
            <w:r w:rsidRPr="009E13BE">
              <w:rPr>
                <w:rFonts w:ascii="Calibri" w:eastAsia="Calibri" w:hAnsi="Calibri" w:cstheme="minorBidi"/>
                <w:szCs w:val="20"/>
                <w:lang w:eastAsia="en-US"/>
              </w:rPr>
              <w:t>14 480</w:t>
            </w:r>
          </w:p>
        </w:tc>
        <w:tc>
          <w:tcPr>
            <w:tcW w:w="690" w:type="pct"/>
            <w:tcBorders>
              <w:bottom w:val="single" w:sz="4" w:space="0" w:color="auto"/>
            </w:tcBorders>
            <w:shd w:val="clear" w:color="auto" w:fill="auto"/>
          </w:tcPr>
          <w:p w:rsidR="008A2D26" w:rsidRPr="009E13BE" w:rsidRDefault="008A2D26" w:rsidP="0081003B">
            <w:pPr>
              <w:jc w:val="center"/>
              <w:rPr>
                <w:rFonts w:ascii="Calibri" w:eastAsia="Calibri" w:hAnsi="Calibri" w:cstheme="minorBidi"/>
                <w:szCs w:val="20"/>
                <w:lang w:eastAsia="en-US"/>
              </w:rPr>
            </w:pPr>
            <w:r w:rsidRPr="009E13BE">
              <w:rPr>
                <w:rFonts w:ascii="Calibri" w:eastAsia="Calibri" w:hAnsi="Calibri" w:cstheme="minorBidi"/>
                <w:szCs w:val="20"/>
                <w:lang w:eastAsia="en-US"/>
              </w:rPr>
              <w:t>14 190</w:t>
            </w:r>
          </w:p>
        </w:tc>
        <w:tc>
          <w:tcPr>
            <w:tcW w:w="702" w:type="pct"/>
            <w:tcBorders>
              <w:bottom w:val="single" w:sz="4" w:space="0" w:color="auto"/>
            </w:tcBorders>
            <w:shd w:val="clear" w:color="auto" w:fill="auto"/>
          </w:tcPr>
          <w:p w:rsidR="008A2D26" w:rsidRPr="009E13BE" w:rsidRDefault="008A2D26" w:rsidP="0081003B">
            <w:pPr>
              <w:jc w:val="center"/>
              <w:rPr>
                <w:rFonts w:ascii="Calibri" w:eastAsia="Calibri" w:hAnsi="Calibri" w:cstheme="minorBidi"/>
                <w:szCs w:val="20"/>
                <w:lang w:eastAsia="en-US"/>
              </w:rPr>
            </w:pPr>
            <w:r w:rsidRPr="009E13BE">
              <w:rPr>
                <w:rFonts w:ascii="Calibri" w:eastAsia="Calibri" w:hAnsi="Calibri" w:cstheme="minorBidi"/>
                <w:szCs w:val="20"/>
                <w:lang w:eastAsia="en-US"/>
              </w:rPr>
              <w:t>8 690</w:t>
            </w:r>
          </w:p>
        </w:tc>
        <w:tc>
          <w:tcPr>
            <w:tcW w:w="733" w:type="pct"/>
            <w:tcBorders>
              <w:bottom w:val="single" w:sz="4" w:space="0" w:color="auto"/>
            </w:tcBorders>
            <w:shd w:val="clear" w:color="auto" w:fill="auto"/>
          </w:tcPr>
          <w:p w:rsidR="008A2D26" w:rsidRPr="009E13BE" w:rsidRDefault="008A2D26" w:rsidP="0081003B">
            <w:pPr>
              <w:jc w:val="center"/>
              <w:rPr>
                <w:rFonts w:ascii="Calibri" w:eastAsia="Calibri" w:hAnsi="Calibri" w:cstheme="minorBidi"/>
                <w:szCs w:val="20"/>
                <w:lang w:eastAsia="en-US"/>
              </w:rPr>
            </w:pPr>
            <w:r w:rsidRPr="009E13BE">
              <w:rPr>
                <w:rFonts w:ascii="Calibri" w:eastAsia="Calibri" w:hAnsi="Calibri" w:cstheme="minorBidi"/>
                <w:szCs w:val="20"/>
                <w:lang w:eastAsia="en-US"/>
              </w:rPr>
              <w:t>2 130</w:t>
            </w:r>
          </w:p>
        </w:tc>
      </w:tr>
      <w:tr w:rsidR="008A2D26" w:rsidRPr="00082724" w:rsidTr="00051FBC">
        <w:tc>
          <w:tcPr>
            <w:tcW w:w="694" w:type="pct"/>
            <w:shd w:val="clear" w:color="auto" w:fill="auto"/>
          </w:tcPr>
          <w:p w:rsidR="008A2D26" w:rsidRPr="002D3B22" w:rsidRDefault="002D3B22" w:rsidP="005B3448">
            <w:pPr>
              <w:rPr>
                <w:rFonts w:eastAsia="Calibri" w:cstheme="minorBidi"/>
                <w:b/>
                <w:smallCaps/>
                <w:sz w:val="18"/>
                <w:szCs w:val="18"/>
                <w:lang w:eastAsia="en-US"/>
              </w:rPr>
            </w:pPr>
            <w:r w:rsidRPr="002D3B22">
              <w:rPr>
                <w:rFonts w:eastAsia="Calibri" w:cstheme="minorBidi"/>
                <w:b/>
                <w:smallCaps/>
                <w:sz w:val="18"/>
                <w:szCs w:val="18"/>
                <w:lang w:eastAsia="en-US"/>
              </w:rPr>
              <w:t>ODSETEK OSÓB W</w:t>
            </w:r>
            <w:r w:rsidR="005B3448">
              <w:rPr>
                <w:rFonts w:eastAsia="Calibri" w:cstheme="minorBidi"/>
                <w:b/>
                <w:smallCaps/>
                <w:sz w:val="18"/>
                <w:szCs w:val="18"/>
                <w:lang w:eastAsia="en-US"/>
              </w:rPr>
              <w:t> </w:t>
            </w:r>
            <w:r w:rsidRPr="002D3B22">
              <w:rPr>
                <w:rFonts w:eastAsia="Calibri" w:cstheme="minorBidi"/>
                <w:b/>
                <w:smallCaps/>
                <w:sz w:val="18"/>
                <w:szCs w:val="18"/>
                <w:lang w:eastAsia="en-US"/>
              </w:rPr>
              <w:t>WIEKU POPRODUKCYJNYM (BYTOM:22%)</w:t>
            </w:r>
          </w:p>
        </w:tc>
        <w:tc>
          <w:tcPr>
            <w:tcW w:w="733" w:type="pct"/>
            <w:tcBorders>
              <w:bottom w:val="single" w:sz="4" w:space="0" w:color="auto"/>
            </w:tcBorders>
            <w:shd w:val="clear" w:color="auto" w:fill="92D050"/>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10% - wyjątkowo mało osób starszych, dużo młodzieży.</w:t>
            </w:r>
          </w:p>
        </w:tc>
        <w:tc>
          <w:tcPr>
            <w:tcW w:w="728" w:type="pct"/>
            <w:tcBorders>
              <w:bottom w:val="single" w:sz="4" w:space="0" w:color="auto"/>
            </w:tcBorders>
            <w:shd w:val="clear" w:color="auto" w:fill="92D050"/>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Mniej osób starszych i więcej młodych niż przeciętnie w mieście</w:t>
            </w:r>
            <w:r w:rsidR="00701BE6">
              <w:rPr>
                <w:rFonts w:ascii="Calibri" w:eastAsia="Calibri" w:hAnsi="Calibri" w:cstheme="minorBidi"/>
                <w:szCs w:val="20"/>
                <w:lang w:eastAsia="en-US"/>
              </w:rPr>
              <w:t>.</w:t>
            </w:r>
          </w:p>
        </w:tc>
        <w:tc>
          <w:tcPr>
            <w:tcW w:w="721" w:type="pct"/>
            <w:tcBorders>
              <w:bottom w:val="single" w:sz="4" w:space="0" w:color="auto"/>
            </w:tcBorders>
            <w:shd w:val="clear" w:color="auto" w:fill="92D050"/>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Mniej osób starszych i więcej młodych niż przeciętnie w mieście</w:t>
            </w:r>
            <w:r w:rsidR="00701BE6">
              <w:rPr>
                <w:rFonts w:ascii="Calibri" w:eastAsia="Calibri" w:hAnsi="Calibri" w:cstheme="minorBidi"/>
                <w:szCs w:val="20"/>
                <w:lang w:eastAsia="en-US"/>
              </w:rPr>
              <w:t>.</w:t>
            </w:r>
          </w:p>
        </w:tc>
        <w:tc>
          <w:tcPr>
            <w:tcW w:w="690" w:type="pct"/>
            <w:shd w:val="clear" w:color="auto" w:fill="FABF8F" w:themeFill="accent6" w:themeFillTint="99"/>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Nieco większy odsetek osób starszych niż średnio w mieście</w:t>
            </w:r>
            <w:r w:rsidR="00701BE6">
              <w:rPr>
                <w:rFonts w:ascii="Calibri" w:eastAsia="Calibri" w:hAnsi="Calibri" w:cstheme="minorBidi"/>
                <w:szCs w:val="20"/>
                <w:lang w:eastAsia="en-US"/>
              </w:rPr>
              <w:t>.</w:t>
            </w:r>
          </w:p>
        </w:tc>
        <w:tc>
          <w:tcPr>
            <w:tcW w:w="702" w:type="pct"/>
            <w:tcBorders>
              <w:bottom w:val="single" w:sz="4" w:space="0" w:color="auto"/>
            </w:tcBorders>
            <w:shd w:val="clear" w:color="auto" w:fill="FABF8F" w:themeFill="accent6" w:themeFillTint="99"/>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Nieco większy odsetek osób starszych niż średnio w mieście</w:t>
            </w:r>
            <w:r w:rsidR="00701BE6">
              <w:rPr>
                <w:rFonts w:ascii="Calibri" w:eastAsia="Calibri" w:hAnsi="Calibri" w:cstheme="minorBidi"/>
                <w:szCs w:val="20"/>
                <w:lang w:eastAsia="en-US"/>
              </w:rPr>
              <w:t>.</w:t>
            </w:r>
          </w:p>
        </w:tc>
        <w:tc>
          <w:tcPr>
            <w:tcW w:w="733" w:type="pct"/>
            <w:tcBorders>
              <w:bottom w:val="single" w:sz="4" w:space="0" w:color="auto"/>
            </w:tcBorders>
            <w:shd w:val="clear" w:color="auto" w:fill="auto"/>
          </w:tcPr>
          <w:p w:rsidR="008A2D26" w:rsidRPr="009E13BE" w:rsidRDefault="008A2D26" w:rsidP="00E229FF">
            <w:pPr>
              <w:rPr>
                <w:rFonts w:ascii="Calibri" w:eastAsia="Calibri" w:hAnsi="Calibri" w:cstheme="minorBidi"/>
                <w:szCs w:val="20"/>
                <w:lang w:eastAsia="en-US"/>
              </w:rPr>
            </w:pPr>
            <w:r w:rsidRPr="009E13BE">
              <w:rPr>
                <w:rFonts w:ascii="Calibri" w:eastAsia="Calibri" w:hAnsi="Calibri" w:cstheme="minorBidi"/>
                <w:szCs w:val="20"/>
                <w:lang w:eastAsia="en-US"/>
              </w:rPr>
              <w:t xml:space="preserve">Sytuacja nie odbiega od przeciętnej </w:t>
            </w:r>
            <w:r w:rsidRPr="00E229FF">
              <w:rPr>
                <w:rFonts w:ascii="Calibri" w:eastAsia="Calibri" w:hAnsi="Calibri" w:cstheme="minorBidi"/>
                <w:sz w:val="18"/>
                <w:szCs w:val="20"/>
                <w:lang w:eastAsia="en-US"/>
              </w:rPr>
              <w:t>w</w:t>
            </w:r>
            <w:r w:rsidR="00E229FF" w:rsidRPr="00E229FF">
              <w:rPr>
                <w:rFonts w:ascii="Calibri" w:eastAsia="Calibri" w:hAnsi="Calibri" w:cstheme="minorBidi"/>
                <w:sz w:val="12"/>
                <w:szCs w:val="20"/>
                <w:lang w:eastAsia="en-US"/>
              </w:rPr>
              <w:t> </w:t>
            </w:r>
            <w:r w:rsidRPr="00E229FF">
              <w:rPr>
                <w:rFonts w:ascii="Calibri" w:eastAsia="Calibri" w:hAnsi="Calibri" w:cstheme="minorBidi"/>
                <w:sz w:val="18"/>
                <w:szCs w:val="20"/>
                <w:lang w:eastAsia="en-US"/>
              </w:rPr>
              <w:t>m</w:t>
            </w:r>
            <w:r w:rsidRPr="009E13BE">
              <w:rPr>
                <w:rFonts w:ascii="Calibri" w:eastAsia="Calibri" w:hAnsi="Calibri" w:cstheme="minorBidi"/>
                <w:szCs w:val="20"/>
                <w:lang w:eastAsia="en-US"/>
              </w:rPr>
              <w:t>ie</w:t>
            </w:r>
            <w:r w:rsidRPr="00E229FF">
              <w:rPr>
                <w:rFonts w:ascii="Calibri" w:eastAsia="Calibri" w:hAnsi="Calibri" w:cstheme="minorBidi"/>
                <w:sz w:val="18"/>
                <w:szCs w:val="20"/>
                <w:lang w:eastAsia="en-US"/>
              </w:rPr>
              <w:t>ś</w:t>
            </w:r>
            <w:r w:rsidRPr="009E13BE">
              <w:rPr>
                <w:rFonts w:ascii="Calibri" w:eastAsia="Calibri" w:hAnsi="Calibri" w:cstheme="minorBidi"/>
                <w:szCs w:val="20"/>
                <w:lang w:eastAsia="en-US"/>
              </w:rPr>
              <w:t>cie</w:t>
            </w:r>
            <w:r w:rsidRPr="00E229FF">
              <w:rPr>
                <w:rFonts w:ascii="Calibri" w:eastAsia="Calibri" w:hAnsi="Calibri" w:cstheme="minorBidi"/>
                <w:sz w:val="10"/>
                <w:szCs w:val="20"/>
                <w:lang w:eastAsia="en-US"/>
              </w:rPr>
              <w:t xml:space="preserve">. </w:t>
            </w:r>
            <w:r w:rsidRPr="00E229FF">
              <w:rPr>
                <w:rFonts w:ascii="Calibri" w:eastAsia="Calibri" w:hAnsi="Calibri" w:cstheme="minorBidi"/>
                <w:sz w:val="18"/>
                <w:szCs w:val="20"/>
                <w:lang w:eastAsia="en-US"/>
              </w:rPr>
              <w:t>N</w:t>
            </w:r>
            <w:r w:rsidRPr="009E13BE">
              <w:rPr>
                <w:rFonts w:ascii="Calibri" w:eastAsia="Calibri" w:hAnsi="Calibri" w:cstheme="minorBidi"/>
                <w:szCs w:val="20"/>
                <w:lang w:eastAsia="en-US"/>
              </w:rPr>
              <w:t>ie</w:t>
            </w:r>
            <w:r w:rsidRPr="00E229FF">
              <w:rPr>
                <w:rFonts w:ascii="Calibri" w:eastAsia="Calibri" w:hAnsi="Calibri" w:cstheme="minorBidi"/>
                <w:sz w:val="18"/>
                <w:szCs w:val="20"/>
                <w:lang w:eastAsia="en-US"/>
              </w:rPr>
              <w:t>c</w:t>
            </w:r>
            <w:r w:rsidRPr="009E13BE">
              <w:rPr>
                <w:rFonts w:ascii="Calibri" w:eastAsia="Calibri" w:hAnsi="Calibri" w:cstheme="minorBidi"/>
                <w:szCs w:val="20"/>
                <w:lang w:eastAsia="en-US"/>
              </w:rPr>
              <w:t>o</w:t>
            </w:r>
            <w:r w:rsidRPr="00E229FF">
              <w:rPr>
                <w:rFonts w:ascii="Calibri" w:eastAsia="Calibri" w:hAnsi="Calibri" w:cstheme="minorBidi"/>
                <w:sz w:val="6"/>
                <w:szCs w:val="20"/>
                <w:lang w:eastAsia="en-US"/>
              </w:rPr>
              <w:t xml:space="preserve"> </w:t>
            </w:r>
            <w:r w:rsidRPr="00E229FF">
              <w:rPr>
                <w:rFonts w:ascii="Calibri" w:eastAsia="Calibri" w:hAnsi="Calibri" w:cstheme="minorBidi"/>
                <w:sz w:val="18"/>
                <w:szCs w:val="20"/>
                <w:lang w:eastAsia="en-US"/>
              </w:rPr>
              <w:t>w</w:t>
            </w:r>
            <w:r w:rsidRPr="009E13BE">
              <w:rPr>
                <w:rFonts w:ascii="Calibri" w:eastAsia="Calibri" w:hAnsi="Calibri" w:cstheme="minorBidi"/>
                <w:szCs w:val="20"/>
                <w:lang w:eastAsia="en-US"/>
              </w:rPr>
              <w:t>ięk</w:t>
            </w:r>
            <w:r w:rsidRPr="00E229FF">
              <w:rPr>
                <w:rFonts w:ascii="Calibri" w:eastAsia="Calibri" w:hAnsi="Calibri" w:cstheme="minorBidi"/>
                <w:sz w:val="18"/>
                <w:szCs w:val="20"/>
                <w:lang w:eastAsia="en-US"/>
              </w:rPr>
              <w:t>s</w:t>
            </w:r>
            <w:r w:rsidRPr="009E13BE">
              <w:rPr>
                <w:rFonts w:ascii="Calibri" w:eastAsia="Calibri" w:hAnsi="Calibri" w:cstheme="minorBidi"/>
                <w:szCs w:val="20"/>
                <w:lang w:eastAsia="en-US"/>
              </w:rPr>
              <w:t>zy</w:t>
            </w:r>
            <w:r w:rsidRPr="00E229FF">
              <w:rPr>
                <w:rFonts w:ascii="Calibri" w:eastAsia="Calibri" w:hAnsi="Calibri" w:cstheme="minorBidi"/>
                <w:sz w:val="12"/>
                <w:szCs w:val="20"/>
                <w:lang w:eastAsia="en-US"/>
              </w:rPr>
              <w:t xml:space="preserve"> </w:t>
            </w:r>
            <w:r w:rsidRPr="009E13BE">
              <w:rPr>
                <w:rFonts w:ascii="Calibri" w:eastAsia="Calibri" w:hAnsi="Calibri" w:cstheme="minorBidi"/>
                <w:szCs w:val="20"/>
                <w:lang w:eastAsia="en-US"/>
              </w:rPr>
              <w:t>udział</w:t>
            </w:r>
            <w:r w:rsidRPr="00E229FF">
              <w:rPr>
                <w:rFonts w:ascii="Calibri" w:eastAsia="Calibri" w:hAnsi="Calibri" w:cstheme="minorBidi"/>
                <w:sz w:val="10"/>
                <w:szCs w:val="20"/>
                <w:lang w:eastAsia="en-US"/>
              </w:rPr>
              <w:t xml:space="preserve"> </w:t>
            </w:r>
            <w:r w:rsidRPr="009E13BE">
              <w:rPr>
                <w:rFonts w:ascii="Calibri" w:eastAsia="Calibri" w:hAnsi="Calibri" w:cstheme="minorBidi"/>
                <w:szCs w:val="20"/>
                <w:lang w:eastAsia="en-US"/>
              </w:rPr>
              <w:t>osób</w:t>
            </w:r>
            <w:r w:rsidRPr="00E229FF">
              <w:rPr>
                <w:rFonts w:ascii="Calibri" w:eastAsia="Calibri" w:hAnsi="Calibri" w:cstheme="minorBidi"/>
                <w:sz w:val="12"/>
                <w:szCs w:val="20"/>
                <w:lang w:eastAsia="en-US"/>
              </w:rPr>
              <w:t xml:space="preserve"> </w:t>
            </w:r>
            <w:r w:rsidRPr="00E229FF">
              <w:rPr>
                <w:rFonts w:ascii="Calibri" w:eastAsia="Calibri" w:hAnsi="Calibri" w:cstheme="minorBidi"/>
                <w:sz w:val="19"/>
                <w:szCs w:val="19"/>
                <w:lang w:eastAsia="en-US"/>
              </w:rPr>
              <w:t>75</w:t>
            </w:r>
            <w:r w:rsidRPr="00E229FF">
              <w:rPr>
                <w:rFonts w:ascii="Calibri" w:eastAsia="Calibri" w:hAnsi="Calibri" w:cstheme="minorBidi"/>
                <w:sz w:val="18"/>
                <w:szCs w:val="20"/>
                <w:lang w:eastAsia="en-US"/>
              </w:rPr>
              <w:t>+</w:t>
            </w:r>
            <w:r w:rsidR="00701BE6" w:rsidRPr="00E229FF">
              <w:rPr>
                <w:rFonts w:ascii="Calibri" w:eastAsia="Calibri" w:hAnsi="Calibri" w:cstheme="minorBidi"/>
                <w:sz w:val="18"/>
                <w:szCs w:val="20"/>
                <w:lang w:eastAsia="en-US"/>
              </w:rPr>
              <w:t>.</w:t>
            </w:r>
          </w:p>
        </w:tc>
      </w:tr>
      <w:tr w:rsidR="008A2D26" w:rsidRPr="00082724" w:rsidTr="00051FBC">
        <w:tc>
          <w:tcPr>
            <w:tcW w:w="694" w:type="pct"/>
          </w:tcPr>
          <w:p w:rsidR="008A2D26" w:rsidRPr="002D3B22" w:rsidRDefault="002D3B22" w:rsidP="00C124BC">
            <w:pPr>
              <w:rPr>
                <w:rFonts w:eastAsia="Calibri" w:cstheme="minorBidi"/>
                <w:b/>
                <w:smallCaps/>
                <w:sz w:val="18"/>
                <w:szCs w:val="18"/>
                <w:lang w:eastAsia="en-US"/>
              </w:rPr>
            </w:pPr>
            <w:r w:rsidRPr="002D3B22">
              <w:rPr>
                <w:rFonts w:eastAsia="Calibri" w:cstheme="minorBidi"/>
                <w:b/>
                <w:smallCaps/>
                <w:sz w:val="18"/>
                <w:szCs w:val="18"/>
                <w:lang w:eastAsia="en-US"/>
              </w:rPr>
              <w:t>BEZROBOTNI W STOSUNKU DO OSÓB W WIEKU PRODUKCYJNYM (BYTOM: 9,4%)</w:t>
            </w:r>
          </w:p>
        </w:tc>
        <w:tc>
          <w:tcPr>
            <w:tcW w:w="733" w:type="pct"/>
            <w:tcBorders>
              <w:bottom w:val="single" w:sz="4" w:space="0" w:color="auto"/>
            </w:tcBorders>
            <w:shd w:val="clear" w:color="auto" w:fill="984806" w:themeFill="accent6" w:themeFillShade="80"/>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Bezrobocie ponad dwukrotnie przekracza średnią dla miasta</w:t>
            </w:r>
            <w:r w:rsidR="00701BE6">
              <w:rPr>
                <w:rFonts w:ascii="Calibri" w:eastAsia="Calibri" w:hAnsi="Calibri" w:cstheme="minorBidi"/>
                <w:szCs w:val="20"/>
                <w:lang w:eastAsia="en-US"/>
              </w:rPr>
              <w:t>.</w:t>
            </w:r>
          </w:p>
        </w:tc>
        <w:tc>
          <w:tcPr>
            <w:tcW w:w="728" w:type="pct"/>
            <w:tcBorders>
              <w:bottom w:val="single" w:sz="4" w:space="0" w:color="auto"/>
            </w:tcBorders>
            <w:shd w:val="clear" w:color="auto" w:fill="E36C0A" w:themeFill="accent6" w:themeFillShade="BF"/>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Bezrobocie niemal dwukrotnie przekracza średnią dla miasta</w:t>
            </w:r>
            <w:r w:rsidR="00701BE6">
              <w:rPr>
                <w:rFonts w:ascii="Calibri" w:eastAsia="Calibri" w:hAnsi="Calibri" w:cstheme="minorBidi"/>
                <w:szCs w:val="20"/>
                <w:lang w:eastAsia="en-US"/>
              </w:rPr>
              <w:t>.</w:t>
            </w:r>
          </w:p>
        </w:tc>
        <w:tc>
          <w:tcPr>
            <w:tcW w:w="721" w:type="pct"/>
            <w:tcBorders>
              <w:bottom w:val="single" w:sz="4" w:space="0" w:color="auto"/>
            </w:tcBorders>
            <w:shd w:val="clear" w:color="auto" w:fill="E36C0A" w:themeFill="accent6" w:themeFillShade="BF"/>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Bezrobocie niemal dwukrotnie przekracza średnią dla miasta</w:t>
            </w:r>
            <w:r w:rsidR="00701BE6">
              <w:rPr>
                <w:rFonts w:ascii="Calibri" w:eastAsia="Calibri" w:hAnsi="Calibri" w:cstheme="minorBidi"/>
                <w:szCs w:val="20"/>
                <w:lang w:eastAsia="en-US"/>
              </w:rPr>
              <w:t>.</w:t>
            </w:r>
          </w:p>
        </w:tc>
        <w:tc>
          <w:tcPr>
            <w:tcW w:w="690" w:type="pct"/>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Bezrobocie zbliżone do średniej dla miasta</w:t>
            </w:r>
            <w:r w:rsidR="00701BE6">
              <w:rPr>
                <w:rFonts w:ascii="Calibri" w:eastAsia="Calibri" w:hAnsi="Calibri" w:cstheme="minorBidi"/>
                <w:szCs w:val="20"/>
                <w:lang w:eastAsia="en-US"/>
              </w:rPr>
              <w:t>.</w:t>
            </w:r>
          </w:p>
        </w:tc>
        <w:tc>
          <w:tcPr>
            <w:tcW w:w="702" w:type="pct"/>
            <w:shd w:val="clear" w:color="auto" w:fill="FABF8F" w:themeFill="accent6" w:themeFillTint="99"/>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Koncentracja problemu bezrobocia jedynie w kilku punktach obszaru</w:t>
            </w:r>
            <w:r w:rsidR="00701BE6">
              <w:rPr>
                <w:rFonts w:ascii="Calibri" w:eastAsia="Calibri" w:hAnsi="Calibri" w:cstheme="minorBidi"/>
                <w:szCs w:val="20"/>
                <w:lang w:eastAsia="en-US"/>
              </w:rPr>
              <w:t>.</w:t>
            </w:r>
          </w:p>
        </w:tc>
        <w:tc>
          <w:tcPr>
            <w:tcW w:w="733" w:type="pct"/>
            <w:tcBorders>
              <w:bottom w:val="single" w:sz="4" w:space="0" w:color="auto"/>
            </w:tcBorders>
            <w:shd w:val="clear" w:color="auto" w:fill="E36C0A" w:themeFill="accent6" w:themeFillShade="BF"/>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Bezrobocie ponad dwukrotnie przekracza średnią dla miasta (jest tu jednak tylko 20 bezrobotnych)</w:t>
            </w:r>
            <w:r w:rsidR="00701BE6">
              <w:rPr>
                <w:rFonts w:ascii="Calibri" w:eastAsia="Calibri" w:hAnsi="Calibri" w:cstheme="minorBidi"/>
                <w:szCs w:val="20"/>
                <w:lang w:eastAsia="en-US"/>
              </w:rPr>
              <w:t>.</w:t>
            </w:r>
          </w:p>
        </w:tc>
      </w:tr>
      <w:tr w:rsidR="008A2D26" w:rsidRPr="00082724" w:rsidTr="00051FBC">
        <w:tc>
          <w:tcPr>
            <w:tcW w:w="694" w:type="pct"/>
          </w:tcPr>
          <w:p w:rsidR="008A2D26" w:rsidRPr="002D3B22" w:rsidRDefault="002D3B22" w:rsidP="00C124BC">
            <w:pPr>
              <w:rPr>
                <w:rFonts w:eastAsia="Calibri" w:cstheme="minorBidi"/>
                <w:b/>
                <w:smallCaps/>
                <w:sz w:val="18"/>
                <w:szCs w:val="18"/>
                <w:lang w:eastAsia="en-US"/>
              </w:rPr>
            </w:pPr>
            <w:r w:rsidRPr="002D3B22">
              <w:rPr>
                <w:rFonts w:eastAsia="Calibri" w:cstheme="minorBidi"/>
                <w:b/>
                <w:smallCaps/>
                <w:sz w:val="18"/>
                <w:szCs w:val="18"/>
                <w:lang w:eastAsia="en-US"/>
              </w:rPr>
              <w:t xml:space="preserve">BEZROBOTNI Z WYKSZTAŁCENIEM GIMNAZJALNYM LUB PONIŻEJ W OGÓLNEJ LICZBIE BEZROBOTNYCH </w:t>
            </w:r>
          </w:p>
        </w:tc>
        <w:tc>
          <w:tcPr>
            <w:tcW w:w="733" w:type="pct"/>
            <w:tcBorders>
              <w:bottom w:val="single" w:sz="4" w:space="0" w:color="auto"/>
            </w:tcBorders>
            <w:shd w:val="clear" w:color="auto" w:fill="E36C0A" w:themeFill="accent6" w:themeFillShade="BF"/>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Wskaźnik o połowę wyższy niż średnio dla miasta – 6 na 10 bezrobotnych ma zdefiniowane wykształcenie</w:t>
            </w:r>
            <w:r w:rsidR="00701BE6">
              <w:rPr>
                <w:rFonts w:ascii="Calibri" w:eastAsia="Calibri" w:hAnsi="Calibri" w:cstheme="minorBidi"/>
                <w:szCs w:val="20"/>
                <w:lang w:eastAsia="en-US"/>
              </w:rPr>
              <w:t>.</w:t>
            </w:r>
          </w:p>
        </w:tc>
        <w:tc>
          <w:tcPr>
            <w:tcW w:w="728" w:type="pct"/>
            <w:tcBorders>
              <w:bottom w:val="single" w:sz="4" w:space="0" w:color="auto"/>
            </w:tcBorders>
            <w:shd w:val="clear" w:color="auto" w:fill="FABF8F" w:themeFill="accent6" w:themeFillTint="99"/>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Co drugi bezrobotny ma zdefiniowane wykształcenie-wskaźnik nieco przekracza średnią dla miasta</w:t>
            </w:r>
            <w:r w:rsidR="00701BE6">
              <w:rPr>
                <w:rFonts w:ascii="Calibri" w:eastAsia="Calibri" w:hAnsi="Calibri" w:cstheme="minorBidi"/>
                <w:szCs w:val="20"/>
                <w:lang w:eastAsia="en-US"/>
              </w:rPr>
              <w:t>.</w:t>
            </w:r>
          </w:p>
        </w:tc>
        <w:tc>
          <w:tcPr>
            <w:tcW w:w="721" w:type="pct"/>
            <w:tcBorders>
              <w:bottom w:val="single" w:sz="4" w:space="0" w:color="auto"/>
            </w:tcBorders>
            <w:shd w:val="clear" w:color="auto" w:fill="FABF8F" w:themeFill="accent6" w:themeFillTint="99"/>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Co drugi bezrobotny ma zdefiniowane wykształcenie-wskaźnik nieco przekracza średnią dla miasta</w:t>
            </w:r>
            <w:r w:rsidR="00701BE6">
              <w:rPr>
                <w:rFonts w:ascii="Calibri" w:eastAsia="Calibri" w:hAnsi="Calibri" w:cstheme="minorBidi"/>
                <w:szCs w:val="20"/>
                <w:lang w:eastAsia="en-US"/>
              </w:rPr>
              <w:t>.</w:t>
            </w:r>
          </w:p>
        </w:tc>
        <w:tc>
          <w:tcPr>
            <w:tcW w:w="690" w:type="pct"/>
            <w:tcBorders>
              <w:bottom w:val="single" w:sz="4" w:space="0" w:color="auto"/>
            </w:tcBorders>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Sytuacja w granicach przeciętnej dla miasta</w:t>
            </w:r>
            <w:r w:rsidR="00701BE6">
              <w:rPr>
                <w:rFonts w:ascii="Calibri" w:eastAsia="Calibri" w:hAnsi="Calibri" w:cstheme="minorBidi"/>
                <w:szCs w:val="20"/>
                <w:lang w:eastAsia="en-US"/>
              </w:rPr>
              <w:t>.</w:t>
            </w:r>
          </w:p>
        </w:tc>
        <w:tc>
          <w:tcPr>
            <w:tcW w:w="702" w:type="pct"/>
            <w:tcBorders>
              <w:bottom w:val="single" w:sz="4" w:space="0" w:color="auto"/>
            </w:tcBorders>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Sytuacja w granicach przeciętnej dla miasta</w:t>
            </w:r>
            <w:r w:rsidR="00701BE6">
              <w:rPr>
                <w:rFonts w:ascii="Calibri" w:eastAsia="Calibri" w:hAnsi="Calibri" w:cstheme="minorBidi"/>
                <w:szCs w:val="20"/>
                <w:lang w:eastAsia="en-US"/>
              </w:rPr>
              <w:t>.</w:t>
            </w:r>
          </w:p>
        </w:tc>
        <w:tc>
          <w:tcPr>
            <w:tcW w:w="733" w:type="pct"/>
            <w:tcBorders>
              <w:bottom w:val="single" w:sz="4" w:space="0" w:color="auto"/>
            </w:tcBorders>
            <w:shd w:val="clear" w:color="auto" w:fill="FABF8F" w:themeFill="accent6" w:themeFillTint="99"/>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Co drugi bezrobotny ma zdefiniowane wykształcenie-wskaźnik nieco przekracza średnią dla miasta</w:t>
            </w:r>
            <w:r w:rsidR="00701BE6">
              <w:rPr>
                <w:rFonts w:ascii="Calibri" w:eastAsia="Calibri" w:hAnsi="Calibri" w:cstheme="minorBidi"/>
                <w:szCs w:val="20"/>
                <w:lang w:eastAsia="en-US"/>
              </w:rPr>
              <w:t>.</w:t>
            </w:r>
          </w:p>
        </w:tc>
      </w:tr>
      <w:tr w:rsidR="008A2D26" w:rsidRPr="00082724" w:rsidTr="00051FBC">
        <w:tc>
          <w:tcPr>
            <w:tcW w:w="694" w:type="pct"/>
          </w:tcPr>
          <w:p w:rsidR="008A2D26" w:rsidRPr="002D3B22" w:rsidRDefault="002D3B22" w:rsidP="00C124BC">
            <w:pPr>
              <w:rPr>
                <w:rFonts w:eastAsia="Calibri" w:cstheme="minorBidi"/>
                <w:b/>
                <w:smallCaps/>
                <w:sz w:val="18"/>
                <w:szCs w:val="18"/>
                <w:lang w:eastAsia="en-US"/>
              </w:rPr>
            </w:pPr>
            <w:r w:rsidRPr="002D3B22">
              <w:rPr>
                <w:rFonts w:eastAsia="Calibri" w:cstheme="minorBidi"/>
                <w:b/>
                <w:smallCaps/>
                <w:sz w:val="18"/>
                <w:szCs w:val="18"/>
                <w:lang w:eastAsia="en-US"/>
              </w:rPr>
              <w:t>UBÓSTWO- KORZYSTAJĄCY Z ZASIŁKÓW CELOWYCH NA 1 TYS. MIESZK. (BYTOM: 19 NA 1 TYS.)</w:t>
            </w:r>
          </w:p>
        </w:tc>
        <w:tc>
          <w:tcPr>
            <w:tcW w:w="733" w:type="pct"/>
            <w:tcBorders>
              <w:bottom w:val="single" w:sz="4" w:space="0" w:color="auto"/>
            </w:tcBorders>
            <w:shd w:val="clear" w:color="auto" w:fill="984806" w:themeFill="accent6" w:themeFillShade="80"/>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85(!!) – niemal co dziesiąta osoba</w:t>
            </w:r>
            <w:r w:rsidR="00701BE6">
              <w:rPr>
                <w:rFonts w:ascii="Calibri" w:eastAsia="Calibri" w:hAnsi="Calibri" w:cstheme="minorBidi"/>
                <w:szCs w:val="20"/>
                <w:lang w:eastAsia="en-US"/>
              </w:rPr>
              <w:t>.</w:t>
            </w:r>
          </w:p>
        </w:tc>
        <w:tc>
          <w:tcPr>
            <w:tcW w:w="728" w:type="pct"/>
            <w:tcBorders>
              <w:bottom w:val="single" w:sz="4" w:space="0" w:color="auto"/>
            </w:tcBorders>
            <w:shd w:val="clear" w:color="auto" w:fill="E36C0A" w:themeFill="accent6" w:themeFillShade="BF"/>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41-wskaźnik ponad dwukrotnie wyższy niż dla miasta</w:t>
            </w:r>
            <w:r w:rsidR="00701BE6">
              <w:rPr>
                <w:rFonts w:ascii="Calibri" w:eastAsia="Calibri" w:hAnsi="Calibri" w:cstheme="minorBidi"/>
                <w:szCs w:val="20"/>
                <w:lang w:eastAsia="en-US"/>
              </w:rPr>
              <w:t>.</w:t>
            </w:r>
          </w:p>
        </w:tc>
        <w:tc>
          <w:tcPr>
            <w:tcW w:w="721" w:type="pct"/>
            <w:tcBorders>
              <w:bottom w:val="single" w:sz="4" w:space="0" w:color="auto"/>
            </w:tcBorders>
            <w:shd w:val="clear" w:color="auto" w:fill="E36C0A" w:themeFill="accent6" w:themeFillShade="BF"/>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42-wskaźnik ponad dwukrotnie wyższy niż dla miasta</w:t>
            </w:r>
            <w:r w:rsidR="00701BE6">
              <w:rPr>
                <w:rFonts w:ascii="Calibri" w:eastAsia="Calibri" w:hAnsi="Calibri" w:cstheme="minorBidi"/>
                <w:szCs w:val="20"/>
                <w:lang w:eastAsia="en-US"/>
              </w:rPr>
              <w:t>.</w:t>
            </w:r>
          </w:p>
        </w:tc>
        <w:tc>
          <w:tcPr>
            <w:tcW w:w="690" w:type="pct"/>
            <w:tcBorders>
              <w:bottom w:val="single" w:sz="4" w:space="0" w:color="auto"/>
            </w:tcBorders>
            <w:shd w:val="clear" w:color="auto" w:fill="FABF8F" w:themeFill="accent6" w:themeFillTint="99"/>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Niewielkie przekroczenie średniej dla miasta</w:t>
            </w:r>
            <w:r w:rsidR="00701BE6">
              <w:rPr>
                <w:rFonts w:ascii="Calibri" w:eastAsia="Calibri" w:hAnsi="Calibri" w:cstheme="minorBidi"/>
                <w:szCs w:val="20"/>
                <w:lang w:eastAsia="en-US"/>
              </w:rPr>
              <w:t>.</w:t>
            </w:r>
          </w:p>
        </w:tc>
        <w:tc>
          <w:tcPr>
            <w:tcW w:w="702" w:type="pct"/>
            <w:shd w:val="clear" w:color="auto" w:fill="FABF8F" w:themeFill="accent6" w:themeFillTint="99"/>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Niewielkie przekroczenie średniej dla miasta. Na północy obszaru brak problemu</w:t>
            </w:r>
            <w:r w:rsidR="00701BE6">
              <w:rPr>
                <w:rFonts w:ascii="Calibri" w:eastAsia="Calibri" w:hAnsi="Calibri" w:cstheme="minorBidi"/>
                <w:szCs w:val="20"/>
                <w:lang w:eastAsia="en-US"/>
              </w:rPr>
              <w:t>.</w:t>
            </w:r>
          </w:p>
        </w:tc>
        <w:tc>
          <w:tcPr>
            <w:tcW w:w="733" w:type="pct"/>
            <w:shd w:val="clear" w:color="auto" w:fill="E36C0A" w:themeFill="accent6" w:themeFillShade="BF"/>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46 – ubóstwo jest poważnym problemem dla co dwudziestej osoby z</w:t>
            </w:r>
            <w:r w:rsidR="00E37CDB">
              <w:rPr>
                <w:rFonts w:ascii="Calibri" w:eastAsia="Calibri" w:hAnsi="Calibri" w:cstheme="minorBidi"/>
                <w:szCs w:val="20"/>
                <w:lang w:eastAsia="en-US"/>
              </w:rPr>
              <w:t> </w:t>
            </w:r>
            <w:r w:rsidRPr="009E13BE">
              <w:rPr>
                <w:rFonts w:ascii="Calibri" w:eastAsia="Calibri" w:hAnsi="Calibri" w:cstheme="minorBidi"/>
                <w:szCs w:val="20"/>
                <w:lang w:eastAsia="en-US"/>
              </w:rPr>
              <w:t>tej niewielkiej społeczności</w:t>
            </w:r>
            <w:r w:rsidR="00701BE6">
              <w:rPr>
                <w:rFonts w:ascii="Calibri" w:eastAsia="Calibri" w:hAnsi="Calibri" w:cstheme="minorBidi"/>
                <w:szCs w:val="20"/>
                <w:lang w:eastAsia="en-US"/>
              </w:rPr>
              <w:t>.</w:t>
            </w:r>
          </w:p>
        </w:tc>
      </w:tr>
      <w:tr w:rsidR="008A2D26" w:rsidRPr="00082724" w:rsidTr="00051FBC">
        <w:tc>
          <w:tcPr>
            <w:tcW w:w="694" w:type="pct"/>
          </w:tcPr>
          <w:p w:rsidR="008A2D26" w:rsidRDefault="002D3B22" w:rsidP="00C124BC">
            <w:pPr>
              <w:rPr>
                <w:rFonts w:eastAsia="Calibri" w:cstheme="minorBidi"/>
                <w:b/>
                <w:smallCaps/>
                <w:sz w:val="18"/>
                <w:szCs w:val="18"/>
                <w:lang w:eastAsia="en-US"/>
              </w:rPr>
            </w:pPr>
            <w:r w:rsidRPr="002D3B22">
              <w:rPr>
                <w:rFonts w:eastAsia="Calibri" w:cstheme="minorBidi"/>
                <w:b/>
                <w:smallCaps/>
                <w:sz w:val="18"/>
                <w:szCs w:val="18"/>
                <w:lang w:eastAsia="en-US"/>
              </w:rPr>
              <w:t>ODSETEK UCZNIÓW SP KORZYSTAJĄCYCH Z DOŻYWIANIA (BYTOM: 21%)</w:t>
            </w:r>
          </w:p>
          <w:p w:rsidR="002D3B22" w:rsidRPr="002D3B22" w:rsidRDefault="002D3B22" w:rsidP="00C124BC">
            <w:pPr>
              <w:rPr>
                <w:rFonts w:eastAsia="Calibri" w:cstheme="minorBidi"/>
                <w:b/>
                <w:smallCaps/>
                <w:sz w:val="18"/>
                <w:szCs w:val="18"/>
                <w:lang w:eastAsia="en-US"/>
              </w:rPr>
            </w:pPr>
          </w:p>
        </w:tc>
        <w:tc>
          <w:tcPr>
            <w:tcW w:w="733" w:type="pct"/>
            <w:tcBorders>
              <w:bottom w:val="single" w:sz="4" w:space="0" w:color="auto"/>
            </w:tcBorders>
            <w:shd w:val="clear" w:color="auto" w:fill="984806" w:themeFill="accent6" w:themeFillShade="80"/>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 xml:space="preserve">Co drugi uczeń korzysta z pomocy – najwyższy wskaźnik </w:t>
            </w:r>
            <w:r w:rsidR="00701BE6">
              <w:rPr>
                <w:rFonts w:ascii="Calibri" w:eastAsia="Calibri" w:hAnsi="Calibri" w:cstheme="minorBidi"/>
                <w:szCs w:val="20"/>
                <w:lang w:eastAsia="en-US"/>
              </w:rPr>
              <w:t>.</w:t>
            </w:r>
          </w:p>
        </w:tc>
        <w:tc>
          <w:tcPr>
            <w:tcW w:w="728" w:type="pct"/>
            <w:tcBorders>
              <w:bottom w:val="single" w:sz="4" w:space="0" w:color="auto"/>
            </w:tcBorders>
            <w:shd w:val="clear" w:color="auto" w:fill="E36C0A" w:themeFill="accent6" w:themeFillShade="BF"/>
          </w:tcPr>
          <w:p w:rsidR="008A2D26" w:rsidRPr="009E13BE" w:rsidRDefault="00701BE6" w:rsidP="0081003B">
            <w:pPr>
              <w:rPr>
                <w:rFonts w:ascii="Calibri" w:eastAsia="Calibri" w:hAnsi="Calibri" w:cstheme="minorBidi"/>
                <w:szCs w:val="20"/>
                <w:lang w:eastAsia="en-US"/>
              </w:rPr>
            </w:pPr>
            <w:r>
              <w:rPr>
                <w:rFonts w:ascii="Calibri" w:eastAsia="Calibri" w:hAnsi="Calibri" w:cstheme="minorBidi"/>
                <w:szCs w:val="20"/>
                <w:lang w:eastAsia="en-US"/>
              </w:rPr>
              <w:t xml:space="preserve">44% </w:t>
            </w:r>
            <w:r w:rsidR="008A2D26" w:rsidRPr="009E13BE">
              <w:rPr>
                <w:rFonts w:ascii="Calibri" w:eastAsia="Calibri" w:hAnsi="Calibri" w:cstheme="minorBidi"/>
                <w:szCs w:val="20"/>
                <w:lang w:eastAsia="en-US"/>
              </w:rPr>
              <w:t>Poważna skala dożywiania dzieci</w:t>
            </w:r>
            <w:r>
              <w:rPr>
                <w:rFonts w:ascii="Calibri" w:eastAsia="Calibri" w:hAnsi="Calibri" w:cstheme="minorBidi"/>
                <w:szCs w:val="20"/>
                <w:lang w:eastAsia="en-US"/>
              </w:rPr>
              <w:t>.</w:t>
            </w:r>
          </w:p>
        </w:tc>
        <w:tc>
          <w:tcPr>
            <w:tcW w:w="721" w:type="pct"/>
            <w:tcBorders>
              <w:bottom w:val="single" w:sz="4" w:space="0" w:color="auto"/>
            </w:tcBorders>
            <w:shd w:val="clear" w:color="auto" w:fill="E36C0A" w:themeFill="accent6" w:themeFillShade="BF"/>
          </w:tcPr>
          <w:p w:rsidR="008A2D26" w:rsidRPr="009E13BE" w:rsidRDefault="00701BE6" w:rsidP="0081003B">
            <w:pPr>
              <w:rPr>
                <w:rFonts w:ascii="Calibri" w:eastAsia="Calibri" w:hAnsi="Calibri" w:cstheme="minorBidi"/>
                <w:szCs w:val="20"/>
                <w:lang w:eastAsia="en-US"/>
              </w:rPr>
            </w:pPr>
            <w:r>
              <w:rPr>
                <w:rFonts w:ascii="Calibri" w:eastAsia="Calibri" w:hAnsi="Calibri" w:cstheme="minorBidi"/>
                <w:szCs w:val="20"/>
                <w:lang w:eastAsia="en-US"/>
              </w:rPr>
              <w:t xml:space="preserve">43% </w:t>
            </w:r>
            <w:r w:rsidR="008A2D26" w:rsidRPr="009E13BE">
              <w:rPr>
                <w:rFonts w:ascii="Calibri" w:eastAsia="Calibri" w:hAnsi="Calibri" w:cstheme="minorBidi"/>
                <w:szCs w:val="20"/>
                <w:lang w:eastAsia="en-US"/>
              </w:rPr>
              <w:t>Poważny problem</w:t>
            </w:r>
            <w:r>
              <w:rPr>
                <w:rFonts w:ascii="Calibri" w:eastAsia="Calibri" w:hAnsi="Calibri" w:cstheme="minorBidi"/>
                <w:szCs w:val="20"/>
                <w:lang w:eastAsia="en-US"/>
              </w:rPr>
              <w:t>.</w:t>
            </w:r>
          </w:p>
        </w:tc>
        <w:tc>
          <w:tcPr>
            <w:tcW w:w="690" w:type="pct"/>
            <w:tcBorders>
              <w:bottom w:val="single" w:sz="4" w:space="0" w:color="auto"/>
            </w:tcBorders>
            <w:shd w:val="clear" w:color="auto" w:fill="92D050"/>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Wskaźnik korzystniejszy od średniej dla miasta</w:t>
            </w:r>
            <w:r w:rsidR="00701BE6">
              <w:rPr>
                <w:rFonts w:ascii="Calibri" w:eastAsia="Calibri" w:hAnsi="Calibri" w:cstheme="minorBidi"/>
                <w:szCs w:val="20"/>
                <w:lang w:eastAsia="en-US"/>
              </w:rPr>
              <w:t>.</w:t>
            </w:r>
          </w:p>
        </w:tc>
        <w:tc>
          <w:tcPr>
            <w:tcW w:w="702" w:type="pct"/>
            <w:tcBorders>
              <w:bottom w:val="single" w:sz="4" w:space="0" w:color="auto"/>
            </w:tcBorders>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Przeciętna sytuacja. Na północy obszaru brak problemu</w:t>
            </w:r>
            <w:r w:rsidR="00701BE6">
              <w:rPr>
                <w:rFonts w:ascii="Calibri" w:eastAsia="Calibri" w:hAnsi="Calibri" w:cstheme="minorBidi"/>
                <w:szCs w:val="20"/>
                <w:lang w:eastAsia="en-US"/>
              </w:rPr>
              <w:t>.</w:t>
            </w:r>
          </w:p>
        </w:tc>
        <w:tc>
          <w:tcPr>
            <w:tcW w:w="733" w:type="pct"/>
            <w:tcBorders>
              <w:bottom w:val="single" w:sz="4" w:space="0" w:color="auto"/>
            </w:tcBorders>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Przeciętna sytuacja</w:t>
            </w:r>
            <w:r w:rsidR="00701BE6">
              <w:rPr>
                <w:rFonts w:ascii="Calibri" w:eastAsia="Calibri" w:hAnsi="Calibri" w:cstheme="minorBidi"/>
                <w:szCs w:val="20"/>
                <w:lang w:eastAsia="en-US"/>
              </w:rPr>
              <w:t>.</w:t>
            </w:r>
          </w:p>
        </w:tc>
      </w:tr>
      <w:tr w:rsidR="008A2D26" w:rsidRPr="00082724" w:rsidTr="00051FBC">
        <w:tc>
          <w:tcPr>
            <w:tcW w:w="694" w:type="pct"/>
          </w:tcPr>
          <w:p w:rsidR="008A2D26" w:rsidRPr="002D3B22" w:rsidRDefault="002D3B22" w:rsidP="0081003B">
            <w:pPr>
              <w:rPr>
                <w:rFonts w:eastAsia="Calibri" w:cstheme="minorBidi"/>
                <w:b/>
                <w:smallCaps/>
                <w:sz w:val="18"/>
                <w:szCs w:val="18"/>
                <w:lang w:eastAsia="en-US"/>
              </w:rPr>
            </w:pPr>
            <w:r w:rsidRPr="002D3B22">
              <w:rPr>
                <w:rFonts w:eastAsia="Calibri" w:cstheme="minorBidi"/>
                <w:b/>
                <w:smallCaps/>
                <w:sz w:val="18"/>
                <w:szCs w:val="18"/>
                <w:lang w:eastAsia="en-US"/>
              </w:rPr>
              <w:lastRenderedPageBreak/>
              <w:t>PRZEMOC W RODZINIE NA 10 TYS. OSÓB (BYTOM: 12OS. NA 10 TYS.)</w:t>
            </w:r>
          </w:p>
        </w:tc>
        <w:tc>
          <w:tcPr>
            <w:tcW w:w="733" w:type="pct"/>
            <w:tcBorders>
              <w:bottom w:val="single" w:sz="4" w:space="0" w:color="auto"/>
            </w:tcBorders>
            <w:shd w:val="clear" w:color="auto" w:fill="FABF8F" w:themeFill="accent6" w:themeFillTint="99"/>
          </w:tcPr>
          <w:p w:rsidR="008A2D26" w:rsidRPr="009E13BE" w:rsidRDefault="008A2D26" w:rsidP="0081003B">
            <w:pPr>
              <w:rPr>
                <w:rFonts w:ascii="Calibri" w:eastAsia="Calibri" w:hAnsi="Calibri" w:cstheme="minorBidi"/>
                <w:szCs w:val="20"/>
                <w:lang w:eastAsia="en-US"/>
              </w:rPr>
            </w:pPr>
            <w:r w:rsidRPr="005B3448">
              <w:rPr>
                <w:rFonts w:ascii="Calibri" w:eastAsia="Calibri" w:hAnsi="Calibri" w:cstheme="minorBidi"/>
                <w:szCs w:val="20"/>
                <w:lang w:eastAsia="en-US"/>
              </w:rPr>
              <w:t>17-najmniej</w:t>
            </w:r>
            <w:r w:rsidRPr="009E13BE">
              <w:rPr>
                <w:rFonts w:ascii="Calibri" w:eastAsia="Calibri" w:hAnsi="Calibri" w:cstheme="minorBidi"/>
                <w:szCs w:val="20"/>
                <w:lang w:eastAsia="en-US"/>
              </w:rPr>
              <w:t xml:space="preserve"> spośród podobszarów</w:t>
            </w:r>
            <w:r w:rsidR="00701BE6">
              <w:rPr>
                <w:rFonts w:ascii="Calibri" w:eastAsia="Calibri" w:hAnsi="Calibri" w:cstheme="minorBidi"/>
                <w:szCs w:val="20"/>
                <w:lang w:eastAsia="en-US"/>
              </w:rPr>
              <w:t>.</w:t>
            </w:r>
          </w:p>
        </w:tc>
        <w:tc>
          <w:tcPr>
            <w:tcW w:w="728" w:type="pct"/>
            <w:tcBorders>
              <w:bottom w:val="single" w:sz="4" w:space="0" w:color="auto"/>
            </w:tcBorders>
            <w:shd w:val="clear" w:color="auto" w:fill="E36C0A" w:themeFill="accent6" w:themeFillShade="BF"/>
          </w:tcPr>
          <w:p w:rsidR="008A2D26" w:rsidRPr="009E13BE" w:rsidRDefault="008A2D26" w:rsidP="00253AB3">
            <w:pPr>
              <w:rPr>
                <w:rFonts w:ascii="Calibri" w:eastAsia="Calibri" w:hAnsi="Calibri" w:cstheme="minorBidi"/>
                <w:szCs w:val="20"/>
                <w:lang w:eastAsia="en-US"/>
              </w:rPr>
            </w:pPr>
            <w:r w:rsidRPr="009E13BE">
              <w:rPr>
                <w:rFonts w:ascii="Calibri" w:eastAsia="Calibri" w:hAnsi="Calibri" w:cstheme="minorBidi"/>
                <w:szCs w:val="20"/>
                <w:lang w:eastAsia="en-US"/>
              </w:rPr>
              <w:t>29 - wskaźnik najwyższy w mieście. Problem występuje w</w:t>
            </w:r>
            <w:r w:rsidR="00253AB3">
              <w:rPr>
                <w:rFonts w:ascii="Calibri" w:eastAsia="Calibri" w:hAnsi="Calibri" w:cstheme="minorBidi"/>
                <w:szCs w:val="20"/>
                <w:lang w:eastAsia="en-US"/>
              </w:rPr>
              <w:t> </w:t>
            </w:r>
            <w:r w:rsidRPr="009E13BE">
              <w:rPr>
                <w:rFonts w:ascii="Calibri" w:eastAsia="Calibri" w:hAnsi="Calibri" w:cstheme="minorBidi"/>
                <w:szCs w:val="20"/>
                <w:lang w:eastAsia="en-US"/>
              </w:rPr>
              <w:t>kilku kwartałach, nie na całym podobszarze</w:t>
            </w:r>
            <w:r w:rsidR="00701BE6">
              <w:rPr>
                <w:rFonts w:ascii="Calibri" w:eastAsia="Calibri" w:hAnsi="Calibri" w:cstheme="minorBidi"/>
                <w:szCs w:val="20"/>
                <w:lang w:eastAsia="en-US"/>
              </w:rPr>
              <w:t>.</w:t>
            </w:r>
          </w:p>
        </w:tc>
        <w:tc>
          <w:tcPr>
            <w:tcW w:w="721" w:type="pct"/>
            <w:tcBorders>
              <w:bottom w:val="single" w:sz="4" w:space="0" w:color="auto"/>
            </w:tcBorders>
            <w:shd w:val="clear" w:color="auto" w:fill="FABF8F" w:themeFill="accent6" w:themeFillTint="99"/>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21 – Problem występuje w kilku kwartałach, nie na całym podobszarze</w:t>
            </w:r>
            <w:r w:rsidR="00701BE6">
              <w:rPr>
                <w:rFonts w:ascii="Calibri" w:eastAsia="Calibri" w:hAnsi="Calibri" w:cstheme="minorBidi"/>
                <w:szCs w:val="20"/>
                <w:lang w:eastAsia="en-US"/>
              </w:rPr>
              <w:t>.</w:t>
            </w:r>
          </w:p>
        </w:tc>
        <w:tc>
          <w:tcPr>
            <w:tcW w:w="690" w:type="pct"/>
            <w:tcBorders>
              <w:bottom w:val="single" w:sz="4" w:space="0" w:color="auto"/>
            </w:tcBorders>
            <w:shd w:val="clear" w:color="auto" w:fill="E36C0A" w:themeFill="accent6" w:themeFillShade="BF"/>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27 – ponad</w:t>
            </w:r>
            <w:r w:rsidR="006A399E">
              <w:rPr>
                <w:rFonts w:ascii="Calibri" w:eastAsia="Calibri" w:hAnsi="Calibri" w:cstheme="minorBidi"/>
                <w:szCs w:val="20"/>
                <w:lang w:eastAsia="en-US"/>
              </w:rPr>
              <w:t xml:space="preserve"> dwukrotnie więcej niż średnio.</w:t>
            </w:r>
            <w:r w:rsidRPr="009E13BE">
              <w:rPr>
                <w:rFonts w:ascii="Calibri" w:eastAsia="Calibri" w:hAnsi="Calibri" w:cstheme="minorBidi"/>
                <w:szCs w:val="20"/>
                <w:lang w:eastAsia="en-US"/>
              </w:rPr>
              <w:t xml:space="preserve"> Problem występuje w kilku kwartałach, nie na całym podobszarze</w:t>
            </w:r>
            <w:r w:rsidR="00701BE6">
              <w:rPr>
                <w:rFonts w:ascii="Calibri" w:eastAsia="Calibri" w:hAnsi="Calibri" w:cstheme="minorBidi"/>
                <w:szCs w:val="20"/>
                <w:lang w:eastAsia="en-US"/>
              </w:rPr>
              <w:t>.</w:t>
            </w:r>
          </w:p>
        </w:tc>
        <w:tc>
          <w:tcPr>
            <w:tcW w:w="702" w:type="pct"/>
            <w:tcBorders>
              <w:bottom w:val="single" w:sz="4" w:space="0" w:color="auto"/>
            </w:tcBorders>
            <w:shd w:val="clear" w:color="auto" w:fill="FABF8F" w:themeFill="accent6" w:themeFillTint="99"/>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23 - Problem występuje w kilku kwartałach, nie na całym podobszarze</w:t>
            </w:r>
            <w:r w:rsidR="00701BE6">
              <w:rPr>
                <w:rFonts w:ascii="Calibri" w:eastAsia="Calibri" w:hAnsi="Calibri" w:cstheme="minorBidi"/>
                <w:szCs w:val="20"/>
                <w:lang w:eastAsia="en-US"/>
              </w:rPr>
              <w:t>.</w:t>
            </w:r>
          </w:p>
        </w:tc>
        <w:tc>
          <w:tcPr>
            <w:tcW w:w="733" w:type="pct"/>
            <w:tcBorders>
              <w:bottom w:val="single" w:sz="4" w:space="0" w:color="auto"/>
            </w:tcBorders>
            <w:shd w:val="clear" w:color="auto" w:fill="92D050"/>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Nie odnotowano przypadków przemocy</w:t>
            </w:r>
            <w:r w:rsidR="00701BE6">
              <w:rPr>
                <w:rFonts w:ascii="Calibri" w:eastAsia="Calibri" w:hAnsi="Calibri" w:cstheme="minorBidi"/>
                <w:szCs w:val="20"/>
                <w:lang w:eastAsia="en-US"/>
              </w:rPr>
              <w:t>.</w:t>
            </w:r>
          </w:p>
        </w:tc>
      </w:tr>
      <w:tr w:rsidR="008A2D26" w:rsidRPr="00082724" w:rsidTr="00051FBC">
        <w:tc>
          <w:tcPr>
            <w:tcW w:w="694" w:type="pct"/>
            <w:shd w:val="clear" w:color="auto" w:fill="auto"/>
          </w:tcPr>
          <w:p w:rsidR="008A2D26" w:rsidRPr="002D3B22" w:rsidRDefault="002D3B22" w:rsidP="0081003B">
            <w:pPr>
              <w:rPr>
                <w:rFonts w:eastAsia="Calibri" w:cstheme="minorBidi"/>
                <w:b/>
                <w:smallCaps/>
                <w:sz w:val="18"/>
                <w:szCs w:val="18"/>
                <w:lang w:eastAsia="en-US"/>
              </w:rPr>
            </w:pPr>
            <w:r w:rsidRPr="002D3B22">
              <w:rPr>
                <w:rFonts w:eastAsia="Calibri" w:cstheme="minorBidi"/>
                <w:b/>
                <w:smallCaps/>
                <w:sz w:val="18"/>
                <w:szCs w:val="18"/>
                <w:lang w:eastAsia="en-US"/>
              </w:rPr>
              <w:t>CZYNY KARALNE NIELETNICH</w:t>
            </w:r>
          </w:p>
        </w:tc>
        <w:tc>
          <w:tcPr>
            <w:tcW w:w="733" w:type="pct"/>
            <w:shd w:val="clear" w:color="auto" w:fill="92D050"/>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Nie odnotowano</w:t>
            </w:r>
            <w:r w:rsidR="00701BE6">
              <w:rPr>
                <w:rFonts w:ascii="Calibri" w:eastAsia="Calibri" w:hAnsi="Calibri" w:cstheme="minorBidi"/>
                <w:szCs w:val="20"/>
                <w:lang w:eastAsia="en-US"/>
              </w:rPr>
              <w:t>.</w:t>
            </w:r>
          </w:p>
        </w:tc>
        <w:tc>
          <w:tcPr>
            <w:tcW w:w="728" w:type="pct"/>
            <w:shd w:val="clear" w:color="auto" w:fill="92D050"/>
          </w:tcPr>
          <w:p w:rsidR="008A2D26" w:rsidRPr="009E13BE" w:rsidRDefault="008A2D26" w:rsidP="006A399E">
            <w:pPr>
              <w:rPr>
                <w:rFonts w:ascii="Calibri" w:eastAsia="Calibri" w:hAnsi="Calibri" w:cstheme="minorBidi"/>
                <w:szCs w:val="20"/>
                <w:lang w:eastAsia="en-US"/>
              </w:rPr>
            </w:pPr>
            <w:r w:rsidRPr="009E13BE">
              <w:rPr>
                <w:rFonts w:ascii="Calibri" w:eastAsia="Calibri" w:hAnsi="Calibri" w:cstheme="minorBidi"/>
                <w:szCs w:val="20"/>
                <w:lang w:eastAsia="en-US"/>
              </w:rPr>
              <w:t>Znacznie mniej w</w:t>
            </w:r>
            <w:r w:rsidR="006A399E">
              <w:rPr>
                <w:rFonts w:ascii="Calibri" w:eastAsia="Calibri" w:hAnsi="Calibri" w:cstheme="minorBidi"/>
                <w:szCs w:val="20"/>
                <w:lang w:eastAsia="en-US"/>
              </w:rPr>
              <w:t> </w:t>
            </w:r>
            <w:r w:rsidRPr="009E13BE">
              <w:rPr>
                <w:rFonts w:ascii="Calibri" w:eastAsia="Calibri" w:hAnsi="Calibri" w:cstheme="minorBidi"/>
                <w:szCs w:val="20"/>
                <w:lang w:eastAsia="en-US"/>
              </w:rPr>
              <w:t>stosunku do populacji niż średnio w mieście</w:t>
            </w:r>
            <w:r w:rsidR="00701BE6">
              <w:rPr>
                <w:rFonts w:ascii="Calibri" w:eastAsia="Calibri" w:hAnsi="Calibri" w:cstheme="minorBidi"/>
                <w:szCs w:val="20"/>
                <w:lang w:eastAsia="en-US"/>
              </w:rPr>
              <w:t>.</w:t>
            </w:r>
          </w:p>
        </w:tc>
        <w:tc>
          <w:tcPr>
            <w:tcW w:w="721" w:type="pct"/>
            <w:shd w:val="clear" w:color="auto" w:fill="984806" w:themeFill="accent6" w:themeFillShade="80"/>
          </w:tcPr>
          <w:p w:rsidR="008A2D26" w:rsidRPr="009E13BE" w:rsidRDefault="008A2D26" w:rsidP="006A399E">
            <w:pPr>
              <w:rPr>
                <w:rFonts w:ascii="Calibri" w:eastAsia="Calibri" w:hAnsi="Calibri" w:cstheme="minorBidi"/>
                <w:szCs w:val="20"/>
                <w:lang w:eastAsia="en-US"/>
              </w:rPr>
            </w:pPr>
            <w:r w:rsidRPr="009E13BE">
              <w:rPr>
                <w:rFonts w:ascii="Calibri" w:eastAsia="Calibri" w:hAnsi="Calibri" w:cstheme="minorBidi"/>
                <w:szCs w:val="20"/>
                <w:lang w:eastAsia="en-US"/>
              </w:rPr>
              <w:t xml:space="preserve">Trzykrotnie więcej </w:t>
            </w:r>
            <w:r w:rsidRPr="00565317">
              <w:rPr>
                <w:rFonts w:ascii="Calibri" w:eastAsia="Calibri" w:hAnsi="Calibri" w:cstheme="minorBidi"/>
                <w:spacing w:val="-6"/>
                <w:szCs w:val="20"/>
                <w:lang w:eastAsia="en-US"/>
              </w:rPr>
              <w:t>w</w:t>
            </w:r>
            <w:r w:rsidR="00565317" w:rsidRPr="00565317">
              <w:rPr>
                <w:rFonts w:ascii="Calibri" w:eastAsia="Calibri" w:hAnsi="Calibri" w:cstheme="minorBidi"/>
                <w:spacing w:val="-6"/>
                <w:szCs w:val="20"/>
                <w:lang w:eastAsia="en-US"/>
              </w:rPr>
              <w:t> </w:t>
            </w:r>
            <w:r w:rsidRPr="00565317">
              <w:rPr>
                <w:rFonts w:ascii="Calibri" w:eastAsia="Calibri" w:hAnsi="Calibri" w:cstheme="minorBidi"/>
                <w:spacing w:val="-6"/>
                <w:szCs w:val="20"/>
                <w:lang w:eastAsia="en-US"/>
              </w:rPr>
              <w:t>stosunku</w:t>
            </w:r>
            <w:r w:rsidRPr="00565317">
              <w:rPr>
                <w:rFonts w:ascii="Calibri" w:eastAsia="Calibri" w:hAnsi="Calibri" w:cstheme="minorBidi"/>
                <w:spacing w:val="-10"/>
                <w:szCs w:val="20"/>
                <w:lang w:eastAsia="en-US"/>
              </w:rPr>
              <w:t xml:space="preserve"> do populacji</w:t>
            </w:r>
            <w:r w:rsidRPr="00565317">
              <w:rPr>
                <w:rFonts w:ascii="Calibri" w:eastAsia="Calibri" w:hAnsi="Calibri" w:cstheme="minorBidi"/>
                <w:spacing w:val="-11"/>
                <w:szCs w:val="20"/>
                <w:lang w:eastAsia="en-US"/>
              </w:rPr>
              <w:t xml:space="preserve"> </w:t>
            </w:r>
            <w:r w:rsidRPr="009E13BE">
              <w:rPr>
                <w:rFonts w:ascii="Calibri" w:eastAsia="Calibri" w:hAnsi="Calibri" w:cstheme="minorBidi"/>
                <w:szCs w:val="20"/>
                <w:lang w:eastAsia="en-US"/>
              </w:rPr>
              <w:t>niż średnio w mieście. Problem występuje w</w:t>
            </w:r>
            <w:r w:rsidR="006A399E">
              <w:rPr>
                <w:rFonts w:ascii="Calibri" w:eastAsia="Calibri" w:hAnsi="Calibri" w:cstheme="minorBidi"/>
                <w:szCs w:val="20"/>
                <w:lang w:eastAsia="en-US"/>
              </w:rPr>
              <w:t> </w:t>
            </w:r>
            <w:r w:rsidRPr="009E13BE">
              <w:rPr>
                <w:rFonts w:ascii="Calibri" w:eastAsia="Calibri" w:hAnsi="Calibri" w:cstheme="minorBidi"/>
                <w:szCs w:val="20"/>
                <w:lang w:eastAsia="en-US"/>
              </w:rPr>
              <w:t>kilku</w:t>
            </w:r>
            <w:r w:rsidRPr="006A399E">
              <w:rPr>
                <w:rFonts w:ascii="Calibri" w:eastAsia="Calibri" w:hAnsi="Calibri" w:cstheme="minorBidi"/>
                <w:sz w:val="12"/>
                <w:szCs w:val="20"/>
                <w:lang w:eastAsia="en-US"/>
              </w:rPr>
              <w:t xml:space="preserve"> </w:t>
            </w:r>
            <w:r w:rsidRPr="009E13BE">
              <w:rPr>
                <w:rFonts w:ascii="Calibri" w:eastAsia="Calibri" w:hAnsi="Calibri" w:cstheme="minorBidi"/>
                <w:szCs w:val="20"/>
                <w:lang w:eastAsia="en-US"/>
              </w:rPr>
              <w:t>kwartałach</w:t>
            </w:r>
            <w:r w:rsidRPr="006A399E">
              <w:rPr>
                <w:rFonts w:ascii="Calibri" w:eastAsia="Calibri" w:hAnsi="Calibri" w:cstheme="minorBidi"/>
                <w:sz w:val="16"/>
                <w:szCs w:val="20"/>
                <w:lang w:eastAsia="en-US"/>
              </w:rPr>
              <w:t>,</w:t>
            </w:r>
            <w:r w:rsidRPr="009E13BE">
              <w:rPr>
                <w:rFonts w:ascii="Calibri" w:eastAsia="Calibri" w:hAnsi="Calibri" w:cstheme="minorBidi"/>
                <w:szCs w:val="20"/>
                <w:lang w:eastAsia="en-US"/>
              </w:rPr>
              <w:t xml:space="preserve"> nie</w:t>
            </w:r>
            <w:r w:rsidRPr="00701BE6">
              <w:rPr>
                <w:rFonts w:ascii="Calibri" w:eastAsia="Calibri" w:hAnsi="Calibri" w:cstheme="minorBidi"/>
                <w:sz w:val="8"/>
                <w:szCs w:val="20"/>
                <w:lang w:eastAsia="en-US"/>
              </w:rPr>
              <w:t xml:space="preserve"> </w:t>
            </w:r>
            <w:r w:rsidRPr="009E13BE">
              <w:rPr>
                <w:rFonts w:ascii="Calibri" w:eastAsia="Calibri" w:hAnsi="Calibri" w:cstheme="minorBidi"/>
                <w:szCs w:val="20"/>
                <w:lang w:eastAsia="en-US"/>
              </w:rPr>
              <w:t>na całym</w:t>
            </w:r>
            <w:r w:rsidRPr="00701BE6">
              <w:rPr>
                <w:rFonts w:ascii="Calibri" w:eastAsia="Calibri" w:hAnsi="Calibri" w:cstheme="minorBidi"/>
                <w:sz w:val="8"/>
                <w:szCs w:val="20"/>
                <w:lang w:eastAsia="en-US"/>
              </w:rPr>
              <w:t xml:space="preserve"> </w:t>
            </w:r>
            <w:r w:rsidRPr="009E13BE">
              <w:rPr>
                <w:rFonts w:ascii="Calibri" w:eastAsia="Calibri" w:hAnsi="Calibri" w:cstheme="minorBidi"/>
                <w:szCs w:val="20"/>
                <w:lang w:eastAsia="en-US"/>
              </w:rPr>
              <w:t>podobszarze</w:t>
            </w:r>
            <w:r w:rsidR="00701BE6">
              <w:rPr>
                <w:rFonts w:ascii="Calibri" w:eastAsia="Calibri" w:hAnsi="Calibri" w:cstheme="minorBidi"/>
                <w:szCs w:val="20"/>
                <w:lang w:eastAsia="en-US"/>
              </w:rPr>
              <w:t>.</w:t>
            </w:r>
          </w:p>
        </w:tc>
        <w:tc>
          <w:tcPr>
            <w:tcW w:w="690" w:type="pct"/>
            <w:shd w:val="clear" w:color="auto" w:fill="FABF8F" w:themeFill="accent6" w:themeFillTint="99"/>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Nieco większe nasilenie niż średnio w mieście. Problem występuje w kilku kwartałach, nie na całym podobszarze</w:t>
            </w:r>
            <w:r w:rsidR="00701BE6">
              <w:rPr>
                <w:rFonts w:ascii="Calibri" w:eastAsia="Calibri" w:hAnsi="Calibri" w:cstheme="minorBidi"/>
                <w:szCs w:val="20"/>
                <w:lang w:eastAsia="en-US"/>
              </w:rPr>
              <w:t>.</w:t>
            </w:r>
          </w:p>
        </w:tc>
        <w:tc>
          <w:tcPr>
            <w:tcW w:w="702" w:type="pct"/>
            <w:shd w:val="clear" w:color="auto" w:fill="auto"/>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Przeciętnie</w:t>
            </w:r>
            <w:r w:rsidR="00701BE6">
              <w:rPr>
                <w:rFonts w:ascii="Calibri" w:eastAsia="Calibri" w:hAnsi="Calibri" w:cstheme="minorBidi"/>
                <w:szCs w:val="20"/>
                <w:lang w:eastAsia="en-US"/>
              </w:rPr>
              <w:t>.</w:t>
            </w:r>
          </w:p>
        </w:tc>
        <w:tc>
          <w:tcPr>
            <w:tcW w:w="733" w:type="pct"/>
            <w:shd w:val="clear" w:color="auto" w:fill="92D050"/>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Nie odnotowano</w:t>
            </w:r>
            <w:r w:rsidR="00701BE6">
              <w:rPr>
                <w:rFonts w:ascii="Calibri" w:eastAsia="Calibri" w:hAnsi="Calibri" w:cstheme="minorBidi"/>
                <w:szCs w:val="20"/>
                <w:lang w:eastAsia="en-US"/>
              </w:rPr>
              <w:t>.</w:t>
            </w:r>
          </w:p>
        </w:tc>
      </w:tr>
      <w:tr w:rsidR="008A2D26" w:rsidRPr="00082724" w:rsidTr="00051FBC">
        <w:tc>
          <w:tcPr>
            <w:tcW w:w="694" w:type="pct"/>
          </w:tcPr>
          <w:p w:rsidR="008A2D26" w:rsidRPr="002D3B22" w:rsidRDefault="002D3B22" w:rsidP="0081003B">
            <w:pPr>
              <w:rPr>
                <w:rFonts w:eastAsia="Calibri" w:cstheme="minorBidi"/>
                <w:b/>
                <w:smallCaps/>
                <w:sz w:val="18"/>
                <w:szCs w:val="18"/>
                <w:lang w:eastAsia="en-US"/>
              </w:rPr>
            </w:pPr>
            <w:r w:rsidRPr="002D3B22">
              <w:rPr>
                <w:rFonts w:eastAsia="Calibri" w:cstheme="minorBidi"/>
                <w:b/>
                <w:smallCaps/>
                <w:sz w:val="18"/>
                <w:szCs w:val="18"/>
                <w:lang w:eastAsia="en-US"/>
              </w:rPr>
              <w:t>ZASIŁKI Z POWODU ALKOHOLIZMU NA 1 TYS. OSÓB (BYTOM: 2,6 OS. NA 1 TYS.)</w:t>
            </w:r>
          </w:p>
        </w:tc>
        <w:tc>
          <w:tcPr>
            <w:tcW w:w="733" w:type="pct"/>
            <w:tcBorders>
              <w:bottom w:val="single" w:sz="4" w:space="0" w:color="auto"/>
            </w:tcBorders>
            <w:shd w:val="clear" w:color="auto" w:fill="FABF8F" w:themeFill="accent6" w:themeFillTint="99"/>
          </w:tcPr>
          <w:p w:rsidR="008A2D26" w:rsidRPr="009E13BE" w:rsidRDefault="008A2D26" w:rsidP="005B3448">
            <w:pPr>
              <w:rPr>
                <w:rFonts w:ascii="Calibri" w:eastAsia="Calibri" w:hAnsi="Calibri" w:cstheme="minorBidi"/>
                <w:szCs w:val="20"/>
                <w:lang w:eastAsia="en-US"/>
              </w:rPr>
            </w:pPr>
            <w:r w:rsidRPr="009E13BE">
              <w:rPr>
                <w:rFonts w:ascii="Calibri" w:eastAsia="Calibri" w:hAnsi="Calibri" w:cstheme="minorBidi"/>
                <w:szCs w:val="20"/>
                <w:lang w:eastAsia="en-US"/>
              </w:rPr>
              <w:t>Wskaźnik dwukrotnie większy niż dla miasta. Koncentracja zjawiska występuje w</w:t>
            </w:r>
            <w:r w:rsidR="005B3448">
              <w:rPr>
                <w:rFonts w:ascii="Calibri" w:eastAsia="Calibri" w:hAnsi="Calibri" w:cstheme="minorBidi"/>
                <w:szCs w:val="20"/>
                <w:lang w:eastAsia="en-US"/>
              </w:rPr>
              <w:t> </w:t>
            </w:r>
            <w:r w:rsidRPr="009E13BE">
              <w:rPr>
                <w:rFonts w:ascii="Calibri" w:eastAsia="Calibri" w:hAnsi="Calibri" w:cstheme="minorBidi"/>
                <w:szCs w:val="20"/>
                <w:lang w:eastAsia="en-US"/>
              </w:rPr>
              <w:t>określonych kwartałach, nie na całym podobszarze</w:t>
            </w:r>
            <w:r w:rsidR="00701BE6">
              <w:rPr>
                <w:rFonts w:ascii="Calibri" w:eastAsia="Calibri" w:hAnsi="Calibri" w:cstheme="minorBidi"/>
                <w:szCs w:val="20"/>
                <w:lang w:eastAsia="en-US"/>
              </w:rPr>
              <w:t>.</w:t>
            </w:r>
          </w:p>
        </w:tc>
        <w:tc>
          <w:tcPr>
            <w:tcW w:w="728" w:type="pct"/>
            <w:tcBorders>
              <w:bottom w:val="single" w:sz="4" w:space="0" w:color="auto"/>
            </w:tcBorders>
            <w:shd w:val="clear" w:color="auto" w:fill="984806" w:themeFill="accent6" w:themeFillShade="80"/>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7-najwyższy wskaźnik. Koncentracja zjawiska występuje w określonych kwartałach, nie na całym podobszarze</w:t>
            </w:r>
            <w:r w:rsidR="00701BE6">
              <w:rPr>
                <w:rFonts w:ascii="Calibri" w:eastAsia="Calibri" w:hAnsi="Calibri" w:cstheme="minorBidi"/>
                <w:szCs w:val="20"/>
                <w:lang w:eastAsia="en-US"/>
              </w:rPr>
              <w:t>.</w:t>
            </w:r>
          </w:p>
        </w:tc>
        <w:tc>
          <w:tcPr>
            <w:tcW w:w="721" w:type="pct"/>
            <w:tcBorders>
              <w:bottom w:val="single" w:sz="4" w:space="0" w:color="auto"/>
            </w:tcBorders>
            <w:shd w:val="clear" w:color="auto" w:fill="E36C0A" w:themeFill="accent6" w:themeFillShade="BF"/>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Wskaźnik ponad dwukrotnie większy niż dla miasta. Koncentracja zjawiska występuje w określonych kwartałach, nie na całym podobszarze</w:t>
            </w:r>
            <w:r w:rsidR="00701BE6">
              <w:rPr>
                <w:rFonts w:ascii="Calibri" w:eastAsia="Calibri" w:hAnsi="Calibri" w:cstheme="minorBidi"/>
                <w:szCs w:val="20"/>
                <w:lang w:eastAsia="en-US"/>
              </w:rPr>
              <w:t>.</w:t>
            </w:r>
          </w:p>
        </w:tc>
        <w:tc>
          <w:tcPr>
            <w:tcW w:w="690" w:type="pct"/>
            <w:tcBorders>
              <w:bottom w:val="single" w:sz="4" w:space="0" w:color="auto"/>
            </w:tcBorders>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Wskaźnik nieznacznie powyżej średniej dla miasta</w:t>
            </w:r>
            <w:r w:rsidR="00701BE6">
              <w:rPr>
                <w:rFonts w:ascii="Calibri" w:eastAsia="Calibri" w:hAnsi="Calibri" w:cstheme="minorBidi"/>
                <w:szCs w:val="20"/>
                <w:lang w:eastAsia="en-US"/>
              </w:rPr>
              <w:t>.</w:t>
            </w:r>
          </w:p>
        </w:tc>
        <w:tc>
          <w:tcPr>
            <w:tcW w:w="702" w:type="pct"/>
            <w:shd w:val="clear" w:color="auto" w:fill="E36C0A" w:themeFill="accent6" w:themeFillShade="BF"/>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Wskaźnik ponad dwukrotnie większy niż dla miasta. Koncentracja zjawiska występuje w określonych kwartałach, nie na całym podobszarze</w:t>
            </w:r>
            <w:r w:rsidR="00701BE6">
              <w:rPr>
                <w:rFonts w:ascii="Calibri" w:eastAsia="Calibri" w:hAnsi="Calibri" w:cstheme="minorBidi"/>
                <w:szCs w:val="20"/>
                <w:lang w:eastAsia="en-US"/>
              </w:rPr>
              <w:t>.</w:t>
            </w:r>
          </w:p>
        </w:tc>
        <w:tc>
          <w:tcPr>
            <w:tcW w:w="733" w:type="pct"/>
            <w:tcBorders>
              <w:bottom w:val="single" w:sz="4" w:space="0" w:color="auto"/>
            </w:tcBorders>
            <w:shd w:val="clear" w:color="auto" w:fill="92D050"/>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Brak zasiłków z tytułu uzależnienia</w:t>
            </w:r>
            <w:r w:rsidR="00701BE6">
              <w:rPr>
                <w:rFonts w:ascii="Calibri" w:eastAsia="Calibri" w:hAnsi="Calibri" w:cstheme="minorBidi"/>
                <w:szCs w:val="20"/>
                <w:lang w:eastAsia="en-US"/>
              </w:rPr>
              <w:t>.</w:t>
            </w:r>
          </w:p>
        </w:tc>
      </w:tr>
      <w:tr w:rsidR="008A2D26" w:rsidRPr="00082724" w:rsidTr="00051FBC">
        <w:tc>
          <w:tcPr>
            <w:tcW w:w="694" w:type="pct"/>
          </w:tcPr>
          <w:p w:rsidR="008A2D26" w:rsidRPr="002D3B22" w:rsidRDefault="002D3B22" w:rsidP="005B3448">
            <w:pPr>
              <w:rPr>
                <w:rFonts w:eastAsia="Calibri" w:cstheme="minorBidi"/>
                <w:b/>
                <w:smallCaps/>
                <w:sz w:val="18"/>
                <w:szCs w:val="18"/>
                <w:lang w:eastAsia="en-US"/>
              </w:rPr>
            </w:pPr>
            <w:r w:rsidRPr="002D3B22">
              <w:rPr>
                <w:rFonts w:eastAsia="Calibri" w:cstheme="minorBidi"/>
                <w:b/>
                <w:smallCaps/>
                <w:sz w:val="18"/>
                <w:szCs w:val="18"/>
                <w:lang w:eastAsia="en-US"/>
              </w:rPr>
              <w:t>BEZRADNOŚĆ W</w:t>
            </w:r>
            <w:r w:rsidR="005B3448">
              <w:rPr>
                <w:rFonts w:eastAsia="Calibri" w:cstheme="minorBidi"/>
                <w:b/>
                <w:smallCaps/>
                <w:sz w:val="18"/>
                <w:szCs w:val="18"/>
                <w:lang w:eastAsia="en-US"/>
              </w:rPr>
              <w:t> </w:t>
            </w:r>
            <w:r w:rsidRPr="002D3B22">
              <w:rPr>
                <w:rFonts w:eastAsia="Calibri" w:cstheme="minorBidi"/>
                <w:b/>
                <w:smallCaps/>
                <w:sz w:val="18"/>
                <w:szCs w:val="18"/>
                <w:lang w:eastAsia="en-US"/>
              </w:rPr>
              <w:t>SPRAWACH OPIEKUŃCZO WYCHOWAWCZYCH</w:t>
            </w:r>
          </w:p>
        </w:tc>
        <w:tc>
          <w:tcPr>
            <w:tcW w:w="733" w:type="pct"/>
            <w:tcBorders>
              <w:bottom w:val="single" w:sz="4" w:space="0" w:color="auto"/>
            </w:tcBorders>
            <w:shd w:val="clear" w:color="auto" w:fill="984806" w:themeFill="accent6" w:themeFillShade="80"/>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Wybitne nasilenie problemu. Co czwarta osoba żyje w rodzinie dotkniętej problemem (!!)</w:t>
            </w:r>
            <w:r w:rsidR="00701BE6">
              <w:rPr>
                <w:rFonts w:ascii="Calibri" w:eastAsia="Calibri" w:hAnsi="Calibri" w:cstheme="minorBidi"/>
                <w:szCs w:val="20"/>
                <w:lang w:eastAsia="en-US"/>
              </w:rPr>
              <w:t>.</w:t>
            </w:r>
          </w:p>
        </w:tc>
        <w:tc>
          <w:tcPr>
            <w:tcW w:w="728" w:type="pct"/>
            <w:tcBorders>
              <w:bottom w:val="single" w:sz="4" w:space="0" w:color="auto"/>
            </w:tcBorders>
            <w:shd w:val="clear" w:color="auto" w:fill="E36C0A" w:themeFill="accent6" w:themeFillShade="BF"/>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Wskaźnik dwukrotnie przekracza średnią dla miasta. Co dziesiąta osoba żyje w rodzinie dotkniętej</w:t>
            </w:r>
            <w:r w:rsidRPr="00701BE6">
              <w:rPr>
                <w:rFonts w:ascii="Calibri" w:eastAsia="Calibri" w:hAnsi="Calibri" w:cstheme="minorBidi"/>
                <w:sz w:val="10"/>
                <w:szCs w:val="20"/>
                <w:lang w:eastAsia="en-US"/>
              </w:rPr>
              <w:t xml:space="preserve"> </w:t>
            </w:r>
            <w:r w:rsidRPr="009E13BE">
              <w:rPr>
                <w:rFonts w:ascii="Calibri" w:eastAsia="Calibri" w:hAnsi="Calibri" w:cstheme="minorBidi"/>
                <w:szCs w:val="20"/>
                <w:lang w:eastAsia="en-US"/>
              </w:rPr>
              <w:t>problemem</w:t>
            </w:r>
            <w:r w:rsidR="00701BE6" w:rsidRPr="00701BE6">
              <w:rPr>
                <w:rFonts w:ascii="Calibri" w:eastAsia="Calibri" w:hAnsi="Calibri" w:cstheme="minorBidi"/>
                <w:sz w:val="16"/>
                <w:szCs w:val="20"/>
                <w:lang w:eastAsia="en-US"/>
              </w:rPr>
              <w:t>.</w:t>
            </w:r>
          </w:p>
        </w:tc>
        <w:tc>
          <w:tcPr>
            <w:tcW w:w="721" w:type="pct"/>
            <w:tcBorders>
              <w:bottom w:val="single" w:sz="4" w:space="0" w:color="auto"/>
            </w:tcBorders>
            <w:shd w:val="clear" w:color="auto" w:fill="E36C0A" w:themeFill="accent6" w:themeFillShade="BF"/>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Wskaźnik dwukrotnie przekracza średnią dla miasta. Co dziesiąta osoba żyje w rodzinie dotkniętej</w:t>
            </w:r>
            <w:r w:rsidRPr="00701BE6">
              <w:rPr>
                <w:rFonts w:ascii="Calibri" w:eastAsia="Calibri" w:hAnsi="Calibri" w:cstheme="minorBidi"/>
                <w:sz w:val="8"/>
                <w:szCs w:val="20"/>
                <w:lang w:eastAsia="en-US"/>
              </w:rPr>
              <w:t xml:space="preserve"> </w:t>
            </w:r>
            <w:r w:rsidRPr="009E13BE">
              <w:rPr>
                <w:rFonts w:ascii="Calibri" w:eastAsia="Calibri" w:hAnsi="Calibri" w:cstheme="minorBidi"/>
                <w:szCs w:val="20"/>
                <w:lang w:eastAsia="en-US"/>
              </w:rPr>
              <w:t>problemem</w:t>
            </w:r>
            <w:r w:rsidR="00701BE6" w:rsidRPr="00701BE6">
              <w:rPr>
                <w:rFonts w:ascii="Calibri" w:eastAsia="Calibri" w:hAnsi="Calibri" w:cstheme="minorBidi"/>
                <w:sz w:val="12"/>
                <w:szCs w:val="20"/>
                <w:lang w:eastAsia="en-US"/>
              </w:rPr>
              <w:t>.</w:t>
            </w:r>
          </w:p>
        </w:tc>
        <w:tc>
          <w:tcPr>
            <w:tcW w:w="690" w:type="pct"/>
            <w:tcBorders>
              <w:bottom w:val="single" w:sz="4" w:space="0" w:color="auto"/>
            </w:tcBorders>
            <w:shd w:val="clear" w:color="auto" w:fill="92D050"/>
          </w:tcPr>
          <w:p w:rsidR="008A2D26" w:rsidRPr="009E13BE" w:rsidRDefault="008A2D26" w:rsidP="006A399E">
            <w:pPr>
              <w:rPr>
                <w:rFonts w:ascii="Calibri" w:eastAsia="Calibri" w:hAnsi="Calibri" w:cstheme="minorBidi"/>
                <w:szCs w:val="20"/>
                <w:lang w:eastAsia="en-US"/>
              </w:rPr>
            </w:pPr>
            <w:r w:rsidRPr="009E13BE">
              <w:rPr>
                <w:rFonts w:ascii="Calibri" w:eastAsia="Calibri" w:hAnsi="Calibri" w:cstheme="minorBidi"/>
                <w:szCs w:val="20"/>
                <w:lang w:eastAsia="en-US"/>
              </w:rPr>
              <w:t>Bez</w:t>
            </w:r>
            <w:r w:rsidR="006A399E">
              <w:rPr>
                <w:rFonts w:ascii="Calibri" w:eastAsia="Calibri" w:hAnsi="Calibri" w:cstheme="minorBidi"/>
                <w:szCs w:val="20"/>
                <w:lang w:eastAsia="en-US"/>
              </w:rPr>
              <w:t xml:space="preserve">radność występuje rzadziej niż </w:t>
            </w:r>
            <w:r w:rsidRPr="009E13BE">
              <w:rPr>
                <w:rFonts w:ascii="Calibri" w:eastAsia="Calibri" w:hAnsi="Calibri" w:cstheme="minorBidi"/>
                <w:szCs w:val="20"/>
                <w:lang w:eastAsia="en-US"/>
              </w:rPr>
              <w:t>średnio w</w:t>
            </w:r>
            <w:r w:rsidR="00253AB3">
              <w:rPr>
                <w:rFonts w:ascii="Calibri" w:eastAsia="Calibri" w:hAnsi="Calibri" w:cstheme="minorBidi"/>
                <w:szCs w:val="20"/>
                <w:lang w:eastAsia="en-US"/>
              </w:rPr>
              <w:t> </w:t>
            </w:r>
            <w:r w:rsidRPr="009E13BE">
              <w:rPr>
                <w:rFonts w:ascii="Calibri" w:eastAsia="Calibri" w:hAnsi="Calibri" w:cstheme="minorBidi"/>
                <w:szCs w:val="20"/>
                <w:lang w:eastAsia="en-US"/>
              </w:rPr>
              <w:t>mieście</w:t>
            </w:r>
            <w:r w:rsidR="00701BE6">
              <w:rPr>
                <w:rFonts w:ascii="Calibri" w:eastAsia="Calibri" w:hAnsi="Calibri" w:cstheme="minorBidi"/>
                <w:szCs w:val="20"/>
                <w:lang w:eastAsia="en-US"/>
              </w:rPr>
              <w:t>.</w:t>
            </w:r>
          </w:p>
        </w:tc>
        <w:tc>
          <w:tcPr>
            <w:tcW w:w="702" w:type="pct"/>
            <w:tcBorders>
              <w:bottom w:val="single" w:sz="4" w:space="0" w:color="auto"/>
            </w:tcBorders>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Przeciętna sytuacja.</w:t>
            </w:r>
          </w:p>
        </w:tc>
        <w:tc>
          <w:tcPr>
            <w:tcW w:w="733" w:type="pct"/>
            <w:tcBorders>
              <w:bottom w:val="single" w:sz="4" w:space="0" w:color="auto"/>
            </w:tcBorders>
            <w:shd w:val="clear" w:color="auto" w:fill="92D050"/>
          </w:tcPr>
          <w:p w:rsidR="008A2D26" w:rsidRPr="009E13BE" w:rsidRDefault="008A2D26" w:rsidP="006A399E">
            <w:pPr>
              <w:rPr>
                <w:rFonts w:ascii="Calibri" w:eastAsia="Calibri" w:hAnsi="Calibri" w:cstheme="minorBidi"/>
                <w:szCs w:val="20"/>
                <w:lang w:eastAsia="en-US"/>
              </w:rPr>
            </w:pPr>
            <w:r w:rsidRPr="009E13BE">
              <w:rPr>
                <w:rFonts w:ascii="Calibri" w:eastAsia="Calibri" w:hAnsi="Calibri" w:cstheme="minorBidi"/>
                <w:szCs w:val="20"/>
                <w:lang w:eastAsia="en-US"/>
              </w:rPr>
              <w:t>Bezradność występuje rzadzi</w:t>
            </w:r>
            <w:r w:rsidR="006A399E">
              <w:rPr>
                <w:rFonts w:ascii="Calibri" w:eastAsia="Calibri" w:hAnsi="Calibri" w:cstheme="minorBidi"/>
                <w:szCs w:val="20"/>
                <w:lang w:eastAsia="en-US"/>
              </w:rPr>
              <w:t xml:space="preserve">ej niż </w:t>
            </w:r>
            <w:r w:rsidRPr="009E13BE">
              <w:rPr>
                <w:rFonts w:ascii="Calibri" w:eastAsia="Calibri" w:hAnsi="Calibri" w:cstheme="minorBidi"/>
                <w:szCs w:val="20"/>
                <w:lang w:eastAsia="en-US"/>
              </w:rPr>
              <w:t>średnio w</w:t>
            </w:r>
            <w:r w:rsidR="006A399E">
              <w:rPr>
                <w:rFonts w:ascii="Calibri" w:eastAsia="Calibri" w:hAnsi="Calibri" w:cstheme="minorBidi"/>
                <w:szCs w:val="20"/>
                <w:lang w:eastAsia="en-US"/>
              </w:rPr>
              <w:t> </w:t>
            </w:r>
            <w:r w:rsidRPr="009E13BE">
              <w:rPr>
                <w:rFonts w:ascii="Calibri" w:eastAsia="Calibri" w:hAnsi="Calibri" w:cstheme="minorBidi"/>
                <w:szCs w:val="20"/>
                <w:lang w:eastAsia="en-US"/>
              </w:rPr>
              <w:t>mieście</w:t>
            </w:r>
            <w:r w:rsidR="00701BE6">
              <w:rPr>
                <w:rFonts w:ascii="Calibri" w:eastAsia="Calibri" w:hAnsi="Calibri" w:cstheme="minorBidi"/>
                <w:szCs w:val="20"/>
                <w:lang w:eastAsia="en-US"/>
              </w:rPr>
              <w:t>.</w:t>
            </w:r>
          </w:p>
        </w:tc>
      </w:tr>
      <w:tr w:rsidR="008A2D26" w:rsidRPr="00082724" w:rsidTr="00051FBC">
        <w:tc>
          <w:tcPr>
            <w:tcW w:w="694" w:type="pct"/>
          </w:tcPr>
          <w:p w:rsidR="008A2D26" w:rsidRPr="002D3B22" w:rsidRDefault="002D3B22" w:rsidP="00253AB3">
            <w:pPr>
              <w:rPr>
                <w:rFonts w:eastAsia="Calibri" w:cstheme="minorBidi"/>
                <w:b/>
                <w:smallCaps/>
                <w:sz w:val="18"/>
                <w:szCs w:val="18"/>
                <w:lang w:eastAsia="en-US"/>
              </w:rPr>
            </w:pPr>
            <w:r w:rsidRPr="002D3B22">
              <w:rPr>
                <w:rFonts w:eastAsia="Calibri" w:cstheme="minorBidi"/>
                <w:b/>
                <w:smallCaps/>
                <w:sz w:val="18"/>
                <w:szCs w:val="18"/>
                <w:lang w:eastAsia="en-US"/>
              </w:rPr>
              <w:t>OSOBY NIEPEŁNOSPRAWNE W POPULACJI</w:t>
            </w:r>
          </w:p>
        </w:tc>
        <w:tc>
          <w:tcPr>
            <w:tcW w:w="733" w:type="pct"/>
            <w:tcBorders>
              <w:bottom w:val="single" w:sz="4" w:space="0" w:color="auto"/>
            </w:tcBorders>
            <w:shd w:val="clear" w:color="auto" w:fill="984806" w:themeFill="accent6" w:themeFillShade="80"/>
          </w:tcPr>
          <w:p w:rsidR="008A2D26" w:rsidRPr="009E13BE" w:rsidRDefault="008A2D26" w:rsidP="00253AB3">
            <w:pPr>
              <w:rPr>
                <w:rFonts w:ascii="Calibri" w:eastAsia="Calibri" w:hAnsi="Calibri" w:cstheme="minorBidi"/>
                <w:szCs w:val="20"/>
                <w:lang w:eastAsia="en-US"/>
              </w:rPr>
            </w:pPr>
            <w:r w:rsidRPr="009E13BE">
              <w:rPr>
                <w:rFonts w:ascii="Calibri" w:eastAsia="Calibri" w:hAnsi="Calibri" w:cstheme="minorBidi"/>
                <w:szCs w:val="20"/>
                <w:lang w:eastAsia="en-US"/>
              </w:rPr>
              <w:t>Ponad trzykrotnie więcej osób niepełnosprawnych w</w:t>
            </w:r>
            <w:r w:rsidR="00253AB3">
              <w:rPr>
                <w:rFonts w:ascii="Calibri" w:eastAsia="Calibri" w:hAnsi="Calibri" w:cstheme="minorBidi"/>
                <w:szCs w:val="20"/>
                <w:lang w:eastAsia="en-US"/>
              </w:rPr>
              <w:t> </w:t>
            </w:r>
            <w:r w:rsidRPr="009E13BE">
              <w:rPr>
                <w:rFonts w:ascii="Calibri" w:eastAsia="Calibri" w:hAnsi="Calibri" w:cstheme="minorBidi"/>
                <w:szCs w:val="20"/>
                <w:lang w:eastAsia="en-US"/>
              </w:rPr>
              <w:t xml:space="preserve">populacji niż średnio </w:t>
            </w:r>
            <w:r w:rsidRPr="005B3448">
              <w:rPr>
                <w:rFonts w:ascii="Calibri" w:eastAsia="Calibri" w:hAnsi="Calibri" w:cstheme="minorBidi"/>
                <w:szCs w:val="20"/>
                <w:lang w:eastAsia="en-US"/>
              </w:rPr>
              <w:t>w mieście</w:t>
            </w:r>
            <w:r w:rsidR="00701BE6" w:rsidRPr="005B3448">
              <w:rPr>
                <w:rFonts w:ascii="Calibri" w:eastAsia="Calibri" w:hAnsi="Calibri" w:cstheme="minorBidi"/>
                <w:szCs w:val="20"/>
                <w:lang w:eastAsia="en-US"/>
              </w:rPr>
              <w:t>.</w:t>
            </w:r>
          </w:p>
        </w:tc>
        <w:tc>
          <w:tcPr>
            <w:tcW w:w="728" w:type="pct"/>
            <w:tcBorders>
              <w:bottom w:val="single" w:sz="4" w:space="0" w:color="auto"/>
            </w:tcBorders>
            <w:shd w:val="clear" w:color="auto" w:fill="E36C0A" w:themeFill="accent6" w:themeFillShade="BF"/>
          </w:tcPr>
          <w:p w:rsidR="008A2D26" w:rsidRPr="009E13BE" w:rsidRDefault="008A2D26" w:rsidP="00701BE6">
            <w:pPr>
              <w:rPr>
                <w:rFonts w:ascii="Calibri" w:eastAsia="Calibri" w:hAnsi="Calibri" w:cstheme="minorBidi"/>
                <w:szCs w:val="20"/>
                <w:lang w:eastAsia="en-US"/>
              </w:rPr>
            </w:pPr>
            <w:r w:rsidRPr="009E13BE">
              <w:rPr>
                <w:rFonts w:ascii="Calibri" w:eastAsia="Calibri" w:hAnsi="Calibri" w:cstheme="minorBidi"/>
                <w:szCs w:val="20"/>
                <w:lang w:eastAsia="en-US"/>
              </w:rPr>
              <w:t>Ponad dwukrotnie więcej osób niepełnosprawnych w</w:t>
            </w:r>
            <w:r w:rsidR="00701BE6">
              <w:rPr>
                <w:rFonts w:ascii="Calibri" w:eastAsia="Calibri" w:hAnsi="Calibri" w:cstheme="minorBidi"/>
                <w:szCs w:val="20"/>
                <w:lang w:eastAsia="en-US"/>
              </w:rPr>
              <w:t> </w:t>
            </w:r>
            <w:r w:rsidRPr="009E13BE">
              <w:rPr>
                <w:rFonts w:ascii="Calibri" w:eastAsia="Calibri" w:hAnsi="Calibri" w:cstheme="minorBidi"/>
                <w:szCs w:val="20"/>
                <w:lang w:eastAsia="en-US"/>
              </w:rPr>
              <w:t>populacji niż średnio w mieście</w:t>
            </w:r>
            <w:r w:rsidR="00701BE6">
              <w:rPr>
                <w:rFonts w:ascii="Calibri" w:eastAsia="Calibri" w:hAnsi="Calibri" w:cstheme="minorBidi"/>
                <w:szCs w:val="20"/>
                <w:lang w:eastAsia="en-US"/>
              </w:rPr>
              <w:t>.</w:t>
            </w:r>
          </w:p>
        </w:tc>
        <w:tc>
          <w:tcPr>
            <w:tcW w:w="721" w:type="pct"/>
            <w:tcBorders>
              <w:bottom w:val="single" w:sz="4" w:space="0" w:color="auto"/>
            </w:tcBorders>
            <w:shd w:val="clear" w:color="auto" w:fill="E36C0A" w:themeFill="accent6" w:themeFillShade="BF"/>
          </w:tcPr>
          <w:p w:rsidR="008A2D26" w:rsidRPr="009E13BE" w:rsidRDefault="008A2D26" w:rsidP="006A399E">
            <w:pPr>
              <w:rPr>
                <w:rFonts w:ascii="Calibri" w:eastAsia="Calibri" w:hAnsi="Calibri" w:cstheme="minorBidi"/>
                <w:szCs w:val="20"/>
                <w:lang w:eastAsia="en-US"/>
              </w:rPr>
            </w:pPr>
            <w:r w:rsidRPr="009E13BE">
              <w:rPr>
                <w:rFonts w:ascii="Calibri" w:eastAsia="Calibri" w:hAnsi="Calibri" w:cstheme="minorBidi"/>
                <w:szCs w:val="20"/>
                <w:lang w:eastAsia="en-US"/>
              </w:rPr>
              <w:t>Ponad dwukrotnie więcej osób niepełnosprawnych w</w:t>
            </w:r>
            <w:r w:rsidR="006A399E">
              <w:rPr>
                <w:rFonts w:ascii="Calibri" w:eastAsia="Calibri" w:hAnsi="Calibri" w:cstheme="minorBidi"/>
                <w:szCs w:val="20"/>
                <w:lang w:eastAsia="en-US"/>
              </w:rPr>
              <w:t> </w:t>
            </w:r>
            <w:r w:rsidRPr="009E13BE">
              <w:rPr>
                <w:rFonts w:ascii="Calibri" w:eastAsia="Calibri" w:hAnsi="Calibri" w:cstheme="minorBidi"/>
                <w:szCs w:val="20"/>
                <w:lang w:eastAsia="en-US"/>
              </w:rPr>
              <w:t>populacji niż średnio w mieście</w:t>
            </w:r>
            <w:r w:rsidR="00701BE6">
              <w:rPr>
                <w:rFonts w:ascii="Calibri" w:eastAsia="Calibri" w:hAnsi="Calibri" w:cstheme="minorBidi"/>
                <w:szCs w:val="20"/>
                <w:lang w:eastAsia="en-US"/>
              </w:rPr>
              <w:t>.</w:t>
            </w:r>
          </w:p>
        </w:tc>
        <w:tc>
          <w:tcPr>
            <w:tcW w:w="690" w:type="pct"/>
            <w:tcBorders>
              <w:bottom w:val="single" w:sz="4" w:space="0" w:color="auto"/>
            </w:tcBorders>
            <w:shd w:val="clear" w:color="auto" w:fill="92D050"/>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Mniej osób niepełnosprawnych w populacji niż średnio w mieście</w:t>
            </w:r>
            <w:r w:rsidR="00701BE6">
              <w:rPr>
                <w:rFonts w:ascii="Calibri" w:eastAsia="Calibri" w:hAnsi="Calibri" w:cstheme="minorBidi"/>
                <w:szCs w:val="20"/>
                <w:lang w:eastAsia="en-US"/>
              </w:rPr>
              <w:t>.</w:t>
            </w:r>
          </w:p>
        </w:tc>
        <w:tc>
          <w:tcPr>
            <w:tcW w:w="702" w:type="pct"/>
            <w:tcBorders>
              <w:bottom w:val="single" w:sz="4" w:space="0" w:color="auto"/>
            </w:tcBorders>
            <w:shd w:val="clear" w:color="auto" w:fill="FABF8F" w:themeFill="accent6" w:themeFillTint="99"/>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Nieco więcej osób niepełnosprawnych w populacji niż średnio w mieście</w:t>
            </w:r>
            <w:r w:rsidR="00701BE6">
              <w:rPr>
                <w:rFonts w:ascii="Calibri" w:eastAsia="Calibri" w:hAnsi="Calibri" w:cstheme="minorBidi"/>
                <w:szCs w:val="20"/>
                <w:lang w:eastAsia="en-US"/>
              </w:rPr>
              <w:t>.</w:t>
            </w:r>
          </w:p>
        </w:tc>
        <w:tc>
          <w:tcPr>
            <w:tcW w:w="733" w:type="pct"/>
            <w:tcBorders>
              <w:bottom w:val="single" w:sz="4" w:space="0" w:color="auto"/>
            </w:tcBorders>
            <w:shd w:val="clear" w:color="auto" w:fill="E36C0A" w:themeFill="accent6" w:themeFillShade="BF"/>
          </w:tcPr>
          <w:p w:rsidR="008A2D26" w:rsidRPr="009E13BE" w:rsidRDefault="008A2D26" w:rsidP="00253AB3">
            <w:pPr>
              <w:rPr>
                <w:rFonts w:ascii="Calibri" w:eastAsia="Calibri" w:hAnsi="Calibri" w:cstheme="minorBidi"/>
                <w:szCs w:val="20"/>
                <w:lang w:eastAsia="en-US"/>
              </w:rPr>
            </w:pPr>
            <w:r w:rsidRPr="009E13BE">
              <w:rPr>
                <w:rFonts w:ascii="Calibri" w:eastAsia="Calibri" w:hAnsi="Calibri" w:cstheme="minorBidi"/>
                <w:szCs w:val="20"/>
                <w:lang w:eastAsia="en-US"/>
              </w:rPr>
              <w:t>Ponad dwukrotnie więcej osób niepełnosprawnych w</w:t>
            </w:r>
            <w:r w:rsidR="00253AB3">
              <w:rPr>
                <w:rFonts w:ascii="Calibri" w:eastAsia="Calibri" w:hAnsi="Calibri" w:cstheme="minorBidi"/>
                <w:szCs w:val="20"/>
                <w:lang w:eastAsia="en-US"/>
              </w:rPr>
              <w:t> </w:t>
            </w:r>
            <w:r w:rsidRPr="009E13BE">
              <w:rPr>
                <w:rFonts w:ascii="Calibri" w:eastAsia="Calibri" w:hAnsi="Calibri" w:cstheme="minorBidi"/>
                <w:szCs w:val="20"/>
                <w:lang w:eastAsia="en-US"/>
              </w:rPr>
              <w:t>populacji niż średnio w mieście</w:t>
            </w:r>
            <w:r w:rsidR="00701BE6">
              <w:rPr>
                <w:rFonts w:ascii="Calibri" w:eastAsia="Calibri" w:hAnsi="Calibri" w:cstheme="minorBidi"/>
                <w:szCs w:val="20"/>
                <w:lang w:eastAsia="en-US"/>
              </w:rPr>
              <w:t>.</w:t>
            </w:r>
          </w:p>
        </w:tc>
      </w:tr>
      <w:tr w:rsidR="008A2D26" w:rsidRPr="00082724" w:rsidTr="00051FBC">
        <w:tc>
          <w:tcPr>
            <w:tcW w:w="694" w:type="pct"/>
          </w:tcPr>
          <w:p w:rsidR="002D3B22" w:rsidRPr="002D3B22" w:rsidRDefault="002D3B22" w:rsidP="005B3448">
            <w:pPr>
              <w:spacing w:after="40"/>
              <w:rPr>
                <w:rFonts w:eastAsia="Calibri" w:cstheme="minorBidi"/>
                <w:b/>
                <w:smallCaps/>
                <w:sz w:val="18"/>
                <w:szCs w:val="18"/>
                <w:lang w:eastAsia="en-US"/>
              </w:rPr>
            </w:pPr>
            <w:r w:rsidRPr="002D3B22">
              <w:rPr>
                <w:rFonts w:eastAsia="Calibri" w:cstheme="minorBidi"/>
                <w:b/>
                <w:smallCaps/>
                <w:sz w:val="18"/>
                <w:szCs w:val="18"/>
                <w:lang w:eastAsia="en-US"/>
              </w:rPr>
              <w:lastRenderedPageBreak/>
              <w:t>KAPITAŁ SPOŁECZNY – FREKWENCJA W</w:t>
            </w:r>
            <w:r w:rsidR="005B3448">
              <w:rPr>
                <w:rFonts w:eastAsia="Calibri" w:cstheme="minorBidi"/>
                <w:b/>
                <w:smallCaps/>
                <w:sz w:val="18"/>
                <w:szCs w:val="18"/>
                <w:lang w:eastAsia="en-US"/>
              </w:rPr>
              <w:t> </w:t>
            </w:r>
            <w:r w:rsidRPr="002D3B22">
              <w:rPr>
                <w:rFonts w:eastAsia="Calibri" w:cstheme="minorBidi"/>
                <w:b/>
                <w:smallCaps/>
                <w:sz w:val="18"/>
                <w:szCs w:val="18"/>
                <w:lang w:eastAsia="en-US"/>
              </w:rPr>
              <w:t>WYBORACH SAMORZĄD. (BYTOM: 33,4%; PL:35,5%)</w:t>
            </w:r>
          </w:p>
        </w:tc>
        <w:tc>
          <w:tcPr>
            <w:tcW w:w="733" w:type="pct"/>
            <w:tcBorders>
              <w:bottom w:val="single" w:sz="4" w:space="0" w:color="auto"/>
            </w:tcBorders>
            <w:shd w:val="clear" w:color="auto" w:fill="984806" w:themeFill="accent6" w:themeFillShade="80"/>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Wybitnie niska frekwencja. Na północy obszaru poniżej 20%</w:t>
            </w:r>
            <w:r w:rsidR="00701BE6">
              <w:rPr>
                <w:rFonts w:ascii="Calibri" w:eastAsia="Calibri" w:hAnsi="Calibri" w:cstheme="minorBidi"/>
                <w:szCs w:val="20"/>
                <w:lang w:eastAsia="en-US"/>
              </w:rPr>
              <w:t>.</w:t>
            </w:r>
          </w:p>
        </w:tc>
        <w:tc>
          <w:tcPr>
            <w:tcW w:w="728" w:type="pct"/>
            <w:tcBorders>
              <w:bottom w:val="single" w:sz="4" w:space="0" w:color="auto"/>
            </w:tcBorders>
            <w:shd w:val="clear" w:color="auto" w:fill="984806" w:themeFill="accent6" w:themeFillShade="80"/>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Wybitnie Niska frekwencja. W jednym z obwodów niewiele ponad 25%</w:t>
            </w:r>
            <w:r w:rsidR="00701BE6">
              <w:rPr>
                <w:rFonts w:ascii="Calibri" w:eastAsia="Calibri" w:hAnsi="Calibri" w:cstheme="minorBidi"/>
                <w:szCs w:val="20"/>
                <w:lang w:eastAsia="en-US"/>
              </w:rPr>
              <w:t>.</w:t>
            </w:r>
          </w:p>
        </w:tc>
        <w:tc>
          <w:tcPr>
            <w:tcW w:w="721" w:type="pct"/>
            <w:tcBorders>
              <w:bottom w:val="single" w:sz="4" w:space="0" w:color="auto"/>
            </w:tcBorders>
            <w:shd w:val="clear" w:color="auto" w:fill="FABF8F" w:themeFill="accent6" w:themeFillTint="99"/>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Frekwencja nieco poniżej średniej</w:t>
            </w:r>
            <w:r w:rsidR="00701BE6">
              <w:rPr>
                <w:rFonts w:ascii="Calibri" w:eastAsia="Calibri" w:hAnsi="Calibri" w:cstheme="minorBidi"/>
                <w:szCs w:val="20"/>
                <w:lang w:eastAsia="en-US"/>
              </w:rPr>
              <w:t>.</w:t>
            </w:r>
          </w:p>
        </w:tc>
        <w:tc>
          <w:tcPr>
            <w:tcW w:w="690" w:type="pct"/>
            <w:tcBorders>
              <w:bottom w:val="single" w:sz="4" w:space="0" w:color="auto"/>
            </w:tcBorders>
            <w:shd w:val="clear" w:color="auto" w:fill="E36C0A" w:themeFill="accent6" w:themeFillShade="BF"/>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Niska frekwencja</w:t>
            </w:r>
            <w:r w:rsidR="00701BE6">
              <w:rPr>
                <w:rFonts w:ascii="Calibri" w:eastAsia="Calibri" w:hAnsi="Calibri" w:cstheme="minorBidi"/>
                <w:szCs w:val="20"/>
                <w:lang w:eastAsia="en-US"/>
              </w:rPr>
              <w:t>.</w:t>
            </w:r>
          </w:p>
        </w:tc>
        <w:tc>
          <w:tcPr>
            <w:tcW w:w="702" w:type="pct"/>
            <w:tcBorders>
              <w:bottom w:val="single" w:sz="4" w:space="0" w:color="auto"/>
            </w:tcBorders>
            <w:shd w:val="clear" w:color="auto" w:fill="FABF8F" w:themeFill="accent6" w:themeFillTint="99"/>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Frekwencja nieco poniżej średniej</w:t>
            </w:r>
            <w:r w:rsidR="00701BE6">
              <w:rPr>
                <w:rFonts w:ascii="Calibri" w:eastAsia="Calibri" w:hAnsi="Calibri" w:cstheme="minorBidi"/>
                <w:szCs w:val="20"/>
                <w:lang w:eastAsia="en-US"/>
              </w:rPr>
              <w:t>.</w:t>
            </w:r>
          </w:p>
        </w:tc>
        <w:tc>
          <w:tcPr>
            <w:tcW w:w="733" w:type="pct"/>
            <w:shd w:val="clear" w:color="auto" w:fill="E36C0A" w:themeFill="accent6" w:themeFillShade="BF"/>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Niska frekwencja</w:t>
            </w:r>
            <w:r w:rsidR="00701BE6">
              <w:rPr>
                <w:rFonts w:ascii="Calibri" w:eastAsia="Calibri" w:hAnsi="Calibri" w:cstheme="minorBidi"/>
                <w:szCs w:val="20"/>
                <w:lang w:eastAsia="en-US"/>
              </w:rPr>
              <w:t>.</w:t>
            </w:r>
          </w:p>
        </w:tc>
      </w:tr>
      <w:tr w:rsidR="008A2D26" w:rsidRPr="00082724" w:rsidTr="00051FBC">
        <w:tc>
          <w:tcPr>
            <w:tcW w:w="694" w:type="pct"/>
          </w:tcPr>
          <w:p w:rsidR="008A2D26" w:rsidRPr="002D3B22" w:rsidRDefault="002D3B22" w:rsidP="0081003B">
            <w:pPr>
              <w:rPr>
                <w:rFonts w:eastAsia="Calibri" w:cstheme="minorBidi"/>
                <w:b/>
                <w:smallCaps/>
                <w:sz w:val="18"/>
                <w:szCs w:val="18"/>
                <w:lang w:eastAsia="en-US"/>
              </w:rPr>
            </w:pPr>
            <w:r w:rsidRPr="002D3B22">
              <w:rPr>
                <w:rFonts w:eastAsia="Calibri" w:cstheme="minorBidi"/>
                <w:b/>
                <w:smallCaps/>
                <w:sz w:val="18"/>
                <w:szCs w:val="18"/>
                <w:lang w:eastAsia="en-US"/>
              </w:rPr>
              <w:t>LICZBA ORGANIZACJI POZARZĄDOWYCH</w:t>
            </w:r>
          </w:p>
        </w:tc>
        <w:tc>
          <w:tcPr>
            <w:tcW w:w="733" w:type="pct"/>
            <w:tcBorders>
              <w:bottom w:val="single" w:sz="4" w:space="0" w:color="auto"/>
            </w:tcBorders>
            <w:shd w:val="clear" w:color="auto" w:fill="FABF8F" w:themeFill="accent6" w:themeFillTint="99"/>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Mało organizacji</w:t>
            </w:r>
            <w:r w:rsidR="00701BE6">
              <w:rPr>
                <w:rFonts w:ascii="Calibri" w:eastAsia="Calibri" w:hAnsi="Calibri" w:cstheme="minorBidi"/>
                <w:szCs w:val="20"/>
                <w:lang w:eastAsia="en-US"/>
              </w:rPr>
              <w:t>.</w:t>
            </w:r>
          </w:p>
        </w:tc>
        <w:tc>
          <w:tcPr>
            <w:tcW w:w="728" w:type="pct"/>
            <w:tcBorders>
              <w:bottom w:val="single" w:sz="4" w:space="0" w:color="auto"/>
            </w:tcBorders>
            <w:shd w:val="clear" w:color="auto" w:fill="984806" w:themeFill="accent6" w:themeFillShade="80"/>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Bardzo mało organizacji</w:t>
            </w:r>
            <w:r w:rsidR="00701BE6">
              <w:rPr>
                <w:rFonts w:ascii="Calibri" w:eastAsia="Calibri" w:hAnsi="Calibri" w:cstheme="minorBidi"/>
                <w:szCs w:val="20"/>
                <w:lang w:eastAsia="en-US"/>
              </w:rPr>
              <w:t>.</w:t>
            </w:r>
          </w:p>
        </w:tc>
        <w:tc>
          <w:tcPr>
            <w:tcW w:w="721" w:type="pct"/>
            <w:tcBorders>
              <w:bottom w:val="single" w:sz="4" w:space="0" w:color="auto"/>
            </w:tcBorders>
            <w:shd w:val="clear" w:color="auto" w:fill="92D050"/>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Bardzo dużo organizacji</w:t>
            </w:r>
            <w:r w:rsidR="00701BE6">
              <w:rPr>
                <w:rFonts w:ascii="Calibri" w:eastAsia="Calibri" w:hAnsi="Calibri" w:cstheme="minorBidi"/>
                <w:szCs w:val="20"/>
                <w:lang w:eastAsia="en-US"/>
              </w:rPr>
              <w:t>.</w:t>
            </w:r>
          </w:p>
        </w:tc>
        <w:tc>
          <w:tcPr>
            <w:tcW w:w="690" w:type="pct"/>
            <w:tcBorders>
              <w:bottom w:val="single" w:sz="4" w:space="0" w:color="auto"/>
            </w:tcBorders>
            <w:shd w:val="clear" w:color="auto" w:fill="984806" w:themeFill="accent6" w:themeFillShade="80"/>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Bardzo mało organizacji</w:t>
            </w:r>
            <w:r w:rsidR="00701BE6">
              <w:rPr>
                <w:rFonts w:ascii="Calibri" w:eastAsia="Calibri" w:hAnsi="Calibri" w:cstheme="minorBidi"/>
                <w:szCs w:val="20"/>
                <w:lang w:eastAsia="en-US"/>
              </w:rPr>
              <w:t>.</w:t>
            </w:r>
          </w:p>
        </w:tc>
        <w:tc>
          <w:tcPr>
            <w:tcW w:w="702" w:type="pct"/>
            <w:tcBorders>
              <w:bottom w:val="single" w:sz="4" w:space="0" w:color="auto"/>
            </w:tcBorders>
            <w:shd w:val="clear" w:color="auto" w:fill="92D050"/>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Dużo organizacji</w:t>
            </w:r>
            <w:r w:rsidR="00701BE6">
              <w:rPr>
                <w:rFonts w:ascii="Calibri" w:eastAsia="Calibri" w:hAnsi="Calibri" w:cstheme="minorBidi"/>
                <w:szCs w:val="20"/>
                <w:lang w:eastAsia="en-US"/>
              </w:rPr>
              <w:t>.</w:t>
            </w:r>
          </w:p>
        </w:tc>
        <w:tc>
          <w:tcPr>
            <w:tcW w:w="733" w:type="pct"/>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Brak – ale specyfika podobszaru (152 osoby)</w:t>
            </w:r>
            <w:r w:rsidR="00701BE6">
              <w:rPr>
                <w:rFonts w:ascii="Calibri" w:eastAsia="Calibri" w:hAnsi="Calibri" w:cstheme="minorBidi"/>
                <w:szCs w:val="20"/>
                <w:lang w:eastAsia="en-US"/>
              </w:rPr>
              <w:t>.</w:t>
            </w:r>
          </w:p>
        </w:tc>
      </w:tr>
      <w:tr w:rsidR="008A2D26" w:rsidRPr="00082724" w:rsidTr="00051FBC">
        <w:tc>
          <w:tcPr>
            <w:tcW w:w="694" w:type="pct"/>
          </w:tcPr>
          <w:p w:rsidR="008A2D26" w:rsidRPr="002D3B22" w:rsidRDefault="002D3B22" w:rsidP="005B3448">
            <w:pPr>
              <w:rPr>
                <w:rFonts w:eastAsia="Calibri" w:cstheme="minorBidi"/>
                <w:b/>
                <w:smallCaps/>
                <w:sz w:val="18"/>
                <w:szCs w:val="18"/>
                <w:lang w:eastAsia="en-US"/>
              </w:rPr>
            </w:pPr>
            <w:r w:rsidRPr="002D3B22">
              <w:rPr>
                <w:rFonts w:eastAsia="Calibri" w:cstheme="minorBidi"/>
                <w:b/>
                <w:smallCaps/>
                <w:sz w:val="18"/>
                <w:szCs w:val="18"/>
                <w:lang w:eastAsia="en-US"/>
              </w:rPr>
              <w:t>DOTACJE DLA NGO DZIAŁAJĄCYCH W</w:t>
            </w:r>
            <w:r w:rsidR="005B3448">
              <w:rPr>
                <w:rFonts w:eastAsia="Calibri" w:cstheme="minorBidi"/>
                <w:b/>
                <w:smallCaps/>
                <w:sz w:val="18"/>
                <w:szCs w:val="18"/>
                <w:lang w:eastAsia="en-US"/>
              </w:rPr>
              <w:t> </w:t>
            </w:r>
            <w:r w:rsidRPr="002D3B22">
              <w:rPr>
                <w:rFonts w:eastAsia="Calibri" w:cstheme="minorBidi"/>
                <w:b/>
                <w:smallCaps/>
                <w:sz w:val="18"/>
                <w:szCs w:val="18"/>
                <w:lang w:eastAsia="en-US"/>
              </w:rPr>
              <w:t>DZIEDZINIE KULTURY I SPRAW SPOŁ.</w:t>
            </w:r>
          </w:p>
        </w:tc>
        <w:tc>
          <w:tcPr>
            <w:tcW w:w="733" w:type="pct"/>
            <w:tcBorders>
              <w:bottom w:val="single" w:sz="4" w:space="0" w:color="auto"/>
            </w:tcBorders>
            <w:shd w:val="clear" w:color="auto" w:fill="984806" w:themeFill="accent6" w:themeFillShade="80"/>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Brak</w:t>
            </w:r>
            <w:r w:rsidR="00701BE6">
              <w:rPr>
                <w:rFonts w:ascii="Calibri" w:eastAsia="Calibri" w:hAnsi="Calibri" w:cstheme="minorBidi"/>
                <w:szCs w:val="20"/>
                <w:lang w:eastAsia="en-US"/>
              </w:rPr>
              <w:t>.</w:t>
            </w:r>
          </w:p>
        </w:tc>
        <w:tc>
          <w:tcPr>
            <w:tcW w:w="728" w:type="pct"/>
            <w:tcBorders>
              <w:bottom w:val="single" w:sz="4" w:space="0" w:color="auto"/>
            </w:tcBorders>
            <w:shd w:val="clear" w:color="auto" w:fill="984806" w:themeFill="accent6" w:themeFillShade="80"/>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Brak</w:t>
            </w:r>
            <w:r w:rsidR="00701BE6">
              <w:rPr>
                <w:rFonts w:ascii="Calibri" w:eastAsia="Calibri" w:hAnsi="Calibri" w:cstheme="minorBidi"/>
                <w:szCs w:val="20"/>
                <w:lang w:eastAsia="en-US"/>
              </w:rPr>
              <w:t>.</w:t>
            </w:r>
          </w:p>
        </w:tc>
        <w:tc>
          <w:tcPr>
            <w:tcW w:w="721" w:type="pct"/>
            <w:tcBorders>
              <w:bottom w:val="single" w:sz="4" w:space="0" w:color="auto"/>
            </w:tcBorders>
            <w:shd w:val="clear" w:color="auto" w:fill="92D050"/>
          </w:tcPr>
          <w:p w:rsidR="008A2D26" w:rsidRPr="009E13BE" w:rsidRDefault="008A2D26" w:rsidP="006A399E">
            <w:pPr>
              <w:rPr>
                <w:rFonts w:ascii="Calibri" w:eastAsia="Calibri" w:hAnsi="Calibri" w:cstheme="minorBidi"/>
                <w:szCs w:val="20"/>
                <w:lang w:eastAsia="en-US"/>
              </w:rPr>
            </w:pPr>
            <w:r w:rsidRPr="009E13BE">
              <w:rPr>
                <w:rFonts w:ascii="Calibri" w:eastAsia="Calibri" w:hAnsi="Calibri" w:cstheme="minorBidi"/>
                <w:szCs w:val="20"/>
                <w:lang w:eastAsia="en-US"/>
              </w:rPr>
              <w:t>Bardzo dużo dotacji w</w:t>
            </w:r>
            <w:r w:rsidR="00693CB5">
              <w:rPr>
                <w:rFonts w:ascii="Calibri" w:eastAsia="Calibri" w:hAnsi="Calibri" w:cstheme="minorBidi"/>
                <w:szCs w:val="20"/>
                <w:lang w:eastAsia="en-US"/>
              </w:rPr>
              <w:t> </w:t>
            </w:r>
            <w:r w:rsidRPr="009E13BE">
              <w:rPr>
                <w:rFonts w:ascii="Calibri" w:eastAsia="Calibri" w:hAnsi="Calibri" w:cstheme="minorBidi"/>
                <w:szCs w:val="20"/>
                <w:lang w:eastAsia="en-US"/>
              </w:rPr>
              <w:t>porównaniu z</w:t>
            </w:r>
            <w:r w:rsidR="006A399E">
              <w:rPr>
                <w:rFonts w:ascii="Calibri" w:eastAsia="Calibri" w:hAnsi="Calibri" w:cstheme="minorBidi"/>
                <w:szCs w:val="20"/>
                <w:lang w:eastAsia="en-US"/>
              </w:rPr>
              <w:t> </w:t>
            </w:r>
            <w:r w:rsidRPr="009E13BE">
              <w:rPr>
                <w:rFonts w:ascii="Calibri" w:eastAsia="Calibri" w:hAnsi="Calibri" w:cstheme="minorBidi"/>
                <w:szCs w:val="20"/>
                <w:lang w:eastAsia="en-US"/>
              </w:rPr>
              <w:t>innymi podobszarami</w:t>
            </w:r>
            <w:r w:rsidR="00701BE6">
              <w:rPr>
                <w:rFonts w:ascii="Calibri" w:eastAsia="Calibri" w:hAnsi="Calibri" w:cstheme="minorBidi"/>
                <w:szCs w:val="20"/>
                <w:lang w:eastAsia="en-US"/>
              </w:rPr>
              <w:t>.</w:t>
            </w:r>
          </w:p>
        </w:tc>
        <w:tc>
          <w:tcPr>
            <w:tcW w:w="690" w:type="pct"/>
            <w:tcBorders>
              <w:bottom w:val="single" w:sz="4" w:space="0" w:color="auto"/>
            </w:tcBorders>
            <w:shd w:val="clear" w:color="auto" w:fill="E36C0A" w:themeFill="accent6" w:themeFillShade="BF"/>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Bardzo mało dotacji</w:t>
            </w:r>
            <w:r w:rsidR="00701BE6">
              <w:rPr>
                <w:rFonts w:ascii="Calibri" w:eastAsia="Calibri" w:hAnsi="Calibri" w:cstheme="minorBidi"/>
                <w:szCs w:val="20"/>
                <w:lang w:eastAsia="en-US"/>
              </w:rPr>
              <w:t>.</w:t>
            </w:r>
          </w:p>
        </w:tc>
        <w:tc>
          <w:tcPr>
            <w:tcW w:w="702" w:type="pct"/>
            <w:tcBorders>
              <w:bottom w:val="single" w:sz="4" w:space="0" w:color="auto"/>
            </w:tcBorders>
            <w:shd w:val="clear" w:color="auto" w:fill="92D050"/>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Dużo dotacji</w:t>
            </w:r>
            <w:r w:rsidR="00701BE6">
              <w:rPr>
                <w:rFonts w:ascii="Calibri" w:eastAsia="Calibri" w:hAnsi="Calibri" w:cstheme="minorBidi"/>
                <w:szCs w:val="20"/>
                <w:lang w:eastAsia="en-US"/>
              </w:rPr>
              <w:t>.</w:t>
            </w:r>
          </w:p>
        </w:tc>
        <w:tc>
          <w:tcPr>
            <w:tcW w:w="733" w:type="pct"/>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Brak – ale specyfika podobszaru (152 osoby)</w:t>
            </w:r>
            <w:r w:rsidR="00701BE6">
              <w:rPr>
                <w:rFonts w:ascii="Calibri" w:eastAsia="Calibri" w:hAnsi="Calibri" w:cstheme="minorBidi"/>
                <w:szCs w:val="20"/>
                <w:lang w:eastAsia="en-US"/>
              </w:rPr>
              <w:t>.</w:t>
            </w:r>
          </w:p>
        </w:tc>
      </w:tr>
      <w:tr w:rsidR="008A2D26" w:rsidRPr="00082724" w:rsidTr="00051FBC">
        <w:tc>
          <w:tcPr>
            <w:tcW w:w="694" w:type="pct"/>
          </w:tcPr>
          <w:p w:rsidR="008A2D26" w:rsidRPr="002D3B22" w:rsidRDefault="002D3B22" w:rsidP="0081003B">
            <w:pPr>
              <w:rPr>
                <w:rFonts w:eastAsia="Calibri" w:cstheme="minorBidi"/>
                <w:b/>
                <w:smallCaps/>
                <w:sz w:val="18"/>
                <w:szCs w:val="18"/>
                <w:lang w:eastAsia="en-US"/>
              </w:rPr>
            </w:pPr>
            <w:r w:rsidRPr="002D3B22">
              <w:rPr>
                <w:rFonts w:eastAsia="Calibri" w:cstheme="minorBidi"/>
                <w:b/>
                <w:smallCaps/>
                <w:sz w:val="18"/>
                <w:szCs w:val="18"/>
                <w:lang w:eastAsia="en-US"/>
              </w:rPr>
              <w:t>LICZBA KLUBÓW SPORTOWYCH I UKS</w:t>
            </w:r>
          </w:p>
        </w:tc>
        <w:tc>
          <w:tcPr>
            <w:tcW w:w="733" w:type="pct"/>
            <w:tcBorders>
              <w:bottom w:val="single" w:sz="4" w:space="0" w:color="auto"/>
            </w:tcBorders>
            <w:shd w:val="clear" w:color="auto" w:fill="E36C0A" w:themeFill="accent6" w:themeFillShade="BF"/>
          </w:tcPr>
          <w:p w:rsidR="008A2D26" w:rsidRPr="009E13BE" w:rsidRDefault="008A2D26" w:rsidP="00693CB5">
            <w:pPr>
              <w:rPr>
                <w:rFonts w:ascii="Calibri" w:eastAsia="Calibri" w:hAnsi="Calibri" w:cstheme="minorBidi"/>
                <w:szCs w:val="20"/>
                <w:lang w:eastAsia="en-US"/>
              </w:rPr>
            </w:pPr>
            <w:r w:rsidRPr="009E13BE">
              <w:rPr>
                <w:rFonts w:ascii="Calibri" w:eastAsia="Calibri" w:hAnsi="Calibri" w:cstheme="minorBidi"/>
                <w:szCs w:val="20"/>
                <w:lang w:eastAsia="en-US"/>
              </w:rPr>
              <w:t>Niemal brak organizacji działających w</w:t>
            </w:r>
            <w:r w:rsidR="00693CB5">
              <w:rPr>
                <w:rFonts w:ascii="Calibri" w:eastAsia="Calibri" w:hAnsi="Calibri" w:cstheme="minorBidi"/>
                <w:szCs w:val="20"/>
                <w:lang w:eastAsia="en-US"/>
              </w:rPr>
              <w:t> </w:t>
            </w:r>
            <w:r w:rsidRPr="009E13BE">
              <w:rPr>
                <w:rFonts w:ascii="Calibri" w:eastAsia="Calibri" w:hAnsi="Calibri" w:cstheme="minorBidi"/>
                <w:szCs w:val="20"/>
                <w:lang w:eastAsia="en-US"/>
              </w:rPr>
              <w:t>dziedzinie kultury fi</w:t>
            </w:r>
            <w:r w:rsidR="00565317">
              <w:rPr>
                <w:rFonts w:ascii="Calibri" w:eastAsia="Calibri" w:hAnsi="Calibri" w:cstheme="minorBidi"/>
                <w:szCs w:val="20"/>
                <w:lang w:eastAsia="en-US"/>
              </w:rPr>
              <w:t>zycznej</w:t>
            </w:r>
            <w:r w:rsidR="00701BE6">
              <w:rPr>
                <w:rFonts w:ascii="Calibri" w:eastAsia="Calibri" w:hAnsi="Calibri" w:cstheme="minorBidi"/>
                <w:szCs w:val="20"/>
                <w:lang w:eastAsia="en-US"/>
              </w:rPr>
              <w:t>.</w:t>
            </w:r>
          </w:p>
        </w:tc>
        <w:tc>
          <w:tcPr>
            <w:tcW w:w="728" w:type="pct"/>
            <w:tcBorders>
              <w:bottom w:val="single" w:sz="4" w:space="0" w:color="auto"/>
            </w:tcBorders>
            <w:shd w:val="clear" w:color="auto" w:fill="E36C0A" w:themeFill="accent6" w:themeFillShade="BF"/>
          </w:tcPr>
          <w:p w:rsidR="008A2D26" w:rsidRPr="009E13BE" w:rsidRDefault="008A2D26" w:rsidP="00693CB5">
            <w:pPr>
              <w:rPr>
                <w:rFonts w:ascii="Calibri" w:eastAsia="Calibri" w:hAnsi="Calibri" w:cstheme="minorBidi"/>
                <w:szCs w:val="20"/>
                <w:lang w:eastAsia="en-US"/>
              </w:rPr>
            </w:pPr>
            <w:r w:rsidRPr="009E13BE">
              <w:rPr>
                <w:rFonts w:ascii="Calibri" w:eastAsia="Calibri" w:hAnsi="Calibri" w:cstheme="minorBidi"/>
                <w:szCs w:val="20"/>
                <w:lang w:eastAsia="en-US"/>
              </w:rPr>
              <w:t>Niemal brak organizacji działających w</w:t>
            </w:r>
            <w:r w:rsidR="00693CB5">
              <w:rPr>
                <w:rFonts w:ascii="Calibri" w:eastAsia="Calibri" w:hAnsi="Calibri" w:cstheme="minorBidi"/>
                <w:szCs w:val="20"/>
                <w:lang w:eastAsia="en-US"/>
              </w:rPr>
              <w:t> </w:t>
            </w:r>
            <w:r w:rsidRPr="009E13BE">
              <w:rPr>
                <w:rFonts w:ascii="Calibri" w:eastAsia="Calibri" w:hAnsi="Calibri" w:cstheme="minorBidi"/>
                <w:szCs w:val="20"/>
                <w:lang w:eastAsia="en-US"/>
              </w:rPr>
              <w:t>dziedzinie kultury fiz</w:t>
            </w:r>
            <w:r w:rsidR="00565317">
              <w:rPr>
                <w:rFonts w:ascii="Calibri" w:eastAsia="Calibri" w:hAnsi="Calibri" w:cstheme="minorBidi"/>
                <w:szCs w:val="20"/>
                <w:lang w:eastAsia="en-US"/>
              </w:rPr>
              <w:t>ycznej</w:t>
            </w:r>
            <w:r w:rsidR="00701BE6">
              <w:rPr>
                <w:rFonts w:ascii="Calibri" w:eastAsia="Calibri" w:hAnsi="Calibri" w:cstheme="minorBidi"/>
                <w:szCs w:val="20"/>
                <w:lang w:eastAsia="en-US"/>
              </w:rPr>
              <w:t>.</w:t>
            </w:r>
          </w:p>
        </w:tc>
        <w:tc>
          <w:tcPr>
            <w:tcW w:w="721" w:type="pct"/>
            <w:tcBorders>
              <w:bottom w:val="single" w:sz="4" w:space="0" w:color="auto"/>
            </w:tcBorders>
            <w:shd w:val="clear" w:color="auto" w:fill="FABF8F" w:themeFill="accent6" w:themeFillTint="99"/>
          </w:tcPr>
          <w:p w:rsidR="008A2D26" w:rsidRPr="009E13BE" w:rsidRDefault="008A2D26" w:rsidP="00565317">
            <w:pPr>
              <w:rPr>
                <w:rFonts w:ascii="Calibri" w:eastAsia="Calibri" w:hAnsi="Calibri" w:cstheme="minorBidi"/>
                <w:szCs w:val="20"/>
                <w:lang w:eastAsia="en-US"/>
              </w:rPr>
            </w:pPr>
            <w:r w:rsidRPr="009E13BE">
              <w:rPr>
                <w:rFonts w:ascii="Calibri" w:eastAsia="Calibri" w:hAnsi="Calibri" w:cstheme="minorBidi"/>
                <w:szCs w:val="20"/>
                <w:lang w:eastAsia="en-US"/>
              </w:rPr>
              <w:t>Zbyt mało klubów w</w:t>
            </w:r>
            <w:r w:rsidR="00565317">
              <w:rPr>
                <w:rFonts w:ascii="Calibri" w:eastAsia="Calibri" w:hAnsi="Calibri" w:cstheme="minorBidi"/>
                <w:szCs w:val="20"/>
                <w:lang w:eastAsia="en-US"/>
              </w:rPr>
              <w:t> </w:t>
            </w:r>
            <w:r w:rsidRPr="009E13BE">
              <w:rPr>
                <w:rFonts w:ascii="Calibri" w:eastAsia="Calibri" w:hAnsi="Calibri" w:cstheme="minorBidi"/>
                <w:szCs w:val="20"/>
                <w:lang w:eastAsia="en-US"/>
              </w:rPr>
              <w:t>stosunku do potrzeb podobszaru</w:t>
            </w:r>
            <w:r w:rsidR="00701BE6">
              <w:rPr>
                <w:rFonts w:ascii="Calibri" w:eastAsia="Calibri" w:hAnsi="Calibri" w:cstheme="minorBidi"/>
                <w:szCs w:val="20"/>
                <w:lang w:eastAsia="en-US"/>
              </w:rPr>
              <w:t>.</w:t>
            </w:r>
          </w:p>
        </w:tc>
        <w:tc>
          <w:tcPr>
            <w:tcW w:w="690" w:type="pct"/>
            <w:tcBorders>
              <w:bottom w:val="single" w:sz="4" w:space="0" w:color="auto"/>
            </w:tcBorders>
            <w:shd w:val="clear" w:color="auto" w:fill="E36C0A" w:themeFill="accent6" w:themeFillShade="BF"/>
          </w:tcPr>
          <w:p w:rsidR="008A2D26" w:rsidRPr="009E13BE" w:rsidRDefault="008A2D26" w:rsidP="00693CB5">
            <w:pPr>
              <w:rPr>
                <w:rFonts w:ascii="Calibri" w:eastAsia="Calibri" w:hAnsi="Calibri" w:cstheme="minorBidi"/>
                <w:szCs w:val="20"/>
                <w:lang w:eastAsia="en-US"/>
              </w:rPr>
            </w:pPr>
            <w:r w:rsidRPr="009E13BE">
              <w:rPr>
                <w:rFonts w:ascii="Calibri" w:eastAsia="Calibri" w:hAnsi="Calibri" w:cstheme="minorBidi"/>
                <w:szCs w:val="20"/>
                <w:lang w:eastAsia="en-US"/>
              </w:rPr>
              <w:t>Niemal brak organizacji działających w</w:t>
            </w:r>
            <w:r w:rsidR="00693CB5">
              <w:rPr>
                <w:rFonts w:ascii="Calibri" w:eastAsia="Calibri" w:hAnsi="Calibri" w:cstheme="minorBidi"/>
                <w:szCs w:val="20"/>
                <w:lang w:eastAsia="en-US"/>
              </w:rPr>
              <w:t> </w:t>
            </w:r>
            <w:r w:rsidRPr="009E13BE">
              <w:rPr>
                <w:rFonts w:ascii="Calibri" w:eastAsia="Calibri" w:hAnsi="Calibri" w:cstheme="minorBidi"/>
                <w:szCs w:val="20"/>
                <w:lang w:eastAsia="en-US"/>
              </w:rPr>
              <w:t>dziedzinie kultury fiz</w:t>
            </w:r>
            <w:r w:rsidR="00565317">
              <w:rPr>
                <w:rFonts w:ascii="Calibri" w:eastAsia="Calibri" w:hAnsi="Calibri" w:cstheme="minorBidi"/>
                <w:szCs w:val="20"/>
                <w:lang w:eastAsia="en-US"/>
              </w:rPr>
              <w:t>ycznej</w:t>
            </w:r>
            <w:r w:rsidR="00701BE6">
              <w:rPr>
                <w:rFonts w:ascii="Calibri" w:eastAsia="Calibri" w:hAnsi="Calibri" w:cstheme="minorBidi"/>
                <w:szCs w:val="20"/>
                <w:lang w:eastAsia="en-US"/>
              </w:rPr>
              <w:t>.</w:t>
            </w:r>
          </w:p>
        </w:tc>
        <w:tc>
          <w:tcPr>
            <w:tcW w:w="702" w:type="pct"/>
            <w:tcBorders>
              <w:bottom w:val="single" w:sz="4" w:space="0" w:color="auto"/>
            </w:tcBorders>
            <w:shd w:val="clear" w:color="auto" w:fill="FABF8F" w:themeFill="accent6" w:themeFillTint="99"/>
          </w:tcPr>
          <w:p w:rsidR="008A2D26" w:rsidRPr="009E13BE" w:rsidRDefault="008A2D26" w:rsidP="00693CB5">
            <w:pPr>
              <w:rPr>
                <w:rFonts w:ascii="Calibri" w:eastAsia="Calibri" w:hAnsi="Calibri" w:cstheme="minorBidi"/>
                <w:szCs w:val="20"/>
                <w:lang w:eastAsia="en-US"/>
              </w:rPr>
            </w:pPr>
            <w:r w:rsidRPr="009E13BE">
              <w:rPr>
                <w:rFonts w:ascii="Calibri" w:eastAsia="Calibri" w:hAnsi="Calibri" w:cstheme="minorBidi"/>
                <w:szCs w:val="20"/>
                <w:lang w:eastAsia="en-US"/>
              </w:rPr>
              <w:t>Zbyt mało klubów w</w:t>
            </w:r>
            <w:r w:rsidR="00693CB5">
              <w:rPr>
                <w:rFonts w:ascii="Calibri" w:eastAsia="Calibri" w:hAnsi="Calibri" w:cstheme="minorBidi"/>
                <w:szCs w:val="20"/>
                <w:lang w:eastAsia="en-US"/>
              </w:rPr>
              <w:t> </w:t>
            </w:r>
            <w:r w:rsidRPr="009E13BE">
              <w:rPr>
                <w:rFonts w:ascii="Calibri" w:eastAsia="Calibri" w:hAnsi="Calibri" w:cstheme="minorBidi"/>
                <w:szCs w:val="20"/>
                <w:lang w:eastAsia="en-US"/>
              </w:rPr>
              <w:t>stosunku do potrzeb podobszaru</w:t>
            </w:r>
            <w:r w:rsidR="00701BE6">
              <w:rPr>
                <w:rFonts w:ascii="Calibri" w:eastAsia="Calibri" w:hAnsi="Calibri" w:cstheme="minorBidi"/>
                <w:szCs w:val="20"/>
                <w:lang w:eastAsia="en-US"/>
              </w:rPr>
              <w:t>.</w:t>
            </w:r>
          </w:p>
        </w:tc>
        <w:tc>
          <w:tcPr>
            <w:tcW w:w="733" w:type="pct"/>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Brak – specyfika podobszaru (152 osoby)</w:t>
            </w:r>
            <w:r w:rsidR="00701BE6">
              <w:rPr>
                <w:rFonts w:ascii="Calibri" w:eastAsia="Calibri" w:hAnsi="Calibri" w:cstheme="minorBidi"/>
                <w:szCs w:val="20"/>
                <w:lang w:eastAsia="en-US"/>
              </w:rPr>
              <w:t>.</w:t>
            </w:r>
          </w:p>
        </w:tc>
      </w:tr>
      <w:tr w:rsidR="008A2D26" w:rsidRPr="00082724" w:rsidTr="00051FBC">
        <w:tc>
          <w:tcPr>
            <w:tcW w:w="694" w:type="pct"/>
          </w:tcPr>
          <w:p w:rsidR="008A2D26" w:rsidRPr="002D3B22" w:rsidRDefault="002D3B22" w:rsidP="0081003B">
            <w:pPr>
              <w:rPr>
                <w:rFonts w:eastAsia="Calibri" w:cstheme="minorBidi"/>
                <w:b/>
                <w:smallCaps/>
                <w:sz w:val="18"/>
                <w:szCs w:val="18"/>
                <w:lang w:eastAsia="en-US"/>
              </w:rPr>
            </w:pPr>
            <w:r w:rsidRPr="002D3B22">
              <w:rPr>
                <w:rFonts w:eastAsia="Calibri" w:cstheme="minorBidi"/>
                <w:b/>
                <w:smallCaps/>
                <w:sz w:val="18"/>
                <w:szCs w:val="18"/>
                <w:lang w:eastAsia="en-US"/>
              </w:rPr>
              <w:t>DOTACJE DLA KLUBÓW SPORTOWYCH</w:t>
            </w:r>
          </w:p>
        </w:tc>
        <w:tc>
          <w:tcPr>
            <w:tcW w:w="733" w:type="pct"/>
            <w:tcBorders>
              <w:bottom w:val="single" w:sz="4" w:space="0" w:color="auto"/>
            </w:tcBorders>
            <w:shd w:val="clear" w:color="auto" w:fill="984806" w:themeFill="accent6" w:themeFillShade="80"/>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Brak</w:t>
            </w:r>
            <w:r w:rsidR="00701BE6">
              <w:rPr>
                <w:rFonts w:ascii="Calibri" w:eastAsia="Calibri" w:hAnsi="Calibri" w:cstheme="minorBidi"/>
                <w:szCs w:val="20"/>
                <w:lang w:eastAsia="en-US"/>
              </w:rPr>
              <w:t>.</w:t>
            </w:r>
          </w:p>
        </w:tc>
        <w:tc>
          <w:tcPr>
            <w:tcW w:w="728" w:type="pct"/>
            <w:tcBorders>
              <w:bottom w:val="single" w:sz="4" w:space="0" w:color="auto"/>
            </w:tcBorders>
            <w:shd w:val="clear" w:color="auto" w:fill="984806" w:themeFill="accent6" w:themeFillShade="80"/>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Brak</w:t>
            </w:r>
            <w:r w:rsidR="00701BE6">
              <w:rPr>
                <w:rFonts w:ascii="Calibri" w:eastAsia="Calibri" w:hAnsi="Calibri" w:cstheme="minorBidi"/>
                <w:szCs w:val="20"/>
                <w:lang w:eastAsia="en-US"/>
              </w:rPr>
              <w:t>.</w:t>
            </w:r>
          </w:p>
        </w:tc>
        <w:tc>
          <w:tcPr>
            <w:tcW w:w="721" w:type="pct"/>
            <w:tcBorders>
              <w:bottom w:val="single" w:sz="4" w:space="0" w:color="auto"/>
            </w:tcBorders>
            <w:shd w:val="clear" w:color="auto" w:fill="E36C0A" w:themeFill="accent6" w:themeFillShade="BF"/>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Niewystarczająco jak na potrzeby tego trudnego podobszaru</w:t>
            </w:r>
          </w:p>
        </w:tc>
        <w:tc>
          <w:tcPr>
            <w:tcW w:w="690" w:type="pct"/>
            <w:tcBorders>
              <w:bottom w:val="single" w:sz="4" w:space="0" w:color="auto"/>
            </w:tcBorders>
            <w:shd w:val="clear" w:color="auto" w:fill="E36C0A" w:themeFill="accent6" w:themeFillShade="BF"/>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Brak</w:t>
            </w:r>
            <w:r w:rsidR="00701BE6">
              <w:rPr>
                <w:rFonts w:ascii="Calibri" w:eastAsia="Calibri" w:hAnsi="Calibri" w:cstheme="minorBidi"/>
                <w:szCs w:val="20"/>
                <w:lang w:eastAsia="en-US"/>
              </w:rPr>
              <w:t>.</w:t>
            </w:r>
          </w:p>
        </w:tc>
        <w:tc>
          <w:tcPr>
            <w:tcW w:w="702" w:type="pct"/>
            <w:tcBorders>
              <w:bottom w:val="single" w:sz="4" w:space="0" w:color="auto"/>
            </w:tcBorders>
            <w:shd w:val="clear" w:color="auto" w:fill="E36C0A" w:themeFill="accent6" w:themeFillShade="BF"/>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Niewystarczająco jak na potrzeby tego trudnego</w:t>
            </w:r>
            <w:r w:rsidRPr="00701BE6">
              <w:rPr>
                <w:rFonts w:ascii="Calibri" w:eastAsia="Calibri" w:hAnsi="Calibri" w:cstheme="minorBidi"/>
                <w:sz w:val="14"/>
                <w:szCs w:val="20"/>
                <w:lang w:eastAsia="en-US"/>
              </w:rPr>
              <w:t xml:space="preserve"> </w:t>
            </w:r>
            <w:r w:rsidRPr="009E13BE">
              <w:rPr>
                <w:rFonts w:ascii="Calibri" w:eastAsia="Calibri" w:hAnsi="Calibri" w:cstheme="minorBidi"/>
                <w:szCs w:val="20"/>
                <w:lang w:eastAsia="en-US"/>
              </w:rPr>
              <w:t>podobszaru</w:t>
            </w:r>
            <w:r w:rsidR="00701BE6" w:rsidRPr="00701BE6">
              <w:rPr>
                <w:rFonts w:ascii="Calibri" w:eastAsia="Calibri" w:hAnsi="Calibri" w:cstheme="minorBidi"/>
                <w:sz w:val="16"/>
                <w:szCs w:val="20"/>
                <w:lang w:eastAsia="en-US"/>
              </w:rPr>
              <w:t>.</w:t>
            </w:r>
          </w:p>
        </w:tc>
        <w:tc>
          <w:tcPr>
            <w:tcW w:w="733" w:type="pct"/>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Brak – specyfika podobszaru (152 osoby)</w:t>
            </w:r>
            <w:r w:rsidR="00701BE6">
              <w:rPr>
                <w:rFonts w:ascii="Calibri" w:eastAsia="Calibri" w:hAnsi="Calibri" w:cstheme="minorBidi"/>
                <w:szCs w:val="20"/>
                <w:lang w:eastAsia="en-US"/>
              </w:rPr>
              <w:t>.</w:t>
            </w:r>
          </w:p>
        </w:tc>
      </w:tr>
      <w:tr w:rsidR="008A2D26" w:rsidRPr="00082724" w:rsidTr="00051FBC">
        <w:tc>
          <w:tcPr>
            <w:tcW w:w="694" w:type="pct"/>
            <w:tcBorders>
              <w:bottom w:val="single" w:sz="4" w:space="0" w:color="auto"/>
            </w:tcBorders>
          </w:tcPr>
          <w:p w:rsidR="008A2D26" w:rsidRPr="002D3B22" w:rsidRDefault="002D3B22" w:rsidP="0081003B">
            <w:pPr>
              <w:rPr>
                <w:rFonts w:eastAsia="Calibri" w:cstheme="minorBidi"/>
                <w:b/>
                <w:smallCaps/>
                <w:sz w:val="18"/>
                <w:szCs w:val="18"/>
                <w:lang w:eastAsia="en-US"/>
              </w:rPr>
            </w:pPr>
            <w:r w:rsidRPr="002D3B22">
              <w:rPr>
                <w:rFonts w:eastAsia="Calibri" w:cstheme="minorBidi"/>
                <w:b/>
                <w:smallCaps/>
                <w:sz w:val="18"/>
                <w:szCs w:val="18"/>
                <w:lang w:eastAsia="en-US"/>
              </w:rPr>
              <w:t>CYKLICZNE IMPREZY SPORTOWE</w:t>
            </w:r>
          </w:p>
        </w:tc>
        <w:tc>
          <w:tcPr>
            <w:tcW w:w="733" w:type="pct"/>
            <w:tcBorders>
              <w:bottom w:val="single" w:sz="4" w:space="0" w:color="auto"/>
            </w:tcBorders>
            <w:shd w:val="clear" w:color="auto" w:fill="E36C0A" w:themeFill="accent6" w:themeFillShade="BF"/>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Brak</w:t>
            </w:r>
            <w:r w:rsidR="00701BE6">
              <w:rPr>
                <w:rFonts w:ascii="Calibri" w:eastAsia="Calibri" w:hAnsi="Calibri" w:cstheme="minorBidi"/>
                <w:szCs w:val="20"/>
                <w:lang w:eastAsia="en-US"/>
              </w:rPr>
              <w:t>.</w:t>
            </w:r>
          </w:p>
        </w:tc>
        <w:tc>
          <w:tcPr>
            <w:tcW w:w="728" w:type="pct"/>
            <w:tcBorders>
              <w:bottom w:val="single" w:sz="4" w:space="0" w:color="auto"/>
            </w:tcBorders>
            <w:shd w:val="clear" w:color="auto" w:fill="E36C0A" w:themeFill="accent6" w:themeFillShade="BF"/>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Brak</w:t>
            </w:r>
            <w:r w:rsidR="00701BE6">
              <w:rPr>
                <w:rFonts w:ascii="Calibri" w:eastAsia="Calibri" w:hAnsi="Calibri" w:cstheme="minorBidi"/>
                <w:szCs w:val="20"/>
                <w:lang w:eastAsia="en-US"/>
              </w:rPr>
              <w:t>.</w:t>
            </w:r>
          </w:p>
        </w:tc>
        <w:tc>
          <w:tcPr>
            <w:tcW w:w="721" w:type="pct"/>
            <w:tcBorders>
              <w:bottom w:val="single" w:sz="4" w:space="0" w:color="auto"/>
            </w:tcBorders>
            <w:shd w:val="clear" w:color="auto" w:fill="E36C0A" w:themeFill="accent6" w:themeFillShade="BF"/>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Niemal nie odbywają się</w:t>
            </w:r>
            <w:r w:rsidR="00701BE6">
              <w:rPr>
                <w:rFonts w:ascii="Calibri" w:eastAsia="Calibri" w:hAnsi="Calibri" w:cstheme="minorBidi"/>
                <w:szCs w:val="20"/>
                <w:lang w:eastAsia="en-US"/>
              </w:rPr>
              <w:t>.</w:t>
            </w:r>
          </w:p>
        </w:tc>
        <w:tc>
          <w:tcPr>
            <w:tcW w:w="690" w:type="pct"/>
            <w:tcBorders>
              <w:bottom w:val="single" w:sz="4" w:space="0" w:color="auto"/>
            </w:tcBorders>
            <w:shd w:val="clear" w:color="auto" w:fill="FABF8F" w:themeFill="accent6" w:themeFillTint="99"/>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Brak. Ale wiele imprez w parku przylegającym do podobszaru</w:t>
            </w:r>
            <w:r w:rsidR="00701BE6">
              <w:rPr>
                <w:rFonts w:ascii="Calibri" w:eastAsia="Calibri" w:hAnsi="Calibri" w:cstheme="minorBidi"/>
                <w:szCs w:val="20"/>
                <w:lang w:eastAsia="en-US"/>
              </w:rPr>
              <w:t>.</w:t>
            </w:r>
          </w:p>
        </w:tc>
        <w:tc>
          <w:tcPr>
            <w:tcW w:w="702" w:type="pct"/>
            <w:tcBorders>
              <w:bottom w:val="single" w:sz="4" w:space="0" w:color="auto"/>
            </w:tcBorders>
            <w:shd w:val="clear" w:color="auto" w:fill="E36C0A" w:themeFill="accent6" w:themeFillShade="BF"/>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Brak</w:t>
            </w:r>
          </w:p>
        </w:tc>
        <w:tc>
          <w:tcPr>
            <w:tcW w:w="733" w:type="pct"/>
            <w:tcBorders>
              <w:bottom w:val="single" w:sz="4" w:space="0" w:color="auto"/>
            </w:tcBorders>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Brak – specyfika podobszaru (152 osoby)</w:t>
            </w:r>
            <w:r w:rsidR="00701BE6">
              <w:rPr>
                <w:rFonts w:ascii="Calibri" w:eastAsia="Calibri" w:hAnsi="Calibri" w:cstheme="minorBidi"/>
                <w:szCs w:val="20"/>
                <w:lang w:eastAsia="en-US"/>
              </w:rPr>
              <w:t>.</w:t>
            </w:r>
          </w:p>
        </w:tc>
      </w:tr>
      <w:tr w:rsidR="008A2D26" w:rsidRPr="00082724" w:rsidTr="00051FBC">
        <w:tc>
          <w:tcPr>
            <w:tcW w:w="694" w:type="pct"/>
            <w:shd w:val="clear" w:color="auto" w:fill="auto"/>
          </w:tcPr>
          <w:p w:rsidR="008A2D26" w:rsidRPr="002D3B22" w:rsidRDefault="002D3B22" w:rsidP="00253AB3">
            <w:pPr>
              <w:rPr>
                <w:rFonts w:eastAsia="Calibri" w:cstheme="minorBidi"/>
                <w:b/>
                <w:smallCaps/>
                <w:sz w:val="18"/>
                <w:szCs w:val="18"/>
                <w:lang w:eastAsia="en-US"/>
              </w:rPr>
            </w:pPr>
            <w:r w:rsidRPr="002D3B22">
              <w:rPr>
                <w:rFonts w:eastAsia="Calibri" w:cstheme="minorBidi"/>
                <w:b/>
                <w:smallCaps/>
                <w:sz w:val="18"/>
                <w:szCs w:val="18"/>
                <w:lang w:eastAsia="en-US"/>
              </w:rPr>
              <w:t>OBIEKTY SPORTOWE I REKREACYJNE</w:t>
            </w:r>
          </w:p>
        </w:tc>
        <w:tc>
          <w:tcPr>
            <w:tcW w:w="733" w:type="pct"/>
            <w:shd w:val="clear" w:color="auto" w:fill="984806" w:themeFill="accent6" w:themeFillShade="80"/>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Brak</w:t>
            </w:r>
            <w:r w:rsidR="00701BE6">
              <w:rPr>
                <w:rFonts w:ascii="Calibri" w:eastAsia="Calibri" w:hAnsi="Calibri" w:cstheme="minorBidi"/>
                <w:szCs w:val="20"/>
                <w:lang w:eastAsia="en-US"/>
              </w:rPr>
              <w:t>.</w:t>
            </w:r>
          </w:p>
        </w:tc>
        <w:tc>
          <w:tcPr>
            <w:tcW w:w="728" w:type="pct"/>
            <w:shd w:val="clear" w:color="auto" w:fill="984806" w:themeFill="accent6" w:themeFillShade="80"/>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 xml:space="preserve">Brak </w:t>
            </w:r>
            <w:r w:rsidR="00701BE6">
              <w:rPr>
                <w:rFonts w:ascii="Calibri" w:eastAsia="Calibri" w:hAnsi="Calibri" w:cstheme="minorBidi"/>
                <w:szCs w:val="20"/>
                <w:lang w:eastAsia="en-US"/>
              </w:rPr>
              <w:t>.</w:t>
            </w:r>
          </w:p>
        </w:tc>
        <w:tc>
          <w:tcPr>
            <w:tcW w:w="721" w:type="pct"/>
            <w:shd w:val="clear" w:color="auto" w:fill="E36C0A" w:themeFill="accent6" w:themeFillShade="BF"/>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Liczba obiektów niewystarczająca</w:t>
            </w:r>
            <w:r w:rsidR="00701BE6">
              <w:rPr>
                <w:rFonts w:ascii="Calibri" w:eastAsia="Calibri" w:hAnsi="Calibri" w:cstheme="minorBidi"/>
                <w:szCs w:val="20"/>
                <w:lang w:eastAsia="en-US"/>
              </w:rPr>
              <w:t>.</w:t>
            </w:r>
          </w:p>
        </w:tc>
        <w:tc>
          <w:tcPr>
            <w:tcW w:w="690" w:type="pct"/>
            <w:shd w:val="clear" w:color="auto" w:fill="E36C0A" w:themeFill="accent6" w:themeFillShade="BF"/>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Liczba obiektów niewystarczająca</w:t>
            </w:r>
            <w:r w:rsidR="00701BE6">
              <w:rPr>
                <w:rFonts w:ascii="Calibri" w:eastAsia="Calibri" w:hAnsi="Calibri" w:cstheme="minorBidi"/>
                <w:szCs w:val="20"/>
                <w:lang w:eastAsia="en-US"/>
              </w:rPr>
              <w:t>.</w:t>
            </w:r>
          </w:p>
        </w:tc>
        <w:tc>
          <w:tcPr>
            <w:tcW w:w="702" w:type="pct"/>
            <w:shd w:val="clear" w:color="auto" w:fill="984806" w:themeFill="accent6" w:themeFillShade="80"/>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Brak</w:t>
            </w:r>
            <w:r w:rsidR="00701BE6">
              <w:rPr>
                <w:rFonts w:ascii="Calibri" w:eastAsia="Calibri" w:hAnsi="Calibri" w:cstheme="minorBidi"/>
                <w:szCs w:val="20"/>
                <w:lang w:eastAsia="en-US"/>
              </w:rPr>
              <w:t>.</w:t>
            </w:r>
          </w:p>
        </w:tc>
        <w:tc>
          <w:tcPr>
            <w:tcW w:w="733" w:type="pct"/>
            <w:shd w:val="clear" w:color="auto" w:fill="auto"/>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Brak</w:t>
            </w:r>
            <w:r w:rsidR="00701BE6">
              <w:rPr>
                <w:rFonts w:ascii="Calibri" w:eastAsia="Calibri" w:hAnsi="Calibri" w:cstheme="minorBidi"/>
                <w:szCs w:val="20"/>
                <w:lang w:eastAsia="en-US"/>
              </w:rPr>
              <w:t>.</w:t>
            </w:r>
          </w:p>
        </w:tc>
      </w:tr>
      <w:tr w:rsidR="008A2D26" w:rsidRPr="00082724" w:rsidTr="00051FBC">
        <w:tc>
          <w:tcPr>
            <w:tcW w:w="694" w:type="pct"/>
            <w:shd w:val="clear" w:color="auto" w:fill="auto"/>
          </w:tcPr>
          <w:p w:rsidR="008A2D26" w:rsidRPr="002D3B22" w:rsidRDefault="002D3B22" w:rsidP="00024FDC">
            <w:pPr>
              <w:spacing w:after="40"/>
              <w:rPr>
                <w:rFonts w:eastAsia="Calibri" w:cstheme="minorBidi"/>
                <w:b/>
                <w:smallCaps/>
                <w:sz w:val="18"/>
                <w:szCs w:val="18"/>
                <w:lang w:eastAsia="en-US"/>
              </w:rPr>
            </w:pPr>
            <w:r w:rsidRPr="002D3B22">
              <w:rPr>
                <w:rFonts w:eastAsia="Calibri" w:cstheme="minorBidi"/>
                <w:b/>
                <w:smallCaps/>
                <w:sz w:val="18"/>
                <w:szCs w:val="18"/>
                <w:lang w:eastAsia="en-US"/>
              </w:rPr>
              <w:t>PODMIOTY GOSPODARCZE (CEIDG) NA 100 OSÓB</w:t>
            </w:r>
          </w:p>
          <w:p w:rsidR="002D3B22" w:rsidRPr="002D3B22" w:rsidRDefault="002D3B22" w:rsidP="00024FDC">
            <w:pPr>
              <w:spacing w:after="40"/>
              <w:rPr>
                <w:rFonts w:eastAsia="Calibri" w:cstheme="minorBidi"/>
                <w:b/>
                <w:smallCaps/>
                <w:sz w:val="18"/>
                <w:szCs w:val="18"/>
                <w:lang w:eastAsia="en-US"/>
              </w:rPr>
            </w:pPr>
          </w:p>
        </w:tc>
        <w:tc>
          <w:tcPr>
            <w:tcW w:w="733" w:type="pct"/>
            <w:tcBorders>
              <w:bottom w:val="single" w:sz="4" w:space="0" w:color="auto"/>
            </w:tcBorders>
            <w:shd w:val="clear" w:color="auto" w:fill="984806" w:themeFill="accent6" w:themeFillShade="80"/>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Dwa razy mniej niż średnio w mieście</w:t>
            </w:r>
            <w:r w:rsidR="00701BE6">
              <w:rPr>
                <w:rFonts w:ascii="Calibri" w:eastAsia="Calibri" w:hAnsi="Calibri" w:cstheme="minorBidi"/>
                <w:szCs w:val="20"/>
                <w:lang w:eastAsia="en-US"/>
              </w:rPr>
              <w:t>.</w:t>
            </w:r>
          </w:p>
        </w:tc>
        <w:tc>
          <w:tcPr>
            <w:tcW w:w="728" w:type="pct"/>
            <w:tcBorders>
              <w:bottom w:val="single" w:sz="4" w:space="0" w:color="auto"/>
            </w:tcBorders>
            <w:shd w:val="clear" w:color="auto" w:fill="auto"/>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Przeciętnie, tak, jak średnio w mieście</w:t>
            </w:r>
            <w:r w:rsidR="00701BE6">
              <w:rPr>
                <w:rFonts w:ascii="Calibri" w:eastAsia="Calibri" w:hAnsi="Calibri" w:cstheme="minorBidi"/>
                <w:szCs w:val="20"/>
                <w:lang w:eastAsia="en-US"/>
              </w:rPr>
              <w:t>.</w:t>
            </w:r>
          </w:p>
        </w:tc>
        <w:tc>
          <w:tcPr>
            <w:tcW w:w="721" w:type="pct"/>
            <w:tcBorders>
              <w:bottom w:val="single" w:sz="4" w:space="0" w:color="auto"/>
            </w:tcBorders>
            <w:shd w:val="clear" w:color="auto" w:fill="92D050"/>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Bardzo dużo. Średnia dwa razy większa niż dla miasta</w:t>
            </w:r>
            <w:r w:rsidR="00701BE6">
              <w:rPr>
                <w:rFonts w:ascii="Calibri" w:eastAsia="Calibri" w:hAnsi="Calibri" w:cstheme="minorBidi"/>
                <w:szCs w:val="20"/>
                <w:lang w:eastAsia="en-US"/>
              </w:rPr>
              <w:t>.</w:t>
            </w:r>
          </w:p>
        </w:tc>
        <w:tc>
          <w:tcPr>
            <w:tcW w:w="690" w:type="pct"/>
            <w:tcBorders>
              <w:bottom w:val="single" w:sz="4" w:space="0" w:color="auto"/>
            </w:tcBorders>
            <w:shd w:val="clear" w:color="auto" w:fill="92D050"/>
          </w:tcPr>
          <w:p w:rsidR="008A2D26" w:rsidRPr="009E13BE" w:rsidRDefault="008A2D26" w:rsidP="00253AB3">
            <w:pPr>
              <w:rPr>
                <w:rFonts w:ascii="Calibri" w:eastAsia="Calibri" w:hAnsi="Calibri" w:cstheme="minorBidi"/>
                <w:szCs w:val="20"/>
                <w:lang w:eastAsia="en-US"/>
              </w:rPr>
            </w:pPr>
            <w:r w:rsidRPr="009E13BE">
              <w:rPr>
                <w:rFonts w:ascii="Calibri" w:eastAsia="Calibri" w:hAnsi="Calibri" w:cstheme="minorBidi"/>
                <w:szCs w:val="20"/>
                <w:lang w:eastAsia="en-US"/>
              </w:rPr>
              <w:t>Więcej niż średnio w</w:t>
            </w:r>
            <w:r w:rsidR="00253AB3">
              <w:rPr>
                <w:rFonts w:ascii="Calibri" w:eastAsia="Calibri" w:hAnsi="Calibri" w:cstheme="minorBidi"/>
                <w:szCs w:val="20"/>
                <w:lang w:eastAsia="en-US"/>
              </w:rPr>
              <w:t> </w:t>
            </w:r>
            <w:r w:rsidRPr="009E13BE">
              <w:rPr>
                <w:rFonts w:ascii="Calibri" w:eastAsia="Calibri" w:hAnsi="Calibri" w:cstheme="minorBidi"/>
                <w:szCs w:val="20"/>
                <w:lang w:eastAsia="en-US"/>
              </w:rPr>
              <w:t>mieście</w:t>
            </w:r>
            <w:r w:rsidR="00701BE6">
              <w:rPr>
                <w:rFonts w:ascii="Calibri" w:eastAsia="Calibri" w:hAnsi="Calibri" w:cstheme="minorBidi"/>
                <w:szCs w:val="20"/>
                <w:lang w:eastAsia="en-US"/>
              </w:rPr>
              <w:t>.</w:t>
            </w:r>
          </w:p>
        </w:tc>
        <w:tc>
          <w:tcPr>
            <w:tcW w:w="702" w:type="pct"/>
            <w:tcBorders>
              <w:bottom w:val="single" w:sz="4" w:space="0" w:color="auto"/>
            </w:tcBorders>
            <w:shd w:val="clear" w:color="auto" w:fill="92D050"/>
          </w:tcPr>
          <w:p w:rsidR="008A2D26" w:rsidRPr="009E13BE" w:rsidRDefault="008A2D26" w:rsidP="00253AB3">
            <w:pPr>
              <w:rPr>
                <w:rFonts w:ascii="Calibri" w:eastAsia="Calibri" w:hAnsi="Calibri" w:cstheme="minorBidi"/>
                <w:szCs w:val="20"/>
                <w:lang w:eastAsia="en-US"/>
              </w:rPr>
            </w:pPr>
            <w:r w:rsidRPr="009E13BE">
              <w:rPr>
                <w:rFonts w:ascii="Calibri" w:eastAsia="Calibri" w:hAnsi="Calibri" w:cstheme="minorBidi"/>
                <w:szCs w:val="20"/>
                <w:lang w:eastAsia="en-US"/>
              </w:rPr>
              <w:t>Więcej niż średnio w</w:t>
            </w:r>
            <w:r w:rsidR="00253AB3">
              <w:rPr>
                <w:rFonts w:ascii="Calibri" w:eastAsia="Calibri" w:hAnsi="Calibri" w:cstheme="minorBidi"/>
                <w:szCs w:val="20"/>
                <w:lang w:eastAsia="en-US"/>
              </w:rPr>
              <w:t> </w:t>
            </w:r>
            <w:r w:rsidRPr="009E13BE">
              <w:rPr>
                <w:rFonts w:ascii="Calibri" w:eastAsia="Calibri" w:hAnsi="Calibri" w:cstheme="minorBidi"/>
                <w:szCs w:val="20"/>
                <w:lang w:eastAsia="en-US"/>
              </w:rPr>
              <w:t>mieście</w:t>
            </w:r>
            <w:r w:rsidR="00701BE6">
              <w:rPr>
                <w:rFonts w:ascii="Calibri" w:eastAsia="Calibri" w:hAnsi="Calibri" w:cstheme="minorBidi"/>
                <w:szCs w:val="20"/>
                <w:lang w:eastAsia="en-US"/>
              </w:rPr>
              <w:t>.</w:t>
            </w:r>
          </w:p>
        </w:tc>
        <w:tc>
          <w:tcPr>
            <w:tcW w:w="733" w:type="pct"/>
            <w:tcBorders>
              <w:bottom w:val="single" w:sz="4" w:space="0" w:color="auto"/>
            </w:tcBorders>
            <w:shd w:val="clear" w:color="auto" w:fill="984806" w:themeFill="accent6" w:themeFillShade="80"/>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Dwa razy mniej niż średnio w mieście</w:t>
            </w:r>
            <w:r w:rsidR="00701BE6">
              <w:rPr>
                <w:rFonts w:ascii="Calibri" w:eastAsia="Calibri" w:hAnsi="Calibri" w:cstheme="minorBidi"/>
                <w:szCs w:val="20"/>
                <w:lang w:eastAsia="en-US"/>
              </w:rPr>
              <w:t>.</w:t>
            </w:r>
          </w:p>
        </w:tc>
      </w:tr>
      <w:tr w:rsidR="008A2D26" w:rsidRPr="00082724" w:rsidTr="00051FBC">
        <w:tc>
          <w:tcPr>
            <w:tcW w:w="694" w:type="pct"/>
            <w:shd w:val="clear" w:color="auto" w:fill="auto"/>
          </w:tcPr>
          <w:p w:rsidR="008A2D26" w:rsidRPr="002D3B22" w:rsidRDefault="002D3B22" w:rsidP="00024FDC">
            <w:pPr>
              <w:rPr>
                <w:rFonts w:eastAsia="Calibri" w:cstheme="minorBidi"/>
                <w:b/>
                <w:smallCaps/>
                <w:sz w:val="18"/>
                <w:szCs w:val="18"/>
                <w:lang w:eastAsia="en-US"/>
              </w:rPr>
            </w:pPr>
            <w:r w:rsidRPr="002D3B22">
              <w:rPr>
                <w:rFonts w:eastAsia="Calibri" w:cstheme="minorBidi"/>
                <w:b/>
                <w:smallCaps/>
                <w:sz w:val="18"/>
                <w:szCs w:val="18"/>
                <w:lang w:eastAsia="en-US"/>
              </w:rPr>
              <w:lastRenderedPageBreak/>
              <w:t>BUDYNKI GMINNE W STOSUNKU DO BUDYNKÓW OGÓŁEM (BYTOM:27%). (WIĘCEJ = GORZEJ – Z POWODU STANU I STANDARDU ZASOBU.)</w:t>
            </w:r>
          </w:p>
        </w:tc>
        <w:tc>
          <w:tcPr>
            <w:tcW w:w="733" w:type="pct"/>
            <w:shd w:val="clear" w:color="auto" w:fill="FABF8F" w:themeFill="accent6" w:themeFillTint="99"/>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Budynków komunalnych jest nieco więcej niż średnio w mieście. Stan techniczny bud. komunalnych jest lepszy niż przeciętnie w mieście</w:t>
            </w:r>
            <w:r w:rsidR="00701BE6">
              <w:rPr>
                <w:rFonts w:ascii="Calibri" w:eastAsia="Calibri" w:hAnsi="Calibri" w:cstheme="minorBidi"/>
                <w:szCs w:val="20"/>
                <w:lang w:eastAsia="en-US"/>
              </w:rPr>
              <w:t>.</w:t>
            </w:r>
          </w:p>
        </w:tc>
        <w:tc>
          <w:tcPr>
            <w:tcW w:w="728" w:type="pct"/>
            <w:shd w:val="clear" w:color="auto" w:fill="E36C0A" w:themeFill="accent6" w:themeFillShade="BF"/>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Co drugi budynek na obszarze należy do zasobu komunalnego</w:t>
            </w:r>
            <w:r w:rsidR="00701BE6">
              <w:rPr>
                <w:rFonts w:ascii="Calibri" w:eastAsia="Calibri" w:hAnsi="Calibri" w:cstheme="minorBidi"/>
                <w:szCs w:val="20"/>
                <w:lang w:eastAsia="en-US"/>
              </w:rPr>
              <w:t>.</w:t>
            </w:r>
          </w:p>
        </w:tc>
        <w:tc>
          <w:tcPr>
            <w:tcW w:w="721" w:type="pct"/>
            <w:shd w:val="clear" w:color="auto" w:fill="984806" w:themeFill="accent6" w:themeFillShade="80"/>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Sześć budynków na dziesięć należy do zasobu komunalnego</w:t>
            </w:r>
            <w:r w:rsidR="00701BE6">
              <w:rPr>
                <w:rFonts w:ascii="Calibri" w:eastAsia="Calibri" w:hAnsi="Calibri" w:cstheme="minorBidi"/>
                <w:szCs w:val="20"/>
                <w:lang w:eastAsia="en-US"/>
              </w:rPr>
              <w:t>.</w:t>
            </w:r>
          </w:p>
        </w:tc>
        <w:tc>
          <w:tcPr>
            <w:tcW w:w="690" w:type="pct"/>
            <w:shd w:val="clear" w:color="auto" w:fill="E36C0A" w:themeFill="accent6" w:themeFillShade="BF"/>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Co drugi budynek na obszarze należy do zasobu komunalnego</w:t>
            </w:r>
            <w:r w:rsidR="00701BE6">
              <w:rPr>
                <w:rFonts w:ascii="Calibri" w:eastAsia="Calibri" w:hAnsi="Calibri" w:cstheme="minorBidi"/>
                <w:szCs w:val="20"/>
                <w:lang w:eastAsia="en-US"/>
              </w:rPr>
              <w:t>.</w:t>
            </w:r>
          </w:p>
        </w:tc>
        <w:tc>
          <w:tcPr>
            <w:tcW w:w="702" w:type="pct"/>
            <w:shd w:val="clear" w:color="auto" w:fill="E36C0A" w:themeFill="accent6" w:themeFillShade="BF"/>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Co drugi budynek na obszarze należy do zasobu komunalnego</w:t>
            </w:r>
            <w:r w:rsidR="00701BE6">
              <w:rPr>
                <w:rFonts w:ascii="Calibri" w:eastAsia="Calibri" w:hAnsi="Calibri" w:cstheme="minorBidi"/>
                <w:szCs w:val="20"/>
                <w:lang w:eastAsia="en-US"/>
              </w:rPr>
              <w:t>.</w:t>
            </w:r>
          </w:p>
        </w:tc>
        <w:tc>
          <w:tcPr>
            <w:tcW w:w="733" w:type="pct"/>
            <w:shd w:val="clear" w:color="auto" w:fill="984806" w:themeFill="accent6" w:themeFillShade="80"/>
          </w:tcPr>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Wszystkie budynki znajdujące się w</w:t>
            </w:r>
            <w:r w:rsidR="00253AB3">
              <w:rPr>
                <w:rFonts w:ascii="Calibri" w:eastAsia="Calibri" w:hAnsi="Calibri" w:cstheme="minorBidi"/>
                <w:szCs w:val="20"/>
                <w:lang w:eastAsia="en-US"/>
              </w:rPr>
              <w:t> </w:t>
            </w:r>
            <w:r w:rsidRPr="009E13BE">
              <w:rPr>
                <w:rFonts w:ascii="Calibri" w:eastAsia="Calibri" w:hAnsi="Calibri" w:cstheme="minorBidi"/>
                <w:szCs w:val="20"/>
                <w:lang w:eastAsia="en-US"/>
              </w:rPr>
              <w:t>podobszarze należą do gminy (100% własności)</w:t>
            </w:r>
            <w:r w:rsidR="00701BE6">
              <w:rPr>
                <w:rFonts w:ascii="Calibri" w:eastAsia="Calibri" w:hAnsi="Calibri" w:cstheme="minorBidi"/>
                <w:szCs w:val="20"/>
                <w:lang w:eastAsia="en-US"/>
              </w:rPr>
              <w:t>.</w:t>
            </w:r>
          </w:p>
          <w:p w:rsidR="008A2D26" w:rsidRPr="009E13BE" w:rsidRDefault="008A2D26" w:rsidP="0081003B">
            <w:pPr>
              <w:rPr>
                <w:rFonts w:ascii="Calibri" w:eastAsia="Calibri" w:hAnsi="Calibri" w:cstheme="minorBidi"/>
                <w:szCs w:val="20"/>
                <w:lang w:eastAsia="en-US"/>
              </w:rPr>
            </w:pPr>
            <w:r w:rsidRPr="009E13BE">
              <w:rPr>
                <w:rFonts w:ascii="Calibri" w:eastAsia="Calibri" w:hAnsi="Calibri" w:cstheme="minorBidi"/>
                <w:szCs w:val="20"/>
                <w:lang w:eastAsia="en-US"/>
              </w:rPr>
              <w:t>85% z nich jest w złym lub bardzo złym stanie technicznym</w:t>
            </w:r>
            <w:r w:rsidR="00701BE6">
              <w:rPr>
                <w:rFonts w:ascii="Calibri" w:eastAsia="Calibri" w:hAnsi="Calibri" w:cstheme="minorBidi"/>
                <w:szCs w:val="20"/>
                <w:lang w:eastAsia="en-US"/>
              </w:rPr>
              <w:t>.</w:t>
            </w:r>
          </w:p>
        </w:tc>
      </w:tr>
    </w:tbl>
    <w:p w:rsidR="008A2D26" w:rsidRPr="005F27F5" w:rsidRDefault="008A2D26" w:rsidP="008A2D26">
      <w:pPr>
        <w:rPr>
          <w:sz w:val="22"/>
        </w:rPr>
      </w:pPr>
      <w:r w:rsidRPr="005F27F5">
        <w:rPr>
          <w:sz w:val="22"/>
        </w:rPr>
        <w:t xml:space="preserve"> </w:t>
      </w:r>
      <w:r w:rsidRPr="005F27F5">
        <w:rPr>
          <w:rFonts w:eastAsia="Calibri"/>
          <w:i/>
          <w:sz w:val="18"/>
          <w:szCs w:val="20"/>
        </w:rPr>
        <w:t>Źródło: Opracowanie własne</w:t>
      </w:r>
    </w:p>
    <w:p w:rsidR="008A2D26" w:rsidRPr="005224B3" w:rsidRDefault="008A2D26" w:rsidP="008A2D26">
      <w:pPr>
        <w:pStyle w:val="Nagwek1"/>
        <w:rPr>
          <w:rFonts w:cs="Calibri"/>
          <w:sz w:val="20"/>
          <w:szCs w:val="20"/>
        </w:rPr>
      </w:pPr>
      <w:r>
        <w:rPr>
          <w:rFonts w:cs="Calibri"/>
          <w:sz w:val="20"/>
          <w:szCs w:val="20"/>
        </w:rPr>
        <w:t xml:space="preserve"> </w:t>
      </w:r>
    </w:p>
    <w:p w:rsidR="000628EF" w:rsidRDefault="000628EF">
      <w:pPr>
        <w:rPr>
          <w:rFonts w:ascii="Calibri" w:hAnsi="Calibri" w:cs="Calibri"/>
          <w:szCs w:val="20"/>
        </w:rPr>
      </w:pPr>
      <w:r>
        <w:rPr>
          <w:rFonts w:ascii="Calibri" w:hAnsi="Calibri" w:cs="Calibri"/>
          <w:szCs w:val="20"/>
        </w:rPr>
        <w:br w:type="page"/>
      </w:r>
    </w:p>
    <w:p w:rsidR="008A2D26" w:rsidRDefault="008A2D26" w:rsidP="00522CE9">
      <w:pPr>
        <w:jc w:val="both"/>
        <w:rPr>
          <w:rFonts w:ascii="Calibri" w:hAnsi="Calibri" w:cs="Calibri"/>
          <w:szCs w:val="20"/>
        </w:rPr>
        <w:sectPr w:rsidR="008A2D26" w:rsidSect="008A2D26">
          <w:pgSz w:w="16838" w:h="11906" w:orient="landscape"/>
          <w:pgMar w:top="1418" w:right="1418" w:bottom="1418" w:left="1418" w:header="708" w:footer="708" w:gutter="0"/>
          <w:cols w:space="708"/>
          <w:docGrid w:linePitch="600" w:charSpace="32768"/>
        </w:sectPr>
      </w:pPr>
    </w:p>
    <w:p w:rsidR="00BD13DC" w:rsidRPr="0086406B" w:rsidRDefault="00BD13DC" w:rsidP="0018504D">
      <w:pPr>
        <w:pStyle w:val="Nagwek2"/>
        <w:numPr>
          <w:ilvl w:val="1"/>
          <w:numId w:val="448"/>
        </w:numPr>
        <w:spacing w:before="0"/>
        <w:ind w:left="431" w:hanging="431"/>
      </w:pPr>
      <w:bookmarkStart w:id="7832" w:name="_Toc474924954"/>
      <w:r w:rsidRPr="0086406B">
        <w:lastRenderedPageBreak/>
        <w:t>Geneza wiązek</w:t>
      </w:r>
      <w:bookmarkEnd w:id="7832"/>
    </w:p>
    <w:p w:rsidR="00BD13DC" w:rsidRDefault="00BD13DC" w:rsidP="00522CE9">
      <w:pPr>
        <w:jc w:val="both"/>
        <w:rPr>
          <w:rFonts w:ascii="Calibri" w:hAnsi="Calibri" w:cs="Calibri"/>
          <w:szCs w:val="20"/>
        </w:rPr>
      </w:pPr>
    </w:p>
    <w:p w:rsidR="004F40CB" w:rsidRDefault="004F40CB" w:rsidP="004F40CB">
      <w:pPr>
        <w:ind w:firstLine="708"/>
        <w:jc w:val="both"/>
        <w:rPr>
          <w:rFonts w:cs="Calibri"/>
          <w:szCs w:val="20"/>
        </w:rPr>
      </w:pPr>
      <w:r>
        <w:rPr>
          <w:rFonts w:cs="Calibri"/>
          <w:szCs w:val="20"/>
        </w:rPr>
        <w:t>Zdefiniowane w ramach procesu delimitacji jednostki urbanistyczne (podobszary) zostały przeanalizowane pod kątem ich potencjałów, problemów na nich występujących, wzajemnych powiązań oraz położenia, a następnie pogrupowane w sposób pozwalający efektywnie wykorzystać realizowane na ich terenie projekty (tzw. wiązki projektowe). Każda z wiązek projektowych zawiera projekty z różnych zakresów tematycznych, które wyrażają podstawowe interwencje, mające w sposób zintegrowany i kompleksowy przyczynić się do rewitalizacji danego podobszaru lub grupy podobszarów. Podstawowym założeniem przy konstruowaniu wiązki było osiągnięcie odpowiedniej synergii dzięki połączeniu oddziaływania interwencji „miękkiej” (społecznej/nieinwestycyjnej) oraz „twardej” (infrastrukturalno-inwestycyjnej).</w:t>
      </w:r>
    </w:p>
    <w:p w:rsidR="00BF1DF2" w:rsidRDefault="00BF1DF2" w:rsidP="00120CE3">
      <w:pPr>
        <w:shd w:val="clear" w:color="auto" w:fill="D9D9D9" w:themeFill="background1" w:themeFillShade="D9"/>
        <w:spacing w:after="240"/>
        <w:ind w:firstLine="567"/>
        <w:jc w:val="both"/>
        <w:rPr>
          <w:rFonts w:cs="Calibri"/>
          <w:szCs w:val="20"/>
        </w:rPr>
      </w:pPr>
      <w:r w:rsidRPr="00120CE3">
        <w:rPr>
          <w:rFonts w:cs="Calibri"/>
          <w:szCs w:val="20"/>
        </w:rPr>
        <w:t>Z uwagi na znaczące zaangażowanie środków publicznych w ramach Obszaru Strategicznej Interwencji, szczególne znaczenie przypisane zostało przedsięwzięciom zaplanowanym w ramach działań „rewitalizacyjnych” Regionalnego Programu Operacyjnego Województwa Śląskiego na lata 2014-2020 (działania w ramach Osi Priorytetowej IX oraz X).</w:t>
      </w:r>
    </w:p>
    <w:p w:rsidR="004F40CB" w:rsidRDefault="004F40CB" w:rsidP="004F40CB">
      <w:pPr>
        <w:ind w:firstLine="567"/>
        <w:jc w:val="both"/>
        <w:rPr>
          <w:rFonts w:cs="Calibri"/>
          <w:szCs w:val="20"/>
        </w:rPr>
      </w:pPr>
      <w:r>
        <w:rPr>
          <w:rFonts w:cs="Calibri"/>
          <w:szCs w:val="20"/>
        </w:rPr>
        <w:t>Proces tworzenia wiązek poprzedzony był analizą czynników charakteryzujących poszczególne tereny oraz spajających podobszary rewitalizacji. Na tej podstawie zdefiniowano ogólne oraz indywidualne powiązania pomiędzy podobszarami zamieszkałymi. W związku z powyższym uzyskano 3 podstawowe wiązki projektowe:</w:t>
      </w:r>
    </w:p>
    <w:p w:rsidR="004F40CB" w:rsidRDefault="004F40CB" w:rsidP="004F40CB">
      <w:pPr>
        <w:numPr>
          <w:ilvl w:val="0"/>
          <w:numId w:val="124"/>
        </w:numPr>
        <w:tabs>
          <w:tab w:val="left" w:pos="720"/>
        </w:tabs>
        <w:spacing w:line="100" w:lineRule="atLeast"/>
        <w:ind w:firstLine="0"/>
        <w:jc w:val="both"/>
        <w:rPr>
          <w:rFonts w:cs="Calibri"/>
          <w:szCs w:val="20"/>
        </w:rPr>
      </w:pPr>
      <w:r>
        <w:rPr>
          <w:rFonts w:cs="Calibri"/>
          <w:szCs w:val="20"/>
        </w:rPr>
        <w:t>wiązka 1: Śródmieście – Rozbark;</w:t>
      </w:r>
    </w:p>
    <w:p w:rsidR="004F40CB" w:rsidRDefault="004F40CB" w:rsidP="004F40CB">
      <w:pPr>
        <w:numPr>
          <w:ilvl w:val="0"/>
          <w:numId w:val="124"/>
        </w:numPr>
        <w:tabs>
          <w:tab w:val="left" w:pos="720"/>
        </w:tabs>
        <w:spacing w:line="100" w:lineRule="atLeast"/>
        <w:ind w:left="357" w:firstLine="0"/>
        <w:jc w:val="both"/>
        <w:rPr>
          <w:rFonts w:cs="Calibri"/>
          <w:szCs w:val="20"/>
        </w:rPr>
      </w:pPr>
      <w:r>
        <w:rPr>
          <w:rFonts w:cs="Calibri"/>
          <w:szCs w:val="20"/>
        </w:rPr>
        <w:t>wiązka 2: Bobrek;</w:t>
      </w:r>
    </w:p>
    <w:p w:rsidR="004F40CB" w:rsidRDefault="004F40CB" w:rsidP="004F40CB">
      <w:pPr>
        <w:numPr>
          <w:ilvl w:val="0"/>
          <w:numId w:val="124"/>
        </w:numPr>
        <w:tabs>
          <w:tab w:val="left" w:pos="720"/>
        </w:tabs>
        <w:spacing w:line="100" w:lineRule="atLeast"/>
        <w:ind w:firstLine="0"/>
        <w:jc w:val="both"/>
        <w:rPr>
          <w:rFonts w:cs="Calibri"/>
          <w:szCs w:val="20"/>
        </w:rPr>
      </w:pPr>
      <w:r>
        <w:rPr>
          <w:rFonts w:cs="Calibri"/>
          <w:szCs w:val="20"/>
        </w:rPr>
        <w:t>wiązka 3: Kolonia Zgorzelec.</w:t>
      </w:r>
    </w:p>
    <w:p w:rsidR="001D4F82" w:rsidRPr="001D4F82" w:rsidRDefault="001D4F82" w:rsidP="001D4F82">
      <w:pPr>
        <w:jc w:val="both"/>
        <w:rPr>
          <w:rFonts w:cs="Calibri"/>
          <w:szCs w:val="20"/>
        </w:rPr>
      </w:pPr>
    </w:p>
    <w:p w:rsidR="00A62E78" w:rsidRPr="008F4DC5" w:rsidRDefault="00A62E78" w:rsidP="00A62E78">
      <w:pPr>
        <w:pStyle w:val="Legenda"/>
        <w:spacing w:line="312" w:lineRule="auto"/>
        <w:rPr>
          <w:rFonts w:eastAsia="Calibri"/>
          <w:szCs w:val="24"/>
        </w:rPr>
      </w:pPr>
      <w:bookmarkStart w:id="7833" w:name="_Toc191972658"/>
      <w:r w:rsidRPr="008F4DC5">
        <w:t xml:space="preserve">Mapa </w:t>
      </w:r>
      <w:fldSimple w:instr=" SEQ Mapa \* ARABIC ">
        <w:r w:rsidR="00413FFE">
          <w:rPr>
            <w:noProof/>
          </w:rPr>
          <w:t>46</w:t>
        </w:r>
      </w:fldSimple>
      <w:r w:rsidRPr="008F4DC5">
        <w:t xml:space="preserve">. </w:t>
      </w:r>
      <w:r>
        <w:t>Wiązka 1, 2, 3</w:t>
      </w:r>
      <w:bookmarkEnd w:id="7833"/>
    </w:p>
    <w:p w:rsidR="001D4F82" w:rsidRPr="001D4F82" w:rsidRDefault="001D4F82" w:rsidP="001D4F82">
      <w:pPr>
        <w:jc w:val="both"/>
        <w:rPr>
          <w:rFonts w:cs="Calibri"/>
          <w:szCs w:val="20"/>
        </w:rPr>
      </w:pPr>
      <w:r w:rsidRPr="001D4F82">
        <w:rPr>
          <w:noProof/>
          <w:szCs w:val="20"/>
        </w:rPr>
        <w:drawing>
          <wp:inline distT="0" distB="0" distL="0" distR="0">
            <wp:extent cx="5724000" cy="4011531"/>
            <wp:effectExtent l="19050" t="0" r="0" b="0"/>
            <wp:docPr id="97" name="Obraz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0" cstate="print"/>
                    <a:srcRect/>
                    <a:stretch>
                      <a:fillRect/>
                    </a:stretch>
                  </pic:blipFill>
                  <pic:spPr bwMode="auto">
                    <a:xfrm>
                      <a:off x="0" y="0"/>
                      <a:ext cx="5724000" cy="4011531"/>
                    </a:xfrm>
                    <a:prstGeom prst="rect">
                      <a:avLst/>
                    </a:prstGeom>
                    <a:solidFill>
                      <a:srgbClr val="FFFFFF"/>
                    </a:solidFill>
                    <a:ln w="9525">
                      <a:noFill/>
                      <a:miter lim="800000"/>
                      <a:headEnd/>
                      <a:tailEnd/>
                    </a:ln>
                  </pic:spPr>
                </pic:pic>
              </a:graphicData>
            </a:graphic>
          </wp:inline>
        </w:drawing>
      </w:r>
    </w:p>
    <w:p w:rsidR="001D4F82" w:rsidRPr="001D4F82" w:rsidRDefault="001D4F82" w:rsidP="001D4F82">
      <w:pPr>
        <w:jc w:val="both"/>
        <w:rPr>
          <w:i/>
          <w:sz w:val="18"/>
          <w:szCs w:val="20"/>
        </w:rPr>
      </w:pPr>
      <w:r w:rsidRPr="001D4F82">
        <w:rPr>
          <w:i/>
          <w:sz w:val="18"/>
          <w:szCs w:val="20"/>
        </w:rPr>
        <w:t>Źródło: Opracowanie własne</w:t>
      </w:r>
    </w:p>
    <w:p w:rsidR="001D4F82" w:rsidRDefault="001D4F82" w:rsidP="001D4F82">
      <w:pPr>
        <w:jc w:val="both"/>
        <w:rPr>
          <w:rFonts w:cs="Calibri"/>
          <w:szCs w:val="20"/>
        </w:rPr>
      </w:pPr>
    </w:p>
    <w:p w:rsidR="000D10BF" w:rsidRDefault="000D10BF" w:rsidP="000D10BF">
      <w:pPr>
        <w:ind w:firstLine="708"/>
        <w:jc w:val="both"/>
        <w:rPr>
          <w:rFonts w:cs="Calibri"/>
          <w:szCs w:val="20"/>
        </w:rPr>
      </w:pPr>
      <w:r>
        <w:rPr>
          <w:rFonts w:cs="Calibri"/>
          <w:szCs w:val="20"/>
        </w:rPr>
        <w:lastRenderedPageBreak/>
        <w:t xml:space="preserve">Za powyższym wyborem przemawiały przede wszystkim: podobieństwo występujących w poszczególnych podobszarach problemów oraz ich położenie. Nie bez znaczenia były również historyczne uwarunkowania (tereny te stanowiły osobne dzielnice). Następnie do wiązek przyporządkowano te obszary niezamieszkałe, gdzie prowadzona interwencja w najbardziej efektywny sposób przyczyni się do rozwiązania problemów zidentyfikowanych w podobszarach zamieszkałych. Przede wszystkim – z uwagi na łatwy dostęp – przyłączono tereny niezamieszkałe sąsiadujące z zamieszkałymi, które wcześniej wspólnie stanowiły jedną, funkcjonalną całość (np. Bobrek i Huta Bobrek czy Rozbark i KWK Rozbark). </w:t>
      </w:r>
    </w:p>
    <w:p w:rsidR="000D10BF" w:rsidRDefault="000D10BF" w:rsidP="000D10BF">
      <w:pPr>
        <w:jc w:val="both"/>
        <w:rPr>
          <w:rFonts w:cs="Calibri"/>
          <w:szCs w:val="20"/>
        </w:rPr>
      </w:pPr>
      <w:r>
        <w:rPr>
          <w:rFonts w:cs="Calibri"/>
          <w:szCs w:val="20"/>
        </w:rPr>
        <w:t>W związku z powyższym zdefiniowano następujące wiązki:</w:t>
      </w:r>
    </w:p>
    <w:p w:rsidR="000D10BF" w:rsidRPr="008A6279" w:rsidRDefault="000D10BF" w:rsidP="000D10BF">
      <w:pPr>
        <w:numPr>
          <w:ilvl w:val="0"/>
          <w:numId w:val="124"/>
        </w:numPr>
        <w:tabs>
          <w:tab w:val="left" w:pos="720"/>
        </w:tabs>
        <w:spacing w:line="100" w:lineRule="atLeast"/>
        <w:ind w:firstLine="0"/>
        <w:jc w:val="both"/>
        <w:rPr>
          <w:rFonts w:cs="Calibri"/>
          <w:b/>
          <w:szCs w:val="20"/>
        </w:rPr>
      </w:pPr>
      <w:r w:rsidRPr="008A6279">
        <w:rPr>
          <w:rFonts w:cs="Calibri"/>
          <w:b/>
          <w:szCs w:val="20"/>
        </w:rPr>
        <w:t>wiązka 1: Śródmieście – Rozbark – KWK Rozbark – „Orzeł Biały”;</w:t>
      </w:r>
    </w:p>
    <w:p w:rsidR="000D10BF" w:rsidRPr="008A6279" w:rsidRDefault="000D10BF" w:rsidP="000D10BF">
      <w:pPr>
        <w:numPr>
          <w:ilvl w:val="0"/>
          <w:numId w:val="124"/>
        </w:numPr>
        <w:tabs>
          <w:tab w:val="left" w:pos="720"/>
        </w:tabs>
        <w:spacing w:line="100" w:lineRule="atLeast"/>
        <w:ind w:firstLine="0"/>
        <w:jc w:val="both"/>
        <w:rPr>
          <w:rFonts w:cs="Calibri"/>
          <w:b/>
          <w:szCs w:val="20"/>
        </w:rPr>
      </w:pPr>
      <w:r w:rsidRPr="008A6279">
        <w:rPr>
          <w:rFonts w:cs="Calibri"/>
          <w:b/>
          <w:szCs w:val="20"/>
        </w:rPr>
        <w:t>wiązka 2: Bobrek – Huta Bobrek – EC Szombierki + Pola Szombierskie;</w:t>
      </w:r>
    </w:p>
    <w:p w:rsidR="000D10BF" w:rsidRPr="008A6279" w:rsidRDefault="000D10BF" w:rsidP="000D10BF">
      <w:pPr>
        <w:numPr>
          <w:ilvl w:val="0"/>
          <w:numId w:val="124"/>
        </w:numPr>
        <w:tabs>
          <w:tab w:val="left" w:pos="720"/>
        </w:tabs>
        <w:spacing w:line="100" w:lineRule="atLeast"/>
        <w:ind w:firstLine="0"/>
        <w:jc w:val="both"/>
        <w:rPr>
          <w:rFonts w:cs="Calibri"/>
          <w:b/>
          <w:szCs w:val="20"/>
        </w:rPr>
      </w:pPr>
      <w:r w:rsidRPr="008A6279">
        <w:rPr>
          <w:rFonts w:cs="Calibri"/>
          <w:b/>
          <w:szCs w:val="20"/>
        </w:rPr>
        <w:t>wiązka 3: Kolonia Zgorzelec – Huta Zygmunt.</w:t>
      </w:r>
    </w:p>
    <w:p w:rsidR="000D10BF" w:rsidRDefault="000D10BF" w:rsidP="000D10BF">
      <w:pPr>
        <w:jc w:val="both"/>
        <w:rPr>
          <w:rFonts w:cs="Calibri"/>
          <w:szCs w:val="20"/>
        </w:rPr>
      </w:pPr>
      <w:r>
        <w:rPr>
          <w:rFonts w:cs="Calibri"/>
          <w:szCs w:val="20"/>
        </w:rPr>
        <w:t>Ponadto, zidentyfikowano podobszary niezamieszkałe, które z uwagi na planowane funkcje i potencjalnie szersze oddziaływanie na cały obszar rewitalizacji, nie weszły do ww. wiązek. W związku z powyższym, zdefiniowano wiązkę 4 – tzw. horyzontalną:</w:t>
      </w:r>
    </w:p>
    <w:p w:rsidR="000D10BF" w:rsidRDefault="000D10BF" w:rsidP="000D10BF">
      <w:pPr>
        <w:numPr>
          <w:ilvl w:val="0"/>
          <w:numId w:val="124"/>
        </w:numPr>
        <w:tabs>
          <w:tab w:val="left" w:pos="720"/>
        </w:tabs>
        <w:spacing w:line="100" w:lineRule="atLeast"/>
        <w:ind w:firstLine="0"/>
        <w:jc w:val="both"/>
        <w:rPr>
          <w:szCs w:val="20"/>
        </w:rPr>
      </w:pPr>
      <w:r w:rsidRPr="008A6279">
        <w:rPr>
          <w:rFonts w:cs="Calibri"/>
          <w:b/>
          <w:szCs w:val="20"/>
        </w:rPr>
        <w:t>wiązka 4: horyzontalna</w:t>
      </w:r>
      <w:r>
        <w:rPr>
          <w:rFonts w:cs="Calibri"/>
          <w:szCs w:val="20"/>
        </w:rPr>
        <w:t xml:space="preserve"> (obejmująca wszystkie podobszary rewitalizacji, w tym w </w:t>
      </w:r>
      <w:r>
        <w:rPr>
          <w:szCs w:val="20"/>
        </w:rPr>
        <w:t xml:space="preserve">szczególności cztery podobszary niezamieszkałe: teren dawnej KWK Szombierki, teren KWK Centrum, </w:t>
      </w:r>
      <w:r w:rsidR="00DB777D">
        <w:rPr>
          <w:rFonts w:cs="Calibri"/>
          <w:szCs w:val="20"/>
        </w:rPr>
        <w:t>t</w:t>
      </w:r>
      <w:r w:rsidR="00DB777D" w:rsidRPr="00B0289F">
        <w:rPr>
          <w:rFonts w:cs="Calibri"/>
          <w:szCs w:val="20"/>
        </w:rPr>
        <w:t>eren inwestycyjny – Bytom Miechowice</w:t>
      </w:r>
      <w:r>
        <w:rPr>
          <w:szCs w:val="20"/>
        </w:rPr>
        <w:t xml:space="preserve"> oraz rezerwat przyrody „Żabie Doły”).</w:t>
      </w:r>
    </w:p>
    <w:p w:rsidR="001D4F82" w:rsidRPr="001D4F82" w:rsidRDefault="001D4F82" w:rsidP="001D4F82">
      <w:pPr>
        <w:jc w:val="both"/>
        <w:rPr>
          <w:szCs w:val="20"/>
        </w:rPr>
      </w:pPr>
    </w:p>
    <w:p w:rsidR="00A62E78" w:rsidRPr="008F4DC5" w:rsidRDefault="00A62E78" w:rsidP="00A62E78">
      <w:pPr>
        <w:pStyle w:val="Legenda"/>
        <w:spacing w:line="312" w:lineRule="auto"/>
        <w:rPr>
          <w:rFonts w:eastAsia="Calibri"/>
          <w:szCs w:val="24"/>
        </w:rPr>
      </w:pPr>
      <w:bookmarkStart w:id="7834" w:name="_Toc191972659"/>
      <w:r w:rsidRPr="008F4DC5">
        <w:t xml:space="preserve">Mapa </w:t>
      </w:r>
      <w:fldSimple w:instr=" SEQ Mapa \* ARABIC ">
        <w:r w:rsidR="00413FFE">
          <w:rPr>
            <w:noProof/>
          </w:rPr>
          <w:t>47</w:t>
        </w:r>
      </w:fldSimple>
      <w:r w:rsidRPr="008F4DC5">
        <w:t xml:space="preserve">. </w:t>
      </w:r>
      <w:r>
        <w:t>Wiązka 4</w:t>
      </w:r>
      <w:bookmarkEnd w:id="7834"/>
    </w:p>
    <w:p w:rsidR="001D4F82" w:rsidRPr="001D4F82" w:rsidRDefault="001D4F82" w:rsidP="001D4F82">
      <w:pPr>
        <w:pStyle w:val="Legenda1"/>
        <w:keepNext/>
        <w:rPr>
          <w:rFonts w:asciiTheme="minorHAnsi" w:hAnsiTheme="minorHAnsi"/>
        </w:rPr>
      </w:pPr>
      <w:r w:rsidRPr="001D4F82">
        <w:rPr>
          <w:rFonts w:asciiTheme="minorHAnsi" w:hAnsiTheme="minorHAnsi"/>
          <w:noProof/>
          <w:lang w:eastAsia="pl-PL" w:bidi="ar-SA"/>
        </w:rPr>
        <w:drawing>
          <wp:inline distT="0" distB="0" distL="0" distR="0">
            <wp:extent cx="5724000" cy="4010566"/>
            <wp:effectExtent l="19050" t="0" r="0" b="0"/>
            <wp:docPr id="96" name="Obraz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91" cstate="print"/>
                    <a:srcRect/>
                    <a:stretch>
                      <a:fillRect/>
                    </a:stretch>
                  </pic:blipFill>
                  <pic:spPr bwMode="auto">
                    <a:xfrm>
                      <a:off x="0" y="0"/>
                      <a:ext cx="5724000" cy="4010566"/>
                    </a:xfrm>
                    <a:prstGeom prst="rect">
                      <a:avLst/>
                    </a:prstGeom>
                    <a:solidFill>
                      <a:srgbClr val="FFFFFF"/>
                    </a:solidFill>
                    <a:ln w="9525">
                      <a:noFill/>
                      <a:miter lim="800000"/>
                      <a:headEnd/>
                      <a:tailEnd/>
                    </a:ln>
                  </pic:spPr>
                </pic:pic>
              </a:graphicData>
            </a:graphic>
          </wp:inline>
        </w:drawing>
      </w:r>
    </w:p>
    <w:p w:rsidR="001D4F82" w:rsidRPr="001D4F82" w:rsidRDefault="001D4F82" w:rsidP="001D4F82">
      <w:pPr>
        <w:pStyle w:val="Legenda1"/>
        <w:keepNext/>
        <w:rPr>
          <w:rFonts w:asciiTheme="minorHAnsi" w:hAnsiTheme="minorHAnsi"/>
          <w:b w:val="0"/>
          <w:i/>
          <w:sz w:val="18"/>
        </w:rPr>
      </w:pPr>
      <w:r w:rsidRPr="001D4F82">
        <w:rPr>
          <w:rFonts w:asciiTheme="minorHAnsi" w:hAnsiTheme="minorHAnsi"/>
          <w:b w:val="0"/>
          <w:i/>
          <w:sz w:val="18"/>
        </w:rPr>
        <w:t>Źródło: Opracowanie własne</w:t>
      </w:r>
    </w:p>
    <w:p w:rsidR="00246AD0" w:rsidRDefault="000D10BF" w:rsidP="007956B3">
      <w:r>
        <w:t xml:space="preserve"> </w:t>
      </w:r>
      <w:r>
        <w:tab/>
      </w:r>
    </w:p>
    <w:p w:rsidR="000D10BF" w:rsidRDefault="000D10BF" w:rsidP="000D10BF">
      <w:pPr>
        <w:jc w:val="both"/>
        <w:rPr>
          <w:szCs w:val="20"/>
        </w:rPr>
      </w:pPr>
      <w:r>
        <w:rPr>
          <w:b/>
          <w:szCs w:val="20"/>
        </w:rPr>
        <w:t>Zidentyfikowane czynniki spajające podobszary w wiązkach</w:t>
      </w:r>
      <w:r>
        <w:rPr>
          <w:szCs w:val="20"/>
        </w:rPr>
        <w:t>:</w:t>
      </w:r>
    </w:p>
    <w:p w:rsidR="000D10BF" w:rsidRDefault="000D10BF" w:rsidP="000D10BF">
      <w:pPr>
        <w:pStyle w:val="Akapitzlist8"/>
        <w:numPr>
          <w:ilvl w:val="3"/>
          <w:numId w:val="359"/>
        </w:numPr>
        <w:spacing w:after="0" w:line="100" w:lineRule="atLeast"/>
        <w:ind w:left="714" w:hanging="357"/>
        <w:jc w:val="both"/>
        <w:rPr>
          <w:sz w:val="20"/>
          <w:szCs w:val="20"/>
        </w:rPr>
      </w:pPr>
      <w:r>
        <w:rPr>
          <w:sz w:val="20"/>
          <w:szCs w:val="20"/>
        </w:rPr>
        <w:t>powiązania komunikacyjne istniejące pomiędzy wszystkimi podobszarami;</w:t>
      </w:r>
    </w:p>
    <w:p w:rsidR="000D10BF" w:rsidRDefault="000D10BF" w:rsidP="000D10BF">
      <w:pPr>
        <w:pStyle w:val="Akapitzlist8"/>
        <w:numPr>
          <w:ilvl w:val="3"/>
          <w:numId w:val="359"/>
        </w:numPr>
        <w:spacing w:after="0" w:line="100" w:lineRule="atLeast"/>
        <w:ind w:left="714" w:hanging="357"/>
        <w:jc w:val="both"/>
        <w:rPr>
          <w:sz w:val="20"/>
          <w:szCs w:val="20"/>
        </w:rPr>
      </w:pPr>
      <w:r>
        <w:rPr>
          <w:sz w:val="20"/>
          <w:szCs w:val="20"/>
        </w:rPr>
        <w:t>ścisłe powiązanie podobszarów w centrum miasta w aspekcie społecznym, ekonomicznym i przestrzennym, warunkujące zastosowanie podobnych działań naprawczych (z uwagi na różnice potencjałów podobszary te nieznacznie się różnią, stąd podejmowane działania, choć podobne, będą musiały dostosować się do indywidualnych warunków miejsca);</w:t>
      </w:r>
    </w:p>
    <w:p w:rsidR="000D10BF" w:rsidRDefault="000D10BF" w:rsidP="000D10BF">
      <w:pPr>
        <w:pStyle w:val="Akapitzlist8"/>
        <w:numPr>
          <w:ilvl w:val="3"/>
          <w:numId w:val="359"/>
        </w:numPr>
        <w:spacing w:after="0" w:line="100" w:lineRule="atLeast"/>
        <w:ind w:left="714" w:hanging="357"/>
        <w:jc w:val="both"/>
        <w:rPr>
          <w:sz w:val="20"/>
          <w:szCs w:val="20"/>
        </w:rPr>
      </w:pPr>
      <w:r>
        <w:rPr>
          <w:sz w:val="20"/>
          <w:szCs w:val="20"/>
        </w:rPr>
        <w:lastRenderedPageBreak/>
        <w:t xml:space="preserve">powiązania kulturowe w wyodrębnionych grupach podobszarów zamieszkałych i niezamieszkałych, wynikające z historycznego sąsiedztwa miejsc zamieszkania z miejscami pracy (w wyniku restrukturyzacji kopalń i hut miejsca pracy zostały zlikwidowane, a celem rewitalizacji będzie „zwrócenie” terenów mieszkańcom poprzez zaproponowanie nowych funkcji, usług, miejsc pracy w nowych sektorach). </w:t>
      </w:r>
    </w:p>
    <w:p w:rsidR="000D10BF" w:rsidRDefault="000D10BF" w:rsidP="007956B3"/>
    <w:p w:rsidR="000D10BF" w:rsidRDefault="000D10BF" w:rsidP="000D10BF">
      <w:pPr>
        <w:shd w:val="clear" w:color="auto" w:fill="99CCFF"/>
        <w:jc w:val="center"/>
        <w:rPr>
          <w:b/>
          <w:i/>
        </w:rPr>
      </w:pPr>
      <w:r>
        <w:rPr>
          <w:b/>
          <w:i/>
        </w:rPr>
        <w:t>Wiązka 1: Śródmieście – Rozbark – KWK Rozbark – „Orzeł Biały”</w:t>
      </w:r>
    </w:p>
    <w:p w:rsidR="002862D1" w:rsidRDefault="002862D1" w:rsidP="000D10BF">
      <w:pPr>
        <w:jc w:val="both"/>
        <w:rPr>
          <w:szCs w:val="20"/>
        </w:rPr>
      </w:pPr>
    </w:p>
    <w:p w:rsidR="000D10BF" w:rsidRDefault="000D10BF" w:rsidP="000D10BF">
      <w:pPr>
        <w:jc w:val="both"/>
        <w:rPr>
          <w:szCs w:val="20"/>
        </w:rPr>
      </w:pPr>
      <w:r>
        <w:rPr>
          <w:szCs w:val="20"/>
        </w:rPr>
        <w:t>W skład wiązki wchodzą następujące podobszary:</w:t>
      </w:r>
    </w:p>
    <w:p w:rsidR="000D10BF" w:rsidRDefault="000D10BF" w:rsidP="000D10BF">
      <w:pPr>
        <w:pStyle w:val="Akapitzlist6"/>
        <w:numPr>
          <w:ilvl w:val="0"/>
          <w:numId w:val="125"/>
        </w:numPr>
        <w:spacing w:after="0" w:line="100" w:lineRule="atLeast"/>
        <w:ind w:left="714" w:hanging="357"/>
        <w:jc w:val="both"/>
        <w:rPr>
          <w:rFonts w:cs="Calibri"/>
          <w:sz w:val="20"/>
          <w:szCs w:val="20"/>
        </w:rPr>
      </w:pPr>
      <w:r>
        <w:rPr>
          <w:rFonts w:cs="Calibri"/>
          <w:sz w:val="20"/>
          <w:szCs w:val="20"/>
        </w:rPr>
        <w:t>podobszar rewitalizacji 10 Śródmieście - otoczony przez ulice Powstańców Warszawskich, Aleję Legionów, Żeromskiego, Żołnierza Polskiego, Piłsudskiego, Witczaka, Karola Miarki, Plac Wolskiego (obejmujący ścisłe historyczne centrum miasta);</w:t>
      </w:r>
    </w:p>
    <w:p w:rsidR="000D10BF" w:rsidRDefault="000D10BF" w:rsidP="000D10BF">
      <w:pPr>
        <w:pStyle w:val="Akapitzlist6"/>
        <w:numPr>
          <w:ilvl w:val="0"/>
          <w:numId w:val="125"/>
        </w:numPr>
        <w:spacing w:after="0" w:line="100" w:lineRule="atLeast"/>
        <w:ind w:left="714" w:hanging="357"/>
        <w:jc w:val="both"/>
        <w:rPr>
          <w:rFonts w:cs="Calibri"/>
          <w:sz w:val="20"/>
          <w:szCs w:val="20"/>
        </w:rPr>
      </w:pPr>
      <w:r>
        <w:rPr>
          <w:rFonts w:cs="Calibri"/>
          <w:sz w:val="20"/>
          <w:szCs w:val="20"/>
        </w:rPr>
        <w:t>podobszar rewitalizacji 11 Śródmieście Zachód – otoczony przez ulice Piekarską, Aleję Legionów, Powstańców Warszawskich, Strzelców Bytomskich, Tarnogórską (z przyległymi terenami), następnie ulice Fałata i Woźniaka (wzdłuż granicy ogródków działkowych) oraz Powstańców Śląskich;</w:t>
      </w:r>
    </w:p>
    <w:p w:rsidR="000D10BF" w:rsidRDefault="000D10BF" w:rsidP="000D10BF">
      <w:pPr>
        <w:pStyle w:val="Akapitzlist6"/>
        <w:numPr>
          <w:ilvl w:val="0"/>
          <w:numId w:val="125"/>
        </w:numPr>
        <w:spacing w:after="0" w:line="100" w:lineRule="atLeast"/>
        <w:ind w:left="714" w:hanging="357"/>
        <w:jc w:val="both"/>
        <w:rPr>
          <w:rFonts w:cs="Calibri"/>
          <w:sz w:val="20"/>
          <w:szCs w:val="20"/>
        </w:rPr>
      </w:pPr>
      <w:r>
        <w:rPr>
          <w:rFonts w:cs="Calibri"/>
          <w:sz w:val="20"/>
          <w:szCs w:val="20"/>
        </w:rPr>
        <w:t xml:space="preserve">podobszar rewitalizacji 12 Rozbark – otoczony przez zabudowania przy ul. Szafranka, ulice Alojzjanów, Witczaka, Katowicką, Miarki, granicę podobszaru 24 (teren dawnej KWK Rozbark), następnie ulice Chorzowską, Sienną, Siemianowicką (z przyległymi terenami), tereny wzdłuż Alei Jana Pawła II oraz od północy tory kolejowe; </w:t>
      </w:r>
    </w:p>
    <w:p w:rsidR="000D10BF" w:rsidRDefault="000D10BF" w:rsidP="000D10BF">
      <w:pPr>
        <w:pStyle w:val="Akapitzlist6"/>
        <w:numPr>
          <w:ilvl w:val="0"/>
          <w:numId w:val="125"/>
        </w:numPr>
        <w:spacing w:after="0" w:line="100" w:lineRule="atLeast"/>
        <w:ind w:left="714" w:hanging="357"/>
        <w:jc w:val="both"/>
        <w:rPr>
          <w:rFonts w:cs="Calibri"/>
          <w:sz w:val="20"/>
          <w:szCs w:val="20"/>
        </w:rPr>
      </w:pPr>
      <w:r>
        <w:rPr>
          <w:rFonts w:cs="Calibri"/>
          <w:sz w:val="20"/>
          <w:szCs w:val="20"/>
        </w:rPr>
        <w:t>podobszar rewitalizacji 13 Śródmieście Północ – otoczony przez ulice Piekarską, Żeromskiego, Żołnierza Polskiego, Piłsudskiego, Witczaka, Alojzjanów, zabudowania przy ul. Szafranka, Witczaka, Ułańskiej i Kędzierzyńskiej, ulice Kruszcową, Mickiewicza, Północą (z przyległymi terenami), cmentarz komunalny oraz obejmujący ulicę Odrzańską z przyległymi terenami;</w:t>
      </w:r>
    </w:p>
    <w:p w:rsidR="000D10BF" w:rsidRDefault="000D10BF" w:rsidP="000D10BF">
      <w:pPr>
        <w:pStyle w:val="Akapitzlist6"/>
        <w:numPr>
          <w:ilvl w:val="0"/>
          <w:numId w:val="125"/>
        </w:numPr>
        <w:spacing w:after="0" w:line="100" w:lineRule="atLeast"/>
        <w:ind w:left="714" w:hanging="357"/>
        <w:jc w:val="both"/>
        <w:rPr>
          <w:rFonts w:cs="Calibri"/>
          <w:sz w:val="20"/>
          <w:szCs w:val="20"/>
        </w:rPr>
      </w:pPr>
      <w:r>
        <w:rPr>
          <w:rFonts w:cs="Calibri"/>
          <w:sz w:val="20"/>
          <w:szCs w:val="20"/>
        </w:rPr>
        <w:t>podobszar rewitalizacji 24 – teren dawnej KWK Rozbark;</w:t>
      </w:r>
    </w:p>
    <w:p w:rsidR="000D10BF" w:rsidRDefault="000D10BF" w:rsidP="000D10BF">
      <w:pPr>
        <w:pStyle w:val="Akapitzlist6"/>
        <w:numPr>
          <w:ilvl w:val="0"/>
          <w:numId w:val="125"/>
        </w:numPr>
        <w:spacing w:after="0" w:line="100" w:lineRule="atLeast"/>
        <w:ind w:left="714" w:hanging="357"/>
        <w:jc w:val="both"/>
        <w:rPr>
          <w:rFonts w:cs="Calibri"/>
          <w:sz w:val="20"/>
          <w:szCs w:val="20"/>
        </w:rPr>
      </w:pPr>
      <w:r>
        <w:rPr>
          <w:rFonts w:cs="Calibri"/>
          <w:sz w:val="20"/>
          <w:szCs w:val="20"/>
        </w:rPr>
        <w:t>podobszar rewitalizacji 32 – tereny poprzemysłowe „Orzeł Biały”.</w:t>
      </w:r>
    </w:p>
    <w:p w:rsidR="000D10BF" w:rsidRDefault="000D10BF" w:rsidP="000D10BF">
      <w:pPr>
        <w:jc w:val="both"/>
        <w:rPr>
          <w:rFonts w:cs="Calibri"/>
          <w:szCs w:val="20"/>
        </w:rPr>
      </w:pPr>
    </w:p>
    <w:p w:rsidR="000D10BF" w:rsidRDefault="000D10BF" w:rsidP="000D10BF">
      <w:pPr>
        <w:jc w:val="both"/>
        <w:rPr>
          <w:b/>
          <w:szCs w:val="20"/>
        </w:rPr>
      </w:pPr>
      <w:r>
        <w:rPr>
          <w:b/>
          <w:szCs w:val="20"/>
        </w:rPr>
        <w:t>Zidentyfikowane czynniki spajające podobszary w wiązce 1:</w:t>
      </w:r>
    </w:p>
    <w:p w:rsidR="000D10BF" w:rsidRDefault="000D10BF" w:rsidP="000D10BF">
      <w:pPr>
        <w:pStyle w:val="Akapitzlist6"/>
        <w:numPr>
          <w:ilvl w:val="0"/>
          <w:numId w:val="360"/>
        </w:numPr>
        <w:spacing w:after="0" w:line="100" w:lineRule="atLeast"/>
        <w:ind w:left="714" w:hanging="357"/>
        <w:jc w:val="both"/>
        <w:rPr>
          <w:sz w:val="20"/>
          <w:szCs w:val="20"/>
        </w:rPr>
      </w:pPr>
      <w:r>
        <w:rPr>
          <w:sz w:val="20"/>
          <w:szCs w:val="20"/>
        </w:rPr>
        <w:t>powiązania kulturowe: mieszkańcy z podobszarów zamieszkałych (nr 10, 11, 12, 13) pracowali wcześniej w kopalni Rozbark oraz w zakładzie górniczo-hutniczym „Orzeł Biały” (położonych w podobszarach niezamieszkałych), stąd występuje silne poczucie identyfikacji z tymi miejscami - szczególnie mieszkańcy Rozbarku (podobszar nr 12) przejawiają silne przywiązanie do lokalnej tradycji. Co więcej, tereny w naturalny sposób wiążą się ze sobą, ponieważ kiedyś stanowiły jedną spójną, samowystarczalną (dom – praca – usługi) dzielnicę;</w:t>
      </w:r>
    </w:p>
    <w:p w:rsidR="000D10BF" w:rsidRDefault="000D10BF" w:rsidP="000D10BF">
      <w:pPr>
        <w:numPr>
          <w:ilvl w:val="0"/>
          <w:numId w:val="360"/>
        </w:numPr>
        <w:spacing w:line="100" w:lineRule="atLeast"/>
        <w:ind w:left="714" w:hanging="357"/>
        <w:jc w:val="both"/>
        <w:rPr>
          <w:szCs w:val="20"/>
        </w:rPr>
      </w:pPr>
      <w:r>
        <w:rPr>
          <w:szCs w:val="20"/>
        </w:rPr>
        <w:t xml:space="preserve">kumulacja podobnych problemów społecznych, lokalowych, przestrzennych (zgodnie </w:t>
      </w:r>
      <w:r>
        <w:rPr>
          <w:szCs w:val="20"/>
        </w:rPr>
        <w:br/>
        <w:t>z zapisami pogłębionej diagnozy) – ich natężenie oraz potencjały są różne, rozwiązaniem jest adresowanie projektów zakłada</w:t>
      </w:r>
      <w:r w:rsidR="004D381B">
        <w:rPr>
          <w:szCs w:val="20"/>
        </w:rPr>
        <w:t>jących wysoce zindywidualizowan</w:t>
      </w:r>
      <w:r>
        <w:rPr>
          <w:szCs w:val="20"/>
        </w:rPr>
        <w:t>e podejście do grup beneficjentów w zależności od obszaru z jakiego pochodzą;</w:t>
      </w:r>
    </w:p>
    <w:p w:rsidR="000D10BF" w:rsidRDefault="000D10BF" w:rsidP="000D10BF">
      <w:pPr>
        <w:numPr>
          <w:ilvl w:val="0"/>
          <w:numId w:val="360"/>
        </w:numPr>
        <w:spacing w:line="100" w:lineRule="atLeast"/>
        <w:ind w:left="714" w:hanging="357"/>
        <w:jc w:val="both"/>
        <w:rPr>
          <w:szCs w:val="20"/>
        </w:rPr>
      </w:pPr>
      <w:r>
        <w:rPr>
          <w:szCs w:val="20"/>
        </w:rPr>
        <w:t>Śródmieście jako centralna część miasta łączy liczne funkcje ogólnomiejskie, które stanowią istotny potencjał dla mieszkańców, tj. miejsca pracy, funkcje rozrywkowe, kulturalne, oświatowe, szpitale, służby miejskie, itd.</w:t>
      </w:r>
    </w:p>
    <w:p w:rsidR="000D10BF" w:rsidRDefault="000D10BF" w:rsidP="000D10BF">
      <w:pPr>
        <w:pStyle w:val="Tekstpodstawowy"/>
        <w:widowControl w:val="0"/>
        <w:numPr>
          <w:ilvl w:val="0"/>
          <w:numId w:val="360"/>
        </w:numPr>
        <w:suppressAutoHyphens/>
        <w:spacing w:after="0" w:line="100" w:lineRule="atLeast"/>
        <w:ind w:left="714" w:hanging="357"/>
        <w:jc w:val="both"/>
        <w:rPr>
          <w:szCs w:val="20"/>
        </w:rPr>
      </w:pPr>
      <w:r>
        <w:rPr>
          <w:szCs w:val="20"/>
        </w:rPr>
        <w:t>powiązania przestrzenne wynikają ze zwartej struktury urbanistycznej, historycznej zabudowy Starówki i przyległych dzielnic;</w:t>
      </w:r>
    </w:p>
    <w:p w:rsidR="000D10BF" w:rsidRDefault="000D10BF" w:rsidP="000D10BF">
      <w:pPr>
        <w:numPr>
          <w:ilvl w:val="0"/>
          <w:numId w:val="360"/>
        </w:numPr>
        <w:spacing w:line="100" w:lineRule="atLeast"/>
        <w:ind w:left="714" w:hanging="357"/>
        <w:jc w:val="both"/>
        <w:rPr>
          <w:szCs w:val="20"/>
        </w:rPr>
      </w:pPr>
      <w:r>
        <w:rPr>
          <w:szCs w:val="20"/>
        </w:rPr>
        <w:t>w podobszarze teren poprzemysłowy „Orzeł Biały” ze względu na możliwe lokalizacje powstaną dodatkowe lokale socjalne dla mieszkańców podobszarów śródmiejskich i Rozbarku (duże zapotrzebowanie na takie lokale w podobszarach zamieszkałych wiązki 1);</w:t>
      </w:r>
    </w:p>
    <w:p w:rsidR="000D10BF" w:rsidRPr="00715F0C" w:rsidRDefault="000D10BF" w:rsidP="000D10BF">
      <w:pPr>
        <w:numPr>
          <w:ilvl w:val="0"/>
          <w:numId w:val="360"/>
        </w:numPr>
        <w:spacing w:line="100" w:lineRule="atLeast"/>
        <w:ind w:left="714" w:hanging="357"/>
        <w:jc w:val="both"/>
        <w:rPr>
          <w:b/>
          <w:szCs w:val="20"/>
        </w:rPr>
      </w:pPr>
      <w:r w:rsidRPr="003B0F5C">
        <w:rPr>
          <w:szCs w:val="20"/>
        </w:rPr>
        <w:t>w podobszarach niezamieszkałych powstaną uzupełniające funkcje mieszkaniowe, miejsca pracy, obiekty sportowo-rekreacyjne, tworzące dla mieszkańców podobszarów 10-13 nowe miejsca pracy – przewiduje się stosowanie klauzul społecznych przy potencjalnych przetargach – pierwszeństwo będą mieli mieszkańcy przeszkoleni w ramach projektów miękkich realizowanych w obszarze rewitalizacji.</w:t>
      </w:r>
      <w:r w:rsidR="00715F0C">
        <w:rPr>
          <w:b/>
          <w:szCs w:val="20"/>
        </w:rPr>
        <w:t xml:space="preserve"> Z</w:t>
      </w:r>
      <w:r w:rsidR="003B0F5C">
        <w:rPr>
          <w:b/>
          <w:szCs w:val="20"/>
        </w:rPr>
        <w:t> </w:t>
      </w:r>
      <w:r w:rsidR="00715F0C">
        <w:rPr>
          <w:b/>
          <w:szCs w:val="20"/>
        </w:rPr>
        <w:t xml:space="preserve">uwagi na fakt, że działania w ramach programu kierowane będą przede wszystkim do mieszkańców obszaru rewitalizacji, zapisy dotyczące ww. preferencji pozwolą w większym stopniu zapewnić </w:t>
      </w:r>
      <w:r w:rsidR="00DF35E7">
        <w:rPr>
          <w:b/>
          <w:szCs w:val="20"/>
        </w:rPr>
        <w:t>mieszkańcom (zwłaszcza tym uczestniczącym w projektach nieinwestycyjnych) udział w</w:t>
      </w:r>
      <w:r w:rsidR="00FB1B0D">
        <w:rPr>
          <w:b/>
          <w:szCs w:val="20"/>
        </w:rPr>
        <w:t> </w:t>
      </w:r>
      <w:r w:rsidR="00DF35E7">
        <w:rPr>
          <w:b/>
          <w:szCs w:val="20"/>
        </w:rPr>
        <w:t>procesach rewitalizacyjnych.</w:t>
      </w:r>
    </w:p>
    <w:p w:rsidR="000D10BF" w:rsidRDefault="000D10BF" w:rsidP="000D10BF">
      <w:pPr>
        <w:pStyle w:val="Akapitzlist6"/>
        <w:shd w:val="clear" w:color="auto" w:fill="99CCFF"/>
        <w:spacing w:after="0" w:line="100" w:lineRule="atLeast"/>
        <w:ind w:left="0"/>
        <w:jc w:val="center"/>
        <w:rPr>
          <w:b/>
          <w:i/>
          <w:sz w:val="20"/>
          <w:szCs w:val="20"/>
        </w:rPr>
      </w:pPr>
      <w:r>
        <w:rPr>
          <w:b/>
          <w:i/>
          <w:sz w:val="20"/>
          <w:szCs w:val="20"/>
        </w:rPr>
        <w:lastRenderedPageBreak/>
        <w:t>Wiązka 2: Bobrek - Huta Bobrek - EC Szombierki + Pola Szombierskie</w:t>
      </w:r>
    </w:p>
    <w:p w:rsidR="002862D1" w:rsidRDefault="002862D1" w:rsidP="000D10BF">
      <w:pPr>
        <w:jc w:val="both"/>
        <w:rPr>
          <w:szCs w:val="20"/>
        </w:rPr>
      </w:pPr>
    </w:p>
    <w:p w:rsidR="000D10BF" w:rsidRDefault="000D10BF" w:rsidP="000D10BF">
      <w:pPr>
        <w:jc w:val="both"/>
        <w:rPr>
          <w:szCs w:val="20"/>
        </w:rPr>
      </w:pPr>
      <w:r>
        <w:rPr>
          <w:szCs w:val="20"/>
        </w:rPr>
        <w:t>W skład wiązki wchodzą następujące podobszary:</w:t>
      </w:r>
    </w:p>
    <w:p w:rsidR="000D10BF" w:rsidRDefault="000D10BF" w:rsidP="000D10BF">
      <w:pPr>
        <w:pStyle w:val="Akapitzlist6"/>
        <w:numPr>
          <w:ilvl w:val="0"/>
          <w:numId w:val="125"/>
        </w:numPr>
        <w:spacing w:after="0" w:line="100" w:lineRule="atLeast"/>
        <w:ind w:left="714" w:hanging="357"/>
        <w:jc w:val="both"/>
        <w:rPr>
          <w:rFonts w:cs="Calibri"/>
          <w:sz w:val="20"/>
          <w:szCs w:val="20"/>
        </w:rPr>
      </w:pPr>
      <w:r>
        <w:rPr>
          <w:rFonts w:cs="Calibri"/>
          <w:sz w:val="20"/>
          <w:szCs w:val="20"/>
        </w:rPr>
        <w:t>podobszar rewitalizacji 8 Bobrek - teren obejmujący zamieszkałą część dzielnicy Bobrek wraz z osiedlem pod Brzozami;</w:t>
      </w:r>
    </w:p>
    <w:p w:rsidR="000D10BF" w:rsidRDefault="000D10BF" w:rsidP="000D10BF">
      <w:pPr>
        <w:pStyle w:val="Akapitzlist6"/>
        <w:numPr>
          <w:ilvl w:val="0"/>
          <w:numId w:val="125"/>
        </w:numPr>
        <w:spacing w:after="0" w:line="100" w:lineRule="atLeast"/>
        <w:ind w:left="714" w:hanging="357"/>
        <w:jc w:val="both"/>
        <w:rPr>
          <w:rFonts w:cs="Calibri"/>
          <w:sz w:val="20"/>
          <w:szCs w:val="20"/>
        </w:rPr>
      </w:pPr>
      <w:r>
        <w:rPr>
          <w:rFonts w:cs="Calibri"/>
          <w:sz w:val="20"/>
          <w:szCs w:val="20"/>
        </w:rPr>
        <w:t>podobszar rewitalizacji 29 – teren dawnej Huty Bobrek;</w:t>
      </w:r>
    </w:p>
    <w:p w:rsidR="000D10BF" w:rsidRDefault="000D10BF" w:rsidP="000D10BF">
      <w:pPr>
        <w:pStyle w:val="Akapitzlist6"/>
        <w:numPr>
          <w:ilvl w:val="0"/>
          <w:numId w:val="125"/>
        </w:numPr>
        <w:spacing w:after="0" w:line="100" w:lineRule="atLeast"/>
        <w:ind w:left="714" w:hanging="357"/>
        <w:jc w:val="both"/>
        <w:rPr>
          <w:rFonts w:cs="Calibri"/>
          <w:sz w:val="20"/>
          <w:szCs w:val="20"/>
        </w:rPr>
      </w:pPr>
      <w:r>
        <w:rPr>
          <w:rFonts w:cs="Calibri"/>
          <w:sz w:val="20"/>
          <w:szCs w:val="20"/>
        </w:rPr>
        <w:t>podobszar rewitalizacji 30 – EC Szombierki – Pola Szombierskie.</w:t>
      </w:r>
    </w:p>
    <w:p w:rsidR="000D10BF" w:rsidRDefault="000D10BF" w:rsidP="000D10BF">
      <w:pPr>
        <w:jc w:val="both"/>
        <w:rPr>
          <w:rFonts w:cs="Calibri"/>
          <w:szCs w:val="20"/>
        </w:rPr>
      </w:pPr>
    </w:p>
    <w:p w:rsidR="000D10BF" w:rsidRDefault="000D10BF" w:rsidP="000D10BF">
      <w:pPr>
        <w:jc w:val="both"/>
        <w:rPr>
          <w:b/>
          <w:szCs w:val="20"/>
        </w:rPr>
      </w:pPr>
      <w:r>
        <w:rPr>
          <w:b/>
          <w:szCs w:val="20"/>
        </w:rPr>
        <w:t>Zidentyfikowane czynniki spajające podobszary w wiązce 2:</w:t>
      </w:r>
    </w:p>
    <w:p w:rsidR="000D10BF" w:rsidRDefault="000D10BF" w:rsidP="000D10BF">
      <w:pPr>
        <w:pStyle w:val="Akapitzlist6"/>
        <w:numPr>
          <w:ilvl w:val="0"/>
          <w:numId w:val="125"/>
        </w:numPr>
        <w:spacing w:after="0" w:line="100" w:lineRule="atLeast"/>
        <w:ind w:left="714" w:hanging="357"/>
        <w:jc w:val="both"/>
        <w:rPr>
          <w:sz w:val="20"/>
          <w:szCs w:val="20"/>
        </w:rPr>
      </w:pPr>
      <w:r>
        <w:rPr>
          <w:sz w:val="20"/>
          <w:szCs w:val="20"/>
        </w:rPr>
        <w:t>powiązania społeczno-kulturowe: mieszkańcy z podobszaru zamieszkałego (nr 8) pracowali w Hucie Bobrek, przywiązani są też do lokalnej tradycji, a tereny w naturalny sposób wiążą się ze sobą, stanowiąc wcześniej jedną, spójną dzielnicę;</w:t>
      </w:r>
    </w:p>
    <w:p w:rsidR="000D10BF" w:rsidRDefault="000D10BF" w:rsidP="000D10BF">
      <w:pPr>
        <w:pStyle w:val="Akapitzlist6"/>
        <w:numPr>
          <w:ilvl w:val="0"/>
          <w:numId w:val="125"/>
        </w:numPr>
        <w:spacing w:after="0" w:line="100" w:lineRule="atLeast"/>
        <w:ind w:left="714" w:hanging="357"/>
        <w:jc w:val="both"/>
        <w:rPr>
          <w:sz w:val="20"/>
          <w:szCs w:val="20"/>
        </w:rPr>
      </w:pPr>
      <w:r>
        <w:rPr>
          <w:sz w:val="20"/>
          <w:szCs w:val="20"/>
        </w:rPr>
        <w:t xml:space="preserve">obszary niezamieszkałe stworzą nowe miejsca pracy – przewiduje się stosowanie klauzul społecznych przy potencjalnych przetargach </w:t>
      </w:r>
      <w:r>
        <w:rPr>
          <w:szCs w:val="20"/>
        </w:rPr>
        <w:t xml:space="preserve">– </w:t>
      </w:r>
      <w:r w:rsidRPr="00C65001">
        <w:rPr>
          <w:sz w:val="20"/>
          <w:szCs w:val="20"/>
        </w:rPr>
        <w:t>pierwszeństwo będą mieli mieszkańcy przeszkoleni w ramach projektów miękkich realizowanych w obszarze rewitalizacji.</w:t>
      </w:r>
    </w:p>
    <w:p w:rsidR="000D10BF" w:rsidRDefault="000D10BF" w:rsidP="000D10BF">
      <w:pPr>
        <w:pStyle w:val="Akapitzlist6"/>
        <w:spacing w:after="0" w:line="100" w:lineRule="atLeast"/>
        <w:jc w:val="both"/>
        <w:rPr>
          <w:sz w:val="20"/>
          <w:szCs w:val="20"/>
        </w:rPr>
      </w:pPr>
    </w:p>
    <w:p w:rsidR="000D10BF" w:rsidRDefault="000D10BF" w:rsidP="000D10BF">
      <w:pPr>
        <w:pStyle w:val="Akapitzlist6"/>
        <w:shd w:val="clear" w:color="auto" w:fill="99CCFF"/>
        <w:spacing w:after="0" w:line="100" w:lineRule="atLeast"/>
        <w:ind w:left="0"/>
        <w:jc w:val="center"/>
        <w:rPr>
          <w:b/>
          <w:i/>
          <w:sz w:val="20"/>
          <w:szCs w:val="20"/>
        </w:rPr>
      </w:pPr>
      <w:r>
        <w:rPr>
          <w:b/>
          <w:i/>
          <w:sz w:val="20"/>
          <w:szCs w:val="20"/>
        </w:rPr>
        <w:t>Wiązka 3: Kolonia Zgorzelec – Huta Zygmunt</w:t>
      </w:r>
    </w:p>
    <w:p w:rsidR="002862D1" w:rsidRDefault="002862D1" w:rsidP="000D10BF">
      <w:pPr>
        <w:jc w:val="both"/>
        <w:rPr>
          <w:szCs w:val="20"/>
        </w:rPr>
      </w:pPr>
    </w:p>
    <w:p w:rsidR="000D10BF" w:rsidRDefault="000D10BF" w:rsidP="000D10BF">
      <w:pPr>
        <w:jc w:val="both"/>
        <w:rPr>
          <w:szCs w:val="20"/>
        </w:rPr>
      </w:pPr>
      <w:r>
        <w:rPr>
          <w:szCs w:val="20"/>
        </w:rPr>
        <w:t>W skład wiązki wchodzą następujące podobszary:</w:t>
      </w:r>
    </w:p>
    <w:p w:rsidR="000D10BF" w:rsidRDefault="000D10BF" w:rsidP="000D10BF">
      <w:pPr>
        <w:pStyle w:val="Akapitzlist6"/>
        <w:numPr>
          <w:ilvl w:val="0"/>
          <w:numId w:val="125"/>
        </w:numPr>
        <w:spacing w:after="0" w:line="100" w:lineRule="atLeast"/>
        <w:ind w:left="714" w:hanging="357"/>
        <w:jc w:val="both"/>
        <w:rPr>
          <w:rFonts w:cs="Calibri"/>
          <w:sz w:val="20"/>
          <w:szCs w:val="20"/>
        </w:rPr>
      </w:pPr>
      <w:r>
        <w:rPr>
          <w:rFonts w:cs="Calibri"/>
          <w:sz w:val="20"/>
          <w:szCs w:val="20"/>
        </w:rPr>
        <w:t>podobszar rewitalizacji 19 - Kolonia Zgorzelec - obszar robotniczego osiedla Kolonia Zgorzelec obejmującego 34 budynki mieszkalne wraz z otoczeniem;</w:t>
      </w:r>
    </w:p>
    <w:p w:rsidR="000D10BF" w:rsidRDefault="000D10BF" w:rsidP="000D10BF">
      <w:pPr>
        <w:pStyle w:val="Akapitzlist6"/>
        <w:numPr>
          <w:ilvl w:val="0"/>
          <w:numId w:val="125"/>
        </w:numPr>
        <w:spacing w:after="0" w:line="100" w:lineRule="atLeast"/>
        <w:ind w:left="714" w:hanging="357"/>
        <w:jc w:val="both"/>
        <w:rPr>
          <w:rFonts w:cs="Calibri"/>
          <w:sz w:val="20"/>
          <w:szCs w:val="20"/>
        </w:rPr>
      </w:pPr>
      <w:r>
        <w:rPr>
          <w:rFonts w:cs="Calibri"/>
          <w:sz w:val="20"/>
          <w:szCs w:val="20"/>
        </w:rPr>
        <w:t>podobszar rewitalizacji 26 – teren dawnej Huty Zygmunt.</w:t>
      </w:r>
    </w:p>
    <w:p w:rsidR="000D10BF" w:rsidRDefault="000D10BF" w:rsidP="000D10BF">
      <w:pPr>
        <w:jc w:val="both"/>
        <w:rPr>
          <w:rFonts w:cs="Calibri"/>
          <w:szCs w:val="20"/>
        </w:rPr>
      </w:pPr>
    </w:p>
    <w:p w:rsidR="000D10BF" w:rsidRDefault="000D10BF" w:rsidP="000D10BF">
      <w:pPr>
        <w:jc w:val="both"/>
        <w:rPr>
          <w:b/>
          <w:szCs w:val="20"/>
        </w:rPr>
      </w:pPr>
      <w:r>
        <w:rPr>
          <w:b/>
          <w:szCs w:val="20"/>
        </w:rPr>
        <w:t>Zidentyfikowane czynniki spajające wiązki:</w:t>
      </w:r>
    </w:p>
    <w:p w:rsidR="000D10BF" w:rsidRDefault="000D10BF" w:rsidP="000D10BF">
      <w:pPr>
        <w:pStyle w:val="Akapitzlist6"/>
        <w:numPr>
          <w:ilvl w:val="0"/>
          <w:numId w:val="125"/>
        </w:numPr>
        <w:spacing w:after="0" w:line="100" w:lineRule="atLeast"/>
        <w:ind w:left="714" w:hanging="357"/>
        <w:jc w:val="both"/>
        <w:rPr>
          <w:sz w:val="20"/>
          <w:szCs w:val="20"/>
        </w:rPr>
      </w:pPr>
      <w:r>
        <w:rPr>
          <w:sz w:val="20"/>
          <w:szCs w:val="20"/>
        </w:rPr>
        <w:t>powiązania społeczno-kulturowe: mieszkańcy z podobszaru zamieszkałego pracowali w obecnie niefunkcjonującej Hucie Zygmunt; społeczność jest przywiązana do lokalnej tradycji, a tereny mieszkaniowe i poprzemysłowe w naturalny sposób wiążą się ze sobą, ponieważ historycznie stanowiły jedną, spójną terytorialnie dzielnicę;</w:t>
      </w:r>
    </w:p>
    <w:p w:rsidR="000D10BF" w:rsidRPr="00FB1B0D" w:rsidRDefault="000D10BF" w:rsidP="00FB1B0D">
      <w:pPr>
        <w:numPr>
          <w:ilvl w:val="0"/>
          <w:numId w:val="360"/>
        </w:numPr>
        <w:spacing w:line="100" w:lineRule="atLeast"/>
        <w:ind w:left="714" w:hanging="357"/>
        <w:jc w:val="both"/>
        <w:rPr>
          <w:b/>
          <w:szCs w:val="20"/>
        </w:rPr>
      </w:pPr>
      <w:r>
        <w:rPr>
          <w:szCs w:val="20"/>
        </w:rPr>
        <w:t>obszary niezamieszkałe stworzą nowe miejsca pracy – przewiduje się stosowanie klauzul społecznych przy potencjalnych przetargach, ponadto uzupełnią funkcje rekreacyjne obszarów mieszkaniowych dla ich mieszkańców.</w:t>
      </w:r>
      <w:r w:rsidR="00DF35E7">
        <w:rPr>
          <w:szCs w:val="20"/>
        </w:rPr>
        <w:t xml:space="preserve"> </w:t>
      </w:r>
      <w:r w:rsidR="00DF35E7">
        <w:rPr>
          <w:b/>
          <w:szCs w:val="20"/>
        </w:rPr>
        <w:t>Z uwagi na fakt, że działania w ramach programu kierowane będą przede wszystkim do mieszkańców obszaru rewitalizacji, zapisy dotyczące ww. preferencji pozwolą w</w:t>
      </w:r>
      <w:r w:rsidR="00FB1B0D">
        <w:rPr>
          <w:b/>
          <w:szCs w:val="20"/>
        </w:rPr>
        <w:t> </w:t>
      </w:r>
      <w:r w:rsidR="00DF35E7">
        <w:rPr>
          <w:b/>
          <w:szCs w:val="20"/>
        </w:rPr>
        <w:t>większym stopniu zapewnić mieszkańcom (zwłaszcza tym uczestniczącym w projektach nieinwestycyjnych) udział w procesach rewitalizacyjnych.</w:t>
      </w:r>
    </w:p>
    <w:p w:rsidR="000D10BF" w:rsidRDefault="000D10BF" w:rsidP="000D10BF">
      <w:pPr>
        <w:jc w:val="both"/>
        <w:rPr>
          <w:szCs w:val="20"/>
        </w:rPr>
      </w:pPr>
    </w:p>
    <w:p w:rsidR="000D10BF" w:rsidRDefault="000D10BF" w:rsidP="000D10BF">
      <w:pPr>
        <w:shd w:val="clear" w:color="auto" w:fill="99CCFF"/>
        <w:jc w:val="center"/>
        <w:rPr>
          <w:b/>
          <w:i/>
          <w:szCs w:val="20"/>
        </w:rPr>
      </w:pPr>
      <w:r>
        <w:rPr>
          <w:b/>
          <w:i/>
          <w:szCs w:val="20"/>
        </w:rPr>
        <w:t>Wiązka 4: horyzontalna</w:t>
      </w:r>
    </w:p>
    <w:p w:rsidR="002862D1" w:rsidRDefault="002862D1" w:rsidP="000D10BF">
      <w:pPr>
        <w:pStyle w:val="Tekstpodstawowy21"/>
        <w:rPr>
          <w:rFonts w:ascii="Calibri" w:hAnsi="Calibri"/>
          <w:szCs w:val="20"/>
        </w:rPr>
      </w:pPr>
    </w:p>
    <w:p w:rsidR="000D10BF" w:rsidRDefault="000D10BF" w:rsidP="000D10BF">
      <w:pPr>
        <w:pStyle w:val="Tekstpodstawowy21"/>
        <w:rPr>
          <w:rFonts w:ascii="Calibri" w:hAnsi="Calibri"/>
          <w:szCs w:val="20"/>
        </w:rPr>
      </w:pPr>
      <w:r>
        <w:rPr>
          <w:rFonts w:ascii="Calibri" w:hAnsi="Calibri"/>
          <w:szCs w:val="20"/>
        </w:rPr>
        <w:t>Obejmuje wszystkie podobszary rewitalizacji, w tym w szczególności cztery podobszary niezamieszkałe, nieujęte w pozostałych wiązkach, gdzie zlokalizowane zostaną funkcje przeznaczone dla mieszkańców całego obszaru rewitalizacji.</w:t>
      </w:r>
    </w:p>
    <w:p w:rsidR="000D10BF" w:rsidRDefault="000D10BF" w:rsidP="000D10BF">
      <w:pPr>
        <w:pStyle w:val="Tekstpodstawowy21"/>
        <w:rPr>
          <w:rFonts w:ascii="Calibri" w:hAnsi="Calibri" w:cs="Calibri"/>
          <w:szCs w:val="20"/>
        </w:rPr>
      </w:pPr>
      <w:r>
        <w:rPr>
          <w:rFonts w:ascii="Calibri" w:hAnsi="Calibri" w:cs="Calibri"/>
          <w:szCs w:val="20"/>
        </w:rPr>
        <w:t>Jednym z głównych założeń rewitalizacji jest odbudowanie powiązań, które tradycyjnie występowały między obszarami mieszkaniowymi a obszarami industrialnymi (lub postindustrialnymi). Wszystkie zamieszkałe obszary rewitalizacji wytypowane do rewitalizacji w Bytomiu rozwijały się w oparciu o funkcje na terenach przemysłowych. W procesie rewitalizacji dąży się do zaszczepienia na obszarach rewitalizowanych nowych funkcji gospodarczych i usług czasu wolnego, a w konsekwencji wykorzystania potencjału przedsiębiorczości mieszkańców oraz dostarczenia szans na zdobycie atrakcyjnego miejsca pracy.</w:t>
      </w:r>
    </w:p>
    <w:p w:rsidR="00EC232E" w:rsidRDefault="00EC232E" w:rsidP="000D10BF">
      <w:pPr>
        <w:jc w:val="both"/>
        <w:rPr>
          <w:rFonts w:cs="Calibri"/>
          <w:b/>
          <w:szCs w:val="20"/>
        </w:rPr>
      </w:pPr>
    </w:p>
    <w:p w:rsidR="000D10BF" w:rsidRDefault="000D10BF" w:rsidP="000D10BF">
      <w:pPr>
        <w:jc w:val="both"/>
        <w:rPr>
          <w:rFonts w:cs="Calibri"/>
          <w:b/>
          <w:szCs w:val="20"/>
        </w:rPr>
      </w:pPr>
      <w:r>
        <w:rPr>
          <w:rFonts w:cs="Calibri"/>
          <w:b/>
          <w:szCs w:val="20"/>
        </w:rPr>
        <w:t>Obszar obejmuje m.in. niezamieszkałe tereny zdegradowane (nieujęte w wiązkach 1-3):</w:t>
      </w:r>
    </w:p>
    <w:p w:rsidR="000D10BF" w:rsidRDefault="000D10BF" w:rsidP="000D10BF">
      <w:pPr>
        <w:pStyle w:val="Akapitzlist6"/>
        <w:numPr>
          <w:ilvl w:val="0"/>
          <w:numId w:val="125"/>
        </w:numPr>
        <w:spacing w:after="0" w:line="100" w:lineRule="atLeast"/>
        <w:ind w:left="714" w:hanging="357"/>
        <w:jc w:val="both"/>
        <w:rPr>
          <w:rFonts w:cs="Calibri"/>
          <w:sz w:val="20"/>
          <w:szCs w:val="20"/>
        </w:rPr>
      </w:pPr>
      <w:r>
        <w:rPr>
          <w:rFonts w:cs="Calibri"/>
          <w:sz w:val="20"/>
          <w:szCs w:val="20"/>
        </w:rPr>
        <w:t>podobszar rewitalizacji 25 – teren dawnej KWK Szombierki</w:t>
      </w:r>
      <w:r w:rsidR="00C65001">
        <w:rPr>
          <w:rFonts w:cs="Calibri"/>
          <w:sz w:val="20"/>
          <w:szCs w:val="20"/>
        </w:rPr>
        <w:t>;</w:t>
      </w:r>
    </w:p>
    <w:p w:rsidR="000D10BF" w:rsidRDefault="000D10BF" w:rsidP="000D10BF">
      <w:pPr>
        <w:pStyle w:val="Akapitzlist6"/>
        <w:numPr>
          <w:ilvl w:val="0"/>
          <w:numId w:val="125"/>
        </w:numPr>
        <w:spacing w:after="0" w:line="100" w:lineRule="atLeast"/>
        <w:ind w:left="714" w:hanging="357"/>
        <w:jc w:val="both"/>
        <w:rPr>
          <w:rFonts w:cs="Calibri"/>
          <w:sz w:val="20"/>
          <w:szCs w:val="20"/>
        </w:rPr>
      </w:pPr>
      <w:r>
        <w:rPr>
          <w:rFonts w:cs="Calibri"/>
          <w:sz w:val="20"/>
          <w:szCs w:val="20"/>
        </w:rPr>
        <w:t xml:space="preserve">podobszar rewitalizacji 27 </w:t>
      </w:r>
      <w:r w:rsidR="00FD40EF">
        <w:rPr>
          <w:rFonts w:cs="Calibri"/>
          <w:sz w:val="20"/>
          <w:szCs w:val="20"/>
        </w:rPr>
        <w:t xml:space="preserve">– </w:t>
      </w:r>
      <w:r>
        <w:rPr>
          <w:rFonts w:cs="Calibri"/>
          <w:sz w:val="20"/>
          <w:szCs w:val="20"/>
        </w:rPr>
        <w:t>teren KWK Centrum</w:t>
      </w:r>
      <w:r w:rsidR="00C65001">
        <w:rPr>
          <w:rFonts w:cs="Calibri"/>
          <w:sz w:val="20"/>
          <w:szCs w:val="20"/>
        </w:rPr>
        <w:t>;</w:t>
      </w:r>
    </w:p>
    <w:p w:rsidR="000D10BF" w:rsidRDefault="000D10BF" w:rsidP="000D10BF">
      <w:pPr>
        <w:pStyle w:val="Akapitzlist6"/>
        <w:numPr>
          <w:ilvl w:val="0"/>
          <w:numId w:val="125"/>
        </w:numPr>
        <w:spacing w:after="0" w:line="100" w:lineRule="atLeast"/>
        <w:ind w:left="714" w:hanging="357"/>
        <w:jc w:val="both"/>
        <w:rPr>
          <w:rFonts w:cs="Calibri"/>
          <w:sz w:val="20"/>
          <w:szCs w:val="20"/>
        </w:rPr>
      </w:pPr>
      <w:r>
        <w:rPr>
          <w:rFonts w:cs="Calibri"/>
          <w:sz w:val="20"/>
          <w:szCs w:val="20"/>
        </w:rPr>
        <w:t xml:space="preserve">podobszar rewitalizacji 28 – </w:t>
      </w:r>
      <w:r w:rsidR="00DB777D">
        <w:rPr>
          <w:rFonts w:cs="Calibri"/>
          <w:sz w:val="20"/>
          <w:szCs w:val="20"/>
        </w:rPr>
        <w:t>t</w:t>
      </w:r>
      <w:r w:rsidR="00DB777D" w:rsidRPr="00DB777D">
        <w:rPr>
          <w:rFonts w:cs="Calibri"/>
          <w:sz w:val="20"/>
          <w:szCs w:val="20"/>
        </w:rPr>
        <w:t>eren inwestycyjny – Bytom Miechowice</w:t>
      </w:r>
      <w:r w:rsidR="00C65001">
        <w:rPr>
          <w:rFonts w:cs="Calibri"/>
          <w:sz w:val="20"/>
          <w:szCs w:val="20"/>
        </w:rPr>
        <w:t>;</w:t>
      </w:r>
    </w:p>
    <w:p w:rsidR="000D10BF" w:rsidRDefault="000D10BF" w:rsidP="000D10BF">
      <w:pPr>
        <w:pStyle w:val="Akapitzlist6"/>
        <w:numPr>
          <w:ilvl w:val="0"/>
          <w:numId w:val="125"/>
        </w:numPr>
        <w:spacing w:after="0" w:line="100" w:lineRule="atLeast"/>
        <w:ind w:left="714" w:hanging="357"/>
        <w:jc w:val="both"/>
        <w:rPr>
          <w:rFonts w:cs="Calibri"/>
          <w:sz w:val="20"/>
          <w:szCs w:val="20"/>
        </w:rPr>
      </w:pPr>
      <w:r>
        <w:rPr>
          <w:rFonts w:cs="Calibri"/>
          <w:sz w:val="20"/>
          <w:szCs w:val="20"/>
        </w:rPr>
        <w:t>podobszar rewitalizacji 31 – rezerwat przyrody „Żabie Doły”.</w:t>
      </w:r>
    </w:p>
    <w:p w:rsidR="000D10BF" w:rsidRDefault="000D10BF" w:rsidP="000D10BF">
      <w:pPr>
        <w:jc w:val="both"/>
        <w:rPr>
          <w:rFonts w:cs="Calibri"/>
          <w:b/>
          <w:szCs w:val="20"/>
        </w:rPr>
      </w:pPr>
    </w:p>
    <w:p w:rsidR="000D10BF" w:rsidRDefault="000D10BF" w:rsidP="00E857BD">
      <w:pPr>
        <w:jc w:val="both"/>
        <w:rPr>
          <w:b/>
          <w:szCs w:val="20"/>
        </w:rPr>
      </w:pPr>
      <w:r>
        <w:rPr>
          <w:b/>
          <w:szCs w:val="20"/>
        </w:rPr>
        <w:lastRenderedPageBreak/>
        <w:t>Zidentyfikowane czynniki spajające wiązki:</w:t>
      </w:r>
    </w:p>
    <w:p w:rsidR="000D10BF" w:rsidRDefault="000D10BF" w:rsidP="000D10BF">
      <w:pPr>
        <w:pStyle w:val="Akapitzlist6"/>
        <w:numPr>
          <w:ilvl w:val="0"/>
          <w:numId w:val="125"/>
        </w:numPr>
        <w:spacing w:after="0" w:line="100" w:lineRule="atLeast"/>
        <w:ind w:left="714" w:hanging="357"/>
        <w:jc w:val="both"/>
        <w:rPr>
          <w:rFonts w:cs="Calibri"/>
          <w:sz w:val="20"/>
          <w:szCs w:val="20"/>
        </w:rPr>
      </w:pPr>
      <w:r>
        <w:rPr>
          <w:sz w:val="20"/>
          <w:szCs w:val="20"/>
        </w:rPr>
        <w:t xml:space="preserve">podobszar rewitalizacji 25 - </w:t>
      </w:r>
      <w:r>
        <w:rPr>
          <w:rFonts w:cs="Calibri"/>
          <w:sz w:val="20"/>
          <w:szCs w:val="20"/>
        </w:rPr>
        <w:t>teren dawnej KWK Szombierki</w:t>
      </w:r>
      <w:r w:rsidR="00C65001">
        <w:rPr>
          <w:rFonts w:cs="Calibri"/>
          <w:sz w:val="20"/>
          <w:szCs w:val="20"/>
        </w:rPr>
        <w:t>:</w:t>
      </w:r>
    </w:p>
    <w:p w:rsidR="000D10BF" w:rsidRDefault="000D10BF" w:rsidP="000D10BF">
      <w:pPr>
        <w:pStyle w:val="Akapitzlist6"/>
        <w:numPr>
          <w:ilvl w:val="1"/>
          <w:numId w:val="125"/>
        </w:numPr>
        <w:tabs>
          <w:tab w:val="clear" w:pos="360"/>
          <w:tab w:val="num" w:pos="0"/>
        </w:tabs>
        <w:spacing w:after="0" w:line="100" w:lineRule="atLeast"/>
        <w:ind w:left="1077" w:hanging="357"/>
        <w:jc w:val="both"/>
        <w:rPr>
          <w:sz w:val="20"/>
          <w:szCs w:val="20"/>
        </w:rPr>
      </w:pPr>
      <w:r>
        <w:rPr>
          <w:sz w:val="20"/>
          <w:szCs w:val="20"/>
        </w:rPr>
        <w:t>miejsce o wartościach historycznych dla miasta (początki osadnictwa), pełniące funkcje społeczno-kulturalne i rekreacyjne dla mieszkańców obszaru rewitalizacji i pozostałych użytkowników</w:t>
      </w:r>
      <w:r w:rsidR="00C65001">
        <w:rPr>
          <w:sz w:val="20"/>
          <w:szCs w:val="20"/>
        </w:rPr>
        <w:t>,</w:t>
      </w:r>
    </w:p>
    <w:p w:rsidR="000D10BF" w:rsidRDefault="000D10BF" w:rsidP="000D10BF">
      <w:pPr>
        <w:pStyle w:val="Akapitzlist6"/>
        <w:numPr>
          <w:ilvl w:val="1"/>
          <w:numId w:val="125"/>
        </w:numPr>
        <w:tabs>
          <w:tab w:val="clear" w:pos="360"/>
          <w:tab w:val="num" w:pos="0"/>
        </w:tabs>
        <w:spacing w:after="0" w:line="100" w:lineRule="atLeast"/>
        <w:ind w:left="1077" w:hanging="357"/>
        <w:jc w:val="both"/>
        <w:rPr>
          <w:sz w:val="20"/>
          <w:szCs w:val="20"/>
        </w:rPr>
      </w:pPr>
      <w:r>
        <w:rPr>
          <w:sz w:val="20"/>
          <w:szCs w:val="20"/>
        </w:rPr>
        <w:t>nowe miejsca pracy z preferencją mieszkańców obszaru rewitalizacji</w:t>
      </w:r>
      <w:r w:rsidR="00C65001">
        <w:rPr>
          <w:sz w:val="20"/>
          <w:szCs w:val="20"/>
        </w:rPr>
        <w:t>,</w:t>
      </w:r>
    </w:p>
    <w:p w:rsidR="000D10BF" w:rsidRDefault="000D10BF" w:rsidP="000D10BF">
      <w:pPr>
        <w:pStyle w:val="Akapitzlist6"/>
        <w:numPr>
          <w:ilvl w:val="1"/>
          <w:numId w:val="125"/>
        </w:numPr>
        <w:tabs>
          <w:tab w:val="clear" w:pos="360"/>
          <w:tab w:val="num" w:pos="0"/>
        </w:tabs>
        <w:spacing w:after="0" w:line="100" w:lineRule="atLeast"/>
        <w:ind w:left="1077" w:hanging="357"/>
        <w:jc w:val="both"/>
        <w:rPr>
          <w:sz w:val="20"/>
          <w:szCs w:val="20"/>
        </w:rPr>
      </w:pPr>
      <w:r>
        <w:rPr>
          <w:sz w:val="20"/>
          <w:szCs w:val="20"/>
        </w:rPr>
        <w:t>poprawa skomunikowania z obszarem rewitalizacji;</w:t>
      </w:r>
    </w:p>
    <w:p w:rsidR="000D10BF" w:rsidRDefault="000D10BF" w:rsidP="000D10BF">
      <w:pPr>
        <w:pStyle w:val="Akapitzlist6"/>
        <w:numPr>
          <w:ilvl w:val="0"/>
          <w:numId w:val="125"/>
        </w:numPr>
        <w:spacing w:after="0" w:line="100" w:lineRule="atLeast"/>
        <w:ind w:left="714" w:hanging="357"/>
        <w:jc w:val="both"/>
        <w:rPr>
          <w:sz w:val="20"/>
          <w:szCs w:val="20"/>
        </w:rPr>
      </w:pPr>
      <w:r>
        <w:rPr>
          <w:sz w:val="20"/>
          <w:szCs w:val="20"/>
        </w:rPr>
        <w:t>podobszar rewitalizacji 27 – teren KWK Centrum</w:t>
      </w:r>
      <w:r w:rsidR="00C65001">
        <w:rPr>
          <w:sz w:val="20"/>
          <w:szCs w:val="20"/>
        </w:rPr>
        <w:t>:</w:t>
      </w:r>
    </w:p>
    <w:p w:rsidR="000D10BF" w:rsidRDefault="000D10BF" w:rsidP="000D10BF">
      <w:pPr>
        <w:pStyle w:val="Akapitzlist6"/>
        <w:numPr>
          <w:ilvl w:val="1"/>
          <w:numId w:val="125"/>
        </w:numPr>
        <w:tabs>
          <w:tab w:val="clear" w:pos="360"/>
          <w:tab w:val="num" w:pos="0"/>
        </w:tabs>
        <w:spacing w:after="0" w:line="100" w:lineRule="atLeast"/>
        <w:ind w:left="1077" w:hanging="357"/>
        <w:jc w:val="both"/>
        <w:rPr>
          <w:sz w:val="20"/>
          <w:szCs w:val="20"/>
        </w:rPr>
      </w:pPr>
      <w:r>
        <w:rPr>
          <w:sz w:val="20"/>
          <w:szCs w:val="20"/>
        </w:rPr>
        <w:t xml:space="preserve">oddziaływanie skierowane przede wszystkim do mieszkańców obszaru rewitalizacji, ale też – </w:t>
      </w:r>
      <w:r>
        <w:rPr>
          <w:sz w:val="20"/>
          <w:szCs w:val="20"/>
        </w:rPr>
        <w:br/>
        <w:t>z uwagi na swoje centralne położenie oraz planowaną fu</w:t>
      </w:r>
      <w:r w:rsidR="00FD40EF">
        <w:rPr>
          <w:sz w:val="20"/>
          <w:szCs w:val="20"/>
        </w:rPr>
        <w:t>n</w:t>
      </w:r>
      <w:r>
        <w:rPr>
          <w:sz w:val="20"/>
          <w:szCs w:val="20"/>
        </w:rPr>
        <w:t>kcję (strażnica PSP, powiatowe centrum zarządzania kryzysowego) - do pozostałych mieszkańców;</w:t>
      </w:r>
    </w:p>
    <w:p w:rsidR="000D10BF" w:rsidRDefault="000D10BF" w:rsidP="000D10BF">
      <w:pPr>
        <w:pStyle w:val="Akapitzlist6"/>
        <w:numPr>
          <w:ilvl w:val="0"/>
          <w:numId w:val="125"/>
        </w:numPr>
        <w:spacing w:after="0" w:line="100" w:lineRule="atLeast"/>
        <w:ind w:left="714" w:hanging="357"/>
        <w:jc w:val="both"/>
        <w:rPr>
          <w:rFonts w:cs="Calibri"/>
          <w:sz w:val="20"/>
          <w:szCs w:val="20"/>
        </w:rPr>
      </w:pPr>
      <w:r>
        <w:rPr>
          <w:sz w:val="20"/>
          <w:szCs w:val="20"/>
        </w:rPr>
        <w:t xml:space="preserve">podobszar rewitalizacji 28 - </w:t>
      </w:r>
      <w:r w:rsidR="00DB777D">
        <w:rPr>
          <w:rFonts w:cs="Calibri"/>
          <w:sz w:val="20"/>
          <w:szCs w:val="20"/>
        </w:rPr>
        <w:t>t</w:t>
      </w:r>
      <w:r w:rsidR="00DB777D" w:rsidRPr="00DB777D">
        <w:rPr>
          <w:rFonts w:cs="Calibri"/>
          <w:sz w:val="20"/>
          <w:szCs w:val="20"/>
        </w:rPr>
        <w:t>eren inwestycyjny – Bytom Miechowice</w:t>
      </w:r>
      <w:r w:rsidR="00C65001">
        <w:rPr>
          <w:rFonts w:cs="Calibri"/>
          <w:sz w:val="20"/>
          <w:szCs w:val="20"/>
        </w:rPr>
        <w:t>:</w:t>
      </w:r>
    </w:p>
    <w:p w:rsidR="000D10BF" w:rsidRDefault="000D10BF" w:rsidP="000D10BF">
      <w:pPr>
        <w:pStyle w:val="Akapitzlist6"/>
        <w:numPr>
          <w:ilvl w:val="1"/>
          <w:numId w:val="125"/>
        </w:numPr>
        <w:tabs>
          <w:tab w:val="clear" w:pos="360"/>
          <w:tab w:val="num" w:pos="0"/>
        </w:tabs>
        <w:spacing w:after="0" w:line="100" w:lineRule="atLeast"/>
        <w:ind w:left="1077" w:hanging="357"/>
        <w:jc w:val="both"/>
        <w:rPr>
          <w:sz w:val="20"/>
          <w:szCs w:val="20"/>
        </w:rPr>
      </w:pPr>
      <w:r>
        <w:rPr>
          <w:sz w:val="20"/>
          <w:szCs w:val="20"/>
        </w:rPr>
        <w:t>miejsca pracy z preferencjami dla mieszkańców obszaru rewitalizacji (klauzule społeczne) w strefie przemysłowo-usługowej</w:t>
      </w:r>
      <w:r w:rsidR="00C65001">
        <w:rPr>
          <w:sz w:val="20"/>
          <w:szCs w:val="20"/>
        </w:rPr>
        <w:t>,</w:t>
      </w:r>
    </w:p>
    <w:p w:rsidR="000D10BF" w:rsidRDefault="000D10BF" w:rsidP="000D10BF">
      <w:pPr>
        <w:pStyle w:val="Akapitzlist6"/>
        <w:numPr>
          <w:ilvl w:val="1"/>
          <w:numId w:val="125"/>
        </w:numPr>
        <w:tabs>
          <w:tab w:val="clear" w:pos="360"/>
          <w:tab w:val="num" w:pos="0"/>
        </w:tabs>
        <w:spacing w:after="0" w:line="100" w:lineRule="atLeast"/>
        <w:ind w:left="1077" w:hanging="357"/>
        <w:jc w:val="both"/>
        <w:rPr>
          <w:sz w:val="20"/>
          <w:szCs w:val="20"/>
        </w:rPr>
      </w:pPr>
      <w:r>
        <w:rPr>
          <w:sz w:val="20"/>
          <w:szCs w:val="20"/>
        </w:rPr>
        <w:t>funkcje społeczno-kulturalne i rekreacyjne dla mieszkańców obszaru rewitalizacji, ale też pozostałych mieszkańców; przewiduje się działania zmierzające do pogłębiania tożsamości lokalnej poprzez realizację działań szkoleniowo-edukacyjnych dla mieszkańców obszaru rewitalizacji (zamek miechowicki) – np. ścieżki edukacyjne dla uczniów szkół z obszaru rewitalizacji;</w:t>
      </w:r>
    </w:p>
    <w:p w:rsidR="000D10BF" w:rsidRDefault="000D10BF" w:rsidP="000D10BF">
      <w:pPr>
        <w:pStyle w:val="Akapitzlist6"/>
        <w:numPr>
          <w:ilvl w:val="0"/>
          <w:numId w:val="125"/>
        </w:numPr>
        <w:spacing w:after="0" w:line="100" w:lineRule="atLeast"/>
        <w:ind w:left="714" w:hanging="357"/>
        <w:jc w:val="both"/>
        <w:rPr>
          <w:sz w:val="20"/>
          <w:szCs w:val="20"/>
        </w:rPr>
      </w:pPr>
      <w:r>
        <w:rPr>
          <w:sz w:val="20"/>
          <w:szCs w:val="20"/>
        </w:rPr>
        <w:t>podobszar rewitalizacji 32 – rezerwat przyrody „Żabie Doły"</w:t>
      </w:r>
      <w:r w:rsidR="00C65001">
        <w:rPr>
          <w:sz w:val="20"/>
          <w:szCs w:val="20"/>
        </w:rPr>
        <w:t>:</w:t>
      </w:r>
    </w:p>
    <w:p w:rsidR="000D10BF" w:rsidRDefault="000D10BF" w:rsidP="000D10BF">
      <w:pPr>
        <w:pStyle w:val="Akapitzlist6"/>
        <w:numPr>
          <w:ilvl w:val="1"/>
          <w:numId w:val="125"/>
        </w:numPr>
        <w:tabs>
          <w:tab w:val="clear" w:pos="360"/>
          <w:tab w:val="num" w:pos="0"/>
        </w:tabs>
        <w:spacing w:after="0" w:line="100" w:lineRule="atLeast"/>
        <w:ind w:left="1077" w:hanging="357"/>
        <w:jc w:val="both"/>
        <w:rPr>
          <w:sz w:val="20"/>
          <w:szCs w:val="20"/>
        </w:rPr>
      </w:pPr>
      <w:r>
        <w:rPr>
          <w:sz w:val="20"/>
          <w:szCs w:val="20"/>
        </w:rPr>
        <w:t>podobszar realizacji działań tworzących nowe miejsca pracy</w:t>
      </w:r>
      <w:r w:rsidR="00C65001">
        <w:rPr>
          <w:sz w:val="20"/>
          <w:szCs w:val="20"/>
        </w:rPr>
        <w:t>,</w:t>
      </w:r>
    </w:p>
    <w:p w:rsidR="000D10BF" w:rsidRDefault="000D10BF" w:rsidP="000D10BF">
      <w:pPr>
        <w:pStyle w:val="Akapitzlist6"/>
        <w:numPr>
          <w:ilvl w:val="1"/>
          <w:numId w:val="125"/>
        </w:numPr>
        <w:tabs>
          <w:tab w:val="clear" w:pos="360"/>
          <w:tab w:val="num" w:pos="0"/>
        </w:tabs>
        <w:spacing w:after="0" w:line="100" w:lineRule="atLeast"/>
        <w:ind w:left="1077" w:hanging="357"/>
        <w:jc w:val="both"/>
        <w:rPr>
          <w:sz w:val="20"/>
          <w:szCs w:val="20"/>
        </w:rPr>
      </w:pPr>
      <w:r>
        <w:rPr>
          <w:sz w:val="20"/>
          <w:szCs w:val="20"/>
        </w:rPr>
        <w:t>wykorzystanie terenów rezerwatu na potrzeby edukacyjne i przeprofilowania zawodowego mieszkańców obszaru rewitalizacji (funkcje szkoleniowo-edukacyjne)</w:t>
      </w:r>
      <w:r w:rsidR="00C65001">
        <w:rPr>
          <w:sz w:val="20"/>
          <w:szCs w:val="20"/>
        </w:rPr>
        <w:t>,</w:t>
      </w:r>
    </w:p>
    <w:p w:rsidR="000D10BF" w:rsidRDefault="000D10BF" w:rsidP="000D10BF">
      <w:pPr>
        <w:pStyle w:val="Akapitzlist6"/>
        <w:numPr>
          <w:ilvl w:val="1"/>
          <w:numId w:val="125"/>
        </w:numPr>
        <w:tabs>
          <w:tab w:val="clear" w:pos="360"/>
          <w:tab w:val="num" w:pos="0"/>
        </w:tabs>
        <w:spacing w:after="0" w:line="100" w:lineRule="atLeast"/>
        <w:ind w:left="1077" w:hanging="357"/>
        <w:jc w:val="both"/>
        <w:rPr>
          <w:sz w:val="20"/>
          <w:szCs w:val="20"/>
        </w:rPr>
      </w:pPr>
      <w:r>
        <w:rPr>
          <w:sz w:val="20"/>
          <w:szCs w:val="20"/>
        </w:rPr>
        <w:t>funkcje rekreacyjno-wypoczynkowe dla mieszkańców obszaru rewitalizacji i pozostałych mieszkańców; tereny rekreacyjne odwiedzane są najczęściej przez mieszkańców okolicznych podobszarów rewitalizacji – Rozbark, Śródmieście</w:t>
      </w:r>
      <w:r w:rsidR="00C65001">
        <w:rPr>
          <w:sz w:val="20"/>
          <w:szCs w:val="20"/>
        </w:rPr>
        <w:t>,</w:t>
      </w:r>
    </w:p>
    <w:p w:rsidR="000D10BF" w:rsidRDefault="000D10BF" w:rsidP="000D10BF">
      <w:pPr>
        <w:pStyle w:val="Akapitzlist6"/>
        <w:numPr>
          <w:ilvl w:val="1"/>
          <w:numId w:val="125"/>
        </w:numPr>
        <w:tabs>
          <w:tab w:val="clear" w:pos="360"/>
          <w:tab w:val="num" w:pos="0"/>
        </w:tabs>
        <w:spacing w:after="0" w:line="100" w:lineRule="atLeast"/>
        <w:ind w:left="1080" w:hanging="360"/>
        <w:jc w:val="both"/>
        <w:rPr>
          <w:sz w:val="20"/>
          <w:szCs w:val="20"/>
        </w:rPr>
      </w:pPr>
      <w:r>
        <w:rPr>
          <w:sz w:val="20"/>
          <w:szCs w:val="20"/>
        </w:rPr>
        <w:t>podobszar ten jest skomunikowany z pozostałymi podobszarami rewitalizacji, ale przewiduje się dodatkowo poprawę skomunikowania z podobszarem Rozbark.</w:t>
      </w:r>
    </w:p>
    <w:p w:rsidR="001D4F82" w:rsidRDefault="001D4F82" w:rsidP="007956B3"/>
    <w:p w:rsidR="00C97ABF" w:rsidRPr="001D2F32" w:rsidRDefault="00C97ABF" w:rsidP="00C97ABF">
      <w:pPr>
        <w:ind w:firstLine="360"/>
        <w:jc w:val="both"/>
        <w:rPr>
          <w:szCs w:val="20"/>
        </w:rPr>
      </w:pPr>
      <w:r>
        <w:rPr>
          <w:szCs w:val="20"/>
        </w:rPr>
        <w:tab/>
      </w:r>
      <w:r w:rsidRPr="001D2F32">
        <w:rPr>
          <w:szCs w:val="20"/>
        </w:rPr>
        <w:t xml:space="preserve">Zidentyfikowane i zaproponowane w ramach przedmiotowej wiązki przedsięwzięcia przyczynią się do rozwiązania szeregu problemów zdefiniowanych w całym obszarze rewitalizacji. Ich wybór i określenie zakresu jak i zasięgu miały przede wszystkim na celu maksymalnie szerokie oddziaływanie na mieszkańców całego obszaru rewitalizacji. </w:t>
      </w:r>
    </w:p>
    <w:p w:rsidR="00C97ABF" w:rsidRPr="001D2F32" w:rsidRDefault="00C97ABF" w:rsidP="00C97ABF">
      <w:pPr>
        <w:jc w:val="both"/>
        <w:rPr>
          <w:i/>
          <w:szCs w:val="20"/>
        </w:rPr>
      </w:pPr>
    </w:p>
    <w:p w:rsidR="00C97ABF" w:rsidRPr="001D2F32" w:rsidRDefault="00C97ABF" w:rsidP="00C97ABF">
      <w:pPr>
        <w:numPr>
          <w:ilvl w:val="0"/>
          <w:numId w:val="682"/>
        </w:numPr>
        <w:jc w:val="both"/>
        <w:rPr>
          <w:i/>
          <w:szCs w:val="20"/>
        </w:rPr>
      </w:pPr>
      <w:r w:rsidRPr="001D2F32">
        <w:rPr>
          <w:szCs w:val="20"/>
        </w:rPr>
        <w:t>Poprawa zdolności do zatrudnienia osób poszukujących pracy i pozostających bez pracy na obszarach rewitalizowanych.</w:t>
      </w:r>
      <w:r w:rsidRPr="001D2F32">
        <w:rPr>
          <w:i/>
          <w:szCs w:val="20"/>
        </w:rPr>
        <w:t xml:space="preserve"> </w:t>
      </w:r>
    </w:p>
    <w:p w:rsidR="00C97ABF" w:rsidRPr="001D2F32" w:rsidRDefault="00C97ABF" w:rsidP="00C97ABF">
      <w:pPr>
        <w:ind w:left="360"/>
        <w:jc w:val="both"/>
        <w:rPr>
          <w:szCs w:val="20"/>
        </w:rPr>
      </w:pPr>
      <w:r w:rsidRPr="001D2F32">
        <w:rPr>
          <w:szCs w:val="20"/>
        </w:rPr>
        <w:t>Zidentyfikowane problemy, do których rozwiązania przyczyni się realizacja ww. projektu:</w:t>
      </w:r>
    </w:p>
    <w:p w:rsidR="00C97ABF" w:rsidRPr="001D2F32" w:rsidRDefault="00C97ABF" w:rsidP="00C97ABF">
      <w:pPr>
        <w:numPr>
          <w:ilvl w:val="0"/>
          <w:numId w:val="684"/>
        </w:numPr>
        <w:jc w:val="both"/>
        <w:rPr>
          <w:szCs w:val="20"/>
        </w:rPr>
      </w:pPr>
      <w:r w:rsidRPr="001D2F32">
        <w:rPr>
          <w:szCs w:val="20"/>
        </w:rPr>
        <w:t>niewielki i malejący odsetek osób aktywnych zawodowo;</w:t>
      </w:r>
    </w:p>
    <w:p w:rsidR="00C97ABF" w:rsidRPr="001D2F32" w:rsidRDefault="00C97ABF" w:rsidP="00C97ABF">
      <w:pPr>
        <w:numPr>
          <w:ilvl w:val="0"/>
          <w:numId w:val="684"/>
        </w:numPr>
        <w:jc w:val="both"/>
        <w:rPr>
          <w:szCs w:val="20"/>
        </w:rPr>
      </w:pPr>
      <w:r w:rsidRPr="001D2F32">
        <w:rPr>
          <w:szCs w:val="20"/>
        </w:rPr>
        <w:t>niski poziom atrakcyjności inwestycyjnej;</w:t>
      </w:r>
    </w:p>
    <w:p w:rsidR="00C97ABF" w:rsidRPr="001D2F32" w:rsidRDefault="00C97ABF" w:rsidP="00C97ABF">
      <w:pPr>
        <w:numPr>
          <w:ilvl w:val="0"/>
          <w:numId w:val="684"/>
        </w:numPr>
        <w:jc w:val="both"/>
        <w:rPr>
          <w:szCs w:val="20"/>
        </w:rPr>
      </w:pPr>
      <w:r w:rsidRPr="001D2F32">
        <w:rPr>
          <w:szCs w:val="20"/>
        </w:rPr>
        <w:t>niechęć bezrobotnych do nabywania nowych kwalifikacji.</w:t>
      </w:r>
    </w:p>
    <w:p w:rsidR="00C97ABF" w:rsidRPr="001D2F32" w:rsidRDefault="00C97ABF" w:rsidP="00C97ABF">
      <w:pPr>
        <w:numPr>
          <w:ilvl w:val="0"/>
          <w:numId w:val="682"/>
        </w:numPr>
        <w:jc w:val="both"/>
        <w:rPr>
          <w:szCs w:val="20"/>
        </w:rPr>
      </w:pPr>
      <w:r w:rsidRPr="001D2F32">
        <w:rPr>
          <w:szCs w:val="20"/>
        </w:rPr>
        <w:t>Projekty realizowane w ramach przedsięwzięcia Makerspace – FabLab Krystyna.</w:t>
      </w:r>
    </w:p>
    <w:p w:rsidR="00C97ABF" w:rsidRPr="001D2F32" w:rsidRDefault="00C97ABF" w:rsidP="00C97ABF">
      <w:pPr>
        <w:ind w:left="360"/>
        <w:jc w:val="both"/>
        <w:rPr>
          <w:szCs w:val="20"/>
        </w:rPr>
      </w:pPr>
      <w:r w:rsidRPr="001D2F32">
        <w:rPr>
          <w:szCs w:val="20"/>
        </w:rPr>
        <w:t>Zidentyfikowane problemy, do których rozwiązania przyczyni się realizacja ww. projektu:</w:t>
      </w:r>
    </w:p>
    <w:p w:rsidR="00C97ABF" w:rsidRPr="001D2F32" w:rsidRDefault="00C97ABF" w:rsidP="00C97ABF">
      <w:pPr>
        <w:numPr>
          <w:ilvl w:val="0"/>
          <w:numId w:val="683"/>
        </w:numPr>
        <w:jc w:val="both"/>
        <w:rPr>
          <w:szCs w:val="20"/>
        </w:rPr>
      </w:pPr>
      <w:r w:rsidRPr="001D2F32">
        <w:rPr>
          <w:szCs w:val="20"/>
        </w:rPr>
        <w:t>niewielki i malejący odsetek osób aktywnych zawodowo;</w:t>
      </w:r>
    </w:p>
    <w:p w:rsidR="00C97ABF" w:rsidRPr="001D2F32" w:rsidRDefault="00C97ABF" w:rsidP="00C97ABF">
      <w:pPr>
        <w:numPr>
          <w:ilvl w:val="0"/>
          <w:numId w:val="683"/>
        </w:numPr>
        <w:jc w:val="both"/>
        <w:rPr>
          <w:szCs w:val="20"/>
        </w:rPr>
      </w:pPr>
      <w:r w:rsidRPr="001D2F32">
        <w:rPr>
          <w:szCs w:val="20"/>
        </w:rPr>
        <w:t>stosunkowo wysoki udział osób do 30 r. życia wśród osób bezrobotnych;</w:t>
      </w:r>
    </w:p>
    <w:p w:rsidR="00C97ABF" w:rsidRPr="001D2F32" w:rsidRDefault="00C97ABF" w:rsidP="00C97ABF">
      <w:pPr>
        <w:numPr>
          <w:ilvl w:val="0"/>
          <w:numId w:val="683"/>
        </w:numPr>
        <w:jc w:val="both"/>
        <w:rPr>
          <w:szCs w:val="20"/>
        </w:rPr>
      </w:pPr>
      <w:r w:rsidRPr="001D2F32">
        <w:rPr>
          <w:szCs w:val="20"/>
        </w:rPr>
        <w:t>wyższy niż w stosunku do całego miasta odsetek osób korzystających z zasiłków celowych pomocy społecznej;</w:t>
      </w:r>
    </w:p>
    <w:p w:rsidR="00C97ABF" w:rsidRPr="001D2F32" w:rsidRDefault="00C97ABF" w:rsidP="00C97ABF">
      <w:pPr>
        <w:numPr>
          <w:ilvl w:val="0"/>
          <w:numId w:val="683"/>
        </w:numPr>
        <w:jc w:val="both"/>
        <w:rPr>
          <w:szCs w:val="20"/>
        </w:rPr>
      </w:pPr>
      <w:r w:rsidRPr="001D2F32">
        <w:rPr>
          <w:szCs w:val="20"/>
        </w:rPr>
        <w:t>wyższy niż w stosunku do całego miasta odsetek uczniów szkół podstawowych korzystających z</w:t>
      </w:r>
      <w:r>
        <w:rPr>
          <w:szCs w:val="20"/>
        </w:rPr>
        <w:t> </w:t>
      </w:r>
      <w:r w:rsidRPr="001D2F32">
        <w:rPr>
          <w:szCs w:val="20"/>
        </w:rPr>
        <w:t>odżywiania;</w:t>
      </w:r>
    </w:p>
    <w:p w:rsidR="00C97ABF" w:rsidRPr="001D2F32" w:rsidRDefault="00C97ABF" w:rsidP="00C97ABF">
      <w:pPr>
        <w:numPr>
          <w:ilvl w:val="0"/>
          <w:numId w:val="683"/>
        </w:numPr>
        <w:jc w:val="both"/>
        <w:rPr>
          <w:szCs w:val="20"/>
        </w:rPr>
      </w:pPr>
      <w:r w:rsidRPr="001D2F32">
        <w:rPr>
          <w:szCs w:val="20"/>
        </w:rPr>
        <w:t>wyższa niż w stosunku do całego miasta skala problemów – w tym zaburzeń i chorób psychicznych;</w:t>
      </w:r>
    </w:p>
    <w:p w:rsidR="00C97ABF" w:rsidRPr="001D2F32" w:rsidRDefault="00C97ABF" w:rsidP="00C97ABF">
      <w:pPr>
        <w:numPr>
          <w:ilvl w:val="0"/>
          <w:numId w:val="683"/>
        </w:numPr>
        <w:jc w:val="both"/>
        <w:rPr>
          <w:szCs w:val="20"/>
        </w:rPr>
      </w:pPr>
      <w:r w:rsidRPr="001D2F32">
        <w:rPr>
          <w:szCs w:val="20"/>
        </w:rPr>
        <w:t>słabsze niż w stosunku do całego miasta wyniki sprawdzianu po 6 klasie szkoły podstawowej;</w:t>
      </w:r>
    </w:p>
    <w:p w:rsidR="00C97ABF" w:rsidRPr="001D2F32" w:rsidRDefault="00C97ABF" w:rsidP="00C97ABF">
      <w:pPr>
        <w:numPr>
          <w:ilvl w:val="0"/>
          <w:numId w:val="683"/>
        </w:numPr>
        <w:jc w:val="both"/>
        <w:rPr>
          <w:szCs w:val="20"/>
        </w:rPr>
      </w:pPr>
      <w:r w:rsidRPr="001D2F32">
        <w:rPr>
          <w:szCs w:val="20"/>
        </w:rPr>
        <w:t>niski poziom atrakcyjności inwestycyjnej;</w:t>
      </w:r>
    </w:p>
    <w:p w:rsidR="00C97ABF" w:rsidRPr="001D2F32" w:rsidRDefault="00C97ABF" w:rsidP="00C97ABF">
      <w:pPr>
        <w:numPr>
          <w:ilvl w:val="0"/>
          <w:numId w:val="683"/>
        </w:numPr>
        <w:jc w:val="both"/>
        <w:rPr>
          <w:szCs w:val="20"/>
        </w:rPr>
      </w:pPr>
      <w:r w:rsidRPr="001D2F32">
        <w:rPr>
          <w:szCs w:val="20"/>
        </w:rPr>
        <w:t>niechęć bezrobotnych do nabywania nowych kwalifikacji;</w:t>
      </w:r>
    </w:p>
    <w:p w:rsidR="00C97ABF" w:rsidRPr="001D2F32" w:rsidRDefault="00C97ABF" w:rsidP="00C97ABF">
      <w:pPr>
        <w:numPr>
          <w:ilvl w:val="0"/>
          <w:numId w:val="683"/>
        </w:numPr>
        <w:jc w:val="both"/>
        <w:rPr>
          <w:szCs w:val="20"/>
        </w:rPr>
      </w:pPr>
      <w:r w:rsidRPr="001D2F32">
        <w:rPr>
          <w:szCs w:val="20"/>
        </w:rPr>
        <w:t>zły stan techniczny i zaniedbana przestrzeń wspólna;</w:t>
      </w:r>
    </w:p>
    <w:p w:rsidR="00C97ABF" w:rsidRPr="001D2F32" w:rsidRDefault="00C97ABF" w:rsidP="00C97ABF">
      <w:pPr>
        <w:numPr>
          <w:ilvl w:val="0"/>
          <w:numId w:val="683"/>
        </w:numPr>
        <w:jc w:val="both"/>
        <w:rPr>
          <w:szCs w:val="20"/>
        </w:rPr>
      </w:pPr>
      <w:r w:rsidRPr="001D2F32">
        <w:rPr>
          <w:szCs w:val="20"/>
        </w:rPr>
        <w:lastRenderedPageBreak/>
        <w:t>zdewastowane zabytki;</w:t>
      </w:r>
    </w:p>
    <w:p w:rsidR="00C97ABF" w:rsidRPr="001D2F32" w:rsidRDefault="00C97ABF" w:rsidP="00C97ABF">
      <w:pPr>
        <w:numPr>
          <w:ilvl w:val="0"/>
          <w:numId w:val="683"/>
        </w:numPr>
        <w:jc w:val="both"/>
        <w:rPr>
          <w:szCs w:val="20"/>
        </w:rPr>
      </w:pPr>
      <w:r w:rsidRPr="001D2F32">
        <w:rPr>
          <w:szCs w:val="20"/>
        </w:rPr>
        <w:t>szkody górnicze, niska emisja i hałas.</w:t>
      </w:r>
    </w:p>
    <w:p w:rsidR="00C97ABF" w:rsidRPr="001D2F32" w:rsidRDefault="00C97ABF" w:rsidP="00C97ABF">
      <w:pPr>
        <w:numPr>
          <w:ilvl w:val="0"/>
          <w:numId w:val="682"/>
        </w:numPr>
        <w:jc w:val="both"/>
        <w:rPr>
          <w:szCs w:val="20"/>
        </w:rPr>
      </w:pPr>
      <w:r w:rsidRPr="001D2F32">
        <w:rPr>
          <w:szCs w:val="20"/>
        </w:rPr>
        <w:t>Aktywizacja i integracja społeczna mieszkańców Bytomia, w szczególności dzielnicy Szombierki i</w:t>
      </w:r>
      <w:r>
        <w:rPr>
          <w:szCs w:val="20"/>
        </w:rPr>
        <w:t> </w:t>
      </w:r>
      <w:r w:rsidRPr="001D2F32">
        <w:rPr>
          <w:szCs w:val="20"/>
        </w:rPr>
        <w:t>dzielnic ościennych (program aktywności lokalnych).</w:t>
      </w:r>
    </w:p>
    <w:p w:rsidR="00C97ABF" w:rsidRPr="001D2F32" w:rsidRDefault="00C97ABF" w:rsidP="00C97ABF">
      <w:pPr>
        <w:ind w:left="360"/>
        <w:jc w:val="both"/>
        <w:rPr>
          <w:szCs w:val="20"/>
        </w:rPr>
      </w:pPr>
      <w:r w:rsidRPr="001D2F32">
        <w:rPr>
          <w:szCs w:val="20"/>
        </w:rPr>
        <w:t>Zidentyfikowane problemy, do których rozwiązania przyczyni się realizacja ww. projektu:</w:t>
      </w:r>
    </w:p>
    <w:p w:rsidR="00C97ABF" w:rsidRPr="001D2F32" w:rsidRDefault="00C97ABF" w:rsidP="00C97ABF">
      <w:pPr>
        <w:numPr>
          <w:ilvl w:val="0"/>
          <w:numId w:val="684"/>
        </w:numPr>
        <w:jc w:val="both"/>
        <w:rPr>
          <w:szCs w:val="20"/>
        </w:rPr>
      </w:pPr>
      <w:r w:rsidRPr="001D2F32">
        <w:rPr>
          <w:szCs w:val="20"/>
        </w:rPr>
        <w:t>niewielki i malejący odsetek osób aktywnych zawodowo;</w:t>
      </w:r>
    </w:p>
    <w:p w:rsidR="00C97ABF" w:rsidRPr="001D2F32" w:rsidRDefault="00C97ABF" w:rsidP="00C97ABF">
      <w:pPr>
        <w:numPr>
          <w:ilvl w:val="0"/>
          <w:numId w:val="684"/>
        </w:numPr>
        <w:jc w:val="both"/>
        <w:rPr>
          <w:szCs w:val="20"/>
        </w:rPr>
      </w:pPr>
      <w:r w:rsidRPr="001D2F32">
        <w:rPr>
          <w:szCs w:val="20"/>
        </w:rPr>
        <w:t>niski poziom atrakcyjności inwestycyjnej;</w:t>
      </w:r>
    </w:p>
    <w:p w:rsidR="00C97ABF" w:rsidRPr="001D2F32" w:rsidRDefault="00C97ABF" w:rsidP="00C97ABF">
      <w:pPr>
        <w:numPr>
          <w:ilvl w:val="0"/>
          <w:numId w:val="684"/>
        </w:numPr>
        <w:jc w:val="both"/>
        <w:rPr>
          <w:szCs w:val="20"/>
        </w:rPr>
      </w:pPr>
      <w:r w:rsidRPr="001D2F32">
        <w:rPr>
          <w:szCs w:val="20"/>
        </w:rPr>
        <w:t>niechęć bezrobotnych do nabywania nowych kwalifikacji;</w:t>
      </w:r>
    </w:p>
    <w:p w:rsidR="00C97ABF" w:rsidRPr="001D2F32" w:rsidRDefault="00C97ABF" w:rsidP="00C97ABF">
      <w:pPr>
        <w:numPr>
          <w:ilvl w:val="0"/>
          <w:numId w:val="684"/>
        </w:numPr>
        <w:jc w:val="both"/>
        <w:rPr>
          <w:szCs w:val="20"/>
        </w:rPr>
      </w:pPr>
      <w:r w:rsidRPr="001D2F32">
        <w:rPr>
          <w:szCs w:val="20"/>
        </w:rPr>
        <w:t>zły stan techniczny i zaniedbana przestrzeń wspólna;</w:t>
      </w:r>
    </w:p>
    <w:p w:rsidR="00C97ABF" w:rsidRPr="001D2F32" w:rsidRDefault="00C97ABF" w:rsidP="00C97ABF">
      <w:pPr>
        <w:numPr>
          <w:ilvl w:val="0"/>
          <w:numId w:val="684"/>
        </w:numPr>
        <w:jc w:val="both"/>
        <w:rPr>
          <w:szCs w:val="20"/>
        </w:rPr>
      </w:pPr>
      <w:r w:rsidRPr="001D2F32">
        <w:rPr>
          <w:szCs w:val="20"/>
        </w:rPr>
        <w:t>zdewastowane zabytki;</w:t>
      </w:r>
    </w:p>
    <w:p w:rsidR="00C97ABF" w:rsidRPr="001D2F32" w:rsidRDefault="00C97ABF" w:rsidP="00C97ABF">
      <w:pPr>
        <w:numPr>
          <w:ilvl w:val="0"/>
          <w:numId w:val="684"/>
        </w:numPr>
        <w:jc w:val="both"/>
        <w:rPr>
          <w:szCs w:val="20"/>
        </w:rPr>
      </w:pPr>
      <w:r w:rsidRPr="001D2F32">
        <w:rPr>
          <w:szCs w:val="20"/>
        </w:rPr>
        <w:t>szkody górnicze, niska emisja i hałas.</w:t>
      </w:r>
    </w:p>
    <w:p w:rsidR="00C97ABF" w:rsidRPr="001D2F32" w:rsidRDefault="00C97ABF" w:rsidP="00C97ABF">
      <w:pPr>
        <w:numPr>
          <w:ilvl w:val="0"/>
          <w:numId w:val="682"/>
        </w:numPr>
        <w:jc w:val="both"/>
        <w:rPr>
          <w:szCs w:val="20"/>
        </w:rPr>
      </w:pPr>
      <w:r w:rsidRPr="001D2F32">
        <w:rPr>
          <w:szCs w:val="20"/>
        </w:rPr>
        <w:t>Rewitalizacja z Klubem Integracji Społecznej (3 edycje).</w:t>
      </w:r>
    </w:p>
    <w:p w:rsidR="00C97ABF" w:rsidRPr="001D2F32" w:rsidRDefault="00C97ABF" w:rsidP="00C97ABF">
      <w:pPr>
        <w:ind w:left="360"/>
        <w:jc w:val="both"/>
        <w:rPr>
          <w:szCs w:val="20"/>
        </w:rPr>
      </w:pPr>
      <w:r w:rsidRPr="001D2F32">
        <w:rPr>
          <w:szCs w:val="20"/>
        </w:rPr>
        <w:t>Zidentyfikowane problemy, do których rozwiązania przyczyni się realizacja ww. projektu:</w:t>
      </w:r>
    </w:p>
    <w:p w:rsidR="00C97ABF" w:rsidRPr="001D2F32" w:rsidRDefault="00C97ABF" w:rsidP="00C97ABF">
      <w:pPr>
        <w:numPr>
          <w:ilvl w:val="0"/>
          <w:numId w:val="685"/>
        </w:numPr>
        <w:jc w:val="both"/>
        <w:rPr>
          <w:szCs w:val="20"/>
        </w:rPr>
      </w:pPr>
      <w:r w:rsidRPr="001D2F32">
        <w:rPr>
          <w:szCs w:val="20"/>
        </w:rPr>
        <w:t>wysoki poziom bezrobocia długotrwałego;</w:t>
      </w:r>
    </w:p>
    <w:p w:rsidR="00C97ABF" w:rsidRPr="001D2F32" w:rsidRDefault="00C97ABF" w:rsidP="00C97ABF">
      <w:pPr>
        <w:numPr>
          <w:ilvl w:val="0"/>
          <w:numId w:val="685"/>
        </w:numPr>
        <w:jc w:val="both"/>
        <w:rPr>
          <w:szCs w:val="20"/>
        </w:rPr>
      </w:pPr>
      <w:r w:rsidRPr="001D2F32">
        <w:rPr>
          <w:szCs w:val="20"/>
        </w:rPr>
        <w:t>wyższy niż w stosunku do całego miasta odsetek osób korzystających z zasiłków celowych pomocy społecznej;</w:t>
      </w:r>
    </w:p>
    <w:p w:rsidR="00C97ABF" w:rsidRPr="001D2F32" w:rsidRDefault="00C97ABF" w:rsidP="00C97ABF">
      <w:pPr>
        <w:numPr>
          <w:ilvl w:val="0"/>
          <w:numId w:val="685"/>
        </w:numPr>
        <w:jc w:val="both"/>
        <w:rPr>
          <w:szCs w:val="20"/>
        </w:rPr>
      </w:pPr>
      <w:r w:rsidRPr="001D2F32">
        <w:rPr>
          <w:szCs w:val="20"/>
        </w:rPr>
        <w:t>niechęć bezrobotnych do nabywania nowych kwalifikacji;</w:t>
      </w:r>
    </w:p>
    <w:p w:rsidR="00C97ABF" w:rsidRPr="001D2F32" w:rsidRDefault="00C97ABF" w:rsidP="00C97ABF">
      <w:pPr>
        <w:numPr>
          <w:ilvl w:val="0"/>
          <w:numId w:val="682"/>
        </w:numPr>
        <w:jc w:val="both"/>
        <w:rPr>
          <w:szCs w:val="20"/>
        </w:rPr>
      </w:pPr>
      <w:r w:rsidRPr="001D2F32">
        <w:rPr>
          <w:szCs w:val="20"/>
        </w:rPr>
        <w:t>Rewaloryzacja zespołu pałacowego Thiele-Wincklerów zlokalizowanego w Parku Ludowym przy ul.</w:t>
      </w:r>
      <w:r>
        <w:rPr>
          <w:szCs w:val="20"/>
        </w:rPr>
        <w:t> </w:t>
      </w:r>
      <w:r w:rsidRPr="001D2F32">
        <w:rPr>
          <w:szCs w:val="20"/>
        </w:rPr>
        <w:t>Dzierżonia w Bytomiu-Miechowicach.</w:t>
      </w:r>
    </w:p>
    <w:p w:rsidR="00C97ABF" w:rsidRPr="001D2F32" w:rsidRDefault="00C97ABF" w:rsidP="00C97ABF">
      <w:pPr>
        <w:ind w:left="360"/>
        <w:jc w:val="both"/>
        <w:rPr>
          <w:szCs w:val="20"/>
        </w:rPr>
      </w:pPr>
      <w:r w:rsidRPr="001D2F32">
        <w:rPr>
          <w:szCs w:val="20"/>
        </w:rPr>
        <w:t>Zidentyfikowane problemy, do których rozwiązania przyczyni się realizacja ww. projektu:</w:t>
      </w:r>
    </w:p>
    <w:p w:rsidR="00C97ABF" w:rsidRPr="001D2F32" w:rsidRDefault="00C97ABF" w:rsidP="00C97ABF">
      <w:pPr>
        <w:numPr>
          <w:ilvl w:val="0"/>
          <w:numId w:val="686"/>
        </w:numPr>
        <w:jc w:val="both"/>
        <w:rPr>
          <w:szCs w:val="20"/>
        </w:rPr>
      </w:pPr>
      <w:r w:rsidRPr="001D2F32">
        <w:rPr>
          <w:szCs w:val="20"/>
        </w:rPr>
        <w:t>zdewastowane zabytki.</w:t>
      </w:r>
    </w:p>
    <w:p w:rsidR="00C97ABF" w:rsidRPr="001D2F32" w:rsidRDefault="00C97ABF" w:rsidP="00C97ABF">
      <w:pPr>
        <w:numPr>
          <w:ilvl w:val="0"/>
          <w:numId w:val="682"/>
        </w:numPr>
        <w:jc w:val="both"/>
        <w:rPr>
          <w:szCs w:val="20"/>
        </w:rPr>
      </w:pPr>
      <w:r w:rsidRPr="001D2F32">
        <w:rPr>
          <w:szCs w:val="20"/>
        </w:rPr>
        <w:t>Przebudowa budynku po byłym hotelu robotniczym przy ul. Siemianowickiej 105 B w Bytomiu wraz ze zmianą sposobu użytkowania na funkcję mieszkalną.</w:t>
      </w:r>
    </w:p>
    <w:p w:rsidR="00C97ABF" w:rsidRPr="001D2F32" w:rsidRDefault="00C97ABF" w:rsidP="00C97ABF">
      <w:pPr>
        <w:ind w:left="360"/>
        <w:jc w:val="both"/>
        <w:rPr>
          <w:szCs w:val="20"/>
        </w:rPr>
      </w:pPr>
      <w:r w:rsidRPr="001D2F32">
        <w:rPr>
          <w:szCs w:val="20"/>
        </w:rPr>
        <w:t>Zidentyfikowane problemy, do których rozwiązania przyczyni się realizacja ww. projektu:</w:t>
      </w:r>
    </w:p>
    <w:p w:rsidR="00C97ABF" w:rsidRPr="001D2F32" w:rsidRDefault="00C97ABF" w:rsidP="00C97ABF">
      <w:pPr>
        <w:numPr>
          <w:ilvl w:val="0"/>
          <w:numId w:val="686"/>
        </w:numPr>
        <w:jc w:val="both"/>
        <w:rPr>
          <w:szCs w:val="20"/>
        </w:rPr>
      </w:pPr>
      <w:r w:rsidRPr="001D2F32">
        <w:rPr>
          <w:szCs w:val="20"/>
        </w:rPr>
        <w:t>szkody górnicze, niska emisja i hałas;</w:t>
      </w:r>
    </w:p>
    <w:p w:rsidR="00C97ABF" w:rsidRPr="001D2F32" w:rsidRDefault="00C97ABF" w:rsidP="00C97ABF">
      <w:pPr>
        <w:numPr>
          <w:ilvl w:val="0"/>
          <w:numId w:val="686"/>
        </w:numPr>
        <w:jc w:val="both"/>
        <w:rPr>
          <w:szCs w:val="20"/>
        </w:rPr>
      </w:pPr>
      <w:r w:rsidRPr="001D2F32">
        <w:rPr>
          <w:szCs w:val="20"/>
        </w:rPr>
        <w:t>zły stan i standard budynków komunalnych.</w:t>
      </w:r>
    </w:p>
    <w:p w:rsidR="00C97ABF" w:rsidRPr="001D2F32" w:rsidRDefault="00C97ABF" w:rsidP="00C97ABF">
      <w:pPr>
        <w:numPr>
          <w:ilvl w:val="0"/>
          <w:numId w:val="682"/>
        </w:numPr>
        <w:jc w:val="both"/>
        <w:rPr>
          <w:szCs w:val="20"/>
        </w:rPr>
      </w:pPr>
      <w:r w:rsidRPr="001D2F32">
        <w:rPr>
          <w:szCs w:val="20"/>
        </w:rPr>
        <w:t>Budowa nowej strażnicy Państwowej Straży Pożarnej z uwzględnieniem przystosowania pomieszczeń i</w:t>
      </w:r>
      <w:r>
        <w:rPr>
          <w:szCs w:val="20"/>
        </w:rPr>
        <w:t> </w:t>
      </w:r>
      <w:r w:rsidRPr="001D2F32">
        <w:rPr>
          <w:szCs w:val="20"/>
        </w:rPr>
        <w:t>wyposażenia dla biura Bezpieczeństwa Miasta i Powiatowego Centrum Zarządzania Kryzysowego.</w:t>
      </w:r>
    </w:p>
    <w:p w:rsidR="00C97ABF" w:rsidRPr="001D2F32" w:rsidRDefault="00C97ABF" w:rsidP="00C97ABF">
      <w:pPr>
        <w:ind w:left="360"/>
        <w:jc w:val="both"/>
        <w:rPr>
          <w:szCs w:val="20"/>
        </w:rPr>
      </w:pPr>
      <w:r w:rsidRPr="001D2F32">
        <w:rPr>
          <w:szCs w:val="20"/>
        </w:rPr>
        <w:t>Zidentyfikowane problemy, do których rozwiązania przyczyni się realizacja ww. projektu:</w:t>
      </w:r>
    </w:p>
    <w:p w:rsidR="00C97ABF" w:rsidRPr="001D2F32" w:rsidRDefault="00C97ABF" w:rsidP="00C97ABF">
      <w:pPr>
        <w:numPr>
          <w:ilvl w:val="0"/>
          <w:numId w:val="684"/>
        </w:numPr>
        <w:jc w:val="both"/>
        <w:rPr>
          <w:szCs w:val="20"/>
        </w:rPr>
      </w:pPr>
      <w:r w:rsidRPr="001D2F32">
        <w:rPr>
          <w:szCs w:val="20"/>
        </w:rPr>
        <w:t>niski poziom atrakcyjności inwestycyjnej.</w:t>
      </w:r>
    </w:p>
    <w:p w:rsidR="00C97ABF" w:rsidRPr="001D2F32" w:rsidRDefault="00C97ABF" w:rsidP="00C97ABF">
      <w:pPr>
        <w:numPr>
          <w:ilvl w:val="0"/>
          <w:numId w:val="682"/>
        </w:numPr>
        <w:jc w:val="both"/>
        <w:rPr>
          <w:szCs w:val="20"/>
        </w:rPr>
      </w:pPr>
      <w:r w:rsidRPr="001D2F32">
        <w:rPr>
          <w:szCs w:val="20"/>
        </w:rPr>
        <w:t>Uporządkowanie ruchu turystycznego na terenie Zespołu Przyrodniczo – Krajobrazowego Żabie Doły celem ochrony przyrody i bioróżnorodności oraz przystosowanie obszaru na cele edukacyjne i</w:t>
      </w:r>
      <w:r>
        <w:rPr>
          <w:szCs w:val="20"/>
        </w:rPr>
        <w:t> </w:t>
      </w:r>
      <w:r w:rsidRPr="001D2F32">
        <w:rPr>
          <w:szCs w:val="20"/>
        </w:rPr>
        <w:t>rekreacyjno – wypoczynkowe.</w:t>
      </w:r>
    </w:p>
    <w:p w:rsidR="00C97ABF" w:rsidRPr="001D2F32" w:rsidRDefault="00C97ABF" w:rsidP="00C97ABF">
      <w:pPr>
        <w:ind w:left="360"/>
        <w:jc w:val="both"/>
        <w:rPr>
          <w:szCs w:val="20"/>
        </w:rPr>
      </w:pPr>
      <w:r w:rsidRPr="001D2F32">
        <w:rPr>
          <w:szCs w:val="20"/>
        </w:rPr>
        <w:t>Zidentyfikowane problemy, do których rozwiązania przyczyni się realizacja ww. projektu:</w:t>
      </w:r>
    </w:p>
    <w:p w:rsidR="00C97ABF" w:rsidRPr="001D2F32" w:rsidRDefault="00C97ABF" w:rsidP="00C97ABF">
      <w:pPr>
        <w:numPr>
          <w:ilvl w:val="0"/>
          <w:numId w:val="684"/>
        </w:numPr>
        <w:jc w:val="both"/>
        <w:rPr>
          <w:szCs w:val="20"/>
        </w:rPr>
      </w:pPr>
      <w:r w:rsidRPr="001D2F32">
        <w:rPr>
          <w:szCs w:val="20"/>
        </w:rPr>
        <w:t>zły stan techniczny i zaniedbana przestrzeń wspólna;</w:t>
      </w:r>
    </w:p>
    <w:p w:rsidR="00C97ABF" w:rsidRPr="001D2F32" w:rsidRDefault="00C97ABF" w:rsidP="00C97ABF">
      <w:pPr>
        <w:numPr>
          <w:ilvl w:val="0"/>
          <w:numId w:val="684"/>
        </w:numPr>
        <w:jc w:val="both"/>
        <w:rPr>
          <w:szCs w:val="20"/>
        </w:rPr>
      </w:pPr>
      <w:r w:rsidRPr="001D2F32">
        <w:rPr>
          <w:szCs w:val="20"/>
        </w:rPr>
        <w:t>szkody górnicze, niska emisja i hałas;</w:t>
      </w:r>
    </w:p>
    <w:p w:rsidR="00C97ABF" w:rsidRPr="001D2F32" w:rsidRDefault="00C97ABF" w:rsidP="00C97ABF">
      <w:pPr>
        <w:numPr>
          <w:ilvl w:val="0"/>
          <w:numId w:val="682"/>
        </w:numPr>
        <w:jc w:val="both"/>
        <w:rPr>
          <w:szCs w:val="20"/>
        </w:rPr>
      </w:pPr>
      <w:r w:rsidRPr="001D2F32">
        <w:rPr>
          <w:szCs w:val="20"/>
        </w:rPr>
        <w:t>Przygotowanie terenu inwestycyjnego w Bytomiu – ulice Elektrownia i Racjonalizatorów</w:t>
      </w:r>
    </w:p>
    <w:p w:rsidR="00C97ABF" w:rsidRPr="001D2F32" w:rsidRDefault="00C97ABF" w:rsidP="00C97ABF">
      <w:pPr>
        <w:ind w:left="360"/>
        <w:jc w:val="both"/>
        <w:rPr>
          <w:szCs w:val="20"/>
        </w:rPr>
      </w:pPr>
      <w:r w:rsidRPr="001D2F32">
        <w:rPr>
          <w:szCs w:val="20"/>
        </w:rPr>
        <w:t>Zidentyfikowane problemy, do których rozwiązania przyczyni się realizacja ww. projektu:</w:t>
      </w:r>
    </w:p>
    <w:p w:rsidR="00C97ABF" w:rsidRPr="001D2F32" w:rsidRDefault="00C97ABF" w:rsidP="00C97ABF">
      <w:pPr>
        <w:numPr>
          <w:ilvl w:val="0"/>
          <w:numId w:val="684"/>
        </w:numPr>
        <w:jc w:val="both"/>
        <w:rPr>
          <w:szCs w:val="20"/>
        </w:rPr>
      </w:pPr>
      <w:r w:rsidRPr="001D2F32">
        <w:rPr>
          <w:szCs w:val="20"/>
        </w:rPr>
        <w:t>niski poziom atrakcyjności inwestycyjnej.</w:t>
      </w:r>
    </w:p>
    <w:p w:rsidR="00C97ABF" w:rsidRPr="001D2F32" w:rsidRDefault="00C97ABF" w:rsidP="00C97ABF">
      <w:pPr>
        <w:numPr>
          <w:ilvl w:val="0"/>
          <w:numId w:val="682"/>
        </w:numPr>
        <w:jc w:val="both"/>
        <w:rPr>
          <w:szCs w:val="20"/>
        </w:rPr>
      </w:pPr>
      <w:r w:rsidRPr="001D2F32">
        <w:rPr>
          <w:szCs w:val="20"/>
        </w:rPr>
        <w:t>Renowacja zabytkowego kościoła Św. Krzyża w Bytomiu.</w:t>
      </w:r>
    </w:p>
    <w:p w:rsidR="00C97ABF" w:rsidRPr="001D2F32" w:rsidRDefault="00C97ABF" w:rsidP="00C97ABF">
      <w:pPr>
        <w:ind w:left="360"/>
        <w:jc w:val="both"/>
        <w:rPr>
          <w:szCs w:val="20"/>
        </w:rPr>
      </w:pPr>
      <w:r w:rsidRPr="001D2F32">
        <w:rPr>
          <w:szCs w:val="20"/>
        </w:rPr>
        <w:t>Zidentyfikowane problemy, do których rozwiązania przyczyni się realizacja ww. projektu:</w:t>
      </w:r>
    </w:p>
    <w:p w:rsidR="00C97ABF" w:rsidRPr="001D2F32" w:rsidRDefault="00C97ABF" w:rsidP="00C97ABF">
      <w:pPr>
        <w:numPr>
          <w:ilvl w:val="0"/>
          <w:numId w:val="684"/>
        </w:numPr>
        <w:jc w:val="both"/>
        <w:rPr>
          <w:szCs w:val="20"/>
        </w:rPr>
      </w:pPr>
      <w:r w:rsidRPr="001D2F32">
        <w:rPr>
          <w:szCs w:val="20"/>
        </w:rPr>
        <w:t>zdewastowane zabytki.</w:t>
      </w:r>
    </w:p>
    <w:p w:rsidR="00C97ABF" w:rsidRPr="001D2F32" w:rsidRDefault="00C97ABF" w:rsidP="00C97ABF">
      <w:pPr>
        <w:numPr>
          <w:ilvl w:val="0"/>
          <w:numId w:val="682"/>
        </w:numPr>
        <w:jc w:val="both"/>
        <w:rPr>
          <w:szCs w:val="20"/>
        </w:rPr>
      </w:pPr>
      <w:r w:rsidRPr="001D2F32">
        <w:rPr>
          <w:szCs w:val="20"/>
        </w:rPr>
        <w:t>Konserwacja i zachowanie zabytkowego kościoła św. Małgorzaty w Bytomiu.</w:t>
      </w:r>
    </w:p>
    <w:p w:rsidR="00C97ABF" w:rsidRPr="001D2F32" w:rsidRDefault="00C97ABF" w:rsidP="00C97ABF">
      <w:pPr>
        <w:ind w:left="360"/>
        <w:jc w:val="both"/>
        <w:rPr>
          <w:szCs w:val="20"/>
        </w:rPr>
      </w:pPr>
      <w:r w:rsidRPr="001D2F32">
        <w:rPr>
          <w:szCs w:val="20"/>
        </w:rPr>
        <w:t>Zidentyfikowane problemy, do których rozwiązania przyczyni się realizacja ww. projektu:</w:t>
      </w:r>
    </w:p>
    <w:p w:rsidR="00C97ABF" w:rsidRPr="001D2F32" w:rsidRDefault="00C97ABF" w:rsidP="00C97ABF">
      <w:pPr>
        <w:numPr>
          <w:ilvl w:val="0"/>
          <w:numId w:val="684"/>
        </w:numPr>
        <w:jc w:val="both"/>
        <w:rPr>
          <w:szCs w:val="20"/>
        </w:rPr>
      </w:pPr>
      <w:r w:rsidRPr="001D2F32">
        <w:rPr>
          <w:szCs w:val="20"/>
        </w:rPr>
        <w:t>zdewastowane zabytki.</w:t>
      </w:r>
    </w:p>
    <w:p w:rsidR="00C97ABF" w:rsidRPr="001D2F32" w:rsidRDefault="00C97ABF" w:rsidP="00C97ABF">
      <w:pPr>
        <w:numPr>
          <w:ilvl w:val="0"/>
          <w:numId w:val="682"/>
        </w:numPr>
        <w:jc w:val="both"/>
        <w:rPr>
          <w:szCs w:val="20"/>
        </w:rPr>
      </w:pPr>
      <w:r w:rsidRPr="001D2F32">
        <w:rPr>
          <w:szCs w:val="20"/>
        </w:rPr>
        <w:t>Rewitalizacja terenów poprzemysłowych dzielnic Szombierki i Łagiewniki w dolinie rzeki Bytomki.</w:t>
      </w:r>
    </w:p>
    <w:p w:rsidR="00C97ABF" w:rsidRPr="001D2F32" w:rsidRDefault="00C97ABF" w:rsidP="00C97ABF">
      <w:pPr>
        <w:ind w:firstLine="360"/>
        <w:jc w:val="both"/>
        <w:rPr>
          <w:szCs w:val="20"/>
        </w:rPr>
      </w:pPr>
      <w:r w:rsidRPr="001D2F32">
        <w:rPr>
          <w:szCs w:val="20"/>
        </w:rPr>
        <w:t>Zidentyfikowane problemy, do których rozwiązania przyczyni się realizacja ww. projektu:</w:t>
      </w:r>
    </w:p>
    <w:p w:rsidR="00C97ABF" w:rsidRPr="001D2F32" w:rsidRDefault="00C97ABF" w:rsidP="00C97ABF">
      <w:pPr>
        <w:numPr>
          <w:ilvl w:val="0"/>
          <w:numId w:val="684"/>
        </w:numPr>
        <w:jc w:val="both"/>
        <w:rPr>
          <w:szCs w:val="20"/>
        </w:rPr>
      </w:pPr>
      <w:r w:rsidRPr="001D2F32">
        <w:rPr>
          <w:szCs w:val="20"/>
        </w:rPr>
        <w:t>zły stan techniczny i zaniedbana przestrzeń wspólna.</w:t>
      </w:r>
    </w:p>
    <w:p w:rsidR="009F6237" w:rsidRPr="007956B3" w:rsidRDefault="009F6237" w:rsidP="00C97ABF">
      <w:pPr>
        <w:jc w:val="both"/>
        <w:sectPr w:rsidR="009F6237" w:rsidRPr="007956B3" w:rsidSect="008A2D26">
          <w:pgSz w:w="11906" w:h="16838"/>
          <w:pgMar w:top="1418" w:right="1418" w:bottom="1418" w:left="1418" w:header="708" w:footer="708" w:gutter="0"/>
          <w:cols w:space="708"/>
          <w:docGrid w:linePitch="600" w:charSpace="32768"/>
        </w:sectPr>
      </w:pPr>
    </w:p>
    <w:p w:rsidR="000C70A4" w:rsidRPr="005B33F3" w:rsidRDefault="005E2FDF" w:rsidP="00BD210F">
      <w:pPr>
        <w:pStyle w:val="Nagwek1"/>
        <w:spacing w:before="0"/>
      </w:pPr>
      <w:bookmarkStart w:id="7835" w:name="_Toc460313313"/>
      <w:bookmarkStart w:id="7836" w:name="_Toc474924955"/>
      <w:bookmarkEnd w:id="7827"/>
      <w:bookmarkEnd w:id="7829"/>
      <w:bookmarkEnd w:id="7830"/>
      <w:r w:rsidRPr="005B33F3">
        <w:lastRenderedPageBreak/>
        <w:t xml:space="preserve">3. </w:t>
      </w:r>
      <w:r w:rsidR="000C70A4" w:rsidRPr="005B33F3">
        <w:t>PLANOWANIE REWITALIZACJI</w:t>
      </w:r>
      <w:bookmarkEnd w:id="7835"/>
      <w:bookmarkEnd w:id="7836"/>
    </w:p>
    <w:p w:rsidR="007075F3" w:rsidRPr="007075F3" w:rsidRDefault="007075F3" w:rsidP="007075F3"/>
    <w:p w:rsidR="000C70A4" w:rsidRDefault="00662649" w:rsidP="006D764E">
      <w:pPr>
        <w:pStyle w:val="Nagwek2"/>
        <w:numPr>
          <w:ilvl w:val="0"/>
          <w:numId w:val="0"/>
        </w:numPr>
        <w:ind w:left="431" w:hanging="431"/>
      </w:pPr>
      <w:bookmarkStart w:id="7837" w:name="_Toc460313314"/>
      <w:bookmarkStart w:id="7838" w:name="_Toc474924956"/>
      <w:r>
        <w:t xml:space="preserve">3.1.     </w:t>
      </w:r>
      <w:r w:rsidR="000C70A4">
        <w:t>Wizja, cele i kierunki działań rewitalizacyjnych</w:t>
      </w:r>
      <w:bookmarkEnd w:id="7837"/>
      <w:bookmarkEnd w:id="7838"/>
    </w:p>
    <w:p w:rsidR="000C70A4" w:rsidRPr="00FA1D54" w:rsidRDefault="000C70A4">
      <w:pPr>
        <w:jc w:val="both"/>
        <w:rPr>
          <w:rFonts w:ascii="Calibri" w:hAnsi="Calibri" w:cs="Calibri"/>
        </w:rPr>
      </w:pPr>
    </w:p>
    <w:p w:rsidR="00D45669" w:rsidRPr="00D45669" w:rsidRDefault="00D45669" w:rsidP="00D45669">
      <w:pPr>
        <w:ind w:firstLine="567"/>
        <w:jc w:val="both"/>
        <w:rPr>
          <w:rFonts w:cs="Calibri"/>
          <w:szCs w:val="20"/>
        </w:rPr>
      </w:pPr>
      <w:r w:rsidRPr="00D45669">
        <w:rPr>
          <w:rFonts w:cs="Calibri"/>
          <w:szCs w:val="20"/>
        </w:rPr>
        <w:t>Zgodnie z art. 14 ust. 3 ustawy o rewitalizacji, w przypadku podziału obszaru rewitalizacji na podobszary, gminny program rewitalizacji jest opracowywany dla poszczególnych podobszarów.</w:t>
      </w:r>
    </w:p>
    <w:p w:rsidR="00D45669" w:rsidRDefault="00D45669" w:rsidP="00D45669">
      <w:pPr>
        <w:ind w:firstLine="567"/>
        <w:jc w:val="both"/>
        <w:rPr>
          <w:rFonts w:cs="Calibri"/>
          <w:szCs w:val="20"/>
        </w:rPr>
      </w:pPr>
      <w:r w:rsidRPr="00D45669">
        <w:rPr>
          <w:rFonts w:cs="Calibri"/>
          <w:szCs w:val="20"/>
        </w:rPr>
        <w:t xml:space="preserve">W związku z powyższym wymogiem przeprowadzono 32 spotkania </w:t>
      </w:r>
      <w:r w:rsidR="00FD40EF">
        <w:rPr>
          <w:rFonts w:cs="Calibri"/>
          <w:szCs w:val="20"/>
        </w:rPr>
        <w:t xml:space="preserve">z mieszkańcami </w:t>
      </w:r>
      <w:r w:rsidRPr="00D45669">
        <w:rPr>
          <w:rFonts w:cs="Calibri"/>
          <w:szCs w:val="20"/>
        </w:rPr>
        <w:t>we wszystkich podobszarach zamieszkałych, w tym warsztaty, spacery studyjne, lotne punkty informa</w:t>
      </w:r>
      <w:r w:rsidR="00FD40EF">
        <w:rPr>
          <w:rFonts w:cs="Calibri"/>
          <w:szCs w:val="20"/>
        </w:rPr>
        <w:t xml:space="preserve">cyjne oraz spotkania plenerowe. W trakcie, których wskazano </w:t>
      </w:r>
      <w:r w:rsidRPr="00D45669">
        <w:rPr>
          <w:rFonts w:cs="Calibri"/>
          <w:szCs w:val="20"/>
        </w:rPr>
        <w:t>problemy poszczególnych podobszarów. W ramach spotkań z</w:t>
      </w:r>
      <w:r w:rsidR="00FD40EF">
        <w:rPr>
          <w:rFonts w:cs="Calibri"/>
          <w:szCs w:val="20"/>
        </w:rPr>
        <w:t> </w:t>
      </w:r>
      <w:r w:rsidRPr="00D45669">
        <w:rPr>
          <w:rFonts w:cs="Calibri"/>
          <w:szCs w:val="20"/>
        </w:rPr>
        <w:t>interesariuszami wypracowano także wizje, cele i ki</w:t>
      </w:r>
      <w:r w:rsidR="007A0F34">
        <w:rPr>
          <w:rFonts w:cs="Calibri"/>
          <w:szCs w:val="20"/>
        </w:rPr>
        <w:t xml:space="preserve">erunki działań dla każdego z </w:t>
      </w:r>
      <w:r w:rsidR="00293D1B">
        <w:rPr>
          <w:rFonts w:cs="Calibri"/>
          <w:szCs w:val="20"/>
        </w:rPr>
        <w:t>sześciu</w:t>
      </w:r>
      <w:r w:rsidR="007A0F34">
        <w:rPr>
          <w:rFonts w:cs="Calibri"/>
          <w:szCs w:val="20"/>
        </w:rPr>
        <w:t xml:space="preserve"> </w:t>
      </w:r>
      <w:r w:rsidRPr="00D45669">
        <w:rPr>
          <w:rFonts w:cs="Calibri"/>
          <w:szCs w:val="20"/>
        </w:rPr>
        <w:t>podobszarów zamieszkałych.</w:t>
      </w:r>
      <w:r w:rsidR="00293D1B">
        <w:rPr>
          <w:rFonts w:cs="Calibri"/>
          <w:szCs w:val="20"/>
        </w:rPr>
        <w:t xml:space="preserve"> </w:t>
      </w:r>
      <w:r w:rsidR="00293D1B">
        <w:rPr>
          <w:rFonts w:ascii="Calibri" w:hAnsi="Calibri" w:cs="Calibri"/>
          <w:color w:val="800000"/>
          <w:szCs w:val="22"/>
        </w:rPr>
        <w:t>W podobszarach niez</w:t>
      </w:r>
      <w:r w:rsidR="00D13BEC">
        <w:rPr>
          <w:rFonts w:ascii="Calibri" w:hAnsi="Calibri" w:cs="Calibri"/>
          <w:color w:val="800000"/>
          <w:szCs w:val="22"/>
        </w:rPr>
        <w:t>a</w:t>
      </w:r>
      <w:r w:rsidR="00293D1B">
        <w:rPr>
          <w:rFonts w:ascii="Calibri" w:hAnsi="Calibri" w:cs="Calibri"/>
          <w:color w:val="800000"/>
          <w:szCs w:val="22"/>
        </w:rPr>
        <w:t xml:space="preserve">mieszkałych nie prowadzono działań partycypacyjnych, nie wypracowano dla nich osobnych wizji, celów i kierunków działań.  Niemniej jednak w trakcie spotkań partycypacyjnych mieszkańcy wskazywali na konieczność ponownego wykorzystania obszarów poprzemysłowych i nadania im nowych funkcji.  </w:t>
      </w:r>
    </w:p>
    <w:p w:rsidR="00D45669" w:rsidRPr="00D45669" w:rsidRDefault="00D45669" w:rsidP="00D45669">
      <w:pPr>
        <w:ind w:firstLine="567"/>
        <w:jc w:val="both"/>
        <w:rPr>
          <w:szCs w:val="20"/>
        </w:rPr>
      </w:pPr>
      <w:r w:rsidRPr="00D45669">
        <w:rPr>
          <w:szCs w:val="20"/>
        </w:rPr>
        <w:t>Po przeanalizowaniu wizji, celów i kierunków wypracowanych</w:t>
      </w:r>
      <w:r w:rsidR="00FD40EF">
        <w:rPr>
          <w:szCs w:val="20"/>
        </w:rPr>
        <w:t>,</w:t>
      </w:r>
      <w:r w:rsidRPr="00D45669">
        <w:rPr>
          <w:szCs w:val="20"/>
        </w:rPr>
        <w:t xml:space="preserve"> w</w:t>
      </w:r>
      <w:r w:rsidR="00FD40EF">
        <w:rPr>
          <w:szCs w:val="20"/>
        </w:rPr>
        <w:t xml:space="preserve"> ramach partycypacji społecznej,</w:t>
      </w:r>
      <w:r w:rsidRPr="00D45669">
        <w:rPr>
          <w:szCs w:val="20"/>
        </w:rPr>
        <w:t xml:space="preserve"> </w:t>
      </w:r>
      <w:r w:rsidR="00FD40EF">
        <w:rPr>
          <w:szCs w:val="20"/>
        </w:rPr>
        <w:t>w </w:t>
      </w:r>
      <w:r w:rsidRPr="00D45669">
        <w:rPr>
          <w:szCs w:val="20"/>
        </w:rPr>
        <w:t xml:space="preserve">podobszarach zwrócono uwagę, że są one ze sobą zbieżne. Ponadto analiza danych statystycznych, wyniki pogłębionej diagnozy obszaru rewitalizacji, potwierdziły problemy zidentyfikowane w takcie partycypacji społecznej. Z uwagi na to opracowano wspólną wizję dla całego </w:t>
      </w:r>
      <w:r w:rsidR="00AE344C">
        <w:rPr>
          <w:szCs w:val="20"/>
        </w:rPr>
        <w:t xml:space="preserve">obszaru rewitalizacji Bytomia, </w:t>
      </w:r>
      <w:r w:rsidRPr="00D45669">
        <w:rPr>
          <w:szCs w:val="20"/>
        </w:rPr>
        <w:t>do której wypracowano wspólne cele i kierunki działań. Cele i</w:t>
      </w:r>
      <w:r w:rsidR="00921348">
        <w:rPr>
          <w:szCs w:val="20"/>
        </w:rPr>
        <w:t> </w:t>
      </w:r>
      <w:r w:rsidRPr="00D45669">
        <w:rPr>
          <w:szCs w:val="20"/>
        </w:rPr>
        <w:t xml:space="preserve">kierunki wypracowane przez interesariuszy obszaru rewitalizacji po przeanalizowaniu pogrupowano oraz rozszerzono na podstawie wniosków z diagnozy oraz uwag zebranych w trakcie konsultacji projektu </w:t>
      </w:r>
      <w:r w:rsidR="00AB65AC">
        <w:rPr>
          <w:szCs w:val="20"/>
        </w:rPr>
        <w:t>„</w:t>
      </w:r>
      <w:r w:rsidRPr="00D45669">
        <w:rPr>
          <w:szCs w:val="20"/>
        </w:rPr>
        <w:t>Gminnego Programu Rewitalizacji. Bytom 2020+</w:t>
      </w:r>
      <w:r w:rsidR="00AB65AC">
        <w:rPr>
          <w:szCs w:val="20"/>
        </w:rPr>
        <w:t>”</w:t>
      </w:r>
      <w:r w:rsidRPr="00D45669">
        <w:rPr>
          <w:szCs w:val="20"/>
        </w:rPr>
        <w:t>.</w:t>
      </w:r>
    </w:p>
    <w:p w:rsidR="000C70A4" w:rsidRDefault="000C70A4">
      <w:pPr>
        <w:ind w:firstLine="567"/>
        <w:jc w:val="both"/>
        <w:rPr>
          <w:rFonts w:ascii="Calibri" w:hAnsi="Calibri" w:cs="Calibri"/>
          <w:szCs w:val="20"/>
        </w:rPr>
      </w:pPr>
    </w:p>
    <w:p w:rsidR="000C70A4" w:rsidRPr="00E633C3" w:rsidRDefault="000C70A4" w:rsidP="00141C15">
      <w:pPr>
        <w:pStyle w:val="Nagwek3"/>
        <w:numPr>
          <w:ilvl w:val="2"/>
          <w:numId w:val="225"/>
        </w:numPr>
      </w:pPr>
      <w:bookmarkStart w:id="7839" w:name="_Toc460313315"/>
      <w:bookmarkStart w:id="7840" w:name="_Toc474924957"/>
      <w:r w:rsidRPr="00E633C3">
        <w:t>Wizja rewitalizacji w podobszarach rewitalizacji</w:t>
      </w:r>
      <w:bookmarkEnd w:id="7839"/>
      <w:bookmarkEnd w:id="7840"/>
    </w:p>
    <w:p w:rsidR="000C70A4" w:rsidRDefault="000C70A4">
      <w:pPr>
        <w:rPr>
          <w:rFonts w:ascii="Calibri" w:hAnsi="Calibri" w:cs="Calibri"/>
        </w:rPr>
      </w:pPr>
    </w:p>
    <w:p w:rsidR="00A32047" w:rsidRPr="00FD40EF" w:rsidRDefault="00A32047" w:rsidP="00A32047">
      <w:pPr>
        <w:ind w:firstLine="708"/>
        <w:jc w:val="both"/>
        <w:rPr>
          <w:rFonts w:ascii="Calibri" w:hAnsi="Calibri" w:cs="Calibri"/>
          <w:b/>
        </w:rPr>
      </w:pPr>
      <w:r>
        <w:rPr>
          <w:rFonts w:ascii="Calibri" w:hAnsi="Calibri" w:cs="Calibri"/>
        </w:rPr>
        <w:t>Wypracowane w ramach partycypacji</w:t>
      </w:r>
      <w:r w:rsidR="00FD40EF">
        <w:rPr>
          <w:rFonts w:ascii="Calibri" w:hAnsi="Calibri" w:cs="Calibri"/>
        </w:rPr>
        <w:t xml:space="preserve"> społecznej</w:t>
      </w:r>
      <w:r>
        <w:rPr>
          <w:rFonts w:ascii="Calibri" w:hAnsi="Calibri" w:cs="Calibri"/>
        </w:rPr>
        <w:t xml:space="preserve"> wizje, cele i kierunki działań dla każdego z</w:t>
      </w:r>
      <w:r w:rsidR="00FD40EF">
        <w:rPr>
          <w:rFonts w:ascii="Calibri" w:hAnsi="Calibri" w:cs="Calibri"/>
        </w:rPr>
        <w:t> </w:t>
      </w:r>
      <w:r>
        <w:rPr>
          <w:rFonts w:ascii="Calibri" w:hAnsi="Calibri" w:cs="Calibri"/>
        </w:rPr>
        <w:t xml:space="preserve">podobszarów są odpowiedzią na zidentyfikowane w podobszarach problemy. </w:t>
      </w:r>
      <w:r w:rsidRPr="00FD40EF">
        <w:rPr>
          <w:rFonts w:ascii="Calibri" w:hAnsi="Calibri" w:cs="Calibri"/>
          <w:b/>
        </w:rPr>
        <w:t>Poniżej przedstawiono efekty pracy w</w:t>
      </w:r>
      <w:r w:rsidR="001209DD" w:rsidRPr="00FD40EF">
        <w:rPr>
          <w:rFonts w:ascii="Calibri" w:hAnsi="Calibri" w:cs="Calibri"/>
          <w:b/>
        </w:rPr>
        <w:t> </w:t>
      </w:r>
      <w:r w:rsidRPr="00FD40EF">
        <w:rPr>
          <w:rFonts w:ascii="Calibri" w:hAnsi="Calibri" w:cs="Calibri"/>
          <w:b/>
        </w:rPr>
        <w:t>podobszarach w zakresie wizji, celów i kierunków działań.</w:t>
      </w:r>
      <w:r w:rsidR="008B3995">
        <w:rPr>
          <w:rFonts w:ascii="Calibri" w:hAnsi="Calibri" w:cs="Calibri"/>
          <w:b/>
        </w:rPr>
        <w:t xml:space="preserve"> Propozycje interesariuszy rewitalizacji  zebrane w trakcie partycypacji w podobszarach były punktem wyjścia do sformułowania spójnej wizji oraz celów dla obszaru rewitalizacji, a jednocześnie stanowiły  ich najważniejszy element.</w:t>
      </w:r>
    </w:p>
    <w:p w:rsidR="00921348" w:rsidRDefault="00921348" w:rsidP="00A32047">
      <w:pPr>
        <w:ind w:firstLine="708"/>
        <w:jc w:val="both"/>
        <w:rPr>
          <w:rFonts w:ascii="Calibri" w:hAnsi="Calibri" w:cs="Calibri"/>
        </w:rPr>
      </w:pPr>
    </w:p>
    <w:p w:rsidR="00F07D1B" w:rsidRPr="000E3421" w:rsidRDefault="00F07D1B" w:rsidP="00CE60F7">
      <w:pPr>
        <w:spacing w:after="240"/>
        <w:jc w:val="center"/>
        <w:rPr>
          <w:rFonts w:cs="Calibri"/>
          <w:b/>
          <w:bCs/>
          <w:i/>
          <w:iCs/>
          <w:sz w:val="26"/>
          <w:szCs w:val="26"/>
        </w:rPr>
      </w:pPr>
      <w:r w:rsidRPr="000E3421">
        <w:rPr>
          <w:rFonts w:cs="Calibri"/>
          <w:b/>
          <w:bCs/>
          <w:i/>
          <w:iCs/>
          <w:color w:val="0070C0"/>
          <w:sz w:val="26"/>
          <w:szCs w:val="26"/>
        </w:rPr>
        <w:t>BOBREK</w:t>
      </w:r>
    </w:p>
    <w:p w:rsidR="00A32047" w:rsidRPr="00B342CD" w:rsidRDefault="00F07D1B" w:rsidP="00026A43">
      <w:pPr>
        <w:jc w:val="center"/>
        <w:rPr>
          <w:rFonts w:cs="Calibri"/>
          <w:b/>
          <w:bCs/>
          <w:i/>
          <w:iCs/>
          <w:sz w:val="22"/>
        </w:rPr>
      </w:pPr>
      <w:r w:rsidRPr="00B342CD">
        <w:rPr>
          <w:rFonts w:cs="Calibri"/>
          <w:b/>
          <w:bCs/>
          <w:i/>
          <w:iCs/>
          <w:sz w:val="22"/>
        </w:rPr>
        <w:t>Dzielnica zapewniająca odpowiednie do potrzeb warunki mieszkaniowe oraz bogatą ofertę rekreacyjno - kulturalną dla aktywnej, zintegrowanej i wielokulturowej społeczności.</w:t>
      </w:r>
    </w:p>
    <w:p w:rsidR="00F07D1B" w:rsidRDefault="00F07D1B" w:rsidP="00A32047"/>
    <w:p w:rsidR="00F07D1B" w:rsidRPr="00CB7F61" w:rsidRDefault="00F07D1B" w:rsidP="00F07D1B">
      <w:pPr>
        <w:pStyle w:val="Legenda"/>
        <w:keepNext/>
      </w:pPr>
      <w:bookmarkStart w:id="7841" w:name="_Toc202771119"/>
      <w:r w:rsidRPr="00CB7F61">
        <w:t xml:space="preserve">Tabela </w:t>
      </w:r>
      <w:r w:rsidR="003972D8" w:rsidRPr="00CB7F61">
        <w:fldChar w:fldCharType="begin"/>
      </w:r>
      <w:r w:rsidRPr="00CB7F61">
        <w:instrText xml:space="preserve"> SEQ Tabela \* ARABIC </w:instrText>
      </w:r>
      <w:r w:rsidR="003972D8" w:rsidRPr="00CB7F61">
        <w:fldChar w:fldCharType="separate"/>
      </w:r>
      <w:r w:rsidR="00413FFE">
        <w:rPr>
          <w:noProof/>
        </w:rPr>
        <w:t>25</w:t>
      </w:r>
      <w:r w:rsidR="003972D8" w:rsidRPr="00CB7F61">
        <w:fldChar w:fldCharType="end"/>
      </w:r>
      <w:r w:rsidRPr="00CB7F61">
        <w:t>. Bobrek – cele i kierunki</w:t>
      </w:r>
      <w:bookmarkEnd w:id="7841"/>
    </w:p>
    <w:tbl>
      <w:tblPr>
        <w:tblW w:w="0" w:type="auto"/>
        <w:tblInd w:w="-20" w:type="dxa"/>
        <w:tblLook w:val="0000"/>
      </w:tblPr>
      <w:tblGrid>
        <w:gridCol w:w="2137"/>
        <w:gridCol w:w="2910"/>
        <w:gridCol w:w="4259"/>
      </w:tblGrid>
      <w:tr w:rsidR="00A32047" w:rsidRPr="00921348" w:rsidTr="003F153D">
        <w:trPr>
          <w:tblHeader/>
        </w:trPr>
        <w:tc>
          <w:tcPr>
            <w:tcW w:w="0" w:type="auto"/>
            <w:tcBorders>
              <w:top w:val="single" w:sz="4" w:space="0" w:color="000000"/>
              <w:left w:val="single" w:sz="4" w:space="0" w:color="000000"/>
              <w:bottom w:val="single" w:sz="4" w:space="0" w:color="000000"/>
            </w:tcBorders>
            <w:shd w:val="clear" w:color="auto" w:fill="99CCFF"/>
            <w:vAlign w:val="center"/>
          </w:tcPr>
          <w:p w:rsidR="00A32047" w:rsidRPr="00921348" w:rsidRDefault="002C6A6A" w:rsidP="003F153D">
            <w:pPr>
              <w:spacing w:before="60" w:after="60"/>
              <w:jc w:val="center"/>
              <w:rPr>
                <w:rFonts w:cs="TiepoloItcTEEBoo"/>
                <w:b/>
                <w:bCs/>
                <w:szCs w:val="20"/>
              </w:rPr>
            </w:pPr>
            <w:r w:rsidRPr="00921348">
              <w:rPr>
                <w:rFonts w:cs="TiepoloItcTEEBoo"/>
                <w:b/>
                <w:bCs/>
                <w:szCs w:val="20"/>
              </w:rPr>
              <w:t>CELE STRATEGICZNE</w:t>
            </w:r>
          </w:p>
        </w:tc>
        <w:tc>
          <w:tcPr>
            <w:tcW w:w="0" w:type="auto"/>
            <w:tcBorders>
              <w:top w:val="single" w:sz="4" w:space="0" w:color="000000"/>
              <w:left w:val="single" w:sz="4" w:space="0" w:color="000000"/>
              <w:bottom w:val="single" w:sz="4" w:space="0" w:color="000000"/>
            </w:tcBorders>
            <w:shd w:val="clear" w:color="auto" w:fill="99CCFF"/>
          </w:tcPr>
          <w:p w:rsidR="00A32047" w:rsidRPr="00921348" w:rsidRDefault="002C6A6A" w:rsidP="00741682">
            <w:pPr>
              <w:spacing w:before="60" w:after="60"/>
              <w:jc w:val="center"/>
              <w:rPr>
                <w:rFonts w:cs="TiepoloItcTEEBoo"/>
                <w:b/>
                <w:bCs/>
                <w:szCs w:val="20"/>
              </w:rPr>
            </w:pPr>
            <w:r w:rsidRPr="00921348">
              <w:rPr>
                <w:rFonts w:cs="TiepoloItcTEEBoo"/>
                <w:b/>
                <w:bCs/>
                <w:szCs w:val="20"/>
              </w:rPr>
              <w:t>CELE OPERACYJNE</w:t>
            </w:r>
          </w:p>
        </w:tc>
        <w:tc>
          <w:tcPr>
            <w:tcW w:w="0" w:type="auto"/>
            <w:tcBorders>
              <w:top w:val="single" w:sz="4" w:space="0" w:color="000000"/>
              <w:left w:val="single" w:sz="4" w:space="0" w:color="000000"/>
              <w:bottom w:val="single" w:sz="4" w:space="0" w:color="000000"/>
              <w:right w:val="single" w:sz="4" w:space="0" w:color="000000"/>
            </w:tcBorders>
            <w:shd w:val="clear" w:color="auto" w:fill="99CCFF"/>
          </w:tcPr>
          <w:p w:rsidR="00A32047" w:rsidRPr="00921348" w:rsidRDefault="002C6A6A" w:rsidP="00741682">
            <w:pPr>
              <w:spacing w:before="60" w:after="60"/>
              <w:jc w:val="center"/>
              <w:rPr>
                <w:szCs w:val="20"/>
              </w:rPr>
            </w:pPr>
            <w:r w:rsidRPr="00921348">
              <w:rPr>
                <w:rFonts w:cs="TiepoloItcTEEBoo"/>
                <w:b/>
                <w:bCs/>
                <w:szCs w:val="20"/>
              </w:rPr>
              <w:t>KIERUNKI DZIAŁANIA</w:t>
            </w:r>
          </w:p>
        </w:tc>
      </w:tr>
      <w:tr w:rsidR="00A32047" w:rsidRPr="00921348" w:rsidTr="00E90DD4">
        <w:tc>
          <w:tcPr>
            <w:tcW w:w="0" w:type="auto"/>
            <w:vMerge w:val="restart"/>
            <w:tcBorders>
              <w:top w:val="single" w:sz="4" w:space="0" w:color="000000"/>
              <w:left w:val="single" w:sz="4" w:space="0" w:color="000000"/>
              <w:bottom w:val="single" w:sz="4" w:space="0" w:color="000000"/>
            </w:tcBorders>
          </w:tcPr>
          <w:p w:rsidR="00A32047" w:rsidRPr="00B342CD" w:rsidRDefault="00CA2C42" w:rsidP="00E90DD4">
            <w:pPr>
              <w:pStyle w:val="Akapitzlist5"/>
              <w:spacing w:after="0" w:line="240" w:lineRule="auto"/>
              <w:ind w:left="0"/>
              <w:rPr>
                <w:rFonts w:asciiTheme="minorHAnsi" w:hAnsiTheme="minorHAnsi" w:cs="TiepoloItcTEEBoo"/>
                <w:b/>
                <w:sz w:val="20"/>
                <w:szCs w:val="20"/>
              </w:rPr>
            </w:pPr>
            <w:r w:rsidRPr="00B342CD">
              <w:rPr>
                <w:rFonts w:asciiTheme="minorHAnsi" w:hAnsiTheme="minorHAnsi" w:cs="TiepoloItcTEEBoo"/>
                <w:b/>
                <w:sz w:val="20"/>
                <w:szCs w:val="20"/>
              </w:rPr>
              <w:t xml:space="preserve">1. </w:t>
            </w:r>
            <w:r w:rsidR="00A32047" w:rsidRPr="00B342CD">
              <w:rPr>
                <w:rFonts w:asciiTheme="minorHAnsi" w:hAnsiTheme="minorHAnsi" w:cs="TiepoloItcTEEBoo"/>
                <w:b/>
                <w:sz w:val="20"/>
                <w:szCs w:val="20"/>
              </w:rPr>
              <w:t xml:space="preserve">Wzrost aktywności zawodowej mieszkańców </w:t>
            </w:r>
          </w:p>
        </w:tc>
        <w:tc>
          <w:tcPr>
            <w:tcW w:w="0" w:type="auto"/>
            <w:tcBorders>
              <w:top w:val="single" w:sz="4" w:space="0" w:color="000000"/>
              <w:left w:val="single" w:sz="4" w:space="0" w:color="000000"/>
              <w:bottom w:val="single" w:sz="4" w:space="0" w:color="000000"/>
            </w:tcBorders>
          </w:tcPr>
          <w:p w:rsidR="00A32047" w:rsidRPr="00921348" w:rsidRDefault="00A32047" w:rsidP="00E90DD4">
            <w:pPr>
              <w:pStyle w:val="Indeks"/>
              <w:suppressLineNumbers w:val="0"/>
              <w:suppressAutoHyphens w:val="0"/>
              <w:rPr>
                <w:rFonts w:cs="TiepoloItcTEEBoo"/>
                <w:szCs w:val="20"/>
              </w:rPr>
            </w:pPr>
            <w:r w:rsidRPr="00921348">
              <w:rPr>
                <w:rFonts w:cs="TiepoloItcTEEBoo"/>
                <w:szCs w:val="20"/>
              </w:rPr>
              <w:t xml:space="preserve">1.1. Wsparcie na rzecz zmiany zachowań i dostosowania kompetencji do potrzeb rynku pracy  </w:t>
            </w:r>
          </w:p>
        </w:tc>
        <w:tc>
          <w:tcPr>
            <w:tcW w:w="0" w:type="auto"/>
            <w:tcBorders>
              <w:top w:val="single" w:sz="4" w:space="0" w:color="000000"/>
              <w:left w:val="single" w:sz="4" w:space="0" w:color="000000"/>
              <w:bottom w:val="single" w:sz="4" w:space="0" w:color="000000"/>
              <w:right w:val="single" w:sz="4" w:space="0" w:color="000000"/>
            </w:tcBorders>
          </w:tcPr>
          <w:p w:rsidR="00A32047" w:rsidRPr="00921348" w:rsidRDefault="00A32047" w:rsidP="007B034D">
            <w:pPr>
              <w:numPr>
                <w:ilvl w:val="0"/>
                <w:numId w:val="129"/>
              </w:numPr>
              <w:suppressAutoHyphens/>
              <w:ind w:left="357" w:hanging="357"/>
              <w:rPr>
                <w:rFonts w:cs="TiepoloItcTEEBoo"/>
                <w:szCs w:val="20"/>
              </w:rPr>
            </w:pPr>
            <w:r w:rsidRPr="00921348">
              <w:rPr>
                <w:rFonts w:cs="TiepoloItcTEEBoo"/>
                <w:szCs w:val="20"/>
              </w:rPr>
              <w:t>aktywizacja osób bezrobotnych oraz zagrożonych wykluczeniem /społecznym i</w:t>
            </w:r>
            <w:r w:rsidR="00DE3E42">
              <w:rPr>
                <w:rFonts w:cs="TiepoloItcTEEBoo"/>
                <w:szCs w:val="20"/>
              </w:rPr>
              <w:t> </w:t>
            </w:r>
            <w:r w:rsidRPr="00921348">
              <w:rPr>
                <w:rFonts w:cs="TiepoloItcTEEBoo"/>
                <w:szCs w:val="20"/>
              </w:rPr>
              <w:t>dostosowanie ich kompetencji do potrzeb rynku pracy,</w:t>
            </w:r>
          </w:p>
          <w:p w:rsidR="00A32047" w:rsidRPr="00921348" w:rsidRDefault="00A32047" w:rsidP="007B034D">
            <w:pPr>
              <w:numPr>
                <w:ilvl w:val="0"/>
                <w:numId w:val="129"/>
              </w:numPr>
              <w:suppressAutoHyphens/>
              <w:ind w:left="357" w:hanging="357"/>
              <w:rPr>
                <w:rFonts w:cs="TiepoloItcTEEBoo"/>
                <w:szCs w:val="20"/>
              </w:rPr>
            </w:pPr>
            <w:r w:rsidRPr="00921348">
              <w:rPr>
                <w:rFonts w:cs="TiepoloItcTEEBoo"/>
                <w:szCs w:val="20"/>
              </w:rPr>
              <w:t>wsparcie na rzecz dostosowania</w:t>
            </w:r>
            <w:r w:rsidRPr="0058729A">
              <w:rPr>
                <w:rFonts w:cs="TiepoloItcTEEBoo"/>
                <w:sz w:val="18"/>
                <w:szCs w:val="20"/>
              </w:rPr>
              <w:t xml:space="preserve"> </w:t>
            </w:r>
            <w:r w:rsidRPr="00921348">
              <w:rPr>
                <w:rFonts w:cs="TiepoloItcTEEBoo"/>
                <w:szCs w:val="20"/>
              </w:rPr>
              <w:t>umiejętności i kompetencji osób bezrobotnych i</w:t>
            </w:r>
            <w:r w:rsidR="00DE3E42">
              <w:rPr>
                <w:rFonts w:cs="TiepoloItcTEEBoo"/>
                <w:szCs w:val="20"/>
              </w:rPr>
              <w:t> </w:t>
            </w:r>
            <w:r w:rsidRPr="00921348">
              <w:rPr>
                <w:rFonts w:cs="TiepoloItcTEEBoo"/>
                <w:szCs w:val="20"/>
              </w:rPr>
              <w:t>zagrożonych wykluczeniem społe</w:t>
            </w:r>
            <w:r w:rsidR="000F6018">
              <w:rPr>
                <w:rFonts w:cs="TiepoloItcTEEBoo"/>
                <w:szCs w:val="20"/>
              </w:rPr>
              <w:t>cznym do potrzeb rynku pracy, w </w:t>
            </w:r>
            <w:r w:rsidRPr="00921348">
              <w:rPr>
                <w:rFonts w:cs="TiepoloItcTEEBoo"/>
                <w:szCs w:val="20"/>
              </w:rPr>
              <w:t>tym np.:</w:t>
            </w:r>
          </w:p>
          <w:p w:rsidR="00A32047" w:rsidRDefault="00A32047" w:rsidP="007B034D">
            <w:pPr>
              <w:numPr>
                <w:ilvl w:val="0"/>
                <w:numId w:val="116"/>
              </w:numPr>
              <w:suppressAutoHyphens/>
              <w:ind w:left="720"/>
              <w:rPr>
                <w:rFonts w:cs="TiepoloItcTEEBoo"/>
                <w:szCs w:val="20"/>
              </w:rPr>
            </w:pPr>
            <w:r w:rsidRPr="00921348">
              <w:rPr>
                <w:rFonts w:cs="TiepoloItcTEEBoo"/>
                <w:szCs w:val="20"/>
              </w:rPr>
              <w:t xml:space="preserve">poradnictwo zawodowe w zakresie rozpoznawania predyspozycji </w:t>
            </w:r>
            <w:r w:rsidRPr="00921348">
              <w:rPr>
                <w:rFonts w:cs="TiepoloItcTEEBoo"/>
                <w:szCs w:val="20"/>
              </w:rPr>
              <w:lastRenderedPageBreak/>
              <w:t>zawodowych oraz planowania indywidualnej ścieżki rozwoju i podjęcia zatrudnienia,</w:t>
            </w:r>
          </w:p>
          <w:p w:rsidR="00A32047" w:rsidRPr="00921348" w:rsidRDefault="00A32047" w:rsidP="007B034D">
            <w:pPr>
              <w:numPr>
                <w:ilvl w:val="0"/>
                <w:numId w:val="116"/>
              </w:numPr>
              <w:suppressAutoHyphens/>
              <w:ind w:left="720"/>
              <w:rPr>
                <w:rFonts w:cs="TiepoloItcTEEBoo"/>
                <w:szCs w:val="20"/>
              </w:rPr>
            </w:pPr>
            <w:r w:rsidRPr="00921348">
              <w:rPr>
                <w:rFonts w:cs="TiepoloItcTEEBoo"/>
                <w:szCs w:val="20"/>
              </w:rPr>
              <w:t>warsztaty związane z aktywnymi formami poszukiwania pracy, warsztaty z autoprezentacji itp.</w:t>
            </w:r>
            <w:r w:rsidR="00D13ED9">
              <w:rPr>
                <w:rFonts w:cs="TiepoloItcTEEBoo"/>
                <w:szCs w:val="20"/>
              </w:rPr>
              <w:t>,</w:t>
            </w:r>
          </w:p>
          <w:p w:rsidR="00A32047" w:rsidRPr="00060A11" w:rsidRDefault="00A32047" w:rsidP="007B034D">
            <w:pPr>
              <w:numPr>
                <w:ilvl w:val="0"/>
                <w:numId w:val="116"/>
              </w:numPr>
              <w:suppressAutoHyphens/>
              <w:ind w:left="720"/>
              <w:rPr>
                <w:rFonts w:cs="TiepoloItcTEEBoo"/>
                <w:szCs w:val="20"/>
              </w:rPr>
            </w:pPr>
            <w:r w:rsidRPr="00921348">
              <w:rPr>
                <w:rFonts w:cs="TiepoloItcTEEBoo"/>
                <w:szCs w:val="20"/>
              </w:rPr>
              <w:t>programy zachęcające do zakładania własnej działalności</w:t>
            </w:r>
            <w:r w:rsidR="00E41CDB">
              <w:rPr>
                <w:rFonts w:cs="TiepoloItcTEEBoo"/>
                <w:szCs w:val="20"/>
              </w:rPr>
              <w:t>.</w:t>
            </w:r>
          </w:p>
        </w:tc>
      </w:tr>
      <w:tr w:rsidR="00A32047" w:rsidRPr="00921348" w:rsidTr="00E90DD4">
        <w:tc>
          <w:tcPr>
            <w:tcW w:w="0" w:type="auto"/>
            <w:vMerge/>
            <w:tcBorders>
              <w:top w:val="single" w:sz="4" w:space="0" w:color="000000"/>
              <w:left w:val="single" w:sz="4" w:space="0" w:color="000000"/>
              <w:bottom w:val="single" w:sz="4" w:space="0" w:color="000000"/>
            </w:tcBorders>
            <w:vAlign w:val="center"/>
          </w:tcPr>
          <w:p w:rsidR="00A32047" w:rsidRPr="00921348" w:rsidRDefault="00A32047" w:rsidP="003F153D">
            <w:pPr>
              <w:pStyle w:val="Akapitzlist5"/>
              <w:tabs>
                <w:tab w:val="num" w:pos="304"/>
              </w:tabs>
              <w:snapToGrid w:val="0"/>
              <w:spacing w:after="0" w:line="240" w:lineRule="auto"/>
              <w:ind w:left="20"/>
              <w:rPr>
                <w:rFonts w:asciiTheme="minorHAnsi" w:hAnsiTheme="minorHAnsi" w:cs="TiepoloItcTEEBoo"/>
                <w:sz w:val="20"/>
                <w:szCs w:val="20"/>
              </w:rPr>
            </w:pPr>
          </w:p>
        </w:tc>
        <w:tc>
          <w:tcPr>
            <w:tcW w:w="0" w:type="auto"/>
            <w:tcBorders>
              <w:top w:val="single" w:sz="4" w:space="0" w:color="000000"/>
              <w:left w:val="single" w:sz="4" w:space="0" w:color="000000"/>
              <w:bottom w:val="single" w:sz="4" w:space="0" w:color="000000"/>
            </w:tcBorders>
          </w:tcPr>
          <w:p w:rsidR="00A32047" w:rsidRPr="00921348" w:rsidRDefault="00A32047" w:rsidP="00E90DD4">
            <w:pPr>
              <w:pStyle w:val="Pa6"/>
              <w:suppressAutoHyphens w:val="0"/>
              <w:autoSpaceDE/>
              <w:spacing w:line="240" w:lineRule="auto"/>
              <w:rPr>
                <w:rFonts w:asciiTheme="minorHAnsi" w:hAnsiTheme="minorHAnsi" w:cs="TiepoloItcTEEBoo"/>
                <w:szCs w:val="20"/>
              </w:rPr>
            </w:pPr>
            <w:r w:rsidRPr="00921348">
              <w:rPr>
                <w:rFonts w:asciiTheme="minorHAnsi" w:hAnsiTheme="minorHAnsi" w:cs="TiepoloItcTEEBoo"/>
                <w:szCs w:val="20"/>
              </w:rPr>
              <w:t>1.2. Wzrost poziomu przedsiębiorczości mieszkańców</w:t>
            </w:r>
          </w:p>
        </w:tc>
        <w:tc>
          <w:tcPr>
            <w:tcW w:w="0" w:type="auto"/>
            <w:tcBorders>
              <w:top w:val="single" w:sz="4" w:space="0" w:color="000000"/>
              <w:left w:val="single" w:sz="4" w:space="0" w:color="000000"/>
              <w:bottom w:val="single" w:sz="4" w:space="0" w:color="000000"/>
              <w:right w:val="single" w:sz="4" w:space="0" w:color="000000"/>
            </w:tcBorders>
          </w:tcPr>
          <w:p w:rsidR="00A32047" w:rsidRPr="00921348" w:rsidRDefault="00A32047" w:rsidP="007B034D">
            <w:pPr>
              <w:numPr>
                <w:ilvl w:val="0"/>
                <w:numId w:val="117"/>
              </w:numPr>
              <w:suppressAutoHyphens/>
              <w:ind w:left="357" w:hanging="357"/>
              <w:rPr>
                <w:rFonts w:cs="TiepoloItcTEEBoo"/>
                <w:szCs w:val="20"/>
              </w:rPr>
            </w:pPr>
            <w:r w:rsidRPr="00921348">
              <w:rPr>
                <w:rFonts w:cs="TiepoloItcTEEBoo"/>
                <w:szCs w:val="20"/>
              </w:rPr>
              <w:t>wsparcie na rzecz dostosowania umiejętności i kompetencji osób bezrobotnych i</w:t>
            </w:r>
            <w:r w:rsidR="00DE3E42">
              <w:rPr>
                <w:rFonts w:cs="TiepoloItcTEEBoo"/>
                <w:szCs w:val="20"/>
              </w:rPr>
              <w:t> </w:t>
            </w:r>
            <w:r w:rsidRPr="00921348">
              <w:rPr>
                <w:rFonts w:cs="TiepoloItcTEEBoo"/>
                <w:szCs w:val="20"/>
              </w:rPr>
              <w:t>zagrożonych wykluczeniem społecznym do potrzeb rynku pracy,</w:t>
            </w:r>
          </w:p>
          <w:p w:rsidR="00A32047" w:rsidRPr="00921348" w:rsidRDefault="00A32047" w:rsidP="007B034D">
            <w:pPr>
              <w:pStyle w:val="Akapitzlist5"/>
              <w:numPr>
                <w:ilvl w:val="0"/>
                <w:numId w:val="117"/>
              </w:numPr>
              <w:spacing w:after="0" w:line="240" w:lineRule="auto"/>
              <w:ind w:left="357" w:hanging="357"/>
              <w:rPr>
                <w:rFonts w:asciiTheme="minorHAnsi" w:hAnsiTheme="minorHAnsi"/>
                <w:sz w:val="20"/>
                <w:szCs w:val="20"/>
              </w:rPr>
            </w:pPr>
            <w:r w:rsidRPr="00921348">
              <w:rPr>
                <w:rFonts w:asciiTheme="minorHAnsi" w:hAnsiTheme="minorHAnsi" w:cs="TiepoloItcTEEBoo"/>
                <w:sz w:val="20"/>
                <w:szCs w:val="20"/>
              </w:rPr>
              <w:t>wzmacnianie posta</w:t>
            </w:r>
            <w:r w:rsidR="00E41CDB">
              <w:rPr>
                <w:rFonts w:asciiTheme="minorHAnsi" w:hAnsiTheme="minorHAnsi" w:cs="TiepoloItcTEEBoo"/>
                <w:sz w:val="20"/>
                <w:szCs w:val="20"/>
              </w:rPr>
              <w:t>w przedsiębiorczych mieszkańców.</w:t>
            </w:r>
          </w:p>
        </w:tc>
      </w:tr>
      <w:tr w:rsidR="00A32047" w:rsidRPr="00921348" w:rsidTr="00E90DD4">
        <w:trPr>
          <w:trHeight w:val="531"/>
        </w:trPr>
        <w:tc>
          <w:tcPr>
            <w:tcW w:w="0" w:type="auto"/>
            <w:vMerge w:val="restart"/>
            <w:tcBorders>
              <w:top w:val="single" w:sz="4" w:space="0" w:color="000000"/>
              <w:left w:val="single" w:sz="4" w:space="0" w:color="000000"/>
              <w:bottom w:val="single" w:sz="4" w:space="0" w:color="000000"/>
            </w:tcBorders>
          </w:tcPr>
          <w:p w:rsidR="00A32047" w:rsidRPr="00B342CD" w:rsidRDefault="004B2EF6" w:rsidP="00E90DD4">
            <w:pPr>
              <w:pStyle w:val="Akapitzlist5"/>
              <w:spacing w:after="0" w:line="240" w:lineRule="auto"/>
              <w:ind w:left="20"/>
              <w:rPr>
                <w:rFonts w:asciiTheme="minorHAnsi" w:hAnsiTheme="minorHAnsi" w:cs="TiepoloItcTEEBoo"/>
                <w:b/>
                <w:sz w:val="20"/>
                <w:szCs w:val="20"/>
              </w:rPr>
            </w:pPr>
            <w:r w:rsidRPr="00B342CD">
              <w:rPr>
                <w:rFonts w:asciiTheme="minorHAnsi" w:hAnsiTheme="minorHAnsi" w:cs="TiepoloItcTEEBoo"/>
                <w:b/>
                <w:sz w:val="20"/>
                <w:szCs w:val="20"/>
              </w:rPr>
              <w:t xml:space="preserve">2. </w:t>
            </w:r>
            <w:r w:rsidR="00A32047" w:rsidRPr="00B342CD">
              <w:rPr>
                <w:rFonts w:asciiTheme="minorHAnsi" w:hAnsiTheme="minorHAnsi" w:cs="TiepoloItcTEEBoo"/>
                <w:b/>
                <w:sz w:val="20"/>
                <w:szCs w:val="20"/>
              </w:rPr>
              <w:t>Korzystne warunki rozwoju kapitału społecznego</w:t>
            </w:r>
          </w:p>
        </w:tc>
        <w:tc>
          <w:tcPr>
            <w:tcW w:w="0" w:type="auto"/>
            <w:tcBorders>
              <w:top w:val="single" w:sz="4" w:space="0" w:color="000000"/>
              <w:left w:val="single" w:sz="4" w:space="0" w:color="000000"/>
              <w:bottom w:val="single" w:sz="4" w:space="0" w:color="000000"/>
            </w:tcBorders>
          </w:tcPr>
          <w:p w:rsidR="00A32047" w:rsidRPr="00921348" w:rsidRDefault="00A32047" w:rsidP="00E90DD4">
            <w:pPr>
              <w:rPr>
                <w:rFonts w:cs="TiepoloItcTEEBoo"/>
                <w:szCs w:val="20"/>
              </w:rPr>
            </w:pPr>
            <w:r w:rsidRPr="00921348">
              <w:rPr>
                <w:rFonts w:cs="TiepoloItcTEEBoo"/>
                <w:szCs w:val="20"/>
              </w:rPr>
              <w:t xml:space="preserve">2.1. Korzystne warunki dla działania i rozwoju organizacji pozarządowych </w:t>
            </w:r>
          </w:p>
        </w:tc>
        <w:tc>
          <w:tcPr>
            <w:tcW w:w="0" w:type="auto"/>
            <w:tcBorders>
              <w:top w:val="single" w:sz="4" w:space="0" w:color="000000"/>
              <w:left w:val="single" w:sz="4" w:space="0" w:color="000000"/>
              <w:bottom w:val="single" w:sz="4" w:space="0" w:color="000000"/>
              <w:right w:val="single" w:sz="4" w:space="0" w:color="000000"/>
            </w:tcBorders>
          </w:tcPr>
          <w:p w:rsidR="00A32047" w:rsidRPr="00921348" w:rsidRDefault="00A32047" w:rsidP="007B034D">
            <w:pPr>
              <w:numPr>
                <w:ilvl w:val="0"/>
                <w:numId w:val="130"/>
              </w:numPr>
              <w:suppressAutoHyphens/>
              <w:ind w:left="357" w:hanging="357"/>
              <w:rPr>
                <w:rFonts w:cs="TiepoloItcTEEBoo"/>
                <w:szCs w:val="20"/>
              </w:rPr>
            </w:pPr>
            <w:r w:rsidRPr="00921348">
              <w:rPr>
                <w:rFonts w:cs="TiepoloItcTEEBoo"/>
                <w:szCs w:val="20"/>
              </w:rPr>
              <w:t xml:space="preserve">zapewnienie całorocznych i bezpiecznych miejsc spotkań, rekreacji oraz oferty spędzania czasu wolnego dla mieszkańców dzielnicy Bobrek z uwzględnieniem potrzeb różnych grup wiekowych i społecznych, </w:t>
            </w:r>
          </w:p>
          <w:p w:rsidR="00A32047" w:rsidRPr="00921348" w:rsidRDefault="00A32047" w:rsidP="007B034D">
            <w:pPr>
              <w:numPr>
                <w:ilvl w:val="0"/>
                <w:numId w:val="130"/>
              </w:numPr>
              <w:suppressAutoHyphens/>
              <w:ind w:left="357" w:hanging="357"/>
              <w:rPr>
                <w:szCs w:val="20"/>
              </w:rPr>
            </w:pPr>
            <w:r w:rsidRPr="00921348">
              <w:rPr>
                <w:rFonts w:cs="TiepoloItcTEEBoo"/>
                <w:szCs w:val="20"/>
              </w:rPr>
              <w:t xml:space="preserve">organizacja wydarzeń/ imprez wzmacniających więzi międzypokoleniowe </w:t>
            </w:r>
            <w:r w:rsidRPr="00921348">
              <w:rPr>
                <w:rFonts w:cs="TiepoloItcTEEBoo"/>
                <w:szCs w:val="20"/>
              </w:rPr>
              <w:br/>
              <w:t>i budujące tożsamość z miejscem np. Dzień Sąsiada, nauka dla rodziców organizowania gier i zabaw dla dzieci, organizacja kawiarenek sąsiedzkich</w:t>
            </w:r>
            <w:r w:rsidR="00E41CDB">
              <w:rPr>
                <w:rFonts w:cs="TiepoloItcTEEBoo"/>
                <w:szCs w:val="20"/>
              </w:rPr>
              <w:t>.</w:t>
            </w:r>
          </w:p>
        </w:tc>
      </w:tr>
      <w:tr w:rsidR="00A32047" w:rsidRPr="00921348" w:rsidTr="00E90DD4">
        <w:tc>
          <w:tcPr>
            <w:tcW w:w="0" w:type="auto"/>
            <w:vMerge/>
            <w:tcBorders>
              <w:top w:val="single" w:sz="4" w:space="0" w:color="000000"/>
              <w:left w:val="single" w:sz="4" w:space="0" w:color="000000"/>
              <w:bottom w:val="single" w:sz="4" w:space="0" w:color="000000"/>
            </w:tcBorders>
          </w:tcPr>
          <w:p w:rsidR="00A32047" w:rsidRPr="00921348" w:rsidRDefault="00A32047" w:rsidP="00E90DD4">
            <w:pPr>
              <w:pStyle w:val="Akapitzlist5"/>
              <w:tabs>
                <w:tab w:val="num" w:pos="304"/>
              </w:tabs>
              <w:snapToGrid w:val="0"/>
              <w:spacing w:after="0" w:line="240" w:lineRule="auto"/>
              <w:ind w:left="20"/>
              <w:rPr>
                <w:rFonts w:asciiTheme="minorHAnsi" w:hAnsiTheme="minorHAnsi" w:cs="TiepoloItcTEEBoo"/>
                <w:sz w:val="20"/>
                <w:szCs w:val="20"/>
              </w:rPr>
            </w:pPr>
          </w:p>
        </w:tc>
        <w:tc>
          <w:tcPr>
            <w:tcW w:w="0" w:type="auto"/>
            <w:tcBorders>
              <w:top w:val="single" w:sz="4" w:space="0" w:color="000000"/>
              <w:left w:val="single" w:sz="4" w:space="0" w:color="000000"/>
              <w:bottom w:val="single" w:sz="4" w:space="0" w:color="000000"/>
            </w:tcBorders>
          </w:tcPr>
          <w:p w:rsidR="00A32047" w:rsidRPr="00921348" w:rsidRDefault="00A32047" w:rsidP="00E90DD4">
            <w:pPr>
              <w:rPr>
                <w:rFonts w:cs="TiepoloItcTEEBoo"/>
                <w:szCs w:val="20"/>
              </w:rPr>
            </w:pPr>
            <w:r w:rsidRPr="00921348">
              <w:rPr>
                <w:rFonts w:cs="TiepoloItcTEEBoo"/>
                <w:szCs w:val="20"/>
              </w:rPr>
              <w:t>2.2. Zapewnione kompleksowe wsparcie dla osób dotkniętych problemami społecznymi i/lub zagrożonych wykluczeniem społecznym</w:t>
            </w:r>
          </w:p>
        </w:tc>
        <w:tc>
          <w:tcPr>
            <w:tcW w:w="0" w:type="auto"/>
            <w:tcBorders>
              <w:top w:val="single" w:sz="4" w:space="0" w:color="000000"/>
              <w:left w:val="single" w:sz="4" w:space="0" w:color="000000"/>
              <w:bottom w:val="single" w:sz="4" w:space="0" w:color="000000"/>
              <w:right w:val="single" w:sz="4" w:space="0" w:color="000000"/>
            </w:tcBorders>
          </w:tcPr>
          <w:p w:rsidR="00A32047" w:rsidRPr="00921348" w:rsidRDefault="00A32047" w:rsidP="007B034D">
            <w:pPr>
              <w:numPr>
                <w:ilvl w:val="0"/>
                <w:numId w:val="127"/>
              </w:numPr>
              <w:suppressAutoHyphens/>
              <w:ind w:left="391" w:hanging="369"/>
              <w:rPr>
                <w:szCs w:val="20"/>
              </w:rPr>
            </w:pPr>
            <w:r w:rsidRPr="00921348">
              <w:rPr>
                <w:rFonts w:cs="TiepoloItcTEEBoo"/>
                <w:szCs w:val="20"/>
              </w:rPr>
              <w:t>przeciwdziałanie negatywnym zjawiskom społecznym, takim jak uzależnienia, przemoc w rodzinie, niewydolność wychowawcza, dewastacja wspólnego mienia, mieszkań socjalnych</w:t>
            </w:r>
            <w:r w:rsidR="00E41CDB">
              <w:rPr>
                <w:rFonts w:cs="TiepoloItcTEEBoo"/>
                <w:szCs w:val="20"/>
              </w:rPr>
              <w:t>.</w:t>
            </w:r>
          </w:p>
        </w:tc>
      </w:tr>
      <w:tr w:rsidR="00A32047" w:rsidRPr="00921348" w:rsidTr="00E90DD4">
        <w:tc>
          <w:tcPr>
            <w:tcW w:w="0" w:type="auto"/>
            <w:vMerge/>
            <w:tcBorders>
              <w:top w:val="single" w:sz="4" w:space="0" w:color="000000"/>
              <w:left w:val="single" w:sz="4" w:space="0" w:color="000000"/>
              <w:bottom w:val="single" w:sz="4" w:space="0" w:color="000000"/>
            </w:tcBorders>
          </w:tcPr>
          <w:p w:rsidR="00A32047" w:rsidRPr="00921348" w:rsidRDefault="00A32047" w:rsidP="00E90DD4">
            <w:pPr>
              <w:pStyle w:val="Akapitzlist5"/>
              <w:tabs>
                <w:tab w:val="num" w:pos="304"/>
              </w:tabs>
              <w:snapToGrid w:val="0"/>
              <w:spacing w:after="0" w:line="240" w:lineRule="auto"/>
              <w:ind w:left="20"/>
              <w:rPr>
                <w:rFonts w:asciiTheme="minorHAnsi" w:hAnsiTheme="minorHAnsi" w:cs="TiepoloItcTEEBoo"/>
                <w:sz w:val="20"/>
                <w:szCs w:val="20"/>
              </w:rPr>
            </w:pPr>
          </w:p>
        </w:tc>
        <w:tc>
          <w:tcPr>
            <w:tcW w:w="0" w:type="auto"/>
            <w:tcBorders>
              <w:top w:val="single" w:sz="4" w:space="0" w:color="000000"/>
              <w:left w:val="single" w:sz="4" w:space="0" w:color="000000"/>
              <w:bottom w:val="single" w:sz="4" w:space="0" w:color="000000"/>
            </w:tcBorders>
          </w:tcPr>
          <w:p w:rsidR="00A32047" w:rsidRPr="00921348" w:rsidRDefault="00A32047" w:rsidP="00E90DD4">
            <w:pPr>
              <w:rPr>
                <w:rFonts w:cs="TiepoloItcTEEBoo"/>
                <w:szCs w:val="20"/>
              </w:rPr>
            </w:pPr>
            <w:r w:rsidRPr="00921348">
              <w:rPr>
                <w:rFonts w:cs="TiepoloItcTEEBoo"/>
                <w:szCs w:val="20"/>
              </w:rPr>
              <w:t xml:space="preserve">2.3. Oferta rekreacyjno-kulturalna dopasowana do potrzeb mieszkańców oraz specyfiki dzielnicy </w:t>
            </w:r>
          </w:p>
        </w:tc>
        <w:tc>
          <w:tcPr>
            <w:tcW w:w="0" w:type="auto"/>
            <w:tcBorders>
              <w:top w:val="single" w:sz="4" w:space="0" w:color="000000"/>
              <w:left w:val="single" w:sz="4" w:space="0" w:color="000000"/>
              <w:bottom w:val="single" w:sz="4" w:space="0" w:color="000000"/>
              <w:right w:val="single" w:sz="4" w:space="0" w:color="000000"/>
            </w:tcBorders>
          </w:tcPr>
          <w:p w:rsidR="00052BFF" w:rsidRDefault="00052BFF" w:rsidP="007B034D">
            <w:pPr>
              <w:numPr>
                <w:ilvl w:val="0"/>
                <w:numId w:val="142"/>
              </w:numPr>
              <w:suppressAutoHyphens/>
              <w:rPr>
                <w:rFonts w:cs="TiepoloItcTEEBoo"/>
                <w:szCs w:val="20"/>
              </w:rPr>
            </w:pPr>
            <w:r>
              <w:rPr>
                <w:rFonts w:cs="TiepoloItcTEEBoo"/>
                <w:szCs w:val="20"/>
              </w:rPr>
              <w:t>identyfikacja i wspieranie lokalnych liderów oraz inicjatyw społecznych,</w:t>
            </w:r>
          </w:p>
          <w:p w:rsidR="00A32047" w:rsidRPr="00921348" w:rsidRDefault="00A32047" w:rsidP="007B034D">
            <w:pPr>
              <w:numPr>
                <w:ilvl w:val="0"/>
                <w:numId w:val="142"/>
              </w:numPr>
              <w:suppressAutoHyphens/>
              <w:rPr>
                <w:rFonts w:cs="TiepoloItcTEEBoo"/>
                <w:szCs w:val="20"/>
              </w:rPr>
            </w:pPr>
            <w:r w:rsidRPr="00921348">
              <w:rPr>
                <w:rFonts w:cs="TiepoloItcTEEBoo"/>
                <w:szCs w:val="20"/>
              </w:rPr>
              <w:t>zwiększenie oferty spędzenia czasu wolnego dla dzieci,</w:t>
            </w:r>
          </w:p>
          <w:p w:rsidR="00A32047" w:rsidRPr="00921348" w:rsidRDefault="00A32047" w:rsidP="007B034D">
            <w:pPr>
              <w:numPr>
                <w:ilvl w:val="0"/>
                <w:numId w:val="142"/>
              </w:numPr>
              <w:suppressAutoHyphens/>
              <w:rPr>
                <w:rFonts w:cs="TiepoloItcTEEBoo"/>
                <w:szCs w:val="20"/>
              </w:rPr>
            </w:pPr>
            <w:r w:rsidRPr="00921348">
              <w:rPr>
                <w:rFonts w:cs="TiepoloItcTEEBoo"/>
                <w:szCs w:val="20"/>
              </w:rPr>
              <w:t xml:space="preserve">utworzenie miejsc i oferty spędzania czasu wolnego dla mieszkańców w różnym wieku np. kawiarnia międzypokoleniowa działająca w formie podmiotu ekonomii społecznej, </w:t>
            </w:r>
          </w:p>
          <w:p w:rsidR="00A32047" w:rsidRPr="00921348" w:rsidRDefault="00A32047" w:rsidP="00026A43">
            <w:pPr>
              <w:numPr>
                <w:ilvl w:val="0"/>
                <w:numId w:val="142"/>
              </w:numPr>
              <w:suppressAutoHyphens/>
              <w:spacing w:after="40"/>
              <w:ind w:left="357" w:hanging="357"/>
              <w:rPr>
                <w:szCs w:val="20"/>
              </w:rPr>
            </w:pPr>
            <w:r w:rsidRPr="00921348">
              <w:rPr>
                <w:rFonts w:cs="TiepoloItcTEEBoo"/>
                <w:szCs w:val="20"/>
              </w:rPr>
              <w:t>zabezpieczenie i zapewnienie dobrego dostępu do miejsc rekreacji dla dzieci (boisko, plac zabaw)</w:t>
            </w:r>
            <w:r w:rsidR="00E41CDB">
              <w:rPr>
                <w:rFonts w:cs="TiepoloItcTEEBoo"/>
                <w:szCs w:val="20"/>
              </w:rPr>
              <w:t>.</w:t>
            </w:r>
          </w:p>
        </w:tc>
      </w:tr>
      <w:tr w:rsidR="00A32047" w:rsidRPr="00921348" w:rsidTr="00E90DD4">
        <w:tc>
          <w:tcPr>
            <w:tcW w:w="0" w:type="auto"/>
            <w:vMerge w:val="restart"/>
            <w:tcBorders>
              <w:top w:val="single" w:sz="4" w:space="0" w:color="000000"/>
              <w:left w:val="single" w:sz="4" w:space="0" w:color="000000"/>
              <w:bottom w:val="single" w:sz="4" w:space="0" w:color="000000"/>
            </w:tcBorders>
          </w:tcPr>
          <w:p w:rsidR="00A32047" w:rsidRPr="00B342CD" w:rsidRDefault="004B2EF6" w:rsidP="00E90DD4">
            <w:pPr>
              <w:pStyle w:val="Akapitzlist5"/>
              <w:spacing w:after="0" w:line="240" w:lineRule="auto"/>
              <w:ind w:left="20"/>
              <w:rPr>
                <w:rFonts w:asciiTheme="minorHAnsi" w:hAnsiTheme="minorHAnsi" w:cs="TiepoloItcTEEBoo"/>
                <w:b/>
                <w:sz w:val="20"/>
                <w:szCs w:val="20"/>
              </w:rPr>
            </w:pPr>
            <w:r w:rsidRPr="00B342CD">
              <w:rPr>
                <w:rFonts w:asciiTheme="minorHAnsi" w:hAnsiTheme="minorHAnsi" w:cs="TiepoloItcTEEBoo"/>
                <w:b/>
                <w:sz w:val="20"/>
                <w:szCs w:val="20"/>
              </w:rPr>
              <w:t xml:space="preserve">3. </w:t>
            </w:r>
            <w:r w:rsidR="00A32047" w:rsidRPr="00B342CD">
              <w:rPr>
                <w:rFonts w:asciiTheme="minorHAnsi" w:hAnsiTheme="minorHAnsi" w:cs="TiepoloItcTEEBoo"/>
                <w:b/>
                <w:sz w:val="20"/>
                <w:szCs w:val="20"/>
              </w:rPr>
              <w:t>Dobre warunki do ożywienia gospodarczego dzielnicy</w:t>
            </w:r>
          </w:p>
        </w:tc>
        <w:tc>
          <w:tcPr>
            <w:tcW w:w="0" w:type="auto"/>
            <w:tcBorders>
              <w:top w:val="single" w:sz="4" w:space="0" w:color="000000"/>
              <w:left w:val="single" w:sz="4" w:space="0" w:color="000000"/>
              <w:bottom w:val="single" w:sz="4" w:space="0" w:color="000000"/>
            </w:tcBorders>
          </w:tcPr>
          <w:p w:rsidR="00A32047" w:rsidRPr="00921348" w:rsidRDefault="00A32047" w:rsidP="00E90DD4">
            <w:pPr>
              <w:rPr>
                <w:rFonts w:cs="TiepoloItcTEEBoo"/>
                <w:szCs w:val="20"/>
              </w:rPr>
            </w:pPr>
            <w:r w:rsidRPr="00921348">
              <w:rPr>
                <w:rFonts w:cs="TiepoloItcTEEBoo"/>
                <w:szCs w:val="20"/>
              </w:rPr>
              <w:t>3.1. Zapewnienie korzystnych warunków do prowadzenia działalności gospodarczej</w:t>
            </w:r>
          </w:p>
        </w:tc>
        <w:tc>
          <w:tcPr>
            <w:tcW w:w="0" w:type="auto"/>
            <w:tcBorders>
              <w:top w:val="single" w:sz="4" w:space="0" w:color="000000"/>
              <w:left w:val="single" w:sz="4" w:space="0" w:color="000000"/>
              <w:bottom w:val="single" w:sz="4" w:space="0" w:color="000000"/>
              <w:right w:val="single" w:sz="4" w:space="0" w:color="000000"/>
            </w:tcBorders>
          </w:tcPr>
          <w:p w:rsidR="00A32047" w:rsidRPr="00921348" w:rsidRDefault="00A32047" w:rsidP="007B034D">
            <w:pPr>
              <w:numPr>
                <w:ilvl w:val="0"/>
                <w:numId w:val="113"/>
              </w:numPr>
              <w:suppressAutoHyphens/>
              <w:ind w:left="357" w:hanging="357"/>
              <w:rPr>
                <w:szCs w:val="20"/>
              </w:rPr>
            </w:pPr>
            <w:r w:rsidRPr="00921348">
              <w:rPr>
                <w:rFonts w:cs="TiepoloItcTEEBoo"/>
                <w:szCs w:val="20"/>
              </w:rPr>
              <w:t>zwiększenie dostępu do usług dla mieszkańców</w:t>
            </w:r>
            <w:r w:rsidR="00E41CDB">
              <w:rPr>
                <w:rFonts w:cs="TiepoloItcTEEBoo"/>
                <w:szCs w:val="20"/>
              </w:rPr>
              <w:t>.</w:t>
            </w:r>
          </w:p>
        </w:tc>
      </w:tr>
      <w:tr w:rsidR="00A32047" w:rsidRPr="00921348" w:rsidTr="00E90DD4">
        <w:tc>
          <w:tcPr>
            <w:tcW w:w="0" w:type="auto"/>
            <w:vMerge/>
            <w:tcBorders>
              <w:top w:val="single" w:sz="4" w:space="0" w:color="000000"/>
              <w:left w:val="single" w:sz="4" w:space="0" w:color="000000"/>
              <w:bottom w:val="single" w:sz="4" w:space="0" w:color="000000"/>
            </w:tcBorders>
          </w:tcPr>
          <w:p w:rsidR="00A32047" w:rsidRPr="00921348" w:rsidRDefault="00A32047" w:rsidP="00E90DD4">
            <w:pPr>
              <w:pStyle w:val="Akapitzlist5"/>
              <w:tabs>
                <w:tab w:val="num" w:pos="304"/>
              </w:tabs>
              <w:snapToGrid w:val="0"/>
              <w:spacing w:after="0" w:line="240" w:lineRule="auto"/>
              <w:ind w:left="20"/>
              <w:rPr>
                <w:rFonts w:asciiTheme="minorHAnsi" w:hAnsiTheme="minorHAnsi" w:cs="TiepoloItcTEEBoo"/>
                <w:sz w:val="20"/>
                <w:szCs w:val="20"/>
              </w:rPr>
            </w:pPr>
          </w:p>
        </w:tc>
        <w:tc>
          <w:tcPr>
            <w:tcW w:w="0" w:type="auto"/>
            <w:tcBorders>
              <w:top w:val="single" w:sz="4" w:space="0" w:color="000000"/>
              <w:left w:val="single" w:sz="4" w:space="0" w:color="000000"/>
              <w:bottom w:val="single" w:sz="4" w:space="0" w:color="000000"/>
            </w:tcBorders>
          </w:tcPr>
          <w:p w:rsidR="00A32047" w:rsidRPr="00921348" w:rsidRDefault="00A32047" w:rsidP="00E90DD4">
            <w:pPr>
              <w:rPr>
                <w:rFonts w:cs="TiepoloItcTEEBoo"/>
                <w:szCs w:val="20"/>
              </w:rPr>
            </w:pPr>
            <w:r w:rsidRPr="00921348">
              <w:rPr>
                <w:rFonts w:cs="TiepoloItcTEEBoo"/>
                <w:szCs w:val="20"/>
              </w:rPr>
              <w:t>3.2. Prowadzenie aktywnej promocji gospodarczej</w:t>
            </w:r>
          </w:p>
        </w:tc>
        <w:tc>
          <w:tcPr>
            <w:tcW w:w="0" w:type="auto"/>
            <w:tcBorders>
              <w:top w:val="single" w:sz="4" w:space="0" w:color="000000"/>
              <w:left w:val="single" w:sz="4" w:space="0" w:color="000000"/>
              <w:bottom w:val="single" w:sz="4" w:space="0" w:color="000000"/>
              <w:right w:val="single" w:sz="4" w:space="0" w:color="000000"/>
            </w:tcBorders>
          </w:tcPr>
          <w:p w:rsidR="00A32047" w:rsidRPr="00921348" w:rsidRDefault="00A32047" w:rsidP="007B034D">
            <w:pPr>
              <w:numPr>
                <w:ilvl w:val="0"/>
                <w:numId w:val="113"/>
              </w:numPr>
              <w:suppressAutoHyphens/>
              <w:ind w:left="357" w:hanging="357"/>
              <w:rPr>
                <w:szCs w:val="20"/>
              </w:rPr>
            </w:pPr>
            <w:r w:rsidRPr="00921348">
              <w:rPr>
                <w:rFonts w:cs="TiepoloItcTEEBoo"/>
                <w:szCs w:val="20"/>
              </w:rPr>
              <w:t>zmiana wizerunku dzielnicy Bobrek</w:t>
            </w:r>
            <w:r w:rsidR="00E41CDB">
              <w:rPr>
                <w:rFonts w:cs="TiepoloItcTEEBoo"/>
                <w:szCs w:val="20"/>
              </w:rPr>
              <w:t>.</w:t>
            </w:r>
          </w:p>
        </w:tc>
      </w:tr>
      <w:tr w:rsidR="00A32047" w:rsidRPr="00921348" w:rsidTr="00E90DD4">
        <w:tc>
          <w:tcPr>
            <w:tcW w:w="0" w:type="auto"/>
            <w:vMerge w:val="restart"/>
            <w:tcBorders>
              <w:top w:val="single" w:sz="4" w:space="0" w:color="000000"/>
              <w:left w:val="single" w:sz="4" w:space="0" w:color="000000"/>
              <w:bottom w:val="single" w:sz="4" w:space="0" w:color="000000"/>
            </w:tcBorders>
          </w:tcPr>
          <w:p w:rsidR="00A32047" w:rsidRDefault="004B2EF6" w:rsidP="00E90DD4">
            <w:pPr>
              <w:pStyle w:val="Akapitzlist5"/>
              <w:spacing w:after="0" w:line="240" w:lineRule="auto"/>
              <w:ind w:left="20"/>
              <w:rPr>
                <w:rFonts w:asciiTheme="minorHAnsi" w:hAnsiTheme="minorHAnsi" w:cs="TiepoloItcTEEBoo"/>
                <w:b/>
                <w:sz w:val="20"/>
                <w:szCs w:val="20"/>
              </w:rPr>
            </w:pPr>
            <w:r w:rsidRPr="00B342CD">
              <w:rPr>
                <w:rFonts w:asciiTheme="minorHAnsi" w:hAnsiTheme="minorHAnsi" w:cs="TiepoloItcTEEBoo"/>
                <w:b/>
                <w:sz w:val="20"/>
                <w:szCs w:val="20"/>
              </w:rPr>
              <w:t xml:space="preserve">4. </w:t>
            </w:r>
            <w:r w:rsidR="00A32047" w:rsidRPr="00B342CD">
              <w:rPr>
                <w:rFonts w:asciiTheme="minorHAnsi" w:hAnsiTheme="minorHAnsi" w:cs="TiepoloItcTEEBoo"/>
                <w:b/>
                <w:sz w:val="20"/>
                <w:szCs w:val="20"/>
              </w:rPr>
              <w:t>Poprawa stanu środowiska naturalnego</w:t>
            </w:r>
          </w:p>
          <w:p w:rsidR="002B6CC5" w:rsidRPr="00B342CD" w:rsidRDefault="002B6CC5" w:rsidP="00E90DD4">
            <w:pPr>
              <w:pStyle w:val="Akapitzlist5"/>
              <w:spacing w:after="0" w:line="240" w:lineRule="auto"/>
              <w:ind w:left="20"/>
              <w:rPr>
                <w:rFonts w:asciiTheme="minorHAnsi" w:hAnsiTheme="minorHAnsi" w:cs="TiepoloItcTEEBoo"/>
                <w:b/>
                <w:sz w:val="20"/>
                <w:szCs w:val="20"/>
              </w:rPr>
            </w:pPr>
          </w:p>
        </w:tc>
        <w:tc>
          <w:tcPr>
            <w:tcW w:w="0" w:type="auto"/>
            <w:tcBorders>
              <w:top w:val="single" w:sz="4" w:space="0" w:color="000000"/>
              <w:left w:val="single" w:sz="4" w:space="0" w:color="000000"/>
              <w:bottom w:val="single" w:sz="4" w:space="0" w:color="000000"/>
            </w:tcBorders>
          </w:tcPr>
          <w:p w:rsidR="00A32047" w:rsidRPr="00921348" w:rsidRDefault="00A32047" w:rsidP="00E90DD4">
            <w:pPr>
              <w:pStyle w:val="Indeks"/>
              <w:suppressLineNumbers w:val="0"/>
              <w:suppressAutoHyphens w:val="0"/>
              <w:rPr>
                <w:rFonts w:cs="TiepoloItcTEEBoo"/>
                <w:szCs w:val="20"/>
              </w:rPr>
            </w:pPr>
            <w:r w:rsidRPr="00921348">
              <w:rPr>
                <w:rFonts w:cs="TiepoloItcTEEBoo"/>
                <w:szCs w:val="20"/>
              </w:rPr>
              <w:t>4.1. Ograniczenie problemu niskiej emisji</w:t>
            </w:r>
          </w:p>
        </w:tc>
        <w:tc>
          <w:tcPr>
            <w:tcW w:w="0" w:type="auto"/>
            <w:tcBorders>
              <w:top w:val="single" w:sz="4" w:space="0" w:color="000000"/>
              <w:left w:val="single" w:sz="4" w:space="0" w:color="000000"/>
              <w:bottom w:val="single" w:sz="4" w:space="0" w:color="000000"/>
              <w:right w:val="single" w:sz="4" w:space="0" w:color="000000"/>
            </w:tcBorders>
          </w:tcPr>
          <w:p w:rsidR="00A32047" w:rsidRPr="00921348" w:rsidRDefault="00A32047" w:rsidP="007B034D">
            <w:pPr>
              <w:numPr>
                <w:ilvl w:val="0"/>
                <w:numId w:val="113"/>
              </w:numPr>
              <w:suppressAutoHyphens/>
              <w:ind w:left="357" w:hanging="357"/>
              <w:rPr>
                <w:szCs w:val="20"/>
              </w:rPr>
            </w:pPr>
            <w:r w:rsidRPr="00921348">
              <w:rPr>
                <w:rFonts w:cs="TiepoloItcTEEBoo"/>
                <w:szCs w:val="20"/>
              </w:rPr>
              <w:t>przeciwdziałanie zjawisku niskiej emisji</w:t>
            </w:r>
            <w:r w:rsidR="00E41CDB">
              <w:rPr>
                <w:rFonts w:cs="TiepoloItcTEEBoo"/>
                <w:szCs w:val="20"/>
              </w:rPr>
              <w:t>.</w:t>
            </w:r>
          </w:p>
        </w:tc>
      </w:tr>
      <w:tr w:rsidR="00A32047" w:rsidRPr="00921348" w:rsidTr="00E90DD4">
        <w:tc>
          <w:tcPr>
            <w:tcW w:w="0" w:type="auto"/>
            <w:vMerge/>
            <w:tcBorders>
              <w:top w:val="single" w:sz="4" w:space="0" w:color="000000"/>
              <w:left w:val="single" w:sz="4" w:space="0" w:color="000000"/>
              <w:bottom w:val="single" w:sz="4" w:space="0" w:color="000000"/>
            </w:tcBorders>
          </w:tcPr>
          <w:p w:rsidR="00A32047" w:rsidRPr="00921348" w:rsidRDefault="00A32047" w:rsidP="00E90DD4">
            <w:pPr>
              <w:tabs>
                <w:tab w:val="num" w:pos="304"/>
              </w:tabs>
              <w:snapToGrid w:val="0"/>
              <w:ind w:left="20"/>
              <w:rPr>
                <w:rFonts w:cs="TiepoloItcTEEBoo"/>
                <w:szCs w:val="20"/>
              </w:rPr>
            </w:pPr>
          </w:p>
        </w:tc>
        <w:tc>
          <w:tcPr>
            <w:tcW w:w="0" w:type="auto"/>
            <w:tcBorders>
              <w:top w:val="single" w:sz="4" w:space="0" w:color="000000"/>
              <w:left w:val="single" w:sz="4" w:space="0" w:color="000000"/>
              <w:bottom w:val="single" w:sz="4" w:space="0" w:color="000000"/>
            </w:tcBorders>
          </w:tcPr>
          <w:p w:rsidR="00A32047" w:rsidRPr="00921348" w:rsidRDefault="00A32047" w:rsidP="00E90DD4">
            <w:pPr>
              <w:rPr>
                <w:rFonts w:cs="TiepoloItcTEEBoo"/>
                <w:szCs w:val="20"/>
              </w:rPr>
            </w:pPr>
            <w:r w:rsidRPr="00921348">
              <w:rPr>
                <w:rFonts w:cs="TiepoloItcTEEBoo"/>
                <w:szCs w:val="20"/>
              </w:rPr>
              <w:t>4.2. Wysoki poziom świadomości ekologicznej mieszkańców</w:t>
            </w:r>
          </w:p>
        </w:tc>
        <w:tc>
          <w:tcPr>
            <w:tcW w:w="0" w:type="auto"/>
            <w:tcBorders>
              <w:top w:val="single" w:sz="4" w:space="0" w:color="000000"/>
              <w:left w:val="single" w:sz="4" w:space="0" w:color="000000"/>
              <w:bottom w:val="single" w:sz="4" w:space="0" w:color="000000"/>
              <w:right w:val="single" w:sz="4" w:space="0" w:color="000000"/>
            </w:tcBorders>
          </w:tcPr>
          <w:p w:rsidR="002B6CC5" w:rsidRPr="00CE60F7" w:rsidRDefault="00A32047" w:rsidP="00B342CD">
            <w:pPr>
              <w:numPr>
                <w:ilvl w:val="0"/>
                <w:numId w:val="113"/>
              </w:numPr>
              <w:suppressAutoHyphens/>
              <w:ind w:left="357" w:hanging="357"/>
              <w:rPr>
                <w:szCs w:val="20"/>
              </w:rPr>
            </w:pPr>
            <w:r w:rsidRPr="00921348">
              <w:rPr>
                <w:rFonts w:cs="TiepoloItcTEEBoo"/>
                <w:szCs w:val="20"/>
              </w:rPr>
              <w:t>poprawa stanu środowiska naturalnego oraz ograniczenie występujących z tego powodu uciążliwości dla mieszkańców</w:t>
            </w:r>
            <w:r w:rsidR="00E41CDB">
              <w:rPr>
                <w:rFonts w:cs="TiepoloItcTEEBoo"/>
                <w:szCs w:val="20"/>
              </w:rPr>
              <w:t>.</w:t>
            </w:r>
          </w:p>
        </w:tc>
      </w:tr>
      <w:tr w:rsidR="00A32047" w:rsidRPr="00921348" w:rsidTr="00E90DD4">
        <w:tc>
          <w:tcPr>
            <w:tcW w:w="0" w:type="auto"/>
            <w:tcBorders>
              <w:top w:val="single" w:sz="4" w:space="0" w:color="000000"/>
              <w:left w:val="single" w:sz="4" w:space="0" w:color="000000"/>
              <w:bottom w:val="single" w:sz="4" w:space="0" w:color="000000"/>
            </w:tcBorders>
          </w:tcPr>
          <w:p w:rsidR="00A32047" w:rsidRPr="00B342CD" w:rsidRDefault="004B2EF6" w:rsidP="00E90DD4">
            <w:pPr>
              <w:pStyle w:val="Akapitzlist5"/>
              <w:spacing w:after="0" w:line="240" w:lineRule="auto"/>
              <w:ind w:left="20"/>
              <w:rPr>
                <w:rFonts w:asciiTheme="minorHAnsi" w:hAnsiTheme="minorHAnsi" w:cs="TiepoloItcTEEBoo"/>
                <w:b/>
                <w:sz w:val="20"/>
                <w:szCs w:val="20"/>
              </w:rPr>
            </w:pPr>
            <w:r w:rsidRPr="00B342CD">
              <w:rPr>
                <w:rFonts w:asciiTheme="minorHAnsi" w:hAnsiTheme="minorHAnsi" w:cs="TiepoloItcTEEBoo"/>
                <w:b/>
                <w:sz w:val="20"/>
                <w:szCs w:val="20"/>
              </w:rPr>
              <w:lastRenderedPageBreak/>
              <w:t xml:space="preserve">5. </w:t>
            </w:r>
            <w:r w:rsidR="00A32047" w:rsidRPr="00B342CD">
              <w:rPr>
                <w:rFonts w:asciiTheme="minorHAnsi" w:hAnsiTheme="minorHAnsi" w:cs="TiepoloItcTEEBoo"/>
                <w:b/>
                <w:sz w:val="20"/>
                <w:szCs w:val="20"/>
              </w:rPr>
              <w:t>Wysoki standard warunków mieszkaniowych</w:t>
            </w:r>
          </w:p>
        </w:tc>
        <w:tc>
          <w:tcPr>
            <w:tcW w:w="0" w:type="auto"/>
            <w:tcBorders>
              <w:top w:val="single" w:sz="4" w:space="0" w:color="000000"/>
              <w:left w:val="single" w:sz="4" w:space="0" w:color="000000"/>
              <w:bottom w:val="single" w:sz="4" w:space="0" w:color="000000"/>
            </w:tcBorders>
          </w:tcPr>
          <w:p w:rsidR="00A32047" w:rsidRPr="00921348" w:rsidRDefault="00A32047" w:rsidP="00E90DD4">
            <w:pPr>
              <w:rPr>
                <w:rFonts w:cs="TiepoloItcTEEBoo"/>
                <w:szCs w:val="20"/>
              </w:rPr>
            </w:pPr>
            <w:r w:rsidRPr="00921348">
              <w:rPr>
                <w:rFonts w:cs="TiepoloItcTEEBoo"/>
                <w:szCs w:val="20"/>
              </w:rPr>
              <w:t>5.1. Budynki mieszkaniowe odpowiadające potrzebom mieszkańców</w:t>
            </w:r>
          </w:p>
        </w:tc>
        <w:tc>
          <w:tcPr>
            <w:tcW w:w="0" w:type="auto"/>
            <w:tcBorders>
              <w:top w:val="single" w:sz="4" w:space="0" w:color="000000"/>
              <w:left w:val="single" w:sz="4" w:space="0" w:color="000000"/>
              <w:bottom w:val="single" w:sz="4" w:space="0" w:color="000000"/>
              <w:right w:val="single" w:sz="4" w:space="0" w:color="000000"/>
            </w:tcBorders>
          </w:tcPr>
          <w:p w:rsidR="00A32047" w:rsidRPr="00921348" w:rsidRDefault="00A32047" w:rsidP="007B034D">
            <w:pPr>
              <w:numPr>
                <w:ilvl w:val="0"/>
                <w:numId w:val="113"/>
              </w:numPr>
              <w:suppressAutoHyphens/>
              <w:ind w:left="345" w:hanging="345"/>
              <w:rPr>
                <w:rFonts w:cs="TiepoloItcTEEBoo"/>
                <w:szCs w:val="20"/>
              </w:rPr>
            </w:pPr>
            <w:r w:rsidRPr="00921348">
              <w:rPr>
                <w:rFonts w:cs="TiepoloItcTEEBoo"/>
                <w:szCs w:val="20"/>
              </w:rPr>
              <w:t xml:space="preserve">zagospodarowanie pustostanów, </w:t>
            </w:r>
          </w:p>
          <w:p w:rsidR="00A32047" w:rsidRPr="00921348" w:rsidRDefault="00A32047" w:rsidP="007B034D">
            <w:pPr>
              <w:numPr>
                <w:ilvl w:val="0"/>
                <w:numId w:val="113"/>
              </w:numPr>
              <w:suppressAutoHyphens/>
              <w:ind w:left="345" w:hanging="345"/>
              <w:rPr>
                <w:szCs w:val="20"/>
              </w:rPr>
            </w:pPr>
            <w:r w:rsidRPr="00921348">
              <w:rPr>
                <w:rFonts w:cs="TiepoloItcTEEBoo"/>
                <w:szCs w:val="20"/>
              </w:rPr>
              <w:t>poprawa stanu technicznego i podłączenie do mediów budynków mieszkalnych</w:t>
            </w:r>
            <w:r w:rsidR="00E41CDB">
              <w:rPr>
                <w:rFonts w:cs="TiepoloItcTEEBoo"/>
                <w:szCs w:val="20"/>
              </w:rPr>
              <w:t>.</w:t>
            </w:r>
          </w:p>
        </w:tc>
      </w:tr>
      <w:tr w:rsidR="00A32047" w:rsidRPr="00921348" w:rsidTr="00E90DD4">
        <w:tc>
          <w:tcPr>
            <w:tcW w:w="0" w:type="auto"/>
            <w:tcBorders>
              <w:top w:val="single" w:sz="4" w:space="0" w:color="000000"/>
              <w:left w:val="single" w:sz="4" w:space="0" w:color="000000"/>
              <w:bottom w:val="single" w:sz="4" w:space="0" w:color="000000"/>
            </w:tcBorders>
          </w:tcPr>
          <w:p w:rsidR="00A32047" w:rsidRPr="00B342CD" w:rsidRDefault="004B2EF6" w:rsidP="00E90DD4">
            <w:pPr>
              <w:pStyle w:val="Akapitzlist5"/>
              <w:spacing w:after="0" w:line="240" w:lineRule="auto"/>
              <w:ind w:left="20"/>
              <w:rPr>
                <w:rFonts w:asciiTheme="minorHAnsi" w:hAnsiTheme="minorHAnsi" w:cs="TiepoloItcTEEBoo"/>
                <w:b/>
                <w:sz w:val="20"/>
                <w:szCs w:val="20"/>
              </w:rPr>
            </w:pPr>
            <w:r w:rsidRPr="00B342CD">
              <w:rPr>
                <w:rFonts w:asciiTheme="minorHAnsi" w:hAnsiTheme="minorHAnsi" w:cs="TiepoloItcTEEBoo"/>
                <w:b/>
                <w:sz w:val="20"/>
                <w:szCs w:val="20"/>
              </w:rPr>
              <w:t xml:space="preserve">6. </w:t>
            </w:r>
            <w:r w:rsidR="00A32047" w:rsidRPr="00B342CD">
              <w:rPr>
                <w:rFonts w:asciiTheme="minorHAnsi" w:hAnsiTheme="minorHAnsi" w:cs="TiepoloItcTEEBoo"/>
                <w:b/>
                <w:sz w:val="20"/>
                <w:szCs w:val="20"/>
              </w:rPr>
              <w:t>Przestrzenie publiczne odpowiadające potrzebom mieszkańców</w:t>
            </w:r>
          </w:p>
        </w:tc>
        <w:tc>
          <w:tcPr>
            <w:tcW w:w="0" w:type="auto"/>
            <w:tcBorders>
              <w:top w:val="single" w:sz="4" w:space="0" w:color="000000"/>
              <w:left w:val="single" w:sz="4" w:space="0" w:color="000000"/>
              <w:bottom w:val="single" w:sz="4" w:space="0" w:color="000000"/>
            </w:tcBorders>
          </w:tcPr>
          <w:p w:rsidR="00A32047" w:rsidRPr="00921348" w:rsidRDefault="00A32047" w:rsidP="00CE60F7">
            <w:pPr>
              <w:rPr>
                <w:rFonts w:cs="TiepoloItcTEEBoo"/>
                <w:szCs w:val="20"/>
              </w:rPr>
            </w:pPr>
            <w:r w:rsidRPr="00921348">
              <w:rPr>
                <w:rFonts w:cs="TiepoloItcTEEBoo"/>
                <w:szCs w:val="20"/>
              </w:rPr>
              <w:t>6.1. Zmodernizowane przestrzenie publiczne dopasowanie do potrzeb różnych grup społecznych i</w:t>
            </w:r>
            <w:r w:rsidR="00CE60F7">
              <w:rPr>
                <w:rFonts w:cs="TiepoloItcTEEBoo"/>
                <w:szCs w:val="20"/>
              </w:rPr>
              <w:t> </w:t>
            </w:r>
            <w:r w:rsidRPr="00921348">
              <w:rPr>
                <w:rFonts w:cs="TiepoloItcTEEBoo"/>
                <w:szCs w:val="20"/>
              </w:rPr>
              <w:t>wiekowych</w:t>
            </w:r>
          </w:p>
        </w:tc>
        <w:tc>
          <w:tcPr>
            <w:tcW w:w="0" w:type="auto"/>
            <w:tcBorders>
              <w:top w:val="single" w:sz="4" w:space="0" w:color="000000"/>
              <w:left w:val="single" w:sz="4" w:space="0" w:color="000000"/>
              <w:bottom w:val="single" w:sz="4" w:space="0" w:color="000000"/>
              <w:right w:val="single" w:sz="4" w:space="0" w:color="000000"/>
            </w:tcBorders>
          </w:tcPr>
          <w:p w:rsidR="00A32047" w:rsidRPr="00921348" w:rsidRDefault="00A32047" w:rsidP="007B034D">
            <w:pPr>
              <w:numPr>
                <w:ilvl w:val="0"/>
                <w:numId w:val="128"/>
              </w:numPr>
              <w:suppressAutoHyphens/>
              <w:ind w:left="345" w:hanging="345"/>
              <w:rPr>
                <w:rFonts w:cs="TiepoloItcTEEBoo"/>
                <w:szCs w:val="20"/>
              </w:rPr>
            </w:pPr>
            <w:r w:rsidRPr="00921348">
              <w:rPr>
                <w:rFonts w:cs="TiepoloItcTEEBoo"/>
                <w:szCs w:val="20"/>
              </w:rPr>
              <w:t>utworzenie sieci ścieżek i dróg rowerowych,</w:t>
            </w:r>
          </w:p>
          <w:p w:rsidR="00A32047" w:rsidRPr="00921348" w:rsidRDefault="00A32047" w:rsidP="007B034D">
            <w:pPr>
              <w:numPr>
                <w:ilvl w:val="0"/>
                <w:numId w:val="128"/>
              </w:numPr>
              <w:suppressAutoHyphens/>
              <w:ind w:left="345" w:hanging="345"/>
              <w:rPr>
                <w:szCs w:val="20"/>
              </w:rPr>
            </w:pPr>
            <w:r w:rsidRPr="00921348">
              <w:rPr>
                <w:rFonts w:cs="TiepoloItcTEEBoo"/>
                <w:szCs w:val="20"/>
              </w:rPr>
              <w:t>utworzenie funkcjonalnych przestrzeni publicznych z uwzględnieniem potrzeb mieszkańców dzielnicy Bobrek</w:t>
            </w:r>
            <w:r w:rsidR="00E41CDB">
              <w:rPr>
                <w:rFonts w:cs="TiepoloItcTEEBoo"/>
                <w:szCs w:val="20"/>
              </w:rPr>
              <w:t>.</w:t>
            </w:r>
          </w:p>
        </w:tc>
      </w:tr>
    </w:tbl>
    <w:p w:rsidR="00A32047" w:rsidRPr="00AE19F2" w:rsidRDefault="00F26687" w:rsidP="00F26687">
      <w:pPr>
        <w:pStyle w:val="Nagwek5"/>
        <w:spacing w:before="0" w:after="0"/>
        <w:rPr>
          <w:b w:val="0"/>
        </w:rPr>
      </w:pPr>
      <w:r w:rsidRPr="00AE19F2">
        <w:rPr>
          <w:rFonts w:asciiTheme="minorHAnsi" w:eastAsia="Calibri" w:hAnsiTheme="minorHAnsi"/>
          <w:b w:val="0"/>
          <w:sz w:val="18"/>
          <w:szCs w:val="20"/>
        </w:rPr>
        <w:t>Źródło:</w:t>
      </w:r>
      <w:r w:rsidRPr="00AE19F2">
        <w:rPr>
          <w:rFonts w:asciiTheme="minorHAnsi" w:eastAsia="Calibri" w:hAnsiTheme="minorHAnsi"/>
          <w:sz w:val="18"/>
          <w:szCs w:val="20"/>
        </w:rPr>
        <w:t xml:space="preserve"> </w:t>
      </w:r>
      <w:r w:rsidRPr="00AE19F2">
        <w:rPr>
          <w:rFonts w:asciiTheme="minorHAnsi" w:eastAsia="Calibri" w:hAnsiTheme="minorHAnsi"/>
          <w:b w:val="0"/>
          <w:sz w:val="18"/>
          <w:szCs w:val="20"/>
        </w:rPr>
        <w:t>Opracowanie własne</w:t>
      </w:r>
      <w:r w:rsidR="00063297" w:rsidRPr="00AE19F2">
        <w:rPr>
          <w:rFonts w:asciiTheme="minorHAnsi" w:eastAsia="Calibri" w:hAnsiTheme="minorHAnsi"/>
          <w:b w:val="0"/>
          <w:sz w:val="18"/>
          <w:szCs w:val="20"/>
        </w:rPr>
        <w:t xml:space="preserve"> na podstawie Raportu ze spotkań warsztatowych w dzielnicy Bobrek</w:t>
      </w:r>
    </w:p>
    <w:p w:rsidR="00A32047" w:rsidRPr="006A5AF6" w:rsidRDefault="006A5AF6" w:rsidP="00C85CF1">
      <w:pPr>
        <w:pStyle w:val="Nagwek5"/>
        <w:jc w:val="center"/>
        <w:rPr>
          <w:rFonts w:cs="Calibri"/>
          <w:i w:val="0"/>
          <w:iCs w:val="0"/>
          <w:color w:val="0070C0"/>
        </w:rPr>
      </w:pPr>
      <w:r w:rsidRPr="006A5AF6">
        <w:rPr>
          <w:color w:val="0070C0"/>
        </w:rPr>
        <w:t>KOLONIA ZGORZELEC</w:t>
      </w:r>
    </w:p>
    <w:p w:rsidR="00A32047" w:rsidRDefault="00A32047" w:rsidP="00A32047">
      <w:pPr>
        <w:pStyle w:val="Pa6"/>
        <w:jc w:val="center"/>
        <w:rPr>
          <w:rFonts w:ascii="Calibri" w:hAnsi="Calibri" w:cs="Calibri"/>
          <w:b/>
          <w:bCs/>
          <w:i/>
          <w:iCs/>
          <w:sz w:val="22"/>
        </w:rPr>
      </w:pPr>
      <w:r w:rsidRPr="003F306B">
        <w:rPr>
          <w:rFonts w:ascii="Calibri" w:hAnsi="Calibri" w:cs="Calibri"/>
          <w:b/>
          <w:bCs/>
          <w:i/>
          <w:iCs/>
          <w:sz w:val="22"/>
        </w:rPr>
        <w:t>Kolonia Zgorzelec to zaciszne i spokojne osiedle korzystające z potencjału dziedzictwa historycznego Śląska oraz nowoczesnych rozwiązań w celu zapewnienia mieszkańcom bezpieczeństwa, wysokich standardów mieszkaniowych, a także życia oraz oferty rekreacyjnej.</w:t>
      </w:r>
    </w:p>
    <w:p w:rsidR="003F306B" w:rsidRPr="003F306B" w:rsidRDefault="003F306B" w:rsidP="003F306B">
      <w:pPr>
        <w:rPr>
          <w:lang w:eastAsia="ar-SA"/>
        </w:rPr>
      </w:pPr>
    </w:p>
    <w:p w:rsidR="00A32047" w:rsidRPr="00416692" w:rsidRDefault="00416692" w:rsidP="00416692">
      <w:pPr>
        <w:pStyle w:val="Legenda"/>
        <w:keepNext/>
      </w:pPr>
      <w:bookmarkStart w:id="7842" w:name="_Toc202771120"/>
      <w:r w:rsidRPr="00F07D1B">
        <w:t xml:space="preserve">Tabela </w:t>
      </w:r>
      <w:r w:rsidR="003972D8" w:rsidRPr="00F07D1B">
        <w:fldChar w:fldCharType="begin"/>
      </w:r>
      <w:r w:rsidRPr="00F07D1B">
        <w:instrText xml:space="preserve"> SEQ Tabela \* ARABIC </w:instrText>
      </w:r>
      <w:r w:rsidR="003972D8" w:rsidRPr="00F07D1B">
        <w:fldChar w:fldCharType="separate"/>
      </w:r>
      <w:r w:rsidR="00413FFE">
        <w:rPr>
          <w:noProof/>
        </w:rPr>
        <w:t>26</w:t>
      </w:r>
      <w:r w:rsidR="003972D8" w:rsidRPr="00F07D1B">
        <w:fldChar w:fldCharType="end"/>
      </w:r>
      <w:r w:rsidRPr="00F07D1B">
        <w:t xml:space="preserve">. </w:t>
      </w:r>
      <w:r w:rsidRPr="00725021">
        <w:t>Kolonia Zgorzelec – cele i kierunki</w:t>
      </w:r>
      <w:bookmarkEnd w:id="7842"/>
    </w:p>
    <w:tbl>
      <w:tblPr>
        <w:tblW w:w="0" w:type="auto"/>
        <w:tblInd w:w="-20" w:type="dxa"/>
        <w:tblLook w:val="0000"/>
      </w:tblPr>
      <w:tblGrid>
        <w:gridCol w:w="2113"/>
        <w:gridCol w:w="2977"/>
        <w:gridCol w:w="4216"/>
      </w:tblGrid>
      <w:tr w:rsidR="00A32047" w:rsidRPr="000E3421" w:rsidTr="000E3421">
        <w:trPr>
          <w:tblHeader/>
        </w:trPr>
        <w:tc>
          <w:tcPr>
            <w:tcW w:w="2113" w:type="dxa"/>
            <w:tcBorders>
              <w:top w:val="single" w:sz="4" w:space="0" w:color="000000"/>
              <w:left w:val="single" w:sz="4" w:space="0" w:color="000000"/>
              <w:bottom w:val="single" w:sz="4" w:space="0" w:color="000000"/>
            </w:tcBorders>
            <w:shd w:val="clear" w:color="auto" w:fill="99CCFF"/>
          </w:tcPr>
          <w:p w:rsidR="00A32047" w:rsidRPr="000E3421" w:rsidRDefault="002C6A6A" w:rsidP="00741682">
            <w:pPr>
              <w:spacing w:before="60" w:after="60"/>
              <w:jc w:val="center"/>
              <w:rPr>
                <w:rFonts w:cs="TiepoloItcTEEBoo"/>
                <w:b/>
                <w:bCs/>
                <w:szCs w:val="20"/>
              </w:rPr>
            </w:pPr>
            <w:r w:rsidRPr="000E3421">
              <w:rPr>
                <w:rFonts w:cs="TiepoloItcTEEBoo"/>
                <w:b/>
                <w:bCs/>
                <w:szCs w:val="20"/>
              </w:rPr>
              <w:t>CELE STRATEGICZNE</w:t>
            </w:r>
          </w:p>
        </w:tc>
        <w:tc>
          <w:tcPr>
            <w:tcW w:w="2977" w:type="dxa"/>
            <w:tcBorders>
              <w:top w:val="single" w:sz="4" w:space="0" w:color="000000"/>
              <w:left w:val="single" w:sz="4" w:space="0" w:color="000000"/>
              <w:bottom w:val="single" w:sz="4" w:space="0" w:color="000000"/>
            </w:tcBorders>
            <w:shd w:val="clear" w:color="auto" w:fill="99CCFF"/>
          </w:tcPr>
          <w:p w:rsidR="00A32047" w:rsidRPr="000E3421" w:rsidRDefault="002C6A6A" w:rsidP="00741682">
            <w:pPr>
              <w:spacing w:before="60" w:after="60"/>
              <w:jc w:val="center"/>
              <w:rPr>
                <w:rFonts w:cs="TiepoloItcTEEBoo"/>
                <w:b/>
                <w:bCs/>
                <w:szCs w:val="20"/>
              </w:rPr>
            </w:pPr>
            <w:r w:rsidRPr="000E3421">
              <w:rPr>
                <w:rFonts w:cs="TiepoloItcTEEBoo"/>
                <w:b/>
                <w:bCs/>
                <w:szCs w:val="20"/>
              </w:rPr>
              <w:t>CELE OPERACYJNE</w:t>
            </w:r>
          </w:p>
        </w:tc>
        <w:tc>
          <w:tcPr>
            <w:tcW w:w="4216" w:type="dxa"/>
            <w:tcBorders>
              <w:top w:val="single" w:sz="4" w:space="0" w:color="000000"/>
              <w:left w:val="single" w:sz="4" w:space="0" w:color="000000"/>
              <w:bottom w:val="single" w:sz="4" w:space="0" w:color="000000"/>
              <w:right w:val="single" w:sz="4" w:space="0" w:color="000000"/>
            </w:tcBorders>
            <w:shd w:val="clear" w:color="auto" w:fill="99CCFF"/>
          </w:tcPr>
          <w:p w:rsidR="00A32047" w:rsidRPr="000E3421" w:rsidRDefault="002C6A6A" w:rsidP="00741682">
            <w:pPr>
              <w:spacing w:before="60" w:after="60"/>
              <w:jc w:val="center"/>
              <w:rPr>
                <w:szCs w:val="20"/>
              </w:rPr>
            </w:pPr>
            <w:r w:rsidRPr="000E3421">
              <w:rPr>
                <w:rFonts w:cs="TiepoloItcTEEBoo"/>
                <w:b/>
                <w:bCs/>
                <w:szCs w:val="20"/>
              </w:rPr>
              <w:t>KIERUNKI DZIAŁANIA</w:t>
            </w:r>
          </w:p>
        </w:tc>
      </w:tr>
      <w:tr w:rsidR="00A32047" w:rsidRPr="000E3421" w:rsidTr="00E90DD4">
        <w:trPr>
          <w:cantSplit/>
        </w:trPr>
        <w:tc>
          <w:tcPr>
            <w:tcW w:w="2113" w:type="dxa"/>
            <w:vMerge w:val="restart"/>
            <w:tcBorders>
              <w:top w:val="single" w:sz="4" w:space="0" w:color="000000"/>
              <w:left w:val="single" w:sz="4" w:space="0" w:color="000000"/>
              <w:bottom w:val="single" w:sz="4" w:space="0" w:color="000000"/>
            </w:tcBorders>
          </w:tcPr>
          <w:p w:rsidR="00A32047" w:rsidRPr="00757728" w:rsidRDefault="007A3A8C" w:rsidP="00E90DD4">
            <w:pPr>
              <w:pStyle w:val="Akapitzlist5"/>
              <w:tabs>
                <w:tab w:val="left" w:pos="20"/>
                <w:tab w:val="left" w:pos="305"/>
              </w:tabs>
              <w:spacing w:after="0" w:line="240" w:lineRule="auto"/>
              <w:ind w:left="20"/>
              <w:rPr>
                <w:rFonts w:asciiTheme="minorHAnsi" w:hAnsiTheme="minorHAnsi" w:cs="TiepoloItcTEEBoo"/>
                <w:b/>
                <w:sz w:val="20"/>
                <w:szCs w:val="20"/>
              </w:rPr>
            </w:pPr>
            <w:r w:rsidRPr="00757728">
              <w:rPr>
                <w:rFonts w:asciiTheme="minorHAnsi" w:hAnsiTheme="minorHAnsi" w:cs="TiepoloItcTEEBoo"/>
                <w:b/>
                <w:sz w:val="20"/>
                <w:szCs w:val="20"/>
              </w:rPr>
              <w:t xml:space="preserve">1. </w:t>
            </w:r>
            <w:r w:rsidR="00A32047" w:rsidRPr="00757728">
              <w:rPr>
                <w:rFonts w:asciiTheme="minorHAnsi" w:hAnsiTheme="minorHAnsi" w:cs="TiepoloItcTEEBoo"/>
                <w:b/>
                <w:sz w:val="20"/>
                <w:szCs w:val="20"/>
              </w:rPr>
              <w:t xml:space="preserve">Odpowiednie warunki dla wszechstronnego rozwoju mieszkańców osiedla </w:t>
            </w:r>
          </w:p>
        </w:tc>
        <w:tc>
          <w:tcPr>
            <w:tcW w:w="2977" w:type="dxa"/>
            <w:tcBorders>
              <w:top w:val="single" w:sz="4" w:space="0" w:color="000000"/>
              <w:left w:val="single" w:sz="4" w:space="0" w:color="000000"/>
              <w:bottom w:val="single" w:sz="4" w:space="0" w:color="000000"/>
            </w:tcBorders>
          </w:tcPr>
          <w:p w:rsidR="00A32047" w:rsidRPr="000E3421" w:rsidRDefault="00A32047" w:rsidP="00E90DD4">
            <w:pPr>
              <w:pStyle w:val="Akapitzlist5"/>
              <w:spacing w:after="0" w:line="240" w:lineRule="auto"/>
              <w:ind w:left="0"/>
              <w:rPr>
                <w:rFonts w:asciiTheme="minorHAnsi" w:hAnsiTheme="minorHAnsi" w:cs="TiepoloItcTEEBoo"/>
                <w:sz w:val="20"/>
                <w:szCs w:val="20"/>
              </w:rPr>
            </w:pPr>
            <w:r w:rsidRPr="000E3421">
              <w:rPr>
                <w:rFonts w:asciiTheme="minorHAnsi" w:hAnsiTheme="minorHAnsi" w:cs="TiepoloItcTEEBoo"/>
                <w:sz w:val="20"/>
                <w:szCs w:val="20"/>
              </w:rPr>
              <w:t>1.1.  Zapewnienie miejsc do różnorodnego i aktywnego wypoczynku</w:t>
            </w:r>
          </w:p>
        </w:tc>
        <w:tc>
          <w:tcPr>
            <w:tcW w:w="4216" w:type="dxa"/>
            <w:tcBorders>
              <w:top w:val="single" w:sz="4" w:space="0" w:color="000000"/>
              <w:left w:val="single" w:sz="4" w:space="0" w:color="000000"/>
              <w:bottom w:val="single" w:sz="4" w:space="0" w:color="000000"/>
              <w:right w:val="single" w:sz="4" w:space="0" w:color="000000"/>
            </w:tcBorders>
            <w:vAlign w:val="center"/>
          </w:tcPr>
          <w:p w:rsidR="00A32047" w:rsidRPr="000E3421" w:rsidRDefault="00A32047" w:rsidP="007B034D">
            <w:pPr>
              <w:pStyle w:val="Akapitzlist5"/>
              <w:numPr>
                <w:ilvl w:val="0"/>
                <w:numId w:val="122"/>
              </w:numPr>
              <w:spacing w:after="0" w:line="240" w:lineRule="auto"/>
              <w:ind w:left="317" w:hanging="284"/>
              <w:rPr>
                <w:rFonts w:asciiTheme="minorHAnsi" w:hAnsiTheme="minorHAnsi" w:cs="TiepoloItcTEEBoo"/>
                <w:sz w:val="20"/>
                <w:szCs w:val="20"/>
              </w:rPr>
            </w:pPr>
            <w:r w:rsidRPr="000E3421">
              <w:rPr>
                <w:rFonts w:asciiTheme="minorHAnsi" w:hAnsiTheme="minorHAnsi" w:cs="TiepoloItcTEEBoo"/>
                <w:sz w:val="20"/>
                <w:szCs w:val="20"/>
              </w:rPr>
              <w:t>zapewnienie całorocznych miejsc spotkań mieszk</w:t>
            </w:r>
            <w:r w:rsidR="008A6513">
              <w:rPr>
                <w:rFonts w:asciiTheme="minorHAnsi" w:hAnsiTheme="minorHAnsi" w:cs="TiepoloItcTEEBoo"/>
                <w:sz w:val="20"/>
                <w:szCs w:val="20"/>
              </w:rPr>
              <w:t xml:space="preserve">ańców Kolonii Zgorzelec z uwzględnieniem </w:t>
            </w:r>
            <w:r w:rsidRPr="000E3421">
              <w:rPr>
                <w:rFonts w:asciiTheme="minorHAnsi" w:hAnsiTheme="minorHAnsi" w:cs="TiepoloItcTEEBoo"/>
                <w:sz w:val="20"/>
                <w:szCs w:val="20"/>
              </w:rPr>
              <w:t>potrzeb różnych grup wiekowych i społecznych,</w:t>
            </w:r>
          </w:p>
          <w:p w:rsidR="00A32047" w:rsidRPr="000E3421" w:rsidRDefault="00A32047" w:rsidP="00DE3E42">
            <w:pPr>
              <w:pStyle w:val="Akapitzlist5"/>
              <w:numPr>
                <w:ilvl w:val="0"/>
                <w:numId w:val="122"/>
              </w:numPr>
              <w:spacing w:after="0" w:line="240" w:lineRule="auto"/>
              <w:ind w:left="317" w:hanging="284"/>
              <w:rPr>
                <w:rFonts w:asciiTheme="minorHAnsi" w:hAnsiTheme="minorHAnsi"/>
                <w:sz w:val="20"/>
                <w:szCs w:val="20"/>
              </w:rPr>
            </w:pPr>
            <w:r w:rsidRPr="000E3421">
              <w:rPr>
                <w:rFonts w:asciiTheme="minorHAnsi" w:hAnsiTheme="minorHAnsi" w:cs="TiepoloItcTEEBoo"/>
                <w:sz w:val="20"/>
                <w:szCs w:val="20"/>
              </w:rPr>
              <w:t>zapewnienie bezpiecznych miejsc do rekreacji mieszkańcom Kolonii Zgorzelec z</w:t>
            </w:r>
            <w:r w:rsidR="00DE3E42">
              <w:rPr>
                <w:rFonts w:asciiTheme="minorHAnsi" w:hAnsiTheme="minorHAnsi" w:cs="TiepoloItcTEEBoo"/>
                <w:sz w:val="20"/>
                <w:szCs w:val="20"/>
              </w:rPr>
              <w:t> </w:t>
            </w:r>
            <w:r w:rsidRPr="000E3421">
              <w:rPr>
                <w:rFonts w:asciiTheme="minorHAnsi" w:hAnsiTheme="minorHAnsi" w:cs="TiepoloItcTEEBoo"/>
                <w:sz w:val="20"/>
                <w:szCs w:val="20"/>
              </w:rPr>
              <w:t>uwzględnieniem potrzeb różnych grup wiekowych i społecznych</w:t>
            </w:r>
            <w:r w:rsidR="00E41CDB">
              <w:rPr>
                <w:rFonts w:asciiTheme="minorHAnsi" w:hAnsiTheme="minorHAnsi" w:cs="TiepoloItcTEEBoo"/>
                <w:sz w:val="20"/>
                <w:szCs w:val="20"/>
              </w:rPr>
              <w:t>.</w:t>
            </w:r>
          </w:p>
        </w:tc>
      </w:tr>
      <w:tr w:rsidR="00A32047" w:rsidRPr="000E3421" w:rsidTr="00E90DD4">
        <w:trPr>
          <w:cantSplit/>
        </w:trPr>
        <w:tc>
          <w:tcPr>
            <w:tcW w:w="2113" w:type="dxa"/>
            <w:vMerge/>
            <w:tcBorders>
              <w:top w:val="single" w:sz="4" w:space="0" w:color="000000"/>
              <w:left w:val="single" w:sz="4" w:space="0" w:color="000000"/>
              <w:bottom w:val="single" w:sz="4" w:space="0" w:color="000000"/>
            </w:tcBorders>
          </w:tcPr>
          <w:p w:rsidR="00A32047" w:rsidRPr="00757728" w:rsidRDefault="00A32047" w:rsidP="00E90DD4">
            <w:pPr>
              <w:pStyle w:val="Akapitzlist5"/>
              <w:numPr>
                <w:ilvl w:val="0"/>
                <w:numId w:val="22"/>
              </w:numPr>
              <w:tabs>
                <w:tab w:val="left" w:pos="20"/>
                <w:tab w:val="left" w:pos="305"/>
                <w:tab w:val="num" w:pos="360"/>
              </w:tabs>
              <w:snapToGrid w:val="0"/>
              <w:spacing w:after="0" w:line="240" w:lineRule="auto"/>
              <w:ind w:left="20" w:firstLine="0"/>
              <w:rPr>
                <w:rFonts w:asciiTheme="minorHAnsi" w:hAnsiTheme="minorHAnsi" w:cs="TiepoloItcTEEBoo"/>
                <w:b/>
                <w:sz w:val="20"/>
                <w:szCs w:val="20"/>
              </w:rPr>
            </w:pPr>
          </w:p>
        </w:tc>
        <w:tc>
          <w:tcPr>
            <w:tcW w:w="2977" w:type="dxa"/>
            <w:tcBorders>
              <w:top w:val="single" w:sz="4" w:space="0" w:color="000000"/>
              <w:left w:val="single" w:sz="4" w:space="0" w:color="000000"/>
              <w:bottom w:val="single" w:sz="4" w:space="0" w:color="000000"/>
            </w:tcBorders>
          </w:tcPr>
          <w:p w:rsidR="00A32047" w:rsidRPr="000E3421" w:rsidRDefault="00A32047" w:rsidP="00E90DD4">
            <w:pPr>
              <w:pStyle w:val="Akapitzlist5"/>
              <w:numPr>
                <w:ilvl w:val="1"/>
                <w:numId w:val="141"/>
              </w:numPr>
              <w:tabs>
                <w:tab w:val="left" w:pos="459"/>
              </w:tabs>
              <w:spacing w:after="0" w:line="240" w:lineRule="auto"/>
              <w:ind w:left="0" w:firstLine="0"/>
              <w:rPr>
                <w:rFonts w:asciiTheme="minorHAnsi" w:hAnsiTheme="minorHAnsi" w:cs="TiepoloItcTEEBoo"/>
                <w:sz w:val="20"/>
                <w:szCs w:val="20"/>
              </w:rPr>
            </w:pPr>
            <w:r w:rsidRPr="000E3421">
              <w:rPr>
                <w:rFonts w:asciiTheme="minorHAnsi" w:hAnsiTheme="minorHAnsi" w:cs="TiepoloItcTEEBoo"/>
                <w:sz w:val="20"/>
                <w:szCs w:val="20"/>
              </w:rPr>
              <w:t>Ułatwiony dostęp do możliwości rozwoju kompetencji mieszkańców osiedla</w:t>
            </w:r>
          </w:p>
        </w:tc>
        <w:tc>
          <w:tcPr>
            <w:tcW w:w="4216" w:type="dxa"/>
            <w:tcBorders>
              <w:top w:val="single" w:sz="4" w:space="0" w:color="000000"/>
              <w:left w:val="single" w:sz="4" w:space="0" w:color="000000"/>
              <w:bottom w:val="single" w:sz="4" w:space="0" w:color="000000"/>
              <w:right w:val="single" w:sz="4" w:space="0" w:color="000000"/>
            </w:tcBorders>
            <w:vAlign w:val="center"/>
          </w:tcPr>
          <w:p w:rsidR="00B2267D" w:rsidRDefault="00A32047" w:rsidP="007B034D">
            <w:pPr>
              <w:pStyle w:val="Akapitzlist5"/>
              <w:numPr>
                <w:ilvl w:val="0"/>
                <w:numId w:val="145"/>
              </w:numPr>
              <w:spacing w:after="0" w:line="240" w:lineRule="auto"/>
              <w:ind w:left="357" w:hanging="357"/>
              <w:rPr>
                <w:rFonts w:asciiTheme="minorHAnsi" w:hAnsiTheme="minorHAnsi" w:cs="TiepoloItcTEEBoo"/>
                <w:sz w:val="20"/>
                <w:szCs w:val="20"/>
              </w:rPr>
            </w:pPr>
            <w:r w:rsidRPr="000E3421">
              <w:rPr>
                <w:rFonts w:asciiTheme="minorHAnsi" w:hAnsiTheme="minorHAnsi" w:cs="TiepoloItcTEEBoo"/>
                <w:sz w:val="20"/>
                <w:szCs w:val="20"/>
              </w:rPr>
              <w:t>przeciwdziałanie negatywnym zjawiskom społecznym, takim jak uzależnienia, przemoc w rodzinie, dewastacja wspólnego mienia</w:t>
            </w:r>
          </w:p>
          <w:p w:rsidR="00A32047" w:rsidRPr="00B2267D" w:rsidRDefault="00A32047" w:rsidP="007B034D">
            <w:pPr>
              <w:pStyle w:val="Akapitzlist5"/>
              <w:numPr>
                <w:ilvl w:val="0"/>
                <w:numId w:val="145"/>
              </w:numPr>
              <w:spacing w:after="0" w:line="240" w:lineRule="auto"/>
              <w:ind w:left="357" w:hanging="357"/>
              <w:rPr>
                <w:rFonts w:asciiTheme="minorHAnsi" w:hAnsiTheme="minorHAnsi" w:cs="TiepoloItcTEEBoo"/>
                <w:sz w:val="20"/>
                <w:szCs w:val="20"/>
              </w:rPr>
            </w:pPr>
            <w:r w:rsidRPr="00B2267D">
              <w:rPr>
                <w:rFonts w:asciiTheme="minorHAnsi" w:hAnsiTheme="minorHAnsi" w:cs="TiepoloItcTEEBoo"/>
                <w:sz w:val="20"/>
                <w:szCs w:val="20"/>
              </w:rPr>
              <w:t>dostosowanie kompetencji osób bezrobotnych do potrzeb rynku pracy</w:t>
            </w:r>
            <w:r w:rsidR="00E41CDB">
              <w:rPr>
                <w:rFonts w:asciiTheme="minorHAnsi" w:hAnsiTheme="minorHAnsi" w:cs="TiepoloItcTEEBoo"/>
                <w:sz w:val="20"/>
                <w:szCs w:val="20"/>
              </w:rPr>
              <w:t>.</w:t>
            </w:r>
          </w:p>
        </w:tc>
      </w:tr>
      <w:tr w:rsidR="00A32047" w:rsidRPr="000E3421" w:rsidTr="00E90DD4">
        <w:trPr>
          <w:cantSplit/>
        </w:trPr>
        <w:tc>
          <w:tcPr>
            <w:tcW w:w="2113" w:type="dxa"/>
            <w:vMerge w:val="restart"/>
            <w:tcBorders>
              <w:top w:val="single" w:sz="4" w:space="0" w:color="000000"/>
              <w:left w:val="single" w:sz="4" w:space="0" w:color="000000"/>
              <w:bottom w:val="single" w:sz="4" w:space="0" w:color="000000"/>
            </w:tcBorders>
          </w:tcPr>
          <w:p w:rsidR="00A32047" w:rsidRPr="00757728" w:rsidRDefault="007A3A8C" w:rsidP="00E90DD4">
            <w:pPr>
              <w:pStyle w:val="Akapitzlist5"/>
              <w:tabs>
                <w:tab w:val="left" w:pos="20"/>
                <w:tab w:val="left" w:pos="305"/>
              </w:tabs>
              <w:spacing w:after="0" w:line="240" w:lineRule="auto"/>
              <w:ind w:left="20"/>
              <w:rPr>
                <w:rFonts w:asciiTheme="minorHAnsi" w:hAnsiTheme="minorHAnsi" w:cs="TiepoloItcTEEBoo"/>
                <w:b/>
                <w:sz w:val="20"/>
                <w:szCs w:val="20"/>
              </w:rPr>
            </w:pPr>
            <w:r w:rsidRPr="00757728">
              <w:rPr>
                <w:rFonts w:asciiTheme="minorHAnsi" w:hAnsiTheme="minorHAnsi" w:cs="TiepoloItcTEEBoo"/>
                <w:b/>
                <w:sz w:val="20"/>
                <w:szCs w:val="20"/>
              </w:rPr>
              <w:t xml:space="preserve">2. </w:t>
            </w:r>
            <w:r w:rsidR="00A32047" w:rsidRPr="00757728">
              <w:rPr>
                <w:rFonts w:asciiTheme="minorHAnsi" w:hAnsiTheme="minorHAnsi" w:cs="TiepoloItcTEEBoo"/>
                <w:b/>
                <w:sz w:val="20"/>
                <w:szCs w:val="20"/>
              </w:rPr>
              <w:t xml:space="preserve">Rozwój gospodarczy Kolonii Zgorzelec </w:t>
            </w:r>
          </w:p>
        </w:tc>
        <w:tc>
          <w:tcPr>
            <w:tcW w:w="2977" w:type="dxa"/>
            <w:tcBorders>
              <w:top w:val="single" w:sz="4" w:space="0" w:color="000000"/>
              <w:left w:val="single" w:sz="4" w:space="0" w:color="000000"/>
              <w:bottom w:val="single" w:sz="4" w:space="0" w:color="000000"/>
            </w:tcBorders>
          </w:tcPr>
          <w:p w:rsidR="00A32047" w:rsidRPr="000E3421" w:rsidRDefault="00A32047" w:rsidP="00E90DD4">
            <w:pPr>
              <w:pStyle w:val="Akapitzlist5"/>
              <w:spacing w:after="0" w:line="240" w:lineRule="auto"/>
              <w:ind w:left="0"/>
              <w:rPr>
                <w:rFonts w:asciiTheme="minorHAnsi" w:hAnsiTheme="minorHAnsi" w:cs="TiepoloItcTEEBoo"/>
                <w:color w:val="222222"/>
                <w:sz w:val="20"/>
                <w:szCs w:val="20"/>
              </w:rPr>
            </w:pPr>
            <w:r w:rsidRPr="000E3421">
              <w:rPr>
                <w:rFonts w:asciiTheme="minorHAnsi" w:hAnsiTheme="minorHAnsi" w:cs="TiepoloItcTEEBoo"/>
                <w:sz w:val="20"/>
                <w:szCs w:val="20"/>
              </w:rPr>
              <w:t>2.1.   Korzystne warunki prowadzenia działalności gospodarczej</w:t>
            </w:r>
          </w:p>
        </w:tc>
        <w:tc>
          <w:tcPr>
            <w:tcW w:w="4216" w:type="dxa"/>
            <w:tcBorders>
              <w:top w:val="single" w:sz="4" w:space="0" w:color="000000"/>
              <w:left w:val="single" w:sz="4" w:space="0" w:color="000000"/>
              <w:bottom w:val="single" w:sz="4" w:space="0" w:color="000000"/>
              <w:right w:val="single" w:sz="4" w:space="0" w:color="000000"/>
            </w:tcBorders>
            <w:vAlign w:val="center"/>
          </w:tcPr>
          <w:p w:rsidR="00A32047" w:rsidRPr="000E3421" w:rsidRDefault="00A32047" w:rsidP="007B034D">
            <w:pPr>
              <w:pStyle w:val="Akapitzlist5"/>
              <w:numPr>
                <w:ilvl w:val="0"/>
                <w:numId w:val="121"/>
              </w:numPr>
              <w:spacing w:after="0" w:line="240" w:lineRule="auto"/>
              <w:ind w:left="317" w:hanging="284"/>
              <w:rPr>
                <w:rFonts w:asciiTheme="minorHAnsi" w:hAnsiTheme="minorHAnsi"/>
                <w:sz w:val="20"/>
                <w:szCs w:val="20"/>
              </w:rPr>
            </w:pPr>
            <w:r w:rsidRPr="000E3421">
              <w:rPr>
                <w:rFonts w:asciiTheme="minorHAnsi" w:hAnsiTheme="minorHAnsi" w:cs="TiepoloItcTEEBoo"/>
                <w:color w:val="222222"/>
                <w:sz w:val="20"/>
                <w:szCs w:val="20"/>
              </w:rPr>
              <w:t>wzmacnianie postaw przedsiębiorczych mieszkańców Kolonii Zgorzelec</w:t>
            </w:r>
            <w:r w:rsidR="00E41CDB">
              <w:rPr>
                <w:rFonts w:asciiTheme="minorHAnsi" w:hAnsiTheme="minorHAnsi" w:cs="TiepoloItcTEEBoo"/>
                <w:color w:val="222222"/>
                <w:sz w:val="20"/>
                <w:szCs w:val="20"/>
              </w:rPr>
              <w:t>.</w:t>
            </w:r>
          </w:p>
        </w:tc>
      </w:tr>
      <w:tr w:rsidR="00A32047" w:rsidRPr="000E3421" w:rsidTr="00E90DD4">
        <w:trPr>
          <w:cantSplit/>
        </w:trPr>
        <w:tc>
          <w:tcPr>
            <w:tcW w:w="2113" w:type="dxa"/>
            <w:vMerge/>
            <w:tcBorders>
              <w:top w:val="single" w:sz="4" w:space="0" w:color="000000"/>
              <w:left w:val="single" w:sz="4" w:space="0" w:color="000000"/>
              <w:bottom w:val="single" w:sz="4" w:space="0" w:color="000000"/>
            </w:tcBorders>
          </w:tcPr>
          <w:p w:rsidR="00000000" w:rsidRDefault="00BF0B3B">
            <w:pPr>
              <w:pStyle w:val="Akapitzlist5"/>
              <w:numPr>
                <w:ilvl w:val="0"/>
                <w:numId w:val="125"/>
              </w:numPr>
              <w:tabs>
                <w:tab w:val="clear" w:pos="0"/>
                <w:tab w:val="left" w:pos="20"/>
                <w:tab w:val="left" w:pos="305"/>
              </w:tabs>
              <w:snapToGrid w:val="0"/>
              <w:spacing w:after="0" w:line="240" w:lineRule="auto"/>
              <w:ind w:left="20"/>
              <w:rPr>
                <w:rFonts w:asciiTheme="minorHAnsi" w:hAnsiTheme="minorHAnsi" w:cs="TiepoloItcTEEBoo"/>
                <w:b/>
                <w:sz w:val="20"/>
                <w:szCs w:val="20"/>
              </w:rPr>
              <w:pPrChange w:id="7843" w:author="kmieszala" w:date="2016-11-23T10:43:00Z">
                <w:pPr>
                  <w:pStyle w:val="Akapitzlist5"/>
                  <w:numPr>
                    <w:numId w:val="126"/>
                  </w:numPr>
                  <w:tabs>
                    <w:tab w:val="left" w:pos="20"/>
                    <w:tab w:val="left" w:pos="305"/>
                  </w:tabs>
                  <w:snapToGrid w:val="0"/>
                  <w:spacing w:after="0" w:line="240" w:lineRule="auto"/>
                  <w:ind w:left="20" w:hanging="360"/>
                </w:pPr>
              </w:pPrChange>
            </w:pPr>
          </w:p>
        </w:tc>
        <w:tc>
          <w:tcPr>
            <w:tcW w:w="2977" w:type="dxa"/>
            <w:tcBorders>
              <w:top w:val="single" w:sz="4" w:space="0" w:color="000000"/>
              <w:left w:val="single" w:sz="4" w:space="0" w:color="000000"/>
              <w:bottom w:val="single" w:sz="4" w:space="0" w:color="000000"/>
            </w:tcBorders>
          </w:tcPr>
          <w:p w:rsidR="00145549" w:rsidRDefault="007A3A8C" w:rsidP="00E90DD4">
            <w:pPr>
              <w:pStyle w:val="Akapitzlist5"/>
              <w:tabs>
                <w:tab w:val="left" w:pos="459"/>
              </w:tabs>
              <w:spacing w:after="0" w:line="240" w:lineRule="auto"/>
              <w:ind w:left="0"/>
              <w:rPr>
                <w:rFonts w:asciiTheme="minorHAnsi" w:hAnsiTheme="minorHAnsi" w:cs="TiepoloItcTEEBoo"/>
                <w:sz w:val="20"/>
                <w:szCs w:val="20"/>
              </w:rPr>
            </w:pPr>
            <w:r>
              <w:rPr>
                <w:rFonts w:asciiTheme="minorHAnsi" w:hAnsiTheme="minorHAnsi" w:cs="TiepoloItcTEEBoo"/>
                <w:sz w:val="20"/>
                <w:szCs w:val="20"/>
              </w:rPr>
              <w:t xml:space="preserve">2.2.  </w:t>
            </w:r>
            <w:r w:rsidR="00A32047" w:rsidRPr="000E3421">
              <w:rPr>
                <w:rFonts w:asciiTheme="minorHAnsi" w:hAnsiTheme="minorHAnsi" w:cs="TiepoloItcTEEBoo"/>
                <w:sz w:val="20"/>
                <w:szCs w:val="20"/>
              </w:rPr>
              <w:t>Wykreowanie pozytywnego wizerunku osiedla</w:t>
            </w:r>
          </w:p>
        </w:tc>
        <w:tc>
          <w:tcPr>
            <w:tcW w:w="4216" w:type="dxa"/>
            <w:tcBorders>
              <w:top w:val="single" w:sz="4" w:space="0" w:color="000000"/>
              <w:left w:val="single" w:sz="4" w:space="0" w:color="000000"/>
              <w:bottom w:val="single" w:sz="4" w:space="0" w:color="000000"/>
              <w:right w:val="single" w:sz="4" w:space="0" w:color="000000"/>
            </w:tcBorders>
            <w:vAlign w:val="center"/>
          </w:tcPr>
          <w:p w:rsidR="00145549" w:rsidRDefault="00A32047">
            <w:pPr>
              <w:pStyle w:val="Akapitzlist5"/>
              <w:numPr>
                <w:ilvl w:val="0"/>
                <w:numId w:val="121"/>
              </w:numPr>
              <w:spacing w:after="0" w:line="240" w:lineRule="auto"/>
              <w:ind w:left="317" w:hanging="284"/>
              <w:rPr>
                <w:rFonts w:asciiTheme="minorHAnsi" w:hAnsiTheme="minorHAnsi"/>
                <w:sz w:val="20"/>
                <w:szCs w:val="20"/>
              </w:rPr>
            </w:pPr>
            <w:r w:rsidRPr="000E3421">
              <w:rPr>
                <w:rFonts w:asciiTheme="minorHAnsi" w:hAnsiTheme="minorHAnsi" w:cs="TiepoloItcTEEBoo"/>
                <w:sz w:val="20"/>
                <w:szCs w:val="20"/>
              </w:rPr>
              <w:t>stworzenie z Kolonii Zgorzelec „bytomskiej perełki” chętnie odwiedzanej przez turystów z całej Polski</w:t>
            </w:r>
            <w:r w:rsidR="00E41CDB">
              <w:rPr>
                <w:rFonts w:asciiTheme="minorHAnsi" w:hAnsiTheme="minorHAnsi" w:cs="TiepoloItcTEEBoo"/>
                <w:sz w:val="20"/>
                <w:szCs w:val="20"/>
              </w:rPr>
              <w:t>.</w:t>
            </w:r>
          </w:p>
        </w:tc>
      </w:tr>
      <w:tr w:rsidR="00A32047" w:rsidRPr="000E3421" w:rsidTr="00E90DD4">
        <w:trPr>
          <w:cantSplit/>
        </w:trPr>
        <w:tc>
          <w:tcPr>
            <w:tcW w:w="2113" w:type="dxa"/>
            <w:vMerge w:val="restart"/>
            <w:tcBorders>
              <w:top w:val="single" w:sz="4" w:space="0" w:color="000000"/>
              <w:left w:val="single" w:sz="4" w:space="0" w:color="000000"/>
              <w:bottom w:val="single" w:sz="4" w:space="0" w:color="000000"/>
            </w:tcBorders>
          </w:tcPr>
          <w:p w:rsidR="00A32047" w:rsidRPr="00757728" w:rsidRDefault="007A3A8C" w:rsidP="00E90DD4">
            <w:pPr>
              <w:pStyle w:val="Akapitzlist5"/>
              <w:tabs>
                <w:tab w:val="left" w:pos="20"/>
                <w:tab w:val="left" w:pos="305"/>
              </w:tabs>
              <w:spacing w:after="0" w:line="240" w:lineRule="auto"/>
              <w:ind w:left="20"/>
              <w:rPr>
                <w:rFonts w:asciiTheme="minorHAnsi" w:hAnsiTheme="minorHAnsi" w:cs="TiepoloItcTEEBoo"/>
                <w:b/>
                <w:sz w:val="20"/>
                <w:szCs w:val="20"/>
              </w:rPr>
            </w:pPr>
            <w:r w:rsidRPr="00757728">
              <w:rPr>
                <w:rFonts w:asciiTheme="minorHAnsi" w:hAnsiTheme="minorHAnsi" w:cs="TiepoloItcTEEBoo"/>
                <w:b/>
                <w:sz w:val="20"/>
                <w:szCs w:val="20"/>
              </w:rPr>
              <w:t xml:space="preserve">3. </w:t>
            </w:r>
            <w:r w:rsidR="00A32047" w:rsidRPr="00757728">
              <w:rPr>
                <w:rFonts w:asciiTheme="minorHAnsi" w:hAnsiTheme="minorHAnsi" w:cs="TiepoloItcTEEBoo"/>
                <w:b/>
                <w:sz w:val="20"/>
                <w:szCs w:val="20"/>
              </w:rPr>
              <w:t xml:space="preserve">Wysoki poziom zachowania i wykorzystania walorów przyrodniczych  </w:t>
            </w:r>
          </w:p>
        </w:tc>
        <w:tc>
          <w:tcPr>
            <w:tcW w:w="2977" w:type="dxa"/>
            <w:tcBorders>
              <w:top w:val="single" w:sz="4" w:space="0" w:color="000000"/>
              <w:left w:val="single" w:sz="4" w:space="0" w:color="000000"/>
              <w:bottom w:val="single" w:sz="4" w:space="0" w:color="000000"/>
            </w:tcBorders>
          </w:tcPr>
          <w:p w:rsidR="00A32047" w:rsidRPr="000E3421" w:rsidRDefault="00B2267D" w:rsidP="00E90DD4">
            <w:pPr>
              <w:pStyle w:val="Akapitzlist5"/>
              <w:spacing w:after="0" w:line="240" w:lineRule="auto"/>
              <w:ind w:left="0"/>
              <w:rPr>
                <w:rStyle w:val="apple-converted-space"/>
                <w:rFonts w:asciiTheme="minorHAnsi" w:hAnsiTheme="minorHAnsi" w:cs="TiepoloItcTEEBoo"/>
                <w:sz w:val="20"/>
                <w:szCs w:val="20"/>
              </w:rPr>
            </w:pPr>
            <w:r>
              <w:rPr>
                <w:rFonts w:asciiTheme="minorHAnsi" w:hAnsiTheme="minorHAnsi" w:cs="TiepoloItcTEEBoo"/>
                <w:sz w:val="20"/>
                <w:szCs w:val="20"/>
              </w:rPr>
              <w:t xml:space="preserve">3.1. </w:t>
            </w:r>
            <w:r w:rsidR="00A32047" w:rsidRPr="000E3421">
              <w:rPr>
                <w:rFonts w:asciiTheme="minorHAnsi" w:hAnsiTheme="minorHAnsi" w:cs="TiepoloItcTEEBoo"/>
                <w:sz w:val="20"/>
                <w:szCs w:val="20"/>
              </w:rPr>
              <w:t>Wzrost atrakcyjności przyrodniczej Kolonii Zgorzelec</w:t>
            </w:r>
          </w:p>
        </w:tc>
        <w:tc>
          <w:tcPr>
            <w:tcW w:w="4216" w:type="dxa"/>
            <w:tcBorders>
              <w:top w:val="single" w:sz="4" w:space="0" w:color="000000"/>
              <w:left w:val="single" w:sz="4" w:space="0" w:color="000000"/>
              <w:bottom w:val="single" w:sz="4" w:space="0" w:color="000000"/>
              <w:right w:val="single" w:sz="4" w:space="0" w:color="000000"/>
            </w:tcBorders>
            <w:vAlign w:val="center"/>
          </w:tcPr>
          <w:p w:rsidR="00A32047" w:rsidRPr="000E3421" w:rsidRDefault="00A32047" w:rsidP="007B034D">
            <w:pPr>
              <w:pStyle w:val="Akapitzlist5"/>
              <w:numPr>
                <w:ilvl w:val="0"/>
                <w:numId w:val="121"/>
              </w:numPr>
              <w:spacing w:after="0" w:line="240" w:lineRule="auto"/>
              <w:ind w:left="317" w:hanging="284"/>
              <w:rPr>
                <w:rFonts w:asciiTheme="minorHAnsi" w:hAnsiTheme="minorHAnsi"/>
                <w:sz w:val="20"/>
                <w:szCs w:val="20"/>
              </w:rPr>
            </w:pPr>
            <w:r w:rsidRPr="000E3421">
              <w:rPr>
                <w:rStyle w:val="apple-converted-space"/>
                <w:rFonts w:asciiTheme="minorHAnsi" w:hAnsiTheme="minorHAnsi" w:cs="TiepoloItcTEEBoo"/>
                <w:sz w:val="20"/>
                <w:szCs w:val="20"/>
              </w:rPr>
              <w:t>wykorzystanie</w:t>
            </w:r>
            <w:r w:rsidRPr="000E3421">
              <w:rPr>
                <w:rFonts w:asciiTheme="minorHAnsi" w:hAnsiTheme="minorHAnsi" w:cs="TiepoloItcTEEBoo"/>
                <w:color w:val="222222"/>
                <w:sz w:val="20"/>
                <w:szCs w:val="20"/>
              </w:rPr>
              <w:t xml:space="preserve"> potencjału otaczających Kolonię Zgorzelec terenów zielonych</w:t>
            </w:r>
            <w:r w:rsidR="00E41CDB">
              <w:rPr>
                <w:rFonts w:asciiTheme="minorHAnsi" w:hAnsiTheme="minorHAnsi" w:cs="TiepoloItcTEEBoo"/>
                <w:color w:val="222222"/>
                <w:sz w:val="20"/>
                <w:szCs w:val="20"/>
              </w:rPr>
              <w:t>.</w:t>
            </w:r>
          </w:p>
        </w:tc>
      </w:tr>
      <w:tr w:rsidR="00A32047" w:rsidRPr="000E3421" w:rsidTr="00E90DD4">
        <w:trPr>
          <w:cantSplit/>
        </w:trPr>
        <w:tc>
          <w:tcPr>
            <w:tcW w:w="2113" w:type="dxa"/>
            <w:vMerge/>
            <w:tcBorders>
              <w:top w:val="single" w:sz="4" w:space="0" w:color="000000"/>
              <w:left w:val="single" w:sz="4" w:space="0" w:color="000000"/>
              <w:bottom w:val="single" w:sz="4" w:space="0" w:color="000000"/>
            </w:tcBorders>
          </w:tcPr>
          <w:p w:rsidR="00000000" w:rsidRDefault="00BF0B3B">
            <w:pPr>
              <w:pStyle w:val="Akapitzlist5"/>
              <w:numPr>
                <w:ilvl w:val="0"/>
                <w:numId w:val="143"/>
              </w:numPr>
              <w:tabs>
                <w:tab w:val="left" w:pos="20"/>
                <w:tab w:val="left" w:pos="305"/>
              </w:tabs>
              <w:snapToGrid w:val="0"/>
              <w:spacing w:after="0" w:line="240" w:lineRule="auto"/>
              <w:ind w:left="20" w:firstLine="0"/>
              <w:rPr>
                <w:rFonts w:asciiTheme="minorHAnsi" w:hAnsiTheme="minorHAnsi" w:cs="TiepoloItcTEEBoo"/>
                <w:sz w:val="20"/>
                <w:szCs w:val="20"/>
              </w:rPr>
              <w:pPrChange w:id="7844" w:author="kmieszala" w:date="2016-11-23T10:43:00Z">
                <w:pPr>
                  <w:pStyle w:val="Akapitzlist5"/>
                  <w:numPr>
                    <w:numId w:val="144"/>
                  </w:numPr>
                  <w:tabs>
                    <w:tab w:val="left" w:pos="20"/>
                    <w:tab w:val="left" w:pos="305"/>
                  </w:tabs>
                  <w:snapToGrid w:val="0"/>
                  <w:spacing w:after="0" w:line="240" w:lineRule="auto"/>
                  <w:ind w:left="20" w:hanging="360"/>
                </w:pPr>
              </w:pPrChange>
            </w:pPr>
          </w:p>
        </w:tc>
        <w:tc>
          <w:tcPr>
            <w:tcW w:w="2977" w:type="dxa"/>
            <w:tcBorders>
              <w:top w:val="single" w:sz="4" w:space="0" w:color="000000"/>
              <w:left w:val="single" w:sz="4" w:space="0" w:color="000000"/>
              <w:bottom w:val="single" w:sz="4" w:space="0" w:color="000000"/>
            </w:tcBorders>
          </w:tcPr>
          <w:p w:rsidR="00A32047" w:rsidRPr="000E3421" w:rsidRDefault="00E90DD4" w:rsidP="00E90DD4">
            <w:pPr>
              <w:pStyle w:val="Akapitzlist5"/>
              <w:tabs>
                <w:tab w:val="left" w:pos="459"/>
              </w:tabs>
              <w:spacing w:after="0" w:line="240" w:lineRule="auto"/>
              <w:ind w:left="0"/>
              <w:rPr>
                <w:rFonts w:asciiTheme="minorHAnsi" w:hAnsiTheme="minorHAnsi" w:cs="TiepoloItcTEEBoo"/>
                <w:color w:val="222222"/>
                <w:sz w:val="20"/>
                <w:szCs w:val="20"/>
              </w:rPr>
            </w:pPr>
            <w:r>
              <w:rPr>
                <w:rFonts w:asciiTheme="minorHAnsi" w:hAnsiTheme="minorHAnsi" w:cs="TiepoloItcTEEBoo"/>
                <w:sz w:val="20"/>
                <w:szCs w:val="20"/>
              </w:rPr>
              <w:t xml:space="preserve">3.2. </w:t>
            </w:r>
            <w:r w:rsidR="00A32047" w:rsidRPr="000E3421">
              <w:rPr>
                <w:rFonts w:asciiTheme="minorHAnsi" w:hAnsiTheme="minorHAnsi" w:cs="TiepoloItcTEEBoo"/>
                <w:sz w:val="20"/>
                <w:szCs w:val="20"/>
              </w:rPr>
              <w:t>Proekologiczna polityka komunalna</w:t>
            </w:r>
          </w:p>
        </w:tc>
        <w:tc>
          <w:tcPr>
            <w:tcW w:w="4216" w:type="dxa"/>
            <w:tcBorders>
              <w:top w:val="single" w:sz="4" w:space="0" w:color="000000"/>
              <w:left w:val="single" w:sz="4" w:space="0" w:color="000000"/>
              <w:bottom w:val="single" w:sz="4" w:space="0" w:color="000000"/>
              <w:right w:val="single" w:sz="4" w:space="0" w:color="000000"/>
            </w:tcBorders>
            <w:vAlign w:val="center"/>
          </w:tcPr>
          <w:p w:rsidR="00A32047" w:rsidRPr="000E3421" w:rsidRDefault="00A32047" w:rsidP="007B034D">
            <w:pPr>
              <w:pStyle w:val="Akapitzlist5"/>
              <w:numPr>
                <w:ilvl w:val="0"/>
                <w:numId w:val="121"/>
              </w:numPr>
              <w:spacing w:after="0" w:line="240" w:lineRule="auto"/>
              <w:ind w:left="317" w:hanging="284"/>
              <w:rPr>
                <w:rFonts w:asciiTheme="minorHAnsi" w:hAnsiTheme="minorHAnsi"/>
                <w:sz w:val="20"/>
                <w:szCs w:val="20"/>
              </w:rPr>
            </w:pPr>
            <w:r w:rsidRPr="000E3421">
              <w:rPr>
                <w:rFonts w:asciiTheme="minorHAnsi" w:hAnsiTheme="minorHAnsi" w:cs="TiepoloItcTEEBoo"/>
                <w:color w:val="222222"/>
                <w:sz w:val="20"/>
                <w:szCs w:val="20"/>
              </w:rPr>
              <w:t>poprawa stanu środowiska naturalnego oraz ograniczenie występujących z tego powodu uciążliwości dla mieszkańców</w:t>
            </w:r>
            <w:r w:rsidR="00E41CDB">
              <w:rPr>
                <w:rFonts w:asciiTheme="minorHAnsi" w:hAnsiTheme="minorHAnsi" w:cs="TiepoloItcTEEBoo"/>
                <w:color w:val="222222"/>
                <w:sz w:val="20"/>
                <w:szCs w:val="20"/>
              </w:rPr>
              <w:t>.</w:t>
            </w:r>
          </w:p>
        </w:tc>
      </w:tr>
      <w:tr w:rsidR="00A32047" w:rsidRPr="000E3421" w:rsidTr="005B61F1">
        <w:trPr>
          <w:cantSplit/>
        </w:trPr>
        <w:tc>
          <w:tcPr>
            <w:tcW w:w="2113" w:type="dxa"/>
            <w:vMerge w:val="restart"/>
            <w:tcBorders>
              <w:top w:val="single" w:sz="4" w:space="0" w:color="000000"/>
              <w:left w:val="single" w:sz="4" w:space="0" w:color="000000"/>
              <w:bottom w:val="single" w:sz="4" w:space="0" w:color="000000"/>
            </w:tcBorders>
          </w:tcPr>
          <w:p w:rsidR="00A32047" w:rsidRPr="00757728" w:rsidRDefault="007A3A8C" w:rsidP="00E90DD4">
            <w:pPr>
              <w:pStyle w:val="Akapitzlist5"/>
              <w:tabs>
                <w:tab w:val="left" w:pos="20"/>
                <w:tab w:val="left" w:pos="305"/>
              </w:tabs>
              <w:spacing w:after="0" w:line="240" w:lineRule="auto"/>
              <w:ind w:left="20"/>
              <w:rPr>
                <w:rFonts w:asciiTheme="minorHAnsi" w:hAnsiTheme="minorHAnsi" w:cs="TiepoloItcTEEBoo"/>
                <w:b/>
                <w:sz w:val="20"/>
                <w:szCs w:val="20"/>
              </w:rPr>
            </w:pPr>
            <w:r w:rsidRPr="00757728">
              <w:rPr>
                <w:rFonts w:asciiTheme="minorHAnsi" w:hAnsiTheme="minorHAnsi" w:cs="TiepoloItcTEEBoo"/>
                <w:b/>
                <w:sz w:val="20"/>
                <w:szCs w:val="20"/>
              </w:rPr>
              <w:t xml:space="preserve">4. </w:t>
            </w:r>
            <w:r w:rsidR="00A32047" w:rsidRPr="00757728">
              <w:rPr>
                <w:rFonts w:asciiTheme="minorHAnsi" w:hAnsiTheme="minorHAnsi" w:cs="TiepoloItcTEEBoo"/>
                <w:b/>
                <w:sz w:val="20"/>
                <w:szCs w:val="20"/>
              </w:rPr>
              <w:t>Wysoki standard warunków mieszkaniowych</w:t>
            </w:r>
          </w:p>
        </w:tc>
        <w:tc>
          <w:tcPr>
            <w:tcW w:w="2977" w:type="dxa"/>
            <w:tcBorders>
              <w:top w:val="single" w:sz="4" w:space="0" w:color="000000"/>
              <w:left w:val="single" w:sz="4" w:space="0" w:color="000000"/>
              <w:bottom w:val="single" w:sz="4" w:space="0" w:color="000000"/>
            </w:tcBorders>
          </w:tcPr>
          <w:p w:rsidR="00A32047" w:rsidRPr="000E3421" w:rsidRDefault="00A32047" w:rsidP="00E90DD4">
            <w:pPr>
              <w:pStyle w:val="Akapitzlist5"/>
              <w:spacing w:after="0" w:line="240" w:lineRule="auto"/>
              <w:ind w:left="0"/>
              <w:rPr>
                <w:rFonts w:asciiTheme="minorHAnsi" w:hAnsiTheme="minorHAnsi" w:cs="TiepoloItcTEEBoo"/>
                <w:sz w:val="20"/>
                <w:szCs w:val="20"/>
              </w:rPr>
            </w:pPr>
            <w:r w:rsidRPr="000E3421">
              <w:rPr>
                <w:rFonts w:asciiTheme="minorHAnsi" w:hAnsiTheme="minorHAnsi" w:cs="TiepoloItcTEEBoo"/>
                <w:sz w:val="20"/>
                <w:szCs w:val="20"/>
              </w:rPr>
              <w:t>4.1.   Wyremontowane i zmodernizowane budynki mieszkaniowe</w:t>
            </w:r>
          </w:p>
        </w:tc>
        <w:tc>
          <w:tcPr>
            <w:tcW w:w="4216" w:type="dxa"/>
            <w:tcBorders>
              <w:top w:val="single" w:sz="4" w:space="0" w:color="000000"/>
              <w:left w:val="single" w:sz="4" w:space="0" w:color="000000"/>
              <w:bottom w:val="single" w:sz="4" w:space="0" w:color="000000"/>
              <w:right w:val="single" w:sz="4" w:space="0" w:color="000000"/>
            </w:tcBorders>
          </w:tcPr>
          <w:p w:rsidR="00A32047" w:rsidRPr="000E3421" w:rsidRDefault="00A32047" w:rsidP="005B61F1">
            <w:pPr>
              <w:pStyle w:val="Akapitzlist5"/>
              <w:numPr>
                <w:ilvl w:val="0"/>
                <w:numId w:val="121"/>
              </w:numPr>
              <w:spacing w:after="0" w:line="240" w:lineRule="auto"/>
              <w:ind w:left="317" w:hanging="284"/>
              <w:rPr>
                <w:rFonts w:asciiTheme="minorHAnsi" w:hAnsiTheme="minorHAnsi"/>
                <w:sz w:val="20"/>
                <w:szCs w:val="20"/>
              </w:rPr>
            </w:pPr>
            <w:r w:rsidRPr="000E3421">
              <w:rPr>
                <w:rFonts w:asciiTheme="minorHAnsi" w:hAnsiTheme="minorHAnsi" w:cs="TiepoloItcTEEBoo"/>
                <w:sz w:val="20"/>
                <w:szCs w:val="20"/>
              </w:rPr>
              <w:t>poprawa stanu technicznego budynków mieszkalnych</w:t>
            </w:r>
            <w:r w:rsidR="00E41CDB">
              <w:rPr>
                <w:rFonts w:asciiTheme="minorHAnsi" w:hAnsiTheme="minorHAnsi" w:cs="TiepoloItcTEEBoo"/>
                <w:sz w:val="20"/>
                <w:szCs w:val="20"/>
              </w:rPr>
              <w:t>.</w:t>
            </w:r>
          </w:p>
        </w:tc>
      </w:tr>
      <w:tr w:rsidR="00A32047" w:rsidRPr="000E3421" w:rsidTr="00E90DD4">
        <w:trPr>
          <w:cantSplit/>
        </w:trPr>
        <w:tc>
          <w:tcPr>
            <w:tcW w:w="2113" w:type="dxa"/>
            <w:vMerge/>
            <w:tcBorders>
              <w:top w:val="single" w:sz="4" w:space="0" w:color="000000"/>
              <w:left w:val="single" w:sz="4" w:space="0" w:color="000000"/>
              <w:bottom w:val="single" w:sz="4" w:space="0" w:color="000000"/>
            </w:tcBorders>
          </w:tcPr>
          <w:p w:rsidR="00A32047" w:rsidRPr="000E3421" w:rsidRDefault="00A32047" w:rsidP="00E90DD4">
            <w:pPr>
              <w:pStyle w:val="Akapitzlist5"/>
              <w:numPr>
                <w:ilvl w:val="0"/>
                <w:numId w:val="187"/>
              </w:numPr>
              <w:tabs>
                <w:tab w:val="left" w:pos="20"/>
                <w:tab w:val="left" w:pos="305"/>
              </w:tabs>
              <w:snapToGrid w:val="0"/>
              <w:spacing w:after="0" w:line="240" w:lineRule="auto"/>
              <w:ind w:left="20" w:firstLine="0"/>
              <w:rPr>
                <w:rFonts w:asciiTheme="minorHAnsi" w:hAnsiTheme="minorHAnsi" w:cs="TiepoloItcTEEBoo"/>
                <w:sz w:val="20"/>
                <w:szCs w:val="20"/>
              </w:rPr>
            </w:pPr>
          </w:p>
        </w:tc>
        <w:tc>
          <w:tcPr>
            <w:tcW w:w="2977" w:type="dxa"/>
            <w:tcBorders>
              <w:top w:val="single" w:sz="4" w:space="0" w:color="000000"/>
              <w:left w:val="single" w:sz="4" w:space="0" w:color="000000"/>
              <w:bottom w:val="single" w:sz="4" w:space="0" w:color="000000"/>
            </w:tcBorders>
          </w:tcPr>
          <w:p w:rsidR="00A32047" w:rsidRPr="000E3421" w:rsidRDefault="00A32047" w:rsidP="00E90DD4">
            <w:pPr>
              <w:pStyle w:val="Akapitzlist5"/>
              <w:spacing w:after="0" w:line="240" w:lineRule="auto"/>
              <w:ind w:left="0"/>
              <w:rPr>
                <w:rFonts w:asciiTheme="minorHAnsi" w:hAnsiTheme="minorHAnsi" w:cs="TiepoloItcTEEBoo"/>
                <w:sz w:val="20"/>
                <w:szCs w:val="20"/>
              </w:rPr>
            </w:pPr>
            <w:r w:rsidRPr="000E3421">
              <w:rPr>
                <w:rFonts w:asciiTheme="minorHAnsi" w:hAnsiTheme="minorHAnsi" w:cs="TiepoloItcTEEBoo"/>
                <w:sz w:val="20"/>
                <w:szCs w:val="20"/>
              </w:rPr>
              <w:t>4.2. Wyremontowane pustostany pełniące nowe funkcje</w:t>
            </w:r>
          </w:p>
        </w:tc>
        <w:tc>
          <w:tcPr>
            <w:tcW w:w="4216" w:type="dxa"/>
            <w:tcBorders>
              <w:top w:val="single" w:sz="4" w:space="0" w:color="000000"/>
              <w:left w:val="single" w:sz="4" w:space="0" w:color="000000"/>
              <w:bottom w:val="single" w:sz="4" w:space="0" w:color="000000"/>
              <w:right w:val="single" w:sz="4" w:space="0" w:color="000000"/>
            </w:tcBorders>
            <w:vAlign w:val="center"/>
          </w:tcPr>
          <w:p w:rsidR="00A32047" w:rsidRPr="000E3421" w:rsidRDefault="00A32047" w:rsidP="007B034D">
            <w:pPr>
              <w:pStyle w:val="Akapitzlist5"/>
              <w:numPr>
                <w:ilvl w:val="0"/>
                <w:numId w:val="121"/>
              </w:numPr>
              <w:spacing w:after="0" w:line="240" w:lineRule="auto"/>
              <w:ind w:left="357" w:hanging="357"/>
              <w:jc w:val="both"/>
              <w:rPr>
                <w:rFonts w:asciiTheme="minorHAnsi" w:hAnsiTheme="minorHAnsi" w:cs="TiepoloItcTEEBoo"/>
                <w:sz w:val="20"/>
                <w:szCs w:val="20"/>
              </w:rPr>
            </w:pPr>
            <w:r w:rsidRPr="000E3421">
              <w:rPr>
                <w:rFonts w:asciiTheme="minorHAnsi" w:hAnsiTheme="minorHAnsi" w:cs="TiepoloItcTEEBoo"/>
                <w:sz w:val="20"/>
                <w:szCs w:val="20"/>
              </w:rPr>
              <w:t>zabezpieczenie, rozbiórka lub przywrócenie do użyteczności pustostanów,</w:t>
            </w:r>
          </w:p>
          <w:p w:rsidR="00A32047" w:rsidRPr="000E3421" w:rsidRDefault="00A32047" w:rsidP="007B034D">
            <w:pPr>
              <w:pStyle w:val="Akapitzlist5"/>
              <w:numPr>
                <w:ilvl w:val="0"/>
                <w:numId w:val="121"/>
              </w:numPr>
              <w:spacing w:after="0" w:line="240" w:lineRule="auto"/>
              <w:ind w:left="357" w:hanging="357"/>
              <w:rPr>
                <w:rFonts w:asciiTheme="minorHAnsi" w:hAnsiTheme="minorHAnsi"/>
                <w:sz w:val="20"/>
                <w:szCs w:val="20"/>
              </w:rPr>
            </w:pPr>
            <w:r w:rsidRPr="000E3421">
              <w:rPr>
                <w:rFonts w:asciiTheme="minorHAnsi" w:hAnsiTheme="minorHAnsi" w:cs="TiepoloItcTEEBoo"/>
                <w:sz w:val="20"/>
                <w:szCs w:val="20"/>
              </w:rPr>
              <w:t>wprowadzenie nowych funkcji o celach turystycznych, rekreacyjnych i społecznych do niektórych z odrestaurowanych budynków</w:t>
            </w:r>
            <w:r w:rsidR="00E41CDB">
              <w:rPr>
                <w:rFonts w:asciiTheme="minorHAnsi" w:hAnsiTheme="minorHAnsi" w:cs="TiepoloItcTEEBoo"/>
                <w:sz w:val="20"/>
                <w:szCs w:val="20"/>
              </w:rPr>
              <w:t>.</w:t>
            </w:r>
          </w:p>
        </w:tc>
      </w:tr>
      <w:tr w:rsidR="00A32047" w:rsidRPr="000E3421" w:rsidTr="00095DBA">
        <w:trPr>
          <w:cantSplit/>
        </w:trPr>
        <w:tc>
          <w:tcPr>
            <w:tcW w:w="2113" w:type="dxa"/>
            <w:vMerge w:val="restart"/>
            <w:tcBorders>
              <w:top w:val="single" w:sz="4" w:space="0" w:color="000000"/>
              <w:left w:val="single" w:sz="4" w:space="0" w:color="000000"/>
              <w:bottom w:val="single" w:sz="4" w:space="0" w:color="000000"/>
            </w:tcBorders>
          </w:tcPr>
          <w:p w:rsidR="00A32047" w:rsidRPr="00757728" w:rsidRDefault="00865765" w:rsidP="00095DBA">
            <w:pPr>
              <w:pStyle w:val="Akapitzlist5"/>
              <w:tabs>
                <w:tab w:val="left" w:pos="20"/>
                <w:tab w:val="left" w:pos="305"/>
              </w:tabs>
              <w:spacing w:after="0" w:line="240" w:lineRule="auto"/>
              <w:ind w:left="20"/>
              <w:rPr>
                <w:rFonts w:asciiTheme="minorHAnsi" w:hAnsiTheme="minorHAnsi" w:cs="TiepoloItcTEEBoo"/>
                <w:b/>
                <w:sz w:val="20"/>
                <w:szCs w:val="20"/>
              </w:rPr>
            </w:pPr>
            <w:r w:rsidRPr="00757728">
              <w:rPr>
                <w:rFonts w:asciiTheme="minorHAnsi" w:hAnsiTheme="minorHAnsi" w:cs="TiepoloItcTEEBoo"/>
                <w:b/>
                <w:sz w:val="20"/>
                <w:szCs w:val="20"/>
              </w:rPr>
              <w:lastRenderedPageBreak/>
              <w:t xml:space="preserve">5. </w:t>
            </w:r>
            <w:r w:rsidR="00A32047" w:rsidRPr="00757728">
              <w:rPr>
                <w:rFonts w:asciiTheme="minorHAnsi" w:hAnsiTheme="minorHAnsi" w:cs="TiepoloItcTEEBoo"/>
                <w:b/>
                <w:sz w:val="20"/>
                <w:szCs w:val="20"/>
              </w:rPr>
              <w:t>Wysoki poziom skomunikowania wewnętrznego i zewnętrznego Kolonii Zgorzelec</w:t>
            </w:r>
          </w:p>
        </w:tc>
        <w:tc>
          <w:tcPr>
            <w:tcW w:w="2977" w:type="dxa"/>
            <w:tcBorders>
              <w:top w:val="single" w:sz="4" w:space="0" w:color="000000"/>
              <w:left w:val="single" w:sz="4" w:space="0" w:color="000000"/>
              <w:bottom w:val="single" w:sz="4" w:space="0" w:color="000000"/>
            </w:tcBorders>
          </w:tcPr>
          <w:p w:rsidR="00A32047" w:rsidRPr="000E3421" w:rsidRDefault="00A32047" w:rsidP="00095DBA">
            <w:pPr>
              <w:pStyle w:val="Akapitzlist5"/>
              <w:spacing w:after="0" w:line="240" w:lineRule="auto"/>
              <w:ind w:left="0"/>
              <w:rPr>
                <w:rFonts w:asciiTheme="minorHAnsi" w:hAnsiTheme="minorHAnsi" w:cs="TiepoloItcTEEBoo"/>
                <w:sz w:val="20"/>
                <w:szCs w:val="20"/>
              </w:rPr>
            </w:pPr>
            <w:r w:rsidRPr="000E3421">
              <w:rPr>
                <w:rFonts w:asciiTheme="minorHAnsi" w:hAnsiTheme="minorHAnsi" w:cs="TiepoloItcTEEBoo"/>
                <w:sz w:val="20"/>
                <w:szCs w:val="20"/>
              </w:rPr>
              <w:t>5.1.  Komunikacja publiczna odpowiadająca potrzebom mieszkańców</w:t>
            </w:r>
          </w:p>
        </w:tc>
        <w:tc>
          <w:tcPr>
            <w:tcW w:w="4216" w:type="dxa"/>
            <w:tcBorders>
              <w:top w:val="single" w:sz="4" w:space="0" w:color="000000"/>
              <w:left w:val="single" w:sz="4" w:space="0" w:color="000000"/>
              <w:bottom w:val="single" w:sz="4" w:space="0" w:color="000000"/>
              <w:right w:val="single" w:sz="4" w:space="0" w:color="000000"/>
            </w:tcBorders>
            <w:vAlign w:val="center"/>
          </w:tcPr>
          <w:p w:rsidR="00A32047" w:rsidRPr="000E3421" w:rsidRDefault="00A32047" w:rsidP="007B034D">
            <w:pPr>
              <w:pStyle w:val="Akapitzlist5"/>
              <w:numPr>
                <w:ilvl w:val="0"/>
                <w:numId w:val="118"/>
              </w:numPr>
              <w:spacing w:after="0" w:line="240" w:lineRule="auto"/>
              <w:ind w:left="357" w:hanging="357"/>
              <w:rPr>
                <w:rFonts w:asciiTheme="minorHAnsi" w:hAnsiTheme="minorHAnsi" w:cs="TiepoloItcTEEBoo"/>
                <w:sz w:val="20"/>
                <w:szCs w:val="20"/>
              </w:rPr>
            </w:pPr>
            <w:r w:rsidRPr="000E3421">
              <w:rPr>
                <w:rFonts w:asciiTheme="minorHAnsi" w:hAnsiTheme="minorHAnsi" w:cs="TiepoloItcTEEBoo"/>
                <w:sz w:val="20"/>
                <w:szCs w:val="20"/>
              </w:rPr>
              <w:t xml:space="preserve">poprawa infrastruktury przystankowej, </w:t>
            </w:r>
          </w:p>
          <w:p w:rsidR="00A32047" w:rsidRPr="000E3421" w:rsidRDefault="00A32047" w:rsidP="007B034D">
            <w:pPr>
              <w:pStyle w:val="Akapitzlist5"/>
              <w:numPr>
                <w:ilvl w:val="0"/>
                <w:numId w:val="118"/>
              </w:numPr>
              <w:spacing w:after="0" w:line="240" w:lineRule="auto"/>
              <w:ind w:left="357" w:hanging="357"/>
              <w:rPr>
                <w:rFonts w:asciiTheme="minorHAnsi" w:hAnsiTheme="minorHAnsi"/>
                <w:sz w:val="20"/>
                <w:szCs w:val="20"/>
              </w:rPr>
            </w:pPr>
            <w:r w:rsidRPr="000E3421">
              <w:rPr>
                <w:rFonts w:asciiTheme="minorHAnsi" w:hAnsiTheme="minorHAnsi" w:cs="TiepoloItcTEEBoo"/>
                <w:sz w:val="20"/>
                <w:szCs w:val="20"/>
              </w:rPr>
              <w:t>poprawa połączeń komunikacyjnych łączących Kolonię Zgorzelec z innymi częściami miasta</w:t>
            </w:r>
            <w:r w:rsidR="00E41CDB">
              <w:rPr>
                <w:rFonts w:asciiTheme="minorHAnsi" w:hAnsiTheme="minorHAnsi" w:cs="TiepoloItcTEEBoo"/>
                <w:sz w:val="20"/>
                <w:szCs w:val="20"/>
              </w:rPr>
              <w:t>.</w:t>
            </w:r>
          </w:p>
        </w:tc>
      </w:tr>
      <w:tr w:rsidR="00A32047" w:rsidRPr="000E3421" w:rsidTr="00095DBA">
        <w:trPr>
          <w:cantSplit/>
        </w:trPr>
        <w:tc>
          <w:tcPr>
            <w:tcW w:w="2113" w:type="dxa"/>
            <w:vMerge/>
            <w:tcBorders>
              <w:top w:val="single" w:sz="4" w:space="0" w:color="000000"/>
              <w:left w:val="single" w:sz="4" w:space="0" w:color="000000"/>
              <w:bottom w:val="single" w:sz="4" w:space="0" w:color="000000"/>
            </w:tcBorders>
          </w:tcPr>
          <w:p w:rsidR="00000000" w:rsidRDefault="00BF0B3B">
            <w:pPr>
              <w:pStyle w:val="Akapitzlist5"/>
              <w:numPr>
                <w:ilvl w:val="0"/>
                <w:numId w:val="144"/>
              </w:numPr>
              <w:snapToGrid w:val="0"/>
              <w:spacing w:after="0" w:line="240" w:lineRule="auto"/>
              <w:rPr>
                <w:rFonts w:asciiTheme="minorHAnsi" w:hAnsiTheme="minorHAnsi" w:cs="TiepoloItcTEEBoo"/>
                <w:sz w:val="20"/>
                <w:szCs w:val="20"/>
              </w:rPr>
              <w:pPrChange w:id="7845" w:author="kmieszala" w:date="2016-11-23T10:43:00Z">
                <w:pPr>
                  <w:pStyle w:val="Akapitzlist5"/>
                  <w:numPr>
                    <w:numId w:val="145"/>
                  </w:numPr>
                  <w:snapToGrid w:val="0"/>
                  <w:spacing w:after="0" w:line="240" w:lineRule="auto"/>
                  <w:ind w:hanging="360"/>
                </w:pPr>
              </w:pPrChange>
            </w:pPr>
          </w:p>
        </w:tc>
        <w:tc>
          <w:tcPr>
            <w:tcW w:w="2977" w:type="dxa"/>
            <w:tcBorders>
              <w:top w:val="single" w:sz="4" w:space="0" w:color="000000"/>
              <w:left w:val="single" w:sz="4" w:space="0" w:color="000000"/>
              <w:bottom w:val="single" w:sz="4" w:space="0" w:color="000000"/>
            </w:tcBorders>
          </w:tcPr>
          <w:p w:rsidR="00A32047" w:rsidRPr="000E3421" w:rsidRDefault="00A32047" w:rsidP="00095DBA">
            <w:pPr>
              <w:pStyle w:val="Akapitzlist5"/>
              <w:numPr>
                <w:ilvl w:val="1"/>
                <w:numId w:val="140"/>
              </w:numPr>
              <w:tabs>
                <w:tab w:val="clear" w:pos="720"/>
                <w:tab w:val="num" w:pos="459"/>
              </w:tabs>
              <w:spacing w:after="0" w:line="240" w:lineRule="auto"/>
              <w:ind w:left="0" w:firstLine="0"/>
              <w:rPr>
                <w:rFonts w:asciiTheme="minorHAnsi" w:hAnsiTheme="minorHAnsi" w:cs="TiepoloItcTEEBoo"/>
                <w:sz w:val="20"/>
                <w:szCs w:val="20"/>
              </w:rPr>
            </w:pPr>
            <w:r w:rsidRPr="000E3421">
              <w:rPr>
                <w:rFonts w:asciiTheme="minorHAnsi" w:hAnsiTheme="minorHAnsi" w:cs="TiepoloItcTEEBoo"/>
                <w:sz w:val="20"/>
                <w:szCs w:val="20"/>
              </w:rPr>
              <w:t>Wyremontowana i zmodernizowana infrastruktura drogowa i chodnikowa</w:t>
            </w:r>
          </w:p>
        </w:tc>
        <w:tc>
          <w:tcPr>
            <w:tcW w:w="4216" w:type="dxa"/>
            <w:tcBorders>
              <w:top w:val="single" w:sz="4" w:space="0" w:color="000000"/>
              <w:left w:val="single" w:sz="4" w:space="0" w:color="000000"/>
              <w:bottom w:val="single" w:sz="4" w:space="0" w:color="000000"/>
              <w:right w:val="single" w:sz="4" w:space="0" w:color="000000"/>
            </w:tcBorders>
            <w:vAlign w:val="center"/>
          </w:tcPr>
          <w:p w:rsidR="0038387A" w:rsidRDefault="00A32047" w:rsidP="0038387A">
            <w:pPr>
              <w:pStyle w:val="Akapitzlist5"/>
              <w:numPr>
                <w:ilvl w:val="0"/>
                <w:numId w:val="208"/>
              </w:numPr>
              <w:spacing w:after="0" w:line="240" w:lineRule="auto"/>
              <w:ind w:left="357" w:hanging="357"/>
              <w:rPr>
                <w:rFonts w:asciiTheme="minorHAnsi" w:hAnsiTheme="minorHAnsi" w:cs="TiepoloItcTEEBoo"/>
                <w:sz w:val="20"/>
                <w:szCs w:val="20"/>
              </w:rPr>
            </w:pPr>
            <w:r w:rsidRPr="000E3421">
              <w:rPr>
                <w:rFonts w:asciiTheme="minorHAnsi" w:hAnsiTheme="minorHAnsi" w:cs="TiepoloItcTEEBoo"/>
                <w:sz w:val="20"/>
                <w:szCs w:val="20"/>
              </w:rPr>
              <w:t>poprawa stanu i rozwój infrastruktury drogowej oraz pieszej, szczególnie łączącej Kolonię Zgorzelec z innymi obszarami miasta,</w:t>
            </w:r>
          </w:p>
          <w:p w:rsidR="0038387A" w:rsidRDefault="00A32047" w:rsidP="0038387A">
            <w:pPr>
              <w:pStyle w:val="Akapitzlist5"/>
              <w:numPr>
                <w:ilvl w:val="0"/>
                <w:numId w:val="208"/>
              </w:numPr>
              <w:spacing w:after="0" w:line="240" w:lineRule="auto"/>
              <w:ind w:left="357" w:hanging="357"/>
              <w:rPr>
                <w:rFonts w:asciiTheme="minorHAnsi" w:hAnsiTheme="minorHAnsi" w:cs="TiepoloItcTEEBoo"/>
                <w:sz w:val="20"/>
                <w:szCs w:val="20"/>
              </w:rPr>
            </w:pPr>
            <w:r w:rsidRPr="0038387A">
              <w:rPr>
                <w:rFonts w:asciiTheme="minorHAnsi" w:hAnsiTheme="minorHAnsi" w:cs="TiepoloItcTEEBoo"/>
                <w:sz w:val="20"/>
                <w:szCs w:val="20"/>
              </w:rPr>
              <w:t>zagospodarowanie podwórek, przestrzeni między budynkami z uwzględnieniem potrzeb mieszkańców,</w:t>
            </w:r>
          </w:p>
          <w:p w:rsidR="00A32047" w:rsidRPr="0038387A" w:rsidRDefault="00A32047" w:rsidP="0038387A">
            <w:pPr>
              <w:pStyle w:val="Akapitzlist5"/>
              <w:numPr>
                <w:ilvl w:val="0"/>
                <w:numId w:val="208"/>
              </w:numPr>
              <w:spacing w:after="0" w:line="240" w:lineRule="auto"/>
              <w:ind w:left="357" w:hanging="357"/>
              <w:rPr>
                <w:rFonts w:asciiTheme="minorHAnsi" w:hAnsiTheme="minorHAnsi" w:cs="TiepoloItcTEEBoo"/>
                <w:sz w:val="20"/>
                <w:szCs w:val="20"/>
              </w:rPr>
            </w:pPr>
            <w:r w:rsidRPr="0038387A">
              <w:rPr>
                <w:rFonts w:asciiTheme="minorHAnsi" w:hAnsiTheme="minorHAnsi" w:cs="TiepoloItcTEEBoo"/>
                <w:sz w:val="20"/>
                <w:szCs w:val="20"/>
              </w:rPr>
              <w:t>budowa ścieżek rowerowych łączących Kolonię Zgorzelec z innymi częściami miasta</w:t>
            </w:r>
            <w:r w:rsidR="00E41CDB">
              <w:rPr>
                <w:rFonts w:asciiTheme="minorHAnsi" w:hAnsiTheme="minorHAnsi" w:cs="TiepoloItcTEEBoo"/>
                <w:sz w:val="20"/>
                <w:szCs w:val="20"/>
              </w:rPr>
              <w:t>.</w:t>
            </w:r>
          </w:p>
        </w:tc>
      </w:tr>
    </w:tbl>
    <w:p w:rsidR="002F7D68" w:rsidRPr="00AE19F2" w:rsidRDefault="002F7D68" w:rsidP="002F7D68">
      <w:pPr>
        <w:pStyle w:val="Nagwek5"/>
        <w:spacing w:before="0"/>
        <w:rPr>
          <w:b w:val="0"/>
        </w:rPr>
      </w:pPr>
      <w:r w:rsidRPr="00AE19F2">
        <w:rPr>
          <w:rFonts w:asciiTheme="minorHAnsi" w:eastAsia="Calibri" w:hAnsiTheme="minorHAnsi"/>
          <w:b w:val="0"/>
          <w:sz w:val="18"/>
          <w:szCs w:val="20"/>
        </w:rPr>
        <w:t>Źródło:</w:t>
      </w:r>
      <w:r w:rsidRPr="00AE19F2">
        <w:rPr>
          <w:rFonts w:asciiTheme="minorHAnsi" w:eastAsia="Calibri" w:hAnsiTheme="minorHAnsi"/>
          <w:sz w:val="18"/>
          <w:szCs w:val="20"/>
        </w:rPr>
        <w:t xml:space="preserve"> </w:t>
      </w:r>
      <w:r w:rsidRPr="00AE19F2">
        <w:rPr>
          <w:rFonts w:asciiTheme="minorHAnsi" w:eastAsia="Calibri" w:hAnsiTheme="minorHAnsi"/>
          <w:b w:val="0"/>
          <w:sz w:val="18"/>
          <w:szCs w:val="20"/>
        </w:rPr>
        <w:t>Opracowanie własne na podstawie Raportu ze spotkań warsztatowych w dzielnicy Kolonia Zgorzelec</w:t>
      </w:r>
    </w:p>
    <w:p w:rsidR="00A32047" w:rsidRPr="000E3421" w:rsidRDefault="000E3421" w:rsidP="000E3421">
      <w:pPr>
        <w:pStyle w:val="Nagwek4"/>
        <w:jc w:val="center"/>
        <w:rPr>
          <w:rFonts w:cs="Calibri"/>
          <w:i w:val="0"/>
          <w:iCs/>
          <w:color w:val="0070C0"/>
          <w:sz w:val="26"/>
          <w:szCs w:val="26"/>
        </w:rPr>
      </w:pPr>
      <w:r w:rsidRPr="000E3421">
        <w:rPr>
          <w:rFonts w:cs="Calibri"/>
          <w:color w:val="0070C0"/>
          <w:sz w:val="26"/>
          <w:szCs w:val="26"/>
        </w:rPr>
        <w:t>ROZBARK</w:t>
      </w:r>
    </w:p>
    <w:p w:rsidR="00A32047" w:rsidRDefault="00A32047" w:rsidP="00A32047">
      <w:pPr>
        <w:pStyle w:val="Pa6"/>
        <w:jc w:val="center"/>
        <w:rPr>
          <w:rFonts w:ascii="Calibri" w:hAnsi="Calibri" w:cs="Calibri"/>
          <w:b/>
          <w:bCs/>
          <w:i/>
          <w:iCs/>
          <w:sz w:val="22"/>
        </w:rPr>
      </w:pPr>
      <w:r w:rsidRPr="000305C7">
        <w:rPr>
          <w:rFonts w:ascii="Calibri" w:hAnsi="Calibri" w:cs="Calibri"/>
          <w:b/>
          <w:bCs/>
          <w:i/>
          <w:iCs/>
          <w:sz w:val="22"/>
        </w:rPr>
        <w:t>Rozbark – miejsce bezpieczne, przyjazne do zamieszkania i atrakcyjne do spędzania czasu wolnego.</w:t>
      </w:r>
    </w:p>
    <w:p w:rsidR="000305C7" w:rsidRPr="000305C7" w:rsidRDefault="000305C7" w:rsidP="000305C7">
      <w:pPr>
        <w:rPr>
          <w:lang w:eastAsia="ar-SA"/>
        </w:rPr>
      </w:pPr>
    </w:p>
    <w:p w:rsidR="00DA738C" w:rsidRPr="009A66B3" w:rsidRDefault="009A66B3" w:rsidP="009A66B3">
      <w:pPr>
        <w:pStyle w:val="Legenda"/>
        <w:keepNext/>
      </w:pPr>
      <w:bookmarkStart w:id="7846" w:name="_Toc202771121"/>
      <w:r w:rsidRPr="00F07D1B">
        <w:t xml:space="preserve">Tabela </w:t>
      </w:r>
      <w:r w:rsidR="003972D8" w:rsidRPr="00F07D1B">
        <w:fldChar w:fldCharType="begin"/>
      </w:r>
      <w:r w:rsidRPr="00F07D1B">
        <w:instrText xml:space="preserve"> SEQ Tabela \* ARABIC </w:instrText>
      </w:r>
      <w:r w:rsidR="003972D8" w:rsidRPr="00F07D1B">
        <w:fldChar w:fldCharType="separate"/>
      </w:r>
      <w:r w:rsidR="00413FFE">
        <w:rPr>
          <w:noProof/>
        </w:rPr>
        <w:t>27</w:t>
      </w:r>
      <w:r w:rsidR="003972D8" w:rsidRPr="00F07D1B">
        <w:fldChar w:fldCharType="end"/>
      </w:r>
      <w:r w:rsidRPr="00F07D1B">
        <w:t xml:space="preserve">. </w:t>
      </w:r>
      <w:r w:rsidRPr="00725021">
        <w:t>Rozbark – cele i kierunki</w:t>
      </w:r>
      <w:bookmarkEnd w:id="7846"/>
    </w:p>
    <w:tbl>
      <w:tblPr>
        <w:tblW w:w="0" w:type="auto"/>
        <w:tblInd w:w="-20" w:type="dxa"/>
        <w:tblLayout w:type="fixed"/>
        <w:tblLook w:val="0000"/>
      </w:tblPr>
      <w:tblGrid>
        <w:gridCol w:w="2963"/>
        <w:gridCol w:w="6116"/>
      </w:tblGrid>
      <w:tr w:rsidR="00A32047" w:rsidRPr="00CF2681" w:rsidTr="00EC78E0">
        <w:trPr>
          <w:cantSplit/>
          <w:tblHeader/>
        </w:trPr>
        <w:tc>
          <w:tcPr>
            <w:tcW w:w="2963" w:type="dxa"/>
            <w:tcBorders>
              <w:top w:val="single" w:sz="4" w:space="0" w:color="000000"/>
              <w:left w:val="single" w:sz="4" w:space="0" w:color="000000"/>
              <w:bottom w:val="single" w:sz="4" w:space="0" w:color="000000"/>
            </w:tcBorders>
            <w:shd w:val="clear" w:color="auto" w:fill="99CCFF"/>
          </w:tcPr>
          <w:p w:rsidR="00A32047" w:rsidRPr="00CF2681" w:rsidRDefault="002C6A6A" w:rsidP="00741682">
            <w:pPr>
              <w:spacing w:before="60" w:after="60"/>
              <w:jc w:val="center"/>
              <w:rPr>
                <w:rFonts w:cs="TiepoloItcTEEBoo"/>
                <w:b/>
                <w:bCs/>
                <w:szCs w:val="20"/>
              </w:rPr>
            </w:pPr>
            <w:r w:rsidRPr="00CF2681">
              <w:rPr>
                <w:rFonts w:cs="TiepoloItcTEEBoo"/>
                <w:b/>
                <w:bCs/>
                <w:szCs w:val="20"/>
              </w:rPr>
              <w:t>CELE STRATEGICZNE</w:t>
            </w:r>
          </w:p>
        </w:tc>
        <w:tc>
          <w:tcPr>
            <w:tcW w:w="6116" w:type="dxa"/>
            <w:tcBorders>
              <w:top w:val="single" w:sz="4" w:space="0" w:color="000000"/>
              <w:left w:val="single" w:sz="4" w:space="0" w:color="000000"/>
              <w:bottom w:val="single" w:sz="4" w:space="0" w:color="000000"/>
              <w:right w:val="single" w:sz="4" w:space="0" w:color="000000"/>
            </w:tcBorders>
            <w:shd w:val="clear" w:color="auto" w:fill="99CCFF"/>
          </w:tcPr>
          <w:p w:rsidR="00A32047" w:rsidRPr="00CF2681" w:rsidRDefault="002C6A6A" w:rsidP="00741682">
            <w:pPr>
              <w:spacing w:before="60" w:after="60"/>
              <w:jc w:val="center"/>
              <w:rPr>
                <w:szCs w:val="20"/>
              </w:rPr>
            </w:pPr>
            <w:r w:rsidRPr="00CF2681">
              <w:rPr>
                <w:rFonts w:cs="TiepoloItcTEEBoo"/>
                <w:b/>
                <w:bCs/>
                <w:szCs w:val="20"/>
              </w:rPr>
              <w:t>KIERUNKI DZIAŁANIA</w:t>
            </w:r>
          </w:p>
        </w:tc>
      </w:tr>
      <w:tr w:rsidR="00A32047" w:rsidRPr="00CF2681" w:rsidTr="00095DBA">
        <w:trPr>
          <w:cantSplit/>
          <w:trHeight w:val="2110"/>
        </w:trPr>
        <w:tc>
          <w:tcPr>
            <w:tcW w:w="2963" w:type="dxa"/>
            <w:tcBorders>
              <w:top w:val="single" w:sz="4" w:space="0" w:color="000000"/>
              <w:left w:val="single" w:sz="4" w:space="0" w:color="000000"/>
              <w:bottom w:val="single" w:sz="4" w:space="0" w:color="000000"/>
            </w:tcBorders>
          </w:tcPr>
          <w:p w:rsidR="00A32047" w:rsidRPr="00C85CF1" w:rsidRDefault="000E604A" w:rsidP="00095DBA">
            <w:pPr>
              <w:pStyle w:val="Akapitzlist5"/>
              <w:spacing w:after="0" w:line="240" w:lineRule="auto"/>
              <w:ind w:left="0"/>
              <w:rPr>
                <w:rFonts w:asciiTheme="minorHAnsi" w:hAnsiTheme="minorHAnsi" w:cs="TiepoloItcTEEBoo"/>
                <w:b/>
                <w:sz w:val="20"/>
                <w:szCs w:val="20"/>
              </w:rPr>
            </w:pPr>
            <w:r>
              <w:rPr>
                <w:rFonts w:asciiTheme="minorHAnsi" w:hAnsiTheme="minorHAnsi" w:cs="TiepoloItcTEEBoo"/>
                <w:b/>
                <w:sz w:val="20"/>
                <w:szCs w:val="20"/>
              </w:rPr>
              <w:t>1.</w:t>
            </w:r>
            <w:r w:rsidR="00C85CF1" w:rsidRPr="00C85CF1">
              <w:rPr>
                <w:rFonts w:asciiTheme="minorHAnsi" w:hAnsiTheme="minorHAnsi" w:cs="TiepoloItcTEEBoo"/>
                <w:b/>
                <w:sz w:val="20"/>
                <w:szCs w:val="20"/>
              </w:rPr>
              <w:t xml:space="preserve"> </w:t>
            </w:r>
            <w:r w:rsidR="00A32047" w:rsidRPr="00C85CF1">
              <w:rPr>
                <w:rFonts w:asciiTheme="minorHAnsi" w:hAnsiTheme="minorHAnsi" w:cs="TiepoloItcTEEBoo"/>
                <w:b/>
                <w:sz w:val="20"/>
                <w:szCs w:val="20"/>
              </w:rPr>
              <w:t>Poprawa bezpieczeństwa i</w:t>
            </w:r>
            <w:r w:rsidR="009721E3">
              <w:rPr>
                <w:rFonts w:asciiTheme="minorHAnsi" w:hAnsiTheme="minorHAnsi" w:cs="TiepoloItcTEEBoo"/>
                <w:b/>
                <w:sz w:val="20"/>
                <w:szCs w:val="20"/>
              </w:rPr>
              <w:t> </w:t>
            </w:r>
            <w:r w:rsidR="00A32047" w:rsidRPr="00C85CF1">
              <w:rPr>
                <w:rFonts w:asciiTheme="minorHAnsi" w:hAnsiTheme="minorHAnsi" w:cs="TiepoloItcTEEBoo"/>
                <w:b/>
                <w:sz w:val="20"/>
                <w:szCs w:val="20"/>
              </w:rPr>
              <w:t xml:space="preserve">komfortu życia mieszkańców </w:t>
            </w:r>
          </w:p>
        </w:tc>
        <w:tc>
          <w:tcPr>
            <w:tcW w:w="6116" w:type="dxa"/>
            <w:tcBorders>
              <w:top w:val="single" w:sz="4" w:space="0" w:color="000000"/>
              <w:left w:val="single" w:sz="4" w:space="0" w:color="000000"/>
              <w:bottom w:val="single" w:sz="4" w:space="0" w:color="000000"/>
              <w:right w:val="single" w:sz="4" w:space="0" w:color="000000"/>
            </w:tcBorders>
            <w:vAlign w:val="center"/>
          </w:tcPr>
          <w:p w:rsidR="00A32047" w:rsidRPr="00CF2681" w:rsidRDefault="00A32047" w:rsidP="007B034D">
            <w:pPr>
              <w:pStyle w:val="Default"/>
              <w:numPr>
                <w:ilvl w:val="1"/>
                <w:numId w:val="137"/>
              </w:numPr>
              <w:suppressAutoHyphens/>
              <w:autoSpaceDN/>
              <w:adjustRightInd/>
              <w:ind w:left="357" w:hanging="357"/>
              <w:rPr>
                <w:rFonts w:asciiTheme="minorHAnsi" w:hAnsiTheme="minorHAnsi" w:cs="TiepoloItcTEEBoo"/>
                <w:color w:val="auto"/>
                <w:sz w:val="20"/>
                <w:szCs w:val="20"/>
              </w:rPr>
            </w:pPr>
            <w:r w:rsidRPr="00CF2681">
              <w:rPr>
                <w:rFonts w:asciiTheme="minorHAnsi" w:hAnsiTheme="minorHAnsi" w:cs="TiepoloItcTEEBoo"/>
                <w:color w:val="auto"/>
                <w:sz w:val="20"/>
                <w:szCs w:val="20"/>
              </w:rPr>
              <w:t>dostosowanie  polityki mieszkaniowej do obecnej struktury wiekowej i</w:t>
            </w:r>
            <w:r w:rsidR="000E604A">
              <w:rPr>
                <w:rFonts w:asciiTheme="minorHAnsi" w:hAnsiTheme="minorHAnsi" w:cs="TiepoloItcTEEBoo"/>
                <w:color w:val="auto"/>
                <w:sz w:val="20"/>
                <w:szCs w:val="20"/>
              </w:rPr>
              <w:t> </w:t>
            </w:r>
            <w:r w:rsidRPr="00CF2681">
              <w:rPr>
                <w:rFonts w:asciiTheme="minorHAnsi" w:hAnsiTheme="minorHAnsi" w:cs="TiepoloItcTEEBoo"/>
                <w:color w:val="auto"/>
                <w:sz w:val="20"/>
                <w:szCs w:val="20"/>
              </w:rPr>
              <w:t>społecznej,</w:t>
            </w:r>
          </w:p>
          <w:p w:rsidR="00A32047" w:rsidRPr="00CF2681" w:rsidRDefault="00A32047" w:rsidP="007B034D">
            <w:pPr>
              <w:pStyle w:val="Default"/>
              <w:numPr>
                <w:ilvl w:val="1"/>
                <w:numId w:val="137"/>
              </w:numPr>
              <w:suppressAutoHyphens/>
              <w:autoSpaceDN/>
              <w:adjustRightInd/>
              <w:ind w:left="357" w:hanging="357"/>
              <w:rPr>
                <w:rFonts w:asciiTheme="minorHAnsi" w:hAnsiTheme="minorHAnsi" w:cs="TiepoloItcTEEBoo"/>
                <w:color w:val="auto"/>
                <w:sz w:val="20"/>
                <w:szCs w:val="20"/>
              </w:rPr>
            </w:pPr>
            <w:r w:rsidRPr="00CF2681">
              <w:rPr>
                <w:rFonts w:asciiTheme="minorHAnsi" w:hAnsiTheme="minorHAnsi" w:cs="TiepoloItcTEEBoo"/>
                <w:color w:val="auto"/>
                <w:sz w:val="20"/>
                <w:szCs w:val="20"/>
              </w:rPr>
              <w:t>aktywizacja społeczna mieszkańców,</w:t>
            </w:r>
          </w:p>
          <w:p w:rsidR="00A32047" w:rsidRPr="00CF2681" w:rsidRDefault="00A32047" w:rsidP="007B034D">
            <w:pPr>
              <w:pStyle w:val="Default"/>
              <w:numPr>
                <w:ilvl w:val="1"/>
                <w:numId w:val="137"/>
              </w:numPr>
              <w:suppressAutoHyphens/>
              <w:autoSpaceDN/>
              <w:adjustRightInd/>
              <w:ind w:left="357" w:hanging="357"/>
              <w:rPr>
                <w:rFonts w:asciiTheme="minorHAnsi" w:hAnsiTheme="minorHAnsi" w:cs="TiepoloItcTEEBoo"/>
                <w:color w:val="auto"/>
                <w:sz w:val="20"/>
                <w:szCs w:val="20"/>
              </w:rPr>
            </w:pPr>
            <w:r w:rsidRPr="00CF2681">
              <w:rPr>
                <w:rFonts w:asciiTheme="minorHAnsi" w:hAnsiTheme="minorHAnsi" w:cs="TiepoloItcTEEBoo"/>
                <w:color w:val="auto"/>
                <w:sz w:val="20"/>
                <w:szCs w:val="20"/>
              </w:rPr>
              <w:t>aktywizacja mieszkańców w kierunku rozwoju przedsiębiorczości związanej z lokalnymi usługami,</w:t>
            </w:r>
          </w:p>
          <w:p w:rsidR="00A32047" w:rsidRPr="00CF2681" w:rsidRDefault="00A32047" w:rsidP="007B034D">
            <w:pPr>
              <w:pStyle w:val="Default"/>
              <w:numPr>
                <w:ilvl w:val="1"/>
                <w:numId w:val="137"/>
              </w:numPr>
              <w:suppressAutoHyphens/>
              <w:autoSpaceDN/>
              <w:adjustRightInd/>
              <w:ind w:left="357" w:hanging="357"/>
              <w:rPr>
                <w:rFonts w:asciiTheme="minorHAnsi" w:hAnsiTheme="minorHAnsi" w:cs="TiepoloItcTEEBoo"/>
                <w:sz w:val="20"/>
                <w:szCs w:val="20"/>
              </w:rPr>
            </w:pPr>
            <w:r w:rsidRPr="00CF2681">
              <w:rPr>
                <w:rFonts w:asciiTheme="minorHAnsi" w:hAnsiTheme="minorHAnsi" w:cs="TiepoloItcTEEBoo"/>
                <w:color w:val="auto"/>
                <w:sz w:val="20"/>
                <w:szCs w:val="20"/>
              </w:rPr>
              <w:t>aktywizacja zawodowa mieszkańców,</w:t>
            </w:r>
          </w:p>
          <w:p w:rsidR="00A32047" w:rsidRPr="00CF2681" w:rsidRDefault="00A32047" w:rsidP="007B034D">
            <w:pPr>
              <w:pStyle w:val="Default"/>
              <w:numPr>
                <w:ilvl w:val="1"/>
                <w:numId w:val="137"/>
              </w:numPr>
              <w:suppressAutoHyphens/>
              <w:autoSpaceDN/>
              <w:adjustRightInd/>
              <w:ind w:left="357" w:hanging="357"/>
              <w:rPr>
                <w:rFonts w:asciiTheme="minorHAnsi" w:hAnsiTheme="minorHAnsi" w:cs="TiepoloItcTEEBoo"/>
                <w:sz w:val="20"/>
                <w:szCs w:val="20"/>
              </w:rPr>
            </w:pPr>
            <w:r w:rsidRPr="00CF2681">
              <w:rPr>
                <w:rFonts w:asciiTheme="minorHAnsi" w:hAnsiTheme="minorHAnsi" w:cs="TiepoloItcTEEBoo"/>
                <w:sz w:val="20"/>
                <w:szCs w:val="20"/>
              </w:rPr>
              <w:t>zwiększenie ilości patroli policji i straży miejskiej,</w:t>
            </w:r>
          </w:p>
          <w:p w:rsidR="00A32047" w:rsidRPr="00CF2681" w:rsidRDefault="00A32047" w:rsidP="007B034D">
            <w:pPr>
              <w:pStyle w:val="Default"/>
              <w:numPr>
                <w:ilvl w:val="1"/>
                <w:numId w:val="137"/>
              </w:numPr>
              <w:suppressAutoHyphens/>
              <w:autoSpaceDN/>
              <w:adjustRightInd/>
              <w:ind w:left="357" w:hanging="357"/>
              <w:rPr>
                <w:rFonts w:asciiTheme="minorHAnsi" w:hAnsiTheme="minorHAnsi" w:cs="TiepoloItcTEEBoo"/>
                <w:sz w:val="20"/>
                <w:szCs w:val="20"/>
              </w:rPr>
            </w:pPr>
            <w:r w:rsidRPr="00CF2681">
              <w:rPr>
                <w:rFonts w:asciiTheme="minorHAnsi" w:hAnsiTheme="minorHAnsi" w:cs="TiepoloItcTEEBoo"/>
                <w:sz w:val="20"/>
                <w:szCs w:val="20"/>
              </w:rPr>
              <w:t>prowadzenie kampanii informacyjno-edukacyjnych poprawiających relacje mieszkańców z policją i strażą miejską,</w:t>
            </w:r>
          </w:p>
          <w:p w:rsidR="00A32047" w:rsidRPr="00CF2681" w:rsidRDefault="00A32047" w:rsidP="007B034D">
            <w:pPr>
              <w:pStyle w:val="Default"/>
              <w:numPr>
                <w:ilvl w:val="1"/>
                <w:numId w:val="137"/>
              </w:numPr>
              <w:suppressAutoHyphens/>
              <w:autoSpaceDN/>
              <w:adjustRightInd/>
              <w:ind w:left="357" w:hanging="357"/>
              <w:rPr>
                <w:rFonts w:asciiTheme="minorHAnsi" w:hAnsiTheme="minorHAnsi" w:cs="TiepoloItcTEEBoo"/>
                <w:sz w:val="20"/>
                <w:szCs w:val="20"/>
              </w:rPr>
            </w:pPr>
            <w:r w:rsidRPr="00CF2681">
              <w:rPr>
                <w:rFonts w:asciiTheme="minorHAnsi" w:hAnsiTheme="minorHAnsi" w:cs="TiepoloItcTEEBoo"/>
                <w:sz w:val="20"/>
                <w:szCs w:val="20"/>
              </w:rPr>
              <w:t>ograniczenie sprzedaży alkoholu w godzinach nocnych,</w:t>
            </w:r>
          </w:p>
          <w:p w:rsidR="00A32047" w:rsidRPr="00CF2681" w:rsidRDefault="00A32047" w:rsidP="007B034D">
            <w:pPr>
              <w:pStyle w:val="Default"/>
              <w:numPr>
                <w:ilvl w:val="1"/>
                <w:numId w:val="137"/>
              </w:numPr>
              <w:suppressAutoHyphens/>
              <w:autoSpaceDN/>
              <w:adjustRightInd/>
              <w:ind w:left="357" w:hanging="357"/>
              <w:rPr>
                <w:rFonts w:asciiTheme="minorHAnsi" w:hAnsiTheme="minorHAnsi" w:cs="TiepoloItcTEEBoo"/>
                <w:sz w:val="20"/>
                <w:szCs w:val="20"/>
              </w:rPr>
            </w:pPr>
            <w:r w:rsidRPr="00CF2681">
              <w:rPr>
                <w:rFonts w:asciiTheme="minorHAnsi" w:hAnsiTheme="minorHAnsi" w:cs="TiepoloItcTEEBoo"/>
                <w:sz w:val="20"/>
                <w:szCs w:val="20"/>
              </w:rPr>
              <w:t xml:space="preserve">doświetlenie ulic i placów, </w:t>
            </w:r>
          </w:p>
          <w:p w:rsidR="00A32047" w:rsidRPr="00CF2681" w:rsidRDefault="00A32047" w:rsidP="007B034D">
            <w:pPr>
              <w:pStyle w:val="Default"/>
              <w:numPr>
                <w:ilvl w:val="1"/>
                <w:numId w:val="137"/>
              </w:numPr>
              <w:suppressAutoHyphens/>
              <w:autoSpaceDN/>
              <w:adjustRightInd/>
              <w:ind w:left="357" w:hanging="357"/>
              <w:rPr>
                <w:rFonts w:asciiTheme="minorHAnsi" w:hAnsiTheme="minorHAnsi" w:cs="TiepoloItcTEEBoo"/>
                <w:sz w:val="20"/>
                <w:szCs w:val="20"/>
              </w:rPr>
            </w:pPr>
            <w:r w:rsidRPr="00CF2681">
              <w:rPr>
                <w:rFonts w:asciiTheme="minorHAnsi" w:hAnsiTheme="minorHAnsi" w:cs="TiepoloItcTEEBoo"/>
                <w:sz w:val="20"/>
                <w:szCs w:val="20"/>
              </w:rPr>
              <w:t>montaż kamer monitoringu przemysłowego,</w:t>
            </w:r>
          </w:p>
          <w:p w:rsidR="00A32047" w:rsidRPr="00CF2681" w:rsidRDefault="00A32047" w:rsidP="007B034D">
            <w:pPr>
              <w:pStyle w:val="Default"/>
              <w:numPr>
                <w:ilvl w:val="1"/>
                <w:numId w:val="137"/>
              </w:numPr>
              <w:suppressAutoHyphens/>
              <w:autoSpaceDN/>
              <w:adjustRightInd/>
              <w:ind w:left="357" w:hanging="357"/>
              <w:rPr>
                <w:rFonts w:asciiTheme="minorHAnsi" w:hAnsiTheme="minorHAnsi" w:cs="TiepoloItcTEEBoo"/>
                <w:sz w:val="20"/>
                <w:szCs w:val="20"/>
              </w:rPr>
            </w:pPr>
            <w:r w:rsidRPr="00CF2681">
              <w:rPr>
                <w:rFonts w:asciiTheme="minorHAnsi" w:hAnsiTheme="minorHAnsi" w:cs="TiepoloItcTEEBoo"/>
                <w:sz w:val="20"/>
                <w:szCs w:val="20"/>
              </w:rPr>
              <w:t xml:space="preserve">ograniczenie niskiej emisji pyłów z kominów, będących wynikiem nadmiernego spalania w piecach węglowych, </w:t>
            </w:r>
          </w:p>
          <w:p w:rsidR="00A32047" w:rsidRPr="00CF2681" w:rsidRDefault="00A32047" w:rsidP="007B034D">
            <w:pPr>
              <w:pStyle w:val="Default"/>
              <w:numPr>
                <w:ilvl w:val="1"/>
                <w:numId w:val="137"/>
              </w:numPr>
              <w:suppressAutoHyphens/>
              <w:autoSpaceDN/>
              <w:adjustRightInd/>
              <w:ind w:left="357" w:hanging="357"/>
              <w:rPr>
                <w:rFonts w:asciiTheme="minorHAnsi" w:hAnsiTheme="minorHAnsi" w:cs="TiepoloItcTEEBoo"/>
                <w:sz w:val="20"/>
                <w:szCs w:val="20"/>
              </w:rPr>
            </w:pPr>
            <w:r w:rsidRPr="00CF2681">
              <w:rPr>
                <w:rFonts w:asciiTheme="minorHAnsi" w:hAnsiTheme="minorHAnsi" w:cs="TiepoloItcTEEBoo"/>
                <w:sz w:val="20"/>
                <w:szCs w:val="20"/>
              </w:rPr>
              <w:t xml:space="preserve">ograniczenie hałasu dochodzącego z rejonu linii kolejowej nr 131, </w:t>
            </w:r>
          </w:p>
          <w:p w:rsidR="00A32047" w:rsidRPr="00CF2681" w:rsidRDefault="00A32047" w:rsidP="007B034D">
            <w:pPr>
              <w:pStyle w:val="Default"/>
              <w:numPr>
                <w:ilvl w:val="1"/>
                <w:numId w:val="137"/>
              </w:numPr>
              <w:suppressAutoHyphens/>
              <w:autoSpaceDN/>
              <w:adjustRightInd/>
              <w:ind w:left="357" w:hanging="357"/>
              <w:rPr>
                <w:rFonts w:asciiTheme="minorHAnsi" w:hAnsiTheme="minorHAnsi"/>
                <w:sz w:val="20"/>
                <w:szCs w:val="20"/>
              </w:rPr>
            </w:pPr>
            <w:r w:rsidRPr="00CF2681">
              <w:rPr>
                <w:rFonts w:asciiTheme="minorHAnsi" w:hAnsiTheme="minorHAnsi" w:cs="TiepoloItcTEEBoo"/>
                <w:sz w:val="20"/>
                <w:szCs w:val="20"/>
              </w:rPr>
              <w:t>nadzór nad funkcjonowaniem miejsc skupu złomów, mający zapobiegać kradzieżom metalowych elementów w dzielnicy</w:t>
            </w:r>
            <w:r w:rsidR="00E41CDB">
              <w:rPr>
                <w:rFonts w:asciiTheme="minorHAnsi" w:hAnsiTheme="minorHAnsi" w:cs="TiepoloItcTEEBoo"/>
                <w:sz w:val="20"/>
                <w:szCs w:val="20"/>
              </w:rPr>
              <w:t>.</w:t>
            </w:r>
          </w:p>
        </w:tc>
      </w:tr>
      <w:tr w:rsidR="00A32047" w:rsidRPr="00CF2681" w:rsidTr="00095DBA">
        <w:trPr>
          <w:cantSplit/>
          <w:trHeight w:val="1729"/>
        </w:trPr>
        <w:tc>
          <w:tcPr>
            <w:tcW w:w="2963" w:type="dxa"/>
            <w:tcBorders>
              <w:top w:val="single" w:sz="4" w:space="0" w:color="000000"/>
              <w:left w:val="single" w:sz="4" w:space="0" w:color="000000"/>
              <w:bottom w:val="single" w:sz="4" w:space="0" w:color="000000"/>
            </w:tcBorders>
          </w:tcPr>
          <w:p w:rsidR="00A32047" w:rsidRPr="00C85CF1" w:rsidRDefault="00C85CF1" w:rsidP="00095DBA">
            <w:pPr>
              <w:pStyle w:val="Akapitzlist5"/>
              <w:spacing w:after="0" w:line="240" w:lineRule="auto"/>
              <w:ind w:left="0"/>
              <w:rPr>
                <w:rFonts w:asciiTheme="minorHAnsi" w:hAnsiTheme="minorHAnsi" w:cs="TiepoloItcTEEBoo"/>
                <w:b/>
                <w:sz w:val="20"/>
                <w:szCs w:val="20"/>
              </w:rPr>
            </w:pPr>
            <w:r w:rsidRPr="00C85CF1">
              <w:rPr>
                <w:rFonts w:asciiTheme="minorHAnsi" w:hAnsiTheme="minorHAnsi" w:cs="TiepoloItcTEEBoo"/>
                <w:b/>
                <w:sz w:val="20"/>
                <w:szCs w:val="20"/>
              </w:rPr>
              <w:t xml:space="preserve">2. </w:t>
            </w:r>
            <w:r w:rsidR="00CF2681" w:rsidRPr="00C85CF1">
              <w:rPr>
                <w:rFonts w:asciiTheme="minorHAnsi" w:hAnsiTheme="minorHAnsi" w:cs="TiepoloItcTEEBoo"/>
                <w:b/>
                <w:sz w:val="20"/>
                <w:szCs w:val="20"/>
              </w:rPr>
              <w:t xml:space="preserve">Lepsza oferta spędzania </w:t>
            </w:r>
            <w:r w:rsidR="00A32047" w:rsidRPr="00C85CF1">
              <w:rPr>
                <w:rFonts w:asciiTheme="minorHAnsi" w:hAnsiTheme="minorHAnsi" w:cs="TiepoloItcTEEBoo"/>
                <w:b/>
                <w:sz w:val="20"/>
                <w:szCs w:val="20"/>
              </w:rPr>
              <w:t>czasu</w:t>
            </w:r>
          </w:p>
        </w:tc>
        <w:tc>
          <w:tcPr>
            <w:tcW w:w="6116" w:type="dxa"/>
            <w:tcBorders>
              <w:top w:val="single" w:sz="4" w:space="0" w:color="000000"/>
              <w:left w:val="single" w:sz="4" w:space="0" w:color="000000"/>
              <w:bottom w:val="single" w:sz="4" w:space="0" w:color="000000"/>
              <w:right w:val="single" w:sz="4" w:space="0" w:color="000000"/>
            </w:tcBorders>
            <w:vAlign w:val="center"/>
          </w:tcPr>
          <w:p w:rsidR="00A32047" w:rsidRPr="00CF2681" w:rsidRDefault="00A32047" w:rsidP="007B034D">
            <w:pPr>
              <w:numPr>
                <w:ilvl w:val="0"/>
                <w:numId w:val="127"/>
              </w:numPr>
              <w:suppressAutoHyphens/>
              <w:ind w:left="357" w:hanging="357"/>
              <w:rPr>
                <w:rFonts w:cs="TiepoloItcTEEBoo"/>
                <w:szCs w:val="20"/>
              </w:rPr>
            </w:pPr>
            <w:r w:rsidRPr="00CF2681">
              <w:rPr>
                <w:rFonts w:cs="TiepoloItcTEEBoo"/>
                <w:szCs w:val="20"/>
              </w:rPr>
              <w:t>rozszerzenie oferty wydarzeń: sportowych, kulturalnych, społecznych (integracyjnych, międzypokoleniowych oraz sąsiedzkich),</w:t>
            </w:r>
          </w:p>
          <w:p w:rsidR="00A32047" w:rsidRPr="00CF2681" w:rsidRDefault="00A32047" w:rsidP="007B034D">
            <w:pPr>
              <w:numPr>
                <w:ilvl w:val="0"/>
                <w:numId w:val="127"/>
              </w:numPr>
              <w:suppressAutoHyphens/>
              <w:ind w:left="357" w:hanging="357"/>
              <w:rPr>
                <w:rFonts w:cs="TiepoloItcTEEBoo"/>
                <w:szCs w:val="20"/>
              </w:rPr>
            </w:pPr>
            <w:r w:rsidRPr="00CF2681">
              <w:rPr>
                <w:rFonts w:cs="TiepoloItcTEEBoo"/>
                <w:szCs w:val="20"/>
              </w:rPr>
              <w:t>rozwój lokalnych inicjatyw wspierających rozwój dzielnicy,</w:t>
            </w:r>
          </w:p>
          <w:p w:rsidR="00A32047" w:rsidRPr="00CF2681" w:rsidRDefault="00A32047" w:rsidP="007B034D">
            <w:pPr>
              <w:numPr>
                <w:ilvl w:val="0"/>
                <w:numId w:val="127"/>
              </w:numPr>
              <w:suppressAutoHyphens/>
              <w:ind w:left="357" w:hanging="357"/>
              <w:rPr>
                <w:rFonts w:cs="TiepoloItcTEEBoo"/>
                <w:szCs w:val="20"/>
              </w:rPr>
            </w:pPr>
            <w:r w:rsidRPr="00CF2681">
              <w:rPr>
                <w:rFonts w:cs="TiepoloItcTEEBoo"/>
                <w:szCs w:val="20"/>
              </w:rPr>
              <w:t>tworzenie placówek, w których dzieci będą mogły spędzać wolny czas,</w:t>
            </w:r>
          </w:p>
          <w:p w:rsidR="00A32047" w:rsidRPr="00CF2681" w:rsidRDefault="00A32047" w:rsidP="007B034D">
            <w:pPr>
              <w:numPr>
                <w:ilvl w:val="0"/>
                <w:numId w:val="127"/>
              </w:numPr>
              <w:suppressAutoHyphens/>
              <w:ind w:left="357" w:hanging="357"/>
              <w:rPr>
                <w:rFonts w:cs="TiepoloItcTEEBoo"/>
                <w:szCs w:val="20"/>
              </w:rPr>
            </w:pPr>
            <w:r w:rsidRPr="00CF2681">
              <w:rPr>
                <w:rFonts w:cs="TiepoloItcTEEBoo"/>
                <w:szCs w:val="20"/>
              </w:rPr>
              <w:t>tworzenie centrów integracji społecznej z bogatą ofertą zajęć dla osób starszych,</w:t>
            </w:r>
          </w:p>
          <w:p w:rsidR="00A32047" w:rsidRPr="00CF2681" w:rsidRDefault="00A32047" w:rsidP="007B034D">
            <w:pPr>
              <w:numPr>
                <w:ilvl w:val="0"/>
                <w:numId w:val="127"/>
              </w:numPr>
              <w:suppressAutoHyphens/>
              <w:ind w:left="357" w:hanging="357"/>
              <w:rPr>
                <w:szCs w:val="20"/>
              </w:rPr>
            </w:pPr>
            <w:r w:rsidRPr="00CF2681">
              <w:rPr>
                <w:rFonts w:cs="TiepoloItcTEEBoo"/>
                <w:szCs w:val="20"/>
              </w:rPr>
              <w:t>budowa nowych obiektów tj.: boisk, skate-parków, ścianek wspinaczkowych</w:t>
            </w:r>
            <w:r w:rsidR="00E41CDB">
              <w:rPr>
                <w:rFonts w:cs="TiepoloItcTEEBoo"/>
                <w:szCs w:val="20"/>
              </w:rPr>
              <w:t>.</w:t>
            </w:r>
          </w:p>
        </w:tc>
      </w:tr>
      <w:tr w:rsidR="00A32047" w:rsidRPr="00CF2681" w:rsidTr="00095DBA">
        <w:trPr>
          <w:cantSplit/>
          <w:trHeight w:val="490"/>
        </w:trPr>
        <w:tc>
          <w:tcPr>
            <w:tcW w:w="2963" w:type="dxa"/>
            <w:tcBorders>
              <w:top w:val="single" w:sz="4" w:space="0" w:color="000000"/>
              <w:left w:val="single" w:sz="4" w:space="0" w:color="000000"/>
              <w:bottom w:val="single" w:sz="4" w:space="0" w:color="000000"/>
            </w:tcBorders>
          </w:tcPr>
          <w:p w:rsidR="00A32047" w:rsidRPr="00C85CF1" w:rsidRDefault="00C85CF1" w:rsidP="00095DBA">
            <w:pPr>
              <w:pStyle w:val="Akapitzlist5"/>
              <w:spacing w:after="0" w:line="240" w:lineRule="auto"/>
              <w:ind w:left="0"/>
              <w:rPr>
                <w:rFonts w:asciiTheme="minorHAnsi" w:hAnsiTheme="minorHAnsi" w:cs="TiepoloItcTEEBoo"/>
                <w:b/>
                <w:sz w:val="20"/>
                <w:szCs w:val="20"/>
              </w:rPr>
            </w:pPr>
            <w:r w:rsidRPr="00C85CF1">
              <w:rPr>
                <w:rFonts w:asciiTheme="minorHAnsi" w:hAnsiTheme="minorHAnsi" w:cs="TiepoloItcTEEBoo"/>
                <w:b/>
                <w:sz w:val="20"/>
                <w:szCs w:val="20"/>
              </w:rPr>
              <w:t xml:space="preserve">3. </w:t>
            </w:r>
            <w:r w:rsidR="00A32047" w:rsidRPr="00C85CF1">
              <w:rPr>
                <w:rFonts w:asciiTheme="minorHAnsi" w:hAnsiTheme="minorHAnsi" w:cs="TiepoloItcTEEBoo"/>
                <w:b/>
                <w:sz w:val="20"/>
                <w:szCs w:val="20"/>
              </w:rPr>
              <w:t>Poprawa jakości przestrzeni</w:t>
            </w:r>
          </w:p>
        </w:tc>
        <w:tc>
          <w:tcPr>
            <w:tcW w:w="6116" w:type="dxa"/>
            <w:tcBorders>
              <w:top w:val="single" w:sz="4" w:space="0" w:color="000000"/>
              <w:left w:val="single" w:sz="4" w:space="0" w:color="000000"/>
              <w:bottom w:val="single" w:sz="4" w:space="0" w:color="000000"/>
              <w:right w:val="single" w:sz="4" w:space="0" w:color="000000"/>
            </w:tcBorders>
            <w:vAlign w:val="center"/>
          </w:tcPr>
          <w:p w:rsidR="00A32047" w:rsidRPr="00CF2681" w:rsidRDefault="00A32047" w:rsidP="007B034D">
            <w:pPr>
              <w:numPr>
                <w:ilvl w:val="0"/>
                <w:numId w:val="113"/>
              </w:numPr>
              <w:suppressAutoHyphens/>
              <w:ind w:left="357" w:hanging="357"/>
              <w:rPr>
                <w:rFonts w:cs="TiepoloItcTEEBoo"/>
                <w:szCs w:val="20"/>
              </w:rPr>
            </w:pPr>
            <w:r w:rsidRPr="00CF2681">
              <w:rPr>
                <w:rFonts w:cs="TiepoloItcTEEBoo"/>
                <w:szCs w:val="20"/>
              </w:rPr>
              <w:t>uporządkowanie krajobrazu przestrzeni miejskiej,</w:t>
            </w:r>
          </w:p>
          <w:p w:rsidR="00A32047" w:rsidRPr="00CF2681" w:rsidRDefault="00A32047" w:rsidP="007B034D">
            <w:pPr>
              <w:numPr>
                <w:ilvl w:val="0"/>
                <w:numId w:val="113"/>
              </w:numPr>
              <w:suppressAutoHyphens/>
              <w:ind w:left="357" w:hanging="357"/>
              <w:rPr>
                <w:szCs w:val="20"/>
              </w:rPr>
            </w:pPr>
            <w:r w:rsidRPr="00CF2681">
              <w:rPr>
                <w:rFonts w:cs="TiepoloItcTEEBoo"/>
                <w:szCs w:val="20"/>
              </w:rPr>
              <w:t>tworzenie nowych obszarów zieleni uporządkowanej i usług komercyjnych</w:t>
            </w:r>
            <w:r w:rsidR="00E41CDB">
              <w:rPr>
                <w:rFonts w:cs="TiepoloItcTEEBoo"/>
                <w:szCs w:val="20"/>
              </w:rPr>
              <w:t>.</w:t>
            </w:r>
          </w:p>
        </w:tc>
      </w:tr>
      <w:tr w:rsidR="00A32047" w:rsidRPr="00CF2681" w:rsidTr="00095DBA">
        <w:trPr>
          <w:cantSplit/>
          <w:trHeight w:val="715"/>
        </w:trPr>
        <w:tc>
          <w:tcPr>
            <w:tcW w:w="2963" w:type="dxa"/>
            <w:tcBorders>
              <w:top w:val="single" w:sz="4" w:space="0" w:color="000000"/>
              <w:left w:val="single" w:sz="4" w:space="0" w:color="000000"/>
              <w:bottom w:val="single" w:sz="4" w:space="0" w:color="000000"/>
            </w:tcBorders>
          </w:tcPr>
          <w:p w:rsidR="00A32047" w:rsidRPr="00C85CF1" w:rsidRDefault="00C85CF1" w:rsidP="00095DBA">
            <w:pPr>
              <w:pStyle w:val="Akapitzlist5"/>
              <w:spacing w:after="0" w:line="240" w:lineRule="auto"/>
              <w:ind w:left="0"/>
              <w:rPr>
                <w:rFonts w:asciiTheme="minorHAnsi" w:hAnsiTheme="minorHAnsi" w:cs="TiepoloItcTEEBoo"/>
                <w:b/>
                <w:sz w:val="20"/>
                <w:szCs w:val="20"/>
              </w:rPr>
            </w:pPr>
            <w:r w:rsidRPr="00C85CF1">
              <w:rPr>
                <w:rFonts w:asciiTheme="minorHAnsi" w:hAnsiTheme="minorHAnsi" w:cs="TiepoloItcTEEBoo"/>
                <w:b/>
                <w:sz w:val="20"/>
                <w:szCs w:val="20"/>
              </w:rPr>
              <w:lastRenderedPageBreak/>
              <w:t xml:space="preserve">4. </w:t>
            </w:r>
            <w:r w:rsidR="00A32047" w:rsidRPr="00C85CF1">
              <w:rPr>
                <w:rFonts w:asciiTheme="minorHAnsi" w:hAnsiTheme="minorHAnsi" w:cs="TiepoloItcTEEBoo"/>
                <w:b/>
                <w:sz w:val="20"/>
                <w:szCs w:val="20"/>
              </w:rPr>
              <w:t>Poprawa zarządzania budynkami</w:t>
            </w:r>
          </w:p>
        </w:tc>
        <w:tc>
          <w:tcPr>
            <w:tcW w:w="6116" w:type="dxa"/>
            <w:tcBorders>
              <w:top w:val="single" w:sz="4" w:space="0" w:color="000000"/>
              <w:left w:val="single" w:sz="4" w:space="0" w:color="000000"/>
              <w:bottom w:val="single" w:sz="4" w:space="0" w:color="000000"/>
              <w:right w:val="single" w:sz="4" w:space="0" w:color="000000"/>
            </w:tcBorders>
            <w:vAlign w:val="center"/>
          </w:tcPr>
          <w:p w:rsidR="00A32047" w:rsidRPr="00CF2681" w:rsidRDefault="00A32047" w:rsidP="007B034D">
            <w:pPr>
              <w:numPr>
                <w:ilvl w:val="0"/>
                <w:numId w:val="113"/>
              </w:numPr>
              <w:suppressAutoHyphens/>
              <w:ind w:left="357" w:hanging="357"/>
              <w:rPr>
                <w:rFonts w:cs="TiepoloItcTEEBoo"/>
                <w:szCs w:val="20"/>
              </w:rPr>
            </w:pPr>
            <w:r w:rsidRPr="00CF2681">
              <w:rPr>
                <w:rFonts w:cs="TiepoloItcTEEBoo"/>
                <w:szCs w:val="20"/>
              </w:rPr>
              <w:t>przejęcie przez gminę Bytom obiektów o skomplikowanej sytuacji własnościowej i nieruchomości o dużej wartości kulturowej,</w:t>
            </w:r>
          </w:p>
          <w:p w:rsidR="00A32047" w:rsidRPr="00CF2681" w:rsidRDefault="00A32047" w:rsidP="007B034D">
            <w:pPr>
              <w:numPr>
                <w:ilvl w:val="0"/>
                <w:numId w:val="113"/>
              </w:numPr>
              <w:suppressAutoHyphens/>
              <w:ind w:left="357" w:right="100" w:hanging="357"/>
              <w:rPr>
                <w:rFonts w:cs="TiepoloItcTEEBoo"/>
                <w:szCs w:val="20"/>
              </w:rPr>
            </w:pPr>
            <w:r w:rsidRPr="00CF2681">
              <w:rPr>
                <w:rFonts w:cs="TiepoloItcTEEBoo"/>
                <w:szCs w:val="20"/>
              </w:rPr>
              <w:t>podjęcie przez Urząd Miejski w Bytomiu działań dotyczących scalania terenów zielonych i mieszkaniowych,</w:t>
            </w:r>
          </w:p>
          <w:p w:rsidR="00A32047" w:rsidRPr="00CF2681" w:rsidRDefault="00A32047" w:rsidP="007B034D">
            <w:pPr>
              <w:numPr>
                <w:ilvl w:val="0"/>
                <w:numId w:val="113"/>
              </w:numPr>
              <w:suppressAutoHyphens/>
              <w:ind w:left="357" w:hanging="357"/>
              <w:rPr>
                <w:rFonts w:cs="TiepoloItcTEEBoo"/>
                <w:szCs w:val="20"/>
              </w:rPr>
            </w:pPr>
            <w:r w:rsidRPr="00CF2681">
              <w:rPr>
                <w:rFonts w:cs="TiepoloItcTEEBoo"/>
                <w:szCs w:val="20"/>
              </w:rPr>
              <w:t>przeprowadzenie remontów istniejącej zabudowy</w:t>
            </w:r>
            <w:r w:rsidR="00074670">
              <w:rPr>
                <w:rFonts w:cs="TiepoloItcTEEBoo"/>
                <w:szCs w:val="20"/>
              </w:rPr>
              <w:t xml:space="preserve"> oraz kompleksowe dostosowanie </w:t>
            </w:r>
            <w:r w:rsidRPr="00CF2681">
              <w:rPr>
                <w:rFonts w:cs="TiepoloItcTEEBoo"/>
                <w:szCs w:val="20"/>
              </w:rPr>
              <w:t>lokali do obowiązujących standardów,</w:t>
            </w:r>
          </w:p>
          <w:p w:rsidR="00A32047" w:rsidRPr="00CF2681" w:rsidRDefault="00A32047" w:rsidP="007B034D">
            <w:pPr>
              <w:numPr>
                <w:ilvl w:val="0"/>
                <w:numId w:val="113"/>
              </w:numPr>
              <w:suppressAutoHyphens/>
              <w:ind w:left="357" w:hanging="357"/>
              <w:rPr>
                <w:rFonts w:cs="TiepoloItcTEEBoo"/>
                <w:szCs w:val="20"/>
              </w:rPr>
            </w:pPr>
            <w:r w:rsidRPr="00CF2681">
              <w:rPr>
                <w:rFonts w:cs="TiepoloItcTEEBoo"/>
                <w:szCs w:val="20"/>
              </w:rPr>
              <w:t>uporządkowanie zabudowy garażowej i gospodarczej,</w:t>
            </w:r>
          </w:p>
          <w:p w:rsidR="00A32047" w:rsidRPr="00CF2681" w:rsidRDefault="00A32047" w:rsidP="007B034D">
            <w:pPr>
              <w:numPr>
                <w:ilvl w:val="0"/>
                <w:numId w:val="113"/>
              </w:numPr>
              <w:suppressAutoHyphens/>
              <w:ind w:left="357" w:hanging="357"/>
              <w:rPr>
                <w:szCs w:val="20"/>
              </w:rPr>
            </w:pPr>
            <w:r w:rsidRPr="00CF2681">
              <w:rPr>
                <w:rFonts w:cs="TiepoloItcTEEBoo"/>
                <w:szCs w:val="20"/>
              </w:rPr>
              <w:t>stworzenie oferty wykorzystania zasobów lokalowych na cele mieszkalne oraz użytkowe</w:t>
            </w:r>
            <w:r w:rsidR="00E41CDB">
              <w:rPr>
                <w:rFonts w:cs="TiepoloItcTEEBoo"/>
                <w:szCs w:val="20"/>
              </w:rPr>
              <w:t>.</w:t>
            </w:r>
          </w:p>
        </w:tc>
      </w:tr>
      <w:tr w:rsidR="00A32047" w:rsidRPr="00CF2681" w:rsidTr="00095DBA">
        <w:trPr>
          <w:cantSplit/>
          <w:trHeight w:val="715"/>
        </w:trPr>
        <w:tc>
          <w:tcPr>
            <w:tcW w:w="2963" w:type="dxa"/>
            <w:tcBorders>
              <w:top w:val="single" w:sz="4" w:space="0" w:color="000000"/>
              <w:left w:val="single" w:sz="4" w:space="0" w:color="000000"/>
              <w:bottom w:val="single" w:sz="4" w:space="0" w:color="000000"/>
            </w:tcBorders>
          </w:tcPr>
          <w:p w:rsidR="00A32047" w:rsidRPr="00C85CF1" w:rsidRDefault="00C85CF1" w:rsidP="00095DBA">
            <w:pPr>
              <w:pStyle w:val="Akapitzlist5"/>
              <w:spacing w:after="0" w:line="240" w:lineRule="auto"/>
              <w:ind w:left="0"/>
              <w:rPr>
                <w:rFonts w:asciiTheme="minorHAnsi" w:hAnsiTheme="minorHAnsi" w:cs="TiepoloItcTEEBoo"/>
                <w:b/>
                <w:sz w:val="20"/>
                <w:szCs w:val="20"/>
              </w:rPr>
            </w:pPr>
            <w:r w:rsidRPr="00C85CF1">
              <w:rPr>
                <w:rFonts w:asciiTheme="minorHAnsi" w:hAnsiTheme="minorHAnsi" w:cs="TiepoloItcTEEBoo"/>
                <w:b/>
                <w:sz w:val="20"/>
                <w:szCs w:val="20"/>
              </w:rPr>
              <w:t xml:space="preserve">5. </w:t>
            </w:r>
            <w:r w:rsidR="00A32047" w:rsidRPr="00C85CF1">
              <w:rPr>
                <w:rFonts w:asciiTheme="minorHAnsi" w:hAnsiTheme="minorHAnsi" w:cs="TiepoloItcTEEBoo"/>
                <w:b/>
                <w:sz w:val="20"/>
                <w:szCs w:val="20"/>
              </w:rPr>
              <w:t>Lepsza dostępność komunikacyjna</w:t>
            </w:r>
          </w:p>
        </w:tc>
        <w:tc>
          <w:tcPr>
            <w:tcW w:w="6116" w:type="dxa"/>
            <w:tcBorders>
              <w:top w:val="single" w:sz="4" w:space="0" w:color="000000"/>
              <w:left w:val="single" w:sz="4" w:space="0" w:color="000000"/>
              <w:bottom w:val="single" w:sz="4" w:space="0" w:color="000000"/>
              <w:right w:val="single" w:sz="4" w:space="0" w:color="000000"/>
            </w:tcBorders>
            <w:vAlign w:val="center"/>
          </w:tcPr>
          <w:p w:rsidR="00A32047" w:rsidRPr="00CF2681" w:rsidRDefault="00A32047" w:rsidP="007B034D">
            <w:pPr>
              <w:numPr>
                <w:ilvl w:val="0"/>
                <w:numId w:val="113"/>
              </w:numPr>
              <w:suppressAutoHyphens/>
              <w:ind w:left="357" w:hanging="357"/>
              <w:rPr>
                <w:rFonts w:cs="TiepoloItcTEEBoo"/>
                <w:szCs w:val="20"/>
              </w:rPr>
            </w:pPr>
            <w:r w:rsidRPr="00CF2681">
              <w:rPr>
                <w:rFonts w:cs="TiepoloItcTEEBoo"/>
                <w:szCs w:val="20"/>
              </w:rPr>
              <w:t>budowa sieci ścieżek pieszych i dróg rowerowych powiązanych z</w:t>
            </w:r>
            <w:r w:rsidR="000E604A">
              <w:rPr>
                <w:rFonts w:cs="TiepoloItcTEEBoo"/>
                <w:szCs w:val="20"/>
              </w:rPr>
              <w:t> </w:t>
            </w:r>
            <w:r w:rsidRPr="00CF2681">
              <w:rPr>
                <w:rFonts w:cs="TiepoloItcTEEBoo"/>
                <w:szCs w:val="20"/>
              </w:rPr>
              <w:t>otoczeniem,</w:t>
            </w:r>
          </w:p>
          <w:p w:rsidR="00A32047" w:rsidRPr="00CF2681" w:rsidRDefault="00A32047" w:rsidP="007B034D">
            <w:pPr>
              <w:numPr>
                <w:ilvl w:val="0"/>
                <w:numId w:val="113"/>
              </w:numPr>
              <w:suppressAutoHyphens/>
              <w:ind w:left="357" w:hanging="357"/>
              <w:rPr>
                <w:rFonts w:cs="TiepoloItcTEEBoo"/>
                <w:szCs w:val="20"/>
              </w:rPr>
            </w:pPr>
            <w:r w:rsidRPr="00CF2681">
              <w:rPr>
                <w:rFonts w:cs="TiepoloItcTEEBoo"/>
                <w:szCs w:val="20"/>
              </w:rPr>
              <w:t>przeprowadzenie diagnozy w kontekście usług, w tym usług miejskich i opracowanie planu usprawnienia dostępu do nich,</w:t>
            </w:r>
          </w:p>
          <w:p w:rsidR="00A32047" w:rsidRPr="00CF2681" w:rsidRDefault="008B3730" w:rsidP="007B034D">
            <w:pPr>
              <w:numPr>
                <w:ilvl w:val="0"/>
                <w:numId w:val="113"/>
              </w:numPr>
              <w:suppressAutoHyphens/>
              <w:ind w:left="357" w:hanging="357"/>
              <w:rPr>
                <w:rFonts w:cs="TiepoloItcTEEBoo"/>
                <w:szCs w:val="20"/>
              </w:rPr>
            </w:pPr>
            <w:r>
              <w:rPr>
                <w:rFonts w:cs="TiepoloItcTEEBoo"/>
                <w:szCs w:val="20"/>
              </w:rPr>
              <w:t xml:space="preserve">dostosowanie </w:t>
            </w:r>
            <w:r w:rsidR="00A32047" w:rsidRPr="00CF2681">
              <w:rPr>
                <w:rFonts w:cs="TiepoloItcTEEBoo"/>
                <w:szCs w:val="20"/>
              </w:rPr>
              <w:t>układu ciągów komunikacji samochodowej, rowerowej, ciągów pieszych i transportu publicznego do funkcji mieszkaniowej,</w:t>
            </w:r>
          </w:p>
          <w:p w:rsidR="00A32047" w:rsidRPr="00CF2681" w:rsidRDefault="00A32047" w:rsidP="007B034D">
            <w:pPr>
              <w:numPr>
                <w:ilvl w:val="0"/>
                <w:numId w:val="113"/>
              </w:numPr>
              <w:suppressAutoHyphens/>
              <w:ind w:left="357" w:hanging="357"/>
              <w:rPr>
                <w:rFonts w:cs="TiepoloItcTEEBoo"/>
                <w:szCs w:val="20"/>
              </w:rPr>
            </w:pPr>
            <w:r w:rsidRPr="00CF2681">
              <w:rPr>
                <w:rFonts w:cs="TiepoloItcTEEBoo"/>
                <w:szCs w:val="20"/>
              </w:rPr>
              <w:t>uspokojenie ruchu samochodowego i rozwój alternatywnych form pr</w:t>
            </w:r>
            <w:r w:rsidR="00F04A1E">
              <w:rPr>
                <w:rFonts w:cs="TiepoloItcTEEBoo"/>
                <w:szCs w:val="20"/>
              </w:rPr>
              <w:t xml:space="preserve">zemieszczania się po dzielnicy </w:t>
            </w:r>
            <w:r w:rsidRPr="00CF2681">
              <w:rPr>
                <w:rFonts w:cs="TiepoloItcTEEBoo"/>
                <w:szCs w:val="20"/>
              </w:rPr>
              <w:t>i poza dzielnicę,</w:t>
            </w:r>
          </w:p>
          <w:p w:rsidR="00A32047" w:rsidRPr="00CF2681" w:rsidRDefault="00A32047" w:rsidP="007B034D">
            <w:pPr>
              <w:numPr>
                <w:ilvl w:val="0"/>
                <w:numId w:val="113"/>
              </w:numPr>
              <w:suppressAutoHyphens/>
              <w:ind w:left="357" w:hanging="357"/>
              <w:rPr>
                <w:rFonts w:cs="TiepoloItcTEEBoo"/>
                <w:szCs w:val="20"/>
              </w:rPr>
            </w:pPr>
            <w:r w:rsidRPr="00CF2681">
              <w:rPr>
                <w:rFonts w:cs="TiepoloItcTEEBoo"/>
                <w:szCs w:val="20"/>
              </w:rPr>
              <w:t>stworzenie systemu infrastruktury rowerowej na obszarze dzielnicy,</w:t>
            </w:r>
          </w:p>
          <w:p w:rsidR="00A32047" w:rsidRPr="00CF2681" w:rsidRDefault="00A32047" w:rsidP="007B034D">
            <w:pPr>
              <w:numPr>
                <w:ilvl w:val="0"/>
                <w:numId w:val="113"/>
              </w:numPr>
              <w:suppressAutoHyphens/>
              <w:ind w:left="357" w:hanging="357"/>
              <w:rPr>
                <w:szCs w:val="20"/>
              </w:rPr>
            </w:pPr>
            <w:r w:rsidRPr="00CF2681">
              <w:rPr>
                <w:rFonts w:cs="TiepoloItcTEEBoo"/>
                <w:szCs w:val="20"/>
              </w:rPr>
              <w:t>likwidacja barier komunikacyjnych</w:t>
            </w:r>
            <w:r w:rsidR="00E41CDB">
              <w:rPr>
                <w:rFonts w:cs="TiepoloItcTEEBoo"/>
                <w:szCs w:val="20"/>
              </w:rPr>
              <w:t>.</w:t>
            </w:r>
          </w:p>
        </w:tc>
      </w:tr>
    </w:tbl>
    <w:p w:rsidR="002F7D68" w:rsidRPr="00AE19F2" w:rsidRDefault="002F7D68" w:rsidP="007C52A1">
      <w:pPr>
        <w:pStyle w:val="Nagwek5"/>
        <w:spacing w:before="0" w:after="0"/>
        <w:jc w:val="both"/>
        <w:rPr>
          <w:b w:val="0"/>
        </w:rPr>
      </w:pPr>
      <w:r w:rsidRPr="00AE19F2">
        <w:rPr>
          <w:rFonts w:asciiTheme="minorHAnsi" w:eastAsia="Calibri" w:hAnsiTheme="minorHAnsi"/>
          <w:b w:val="0"/>
          <w:sz w:val="18"/>
          <w:szCs w:val="20"/>
        </w:rPr>
        <w:t>Źródło:</w:t>
      </w:r>
      <w:r w:rsidRPr="00AE19F2">
        <w:rPr>
          <w:rFonts w:asciiTheme="minorHAnsi" w:eastAsia="Calibri" w:hAnsiTheme="minorHAnsi"/>
          <w:sz w:val="18"/>
          <w:szCs w:val="20"/>
        </w:rPr>
        <w:t xml:space="preserve"> </w:t>
      </w:r>
      <w:r w:rsidRPr="00AE19F2">
        <w:rPr>
          <w:rFonts w:asciiTheme="minorHAnsi" w:eastAsia="Calibri" w:hAnsiTheme="minorHAnsi"/>
          <w:b w:val="0"/>
          <w:sz w:val="18"/>
          <w:szCs w:val="20"/>
        </w:rPr>
        <w:t>Opracowanie własne na podstawie Raportu z procesu partycypacyjnego dotyczącego obszaru rewitalizacji nr 12 Rozbark</w:t>
      </w:r>
    </w:p>
    <w:p w:rsidR="004C04D9" w:rsidRDefault="004C04D9" w:rsidP="004C04D9"/>
    <w:p w:rsidR="00A32047" w:rsidRPr="004C04D9" w:rsidRDefault="000E3421" w:rsidP="004C04D9">
      <w:pPr>
        <w:jc w:val="center"/>
        <w:rPr>
          <w:b/>
          <w:color w:val="0070C0"/>
          <w:sz w:val="26"/>
          <w:szCs w:val="26"/>
        </w:rPr>
      </w:pPr>
      <w:r w:rsidRPr="004C04D9">
        <w:rPr>
          <w:b/>
          <w:color w:val="0070C0"/>
          <w:sz w:val="26"/>
          <w:szCs w:val="26"/>
        </w:rPr>
        <w:t>ŚRÓDMIEŚCIE ZACHÓD</w:t>
      </w:r>
    </w:p>
    <w:p w:rsidR="00A32047" w:rsidRDefault="00A32047" w:rsidP="00A32047">
      <w:pPr>
        <w:pStyle w:val="Pa6"/>
        <w:jc w:val="center"/>
      </w:pPr>
      <w:r>
        <w:rPr>
          <w:rFonts w:ascii="Calibri" w:hAnsi="Calibri" w:cs="Calibri"/>
          <w:b/>
          <w:bCs/>
          <w:i/>
          <w:iCs/>
          <w:sz w:val="24"/>
        </w:rPr>
        <w:t>Śródmieście Zachód to obszar cechujący się dużą ilością terenów zielonych i atrakcyjnych przestrzeni publicznych, oferujący wysokiej jakości tkankę mieszkaniową, którego mieszkańcy aktywnie uczestniczą w życiu obszaru.</w:t>
      </w:r>
    </w:p>
    <w:p w:rsidR="00A32047" w:rsidRDefault="00A32047" w:rsidP="00A32047"/>
    <w:p w:rsidR="00A32047" w:rsidRPr="00416636" w:rsidRDefault="00416636" w:rsidP="00416636">
      <w:pPr>
        <w:pStyle w:val="Legenda"/>
        <w:keepNext/>
      </w:pPr>
      <w:bookmarkStart w:id="7847" w:name="_Toc202771122"/>
      <w:r w:rsidRPr="00F07D1B">
        <w:t xml:space="preserve">Tabela </w:t>
      </w:r>
      <w:r w:rsidR="003972D8" w:rsidRPr="00F07D1B">
        <w:fldChar w:fldCharType="begin"/>
      </w:r>
      <w:r w:rsidRPr="00F07D1B">
        <w:instrText xml:space="preserve"> SEQ Tabela \* ARABIC </w:instrText>
      </w:r>
      <w:r w:rsidR="003972D8" w:rsidRPr="00F07D1B">
        <w:fldChar w:fldCharType="separate"/>
      </w:r>
      <w:r w:rsidR="00413FFE">
        <w:rPr>
          <w:noProof/>
        </w:rPr>
        <w:t>28</w:t>
      </w:r>
      <w:r w:rsidR="003972D8" w:rsidRPr="00F07D1B">
        <w:fldChar w:fldCharType="end"/>
      </w:r>
      <w:r w:rsidRPr="00F07D1B">
        <w:t xml:space="preserve">. </w:t>
      </w:r>
      <w:r w:rsidRPr="00725021">
        <w:t>Śródmieście Zachód  – cele i kierunki</w:t>
      </w:r>
      <w:bookmarkEnd w:id="7847"/>
    </w:p>
    <w:tbl>
      <w:tblPr>
        <w:tblW w:w="0" w:type="auto"/>
        <w:tblInd w:w="-20" w:type="dxa"/>
        <w:tblLayout w:type="fixed"/>
        <w:tblLook w:val="0000"/>
      </w:tblPr>
      <w:tblGrid>
        <w:gridCol w:w="2963"/>
        <w:gridCol w:w="6116"/>
      </w:tblGrid>
      <w:tr w:rsidR="00A32047" w:rsidRPr="00327DE9" w:rsidTr="00EC78E0">
        <w:trPr>
          <w:cantSplit/>
          <w:tblHeader/>
        </w:trPr>
        <w:tc>
          <w:tcPr>
            <w:tcW w:w="2963" w:type="dxa"/>
            <w:tcBorders>
              <w:top w:val="single" w:sz="4" w:space="0" w:color="000000"/>
              <w:left w:val="single" w:sz="4" w:space="0" w:color="000000"/>
              <w:bottom w:val="single" w:sz="4" w:space="0" w:color="000000"/>
            </w:tcBorders>
            <w:shd w:val="clear" w:color="auto" w:fill="99CCFF"/>
          </w:tcPr>
          <w:p w:rsidR="00A32047" w:rsidRPr="00327DE9" w:rsidRDefault="002C6A6A" w:rsidP="00741682">
            <w:pPr>
              <w:spacing w:before="60" w:after="60"/>
              <w:jc w:val="center"/>
              <w:rPr>
                <w:rFonts w:cs="TiepoloItcTEEBoo"/>
                <w:b/>
                <w:bCs/>
                <w:szCs w:val="20"/>
              </w:rPr>
            </w:pPr>
            <w:r w:rsidRPr="00327DE9">
              <w:rPr>
                <w:rFonts w:cs="TiepoloItcTEEBoo"/>
                <w:b/>
                <w:bCs/>
                <w:szCs w:val="20"/>
              </w:rPr>
              <w:t>CELE STRATEGICZNE</w:t>
            </w:r>
          </w:p>
        </w:tc>
        <w:tc>
          <w:tcPr>
            <w:tcW w:w="6116" w:type="dxa"/>
            <w:tcBorders>
              <w:top w:val="single" w:sz="4" w:space="0" w:color="000000"/>
              <w:left w:val="single" w:sz="4" w:space="0" w:color="000000"/>
              <w:bottom w:val="single" w:sz="4" w:space="0" w:color="000000"/>
              <w:right w:val="single" w:sz="4" w:space="0" w:color="000000"/>
            </w:tcBorders>
            <w:shd w:val="clear" w:color="auto" w:fill="99CCFF"/>
          </w:tcPr>
          <w:p w:rsidR="00A32047" w:rsidRPr="00327DE9" w:rsidRDefault="002C6A6A" w:rsidP="00741682">
            <w:pPr>
              <w:spacing w:before="60" w:after="60"/>
              <w:jc w:val="center"/>
              <w:rPr>
                <w:szCs w:val="20"/>
              </w:rPr>
            </w:pPr>
            <w:r w:rsidRPr="00327DE9">
              <w:rPr>
                <w:rFonts w:cs="TiepoloItcTEEBoo"/>
                <w:b/>
                <w:bCs/>
                <w:szCs w:val="20"/>
              </w:rPr>
              <w:t>KIERUNKI DZIAŁANIA</w:t>
            </w:r>
          </w:p>
        </w:tc>
      </w:tr>
      <w:tr w:rsidR="00A32047" w:rsidRPr="00327DE9" w:rsidTr="00095DBA">
        <w:trPr>
          <w:cantSplit/>
          <w:trHeight w:val="2110"/>
        </w:trPr>
        <w:tc>
          <w:tcPr>
            <w:tcW w:w="2963" w:type="dxa"/>
            <w:tcBorders>
              <w:top w:val="single" w:sz="4" w:space="0" w:color="000000"/>
              <w:left w:val="single" w:sz="4" w:space="0" w:color="000000"/>
              <w:bottom w:val="single" w:sz="4" w:space="0" w:color="000000"/>
            </w:tcBorders>
          </w:tcPr>
          <w:p w:rsidR="00A32047" w:rsidRPr="000E604A" w:rsidRDefault="000E604A" w:rsidP="00E41EE8">
            <w:pPr>
              <w:pStyle w:val="Akapitzlist5"/>
              <w:spacing w:after="80" w:line="240" w:lineRule="auto"/>
              <w:ind w:left="0"/>
              <w:rPr>
                <w:rFonts w:asciiTheme="minorHAnsi" w:hAnsiTheme="minorHAnsi" w:cs="TiepoloItcTEEBoo"/>
                <w:b/>
                <w:sz w:val="20"/>
                <w:szCs w:val="20"/>
              </w:rPr>
            </w:pPr>
            <w:r w:rsidRPr="000E604A">
              <w:rPr>
                <w:rFonts w:asciiTheme="minorHAnsi" w:hAnsiTheme="minorHAnsi" w:cs="TiepoloItcTEEBoo"/>
                <w:b/>
                <w:sz w:val="20"/>
                <w:szCs w:val="20"/>
              </w:rPr>
              <w:t xml:space="preserve">1. </w:t>
            </w:r>
            <w:r w:rsidR="00A32047" w:rsidRPr="000E604A">
              <w:rPr>
                <w:rFonts w:asciiTheme="minorHAnsi" w:hAnsiTheme="minorHAnsi" w:cs="TiepoloItcTEEBoo"/>
                <w:b/>
                <w:sz w:val="20"/>
                <w:szCs w:val="20"/>
              </w:rPr>
              <w:t>Poprawa stanu infrastruktury komunalnej, tkanki mieszkaniowej i</w:t>
            </w:r>
            <w:r>
              <w:rPr>
                <w:rFonts w:asciiTheme="minorHAnsi" w:hAnsiTheme="minorHAnsi" w:cs="TiepoloItcTEEBoo"/>
                <w:b/>
                <w:sz w:val="20"/>
                <w:szCs w:val="20"/>
              </w:rPr>
              <w:t> </w:t>
            </w:r>
            <w:r w:rsidR="00A32047" w:rsidRPr="000E604A">
              <w:rPr>
                <w:rFonts w:asciiTheme="minorHAnsi" w:hAnsiTheme="minorHAnsi" w:cs="TiepoloItcTEEBoo"/>
                <w:b/>
                <w:sz w:val="20"/>
                <w:szCs w:val="20"/>
              </w:rPr>
              <w:t>przestrzeni publicznych w</w:t>
            </w:r>
            <w:r>
              <w:rPr>
                <w:rFonts w:asciiTheme="minorHAnsi" w:hAnsiTheme="minorHAnsi" w:cs="TiepoloItcTEEBoo"/>
                <w:b/>
                <w:sz w:val="20"/>
                <w:szCs w:val="20"/>
              </w:rPr>
              <w:t> </w:t>
            </w:r>
            <w:r w:rsidR="00A32047" w:rsidRPr="000E604A">
              <w:rPr>
                <w:rFonts w:asciiTheme="minorHAnsi" w:hAnsiTheme="minorHAnsi" w:cs="TiepoloItcTEEBoo"/>
                <w:b/>
                <w:sz w:val="20"/>
                <w:szCs w:val="20"/>
              </w:rPr>
              <w:t>celu poprawy jakości środowiska zamieszkania i</w:t>
            </w:r>
            <w:r>
              <w:rPr>
                <w:rFonts w:asciiTheme="minorHAnsi" w:hAnsiTheme="minorHAnsi" w:cs="TiepoloItcTEEBoo"/>
                <w:b/>
                <w:sz w:val="20"/>
                <w:szCs w:val="20"/>
              </w:rPr>
              <w:t> </w:t>
            </w:r>
            <w:r w:rsidR="00A32047" w:rsidRPr="000E604A">
              <w:rPr>
                <w:rFonts w:asciiTheme="minorHAnsi" w:hAnsiTheme="minorHAnsi" w:cs="TiepoloItcTEEBoo"/>
                <w:b/>
                <w:sz w:val="20"/>
                <w:szCs w:val="20"/>
              </w:rPr>
              <w:t>przyciągnięcia nowych mieszkańców oraz wzrost dostępności do</w:t>
            </w:r>
            <w:r>
              <w:rPr>
                <w:rFonts w:asciiTheme="minorHAnsi" w:hAnsiTheme="minorHAnsi" w:cs="TiepoloItcTEEBoo"/>
                <w:b/>
                <w:sz w:val="20"/>
                <w:szCs w:val="20"/>
              </w:rPr>
              <w:t xml:space="preserve"> atrakcyjnych usług społecznych</w:t>
            </w:r>
          </w:p>
        </w:tc>
        <w:tc>
          <w:tcPr>
            <w:tcW w:w="6116" w:type="dxa"/>
            <w:tcBorders>
              <w:top w:val="single" w:sz="4" w:space="0" w:color="000000"/>
              <w:left w:val="single" w:sz="4" w:space="0" w:color="000000"/>
              <w:bottom w:val="single" w:sz="4" w:space="0" w:color="000000"/>
              <w:right w:val="single" w:sz="4" w:space="0" w:color="000000"/>
            </w:tcBorders>
          </w:tcPr>
          <w:p w:rsidR="00A32047" w:rsidRPr="00327DE9" w:rsidRDefault="00A32047" w:rsidP="007B034D">
            <w:pPr>
              <w:pStyle w:val="Akapitzlist5"/>
              <w:numPr>
                <w:ilvl w:val="1"/>
                <w:numId w:val="148"/>
              </w:numPr>
              <w:spacing w:after="0" w:line="240" w:lineRule="auto"/>
              <w:ind w:left="337"/>
              <w:rPr>
                <w:rFonts w:asciiTheme="minorHAnsi" w:hAnsiTheme="minorHAnsi" w:cs="TiepoloItcTEEBoo"/>
                <w:sz w:val="20"/>
                <w:szCs w:val="20"/>
              </w:rPr>
            </w:pPr>
            <w:r w:rsidRPr="00327DE9">
              <w:rPr>
                <w:rFonts w:asciiTheme="minorHAnsi" w:hAnsiTheme="minorHAnsi" w:cs="TiepoloItcTEEBoo"/>
                <w:sz w:val="20"/>
                <w:szCs w:val="20"/>
              </w:rPr>
              <w:t>poprawa poziomu bezpieczeństwa w dzielnicy,</w:t>
            </w:r>
          </w:p>
          <w:p w:rsidR="00A32047" w:rsidRPr="00327DE9" w:rsidRDefault="00A32047" w:rsidP="007B034D">
            <w:pPr>
              <w:pStyle w:val="Akapitzlist5"/>
              <w:numPr>
                <w:ilvl w:val="1"/>
                <w:numId w:val="148"/>
              </w:numPr>
              <w:spacing w:after="0" w:line="240" w:lineRule="auto"/>
              <w:ind w:left="337"/>
              <w:rPr>
                <w:rFonts w:asciiTheme="minorHAnsi" w:hAnsiTheme="minorHAnsi" w:cs="TiepoloItcTEEBoo"/>
                <w:sz w:val="20"/>
                <w:szCs w:val="20"/>
              </w:rPr>
            </w:pPr>
            <w:r w:rsidRPr="00327DE9">
              <w:rPr>
                <w:rFonts w:asciiTheme="minorHAnsi" w:hAnsiTheme="minorHAnsi" w:cs="TiepoloItcTEEBoo"/>
                <w:sz w:val="20"/>
                <w:szCs w:val="20"/>
              </w:rPr>
              <w:t>podniesienie standardu tkanki mieszkaniowej,</w:t>
            </w:r>
          </w:p>
          <w:p w:rsidR="00A32047" w:rsidRPr="00327DE9" w:rsidRDefault="00A32047" w:rsidP="007B034D">
            <w:pPr>
              <w:pStyle w:val="Akapitzlist5"/>
              <w:numPr>
                <w:ilvl w:val="1"/>
                <w:numId w:val="148"/>
              </w:numPr>
              <w:spacing w:after="0" w:line="240" w:lineRule="auto"/>
              <w:ind w:left="337"/>
              <w:rPr>
                <w:rFonts w:asciiTheme="minorHAnsi" w:hAnsiTheme="minorHAnsi" w:cs="TiepoloItcTEEBoo"/>
                <w:sz w:val="20"/>
                <w:szCs w:val="20"/>
              </w:rPr>
            </w:pPr>
            <w:r w:rsidRPr="00327DE9">
              <w:rPr>
                <w:rFonts w:asciiTheme="minorHAnsi" w:hAnsiTheme="minorHAnsi" w:cs="TiepoloItcTEEBoo"/>
                <w:sz w:val="20"/>
                <w:szCs w:val="20"/>
              </w:rPr>
              <w:t>poprawa standardu infrastruktury komunalnej,</w:t>
            </w:r>
          </w:p>
          <w:p w:rsidR="00A32047" w:rsidRPr="00327DE9" w:rsidRDefault="00A32047" w:rsidP="007B034D">
            <w:pPr>
              <w:pStyle w:val="Akapitzlist5"/>
              <w:numPr>
                <w:ilvl w:val="1"/>
                <w:numId w:val="148"/>
              </w:numPr>
              <w:spacing w:after="0" w:line="240" w:lineRule="auto"/>
              <w:ind w:left="337"/>
              <w:rPr>
                <w:rFonts w:asciiTheme="minorHAnsi" w:hAnsiTheme="minorHAnsi" w:cs="TiepoloItcTEEBoo"/>
                <w:sz w:val="20"/>
                <w:szCs w:val="20"/>
              </w:rPr>
            </w:pPr>
            <w:r w:rsidRPr="00327DE9">
              <w:rPr>
                <w:rFonts w:asciiTheme="minorHAnsi" w:hAnsiTheme="minorHAnsi" w:cs="TiepoloItcTEEBoo"/>
                <w:sz w:val="20"/>
                <w:szCs w:val="20"/>
              </w:rPr>
              <w:t>modernizacja i tworzenie atrakcyjnych przestrzeni publicznych,</w:t>
            </w:r>
          </w:p>
          <w:p w:rsidR="00A32047" w:rsidRPr="00327DE9" w:rsidRDefault="00A32047" w:rsidP="007B034D">
            <w:pPr>
              <w:pStyle w:val="Akapitzlist5"/>
              <w:numPr>
                <w:ilvl w:val="1"/>
                <w:numId w:val="148"/>
              </w:numPr>
              <w:spacing w:after="0" w:line="240" w:lineRule="auto"/>
              <w:ind w:left="337"/>
              <w:rPr>
                <w:rFonts w:asciiTheme="minorHAnsi" w:hAnsiTheme="minorHAnsi" w:cs="TiepoloItcTEEBoo"/>
                <w:sz w:val="20"/>
                <w:szCs w:val="20"/>
              </w:rPr>
            </w:pPr>
            <w:r w:rsidRPr="00327DE9">
              <w:rPr>
                <w:rFonts w:asciiTheme="minorHAnsi" w:hAnsiTheme="minorHAnsi" w:cs="TiepoloItcTEEBoo"/>
                <w:sz w:val="20"/>
                <w:szCs w:val="20"/>
              </w:rPr>
              <w:t>przyciąganie nowych mieszkańców,</w:t>
            </w:r>
          </w:p>
          <w:p w:rsidR="00A32047" w:rsidRPr="00327DE9" w:rsidRDefault="00A32047" w:rsidP="007B034D">
            <w:pPr>
              <w:pStyle w:val="Akapitzlist5"/>
              <w:numPr>
                <w:ilvl w:val="1"/>
                <w:numId w:val="148"/>
              </w:numPr>
              <w:spacing w:after="0" w:line="240" w:lineRule="auto"/>
              <w:ind w:left="337"/>
              <w:rPr>
                <w:rFonts w:asciiTheme="minorHAnsi" w:hAnsiTheme="minorHAnsi" w:cs="TiepoloItcTEEBoo"/>
                <w:sz w:val="20"/>
                <w:szCs w:val="20"/>
              </w:rPr>
            </w:pPr>
            <w:r w:rsidRPr="00327DE9">
              <w:rPr>
                <w:rFonts w:asciiTheme="minorHAnsi" w:hAnsiTheme="minorHAnsi" w:cs="TiepoloItcTEEBoo"/>
                <w:sz w:val="20"/>
                <w:szCs w:val="20"/>
              </w:rPr>
              <w:t>poprawa efektywności energetycznej budynków</w:t>
            </w:r>
            <w:r w:rsidR="00E41CDB">
              <w:rPr>
                <w:rFonts w:asciiTheme="minorHAnsi" w:hAnsiTheme="minorHAnsi" w:cs="TiepoloItcTEEBoo"/>
                <w:sz w:val="20"/>
                <w:szCs w:val="20"/>
              </w:rPr>
              <w:t>.</w:t>
            </w:r>
          </w:p>
          <w:p w:rsidR="00A32047" w:rsidRPr="00327DE9" w:rsidRDefault="00A32047" w:rsidP="00327DE9">
            <w:pPr>
              <w:pStyle w:val="Default"/>
              <w:rPr>
                <w:rFonts w:asciiTheme="minorHAnsi" w:hAnsiTheme="minorHAnsi" w:cs="TiepoloItcTEEBoo"/>
                <w:color w:val="auto"/>
                <w:sz w:val="20"/>
                <w:szCs w:val="20"/>
              </w:rPr>
            </w:pPr>
          </w:p>
        </w:tc>
      </w:tr>
      <w:tr w:rsidR="00A32047" w:rsidRPr="00327DE9" w:rsidTr="00095DBA">
        <w:trPr>
          <w:cantSplit/>
          <w:trHeight w:val="1505"/>
        </w:trPr>
        <w:tc>
          <w:tcPr>
            <w:tcW w:w="2963" w:type="dxa"/>
            <w:tcBorders>
              <w:top w:val="single" w:sz="4" w:space="0" w:color="000000"/>
              <w:left w:val="single" w:sz="4" w:space="0" w:color="000000"/>
              <w:bottom w:val="single" w:sz="4" w:space="0" w:color="000000"/>
            </w:tcBorders>
          </w:tcPr>
          <w:p w:rsidR="00A32047" w:rsidRPr="000E604A" w:rsidRDefault="000E604A" w:rsidP="00095DBA">
            <w:pPr>
              <w:pStyle w:val="Akapitzlist5"/>
              <w:spacing w:after="0" w:line="240" w:lineRule="auto"/>
              <w:ind w:left="0"/>
              <w:rPr>
                <w:rFonts w:asciiTheme="minorHAnsi" w:hAnsiTheme="minorHAnsi" w:cs="TiepoloItcTEEBoo"/>
                <w:b/>
                <w:sz w:val="20"/>
                <w:szCs w:val="20"/>
              </w:rPr>
            </w:pPr>
            <w:r w:rsidRPr="000E604A">
              <w:rPr>
                <w:rFonts w:asciiTheme="minorHAnsi" w:hAnsiTheme="minorHAnsi" w:cs="TiepoloItcTEEBoo"/>
                <w:b/>
                <w:sz w:val="20"/>
                <w:szCs w:val="20"/>
              </w:rPr>
              <w:t xml:space="preserve">2. </w:t>
            </w:r>
            <w:r w:rsidR="00A32047" w:rsidRPr="000E604A">
              <w:rPr>
                <w:rFonts w:asciiTheme="minorHAnsi" w:hAnsiTheme="minorHAnsi" w:cs="TiepoloItcTEEBoo"/>
                <w:b/>
                <w:sz w:val="20"/>
                <w:szCs w:val="20"/>
              </w:rPr>
              <w:t>Zapobieganie wykluczeniu społecznemu i wzmacnianie integracji społeczności lokalnej</w:t>
            </w:r>
          </w:p>
        </w:tc>
        <w:tc>
          <w:tcPr>
            <w:tcW w:w="6116" w:type="dxa"/>
            <w:tcBorders>
              <w:top w:val="single" w:sz="4" w:space="0" w:color="000000"/>
              <w:left w:val="single" w:sz="4" w:space="0" w:color="000000"/>
              <w:bottom w:val="single" w:sz="4" w:space="0" w:color="000000"/>
              <w:right w:val="single" w:sz="4" w:space="0" w:color="000000"/>
            </w:tcBorders>
            <w:vAlign w:val="center"/>
          </w:tcPr>
          <w:p w:rsidR="00A32047" w:rsidRPr="00327DE9" w:rsidRDefault="00A32047" w:rsidP="007B034D">
            <w:pPr>
              <w:pStyle w:val="Akapitzlist5"/>
              <w:numPr>
                <w:ilvl w:val="1"/>
                <w:numId w:val="133"/>
              </w:numPr>
              <w:spacing w:after="0" w:line="240" w:lineRule="auto"/>
              <w:ind w:left="357" w:hanging="357"/>
              <w:rPr>
                <w:rFonts w:asciiTheme="minorHAnsi" w:hAnsiTheme="minorHAnsi" w:cs="TiepoloItcTEEBoo"/>
                <w:sz w:val="20"/>
                <w:szCs w:val="20"/>
              </w:rPr>
            </w:pPr>
            <w:r w:rsidRPr="00327DE9">
              <w:rPr>
                <w:rFonts w:asciiTheme="minorHAnsi" w:hAnsiTheme="minorHAnsi" w:cs="TiepoloItcTEEBoo"/>
                <w:sz w:val="20"/>
                <w:szCs w:val="20"/>
              </w:rPr>
              <w:t>wzmocnienie aktywnego uczestnictwa mieszkańców obszaru w</w:t>
            </w:r>
            <w:r w:rsidR="00EC78E0">
              <w:rPr>
                <w:rFonts w:asciiTheme="minorHAnsi" w:hAnsiTheme="minorHAnsi" w:cs="TiepoloItcTEEBoo"/>
                <w:sz w:val="20"/>
                <w:szCs w:val="20"/>
              </w:rPr>
              <w:t> </w:t>
            </w:r>
            <w:r w:rsidRPr="00327DE9">
              <w:rPr>
                <w:rFonts w:asciiTheme="minorHAnsi" w:hAnsiTheme="minorHAnsi" w:cs="TiepoloItcTEEBoo"/>
                <w:sz w:val="20"/>
                <w:szCs w:val="20"/>
              </w:rPr>
              <w:t>życiu miasta,</w:t>
            </w:r>
          </w:p>
          <w:p w:rsidR="00A32047" w:rsidRPr="00327DE9" w:rsidRDefault="00A32047" w:rsidP="007B034D">
            <w:pPr>
              <w:pStyle w:val="Akapitzlist5"/>
              <w:numPr>
                <w:ilvl w:val="1"/>
                <w:numId w:val="133"/>
              </w:numPr>
              <w:spacing w:after="0" w:line="240" w:lineRule="auto"/>
              <w:ind w:left="357" w:hanging="357"/>
              <w:rPr>
                <w:rFonts w:asciiTheme="minorHAnsi" w:hAnsiTheme="minorHAnsi" w:cs="TiepoloItcTEEBoo"/>
                <w:sz w:val="20"/>
                <w:szCs w:val="20"/>
              </w:rPr>
            </w:pPr>
            <w:r w:rsidRPr="00327DE9">
              <w:rPr>
                <w:rFonts w:asciiTheme="minorHAnsi" w:hAnsiTheme="minorHAnsi" w:cs="TiepoloItcTEEBoo"/>
                <w:sz w:val="20"/>
                <w:szCs w:val="20"/>
              </w:rPr>
              <w:t>tworzenie oferty spędzania czasu wolnego ze szczególnym uwzględnieniem potrzeb dzieci, młodzieży, osób starszych i wykluczonych społecznie,</w:t>
            </w:r>
          </w:p>
          <w:p w:rsidR="00A32047" w:rsidRPr="00327DE9" w:rsidRDefault="00A32047" w:rsidP="007B034D">
            <w:pPr>
              <w:pStyle w:val="Akapitzlist5"/>
              <w:numPr>
                <w:ilvl w:val="1"/>
                <w:numId w:val="133"/>
              </w:numPr>
              <w:spacing w:after="0" w:line="240" w:lineRule="auto"/>
              <w:ind w:left="357" w:hanging="357"/>
              <w:rPr>
                <w:rFonts w:asciiTheme="minorHAnsi" w:hAnsiTheme="minorHAnsi"/>
                <w:sz w:val="20"/>
                <w:szCs w:val="20"/>
              </w:rPr>
            </w:pPr>
            <w:r w:rsidRPr="00327DE9">
              <w:rPr>
                <w:rFonts w:asciiTheme="minorHAnsi" w:hAnsiTheme="minorHAnsi" w:cs="TiepoloItcTEEBoo"/>
                <w:sz w:val="20"/>
                <w:szCs w:val="20"/>
              </w:rPr>
              <w:t>zwiększenie dostępności do specjalistycznej pomocy społecznej</w:t>
            </w:r>
            <w:r w:rsidR="00E41CDB">
              <w:rPr>
                <w:rFonts w:asciiTheme="minorHAnsi" w:hAnsiTheme="minorHAnsi" w:cs="TiepoloItcTEEBoo"/>
                <w:sz w:val="20"/>
                <w:szCs w:val="20"/>
              </w:rPr>
              <w:t>.</w:t>
            </w:r>
          </w:p>
        </w:tc>
      </w:tr>
      <w:tr w:rsidR="00A32047" w:rsidRPr="00327DE9" w:rsidTr="00095DBA">
        <w:trPr>
          <w:cantSplit/>
          <w:trHeight w:val="2142"/>
        </w:trPr>
        <w:tc>
          <w:tcPr>
            <w:tcW w:w="2963" w:type="dxa"/>
            <w:tcBorders>
              <w:top w:val="single" w:sz="4" w:space="0" w:color="000000"/>
              <w:left w:val="single" w:sz="4" w:space="0" w:color="000000"/>
              <w:bottom w:val="single" w:sz="4" w:space="0" w:color="000000"/>
            </w:tcBorders>
          </w:tcPr>
          <w:p w:rsidR="00A32047" w:rsidRPr="000E604A" w:rsidRDefault="000E604A" w:rsidP="00095DBA">
            <w:pPr>
              <w:pStyle w:val="Akapitzlist"/>
              <w:spacing w:line="240" w:lineRule="auto"/>
              <w:ind w:left="0"/>
              <w:rPr>
                <w:rFonts w:asciiTheme="minorHAnsi" w:hAnsiTheme="minorHAnsi" w:cs="TiepoloItcTEEBoo"/>
                <w:b/>
                <w:sz w:val="20"/>
                <w:szCs w:val="20"/>
              </w:rPr>
            </w:pPr>
            <w:r w:rsidRPr="000E604A">
              <w:rPr>
                <w:rFonts w:asciiTheme="minorHAnsi" w:hAnsiTheme="minorHAnsi" w:cs="TiepoloItcTEEBoo"/>
                <w:b/>
                <w:sz w:val="20"/>
                <w:szCs w:val="20"/>
              </w:rPr>
              <w:lastRenderedPageBreak/>
              <w:t xml:space="preserve">3. </w:t>
            </w:r>
            <w:r w:rsidR="00A32047" w:rsidRPr="000E604A">
              <w:rPr>
                <w:rFonts w:asciiTheme="minorHAnsi" w:hAnsiTheme="minorHAnsi" w:cs="TiepoloItcTEEBoo"/>
                <w:b/>
                <w:sz w:val="20"/>
                <w:szCs w:val="20"/>
              </w:rPr>
              <w:t>Aktywizacja gospodarcza obszaru oraz rozwój zawodowy mieszkańców i</w:t>
            </w:r>
            <w:r>
              <w:rPr>
                <w:rFonts w:asciiTheme="minorHAnsi" w:hAnsiTheme="minorHAnsi" w:cs="TiepoloItcTEEBoo"/>
                <w:b/>
                <w:sz w:val="20"/>
                <w:szCs w:val="20"/>
              </w:rPr>
              <w:t> </w:t>
            </w:r>
            <w:r w:rsidR="00A32047" w:rsidRPr="000E604A">
              <w:rPr>
                <w:rFonts w:asciiTheme="minorHAnsi" w:hAnsiTheme="minorHAnsi" w:cs="TiepoloItcTEEBoo"/>
                <w:b/>
                <w:sz w:val="20"/>
                <w:szCs w:val="20"/>
              </w:rPr>
              <w:t>przeciwdziałanie bezrobociu poprzez promowanie samozatrudnienia, a także bogatą i adekwatną do potrzeb obszaru ofertę edukacyjną</w:t>
            </w:r>
          </w:p>
        </w:tc>
        <w:tc>
          <w:tcPr>
            <w:tcW w:w="6116" w:type="dxa"/>
            <w:tcBorders>
              <w:top w:val="single" w:sz="4" w:space="0" w:color="000000"/>
              <w:left w:val="single" w:sz="4" w:space="0" w:color="000000"/>
              <w:bottom w:val="single" w:sz="4" w:space="0" w:color="000000"/>
              <w:right w:val="single" w:sz="4" w:space="0" w:color="000000"/>
            </w:tcBorders>
          </w:tcPr>
          <w:p w:rsidR="00A32047" w:rsidRPr="00327DE9" w:rsidRDefault="00A32047" w:rsidP="007B034D">
            <w:pPr>
              <w:pStyle w:val="Akapitzlist5"/>
              <w:numPr>
                <w:ilvl w:val="0"/>
                <w:numId w:val="123"/>
              </w:numPr>
              <w:spacing w:after="0" w:line="240" w:lineRule="auto"/>
              <w:ind w:left="357" w:hanging="357"/>
              <w:rPr>
                <w:rFonts w:asciiTheme="minorHAnsi" w:hAnsiTheme="minorHAnsi" w:cs="TiepoloItcTEEBoo"/>
                <w:sz w:val="20"/>
                <w:szCs w:val="20"/>
              </w:rPr>
            </w:pPr>
            <w:r w:rsidRPr="00327DE9">
              <w:rPr>
                <w:rFonts w:asciiTheme="minorHAnsi" w:hAnsiTheme="minorHAnsi" w:cs="TiepoloItcTEEBoo"/>
                <w:sz w:val="20"/>
                <w:szCs w:val="20"/>
              </w:rPr>
              <w:t>wspieranie rozwoju mikro, małych i średnich przedsiębiorstw oraz promocja samozatrudnienia,</w:t>
            </w:r>
          </w:p>
          <w:p w:rsidR="00A32047" w:rsidRPr="00327DE9" w:rsidRDefault="00A32047" w:rsidP="007B034D">
            <w:pPr>
              <w:pStyle w:val="Akapitzlist5"/>
              <w:numPr>
                <w:ilvl w:val="0"/>
                <w:numId w:val="123"/>
              </w:numPr>
              <w:spacing w:after="0" w:line="240" w:lineRule="auto"/>
              <w:ind w:left="357" w:hanging="357"/>
              <w:rPr>
                <w:rFonts w:asciiTheme="minorHAnsi" w:hAnsiTheme="minorHAnsi" w:cs="TiepoloItcTEEBoo"/>
                <w:sz w:val="20"/>
                <w:szCs w:val="20"/>
              </w:rPr>
            </w:pPr>
            <w:r w:rsidRPr="00327DE9">
              <w:rPr>
                <w:rFonts w:asciiTheme="minorHAnsi" w:hAnsiTheme="minorHAnsi" w:cs="TiepoloItcTEEBoo"/>
                <w:sz w:val="20"/>
                <w:szCs w:val="20"/>
              </w:rPr>
              <w:t>aktywizacja zawodowa osób bezrobotnych,</w:t>
            </w:r>
          </w:p>
          <w:p w:rsidR="00A32047" w:rsidRPr="00327DE9" w:rsidRDefault="00A32047" w:rsidP="007B034D">
            <w:pPr>
              <w:numPr>
                <w:ilvl w:val="0"/>
                <w:numId w:val="123"/>
              </w:numPr>
              <w:suppressAutoHyphens/>
              <w:ind w:left="357" w:hanging="357"/>
              <w:rPr>
                <w:szCs w:val="20"/>
              </w:rPr>
            </w:pPr>
            <w:r w:rsidRPr="00327DE9">
              <w:rPr>
                <w:rFonts w:cs="TiepoloItcTEEBoo"/>
                <w:szCs w:val="20"/>
              </w:rPr>
              <w:t>doposażenie placówek oświatowych i dostosowanie oferty edukacyjnej do potrzeb rynku pracy</w:t>
            </w:r>
            <w:r w:rsidR="00E41CDB">
              <w:rPr>
                <w:rFonts w:cs="TiepoloItcTEEBoo"/>
                <w:szCs w:val="20"/>
              </w:rPr>
              <w:t>.</w:t>
            </w:r>
          </w:p>
        </w:tc>
      </w:tr>
    </w:tbl>
    <w:p w:rsidR="0050065F" w:rsidRPr="00AE19F2" w:rsidRDefault="0050065F" w:rsidP="0050065F">
      <w:pPr>
        <w:pStyle w:val="Nagwek5"/>
        <w:spacing w:before="0" w:after="0"/>
        <w:rPr>
          <w:b w:val="0"/>
        </w:rPr>
      </w:pPr>
      <w:r w:rsidRPr="00AE19F2">
        <w:rPr>
          <w:rFonts w:asciiTheme="minorHAnsi" w:eastAsia="Calibri" w:hAnsiTheme="minorHAnsi"/>
          <w:b w:val="0"/>
          <w:sz w:val="18"/>
          <w:szCs w:val="20"/>
        </w:rPr>
        <w:t>Źródło:</w:t>
      </w:r>
      <w:r w:rsidRPr="00AE19F2">
        <w:rPr>
          <w:rFonts w:asciiTheme="minorHAnsi" w:eastAsia="Calibri" w:hAnsiTheme="minorHAnsi"/>
          <w:sz w:val="18"/>
          <w:szCs w:val="20"/>
        </w:rPr>
        <w:t xml:space="preserve"> </w:t>
      </w:r>
      <w:r w:rsidRPr="00AE19F2">
        <w:rPr>
          <w:rFonts w:asciiTheme="minorHAnsi" w:eastAsia="Calibri" w:hAnsiTheme="minorHAnsi"/>
          <w:b w:val="0"/>
          <w:sz w:val="18"/>
          <w:szCs w:val="20"/>
        </w:rPr>
        <w:t>Opracowanie własne na podstawie Raportu z konsultacji społecznych podobszaru rewitalizacji Śródmieście Zachód - Bytom</w:t>
      </w:r>
    </w:p>
    <w:p w:rsidR="00A32047" w:rsidRPr="000E3421" w:rsidRDefault="000E3421" w:rsidP="000E3421">
      <w:pPr>
        <w:pStyle w:val="Nagwek5"/>
        <w:jc w:val="center"/>
        <w:rPr>
          <w:color w:val="0070C0"/>
        </w:rPr>
      </w:pPr>
      <w:r w:rsidRPr="000E3421">
        <w:rPr>
          <w:rFonts w:cs="Calibri"/>
          <w:i w:val="0"/>
          <w:iCs w:val="0"/>
          <w:color w:val="0070C0"/>
        </w:rPr>
        <w:t>ŚRÓDMIEŚCIE PÓŁNOC</w:t>
      </w:r>
    </w:p>
    <w:p w:rsidR="00A32047" w:rsidRDefault="00A32047" w:rsidP="00A32047">
      <w:pPr>
        <w:pStyle w:val="Tekstpodstawowy"/>
        <w:jc w:val="center"/>
        <w:rPr>
          <w:b/>
          <w:i/>
          <w:sz w:val="22"/>
        </w:rPr>
      </w:pPr>
      <w:r w:rsidRPr="00567F5B">
        <w:rPr>
          <w:b/>
          <w:i/>
          <w:sz w:val="22"/>
        </w:rPr>
        <w:t>Śródmieście Północ to obszar o atrakcyjnej tkance mieszkaniowej, wysokiej jakości i bezpiecznych przestrzeniach publicznych, dobrze skomunikowany z centrum miasta oraz o wysokiej aktywności społecznej mieszkańców zapobiegającej zjawiskom wykluczenia społecznego.</w:t>
      </w:r>
    </w:p>
    <w:p w:rsidR="00567F5B" w:rsidRPr="00567F5B" w:rsidRDefault="00567F5B" w:rsidP="00A32047">
      <w:pPr>
        <w:pStyle w:val="Tekstpodstawowy"/>
        <w:jc w:val="center"/>
        <w:rPr>
          <w:bCs/>
          <w:iCs/>
        </w:rPr>
      </w:pPr>
    </w:p>
    <w:p w:rsidR="00A32047" w:rsidRPr="00416636" w:rsidRDefault="00416636" w:rsidP="00416636">
      <w:pPr>
        <w:pStyle w:val="Legenda"/>
        <w:keepNext/>
      </w:pPr>
      <w:bookmarkStart w:id="7848" w:name="_Toc202771123"/>
      <w:r w:rsidRPr="00F07D1B">
        <w:t xml:space="preserve">Tabela </w:t>
      </w:r>
      <w:r w:rsidR="003972D8" w:rsidRPr="00F07D1B">
        <w:fldChar w:fldCharType="begin"/>
      </w:r>
      <w:r w:rsidRPr="00F07D1B">
        <w:instrText xml:space="preserve"> SEQ Tabela \* ARABIC </w:instrText>
      </w:r>
      <w:r w:rsidR="003972D8" w:rsidRPr="00F07D1B">
        <w:fldChar w:fldCharType="separate"/>
      </w:r>
      <w:r w:rsidR="00413FFE">
        <w:rPr>
          <w:noProof/>
        </w:rPr>
        <w:t>29</w:t>
      </w:r>
      <w:r w:rsidR="003972D8" w:rsidRPr="00F07D1B">
        <w:fldChar w:fldCharType="end"/>
      </w:r>
      <w:r w:rsidRPr="00F07D1B">
        <w:t xml:space="preserve">. </w:t>
      </w:r>
      <w:r w:rsidRPr="00725021">
        <w:t>Śródmieście Północ – cele i kierunki</w:t>
      </w:r>
      <w:bookmarkEnd w:id="7848"/>
    </w:p>
    <w:tbl>
      <w:tblPr>
        <w:tblW w:w="0" w:type="auto"/>
        <w:tblInd w:w="-20" w:type="dxa"/>
        <w:tblLayout w:type="fixed"/>
        <w:tblLook w:val="0000"/>
      </w:tblPr>
      <w:tblGrid>
        <w:gridCol w:w="2963"/>
        <w:gridCol w:w="6116"/>
      </w:tblGrid>
      <w:tr w:rsidR="00A32047" w:rsidRPr="003B3BFB" w:rsidTr="00EC78E0">
        <w:trPr>
          <w:cantSplit/>
          <w:tblHeader/>
        </w:trPr>
        <w:tc>
          <w:tcPr>
            <w:tcW w:w="2963" w:type="dxa"/>
            <w:tcBorders>
              <w:top w:val="single" w:sz="4" w:space="0" w:color="000000"/>
              <w:left w:val="single" w:sz="4" w:space="0" w:color="000000"/>
              <w:bottom w:val="single" w:sz="4" w:space="0" w:color="000000"/>
            </w:tcBorders>
            <w:shd w:val="clear" w:color="auto" w:fill="99CCFF"/>
          </w:tcPr>
          <w:p w:rsidR="00A32047" w:rsidRPr="003B3BFB" w:rsidRDefault="002C6A6A" w:rsidP="00741682">
            <w:pPr>
              <w:spacing w:before="60" w:after="60"/>
              <w:jc w:val="center"/>
              <w:rPr>
                <w:rFonts w:cs="TiepoloItcTEEBoo"/>
                <w:b/>
                <w:bCs/>
                <w:szCs w:val="20"/>
              </w:rPr>
            </w:pPr>
            <w:r w:rsidRPr="003B3BFB">
              <w:rPr>
                <w:rFonts w:cs="TiepoloItcTEEBoo"/>
                <w:b/>
                <w:bCs/>
                <w:szCs w:val="20"/>
              </w:rPr>
              <w:t>CELE STRATEGICZNE</w:t>
            </w:r>
          </w:p>
        </w:tc>
        <w:tc>
          <w:tcPr>
            <w:tcW w:w="6116" w:type="dxa"/>
            <w:tcBorders>
              <w:top w:val="single" w:sz="4" w:space="0" w:color="000000"/>
              <w:left w:val="single" w:sz="4" w:space="0" w:color="000000"/>
              <w:bottom w:val="single" w:sz="4" w:space="0" w:color="000000"/>
              <w:right w:val="single" w:sz="4" w:space="0" w:color="000000"/>
            </w:tcBorders>
            <w:shd w:val="clear" w:color="auto" w:fill="99CCFF"/>
          </w:tcPr>
          <w:p w:rsidR="00A32047" w:rsidRPr="003B3BFB" w:rsidRDefault="002C6A6A" w:rsidP="00741682">
            <w:pPr>
              <w:spacing w:before="60" w:after="60"/>
              <w:jc w:val="center"/>
              <w:rPr>
                <w:szCs w:val="20"/>
              </w:rPr>
            </w:pPr>
            <w:r w:rsidRPr="003B3BFB">
              <w:rPr>
                <w:rFonts w:cs="TiepoloItcTEEBoo"/>
                <w:b/>
                <w:bCs/>
                <w:szCs w:val="20"/>
              </w:rPr>
              <w:t>KIERUNKI DZIAŁANIA</w:t>
            </w:r>
          </w:p>
        </w:tc>
      </w:tr>
      <w:tr w:rsidR="00A32047" w:rsidRPr="003B3BFB" w:rsidTr="00095DBA">
        <w:trPr>
          <w:cantSplit/>
          <w:trHeight w:val="1928"/>
        </w:trPr>
        <w:tc>
          <w:tcPr>
            <w:tcW w:w="2963" w:type="dxa"/>
            <w:tcBorders>
              <w:top w:val="single" w:sz="4" w:space="0" w:color="000000"/>
              <w:left w:val="single" w:sz="4" w:space="0" w:color="000000"/>
              <w:bottom w:val="single" w:sz="4" w:space="0" w:color="000000"/>
            </w:tcBorders>
          </w:tcPr>
          <w:p w:rsidR="00A32047" w:rsidRPr="003F0760" w:rsidRDefault="003F0760" w:rsidP="00095DBA">
            <w:pPr>
              <w:pStyle w:val="Akapitzlist5"/>
              <w:tabs>
                <w:tab w:val="left" w:pos="304"/>
              </w:tabs>
              <w:spacing w:after="0" w:line="240" w:lineRule="auto"/>
              <w:ind w:left="20"/>
              <w:rPr>
                <w:rFonts w:asciiTheme="minorHAnsi" w:hAnsiTheme="minorHAnsi"/>
                <w:b/>
                <w:sz w:val="20"/>
                <w:szCs w:val="20"/>
              </w:rPr>
            </w:pPr>
            <w:r w:rsidRPr="003F0760">
              <w:rPr>
                <w:rFonts w:asciiTheme="minorHAnsi" w:hAnsiTheme="minorHAnsi"/>
                <w:b/>
                <w:sz w:val="20"/>
                <w:szCs w:val="20"/>
              </w:rPr>
              <w:t xml:space="preserve">1. </w:t>
            </w:r>
            <w:r w:rsidR="00A32047" w:rsidRPr="003F0760">
              <w:rPr>
                <w:rFonts w:asciiTheme="minorHAnsi" w:hAnsiTheme="minorHAnsi"/>
                <w:b/>
                <w:sz w:val="20"/>
                <w:szCs w:val="20"/>
              </w:rPr>
              <w:t>Poprawa atrakcyjności środowiska zamieszkania poprzez inwestycje w infrastrukturę i remonty budynków, usprawnienie systemu komunikacyjnego i podniesienie jakości przestrzeni publicznych</w:t>
            </w:r>
          </w:p>
        </w:tc>
        <w:tc>
          <w:tcPr>
            <w:tcW w:w="6116" w:type="dxa"/>
            <w:tcBorders>
              <w:top w:val="single" w:sz="4" w:space="0" w:color="000000"/>
              <w:left w:val="single" w:sz="4" w:space="0" w:color="000000"/>
              <w:bottom w:val="single" w:sz="4" w:space="0" w:color="000000"/>
              <w:right w:val="single" w:sz="4" w:space="0" w:color="000000"/>
            </w:tcBorders>
          </w:tcPr>
          <w:p w:rsidR="00A32047" w:rsidRPr="003B3BFB" w:rsidRDefault="00A32047" w:rsidP="007B034D">
            <w:pPr>
              <w:pStyle w:val="Akapitzlist5"/>
              <w:numPr>
                <w:ilvl w:val="0"/>
                <w:numId w:val="135"/>
              </w:numPr>
              <w:spacing w:after="0" w:line="240" w:lineRule="auto"/>
              <w:rPr>
                <w:rFonts w:asciiTheme="minorHAnsi" w:hAnsiTheme="minorHAnsi"/>
                <w:sz w:val="20"/>
                <w:szCs w:val="20"/>
              </w:rPr>
            </w:pPr>
            <w:r w:rsidRPr="003B3BFB">
              <w:rPr>
                <w:rFonts w:asciiTheme="minorHAnsi" w:hAnsiTheme="minorHAnsi"/>
                <w:sz w:val="20"/>
                <w:szCs w:val="20"/>
              </w:rPr>
              <w:t>poprawa poziomu bezpieczeństwa w dzielnicy,</w:t>
            </w:r>
          </w:p>
          <w:p w:rsidR="00A32047" w:rsidRPr="003B3BFB" w:rsidRDefault="00A32047" w:rsidP="007B034D">
            <w:pPr>
              <w:pStyle w:val="Akapitzlist5"/>
              <w:numPr>
                <w:ilvl w:val="0"/>
                <w:numId w:val="135"/>
              </w:numPr>
              <w:spacing w:after="0" w:line="240" w:lineRule="auto"/>
              <w:rPr>
                <w:rFonts w:asciiTheme="minorHAnsi" w:hAnsiTheme="minorHAnsi"/>
                <w:sz w:val="20"/>
                <w:szCs w:val="20"/>
              </w:rPr>
            </w:pPr>
            <w:r w:rsidRPr="003B3BFB">
              <w:rPr>
                <w:rFonts w:asciiTheme="minorHAnsi" w:hAnsiTheme="minorHAnsi"/>
                <w:sz w:val="20"/>
                <w:szCs w:val="20"/>
              </w:rPr>
              <w:t>modernizacja i tworzenie atrakcyjnych przestrzeni publicznych,</w:t>
            </w:r>
          </w:p>
          <w:p w:rsidR="00A32047" w:rsidRPr="003B3BFB" w:rsidRDefault="00A32047" w:rsidP="007B034D">
            <w:pPr>
              <w:pStyle w:val="Akapitzlist5"/>
              <w:numPr>
                <w:ilvl w:val="0"/>
                <w:numId w:val="135"/>
              </w:numPr>
              <w:spacing w:after="0" w:line="240" w:lineRule="auto"/>
              <w:rPr>
                <w:rFonts w:asciiTheme="minorHAnsi" w:hAnsiTheme="minorHAnsi"/>
                <w:sz w:val="20"/>
                <w:szCs w:val="20"/>
              </w:rPr>
            </w:pPr>
            <w:r w:rsidRPr="003B3BFB">
              <w:rPr>
                <w:rFonts w:asciiTheme="minorHAnsi" w:hAnsiTheme="minorHAnsi"/>
                <w:sz w:val="20"/>
                <w:szCs w:val="20"/>
              </w:rPr>
              <w:t xml:space="preserve">podniesienie standardu tkanki mieszkaniowej, </w:t>
            </w:r>
          </w:p>
          <w:p w:rsidR="00A32047" w:rsidRPr="003B3BFB" w:rsidRDefault="00A32047" w:rsidP="007B034D">
            <w:pPr>
              <w:pStyle w:val="Akapitzlist5"/>
              <w:numPr>
                <w:ilvl w:val="0"/>
                <w:numId w:val="135"/>
              </w:numPr>
              <w:spacing w:after="0" w:line="240" w:lineRule="auto"/>
              <w:rPr>
                <w:rFonts w:asciiTheme="minorHAnsi" w:hAnsiTheme="minorHAnsi"/>
                <w:sz w:val="20"/>
                <w:szCs w:val="20"/>
              </w:rPr>
            </w:pPr>
            <w:r w:rsidRPr="003B3BFB">
              <w:rPr>
                <w:rFonts w:asciiTheme="minorHAnsi" w:hAnsiTheme="minorHAnsi"/>
                <w:sz w:val="20"/>
                <w:szCs w:val="20"/>
              </w:rPr>
              <w:t>poprawa standardu infrastruktury komunalnej,</w:t>
            </w:r>
          </w:p>
          <w:p w:rsidR="00A32047" w:rsidRPr="003B3BFB" w:rsidRDefault="00A32047" w:rsidP="007B034D">
            <w:pPr>
              <w:pStyle w:val="Default"/>
              <w:numPr>
                <w:ilvl w:val="0"/>
                <w:numId w:val="135"/>
              </w:numPr>
              <w:suppressAutoHyphens/>
              <w:autoSpaceDN/>
              <w:adjustRightInd/>
              <w:rPr>
                <w:rFonts w:asciiTheme="minorHAnsi" w:hAnsiTheme="minorHAnsi"/>
                <w:sz w:val="20"/>
                <w:szCs w:val="20"/>
              </w:rPr>
            </w:pPr>
            <w:r w:rsidRPr="003B3BFB">
              <w:rPr>
                <w:rFonts w:asciiTheme="minorHAnsi" w:hAnsiTheme="minorHAnsi"/>
                <w:color w:val="auto"/>
                <w:sz w:val="20"/>
                <w:szCs w:val="20"/>
              </w:rPr>
              <w:t>przyciąganie nowych mieszkańców</w:t>
            </w:r>
            <w:r w:rsidR="00E41CDB">
              <w:rPr>
                <w:rFonts w:asciiTheme="minorHAnsi" w:hAnsiTheme="minorHAnsi"/>
                <w:color w:val="auto"/>
                <w:sz w:val="20"/>
                <w:szCs w:val="20"/>
              </w:rPr>
              <w:t>.</w:t>
            </w:r>
          </w:p>
        </w:tc>
      </w:tr>
      <w:tr w:rsidR="00A32047" w:rsidRPr="003B3BFB" w:rsidTr="00095DBA">
        <w:trPr>
          <w:cantSplit/>
          <w:trHeight w:val="1505"/>
        </w:trPr>
        <w:tc>
          <w:tcPr>
            <w:tcW w:w="2963" w:type="dxa"/>
            <w:tcBorders>
              <w:top w:val="single" w:sz="4" w:space="0" w:color="000000"/>
              <w:left w:val="single" w:sz="4" w:space="0" w:color="000000"/>
              <w:bottom w:val="single" w:sz="4" w:space="0" w:color="000000"/>
            </w:tcBorders>
          </w:tcPr>
          <w:p w:rsidR="00A32047" w:rsidRPr="003F0760" w:rsidRDefault="003F0760" w:rsidP="00095DBA">
            <w:pPr>
              <w:pStyle w:val="Akapitzlist5"/>
              <w:tabs>
                <w:tab w:val="left" w:pos="288"/>
              </w:tabs>
              <w:spacing w:after="0" w:line="240" w:lineRule="auto"/>
              <w:ind w:left="20"/>
              <w:rPr>
                <w:rFonts w:asciiTheme="minorHAnsi" w:hAnsiTheme="minorHAnsi"/>
                <w:b/>
                <w:sz w:val="20"/>
                <w:szCs w:val="20"/>
              </w:rPr>
            </w:pPr>
            <w:r w:rsidRPr="003F0760">
              <w:rPr>
                <w:rFonts w:asciiTheme="minorHAnsi" w:hAnsiTheme="minorHAnsi"/>
                <w:b/>
                <w:sz w:val="20"/>
                <w:szCs w:val="20"/>
              </w:rPr>
              <w:t xml:space="preserve">2. </w:t>
            </w:r>
            <w:r w:rsidR="00A32047" w:rsidRPr="003F0760">
              <w:rPr>
                <w:rFonts w:asciiTheme="minorHAnsi" w:hAnsiTheme="minorHAnsi"/>
                <w:b/>
                <w:sz w:val="20"/>
                <w:szCs w:val="20"/>
              </w:rPr>
              <w:t>Aktywizacja i wsparcie osób zagrożonych wykluczeniem społecznym, wzmacnianie integracji społeczności lokalnej oraz tworzenie atrakcyjnej oferty spędzania czasu wolnego dla wszystkich grup mieszkańców</w:t>
            </w:r>
          </w:p>
        </w:tc>
        <w:tc>
          <w:tcPr>
            <w:tcW w:w="6116" w:type="dxa"/>
            <w:tcBorders>
              <w:top w:val="single" w:sz="4" w:space="0" w:color="000000"/>
              <w:left w:val="single" w:sz="4" w:space="0" w:color="000000"/>
              <w:bottom w:val="single" w:sz="4" w:space="0" w:color="000000"/>
              <w:right w:val="single" w:sz="4" w:space="0" w:color="000000"/>
            </w:tcBorders>
          </w:tcPr>
          <w:p w:rsidR="00A32047" w:rsidRPr="003B3BFB" w:rsidRDefault="00A32047" w:rsidP="007B034D">
            <w:pPr>
              <w:pStyle w:val="Akapitzlist5"/>
              <w:numPr>
                <w:ilvl w:val="0"/>
                <w:numId w:val="149"/>
              </w:numPr>
              <w:spacing w:after="0" w:line="240" w:lineRule="auto"/>
              <w:rPr>
                <w:rFonts w:asciiTheme="minorHAnsi" w:hAnsiTheme="minorHAnsi"/>
                <w:sz w:val="20"/>
                <w:szCs w:val="20"/>
              </w:rPr>
            </w:pPr>
            <w:r w:rsidRPr="003B3BFB">
              <w:rPr>
                <w:rFonts w:asciiTheme="minorHAnsi" w:hAnsiTheme="minorHAnsi"/>
                <w:sz w:val="20"/>
                <w:szCs w:val="20"/>
              </w:rPr>
              <w:t>wzmocnienie aktywnego uczestnictwa mieszkańców obszaru w</w:t>
            </w:r>
            <w:r w:rsidR="00A107FA">
              <w:rPr>
                <w:rFonts w:asciiTheme="minorHAnsi" w:hAnsiTheme="minorHAnsi"/>
                <w:sz w:val="20"/>
                <w:szCs w:val="20"/>
              </w:rPr>
              <w:t> </w:t>
            </w:r>
            <w:r w:rsidRPr="003B3BFB">
              <w:rPr>
                <w:rFonts w:asciiTheme="minorHAnsi" w:hAnsiTheme="minorHAnsi"/>
                <w:sz w:val="20"/>
                <w:szCs w:val="20"/>
              </w:rPr>
              <w:t>życiu miasta,</w:t>
            </w:r>
          </w:p>
          <w:p w:rsidR="00A32047" w:rsidRPr="003B3BFB" w:rsidRDefault="00A32047" w:rsidP="007B034D">
            <w:pPr>
              <w:pStyle w:val="Akapitzlist5"/>
              <w:numPr>
                <w:ilvl w:val="0"/>
                <w:numId w:val="149"/>
              </w:numPr>
              <w:spacing w:after="0" w:line="240" w:lineRule="auto"/>
              <w:rPr>
                <w:rFonts w:asciiTheme="minorHAnsi" w:hAnsiTheme="minorHAnsi"/>
                <w:sz w:val="20"/>
                <w:szCs w:val="20"/>
              </w:rPr>
            </w:pPr>
            <w:r w:rsidRPr="003B3BFB">
              <w:rPr>
                <w:rFonts w:asciiTheme="minorHAnsi" w:hAnsiTheme="minorHAnsi"/>
                <w:sz w:val="20"/>
                <w:szCs w:val="20"/>
              </w:rPr>
              <w:t>tworzenie oferty spędzania czasu wolnego ze szczególnym uwzględnieniem potrzeb dzieci, młodzieży, osób starszych i wykluczonych społecznie,</w:t>
            </w:r>
          </w:p>
          <w:p w:rsidR="00A32047" w:rsidRPr="003B3BFB" w:rsidRDefault="00A32047" w:rsidP="007B034D">
            <w:pPr>
              <w:pStyle w:val="Akapitzlist5"/>
              <w:numPr>
                <w:ilvl w:val="0"/>
                <w:numId w:val="149"/>
              </w:numPr>
              <w:spacing w:after="0" w:line="240" w:lineRule="auto"/>
              <w:rPr>
                <w:rFonts w:asciiTheme="minorHAnsi" w:hAnsiTheme="minorHAnsi"/>
                <w:sz w:val="20"/>
                <w:szCs w:val="20"/>
              </w:rPr>
            </w:pPr>
            <w:r w:rsidRPr="003B3BFB">
              <w:rPr>
                <w:rFonts w:asciiTheme="minorHAnsi" w:hAnsiTheme="minorHAnsi"/>
                <w:sz w:val="20"/>
                <w:szCs w:val="20"/>
              </w:rPr>
              <w:t>zwiększenie dostępności do specjalistycznej pomocy społecznej,</w:t>
            </w:r>
          </w:p>
          <w:p w:rsidR="00A32047" w:rsidRPr="003B3BFB" w:rsidRDefault="00A32047" w:rsidP="00E41EE8">
            <w:pPr>
              <w:pStyle w:val="Akapitzlist5"/>
              <w:numPr>
                <w:ilvl w:val="0"/>
                <w:numId w:val="149"/>
              </w:numPr>
              <w:spacing w:after="0" w:line="240" w:lineRule="auto"/>
              <w:rPr>
                <w:rFonts w:asciiTheme="minorHAnsi" w:hAnsiTheme="minorHAnsi"/>
                <w:sz w:val="20"/>
                <w:szCs w:val="20"/>
              </w:rPr>
            </w:pPr>
            <w:r w:rsidRPr="003B3BFB">
              <w:rPr>
                <w:rFonts w:asciiTheme="minorHAnsi" w:hAnsiTheme="minorHAnsi"/>
                <w:sz w:val="20"/>
                <w:szCs w:val="20"/>
              </w:rPr>
              <w:t>walka z wykluczeniem społecznym poprzez realizację działań profilaktycznych i terapeutycznych</w:t>
            </w:r>
            <w:r w:rsidR="00E41CDB">
              <w:rPr>
                <w:rFonts w:asciiTheme="minorHAnsi" w:hAnsiTheme="minorHAnsi"/>
                <w:sz w:val="20"/>
                <w:szCs w:val="20"/>
              </w:rPr>
              <w:t>.</w:t>
            </w:r>
          </w:p>
        </w:tc>
      </w:tr>
      <w:tr w:rsidR="00A32047" w:rsidRPr="003B3BFB" w:rsidTr="00095DBA">
        <w:trPr>
          <w:cantSplit/>
          <w:trHeight w:val="1343"/>
        </w:trPr>
        <w:tc>
          <w:tcPr>
            <w:tcW w:w="2963" w:type="dxa"/>
            <w:tcBorders>
              <w:top w:val="single" w:sz="4" w:space="0" w:color="000000"/>
              <w:left w:val="single" w:sz="4" w:space="0" w:color="000000"/>
              <w:bottom w:val="single" w:sz="4" w:space="0" w:color="000000"/>
            </w:tcBorders>
          </w:tcPr>
          <w:p w:rsidR="00A32047" w:rsidRPr="006E558D" w:rsidRDefault="003F0760" w:rsidP="00095DBA">
            <w:pPr>
              <w:pStyle w:val="Akapitzlist"/>
              <w:tabs>
                <w:tab w:val="left" w:pos="288"/>
              </w:tabs>
              <w:spacing w:line="240" w:lineRule="auto"/>
              <w:ind w:left="0"/>
              <w:rPr>
                <w:rFonts w:asciiTheme="minorHAnsi" w:hAnsiTheme="minorHAnsi" w:cs="Calibri"/>
                <w:b/>
                <w:sz w:val="20"/>
                <w:szCs w:val="20"/>
              </w:rPr>
            </w:pPr>
            <w:r w:rsidRPr="003F0760">
              <w:rPr>
                <w:rFonts w:asciiTheme="minorHAnsi" w:hAnsiTheme="minorHAnsi" w:cs="Calibri"/>
                <w:b/>
                <w:sz w:val="20"/>
                <w:szCs w:val="20"/>
              </w:rPr>
              <w:t xml:space="preserve">3. </w:t>
            </w:r>
            <w:r w:rsidR="00043EFA" w:rsidRPr="003F0760">
              <w:rPr>
                <w:rFonts w:asciiTheme="minorHAnsi" w:hAnsiTheme="minorHAnsi" w:cs="Calibri"/>
                <w:b/>
                <w:sz w:val="20"/>
                <w:szCs w:val="20"/>
              </w:rPr>
              <w:t xml:space="preserve"> </w:t>
            </w:r>
            <w:r w:rsidR="00A32047" w:rsidRPr="003F0760">
              <w:rPr>
                <w:rFonts w:asciiTheme="minorHAnsi" w:hAnsiTheme="minorHAnsi" w:cs="Calibri"/>
                <w:b/>
                <w:sz w:val="20"/>
                <w:szCs w:val="20"/>
              </w:rPr>
              <w:t>Aktywizacja gospodarcza obszaru i poprawa jakości świadczonych usług edukacyjnych</w:t>
            </w:r>
          </w:p>
        </w:tc>
        <w:tc>
          <w:tcPr>
            <w:tcW w:w="6116" w:type="dxa"/>
            <w:tcBorders>
              <w:top w:val="single" w:sz="4" w:space="0" w:color="000000"/>
              <w:left w:val="single" w:sz="4" w:space="0" w:color="000000"/>
              <w:bottom w:val="single" w:sz="4" w:space="0" w:color="000000"/>
              <w:right w:val="single" w:sz="4" w:space="0" w:color="000000"/>
            </w:tcBorders>
          </w:tcPr>
          <w:p w:rsidR="00043EFA" w:rsidRDefault="00A32047" w:rsidP="007B034D">
            <w:pPr>
              <w:pStyle w:val="Akapitzlist5"/>
              <w:numPr>
                <w:ilvl w:val="0"/>
                <w:numId w:val="150"/>
              </w:numPr>
              <w:spacing w:after="0" w:line="240" w:lineRule="auto"/>
              <w:ind w:left="357" w:hanging="357"/>
              <w:rPr>
                <w:rFonts w:asciiTheme="minorHAnsi" w:hAnsiTheme="minorHAnsi"/>
                <w:sz w:val="20"/>
                <w:szCs w:val="20"/>
              </w:rPr>
            </w:pPr>
            <w:r w:rsidRPr="003B3BFB">
              <w:rPr>
                <w:rFonts w:asciiTheme="minorHAnsi" w:hAnsiTheme="minorHAnsi"/>
                <w:sz w:val="20"/>
                <w:szCs w:val="20"/>
              </w:rPr>
              <w:t>wspieranie rozwoju mikro, małych i średnich przedsiębiorstw oraz promocja samozatrudnienia,</w:t>
            </w:r>
          </w:p>
          <w:p w:rsidR="00043EFA" w:rsidRDefault="00A32047" w:rsidP="007B034D">
            <w:pPr>
              <w:pStyle w:val="Akapitzlist5"/>
              <w:numPr>
                <w:ilvl w:val="0"/>
                <w:numId w:val="150"/>
              </w:numPr>
              <w:spacing w:after="0" w:line="240" w:lineRule="auto"/>
              <w:ind w:left="357" w:hanging="357"/>
              <w:rPr>
                <w:rFonts w:asciiTheme="minorHAnsi" w:hAnsiTheme="minorHAnsi"/>
                <w:sz w:val="20"/>
                <w:szCs w:val="20"/>
              </w:rPr>
            </w:pPr>
            <w:r w:rsidRPr="00043EFA">
              <w:rPr>
                <w:rFonts w:asciiTheme="minorHAnsi" w:hAnsiTheme="minorHAnsi"/>
                <w:sz w:val="20"/>
                <w:szCs w:val="20"/>
              </w:rPr>
              <w:t>aktywizacja zawodowa osób bezrobotnych,</w:t>
            </w:r>
          </w:p>
          <w:p w:rsidR="00A32047" w:rsidRPr="00043EFA" w:rsidRDefault="00A32047" w:rsidP="007B034D">
            <w:pPr>
              <w:pStyle w:val="Akapitzlist5"/>
              <w:numPr>
                <w:ilvl w:val="0"/>
                <w:numId w:val="150"/>
              </w:numPr>
              <w:spacing w:after="0" w:line="240" w:lineRule="auto"/>
              <w:ind w:left="357" w:hanging="357"/>
              <w:rPr>
                <w:rFonts w:asciiTheme="minorHAnsi" w:hAnsiTheme="minorHAnsi"/>
                <w:sz w:val="20"/>
                <w:szCs w:val="20"/>
              </w:rPr>
            </w:pPr>
            <w:r w:rsidRPr="00043EFA">
              <w:rPr>
                <w:rFonts w:asciiTheme="minorHAnsi" w:hAnsiTheme="minorHAnsi"/>
                <w:sz w:val="20"/>
                <w:szCs w:val="20"/>
              </w:rPr>
              <w:t>doposażenie placówek oświatowych i dostosowanie oferty edukacyjnej do potrzeb rynku pracy</w:t>
            </w:r>
            <w:r w:rsidR="00E41CDB">
              <w:rPr>
                <w:rFonts w:asciiTheme="minorHAnsi" w:hAnsiTheme="minorHAnsi"/>
                <w:sz w:val="20"/>
                <w:szCs w:val="20"/>
              </w:rPr>
              <w:t>.</w:t>
            </w:r>
          </w:p>
        </w:tc>
      </w:tr>
    </w:tbl>
    <w:p w:rsidR="0050065F" w:rsidRPr="00AE19F2" w:rsidRDefault="0050065F" w:rsidP="0050065F">
      <w:pPr>
        <w:pStyle w:val="Nagwek5"/>
        <w:spacing w:before="0" w:after="0"/>
        <w:rPr>
          <w:b w:val="0"/>
        </w:rPr>
      </w:pPr>
      <w:r w:rsidRPr="00AE19F2">
        <w:rPr>
          <w:rFonts w:asciiTheme="minorHAnsi" w:eastAsia="Calibri" w:hAnsiTheme="minorHAnsi"/>
          <w:b w:val="0"/>
          <w:sz w:val="18"/>
          <w:szCs w:val="20"/>
        </w:rPr>
        <w:t>Źródło:</w:t>
      </w:r>
      <w:r w:rsidRPr="00AE19F2">
        <w:rPr>
          <w:rFonts w:asciiTheme="minorHAnsi" w:eastAsia="Calibri" w:hAnsiTheme="minorHAnsi"/>
          <w:sz w:val="18"/>
          <w:szCs w:val="20"/>
        </w:rPr>
        <w:t xml:space="preserve"> </w:t>
      </w:r>
      <w:r w:rsidRPr="00AE19F2">
        <w:rPr>
          <w:rFonts w:asciiTheme="minorHAnsi" w:eastAsia="Calibri" w:hAnsiTheme="minorHAnsi"/>
          <w:b w:val="0"/>
          <w:sz w:val="18"/>
          <w:szCs w:val="20"/>
        </w:rPr>
        <w:t>Opracowanie własne na podstawie Raportu z konsultacji społecznych podobszaru rewitalizacji Śródmieście Północ - Bytom</w:t>
      </w:r>
    </w:p>
    <w:p w:rsidR="00A32047" w:rsidRDefault="00A32047" w:rsidP="00A32047">
      <w:pPr>
        <w:pStyle w:val="Tekstpodstawowy"/>
        <w:rPr>
          <w:b/>
          <w:bCs/>
          <w:i/>
          <w:iCs/>
        </w:rPr>
      </w:pPr>
    </w:p>
    <w:p w:rsidR="003120BF" w:rsidRDefault="003120BF" w:rsidP="00A32047">
      <w:pPr>
        <w:pStyle w:val="Tekstpodstawowy"/>
        <w:rPr>
          <w:b/>
          <w:bCs/>
          <w:i/>
          <w:iCs/>
        </w:rPr>
      </w:pPr>
    </w:p>
    <w:p w:rsidR="00E41EE8" w:rsidRDefault="00E41EE8" w:rsidP="00A32047">
      <w:pPr>
        <w:pStyle w:val="Tekstpodstawowy"/>
        <w:rPr>
          <w:b/>
          <w:bCs/>
          <w:i/>
          <w:iCs/>
        </w:rPr>
      </w:pPr>
    </w:p>
    <w:p w:rsidR="00A32047" w:rsidRPr="000E3421" w:rsidRDefault="000E3421" w:rsidP="00A32047">
      <w:pPr>
        <w:pStyle w:val="Nagwek7"/>
        <w:rPr>
          <w:rFonts w:cs="Calibri"/>
          <w:b/>
          <w:color w:val="0070C0"/>
          <w:szCs w:val="20"/>
        </w:rPr>
      </w:pPr>
      <w:r w:rsidRPr="000E3421">
        <w:rPr>
          <w:b/>
          <w:color w:val="0070C0"/>
        </w:rPr>
        <w:lastRenderedPageBreak/>
        <w:t>ŚRÓDMIEŚCIE CENTRUM</w:t>
      </w:r>
    </w:p>
    <w:p w:rsidR="00A32047" w:rsidRPr="00782A8E" w:rsidRDefault="00A32047" w:rsidP="00A32047">
      <w:pPr>
        <w:spacing w:before="120" w:after="120"/>
        <w:jc w:val="center"/>
        <w:rPr>
          <w:rFonts w:ascii="Calibri" w:hAnsi="Calibri" w:cs="Calibri"/>
          <w:b/>
          <w:bCs/>
          <w:i/>
          <w:sz w:val="22"/>
          <w:szCs w:val="20"/>
        </w:rPr>
      </w:pPr>
      <w:r w:rsidRPr="00782A8E">
        <w:rPr>
          <w:rFonts w:ascii="Calibri" w:hAnsi="Calibri" w:cs="Calibri"/>
          <w:b/>
          <w:bCs/>
          <w:i/>
          <w:sz w:val="22"/>
          <w:szCs w:val="20"/>
        </w:rPr>
        <w:t>Śródmieście Centrum to obszar wykorzystujący potencjał historycznej tkanki urbanistycznej oferujący wysoką jakość środowiska zamieszkania i o wysokim poziomie bezpieczeństwa publicznego, dysponujący szeroką ofertą usług publicznych i prywatnych, którego mieszkańcy są</w:t>
      </w:r>
      <w:r w:rsidR="003120BF">
        <w:rPr>
          <w:rFonts w:ascii="Calibri" w:hAnsi="Calibri" w:cs="Calibri"/>
          <w:b/>
          <w:bCs/>
          <w:i/>
          <w:sz w:val="22"/>
          <w:szCs w:val="20"/>
        </w:rPr>
        <w:t> </w:t>
      </w:r>
      <w:r w:rsidRPr="00782A8E">
        <w:rPr>
          <w:rFonts w:ascii="Calibri" w:hAnsi="Calibri" w:cs="Calibri"/>
          <w:b/>
          <w:bCs/>
          <w:i/>
          <w:sz w:val="22"/>
          <w:szCs w:val="20"/>
        </w:rPr>
        <w:t>zintegrowani i współodpowiedzialni za otoczenie.</w:t>
      </w:r>
    </w:p>
    <w:p w:rsidR="00593732" w:rsidRPr="00EC78E0" w:rsidRDefault="00593732" w:rsidP="00593732">
      <w:pPr>
        <w:pStyle w:val="Legenda"/>
        <w:keepNext/>
        <w:rPr>
          <w:sz w:val="14"/>
        </w:rPr>
      </w:pPr>
    </w:p>
    <w:p w:rsidR="00593732" w:rsidRPr="00593732" w:rsidRDefault="00593732" w:rsidP="00593732">
      <w:pPr>
        <w:pStyle w:val="Legenda"/>
        <w:keepNext/>
      </w:pPr>
      <w:bookmarkStart w:id="7849" w:name="_Toc202771124"/>
      <w:r w:rsidRPr="00F07D1B">
        <w:t xml:space="preserve">Tabela </w:t>
      </w:r>
      <w:r w:rsidR="003972D8" w:rsidRPr="00F07D1B">
        <w:fldChar w:fldCharType="begin"/>
      </w:r>
      <w:r w:rsidRPr="00F07D1B">
        <w:instrText xml:space="preserve"> SEQ Tabela \* ARABIC </w:instrText>
      </w:r>
      <w:r w:rsidR="003972D8" w:rsidRPr="00F07D1B">
        <w:fldChar w:fldCharType="separate"/>
      </w:r>
      <w:r w:rsidR="00413FFE">
        <w:rPr>
          <w:noProof/>
        </w:rPr>
        <w:t>30</w:t>
      </w:r>
      <w:r w:rsidR="003972D8" w:rsidRPr="00F07D1B">
        <w:fldChar w:fldCharType="end"/>
      </w:r>
      <w:r w:rsidRPr="00F07D1B">
        <w:t xml:space="preserve">. </w:t>
      </w:r>
      <w:r w:rsidRPr="00725021">
        <w:t>Śródmieście Centrum – cele i kierunki</w:t>
      </w:r>
      <w:bookmarkEnd w:id="7849"/>
    </w:p>
    <w:tbl>
      <w:tblPr>
        <w:tblW w:w="0" w:type="auto"/>
        <w:tblInd w:w="-20" w:type="dxa"/>
        <w:tblLayout w:type="fixed"/>
        <w:tblLook w:val="0000"/>
      </w:tblPr>
      <w:tblGrid>
        <w:gridCol w:w="2963"/>
        <w:gridCol w:w="6116"/>
      </w:tblGrid>
      <w:tr w:rsidR="00A32047" w:rsidRPr="008845AB" w:rsidTr="00F81EEA">
        <w:trPr>
          <w:cantSplit/>
          <w:tblHeader/>
        </w:trPr>
        <w:tc>
          <w:tcPr>
            <w:tcW w:w="2963" w:type="dxa"/>
            <w:tcBorders>
              <w:top w:val="single" w:sz="4" w:space="0" w:color="000000"/>
              <w:left w:val="single" w:sz="4" w:space="0" w:color="000000"/>
              <w:bottom w:val="single" w:sz="4" w:space="0" w:color="000000"/>
            </w:tcBorders>
            <w:shd w:val="clear" w:color="auto" w:fill="99CCFF"/>
          </w:tcPr>
          <w:p w:rsidR="00A32047" w:rsidRPr="008845AB" w:rsidRDefault="002C6A6A" w:rsidP="00741682">
            <w:pPr>
              <w:spacing w:before="60" w:after="60"/>
              <w:jc w:val="center"/>
              <w:rPr>
                <w:rFonts w:cs="TiepoloItcTEEBoo"/>
                <w:b/>
                <w:bCs/>
                <w:szCs w:val="20"/>
              </w:rPr>
            </w:pPr>
            <w:r w:rsidRPr="008845AB">
              <w:rPr>
                <w:rFonts w:cs="TiepoloItcTEEBoo"/>
                <w:b/>
                <w:bCs/>
                <w:szCs w:val="20"/>
              </w:rPr>
              <w:t>CELE STRATEGICZNE</w:t>
            </w:r>
          </w:p>
        </w:tc>
        <w:tc>
          <w:tcPr>
            <w:tcW w:w="6116" w:type="dxa"/>
            <w:tcBorders>
              <w:top w:val="single" w:sz="4" w:space="0" w:color="000000"/>
              <w:left w:val="single" w:sz="4" w:space="0" w:color="000000"/>
              <w:bottom w:val="single" w:sz="4" w:space="0" w:color="000000"/>
              <w:right w:val="single" w:sz="4" w:space="0" w:color="000000"/>
            </w:tcBorders>
            <w:shd w:val="clear" w:color="auto" w:fill="99CCFF"/>
          </w:tcPr>
          <w:p w:rsidR="00A32047" w:rsidRPr="008845AB" w:rsidRDefault="002C6A6A" w:rsidP="00741682">
            <w:pPr>
              <w:spacing w:before="60" w:after="60"/>
              <w:jc w:val="center"/>
              <w:rPr>
                <w:szCs w:val="20"/>
              </w:rPr>
            </w:pPr>
            <w:r w:rsidRPr="008845AB">
              <w:rPr>
                <w:rFonts w:cs="TiepoloItcTEEBoo"/>
                <w:b/>
                <w:bCs/>
                <w:szCs w:val="20"/>
              </w:rPr>
              <w:t>KIERUNKI DZIAŁANIA</w:t>
            </w:r>
          </w:p>
        </w:tc>
      </w:tr>
      <w:tr w:rsidR="00A32047" w:rsidRPr="008845AB" w:rsidTr="00095DBA">
        <w:trPr>
          <w:cantSplit/>
          <w:trHeight w:val="1928"/>
        </w:trPr>
        <w:tc>
          <w:tcPr>
            <w:tcW w:w="2963" w:type="dxa"/>
            <w:tcBorders>
              <w:top w:val="single" w:sz="4" w:space="0" w:color="000000"/>
              <w:left w:val="single" w:sz="4" w:space="0" w:color="000000"/>
              <w:bottom w:val="single" w:sz="4" w:space="0" w:color="000000"/>
            </w:tcBorders>
          </w:tcPr>
          <w:p w:rsidR="00A32047" w:rsidRPr="007E5020" w:rsidRDefault="00DB0B49" w:rsidP="00095DBA">
            <w:pPr>
              <w:pStyle w:val="Akapitzlist5"/>
              <w:tabs>
                <w:tab w:val="left" w:pos="304"/>
              </w:tabs>
              <w:spacing w:after="0" w:line="240" w:lineRule="auto"/>
              <w:ind w:left="20"/>
              <w:rPr>
                <w:rFonts w:asciiTheme="minorHAnsi" w:hAnsiTheme="minorHAnsi"/>
                <w:b/>
                <w:sz w:val="20"/>
                <w:szCs w:val="20"/>
              </w:rPr>
            </w:pPr>
            <w:r w:rsidRPr="007E5020">
              <w:rPr>
                <w:rFonts w:asciiTheme="minorHAnsi" w:hAnsiTheme="minorHAnsi"/>
                <w:b/>
                <w:sz w:val="20"/>
                <w:szCs w:val="20"/>
              </w:rPr>
              <w:t xml:space="preserve">1. </w:t>
            </w:r>
            <w:r w:rsidR="00A32047" w:rsidRPr="007E5020">
              <w:rPr>
                <w:rFonts w:asciiTheme="minorHAnsi" w:hAnsiTheme="minorHAnsi"/>
                <w:b/>
                <w:sz w:val="20"/>
                <w:szCs w:val="20"/>
              </w:rPr>
              <w:t>Wyeliminowanie negatywnych zjawisk społecznych i podjęcie działań mających na celu zapobieganie wykluczeniu społecznemu</w:t>
            </w:r>
          </w:p>
        </w:tc>
        <w:tc>
          <w:tcPr>
            <w:tcW w:w="6116" w:type="dxa"/>
            <w:tcBorders>
              <w:top w:val="single" w:sz="4" w:space="0" w:color="000000"/>
              <w:left w:val="single" w:sz="4" w:space="0" w:color="000000"/>
              <w:bottom w:val="single" w:sz="4" w:space="0" w:color="000000"/>
              <w:right w:val="single" w:sz="4" w:space="0" w:color="000000"/>
            </w:tcBorders>
            <w:vAlign w:val="center"/>
          </w:tcPr>
          <w:p w:rsidR="00A32047" w:rsidRPr="008845AB" w:rsidRDefault="00A32047" w:rsidP="007B034D">
            <w:pPr>
              <w:pStyle w:val="Akapitzlist5"/>
              <w:numPr>
                <w:ilvl w:val="0"/>
                <w:numId w:val="134"/>
              </w:numPr>
              <w:spacing w:after="0" w:line="240" w:lineRule="auto"/>
              <w:ind w:left="357" w:hanging="357"/>
              <w:rPr>
                <w:rFonts w:asciiTheme="minorHAnsi" w:hAnsiTheme="minorHAnsi"/>
                <w:sz w:val="20"/>
                <w:szCs w:val="20"/>
              </w:rPr>
            </w:pPr>
            <w:r w:rsidRPr="008845AB">
              <w:rPr>
                <w:rFonts w:asciiTheme="minorHAnsi" w:hAnsiTheme="minorHAnsi"/>
                <w:sz w:val="20"/>
                <w:szCs w:val="20"/>
              </w:rPr>
              <w:t>wyrównywanie szans edukacyjnych,</w:t>
            </w:r>
          </w:p>
          <w:p w:rsidR="00A32047" w:rsidRPr="008845AB" w:rsidRDefault="00A32047" w:rsidP="007B034D">
            <w:pPr>
              <w:pStyle w:val="Akapitzlist5"/>
              <w:numPr>
                <w:ilvl w:val="0"/>
                <w:numId w:val="134"/>
              </w:numPr>
              <w:spacing w:after="0" w:line="240" w:lineRule="auto"/>
              <w:ind w:left="357" w:hanging="357"/>
              <w:rPr>
                <w:rFonts w:asciiTheme="minorHAnsi" w:hAnsiTheme="minorHAnsi"/>
                <w:sz w:val="20"/>
                <w:szCs w:val="20"/>
              </w:rPr>
            </w:pPr>
            <w:r w:rsidRPr="008845AB">
              <w:rPr>
                <w:rFonts w:asciiTheme="minorHAnsi" w:hAnsiTheme="minorHAnsi"/>
                <w:sz w:val="20"/>
                <w:szCs w:val="20"/>
              </w:rPr>
              <w:t>tworzenie i wspieranie form aktywizacji seniorów i osób niepełnosprawnych,</w:t>
            </w:r>
          </w:p>
          <w:p w:rsidR="00A32047" w:rsidRPr="008845AB" w:rsidRDefault="00A32047" w:rsidP="007B034D">
            <w:pPr>
              <w:pStyle w:val="Akapitzlist5"/>
              <w:numPr>
                <w:ilvl w:val="0"/>
                <w:numId w:val="134"/>
              </w:numPr>
              <w:spacing w:after="0" w:line="240" w:lineRule="auto"/>
              <w:ind w:left="357" w:hanging="357"/>
              <w:rPr>
                <w:rFonts w:asciiTheme="minorHAnsi" w:hAnsiTheme="minorHAnsi"/>
                <w:sz w:val="20"/>
                <w:szCs w:val="20"/>
              </w:rPr>
            </w:pPr>
            <w:r w:rsidRPr="008845AB">
              <w:rPr>
                <w:rFonts w:asciiTheme="minorHAnsi" w:hAnsiTheme="minorHAnsi"/>
                <w:sz w:val="20"/>
                <w:szCs w:val="20"/>
              </w:rPr>
              <w:t>wspieranie rozwoju dzieci i młodzieży zwłaszcza z rodzin zagrożonych wykluczeniem społecznym,</w:t>
            </w:r>
          </w:p>
          <w:p w:rsidR="00A32047" w:rsidRPr="008845AB" w:rsidRDefault="00A32047" w:rsidP="007B034D">
            <w:pPr>
              <w:pStyle w:val="Akapitzlist5"/>
              <w:numPr>
                <w:ilvl w:val="0"/>
                <w:numId w:val="134"/>
              </w:numPr>
              <w:spacing w:after="0" w:line="240" w:lineRule="auto"/>
              <w:ind w:left="357" w:hanging="357"/>
              <w:rPr>
                <w:rFonts w:asciiTheme="minorHAnsi" w:hAnsiTheme="minorHAnsi"/>
                <w:sz w:val="20"/>
                <w:szCs w:val="20"/>
              </w:rPr>
            </w:pPr>
            <w:r w:rsidRPr="008845AB">
              <w:rPr>
                <w:rFonts w:asciiTheme="minorHAnsi" w:hAnsiTheme="minorHAnsi"/>
                <w:sz w:val="20"/>
                <w:szCs w:val="20"/>
              </w:rPr>
              <w:t>walka z wykluczeniem społecznym poprzez realizację działań profilaktycznych i terapeutycznych,</w:t>
            </w:r>
          </w:p>
          <w:p w:rsidR="00A32047" w:rsidRPr="008845AB" w:rsidRDefault="00A32047" w:rsidP="007B034D">
            <w:pPr>
              <w:pStyle w:val="Akapitzlist5"/>
              <w:numPr>
                <w:ilvl w:val="0"/>
                <w:numId w:val="134"/>
              </w:numPr>
              <w:spacing w:after="0" w:line="240" w:lineRule="auto"/>
              <w:ind w:left="357" w:hanging="357"/>
              <w:rPr>
                <w:rFonts w:asciiTheme="minorHAnsi" w:hAnsiTheme="minorHAnsi"/>
                <w:sz w:val="20"/>
                <w:szCs w:val="20"/>
              </w:rPr>
            </w:pPr>
            <w:r w:rsidRPr="008845AB">
              <w:rPr>
                <w:rFonts w:asciiTheme="minorHAnsi" w:hAnsiTheme="minorHAnsi"/>
                <w:sz w:val="20"/>
                <w:szCs w:val="20"/>
              </w:rPr>
              <w:t>wsparcie udziału osób niepełnosprawnych w życiu społeczno – kulturalnym,</w:t>
            </w:r>
          </w:p>
          <w:p w:rsidR="00A32047" w:rsidRPr="008845AB" w:rsidRDefault="00A32047" w:rsidP="007B034D">
            <w:pPr>
              <w:pStyle w:val="Default"/>
              <w:numPr>
                <w:ilvl w:val="0"/>
                <w:numId w:val="134"/>
              </w:numPr>
              <w:suppressAutoHyphens/>
              <w:autoSpaceDN/>
              <w:adjustRightInd/>
              <w:ind w:left="357" w:hanging="357"/>
              <w:rPr>
                <w:rFonts w:asciiTheme="minorHAnsi" w:hAnsiTheme="minorHAnsi"/>
                <w:sz w:val="20"/>
                <w:szCs w:val="20"/>
              </w:rPr>
            </w:pPr>
            <w:r w:rsidRPr="008845AB">
              <w:rPr>
                <w:rFonts w:asciiTheme="minorHAnsi" w:hAnsiTheme="minorHAnsi"/>
                <w:color w:val="auto"/>
                <w:sz w:val="20"/>
                <w:szCs w:val="20"/>
              </w:rPr>
              <w:t>zwiększenie dostępności do specjalistycznej pomocy społecznej</w:t>
            </w:r>
            <w:r w:rsidR="00E41CDB">
              <w:rPr>
                <w:rFonts w:asciiTheme="minorHAnsi" w:hAnsiTheme="minorHAnsi"/>
                <w:color w:val="auto"/>
                <w:sz w:val="20"/>
                <w:szCs w:val="20"/>
              </w:rPr>
              <w:t>.</w:t>
            </w:r>
          </w:p>
        </w:tc>
      </w:tr>
      <w:tr w:rsidR="00A32047" w:rsidRPr="008845AB" w:rsidTr="00095DBA">
        <w:trPr>
          <w:cantSplit/>
          <w:trHeight w:val="1505"/>
        </w:trPr>
        <w:tc>
          <w:tcPr>
            <w:tcW w:w="2963" w:type="dxa"/>
            <w:tcBorders>
              <w:top w:val="single" w:sz="4" w:space="0" w:color="000000"/>
              <w:left w:val="single" w:sz="4" w:space="0" w:color="000000"/>
              <w:bottom w:val="single" w:sz="4" w:space="0" w:color="000000"/>
            </w:tcBorders>
          </w:tcPr>
          <w:p w:rsidR="00A32047" w:rsidRPr="007E5020" w:rsidRDefault="007E5020" w:rsidP="00095DBA">
            <w:pPr>
              <w:pStyle w:val="Akapitzlist5"/>
              <w:tabs>
                <w:tab w:val="num" w:pos="304"/>
              </w:tabs>
              <w:spacing w:after="0" w:line="240" w:lineRule="auto"/>
              <w:ind w:left="20"/>
              <w:rPr>
                <w:rFonts w:asciiTheme="minorHAnsi" w:hAnsiTheme="minorHAnsi"/>
                <w:b/>
                <w:sz w:val="20"/>
                <w:szCs w:val="20"/>
              </w:rPr>
            </w:pPr>
            <w:r w:rsidRPr="007E5020">
              <w:rPr>
                <w:rFonts w:asciiTheme="minorHAnsi" w:hAnsiTheme="minorHAnsi"/>
                <w:b/>
                <w:sz w:val="20"/>
                <w:szCs w:val="20"/>
              </w:rPr>
              <w:t xml:space="preserve">2. </w:t>
            </w:r>
            <w:r w:rsidR="00A32047" w:rsidRPr="007E5020">
              <w:rPr>
                <w:rFonts w:asciiTheme="minorHAnsi" w:hAnsiTheme="minorHAnsi"/>
                <w:b/>
                <w:sz w:val="20"/>
                <w:szCs w:val="20"/>
              </w:rPr>
              <w:t>Poprawa wizerunku obszaru poprzez podniesienie jakości i</w:t>
            </w:r>
            <w:r>
              <w:rPr>
                <w:rFonts w:asciiTheme="minorHAnsi" w:hAnsiTheme="minorHAnsi"/>
                <w:b/>
                <w:sz w:val="20"/>
                <w:szCs w:val="20"/>
              </w:rPr>
              <w:t> </w:t>
            </w:r>
            <w:r w:rsidR="00A32047" w:rsidRPr="007E5020">
              <w:rPr>
                <w:rFonts w:asciiTheme="minorHAnsi" w:hAnsiTheme="minorHAnsi"/>
                <w:b/>
                <w:sz w:val="20"/>
                <w:szCs w:val="20"/>
              </w:rPr>
              <w:t>zwiększenie dostępności usług społecznych, stanu technicznego budynków i</w:t>
            </w:r>
            <w:r w:rsidR="00EB194B">
              <w:rPr>
                <w:rFonts w:asciiTheme="minorHAnsi" w:hAnsiTheme="minorHAnsi"/>
                <w:b/>
                <w:sz w:val="20"/>
                <w:szCs w:val="20"/>
              </w:rPr>
              <w:t> </w:t>
            </w:r>
            <w:r w:rsidR="00A32047" w:rsidRPr="007E5020">
              <w:rPr>
                <w:rFonts w:asciiTheme="minorHAnsi" w:hAnsiTheme="minorHAnsi"/>
                <w:b/>
                <w:sz w:val="20"/>
                <w:szCs w:val="20"/>
              </w:rPr>
              <w:t>infrastruktury oraz inwestycje w atrakcyjne przestrzenie publiczne tworzone z udziałem mieszkańców</w:t>
            </w:r>
          </w:p>
        </w:tc>
        <w:tc>
          <w:tcPr>
            <w:tcW w:w="6116" w:type="dxa"/>
            <w:tcBorders>
              <w:top w:val="single" w:sz="4" w:space="0" w:color="000000"/>
              <w:left w:val="single" w:sz="4" w:space="0" w:color="000000"/>
              <w:bottom w:val="single" w:sz="4" w:space="0" w:color="000000"/>
              <w:right w:val="single" w:sz="4" w:space="0" w:color="000000"/>
            </w:tcBorders>
          </w:tcPr>
          <w:p w:rsidR="00A32047" w:rsidRPr="008845AB" w:rsidRDefault="00A32047" w:rsidP="007B034D">
            <w:pPr>
              <w:pStyle w:val="Akapitzlist5"/>
              <w:numPr>
                <w:ilvl w:val="0"/>
                <w:numId w:val="134"/>
              </w:numPr>
              <w:spacing w:after="0" w:line="240" w:lineRule="auto"/>
              <w:ind w:left="357" w:hanging="357"/>
              <w:rPr>
                <w:rFonts w:asciiTheme="minorHAnsi" w:hAnsiTheme="minorHAnsi"/>
                <w:sz w:val="20"/>
                <w:szCs w:val="20"/>
              </w:rPr>
            </w:pPr>
            <w:r w:rsidRPr="008845AB">
              <w:rPr>
                <w:rFonts w:asciiTheme="minorHAnsi" w:hAnsiTheme="minorHAnsi"/>
                <w:sz w:val="20"/>
                <w:szCs w:val="20"/>
              </w:rPr>
              <w:t>poprawa poziomu bezpieczeństwa w dzielnicy,</w:t>
            </w:r>
          </w:p>
          <w:p w:rsidR="00A32047" w:rsidRPr="008845AB" w:rsidRDefault="00A32047" w:rsidP="007B034D">
            <w:pPr>
              <w:pStyle w:val="Akapitzlist5"/>
              <w:numPr>
                <w:ilvl w:val="0"/>
                <w:numId w:val="134"/>
              </w:numPr>
              <w:spacing w:after="0" w:line="240" w:lineRule="auto"/>
              <w:ind w:left="357" w:hanging="357"/>
              <w:rPr>
                <w:rFonts w:asciiTheme="minorHAnsi" w:hAnsiTheme="minorHAnsi"/>
                <w:sz w:val="20"/>
                <w:szCs w:val="20"/>
              </w:rPr>
            </w:pPr>
            <w:r w:rsidRPr="008845AB">
              <w:rPr>
                <w:rFonts w:asciiTheme="minorHAnsi" w:hAnsiTheme="minorHAnsi"/>
                <w:sz w:val="20"/>
                <w:szCs w:val="20"/>
              </w:rPr>
              <w:t>podniesienie standardu tkanki mieszkaniowej i infrastruktury technicznej,</w:t>
            </w:r>
          </w:p>
          <w:p w:rsidR="00A32047" w:rsidRPr="008845AB" w:rsidRDefault="00A32047" w:rsidP="007B034D">
            <w:pPr>
              <w:pStyle w:val="Akapitzlist5"/>
              <w:numPr>
                <w:ilvl w:val="0"/>
                <w:numId w:val="134"/>
              </w:numPr>
              <w:spacing w:after="0" w:line="240" w:lineRule="auto"/>
              <w:ind w:left="357" w:hanging="357"/>
              <w:rPr>
                <w:rFonts w:asciiTheme="minorHAnsi" w:hAnsiTheme="minorHAnsi"/>
                <w:sz w:val="20"/>
                <w:szCs w:val="20"/>
              </w:rPr>
            </w:pPr>
            <w:r w:rsidRPr="008845AB">
              <w:rPr>
                <w:rFonts w:asciiTheme="minorHAnsi" w:hAnsiTheme="minorHAnsi"/>
                <w:sz w:val="20"/>
                <w:szCs w:val="20"/>
              </w:rPr>
              <w:t>modernizacja i tworzenie atrakcyjnych przestrzeni publicznych,</w:t>
            </w:r>
          </w:p>
          <w:p w:rsidR="00A32047" w:rsidRPr="008845AB" w:rsidRDefault="00A32047" w:rsidP="007B034D">
            <w:pPr>
              <w:pStyle w:val="Akapitzlist5"/>
              <w:numPr>
                <w:ilvl w:val="0"/>
                <w:numId w:val="134"/>
              </w:numPr>
              <w:spacing w:after="0" w:line="240" w:lineRule="auto"/>
              <w:ind w:left="357" w:hanging="357"/>
              <w:rPr>
                <w:rFonts w:asciiTheme="minorHAnsi" w:hAnsiTheme="minorHAnsi"/>
                <w:sz w:val="20"/>
                <w:szCs w:val="20"/>
              </w:rPr>
            </w:pPr>
            <w:r w:rsidRPr="008845AB">
              <w:rPr>
                <w:rFonts w:asciiTheme="minorHAnsi" w:hAnsiTheme="minorHAnsi"/>
                <w:sz w:val="20"/>
                <w:szCs w:val="20"/>
              </w:rPr>
              <w:t>poprawa standardu infrastruktury komunalnej,</w:t>
            </w:r>
          </w:p>
          <w:p w:rsidR="00A32047" w:rsidRPr="008845AB" w:rsidRDefault="00A32047" w:rsidP="007B034D">
            <w:pPr>
              <w:pStyle w:val="Akapitzlist5"/>
              <w:numPr>
                <w:ilvl w:val="0"/>
                <w:numId w:val="134"/>
              </w:numPr>
              <w:spacing w:after="0" w:line="240" w:lineRule="auto"/>
              <w:ind w:left="357" w:hanging="357"/>
              <w:rPr>
                <w:rFonts w:asciiTheme="minorHAnsi" w:hAnsiTheme="minorHAnsi"/>
                <w:sz w:val="20"/>
                <w:szCs w:val="20"/>
              </w:rPr>
            </w:pPr>
            <w:r w:rsidRPr="008845AB">
              <w:rPr>
                <w:rFonts w:asciiTheme="minorHAnsi" w:hAnsiTheme="minorHAnsi"/>
                <w:sz w:val="20"/>
                <w:szCs w:val="20"/>
              </w:rPr>
              <w:t>przyciąganie nowych mieszkańców</w:t>
            </w:r>
            <w:r w:rsidR="00E41CDB">
              <w:rPr>
                <w:rFonts w:asciiTheme="minorHAnsi" w:hAnsiTheme="minorHAnsi"/>
                <w:sz w:val="20"/>
                <w:szCs w:val="20"/>
              </w:rPr>
              <w:t>.</w:t>
            </w:r>
          </w:p>
        </w:tc>
      </w:tr>
      <w:tr w:rsidR="00A32047" w:rsidRPr="008845AB" w:rsidTr="00095DBA">
        <w:trPr>
          <w:cantSplit/>
          <w:trHeight w:val="1049"/>
        </w:trPr>
        <w:tc>
          <w:tcPr>
            <w:tcW w:w="2963" w:type="dxa"/>
            <w:tcBorders>
              <w:top w:val="single" w:sz="4" w:space="0" w:color="000000"/>
              <w:left w:val="single" w:sz="4" w:space="0" w:color="000000"/>
              <w:bottom w:val="single" w:sz="4" w:space="0" w:color="000000"/>
            </w:tcBorders>
          </w:tcPr>
          <w:p w:rsidR="00A32047" w:rsidRPr="007E5020" w:rsidRDefault="007E5020" w:rsidP="00095DBA">
            <w:pPr>
              <w:pStyle w:val="Akapitzlist5"/>
              <w:tabs>
                <w:tab w:val="num" w:pos="304"/>
              </w:tabs>
              <w:spacing w:after="0" w:line="240" w:lineRule="auto"/>
              <w:ind w:left="20"/>
              <w:rPr>
                <w:rFonts w:asciiTheme="minorHAnsi" w:hAnsiTheme="minorHAnsi"/>
                <w:b/>
                <w:sz w:val="20"/>
                <w:szCs w:val="20"/>
              </w:rPr>
            </w:pPr>
            <w:r w:rsidRPr="007E5020">
              <w:rPr>
                <w:rFonts w:asciiTheme="minorHAnsi" w:hAnsiTheme="minorHAnsi"/>
                <w:b/>
                <w:sz w:val="20"/>
                <w:szCs w:val="20"/>
              </w:rPr>
              <w:t xml:space="preserve">3. </w:t>
            </w:r>
            <w:r w:rsidR="00A32047" w:rsidRPr="007E5020">
              <w:rPr>
                <w:rFonts w:asciiTheme="minorHAnsi" w:hAnsiTheme="minorHAnsi"/>
                <w:b/>
                <w:sz w:val="20"/>
                <w:szCs w:val="20"/>
              </w:rPr>
              <w:t>Wzmocnienie aktywności obywatelskiej mieszkańców i</w:t>
            </w:r>
            <w:r w:rsidR="00095DBA">
              <w:rPr>
                <w:rFonts w:asciiTheme="minorHAnsi" w:hAnsiTheme="minorHAnsi"/>
                <w:b/>
                <w:sz w:val="20"/>
                <w:szCs w:val="20"/>
              </w:rPr>
              <w:t> </w:t>
            </w:r>
            <w:r w:rsidR="00A32047" w:rsidRPr="007E5020">
              <w:rPr>
                <w:rFonts w:asciiTheme="minorHAnsi" w:hAnsiTheme="minorHAnsi"/>
                <w:b/>
                <w:sz w:val="20"/>
                <w:szCs w:val="20"/>
              </w:rPr>
              <w:t xml:space="preserve">budowanie tożsamości lokalnej </w:t>
            </w:r>
          </w:p>
        </w:tc>
        <w:tc>
          <w:tcPr>
            <w:tcW w:w="6116" w:type="dxa"/>
            <w:tcBorders>
              <w:top w:val="single" w:sz="4" w:space="0" w:color="000000"/>
              <w:left w:val="single" w:sz="4" w:space="0" w:color="000000"/>
              <w:bottom w:val="single" w:sz="4" w:space="0" w:color="000000"/>
              <w:right w:val="single" w:sz="4" w:space="0" w:color="000000"/>
            </w:tcBorders>
            <w:vAlign w:val="center"/>
          </w:tcPr>
          <w:p w:rsidR="00A32047" w:rsidRPr="008845AB" w:rsidRDefault="00A32047" w:rsidP="007B034D">
            <w:pPr>
              <w:pStyle w:val="Akapitzlist5"/>
              <w:numPr>
                <w:ilvl w:val="0"/>
                <w:numId w:val="134"/>
              </w:numPr>
              <w:spacing w:after="0" w:line="240" w:lineRule="auto"/>
              <w:ind w:left="357" w:hanging="357"/>
              <w:rPr>
                <w:rFonts w:asciiTheme="minorHAnsi" w:hAnsiTheme="minorHAnsi"/>
                <w:sz w:val="20"/>
                <w:szCs w:val="20"/>
              </w:rPr>
            </w:pPr>
            <w:r w:rsidRPr="008845AB">
              <w:rPr>
                <w:rFonts w:asciiTheme="minorHAnsi" w:hAnsiTheme="minorHAnsi"/>
                <w:sz w:val="20"/>
                <w:szCs w:val="20"/>
              </w:rPr>
              <w:t>tworzenie oferty spędzania czasu wolnego ze szczególnym uwzględnieniem potrzeb dzieci, młodzieży, osób starszych i</w:t>
            </w:r>
            <w:r w:rsidR="003D1A44">
              <w:rPr>
                <w:rFonts w:asciiTheme="minorHAnsi" w:hAnsiTheme="minorHAnsi"/>
                <w:sz w:val="20"/>
                <w:szCs w:val="20"/>
              </w:rPr>
              <w:t> </w:t>
            </w:r>
            <w:r w:rsidRPr="008845AB">
              <w:rPr>
                <w:rFonts w:asciiTheme="minorHAnsi" w:hAnsiTheme="minorHAnsi"/>
                <w:sz w:val="20"/>
                <w:szCs w:val="20"/>
              </w:rPr>
              <w:t>wykluczonych społecznie,</w:t>
            </w:r>
          </w:p>
          <w:p w:rsidR="00A32047" w:rsidRPr="008845AB" w:rsidRDefault="00A32047" w:rsidP="007B034D">
            <w:pPr>
              <w:pStyle w:val="Akapitzlist5"/>
              <w:numPr>
                <w:ilvl w:val="0"/>
                <w:numId w:val="134"/>
              </w:numPr>
              <w:spacing w:after="0" w:line="240" w:lineRule="auto"/>
              <w:ind w:left="357" w:hanging="357"/>
              <w:rPr>
                <w:rFonts w:asciiTheme="minorHAnsi" w:hAnsiTheme="minorHAnsi"/>
                <w:sz w:val="20"/>
                <w:szCs w:val="20"/>
              </w:rPr>
            </w:pPr>
            <w:r w:rsidRPr="008845AB">
              <w:rPr>
                <w:rFonts w:asciiTheme="minorHAnsi" w:hAnsiTheme="minorHAnsi"/>
                <w:sz w:val="20"/>
                <w:szCs w:val="20"/>
              </w:rPr>
              <w:t>wzmocnienie aktywnego uczestnictwa mieszkańców obszaru w</w:t>
            </w:r>
            <w:r w:rsidR="003D1A44">
              <w:rPr>
                <w:rFonts w:asciiTheme="minorHAnsi" w:hAnsiTheme="minorHAnsi"/>
                <w:sz w:val="20"/>
                <w:szCs w:val="20"/>
              </w:rPr>
              <w:t> </w:t>
            </w:r>
            <w:r w:rsidRPr="008845AB">
              <w:rPr>
                <w:rFonts w:asciiTheme="minorHAnsi" w:hAnsiTheme="minorHAnsi"/>
                <w:sz w:val="20"/>
                <w:szCs w:val="20"/>
              </w:rPr>
              <w:t>życiu miasta,</w:t>
            </w:r>
          </w:p>
          <w:p w:rsidR="00A32047" w:rsidRPr="008845AB" w:rsidRDefault="00A32047" w:rsidP="007B034D">
            <w:pPr>
              <w:pStyle w:val="Akapitzlist5"/>
              <w:numPr>
                <w:ilvl w:val="0"/>
                <w:numId w:val="134"/>
              </w:numPr>
              <w:spacing w:after="0" w:line="240" w:lineRule="auto"/>
              <w:ind w:left="357" w:hanging="357"/>
              <w:rPr>
                <w:rFonts w:asciiTheme="minorHAnsi" w:hAnsiTheme="minorHAnsi"/>
                <w:sz w:val="20"/>
                <w:szCs w:val="20"/>
              </w:rPr>
            </w:pPr>
            <w:r w:rsidRPr="008845AB">
              <w:rPr>
                <w:rFonts w:asciiTheme="minorHAnsi" w:hAnsiTheme="minorHAnsi"/>
                <w:sz w:val="20"/>
                <w:szCs w:val="20"/>
              </w:rPr>
              <w:t>wspieranie inicjatyw obywatelskich mieszkańców</w:t>
            </w:r>
            <w:r w:rsidR="00E41CDB">
              <w:rPr>
                <w:rFonts w:asciiTheme="minorHAnsi" w:hAnsiTheme="minorHAnsi"/>
                <w:sz w:val="20"/>
                <w:szCs w:val="20"/>
              </w:rPr>
              <w:t>.</w:t>
            </w:r>
          </w:p>
        </w:tc>
      </w:tr>
      <w:tr w:rsidR="00A32047" w:rsidRPr="008845AB" w:rsidTr="00E41EE8">
        <w:trPr>
          <w:cantSplit/>
          <w:trHeight w:val="1343"/>
        </w:trPr>
        <w:tc>
          <w:tcPr>
            <w:tcW w:w="2963" w:type="dxa"/>
            <w:tcBorders>
              <w:top w:val="single" w:sz="4" w:space="0" w:color="000000"/>
              <w:left w:val="single" w:sz="4" w:space="0" w:color="000000"/>
              <w:bottom w:val="single" w:sz="4" w:space="0" w:color="000000"/>
            </w:tcBorders>
          </w:tcPr>
          <w:p w:rsidR="00A32047" w:rsidRPr="007E5020" w:rsidRDefault="00A32047" w:rsidP="00095DBA">
            <w:pPr>
              <w:pStyle w:val="Akapitzlist5"/>
              <w:spacing w:after="0" w:line="240" w:lineRule="auto"/>
              <w:ind w:left="0"/>
              <w:rPr>
                <w:rFonts w:asciiTheme="minorHAnsi" w:hAnsiTheme="minorHAnsi"/>
                <w:b/>
                <w:sz w:val="20"/>
                <w:szCs w:val="20"/>
              </w:rPr>
            </w:pPr>
            <w:r w:rsidRPr="007E5020">
              <w:rPr>
                <w:rFonts w:asciiTheme="minorHAnsi" w:hAnsiTheme="minorHAnsi"/>
                <w:b/>
                <w:sz w:val="20"/>
                <w:szCs w:val="20"/>
              </w:rPr>
              <w:t>4. Podniesienie aktywności zawodowej mieszkańców oraz dostosowanie oferty edukacyjnej do potrzeb rynku pracy</w:t>
            </w:r>
          </w:p>
        </w:tc>
        <w:tc>
          <w:tcPr>
            <w:tcW w:w="6116" w:type="dxa"/>
            <w:tcBorders>
              <w:top w:val="single" w:sz="4" w:space="0" w:color="000000"/>
              <w:left w:val="single" w:sz="4" w:space="0" w:color="000000"/>
              <w:bottom w:val="single" w:sz="4" w:space="0" w:color="000000"/>
              <w:right w:val="single" w:sz="4" w:space="0" w:color="000000"/>
            </w:tcBorders>
          </w:tcPr>
          <w:p w:rsidR="00A32047" w:rsidRPr="008845AB" w:rsidRDefault="00A32047" w:rsidP="00E41EE8">
            <w:pPr>
              <w:pStyle w:val="Akapitzlist5"/>
              <w:numPr>
                <w:ilvl w:val="0"/>
                <w:numId w:val="134"/>
              </w:numPr>
              <w:spacing w:after="0" w:line="240" w:lineRule="auto"/>
              <w:ind w:left="337"/>
              <w:rPr>
                <w:rFonts w:asciiTheme="minorHAnsi" w:hAnsiTheme="minorHAnsi"/>
                <w:sz w:val="20"/>
                <w:szCs w:val="20"/>
              </w:rPr>
            </w:pPr>
            <w:r w:rsidRPr="008845AB">
              <w:rPr>
                <w:rFonts w:asciiTheme="minorHAnsi" w:hAnsiTheme="minorHAnsi"/>
                <w:sz w:val="20"/>
                <w:szCs w:val="20"/>
              </w:rPr>
              <w:t>wspieranie aktywizacji zawodowej,</w:t>
            </w:r>
          </w:p>
          <w:p w:rsidR="00912BF5" w:rsidRDefault="00A32047" w:rsidP="00E41EE8">
            <w:pPr>
              <w:pStyle w:val="Akapitzlist5"/>
              <w:numPr>
                <w:ilvl w:val="0"/>
                <w:numId w:val="134"/>
              </w:numPr>
              <w:spacing w:after="0" w:line="240" w:lineRule="auto"/>
              <w:ind w:left="337"/>
              <w:rPr>
                <w:rFonts w:asciiTheme="minorHAnsi" w:hAnsiTheme="minorHAnsi"/>
                <w:sz w:val="20"/>
                <w:szCs w:val="20"/>
              </w:rPr>
            </w:pPr>
            <w:r w:rsidRPr="008845AB">
              <w:rPr>
                <w:rFonts w:asciiTheme="minorHAnsi" w:hAnsiTheme="minorHAnsi"/>
                <w:sz w:val="20"/>
                <w:szCs w:val="20"/>
              </w:rPr>
              <w:t>wzmocnienie atrakcyjności inwestycyjnej obszaru,</w:t>
            </w:r>
          </w:p>
          <w:p w:rsidR="008905B3" w:rsidRPr="00912BF5" w:rsidRDefault="008905B3" w:rsidP="00E41EE8">
            <w:pPr>
              <w:pStyle w:val="Akapitzlist5"/>
              <w:numPr>
                <w:ilvl w:val="0"/>
                <w:numId w:val="134"/>
              </w:numPr>
              <w:spacing w:after="0" w:line="240" w:lineRule="auto"/>
              <w:ind w:left="337"/>
              <w:rPr>
                <w:rFonts w:asciiTheme="minorHAnsi" w:hAnsiTheme="minorHAnsi"/>
                <w:sz w:val="20"/>
                <w:szCs w:val="20"/>
              </w:rPr>
            </w:pPr>
            <w:r w:rsidRPr="00912BF5">
              <w:rPr>
                <w:rFonts w:asciiTheme="minorHAnsi" w:hAnsiTheme="minorHAnsi"/>
                <w:sz w:val="20"/>
                <w:szCs w:val="20"/>
              </w:rPr>
              <w:t xml:space="preserve">wspieranie rozwoju mikro, małych i średnich przedsiębiorstw oraz promocja </w:t>
            </w:r>
            <w:r w:rsidR="00E41CDB">
              <w:rPr>
                <w:rFonts w:asciiTheme="minorHAnsi" w:hAnsiTheme="minorHAnsi"/>
                <w:sz w:val="20"/>
                <w:szCs w:val="20"/>
              </w:rPr>
              <w:t>samozatrudnienia.</w:t>
            </w:r>
          </w:p>
        </w:tc>
      </w:tr>
    </w:tbl>
    <w:p w:rsidR="0050065F" w:rsidRDefault="0050065F" w:rsidP="0050065F">
      <w:pPr>
        <w:pStyle w:val="Nagwek5"/>
        <w:spacing w:before="0" w:after="0"/>
        <w:rPr>
          <w:rFonts w:asciiTheme="minorHAnsi" w:eastAsia="Calibri" w:hAnsiTheme="minorHAnsi"/>
          <w:b w:val="0"/>
          <w:sz w:val="18"/>
          <w:szCs w:val="20"/>
        </w:rPr>
      </w:pPr>
      <w:r w:rsidRPr="00AE19F2">
        <w:rPr>
          <w:rFonts w:asciiTheme="minorHAnsi" w:eastAsia="Calibri" w:hAnsiTheme="minorHAnsi"/>
          <w:b w:val="0"/>
          <w:sz w:val="18"/>
          <w:szCs w:val="20"/>
        </w:rPr>
        <w:t>Źródło:</w:t>
      </w:r>
      <w:r w:rsidRPr="00AE19F2">
        <w:rPr>
          <w:rFonts w:asciiTheme="minorHAnsi" w:eastAsia="Calibri" w:hAnsiTheme="minorHAnsi"/>
          <w:sz w:val="18"/>
          <w:szCs w:val="20"/>
        </w:rPr>
        <w:t xml:space="preserve"> </w:t>
      </w:r>
      <w:r w:rsidRPr="00AE19F2">
        <w:rPr>
          <w:rFonts w:asciiTheme="minorHAnsi" w:eastAsia="Calibri" w:hAnsiTheme="minorHAnsi"/>
          <w:b w:val="0"/>
          <w:sz w:val="18"/>
          <w:szCs w:val="20"/>
        </w:rPr>
        <w:t xml:space="preserve">Opracowanie własne na podstawie Raportu z konsultacji społecznych podobszaru rewitalizacji Śródmieście Centrum </w:t>
      </w:r>
      <w:r w:rsidR="00DC1039">
        <w:rPr>
          <w:rFonts w:asciiTheme="minorHAnsi" w:eastAsia="Calibri" w:hAnsiTheme="minorHAnsi"/>
          <w:b w:val="0"/>
          <w:sz w:val="18"/>
          <w:szCs w:val="20"/>
        </w:rPr>
        <w:t>–</w:t>
      </w:r>
      <w:r w:rsidRPr="00AE19F2">
        <w:rPr>
          <w:rFonts w:asciiTheme="minorHAnsi" w:eastAsia="Calibri" w:hAnsiTheme="minorHAnsi"/>
          <w:b w:val="0"/>
          <w:sz w:val="18"/>
          <w:szCs w:val="20"/>
        </w:rPr>
        <w:t xml:space="preserve"> Bytom</w:t>
      </w:r>
    </w:p>
    <w:p w:rsidR="00DC1039" w:rsidRDefault="00DC1039" w:rsidP="00DC1039"/>
    <w:p w:rsidR="00A32047" w:rsidRDefault="00A32047" w:rsidP="00141C15">
      <w:pPr>
        <w:pStyle w:val="Nagwek3"/>
        <w:numPr>
          <w:ilvl w:val="2"/>
          <w:numId w:val="225"/>
        </w:numPr>
        <w:rPr>
          <w:sz w:val="20"/>
          <w:szCs w:val="22"/>
        </w:rPr>
      </w:pPr>
      <w:bookmarkStart w:id="7850" w:name="_Toc474924958"/>
      <w:r>
        <w:t>Wizja obszaru rewitalizacji Bytomia</w:t>
      </w:r>
      <w:bookmarkEnd w:id="7850"/>
      <w:r>
        <w:t xml:space="preserve"> </w:t>
      </w:r>
    </w:p>
    <w:p w:rsidR="00052BFF" w:rsidRDefault="00052BFF" w:rsidP="00A32047">
      <w:pPr>
        <w:spacing w:before="120"/>
        <w:ind w:firstLine="567"/>
        <w:jc w:val="both"/>
        <w:rPr>
          <w:rFonts w:ascii="Calibri" w:hAnsi="Calibri" w:cs="Calibri"/>
          <w:szCs w:val="22"/>
        </w:rPr>
      </w:pPr>
    </w:p>
    <w:p w:rsidR="00B806E2" w:rsidRDefault="00A32047" w:rsidP="00B806E2">
      <w:pPr>
        <w:ind w:firstLine="567"/>
        <w:jc w:val="both"/>
        <w:rPr>
          <w:rFonts w:ascii="Calibri" w:hAnsi="Calibri" w:cs="Calibri"/>
          <w:b/>
          <w:szCs w:val="22"/>
        </w:rPr>
      </w:pPr>
      <w:r w:rsidRPr="00F128C2">
        <w:rPr>
          <w:rFonts w:ascii="Calibri" w:hAnsi="Calibri" w:cs="Calibri"/>
          <w:b/>
          <w:szCs w:val="22"/>
        </w:rPr>
        <w:t xml:space="preserve">W przedstawionych powyżej wstępnych wizjach dla </w:t>
      </w:r>
      <w:r w:rsidR="00B806E2">
        <w:rPr>
          <w:rFonts w:ascii="Calibri" w:hAnsi="Calibri" w:cs="Calibri"/>
          <w:b/>
          <w:szCs w:val="22"/>
        </w:rPr>
        <w:t>sześciu</w:t>
      </w:r>
      <w:r w:rsidRPr="00F128C2">
        <w:rPr>
          <w:rFonts w:ascii="Calibri" w:hAnsi="Calibri" w:cs="Calibri"/>
          <w:b/>
          <w:szCs w:val="22"/>
        </w:rPr>
        <w:t xml:space="preserve"> podobszarów</w:t>
      </w:r>
      <w:r w:rsidR="00B806E2">
        <w:rPr>
          <w:rFonts w:ascii="Calibri" w:hAnsi="Calibri" w:cs="Calibri"/>
          <w:b/>
          <w:szCs w:val="22"/>
        </w:rPr>
        <w:t xml:space="preserve"> zamieszkałych</w:t>
      </w:r>
      <w:r w:rsidRPr="00F128C2">
        <w:rPr>
          <w:rFonts w:ascii="Calibri" w:hAnsi="Calibri" w:cs="Calibri"/>
          <w:b/>
          <w:szCs w:val="22"/>
        </w:rPr>
        <w:t xml:space="preserve"> znaleziono wspólny mianownik</w:t>
      </w:r>
      <w:r w:rsidR="00F128C2" w:rsidRPr="00F128C2">
        <w:rPr>
          <w:rFonts w:ascii="Calibri" w:hAnsi="Calibri" w:cs="Calibri"/>
          <w:b/>
          <w:szCs w:val="22"/>
        </w:rPr>
        <w:t>,</w:t>
      </w:r>
      <w:r w:rsidRPr="00F128C2">
        <w:rPr>
          <w:rFonts w:ascii="Calibri" w:hAnsi="Calibri" w:cs="Calibri"/>
          <w:b/>
          <w:szCs w:val="22"/>
        </w:rPr>
        <w:t xml:space="preserve"> </w:t>
      </w:r>
      <w:r w:rsidR="00F128C2" w:rsidRPr="00F128C2">
        <w:rPr>
          <w:rFonts w:ascii="Calibri" w:hAnsi="Calibri" w:cs="Calibri"/>
          <w:b/>
          <w:szCs w:val="22"/>
        </w:rPr>
        <w:t xml:space="preserve">na tej podstawie </w:t>
      </w:r>
      <w:r w:rsidRPr="00F128C2">
        <w:rPr>
          <w:rFonts w:ascii="Calibri" w:hAnsi="Calibri" w:cs="Calibri"/>
          <w:b/>
          <w:szCs w:val="22"/>
        </w:rPr>
        <w:t>określono wizję dla całego obszaru rewitalizacji Bytomia.</w:t>
      </w:r>
      <w:r>
        <w:rPr>
          <w:rFonts w:ascii="Calibri" w:hAnsi="Calibri" w:cs="Calibri"/>
          <w:szCs w:val="22"/>
        </w:rPr>
        <w:t xml:space="preserve"> </w:t>
      </w:r>
      <w:r w:rsidR="00B806E2">
        <w:rPr>
          <w:rFonts w:ascii="Calibri" w:hAnsi="Calibri" w:cs="Calibri"/>
          <w:b/>
          <w:szCs w:val="22"/>
        </w:rPr>
        <w:t>Wizję uzupełniono o zapisy dotyczące dziewięciu niezamieszkałych podobszarów poprzemysłowych.</w:t>
      </w:r>
    </w:p>
    <w:p w:rsidR="00B806E2" w:rsidRPr="005B4C87" w:rsidRDefault="00B806E2" w:rsidP="00B806E2">
      <w:pPr>
        <w:ind w:firstLine="567"/>
        <w:jc w:val="both"/>
        <w:rPr>
          <w:rFonts w:ascii="Calibri" w:hAnsi="Calibri" w:cs="Calibri"/>
          <w:szCs w:val="22"/>
        </w:rPr>
      </w:pPr>
      <w:r w:rsidRPr="00BC6519">
        <w:rPr>
          <w:rFonts w:ascii="Calibri" w:hAnsi="Calibri" w:cs="Calibri"/>
          <w:szCs w:val="22"/>
        </w:rPr>
        <w:t>Dla</w:t>
      </w:r>
      <w:r>
        <w:rPr>
          <w:rFonts w:ascii="Calibri" w:hAnsi="Calibri" w:cs="Calibri"/>
          <w:szCs w:val="22"/>
        </w:rPr>
        <w:t xml:space="preserve"> niezamieszkałych pod</w:t>
      </w:r>
      <w:r w:rsidRPr="00BC6519">
        <w:rPr>
          <w:rFonts w:ascii="Calibri" w:hAnsi="Calibri" w:cs="Calibri"/>
          <w:szCs w:val="22"/>
        </w:rPr>
        <w:t>obszarów nie wypracow</w:t>
      </w:r>
      <w:r>
        <w:rPr>
          <w:rFonts w:ascii="Calibri" w:hAnsi="Calibri" w:cs="Calibri"/>
          <w:szCs w:val="22"/>
        </w:rPr>
        <w:t>ano</w:t>
      </w:r>
      <w:r w:rsidRPr="00BC6519">
        <w:rPr>
          <w:rFonts w:ascii="Calibri" w:hAnsi="Calibri" w:cs="Calibri"/>
          <w:szCs w:val="22"/>
        </w:rPr>
        <w:t xml:space="preserve"> osobnych wizji</w:t>
      </w:r>
      <w:r>
        <w:rPr>
          <w:rFonts w:ascii="Calibri" w:hAnsi="Calibri" w:cs="Calibri"/>
          <w:szCs w:val="22"/>
        </w:rPr>
        <w:t xml:space="preserve">, jednak obszary poprzemysłowe mają duże znaczenie dla rozwoju miasta, dlatego zostały wskazane w procesie delimitacji jako  uzupełnienie sześciu podobszarów zamieszkałych a przedsięwzięcia na nich realizowane mają przyczynić się do przeciwdziałania negatywnym zjawiskom społecznym w podobszarze zamieszkałym.  Wizja obszaru rewitalizacji </w:t>
      </w:r>
      <w:r>
        <w:rPr>
          <w:rFonts w:ascii="Calibri" w:hAnsi="Calibri" w:cs="Calibri"/>
          <w:szCs w:val="22"/>
        </w:rPr>
        <w:lastRenderedPageBreak/>
        <w:t xml:space="preserve">bez uwzględnienia w niej obszarów poprzemysłowych, które stanowią prawie 50% obszaru rewitalizacji Bytomia byłaby niepełna. </w:t>
      </w:r>
    </w:p>
    <w:p w:rsidR="00A32047" w:rsidRDefault="00A32047" w:rsidP="00A32047">
      <w:pPr>
        <w:ind w:firstLine="567"/>
        <w:jc w:val="both"/>
        <w:rPr>
          <w:rFonts w:ascii="Calibri" w:hAnsi="Calibri" w:cs="Calibri"/>
          <w:szCs w:val="22"/>
        </w:rPr>
      </w:pPr>
      <w:r>
        <w:rPr>
          <w:rFonts w:ascii="Calibri" w:hAnsi="Calibri" w:cs="Calibri"/>
          <w:szCs w:val="22"/>
        </w:rPr>
        <w:t>Wizja obszaru rewitalizacji pokazuje jak docelowo powinien wyg</w:t>
      </w:r>
      <w:r w:rsidR="007E6F34">
        <w:rPr>
          <w:rFonts w:ascii="Calibri" w:hAnsi="Calibri" w:cs="Calibri"/>
          <w:szCs w:val="22"/>
        </w:rPr>
        <w:t>lądać obszar wskazany do objęcia</w:t>
      </w:r>
      <w:r>
        <w:rPr>
          <w:rFonts w:ascii="Calibri" w:hAnsi="Calibri" w:cs="Calibri"/>
          <w:szCs w:val="22"/>
        </w:rPr>
        <w:t xml:space="preserve"> procesem rewitalizacji. Biorąc po</w:t>
      </w:r>
      <w:r w:rsidR="007E6F34">
        <w:rPr>
          <w:rFonts w:ascii="Calibri" w:hAnsi="Calibri" w:cs="Calibri"/>
          <w:szCs w:val="22"/>
        </w:rPr>
        <w:t>d</w:t>
      </w:r>
      <w:r>
        <w:rPr>
          <w:rFonts w:ascii="Calibri" w:hAnsi="Calibri" w:cs="Calibri"/>
          <w:szCs w:val="22"/>
        </w:rPr>
        <w:t xml:space="preserve"> uwagę fakt, że rewitalizacja to proces długotrwały</w:t>
      </w:r>
      <w:r w:rsidR="007657F7">
        <w:rPr>
          <w:rFonts w:ascii="Calibri" w:hAnsi="Calibri" w:cs="Calibri"/>
          <w:szCs w:val="22"/>
        </w:rPr>
        <w:t>,</w:t>
      </w:r>
      <w:r>
        <w:rPr>
          <w:rFonts w:ascii="Calibri" w:hAnsi="Calibri" w:cs="Calibri"/>
          <w:szCs w:val="22"/>
        </w:rPr>
        <w:t xml:space="preserve"> </w:t>
      </w:r>
      <w:r w:rsidR="00F128C2">
        <w:rPr>
          <w:rFonts w:ascii="Calibri" w:hAnsi="Calibri" w:cs="Calibri"/>
          <w:szCs w:val="22"/>
        </w:rPr>
        <w:t>a</w:t>
      </w:r>
      <w:r>
        <w:rPr>
          <w:rFonts w:ascii="Calibri" w:hAnsi="Calibri" w:cs="Calibri"/>
          <w:szCs w:val="22"/>
        </w:rPr>
        <w:t xml:space="preserve"> zaplanowane w ramach dokumentu działania rewitalizacyjne rozciągnięte są w</w:t>
      </w:r>
      <w:r w:rsidR="00474004">
        <w:rPr>
          <w:rFonts w:ascii="Calibri" w:hAnsi="Calibri" w:cs="Calibri"/>
          <w:szCs w:val="22"/>
        </w:rPr>
        <w:t xml:space="preserve"> czasie</w:t>
      </w:r>
      <w:r w:rsidR="00F128C2">
        <w:rPr>
          <w:rFonts w:ascii="Calibri" w:hAnsi="Calibri" w:cs="Calibri"/>
          <w:szCs w:val="22"/>
        </w:rPr>
        <w:t>, obejmują</w:t>
      </w:r>
      <w:r w:rsidR="00474004">
        <w:rPr>
          <w:rFonts w:ascii="Calibri" w:hAnsi="Calibri" w:cs="Calibri"/>
          <w:szCs w:val="22"/>
        </w:rPr>
        <w:t xml:space="preserve"> okres do 202</w:t>
      </w:r>
      <w:r w:rsidR="00F128C2">
        <w:rPr>
          <w:rFonts w:ascii="Calibri" w:hAnsi="Calibri" w:cs="Calibri"/>
          <w:szCs w:val="22"/>
        </w:rPr>
        <w:t>0 r.</w:t>
      </w:r>
      <w:r w:rsidR="007657F7">
        <w:rPr>
          <w:rFonts w:ascii="Calibri" w:hAnsi="Calibri" w:cs="Calibri"/>
          <w:szCs w:val="22"/>
        </w:rPr>
        <w:t>,</w:t>
      </w:r>
      <w:r w:rsidR="00F128C2">
        <w:rPr>
          <w:rFonts w:ascii="Calibri" w:hAnsi="Calibri" w:cs="Calibri"/>
          <w:szCs w:val="22"/>
        </w:rPr>
        <w:t xml:space="preserve"> a także lata kolejne. Pierwsze </w:t>
      </w:r>
      <w:r>
        <w:rPr>
          <w:rFonts w:ascii="Calibri" w:hAnsi="Calibri" w:cs="Calibri"/>
          <w:szCs w:val="22"/>
        </w:rPr>
        <w:t>efekty rewitalizacji bę</w:t>
      </w:r>
      <w:r w:rsidR="00474004">
        <w:rPr>
          <w:rFonts w:ascii="Calibri" w:hAnsi="Calibri" w:cs="Calibri"/>
          <w:szCs w:val="22"/>
        </w:rPr>
        <w:t>dą widoczne najwcześniej po 202</w:t>
      </w:r>
      <w:r w:rsidR="00F128C2">
        <w:rPr>
          <w:rFonts w:ascii="Calibri" w:hAnsi="Calibri" w:cs="Calibri"/>
          <w:szCs w:val="22"/>
        </w:rPr>
        <w:t>0 r., d</w:t>
      </w:r>
      <w:r>
        <w:rPr>
          <w:rFonts w:ascii="Calibri" w:hAnsi="Calibri" w:cs="Calibri"/>
          <w:szCs w:val="22"/>
        </w:rPr>
        <w:t>latego wizja Bytomia po przeprowadzeniu rewitalizacji dot</w:t>
      </w:r>
      <w:r w:rsidR="00474004">
        <w:rPr>
          <w:rFonts w:ascii="Calibri" w:hAnsi="Calibri" w:cs="Calibri"/>
          <w:szCs w:val="22"/>
        </w:rPr>
        <w:t>yczy horyzontu czasowego po 202</w:t>
      </w:r>
      <w:r w:rsidR="00F128C2">
        <w:rPr>
          <w:rFonts w:ascii="Calibri" w:hAnsi="Calibri" w:cs="Calibri"/>
          <w:szCs w:val="22"/>
        </w:rPr>
        <w:t>0</w:t>
      </w:r>
      <w:r>
        <w:rPr>
          <w:rFonts w:ascii="Calibri" w:hAnsi="Calibri" w:cs="Calibri"/>
          <w:szCs w:val="22"/>
        </w:rPr>
        <w:t xml:space="preserve"> r.  </w:t>
      </w:r>
    </w:p>
    <w:p w:rsidR="00CC170B" w:rsidRDefault="00CC170B" w:rsidP="00A32047">
      <w:pPr>
        <w:ind w:firstLine="567"/>
        <w:jc w:val="both"/>
        <w:rPr>
          <w:rFonts w:ascii="Calibri" w:hAnsi="Calibri" w:cs="Calibri"/>
          <w:szCs w:val="22"/>
        </w:rPr>
      </w:pPr>
    </w:p>
    <w:p w:rsidR="00CC170B" w:rsidRDefault="00CC170B" w:rsidP="00A32047">
      <w:pPr>
        <w:ind w:firstLine="567"/>
        <w:jc w:val="both"/>
        <w:rPr>
          <w:rFonts w:ascii="Calibri" w:hAnsi="Calibri" w:cs="Calibri"/>
          <w:szCs w:val="22"/>
        </w:rPr>
      </w:pPr>
    </w:p>
    <w:p w:rsidR="00A32047" w:rsidRDefault="006A0AAD" w:rsidP="00EC78E0">
      <w:pPr>
        <w:pStyle w:val="Nagwek8"/>
        <w:spacing w:before="0" w:after="0"/>
        <w:jc w:val="center"/>
        <w:rPr>
          <w:b/>
          <w:color w:val="3366FF"/>
          <w:sz w:val="28"/>
          <w:szCs w:val="28"/>
        </w:rPr>
      </w:pPr>
      <w:r w:rsidRPr="002C5B93">
        <w:rPr>
          <w:b/>
          <w:color w:val="3366FF"/>
          <w:sz w:val="28"/>
          <w:szCs w:val="28"/>
        </w:rPr>
        <w:t>WIZJA OBSZARU REWITALIZACJI BYTOMIA PO 2020 ROKU</w:t>
      </w:r>
    </w:p>
    <w:p w:rsidR="002C5B93" w:rsidRPr="002C5B93" w:rsidRDefault="002C5B93" w:rsidP="002C5B93"/>
    <w:p w:rsidR="003E3242" w:rsidRPr="003E3242" w:rsidRDefault="003E3242" w:rsidP="003E3242">
      <w:pPr>
        <w:pStyle w:val="Tekstpodstawowy2"/>
        <w:shd w:val="clear" w:color="auto" w:fill="99CCFF"/>
        <w:spacing w:before="200" w:line="360" w:lineRule="auto"/>
        <w:jc w:val="center"/>
        <w:rPr>
          <w:b/>
          <w:i/>
          <w:sz w:val="18"/>
          <w:szCs w:val="25"/>
        </w:rPr>
      </w:pPr>
    </w:p>
    <w:p w:rsidR="003E3242" w:rsidRPr="00EC78E0" w:rsidRDefault="003E3242" w:rsidP="003E3242">
      <w:pPr>
        <w:pStyle w:val="Tekstpodstawowy2"/>
        <w:shd w:val="clear" w:color="auto" w:fill="99CCFF"/>
        <w:spacing w:line="360" w:lineRule="auto"/>
        <w:jc w:val="center"/>
        <w:rPr>
          <w:b/>
          <w:i/>
          <w:sz w:val="24"/>
          <w:szCs w:val="24"/>
        </w:rPr>
      </w:pPr>
      <w:r w:rsidRPr="00EC78E0">
        <w:rPr>
          <w:b/>
          <w:i/>
          <w:sz w:val="24"/>
          <w:szCs w:val="24"/>
        </w:rPr>
        <w:t xml:space="preserve">Obszar rewitalizacji miasta Bytomia jest miejscem przyjaznym mieszkańcom, </w:t>
      </w:r>
      <w:r w:rsidRPr="00EC78E0">
        <w:rPr>
          <w:b/>
          <w:i/>
          <w:sz w:val="24"/>
          <w:szCs w:val="24"/>
        </w:rPr>
        <w:br/>
        <w:t>w którym poprawia się jakość życia mieszkańców, zanika zjawisko wykluczenia społecznego. Mieszkańcy czują się bezpiecznie. W obszarze realizowane są liczne inicjatywy społeczne i zacieśniają się więzi sąsiedzkie. Zwiększa się dostępność do usług społecznych, w tym wspierających osoby starsze i niepełnosprawne.</w:t>
      </w:r>
    </w:p>
    <w:p w:rsidR="003E3242" w:rsidRPr="00EC78E0" w:rsidRDefault="003E3242" w:rsidP="003E3242">
      <w:pPr>
        <w:pStyle w:val="Tekstpodstawowy2"/>
        <w:shd w:val="clear" w:color="auto" w:fill="99CCFF"/>
        <w:spacing w:line="360" w:lineRule="auto"/>
        <w:jc w:val="center"/>
        <w:rPr>
          <w:b/>
          <w:i/>
          <w:sz w:val="24"/>
          <w:szCs w:val="24"/>
        </w:rPr>
      </w:pPr>
      <w:r w:rsidRPr="00EC78E0">
        <w:rPr>
          <w:b/>
          <w:i/>
          <w:sz w:val="24"/>
          <w:szCs w:val="24"/>
        </w:rPr>
        <w:t>W obszarze rewitalizacji przyspiesza rozwój gospodarczy, rozwija się lokalna przedsiębiorczość, a także napływają do miasta inwestorzy, dzięki którym kreowane są nowe miejsca pracy.</w:t>
      </w:r>
    </w:p>
    <w:p w:rsidR="003E3242" w:rsidRPr="00EC78E0" w:rsidRDefault="003E3242" w:rsidP="003E3242">
      <w:pPr>
        <w:pStyle w:val="Tekstpodstawowy2"/>
        <w:shd w:val="clear" w:color="auto" w:fill="99CCFF"/>
        <w:spacing w:line="360" w:lineRule="auto"/>
        <w:jc w:val="center"/>
        <w:rPr>
          <w:b/>
          <w:i/>
          <w:sz w:val="24"/>
          <w:szCs w:val="24"/>
        </w:rPr>
      </w:pPr>
      <w:r w:rsidRPr="00EC78E0">
        <w:rPr>
          <w:b/>
          <w:i/>
          <w:sz w:val="24"/>
          <w:szCs w:val="24"/>
        </w:rPr>
        <w:t>Zrewitalizowane przestrzenie publiczne zyskują nowe funkcje, odnowiona zabudowa odzyskuje dawny blask. Termomodernizacja zabudowy mieszkaniowej oraz ograniczenie źródeł niskiej emisji wpływa pozytywnie na jakość powietrza w obszarze rewitalizacji a budynki zyskują na estetyce.</w:t>
      </w:r>
    </w:p>
    <w:p w:rsidR="003D14A6" w:rsidRDefault="003E3242" w:rsidP="00E66187">
      <w:pPr>
        <w:pStyle w:val="Tekstpodstawowy2"/>
        <w:shd w:val="clear" w:color="auto" w:fill="99CCFF"/>
        <w:spacing w:line="360" w:lineRule="auto"/>
        <w:jc w:val="center"/>
        <w:rPr>
          <w:b/>
          <w:i/>
          <w:sz w:val="24"/>
          <w:szCs w:val="24"/>
        </w:rPr>
      </w:pPr>
      <w:r w:rsidRPr="00EC78E0">
        <w:rPr>
          <w:b/>
          <w:i/>
          <w:sz w:val="24"/>
          <w:szCs w:val="24"/>
        </w:rPr>
        <w:t>Obszar rewitalizacji jest dobrze skomunikowany co ułatwia dostęp do usług publicznych, zagospodarowane tereny zielone sprawiają, że mieszkańcy chętniej spędzaj czas we wspólnej przestrzeni. Rozszerza się oferta kulturalna i edukacyjna w obszarze.</w:t>
      </w:r>
      <w:r w:rsidR="00216BA2" w:rsidRPr="00216BA2">
        <w:rPr>
          <w:b/>
          <w:i/>
          <w:sz w:val="24"/>
          <w:szCs w:val="24"/>
        </w:rPr>
        <w:t xml:space="preserve"> </w:t>
      </w:r>
    </w:p>
    <w:p w:rsidR="003E3242" w:rsidRPr="00EC78E0" w:rsidRDefault="00216BA2" w:rsidP="00E66187">
      <w:pPr>
        <w:pStyle w:val="Tekstpodstawowy2"/>
        <w:shd w:val="clear" w:color="auto" w:fill="99CCFF"/>
        <w:spacing w:line="360" w:lineRule="auto"/>
        <w:jc w:val="center"/>
        <w:rPr>
          <w:b/>
          <w:i/>
          <w:sz w:val="24"/>
          <w:szCs w:val="24"/>
        </w:rPr>
      </w:pPr>
      <w:r>
        <w:rPr>
          <w:b/>
          <w:i/>
          <w:sz w:val="24"/>
          <w:szCs w:val="24"/>
        </w:rPr>
        <w:t>Na terenach poprzemysłowych powstają nowoczesne, atrakcyjne przestrzenie miejskie odpowiadające na potrzeby rozwijającego się miasta, dzięki czemu negatywne zjawiska społeczne tracą na znaczeniu.</w:t>
      </w:r>
    </w:p>
    <w:p w:rsidR="00A32047" w:rsidRPr="00EC78E0" w:rsidRDefault="003E3242" w:rsidP="00E66187">
      <w:pPr>
        <w:shd w:val="clear" w:color="auto" w:fill="99CCFF"/>
        <w:spacing w:line="360" w:lineRule="auto"/>
        <w:jc w:val="center"/>
        <w:rPr>
          <w:b/>
          <w:i/>
          <w:sz w:val="24"/>
        </w:rPr>
      </w:pPr>
      <w:r w:rsidRPr="00EC78E0">
        <w:rPr>
          <w:b/>
          <w:i/>
          <w:sz w:val="24"/>
        </w:rPr>
        <w:t>Bytomianie są dumni ze swojego miasta a mieszkańcy innych miast w regionie zauważają, że Bytom to dobre miejsce do zamieszkania.</w:t>
      </w:r>
    </w:p>
    <w:p w:rsidR="003E3242" w:rsidRPr="003E3242" w:rsidRDefault="003E3242" w:rsidP="003E3242">
      <w:pPr>
        <w:shd w:val="clear" w:color="auto" w:fill="99CCFF"/>
        <w:spacing w:line="360" w:lineRule="auto"/>
        <w:jc w:val="center"/>
        <w:rPr>
          <w:b/>
          <w:i/>
          <w:sz w:val="18"/>
          <w:szCs w:val="25"/>
        </w:rPr>
      </w:pPr>
    </w:p>
    <w:p w:rsidR="003E3242" w:rsidRDefault="003E3242" w:rsidP="003E3242"/>
    <w:p w:rsidR="00A32047" w:rsidRDefault="00A32047" w:rsidP="00141C15">
      <w:pPr>
        <w:pStyle w:val="Nagwek3"/>
        <w:numPr>
          <w:ilvl w:val="2"/>
          <w:numId w:val="225"/>
        </w:numPr>
        <w:ind w:left="709"/>
      </w:pPr>
      <w:bookmarkStart w:id="7851" w:name="_Toc474924959"/>
      <w:r>
        <w:lastRenderedPageBreak/>
        <w:t>Hasło promocyjne rewitalizacji</w:t>
      </w:r>
      <w:bookmarkEnd w:id="7851"/>
    </w:p>
    <w:p w:rsidR="00A32047" w:rsidRDefault="00A32047" w:rsidP="008B6374">
      <w:pPr>
        <w:spacing w:after="120"/>
      </w:pPr>
    </w:p>
    <w:p w:rsidR="00A32047" w:rsidRDefault="003972D8" w:rsidP="00A32047">
      <w:pPr>
        <w:ind w:firstLine="708"/>
        <w:jc w:val="both"/>
        <w:rPr>
          <w:rFonts w:ascii="Calibri" w:hAnsi="Calibri" w:cs="Calibri"/>
          <w:szCs w:val="20"/>
        </w:rPr>
      </w:pPr>
      <w:r w:rsidRPr="003972D8">
        <w:rPr>
          <w:rFonts w:ascii="Times New Roman" w:hAnsi="Times New Roman"/>
        </w:rPr>
        <w:pict>
          <v:shape id="_x0000_s1044" type="#_x0000_t75" style="position:absolute;left:0;text-align:left;margin-left:-5.75pt;margin-top:3.6pt;width:157.95pt;height:130.2pt;z-index:251688448;mso-wrap-distance-left:9.05pt;mso-wrap-distance-right:9.05pt" wrapcoords="-94 0 -94 21468 21600 21468 21600 0 -94 0" filled="t">
            <v:fill color2="black"/>
            <v:imagedata r:id="rId92" o:title=""/>
            <w10:wrap type="tight"/>
          </v:shape>
          <o:OLEObject Type="Embed" ProgID="Word.Picture.8" ShapeID="_x0000_s1044" DrawAspect="Content" ObjectID="_1813748497" r:id="rId93"/>
        </w:pict>
      </w:r>
      <w:r w:rsidR="00A32047">
        <w:rPr>
          <w:rFonts w:ascii="Calibri" w:hAnsi="Calibri" w:cs="Calibri"/>
          <w:szCs w:val="20"/>
        </w:rPr>
        <w:t xml:space="preserve">Dla celów marketingowych sformułowano hasło promocyjne </w:t>
      </w:r>
      <w:r w:rsidR="00A32047">
        <w:rPr>
          <w:rFonts w:ascii="Calibri" w:hAnsi="Calibri" w:cs="Calibri"/>
          <w:b/>
          <w:bCs/>
          <w:color w:val="6699FF"/>
          <w:szCs w:val="20"/>
        </w:rPr>
        <w:t>BYTOM odNOWA</w:t>
      </w:r>
      <w:r w:rsidR="00A32047">
        <w:rPr>
          <w:rFonts w:ascii="Calibri" w:hAnsi="Calibri" w:cs="Calibri"/>
          <w:b/>
          <w:bCs/>
          <w:szCs w:val="20"/>
        </w:rPr>
        <w:t xml:space="preserve">.  </w:t>
      </w:r>
      <w:r w:rsidR="00A32047">
        <w:rPr>
          <w:rFonts w:ascii="Calibri" w:hAnsi="Calibri" w:cs="Calibri"/>
          <w:color w:val="000000"/>
          <w:szCs w:val="20"/>
        </w:rPr>
        <w:t>Te słowa mają inspirować samorząd, przedsiębiorców i mieszkańców do włączenia się w proces tworzenia jakości życia w Bytomiu od nowa; do poprawy warunków mieszkaniowych, inwestycji w potencjał ludzi oraz, a może przede wszystkim, do odnowy myślenia o mieście, jako o cennej wizytówce regionu. Czyli doskonale obrazują wizję miasta.</w:t>
      </w:r>
    </w:p>
    <w:p w:rsidR="00A32047" w:rsidRDefault="00A32047" w:rsidP="00A32047">
      <w:pPr>
        <w:pStyle w:val="Pa6"/>
        <w:spacing w:line="240" w:lineRule="auto"/>
        <w:ind w:left="2832"/>
        <w:jc w:val="both"/>
        <w:rPr>
          <w:rFonts w:ascii="Calibri" w:hAnsi="Calibri" w:cs="Calibri"/>
          <w:color w:val="000000"/>
          <w:szCs w:val="20"/>
        </w:rPr>
      </w:pPr>
      <w:r>
        <w:rPr>
          <w:rFonts w:ascii="Calibri" w:hAnsi="Calibri" w:cs="Calibri"/>
          <w:szCs w:val="20"/>
        </w:rPr>
        <w:t>Powstało także logo rewitalizacji - z</w:t>
      </w:r>
      <w:r>
        <w:rPr>
          <w:rFonts w:ascii="Calibri" w:hAnsi="Calibri" w:cs="Calibri"/>
          <w:color w:val="000000"/>
          <w:szCs w:val="20"/>
        </w:rPr>
        <w:t xml:space="preserve">nak jest inspirowany średniowiecznym układem murów obronnych miasta. Fragmenty składające się na obrys można interpretować jako charakterystyczne, zabytkowe kamienice. Te dwa motywy nawiązują do dziedzictwa     </w:t>
      </w:r>
      <w:r>
        <w:rPr>
          <w:rFonts w:ascii="Calibri" w:hAnsi="Calibri" w:cs="Calibri"/>
          <w:color w:val="000000"/>
          <w:szCs w:val="20"/>
        </w:rPr>
        <w:br/>
        <w:t xml:space="preserve">        historycznego Bytomia. </w:t>
      </w:r>
    </w:p>
    <w:p w:rsidR="006E0D94" w:rsidRPr="006E0D94" w:rsidRDefault="006E0D94" w:rsidP="006E0D94">
      <w:pPr>
        <w:rPr>
          <w:lang w:eastAsia="ar-SA"/>
        </w:rPr>
      </w:pPr>
    </w:p>
    <w:p w:rsidR="00A32047" w:rsidRDefault="00A32047" w:rsidP="003153E5">
      <w:pPr>
        <w:pStyle w:val="Nagwek3"/>
        <w:numPr>
          <w:ilvl w:val="2"/>
          <w:numId w:val="225"/>
        </w:numPr>
        <w:rPr>
          <w:i/>
          <w:sz w:val="22"/>
          <w:szCs w:val="22"/>
        </w:rPr>
      </w:pPr>
      <w:bookmarkStart w:id="7852" w:name="_Toc474924960"/>
      <w:r>
        <w:t>Cele rewitalizacji w Bytomiu</w:t>
      </w:r>
      <w:bookmarkEnd w:id="7852"/>
    </w:p>
    <w:p w:rsidR="00A32047" w:rsidRDefault="00A32047" w:rsidP="00A32047">
      <w:pPr>
        <w:rPr>
          <w:rFonts w:ascii="Calibri" w:hAnsi="Calibri" w:cs="Calibri"/>
          <w:b/>
          <w:i/>
          <w:sz w:val="22"/>
          <w:szCs w:val="22"/>
        </w:rPr>
      </w:pPr>
    </w:p>
    <w:p w:rsidR="00A32047" w:rsidRDefault="00A32047" w:rsidP="00A32047">
      <w:pPr>
        <w:rPr>
          <w:rFonts w:ascii="Calibri" w:hAnsi="Calibri" w:cs="Calibri"/>
        </w:rPr>
      </w:pPr>
      <w:r>
        <w:rPr>
          <w:rFonts w:ascii="Calibri" w:hAnsi="Calibri" w:cs="Calibri"/>
          <w:b/>
          <w:i/>
          <w:sz w:val="22"/>
          <w:szCs w:val="22"/>
        </w:rPr>
        <w:t xml:space="preserve">Cele strategiczne rewitalizacji w Bytomiu </w:t>
      </w:r>
    </w:p>
    <w:p w:rsidR="00A32047" w:rsidRDefault="00A32047" w:rsidP="00A32047">
      <w:pPr>
        <w:rPr>
          <w:rFonts w:ascii="Calibri" w:hAnsi="Calibri" w:cs="Calibri"/>
        </w:rPr>
      </w:pPr>
    </w:p>
    <w:p w:rsidR="006E0D94" w:rsidRDefault="00A32047" w:rsidP="00A91023">
      <w:pPr>
        <w:pStyle w:val="Tekstpodstawowywcity"/>
        <w:ind w:firstLine="708"/>
        <w:jc w:val="both"/>
        <w:rPr>
          <w:rFonts w:cs="Calibri"/>
        </w:rPr>
      </w:pPr>
      <w:r w:rsidRPr="0072480A">
        <w:rPr>
          <w:rFonts w:cs="Calibri"/>
        </w:rPr>
        <w:t>Sformułowane poniżej cele mają doprowadzić do spełniania wizji</w:t>
      </w:r>
      <w:r w:rsidR="00560840">
        <w:rPr>
          <w:rFonts w:cs="Calibri"/>
        </w:rPr>
        <w:t xml:space="preserve"> obszaru rewitalizacji Bytomia</w:t>
      </w:r>
      <w:r w:rsidRPr="0072480A">
        <w:rPr>
          <w:rFonts w:cs="Calibri"/>
        </w:rPr>
        <w:t xml:space="preserve">. Cele strategiczne zostały sformułowane w zgodności do celów zawartych w </w:t>
      </w:r>
      <w:r w:rsidR="0017230A">
        <w:rPr>
          <w:rFonts w:cs="Calibri"/>
        </w:rPr>
        <w:t>„</w:t>
      </w:r>
      <w:r w:rsidRPr="0072480A">
        <w:rPr>
          <w:rFonts w:cs="Calibri"/>
        </w:rPr>
        <w:t>Strategii Rozwoju Miasta. Bytom 2020+</w:t>
      </w:r>
      <w:r w:rsidR="0017230A">
        <w:rPr>
          <w:rFonts w:cs="Calibri"/>
        </w:rPr>
        <w:t>”</w:t>
      </w:r>
      <w:r w:rsidRPr="0072480A">
        <w:rPr>
          <w:rFonts w:cs="Calibri"/>
        </w:rPr>
        <w:t xml:space="preserve">. Cele odpowiadają na problemy zidentyfikowane w trakcie partycypacji społecznej przeprowadzonej w podobszarach zamieszkałych oraz pogłębionej diagnozy obszaru rewitalizacji. Zaproponowane przez interesariuszy podobszarów cele pogrupowano i uszczegółowiono. </w:t>
      </w:r>
    </w:p>
    <w:p w:rsidR="00A91023" w:rsidRDefault="00A32047" w:rsidP="00A91023">
      <w:pPr>
        <w:pStyle w:val="Tekstpodstawowywcity"/>
        <w:ind w:firstLine="708"/>
        <w:jc w:val="both"/>
        <w:rPr>
          <w:rFonts w:ascii="Calibri" w:hAnsi="Calibri" w:cs="Calibri"/>
          <w:color w:val="800000"/>
        </w:rPr>
      </w:pPr>
      <w:r w:rsidRPr="00A91023">
        <w:rPr>
          <w:rFonts w:cs="Calibri"/>
          <w:b/>
        </w:rPr>
        <w:t xml:space="preserve">Ostatecznie wyznaczono 4 cele strategiczne, które doprecyzowano celami operacyjnymi. </w:t>
      </w:r>
      <w:r w:rsidR="00A91023">
        <w:rPr>
          <w:rFonts w:cs="Calibri"/>
        </w:rPr>
        <w:t xml:space="preserve">Stanowią one syntezę celów wypracowanych dla poszczególnych podobszarów, </w:t>
      </w:r>
      <w:r w:rsidR="00A91023">
        <w:rPr>
          <w:rFonts w:ascii="Calibri" w:hAnsi="Calibri" w:cs="Calibri"/>
          <w:color w:val="800000"/>
        </w:rPr>
        <w:t xml:space="preserve">W oparciu o </w:t>
      </w:r>
      <w:r w:rsidR="006E0D94">
        <w:rPr>
          <w:rFonts w:ascii="Calibri" w:hAnsi="Calibri" w:cs="Calibri"/>
          <w:color w:val="800000"/>
        </w:rPr>
        <w:t>wymienione</w:t>
      </w:r>
      <w:r w:rsidR="00A91023">
        <w:rPr>
          <w:rFonts w:ascii="Calibri" w:hAnsi="Calibri" w:cs="Calibri"/>
          <w:color w:val="800000"/>
        </w:rPr>
        <w:t xml:space="preserve"> cele będzie realizowany </w:t>
      </w:r>
      <w:r w:rsidR="00EE54FB">
        <w:rPr>
          <w:rFonts w:ascii="Calibri" w:hAnsi="Calibri" w:cs="Calibri"/>
          <w:color w:val="800000"/>
        </w:rPr>
        <w:t>„</w:t>
      </w:r>
      <w:r w:rsidR="00A91023">
        <w:rPr>
          <w:rFonts w:ascii="Calibri" w:hAnsi="Calibri" w:cs="Calibri"/>
          <w:color w:val="800000"/>
        </w:rPr>
        <w:t>Gminny Program Rewitalizacji.</w:t>
      </w:r>
      <w:r w:rsidR="00EE54FB">
        <w:rPr>
          <w:rFonts w:ascii="Calibri" w:hAnsi="Calibri" w:cs="Calibri"/>
          <w:color w:val="800000"/>
        </w:rPr>
        <w:t xml:space="preserve"> Bytom 2020+”</w:t>
      </w:r>
      <w:r w:rsidR="00A91023">
        <w:rPr>
          <w:rFonts w:ascii="Calibri" w:hAnsi="Calibri" w:cs="Calibri"/>
          <w:color w:val="800000"/>
        </w:rPr>
        <w:t>. W ramach programu będą realizowane przedsięwzięcia i projekty rewitalizacyjne, które odpowiadają kierunkom działań zapisanych w</w:t>
      </w:r>
      <w:r w:rsidR="006E0D94">
        <w:rPr>
          <w:rFonts w:ascii="Calibri" w:hAnsi="Calibri" w:cs="Calibri"/>
          <w:color w:val="800000"/>
        </w:rPr>
        <w:t> </w:t>
      </w:r>
      <w:r w:rsidR="00A91023">
        <w:rPr>
          <w:rFonts w:ascii="Calibri" w:hAnsi="Calibri" w:cs="Calibri"/>
          <w:color w:val="800000"/>
        </w:rPr>
        <w:t>poniższych celach.</w:t>
      </w:r>
    </w:p>
    <w:p w:rsidR="00A91023" w:rsidRDefault="006E0D94" w:rsidP="00A91023">
      <w:pPr>
        <w:pStyle w:val="Tekstpodstawowywcity"/>
        <w:ind w:firstLine="708"/>
        <w:jc w:val="both"/>
        <w:rPr>
          <w:rFonts w:ascii="Calibri" w:hAnsi="Calibri" w:cs="Calibri"/>
          <w:color w:val="800000"/>
        </w:rPr>
      </w:pPr>
      <w:r>
        <w:rPr>
          <w:rFonts w:ascii="Calibri" w:hAnsi="Calibri" w:cs="Calibri"/>
          <w:color w:val="800000"/>
        </w:rPr>
        <w:t>Przedstawione</w:t>
      </w:r>
      <w:r w:rsidR="00A91023">
        <w:rPr>
          <w:rFonts w:ascii="Calibri" w:hAnsi="Calibri" w:cs="Calibri"/>
          <w:color w:val="800000"/>
        </w:rPr>
        <w:t xml:space="preserve"> cele zostały także owskaźnikowane i na ich podstawie będzie mierzony i oceniany stopień realizacji </w:t>
      </w:r>
      <w:r w:rsidR="00EE54FB">
        <w:rPr>
          <w:rFonts w:ascii="Calibri" w:hAnsi="Calibri" w:cs="Calibri"/>
          <w:color w:val="800000"/>
        </w:rPr>
        <w:t>„</w:t>
      </w:r>
      <w:r w:rsidR="00A91023">
        <w:rPr>
          <w:rFonts w:ascii="Calibri" w:hAnsi="Calibri" w:cs="Calibri"/>
          <w:color w:val="800000"/>
        </w:rPr>
        <w:t>Gminnego Programu Rewitalizacji. Bytom 2020+</w:t>
      </w:r>
      <w:r w:rsidR="00EE54FB">
        <w:rPr>
          <w:rFonts w:ascii="Calibri" w:hAnsi="Calibri" w:cs="Calibri"/>
          <w:color w:val="800000"/>
        </w:rPr>
        <w:t>”</w:t>
      </w:r>
      <w:r w:rsidR="00A91023">
        <w:rPr>
          <w:rFonts w:ascii="Calibri" w:hAnsi="Calibri" w:cs="Calibri"/>
          <w:color w:val="800000"/>
        </w:rPr>
        <w:t>.</w:t>
      </w:r>
    </w:p>
    <w:p w:rsidR="00F60ADB" w:rsidRDefault="00F60ADB">
      <w:pPr>
        <w:rPr>
          <w:rFonts w:ascii="Calibri" w:hAnsi="Calibri" w:cs="Calibri"/>
          <w:b/>
          <w:bCs/>
          <w:sz w:val="22"/>
          <w:szCs w:val="22"/>
          <w:lang w:eastAsia="ar-SA"/>
        </w:rPr>
      </w:pPr>
    </w:p>
    <w:p w:rsidR="00A32047" w:rsidRPr="006E0D94" w:rsidRDefault="00A32047" w:rsidP="00134264">
      <w:pPr>
        <w:pStyle w:val="Akapitzlist3"/>
        <w:shd w:val="clear" w:color="auto" w:fill="99CCFF"/>
        <w:spacing w:line="276" w:lineRule="auto"/>
        <w:jc w:val="center"/>
        <w:rPr>
          <w:color w:val="auto"/>
          <w:sz w:val="24"/>
          <w:szCs w:val="24"/>
        </w:rPr>
      </w:pPr>
      <w:r w:rsidRPr="006E0D94">
        <w:rPr>
          <w:color w:val="auto"/>
          <w:sz w:val="24"/>
          <w:szCs w:val="24"/>
        </w:rPr>
        <w:t>CEL STRATEGICZNY  1</w:t>
      </w:r>
      <w:r w:rsidRPr="006E0D94">
        <w:rPr>
          <w:color w:val="auto"/>
          <w:sz w:val="24"/>
          <w:szCs w:val="24"/>
        </w:rPr>
        <w:tab/>
      </w:r>
    </w:p>
    <w:p w:rsidR="00A32047" w:rsidRDefault="00A32047" w:rsidP="00134264">
      <w:pPr>
        <w:pStyle w:val="Akapitzlist3"/>
        <w:shd w:val="clear" w:color="auto" w:fill="99CCFF"/>
        <w:spacing w:line="276" w:lineRule="auto"/>
        <w:jc w:val="center"/>
        <w:rPr>
          <w:bCs w:val="0"/>
          <w:color w:val="auto"/>
        </w:rPr>
      </w:pPr>
      <w:r>
        <w:rPr>
          <w:color w:val="auto"/>
          <w:szCs w:val="20"/>
        </w:rPr>
        <w:t>UTWORZENIE KONKURENCYJNEJ STRUKTURY GOSPODARCZEJ, OPARTEJ NA PRZEDSIĘBIORCZOŚCI MIESZKAŃCÓW, ZAPEWNIAJĄCEJ ATRAKCYJNE MIEJSCA PRACY</w:t>
      </w:r>
      <w:r w:rsidR="007657F7">
        <w:rPr>
          <w:color w:val="auto"/>
          <w:szCs w:val="20"/>
        </w:rPr>
        <w:t>.</w:t>
      </w:r>
    </w:p>
    <w:p w:rsidR="00A32047" w:rsidRDefault="00A32047" w:rsidP="00134264">
      <w:pPr>
        <w:pStyle w:val="Akapitzlist3"/>
        <w:shd w:val="clear" w:color="auto" w:fill="99CCFF"/>
        <w:spacing w:line="276" w:lineRule="auto"/>
        <w:rPr>
          <w:bCs w:val="0"/>
          <w:color w:val="auto"/>
        </w:rPr>
      </w:pPr>
      <w:r>
        <w:rPr>
          <w:bCs w:val="0"/>
          <w:color w:val="auto"/>
        </w:rPr>
        <w:t>CEL OPERACYJNY 1.1</w:t>
      </w:r>
      <w:r>
        <w:rPr>
          <w:b w:val="0"/>
          <w:bCs w:val="0"/>
          <w:color w:val="auto"/>
        </w:rPr>
        <w:tab/>
        <w:t xml:space="preserve">WYSOKI POZIOM PRZEDSIĘBIORCZOŚCI MIESZKAŃCÓW KOMPENSUJĄCY NIEDOBORY MIEJSC PRACY W MIEŚCIE. </w:t>
      </w:r>
    </w:p>
    <w:p w:rsidR="00A32047" w:rsidRDefault="00A32047" w:rsidP="00134264">
      <w:pPr>
        <w:pStyle w:val="Akapitzlist3"/>
        <w:shd w:val="clear" w:color="auto" w:fill="99CCFF"/>
        <w:spacing w:line="276" w:lineRule="auto"/>
        <w:ind w:left="2124" w:hanging="2124"/>
        <w:rPr>
          <w:bCs w:val="0"/>
          <w:color w:val="auto"/>
        </w:rPr>
      </w:pPr>
      <w:r>
        <w:rPr>
          <w:bCs w:val="0"/>
          <w:color w:val="auto"/>
        </w:rPr>
        <w:t>CEL OPERACYJNY 1.2</w:t>
      </w:r>
      <w:r>
        <w:rPr>
          <w:b w:val="0"/>
          <w:bCs w:val="0"/>
          <w:color w:val="auto"/>
        </w:rPr>
        <w:t xml:space="preserve"> </w:t>
      </w:r>
      <w:r>
        <w:rPr>
          <w:b w:val="0"/>
          <w:bCs w:val="0"/>
          <w:color w:val="auto"/>
        </w:rPr>
        <w:tab/>
        <w:t>DOGODNE WARUNKI DLA ROZWOJU FIRM LOKALNYCH.</w:t>
      </w:r>
    </w:p>
    <w:p w:rsidR="00A32047" w:rsidRDefault="00A32047" w:rsidP="00134264">
      <w:pPr>
        <w:pStyle w:val="Akapitzlist3"/>
        <w:shd w:val="clear" w:color="auto" w:fill="99CCFF"/>
        <w:spacing w:line="276" w:lineRule="auto"/>
        <w:rPr>
          <w:color w:val="auto"/>
        </w:rPr>
      </w:pPr>
      <w:r>
        <w:rPr>
          <w:bCs w:val="0"/>
          <w:color w:val="auto"/>
        </w:rPr>
        <w:t>CEL OPERACYJNY 1.3</w:t>
      </w:r>
      <w:r>
        <w:rPr>
          <w:b w:val="0"/>
          <w:bCs w:val="0"/>
          <w:color w:val="auto"/>
        </w:rPr>
        <w:tab/>
        <w:t>WYSOKI POZIOM DOSTĘPNOŚCI UDOGODNIEŃ UMOŻLIWIAJĄCYCH PODNOSZENIE KWALIFIKACJI MIESZKAŃCÓW, USUWANIE BARIER W POWROCIE NA RYNEK PRACY ORAZ WZRASTAJĄCY POZIOM MOTYWACJI WEWNĘTRZNEJ MIESZKAŃCÓW W ZAKRESIE REALIZACJI KARIER ZAWODOWYCH.</w:t>
      </w:r>
    </w:p>
    <w:p w:rsidR="008B6374" w:rsidRDefault="008B6374" w:rsidP="008B6374">
      <w:pPr>
        <w:pStyle w:val="Akapitzlist3"/>
        <w:shd w:val="clear" w:color="auto" w:fill="FFFFFF" w:themeFill="background1"/>
        <w:jc w:val="center"/>
        <w:rPr>
          <w:color w:val="auto"/>
          <w:sz w:val="24"/>
          <w:szCs w:val="24"/>
        </w:rPr>
      </w:pPr>
    </w:p>
    <w:p w:rsidR="00A32047" w:rsidRPr="006E0D94" w:rsidRDefault="00A32047" w:rsidP="00120CE3">
      <w:pPr>
        <w:pStyle w:val="Akapitzlist3"/>
        <w:shd w:val="clear" w:color="auto" w:fill="DDD9C3" w:themeFill="background2" w:themeFillShade="E6"/>
        <w:jc w:val="center"/>
        <w:rPr>
          <w:color w:val="auto"/>
          <w:sz w:val="24"/>
          <w:szCs w:val="24"/>
        </w:rPr>
      </w:pPr>
      <w:r w:rsidRPr="006E0D94">
        <w:rPr>
          <w:color w:val="auto"/>
          <w:sz w:val="24"/>
          <w:szCs w:val="24"/>
        </w:rPr>
        <w:lastRenderedPageBreak/>
        <w:t xml:space="preserve">CEL STRATEGICZNY 2   </w:t>
      </w:r>
      <w:r w:rsidRPr="006E0D94">
        <w:rPr>
          <w:color w:val="auto"/>
          <w:sz w:val="24"/>
          <w:szCs w:val="24"/>
        </w:rPr>
        <w:tab/>
      </w:r>
    </w:p>
    <w:p w:rsidR="00A32047" w:rsidRDefault="00A32047" w:rsidP="00120CE3">
      <w:pPr>
        <w:pStyle w:val="Akapitzlist3"/>
        <w:shd w:val="clear" w:color="auto" w:fill="DDD9C3" w:themeFill="background2" w:themeFillShade="E6"/>
        <w:jc w:val="center"/>
        <w:rPr>
          <w:bCs w:val="0"/>
          <w:color w:val="auto"/>
        </w:rPr>
      </w:pPr>
      <w:r>
        <w:rPr>
          <w:color w:val="auto"/>
          <w:szCs w:val="20"/>
        </w:rPr>
        <w:t>POGŁĘBIENIE SPÓJNOŚCI SPOŁECZNEJ I OGRANICZENIE NEGATYWNYCH ZJAWISK SPOŁECZNYCH</w:t>
      </w:r>
      <w:r>
        <w:rPr>
          <w:color w:val="auto"/>
        </w:rPr>
        <w:t>.</w:t>
      </w:r>
    </w:p>
    <w:p w:rsidR="00A32047" w:rsidRDefault="00A32047" w:rsidP="00120CE3">
      <w:pPr>
        <w:pStyle w:val="Akapitzlist3"/>
        <w:shd w:val="clear" w:color="auto" w:fill="DDD9C3" w:themeFill="background2" w:themeFillShade="E6"/>
        <w:spacing w:line="276" w:lineRule="auto"/>
        <w:rPr>
          <w:bCs w:val="0"/>
          <w:color w:val="auto"/>
        </w:rPr>
      </w:pPr>
      <w:r>
        <w:rPr>
          <w:bCs w:val="0"/>
          <w:color w:val="auto"/>
        </w:rPr>
        <w:t>CEL OPERACYJNY 2.1</w:t>
      </w:r>
      <w:r>
        <w:rPr>
          <w:b w:val="0"/>
          <w:bCs w:val="0"/>
          <w:color w:val="auto"/>
        </w:rPr>
        <w:tab/>
        <w:t>OGRANICZONA SKALA NEGATYWNYCH ZJAWISK SPOŁECZNYCH ORAZ WZROST DOSTĘPNOŚCI DO PROROZWOJOWYCH USŁUG PUBLICZNYCH.</w:t>
      </w:r>
    </w:p>
    <w:p w:rsidR="00A32047" w:rsidRDefault="00A32047" w:rsidP="00120CE3">
      <w:pPr>
        <w:pStyle w:val="Akapitzlist3"/>
        <w:shd w:val="clear" w:color="auto" w:fill="DDD9C3" w:themeFill="background2" w:themeFillShade="E6"/>
        <w:spacing w:line="276" w:lineRule="auto"/>
        <w:rPr>
          <w:color w:val="auto"/>
        </w:rPr>
      </w:pPr>
      <w:r>
        <w:rPr>
          <w:bCs w:val="0"/>
          <w:color w:val="auto"/>
        </w:rPr>
        <w:t>CEL OPERACYJNY 2.2</w:t>
      </w:r>
      <w:r>
        <w:rPr>
          <w:b w:val="0"/>
          <w:bCs w:val="0"/>
          <w:color w:val="auto"/>
        </w:rPr>
        <w:tab/>
        <w:t>SPOŁECZNOŚCI LOKALNE ZINTEGROWANE WOKÓŁ TRADYCJI DZIELNIC ORAZ ODDOLNYCH INICJATYW REALIZOWANYCH PRZEZ MIESZKAŃCÓW NA RZECZ WSPÓLNOTY LOKALNEJ.</w:t>
      </w:r>
    </w:p>
    <w:p w:rsidR="00A32047" w:rsidRPr="006E0D94" w:rsidRDefault="00A32047" w:rsidP="00134264">
      <w:pPr>
        <w:pStyle w:val="Akapitzlist3"/>
        <w:shd w:val="clear" w:color="auto" w:fill="99CCFF"/>
        <w:spacing w:before="0" w:line="276" w:lineRule="auto"/>
        <w:jc w:val="center"/>
        <w:rPr>
          <w:color w:val="auto"/>
          <w:sz w:val="24"/>
          <w:szCs w:val="24"/>
        </w:rPr>
      </w:pPr>
      <w:r w:rsidRPr="006E0D94">
        <w:rPr>
          <w:color w:val="auto"/>
          <w:sz w:val="24"/>
          <w:szCs w:val="24"/>
        </w:rPr>
        <w:t xml:space="preserve">CEL STRATEGICZNY 3 </w:t>
      </w:r>
      <w:r w:rsidRPr="006E0D94">
        <w:rPr>
          <w:color w:val="auto"/>
          <w:sz w:val="24"/>
          <w:szCs w:val="24"/>
        </w:rPr>
        <w:tab/>
      </w:r>
      <w:r w:rsidRPr="006E0D94">
        <w:rPr>
          <w:b w:val="0"/>
          <w:bCs w:val="0"/>
          <w:color w:val="auto"/>
          <w:sz w:val="24"/>
          <w:szCs w:val="24"/>
        </w:rPr>
        <w:t xml:space="preserve"> </w:t>
      </w:r>
    </w:p>
    <w:p w:rsidR="00A32047" w:rsidRDefault="00A32047" w:rsidP="00134264">
      <w:pPr>
        <w:pStyle w:val="Akapitzlist3"/>
        <w:shd w:val="clear" w:color="auto" w:fill="99CCFF"/>
        <w:spacing w:before="0" w:after="0" w:line="276" w:lineRule="auto"/>
        <w:jc w:val="center"/>
        <w:rPr>
          <w:bCs w:val="0"/>
          <w:color w:val="auto"/>
        </w:rPr>
      </w:pPr>
      <w:r>
        <w:rPr>
          <w:color w:val="auto"/>
          <w:szCs w:val="20"/>
        </w:rPr>
        <w:t>UTWORZENIE FUNKCJONALNYCH I ATRAKCYJNYCH PRZESTRZENI PUBLICZNYCH, INTEGRUJĄCYCH SPOŁECZNOŚĆ LOKALNĄ, STANOWIĄCYCH WIZYTÓWKĘ MIASTA.</w:t>
      </w:r>
      <w:r>
        <w:rPr>
          <w:color w:val="auto"/>
        </w:rPr>
        <w:t xml:space="preserve"> </w:t>
      </w:r>
    </w:p>
    <w:p w:rsidR="00A32047" w:rsidRDefault="00A32047" w:rsidP="006E0D94">
      <w:pPr>
        <w:pStyle w:val="Akapitzlist3"/>
        <w:shd w:val="clear" w:color="auto" w:fill="99CCFF"/>
        <w:spacing w:line="276" w:lineRule="auto"/>
        <w:rPr>
          <w:bCs w:val="0"/>
          <w:color w:val="auto"/>
        </w:rPr>
      </w:pPr>
      <w:r>
        <w:rPr>
          <w:bCs w:val="0"/>
          <w:color w:val="auto"/>
        </w:rPr>
        <w:t>CEL OPERACYJNY 3.1</w:t>
      </w:r>
      <w:r>
        <w:rPr>
          <w:b w:val="0"/>
          <w:bCs w:val="0"/>
          <w:color w:val="auto"/>
        </w:rPr>
        <w:tab/>
        <w:t>ODPOWIADAJĄCA WSPÓŁCZESNYM STANDARDOM CYWILIZACYJNYM JAKOŚĆ ZABUDOWY NA OBSZARACH REWITALIZOWANYCH ORAZ WZROST ODPOWIEDZIALNOŚCI MIESZKAŃCÓW ZA KOMUNALNY ZASÓB MIESZKANIOWY.</w:t>
      </w:r>
    </w:p>
    <w:p w:rsidR="00A32047" w:rsidRDefault="00A32047" w:rsidP="006E0D94">
      <w:pPr>
        <w:pStyle w:val="Akapitzlist3"/>
        <w:shd w:val="clear" w:color="auto" w:fill="99CCFF"/>
        <w:spacing w:line="276" w:lineRule="auto"/>
        <w:rPr>
          <w:bCs w:val="0"/>
          <w:color w:val="auto"/>
        </w:rPr>
      </w:pPr>
      <w:r>
        <w:rPr>
          <w:bCs w:val="0"/>
          <w:color w:val="auto"/>
        </w:rPr>
        <w:t>CEL OPERACYJNY 3.2</w:t>
      </w:r>
      <w:r>
        <w:rPr>
          <w:b w:val="0"/>
          <w:bCs w:val="0"/>
          <w:color w:val="auto"/>
        </w:rPr>
        <w:tab/>
        <w:t xml:space="preserve">PARTNERSTWO WŁADZ MIASTA I SPOŁECZNOŚCI LOKALNYCH </w:t>
      </w:r>
      <w:r>
        <w:rPr>
          <w:b w:val="0"/>
          <w:bCs w:val="0"/>
          <w:color w:val="auto"/>
        </w:rPr>
        <w:br/>
        <w:t>W PODNOSZENIU JAKOŚCI I OCHRONIE WALORÓW PRZESTRZENI PUBLICZNYCH.</w:t>
      </w:r>
    </w:p>
    <w:p w:rsidR="00A32047" w:rsidRDefault="00A32047" w:rsidP="006E0D94">
      <w:pPr>
        <w:pStyle w:val="Akapitzlist3"/>
        <w:shd w:val="clear" w:color="auto" w:fill="99CCFF"/>
        <w:spacing w:line="276" w:lineRule="auto"/>
        <w:rPr>
          <w:color w:val="auto"/>
        </w:rPr>
      </w:pPr>
      <w:r>
        <w:rPr>
          <w:bCs w:val="0"/>
          <w:color w:val="auto"/>
        </w:rPr>
        <w:t>CEL OPERACYJNY 3.3</w:t>
      </w:r>
      <w:r>
        <w:rPr>
          <w:b w:val="0"/>
          <w:bCs w:val="0"/>
          <w:color w:val="auto"/>
        </w:rPr>
        <w:tab/>
        <w:t>WYSOKI POZIOM BEZPIECZEŃSTWA MIESZKAŃCÓW WZMACNIANY PRZEZ DOBRE RELACJE MIĘDZYSĄSIEDZKIE I ODPOWIEDZIALNOŚĆ MIESZKAŃCÓW ZA INNYCH CZŁONKÓW SPOŁECZNOŚCI LOKALNEJ.</w:t>
      </w:r>
    </w:p>
    <w:p w:rsidR="00A32047" w:rsidRPr="006E0D94" w:rsidRDefault="00A32047" w:rsidP="00120CE3">
      <w:pPr>
        <w:pStyle w:val="Akapitzlist3"/>
        <w:shd w:val="clear" w:color="auto" w:fill="DDD9C3" w:themeFill="background2" w:themeFillShade="E6"/>
        <w:spacing w:line="276" w:lineRule="auto"/>
        <w:jc w:val="center"/>
        <w:rPr>
          <w:bCs w:val="0"/>
          <w:color w:val="auto"/>
          <w:sz w:val="24"/>
          <w:szCs w:val="24"/>
        </w:rPr>
      </w:pPr>
      <w:r w:rsidRPr="006E0D94">
        <w:rPr>
          <w:color w:val="auto"/>
          <w:sz w:val="24"/>
          <w:szCs w:val="24"/>
        </w:rPr>
        <w:t>CEL STRATEGICZNY 4</w:t>
      </w:r>
      <w:r w:rsidRPr="006E0D94">
        <w:rPr>
          <w:color w:val="auto"/>
          <w:sz w:val="24"/>
          <w:szCs w:val="24"/>
        </w:rPr>
        <w:tab/>
      </w:r>
    </w:p>
    <w:p w:rsidR="00A32047" w:rsidRDefault="00A32047" w:rsidP="00120CE3">
      <w:pPr>
        <w:pStyle w:val="Akapitzlist3"/>
        <w:shd w:val="clear" w:color="auto" w:fill="DDD9C3" w:themeFill="background2" w:themeFillShade="E6"/>
        <w:spacing w:line="276" w:lineRule="auto"/>
        <w:jc w:val="center"/>
        <w:rPr>
          <w:bCs w:val="0"/>
          <w:color w:val="auto"/>
        </w:rPr>
      </w:pPr>
      <w:r>
        <w:rPr>
          <w:bCs w:val="0"/>
          <w:color w:val="auto"/>
        </w:rPr>
        <w:t>OŻYWIENIE TERENÓW ZDEGRADOWANYCH DOSTARCZAJĄC FUNKCJI I UDOGODNIEŃ UMOŻLIWIAJĄCYCH MIESZKAŃCOM ROZWÓJ SPOŁECZNY I EKONOMICZNY.</w:t>
      </w:r>
    </w:p>
    <w:p w:rsidR="00A32047" w:rsidRDefault="00A32047" w:rsidP="00120CE3">
      <w:pPr>
        <w:pStyle w:val="Akapitzlist3"/>
        <w:shd w:val="clear" w:color="auto" w:fill="DDD9C3" w:themeFill="background2" w:themeFillShade="E6"/>
        <w:spacing w:line="276" w:lineRule="auto"/>
        <w:rPr>
          <w:bCs w:val="0"/>
          <w:color w:val="auto"/>
        </w:rPr>
      </w:pPr>
      <w:r>
        <w:rPr>
          <w:bCs w:val="0"/>
          <w:color w:val="auto"/>
        </w:rPr>
        <w:t>CEL OPERACYJNY 4.1</w:t>
      </w:r>
      <w:r>
        <w:rPr>
          <w:b w:val="0"/>
          <w:bCs w:val="0"/>
          <w:color w:val="auto"/>
        </w:rPr>
        <w:tab/>
        <w:t>ZREKULTYWOWANE TERENY POPRZEMYSŁOWE PRZYGOTOWANE NA PRZYJĘCIE NOWYCH FUNKCJI WAŻNYCH DLA POPRAWY SYTUACJI SPOŁECZNEJ I ROZWOJU RYNKU PRACY.</w:t>
      </w:r>
    </w:p>
    <w:p w:rsidR="00A32047" w:rsidRDefault="00A32047" w:rsidP="00120CE3">
      <w:pPr>
        <w:pStyle w:val="Akapitzlist3"/>
        <w:shd w:val="clear" w:color="auto" w:fill="DDD9C3" w:themeFill="background2" w:themeFillShade="E6"/>
        <w:spacing w:line="276" w:lineRule="auto"/>
        <w:rPr>
          <w:b w:val="0"/>
          <w:bCs w:val="0"/>
          <w:color w:val="auto"/>
        </w:rPr>
      </w:pPr>
      <w:r>
        <w:rPr>
          <w:bCs w:val="0"/>
          <w:color w:val="auto"/>
        </w:rPr>
        <w:t>CEL OPERACYJNY 4.2</w:t>
      </w:r>
      <w:r>
        <w:rPr>
          <w:b w:val="0"/>
          <w:bCs w:val="0"/>
          <w:color w:val="auto"/>
        </w:rPr>
        <w:tab/>
        <w:t>PRZYWRÓCONA WARTOŚĆ OBIEKTÓW HISTORYCZNYCH, KULTUROWYCH, KRAJOBRAZOWO-PRZYRODNICZYCH PRZYCZYNIAJĄCA SIĘ DO WZMACNIANIA TOŻSAMOŚCI SPOŁECZNOŚCI LOKALNYCH.</w:t>
      </w:r>
    </w:p>
    <w:p w:rsidR="00E72153" w:rsidRDefault="00E72153" w:rsidP="00E72153">
      <w:pPr>
        <w:pStyle w:val="Tekstpodstawowywcity"/>
        <w:ind w:left="0" w:firstLine="708"/>
        <w:jc w:val="both"/>
        <w:rPr>
          <w:rFonts w:cs="Calibri"/>
        </w:rPr>
      </w:pPr>
    </w:p>
    <w:p w:rsidR="00E72153" w:rsidRDefault="00E72153" w:rsidP="00E72153">
      <w:pPr>
        <w:pStyle w:val="Tekstpodstawowywcity"/>
        <w:ind w:left="0" w:firstLine="708"/>
        <w:jc w:val="both"/>
        <w:rPr>
          <w:rFonts w:cs="Calibri"/>
        </w:rPr>
      </w:pPr>
      <w:r w:rsidRPr="0072480A">
        <w:rPr>
          <w:rFonts w:cs="Calibri"/>
        </w:rPr>
        <w:t xml:space="preserve">Zidentyfikowane w trakcie prac nad </w:t>
      </w:r>
      <w:r>
        <w:rPr>
          <w:rFonts w:cs="Calibri"/>
        </w:rPr>
        <w:t>„</w:t>
      </w:r>
      <w:r w:rsidRPr="0072480A">
        <w:rPr>
          <w:rFonts w:cs="Calibri"/>
        </w:rPr>
        <w:t>Gminnym Programem Rewitalizacji. Bytom 2020+</w:t>
      </w:r>
      <w:r>
        <w:rPr>
          <w:rFonts w:cs="Calibri"/>
        </w:rPr>
        <w:t>”</w:t>
      </w:r>
      <w:r w:rsidRPr="0072480A">
        <w:rPr>
          <w:rFonts w:cs="Calibri"/>
        </w:rPr>
        <w:t xml:space="preserve"> problemy zestawiono w formie tabelarycznej z celami, następnie kierunkami działania i projektami rewitalizacyjnymi tak by wskazać na logikę interwencji – </w:t>
      </w:r>
      <w:r w:rsidR="00EA6D89">
        <w:rPr>
          <w:rFonts w:cs="Calibri"/>
          <w:b/>
        </w:rPr>
        <w:t>z</w:t>
      </w:r>
      <w:r w:rsidRPr="00A031A6">
        <w:rPr>
          <w:rFonts w:cs="Calibri"/>
          <w:b/>
        </w:rPr>
        <w:t xml:space="preserve">ałącznik </w:t>
      </w:r>
      <w:r w:rsidR="00EA6D89">
        <w:rPr>
          <w:rFonts w:cs="Calibri"/>
          <w:b/>
        </w:rPr>
        <w:t xml:space="preserve">nr </w:t>
      </w:r>
      <w:r w:rsidR="00421A69" w:rsidRPr="00A031A6">
        <w:rPr>
          <w:rFonts w:cs="Calibri"/>
          <w:b/>
        </w:rPr>
        <w:t>3 – „Matryca</w:t>
      </w:r>
      <w:r w:rsidR="00421A69" w:rsidRPr="00421A69">
        <w:rPr>
          <w:rFonts w:cs="Calibri"/>
          <w:b/>
        </w:rPr>
        <w:t xml:space="preserve"> logiczna”</w:t>
      </w:r>
      <w:r w:rsidRPr="0072480A">
        <w:rPr>
          <w:rFonts w:cs="Calibri"/>
        </w:rPr>
        <w:t xml:space="preserve">. </w:t>
      </w:r>
    </w:p>
    <w:p w:rsidR="00E72153" w:rsidRPr="0072480A" w:rsidRDefault="00E72153" w:rsidP="00254750">
      <w:pPr>
        <w:pStyle w:val="Tekstpodstawowywcity"/>
        <w:spacing w:after="0"/>
        <w:ind w:left="0" w:firstLine="708"/>
        <w:jc w:val="both"/>
        <w:rPr>
          <w:rFonts w:cs="Calibri"/>
        </w:rPr>
      </w:pPr>
      <w:r w:rsidRPr="0072480A">
        <w:rPr>
          <w:rFonts w:cs="Calibri"/>
        </w:rPr>
        <w:t>Założono, że każdy projekt rewitalizacyjny musi odpowiadać co najmniej na jeden cel operacyjny oraz realizować co najmniej jeden kierunek działania.</w:t>
      </w:r>
    </w:p>
    <w:p w:rsidR="0009767F" w:rsidRPr="007C1338" w:rsidRDefault="0009767F" w:rsidP="0009767F">
      <w:pPr>
        <w:pStyle w:val="Akapitzlist3"/>
        <w:spacing w:before="0" w:after="0" w:line="276" w:lineRule="auto"/>
        <w:jc w:val="center"/>
        <w:rPr>
          <w:b w:val="0"/>
          <w:bCs w:val="0"/>
          <w:color w:val="auto"/>
          <w:sz w:val="14"/>
        </w:rPr>
      </w:pPr>
    </w:p>
    <w:p w:rsidR="008B6374" w:rsidRDefault="008B6374">
      <w:pPr>
        <w:rPr>
          <w:rFonts w:ascii="Calibri" w:hAnsi="Calibri" w:cs="Calibri"/>
          <w:b/>
          <w:bCs/>
          <w:color w:val="3366FF"/>
          <w:sz w:val="26"/>
          <w:szCs w:val="26"/>
        </w:rPr>
      </w:pPr>
      <w:r>
        <w:br w:type="page"/>
      </w:r>
    </w:p>
    <w:p w:rsidR="00A32047" w:rsidRDefault="00A32047" w:rsidP="00254750">
      <w:pPr>
        <w:pStyle w:val="Nagwek3"/>
        <w:numPr>
          <w:ilvl w:val="2"/>
          <w:numId w:val="225"/>
        </w:numPr>
        <w:ind w:left="709"/>
        <w:jc w:val="both"/>
      </w:pPr>
      <w:bookmarkStart w:id="7853" w:name="_Toc474924961"/>
      <w:r>
        <w:lastRenderedPageBreak/>
        <w:t>Kierunki działań służących eliminacji lub ograniczeniu negatywnych zjawisk</w:t>
      </w:r>
      <w:bookmarkEnd w:id="7853"/>
    </w:p>
    <w:p w:rsidR="00A32047" w:rsidRDefault="00A32047" w:rsidP="00A32047">
      <w:pPr>
        <w:rPr>
          <w:rFonts w:ascii="Calibri" w:hAnsi="Calibri" w:cs="Calibri"/>
        </w:rPr>
      </w:pPr>
    </w:p>
    <w:p w:rsidR="00A32047" w:rsidRDefault="00A32047" w:rsidP="00254750">
      <w:pPr>
        <w:spacing w:after="60"/>
        <w:ind w:firstLine="709"/>
        <w:jc w:val="both"/>
        <w:rPr>
          <w:rFonts w:ascii="Calibri" w:hAnsi="Calibri" w:cs="Calibri"/>
        </w:rPr>
      </w:pPr>
      <w:r>
        <w:rPr>
          <w:rFonts w:ascii="Calibri" w:hAnsi="Calibri" w:cs="Calibri"/>
          <w:szCs w:val="20"/>
        </w:rPr>
        <w:t>Dla każdego z celów operacyjnych określon</w:t>
      </w:r>
      <w:r w:rsidR="00EE54FB">
        <w:rPr>
          <w:rFonts w:ascii="Calibri" w:hAnsi="Calibri" w:cs="Calibri"/>
          <w:szCs w:val="20"/>
        </w:rPr>
        <w:t>o</w:t>
      </w:r>
      <w:r>
        <w:rPr>
          <w:rFonts w:ascii="Calibri" w:hAnsi="Calibri" w:cs="Calibri"/>
          <w:szCs w:val="20"/>
        </w:rPr>
        <w:t xml:space="preserve"> kierunki działań, które umożliwią ich</w:t>
      </w:r>
      <w:r w:rsidR="000A0CE8">
        <w:rPr>
          <w:rFonts w:ascii="Calibri" w:hAnsi="Calibri" w:cs="Calibri"/>
          <w:szCs w:val="20"/>
        </w:rPr>
        <w:t> </w:t>
      </w:r>
      <w:r>
        <w:rPr>
          <w:rFonts w:ascii="Calibri" w:hAnsi="Calibri" w:cs="Calibri"/>
          <w:szCs w:val="20"/>
        </w:rPr>
        <w:t>osiągnięcie. Niezbędnym fundamentem ich realizacji jest współpraca wszystkich interesariuszy działań rewitalizacyjnych: przedstawicieli władzy lokalnej, mieszkańców, przedsiębiorców i organizacji pozarządowych.</w:t>
      </w:r>
    </w:p>
    <w:p w:rsidR="00A32047" w:rsidRDefault="00A32047" w:rsidP="000A0CE8">
      <w:pPr>
        <w:spacing w:before="100"/>
        <w:jc w:val="both"/>
        <w:rPr>
          <w:rFonts w:ascii="Calibri" w:hAnsi="Calibri" w:cs="Calibri"/>
        </w:rPr>
      </w:pPr>
    </w:p>
    <w:p w:rsidR="00A32047" w:rsidRDefault="00A32047" w:rsidP="000A0CE8">
      <w:pPr>
        <w:pStyle w:val="Legenda"/>
        <w:keepNext/>
        <w:spacing w:after="60"/>
        <w:rPr>
          <w:rFonts w:cs="Calibri"/>
        </w:rPr>
      </w:pPr>
      <w:bookmarkStart w:id="7854" w:name="_Toc202771125"/>
      <w:r>
        <w:rPr>
          <w:rFonts w:ascii="Calibri" w:hAnsi="Calibri" w:cs="Calibri"/>
        </w:rPr>
        <w:t xml:space="preserve">Tabela </w:t>
      </w:r>
      <w:r w:rsidR="003972D8" w:rsidRPr="00D572C9">
        <w:rPr>
          <w:rFonts w:cs="Calibri"/>
        </w:rPr>
        <w:fldChar w:fldCharType="begin"/>
      </w:r>
      <w:r w:rsidRPr="00D572C9">
        <w:rPr>
          <w:rFonts w:cs="Calibri"/>
        </w:rPr>
        <w:instrText xml:space="preserve"> SEQ "Tabela" \*Arabic </w:instrText>
      </w:r>
      <w:r w:rsidR="003972D8" w:rsidRPr="00D572C9">
        <w:rPr>
          <w:rFonts w:cs="Calibri"/>
        </w:rPr>
        <w:fldChar w:fldCharType="separate"/>
      </w:r>
      <w:r w:rsidR="00413FFE">
        <w:rPr>
          <w:rFonts w:cs="Calibri"/>
          <w:noProof/>
        </w:rPr>
        <w:t>31</w:t>
      </w:r>
      <w:r w:rsidR="003972D8" w:rsidRPr="00D572C9">
        <w:rPr>
          <w:rFonts w:cs="Calibri"/>
        </w:rPr>
        <w:fldChar w:fldCharType="end"/>
      </w:r>
      <w:r w:rsidRPr="00D572C9">
        <w:rPr>
          <w:rFonts w:cs="Calibri"/>
        </w:rPr>
        <w:t>. Cele</w:t>
      </w:r>
      <w:r>
        <w:rPr>
          <w:rFonts w:ascii="Calibri" w:hAnsi="Calibri" w:cs="Calibri"/>
        </w:rPr>
        <w:t xml:space="preserve"> operacyjne, a kierunki działań rewitalizacyjnych</w:t>
      </w:r>
      <w:bookmarkEnd w:id="7854"/>
    </w:p>
    <w:tbl>
      <w:tblPr>
        <w:tblW w:w="9250" w:type="dxa"/>
        <w:tblInd w:w="-20" w:type="dxa"/>
        <w:tblLayout w:type="fixed"/>
        <w:tblCellMar>
          <w:left w:w="70" w:type="dxa"/>
          <w:right w:w="70" w:type="dxa"/>
        </w:tblCellMar>
        <w:tblLook w:val="0000"/>
      </w:tblPr>
      <w:tblGrid>
        <w:gridCol w:w="3209"/>
        <w:gridCol w:w="6041"/>
      </w:tblGrid>
      <w:tr w:rsidR="000C44E6" w:rsidRPr="002F09B3" w:rsidTr="00987174">
        <w:tc>
          <w:tcPr>
            <w:tcW w:w="3209" w:type="dxa"/>
            <w:tcBorders>
              <w:top w:val="single" w:sz="4" w:space="0" w:color="000000"/>
              <w:left w:val="single" w:sz="4" w:space="0" w:color="000000"/>
              <w:bottom w:val="single" w:sz="4" w:space="0" w:color="000000"/>
            </w:tcBorders>
            <w:shd w:val="clear" w:color="auto" w:fill="99CCFF"/>
          </w:tcPr>
          <w:p w:rsidR="000C44E6" w:rsidRPr="002F09B3" w:rsidRDefault="000C44E6" w:rsidP="00065143">
            <w:pPr>
              <w:pStyle w:val="ListParagraph1"/>
              <w:spacing w:before="60" w:after="60" w:line="240" w:lineRule="auto"/>
              <w:jc w:val="center"/>
              <w:rPr>
                <w:rFonts w:asciiTheme="minorHAnsi" w:hAnsiTheme="minorHAnsi" w:cs="Calibri"/>
                <w:color w:val="auto"/>
                <w:szCs w:val="20"/>
              </w:rPr>
            </w:pPr>
            <w:r w:rsidRPr="002F09B3">
              <w:rPr>
                <w:rFonts w:asciiTheme="minorHAnsi" w:hAnsiTheme="minorHAnsi" w:cs="Calibri"/>
                <w:color w:val="auto"/>
                <w:szCs w:val="20"/>
              </w:rPr>
              <w:t>CEL OPERACYJNY</w:t>
            </w:r>
          </w:p>
        </w:tc>
        <w:tc>
          <w:tcPr>
            <w:tcW w:w="6041" w:type="dxa"/>
            <w:tcBorders>
              <w:top w:val="single" w:sz="4" w:space="0" w:color="000000"/>
              <w:left w:val="single" w:sz="4" w:space="0" w:color="000000"/>
              <w:bottom w:val="single" w:sz="4" w:space="0" w:color="000000"/>
              <w:right w:val="single" w:sz="4" w:space="0" w:color="000000"/>
            </w:tcBorders>
            <w:shd w:val="clear" w:color="auto" w:fill="99CCFF"/>
          </w:tcPr>
          <w:p w:rsidR="000C44E6" w:rsidRPr="002F09B3" w:rsidRDefault="000C44E6" w:rsidP="00065143">
            <w:pPr>
              <w:pStyle w:val="ListParagraph1"/>
              <w:spacing w:before="60" w:after="60" w:line="240" w:lineRule="auto"/>
              <w:jc w:val="center"/>
              <w:rPr>
                <w:rFonts w:asciiTheme="minorHAnsi" w:hAnsiTheme="minorHAnsi"/>
                <w:szCs w:val="20"/>
              </w:rPr>
            </w:pPr>
            <w:r w:rsidRPr="002F09B3">
              <w:rPr>
                <w:rFonts w:asciiTheme="minorHAnsi" w:hAnsiTheme="minorHAnsi" w:cs="Calibri"/>
                <w:color w:val="auto"/>
                <w:szCs w:val="20"/>
              </w:rPr>
              <w:t>KIERUNKI DZIAŁAŃ</w:t>
            </w:r>
          </w:p>
        </w:tc>
      </w:tr>
      <w:tr w:rsidR="000C44E6" w:rsidRPr="002F09B3" w:rsidTr="00120CE3">
        <w:tc>
          <w:tcPr>
            <w:tcW w:w="9250" w:type="dxa"/>
            <w:gridSpan w:val="2"/>
            <w:tcBorders>
              <w:top w:val="single" w:sz="4" w:space="0" w:color="000000"/>
              <w:left w:val="single" w:sz="4" w:space="0" w:color="000000"/>
              <w:bottom w:val="single" w:sz="4" w:space="0" w:color="000000"/>
              <w:right w:val="single" w:sz="4" w:space="0" w:color="000000"/>
            </w:tcBorders>
            <w:shd w:val="clear" w:color="auto" w:fill="DDD9C3" w:themeFill="background2" w:themeFillShade="E6"/>
          </w:tcPr>
          <w:p w:rsidR="000C44E6" w:rsidRPr="002F09B3" w:rsidRDefault="000C44E6" w:rsidP="002F09B3">
            <w:pPr>
              <w:pStyle w:val="ListParagraph1"/>
              <w:spacing w:line="240" w:lineRule="auto"/>
              <w:jc w:val="center"/>
              <w:rPr>
                <w:rFonts w:asciiTheme="minorHAnsi" w:hAnsiTheme="minorHAnsi"/>
                <w:color w:val="auto"/>
                <w:szCs w:val="20"/>
              </w:rPr>
            </w:pPr>
            <w:r w:rsidRPr="002F09B3">
              <w:rPr>
                <w:rFonts w:asciiTheme="minorHAnsi" w:hAnsiTheme="minorHAnsi" w:cs="Calibri"/>
                <w:color w:val="auto"/>
                <w:szCs w:val="20"/>
              </w:rPr>
              <w:t>CEL STRATEGICZNY  1</w:t>
            </w:r>
          </w:p>
          <w:p w:rsidR="000C44E6" w:rsidRPr="002F09B3" w:rsidRDefault="000C44E6" w:rsidP="002F09B3">
            <w:pPr>
              <w:pStyle w:val="ListParagraph1"/>
              <w:spacing w:line="240" w:lineRule="auto"/>
              <w:jc w:val="center"/>
              <w:rPr>
                <w:rFonts w:asciiTheme="minorHAnsi" w:hAnsiTheme="minorHAnsi"/>
                <w:sz w:val="20"/>
                <w:szCs w:val="20"/>
              </w:rPr>
            </w:pPr>
            <w:r w:rsidRPr="002F09B3">
              <w:rPr>
                <w:rFonts w:asciiTheme="minorHAnsi" w:hAnsiTheme="minorHAnsi"/>
                <w:color w:val="auto"/>
                <w:szCs w:val="20"/>
              </w:rPr>
              <w:t>Utworzenie konkurencyjnej struktury gospodarczej, opartej na przedsiębiorczości mieszkańców, zapewniającej atrakcyjne miejsca pracy</w:t>
            </w:r>
            <w:r w:rsidR="00254750">
              <w:rPr>
                <w:rFonts w:asciiTheme="minorHAnsi" w:hAnsiTheme="minorHAnsi"/>
                <w:color w:val="auto"/>
                <w:szCs w:val="20"/>
              </w:rPr>
              <w:t>.</w:t>
            </w:r>
          </w:p>
        </w:tc>
      </w:tr>
      <w:tr w:rsidR="000C44E6" w:rsidRPr="002F09B3" w:rsidTr="00987174">
        <w:tc>
          <w:tcPr>
            <w:tcW w:w="3209" w:type="dxa"/>
            <w:tcBorders>
              <w:top w:val="single" w:sz="4" w:space="0" w:color="000000"/>
              <w:left w:val="single" w:sz="4" w:space="0" w:color="000000"/>
              <w:bottom w:val="single" w:sz="4" w:space="0" w:color="000000"/>
            </w:tcBorders>
          </w:tcPr>
          <w:p w:rsidR="000C44E6" w:rsidRPr="002F09B3" w:rsidRDefault="000C44E6" w:rsidP="00987174">
            <w:pPr>
              <w:pStyle w:val="ListParagraph1"/>
              <w:spacing w:before="0" w:after="0" w:line="240" w:lineRule="auto"/>
              <w:jc w:val="left"/>
              <w:rPr>
                <w:rFonts w:asciiTheme="minorHAnsi" w:hAnsiTheme="minorHAnsi" w:cs="Calibri"/>
                <w:b w:val="0"/>
                <w:bCs w:val="0"/>
                <w:color w:val="auto"/>
                <w:sz w:val="20"/>
                <w:szCs w:val="20"/>
              </w:rPr>
            </w:pPr>
            <w:r w:rsidRPr="002F09B3">
              <w:rPr>
                <w:rFonts w:asciiTheme="minorHAnsi" w:hAnsiTheme="minorHAnsi" w:cs="Calibri"/>
                <w:bCs w:val="0"/>
                <w:color w:val="auto"/>
                <w:sz w:val="20"/>
                <w:szCs w:val="20"/>
              </w:rPr>
              <w:t>1.1</w:t>
            </w:r>
            <w:r w:rsidR="00AB6004">
              <w:rPr>
                <w:rFonts w:asciiTheme="minorHAnsi" w:hAnsiTheme="minorHAnsi" w:cs="Calibri"/>
                <w:bCs w:val="0"/>
                <w:color w:val="auto"/>
                <w:sz w:val="20"/>
                <w:szCs w:val="20"/>
              </w:rPr>
              <w:t>.</w:t>
            </w:r>
            <w:r w:rsidRPr="002F09B3">
              <w:rPr>
                <w:rFonts w:asciiTheme="minorHAnsi" w:hAnsiTheme="minorHAnsi" w:cs="Calibri"/>
                <w:bCs w:val="0"/>
                <w:color w:val="auto"/>
                <w:sz w:val="20"/>
                <w:szCs w:val="20"/>
              </w:rPr>
              <w:t xml:space="preserve"> Wysoki poziom przedsiębiorczości mieszkańców kompensujący niedobory miejsc pracy w mieście.</w:t>
            </w:r>
          </w:p>
        </w:tc>
        <w:tc>
          <w:tcPr>
            <w:tcW w:w="6041" w:type="dxa"/>
            <w:tcBorders>
              <w:top w:val="single" w:sz="4" w:space="0" w:color="000000"/>
              <w:left w:val="single" w:sz="4" w:space="0" w:color="000000"/>
              <w:bottom w:val="single" w:sz="4" w:space="0" w:color="000000"/>
              <w:right w:val="single" w:sz="4" w:space="0" w:color="000000"/>
            </w:tcBorders>
          </w:tcPr>
          <w:p w:rsidR="000C44E6" w:rsidRPr="002F09B3" w:rsidRDefault="000C44E6" w:rsidP="002F09B3">
            <w:pPr>
              <w:pStyle w:val="ListParagraph1"/>
              <w:numPr>
                <w:ilvl w:val="2"/>
                <w:numId w:val="132"/>
              </w:numPr>
              <w:spacing w:before="0" w:after="80" w:line="240" w:lineRule="auto"/>
              <w:jc w:val="left"/>
              <w:rPr>
                <w:rFonts w:asciiTheme="minorHAnsi" w:hAnsiTheme="minorHAnsi" w:cs="Calibri"/>
                <w:b w:val="0"/>
                <w:bCs w:val="0"/>
                <w:color w:val="auto"/>
                <w:sz w:val="20"/>
                <w:szCs w:val="20"/>
              </w:rPr>
            </w:pPr>
            <w:r w:rsidRPr="002F09B3">
              <w:rPr>
                <w:rFonts w:asciiTheme="minorHAnsi" w:hAnsiTheme="minorHAnsi" w:cs="Calibri"/>
                <w:b w:val="0"/>
                <w:bCs w:val="0"/>
                <w:color w:val="auto"/>
                <w:sz w:val="20"/>
                <w:szCs w:val="20"/>
              </w:rPr>
              <w:t>Wzmacnianie postaw przedsiębiorczych mieszkańców, ze szczególnym uwzględnieniem młodzieży oraz osób zagrożonych utratą pracy,</w:t>
            </w:r>
          </w:p>
          <w:p w:rsidR="000C44E6" w:rsidRPr="002F09B3" w:rsidRDefault="000C44E6" w:rsidP="002F09B3">
            <w:pPr>
              <w:pStyle w:val="ListParagraph1"/>
              <w:numPr>
                <w:ilvl w:val="2"/>
                <w:numId w:val="132"/>
              </w:numPr>
              <w:spacing w:before="0" w:after="80" w:line="240" w:lineRule="auto"/>
              <w:jc w:val="left"/>
              <w:rPr>
                <w:rFonts w:asciiTheme="minorHAnsi" w:hAnsiTheme="minorHAnsi" w:cs="Calibri"/>
                <w:b w:val="0"/>
                <w:bCs w:val="0"/>
                <w:color w:val="auto"/>
                <w:sz w:val="20"/>
                <w:szCs w:val="20"/>
              </w:rPr>
            </w:pPr>
            <w:r w:rsidRPr="002F09B3">
              <w:rPr>
                <w:rFonts w:asciiTheme="minorHAnsi" w:hAnsiTheme="minorHAnsi" w:cs="Calibri"/>
                <w:b w:val="0"/>
                <w:bCs w:val="0"/>
                <w:color w:val="auto"/>
                <w:sz w:val="20"/>
                <w:szCs w:val="20"/>
              </w:rPr>
              <w:t xml:space="preserve">Tworzenie udogodnień lokalowych i kompetencyjnych dla osób zakładających firmy w obszarach rewitalizacji, </w:t>
            </w:r>
          </w:p>
          <w:p w:rsidR="000C44E6" w:rsidRPr="002F09B3" w:rsidRDefault="000C44E6" w:rsidP="002F09B3">
            <w:pPr>
              <w:pStyle w:val="ListParagraph1"/>
              <w:numPr>
                <w:ilvl w:val="2"/>
                <w:numId w:val="132"/>
              </w:numPr>
              <w:spacing w:before="0" w:after="80" w:line="240" w:lineRule="auto"/>
              <w:jc w:val="left"/>
              <w:rPr>
                <w:rFonts w:asciiTheme="minorHAnsi" w:hAnsiTheme="minorHAnsi" w:cs="Calibri"/>
                <w:b w:val="0"/>
                <w:bCs w:val="0"/>
                <w:color w:val="auto"/>
                <w:sz w:val="20"/>
                <w:szCs w:val="20"/>
              </w:rPr>
            </w:pPr>
            <w:r w:rsidRPr="002F09B3">
              <w:rPr>
                <w:rFonts w:asciiTheme="minorHAnsi" w:hAnsiTheme="minorHAnsi" w:cs="Calibri"/>
                <w:b w:val="0"/>
                <w:bCs w:val="0"/>
                <w:color w:val="auto"/>
                <w:sz w:val="20"/>
                <w:szCs w:val="20"/>
              </w:rPr>
              <w:t>Promowanie wśród lokalnych przedsiębiorców idei społecznej odpowiedzialności biznesu przejawiającej się w nawiązywaniu współpracy z nowo tworzonymi firmami na obszarach rewitalizacji,</w:t>
            </w:r>
          </w:p>
          <w:p w:rsidR="000C44E6" w:rsidRPr="002F09B3" w:rsidRDefault="000C44E6" w:rsidP="002F09B3">
            <w:pPr>
              <w:pStyle w:val="ListParagraph1"/>
              <w:numPr>
                <w:ilvl w:val="2"/>
                <w:numId w:val="132"/>
              </w:numPr>
              <w:spacing w:before="0" w:after="80" w:line="240" w:lineRule="auto"/>
              <w:jc w:val="left"/>
              <w:rPr>
                <w:rFonts w:asciiTheme="minorHAnsi" w:hAnsiTheme="minorHAnsi" w:cs="Calibri"/>
                <w:b w:val="0"/>
                <w:bCs w:val="0"/>
                <w:color w:val="auto"/>
                <w:sz w:val="20"/>
                <w:szCs w:val="20"/>
              </w:rPr>
            </w:pPr>
            <w:r w:rsidRPr="002F09B3">
              <w:rPr>
                <w:rFonts w:asciiTheme="minorHAnsi" w:hAnsiTheme="minorHAnsi" w:cs="Calibri"/>
                <w:b w:val="0"/>
                <w:bCs w:val="0"/>
                <w:color w:val="auto"/>
                <w:sz w:val="20"/>
                <w:szCs w:val="20"/>
              </w:rPr>
              <w:t>Organizowanie inkubatorów przedsiębiorczości na obszarach rewitalizacji,</w:t>
            </w:r>
          </w:p>
          <w:p w:rsidR="000C44E6" w:rsidRPr="002F09B3" w:rsidRDefault="000C44E6" w:rsidP="000A0CE8">
            <w:pPr>
              <w:pStyle w:val="ListParagraph1"/>
              <w:numPr>
                <w:ilvl w:val="2"/>
                <w:numId w:val="132"/>
              </w:numPr>
              <w:spacing w:before="0" w:after="160" w:line="240" w:lineRule="auto"/>
              <w:jc w:val="left"/>
              <w:rPr>
                <w:rFonts w:asciiTheme="minorHAnsi" w:hAnsiTheme="minorHAnsi"/>
                <w:sz w:val="20"/>
                <w:szCs w:val="20"/>
              </w:rPr>
            </w:pPr>
            <w:r w:rsidRPr="002F09B3">
              <w:rPr>
                <w:rFonts w:asciiTheme="minorHAnsi" w:hAnsiTheme="minorHAnsi" w:cs="Calibri"/>
                <w:b w:val="0"/>
                <w:bCs w:val="0"/>
                <w:color w:val="auto"/>
                <w:sz w:val="20"/>
                <w:szCs w:val="20"/>
              </w:rPr>
              <w:t>Wspieranie specjalistów przechodzących na emeryturę (zwłaszcza wcześniejszą) w</w:t>
            </w:r>
            <w:r w:rsidR="007C1338">
              <w:rPr>
                <w:rFonts w:asciiTheme="minorHAnsi" w:hAnsiTheme="minorHAnsi" w:cs="Calibri"/>
                <w:b w:val="0"/>
                <w:bCs w:val="0"/>
                <w:color w:val="auto"/>
                <w:sz w:val="20"/>
                <w:szCs w:val="20"/>
              </w:rPr>
              <w:t> </w:t>
            </w:r>
            <w:r w:rsidRPr="002F09B3">
              <w:rPr>
                <w:rFonts w:asciiTheme="minorHAnsi" w:hAnsiTheme="minorHAnsi" w:cs="Calibri"/>
                <w:b w:val="0"/>
                <w:bCs w:val="0"/>
                <w:color w:val="auto"/>
                <w:sz w:val="20"/>
                <w:szCs w:val="20"/>
              </w:rPr>
              <w:t>zakładaniu własnych firm na obszarach rewitalizacji</w:t>
            </w:r>
            <w:r w:rsidR="00990748">
              <w:rPr>
                <w:rFonts w:asciiTheme="minorHAnsi" w:hAnsiTheme="minorHAnsi" w:cs="Calibri"/>
                <w:b w:val="0"/>
                <w:bCs w:val="0"/>
                <w:color w:val="auto"/>
                <w:sz w:val="20"/>
                <w:szCs w:val="20"/>
              </w:rPr>
              <w:t>.</w:t>
            </w:r>
          </w:p>
        </w:tc>
      </w:tr>
      <w:tr w:rsidR="000C44E6" w:rsidRPr="002F09B3" w:rsidTr="00987174">
        <w:tc>
          <w:tcPr>
            <w:tcW w:w="3209" w:type="dxa"/>
            <w:tcBorders>
              <w:top w:val="single" w:sz="4" w:space="0" w:color="000000"/>
              <w:left w:val="single" w:sz="4" w:space="0" w:color="000000"/>
              <w:bottom w:val="single" w:sz="4" w:space="0" w:color="000000"/>
            </w:tcBorders>
          </w:tcPr>
          <w:p w:rsidR="000C44E6" w:rsidRPr="002F09B3" w:rsidRDefault="00A93DDE" w:rsidP="00987174">
            <w:pPr>
              <w:pStyle w:val="ListParagraph1"/>
              <w:spacing w:before="0" w:line="240" w:lineRule="auto"/>
              <w:jc w:val="left"/>
              <w:rPr>
                <w:rFonts w:asciiTheme="minorHAnsi" w:hAnsiTheme="minorHAnsi" w:cs="Calibri"/>
                <w:b w:val="0"/>
                <w:bCs w:val="0"/>
                <w:color w:val="auto"/>
                <w:sz w:val="20"/>
                <w:szCs w:val="20"/>
              </w:rPr>
            </w:pPr>
            <w:r>
              <w:rPr>
                <w:rFonts w:asciiTheme="minorHAnsi" w:hAnsiTheme="minorHAnsi" w:cs="Calibri"/>
                <w:bCs w:val="0"/>
                <w:color w:val="auto"/>
                <w:sz w:val="20"/>
                <w:szCs w:val="20"/>
              </w:rPr>
              <w:t>1.2</w:t>
            </w:r>
            <w:r w:rsidR="00AB6004">
              <w:rPr>
                <w:rFonts w:asciiTheme="minorHAnsi" w:hAnsiTheme="minorHAnsi" w:cs="Calibri"/>
                <w:bCs w:val="0"/>
                <w:color w:val="auto"/>
                <w:sz w:val="20"/>
                <w:szCs w:val="20"/>
              </w:rPr>
              <w:t>.</w:t>
            </w:r>
            <w:r>
              <w:rPr>
                <w:rFonts w:asciiTheme="minorHAnsi" w:hAnsiTheme="minorHAnsi" w:cs="Calibri"/>
                <w:bCs w:val="0"/>
                <w:color w:val="auto"/>
                <w:sz w:val="20"/>
                <w:szCs w:val="20"/>
              </w:rPr>
              <w:t xml:space="preserve"> </w:t>
            </w:r>
            <w:r w:rsidR="000C44E6" w:rsidRPr="002F09B3">
              <w:rPr>
                <w:rFonts w:asciiTheme="minorHAnsi" w:hAnsiTheme="minorHAnsi" w:cs="Calibri"/>
                <w:bCs w:val="0"/>
                <w:color w:val="auto"/>
                <w:sz w:val="20"/>
                <w:szCs w:val="20"/>
              </w:rPr>
              <w:t xml:space="preserve">Dogodne warunki dla rozwoju firm lokalnych. </w:t>
            </w:r>
          </w:p>
        </w:tc>
        <w:tc>
          <w:tcPr>
            <w:tcW w:w="6041" w:type="dxa"/>
            <w:tcBorders>
              <w:top w:val="single" w:sz="4" w:space="0" w:color="000000"/>
              <w:left w:val="single" w:sz="4" w:space="0" w:color="000000"/>
              <w:bottom w:val="single" w:sz="4" w:space="0" w:color="000000"/>
              <w:right w:val="single" w:sz="4" w:space="0" w:color="000000"/>
            </w:tcBorders>
          </w:tcPr>
          <w:p w:rsidR="000C44E6" w:rsidRPr="002F09B3" w:rsidRDefault="000C44E6" w:rsidP="000A0CE8">
            <w:pPr>
              <w:pStyle w:val="ListParagraph1"/>
              <w:numPr>
                <w:ilvl w:val="2"/>
                <w:numId w:val="141"/>
              </w:numPr>
              <w:spacing w:before="0" w:after="70" w:line="240" w:lineRule="auto"/>
              <w:ind w:left="720"/>
              <w:jc w:val="left"/>
              <w:rPr>
                <w:rFonts w:asciiTheme="minorHAnsi" w:hAnsiTheme="minorHAnsi" w:cs="Calibri"/>
                <w:b w:val="0"/>
                <w:bCs w:val="0"/>
                <w:color w:val="auto"/>
                <w:sz w:val="20"/>
                <w:szCs w:val="20"/>
              </w:rPr>
            </w:pPr>
            <w:r w:rsidRPr="002F09B3">
              <w:rPr>
                <w:rFonts w:asciiTheme="minorHAnsi" w:hAnsiTheme="minorHAnsi" w:cs="Calibri"/>
                <w:b w:val="0"/>
                <w:bCs w:val="0"/>
                <w:color w:val="auto"/>
                <w:sz w:val="20"/>
                <w:szCs w:val="20"/>
              </w:rPr>
              <w:t>Podejmowanie działań umożliwiających przedsiębiorcom lokalnym pozyskanie kadr, w szczególności spośród mieszkańców obszarów rewitalizacji,</w:t>
            </w:r>
          </w:p>
          <w:p w:rsidR="000C44E6" w:rsidRPr="002F09B3" w:rsidRDefault="000C44E6" w:rsidP="000A0CE8">
            <w:pPr>
              <w:pStyle w:val="ListParagraph1"/>
              <w:numPr>
                <w:ilvl w:val="2"/>
                <w:numId w:val="141"/>
              </w:numPr>
              <w:spacing w:before="0" w:after="70" w:line="240" w:lineRule="auto"/>
              <w:ind w:left="720"/>
              <w:jc w:val="left"/>
              <w:rPr>
                <w:rFonts w:asciiTheme="minorHAnsi" w:hAnsiTheme="minorHAnsi" w:cs="Calibri"/>
                <w:b w:val="0"/>
                <w:bCs w:val="0"/>
                <w:color w:val="auto"/>
                <w:sz w:val="20"/>
                <w:szCs w:val="20"/>
              </w:rPr>
            </w:pPr>
            <w:r w:rsidRPr="002F09B3">
              <w:rPr>
                <w:rFonts w:asciiTheme="minorHAnsi" w:hAnsiTheme="minorHAnsi" w:cs="Calibri"/>
                <w:b w:val="0"/>
                <w:bCs w:val="0"/>
                <w:color w:val="auto"/>
                <w:sz w:val="20"/>
                <w:szCs w:val="20"/>
              </w:rPr>
              <w:t>Tworzenie udogodnień lokalowych i finansowych dla podmiotów chcących podjąć działalność na obszarach rewitalizacji,</w:t>
            </w:r>
          </w:p>
          <w:p w:rsidR="000C44E6" w:rsidRPr="002F09B3" w:rsidRDefault="000C44E6" w:rsidP="000A0CE8">
            <w:pPr>
              <w:pStyle w:val="ListParagraph1"/>
              <w:numPr>
                <w:ilvl w:val="2"/>
                <w:numId w:val="141"/>
              </w:numPr>
              <w:spacing w:before="0" w:after="70" w:line="240" w:lineRule="auto"/>
              <w:ind w:left="720"/>
              <w:jc w:val="left"/>
              <w:rPr>
                <w:rFonts w:asciiTheme="minorHAnsi" w:hAnsiTheme="minorHAnsi" w:cs="Calibri"/>
                <w:b w:val="0"/>
                <w:bCs w:val="0"/>
                <w:color w:val="auto"/>
                <w:sz w:val="20"/>
                <w:szCs w:val="20"/>
              </w:rPr>
            </w:pPr>
            <w:r w:rsidRPr="002F09B3">
              <w:rPr>
                <w:rFonts w:asciiTheme="minorHAnsi" w:hAnsiTheme="minorHAnsi" w:cs="Calibri"/>
                <w:b w:val="0"/>
                <w:bCs w:val="0"/>
                <w:color w:val="auto"/>
                <w:sz w:val="20"/>
                <w:szCs w:val="20"/>
              </w:rPr>
              <w:t>Kreowanie w obszarach rewitalizacji nowych przestrzeni dla biznesu, w tym współpraca z właścicielami prywatnymi terenów i obiektów w obszarach rewitalizacji w celu wykreowania nowych lokalizacji dla mikro i małego biznesu,</w:t>
            </w:r>
          </w:p>
          <w:p w:rsidR="000C44E6" w:rsidRPr="002F09B3" w:rsidRDefault="000C44E6" w:rsidP="000A0CE8">
            <w:pPr>
              <w:pStyle w:val="ListParagraph1"/>
              <w:numPr>
                <w:ilvl w:val="2"/>
                <w:numId w:val="141"/>
              </w:numPr>
              <w:spacing w:before="0" w:after="70" w:line="240" w:lineRule="auto"/>
              <w:ind w:left="720"/>
              <w:jc w:val="left"/>
              <w:rPr>
                <w:rFonts w:asciiTheme="minorHAnsi" w:hAnsiTheme="minorHAnsi" w:cs="Calibri"/>
                <w:b w:val="0"/>
                <w:bCs w:val="0"/>
                <w:color w:val="auto"/>
                <w:sz w:val="20"/>
                <w:szCs w:val="20"/>
              </w:rPr>
            </w:pPr>
            <w:r w:rsidRPr="002F09B3">
              <w:rPr>
                <w:rFonts w:asciiTheme="minorHAnsi" w:hAnsiTheme="minorHAnsi" w:cs="Calibri"/>
                <w:b w:val="0"/>
                <w:bCs w:val="0"/>
                <w:color w:val="auto"/>
                <w:sz w:val="20"/>
                <w:szCs w:val="20"/>
              </w:rPr>
              <w:t>Dostarczanie przedsiębiorcom lokalnym, których działalność związana jest z obszarami rewitalizacji możliwości podnoszenia posiadanych kompetencji w zakresie zarządzania i rozwijania własnej firmy,</w:t>
            </w:r>
          </w:p>
          <w:p w:rsidR="000C44E6" w:rsidRPr="002F09B3" w:rsidRDefault="000C44E6" w:rsidP="000A0CE8">
            <w:pPr>
              <w:pStyle w:val="ListParagraph1"/>
              <w:numPr>
                <w:ilvl w:val="2"/>
                <w:numId w:val="141"/>
              </w:numPr>
              <w:spacing w:before="0" w:after="70" w:line="240" w:lineRule="auto"/>
              <w:ind w:left="720"/>
              <w:jc w:val="left"/>
              <w:rPr>
                <w:rFonts w:asciiTheme="minorHAnsi" w:hAnsiTheme="minorHAnsi" w:cs="Calibri"/>
                <w:b w:val="0"/>
                <w:bCs w:val="0"/>
                <w:color w:val="auto"/>
                <w:sz w:val="20"/>
                <w:szCs w:val="20"/>
              </w:rPr>
            </w:pPr>
            <w:r w:rsidRPr="002F09B3">
              <w:rPr>
                <w:rFonts w:asciiTheme="minorHAnsi" w:hAnsiTheme="minorHAnsi" w:cs="Calibri"/>
                <w:b w:val="0"/>
                <w:bCs w:val="0"/>
                <w:color w:val="auto"/>
                <w:sz w:val="20"/>
                <w:szCs w:val="20"/>
              </w:rPr>
              <w:t>Wszechstronne wspieranie  tworzenia i rozwoju podmiotów ekonomii społecznej,</w:t>
            </w:r>
          </w:p>
          <w:p w:rsidR="000C44E6" w:rsidRPr="002F09B3" w:rsidRDefault="000C44E6" w:rsidP="000A0CE8">
            <w:pPr>
              <w:pStyle w:val="ListParagraph1"/>
              <w:numPr>
                <w:ilvl w:val="2"/>
                <w:numId w:val="141"/>
              </w:numPr>
              <w:spacing w:before="0" w:after="70" w:line="240" w:lineRule="auto"/>
              <w:ind w:left="720"/>
              <w:jc w:val="left"/>
              <w:rPr>
                <w:rFonts w:asciiTheme="minorHAnsi" w:hAnsiTheme="minorHAnsi" w:cs="Calibri"/>
                <w:b w:val="0"/>
                <w:bCs w:val="0"/>
                <w:color w:val="auto"/>
                <w:sz w:val="20"/>
                <w:szCs w:val="20"/>
              </w:rPr>
            </w:pPr>
            <w:r w:rsidRPr="002F09B3">
              <w:rPr>
                <w:rFonts w:asciiTheme="minorHAnsi" w:hAnsiTheme="minorHAnsi" w:cs="Calibri"/>
                <w:b w:val="0"/>
                <w:bCs w:val="0"/>
                <w:color w:val="auto"/>
                <w:sz w:val="20"/>
                <w:szCs w:val="20"/>
              </w:rPr>
              <w:t>Wdrożenie klauzul społecznych</w:t>
            </w:r>
            <w:r w:rsidR="00990748">
              <w:rPr>
                <w:rFonts w:asciiTheme="minorHAnsi" w:hAnsiTheme="minorHAnsi" w:cs="Calibri"/>
                <w:b w:val="0"/>
                <w:bCs w:val="0"/>
                <w:color w:val="auto"/>
                <w:sz w:val="20"/>
                <w:szCs w:val="20"/>
              </w:rPr>
              <w:t xml:space="preserve"> </w:t>
            </w:r>
            <w:r w:rsidRPr="002F09B3">
              <w:rPr>
                <w:rFonts w:asciiTheme="minorHAnsi" w:hAnsiTheme="minorHAnsi" w:cs="Calibri"/>
                <w:b w:val="0"/>
                <w:bCs w:val="0"/>
                <w:color w:val="auto"/>
                <w:sz w:val="20"/>
                <w:szCs w:val="20"/>
              </w:rPr>
              <w:t>w zamówieniach miejskich na działania rewitalizacyjne,</w:t>
            </w:r>
          </w:p>
          <w:p w:rsidR="000C44E6" w:rsidRPr="002F09B3" w:rsidRDefault="000C44E6" w:rsidP="000A0CE8">
            <w:pPr>
              <w:pStyle w:val="ListParagraph1"/>
              <w:numPr>
                <w:ilvl w:val="2"/>
                <w:numId w:val="141"/>
              </w:numPr>
              <w:spacing w:before="0" w:after="70" w:line="240" w:lineRule="auto"/>
              <w:ind w:left="720"/>
              <w:jc w:val="left"/>
              <w:rPr>
                <w:rFonts w:asciiTheme="minorHAnsi" w:hAnsiTheme="minorHAnsi"/>
                <w:sz w:val="20"/>
                <w:szCs w:val="20"/>
              </w:rPr>
            </w:pPr>
            <w:r w:rsidRPr="002F09B3">
              <w:rPr>
                <w:rFonts w:asciiTheme="minorHAnsi" w:hAnsiTheme="minorHAnsi" w:cs="Calibri"/>
                <w:b w:val="0"/>
                <w:bCs w:val="0"/>
                <w:color w:val="auto"/>
                <w:sz w:val="20"/>
                <w:szCs w:val="20"/>
              </w:rPr>
              <w:t>Wzmacnianie lokalnych sieci współpracy z udziałem firm działających na obszarach rewitalizacji</w:t>
            </w:r>
            <w:r w:rsidR="00990748">
              <w:rPr>
                <w:rFonts w:asciiTheme="minorHAnsi" w:hAnsiTheme="minorHAnsi" w:cs="Calibri"/>
                <w:b w:val="0"/>
                <w:bCs w:val="0"/>
                <w:color w:val="auto"/>
                <w:sz w:val="20"/>
                <w:szCs w:val="20"/>
              </w:rPr>
              <w:t>.</w:t>
            </w:r>
          </w:p>
        </w:tc>
      </w:tr>
      <w:tr w:rsidR="000C44E6" w:rsidRPr="002F09B3" w:rsidTr="00987174">
        <w:tc>
          <w:tcPr>
            <w:tcW w:w="3209" w:type="dxa"/>
            <w:tcBorders>
              <w:top w:val="single" w:sz="4" w:space="0" w:color="000000"/>
              <w:left w:val="single" w:sz="4" w:space="0" w:color="000000"/>
              <w:bottom w:val="single" w:sz="4" w:space="0" w:color="000000"/>
            </w:tcBorders>
          </w:tcPr>
          <w:p w:rsidR="000C44E6" w:rsidRPr="002F09B3" w:rsidRDefault="000C44E6" w:rsidP="00987174">
            <w:pPr>
              <w:pStyle w:val="ListParagraph1"/>
              <w:spacing w:before="0" w:line="240" w:lineRule="auto"/>
              <w:jc w:val="left"/>
              <w:rPr>
                <w:rFonts w:asciiTheme="minorHAnsi" w:hAnsiTheme="minorHAnsi" w:cs="Calibri"/>
                <w:b w:val="0"/>
                <w:bCs w:val="0"/>
                <w:color w:val="auto"/>
                <w:sz w:val="20"/>
                <w:szCs w:val="20"/>
              </w:rPr>
            </w:pPr>
            <w:r w:rsidRPr="002F09B3">
              <w:rPr>
                <w:rFonts w:asciiTheme="minorHAnsi" w:hAnsiTheme="minorHAnsi" w:cs="Calibri"/>
                <w:bCs w:val="0"/>
                <w:color w:val="auto"/>
                <w:sz w:val="20"/>
                <w:szCs w:val="20"/>
              </w:rPr>
              <w:lastRenderedPageBreak/>
              <w:t>1.3</w:t>
            </w:r>
            <w:r w:rsidR="00AB6004">
              <w:rPr>
                <w:rFonts w:asciiTheme="minorHAnsi" w:hAnsiTheme="minorHAnsi" w:cs="Calibri"/>
                <w:bCs w:val="0"/>
                <w:color w:val="auto"/>
                <w:sz w:val="20"/>
                <w:szCs w:val="20"/>
              </w:rPr>
              <w:t>.</w:t>
            </w:r>
            <w:r w:rsidRPr="002F09B3">
              <w:rPr>
                <w:rFonts w:asciiTheme="minorHAnsi" w:hAnsiTheme="minorHAnsi" w:cs="Calibri"/>
                <w:bCs w:val="0"/>
                <w:color w:val="auto"/>
                <w:sz w:val="20"/>
                <w:szCs w:val="20"/>
              </w:rPr>
              <w:t xml:space="preserve">  Wysoki poziom dostępności udogodnień umożliwiających podnoszenie kwalifikacji mieszkańców, usuwanie barier w</w:t>
            </w:r>
            <w:r w:rsidR="00987174">
              <w:rPr>
                <w:rFonts w:asciiTheme="minorHAnsi" w:hAnsiTheme="minorHAnsi" w:cs="Calibri"/>
                <w:bCs w:val="0"/>
                <w:color w:val="auto"/>
                <w:sz w:val="20"/>
                <w:szCs w:val="20"/>
              </w:rPr>
              <w:t> </w:t>
            </w:r>
            <w:r w:rsidRPr="002F09B3">
              <w:rPr>
                <w:rFonts w:asciiTheme="minorHAnsi" w:hAnsiTheme="minorHAnsi" w:cs="Calibri"/>
                <w:bCs w:val="0"/>
                <w:color w:val="auto"/>
                <w:sz w:val="20"/>
                <w:szCs w:val="20"/>
              </w:rPr>
              <w:t>powrocie na rynek pracy oraz wzrastający poziom motywacji wewnętrznej mieszkańców w</w:t>
            </w:r>
            <w:r w:rsidR="00987174">
              <w:rPr>
                <w:rFonts w:asciiTheme="minorHAnsi" w:hAnsiTheme="minorHAnsi" w:cs="Calibri"/>
                <w:bCs w:val="0"/>
                <w:color w:val="auto"/>
                <w:sz w:val="20"/>
                <w:szCs w:val="20"/>
              </w:rPr>
              <w:t> </w:t>
            </w:r>
            <w:r w:rsidRPr="002F09B3">
              <w:rPr>
                <w:rFonts w:asciiTheme="minorHAnsi" w:hAnsiTheme="minorHAnsi" w:cs="Calibri"/>
                <w:bCs w:val="0"/>
                <w:color w:val="auto"/>
                <w:sz w:val="20"/>
                <w:szCs w:val="20"/>
              </w:rPr>
              <w:t>zakresie realizacji karier zawodowych.</w:t>
            </w:r>
          </w:p>
        </w:tc>
        <w:tc>
          <w:tcPr>
            <w:tcW w:w="6041" w:type="dxa"/>
            <w:tcBorders>
              <w:top w:val="single" w:sz="4" w:space="0" w:color="000000"/>
              <w:left w:val="single" w:sz="4" w:space="0" w:color="000000"/>
              <w:bottom w:val="single" w:sz="4" w:space="0" w:color="000000"/>
              <w:right w:val="single" w:sz="4" w:space="0" w:color="000000"/>
            </w:tcBorders>
          </w:tcPr>
          <w:p w:rsidR="000C44E6" w:rsidRPr="002F09B3" w:rsidRDefault="000C44E6" w:rsidP="000A0CE8">
            <w:pPr>
              <w:pStyle w:val="ListParagraph1"/>
              <w:numPr>
                <w:ilvl w:val="2"/>
                <w:numId w:val="136"/>
              </w:numPr>
              <w:spacing w:before="0" w:after="70" w:line="240" w:lineRule="auto"/>
              <w:jc w:val="left"/>
              <w:rPr>
                <w:rFonts w:asciiTheme="minorHAnsi" w:hAnsiTheme="minorHAnsi" w:cs="Calibri"/>
                <w:b w:val="0"/>
                <w:bCs w:val="0"/>
                <w:color w:val="auto"/>
                <w:sz w:val="20"/>
                <w:szCs w:val="20"/>
              </w:rPr>
            </w:pPr>
            <w:r w:rsidRPr="002F09B3">
              <w:rPr>
                <w:rFonts w:asciiTheme="minorHAnsi" w:hAnsiTheme="minorHAnsi" w:cs="Calibri"/>
                <w:b w:val="0"/>
                <w:bCs w:val="0"/>
                <w:color w:val="auto"/>
                <w:sz w:val="20"/>
                <w:szCs w:val="20"/>
              </w:rPr>
              <w:t>Wzmocnienie doradztwa zawodowego i edukacji przedsiębiorczej w szkołach kształcących dzieci i młodzież z</w:t>
            </w:r>
            <w:r w:rsidR="000A0CE8">
              <w:rPr>
                <w:rFonts w:asciiTheme="minorHAnsi" w:hAnsiTheme="minorHAnsi" w:cs="Calibri"/>
                <w:b w:val="0"/>
                <w:bCs w:val="0"/>
                <w:color w:val="auto"/>
                <w:sz w:val="20"/>
                <w:szCs w:val="20"/>
              </w:rPr>
              <w:t> </w:t>
            </w:r>
            <w:r w:rsidRPr="002F09B3">
              <w:rPr>
                <w:rFonts w:asciiTheme="minorHAnsi" w:hAnsiTheme="minorHAnsi" w:cs="Calibri"/>
                <w:b w:val="0"/>
                <w:bCs w:val="0"/>
                <w:color w:val="auto"/>
                <w:sz w:val="20"/>
                <w:szCs w:val="20"/>
              </w:rPr>
              <w:t>obszarów rewitalizacji,</w:t>
            </w:r>
          </w:p>
          <w:p w:rsidR="000C44E6" w:rsidRPr="002F09B3" w:rsidRDefault="000C44E6" w:rsidP="000A0CE8">
            <w:pPr>
              <w:pStyle w:val="ListParagraph1"/>
              <w:numPr>
                <w:ilvl w:val="2"/>
                <w:numId w:val="136"/>
              </w:numPr>
              <w:spacing w:before="0" w:after="70" w:line="240" w:lineRule="auto"/>
              <w:jc w:val="left"/>
              <w:rPr>
                <w:rFonts w:asciiTheme="minorHAnsi" w:hAnsiTheme="minorHAnsi" w:cs="Calibri"/>
                <w:b w:val="0"/>
                <w:bCs w:val="0"/>
                <w:color w:val="auto"/>
                <w:sz w:val="20"/>
                <w:szCs w:val="20"/>
              </w:rPr>
            </w:pPr>
            <w:r w:rsidRPr="002F09B3">
              <w:rPr>
                <w:rFonts w:asciiTheme="minorHAnsi" w:hAnsiTheme="minorHAnsi" w:cs="Calibri"/>
                <w:b w:val="0"/>
                <w:bCs w:val="0"/>
                <w:color w:val="auto"/>
                <w:sz w:val="20"/>
                <w:szCs w:val="20"/>
              </w:rPr>
              <w:t>Rozwijanie współpracy między placówkami edukacyjnymi a</w:t>
            </w:r>
            <w:r w:rsidR="000A0CE8">
              <w:rPr>
                <w:rFonts w:asciiTheme="minorHAnsi" w:hAnsiTheme="minorHAnsi" w:cs="Calibri"/>
                <w:b w:val="0"/>
                <w:bCs w:val="0"/>
                <w:color w:val="auto"/>
                <w:sz w:val="20"/>
                <w:szCs w:val="20"/>
              </w:rPr>
              <w:t> </w:t>
            </w:r>
            <w:r w:rsidRPr="002F09B3">
              <w:rPr>
                <w:rFonts w:asciiTheme="minorHAnsi" w:hAnsiTheme="minorHAnsi" w:cs="Calibri"/>
                <w:b w:val="0"/>
                <w:bCs w:val="0"/>
                <w:color w:val="auto"/>
                <w:sz w:val="20"/>
                <w:szCs w:val="20"/>
              </w:rPr>
              <w:t>przedsiębiorcami w zakresie doraźnego i długofalowego określania pożądanych na lokalnym rynku pracy kompetencji,</w:t>
            </w:r>
          </w:p>
          <w:p w:rsidR="000C44E6" w:rsidRPr="002F09B3" w:rsidRDefault="000C44E6" w:rsidP="000A0CE8">
            <w:pPr>
              <w:pStyle w:val="ListParagraph1"/>
              <w:numPr>
                <w:ilvl w:val="2"/>
                <w:numId w:val="136"/>
              </w:numPr>
              <w:spacing w:before="0" w:after="70" w:line="240" w:lineRule="auto"/>
              <w:jc w:val="left"/>
              <w:rPr>
                <w:rFonts w:asciiTheme="minorHAnsi" w:hAnsiTheme="minorHAnsi" w:cs="Calibri"/>
                <w:b w:val="0"/>
                <w:bCs w:val="0"/>
                <w:color w:val="auto"/>
                <w:sz w:val="20"/>
                <w:szCs w:val="20"/>
              </w:rPr>
            </w:pPr>
            <w:r w:rsidRPr="002F09B3">
              <w:rPr>
                <w:rFonts w:asciiTheme="minorHAnsi" w:hAnsiTheme="minorHAnsi" w:cs="Calibri"/>
                <w:b w:val="0"/>
                <w:bCs w:val="0"/>
                <w:color w:val="auto"/>
                <w:sz w:val="20"/>
                <w:szCs w:val="20"/>
              </w:rPr>
              <w:t>Rozwijanie w partnerstwie edukacji i biznesu form kształcenia sprzyjających dostosowaniu kompetencji absolwentów do potrzeb rynku pracy,</w:t>
            </w:r>
          </w:p>
          <w:p w:rsidR="000C44E6" w:rsidRPr="002F09B3" w:rsidRDefault="000C44E6" w:rsidP="000A0CE8">
            <w:pPr>
              <w:pStyle w:val="ListParagraph1"/>
              <w:numPr>
                <w:ilvl w:val="2"/>
                <w:numId w:val="136"/>
              </w:numPr>
              <w:spacing w:before="0" w:after="70" w:line="240" w:lineRule="auto"/>
              <w:jc w:val="left"/>
              <w:rPr>
                <w:rFonts w:asciiTheme="minorHAnsi" w:hAnsiTheme="minorHAnsi" w:cs="Calibri"/>
                <w:b w:val="0"/>
                <w:bCs w:val="0"/>
                <w:color w:val="auto"/>
                <w:sz w:val="20"/>
                <w:szCs w:val="20"/>
              </w:rPr>
            </w:pPr>
            <w:r w:rsidRPr="002F09B3">
              <w:rPr>
                <w:rFonts w:asciiTheme="minorHAnsi" w:hAnsiTheme="minorHAnsi" w:cs="Calibri"/>
                <w:b w:val="0"/>
                <w:bCs w:val="0"/>
                <w:color w:val="auto"/>
                <w:sz w:val="20"/>
                <w:szCs w:val="20"/>
              </w:rPr>
              <w:t>Rozwijanie pozaszkolnych form podwyższania kwalifikacji i</w:t>
            </w:r>
            <w:r w:rsidR="000A0CE8">
              <w:rPr>
                <w:rFonts w:asciiTheme="minorHAnsi" w:hAnsiTheme="minorHAnsi" w:cs="Calibri"/>
                <w:b w:val="0"/>
                <w:bCs w:val="0"/>
                <w:color w:val="auto"/>
                <w:sz w:val="20"/>
                <w:szCs w:val="20"/>
              </w:rPr>
              <w:t> </w:t>
            </w:r>
            <w:r w:rsidRPr="002F09B3">
              <w:rPr>
                <w:rFonts w:asciiTheme="minorHAnsi" w:hAnsiTheme="minorHAnsi" w:cs="Calibri"/>
                <w:b w:val="0"/>
                <w:bCs w:val="0"/>
                <w:color w:val="auto"/>
                <w:sz w:val="20"/>
                <w:szCs w:val="20"/>
              </w:rPr>
              <w:t>kształtowania kompetencji mieszkańców obszarów rewitalizacji,</w:t>
            </w:r>
          </w:p>
          <w:p w:rsidR="000C44E6" w:rsidRPr="002F09B3" w:rsidRDefault="000C44E6" w:rsidP="000A0CE8">
            <w:pPr>
              <w:pStyle w:val="ListParagraph1"/>
              <w:numPr>
                <w:ilvl w:val="2"/>
                <w:numId w:val="136"/>
              </w:numPr>
              <w:spacing w:before="0" w:after="70" w:line="240" w:lineRule="auto"/>
              <w:jc w:val="left"/>
              <w:rPr>
                <w:rFonts w:asciiTheme="minorHAnsi" w:hAnsiTheme="minorHAnsi" w:cs="Calibri"/>
                <w:b w:val="0"/>
                <w:bCs w:val="0"/>
                <w:color w:val="auto"/>
                <w:sz w:val="20"/>
                <w:szCs w:val="20"/>
              </w:rPr>
            </w:pPr>
            <w:r w:rsidRPr="002F09B3">
              <w:rPr>
                <w:rFonts w:asciiTheme="minorHAnsi" w:hAnsiTheme="minorHAnsi" w:cs="Calibri"/>
                <w:b w:val="0"/>
                <w:bCs w:val="0"/>
                <w:color w:val="auto"/>
                <w:sz w:val="20"/>
                <w:szCs w:val="20"/>
              </w:rPr>
              <w:t>Wzmocnienie roli organizacji pozarządowych w nabywaniu doświadczenia przez osoby wchodzące na rynek pracy,</w:t>
            </w:r>
          </w:p>
          <w:p w:rsidR="000C44E6" w:rsidRPr="002F09B3" w:rsidRDefault="000C44E6" w:rsidP="000A0CE8">
            <w:pPr>
              <w:pStyle w:val="ListParagraph1"/>
              <w:numPr>
                <w:ilvl w:val="2"/>
                <w:numId w:val="136"/>
              </w:numPr>
              <w:spacing w:before="0" w:after="70" w:line="240" w:lineRule="auto"/>
              <w:jc w:val="left"/>
              <w:rPr>
                <w:rFonts w:asciiTheme="minorHAnsi" w:hAnsiTheme="minorHAnsi" w:cs="Calibri"/>
                <w:b w:val="0"/>
                <w:bCs w:val="0"/>
                <w:color w:val="auto"/>
                <w:sz w:val="20"/>
                <w:szCs w:val="20"/>
              </w:rPr>
            </w:pPr>
            <w:r w:rsidRPr="002F09B3">
              <w:rPr>
                <w:rFonts w:asciiTheme="minorHAnsi" w:hAnsiTheme="minorHAnsi" w:cs="Calibri"/>
                <w:b w:val="0"/>
                <w:bCs w:val="0"/>
                <w:color w:val="auto"/>
                <w:sz w:val="20"/>
                <w:szCs w:val="20"/>
              </w:rPr>
              <w:t>Promowanie wśród lokalnych przedsiębiorców idei społecznej odpowiedzialności biznesu w zakresie wprowadzania na rynek pracy młodzieży z obszarów rewitalizacji, w szczególności w aspekcie wykonania pierwszych kroków na rynku pracy,</w:t>
            </w:r>
          </w:p>
          <w:p w:rsidR="000C44E6" w:rsidRPr="002F09B3" w:rsidRDefault="000C44E6" w:rsidP="000A0CE8">
            <w:pPr>
              <w:pStyle w:val="ListParagraph1"/>
              <w:numPr>
                <w:ilvl w:val="2"/>
                <w:numId w:val="136"/>
              </w:numPr>
              <w:spacing w:before="0" w:after="70" w:line="240" w:lineRule="auto"/>
              <w:jc w:val="left"/>
              <w:rPr>
                <w:rFonts w:asciiTheme="minorHAnsi" w:hAnsiTheme="minorHAnsi" w:cs="Calibri"/>
                <w:b w:val="0"/>
                <w:bCs w:val="0"/>
                <w:color w:val="auto"/>
                <w:sz w:val="20"/>
                <w:szCs w:val="20"/>
              </w:rPr>
            </w:pPr>
            <w:r w:rsidRPr="002F09B3">
              <w:rPr>
                <w:rFonts w:asciiTheme="minorHAnsi" w:hAnsiTheme="minorHAnsi" w:cs="Calibri"/>
                <w:b w:val="0"/>
                <w:bCs w:val="0"/>
                <w:color w:val="auto"/>
                <w:sz w:val="20"/>
                <w:szCs w:val="20"/>
              </w:rPr>
              <w:t>Promowanie osób wywodzących się z obszarów rewitalizacji, które realizują karierę zawodową lub przedsiębiorczą,</w:t>
            </w:r>
          </w:p>
          <w:p w:rsidR="000C44E6" w:rsidRPr="002F09B3" w:rsidRDefault="000C44E6" w:rsidP="000A0CE8">
            <w:pPr>
              <w:pStyle w:val="ListParagraph1"/>
              <w:numPr>
                <w:ilvl w:val="2"/>
                <w:numId w:val="136"/>
              </w:numPr>
              <w:spacing w:before="0" w:after="70" w:line="240" w:lineRule="auto"/>
              <w:jc w:val="left"/>
              <w:rPr>
                <w:rFonts w:asciiTheme="minorHAnsi" w:hAnsiTheme="minorHAnsi"/>
                <w:b w:val="0"/>
                <w:bCs w:val="0"/>
                <w:color w:val="auto"/>
                <w:sz w:val="20"/>
                <w:szCs w:val="20"/>
              </w:rPr>
            </w:pPr>
            <w:r w:rsidRPr="002F09B3">
              <w:rPr>
                <w:rFonts w:asciiTheme="minorHAnsi" w:hAnsiTheme="minorHAnsi" w:cs="Calibri"/>
                <w:b w:val="0"/>
                <w:bCs w:val="0"/>
                <w:color w:val="auto"/>
                <w:sz w:val="20"/>
                <w:szCs w:val="20"/>
              </w:rPr>
              <w:t>Prowadzenie działań nakierowanych na zdobycie doświadczenia zawodowego przez mieszkańców obszarów rewitalizacji poszukujących pracy,</w:t>
            </w:r>
          </w:p>
          <w:p w:rsidR="000C44E6" w:rsidRPr="002F09B3" w:rsidRDefault="000C44E6" w:rsidP="000A0CE8">
            <w:pPr>
              <w:pStyle w:val="ListParagraph1"/>
              <w:numPr>
                <w:ilvl w:val="2"/>
                <w:numId w:val="136"/>
              </w:numPr>
              <w:spacing w:before="0" w:after="70" w:line="240" w:lineRule="auto"/>
              <w:jc w:val="left"/>
              <w:rPr>
                <w:rFonts w:asciiTheme="minorHAnsi" w:hAnsiTheme="minorHAnsi" w:cs="Calibri"/>
                <w:b w:val="0"/>
                <w:bCs w:val="0"/>
                <w:color w:val="auto"/>
                <w:sz w:val="20"/>
                <w:szCs w:val="20"/>
              </w:rPr>
            </w:pPr>
            <w:r w:rsidRPr="002F09B3">
              <w:rPr>
                <w:rFonts w:asciiTheme="minorHAnsi" w:hAnsiTheme="minorHAnsi"/>
                <w:b w:val="0"/>
                <w:bCs w:val="0"/>
                <w:color w:val="auto"/>
                <w:sz w:val="20"/>
                <w:szCs w:val="20"/>
              </w:rPr>
              <w:t>Tworzenie rozwiązań i udogodnień wpierających powrót lub zaistnienie kobiet na rynku pracy, z uwzględnieniem usług publicznych, rynkowych oraz usług oferowanych przez podmioty ekonomii społecznej</w:t>
            </w:r>
            <w:r w:rsidRPr="002F09B3">
              <w:rPr>
                <w:rFonts w:asciiTheme="minorHAnsi" w:hAnsiTheme="minorHAnsi" w:cs="Calibri"/>
                <w:b w:val="0"/>
                <w:bCs w:val="0"/>
                <w:color w:val="auto"/>
                <w:sz w:val="20"/>
                <w:szCs w:val="20"/>
              </w:rPr>
              <w:t>,</w:t>
            </w:r>
          </w:p>
          <w:p w:rsidR="000C44E6" w:rsidRPr="000A0CE8" w:rsidRDefault="000C44E6" w:rsidP="000A0CE8">
            <w:pPr>
              <w:pStyle w:val="ListParagraph1"/>
              <w:numPr>
                <w:ilvl w:val="2"/>
                <w:numId w:val="136"/>
              </w:numPr>
              <w:spacing w:before="0" w:after="80" w:line="240" w:lineRule="auto"/>
              <w:jc w:val="left"/>
              <w:rPr>
                <w:rFonts w:asciiTheme="minorHAnsi" w:hAnsiTheme="minorHAnsi"/>
                <w:b w:val="0"/>
                <w:bCs w:val="0"/>
                <w:color w:val="auto"/>
                <w:sz w:val="20"/>
                <w:szCs w:val="20"/>
              </w:rPr>
            </w:pPr>
            <w:r w:rsidRPr="002F09B3">
              <w:rPr>
                <w:rFonts w:asciiTheme="minorHAnsi" w:hAnsiTheme="minorHAnsi" w:cs="Calibri"/>
                <w:b w:val="0"/>
                <w:bCs w:val="0"/>
                <w:color w:val="auto"/>
                <w:sz w:val="20"/>
                <w:szCs w:val="20"/>
              </w:rPr>
              <w:t>Kreowanie postaw przedsiębiorczych wśród dzieci i młodzieży</w:t>
            </w:r>
            <w:r w:rsidR="00990748">
              <w:rPr>
                <w:rFonts w:asciiTheme="minorHAnsi" w:hAnsiTheme="minorHAnsi" w:cs="Calibri"/>
                <w:b w:val="0"/>
                <w:bCs w:val="0"/>
                <w:color w:val="auto"/>
                <w:sz w:val="20"/>
                <w:szCs w:val="20"/>
              </w:rPr>
              <w:t>.</w:t>
            </w:r>
          </w:p>
        </w:tc>
      </w:tr>
      <w:tr w:rsidR="000C44E6" w:rsidRPr="002F09B3" w:rsidTr="00120CE3">
        <w:tc>
          <w:tcPr>
            <w:tcW w:w="9250" w:type="dxa"/>
            <w:gridSpan w:val="2"/>
            <w:tcBorders>
              <w:top w:val="single" w:sz="4" w:space="0" w:color="000000"/>
              <w:left w:val="single" w:sz="4" w:space="0" w:color="000000"/>
              <w:bottom w:val="single" w:sz="4" w:space="0" w:color="000000"/>
              <w:right w:val="single" w:sz="4" w:space="0" w:color="000000"/>
            </w:tcBorders>
            <w:shd w:val="clear" w:color="auto" w:fill="DDD9C3" w:themeFill="background2" w:themeFillShade="E6"/>
          </w:tcPr>
          <w:p w:rsidR="000C44E6" w:rsidRPr="002F09B3" w:rsidRDefault="000C44E6" w:rsidP="00254750">
            <w:pPr>
              <w:pStyle w:val="ListParagraph1"/>
              <w:spacing w:line="240" w:lineRule="auto"/>
              <w:jc w:val="center"/>
              <w:rPr>
                <w:rFonts w:asciiTheme="minorHAnsi" w:hAnsiTheme="minorHAnsi"/>
                <w:color w:val="auto"/>
                <w:szCs w:val="20"/>
              </w:rPr>
            </w:pPr>
            <w:r w:rsidRPr="002F09B3">
              <w:rPr>
                <w:rFonts w:asciiTheme="minorHAnsi" w:hAnsiTheme="minorHAnsi" w:cs="Calibri"/>
                <w:color w:val="auto"/>
                <w:szCs w:val="20"/>
              </w:rPr>
              <w:t>CEL STRATEGICZNY  2</w:t>
            </w:r>
          </w:p>
          <w:p w:rsidR="000C44E6" w:rsidRPr="002F09B3" w:rsidRDefault="000C44E6" w:rsidP="002F09B3">
            <w:pPr>
              <w:pStyle w:val="Akapitzlist3"/>
              <w:spacing w:line="240" w:lineRule="auto"/>
              <w:jc w:val="center"/>
              <w:rPr>
                <w:rFonts w:asciiTheme="minorHAnsi" w:hAnsiTheme="minorHAnsi"/>
                <w:color w:val="auto"/>
                <w:szCs w:val="20"/>
              </w:rPr>
            </w:pPr>
            <w:r w:rsidRPr="002F09B3">
              <w:rPr>
                <w:rFonts w:asciiTheme="minorHAnsi" w:hAnsiTheme="minorHAnsi"/>
                <w:color w:val="auto"/>
                <w:szCs w:val="20"/>
              </w:rPr>
              <w:t>Pogłębienie spójności społecznej i ograniczenie negatywnych zjawisk społecznych.</w:t>
            </w:r>
          </w:p>
        </w:tc>
      </w:tr>
      <w:tr w:rsidR="000C44E6" w:rsidRPr="002F09B3" w:rsidTr="00987174">
        <w:tc>
          <w:tcPr>
            <w:tcW w:w="3209" w:type="dxa"/>
            <w:tcBorders>
              <w:top w:val="single" w:sz="4" w:space="0" w:color="000000"/>
              <w:left w:val="single" w:sz="4" w:space="0" w:color="000000"/>
              <w:bottom w:val="single" w:sz="4" w:space="0" w:color="000000"/>
            </w:tcBorders>
          </w:tcPr>
          <w:p w:rsidR="000C44E6" w:rsidRPr="002F09B3" w:rsidRDefault="000C44E6" w:rsidP="00987174">
            <w:pPr>
              <w:pStyle w:val="Akapitzlist4"/>
              <w:spacing w:before="0" w:line="240" w:lineRule="auto"/>
              <w:jc w:val="left"/>
              <w:rPr>
                <w:rFonts w:asciiTheme="minorHAnsi" w:hAnsiTheme="minorHAnsi"/>
                <w:b w:val="0"/>
                <w:bCs w:val="0"/>
                <w:color w:val="auto"/>
                <w:sz w:val="20"/>
                <w:szCs w:val="20"/>
              </w:rPr>
            </w:pPr>
            <w:r w:rsidRPr="002F09B3">
              <w:rPr>
                <w:rFonts w:asciiTheme="minorHAnsi" w:hAnsiTheme="minorHAnsi"/>
                <w:bCs w:val="0"/>
                <w:color w:val="auto"/>
                <w:sz w:val="20"/>
                <w:szCs w:val="20"/>
              </w:rPr>
              <w:t>2.1</w:t>
            </w:r>
            <w:r w:rsidR="00AB6004">
              <w:rPr>
                <w:rFonts w:asciiTheme="minorHAnsi" w:hAnsiTheme="minorHAnsi"/>
                <w:bCs w:val="0"/>
                <w:color w:val="auto"/>
                <w:sz w:val="20"/>
                <w:szCs w:val="20"/>
              </w:rPr>
              <w:t>.</w:t>
            </w:r>
            <w:r w:rsidRPr="002F09B3">
              <w:rPr>
                <w:rFonts w:asciiTheme="minorHAnsi" w:hAnsiTheme="minorHAnsi"/>
                <w:bCs w:val="0"/>
                <w:color w:val="auto"/>
                <w:sz w:val="20"/>
                <w:szCs w:val="20"/>
              </w:rPr>
              <w:t xml:space="preserve"> Ograniczona skala negatywnych zjawisk społecznych oraz wzrost dostępności do prorozwojowych usług publicznych.</w:t>
            </w:r>
          </w:p>
          <w:p w:rsidR="000C44E6" w:rsidRPr="002F09B3" w:rsidRDefault="000C44E6" w:rsidP="002F09B3">
            <w:pPr>
              <w:pStyle w:val="ListParagraph1"/>
              <w:spacing w:before="0" w:after="0" w:line="240" w:lineRule="auto"/>
              <w:rPr>
                <w:rFonts w:asciiTheme="minorHAnsi" w:hAnsiTheme="minorHAnsi" w:cs="Calibri"/>
                <w:b w:val="0"/>
                <w:bCs w:val="0"/>
                <w:color w:val="auto"/>
                <w:sz w:val="20"/>
                <w:szCs w:val="20"/>
              </w:rPr>
            </w:pPr>
          </w:p>
        </w:tc>
        <w:tc>
          <w:tcPr>
            <w:tcW w:w="6041" w:type="dxa"/>
            <w:tcBorders>
              <w:top w:val="single" w:sz="4" w:space="0" w:color="000000"/>
              <w:left w:val="single" w:sz="4" w:space="0" w:color="000000"/>
              <w:bottom w:val="single" w:sz="4" w:space="0" w:color="000000"/>
              <w:right w:val="single" w:sz="4" w:space="0" w:color="000000"/>
            </w:tcBorders>
          </w:tcPr>
          <w:p w:rsidR="000C44E6" w:rsidRPr="002F09B3" w:rsidRDefault="000C44E6" w:rsidP="002F09B3">
            <w:pPr>
              <w:pStyle w:val="ListParagraph1"/>
              <w:numPr>
                <w:ilvl w:val="2"/>
                <w:numId w:val="131"/>
              </w:numPr>
              <w:spacing w:before="0" w:after="80" w:line="240" w:lineRule="auto"/>
              <w:jc w:val="left"/>
              <w:rPr>
                <w:rFonts w:asciiTheme="minorHAnsi" w:hAnsiTheme="minorHAnsi"/>
                <w:b w:val="0"/>
                <w:bCs w:val="0"/>
                <w:color w:val="auto"/>
                <w:sz w:val="20"/>
                <w:szCs w:val="20"/>
              </w:rPr>
            </w:pPr>
            <w:r w:rsidRPr="002F09B3">
              <w:rPr>
                <w:rFonts w:asciiTheme="minorHAnsi" w:hAnsiTheme="minorHAnsi" w:cs="Calibri"/>
                <w:b w:val="0"/>
                <w:bCs w:val="0"/>
                <w:color w:val="auto"/>
                <w:sz w:val="20"/>
                <w:szCs w:val="20"/>
              </w:rPr>
              <w:t>Realizacja działań profilaktycznych i terapeutycznych ograniczających rozprzestrzenienie się zjawisk wykluczenia społecznego,</w:t>
            </w:r>
          </w:p>
          <w:p w:rsidR="000C44E6" w:rsidRPr="002F09B3" w:rsidRDefault="000C44E6" w:rsidP="002F09B3">
            <w:pPr>
              <w:pStyle w:val="ListParagraph1"/>
              <w:numPr>
                <w:ilvl w:val="2"/>
                <w:numId w:val="131"/>
              </w:numPr>
              <w:spacing w:before="0" w:after="80" w:line="240" w:lineRule="auto"/>
              <w:jc w:val="left"/>
              <w:rPr>
                <w:rFonts w:asciiTheme="minorHAnsi" w:hAnsiTheme="minorHAnsi"/>
                <w:b w:val="0"/>
                <w:bCs w:val="0"/>
                <w:color w:val="auto"/>
                <w:sz w:val="20"/>
                <w:szCs w:val="20"/>
              </w:rPr>
            </w:pPr>
            <w:r w:rsidRPr="002F09B3">
              <w:rPr>
                <w:rFonts w:asciiTheme="minorHAnsi" w:hAnsiTheme="minorHAnsi"/>
                <w:b w:val="0"/>
                <w:bCs w:val="0"/>
                <w:color w:val="auto"/>
                <w:sz w:val="20"/>
                <w:szCs w:val="20"/>
              </w:rPr>
              <w:t>Rozwijanie systemu wsparcia rodzin, w tym uwikłanych w</w:t>
            </w:r>
            <w:r w:rsidR="005A1D41">
              <w:rPr>
                <w:rFonts w:asciiTheme="minorHAnsi" w:hAnsiTheme="minorHAnsi"/>
                <w:b w:val="0"/>
                <w:bCs w:val="0"/>
                <w:color w:val="auto"/>
                <w:sz w:val="20"/>
                <w:szCs w:val="20"/>
              </w:rPr>
              <w:t> </w:t>
            </w:r>
            <w:r w:rsidRPr="002F09B3">
              <w:rPr>
                <w:rFonts w:asciiTheme="minorHAnsi" w:hAnsiTheme="minorHAnsi"/>
                <w:b w:val="0"/>
                <w:bCs w:val="0"/>
                <w:color w:val="auto"/>
                <w:sz w:val="20"/>
                <w:szCs w:val="20"/>
              </w:rPr>
              <w:t>przemoc</w:t>
            </w:r>
            <w:r w:rsidRPr="002F09B3">
              <w:rPr>
                <w:rFonts w:asciiTheme="minorHAnsi" w:hAnsiTheme="minorHAnsi" w:cs="Calibri"/>
                <w:b w:val="0"/>
                <w:bCs w:val="0"/>
                <w:color w:val="auto"/>
                <w:sz w:val="20"/>
                <w:szCs w:val="20"/>
              </w:rPr>
              <w:t>,</w:t>
            </w:r>
          </w:p>
          <w:p w:rsidR="000C44E6" w:rsidRPr="002F09B3" w:rsidRDefault="000C44E6" w:rsidP="00D6394F">
            <w:pPr>
              <w:pStyle w:val="ListParagraph1"/>
              <w:numPr>
                <w:ilvl w:val="2"/>
                <w:numId w:val="131"/>
              </w:numPr>
              <w:spacing w:before="0" w:after="60" w:line="240" w:lineRule="auto"/>
              <w:jc w:val="left"/>
              <w:rPr>
                <w:rFonts w:asciiTheme="minorHAnsi" w:hAnsiTheme="minorHAnsi" w:cs="Calibri"/>
                <w:b w:val="0"/>
                <w:bCs w:val="0"/>
                <w:color w:val="auto"/>
                <w:sz w:val="20"/>
                <w:szCs w:val="20"/>
              </w:rPr>
            </w:pPr>
            <w:r w:rsidRPr="002F09B3">
              <w:rPr>
                <w:rFonts w:asciiTheme="minorHAnsi" w:hAnsiTheme="minorHAnsi"/>
                <w:b w:val="0"/>
                <w:bCs w:val="0"/>
                <w:color w:val="auto"/>
                <w:sz w:val="20"/>
                <w:szCs w:val="20"/>
              </w:rPr>
              <w:t>Uwrażliwianie środowiska lokalnego (sąsiedzkiego) na potrzebę reagowania na negatywne zjawiska społeczne, w tym przemoc w rodzinie,</w:t>
            </w:r>
          </w:p>
          <w:p w:rsidR="000C44E6" w:rsidRPr="002F09B3" w:rsidRDefault="000C44E6" w:rsidP="002F09B3">
            <w:pPr>
              <w:pStyle w:val="ListParagraph1"/>
              <w:numPr>
                <w:ilvl w:val="2"/>
                <w:numId w:val="131"/>
              </w:numPr>
              <w:spacing w:before="0" w:after="80" w:line="240" w:lineRule="auto"/>
              <w:jc w:val="left"/>
              <w:rPr>
                <w:rFonts w:asciiTheme="minorHAnsi" w:hAnsiTheme="minorHAnsi" w:cs="Calibri"/>
                <w:b w:val="0"/>
                <w:bCs w:val="0"/>
                <w:color w:val="auto"/>
                <w:sz w:val="20"/>
                <w:szCs w:val="20"/>
              </w:rPr>
            </w:pPr>
            <w:r w:rsidRPr="002F09B3">
              <w:rPr>
                <w:rFonts w:asciiTheme="minorHAnsi" w:hAnsiTheme="minorHAnsi" w:cs="Calibri"/>
                <w:b w:val="0"/>
                <w:bCs w:val="0"/>
                <w:color w:val="auto"/>
                <w:sz w:val="20"/>
                <w:szCs w:val="20"/>
              </w:rPr>
              <w:t>Przełamywanie źle pojmowanej lojalności mieszkańców względem grupy społecznej i rozwijanie skłonności do współpracy ze służbami odpowiedzialnymi za usuwanie problemów społecznych i poprawę bezpieczeństwa w obszarach rewitalizacji,</w:t>
            </w:r>
          </w:p>
          <w:p w:rsidR="000C44E6" w:rsidRPr="002F09B3" w:rsidRDefault="000C44E6" w:rsidP="002F09B3">
            <w:pPr>
              <w:pStyle w:val="ListParagraph1"/>
              <w:numPr>
                <w:ilvl w:val="2"/>
                <w:numId w:val="131"/>
              </w:numPr>
              <w:spacing w:before="0" w:after="80" w:line="240" w:lineRule="auto"/>
              <w:jc w:val="left"/>
              <w:rPr>
                <w:rFonts w:asciiTheme="minorHAnsi" w:hAnsiTheme="minorHAnsi" w:cs="Calibri"/>
                <w:b w:val="0"/>
                <w:bCs w:val="0"/>
                <w:color w:val="auto"/>
                <w:sz w:val="20"/>
                <w:szCs w:val="20"/>
              </w:rPr>
            </w:pPr>
            <w:r w:rsidRPr="002F09B3">
              <w:rPr>
                <w:rFonts w:asciiTheme="minorHAnsi" w:hAnsiTheme="minorHAnsi" w:cs="Calibri"/>
                <w:b w:val="0"/>
                <w:bCs w:val="0"/>
                <w:color w:val="auto"/>
                <w:sz w:val="20"/>
                <w:szCs w:val="20"/>
              </w:rPr>
              <w:t>Rozwijanie monitoringu sytuacji społecznej w obszarach rewitalizacji opartego na współpracy z mieszkańcami,</w:t>
            </w:r>
          </w:p>
          <w:p w:rsidR="000C44E6" w:rsidRPr="002F09B3" w:rsidRDefault="000C44E6" w:rsidP="00B118DD">
            <w:pPr>
              <w:pStyle w:val="ListParagraph1"/>
              <w:numPr>
                <w:ilvl w:val="2"/>
                <w:numId w:val="131"/>
              </w:numPr>
              <w:spacing w:before="0" w:after="0" w:line="240" w:lineRule="auto"/>
              <w:jc w:val="left"/>
              <w:rPr>
                <w:rFonts w:asciiTheme="minorHAnsi" w:hAnsiTheme="minorHAnsi" w:cs="Calibri"/>
                <w:b w:val="0"/>
                <w:bCs w:val="0"/>
                <w:color w:val="auto"/>
                <w:sz w:val="20"/>
                <w:szCs w:val="20"/>
              </w:rPr>
            </w:pPr>
            <w:r w:rsidRPr="002F09B3">
              <w:rPr>
                <w:rFonts w:asciiTheme="minorHAnsi" w:hAnsiTheme="minorHAnsi" w:cs="Calibri"/>
                <w:b w:val="0"/>
                <w:bCs w:val="0"/>
                <w:color w:val="auto"/>
                <w:sz w:val="20"/>
                <w:szCs w:val="20"/>
              </w:rPr>
              <w:t>Wspieranie reintegracji społecznej osób uzależnionych i</w:t>
            </w:r>
            <w:r w:rsidR="005A1D41">
              <w:rPr>
                <w:rFonts w:asciiTheme="minorHAnsi" w:hAnsiTheme="minorHAnsi" w:cs="Calibri"/>
                <w:b w:val="0"/>
                <w:bCs w:val="0"/>
                <w:color w:val="auto"/>
                <w:sz w:val="20"/>
                <w:szCs w:val="20"/>
              </w:rPr>
              <w:t> </w:t>
            </w:r>
            <w:r w:rsidRPr="002F09B3">
              <w:rPr>
                <w:rFonts w:asciiTheme="minorHAnsi" w:hAnsiTheme="minorHAnsi" w:cs="Calibri"/>
                <w:b w:val="0"/>
                <w:bCs w:val="0"/>
                <w:color w:val="auto"/>
                <w:sz w:val="20"/>
                <w:szCs w:val="20"/>
              </w:rPr>
              <w:t>współuzależnionych,</w:t>
            </w:r>
          </w:p>
          <w:p w:rsidR="000C44E6" w:rsidRPr="002F09B3" w:rsidRDefault="000C44E6" w:rsidP="002F09B3">
            <w:pPr>
              <w:pStyle w:val="ListParagraph1"/>
              <w:numPr>
                <w:ilvl w:val="2"/>
                <w:numId w:val="131"/>
              </w:numPr>
              <w:spacing w:before="0" w:after="80" w:line="240" w:lineRule="auto"/>
              <w:jc w:val="left"/>
              <w:rPr>
                <w:rFonts w:asciiTheme="minorHAnsi" w:hAnsiTheme="minorHAnsi" w:cs="Calibri"/>
                <w:b w:val="0"/>
                <w:bCs w:val="0"/>
                <w:color w:val="auto"/>
                <w:sz w:val="20"/>
                <w:szCs w:val="20"/>
              </w:rPr>
            </w:pPr>
            <w:r w:rsidRPr="002F09B3">
              <w:rPr>
                <w:rFonts w:asciiTheme="minorHAnsi" w:hAnsiTheme="minorHAnsi" w:cs="Calibri"/>
                <w:b w:val="0"/>
                <w:bCs w:val="0"/>
                <w:color w:val="auto"/>
                <w:sz w:val="20"/>
                <w:szCs w:val="20"/>
              </w:rPr>
              <w:lastRenderedPageBreak/>
              <w:t>Rozwijanie inicjatyw służących reintegracji zawodowej i</w:t>
            </w:r>
            <w:r w:rsidR="005A1D41">
              <w:rPr>
                <w:rFonts w:asciiTheme="minorHAnsi" w:hAnsiTheme="minorHAnsi" w:cs="Calibri"/>
                <w:b w:val="0"/>
                <w:bCs w:val="0"/>
                <w:color w:val="auto"/>
                <w:sz w:val="20"/>
                <w:szCs w:val="20"/>
              </w:rPr>
              <w:t> </w:t>
            </w:r>
            <w:r w:rsidRPr="002F09B3">
              <w:rPr>
                <w:rFonts w:asciiTheme="minorHAnsi" w:hAnsiTheme="minorHAnsi" w:cs="Calibri"/>
                <w:b w:val="0"/>
                <w:bCs w:val="0"/>
                <w:color w:val="auto"/>
                <w:sz w:val="20"/>
                <w:szCs w:val="20"/>
              </w:rPr>
              <w:t>społecznej osób bezdomnych,</w:t>
            </w:r>
          </w:p>
          <w:p w:rsidR="000C44E6" w:rsidRPr="002F09B3" w:rsidRDefault="000C44E6" w:rsidP="002F09B3">
            <w:pPr>
              <w:pStyle w:val="ListParagraph1"/>
              <w:numPr>
                <w:ilvl w:val="2"/>
                <w:numId w:val="131"/>
              </w:numPr>
              <w:spacing w:before="0" w:after="80" w:line="240" w:lineRule="auto"/>
              <w:jc w:val="left"/>
              <w:rPr>
                <w:rFonts w:asciiTheme="minorHAnsi" w:hAnsiTheme="minorHAnsi"/>
                <w:b w:val="0"/>
                <w:bCs w:val="0"/>
                <w:color w:val="auto"/>
                <w:sz w:val="20"/>
                <w:szCs w:val="20"/>
              </w:rPr>
            </w:pPr>
            <w:r w:rsidRPr="002F09B3">
              <w:rPr>
                <w:rFonts w:asciiTheme="minorHAnsi" w:hAnsiTheme="minorHAnsi" w:cs="Calibri"/>
                <w:b w:val="0"/>
                <w:bCs w:val="0"/>
                <w:color w:val="auto"/>
                <w:sz w:val="20"/>
                <w:szCs w:val="20"/>
              </w:rPr>
              <w:t>Wspieranie rozwoju dzieci i młodzieży, w tym podejmowanie działań mających na celu wyrównywanie szans edukacyjnych,</w:t>
            </w:r>
          </w:p>
          <w:p w:rsidR="000C44E6" w:rsidRPr="002F09B3" w:rsidRDefault="000C44E6" w:rsidP="002F09B3">
            <w:pPr>
              <w:pStyle w:val="ListParagraph1"/>
              <w:numPr>
                <w:ilvl w:val="2"/>
                <w:numId w:val="131"/>
              </w:numPr>
              <w:spacing w:before="0" w:after="80" w:line="240" w:lineRule="auto"/>
              <w:jc w:val="left"/>
              <w:rPr>
                <w:rFonts w:asciiTheme="minorHAnsi" w:hAnsiTheme="minorHAnsi" w:cs="Calibri"/>
                <w:b w:val="0"/>
                <w:bCs w:val="0"/>
                <w:color w:val="auto"/>
                <w:sz w:val="20"/>
                <w:szCs w:val="20"/>
              </w:rPr>
            </w:pPr>
            <w:r w:rsidRPr="002F09B3">
              <w:rPr>
                <w:rFonts w:asciiTheme="minorHAnsi" w:hAnsiTheme="minorHAnsi"/>
                <w:b w:val="0"/>
                <w:bCs w:val="0"/>
                <w:color w:val="auto"/>
                <w:sz w:val="20"/>
                <w:szCs w:val="20"/>
              </w:rPr>
              <w:t>Rozwijanie poradnictwa prawnego, w szczególności dla osób doznających przemocy w rodzinie oraz osób mających problemy zadłużeniowe</w:t>
            </w:r>
            <w:r w:rsidRPr="002F09B3">
              <w:rPr>
                <w:rFonts w:asciiTheme="minorHAnsi" w:hAnsiTheme="minorHAnsi" w:cs="Calibri"/>
                <w:b w:val="0"/>
                <w:bCs w:val="0"/>
                <w:color w:val="auto"/>
                <w:sz w:val="20"/>
                <w:szCs w:val="20"/>
              </w:rPr>
              <w:t>,</w:t>
            </w:r>
          </w:p>
          <w:p w:rsidR="000C44E6" w:rsidRPr="002F09B3" w:rsidRDefault="000C44E6" w:rsidP="002F09B3">
            <w:pPr>
              <w:pStyle w:val="ListParagraph1"/>
              <w:numPr>
                <w:ilvl w:val="2"/>
                <w:numId w:val="131"/>
              </w:numPr>
              <w:spacing w:before="0" w:after="80" w:line="240" w:lineRule="auto"/>
              <w:jc w:val="left"/>
              <w:rPr>
                <w:rFonts w:asciiTheme="minorHAnsi" w:hAnsiTheme="minorHAnsi" w:cs="Calibri"/>
                <w:b w:val="0"/>
                <w:bCs w:val="0"/>
                <w:color w:val="auto"/>
                <w:sz w:val="20"/>
                <w:szCs w:val="20"/>
              </w:rPr>
            </w:pPr>
            <w:r w:rsidRPr="002F09B3">
              <w:rPr>
                <w:rFonts w:asciiTheme="minorHAnsi" w:hAnsiTheme="minorHAnsi" w:cs="Calibri"/>
                <w:b w:val="0"/>
                <w:bCs w:val="0"/>
                <w:color w:val="auto"/>
                <w:sz w:val="20"/>
                <w:szCs w:val="20"/>
              </w:rPr>
              <w:t>Pomoc rodzicom i opiekunom w rozpoznawaniu objawów uzależnień dzieci (używki, komputer, hazard itp.),</w:t>
            </w:r>
          </w:p>
          <w:p w:rsidR="000C44E6" w:rsidRPr="002F09B3" w:rsidRDefault="000C44E6" w:rsidP="002F09B3">
            <w:pPr>
              <w:pStyle w:val="ListParagraph1"/>
              <w:numPr>
                <w:ilvl w:val="2"/>
                <w:numId w:val="131"/>
              </w:numPr>
              <w:spacing w:before="0" w:after="80" w:line="240" w:lineRule="auto"/>
              <w:jc w:val="left"/>
              <w:rPr>
                <w:rFonts w:asciiTheme="minorHAnsi" w:hAnsiTheme="minorHAnsi" w:cs="Calibri"/>
                <w:b w:val="0"/>
                <w:bCs w:val="0"/>
                <w:color w:val="auto"/>
                <w:sz w:val="20"/>
                <w:szCs w:val="20"/>
              </w:rPr>
            </w:pPr>
            <w:r w:rsidRPr="002F09B3">
              <w:rPr>
                <w:rFonts w:asciiTheme="minorHAnsi" w:hAnsiTheme="minorHAnsi" w:cs="Calibri"/>
                <w:b w:val="0"/>
                <w:bCs w:val="0"/>
                <w:color w:val="auto"/>
                <w:sz w:val="20"/>
                <w:szCs w:val="20"/>
              </w:rPr>
              <w:t>Tworzenie i rozwijanie placówek wsparcia dziennego dla osób wykluczonych społecznie,</w:t>
            </w:r>
          </w:p>
          <w:p w:rsidR="000C44E6" w:rsidRPr="002F09B3" w:rsidRDefault="000C44E6" w:rsidP="002F09B3">
            <w:pPr>
              <w:pStyle w:val="ListParagraph1"/>
              <w:numPr>
                <w:ilvl w:val="2"/>
                <w:numId w:val="131"/>
              </w:numPr>
              <w:spacing w:before="0" w:after="80" w:line="240" w:lineRule="auto"/>
              <w:jc w:val="left"/>
              <w:rPr>
                <w:rFonts w:asciiTheme="minorHAnsi" w:hAnsiTheme="minorHAnsi" w:cs="Calibri"/>
                <w:b w:val="0"/>
                <w:bCs w:val="0"/>
                <w:color w:val="auto"/>
                <w:sz w:val="20"/>
                <w:szCs w:val="20"/>
              </w:rPr>
            </w:pPr>
            <w:r w:rsidRPr="002F09B3">
              <w:rPr>
                <w:rFonts w:asciiTheme="minorHAnsi" w:hAnsiTheme="minorHAnsi" w:cs="Calibri"/>
                <w:b w:val="0"/>
                <w:bCs w:val="0"/>
                <w:color w:val="auto"/>
                <w:sz w:val="20"/>
                <w:szCs w:val="20"/>
              </w:rPr>
              <w:t>Zwiększenie liczby mieszkań specjalnego przeznaczenia, tj.:</w:t>
            </w:r>
            <w:r w:rsidR="005A1D41">
              <w:rPr>
                <w:rFonts w:asciiTheme="minorHAnsi" w:hAnsiTheme="minorHAnsi" w:cs="Calibri"/>
                <w:b w:val="0"/>
                <w:bCs w:val="0"/>
                <w:color w:val="auto"/>
                <w:sz w:val="20"/>
                <w:szCs w:val="20"/>
              </w:rPr>
              <w:t> </w:t>
            </w:r>
            <w:r w:rsidRPr="002F09B3">
              <w:rPr>
                <w:rFonts w:asciiTheme="minorHAnsi" w:hAnsiTheme="minorHAnsi" w:cs="Calibri"/>
                <w:b w:val="0"/>
                <w:bCs w:val="0"/>
                <w:color w:val="auto"/>
                <w:sz w:val="20"/>
                <w:szCs w:val="20"/>
              </w:rPr>
              <w:t>chronionych, treningowych itp.,</w:t>
            </w:r>
          </w:p>
          <w:p w:rsidR="000C44E6" w:rsidRPr="002F09B3" w:rsidRDefault="000C44E6" w:rsidP="002F09B3">
            <w:pPr>
              <w:pStyle w:val="ListParagraph1"/>
              <w:numPr>
                <w:ilvl w:val="2"/>
                <w:numId w:val="131"/>
              </w:numPr>
              <w:spacing w:before="0" w:after="80" w:line="240" w:lineRule="auto"/>
              <w:jc w:val="left"/>
              <w:rPr>
                <w:rFonts w:asciiTheme="minorHAnsi" w:hAnsiTheme="minorHAnsi" w:cs="Calibri"/>
                <w:b w:val="0"/>
                <w:bCs w:val="0"/>
                <w:color w:val="auto"/>
                <w:sz w:val="20"/>
                <w:szCs w:val="20"/>
              </w:rPr>
            </w:pPr>
            <w:r w:rsidRPr="002F09B3">
              <w:rPr>
                <w:rFonts w:asciiTheme="minorHAnsi" w:hAnsiTheme="minorHAnsi" w:cs="Calibri"/>
                <w:b w:val="0"/>
                <w:bCs w:val="0"/>
                <w:color w:val="auto"/>
                <w:sz w:val="20"/>
                <w:szCs w:val="20"/>
              </w:rPr>
              <w:t>Wspieranie młodzieży opuszczającej pieczę zastępczą we</w:t>
            </w:r>
            <w:r w:rsidR="005A1D41">
              <w:rPr>
                <w:rFonts w:asciiTheme="minorHAnsi" w:hAnsiTheme="minorHAnsi" w:cs="Calibri"/>
                <w:b w:val="0"/>
                <w:bCs w:val="0"/>
                <w:color w:val="auto"/>
                <w:sz w:val="20"/>
                <w:szCs w:val="20"/>
              </w:rPr>
              <w:t> </w:t>
            </w:r>
            <w:r w:rsidRPr="002F09B3">
              <w:rPr>
                <w:rFonts w:asciiTheme="minorHAnsi" w:hAnsiTheme="minorHAnsi" w:cs="Calibri"/>
                <w:b w:val="0"/>
                <w:bCs w:val="0"/>
                <w:color w:val="auto"/>
                <w:sz w:val="20"/>
                <w:szCs w:val="20"/>
              </w:rPr>
              <w:t xml:space="preserve">właściwym przygotowaniu do samodzielnego życia, </w:t>
            </w:r>
          </w:p>
          <w:p w:rsidR="000C44E6" w:rsidRPr="002F09B3" w:rsidRDefault="000C44E6" w:rsidP="002F09B3">
            <w:pPr>
              <w:pStyle w:val="ListParagraph1"/>
              <w:numPr>
                <w:ilvl w:val="2"/>
                <w:numId w:val="131"/>
              </w:numPr>
              <w:spacing w:before="0" w:after="80" w:line="240" w:lineRule="auto"/>
              <w:jc w:val="left"/>
              <w:rPr>
                <w:rFonts w:asciiTheme="minorHAnsi" w:hAnsiTheme="minorHAnsi" w:cs="Calibri"/>
                <w:b w:val="0"/>
                <w:bCs w:val="0"/>
                <w:color w:val="auto"/>
                <w:sz w:val="20"/>
                <w:szCs w:val="20"/>
              </w:rPr>
            </w:pPr>
            <w:r w:rsidRPr="002F09B3">
              <w:rPr>
                <w:rFonts w:asciiTheme="minorHAnsi" w:hAnsiTheme="minorHAnsi" w:cs="Calibri"/>
                <w:b w:val="0"/>
                <w:bCs w:val="0"/>
                <w:color w:val="auto"/>
                <w:sz w:val="20"/>
                <w:szCs w:val="20"/>
              </w:rPr>
              <w:t>Rozwój usług świadczonych przez placówki udzielające pomocy w zakresie uzależnień,</w:t>
            </w:r>
          </w:p>
          <w:p w:rsidR="000C44E6" w:rsidRPr="002F09B3" w:rsidRDefault="000C44E6" w:rsidP="002F09B3">
            <w:pPr>
              <w:pStyle w:val="ListParagraph1"/>
              <w:numPr>
                <w:ilvl w:val="2"/>
                <w:numId w:val="131"/>
              </w:numPr>
              <w:spacing w:before="0" w:after="80" w:line="240" w:lineRule="auto"/>
              <w:jc w:val="left"/>
              <w:rPr>
                <w:rFonts w:asciiTheme="minorHAnsi" w:hAnsiTheme="minorHAnsi" w:cs="Calibri"/>
                <w:b w:val="0"/>
                <w:bCs w:val="0"/>
                <w:color w:val="auto"/>
                <w:sz w:val="20"/>
                <w:szCs w:val="20"/>
              </w:rPr>
            </w:pPr>
            <w:r w:rsidRPr="002F09B3">
              <w:rPr>
                <w:rFonts w:asciiTheme="minorHAnsi" w:hAnsiTheme="minorHAnsi" w:cs="Calibri"/>
                <w:b w:val="0"/>
                <w:bCs w:val="0"/>
                <w:color w:val="auto"/>
                <w:sz w:val="20"/>
                <w:szCs w:val="20"/>
              </w:rPr>
              <w:t xml:space="preserve">Tworzenie miejsc integracji społecznej i centrów usług, </w:t>
            </w:r>
          </w:p>
          <w:p w:rsidR="000C44E6" w:rsidRPr="002F09B3" w:rsidRDefault="000C44E6" w:rsidP="002F09B3">
            <w:pPr>
              <w:pStyle w:val="ListParagraph1"/>
              <w:numPr>
                <w:ilvl w:val="2"/>
                <w:numId w:val="131"/>
              </w:numPr>
              <w:spacing w:before="0" w:after="80" w:line="240" w:lineRule="auto"/>
              <w:jc w:val="left"/>
              <w:rPr>
                <w:rFonts w:asciiTheme="minorHAnsi" w:hAnsiTheme="minorHAnsi"/>
                <w:b w:val="0"/>
                <w:bCs w:val="0"/>
                <w:color w:val="auto"/>
                <w:sz w:val="20"/>
                <w:szCs w:val="20"/>
              </w:rPr>
            </w:pPr>
            <w:r w:rsidRPr="002F09B3">
              <w:rPr>
                <w:rFonts w:asciiTheme="minorHAnsi" w:hAnsiTheme="minorHAnsi"/>
                <w:b w:val="0"/>
                <w:bCs w:val="0"/>
                <w:color w:val="auto"/>
                <w:sz w:val="20"/>
                <w:szCs w:val="20"/>
              </w:rPr>
              <w:t>Rozwijanie usług wspierających osoby starsze i niepełnosprawne,</w:t>
            </w:r>
          </w:p>
          <w:p w:rsidR="000C44E6" w:rsidRPr="002F09B3" w:rsidRDefault="000C44E6" w:rsidP="002F09B3">
            <w:pPr>
              <w:pStyle w:val="Akapitzlist"/>
              <w:numPr>
                <w:ilvl w:val="2"/>
                <w:numId w:val="131"/>
              </w:numPr>
              <w:tabs>
                <w:tab w:val="left" w:pos="2866"/>
              </w:tabs>
              <w:suppressAutoHyphens/>
              <w:spacing w:after="80" w:line="240" w:lineRule="auto"/>
              <w:rPr>
                <w:rFonts w:asciiTheme="minorHAnsi" w:hAnsiTheme="minorHAnsi"/>
                <w:sz w:val="20"/>
                <w:szCs w:val="20"/>
              </w:rPr>
            </w:pPr>
            <w:r w:rsidRPr="002F09B3">
              <w:rPr>
                <w:rFonts w:asciiTheme="minorHAnsi" w:hAnsiTheme="minorHAnsi"/>
                <w:sz w:val="20"/>
                <w:szCs w:val="20"/>
              </w:rPr>
              <w:t>Rozwijanie i wspieranie potencjału podmiotów reintegracyjnych,</w:t>
            </w:r>
          </w:p>
          <w:p w:rsidR="000C44E6" w:rsidRPr="002F09B3" w:rsidRDefault="000C44E6" w:rsidP="00D6394F">
            <w:pPr>
              <w:pStyle w:val="Akapitzlist"/>
              <w:numPr>
                <w:ilvl w:val="2"/>
                <w:numId w:val="131"/>
              </w:numPr>
              <w:tabs>
                <w:tab w:val="left" w:pos="2866"/>
              </w:tabs>
              <w:suppressAutoHyphens/>
              <w:spacing w:after="0" w:line="240" w:lineRule="auto"/>
              <w:rPr>
                <w:rFonts w:asciiTheme="minorHAnsi" w:hAnsiTheme="minorHAnsi"/>
                <w:sz w:val="20"/>
                <w:szCs w:val="20"/>
              </w:rPr>
            </w:pPr>
            <w:r w:rsidRPr="002F09B3">
              <w:rPr>
                <w:rFonts w:asciiTheme="minorHAnsi" w:hAnsiTheme="minorHAnsi"/>
                <w:sz w:val="20"/>
                <w:szCs w:val="20"/>
              </w:rPr>
              <w:t>Rozwijanie usług świadczonych dla osób niesamodzielnych w miejscu zamieszkania, zwłaszcza osób starszych i niepełnosprawnych, także w oparciu o nowoczesne technologie,</w:t>
            </w:r>
          </w:p>
          <w:p w:rsidR="000C44E6" w:rsidRPr="002F09B3" w:rsidRDefault="000C44E6" w:rsidP="002F09B3">
            <w:pPr>
              <w:pStyle w:val="Akapitzlist"/>
              <w:numPr>
                <w:ilvl w:val="2"/>
                <w:numId w:val="131"/>
              </w:numPr>
              <w:tabs>
                <w:tab w:val="left" w:pos="2866"/>
              </w:tabs>
              <w:suppressAutoHyphens/>
              <w:spacing w:after="80" w:line="240" w:lineRule="auto"/>
              <w:rPr>
                <w:rFonts w:asciiTheme="minorHAnsi" w:hAnsiTheme="minorHAnsi"/>
                <w:sz w:val="20"/>
                <w:szCs w:val="20"/>
              </w:rPr>
            </w:pPr>
            <w:r w:rsidRPr="002F09B3">
              <w:rPr>
                <w:rFonts w:asciiTheme="minorHAnsi" w:hAnsiTheme="minorHAnsi"/>
                <w:sz w:val="20"/>
                <w:szCs w:val="20"/>
              </w:rPr>
              <w:t>Rozwijanie form sprawowania pieczy zastępczej,</w:t>
            </w:r>
          </w:p>
          <w:p w:rsidR="000C44E6" w:rsidRPr="002F09B3" w:rsidRDefault="000C44E6" w:rsidP="002F09B3">
            <w:pPr>
              <w:pStyle w:val="Akapitzlist"/>
              <w:numPr>
                <w:ilvl w:val="2"/>
                <w:numId w:val="131"/>
              </w:numPr>
              <w:tabs>
                <w:tab w:val="left" w:pos="2866"/>
              </w:tabs>
              <w:suppressAutoHyphens/>
              <w:spacing w:after="80" w:line="240" w:lineRule="auto"/>
              <w:rPr>
                <w:rFonts w:asciiTheme="minorHAnsi" w:hAnsiTheme="minorHAnsi"/>
                <w:sz w:val="20"/>
                <w:szCs w:val="20"/>
              </w:rPr>
            </w:pPr>
            <w:r w:rsidRPr="002F09B3">
              <w:rPr>
                <w:rFonts w:asciiTheme="minorHAnsi" w:hAnsiTheme="minorHAnsi"/>
                <w:sz w:val="20"/>
                <w:szCs w:val="20"/>
              </w:rPr>
              <w:t>Rozszerzenie oferty usług zdrowotnych</w:t>
            </w:r>
            <w:r w:rsidR="00990748">
              <w:rPr>
                <w:rFonts w:asciiTheme="minorHAnsi" w:hAnsiTheme="minorHAnsi"/>
                <w:sz w:val="20"/>
                <w:szCs w:val="20"/>
              </w:rPr>
              <w:t>.</w:t>
            </w:r>
          </w:p>
        </w:tc>
      </w:tr>
      <w:tr w:rsidR="000C44E6" w:rsidRPr="002F09B3" w:rsidTr="00987174">
        <w:tc>
          <w:tcPr>
            <w:tcW w:w="3209" w:type="dxa"/>
            <w:tcBorders>
              <w:top w:val="single" w:sz="4" w:space="0" w:color="000000"/>
              <w:left w:val="single" w:sz="4" w:space="0" w:color="000000"/>
              <w:bottom w:val="single" w:sz="4" w:space="0" w:color="000000"/>
            </w:tcBorders>
          </w:tcPr>
          <w:p w:rsidR="000C44E6" w:rsidRPr="002F09B3" w:rsidRDefault="000C44E6" w:rsidP="00987174">
            <w:pPr>
              <w:pStyle w:val="ListParagraph1"/>
              <w:spacing w:before="0" w:after="0" w:line="240" w:lineRule="auto"/>
              <w:jc w:val="left"/>
              <w:rPr>
                <w:rFonts w:asciiTheme="minorHAnsi" w:hAnsiTheme="minorHAnsi" w:cs="Calibri"/>
                <w:sz w:val="20"/>
                <w:szCs w:val="20"/>
              </w:rPr>
            </w:pPr>
            <w:r w:rsidRPr="002F09B3">
              <w:rPr>
                <w:rFonts w:asciiTheme="minorHAnsi" w:hAnsiTheme="minorHAnsi" w:cs="Calibri"/>
                <w:bCs w:val="0"/>
                <w:color w:val="auto"/>
                <w:sz w:val="20"/>
                <w:szCs w:val="20"/>
              </w:rPr>
              <w:lastRenderedPageBreak/>
              <w:t>2.2</w:t>
            </w:r>
            <w:r w:rsidR="00AB6004">
              <w:rPr>
                <w:rFonts w:asciiTheme="minorHAnsi" w:hAnsiTheme="minorHAnsi" w:cs="Calibri"/>
                <w:bCs w:val="0"/>
                <w:color w:val="auto"/>
                <w:sz w:val="20"/>
                <w:szCs w:val="20"/>
              </w:rPr>
              <w:t>.</w:t>
            </w:r>
            <w:r w:rsidRPr="002F09B3">
              <w:rPr>
                <w:rFonts w:asciiTheme="minorHAnsi" w:hAnsiTheme="minorHAnsi" w:cs="Calibri"/>
                <w:bCs w:val="0"/>
                <w:color w:val="auto"/>
                <w:sz w:val="20"/>
                <w:szCs w:val="20"/>
              </w:rPr>
              <w:t xml:space="preserve"> Społeczności lokalne zintegrowane wokół tradycji dzielnic oraz oddolnych inicjatyw realizowanych przez mieszkańców na rzecz wspólnoty lokalnej.</w:t>
            </w:r>
          </w:p>
        </w:tc>
        <w:tc>
          <w:tcPr>
            <w:tcW w:w="6041" w:type="dxa"/>
            <w:tcBorders>
              <w:top w:val="single" w:sz="4" w:space="0" w:color="000000"/>
              <w:left w:val="single" w:sz="4" w:space="0" w:color="000000"/>
              <w:bottom w:val="single" w:sz="4" w:space="0" w:color="000000"/>
              <w:right w:val="single" w:sz="4" w:space="0" w:color="000000"/>
            </w:tcBorders>
          </w:tcPr>
          <w:p w:rsidR="000C44E6" w:rsidRPr="002F09B3" w:rsidRDefault="000C44E6" w:rsidP="002F09B3">
            <w:pPr>
              <w:pStyle w:val="ListParagraph1"/>
              <w:numPr>
                <w:ilvl w:val="2"/>
                <w:numId w:val="138"/>
              </w:numPr>
              <w:spacing w:before="0" w:after="80" w:line="240" w:lineRule="auto"/>
              <w:jc w:val="left"/>
              <w:rPr>
                <w:rFonts w:asciiTheme="minorHAnsi" w:hAnsiTheme="minorHAnsi" w:cs="Calibri"/>
                <w:b w:val="0"/>
                <w:bCs w:val="0"/>
                <w:color w:val="auto"/>
                <w:sz w:val="20"/>
                <w:szCs w:val="20"/>
              </w:rPr>
            </w:pPr>
            <w:r w:rsidRPr="002F09B3">
              <w:rPr>
                <w:rFonts w:asciiTheme="minorHAnsi" w:hAnsiTheme="minorHAnsi" w:cs="Calibri"/>
                <w:b w:val="0"/>
                <w:bCs w:val="0"/>
                <w:color w:val="auto"/>
                <w:sz w:val="20"/>
                <w:szCs w:val="20"/>
              </w:rPr>
              <w:t>Wspieranie współdziałania sąsiedzkiego,</w:t>
            </w:r>
          </w:p>
          <w:p w:rsidR="000C44E6" w:rsidRPr="002F09B3" w:rsidRDefault="000C44E6" w:rsidP="002F09B3">
            <w:pPr>
              <w:pStyle w:val="ListParagraph1"/>
              <w:numPr>
                <w:ilvl w:val="2"/>
                <w:numId w:val="138"/>
              </w:numPr>
              <w:spacing w:before="0" w:after="80" w:line="240" w:lineRule="auto"/>
              <w:jc w:val="left"/>
              <w:rPr>
                <w:rFonts w:asciiTheme="minorHAnsi" w:hAnsiTheme="minorHAnsi" w:cs="Calibri"/>
                <w:sz w:val="20"/>
                <w:szCs w:val="20"/>
              </w:rPr>
            </w:pPr>
            <w:r w:rsidRPr="002F09B3">
              <w:rPr>
                <w:rFonts w:asciiTheme="minorHAnsi" w:hAnsiTheme="minorHAnsi" w:cs="Calibri"/>
                <w:b w:val="0"/>
                <w:bCs w:val="0"/>
                <w:color w:val="auto"/>
                <w:sz w:val="20"/>
                <w:szCs w:val="20"/>
              </w:rPr>
              <w:t>Angażowanie mieszkańców w urządzanie przestrzeni wspólnych,</w:t>
            </w:r>
          </w:p>
          <w:p w:rsidR="000C44E6" w:rsidRPr="002F09B3" w:rsidRDefault="000C44E6" w:rsidP="002F09B3">
            <w:pPr>
              <w:pStyle w:val="ListParagraph1"/>
              <w:numPr>
                <w:ilvl w:val="2"/>
                <w:numId w:val="138"/>
              </w:numPr>
              <w:spacing w:before="0" w:after="80" w:line="240" w:lineRule="auto"/>
              <w:jc w:val="left"/>
              <w:rPr>
                <w:rFonts w:asciiTheme="minorHAnsi" w:hAnsiTheme="minorHAnsi" w:cs="Calibri"/>
                <w:b w:val="0"/>
                <w:bCs w:val="0"/>
                <w:color w:val="auto"/>
                <w:sz w:val="20"/>
                <w:szCs w:val="20"/>
              </w:rPr>
            </w:pPr>
            <w:r w:rsidRPr="002F09B3">
              <w:rPr>
                <w:rFonts w:asciiTheme="minorHAnsi" w:hAnsiTheme="minorHAnsi" w:cs="Calibri"/>
                <w:b w:val="0"/>
                <w:bCs w:val="0"/>
                <w:color w:val="auto"/>
                <w:sz w:val="20"/>
                <w:szCs w:val="20"/>
              </w:rPr>
              <w:t>Wspieranie kompetencyjne, lokalowe, finansowe inicjatyw mieszkańców zmierzających do poprawy wizerunku obszaru oraz zacieśniania więzi społecznych,</w:t>
            </w:r>
          </w:p>
          <w:p w:rsidR="000C44E6" w:rsidRPr="002F09B3" w:rsidRDefault="000C44E6" w:rsidP="002F09B3">
            <w:pPr>
              <w:pStyle w:val="ListParagraph1"/>
              <w:numPr>
                <w:ilvl w:val="2"/>
                <w:numId w:val="138"/>
              </w:numPr>
              <w:spacing w:before="0" w:after="80" w:line="240" w:lineRule="auto"/>
              <w:jc w:val="left"/>
              <w:rPr>
                <w:rFonts w:asciiTheme="minorHAnsi" w:hAnsiTheme="minorHAnsi" w:cs="Calibri"/>
                <w:b w:val="0"/>
                <w:bCs w:val="0"/>
                <w:color w:val="auto"/>
                <w:sz w:val="20"/>
                <w:szCs w:val="20"/>
              </w:rPr>
            </w:pPr>
            <w:r w:rsidRPr="002F09B3">
              <w:rPr>
                <w:rFonts w:asciiTheme="minorHAnsi" w:hAnsiTheme="minorHAnsi" w:cs="Calibri"/>
                <w:b w:val="0"/>
                <w:bCs w:val="0"/>
                <w:color w:val="auto"/>
                <w:sz w:val="20"/>
                <w:szCs w:val="20"/>
              </w:rPr>
              <w:t>Podejmowanie inicjatyw i organizacja wydarzeń wzmacniających więzi międzypokoleniowe,</w:t>
            </w:r>
          </w:p>
          <w:p w:rsidR="000C44E6" w:rsidRPr="002F09B3" w:rsidRDefault="000C44E6" w:rsidP="002F09B3">
            <w:pPr>
              <w:pStyle w:val="ListParagraph1"/>
              <w:numPr>
                <w:ilvl w:val="2"/>
                <w:numId w:val="138"/>
              </w:numPr>
              <w:spacing w:before="0" w:after="80" w:line="240" w:lineRule="auto"/>
              <w:jc w:val="left"/>
              <w:rPr>
                <w:rFonts w:asciiTheme="minorHAnsi" w:hAnsiTheme="minorHAnsi" w:cs="Calibri"/>
                <w:b w:val="0"/>
                <w:bCs w:val="0"/>
                <w:color w:val="auto"/>
                <w:sz w:val="20"/>
                <w:szCs w:val="20"/>
              </w:rPr>
            </w:pPr>
            <w:r w:rsidRPr="002F09B3">
              <w:rPr>
                <w:rFonts w:asciiTheme="minorHAnsi" w:hAnsiTheme="minorHAnsi" w:cs="Calibri"/>
                <w:b w:val="0"/>
                <w:bCs w:val="0"/>
                <w:color w:val="auto"/>
                <w:sz w:val="20"/>
                <w:szCs w:val="20"/>
              </w:rPr>
              <w:t xml:space="preserve">Poszerzanie oferty spędzania czasu wolnego </w:t>
            </w:r>
            <w:r w:rsidRPr="002F09B3">
              <w:rPr>
                <w:rFonts w:asciiTheme="minorHAnsi" w:hAnsiTheme="minorHAnsi" w:cs="Calibri"/>
                <w:b w:val="0"/>
                <w:bCs w:val="0"/>
                <w:color w:val="auto"/>
                <w:sz w:val="20"/>
                <w:szCs w:val="20"/>
              </w:rPr>
              <w:br/>
              <w:t>i rozwoju zainteresowań ze szczególnym uwzględnieniem dzieci, młodzieży osób starszych i niepełnosprawnych,</w:t>
            </w:r>
          </w:p>
          <w:p w:rsidR="000C44E6" w:rsidRPr="002F09B3" w:rsidRDefault="000C44E6" w:rsidP="002F09B3">
            <w:pPr>
              <w:pStyle w:val="ListParagraph1"/>
              <w:numPr>
                <w:ilvl w:val="2"/>
                <w:numId w:val="138"/>
              </w:numPr>
              <w:spacing w:before="0" w:after="80" w:line="240" w:lineRule="auto"/>
              <w:jc w:val="left"/>
              <w:rPr>
                <w:rFonts w:asciiTheme="minorHAnsi" w:hAnsiTheme="minorHAnsi" w:cs="Calibri"/>
                <w:b w:val="0"/>
                <w:bCs w:val="0"/>
                <w:color w:val="auto"/>
                <w:sz w:val="20"/>
                <w:szCs w:val="20"/>
              </w:rPr>
            </w:pPr>
            <w:r w:rsidRPr="002F09B3">
              <w:rPr>
                <w:rFonts w:asciiTheme="minorHAnsi" w:hAnsiTheme="minorHAnsi" w:cs="Calibri"/>
                <w:b w:val="0"/>
                <w:bCs w:val="0"/>
                <w:color w:val="auto"/>
                <w:sz w:val="20"/>
                <w:szCs w:val="20"/>
              </w:rPr>
              <w:t>Podwyższanie dostępności mieszkańców do oferty kulturalnej w obszarze rewitalizacji i w mieście, w szczególności dostępności finansowej i komunikacyjnej,</w:t>
            </w:r>
          </w:p>
          <w:p w:rsidR="000C44E6" w:rsidRPr="002F09B3" w:rsidRDefault="000C44E6" w:rsidP="002F09B3">
            <w:pPr>
              <w:pStyle w:val="ListParagraph1"/>
              <w:numPr>
                <w:ilvl w:val="2"/>
                <w:numId w:val="138"/>
              </w:numPr>
              <w:spacing w:before="0" w:after="80" w:line="240" w:lineRule="auto"/>
              <w:jc w:val="left"/>
              <w:rPr>
                <w:rFonts w:asciiTheme="minorHAnsi" w:hAnsiTheme="minorHAnsi" w:cs="Calibri"/>
                <w:b w:val="0"/>
                <w:bCs w:val="0"/>
                <w:color w:val="auto"/>
                <w:sz w:val="20"/>
                <w:szCs w:val="20"/>
              </w:rPr>
            </w:pPr>
            <w:r w:rsidRPr="002F09B3">
              <w:rPr>
                <w:rFonts w:asciiTheme="minorHAnsi" w:hAnsiTheme="minorHAnsi" w:cs="Calibri"/>
                <w:b w:val="0"/>
                <w:bCs w:val="0"/>
                <w:color w:val="auto"/>
                <w:sz w:val="20"/>
                <w:szCs w:val="20"/>
              </w:rPr>
              <w:t>Rozwijanie w obszarze rewitalizacji oferty kulturalnej realizowanej w partnerstwie mieszkańców, instytucji kultury, instytucji edukacyjnych, parafii, środowiska przedsiębiorców i</w:t>
            </w:r>
            <w:r w:rsidR="001214A0">
              <w:rPr>
                <w:rFonts w:asciiTheme="minorHAnsi" w:hAnsiTheme="minorHAnsi" w:cs="Calibri"/>
                <w:b w:val="0"/>
                <w:bCs w:val="0"/>
                <w:color w:val="auto"/>
                <w:sz w:val="20"/>
                <w:szCs w:val="20"/>
              </w:rPr>
              <w:t> </w:t>
            </w:r>
            <w:r w:rsidRPr="002F09B3">
              <w:rPr>
                <w:rFonts w:asciiTheme="minorHAnsi" w:hAnsiTheme="minorHAnsi" w:cs="Calibri"/>
                <w:b w:val="0"/>
                <w:bCs w:val="0"/>
                <w:color w:val="auto"/>
                <w:sz w:val="20"/>
                <w:szCs w:val="20"/>
              </w:rPr>
              <w:t>innych podmiotów,</w:t>
            </w:r>
          </w:p>
          <w:p w:rsidR="000C44E6" w:rsidRPr="002F09B3" w:rsidRDefault="000C44E6" w:rsidP="002F09B3">
            <w:pPr>
              <w:pStyle w:val="ListParagraph1"/>
              <w:numPr>
                <w:ilvl w:val="2"/>
                <w:numId w:val="138"/>
              </w:numPr>
              <w:spacing w:before="0" w:after="80" w:line="240" w:lineRule="auto"/>
              <w:jc w:val="left"/>
              <w:rPr>
                <w:rFonts w:asciiTheme="minorHAnsi" w:hAnsiTheme="minorHAnsi" w:cs="Calibri"/>
                <w:b w:val="0"/>
                <w:bCs w:val="0"/>
                <w:color w:val="auto"/>
                <w:sz w:val="20"/>
                <w:szCs w:val="20"/>
              </w:rPr>
            </w:pPr>
            <w:r w:rsidRPr="002F09B3">
              <w:rPr>
                <w:rFonts w:asciiTheme="minorHAnsi" w:hAnsiTheme="minorHAnsi" w:cs="Calibri"/>
                <w:b w:val="0"/>
                <w:bCs w:val="0"/>
                <w:color w:val="auto"/>
                <w:sz w:val="20"/>
                <w:szCs w:val="20"/>
              </w:rPr>
              <w:lastRenderedPageBreak/>
              <w:t>Tworzenie i wspieranie różnych form aktywizacji seniorów i</w:t>
            </w:r>
            <w:r w:rsidR="001214A0">
              <w:rPr>
                <w:rFonts w:asciiTheme="minorHAnsi" w:hAnsiTheme="minorHAnsi" w:cs="Calibri"/>
                <w:b w:val="0"/>
                <w:bCs w:val="0"/>
                <w:color w:val="auto"/>
                <w:sz w:val="20"/>
                <w:szCs w:val="20"/>
              </w:rPr>
              <w:t> </w:t>
            </w:r>
            <w:r w:rsidRPr="002F09B3">
              <w:rPr>
                <w:rFonts w:asciiTheme="minorHAnsi" w:hAnsiTheme="minorHAnsi" w:cs="Calibri"/>
                <w:b w:val="0"/>
                <w:bCs w:val="0"/>
                <w:color w:val="auto"/>
                <w:sz w:val="20"/>
                <w:szCs w:val="20"/>
              </w:rPr>
              <w:t>osób niepełnosprawnych,</w:t>
            </w:r>
          </w:p>
          <w:p w:rsidR="000C44E6" w:rsidRPr="002F09B3" w:rsidRDefault="000C44E6" w:rsidP="002F09B3">
            <w:pPr>
              <w:pStyle w:val="ListParagraph1"/>
              <w:numPr>
                <w:ilvl w:val="2"/>
                <w:numId w:val="138"/>
              </w:numPr>
              <w:spacing w:before="0" w:after="80" w:line="240" w:lineRule="auto"/>
              <w:jc w:val="left"/>
              <w:rPr>
                <w:rFonts w:asciiTheme="minorHAnsi" w:hAnsiTheme="minorHAnsi" w:cs="Calibri"/>
                <w:b w:val="0"/>
                <w:bCs w:val="0"/>
                <w:color w:val="auto"/>
                <w:sz w:val="20"/>
                <w:szCs w:val="20"/>
              </w:rPr>
            </w:pPr>
            <w:r w:rsidRPr="002F09B3">
              <w:rPr>
                <w:rFonts w:asciiTheme="minorHAnsi" w:hAnsiTheme="minorHAnsi" w:cs="Calibri"/>
                <w:b w:val="0"/>
                <w:bCs w:val="0"/>
                <w:color w:val="auto"/>
                <w:sz w:val="20"/>
                <w:szCs w:val="20"/>
              </w:rPr>
              <w:t>Wspieranie udział</w:t>
            </w:r>
            <w:r w:rsidR="007657F7">
              <w:rPr>
                <w:rFonts w:asciiTheme="minorHAnsi" w:hAnsiTheme="minorHAnsi" w:cs="Calibri"/>
                <w:b w:val="0"/>
                <w:bCs w:val="0"/>
                <w:color w:val="auto"/>
                <w:sz w:val="20"/>
                <w:szCs w:val="20"/>
              </w:rPr>
              <w:t>u</w:t>
            </w:r>
            <w:r w:rsidRPr="002F09B3">
              <w:rPr>
                <w:rFonts w:asciiTheme="minorHAnsi" w:hAnsiTheme="minorHAnsi" w:cs="Calibri"/>
                <w:b w:val="0"/>
                <w:bCs w:val="0"/>
                <w:color w:val="auto"/>
                <w:sz w:val="20"/>
                <w:szCs w:val="20"/>
              </w:rPr>
              <w:t xml:space="preserve"> osób niepełnosprawnych w życiu społeczno-kulturalnym,</w:t>
            </w:r>
          </w:p>
          <w:p w:rsidR="000C44E6" w:rsidRPr="002F09B3" w:rsidRDefault="000C44E6" w:rsidP="002F09B3">
            <w:pPr>
              <w:pStyle w:val="ListParagraph1"/>
              <w:numPr>
                <w:ilvl w:val="2"/>
                <w:numId w:val="138"/>
              </w:numPr>
              <w:spacing w:before="0" w:after="80" w:line="240" w:lineRule="auto"/>
              <w:jc w:val="left"/>
              <w:rPr>
                <w:rFonts w:asciiTheme="minorHAnsi" w:hAnsiTheme="minorHAnsi" w:cs="Calibri"/>
                <w:b w:val="0"/>
                <w:bCs w:val="0"/>
                <w:color w:val="auto"/>
                <w:sz w:val="20"/>
                <w:szCs w:val="20"/>
              </w:rPr>
            </w:pPr>
            <w:r w:rsidRPr="002F09B3">
              <w:rPr>
                <w:rFonts w:asciiTheme="minorHAnsi" w:hAnsiTheme="minorHAnsi" w:cs="Calibri"/>
                <w:b w:val="0"/>
                <w:bCs w:val="0"/>
                <w:color w:val="auto"/>
                <w:sz w:val="20"/>
                <w:szCs w:val="20"/>
              </w:rPr>
              <w:t>Poszerzenie i rozwój ilościowy oferty placówek wsparcia dziennego,</w:t>
            </w:r>
          </w:p>
          <w:p w:rsidR="000C44E6" w:rsidRPr="002F09B3" w:rsidRDefault="000C44E6" w:rsidP="002F09B3">
            <w:pPr>
              <w:pStyle w:val="ListParagraph1"/>
              <w:numPr>
                <w:ilvl w:val="2"/>
                <w:numId w:val="138"/>
              </w:numPr>
              <w:spacing w:before="0" w:after="80" w:line="240" w:lineRule="auto"/>
              <w:jc w:val="left"/>
              <w:rPr>
                <w:rFonts w:asciiTheme="minorHAnsi" w:hAnsiTheme="minorHAnsi"/>
                <w:sz w:val="20"/>
                <w:szCs w:val="20"/>
              </w:rPr>
            </w:pPr>
            <w:r w:rsidRPr="002F09B3">
              <w:rPr>
                <w:rFonts w:asciiTheme="minorHAnsi" w:hAnsiTheme="minorHAnsi" w:cs="Calibri"/>
                <w:b w:val="0"/>
                <w:bCs w:val="0"/>
                <w:color w:val="auto"/>
                <w:sz w:val="20"/>
                <w:szCs w:val="20"/>
              </w:rPr>
              <w:t>Organizacja wydarzeń umożliwiających włączenie osób z grup wykluczonych w życie społeczności lokalnej, ze szczególnym uwzględnieniem oddolnych inicjatyw społecznych,</w:t>
            </w:r>
          </w:p>
          <w:p w:rsidR="000C44E6" w:rsidRPr="002F09B3" w:rsidRDefault="000C44E6" w:rsidP="002F09B3">
            <w:pPr>
              <w:pStyle w:val="ListParagraph1"/>
              <w:numPr>
                <w:ilvl w:val="2"/>
                <w:numId w:val="138"/>
              </w:numPr>
              <w:spacing w:before="0" w:after="80" w:line="240" w:lineRule="auto"/>
              <w:jc w:val="left"/>
              <w:rPr>
                <w:rFonts w:asciiTheme="minorHAnsi" w:hAnsiTheme="minorHAnsi"/>
                <w:sz w:val="20"/>
                <w:szCs w:val="20"/>
              </w:rPr>
            </w:pPr>
            <w:r w:rsidRPr="002F09B3">
              <w:rPr>
                <w:rFonts w:asciiTheme="minorHAnsi" w:hAnsiTheme="minorHAnsi" w:cs="Calibri"/>
                <w:b w:val="0"/>
                <w:bCs w:val="0"/>
                <w:color w:val="auto"/>
                <w:sz w:val="20"/>
                <w:szCs w:val="20"/>
              </w:rPr>
              <w:t>Organizowanie wydarzeń artystycznych eksponujących walory obszarów rewitalizacji nie tylko wśród mieszkańców tych obszarów, ale także mieszkańców miasta i regionu</w:t>
            </w:r>
            <w:r w:rsidR="00990748">
              <w:rPr>
                <w:rFonts w:asciiTheme="minorHAnsi" w:hAnsiTheme="minorHAnsi" w:cs="Calibri"/>
                <w:b w:val="0"/>
                <w:bCs w:val="0"/>
                <w:color w:val="auto"/>
                <w:sz w:val="20"/>
                <w:szCs w:val="20"/>
              </w:rPr>
              <w:t>.</w:t>
            </w:r>
          </w:p>
        </w:tc>
      </w:tr>
      <w:tr w:rsidR="000C44E6" w:rsidRPr="002F09B3" w:rsidTr="00120CE3">
        <w:trPr>
          <w:trHeight w:val="1233"/>
        </w:trPr>
        <w:tc>
          <w:tcPr>
            <w:tcW w:w="9250" w:type="dxa"/>
            <w:gridSpan w:val="2"/>
            <w:tcBorders>
              <w:top w:val="single" w:sz="4" w:space="0" w:color="000000"/>
              <w:left w:val="single" w:sz="4" w:space="0" w:color="000000"/>
              <w:bottom w:val="single" w:sz="4" w:space="0" w:color="000000"/>
              <w:right w:val="single" w:sz="4" w:space="0" w:color="000000"/>
            </w:tcBorders>
            <w:shd w:val="clear" w:color="auto" w:fill="DDD9C3" w:themeFill="background2" w:themeFillShade="E6"/>
          </w:tcPr>
          <w:p w:rsidR="003654E4" w:rsidRDefault="000C44E6" w:rsidP="00074B47">
            <w:pPr>
              <w:pStyle w:val="ListParagraph1"/>
              <w:spacing w:line="240" w:lineRule="auto"/>
              <w:jc w:val="center"/>
              <w:rPr>
                <w:rFonts w:asciiTheme="minorHAnsi" w:hAnsiTheme="minorHAnsi" w:cs="Calibri"/>
                <w:color w:val="auto"/>
                <w:kern w:val="32"/>
                <w:szCs w:val="20"/>
              </w:rPr>
            </w:pPr>
            <w:r w:rsidRPr="002F09B3">
              <w:rPr>
                <w:rFonts w:asciiTheme="minorHAnsi" w:hAnsiTheme="minorHAnsi" w:cs="Calibri"/>
                <w:color w:val="auto"/>
                <w:szCs w:val="20"/>
              </w:rPr>
              <w:lastRenderedPageBreak/>
              <w:t>CEL STRATEGICZNY  3</w:t>
            </w:r>
          </w:p>
          <w:p w:rsidR="003654E4" w:rsidRDefault="000C44E6" w:rsidP="00074B47">
            <w:pPr>
              <w:pStyle w:val="ListParagraph1"/>
              <w:spacing w:before="0" w:line="240" w:lineRule="auto"/>
              <w:jc w:val="center"/>
              <w:rPr>
                <w:rFonts w:asciiTheme="minorHAnsi" w:hAnsiTheme="minorHAnsi"/>
                <w:kern w:val="32"/>
                <w:sz w:val="20"/>
                <w:szCs w:val="20"/>
              </w:rPr>
            </w:pPr>
            <w:r w:rsidRPr="002F09B3">
              <w:rPr>
                <w:rFonts w:asciiTheme="minorHAnsi" w:hAnsiTheme="minorHAnsi" w:cs="Calibri"/>
                <w:color w:val="auto"/>
                <w:szCs w:val="20"/>
              </w:rPr>
              <w:t>Funkcjonalna i estetyczna atrakcyjność przestrzeni publicznych, w których realizowane są działalności integrujące społeczności lokalne oraz decydujące o witalności i wizerunku miasta.</w:t>
            </w:r>
          </w:p>
        </w:tc>
      </w:tr>
      <w:tr w:rsidR="000C44E6" w:rsidRPr="002F09B3" w:rsidTr="00987174">
        <w:tc>
          <w:tcPr>
            <w:tcW w:w="3209" w:type="dxa"/>
            <w:tcBorders>
              <w:top w:val="single" w:sz="4" w:space="0" w:color="000000"/>
              <w:left w:val="single" w:sz="4" w:space="0" w:color="000000"/>
              <w:bottom w:val="single" w:sz="4" w:space="0" w:color="000000"/>
            </w:tcBorders>
          </w:tcPr>
          <w:p w:rsidR="000C44E6" w:rsidRPr="002F09B3" w:rsidRDefault="000C44E6" w:rsidP="00987174">
            <w:pPr>
              <w:pStyle w:val="ListParagraph1"/>
              <w:spacing w:before="0" w:after="0" w:line="240" w:lineRule="auto"/>
              <w:jc w:val="left"/>
              <w:rPr>
                <w:rFonts w:asciiTheme="minorHAnsi" w:hAnsiTheme="minorHAnsi" w:cs="Calibri"/>
                <w:b w:val="0"/>
                <w:bCs w:val="0"/>
                <w:color w:val="auto"/>
                <w:sz w:val="20"/>
                <w:szCs w:val="20"/>
              </w:rPr>
            </w:pPr>
            <w:r w:rsidRPr="002F09B3">
              <w:rPr>
                <w:rFonts w:asciiTheme="minorHAnsi" w:hAnsiTheme="minorHAnsi" w:cs="Calibri"/>
                <w:bCs w:val="0"/>
                <w:color w:val="auto"/>
                <w:sz w:val="20"/>
                <w:szCs w:val="20"/>
              </w:rPr>
              <w:t>3.1</w:t>
            </w:r>
            <w:r w:rsidR="00AB6004">
              <w:rPr>
                <w:rFonts w:asciiTheme="minorHAnsi" w:hAnsiTheme="minorHAnsi" w:cs="Calibri"/>
                <w:bCs w:val="0"/>
                <w:color w:val="auto"/>
                <w:sz w:val="20"/>
                <w:szCs w:val="20"/>
              </w:rPr>
              <w:t>.</w:t>
            </w:r>
            <w:r w:rsidRPr="002F09B3">
              <w:rPr>
                <w:rFonts w:asciiTheme="minorHAnsi" w:hAnsiTheme="minorHAnsi" w:cs="Calibri"/>
                <w:bCs w:val="0"/>
                <w:color w:val="auto"/>
                <w:sz w:val="20"/>
                <w:szCs w:val="20"/>
              </w:rPr>
              <w:t xml:space="preserve"> Odpowiadająca współcz</w:t>
            </w:r>
            <w:r w:rsidR="00C53170">
              <w:rPr>
                <w:rFonts w:asciiTheme="minorHAnsi" w:hAnsiTheme="minorHAnsi" w:cs="Calibri"/>
                <w:bCs w:val="0"/>
                <w:color w:val="auto"/>
                <w:sz w:val="20"/>
                <w:szCs w:val="20"/>
              </w:rPr>
              <w:t xml:space="preserve">esnym standardom cywilizacyjnym </w:t>
            </w:r>
            <w:r w:rsidRPr="002F09B3">
              <w:rPr>
                <w:rFonts w:asciiTheme="minorHAnsi" w:hAnsiTheme="minorHAnsi" w:cs="Calibri"/>
                <w:bCs w:val="0"/>
                <w:color w:val="auto"/>
                <w:sz w:val="20"/>
                <w:szCs w:val="20"/>
              </w:rPr>
              <w:t>jakość zabudowy na obszarach rewitalizowanych oraz wzrost odpowiedzialności mieszkańców za komunalny zasób mieszkaniowy.</w:t>
            </w:r>
          </w:p>
          <w:p w:rsidR="000C44E6" w:rsidRPr="002F09B3" w:rsidRDefault="000C44E6" w:rsidP="002F09B3">
            <w:pPr>
              <w:pStyle w:val="ListParagraph1"/>
              <w:spacing w:before="0" w:after="0" w:line="240" w:lineRule="auto"/>
              <w:rPr>
                <w:rFonts w:asciiTheme="minorHAnsi" w:hAnsiTheme="minorHAnsi" w:cs="Calibri"/>
                <w:b w:val="0"/>
                <w:bCs w:val="0"/>
                <w:color w:val="auto"/>
                <w:sz w:val="20"/>
                <w:szCs w:val="20"/>
              </w:rPr>
            </w:pPr>
          </w:p>
        </w:tc>
        <w:tc>
          <w:tcPr>
            <w:tcW w:w="6041" w:type="dxa"/>
            <w:tcBorders>
              <w:top w:val="single" w:sz="4" w:space="0" w:color="000000"/>
              <w:left w:val="single" w:sz="4" w:space="0" w:color="000000"/>
              <w:bottom w:val="single" w:sz="4" w:space="0" w:color="000000"/>
              <w:right w:val="single" w:sz="4" w:space="0" w:color="000000"/>
            </w:tcBorders>
          </w:tcPr>
          <w:p w:rsidR="000C44E6" w:rsidRPr="002F09B3" w:rsidRDefault="000C44E6" w:rsidP="002F09B3">
            <w:pPr>
              <w:pStyle w:val="Akapitzlist5"/>
              <w:numPr>
                <w:ilvl w:val="0"/>
                <w:numId w:val="119"/>
              </w:numPr>
              <w:tabs>
                <w:tab w:val="clear" w:pos="720"/>
                <w:tab w:val="num" w:pos="235"/>
              </w:tabs>
              <w:snapToGrid w:val="0"/>
              <w:spacing w:after="80" w:line="240" w:lineRule="auto"/>
              <w:rPr>
                <w:rFonts w:asciiTheme="minorHAnsi" w:hAnsiTheme="minorHAnsi"/>
                <w:vanish/>
                <w:sz w:val="20"/>
                <w:szCs w:val="20"/>
              </w:rPr>
            </w:pPr>
          </w:p>
          <w:p w:rsidR="000C44E6" w:rsidRPr="002F09B3" w:rsidRDefault="000C44E6" w:rsidP="002F09B3">
            <w:pPr>
              <w:pStyle w:val="Akapitzlist5"/>
              <w:numPr>
                <w:ilvl w:val="0"/>
                <w:numId w:val="119"/>
              </w:numPr>
              <w:tabs>
                <w:tab w:val="clear" w:pos="720"/>
                <w:tab w:val="num" w:pos="235"/>
              </w:tabs>
              <w:spacing w:after="80" w:line="240" w:lineRule="auto"/>
              <w:rPr>
                <w:rFonts w:asciiTheme="minorHAnsi" w:hAnsiTheme="minorHAnsi"/>
                <w:vanish/>
                <w:sz w:val="20"/>
                <w:szCs w:val="20"/>
              </w:rPr>
            </w:pPr>
          </w:p>
          <w:p w:rsidR="000C44E6" w:rsidRPr="002F09B3" w:rsidRDefault="000C44E6" w:rsidP="002F09B3">
            <w:pPr>
              <w:pStyle w:val="Akapitzlist5"/>
              <w:numPr>
                <w:ilvl w:val="0"/>
                <w:numId w:val="119"/>
              </w:numPr>
              <w:tabs>
                <w:tab w:val="clear" w:pos="720"/>
                <w:tab w:val="num" w:pos="235"/>
              </w:tabs>
              <w:spacing w:after="80" w:line="240" w:lineRule="auto"/>
              <w:rPr>
                <w:rFonts w:asciiTheme="minorHAnsi" w:hAnsiTheme="minorHAnsi"/>
                <w:vanish/>
                <w:sz w:val="20"/>
                <w:szCs w:val="20"/>
              </w:rPr>
            </w:pPr>
          </w:p>
          <w:p w:rsidR="000C44E6" w:rsidRPr="002F09B3" w:rsidRDefault="000C44E6" w:rsidP="002F09B3">
            <w:pPr>
              <w:pStyle w:val="Akapitzlist5"/>
              <w:numPr>
                <w:ilvl w:val="1"/>
                <w:numId w:val="119"/>
              </w:numPr>
              <w:tabs>
                <w:tab w:val="num" w:pos="235"/>
                <w:tab w:val="num" w:pos="360"/>
              </w:tabs>
              <w:spacing w:after="80" w:line="240" w:lineRule="auto"/>
              <w:ind w:left="720"/>
              <w:rPr>
                <w:rFonts w:asciiTheme="minorHAnsi" w:hAnsiTheme="minorHAnsi"/>
                <w:vanish/>
                <w:sz w:val="20"/>
                <w:szCs w:val="20"/>
              </w:rPr>
            </w:pPr>
          </w:p>
          <w:p w:rsidR="000C44E6" w:rsidRPr="002F09B3" w:rsidRDefault="000C44E6" w:rsidP="00296147">
            <w:pPr>
              <w:pStyle w:val="ListParagraph1"/>
              <w:numPr>
                <w:ilvl w:val="2"/>
                <w:numId w:val="119"/>
              </w:numPr>
              <w:tabs>
                <w:tab w:val="num" w:pos="235"/>
                <w:tab w:val="num" w:pos="360"/>
              </w:tabs>
              <w:spacing w:before="0" w:after="60" w:line="240" w:lineRule="auto"/>
              <w:ind w:left="731" w:hanging="720"/>
              <w:jc w:val="left"/>
              <w:rPr>
                <w:rFonts w:asciiTheme="minorHAnsi" w:hAnsiTheme="minorHAnsi" w:cs="Calibri"/>
                <w:b w:val="0"/>
                <w:bCs w:val="0"/>
                <w:color w:val="auto"/>
                <w:sz w:val="20"/>
                <w:szCs w:val="20"/>
              </w:rPr>
            </w:pPr>
            <w:r w:rsidRPr="002F09B3">
              <w:rPr>
                <w:rFonts w:asciiTheme="minorHAnsi" w:hAnsiTheme="minorHAnsi" w:cs="Calibri"/>
                <w:b w:val="0"/>
                <w:bCs w:val="0"/>
                <w:color w:val="auto"/>
                <w:sz w:val="20"/>
                <w:szCs w:val="20"/>
              </w:rPr>
              <w:t>Odnowa zabudowy zabytkowej oraz obiektów świadczących o</w:t>
            </w:r>
            <w:r w:rsidR="001214A0">
              <w:rPr>
                <w:rFonts w:asciiTheme="minorHAnsi" w:hAnsiTheme="minorHAnsi" w:cs="Calibri"/>
                <w:b w:val="0"/>
                <w:bCs w:val="0"/>
                <w:color w:val="auto"/>
                <w:sz w:val="20"/>
                <w:szCs w:val="20"/>
              </w:rPr>
              <w:t> </w:t>
            </w:r>
            <w:r w:rsidRPr="002F09B3">
              <w:rPr>
                <w:rFonts w:asciiTheme="minorHAnsi" w:hAnsiTheme="minorHAnsi" w:cs="Calibri"/>
                <w:b w:val="0"/>
                <w:bCs w:val="0"/>
                <w:color w:val="auto"/>
                <w:sz w:val="20"/>
                <w:szCs w:val="20"/>
              </w:rPr>
              <w:t>dziedzictwie kultu</w:t>
            </w:r>
            <w:r w:rsidR="001214A0">
              <w:rPr>
                <w:rFonts w:asciiTheme="minorHAnsi" w:hAnsiTheme="minorHAnsi" w:cs="Calibri"/>
                <w:b w:val="0"/>
                <w:bCs w:val="0"/>
                <w:color w:val="auto"/>
                <w:sz w:val="20"/>
                <w:szCs w:val="20"/>
              </w:rPr>
              <w:t>rowym obszarów rewitalizacji, a w </w:t>
            </w:r>
            <w:r w:rsidRPr="002F09B3">
              <w:rPr>
                <w:rFonts w:asciiTheme="minorHAnsi" w:hAnsiTheme="minorHAnsi" w:cs="Calibri"/>
                <w:b w:val="0"/>
                <w:bCs w:val="0"/>
                <w:color w:val="auto"/>
                <w:sz w:val="20"/>
                <w:szCs w:val="20"/>
              </w:rPr>
              <w:t>uzasadnionych przypadkach nadanie im nowych funkcji,</w:t>
            </w:r>
          </w:p>
          <w:p w:rsidR="000C44E6" w:rsidRPr="002F09B3" w:rsidRDefault="000C44E6" w:rsidP="001F4BF1">
            <w:pPr>
              <w:pStyle w:val="ListParagraph1"/>
              <w:numPr>
                <w:ilvl w:val="2"/>
                <w:numId w:val="119"/>
              </w:numPr>
              <w:tabs>
                <w:tab w:val="num" w:pos="235"/>
                <w:tab w:val="num" w:pos="360"/>
              </w:tabs>
              <w:spacing w:before="0" w:after="80" w:line="240" w:lineRule="auto"/>
              <w:ind w:left="731" w:hanging="720"/>
              <w:jc w:val="left"/>
              <w:rPr>
                <w:rFonts w:asciiTheme="minorHAnsi" w:hAnsiTheme="minorHAnsi" w:cs="Calibri"/>
                <w:b w:val="0"/>
                <w:bCs w:val="0"/>
                <w:color w:val="auto"/>
                <w:sz w:val="20"/>
                <w:szCs w:val="20"/>
              </w:rPr>
            </w:pPr>
            <w:r w:rsidRPr="002F09B3">
              <w:rPr>
                <w:rFonts w:asciiTheme="minorHAnsi" w:hAnsiTheme="minorHAnsi" w:cs="Calibri"/>
                <w:b w:val="0"/>
                <w:bCs w:val="0"/>
                <w:color w:val="auto"/>
                <w:sz w:val="20"/>
                <w:szCs w:val="20"/>
              </w:rPr>
              <w:t>Odnowienie zasobu komunalnego,</w:t>
            </w:r>
          </w:p>
          <w:p w:rsidR="000C44E6" w:rsidRPr="002F09B3" w:rsidRDefault="000C44E6" w:rsidP="001F4BF1">
            <w:pPr>
              <w:pStyle w:val="ListParagraph1"/>
              <w:numPr>
                <w:ilvl w:val="2"/>
                <w:numId w:val="119"/>
              </w:numPr>
              <w:tabs>
                <w:tab w:val="num" w:pos="235"/>
                <w:tab w:val="num" w:pos="360"/>
              </w:tabs>
              <w:spacing w:before="0" w:after="80" w:line="240" w:lineRule="auto"/>
              <w:ind w:left="731" w:hanging="720"/>
              <w:jc w:val="left"/>
              <w:rPr>
                <w:rFonts w:asciiTheme="minorHAnsi" w:hAnsiTheme="minorHAnsi" w:cs="Calibri"/>
                <w:b w:val="0"/>
                <w:bCs w:val="0"/>
                <w:color w:val="auto"/>
                <w:sz w:val="20"/>
                <w:szCs w:val="20"/>
              </w:rPr>
            </w:pPr>
            <w:r w:rsidRPr="002F09B3">
              <w:rPr>
                <w:rFonts w:asciiTheme="minorHAnsi" w:hAnsiTheme="minorHAnsi" w:cs="Calibri"/>
                <w:b w:val="0"/>
                <w:bCs w:val="0"/>
                <w:color w:val="auto"/>
                <w:sz w:val="20"/>
                <w:szCs w:val="20"/>
              </w:rPr>
              <w:t>Odnowienie i dostosowanie do potrzeb mieszkańców budynków użyteczności publicznej,</w:t>
            </w:r>
          </w:p>
          <w:p w:rsidR="000C44E6" w:rsidRPr="002F09B3" w:rsidRDefault="000C44E6" w:rsidP="001F4BF1">
            <w:pPr>
              <w:pStyle w:val="ListParagraph1"/>
              <w:numPr>
                <w:ilvl w:val="2"/>
                <w:numId w:val="119"/>
              </w:numPr>
              <w:tabs>
                <w:tab w:val="num" w:pos="235"/>
                <w:tab w:val="num" w:pos="360"/>
              </w:tabs>
              <w:spacing w:before="0" w:after="80" w:line="240" w:lineRule="auto"/>
              <w:ind w:left="731" w:hanging="720"/>
              <w:jc w:val="left"/>
              <w:rPr>
                <w:rFonts w:asciiTheme="minorHAnsi" w:hAnsiTheme="minorHAnsi" w:cs="Calibri"/>
                <w:b w:val="0"/>
                <w:bCs w:val="0"/>
                <w:color w:val="auto"/>
                <w:sz w:val="20"/>
                <w:szCs w:val="20"/>
              </w:rPr>
            </w:pPr>
            <w:r w:rsidRPr="002F09B3">
              <w:rPr>
                <w:rFonts w:asciiTheme="minorHAnsi" w:hAnsiTheme="minorHAnsi" w:cs="Calibri"/>
                <w:b w:val="0"/>
                <w:bCs w:val="0"/>
                <w:color w:val="auto"/>
                <w:sz w:val="20"/>
                <w:szCs w:val="20"/>
              </w:rPr>
              <w:t>Uporządkowanie starej zabudowy – pustostany, oficyny, garaże itp.,</w:t>
            </w:r>
          </w:p>
          <w:p w:rsidR="000C44E6" w:rsidRPr="002F09B3" w:rsidRDefault="000C44E6" w:rsidP="001F4BF1">
            <w:pPr>
              <w:pStyle w:val="ListParagraph1"/>
              <w:numPr>
                <w:ilvl w:val="2"/>
                <w:numId w:val="119"/>
              </w:numPr>
              <w:tabs>
                <w:tab w:val="num" w:pos="235"/>
                <w:tab w:val="num" w:pos="360"/>
              </w:tabs>
              <w:spacing w:before="0" w:after="80" w:line="240" w:lineRule="auto"/>
              <w:ind w:left="731" w:hanging="720"/>
              <w:jc w:val="left"/>
              <w:rPr>
                <w:rFonts w:asciiTheme="minorHAnsi" w:hAnsiTheme="minorHAnsi" w:cs="Calibri"/>
                <w:b w:val="0"/>
                <w:bCs w:val="0"/>
                <w:color w:val="auto"/>
                <w:sz w:val="20"/>
                <w:szCs w:val="20"/>
              </w:rPr>
            </w:pPr>
            <w:r w:rsidRPr="002F09B3">
              <w:rPr>
                <w:rFonts w:asciiTheme="minorHAnsi" w:hAnsiTheme="minorHAnsi" w:cs="Calibri"/>
                <w:b w:val="0"/>
                <w:bCs w:val="0"/>
                <w:color w:val="auto"/>
                <w:sz w:val="20"/>
                <w:szCs w:val="20"/>
              </w:rPr>
              <w:t>Likwidacja barier architektonicznych,</w:t>
            </w:r>
          </w:p>
          <w:p w:rsidR="000C44E6" w:rsidRPr="002F09B3" w:rsidRDefault="000C44E6" w:rsidP="001F4BF1">
            <w:pPr>
              <w:pStyle w:val="ListParagraph1"/>
              <w:numPr>
                <w:ilvl w:val="2"/>
                <w:numId w:val="119"/>
              </w:numPr>
              <w:tabs>
                <w:tab w:val="num" w:pos="235"/>
                <w:tab w:val="num" w:pos="360"/>
              </w:tabs>
              <w:spacing w:before="0" w:after="80" w:line="240" w:lineRule="auto"/>
              <w:ind w:left="731" w:hanging="720"/>
              <w:jc w:val="left"/>
              <w:rPr>
                <w:rFonts w:asciiTheme="minorHAnsi" w:hAnsiTheme="minorHAnsi" w:cs="Calibri"/>
                <w:b w:val="0"/>
                <w:bCs w:val="0"/>
                <w:color w:val="auto"/>
                <w:sz w:val="20"/>
                <w:szCs w:val="20"/>
              </w:rPr>
            </w:pPr>
            <w:r w:rsidRPr="002F09B3">
              <w:rPr>
                <w:rFonts w:asciiTheme="minorHAnsi" w:hAnsiTheme="minorHAnsi" w:cs="Calibri"/>
                <w:b w:val="0"/>
                <w:bCs w:val="0"/>
                <w:color w:val="auto"/>
                <w:sz w:val="20"/>
                <w:szCs w:val="20"/>
              </w:rPr>
              <w:t>Poprawa efektywności energetycznej budynków,</w:t>
            </w:r>
          </w:p>
          <w:p w:rsidR="000C44E6" w:rsidRPr="002F09B3" w:rsidRDefault="000C44E6" w:rsidP="001F4BF1">
            <w:pPr>
              <w:pStyle w:val="ListParagraph1"/>
              <w:numPr>
                <w:ilvl w:val="2"/>
                <w:numId w:val="119"/>
              </w:numPr>
              <w:tabs>
                <w:tab w:val="num" w:pos="235"/>
                <w:tab w:val="num" w:pos="360"/>
              </w:tabs>
              <w:spacing w:before="0" w:after="80" w:line="240" w:lineRule="auto"/>
              <w:ind w:left="731" w:hanging="720"/>
              <w:jc w:val="left"/>
              <w:rPr>
                <w:rFonts w:asciiTheme="minorHAnsi" w:hAnsiTheme="minorHAnsi"/>
                <w:sz w:val="20"/>
                <w:szCs w:val="20"/>
              </w:rPr>
            </w:pPr>
            <w:r w:rsidRPr="002F09B3">
              <w:rPr>
                <w:rFonts w:asciiTheme="minorHAnsi" w:hAnsiTheme="minorHAnsi" w:cs="Calibri"/>
                <w:b w:val="0"/>
                <w:bCs w:val="0"/>
                <w:color w:val="auto"/>
                <w:sz w:val="20"/>
                <w:szCs w:val="20"/>
              </w:rPr>
              <w:t>Wprowadzanie na obszar rewitalizacji nowej zabudowy wpływającej na podniesienie estetyki przestrzeni oraz napływ nowych funkcji i mieszkańców</w:t>
            </w:r>
            <w:r w:rsidR="00990748">
              <w:rPr>
                <w:rFonts w:asciiTheme="minorHAnsi" w:hAnsiTheme="minorHAnsi" w:cs="Calibri"/>
                <w:b w:val="0"/>
                <w:bCs w:val="0"/>
                <w:color w:val="auto"/>
                <w:sz w:val="20"/>
                <w:szCs w:val="20"/>
              </w:rPr>
              <w:t>.</w:t>
            </w:r>
          </w:p>
        </w:tc>
      </w:tr>
      <w:tr w:rsidR="000C44E6" w:rsidRPr="002F09B3" w:rsidTr="00987174">
        <w:tc>
          <w:tcPr>
            <w:tcW w:w="3209" w:type="dxa"/>
            <w:tcBorders>
              <w:top w:val="single" w:sz="4" w:space="0" w:color="000000"/>
              <w:left w:val="single" w:sz="4" w:space="0" w:color="000000"/>
              <w:bottom w:val="single" w:sz="4" w:space="0" w:color="000000"/>
            </w:tcBorders>
          </w:tcPr>
          <w:p w:rsidR="000C44E6" w:rsidRPr="002F09B3" w:rsidRDefault="000C44E6" w:rsidP="001214A0">
            <w:pPr>
              <w:pStyle w:val="ListParagraph1"/>
              <w:spacing w:before="0" w:after="0" w:line="240" w:lineRule="auto"/>
              <w:jc w:val="left"/>
              <w:rPr>
                <w:rFonts w:asciiTheme="minorHAnsi" w:hAnsiTheme="minorHAnsi"/>
                <w:vanish/>
                <w:sz w:val="20"/>
                <w:szCs w:val="20"/>
              </w:rPr>
            </w:pPr>
            <w:r w:rsidRPr="002F09B3">
              <w:rPr>
                <w:rFonts w:asciiTheme="minorHAnsi" w:hAnsiTheme="minorHAnsi" w:cs="Calibri"/>
                <w:bCs w:val="0"/>
                <w:color w:val="auto"/>
                <w:sz w:val="20"/>
                <w:szCs w:val="20"/>
              </w:rPr>
              <w:t>3.2</w:t>
            </w:r>
            <w:r w:rsidR="00AB6004">
              <w:rPr>
                <w:rFonts w:asciiTheme="minorHAnsi" w:hAnsiTheme="minorHAnsi" w:cs="Calibri"/>
                <w:bCs w:val="0"/>
                <w:color w:val="auto"/>
                <w:sz w:val="20"/>
                <w:szCs w:val="20"/>
              </w:rPr>
              <w:t>.</w:t>
            </w:r>
            <w:r w:rsidRPr="002F09B3">
              <w:rPr>
                <w:rFonts w:asciiTheme="minorHAnsi" w:hAnsiTheme="minorHAnsi" w:cs="Calibri"/>
                <w:bCs w:val="0"/>
                <w:color w:val="auto"/>
                <w:sz w:val="20"/>
                <w:szCs w:val="20"/>
              </w:rPr>
              <w:t xml:space="preserve"> Partnerstwo władz miasta i</w:t>
            </w:r>
            <w:r w:rsidR="001214A0">
              <w:rPr>
                <w:rFonts w:asciiTheme="minorHAnsi" w:hAnsiTheme="minorHAnsi" w:cs="Calibri"/>
                <w:bCs w:val="0"/>
                <w:color w:val="auto"/>
                <w:sz w:val="20"/>
                <w:szCs w:val="20"/>
              </w:rPr>
              <w:t> </w:t>
            </w:r>
            <w:r w:rsidRPr="002F09B3">
              <w:rPr>
                <w:rFonts w:asciiTheme="minorHAnsi" w:hAnsiTheme="minorHAnsi" w:cs="Calibri"/>
                <w:bCs w:val="0"/>
                <w:color w:val="auto"/>
                <w:sz w:val="20"/>
                <w:szCs w:val="20"/>
              </w:rPr>
              <w:t>społeczności lokalnych w podnoszeniu jakości i ochronie walorów przestrzeni publicznych.</w:t>
            </w:r>
          </w:p>
        </w:tc>
        <w:tc>
          <w:tcPr>
            <w:tcW w:w="6041" w:type="dxa"/>
            <w:tcBorders>
              <w:top w:val="single" w:sz="4" w:space="0" w:color="000000"/>
              <w:left w:val="single" w:sz="4" w:space="0" w:color="000000"/>
              <w:bottom w:val="single" w:sz="4" w:space="0" w:color="000000"/>
              <w:right w:val="single" w:sz="4" w:space="0" w:color="000000"/>
            </w:tcBorders>
          </w:tcPr>
          <w:p w:rsidR="000C44E6" w:rsidRPr="002F09B3" w:rsidRDefault="000C44E6" w:rsidP="002F09B3">
            <w:pPr>
              <w:pStyle w:val="Akapitzlist5"/>
              <w:numPr>
                <w:ilvl w:val="0"/>
                <w:numId w:val="124"/>
              </w:numPr>
              <w:snapToGrid w:val="0"/>
              <w:spacing w:after="0" w:line="240" w:lineRule="auto"/>
              <w:rPr>
                <w:rFonts w:asciiTheme="minorHAnsi" w:hAnsiTheme="minorHAnsi"/>
                <w:bCs/>
                <w:vanish/>
                <w:sz w:val="20"/>
                <w:szCs w:val="20"/>
              </w:rPr>
            </w:pPr>
          </w:p>
          <w:p w:rsidR="000C44E6" w:rsidRPr="002F09B3" w:rsidRDefault="000C44E6" w:rsidP="002F09B3">
            <w:pPr>
              <w:pStyle w:val="Akapitzlist5"/>
              <w:numPr>
                <w:ilvl w:val="0"/>
                <w:numId w:val="124"/>
              </w:numPr>
              <w:spacing w:after="0" w:line="240" w:lineRule="auto"/>
              <w:rPr>
                <w:rFonts w:asciiTheme="minorHAnsi" w:hAnsiTheme="minorHAnsi"/>
                <w:bCs/>
                <w:vanish/>
                <w:sz w:val="20"/>
                <w:szCs w:val="20"/>
              </w:rPr>
            </w:pPr>
          </w:p>
          <w:p w:rsidR="000C44E6" w:rsidRPr="002F09B3" w:rsidRDefault="000C44E6" w:rsidP="002F09B3">
            <w:pPr>
              <w:pStyle w:val="Akapitzlist5"/>
              <w:numPr>
                <w:ilvl w:val="0"/>
                <w:numId w:val="124"/>
              </w:numPr>
              <w:spacing w:after="0" w:line="240" w:lineRule="auto"/>
              <w:rPr>
                <w:rFonts w:asciiTheme="minorHAnsi" w:hAnsiTheme="minorHAnsi"/>
                <w:bCs/>
                <w:vanish/>
                <w:sz w:val="20"/>
                <w:szCs w:val="20"/>
              </w:rPr>
            </w:pPr>
          </w:p>
          <w:p w:rsidR="000C44E6" w:rsidRPr="002F09B3" w:rsidRDefault="000C44E6" w:rsidP="002F09B3">
            <w:pPr>
              <w:pStyle w:val="Akapitzlist5"/>
              <w:numPr>
                <w:ilvl w:val="1"/>
                <w:numId w:val="124"/>
              </w:numPr>
              <w:spacing w:after="0" w:line="240" w:lineRule="auto"/>
              <w:rPr>
                <w:rFonts w:asciiTheme="minorHAnsi" w:hAnsiTheme="minorHAnsi"/>
                <w:bCs/>
                <w:vanish/>
                <w:sz w:val="20"/>
                <w:szCs w:val="20"/>
              </w:rPr>
            </w:pPr>
          </w:p>
          <w:p w:rsidR="000C44E6" w:rsidRPr="002F09B3" w:rsidRDefault="000C44E6" w:rsidP="002F09B3">
            <w:pPr>
              <w:pStyle w:val="Akapitzlist5"/>
              <w:numPr>
                <w:ilvl w:val="1"/>
                <w:numId w:val="124"/>
              </w:numPr>
              <w:spacing w:after="0" w:line="240" w:lineRule="auto"/>
              <w:rPr>
                <w:rFonts w:asciiTheme="minorHAnsi" w:hAnsiTheme="minorHAnsi"/>
                <w:bCs/>
                <w:vanish/>
                <w:sz w:val="20"/>
                <w:szCs w:val="20"/>
              </w:rPr>
            </w:pPr>
          </w:p>
          <w:p w:rsidR="00F5756E" w:rsidRDefault="000C44E6" w:rsidP="00F5756E">
            <w:pPr>
              <w:pStyle w:val="Akapitzlist5"/>
              <w:numPr>
                <w:ilvl w:val="2"/>
                <w:numId w:val="481"/>
              </w:numPr>
              <w:spacing w:after="80" w:line="240" w:lineRule="auto"/>
              <w:rPr>
                <w:rFonts w:asciiTheme="minorHAnsi" w:hAnsiTheme="minorHAnsi"/>
                <w:sz w:val="20"/>
                <w:szCs w:val="20"/>
              </w:rPr>
            </w:pPr>
            <w:r w:rsidRPr="006801BB">
              <w:rPr>
                <w:rFonts w:asciiTheme="minorHAnsi" w:hAnsiTheme="minorHAnsi"/>
                <w:bCs/>
                <w:sz w:val="20"/>
                <w:szCs w:val="20"/>
              </w:rPr>
              <w:t>Ograniczeni</w:t>
            </w:r>
            <w:r w:rsidRPr="006801BB">
              <w:rPr>
                <w:rFonts w:asciiTheme="minorHAnsi" w:hAnsiTheme="minorHAnsi"/>
                <w:sz w:val="20"/>
                <w:szCs w:val="20"/>
              </w:rPr>
              <w:t>e ruchu samochodowego na rzecz komunikacji publicznej, rowerowej i pieszej oraz podejmowanie działań na rzecz lepszego skomunikowania obszaru,</w:t>
            </w:r>
          </w:p>
          <w:p w:rsidR="00F5756E" w:rsidRDefault="000C44E6" w:rsidP="00F5756E">
            <w:pPr>
              <w:pStyle w:val="Akapitzlist5"/>
              <w:numPr>
                <w:ilvl w:val="2"/>
                <w:numId w:val="481"/>
              </w:numPr>
              <w:spacing w:after="80" w:line="240" w:lineRule="auto"/>
              <w:rPr>
                <w:rFonts w:asciiTheme="minorHAnsi" w:hAnsiTheme="minorHAnsi"/>
                <w:sz w:val="20"/>
                <w:szCs w:val="20"/>
              </w:rPr>
            </w:pPr>
            <w:r w:rsidRPr="00F5756E">
              <w:rPr>
                <w:rFonts w:asciiTheme="minorHAnsi" w:hAnsiTheme="minorHAnsi"/>
                <w:sz w:val="20"/>
                <w:szCs w:val="20"/>
              </w:rPr>
              <w:t>Usprawnienie odbioru odpadów komunalnych,</w:t>
            </w:r>
          </w:p>
          <w:p w:rsidR="00F5756E" w:rsidRDefault="000C44E6" w:rsidP="00F5756E">
            <w:pPr>
              <w:pStyle w:val="Akapitzlist5"/>
              <w:numPr>
                <w:ilvl w:val="2"/>
                <w:numId w:val="481"/>
              </w:numPr>
              <w:spacing w:after="80" w:line="240" w:lineRule="auto"/>
              <w:rPr>
                <w:rFonts w:asciiTheme="minorHAnsi" w:hAnsiTheme="minorHAnsi"/>
                <w:sz w:val="20"/>
                <w:szCs w:val="20"/>
              </w:rPr>
            </w:pPr>
            <w:r w:rsidRPr="00F5756E">
              <w:rPr>
                <w:rFonts w:asciiTheme="minorHAnsi" w:hAnsiTheme="minorHAnsi"/>
                <w:sz w:val="20"/>
                <w:szCs w:val="20"/>
              </w:rPr>
              <w:t>Poprawa wyposażenia przestrzeni w małą architekturę służącą tworzeniu więzi sąsiedzkich i podwyższaniu estetyki przestrzeni,</w:t>
            </w:r>
          </w:p>
          <w:p w:rsidR="000C44E6" w:rsidRPr="00F5756E" w:rsidRDefault="000C44E6" w:rsidP="00F5756E">
            <w:pPr>
              <w:pStyle w:val="Akapitzlist5"/>
              <w:numPr>
                <w:ilvl w:val="2"/>
                <w:numId w:val="481"/>
              </w:numPr>
              <w:spacing w:after="80" w:line="240" w:lineRule="auto"/>
              <w:rPr>
                <w:rFonts w:asciiTheme="minorHAnsi" w:hAnsiTheme="minorHAnsi"/>
                <w:sz w:val="20"/>
                <w:szCs w:val="20"/>
              </w:rPr>
            </w:pPr>
            <w:r w:rsidRPr="00F5756E">
              <w:rPr>
                <w:rFonts w:asciiTheme="minorHAnsi" w:hAnsiTheme="minorHAnsi"/>
                <w:sz w:val="20"/>
                <w:szCs w:val="20"/>
              </w:rPr>
              <w:t>Tworzenie warunków, w których mieszkańcy obszarów rewitalizacji czują się gospodarzami przestrzeni osiedlowych i</w:t>
            </w:r>
            <w:r w:rsidR="001214A0" w:rsidRPr="00F5756E">
              <w:rPr>
                <w:rFonts w:asciiTheme="minorHAnsi" w:hAnsiTheme="minorHAnsi"/>
                <w:sz w:val="20"/>
                <w:szCs w:val="20"/>
              </w:rPr>
              <w:t> </w:t>
            </w:r>
            <w:r w:rsidR="00A93DDE" w:rsidRPr="00F5756E">
              <w:rPr>
                <w:rFonts w:asciiTheme="minorHAnsi" w:hAnsiTheme="minorHAnsi"/>
                <w:sz w:val="20"/>
                <w:szCs w:val="20"/>
              </w:rPr>
              <w:t>podwórek</w:t>
            </w:r>
            <w:r w:rsidR="00990748" w:rsidRPr="00F5756E">
              <w:rPr>
                <w:rFonts w:asciiTheme="minorHAnsi" w:hAnsiTheme="minorHAnsi"/>
                <w:sz w:val="20"/>
                <w:szCs w:val="20"/>
              </w:rPr>
              <w:t>.</w:t>
            </w:r>
          </w:p>
        </w:tc>
      </w:tr>
      <w:tr w:rsidR="000C44E6" w:rsidRPr="002F09B3" w:rsidTr="00987174">
        <w:tc>
          <w:tcPr>
            <w:tcW w:w="3209" w:type="dxa"/>
            <w:tcBorders>
              <w:top w:val="single" w:sz="4" w:space="0" w:color="000000"/>
              <w:left w:val="single" w:sz="4" w:space="0" w:color="000000"/>
              <w:bottom w:val="single" w:sz="4" w:space="0" w:color="000000"/>
            </w:tcBorders>
          </w:tcPr>
          <w:p w:rsidR="000C44E6" w:rsidRPr="002F09B3" w:rsidRDefault="000C44E6" w:rsidP="001214A0">
            <w:pPr>
              <w:pStyle w:val="ListParagraph1"/>
              <w:spacing w:before="0" w:line="240" w:lineRule="auto"/>
              <w:jc w:val="left"/>
              <w:rPr>
                <w:rFonts w:asciiTheme="minorHAnsi" w:hAnsiTheme="minorHAnsi" w:cs="Calibri"/>
                <w:vanish/>
                <w:sz w:val="20"/>
                <w:szCs w:val="20"/>
              </w:rPr>
            </w:pPr>
            <w:r w:rsidRPr="002F09B3">
              <w:rPr>
                <w:rFonts w:asciiTheme="minorHAnsi" w:hAnsiTheme="minorHAnsi" w:cs="Calibri"/>
                <w:bCs w:val="0"/>
                <w:color w:val="auto"/>
                <w:sz w:val="20"/>
                <w:szCs w:val="20"/>
              </w:rPr>
              <w:t>3.3</w:t>
            </w:r>
            <w:r w:rsidR="00AB6004">
              <w:rPr>
                <w:rFonts w:asciiTheme="minorHAnsi" w:hAnsiTheme="minorHAnsi" w:cs="Calibri"/>
                <w:bCs w:val="0"/>
                <w:color w:val="auto"/>
                <w:sz w:val="20"/>
                <w:szCs w:val="20"/>
              </w:rPr>
              <w:t>.</w:t>
            </w:r>
            <w:r w:rsidRPr="002F09B3">
              <w:rPr>
                <w:rFonts w:asciiTheme="minorHAnsi" w:hAnsiTheme="minorHAnsi" w:cs="Calibri"/>
                <w:bCs w:val="0"/>
                <w:color w:val="auto"/>
                <w:sz w:val="20"/>
                <w:szCs w:val="20"/>
              </w:rPr>
              <w:t xml:space="preserve">  Wysoki poziom bezpieczeństwa mieszkańców wzmacniany przez dobre relacje międzysąsiedzkie i odpowiedzialność mieszkańców za</w:t>
            </w:r>
            <w:r w:rsidR="001214A0">
              <w:rPr>
                <w:rFonts w:asciiTheme="minorHAnsi" w:hAnsiTheme="minorHAnsi" w:cs="Calibri"/>
                <w:bCs w:val="0"/>
                <w:color w:val="auto"/>
                <w:sz w:val="20"/>
                <w:szCs w:val="20"/>
              </w:rPr>
              <w:t> </w:t>
            </w:r>
            <w:r w:rsidRPr="002F09B3">
              <w:rPr>
                <w:rFonts w:asciiTheme="minorHAnsi" w:hAnsiTheme="minorHAnsi" w:cs="Calibri"/>
                <w:bCs w:val="0"/>
                <w:color w:val="auto"/>
                <w:sz w:val="20"/>
                <w:szCs w:val="20"/>
              </w:rPr>
              <w:t>innych członków społeczności lokalnej.</w:t>
            </w:r>
          </w:p>
        </w:tc>
        <w:tc>
          <w:tcPr>
            <w:tcW w:w="6041" w:type="dxa"/>
            <w:tcBorders>
              <w:top w:val="single" w:sz="4" w:space="0" w:color="000000"/>
              <w:left w:val="single" w:sz="4" w:space="0" w:color="000000"/>
              <w:bottom w:val="single" w:sz="4" w:space="0" w:color="000000"/>
              <w:right w:val="single" w:sz="4" w:space="0" w:color="000000"/>
            </w:tcBorders>
          </w:tcPr>
          <w:p w:rsidR="000C44E6" w:rsidRPr="002F09B3" w:rsidRDefault="000C44E6" w:rsidP="002F09B3">
            <w:pPr>
              <w:pStyle w:val="Akapitzlist5"/>
              <w:numPr>
                <w:ilvl w:val="0"/>
                <w:numId w:val="139"/>
              </w:numPr>
              <w:tabs>
                <w:tab w:val="clear" w:pos="360"/>
                <w:tab w:val="num" w:pos="0"/>
              </w:tabs>
              <w:snapToGrid w:val="0"/>
              <w:spacing w:before="120" w:after="120" w:line="240" w:lineRule="auto"/>
              <w:rPr>
                <w:rFonts w:asciiTheme="minorHAnsi" w:hAnsiTheme="minorHAnsi"/>
                <w:b/>
                <w:bCs/>
                <w:vanish/>
                <w:sz w:val="20"/>
                <w:szCs w:val="20"/>
              </w:rPr>
            </w:pPr>
          </w:p>
          <w:p w:rsidR="000C44E6" w:rsidRPr="002F09B3" w:rsidRDefault="000C44E6" w:rsidP="002F09B3">
            <w:pPr>
              <w:pStyle w:val="Akapitzlist5"/>
              <w:numPr>
                <w:ilvl w:val="0"/>
                <w:numId w:val="139"/>
              </w:numPr>
              <w:tabs>
                <w:tab w:val="clear" w:pos="360"/>
                <w:tab w:val="num" w:pos="0"/>
              </w:tabs>
              <w:spacing w:before="120" w:after="120" w:line="240" w:lineRule="auto"/>
              <w:rPr>
                <w:rFonts w:asciiTheme="minorHAnsi" w:hAnsiTheme="minorHAnsi"/>
                <w:b/>
                <w:bCs/>
                <w:vanish/>
                <w:sz w:val="20"/>
                <w:szCs w:val="20"/>
              </w:rPr>
            </w:pPr>
          </w:p>
          <w:p w:rsidR="000C44E6" w:rsidRPr="002F09B3" w:rsidRDefault="000C44E6" w:rsidP="002F09B3">
            <w:pPr>
              <w:pStyle w:val="Akapitzlist5"/>
              <w:numPr>
                <w:ilvl w:val="0"/>
                <w:numId w:val="139"/>
              </w:numPr>
              <w:tabs>
                <w:tab w:val="clear" w:pos="360"/>
                <w:tab w:val="num" w:pos="0"/>
              </w:tabs>
              <w:spacing w:before="120" w:after="120" w:line="240" w:lineRule="auto"/>
              <w:rPr>
                <w:rFonts w:asciiTheme="minorHAnsi" w:hAnsiTheme="minorHAnsi"/>
                <w:b/>
                <w:bCs/>
                <w:vanish/>
                <w:sz w:val="20"/>
                <w:szCs w:val="20"/>
              </w:rPr>
            </w:pPr>
          </w:p>
          <w:p w:rsidR="000C44E6" w:rsidRPr="002F09B3" w:rsidRDefault="000C44E6" w:rsidP="002F09B3">
            <w:pPr>
              <w:pStyle w:val="Akapitzlist5"/>
              <w:numPr>
                <w:ilvl w:val="1"/>
                <w:numId w:val="139"/>
              </w:numPr>
              <w:spacing w:before="120" w:after="120" w:line="240" w:lineRule="auto"/>
              <w:ind w:left="340" w:hanging="340"/>
              <w:rPr>
                <w:rFonts w:asciiTheme="minorHAnsi" w:hAnsiTheme="minorHAnsi"/>
                <w:b/>
                <w:bCs/>
                <w:vanish/>
                <w:sz w:val="20"/>
                <w:szCs w:val="20"/>
              </w:rPr>
            </w:pPr>
          </w:p>
          <w:p w:rsidR="000C44E6" w:rsidRPr="002F09B3" w:rsidRDefault="000C44E6" w:rsidP="002F09B3">
            <w:pPr>
              <w:pStyle w:val="Akapitzlist5"/>
              <w:numPr>
                <w:ilvl w:val="1"/>
                <w:numId w:val="139"/>
              </w:numPr>
              <w:spacing w:before="120" w:after="120" w:line="240" w:lineRule="auto"/>
              <w:ind w:left="340" w:hanging="340"/>
              <w:rPr>
                <w:rFonts w:asciiTheme="minorHAnsi" w:hAnsiTheme="minorHAnsi"/>
                <w:b/>
                <w:bCs/>
                <w:vanish/>
                <w:sz w:val="20"/>
                <w:szCs w:val="20"/>
              </w:rPr>
            </w:pPr>
          </w:p>
          <w:p w:rsidR="000C44E6" w:rsidRPr="002F09B3" w:rsidRDefault="000C44E6" w:rsidP="002F09B3">
            <w:pPr>
              <w:pStyle w:val="Akapitzlist5"/>
              <w:numPr>
                <w:ilvl w:val="1"/>
                <w:numId w:val="139"/>
              </w:numPr>
              <w:spacing w:before="120" w:after="120" w:line="240" w:lineRule="auto"/>
              <w:ind w:left="340" w:hanging="340"/>
              <w:rPr>
                <w:rFonts w:asciiTheme="minorHAnsi" w:hAnsiTheme="minorHAnsi"/>
                <w:b/>
                <w:bCs/>
                <w:vanish/>
                <w:sz w:val="20"/>
                <w:szCs w:val="20"/>
              </w:rPr>
            </w:pPr>
          </w:p>
          <w:p w:rsidR="000C44E6" w:rsidRPr="002F09B3" w:rsidRDefault="000C44E6" w:rsidP="00296147">
            <w:pPr>
              <w:pStyle w:val="ListParagraph1"/>
              <w:numPr>
                <w:ilvl w:val="2"/>
                <w:numId w:val="139"/>
              </w:numPr>
              <w:spacing w:before="0" w:after="60" w:line="240" w:lineRule="auto"/>
              <w:ind w:left="720" w:hanging="720"/>
              <w:jc w:val="left"/>
              <w:rPr>
                <w:rFonts w:asciiTheme="minorHAnsi" w:hAnsiTheme="minorHAnsi" w:cs="Calibri"/>
                <w:b w:val="0"/>
                <w:color w:val="auto"/>
                <w:sz w:val="20"/>
                <w:szCs w:val="20"/>
              </w:rPr>
            </w:pPr>
            <w:r w:rsidRPr="002F09B3">
              <w:rPr>
                <w:rFonts w:asciiTheme="minorHAnsi" w:hAnsiTheme="minorHAnsi" w:cs="Calibri"/>
                <w:b w:val="0"/>
                <w:color w:val="auto"/>
                <w:sz w:val="20"/>
                <w:szCs w:val="20"/>
              </w:rPr>
              <w:t>Rozbudowa i modernizacja systemu zarządzania kryzysowego,</w:t>
            </w:r>
          </w:p>
          <w:p w:rsidR="000C44E6" w:rsidRPr="002F09B3" w:rsidRDefault="000C44E6" w:rsidP="00296147">
            <w:pPr>
              <w:pStyle w:val="ListParagraph1"/>
              <w:numPr>
                <w:ilvl w:val="2"/>
                <w:numId w:val="139"/>
              </w:numPr>
              <w:spacing w:before="0" w:after="60" w:line="240" w:lineRule="auto"/>
              <w:ind w:left="720" w:hanging="720"/>
              <w:jc w:val="left"/>
              <w:rPr>
                <w:rFonts w:asciiTheme="minorHAnsi" w:hAnsiTheme="minorHAnsi" w:cs="Calibri"/>
                <w:b w:val="0"/>
                <w:color w:val="auto"/>
                <w:sz w:val="20"/>
                <w:szCs w:val="20"/>
              </w:rPr>
            </w:pPr>
            <w:r w:rsidRPr="002F09B3">
              <w:rPr>
                <w:rFonts w:asciiTheme="minorHAnsi" w:hAnsiTheme="minorHAnsi" w:cs="Calibri"/>
                <w:b w:val="0"/>
                <w:color w:val="auto"/>
                <w:sz w:val="20"/>
                <w:szCs w:val="20"/>
              </w:rPr>
              <w:t>Rozwijanie systemu monitoringu,</w:t>
            </w:r>
          </w:p>
          <w:p w:rsidR="000C44E6" w:rsidRPr="002F09B3" w:rsidRDefault="000C44E6" w:rsidP="001F4BF1">
            <w:pPr>
              <w:pStyle w:val="ListParagraph1"/>
              <w:numPr>
                <w:ilvl w:val="2"/>
                <w:numId w:val="139"/>
              </w:numPr>
              <w:spacing w:before="0" w:after="80" w:line="240" w:lineRule="auto"/>
              <w:ind w:left="720" w:hanging="720"/>
              <w:jc w:val="left"/>
              <w:rPr>
                <w:rFonts w:asciiTheme="minorHAnsi" w:hAnsiTheme="minorHAnsi" w:cs="Calibri"/>
                <w:b w:val="0"/>
                <w:color w:val="auto"/>
                <w:sz w:val="20"/>
                <w:szCs w:val="20"/>
              </w:rPr>
            </w:pPr>
            <w:r w:rsidRPr="002F09B3">
              <w:rPr>
                <w:rFonts w:asciiTheme="minorHAnsi" w:hAnsiTheme="minorHAnsi" w:cs="Calibri"/>
                <w:b w:val="0"/>
                <w:color w:val="auto"/>
                <w:sz w:val="20"/>
                <w:szCs w:val="20"/>
              </w:rPr>
              <w:t>Tworzenie systemu umożliwiającego mieszkańcom sprawne przekazywanie informacji o zagrożeniach i zjawiskach budzących niepokój,</w:t>
            </w:r>
          </w:p>
          <w:p w:rsidR="000C44E6" w:rsidRPr="002F09B3" w:rsidRDefault="000C44E6" w:rsidP="00296147">
            <w:pPr>
              <w:pStyle w:val="ListParagraph1"/>
              <w:numPr>
                <w:ilvl w:val="2"/>
                <w:numId w:val="139"/>
              </w:numPr>
              <w:spacing w:before="0" w:after="0" w:line="240" w:lineRule="auto"/>
              <w:ind w:left="720" w:hanging="720"/>
              <w:jc w:val="left"/>
              <w:rPr>
                <w:rFonts w:asciiTheme="minorHAnsi" w:hAnsiTheme="minorHAnsi" w:cs="Calibri"/>
                <w:b w:val="0"/>
                <w:color w:val="auto"/>
                <w:sz w:val="20"/>
                <w:szCs w:val="20"/>
              </w:rPr>
            </w:pPr>
            <w:r w:rsidRPr="002F09B3">
              <w:rPr>
                <w:rFonts w:asciiTheme="minorHAnsi" w:hAnsiTheme="minorHAnsi" w:cs="Calibri"/>
                <w:b w:val="0"/>
                <w:color w:val="auto"/>
                <w:sz w:val="20"/>
                <w:szCs w:val="20"/>
              </w:rPr>
              <w:t>Podnoszenie wiedzy mieszkańców na temat zachowań w</w:t>
            </w:r>
            <w:r w:rsidR="001214A0">
              <w:rPr>
                <w:rFonts w:asciiTheme="minorHAnsi" w:hAnsiTheme="minorHAnsi" w:cs="Calibri"/>
                <w:b w:val="0"/>
                <w:color w:val="auto"/>
                <w:sz w:val="20"/>
                <w:szCs w:val="20"/>
              </w:rPr>
              <w:t> </w:t>
            </w:r>
            <w:r w:rsidRPr="002F09B3">
              <w:rPr>
                <w:rFonts w:asciiTheme="minorHAnsi" w:hAnsiTheme="minorHAnsi" w:cs="Calibri"/>
                <w:b w:val="0"/>
                <w:color w:val="auto"/>
                <w:sz w:val="20"/>
                <w:szCs w:val="20"/>
              </w:rPr>
              <w:t>sytuacjach kryzysowych i niebezpiecznych,</w:t>
            </w:r>
          </w:p>
          <w:p w:rsidR="000C44E6" w:rsidRPr="002F09B3" w:rsidRDefault="000C44E6" w:rsidP="001F4BF1">
            <w:pPr>
              <w:pStyle w:val="ListParagraph1"/>
              <w:numPr>
                <w:ilvl w:val="2"/>
                <w:numId w:val="139"/>
              </w:numPr>
              <w:spacing w:before="0" w:after="80" w:line="240" w:lineRule="auto"/>
              <w:ind w:left="720" w:hanging="720"/>
              <w:jc w:val="left"/>
              <w:rPr>
                <w:rFonts w:asciiTheme="minorHAnsi" w:hAnsiTheme="minorHAnsi"/>
                <w:sz w:val="20"/>
                <w:szCs w:val="20"/>
              </w:rPr>
            </w:pPr>
            <w:r w:rsidRPr="002F09B3">
              <w:rPr>
                <w:rFonts w:asciiTheme="minorHAnsi" w:hAnsiTheme="minorHAnsi" w:cs="Calibri"/>
                <w:b w:val="0"/>
                <w:color w:val="auto"/>
                <w:sz w:val="20"/>
                <w:szCs w:val="20"/>
              </w:rPr>
              <w:lastRenderedPageBreak/>
              <w:t>Zmiana zagospodarowania przestrzennego obszarów rewitalizacji wspomagająca zachowanie bezpieczeństwa oraz prowadzenie monitoringu</w:t>
            </w:r>
            <w:r w:rsidR="00990748">
              <w:rPr>
                <w:rFonts w:asciiTheme="minorHAnsi" w:hAnsiTheme="minorHAnsi" w:cs="Calibri"/>
                <w:b w:val="0"/>
                <w:color w:val="auto"/>
                <w:sz w:val="20"/>
                <w:szCs w:val="20"/>
              </w:rPr>
              <w:t>.</w:t>
            </w:r>
          </w:p>
        </w:tc>
      </w:tr>
      <w:tr w:rsidR="000C44E6" w:rsidRPr="002F09B3" w:rsidTr="00120CE3">
        <w:tc>
          <w:tcPr>
            <w:tcW w:w="9250" w:type="dxa"/>
            <w:gridSpan w:val="2"/>
            <w:tcBorders>
              <w:top w:val="single" w:sz="4" w:space="0" w:color="000000"/>
              <w:left w:val="single" w:sz="4" w:space="0" w:color="000000"/>
              <w:bottom w:val="single" w:sz="4" w:space="0" w:color="000000"/>
              <w:right w:val="single" w:sz="4" w:space="0" w:color="000000"/>
            </w:tcBorders>
            <w:shd w:val="clear" w:color="auto" w:fill="DDD9C3" w:themeFill="background2" w:themeFillShade="E6"/>
          </w:tcPr>
          <w:p w:rsidR="000C44E6" w:rsidRPr="002F09B3" w:rsidRDefault="000C44E6" w:rsidP="002F09B3">
            <w:pPr>
              <w:pStyle w:val="ListParagraph1"/>
              <w:spacing w:line="240" w:lineRule="auto"/>
              <w:jc w:val="center"/>
              <w:rPr>
                <w:rFonts w:asciiTheme="minorHAnsi" w:hAnsiTheme="minorHAnsi" w:cs="Calibri"/>
                <w:color w:val="auto"/>
                <w:szCs w:val="20"/>
              </w:rPr>
            </w:pPr>
            <w:r w:rsidRPr="002F09B3">
              <w:rPr>
                <w:rFonts w:asciiTheme="minorHAnsi" w:hAnsiTheme="minorHAnsi" w:cs="Calibri"/>
                <w:color w:val="auto"/>
                <w:szCs w:val="20"/>
              </w:rPr>
              <w:lastRenderedPageBreak/>
              <w:t>CEL STRATEGICZNY  4</w:t>
            </w:r>
          </w:p>
          <w:p w:rsidR="000C44E6" w:rsidRPr="002F09B3" w:rsidRDefault="000C44E6" w:rsidP="001F4BF1">
            <w:pPr>
              <w:pStyle w:val="ListParagraph1"/>
              <w:spacing w:before="100" w:line="216" w:lineRule="auto"/>
              <w:jc w:val="center"/>
              <w:rPr>
                <w:rFonts w:asciiTheme="minorHAnsi" w:hAnsiTheme="minorHAnsi"/>
                <w:sz w:val="20"/>
                <w:szCs w:val="20"/>
              </w:rPr>
            </w:pPr>
            <w:r w:rsidRPr="002F09B3">
              <w:rPr>
                <w:rFonts w:asciiTheme="minorHAnsi" w:hAnsiTheme="minorHAnsi" w:cs="Calibri"/>
                <w:color w:val="auto"/>
                <w:szCs w:val="20"/>
              </w:rPr>
              <w:t>Ożywienie terenów zdegradowanych dostarczając funkcji i udogodnień umożliwiających mieszkańcom rozwój społeczny i ekonomiczny.</w:t>
            </w:r>
          </w:p>
        </w:tc>
      </w:tr>
      <w:tr w:rsidR="000C44E6" w:rsidRPr="002F09B3" w:rsidTr="00987174">
        <w:tc>
          <w:tcPr>
            <w:tcW w:w="3209" w:type="dxa"/>
            <w:tcBorders>
              <w:top w:val="single" w:sz="4" w:space="0" w:color="000000"/>
              <w:left w:val="single" w:sz="4" w:space="0" w:color="000000"/>
              <w:bottom w:val="single" w:sz="4" w:space="0" w:color="000000"/>
            </w:tcBorders>
          </w:tcPr>
          <w:p w:rsidR="000C44E6" w:rsidRPr="002F09B3" w:rsidRDefault="000C44E6" w:rsidP="001214A0">
            <w:pPr>
              <w:pStyle w:val="ListParagraph1"/>
              <w:spacing w:before="0" w:after="0" w:line="240" w:lineRule="auto"/>
              <w:jc w:val="left"/>
              <w:rPr>
                <w:rFonts w:asciiTheme="minorHAnsi" w:hAnsiTheme="minorHAnsi" w:cs="Calibri"/>
                <w:vanish/>
                <w:sz w:val="20"/>
                <w:szCs w:val="20"/>
              </w:rPr>
            </w:pPr>
            <w:r w:rsidRPr="002F09B3">
              <w:rPr>
                <w:rFonts w:asciiTheme="minorHAnsi" w:hAnsiTheme="minorHAnsi" w:cs="Calibri"/>
                <w:bCs w:val="0"/>
                <w:color w:val="auto"/>
                <w:sz w:val="20"/>
                <w:szCs w:val="20"/>
              </w:rPr>
              <w:t>4.1</w:t>
            </w:r>
            <w:r w:rsidR="00AB6004">
              <w:rPr>
                <w:rFonts w:asciiTheme="minorHAnsi" w:hAnsiTheme="minorHAnsi" w:cs="Calibri"/>
                <w:bCs w:val="0"/>
                <w:color w:val="auto"/>
                <w:sz w:val="20"/>
                <w:szCs w:val="20"/>
              </w:rPr>
              <w:t>.</w:t>
            </w:r>
            <w:r w:rsidRPr="002F09B3">
              <w:rPr>
                <w:rFonts w:asciiTheme="minorHAnsi" w:hAnsiTheme="minorHAnsi" w:cs="Calibri"/>
                <w:bCs w:val="0"/>
                <w:color w:val="auto"/>
                <w:sz w:val="20"/>
                <w:szCs w:val="20"/>
              </w:rPr>
              <w:t xml:space="preserve"> Zrekultywowane tereny poprzemysłowe przygotowane na przyjęcie nowych funkcji ważnych dla poprawy sytuacji społecznej i</w:t>
            </w:r>
            <w:r w:rsidR="001214A0">
              <w:rPr>
                <w:rFonts w:asciiTheme="minorHAnsi" w:hAnsiTheme="minorHAnsi" w:cs="Calibri"/>
                <w:bCs w:val="0"/>
                <w:color w:val="auto"/>
                <w:sz w:val="20"/>
                <w:szCs w:val="20"/>
              </w:rPr>
              <w:t> </w:t>
            </w:r>
            <w:r w:rsidRPr="002F09B3">
              <w:rPr>
                <w:rFonts w:asciiTheme="minorHAnsi" w:hAnsiTheme="minorHAnsi" w:cs="Calibri"/>
                <w:bCs w:val="0"/>
                <w:color w:val="auto"/>
                <w:sz w:val="20"/>
                <w:szCs w:val="20"/>
              </w:rPr>
              <w:t>rozwoju rynku pracy.</w:t>
            </w:r>
          </w:p>
        </w:tc>
        <w:tc>
          <w:tcPr>
            <w:tcW w:w="6041" w:type="dxa"/>
            <w:tcBorders>
              <w:top w:val="single" w:sz="4" w:space="0" w:color="000000"/>
              <w:left w:val="single" w:sz="4" w:space="0" w:color="000000"/>
              <w:bottom w:val="single" w:sz="4" w:space="0" w:color="000000"/>
              <w:right w:val="single" w:sz="4" w:space="0" w:color="000000"/>
            </w:tcBorders>
          </w:tcPr>
          <w:p w:rsidR="000C44E6" w:rsidRPr="002F09B3" w:rsidRDefault="000C44E6" w:rsidP="002F09B3">
            <w:pPr>
              <w:pStyle w:val="Akapitzlist5"/>
              <w:numPr>
                <w:ilvl w:val="0"/>
                <w:numId w:val="126"/>
              </w:numPr>
              <w:snapToGrid w:val="0"/>
              <w:spacing w:after="80" w:line="240" w:lineRule="auto"/>
              <w:ind w:left="660"/>
              <w:rPr>
                <w:rFonts w:asciiTheme="minorHAnsi" w:hAnsiTheme="minorHAnsi"/>
                <w:vanish/>
                <w:sz w:val="20"/>
                <w:szCs w:val="20"/>
              </w:rPr>
            </w:pPr>
          </w:p>
          <w:p w:rsidR="000C44E6" w:rsidRPr="002F09B3" w:rsidRDefault="000C44E6" w:rsidP="002F09B3">
            <w:pPr>
              <w:pStyle w:val="Akapitzlist5"/>
              <w:numPr>
                <w:ilvl w:val="0"/>
                <w:numId w:val="126"/>
              </w:numPr>
              <w:spacing w:after="80" w:line="240" w:lineRule="auto"/>
              <w:ind w:left="660"/>
              <w:rPr>
                <w:rFonts w:asciiTheme="minorHAnsi" w:hAnsiTheme="minorHAnsi"/>
                <w:vanish/>
                <w:sz w:val="20"/>
                <w:szCs w:val="20"/>
              </w:rPr>
            </w:pPr>
          </w:p>
          <w:p w:rsidR="000C44E6" w:rsidRPr="002F09B3" w:rsidRDefault="000C44E6" w:rsidP="002F09B3">
            <w:pPr>
              <w:pStyle w:val="Akapitzlist5"/>
              <w:numPr>
                <w:ilvl w:val="0"/>
                <w:numId w:val="126"/>
              </w:numPr>
              <w:spacing w:after="80" w:line="240" w:lineRule="auto"/>
              <w:ind w:left="660"/>
              <w:rPr>
                <w:rFonts w:asciiTheme="minorHAnsi" w:hAnsiTheme="minorHAnsi"/>
                <w:vanish/>
                <w:sz w:val="20"/>
                <w:szCs w:val="20"/>
              </w:rPr>
            </w:pPr>
          </w:p>
          <w:p w:rsidR="000C44E6" w:rsidRPr="002F09B3" w:rsidRDefault="000C44E6" w:rsidP="002F09B3">
            <w:pPr>
              <w:pStyle w:val="Akapitzlist5"/>
              <w:numPr>
                <w:ilvl w:val="0"/>
                <w:numId w:val="126"/>
              </w:numPr>
              <w:spacing w:after="80" w:line="240" w:lineRule="auto"/>
              <w:ind w:left="660"/>
              <w:rPr>
                <w:rFonts w:asciiTheme="minorHAnsi" w:hAnsiTheme="minorHAnsi"/>
                <w:vanish/>
                <w:sz w:val="20"/>
                <w:szCs w:val="20"/>
              </w:rPr>
            </w:pPr>
          </w:p>
          <w:p w:rsidR="000C44E6" w:rsidRPr="002F09B3" w:rsidRDefault="000C44E6" w:rsidP="002F09B3">
            <w:pPr>
              <w:pStyle w:val="Akapitzlist5"/>
              <w:numPr>
                <w:ilvl w:val="1"/>
                <w:numId w:val="126"/>
              </w:numPr>
              <w:spacing w:after="80" w:line="240" w:lineRule="auto"/>
              <w:ind w:left="660"/>
              <w:rPr>
                <w:rFonts w:asciiTheme="minorHAnsi" w:hAnsiTheme="minorHAnsi"/>
                <w:vanish/>
                <w:sz w:val="20"/>
                <w:szCs w:val="20"/>
              </w:rPr>
            </w:pPr>
          </w:p>
          <w:p w:rsidR="000C44E6" w:rsidRPr="002F09B3" w:rsidRDefault="000C44E6" w:rsidP="001F4BF1">
            <w:pPr>
              <w:pStyle w:val="ListParagraph1"/>
              <w:numPr>
                <w:ilvl w:val="2"/>
                <w:numId w:val="126"/>
              </w:numPr>
              <w:spacing w:before="0" w:after="50" w:line="235" w:lineRule="auto"/>
              <w:ind w:left="731" w:hanging="720"/>
              <w:jc w:val="left"/>
              <w:rPr>
                <w:rFonts w:asciiTheme="minorHAnsi" w:hAnsiTheme="minorHAnsi" w:cs="Calibri"/>
                <w:b w:val="0"/>
                <w:bCs w:val="0"/>
                <w:color w:val="auto"/>
                <w:sz w:val="20"/>
                <w:szCs w:val="20"/>
              </w:rPr>
            </w:pPr>
            <w:r w:rsidRPr="002F09B3">
              <w:rPr>
                <w:rFonts w:asciiTheme="minorHAnsi" w:hAnsiTheme="minorHAnsi" w:cs="Calibri"/>
                <w:b w:val="0"/>
                <w:bCs w:val="0"/>
                <w:color w:val="auto"/>
                <w:sz w:val="20"/>
                <w:szCs w:val="20"/>
              </w:rPr>
              <w:t>Prowadzenie badań umożliwiających ocenę potrzeb rekultywacyjnych odnośnie terenów poprzemysłowych oraz analiz pozwalających na określenie potencjalnego ponownego zagospodarowania tych terenów – w szczególności rozwoju funkcji niezbędnych dla rewitalizacji podobszarów zamieszkałych,</w:t>
            </w:r>
          </w:p>
          <w:p w:rsidR="000C44E6" w:rsidRPr="002F09B3" w:rsidRDefault="000C44E6" w:rsidP="001F4BF1">
            <w:pPr>
              <w:pStyle w:val="ListParagraph1"/>
              <w:numPr>
                <w:ilvl w:val="2"/>
                <w:numId w:val="126"/>
              </w:numPr>
              <w:spacing w:before="0" w:after="80" w:line="238" w:lineRule="auto"/>
              <w:ind w:left="731" w:hanging="720"/>
              <w:jc w:val="left"/>
              <w:rPr>
                <w:rFonts w:asciiTheme="minorHAnsi" w:hAnsiTheme="minorHAnsi" w:cs="Calibri"/>
                <w:b w:val="0"/>
                <w:bCs w:val="0"/>
                <w:color w:val="auto"/>
                <w:sz w:val="20"/>
                <w:szCs w:val="20"/>
              </w:rPr>
            </w:pPr>
            <w:r w:rsidRPr="002F09B3">
              <w:rPr>
                <w:rFonts w:asciiTheme="minorHAnsi" w:hAnsiTheme="minorHAnsi" w:cs="Calibri"/>
                <w:b w:val="0"/>
                <w:bCs w:val="0"/>
                <w:color w:val="auto"/>
                <w:sz w:val="20"/>
                <w:szCs w:val="20"/>
              </w:rPr>
              <w:t>Odnowa i wzbogacenie infrastruktury na zrekultywowanych terenach poprzemysłowych,</w:t>
            </w:r>
          </w:p>
          <w:p w:rsidR="000C44E6" w:rsidRPr="002F09B3" w:rsidRDefault="000C44E6" w:rsidP="001F4BF1">
            <w:pPr>
              <w:pStyle w:val="ListParagraph1"/>
              <w:numPr>
                <w:ilvl w:val="2"/>
                <w:numId w:val="126"/>
              </w:numPr>
              <w:spacing w:before="0" w:after="80" w:line="238" w:lineRule="auto"/>
              <w:ind w:left="731" w:hanging="720"/>
              <w:jc w:val="left"/>
              <w:rPr>
                <w:rFonts w:asciiTheme="minorHAnsi" w:hAnsiTheme="minorHAnsi" w:cs="Calibri"/>
                <w:b w:val="0"/>
                <w:bCs w:val="0"/>
                <w:color w:val="auto"/>
                <w:sz w:val="20"/>
                <w:szCs w:val="20"/>
              </w:rPr>
            </w:pPr>
            <w:r w:rsidRPr="002F09B3">
              <w:rPr>
                <w:rFonts w:asciiTheme="minorHAnsi" w:hAnsiTheme="minorHAnsi" w:cs="Calibri"/>
                <w:b w:val="0"/>
                <w:bCs w:val="0"/>
                <w:color w:val="auto"/>
                <w:sz w:val="20"/>
                <w:szCs w:val="20"/>
              </w:rPr>
              <w:t>Rozwijanie połączeń komunikacyjnych między terenami poprzemysłowymi a podobszarami rewitalizacji,</w:t>
            </w:r>
          </w:p>
          <w:p w:rsidR="000C44E6" w:rsidRPr="002F09B3" w:rsidRDefault="000C44E6" w:rsidP="001F4BF1">
            <w:pPr>
              <w:pStyle w:val="ListParagraph1"/>
              <w:numPr>
                <w:ilvl w:val="2"/>
                <w:numId w:val="126"/>
              </w:numPr>
              <w:spacing w:before="0" w:after="80" w:line="238" w:lineRule="auto"/>
              <w:ind w:left="731" w:hanging="720"/>
              <w:jc w:val="left"/>
              <w:rPr>
                <w:rFonts w:asciiTheme="minorHAnsi" w:hAnsiTheme="minorHAnsi" w:cs="Calibri"/>
                <w:b w:val="0"/>
                <w:bCs w:val="0"/>
                <w:color w:val="auto"/>
                <w:sz w:val="20"/>
                <w:szCs w:val="20"/>
              </w:rPr>
            </w:pPr>
            <w:r w:rsidRPr="002F09B3">
              <w:rPr>
                <w:rFonts w:asciiTheme="minorHAnsi" w:hAnsiTheme="minorHAnsi" w:cs="Calibri"/>
                <w:b w:val="0"/>
                <w:bCs w:val="0"/>
                <w:color w:val="auto"/>
                <w:sz w:val="20"/>
                <w:szCs w:val="20"/>
              </w:rPr>
              <w:t>Tworzenie na zrekultywowanych terenach poprzemysłowych warunków dla rozwoju przedsiębiorczości lokalnej, z</w:t>
            </w:r>
            <w:r w:rsidR="001F4BF1">
              <w:rPr>
                <w:rFonts w:asciiTheme="minorHAnsi" w:hAnsiTheme="minorHAnsi" w:cs="Calibri"/>
                <w:b w:val="0"/>
                <w:bCs w:val="0"/>
                <w:color w:val="auto"/>
                <w:sz w:val="20"/>
                <w:szCs w:val="20"/>
              </w:rPr>
              <w:t> </w:t>
            </w:r>
            <w:r w:rsidRPr="002F09B3">
              <w:rPr>
                <w:rFonts w:asciiTheme="minorHAnsi" w:hAnsiTheme="minorHAnsi" w:cs="Calibri"/>
                <w:b w:val="0"/>
                <w:bCs w:val="0"/>
                <w:color w:val="auto"/>
                <w:sz w:val="20"/>
                <w:szCs w:val="20"/>
              </w:rPr>
              <w:t>priorytetem dla firm zakładanych i rozwijanych przez mieszkańców obszarów zdegradowanych,</w:t>
            </w:r>
          </w:p>
          <w:p w:rsidR="000C44E6" w:rsidRPr="002F09B3" w:rsidRDefault="000C44E6" w:rsidP="001F4BF1">
            <w:pPr>
              <w:pStyle w:val="ListParagraph1"/>
              <w:numPr>
                <w:ilvl w:val="2"/>
                <w:numId w:val="126"/>
              </w:numPr>
              <w:spacing w:before="0" w:after="0" w:line="235" w:lineRule="auto"/>
              <w:ind w:left="731" w:hanging="720"/>
              <w:jc w:val="left"/>
              <w:rPr>
                <w:rFonts w:asciiTheme="minorHAnsi" w:hAnsiTheme="minorHAnsi" w:cs="Calibri"/>
                <w:b w:val="0"/>
                <w:bCs w:val="0"/>
                <w:color w:val="auto"/>
                <w:sz w:val="20"/>
                <w:szCs w:val="20"/>
              </w:rPr>
            </w:pPr>
            <w:r w:rsidRPr="002F09B3">
              <w:rPr>
                <w:rFonts w:asciiTheme="minorHAnsi" w:hAnsiTheme="minorHAnsi" w:cs="Calibri"/>
                <w:b w:val="0"/>
                <w:bCs w:val="0"/>
                <w:color w:val="auto"/>
                <w:sz w:val="20"/>
                <w:szCs w:val="20"/>
              </w:rPr>
              <w:t>Przyciąganie na zrekultywowane tereny poprzemysłowe inwestorów wpływających na poprawę sytuacji na rynku pracy oraz tworzących wokół siebie lokalne sieci kooperacji, w</w:t>
            </w:r>
            <w:r w:rsidR="001F4BF1">
              <w:rPr>
                <w:rFonts w:asciiTheme="minorHAnsi" w:hAnsiTheme="minorHAnsi" w:cs="Calibri"/>
                <w:b w:val="0"/>
                <w:bCs w:val="0"/>
                <w:color w:val="auto"/>
                <w:sz w:val="20"/>
                <w:szCs w:val="20"/>
              </w:rPr>
              <w:t> </w:t>
            </w:r>
            <w:r w:rsidRPr="002F09B3">
              <w:rPr>
                <w:rFonts w:asciiTheme="minorHAnsi" w:hAnsiTheme="minorHAnsi" w:cs="Calibri"/>
                <w:b w:val="0"/>
                <w:bCs w:val="0"/>
                <w:color w:val="auto"/>
                <w:sz w:val="20"/>
                <w:szCs w:val="20"/>
              </w:rPr>
              <w:t>których mogą uczestniczyć firmy związane z obszarem rewitalizacji (poprzez siedzibę, osobę przedsiębiorcy, osoby zatrudnione w</w:t>
            </w:r>
            <w:r w:rsidR="001214A0">
              <w:rPr>
                <w:rFonts w:asciiTheme="minorHAnsi" w:hAnsiTheme="minorHAnsi" w:cs="Calibri"/>
                <w:b w:val="0"/>
                <w:bCs w:val="0"/>
                <w:color w:val="auto"/>
                <w:sz w:val="20"/>
                <w:szCs w:val="20"/>
              </w:rPr>
              <w:t> </w:t>
            </w:r>
            <w:r w:rsidRPr="002F09B3">
              <w:rPr>
                <w:rFonts w:asciiTheme="minorHAnsi" w:hAnsiTheme="minorHAnsi" w:cs="Calibri"/>
                <w:b w:val="0"/>
                <w:bCs w:val="0"/>
                <w:color w:val="auto"/>
                <w:sz w:val="20"/>
                <w:szCs w:val="20"/>
              </w:rPr>
              <w:t>tych firmach),</w:t>
            </w:r>
          </w:p>
          <w:p w:rsidR="000C44E6" w:rsidRPr="002F09B3" w:rsidRDefault="000C44E6" w:rsidP="001F4BF1">
            <w:pPr>
              <w:pStyle w:val="ListParagraph1"/>
              <w:numPr>
                <w:ilvl w:val="2"/>
                <w:numId w:val="126"/>
              </w:numPr>
              <w:spacing w:before="0" w:after="80" w:line="240" w:lineRule="auto"/>
              <w:ind w:left="731" w:hanging="720"/>
              <w:jc w:val="left"/>
              <w:rPr>
                <w:rFonts w:asciiTheme="minorHAnsi" w:hAnsiTheme="minorHAnsi"/>
                <w:sz w:val="20"/>
                <w:szCs w:val="20"/>
              </w:rPr>
            </w:pPr>
            <w:r w:rsidRPr="002F09B3">
              <w:rPr>
                <w:rFonts w:asciiTheme="minorHAnsi" w:hAnsiTheme="minorHAnsi" w:cs="Calibri"/>
                <w:b w:val="0"/>
                <w:bCs w:val="0"/>
                <w:color w:val="auto"/>
                <w:sz w:val="20"/>
                <w:szCs w:val="20"/>
              </w:rPr>
              <w:t>Utworzenie na zrekultywowanych terenach poprzemysłowych nowych przestrzeni rekreacyjno-sportowych sprzyjających integracji mieszkańców miasta, w szczególności przywróceniu więzi między mieszkańcami miasta, a mieszkańcami obszaru rewitalizacji</w:t>
            </w:r>
            <w:r w:rsidR="00A93DDE">
              <w:rPr>
                <w:rFonts w:asciiTheme="minorHAnsi" w:hAnsiTheme="minorHAnsi" w:cs="Calibri"/>
                <w:b w:val="0"/>
                <w:bCs w:val="0"/>
                <w:color w:val="auto"/>
                <w:sz w:val="20"/>
                <w:szCs w:val="20"/>
              </w:rPr>
              <w:t>.</w:t>
            </w:r>
          </w:p>
        </w:tc>
      </w:tr>
      <w:tr w:rsidR="000C44E6" w:rsidRPr="002F09B3" w:rsidTr="00987174">
        <w:tc>
          <w:tcPr>
            <w:tcW w:w="3209" w:type="dxa"/>
            <w:tcBorders>
              <w:top w:val="single" w:sz="4" w:space="0" w:color="000000"/>
              <w:left w:val="single" w:sz="4" w:space="0" w:color="000000"/>
              <w:bottom w:val="single" w:sz="4" w:space="0" w:color="000000"/>
            </w:tcBorders>
          </w:tcPr>
          <w:p w:rsidR="000C44E6" w:rsidRPr="002F09B3" w:rsidRDefault="000C44E6" w:rsidP="002F09B3">
            <w:pPr>
              <w:pStyle w:val="ListParagraph1"/>
              <w:spacing w:before="0" w:after="0" w:line="240" w:lineRule="auto"/>
              <w:jc w:val="left"/>
              <w:rPr>
                <w:rFonts w:asciiTheme="minorHAnsi" w:hAnsiTheme="minorHAnsi" w:cs="Calibri"/>
                <w:vanish/>
                <w:sz w:val="20"/>
                <w:szCs w:val="20"/>
              </w:rPr>
            </w:pPr>
            <w:r w:rsidRPr="002F09B3">
              <w:rPr>
                <w:rFonts w:asciiTheme="minorHAnsi" w:hAnsiTheme="minorHAnsi" w:cs="Calibri"/>
                <w:bCs w:val="0"/>
                <w:color w:val="auto"/>
                <w:sz w:val="20"/>
                <w:szCs w:val="20"/>
              </w:rPr>
              <w:t>4.2 Przywrócona wartość obiektów historycznych, kulturowych, krajobrazowo-przyrodniczych przyczyniająca się do wzmacniania tożsamości społeczności lokalnych.</w:t>
            </w:r>
          </w:p>
        </w:tc>
        <w:tc>
          <w:tcPr>
            <w:tcW w:w="6041" w:type="dxa"/>
            <w:tcBorders>
              <w:top w:val="single" w:sz="4" w:space="0" w:color="000000"/>
              <w:left w:val="single" w:sz="4" w:space="0" w:color="000000"/>
              <w:bottom w:val="single" w:sz="4" w:space="0" w:color="000000"/>
              <w:right w:val="single" w:sz="4" w:space="0" w:color="000000"/>
            </w:tcBorders>
          </w:tcPr>
          <w:p w:rsidR="000C44E6" w:rsidRPr="002F09B3" w:rsidRDefault="000C44E6" w:rsidP="002F09B3">
            <w:pPr>
              <w:pStyle w:val="Akapitzlist5"/>
              <w:numPr>
                <w:ilvl w:val="0"/>
                <w:numId w:val="120"/>
              </w:numPr>
              <w:snapToGrid w:val="0"/>
              <w:spacing w:after="80" w:line="240" w:lineRule="auto"/>
              <w:ind w:left="660"/>
              <w:rPr>
                <w:rFonts w:asciiTheme="minorHAnsi" w:hAnsiTheme="minorHAnsi"/>
                <w:vanish/>
                <w:sz w:val="20"/>
                <w:szCs w:val="20"/>
              </w:rPr>
            </w:pPr>
          </w:p>
          <w:p w:rsidR="000C44E6" w:rsidRPr="002F09B3" w:rsidRDefault="000C44E6" w:rsidP="002F09B3">
            <w:pPr>
              <w:pStyle w:val="Akapitzlist5"/>
              <w:numPr>
                <w:ilvl w:val="0"/>
                <w:numId w:val="120"/>
              </w:numPr>
              <w:spacing w:after="80" w:line="240" w:lineRule="auto"/>
              <w:ind w:left="660"/>
              <w:rPr>
                <w:rFonts w:asciiTheme="minorHAnsi" w:hAnsiTheme="minorHAnsi"/>
                <w:vanish/>
                <w:sz w:val="20"/>
                <w:szCs w:val="20"/>
              </w:rPr>
            </w:pPr>
          </w:p>
          <w:p w:rsidR="000C44E6" w:rsidRPr="002F09B3" w:rsidRDefault="000C44E6" w:rsidP="002F09B3">
            <w:pPr>
              <w:pStyle w:val="Akapitzlist5"/>
              <w:numPr>
                <w:ilvl w:val="0"/>
                <w:numId w:val="120"/>
              </w:numPr>
              <w:spacing w:after="80" w:line="240" w:lineRule="auto"/>
              <w:ind w:left="660"/>
              <w:rPr>
                <w:rFonts w:asciiTheme="minorHAnsi" w:hAnsiTheme="minorHAnsi"/>
                <w:vanish/>
                <w:sz w:val="20"/>
                <w:szCs w:val="20"/>
              </w:rPr>
            </w:pPr>
          </w:p>
          <w:p w:rsidR="000C44E6" w:rsidRPr="002F09B3" w:rsidRDefault="000C44E6" w:rsidP="002F09B3">
            <w:pPr>
              <w:pStyle w:val="Akapitzlist5"/>
              <w:numPr>
                <w:ilvl w:val="0"/>
                <w:numId w:val="120"/>
              </w:numPr>
              <w:spacing w:after="80" w:line="240" w:lineRule="auto"/>
              <w:ind w:left="660"/>
              <w:rPr>
                <w:rFonts w:asciiTheme="minorHAnsi" w:hAnsiTheme="minorHAnsi"/>
                <w:vanish/>
                <w:sz w:val="20"/>
                <w:szCs w:val="20"/>
              </w:rPr>
            </w:pPr>
          </w:p>
          <w:p w:rsidR="000C44E6" w:rsidRPr="002F09B3" w:rsidRDefault="000C44E6" w:rsidP="002F09B3">
            <w:pPr>
              <w:pStyle w:val="Akapitzlist5"/>
              <w:numPr>
                <w:ilvl w:val="1"/>
                <w:numId w:val="120"/>
              </w:numPr>
              <w:spacing w:after="80" w:line="240" w:lineRule="auto"/>
              <w:ind w:left="660"/>
              <w:rPr>
                <w:rFonts w:asciiTheme="minorHAnsi" w:hAnsiTheme="minorHAnsi"/>
                <w:vanish/>
                <w:sz w:val="20"/>
                <w:szCs w:val="20"/>
              </w:rPr>
            </w:pPr>
          </w:p>
          <w:p w:rsidR="000C44E6" w:rsidRPr="002F09B3" w:rsidRDefault="000C44E6" w:rsidP="002F09B3">
            <w:pPr>
              <w:pStyle w:val="Akapitzlist5"/>
              <w:numPr>
                <w:ilvl w:val="1"/>
                <w:numId w:val="120"/>
              </w:numPr>
              <w:spacing w:after="80" w:line="240" w:lineRule="auto"/>
              <w:ind w:left="660"/>
              <w:rPr>
                <w:rFonts w:asciiTheme="minorHAnsi" w:hAnsiTheme="minorHAnsi"/>
                <w:vanish/>
                <w:sz w:val="20"/>
                <w:szCs w:val="20"/>
              </w:rPr>
            </w:pPr>
          </w:p>
          <w:p w:rsidR="000C44E6" w:rsidRPr="002F09B3" w:rsidRDefault="000C44E6" w:rsidP="001F4BF1">
            <w:pPr>
              <w:pStyle w:val="ListParagraph1"/>
              <w:numPr>
                <w:ilvl w:val="2"/>
                <w:numId w:val="120"/>
              </w:numPr>
              <w:spacing w:before="0" w:after="80" w:line="240" w:lineRule="auto"/>
              <w:ind w:left="731" w:hanging="720"/>
              <w:jc w:val="left"/>
              <w:rPr>
                <w:rFonts w:asciiTheme="minorHAnsi" w:hAnsiTheme="minorHAnsi" w:cs="Calibri"/>
                <w:b w:val="0"/>
                <w:bCs w:val="0"/>
                <w:color w:val="auto"/>
                <w:sz w:val="20"/>
                <w:szCs w:val="20"/>
              </w:rPr>
            </w:pPr>
            <w:r w:rsidRPr="002F09B3">
              <w:rPr>
                <w:rFonts w:asciiTheme="minorHAnsi" w:hAnsiTheme="minorHAnsi" w:cs="Calibri"/>
                <w:b w:val="0"/>
                <w:bCs w:val="0"/>
                <w:color w:val="auto"/>
                <w:sz w:val="20"/>
                <w:szCs w:val="20"/>
              </w:rPr>
              <w:t>Wykorzystanie miejsc o wysokiej wartości przyrodniczo-krajobrazowej lub kulturowej do kreowania całorocznych miejsc spotkań, rekreacji oraz różnych form spędzania czasu wolnego,</w:t>
            </w:r>
          </w:p>
          <w:p w:rsidR="000C44E6" w:rsidRPr="002F09B3" w:rsidRDefault="000C44E6" w:rsidP="001F4BF1">
            <w:pPr>
              <w:pStyle w:val="ListParagraph1"/>
              <w:numPr>
                <w:ilvl w:val="2"/>
                <w:numId w:val="120"/>
              </w:numPr>
              <w:spacing w:before="0" w:after="80" w:line="240" w:lineRule="auto"/>
              <w:ind w:left="731" w:hanging="720"/>
              <w:jc w:val="left"/>
              <w:rPr>
                <w:rFonts w:asciiTheme="minorHAnsi" w:hAnsiTheme="minorHAnsi" w:cs="Calibri"/>
                <w:b w:val="0"/>
                <w:bCs w:val="0"/>
                <w:color w:val="auto"/>
                <w:sz w:val="20"/>
                <w:szCs w:val="20"/>
              </w:rPr>
            </w:pPr>
            <w:r w:rsidRPr="002F09B3">
              <w:rPr>
                <w:rFonts w:asciiTheme="minorHAnsi" w:hAnsiTheme="minorHAnsi" w:cs="Calibri"/>
                <w:b w:val="0"/>
                <w:bCs w:val="0"/>
                <w:color w:val="auto"/>
                <w:sz w:val="20"/>
                <w:szCs w:val="20"/>
              </w:rPr>
              <w:t>Renowacja budynków o znaczeniu kulturowym/historycznym istotnych dla wizerunku miasta,</w:t>
            </w:r>
          </w:p>
          <w:p w:rsidR="000C44E6" w:rsidRPr="002F09B3" w:rsidRDefault="000C44E6" w:rsidP="001F4BF1">
            <w:pPr>
              <w:pStyle w:val="ListParagraph1"/>
              <w:numPr>
                <w:ilvl w:val="2"/>
                <w:numId w:val="120"/>
              </w:numPr>
              <w:spacing w:before="0" w:after="80" w:line="240" w:lineRule="auto"/>
              <w:ind w:left="731" w:hanging="720"/>
              <w:jc w:val="left"/>
              <w:rPr>
                <w:rFonts w:asciiTheme="minorHAnsi" w:hAnsiTheme="minorHAnsi"/>
                <w:sz w:val="20"/>
                <w:szCs w:val="20"/>
              </w:rPr>
            </w:pPr>
            <w:r w:rsidRPr="002F09B3">
              <w:rPr>
                <w:rFonts w:asciiTheme="minorHAnsi" w:hAnsiTheme="minorHAnsi" w:cs="Calibri"/>
                <w:b w:val="0"/>
                <w:bCs w:val="0"/>
                <w:color w:val="auto"/>
                <w:sz w:val="20"/>
                <w:szCs w:val="20"/>
              </w:rPr>
              <w:t>Prowadzenie działań mających na celu ochronę przyrody i</w:t>
            </w:r>
            <w:r w:rsidR="007041EE">
              <w:rPr>
                <w:rFonts w:asciiTheme="minorHAnsi" w:hAnsiTheme="minorHAnsi" w:cs="Calibri"/>
                <w:b w:val="0"/>
                <w:bCs w:val="0"/>
                <w:color w:val="auto"/>
                <w:sz w:val="20"/>
                <w:szCs w:val="20"/>
              </w:rPr>
              <w:t> </w:t>
            </w:r>
            <w:r w:rsidRPr="002F09B3">
              <w:rPr>
                <w:rFonts w:asciiTheme="minorHAnsi" w:hAnsiTheme="minorHAnsi" w:cs="Calibri"/>
                <w:b w:val="0"/>
                <w:bCs w:val="0"/>
                <w:color w:val="auto"/>
                <w:sz w:val="20"/>
                <w:szCs w:val="20"/>
              </w:rPr>
              <w:t>bioróżnorodności.</w:t>
            </w:r>
          </w:p>
        </w:tc>
      </w:tr>
    </w:tbl>
    <w:p w:rsidR="00A32047" w:rsidRPr="00AE19F2" w:rsidRDefault="00A32047" w:rsidP="00A32047">
      <w:pPr>
        <w:jc w:val="both"/>
        <w:rPr>
          <w:noProof/>
          <w:snapToGrid w:val="0"/>
          <w:webHidden/>
          <w:sz w:val="22"/>
        </w:rPr>
      </w:pPr>
      <w:r w:rsidRPr="00AE19F2">
        <w:rPr>
          <w:rFonts w:ascii="Calibri" w:hAnsi="Calibri" w:cs="Calibri"/>
          <w:i/>
          <w:sz w:val="18"/>
        </w:rPr>
        <w:t>Źródło: Opracowanie własne na podstawie danych z raportów z partycypacji społecznej w podobszarach rewitalizacji oraz w</w:t>
      </w:r>
      <w:r w:rsidR="00DE714B">
        <w:rPr>
          <w:rFonts w:ascii="Calibri" w:hAnsi="Calibri" w:cs="Calibri"/>
          <w:i/>
          <w:sz w:val="18"/>
        </w:rPr>
        <w:t> </w:t>
      </w:r>
      <w:r w:rsidRPr="00AE19F2">
        <w:rPr>
          <w:rFonts w:ascii="Calibri" w:hAnsi="Calibri" w:cs="Calibri"/>
          <w:i/>
          <w:sz w:val="18"/>
        </w:rPr>
        <w:t>odniesieniu do problemów zidentyfikowanych w pogłębionej diagnozie.</w:t>
      </w:r>
    </w:p>
    <w:p w:rsidR="003829D3" w:rsidRDefault="003829D3">
      <w:pPr>
        <w:jc w:val="both"/>
        <w:rPr>
          <w:rFonts w:ascii="Calibri" w:hAnsi="Calibri" w:cs="Calibri"/>
        </w:rPr>
      </w:pPr>
    </w:p>
    <w:p w:rsidR="00550A50" w:rsidRDefault="00550A50">
      <w:pPr>
        <w:rPr>
          <w:rFonts w:ascii="Calibri" w:hAnsi="Calibri"/>
          <w:b/>
          <w:bCs/>
          <w:color w:val="3366FF"/>
          <w:sz w:val="28"/>
          <w:szCs w:val="28"/>
        </w:rPr>
      </w:pPr>
      <w:bookmarkStart w:id="7855" w:name="_Toc460313321"/>
      <w:r>
        <w:br w:type="page"/>
      </w:r>
    </w:p>
    <w:p w:rsidR="000C70A4" w:rsidRDefault="001457C3" w:rsidP="001457C3">
      <w:pPr>
        <w:pStyle w:val="Nagwek2"/>
        <w:numPr>
          <w:ilvl w:val="0"/>
          <w:numId w:val="0"/>
        </w:numPr>
        <w:ind w:left="431" w:hanging="431"/>
      </w:pPr>
      <w:bookmarkStart w:id="7856" w:name="_Toc474924962"/>
      <w:r>
        <w:lastRenderedPageBreak/>
        <w:t xml:space="preserve">3.2. </w:t>
      </w:r>
      <w:r w:rsidR="000C70A4">
        <w:t xml:space="preserve">Włączenie interesariuszy rewitalizacji – partycypacja w procesie tworzenia </w:t>
      </w:r>
      <w:r w:rsidR="00D5015B">
        <w:t>i </w:t>
      </w:r>
      <w:r w:rsidR="000C70A4">
        <w:t xml:space="preserve">wdrażania </w:t>
      </w:r>
      <w:r w:rsidR="0017230A">
        <w:t>„</w:t>
      </w:r>
      <w:r w:rsidR="000C70A4">
        <w:t>Gminnego Programu Rewitalizacji. Bytom 2020+</w:t>
      </w:r>
      <w:bookmarkEnd w:id="7855"/>
      <w:r w:rsidR="0017230A">
        <w:t>”</w:t>
      </w:r>
      <w:bookmarkEnd w:id="7856"/>
    </w:p>
    <w:p w:rsidR="000C70A4" w:rsidRDefault="000C70A4">
      <w:pPr>
        <w:jc w:val="both"/>
        <w:rPr>
          <w:rFonts w:ascii="Calibri" w:hAnsi="Calibri" w:cs="Calibri"/>
        </w:rPr>
      </w:pPr>
    </w:p>
    <w:p w:rsidR="008D4C16" w:rsidRPr="008D4C16" w:rsidRDefault="008D4C16" w:rsidP="005E1F93">
      <w:pPr>
        <w:pStyle w:val="Default"/>
        <w:ind w:firstLine="708"/>
        <w:jc w:val="both"/>
        <w:rPr>
          <w:rFonts w:cs="Arial"/>
          <w:color w:val="auto"/>
          <w:sz w:val="20"/>
          <w:szCs w:val="20"/>
        </w:rPr>
      </w:pPr>
      <w:r w:rsidRPr="008D4C16">
        <w:rPr>
          <w:rFonts w:cs="Arial"/>
          <w:color w:val="auto"/>
          <w:sz w:val="20"/>
          <w:szCs w:val="20"/>
        </w:rPr>
        <w:t xml:space="preserve">Zgodnie z art. 5 ust. 1 Ustawy z dnia 9 października 2015 r. o rewitalizacji – partycypacja społeczna jest podstawowym warunkiem procesu rewitalizacji, który obejmuje przygotowanie, prowadzenie </w:t>
      </w:r>
      <w:r w:rsidRPr="008D4C16">
        <w:rPr>
          <w:rFonts w:cs="Arial"/>
          <w:color w:val="auto"/>
          <w:sz w:val="20"/>
          <w:szCs w:val="20"/>
        </w:rPr>
        <w:br/>
        <w:t xml:space="preserve">i ocenę rewitalizacji w sposób zapewniający aktywny udział interesariuszy, czyli przede wszystkim </w:t>
      </w:r>
      <w:r w:rsidRPr="008D4C16">
        <w:rPr>
          <w:rStyle w:val="italic"/>
          <w:rFonts w:cs="Arial"/>
          <w:color w:val="auto"/>
          <w:sz w:val="20"/>
          <w:szCs w:val="20"/>
        </w:rPr>
        <w:t>mieszkańców obszaru rewitalizacji, właścicieli nieruchomości i podmiotów zarządzających nieruchomościami znajdującymi się na tym obszarze, podmiotów prowadzących lub zamierzających prowadzić na obszarze gminy działalność gospodarczą lub społeczną, w tym organizacje pozarządowe i grupy nieformalne, a także wielu innych podmiotów,</w:t>
      </w:r>
      <w:r w:rsidRPr="008D4C16">
        <w:rPr>
          <w:rFonts w:cs="Arial"/>
          <w:color w:val="auto"/>
          <w:sz w:val="20"/>
          <w:szCs w:val="20"/>
        </w:rPr>
        <w:t xml:space="preserve"> poprzez ich uczestnictwo</w:t>
      </w:r>
      <w:r>
        <w:rPr>
          <w:rFonts w:cs="Arial"/>
          <w:color w:val="auto"/>
          <w:sz w:val="20"/>
          <w:szCs w:val="20"/>
        </w:rPr>
        <w:t xml:space="preserve"> </w:t>
      </w:r>
      <w:r w:rsidRPr="008D4C16">
        <w:rPr>
          <w:rFonts w:cs="Arial"/>
          <w:color w:val="auto"/>
          <w:sz w:val="20"/>
          <w:szCs w:val="20"/>
        </w:rPr>
        <w:t xml:space="preserve">w konsultacjach społecznych oraz w pracach Komitetu Rewitalizacji. Ale to nie jedyny powód włączenia w ten proces tak szerokiego grona interesariuszy. Konieczność partycypacji </w:t>
      </w:r>
      <w:r w:rsidRPr="008D4C16">
        <w:rPr>
          <w:rFonts w:cs="Arial"/>
          <w:color w:val="auto"/>
          <w:sz w:val="20"/>
          <w:szCs w:val="20"/>
        </w:rPr>
        <w:br/>
        <w:t xml:space="preserve">i skonsolidowania wysiłków różnych podmiotów na rzecz obszaru rewitalizacji, jest fundamentem działań, dzięki którym realizacja przedsięwzięć rewitalizacyjnych w perspektywie długookresowej ma szansę powodzenia. W związku z tym, partycypacja społeczna jest niezbędnym elementem działań rewitalizacyjnych, od etapu projektowania tych działań, przez ich realizację aż po ocenę przeprowadzonego procesu. </w:t>
      </w:r>
    </w:p>
    <w:p w:rsidR="006E0AA0" w:rsidRPr="005E1F93" w:rsidRDefault="0017230A" w:rsidP="005E1F93">
      <w:pPr>
        <w:pStyle w:val="Default"/>
        <w:ind w:firstLine="708"/>
        <w:jc w:val="both"/>
        <w:rPr>
          <w:rFonts w:cs="Arial"/>
          <w:color w:val="auto"/>
          <w:sz w:val="20"/>
          <w:szCs w:val="20"/>
        </w:rPr>
      </w:pPr>
      <w:r>
        <w:rPr>
          <w:rFonts w:cs="Arial"/>
          <w:color w:val="auto"/>
          <w:sz w:val="20"/>
          <w:szCs w:val="20"/>
        </w:rPr>
        <w:t>„</w:t>
      </w:r>
      <w:r w:rsidR="008D4C16" w:rsidRPr="008D4C16">
        <w:rPr>
          <w:rFonts w:cs="Arial"/>
          <w:color w:val="auto"/>
          <w:sz w:val="20"/>
          <w:szCs w:val="20"/>
        </w:rPr>
        <w:t>Gminny Program Rewitalizacji. Bytom 2020+</w:t>
      </w:r>
      <w:r>
        <w:rPr>
          <w:rFonts w:cs="Arial"/>
          <w:color w:val="auto"/>
          <w:sz w:val="20"/>
          <w:szCs w:val="20"/>
        </w:rPr>
        <w:t>”</w:t>
      </w:r>
      <w:r w:rsidR="008D4C16" w:rsidRPr="008D4C16">
        <w:rPr>
          <w:rFonts w:cs="Arial"/>
          <w:color w:val="auto"/>
          <w:sz w:val="20"/>
          <w:szCs w:val="20"/>
        </w:rPr>
        <w:t xml:space="preserve"> został przygotowany w procesie szerokiej partycypacji społecznej. Każdemu etapowi prac, związanych z dokumentem, towarzyszyła zasada partnerstwa różnych środowisk i partnerów, w tym podczas wyznaczenia obszaru zdegradowanego i obszaru rewitalizacji, a także w</w:t>
      </w:r>
      <w:r w:rsidR="00044DA7">
        <w:rPr>
          <w:rFonts w:cs="Arial"/>
          <w:color w:val="auto"/>
          <w:sz w:val="20"/>
          <w:szCs w:val="20"/>
        </w:rPr>
        <w:t> </w:t>
      </w:r>
      <w:r w:rsidR="008D4C16" w:rsidRPr="008D4C16">
        <w:rPr>
          <w:rFonts w:cs="Arial"/>
          <w:color w:val="auto"/>
          <w:sz w:val="20"/>
          <w:szCs w:val="20"/>
        </w:rPr>
        <w:t>trakcie zbierania propozycji projektów przedsięwzięć rewitalizacyjnych.</w:t>
      </w:r>
    </w:p>
    <w:p w:rsidR="006E0AA0" w:rsidRDefault="006E0AA0" w:rsidP="006E0AA0">
      <w:pPr>
        <w:ind w:firstLine="567"/>
        <w:jc w:val="both"/>
        <w:rPr>
          <w:rFonts w:cs="Arial"/>
          <w:szCs w:val="20"/>
        </w:rPr>
      </w:pPr>
    </w:p>
    <w:p w:rsidR="00B007BE" w:rsidRPr="00B007BE" w:rsidRDefault="00B007BE" w:rsidP="00B007BE">
      <w:pPr>
        <w:pStyle w:val="Akapitzlist"/>
        <w:keepNext/>
        <w:numPr>
          <w:ilvl w:val="0"/>
          <w:numId w:val="191"/>
        </w:numPr>
        <w:spacing w:before="240" w:after="60" w:line="240" w:lineRule="auto"/>
        <w:outlineLvl w:val="2"/>
        <w:rPr>
          <w:rFonts w:eastAsia="Times New Roman" w:cs="Calibri"/>
          <w:b/>
          <w:bCs/>
          <w:vanish/>
          <w:color w:val="3366FF"/>
          <w:sz w:val="26"/>
          <w:szCs w:val="26"/>
          <w:lang w:eastAsia="pl-PL"/>
        </w:rPr>
      </w:pPr>
      <w:bookmarkStart w:id="7857" w:name="_Toc467669580"/>
      <w:bookmarkStart w:id="7858" w:name="_Toc467832085"/>
      <w:bookmarkStart w:id="7859" w:name="_Toc467832205"/>
      <w:bookmarkStart w:id="7860" w:name="_Toc467834910"/>
      <w:bookmarkStart w:id="7861" w:name="_Toc467843591"/>
      <w:bookmarkStart w:id="7862" w:name="_Toc467845577"/>
      <w:bookmarkStart w:id="7863" w:name="_Toc467847520"/>
      <w:bookmarkStart w:id="7864" w:name="_Toc467847642"/>
      <w:bookmarkStart w:id="7865" w:name="_Toc467847764"/>
      <w:bookmarkStart w:id="7866" w:name="_Toc467847888"/>
      <w:bookmarkStart w:id="7867" w:name="_Toc467848012"/>
      <w:bookmarkStart w:id="7868" w:name="_Toc467848136"/>
      <w:bookmarkStart w:id="7869" w:name="_Toc467848260"/>
      <w:bookmarkStart w:id="7870" w:name="_Toc467848384"/>
      <w:bookmarkStart w:id="7871" w:name="_Toc467848508"/>
      <w:bookmarkStart w:id="7872" w:name="_Toc468097982"/>
      <w:bookmarkStart w:id="7873" w:name="_Toc468098106"/>
      <w:bookmarkStart w:id="7874" w:name="_Toc468104773"/>
      <w:bookmarkStart w:id="7875" w:name="_Toc468104897"/>
      <w:bookmarkStart w:id="7876" w:name="_Toc468105023"/>
      <w:bookmarkStart w:id="7877" w:name="_Toc468105149"/>
      <w:bookmarkStart w:id="7878" w:name="_Toc468105275"/>
      <w:bookmarkStart w:id="7879" w:name="_Toc468105401"/>
      <w:bookmarkStart w:id="7880" w:name="_Toc468105885"/>
      <w:bookmarkStart w:id="7881" w:name="_Toc468106012"/>
      <w:bookmarkStart w:id="7882" w:name="_Toc468116306"/>
      <w:bookmarkStart w:id="7883" w:name="_Toc468178262"/>
      <w:bookmarkStart w:id="7884" w:name="_Toc468181556"/>
      <w:bookmarkStart w:id="7885" w:name="_Toc468181683"/>
      <w:bookmarkStart w:id="7886" w:name="_Toc468181812"/>
      <w:bookmarkStart w:id="7887" w:name="_Toc468181978"/>
      <w:bookmarkStart w:id="7888" w:name="_Toc468185919"/>
      <w:bookmarkStart w:id="7889" w:name="_Toc468190851"/>
      <w:bookmarkStart w:id="7890" w:name="_Toc468190977"/>
      <w:bookmarkStart w:id="7891" w:name="_Toc468191469"/>
      <w:bookmarkStart w:id="7892" w:name="_Toc468258140"/>
      <w:bookmarkStart w:id="7893" w:name="_Toc468258371"/>
      <w:bookmarkStart w:id="7894" w:name="_Toc468258665"/>
      <w:bookmarkStart w:id="7895" w:name="_Toc468258794"/>
      <w:bookmarkStart w:id="7896" w:name="_Toc468258927"/>
      <w:bookmarkStart w:id="7897" w:name="_Toc468259058"/>
      <w:bookmarkStart w:id="7898" w:name="_Toc468259187"/>
      <w:bookmarkStart w:id="7899" w:name="_Toc468259316"/>
      <w:bookmarkStart w:id="7900" w:name="_Toc468259573"/>
      <w:bookmarkStart w:id="7901" w:name="_Toc468259705"/>
      <w:bookmarkStart w:id="7902" w:name="_Toc468259835"/>
      <w:bookmarkStart w:id="7903" w:name="_Toc468259964"/>
      <w:bookmarkStart w:id="7904" w:name="_Toc468260095"/>
      <w:bookmarkStart w:id="7905" w:name="_Toc468260224"/>
      <w:bookmarkStart w:id="7906" w:name="_Toc468260353"/>
      <w:bookmarkStart w:id="7907" w:name="_Toc468260482"/>
      <w:bookmarkStart w:id="7908" w:name="_Toc468260611"/>
      <w:bookmarkStart w:id="7909" w:name="_Toc468260740"/>
      <w:bookmarkStart w:id="7910" w:name="_Toc468260868"/>
      <w:bookmarkStart w:id="7911" w:name="_Toc468260999"/>
      <w:bookmarkStart w:id="7912" w:name="_Toc468261130"/>
      <w:bookmarkStart w:id="7913" w:name="_Toc468261261"/>
      <w:bookmarkStart w:id="7914" w:name="_Toc468261392"/>
      <w:bookmarkStart w:id="7915" w:name="_Toc468261523"/>
      <w:bookmarkStart w:id="7916" w:name="_Toc468266837"/>
      <w:bookmarkStart w:id="7917" w:name="_Toc468266965"/>
      <w:bookmarkStart w:id="7918" w:name="_Toc468267093"/>
      <w:bookmarkStart w:id="7919" w:name="_Toc468269504"/>
      <w:bookmarkStart w:id="7920" w:name="_Toc468279470"/>
      <w:bookmarkStart w:id="7921" w:name="_Toc468360322"/>
      <w:bookmarkStart w:id="7922" w:name="_Toc468361263"/>
      <w:bookmarkStart w:id="7923" w:name="_Toc468363493"/>
      <w:bookmarkStart w:id="7924" w:name="_Toc468366320"/>
      <w:bookmarkStart w:id="7925" w:name="_Toc468428410"/>
      <w:bookmarkStart w:id="7926" w:name="_Toc468691806"/>
      <w:bookmarkStart w:id="7927" w:name="_Toc468691933"/>
      <w:bookmarkStart w:id="7928" w:name="_Toc468692060"/>
      <w:bookmarkStart w:id="7929" w:name="_Toc468694014"/>
      <w:bookmarkStart w:id="7930" w:name="_Toc468712709"/>
      <w:bookmarkStart w:id="7931" w:name="_Toc468712837"/>
      <w:bookmarkStart w:id="7932" w:name="_Toc468712964"/>
      <w:bookmarkStart w:id="7933" w:name="_Toc468713091"/>
      <w:bookmarkStart w:id="7934" w:name="_Toc468713218"/>
      <w:bookmarkStart w:id="7935" w:name="_Toc468713345"/>
      <w:bookmarkStart w:id="7936" w:name="_Toc468713472"/>
      <w:bookmarkStart w:id="7937" w:name="_Toc468713599"/>
      <w:bookmarkStart w:id="7938" w:name="_Toc468713852"/>
      <w:bookmarkStart w:id="7939" w:name="_Toc468713979"/>
      <w:bookmarkStart w:id="7940" w:name="_Toc468714106"/>
      <w:bookmarkStart w:id="7941" w:name="_Toc468787115"/>
      <w:bookmarkStart w:id="7942" w:name="_Toc468787433"/>
      <w:bookmarkStart w:id="7943" w:name="_Toc468787561"/>
      <w:bookmarkStart w:id="7944" w:name="_Toc468787689"/>
      <w:bookmarkStart w:id="7945" w:name="_Toc468787816"/>
      <w:bookmarkStart w:id="7946" w:name="_Toc468787943"/>
      <w:bookmarkStart w:id="7947" w:name="_Toc468788070"/>
      <w:bookmarkStart w:id="7948" w:name="_Toc468957750"/>
      <w:bookmarkStart w:id="7949" w:name="_Toc468957877"/>
      <w:bookmarkStart w:id="7950" w:name="_Toc468958004"/>
      <w:bookmarkStart w:id="7951" w:name="_Toc468958131"/>
      <w:bookmarkStart w:id="7952" w:name="_Toc468958258"/>
      <w:bookmarkStart w:id="7953" w:name="_Toc468958385"/>
      <w:bookmarkStart w:id="7954" w:name="_Toc468958512"/>
      <w:bookmarkStart w:id="7955" w:name="_Toc468958639"/>
      <w:bookmarkStart w:id="7956" w:name="_Toc468958766"/>
      <w:bookmarkStart w:id="7957" w:name="_Toc468958893"/>
      <w:bookmarkStart w:id="7958" w:name="_Toc468959020"/>
      <w:bookmarkStart w:id="7959" w:name="_Toc468959147"/>
      <w:bookmarkStart w:id="7960" w:name="_Toc468960648"/>
      <w:bookmarkStart w:id="7961" w:name="_Toc469035121"/>
      <w:bookmarkStart w:id="7962" w:name="_Toc469056831"/>
      <w:bookmarkStart w:id="7963" w:name="_Toc469321143"/>
      <w:bookmarkStart w:id="7964" w:name="_Toc469323872"/>
      <w:bookmarkStart w:id="7965" w:name="_Toc469323998"/>
      <w:bookmarkStart w:id="7966" w:name="_Toc469324549"/>
      <w:bookmarkStart w:id="7967" w:name="_Toc470695427"/>
      <w:bookmarkStart w:id="7968" w:name="_Toc470695580"/>
      <w:bookmarkStart w:id="7969" w:name="_Toc470697084"/>
      <w:bookmarkStart w:id="7970" w:name="_Toc470699968"/>
      <w:bookmarkStart w:id="7971" w:name="_Toc470762814"/>
      <w:bookmarkStart w:id="7972" w:name="_Toc471114632"/>
      <w:bookmarkStart w:id="7973" w:name="_Toc474393048"/>
      <w:bookmarkStart w:id="7974" w:name="_Toc474497939"/>
      <w:bookmarkStart w:id="7975" w:name="_Toc474498698"/>
      <w:bookmarkStart w:id="7976" w:name="_Toc474844557"/>
      <w:bookmarkStart w:id="7977" w:name="_Toc474844684"/>
      <w:bookmarkStart w:id="7978" w:name="_Toc474919954"/>
      <w:bookmarkStart w:id="7979" w:name="_Toc474924963"/>
      <w:bookmarkEnd w:id="7857"/>
      <w:bookmarkEnd w:id="7858"/>
      <w:bookmarkEnd w:id="7859"/>
      <w:bookmarkEnd w:id="7860"/>
      <w:bookmarkEnd w:id="7861"/>
      <w:bookmarkEnd w:id="7862"/>
      <w:bookmarkEnd w:id="7863"/>
      <w:bookmarkEnd w:id="7864"/>
      <w:bookmarkEnd w:id="7865"/>
      <w:bookmarkEnd w:id="7866"/>
      <w:bookmarkEnd w:id="7867"/>
      <w:bookmarkEnd w:id="7868"/>
      <w:bookmarkEnd w:id="7869"/>
      <w:bookmarkEnd w:id="7870"/>
      <w:bookmarkEnd w:id="7871"/>
      <w:bookmarkEnd w:id="7872"/>
      <w:bookmarkEnd w:id="7873"/>
      <w:bookmarkEnd w:id="7874"/>
      <w:bookmarkEnd w:id="7875"/>
      <w:bookmarkEnd w:id="7876"/>
      <w:bookmarkEnd w:id="7877"/>
      <w:bookmarkEnd w:id="7878"/>
      <w:bookmarkEnd w:id="7879"/>
      <w:bookmarkEnd w:id="7880"/>
      <w:bookmarkEnd w:id="7881"/>
      <w:bookmarkEnd w:id="7882"/>
      <w:bookmarkEnd w:id="7883"/>
      <w:bookmarkEnd w:id="7884"/>
      <w:bookmarkEnd w:id="7885"/>
      <w:bookmarkEnd w:id="7886"/>
      <w:bookmarkEnd w:id="7887"/>
      <w:bookmarkEnd w:id="7888"/>
      <w:bookmarkEnd w:id="7889"/>
      <w:bookmarkEnd w:id="7890"/>
      <w:bookmarkEnd w:id="7891"/>
      <w:bookmarkEnd w:id="7892"/>
      <w:bookmarkEnd w:id="7893"/>
      <w:bookmarkEnd w:id="7894"/>
      <w:bookmarkEnd w:id="7895"/>
      <w:bookmarkEnd w:id="7896"/>
      <w:bookmarkEnd w:id="7897"/>
      <w:bookmarkEnd w:id="7898"/>
      <w:bookmarkEnd w:id="7899"/>
      <w:bookmarkEnd w:id="7900"/>
      <w:bookmarkEnd w:id="7901"/>
      <w:bookmarkEnd w:id="7902"/>
      <w:bookmarkEnd w:id="7903"/>
      <w:bookmarkEnd w:id="7904"/>
      <w:bookmarkEnd w:id="7905"/>
      <w:bookmarkEnd w:id="7906"/>
      <w:bookmarkEnd w:id="7907"/>
      <w:bookmarkEnd w:id="7908"/>
      <w:bookmarkEnd w:id="7909"/>
      <w:bookmarkEnd w:id="7910"/>
      <w:bookmarkEnd w:id="7911"/>
      <w:bookmarkEnd w:id="7912"/>
      <w:bookmarkEnd w:id="7913"/>
      <w:bookmarkEnd w:id="7914"/>
      <w:bookmarkEnd w:id="7915"/>
      <w:bookmarkEnd w:id="7916"/>
      <w:bookmarkEnd w:id="7917"/>
      <w:bookmarkEnd w:id="7918"/>
      <w:bookmarkEnd w:id="7919"/>
      <w:bookmarkEnd w:id="7920"/>
      <w:bookmarkEnd w:id="7921"/>
      <w:bookmarkEnd w:id="7922"/>
      <w:bookmarkEnd w:id="7923"/>
      <w:bookmarkEnd w:id="7924"/>
      <w:bookmarkEnd w:id="7925"/>
      <w:bookmarkEnd w:id="7926"/>
      <w:bookmarkEnd w:id="7927"/>
      <w:bookmarkEnd w:id="7928"/>
      <w:bookmarkEnd w:id="7929"/>
      <w:bookmarkEnd w:id="7930"/>
      <w:bookmarkEnd w:id="7931"/>
      <w:bookmarkEnd w:id="7932"/>
      <w:bookmarkEnd w:id="7933"/>
      <w:bookmarkEnd w:id="7934"/>
      <w:bookmarkEnd w:id="7935"/>
      <w:bookmarkEnd w:id="7936"/>
      <w:bookmarkEnd w:id="7937"/>
      <w:bookmarkEnd w:id="7938"/>
      <w:bookmarkEnd w:id="7939"/>
      <w:bookmarkEnd w:id="7940"/>
      <w:bookmarkEnd w:id="7941"/>
      <w:bookmarkEnd w:id="7942"/>
      <w:bookmarkEnd w:id="7943"/>
      <w:bookmarkEnd w:id="7944"/>
      <w:bookmarkEnd w:id="7945"/>
      <w:bookmarkEnd w:id="7946"/>
      <w:bookmarkEnd w:id="7947"/>
      <w:bookmarkEnd w:id="7948"/>
      <w:bookmarkEnd w:id="7949"/>
      <w:bookmarkEnd w:id="7950"/>
      <w:bookmarkEnd w:id="7951"/>
      <w:bookmarkEnd w:id="7952"/>
      <w:bookmarkEnd w:id="7953"/>
      <w:bookmarkEnd w:id="7954"/>
      <w:bookmarkEnd w:id="7955"/>
      <w:bookmarkEnd w:id="7956"/>
      <w:bookmarkEnd w:id="7957"/>
      <w:bookmarkEnd w:id="7958"/>
      <w:bookmarkEnd w:id="7959"/>
      <w:bookmarkEnd w:id="7960"/>
      <w:bookmarkEnd w:id="7961"/>
      <w:bookmarkEnd w:id="7962"/>
      <w:bookmarkEnd w:id="7963"/>
      <w:bookmarkEnd w:id="7964"/>
      <w:bookmarkEnd w:id="7965"/>
      <w:bookmarkEnd w:id="7966"/>
      <w:bookmarkEnd w:id="7967"/>
      <w:bookmarkEnd w:id="7968"/>
      <w:bookmarkEnd w:id="7969"/>
      <w:bookmarkEnd w:id="7970"/>
      <w:bookmarkEnd w:id="7971"/>
      <w:bookmarkEnd w:id="7972"/>
      <w:bookmarkEnd w:id="7973"/>
      <w:bookmarkEnd w:id="7974"/>
      <w:bookmarkEnd w:id="7975"/>
      <w:bookmarkEnd w:id="7976"/>
      <w:bookmarkEnd w:id="7977"/>
      <w:bookmarkEnd w:id="7978"/>
      <w:bookmarkEnd w:id="7979"/>
    </w:p>
    <w:p w:rsidR="00B007BE" w:rsidRPr="00B007BE" w:rsidRDefault="00B007BE" w:rsidP="00B007BE">
      <w:pPr>
        <w:pStyle w:val="Akapitzlist"/>
        <w:keepNext/>
        <w:numPr>
          <w:ilvl w:val="0"/>
          <w:numId w:val="191"/>
        </w:numPr>
        <w:spacing w:before="240" w:after="60" w:line="240" w:lineRule="auto"/>
        <w:outlineLvl w:val="2"/>
        <w:rPr>
          <w:rFonts w:eastAsia="Times New Roman" w:cs="Calibri"/>
          <w:b/>
          <w:bCs/>
          <w:vanish/>
          <w:color w:val="3366FF"/>
          <w:sz w:val="26"/>
          <w:szCs w:val="26"/>
          <w:lang w:eastAsia="pl-PL"/>
        </w:rPr>
      </w:pPr>
      <w:bookmarkStart w:id="7980" w:name="_Toc467669581"/>
      <w:bookmarkStart w:id="7981" w:name="_Toc467832086"/>
      <w:bookmarkStart w:id="7982" w:name="_Toc467832206"/>
      <w:bookmarkStart w:id="7983" w:name="_Toc467834911"/>
      <w:bookmarkStart w:id="7984" w:name="_Toc467843592"/>
      <w:bookmarkStart w:id="7985" w:name="_Toc467845578"/>
      <w:bookmarkStart w:id="7986" w:name="_Toc467847521"/>
      <w:bookmarkStart w:id="7987" w:name="_Toc467847643"/>
      <w:bookmarkStart w:id="7988" w:name="_Toc467847765"/>
      <w:bookmarkStart w:id="7989" w:name="_Toc467847889"/>
      <w:bookmarkStart w:id="7990" w:name="_Toc467848013"/>
      <w:bookmarkStart w:id="7991" w:name="_Toc467848137"/>
      <w:bookmarkStart w:id="7992" w:name="_Toc467848261"/>
      <w:bookmarkStart w:id="7993" w:name="_Toc467848385"/>
      <w:bookmarkStart w:id="7994" w:name="_Toc467848509"/>
      <w:bookmarkStart w:id="7995" w:name="_Toc468097983"/>
      <w:bookmarkStart w:id="7996" w:name="_Toc468098107"/>
      <w:bookmarkStart w:id="7997" w:name="_Toc468104774"/>
      <w:bookmarkStart w:id="7998" w:name="_Toc468104898"/>
      <w:bookmarkStart w:id="7999" w:name="_Toc468105024"/>
      <w:bookmarkStart w:id="8000" w:name="_Toc468105150"/>
      <w:bookmarkStart w:id="8001" w:name="_Toc468105276"/>
      <w:bookmarkStart w:id="8002" w:name="_Toc468105402"/>
      <w:bookmarkStart w:id="8003" w:name="_Toc468105886"/>
      <w:bookmarkStart w:id="8004" w:name="_Toc468106013"/>
      <w:bookmarkStart w:id="8005" w:name="_Toc468116307"/>
      <w:bookmarkStart w:id="8006" w:name="_Toc468178263"/>
      <w:bookmarkStart w:id="8007" w:name="_Toc468181557"/>
      <w:bookmarkStart w:id="8008" w:name="_Toc468181684"/>
      <w:bookmarkStart w:id="8009" w:name="_Toc468181813"/>
      <w:bookmarkStart w:id="8010" w:name="_Toc468181979"/>
      <w:bookmarkStart w:id="8011" w:name="_Toc468185920"/>
      <w:bookmarkStart w:id="8012" w:name="_Toc468190852"/>
      <w:bookmarkStart w:id="8013" w:name="_Toc468190978"/>
      <w:bookmarkStart w:id="8014" w:name="_Toc468191470"/>
      <w:bookmarkStart w:id="8015" w:name="_Toc468258141"/>
      <w:bookmarkStart w:id="8016" w:name="_Toc468258372"/>
      <w:bookmarkStart w:id="8017" w:name="_Toc468258666"/>
      <w:bookmarkStart w:id="8018" w:name="_Toc468258795"/>
      <w:bookmarkStart w:id="8019" w:name="_Toc468258928"/>
      <w:bookmarkStart w:id="8020" w:name="_Toc468259059"/>
      <w:bookmarkStart w:id="8021" w:name="_Toc468259188"/>
      <w:bookmarkStart w:id="8022" w:name="_Toc468259317"/>
      <w:bookmarkStart w:id="8023" w:name="_Toc468259574"/>
      <w:bookmarkStart w:id="8024" w:name="_Toc468259706"/>
      <w:bookmarkStart w:id="8025" w:name="_Toc468259836"/>
      <w:bookmarkStart w:id="8026" w:name="_Toc468259965"/>
      <w:bookmarkStart w:id="8027" w:name="_Toc468260096"/>
      <w:bookmarkStart w:id="8028" w:name="_Toc468260225"/>
      <w:bookmarkStart w:id="8029" w:name="_Toc468260354"/>
      <w:bookmarkStart w:id="8030" w:name="_Toc468260483"/>
      <w:bookmarkStart w:id="8031" w:name="_Toc468260612"/>
      <w:bookmarkStart w:id="8032" w:name="_Toc468260741"/>
      <w:bookmarkStart w:id="8033" w:name="_Toc468260869"/>
      <w:bookmarkStart w:id="8034" w:name="_Toc468261000"/>
      <w:bookmarkStart w:id="8035" w:name="_Toc468261131"/>
      <w:bookmarkStart w:id="8036" w:name="_Toc468261262"/>
      <w:bookmarkStart w:id="8037" w:name="_Toc468261393"/>
      <w:bookmarkStart w:id="8038" w:name="_Toc468261524"/>
      <w:bookmarkStart w:id="8039" w:name="_Toc468266838"/>
      <w:bookmarkStart w:id="8040" w:name="_Toc468266966"/>
      <w:bookmarkStart w:id="8041" w:name="_Toc468267094"/>
      <w:bookmarkStart w:id="8042" w:name="_Toc468269505"/>
      <w:bookmarkStart w:id="8043" w:name="_Toc468279471"/>
      <w:bookmarkStart w:id="8044" w:name="_Toc468360323"/>
      <w:bookmarkStart w:id="8045" w:name="_Toc468361264"/>
      <w:bookmarkStart w:id="8046" w:name="_Toc468363494"/>
      <w:bookmarkStart w:id="8047" w:name="_Toc468366321"/>
      <w:bookmarkStart w:id="8048" w:name="_Toc468428411"/>
      <w:bookmarkStart w:id="8049" w:name="_Toc468691807"/>
      <w:bookmarkStart w:id="8050" w:name="_Toc468691934"/>
      <w:bookmarkStart w:id="8051" w:name="_Toc468692061"/>
      <w:bookmarkStart w:id="8052" w:name="_Toc468694015"/>
      <w:bookmarkStart w:id="8053" w:name="_Toc468712710"/>
      <w:bookmarkStart w:id="8054" w:name="_Toc468712838"/>
      <w:bookmarkStart w:id="8055" w:name="_Toc468712965"/>
      <w:bookmarkStart w:id="8056" w:name="_Toc468713092"/>
      <w:bookmarkStart w:id="8057" w:name="_Toc468713219"/>
      <w:bookmarkStart w:id="8058" w:name="_Toc468713346"/>
      <w:bookmarkStart w:id="8059" w:name="_Toc468713473"/>
      <w:bookmarkStart w:id="8060" w:name="_Toc468713600"/>
      <w:bookmarkStart w:id="8061" w:name="_Toc468713853"/>
      <w:bookmarkStart w:id="8062" w:name="_Toc468713980"/>
      <w:bookmarkStart w:id="8063" w:name="_Toc468714107"/>
      <w:bookmarkStart w:id="8064" w:name="_Toc468787116"/>
      <w:bookmarkStart w:id="8065" w:name="_Toc468787434"/>
      <w:bookmarkStart w:id="8066" w:name="_Toc468787562"/>
      <w:bookmarkStart w:id="8067" w:name="_Toc468787690"/>
      <w:bookmarkStart w:id="8068" w:name="_Toc468787817"/>
      <w:bookmarkStart w:id="8069" w:name="_Toc468787944"/>
      <w:bookmarkStart w:id="8070" w:name="_Toc468788071"/>
      <w:bookmarkStart w:id="8071" w:name="_Toc468957751"/>
      <w:bookmarkStart w:id="8072" w:name="_Toc468957878"/>
      <w:bookmarkStart w:id="8073" w:name="_Toc468958005"/>
      <w:bookmarkStart w:id="8074" w:name="_Toc468958132"/>
      <w:bookmarkStart w:id="8075" w:name="_Toc468958259"/>
      <w:bookmarkStart w:id="8076" w:name="_Toc468958386"/>
      <w:bookmarkStart w:id="8077" w:name="_Toc468958513"/>
      <w:bookmarkStart w:id="8078" w:name="_Toc468958640"/>
      <w:bookmarkStart w:id="8079" w:name="_Toc468958767"/>
      <w:bookmarkStart w:id="8080" w:name="_Toc468958894"/>
      <w:bookmarkStart w:id="8081" w:name="_Toc468959021"/>
      <w:bookmarkStart w:id="8082" w:name="_Toc468959148"/>
      <w:bookmarkStart w:id="8083" w:name="_Toc468960649"/>
      <w:bookmarkStart w:id="8084" w:name="_Toc469035122"/>
      <w:bookmarkStart w:id="8085" w:name="_Toc469056832"/>
      <w:bookmarkStart w:id="8086" w:name="_Toc469321144"/>
      <w:bookmarkStart w:id="8087" w:name="_Toc469323873"/>
      <w:bookmarkStart w:id="8088" w:name="_Toc469323999"/>
      <w:bookmarkStart w:id="8089" w:name="_Toc469324550"/>
      <w:bookmarkStart w:id="8090" w:name="_Toc470695428"/>
      <w:bookmarkStart w:id="8091" w:name="_Toc470695581"/>
      <w:bookmarkStart w:id="8092" w:name="_Toc470697085"/>
      <w:bookmarkStart w:id="8093" w:name="_Toc470699969"/>
      <w:bookmarkStart w:id="8094" w:name="_Toc470762815"/>
      <w:bookmarkStart w:id="8095" w:name="_Toc471114633"/>
      <w:bookmarkStart w:id="8096" w:name="_Toc474393049"/>
      <w:bookmarkStart w:id="8097" w:name="_Toc474497940"/>
      <w:bookmarkStart w:id="8098" w:name="_Toc474498699"/>
      <w:bookmarkStart w:id="8099" w:name="_Toc474844558"/>
      <w:bookmarkStart w:id="8100" w:name="_Toc474844685"/>
      <w:bookmarkStart w:id="8101" w:name="_Toc474919955"/>
      <w:bookmarkStart w:id="8102" w:name="_Toc474924964"/>
      <w:bookmarkEnd w:id="7980"/>
      <w:bookmarkEnd w:id="7981"/>
      <w:bookmarkEnd w:id="7982"/>
      <w:bookmarkEnd w:id="7983"/>
      <w:bookmarkEnd w:id="7984"/>
      <w:bookmarkEnd w:id="7985"/>
      <w:bookmarkEnd w:id="7986"/>
      <w:bookmarkEnd w:id="7987"/>
      <w:bookmarkEnd w:id="7988"/>
      <w:bookmarkEnd w:id="7989"/>
      <w:bookmarkEnd w:id="7990"/>
      <w:bookmarkEnd w:id="7991"/>
      <w:bookmarkEnd w:id="7992"/>
      <w:bookmarkEnd w:id="7993"/>
      <w:bookmarkEnd w:id="7994"/>
      <w:bookmarkEnd w:id="7995"/>
      <w:bookmarkEnd w:id="7996"/>
      <w:bookmarkEnd w:id="7997"/>
      <w:bookmarkEnd w:id="7998"/>
      <w:bookmarkEnd w:id="7999"/>
      <w:bookmarkEnd w:id="8000"/>
      <w:bookmarkEnd w:id="8001"/>
      <w:bookmarkEnd w:id="8002"/>
      <w:bookmarkEnd w:id="8003"/>
      <w:bookmarkEnd w:id="8004"/>
      <w:bookmarkEnd w:id="8005"/>
      <w:bookmarkEnd w:id="8006"/>
      <w:bookmarkEnd w:id="8007"/>
      <w:bookmarkEnd w:id="8008"/>
      <w:bookmarkEnd w:id="8009"/>
      <w:bookmarkEnd w:id="8010"/>
      <w:bookmarkEnd w:id="8011"/>
      <w:bookmarkEnd w:id="8012"/>
      <w:bookmarkEnd w:id="8013"/>
      <w:bookmarkEnd w:id="8014"/>
      <w:bookmarkEnd w:id="8015"/>
      <w:bookmarkEnd w:id="8016"/>
      <w:bookmarkEnd w:id="8017"/>
      <w:bookmarkEnd w:id="8018"/>
      <w:bookmarkEnd w:id="8019"/>
      <w:bookmarkEnd w:id="8020"/>
      <w:bookmarkEnd w:id="8021"/>
      <w:bookmarkEnd w:id="8022"/>
      <w:bookmarkEnd w:id="8023"/>
      <w:bookmarkEnd w:id="8024"/>
      <w:bookmarkEnd w:id="8025"/>
      <w:bookmarkEnd w:id="8026"/>
      <w:bookmarkEnd w:id="8027"/>
      <w:bookmarkEnd w:id="8028"/>
      <w:bookmarkEnd w:id="8029"/>
      <w:bookmarkEnd w:id="8030"/>
      <w:bookmarkEnd w:id="8031"/>
      <w:bookmarkEnd w:id="8032"/>
      <w:bookmarkEnd w:id="8033"/>
      <w:bookmarkEnd w:id="8034"/>
      <w:bookmarkEnd w:id="8035"/>
      <w:bookmarkEnd w:id="8036"/>
      <w:bookmarkEnd w:id="8037"/>
      <w:bookmarkEnd w:id="8038"/>
      <w:bookmarkEnd w:id="8039"/>
      <w:bookmarkEnd w:id="8040"/>
      <w:bookmarkEnd w:id="8041"/>
      <w:bookmarkEnd w:id="8042"/>
      <w:bookmarkEnd w:id="8043"/>
      <w:bookmarkEnd w:id="8044"/>
      <w:bookmarkEnd w:id="8045"/>
      <w:bookmarkEnd w:id="8046"/>
      <w:bookmarkEnd w:id="8047"/>
      <w:bookmarkEnd w:id="8048"/>
      <w:bookmarkEnd w:id="8049"/>
      <w:bookmarkEnd w:id="8050"/>
      <w:bookmarkEnd w:id="8051"/>
      <w:bookmarkEnd w:id="8052"/>
      <w:bookmarkEnd w:id="8053"/>
      <w:bookmarkEnd w:id="8054"/>
      <w:bookmarkEnd w:id="8055"/>
      <w:bookmarkEnd w:id="8056"/>
      <w:bookmarkEnd w:id="8057"/>
      <w:bookmarkEnd w:id="8058"/>
      <w:bookmarkEnd w:id="8059"/>
      <w:bookmarkEnd w:id="8060"/>
      <w:bookmarkEnd w:id="8061"/>
      <w:bookmarkEnd w:id="8062"/>
      <w:bookmarkEnd w:id="8063"/>
      <w:bookmarkEnd w:id="8064"/>
      <w:bookmarkEnd w:id="8065"/>
      <w:bookmarkEnd w:id="8066"/>
      <w:bookmarkEnd w:id="8067"/>
      <w:bookmarkEnd w:id="8068"/>
      <w:bookmarkEnd w:id="8069"/>
      <w:bookmarkEnd w:id="8070"/>
      <w:bookmarkEnd w:id="8071"/>
      <w:bookmarkEnd w:id="8072"/>
      <w:bookmarkEnd w:id="8073"/>
      <w:bookmarkEnd w:id="8074"/>
      <w:bookmarkEnd w:id="8075"/>
      <w:bookmarkEnd w:id="8076"/>
      <w:bookmarkEnd w:id="8077"/>
      <w:bookmarkEnd w:id="8078"/>
      <w:bookmarkEnd w:id="8079"/>
      <w:bookmarkEnd w:id="8080"/>
      <w:bookmarkEnd w:id="8081"/>
      <w:bookmarkEnd w:id="8082"/>
      <w:bookmarkEnd w:id="8083"/>
      <w:bookmarkEnd w:id="8084"/>
      <w:bookmarkEnd w:id="8085"/>
      <w:bookmarkEnd w:id="8086"/>
      <w:bookmarkEnd w:id="8087"/>
      <w:bookmarkEnd w:id="8088"/>
      <w:bookmarkEnd w:id="8089"/>
      <w:bookmarkEnd w:id="8090"/>
      <w:bookmarkEnd w:id="8091"/>
      <w:bookmarkEnd w:id="8092"/>
      <w:bookmarkEnd w:id="8093"/>
      <w:bookmarkEnd w:id="8094"/>
      <w:bookmarkEnd w:id="8095"/>
      <w:bookmarkEnd w:id="8096"/>
      <w:bookmarkEnd w:id="8097"/>
      <w:bookmarkEnd w:id="8098"/>
      <w:bookmarkEnd w:id="8099"/>
      <w:bookmarkEnd w:id="8100"/>
      <w:bookmarkEnd w:id="8101"/>
      <w:bookmarkEnd w:id="8102"/>
    </w:p>
    <w:p w:rsidR="00B007BE" w:rsidRPr="00B007BE" w:rsidRDefault="00B007BE" w:rsidP="00B007BE">
      <w:pPr>
        <w:pStyle w:val="Akapitzlist"/>
        <w:keepNext/>
        <w:numPr>
          <w:ilvl w:val="0"/>
          <w:numId w:val="191"/>
        </w:numPr>
        <w:spacing w:before="240" w:after="60" w:line="240" w:lineRule="auto"/>
        <w:outlineLvl w:val="2"/>
        <w:rPr>
          <w:rFonts w:eastAsia="Times New Roman" w:cs="Calibri"/>
          <w:b/>
          <w:bCs/>
          <w:vanish/>
          <w:color w:val="3366FF"/>
          <w:sz w:val="26"/>
          <w:szCs w:val="26"/>
          <w:lang w:eastAsia="pl-PL"/>
        </w:rPr>
      </w:pPr>
      <w:bookmarkStart w:id="8103" w:name="_Toc467669582"/>
      <w:bookmarkStart w:id="8104" w:name="_Toc467832087"/>
      <w:bookmarkStart w:id="8105" w:name="_Toc467832207"/>
      <w:bookmarkStart w:id="8106" w:name="_Toc467834912"/>
      <w:bookmarkStart w:id="8107" w:name="_Toc467843593"/>
      <w:bookmarkStart w:id="8108" w:name="_Toc467845579"/>
      <w:bookmarkStart w:id="8109" w:name="_Toc467847522"/>
      <w:bookmarkStart w:id="8110" w:name="_Toc467847644"/>
      <w:bookmarkStart w:id="8111" w:name="_Toc467847766"/>
      <w:bookmarkStart w:id="8112" w:name="_Toc467847890"/>
      <w:bookmarkStart w:id="8113" w:name="_Toc467848014"/>
      <w:bookmarkStart w:id="8114" w:name="_Toc467848138"/>
      <w:bookmarkStart w:id="8115" w:name="_Toc467848262"/>
      <w:bookmarkStart w:id="8116" w:name="_Toc467848386"/>
      <w:bookmarkStart w:id="8117" w:name="_Toc467848510"/>
      <w:bookmarkStart w:id="8118" w:name="_Toc468097984"/>
      <w:bookmarkStart w:id="8119" w:name="_Toc468098108"/>
      <w:bookmarkStart w:id="8120" w:name="_Toc468104775"/>
      <w:bookmarkStart w:id="8121" w:name="_Toc468104899"/>
      <w:bookmarkStart w:id="8122" w:name="_Toc468105025"/>
      <w:bookmarkStart w:id="8123" w:name="_Toc468105151"/>
      <w:bookmarkStart w:id="8124" w:name="_Toc468105277"/>
      <w:bookmarkStart w:id="8125" w:name="_Toc468105403"/>
      <w:bookmarkStart w:id="8126" w:name="_Toc468105887"/>
      <w:bookmarkStart w:id="8127" w:name="_Toc468106014"/>
      <w:bookmarkStart w:id="8128" w:name="_Toc468116308"/>
      <w:bookmarkStart w:id="8129" w:name="_Toc468178264"/>
      <w:bookmarkStart w:id="8130" w:name="_Toc468181558"/>
      <w:bookmarkStart w:id="8131" w:name="_Toc468181685"/>
      <w:bookmarkStart w:id="8132" w:name="_Toc468181814"/>
      <w:bookmarkStart w:id="8133" w:name="_Toc468181980"/>
      <w:bookmarkStart w:id="8134" w:name="_Toc468185921"/>
      <w:bookmarkStart w:id="8135" w:name="_Toc468190853"/>
      <w:bookmarkStart w:id="8136" w:name="_Toc468190979"/>
      <w:bookmarkStart w:id="8137" w:name="_Toc468191471"/>
      <w:bookmarkStart w:id="8138" w:name="_Toc468258142"/>
      <w:bookmarkStart w:id="8139" w:name="_Toc468258373"/>
      <w:bookmarkStart w:id="8140" w:name="_Toc468258667"/>
      <w:bookmarkStart w:id="8141" w:name="_Toc468258796"/>
      <w:bookmarkStart w:id="8142" w:name="_Toc468258929"/>
      <w:bookmarkStart w:id="8143" w:name="_Toc468259060"/>
      <w:bookmarkStart w:id="8144" w:name="_Toc468259189"/>
      <w:bookmarkStart w:id="8145" w:name="_Toc468259318"/>
      <w:bookmarkStart w:id="8146" w:name="_Toc468259575"/>
      <w:bookmarkStart w:id="8147" w:name="_Toc468259707"/>
      <w:bookmarkStart w:id="8148" w:name="_Toc468259837"/>
      <w:bookmarkStart w:id="8149" w:name="_Toc468259966"/>
      <w:bookmarkStart w:id="8150" w:name="_Toc468260097"/>
      <w:bookmarkStart w:id="8151" w:name="_Toc468260226"/>
      <w:bookmarkStart w:id="8152" w:name="_Toc468260355"/>
      <w:bookmarkStart w:id="8153" w:name="_Toc468260484"/>
      <w:bookmarkStart w:id="8154" w:name="_Toc468260613"/>
      <w:bookmarkStart w:id="8155" w:name="_Toc468260742"/>
      <w:bookmarkStart w:id="8156" w:name="_Toc468260870"/>
      <w:bookmarkStart w:id="8157" w:name="_Toc468261001"/>
      <w:bookmarkStart w:id="8158" w:name="_Toc468261132"/>
      <w:bookmarkStart w:id="8159" w:name="_Toc468261263"/>
      <w:bookmarkStart w:id="8160" w:name="_Toc468261394"/>
      <w:bookmarkStart w:id="8161" w:name="_Toc468261525"/>
      <w:bookmarkStart w:id="8162" w:name="_Toc468266839"/>
      <w:bookmarkStart w:id="8163" w:name="_Toc468266967"/>
      <w:bookmarkStart w:id="8164" w:name="_Toc468267095"/>
      <w:bookmarkStart w:id="8165" w:name="_Toc468269506"/>
      <w:bookmarkStart w:id="8166" w:name="_Toc468279472"/>
      <w:bookmarkStart w:id="8167" w:name="_Toc468360324"/>
      <w:bookmarkStart w:id="8168" w:name="_Toc468361265"/>
      <w:bookmarkStart w:id="8169" w:name="_Toc468363495"/>
      <w:bookmarkStart w:id="8170" w:name="_Toc468366322"/>
      <w:bookmarkStart w:id="8171" w:name="_Toc468428412"/>
      <w:bookmarkStart w:id="8172" w:name="_Toc468691808"/>
      <w:bookmarkStart w:id="8173" w:name="_Toc468691935"/>
      <w:bookmarkStart w:id="8174" w:name="_Toc468692062"/>
      <w:bookmarkStart w:id="8175" w:name="_Toc468694016"/>
      <w:bookmarkStart w:id="8176" w:name="_Toc468712711"/>
      <w:bookmarkStart w:id="8177" w:name="_Toc468712839"/>
      <w:bookmarkStart w:id="8178" w:name="_Toc468712966"/>
      <w:bookmarkStart w:id="8179" w:name="_Toc468713093"/>
      <w:bookmarkStart w:id="8180" w:name="_Toc468713220"/>
      <w:bookmarkStart w:id="8181" w:name="_Toc468713347"/>
      <w:bookmarkStart w:id="8182" w:name="_Toc468713474"/>
      <w:bookmarkStart w:id="8183" w:name="_Toc468713601"/>
      <w:bookmarkStart w:id="8184" w:name="_Toc468713854"/>
      <w:bookmarkStart w:id="8185" w:name="_Toc468713981"/>
      <w:bookmarkStart w:id="8186" w:name="_Toc468714108"/>
      <w:bookmarkStart w:id="8187" w:name="_Toc468787117"/>
      <w:bookmarkStart w:id="8188" w:name="_Toc468787435"/>
      <w:bookmarkStart w:id="8189" w:name="_Toc468787563"/>
      <w:bookmarkStart w:id="8190" w:name="_Toc468787691"/>
      <w:bookmarkStart w:id="8191" w:name="_Toc468787818"/>
      <w:bookmarkStart w:id="8192" w:name="_Toc468787945"/>
      <w:bookmarkStart w:id="8193" w:name="_Toc468788072"/>
      <w:bookmarkStart w:id="8194" w:name="_Toc468957752"/>
      <w:bookmarkStart w:id="8195" w:name="_Toc468957879"/>
      <w:bookmarkStart w:id="8196" w:name="_Toc468958006"/>
      <w:bookmarkStart w:id="8197" w:name="_Toc468958133"/>
      <w:bookmarkStart w:id="8198" w:name="_Toc468958260"/>
      <w:bookmarkStart w:id="8199" w:name="_Toc468958387"/>
      <w:bookmarkStart w:id="8200" w:name="_Toc468958514"/>
      <w:bookmarkStart w:id="8201" w:name="_Toc468958641"/>
      <w:bookmarkStart w:id="8202" w:name="_Toc468958768"/>
      <w:bookmarkStart w:id="8203" w:name="_Toc468958895"/>
      <w:bookmarkStart w:id="8204" w:name="_Toc468959022"/>
      <w:bookmarkStart w:id="8205" w:name="_Toc468959149"/>
      <w:bookmarkStart w:id="8206" w:name="_Toc468960650"/>
      <w:bookmarkStart w:id="8207" w:name="_Toc469035123"/>
      <w:bookmarkStart w:id="8208" w:name="_Toc469056833"/>
      <w:bookmarkStart w:id="8209" w:name="_Toc469321145"/>
      <w:bookmarkStart w:id="8210" w:name="_Toc469323874"/>
      <w:bookmarkStart w:id="8211" w:name="_Toc469324000"/>
      <w:bookmarkStart w:id="8212" w:name="_Toc469324551"/>
      <w:bookmarkStart w:id="8213" w:name="_Toc470695429"/>
      <w:bookmarkStart w:id="8214" w:name="_Toc470695582"/>
      <w:bookmarkStart w:id="8215" w:name="_Toc470697086"/>
      <w:bookmarkStart w:id="8216" w:name="_Toc470699970"/>
      <w:bookmarkStart w:id="8217" w:name="_Toc470762816"/>
      <w:bookmarkStart w:id="8218" w:name="_Toc471114634"/>
      <w:bookmarkStart w:id="8219" w:name="_Toc474393050"/>
      <w:bookmarkStart w:id="8220" w:name="_Toc474497941"/>
      <w:bookmarkStart w:id="8221" w:name="_Toc474498700"/>
      <w:bookmarkStart w:id="8222" w:name="_Toc474844559"/>
      <w:bookmarkStart w:id="8223" w:name="_Toc474844686"/>
      <w:bookmarkStart w:id="8224" w:name="_Toc474919956"/>
      <w:bookmarkStart w:id="8225" w:name="_Toc474924965"/>
      <w:bookmarkEnd w:id="8103"/>
      <w:bookmarkEnd w:id="8104"/>
      <w:bookmarkEnd w:id="8105"/>
      <w:bookmarkEnd w:id="8106"/>
      <w:bookmarkEnd w:id="8107"/>
      <w:bookmarkEnd w:id="8108"/>
      <w:bookmarkEnd w:id="8109"/>
      <w:bookmarkEnd w:id="8110"/>
      <w:bookmarkEnd w:id="8111"/>
      <w:bookmarkEnd w:id="8112"/>
      <w:bookmarkEnd w:id="8113"/>
      <w:bookmarkEnd w:id="8114"/>
      <w:bookmarkEnd w:id="8115"/>
      <w:bookmarkEnd w:id="8116"/>
      <w:bookmarkEnd w:id="8117"/>
      <w:bookmarkEnd w:id="8118"/>
      <w:bookmarkEnd w:id="8119"/>
      <w:bookmarkEnd w:id="8120"/>
      <w:bookmarkEnd w:id="8121"/>
      <w:bookmarkEnd w:id="8122"/>
      <w:bookmarkEnd w:id="8123"/>
      <w:bookmarkEnd w:id="8124"/>
      <w:bookmarkEnd w:id="8125"/>
      <w:bookmarkEnd w:id="8126"/>
      <w:bookmarkEnd w:id="8127"/>
      <w:bookmarkEnd w:id="8128"/>
      <w:bookmarkEnd w:id="8129"/>
      <w:bookmarkEnd w:id="8130"/>
      <w:bookmarkEnd w:id="8131"/>
      <w:bookmarkEnd w:id="8132"/>
      <w:bookmarkEnd w:id="8133"/>
      <w:bookmarkEnd w:id="8134"/>
      <w:bookmarkEnd w:id="8135"/>
      <w:bookmarkEnd w:id="8136"/>
      <w:bookmarkEnd w:id="8137"/>
      <w:bookmarkEnd w:id="8138"/>
      <w:bookmarkEnd w:id="8139"/>
      <w:bookmarkEnd w:id="8140"/>
      <w:bookmarkEnd w:id="8141"/>
      <w:bookmarkEnd w:id="8142"/>
      <w:bookmarkEnd w:id="8143"/>
      <w:bookmarkEnd w:id="8144"/>
      <w:bookmarkEnd w:id="8145"/>
      <w:bookmarkEnd w:id="8146"/>
      <w:bookmarkEnd w:id="8147"/>
      <w:bookmarkEnd w:id="8148"/>
      <w:bookmarkEnd w:id="8149"/>
      <w:bookmarkEnd w:id="8150"/>
      <w:bookmarkEnd w:id="8151"/>
      <w:bookmarkEnd w:id="8152"/>
      <w:bookmarkEnd w:id="8153"/>
      <w:bookmarkEnd w:id="8154"/>
      <w:bookmarkEnd w:id="8155"/>
      <w:bookmarkEnd w:id="8156"/>
      <w:bookmarkEnd w:id="8157"/>
      <w:bookmarkEnd w:id="8158"/>
      <w:bookmarkEnd w:id="8159"/>
      <w:bookmarkEnd w:id="8160"/>
      <w:bookmarkEnd w:id="8161"/>
      <w:bookmarkEnd w:id="8162"/>
      <w:bookmarkEnd w:id="8163"/>
      <w:bookmarkEnd w:id="8164"/>
      <w:bookmarkEnd w:id="8165"/>
      <w:bookmarkEnd w:id="8166"/>
      <w:bookmarkEnd w:id="8167"/>
      <w:bookmarkEnd w:id="8168"/>
      <w:bookmarkEnd w:id="8169"/>
      <w:bookmarkEnd w:id="8170"/>
      <w:bookmarkEnd w:id="8171"/>
      <w:bookmarkEnd w:id="8172"/>
      <w:bookmarkEnd w:id="8173"/>
      <w:bookmarkEnd w:id="8174"/>
      <w:bookmarkEnd w:id="8175"/>
      <w:bookmarkEnd w:id="8176"/>
      <w:bookmarkEnd w:id="8177"/>
      <w:bookmarkEnd w:id="8178"/>
      <w:bookmarkEnd w:id="8179"/>
      <w:bookmarkEnd w:id="8180"/>
      <w:bookmarkEnd w:id="8181"/>
      <w:bookmarkEnd w:id="8182"/>
      <w:bookmarkEnd w:id="8183"/>
      <w:bookmarkEnd w:id="8184"/>
      <w:bookmarkEnd w:id="8185"/>
      <w:bookmarkEnd w:id="8186"/>
      <w:bookmarkEnd w:id="8187"/>
      <w:bookmarkEnd w:id="8188"/>
      <w:bookmarkEnd w:id="8189"/>
      <w:bookmarkEnd w:id="8190"/>
      <w:bookmarkEnd w:id="8191"/>
      <w:bookmarkEnd w:id="8192"/>
      <w:bookmarkEnd w:id="8193"/>
      <w:bookmarkEnd w:id="8194"/>
      <w:bookmarkEnd w:id="8195"/>
      <w:bookmarkEnd w:id="8196"/>
      <w:bookmarkEnd w:id="8197"/>
      <w:bookmarkEnd w:id="8198"/>
      <w:bookmarkEnd w:id="8199"/>
      <w:bookmarkEnd w:id="8200"/>
      <w:bookmarkEnd w:id="8201"/>
      <w:bookmarkEnd w:id="8202"/>
      <w:bookmarkEnd w:id="8203"/>
      <w:bookmarkEnd w:id="8204"/>
      <w:bookmarkEnd w:id="8205"/>
      <w:bookmarkEnd w:id="8206"/>
      <w:bookmarkEnd w:id="8207"/>
      <w:bookmarkEnd w:id="8208"/>
      <w:bookmarkEnd w:id="8209"/>
      <w:bookmarkEnd w:id="8210"/>
      <w:bookmarkEnd w:id="8211"/>
      <w:bookmarkEnd w:id="8212"/>
      <w:bookmarkEnd w:id="8213"/>
      <w:bookmarkEnd w:id="8214"/>
      <w:bookmarkEnd w:id="8215"/>
      <w:bookmarkEnd w:id="8216"/>
      <w:bookmarkEnd w:id="8217"/>
      <w:bookmarkEnd w:id="8218"/>
      <w:bookmarkEnd w:id="8219"/>
      <w:bookmarkEnd w:id="8220"/>
      <w:bookmarkEnd w:id="8221"/>
      <w:bookmarkEnd w:id="8222"/>
      <w:bookmarkEnd w:id="8223"/>
      <w:bookmarkEnd w:id="8224"/>
      <w:bookmarkEnd w:id="8225"/>
    </w:p>
    <w:p w:rsidR="00B007BE" w:rsidRPr="00B007BE" w:rsidRDefault="00B007BE" w:rsidP="00B007BE">
      <w:pPr>
        <w:pStyle w:val="Akapitzlist"/>
        <w:keepNext/>
        <w:numPr>
          <w:ilvl w:val="1"/>
          <w:numId w:val="191"/>
        </w:numPr>
        <w:spacing w:before="240" w:after="60" w:line="240" w:lineRule="auto"/>
        <w:outlineLvl w:val="2"/>
        <w:rPr>
          <w:rFonts w:eastAsia="Times New Roman" w:cs="Calibri"/>
          <w:b/>
          <w:bCs/>
          <w:vanish/>
          <w:color w:val="3366FF"/>
          <w:sz w:val="26"/>
          <w:szCs w:val="26"/>
          <w:lang w:eastAsia="pl-PL"/>
        </w:rPr>
      </w:pPr>
      <w:bookmarkStart w:id="8226" w:name="_Toc467669583"/>
      <w:bookmarkStart w:id="8227" w:name="_Toc467832088"/>
      <w:bookmarkStart w:id="8228" w:name="_Toc467832208"/>
      <w:bookmarkStart w:id="8229" w:name="_Toc467834913"/>
      <w:bookmarkStart w:id="8230" w:name="_Toc467843594"/>
      <w:bookmarkStart w:id="8231" w:name="_Toc467845580"/>
      <w:bookmarkStart w:id="8232" w:name="_Toc467847523"/>
      <w:bookmarkStart w:id="8233" w:name="_Toc467847645"/>
      <w:bookmarkStart w:id="8234" w:name="_Toc467847767"/>
      <w:bookmarkStart w:id="8235" w:name="_Toc467847891"/>
      <w:bookmarkStart w:id="8236" w:name="_Toc467848015"/>
      <w:bookmarkStart w:id="8237" w:name="_Toc467848139"/>
      <w:bookmarkStart w:id="8238" w:name="_Toc467848263"/>
      <w:bookmarkStart w:id="8239" w:name="_Toc467848387"/>
      <w:bookmarkStart w:id="8240" w:name="_Toc467848511"/>
      <w:bookmarkStart w:id="8241" w:name="_Toc468097985"/>
      <w:bookmarkStart w:id="8242" w:name="_Toc468098109"/>
      <w:bookmarkStart w:id="8243" w:name="_Toc468104776"/>
      <w:bookmarkStart w:id="8244" w:name="_Toc468104900"/>
      <w:bookmarkStart w:id="8245" w:name="_Toc468105026"/>
      <w:bookmarkStart w:id="8246" w:name="_Toc468105152"/>
      <w:bookmarkStart w:id="8247" w:name="_Toc468105278"/>
      <w:bookmarkStart w:id="8248" w:name="_Toc468105404"/>
      <w:bookmarkStart w:id="8249" w:name="_Toc468105888"/>
      <w:bookmarkStart w:id="8250" w:name="_Toc468106015"/>
      <w:bookmarkStart w:id="8251" w:name="_Toc468116309"/>
      <w:bookmarkStart w:id="8252" w:name="_Toc468178265"/>
      <w:bookmarkStart w:id="8253" w:name="_Toc468181559"/>
      <w:bookmarkStart w:id="8254" w:name="_Toc468181686"/>
      <w:bookmarkStart w:id="8255" w:name="_Toc468181815"/>
      <w:bookmarkStart w:id="8256" w:name="_Toc468181981"/>
      <w:bookmarkStart w:id="8257" w:name="_Toc468185922"/>
      <w:bookmarkStart w:id="8258" w:name="_Toc468190854"/>
      <w:bookmarkStart w:id="8259" w:name="_Toc468190980"/>
      <w:bookmarkStart w:id="8260" w:name="_Toc468191472"/>
      <w:bookmarkStart w:id="8261" w:name="_Toc468258143"/>
      <w:bookmarkStart w:id="8262" w:name="_Toc468258374"/>
      <w:bookmarkStart w:id="8263" w:name="_Toc468258668"/>
      <w:bookmarkStart w:id="8264" w:name="_Toc468258797"/>
      <w:bookmarkStart w:id="8265" w:name="_Toc468258930"/>
      <w:bookmarkStart w:id="8266" w:name="_Toc468259061"/>
      <w:bookmarkStart w:id="8267" w:name="_Toc468259190"/>
      <w:bookmarkStart w:id="8268" w:name="_Toc468259319"/>
      <w:bookmarkStart w:id="8269" w:name="_Toc468259576"/>
      <w:bookmarkStart w:id="8270" w:name="_Toc468259708"/>
      <w:bookmarkStart w:id="8271" w:name="_Toc468259838"/>
      <w:bookmarkStart w:id="8272" w:name="_Toc468259967"/>
      <w:bookmarkStart w:id="8273" w:name="_Toc468260098"/>
      <w:bookmarkStart w:id="8274" w:name="_Toc468260227"/>
      <w:bookmarkStart w:id="8275" w:name="_Toc468260356"/>
      <w:bookmarkStart w:id="8276" w:name="_Toc468260485"/>
      <w:bookmarkStart w:id="8277" w:name="_Toc468260614"/>
      <w:bookmarkStart w:id="8278" w:name="_Toc468260743"/>
      <w:bookmarkStart w:id="8279" w:name="_Toc468260871"/>
      <w:bookmarkStart w:id="8280" w:name="_Toc468261002"/>
      <w:bookmarkStart w:id="8281" w:name="_Toc468261133"/>
      <w:bookmarkStart w:id="8282" w:name="_Toc468261264"/>
      <w:bookmarkStart w:id="8283" w:name="_Toc468261395"/>
      <w:bookmarkStart w:id="8284" w:name="_Toc468261526"/>
      <w:bookmarkStart w:id="8285" w:name="_Toc468266840"/>
      <w:bookmarkStart w:id="8286" w:name="_Toc468266968"/>
      <w:bookmarkStart w:id="8287" w:name="_Toc468267096"/>
      <w:bookmarkStart w:id="8288" w:name="_Toc468269507"/>
      <w:bookmarkStart w:id="8289" w:name="_Toc468279473"/>
      <w:bookmarkStart w:id="8290" w:name="_Toc468360325"/>
      <w:bookmarkStart w:id="8291" w:name="_Toc468361266"/>
      <w:bookmarkStart w:id="8292" w:name="_Toc468363496"/>
      <w:bookmarkStart w:id="8293" w:name="_Toc468366323"/>
      <w:bookmarkStart w:id="8294" w:name="_Toc468428413"/>
      <w:bookmarkStart w:id="8295" w:name="_Toc468691809"/>
      <w:bookmarkStart w:id="8296" w:name="_Toc468691936"/>
      <w:bookmarkStart w:id="8297" w:name="_Toc468692063"/>
      <w:bookmarkStart w:id="8298" w:name="_Toc468694017"/>
      <w:bookmarkStart w:id="8299" w:name="_Toc468712712"/>
      <w:bookmarkStart w:id="8300" w:name="_Toc468712840"/>
      <w:bookmarkStart w:id="8301" w:name="_Toc468712967"/>
      <w:bookmarkStart w:id="8302" w:name="_Toc468713094"/>
      <w:bookmarkStart w:id="8303" w:name="_Toc468713221"/>
      <w:bookmarkStart w:id="8304" w:name="_Toc468713348"/>
      <w:bookmarkStart w:id="8305" w:name="_Toc468713475"/>
      <w:bookmarkStart w:id="8306" w:name="_Toc468713602"/>
      <w:bookmarkStart w:id="8307" w:name="_Toc468713855"/>
      <w:bookmarkStart w:id="8308" w:name="_Toc468713982"/>
      <w:bookmarkStart w:id="8309" w:name="_Toc468714109"/>
      <w:bookmarkStart w:id="8310" w:name="_Toc468787118"/>
      <w:bookmarkStart w:id="8311" w:name="_Toc468787436"/>
      <w:bookmarkStart w:id="8312" w:name="_Toc468787564"/>
      <w:bookmarkStart w:id="8313" w:name="_Toc468787692"/>
      <w:bookmarkStart w:id="8314" w:name="_Toc468787819"/>
      <w:bookmarkStart w:id="8315" w:name="_Toc468787946"/>
      <w:bookmarkStart w:id="8316" w:name="_Toc468788073"/>
      <w:bookmarkStart w:id="8317" w:name="_Toc468957753"/>
      <w:bookmarkStart w:id="8318" w:name="_Toc468957880"/>
      <w:bookmarkStart w:id="8319" w:name="_Toc468958007"/>
      <w:bookmarkStart w:id="8320" w:name="_Toc468958134"/>
      <w:bookmarkStart w:id="8321" w:name="_Toc468958261"/>
      <w:bookmarkStart w:id="8322" w:name="_Toc468958388"/>
      <w:bookmarkStart w:id="8323" w:name="_Toc468958515"/>
      <w:bookmarkStart w:id="8324" w:name="_Toc468958642"/>
      <w:bookmarkStart w:id="8325" w:name="_Toc468958769"/>
      <w:bookmarkStart w:id="8326" w:name="_Toc468958896"/>
      <w:bookmarkStart w:id="8327" w:name="_Toc468959023"/>
      <w:bookmarkStart w:id="8328" w:name="_Toc468959150"/>
      <w:bookmarkStart w:id="8329" w:name="_Toc468960651"/>
      <w:bookmarkStart w:id="8330" w:name="_Toc469035124"/>
      <w:bookmarkStart w:id="8331" w:name="_Toc469056834"/>
      <w:bookmarkStart w:id="8332" w:name="_Toc469321146"/>
      <w:bookmarkStart w:id="8333" w:name="_Toc469323875"/>
      <w:bookmarkStart w:id="8334" w:name="_Toc469324001"/>
      <w:bookmarkStart w:id="8335" w:name="_Toc469324552"/>
      <w:bookmarkStart w:id="8336" w:name="_Toc470695430"/>
      <w:bookmarkStart w:id="8337" w:name="_Toc470695583"/>
      <w:bookmarkStart w:id="8338" w:name="_Toc470697087"/>
      <w:bookmarkStart w:id="8339" w:name="_Toc470699971"/>
      <w:bookmarkStart w:id="8340" w:name="_Toc470762817"/>
      <w:bookmarkStart w:id="8341" w:name="_Toc471114635"/>
      <w:bookmarkStart w:id="8342" w:name="_Toc474393051"/>
      <w:bookmarkStart w:id="8343" w:name="_Toc474497942"/>
      <w:bookmarkStart w:id="8344" w:name="_Toc474498701"/>
      <w:bookmarkStart w:id="8345" w:name="_Toc474844560"/>
      <w:bookmarkStart w:id="8346" w:name="_Toc474844687"/>
      <w:bookmarkStart w:id="8347" w:name="_Toc474919957"/>
      <w:bookmarkStart w:id="8348" w:name="_Toc474924966"/>
      <w:bookmarkEnd w:id="8226"/>
      <w:bookmarkEnd w:id="8227"/>
      <w:bookmarkEnd w:id="8228"/>
      <w:bookmarkEnd w:id="8229"/>
      <w:bookmarkEnd w:id="8230"/>
      <w:bookmarkEnd w:id="8231"/>
      <w:bookmarkEnd w:id="8232"/>
      <w:bookmarkEnd w:id="8233"/>
      <w:bookmarkEnd w:id="8234"/>
      <w:bookmarkEnd w:id="8235"/>
      <w:bookmarkEnd w:id="8236"/>
      <w:bookmarkEnd w:id="8237"/>
      <w:bookmarkEnd w:id="8238"/>
      <w:bookmarkEnd w:id="8239"/>
      <w:bookmarkEnd w:id="8240"/>
      <w:bookmarkEnd w:id="8241"/>
      <w:bookmarkEnd w:id="8242"/>
      <w:bookmarkEnd w:id="8243"/>
      <w:bookmarkEnd w:id="8244"/>
      <w:bookmarkEnd w:id="8245"/>
      <w:bookmarkEnd w:id="8246"/>
      <w:bookmarkEnd w:id="8247"/>
      <w:bookmarkEnd w:id="8248"/>
      <w:bookmarkEnd w:id="8249"/>
      <w:bookmarkEnd w:id="8250"/>
      <w:bookmarkEnd w:id="8251"/>
      <w:bookmarkEnd w:id="8252"/>
      <w:bookmarkEnd w:id="8253"/>
      <w:bookmarkEnd w:id="8254"/>
      <w:bookmarkEnd w:id="8255"/>
      <w:bookmarkEnd w:id="8256"/>
      <w:bookmarkEnd w:id="8257"/>
      <w:bookmarkEnd w:id="8258"/>
      <w:bookmarkEnd w:id="8259"/>
      <w:bookmarkEnd w:id="8260"/>
      <w:bookmarkEnd w:id="8261"/>
      <w:bookmarkEnd w:id="8262"/>
      <w:bookmarkEnd w:id="8263"/>
      <w:bookmarkEnd w:id="8264"/>
      <w:bookmarkEnd w:id="8265"/>
      <w:bookmarkEnd w:id="8266"/>
      <w:bookmarkEnd w:id="8267"/>
      <w:bookmarkEnd w:id="8268"/>
      <w:bookmarkEnd w:id="8269"/>
      <w:bookmarkEnd w:id="8270"/>
      <w:bookmarkEnd w:id="8271"/>
      <w:bookmarkEnd w:id="8272"/>
      <w:bookmarkEnd w:id="8273"/>
      <w:bookmarkEnd w:id="8274"/>
      <w:bookmarkEnd w:id="8275"/>
      <w:bookmarkEnd w:id="8276"/>
      <w:bookmarkEnd w:id="8277"/>
      <w:bookmarkEnd w:id="8278"/>
      <w:bookmarkEnd w:id="8279"/>
      <w:bookmarkEnd w:id="8280"/>
      <w:bookmarkEnd w:id="8281"/>
      <w:bookmarkEnd w:id="8282"/>
      <w:bookmarkEnd w:id="8283"/>
      <w:bookmarkEnd w:id="8284"/>
      <w:bookmarkEnd w:id="8285"/>
      <w:bookmarkEnd w:id="8286"/>
      <w:bookmarkEnd w:id="8287"/>
      <w:bookmarkEnd w:id="8288"/>
      <w:bookmarkEnd w:id="8289"/>
      <w:bookmarkEnd w:id="8290"/>
      <w:bookmarkEnd w:id="8291"/>
      <w:bookmarkEnd w:id="8292"/>
      <w:bookmarkEnd w:id="8293"/>
      <w:bookmarkEnd w:id="8294"/>
      <w:bookmarkEnd w:id="8295"/>
      <w:bookmarkEnd w:id="8296"/>
      <w:bookmarkEnd w:id="8297"/>
      <w:bookmarkEnd w:id="8298"/>
      <w:bookmarkEnd w:id="8299"/>
      <w:bookmarkEnd w:id="8300"/>
      <w:bookmarkEnd w:id="8301"/>
      <w:bookmarkEnd w:id="8302"/>
      <w:bookmarkEnd w:id="8303"/>
      <w:bookmarkEnd w:id="8304"/>
      <w:bookmarkEnd w:id="8305"/>
      <w:bookmarkEnd w:id="8306"/>
      <w:bookmarkEnd w:id="8307"/>
      <w:bookmarkEnd w:id="8308"/>
      <w:bookmarkEnd w:id="8309"/>
      <w:bookmarkEnd w:id="8310"/>
      <w:bookmarkEnd w:id="8311"/>
      <w:bookmarkEnd w:id="8312"/>
      <w:bookmarkEnd w:id="8313"/>
      <w:bookmarkEnd w:id="8314"/>
      <w:bookmarkEnd w:id="8315"/>
      <w:bookmarkEnd w:id="8316"/>
      <w:bookmarkEnd w:id="8317"/>
      <w:bookmarkEnd w:id="8318"/>
      <w:bookmarkEnd w:id="8319"/>
      <w:bookmarkEnd w:id="8320"/>
      <w:bookmarkEnd w:id="8321"/>
      <w:bookmarkEnd w:id="8322"/>
      <w:bookmarkEnd w:id="8323"/>
      <w:bookmarkEnd w:id="8324"/>
      <w:bookmarkEnd w:id="8325"/>
      <w:bookmarkEnd w:id="8326"/>
      <w:bookmarkEnd w:id="8327"/>
      <w:bookmarkEnd w:id="8328"/>
      <w:bookmarkEnd w:id="8329"/>
      <w:bookmarkEnd w:id="8330"/>
      <w:bookmarkEnd w:id="8331"/>
      <w:bookmarkEnd w:id="8332"/>
      <w:bookmarkEnd w:id="8333"/>
      <w:bookmarkEnd w:id="8334"/>
      <w:bookmarkEnd w:id="8335"/>
      <w:bookmarkEnd w:id="8336"/>
      <w:bookmarkEnd w:id="8337"/>
      <w:bookmarkEnd w:id="8338"/>
      <w:bookmarkEnd w:id="8339"/>
      <w:bookmarkEnd w:id="8340"/>
      <w:bookmarkEnd w:id="8341"/>
      <w:bookmarkEnd w:id="8342"/>
      <w:bookmarkEnd w:id="8343"/>
      <w:bookmarkEnd w:id="8344"/>
      <w:bookmarkEnd w:id="8345"/>
      <w:bookmarkEnd w:id="8346"/>
      <w:bookmarkEnd w:id="8347"/>
      <w:bookmarkEnd w:id="8348"/>
    </w:p>
    <w:p w:rsidR="00B007BE" w:rsidRPr="00B007BE" w:rsidRDefault="00B007BE" w:rsidP="00B007BE">
      <w:pPr>
        <w:pStyle w:val="Akapitzlist"/>
        <w:keepNext/>
        <w:numPr>
          <w:ilvl w:val="1"/>
          <w:numId w:val="191"/>
        </w:numPr>
        <w:spacing w:before="240" w:after="60" w:line="240" w:lineRule="auto"/>
        <w:outlineLvl w:val="2"/>
        <w:rPr>
          <w:rFonts w:eastAsia="Times New Roman" w:cs="Calibri"/>
          <w:b/>
          <w:bCs/>
          <w:vanish/>
          <w:color w:val="3366FF"/>
          <w:sz w:val="26"/>
          <w:szCs w:val="26"/>
          <w:lang w:eastAsia="pl-PL"/>
        </w:rPr>
      </w:pPr>
      <w:bookmarkStart w:id="8349" w:name="_Toc467669584"/>
      <w:bookmarkStart w:id="8350" w:name="_Toc467832089"/>
      <w:bookmarkStart w:id="8351" w:name="_Toc467832209"/>
      <w:bookmarkStart w:id="8352" w:name="_Toc467834914"/>
      <w:bookmarkStart w:id="8353" w:name="_Toc467843595"/>
      <w:bookmarkStart w:id="8354" w:name="_Toc467845581"/>
      <w:bookmarkStart w:id="8355" w:name="_Toc467847524"/>
      <w:bookmarkStart w:id="8356" w:name="_Toc467847646"/>
      <w:bookmarkStart w:id="8357" w:name="_Toc467847768"/>
      <w:bookmarkStart w:id="8358" w:name="_Toc467847892"/>
      <w:bookmarkStart w:id="8359" w:name="_Toc467848016"/>
      <w:bookmarkStart w:id="8360" w:name="_Toc467848140"/>
      <w:bookmarkStart w:id="8361" w:name="_Toc467848264"/>
      <w:bookmarkStart w:id="8362" w:name="_Toc467848388"/>
      <w:bookmarkStart w:id="8363" w:name="_Toc467848512"/>
      <w:bookmarkStart w:id="8364" w:name="_Toc468097986"/>
      <w:bookmarkStart w:id="8365" w:name="_Toc468098110"/>
      <w:bookmarkStart w:id="8366" w:name="_Toc468104777"/>
      <w:bookmarkStart w:id="8367" w:name="_Toc468104901"/>
      <w:bookmarkStart w:id="8368" w:name="_Toc468105027"/>
      <w:bookmarkStart w:id="8369" w:name="_Toc468105153"/>
      <w:bookmarkStart w:id="8370" w:name="_Toc468105279"/>
      <w:bookmarkStart w:id="8371" w:name="_Toc468105405"/>
      <w:bookmarkStart w:id="8372" w:name="_Toc468105889"/>
      <w:bookmarkStart w:id="8373" w:name="_Toc468106016"/>
      <w:bookmarkStart w:id="8374" w:name="_Toc468116310"/>
      <w:bookmarkStart w:id="8375" w:name="_Toc468178266"/>
      <w:bookmarkStart w:id="8376" w:name="_Toc468181560"/>
      <w:bookmarkStart w:id="8377" w:name="_Toc468181687"/>
      <w:bookmarkStart w:id="8378" w:name="_Toc468181816"/>
      <w:bookmarkStart w:id="8379" w:name="_Toc468181982"/>
      <w:bookmarkStart w:id="8380" w:name="_Toc468185923"/>
      <w:bookmarkStart w:id="8381" w:name="_Toc468190855"/>
      <w:bookmarkStart w:id="8382" w:name="_Toc468190981"/>
      <w:bookmarkStart w:id="8383" w:name="_Toc468191473"/>
      <w:bookmarkStart w:id="8384" w:name="_Toc468258144"/>
      <w:bookmarkStart w:id="8385" w:name="_Toc468258375"/>
      <w:bookmarkStart w:id="8386" w:name="_Toc468258669"/>
      <w:bookmarkStart w:id="8387" w:name="_Toc468258798"/>
      <w:bookmarkStart w:id="8388" w:name="_Toc468258931"/>
      <w:bookmarkStart w:id="8389" w:name="_Toc468259062"/>
      <w:bookmarkStart w:id="8390" w:name="_Toc468259191"/>
      <w:bookmarkStart w:id="8391" w:name="_Toc468259320"/>
      <w:bookmarkStart w:id="8392" w:name="_Toc468259577"/>
      <w:bookmarkStart w:id="8393" w:name="_Toc468259709"/>
      <w:bookmarkStart w:id="8394" w:name="_Toc468259839"/>
      <w:bookmarkStart w:id="8395" w:name="_Toc468259968"/>
      <w:bookmarkStart w:id="8396" w:name="_Toc468260099"/>
      <w:bookmarkStart w:id="8397" w:name="_Toc468260228"/>
      <w:bookmarkStart w:id="8398" w:name="_Toc468260357"/>
      <w:bookmarkStart w:id="8399" w:name="_Toc468260486"/>
      <w:bookmarkStart w:id="8400" w:name="_Toc468260615"/>
      <w:bookmarkStart w:id="8401" w:name="_Toc468260744"/>
      <w:bookmarkStart w:id="8402" w:name="_Toc468260872"/>
      <w:bookmarkStart w:id="8403" w:name="_Toc468261003"/>
      <w:bookmarkStart w:id="8404" w:name="_Toc468261134"/>
      <w:bookmarkStart w:id="8405" w:name="_Toc468261265"/>
      <w:bookmarkStart w:id="8406" w:name="_Toc468261396"/>
      <w:bookmarkStart w:id="8407" w:name="_Toc468261527"/>
      <w:bookmarkStart w:id="8408" w:name="_Toc468266841"/>
      <w:bookmarkStart w:id="8409" w:name="_Toc468266969"/>
      <w:bookmarkStart w:id="8410" w:name="_Toc468267097"/>
      <w:bookmarkStart w:id="8411" w:name="_Toc468269508"/>
      <w:bookmarkStart w:id="8412" w:name="_Toc468279474"/>
      <w:bookmarkStart w:id="8413" w:name="_Toc468360326"/>
      <w:bookmarkStart w:id="8414" w:name="_Toc468361267"/>
      <w:bookmarkStart w:id="8415" w:name="_Toc468363497"/>
      <w:bookmarkStart w:id="8416" w:name="_Toc468366324"/>
      <w:bookmarkStart w:id="8417" w:name="_Toc468428414"/>
      <w:bookmarkStart w:id="8418" w:name="_Toc468691810"/>
      <w:bookmarkStart w:id="8419" w:name="_Toc468691937"/>
      <w:bookmarkStart w:id="8420" w:name="_Toc468692064"/>
      <w:bookmarkStart w:id="8421" w:name="_Toc468694018"/>
      <w:bookmarkStart w:id="8422" w:name="_Toc468712713"/>
      <w:bookmarkStart w:id="8423" w:name="_Toc468712841"/>
      <w:bookmarkStart w:id="8424" w:name="_Toc468712968"/>
      <w:bookmarkStart w:id="8425" w:name="_Toc468713095"/>
      <w:bookmarkStart w:id="8426" w:name="_Toc468713222"/>
      <w:bookmarkStart w:id="8427" w:name="_Toc468713349"/>
      <w:bookmarkStart w:id="8428" w:name="_Toc468713476"/>
      <w:bookmarkStart w:id="8429" w:name="_Toc468713603"/>
      <w:bookmarkStart w:id="8430" w:name="_Toc468713856"/>
      <w:bookmarkStart w:id="8431" w:name="_Toc468713983"/>
      <w:bookmarkStart w:id="8432" w:name="_Toc468714110"/>
      <w:bookmarkStart w:id="8433" w:name="_Toc468787119"/>
      <w:bookmarkStart w:id="8434" w:name="_Toc468787437"/>
      <w:bookmarkStart w:id="8435" w:name="_Toc468787565"/>
      <w:bookmarkStart w:id="8436" w:name="_Toc468787693"/>
      <w:bookmarkStart w:id="8437" w:name="_Toc468787820"/>
      <w:bookmarkStart w:id="8438" w:name="_Toc468787947"/>
      <w:bookmarkStart w:id="8439" w:name="_Toc468788074"/>
      <w:bookmarkStart w:id="8440" w:name="_Toc468957754"/>
      <w:bookmarkStart w:id="8441" w:name="_Toc468957881"/>
      <w:bookmarkStart w:id="8442" w:name="_Toc468958008"/>
      <w:bookmarkStart w:id="8443" w:name="_Toc468958135"/>
      <w:bookmarkStart w:id="8444" w:name="_Toc468958262"/>
      <w:bookmarkStart w:id="8445" w:name="_Toc468958389"/>
      <w:bookmarkStart w:id="8446" w:name="_Toc468958516"/>
      <w:bookmarkStart w:id="8447" w:name="_Toc468958643"/>
      <w:bookmarkStart w:id="8448" w:name="_Toc468958770"/>
      <w:bookmarkStart w:id="8449" w:name="_Toc468958897"/>
      <w:bookmarkStart w:id="8450" w:name="_Toc468959024"/>
      <w:bookmarkStart w:id="8451" w:name="_Toc468959151"/>
      <w:bookmarkStart w:id="8452" w:name="_Toc468960652"/>
      <w:bookmarkStart w:id="8453" w:name="_Toc469035125"/>
      <w:bookmarkStart w:id="8454" w:name="_Toc469056835"/>
      <w:bookmarkStart w:id="8455" w:name="_Toc469321147"/>
      <w:bookmarkStart w:id="8456" w:name="_Toc469323876"/>
      <w:bookmarkStart w:id="8457" w:name="_Toc469324002"/>
      <w:bookmarkStart w:id="8458" w:name="_Toc469324553"/>
      <w:bookmarkStart w:id="8459" w:name="_Toc470695431"/>
      <w:bookmarkStart w:id="8460" w:name="_Toc470695584"/>
      <w:bookmarkStart w:id="8461" w:name="_Toc470697088"/>
      <w:bookmarkStart w:id="8462" w:name="_Toc470699972"/>
      <w:bookmarkStart w:id="8463" w:name="_Toc470762818"/>
      <w:bookmarkStart w:id="8464" w:name="_Toc471114636"/>
      <w:bookmarkStart w:id="8465" w:name="_Toc474393052"/>
      <w:bookmarkStart w:id="8466" w:name="_Toc474497943"/>
      <w:bookmarkStart w:id="8467" w:name="_Toc474498702"/>
      <w:bookmarkStart w:id="8468" w:name="_Toc474844561"/>
      <w:bookmarkStart w:id="8469" w:name="_Toc474844688"/>
      <w:bookmarkStart w:id="8470" w:name="_Toc474919958"/>
      <w:bookmarkStart w:id="8471" w:name="_Toc474924967"/>
      <w:bookmarkEnd w:id="8349"/>
      <w:bookmarkEnd w:id="8350"/>
      <w:bookmarkEnd w:id="8351"/>
      <w:bookmarkEnd w:id="8352"/>
      <w:bookmarkEnd w:id="8353"/>
      <w:bookmarkEnd w:id="8354"/>
      <w:bookmarkEnd w:id="8355"/>
      <w:bookmarkEnd w:id="8356"/>
      <w:bookmarkEnd w:id="8357"/>
      <w:bookmarkEnd w:id="8358"/>
      <w:bookmarkEnd w:id="8359"/>
      <w:bookmarkEnd w:id="8360"/>
      <w:bookmarkEnd w:id="8361"/>
      <w:bookmarkEnd w:id="8362"/>
      <w:bookmarkEnd w:id="8363"/>
      <w:bookmarkEnd w:id="8364"/>
      <w:bookmarkEnd w:id="8365"/>
      <w:bookmarkEnd w:id="8366"/>
      <w:bookmarkEnd w:id="8367"/>
      <w:bookmarkEnd w:id="8368"/>
      <w:bookmarkEnd w:id="8369"/>
      <w:bookmarkEnd w:id="8370"/>
      <w:bookmarkEnd w:id="8371"/>
      <w:bookmarkEnd w:id="8372"/>
      <w:bookmarkEnd w:id="8373"/>
      <w:bookmarkEnd w:id="8374"/>
      <w:bookmarkEnd w:id="8375"/>
      <w:bookmarkEnd w:id="8376"/>
      <w:bookmarkEnd w:id="8377"/>
      <w:bookmarkEnd w:id="8378"/>
      <w:bookmarkEnd w:id="8379"/>
      <w:bookmarkEnd w:id="8380"/>
      <w:bookmarkEnd w:id="8381"/>
      <w:bookmarkEnd w:id="8382"/>
      <w:bookmarkEnd w:id="8383"/>
      <w:bookmarkEnd w:id="8384"/>
      <w:bookmarkEnd w:id="8385"/>
      <w:bookmarkEnd w:id="8386"/>
      <w:bookmarkEnd w:id="8387"/>
      <w:bookmarkEnd w:id="8388"/>
      <w:bookmarkEnd w:id="8389"/>
      <w:bookmarkEnd w:id="8390"/>
      <w:bookmarkEnd w:id="8391"/>
      <w:bookmarkEnd w:id="8392"/>
      <w:bookmarkEnd w:id="8393"/>
      <w:bookmarkEnd w:id="8394"/>
      <w:bookmarkEnd w:id="8395"/>
      <w:bookmarkEnd w:id="8396"/>
      <w:bookmarkEnd w:id="8397"/>
      <w:bookmarkEnd w:id="8398"/>
      <w:bookmarkEnd w:id="8399"/>
      <w:bookmarkEnd w:id="8400"/>
      <w:bookmarkEnd w:id="8401"/>
      <w:bookmarkEnd w:id="8402"/>
      <w:bookmarkEnd w:id="8403"/>
      <w:bookmarkEnd w:id="8404"/>
      <w:bookmarkEnd w:id="8405"/>
      <w:bookmarkEnd w:id="8406"/>
      <w:bookmarkEnd w:id="8407"/>
      <w:bookmarkEnd w:id="8408"/>
      <w:bookmarkEnd w:id="8409"/>
      <w:bookmarkEnd w:id="8410"/>
      <w:bookmarkEnd w:id="8411"/>
      <w:bookmarkEnd w:id="8412"/>
      <w:bookmarkEnd w:id="8413"/>
      <w:bookmarkEnd w:id="8414"/>
      <w:bookmarkEnd w:id="8415"/>
      <w:bookmarkEnd w:id="8416"/>
      <w:bookmarkEnd w:id="8417"/>
      <w:bookmarkEnd w:id="8418"/>
      <w:bookmarkEnd w:id="8419"/>
      <w:bookmarkEnd w:id="8420"/>
      <w:bookmarkEnd w:id="8421"/>
      <w:bookmarkEnd w:id="8422"/>
      <w:bookmarkEnd w:id="8423"/>
      <w:bookmarkEnd w:id="8424"/>
      <w:bookmarkEnd w:id="8425"/>
      <w:bookmarkEnd w:id="8426"/>
      <w:bookmarkEnd w:id="8427"/>
      <w:bookmarkEnd w:id="8428"/>
      <w:bookmarkEnd w:id="8429"/>
      <w:bookmarkEnd w:id="8430"/>
      <w:bookmarkEnd w:id="8431"/>
      <w:bookmarkEnd w:id="8432"/>
      <w:bookmarkEnd w:id="8433"/>
      <w:bookmarkEnd w:id="8434"/>
      <w:bookmarkEnd w:id="8435"/>
      <w:bookmarkEnd w:id="8436"/>
      <w:bookmarkEnd w:id="8437"/>
      <w:bookmarkEnd w:id="8438"/>
      <w:bookmarkEnd w:id="8439"/>
      <w:bookmarkEnd w:id="8440"/>
      <w:bookmarkEnd w:id="8441"/>
      <w:bookmarkEnd w:id="8442"/>
      <w:bookmarkEnd w:id="8443"/>
      <w:bookmarkEnd w:id="8444"/>
      <w:bookmarkEnd w:id="8445"/>
      <w:bookmarkEnd w:id="8446"/>
      <w:bookmarkEnd w:id="8447"/>
      <w:bookmarkEnd w:id="8448"/>
      <w:bookmarkEnd w:id="8449"/>
      <w:bookmarkEnd w:id="8450"/>
      <w:bookmarkEnd w:id="8451"/>
      <w:bookmarkEnd w:id="8452"/>
      <w:bookmarkEnd w:id="8453"/>
      <w:bookmarkEnd w:id="8454"/>
      <w:bookmarkEnd w:id="8455"/>
      <w:bookmarkEnd w:id="8456"/>
      <w:bookmarkEnd w:id="8457"/>
      <w:bookmarkEnd w:id="8458"/>
      <w:bookmarkEnd w:id="8459"/>
      <w:bookmarkEnd w:id="8460"/>
      <w:bookmarkEnd w:id="8461"/>
      <w:bookmarkEnd w:id="8462"/>
      <w:bookmarkEnd w:id="8463"/>
      <w:bookmarkEnd w:id="8464"/>
      <w:bookmarkEnd w:id="8465"/>
      <w:bookmarkEnd w:id="8466"/>
      <w:bookmarkEnd w:id="8467"/>
      <w:bookmarkEnd w:id="8468"/>
      <w:bookmarkEnd w:id="8469"/>
      <w:bookmarkEnd w:id="8470"/>
      <w:bookmarkEnd w:id="8471"/>
    </w:p>
    <w:p w:rsidR="0059148B" w:rsidRPr="0059148B" w:rsidRDefault="0059148B" w:rsidP="00B007BE">
      <w:pPr>
        <w:pStyle w:val="Nagwek3"/>
        <w:numPr>
          <w:ilvl w:val="2"/>
          <w:numId w:val="191"/>
        </w:numPr>
        <w:ind w:left="567"/>
      </w:pPr>
      <w:bookmarkStart w:id="8472" w:name="_Toc474924968"/>
      <w:r w:rsidRPr="0059148B">
        <w:t>Udział interesariuszy w procesie tworzenia GPR</w:t>
      </w:r>
      <w:bookmarkEnd w:id="8472"/>
      <w:r w:rsidRPr="0059148B">
        <w:t xml:space="preserve"> </w:t>
      </w:r>
    </w:p>
    <w:p w:rsidR="0059148B" w:rsidRDefault="0059148B" w:rsidP="0059148B">
      <w:pPr>
        <w:pStyle w:val="Default"/>
        <w:spacing w:line="360" w:lineRule="auto"/>
        <w:jc w:val="both"/>
        <w:rPr>
          <w:rFonts w:asciiTheme="minorHAnsi" w:hAnsiTheme="minorHAnsi" w:cs="Arial"/>
          <w:color w:val="FF0000"/>
          <w:sz w:val="20"/>
          <w:szCs w:val="20"/>
        </w:rPr>
      </w:pPr>
    </w:p>
    <w:p w:rsidR="00DB50DD" w:rsidRPr="00591E92" w:rsidRDefault="00DB50DD" w:rsidP="00DB50DD">
      <w:pPr>
        <w:ind w:firstLine="709"/>
        <w:jc w:val="both"/>
      </w:pPr>
      <w:r w:rsidRPr="00F923F6">
        <w:rPr>
          <w:rFonts w:cs="Arial"/>
          <w:szCs w:val="20"/>
        </w:rPr>
        <w:t xml:space="preserve">Mieszkańcy oraz inni interesariusze (zgodnie z ustawą o rewitalizacji) brali czynny udział </w:t>
      </w:r>
      <w:r w:rsidRPr="00F923F6">
        <w:rPr>
          <w:rFonts w:cs="Arial"/>
          <w:szCs w:val="20"/>
        </w:rPr>
        <w:br/>
        <w:t>w konsultacjach społecznych oraz różnego rodzaju spotkaniach zorganizowanych w ramac</w:t>
      </w:r>
      <w:r>
        <w:rPr>
          <w:rFonts w:cs="Arial"/>
          <w:szCs w:val="20"/>
        </w:rPr>
        <w:t xml:space="preserve">h przygotowań do rewitalizacji. </w:t>
      </w:r>
      <w:r w:rsidRPr="00234C93">
        <w:rPr>
          <w:rFonts w:cs="Arial"/>
          <w:szCs w:val="20"/>
          <w:shd w:val="clear" w:color="auto" w:fill="F2F2F2" w:themeFill="background1" w:themeFillShade="F2"/>
        </w:rPr>
        <w:t xml:space="preserve">W proces przygotowań do opracowania Gminnego Programu Rewitalizacji, na każdym jego etapie, zaangażowani zostali </w:t>
      </w:r>
      <w:r w:rsidRPr="00234C93">
        <w:rPr>
          <w:shd w:val="clear" w:color="auto" w:fill="F2F2F2" w:themeFill="background1" w:themeFillShade="F2"/>
        </w:rPr>
        <w:t>partnerzy społeczno-gospodarczy oraz podmioty reprezentujące społeczeństwo obywatelskie, działające na rzecz ochrony środowiska oraz odpowiedzialne za promowanie włączenia społecznego, praw podstawowych, praw osób niepełnosprawnych, równości płci i niedyskryminacji</w:t>
      </w:r>
      <w:r w:rsidRPr="00BF1DF2">
        <w:rPr>
          <w:shd w:val="clear" w:color="auto" w:fill="DDDDDD"/>
        </w:rPr>
        <w:t>.</w:t>
      </w:r>
      <w:r w:rsidRPr="00BF1DF2">
        <w:rPr>
          <w:rFonts w:cs="Arial"/>
          <w:szCs w:val="20"/>
        </w:rPr>
        <w:t xml:space="preserve"> Od</w:t>
      </w:r>
      <w:r w:rsidRPr="00F923F6">
        <w:rPr>
          <w:rFonts w:cs="Arial"/>
          <w:szCs w:val="20"/>
        </w:rPr>
        <w:t xml:space="preserve"> 2013 roku, odbyło się w sumie kilkadziesiąt różnego rodzaju spotkań z interesariuszami rewitalizacji dot. Kompleksowej Rewitalizacji Bytomia; możliwości finansowania projektów; list projektów przewidzianych do realizacji w ramach Obszaru Strategicznej Interwencji; Zintegrowanych Inwestycji Terytorialnych; pól współpracy sektora obywatelskiego</w:t>
      </w:r>
      <w:r>
        <w:rPr>
          <w:rFonts w:cs="Arial"/>
          <w:szCs w:val="20"/>
        </w:rPr>
        <w:t xml:space="preserve"> </w:t>
      </w:r>
      <w:r w:rsidRPr="00F923F6">
        <w:rPr>
          <w:rFonts w:cs="Arial"/>
          <w:szCs w:val="20"/>
        </w:rPr>
        <w:t xml:space="preserve">i biznesu; możliwości zaangażowania w proces rewitalizacji różnych partnerów; wyznaczenia obszaru rewitalizacji i obszaru zdegradowanego dla Bytomia; pilotażu rewitalizacji; sposobów pozyskiwania funduszy europejskich; Gminnego Programu Rewitalizacji dla Bytomia. </w:t>
      </w:r>
    </w:p>
    <w:p w:rsidR="00620A56" w:rsidRPr="00F923F6" w:rsidRDefault="00F923F6" w:rsidP="008B6374">
      <w:pPr>
        <w:pStyle w:val="Default"/>
        <w:spacing w:before="120"/>
        <w:jc w:val="both"/>
        <w:rPr>
          <w:rFonts w:asciiTheme="minorHAnsi" w:hAnsiTheme="minorHAnsi" w:cs="Arial"/>
          <w:b/>
          <w:color w:val="auto"/>
          <w:sz w:val="20"/>
          <w:szCs w:val="20"/>
        </w:rPr>
      </w:pPr>
      <w:r w:rsidRPr="00F923F6">
        <w:rPr>
          <w:rFonts w:asciiTheme="minorHAnsi" w:hAnsiTheme="minorHAnsi" w:cs="Arial"/>
          <w:b/>
          <w:color w:val="auto"/>
          <w:sz w:val="20"/>
          <w:szCs w:val="20"/>
        </w:rPr>
        <w:t xml:space="preserve">Wśród najważniejszych spotkań, wydarzeń i innych działań wymienić należy: </w:t>
      </w:r>
    </w:p>
    <w:p w:rsidR="00F923F6" w:rsidRDefault="00F923F6" w:rsidP="00F923F6">
      <w:pPr>
        <w:numPr>
          <w:ilvl w:val="0"/>
          <w:numId w:val="190"/>
        </w:numPr>
        <w:tabs>
          <w:tab w:val="clear" w:pos="720"/>
          <w:tab w:val="num" w:pos="0"/>
        </w:tabs>
        <w:ind w:left="0" w:firstLine="360"/>
        <w:jc w:val="both"/>
        <w:rPr>
          <w:szCs w:val="20"/>
        </w:rPr>
      </w:pPr>
      <w:r w:rsidRPr="00F923F6">
        <w:rPr>
          <w:rFonts w:cs="Arial"/>
          <w:szCs w:val="20"/>
        </w:rPr>
        <w:t xml:space="preserve">Spotkania i obrady </w:t>
      </w:r>
      <w:r w:rsidRPr="00F923F6">
        <w:rPr>
          <w:rStyle w:val="Pogrubienie"/>
          <w:b w:val="0"/>
          <w:bCs w:val="0"/>
          <w:szCs w:val="20"/>
        </w:rPr>
        <w:t xml:space="preserve">ekspertów ds. rewitalizacji z Uniwersytetu Jagiellońskiego i Instytutu Rozwoju Miast w Krakowie z członkami zespołu ds. programowania Bytomia do 2022 roku, który został powołany przez Prezydenta Bytomia w grudniu 2013 r. W jego skład wchodzą pracownicy miejskich jednostek i poszczególnych wydziałów Urzędu Miejskiego w Bytomiu. Szeroki i różnorodny skład Zespołu zapewnia odpowiednio szerokie, komplementarne i kompleksowe podejście do realizowanych działań, a także pozwala na maksymalne możliwe zaangażowanie różnego rodzaju interesariuszy w cały proces przygotowania rewitalizacji. Głównym założeniem powołania zespołu było ułatwienie współpracy między wydziałami, dostęp do informacji, tak żeby praca nad rewitalizacją przebiegała kompleksowo. Do zadań zespołu należy także przygotowanie i sprawne wdrożenie projektów przewidzianych do realizacji w latach 2014-2022, przy współfinansowaniu ze środków funduszy europejskich. Na spotkaniach przede wszystkim rozmawiano o tym, jakie procesy hamują rozwój Bytomia, a co może być jego potencjałem. W spotkaniach brało udział kilkadziesiąt osób. Oprócz szerokiego grona przedstawicieli jednostek miejskich i Urzędu Miejskiego w Bytomiu, brali w nich także udział przedstawiciele organizacji pozarządowych, przedstawiciele rad społecznych przy Prezydencie Bytomia oraz Radni Rady Miejskiej w Bytomiu, a także właściciele bytomskich firm, którzy wypracowali wiele wniosków i założeń programu odnowy miasta. W sumie (do listopada 2016 r.) w ramach projektu odbyło się 9 </w:t>
      </w:r>
      <w:r w:rsidRPr="00F923F6">
        <w:rPr>
          <w:szCs w:val="20"/>
        </w:rPr>
        <w:t>warsztatów i spotkań konsultacyjnych z przedstawicielami zespołu ds. programowania rozwoju Bytomia oraz reprezentantami sektorów obywatelskiego, biznesu</w:t>
      </w:r>
      <w:r>
        <w:rPr>
          <w:szCs w:val="20"/>
        </w:rPr>
        <w:t xml:space="preserve"> </w:t>
      </w:r>
      <w:r w:rsidRPr="00F923F6">
        <w:rPr>
          <w:szCs w:val="20"/>
        </w:rPr>
        <w:t>i nauki.</w:t>
      </w:r>
      <w:r w:rsidR="00473E4A">
        <w:rPr>
          <w:szCs w:val="20"/>
        </w:rPr>
        <w:t xml:space="preserve"> Zespół od 2013 do 2016 roku odbył w sumie </w:t>
      </w:r>
      <w:r w:rsidR="001A6AA2">
        <w:rPr>
          <w:szCs w:val="20"/>
        </w:rPr>
        <w:t>17</w:t>
      </w:r>
      <w:r w:rsidR="00473E4A">
        <w:rPr>
          <w:szCs w:val="20"/>
        </w:rPr>
        <w:t xml:space="preserve"> spotkań.</w:t>
      </w:r>
    </w:p>
    <w:p w:rsidR="00F923F6" w:rsidRPr="00F923F6" w:rsidRDefault="00F923F6" w:rsidP="00F923F6">
      <w:pPr>
        <w:numPr>
          <w:ilvl w:val="0"/>
          <w:numId w:val="190"/>
        </w:numPr>
        <w:tabs>
          <w:tab w:val="clear" w:pos="720"/>
          <w:tab w:val="num" w:pos="0"/>
        </w:tabs>
        <w:ind w:left="0" w:firstLine="360"/>
        <w:jc w:val="both"/>
        <w:rPr>
          <w:rStyle w:val="Pogrubienie"/>
          <w:b w:val="0"/>
          <w:bCs w:val="0"/>
          <w:szCs w:val="20"/>
        </w:rPr>
      </w:pPr>
      <w:r w:rsidRPr="00F923F6">
        <w:rPr>
          <w:szCs w:val="20"/>
        </w:rPr>
        <w:t xml:space="preserve">Włączenie mieszkańców poprzez uruchomienie kampanii informacyjnej „BYTOM odNOWA”. Pierwsze spotkanie dot. utworzenia bytomskiego Klastra Rewitalizacji odbyło się w II kwartale 2015 r. </w:t>
      </w:r>
      <w:r w:rsidRPr="00F923F6">
        <w:rPr>
          <w:rStyle w:val="Pogrubienie"/>
          <w:b w:val="0"/>
          <w:bCs w:val="0"/>
          <w:szCs w:val="20"/>
        </w:rPr>
        <w:t>Bytomski Klaster Rewitalizacji to platforma, która umożliwia współpracę przedsiębiorców, organizacji pozarządowych, środowiska naukowego i mieszkańców w procesie odnowy miasta. Chęć wspólnego działania przedstawiciele tych środowisk wyrazili już w listopadzie 2014 roku, podpisując inicjatywę klastrową. W sumie</w:t>
      </w:r>
      <w:r w:rsidRPr="00F923F6">
        <w:rPr>
          <w:rStyle w:val="Uwydatnienie"/>
          <w:rFonts w:asciiTheme="minorHAnsi" w:hAnsiTheme="minorHAnsi"/>
          <w:i w:val="0"/>
          <w:iCs w:val="0"/>
          <w:szCs w:val="20"/>
        </w:rPr>
        <w:t xml:space="preserve"> Wydział Strategii i Funduszy Europejskich Urzędu Miejskiego w Bytomiu stworzył bazę ponad 140 podmiotów, które przystąpiły do bytomskiego Klastra Rewitalizacji. Kolejnym spotkaniem były</w:t>
      </w:r>
      <w:r w:rsidRPr="00F923F6">
        <w:rPr>
          <w:rStyle w:val="Pogrubienie"/>
          <w:szCs w:val="20"/>
        </w:rPr>
        <w:t> </w:t>
      </w:r>
      <w:r w:rsidRPr="00F923F6">
        <w:rPr>
          <w:szCs w:val="20"/>
        </w:rPr>
        <w:t>konsultacje w ramach kampanii informacyjnej dot. rewitalizacji wśród mieszkańców Bytomia, zorganizowane w IV kwartale 2015 r. na bytomskim Rynku pn. „Akcja – Rewitalizacja. Informacja”. Zapowiedzią kampanii i ww. akcji było powieszenie w całym mieście (III</w:t>
      </w:r>
      <w:r w:rsidR="00044DA7">
        <w:rPr>
          <w:szCs w:val="20"/>
        </w:rPr>
        <w:t> </w:t>
      </w:r>
      <w:r w:rsidRPr="00F923F6">
        <w:rPr>
          <w:szCs w:val="20"/>
        </w:rPr>
        <w:t xml:space="preserve">kwartał 2015 r.) bilboardów, </w:t>
      </w:r>
      <w:r w:rsidRPr="00F923F6">
        <w:rPr>
          <w:rStyle w:val="Pogrubienie"/>
          <w:b w:val="0"/>
          <w:bCs w:val="0"/>
          <w:szCs w:val="20"/>
        </w:rPr>
        <w:t xml:space="preserve">na których znajdowała się elegancka kobieta, która do połowy bilbordu odsłaniała kurtynę z widokiem na Rynek z lotu ptaka. Reklamy wzbudzały ogromne zainteresowanie mieszkańców, tym bardziej, że nie zostały opisane. Z tej okazji zorganizowano także konkurs dla mieszkańców, w ramach którego, należało rozszyfrować zagadkowe reklamy. W październiku podczas przeprowadzonej akcji „Rewitalizacja”, a także poprzez stronę internetową i portale społecznościowe typu Facebook i Twitter, mieszkańcy dowiedzieli się, czego dotyczą. Adres strony poświęconej kompleksowej rewitalizacji miasta </w:t>
      </w:r>
      <w:hyperlink r:id="rId94" w:history="1">
        <w:r w:rsidRPr="00F923F6">
          <w:rPr>
            <w:rStyle w:val="Hipercze"/>
            <w:szCs w:val="20"/>
          </w:rPr>
          <w:t>www.bytomodnowa.pl</w:t>
        </w:r>
      </w:hyperlink>
      <w:r w:rsidRPr="00F923F6">
        <w:rPr>
          <w:rStyle w:val="Pogrubienie"/>
          <w:b w:val="0"/>
          <w:bCs w:val="0"/>
          <w:szCs w:val="20"/>
        </w:rPr>
        <w:t xml:space="preserve"> pojawił się w IV kwartale 2015 r. w całym mieście, również na bilboardach, dzięki czemu większość mieszkańców miasta mogła ją odwiedzić</w:t>
      </w:r>
      <w:r>
        <w:rPr>
          <w:rStyle w:val="Pogrubienie"/>
          <w:b w:val="0"/>
          <w:bCs w:val="0"/>
          <w:szCs w:val="20"/>
        </w:rPr>
        <w:t xml:space="preserve"> </w:t>
      </w:r>
      <w:r w:rsidRPr="00F923F6">
        <w:rPr>
          <w:rStyle w:val="Pogrubienie"/>
          <w:b w:val="0"/>
          <w:bCs w:val="0"/>
          <w:szCs w:val="20"/>
        </w:rPr>
        <w:t>i zapoznać się z tematami poświęconymi rewitalizacji Bytomia. 10 października 2015 r. zaproszono mieszkańców Bytomia na Rynek, gdzie mogli dowiedzieć się wszystkiego na temat rewitalizacji. Utworzono tam cztery strefy: zieleni, kultury, sportu, gospodarki i</w:t>
      </w:r>
      <w:r w:rsidR="00044DA7">
        <w:rPr>
          <w:rStyle w:val="Pogrubienie"/>
          <w:b w:val="0"/>
          <w:bCs w:val="0"/>
          <w:szCs w:val="20"/>
        </w:rPr>
        <w:t> </w:t>
      </w:r>
      <w:r w:rsidRPr="00F923F6">
        <w:rPr>
          <w:rStyle w:val="Pogrubienie"/>
          <w:b w:val="0"/>
          <w:bCs w:val="0"/>
          <w:szCs w:val="20"/>
        </w:rPr>
        <w:t>komunikacji. Poproszono mieszkańców, aby do tablic przypinali spisane na karteczkach swoje pomysły i</w:t>
      </w:r>
      <w:r w:rsidR="00044DA7">
        <w:rPr>
          <w:rStyle w:val="Pogrubienie"/>
          <w:b w:val="0"/>
          <w:bCs w:val="0"/>
          <w:szCs w:val="20"/>
        </w:rPr>
        <w:t> </w:t>
      </w:r>
      <w:r w:rsidRPr="00F923F6">
        <w:rPr>
          <w:rStyle w:val="Pogrubienie"/>
          <w:b w:val="0"/>
          <w:bCs w:val="0"/>
          <w:szCs w:val="20"/>
        </w:rPr>
        <w:t xml:space="preserve">oczekiwania dotyczące przyszłości miasta. W wydarzeniu uczestniczyło kilkaset osób. W ramach akcji, bytomianie wypełniali także ankiety, w celu poznania obaw i oczekiwań mieszkańców, względem zbliżającej się rewitalizacji. W sumie wypełniono 162 ankiety, z których opracowano obszerny raport. </w:t>
      </w:r>
    </w:p>
    <w:p w:rsidR="00F923F6" w:rsidRPr="0053051A" w:rsidRDefault="00F923F6" w:rsidP="00F923F6">
      <w:pPr>
        <w:pStyle w:val="Default"/>
        <w:jc w:val="both"/>
        <w:rPr>
          <w:rStyle w:val="Pogrubienie"/>
          <w:rFonts w:asciiTheme="minorHAnsi" w:hAnsiTheme="minorHAnsi"/>
          <w:b w:val="0"/>
          <w:bCs w:val="0"/>
          <w:color w:val="auto"/>
          <w:sz w:val="18"/>
          <w:szCs w:val="20"/>
        </w:rPr>
      </w:pPr>
    </w:p>
    <w:p w:rsidR="00F923F6" w:rsidRPr="00F923F6" w:rsidRDefault="00F923F6" w:rsidP="00F923F6">
      <w:pPr>
        <w:numPr>
          <w:ilvl w:val="0"/>
          <w:numId w:val="190"/>
        </w:numPr>
        <w:tabs>
          <w:tab w:val="clear" w:pos="720"/>
          <w:tab w:val="num" w:pos="0"/>
        </w:tabs>
        <w:ind w:left="0" w:firstLine="360"/>
        <w:jc w:val="both"/>
        <w:rPr>
          <w:rStyle w:val="Pogrubienie"/>
          <w:b w:val="0"/>
          <w:bCs w:val="0"/>
          <w:szCs w:val="20"/>
        </w:rPr>
      </w:pPr>
      <w:r w:rsidRPr="00F923F6">
        <w:rPr>
          <w:rStyle w:val="Pogrubienie"/>
          <w:b w:val="0"/>
          <w:bCs w:val="0"/>
          <w:szCs w:val="20"/>
        </w:rPr>
        <w:t>Zorganizowanie przez gminę Bytom wraz z Gazetą Wyborczą wyd</w:t>
      </w:r>
      <w:r w:rsidR="00044DA7">
        <w:rPr>
          <w:rStyle w:val="Pogrubienie"/>
          <w:b w:val="0"/>
          <w:bCs w:val="0"/>
          <w:szCs w:val="20"/>
        </w:rPr>
        <w:t>arzenia pn. „Pracownia Miast” w </w:t>
      </w:r>
      <w:r w:rsidRPr="00F923F6">
        <w:rPr>
          <w:rStyle w:val="Pogrubienie"/>
          <w:b w:val="0"/>
          <w:bCs w:val="0"/>
          <w:szCs w:val="20"/>
        </w:rPr>
        <w:t>IV</w:t>
      </w:r>
      <w:r w:rsidR="00044DA7">
        <w:rPr>
          <w:rStyle w:val="Pogrubienie"/>
          <w:b w:val="0"/>
          <w:bCs w:val="0"/>
          <w:szCs w:val="20"/>
        </w:rPr>
        <w:t> </w:t>
      </w:r>
      <w:r w:rsidRPr="00F923F6">
        <w:rPr>
          <w:rStyle w:val="Pogrubienie"/>
          <w:b w:val="0"/>
          <w:bCs w:val="0"/>
          <w:szCs w:val="20"/>
        </w:rPr>
        <w:t xml:space="preserve">kwartale 2015 r. „Pracownia Miasta”, to akcja społeczna z powodzeniem prowadzona od wielu lat w całej Polsce, będąca </w:t>
      </w:r>
      <w:r w:rsidRPr="00F923F6">
        <w:rPr>
          <w:rFonts w:cs="Arial"/>
          <w:szCs w:val="20"/>
        </w:rPr>
        <w:t>miejscem dialogu i wymiany opinii między samorządowcami, mieszkańcami oraz ekspertami, społecznikami, przedstawicielami rządu, świata biznesu i kultury. Zorganizowano ją w formie dwudniowego wydarzenia, tj. konferencji oraz warsztatów. Podczas warsztatów skupiono się na wyzwaniach, przed którymi stoi miasto oraz jego problemach</w:t>
      </w:r>
      <w:r>
        <w:rPr>
          <w:rFonts w:cs="Arial"/>
          <w:szCs w:val="20"/>
        </w:rPr>
        <w:t xml:space="preserve"> </w:t>
      </w:r>
      <w:r w:rsidRPr="00F923F6">
        <w:rPr>
          <w:rFonts w:cs="Arial"/>
          <w:szCs w:val="20"/>
        </w:rPr>
        <w:t>i poszukiwaniach sposobów ich rozwiązania. Na konferencji dyskutowano o</w:t>
      </w:r>
      <w:r w:rsidR="00044DA7">
        <w:rPr>
          <w:rFonts w:cs="Arial"/>
          <w:szCs w:val="20"/>
        </w:rPr>
        <w:t> </w:t>
      </w:r>
      <w:r w:rsidRPr="00F923F6">
        <w:rPr>
          <w:rFonts w:cs="Arial"/>
          <w:szCs w:val="20"/>
        </w:rPr>
        <w:t xml:space="preserve">pomysłach, dobrych praktykach innych miast oraz proponowanych działaniach. </w:t>
      </w:r>
      <w:r w:rsidRPr="00F923F6">
        <w:rPr>
          <w:rStyle w:val="Pogrubienie"/>
          <w:b w:val="0"/>
          <w:bCs w:val="0"/>
          <w:szCs w:val="20"/>
        </w:rPr>
        <w:t>Specjaliści z dziedziny socjologii, ekonomii, polityki społecznej, przedstawiciele władz miasta, a także miejscy aktywiści</w:t>
      </w:r>
      <w:r w:rsidRPr="00F923F6">
        <w:rPr>
          <w:rStyle w:val="Pogrubienie"/>
          <w:szCs w:val="20"/>
        </w:rPr>
        <w:t xml:space="preserve"> </w:t>
      </w:r>
      <w:r w:rsidRPr="00F923F6">
        <w:rPr>
          <w:rStyle w:val="Pogrubienie"/>
          <w:b w:val="0"/>
          <w:bCs w:val="0"/>
          <w:szCs w:val="20"/>
        </w:rPr>
        <w:t xml:space="preserve">wymieniali się pomysłami na ożywienie miasta. </w:t>
      </w:r>
    </w:p>
    <w:p w:rsidR="00F923F6" w:rsidRPr="00F923F6" w:rsidRDefault="00F923F6" w:rsidP="00F923F6">
      <w:pPr>
        <w:jc w:val="both"/>
        <w:rPr>
          <w:rFonts w:cs="Arial"/>
          <w:szCs w:val="20"/>
        </w:rPr>
      </w:pPr>
      <w:r w:rsidRPr="00F923F6">
        <w:rPr>
          <w:szCs w:val="20"/>
        </w:rPr>
        <w:t xml:space="preserve">Uczestnicy warsztatów zgodzili się, że potencjału Bytomia można szukać w czterech obszarach: historia i mit, technologia, tkanka miejska i ludzie. </w:t>
      </w:r>
      <w:r w:rsidRPr="00F923F6">
        <w:rPr>
          <w:rFonts w:cs="Arial"/>
          <w:szCs w:val="20"/>
        </w:rPr>
        <w:t xml:space="preserve">Większość pomysłów wiązała się z zabytkową elektrociepłownią Szombierki, położoną w obszarze rewitalizacji miasta. Zaproponowano także, aby wykorzystać przestrzeń między budynkiem dawnej partii przy ul. Żeromskiego i budynkiem PKP i urządzić tam galerię bytomskich sław – coś na kształt muzeum historii mówionej wraz ze zdigitalizowanym archiwum miejskim oraz miejscem spotkań dla ludzi aktywnych i organizacji pozarządowych. Pojawiła się także idea przekształcenia Bytomia w miasto dla pieszych oraz rowerzystów. Najwięcej głosów zebrał jednak pomysł przekształcenia Elektrociepłowni Szombierki w Science &amp; Business Park, czyli zalążek bytomskiej Doliny Krzemowej. </w:t>
      </w:r>
    </w:p>
    <w:p w:rsidR="00F923F6" w:rsidRPr="00F923F6" w:rsidRDefault="00F923F6" w:rsidP="00F923F6">
      <w:pPr>
        <w:jc w:val="both"/>
        <w:rPr>
          <w:rFonts w:cs="Arial"/>
          <w:szCs w:val="20"/>
        </w:rPr>
      </w:pPr>
      <w:r w:rsidRPr="00F923F6">
        <w:rPr>
          <w:rFonts w:cs="Arial"/>
          <w:szCs w:val="20"/>
        </w:rPr>
        <w:t xml:space="preserve">„Bytom jako inteligentne miasto”– to myśl przewodnia drugich warsztatów. </w:t>
      </w:r>
      <w:r w:rsidRPr="00F923F6">
        <w:rPr>
          <w:szCs w:val="20"/>
        </w:rPr>
        <w:t xml:space="preserve">Zgłaszane projekty uczestnicy warsztatów podzielili na uniwersalne, standardowe oraz propozycje konkretnych rozwiązań. Wśród pierwszych, które można uznać za dekalog każdego inteligentnego miasta, wyróżnili m.in. konieczność digitalizacji urzędowych danych, transparentność, integrację z innymi systemami, monitorowanie zmian czy konieczność wymogu wprowadzania nowych technologii. </w:t>
      </w:r>
      <w:r w:rsidRPr="00F923F6">
        <w:rPr>
          <w:rFonts w:cs="Arial"/>
          <w:szCs w:val="20"/>
        </w:rPr>
        <w:t>Pojawiły się także propozycje stworzenia systemu zarządzania ruchem drogowym i transportem miejskim czy systemu optymalizacji mediów. Zwrócono także uwagę na konieczność stworzenia systemu identyfikacji parkingowej oraz szybkiego parkowania w centrum.</w:t>
      </w:r>
    </w:p>
    <w:p w:rsidR="00F923F6" w:rsidRPr="0053051A" w:rsidRDefault="00F923F6" w:rsidP="00F923F6">
      <w:pPr>
        <w:jc w:val="both"/>
        <w:rPr>
          <w:rFonts w:cs="Arial"/>
          <w:sz w:val="14"/>
          <w:szCs w:val="20"/>
        </w:rPr>
      </w:pPr>
    </w:p>
    <w:p w:rsidR="00F923F6" w:rsidRPr="00F923F6" w:rsidRDefault="00F923F6" w:rsidP="00F923F6">
      <w:pPr>
        <w:numPr>
          <w:ilvl w:val="0"/>
          <w:numId w:val="190"/>
        </w:numPr>
        <w:tabs>
          <w:tab w:val="clear" w:pos="720"/>
          <w:tab w:val="num" w:pos="0"/>
        </w:tabs>
        <w:ind w:left="0" w:firstLine="360"/>
        <w:jc w:val="both"/>
        <w:rPr>
          <w:rStyle w:val="Pogrubienie"/>
          <w:b w:val="0"/>
          <w:bCs w:val="0"/>
          <w:szCs w:val="20"/>
        </w:rPr>
      </w:pPr>
      <w:r w:rsidRPr="00F923F6">
        <w:rPr>
          <w:rStyle w:val="Pogrubienie"/>
          <w:b w:val="0"/>
          <w:bCs w:val="0"/>
          <w:szCs w:val="20"/>
        </w:rPr>
        <w:t>Spotkanie dla mieszkańców, przedstawicieli Organizacji Pozarządowych i Radnych Rady Miejskiej w</w:t>
      </w:r>
      <w:r w:rsidR="00044DA7">
        <w:rPr>
          <w:rStyle w:val="Pogrubienie"/>
          <w:b w:val="0"/>
          <w:bCs w:val="0"/>
          <w:szCs w:val="20"/>
        </w:rPr>
        <w:t> </w:t>
      </w:r>
      <w:r w:rsidRPr="00F923F6">
        <w:rPr>
          <w:rStyle w:val="Pogrubienie"/>
          <w:b w:val="0"/>
          <w:bCs w:val="0"/>
          <w:szCs w:val="20"/>
        </w:rPr>
        <w:t xml:space="preserve">Bytomiu, które odbyło się 7 grudnia 2015 r. na sali sesyjnej Urzędu Miejskiego w Bytomiu </w:t>
      </w:r>
      <w:r w:rsidRPr="00F923F6">
        <w:rPr>
          <w:rStyle w:val="Pogrubienie"/>
          <w:b w:val="0"/>
          <w:bCs w:val="0"/>
          <w:szCs w:val="20"/>
        </w:rPr>
        <w:br/>
        <w:t>i dotyczyło Gminnego Programu Rewitalizacji (GPR). Spotkanie zrealizowane było w ramach projektu pilotażowego rewitalizacji, który realizowany jest od października 2014 r. Poprowadzone zostało przez dr</w:t>
      </w:r>
      <w:r w:rsidR="009375D9">
        <w:rPr>
          <w:rStyle w:val="Pogrubienie"/>
          <w:b w:val="0"/>
          <w:bCs w:val="0"/>
          <w:szCs w:val="20"/>
        </w:rPr>
        <w:t> </w:t>
      </w:r>
      <w:r w:rsidRPr="00F923F6">
        <w:rPr>
          <w:rStyle w:val="Pogrubienie"/>
          <w:b w:val="0"/>
          <w:bCs w:val="0"/>
          <w:szCs w:val="20"/>
        </w:rPr>
        <w:t>Aleksandrę Jadach-Sepioło, członka Zespołu eksperckiego ds. rewitalizacji. Wszyscy uczestnicy spotkania zostali poinformowani o tym, że GPR to dokument, który musi wziąć pod uwagę potrzeby wszystkich interesariuszy z terenów objętych rewitalizacją. Przy jego powstawaniu bardzo ważna jest nić porozumienia. Bez aktywnego udziału lokalnej społeczności w tworzeniu programu i jego dalszej realizacji, jego założenia mogą nie zostać osiągnięte. Zainteresowanym przekazano także informacje, iż w trakcie powstawania programu odbędzie się szereg spotkań informacyjnych</w:t>
      </w:r>
      <w:r>
        <w:rPr>
          <w:rStyle w:val="Pogrubienie"/>
          <w:b w:val="0"/>
          <w:bCs w:val="0"/>
          <w:szCs w:val="20"/>
        </w:rPr>
        <w:t xml:space="preserve"> </w:t>
      </w:r>
      <w:r w:rsidRPr="00F923F6">
        <w:rPr>
          <w:rStyle w:val="Pogrubienie"/>
          <w:b w:val="0"/>
          <w:bCs w:val="0"/>
          <w:szCs w:val="20"/>
        </w:rPr>
        <w:t>i konsultacji z uczestnictwem mieszkańców poszczególnych kwartałów w</w:t>
      </w:r>
      <w:r w:rsidR="00044DA7">
        <w:rPr>
          <w:rStyle w:val="Pogrubienie"/>
          <w:b w:val="0"/>
          <w:bCs w:val="0"/>
          <w:szCs w:val="20"/>
        </w:rPr>
        <w:t> </w:t>
      </w:r>
      <w:r w:rsidRPr="00F923F6">
        <w:rPr>
          <w:rStyle w:val="Pogrubienie"/>
          <w:b w:val="0"/>
          <w:bCs w:val="0"/>
          <w:szCs w:val="20"/>
        </w:rPr>
        <w:t>obszarze rewitalizacji.</w:t>
      </w:r>
      <w:r>
        <w:rPr>
          <w:rStyle w:val="Pogrubienie"/>
          <w:b w:val="0"/>
          <w:bCs w:val="0"/>
          <w:szCs w:val="20"/>
        </w:rPr>
        <w:t xml:space="preserve"> </w:t>
      </w:r>
      <w:r w:rsidRPr="00F923F6">
        <w:rPr>
          <w:rStyle w:val="Pogrubienie"/>
          <w:b w:val="0"/>
          <w:bCs w:val="0"/>
          <w:szCs w:val="20"/>
        </w:rPr>
        <w:t xml:space="preserve">W spotkaniu wzięło udział kilkadziesiąt osób. </w:t>
      </w:r>
    </w:p>
    <w:p w:rsidR="00F923F6" w:rsidRPr="0053051A" w:rsidRDefault="00F923F6" w:rsidP="00F923F6">
      <w:pPr>
        <w:jc w:val="both"/>
        <w:rPr>
          <w:rStyle w:val="Pogrubienie"/>
          <w:b w:val="0"/>
          <w:bCs w:val="0"/>
          <w:sz w:val="12"/>
          <w:szCs w:val="20"/>
        </w:rPr>
      </w:pPr>
    </w:p>
    <w:p w:rsidR="00F923F6" w:rsidRPr="00F923F6" w:rsidRDefault="00F923F6" w:rsidP="00F923F6">
      <w:pPr>
        <w:numPr>
          <w:ilvl w:val="0"/>
          <w:numId w:val="190"/>
        </w:numPr>
        <w:tabs>
          <w:tab w:val="clear" w:pos="720"/>
          <w:tab w:val="num" w:pos="0"/>
        </w:tabs>
        <w:ind w:left="0" w:firstLine="360"/>
        <w:jc w:val="both"/>
        <w:rPr>
          <w:rFonts w:cs="Arial"/>
          <w:szCs w:val="20"/>
        </w:rPr>
      </w:pPr>
      <w:r w:rsidRPr="00F923F6">
        <w:rPr>
          <w:rStyle w:val="Pogrubienie"/>
          <w:b w:val="0"/>
          <w:bCs w:val="0"/>
          <w:szCs w:val="20"/>
        </w:rPr>
        <w:t xml:space="preserve">Rozpoczęcie konsultacji społecznych w sprawie </w:t>
      </w:r>
      <w:r w:rsidRPr="00F923F6">
        <w:rPr>
          <w:rFonts w:cs="Arial"/>
          <w:szCs w:val="20"/>
        </w:rPr>
        <w:t xml:space="preserve">wyznaczenia obszaru zdegradowanego </w:t>
      </w:r>
      <w:r w:rsidRPr="00F923F6">
        <w:rPr>
          <w:rFonts w:cs="Arial"/>
          <w:szCs w:val="20"/>
        </w:rPr>
        <w:br/>
        <w:t xml:space="preserve">i obszaru rewitalizacji miasta Bytom w lutym 2016 r. Delimitacja obszarów, o których mowa wyżej, została opracowana przez zespół ekspertów ds. rewitalizacji, których </w:t>
      </w:r>
      <w:r w:rsidRPr="00F923F6">
        <w:rPr>
          <w:rStyle w:val="Uwydatnienie"/>
          <w:rFonts w:asciiTheme="minorHAnsi" w:hAnsiTheme="minorHAnsi"/>
          <w:i w:val="0"/>
          <w:iCs w:val="0"/>
          <w:szCs w:val="20"/>
        </w:rPr>
        <w:t>w drodze przetargu wyznaczyło ówczesne Ministerstwo Infrastruktury i Rozwoju. P</w:t>
      </w:r>
      <w:r w:rsidRPr="00F923F6">
        <w:rPr>
          <w:rFonts w:cs="Arial"/>
          <w:szCs w:val="20"/>
        </w:rPr>
        <w:t>rocedura delimitacji spełnia wymagania ustawy</w:t>
      </w:r>
      <w:r w:rsidR="00044DA7">
        <w:rPr>
          <w:rFonts w:cs="Arial"/>
          <w:szCs w:val="20"/>
        </w:rPr>
        <w:t xml:space="preserve"> </w:t>
      </w:r>
      <w:r w:rsidRPr="00F923F6">
        <w:rPr>
          <w:rFonts w:cs="Arial"/>
          <w:szCs w:val="20"/>
        </w:rPr>
        <w:t>o rewitalizacji z 2015 r. w zakresie zbierania i przetwarzania oraz prezentowania danych. Przyjęta metodologia, opracowana w</w:t>
      </w:r>
      <w:r w:rsidR="00044DA7">
        <w:rPr>
          <w:rFonts w:cs="Arial"/>
          <w:szCs w:val="20"/>
        </w:rPr>
        <w:t> </w:t>
      </w:r>
      <w:r w:rsidRPr="00F923F6">
        <w:rPr>
          <w:rFonts w:cs="Arial"/>
          <w:szCs w:val="20"/>
        </w:rPr>
        <w:t>Instytucie Rozwoju Miast, składała się z następujących etapów:</w:t>
      </w:r>
    </w:p>
    <w:p w:rsidR="00F923F6" w:rsidRPr="00F923F6" w:rsidRDefault="00F923F6" w:rsidP="00F923F6">
      <w:pPr>
        <w:numPr>
          <w:ilvl w:val="0"/>
          <w:numId w:val="189"/>
        </w:numPr>
        <w:jc w:val="both"/>
        <w:rPr>
          <w:rFonts w:cs="Arial"/>
          <w:szCs w:val="20"/>
        </w:rPr>
      </w:pPr>
      <w:r w:rsidRPr="00F923F6">
        <w:rPr>
          <w:rFonts w:cs="Arial"/>
          <w:szCs w:val="20"/>
        </w:rPr>
        <w:t>wyznaczenia zamieszkałych jednostek urbanistycznych,</w:t>
      </w:r>
    </w:p>
    <w:p w:rsidR="00F923F6" w:rsidRPr="00F923F6" w:rsidRDefault="00F923F6" w:rsidP="00F923F6">
      <w:pPr>
        <w:numPr>
          <w:ilvl w:val="0"/>
          <w:numId w:val="189"/>
        </w:numPr>
        <w:jc w:val="both"/>
        <w:rPr>
          <w:rFonts w:cs="Arial"/>
          <w:szCs w:val="20"/>
        </w:rPr>
      </w:pPr>
      <w:r w:rsidRPr="00F923F6">
        <w:rPr>
          <w:rFonts w:cs="Arial"/>
          <w:szCs w:val="20"/>
        </w:rPr>
        <w:t>analizy wskaźnikowej i wskazania obszaru zdegradowanego,</w:t>
      </w:r>
    </w:p>
    <w:p w:rsidR="00F923F6" w:rsidRPr="00F923F6" w:rsidRDefault="00F923F6" w:rsidP="00F923F6">
      <w:pPr>
        <w:numPr>
          <w:ilvl w:val="0"/>
          <w:numId w:val="189"/>
        </w:numPr>
        <w:jc w:val="both"/>
        <w:rPr>
          <w:rFonts w:cs="Arial"/>
          <w:szCs w:val="20"/>
        </w:rPr>
      </w:pPr>
      <w:r w:rsidRPr="00F923F6">
        <w:rPr>
          <w:rFonts w:cs="Arial"/>
          <w:szCs w:val="20"/>
        </w:rPr>
        <w:t>wskazania obszaru rewitalizacji.</w:t>
      </w:r>
    </w:p>
    <w:p w:rsidR="00F923F6" w:rsidRPr="00BF1DF2" w:rsidRDefault="00F923F6" w:rsidP="0053051A">
      <w:pPr>
        <w:pStyle w:val="Tekstpodstawowy3"/>
        <w:spacing w:after="0"/>
        <w:jc w:val="both"/>
        <w:rPr>
          <w:sz w:val="20"/>
          <w:szCs w:val="20"/>
        </w:rPr>
      </w:pPr>
      <w:r w:rsidRPr="00F923F6">
        <w:rPr>
          <w:sz w:val="20"/>
          <w:szCs w:val="20"/>
        </w:rPr>
        <w:t xml:space="preserve">Z przeprowadzonej diagnozy wynikało, że zamieszkałych podobszarów zdegradowanych jest </w:t>
      </w:r>
      <w:r w:rsidRPr="00F923F6">
        <w:rPr>
          <w:sz w:val="20"/>
          <w:szCs w:val="20"/>
        </w:rPr>
        <w:br/>
        <w:t>w Bytomiu znacznie więcej, niż dopuszcza ustawa o rewitalizacji. W sumie jako zamieszkały podobszar rewitalizacji wskazano 6 zamieszkałych jednostek urbanistycznych, zajmujących</w:t>
      </w:r>
      <w:r>
        <w:rPr>
          <w:sz w:val="20"/>
          <w:szCs w:val="20"/>
        </w:rPr>
        <w:t xml:space="preserve"> </w:t>
      </w:r>
      <w:r w:rsidRPr="00F923F6">
        <w:rPr>
          <w:sz w:val="20"/>
          <w:szCs w:val="20"/>
        </w:rPr>
        <w:t>w sumie 5,97% powierzchni Bytomia i zamieszkałych przez 28,97% mieszkańców miasta. Do obszaru rewitalizacji włączono także 9</w:t>
      </w:r>
      <w:r w:rsidR="00044DA7">
        <w:rPr>
          <w:sz w:val="20"/>
          <w:szCs w:val="20"/>
        </w:rPr>
        <w:t> </w:t>
      </w:r>
      <w:r w:rsidRPr="00F923F6">
        <w:rPr>
          <w:sz w:val="20"/>
          <w:szCs w:val="20"/>
        </w:rPr>
        <w:t>podobszarów zdegradowanych niezamieszkałych obejmujących 5,96% powierzchni Bytomia, na których realizowane będą projekty, mające przyczynić się do przeciwdziałania negatywnym zjawiskom społecznym, o</w:t>
      </w:r>
      <w:r w:rsidR="00044DA7">
        <w:rPr>
          <w:sz w:val="20"/>
          <w:szCs w:val="20"/>
        </w:rPr>
        <w:t> </w:t>
      </w:r>
      <w:r w:rsidRPr="00F923F6">
        <w:rPr>
          <w:sz w:val="20"/>
          <w:szCs w:val="20"/>
        </w:rPr>
        <w:t>których mowa w art.9 ust.1 Ustawy</w:t>
      </w:r>
      <w:r>
        <w:rPr>
          <w:sz w:val="20"/>
          <w:szCs w:val="20"/>
        </w:rPr>
        <w:t xml:space="preserve"> </w:t>
      </w:r>
      <w:r w:rsidRPr="00F923F6">
        <w:rPr>
          <w:sz w:val="20"/>
          <w:szCs w:val="20"/>
        </w:rPr>
        <w:t xml:space="preserve">o rewitalizacji w jednostkach urbanistycznych włączonych do obszaru </w:t>
      </w:r>
      <w:r w:rsidRPr="00BF1DF2">
        <w:rPr>
          <w:sz w:val="20"/>
          <w:szCs w:val="20"/>
        </w:rPr>
        <w:t xml:space="preserve">rewitalizacji. </w:t>
      </w:r>
    </w:p>
    <w:p w:rsidR="00DB50DD" w:rsidRPr="00F923F6" w:rsidRDefault="00DB50DD" w:rsidP="00234C93">
      <w:pPr>
        <w:pStyle w:val="Default"/>
        <w:shd w:val="clear" w:color="auto" w:fill="F2F2F2" w:themeFill="background1" w:themeFillShade="F2"/>
        <w:jc w:val="both"/>
        <w:rPr>
          <w:rFonts w:asciiTheme="minorHAnsi" w:hAnsiTheme="minorHAnsi" w:cs="Arial"/>
          <w:color w:val="auto"/>
          <w:sz w:val="20"/>
          <w:szCs w:val="20"/>
        </w:rPr>
      </w:pPr>
      <w:r w:rsidRPr="00BF1DF2">
        <w:rPr>
          <w:rFonts w:asciiTheme="minorHAnsi" w:hAnsiTheme="minorHAnsi" w:cs="Arial"/>
          <w:color w:val="auto"/>
          <w:sz w:val="20"/>
          <w:szCs w:val="20"/>
        </w:rPr>
        <w:t>Konsultacje społeczne ws. wyznaczenia obszaru zdegradowanego i obszaru rewitalizacji przeprowadzone z wykorzystaniem różnorodnych mechanizmów zapewniły możliwość partycypacji w procesie wyznaczenia obszarów  partnerom społeczno-gospodarczym oraz podmiotom reprezentującym społeczeństwo obywatelskie, działającym na rzecz ochrony środowiska oraz odpowiedzialnym za promowanie włączenia społecznego, praw podstawowych, praw osób niepełnosprawnych, równości płci i niedyskryminacji. W</w:t>
      </w:r>
      <w:r w:rsidRPr="00F923F6">
        <w:rPr>
          <w:rFonts w:asciiTheme="minorHAnsi" w:hAnsiTheme="minorHAnsi" w:cs="Arial"/>
          <w:color w:val="auto"/>
          <w:sz w:val="20"/>
          <w:szCs w:val="20"/>
        </w:rPr>
        <w:t xml:space="preserve"> ramach konsultacji społecznych dot. wyznaczenia obszaru zdegradowanego i obszaru rewitalizacji miasta Bytom, wykorzystano następujące mechanizmy partycypacji społecznej:</w:t>
      </w:r>
    </w:p>
    <w:p w:rsidR="00F923F6" w:rsidRPr="00F923F6" w:rsidRDefault="00F923F6" w:rsidP="00F923F6">
      <w:pPr>
        <w:pStyle w:val="Default"/>
        <w:numPr>
          <w:ilvl w:val="0"/>
          <w:numId w:val="194"/>
        </w:numPr>
        <w:jc w:val="both"/>
        <w:rPr>
          <w:rFonts w:asciiTheme="minorHAnsi" w:hAnsiTheme="minorHAnsi"/>
          <w:color w:val="auto"/>
          <w:sz w:val="20"/>
          <w:szCs w:val="20"/>
        </w:rPr>
      </w:pPr>
      <w:r w:rsidRPr="00F923F6">
        <w:rPr>
          <w:rFonts w:asciiTheme="minorHAnsi" w:hAnsiTheme="minorHAnsi" w:cs="Calibri"/>
          <w:b/>
          <w:bCs/>
          <w:color w:val="auto"/>
          <w:sz w:val="20"/>
          <w:szCs w:val="20"/>
        </w:rPr>
        <w:t>Warsztaty i spotkania konsultacyjne.</w:t>
      </w:r>
      <w:r w:rsidRPr="00F923F6">
        <w:rPr>
          <w:rFonts w:asciiTheme="minorHAnsi" w:hAnsiTheme="minorHAnsi" w:cs="Calibri"/>
          <w:color w:val="auto"/>
          <w:sz w:val="20"/>
          <w:szCs w:val="20"/>
        </w:rPr>
        <w:t xml:space="preserve"> Przeprowadzono 7 spotkań z przedstawicielami zespołu ds.</w:t>
      </w:r>
      <w:r w:rsidR="00044DA7">
        <w:rPr>
          <w:rFonts w:asciiTheme="minorHAnsi" w:hAnsiTheme="minorHAnsi" w:cs="Calibri"/>
          <w:color w:val="auto"/>
          <w:sz w:val="20"/>
          <w:szCs w:val="20"/>
        </w:rPr>
        <w:t> </w:t>
      </w:r>
      <w:r w:rsidRPr="00F923F6">
        <w:rPr>
          <w:rFonts w:asciiTheme="minorHAnsi" w:hAnsiTheme="minorHAnsi" w:cs="Calibri"/>
          <w:color w:val="auto"/>
          <w:sz w:val="20"/>
          <w:szCs w:val="20"/>
        </w:rPr>
        <w:t>programowania rozwoju Bytomia oraz reprezentantami sektorów obywatelskiego, biznesu i nauki nt. barier oraz potencjałów rozwojowych miasta, w zakresie dot. działań niezbędnych do podjęcia w</w:t>
      </w:r>
      <w:r w:rsidR="00044DA7">
        <w:rPr>
          <w:rFonts w:asciiTheme="minorHAnsi" w:hAnsiTheme="minorHAnsi" w:cs="Calibri"/>
          <w:color w:val="auto"/>
          <w:sz w:val="20"/>
          <w:szCs w:val="20"/>
        </w:rPr>
        <w:t> </w:t>
      </w:r>
      <w:r w:rsidRPr="00F923F6">
        <w:rPr>
          <w:rFonts w:asciiTheme="minorHAnsi" w:hAnsiTheme="minorHAnsi" w:cs="Calibri"/>
          <w:color w:val="auto"/>
          <w:sz w:val="20"/>
          <w:szCs w:val="20"/>
        </w:rPr>
        <w:t>celu wzmocnienia potencjałów i ograniczenia barier rozwojowych, badań i analiz przydatnych w</w:t>
      </w:r>
      <w:r w:rsidR="00044DA7">
        <w:rPr>
          <w:rFonts w:asciiTheme="minorHAnsi" w:hAnsiTheme="minorHAnsi" w:cs="Calibri"/>
          <w:color w:val="auto"/>
          <w:sz w:val="20"/>
          <w:szCs w:val="20"/>
        </w:rPr>
        <w:t> </w:t>
      </w:r>
      <w:r w:rsidRPr="00F923F6">
        <w:rPr>
          <w:rFonts w:asciiTheme="minorHAnsi" w:hAnsiTheme="minorHAnsi" w:cs="Calibri"/>
          <w:color w:val="auto"/>
          <w:sz w:val="20"/>
          <w:szCs w:val="20"/>
        </w:rPr>
        <w:t>kontekście działań rewitalizacyjnych, identyfikacji interesariuszy rewitalizacji w mieście, delimitacji obszaru zdegradowanego oraz obszaru rewitalizacji na terenie Bytomia, proponowanego zakresu tematycznego projektu pilotażowego, kompleksowości działań rewitalizacyjnych, dotyczące doświadczeń Miasta</w:t>
      </w:r>
      <w:r w:rsidR="00453DAE">
        <w:rPr>
          <w:rFonts w:asciiTheme="minorHAnsi" w:hAnsiTheme="minorHAnsi" w:cs="Calibri"/>
          <w:color w:val="auto"/>
          <w:sz w:val="20"/>
          <w:szCs w:val="20"/>
        </w:rPr>
        <w:t xml:space="preserve"> </w:t>
      </w:r>
      <w:r w:rsidRPr="00F923F6">
        <w:rPr>
          <w:rFonts w:asciiTheme="minorHAnsi" w:hAnsiTheme="minorHAnsi" w:cs="Calibri"/>
          <w:color w:val="auto"/>
          <w:sz w:val="20"/>
          <w:szCs w:val="20"/>
        </w:rPr>
        <w:t>w zakresie partycypacji, wizji i kierunków działań rewitalizacji, a także dotyczące podsumowania prac nad projektem pilotażowym oraz doprecyzowania możliwych kierunków działań dla rewitalizacji w ramach polityki społecznej.</w:t>
      </w:r>
    </w:p>
    <w:p w:rsidR="00F923F6" w:rsidRPr="00F923F6" w:rsidRDefault="00F923F6" w:rsidP="00F923F6">
      <w:pPr>
        <w:pStyle w:val="Default"/>
        <w:numPr>
          <w:ilvl w:val="0"/>
          <w:numId w:val="194"/>
        </w:numPr>
        <w:jc w:val="both"/>
        <w:rPr>
          <w:rFonts w:asciiTheme="minorHAnsi" w:hAnsiTheme="minorHAnsi"/>
          <w:color w:val="auto"/>
          <w:sz w:val="20"/>
          <w:szCs w:val="20"/>
        </w:rPr>
      </w:pPr>
      <w:r w:rsidRPr="00F923F6">
        <w:rPr>
          <w:rFonts w:asciiTheme="minorHAnsi" w:hAnsiTheme="minorHAnsi"/>
          <w:b/>
          <w:bCs/>
          <w:color w:val="auto"/>
          <w:sz w:val="20"/>
          <w:szCs w:val="20"/>
        </w:rPr>
        <w:t>Spotkanie otwarte o charakterze konsultacyjnym.</w:t>
      </w:r>
      <w:r w:rsidRPr="00F923F6">
        <w:rPr>
          <w:rFonts w:asciiTheme="minorHAnsi" w:hAnsiTheme="minorHAnsi"/>
          <w:color w:val="auto"/>
          <w:sz w:val="20"/>
          <w:szCs w:val="20"/>
        </w:rPr>
        <w:t xml:space="preserve"> W dniu  8 lutego 2016 r. w godz.  14.00 - 16.00 zorganizowano spotkanie zespołu eksperckiego z Instytutu Rozwoju Miast w Krakowie z</w:t>
      </w:r>
      <w:r w:rsidR="00044DA7">
        <w:rPr>
          <w:rFonts w:asciiTheme="minorHAnsi" w:hAnsiTheme="minorHAnsi"/>
          <w:color w:val="auto"/>
          <w:sz w:val="20"/>
          <w:szCs w:val="20"/>
        </w:rPr>
        <w:t> </w:t>
      </w:r>
      <w:r w:rsidRPr="00F923F6">
        <w:rPr>
          <w:rFonts w:asciiTheme="minorHAnsi" w:hAnsiTheme="minorHAnsi"/>
          <w:color w:val="auto"/>
          <w:sz w:val="20"/>
          <w:szCs w:val="20"/>
        </w:rPr>
        <w:t xml:space="preserve">interesariuszami rewitalizacji, przedstawiające etapy pracy zespołu, który opracował delimitację </w:t>
      </w:r>
      <w:r w:rsidR="002856C4">
        <w:rPr>
          <w:rFonts w:asciiTheme="minorHAnsi" w:hAnsiTheme="minorHAnsi"/>
          <w:color w:val="auto"/>
          <w:sz w:val="20"/>
          <w:szCs w:val="20"/>
        </w:rPr>
        <w:t>obszarów zdegradowanych i obszarów rewitalizacji</w:t>
      </w:r>
      <w:r w:rsidRPr="00F923F6">
        <w:rPr>
          <w:rFonts w:asciiTheme="minorHAnsi" w:hAnsiTheme="minorHAnsi"/>
          <w:color w:val="auto"/>
          <w:sz w:val="20"/>
          <w:szCs w:val="20"/>
        </w:rPr>
        <w:t xml:space="preserve"> Bytomia, a także uzasadnienie tej formy delimitacji. Zespół wyłonił 6 obszarów zurbanizowanych oraz 9 obszarów niezamieszkałych. Spotkanie umożliwiło także wyrażenie uwag, opinii i propozycji interesariuszy o</w:t>
      </w:r>
      <w:r w:rsidR="00BA6486">
        <w:rPr>
          <w:rFonts w:asciiTheme="minorHAnsi" w:hAnsiTheme="minorHAnsi"/>
          <w:color w:val="auto"/>
          <w:sz w:val="20"/>
          <w:szCs w:val="20"/>
        </w:rPr>
        <w:t xml:space="preserve">raz składanie ich do protokołu. </w:t>
      </w:r>
      <w:r w:rsidRPr="00F923F6">
        <w:rPr>
          <w:rFonts w:asciiTheme="minorHAnsi" w:hAnsiTheme="minorHAnsi"/>
          <w:color w:val="auto"/>
          <w:sz w:val="20"/>
          <w:szCs w:val="20"/>
        </w:rPr>
        <w:t>W</w:t>
      </w:r>
      <w:r w:rsidR="002856C4">
        <w:rPr>
          <w:rFonts w:asciiTheme="minorHAnsi" w:hAnsiTheme="minorHAnsi"/>
          <w:color w:val="auto"/>
          <w:sz w:val="20"/>
          <w:szCs w:val="20"/>
        </w:rPr>
        <w:t> </w:t>
      </w:r>
      <w:r w:rsidRPr="00F923F6">
        <w:rPr>
          <w:rFonts w:asciiTheme="minorHAnsi" w:hAnsiTheme="minorHAnsi"/>
          <w:color w:val="auto"/>
          <w:sz w:val="20"/>
          <w:szCs w:val="20"/>
        </w:rPr>
        <w:t xml:space="preserve">spotkaniu wzięły udział 104 osoby. </w:t>
      </w:r>
    </w:p>
    <w:p w:rsidR="00F923F6" w:rsidRPr="00F923F6" w:rsidRDefault="00F923F6" w:rsidP="00F923F6">
      <w:pPr>
        <w:pStyle w:val="Default"/>
        <w:numPr>
          <w:ilvl w:val="0"/>
          <w:numId w:val="194"/>
        </w:numPr>
        <w:jc w:val="both"/>
        <w:rPr>
          <w:rFonts w:asciiTheme="minorHAnsi" w:hAnsiTheme="minorHAnsi"/>
          <w:color w:val="auto"/>
          <w:sz w:val="20"/>
          <w:szCs w:val="20"/>
        </w:rPr>
      </w:pPr>
      <w:r w:rsidRPr="00F923F6">
        <w:rPr>
          <w:rFonts w:asciiTheme="minorHAnsi" w:hAnsiTheme="minorHAnsi"/>
          <w:b/>
          <w:bCs/>
          <w:color w:val="auto"/>
          <w:sz w:val="20"/>
          <w:szCs w:val="20"/>
        </w:rPr>
        <w:t>Punkty konsultacyjno-informacyjne</w:t>
      </w:r>
      <w:r w:rsidRPr="00F923F6">
        <w:rPr>
          <w:rFonts w:asciiTheme="minorHAnsi" w:hAnsiTheme="minorHAnsi"/>
          <w:color w:val="auto"/>
          <w:sz w:val="20"/>
          <w:szCs w:val="20"/>
        </w:rPr>
        <w:t>. Utworzono dwa punkty zlokalizowane w Wydziale Strategii i</w:t>
      </w:r>
      <w:r w:rsidR="00044DA7">
        <w:rPr>
          <w:rFonts w:asciiTheme="minorHAnsi" w:hAnsiTheme="minorHAnsi"/>
          <w:color w:val="auto"/>
          <w:sz w:val="20"/>
          <w:szCs w:val="20"/>
        </w:rPr>
        <w:t> </w:t>
      </w:r>
      <w:r w:rsidRPr="00F923F6">
        <w:rPr>
          <w:rFonts w:asciiTheme="minorHAnsi" w:hAnsiTheme="minorHAnsi"/>
          <w:color w:val="auto"/>
          <w:sz w:val="20"/>
          <w:szCs w:val="20"/>
        </w:rPr>
        <w:t xml:space="preserve">Funduszy Europejskich Urzędu Miejskiego w Bytomiu przy ul. Parkowej 2 oraz </w:t>
      </w:r>
      <w:r w:rsidRPr="00F923F6">
        <w:rPr>
          <w:rFonts w:asciiTheme="minorHAnsi" w:hAnsiTheme="minorHAnsi"/>
          <w:color w:val="auto"/>
          <w:sz w:val="20"/>
          <w:szCs w:val="20"/>
        </w:rPr>
        <w:br/>
        <w:t>w Referacie Obsługi Klastra Rewitalizacji i Współpracy z Organizacjami Pozarządowymi Urzędu Miejskiego w Bytomiu przy Rynku 26/5. Obydwa punkty były dostępne dla interesariuszy od poniedziałku do piątku. Budynki są przystosowane dla osób niepełnosprawnych. W trakcie trwania konsultacji punkty odwiedziło łącznie 55 osób.</w:t>
      </w:r>
    </w:p>
    <w:p w:rsidR="00F923F6" w:rsidRPr="00F923F6" w:rsidRDefault="00F923F6" w:rsidP="00F923F6">
      <w:pPr>
        <w:pStyle w:val="Default"/>
        <w:numPr>
          <w:ilvl w:val="0"/>
          <w:numId w:val="194"/>
        </w:numPr>
        <w:jc w:val="both"/>
        <w:rPr>
          <w:rFonts w:asciiTheme="minorHAnsi" w:hAnsiTheme="minorHAnsi"/>
          <w:color w:val="auto"/>
          <w:sz w:val="20"/>
          <w:szCs w:val="20"/>
        </w:rPr>
      </w:pPr>
      <w:r w:rsidRPr="00F923F6">
        <w:rPr>
          <w:rFonts w:asciiTheme="minorHAnsi" w:hAnsiTheme="minorHAnsi"/>
          <w:b/>
          <w:bCs/>
          <w:color w:val="auto"/>
          <w:sz w:val="20"/>
          <w:szCs w:val="20"/>
        </w:rPr>
        <w:t xml:space="preserve">Konsultacje on-line. </w:t>
      </w:r>
      <w:r w:rsidRPr="00F923F6">
        <w:rPr>
          <w:rFonts w:asciiTheme="minorHAnsi" w:hAnsiTheme="minorHAnsi"/>
          <w:color w:val="auto"/>
          <w:sz w:val="20"/>
          <w:szCs w:val="20"/>
        </w:rPr>
        <w:t xml:space="preserve">Wykorzystano do tego celu specjalną Platformę Konsultacji, która znajduje się pod adresem </w:t>
      </w:r>
      <w:hyperlink r:id="rId95" w:history="1">
        <w:r w:rsidRPr="00F923F6">
          <w:rPr>
            <w:rStyle w:val="Hipercze"/>
            <w:rFonts w:asciiTheme="minorHAnsi" w:hAnsiTheme="minorHAnsi"/>
            <w:color w:val="auto"/>
            <w:sz w:val="20"/>
            <w:szCs w:val="20"/>
          </w:rPr>
          <w:t>www.konsultacje.bytom.pl</w:t>
        </w:r>
      </w:hyperlink>
      <w:r w:rsidRPr="00F923F6">
        <w:rPr>
          <w:rFonts w:asciiTheme="minorHAnsi" w:hAnsiTheme="minorHAnsi"/>
          <w:color w:val="auto"/>
          <w:sz w:val="20"/>
          <w:szCs w:val="20"/>
        </w:rPr>
        <w:t xml:space="preserve"> oraz adres mailowy Wydziału Strategii </w:t>
      </w:r>
      <w:r w:rsidRPr="00F923F6">
        <w:rPr>
          <w:rFonts w:asciiTheme="minorHAnsi" w:hAnsiTheme="minorHAnsi"/>
          <w:color w:val="auto"/>
          <w:sz w:val="20"/>
          <w:szCs w:val="20"/>
        </w:rPr>
        <w:br/>
        <w:t xml:space="preserve">i Funduszy Europejskich Urzędu Miejskiego w Bytomiu – </w:t>
      </w:r>
      <w:hyperlink r:id="rId96" w:history="1">
        <w:r w:rsidRPr="00F923F6">
          <w:rPr>
            <w:rStyle w:val="Hipercze"/>
            <w:rFonts w:asciiTheme="minorHAnsi" w:hAnsiTheme="minorHAnsi"/>
            <w:color w:val="auto"/>
            <w:sz w:val="20"/>
            <w:szCs w:val="20"/>
          </w:rPr>
          <w:t>zp@um.bytom.pl</w:t>
        </w:r>
      </w:hyperlink>
      <w:r w:rsidRPr="00F923F6">
        <w:rPr>
          <w:rFonts w:asciiTheme="minorHAnsi" w:hAnsiTheme="minorHAnsi"/>
          <w:color w:val="auto"/>
          <w:sz w:val="20"/>
          <w:szCs w:val="20"/>
        </w:rPr>
        <w:t xml:space="preserve">, na który mieszkańcy mogli zgłaszać na specjalnie przygotowanym Formularzu konsultacyjnym własne propozycje obszaru zdegradowanego i obszaru rewitalizacji dla Bytomia. </w:t>
      </w:r>
    </w:p>
    <w:p w:rsidR="00F923F6" w:rsidRPr="00F923F6" w:rsidRDefault="00F923F6" w:rsidP="00F923F6">
      <w:pPr>
        <w:pStyle w:val="Default"/>
        <w:numPr>
          <w:ilvl w:val="0"/>
          <w:numId w:val="194"/>
        </w:numPr>
        <w:jc w:val="both"/>
        <w:rPr>
          <w:rFonts w:asciiTheme="minorHAnsi" w:hAnsiTheme="minorHAnsi"/>
          <w:color w:val="auto"/>
          <w:sz w:val="20"/>
          <w:szCs w:val="20"/>
        </w:rPr>
      </w:pPr>
      <w:r w:rsidRPr="00F923F6">
        <w:rPr>
          <w:rFonts w:asciiTheme="minorHAnsi" w:hAnsiTheme="minorHAnsi"/>
          <w:b/>
          <w:bCs/>
          <w:color w:val="auto"/>
          <w:sz w:val="20"/>
          <w:szCs w:val="20"/>
        </w:rPr>
        <w:t xml:space="preserve">Zbieranie uwag w postaci papierowej lub elektronicznej. </w:t>
      </w:r>
      <w:r w:rsidRPr="00F923F6">
        <w:rPr>
          <w:rFonts w:asciiTheme="minorHAnsi" w:hAnsiTheme="minorHAnsi"/>
          <w:color w:val="auto"/>
          <w:sz w:val="20"/>
          <w:szCs w:val="20"/>
        </w:rPr>
        <w:t xml:space="preserve">Ogłoszenie Prezydenta Bytomia </w:t>
      </w:r>
      <w:r w:rsidRPr="00F923F6">
        <w:rPr>
          <w:rFonts w:asciiTheme="minorHAnsi" w:hAnsiTheme="minorHAnsi"/>
          <w:color w:val="auto"/>
          <w:sz w:val="20"/>
          <w:szCs w:val="20"/>
        </w:rPr>
        <w:br/>
        <w:t>o rozpoczęciu konsultacji społecznych projektu Uchwały Rady Miejskiej w Bytomiu w sprawie wyznaczenia obszaru zdegradowanego i obszaru rewitalizacji miasta Bytomia dostępne było od dnia 1</w:t>
      </w:r>
      <w:r w:rsidR="00044DA7">
        <w:rPr>
          <w:rFonts w:asciiTheme="minorHAnsi" w:hAnsiTheme="minorHAnsi"/>
          <w:color w:val="auto"/>
          <w:sz w:val="20"/>
          <w:szCs w:val="20"/>
        </w:rPr>
        <w:t> </w:t>
      </w:r>
      <w:r w:rsidRPr="00F923F6">
        <w:rPr>
          <w:rFonts w:asciiTheme="minorHAnsi" w:hAnsiTheme="minorHAnsi"/>
          <w:color w:val="auto"/>
          <w:sz w:val="20"/>
          <w:szCs w:val="20"/>
        </w:rPr>
        <w:t xml:space="preserve">lutego 2016 r. na stronie podmiotowej gminy w Biuletynie Informacji Publicznej oraz na platformie konsultacji </w:t>
      </w:r>
      <w:hyperlink r:id="rId97" w:history="1">
        <w:r w:rsidRPr="00F923F6">
          <w:rPr>
            <w:rStyle w:val="Hipercze"/>
            <w:rFonts w:asciiTheme="minorHAnsi" w:hAnsiTheme="minorHAnsi"/>
            <w:color w:val="auto"/>
            <w:sz w:val="20"/>
            <w:szCs w:val="20"/>
          </w:rPr>
          <w:t>www.konsultacje.bytom.pl</w:t>
        </w:r>
      </w:hyperlink>
      <w:r w:rsidRPr="00F923F6">
        <w:rPr>
          <w:rFonts w:asciiTheme="minorHAnsi" w:hAnsiTheme="minorHAnsi"/>
          <w:color w:val="auto"/>
          <w:sz w:val="20"/>
          <w:szCs w:val="20"/>
        </w:rPr>
        <w:t>, a także na tablicach ogłoszeń Urzędu Miejskiego w Bytomiu zlokalizowanych przy ul. Parkowej 2 oraz Rynku 26/5. W celu zgłaszania uwag, przygotowany został kwestionariusz, który można było przesłać drogą elektroniczną, za pośrednictwem poczty bądź złożyć osobiście w wyznaczonych punktach konsultacyjnych. Uwagi zbierane były w terminie od 8 lutego do 2</w:t>
      </w:r>
      <w:r w:rsidR="00044DA7">
        <w:rPr>
          <w:rFonts w:asciiTheme="minorHAnsi" w:hAnsiTheme="minorHAnsi"/>
          <w:color w:val="auto"/>
          <w:sz w:val="20"/>
          <w:szCs w:val="20"/>
        </w:rPr>
        <w:t> </w:t>
      </w:r>
      <w:r w:rsidRPr="00F923F6">
        <w:rPr>
          <w:rFonts w:asciiTheme="minorHAnsi" w:hAnsiTheme="minorHAnsi"/>
          <w:color w:val="auto"/>
          <w:sz w:val="20"/>
          <w:szCs w:val="20"/>
        </w:rPr>
        <w:t>marca 2016 r. Łącznie złożonych zostało 100 formularzy.</w:t>
      </w:r>
    </w:p>
    <w:p w:rsidR="00F923F6" w:rsidRPr="00F923F6" w:rsidRDefault="00F923F6" w:rsidP="00F923F6">
      <w:pPr>
        <w:pStyle w:val="Default"/>
        <w:numPr>
          <w:ilvl w:val="0"/>
          <w:numId w:val="194"/>
        </w:numPr>
        <w:jc w:val="both"/>
        <w:rPr>
          <w:rFonts w:asciiTheme="minorHAnsi" w:hAnsiTheme="minorHAnsi"/>
          <w:color w:val="auto"/>
          <w:sz w:val="20"/>
          <w:szCs w:val="20"/>
        </w:rPr>
      </w:pPr>
      <w:r w:rsidRPr="00F923F6">
        <w:rPr>
          <w:rFonts w:asciiTheme="minorHAnsi" w:hAnsiTheme="minorHAnsi"/>
          <w:b/>
          <w:bCs/>
          <w:color w:val="auto"/>
          <w:sz w:val="20"/>
          <w:szCs w:val="20"/>
        </w:rPr>
        <w:t xml:space="preserve">Publikacje w prasie. </w:t>
      </w:r>
      <w:r w:rsidRPr="00F923F6">
        <w:rPr>
          <w:rFonts w:asciiTheme="minorHAnsi" w:hAnsiTheme="minorHAnsi"/>
          <w:color w:val="auto"/>
          <w:sz w:val="20"/>
          <w:szCs w:val="20"/>
        </w:rPr>
        <w:t>Zamieszczono po 2 ogłoszenia w prasie lokalnej „Życie Bytomskie” oraz w</w:t>
      </w:r>
      <w:r w:rsidR="00044DA7">
        <w:rPr>
          <w:rFonts w:asciiTheme="minorHAnsi" w:hAnsiTheme="minorHAnsi"/>
          <w:color w:val="auto"/>
          <w:sz w:val="20"/>
          <w:szCs w:val="20"/>
        </w:rPr>
        <w:t> </w:t>
      </w:r>
      <w:r w:rsidRPr="00F923F6">
        <w:rPr>
          <w:rFonts w:asciiTheme="minorHAnsi" w:hAnsiTheme="minorHAnsi"/>
          <w:color w:val="auto"/>
          <w:sz w:val="20"/>
          <w:szCs w:val="20"/>
        </w:rPr>
        <w:t>wydaniu regionalnym „Dziennik Zachodni”, informujące o rozpoczęciu konsultacji społecznych projektu Uchwały Rady Miejskiej w Bytomiu w sprawie wyznaczenia obszaru zdegradowanego i</w:t>
      </w:r>
      <w:r w:rsidR="00044DA7">
        <w:rPr>
          <w:rFonts w:asciiTheme="minorHAnsi" w:hAnsiTheme="minorHAnsi"/>
          <w:color w:val="auto"/>
          <w:sz w:val="20"/>
          <w:szCs w:val="20"/>
        </w:rPr>
        <w:t> </w:t>
      </w:r>
      <w:r w:rsidRPr="00F923F6">
        <w:rPr>
          <w:rFonts w:asciiTheme="minorHAnsi" w:hAnsiTheme="minorHAnsi"/>
          <w:color w:val="auto"/>
          <w:sz w:val="20"/>
          <w:szCs w:val="20"/>
        </w:rPr>
        <w:t>obszaru rewitalizacji miasta Bytomia oraz zachęcające mieszkańców do składania uwag i propozycji zmian.</w:t>
      </w:r>
    </w:p>
    <w:p w:rsidR="00F923F6" w:rsidRPr="00F923F6" w:rsidRDefault="00F923F6" w:rsidP="00F923F6">
      <w:pPr>
        <w:pStyle w:val="Default"/>
        <w:numPr>
          <w:ilvl w:val="0"/>
          <w:numId w:val="194"/>
        </w:numPr>
        <w:jc w:val="both"/>
        <w:rPr>
          <w:rFonts w:asciiTheme="minorHAnsi" w:hAnsiTheme="minorHAnsi"/>
          <w:color w:val="auto"/>
          <w:sz w:val="20"/>
          <w:szCs w:val="20"/>
        </w:rPr>
      </w:pPr>
      <w:r w:rsidRPr="00F923F6">
        <w:rPr>
          <w:rFonts w:asciiTheme="minorHAnsi" w:hAnsiTheme="minorHAnsi"/>
          <w:b/>
          <w:bCs/>
          <w:color w:val="auto"/>
          <w:sz w:val="20"/>
          <w:szCs w:val="20"/>
        </w:rPr>
        <w:t>Publikacje w sieci internet.</w:t>
      </w:r>
      <w:r w:rsidRPr="00F923F6">
        <w:rPr>
          <w:rFonts w:asciiTheme="minorHAnsi" w:hAnsiTheme="minorHAnsi"/>
          <w:color w:val="auto"/>
          <w:sz w:val="20"/>
          <w:szCs w:val="20"/>
        </w:rPr>
        <w:t xml:space="preserve"> W celu dotarcia do jak największej liczby odbiorców, zamieszczono w</w:t>
      </w:r>
      <w:r w:rsidR="00044DA7">
        <w:rPr>
          <w:rFonts w:asciiTheme="minorHAnsi" w:hAnsiTheme="minorHAnsi"/>
          <w:color w:val="auto"/>
          <w:sz w:val="20"/>
          <w:szCs w:val="20"/>
        </w:rPr>
        <w:t> </w:t>
      </w:r>
      <w:r w:rsidRPr="00F923F6">
        <w:rPr>
          <w:rFonts w:asciiTheme="minorHAnsi" w:hAnsiTheme="minorHAnsi"/>
          <w:color w:val="auto"/>
          <w:sz w:val="20"/>
          <w:szCs w:val="20"/>
        </w:rPr>
        <w:t>lokalnych portalach informacyjnych i na portalach społecznościowych Facebook od 1 lutego do 2</w:t>
      </w:r>
      <w:r w:rsidR="00044DA7">
        <w:rPr>
          <w:rFonts w:asciiTheme="minorHAnsi" w:hAnsiTheme="minorHAnsi"/>
          <w:color w:val="auto"/>
          <w:sz w:val="20"/>
          <w:szCs w:val="20"/>
        </w:rPr>
        <w:t> </w:t>
      </w:r>
      <w:r w:rsidRPr="00F923F6">
        <w:rPr>
          <w:rFonts w:asciiTheme="minorHAnsi" w:hAnsiTheme="minorHAnsi"/>
          <w:color w:val="auto"/>
          <w:sz w:val="20"/>
          <w:szCs w:val="20"/>
        </w:rPr>
        <w:t>marca 2016 r. kilkadziesiąt artykułów i postów</w:t>
      </w:r>
      <w:r w:rsidR="00BA6486">
        <w:rPr>
          <w:rFonts w:asciiTheme="minorHAnsi" w:hAnsiTheme="minorHAnsi"/>
          <w:color w:val="auto"/>
          <w:sz w:val="20"/>
          <w:szCs w:val="20"/>
        </w:rPr>
        <w:t xml:space="preserve"> </w:t>
      </w:r>
      <w:r w:rsidRPr="00F923F6">
        <w:rPr>
          <w:rFonts w:asciiTheme="minorHAnsi" w:hAnsiTheme="minorHAnsi"/>
          <w:color w:val="auto"/>
          <w:sz w:val="20"/>
          <w:szCs w:val="20"/>
        </w:rPr>
        <w:t>w przedmiotowej sprawie.</w:t>
      </w:r>
    </w:p>
    <w:p w:rsidR="00F923F6" w:rsidRPr="00F923F6" w:rsidRDefault="00F923F6" w:rsidP="00F923F6">
      <w:pPr>
        <w:pStyle w:val="Default"/>
        <w:numPr>
          <w:ilvl w:val="0"/>
          <w:numId w:val="194"/>
        </w:numPr>
        <w:jc w:val="both"/>
        <w:rPr>
          <w:rFonts w:asciiTheme="minorHAnsi" w:hAnsiTheme="minorHAnsi"/>
          <w:color w:val="auto"/>
          <w:sz w:val="20"/>
          <w:szCs w:val="20"/>
        </w:rPr>
      </w:pPr>
      <w:r w:rsidRPr="00F923F6">
        <w:rPr>
          <w:rFonts w:asciiTheme="minorHAnsi" w:hAnsiTheme="minorHAnsi"/>
          <w:b/>
          <w:bCs/>
          <w:color w:val="auto"/>
          <w:sz w:val="20"/>
          <w:szCs w:val="20"/>
        </w:rPr>
        <w:t>Media.</w:t>
      </w:r>
      <w:r w:rsidRPr="00F923F6">
        <w:rPr>
          <w:rFonts w:asciiTheme="minorHAnsi" w:hAnsiTheme="minorHAnsi"/>
          <w:color w:val="auto"/>
          <w:sz w:val="20"/>
          <w:szCs w:val="20"/>
        </w:rPr>
        <w:t xml:space="preserve"> Informacje o trwających konsultacjach społecznych pojawiły się w wielu lokalnych </w:t>
      </w:r>
      <w:r w:rsidRPr="00F923F6">
        <w:rPr>
          <w:rFonts w:asciiTheme="minorHAnsi" w:hAnsiTheme="minorHAnsi"/>
          <w:color w:val="auto"/>
          <w:sz w:val="20"/>
          <w:szCs w:val="20"/>
        </w:rPr>
        <w:br/>
        <w:t>i regionalnych audycjach radiowych i informacjach TV. Udzielono kilkudziesięciu wywiadów medialnych.</w:t>
      </w:r>
    </w:p>
    <w:p w:rsidR="00F923F6" w:rsidRPr="00F923F6" w:rsidRDefault="00F923F6" w:rsidP="00F923F6">
      <w:pPr>
        <w:pStyle w:val="Default"/>
        <w:jc w:val="both"/>
        <w:rPr>
          <w:rStyle w:val="Pogrubienie"/>
          <w:rFonts w:asciiTheme="minorHAnsi" w:hAnsiTheme="minorHAnsi"/>
          <w:b w:val="0"/>
          <w:bCs w:val="0"/>
          <w:color w:val="auto"/>
          <w:sz w:val="20"/>
          <w:szCs w:val="20"/>
        </w:rPr>
      </w:pPr>
      <w:r w:rsidRPr="00F923F6">
        <w:rPr>
          <w:rFonts w:asciiTheme="minorHAnsi" w:hAnsiTheme="minorHAnsi"/>
          <w:color w:val="auto"/>
          <w:sz w:val="20"/>
          <w:szCs w:val="20"/>
        </w:rPr>
        <w:t xml:space="preserve">W sumie w terminie od 8 lutego do 2 marca 2016 r. złożonych zostało łącznie </w:t>
      </w:r>
      <w:r w:rsidRPr="00F923F6">
        <w:rPr>
          <w:rFonts w:asciiTheme="minorHAnsi" w:hAnsiTheme="minorHAnsi"/>
          <w:b/>
          <w:bCs/>
          <w:color w:val="auto"/>
          <w:sz w:val="20"/>
          <w:szCs w:val="20"/>
        </w:rPr>
        <w:t>100</w:t>
      </w:r>
      <w:r w:rsidRPr="00F923F6">
        <w:rPr>
          <w:rFonts w:asciiTheme="minorHAnsi" w:hAnsiTheme="minorHAnsi"/>
          <w:color w:val="auto"/>
          <w:sz w:val="20"/>
          <w:szCs w:val="20"/>
        </w:rPr>
        <w:t xml:space="preserve"> formularzy konsultacyjnych z</w:t>
      </w:r>
      <w:r w:rsidR="00044DA7">
        <w:rPr>
          <w:rFonts w:asciiTheme="minorHAnsi" w:hAnsiTheme="minorHAnsi"/>
          <w:color w:val="auto"/>
          <w:sz w:val="20"/>
          <w:szCs w:val="20"/>
        </w:rPr>
        <w:t> </w:t>
      </w:r>
      <w:r w:rsidRPr="00F923F6">
        <w:rPr>
          <w:rFonts w:asciiTheme="minorHAnsi" w:hAnsiTheme="minorHAnsi"/>
          <w:b/>
          <w:bCs/>
          <w:color w:val="auto"/>
          <w:sz w:val="20"/>
          <w:szCs w:val="20"/>
        </w:rPr>
        <w:t>59</w:t>
      </w:r>
      <w:r w:rsidRPr="00F923F6">
        <w:rPr>
          <w:rFonts w:asciiTheme="minorHAnsi" w:hAnsiTheme="minorHAnsi"/>
          <w:color w:val="auto"/>
          <w:sz w:val="20"/>
          <w:szCs w:val="20"/>
        </w:rPr>
        <w:t xml:space="preserve"> różnego rodzaju uwagami i opiniami dot. konsultowanego obszaru zdegradowanego i obszaru rewitalizacji miasta Bytom, spośród których </w:t>
      </w:r>
      <w:r w:rsidRPr="00F923F6">
        <w:rPr>
          <w:rFonts w:asciiTheme="minorHAnsi" w:hAnsiTheme="minorHAnsi"/>
          <w:b/>
          <w:bCs/>
          <w:color w:val="auto"/>
          <w:sz w:val="20"/>
          <w:szCs w:val="20"/>
        </w:rPr>
        <w:t>6</w:t>
      </w:r>
      <w:r w:rsidRPr="00F923F6">
        <w:rPr>
          <w:rFonts w:asciiTheme="minorHAnsi" w:hAnsiTheme="minorHAnsi"/>
          <w:color w:val="auto"/>
          <w:sz w:val="20"/>
          <w:szCs w:val="20"/>
        </w:rPr>
        <w:t xml:space="preserve"> nie dotyczyło przedmiotu prowadzonych konsultacji, natomiast </w:t>
      </w:r>
      <w:r w:rsidRPr="00F923F6">
        <w:rPr>
          <w:rFonts w:asciiTheme="minorHAnsi" w:hAnsiTheme="minorHAnsi"/>
          <w:b/>
          <w:bCs/>
          <w:color w:val="auto"/>
          <w:sz w:val="20"/>
          <w:szCs w:val="20"/>
        </w:rPr>
        <w:t>1</w:t>
      </w:r>
      <w:r w:rsidRPr="00F923F6">
        <w:rPr>
          <w:rFonts w:asciiTheme="minorHAnsi" w:hAnsiTheme="minorHAnsi"/>
          <w:color w:val="auto"/>
          <w:sz w:val="20"/>
          <w:szCs w:val="20"/>
        </w:rPr>
        <w:t xml:space="preserve"> formularz nie spełniał wymogów formalnych. </w:t>
      </w:r>
      <w:r w:rsidRPr="00F923F6">
        <w:rPr>
          <w:rFonts w:asciiTheme="minorHAnsi" w:hAnsiTheme="minorHAnsi"/>
          <w:b/>
          <w:bCs/>
          <w:color w:val="auto"/>
          <w:sz w:val="20"/>
          <w:szCs w:val="20"/>
        </w:rPr>
        <w:t>13</w:t>
      </w:r>
      <w:r w:rsidRPr="00F923F6">
        <w:rPr>
          <w:rFonts w:asciiTheme="minorHAnsi" w:hAnsiTheme="minorHAnsi"/>
          <w:color w:val="auto"/>
          <w:sz w:val="20"/>
          <w:szCs w:val="20"/>
        </w:rPr>
        <w:t xml:space="preserve"> złożonych formularzy zostało pozytywnie rozpatrzonych, w wyniku czego jednostki niezamieszkałe nr 19, 25, 26, 28, zostały poszerzone o dodatkowe tereny, w jednostkach nr 25 i 32 niektóre tereny zostały wyłączone. Na terenach zurbanizowanych nr 10 i 11 włączono dodatkowe działki wraz </w:t>
      </w:r>
      <w:r w:rsidRPr="00F923F6">
        <w:rPr>
          <w:rFonts w:asciiTheme="minorHAnsi" w:hAnsiTheme="minorHAnsi"/>
          <w:color w:val="auto"/>
          <w:sz w:val="20"/>
          <w:szCs w:val="20"/>
        </w:rPr>
        <w:br/>
        <w:t xml:space="preserve">z zabudowaniami, jednak były to obszary niezamieszkałe, co nie miało wpływu na zwiększenie ilości % mieszkańców. Ponadto uwzględniono kilka propozycji zmian, co do treści dokumentu dot. delimitacji ww. obszarów. Protokół z przeprowadzonych konsultacji znajduje się pod adresem </w:t>
      </w:r>
      <w:hyperlink r:id="rId98" w:history="1">
        <w:r w:rsidRPr="006421B5">
          <w:rPr>
            <w:rStyle w:val="Hipercze"/>
            <w:rFonts w:asciiTheme="minorHAnsi" w:hAnsiTheme="minorHAnsi"/>
            <w:sz w:val="20"/>
            <w:szCs w:val="20"/>
          </w:rPr>
          <w:t>http://www.konsultacje.bytom.pl/files/protocol_file/104.pdf</w:t>
        </w:r>
      </w:hyperlink>
      <w:r w:rsidRPr="006421B5">
        <w:rPr>
          <w:rFonts w:asciiTheme="minorHAnsi" w:hAnsiTheme="minorHAnsi"/>
          <w:color w:val="auto"/>
          <w:sz w:val="20"/>
          <w:szCs w:val="20"/>
        </w:rPr>
        <w:t>.</w:t>
      </w:r>
      <w:r w:rsidRPr="00F923F6">
        <w:rPr>
          <w:rFonts w:asciiTheme="minorHAnsi" w:hAnsiTheme="minorHAnsi"/>
          <w:color w:val="auto"/>
          <w:sz w:val="20"/>
          <w:szCs w:val="20"/>
        </w:rPr>
        <w:t xml:space="preserve"> </w:t>
      </w:r>
      <w:r w:rsidRPr="00F923F6">
        <w:rPr>
          <w:rStyle w:val="Pogrubienie"/>
          <w:rFonts w:asciiTheme="minorHAnsi" w:hAnsiTheme="minorHAnsi"/>
          <w:b w:val="0"/>
          <w:bCs w:val="0"/>
          <w:color w:val="auto"/>
          <w:sz w:val="20"/>
          <w:szCs w:val="20"/>
        </w:rPr>
        <w:t>W dniu 29 marca 2016 r. została podjęta Uchwała nr XXIII/300/16 Rady Miejskiej w Bytomiu w sprawie wyznaczenia obszaru zdegradowanego i obszaru rewitalizacji miasta Bytom.</w:t>
      </w:r>
    </w:p>
    <w:p w:rsidR="00F923F6" w:rsidRPr="00F923F6" w:rsidRDefault="00F923F6" w:rsidP="00F923F6">
      <w:pPr>
        <w:pStyle w:val="NormalnyWeb"/>
        <w:numPr>
          <w:ilvl w:val="0"/>
          <w:numId w:val="195"/>
        </w:numPr>
        <w:tabs>
          <w:tab w:val="clear" w:pos="720"/>
          <w:tab w:val="num" w:pos="0"/>
        </w:tabs>
        <w:spacing w:before="0" w:beforeAutospacing="0" w:after="0" w:afterAutospacing="0"/>
        <w:ind w:left="0" w:firstLine="360"/>
        <w:jc w:val="both"/>
        <w:rPr>
          <w:szCs w:val="20"/>
        </w:rPr>
      </w:pPr>
      <w:r w:rsidRPr="00F923F6">
        <w:rPr>
          <w:szCs w:val="20"/>
        </w:rPr>
        <w:t>Ukazanie się w marcu 2016 r. pierwszego numeru gazety poświęconej tematowi rewitalizacji Bytomia. W gazecie przybliżono założenia rewitalizacji miasta, wyjaśniono, co to jest specjalna strefa rewitalizacji oraz po co Bytomiowi gminny program rewitalizacji. Znalazły się tam także mapy</w:t>
      </w:r>
      <w:r w:rsidR="00044DA7">
        <w:rPr>
          <w:szCs w:val="20"/>
        </w:rPr>
        <w:t xml:space="preserve"> </w:t>
      </w:r>
      <w:r w:rsidRPr="00F923F6">
        <w:rPr>
          <w:szCs w:val="20"/>
        </w:rPr>
        <w:t>z obszarami przeznaczonymi do odnowy. Informator w nakładzie 80 tys. egzemplarzy trafił do skrzynek pocztowych bytomian, przede wszystkim z obszaru rewitalizacji. Można było pobrać go także w kilku punktach, w tym także w Urzędzie Miejskim w Bytomiu.</w:t>
      </w:r>
    </w:p>
    <w:p w:rsidR="00F923F6" w:rsidRPr="00F923F6" w:rsidRDefault="00F923F6" w:rsidP="00F923F6">
      <w:pPr>
        <w:pStyle w:val="Default"/>
        <w:jc w:val="both"/>
        <w:rPr>
          <w:rFonts w:asciiTheme="minorHAnsi" w:hAnsiTheme="minorHAnsi"/>
          <w:b/>
          <w:bCs/>
          <w:color w:val="auto"/>
          <w:sz w:val="20"/>
          <w:szCs w:val="20"/>
        </w:rPr>
      </w:pPr>
    </w:p>
    <w:p w:rsidR="00F923F6" w:rsidRPr="00255742" w:rsidRDefault="00F923F6" w:rsidP="00F923F6">
      <w:pPr>
        <w:pStyle w:val="Default"/>
        <w:numPr>
          <w:ilvl w:val="0"/>
          <w:numId w:val="195"/>
        </w:numPr>
        <w:tabs>
          <w:tab w:val="clear" w:pos="720"/>
          <w:tab w:val="num" w:pos="0"/>
        </w:tabs>
        <w:ind w:left="0" w:firstLine="360"/>
        <w:jc w:val="both"/>
        <w:rPr>
          <w:rStyle w:val="Pogrubienie"/>
          <w:rFonts w:asciiTheme="minorHAnsi" w:hAnsiTheme="minorHAnsi"/>
          <w:b w:val="0"/>
          <w:bCs w:val="0"/>
          <w:color w:val="auto"/>
          <w:sz w:val="20"/>
          <w:szCs w:val="20"/>
        </w:rPr>
      </w:pPr>
      <w:r w:rsidRPr="00255742">
        <w:rPr>
          <w:rFonts w:asciiTheme="minorHAnsi" w:hAnsiTheme="minorHAnsi"/>
          <w:color w:val="auto"/>
          <w:sz w:val="20"/>
          <w:szCs w:val="20"/>
        </w:rPr>
        <w:t xml:space="preserve">Ogłoszenie (w kwietniu 2016 r.) o rozpoczęciu prac nad Gminnym Programem Rewitalizacji dla Bytomia i publiczne zaproszenie do jego współtworzenia wszystkich interesariuszy, zgodnie </w:t>
      </w:r>
      <w:r w:rsidRPr="00255742">
        <w:rPr>
          <w:rFonts w:asciiTheme="minorHAnsi" w:hAnsiTheme="minorHAnsi"/>
          <w:color w:val="auto"/>
          <w:sz w:val="20"/>
          <w:szCs w:val="20"/>
        </w:rPr>
        <w:br/>
        <w:t xml:space="preserve">z ustawą o rewitalizacji. W okresie od kwietnia do lipca 2016 r. </w:t>
      </w:r>
      <w:r w:rsidRPr="00255742">
        <w:rPr>
          <w:rStyle w:val="Pogrubienie"/>
          <w:rFonts w:asciiTheme="minorHAnsi" w:hAnsiTheme="minorHAnsi"/>
          <w:b w:val="0"/>
          <w:bCs w:val="0"/>
          <w:color w:val="auto"/>
          <w:sz w:val="20"/>
          <w:szCs w:val="20"/>
        </w:rPr>
        <w:t xml:space="preserve">każdy mógł zgłosić swój pomysł na to, jak ożywić miejsca wyznaczone do rewitalizacji w Bytomiu. </w:t>
      </w:r>
      <w:r w:rsidRPr="00255742">
        <w:rPr>
          <w:rStyle w:val="Uwydatnienie"/>
          <w:rFonts w:asciiTheme="minorHAnsi" w:hAnsiTheme="minorHAnsi"/>
          <w:i w:val="0"/>
          <w:iCs w:val="0"/>
          <w:color w:val="auto"/>
          <w:sz w:val="20"/>
          <w:szCs w:val="20"/>
        </w:rPr>
        <w:t xml:space="preserve">Mogły to być zarówno projekty miękkie (związane ze szkoleniami, walką z wykluczeniem społecznym), jak i twarde (inwestycyjne). Pomysły należało składać na specjalnie przygotowanych formularzach konsultacyjnych. Na początku kwietnia 2016 r. zostało zorganizowane pierwsze spotkanie dla </w:t>
      </w:r>
      <w:r w:rsidRPr="00255742">
        <w:rPr>
          <w:rStyle w:val="Pogrubienie"/>
          <w:rFonts w:asciiTheme="minorHAnsi" w:hAnsiTheme="minorHAnsi"/>
          <w:b w:val="0"/>
          <w:bCs w:val="0"/>
          <w:color w:val="auto"/>
          <w:sz w:val="20"/>
          <w:szCs w:val="20"/>
        </w:rPr>
        <w:t>mieszkańców zainteresowanych odnową miasta, przedstawicieli organizacji pozarządowych, zarządców wspólnot mieszkaniowych</w:t>
      </w:r>
      <w:r w:rsidR="00044DA7" w:rsidRPr="00255742">
        <w:rPr>
          <w:rStyle w:val="Pogrubienie"/>
          <w:rFonts w:asciiTheme="minorHAnsi" w:hAnsiTheme="minorHAnsi"/>
          <w:b w:val="0"/>
          <w:bCs w:val="0"/>
          <w:color w:val="auto"/>
          <w:sz w:val="20"/>
          <w:szCs w:val="20"/>
        </w:rPr>
        <w:t xml:space="preserve"> </w:t>
      </w:r>
      <w:r w:rsidRPr="00255742">
        <w:rPr>
          <w:rStyle w:val="Pogrubienie"/>
          <w:rFonts w:asciiTheme="minorHAnsi" w:hAnsiTheme="minorHAnsi"/>
          <w:b w:val="0"/>
          <w:bCs w:val="0"/>
          <w:color w:val="auto"/>
          <w:sz w:val="20"/>
          <w:szCs w:val="20"/>
        </w:rPr>
        <w:t>i przedsiębiorców. W sumie do Wydziału Strategii i</w:t>
      </w:r>
      <w:r w:rsidR="00044DA7" w:rsidRPr="00255742">
        <w:rPr>
          <w:rStyle w:val="Pogrubienie"/>
          <w:rFonts w:asciiTheme="minorHAnsi" w:hAnsiTheme="minorHAnsi"/>
          <w:b w:val="0"/>
          <w:bCs w:val="0"/>
          <w:color w:val="auto"/>
          <w:sz w:val="20"/>
          <w:szCs w:val="20"/>
        </w:rPr>
        <w:t> </w:t>
      </w:r>
      <w:r w:rsidRPr="00255742">
        <w:rPr>
          <w:rStyle w:val="Pogrubienie"/>
          <w:rFonts w:asciiTheme="minorHAnsi" w:hAnsiTheme="minorHAnsi"/>
          <w:b w:val="0"/>
          <w:bCs w:val="0"/>
          <w:color w:val="auto"/>
          <w:sz w:val="20"/>
          <w:szCs w:val="20"/>
        </w:rPr>
        <w:t>Funduszy Europejskich Urzędu Miejskiego</w:t>
      </w:r>
      <w:r w:rsidR="00044DA7" w:rsidRPr="00255742">
        <w:rPr>
          <w:rStyle w:val="Pogrubienie"/>
          <w:rFonts w:asciiTheme="minorHAnsi" w:hAnsiTheme="minorHAnsi"/>
          <w:b w:val="0"/>
          <w:bCs w:val="0"/>
          <w:color w:val="auto"/>
          <w:sz w:val="20"/>
          <w:szCs w:val="20"/>
        </w:rPr>
        <w:t xml:space="preserve"> </w:t>
      </w:r>
      <w:r w:rsidRPr="00255742">
        <w:rPr>
          <w:rStyle w:val="Pogrubienie"/>
          <w:rFonts w:asciiTheme="minorHAnsi" w:hAnsiTheme="minorHAnsi"/>
          <w:b w:val="0"/>
          <w:bCs w:val="0"/>
          <w:color w:val="auto"/>
          <w:sz w:val="20"/>
          <w:szCs w:val="20"/>
        </w:rPr>
        <w:t>w Bytomiu wpłynęło ponad 200 kart z pomysłami, zarówno od przedstawicieli instytucji, jak</w:t>
      </w:r>
      <w:r w:rsidR="00044DA7" w:rsidRPr="00255742">
        <w:rPr>
          <w:rStyle w:val="Pogrubienie"/>
          <w:rFonts w:asciiTheme="minorHAnsi" w:hAnsiTheme="minorHAnsi"/>
          <w:b w:val="0"/>
          <w:bCs w:val="0"/>
          <w:color w:val="auto"/>
          <w:sz w:val="20"/>
          <w:szCs w:val="20"/>
        </w:rPr>
        <w:t xml:space="preserve"> </w:t>
      </w:r>
      <w:r w:rsidRPr="00255742">
        <w:rPr>
          <w:rStyle w:val="Pogrubienie"/>
          <w:rFonts w:asciiTheme="minorHAnsi" w:hAnsiTheme="minorHAnsi"/>
          <w:b w:val="0"/>
          <w:bCs w:val="0"/>
          <w:color w:val="auto"/>
          <w:sz w:val="20"/>
          <w:szCs w:val="20"/>
        </w:rPr>
        <w:t>i od osób prywatnych. Spektrum pomysłów na lepszy Bytom było bardzo szerokie. Począwszy od remontów fasad budynków, chodników i ulic, przez organizację szkoleń, zdrowotnych programów profilaktycznych, po adaptację zabytkowych pomieszczeń na centra kulturalno-sportowe. Zwracano też uwagę na potrzeby ludzi starszych oraz zagrożonych wykluczeniem społecznym</w:t>
      </w:r>
      <w:r w:rsidR="00453DAE" w:rsidRPr="00255742">
        <w:rPr>
          <w:rStyle w:val="Pogrubienie"/>
          <w:rFonts w:asciiTheme="minorHAnsi" w:hAnsiTheme="minorHAnsi"/>
          <w:b w:val="0"/>
          <w:bCs w:val="0"/>
          <w:color w:val="auto"/>
          <w:sz w:val="20"/>
          <w:szCs w:val="20"/>
        </w:rPr>
        <w:t xml:space="preserve"> </w:t>
      </w:r>
      <w:r w:rsidRPr="00255742">
        <w:rPr>
          <w:rStyle w:val="Pogrubienie"/>
          <w:rFonts w:asciiTheme="minorHAnsi" w:hAnsiTheme="minorHAnsi"/>
          <w:b w:val="0"/>
          <w:bCs w:val="0"/>
          <w:color w:val="auto"/>
          <w:sz w:val="20"/>
          <w:szCs w:val="20"/>
        </w:rPr>
        <w:t>i</w:t>
      </w:r>
      <w:r w:rsidR="00044DA7" w:rsidRPr="00255742">
        <w:rPr>
          <w:rStyle w:val="Pogrubienie"/>
          <w:rFonts w:asciiTheme="minorHAnsi" w:hAnsiTheme="minorHAnsi"/>
          <w:b w:val="0"/>
          <w:bCs w:val="0"/>
          <w:color w:val="auto"/>
          <w:sz w:val="20"/>
          <w:szCs w:val="20"/>
        </w:rPr>
        <w:t> </w:t>
      </w:r>
      <w:r w:rsidRPr="00255742">
        <w:rPr>
          <w:rStyle w:val="Pogrubienie"/>
          <w:rFonts w:asciiTheme="minorHAnsi" w:hAnsiTheme="minorHAnsi"/>
          <w:b w:val="0"/>
          <w:bCs w:val="0"/>
          <w:color w:val="auto"/>
          <w:sz w:val="20"/>
          <w:szCs w:val="20"/>
        </w:rPr>
        <w:t xml:space="preserve">niepełnosprawnych intelektualnie. Nadesłane przez mieszkańców propozycje zostały wnikliwie przeanalizowane, a następnie pogrupowane w tzw. wiązki projektów. </w:t>
      </w:r>
    </w:p>
    <w:p w:rsidR="00DB50DD" w:rsidRDefault="00DB50DD" w:rsidP="00DB50DD">
      <w:pPr>
        <w:pStyle w:val="Default"/>
        <w:jc w:val="both"/>
        <w:rPr>
          <w:rStyle w:val="Pogrubienie"/>
          <w:rFonts w:asciiTheme="minorHAnsi" w:hAnsiTheme="minorHAnsi"/>
          <w:b w:val="0"/>
          <w:color w:val="auto"/>
          <w:sz w:val="20"/>
          <w:szCs w:val="20"/>
        </w:rPr>
      </w:pPr>
    </w:p>
    <w:p w:rsidR="00DB50DD" w:rsidRPr="00DB50DD" w:rsidRDefault="00DB50DD" w:rsidP="00234C93">
      <w:pPr>
        <w:pStyle w:val="Default"/>
        <w:shd w:val="clear" w:color="auto" w:fill="F2F2F2" w:themeFill="background1" w:themeFillShade="F2"/>
        <w:jc w:val="both"/>
        <w:rPr>
          <w:rStyle w:val="Pogrubienie"/>
          <w:rFonts w:asciiTheme="minorHAnsi" w:hAnsiTheme="minorHAnsi"/>
          <w:color w:val="auto"/>
          <w:sz w:val="20"/>
          <w:szCs w:val="20"/>
        </w:rPr>
      </w:pPr>
      <w:r w:rsidRPr="00DB50DD">
        <w:rPr>
          <w:rStyle w:val="Pogrubienie"/>
          <w:rFonts w:asciiTheme="minorHAnsi" w:hAnsiTheme="minorHAnsi"/>
          <w:b w:val="0"/>
          <w:color w:val="auto"/>
          <w:sz w:val="20"/>
          <w:szCs w:val="20"/>
        </w:rPr>
        <w:t>Podczas konsultacji obszarów rewitalizacji w okresie od czerwca do lipca wpłynęło 207 kart, od sierpnia do września 13 kart, natomiast podczas konsultacji projektu programu rewitalizacji w październiku 22 karty oraz złożono 33 karty w okresie od października do listopada.</w:t>
      </w:r>
      <w:r w:rsidRPr="00DB50DD">
        <w:rPr>
          <w:rStyle w:val="Pogrubienie"/>
          <w:rFonts w:asciiTheme="minorHAnsi" w:hAnsiTheme="minorHAnsi"/>
          <w:b w:val="0"/>
          <w:color w:val="FF0000"/>
          <w:sz w:val="20"/>
          <w:szCs w:val="20"/>
        </w:rPr>
        <w:t xml:space="preserve"> Karty z propozycjami przedsięwzięć złożyli mieszkańcy oraz </w:t>
      </w:r>
      <w:r w:rsidRPr="00DB50DD">
        <w:rPr>
          <w:rFonts w:asciiTheme="minorHAnsi" w:hAnsiTheme="minorHAnsi"/>
          <w:b/>
          <w:bCs/>
          <w:color w:val="FF0000"/>
          <w:sz w:val="20"/>
          <w:szCs w:val="20"/>
        </w:rPr>
        <w:t>partnerzy społeczno-gospodarczy oraz podmioty reprezentujące społeczeństwo obywatelskie, działające na rzecz ochrony środowiska oraz odpowiedzialne za promowanie włączenia społecznego, praw podstawowych, praw osób niepełnosprawnych, równości płci i niedyskryminacji.</w:t>
      </w:r>
      <w:r w:rsidRPr="00DB50DD">
        <w:rPr>
          <w:rStyle w:val="Pogrubienie"/>
          <w:rFonts w:asciiTheme="minorHAnsi" w:hAnsiTheme="minorHAnsi"/>
          <w:b w:val="0"/>
          <w:color w:val="FF0000"/>
          <w:sz w:val="20"/>
          <w:szCs w:val="20"/>
        </w:rPr>
        <w:t xml:space="preserve"> </w:t>
      </w:r>
      <w:r w:rsidRPr="00DB50DD">
        <w:rPr>
          <w:rStyle w:val="Pogrubienie"/>
          <w:rFonts w:asciiTheme="minorHAnsi" w:hAnsiTheme="minorHAnsi"/>
          <w:b w:val="0"/>
          <w:color w:val="auto"/>
          <w:sz w:val="20"/>
          <w:szCs w:val="20"/>
        </w:rPr>
        <w:t xml:space="preserve">Po zakończeniu prac nad kartami do programu rewitalizacji dla Miasta Bytom </w:t>
      </w:r>
      <w:r w:rsidRPr="00DB50DD">
        <w:rPr>
          <w:rFonts w:asciiTheme="minorHAnsi" w:hAnsiTheme="minorHAnsi"/>
          <w:color w:val="auto"/>
          <w:sz w:val="20"/>
          <w:szCs w:val="20"/>
        </w:rPr>
        <w:t>wpisano 127 projektów rewitalizacyjnych</w:t>
      </w:r>
      <w:r w:rsidRPr="00DB50DD">
        <w:rPr>
          <w:rStyle w:val="Pogrubienie"/>
          <w:rFonts w:asciiTheme="minorHAnsi" w:hAnsiTheme="minorHAnsi"/>
          <w:b w:val="0"/>
          <w:color w:val="auto"/>
          <w:sz w:val="20"/>
          <w:szCs w:val="20"/>
        </w:rPr>
        <w:t>, które szczegółowo zostały scharakteryzowane w załączniku nr 2</w:t>
      </w:r>
      <w:r w:rsidRPr="00DB50DD">
        <w:rPr>
          <w:rStyle w:val="Pogrubienie"/>
          <w:rFonts w:asciiTheme="minorHAnsi" w:hAnsiTheme="minorHAnsi"/>
          <w:color w:val="auto"/>
          <w:sz w:val="20"/>
          <w:szCs w:val="20"/>
        </w:rPr>
        <w:t xml:space="preserve"> </w:t>
      </w:r>
      <w:r w:rsidRPr="00DB50DD">
        <w:rPr>
          <w:rFonts w:asciiTheme="minorHAnsi" w:hAnsiTheme="minorHAnsi"/>
          <w:color w:val="auto"/>
          <w:sz w:val="20"/>
          <w:szCs w:val="20"/>
        </w:rPr>
        <w:t>„Lista przedsięwzięć podstawowych do Gminnego Programu Rewitalizacji. Bytom 2020+”.</w:t>
      </w:r>
    </w:p>
    <w:p w:rsidR="00F923F6" w:rsidRPr="00F923F6" w:rsidRDefault="00F923F6" w:rsidP="00F923F6">
      <w:pPr>
        <w:pStyle w:val="Default"/>
        <w:numPr>
          <w:ilvl w:val="0"/>
          <w:numId w:val="195"/>
        </w:numPr>
        <w:tabs>
          <w:tab w:val="clear" w:pos="720"/>
          <w:tab w:val="num" w:pos="0"/>
        </w:tabs>
        <w:ind w:left="0" w:firstLine="360"/>
        <w:jc w:val="both"/>
        <w:rPr>
          <w:rFonts w:asciiTheme="minorHAnsi" w:hAnsiTheme="minorHAnsi" w:cs="Arial"/>
          <w:iCs/>
          <w:color w:val="auto"/>
          <w:spacing w:val="4"/>
          <w:sz w:val="20"/>
          <w:szCs w:val="20"/>
        </w:rPr>
      </w:pPr>
      <w:r w:rsidRPr="00F923F6">
        <w:rPr>
          <w:rFonts w:asciiTheme="minorHAnsi" w:hAnsiTheme="minorHAnsi"/>
          <w:color w:val="auto"/>
          <w:sz w:val="20"/>
          <w:szCs w:val="20"/>
        </w:rPr>
        <w:t>Zawarcie przez gminę Bytom 3 umów (z firmą consultingową oraz organizacjami pozarządowymi) na organizację i przeprowadzenie procesu partycypacyjnego, związanego</w:t>
      </w:r>
      <w:r w:rsidR="00044DA7">
        <w:rPr>
          <w:rFonts w:asciiTheme="minorHAnsi" w:hAnsiTheme="minorHAnsi"/>
          <w:color w:val="auto"/>
          <w:sz w:val="20"/>
          <w:szCs w:val="20"/>
        </w:rPr>
        <w:t xml:space="preserve"> </w:t>
      </w:r>
      <w:r w:rsidRPr="00F923F6">
        <w:rPr>
          <w:rFonts w:asciiTheme="minorHAnsi" w:hAnsiTheme="minorHAnsi"/>
          <w:color w:val="auto"/>
          <w:sz w:val="20"/>
          <w:szCs w:val="20"/>
        </w:rPr>
        <w:t>z tworzeniem GPR, w 6 podobszarach zurbanizowanych, zgodnie z zał. nr 2 (obszar rewitalizacji) do uchwały nr XXIII/300/16 Rady Miejskiej w Bytomiu z dnia 29.03.2016 r., w sprawie wyznaczenia obszaru zdegradowanego i obszaru rewitalizacji miasta Bytom.</w:t>
      </w:r>
      <w:r w:rsidRPr="00F923F6">
        <w:rPr>
          <w:rFonts w:asciiTheme="minorHAnsi" w:hAnsiTheme="minorHAnsi" w:cs="Arial"/>
          <w:iCs/>
          <w:color w:val="auto"/>
          <w:spacing w:val="4"/>
          <w:sz w:val="20"/>
          <w:szCs w:val="20"/>
        </w:rPr>
        <w:t xml:space="preserve"> </w:t>
      </w:r>
      <w:r w:rsidRPr="00F923F6">
        <w:rPr>
          <w:rStyle w:val="Pogrubienie"/>
          <w:rFonts w:asciiTheme="minorHAnsi" w:hAnsiTheme="minorHAnsi"/>
          <w:b w:val="0"/>
          <w:bCs w:val="0"/>
          <w:color w:val="auto"/>
          <w:sz w:val="20"/>
          <w:szCs w:val="20"/>
        </w:rPr>
        <w:t xml:space="preserve">Spotkania odbywały się w sześciu podobszarach przeznaczonych do rewitalizacji, to: Śródmieście Północ, Śródmieście Centrum, Śródmieście Zachód (obszary 10, 11, 13), Bobrek (obszar 8), Kolonia Zgorzelec (obszar 19) i Rozbark (obszar 12). Przeprowadziły je cztery podmioty. W Śródmieściu było to Towarzystwo Urbanistów Polskich </w:t>
      </w:r>
      <w:r w:rsidRPr="00F923F6">
        <w:rPr>
          <w:rFonts w:asciiTheme="minorHAnsi" w:hAnsiTheme="minorHAnsi"/>
          <w:color w:val="auto"/>
          <w:sz w:val="20"/>
          <w:szCs w:val="20"/>
        </w:rPr>
        <w:t>Zakład P</w:t>
      </w:r>
      <w:r w:rsidR="007F6938">
        <w:rPr>
          <w:rFonts w:asciiTheme="minorHAnsi" w:hAnsiTheme="minorHAnsi"/>
          <w:color w:val="auto"/>
          <w:sz w:val="20"/>
          <w:szCs w:val="20"/>
        </w:rPr>
        <w:t>lanowania Przestrzennego Pracow</w:t>
      </w:r>
      <w:r w:rsidRPr="00F923F6">
        <w:rPr>
          <w:rFonts w:asciiTheme="minorHAnsi" w:hAnsiTheme="minorHAnsi"/>
          <w:color w:val="auto"/>
          <w:sz w:val="20"/>
          <w:szCs w:val="20"/>
        </w:rPr>
        <w:t>nia w Katowicach</w:t>
      </w:r>
      <w:r w:rsidRPr="00F923F6">
        <w:rPr>
          <w:rStyle w:val="Pogrubienie"/>
          <w:rFonts w:asciiTheme="minorHAnsi" w:hAnsiTheme="minorHAnsi"/>
          <w:b w:val="0"/>
          <w:bCs w:val="0"/>
          <w:color w:val="auto"/>
          <w:sz w:val="20"/>
          <w:szCs w:val="20"/>
        </w:rPr>
        <w:t>, na Rozbarku warsztaty przeprowadzili członkowie bytomskiego stowarzyszenia Miasto Dla Mieszkańców, a z mieszkańcami Bobrka i Kolonii Zgorzelec spotkali się przedstawiciele warszawskiej firmy ResPublic Sp. z o.o. Do ResPublic dołączyła Pani Magdalena Kruk z Wydziału Architektury Politechniki Krakowskiej, z którą gmina Bytom podpisała porozumienie i która razem z</w:t>
      </w:r>
      <w:r w:rsidR="00044DA7">
        <w:rPr>
          <w:rStyle w:val="Pogrubienie"/>
          <w:rFonts w:asciiTheme="minorHAnsi" w:hAnsiTheme="minorHAnsi"/>
          <w:b w:val="0"/>
          <w:bCs w:val="0"/>
          <w:color w:val="auto"/>
          <w:sz w:val="20"/>
          <w:szCs w:val="20"/>
        </w:rPr>
        <w:t> </w:t>
      </w:r>
      <w:r w:rsidRPr="00F923F6">
        <w:rPr>
          <w:rStyle w:val="Pogrubienie"/>
          <w:rFonts w:asciiTheme="minorHAnsi" w:hAnsiTheme="minorHAnsi"/>
          <w:b w:val="0"/>
          <w:bCs w:val="0"/>
          <w:color w:val="auto"/>
          <w:sz w:val="20"/>
          <w:szCs w:val="20"/>
        </w:rPr>
        <w:t>mieszkańcami Kolonii Zgorzelec pracowała nad koncepcją zagospodarowania osiedla, które w przyszłości ma być miejscem przyjaznym</w:t>
      </w:r>
      <w:r w:rsidR="00044DA7">
        <w:rPr>
          <w:rStyle w:val="Pogrubienie"/>
          <w:rFonts w:asciiTheme="minorHAnsi" w:hAnsiTheme="minorHAnsi"/>
          <w:b w:val="0"/>
          <w:bCs w:val="0"/>
          <w:color w:val="auto"/>
          <w:sz w:val="20"/>
          <w:szCs w:val="20"/>
        </w:rPr>
        <w:t xml:space="preserve"> </w:t>
      </w:r>
      <w:r w:rsidRPr="00F923F6">
        <w:rPr>
          <w:rStyle w:val="Pogrubienie"/>
          <w:rFonts w:asciiTheme="minorHAnsi" w:hAnsiTheme="minorHAnsi"/>
          <w:b w:val="0"/>
          <w:bCs w:val="0"/>
          <w:color w:val="auto"/>
          <w:sz w:val="20"/>
          <w:szCs w:val="20"/>
        </w:rPr>
        <w:t xml:space="preserve">i funkcjonalnym. </w:t>
      </w:r>
      <w:r w:rsidRPr="00F923F6">
        <w:rPr>
          <w:rFonts w:asciiTheme="minorHAnsi" w:hAnsiTheme="minorHAnsi" w:cs="Arial"/>
          <w:iCs/>
          <w:color w:val="auto"/>
          <w:spacing w:val="4"/>
          <w:sz w:val="20"/>
          <w:szCs w:val="20"/>
        </w:rPr>
        <w:t xml:space="preserve">W ramach zawartych umów, w okresie od kwietnia do lipca 2016 r. zorganizowano łącznie 19 warsztatów i 13 punktów lotnych, w tym: spotkań diagnostycznych </w:t>
      </w:r>
      <w:r w:rsidRPr="00F923F6">
        <w:rPr>
          <w:rFonts w:asciiTheme="minorHAnsi" w:hAnsiTheme="minorHAnsi" w:cs="Arial"/>
          <w:iCs/>
          <w:color w:val="auto"/>
          <w:spacing w:val="4"/>
          <w:sz w:val="20"/>
          <w:szCs w:val="20"/>
        </w:rPr>
        <w:br/>
        <w:t xml:space="preserve">z mieszkańcami i przedstawicielami instytucji, spotkań plenerowych i spacerów badawczych, wizji lokalnych, spotkań warsztatowych z uczniami szkół z wykorzystaniem makiety 3D, podczas których zbierano od interesariuszy propozycje projektów rewitalizacyjnych. </w:t>
      </w:r>
    </w:p>
    <w:p w:rsidR="00F923F6" w:rsidRPr="00F923F6" w:rsidRDefault="00F923F6" w:rsidP="00F923F6">
      <w:pPr>
        <w:numPr>
          <w:ilvl w:val="0"/>
          <w:numId w:val="196"/>
        </w:numPr>
        <w:autoSpaceDE w:val="0"/>
        <w:autoSpaceDN w:val="0"/>
        <w:adjustRightInd w:val="0"/>
        <w:jc w:val="both"/>
        <w:rPr>
          <w:rFonts w:eastAsia="Calibri,Bold"/>
          <w:iCs/>
          <w:szCs w:val="20"/>
        </w:rPr>
      </w:pPr>
      <w:r w:rsidRPr="00F923F6">
        <w:rPr>
          <w:rFonts w:cs="Arial"/>
          <w:b/>
          <w:bCs/>
          <w:iCs/>
          <w:spacing w:val="4"/>
          <w:szCs w:val="20"/>
        </w:rPr>
        <w:t>Warsztaty i spotkania diagnostyczne</w:t>
      </w:r>
      <w:r w:rsidRPr="00F923F6">
        <w:rPr>
          <w:rFonts w:cs="Arial"/>
          <w:iCs/>
          <w:spacing w:val="4"/>
          <w:szCs w:val="20"/>
        </w:rPr>
        <w:t xml:space="preserve"> – miały na celu </w:t>
      </w:r>
      <w:r w:rsidRPr="00F923F6">
        <w:rPr>
          <w:rFonts w:eastAsia="Calibri,Bold"/>
          <w:iCs/>
          <w:szCs w:val="20"/>
        </w:rPr>
        <w:t xml:space="preserve">zidentyfikowanie problemów </w:t>
      </w:r>
      <w:r w:rsidRPr="00F923F6">
        <w:rPr>
          <w:rFonts w:eastAsia="Calibri,Bold"/>
          <w:iCs/>
          <w:szCs w:val="20"/>
        </w:rPr>
        <w:br/>
        <w:t xml:space="preserve">w sferze społecznej, gospodarczej, środowiskowej, technicznej i przestrzenno-funkcjonalnej, </w:t>
      </w:r>
      <w:r w:rsidRPr="00F923F6">
        <w:rPr>
          <w:rFonts w:cs="Calibri"/>
          <w:szCs w:val="20"/>
        </w:rPr>
        <w:t>wskazanych w art. 9 ustawy z dnia 9 października 2015 roku o rewitalizacji.</w:t>
      </w:r>
      <w:r w:rsidRPr="00F923F6">
        <w:rPr>
          <w:szCs w:val="20"/>
        </w:rPr>
        <w:t xml:space="preserve"> Przeprowadzono także pogłębione wywiady z lokalnymi ekspertami oraz przedstawicielami jednostek samorządu terytorialnego i innych instytucji.</w:t>
      </w:r>
    </w:p>
    <w:p w:rsidR="00F923F6" w:rsidRPr="00F923F6" w:rsidRDefault="00F923F6" w:rsidP="00F923F6">
      <w:pPr>
        <w:numPr>
          <w:ilvl w:val="0"/>
          <w:numId w:val="196"/>
        </w:numPr>
        <w:autoSpaceDE w:val="0"/>
        <w:autoSpaceDN w:val="0"/>
        <w:adjustRightInd w:val="0"/>
        <w:jc w:val="both"/>
        <w:rPr>
          <w:szCs w:val="20"/>
        </w:rPr>
      </w:pPr>
      <w:r w:rsidRPr="00F923F6">
        <w:rPr>
          <w:b/>
          <w:bCs/>
          <w:szCs w:val="20"/>
        </w:rPr>
        <w:t xml:space="preserve">Wizje lokalne, spacery badawcze </w:t>
      </w:r>
      <w:r w:rsidRPr="00F923F6">
        <w:rPr>
          <w:szCs w:val="20"/>
        </w:rPr>
        <w:t xml:space="preserve">– to badanie jakościowe, polegające na wizycie </w:t>
      </w:r>
      <w:r w:rsidR="009B79E1">
        <w:rPr>
          <w:szCs w:val="20"/>
        </w:rPr>
        <w:t>w obszarze rewitalizacji</w:t>
      </w:r>
      <w:r w:rsidRPr="00F923F6">
        <w:rPr>
          <w:szCs w:val="20"/>
        </w:rPr>
        <w:t xml:space="preserve">, często połączone z rozmowami z interesariuszami, korzystającymi z odwiedzanej przestrzeni miejskiej. Metoda ta miała na celu zdiagnozowanie występujących w terenie problemów, ale i potencjałów przede wszystkim, w sferze technicznej i przestrzenno-funkcjonalnej. </w:t>
      </w:r>
    </w:p>
    <w:p w:rsidR="00F923F6" w:rsidRPr="00F923F6" w:rsidRDefault="00F923F6" w:rsidP="00F923F6">
      <w:pPr>
        <w:numPr>
          <w:ilvl w:val="0"/>
          <w:numId w:val="196"/>
        </w:numPr>
        <w:autoSpaceDE w:val="0"/>
        <w:autoSpaceDN w:val="0"/>
        <w:adjustRightInd w:val="0"/>
        <w:jc w:val="both"/>
        <w:rPr>
          <w:szCs w:val="20"/>
        </w:rPr>
      </w:pPr>
      <w:r w:rsidRPr="00F923F6">
        <w:rPr>
          <w:rFonts w:cs="Arial"/>
          <w:b/>
          <w:bCs/>
          <w:iCs/>
          <w:spacing w:val="4"/>
          <w:szCs w:val="20"/>
        </w:rPr>
        <w:t xml:space="preserve">Warsztaty z użyciem makiety 3D - </w:t>
      </w:r>
      <w:r w:rsidRPr="00F923F6">
        <w:rPr>
          <w:szCs w:val="20"/>
        </w:rPr>
        <w:t>miały na celu pomóc w zobrazowaniu ludziom przestrzeni, dzięki czemu lepiej mogliśmy zrozumieć ich potrzeby. Makiety przygotowywane przez uczniów szkół miały zasadnicze znaczenie dla włączenia w proces najmłodszych użytkowników przestrzeni, którzy podczas warsztatów dzielili się z prowadzącymi, swoimi odczuciami na temat przestrzeni, w której żyją. Miało to dodatkowo walor edukacyjny, ponieważ dzieci uczyły się pracować z mapą i często po raz pierwszy spotykały się z szerszą perspektywą miasta. Makiety wykonane z dziećmi ułatwiły później pracę warsztatową, ponieważ wszystkie problemy i sugestie dotyczące przestrzeni mogły być odniesione do konkretnych miejsc czy obszarów.</w:t>
      </w:r>
    </w:p>
    <w:p w:rsidR="00F923F6" w:rsidRPr="00F923F6" w:rsidRDefault="00F923F6" w:rsidP="00F923F6">
      <w:pPr>
        <w:pStyle w:val="NormalnyWeb"/>
        <w:spacing w:before="0" w:beforeAutospacing="0" w:after="0" w:afterAutospacing="0"/>
        <w:jc w:val="both"/>
        <w:rPr>
          <w:szCs w:val="20"/>
        </w:rPr>
      </w:pPr>
      <w:r w:rsidRPr="00F923F6">
        <w:rPr>
          <w:rStyle w:val="Pogrubienie"/>
          <w:b w:val="0"/>
          <w:bCs w:val="0"/>
          <w:szCs w:val="20"/>
        </w:rPr>
        <w:t>Spotkania odbywały się w cyklach dwutygodniowych, albo tygodniowych. Na każdym z nich poruszane były problemy występujące w danych dzielnicach</w:t>
      </w:r>
      <w:r w:rsidRPr="00F923F6">
        <w:rPr>
          <w:rStyle w:val="Pogrubienie"/>
          <w:i/>
          <w:iCs/>
          <w:szCs w:val="20"/>
        </w:rPr>
        <w:t>.</w:t>
      </w:r>
      <w:r w:rsidRPr="00F923F6">
        <w:rPr>
          <w:rStyle w:val="Uwydatnienie"/>
          <w:rFonts w:asciiTheme="minorHAnsi" w:hAnsiTheme="minorHAnsi"/>
          <w:i w:val="0"/>
          <w:iCs w:val="0"/>
          <w:szCs w:val="20"/>
        </w:rPr>
        <w:t xml:space="preserve"> Pierwsze poświęcone były m.in. przestrzeni publicznej i</w:t>
      </w:r>
      <w:r w:rsidR="00044DA7">
        <w:rPr>
          <w:rStyle w:val="Uwydatnienie"/>
          <w:rFonts w:asciiTheme="minorHAnsi" w:hAnsiTheme="minorHAnsi"/>
          <w:i w:val="0"/>
          <w:iCs w:val="0"/>
          <w:szCs w:val="20"/>
        </w:rPr>
        <w:t> </w:t>
      </w:r>
      <w:r w:rsidRPr="00F923F6">
        <w:rPr>
          <w:rStyle w:val="Uwydatnienie"/>
          <w:rFonts w:asciiTheme="minorHAnsi" w:hAnsiTheme="minorHAnsi"/>
          <w:i w:val="0"/>
          <w:iCs w:val="0"/>
          <w:szCs w:val="20"/>
        </w:rPr>
        <w:t>transportowi, drugie – kulturze, edukacji i zdrowiu, a w</w:t>
      </w:r>
      <w:r w:rsidRPr="00F923F6">
        <w:rPr>
          <w:szCs w:val="20"/>
        </w:rPr>
        <w:t xml:space="preserve"> trakcie trzeciego spotkania konsultanci zaprezentowali pomysły mieszkańców na temat danego obszaru. </w:t>
      </w:r>
      <w:r w:rsidRPr="00F923F6">
        <w:rPr>
          <w:rStyle w:val="Pogrubienie"/>
          <w:b w:val="0"/>
          <w:bCs w:val="0"/>
          <w:szCs w:val="20"/>
        </w:rPr>
        <w:t xml:space="preserve">Pracownicy firm konsultingowych i stowarzyszeń omawiali je z mieszkańcami. Łącznie we wszystkich spotkaniach wzięło udział ok. 500 osób. </w:t>
      </w:r>
      <w:r w:rsidRPr="00F923F6">
        <w:rPr>
          <w:rFonts w:cs="Arial"/>
          <w:iCs/>
          <w:spacing w:val="4"/>
          <w:szCs w:val="20"/>
        </w:rPr>
        <w:t>Efektem końcowym warsztatów było podsumowanie i zestawienie efektów warsztatów w formie prezentacji. Udział w</w:t>
      </w:r>
      <w:r w:rsidR="00044DA7">
        <w:rPr>
          <w:rFonts w:cs="Arial"/>
          <w:iCs/>
          <w:spacing w:val="4"/>
          <w:szCs w:val="20"/>
        </w:rPr>
        <w:t> </w:t>
      </w:r>
      <w:r w:rsidRPr="00F923F6">
        <w:rPr>
          <w:rFonts w:cs="Arial"/>
          <w:iCs/>
          <w:spacing w:val="4"/>
          <w:szCs w:val="20"/>
        </w:rPr>
        <w:t>warsztatach i innych formach partycypacji zapewnili lokalni liderzy, z któ</w:t>
      </w:r>
      <w:r w:rsidR="00044DA7">
        <w:rPr>
          <w:rFonts w:cs="Arial"/>
          <w:iCs/>
          <w:spacing w:val="4"/>
          <w:szCs w:val="20"/>
        </w:rPr>
        <w:t xml:space="preserve">rymi </w:t>
      </w:r>
      <w:r w:rsidR="00331E69">
        <w:rPr>
          <w:rFonts w:cs="Arial"/>
          <w:iCs/>
          <w:spacing w:val="4"/>
          <w:szCs w:val="20"/>
        </w:rPr>
        <w:t>nawiązano</w:t>
      </w:r>
      <w:r w:rsidR="00044DA7">
        <w:rPr>
          <w:rFonts w:cs="Arial"/>
          <w:iCs/>
          <w:spacing w:val="4"/>
          <w:szCs w:val="20"/>
        </w:rPr>
        <w:t xml:space="preserve"> współpracę. Z </w:t>
      </w:r>
      <w:r w:rsidRPr="00F923F6">
        <w:rPr>
          <w:rFonts w:cs="Arial"/>
          <w:iCs/>
          <w:spacing w:val="4"/>
          <w:szCs w:val="20"/>
        </w:rPr>
        <w:t>przeprowadzonych działań</w:t>
      </w:r>
      <w:r w:rsidR="00453DAE">
        <w:rPr>
          <w:rFonts w:cs="Arial"/>
          <w:iCs/>
          <w:spacing w:val="4"/>
          <w:szCs w:val="20"/>
        </w:rPr>
        <w:t xml:space="preserve"> </w:t>
      </w:r>
      <w:r w:rsidRPr="00F923F6">
        <w:rPr>
          <w:rFonts w:cs="Arial"/>
          <w:iCs/>
          <w:spacing w:val="4"/>
          <w:szCs w:val="20"/>
        </w:rPr>
        <w:t>w każdym z podobszarów, sporządzono raport, który zawiera</w:t>
      </w:r>
      <w:r w:rsidRPr="00F923F6">
        <w:rPr>
          <w:szCs w:val="20"/>
        </w:rPr>
        <w:t xml:space="preserve"> usystematyzowany wykaz opinii</w:t>
      </w:r>
      <w:r w:rsidR="00453DAE">
        <w:rPr>
          <w:szCs w:val="20"/>
        </w:rPr>
        <w:t xml:space="preserve"> </w:t>
      </w:r>
      <w:r w:rsidRPr="00F923F6">
        <w:rPr>
          <w:szCs w:val="20"/>
        </w:rPr>
        <w:t xml:space="preserve">i sugestii dotyczących problemów występujących na danym podobszarze i jego najbliższym otoczeniu oraz ich potencjalne rozwiązania, </w:t>
      </w:r>
      <w:r w:rsidRPr="00F923F6">
        <w:rPr>
          <w:rFonts w:cs="Arial"/>
          <w:iCs/>
          <w:spacing w:val="4"/>
          <w:szCs w:val="20"/>
        </w:rPr>
        <w:t>opis przebiegu konsultacji, diagnozę podobszaru – w</w:t>
      </w:r>
      <w:r w:rsidR="00044DA7">
        <w:rPr>
          <w:rFonts w:cs="Arial"/>
          <w:iCs/>
          <w:spacing w:val="4"/>
          <w:szCs w:val="20"/>
        </w:rPr>
        <w:t> </w:t>
      </w:r>
      <w:r w:rsidRPr="00F923F6">
        <w:rPr>
          <w:rFonts w:cs="Arial"/>
          <w:iCs/>
          <w:spacing w:val="4"/>
          <w:szCs w:val="20"/>
        </w:rPr>
        <w:t xml:space="preserve">tym zidentyfikowane problemy oraz potencjał do wykorzystania. Raporty zawierają także (na podstawie przeprowadzonych diagnoz) wizje </w:t>
      </w:r>
      <w:r w:rsidRPr="00F923F6">
        <w:rPr>
          <w:szCs w:val="20"/>
        </w:rPr>
        <w:t>stanu podobszarów po przeprowadzeniu rewitalizacji oraz cele rewitalizacji i odpowiadające im kierunki działań służące eliminacji lub ograniczeniu negatywnych zjawisk występujących w</w:t>
      </w:r>
      <w:r w:rsidR="00044DA7">
        <w:rPr>
          <w:szCs w:val="20"/>
        </w:rPr>
        <w:t> </w:t>
      </w:r>
      <w:r w:rsidRPr="00F923F6">
        <w:rPr>
          <w:szCs w:val="20"/>
        </w:rPr>
        <w:t>tych podobszarach. Po przeanalizowaniu wizji, celów</w:t>
      </w:r>
      <w:r w:rsidR="00453DAE">
        <w:rPr>
          <w:szCs w:val="20"/>
        </w:rPr>
        <w:t xml:space="preserve"> </w:t>
      </w:r>
      <w:r w:rsidRPr="00F923F6">
        <w:rPr>
          <w:szCs w:val="20"/>
        </w:rPr>
        <w:t>i kierunków wypracowanych w podobszarach zwrócono uwagę, że są one ze sobą zbieżne. Ponadto analiza danych statystycznych, wyniki pogłębionej diagnozy obszaru rewitalizacji, potwierdziły problemy zidentyfikowane w trakcie partycypacji społecznej. Z uwagi na to opracowano wspólną wizję dla całego obszaru rewitalizacji Bytomia, do której wypracowano wspólne cele i</w:t>
      </w:r>
      <w:r w:rsidR="00044DA7">
        <w:rPr>
          <w:szCs w:val="20"/>
        </w:rPr>
        <w:t> </w:t>
      </w:r>
      <w:r w:rsidRPr="00F923F6">
        <w:rPr>
          <w:szCs w:val="20"/>
        </w:rPr>
        <w:t xml:space="preserve">kierunki działań. Cele i kierunki wypracowane przez interesariuszy obszaru rewitalizacji po przeanalizowaniu pogrupowano oraz rozszerzono na podstawie wniosków z diagnozy oraz uwag zebranych w trakcie konsultacji projektu </w:t>
      </w:r>
      <w:r w:rsidR="0017230A">
        <w:rPr>
          <w:szCs w:val="20"/>
        </w:rPr>
        <w:t>„</w:t>
      </w:r>
      <w:r w:rsidRPr="00F923F6">
        <w:rPr>
          <w:szCs w:val="20"/>
        </w:rPr>
        <w:t>Gminnego Programu Rewitalizacji. Bytom 2020+</w:t>
      </w:r>
      <w:r w:rsidR="0017230A">
        <w:rPr>
          <w:szCs w:val="20"/>
        </w:rPr>
        <w:t>”</w:t>
      </w:r>
      <w:r w:rsidRPr="00F923F6">
        <w:rPr>
          <w:szCs w:val="20"/>
        </w:rPr>
        <w:t>.</w:t>
      </w:r>
    </w:p>
    <w:p w:rsidR="00F923F6" w:rsidRPr="00F923F6" w:rsidRDefault="00F923F6" w:rsidP="00F923F6">
      <w:pPr>
        <w:jc w:val="both"/>
        <w:rPr>
          <w:szCs w:val="20"/>
        </w:rPr>
      </w:pPr>
      <w:r w:rsidRPr="00F923F6">
        <w:rPr>
          <w:szCs w:val="20"/>
        </w:rPr>
        <w:t xml:space="preserve">Raporty zawierają także projekty mające przyczynić się do realizacji celów strategicznych danego podobszaru. Są to projekty o charakterze społecznym, gospodarczym oraz projekty o charakterze infrastrukturalno-środowiskowym. W sumie raporty zawierają 57 propozycji projektów wraz z ich opisami w odniesieniu do każdego przedsięwzięcia: nazwę, wskazanie podmiotów je realizujących, zakres realizowanych zadań, lokalizację, szacowaną wartość, a także prognozowane rezultaty wraz ze sposobem ich oceny w odniesieniu do celów rewitalizacji. Wykonawcy umów sporządzili także mapy przedstawiające podstawowe kierunki zmian funkcjonalno-przestrzennych podobszarów rewitalizacji. Niestety część propozycji przedsięwzięć nie miała przygotowanych kart rewitalizacyjnych, ale zostały one wpisane w inne wcześniej zgłoszone i uwzględnione większe projekty rewitalizacyjne wpisane do Gminnego Programu Rewitalizacji dla Bytomia. W części projektów w ogóle nie zostali wskazani liderzy czyli podmioty mogące zrealizować dane zadanie, w związku z czym zostały one </w:t>
      </w:r>
      <w:r w:rsidR="00DA1787">
        <w:rPr>
          <w:szCs w:val="20"/>
        </w:rPr>
        <w:t>wpisane na listę przedsięwzięć uzupełniających</w:t>
      </w:r>
      <w:r w:rsidRPr="00F923F6">
        <w:rPr>
          <w:szCs w:val="20"/>
        </w:rPr>
        <w:t>, natomiast jeszcze inne swą charakterystyką (np. remonty ulic, chodników etc.) w ogóle nie wpisywały się w GPR, co spowodowało, że także nie zostały one uwzględnione, natomiast zostały przekazane do odpowiednich jednostek, zgodnie z kompetencjami, które będą je realizować w ramach bieżących prac lub też zostaną zgłoszone do budżetu partycypacyjnego Bytomia. Wszystkie raporty wraz</w:t>
      </w:r>
      <w:r w:rsidR="00453DAE">
        <w:rPr>
          <w:szCs w:val="20"/>
        </w:rPr>
        <w:t xml:space="preserve"> </w:t>
      </w:r>
      <w:r w:rsidRPr="00F923F6">
        <w:rPr>
          <w:szCs w:val="20"/>
        </w:rPr>
        <w:t xml:space="preserve">z załącznikami znajdują się pod adresem: </w:t>
      </w:r>
    </w:p>
    <w:p w:rsidR="00F923F6" w:rsidRPr="00F923F6" w:rsidRDefault="003972D8" w:rsidP="00F923F6">
      <w:pPr>
        <w:jc w:val="both"/>
        <w:rPr>
          <w:szCs w:val="20"/>
        </w:rPr>
      </w:pPr>
      <w:hyperlink r:id="rId99" w:history="1">
        <w:r w:rsidR="00F923F6" w:rsidRPr="00F923F6">
          <w:rPr>
            <w:rStyle w:val="Hipercze"/>
            <w:szCs w:val="20"/>
          </w:rPr>
          <w:t>http://bytomodnowa.pl/index.php?mact=News,cntnt01,detail,0&amp;cntnt01articleid=101&amp;cntnt01returnid=17</w:t>
        </w:r>
      </w:hyperlink>
      <w:r w:rsidR="00F923F6" w:rsidRPr="00F923F6">
        <w:rPr>
          <w:szCs w:val="20"/>
        </w:rPr>
        <w:t xml:space="preserve"> </w:t>
      </w:r>
    </w:p>
    <w:p w:rsidR="00F923F6" w:rsidRPr="00F923F6" w:rsidRDefault="00F923F6" w:rsidP="00F923F6">
      <w:pPr>
        <w:tabs>
          <w:tab w:val="num" w:pos="1440"/>
        </w:tabs>
        <w:ind w:left="-30"/>
        <w:jc w:val="both"/>
        <w:rPr>
          <w:szCs w:val="20"/>
        </w:rPr>
      </w:pPr>
    </w:p>
    <w:p w:rsidR="00F923F6" w:rsidRDefault="00F923F6" w:rsidP="00F923F6">
      <w:pPr>
        <w:pStyle w:val="NormalnyWeb"/>
        <w:numPr>
          <w:ilvl w:val="0"/>
          <w:numId w:val="195"/>
        </w:numPr>
        <w:spacing w:before="0" w:beforeAutospacing="0" w:after="0" w:afterAutospacing="0"/>
        <w:ind w:left="0" w:firstLine="360"/>
        <w:jc w:val="both"/>
        <w:rPr>
          <w:szCs w:val="20"/>
        </w:rPr>
      </w:pPr>
      <w:r w:rsidRPr="00F923F6">
        <w:rPr>
          <w:szCs w:val="20"/>
        </w:rPr>
        <w:t>Ukazanie się we wrześniu 2016 r. kolejnego numeru gazety poświęconej tematowi rewitalizacji. W</w:t>
      </w:r>
      <w:r w:rsidR="00044DA7">
        <w:rPr>
          <w:szCs w:val="20"/>
        </w:rPr>
        <w:t> </w:t>
      </w:r>
      <w:r w:rsidRPr="00F923F6">
        <w:rPr>
          <w:szCs w:val="20"/>
        </w:rPr>
        <w:t>gazecie opisany został przebieg przeprowadzonych w mieście konsultacji społecznych, a w ramach tego każdy z podobszarów i jego problemy, zaprezentowane zostały Rady przy Prezydencie Bytomia, a także krótko opisana rewitalizacja miasta Wałbrzych. Znalazł się w niej również słowniczek pojęć dot. rewitalizacji. Informator trafił do skrzynek pocztowych bytomian, przede wszystkim z obszaru rewitalizacji. Można było pobrać go także w Urzędzie Miejskim</w:t>
      </w:r>
      <w:r w:rsidR="00453DAE">
        <w:rPr>
          <w:szCs w:val="20"/>
        </w:rPr>
        <w:t xml:space="preserve"> </w:t>
      </w:r>
      <w:r w:rsidRPr="00F923F6">
        <w:rPr>
          <w:szCs w:val="20"/>
        </w:rPr>
        <w:t xml:space="preserve">w Bytomiu w kilku punktach oraz na stronie </w:t>
      </w:r>
      <w:hyperlink r:id="rId100" w:history="1">
        <w:r w:rsidRPr="00F923F6">
          <w:rPr>
            <w:rStyle w:val="Hipercze"/>
            <w:szCs w:val="20"/>
          </w:rPr>
          <w:t>www.bytomodnowa.pl</w:t>
        </w:r>
      </w:hyperlink>
      <w:r w:rsidRPr="00F923F6">
        <w:rPr>
          <w:szCs w:val="20"/>
        </w:rPr>
        <w:t>.</w:t>
      </w:r>
    </w:p>
    <w:p w:rsidR="002D35DA" w:rsidRPr="00F923F6" w:rsidRDefault="002D35DA" w:rsidP="002D35DA">
      <w:pPr>
        <w:pStyle w:val="NormalnyWeb"/>
        <w:spacing w:before="0" w:beforeAutospacing="0" w:after="0" w:afterAutospacing="0"/>
        <w:jc w:val="both"/>
        <w:rPr>
          <w:szCs w:val="20"/>
        </w:rPr>
      </w:pPr>
    </w:p>
    <w:p w:rsidR="00F923F6" w:rsidRPr="00F923F6" w:rsidRDefault="00F923F6" w:rsidP="00F923F6">
      <w:pPr>
        <w:numPr>
          <w:ilvl w:val="0"/>
          <w:numId w:val="195"/>
        </w:numPr>
        <w:tabs>
          <w:tab w:val="clear" w:pos="720"/>
          <w:tab w:val="num" w:pos="0"/>
        </w:tabs>
        <w:autoSpaceDE w:val="0"/>
        <w:autoSpaceDN w:val="0"/>
        <w:adjustRightInd w:val="0"/>
        <w:ind w:left="0" w:firstLine="360"/>
        <w:jc w:val="both"/>
        <w:rPr>
          <w:b/>
          <w:bCs/>
          <w:szCs w:val="20"/>
        </w:rPr>
      </w:pPr>
      <w:r w:rsidRPr="00F923F6">
        <w:rPr>
          <w:szCs w:val="20"/>
        </w:rPr>
        <w:t xml:space="preserve">Konsultacje społeczne projektu </w:t>
      </w:r>
      <w:r w:rsidR="0017230A">
        <w:rPr>
          <w:szCs w:val="20"/>
        </w:rPr>
        <w:t>„</w:t>
      </w:r>
      <w:r w:rsidRPr="00F923F6">
        <w:rPr>
          <w:szCs w:val="20"/>
        </w:rPr>
        <w:t>Gminnego Programu Rewitalizacji. Bytom 2020+</w:t>
      </w:r>
      <w:r w:rsidR="0017230A">
        <w:rPr>
          <w:szCs w:val="20"/>
        </w:rPr>
        <w:t>”</w:t>
      </w:r>
      <w:r w:rsidRPr="00F923F6">
        <w:rPr>
          <w:szCs w:val="20"/>
        </w:rPr>
        <w:t xml:space="preserve"> na podstawie art.</w:t>
      </w:r>
      <w:r w:rsidR="0017230A">
        <w:rPr>
          <w:szCs w:val="20"/>
        </w:rPr>
        <w:t> </w:t>
      </w:r>
      <w:r w:rsidRPr="00F923F6">
        <w:rPr>
          <w:szCs w:val="20"/>
        </w:rPr>
        <w:t>17 ust. 2 pkt 3 w zw. z art. 6 ustawy o rewitalizacji. Konsultacje prze</w:t>
      </w:r>
      <w:r w:rsidR="00211E7B">
        <w:rPr>
          <w:szCs w:val="20"/>
        </w:rPr>
        <w:t>prowadzone były w terminie od 3 </w:t>
      </w:r>
      <w:r w:rsidRPr="00F923F6">
        <w:rPr>
          <w:szCs w:val="20"/>
        </w:rPr>
        <w:t>do</w:t>
      </w:r>
      <w:r w:rsidR="00211E7B">
        <w:rPr>
          <w:szCs w:val="20"/>
        </w:rPr>
        <w:t> </w:t>
      </w:r>
      <w:r w:rsidRPr="00F923F6">
        <w:rPr>
          <w:szCs w:val="20"/>
        </w:rPr>
        <w:t>26</w:t>
      </w:r>
      <w:r w:rsidR="00D61A34">
        <w:rPr>
          <w:szCs w:val="20"/>
        </w:rPr>
        <w:t> </w:t>
      </w:r>
      <w:r w:rsidRPr="00F923F6">
        <w:rPr>
          <w:szCs w:val="20"/>
        </w:rPr>
        <w:t>października 2016 r. w formie:</w:t>
      </w:r>
    </w:p>
    <w:p w:rsidR="00F923F6" w:rsidRPr="00F923F6" w:rsidRDefault="00F923F6" w:rsidP="00F923F6">
      <w:pPr>
        <w:numPr>
          <w:ilvl w:val="0"/>
          <w:numId w:val="197"/>
        </w:numPr>
        <w:tabs>
          <w:tab w:val="clear" w:pos="360"/>
          <w:tab w:val="num" w:pos="720"/>
        </w:tabs>
        <w:autoSpaceDE w:val="0"/>
        <w:autoSpaceDN w:val="0"/>
        <w:adjustRightInd w:val="0"/>
        <w:ind w:left="720"/>
        <w:jc w:val="both"/>
        <w:rPr>
          <w:szCs w:val="20"/>
        </w:rPr>
      </w:pPr>
      <w:r w:rsidRPr="00F923F6">
        <w:rPr>
          <w:szCs w:val="20"/>
        </w:rPr>
        <w:t>debaty publicznej, która odbyła się w Miejskiej Bibliotece Publicznej w Galerii Rotunda przy Placu Jana III Sobieskiego 3 w Bytomiu, w dniu  19 października 2016 r. o godz. 17:00 do godz. 19:00</w:t>
      </w:r>
      <w:r w:rsidR="00E251CE">
        <w:rPr>
          <w:szCs w:val="20"/>
        </w:rPr>
        <w:t xml:space="preserve"> (udział wzięło </w:t>
      </w:r>
      <w:r w:rsidR="00282799">
        <w:rPr>
          <w:szCs w:val="20"/>
        </w:rPr>
        <w:t>około 80</w:t>
      </w:r>
      <w:r w:rsidR="00E251CE">
        <w:rPr>
          <w:szCs w:val="20"/>
        </w:rPr>
        <w:t xml:space="preserve"> osób),</w:t>
      </w:r>
    </w:p>
    <w:p w:rsidR="00F923F6" w:rsidRPr="00F923F6" w:rsidRDefault="00F923F6" w:rsidP="00F923F6">
      <w:pPr>
        <w:numPr>
          <w:ilvl w:val="0"/>
          <w:numId w:val="197"/>
        </w:numPr>
        <w:tabs>
          <w:tab w:val="clear" w:pos="360"/>
          <w:tab w:val="num" w:pos="720"/>
        </w:tabs>
        <w:autoSpaceDE w:val="0"/>
        <w:autoSpaceDN w:val="0"/>
        <w:adjustRightInd w:val="0"/>
        <w:ind w:left="720"/>
        <w:jc w:val="both"/>
        <w:rPr>
          <w:szCs w:val="20"/>
        </w:rPr>
      </w:pPr>
      <w:r w:rsidRPr="00F923F6">
        <w:rPr>
          <w:szCs w:val="20"/>
        </w:rPr>
        <w:t>lotnych Punktów Informacyjnych B</w:t>
      </w:r>
      <w:r w:rsidR="007F6938">
        <w:rPr>
          <w:szCs w:val="20"/>
        </w:rPr>
        <w:t>YTOM odNOWA</w:t>
      </w:r>
      <w:r w:rsidRPr="00F923F6">
        <w:rPr>
          <w:szCs w:val="20"/>
        </w:rPr>
        <w:t>, w których udzielano informacji i zbierano uwagi ustne. Punkty funkcjonowały w dwie soboty października na pły</w:t>
      </w:r>
      <w:r w:rsidR="00E971A7">
        <w:rPr>
          <w:szCs w:val="20"/>
        </w:rPr>
        <w:t>cie Rynku w Bytomiu, w dniach 8 i </w:t>
      </w:r>
      <w:r w:rsidRPr="00F923F6">
        <w:rPr>
          <w:szCs w:val="20"/>
        </w:rPr>
        <w:t>15</w:t>
      </w:r>
      <w:r w:rsidR="00E971A7">
        <w:rPr>
          <w:szCs w:val="20"/>
        </w:rPr>
        <w:t> </w:t>
      </w:r>
      <w:r w:rsidRPr="00F923F6">
        <w:rPr>
          <w:szCs w:val="20"/>
        </w:rPr>
        <w:t>października 2016 r.</w:t>
      </w:r>
      <w:r w:rsidR="00E251CE">
        <w:rPr>
          <w:szCs w:val="20"/>
        </w:rPr>
        <w:t xml:space="preserve"> (udział wzięło </w:t>
      </w:r>
      <w:r w:rsidR="00243C45">
        <w:rPr>
          <w:szCs w:val="20"/>
        </w:rPr>
        <w:t>około</w:t>
      </w:r>
      <w:r w:rsidR="00E251CE">
        <w:rPr>
          <w:szCs w:val="20"/>
        </w:rPr>
        <w:t xml:space="preserve"> 50 osób),</w:t>
      </w:r>
    </w:p>
    <w:p w:rsidR="00F923F6" w:rsidRPr="00F923F6" w:rsidRDefault="00F923F6" w:rsidP="00F923F6">
      <w:pPr>
        <w:numPr>
          <w:ilvl w:val="0"/>
          <w:numId w:val="197"/>
        </w:numPr>
        <w:tabs>
          <w:tab w:val="clear" w:pos="360"/>
          <w:tab w:val="num" w:pos="720"/>
        </w:tabs>
        <w:autoSpaceDE w:val="0"/>
        <w:autoSpaceDN w:val="0"/>
        <w:adjustRightInd w:val="0"/>
        <w:ind w:left="720"/>
        <w:jc w:val="both"/>
        <w:rPr>
          <w:szCs w:val="20"/>
        </w:rPr>
      </w:pPr>
      <w:r w:rsidRPr="00F923F6">
        <w:rPr>
          <w:szCs w:val="20"/>
        </w:rPr>
        <w:t xml:space="preserve">zbierania uwag w postaci papierowej lub elektronicznej, w tym za pomocą środków komunikacji elektronicznej, w szczególności poczty elektronicznej i formularza zamieszczonego na stronie podmiotowej gminy w Biuletynie Informacji Publicznej </w:t>
      </w:r>
      <w:hyperlink r:id="rId101" w:history="1">
        <w:r w:rsidRPr="00F923F6">
          <w:rPr>
            <w:rStyle w:val="Hipercze"/>
            <w:szCs w:val="20"/>
          </w:rPr>
          <w:t>http://bip.um.bytom.pl/bip/</w:t>
        </w:r>
      </w:hyperlink>
      <w:r w:rsidRPr="00F923F6">
        <w:rPr>
          <w:szCs w:val="20"/>
        </w:rPr>
        <w:t xml:space="preserve">, na platformie konsultacji </w:t>
      </w:r>
      <w:hyperlink r:id="rId102" w:history="1">
        <w:r w:rsidRPr="00F923F6">
          <w:rPr>
            <w:rStyle w:val="Hipercze"/>
            <w:szCs w:val="20"/>
          </w:rPr>
          <w:t>www.konsultacje.bytom.pl</w:t>
        </w:r>
      </w:hyperlink>
      <w:r w:rsidRPr="00F923F6">
        <w:rPr>
          <w:szCs w:val="20"/>
        </w:rPr>
        <w:t xml:space="preserve"> oraz na stronie </w:t>
      </w:r>
      <w:hyperlink r:id="rId103" w:history="1">
        <w:r w:rsidRPr="00F923F6">
          <w:rPr>
            <w:rStyle w:val="Hipercze"/>
            <w:szCs w:val="20"/>
          </w:rPr>
          <w:t>http://bytomodnowa.pl/dokumenty-do-pobrania</w:t>
        </w:r>
      </w:hyperlink>
      <w:r w:rsidRPr="00F923F6">
        <w:rPr>
          <w:szCs w:val="20"/>
        </w:rPr>
        <w:t xml:space="preserve">. </w:t>
      </w:r>
    </w:p>
    <w:p w:rsidR="003571C9" w:rsidRPr="00BF1DF2" w:rsidRDefault="00F923F6" w:rsidP="00234C93">
      <w:pPr>
        <w:pStyle w:val="Tekstpodstawowy3"/>
        <w:shd w:val="clear" w:color="auto" w:fill="F2F2F2" w:themeFill="background1" w:themeFillShade="F2"/>
        <w:spacing w:after="0"/>
        <w:jc w:val="both"/>
        <w:rPr>
          <w:sz w:val="20"/>
          <w:szCs w:val="20"/>
        </w:rPr>
      </w:pPr>
      <w:r w:rsidRPr="00396FBE">
        <w:rPr>
          <w:sz w:val="20"/>
          <w:szCs w:val="20"/>
        </w:rPr>
        <w:t xml:space="preserve">Wydział Strategii i Funduszy Europejskich Urzędu Miejskiego w Bytomiu promował konsultacje poprzez: wysłanie drogą e-mail zawiadomienia do bytomskich organizacji pozarządowych, przedsiębiorców i innych podmiotów, redakcji tv, radiowych i prasowych; wywieszenie plakatów we wszystkich bytomskich placówkach oświatowych oraz niektórych liniach tramwajowych, zamieszenie informacji na portalu społecznościowym Facebook, poprzez stronę internetową </w:t>
      </w:r>
      <w:hyperlink r:id="rId104" w:history="1">
        <w:r w:rsidRPr="00396FBE">
          <w:rPr>
            <w:rStyle w:val="Hipercze"/>
            <w:sz w:val="20"/>
            <w:szCs w:val="20"/>
          </w:rPr>
          <w:t>www.bytom.pl</w:t>
        </w:r>
      </w:hyperlink>
      <w:r w:rsidRPr="00396FBE">
        <w:rPr>
          <w:sz w:val="20"/>
          <w:szCs w:val="20"/>
        </w:rPr>
        <w:t xml:space="preserve">, </w:t>
      </w:r>
      <w:hyperlink r:id="rId105" w:history="1">
        <w:r w:rsidRPr="00396FBE">
          <w:rPr>
            <w:rStyle w:val="Hipercze"/>
            <w:sz w:val="20"/>
            <w:szCs w:val="20"/>
          </w:rPr>
          <w:t>www.bytomodnowa.pl</w:t>
        </w:r>
      </w:hyperlink>
      <w:r w:rsidRPr="00396FBE">
        <w:rPr>
          <w:sz w:val="20"/>
          <w:szCs w:val="20"/>
        </w:rPr>
        <w:t>, a także przez wywieszenie ogłoszenia na tablicy ogłoszeń w Urzędzie Miejskim w Bytomiu przy ul. Parkowej 2 i Rynku 26/5, zamieszczenie informacji w prasie lokalnej.</w:t>
      </w:r>
      <w:r w:rsidRPr="00F923F6">
        <w:rPr>
          <w:sz w:val="20"/>
          <w:szCs w:val="20"/>
        </w:rPr>
        <w:t xml:space="preserve"> </w:t>
      </w:r>
      <w:r w:rsidR="00DB50DD" w:rsidRPr="00BF1DF2">
        <w:rPr>
          <w:sz w:val="20"/>
          <w:szCs w:val="20"/>
        </w:rPr>
        <w:t xml:space="preserve">Różnorodność metod udostępniania informacji umożliwiła aktywny udział </w:t>
      </w:r>
      <w:r w:rsidR="00DB50DD" w:rsidRPr="00BF1DF2">
        <w:rPr>
          <w:sz w:val="20"/>
          <w:szCs w:val="20"/>
        </w:rPr>
        <w:br/>
        <w:t xml:space="preserve">w procesie konsultacyjnym </w:t>
      </w:r>
      <w:r w:rsidR="00DB50DD" w:rsidRPr="00BF1DF2">
        <w:rPr>
          <w:rFonts w:cs="Arial"/>
          <w:sz w:val="20"/>
          <w:szCs w:val="20"/>
        </w:rPr>
        <w:t>partnerom społeczno-gospodarczym oraz podmiotom reprezentującym społeczeństwo obywatelskie, działającym na rzecz ochrony środowiska oraz odpowiedzialnym za promowanie włączenia społecznego, praw podstawowych, praw osób niepełnosprawnych, równości płci i niedyskryminacji.</w:t>
      </w:r>
    </w:p>
    <w:p w:rsidR="0084442A" w:rsidRPr="000C6539" w:rsidRDefault="0084442A" w:rsidP="0084442A">
      <w:pPr>
        <w:ind w:firstLine="708"/>
        <w:jc w:val="both"/>
      </w:pPr>
      <w:r w:rsidRPr="000C6539">
        <w:rPr>
          <w:rFonts w:eastAsia="Calibri" w:cs="Arial"/>
        </w:rPr>
        <w:t>Celem przeprowadzonych konsultacji społecznych było zebra</w:t>
      </w:r>
      <w:r>
        <w:rPr>
          <w:rFonts w:eastAsia="Calibri" w:cs="Arial"/>
        </w:rPr>
        <w:t>nie uwag, opinii, propozycji do</w:t>
      </w:r>
      <w:r w:rsidRPr="000C6539">
        <w:rPr>
          <w:rFonts w:cs="Arial"/>
        </w:rPr>
        <w:t xml:space="preserve"> </w:t>
      </w:r>
      <w:r w:rsidRPr="00F63347">
        <w:t>„Gminnego Programu Rewitalizacji. Bytom 2020+”.</w:t>
      </w:r>
      <w:r w:rsidRPr="000C6539">
        <w:rPr>
          <w:rFonts w:eastAsia="Calibri" w:cs="Arial"/>
        </w:rPr>
        <w:t xml:space="preserve"> Ostatecznie do 26 października 2016 r. </w:t>
      </w:r>
      <w:r w:rsidRPr="000C6539">
        <w:rPr>
          <w:rFonts w:cs="Arial"/>
        </w:rPr>
        <w:t>od podmiotów zewnętrznych</w:t>
      </w:r>
      <w:r w:rsidR="002316A6">
        <w:rPr>
          <w:rStyle w:val="Odwoanieprzypisudolnego"/>
          <w:rFonts w:cs="Arial"/>
        </w:rPr>
        <w:footnoteReference w:id="42"/>
      </w:r>
      <w:r w:rsidRPr="000C6539">
        <w:rPr>
          <w:rFonts w:eastAsia="Calibri" w:cs="Arial"/>
        </w:rPr>
        <w:t xml:space="preserve"> </w:t>
      </w:r>
      <w:r w:rsidR="0011685B" w:rsidRPr="000C6539">
        <w:rPr>
          <w:rFonts w:cs="Arial"/>
        </w:rPr>
        <w:t xml:space="preserve">zebrano </w:t>
      </w:r>
      <w:r w:rsidR="0011685B" w:rsidRPr="00CF6C27">
        <w:t>149</w:t>
      </w:r>
      <w:r w:rsidR="0011685B" w:rsidRPr="000C6539">
        <w:t xml:space="preserve"> uwag</w:t>
      </w:r>
      <w:r w:rsidR="0011685B">
        <w:t xml:space="preserve"> </w:t>
      </w:r>
      <w:r w:rsidR="0011685B" w:rsidRPr="000C6539">
        <w:t xml:space="preserve">(w tym </w:t>
      </w:r>
      <w:r w:rsidR="0011685B" w:rsidRPr="00CF6C27">
        <w:t>4</w:t>
      </w:r>
      <w:r w:rsidR="0011685B" w:rsidRPr="000C6539">
        <w:t xml:space="preserve"> </w:t>
      </w:r>
      <w:r w:rsidR="0011685B">
        <w:t>uwagi</w:t>
      </w:r>
      <w:r w:rsidR="00053C43">
        <w:t xml:space="preserve"> nie</w:t>
      </w:r>
      <w:r w:rsidR="006A4025">
        <w:t>spełn</w:t>
      </w:r>
      <w:r w:rsidR="0011685B">
        <w:t>iające</w:t>
      </w:r>
      <w:r w:rsidR="0011685B" w:rsidRPr="000C6539">
        <w:t xml:space="preserve"> wymagań formalnych), które szczegółowo </w:t>
      </w:r>
      <w:r w:rsidR="0011685B">
        <w:t>scharakteryzowane</w:t>
      </w:r>
      <w:r w:rsidR="0011685B" w:rsidRPr="000C6539">
        <w:t xml:space="preserve"> zostały </w:t>
      </w:r>
      <w:r w:rsidR="0011685B" w:rsidRPr="006310C0">
        <w:t>w „Raporcie z konsultacji społecznych”, udostępnionym</w:t>
      </w:r>
      <w:r w:rsidR="0011685B" w:rsidRPr="000C6539">
        <w:t xml:space="preserve"> na stronie internetowej</w:t>
      </w:r>
      <w:r w:rsidR="0011685B">
        <w:t xml:space="preserve"> </w:t>
      </w:r>
      <w:hyperlink r:id="rId106" w:history="1">
        <w:r w:rsidR="004C1498" w:rsidRPr="00F923F6">
          <w:rPr>
            <w:rStyle w:val="Hipercze"/>
            <w:szCs w:val="20"/>
          </w:rPr>
          <w:t>www.bytomodnowa.pl</w:t>
        </w:r>
      </w:hyperlink>
      <w:r w:rsidR="00040756" w:rsidRPr="00040756">
        <w:rPr>
          <w:szCs w:val="20"/>
        </w:rPr>
        <w:t xml:space="preserve">, na stronie podmiotowej gminy w Biuletynie Informacji Publicznej </w:t>
      </w:r>
      <w:hyperlink r:id="rId107" w:history="1">
        <w:r w:rsidR="00040756" w:rsidRPr="00040756">
          <w:rPr>
            <w:rStyle w:val="Hipercze"/>
            <w:szCs w:val="20"/>
          </w:rPr>
          <w:t>http://bip.um.bytom.pl/bip/</w:t>
        </w:r>
      </w:hyperlink>
      <w:r w:rsidR="00040756" w:rsidRPr="00040756">
        <w:rPr>
          <w:szCs w:val="20"/>
        </w:rPr>
        <w:t xml:space="preserve">, na platformie konsultacji </w:t>
      </w:r>
      <w:hyperlink r:id="rId108" w:history="1">
        <w:r w:rsidR="00040756" w:rsidRPr="00040756">
          <w:rPr>
            <w:rStyle w:val="Hipercze"/>
            <w:szCs w:val="20"/>
          </w:rPr>
          <w:t>http://www.konsultacje.bytom.pl/</w:t>
        </w:r>
      </w:hyperlink>
      <w:r w:rsidR="00040756" w:rsidRPr="00040756">
        <w:rPr>
          <w:szCs w:val="20"/>
        </w:rPr>
        <w:t>.</w:t>
      </w:r>
      <w:r w:rsidR="002D35DA">
        <w:rPr>
          <w:rFonts w:ascii="Times New Roman" w:hAnsi="Times New Roman"/>
          <w:sz w:val="22"/>
          <w:szCs w:val="20"/>
        </w:rPr>
        <w:t xml:space="preserve"> </w:t>
      </w:r>
      <w:r w:rsidR="0011685B">
        <w:t>Przedstawia on informacje dotyczące wymogów formalny</w:t>
      </w:r>
      <w:r w:rsidR="00283C25">
        <w:t>ch oraz szczegółowe uzasadnienia</w:t>
      </w:r>
      <w:r w:rsidR="0011685B">
        <w:t xml:space="preserve"> uwzględnienia bądź nie poszczególnych uwag.</w:t>
      </w:r>
      <w:r w:rsidR="0011685B" w:rsidRPr="000C6539">
        <w:t xml:space="preserve"> </w:t>
      </w:r>
    </w:p>
    <w:p w:rsidR="0084442A" w:rsidRPr="000C6539" w:rsidRDefault="0084442A" w:rsidP="0084442A">
      <w:pPr>
        <w:ind w:firstLine="708"/>
        <w:jc w:val="both"/>
      </w:pPr>
      <w:r w:rsidRPr="000C6539">
        <w:t xml:space="preserve">Spośród </w:t>
      </w:r>
      <w:r w:rsidR="00BB60E4">
        <w:t xml:space="preserve">przedstawionych </w:t>
      </w:r>
      <w:r w:rsidR="005A2605" w:rsidRPr="000C6539">
        <w:t>uwag</w:t>
      </w:r>
      <w:r w:rsidR="005A2605">
        <w:t xml:space="preserve"> nie uwzględniono</w:t>
      </w:r>
      <w:r w:rsidR="005A2605" w:rsidRPr="000C6539">
        <w:t xml:space="preserve"> </w:t>
      </w:r>
      <w:r w:rsidR="0088014E">
        <w:t>84</w:t>
      </w:r>
      <w:r w:rsidR="00BB60E4">
        <w:t xml:space="preserve">, natomiast </w:t>
      </w:r>
      <w:r w:rsidR="00E16E97">
        <w:t>73</w:t>
      </w:r>
      <w:r w:rsidRPr="000C6539">
        <w:t xml:space="preserve"> z</w:t>
      </w:r>
      <w:r w:rsidR="00E16E97">
        <w:t>ostały</w:t>
      </w:r>
      <w:r>
        <w:t xml:space="preserve"> pozytywnie rozpatrzon</w:t>
      </w:r>
      <w:r w:rsidR="00E16E97">
        <w:t>e</w:t>
      </w:r>
      <w:r w:rsidR="00BB60E4">
        <w:rPr>
          <w:rStyle w:val="Odwoanieprzypisudolnego"/>
        </w:rPr>
        <w:footnoteReference w:id="43"/>
      </w:r>
      <w:r w:rsidR="00E16E97">
        <w:t xml:space="preserve"> i uwzględnione</w:t>
      </w:r>
      <w:r w:rsidRPr="000C6539">
        <w:t xml:space="preserve"> w </w:t>
      </w:r>
      <w:r w:rsidR="00E16E97">
        <w:t>niniejszym</w:t>
      </w:r>
      <w:r>
        <w:t xml:space="preserve"> dokumencie</w:t>
      </w:r>
      <w:r w:rsidRPr="000C6539">
        <w:t>. W wyniku wprowadzonych zmian przeredagowano w</w:t>
      </w:r>
      <w:r>
        <w:t> </w:t>
      </w:r>
      <w:r w:rsidRPr="000C6539">
        <w:t xml:space="preserve">szczególności kwestie dotyczące diagnozy, wizji, celów i kierunków, projektów, wskaźników, partycypacji społecznej. </w:t>
      </w:r>
    </w:p>
    <w:p w:rsidR="0084442A" w:rsidRPr="00DE6503" w:rsidRDefault="0084442A" w:rsidP="003571C9">
      <w:pPr>
        <w:pStyle w:val="Tekstpodstawowy3"/>
        <w:spacing w:after="0"/>
        <w:jc w:val="both"/>
        <w:rPr>
          <w:color w:val="FF0000"/>
          <w:sz w:val="20"/>
          <w:szCs w:val="20"/>
        </w:rPr>
      </w:pPr>
    </w:p>
    <w:p w:rsidR="00320D1E" w:rsidRPr="00320D1E" w:rsidRDefault="00320D1E" w:rsidP="003571C9">
      <w:pPr>
        <w:pStyle w:val="Nagwek3"/>
        <w:numPr>
          <w:ilvl w:val="2"/>
          <w:numId w:val="189"/>
        </w:numPr>
        <w:ind w:left="709"/>
      </w:pPr>
      <w:bookmarkStart w:id="8473" w:name="_Toc474924969"/>
      <w:r w:rsidRPr="00320D1E">
        <w:t>Udział interesariuszy w procesie wdrażania GPR</w:t>
      </w:r>
      <w:bookmarkEnd w:id="8473"/>
      <w:r w:rsidRPr="00320D1E">
        <w:t xml:space="preserve"> </w:t>
      </w:r>
    </w:p>
    <w:p w:rsidR="005C0305" w:rsidRDefault="005C0305" w:rsidP="00320D1E">
      <w:pPr>
        <w:widowControl w:val="0"/>
        <w:autoSpaceDE w:val="0"/>
        <w:autoSpaceDN w:val="0"/>
        <w:jc w:val="both"/>
        <w:rPr>
          <w:rFonts w:cs="Arial"/>
          <w:color w:val="FF0000"/>
          <w:szCs w:val="20"/>
        </w:rPr>
      </w:pPr>
    </w:p>
    <w:p w:rsidR="00035DE0" w:rsidRPr="00BF1DF2" w:rsidRDefault="00035DE0" w:rsidP="00234C93">
      <w:pPr>
        <w:widowControl w:val="0"/>
        <w:shd w:val="clear" w:color="auto" w:fill="F2F2F2" w:themeFill="background1" w:themeFillShade="F2"/>
        <w:autoSpaceDE w:val="0"/>
        <w:autoSpaceDN w:val="0"/>
        <w:ind w:firstLine="708"/>
        <w:jc w:val="both"/>
        <w:rPr>
          <w:rFonts w:cs="Arial"/>
          <w:spacing w:val="-2"/>
          <w:szCs w:val="20"/>
        </w:rPr>
      </w:pPr>
      <w:r w:rsidRPr="00035DE0">
        <w:rPr>
          <w:rFonts w:cs="Arial"/>
          <w:szCs w:val="20"/>
        </w:rPr>
        <w:t xml:space="preserve">W ramach działań rewitalizacyjnych kontynuowana będzie </w:t>
      </w:r>
      <w:r w:rsidRPr="00035DE0">
        <w:rPr>
          <w:rFonts w:eastAsia="SegoeUI"/>
          <w:szCs w:val="20"/>
        </w:rPr>
        <w:t xml:space="preserve">partycypacja na etapie wdrażania </w:t>
      </w:r>
      <w:r w:rsidR="0017230A">
        <w:rPr>
          <w:rFonts w:eastAsia="SegoeUI"/>
          <w:szCs w:val="20"/>
        </w:rPr>
        <w:t>„</w:t>
      </w:r>
      <w:r w:rsidRPr="00035DE0">
        <w:rPr>
          <w:rFonts w:eastAsia="SegoeUI"/>
          <w:szCs w:val="20"/>
        </w:rPr>
        <w:t>Gminnego Programu Rewitalizacji. Bytom 2020+</w:t>
      </w:r>
      <w:r w:rsidR="0017230A">
        <w:rPr>
          <w:rFonts w:eastAsia="SegoeUI"/>
          <w:szCs w:val="20"/>
        </w:rPr>
        <w:t>”</w:t>
      </w:r>
      <w:r w:rsidRPr="00035DE0">
        <w:rPr>
          <w:rFonts w:eastAsia="SegoeUI"/>
          <w:szCs w:val="20"/>
        </w:rPr>
        <w:t xml:space="preserve">, czyli aktywny udział </w:t>
      </w:r>
      <w:r w:rsidRPr="00BF1DF2">
        <w:rPr>
          <w:rFonts w:eastAsia="SegoeUI"/>
          <w:szCs w:val="20"/>
        </w:rPr>
        <w:t>w wydarzeniach, które dotyczą mieszkańców i innych interesariuszy zgodnie z ustawą o rewitalizacji.</w:t>
      </w:r>
      <w:r w:rsidR="00DB50DD" w:rsidRPr="00BF1DF2">
        <w:rPr>
          <w:rFonts w:eastAsia="SegoeUI"/>
          <w:szCs w:val="20"/>
        </w:rPr>
        <w:t xml:space="preserve"> </w:t>
      </w:r>
      <w:r w:rsidRPr="00BF1DF2">
        <w:rPr>
          <w:rFonts w:eastAsia="SegoeUI"/>
          <w:szCs w:val="20"/>
        </w:rPr>
        <w:t xml:space="preserve"> </w:t>
      </w:r>
      <w:r w:rsidR="00DB50DD" w:rsidRPr="00BF1DF2">
        <w:rPr>
          <w:rFonts w:eastAsia="SegoeUI"/>
          <w:szCs w:val="20"/>
        </w:rPr>
        <w:t xml:space="preserve">W procesie wdrażania procesu rewitalizacji, na etapie realizacji projektów, monitorowania oraz aktualizacji programu zapewniony jest udział </w:t>
      </w:r>
      <w:r w:rsidR="00DB50DD" w:rsidRPr="00BF1DF2">
        <w:rPr>
          <w:rFonts w:cs="Arial"/>
          <w:szCs w:val="20"/>
        </w:rPr>
        <w:t xml:space="preserve">partnerów społeczno-gospodarczych oraz podmiotów reprezentujących społeczeństwo obywatelskie, działających na rzecz ochrony środowiska oraz odpowiedzialnych za promowanie włączenia społecznego, praw podstawowych, praw osób niepełnosprawnych, równości płci i niedyskryminacji. Zaangażowanie interesariuszy obejmuje przekazywanie informacji, prowadzenia badań ankietowych, publikowanie sprawozdań i raportów </w:t>
      </w:r>
      <w:r w:rsidR="00DB50DD" w:rsidRPr="00BF1DF2">
        <w:rPr>
          <w:rFonts w:cs="Arial"/>
          <w:szCs w:val="20"/>
        </w:rPr>
        <w:br/>
        <w:t xml:space="preserve">z realizacji programu, opiniowania właściwych dokumentów w ramach posiedzeń Zespołu ds. rewitalizacji i Komitetu Rewitalizacji Bytomia oraz zbierania propozycji przedsięwzięć w ramach procesu aktualizacji programu.   </w:t>
      </w:r>
    </w:p>
    <w:p w:rsidR="00035DE0" w:rsidRPr="00035DE0" w:rsidRDefault="00035DE0" w:rsidP="00035DE0">
      <w:pPr>
        <w:pStyle w:val="Tekstpodstawowy2"/>
        <w:autoSpaceDE/>
        <w:autoSpaceDN/>
        <w:adjustRightInd/>
        <w:snapToGrid w:val="0"/>
        <w:rPr>
          <w:iCs/>
          <w:szCs w:val="20"/>
        </w:rPr>
      </w:pPr>
      <w:r w:rsidRPr="00035DE0">
        <w:rPr>
          <w:iCs/>
          <w:szCs w:val="20"/>
        </w:rPr>
        <w:t>W ramach działań pilotażowych podstawową wiązką działań będzie wzmocnienie zdolności instytucjonalnej miasta Bytomia oraz lokalnych interesariuszy (w tym przede wszystkim mieszkańców oraz organizacji pozarządowych) do prowadzenia działań rewitalizacyjnych poprzez:</w:t>
      </w:r>
    </w:p>
    <w:p w:rsidR="00035DE0" w:rsidRPr="00035DE0" w:rsidRDefault="00035DE0" w:rsidP="00035DE0">
      <w:pPr>
        <w:numPr>
          <w:ilvl w:val="0"/>
          <w:numId w:val="198"/>
        </w:numPr>
        <w:snapToGrid w:val="0"/>
        <w:jc w:val="both"/>
        <w:rPr>
          <w:rFonts w:cs="Arial"/>
          <w:szCs w:val="20"/>
        </w:rPr>
      </w:pPr>
      <w:r w:rsidRPr="00035DE0">
        <w:rPr>
          <w:rFonts w:cs="Arial"/>
          <w:szCs w:val="20"/>
        </w:rPr>
        <w:t>opracowanie Planu działania w zakresie edukacji, komunikacji społecznej i promocji procesu rewitalizacji miasta Bytom będący wstępem do wzmacniania zdolności instytucjonalnej do wdrażania Gminnego Programu Rewitalizacji. Dokument będzie miał charakter instruktażowy, z przykładami narzędzi oraz metod pracy z interesariuszami przez okres wdrażania i oceny rewitalizacji. Będzie zawierał harmonogram działań informacyjno-promocyjnych skierowanych do mieszkańców (np.</w:t>
      </w:r>
      <w:r w:rsidR="00560186">
        <w:rPr>
          <w:rFonts w:cs="Arial"/>
          <w:szCs w:val="20"/>
        </w:rPr>
        <w:t> </w:t>
      </w:r>
      <w:r w:rsidRPr="00035DE0">
        <w:rPr>
          <w:rFonts w:cs="Arial"/>
          <w:szCs w:val="20"/>
        </w:rPr>
        <w:t xml:space="preserve">organizacja debat, warsztatów oraz spotkań informacyjnych dla mieszkańców obszaru rewitalizacji). </w:t>
      </w:r>
      <w:r w:rsidRPr="00035DE0">
        <w:rPr>
          <w:rFonts w:cs="Arial"/>
          <w:spacing w:val="-2"/>
          <w:szCs w:val="20"/>
        </w:rPr>
        <w:t>Będzie on zawierał zestaw narzędzi informacyjnych i promocyjnych, które będą mogły być wykorzystane w kontaktach z interesariuszami, elementy systemu identyfikacji wizualnej. Zostaną także w tym planie określone zakładane rezultaty dotyczące poziomu zaangażowania interesariuszy w działania związane z</w:t>
      </w:r>
      <w:r w:rsidR="004230D4">
        <w:rPr>
          <w:rFonts w:cs="Arial"/>
          <w:spacing w:val="-2"/>
          <w:szCs w:val="20"/>
        </w:rPr>
        <w:t> </w:t>
      </w:r>
      <w:r w:rsidRPr="00035DE0">
        <w:rPr>
          <w:rFonts w:cs="Arial"/>
          <w:spacing w:val="-2"/>
          <w:szCs w:val="20"/>
        </w:rPr>
        <w:t>realizacją GPR, poziomu ich wiedzy i wrażliwości na problemy występujące na obszarze rewitalizacji;</w:t>
      </w:r>
    </w:p>
    <w:p w:rsidR="00035DE0" w:rsidRPr="00035DE0" w:rsidRDefault="00035DE0" w:rsidP="00035DE0">
      <w:pPr>
        <w:numPr>
          <w:ilvl w:val="0"/>
          <w:numId w:val="198"/>
        </w:numPr>
        <w:snapToGrid w:val="0"/>
        <w:ind w:left="714" w:hanging="357"/>
        <w:jc w:val="both"/>
        <w:rPr>
          <w:rFonts w:cs="Arial"/>
          <w:szCs w:val="20"/>
        </w:rPr>
      </w:pPr>
      <w:r w:rsidRPr="00035DE0">
        <w:rPr>
          <w:rFonts w:cs="Arial"/>
          <w:szCs w:val="20"/>
        </w:rPr>
        <w:t xml:space="preserve">działania informacyjno-promocyjne skierowane do mieszkańców w ramach Programu (np. poprzez organizację warsztatów, debat, konferencji, spacerów studyjnych i badawczych po podobszarach rewitalizacji). Spacery </w:t>
      </w:r>
      <w:r w:rsidRPr="00035DE0">
        <w:rPr>
          <w:rFonts w:cs="Arial"/>
          <w:spacing w:val="-2"/>
          <w:szCs w:val="20"/>
        </w:rPr>
        <w:t>po podobszarach rewitalizacji realizowane będą w trakcie wdrażania GPR ze wsparciem projektu pilotażowego, a następnie zostaną utrzymane</w:t>
      </w:r>
      <w:r>
        <w:rPr>
          <w:rFonts w:cs="Arial"/>
          <w:spacing w:val="-2"/>
          <w:szCs w:val="20"/>
        </w:rPr>
        <w:t xml:space="preserve"> </w:t>
      </w:r>
      <w:r w:rsidRPr="00035DE0">
        <w:rPr>
          <w:rFonts w:cs="Arial"/>
          <w:spacing w:val="-2"/>
          <w:szCs w:val="20"/>
        </w:rPr>
        <w:t xml:space="preserve">w kolejnych latach realizacji GPR. </w:t>
      </w:r>
      <w:r w:rsidR="008262E2">
        <w:rPr>
          <w:rFonts w:cs="Arial"/>
          <w:spacing w:val="-2"/>
          <w:szCs w:val="20"/>
        </w:rPr>
        <w:t>P</w:t>
      </w:r>
      <w:r w:rsidRPr="00035DE0">
        <w:rPr>
          <w:rFonts w:cs="Arial"/>
          <w:spacing w:val="-2"/>
          <w:szCs w:val="20"/>
        </w:rPr>
        <w:t>rzewidziano po 15 spotkań rocznie na etapie wdrażania (po 2 spotkania w każdym z</w:t>
      </w:r>
      <w:r w:rsidR="004230D4">
        <w:rPr>
          <w:rFonts w:cs="Arial"/>
          <w:spacing w:val="-2"/>
          <w:szCs w:val="20"/>
        </w:rPr>
        <w:t> </w:t>
      </w:r>
      <w:r w:rsidRPr="00035DE0">
        <w:rPr>
          <w:rFonts w:cs="Arial"/>
          <w:spacing w:val="-2"/>
          <w:szCs w:val="20"/>
        </w:rPr>
        <w:t>podobszarów). Spotkania będą służyć zaznajomieniu mieszkańców z aktualnie prowadzonymi działaniami, ale też będą miały znaczenie dla monitorowania efektów prowadzonych działań, ponieważ będą służyły zbieraniu danych ankietowych o ich odbiorze i efektach obserwowanych przez mieszkańców;</w:t>
      </w:r>
    </w:p>
    <w:p w:rsidR="00035DE0" w:rsidRPr="00035DE0" w:rsidRDefault="00035DE0" w:rsidP="00035DE0">
      <w:pPr>
        <w:numPr>
          <w:ilvl w:val="0"/>
          <w:numId w:val="198"/>
        </w:numPr>
        <w:snapToGrid w:val="0"/>
        <w:jc w:val="both"/>
        <w:rPr>
          <w:rFonts w:cs="Arial"/>
          <w:szCs w:val="20"/>
        </w:rPr>
      </w:pPr>
      <w:r w:rsidRPr="00035DE0">
        <w:rPr>
          <w:rFonts w:cs="Arial"/>
          <w:szCs w:val="20"/>
        </w:rPr>
        <w:t>organizację stałego punktu informacyjnego w obszarze rewitalizacji, w ramach którego zapewniane będzie doradztwo (dyżury) oraz szkolenia dla interesariuszy, w tym:</w:t>
      </w:r>
    </w:p>
    <w:p w:rsidR="00035DE0" w:rsidRPr="00035DE0" w:rsidRDefault="00035DE0" w:rsidP="00266C1B">
      <w:pPr>
        <w:numPr>
          <w:ilvl w:val="1"/>
          <w:numId w:val="220"/>
        </w:numPr>
        <w:snapToGrid w:val="0"/>
        <w:ind w:left="1077" w:hanging="357"/>
        <w:jc w:val="both"/>
        <w:rPr>
          <w:rFonts w:cs="Arial"/>
          <w:szCs w:val="20"/>
        </w:rPr>
      </w:pPr>
      <w:r w:rsidRPr="00035DE0">
        <w:rPr>
          <w:rFonts w:cs="Arial"/>
          <w:szCs w:val="20"/>
        </w:rPr>
        <w:t>wsparcie edukacyjne i doradcze dla organizacji pozarządowych, wspierające zdolność instytucjonalną tych organizacji do zaangażowania się w realizację projektów społecznych,</w:t>
      </w:r>
    </w:p>
    <w:p w:rsidR="00035DE0" w:rsidRPr="00035DE0" w:rsidRDefault="00035DE0" w:rsidP="00266C1B">
      <w:pPr>
        <w:numPr>
          <w:ilvl w:val="1"/>
          <w:numId w:val="220"/>
        </w:numPr>
        <w:snapToGrid w:val="0"/>
        <w:ind w:left="1077" w:hanging="357"/>
        <w:jc w:val="both"/>
        <w:rPr>
          <w:rFonts w:cs="Arial"/>
          <w:szCs w:val="20"/>
        </w:rPr>
      </w:pPr>
      <w:r w:rsidRPr="00035DE0">
        <w:rPr>
          <w:rFonts w:cs="Arial"/>
          <w:szCs w:val="20"/>
        </w:rPr>
        <w:t xml:space="preserve">doradztwo prawne, ekonomiczne i techniczne dla interesariuszy w kwartale pilotażowym </w:t>
      </w:r>
      <w:r w:rsidRPr="00035DE0">
        <w:rPr>
          <w:rFonts w:cs="Arial"/>
          <w:szCs w:val="20"/>
        </w:rPr>
        <w:br/>
        <w:t>i obszarze rewitalizacji;</w:t>
      </w:r>
    </w:p>
    <w:p w:rsidR="00035DE0" w:rsidRPr="00035DE0" w:rsidRDefault="00035DE0" w:rsidP="00035DE0">
      <w:pPr>
        <w:numPr>
          <w:ilvl w:val="0"/>
          <w:numId w:val="198"/>
        </w:numPr>
        <w:snapToGrid w:val="0"/>
        <w:jc w:val="both"/>
        <w:rPr>
          <w:rFonts w:cs="Arial"/>
          <w:szCs w:val="20"/>
        </w:rPr>
      </w:pPr>
      <w:r w:rsidRPr="00035DE0">
        <w:rPr>
          <w:rFonts w:cs="Arial"/>
          <w:szCs w:val="20"/>
        </w:rPr>
        <w:t>kontynuację wydawania gazety poświęconej kompleksowej rewitalizacji miasta. Gazeta jest wydawana podobnie jak lokalny dziennik, zawiera wszystkie bieżące informacje o stanie rewitalizacji w mieście i</w:t>
      </w:r>
      <w:r w:rsidR="004230D4">
        <w:rPr>
          <w:rFonts w:cs="Arial"/>
          <w:szCs w:val="20"/>
        </w:rPr>
        <w:t> </w:t>
      </w:r>
      <w:r w:rsidRPr="00035DE0">
        <w:rPr>
          <w:rFonts w:cs="Arial"/>
          <w:szCs w:val="20"/>
        </w:rPr>
        <w:t>będzie wydawana co kwartał do końca projektu pilotażowego,</w:t>
      </w:r>
      <w:r>
        <w:rPr>
          <w:rFonts w:cs="Arial"/>
          <w:szCs w:val="20"/>
        </w:rPr>
        <w:t xml:space="preserve"> </w:t>
      </w:r>
      <w:r w:rsidRPr="00035DE0">
        <w:rPr>
          <w:rFonts w:cs="Arial"/>
          <w:szCs w:val="20"/>
        </w:rPr>
        <w:t>a następnie planowana jest kontynuacja ze środków miasta. Kwartalnik trafia bezpośrednio do skrzynek pocztowych mieszkańców Bytomia, a także dostępny jest w kilku punktach Urzędu Miejskiego. Jest to przystępny i</w:t>
      </w:r>
      <w:r w:rsidR="004230D4">
        <w:rPr>
          <w:rFonts w:cs="Arial"/>
          <w:szCs w:val="20"/>
        </w:rPr>
        <w:t> </w:t>
      </w:r>
      <w:r w:rsidRPr="00035DE0">
        <w:rPr>
          <w:rFonts w:cs="Arial"/>
          <w:szCs w:val="20"/>
        </w:rPr>
        <w:t>komunikatywny sposób dotarcia do wszystkich mieszkańców, również tych, którzy nie korzystają z</w:t>
      </w:r>
      <w:r w:rsidR="004230D4">
        <w:rPr>
          <w:rFonts w:cs="Arial"/>
          <w:szCs w:val="20"/>
        </w:rPr>
        <w:t> </w:t>
      </w:r>
      <w:r w:rsidRPr="00035DE0">
        <w:rPr>
          <w:rFonts w:cs="Arial"/>
          <w:szCs w:val="20"/>
        </w:rPr>
        <w:t>sieci Internet;</w:t>
      </w:r>
    </w:p>
    <w:p w:rsidR="00035DE0" w:rsidRPr="00035DE0" w:rsidRDefault="00035DE0" w:rsidP="00035DE0">
      <w:pPr>
        <w:numPr>
          <w:ilvl w:val="0"/>
          <w:numId w:val="198"/>
        </w:numPr>
        <w:snapToGrid w:val="0"/>
        <w:jc w:val="both"/>
        <w:rPr>
          <w:rFonts w:cs="Arial"/>
          <w:szCs w:val="20"/>
        </w:rPr>
      </w:pPr>
      <w:r w:rsidRPr="00035DE0">
        <w:rPr>
          <w:rFonts w:cs="Arial"/>
          <w:szCs w:val="20"/>
        </w:rPr>
        <w:t xml:space="preserve">prowadzenie strony internetowej </w:t>
      </w:r>
      <w:hyperlink r:id="rId109" w:history="1">
        <w:r w:rsidRPr="00035DE0">
          <w:rPr>
            <w:rStyle w:val="Hipercze"/>
            <w:rFonts w:cs="Arial"/>
            <w:szCs w:val="20"/>
          </w:rPr>
          <w:t>www.bytomodnowa.pl</w:t>
        </w:r>
      </w:hyperlink>
      <w:r w:rsidRPr="00035DE0">
        <w:rPr>
          <w:rFonts w:cs="Arial"/>
          <w:szCs w:val="20"/>
        </w:rPr>
        <w:t>, portalu spo</w:t>
      </w:r>
      <w:r w:rsidR="007F6938">
        <w:rPr>
          <w:rFonts w:cs="Arial"/>
          <w:szCs w:val="20"/>
        </w:rPr>
        <w:t xml:space="preserve">łecznościowego Facebook </w:t>
      </w:r>
      <w:r w:rsidR="007F6938" w:rsidRPr="00F923F6">
        <w:rPr>
          <w:szCs w:val="20"/>
        </w:rPr>
        <w:t>B</w:t>
      </w:r>
      <w:r w:rsidR="007F6938">
        <w:rPr>
          <w:szCs w:val="20"/>
        </w:rPr>
        <w:t>YTOM odNOWA</w:t>
      </w:r>
      <w:r w:rsidRPr="00035DE0">
        <w:rPr>
          <w:rFonts w:cs="Arial"/>
          <w:szCs w:val="20"/>
        </w:rPr>
        <w:t xml:space="preserve"> oraz merytoryczne prowadzenie bloga podsumowującego działania doradcze;</w:t>
      </w:r>
    </w:p>
    <w:p w:rsidR="00035DE0" w:rsidRPr="00035DE0" w:rsidRDefault="00035DE0" w:rsidP="00035DE0">
      <w:pPr>
        <w:numPr>
          <w:ilvl w:val="0"/>
          <w:numId w:val="198"/>
        </w:numPr>
        <w:snapToGrid w:val="0"/>
        <w:jc w:val="both"/>
        <w:rPr>
          <w:rFonts w:cs="Arial"/>
          <w:szCs w:val="20"/>
        </w:rPr>
      </w:pPr>
      <w:r w:rsidRPr="00035DE0">
        <w:rPr>
          <w:szCs w:val="20"/>
        </w:rPr>
        <w:t>zaangażowanie 6 osób, które odpowiedzialne będą za działania partycypacyjne w procesie wdrażania GPR w podobszarach. Osoby te koordynować będą działalność warsztatów, spacerów i innych działań partycypacyjnych zleconych przez Urząd w podobszarach. Wszystkie wskazane osoby będą podlegać koordynatorowi projektu pilotażowego rewitalizacji;</w:t>
      </w:r>
    </w:p>
    <w:p w:rsidR="00035DE0" w:rsidRPr="00035DE0" w:rsidRDefault="00035DE0" w:rsidP="00035DE0">
      <w:pPr>
        <w:numPr>
          <w:ilvl w:val="0"/>
          <w:numId w:val="198"/>
        </w:numPr>
        <w:snapToGrid w:val="0"/>
        <w:jc w:val="both"/>
        <w:rPr>
          <w:iCs/>
          <w:szCs w:val="20"/>
        </w:rPr>
      </w:pPr>
      <w:r w:rsidRPr="00035DE0">
        <w:rPr>
          <w:rFonts w:cs="Arial"/>
          <w:szCs w:val="20"/>
        </w:rPr>
        <w:t>wiązkę dotyczącą „Bytomskiego Modelu Dostępnego Mieszkalnictwa”, która obejmuje m.in.:</w:t>
      </w:r>
      <w:r w:rsidRPr="00035DE0">
        <w:rPr>
          <w:szCs w:val="20"/>
        </w:rPr>
        <w:t xml:space="preserve"> </w:t>
      </w:r>
    </w:p>
    <w:p w:rsidR="00035DE0" w:rsidRPr="00035DE0" w:rsidRDefault="00035DE0" w:rsidP="00266C1B">
      <w:pPr>
        <w:numPr>
          <w:ilvl w:val="1"/>
          <w:numId w:val="221"/>
        </w:numPr>
        <w:snapToGrid w:val="0"/>
        <w:ind w:left="1077" w:hanging="357"/>
        <w:jc w:val="both"/>
        <w:rPr>
          <w:iCs/>
          <w:szCs w:val="20"/>
        </w:rPr>
      </w:pPr>
      <w:r w:rsidRPr="00035DE0">
        <w:rPr>
          <w:szCs w:val="20"/>
        </w:rPr>
        <w:t xml:space="preserve">inwentaryzację stanu technicznego budynków mieszkalnych w zasobie gminy </w:t>
      </w:r>
      <w:r w:rsidRPr="00035DE0">
        <w:rPr>
          <w:szCs w:val="20"/>
        </w:rPr>
        <w:br/>
        <w:t xml:space="preserve">w podobszarach rewitalizacji (także w budynkach wspólnot mieszkaniowych) wraz </w:t>
      </w:r>
      <w:r w:rsidRPr="00035DE0">
        <w:rPr>
          <w:szCs w:val="20"/>
        </w:rPr>
        <w:br/>
        <w:t xml:space="preserve">z rozpoznaniem struktury społecznej mieszkań w zasobie gminy oraz barier architektoniczno-urbanistycznych występujących w tych zasobach m.in. z punktu widzenia osób starszych, niepełnosprawnych oraz matek z dziećmi. </w:t>
      </w:r>
      <w:r w:rsidRPr="00035DE0">
        <w:rPr>
          <w:iCs/>
          <w:szCs w:val="20"/>
        </w:rPr>
        <w:t>Efektem działania ma być dokładne rozpoznanie stanu technicznego i warunków życia mieszkańców zasobów komunalnych oraz stanu technicznego pustostanów w celu przygotowania działań remontowych;</w:t>
      </w:r>
    </w:p>
    <w:p w:rsidR="00035DE0" w:rsidRPr="00035DE0" w:rsidRDefault="00035DE0" w:rsidP="00266C1B">
      <w:pPr>
        <w:numPr>
          <w:ilvl w:val="1"/>
          <w:numId w:val="221"/>
        </w:numPr>
        <w:snapToGrid w:val="0"/>
        <w:ind w:left="1077" w:hanging="357"/>
        <w:jc w:val="both"/>
        <w:rPr>
          <w:iCs/>
          <w:szCs w:val="20"/>
        </w:rPr>
      </w:pPr>
      <w:r w:rsidRPr="00035DE0">
        <w:rPr>
          <w:rFonts w:cs="Arial"/>
          <w:szCs w:val="20"/>
        </w:rPr>
        <w:t xml:space="preserve">badanie diagnostyczne postaw mieszkaniowych potencjalnych klientów mieszkań </w:t>
      </w:r>
      <w:r w:rsidRPr="00035DE0">
        <w:rPr>
          <w:rFonts w:cs="Arial"/>
          <w:szCs w:val="20"/>
        </w:rPr>
        <w:br/>
        <w:t xml:space="preserve">w zasobie mieszkaniowym gminy Bytom, służące rozpoznaniu potrzeb obecnych </w:t>
      </w:r>
      <w:r w:rsidRPr="00035DE0">
        <w:rPr>
          <w:rFonts w:cs="Arial"/>
          <w:szCs w:val="20"/>
        </w:rPr>
        <w:br/>
        <w:t>i potencjalnych mieszkańców obszaru rewitalizacji dotyczących warunków mieszkaniowych, dostępu do usług publicznych i kryteriów jakości życia związanych z warunkami mieszkaniowymi i</w:t>
      </w:r>
      <w:r w:rsidR="00266C1B">
        <w:rPr>
          <w:rFonts w:cs="Arial"/>
          <w:szCs w:val="20"/>
        </w:rPr>
        <w:t> </w:t>
      </w:r>
      <w:r w:rsidRPr="00035DE0">
        <w:rPr>
          <w:rFonts w:cs="Arial"/>
          <w:szCs w:val="20"/>
        </w:rPr>
        <w:t>otoczeniem mieszkania;</w:t>
      </w:r>
    </w:p>
    <w:p w:rsidR="00035DE0" w:rsidRPr="00035DE0" w:rsidRDefault="00035DE0" w:rsidP="00266C1B">
      <w:pPr>
        <w:numPr>
          <w:ilvl w:val="1"/>
          <w:numId w:val="221"/>
        </w:numPr>
        <w:snapToGrid w:val="0"/>
        <w:ind w:left="1077" w:hanging="357"/>
        <w:jc w:val="both"/>
        <w:rPr>
          <w:iCs/>
          <w:szCs w:val="20"/>
        </w:rPr>
      </w:pPr>
      <w:r w:rsidRPr="00035DE0">
        <w:rPr>
          <w:rFonts w:cs="Arial"/>
          <w:szCs w:val="20"/>
        </w:rPr>
        <w:t>doradztwo w wyborze modeli inwestycji mieszkaniowych dostosowanych do potrzeb mieszkańców obszaru rewitalizacji oraz w poszukiwaniu inwestorów zainteresowanych testowaniem rozwiązań technologicznych (remontowych i energooszczędnych) oraz organizacyjno-prawnych w</w:t>
      </w:r>
      <w:r w:rsidR="004230D4">
        <w:rPr>
          <w:rFonts w:cs="Arial"/>
          <w:szCs w:val="20"/>
        </w:rPr>
        <w:t> </w:t>
      </w:r>
      <w:r w:rsidRPr="00035DE0">
        <w:rPr>
          <w:rFonts w:cs="Arial"/>
          <w:szCs w:val="20"/>
        </w:rPr>
        <w:t xml:space="preserve">pustostanach w obszarze pilotażowym wraz z fundraisingiem dla podmiotów zainteresowanych testowaniem wybranych modeli w kwartale pilotażowym. Doradztwo zakończone będzie publikacją pt. </w:t>
      </w:r>
      <w:r w:rsidRPr="00035DE0">
        <w:rPr>
          <w:rFonts w:cs="Arial"/>
          <w:i/>
          <w:szCs w:val="20"/>
        </w:rPr>
        <w:t>Długoterminowe możliwości inwestycyjne w</w:t>
      </w:r>
      <w:r w:rsidR="00266C1B">
        <w:rPr>
          <w:rFonts w:cs="Arial"/>
          <w:i/>
          <w:szCs w:val="20"/>
        </w:rPr>
        <w:t> </w:t>
      </w:r>
      <w:r w:rsidRPr="00035DE0">
        <w:rPr>
          <w:rFonts w:cs="Arial"/>
          <w:i/>
          <w:szCs w:val="20"/>
        </w:rPr>
        <w:t>mieszkalnictwie w Bytomiu</w:t>
      </w:r>
      <w:r w:rsidRPr="00035DE0">
        <w:rPr>
          <w:rFonts w:cs="Arial"/>
          <w:szCs w:val="20"/>
        </w:rPr>
        <w:t>, w której zostaną zebrane założenia bytomskiego modelu, przetestowane działania i ścieżki dojścia do ich wypracowania oraz informacje, w jaki sposób zastosować te rozwiązania w innych warunkach niż bytomskie;</w:t>
      </w:r>
    </w:p>
    <w:p w:rsidR="00035DE0" w:rsidRPr="00035DE0" w:rsidRDefault="00035DE0" w:rsidP="00266C1B">
      <w:pPr>
        <w:numPr>
          <w:ilvl w:val="1"/>
          <w:numId w:val="221"/>
        </w:numPr>
        <w:snapToGrid w:val="0"/>
        <w:ind w:left="1077" w:hanging="357"/>
        <w:jc w:val="both"/>
        <w:rPr>
          <w:iCs/>
          <w:szCs w:val="20"/>
        </w:rPr>
      </w:pPr>
      <w:r w:rsidRPr="00035DE0">
        <w:rPr>
          <w:rFonts w:cs="Arial"/>
          <w:szCs w:val="20"/>
        </w:rPr>
        <w:t>organizację Forum Inwestycji Mieszkaniowych, w czasie którego zostaną przedstawione wyniki badania diagnostycznego oraz – na podstawie inwentaryzacji – wybrane pustostany w kwartale pilotażowym przeznaczone do testowania rozwiązań technologicznych (remontowych i</w:t>
      </w:r>
      <w:r w:rsidR="004230D4">
        <w:rPr>
          <w:rFonts w:cs="Arial"/>
          <w:szCs w:val="20"/>
        </w:rPr>
        <w:t> </w:t>
      </w:r>
      <w:r w:rsidRPr="00035DE0">
        <w:rPr>
          <w:rFonts w:cs="Arial"/>
          <w:szCs w:val="20"/>
        </w:rPr>
        <w:t>energooszczędnych) oraz organizacyjno-prawnych. Forum ma służyć prezentacji planowanego działania i poszukiwaniu zainteresowanych inwestorów w kraju i za granicą;</w:t>
      </w:r>
    </w:p>
    <w:p w:rsidR="00035DE0" w:rsidRPr="00035DE0" w:rsidRDefault="00035DE0" w:rsidP="00266C1B">
      <w:pPr>
        <w:numPr>
          <w:ilvl w:val="1"/>
          <w:numId w:val="221"/>
        </w:numPr>
        <w:snapToGrid w:val="0"/>
        <w:ind w:left="1077" w:hanging="357"/>
        <w:jc w:val="both"/>
        <w:rPr>
          <w:iCs/>
          <w:szCs w:val="20"/>
        </w:rPr>
      </w:pPr>
      <w:r w:rsidRPr="00035DE0">
        <w:rPr>
          <w:rFonts w:cs="Arial"/>
          <w:szCs w:val="20"/>
        </w:rPr>
        <w:t>działania edukacyjne:</w:t>
      </w:r>
      <w:r w:rsidRPr="00035DE0">
        <w:rPr>
          <w:szCs w:val="20"/>
        </w:rPr>
        <w:t xml:space="preserve"> </w:t>
      </w:r>
      <w:r w:rsidRPr="00035DE0">
        <w:rPr>
          <w:rFonts w:cs="Arial"/>
          <w:szCs w:val="20"/>
        </w:rPr>
        <w:t>warsztaty i dyskusje w trakcie Forum Inwestycji Mieszkaniowych;</w:t>
      </w:r>
    </w:p>
    <w:p w:rsidR="00035DE0" w:rsidRPr="00035DE0" w:rsidRDefault="00035DE0" w:rsidP="00266C1B">
      <w:pPr>
        <w:numPr>
          <w:ilvl w:val="1"/>
          <w:numId w:val="221"/>
        </w:numPr>
        <w:snapToGrid w:val="0"/>
        <w:ind w:left="1077" w:hanging="357"/>
        <w:jc w:val="both"/>
        <w:rPr>
          <w:iCs/>
          <w:szCs w:val="20"/>
        </w:rPr>
      </w:pPr>
      <w:r w:rsidRPr="00035DE0">
        <w:rPr>
          <w:rFonts w:cs="Arial"/>
          <w:szCs w:val="20"/>
        </w:rPr>
        <w:t xml:space="preserve">opracowanie dokumentu </w:t>
      </w:r>
      <w:r w:rsidRPr="00035DE0">
        <w:rPr>
          <w:rFonts w:cs="Arial"/>
          <w:i/>
          <w:szCs w:val="20"/>
        </w:rPr>
        <w:t>Polityka mieszkaniowa miasta Bytomia 2030 ze szczególnym uwzględnieniem działań w podobszarach rewitalizacji.</w:t>
      </w:r>
    </w:p>
    <w:p w:rsidR="00035DE0" w:rsidRPr="00035DE0" w:rsidRDefault="00035DE0" w:rsidP="00035DE0">
      <w:pPr>
        <w:jc w:val="both"/>
        <w:rPr>
          <w:iCs/>
          <w:spacing w:val="4"/>
          <w:szCs w:val="20"/>
        </w:rPr>
      </w:pPr>
    </w:p>
    <w:p w:rsidR="00F36D1E" w:rsidRPr="00581E59" w:rsidRDefault="00DB50DD" w:rsidP="00581E59">
      <w:pPr>
        <w:shd w:val="clear" w:color="auto" w:fill="F2F2F2" w:themeFill="background1" w:themeFillShade="F2"/>
        <w:ind w:firstLine="708"/>
        <w:jc w:val="both"/>
        <w:rPr>
          <w:b/>
          <w:iCs/>
          <w:spacing w:val="4"/>
          <w:szCs w:val="20"/>
        </w:rPr>
      </w:pPr>
      <w:r w:rsidRPr="00BF1DF2">
        <w:rPr>
          <w:iCs/>
          <w:spacing w:val="4"/>
          <w:szCs w:val="20"/>
        </w:rPr>
        <w:t xml:space="preserve">Istotne znaczenie dla zapewnienia udział różnorodnych interesariuszy, w tym </w:t>
      </w:r>
      <w:r w:rsidRPr="00BF1DF2">
        <w:rPr>
          <w:rFonts w:cs="Arial"/>
          <w:szCs w:val="20"/>
        </w:rPr>
        <w:t>partnerów społeczno-gospodarczym oraz podmiotów reprezentujących społeczeństwo obywatelskie,</w:t>
      </w:r>
      <w:r w:rsidRPr="00BF1DF2">
        <w:rPr>
          <w:iCs/>
          <w:spacing w:val="4"/>
          <w:szCs w:val="20"/>
        </w:rPr>
        <w:t xml:space="preserve"> w procesie wdrażania „Gminnego Programu Rewitalizacji. Bytom 2020+” ma </w:t>
      </w:r>
      <w:r w:rsidRPr="00BF1DF2">
        <w:rPr>
          <w:b/>
          <w:iCs/>
          <w:spacing w:val="4"/>
          <w:szCs w:val="20"/>
        </w:rPr>
        <w:t>Komitet Rewitalizacji.</w:t>
      </w:r>
    </w:p>
    <w:p w:rsidR="0059651E" w:rsidRPr="00041FB2" w:rsidRDefault="00035DE0" w:rsidP="009C1D86">
      <w:pPr>
        <w:shd w:val="clear" w:color="auto" w:fill="F2F2F2" w:themeFill="background1" w:themeFillShade="F2"/>
        <w:ind w:firstLine="708"/>
        <w:jc w:val="both"/>
        <w:rPr>
          <w:strike/>
          <w:szCs w:val="20"/>
        </w:rPr>
      </w:pPr>
      <w:r w:rsidRPr="00035DE0">
        <w:rPr>
          <w:iCs/>
          <w:spacing w:val="4"/>
          <w:szCs w:val="20"/>
        </w:rPr>
        <w:t xml:space="preserve">Ponadto zgodnie z art. 7 ust. 4 ustawy o rewitalizacji, </w:t>
      </w:r>
      <w:r w:rsidR="00120CE3">
        <w:rPr>
          <w:szCs w:val="20"/>
        </w:rPr>
        <w:t>w</w:t>
      </w:r>
      <w:r w:rsidRPr="00035DE0">
        <w:rPr>
          <w:szCs w:val="20"/>
        </w:rPr>
        <w:t xml:space="preserve">ójt, burmistrz albo prezydent miasta niezwłocznie po podjęciu przez radę gminy uchwały o Gminnym Programie Rewitalizacji, powoła, </w:t>
      </w:r>
      <w:r w:rsidRPr="00035DE0">
        <w:rPr>
          <w:szCs w:val="20"/>
        </w:rPr>
        <w:br/>
        <w:t xml:space="preserve">w drodze zarządzenia Komitet Rewitalizacji. Zgodnie z art. 7 ust. 1 ustawy o rewitalizacji Komitet Rewitalizacji (dalej: Komitet) stanowi forum współpracy i dialogu interesariuszy z organami gminy </w:t>
      </w:r>
      <w:r w:rsidRPr="00035DE0">
        <w:rPr>
          <w:szCs w:val="20"/>
        </w:rPr>
        <w:br/>
        <w:t>w sprawach dotyczących przygotowania, prowadzenia i oceny rewitalizacji oraz pełni funkcję opiniodawczo-doradczą prezydenta miasta. W trakcie tworzenia zasad wyznaczania składu oraz działania Komitetu należy mieć na uwadze te funkcje oraz specyfikę obszaru rewitalizacji. W związku z tym, aby zapewnić jak najszerszą obecność interesariuszy procesu rewitalizacji w Komitecie</w:t>
      </w:r>
      <w:r w:rsidR="00041FB2">
        <w:rPr>
          <w:szCs w:val="20"/>
        </w:rPr>
        <w:t>, Rada Miejska w Bytomiu określa</w:t>
      </w:r>
      <w:r w:rsidRPr="00035DE0">
        <w:rPr>
          <w:szCs w:val="20"/>
        </w:rPr>
        <w:t xml:space="preserve"> szczegółowe </w:t>
      </w:r>
      <w:r w:rsidR="00041FB2">
        <w:rPr>
          <w:szCs w:val="20"/>
        </w:rPr>
        <w:t xml:space="preserve">zasady wyboru członków Komitetu w drodze uchwały. </w:t>
      </w:r>
      <w:r w:rsidRPr="00035DE0">
        <w:rPr>
          <w:szCs w:val="20"/>
        </w:rPr>
        <w:t xml:space="preserve"> </w:t>
      </w:r>
    </w:p>
    <w:p w:rsidR="0069036A" w:rsidRDefault="0069036A" w:rsidP="00035DE0">
      <w:pPr>
        <w:pStyle w:val="NormalnyWeb"/>
        <w:spacing w:before="0" w:beforeAutospacing="0" w:after="0" w:afterAutospacing="0"/>
        <w:jc w:val="both"/>
        <w:rPr>
          <w:b/>
          <w:bCs/>
          <w:szCs w:val="20"/>
        </w:rPr>
      </w:pPr>
    </w:p>
    <w:p w:rsidR="00035DE0" w:rsidRPr="00035DE0" w:rsidRDefault="00035DE0" w:rsidP="00035DE0">
      <w:pPr>
        <w:pStyle w:val="NormalnyWeb"/>
        <w:spacing w:before="0" w:beforeAutospacing="0" w:after="0" w:afterAutospacing="0"/>
        <w:jc w:val="both"/>
        <w:rPr>
          <w:szCs w:val="20"/>
        </w:rPr>
      </w:pPr>
      <w:r w:rsidRPr="00035DE0">
        <w:rPr>
          <w:b/>
          <w:bCs/>
          <w:szCs w:val="20"/>
        </w:rPr>
        <w:t>Do zadań Komitetu Rewitalizacji będzie należało przede wszystkim:</w:t>
      </w:r>
    </w:p>
    <w:p w:rsidR="00035DE0" w:rsidRPr="00035DE0" w:rsidRDefault="00035DE0" w:rsidP="00035DE0">
      <w:pPr>
        <w:pStyle w:val="NormalnyWeb"/>
        <w:numPr>
          <w:ilvl w:val="0"/>
          <w:numId w:val="219"/>
        </w:numPr>
        <w:spacing w:before="0" w:beforeAutospacing="0" w:after="0" w:afterAutospacing="0"/>
        <w:jc w:val="both"/>
        <w:rPr>
          <w:szCs w:val="20"/>
        </w:rPr>
      </w:pPr>
      <w:r w:rsidRPr="00035DE0">
        <w:rPr>
          <w:szCs w:val="20"/>
        </w:rPr>
        <w:t>opiniowanie wszelkich zmian w GPR,</w:t>
      </w:r>
    </w:p>
    <w:p w:rsidR="00035DE0" w:rsidRPr="00035DE0" w:rsidRDefault="00035DE0" w:rsidP="00035DE0">
      <w:pPr>
        <w:pStyle w:val="NormalnyWeb"/>
        <w:numPr>
          <w:ilvl w:val="0"/>
          <w:numId w:val="219"/>
        </w:numPr>
        <w:spacing w:before="0" w:beforeAutospacing="0" w:after="0" w:afterAutospacing="0"/>
        <w:jc w:val="both"/>
        <w:rPr>
          <w:szCs w:val="20"/>
        </w:rPr>
      </w:pPr>
      <w:r w:rsidRPr="00035DE0">
        <w:rPr>
          <w:szCs w:val="20"/>
        </w:rPr>
        <w:t>opiniowanie aktualizacji GPR,</w:t>
      </w:r>
    </w:p>
    <w:p w:rsidR="00035DE0" w:rsidRPr="00035DE0" w:rsidRDefault="00035DE0" w:rsidP="00035DE0">
      <w:pPr>
        <w:pStyle w:val="NormalnyWeb"/>
        <w:numPr>
          <w:ilvl w:val="0"/>
          <w:numId w:val="219"/>
        </w:numPr>
        <w:spacing w:before="0" w:beforeAutospacing="0" w:after="0" w:afterAutospacing="0"/>
        <w:jc w:val="both"/>
        <w:rPr>
          <w:szCs w:val="20"/>
        </w:rPr>
      </w:pPr>
      <w:r w:rsidRPr="00035DE0">
        <w:rPr>
          <w:szCs w:val="20"/>
        </w:rPr>
        <w:t xml:space="preserve">opiniowanie projektów uchwał i aktów prawa miejscowego dotyczących Specjalnej Strefy Rewitalizacji, </w:t>
      </w:r>
    </w:p>
    <w:p w:rsidR="00035DE0" w:rsidRPr="00035DE0" w:rsidRDefault="00035DE0" w:rsidP="00035DE0">
      <w:pPr>
        <w:pStyle w:val="NormalnyWeb"/>
        <w:numPr>
          <w:ilvl w:val="0"/>
          <w:numId w:val="219"/>
        </w:numPr>
        <w:spacing w:before="0" w:beforeAutospacing="0" w:after="0" w:afterAutospacing="0"/>
        <w:jc w:val="both"/>
        <w:rPr>
          <w:szCs w:val="20"/>
        </w:rPr>
      </w:pPr>
      <w:r w:rsidRPr="00035DE0">
        <w:rPr>
          <w:szCs w:val="20"/>
        </w:rPr>
        <w:t>wyrażanie opinii w sprawach dotyczących funkcjonowania partycypacji w realizacji GPR,</w:t>
      </w:r>
    </w:p>
    <w:p w:rsidR="00035DE0" w:rsidRPr="00035DE0" w:rsidRDefault="00035DE0" w:rsidP="00035DE0">
      <w:pPr>
        <w:pStyle w:val="NormalnyWeb"/>
        <w:numPr>
          <w:ilvl w:val="0"/>
          <w:numId w:val="219"/>
        </w:numPr>
        <w:spacing w:before="0" w:beforeAutospacing="0" w:after="0" w:afterAutospacing="0"/>
        <w:jc w:val="both"/>
        <w:rPr>
          <w:szCs w:val="20"/>
        </w:rPr>
      </w:pPr>
      <w:r w:rsidRPr="00035DE0">
        <w:rPr>
          <w:szCs w:val="20"/>
        </w:rPr>
        <w:t>opiniowanie raportów rocznych z realizacji GPR oraz raportu końcowego.</w:t>
      </w:r>
    </w:p>
    <w:p w:rsidR="001C5155" w:rsidRDefault="001C5155" w:rsidP="00035DE0">
      <w:pPr>
        <w:pStyle w:val="NormalnyWeb"/>
        <w:spacing w:before="0" w:beforeAutospacing="0" w:after="0" w:afterAutospacing="0"/>
        <w:jc w:val="both"/>
        <w:rPr>
          <w:szCs w:val="20"/>
        </w:rPr>
      </w:pPr>
    </w:p>
    <w:p w:rsidR="00035DE0" w:rsidRPr="00035DE0" w:rsidRDefault="00035DE0" w:rsidP="00035DE0">
      <w:pPr>
        <w:pStyle w:val="NormalnyWeb"/>
        <w:spacing w:before="0" w:beforeAutospacing="0" w:after="0" w:afterAutospacing="0"/>
        <w:jc w:val="both"/>
        <w:rPr>
          <w:szCs w:val="20"/>
        </w:rPr>
      </w:pPr>
      <w:r w:rsidRPr="00035DE0">
        <w:rPr>
          <w:szCs w:val="20"/>
        </w:rPr>
        <w:t>Obsługę organizacyjną Komitetu zapewni Prezydent Miasta Bytomia.</w:t>
      </w:r>
    </w:p>
    <w:p w:rsidR="00035DE0" w:rsidRPr="0068650D" w:rsidRDefault="00035DE0" w:rsidP="0068650D">
      <w:pPr>
        <w:pStyle w:val="NormalnyWeb"/>
        <w:spacing w:before="0" w:beforeAutospacing="0" w:after="0" w:afterAutospacing="0"/>
        <w:jc w:val="both"/>
        <w:rPr>
          <w:szCs w:val="20"/>
        </w:rPr>
      </w:pPr>
      <w:r w:rsidRPr="00035DE0">
        <w:rPr>
          <w:szCs w:val="20"/>
        </w:rPr>
        <w:t>Komitet Rewitalizacji będzie przygotowywać swoje opinie i stanowiska w drodze głosowania, gdzie każdy z</w:t>
      </w:r>
      <w:r w:rsidR="00F03038">
        <w:rPr>
          <w:szCs w:val="20"/>
        </w:rPr>
        <w:t> </w:t>
      </w:r>
      <w:r w:rsidRPr="00035DE0">
        <w:rPr>
          <w:szCs w:val="20"/>
        </w:rPr>
        <w:t xml:space="preserve">członków będzie dysponować jednym głosem. Zgodnie z art. 7 ust. 8 ustawy o rewitalizacji </w:t>
      </w:r>
      <w:r w:rsidRPr="00035DE0">
        <w:rPr>
          <w:szCs w:val="20"/>
        </w:rPr>
        <w:br/>
        <w:t>w przypadku, gdy Komitet zajmuje stanowisko w drodze głosowania, przedstawiciele gminy, gminnych jednostek organizacyjnych, w tym gminnych osób prawnych, nie biorą udziału</w:t>
      </w:r>
      <w:r w:rsidR="00F03038">
        <w:rPr>
          <w:szCs w:val="20"/>
        </w:rPr>
        <w:t xml:space="preserve"> </w:t>
      </w:r>
      <w:r w:rsidRPr="00035DE0">
        <w:rPr>
          <w:szCs w:val="20"/>
        </w:rPr>
        <w:t>w głosowaniu, jeżeli dotyczy ono projektów dokumentów, których opracowanie jest zadaniem Prezydenta Miasta Bytomia. Komitet będzie mógł zapraszać na swoje posiedzenia osoby nie będące jego członkami. Komitet będzie mógł powoływać także grupy robocze zajmujące się zarówno konkretnymi podobszarami rewitalizacji, jak i określonymi zagadnieniami tematycznymi. Sposób powoływania grup roboczych i ich liczebność zostanie określony uchwałą Komitetu. Komitet uchwali najdalej w ciągu miesiąca od powołania regulamin działania Komitetu. Projekt regulaminu jak i sam regulamin zostaną podane do wiadomości publicznej.</w:t>
      </w:r>
    </w:p>
    <w:p w:rsidR="00035DE0" w:rsidRPr="0068650D" w:rsidRDefault="00035DE0" w:rsidP="00035DE0">
      <w:pPr>
        <w:autoSpaceDE w:val="0"/>
        <w:autoSpaceDN w:val="0"/>
        <w:adjustRightInd w:val="0"/>
        <w:jc w:val="both"/>
        <w:rPr>
          <w:rFonts w:cs="Arial"/>
          <w:iCs/>
          <w:spacing w:val="4"/>
          <w:szCs w:val="20"/>
        </w:rPr>
      </w:pPr>
      <w:r w:rsidRPr="00035DE0">
        <w:rPr>
          <w:rFonts w:cs="Arial"/>
          <w:iCs/>
          <w:spacing w:val="4"/>
          <w:szCs w:val="20"/>
        </w:rPr>
        <w:t xml:space="preserve">Oprócz tego, w działania związane ze wdrażaniem GPR zaangażowane zostaną także środowiska współpracujące z Prezydentem Miasta m.in. Bytomska Rada Seniorów, Bytomska Rada Biznesu, Bytomska Rada Działalności Pożytku Publicznego oraz Rada Sportu. </w:t>
      </w:r>
    </w:p>
    <w:p w:rsidR="00DB50DD" w:rsidRPr="00BF1DF2" w:rsidRDefault="00DB50DD" w:rsidP="009C1D86">
      <w:pPr>
        <w:pStyle w:val="Default"/>
        <w:shd w:val="clear" w:color="auto" w:fill="F2F2F2" w:themeFill="background1" w:themeFillShade="F2"/>
        <w:jc w:val="both"/>
        <w:rPr>
          <w:rFonts w:asciiTheme="minorHAnsi" w:hAnsiTheme="minorHAnsi"/>
          <w:color w:val="auto"/>
          <w:sz w:val="20"/>
          <w:szCs w:val="20"/>
        </w:rPr>
      </w:pPr>
      <w:r w:rsidRPr="00BF1DF2">
        <w:rPr>
          <w:rFonts w:asciiTheme="minorHAnsi" w:hAnsiTheme="minorHAnsi"/>
          <w:color w:val="auto"/>
          <w:sz w:val="20"/>
          <w:szCs w:val="20"/>
        </w:rPr>
        <w:t>Tym samym Gminny Program Rewitalizacji dla Bytomia jest wdrażany przez samorząd lokalny w ścisłej współpracy z partnerami – przedstawicielami środowiska gospodarczego, organizacji społecznych oraz instytucji publicznych działających na terenie Bytomia. Do tego ważnego procesu, dotyczącego rewitalizacji, szeroko włączona zostanie przede wszystkim społeczność lokalna.</w:t>
      </w:r>
    </w:p>
    <w:p w:rsidR="00531603" w:rsidRPr="00BF1DF2" w:rsidRDefault="00531603" w:rsidP="009C1D86">
      <w:pPr>
        <w:shd w:val="clear" w:color="auto" w:fill="F2F2F2" w:themeFill="background1" w:themeFillShade="F2"/>
        <w:jc w:val="both"/>
        <w:rPr>
          <w:rFonts w:ascii="Calibri" w:hAnsi="Calibri" w:cs="Calibri"/>
        </w:rPr>
      </w:pPr>
    </w:p>
    <w:p w:rsidR="000C70A4" w:rsidRDefault="000C70A4" w:rsidP="006D764E">
      <w:pPr>
        <w:pStyle w:val="Nagwek2"/>
        <w:numPr>
          <w:ilvl w:val="1"/>
          <w:numId w:val="189"/>
        </w:numPr>
        <w:ind w:left="720"/>
      </w:pPr>
      <w:bookmarkStart w:id="8474" w:name="_Toc460313322"/>
      <w:bookmarkStart w:id="8475" w:name="_Toc474924970"/>
      <w:r>
        <w:t>Przedsięwzięcia rewitalizacyjne</w:t>
      </w:r>
      <w:bookmarkEnd w:id="8474"/>
      <w:bookmarkEnd w:id="8475"/>
    </w:p>
    <w:p w:rsidR="000C70A4" w:rsidRPr="00A22C0E" w:rsidRDefault="000C70A4">
      <w:pPr>
        <w:jc w:val="both"/>
        <w:rPr>
          <w:rFonts w:ascii="Calibri" w:hAnsi="Calibri" w:cs="Calibri"/>
        </w:rPr>
      </w:pPr>
    </w:p>
    <w:p w:rsidR="00FE0747" w:rsidRPr="00120CE3" w:rsidRDefault="00FE0747" w:rsidP="009C1D86">
      <w:pPr>
        <w:shd w:val="clear" w:color="auto" w:fill="F2F2F2" w:themeFill="background1" w:themeFillShade="F2"/>
        <w:ind w:firstLine="708"/>
        <w:jc w:val="both"/>
        <w:rPr>
          <w:rFonts w:ascii="Calibri" w:hAnsi="Calibri"/>
          <w:szCs w:val="22"/>
          <w:lang w:eastAsia="en-US"/>
        </w:rPr>
      </w:pPr>
      <w:r w:rsidRPr="00120CE3">
        <w:rPr>
          <w:rFonts w:ascii="Calibri" w:hAnsi="Calibri"/>
        </w:rPr>
        <w:t xml:space="preserve">Zgodnie z </w:t>
      </w:r>
      <w:r w:rsidR="009E6DA0" w:rsidRPr="00120CE3">
        <w:rPr>
          <w:rFonts w:ascii="Calibri" w:hAnsi="Calibri"/>
        </w:rPr>
        <w:t>w</w:t>
      </w:r>
      <w:r w:rsidRPr="00120CE3">
        <w:rPr>
          <w:rFonts w:ascii="Calibri" w:hAnsi="Calibri"/>
        </w:rPr>
        <w:t>ytycznymi w zakresie rewitalizacji</w:t>
      </w:r>
      <w:r w:rsidR="009E6DA0" w:rsidRPr="00120CE3">
        <w:rPr>
          <w:rFonts w:ascii="Calibri" w:hAnsi="Calibri"/>
        </w:rPr>
        <w:t xml:space="preserve"> obowiązującymi w pespektywie</w:t>
      </w:r>
      <w:r w:rsidR="00D55F63" w:rsidRPr="00120CE3">
        <w:rPr>
          <w:rFonts w:ascii="Calibri" w:hAnsi="Calibri"/>
        </w:rPr>
        <w:t xml:space="preserve"> finansowej na lata 2014 -2020</w:t>
      </w:r>
      <w:r w:rsidRPr="00120CE3">
        <w:rPr>
          <w:rFonts w:ascii="Calibri" w:hAnsi="Calibri"/>
        </w:rPr>
        <w:t>, opis planowanych działa</w:t>
      </w:r>
      <w:r w:rsidR="009E6DA0" w:rsidRPr="00120CE3">
        <w:rPr>
          <w:rFonts w:ascii="Calibri" w:hAnsi="Calibri"/>
        </w:rPr>
        <w:t>ń rewitalizacyjnych, realizowanych</w:t>
      </w:r>
      <w:r w:rsidRPr="00120CE3">
        <w:rPr>
          <w:rFonts w:ascii="Calibri" w:hAnsi="Calibri"/>
        </w:rPr>
        <w:t xml:space="preserve"> w ramach programu rewitalizacji zawiera przede wszystkim identyfikację podstawowych przedsięwzięć rewitalizacyjnych, bez których realizacja celów p</w:t>
      </w:r>
      <w:r w:rsidR="009E6DA0" w:rsidRPr="00120CE3">
        <w:rPr>
          <w:rFonts w:ascii="Calibri" w:hAnsi="Calibri"/>
        </w:rPr>
        <w:t>rogramu rewitalizacji nie byłaby</w:t>
      </w:r>
      <w:r w:rsidRPr="00120CE3">
        <w:rPr>
          <w:rFonts w:ascii="Calibri" w:hAnsi="Calibri"/>
        </w:rPr>
        <w:t xml:space="preserve"> możliwa i obszar rewitalizacji nie będzie w stanie wyjść z kryzysowej sytuacji.</w:t>
      </w:r>
    </w:p>
    <w:p w:rsidR="00FE0747" w:rsidRDefault="00FE0747" w:rsidP="009C1D86">
      <w:pPr>
        <w:shd w:val="clear" w:color="auto" w:fill="F2F2F2" w:themeFill="background1" w:themeFillShade="F2"/>
        <w:jc w:val="both"/>
        <w:rPr>
          <w:rFonts w:ascii="Calibri" w:hAnsi="Calibri"/>
          <w:szCs w:val="22"/>
          <w:lang w:eastAsia="en-US"/>
        </w:rPr>
      </w:pPr>
      <w:r w:rsidRPr="00120CE3">
        <w:rPr>
          <w:rFonts w:ascii="Calibri" w:hAnsi="Calibri"/>
        </w:rPr>
        <w:t>Na podstawie kryteriów wyboru projektów w ramach OSI Regionalnego Programu Operacyjnego Województwa Śląskiego na l</w:t>
      </w:r>
      <w:r w:rsidR="00D55F63" w:rsidRPr="00120CE3">
        <w:rPr>
          <w:rFonts w:ascii="Calibri" w:hAnsi="Calibri"/>
        </w:rPr>
        <w:t>ata 2014–</w:t>
      </w:r>
      <w:r w:rsidR="009E6DA0" w:rsidRPr="00120CE3">
        <w:rPr>
          <w:rFonts w:ascii="Calibri" w:hAnsi="Calibri"/>
        </w:rPr>
        <w:t>2020, oceniana była</w:t>
      </w:r>
      <w:r w:rsidRPr="00120CE3">
        <w:rPr>
          <w:rFonts w:ascii="Calibri" w:hAnsi="Calibri"/>
        </w:rPr>
        <w:t xml:space="preserve"> zbieżność projektu z listą planowanych podstawowych przedsięwzięć rewitalizacyjnych na terenie OSI BYTOM, tj. takich które najbardziej przyczyniają się do realizacji strategicznych celów rewitalizacji poprzez spójność: geograficzną, sektorową oraz funkcjonalną z gminnym programem rewitalizacji.</w:t>
      </w:r>
    </w:p>
    <w:p w:rsidR="00FE0747" w:rsidRDefault="00FE0747" w:rsidP="005B7762">
      <w:pPr>
        <w:jc w:val="both"/>
        <w:rPr>
          <w:rFonts w:ascii="Calibri" w:hAnsi="Calibri"/>
          <w:szCs w:val="22"/>
          <w:lang w:eastAsia="en-US"/>
        </w:rPr>
      </w:pPr>
      <w:r>
        <w:rPr>
          <w:rFonts w:ascii="Calibri" w:hAnsi="Calibri"/>
        </w:rPr>
        <w:t>Projekty najbardziej przyczyniające się do realizacji ww. celów, tj. projekty podstawowe, ograniczono</w:t>
      </w:r>
      <w:r w:rsidR="00EF2471">
        <w:rPr>
          <w:rFonts w:ascii="Calibri" w:hAnsi="Calibri"/>
        </w:rPr>
        <w:t>,</w:t>
      </w:r>
      <w:r>
        <w:rPr>
          <w:rFonts w:ascii="Calibri" w:hAnsi="Calibri"/>
        </w:rPr>
        <w:t xml:space="preserve"> więc decyzją </w:t>
      </w:r>
      <w:r w:rsidR="00202E08">
        <w:rPr>
          <w:rFonts w:ascii="Calibri" w:hAnsi="Calibri"/>
        </w:rPr>
        <w:t>Miasta</w:t>
      </w:r>
      <w:r>
        <w:rPr>
          <w:rFonts w:ascii="Calibri" w:hAnsi="Calibri"/>
        </w:rPr>
        <w:t xml:space="preserve"> Bytom wyłącznie do przedsięwzięć realizowanych przez podmioty silnie powiązane ze środowiskiem lokalnym oraz już działające na rzecz społeczności lokalnej miasta Bytomia, co pozwoli w</w:t>
      </w:r>
      <w:r w:rsidR="005B7762">
        <w:rPr>
          <w:rFonts w:ascii="Calibri" w:hAnsi="Calibri"/>
        </w:rPr>
        <w:t> </w:t>
      </w:r>
      <w:r>
        <w:rPr>
          <w:rFonts w:ascii="Calibri" w:hAnsi="Calibri"/>
        </w:rPr>
        <w:t>większym stopniu wpływać na lokalny rynek pracy i integrację zawodową i społeczną osób wykluczonych obszaru rewitalizacji oraz realizujące w największym stopniu założone cele rewitalizacji. Realizacja wskazanych projektów podstawowych ma strategiczne znaczenie dla rewitalizacji wybranego obszaru miasta.</w:t>
      </w:r>
    </w:p>
    <w:p w:rsidR="00FE0747" w:rsidRDefault="00FE0747" w:rsidP="005B7762">
      <w:pPr>
        <w:jc w:val="both"/>
        <w:rPr>
          <w:rFonts w:ascii="Calibri" w:hAnsi="Calibri"/>
          <w:szCs w:val="22"/>
          <w:lang w:eastAsia="en-US"/>
        </w:rPr>
      </w:pPr>
    </w:p>
    <w:p w:rsidR="00FE0747" w:rsidRDefault="00FE0747" w:rsidP="005B7762">
      <w:pPr>
        <w:ind w:firstLine="708"/>
        <w:jc w:val="both"/>
        <w:rPr>
          <w:rFonts w:ascii="Calibri" w:hAnsi="Calibri"/>
          <w:szCs w:val="22"/>
          <w:lang w:eastAsia="en-US"/>
        </w:rPr>
      </w:pPr>
      <w:r>
        <w:rPr>
          <w:rFonts w:ascii="Calibri" w:hAnsi="Calibri"/>
        </w:rPr>
        <w:t xml:space="preserve">Uzasadnieniem wybranego rozwiązania jest konieczność realizacji projektów, które przedstawiają najwyższą wartość merytoryczną spośród zgłoszonych do dofinansowania w ramach OSI. </w:t>
      </w:r>
    </w:p>
    <w:p w:rsidR="00FE0747" w:rsidRDefault="00FE0747" w:rsidP="005B7762">
      <w:pPr>
        <w:jc w:val="both"/>
        <w:rPr>
          <w:rFonts w:ascii="Calibri" w:hAnsi="Calibri"/>
          <w:szCs w:val="22"/>
          <w:lang w:eastAsia="en-US"/>
        </w:rPr>
      </w:pPr>
      <w:r>
        <w:rPr>
          <w:rFonts w:ascii="Calibri" w:hAnsi="Calibri"/>
        </w:rPr>
        <w:t xml:space="preserve">W związku z powyższym dla zapewnienia uczciwej konkurencji i równego traktowania różnych podmiotów zgłaszających projekty rewitalizacyjne przyjęto podejście, umożliwiające wybór możliwie największej liczby projektów w trybie konkurencyjnym, bez nieuprawnionego preferowania wybranych projektów na etapie opracowania programu rewitalizacji. Podejście niniejsze realizuje zapisy </w:t>
      </w:r>
      <w:r>
        <w:rPr>
          <w:rFonts w:ascii="Calibri" w:hAnsi="Calibri"/>
          <w:i/>
        </w:rPr>
        <w:t xml:space="preserve">Wytycznych w zakresie trybów wyboru projektów na lata 2014-2020, </w:t>
      </w:r>
      <w:r>
        <w:rPr>
          <w:rFonts w:ascii="Calibri" w:hAnsi="Calibri"/>
        </w:rPr>
        <w:t>tj. zasadę bezstronności, rozumianej jako zakaz indywidualnych preferencji w</w:t>
      </w:r>
      <w:r w:rsidR="005B7762">
        <w:rPr>
          <w:rFonts w:ascii="Calibri" w:hAnsi="Calibri"/>
        </w:rPr>
        <w:t> </w:t>
      </w:r>
      <w:r>
        <w:rPr>
          <w:rFonts w:ascii="Calibri" w:hAnsi="Calibri"/>
        </w:rPr>
        <w:t xml:space="preserve">ramach grup czy typów wnioskodawców dopuszczonych do ubiegania się o dofinansowanie oraz zasadę równego traktowania wnioskodawców – rozumianej jako zakaz stosowania kryteriów, w sposób skutkujący faworyzowaniem poszczególnych wnioskodawców kosztem pozostałych wnioskodawców, w związku z art. 37 ust. 1 ustawy z dnia 11 lipca 2014 r. o zasadach realizacji programów w zakresie polityki spójności finansowanych w perspektywie finansowej 2014-2020 (Dz. U. poz. 1146.) </w:t>
      </w:r>
    </w:p>
    <w:p w:rsidR="00FE0747" w:rsidRDefault="00FE0747" w:rsidP="005B7762">
      <w:pPr>
        <w:jc w:val="both"/>
        <w:rPr>
          <w:rFonts w:ascii="Calibri" w:hAnsi="Calibri"/>
          <w:szCs w:val="22"/>
          <w:lang w:eastAsia="en-US"/>
        </w:rPr>
      </w:pPr>
    </w:p>
    <w:p w:rsidR="00FE0747" w:rsidRDefault="00FE0747" w:rsidP="009C1D86">
      <w:pPr>
        <w:shd w:val="clear" w:color="auto" w:fill="F2F2F2" w:themeFill="background1" w:themeFillShade="F2"/>
        <w:ind w:firstLine="708"/>
        <w:jc w:val="both"/>
        <w:rPr>
          <w:rFonts w:ascii="Calibri" w:hAnsi="Calibri"/>
          <w:szCs w:val="22"/>
          <w:lang w:eastAsia="en-US"/>
        </w:rPr>
      </w:pPr>
      <w:r>
        <w:rPr>
          <w:rFonts w:ascii="Calibri" w:hAnsi="Calibri"/>
        </w:rPr>
        <w:t>Zgłoszone przedsięwzięcia, które nie uzyskały statusu podstawowych zostały wskazane w związku z</w:t>
      </w:r>
      <w:r w:rsidR="005B7762">
        <w:rPr>
          <w:rFonts w:ascii="Calibri" w:hAnsi="Calibri"/>
        </w:rPr>
        <w:t> </w:t>
      </w:r>
      <w:r w:rsidR="00EF2471">
        <w:rPr>
          <w:rFonts w:ascii="Calibri" w:hAnsi="Calibri"/>
        </w:rPr>
        <w:t xml:space="preserve">tym </w:t>
      </w:r>
      <w:r>
        <w:rPr>
          <w:rFonts w:ascii="Calibri" w:hAnsi="Calibri"/>
        </w:rPr>
        <w:t>jako projekty rewitalizacyjne uzupełniające, tj. takie, które mają mniejszą skalę oddziaływania, realizowane przez po</w:t>
      </w:r>
      <w:r w:rsidR="00D53419">
        <w:rPr>
          <w:rFonts w:ascii="Calibri" w:hAnsi="Calibri"/>
        </w:rPr>
        <w:t>d</w:t>
      </w:r>
      <w:r>
        <w:rPr>
          <w:rFonts w:ascii="Calibri" w:hAnsi="Calibri"/>
        </w:rPr>
        <w:t>mioty nie związane ze społecznością lokalną lub posiadające mniejszy potencjał, ale są ważne i oczekiwane ze względu na rozwiązywanie wskazanych problemów oraz realizację celów programu rewitalizacji. Projekty uzupełniające są przedsięwzięciami zaplanowanymi i wynika</w:t>
      </w:r>
      <w:r w:rsidR="009E6DA0">
        <w:rPr>
          <w:rFonts w:ascii="Calibri" w:hAnsi="Calibri"/>
        </w:rPr>
        <w:t>jącymi z programu rewitalizacji</w:t>
      </w:r>
      <w:r>
        <w:rPr>
          <w:rFonts w:ascii="Calibri" w:hAnsi="Calibri"/>
        </w:rPr>
        <w:t>. Wskazane one zostały zarówno wprost w programie rewitalizacji, jak również poprzez określenie w ogólnym (zbiorczym) opisie innych, uzupełniających rodzajów działań rewitalizacyjnych.</w:t>
      </w:r>
    </w:p>
    <w:p w:rsidR="00FE0747" w:rsidRDefault="00FE0747" w:rsidP="009C1D86">
      <w:pPr>
        <w:shd w:val="clear" w:color="auto" w:fill="F2F2F2" w:themeFill="background1" w:themeFillShade="F2"/>
        <w:jc w:val="both"/>
        <w:rPr>
          <w:rFonts w:ascii="Calibri" w:hAnsi="Calibri" w:cs="Calibri"/>
          <w:szCs w:val="20"/>
        </w:rPr>
      </w:pPr>
    </w:p>
    <w:p w:rsidR="00343397" w:rsidRDefault="00343397" w:rsidP="00D12A24">
      <w:pPr>
        <w:pStyle w:val="Nagwek3"/>
        <w:numPr>
          <w:ilvl w:val="2"/>
          <w:numId w:val="184"/>
        </w:numPr>
        <w:jc w:val="both"/>
      </w:pPr>
      <w:bookmarkStart w:id="8476" w:name="_Toc474924971"/>
      <w:bookmarkStart w:id="8477" w:name="_Toc460313323"/>
      <w:r>
        <w:t>Wiązki projektów oraz lista planowanych podstawowych przedsięwzięć rewitalizacyjnych</w:t>
      </w:r>
      <w:bookmarkEnd w:id="8476"/>
    </w:p>
    <w:p w:rsidR="00343397" w:rsidRDefault="00343397" w:rsidP="00343397"/>
    <w:p w:rsidR="00075152" w:rsidRDefault="00075152" w:rsidP="00075152">
      <w:pPr>
        <w:jc w:val="both"/>
        <w:rPr>
          <w:rFonts w:cs="Calibri"/>
          <w:b/>
          <w:bCs/>
          <w:iCs/>
          <w:szCs w:val="20"/>
        </w:rPr>
      </w:pPr>
      <w:r>
        <w:rPr>
          <w:rFonts w:cs="Calibri"/>
          <w:b/>
          <w:bCs/>
          <w:iCs/>
          <w:szCs w:val="20"/>
        </w:rPr>
        <w:t>Czynniki spajające działania nieinwestycyjne z inwestycyjnymi – logika interwencji.</w:t>
      </w:r>
    </w:p>
    <w:p w:rsidR="00075152" w:rsidRDefault="00075152" w:rsidP="00075152">
      <w:pPr>
        <w:jc w:val="both"/>
        <w:rPr>
          <w:rFonts w:cs="Calibri"/>
          <w:bCs/>
          <w:iCs/>
          <w:szCs w:val="20"/>
        </w:rPr>
      </w:pPr>
      <w:r>
        <w:rPr>
          <w:rFonts w:cs="Calibri"/>
          <w:bCs/>
          <w:iCs/>
          <w:szCs w:val="20"/>
        </w:rPr>
        <w:t>Głównym celem podejmowanych przedsięwzięć rewitalizacyjnych będzie kompleksowa aktywizacja mieszkańców obszaru rewitalizacji (osób wykluczonych lub zagrożonych wykluczeniem).</w:t>
      </w:r>
    </w:p>
    <w:p w:rsidR="00075152" w:rsidRDefault="00075152" w:rsidP="00316783">
      <w:pPr>
        <w:spacing w:after="240"/>
        <w:jc w:val="both"/>
        <w:rPr>
          <w:rFonts w:cs="Calibri"/>
          <w:bCs/>
          <w:iCs/>
          <w:szCs w:val="20"/>
        </w:rPr>
      </w:pPr>
      <w:r>
        <w:rPr>
          <w:rFonts w:cs="Calibri"/>
          <w:bCs/>
          <w:iCs/>
          <w:szCs w:val="20"/>
        </w:rPr>
        <w:t>Cel ten zostanie osiągnięty poprzez realizację wiązki interwencji złożonej z przedsięwzięć nieinwestycyjnych oraz inwestycyjnych, przy założeniu, że realizacja projektów inwestycyjnych jest NIEZBĘDNA dla osiągnięcia celów zakładanych w projektach nieinwestycyjnych.</w:t>
      </w:r>
    </w:p>
    <w:p w:rsidR="00075152" w:rsidRDefault="00075152" w:rsidP="00075152">
      <w:pPr>
        <w:jc w:val="both"/>
        <w:rPr>
          <w:rFonts w:cs="Calibri"/>
          <w:b/>
          <w:bCs/>
          <w:iCs/>
          <w:szCs w:val="20"/>
        </w:rPr>
      </w:pPr>
      <w:r>
        <w:rPr>
          <w:rFonts w:cs="Calibri"/>
          <w:b/>
          <w:bCs/>
          <w:iCs/>
          <w:szCs w:val="20"/>
        </w:rPr>
        <w:t>Każda wiązka zakładać będzie realizację kolejnych, wynikających z logiki interwencji etapów:</w:t>
      </w:r>
    </w:p>
    <w:p w:rsidR="000A46EA" w:rsidRDefault="000A46EA" w:rsidP="00075152">
      <w:pPr>
        <w:jc w:val="both"/>
        <w:rPr>
          <w:rFonts w:cs="Calibri"/>
          <w:b/>
          <w:bCs/>
          <w:iCs/>
          <w:szCs w:val="20"/>
        </w:rPr>
      </w:pPr>
    </w:p>
    <w:p w:rsidR="00075152" w:rsidRDefault="00075152" w:rsidP="00075152">
      <w:pPr>
        <w:numPr>
          <w:ilvl w:val="0"/>
          <w:numId w:val="361"/>
        </w:numPr>
        <w:tabs>
          <w:tab w:val="left" w:pos="284"/>
        </w:tabs>
        <w:ind w:left="0" w:firstLine="0"/>
        <w:jc w:val="both"/>
        <w:rPr>
          <w:rFonts w:cs="Calibri"/>
          <w:b/>
          <w:bCs/>
          <w:iCs/>
          <w:szCs w:val="20"/>
        </w:rPr>
      </w:pPr>
      <w:r>
        <w:rPr>
          <w:rFonts w:cs="Calibri"/>
          <w:b/>
          <w:bCs/>
          <w:iCs/>
          <w:szCs w:val="20"/>
        </w:rPr>
        <w:t>IDENTYFIKACJA</w:t>
      </w:r>
    </w:p>
    <w:p w:rsidR="00075152" w:rsidRDefault="00075152" w:rsidP="00075152">
      <w:pPr>
        <w:jc w:val="both"/>
        <w:rPr>
          <w:rFonts w:cs="Calibri"/>
          <w:bCs/>
          <w:iCs/>
          <w:szCs w:val="20"/>
        </w:rPr>
      </w:pPr>
      <w:r>
        <w:rPr>
          <w:rFonts w:cs="Calibri"/>
          <w:bCs/>
          <w:iCs/>
          <w:szCs w:val="20"/>
        </w:rPr>
        <w:t>Rozumiana przez identyfikację konkretnych grup docelowych z obszaru rewitalizacji oraz zdiagnozowanych problemów. Dzięki uczestnictwu w różnego rodzaju projektach nieinwestycyjnych (realizowanych przez MOPR, PUP, BARI, CIS, organizacje pozarządowe, itp.) potencjalny uczestnik będzie miał do wyboru szereg możliwych narzędzi aktywizacyjnych</w:t>
      </w:r>
      <w:r w:rsidR="0098605B">
        <w:rPr>
          <w:rFonts w:cs="Calibri"/>
          <w:bCs/>
          <w:iCs/>
          <w:szCs w:val="20"/>
        </w:rPr>
        <w:t>,</w:t>
      </w:r>
      <w:r>
        <w:rPr>
          <w:rFonts w:cs="Calibri"/>
          <w:bCs/>
          <w:iCs/>
          <w:szCs w:val="20"/>
        </w:rPr>
        <w:t xml:space="preserve"> co pozwoli na precyzyjne dobranie interwencji do indywidualnych potrzeb i możliwości uczestnika.</w:t>
      </w:r>
    </w:p>
    <w:p w:rsidR="00075152" w:rsidRDefault="00075152" w:rsidP="00075152">
      <w:pPr>
        <w:jc w:val="both"/>
        <w:rPr>
          <w:rFonts w:cs="Calibri"/>
          <w:bCs/>
          <w:iCs/>
          <w:szCs w:val="20"/>
        </w:rPr>
      </w:pPr>
    </w:p>
    <w:p w:rsidR="00075152" w:rsidRDefault="00075152" w:rsidP="00075152">
      <w:pPr>
        <w:numPr>
          <w:ilvl w:val="0"/>
          <w:numId w:val="361"/>
        </w:numPr>
        <w:tabs>
          <w:tab w:val="left" w:pos="284"/>
        </w:tabs>
        <w:ind w:left="0" w:firstLine="0"/>
        <w:jc w:val="both"/>
        <w:rPr>
          <w:rFonts w:cs="Calibri"/>
          <w:b/>
          <w:bCs/>
          <w:iCs/>
          <w:szCs w:val="20"/>
        </w:rPr>
      </w:pPr>
      <w:r>
        <w:rPr>
          <w:rFonts w:cs="Calibri"/>
          <w:b/>
          <w:bCs/>
          <w:iCs/>
          <w:szCs w:val="20"/>
        </w:rPr>
        <w:t>AKTYWIZACJA</w:t>
      </w:r>
    </w:p>
    <w:p w:rsidR="00075152" w:rsidRDefault="00075152" w:rsidP="00075152">
      <w:pPr>
        <w:jc w:val="both"/>
        <w:rPr>
          <w:rFonts w:cs="Calibri"/>
          <w:bCs/>
          <w:iCs/>
          <w:szCs w:val="20"/>
        </w:rPr>
      </w:pPr>
      <w:r>
        <w:rPr>
          <w:rFonts w:cs="Calibri"/>
          <w:bCs/>
          <w:iCs/>
          <w:szCs w:val="20"/>
        </w:rPr>
        <w:t>Możliwa dzięki wdrożeniu mechanizmów promujących aktywny udział w projektach nieinwestycyjnych:</w:t>
      </w:r>
    </w:p>
    <w:p w:rsidR="00075152" w:rsidRDefault="00075152" w:rsidP="00075152">
      <w:pPr>
        <w:pStyle w:val="Akapitzlist8"/>
        <w:numPr>
          <w:ilvl w:val="0"/>
          <w:numId w:val="362"/>
        </w:numPr>
        <w:spacing w:after="0" w:line="100" w:lineRule="atLeast"/>
        <w:jc w:val="both"/>
        <w:rPr>
          <w:rFonts w:cs="Calibri"/>
          <w:bCs/>
          <w:iCs/>
          <w:sz w:val="20"/>
          <w:szCs w:val="20"/>
        </w:rPr>
      </w:pPr>
      <w:r>
        <w:rPr>
          <w:rFonts w:cs="Calibri"/>
          <w:bCs/>
          <w:iCs/>
          <w:sz w:val="20"/>
          <w:szCs w:val="20"/>
        </w:rPr>
        <w:t>pierwszeństwo w przyznaniu lokalu socjalnego,</w:t>
      </w:r>
    </w:p>
    <w:p w:rsidR="00075152" w:rsidRDefault="00075152" w:rsidP="00075152">
      <w:pPr>
        <w:pStyle w:val="Akapitzlist8"/>
        <w:numPr>
          <w:ilvl w:val="0"/>
          <w:numId w:val="362"/>
        </w:numPr>
        <w:spacing w:after="0" w:line="100" w:lineRule="atLeast"/>
        <w:jc w:val="both"/>
        <w:rPr>
          <w:rFonts w:cs="Calibri"/>
          <w:bCs/>
          <w:iCs/>
          <w:sz w:val="20"/>
          <w:szCs w:val="20"/>
        </w:rPr>
      </w:pPr>
      <w:r>
        <w:rPr>
          <w:rFonts w:cs="Calibri"/>
          <w:bCs/>
          <w:iCs/>
          <w:sz w:val="20"/>
          <w:szCs w:val="20"/>
        </w:rPr>
        <w:t>pierwszeństwo w przyznaniu lokalu komunalnego do remontu,</w:t>
      </w:r>
    </w:p>
    <w:p w:rsidR="00075152" w:rsidRDefault="00075152" w:rsidP="00075152">
      <w:pPr>
        <w:pStyle w:val="Akapitzlist8"/>
        <w:numPr>
          <w:ilvl w:val="0"/>
          <w:numId w:val="362"/>
        </w:numPr>
        <w:spacing w:after="0" w:line="100" w:lineRule="atLeast"/>
        <w:jc w:val="both"/>
        <w:rPr>
          <w:rFonts w:cs="Calibri"/>
          <w:bCs/>
          <w:iCs/>
          <w:sz w:val="20"/>
          <w:szCs w:val="20"/>
        </w:rPr>
      </w:pPr>
      <w:r>
        <w:rPr>
          <w:rFonts w:cs="Calibri"/>
          <w:bCs/>
          <w:iCs/>
          <w:sz w:val="20"/>
          <w:szCs w:val="20"/>
        </w:rPr>
        <w:t>Pakiety Aktywizacyjne dla najbardziej aktywnych uczestników projektu,</w:t>
      </w:r>
    </w:p>
    <w:p w:rsidR="00075152" w:rsidRDefault="00075152" w:rsidP="00075152">
      <w:pPr>
        <w:pStyle w:val="Akapitzlist8"/>
        <w:numPr>
          <w:ilvl w:val="0"/>
          <w:numId w:val="362"/>
        </w:numPr>
        <w:spacing w:after="0" w:line="100" w:lineRule="atLeast"/>
        <w:jc w:val="both"/>
        <w:rPr>
          <w:rFonts w:cs="Calibri"/>
          <w:bCs/>
          <w:iCs/>
          <w:sz w:val="20"/>
          <w:szCs w:val="20"/>
        </w:rPr>
      </w:pPr>
      <w:r>
        <w:rPr>
          <w:rFonts w:cs="Calibri"/>
          <w:bCs/>
          <w:iCs/>
          <w:sz w:val="20"/>
          <w:szCs w:val="20"/>
        </w:rPr>
        <w:t>stypendia dla osób uczestniczących w kursach i szkoleniach.</w:t>
      </w:r>
    </w:p>
    <w:p w:rsidR="00075152" w:rsidRDefault="00075152" w:rsidP="00075152">
      <w:pPr>
        <w:jc w:val="both"/>
        <w:rPr>
          <w:rFonts w:cs="Calibri"/>
          <w:bCs/>
          <w:iCs/>
          <w:szCs w:val="20"/>
        </w:rPr>
      </w:pPr>
      <w:r>
        <w:rPr>
          <w:rFonts w:cs="Calibri"/>
          <w:bCs/>
          <w:iCs/>
          <w:szCs w:val="20"/>
        </w:rPr>
        <w:t>Szczegółowe rozwiązania w ww. zakresie zostaną ustalone na etapie wdrożenia Programu.</w:t>
      </w:r>
    </w:p>
    <w:p w:rsidR="0053051A" w:rsidRDefault="0053051A" w:rsidP="00075152">
      <w:pPr>
        <w:jc w:val="both"/>
        <w:rPr>
          <w:rFonts w:cs="Calibri"/>
          <w:bCs/>
          <w:iCs/>
          <w:szCs w:val="20"/>
        </w:rPr>
      </w:pPr>
    </w:p>
    <w:p w:rsidR="00075152" w:rsidRDefault="00075152" w:rsidP="00075152">
      <w:pPr>
        <w:numPr>
          <w:ilvl w:val="0"/>
          <w:numId w:val="361"/>
        </w:numPr>
        <w:tabs>
          <w:tab w:val="left" w:pos="284"/>
        </w:tabs>
        <w:ind w:left="0" w:firstLine="0"/>
        <w:jc w:val="both"/>
        <w:rPr>
          <w:rFonts w:cs="Calibri"/>
          <w:b/>
          <w:bCs/>
          <w:iCs/>
          <w:szCs w:val="20"/>
        </w:rPr>
      </w:pPr>
      <w:r>
        <w:rPr>
          <w:rFonts w:cs="Calibri"/>
          <w:b/>
          <w:bCs/>
          <w:iCs/>
          <w:szCs w:val="20"/>
        </w:rPr>
        <w:t xml:space="preserve">TRWAŁOŚĆ INTERWENCJI </w:t>
      </w:r>
    </w:p>
    <w:p w:rsidR="00075152" w:rsidRDefault="00075152" w:rsidP="00075152">
      <w:pPr>
        <w:jc w:val="both"/>
        <w:rPr>
          <w:rFonts w:cs="Calibri"/>
          <w:bCs/>
          <w:iCs/>
          <w:szCs w:val="20"/>
        </w:rPr>
      </w:pPr>
      <w:r>
        <w:rPr>
          <w:rFonts w:cs="Calibri"/>
          <w:bCs/>
          <w:iCs/>
          <w:szCs w:val="20"/>
        </w:rPr>
        <w:t>Podstawowe założenie utrzymania celów projektów zakłada, że „nie ma przegranych”.</w:t>
      </w:r>
    </w:p>
    <w:p w:rsidR="00075152" w:rsidRDefault="00075152" w:rsidP="00075152">
      <w:pPr>
        <w:jc w:val="both"/>
        <w:rPr>
          <w:rFonts w:cs="Calibri"/>
          <w:bCs/>
          <w:iCs/>
          <w:szCs w:val="20"/>
        </w:rPr>
      </w:pPr>
      <w:r>
        <w:rPr>
          <w:rFonts w:cs="Calibri"/>
          <w:bCs/>
          <w:iCs/>
          <w:szCs w:val="20"/>
        </w:rPr>
        <w:t>Uczestnicy projektów:</w:t>
      </w:r>
    </w:p>
    <w:p w:rsidR="00075152" w:rsidRDefault="00075152" w:rsidP="00075152">
      <w:pPr>
        <w:pStyle w:val="Akapitzlist8"/>
        <w:numPr>
          <w:ilvl w:val="0"/>
          <w:numId w:val="363"/>
        </w:numPr>
        <w:spacing w:after="0" w:line="100" w:lineRule="atLeast"/>
        <w:jc w:val="both"/>
        <w:rPr>
          <w:rFonts w:cs="Calibri"/>
          <w:bCs/>
          <w:iCs/>
          <w:sz w:val="20"/>
          <w:szCs w:val="20"/>
        </w:rPr>
      </w:pPr>
      <w:r>
        <w:rPr>
          <w:rFonts w:cs="Calibri"/>
          <w:bCs/>
          <w:iCs/>
          <w:sz w:val="20"/>
          <w:szCs w:val="20"/>
        </w:rPr>
        <w:t>uzyskają lub poprawią kompetencje społeczne co przełoży się na zminimalizowanie zagrożenia lub wykluczenia  społecznego oraz pozwoli na ich aktywne włączenie;</w:t>
      </w:r>
    </w:p>
    <w:p w:rsidR="00075152" w:rsidRDefault="00075152" w:rsidP="00075152">
      <w:pPr>
        <w:pStyle w:val="Akapitzlist8"/>
        <w:numPr>
          <w:ilvl w:val="0"/>
          <w:numId w:val="363"/>
        </w:numPr>
        <w:spacing w:after="0" w:line="100" w:lineRule="atLeast"/>
        <w:jc w:val="both"/>
        <w:rPr>
          <w:rFonts w:cs="Calibri"/>
          <w:bCs/>
          <w:iCs/>
          <w:sz w:val="20"/>
          <w:szCs w:val="20"/>
        </w:rPr>
      </w:pPr>
      <w:r>
        <w:rPr>
          <w:rFonts w:cs="Calibri"/>
          <w:bCs/>
          <w:iCs/>
          <w:sz w:val="20"/>
          <w:szCs w:val="20"/>
        </w:rPr>
        <w:t>uzyskają kwalifikacje i kompetencje zawodowe pozwalające im uzyskać pracę.</w:t>
      </w:r>
    </w:p>
    <w:p w:rsidR="00075152" w:rsidRDefault="00075152" w:rsidP="00075152">
      <w:pPr>
        <w:jc w:val="both"/>
        <w:rPr>
          <w:rFonts w:cs="Calibri"/>
          <w:bCs/>
          <w:iCs/>
          <w:szCs w:val="20"/>
        </w:rPr>
      </w:pPr>
    </w:p>
    <w:p w:rsidR="00075152" w:rsidRDefault="00075152" w:rsidP="00075152">
      <w:pPr>
        <w:jc w:val="both"/>
        <w:rPr>
          <w:rFonts w:cs="Calibri"/>
          <w:bCs/>
          <w:iCs/>
          <w:szCs w:val="20"/>
        </w:rPr>
      </w:pPr>
      <w:r>
        <w:rPr>
          <w:rFonts w:cs="Calibri"/>
          <w:bCs/>
          <w:iCs/>
          <w:szCs w:val="20"/>
        </w:rPr>
        <w:t xml:space="preserve">Uczestnicy projektu będą włączeni w proces planowania, projektowania i wykonania prac pomocniczych przy projektach rewitalizacyjnych. Najbardziej aktywni otrzymają lokale mieszkalne, które dodatkowo będą mogli wykończyć za pomocą tzw. Pakietów Aktywizacyjnych (przewidzianych w ramach projektów nieinwestycyjnych). </w:t>
      </w:r>
    </w:p>
    <w:p w:rsidR="00075152" w:rsidRDefault="00075152" w:rsidP="00075152">
      <w:pPr>
        <w:jc w:val="both"/>
        <w:rPr>
          <w:rFonts w:cs="Calibri"/>
          <w:bCs/>
          <w:iCs/>
          <w:szCs w:val="20"/>
        </w:rPr>
      </w:pPr>
      <w:r>
        <w:rPr>
          <w:rFonts w:cs="Calibri"/>
          <w:bCs/>
          <w:iCs/>
          <w:szCs w:val="20"/>
        </w:rPr>
        <w:t xml:space="preserve">Spośród osób, którym zostaną przyznane lokale oraz dotychczasowych mieszkańców wyłonione zostaną osoby mające cechy liderów. Wyposażeni oni zostaną w ramach projektów współfinansowanych z Europejskiego Funduszu Społecznego w niezbędną wiedzę merytoryczną oraz praktyczną, które pozwolą im skutecznie realizować inicjatywy na rzecz lokalnej społeczności. </w:t>
      </w:r>
    </w:p>
    <w:p w:rsidR="00075152" w:rsidRDefault="00075152" w:rsidP="00075152">
      <w:pPr>
        <w:jc w:val="both"/>
        <w:rPr>
          <w:rFonts w:cs="Calibri"/>
          <w:bCs/>
          <w:iCs/>
          <w:szCs w:val="20"/>
        </w:rPr>
      </w:pPr>
    </w:p>
    <w:p w:rsidR="00075152" w:rsidRDefault="00075152" w:rsidP="00075152">
      <w:pPr>
        <w:jc w:val="both"/>
        <w:rPr>
          <w:rFonts w:cs="Calibri"/>
          <w:bCs/>
          <w:iCs/>
          <w:szCs w:val="20"/>
        </w:rPr>
      </w:pPr>
      <w:r>
        <w:rPr>
          <w:rFonts w:cs="Calibri"/>
          <w:bCs/>
          <w:iCs/>
          <w:szCs w:val="20"/>
        </w:rPr>
        <w:t>Ponadto po</w:t>
      </w:r>
      <w:r w:rsidR="00D53419">
        <w:rPr>
          <w:rFonts w:cs="Calibri"/>
          <w:bCs/>
          <w:iCs/>
          <w:szCs w:val="20"/>
        </w:rPr>
        <w:t>d</w:t>
      </w:r>
      <w:r>
        <w:rPr>
          <w:rFonts w:cs="Calibri"/>
          <w:bCs/>
          <w:iCs/>
          <w:szCs w:val="20"/>
        </w:rPr>
        <w:t xml:space="preserve">mioty aktywnej integracji, w tym KIS, CIS, pozwolą udzielić indywidualnym osobom oraz członkom ich rodzin pomocy w odbudowywaniu i podtrzymywaniu umiejętności uczestnictwa w życiu społeczności lokalnej, w powrocie do pełnienia ról społecznych w miejscu zamieszkania oraz w podniesieniu kwalifikacji zawodowych, a także pośrednio zapewnią odpowiednią integrację starych i nowych mieszkańców. </w:t>
      </w:r>
    </w:p>
    <w:p w:rsidR="00075152" w:rsidRDefault="00075152" w:rsidP="00075152">
      <w:pPr>
        <w:jc w:val="both"/>
        <w:rPr>
          <w:rFonts w:cs="Calibri"/>
          <w:bCs/>
          <w:iCs/>
          <w:szCs w:val="20"/>
        </w:rPr>
      </w:pPr>
      <w:r>
        <w:rPr>
          <w:rFonts w:cs="Calibri"/>
          <w:bCs/>
          <w:iCs/>
          <w:szCs w:val="20"/>
        </w:rPr>
        <w:t>Utrzymanie założonych celów i efektów rewitalizacji będzie możliwe także dzięki wdrożeniu systemu preferencji dla osób uczestniczących w przedsięwzięciach rewitalizacyjnych.</w:t>
      </w:r>
    </w:p>
    <w:p w:rsidR="003F28B3" w:rsidRDefault="003F28B3" w:rsidP="00075152">
      <w:pPr>
        <w:jc w:val="both"/>
        <w:rPr>
          <w:rFonts w:cs="Calibri"/>
          <w:bCs/>
          <w:iCs/>
          <w:szCs w:val="20"/>
        </w:rPr>
      </w:pPr>
    </w:p>
    <w:p w:rsidR="003F28B3" w:rsidRDefault="003F28B3" w:rsidP="00075152">
      <w:pPr>
        <w:jc w:val="both"/>
        <w:rPr>
          <w:rFonts w:cs="Calibri"/>
          <w:bCs/>
          <w:iCs/>
          <w:szCs w:val="20"/>
        </w:rPr>
      </w:pPr>
    </w:p>
    <w:p w:rsidR="003F28B3" w:rsidRDefault="003F28B3" w:rsidP="00075152">
      <w:pPr>
        <w:jc w:val="both"/>
        <w:rPr>
          <w:rFonts w:cs="Calibri"/>
          <w:bCs/>
          <w:iCs/>
          <w:szCs w:val="20"/>
        </w:rPr>
      </w:pPr>
    </w:p>
    <w:p w:rsidR="00075152" w:rsidRDefault="00075152" w:rsidP="00075152">
      <w:pPr>
        <w:jc w:val="both"/>
        <w:rPr>
          <w:rFonts w:cs="Calibri"/>
          <w:bCs/>
          <w:iCs/>
          <w:szCs w:val="20"/>
        </w:rPr>
      </w:pPr>
      <w:r>
        <w:rPr>
          <w:rFonts w:cs="Calibri"/>
          <w:bCs/>
          <w:iCs/>
          <w:szCs w:val="20"/>
        </w:rPr>
        <w:t>System zakłada m.in.:</w:t>
      </w:r>
    </w:p>
    <w:p w:rsidR="00075152" w:rsidRDefault="00075152" w:rsidP="00075152">
      <w:pPr>
        <w:pStyle w:val="Akapitzlist8"/>
        <w:numPr>
          <w:ilvl w:val="0"/>
          <w:numId w:val="364"/>
        </w:numPr>
        <w:spacing w:after="0" w:line="100" w:lineRule="atLeast"/>
        <w:jc w:val="both"/>
        <w:rPr>
          <w:rFonts w:cs="Calibri"/>
          <w:bCs/>
          <w:iCs/>
          <w:sz w:val="20"/>
          <w:szCs w:val="20"/>
        </w:rPr>
      </w:pPr>
      <w:r>
        <w:rPr>
          <w:rFonts w:cs="Calibri"/>
          <w:bCs/>
          <w:iCs/>
          <w:sz w:val="20"/>
          <w:szCs w:val="20"/>
        </w:rPr>
        <w:t xml:space="preserve">wprowadzenie preferencji przy zamówieniach publicznych (klauzule społeczne) przy realizacji inwestycji w podobszarach rewitalizacji niezamieszkałych (np. Żabie Doły, </w:t>
      </w:r>
      <w:r w:rsidR="00DB777D">
        <w:rPr>
          <w:rFonts w:cs="Calibri"/>
          <w:sz w:val="20"/>
          <w:szCs w:val="20"/>
        </w:rPr>
        <w:t>t</w:t>
      </w:r>
      <w:r w:rsidR="00DB777D" w:rsidRPr="00DB777D">
        <w:rPr>
          <w:rFonts w:cs="Calibri"/>
          <w:sz w:val="20"/>
          <w:szCs w:val="20"/>
        </w:rPr>
        <w:t>eren inwestycyjny – Bytom Miechowice</w:t>
      </w:r>
      <w:r>
        <w:rPr>
          <w:rFonts w:cs="Calibri"/>
          <w:bCs/>
          <w:iCs/>
          <w:sz w:val="20"/>
          <w:szCs w:val="20"/>
        </w:rPr>
        <w:t>, KWK Rozbark) i zamieszkałych (prace przy projekcie dot. przestrzeni miejskiej w</w:t>
      </w:r>
      <w:r w:rsidR="0003120C">
        <w:rPr>
          <w:rFonts w:cs="Calibri"/>
          <w:bCs/>
          <w:iCs/>
          <w:sz w:val="20"/>
          <w:szCs w:val="20"/>
        </w:rPr>
        <w:t> </w:t>
      </w:r>
      <w:r>
        <w:rPr>
          <w:rFonts w:cs="Calibri"/>
          <w:bCs/>
          <w:iCs/>
          <w:sz w:val="20"/>
          <w:szCs w:val="20"/>
        </w:rPr>
        <w:t>podobszarze Rozbark);</w:t>
      </w:r>
    </w:p>
    <w:p w:rsidR="00075152" w:rsidRDefault="00075152" w:rsidP="00075152">
      <w:pPr>
        <w:pStyle w:val="Akapitzlist8"/>
        <w:numPr>
          <w:ilvl w:val="0"/>
          <w:numId w:val="364"/>
        </w:numPr>
        <w:spacing w:after="0" w:line="100" w:lineRule="atLeast"/>
        <w:jc w:val="both"/>
        <w:rPr>
          <w:rFonts w:cs="Calibri"/>
          <w:bCs/>
          <w:iCs/>
          <w:sz w:val="20"/>
          <w:szCs w:val="20"/>
        </w:rPr>
      </w:pPr>
      <w:r>
        <w:rPr>
          <w:rFonts w:cs="Calibri"/>
          <w:bCs/>
          <w:iCs/>
          <w:sz w:val="20"/>
          <w:szCs w:val="20"/>
        </w:rPr>
        <w:t xml:space="preserve">wprowadzenie preferencji przy zamówieniach publicznych (np. zamówienia in-house) dla podmiotów ekonomii społecznej, które będą realizować zlecenia od Miasta w zakresie m.in. utrzymania terenów zrewitalizowanych czy też drobnych prac remontowo-budowlanych w obszarze rewitalizacji (zamieszkałym i niezamieszkałym), przy udziale osób, które wcześniej uzyskały niezbędne kompetencje dzięki udziałowi w projektach nieinwestycyjnych. </w:t>
      </w:r>
    </w:p>
    <w:p w:rsidR="00075152" w:rsidRDefault="00075152" w:rsidP="00075152">
      <w:pPr>
        <w:jc w:val="both"/>
        <w:rPr>
          <w:rFonts w:cs="Calibri"/>
          <w:bCs/>
          <w:iCs/>
          <w:szCs w:val="20"/>
        </w:rPr>
      </w:pPr>
    </w:p>
    <w:p w:rsidR="00075152" w:rsidRDefault="00075152" w:rsidP="00075152">
      <w:pPr>
        <w:jc w:val="both"/>
        <w:rPr>
          <w:rFonts w:cs="Calibri"/>
          <w:bCs/>
          <w:iCs/>
          <w:szCs w:val="20"/>
        </w:rPr>
      </w:pPr>
      <w:r>
        <w:rPr>
          <w:rFonts w:cs="Calibri"/>
          <w:bCs/>
          <w:iCs/>
          <w:szCs w:val="20"/>
        </w:rPr>
        <w:t>W efekcie, po zakończeniu realizacji przedsięwzięć wynikających z danej wiązki projektowej, osoba wykluczona lub zagrożona wykluczeniem społecznym uczestnicząca w projekcie będzie:</w:t>
      </w:r>
    </w:p>
    <w:p w:rsidR="00075152" w:rsidRDefault="00075152" w:rsidP="00075152">
      <w:pPr>
        <w:pStyle w:val="Akapitzlist8"/>
        <w:numPr>
          <w:ilvl w:val="0"/>
          <w:numId w:val="365"/>
        </w:numPr>
        <w:spacing w:after="0" w:line="100" w:lineRule="atLeast"/>
        <w:jc w:val="both"/>
        <w:rPr>
          <w:rFonts w:cs="Calibri"/>
          <w:bCs/>
          <w:iCs/>
          <w:sz w:val="20"/>
          <w:szCs w:val="20"/>
        </w:rPr>
      </w:pPr>
      <w:r>
        <w:rPr>
          <w:rFonts w:cs="Calibri"/>
          <w:bCs/>
          <w:iCs/>
          <w:sz w:val="20"/>
          <w:szCs w:val="20"/>
        </w:rPr>
        <w:t>posiadała niezbędne kompetencje społeczne i zawodowe, co pozwoli jej lepiej radzić sobie w życiu;</w:t>
      </w:r>
    </w:p>
    <w:p w:rsidR="00075152" w:rsidRDefault="00075152" w:rsidP="00075152">
      <w:pPr>
        <w:pStyle w:val="Tekstpodstawowy22"/>
        <w:numPr>
          <w:ilvl w:val="0"/>
          <w:numId w:val="365"/>
        </w:numPr>
        <w:rPr>
          <w:rFonts w:ascii="Calibri" w:hAnsi="Calibri" w:cs="Calibri"/>
          <w:bCs/>
          <w:iCs/>
          <w:szCs w:val="20"/>
        </w:rPr>
      </w:pPr>
      <w:r>
        <w:rPr>
          <w:rFonts w:ascii="Calibri" w:hAnsi="Calibri" w:cs="Calibri"/>
          <w:bCs/>
          <w:iCs/>
          <w:szCs w:val="20"/>
        </w:rPr>
        <w:t>żyć w zmodernizowanej (często z jego udziałem) przestrzeni miejskiej co zwiększy jego zadowolenie z życia;</w:t>
      </w:r>
    </w:p>
    <w:p w:rsidR="00075152" w:rsidRDefault="00075152" w:rsidP="00075152">
      <w:pPr>
        <w:pStyle w:val="Akapitzlist8"/>
        <w:numPr>
          <w:ilvl w:val="0"/>
          <w:numId w:val="365"/>
        </w:numPr>
        <w:spacing w:after="0" w:line="100" w:lineRule="atLeast"/>
        <w:jc w:val="both"/>
        <w:rPr>
          <w:rFonts w:cs="Calibri"/>
          <w:bCs/>
          <w:iCs/>
          <w:sz w:val="20"/>
          <w:szCs w:val="20"/>
        </w:rPr>
      </w:pPr>
      <w:r>
        <w:rPr>
          <w:rFonts w:cs="Calibri"/>
          <w:bCs/>
          <w:iCs/>
          <w:sz w:val="20"/>
          <w:szCs w:val="20"/>
        </w:rPr>
        <w:t>funkcjonować na własny rachunek z uwagi na posiadaną pracę i zawód, który pozwoli im siebie wraz z rodziną utrzymać.</w:t>
      </w:r>
    </w:p>
    <w:p w:rsidR="00075152" w:rsidRDefault="00075152" w:rsidP="00075152">
      <w:pPr>
        <w:jc w:val="both"/>
        <w:rPr>
          <w:rFonts w:cs="Calibri"/>
          <w:szCs w:val="20"/>
        </w:rPr>
      </w:pPr>
    </w:p>
    <w:p w:rsidR="00075152" w:rsidRDefault="00075152" w:rsidP="00075152">
      <w:pPr>
        <w:jc w:val="both"/>
        <w:rPr>
          <w:rFonts w:cs="Calibri"/>
          <w:szCs w:val="20"/>
        </w:rPr>
      </w:pPr>
      <w:r>
        <w:rPr>
          <w:rFonts w:cs="Calibri"/>
          <w:szCs w:val="20"/>
        </w:rPr>
        <w:t xml:space="preserve">Poniżej </w:t>
      </w:r>
      <w:r w:rsidR="00501007">
        <w:rPr>
          <w:rFonts w:cs="Calibri"/>
          <w:szCs w:val="20"/>
        </w:rPr>
        <w:t>zaprezentowano schemat 2</w:t>
      </w:r>
      <w:r w:rsidRPr="00501007">
        <w:rPr>
          <w:rFonts w:cs="Calibri"/>
          <w:szCs w:val="20"/>
        </w:rPr>
        <w:t xml:space="preserve"> obrazujący</w:t>
      </w:r>
      <w:r>
        <w:rPr>
          <w:rFonts w:cs="Calibri"/>
          <w:szCs w:val="20"/>
        </w:rPr>
        <w:t xml:space="preserve"> powiązania projektów nieinwestycyjnych i inwestycyjnych.</w:t>
      </w:r>
    </w:p>
    <w:p w:rsidR="00727F6A" w:rsidRDefault="00727F6A" w:rsidP="00727F6A">
      <w:pPr>
        <w:jc w:val="both"/>
        <w:rPr>
          <w:rFonts w:ascii="Calibri" w:hAnsi="Calibri" w:cs="Calibri"/>
          <w:szCs w:val="20"/>
        </w:rPr>
      </w:pPr>
    </w:p>
    <w:p w:rsidR="0053051A" w:rsidRDefault="0053051A" w:rsidP="00727F6A">
      <w:pPr>
        <w:jc w:val="both"/>
        <w:rPr>
          <w:rFonts w:ascii="Calibri" w:hAnsi="Calibri" w:cs="Calibri"/>
          <w:szCs w:val="20"/>
        </w:rPr>
      </w:pPr>
    </w:p>
    <w:p w:rsidR="00727F6A" w:rsidRDefault="00727F6A" w:rsidP="008A7CDC">
      <w:pPr>
        <w:pStyle w:val="Legenda"/>
        <w:keepNext/>
        <w:spacing w:line="192" w:lineRule="auto"/>
      </w:pPr>
      <w:bookmarkStart w:id="8478" w:name="_Toc474925066"/>
      <w:r>
        <w:t xml:space="preserve">Schemat </w:t>
      </w:r>
      <w:fldSimple w:instr=" SEQ Schemat \* ARABIC ">
        <w:r w:rsidR="00413FFE">
          <w:rPr>
            <w:noProof/>
          </w:rPr>
          <w:t>2</w:t>
        </w:r>
      </w:fldSimple>
      <w:r>
        <w:t>. Logika interwencji społeczno-infrastrukturalnej</w:t>
      </w:r>
      <w:bookmarkEnd w:id="8478"/>
    </w:p>
    <w:p w:rsidR="008C25C6" w:rsidRDefault="008C25C6" w:rsidP="008C25C6">
      <w:pPr>
        <w:pStyle w:val="Legenda1"/>
        <w:keepNext/>
        <w:jc w:val="center"/>
        <w:rPr>
          <w:rFonts w:asciiTheme="minorHAnsi" w:hAnsiTheme="minorHAnsi"/>
          <w:b w:val="0"/>
          <w:i/>
          <w:sz w:val="18"/>
        </w:rPr>
      </w:pPr>
      <w:r>
        <w:rPr>
          <w:rFonts w:asciiTheme="minorHAnsi" w:hAnsiTheme="minorHAnsi"/>
          <w:b w:val="0"/>
          <w:i/>
          <w:noProof/>
          <w:sz w:val="18"/>
          <w:lang w:eastAsia="pl-PL" w:bidi="ar-SA"/>
        </w:rPr>
        <w:drawing>
          <wp:inline distT="0" distB="0" distL="0" distR="0">
            <wp:extent cx="5724000" cy="3654191"/>
            <wp:effectExtent l="19050" t="0" r="0" b="0"/>
            <wp:docPr id="181" name="Obraz 181" descr="i:\Dokumenty_net\Moje obrazy\schematEFS-EFRR_v7_b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descr="i:\Dokumenty_net\Moje obrazy\schematEFS-EFRR_v7_bw.jpg"/>
                    <pic:cNvPicPr>
                      <a:picLocks noChangeAspect="1" noChangeArrowheads="1"/>
                    </pic:cNvPicPr>
                  </pic:nvPicPr>
                  <pic:blipFill>
                    <a:blip r:embed="rId110" cstate="print"/>
                    <a:srcRect/>
                    <a:stretch>
                      <a:fillRect/>
                    </a:stretch>
                  </pic:blipFill>
                  <pic:spPr bwMode="auto">
                    <a:xfrm>
                      <a:off x="0" y="0"/>
                      <a:ext cx="5724000" cy="3654191"/>
                    </a:xfrm>
                    <a:prstGeom prst="rect">
                      <a:avLst/>
                    </a:prstGeom>
                    <a:noFill/>
                    <a:ln w="9525">
                      <a:noFill/>
                      <a:miter lim="800000"/>
                      <a:headEnd/>
                      <a:tailEnd/>
                    </a:ln>
                  </pic:spPr>
                </pic:pic>
              </a:graphicData>
            </a:graphic>
          </wp:inline>
        </w:drawing>
      </w:r>
    </w:p>
    <w:p w:rsidR="00727F6A" w:rsidRPr="001D4F82" w:rsidRDefault="00727F6A" w:rsidP="008C25C6">
      <w:pPr>
        <w:pStyle w:val="Legenda1"/>
        <w:keepNext/>
        <w:rPr>
          <w:rFonts w:asciiTheme="minorHAnsi" w:hAnsiTheme="minorHAnsi"/>
          <w:b w:val="0"/>
          <w:i/>
          <w:sz w:val="18"/>
        </w:rPr>
      </w:pPr>
      <w:r w:rsidRPr="00727F6A">
        <w:rPr>
          <w:rFonts w:asciiTheme="minorHAnsi" w:hAnsiTheme="minorHAnsi"/>
          <w:b w:val="0"/>
          <w:i/>
          <w:sz w:val="18"/>
        </w:rPr>
        <w:t>Źródło:</w:t>
      </w:r>
      <w:r w:rsidR="0070717D">
        <w:rPr>
          <w:rFonts w:asciiTheme="minorHAnsi" w:hAnsiTheme="minorHAnsi"/>
          <w:b w:val="0"/>
          <w:i/>
          <w:sz w:val="18"/>
        </w:rPr>
        <w:t xml:space="preserve"> Opracowanie własne</w:t>
      </w:r>
    </w:p>
    <w:p w:rsidR="00727F6A" w:rsidRDefault="00727F6A" w:rsidP="00727F6A">
      <w:pPr>
        <w:rPr>
          <w:rFonts w:ascii="Calibri" w:hAnsi="Calibri"/>
        </w:rPr>
      </w:pPr>
    </w:p>
    <w:p w:rsidR="00FC466F" w:rsidRDefault="00FC466F" w:rsidP="00727F6A">
      <w:pPr>
        <w:rPr>
          <w:rFonts w:ascii="Calibri" w:hAnsi="Calibri"/>
        </w:rPr>
      </w:pPr>
    </w:p>
    <w:p w:rsidR="00316783" w:rsidRDefault="00316783" w:rsidP="00727F6A">
      <w:pPr>
        <w:rPr>
          <w:rFonts w:ascii="Calibri" w:hAnsi="Calibri"/>
        </w:rPr>
      </w:pPr>
    </w:p>
    <w:p w:rsidR="003F28B3" w:rsidRDefault="003F28B3" w:rsidP="00727F6A">
      <w:pPr>
        <w:rPr>
          <w:rFonts w:ascii="Calibri" w:hAnsi="Calibri"/>
        </w:rPr>
      </w:pPr>
    </w:p>
    <w:p w:rsidR="003F28B3" w:rsidRDefault="003F28B3" w:rsidP="00727F6A">
      <w:pPr>
        <w:rPr>
          <w:rFonts w:ascii="Calibri" w:hAnsi="Calibri"/>
        </w:rPr>
      </w:pPr>
    </w:p>
    <w:p w:rsidR="008764E4" w:rsidRPr="005A3841" w:rsidRDefault="00727F6A" w:rsidP="005A3841">
      <w:pPr>
        <w:pStyle w:val="NormalnyWeb"/>
        <w:shd w:val="clear" w:color="auto" w:fill="99CCFF"/>
        <w:spacing w:before="0" w:beforeAutospacing="0" w:after="0" w:afterAutospacing="0"/>
        <w:jc w:val="center"/>
        <w:rPr>
          <w:rFonts w:ascii="Calibri" w:hAnsi="Calibri"/>
          <w:b/>
          <w:bCs/>
          <w:i/>
          <w:iCs/>
          <w:sz w:val="22"/>
        </w:rPr>
      </w:pPr>
      <w:r w:rsidRPr="00266486">
        <w:rPr>
          <w:rFonts w:ascii="Calibri" w:hAnsi="Calibri"/>
          <w:b/>
          <w:bCs/>
          <w:i/>
          <w:iCs/>
          <w:sz w:val="22"/>
        </w:rPr>
        <w:t>Wiązka 1: Śródmieście – Rozbark – KWK Rozbark – „Orzeł Biały”</w:t>
      </w:r>
    </w:p>
    <w:p w:rsidR="00002B1D" w:rsidRDefault="00002B1D" w:rsidP="00A23D3A">
      <w:pPr>
        <w:pStyle w:val="NormalnyWeb1"/>
        <w:spacing w:before="0"/>
        <w:rPr>
          <w:sz w:val="20"/>
          <w:szCs w:val="20"/>
        </w:rPr>
      </w:pPr>
      <w:bookmarkStart w:id="8479" w:name="_Toc467665506"/>
      <w:bookmarkStart w:id="8480" w:name="_Toc467665660"/>
      <w:bookmarkStart w:id="8481" w:name="_Toc467669589"/>
      <w:bookmarkStart w:id="8482" w:name="_Toc467832094"/>
      <w:bookmarkStart w:id="8483" w:name="_Toc467832214"/>
      <w:bookmarkStart w:id="8484" w:name="_Toc467834919"/>
      <w:bookmarkStart w:id="8485" w:name="_Toc467843600"/>
      <w:bookmarkStart w:id="8486" w:name="_Toc467845586"/>
      <w:bookmarkStart w:id="8487" w:name="_Toc467847529"/>
      <w:bookmarkStart w:id="8488" w:name="_Toc467847651"/>
      <w:bookmarkStart w:id="8489" w:name="_Toc467847773"/>
      <w:bookmarkStart w:id="8490" w:name="_Toc467847897"/>
      <w:bookmarkStart w:id="8491" w:name="_Toc467848021"/>
      <w:bookmarkStart w:id="8492" w:name="_Toc467848145"/>
      <w:bookmarkStart w:id="8493" w:name="_Toc467848269"/>
      <w:bookmarkStart w:id="8494" w:name="_Toc467848393"/>
      <w:bookmarkStart w:id="8495" w:name="_Toc467848517"/>
      <w:bookmarkStart w:id="8496" w:name="_Toc468097991"/>
      <w:bookmarkStart w:id="8497" w:name="_Toc468098115"/>
      <w:bookmarkStart w:id="8498" w:name="_Toc468104782"/>
      <w:bookmarkStart w:id="8499" w:name="_Toc468104906"/>
      <w:bookmarkStart w:id="8500" w:name="_Toc468105032"/>
      <w:bookmarkStart w:id="8501" w:name="_Toc468105158"/>
      <w:bookmarkStart w:id="8502" w:name="_Toc468105284"/>
      <w:bookmarkStart w:id="8503" w:name="_Toc468105410"/>
      <w:bookmarkStart w:id="8504" w:name="_Toc468105894"/>
      <w:bookmarkStart w:id="8505" w:name="_Toc468106021"/>
      <w:bookmarkStart w:id="8506" w:name="_Toc468116315"/>
      <w:bookmarkStart w:id="8507" w:name="_Toc468178271"/>
      <w:bookmarkStart w:id="8508" w:name="_Toc468181565"/>
      <w:bookmarkStart w:id="8509" w:name="_Toc468181692"/>
      <w:bookmarkStart w:id="8510" w:name="_Toc468181821"/>
      <w:bookmarkStart w:id="8511" w:name="_Toc468181987"/>
      <w:bookmarkStart w:id="8512" w:name="_Toc468185928"/>
      <w:bookmarkStart w:id="8513" w:name="_Toc468190860"/>
      <w:bookmarkStart w:id="8514" w:name="_Toc468190986"/>
      <w:bookmarkStart w:id="8515" w:name="_Toc468191478"/>
      <w:bookmarkStart w:id="8516" w:name="_Toc468258149"/>
      <w:bookmarkStart w:id="8517" w:name="_Toc468258380"/>
      <w:bookmarkStart w:id="8518" w:name="_Toc468258674"/>
      <w:bookmarkStart w:id="8519" w:name="_Toc468258804"/>
      <w:bookmarkStart w:id="8520" w:name="_Toc468258937"/>
      <w:bookmarkStart w:id="8521" w:name="_Toc468259067"/>
      <w:bookmarkStart w:id="8522" w:name="_Toc468259196"/>
      <w:bookmarkStart w:id="8523" w:name="_Toc468259325"/>
      <w:bookmarkStart w:id="8524" w:name="_Toc468259582"/>
      <w:bookmarkStart w:id="8525" w:name="_Toc468259714"/>
      <w:bookmarkStart w:id="8526" w:name="_Toc468259844"/>
      <w:bookmarkStart w:id="8527" w:name="_Toc468259974"/>
      <w:bookmarkStart w:id="8528" w:name="_Toc468260104"/>
      <w:bookmarkStart w:id="8529" w:name="_Toc468260233"/>
      <w:bookmarkStart w:id="8530" w:name="_Toc468260362"/>
      <w:bookmarkStart w:id="8531" w:name="_Toc468260491"/>
      <w:bookmarkStart w:id="8532" w:name="_Toc468260620"/>
      <w:bookmarkStart w:id="8533" w:name="_Toc468260749"/>
      <w:bookmarkStart w:id="8534" w:name="_Toc468260878"/>
      <w:bookmarkStart w:id="8535" w:name="_Toc468261009"/>
      <w:bookmarkStart w:id="8536" w:name="_Toc468261140"/>
      <w:bookmarkStart w:id="8537" w:name="_Toc468261271"/>
      <w:bookmarkStart w:id="8538" w:name="_Toc468261402"/>
      <w:bookmarkStart w:id="8539" w:name="_Toc468261533"/>
      <w:bookmarkStart w:id="8540" w:name="_Toc460313324"/>
      <w:bookmarkEnd w:id="8477"/>
      <w:bookmarkEnd w:id="8479"/>
      <w:bookmarkEnd w:id="8480"/>
      <w:bookmarkEnd w:id="8481"/>
      <w:bookmarkEnd w:id="8482"/>
      <w:bookmarkEnd w:id="8483"/>
      <w:bookmarkEnd w:id="8484"/>
      <w:bookmarkEnd w:id="8485"/>
      <w:bookmarkEnd w:id="8486"/>
      <w:bookmarkEnd w:id="8487"/>
      <w:bookmarkEnd w:id="8488"/>
      <w:bookmarkEnd w:id="8489"/>
      <w:bookmarkEnd w:id="8490"/>
      <w:bookmarkEnd w:id="8491"/>
      <w:bookmarkEnd w:id="8492"/>
      <w:bookmarkEnd w:id="8493"/>
      <w:bookmarkEnd w:id="8494"/>
      <w:bookmarkEnd w:id="8495"/>
      <w:bookmarkEnd w:id="8496"/>
      <w:bookmarkEnd w:id="8497"/>
      <w:bookmarkEnd w:id="8498"/>
      <w:bookmarkEnd w:id="8499"/>
      <w:bookmarkEnd w:id="8500"/>
      <w:bookmarkEnd w:id="8501"/>
      <w:bookmarkEnd w:id="8502"/>
      <w:bookmarkEnd w:id="8503"/>
      <w:bookmarkEnd w:id="8504"/>
      <w:bookmarkEnd w:id="8505"/>
      <w:bookmarkEnd w:id="8506"/>
      <w:bookmarkEnd w:id="8507"/>
      <w:bookmarkEnd w:id="8508"/>
      <w:bookmarkEnd w:id="8509"/>
      <w:bookmarkEnd w:id="8510"/>
      <w:bookmarkEnd w:id="8511"/>
      <w:bookmarkEnd w:id="8512"/>
      <w:bookmarkEnd w:id="8513"/>
      <w:bookmarkEnd w:id="8514"/>
      <w:bookmarkEnd w:id="8515"/>
      <w:bookmarkEnd w:id="8516"/>
      <w:bookmarkEnd w:id="8517"/>
      <w:bookmarkEnd w:id="8518"/>
      <w:bookmarkEnd w:id="8519"/>
      <w:bookmarkEnd w:id="8520"/>
      <w:bookmarkEnd w:id="8521"/>
      <w:bookmarkEnd w:id="8522"/>
      <w:bookmarkEnd w:id="8523"/>
      <w:bookmarkEnd w:id="8524"/>
      <w:bookmarkEnd w:id="8525"/>
      <w:bookmarkEnd w:id="8526"/>
      <w:bookmarkEnd w:id="8527"/>
      <w:bookmarkEnd w:id="8528"/>
      <w:bookmarkEnd w:id="8529"/>
      <w:bookmarkEnd w:id="8530"/>
      <w:bookmarkEnd w:id="8531"/>
      <w:bookmarkEnd w:id="8532"/>
      <w:bookmarkEnd w:id="8533"/>
      <w:bookmarkEnd w:id="8534"/>
      <w:bookmarkEnd w:id="8535"/>
      <w:bookmarkEnd w:id="8536"/>
      <w:bookmarkEnd w:id="8537"/>
      <w:bookmarkEnd w:id="8538"/>
      <w:bookmarkEnd w:id="8539"/>
    </w:p>
    <w:p w:rsidR="006239E2" w:rsidRPr="00C832AD" w:rsidRDefault="006239E2" w:rsidP="00C01544">
      <w:pPr>
        <w:pStyle w:val="Default"/>
        <w:jc w:val="both"/>
        <w:rPr>
          <w:color w:val="auto"/>
          <w:sz w:val="20"/>
          <w:szCs w:val="20"/>
        </w:rPr>
      </w:pPr>
      <w:r w:rsidRPr="00C832AD">
        <w:rPr>
          <w:color w:val="auto"/>
          <w:sz w:val="20"/>
          <w:szCs w:val="20"/>
        </w:rPr>
        <w:t>W wiązce, po przeanalizowaniu działań zaplanowanych przez Miasto oraz przeprowadzeniu konsultacji społecznych, w odpowiedzi na problemy przedstawione w diagnozie znalazły się projekty pogrupowane zgodnie z określonymi celami operacyjnymi (przy założeniu, że dany projekt może wpisywać się w więcej niż jeden cel operacyjny). Projekty mają się przyczynić do ożywienia społecznego i gospodarczego centrum miasta, oraz poprawy sytuacji mieszkańców i równocześnie przywrócenia świetności i znaczenia historycznej zabudowie. W</w:t>
      </w:r>
      <w:r w:rsidR="007B7A01">
        <w:rPr>
          <w:color w:val="auto"/>
          <w:sz w:val="20"/>
          <w:szCs w:val="20"/>
        </w:rPr>
        <w:t> </w:t>
      </w:r>
      <w:r w:rsidRPr="00C832AD">
        <w:rPr>
          <w:color w:val="auto"/>
          <w:sz w:val="20"/>
          <w:szCs w:val="20"/>
        </w:rPr>
        <w:t>ramach wiązki projektów zaplanowano do realizacji projekty społeczne, współfinansowane z Europejskiego Funduszu Społecznego w przedstawionych zakresach tematycznych. Poniżej przedstawiono informacje o</w:t>
      </w:r>
      <w:r w:rsidR="007B7A01">
        <w:rPr>
          <w:color w:val="auto"/>
          <w:sz w:val="20"/>
          <w:szCs w:val="20"/>
        </w:rPr>
        <w:t> </w:t>
      </w:r>
      <w:r w:rsidRPr="00C832AD">
        <w:rPr>
          <w:color w:val="auto"/>
          <w:sz w:val="20"/>
          <w:szCs w:val="20"/>
        </w:rPr>
        <w:t>poszczególnych projektach ze wskazaniem numeru porządkowego, pod jakim zostały zamieszczone w</w:t>
      </w:r>
      <w:r w:rsidR="007B7A01">
        <w:rPr>
          <w:color w:val="auto"/>
          <w:sz w:val="20"/>
          <w:szCs w:val="20"/>
        </w:rPr>
        <w:t> </w:t>
      </w:r>
      <w:r w:rsidRPr="00C832AD">
        <w:rPr>
          <w:color w:val="auto"/>
          <w:sz w:val="20"/>
          <w:szCs w:val="20"/>
        </w:rPr>
        <w:t>załączniku nr 2 – „Lista przedsięwzięć podstawowych do Gminnego Programu Rewitalizacji. Bytom 2020+”. Część z przedsięwzięć (z uwagi na swą specyfikę) realizowana będzie w całym obszarze rewitalizacji lub w</w:t>
      </w:r>
      <w:r w:rsidR="007B7A01">
        <w:rPr>
          <w:color w:val="auto"/>
          <w:sz w:val="20"/>
          <w:szCs w:val="20"/>
        </w:rPr>
        <w:t> </w:t>
      </w:r>
      <w:r w:rsidRPr="00C832AD">
        <w:rPr>
          <w:color w:val="auto"/>
          <w:sz w:val="20"/>
          <w:szCs w:val="20"/>
        </w:rPr>
        <w:t xml:space="preserve">podobszarach przypisanych do różnych wiązek. W związku w powyższym, w takich przypadkach dane przedsięwzięcie jest uwzględnione każdorazowo przy każdej wiązce, w której występuje – za wyjątkiem projektów przedstawionych w wiązce 4 (obejmującej cały obszar rewitalizacji). </w:t>
      </w:r>
    </w:p>
    <w:p w:rsidR="006239E2" w:rsidRPr="00C832AD" w:rsidRDefault="006239E2" w:rsidP="00C832AD">
      <w:pPr>
        <w:pStyle w:val="Default"/>
        <w:jc w:val="both"/>
        <w:rPr>
          <w:b/>
          <w:bCs/>
          <w:color w:val="auto"/>
          <w:sz w:val="20"/>
          <w:szCs w:val="20"/>
          <w:highlight w:val="yellow"/>
        </w:rPr>
      </w:pPr>
    </w:p>
    <w:p w:rsidR="006239E2" w:rsidRPr="00C832AD" w:rsidRDefault="006239E2" w:rsidP="00C832AD">
      <w:pPr>
        <w:pStyle w:val="Default"/>
        <w:jc w:val="both"/>
        <w:rPr>
          <w:b/>
          <w:bCs/>
          <w:color w:val="auto"/>
          <w:sz w:val="20"/>
          <w:szCs w:val="20"/>
        </w:rPr>
      </w:pPr>
      <w:r w:rsidRPr="00C832AD">
        <w:rPr>
          <w:b/>
          <w:bCs/>
          <w:color w:val="auto"/>
          <w:sz w:val="20"/>
          <w:szCs w:val="20"/>
        </w:rPr>
        <w:t>Cel Operacyjny 1.1 Wysoki poziom przedsiębiorczości mieszkańców kompensujący niedobory miejsc pracy w</w:t>
      </w:r>
      <w:r w:rsidR="00A8254A">
        <w:rPr>
          <w:b/>
          <w:bCs/>
          <w:color w:val="auto"/>
          <w:sz w:val="20"/>
          <w:szCs w:val="20"/>
        </w:rPr>
        <w:t> </w:t>
      </w:r>
      <w:r w:rsidRPr="00C832AD">
        <w:rPr>
          <w:b/>
          <w:bCs/>
          <w:color w:val="auto"/>
          <w:sz w:val="20"/>
          <w:szCs w:val="20"/>
        </w:rPr>
        <w:t xml:space="preserve">mieście - projekty: </w:t>
      </w:r>
    </w:p>
    <w:p w:rsidR="006239E2" w:rsidRPr="00C832AD" w:rsidRDefault="006239E2" w:rsidP="00C832AD">
      <w:pPr>
        <w:pStyle w:val="Default"/>
        <w:numPr>
          <w:ilvl w:val="0"/>
          <w:numId w:val="687"/>
        </w:numPr>
        <w:jc w:val="both"/>
        <w:rPr>
          <w:color w:val="auto"/>
          <w:sz w:val="20"/>
          <w:szCs w:val="20"/>
        </w:rPr>
      </w:pPr>
      <w:r w:rsidRPr="00C832AD">
        <w:rPr>
          <w:color w:val="auto"/>
          <w:sz w:val="20"/>
          <w:szCs w:val="20"/>
        </w:rPr>
        <w:t xml:space="preserve">Bytomski Inkubator Społeczny ROZBANA - Aktywne Zatrudnienie 7.1.3 (8), </w:t>
      </w:r>
    </w:p>
    <w:p w:rsidR="006239E2" w:rsidRPr="00C832AD" w:rsidRDefault="006239E2" w:rsidP="00C832AD">
      <w:pPr>
        <w:pStyle w:val="Default"/>
        <w:numPr>
          <w:ilvl w:val="0"/>
          <w:numId w:val="687"/>
        </w:numPr>
        <w:jc w:val="both"/>
        <w:rPr>
          <w:color w:val="auto"/>
          <w:sz w:val="20"/>
          <w:szCs w:val="20"/>
        </w:rPr>
      </w:pPr>
      <w:r w:rsidRPr="00C832AD">
        <w:rPr>
          <w:color w:val="auto"/>
          <w:sz w:val="20"/>
          <w:szCs w:val="20"/>
        </w:rPr>
        <w:t>Bytomianie pracują w bytomskich przedsiębiorstwach (10),</w:t>
      </w:r>
    </w:p>
    <w:p w:rsidR="006239E2" w:rsidRPr="00C832AD" w:rsidRDefault="006239E2" w:rsidP="00C832AD">
      <w:pPr>
        <w:pStyle w:val="Default"/>
        <w:numPr>
          <w:ilvl w:val="0"/>
          <w:numId w:val="687"/>
        </w:numPr>
        <w:jc w:val="both"/>
        <w:rPr>
          <w:color w:val="auto"/>
          <w:sz w:val="20"/>
          <w:szCs w:val="20"/>
        </w:rPr>
      </w:pPr>
      <w:r w:rsidRPr="00C832AD">
        <w:rPr>
          <w:color w:val="auto"/>
          <w:sz w:val="20"/>
          <w:szCs w:val="20"/>
        </w:rPr>
        <w:t xml:space="preserve">Szansa na własną firmę (11), </w:t>
      </w:r>
    </w:p>
    <w:p w:rsidR="006239E2" w:rsidRPr="00C832AD" w:rsidRDefault="006239E2" w:rsidP="00C832AD">
      <w:pPr>
        <w:pStyle w:val="Default"/>
        <w:numPr>
          <w:ilvl w:val="0"/>
          <w:numId w:val="687"/>
        </w:numPr>
        <w:jc w:val="both"/>
        <w:rPr>
          <w:color w:val="auto"/>
          <w:sz w:val="20"/>
          <w:szCs w:val="20"/>
        </w:rPr>
      </w:pPr>
      <w:r w:rsidRPr="00C832AD">
        <w:rPr>
          <w:color w:val="auto"/>
          <w:sz w:val="20"/>
          <w:szCs w:val="20"/>
        </w:rPr>
        <w:t xml:space="preserve">Firma dla seniora (12), </w:t>
      </w:r>
    </w:p>
    <w:p w:rsidR="006239E2" w:rsidRPr="00C832AD" w:rsidRDefault="006239E2" w:rsidP="00C832AD">
      <w:pPr>
        <w:pStyle w:val="Default"/>
        <w:numPr>
          <w:ilvl w:val="0"/>
          <w:numId w:val="687"/>
        </w:numPr>
        <w:jc w:val="both"/>
        <w:rPr>
          <w:color w:val="auto"/>
          <w:sz w:val="20"/>
          <w:szCs w:val="20"/>
        </w:rPr>
      </w:pPr>
      <w:r w:rsidRPr="00C832AD">
        <w:rPr>
          <w:color w:val="auto"/>
          <w:sz w:val="20"/>
          <w:szCs w:val="20"/>
        </w:rPr>
        <w:t xml:space="preserve">Aktywizacja bytomskiej przedsiębiorczości (13), </w:t>
      </w:r>
    </w:p>
    <w:p w:rsidR="006239E2" w:rsidRPr="00C832AD" w:rsidRDefault="006239E2" w:rsidP="00C832AD">
      <w:pPr>
        <w:pStyle w:val="Default"/>
        <w:numPr>
          <w:ilvl w:val="0"/>
          <w:numId w:val="687"/>
        </w:numPr>
        <w:jc w:val="both"/>
        <w:rPr>
          <w:color w:val="auto"/>
          <w:sz w:val="20"/>
          <w:szCs w:val="20"/>
        </w:rPr>
      </w:pPr>
      <w:r w:rsidRPr="00C832AD">
        <w:rPr>
          <w:color w:val="auto"/>
          <w:sz w:val="20"/>
          <w:szCs w:val="20"/>
        </w:rPr>
        <w:t xml:space="preserve">Bytomski Inkubator Przedsiębiorczości (14), </w:t>
      </w:r>
    </w:p>
    <w:p w:rsidR="006239E2" w:rsidRPr="00C832AD" w:rsidRDefault="006239E2" w:rsidP="00C832AD">
      <w:pPr>
        <w:pStyle w:val="Default"/>
        <w:numPr>
          <w:ilvl w:val="0"/>
          <w:numId w:val="687"/>
        </w:numPr>
        <w:jc w:val="both"/>
        <w:rPr>
          <w:color w:val="auto"/>
          <w:sz w:val="20"/>
          <w:szCs w:val="20"/>
        </w:rPr>
      </w:pPr>
      <w:r w:rsidRPr="00C832AD">
        <w:rPr>
          <w:color w:val="auto"/>
          <w:sz w:val="20"/>
          <w:szCs w:val="20"/>
        </w:rPr>
        <w:t xml:space="preserve">Bytomski Inkubator Społeczny ROZBANA - Promocja zatrudnienia 7.3.3 (16), </w:t>
      </w:r>
    </w:p>
    <w:p w:rsidR="006239E2" w:rsidRPr="00C832AD" w:rsidRDefault="006239E2" w:rsidP="00C832AD">
      <w:pPr>
        <w:pStyle w:val="Default"/>
        <w:numPr>
          <w:ilvl w:val="0"/>
          <w:numId w:val="687"/>
        </w:numPr>
        <w:jc w:val="both"/>
        <w:rPr>
          <w:color w:val="auto"/>
          <w:sz w:val="20"/>
          <w:szCs w:val="20"/>
        </w:rPr>
      </w:pPr>
      <w:r w:rsidRPr="00C832AD">
        <w:rPr>
          <w:color w:val="auto"/>
          <w:sz w:val="20"/>
          <w:szCs w:val="20"/>
        </w:rPr>
        <w:t>Bytomski Inkubator Społeczny ROZBANA - Outplacement 7.4.2 (19),</w:t>
      </w:r>
    </w:p>
    <w:p w:rsidR="006239E2" w:rsidRPr="00C832AD" w:rsidRDefault="006239E2" w:rsidP="00C832AD">
      <w:pPr>
        <w:pStyle w:val="Default"/>
        <w:numPr>
          <w:ilvl w:val="0"/>
          <w:numId w:val="687"/>
        </w:numPr>
        <w:jc w:val="both"/>
        <w:rPr>
          <w:color w:val="auto"/>
          <w:sz w:val="20"/>
          <w:szCs w:val="20"/>
        </w:rPr>
      </w:pPr>
      <w:r w:rsidRPr="00C832AD">
        <w:rPr>
          <w:color w:val="auto"/>
          <w:sz w:val="20"/>
          <w:szCs w:val="20"/>
        </w:rPr>
        <w:t>Bytomski Inkubator Społeczny ROZBANA - Opiekunka 8.1.3 (22),</w:t>
      </w:r>
    </w:p>
    <w:p w:rsidR="006239E2" w:rsidRPr="00C832AD" w:rsidRDefault="006239E2" w:rsidP="00C832AD">
      <w:pPr>
        <w:pStyle w:val="Default"/>
        <w:numPr>
          <w:ilvl w:val="0"/>
          <w:numId w:val="687"/>
        </w:numPr>
        <w:jc w:val="both"/>
        <w:rPr>
          <w:color w:val="auto"/>
          <w:sz w:val="20"/>
          <w:szCs w:val="20"/>
        </w:rPr>
      </w:pPr>
      <w:r w:rsidRPr="00C832AD">
        <w:rPr>
          <w:color w:val="auto"/>
          <w:sz w:val="20"/>
          <w:szCs w:val="20"/>
        </w:rPr>
        <w:t>Usługi rozwojowe dla bytomskich przedsiębiorstw (23),</w:t>
      </w:r>
    </w:p>
    <w:p w:rsidR="006239E2" w:rsidRPr="00C832AD" w:rsidRDefault="006239E2" w:rsidP="00C832AD">
      <w:pPr>
        <w:pStyle w:val="Default"/>
        <w:numPr>
          <w:ilvl w:val="0"/>
          <w:numId w:val="687"/>
        </w:numPr>
        <w:jc w:val="both"/>
        <w:rPr>
          <w:color w:val="auto"/>
          <w:sz w:val="20"/>
          <w:szCs w:val="20"/>
        </w:rPr>
      </w:pPr>
      <w:r w:rsidRPr="00C832AD">
        <w:rPr>
          <w:color w:val="auto"/>
          <w:sz w:val="20"/>
          <w:szCs w:val="20"/>
        </w:rPr>
        <w:t xml:space="preserve">Bytomscy Transformersi–Strażnicy kapitału społecznego I (30), </w:t>
      </w:r>
    </w:p>
    <w:p w:rsidR="006239E2" w:rsidRPr="00C832AD" w:rsidRDefault="006239E2" w:rsidP="00C832AD">
      <w:pPr>
        <w:pStyle w:val="Default"/>
        <w:numPr>
          <w:ilvl w:val="0"/>
          <w:numId w:val="687"/>
        </w:numPr>
        <w:jc w:val="both"/>
        <w:rPr>
          <w:color w:val="auto"/>
          <w:sz w:val="20"/>
          <w:szCs w:val="20"/>
        </w:rPr>
      </w:pPr>
      <w:r w:rsidRPr="00C832AD">
        <w:rPr>
          <w:color w:val="auto"/>
          <w:sz w:val="20"/>
          <w:szCs w:val="20"/>
        </w:rPr>
        <w:t xml:space="preserve">Bytomscy Transformersi–Strażnicy kapitału społecznego II (31), </w:t>
      </w:r>
    </w:p>
    <w:p w:rsidR="006239E2" w:rsidRPr="00C832AD" w:rsidRDefault="006239E2" w:rsidP="00C832AD">
      <w:pPr>
        <w:pStyle w:val="Default"/>
        <w:numPr>
          <w:ilvl w:val="0"/>
          <w:numId w:val="687"/>
        </w:numPr>
        <w:jc w:val="both"/>
        <w:rPr>
          <w:color w:val="auto"/>
          <w:sz w:val="20"/>
          <w:szCs w:val="20"/>
        </w:rPr>
      </w:pPr>
      <w:r w:rsidRPr="00C832AD">
        <w:rPr>
          <w:color w:val="auto"/>
          <w:sz w:val="20"/>
          <w:szCs w:val="20"/>
        </w:rPr>
        <w:t xml:space="preserve">Bytomscy Transformersi–Strażnicy kapitału społecznego III (32), </w:t>
      </w:r>
    </w:p>
    <w:p w:rsidR="006239E2" w:rsidRPr="00C832AD" w:rsidRDefault="006239E2" w:rsidP="00C832AD">
      <w:pPr>
        <w:pStyle w:val="Default"/>
        <w:numPr>
          <w:ilvl w:val="0"/>
          <w:numId w:val="687"/>
        </w:numPr>
        <w:jc w:val="both"/>
        <w:rPr>
          <w:color w:val="auto"/>
          <w:sz w:val="20"/>
          <w:szCs w:val="20"/>
        </w:rPr>
      </w:pPr>
      <w:r w:rsidRPr="00C832AD">
        <w:rPr>
          <w:color w:val="auto"/>
          <w:sz w:val="20"/>
          <w:szCs w:val="20"/>
        </w:rPr>
        <w:t xml:space="preserve">Bytomscy Transformersi–Strażnicy kapitału społecznego IV (33), </w:t>
      </w:r>
    </w:p>
    <w:p w:rsidR="006239E2" w:rsidRPr="00C832AD" w:rsidRDefault="006239E2" w:rsidP="00C832AD">
      <w:pPr>
        <w:pStyle w:val="Default"/>
        <w:numPr>
          <w:ilvl w:val="0"/>
          <w:numId w:val="687"/>
        </w:numPr>
        <w:jc w:val="both"/>
        <w:rPr>
          <w:color w:val="auto"/>
          <w:sz w:val="20"/>
          <w:szCs w:val="20"/>
        </w:rPr>
      </w:pPr>
      <w:r w:rsidRPr="00C832AD">
        <w:rPr>
          <w:color w:val="auto"/>
          <w:sz w:val="20"/>
          <w:szCs w:val="20"/>
        </w:rPr>
        <w:t xml:space="preserve">Bytomski Ośrodek Aktywności (40), </w:t>
      </w:r>
    </w:p>
    <w:p w:rsidR="006239E2" w:rsidRPr="00C832AD" w:rsidRDefault="006239E2" w:rsidP="00C832AD">
      <w:pPr>
        <w:pStyle w:val="Default"/>
        <w:numPr>
          <w:ilvl w:val="0"/>
          <w:numId w:val="687"/>
        </w:numPr>
        <w:jc w:val="both"/>
        <w:rPr>
          <w:color w:val="auto"/>
          <w:sz w:val="20"/>
          <w:szCs w:val="20"/>
        </w:rPr>
      </w:pPr>
      <w:r w:rsidRPr="00C832AD">
        <w:rPr>
          <w:color w:val="auto"/>
          <w:sz w:val="20"/>
          <w:szCs w:val="20"/>
        </w:rPr>
        <w:t>Centrum Integracji Aktywnej na start (48),</w:t>
      </w:r>
    </w:p>
    <w:p w:rsidR="006239E2" w:rsidRPr="00C832AD" w:rsidRDefault="006239E2" w:rsidP="00C832AD">
      <w:pPr>
        <w:pStyle w:val="Default"/>
        <w:numPr>
          <w:ilvl w:val="0"/>
          <w:numId w:val="687"/>
        </w:numPr>
        <w:jc w:val="both"/>
        <w:rPr>
          <w:color w:val="auto"/>
          <w:sz w:val="20"/>
          <w:szCs w:val="20"/>
        </w:rPr>
      </w:pPr>
      <w:r w:rsidRPr="00C832AD">
        <w:rPr>
          <w:color w:val="auto"/>
          <w:sz w:val="20"/>
          <w:szCs w:val="20"/>
        </w:rPr>
        <w:t>Bytomski Inkubator Społeczny ROZBANA - Usługowa 9.2.3 (71),</w:t>
      </w:r>
    </w:p>
    <w:p w:rsidR="006239E2" w:rsidRPr="00C832AD" w:rsidRDefault="006239E2" w:rsidP="00C832AD">
      <w:pPr>
        <w:pStyle w:val="Default"/>
        <w:numPr>
          <w:ilvl w:val="0"/>
          <w:numId w:val="687"/>
        </w:numPr>
        <w:jc w:val="both"/>
        <w:rPr>
          <w:color w:val="auto"/>
          <w:sz w:val="20"/>
          <w:szCs w:val="20"/>
        </w:rPr>
      </w:pPr>
      <w:r w:rsidRPr="00C832AD">
        <w:rPr>
          <w:color w:val="auto"/>
          <w:sz w:val="20"/>
          <w:szCs w:val="20"/>
        </w:rPr>
        <w:t>Umiem się uczyć (75),</w:t>
      </w:r>
    </w:p>
    <w:p w:rsidR="006239E2" w:rsidRPr="00C832AD" w:rsidRDefault="006239E2" w:rsidP="00C832AD">
      <w:pPr>
        <w:pStyle w:val="Default"/>
        <w:numPr>
          <w:ilvl w:val="0"/>
          <w:numId w:val="687"/>
        </w:numPr>
        <w:jc w:val="both"/>
        <w:rPr>
          <w:color w:val="auto"/>
          <w:sz w:val="20"/>
          <w:szCs w:val="20"/>
        </w:rPr>
      </w:pPr>
      <w:r w:rsidRPr="00C832AD">
        <w:rPr>
          <w:color w:val="auto"/>
          <w:sz w:val="20"/>
          <w:szCs w:val="20"/>
        </w:rPr>
        <w:t>Bytomski Inkubator Społeczny ROZBANA - Rozwojowa 11.1.4 (78),</w:t>
      </w:r>
    </w:p>
    <w:p w:rsidR="006239E2" w:rsidRPr="00C832AD" w:rsidRDefault="006239E2" w:rsidP="00C832AD">
      <w:pPr>
        <w:pStyle w:val="Default"/>
        <w:numPr>
          <w:ilvl w:val="0"/>
          <w:numId w:val="687"/>
        </w:numPr>
        <w:jc w:val="both"/>
        <w:rPr>
          <w:color w:val="auto"/>
          <w:sz w:val="20"/>
          <w:szCs w:val="20"/>
        </w:rPr>
      </w:pPr>
      <w:r w:rsidRPr="00C832AD">
        <w:rPr>
          <w:color w:val="auto"/>
          <w:sz w:val="20"/>
          <w:szCs w:val="20"/>
        </w:rPr>
        <w:t>Masz firmę masz lokal - Program Aktywizacji Lokali Użytkowych (116),</w:t>
      </w:r>
    </w:p>
    <w:p w:rsidR="006239E2" w:rsidRPr="00BF1DF2" w:rsidRDefault="006239E2" w:rsidP="00C832AD">
      <w:pPr>
        <w:pStyle w:val="Default"/>
        <w:numPr>
          <w:ilvl w:val="0"/>
          <w:numId w:val="687"/>
        </w:numPr>
        <w:jc w:val="both"/>
        <w:rPr>
          <w:color w:val="auto"/>
          <w:sz w:val="20"/>
          <w:szCs w:val="20"/>
        </w:rPr>
      </w:pPr>
      <w:r w:rsidRPr="00C832AD">
        <w:rPr>
          <w:color w:val="auto"/>
          <w:sz w:val="20"/>
          <w:szCs w:val="20"/>
        </w:rPr>
        <w:t xml:space="preserve">Kompleksowa rewitalizacja złożona ze stref seniora, aktywizacji młodych, dla najmłodszych, zieleni, Inkubator Przedsiębiorczości z ukierunkowaniem na świadczenie usług dla osób starszych, poradnia </w:t>
      </w:r>
      <w:r w:rsidRPr="00BF1DF2">
        <w:rPr>
          <w:color w:val="auto"/>
          <w:sz w:val="20"/>
          <w:szCs w:val="20"/>
        </w:rPr>
        <w:t>zdrowia psychicznego wraz z ośrodkiem tera</w:t>
      </w:r>
      <w:r w:rsidR="00A20ED9" w:rsidRPr="00BF1DF2">
        <w:rPr>
          <w:color w:val="auto"/>
          <w:sz w:val="20"/>
          <w:szCs w:val="20"/>
        </w:rPr>
        <w:t>pii uzależnień, współuzależnień</w:t>
      </w:r>
      <w:r w:rsidR="00B66AB0" w:rsidRPr="00BF1DF2">
        <w:rPr>
          <w:color w:val="auto"/>
          <w:sz w:val="20"/>
          <w:szCs w:val="20"/>
        </w:rPr>
        <w:t xml:space="preserve"> i profilaktyki (120),</w:t>
      </w:r>
    </w:p>
    <w:p w:rsidR="00B66AB0" w:rsidRPr="00581E59" w:rsidRDefault="00B66AB0" w:rsidP="009C1D86">
      <w:pPr>
        <w:pStyle w:val="Default"/>
        <w:numPr>
          <w:ilvl w:val="0"/>
          <w:numId w:val="687"/>
        </w:numPr>
        <w:shd w:val="clear" w:color="auto" w:fill="F2F2F2" w:themeFill="background1" w:themeFillShade="F2"/>
        <w:jc w:val="both"/>
        <w:rPr>
          <w:color w:val="auto"/>
          <w:sz w:val="20"/>
          <w:szCs w:val="20"/>
        </w:rPr>
      </w:pPr>
      <w:r w:rsidRPr="009E6DA0">
        <w:rPr>
          <w:color w:val="auto"/>
          <w:sz w:val="20"/>
          <w:szCs w:val="20"/>
        </w:rPr>
        <w:t xml:space="preserve">Ponowne wykorzystanie zabudowań i zagospodarowanie terenu na obszarze dawnych Warsztatów Naprawczych GKW w Bytomiu </w:t>
      </w:r>
      <w:r w:rsidRPr="00581E59">
        <w:rPr>
          <w:color w:val="auto"/>
          <w:sz w:val="20"/>
          <w:szCs w:val="20"/>
        </w:rPr>
        <w:t>Rozbarku (</w:t>
      </w:r>
      <w:r w:rsidR="006A5DA2" w:rsidRPr="00581E59">
        <w:rPr>
          <w:color w:val="auto"/>
          <w:sz w:val="20"/>
          <w:szCs w:val="20"/>
        </w:rPr>
        <w:t>142</w:t>
      </w:r>
      <w:r w:rsidR="00BF1DF2" w:rsidRPr="00581E59">
        <w:rPr>
          <w:color w:val="auto"/>
          <w:sz w:val="20"/>
          <w:szCs w:val="20"/>
        </w:rPr>
        <w:t>).</w:t>
      </w:r>
    </w:p>
    <w:p w:rsidR="00120CE3" w:rsidRDefault="00120CE3" w:rsidP="00C832AD">
      <w:pPr>
        <w:pStyle w:val="Default"/>
        <w:jc w:val="both"/>
        <w:rPr>
          <w:b/>
          <w:bCs/>
          <w:color w:val="auto"/>
          <w:sz w:val="20"/>
          <w:szCs w:val="20"/>
        </w:rPr>
      </w:pPr>
    </w:p>
    <w:p w:rsidR="006239E2" w:rsidRPr="00C832AD" w:rsidRDefault="006239E2" w:rsidP="00C832AD">
      <w:pPr>
        <w:pStyle w:val="Default"/>
        <w:jc w:val="both"/>
        <w:rPr>
          <w:b/>
          <w:bCs/>
          <w:color w:val="auto"/>
          <w:sz w:val="20"/>
          <w:szCs w:val="20"/>
        </w:rPr>
      </w:pPr>
      <w:r w:rsidRPr="00C832AD">
        <w:rPr>
          <w:b/>
          <w:bCs/>
          <w:color w:val="auto"/>
          <w:sz w:val="20"/>
          <w:szCs w:val="20"/>
        </w:rPr>
        <w:t>Cel Operacyjny 1.2 Dogodne warunki dla rozwoju firm lokalnych – projekty:</w:t>
      </w:r>
    </w:p>
    <w:p w:rsidR="006239E2" w:rsidRPr="00C832AD" w:rsidRDefault="006239E2" w:rsidP="00C832AD">
      <w:pPr>
        <w:pStyle w:val="Default"/>
        <w:numPr>
          <w:ilvl w:val="0"/>
          <w:numId w:val="687"/>
        </w:numPr>
        <w:jc w:val="both"/>
        <w:rPr>
          <w:color w:val="auto"/>
          <w:sz w:val="20"/>
          <w:szCs w:val="20"/>
        </w:rPr>
      </w:pPr>
      <w:r w:rsidRPr="00C832AD">
        <w:rPr>
          <w:color w:val="auto"/>
          <w:sz w:val="20"/>
          <w:szCs w:val="20"/>
        </w:rPr>
        <w:t>Rewitalizacja społeczna bezrobotnych mieszkańców Bytomia poprzez aktywizację zawodową –</w:t>
      </w:r>
      <w:r w:rsidR="00A20ED9">
        <w:rPr>
          <w:color w:val="auto"/>
          <w:sz w:val="20"/>
          <w:szCs w:val="20"/>
        </w:rPr>
        <w:t xml:space="preserve"> </w:t>
      </w:r>
      <w:r w:rsidR="00FE7F06">
        <w:rPr>
          <w:color w:val="auto"/>
          <w:sz w:val="20"/>
          <w:szCs w:val="20"/>
        </w:rPr>
        <w:t>etap </w:t>
      </w:r>
      <w:r w:rsidRPr="00C832AD">
        <w:rPr>
          <w:color w:val="auto"/>
          <w:sz w:val="20"/>
          <w:szCs w:val="20"/>
        </w:rPr>
        <w:t>I</w:t>
      </w:r>
      <w:r w:rsidR="00FE7F06">
        <w:rPr>
          <w:color w:val="auto"/>
          <w:sz w:val="20"/>
          <w:szCs w:val="20"/>
        </w:rPr>
        <w:t> </w:t>
      </w:r>
      <w:r w:rsidRPr="00C832AD">
        <w:rPr>
          <w:color w:val="auto"/>
          <w:sz w:val="20"/>
          <w:szCs w:val="20"/>
        </w:rPr>
        <w:t xml:space="preserve">(1), </w:t>
      </w:r>
    </w:p>
    <w:p w:rsidR="006239E2" w:rsidRPr="00C832AD" w:rsidRDefault="006239E2" w:rsidP="00C832AD">
      <w:pPr>
        <w:pStyle w:val="Default"/>
        <w:numPr>
          <w:ilvl w:val="0"/>
          <w:numId w:val="687"/>
        </w:numPr>
        <w:jc w:val="both"/>
        <w:rPr>
          <w:color w:val="auto"/>
          <w:sz w:val="20"/>
          <w:szCs w:val="20"/>
        </w:rPr>
      </w:pPr>
      <w:r w:rsidRPr="00C832AD">
        <w:rPr>
          <w:color w:val="auto"/>
          <w:sz w:val="20"/>
          <w:szCs w:val="20"/>
        </w:rPr>
        <w:t>Rewitalizacja społeczna bezrobotnych mieszkańców Bytomia popr</w:t>
      </w:r>
      <w:r w:rsidR="00FE7F06">
        <w:rPr>
          <w:color w:val="auto"/>
          <w:sz w:val="20"/>
          <w:szCs w:val="20"/>
        </w:rPr>
        <w:t>zez aktywizację zawodową – etap </w:t>
      </w:r>
      <w:r w:rsidRPr="00C832AD">
        <w:rPr>
          <w:color w:val="auto"/>
          <w:sz w:val="20"/>
          <w:szCs w:val="20"/>
        </w:rPr>
        <w:t>II</w:t>
      </w:r>
      <w:r w:rsidR="00FE7F06">
        <w:rPr>
          <w:color w:val="auto"/>
          <w:sz w:val="20"/>
          <w:szCs w:val="20"/>
        </w:rPr>
        <w:t> </w:t>
      </w:r>
      <w:r w:rsidRPr="00C832AD">
        <w:rPr>
          <w:color w:val="auto"/>
          <w:sz w:val="20"/>
          <w:szCs w:val="20"/>
        </w:rPr>
        <w:t xml:space="preserve">(2), </w:t>
      </w:r>
    </w:p>
    <w:p w:rsidR="006239E2" w:rsidRPr="00C832AD" w:rsidRDefault="006239E2" w:rsidP="00C832AD">
      <w:pPr>
        <w:pStyle w:val="Akapitzlist"/>
        <w:numPr>
          <w:ilvl w:val="0"/>
          <w:numId w:val="687"/>
        </w:numPr>
        <w:spacing w:after="160" w:line="240" w:lineRule="auto"/>
        <w:contextualSpacing/>
        <w:jc w:val="both"/>
        <w:rPr>
          <w:rFonts w:cs="Calibri"/>
          <w:sz w:val="20"/>
          <w:szCs w:val="20"/>
        </w:rPr>
      </w:pPr>
      <w:r w:rsidRPr="00C832AD">
        <w:rPr>
          <w:rFonts w:cs="Calibri"/>
          <w:sz w:val="20"/>
          <w:szCs w:val="20"/>
        </w:rPr>
        <w:t xml:space="preserve">Rewitalizacja społeczna bezrobotnych mieszkańców Bytomia poprzez specjalistyczne szkolenia zawodowe w wybranych zawodach rzemieślniczych (3), </w:t>
      </w:r>
    </w:p>
    <w:p w:rsidR="006239E2" w:rsidRPr="00C832AD" w:rsidRDefault="006239E2" w:rsidP="00C832AD">
      <w:pPr>
        <w:pStyle w:val="Akapitzlist"/>
        <w:numPr>
          <w:ilvl w:val="0"/>
          <w:numId w:val="687"/>
        </w:numPr>
        <w:spacing w:after="160" w:line="240" w:lineRule="auto"/>
        <w:contextualSpacing/>
        <w:jc w:val="both"/>
        <w:rPr>
          <w:rFonts w:cs="Calibri"/>
          <w:sz w:val="20"/>
          <w:szCs w:val="20"/>
        </w:rPr>
      </w:pPr>
      <w:r w:rsidRPr="00C832AD">
        <w:rPr>
          <w:rFonts w:cs="Calibri"/>
          <w:sz w:val="20"/>
          <w:szCs w:val="20"/>
        </w:rPr>
        <w:t>Droga do aktywności zawodowej (4),</w:t>
      </w:r>
    </w:p>
    <w:p w:rsidR="00016CDF" w:rsidRPr="00016CDF" w:rsidRDefault="006239E2" w:rsidP="00016CDF">
      <w:pPr>
        <w:pStyle w:val="Akapitzlist"/>
        <w:numPr>
          <w:ilvl w:val="0"/>
          <w:numId w:val="687"/>
        </w:numPr>
        <w:spacing w:after="160" w:line="240" w:lineRule="auto"/>
        <w:contextualSpacing/>
        <w:jc w:val="both"/>
        <w:rPr>
          <w:rFonts w:cs="Calibri"/>
          <w:sz w:val="20"/>
          <w:szCs w:val="20"/>
        </w:rPr>
      </w:pPr>
      <w:r w:rsidRPr="00C832AD">
        <w:rPr>
          <w:sz w:val="20"/>
          <w:szCs w:val="20"/>
        </w:rPr>
        <w:t>Lepszy start, praca, lepsze jutro (6),</w:t>
      </w:r>
    </w:p>
    <w:p w:rsidR="00016CDF" w:rsidRPr="00016CDF" w:rsidRDefault="006239E2" w:rsidP="00016CDF">
      <w:pPr>
        <w:pStyle w:val="Akapitzlist"/>
        <w:numPr>
          <w:ilvl w:val="0"/>
          <w:numId w:val="687"/>
        </w:numPr>
        <w:spacing w:after="160" w:line="240" w:lineRule="auto"/>
        <w:contextualSpacing/>
        <w:jc w:val="both"/>
        <w:rPr>
          <w:rFonts w:cs="Calibri"/>
          <w:sz w:val="20"/>
          <w:szCs w:val="20"/>
        </w:rPr>
      </w:pPr>
      <w:r w:rsidRPr="00016CDF">
        <w:rPr>
          <w:sz w:val="20"/>
          <w:szCs w:val="20"/>
        </w:rPr>
        <w:t xml:space="preserve">Bytomski Inkubator Społeczny ROZBANA - Aktywne Zatrudnienie 7.1.3 (8), </w:t>
      </w:r>
    </w:p>
    <w:p w:rsidR="00016CDF" w:rsidRPr="00016CDF" w:rsidRDefault="006239E2" w:rsidP="00016CDF">
      <w:pPr>
        <w:pStyle w:val="Akapitzlist"/>
        <w:numPr>
          <w:ilvl w:val="0"/>
          <w:numId w:val="687"/>
        </w:numPr>
        <w:spacing w:after="160" w:line="240" w:lineRule="auto"/>
        <w:contextualSpacing/>
        <w:jc w:val="both"/>
        <w:rPr>
          <w:rFonts w:cs="Calibri"/>
          <w:sz w:val="20"/>
          <w:szCs w:val="20"/>
        </w:rPr>
      </w:pPr>
      <w:r w:rsidRPr="00016CDF">
        <w:rPr>
          <w:sz w:val="20"/>
          <w:szCs w:val="20"/>
        </w:rPr>
        <w:t xml:space="preserve">Bytomski Inkubator Przedsiębiorczości (14), </w:t>
      </w:r>
    </w:p>
    <w:p w:rsidR="006239E2" w:rsidRPr="00016CDF" w:rsidRDefault="006239E2" w:rsidP="00E857BD">
      <w:pPr>
        <w:pStyle w:val="Akapitzlist"/>
        <w:numPr>
          <w:ilvl w:val="0"/>
          <w:numId w:val="687"/>
        </w:numPr>
        <w:spacing w:after="0" w:line="240" w:lineRule="auto"/>
        <w:contextualSpacing/>
        <w:jc w:val="both"/>
        <w:rPr>
          <w:rFonts w:cs="Calibri"/>
          <w:sz w:val="20"/>
          <w:szCs w:val="20"/>
        </w:rPr>
      </w:pPr>
      <w:r w:rsidRPr="00016CDF">
        <w:rPr>
          <w:sz w:val="20"/>
          <w:szCs w:val="20"/>
        </w:rPr>
        <w:t xml:space="preserve">Bytomski Inkubator Społeczny ROZBANA - Promocja zatrudnienia 7.3.3 (16), </w:t>
      </w:r>
    </w:p>
    <w:p w:rsidR="006239E2" w:rsidRPr="00C832AD" w:rsidRDefault="006239E2" w:rsidP="00C832AD">
      <w:pPr>
        <w:pStyle w:val="Default"/>
        <w:numPr>
          <w:ilvl w:val="0"/>
          <w:numId w:val="687"/>
        </w:numPr>
        <w:jc w:val="both"/>
        <w:rPr>
          <w:color w:val="auto"/>
          <w:sz w:val="20"/>
          <w:szCs w:val="20"/>
        </w:rPr>
      </w:pPr>
      <w:r w:rsidRPr="00C832AD">
        <w:rPr>
          <w:color w:val="auto"/>
          <w:sz w:val="20"/>
          <w:szCs w:val="20"/>
        </w:rPr>
        <w:t>Bytomski Inkubator Społeczny ROZBANA - Outplacement 7.4.2 (19),</w:t>
      </w:r>
    </w:p>
    <w:p w:rsidR="006239E2" w:rsidRPr="00C832AD" w:rsidRDefault="006239E2" w:rsidP="00016CDF">
      <w:pPr>
        <w:pStyle w:val="Akapitzlist"/>
        <w:numPr>
          <w:ilvl w:val="0"/>
          <w:numId w:val="687"/>
        </w:numPr>
        <w:spacing w:after="0" w:line="240" w:lineRule="auto"/>
        <w:ind w:left="714" w:hanging="357"/>
        <w:contextualSpacing/>
        <w:jc w:val="both"/>
        <w:rPr>
          <w:rFonts w:cs="Calibri"/>
          <w:sz w:val="20"/>
          <w:szCs w:val="20"/>
        </w:rPr>
      </w:pPr>
      <w:r w:rsidRPr="00C832AD">
        <w:rPr>
          <w:rFonts w:cs="Calibri"/>
          <w:sz w:val="20"/>
          <w:szCs w:val="20"/>
        </w:rPr>
        <w:t>Bytomski Inkubator Społeczny ROZBANA - Opiekunka 8.1.3 (22),</w:t>
      </w:r>
    </w:p>
    <w:p w:rsidR="006239E2" w:rsidRPr="00C832AD" w:rsidRDefault="006239E2" w:rsidP="00016CDF">
      <w:pPr>
        <w:pStyle w:val="Default"/>
        <w:numPr>
          <w:ilvl w:val="0"/>
          <w:numId w:val="687"/>
        </w:numPr>
        <w:ind w:left="714" w:hanging="357"/>
        <w:jc w:val="both"/>
        <w:rPr>
          <w:color w:val="auto"/>
          <w:sz w:val="20"/>
          <w:szCs w:val="20"/>
        </w:rPr>
      </w:pPr>
      <w:r w:rsidRPr="00C832AD">
        <w:rPr>
          <w:color w:val="auto"/>
          <w:sz w:val="20"/>
          <w:szCs w:val="20"/>
        </w:rPr>
        <w:t xml:space="preserve">Bytomscy Transformersi–Strażnicy kapitału społecznego I (30), </w:t>
      </w:r>
    </w:p>
    <w:p w:rsidR="006239E2" w:rsidRPr="00C832AD" w:rsidRDefault="006239E2" w:rsidP="00016CDF">
      <w:pPr>
        <w:pStyle w:val="Default"/>
        <w:numPr>
          <w:ilvl w:val="0"/>
          <w:numId w:val="687"/>
        </w:numPr>
        <w:ind w:left="714" w:hanging="357"/>
        <w:jc w:val="both"/>
        <w:rPr>
          <w:color w:val="auto"/>
          <w:sz w:val="20"/>
          <w:szCs w:val="20"/>
        </w:rPr>
      </w:pPr>
      <w:r w:rsidRPr="00C832AD">
        <w:rPr>
          <w:color w:val="auto"/>
          <w:sz w:val="20"/>
          <w:szCs w:val="20"/>
        </w:rPr>
        <w:t xml:space="preserve">Bytomscy Transformersi–Strażnicy kapitału społecznego II (31), </w:t>
      </w:r>
    </w:p>
    <w:p w:rsidR="006239E2" w:rsidRPr="00C832AD" w:rsidRDefault="006239E2" w:rsidP="00016CDF">
      <w:pPr>
        <w:pStyle w:val="Default"/>
        <w:numPr>
          <w:ilvl w:val="0"/>
          <w:numId w:val="687"/>
        </w:numPr>
        <w:ind w:left="714" w:hanging="357"/>
        <w:jc w:val="both"/>
        <w:rPr>
          <w:color w:val="auto"/>
          <w:sz w:val="20"/>
          <w:szCs w:val="20"/>
        </w:rPr>
      </w:pPr>
      <w:r w:rsidRPr="00C832AD">
        <w:rPr>
          <w:color w:val="auto"/>
          <w:sz w:val="20"/>
          <w:szCs w:val="20"/>
        </w:rPr>
        <w:t xml:space="preserve">Bytomscy Transformersi–Strażnicy kapitału społecznego III (32), </w:t>
      </w:r>
    </w:p>
    <w:p w:rsidR="006239E2" w:rsidRPr="00C832AD" w:rsidRDefault="006239E2" w:rsidP="00016CDF">
      <w:pPr>
        <w:pStyle w:val="Default"/>
        <w:numPr>
          <w:ilvl w:val="0"/>
          <w:numId w:val="687"/>
        </w:numPr>
        <w:ind w:left="714" w:hanging="357"/>
        <w:jc w:val="both"/>
        <w:rPr>
          <w:color w:val="auto"/>
          <w:sz w:val="20"/>
          <w:szCs w:val="20"/>
        </w:rPr>
      </w:pPr>
      <w:r w:rsidRPr="00C832AD">
        <w:rPr>
          <w:color w:val="auto"/>
          <w:sz w:val="20"/>
          <w:szCs w:val="20"/>
        </w:rPr>
        <w:t xml:space="preserve">Bytomscy Transformersi–Strażnicy kapitału społecznego IV (33), </w:t>
      </w:r>
    </w:p>
    <w:p w:rsidR="006239E2" w:rsidRPr="00C832AD" w:rsidRDefault="006239E2" w:rsidP="00016CDF">
      <w:pPr>
        <w:pStyle w:val="Akapitzlist"/>
        <w:numPr>
          <w:ilvl w:val="0"/>
          <w:numId w:val="687"/>
        </w:numPr>
        <w:spacing w:after="0" w:line="240" w:lineRule="auto"/>
        <w:ind w:left="714" w:hanging="357"/>
        <w:contextualSpacing/>
        <w:jc w:val="both"/>
        <w:rPr>
          <w:rFonts w:cs="Calibri"/>
          <w:sz w:val="20"/>
          <w:szCs w:val="20"/>
        </w:rPr>
      </w:pPr>
      <w:r w:rsidRPr="00C832AD">
        <w:rPr>
          <w:rFonts w:cs="Calibri"/>
          <w:sz w:val="20"/>
          <w:szCs w:val="20"/>
        </w:rPr>
        <w:t xml:space="preserve">Bytomski Ośrodek Aktywności (40), </w:t>
      </w:r>
    </w:p>
    <w:p w:rsidR="006239E2" w:rsidRPr="00C832AD" w:rsidRDefault="006239E2" w:rsidP="00C832AD">
      <w:pPr>
        <w:pStyle w:val="Akapitzlist"/>
        <w:numPr>
          <w:ilvl w:val="0"/>
          <w:numId w:val="687"/>
        </w:numPr>
        <w:spacing w:after="160" w:line="240" w:lineRule="auto"/>
        <w:contextualSpacing/>
        <w:jc w:val="both"/>
        <w:rPr>
          <w:rFonts w:cs="Calibri"/>
          <w:sz w:val="20"/>
          <w:szCs w:val="20"/>
        </w:rPr>
      </w:pPr>
      <w:r w:rsidRPr="00C832AD">
        <w:rPr>
          <w:rFonts w:cs="Calibri"/>
          <w:sz w:val="20"/>
          <w:szCs w:val="20"/>
        </w:rPr>
        <w:t>Bytomski Inkubator Społeczny ROZBANA - Integracja 9.1.3 (47),</w:t>
      </w:r>
    </w:p>
    <w:p w:rsidR="006239E2" w:rsidRPr="00C832AD" w:rsidRDefault="006239E2" w:rsidP="00C832AD">
      <w:pPr>
        <w:pStyle w:val="Akapitzlist"/>
        <w:numPr>
          <w:ilvl w:val="0"/>
          <w:numId w:val="687"/>
        </w:numPr>
        <w:spacing w:after="160" w:line="240" w:lineRule="auto"/>
        <w:contextualSpacing/>
        <w:jc w:val="both"/>
        <w:rPr>
          <w:rFonts w:cs="Calibri"/>
          <w:sz w:val="20"/>
          <w:szCs w:val="20"/>
        </w:rPr>
      </w:pPr>
      <w:r w:rsidRPr="00C832AD">
        <w:rPr>
          <w:sz w:val="20"/>
          <w:szCs w:val="20"/>
        </w:rPr>
        <w:t>Bytomski Inkubator Społeczny ROZBANA - Usługowa 9.2.3 (71),</w:t>
      </w:r>
    </w:p>
    <w:p w:rsidR="006239E2" w:rsidRPr="00C832AD" w:rsidRDefault="006239E2" w:rsidP="00C832AD">
      <w:pPr>
        <w:pStyle w:val="Akapitzlist"/>
        <w:numPr>
          <w:ilvl w:val="0"/>
          <w:numId w:val="687"/>
        </w:numPr>
        <w:spacing w:after="160" w:line="240" w:lineRule="auto"/>
        <w:contextualSpacing/>
        <w:jc w:val="both"/>
        <w:rPr>
          <w:rFonts w:cs="Calibri"/>
          <w:sz w:val="20"/>
          <w:szCs w:val="20"/>
        </w:rPr>
      </w:pPr>
      <w:r w:rsidRPr="00C832AD">
        <w:rPr>
          <w:sz w:val="20"/>
          <w:szCs w:val="20"/>
        </w:rPr>
        <w:t>Umiem się uczyć (75),</w:t>
      </w:r>
    </w:p>
    <w:p w:rsidR="006239E2" w:rsidRPr="00C832AD" w:rsidRDefault="006239E2" w:rsidP="00C832AD">
      <w:pPr>
        <w:pStyle w:val="Akapitzlist"/>
        <w:numPr>
          <w:ilvl w:val="0"/>
          <w:numId w:val="687"/>
        </w:numPr>
        <w:spacing w:after="160" w:line="240" w:lineRule="auto"/>
        <w:contextualSpacing/>
        <w:jc w:val="both"/>
        <w:rPr>
          <w:rFonts w:cs="Calibri"/>
          <w:sz w:val="20"/>
          <w:szCs w:val="20"/>
        </w:rPr>
      </w:pPr>
      <w:r w:rsidRPr="00C832AD">
        <w:rPr>
          <w:rFonts w:cs="Calibri"/>
          <w:sz w:val="20"/>
          <w:szCs w:val="20"/>
        </w:rPr>
        <w:t>Bytomski Inkubator Społeczny ROZBANA - Rozwojowa 11.1.4 (78),</w:t>
      </w:r>
    </w:p>
    <w:p w:rsidR="006239E2" w:rsidRPr="00C832AD" w:rsidRDefault="006239E2" w:rsidP="00C832AD">
      <w:pPr>
        <w:pStyle w:val="Akapitzlist"/>
        <w:numPr>
          <w:ilvl w:val="0"/>
          <w:numId w:val="687"/>
        </w:numPr>
        <w:spacing w:after="160" w:line="240" w:lineRule="auto"/>
        <w:contextualSpacing/>
        <w:jc w:val="both"/>
        <w:rPr>
          <w:rFonts w:cs="Calibri"/>
          <w:sz w:val="20"/>
          <w:szCs w:val="20"/>
        </w:rPr>
      </w:pPr>
      <w:r w:rsidRPr="00C832AD">
        <w:rPr>
          <w:rFonts w:cs="Calibri"/>
          <w:sz w:val="20"/>
          <w:szCs w:val="20"/>
        </w:rPr>
        <w:t>Rewitalizacja obiektów po byłym zakładzie naprawczym zabytkowej Górnośląskiej Kolei Wąskotorowej w Bytomiu (117),</w:t>
      </w:r>
    </w:p>
    <w:p w:rsidR="006239E2" w:rsidRPr="00581E59" w:rsidRDefault="006239E2" w:rsidP="00C832AD">
      <w:pPr>
        <w:pStyle w:val="Akapitzlist"/>
        <w:numPr>
          <w:ilvl w:val="0"/>
          <w:numId w:val="687"/>
        </w:numPr>
        <w:spacing w:after="160" w:line="240" w:lineRule="auto"/>
        <w:contextualSpacing/>
        <w:jc w:val="both"/>
        <w:rPr>
          <w:rFonts w:cs="Calibri"/>
          <w:sz w:val="20"/>
          <w:szCs w:val="20"/>
        </w:rPr>
      </w:pPr>
      <w:r w:rsidRPr="00581E59">
        <w:rPr>
          <w:sz w:val="20"/>
          <w:szCs w:val="20"/>
        </w:rPr>
        <w:t>Kompleksowa rewitalizacja złożona ze stref seniora, aktywizacji młodych, dla najmłodszych, zieleni, Inkubator Przedsiębiorczości z ukierunkowaniem na świadczenie usług dla osób starszych, poradnia zdrowia psychicznego wraz z ośrodkiem tera</w:t>
      </w:r>
      <w:r w:rsidR="00A20ED9" w:rsidRPr="00581E59">
        <w:rPr>
          <w:sz w:val="20"/>
          <w:szCs w:val="20"/>
        </w:rPr>
        <w:t>pii uzależnień, współuzależnień</w:t>
      </w:r>
      <w:r w:rsidRPr="00581E59">
        <w:rPr>
          <w:sz w:val="20"/>
          <w:szCs w:val="20"/>
        </w:rPr>
        <w:t xml:space="preserve"> i profilaktyki (120).</w:t>
      </w:r>
    </w:p>
    <w:p w:rsidR="006C34B7" w:rsidRPr="00581E59" w:rsidRDefault="00B66AB0" w:rsidP="009C1D86">
      <w:pPr>
        <w:pStyle w:val="Akapitzlist"/>
        <w:numPr>
          <w:ilvl w:val="0"/>
          <w:numId w:val="687"/>
        </w:numPr>
        <w:shd w:val="clear" w:color="auto" w:fill="F2F2F2" w:themeFill="background1" w:themeFillShade="F2"/>
        <w:spacing w:after="160" w:line="240" w:lineRule="auto"/>
        <w:contextualSpacing/>
        <w:jc w:val="both"/>
        <w:rPr>
          <w:rFonts w:cs="Calibri"/>
          <w:sz w:val="20"/>
          <w:szCs w:val="20"/>
        </w:rPr>
      </w:pPr>
      <w:r w:rsidRPr="00581E59">
        <w:rPr>
          <w:rFonts w:cs="Calibri"/>
          <w:sz w:val="20"/>
          <w:szCs w:val="20"/>
        </w:rPr>
        <w:t>Ponowne wykorzystanie zabudowań i zagospodarowanie terenu na obszarze dawnych Warsztatów Naprawczych GKW w Bytomiu Rozbarku (</w:t>
      </w:r>
      <w:r w:rsidR="006A5DA2" w:rsidRPr="00581E59">
        <w:rPr>
          <w:rFonts w:cs="Calibri"/>
          <w:sz w:val="20"/>
          <w:szCs w:val="20"/>
        </w:rPr>
        <w:t>142</w:t>
      </w:r>
      <w:r w:rsidRPr="00581E59">
        <w:rPr>
          <w:rFonts w:cs="Calibri"/>
          <w:sz w:val="20"/>
          <w:szCs w:val="20"/>
        </w:rPr>
        <w:t>)</w:t>
      </w:r>
      <w:r w:rsidR="006C34B7" w:rsidRPr="00581E59">
        <w:rPr>
          <w:rFonts w:cs="Calibri"/>
          <w:sz w:val="20"/>
          <w:szCs w:val="20"/>
        </w:rPr>
        <w:t>,</w:t>
      </w:r>
    </w:p>
    <w:p w:rsidR="006C34B7" w:rsidRPr="00581E59" w:rsidRDefault="006C34B7" w:rsidP="009C1D86">
      <w:pPr>
        <w:pStyle w:val="Akapitzlist"/>
        <w:numPr>
          <w:ilvl w:val="0"/>
          <w:numId w:val="687"/>
        </w:numPr>
        <w:shd w:val="clear" w:color="auto" w:fill="F2F2F2" w:themeFill="background1" w:themeFillShade="F2"/>
        <w:spacing w:after="160" w:line="240" w:lineRule="auto"/>
        <w:contextualSpacing/>
        <w:jc w:val="both"/>
        <w:rPr>
          <w:rFonts w:cs="Calibri"/>
          <w:sz w:val="20"/>
          <w:szCs w:val="20"/>
        </w:rPr>
      </w:pPr>
      <w:r w:rsidRPr="00581E59">
        <w:rPr>
          <w:rFonts w:cs="Calibri"/>
          <w:sz w:val="20"/>
          <w:szCs w:val="20"/>
        </w:rPr>
        <w:t xml:space="preserve">„Nowy RozPark” hala warsztatowa - rewitalizacja terenów i obiektów poprzemysłowych – hali warsztatowej byłych warsztatów naprawczych kolei wąskotorowej na cele usług społecznych </w:t>
      </w:r>
      <w:r w:rsidR="0069036A" w:rsidRPr="00581E59">
        <w:rPr>
          <w:rFonts w:cs="Calibri"/>
          <w:sz w:val="20"/>
          <w:szCs w:val="20"/>
        </w:rPr>
        <w:br/>
      </w:r>
      <w:r w:rsidRPr="00581E59">
        <w:rPr>
          <w:rFonts w:cs="Calibri"/>
          <w:sz w:val="20"/>
          <w:szCs w:val="20"/>
        </w:rPr>
        <w:t>i mieszkalnictwa wspomaganego (143).</w:t>
      </w:r>
    </w:p>
    <w:p w:rsidR="006239E2" w:rsidRPr="00C832AD" w:rsidRDefault="006239E2" w:rsidP="00C832AD">
      <w:pPr>
        <w:pStyle w:val="Default"/>
        <w:jc w:val="both"/>
        <w:rPr>
          <w:b/>
          <w:bCs/>
          <w:color w:val="auto"/>
          <w:sz w:val="20"/>
          <w:szCs w:val="20"/>
        </w:rPr>
      </w:pPr>
      <w:r w:rsidRPr="00C832AD">
        <w:rPr>
          <w:b/>
          <w:bCs/>
          <w:color w:val="auto"/>
          <w:sz w:val="20"/>
          <w:szCs w:val="20"/>
        </w:rPr>
        <w:t>Cel Operacyjny 1.3 Wysoki poziom dostępności udogodnień umożliwiających podnoszenie kwalifikacji mieszkańców, usuwanie barier w powrocie na rynek pracy oraz wzrastający poziom motywacji wewnętrznej mieszkańców w zakresie realizacji karier zawodowych – projekty:</w:t>
      </w:r>
    </w:p>
    <w:p w:rsidR="006239E2" w:rsidRPr="00C832AD" w:rsidRDefault="006239E2" w:rsidP="00C832AD">
      <w:pPr>
        <w:pStyle w:val="Default"/>
        <w:numPr>
          <w:ilvl w:val="0"/>
          <w:numId w:val="687"/>
        </w:numPr>
        <w:jc w:val="both"/>
        <w:rPr>
          <w:color w:val="auto"/>
          <w:sz w:val="20"/>
          <w:szCs w:val="20"/>
        </w:rPr>
      </w:pPr>
      <w:r w:rsidRPr="00C832AD">
        <w:rPr>
          <w:color w:val="auto"/>
          <w:sz w:val="20"/>
          <w:szCs w:val="20"/>
        </w:rPr>
        <w:t>Rewitalizacja społeczna bezrobotnych mieszkańców Bytomia poprzez aktywizację zawodową –</w:t>
      </w:r>
      <w:r w:rsidR="00B109B5">
        <w:rPr>
          <w:color w:val="auto"/>
          <w:sz w:val="20"/>
          <w:szCs w:val="20"/>
        </w:rPr>
        <w:t xml:space="preserve"> </w:t>
      </w:r>
      <w:r w:rsidR="00EA669B">
        <w:rPr>
          <w:color w:val="auto"/>
          <w:sz w:val="20"/>
          <w:szCs w:val="20"/>
        </w:rPr>
        <w:t>etap </w:t>
      </w:r>
      <w:r w:rsidRPr="00C832AD">
        <w:rPr>
          <w:color w:val="auto"/>
          <w:sz w:val="20"/>
          <w:szCs w:val="20"/>
        </w:rPr>
        <w:t>I</w:t>
      </w:r>
      <w:r w:rsidR="00EA669B">
        <w:rPr>
          <w:color w:val="auto"/>
          <w:sz w:val="20"/>
          <w:szCs w:val="20"/>
        </w:rPr>
        <w:t> </w:t>
      </w:r>
      <w:r w:rsidRPr="00C832AD">
        <w:rPr>
          <w:color w:val="auto"/>
          <w:sz w:val="20"/>
          <w:szCs w:val="20"/>
        </w:rPr>
        <w:t xml:space="preserve">(1), </w:t>
      </w:r>
    </w:p>
    <w:p w:rsidR="006239E2" w:rsidRPr="00C832AD" w:rsidRDefault="006239E2" w:rsidP="00C832AD">
      <w:pPr>
        <w:pStyle w:val="Default"/>
        <w:numPr>
          <w:ilvl w:val="0"/>
          <w:numId w:val="687"/>
        </w:numPr>
        <w:jc w:val="both"/>
        <w:rPr>
          <w:color w:val="auto"/>
          <w:sz w:val="20"/>
          <w:szCs w:val="20"/>
        </w:rPr>
      </w:pPr>
      <w:r w:rsidRPr="00C832AD">
        <w:rPr>
          <w:color w:val="auto"/>
          <w:sz w:val="20"/>
          <w:szCs w:val="20"/>
        </w:rPr>
        <w:t>Rewitalizacja społeczna bezrobotnych mieszkańców Bytomia popr</w:t>
      </w:r>
      <w:r w:rsidR="00EA669B">
        <w:rPr>
          <w:color w:val="auto"/>
          <w:sz w:val="20"/>
          <w:szCs w:val="20"/>
        </w:rPr>
        <w:t>zez aktywizację zawodową – etap </w:t>
      </w:r>
      <w:r w:rsidRPr="00C832AD">
        <w:rPr>
          <w:color w:val="auto"/>
          <w:sz w:val="20"/>
          <w:szCs w:val="20"/>
        </w:rPr>
        <w:t>II</w:t>
      </w:r>
      <w:r w:rsidR="00EA669B">
        <w:rPr>
          <w:color w:val="auto"/>
          <w:sz w:val="20"/>
          <w:szCs w:val="20"/>
        </w:rPr>
        <w:t> </w:t>
      </w:r>
      <w:r w:rsidRPr="00C832AD">
        <w:rPr>
          <w:color w:val="auto"/>
          <w:sz w:val="20"/>
          <w:szCs w:val="20"/>
        </w:rPr>
        <w:t xml:space="preserve">(2), </w:t>
      </w:r>
    </w:p>
    <w:p w:rsidR="006239E2" w:rsidRPr="00C832AD" w:rsidRDefault="006239E2" w:rsidP="00C832AD">
      <w:pPr>
        <w:pStyle w:val="Akapitzlist"/>
        <w:numPr>
          <w:ilvl w:val="0"/>
          <w:numId w:val="687"/>
        </w:numPr>
        <w:spacing w:after="160" w:line="240" w:lineRule="auto"/>
        <w:contextualSpacing/>
        <w:jc w:val="both"/>
        <w:rPr>
          <w:rFonts w:cs="Calibri"/>
          <w:sz w:val="20"/>
          <w:szCs w:val="20"/>
        </w:rPr>
      </w:pPr>
      <w:r w:rsidRPr="00C832AD">
        <w:rPr>
          <w:rFonts w:cs="Calibri"/>
          <w:sz w:val="20"/>
          <w:szCs w:val="20"/>
        </w:rPr>
        <w:t xml:space="preserve">Rewitalizacja społeczna bezrobotnych mieszkańców Bytomia poprzez specjalistyczne szkolenia zawodowe w wybranych zawodach rzemieślniczych (3), </w:t>
      </w:r>
    </w:p>
    <w:p w:rsidR="006239E2" w:rsidRPr="00C832AD" w:rsidRDefault="006239E2" w:rsidP="00C832AD">
      <w:pPr>
        <w:pStyle w:val="Akapitzlist"/>
        <w:numPr>
          <w:ilvl w:val="0"/>
          <w:numId w:val="687"/>
        </w:numPr>
        <w:spacing w:after="160" w:line="240" w:lineRule="auto"/>
        <w:contextualSpacing/>
        <w:jc w:val="both"/>
        <w:rPr>
          <w:rFonts w:cs="Calibri"/>
          <w:sz w:val="20"/>
          <w:szCs w:val="20"/>
        </w:rPr>
      </w:pPr>
      <w:r w:rsidRPr="00C832AD">
        <w:rPr>
          <w:rFonts w:cs="Calibri"/>
          <w:sz w:val="20"/>
          <w:szCs w:val="20"/>
        </w:rPr>
        <w:t>Droga do aktywności zawodowej (4),</w:t>
      </w:r>
    </w:p>
    <w:p w:rsidR="006239E2" w:rsidRPr="00C832AD" w:rsidRDefault="006239E2" w:rsidP="0004622A">
      <w:pPr>
        <w:pStyle w:val="Akapitzlist"/>
        <w:numPr>
          <w:ilvl w:val="0"/>
          <w:numId w:val="687"/>
        </w:numPr>
        <w:spacing w:after="0" w:line="240" w:lineRule="auto"/>
        <w:ind w:left="714" w:hanging="357"/>
        <w:contextualSpacing/>
        <w:jc w:val="both"/>
        <w:rPr>
          <w:rFonts w:cs="Calibri"/>
          <w:sz w:val="20"/>
          <w:szCs w:val="20"/>
        </w:rPr>
      </w:pPr>
      <w:r w:rsidRPr="00C832AD">
        <w:rPr>
          <w:sz w:val="20"/>
          <w:szCs w:val="20"/>
        </w:rPr>
        <w:t xml:space="preserve">Bytomski Inkubator Społeczny ROZBANA - Aktywne Zatrudnienie 7.1.3 (8), </w:t>
      </w:r>
    </w:p>
    <w:p w:rsidR="006239E2" w:rsidRPr="00C832AD" w:rsidRDefault="006239E2" w:rsidP="0004622A">
      <w:pPr>
        <w:pStyle w:val="Akapitzlist"/>
        <w:numPr>
          <w:ilvl w:val="0"/>
          <w:numId w:val="687"/>
        </w:numPr>
        <w:spacing w:after="0" w:line="240" w:lineRule="auto"/>
        <w:ind w:left="714" w:hanging="357"/>
        <w:contextualSpacing/>
        <w:jc w:val="both"/>
        <w:rPr>
          <w:rFonts w:cs="Calibri"/>
          <w:sz w:val="20"/>
          <w:szCs w:val="20"/>
        </w:rPr>
      </w:pPr>
      <w:r w:rsidRPr="00C832AD">
        <w:rPr>
          <w:sz w:val="20"/>
          <w:szCs w:val="20"/>
        </w:rPr>
        <w:t>Zielony Bytom – Nowy start (9),</w:t>
      </w:r>
    </w:p>
    <w:p w:rsidR="006239E2" w:rsidRPr="00C832AD" w:rsidRDefault="006239E2" w:rsidP="0004622A">
      <w:pPr>
        <w:pStyle w:val="Default"/>
        <w:numPr>
          <w:ilvl w:val="0"/>
          <w:numId w:val="687"/>
        </w:numPr>
        <w:ind w:left="714" w:hanging="357"/>
        <w:jc w:val="both"/>
        <w:rPr>
          <w:color w:val="auto"/>
          <w:sz w:val="20"/>
          <w:szCs w:val="20"/>
        </w:rPr>
      </w:pPr>
      <w:r w:rsidRPr="00C832AD">
        <w:rPr>
          <w:color w:val="auto"/>
          <w:sz w:val="20"/>
          <w:szCs w:val="20"/>
        </w:rPr>
        <w:t>Bytomianie pracują w bytomskich przedsiębiorstwach (10),</w:t>
      </w:r>
    </w:p>
    <w:p w:rsidR="006239E2" w:rsidRPr="00C832AD" w:rsidRDefault="006239E2" w:rsidP="00C832AD">
      <w:pPr>
        <w:pStyle w:val="Default"/>
        <w:numPr>
          <w:ilvl w:val="0"/>
          <w:numId w:val="687"/>
        </w:numPr>
        <w:jc w:val="both"/>
        <w:rPr>
          <w:color w:val="auto"/>
          <w:sz w:val="20"/>
          <w:szCs w:val="20"/>
        </w:rPr>
      </w:pPr>
      <w:r w:rsidRPr="00C832AD">
        <w:rPr>
          <w:color w:val="auto"/>
          <w:sz w:val="20"/>
          <w:szCs w:val="20"/>
        </w:rPr>
        <w:t xml:space="preserve">Szansa na własną firmę (11), </w:t>
      </w:r>
    </w:p>
    <w:p w:rsidR="006239E2" w:rsidRPr="00C832AD" w:rsidRDefault="006239E2" w:rsidP="00C832AD">
      <w:pPr>
        <w:pStyle w:val="Default"/>
        <w:numPr>
          <w:ilvl w:val="0"/>
          <w:numId w:val="687"/>
        </w:numPr>
        <w:jc w:val="both"/>
        <w:rPr>
          <w:color w:val="auto"/>
          <w:sz w:val="20"/>
          <w:szCs w:val="20"/>
        </w:rPr>
      </w:pPr>
      <w:r w:rsidRPr="00C832AD">
        <w:rPr>
          <w:color w:val="auto"/>
          <w:sz w:val="20"/>
          <w:szCs w:val="20"/>
        </w:rPr>
        <w:t xml:space="preserve">Firma dla seniora (12), </w:t>
      </w:r>
    </w:p>
    <w:p w:rsidR="006239E2" w:rsidRPr="00C832AD" w:rsidRDefault="006239E2" w:rsidP="00C832AD">
      <w:pPr>
        <w:pStyle w:val="Akapitzlist"/>
        <w:numPr>
          <w:ilvl w:val="0"/>
          <w:numId w:val="687"/>
        </w:numPr>
        <w:spacing w:after="160" w:line="240" w:lineRule="auto"/>
        <w:contextualSpacing/>
        <w:jc w:val="both"/>
        <w:rPr>
          <w:rFonts w:cs="Calibri"/>
          <w:sz w:val="20"/>
          <w:szCs w:val="20"/>
        </w:rPr>
      </w:pPr>
      <w:r w:rsidRPr="00C832AD">
        <w:rPr>
          <w:sz w:val="20"/>
          <w:szCs w:val="20"/>
        </w:rPr>
        <w:t>Aktywizacja bytomskiej przedsiębiorczości (13),</w:t>
      </w:r>
    </w:p>
    <w:p w:rsidR="006239E2" w:rsidRPr="00C832AD" w:rsidRDefault="006239E2" w:rsidP="00C832AD">
      <w:pPr>
        <w:pStyle w:val="Akapitzlist"/>
        <w:numPr>
          <w:ilvl w:val="0"/>
          <w:numId w:val="687"/>
        </w:numPr>
        <w:spacing w:after="160" w:line="240" w:lineRule="auto"/>
        <w:contextualSpacing/>
        <w:jc w:val="both"/>
        <w:rPr>
          <w:rFonts w:cs="Calibri"/>
          <w:sz w:val="20"/>
          <w:szCs w:val="20"/>
        </w:rPr>
      </w:pPr>
      <w:r w:rsidRPr="00C832AD">
        <w:rPr>
          <w:sz w:val="20"/>
          <w:szCs w:val="20"/>
        </w:rPr>
        <w:t>Bytomski Inkubator Społeczny ROZBANA - Promocja zatrudnienia 7.3.3 (16),</w:t>
      </w:r>
    </w:p>
    <w:p w:rsidR="006239E2" w:rsidRPr="00C832AD" w:rsidRDefault="006239E2" w:rsidP="00C832AD">
      <w:pPr>
        <w:pStyle w:val="Akapitzlist"/>
        <w:numPr>
          <w:ilvl w:val="0"/>
          <w:numId w:val="687"/>
        </w:numPr>
        <w:spacing w:after="160" w:line="240" w:lineRule="auto"/>
        <w:contextualSpacing/>
        <w:jc w:val="both"/>
        <w:rPr>
          <w:rFonts w:cs="Calibri"/>
          <w:sz w:val="20"/>
          <w:szCs w:val="20"/>
        </w:rPr>
      </w:pPr>
      <w:r w:rsidRPr="00C832AD">
        <w:rPr>
          <w:sz w:val="20"/>
          <w:szCs w:val="20"/>
        </w:rPr>
        <w:t>Nowe horyzonty zawodowe (17),</w:t>
      </w:r>
    </w:p>
    <w:p w:rsidR="006239E2" w:rsidRPr="00C832AD" w:rsidRDefault="006239E2" w:rsidP="00C832AD">
      <w:pPr>
        <w:pStyle w:val="Akapitzlist"/>
        <w:numPr>
          <w:ilvl w:val="0"/>
          <w:numId w:val="687"/>
        </w:numPr>
        <w:spacing w:after="160" w:line="240" w:lineRule="auto"/>
        <w:contextualSpacing/>
        <w:jc w:val="both"/>
        <w:rPr>
          <w:rFonts w:cs="Calibri"/>
          <w:sz w:val="20"/>
          <w:szCs w:val="20"/>
        </w:rPr>
      </w:pPr>
      <w:r w:rsidRPr="00C832AD">
        <w:rPr>
          <w:sz w:val="20"/>
          <w:szCs w:val="20"/>
        </w:rPr>
        <w:t>Bytomski Inkubator Społeczny ROZBANA - Outplacement 7.4.2 (19),</w:t>
      </w:r>
    </w:p>
    <w:p w:rsidR="006239E2" w:rsidRPr="00C832AD" w:rsidRDefault="006239E2" w:rsidP="0004622A">
      <w:pPr>
        <w:pStyle w:val="Akapitzlist"/>
        <w:numPr>
          <w:ilvl w:val="0"/>
          <w:numId w:val="687"/>
        </w:numPr>
        <w:spacing w:after="0" w:line="240" w:lineRule="auto"/>
        <w:ind w:left="714" w:hanging="357"/>
        <w:contextualSpacing/>
        <w:jc w:val="both"/>
        <w:rPr>
          <w:rFonts w:cs="Calibri"/>
          <w:sz w:val="20"/>
          <w:szCs w:val="20"/>
        </w:rPr>
      </w:pPr>
      <w:r w:rsidRPr="00C832AD">
        <w:rPr>
          <w:rFonts w:cs="Calibri"/>
          <w:sz w:val="20"/>
          <w:szCs w:val="20"/>
        </w:rPr>
        <w:t>Bytomski Inkubator Społeczny ROZBANA - Opiekunka 8.1.3 (22),</w:t>
      </w:r>
    </w:p>
    <w:p w:rsidR="006239E2" w:rsidRPr="00C832AD" w:rsidRDefault="006239E2" w:rsidP="00C832AD">
      <w:pPr>
        <w:pStyle w:val="Default"/>
        <w:numPr>
          <w:ilvl w:val="0"/>
          <w:numId w:val="687"/>
        </w:numPr>
        <w:jc w:val="both"/>
        <w:rPr>
          <w:color w:val="auto"/>
          <w:sz w:val="20"/>
          <w:szCs w:val="20"/>
        </w:rPr>
      </w:pPr>
      <w:r w:rsidRPr="00C832AD">
        <w:rPr>
          <w:color w:val="auto"/>
          <w:sz w:val="20"/>
          <w:szCs w:val="20"/>
        </w:rPr>
        <w:t>Usługi rozwojowe dla bytomskich przedsiębiorstw (23),</w:t>
      </w:r>
    </w:p>
    <w:p w:rsidR="006239E2" w:rsidRPr="00C832AD" w:rsidRDefault="006239E2" w:rsidP="00C832AD">
      <w:pPr>
        <w:pStyle w:val="Default"/>
        <w:numPr>
          <w:ilvl w:val="0"/>
          <w:numId w:val="687"/>
        </w:numPr>
        <w:jc w:val="both"/>
        <w:rPr>
          <w:color w:val="auto"/>
          <w:sz w:val="20"/>
          <w:szCs w:val="20"/>
        </w:rPr>
      </w:pPr>
      <w:r w:rsidRPr="00C832AD">
        <w:rPr>
          <w:color w:val="auto"/>
          <w:sz w:val="20"/>
          <w:szCs w:val="20"/>
        </w:rPr>
        <w:t xml:space="preserve">Program aktywnej integracji osób i grup zagrożonych wykluczeniem społecznym (24), </w:t>
      </w:r>
    </w:p>
    <w:p w:rsidR="006239E2" w:rsidRPr="00C832AD" w:rsidRDefault="006239E2" w:rsidP="00C832AD">
      <w:pPr>
        <w:pStyle w:val="Akapitzlist"/>
        <w:numPr>
          <w:ilvl w:val="0"/>
          <w:numId w:val="687"/>
        </w:numPr>
        <w:spacing w:after="0" w:line="240" w:lineRule="auto"/>
        <w:contextualSpacing/>
        <w:jc w:val="both"/>
        <w:rPr>
          <w:rFonts w:cs="Calibri"/>
          <w:sz w:val="20"/>
          <w:szCs w:val="20"/>
        </w:rPr>
      </w:pPr>
      <w:r w:rsidRPr="00C832AD">
        <w:rPr>
          <w:sz w:val="20"/>
          <w:szCs w:val="20"/>
        </w:rPr>
        <w:t>Centrum Integracji Społecznej przestrzenią dla aktywności osób wykluczonych (29),</w:t>
      </w:r>
    </w:p>
    <w:p w:rsidR="006239E2" w:rsidRPr="00C832AD" w:rsidRDefault="006239E2" w:rsidP="0004622A">
      <w:pPr>
        <w:pStyle w:val="Default"/>
        <w:numPr>
          <w:ilvl w:val="0"/>
          <w:numId w:val="687"/>
        </w:numPr>
        <w:ind w:left="714" w:hanging="357"/>
        <w:jc w:val="both"/>
        <w:rPr>
          <w:color w:val="auto"/>
          <w:sz w:val="20"/>
          <w:szCs w:val="20"/>
        </w:rPr>
      </w:pPr>
      <w:r w:rsidRPr="00C832AD">
        <w:rPr>
          <w:color w:val="auto"/>
          <w:sz w:val="20"/>
          <w:szCs w:val="20"/>
        </w:rPr>
        <w:t xml:space="preserve">Bytomscy Transformersi–Strażnicy kapitału społecznego I (30), </w:t>
      </w:r>
    </w:p>
    <w:p w:rsidR="006239E2" w:rsidRPr="00C832AD" w:rsidRDefault="006239E2" w:rsidP="0004622A">
      <w:pPr>
        <w:pStyle w:val="Default"/>
        <w:numPr>
          <w:ilvl w:val="0"/>
          <w:numId w:val="687"/>
        </w:numPr>
        <w:ind w:left="714" w:hanging="357"/>
        <w:jc w:val="both"/>
        <w:rPr>
          <w:color w:val="auto"/>
          <w:sz w:val="20"/>
          <w:szCs w:val="20"/>
        </w:rPr>
      </w:pPr>
      <w:r w:rsidRPr="00C832AD">
        <w:rPr>
          <w:color w:val="auto"/>
          <w:sz w:val="20"/>
          <w:szCs w:val="20"/>
        </w:rPr>
        <w:t xml:space="preserve">Bytomscy Transformersi–Strażnicy kapitału społecznego II (31), </w:t>
      </w:r>
    </w:p>
    <w:p w:rsidR="006239E2" w:rsidRPr="00C832AD" w:rsidRDefault="006239E2" w:rsidP="0004622A">
      <w:pPr>
        <w:pStyle w:val="Default"/>
        <w:numPr>
          <w:ilvl w:val="0"/>
          <w:numId w:val="687"/>
        </w:numPr>
        <w:ind w:left="714" w:hanging="357"/>
        <w:jc w:val="both"/>
        <w:rPr>
          <w:color w:val="auto"/>
          <w:sz w:val="20"/>
          <w:szCs w:val="20"/>
        </w:rPr>
      </w:pPr>
      <w:r w:rsidRPr="00C832AD">
        <w:rPr>
          <w:color w:val="auto"/>
          <w:sz w:val="20"/>
          <w:szCs w:val="20"/>
        </w:rPr>
        <w:t xml:space="preserve">Bytomscy Transformersi–Strażnicy kapitału społecznego III (32), </w:t>
      </w:r>
    </w:p>
    <w:p w:rsidR="006239E2" w:rsidRPr="00C832AD" w:rsidRDefault="006239E2" w:rsidP="0004622A">
      <w:pPr>
        <w:pStyle w:val="Default"/>
        <w:numPr>
          <w:ilvl w:val="0"/>
          <w:numId w:val="687"/>
        </w:numPr>
        <w:ind w:left="714" w:hanging="357"/>
        <w:jc w:val="both"/>
        <w:rPr>
          <w:color w:val="auto"/>
          <w:sz w:val="20"/>
          <w:szCs w:val="20"/>
        </w:rPr>
      </w:pPr>
      <w:r w:rsidRPr="00C832AD">
        <w:rPr>
          <w:color w:val="auto"/>
          <w:sz w:val="20"/>
          <w:szCs w:val="20"/>
        </w:rPr>
        <w:t xml:space="preserve">Bytomscy Transformersi–Strażnicy kapitału społecznego IV (33), </w:t>
      </w:r>
    </w:p>
    <w:p w:rsidR="006239E2" w:rsidRPr="00C832AD" w:rsidRDefault="006239E2" w:rsidP="00C832AD">
      <w:pPr>
        <w:pStyle w:val="Default"/>
        <w:numPr>
          <w:ilvl w:val="0"/>
          <w:numId w:val="687"/>
        </w:numPr>
        <w:jc w:val="both"/>
        <w:rPr>
          <w:color w:val="auto"/>
          <w:sz w:val="20"/>
          <w:szCs w:val="20"/>
        </w:rPr>
      </w:pPr>
      <w:r w:rsidRPr="00C832AD">
        <w:rPr>
          <w:color w:val="auto"/>
          <w:sz w:val="20"/>
          <w:szCs w:val="20"/>
        </w:rPr>
        <w:t xml:space="preserve">Klub Integracji Społecznej na Rozbarku (35), </w:t>
      </w:r>
    </w:p>
    <w:p w:rsidR="006239E2" w:rsidRPr="00C832AD" w:rsidRDefault="006239E2" w:rsidP="00C832AD">
      <w:pPr>
        <w:pStyle w:val="Akapitzlist"/>
        <w:numPr>
          <w:ilvl w:val="0"/>
          <w:numId w:val="687"/>
        </w:numPr>
        <w:spacing w:after="0" w:line="240" w:lineRule="auto"/>
        <w:contextualSpacing/>
        <w:jc w:val="both"/>
        <w:rPr>
          <w:rFonts w:cs="Calibri"/>
          <w:sz w:val="20"/>
          <w:szCs w:val="20"/>
        </w:rPr>
      </w:pPr>
      <w:r w:rsidRPr="00C832AD">
        <w:rPr>
          <w:sz w:val="20"/>
          <w:szCs w:val="20"/>
        </w:rPr>
        <w:t>Program „Godna Starość” (39),</w:t>
      </w:r>
    </w:p>
    <w:p w:rsidR="006239E2" w:rsidRPr="00C832AD" w:rsidRDefault="006239E2" w:rsidP="0004622A">
      <w:pPr>
        <w:pStyle w:val="Akapitzlist"/>
        <w:numPr>
          <w:ilvl w:val="0"/>
          <w:numId w:val="687"/>
        </w:numPr>
        <w:spacing w:after="0" w:line="240" w:lineRule="auto"/>
        <w:ind w:left="714" w:hanging="357"/>
        <w:contextualSpacing/>
        <w:jc w:val="both"/>
        <w:rPr>
          <w:rFonts w:cs="Calibri"/>
          <w:sz w:val="20"/>
          <w:szCs w:val="20"/>
        </w:rPr>
      </w:pPr>
      <w:r w:rsidRPr="00C832AD">
        <w:rPr>
          <w:rFonts w:cs="Calibri"/>
          <w:sz w:val="20"/>
          <w:szCs w:val="20"/>
        </w:rPr>
        <w:t xml:space="preserve">Bytomski Ośrodek Aktywności (40), </w:t>
      </w:r>
    </w:p>
    <w:p w:rsidR="006239E2" w:rsidRPr="00C832AD" w:rsidRDefault="006239E2" w:rsidP="00C832AD">
      <w:pPr>
        <w:pStyle w:val="Akapitzlist"/>
        <w:numPr>
          <w:ilvl w:val="0"/>
          <w:numId w:val="687"/>
        </w:numPr>
        <w:spacing w:after="0" w:line="240" w:lineRule="auto"/>
        <w:contextualSpacing/>
        <w:jc w:val="both"/>
        <w:rPr>
          <w:rFonts w:cs="Calibri"/>
          <w:sz w:val="20"/>
          <w:szCs w:val="20"/>
        </w:rPr>
      </w:pPr>
      <w:r w:rsidRPr="00C832AD">
        <w:rPr>
          <w:sz w:val="20"/>
          <w:szCs w:val="20"/>
        </w:rPr>
        <w:t>Centrala Bytom (44),</w:t>
      </w:r>
    </w:p>
    <w:p w:rsidR="006239E2" w:rsidRPr="00C832AD" w:rsidRDefault="006239E2" w:rsidP="00C832AD">
      <w:pPr>
        <w:pStyle w:val="Default"/>
        <w:numPr>
          <w:ilvl w:val="0"/>
          <w:numId w:val="687"/>
        </w:numPr>
        <w:jc w:val="both"/>
        <w:rPr>
          <w:color w:val="auto"/>
          <w:sz w:val="20"/>
          <w:szCs w:val="20"/>
        </w:rPr>
      </w:pPr>
      <w:r w:rsidRPr="00C832AD">
        <w:rPr>
          <w:color w:val="auto"/>
          <w:sz w:val="20"/>
          <w:szCs w:val="20"/>
        </w:rPr>
        <w:t xml:space="preserve">Stworzenie Klubu Integracji Społecznej na terenie byłej KWK Rozbark w Bytomiu przy ul. Chorzowskiej </w:t>
      </w:r>
      <w:r w:rsidR="00FF3CF4">
        <w:rPr>
          <w:color w:val="auto"/>
          <w:sz w:val="20"/>
          <w:szCs w:val="20"/>
        </w:rPr>
        <w:br/>
      </w:r>
      <w:r w:rsidR="00AD2FA0" w:rsidRPr="00AD2FA0">
        <w:rPr>
          <w:color w:val="auto"/>
          <w:sz w:val="16"/>
          <w:szCs w:val="20"/>
        </w:rPr>
        <w:t>-</w:t>
      </w:r>
      <w:r w:rsidR="00AD2FA0" w:rsidRPr="00FF3CF4">
        <w:rPr>
          <w:color w:val="auto"/>
          <w:sz w:val="8"/>
          <w:szCs w:val="20"/>
        </w:rPr>
        <w:t xml:space="preserve"> </w:t>
      </w:r>
      <w:r w:rsidR="00FF3CF4" w:rsidRPr="00FF3CF4">
        <w:rPr>
          <w:color w:val="auto"/>
          <w:sz w:val="8"/>
          <w:szCs w:val="20"/>
        </w:rPr>
        <w:t xml:space="preserve">  </w:t>
      </w:r>
      <w:r w:rsidR="00FF3CF4">
        <w:rPr>
          <w:color w:val="auto"/>
          <w:sz w:val="20"/>
          <w:szCs w:val="20"/>
        </w:rPr>
        <w:t>r</w:t>
      </w:r>
      <w:r w:rsidR="00FF3CF4" w:rsidRPr="00C832AD">
        <w:rPr>
          <w:color w:val="auto"/>
          <w:sz w:val="20"/>
          <w:szCs w:val="20"/>
        </w:rPr>
        <w:t>o</w:t>
      </w:r>
      <w:r w:rsidRPr="00C832AD">
        <w:rPr>
          <w:color w:val="auto"/>
          <w:sz w:val="20"/>
          <w:szCs w:val="20"/>
        </w:rPr>
        <w:t>zwój interpersonalny</w:t>
      </w:r>
      <w:r w:rsidRPr="00AD2FA0">
        <w:rPr>
          <w:color w:val="auto"/>
          <w:sz w:val="12"/>
          <w:szCs w:val="20"/>
        </w:rPr>
        <w:t xml:space="preserve"> </w:t>
      </w:r>
      <w:r w:rsidRPr="00C832AD">
        <w:rPr>
          <w:color w:val="auto"/>
          <w:sz w:val="20"/>
          <w:szCs w:val="20"/>
        </w:rPr>
        <w:t>osób wykluczonych</w:t>
      </w:r>
      <w:r w:rsidRPr="00AD2FA0">
        <w:rPr>
          <w:color w:val="auto"/>
          <w:sz w:val="2"/>
          <w:szCs w:val="20"/>
        </w:rPr>
        <w:t xml:space="preserve"> </w:t>
      </w:r>
      <w:r w:rsidRPr="00C832AD">
        <w:rPr>
          <w:color w:val="auto"/>
          <w:sz w:val="20"/>
          <w:szCs w:val="20"/>
        </w:rPr>
        <w:t>i</w:t>
      </w:r>
      <w:r w:rsidRPr="00AD2FA0">
        <w:rPr>
          <w:color w:val="auto"/>
          <w:sz w:val="4"/>
          <w:szCs w:val="20"/>
        </w:rPr>
        <w:t xml:space="preserve"> </w:t>
      </w:r>
      <w:r w:rsidRPr="00C832AD">
        <w:rPr>
          <w:color w:val="auto"/>
          <w:sz w:val="20"/>
          <w:szCs w:val="20"/>
        </w:rPr>
        <w:t>zagrożonych wykluczeniem społecznym</w:t>
      </w:r>
      <w:r w:rsidRPr="00AD2FA0">
        <w:rPr>
          <w:color w:val="auto"/>
          <w:sz w:val="4"/>
          <w:szCs w:val="20"/>
        </w:rPr>
        <w:t xml:space="preserve"> </w:t>
      </w:r>
      <w:r w:rsidRPr="00C832AD">
        <w:rPr>
          <w:color w:val="auto"/>
          <w:sz w:val="20"/>
          <w:szCs w:val="20"/>
        </w:rPr>
        <w:t>i</w:t>
      </w:r>
      <w:r w:rsidRPr="00AD2FA0">
        <w:rPr>
          <w:color w:val="auto"/>
          <w:sz w:val="8"/>
          <w:szCs w:val="20"/>
        </w:rPr>
        <w:t xml:space="preserve"> </w:t>
      </w:r>
      <w:r w:rsidRPr="00C832AD">
        <w:rPr>
          <w:color w:val="auto"/>
          <w:sz w:val="20"/>
          <w:szCs w:val="20"/>
        </w:rPr>
        <w:t>zawodowym</w:t>
      </w:r>
      <w:r w:rsidRPr="00FF3CF4">
        <w:rPr>
          <w:color w:val="auto"/>
          <w:sz w:val="6"/>
          <w:szCs w:val="20"/>
        </w:rPr>
        <w:t xml:space="preserve"> </w:t>
      </w:r>
      <w:r w:rsidRPr="00C832AD">
        <w:rPr>
          <w:color w:val="auto"/>
          <w:sz w:val="20"/>
          <w:szCs w:val="20"/>
        </w:rPr>
        <w:t xml:space="preserve">(45), </w:t>
      </w:r>
    </w:p>
    <w:p w:rsidR="006239E2" w:rsidRPr="00C832AD" w:rsidRDefault="006239E2" w:rsidP="00E857BD">
      <w:pPr>
        <w:pStyle w:val="Akapitzlist"/>
        <w:numPr>
          <w:ilvl w:val="0"/>
          <w:numId w:val="687"/>
        </w:numPr>
        <w:spacing w:after="0" w:line="240" w:lineRule="auto"/>
        <w:contextualSpacing/>
        <w:jc w:val="both"/>
        <w:rPr>
          <w:rFonts w:cs="Calibri"/>
          <w:sz w:val="20"/>
          <w:szCs w:val="20"/>
        </w:rPr>
      </w:pPr>
      <w:r w:rsidRPr="00C832AD">
        <w:rPr>
          <w:rFonts w:cs="Calibri"/>
          <w:sz w:val="20"/>
          <w:szCs w:val="20"/>
        </w:rPr>
        <w:t>Bytomski Inkubator Społeczny ROZBANA - Integracja 9.1.3 (47),</w:t>
      </w:r>
    </w:p>
    <w:p w:rsidR="006239E2" w:rsidRPr="00C832AD" w:rsidRDefault="006239E2" w:rsidP="00E857BD">
      <w:pPr>
        <w:pStyle w:val="Default"/>
        <w:numPr>
          <w:ilvl w:val="0"/>
          <w:numId w:val="687"/>
        </w:numPr>
        <w:jc w:val="both"/>
        <w:rPr>
          <w:color w:val="auto"/>
          <w:sz w:val="20"/>
          <w:szCs w:val="20"/>
        </w:rPr>
      </w:pPr>
      <w:r w:rsidRPr="00C832AD">
        <w:rPr>
          <w:color w:val="auto"/>
          <w:sz w:val="20"/>
          <w:szCs w:val="20"/>
        </w:rPr>
        <w:t>Centrum Integracji Aktywnej na start (48),</w:t>
      </w:r>
    </w:p>
    <w:p w:rsidR="006239E2" w:rsidRPr="00C832AD" w:rsidRDefault="006239E2" w:rsidP="0004622A">
      <w:pPr>
        <w:pStyle w:val="Akapitzlist"/>
        <w:numPr>
          <w:ilvl w:val="0"/>
          <w:numId w:val="687"/>
        </w:numPr>
        <w:spacing w:after="0" w:line="240" w:lineRule="auto"/>
        <w:ind w:left="714" w:hanging="357"/>
        <w:contextualSpacing/>
        <w:jc w:val="both"/>
        <w:rPr>
          <w:rFonts w:cs="Calibri"/>
          <w:sz w:val="20"/>
          <w:szCs w:val="20"/>
        </w:rPr>
      </w:pPr>
      <w:r w:rsidRPr="00C832AD">
        <w:rPr>
          <w:sz w:val="20"/>
          <w:szCs w:val="20"/>
        </w:rPr>
        <w:t>Opiekun Nieformalny - sposób na życie (52),</w:t>
      </w:r>
    </w:p>
    <w:p w:rsidR="006239E2" w:rsidRPr="00C832AD" w:rsidRDefault="006239E2" w:rsidP="0004622A">
      <w:pPr>
        <w:pStyle w:val="Akapitzlist"/>
        <w:numPr>
          <w:ilvl w:val="0"/>
          <w:numId w:val="687"/>
        </w:numPr>
        <w:spacing w:after="0" w:line="240" w:lineRule="auto"/>
        <w:ind w:left="714" w:hanging="357"/>
        <w:contextualSpacing/>
        <w:jc w:val="both"/>
        <w:rPr>
          <w:rFonts w:cs="Calibri"/>
          <w:sz w:val="20"/>
          <w:szCs w:val="20"/>
        </w:rPr>
      </w:pPr>
      <w:r w:rsidRPr="00C832AD">
        <w:rPr>
          <w:sz w:val="20"/>
          <w:szCs w:val="20"/>
        </w:rPr>
        <w:t>Opiekuńczy Bytom – utworzenie i funkcjonowanie Bytomskiego Centrum Wsparcia Opiekunów Nieformalnych (65),</w:t>
      </w:r>
    </w:p>
    <w:p w:rsidR="006239E2" w:rsidRPr="00C832AD" w:rsidRDefault="006239E2" w:rsidP="00C832AD">
      <w:pPr>
        <w:pStyle w:val="Default"/>
        <w:numPr>
          <w:ilvl w:val="0"/>
          <w:numId w:val="687"/>
        </w:numPr>
        <w:jc w:val="both"/>
        <w:rPr>
          <w:color w:val="auto"/>
          <w:sz w:val="20"/>
          <w:szCs w:val="20"/>
        </w:rPr>
      </w:pPr>
      <w:r w:rsidRPr="00C832AD">
        <w:rPr>
          <w:color w:val="auto"/>
          <w:sz w:val="20"/>
          <w:szCs w:val="20"/>
        </w:rPr>
        <w:t xml:space="preserve">Bytomianie pomagają seniorom (69), </w:t>
      </w:r>
    </w:p>
    <w:p w:rsidR="006239E2" w:rsidRPr="00C832AD" w:rsidRDefault="006239E2" w:rsidP="0004622A">
      <w:pPr>
        <w:pStyle w:val="Akapitzlist"/>
        <w:numPr>
          <w:ilvl w:val="0"/>
          <w:numId w:val="687"/>
        </w:numPr>
        <w:spacing w:after="0" w:line="240" w:lineRule="auto"/>
        <w:ind w:left="714" w:hanging="357"/>
        <w:contextualSpacing/>
        <w:jc w:val="both"/>
        <w:rPr>
          <w:rFonts w:cs="Calibri"/>
          <w:sz w:val="20"/>
          <w:szCs w:val="20"/>
        </w:rPr>
      </w:pPr>
      <w:r w:rsidRPr="00C832AD">
        <w:rPr>
          <w:sz w:val="20"/>
          <w:szCs w:val="20"/>
        </w:rPr>
        <w:t>Bytomski Inkubator Społeczny ROZBANA - Usługowa 9.2.3 (71),</w:t>
      </w:r>
    </w:p>
    <w:p w:rsidR="006239E2" w:rsidRPr="00C832AD" w:rsidRDefault="006239E2" w:rsidP="00C832AD">
      <w:pPr>
        <w:pStyle w:val="Akapitzlist"/>
        <w:numPr>
          <w:ilvl w:val="0"/>
          <w:numId w:val="687"/>
        </w:numPr>
        <w:spacing w:after="0" w:line="240" w:lineRule="auto"/>
        <w:contextualSpacing/>
        <w:jc w:val="both"/>
        <w:rPr>
          <w:rFonts w:cs="Calibri"/>
          <w:sz w:val="20"/>
          <w:szCs w:val="20"/>
        </w:rPr>
      </w:pPr>
      <w:r w:rsidRPr="00C832AD">
        <w:rPr>
          <w:sz w:val="20"/>
          <w:szCs w:val="20"/>
        </w:rPr>
        <w:t>Umiem się uczyć (75),</w:t>
      </w:r>
    </w:p>
    <w:p w:rsidR="006239E2" w:rsidRPr="00C832AD" w:rsidRDefault="006239E2" w:rsidP="00C832AD">
      <w:pPr>
        <w:pStyle w:val="Akapitzlist"/>
        <w:numPr>
          <w:ilvl w:val="0"/>
          <w:numId w:val="687"/>
        </w:numPr>
        <w:spacing w:after="0" w:line="240" w:lineRule="auto"/>
        <w:contextualSpacing/>
        <w:jc w:val="both"/>
        <w:rPr>
          <w:rFonts w:cs="Calibri"/>
          <w:sz w:val="20"/>
          <w:szCs w:val="20"/>
        </w:rPr>
      </w:pPr>
      <w:r w:rsidRPr="00C832AD">
        <w:rPr>
          <w:rFonts w:cs="Calibri"/>
          <w:sz w:val="20"/>
          <w:szCs w:val="20"/>
        </w:rPr>
        <w:t>Bytomski Inkubator Społeczny ROZBANA - Rozwojowa 11.1.4 (78),</w:t>
      </w:r>
    </w:p>
    <w:p w:rsidR="006239E2" w:rsidRPr="00C832AD" w:rsidRDefault="006239E2" w:rsidP="00C832AD">
      <w:pPr>
        <w:pStyle w:val="Default"/>
        <w:numPr>
          <w:ilvl w:val="0"/>
          <w:numId w:val="687"/>
        </w:numPr>
        <w:jc w:val="both"/>
        <w:rPr>
          <w:color w:val="auto"/>
          <w:sz w:val="20"/>
          <w:szCs w:val="20"/>
        </w:rPr>
      </w:pPr>
      <w:r w:rsidRPr="00C832AD">
        <w:rPr>
          <w:color w:val="auto"/>
          <w:sz w:val="20"/>
          <w:szCs w:val="20"/>
        </w:rPr>
        <w:t>Aktywizacja osób młodych pozostających bez pracy w Bytomiu (II) (80),</w:t>
      </w:r>
    </w:p>
    <w:p w:rsidR="006239E2" w:rsidRPr="00C832AD" w:rsidRDefault="006239E2" w:rsidP="0004622A">
      <w:pPr>
        <w:pStyle w:val="Akapitzlist"/>
        <w:numPr>
          <w:ilvl w:val="0"/>
          <w:numId w:val="687"/>
        </w:numPr>
        <w:spacing w:after="0" w:line="240" w:lineRule="auto"/>
        <w:ind w:left="714" w:hanging="357"/>
        <w:contextualSpacing/>
        <w:jc w:val="both"/>
        <w:rPr>
          <w:rFonts w:cs="Calibri"/>
          <w:sz w:val="20"/>
          <w:szCs w:val="20"/>
        </w:rPr>
      </w:pPr>
      <w:r w:rsidRPr="00C832AD">
        <w:rPr>
          <w:sz w:val="20"/>
          <w:szCs w:val="20"/>
        </w:rPr>
        <w:t>Przebudowa i adaptacja budynku przy ulicy Karola Miarki 10 na potrzeby Centrum Integracji Społecznej (104),</w:t>
      </w:r>
    </w:p>
    <w:p w:rsidR="006239E2" w:rsidRPr="00C832AD" w:rsidRDefault="006239E2" w:rsidP="0004622A">
      <w:pPr>
        <w:pStyle w:val="Akapitzlist"/>
        <w:numPr>
          <w:ilvl w:val="0"/>
          <w:numId w:val="687"/>
        </w:numPr>
        <w:spacing w:after="0" w:line="240" w:lineRule="auto"/>
        <w:ind w:left="714" w:hanging="357"/>
        <w:contextualSpacing/>
        <w:jc w:val="both"/>
        <w:rPr>
          <w:rFonts w:cs="Calibri"/>
          <w:sz w:val="20"/>
          <w:szCs w:val="20"/>
        </w:rPr>
      </w:pPr>
      <w:r w:rsidRPr="00C832AD">
        <w:rPr>
          <w:sz w:val="20"/>
          <w:szCs w:val="20"/>
        </w:rPr>
        <w:t>Rewitalizacja obiektów na potrzeby Centrum Integracji Aktywnej (107),</w:t>
      </w:r>
    </w:p>
    <w:p w:rsidR="006239E2" w:rsidRPr="00C832AD" w:rsidRDefault="006239E2" w:rsidP="0004622A">
      <w:pPr>
        <w:pStyle w:val="Akapitzlist"/>
        <w:numPr>
          <w:ilvl w:val="0"/>
          <w:numId w:val="687"/>
        </w:numPr>
        <w:spacing w:after="0" w:line="240" w:lineRule="auto"/>
        <w:ind w:left="714" w:hanging="357"/>
        <w:contextualSpacing/>
        <w:jc w:val="both"/>
        <w:rPr>
          <w:rFonts w:cs="Calibri"/>
          <w:sz w:val="20"/>
          <w:szCs w:val="20"/>
        </w:rPr>
      </w:pPr>
      <w:r w:rsidRPr="00C832AD">
        <w:rPr>
          <w:sz w:val="20"/>
          <w:szCs w:val="20"/>
        </w:rPr>
        <w:t>Masz firmę masz lokal - Program Aktywizacji Lokali Użytkowych (116),</w:t>
      </w:r>
    </w:p>
    <w:p w:rsidR="006239E2" w:rsidRDefault="006239E2" w:rsidP="00C832AD">
      <w:pPr>
        <w:pStyle w:val="Akapitzlist"/>
        <w:numPr>
          <w:ilvl w:val="0"/>
          <w:numId w:val="687"/>
        </w:numPr>
        <w:spacing w:after="160" w:line="240" w:lineRule="auto"/>
        <w:contextualSpacing/>
        <w:jc w:val="both"/>
        <w:rPr>
          <w:rFonts w:cs="Calibri"/>
          <w:sz w:val="20"/>
          <w:szCs w:val="20"/>
        </w:rPr>
      </w:pPr>
      <w:r w:rsidRPr="00C832AD">
        <w:rPr>
          <w:rFonts w:cs="Calibri"/>
          <w:sz w:val="20"/>
          <w:szCs w:val="20"/>
        </w:rPr>
        <w:t>Rewitalizacja obiektów po byłym zakładzie naprawczym zabytkowej Górnośląskiej Kolei Wąskotorowej w Bytomiu (117),</w:t>
      </w:r>
    </w:p>
    <w:p w:rsidR="008067BC" w:rsidRPr="00120CE3" w:rsidRDefault="006239E2" w:rsidP="00120CE3">
      <w:pPr>
        <w:pStyle w:val="Akapitzlist"/>
        <w:numPr>
          <w:ilvl w:val="0"/>
          <w:numId w:val="687"/>
        </w:numPr>
        <w:spacing w:after="160" w:line="240" w:lineRule="auto"/>
        <w:contextualSpacing/>
        <w:jc w:val="both"/>
        <w:rPr>
          <w:rFonts w:cs="Calibri"/>
          <w:sz w:val="20"/>
          <w:szCs w:val="20"/>
        </w:rPr>
      </w:pPr>
      <w:r w:rsidRPr="00120CE3">
        <w:rPr>
          <w:sz w:val="20"/>
          <w:szCs w:val="20"/>
        </w:rPr>
        <w:t>Kompleksowa rewitalizacja złożona ze stref seniora, aktywizacji młodych, dla najmłodszych, zieleni, Inkubator Przedsiębiorczości z ukierunkowaniem na świadczenie usług dla osób starszych, poradnia zdrowia psychicznego wraz z ośrodkiem tera</w:t>
      </w:r>
      <w:r w:rsidR="00A20ED9" w:rsidRPr="00120CE3">
        <w:rPr>
          <w:sz w:val="20"/>
          <w:szCs w:val="20"/>
        </w:rPr>
        <w:t>pii uzależnień, współuzależnień</w:t>
      </w:r>
      <w:r w:rsidRPr="00120CE3">
        <w:rPr>
          <w:sz w:val="20"/>
          <w:szCs w:val="20"/>
        </w:rPr>
        <w:t xml:space="preserve"> i profilaktyki (120)</w:t>
      </w:r>
      <w:r w:rsidR="008067BC" w:rsidRPr="00120CE3">
        <w:rPr>
          <w:sz w:val="20"/>
          <w:szCs w:val="20"/>
        </w:rPr>
        <w:t>,</w:t>
      </w:r>
    </w:p>
    <w:p w:rsidR="006239E2" w:rsidRPr="009E6DA0" w:rsidRDefault="008067BC" w:rsidP="009C1D86">
      <w:pPr>
        <w:pStyle w:val="Akapitzlist"/>
        <w:numPr>
          <w:ilvl w:val="0"/>
          <w:numId w:val="723"/>
        </w:numPr>
        <w:shd w:val="clear" w:color="auto" w:fill="F2F2F2" w:themeFill="background1" w:themeFillShade="F2"/>
        <w:spacing w:after="160" w:line="259" w:lineRule="auto"/>
        <w:contextualSpacing/>
        <w:jc w:val="both"/>
        <w:rPr>
          <w:rFonts w:cs="Calibri"/>
          <w:sz w:val="20"/>
          <w:szCs w:val="20"/>
        </w:rPr>
      </w:pPr>
      <w:r w:rsidRPr="009E6DA0">
        <w:rPr>
          <w:rFonts w:cs="Calibri"/>
          <w:sz w:val="20"/>
          <w:szCs w:val="20"/>
        </w:rPr>
        <w:t>Czas na zmiany - nowe perspektywy (RAZEM) z Centrum Integracji Społecznej (</w:t>
      </w:r>
      <w:r w:rsidR="00BF1DF2" w:rsidRPr="009E6DA0">
        <w:rPr>
          <w:rFonts w:cs="Calibri"/>
          <w:sz w:val="20"/>
          <w:szCs w:val="20"/>
        </w:rPr>
        <w:t>133</w:t>
      </w:r>
      <w:r w:rsidRPr="009E6DA0">
        <w:rPr>
          <w:rFonts w:cs="Calibri"/>
          <w:sz w:val="20"/>
          <w:szCs w:val="20"/>
        </w:rPr>
        <w:t>)</w:t>
      </w:r>
      <w:r w:rsidR="00BF1DF2" w:rsidRPr="009E6DA0">
        <w:rPr>
          <w:rFonts w:cs="Calibri"/>
          <w:sz w:val="20"/>
          <w:szCs w:val="20"/>
        </w:rPr>
        <w:t>.</w:t>
      </w:r>
    </w:p>
    <w:p w:rsidR="006239E2" w:rsidRPr="00C832AD" w:rsidRDefault="006239E2" w:rsidP="00C832AD">
      <w:pPr>
        <w:pStyle w:val="Default"/>
        <w:jc w:val="both"/>
        <w:rPr>
          <w:b/>
          <w:bCs/>
          <w:color w:val="auto"/>
          <w:sz w:val="20"/>
          <w:szCs w:val="20"/>
        </w:rPr>
      </w:pPr>
      <w:r w:rsidRPr="00C832AD">
        <w:rPr>
          <w:b/>
          <w:bCs/>
          <w:color w:val="auto"/>
          <w:sz w:val="20"/>
          <w:szCs w:val="20"/>
        </w:rPr>
        <w:t>Cel Operacyjny 2.1 Ograniczona skala negatywnych zjawisk społecznych oraz wzrost dostępności do prorozwojowych usług publicznych – projekty:</w:t>
      </w:r>
    </w:p>
    <w:p w:rsidR="006239E2" w:rsidRPr="00C832AD" w:rsidRDefault="006239E2" w:rsidP="00C832AD">
      <w:pPr>
        <w:pStyle w:val="Akapitzlist"/>
        <w:numPr>
          <w:ilvl w:val="0"/>
          <w:numId w:val="688"/>
        </w:numPr>
        <w:spacing w:after="0" w:line="240" w:lineRule="auto"/>
        <w:contextualSpacing/>
        <w:jc w:val="both"/>
        <w:rPr>
          <w:rFonts w:cs="Calibri"/>
          <w:sz w:val="20"/>
          <w:szCs w:val="20"/>
        </w:rPr>
      </w:pPr>
      <w:r w:rsidRPr="00C832AD">
        <w:rPr>
          <w:rFonts w:cs="Calibri"/>
          <w:sz w:val="20"/>
          <w:szCs w:val="20"/>
        </w:rPr>
        <w:t>Bytomski Inkubator Społeczny ROZBANA - Opiekunka 8.1.3 (22),</w:t>
      </w:r>
    </w:p>
    <w:p w:rsidR="006239E2" w:rsidRPr="00C832AD" w:rsidRDefault="006239E2" w:rsidP="00C832AD">
      <w:pPr>
        <w:pStyle w:val="Akapitzlist"/>
        <w:numPr>
          <w:ilvl w:val="0"/>
          <w:numId w:val="688"/>
        </w:numPr>
        <w:spacing w:after="0" w:line="240" w:lineRule="auto"/>
        <w:contextualSpacing/>
        <w:jc w:val="both"/>
        <w:rPr>
          <w:rFonts w:cs="Calibri"/>
          <w:sz w:val="20"/>
          <w:szCs w:val="20"/>
        </w:rPr>
      </w:pPr>
      <w:r w:rsidRPr="00C832AD">
        <w:rPr>
          <w:sz w:val="20"/>
          <w:szCs w:val="20"/>
        </w:rPr>
        <w:t>Program aktywnej integracji osób i grup zagrożonych wykluczeniem społecznym (24),</w:t>
      </w:r>
    </w:p>
    <w:p w:rsidR="006239E2" w:rsidRPr="00C832AD" w:rsidRDefault="006239E2" w:rsidP="00C832AD">
      <w:pPr>
        <w:pStyle w:val="Akapitzlist"/>
        <w:numPr>
          <w:ilvl w:val="0"/>
          <w:numId w:val="688"/>
        </w:numPr>
        <w:spacing w:after="0" w:line="240" w:lineRule="auto"/>
        <w:contextualSpacing/>
        <w:jc w:val="both"/>
        <w:rPr>
          <w:rFonts w:cs="Calibri"/>
          <w:sz w:val="20"/>
          <w:szCs w:val="20"/>
        </w:rPr>
      </w:pPr>
      <w:r w:rsidRPr="00C832AD">
        <w:rPr>
          <w:sz w:val="20"/>
          <w:szCs w:val="20"/>
        </w:rPr>
        <w:t>Lepszy Start (28),</w:t>
      </w:r>
    </w:p>
    <w:p w:rsidR="006239E2" w:rsidRPr="00C832AD" w:rsidRDefault="006239E2" w:rsidP="00C832AD">
      <w:pPr>
        <w:pStyle w:val="Default"/>
        <w:numPr>
          <w:ilvl w:val="0"/>
          <w:numId w:val="688"/>
        </w:numPr>
        <w:jc w:val="both"/>
        <w:rPr>
          <w:color w:val="auto"/>
          <w:sz w:val="20"/>
          <w:szCs w:val="20"/>
        </w:rPr>
      </w:pPr>
      <w:r w:rsidRPr="00C832AD">
        <w:rPr>
          <w:color w:val="auto"/>
          <w:sz w:val="20"/>
          <w:szCs w:val="20"/>
        </w:rPr>
        <w:t>Centrum Integracji Społecznej przestrzenią dla aktywności osób wykluczonych (29)</w:t>
      </w:r>
      <w:r w:rsidRPr="00C832AD">
        <w:rPr>
          <w:sz w:val="20"/>
          <w:szCs w:val="20"/>
        </w:rPr>
        <w:t>,</w:t>
      </w:r>
    </w:p>
    <w:p w:rsidR="006239E2" w:rsidRPr="00C832AD" w:rsidRDefault="006239E2" w:rsidP="00C832AD">
      <w:pPr>
        <w:pStyle w:val="Default"/>
        <w:numPr>
          <w:ilvl w:val="0"/>
          <w:numId w:val="688"/>
        </w:numPr>
        <w:jc w:val="both"/>
        <w:rPr>
          <w:color w:val="auto"/>
          <w:sz w:val="20"/>
          <w:szCs w:val="20"/>
        </w:rPr>
      </w:pPr>
      <w:r w:rsidRPr="00C832AD">
        <w:rPr>
          <w:color w:val="auto"/>
          <w:sz w:val="20"/>
          <w:szCs w:val="20"/>
        </w:rPr>
        <w:t xml:space="preserve">Bytomscy Transformersi–Strażnicy kapitału społecznego I (30), </w:t>
      </w:r>
    </w:p>
    <w:p w:rsidR="006239E2" w:rsidRPr="00C832AD" w:rsidRDefault="006239E2" w:rsidP="00C832AD">
      <w:pPr>
        <w:pStyle w:val="Default"/>
        <w:numPr>
          <w:ilvl w:val="0"/>
          <w:numId w:val="688"/>
        </w:numPr>
        <w:jc w:val="both"/>
        <w:rPr>
          <w:color w:val="auto"/>
          <w:sz w:val="20"/>
          <w:szCs w:val="20"/>
        </w:rPr>
      </w:pPr>
      <w:r w:rsidRPr="00C832AD">
        <w:rPr>
          <w:color w:val="auto"/>
          <w:sz w:val="20"/>
          <w:szCs w:val="20"/>
        </w:rPr>
        <w:t xml:space="preserve">Bytomscy Transformersi–Strażnicy kapitału społecznego II (31), </w:t>
      </w:r>
    </w:p>
    <w:p w:rsidR="006239E2" w:rsidRPr="00C832AD" w:rsidRDefault="006239E2" w:rsidP="00C832AD">
      <w:pPr>
        <w:pStyle w:val="Default"/>
        <w:numPr>
          <w:ilvl w:val="0"/>
          <w:numId w:val="688"/>
        </w:numPr>
        <w:jc w:val="both"/>
        <w:rPr>
          <w:color w:val="auto"/>
          <w:sz w:val="20"/>
          <w:szCs w:val="20"/>
        </w:rPr>
      </w:pPr>
      <w:r w:rsidRPr="00C832AD">
        <w:rPr>
          <w:color w:val="auto"/>
          <w:sz w:val="20"/>
          <w:szCs w:val="20"/>
        </w:rPr>
        <w:t xml:space="preserve">Bytomscy Transformersi–Strażnicy kapitału społecznego III (32), </w:t>
      </w:r>
    </w:p>
    <w:p w:rsidR="006239E2" w:rsidRPr="00C832AD" w:rsidRDefault="006239E2" w:rsidP="00C832AD">
      <w:pPr>
        <w:pStyle w:val="Default"/>
        <w:numPr>
          <w:ilvl w:val="0"/>
          <w:numId w:val="688"/>
        </w:numPr>
        <w:jc w:val="both"/>
        <w:rPr>
          <w:color w:val="auto"/>
          <w:sz w:val="20"/>
          <w:szCs w:val="20"/>
        </w:rPr>
      </w:pPr>
      <w:r w:rsidRPr="00C832AD">
        <w:rPr>
          <w:color w:val="auto"/>
          <w:sz w:val="20"/>
          <w:szCs w:val="20"/>
        </w:rPr>
        <w:t xml:space="preserve">Bytomscy Transformersi–Strażnicy kapitału społecznego IV (33), </w:t>
      </w:r>
    </w:p>
    <w:p w:rsidR="006239E2" w:rsidRPr="00C832AD" w:rsidRDefault="006239E2" w:rsidP="00C832AD">
      <w:pPr>
        <w:pStyle w:val="Default"/>
        <w:numPr>
          <w:ilvl w:val="0"/>
          <w:numId w:val="688"/>
        </w:numPr>
        <w:jc w:val="both"/>
        <w:rPr>
          <w:color w:val="auto"/>
          <w:sz w:val="20"/>
          <w:szCs w:val="20"/>
        </w:rPr>
      </w:pPr>
      <w:r w:rsidRPr="00C832AD">
        <w:rPr>
          <w:color w:val="auto"/>
          <w:sz w:val="20"/>
          <w:szCs w:val="20"/>
        </w:rPr>
        <w:t>Szansa dla Dziecka (34),</w:t>
      </w:r>
    </w:p>
    <w:p w:rsidR="006239E2" w:rsidRPr="00C832AD" w:rsidRDefault="006239E2" w:rsidP="00C832AD">
      <w:pPr>
        <w:pStyle w:val="Default"/>
        <w:numPr>
          <w:ilvl w:val="0"/>
          <w:numId w:val="688"/>
        </w:numPr>
        <w:jc w:val="both"/>
        <w:rPr>
          <w:color w:val="auto"/>
          <w:sz w:val="20"/>
          <w:szCs w:val="20"/>
        </w:rPr>
      </w:pPr>
      <w:r w:rsidRPr="00C832AD">
        <w:rPr>
          <w:color w:val="auto"/>
          <w:sz w:val="20"/>
          <w:szCs w:val="20"/>
        </w:rPr>
        <w:t>Międzypokoleniowe Centrum Integracji (36),</w:t>
      </w:r>
    </w:p>
    <w:p w:rsidR="006239E2" w:rsidRPr="00C832AD" w:rsidRDefault="006239E2" w:rsidP="00C832AD">
      <w:pPr>
        <w:pStyle w:val="Default"/>
        <w:numPr>
          <w:ilvl w:val="0"/>
          <w:numId w:val="688"/>
        </w:numPr>
        <w:jc w:val="both"/>
        <w:rPr>
          <w:color w:val="auto"/>
          <w:sz w:val="20"/>
          <w:szCs w:val="20"/>
        </w:rPr>
      </w:pPr>
      <w:r w:rsidRPr="00C832AD">
        <w:rPr>
          <w:color w:val="auto"/>
          <w:sz w:val="20"/>
          <w:szCs w:val="20"/>
        </w:rPr>
        <w:t>Program Aktywności Lokalnej „Śródmieście” (37),</w:t>
      </w:r>
    </w:p>
    <w:p w:rsidR="006239E2" w:rsidRPr="00C832AD" w:rsidRDefault="006239E2" w:rsidP="00C832AD">
      <w:pPr>
        <w:pStyle w:val="Akapitzlist"/>
        <w:numPr>
          <w:ilvl w:val="0"/>
          <w:numId w:val="688"/>
        </w:numPr>
        <w:spacing w:after="0" w:line="240" w:lineRule="auto"/>
        <w:contextualSpacing/>
        <w:jc w:val="both"/>
        <w:rPr>
          <w:rFonts w:cs="Calibri"/>
          <w:sz w:val="20"/>
          <w:szCs w:val="20"/>
        </w:rPr>
      </w:pPr>
      <w:r w:rsidRPr="00C832AD">
        <w:rPr>
          <w:rFonts w:cs="Calibri"/>
          <w:sz w:val="20"/>
          <w:szCs w:val="20"/>
        </w:rPr>
        <w:t xml:space="preserve">Bytomski Ośrodek Aktywności (40), </w:t>
      </w:r>
    </w:p>
    <w:p w:rsidR="006239E2" w:rsidRPr="00C832AD" w:rsidRDefault="006239E2" w:rsidP="00C832AD">
      <w:pPr>
        <w:pStyle w:val="Akapitzlist"/>
        <w:numPr>
          <w:ilvl w:val="0"/>
          <w:numId w:val="688"/>
        </w:numPr>
        <w:spacing w:after="0" w:line="240" w:lineRule="auto"/>
        <w:contextualSpacing/>
        <w:jc w:val="both"/>
        <w:rPr>
          <w:rFonts w:cs="Calibri"/>
          <w:sz w:val="20"/>
          <w:szCs w:val="20"/>
        </w:rPr>
      </w:pPr>
      <w:r w:rsidRPr="00C832AD">
        <w:rPr>
          <w:rFonts w:cs="Calibri"/>
          <w:sz w:val="20"/>
          <w:szCs w:val="20"/>
        </w:rPr>
        <w:t>Bytomski Inkubator Społeczny ROZBANA - Integracja 9.1.3 (47),</w:t>
      </w:r>
    </w:p>
    <w:p w:rsidR="006239E2" w:rsidRPr="00C832AD" w:rsidRDefault="006239E2" w:rsidP="00C832AD">
      <w:pPr>
        <w:pStyle w:val="Akapitzlist"/>
        <w:numPr>
          <w:ilvl w:val="0"/>
          <w:numId w:val="688"/>
        </w:numPr>
        <w:spacing w:after="0" w:line="240" w:lineRule="auto"/>
        <w:contextualSpacing/>
        <w:jc w:val="both"/>
        <w:rPr>
          <w:rFonts w:cs="Calibri"/>
          <w:sz w:val="20"/>
          <w:szCs w:val="20"/>
        </w:rPr>
      </w:pPr>
      <w:r w:rsidRPr="00C832AD">
        <w:rPr>
          <w:sz w:val="20"/>
          <w:szCs w:val="20"/>
        </w:rPr>
        <w:t>Centrum Aktywizacji Mieszkańców Bytomia (49),</w:t>
      </w:r>
    </w:p>
    <w:p w:rsidR="006239E2" w:rsidRPr="00C832AD" w:rsidRDefault="006239E2" w:rsidP="00C832AD">
      <w:pPr>
        <w:pStyle w:val="Akapitzlist"/>
        <w:numPr>
          <w:ilvl w:val="0"/>
          <w:numId w:val="688"/>
        </w:numPr>
        <w:spacing w:after="0" w:line="240" w:lineRule="auto"/>
        <w:contextualSpacing/>
        <w:jc w:val="both"/>
        <w:rPr>
          <w:rFonts w:cs="Calibri"/>
          <w:sz w:val="20"/>
          <w:szCs w:val="20"/>
        </w:rPr>
      </w:pPr>
      <w:r w:rsidRPr="00C832AD">
        <w:rPr>
          <w:sz w:val="20"/>
          <w:szCs w:val="20"/>
        </w:rPr>
        <w:t>Rewitalizacja społeczna Dzielnicy Bobrek, Rozbark i Śródmieście (50),</w:t>
      </w:r>
    </w:p>
    <w:p w:rsidR="006239E2" w:rsidRPr="00C832AD" w:rsidRDefault="006239E2" w:rsidP="00C832AD">
      <w:pPr>
        <w:pStyle w:val="Akapitzlist"/>
        <w:numPr>
          <w:ilvl w:val="0"/>
          <w:numId w:val="688"/>
        </w:numPr>
        <w:spacing w:after="0" w:line="240" w:lineRule="auto"/>
        <w:contextualSpacing/>
        <w:jc w:val="both"/>
        <w:rPr>
          <w:rFonts w:cs="Calibri"/>
          <w:sz w:val="20"/>
          <w:szCs w:val="20"/>
        </w:rPr>
      </w:pPr>
      <w:r w:rsidRPr="00C832AD">
        <w:rPr>
          <w:sz w:val="20"/>
          <w:szCs w:val="20"/>
        </w:rPr>
        <w:t>Program wsparcia osób z niepełnosprawnością intelektualną w ramach działalności Świetlicy Terapeutycznej (51),</w:t>
      </w:r>
    </w:p>
    <w:p w:rsidR="006239E2" w:rsidRPr="00C832AD" w:rsidRDefault="006239E2" w:rsidP="00C832AD">
      <w:pPr>
        <w:pStyle w:val="Akapitzlist"/>
        <w:numPr>
          <w:ilvl w:val="0"/>
          <w:numId w:val="688"/>
        </w:numPr>
        <w:spacing w:after="0" w:line="240" w:lineRule="auto"/>
        <w:contextualSpacing/>
        <w:jc w:val="both"/>
        <w:rPr>
          <w:rFonts w:cs="Calibri"/>
          <w:sz w:val="20"/>
          <w:szCs w:val="20"/>
        </w:rPr>
      </w:pPr>
      <w:r w:rsidRPr="00C832AD">
        <w:rPr>
          <w:sz w:val="20"/>
          <w:szCs w:val="20"/>
        </w:rPr>
        <w:t>Opiekun Nieformalny - sposób na życie (52),</w:t>
      </w:r>
    </w:p>
    <w:p w:rsidR="006239E2" w:rsidRPr="00C832AD" w:rsidRDefault="006239E2" w:rsidP="00C832AD">
      <w:pPr>
        <w:pStyle w:val="Default"/>
        <w:numPr>
          <w:ilvl w:val="0"/>
          <w:numId w:val="688"/>
        </w:numPr>
        <w:jc w:val="both"/>
        <w:rPr>
          <w:color w:val="auto"/>
          <w:sz w:val="20"/>
          <w:szCs w:val="20"/>
        </w:rPr>
      </w:pPr>
      <w:r w:rsidRPr="00C832AD">
        <w:rPr>
          <w:color w:val="auto"/>
          <w:sz w:val="20"/>
          <w:szCs w:val="20"/>
        </w:rPr>
        <w:t xml:space="preserve">Centrum Wsparcia Rodziny edycja I (53), </w:t>
      </w:r>
    </w:p>
    <w:p w:rsidR="006239E2" w:rsidRPr="00C832AD" w:rsidRDefault="006239E2" w:rsidP="00C832AD">
      <w:pPr>
        <w:pStyle w:val="Default"/>
        <w:numPr>
          <w:ilvl w:val="0"/>
          <w:numId w:val="688"/>
        </w:numPr>
        <w:jc w:val="both"/>
        <w:rPr>
          <w:color w:val="auto"/>
          <w:sz w:val="20"/>
          <w:szCs w:val="20"/>
        </w:rPr>
      </w:pPr>
      <w:r w:rsidRPr="00C832AD">
        <w:rPr>
          <w:color w:val="auto"/>
          <w:sz w:val="20"/>
          <w:szCs w:val="20"/>
        </w:rPr>
        <w:t xml:space="preserve">Centrum Wsparcia Rodziny edycja II (54), </w:t>
      </w:r>
    </w:p>
    <w:p w:rsidR="006239E2" w:rsidRPr="00C832AD" w:rsidRDefault="006239E2" w:rsidP="00C832AD">
      <w:pPr>
        <w:pStyle w:val="Default"/>
        <w:numPr>
          <w:ilvl w:val="0"/>
          <w:numId w:val="688"/>
        </w:numPr>
        <w:jc w:val="both"/>
        <w:rPr>
          <w:color w:val="auto"/>
          <w:sz w:val="20"/>
          <w:szCs w:val="20"/>
        </w:rPr>
      </w:pPr>
      <w:r w:rsidRPr="00C832AD">
        <w:rPr>
          <w:color w:val="auto"/>
          <w:sz w:val="20"/>
          <w:szCs w:val="20"/>
        </w:rPr>
        <w:t xml:space="preserve">Usługi społeczne w mieszkaniach wspomaganych edycja I (55), </w:t>
      </w:r>
    </w:p>
    <w:p w:rsidR="006239E2" w:rsidRPr="00C832AD" w:rsidRDefault="006239E2" w:rsidP="00C832AD">
      <w:pPr>
        <w:pStyle w:val="Default"/>
        <w:numPr>
          <w:ilvl w:val="0"/>
          <w:numId w:val="688"/>
        </w:numPr>
        <w:jc w:val="both"/>
        <w:rPr>
          <w:color w:val="auto"/>
          <w:sz w:val="20"/>
          <w:szCs w:val="20"/>
        </w:rPr>
      </w:pPr>
      <w:r w:rsidRPr="00C832AD">
        <w:rPr>
          <w:color w:val="auto"/>
          <w:sz w:val="20"/>
          <w:szCs w:val="20"/>
        </w:rPr>
        <w:t xml:space="preserve">Usługi społeczne w mieszkaniach wspomaganych edycja II (56),  </w:t>
      </w:r>
    </w:p>
    <w:p w:rsidR="006239E2" w:rsidRPr="00C832AD" w:rsidRDefault="006239E2" w:rsidP="00C832AD">
      <w:pPr>
        <w:pStyle w:val="Default"/>
        <w:numPr>
          <w:ilvl w:val="0"/>
          <w:numId w:val="688"/>
        </w:numPr>
        <w:jc w:val="both"/>
        <w:rPr>
          <w:color w:val="auto"/>
          <w:sz w:val="20"/>
          <w:szCs w:val="20"/>
        </w:rPr>
      </w:pPr>
      <w:r w:rsidRPr="00C832AD">
        <w:rPr>
          <w:color w:val="auto"/>
          <w:sz w:val="20"/>
          <w:szCs w:val="20"/>
        </w:rPr>
        <w:t>Kompleksowe, alternatywne i aktywizacyjne usługi terapeutyczne dla osób przewlekle psychicznie chorych - mieszkańców miasta Bytom, w tym mieszkańców DPS dla Dorosłych (57),</w:t>
      </w:r>
    </w:p>
    <w:p w:rsidR="006239E2" w:rsidRPr="00C832AD" w:rsidRDefault="006239E2" w:rsidP="00C832AD">
      <w:pPr>
        <w:pStyle w:val="Akapitzlist"/>
        <w:numPr>
          <w:ilvl w:val="0"/>
          <w:numId w:val="688"/>
        </w:numPr>
        <w:spacing w:after="0" w:line="240" w:lineRule="auto"/>
        <w:contextualSpacing/>
        <w:jc w:val="both"/>
        <w:rPr>
          <w:rFonts w:cs="Calibri"/>
          <w:sz w:val="20"/>
          <w:szCs w:val="20"/>
        </w:rPr>
      </w:pPr>
      <w:r w:rsidRPr="00C832AD">
        <w:rPr>
          <w:sz w:val="20"/>
          <w:szCs w:val="20"/>
        </w:rPr>
        <w:t>Bytomskie Centrum Aktywności Społecznej – działalność społeczna bytomskich harcerzy (58),</w:t>
      </w:r>
    </w:p>
    <w:p w:rsidR="006239E2" w:rsidRPr="00C832AD" w:rsidRDefault="006239E2" w:rsidP="00C832AD">
      <w:pPr>
        <w:pStyle w:val="Akapitzlist"/>
        <w:numPr>
          <w:ilvl w:val="0"/>
          <w:numId w:val="688"/>
        </w:numPr>
        <w:spacing w:after="0" w:line="240" w:lineRule="auto"/>
        <w:contextualSpacing/>
        <w:jc w:val="both"/>
        <w:rPr>
          <w:rFonts w:cs="Calibri"/>
          <w:sz w:val="20"/>
          <w:szCs w:val="20"/>
        </w:rPr>
      </w:pPr>
      <w:r w:rsidRPr="00C832AD">
        <w:rPr>
          <w:sz w:val="20"/>
          <w:szCs w:val="20"/>
        </w:rPr>
        <w:t>Mieszkania Treningowe - wsparcie osób z niepełnosprawnością intelektualną na drodze do samodzielności (59),</w:t>
      </w:r>
    </w:p>
    <w:p w:rsidR="006239E2" w:rsidRPr="00C832AD" w:rsidRDefault="006239E2" w:rsidP="00C832AD">
      <w:pPr>
        <w:pStyle w:val="Default"/>
        <w:numPr>
          <w:ilvl w:val="0"/>
          <w:numId w:val="688"/>
        </w:numPr>
        <w:jc w:val="both"/>
        <w:rPr>
          <w:color w:val="auto"/>
          <w:sz w:val="20"/>
          <w:szCs w:val="20"/>
        </w:rPr>
      </w:pPr>
      <w:r w:rsidRPr="00C832AD">
        <w:rPr>
          <w:color w:val="auto"/>
          <w:sz w:val="20"/>
          <w:szCs w:val="20"/>
        </w:rPr>
        <w:t>Podwórka bez przemocy - program z zakresu pedagogiki podwórkowej w rejonie Bobrka, Rozbarku i</w:t>
      </w:r>
      <w:r w:rsidR="00B109B5">
        <w:rPr>
          <w:color w:val="auto"/>
          <w:sz w:val="20"/>
          <w:szCs w:val="20"/>
        </w:rPr>
        <w:t> </w:t>
      </w:r>
      <w:r w:rsidRPr="00C832AD">
        <w:rPr>
          <w:color w:val="auto"/>
          <w:sz w:val="20"/>
          <w:szCs w:val="20"/>
        </w:rPr>
        <w:t xml:space="preserve">Śródmieścia (60), </w:t>
      </w:r>
    </w:p>
    <w:p w:rsidR="006239E2" w:rsidRPr="00C832AD" w:rsidRDefault="006239E2" w:rsidP="00C832AD">
      <w:pPr>
        <w:pStyle w:val="Default"/>
        <w:numPr>
          <w:ilvl w:val="0"/>
          <w:numId w:val="688"/>
        </w:numPr>
        <w:jc w:val="both"/>
        <w:rPr>
          <w:color w:val="auto"/>
          <w:sz w:val="20"/>
          <w:szCs w:val="20"/>
        </w:rPr>
      </w:pPr>
      <w:r w:rsidRPr="00C832AD">
        <w:rPr>
          <w:color w:val="auto"/>
          <w:sz w:val="20"/>
          <w:szCs w:val="20"/>
        </w:rPr>
        <w:t>Świetlica Środowiskowa „Rozbark dla Młodych” (61),</w:t>
      </w:r>
    </w:p>
    <w:p w:rsidR="006239E2" w:rsidRPr="00C832AD" w:rsidRDefault="006239E2" w:rsidP="00C832AD">
      <w:pPr>
        <w:pStyle w:val="Default"/>
        <w:numPr>
          <w:ilvl w:val="0"/>
          <w:numId w:val="688"/>
        </w:numPr>
        <w:jc w:val="both"/>
        <w:rPr>
          <w:color w:val="auto"/>
          <w:sz w:val="20"/>
          <w:szCs w:val="20"/>
        </w:rPr>
      </w:pPr>
      <w:r w:rsidRPr="00C832AD">
        <w:rPr>
          <w:color w:val="auto"/>
          <w:sz w:val="20"/>
          <w:szCs w:val="20"/>
        </w:rPr>
        <w:t>Program "Aktywny Senior" (62),</w:t>
      </w:r>
    </w:p>
    <w:p w:rsidR="006239E2" w:rsidRPr="00C832AD" w:rsidRDefault="006239E2" w:rsidP="00C832AD">
      <w:pPr>
        <w:pStyle w:val="Default"/>
        <w:numPr>
          <w:ilvl w:val="0"/>
          <w:numId w:val="688"/>
        </w:numPr>
        <w:jc w:val="both"/>
        <w:rPr>
          <w:color w:val="auto"/>
          <w:sz w:val="20"/>
          <w:szCs w:val="20"/>
        </w:rPr>
      </w:pPr>
      <w:r w:rsidRPr="00C832AD">
        <w:rPr>
          <w:color w:val="auto"/>
          <w:sz w:val="20"/>
          <w:szCs w:val="20"/>
        </w:rPr>
        <w:t xml:space="preserve">Jak w rodzinie - utworzenie zespołu placówek opiekuńczo – wychowawczych (64), </w:t>
      </w:r>
    </w:p>
    <w:p w:rsidR="006239E2" w:rsidRPr="00C832AD" w:rsidRDefault="006239E2" w:rsidP="00C832AD">
      <w:pPr>
        <w:pStyle w:val="Akapitzlist"/>
        <w:numPr>
          <w:ilvl w:val="0"/>
          <w:numId w:val="688"/>
        </w:numPr>
        <w:spacing w:after="0" w:line="240" w:lineRule="auto"/>
        <w:contextualSpacing/>
        <w:jc w:val="both"/>
        <w:rPr>
          <w:rFonts w:cs="Calibri"/>
          <w:sz w:val="20"/>
          <w:szCs w:val="20"/>
        </w:rPr>
      </w:pPr>
      <w:r w:rsidRPr="00C832AD">
        <w:rPr>
          <w:sz w:val="20"/>
          <w:szCs w:val="20"/>
        </w:rPr>
        <w:t>Opiekuńczy Bytom – utworzenie i funkcjonowanie Bytomskiego Centrum Wsparcia Opiekunów Nieformalnych (65),</w:t>
      </w:r>
    </w:p>
    <w:p w:rsidR="006239E2" w:rsidRPr="00C832AD" w:rsidRDefault="006239E2" w:rsidP="00C832AD">
      <w:pPr>
        <w:pStyle w:val="Akapitzlist"/>
        <w:numPr>
          <w:ilvl w:val="0"/>
          <w:numId w:val="688"/>
        </w:numPr>
        <w:spacing w:after="0" w:line="240" w:lineRule="auto"/>
        <w:contextualSpacing/>
        <w:jc w:val="both"/>
        <w:rPr>
          <w:rFonts w:cs="Calibri"/>
          <w:sz w:val="20"/>
          <w:szCs w:val="20"/>
        </w:rPr>
      </w:pPr>
      <w:r w:rsidRPr="00C832AD">
        <w:rPr>
          <w:sz w:val="20"/>
          <w:szCs w:val="20"/>
        </w:rPr>
        <w:t>Bezpieczny senior (66),</w:t>
      </w:r>
    </w:p>
    <w:p w:rsidR="006239E2" w:rsidRPr="00C832AD" w:rsidRDefault="006239E2" w:rsidP="00C832AD">
      <w:pPr>
        <w:pStyle w:val="Akapitzlist"/>
        <w:numPr>
          <w:ilvl w:val="0"/>
          <w:numId w:val="688"/>
        </w:numPr>
        <w:spacing w:after="0" w:line="240" w:lineRule="auto"/>
        <w:contextualSpacing/>
        <w:jc w:val="both"/>
        <w:rPr>
          <w:rFonts w:cs="Calibri"/>
          <w:sz w:val="20"/>
          <w:szCs w:val="20"/>
        </w:rPr>
      </w:pPr>
      <w:r w:rsidRPr="00C832AD">
        <w:rPr>
          <w:sz w:val="20"/>
          <w:szCs w:val="20"/>
        </w:rPr>
        <w:t xml:space="preserve">Opiekunowie są wśród nas (67),  </w:t>
      </w:r>
    </w:p>
    <w:p w:rsidR="006239E2" w:rsidRPr="00C832AD" w:rsidRDefault="006239E2" w:rsidP="00C832AD">
      <w:pPr>
        <w:pStyle w:val="Akapitzlist"/>
        <w:numPr>
          <w:ilvl w:val="0"/>
          <w:numId w:val="688"/>
        </w:numPr>
        <w:spacing w:after="0" w:line="240" w:lineRule="auto"/>
        <w:contextualSpacing/>
        <w:jc w:val="both"/>
        <w:rPr>
          <w:rFonts w:cs="Calibri"/>
          <w:sz w:val="20"/>
          <w:szCs w:val="20"/>
        </w:rPr>
      </w:pPr>
      <w:r w:rsidRPr="00C832AD">
        <w:rPr>
          <w:sz w:val="20"/>
          <w:szCs w:val="20"/>
        </w:rPr>
        <w:t>Stworzenie Klubu Integracji Społecznej na terenie byłej KWK Rozbark w Bytomiu przy ul. Chorzowskiej – opieka krótkoterminowa dla dzieci i młodzieży, pomoc dydaktyczna dla rodzin oraz aktywacja osób starszych (68),</w:t>
      </w:r>
    </w:p>
    <w:p w:rsidR="006239E2" w:rsidRPr="00C832AD" w:rsidRDefault="006239E2" w:rsidP="00C832AD">
      <w:pPr>
        <w:pStyle w:val="Default"/>
        <w:numPr>
          <w:ilvl w:val="0"/>
          <w:numId w:val="688"/>
        </w:numPr>
        <w:jc w:val="both"/>
        <w:rPr>
          <w:color w:val="auto"/>
          <w:sz w:val="20"/>
          <w:szCs w:val="20"/>
        </w:rPr>
      </w:pPr>
      <w:r w:rsidRPr="00C832AD">
        <w:rPr>
          <w:color w:val="auto"/>
          <w:sz w:val="20"/>
          <w:szCs w:val="20"/>
        </w:rPr>
        <w:t xml:space="preserve">Bytomianie pomagają seniorom (69), </w:t>
      </w:r>
    </w:p>
    <w:p w:rsidR="006239E2" w:rsidRPr="00C832AD" w:rsidRDefault="006239E2" w:rsidP="00C832AD">
      <w:pPr>
        <w:pStyle w:val="Akapitzlist"/>
        <w:numPr>
          <w:ilvl w:val="0"/>
          <w:numId w:val="688"/>
        </w:numPr>
        <w:spacing w:after="0" w:line="240" w:lineRule="auto"/>
        <w:contextualSpacing/>
        <w:jc w:val="both"/>
        <w:rPr>
          <w:rFonts w:cs="Calibri"/>
          <w:sz w:val="20"/>
          <w:szCs w:val="20"/>
        </w:rPr>
      </w:pPr>
      <w:r w:rsidRPr="00C832AD">
        <w:rPr>
          <w:sz w:val="20"/>
          <w:szCs w:val="20"/>
        </w:rPr>
        <w:t>Bytomski Inkubator Społeczny ROZBANA - Usługowa 9.2.3 (71),</w:t>
      </w:r>
    </w:p>
    <w:p w:rsidR="006239E2" w:rsidRPr="00C832AD" w:rsidRDefault="006239E2" w:rsidP="00C832AD">
      <w:pPr>
        <w:pStyle w:val="Default"/>
        <w:numPr>
          <w:ilvl w:val="0"/>
          <w:numId w:val="688"/>
        </w:numPr>
        <w:jc w:val="both"/>
        <w:rPr>
          <w:color w:val="auto"/>
          <w:sz w:val="20"/>
          <w:szCs w:val="20"/>
        </w:rPr>
      </w:pPr>
      <w:r w:rsidRPr="00C832AD">
        <w:rPr>
          <w:color w:val="auto"/>
          <w:sz w:val="20"/>
          <w:szCs w:val="20"/>
        </w:rPr>
        <w:t xml:space="preserve">Wysoka jakość edukacji przedszkolnej - dodatkowe miejsca w przedszkolach (72), </w:t>
      </w:r>
    </w:p>
    <w:p w:rsidR="006239E2" w:rsidRPr="00C832AD" w:rsidRDefault="006239E2" w:rsidP="00C832AD">
      <w:pPr>
        <w:pStyle w:val="Default"/>
        <w:numPr>
          <w:ilvl w:val="0"/>
          <w:numId w:val="688"/>
        </w:numPr>
        <w:jc w:val="both"/>
        <w:rPr>
          <w:color w:val="auto"/>
          <w:sz w:val="20"/>
          <w:szCs w:val="20"/>
        </w:rPr>
      </w:pPr>
      <w:r w:rsidRPr="00C832AD">
        <w:rPr>
          <w:color w:val="auto"/>
          <w:sz w:val="20"/>
          <w:szCs w:val="20"/>
        </w:rPr>
        <w:t>Bytomski Inkubator Społeczny ROZBANA – Przedszkolna 11.1.3 (74),</w:t>
      </w:r>
    </w:p>
    <w:p w:rsidR="006239E2" w:rsidRPr="00C832AD" w:rsidRDefault="006239E2" w:rsidP="00BB6577">
      <w:pPr>
        <w:pStyle w:val="Akapitzlist"/>
        <w:numPr>
          <w:ilvl w:val="0"/>
          <w:numId w:val="688"/>
        </w:numPr>
        <w:spacing w:after="0" w:line="240" w:lineRule="auto"/>
        <w:ind w:left="714" w:hanging="357"/>
        <w:contextualSpacing/>
        <w:jc w:val="both"/>
        <w:rPr>
          <w:rFonts w:cs="Calibri"/>
          <w:sz w:val="20"/>
          <w:szCs w:val="20"/>
        </w:rPr>
      </w:pPr>
      <w:r w:rsidRPr="00C832AD">
        <w:rPr>
          <w:sz w:val="20"/>
          <w:szCs w:val="20"/>
        </w:rPr>
        <w:t>Umiem się uczyć (75),</w:t>
      </w:r>
    </w:p>
    <w:p w:rsidR="006239E2" w:rsidRPr="00C832AD" w:rsidRDefault="006239E2" w:rsidP="00BB6577">
      <w:pPr>
        <w:pStyle w:val="Default"/>
        <w:numPr>
          <w:ilvl w:val="0"/>
          <w:numId w:val="688"/>
        </w:numPr>
        <w:ind w:left="714" w:hanging="357"/>
        <w:jc w:val="both"/>
        <w:rPr>
          <w:color w:val="auto"/>
          <w:sz w:val="20"/>
          <w:szCs w:val="20"/>
        </w:rPr>
      </w:pPr>
      <w:r w:rsidRPr="00C832AD">
        <w:rPr>
          <w:color w:val="auto"/>
          <w:sz w:val="20"/>
          <w:szCs w:val="20"/>
        </w:rPr>
        <w:t>Zostań programistą (76),</w:t>
      </w:r>
    </w:p>
    <w:p w:rsidR="006239E2" w:rsidRPr="00C832AD" w:rsidRDefault="006239E2" w:rsidP="00C832AD">
      <w:pPr>
        <w:pStyle w:val="Akapitzlist"/>
        <w:numPr>
          <w:ilvl w:val="0"/>
          <w:numId w:val="688"/>
        </w:numPr>
        <w:spacing w:after="0" w:line="240" w:lineRule="auto"/>
        <w:contextualSpacing/>
        <w:jc w:val="both"/>
        <w:rPr>
          <w:rFonts w:cs="Calibri"/>
          <w:sz w:val="20"/>
          <w:szCs w:val="20"/>
        </w:rPr>
      </w:pPr>
      <w:r w:rsidRPr="00C832AD">
        <w:rPr>
          <w:sz w:val="20"/>
          <w:szCs w:val="20"/>
        </w:rPr>
        <w:t>Rozwojowy uczeń szkoły zawodowej z szansą na pracę na europejskim rynku pracy - dostosowanie oferty kształcenia zawodowego (79),</w:t>
      </w:r>
    </w:p>
    <w:p w:rsidR="006239E2" w:rsidRPr="00C832AD" w:rsidRDefault="006239E2" w:rsidP="00C832AD">
      <w:pPr>
        <w:pStyle w:val="Akapitzlist"/>
        <w:numPr>
          <w:ilvl w:val="0"/>
          <w:numId w:val="688"/>
        </w:numPr>
        <w:spacing w:after="0" w:line="240" w:lineRule="auto"/>
        <w:contextualSpacing/>
        <w:jc w:val="both"/>
        <w:rPr>
          <w:rFonts w:cs="Calibri"/>
          <w:sz w:val="20"/>
          <w:szCs w:val="20"/>
        </w:rPr>
      </w:pPr>
      <w:r w:rsidRPr="00C832AD">
        <w:rPr>
          <w:sz w:val="20"/>
          <w:szCs w:val="20"/>
        </w:rPr>
        <w:t>Program Terapii dla Młodzieży (102),</w:t>
      </w:r>
    </w:p>
    <w:p w:rsidR="006239E2" w:rsidRPr="00581E59" w:rsidRDefault="006239E2" w:rsidP="00C832AD">
      <w:pPr>
        <w:pStyle w:val="Akapitzlist"/>
        <w:numPr>
          <w:ilvl w:val="0"/>
          <w:numId w:val="688"/>
        </w:numPr>
        <w:spacing w:after="0" w:line="240" w:lineRule="auto"/>
        <w:contextualSpacing/>
        <w:jc w:val="both"/>
        <w:rPr>
          <w:rFonts w:cs="Calibri"/>
          <w:sz w:val="20"/>
          <w:szCs w:val="20"/>
        </w:rPr>
      </w:pPr>
      <w:r w:rsidRPr="00581E59">
        <w:rPr>
          <w:sz w:val="20"/>
          <w:szCs w:val="20"/>
        </w:rPr>
        <w:t>Uruchomienie mieszkań chronionych z zapleczem treningowym dla mieszkańców DPS dla Dorosłych oraz osób przewlekle psychicznie chorych mieszkańców miasta Bytom (103),</w:t>
      </w:r>
    </w:p>
    <w:p w:rsidR="006239E2" w:rsidRPr="00581E59" w:rsidRDefault="006239E2" w:rsidP="00C832AD">
      <w:pPr>
        <w:pStyle w:val="Akapitzlist"/>
        <w:numPr>
          <w:ilvl w:val="0"/>
          <w:numId w:val="688"/>
        </w:numPr>
        <w:spacing w:after="0" w:line="240" w:lineRule="auto"/>
        <w:contextualSpacing/>
        <w:jc w:val="both"/>
        <w:rPr>
          <w:rFonts w:cs="Calibri"/>
          <w:sz w:val="20"/>
          <w:szCs w:val="20"/>
        </w:rPr>
      </w:pPr>
      <w:r w:rsidRPr="00581E59">
        <w:rPr>
          <w:sz w:val="20"/>
          <w:szCs w:val="20"/>
        </w:rPr>
        <w:t>Przebudowa i adaptacja budynku przy ulicy Karola Miarki 10 na potrzeby Centrum Integracji Społecznej (104),</w:t>
      </w:r>
    </w:p>
    <w:p w:rsidR="006239E2" w:rsidRPr="00581E59" w:rsidRDefault="006239E2" w:rsidP="00C832AD">
      <w:pPr>
        <w:pStyle w:val="Akapitzlist"/>
        <w:numPr>
          <w:ilvl w:val="0"/>
          <w:numId w:val="688"/>
        </w:numPr>
        <w:spacing w:after="0" w:line="240" w:lineRule="auto"/>
        <w:contextualSpacing/>
        <w:jc w:val="both"/>
        <w:rPr>
          <w:rFonts w:cs="Calibri"/>
          <w:sz w:val="20"/>
          <w:szCs w:val="20"/>
        </w:rPr>
      </w:pPr>
      <w:r w:rsidRPr="00581E59">
        <w:rPr>
          <w:sz w:val="20"/>
          <w:szCs w:val="20"/>
        </w:rPr>
        <w:t>Rewitalizacja obiektów na potrzeby Centrum Integracji Aktywnej (107),</w:t>
      </w:r>
    </w:p>
    <w:p w:rsidR="006239E2" w:rsidRPr="00581E59" w:rsidRDefault="006239E2" w:rsidP="00C832AD">
      <w:pPr>
        <w:pStyle w:val="Akapitzlist"/>
        <w:numPr>
          <w:ilvl w:val="0"/>
          <w:numId w:val="688"/>
        </w:numPr>
        <w:spacing w:after="0" w:line="240" w:lineRule="auto"/>
        <w:contextualSpacing/>
        <w:jc w:val="both"/>
        <w:rPr>
          <w:rFonts w:cs="Calibri"/>
          <w:sz w:val="20"/>
          <w:szCs w:val="20"/>
        </w:rPr>
      </w:pPr>
      <w:r w:rsidRPr="00581E59">
        <w:rPr>
          <w:sz w:val="20"/>
          <w:szCs w:val="20"/>
        </w:rPr>
        <w:t>Rewitalizacja starego domu katechetycznego przy ul. ks. Koziołka 3 (112),</w:t>
      </w:r>
    </w:p>
    <w:p w:rsidR="006239E2" w:rsidRPr="00581E59" w:rsidRDefault="006239E2" w:rsidP="00C832AD">
      <w:pPr>
        <w:pStyle w:val="Akapitzlist"/>
        <w:numPr>
          <w:ilvl w:val="0"/>
          <w:numId w:val="688"/>
        </w:numPr>
        <w:spacing w:after="0" w:line="240" w:lineRule="auto"/>
        <w:contextualSpacing/>
        <w:jc w:val="both"/>
        <w:rPr>
          <w:rFonts w:cs="Calibri"/>
          <w:sz w:val="20"/>
          <w:szCs w:val="20"/>
        </w:rPr>
      </w:pPr>
      <w:r w:rsidRPr="00581E59">
        <w:rPr>
          <w:sz w:val="20"/>
          <w:szCs w:val="20"/>
        </w:rPr>
        <w:t>Rewitalizacja społeczna poprzez kulturę kościoła Św. Jacka w Bytomiu (113),</w:t>
      </w:r>
    </w:p>
    <w:p w:rsidR="006239E2" w:rsidRPr="00581E59" w:rsidRDefault="006239E2" w:rsidP="00C832AD">
      <w:pPr>
        <w:pStyle w:val="Akapitzlist"/>
        <w:numPr>
          <w:ilvl w:val="0"/>
          <w:numId w:val="688"/>
        </w:numPr>
        <w:spacing w:after="0" w:line="240" w:lineRule="auto"/>
        <w:contextualSpacing/>
        <w:jc w:val="both"/>
        <w:rPr>
          <w:rFonts w:cs="Calibri"/>
          <w:sz w:val="20"/>
          <w:szCs w:val="20"/>
        </w:rPr>
      </w:pPr>
      <w:r w:rsidRPr="00581E59">
        <w:rPr>
          <w:sz w:val="20"/>
          <w:szCs w:val="20"/>
        </w:rPr>
        <w:t>Rewitalizacja gmachu Bytomskiego Centrum Kultury III etap (114),</w:t>
      </w:r>
    </w:p>
    <w:p w:rsidR="006239E2" w:rsidRPr="00581E59" w:rsidRDefault="006239E2" w:rsidP="00C832AD">
      <w:pPr>
        <w:pStyle w:val="Akapitzlist"/>
        <w:numPr>
          <w:ilvl w:val="0"/>
          <w:numId w:val="688"/>
        </w:numPr>
        <w:spacing w:after="0" w:line="240" w:lineRule="auto"/>
        <w:contextualSpacing/>
        <w:jc w:val="both"/>
        <w:rPr>
          <w:rFonts w:cs="Calibri"/>
          <w:sz w:val="20"/>
          <w:szCs w:val="20"/>
        </w:rPr>
      </w:pPr>
      <w:r w:rsidRPr="00581E59">
        <w:rPr>
          <w:sz w:val="20"/>
          <w:szCs w:val="20"/>
        </w:rPr>
        <w:t>Rewitalizacja obiektu UL na cele działalności społecznej bytomskich harcerzy (115),</w:t>
      </w:r>
    </w:p>
    <w:p w:rsidR="006239E2" w:rsidRPr="00581E59" w:rsidRDefault="006239E2" w:rsidP="00C832AD">
      <w:pPr>
        <w:pStyle w:val="Akapitzlist"/>
        <w:numPr>
          <w:ilvl w:val="0"/>
          <w:numId w:val="688"/>
        </w:numPr>
        <w:spacing w:after="0" w:line="240" w:lineRule="auto"/>
        <w:contextualSpacing/>
        <w:jc w:val="both"/>
        <w:rPr>
          <w:rFonts w:cs="Calibri"/>
          <w:sz w:val="20"/>
          <w:szCs w:val="20"/>
        </w:rPr>
      </w:pPr>
      <w:r w:rsidRPr="00581E59">
        <w:rPr>
          <w:sz w:val="20"/>
          <w:szCs w:val="20"/>
        </w:rPr>
        <w:t>Masz firmę masz lokal - Program Aktywizacji Lokali Użytkowych (116),</w:t>
      </w:r>
    </w:p>
    <w:p w:rsidR="006239E2" w:rsidRPr="00581E59" w:rsidRDefault="006239E2" w:rsidP="00C832AD">
      <w:pPr>
        <w:pStyle w:val="Akapitzlist"/>
        <w:numPr>
          <w:ilvl w:val="0"/>
          <w:numId w:val="688"/>
        </w:numPr>
        <w:spacing w:after="160" w:line="240" w:lineRule="auto"/>
        <w:contextualSpacing/>
        <w:jc w:val="both"/>
        <w:rPr>
          <w:rFonts w:cs="Calibri"/>
          <w:sz w:val="20"/>
          <w:szCs w:val="20"/>
        </w:rPr>
      </w:pPr>
      <w:r w:rsidRPr="00581E59">
        <w:rPr>
          <w:sz w:val="20"/>
          <w:szCs w:val="20"/>
        </w:rPr>
        <w:t>Kompleksowa rewitalizacja złożona ze stref seniora, aktywizacji młodych, dla najmłodszych, zieleni, Inkubator Przedsiębiorczości z ukierunkowaniem na świadczenie usług dla osób starszych, poradnia zdrowia psychicznego wraz z ośrodkiem tera</w:t>
      </w:r>
      <w:r w:rsidR="00A20ED9" w:rsidRPr="00581E59">
        <w:rPr>
          <w:sz w:val="20"/>
          <w:szCs w:val="20"/>
        </w:rPr>
        <w:t>pii uzależnień, współuzależnień</w:t>
      </w:r>
      <w:r w:rsidRPr="00581E59">
        <w:rPr>
          <w:sz w:val="20"/>
          <w:szCs w:val="20"/>
        </w:rPr>
        <w:t xml:space="preserve"> i profilaktyki (120),</w:t>
      </w:r>
    </w:p>
    <w:p w:rsidR="006239E2" w:rsidRPr="00581E59" w:rsidRDefault="006239E2" w:rsidP="00C832AD">
      <w:pPr>
        <w:pStyle w:val="Akapitzlist"/>
        <w:numPr>
          <w:ilvl w:val="0"/>
          <w:numId w:val="688"/>
        </w:numPr>
        <w:spacing w:after="0" w:line="240" w:lineRule="auto"/>
        <w:contextualSpacing/>
        <w:jc w:val="both"/>
        <w:rPr>
          <w:rFonts w:cs="Calibri"/>
          <w:sz w:val="20"/>
          <w:szCs w:val="20"/>
        </w:rPr>
      </w:pPr>
      <w:r w:rsidRPr="00581E59">
        <w:rPr>
          <w:sz w:val="20"/>
          <w:szCs w:val="20"/>
        </w:rPr>
        <w:t>Lepsze umiejętności - większe szanse na rynku pracy. Poprawa infrastruktury kształcenia zawodowego w Bytomiu (123).</w:t>
      </w:r>
    </w:p>
    <w:p w:rsidR="00923560" w:rsidRPr="00581E59" w:rsidRDefault="00923560" w:rsidP="009C1D86">
      <w:pPr>
        <w:pStyle w:val="Akapitzlist"/>
        <w:numPr>
          <w:ilvl w:val="0"/>
          <w:numId w:val="688"/>
        </w:numPr>
        <w:shd w:val="clear" w:color="auto" w:fill="F2F2F2" w:themeFill="background1" w:themeFillShade="F2"/>
        <w:spacing w:after="0" w:line="240" w:lineRule="auto"/>
        <w:contextualSpacing/>
        <w:jc w:val="both"/>
        <w:rPr>
          <w:rFonts w:cs="Calibri"/>
          <w:sz w:val="20"/>
          <w:szCs w:val="20"/>
        </w:rPr>
      </w:pPr>
      <w:r w:rsidRPr="00581E59">
        <w:rPr>
          <w:rFonts w:cs="Calibri"/>
          <w:sz w:val="20"/>
          <w:szCs w:val="20"/>
        </w:rPr>
        <w:t>Rewitalizacja budynku Poczty Głównej w Bytomiu na cele społeczne (132),</w:t>
      </w:r>
    </w:p>
    <w:p w:rsidR="00923560" w:rsidRPr="00581E59" w:rsidRDefault="00923560" w:rsidP="009C1D86">
      <w:pPr>
        <w:pStyle w:val="Akapitzlist"/>
        <w:numPr>
          <w:ilvl w:val="0"/>
          <w:numId w:val="688"/>
        </w:numPr>
        <w:shd w:val="clear" w:color="auto" w:fill="F2F2F2" w:themeFill="background1" w:themeFillShade="F2"/>
        <w:spacing w:after="160" w:line="259" w:lineRule="auto"/>
        <w:contextualSpacing/>
        <w:jc w:val="both"/>
        <w:rPr>
          <w:rFonts w:cs="Calibri"/>
          <w:sz w:val="20"/>
          <w:szCs w:val="20"/>
        </w:rPr>
      </w:pPr>
      <w:r w:rsidRPr="00581E59">
        <w:rPr>
          <w:rFonts w:cs="Calibri"/>
          <w:sz w:val="20"/>
          <w:szCs w:val="20"/>
        </w:rPr>
        <w:t>Czas na zmiany - nowe perspektywy (RAZEM) z Cen</w:t>
      </w:r>
      <w:r w:rsidR="00120CE3" w:rsidRPr="00581E59">
        <w:rPr>
          <w:rFonts w:cs="Calibri"/>
          <w:sz w:val="20"/>
          <w:szCs w:val="20"/>
        </w:rPr>
        <w:t>trum Integracji Społecznej (133</w:t>
      </w:r>
      <w:r w:rsidRPr="00581E59">
        <w:rPr>
          <w:rFonts w:cs="Calibri"/>
          <w:sz w:val="20"/>
          <w:szCs w:val="20"/>
        </w:rPr>
        <w:t>)</w:t>
      </w:r>
      <w:r w:rsidR="00120CE3" w:rsidRPr="00581E59">
        <w:rPr>
          <w:rFonts w:cs="Calibri"/>
          <w:sz w:val="20"/>
          <w:szCs w:val="20"/>
        </w:rPr>
        <w:t>,</w:t>
      </w:r>
    </w:p>
    <w:p w:rsidR="00923560" w:rsidRPr="00581E59" w:rsidRDefault="00923560" w:rsidP="009C1D86">
      <w:pPr>
        <w:pStyle w:val="Akapitzlist"/>
        <w:numPr>
          <w:ilvl w:val="0"/>
          <w:numId w:val="688"/>
        </w:numPr>
        <w:shd w:val="clear" w:color="auto" w:fill="F2F2F2" w:themeFill="background1" w:themeFillShade="F2"/>
        <w:spacing w:after="160" w:line="259" w:lineRule="auto"/>
        <w:contextualSpacing/>
        <w:jc w:val="both"/>
        <w:rPr>
          <w:rFonts w:cs="Calibri"/>
          <w:sz w:val="20"/>
          <w:szCs w:val="20"/>
        </w:rPr>
      </w:pPr>
      <w:r w:rsidRPr="00581E59">
        <w:rPr>
          <w:rFonts w:cs="Calibri"/>
          <w:sz w:val="20"/>
          <w:szCs w:val="20"/>
        </w:rPr>
        <w:t xml:space="preserve">Wspinam się! Kopalnia Skarbów, czyli nowe kompetencje dla dzieci w Bytomiu w ramach podejmowanych działań w </w:t>
      </w:r>
      <w:r w:rsidR="004229BF" w:rsidRPr="00581E59">
        <w:rPr>
          <w:rFonts w:cs="Calibri"/>
          <w:sz w:val="20"/>
          <w:szCs w:val="20"/>
        </w:rPr>
        <w:t>placówce wsparcia dziennego (148</w:t>
      </w:r>
      <w:r w:rsidRPr="00581E59">
        <w:rPr>
          <w:rFonts w:cs="Calibri"/>
          <w:sz w:val="20"/>
          <w:szCs w:val="20"/>
        </w:rPr>
        <w:t>).</w:t>
      </w:r>
    </w:p>
    <w:p w:rsidR="006239E2" w:rsidRPr="00C832AD" w:rsidRDefault="006239E2" w:rsidP="00C832AD">
      <w:pPr>
        <w:jc w:val="both"/>
        <w:rPr>
          <w:rFonts w:ascii="Calibri" w:hAnsi="Calibri" w:cs="Calibri"/>
          <w:szCs w:val="20"/>
        </w:rPr>
      </w:pPr>
    </w:p>
    <w:p w:rsidR="006239E2" w:rsidRPr="00C832AD" w:rsidRDefault="006239E2" w:rsidP="00C832AD">
      <w:pPr>
        <w:pStyle w:val="Default"/>
        <w:jc w:val="both"/>
        <w:rPr>
          <w:b/>
          <w:bCs/>
          <w:color w:val="auto"/>
          <w:sz w:val="20"/>
          <w:szCs w:val="20"/>
        </w:rPr>
      </w:pPr>
      <w:r w:rsidRPr="00C832AD">
        <w:rPr>
          <w:b/>
          <w:bCs/>
          <w:color w:val="auto"/>
          <w:sz w:val="20"/>
          <w:szCs w:val="20"/>
        </w:rPr>
        <w:t>Cel Operacyjny 2.2 Społeczności lokalne zintegrowane wokół tradycji dzielnic oraz oddolnych inicjatyw realizowanych przez mieszkańców na rzecz wspólnoty lokalnej – projekty:</w:t>
      </w:r>
    </w:p>
    <w:p w:rsidR="006239E2" w:rsidRPr="00C832AD" w:rsidRDefault="006239E2" w:rsidP="00BB6577">
      <w:pPr>
        <w:pStyle w:val="Akapitzlist"/>
        <w:numPr>
          <w:ilvl w:val="0"/>
          <w:numId w:val="687"/>
        </w:numPr>
        <w:spacing w:after="0" w:line="240" w:lineRule="auto"/>
        <w:contextualSpacing/>
        <w:jc w:val="both"/>
        <w:rPr>
          <w:rFonts w:cs="Calibri"/>
          <w:sz w:val="20"/>
          <w:szCs w:val="20"/>
        </w:rPr>
      </w:pPr>
      <w:r w:rsidRPr="00C832AD">
        <w:rPr>
          <w:sz w:val="20"/>
          <w:szCs w:val="20"/>
        </w:rPr>
        <w:t>Bytomski Inkubator Społeczny ROZBANA - Promocja zatrudnienia 7.3.3 (16),</w:t>
      </w:r>
    </w:p>
    <w:p w:rsidR="006239E2" w:rsidRPr="00C832AD" w:rsidRDefault="006239E2" w:rsidP="00C832AD">
      <w:pPr>
        <w:pStyle w:val="Akapitzlist"/>
        <w:numPr>
          <w:ilvl w:val="0"/>
          <w:numId w:val="687"/>
        </w:numPr>
        <w:spacing w:after="0" w:line="240" w:lineRule="auto"/>
        <w:contextualSpacing/>
        <w:jc w:val="both"/>
        <w:rPr>
          <w:rFonts w:cs="Calibri"/>
          <w:sz w:val="20"/>
          <w:szCs w:val="20"/>
        </w:rPr>
      </w:pPr>
      <w:r w:rsidRPr="00C832AD">
        <w:rPr>
          <w:rFonts w:cs="Calibri"/>
          <w:sz w:val="20"/>
          <w:szCs w:val="20"/>
        </w:rPr>
        <w:t>Bytomski Inkubator Społeczny ROZBANA - Opiekunka 8.1.3 (22),</w:t>
      </w:r>
    </w:p>
    <w:p w:rsidR="006239E2" w:rsidRPr="00C832AD" w:rsidRDefault="006239E2" w:rsidP="00C832AD">
      <w:pPr>
        <w:pStyle w:val="Default"/>
        <w:numPr>
          <w:ilvl w:val="0"/>
          <w:numId w:val="687"/>
        </w:numPr>
        <w:jc w:val="both"/>
        <w:rPr>
          <w:color w:val="auto"/>
          <w:sz w:val="20"/>
          <w:szCs w:val="20"/>
        </w:rPr>
      </w:pPr>
      <w:r w:rsidRPr="00C832AD">
        <w:rPr>
          <w:color w:val="auto"/>
          <w:sz w:val="20"/>
          <w:szCs w:val="20"/>
        </w:rPr>
        <w:t>Międzypokoleniowe Centrum Integracji (36),</w:t>
      </w:r>
    </w:p>
    <w:p w:rsidR="006239E2" w:rsidRPr="00C832AD" w:rsidRDefault="006239E2" w:rsidP="00BB6577">
      <w:pPr>
        <w:pStyle w:val="Default"/>
        <w:numPr>
          <w:ilvl w:val="0"/>
          <w:numId w:val="687"/>
        </w:numPr>
        <w:jc w:val="both"/>
        <w:rPr>
          <w:color w:val="auto"/>
          <w:sz w:val="20"/>
          <w:szCs w:val="20"/>
        </w:rPr>
      </w:pPr>
      <w:r w:rsidRPr="00C832AD">
        <w:rPr>
          <w:color w:val="auto"/>
          <w:sz w:val="20"/>
          <w:szCs w:val="20"/>
        </w:rPr>
        <w:t>Program Aktywności Lokalnej „Śródmieście” (37),</w:t>
      </w:r>
    </w:p>
    <w:p w:rsidR="006239E2" w:rsidRPr="00C832AD" w:rsidRDefault="006239E2" w:rsidP="00BB6577">
      <w:pPr>
        <w:pStyle w:val="Akapitzlist"/>
        <w:numPr>
          <w:ilvl w:val="0"/>
          <w:numId w:val="687"/>
        </w:numPr>
        <w:spacing w:after="0" w:line="240" w:lineRule="auto"/>
        <w:contextualSpacing/>
        <w:jc w:val="both"/>
        <w:rPr>
          <w:rFonts w:cs="Calibri"/>
          <w:sz w:val="20"/>
          <w:szCs w:val="20"/>
        </w:rPr>
      </w:pPr>
      <w:r w:rsidRPr="00C832AD">
        <w:rPr>
          <w:rFonts w:cs="Calibri"/>
          <w:sz w:val="20"/>
          <w:szCs w:val="20"/>
        </w:rPr>
        <w:t xml:space="preserve">Bytomski Ośrodek Aktywności (40), </w:t>
      </w:r>
    </w:p>
    <w:p w:rsidR="006239E2" w:rsidRPr="00C832AD" w:rsidRDefault="006239E2" w:rsidP="00C832AD">
      <w:pPr>
        <w:pStyle w:val="Akapitzlist"/>
        <w:numPr>
          <w:ilvl w:val="0"/>
          <w:numId w:val="687"/>
        </w:numPr>
        <w:spacing w:after="0" w:line="240" w:lineRule="auto"/>
        <w:contextualSpacing/>
        <w:jc w:val="both"/>
        <w:rPr>
          <w:rFonts w:cs="Calibri"/>
          <w:sz w:val="20"/>
          <w:szCs w:val="20"/>
        </w:rPr>
      </w:pPr>
      <w:r w:rsidRPr="00C832AD">
        <w:rPr>
          <w:rFonts w:cs="Calibri"/>
          <w:sz w:val="20"/>
          <w:szCs w:val="20"/>
        </w:rPr>
        <w:t>Bytomski Inkubator Społeczny ROZBANA - Integracja 9.1.3 (47),</w:t>
      </w:r>
    </w:p>
    <w:p w:rsidR="006239E2" w:rsidRPr="00C832AD" w:rsidRDefault="006239E2" w:rsidP="00C832AD">
      <w:pPr>
        <w:pStyle w:val="Default"/>
        <w:numPr>
          <w:ilvl w:val="0"/>
          <w:numId w:val="687"/>
        </w:numPr>
        <w:jc w:val="both"/>
        <w:rPr>
          <w:color w:val="auto"/>
          <w:sz w:val="20"/>
          <w:szCs w:val="20"/>
        </w:rPr>
      </w:pPr>
      <w:r w:rsidRPr="00C832AD">
        <w:rPr>
          <w:color w:val="auto"/>
          <w:sz w:val="20"/>
          <w:szCs w:val="20"/>
        </w:rPr>
        <w:t>Świetlica Środowiskowa „Rozbark dla Młodych” (61),</w:t>
      </w:r>
    </w:p>
    <w:p w:rsidR="006239E2" w:rsidRPr="00C832AD" w:rsidRDefault="006239E2" w:rsidP="00C832AD">
      <w:pPr>
        <w:pStyle w:val="Default"/>
        <w:numPr>
          <w:ilvl w:val="0"/>
          <w:numId w:val="687"/>
        </w:numPr>
        <w:jc w:val="both"/>
        <w:rPr>
          <w:color w:val="auto"/>
          <w:sz w:val="20"/>
          <w:szCs w:val="20"/>
        </w:rPr>
      </w:pPr>
      <w:r w:rsidRPr="00C832AD">
        <w:rPr>
          <w:color w:val="auto"/>
          <w:sz w:val="20"/>
          <w:szCs w:val="20"/>
        </w:rPr>
        <w:t>Program "Aktywny Senior" (62),</w:t>
      </w:r>
    </w:p>
    <w:p w:rsidR="006239E2" w:rsidRPr="00C832AD" w:rsidRDefault="006239E2" w:rsidP="00C832AD">
      <w:pPr>
        <w:pStyle w:val="Default"/>
        <w:numPr>
          <w:ilvl w:val="0"/>
          <w:numId w:val="687"/>
        </w:numPr>
        <w:jc w:val="both"/>
        <w:rPr>
          <w:color w:val="auto"/>
          <w:sz w:val="20"/>
          <w:szCs w:val="20"/>
        </w:rPr>
      </w:pPr>
      <w:r w:rsidRPr="00C832AD">
        <w:rPr>
          <w:color w:val="auto"/>
          <w:sz w:val="20"/>
          <w:szCs w:val="20"/>
        </w:rPr>
        <w:t>Rozwój usług społecznych poprzez utworzenie Centrum Usług Społecznych (63),</w:t>
      </w:r>
    </w:p>
    <w:p w:rsidR="006239E2" w:rsidRPr="00C832AD" w:rsidRDefault="006239E2" w:rsidP="00C832AD">
      <w:pPr>
        <w:pStyle w:val="Akapitzlist"/>
        <w:numPr>
          <w:ilvl w:val="0"/>
          <w:numId w:val="687"/>
        </w:numPr>
        <w:spacing w:after="0" w:line="240" w:lineRule="auto"/>
        <w:contextualSpacing/>
        <w:jc w:val="both"/>
        <w:rPr>
          <w:rFonts w:cs="Calibri"/>
          <w:sz w:val="20"/>
          <w:szCs w:val="20"/>
        </w:rPr>
      </w:pPr>
      <w:r w:rsidRPr="00C832AD">
        <w:rPr>
          <w:sz w:val="20"/>
          <w:szCs w:val="20"/>
        </w:rPr>
        <w:t xml:space="preserve">Opiekunowie są wśród nas (67),  </w:t>
      </w:r>
    </w:p>
    <w:p w:rsidR="006239E2" w:rsidRPr="00C832AD" w:rsidRDefault="006239E2" w:rsidP="00C832AD">
      <w:pPr>
        <w:pStyle w:val="Akapitzlist"/>
        <w:numPr>
          <w:ilvl w:val="0"/>
          <w:numId w:val="687"/>
        </w:numPr>
        <w:spacing w:after="0" w:line="240" w:lineRule="auto"/>
        <w:contextualSpacing/>
        <w:jc w:val="both"/>
        <w:rPr>
          <w:rFonts w:cs="Calibri"/>
          <w:sz w:val="20"/>
          <w:szCs w:val="20"/>
        </w:rPr>
      </w:pPr>
      <w:r w:rsidRPr="00C832AD">
        <w:rPr>
          <w:sz w:val="20"/>
          <w:szCs w:val="20"/>
        </w:rPr>
        <w:t>Stworzenie Klubu Integracji Społecznej na terenie byłej KWK Rozbark w Bytomiu przy ul. Chorzowskiej – opieka krótkoterminowa dla dzieci i młodzieży, pomoc dydaktyczna dla rodzin oraz aktywacja osób starszych (68),</w:t>
      </w:r>
    </w:p>
    <w:p w:rsidR="006239E2" w:rsidRPr="00C832AD" w:rsidRDefault="006239E2" w:rsidP="00C832AD">
      <w:pPr>
        <w:pStyle w:val="Akapitzlist"/>
        <w:numPr>
          <w:ilvl w:val="0"/>
          <w:numId w:val="687"/>
        </w:numPr>
        <w:spacing w:after="0" w:line="240" w:lineRule="auto"/>
        <w:contextualSpacing/>
        <w:jc w:val="both"/>
        <w:rPr>
          <w:rFonts w:cs="Calibri"/>
          <w:sz w:val="20"/>
          <w:szCs w:val="20"/>
        </w:rPr>
      </w:pPr>
      <w:r w:rsidRPr="00C832AD">
        <w:rPr>
          <w:sz w:val="20"/>
          <w:szCs w:val="20"/>
        </w:rPr>
        <w:t>Bytomski Inkubator Społeczny ROZBANA - Usługowa 9.2.3 (71),</w:t>
      </w:r>
    </w:p>
    <w:p w:rsidR="006239E2" w:rsidRPr="00C832AD" w:rsidRDefault="006239E2" w:rsidP="00C832AD">
      <w:pPr>
        <w:pStyle w:val="Akapitzlist"/>
        <w:numPr>
          <w:ilvl w:val="0"/>
          <w:numId w:val="687"/>
        </w:numPr>
        <w:spacing w:after="160" w:line="240" w:lineRule="auto"/>
        <w:contextualSpacing/>
        <w:jc w:val="both"/>
        <w:rPr>
          <w:rFonts w:cs="Calibri"/>
          <w:sz w:val="20"/>
          <w:szCs w:val="20"/>
        </w:rPr>
      </w:pPr>
      <w:r w:rsidRPr="00C832AD">
        <w:rPr>
          <w:rFonts w:cs="Calibri"/>
          <w:sz w:val="20"/>
          <w:szCs w:val="20"/>
        </w:rPr>
        <w:t>Bytomski Inkubator Społeczny ROZBANA - Rozwojowa 11.1.4 (78),</w:t>
      </w:r>
    </w:p>
    <w:p w:rsidR="006239E2" w:rsidRPr="00C832AD" w:rsidRDefault="006239E2" w:rsidP="00C832AD">
      <w:pPr>
        <w:pStyle w:val="Akapitzlist"/>
        <w:numPr>
          <w:ilvl w:val="0"/>
          <w:numId w:val="687"/>
        </w:numPr>
        <w:spacing w:after="160" w:line="240" w:lineRule="auto"/>
        <w:contextualSpacing/>
        <w:jc w:val="both"/>
        <w:rPr>
          <w:rFonts w:cs="Calibri"/>
          <w:sz w:val="20"/>
          <w:szCs w:val="20"/>
        </w:rPr>
      </w:pPr>
      <w:r w:rsidRPr="00C832AD">
        <w:rPr>
          <w:sz w:val="20"/>
          <w:szCs w:val="20"/>
        </w:rPr>
        <w:t>Remont budynku kościoła p.w. Świętej Trójcy w Bytomiu (94),</w:t>
      </w:r>
    </w:p>
    <w:p w:rsidR="006239E2" w:rsidRPr="00C832AD" w:rsidRDefault="006239E2" w:rsidP="00C832AD">
      <w:pPr>
        <w:pStyle w:val="Akapitzlist"/>
        <w:numPr>
          <w:ilvl w:val="0"/>
          <w:numId w:val="687"/>
        </w:numPr>
        <w:spacing w:after="0" w:line="240" w:lineRule="auto"/>
        <w:contextualSpacing/>
        <w:jc w:val="both"/>
        <w:rPr>
          <w:rFonts w:cs="Calibri"/>
          <w:sz w:val="20"/>
          <w:szCs w:val="20"/>
        </w:rPr>
      </w:pPr>
      <w:r w:rsidRPr="00C832AD">
        <w:rPr>
          <w:sz w:val="20"/>
          <w:szCs w:val="20"/>
        </w:rPr>
        <w:t>Rewitalizacja obiektów na potrzeby Centrum Integracji Aktywnej (107),</w:t>
      </w:r>
    </w:p>
    <w:p w:rsidR="006239E2" w:rsidRPr="00C832AD" w:rsidRDefault="006239E2" w:rsidP="00C832AD">
      <w:pPr>
        <w:pStyle w:val="Akapitzlist"/>
        <w:numPr>
          <w:ilvl w:val="0"/>
          <w:numId w:val="687"/>
        </w:numPr>
        <w:spacing w:after="0" w:line="240" w:lineRule="auto"/>
        <w:contextualSpacing/>
        <w:jc w:val="both"/>
        <w:rPr>
          <w:rFonts w:cs="Calibri"/>
          <w:sz w:val="20"/>
          <w:szCs w:val="20"/>
        </w:rPr>
      </w:pPr>
      <w:r w:rsidRPr="00C832AD">
        <w:rPr>
          <w:sz w:val="20"/>
          <w:szCs w:val="20"/>
        </w:rPr>
        <w:t>Stworzenie przyjemnych i bezpiecznych przestrzeni dla mieszkańców Rozbarku (110),</w:t>
      </w:r>
    </w:p>
    <w:p w:rsidR="006239E2" w:rsidRPr="00C832AD" w:rsidRDefault="006239E2" w:rsidP="00C832AD">
      <w:pPr>
        <w:pStyle w:val="Akapitzlist"/>
        <w:numPr>
          <w:ilvl w:val="0"/>
          <w:numId w:val="687"/>
        </w:numPr>
        <w:spacing w:after="0" w:line="240" w:lineRule="auto"/>
        <w:contextualSpacing/>
        <w:jc w:val="both"/>
        <w:rPr>
          <w:rFonts w:cs="Calibri"/>
          <w:sz w:val="20"/>
          <w:szCs w:val="20"/>
        </w:rPr>
      </w:pPr>
      <w:r w:rsidRPr="00C832AD">
        <w:rPr>
          <w:sz w:val="20"/>
          <w:szCs w:val="20"/>
        </w:rPr>
        <w:t>Remont konserwatorski elewacji budynku plebani kościoła p.w. Św. Trójcy w Bytomiu zlokalizowanego przy ul. Kwietniewskiego 1 (111),</w:t>
      </w:r>
    </w:p>
    <w:p w:rsidR="006239E2" w:rsidRPr="00C832AD" w:rsidRDefault="006239E2" w:rsidP="00C832AD">
      <w:pPr>
        <w:pStyle w:val="Akapitzlist"/>
        <w:numPr>
          <w:ilvl w:val="0"/>
          <w:numId w:val="687"/>
        </w:numPr>
        <w:spacing w:after="0" w:line="240" w:lineRule="auto"/>
        <w:contextualSpacing/>
        <w:jc w:val="both"/>
        <w:rPr>
          <w:rFonts w:cs="Calibri"/>
          <w:sz w:val="20"/>
          <w:szCs w:val="20"/>
        </w:rPr>
      </w:pPr>
      <w:r w:rsidRPr="00C832AD">
        <w:rPr>
          <w:sz w:val="20"/>
          <w:szCs w:val="20"/>
        </w:rPr>
        <w:t>Rewitalizacja społeczna poprzez kulturę kościoła Św. Jacka w Bytomiu (113),</w:t>
      </w:r>
    </w:p>
    <w:p w:rsidR="006239E2" w:rsidRPr="00C832AD" w:rsidRDefault="006239E2" w:rsidP="00C832AD">
      <w:pPr>
        <w:pStyle w:val="Akapitzlist"/>
        <w:numPr>
          <w:ilvl w:val="0"/>
          <w:numId w:val="687"/>
        </w:numPr>
        <w:spacing w:after="160" w:line="240" w:lineRule="auto"/>
        <w:contextualSpacing/>
        <w:jc w:val="both"/>
        <w:rPr>
          <w:rFonts w:cs="Calibri"/>
          <w:sz w:val="20"/>
          <w:szCs w:val="20"/>
        </w:rPr>
      </w:pPr>
      <w:r w:rsidRPr="00C832AD">
        <w:rPr>
          <w:rFonts w:cs="Calibri"/>
          <w:sz w:val="20"/>
          <w:szCs w:val="20"/>
        </w:rPr>
        <w:t>Rewitalizacja obiektów po byłym zakładzie naprawczym zabytkowej Górnośląskiej Kolei Wąskotorowej w Bytomiu (117),</w:t>
      </w:r>
    </w:p>
    <w:p w:rsidR="006239E2" w:rsidRPr="00EA3BF8" w:rsidRDefault="006239E2" w:rsidP="00C01544">
      <w:pPr>
        <w:pStyle w:val="Akapitzlist"/>
        <w:numPr>
          <w:ilvl w:val="0"/>
          <w:numId w:val="687"/>
        </w:numPr>
        <w:spacing w:after="140" w:line="240" w:lineRule="auto"/>
        <w:ind w:left="714" w:hanging="357"/>
        <w:contextualSpacing/>
        <w:jc w:val="both"/>
        <w:rPr>
          <w:rFonts w:cs="Calibri"/>
          <w:sz w:val="20"/>
          <w:szCs w:val="20"/>
        </w:rPr>
      </w:pPr>
      <w:r w:rsidRPr="00C832AD">
        <w:rPr>
          <w:sz w:val="20"/>
          <w:szCs w:val="20"/>
        </w:rPr>
        <w:t>Kompleksowa rewitalizacja złożona ze stref seniora, aktywizacji młodych, dla najmłodszych, zieleni, Inkubator Przedsiębiorczości z ukierunkowaniem na świadczenie usług dla osób starszych, poradnia zdrowia psychicznego wraz z ośrodkiem tera</w:t>
      </w:r>
      <w:r w:rsidR="00A20ED9">
        <w:rPr>
          <w:sz w:val="20"/>
          <w:szCs w:val="20"/>
        </w:rPr>
        <w:t>pii uzależnień, współuzależnień</w:t>
      </w:r>
      <w:r w:rsidR="00120CE3">
        <w:rPr>
          <w:sz w:val="20"/>
          <w:szCs w:val="20"/>
        </w:rPr>
        <w:t xml:space="preserve"> i profilaktyki (120),</w:t>
      </w:r>
    </w:p>
    <w:p w:rsidR="00923560" w:rsidRPr="00581E59" w:rsidRDefault="00923560" w:rsidP="0069036A">
      <w:pPr>
        <w:pStyle w:val="Akapitzlist"/>
        <w:numPr>
          <w:ilvl w:val="0"/>
          <w:numId w:val="687"/>
        </w:numPr>
        <w:shd w:val="clear" w:color="auto" w:fill="F2F2F2" w:themeFill="background1" w:themeFillShade="F2"/>
        <w:spacing w:after="140" w:line="240" w:lineRule="auto"/>
        <w:ind w:left="714" w:hanging="357"/>
        <w:contextualSpacing/>
        <w:jc w:val="both"/>
        <w:rPr>
          <w:rFonts w:cs="Calibri"/>
          <w:sz w:val="20"/>
          <w:szCs w:val="20"/>
        </w:rPr>
      </w:pPr>
      <w:r w:rsidRPr="00120CE3">
        <w:rPr>
          <w:rFonts w:cs="Calibri"/>
          <w:sz w:val="20"/>
          <w:szCs w:val="20"/>
        </w:rPr>
        <w:t xml:space="preserve">Rozbudowa infrastruktury wspinaczkowej o </w:t>
      </w:r>
      <w:r w:rsidR="004229BF">
        <w:rPr>
          <w:rFonts w:cs="Calibri"/>
          <w:sz w:val="20"/>
          <w:szCs w:val="20"/>
        </w:rPr>
        <w:t xml:space="preserve">strefę </w:t>
      </w:r>
      <w:r w:rsidR="004229BF" w:rsidRPr="00581E59">
        <w:rPr>
          <w:rFonts w:cs="Calibri"/>
          <w:sz w:val="20"/>
          <w:szCs w:val="20"/>
        </w:rPr>
        <w:t>sportów olimpijskich (147</w:t>
      </w:r>
      <w:r w:rsidRPr="00581E59">
        <w:rPr>
          <w:rFonts w:cs="Calibri"/>
          <w:sz w:val="20"/>
          <w:szCs w:val="20"/>
        </w:rPr>
        <w:t>),</w:t>
      </w:r>
    </w:p>
    <w:p w:rsidR="00923560" w:rsidRPr="00581E59" w:rsidRDefault="00923560" w:rsidP="0069036A">
      <w:pPr>
        <w:pStyle w:val="Akapitzlist"/>
        <w:numPr>
          <w:ilvl w:val="0"/>
          <w:numId w:val="687"/>
        </w:numPr>
        <w:shd w:val="clear" w:color="auto" w:fill="F2F2F2" w:themeFill="background1" w:themeFillShade="F2"/>
        <w:spacing w:after="140" w:line="240" w:lineRule="auto"/>
        <w:ind w:left="714" w:hanging="357"/>
        <w:contextualSpacing/>
        <w:jc w:val="both"/>
        <w:rPr>
          <w:rFonts w:cs="Calibri"/>
          <w:sz w:val="20"/>
          <w:szCs w:val="20"/>
        </w:rPr>
      </w:pPr>
      <w:r w:rsidRPr="00581E59">
        <w:rPr>
          <w:rFonts w:cs="Calibri"/>
          <w:sz w:val="20"/>
          <w:szCs w:val="20"/>
        </w:rPr>
        <w:t xml:space="preserve">Wspinam się! Kopalnia Skarbów, czyli nowe kompetencje dla dzieci w Bytomiu w ramach podejmowanych działań w </w:t>
      </w:r>
      <w:r w:rsidR="004229BF" w:rsidRPr="00581E59">
        <w:rPr>
          <w:rFonts w:cs="Calibri"/>
          <w:sz w:val="20"/>
          <w:szCs w:val="20"/>
        </w:rPr>
        <w:t>placówce wsparcia dziennego (148</w:t>
      </w:r>
      <w:r w:rsidRPr="00581E59">
        <w:rPr>
          <w:rFonts w:cs="Calibri"/>
          <w:sz w:val="20"/>
          <w:szCs w:val="20"/>
        </w:rPr>
        <w:t>),</w:t>
      </w:r>
    </w:p>
    <w:p w:rsidR="00923560" w:rsidRPr="00581E59" w:rsidRDefault="00923560" w:rsidP="0069036A">
      <w:pPr>
        <w:pStyle w:val="Akapitzlist"/>
        <w:numPr>
          <w:ilvl w:val="0"/>
          <w:numId w:val="687"/>
        </w:numPr>
        <w:shd w:val="clear" w:color="auto" w:fill="F2F2F2" w:themeFill="background1" w:themeFillShade="F2"/>
        <w:spacing w:after="140" w:line="240" w:lineRule="auto"/>
        <w:ind w:left="714" w:hanging="357"/>
        <w:contextualSpacing/>
        <w:jc w:val="both"/>
        <w:rPr>
          <w:rFonts w:cs="Calibri"/>
          <w:sz w:val="20"/>
          <w:szCs w:val="20"/>
        </w:rPr>
      </w:pPr>
      <w:r w:rsidRPr="00581E59">
        <w:rPr>
          <w:rFonts w:cs="Calibri"/>
          <w:sz w:val="20"/>
          <w:szCs w:val="20"/>
        </w:rPr>
        <w:t>Zielony kwartał KWK Rozbark – Centrum Aktywno</w:t>
      </w:r>
      <w:r w:rsidR="004229BF" w:rsidRPr="00581E59">
        <w:rPr>
          <w:rFonts w:cs="Calibri"/>
          <w:sz w:val="20"/>
          <w:szCs w:val="20"/>
        </w:rPr>
        <w:t>ści Społeczno – Edukacyjnej (149</w:t>
      </w:r>
      <w:r w:rsidRPr="00581E59">
        <w:rPr>
          <w:rFonts w:cs="Calibri"/>
          <w:sz w:val="20"/>
          <w:szCs w:val="20"/>
        </w:rPr>
        <w:t>),</w:t>
      </w:r>
    </w:p>
    <w:p w:rsidR="00923560" w:rsidRPr="00581E59" w:rsidRDefault="00923560" w:rsidP="0069036A">
      <w:pPr>
        <w:pStyle w:val="Akapitzlist"/>
        <w:numPr>
          <w:ilvl w:val="0"/>
          <w:numId w:val="687"/>
        </w:numPr>
        <w:shd w:val="clear" w:color="auto" w:fill="F2F2F2" w:themeFill="background1" w:themeFillShade="F2"/>
        <w:spacing w:after="140" w:line="240" w:lineRule="auto"/>
        <w:ind w:left="714" w:hanging="357"/>
        <w:contextualSpacing/>
        <w:jc w:val="both"/>
        <w:rPr>
          <w:rFonts w:cs="Calibri"/>
          <w:sz w:val="20"/>
          <w:szCs w:val="20"/>
        </w:rPr>
      </w:pPr>
      <w:r w:rsidRPr="00581E59">
        <w:rPr>
          <w:rFonts w:cs="Calibri"/>
          <w:sz w:val="20"/>
          <w:szCs w:val="20"/>
        </w:rPr>
        <w:t>Zielony kwartał KWK Rozbark – Centrum szkoleniowo–nocleg</w:t>
      </w:r>
      <w:r w:rsidR="004229BF" w:rsidRPr="00581E59">
        <w:rPr>
          <w:rFonts w:cs="Calibri"/>
          <w:sz w:val="20"/>
          <w:szCs w:val="20"/>
        </w:rPr>
        <w:t>owe – Zielona Transformacja (150</w:t>
      </w:r>
      <w:r w:rsidRPr="00581E59">
        <w:rPr>
          <w:rFonts w:cs="Calibri"/>
          <w:sz w:val="20"/>
          <w:szCs w:val="20"/>
        </w:rPr>
        <w:t>),</w:t>
      </w:r>
    </w:p>
    <w:p w:rsidR="00923560" w:rsidRPr="00581E59" w:rsidRDefault="00923560" w:rsidP="0069036A">
      <w:pPr>
        <w:pStyle w:val="Akapitzlist"/>
        <w:numPr>
          <w:ilvl w:val="0"/>
          <w:numId w:val="687"/>
        </w:numPr>
        <w:shd w:val="clear" w:color="auto" w:fill="F2F2F2" w:themeFill="background1" w:themeFillShade="F2"/>
        <w:spacing w:after="140" w:line="240" w:lineRule="auto"/>
        <w:ind w:left="714" w:hanging="357"/>
        <w:contextualSpacing/>
        <w:jc w:val="both"/>
        <w:rPr>
          <w:rFonts w:cs="Calibri"/>
          <w:sz w:val="20"/>
          <w:szCs w:val="20"/>
        </w:rPr>
      </w:pPr>
      <w:r w:rsidRPr="00581E59">
        <w:rPr>
          <w:rFonts w:cs="Calibri"/>
          <w:sz w:val="20"/>
          <w:szCs w:val="20"/>
        </w:rPr>
        <w:t>Zielony kwartał KWK Rozbark – Edu</w:t>
      </w:r>
      <w:r w:rsidR="004229BF" w:rsidRPr="00581E59">
        <w:rPr>
          <w:rFonts w:cs="Calibri"/>
          <w:sz w:val="20"/>
          <w:szCs w:val="20"/>
        </w:rPr>
        <w:t>kacja Zielona Transformacja (151</w:t>
      </w:r>
      <w:r w:rsidRPr="00581E59">
        <w:rPr>
          <w:rFonts w:cs="Calibri"/>
          <w:sz w:val="20"/>
          <w:szCs w:val="20"/>
        </w:rPr>
        <w:t>),</w:t>
      </w:r>
    </w:p>
    <w:p w:rsidR="00923560" w:rsidRPr="00581E59" w:rsidRDefault="00923560" w:rsidP="0069036A">
      <w:pPr>
        <w:pStyle w:val="Akapitzlist"/>
        <w:numPr>
          <w:ilvl w:val="0"/>
          <w:numId w:val="687"/>
        </w:numPr>
        <w:shd w:val="clear" w:color="auto" w:fill="F2F2F2" w:themeFill="background1" w:themeFillShade="F2"/>
        <w:spacing w:after="140" w:line="240" w:lineRule="auto"/>
        <w:ind w:left="714" w:hanging="357"/>
        <w:contextualSpacing/>
        <w:jc w:val="both"/>
        <w:rPr>
          <w:rFonts w:cs="Calibri"/>
          <w:sz w:val="20"/>
          <w:szCs w:val="20"/>
        </w:rPr>
      </w:pPr>
      <w:r w:rsidRPr="00581E59">
        <w:rPr>
          <w:rFonts w:cs="Calibri"/>
          <w:sz w:val="20"/>
          <w:szCs w:val="20"/>
        </w:rPr>
        <w:t>Zielony kwartał KWK Rozbark – Centrum Tr</w:t>
      </w:r>
      <w:r w:rsidR="006A5DA2" w:rsidRPr="00581E59">
        <w:rPr>
          <w:rFonts w:cs="Calibri"/>
          <w:sz w:val="20"/>
          <w:szCs w:val="20"/>
        </w:rPr>
        <w:t>ansformacji En</w:t>
      </w:r>
      <w:r w:rsidR="004229BF" w:rsidRPr="00581E59">
        <w:rPr>
          <w:rFonts w:cs="Calibri"/>
          <w:sz w:val="20"/>
          <w:szCs w:val="20"/>
        </w:rPr>
        <w:t>ergetycznej I (152</w:t>
      </w:r>
      <w:r w:rsidRPr="00581E59">
        <w:rPr>
          <w:rFonts w:cs="Calibri"/>
          <w:sz w:val="20"/>
          <w:szCs w:val="20"/>
        </w:rPr>
        <w:t>),</w:t>
      </w:r>
    </w:p>
    <w:p w:rsidR="0069036A" w:rsidRPr="00581E59" w:rsidRDefault="00923560" w:rsidP="0069036A">
      <w:pPr>
        <w:pStyle w:val="Akapitzlist"/>
        <w:numPr>
          <w:ilvl w:val="0"/>
          <w:numId w:val="687"/>
        </w:numPr>
        <w:shd w:val="clear" w:color="auto" w:fill="F2F2F2" w:themeFill="background1" w:themeFillShade="F2"/>
        <w:spacing w:after="140" w:line="240" w:lineRule="auto"/>
        <w:ind w:left="714" w:hanging="357"/>
        <w:contextualSpacing/>
        <w:jc w:val="both"/>
        <w:rPr>
          <w:rFonts w:cs="Calibri"/>
          <w:sz w:val="20"/>
          <w:szCs w:val="20"/>
        </w:rPr>
      </w:pPr>
      <w:r w:rsidRPr="00581E59">
        <w:rPr>
          <w:rFonts w:cs="Calibri"/>
          <w:sz w:val="20"/>
          <w:szCs w:val="20"/>
        </w:rPr>
        <w:t xml:space="preserve">Zielony kwartał KWK Rozbark – Centrum Transformacji </w:t>
      </w:r>
      <w:r w:rsidR="004229BF" w:rsidRPr="00581E59">
        <w:rPr>
          <w:rFonts w:cs="Calibri"/>
          <w:sz w:val="20"/>
          <w:szCs w:val="20"/>
        </w:rPr>
        <w:t>Energetycznej II (153</w:t>
      </w:r>
      <w:r w:rsidRPr="00581E59">
        <w:rPr>
          <w:rFonts w:cs="Calibri"/>
          <w:sz w:val="20"/>
          <w:szCs w:val="20"/>
        </w:rPr>
        <w:t>),</w:t>
      </w:r>
      <w:r w:rsidR="0069036A" w:rsidRPr="00581E59">
        <w:rPr>
          <w:rFonts w:cs="Calibri"/>
          <w:sz w:val="20"/>
          <w:szCs w:val="20"/>
        </w:rPr>
        <w:t xml:space="preserve"> </w:t>
      </w:r>
    </w:p>
    <w:p w:rsidR="00923560" w:rsidRPr="00581E59" w:rsidRDefault="00923560" w:rsidP="0069036A">
      <w:pPr>
        <w:pStyle w:val="Akapitzlist"/>
        <w:numPr>
          <w:ilvl w:val="0"/>
          <w:numId w:val="687"/>
        </w:numPr>
        <w:shd w:val="clear" w:color="auto" w:fill="F2F2F2" w:themeFill="background1" w:themeFillShade="F2"/>
        <w:spacing w:after="160" w:line="240" w:lineRule="auto"/>
        <w:contextualSpacing/>
        <w:jc w:val="both"/>
        <w:rPr>
          <w:rFonts w:cs="Calibri"/>
          <w:sz w:val="20"/>
          <w:szCs w:val="20"/>
        </w:rPr>
      </w:pPr>
      <w:r w:rsidRPr="00120CE3">
        <w:rPr>
          <w:rFonts w:cs="Calibri"/>
          <w:sz w:val="20"/>
          <w:szCs w:val="20"/>
        </w:rPr>
        <w:t xml:space="preserve">Ponowne wykorzystanie zabudowań i </w:t>
      </w:r>
      <w:r w:rsidRPr="00581E59">
        <w:rPr>
          <w:rFonts w:cs="Calibri"/>
          <w:sz w:val="20"/>
          <w:szCs w:val="20"/>
        </w:rPr>
        <w:t>zagospodarowanie terenu na obszarze dawnych Warsztatów Naprawc</w:t>
      </w:r>
      <w:r w:rsidR="006A5DA2" w:rsidRPr="00581E59">
        <w:rPr>
          <w:rFonts w:cs="Calibri"/>
          <w:sz w:val="20"/>
          <w:szCs w:val="20"/>
        </w:rPr>
        <w:t>zych GKW w Bytomiu Rozbarku (142</w:t>
      </w:r>
      <w:r w:rsidRPr="00581E59">
        <w:rPr>
          <w:rFonts w:cs="Calibri"/>
          <w:sz w:val="20"/>
          <w:szCs w:val="20"/>
        </w:rPr>
        <w:t>)</w:t>
      </w:r>
      <w:r w:rsidR="006C34B7" w:rsidRPr="00581E59">
        <w:rPr>
          <w:rFonts w:cs="Calibri"/>
          <w:sz w:val="20"/>
          <w:szCs w:val="20"/>
        </w:rPr>
        <w:t>,</w:t>
      </w:r>
    </w:p>
    <w:p w:rsidR="006C34B7" w:rsidRPr="00581E59" w:rsidRDefault="006C34B7" w:rsidP="0069036A">
      <w:pPr>
        <w:pStyle w:val="Akapitzlist"/>
        <w:numPr>
          <w:ilvl w:val="0"/>
          <w:numId w:val="687"/>
        </w:numPr>
        <w:shd w:val="clear" w:color="auto" w:fill="F2F2F2" w:themeFill="background1" w:themeFillShade="F2"/>
        <w:spacing w:after="160" w:line="240" w:lineRule="auto"/>
        <w:contextualSpacing/>
        <w:jc w:val="both"/>
        <w:rPr>
          <w:rFonts w:cs="Calibri"/>
          <w:sz w:val="20"/>
          <w:szCs w:val="20"/>
        </w:rPr>
      </w:pPr>
      <w:r w:rsidRPr="00581E59">
        <w:rPr>
          <w:rFonts w:cs="Calibri"/>
          <w:sz w:val="20"/>
          <w:szCs w:val="20"/>
        </w:rPr>
        <w:t>„Nowy RozPark” hala warsztatowa - rewitalizacja terenów i obiektów poprzemysłowych – hali warsztatowej byłych warsztatów naprawczych kolei wąskotorowej na cele usług społecznych i mieszkalnictwa wspomaganego (143),</w:t>
      </w:r>
    </w:p>
    <w:p w:rsidR="006C34B7" w:rsidRPr="00581E59" w:rsidRDefault="006C34B7" w:rsidP="0069036A">
      <w:pPr>
        <w:pStyle w:val="Akapitzlist"/>
        <w:numPr>
          <w:ilvl w:val="0"/>
          <w:numId w:val="687"/>
        </w:numPr>
        <w:shd w:val="clear" w:color="auto" w:fill="F2F2F2" w:themeFill="background1" w:themeFillShade="F2"/>
        <w:spacing w:after="160" w:line="240" w:lineRule="auto"/>
        <w:contextualSpacing/>
        <w:jc w:val="both"/>
        <w:rPr>
          <w:rFonts w:cs="Calibri"/>
          <w:sz w:val="20"/>
          <w:szCs w:val="20"/>
        </w:rPr>
      </w:pPr>
      <w:r w:rsidRPr="00581E59">
        <w:rPr>
          <w:rFonts w:cs="Calibri"/>
          <w:sz w:val="20"/>
          <w:szCs w:val="20"/>
        </w:rPr>
        <w:t>„Nowy RozPark” główna hala naprawcza - rewitalizacja terenów i obiektów poprzemysłowych na cele usług społecznych (144),</w:t>
      </w:r>
    </w:p>
    <w:p w:rsidR="006C34B7" w:rsidRPr="00581E59" w:rsidRDefault="006C34B7" w:rsidP="0069036A">
      <w:pPr>
        <w:pStyle w:val="Akapitzlist"/>
        <w:numPr>
          <w:ilvl w:val="0"/>
          <w:numId w:val="687"/>
        </w:numPr>
        <w:shd w:val="clear" w:color="auto" w:fill="F2F2F2" w:themeFill="background1" w:themeFillShade="F2"/>
        <w:spacing w:after="160" w:line="240" w:lineRule="auto"/>
        <w:contextualSpacing/>
        <w:jc w:val="both"/>
        <w:rPr>
          <w:rFonts w:cs="Calibri"/>
          <w:sz w:val="20"/>
          <w:szCs w:val="20"/>
        </w:rPr>
      </w:pPr>
      <w:r w:rsidRPr="00581E59">
        <w:rPr>
          <w:rFonts w:cs="Calibri"/>
          <w:sz w:val="20"/>
          <w:szCs w:val="20"/>
        </w:rPr>
        <w:t>„Nowy RozPark” zagospdoarowanie terenów rekreacyjnych - rewitalizacja terenów i obiektów poprzemysłowych byłych warsztatów naprawczych kolei wąskotorowej na cele usług społecznych, rekreacyjnych wraz z przygotowaniem infrastruktury dla funkcji sąsiednich (145),</w:t>
      </w:r>
    </w:p>
    <w:p w:rsidR="006C34B7" w:rsidRPr="00581E59" w:rsidRDefault="006C34B7" w:rsidP="009C1D86">
      <w:pPr>
        <w:pStyle w:val="Akapitzlist"/>
        <w:numPr>
          <w:ilvl w:val="0"/>
          <w:numId w:val="687"/>
        </w:numPr>
        <w:shd w:val="clear" w:color="auto" w:fill="F2F2F2" w:themeFill="background1" w:themeFillShade="F2"/>
        <w:spacing w:after="160" w:line="240" w:lineRule="auto"/>
        <w:contextualSpacing/>
        <w:jc w:val="both"/>
        <w:rPr>
          <w:rFonts w:cs="Calibri"/>
          <w:sz w:val="20"/>
          <w:szCs w:val="20"/>
        </w:rPr>
      </w:pPr>
      <w:r w:rsidRPr="00581E59">
        <w:rPr>
          <w:rFonts w:cs="Calibri"/>
          <w:sz w:val="20"/>
          <w:szCs w:val="20"/>
        </w:rPr>
        <w:t>„Nowy RozPark” nowa zabudowa mieszkań wspomaganych - rewitalizacja terenów poprzemysłowych poprzez utworzenie lokali mieszkalnych wspomaganych i treningowych z uzupełnieniem funkcji usług społecznych pomocniczych i profilaktycznych (146).</w:t>
      </w:r>
    </w:p>
    <w:p w:rsidR="00EA3BF8" w:rsidRPr="006B42DF" w:rsidRDefault="00EA3BF8" w:rsidP="00923560">
      <w:pPr>
        <w:pStyle w:val="Akapitzlist"/>
        <w:spacing w:after="140" w:line="240" w:lineRule="auto"/>
        <w:ind w:left="714"/>
        <w:contextualSpacing/>
        <w:jc w:val="both"/>
        <w:rPr>
          <w:rFonts w:cs="Calibri"/>
          <w:color w:val="FF0000"/>
          <w:sz w:val="20"/>
          <w:szCs w:val="20"/>
          <w:highlight w:val="lightGray"/>
        </w:rPr>
      </w:pPr>
    </w:p>
    <w:p w:rsidR="006239E2" w:rsidRPr="00C832AD" w:rsidRDefault="006239E2" w:rsidP="00C01544">
      <w:pPr>
        <w:pStyle w:val="Default"/>
        <w:spacing w:line="228" w:lineRule="auto"/>
        <w:jc w:val="both"/>
        <w:rPr>
          <w:sz w:val="20"/>
          <w:szCs w:val="20"/>
        </w:rPr>
      </w:pPr>
      <w:r w:rsidRPr="00C832AD">
        <w:rPr>
          <w:b/>
          <w:bCs/>
          <w:color w:val="auto"/>
          <w:sz w:val="20"/>
          <w:szCs w:val="20"/>
        </w:rPr>
        <w:t>Cel Operacyjny 3.1 Odpowiadająca współczesnym standardom cywilizacyjnym jakość zabudowy na obszarach rewitalizowanych oraz wzrost odpowiedzialności mieszkańców za komunalny zasób mieszkaniowy – projekty:</w:t>
      </w:r>
    </w:p>
    <w:p w:rsidR="006239E2" w:rsidRPr="00C832AD" w:rsidRDefault="006239E2" w:rsidP="00DD20DC">
      <w:pPr>
        <w:pStyle w:val="Akapitzlist"/>
        <w:numPr>
          <w:ilvl w:val="0"/>
          <w:numId w:val="687"/>
        </w:numPr>
        <w:spacing w:after="0" w:line="240" w:lineRule="auto"/>
        <w:contextualSpacing/>
        <w:jc w:val="both"/>
        <w:rPr>
          <w:rFonts w:cs="Calibri"/>
          <w:sz w:val="20"/>
          <w:szCs w:val="20"/>
        </w:rPr>
      </w:pPr>
      <w:r w:rsidRPr="00C832AD">
        <w:rPr>
          <w:sz w:val="20"/>
          <w:szCs w:val="20"/>
        </w:rPr>
        <w:t>Bytomski Inkubator Społeczny ROZBANA - Promocja zatrudnienia 7.3.3 (16),</w:t>
      </w:r>
    </w:p>
    <w:p w:rsidR="006239E2" w:rsidRPr="00C832AD" w:rsidRDefault="006239E2" w:rsidP="00C832AD">
      <w:pPr>
        <w:pStyle w:val="Akapitzlist"/>
        <w:numPr>
          <w:ilvl w:val="0"/>
          <w:numId w:val="687"/>
        </w:numPr>
        <w:spacing w:after="160" w:line="240" w:lineRule="auto"/>
        <w:contextualSpacing/>
        <w:jc w:val="both"/>
        <w:rPr>
          <w:rFonts w:cs="Calibri"/>
          <w:sz w:val="20"/>
          <w:szCs w:val="20"/>
        </w:rPr>
      </w:pPr>
      <w:r w:rsidRPr="00C832AD">
        <w:rPr>
          <w:sz w:val="20"/>
          <w:szCs w:val="20"/>
        </w:rPr>
        <w:t>Bytomski Inkubator Społeczny ROZBANA - Outplacement 7.4.2 (19),</w:t>
      </w:r>
    </w:p>
    <w:p w:rsidR="006239E2" w:rsidRPr="00C832AD" w:rsidRDefault="006239E2" w:rsidP="00DD20DC">
      <w:pPr>
        <w:pStyle w:val="Akapitzlist"/>
        <w:numPr>
          <w:ilvl w:val="0"/>
          <w:numId w:val="687"/>
        </w:numPr>
        <w:spacing w:after="0" w:line="240" w:lineRule="auto"/>
        <w:contextualSpacing/>
        <w:jc w:val="both"/>
        <w:rPr>
          <w:rFonts w:cs="Calibri"/>
          <w:sz w:val="20"/>
          <w:szCs w:val="20"/>
        </w:rPr>
      </w:pPr>
      <w:r w:rsidRPr="00C832AD">
        <w:rPr>
          <w:rFonts w:cs="Calibri"/>
          <w:sz w:val="20"/>
          <w:szCs w:val="20"/>
        </w:rPr>
        <w:t>Bytomski Inkubator Społeczny ROZBANA - Opiekunka 8.1.3 (22),</w:t>
      </w:r>
    </w:p>
    <w:p w:rsidR="006239E2" w:rsidRPr="00C832AD" w:rsidRDefault="006239E2" w:rsidP="00C832AD">
      <w:pPr>
        <w:pStyle w:val="Akapitzlist"/>
        <w:numPr>
          <w:ilvl w:val="0"/>
          <w:numId w:val="687"/>
        </w:numPr>
        <w:spacing w:after="0" w:line="240" w:lineRule="auto"/>
        <w:contextualSpacing/>
        <w:jc w:val="both"/>
        <w:rPr>
          <w:rFonts w:cs="Calibri"/>
          <w:sz w:val="20"/>
          <w:szCs w:val="20"/>
        </w:rPr>
      </w:pPr>
      <w:r w:rsidRPr="00C832AD">
        <w:rPr>
          <w:rFonts w:cs="Calibri"/>
          <w:sz w:val="20"/>
          <w:szCs w:val="20"/>
        </w:rPr>
        <w:t>Bytomski Inkubator Społeczny ROZBANA - Integracja 9.1.3 (47),</w:t>
      </w:r>
    </w:p>
    <w:p w:rsidR="006239E2" w:rsidRPr="00C832AD" w:rsidRDefault="006239E2" w:rsidP="00DD20DC">
      <w:pPr>
        <w:pStyle w:val="Akapitzlist"/>
        <w:numPr>
          <w:ilvl w:val="0"/>
          <w:numId w:val="687"/>
        </w:numPr>
        <w:spacing w:after="0" w:line="240" w:lineRule="auto"/>
        <w:contextualSpacing/>
        <w:jc w:val="both"/>
        <w:rPr>
          <w:rFonts w:cs="Calibri"/>
          <w:sz w:val="20"/>
          <w:szCs w:val="20"/>
        </w:rPr>
      </w:pPr>
      <w:r w:rsidRPr="00C832AD">
        <w:rPr>
          <w:sz w:val="20"/>
          <w:szCs w:val="20"/>
        </w:rPr>
        <w:t>Bytomski Inkubator Społeczny ROZBANA - Usługowa 9.2.3 (71),</w:t>
      </w:r>
    </w:p>
    <w:p w:rsidR="006239E2" w:rsidRPr="00C832AD" w:rsidRDefault="006239E2" w:rsidP="00DD20DC">
      <w:pPr>
        <w:pStyle w:val="Akapitzlist"/>
        <w:numPr>
          <w:ilvl w:val="0"/>
          <w:numId w:val="687"/>
        </w:numPr>
        <w:spacing w:after="0" w:line="240" w:lineRule="auto"/>
        <w:contextualSpacing/>
        <w:jc w:val="both"/>
        <w:rPr>
          <w:rFonts w:cs="Calibri"/>
          <w:sz w:val="20"/>
          <w:szCs w:val="20"/>
        </w:rPr>
      </w:pPr>
      <w:r w:rsidRPr="00C832AD">
        <w:rPr>
          <w:rFonts w:cs="Calibri"/>
          <w:sz w:val="20"/>
          <w:szCs w:val="20"/>
        </w:rPr>
        <w:t>Bytomski Inkubator Społeczny ROZBANA - Rozwojowa 11.1.4 (78),</w:t>
      </w:r>
    </w:p>
    <w:p w:rsidR="006239E2" w:rsidRPr="00C832AD" w:rsidRDefault="006239E2" w:rsidP="00DD20DC">
      <w:pPr>
        <w:pStyle w:val="Default"/>
        <w:numPr>
          <w:ilvl w:val="0"/>
          <w:numId w:val="687"/>
        </w:numPr>
        <w:jc w:val="both"/>
        <w:rPr>
          <w:color w:val="auto"/>
          <w:sz w:val="20"/>
          <w:szCs w:val="20"/>
        </w:rPr>
      </w:pPr>
      <w:r w:rsidRPr="00C832AD">
        <w:rPr>
          <w:color w:val="auto"/>
          <w:sz w:val="20"/>
          <w:szCs w:val="20"/>
        </w:rPr>
        <w:t xml:space="preserve">Termomodernizacja oraz zmiana systemów ogrzewania nieruchomości zlokalizowanych w Śródmieściu Bytomia (81), </w:t>
      </w:r>
    </w:p>
    <w:p w:rsidR="006239E2" w:rsidRPr="00C832AD" w:rsidRDefault="006239E2" w:rsidP="00C832AD">
      <w:pPr>
        <w:pStyle w:val="Default"/>
        <w:numPr>
          <w:ilvl w:val="0"/>
          <w:numId w:val="687"/>
        </w:numPr>
        <w:jc w:val="both"/>
        <w:rPr>
          <w:color w:val="auto"/>
          <w:sz w:val="20"/>
          <w:szCs w:val="20"/>
        </w:rPr>
      </w:pPr>
      <w:r w:rsidRPr="00C832AD">
        <w:rPr>
          <w:color w:val="auto"/>
          <w:sz w:val="20"/>
          <w:szCs w:val="20"/>
        </w:rPr>
        <w:t xml:space="preserve">Termomodernizacja budynków zlokalizowanych przy ul. Sądowej 1 i 2 – siedziby Prokuratury Rejonowej w Bytomiu (82), </w:t>
      </w:r>
    </w:p>
    <w:p w:rsidR="006239E2" w:rsidRPr="00C832AD" w:rsidRDefault="006239E2" w:rsidP="00C832AD">
      <w:pPr>
        <w:pStyle w:val="Default"/>
        <w:numPr>
          <w:ilvl w:val="0"/>
          <w:numId w:val="687"/>
        </w:numPr>
        <w:jc w:val="both"/>
        <w:rPr>
          <w:color w:val="auto"/>
          <w:sz w:val="20"/>
          <w:szCs w:val="20"/>
        </w:rPr>
      </w:pPr>
      <w:r w:rsidRPr="00C832AD">
        <w:rPr>
          <w:color w:val="auto"/>
          <w:sz w:val="20"/>
          <w:szCs w:val="20"/>
        </w:rPr>
        <w:t xml:space="preserve">Termomodernizacja budynku Wydziału Zdrowia Publicznego w Bytomiu przy ul. Piekarskiej 18 (83), </w:t>
      </w:r>
    </w:p>
    <w:p w:rsidR="006239E2" w:rsidRPr="00C832AD" w:rsidRDefault="006239E2" w:rsidP="00C832AD">
      <w:pPr>
        <w:pStyle w:val="Default"/>
        <w:numPr>
          <w:ilvl w:val="0"/>
          <w:numId w:val="687"/>
        </w:numPr>
        <w:jc w:val="both"/>
        <w:rPr>
          <w:color w:val="auto"/>
          <w:sz w:val="20"/>
          <w:szCs w:val="20"/>
        </w:rPr>
      </w:pPr>
      <w:r w:rsidRPr="00C832AD">
        <w:rPr>
          <w:color w:val="auto"/>
          <w:sz w:val="20"/>
          <w:szCs w:val="20"/>
        </w:rPr>
        <w:t xml:space="preserve">Termomodernizacja budynku Zespołu Szkół Gastronomiczno-Hotelarskich w Bytomiu (84), </w:t>
      </w:r>
    </w:p>
    <w:p w:rsidR="006239E2" w:rsidRPr="00C832AD" w:rsidRDefault="006239E2" w:rsidP="00C832AD">
      <w:pPr>
        <w:pStyle w:val="Default"/>
        <w:numPr>
          <w:ilvl w:val="0"/>
          <w:numId w:val="687"/>
        </w:numPr>
        <w:jc w:val="both"/>
        <w:rPr>
          <w:color w:val="auto"/>
          <w:sz w:val="20"/>
          <w:szCs w:val="20"/>
        </w:rPr>
      </w:pPr>
      <w:r w:rsidRPr="00C832AD">
        <w:rPr>
          <w:color w:val="auto"/>
          <w:sz w:val="20"/>
          <w:szCs w:val="20"/>
        </w:rPr>
        <w:t xml:space="preserve">Termomodernizacja budynku Zespołu Szkół Mechaniczno-Elektronicznych w Bytomiu (85), </w:t>
      </w:r>
    </w:p>
    <w:p w:rsidR="006239E2" w:rsidRPr="00C832AD" w:rsidRDefault="006239E2" w:rsidP="00C832AD">
      <w:pPr>
        <w:pStyle w:val="Default"/>
        <w:numPr>
          <w:ilvl w:val="0"/>
          <w:numId w:val="687"/>
        </w:numPr>
        <w:jc w:val="both"/>
        <w:rPr>
          <w:color w:val="auto"/>
          <w:sz w:val="20"/>
          <w:szCs w:val="20"/>
        </w:rPr>
      </w:pPr>
      <w:r w:rsidRPr="00C832AD">
        <w:rPr>
          <w:color w:val="auto"/>
          <w:sz w:val="20"/>
          <w:szCs w:val="20"/>
        </w:rPr>
        <w:t xml:space="preserve">Termomodernizacja budynku Szkoły Podstawowej nr 4 w Bytomiu (86), </w:t>
      </w:r>
    </w:p>
    <w:p w:rsidR="006239E2" w:rsidRPr="00C832AD" w:rsidRDefault="006239E2" w:rsidP="00C832AD">
      <w:pPr>
        <w:pStyle w:val="Default"/>
        <w:numPr>
          <w:ilvl w:val="0"/>
          <w:numId w:val="687"/>
        </w:numPr>
        <w:jc w:val="both"/>
        <w:rPr>
          <w:color w:val="auto"/>
          <w:sz w:val="20"/>
          <w:szCs w:val="20"/>
        </w:rPr>
      </w:pPr>
      <w:r w:rsidRPr="00C832AD">
        <w:rPr>
          <w:color w:val="auto"/>
          <w:sz w:val="20"/>
          <w:szCs w:val="20"/>
        </w:rPr>
        <w:t xml:space="preserve">Termomodernizacja budynku Szkoły Podstawowej nr 5 w Bytomiu (87), </w:t>
      </w:r>
    </w:p>
    <w:p w:rsidR="006239E2" w:rsidRPr="00C832AD" w:rsidRDefault="006239E2" w:rsidP="00C832AD">
      <w:pPr>
        <w:pStyle w:val="Default"/>
        <w:numPr>
          <w:ilvl w:val="0"/>
          <w:numId w:val="687"/>
        </w:numPr>
        <w:jc w:val="both"/>
        <w:rPr>
          <w:color w:val="auto"/>
          <w:sz w:val="20"/>
          <w:szCs w:val="20"/>
        </w:rPr>
      </w:pPr>
      <w:r w:rsidRPr="00C832AD">
        <w:rPr>
          <w:color w:val="auto"/>
          <w:sz w:val="20"/>
          <w:szCs w:val="20"/>
        </w:rPr>
        <w:t>Termomodernizacja budynku Zespołu Szkół Administracyjno-Ekonomicznych i Ogólnokształcących w</w:t>
      </w:r>
      <w:r w:rsidR="00B109B5">
        <w:rPr>
          <w:color w:val="auto"/>
          <w:sz w:val="20"/>
          <w:szCs w:val="20"/>
        </w:rPr>
        <w:t> </w:t>
      </w:r>
      <w:r w:rsidRPr="00C832AD">
        <w:rPr>
          <w:color w:val="auto"/>
          <w:sz w:val="20"/>
          <w:szCs w:val="20"/>
        </w:rPr>
        <w:t xml:space="preserve">Bytomiu (88), </w:t>
      </w:r>
    </w:p>
    <w:p w:rsidR="006239E2" w:rsidRPr="00C832AD" w:rsidRDefault="006239E2" w:rsidP="00C832AD">
      <w:pPr>
        <w:pStyle w:val="Default"/>
        <w:numPr>
          <w:ilvl w:val="0"/>
          <w:numId w:val="687"/>
        </w:numPr>
        <w:jc w:val="both"/>
        <w:rPr>
          <w:color w:val="auto"/>
          <w:sz w:val="20"/>
          <w:szCs w:val="20"/>
        </w:rPr>
      </w:pPr>
      <w:r w:rsidRPr="00C832AD">
        <w:rPr>
          <w:color w:val="auto"/>
          <w:sz w:val="20"/>
          <w:szCs w:val="20"/>
        </w:rPr>
        <w:t xml:space="preserve">Zmiana efektywności energetycznej budynków Domu Pomocy Społecznej dla Dorosłych wraz z budową instalacji OZE (90), </w:t>
      </w:r>
    </w:p>
    <w:p w:rsidR="006239E2" w:rsidRPr="00C832AD" w:rsidRDefault="006239E2" w:rsidP="00C832AD">
      <w:pPr>
        <w:pStyle w:val="Default"/>
        <w:numPr>
          <w:ilvl w:val="0"/>
          <w:numId w:val="687"/>
        </w:numPr>
        <w:jc w:val="both"/>
        <w:rPr>
          <w:color w:val="auto"/>
          <w:sz w:val="20"/>
          <w:szCs w:val="20"/>
        </w:rPr>
      </w:pPr>
      <w:r w:rsidRPr="00C832AD">
        <w:rPr>
          <w:color w:val="auto"/>
          <w:sz w:val="20"/>
          <w:szCs w:val="20"/>
        </w:rPr>
        <w:t>Termomodernizacja budynku użyteczności publicznej przy ulicy Strzelców Bytomskich 16 (91),</w:t>
      </w:r>
    </w:p>
    <w:p w:rsidR="006239E2" w:rsidRPr="00C832AD" w:rsidRDefault="006239E2" w:rsidP="00C832AD">
      <w:pPr>
        <w:pStyle w:val="Default"/>
        <w:numPr>
          <w:ilvl w:val="0"/>
          <w:numId w:val="687"/>
        </w:numPr>
        <w:jc w:val="both"/>
        <w:rPr>
          <w:color w:val="auto"/>
          <w:sz w:val="20"/>
          <w:szCs w:val="20"/>
        </w:rPr>
      </w:pPr>
      <w:r w:rsidRPr="00C832AD">
        <w:rPr>
          <w:color w:val="auto"/>
          <w:sz w:val="20"/>
          <w:szCs w:val="20"/>
        </w:rPr>
        <w:t xml:space="preserve">Renowacja zabytkowego kościoła św. Wojciecha w Bytomiu (93), </w:t>
      </w:r>
    </w:p>
    <w:p w:rsidR="006239E2" w:rsidRPr="00C832AD" w:rsidRDefault="006239E2" w:rsidP="00C832AD">
      <w:pPr>
        <w:pStyle w:val="Default"/>
        <w:numPr>
          <w:ilvl w:val="0"/>
          <w:numId w:val="687"/>
        </w:numPr>
        <w:jc w:val="both"/>
        <w:rPr>
          <w:color w:val="auto"/>
          <w:sz w:val="20"/>
          <w:szCs w:val="20"/>
        </w:rPr>
      </w:pPr>
      <w:r w:rsidRPr="00C832AD">
        <w:rPr>
          <w:color w:val="auto"/>
          <w:sz w:val="20"/>
          <w:szCs w:val="20"/>
        </w:rPr>
        <w:t xml:space="preserve">Remont budynku kościoła p.w. Świętej Trójcy w Bytomiu (94),  </w:t>
      </w:r>
    </w:p>
    <w:p w:rsidR="006239E2" w:rsidRPr="00C832AD" w:rsidRDefault="006239E2" w:rsidP="00C832AD">
      <w:pPr>
        <w:pStyle w:val="Default"/>
        <w:numPr>
          <w:ilvl w:val="0"/>
          <w:numId w:val="687"/>
        </w:numPr>
        <w:jc w:val="both"/>
        <w:rPr>
          <w:color w:val="auto"/>
          <w:sz w:val="20"/>
          <w:szCs w:val="20"/>
        </w:rPr>
      </w:pPr>
      <w:r w:rsidRPr="00C832AD">
        <w:rPr>
          <w:color w:val="auto"/>
          <w:sz w:val="20"/>
          <w:szCs w:val="20"/>
        </w:rPr>
        <w:t>Renowacja budynku i pomieszczeń Młodzieżowego Domu Kultury Nr 1 w Bytomiu (99),</w:t>
      </w:r>
    </w:p>
    <w:p w:rsidR="006239E2" w:rsidRPr="00C832AD" w:rsidRDefault="006239E2" w:rsidP="00DD20DC">
      <w:pPr>
        <w:pStyle w:val="Default"/>
        <w:numPr>
          <w:ilvl w:val="0"/>
          <w:numId w:val="687"/>
        </w:numPr>
        <w:jc w:val="both"/>
        <w:rPr>
          <w:color w:val="auto"/>
          <w:sz w:val="20"/>
          <w:szCs w:val="20"/>
        </w:rPr>
      </w:pPr>
      <w:r w:rsidRPr="00C832AD">
        <w:rPr>
          <w:color w:val="auto"/>
          <w:sz w:val="20"/>
          <w:szCs w:val="20"/>
        </w:rPr>
        <w:t>Modernizacja budynków mieszkalnych wielorodzinnych celem adaptacji na lokale socjalne (101),</w:t>
      </w:r>
    </w:p>
    <w:p w:rsidR="006239E2" w:rsidRPr="00C832AD" w:rsidRDefault="006239E2" w:rsidP="00DD20DC">
      <w:pPr>
        <w:pStyle w:val="Akapitzlist"/>
        <w:numPr>
          <w:ilvl w:val="0"/>
          <w:numId w:val="687"/>
        </w:numPr>
        <w:spacing w:after="0" w:line="240" w:lineRule="auto"/>
        <w:contextualSpacing/>
        <w:jc w:val="both"/>
        <w:rPr>
          <w:rFonts w:cs="Calibri"/>
          <w:sz w:val="20"/>
          <w:szCs w:val="20"/>
        </w:rPr>
      </w:pPr>
      <w:r w:rsidRPr="00C832AD">
        <w:rPr>
          <w:sz w:val="20"/>
          <w:szCs w:val="20"/>
        </w:rPr>
        <w:t>Przebudowa i adaptacja budynku przy ulicy Karola Miarki 10 na potrzeby Centrum Integracji Społecznej (104),</w:t>
      </w:r>
    </w:p>
    <w:p w:rsidR="006239E2" w:rsidRPr="00C832AD" w:rsidRDefault="006239E2" w:rsidP="00DD20DC">
      <w:pPr>
        <w:pStyle w:val="Akapitzlist"/>
        <w:numPr>
          <w:ilvl w:val="0"/>
          <w:numId w:val="687"/>
        </w:numPr>
        <w:spacing w:after="0" w:line="240" w:lineRule="auto"/>
        <w:contextualSpacing/>
        <w:jc w:val="both"/>
        <w:rPr>
          <w:rFonts w:cs="Calibri"/>
          <w:sz w:val="20"/>
          <w:szCs w:val="20"/>
        </w:rPr>
      </w:pPr>
      <w:r w:rsidRPr="00C832AD">
        <w:rPr>
          <w:sz w:val="20"/>
          <w:szCs w:val="20"/>
        </w:rPr>
        <w:t>Utworzenie Centrum Usług Społecznych oraz lokali socjalnych, wspomaganych i chronionych w</w:t>
      </w:r>
      <w:r w:rsidR="00B109B5">
        <w:rPr>
          <w:sz w:val="20"/>
          <w:szCs w:val="20"/>
        </w:rPr>
        <w:t> </w:t>
      </w:r>
      <w:r w:rsidRPr="00C832AD">
        <w:rPr>
          <w:sz w:val="20"/>
          <w:szCs w:val="20"/>
        </w:rPr>
        <w:t>Bytomiu (Śródmieście i Rozbark) (105),</w:t>
      </w:r>
    </w:p>
    <w:p w:rsidR="006239E2" w:rsidRPr="00C832AD" w:rsidRDefault="006239E2" w:rsidP="00C832AD">
      <w:pPr>
        <w:pStyle w:val="Akapitzlist"/>
        <w:numPr>
          <w:ilvl w:val="0"/>
          <w:numId w:val="687"/>
        </w:numPr>
        <w:spacing w:after="0" w:line="240" w:lineRule="auto"/>
        <w:contextualSpacing/>
        <w:jc w:val="both"/>
        <w:rPr>
          <w:rFonts w:cs="Calibri"/>
          <w:sz w:val="20"/>
          <w:szCs w:val="20"/>
        </w:rPr>
      </w:pPr>
      <w:r w:rsidRPr="00C832AD">
        <w:rPr>
          <w:sz w:val="20"/>
          <w:szCs w:val="20"/>
        </w:rPr>
        <w:t>Rewitalizacja obiektów na potrzeby Centrum Integracji Aktywnej (107),</w:t>
      </w:r>
    </w:p>
    <w:p w:rsidR="006239E2" w:rsidRPr="00C832AD" w:rsidRDefault="006239E2" w:rsidP="00C832AD">
      <w:pPr>
        <w:pStyle w:val="Akapitzlist"/>
        <w:numPr>
          <w:ilvl w:val="0"/>
          <w:numId w:val="687"/>
        </w:numPr>
        <w:spacing w:after="0" w:line="240" w:lineRule="auto"/>
        <w:contextualSpacing/>
        <w:jc w:val="both"/>
        <w:rPr>
          <w:rFonts w:cs="Calibri"/>
          <w:sz w:val="20"/>
          <w:szCs w:val="20"/>
        </w:rPr>
      </w:pPr>
      <w:r w:rsidRPr="00C832AD">
        <w:rPr>
          <w:sz w:val="20"/>
          <w:szCs w:val="20"/>
        </w:rPr>
        <w:t>Rewitalizacja podobszarów 10, 11, 12, 13 – Bytom Śródmieście i Rozbark (109),</w:t>
      </w:r>
    </w:p>
    <w:p w:rsidR="006239E2" w:rsidRPr="00C832AD" w:rsidRDefault="006239E2" w:rsidP="00C832AD">
      <w:pPr>
        <w:pStyle w:val="Akapitzlist"/>
        <w:numPr>
          <w:ilvl w:val="0"/>
          <w:numId w:val="687"/>
        </w:numPr>
        <w:spacing w:after="0" w:line="240" w:lineRule="auto"/>
        <w:contextualSpacing/>
        <w:jc w:val="both"/>
        <w:rPr>
          <w:rFonts w:cs="Calibri"/>
          <w:sz w:val="20"/>
          <w:szCs w:val="20"/>
        </w:rPr>
      </w:pPr>
      <w:r w:rsidRPr="00C832AD">
        <w:rPr>
          <w:sz w:val="20"/>
          <w:szCs w:val="20"/>
        </w:rPr>
        <w:t>Stworzenie przyjemnych i bezpiecznych przestrzeni dla mieszkańców Rozbarku (110),</w:t>
      </w:r>
    </w:p>
    <w:p w:rsidR="006239E2" w:rsidRPr="00C832AD" w:rsidRDefault="006239E2" w:rsidP="00C832AD">
      <w:pPr>
        <w:pStyle w:val="Akapitzlist"/>
        <w:numPr>
          <w:ilvl w:val="0"/>
          <w:numId w:val="687"/>
        </w:numPr>
        <w:spacing w:after="0" w:line="240" w:lineRule="auto"/>
        <w:contextualSpacing/>
        <w:jc w:val="both"/>
        <w:rPr>
          <w:rFonts w:cs="Calibri"/>
          <w:sz w:val="20"/>
          <w:szCs w:val="20"/>
        </w:rPr>
      </w:pPr>
      <w:r w:rsidRPr="00C832AD">
        <w:rPr>
          <w:sz w:val="20"/>
          <w:szCs w:val="20"/>
        </w:rPr>
        <w:t>Remont konserwatorski elewacji budynku plebani kościoła p.w. Św. Trójcy w Bytomiu zlokalizowanego przy ul. Kwietniewskiego 1 (111),</w:t>
      </w:r>
    </w:p>
    <w:p w:rsidR="006239E2" w:rsidRPr="00C832AD" w:rsidRDefault="006239E2" w:rsidP="00C832AD">
      <w:pPr>
        <w:pStyle w:val="Akapitzlist"/>
        <w:numPr>
          <w:ilvl w:val="0"/>
          <w:numId w:val="687"/>
        </w:numPr>
        <w:spacing w:after="0" w:line="240" w:lineRule="auto"/>
        <w:contextualSpacing/>
        <w:jc w:val="both"/>
        <w:rPr>
          <w:rFonts w:cs="Calibri"/>
          <w:sz w:val="20"/>
          <w:szCs w:val="20"/>
        </w:rPr>
      </w:pPr>
      <w:r w:rsidRPr="00C832AD">
        <w:rPr>
          <w:sz w:val="20"/>
          <w:szCs w:val="20"/>
        </w:rPr>
        <w:t>Rewitalizacja gmachu Bytomskiego Centrum Kultury III etap (114),</w:t>
      </w:r>
    </w:p>
    <w:p w:rsidR="006239E2" w:rsidRPr="00C832AD" w:rsidRDefault="006239E2" w:rsidP="00C832AD">
      <w:pPr>
        <w:pStyle w:val="Akapitzlist"/>
        <w:numPr>
          <w:ilvl w:val="0"/>
          <w:numId w:val="687"/>
        </w:numPr>
        <w:spacing w:after="0" w:line="240" w:lineRule="auto"/>
        <w:contextualSpacing/>
        <w:jc w:val="both"/>
        <w:rPr>
          <w:rFonts w:cs="Calibri"/>
          <w:sz w:val="20"/>
          <w:szCs w:val="20"/>
        </w:rPr>
      </w:pPr>
      <w:r w:rsidRPr="00C832AD">
        <w:rPr>
          <w:sz w:val="20"/>
          <w:szCs w:val="20"/>
        </w:rPr>
        <w:t>Rewitalizacja obiektu UL na cele działalności społecznej bytomskich harcerzy (115),</w:t>
      </w:r>
    </w:p>
    <w:p w:rsidR="006239E2" w:rsidRPr="00C832AD" w:rsidRDefault="006239E2" w:rsidP="00C832AD">
      <w:pPr>
        <w:pStyle w:val="Akapitzlist"/>
        <w:numPr>
          <w:ilvl w:val="0"/>
          <w:numId w:val="687"/>
        </w:numPr>
        <w:spacing w:after="160" w:line="240" w:lineRule="auto"/>
        <w:contextualSpacing/>
        <w:jc w:val="both"/>
        <w:rPr>
          <w:rFonts w:cs="Calibri"/>
          <w:sz w:val="20"/>
          <w:szCs w:val="20"/>
        </w:rPr>
      </w:pPr>
      <w:r w:rsidRPr="00C832AD">
        <w:rPr>
          <w:rFonts w:cs="Calibri"/>
          <w:sz w:val="20"/>
          <w:szCs w:val="20"/>
        </w:rPr>
        <w:t>Rewitalizacja obiektów po byłym zakładzie naprawczym zabytkowej Górnośląskiej Kolei Wąskotorowej w Bytomiu (117),</w:t>
      </w:r>
    </w:p>
    <w:p w:rsidR="006239E2" w:rsidRPr="00C832AD" w:rsidRDefault="006239E2" w:rsidP="00C01544">
      <w:pPr>
        <w:pStyle w:val="Akapitzlist"/>
        <w:numPr>
          <w:ilvl w:val="0"/>
          <w:numId w:val="687"/>
        </w:numPr>
        <w:spacing w:after="160" w:line="228" w:lineRule="auto"/>
        <w:ind w:left="714" w:hanging="357"/>
        <w:contextualSpacing/>
        <w:jc w:val="both"/>
        <w:rPr>
          <w:rFonts w:cs="Calibri"/>
          <w:sz w:val="20"/>
          <w:szCs w:val="20"/>
        </w:rPr>
      </w:pPr>
      <w:r w:rsidRPr="00C832AD">
        <w:rPr>
          <w:sz w:val="20"/>
          <w:szCs w:val="20"/>
        </w:rPr>
        <w:t>Kompleksowa rewitalizacja złożona ze stref seniora, aktywizacji młodych, dla najmłodszych, zieleni, Inkubator Przedsiębiorczości z ukierunkowaniem na świadczenie usług dla osób starszych, poradnia zdrowia psychicznego wraz z ośrodkiem tera</w:t>
      </w:r>
      <w:r w:rsidR="00FF5341">
        <w:rPr>
          <w:sz w:val="20"/>
          <w:szCs w:val="20"/>
        </w:rPr>
        <w:t>pii uzależnień, współuzależnień</w:t>
      </w:r>
      <w:r w:rsidRPr="00C832AD">
        <w:rPr>
          <w:sz w:val="20"/>
          <w:szCs w:val="20"/>
        </w:rPr>
        <w:t xml:space="preserve"> i profilaktyki (120),</w:t>
      </w:r>
    </w:p>
    <w:p w:rsidR="006239E2" w:rsidRPr="004C4D61" w:rsidRDefault="006239E2" w:rsidP="00C832AD">
      <w:pPr>
        <w:pStyle w:val="Akapitzlist"/>
        <w:numPr>
          <w:ilvl w:val="0"/>
          <w:numId w:val="687"/>
        </w:numPr>
        <w:spacing w:after="0" w:line="240" w:lineRule="auto"/>
        <w:contextualSpacing/>
        <w:jc w:val="both"/>
        <w:rPr>
          <w:rFonts w:cs="Calibri"/>
          <w:sz w:val="20"/>
          <w:szCs w:val="20"/>
        </w:rPr>
      </w:pPr>
      <w:r w:rsidRPr="00C832AD">
        <w:rPr>
          <w:sz w:val="20"/>
          <w:szCs w:val="20"/>
        </w:rPr>
        <w:t>Lepsze umiejętności - większe szanse na rynku pracy. Poprawa infrastruktury kształc</w:t>
      </w:r>
      <w:r w:rsidR="00CA0ABB">
        <w:rPr>
          <w:sz w:val="20"/>
          <w:szCs w:val="20"/>
        </w:rPr>
        <w:t>enia zawodowego w Bytomiu (123)</w:t>
      </w:r>
    </w:p>
    <w:p w:rsidR="00923560" w:rsidRPr="00991775" w:rsidRDefault="00923560" w:rsidP="009C1D86">
      <w:pPr>
        <w:pStyle w:val="Akapitzlist"/>
        <w:numPr>
          <w:ilvl w:val="0"/>
          <w:numId w:val="687"/>
        </w:numPr>
        <w:shd w:val="clear" w:color="auto" w:fill="F2F2F2" w:themeFill="background1" w:themeFillShade="F2"/>
        <w:spacing w:after="0" w:line="240" w:lineRule="auto"/>
        <w:contextualSpacing/>
        <w:jc w:val="both"/>
        <w:rPr>
          <w:rFonts w:cs="Calibri"/>
          <w:sz w:val="20"/>
          <w:szCs w:val="20"/>
        </w:rPr>
      </w:pPr>
      <w:r w:rsidRPr="00991775">
        <w:rPr>
          <w:rFonts w:cs="Calibri"/>
          <w:sz w:val="20"/>
          <w:szCs w:val="20"/>
        </w:rPr>
        <w:t>Modernizacja budynków położonych przy ul. Musialika 1 i 3 w Bytomiu (137),</w:t>
      </w:r>
    </w:p>
    <w:p w:rsidR="00923560" w:rsidRPr="00991775" w:rsidRDefault="00923560" w:rsidP="009C1D86">
      <w:pPr>
        <w:pStyle w:val="Akapitzlist"/>
        <w:numPr>
          <w:ilvl w:val="0"/>
          <w:numId w:val="687"/>
        </w:numPr>
        <w:shd w:val="clear" w:color="auto" w:fill="F2F2F2" w:themeFill="background1" w:themeFillShade="F2"/>
        <w:spacing w:after="0" w:line="240" w:lineRule="auto"/>
        <w:contextualSpacing/>
        <w:jc w:val="both"/>
        <w:rPr>
          <w:rFonts w:cs="Calibri"/>
          <w:sz w:val="20"/>
          <w:szCs w:val="20"/>
        </w:rPr>
      </w:pPr>
      <w:r w:rsidRPr="00991775">
        <w:rPr>
          <w:rFonts w:cs="Calibri"/>
          <w:sz w:val="20"/>
          <w:szCs w:val="20"/>
        </w:rPr>
        <w:t>Przebudowa budynków po byłym hotelu robotniczym przy ul. Siemianowickiej 105 A i 105 E w Bytomiu wraz ze zmianą sposobu użytkowania na funkcję mieszkalną (138),</w:t>
      </w:r>
    </w:p>
    <w:p w:rsidR="00923560" w:rsidRDefault="006A5DA2" w:rsidP="009C1D86">
      <w:pPr>
        <w:pStyle w:val="Akapitzlist"/>
        <w:numPr>
          <w:ilvl w:val="0"/>
          <w:numId w:val="687"/>
        </w:numPr>
        <w:shd w:val="clear" w:color="auto" w:fill="F2F2F2" w:themeFill="background1" w:themeFillShade="F2"/>
        <w:spacing w:after="0" w:line="240" w:lineRule="auto"/>
        <w:contextualSpacing/>
        <w:jc w:val="both"/>
        <w:rPr>
          <w:rFonts w:cs="Calibri"/>
          <w:sz w:val="20"/>
          <w:szCs w:val="20"/>
        </w:rPr>
      </w:pPr>
      <w:r w:rsidRPr="006A5DA2">
        <w:rPr>
          <w:rFonts w:cs="Calibri"/>
          <w:sz w:val="20"/>
          <w:szCs w:val="20"/>
        </w:rPr>
        <w:t xml:space="preserve">Modernizacja budynków położonych przy ul. Chorzowskiej 8, 13, ul. Piekarskiej 43, 45 oraz </w:t>
      </w:r>
      <w:r>
        <w:rPr>
          <w:rFonts w:cs="Calibri"/>
          <w:sz w:val="20"/>
          <w:szCs w:val="20"/>
        </w:rPr>
        <w:br/>
      </w:r>
      <w:r w:rsidRPr="006A5DA2">
        <w:rPr>
          <w:rFonts w:cs="Calibri"/>
          <w:sz w:val="20"/>
          <w:szCs w:val="20"/>
        </w:rPr>
        <w:t xml:space="preserve">ul. Strażackiej 3a w Bytomiu </w:t>
      </w:r>
      <w:r w:rsidR="00923560" w:rsidRPr="00991775">
        <w:rPr>
          <w:rFonts w:cs="Calibri"/>
          <w:sz w:val="20"/>
          <w:szCs w:val="20"/>
        </w:rPr>
        <w:t>(139),</w:t>
      </w:r>
    </w:p>
    <w:p w:rsidR="006D140E" w:rsidRPr="00991775" w:rsidRDefault="006D140E" w:rsidP="009C1D86">
      <w:pPr>
        <w:pStyle w:val="Akapitzlist"/>
        <w:numPr>
          <w:ilvl w:val="0"/>
          <w:numId w:val="687"/>
        </w:numPr>
        <w:shd w:val="clear" w:color="auto" w:fill="F2F2F2" w:themeFill="background1" w:themeFillShade="F2"/>
        <w:spacing w:after="0" w:line="240" w:lineRule="auto"/>
        <w:contextualSpacing/>
        <w:jc w:val="both"/>
        <w:rPr>
          <w:rFonts w:cs="Calibri"/>
          <w:sz w:val="20"/>
          <w:szCs w:val="20"/>
        </w:rPr>
      </w:pPr>
      <w:r w:rsidRPr="006D140E">
        <w:rPr>
          <w:rFonts w:cs="Calibri"/>
          <w:sz w:val="20"/>
          <w:szCs w:val="20"/>
        </w:rPr>
        <w:t>Rewitalizacja podobszarów 10,11,12,13 - Bytom Śródmieście i Rozbark - etap II</w:t>
      </w:r>
      <w:r>
        <w:rPr>
          <w:rFonts w:cs="Calibri"/>
          <w:sz w:val="20"/>
          <w:szCs w:val="20"/>
        </w:rPr>
        <w:t xml:space="preserve"> (140),</w:t>
      </w:r>
    </w:p>
    <w:p w:rsidR="00923560" w:rsidRPr="00991775" w:rsidRDefault="00923560" w:rsidP="009C1D86">
      <w:pPr>
        <w:pStyle w:val="Akapitzlist"/>
        <w:numPr>
          <w:ilvl w:val="0"/>
          <w:numId w:val="687"/>
        </w:numPr>
        <w:shd w:val="clear" w:color="auto" w:fill="F2F2F2" w:themeFill="background1" w:themeFillShade="F2"/>
        <w:spacing w:after="0" w:line="240" w:lineRule="auto"/>
        <w:contextualSpacing/>
        <w:jc w:val="both"/>
        <w:rPr>
          <w:rFonts w:cs="Calibri"/>
          <w:sz w:val="20"/>
          <w:szCs w:val="20"/>
        </w:rPr>
      </w:pPr>
      <w:r w:rsidRPr="00991775">
        <w:rPr>
          <w:rFonts w:cs="Calibri"/>
          <w:sz w:val="20"/>
          <w:szCs w:val="20"/>
        </w:rPr>
        <w:t>Modernizacja energetyczna budynku prz</w:t>
      </w:r>
      <w:r w:rsidR="00663772">
        <w:rPr>
          <w:rFonts w:cs="Calibri"/>
          <w:sz w:val="20"/>
          <w:szCs w:val="20"/>
        </w:rPr>
        <w:t>y ul. Smolenia 20 w Bytomiu (159</w:t>
      </w:r>
      <w:r w:rsidRPr="00991775">
        <w:rPr>
          <w:rFonts w:cs="Calibri"/>
          <w:sz w:val="20"/>
          <w:szCs w:val="20"/>
        </w:rPr>
        <w:t>),</w:t>
      </w:r>
    </w:p>
    <w:p w:rsidR="00923560" w:rsidRPr="00991775" w:rsidRDefault="00923560" w:rsidP="009C1D86">
      <w:pPr>
        <w:pStyle w:val="Akapitzlist"/>
        <w:numPr>
          <w:ilvl w:val="0"/>
          <w:numId w:val="687"/>
        </w:numPr>
        <w:shd w:val="clear" w:color="auto" w:fill="F2F2F2" w:themeFill="background1" w:themeFillShade="F2"/>
        <w:spacing w:after="0" w:line="240" w:lineRule="auto"/>
        <w:contextualSpacing/>
        <w:jc w:val="both"/>
        <w:rPr>
          <w:rFonts w:cs="Calibri"/>
          <w:sz w:val="20"/>
          <w:szCs w:val="20"/>
        </w:rPr>
      </w:pPr>
      <w:r w:rsidRPr="00991775">
        <w:rPr>
          <w:rFonts w:cs="Calibri"/>
          <w:sz w:val="20"/>
          <w:szCs w:val="20"/>
        </w:rPr>
        <w:t>Modernizacja energetyczna budynku użyteczności publiczne</w:t>
      </w:r>
      <w:r w:rsidR="00663772">
        <w:rPr>
          <w:rFonts w:cs="Calibri"/>
          <w:sz w:val="20"/>
          <w:szCs w:val="20"/>
        </w:rPr>
        <w:t>j w Bytomiu ul. Smolenia 35 (160</w:t>
      </w:r>
      <w:r w:rsidRPr="00991775">
        <w:rPr>
          <w:rFonts w:cs="Calibri"/>
          <w:sz w:val="20"/>
          <w:szCs w:val="20"/>
        </w:rPr>
        <w:t>),</w:t>
      </w:r>
    </w:p>
    <w:p w:rsidR="00923560" w:rsidRPr="00991775" w:rsidRDefault="00923560" w:rsidP="009C1D86">
      <w:pPr>
        <w:pStyle w:val="Akapitzlist"/>
        <w:numPr>
          <w:ilvl w:val="0"/>
          <w:numId w:val="687"/>
        </w:numPr>
        <w:shd w:val="clear" w:color="auto" w:fill="F2F2F2" w:themeFill="background1" w:themeFillShade="F2"/>
        <w:spacing w:after="0" w:line="240" w:lineRule="auto"/>
        <w:contextualSpacing/>
        <w:jc w:val="both"/>
        <w:rPr>
          <w:rFonts w:cs="Calibri"/>
          <w:sz w:val="20"/>
          <w:szCs w:val="20"/>
        </w:rPr>
      </w:pPr>
      <w:r w:rsidRPr="00991775">
        <w:rPr>
          <w:rFonts w:cs="Calibri"/>
          <w:sz w:val="20"/>
          <w:szCs w:val="20"/>
        </w:rPr>
        <w:t>Modernizacja energetyczna budynku Szkoły Podstawowej nr 6 przy ul. K</w:t>
      </w:r>
      <w:r w:rsidR="00663772">
        <w:rPr>
          <w:rFonts w:cs="Calibri"/>
          <w:sz w:val="20"/>
          <w:szCs w:val="20"/>
        </w:rPr>
        <w:t>rólowej Jadwigi 2 w Bytomiu (161</w:t>
      </w:r>
      <w:r w:rsidRPr="00991775">
        <w:rPr>
          <w:rFonts w:cs="Calibri"/>
          <w:sz w:val="20"/>
          <w:szCs w:val="20"/>
        </w:rPr>
        <w:t>),</w:t>
      </w:r>
    </w:p>
    <w:p w:rsidR="00923560" w:rsidRPr="00581E59" w:rsidRDefault="00923560" w:rsidP="009C1D86">
      <w:pPr>
        <w:pStyle w:val="Akapitzlist"/>
        <w:numPr>
          <w:ilvl w:val="0"/>
          <w:numId w:val="687"/>
        </w:numPr>
        <w:shd w:val="clear" w:color="auto" w:fill="F2F2F2" w:themeFill="background1" w:themeFillShade="F2"/>
        <w:spacing w:after="0" w:line="240" w:lineRule="auto"/>
        <w:contextualSpacing/>
        <w:jc w:val="both"/>
        <w:rPr>
          <w:rFonts w:cs="Calibri"/>
          <w:sz w:val="20"/>
          <w:szCs w:val="20"/>
        </w:rPr>
      </w:pPr>
      <w:r w:rsidRPr="00581E59">
        <w:rPr>
          <w:rFonts w:cs="Calibri"/>
          <w:sz w:val="20"/>
          <w:szCs w:val="20"/>
        </w:rPr>
        <w:t>Zielony kwartał KWK Rozbark – zagospodarowanie terenów poprzemysłowych poprzez utwor</w:t>
      </w:r>
      <w:r w:rsidR="00663772" w:rsidRPr="00581E59">
        <w:rPr>
          <w:rFonts w:cs="Calibri"/>
          <w:sz w:val="20"/>
          <w:szCs w:val="20"/>
        </w:rPr>
        <w:t>zenie mieszkań treningowych (154</w:t>
      </w:r>
      <w:r w:rsidRPr="00581E59">
        <w:rPr>
          <w:rFonts w:cs="Calibri"/>
          <w:sz w:val="20"/>
          <w:szCs w:val="20"/>
        </w:rPr>
        <w:t>),</w:t>
      </w:r>
    </w:p>
    <w:p w:rsidR="00923560" w:rsidRPr="00581E59" w:rsidRDefault="00923560" w:rsidP="009C1D86">
      <w:pPr>
        <w:pStyle w:val="Akapitzlist"/>
        <w:numPr>
          <w:ilvl w:val="0"/>
          <w:numId w:val="687"/>
        </w:numPr>
        <w:shd w:val="clear" w:color="auto" w:fill="F2F2F2" w:themeFill="background1" w:themeFillShade="F2"/>
        <w:spacing w:after="0" w:line="240" w:lineRule="auto"/>
        <w:contextualSpacing/>
        <w:jc w:val="both"/>
        <w:rPr>
          <w:rFonts w:cs="Calibri"/>
          <w:sz w:val="20"/>
          <w:szCs w:val="20"/>
        </w:rPr>
      </w:pPr>
      <w:r w:rsidRPr="00581E59">
        <w:rPr>
          <w:rFonts w:cs="Calibri"/>
          <w:sz w:val="20"/>
          <w:szCs w:val="20"/>
        </w:rPr>
        <w:t>Zielony kwartał KWK Rozbark – zagospodarowanie terenów poprzemysłowych poprzez utwor</w:t>
      </w:r>
      <w:r w:rsidR="00663772" w:rsidRPr="00581E59">
        <w:rPr>
          <w:rFonts w:cs="Calibri"/>
          <w:sz w:val="20"/>
          <w:szCs w:val="20"/>
        </w:rPr>
        <w:t>zenie mieszkań wspomaganych (155</w:t>
      </w:r>
      <w:r w:rsidRPr="00581E59">
        <w:rPr>
          <w:rFonts w:cs="Calibri"/>
          <w:sz w:val="20"/>
          <w:szCs w:val="20"/>
        </w:rPr>
        <w:t>),</w:t>
      </w:r>
    </w:p>
    <w:p w:rsidR="00923560" w:rsidRPr="00581E59" w:rsidRDefault="00923560" w:rsidP="009C1D86">
      <w:pPr>
        <w:pStyle w:val="Akapitzlist"/>
        <w:numPr>
          <w:ilvl w:val="0"/>
          <w:numId w:val="687"/>
        </w:numPr>
        <w:shd w:val="clear" w:color="auto" w:fill="F2F2F2" w:themeFill="background1" w:themeFillShade="F2"/>
        <w:spacing w:after="0" w:line="240" w:lineRule="auto"/>
        <w:contextualSpacing/>
        <w:jc w:val="both"/>
        <w:rPr>
          <w:rFonts w:cs="Calibri"/>
          <w:sz w:val="20"/>
          <w:szCs w:val="20"/>
        </w:rPr>
      </w:pPr>
      <w:r w:rsidRPr="00581E59">
        <w:rPr>
          <w:rFonts w:cs="Calibri"/>
          <w:sz w:val="20"/>
          <w:szCs w:val="20"/>
        </w:rPr>
        <w:t>Rewitalizacja zieleni na terenie Wspólnoty Mieszkaniowej przy ul. Oświęcimskiej 24 w Byto</w:t>
      </w:r>
      <w:r w:rsidR="00663772" w:rsidRPr="00581E59">
        <w:rPr>
          <w:rFonts w:cs="Calibri"/>
          <w:sz w:val="20"/>
          <w:szCs w:val="20"/>
        </w:rPr>
        <w:t>miu (164</w:t>
      </w:r>
      <w:r w:rsidRPr="00581E59">
        <w:rPr>
          <w:rFonts w:cs="Calibri"/>
          <w:sz w:val="20"/>
          <w:szCs w:val="20"/>
        </w:rPr>
        <w:t>),</w:t>
      </w:r>
    </w:p>
    <w:p w:rsidR="00923560" w:rsidRPr="00581E59" w:rsidRDefault="00923560" w:rsidP="009C1D86">
      <w:pPr>
        <w:pStyle w:val="Akapitzlist"/>
        <w:numPr>
          <w:ilvl w:val="0"/>
          <w:numId w:val="687"/>
        </w:numPr>
        <w:shd w:val="clear" w:color="auto" w:fill="F2F2F2" w:themeFill="background1" w:themeFillShade="F2"/>
        <w:spacing w:after="0" w:line="240" w:lineRule="auto"/>
        <w:contextualSpacing/>
        <w:jc w:val="both"/>
        <w:rPr>
          <w:rFonts w:cs="Calibri"/>
          <w:sz w:val="20"/>
          <w:szCs w:val="20"/>
        </w:rPr>
      </w:pPr>
      <w:r w:rsidRPr="00581E59">
        <w:rPr>
          <w:rFonts w:cs="Calibri"/>
          <w:sz w:val="20"/>
          <w:szCs w:val="20"/>
        </w:rPr>
        <w:t>Rewitalizacja zieleni na terenie Wspólnoty Mieszkaniowej przy ul.</w:t>
      </w:r>
      <w:r w:rsidR="00663772" w:rsidRPr="00581E59">
        <w:rPr>
          <w:rFonts w:cs="Calibri"/>
          <w:sz w:val="20"/>
          <w:szCs w:val="20"/>
        </w:rPr>
        <w:t xml:space="preserve"> Kochanowskiego 1 w Bytomiu (165</w:t>
      </w:r>
      <w:r w:rsidRPr="00581E59">
        <w:rPr>
          <w:rFonts w:cs="Calibri"/>
          <w:sz w:val="20"/>
          <w:szCs w:val="20"/>
        </w:rPr>
        <w:t>),</w:t>
      </w:r>
    </w:p>
    <w:p w:rsidR="00923560" w:rsidRPr="00581E59" w:rsidRDefault="00923560" w:rsidP="009C1D86">
      <w:pPr>
        <w:pStyle w:val="Akapitzlist"/>
        <w:numPr>
          <w:ilvl w:val="0"/>
          <w:numId w:val="687"/>
        </w:numPr>
        <w:shd w:val="clear" w:color="auto" w:fill="F2F2F2" w:themeFill="background1" w:themeFillShade="F2"/>
        <w:spacing w:after="0" w:line="240" w:lineRule="auto"/>
        <w:contextualSpacing/>
        <w:jc w:val="both"/>
        <w:rPr>
          <w:rFonts w:cs="Calibri"/>
          <w:sz w:val="20"/>
          <w:szCs w:val="20"/>
        </w:rPr>
      </w:pPr>
      <w:r w:rsidRPr="00581E59">
        <w:rPr>
          <w:rFonts w:cs="Calibri"/>
          <w:sz w:val="20"/>
          <w:szCs w:val="20"/>
        </w:rPr>
        <w:t>Rewitalizacja zieleni na terenie Wspólnoty Mieszkaniowej przy ul. Koch</w:t>
      </w:r>
      <w:r w:rsidR="00663772" w:rsidRPr="00581E59">
        <w:rPr>
          <w:rFonts w:cs="Calibri"/>
          <w:sz w:val="20"/>
          <w:szCs w:val="20"/>
        </w:rPr>
        <w:t>anowskiego 51, 53 w Bytomiu (166</w:t>
      </w:r>
      <w:r w:rsidRPr="00581E59">
        <w:rPr>
          <w:rFonts w:cs="Calibri"/>
          <w:sz w:val="20"/>
          <w:szCs w:val="20"/>
        </w:rPr>
        <w:t>),</w:t>
      </w:r>
    </w:p>
    <w:p w:rsidR="00923560" w:rsidRPr="00581E59" w:rsidRDefault="00923560" w:rsidP="009C1D86">
      <w:pPr>
        <w:pStyle w:val="Akapitzlist"/>
        <w:numPr>
          <w:ilvl w:val="0"/>
          <w:numId w:val="687"/>
        </w:numPr>
        <w:shd w:val="clear" w:color="auto" w:fill="F2F2F2" w:themeFill="background1" w:themeFillShade="F2"/>
        <w:spacing w:after="0" w:line="240" w:lineRule="auto"/>
        <w:contextualSpacing/>
        <w:jc w:val="both"/>
        <w:rPr>
          <w:rFonts w:cs="Calibri"/>
          <w:sz w:val="20"/>
          <w:szCs w:val="20"/>
        </w:rPr>
      </w:pPr>
      <w:r w:rsidRPr="00581E59">
        <w:rPr>
          <w:rFonts w:cs="Calibri"/>
          <w:sz w:val="20"/>
          <w:szCs w:val="20"/>
        </w:rPr>
        <w:t xml:space="preserve">Rewitalizacja zieleni oraz budowa miejsc postojowych na terenie Wspólnoty Mieszkaniowej przy </w:t>
      </w:r>
      <w:r w:rsidR="00120CE3" w:rsidRPr="00581E59">
        <w:rPr>
          <w:rFonts w:cs="Calibri"/>
          <w:sz w:val="20"/>
          <w:szCs w:val="20"/>
        </w:rPr>
        <w:br/>
      </w:r>
      <w:r w:rsidR="00663772" w:rsidRPr="00581E59">
        <w:rPr>
          <w:rFonts w:cs="Calibri"/>
          <w:sz w:val="20"/>
          <w:szCs w:val="20"/>
        </w:rPr>
        <w:t>ul. Sokoła 15 w Bytomiu (167</w:t>
      </w:r>
      <w:r w:rsidRPr="00581E59">
        <w:rPr>
          <w:rFonts w:cs="Calibri"/>
          <w:sz w:val="20"/>
          <w:szCs w:val="20"/>
        </w:rPr>
        <w:t>),</w:t>
      </w:r>
    </w:p>
    <w:p w:rsidR="00923560" w:rsidRPr="00581E59" w:rsidRDefault="00923560" w:rsidP="009C1D86">
      <w:pPr>
        <w:pStyle w:val="Akapitzlist"/>
        <w:numPr>
          <w:ilvl w:val="0"/>
          <w:numId w:val="687"/>
        </w:numPr>
        <w:shd w:val="clear" w:color="auto" w:fill="F2F2F2" w:themeFill="background1" w:themeFillShade="F2"/>
        <w:spacing w:after="0" w:line="240" w:lineRule="auto"/>
        <w:contextualSpacing/>
        <w:jc w:val="both"/>
        <w:rPr>
          <w:rFonts w:cs="Calibri"/>
          <w:sz w:val="20"/>
          <w:szCs w:val="20"/>
        </w:rPr>
      </w:pPr>
      <w:r w:rsidRPr="00581E59">
        <w:rPr>
          <w:rFonts w:cs="Calibri"/>
          <w:sz w:val="20"/>
          <w:szCs w:val="20"/>
        </w:rPr>
        <w:t xml:space="preserve">Rewitalizacja zieleni na terenie Wspólnoty Mieszkaniowej </w:t>
      </w:r>
      <w:r w:rsidR="00663772" w:rsidRPr="00581E59">
        <w:rPr>
          <w:rFonts w:cs="Calibri"/>
          <w:sz w:val="20"/>
          <w:szCs w:val="20"/>
        </w:rPr>
        <w:t>przy ul. Prusa 44 w Bytomiu (168</w:t>
      </w:r>
      <w:r w:rsidRPr="00581E59">
        <w:rPr>
          <w:rFonts w:cs="Calibri"/>
          <w:sz w:val="20"/>
          <w:szCs w:val="20"/>
        </w:rPr>
        <w:t>),</w:t>
      </w:r>
    </w:p>
    <w:p w:rsidR="00923560" w:rsidRPr="00581E59" w:rsidRDefault="00923560" w:rsidP="009C1D86">
      <w:pPr>
        <w:pStyle w:val="Akapitzlist"/>
        <w:numPr>
          <w:ilvl w:val="0"/>
          <w:numId w:val="687"/>
        </w:numPr>
        <w:shd w:val="clear" w:color="auto" w:fill="F2F2F2" w:themeFill="background1" w:themeFillShade="F2"/>
        <w:spacing w:after="0" w:line="240" w:lineRule="auto"/>
        <w:contextualSpacing/>
        <w:jc w:val="both"/>
        <w:rPr>
          <w:rFonts w:cs="Calibri"/>
          <w:sz w:val="20"/>
          <w:szCs w:val="20"/>
        </w:rPr>
      </w:pPr>
      <w:r w:rsidRPr="00581E59">
        <w:rPr>
          <w:rFonts w:cs="Calibri"/>
          <w:sz w:val="20"/>
          <w:szCs w:val="20"/>
        </w:rPr>
        <w:t xml:space="preserve">Rewitalizacja zieleni na terenie Wspólnoty Mieszkaniowej przy ul. Orląt Lwowskich 9 i ul. Rewitalizacja zieleni na terenie Wspólnoty Mieszkaniowej przy ul. Rostka 7 i ul. Katowickiej 27 w Bytomiu </w:t>
      </w:r>
      <w:r w:rsidR="00663772" w:rsidRPr="00581E59">
        <w:rPr>
          <w:rFonts w:cs="Calibri"/>
          <w:sz w:val="20"/>
          <w:szCs w:val="20"/>
        </w:rPr>
        <w:t>Oświęcimskiej 10A w Bytomiu (169</w:t>
      </w:r>
      <w:r w:rsidRPr="00581E59">
        <w:rPr>
          <w:rFonts w:cs="Calibri"/>
          <w:sz w:val="20"/>
          <w:szCs w:val="20"/>
        </w:rPr>
        <w:t>),</w:t>
      </w:r>
    </w:p>
    <w:p w:rsidR="00923560" w:rsidRPr="00581E59" w:rsidRDefault="00923560" w:rsidP="009C1D86">
      <w:pPr>
        <w:pStyle w:val="Akapitzlist"/>
        <w:numPr>
          <w:ilvl w:val="0"/>
          <w:numId w:val="687"/>
        </w:numPr>
        <w:shd w:val="clear" w:color="auto" w:fill="F2F2F2" w:themeFill="background1" w:themeFillShade="F2"/>
        <w:spacing w:after="0" w:line="240" w:lineRule="auto"/>
        <w:contextualSpacing/>
        <w:jc w:val="both"/>
        <w:rPr>
          <w:rFonts w:cs="Calibri"/>
          <w:sz w:val="20"/>
          <w:szCs w:val="20"/>
        </w:rPr>
      </w:pPr>
      <w:r w:rsidRPr="00581E59">
        <w:rPr>
          <w:rFonts w:cs="Calibri"/>
          <w:sz w:val="20"/>
          <w:szCs w:val="20"/>
        </w:rPr>
        <w:t xml:space="preserve">Rewitalizacja zieleni na terenie Wspólnoty Mieszkaniowej przy ul. Rostka 7 i ul. Katowickiej 27 </w:t>
      </w:r>
      <w:r w:rsidR="00120CE3" w:rsidRPr="00581E59">
        <w:rPr>
          <w:rFonts w:cs="Calibri"/>
          <w:sz w:val="20"/>
          <w:szCs w:val="20"/>
        </w:rPr>
        <w:br/>
      </w:r>
      <w:r w:rsidRPr="00581E59">
        <w:rPr>
          <w:rFonts w:cs="Calibri"/>
          <w:sz w:val="20"/>
          <w:szCs w:val="20"/>
        </w:rPr>
        <w:t>w Bytom</w:t>
      </w:r>
      <w:r w:rsidR="00663772" w:rsidRPr="00581E59">
        <w:rPr>
          <w:rFonts w:cs="Calibri"/>
          <w:sz w:val="20"/>
          <w:szCs w:val="20"/>
        </w:rPr>
        <w:t>iu (170</w:t>
      </w:r>
      <w:r w:rsidRPr="00581E59">
        <w:rPr>
          <w:rFonts w:cs="Calibri"/>
          <w:sz w:val="20"/>
          <w:szCs w:val="20"/>
        </w:rPr>
        <w:t>),</w:t>
      </w:r>
    </w:p>
    <w:p w:rsidR="00923560" w:rsidRPr="00581E59" w:rsidRDefault="00923560" w:rsidP="009C1D86">
      <w:pPr>
        <w:pStyle w:val="Akapitzlist"/>
        <w:numPr>
          <w:ilvl w:val="0"/>
          <w:numId w:val="687"/>
        </w:numPr>
        <w:shd w:val="clear" w:color="auto" w:fill="F2F2F2" w:themeFill="background1" w:themeFillShade="F2"/>
        <w:spacing w:after="0" w:line="240" w:lineRule="auto"/>
        <w:contextualSpacing/>
        <w:jc w:val="both"/>
        <w:rPr>
          <w:rFonts w:cs="Calibri"/>
          <w:sz w:val="20"/>
          <w:szCs w:val="20"/>
        </w:rPr>
      </w:pPr>
      <w:r w:rsidRPr="00581E59">
        <w:rPr>
          <w:rFonts w:cs="Calibri"/>
          <w:sz w:val="20"/>
          <w:szCs w:val="20"/>
        </w:rPr>
        <w:t>Aranżacja zieleni na podwórku przy u</w:t>
      </w:r>
      <w:r w:rsidR="006A5DA2" w:rsidRPr="00581E59">
        <w:rPr>
          <w:rFonts w:cs="Calibri"/>
          <w:sz w:val="20"/>
          <w:szCs w:val="20"/>
        </w:rPr>
        <w:t>l. Katow</w:t>
      </w:r>
      <w:r w:rsidR="00663772" w:rsidRPr="00581E59">
        <w:rPr>
          <w:rFonts w:cs="Calibri"/>
          <w:sz w:val="20"/>
          <w:szCs w:val="20"/>
        </w:rPr>
        <w:t>ickiej 37 w Bytomiu (171</w:t>
      </w:r>
      <w:r w:rsidRPr="00581E59">
        <w:rPr>
          <w:rFonts w:cs="Calibri"/>
          <w:sz w:val="20"/>
          <w:szCs w:val="20"/>
        </w:rPr>
        <w:t>),</w:t>
      </w:r>
    </w:p>
    <w:p w:rsidR="00923560" w:rsidRPr="00581E59" w:rsidRDefault="00923560" w:rsidP="009C1D86">
      <w:pPr>
        <w:pStyle w:val="Akapitzlist"/>
        <w:numPr>
          <w:ilvl w:val="0"/>
          <w:numId w:val="687"/>
        </w:numPr>
        <w:shd w:val="clear" w:color="auto" w:fill="F2F2F2" w:themeFill="background1" w:themeFillShade="F2"/>
        <w:spacing w:after="0" w:line="240" w:lineRule="auto"/>
        <w:contextualSpacing/>
        <w:jc w:val="both"/>
        <w:rPr>
          <w:rFonts w:cs="Calibri"/>
          <w:sz w:val="20"/>
          <w:szCs w:val="20"/>
        </w:rPr>
      </w:pPr>
      <w:r w:rsidRPr="00581E59">
        <w:rPr>
          <w:rFonts w:cs="Calibri"/>
          <w:sz w:val="20"/>
          <w:szCs w:val="20"/>
        </w:rPr>
        <w:t>Rewitalizacja zieleni na terenie Wspólnoty Mieszkaniowej przy ul. Powstańców Warszawskich 76-78 we współpracy ze Wspólnotą przy ul. Powstańców Warszawskich 80 i Aleja Legionów</w:t>
      </w:r>
      <w:r w:rsidR="00663772" w:rsidRPr="00581E59">
        <w:rPr>
          <w:rFonts w:cs="Calibri"/>
          <w:sz w:val="20"/>
          <w:szCs w:val="20"/>
        </w:rPr>
        <w:t xml:space="preserve"> 13, 15 (172</w:t>
      </w:r>
      <w:r w:rsidRPr="00581E59">
        <w:rPr>
          <w:rFonts w:cs="Calibri"/>
          <w:sz w:val="20"/>
          <w:szCs w:val="20"/>
        </w:rPr>
        <w:t>),</w:t>
      </w:r>
    </w:p>
    <w:p w:rsidR="00923560" w:rsidRPr="00581E59" w:rsidRDefault="00923560" w:rsidP="009C1D86">
      <w:pPr>
        <w:pStyle w:val="Akapitzlist"/>
        <w:numPr>
          <w:ilvl w:val="0"/>
          <w:numId w:val="687"/>
        </w:numPr>
        <w:shd w:val="clear" w:color="auto" w:fill="F2F2F2" w:themeFill="background1" w:themeFillShade="F2"/>
        <w:spacing w:after="0" w:line="240" w:lineRule="auto"/>
        <w:contextualSpacing/>
        <w:jc w:val="both"/>
        <w:rPr>
          <w:rFonts w:cs="Calibri"/>
          <w:sz w:val="20"/>
          <w:szCs w:val="20"/>
        </w:rPr>
      </w:pPr>
      <w:r w:rsidRPr="00581E59">
        <w:rPr>
          <w:rFonts w:cs="Calibri"/>
          <w:sz w:val="20"/>
          <w:szCs w:val="20"/>
        </w:rPr>
        <w:t xml:space="preserve">Rewitalizacja </w:t>
      </w:r>
      <w:r w:rsidR="006A5DA2" w:rsidRPr="00581E59">
        <w:rPr>
          <w:rFonts w:cs="Calibri"/>
          <w:sz w:val="20"/>
          <w:szCs w:val="20"/>
        </w:rPr>
        <w:t>podwórza przy ul. Zamenho</w:t>
      </w:r>
      <w:r w:rsidR="00663772" w:rsidRPr="00581E59">
        <w:rPr>
          <w:rFonts w:cs="Calibri"/>
          <w:sz w:val="20"/>
          <w:szCs w:val="20"/>
        </w:rPr>
        <w:t>fa (173</w:t>
      </w:r>
      <w:r w:rsidRPr="00581E59">
        <w:rPr>
          <w:rFonts w:cs="Calibri"/>
          <w:sz w:val="20"/>
          <w:szCs w:val="20"/>
        </w:rPr>
        <w:t>),</w:t>
      </w:r>
    </w:p>
    <w:p w:rsidR="00923560" w:rsidRPr="00581E59" w:rsidRDefault="00923560" w:rsidP="009C1D86">
      <w:pPr>
        <w:pStyle w:val="Akapitzlist"/>
        <w:numPr>
          <w:ilvl w:val="0"/>
          <w:numId w:val="687"/>
        </w:numPr>
        <w:shd w:val="clear" w:color="auto" w:fill="F2F2F2" w:themeFill="background1" w:themeFillShade="F2"/>
        <w:spacing w:after="0" w:line="240" w:lineRule="auto"/>
        <w:contextualSpacing/>
        <w:jc w:val="both"/>
        <w:rPr>
          <w:rFonts w:cs="Calibri"/>
          <w:sz w:val="20"/>
          <w:szCs w:val="20"/>
        </w:rPr>
      </w:pPr>
      <w:r w:rsidRPr="00581E59">
        <w:rPr>
          <w:rFonts w:cs="Calibri"/>
          <w:sz w:val="20"/>
          <w:szCs w:val="20"/>
        </w:rPr>
        <w:t>Rewitalizacja podw</w:t>
      </w:r>
      <w:r w:rsidR="00663772" w:rsidRPr="00581E59">
        <w:rPr>
          <w:rFonts w:cs="Calibri"/>
          <w:sz w:val="20"/>
          <w:szCs w:val="20"/>
        </w:rPr>
        <w:t>órza przy ul. Karola Miarki (174</w:t>
      </w:r>
      <w:r w:rsidRPr="00581E59">
        <w:rPr>
          <w:rFonts w:cs="Calibri"/>
          <w:sz w:val="20"/>
          <w:szCs w:val="20"/>
        </w:rPr>
        <w:t>),</w:t>
      </w:r>
    </w:p>
    <w:p w:rsidR="00923560" w:rsidRPr="00581E59" w:rsidRDefault="00923560" w:rsidP="009C1D86">
      <w:pPr>
        <w:pStyle w:val="Akapitzlist"/>
        <w:numPr>
          <w:ilvl w:val="0"/>
          <w:numId w:val="687"/>
        </w:numPr>
        <w:shd w:val="clear" w:color="auto" w:fill="F2F2F2" w:themeFill="background1" w:themeFillShade="F2"/>
        <w:spacing w:after="0" w:line="240" w:lineRule="auto"/>
        <w:contextualSpacing/>
        <w:jc w:val="both"/>
        <w:rPr>
          <w:rFonts w:cs="Calibri"/>
          <w:sz w:val="20"/>
          <w:szCs w:val="20"/>
        </w:rPr>
      </w:pPr>
      <w:r w:rsidRPr="00581E59">
        <w:rPr>
          <w:rFonts w:cs="Calibri"/>
          <w:sz w:val="20"/>
          <w:szCs w:val="20"/>
        </w:rPr>
        <w:t>Zagospodarowanie podwórka w sąsiedztwie</w:t>
      </w:r>
      <w:r w:rsidR="00663772" w:rsidRPr="00581E59">
        <w:rPr>
          <w:rFonts w:cs="Calibri"/>
          <w:sz w:val="20"/>
          <w:szCs w:val="20"/>
        </w:rPr>
        <w:t xml:space="preserve"> budynku Prusa 23 w Bytomiu (175</w:t>
      </w:r>
      <w:r w:rsidRPr="00581E59">
        <w:rPr>
          <w:rFonts w:cs="Calibri"/>
          <w:sz w:val="20"/>
          <w:szCs w:val="20"/>
        </w:rPr>
        <w:t>).</w:t>
      </w:r>
    </w:p>
    <w:p w:rsidR="00CD7CC6" w:rsidRPr="00581E59" w:rsidRDefault="00CD7CC6" w:rsidP="00CD7CC6">
      <w:pPr>
        <w:pStyle w:val="Akapitzlist"/>
        <w:spacing w:after="0" w:line="240" w:lineRule="auto"/>
        <w:contextualSpacing/>
        <w:jc w:val="both"/>
        <w:rPr>
          <w:rFonts w:cs="Calibri"/>
          <w:sz w:val="20"/>
          <w:szCs w:val="20"/>
          <w:highlight w:val="lightGray"/>
        </w:rPr>
      </w:pPr>
    </w:p>
    <w:p w:rsidR="006239E2" w:rsidRPr="00581E59" w:rsidRDefault="006239E2" w:rsidP="00C832AD">
      <w:pPr>
        <w:pStyle w:val="Default"/>
        <w:jc w:val="both"/>
        <w:rPr>
          <w:color w:val="auto"/>
          <w:sz w:val="20"/>
          <w:szCs w:val="20"/>
        </w:rPr>
      </w:pPr>
      <w:r w:rsidRPr="00581E59">
        <w:rPr>
          <w:b/>
          <w:bCs/>
          <w:color w:val="auto"/>
          <w:sz w:val="20"/>
          <w:szCs w:val="20"/>
        </w:rPr>
        <w:t>Cel Operacyjny 3.2 Partnerstwo władz miasta i społeczności lokalnych w podnoszeniu jakości i ochronie walorów przestrzeni publicznych – projekty:</w:t>
      </w:r>
    </w:p>
    <w:p w:rsidR="006239E2" w:rsidRPr="00581E59" w:rsidRDefault="006239E2" w:rsidP="00DD20DC">
      <w:pPr>
        <w:pStyle w:val="Akapitzlist"/>
        <w:numPr>
          <w:ilvl w:val="0"/>
          <w:numId w:val="687"/>
        </w:numPr>
        <w:spacing w:after="0" w:line="240" w:lineRule="auto"/>
        <w:contextualSpacing/>
        <w:jc w:val="both"/>
        <w:rPr>
          <w:rFonts w:cs="Calibri"/>
          <w:sz w:val="20"/>
          <w:szCs w:val="20"/>
        </w:rPr>
      </w:pPr>
      <w:r w:rsidRPr="00581E59">
        <w:rPr>
          <w:sz w:val="20"/>
          <w:szCs w:val="20"/>
        </w:rPr>
        <w:t>Bytomski Inkubator Społeczny ROZBANA - Promocja zatrudnienia 7.3.3 (16),</w:t>
      </w:r>
    </w:p>
    <w:p w:rsidR="006239E2" w:rsidRPr="00581E59" w:rsidRDefault="006239E2" w:rsidP="00C832AD">
      <w:pPr>
        <w:pStyle w:val="Akapitzlist"/>
        <w:numPr>
          <w:ilvl w:val="0"/>
          <w:numId w:val="687"/>
        </w:numPr>
        <w:spacing w:after="160" w:line="240" w:lineRule="auto"/>
        <w:contextualSpacing/>
        <w:jc w:val="both"/>
        <w:rPr>
          <w:rFonts w:cs="Calibri"/>
          <w:sz w:val="20"/>
          <w:szCs w:val="20"/>
        </w:rPr>
      </w:pPr>
      <w:r w:rsidRPr="00581E59">
        <w:rPr>
          <w:sz w:val="20"/>
          <w:szCs w:val="20"/>
        </w:rPr>
        <w:t>Bytomski Inkubator Społeczny ROZBANA - Outplacement 7.4.2 (19),</w:t>
      </w:r>
    </w:p>
    <w:p w:rsidR="006239E2" w:rsidRPr="00581E59" w:rsidRDefault="006239E2" w:rsidP="00DD20DC">
      <w:pPr>
        <w:pStyle w:val="Akapitzlist"/>
        <w:numPr>
          <w:ilvl w:val="0"/>
          <w:numId w:val="687"/>
        </w:numPr>
        <w:spacing w:after="0" w:line="240" w:lineRule="auto"/>
        <w:contextualSpacing/>
        <w:jc w:val="both"/>
        <w:rPr>
          <w:rFonts w:cs="Calibri"/>
          <w:sz w:val="20"/>
          <w:szCs w:val="20"/>
        </w:rPr>
      </w:pPr>
      <w:r w:rsidRPr="00581E59">
        <w:rPr>
          <w:rFonts w:cs="Calibri"/>
          <w:sz w:val="20"/>
          <w:szCs w:val="20"/>
        </w:rPr>
        <w:t>Bytomski Inkubator Społeczny ROZBANA - Opiekunka 8.1.3 (22),</w:t>
      </w:r>
    </w:p>
    <w:p w:rsidR="006239E2" w:rsidRPr="00581E59" w:rsidRDefault="006239E2" w:rsidP="00C832AD">
      <w:pPr>
        <w:pStyle w:val="Akapitzlist"/>
        <w:numPr>
          <w:ilvl w:val="0"/>
          <w:numId w:val="687"/>
        </w:numPr>
        <w:spacing w:after="0" w:line="240" w:lineRule="auto"/>
        <w:contextualSpacing/>
        <w:jc w:val="both"/>
        <w:rPr>
          <w:rFonts w:cs="Calibri"/>
          <w:sz w:val="20"/>
          <w:szCs w:val="20"/>
        </w:rPr>
      </w:pPr>
      <w:r w:rsidRPr="00581E59">
        <w:rPr>
          <w:sz w:val="20"/>
          <w:szCs w:val="20"/>
        </w:rPr>
        <w:t>Rewitalizacja podobszarów 10, 11, 12, 13 – Bytom Śródmieście i Rozbark (109),</w:t>
      </w:r>
    </w:p>
    <w:p w:rsidR="006D140E" w:rsidRPr="00581E59" w:rsidRDefault="006D140E" w:rsidP="009C1D86">
      <w:pPr>
        <w:pStyle w:val="Akapitzlist"/>
        <w:numPr>
          <w:ilvl w:val="0"/>
          <w:numId w:val="687"/>
        </w:numPr>
        <w:shd w:val="clear" w:color="auto" w:fill="F2F2F2" w:themeFill="background1" w:themeFillShade="F2"/>
        <w:spacing w:after="0" w:line="240" w:lineRule="auto"/>
        <w:contextualSpacing/>
        <w:jc w:val="both"/>
        <w:rPr>
          <w:rFonts w:cs="Calibri"/>
          <w:sz w:val="20"/>
          <w:szCs w:val="20"/>
        </w:rPr>
      </w:pPr>
      <w:r w:rsidRPr="00581E59">
        <w:rPr>
          <w:rFonts w:cs="Calibri"/>
          <w:sz w:val="20"/>
          <w:szCs w:val="20"/>
        </w:rPr>
        <w:t>Rewitalizacja podobszarów 10,11,12,13 - Bytom Śródmieście i Rozbark - etap II (140),</w:t>
      </w:r>
    </w:p>
    <w:p w:rsidR="006239E2" w:rsidRPr="00581E59" w:rsidRDefault="006239E2" w:rsidP="00C832AD">
      <w:pPr>
        <w:pStyle w:val="Akapitzlist"/>
        <w:numPr>
          <w:ilvl w:val="0"/>
          <w:numId w:val="687"/>
        </w:numPr>
        <w:spacing w:after="0" w:line="240" w:lineRule="auto"/>
        <w:contextualSpacing/>
        <w:jc w:val="both"/>
        <w:rPr>
          <w:rFonts w:cs="Calibri"/>
          <w:sz w:val="20"/>
          <w:szCs w:val="20"/>
        </w:rPr>
      </w:pPr>
      <w:r w:rsidRPr="00581E59">
        <w:rPr>
          <w:sz w:val="20"/>
          <w:szCs w:val="20"/>
        </w:rPr>
        <w:t>Stworzenie przyjemnych i bezpiecznych przestrzeni dla mieszkańców Rozbarku (110).</w:t>
      </w:r>
    </w:p>
    <w:p w:rsidR="006239E2" w:rsidRPr="00C832AD" w:rsidRDefault="006239E2" w:rsidP="00C832AD">
      <w:pPr>
        <w:pStyle w:val="Default"/>
        <w:jc w:val="both"/>
        <w:rPr>
          <w:color w:val="auto"/>
          <w:sz w:val="20"/>
          <w:szCs w:val="20"/>
        </w:rPr>
      </w:pPr>
    </w:p>
    <w:p w:rsidR="006239E2" w:rsidRPr="00C832AD" w:rsidRDefault="006239E2" w:rsidP="00C832AD">
      <w:pPr>
        <w:pStyle w:val="Default"/>
        <w:jc w:val="both"/>
        <w:rPr>
          <w:sz w:val="20"/>
          <w:szCs w:val="20"/>
        </w:rPr>
      </w:pPr>
      <w:r w:rsidRPr="00C832AD">
        <w:rPr>
          <w:b/>
          <w:bCs/>
          <w:color w:val="auto"/>
          <w:sz w:val="20"/>
          <w:szCs w:val="20"/>
        </w:rPr>
        <w:t>Cel Operacyjny 3.3 Wysoki poziom bezpieczeństwa mieszkańców wzmacniany prz</w:t>
      </w:r>
      <w:r w:rsidR="00CD7CC6">
        <w:rPr>
          <w:b/>
          <w:bCs/>
          <w:color w:val="auto"/>
          <w:sz w:val="20"/>
          <w:szCs w:val="20"/>
        </w:rPr>
        <w:t xml:space="preserve">ez dobre relacje międzysąsiedzkie  i </w:t>
      </w:r>
      <w:r w:rsidRPr="00C832AD">
        <w:rPr>
          <w:b/>
          <w:bCs/>
          <w:color w:val="auto"/>
          <w:sz w:val="20"/>
          <w:szCs w:val="20"/>
        </w:rPr>
        <w:t>odpowiedzialność mieszkańców za innych członków społeczności lokalnej – projekty:</w:t>
      </w:r>
    </w:p>
    <w:p w:rsidR="006239E2" w:rsidRPr="00C832AD" w:rsidRDefault="006239E2" w:rsidP="00DD20DC">
      <w:pPr>
        <w:pStyle w:val="Akapitzlist"/>
        <w:numPr>
          <w:ilvl w:val="0"/>
          <w:numId w:val="687"/>
        </w:numPr>
        <w:spacing w:after="0" w:line="240" w:lineRule="auto"/>
        <w:contextualSpacing/>
        <w:jc w:val="both"/>
        <w:rPr>
          <w:rFonts w:cs="Calibri"/>
          <w:sz w:val="20"/>
          <w:szCs w:val="20"/>
        </w:rPr>
      </w:pPr>
      <w:r w:rsidRPr="00C832AD">
        <w:rPr>
          <w:sz w:val="20"/>
          <w:szCs w:val="20"/>
        </w:rPr>
        <w:t>Bytomski Inkubator Społeczny ROZBANA - Promocja zatrudnienia 7.3.3 (16),</w:t>
      </w:r>
    </w:p>
    <w:p w:rsidR="006239E2" w:rsidRPr="00C832AD" w:rsidRDefault="006239E2" w:rsidP="00C832AD">
      <w:pPr>
        <w:pStyle w:val="Akapitzlist"/>
        <w:numPr>
          <w:ilvl w:val="0"/>
          <w:numId w:val="687"/>
        </w:numPr>
        <w:spacing w:after="160" w:line="240" w:lineRule="auto"/>
        <w:contextualSpacing/>
        <w:jc w:val="both"/>
        <w:rPr>
          <w:rFonts w:cs="Calibri"/>
          <w:sz w:val="20"/>
          <w:szCs w:val="20"/>
        </w:rPr>
      </w:pPr>
      <w:r w:rsidRPr="00C832AD">
        <w:rPr>
          <w:sz w:val="20"/>
          <w:szCs w:val="20"/>
        </w:rPr>
        <w:t>Bytomski Inkubator Społeczny ROZBANA - Outplacement 7.4.2 (19),</w:t>
      </w:r>
    </w:p>
    <w:p w:rsidR="006239E2" w:rsidRPr="00C832AD" w:rsidRDefault="006239E2" w:rsidP="00C832AD">
      <w:pPr>
        <w:pStyle w:val="Default"/>
        <w:jc w:val="both"/>
        <w:rPr>
          <w:sz w:val="20"/>
          <w:szCs w:val="20"/>
        </w:rPr>
      </w:pPr>
      <w:r w:rsidRPr="00C832AD">
        <w:rPr>
          <w:b/>
          <w:bCs/>
          <w:color w:val="auto"/>
          <w:sz w:val="20"/>
          <w:szCs w:val="20"/>
        </w:rPr>
        <w:t>Cel Operacyjny 4.1 Zrekultywowane tereny poprzemysłowe przygotowane na przyjęcie nowych funkcji ważnych dla poprawy sytuacji społecznej i rozwoju rynku pracy – projekty:</w:t>
      </w:r>
    </w:p>
    <w:p w:rsidR="006239E2" w:rsidRPr="00C832AD" w:rsidRDefault="006239E2" w:rsidP="00C832AD">
      <w:pPr>
        <w:pStyle w:val="Default"/>
        <w:numPr>
          <w:ilvl w:val="0"/>
          <w:numId w:val="687"/>
        </w:numPr>
        <w:jc w:val="both"/>
        <w:rPr>
          <w:color w:val="auto"/>
          <w:sz w:val="20"/>
          <w:szCs w:val="20"/>
        </w:rPr>
      </w:pPr>
      <w:r w:rsidRPr="00C832AD">
        <w:rPr>
          <w:color w:val="auto"/>
          <w:sz w:val="20"/>
          <w:szCs w:val="20"/>
        </w:rPr>
        <w:t xml:space="preserve">Bytomski Inkubator Społeczny ROZBANA - Aktywne Zatrudnienie 7.1.3 (8), </w:t>
      </w:r>
    </w:p>
    <w:p w:rsidR="006239E2" w:rsidRPr="00C832AD" w:rsidRDefault="006239E2" w:rsidP="00C832AD">
      <w:pPr>
        <w:pStyle w:val="Default"/>
        <w:numPr>
          <w:ilvl w:val="0"/>
          <w:numId w:val="687"/>
        </w:numPr>
        <w:jc w:val="both"/>
        <w:rPr>
          <w:color w:val="auto"/>
          <w:sz w:val="20"/>
          <w:szCs w:val="20"/>
        </w:rPr>
      </w:pPr>
      <w:r w:rsidRPr="00C832AD">
        <w:rPr>
          <w:color w:val="auto"/>
          <w:sz w:val="20"/>
          <w:szCs w:val="20"/>
        </w:rPr>
        <w:t xml:space="preserve">Bytomski Inkubator Społeczny ROZBANA - Promocja zatrudnienia 7.3.3 (16), </w:t>
      </w:r>
    </w:p>
    <w:p w:rsidR="006239E2" w:rsidRPr="00C832AD" w:rsidRDefault="006239E2" w:rsidP="00C832AD">
      <w:pPr>
        <w:pStyle w:val="Default"/>
        <w:numPr>
          <w:ilvl w:val="0"/>
          <w:numId w:val="687"/>
        </w:numPr>
        <w:jc w:val="both"/>
        <w:rPr>
          <w:color w:val="auto"/>
          <w:sz w:val="20"/>
          <w:szCs w:val="20"/>
        </w:rPr>
      </w:pPr>
      <w:r w:rsidRPr="00C832AD">
        <w:rPr>
          <w:color w:val="auto"/>
          <w:sz w:val="20"/>
          <w:szCs w:val="20"/>
        </w:rPr>
        <w:t>Bytomski Inkubator Społeczny ROZBANA - Outplacement 7.4.2 (19),</w:t>
      </w:r>
    </w:p>
    <w:p w:rsidR="006239E2" w:rsidRPr="00C832AD" w:rsidRDefault="006239E2" w:rsidP="00DD20DC">
      <w:pPr>
        <w:pStyle w:val="Akapitzlist"/>
        <w:numPr>
          <w:ilvl w:val="0"/>
          <w:numId w:val="687"/>
        </w:numPr>
        <w:spacing w:after="0" w:line="240" w:lineRule="auto"/>
        <w:contextualSpacing/>
        <w:jc w:val="both"/>
        <w:rPr>
          <w:rFonts w:cs="Calibri"/>
          <w:sz w:val="20"/>
          <w:szCs w:val="20"/>
        </w:rPr>
      </w:pPr>
      <w:r w:rsidRPr="00C832AD">
        <w:rPr>
          <w:rFonts w:cs="Calibri"/>
          <w:sz w:val="20"/>
          <w:szCs w:val="20"/>
        </w:rPr>
        <w:t>Bytomski Inkubator Społeczny ROZBANA - Opiekunka 8.1.3 (22),</w:t>
      </w:r>
    </w:p>
    <w:p w:rsidR="006239E2" w:rsidRPr="00C832AD" w:rsidRDefault="006239E2" w:rsidP="00C832AD">
      <w:pPr>
        <w:pStyle w:val="Akapitzlist"/>
        <w:numPr>
          <w:ilvl w:val="0"/>
          <w:numId w:val="687"/>
        </w:numPr>
        <w:spacing w:after="0" w:line="240" w:lineRule="auto"/>
        <w:contextualSpacing/>
        <w:jc w:val="both"/>
        <w:rPr>
          <w:rFonts w:cs="Calibri"/>
          <w:sz w:val="20"/>
          <w:szCs w:val="20"/>
        </w:rPr>
      </w:pPr>
      <w:r w:rsidRPr="00C832AD">
        <w:rPr>
          <w:rFonts w:cs="Calibri"/>
          <w:sz w:val="20"/>
          <w:szCs w:val="20"/>
        </w:rPr>
        <w:t>Bytomski Inkubator Społeczny ROZBANA - Integracja 9.1.3 (47),</w:t>
      </w:r>
    </w:p>
    <w:p w:rsidR="006239E2" w:rsidRPr="00C832AD" w:rsidRDefault="006239E2" w:rsidP="00C832AD">
      <w:pPr>
        <w:pStyle w:val="Akapitzlist"/>
        <w:numPr>
          <w:ilvl w:val="0"/>
          <w:numId w:val="687"/>
        </w:numPr>
        <w:spacing w:after="0" w:line="240" w:lineRule="auto"/>
        <w:contextualSpacing/>
        <w:jc w:val="both"/>
        <w:rPr>
          <w:rFonts w:cs="Calibri"/>
          <w:sz w:val="20"/>
          <w:szCs w:val="20"/>
        </w:rPr>
      </w:pPr>
      <w:r w:rsidRPr="00C832AD">
        <w:rPr>
          <w:sz w:val="20"/>
          <w:szCs w:val="20"/>
        </w:rPr>
        <w:t>Bytomski Inkubator Społeczny ROZBANA - Usługowa 9.2.3 (71),</w:t>
      </w:r>
    </w:p>
    <w:p w:rsidR="006239E2" w:rsidRPr="00C832AD" w:rsidRDefault="006239E2" w:rsidP="00DD20DC">
      <w:pPr>
        <w:pStyle w:val="Akapitzlist"/>
        <w:numPr>
          <w:ilvl w:val="0"/>
          <w:numId w:val="687"/>
        </w:numPr>
        <w:spacing w:after="0" w:line="240" w:lineRule="auto"/>
        <w:contextualSpacing/>
        <w:jc w:val="both"/>
        <w:rPr>
          <w:rFonts w:cs="Calibri"/>
          <w:sz w:val="20"/>
          <w:szCs w:val="20"/>
        </w:rPr>
      </w:pPr>
      <w:r w:rsidRPr="00C832AD">
        <w:rPr>
          <w:rFonts w:cs="Calibri"/>
          <w:sz w:val="20"/>
          <w:szCs w:val="20"/>
        </w:rPr>
        <w:t>Bytomski Inkubator Społeczny ROZBANA - Rozwojowa 11.1.4 (78),</w:t>
      </w:r>
    </w:p>
    <w:p w:rsidR="006239E2" w:rsidRPr="00C832AD" w:rsidRDefault="006239E2" w:rsidP="00C832AD">
      <w:pPr>
        <w:pStyle w:val="Akapitzlist"/>
        <w:numPr>
          <w:ilvl w:val="0"/>
          <w:numId w:val="687"/>
        </w:numPr>
        <w:spacing w:after="0" w:line="240" w:lineRule="auto"/>
        <w:contextualSpacing/>
        <w:jc w:val="both"/>
        <w:rPr>
          <w:rFonts w:cs="Calibri"/>
          <w:sz w:val="20"/>
          <w:szCs w:val="20"/>
        </w:rPr>
      </w:pPr>
      <w:r w:rsidRPr="00C832AD">
        <w:rPr>
          <w:sz w:val="20"/>
          <w:szCs w:val="20"/>
        </w:rPr>
        <w:t>Rewitalizacja obiektów na potrzeby Centrum Integracji Aktywnej (107),</w:t>
      </w:r>
    </w:p>
    <w:p w:rsidR="006239E2" w:rsidRPr="00C832AD" w:rsidRDefault="006239E2" w:rsidP="00DD20DC">
      <w:pPr>
        <w:pStyle w:val="Akapitzlist"/>
        <w:numPr>
          <w:ilvl w:val="0"/>
          <w:numId w:val="687"/>
        </w:numPr>
        <w:spacing w:after="0" w:line="240" w:lineRule="auto"/>
        <w:contextualSpacing/>
        <w:jc w:val="both"/>
        <w:rPr>
          <w:rFonts w:cs="Calibri"/>
          <w:sz w:val="20"/>
          <w:szCs w:val="20"/>
        </w:rPr>
      </w:pPr>
      <w:r w:rsidRPr="00C832AD">
        <w:rPr>
          <w:rFonts w:cs="Calibri"/>
          <w:sz w:val="20"/>
          <w:szCs w:val="20"/>
        </w:rPr>
        <w:t>Rewitalizacja obiektów po byłym zakładzie naprawczym zabytkowej Górnośląskiej Kolei Wąskotorowej w Bytomiu (117),</w:t>
      </w:r>
    </w:p>
    <w:p w:rsidR="006239E2" w:rsidRDefault="006239E2" w:rsidP="00DD20DC">
      <w:pPr>
        <w:pStyle w:val="Default"/>
        <w:numPr>
          <w:ilvl w:val="0"/>
          <w:numId w:val="687"/>
        </w:numPr>
        <w:jc w:val="both"/>
        <w:rPr>
          <w:color w:val="auto"/>
          <w:sz w:val="20"/>
          <w:szCs w:val="20"/>
        </w:rPr>
      </w:pPr>
      <w:r w:rsidRPr="00C832AD">
        <w:rPr>
          <w:color w:val="auto"/>
          <w:sz w:val="20"/>
          <w:szCs w:val="20"/>
        </w:rPr>
        <w:t>Uratowanie przed rozbiórką i rewitalizacja zespołu dawnej kopalni „Rozbark” wpisanej do rejestru zabytków nieruchomych województwa śląskiego poprzez utworzenie unikatowego w skali kraju centrum sportów wspinaczkowych i siłowych w Bytomiu przy ul. Chorzowskiej (119).</w:t>
      </w:r>
    </w:p>
    <w:p w:rsidR="00923560" w:rsidRPr="00581E59" w:rsidRDefault="00923560" w:rsidP="009C1D86">
      <w:pPr>
        <w:pStyle w:val="Default"/>
        <w:numPr>
          <w:ilvl w:val="0"/>
          <w:numId w:val="687"/>
        </w:numPr>
        <w:shd w:val="clear" w:color="auto" w:fill="F2F2F2" w:themeFill="background1" w:themeFillShade="F2"/>
        <w:jc w:val="both"/>
        <w:rPr>
          <w:color w:val="auto"/>
          <w:sz w:val="20"/>
          <w:szCs w:val="20"/>
        </w:rPr>
      </w:pPr>
      <w:r w:rsidRPr="00991775">
        <w:rPr>
          <w:color w:val="auto"/>
          <w:sz w:val="20"/>
          <w:szCs w:val="20"/>
        </w:rPr>
        <w:t>Ponowne wykorzystanie zabudowań i zagospodarowanie terenu na obszarze dawnych Warsztatów Naprawc</w:t>
      </w:r>
      <w:r w:rsidR="006A5DA2">
        <w:rPr>
          <w:color w:val="auto"/>
          <w:sz w:val="20"/>
          <w:szCs w:val="20"/>
        </w:rPr>
        <w:t xml:space="preserve">zych GKW w Bytomiu </w:t>
      </w:r>
      <w:r w:rsidR="006A5DA2" w:rsidRPr="00581E59">
        <w:rPr>
          <w:color w:val="auto"/>
          <w:sz w:val="20"/>
          <w:szCs w:val="20"/>
        </w:rPr>
        <w:t>Rozbarku (142</w:t>
      </w:r>
      <w:r w:rsidRPr="00581E59">
        <w:rPr>
          <w:color w:val="auto"/>
          <w:sz w:val="20"/>
          <w:szCs w:val="20"/>
        </w:rPr>
        <w:t>),</w:t>
      </w:r>
    </w:p>
    <w:p w:rsidR="00226C92" w:rsidRPr="00581E59" w:rsidRDefault="00226C92" w:rsidP="009C1D86">
      <w:pPr>
        <w:pStyle w:val="Akapitzlist"/>
        <w:numPr>
          <w:ilvl w:val="0"/>
          <w:numId w:val="687"/>
        </w:numPr>
        <w:shd w:val="clear" w:color="auto" w:fill="F2F2F2" w:themeFill="background1" w:themeFillShade="F2"/>
        <w:spacing w:after="160" w:line="240" w:lineRule="auto"/>
        <w:contextualSpacing/>
        <w:jc w:val="both"/>
        <w:rPr>
          <w:rFonts w:cs="Calibri"/>
          <w:sz w:val="20"/>
          <w:szCs w:val="20"/>
        </w:rPr>
      </w:pPr>
      <w:r w:rsidRPr="00581E59">
        <w:rPr>
          <w:rFonts w:cs="Calibri"/>
          <w:sz w:val="20"/>
          <w:szCs w:val="20"/>
        </w:rPr>
        <w:t>„Nowy RozPark” hala warsztatowa - rewitalizacja terenów i obiektów poprzemysłowych – hali warsztatowej byłych warsztatów naprawczych kolei wąskotorowej na cele usług społecznych i mieszkalnictwa wspomaganego (143),</w:t>
      </w:r>
    </w:p>
    <w:p w:rsidR="00226C92" w:rsidRPr="00581E59" w:rsidRDefault="00226C92" w:rsidP="009C1D86">
      <w:pPr>
        <w:pStyle w:val="Akapitzlist"/>
        <w:numPr>
          <w:ilvl w:val="0"/>
          <w:numId w:val="687"/>
        </w:numPr>
        <w:shd w:val="clear" w:color="auto" w:fill="F2F2F2" w:themeFill="background1" w:themeFillShade="F2"/>
        <w:spacing w:after="160" w:line="240" w:lineRule="auto"/>
        <w:contextualSpacing/>
        <w:jc w:val="both"/>
        <w:rPr>
          <w:rFonts w:cs="Calibri"/>
          <w:sz w:val="20"/>
          <w:szCs w:val="20"/>
        </w:rPr>
      </w:pPr>
      <w:r w:rsidRPr="00581E59">
        <w:rPr>
          <w:rFonts w:cs="Calibri"/>
          <w:sz w:val="20"/>
          <w:szCs w:val="20"/>
        </w:rPr>
        <w:t>„Nowy RozPark” główna hala naprawcza - rewitalizacja terenów i obiektów poprzemysłowych na cele usług społecznych (144),</w:t>
      </w:r>
    </w:p>
    <w:p w:rsidR="00226C92" w:rsidRPr="00581E59" w:rsidRDefault="00226C92" w:rsidP="009C1D86">
      <w:pPr>
        <w:pStyle w:val="Akapitzlist"/>
        <w:numPr>
          <w:ilvl w:val="0"/>
          <w:numId w:val="687"/>
        </w:numPr>
        <w:shd w:val="clear" w:color="auto" w:fill="F2F2F2" w:themeFill="background1" w:themeFillShade="F2"/>
        <w:spacing w:after="160" w:line="240" w:lineRule="auto"/>
        <w:contextualSpacing/>
        <w:jc w:val="both"/>
        <w:rPr>
          <w:rFonts w:cs="Calibri"/>
          <w:sz w:val="20"/>
          <w:szCs w:val="20"/>
        </w:rPr>
      </w:pPr>
      <w:r w:rsidRPr="00581E59">
        <w:rPr>
          <w:rFonts w:cs="Calibri"/>
          <w:sz w:val="20"/>
          <w:szCs w:val="20"/>
        </w:rPr>
        <w:t>„Nowy RozPark” zagospdoarowanie terenów rekreacyjnych - rewitalizacja terenów i obiektów poprzemysłowych byłych warsztatów naprawczych kolei wąskotorowej na cele usług społecznych, rekreacyjnych wraz z przygotowaniem infrastruktury dla funkcji sąsiednich (145),</w:t>
      </w:r>
    </w:p>
    <w:p w:rsidR="00226C92" w:rsidRPr="00581E59" w:rsidRDefault="00226C92" w:rsidP="009C1D86">
      <w:pPr>
        <w:pStyle w:val="Akapitzlist"/>
        <w:numPr>
          <w:ilvl w:val="0"/>
          <w:numId w:val="687"/>
        </w:numPr>
        <w:shd w:val="clear" w:color="auto" w:fill="F2F2F2" w:themeFill="background1" w:themeFillShade="F2"/>
        <w:spacing w:after="160" w:line="240" w:lineRule="auto"/>
        <w:contextualSpacing/>
        <w:jc w:val="both"/>
        <w:rPr>
          <w:rFonts w:cs="Calibri"/>
          <w:sz w:val="20"/>
          <w:szCs w:val="20"/>
        </w:rPr>
      </w:pPr>
      <w:r w:rsidRPr="00581E59">
        <w:rPr>
          <w:rFonts w:cs="Calibri"/>
          <w:sz w:val="20"/>
          <w:szCs w:val="20"/>
        </w:rPr>
        <w:t>„Nowy RozPark” nowa zabudowa mieszkań wspomaganych - rewitalizacja terenów poprzemysłowych poprzez utworzenie lokali mieszkalnych wspomaganych i treningowych z uzupełnieniem funkcji usług społecznych pomocniczych i profilaktycznych (146),</w:t>
      </w:r>
    </w:p>
    <w:p w:rsidR="00923560" w:rsidRPr="00581E59" w:rsidRDefault="00923560" w:rsidP="009C1D86">
      <w:pPr>
        <w:pStyle w:val="Akapitzlist"/>
        <w:numPr>
          <w:ilvl w:val="0"/>
          <w:numId w:val="687"/>
        </w:numPr>
        <w:shd w:val="clear" w:color="auto" w:fill="F2F2F2" w:themeFill="background1" w:themeFillShade="F2"/>
        <w:spacing w:after="0" w:line="240" w:lineRule="auto"/>
        <w:ind w:left="714" w:hanging="357"/>
        <w:contextualSpacing/>
        <w:jc w:val="both"/>
        <w:rPr>
          <w:rFonts w:cs="Calibri"/>
          <w:sz w:val="20"/>
          <w:szCs w:val="20"/>
        </w:rPr>
      </w:pPr>
      <w:r w:rsidRPr="00581E59">
        <w:rPr>
          <w:rFonts w:cs="Calibri"/>
          <w:sz w:val="20"/>
          <w:szCs w:val="20"/>
        </w:rPr>
        <w:t>Rozbudowa infrastruktury wspinaczkowej o strefę sportów olim</w:t>
      </w:r>
      <w:r w:rsidR="00663772" w:rsidRPr="00581E59">
        <w:rPr>
          <w:rFonts w:cs="Calibri"/>
          <w:sz w:val="20"/>
          <w:szCs w:val="20"/>
        </w:rPr>
        <w:t>pijskich (147</w:t>
      </w:r>
      <w:r w:rsidRPr="00581E59">
        <w:rPr>
          <w:rFonts w:cs="Calibri"/>
          <w:sz w:val="20"/>
          <w:szCs w:val="20"/>
        </w:rPr>
        <w:t>),</w:t>
      </w:r>
    </w:p>
    <w:p w:rsidR="00923560" w:rsidRPr="00581E59" w:rsidRDefault="00923560" w:rsidP="009C1D86">
      <w:pPr>
        <w:pStyle w:val="Akapitzlist"/>
        <w:numPr>
          <w:ilvl w:val="0"/>
          <w:numId w:val="687"/>
        </w:numPr>
        <w:shd w:val="clear" w:color="auto" w:fill="F2F2F2" w:themeFill="background1" w:themeFillShade="F2"/>
        <w:spacing w:after="0" w:line="240" w:lineRule="auto"/>
        <w:ind w:left="714" w:hanging="357"/>
        <w:contextualSpacing/>
        <w:jc w:val="both"/>
        <w:rPr>
          <w:rFonts w:cs="Calibri"/>
          <w:sz w:val="20"/>
          <w:szCs w:val="20"/>
        </w:rPr>
      </w:pPr>
      <w:r w:rsidRPr="00581E59">
        <w:rPr>
          <w:rFonts w:cs="Calibri"/>
          <w:sz w:val="20"/>
          <w:szCs w:val="20"/>
        </w:rPr>
        <w:t xml:space="preserve">Wspinam się! Kopalnia Skarbów, czyli nowe kompetencje dla dzieci w Bytomiu w ramach podejmowanych działań w </w:t>
      </w:r>
      <w:r w:rsidR="00663772" w:rsidRPr="00581E59">
        <w:rPr>
          <w:rFonts w:cs="Calibri"/>
          <w:sz w:val="20"/>
          <w:szCs w:val="20"/>
        </w:rPr>
        <w:t>placówce wsparcia dziennego (148</w:t>
      </w:r>
      <w:r w:rsidRPr="00581E59">
        <w:rPr>
          <w:rFonts w:cs="Calibri"/>
          <w:sz w:val="20"/>
          <w:szCs w:val="20"/>
        </w:rPr>
        <w:t>),</w:t>
      </w:r>
    </w:p>
    <w:p w:rsidR="00923560" w:rsidRPr="00581E59" w:rsidRDefault="00923560" w:rsidP="009C1D86">
      <w:pPr>
        <w:pStyle w:val="Akapitzlist"/>
        <w:numPr>
          <w:ilvl w:val="0"/>
          <w:numId w:val="687"/>
        </w:numPr>
        <w:shd w:val="clear" w:color="auto" w:fill="F2F2F2" w:themeFill="background1" w:themeFillShade="F2"/>
        <w:spacing w:after="0" w:line="240" w:lineRule="auto"/>
        <w:ind w:left="714" w:hanging="357"/>
        <w:contextualSpacing/>
        <w:jc w:val="both"/>
        <w:rPr>
          <w:rFonts w:cs="Calibri"/>
          <w:sz w:val="20"/>
          <w:szCs w:val="20"/>
        </w:rPr>
      </w:pPr>
      <w:r w:rsidRPr="00581E59">
        <w:rPr>
          <w:rFonts w:cs="Calibri"/>
          <w:sz w:val="20"/>
          <w:szCs w:val="20"/>
        </w:rPr>
        <w:t>Zielony kwartał KWK Rozbark – Centrum Aktywno</w:t>
      </w:r>
      <w:r w:rsidR="006A5DA2" w:rsidRPr="00581E59">
        <w:rPr>
          <w:rFonts w:cs="Calibri"/>
          <w:sz w:val="20"/>
          <w:szCs w:val="20"/>
        </w:rPr>
        <w:t>ści Społeczno – Edukacyj</w:t>
      </w:r>
      <w:r w:rsidR="00663772" w:rsidRPr="00581E59">
        <w:rPr>
          <w:rFonts w:cs="Calibri"/>
          <w:sz w:val="20"/>
          <w:szCs w:val="20"/>
        </w:rPr>
        <w:t>nej (149</w:t>
      </w:r>
      <w:r w:rsidRPr="00581E59">
        <w:rPr>
          <w:rFonts w:cs="Calibri"/>
          <w:sz w:val="20"/>
          <w:szCs w:val="20"/>
        </w:rPr>
        <w:t>),</w:t>
      </w:r>
    </w:p>
    <w:p w:rsidR="00923560" w:rsidRPr="00581E59" w:rsidRDefault="00923560" w:rsidP="009C1D86">
      <w:pPr>
        <w:pStyle w:val="Akapitzlist"/>
        <w:numPr>
          <w:ilvl w:val="0"/>
          <w:numId w:val="687"/>
        </w:numPr>
        <w:shd w:val="clear" w:color="auto" w:fill="F2F2F2" w:themeFill="background1" w:themeFillShade="F2"/>
        <w:spacing w:after="0" w:line="240" w:lineRule="auto"/>
        <w:ind w:left="714" w:hanging="357"/>
        <w:contextualSpacing/>
        <w:jc w:val="both"/>
        <w:rPr>
          <w:rFonts w:cs="Calibri"/>
          <w:sz w:val="20"/>
          <w:szCs w:val="20"/>
        </w:rPr>
      </w:pPr>
      <w:r w:rsidRPr="00581E59">
        <w:rPr>
          <w:rFonts w:cs="Calibri"/>
          <w:sz w:val="20"/>
          <w:szCs w:val="20"/>
        </w:rPr>
        <w:t>Zielony kwartał KWK Rozbark – Centrum szkoleniowo–nocleg</w:t>
      </w:r>
      <w:r w:rsidR="00663772" w:rsidRPr="00581E59">
        <w:rPr>
          <w:rFonts w:cs="Calibri"/>
          <w:sz w:val="20"/>
          <w:szCs w:val="20"/>
        </w:rPr>
        <w:t>owe – Zielona Transformacja (150</w:t>
      </w:r>
      <w:r w:rsidRPr="00581E59">
        <w:rPr>
          <w:rFonts w:cs="Calibri"/>
          <w:sz w:val="20"/>
          <w:szCs w:val="20"/>
        </w:rPr>
        <w:t>),</w:t>
      </w:r>
    </w:p>
    <w:p w:rsidR="00923560" w:rsidRPr="00581E59" w:rsidRDefault="00923560" w:rsidP="009C1D86">
      <w:pPr>
        <w:pStyle w:val="Akapitzlist"/>
        <w:numPr>
          <w:ilvl w:val="0"/>
          <w:numId w:val="687"/>
        </w:numPr>
        <w:shd w:val="clear" w:color="auto" w:fill="F2F2F2" w:themeFill="background1" w:themeFillShade="F2"/>
        <w:spacing w:after="0" w:line="240" w:lineRule="auto"/>
        <w:ind w:left="714" w:hanging="357"/>
        <w:contextualSpacing/>
        <w:jc w:val="both"/>
        <w:rPr>
          <w:rFonts w:cs="Calibri"/>
          <w:sz w:val="20"/>
          <w:szCs w:val="20"/>
        </w:rPr>
      </w:pPr>
      <w:r w:rsidRPr="00581E59">
        <w:rPr>
          <w:rFonts w:cs="Calibri"/>
          <w:sz w:val="20"/>
          <w:szCs w:val="20"/>
        </w:rPr>
        <w:t>Zielony kwartał KWK Rozbark – Edu</w:t>
      </w:r>
      <w:r w:rsidR="00663772" w:rsidRPr="00581E59">
        <w:rPr>
          <w:rFonts w:cs="Calibri"/>
          <w:sz w:val="20"/>
          <w:szCs w:val="20"/>
        </w:rPr>
        <w:t>kacja Zielona Transformacja (151</w:t>
      </w:r>
      <w:r w:rsidRPr="00581E59">
        <w:rPr>
          <w:rFonts w:cs="Calibri"/>
          <w:sz w:val="20"/>
          <w:szCs w:val="20"/>
        </w:rPr>
        <w:t>),</w:t>
      </w:r>
    </w:p>
    <w:p w:rsidR="00923560" w:rsidRPr="00581E59" w:rsidRDefault="00923560" w:rsidP="009C1D86">
      <w:pPr>
        <w:pStyle w:val="Akapitzlist"/>
        <w:numPr>
          <w:ilvl w:val="0"/>
          <w:numId w:val="687"/>
        </w:numPr>
        <w:shd w:val="clear" w:color="auto" w:fill="F2F2F2" w:themeFill="background1" w:themeFillShade="F2"/>
        <w:spacing w:after="0" w:line="240" w:lineRule="auto"/>
        <w:ind w:left="714" w:hanging="357"/>
        <w:contextualSpacing/>
        <w:jc w:val="both"/>
        <w:rPr>
          <w:rFonts w:cs="Calibri"/>
          <w:sz w:val="20"/>
          <w:szCs w:val="20"/>
        </w:rPr>
      </w:pPr>
      <w:r w:rsidRPr="00581E59">
        <w:rPr>
          <w:rFonts w:cs="Calibri"/>
          <w:sz w:val="20"/>
          <w:szCs w:val="20"/>
        </w:rPr>
        <w:t>Zielony kwartał KWK Rozbark – Centrum Tr</w:t>
      </w:r>
      <w:r w:rsidR="00663772" w:rsidRPr="00581E59">
        <w:rPr>
          <w:rFonts w:cs="Calibri"/>
          <w:sz w:val="20"/>
          <w:szCs w:val="20"/>
        </w:rPr>
        <w:t>ansformacji Energetycznej I (152</w:t>
      </w:r>
      <w:r w:rsidRPr="00581E59">
        <w:rPr>
          <w:rFonts w:cs="Calibri"/>
          <w:sz w:val="20"/>
          <w:szCs w:val="20"/>
        </w:rPr>
        <w:t>),</w:t>
      </w:r>
    </w:p>
    <w:p w:rsidR="00CA6225" w:rsidRPr="00581E59" w:rsidRDefault="00923560" w:rsidP="00CA6225">
      <w:pPr>
        <w:pStyle w:val="Akapitzlist"/>
        <w:numPr>
          <w:ilvl w:val="0"/>
          <w:numId w:val="687"/>
        </w:numPr>
        <w:shd w:val="clear" w:color="auto" w:fill="F2F2F2" w:themeFill="background1" w:themeFillShade="F2"/>
        <w:spacing w:after="0" w:line="240" w:lineRule="auto"/>
        <w:ind w:left="714" w:hanging="357"/>
        <w:contextualSpacing/>
        <w:jc w:val="both"/>
        <w:rPr>
          <w:rFonts w:cs="Calibri"/>
          <w:sz w:val="20"/>
          <w:szCs w:val="20"/>
        </w:rPr>
      </w:pPr>
      <w:r w:rsidRPr="00581E59">
        <w:rPr>
          <w:rFonts w:cs="Calibri"/>
          <w:sz w:val="20"/>
          <w:szCs w:val="20"/>
        </w:rPr>
        <w:t>Zielony kwartał KWK Rozbark – Centrum Tra</w:t>
      </w:r>
      <w:r w:rsidR="00663772" w:rsidRPr="00581E59">
        <w:rPr>
          <w:rFonts w:cs="Calibri"/>
          <w:sz w:val="20"/>
          <w:szCs w:val="20"/>
        </w:rPr>
        <w:t>nsformacji Energetycznej II (153</w:t>
      </w:r>
      <w:r w:rsidR="00CA6225" w:rsidRPr="00581E59">
        <w:rPr>
          <w:rFonts w:cs="Calibri"/>
          <w:sz w:val="20"/>
          <w:szCs w:val="20"/>
        </w:rPr>
        <w:t>).</w:t>
      </w:r>
    </w:p>
    <w:p w:rsidR="00CA6225" w:rsidRDefault="00CA6225" w:rsidP="00C832AD">
      <w:pPr>
        <w:pStyle w:val="Default"/>
        <w:jc w:val="both"/>
        <w:rPr>
          <w:b/>
          <w:bCs/>
          <w:color w:val="auto"/>
          <w:sz w:val="20"/>
          <w:szCs w:val="20"/>
        </w:rPr>
      </w:pPr>
    </w:p>
    <w:p w:rsidR="006239E2" w:rsidRPr="00C832AD" w:rsidRDefault="006239E2" w:rsidP="00C832AD">
      <w:pPr>
        <w:pStyle w:val="Default"/>
        <w:jc w:val="both"/>
        <w:rPr>
          <w:sz w:val="20"/>
          <w:szCs w:val="20"/>
        </w:rPr>
      </w:pPr>
      <w:r w:rsidRPr="00C832AD">
        <w:rPr>
          <w:b/>
          <w:bCs/>
          <w:color w:val="auto"/>
          <w:sz w:val="20"/>
          <w:szCs w:val="20"/>
        </w:rPr>
        <w:t>Cel Operacyjny 4.2 Przywrócona wartość obiektów historycznych, kulturowych, krajobrazowo-przyrodniczych przyczyniająca się do wzmacniania tożsamości społeczności lokalnych – projekty:</w:t>
      </w:r>
    </w:p>
    <w:p w:rsidR="006239E2" w:rsidRPr="00C832AD" w:rsidRDefault="006239E2" w:rsidP="00C832AD">
      <w:pPr>
        <w:pStyle w:val="Default"/>
        <w:numPr>
          <w:ilvl w:val="0"/>
          <w:numId w:val="687"/>
        </w:numPr>
        <w:jc w:val="both"/>
        <w:rPr>
          <w:color w:val="auto"/>
          <w:sz w:val="20"/>
          <w:szCs w:val="20"/>
        </w:rPr>
      </w:pPr>
      <w:r w:rsidRPr="00C832AD">
        <w:rPr>
          <w:color w:val="auto"/>
          <w:sz w:val="20"/>
          <w:szCs w:val="20"/>
        </w:rPr>
        <w:t xml:space="preserve">Bytomski Inkubator Społeczny ROZBANA - Aktywne Zatrudnienie 7.1.3 (8), </w:t>
      </w:r>
    </w:p>
    <w:p w:rsidR="006239E2" w:rsidRPr="00C832AD" w:rsidRDefault="006239E2" w:rsidP="00C832AD">
      <w:pPr>
        <w:pStyle w:val="Default"/>
        <w:numPr>
          <w:ilvl w:val="0"/>
          <w:numId w:val="687"/>
        </w:numPr>
        <w:jc w:val="both"/>
        <w:rPr>
          <w:color w:val="auto"/>
          <w:sz w:val="20"/>
          <w:szCs w:val="20"/>
        </w:rPr>
      </w:pPr>
      <w:r w:rsidRPr="00C832AD">
        <w:rPr>
          <w:color w:val="auto"/>
          <w:sz w:val="20"/>
          <w:szCs w:val="20"/>
        </w:rPr>
        <w:t xml:space="preserve">Bytomski Inkubator Społeczny ROZBANA - Promocja zatrudnienia 7.3.3 (16), </w:t>
      </w:r>
    </w:p>
    <w:p w:rsidR="006239E2" w:rsidRPr="00C832AD" w:rsidRDefault="006239E2" w:rsidP="00C832AD">
      <w:pPr>
        <w:pStyle w:val="Default"/>
        <w:numPr>
          <w:ilvl w:val="0"/>
          <w:numId w:val="687"/>
        </w:numPr>
        <w:jc w:val="both"/>
        <w:rPr>
          <w:color w:val="auto"/>
          <w:sz w:val="20"/>
          <w:szCs w:val="20"/>
        </w:rPr>
      </w:pPr>
      <w:r w:rsidRPr="00C832AD">
        <w:rPr>
          <w:color w:val="auto"/>
          <w:sz w:val="20"/>
          <w:szCs w:val="20"/>
        </w:rPr>
        <w:t>Bytomski Inkubator Społeczny ROZBANA - Outplacement 7.4.2 (19),</w:t>
      </w:r>
    </w:p>
    <w:p w:rsidR="006239E2" w:rsidRPr="00C832AD" w:rsidRDefault="006239E2" w:rsidP="00DD20DC">
      <w:pPr>
        <w:pStyle w:val="Akapitzlist"/>
        <w:numPr>
          <w:ilvl w:val="0"/>
          <w:numId w:val="687"/>
        </w:numPr>
        <w:spacing w:after="0" w:line="240" w:lineRule="auto"/>
        <w:contextualSpacing/>
        <w:jc w:val="both"/>
        <w:rPr>
          <w:rFonts w:cs="Calibri"/>
          <w:sz w:val="20"/>
          <w:szCs w:val="20"/>
        </w:rPr>
      </w:pPr>
      <w:r w:rsidRPr="00C832AD">
        <w:rPr>
          <w:rFonts w:cs="Calibri"/>
          <w:sz w:val="20"/>
          <w:szCs w:val="20"/>
        </w:rPr>
        <w:t>Bytomski Inkubator Społeczny ROZBANA - Opiekunka 8.1.3 (22),</w:t>
      </w:r>
    </w:p>
    <w:p w:rsidR="006239E2" w:rsidRPr="00C832AD" w:rsidRDefault="006239E2" w:rsidP="00C832AD">
      <w:pPr>
        <w:pStyle w:val="Akapitzlist"/>
        <w:numPr>
          <w:ilvl w:val="0"/>
          <w:numId w:val="687"/>
        </w:numPr>
        <w:spacing w:after="0" w:line="240" w:lineRule="auto"/>
        <w:contextualSpacing/>
        <w:jc w:val="both"/>
        <w:rPr>
          <w:rFonts w:cs="Calibri"/>
          <w:sz w:val="20"/>
          <w:szCs w:val="20"/>
        </w:rPr>
      </w:pPr>
      <w:r w:rsidRPr="00C832AD">
        <w:rPr>
          <w:rFonts w:cs="Calibri"/>
          <w:sz w:val="20"/>
          <w:szCs w:val="20"/>
        </w:rPr>
        <w:t>Bytomski Inkubator Społeczny ROZBANA - Integracja 9.1.3 (47),</w:t>
      </w:r>
    </w:p>
    <w:p w:rsidR="006239E2" w:rsidRPr="00C832AD" w:rsidRDefault="006239E2" w:rsidP="00C832AD">
      <w:pPr>
        <w:pStyle w:val="Akapitzlist"/>
        <w:numPr>
          <w:ilvl w:val="0"/>
          <w:numId w:val="687"/>
        </w:numPr>
        <w:spacing w:after="0" w:line="240" w:lineRule="auto"/>
        <w:contextualSpacing/>
        <w:jc w:val="both"/>
        <w:rPr>
          <w:rFonts w:cs="Calibri"/>
          <w:sz w:val="20"/>
          <w:szCs w:val="20"/>
        </w:rPr>
      </w:pPr>
      <w:r w:rsidRPr="00C832AD">
        <w:rPr>
          <w:sz w:val="20"/>
          <w:szCs w:val="20"/>
        </w:rPr>
        <w:t>Bytomski Inkubator Społeczny ROZBANA - Usługowa 9.2.3 (71),</w:t>
      </w:r>
    </w:p>
    <w:p w:rsidR="006239E2" w:rsidRPr="00C832AD" w:rsidRDefault="006239E2" w:rsidP="00DD20DC">
      <w:pPr>
        <w:pStyle w:val="Akapitzlist"/>
        <w:numPr>
          <w:ilvl w:val="0"/>
          <w:numId w:val="687"/>
        </w:numPr>
        <w:spacing w:after="0" w:line="240" w:lineRule="auto"/>
        <w:contextualSpacing/>
        <w:jc w:val="both"/>
        <w:rPr>
          <w:rFonts w:cs="Calibri"/>
          <w:sz w:val="20"/>
          <w:szCs w:val="20"/>
        </w:rPr>
      </w:pPr>
      <w:r w:rsidRPr="00C832AD">
        <w:rPr>
          <w:rFonts w:cs="Calibri"/>
          <w:sz w:val="20"/>
          <w:szCs w:val="20"/>
        </w:rPr>
        <w:t>Bytomski Inkubator Społeczny ROZBANA - Rozwojowa 11.1.4 (78),</w:t>
      </w:r>
    </w:p>
    <w:p w:rsidR="006239E2" w:rsidRPr="00C832AD" w:rsidRDefault="006239E2" w:rsidP="00C832AD">
      <w:pPr>
        <w:pStyle w:val="Default"/>
        <w:numPr>
          <w:ilvl w:val="0"/>
          <w:numId w:val="687"/>
        </w:numPr>
        <w:jc w:val="both"/>
        <w:rPr>
          <w:color w:val="auto"/>
          <w:sz w:val="20"/>
          <w:szCs w:val="20"/>
        </w:rPr>
      </w:pPr>
      <w:r w:rsidRPr="00C832AD">
        <w:rPr>
          <w:color w:val="auto"/>
          <w:sz w:val="20"/>
          <w:szCs w:val="20"/>
        </w:rPr>
        <w:t xml:space="preserve">Renowacja zabytkowego kościoła św. Wojciecha w Bytomiu (93), </w:t>
      </w:r>
    </w:p>
    <w:p w:rsidR="006239E2" w:rsidRPr="00C832AD" w:rsidRDefault="006239E2" w:rsidP="00DD20DC">
      <w:pPr>
        <w:pStyle w:val="Akapitzlist"/>
        <w:numPr>
          <w:ilvl w:val="0"/>
          <w:numId w:val="687"/>
        </w:numPr>
        <w:spacing w:after="0" w:line="240" w:lineRule="auto"/>
        <w:contextualSpacing/>
        <w:jc w:val="both"/>
        <w:rPr>
          <w:rFonts w:cs="Calibri"/>
          <w:sz w:val="20"/>
          <w:szCs w:val="20"/>
        </w:rPr>
      </w:pPr>
      <w:r w:rsidRPr="00C832AD">
        <w:rPr>
          <w:sz w:val="20"/>
          <w:szCs w:val="20"/>
        </w:rPr>
        <w:t>Remont budynku kościoła p.w. Świętej Trójcy w Bytomiu (94),</w:t>
      </w:r>
    </w:p>
    <w:p w:rsidR="006239E2" w:rsidRPr="00C832AD" w:rsidRDefault="006239E2" w:rsidP="00DD20DC">
      <w:pPr>
        <w:pStyle w:val="Default"/>
        <w:numPr>
          <w:ilvl w:val="0"/>
          <w:numId w:val="687"/>
        </w:numPr>
        <w:jc w:val="both"/>
        <w:rPr>
          <w:color w:val="auto"/>
          <w:sz w:val="20"/>
          <w:szCs w:val="20"/>
        </w:rPr>
      </w:pPr>
      <w:r w:rsidRPr="00C832AD">
        <w:rPr>
          <w:color w:val="auto"/>
          <w:sz w:val="20"/>
          <w:szCs w:val="20"/>
        </w:rPr>
        <w:t xml:space="preserve">Prace renowacyjne przy kościele parafialnym p.w. Wniebowzięcia NMP w Bytomiu (95), </w:t>
      </w:r>
    </w:p>
    <w:p w:rsidR="006239E2" w:rsidRPr="00C832AD" w:rsidRDefault="006239E2" w:rsidP="00DD20DC">
      <w:pPr>
        <w:pStyle w:val="Default"/>
        <w:numPr>
          <w:ilvl w:val="0"/>
          <w:numId w:val="687"/>
        </w:numPr>
        <w:jc w:val="both"/>
        <w:rPr>
          <w:color w:val="auto"/>
          <w:sz w:val="20"/>
          <w:szCs w:val="20"/>
        </w:rPr>
      </w:pPr>
      <w:r w:rsidRPr="00C832AD">
        <w:rPr>
          <w:color w:val="auto"/>
          <w:sz w:val="20"/>
          <w:szCs w:val="20"/>
        </w:rPr>
        <w:t xml:space="preserve">Prace remontowe przy kościele filialnym p.w. Ducha Św. (96), </w:t>
      </w:r>
    </w:p>
    <w:p w:rsidR="006239E2" w:rsidRPr="00C832AD" w:rsidRDefault="006239E2" w:rsidP="00C832AD">
      <w:pPr>
        <w:pStyle w:val="Default"/>
        <w:numPr>
          <w:ilvl w:val="0"/>
          <w:numId w:val="687"/>
        </w:numPr>
        <w:jc w:val="both"/>
        <w:rPr>
          <w:color w:val="auto"/>
          <w:sz w:val="20"/>
          <w:szCs w:val="20"/>
        </w:rPr>
      </w:pPr>
      <w:r w:rsidRPr="00C832AD">
        <w:rPr>
          <w:color w:val="auto"/>
          <w:sz w:val="20"/>
          <w:szCs w:val="20"/>
        </w:rPr>
        <w:t>Renowacja budynku i pomieszczeń Młodzieżowego Domu Kultury Nr 1 w Bytomiu (99),</w:t>
      </w:r>
    </w:p>
    <w:p w:rsidR="006239E2" w:rsidRPr="00C832AD" w:rsidRDefault="006239E2" w:rsidP="00DD20DC">
      <w:pPr>
        <w:pStyle w:val="Akapitzlist"/>
        <w:numPr>
          <w:ilvl w:val="0"/>
          <w:numId w:val="687"/>
        </w:numPr>
        <w:spacing w:after="0" w:line="240" w:lineRule="auto"/>
        <w:contextualSpacing/>
        <w:jc w:val="both"/>
        <w:rPr>
          <w:rFonts w:cs="Calibri"/>
          <w:sz w:val="20"/>
          <w:szCs w:val="20"/>
        </w:rPr>
      </w:pPr>
      <w:r w:rsidRPr="00C832AD">
        <w:rPr>
          <w:sz w:val="20"/>
          <w:szCs w:val="20"/>
        </w:rPr>
        <w:t>Rewitalizacja obiektów na potrzeby Centrum Integracji Aktywnej (107),</w:t>
      </w:r>
    </w:p>
    <w:p w:rsidR="006239E2" w:rsidRPr="00C832AD" w:rsidRDefault="006239E2" w:rsidP="00C832AD">
      <w:pPr>
        <w:pStyle w:val="Akapitzlist"/>
        <w:numPr>
          <w:ilvl w:val="0"/>
          <w:numId w:val="687"/>
        </w:numPr>
        <w:spacing w:after="0" w:line="240" w:lineRule="auto"/>
        <w:contextualSpacing/>
        <w:jc w:val="both"/>
        <w:rPr>
          <w:rFonts w:cs="Calibri"/>
          <w:sz w:val="20"/>
          <w:szCs w:val="20"/>
        </w:rPr>
      </w:pPr>
      <w:r w:rsidRPr="00C832AD">
        <w:rPr>
          <w:sz w:val="20"/>
          <w:szCs w:val="20"/>
        </w:rPr>
        <w:t>Remont konserwatorski elewacji budynku plebani kościoła p.w. Św. Trójcy w Bytomiu zlokalizowanego przy ul. Kwietniewskiego 1 (111),</w:t>
      </w:r>
    </w:p>
    <w:p w:rsidR="006239E2" w:rsidRPr="00C832AD" w:rsidRDefault="006239E2" w:rsidP="00C832AD">
      <w:pPr>
        <w:pStyle w:val="Akapitzlist"/>
        <w:numPr>
          <w:ilvl w:val="0"/>
          <w:numId w:val="687"/>
        </w:numPr>
        <w:spacing w:after="0" w:line="240" w:lineRule="auto"/>
        <w:contextualSpacing/>
        <w:jc w:val="both"/>
        <w:rPr>
          <w:rFonts w:cs="Calibri"/>
          <w:sz w:val="20"/>
          <w:szCs w:val="20"/>
        </w:rPr>
      </w:pPr>
      <w:r w:rsidRPr="00C832AD">
        <w:rPr>
          <w:sz w:val="20"/>
          <w:szCs w:val="20"/>
        </w:rPr>
        <w:t>Rewitalizacja starego domu katechetycznego przy ul. ks. Koziołka 3 (112),</w:t>
      </w:r>
    </w:p>
    <w:p w:rsidR="006239E2" w:rsidRPr="00C832AD" w:rsidRDefault="006239E2" w:rsidP="00DD20DC">
      <w:pPr>
        <w:pStyle w:val="Akapitzlist"/>
        <w:numPr>
          <w:ilvl w:val="0"/>
          <w:numId w:val="687"/>
        </w:numPr>
        <w:spacing w:after="0" w:line="240" w:lineRule="auto"/>
        <w:contextualSpacing/>
        <w:jc w:val="both"/>
        <w:rPr>
          <w:rFonts w:cs="Calibri"/>
          <w:sz w:val="20"/>
          <w:szCs w:val="20"/>
        </w:rPr>
      </w:pPr>
      <w:r w:rsidRPr="00C832AD">
        <w:rPr>
          <w:rFonts w:cs="Calibri"/>
          <w:sz w:val="20"/>
          <w:szCs w:val="20"/>
        </w:rPr>
        <w:t>Rewitalizacja obiektów po byłym zakładzie naprawczym zabytkowej Górnośląskiej Kolei Wąskotorowej w Bytomiu (117),</w:t>
      </w:r>
    </w:p>
    <w:p w:rsidR="00923560" w:rsidRPr="00991775" w:rsidRDefault="00923560" w:rsidP="009C1D86">
      <w:pPr>
        <w:pStyle w:val="Akapitzlist"/>
        <w:numPr>
          <w:ilvl w:val="0"/>
          <w:numId w:val="687"/>
        </w:numPr>
        <w:shd w:val="clear" w:color="auto" w:fill="F2F2F2" w:themeFill="background1" w:themeFillShade="F2"/>
        <w:spacing w:after="0" w:line="240" w:lineRule="auto"/>
        <w:contextualSpacing/>
        <w:jc w:val="both"/>
        <w:rPr>
          <w:rFonts w:cs="Calibri"/>
          <w:sz w:val="20"/>
          <w:szCs w:val="20"/>
        </w:rPr>
      </w:pPr>
      <w:r w:rsidRPr="00991775">
        <w:rPr>
          <w:rFonts w:cs="Calibri"/>
          <w:sz w:val="20"/>
          <w:szCs w:val="20"/>
        </w:rPr>
        <w:t>Rewitalizacja auli wraz z galerią z pomieszczeniami przylegającymi w IV Liceum Ogólnokształcącym im. Bolesława Chrobrego. Utworzenie Muzeum Szkoły (128),</w:t>
      </w:r>
    </w:p>
    <w:p w:rsidR="00923560" w:rsidRPr="00991775" w:rsidRDefault="00923560" w:rsidP="009C1D86">
      <w:pPr>
        <w:pStyle w:val="Akapitzlist"/>
        <w:numPr>
          <w:ilvl w:val="0"/>
          <w:numId w:val="687"/>
        </w:numPr>
        <w:shd w:val="clear" w:color="auto" w:fill="F2F2F2" w:themeFill="background1" w:themeFillShade="F2"/>
        <w:spacing w:after="0" w:line="240" w:lineRule="auto"/>
        <w:contextualSpacing/>
        <w:jc w:val="both"/>
        <w:rPr>
          <w:rFonts w:cs="Calibri"/>
          <w:sz w:val="20"/>
          <w:szCs w:val="20"/>
        </w:rPr>
      </w:pPr>
      <w:r w:rsidRPr="00991775">
        <w:rPr>
          <w:sz w:val="20"/>
          <w:szCs w:val="20"/>
        </w:rPr>
        <w:t>Remont oraz czyszczenie elewacji IV Liceum Ogólnokształcącego im. Bolesława Chrobrego (129),</w:t>
      </w:r>
    </w:p>
    <w:p w:rsidR="00923560" w:rsidRPr="00991775" w:rsidRDefault="00923560" w:rsidP="009C1D86">
      <w:pPr>
        <w:pStyle w:val="Akapitzlist"/>
        <w:numPr>
          <w:ilvl w:val="0"/>
          <w:numId w:val="687"/>
        </w:numPr>
        <w:shd w:val="clear" w:color="auto" w:fill="F2F2F2" w:themeFill="background1" w:themeFillShade="F2"/>
        <w:spacing w:after="0" w:line="240" w:lineRule="auto"/>
        <w:contextualSpacing/>
        <w:jc w:val="both"/>
        <w:rPr>
          <w:rFonts w:cs="Calibri"/>
          <w:sz w:val="20"/>
          <w:szCs w:val="20"/>
        </w:rPr>
      </w:pPr>
      <w:r w:rsidRPr="00991775">
        <w:rPr>
          <w:rFonts w:cs="Calibri"/>
          <w:sz w:val="20"/>
          <w:szCs w:val="20"/>
        </w:rPr>
        <w:t>Rewitalizacja zabytkowego budynku Muzeum Górnośląskiego w Bytomiu przy ul. Korfantego 34 (130),</w:t>
      </w:r>
    </w:p>
    <w:p w:rsidR="00923560" w:rsidRPr="00991775" w:rsidRDefault="00923560" w:rsidP="009C1D86">
      <w:pPr>
        <w:pStyle w:val="Akapitzlist"/>
        <w:numPr>
          <w:ilvl w:val="0"/>
          <w:numId w:val="687"/>
        </w:numPr>
        <w:shd w:val="clear" w:color="auto" w:fill="F2F2F2" w:themeFill="background1" w:themeFillShade="F2"/>
        <w:spacing w:after="0" w:line="240" w:lineRule="auto"/>
        <w:contextualSpacing/>
        <w:jc w:val="both"/>
        <w:rPr>
          <w:rFonts w:cs="Calibri"/>
          <w:sz w:val="20"/>
          <w:szCs w:val="20"/>
        </w:rPr>
      </w:pPr>
      <w:r w:rsidRPr="00991775">
        <w:rPr>
          <w:rFonts w:cs="Calibri"/>
          <w:sz w:val="20"/>
          <w:szCs w:val="20"/>
        </w:rPr>
        <w:t>Remont i poprawa stanu technicznego budynku Bytomskiego Centrum Kultury oraz zakup wyposażenia (131),</w:t>
      </w:r>
    </w:p>
    <w:p w:rsidR="00923560" w:rsidRPr="00991775" w:rsidRDefault="00923560" w:rsidP="009C1D86">
      <w:pPr>
        <w:pStyle w:val="Akapitzlist"/>
        <w:numPr>
          <w:ilvl w:val="0"/>
          <w:numId w:val="687"/>
        </w:numPr>
        <w:shd w:val="clear" w:color="auto" w:fill="F2F2F2" w:themeFill="background1" w:themeFillShade="F2"/>
        <w:spacing w:after="0" w:line="240" w:lineRule="auto"/>
        <w:contextualSpacing/>
        <w:jc w:val="both"/>
        <w:rPr>
          <w:rFonts w:cs="Calibri"/>
          <w:sz w:val="20"/>
          <w:szCs w:val="20"/>
        </w:rPr>
      </w:pPr>
      <w:r w:rsidRPr="00991775">
        <w:rPr>
          <w:rFonts w:cs="Calibri"/>
          <w:sz w:val="20"/>
          <w:szCs w:val="20"/>
        </w:rPr>
        <w:t>Rewitalizacja budynku Poczty Głównej w Bytomiu na cele społeczne (132),</w:t>
      </w:r>
    </w:p>
    <w:p w:rsidR="00B66AB0" w:rsidRPr="00B66AB0" w:rsidRDefault="00B66AB0" w:rsidP="00B66AB0">
      <w:pPr>
        <w:pStyle w:val="Akapitzlist"/>
        <w:numPr>
          <w:ilvl w:val="0"/>
          <w:numId w:val="687"/>
        </w:numPr>
        <w:spacing w:after="0" w:line="240" w:lineRule="auto"/>
        <w:contextualSpacing/>
        <w:jc w:val="both"/>
        <w:rPr>
          <w:rFonts w:cs="Calibri"/>
          <w:color w:val="FF0000"/>
          <w:sz w:val="20"/>
          <w:szCs w:val="20"/>
          <w:highlight w:val="lightGray"/>
        </w:rPr>
        <w:sectPr w:rsidR="00B66AB0" w:rsidRPr="00B66AB0" w:rsidSect="0055039E">
          <w:footnotePr>
            <w:pos w:val="beneathText"/>
          </w:footnotePr>
          <w:pgSz w:w="11906" w:h="16838"/>
          <w:pgMar w:top="1418" w:right="1418" w:bottom="1418" w:left="1418" w:header="708" w:footer="708" w:gutter="0"/>
          <w:cols w:space="708"/>
          <w:docGrid w:linePitch="600" w:charSpace="32768"/>
        </w:sectPr>
      </w:pPr>
    </w:p>
    <w:p w:rsidR="006239E2" w:rsidRPr="00C832AD" w:rsidRDefault="006239E2" w:rsidP="00DD20DC">
      <w:pPr>
        <w:pStyle w:val="Default"/>
        <w:numPr>
          <w:ilvl w:val="0"/>
          <w:numId w:val="687"/>
        </w:numPr>
        <w:jc w:val="both"/>
        <w:rPr>
          <w:color w:val="auto"/>
          <w:sz w:val="20"/>
          <w:szCs w:val="20"/>
        </w:rPr>
      </w:pPr>
      <w:r w:rsidRPr="00C832AD">
        <w:rPr>
          <w:color w:val="auto"/>
          <w:sz w:val="20"/>
          <w:szCs w:val="20"/>
        </w:rPr>
        <w:t>Uratowanie przed rozbiórką i rewitalizacja zespołu dawnej kopalni „Rozbark” wpisanej do rejestru zabytków nieruchomych województwa śląskiego poprzez utworzenie unikatowego w skali kraju centrum sportów wspinaczkowych i siłowych w Bytomiu przy ul. Chorzowskiej (119),</w:t>
      </w:r>
    </w:p>
    <w:p w:rsidR="00923560" w:rsidRPr="00CA6225" w:rsidRDefault="006239E2" w:rsidP="00CA6225">
      <w:pPr>
        <w:pStyle w:val="Akapitzlist"/>
        <w:numPr>
          <w:ilvl w:val="0"/>
          <w:numId w:val="687"/>
        </w:numPr>
        <w:spacing w:after="160" w:line="240" w:lineRule="auto"/>
        <w:contextualSpacing/>
        <w:jc w:val="both"/>
        <w:rPr>
          <w:rFonts w:cs="Calibri"/>
          <w:sz w:val="20"/>
          <w:szCs w:val="20"/>
        </w:rPr>
      </w:pPr>
      <w:r w:rsidRPr="00C832AD">
        <w:rPr>
          <w:sz w:val="20"/>
          <w:szCs w:val="20"/>
        </w:rPr>
        <w:t>Kompleksowa rewitalizacja złożona ze stref seniora, aktywizacji młodych, dla najmłodszych, zieleni, Inkubator Przedsiębiorczości z ukierunkowaniem na świadczenie usług dla osób starszych, poradnia zdrowia psychicznego wraz z ośrodkiem ter</w:t>
      </w:r>
      <w:r w:rsidR="00FF5341">
        <w:rPr>
          <w:sz w:val="20"/>
          <w:szCs w:val="20"/>
        </w:rPr>
        <w:t>apii uzależnień, współuzależnień</w:t>
      </w:r>
      <w:r w:rsidRPr="00C832AD">
        <w:rPr>
          <w:sz w:val="20"/>
          <w:szCs w:val="20"/>
        </w:rPr>
        <w:t xml:space="preserve"> i profila</w:t>
      </w:r>
      <w:r w:rsidR="00CA6225">
        <w:rPr>
          <w:sz w:val="20"/>
          <w:szCs w:val="20"/>
        </w:rPr>
        <w:t>ktyki (120).</w:t>
      </w:r>
    </w:p>
    <w:p w:rsidR="00CA6225" w:rsidRPr="00CA6225" w:rsidRDefault="00CA6225" w:rsidP="00CA6225">
      <w:pPr>
        <w:pStyle w:val="Akapitzlist"/>
        <w:spacing w:after="160" w:line="240" w:lineRule="auto"/>
        <w:contextualSpacing/>
        <w:jc w:val="both"/>
        <w:rPr>
          <w:rFonts w:cs="Calibri"/>
          <w:sz w:val="20"/>
          <w:szCs w:val="20"/>
        </w:rPr>
      </w:pPr>
    </w:p>
    <w:p w:rsidR="001C4A4E" w:rsidRPr="00C832AD" w:rsidRDefault="001C4A4E" w:rsidP="00ED2BA3">
      <w:pPr>
        <w:pStyle w:val="Akapitzlist"/>
        <w:numPr>
          <w:ilvl w:val="0"/>
          <w:numId w:val="687"/>
        </w:numPr>
        <w:spacing w:before="120" w:after="160" w:line="240" w:lineRule="auto"/>
        <w:ind w:left="714" w:hanging="357"/>
        <w:contextualSpacing/>
        <w:jc w:val="both"/>
        <w:rPr>
          <w:rFonts w:cs="Calibri"/>
          <w:sz w:val="20"/>
          <w:szCs w:val="20"/>
        </w:rPr>
      </w:pPr>
      <w:r w:rsidRPr="00C832AD">
        <w:rPr>
          <w:sz w:val="20"/>
          <w:szCs w:val="20"/>
        </w:rPr>
        <w:t>Dzięki udostępnieniu przestrzeni miejskiej w ramach działań inwestycyjnych – podwórka, CUS, pozostałe przestrzenie – możliwa będzie realizacja działań nieinwestycyjnych, które będą z jednej strony korzystać z otrzymanej w ramach projektów twardych infrastruktury, a także uzupełniać ją i</w:t>
      </w:r>
      <w:r w:rsidR="00B109B5">
        <w:rPr>
          <w:sz w:val="20"/>
          <w:szCs w:val="20"/>
        </w:rPr>
        <w:t> </w:t>
      </w:r>
      <w:r w:rsidR="00FE7F06">
        <w:rPr>
          <w:sz w:val="20"/>
          <w:szCs w:val="20"/>
        </w:rPr>
        <w:t>dopełniać z drugiej strony,</w:t>
      </w:r>
    </w:p>
    <w:p w:rsidR="001C4A4E" w:rsidRPr="00CA0ABB" w:rsidRDefault="001C4A4E" w:rsidP="00DD20DC">
      <w:pPr>
        <w:pStyle w:val="Akapitzlist"/>
        <w:numPr>
          <w:ilvl w:val="0"/>
          <w:numId w:val="687"/>
        </w:numPr>
        <w:spacing w:after="0" w:line="240" w:lineRule="auto"/>
        <w:contextualSpacing/>
        <w:jc w:val="both"/>
        <w:rPr>
          <w:rFonts w:cs="Calibri"/>
          <w:sz w:val="20"/>
          <w:szCs w:val="20"/>
        </w:rPr>
      </w:pPr>
      <w:r w:rsidRPr="00C832AD">
        <w:rPr>
          <w:sz w:val="20"/>
          <w:szCs w:val="20"/>
        </w:rPr>
        <w:t>Ponadto projekty inwestycyjne uzupełniać będą szereg projektów mających na celu pracę z</w:t>
      </w:r>
      <w:r w:rsidR="00B109B5">
        <w:rPr>
          <w:sz w:val="20"/>
          <w:szCs w:val="20"/>
        </w:rPr>
        <w:t> </w:t>
      </w:r>
      <w:r w:rsidRPr="00C832AD">
        <w:rPr>
          <w:sz w:val="20"/>
          <w:szCs w:val="20"/>
        </w:rPr>
        <w:t>mieszkańcami zagrożonymi wykluczeniem społecznym, ubóstwem, bezrobociem prowadzonych przez Miejski Ośrodek Pomocy Rodzinie, Powiatowy Urząd Pracy oraz organizacje pozarządowe. Interwencja inwestycyjna i nieinwestycyjna stworzą kompleksowe warunki do lepszego funkcjonowania mieszkańców, poczucia większej odpowiedzialności za swoje życie, za bl</w:t>
      </w:r>
      <w:r w:rsidR="009C02B6">
        <w:rPr>
          <w:sz w:val="20"/>
          <w:szCs w:val="20"/>
        </w:rPr>
        <w:t>iskich i za odnowione otoczenie.</w:t>
      </w:r>
    </w:p>
    <w:p w:rsidR="00CA0ABB" w:rsidRPr="00CA0ABB" w:rsidRDefault="00CA0ABB" w:rsidP="00CA0ABB">
      <w:pPr>
        <w:contextualSpacing/>
        <w:jc w:val="both"/>
        <w:rPr>
          <w:rFonts w:cs="Calibri"/>
          <w:szCs w:val="20"/>
        </w:rPr>
      </w:pPr>
    </w:p>
    <w:p w:rsidR="006239E2" w:rsidRPr="007A2B00" w:rsidRDefault="006239E2" w:rsidP="00C832AD">
      <w:pPr>
        <w:pStyle w:val="Default"/>
        <w:jc w:val="both"/>
        <w:rPr>
          <w:color w:val="auto"/>
          <w:sz w:val="20"/>
          <w:szCs w:val="20"/>
        </w:rPr>
      </w:pPr>
      <w:r w:rsidRPr="007A2B00">
        <w:rPr>
          <w:color w:val="auto"/>
          <w:sz w:val="20"/>
          <w:szCs w:val="20"/>
        </w:rPr>
        <w:t xml:space="preserve">Realizacja niektórych projektów społecznych wymienionych powyżej wymaga przygotowania niezbędnej infrastruktury związanej z: </w:t>
      </w:r>
    </w:p>
    <w:p w:rsidR="006239E2" w:rsidRPr="007A2B00" w:rsidRDefault="006239E2" w:rsidP="007A2B00">
      <w:pPr>
        <w:pStyle w:val="Default"/>
        <w:numPr>
          <w:ilvl w:val="0"/>
          <w:numId w:val="689"/>
        </w:numPr>
        <w:jc w:val="both"/>
        <w:rPr>
          <w:color w:val="auto"/>
          <w:sz w:val="20"/>
          <w:szCs w:val="20"/>
        </w:rPr>
      </w:pPr>
      <w:r w:rsidRPr="007A2B00">
        <w:rPr>
          <w:color w:val="auto"/>
          <w:sz w:val="20"/>
          <w:szCs w:val="20"/>
        </w:rPr>
        <w:t>lepszym dostępem do usług społecznych dla osób wykluczonych lub zagrożonych wykluczeniem, w</w:t>
      </w:r>
      <w:r w:rsidR="00B109B5">
        <w:rPr>
          <w:color w:val="auto"/>
          <w:sz w:val="20"/>
          <w:szCs w:val="20"/>
        </w:rPr>
        <w:t> </w:t>
      </w:r>
      <w:r w:rsidRPr="007A2B00">
        <w:rPr>
          <w:color w:val="auto"/>
          <w:sz w:val="20"/>
          <w:szCs w:val="20"/>
        </w:rPr>
        <w:t xml:space="preserve">tym: </w:t>
      </w:r>
    </w:p>
    <w:p w:rsidR="007A2B00" w:rsidRPr="007A2B00" w:rsidRDefault="006239E2" w:rsidP="007A2B00">
      <w:pPr>
        <w:pStyle w:val="Default"/>
        <w:numPr>
          <w:ilvl w:val="0"/>
          <w:numId w:val="691"/>
        </w:numPr>
        <w:jc w:val="both"/>
        <w:rPr>
          <w:color w:val="auto"/>
          <w:sz w:val="20"/>
          <w:szCs w:val="20"/>
        </w:rPr>
      </w:pPr>
      <w:r w:rsidRPr="007A2B00">
        <w:rPr>
          <w:color w:val="auto"/>
          <w:sz w:val="20"/>
          <w:szCs w:val="20"/>
        </w:rPr>
        <w:t xml:space="preserve">robót budowlanych w zdegradowanych budynkach w celu adaptacji ich na mieszkania socjalne, wspomagane i chronione, </w:t>
      </w:r>
    </w:p>
    <w:p w:rsidR="006239E2" w:rsidRPr="007A2B00" w:rsidRDefault="006239E2" w:rsidP="007A2B00">
      <w:pPr>
        <w:pStyle w:val="Default"/>
        <w:numPr>
          <w:ilvl w:val="0"/>
          <w:numId w:val="691"/>
        </w:numPr>
        <w:jc w:val="both"/>
        <w:rPr>
          <w:color w:val="auto"/>
          <w:sz w:val="20"/>
          <w:szCs w:val="20"/>
        </w:rPr>
      </w:pPr>
      <w:r w:rsidRPr="007A2B00">
        <w:rPr>
          <w:color w:val="auto"/>
          <w:sz w:val="20"/>
          <w:szCs w:val="20"/>
        </w:rPr>
        <w:t xml:space="preserve">robót budowlanych w zdegradowanych budynkach na potrzeby utworzenia centrów usług społecznych; </w:t>
      </w:r>
    </w:p>
    <w:p w:rsidR="006239E2" w:rsidRPr="007A2B00" w:rsidRDefault="006239E2" w:rsidP="007A2B00">
      <w:pPr>
        <w:pStyle w:val="Default"/>
        <w:numPr>
          <w:ilvl w:val="0"/>
          <w:numId w:val="689"/>
        </w:numPr>
        <w:jc w:val="both"/>
        <w:rPr>
          <w:color w:val="auto"/>
          <w:sz w:val="20"/>
          <w:szCs w:val="20"/>
        </w:rPr>
      </w:pPr>
      <w:r w:rsidRPr="007A2B00">
        <w:rPr>
          <w:color w:val="auto"/>
          <w:sz w:val="20"/>
          <w:szCs w:val="20"/>
        </w:rPr>
        <w:t>zwiększeniem aktywizacji społeczno-gospodarczej ludności zamieszkującej rewitalizowane tereny, w</w:t>
      </w:r>
      <w:r w:rsidR="00B109B5">
        <w:rPr>
          <w:color w:val="auto"/>
          <w:sz w:val="20"/>
          <w:szCs w:val="20"/>
        </w:rPr>
        <w:t> </w:t>
      </w:r>
      <w:r w:rsidRPr="007A2B00">
        <w:rPr>
          <w:color w:val="auto"/>
          <w:sz w:val="20"/>
          <w:szCs w:val="20"/>
        </w:rPr>
        <w:t xml:space="preserve">tym: </w:t>
      </w:r>
    </w:p>
    <w:p w:rsidR="006239E2" w:rsidRPr="007A2B00" w:rsidRDefault="006239E2" w:rsidP="007A2B00">
      <w:pPr>
        <w:pStyle w:val="Default"/>
        <w:numPr>
          <w:ilvl w:val="0"/>
          <w:numId w:val="692"/>
        </w:numPr>
        <w:jc w:val="both"/>
        <w:rPr>
          <w:color w:val="auto"/>
          <w:sz w:val="20"/>
          <w:szCs w:val="20"/>
        </w:rPr>
      </w:pPr>
      <w:r w:rsidRPr="007A2B00">
        <w:rPr>
          <w:color w:val="auto"/>
          <w:sz w:val="20"/>
          <w:szCs w:val="20"/>
        </w:rPr>
        <w:t xml:space="preserve">robót budowlanych w obiektach poprzemysłowych/powojskowych/popegeerowskich/ pokolejowych wraz z zagospodarowaniem przyległego otoczenia, </w:t>
      </w:r>
    </w:p>
    <w:p w:rsidR="006239E2" w:rsidRPr="007A2B00" w:rsidRDefault="006239E2" w:rsidP="007A2B00">
      <w:pPr>
        <w:pStyle w:val="Default"/>
        <w:numPr>
          <w:ilvl w:val="0"/>
          <w:numId w:val="692"/>
        </w:numPr>
        <w:jc w:val="both"/>
        <w:rPr>
          <w:color w:val="auto"/>
          <w:sz w:val="20"/>
          <w:szCs w:val="20"/>
        </w:rPr>
      </w:pPr>
      <w:r w:rsidRPr="007A2B00">
        <w:rPr>
          <w:color w:val="auto"/>
          <w:sz w:val="20"/>
          <w:szCs w:val="20"/>
        </w:rPr>
        <w:t>zagospodarowywanie przestrzeni miejskich, w tym roboty budowlane w obiektach wraz z</w:t>
      </w:r>
      <w:r w:rsidR="00B109B5">
        <w:rPr>
          <w:color w:val="auto"/>
          <w:sz w:val="20"/>
          <w:szCs w:val="20"/>
        </w:rPr>
        <w:t> </w:t>
      </w:r>
      <w:r w:rsidRPr="007A2B00">
        <w:rPr>
          <w:color w:val="auto"/>
          <w:sz w:val="20"/>
          <w:szCs w:val="20"/>
        </w:rPr>
        <w:t xml:space="preserve">zagospodarowaniem przyległego otoczenia, </w:t>
      </w:r>
    </w:p>
    <w:p w:rsidR="006239E2" w:rsidRPr="00C832AD" w:rsidRDefault="006239E2" w:rsidP="007A2B00">
      <w:pPr>
        <w:pStyle w:val="Default"/>
        <w:numPr>
          <w:ilvl w:val="0"/>
          <w:numId w:val="692"/>
        </w:numPr>
        <w:jc w:val="both"/>
        <w:rPr>
          <w:color w:val="auto"/>
          <w:sz w:val="20"/>
          <w:szCs w:val="20"/>
        </w:rPr>
      </w:pPr>
      <w:r w:rsidRPr="007A2B00">
        <w:rPr>
          <w:color w:val="auto"/>
          <w:sz w:val="20"/>
          <w:szCs w:val="20"/>
        </w:rPr>
        <w:t>robót budowlanych w zdegradowanych budynkach wraz z zagospodarowaniem przyległego otoczenia.</w:t>
      </w:r>
    </w:p>
    <w:p w:rsidR="006239E2" w:rsidRPr="00C832AD" w:rsidRDefault="006239E2" w:rsidP="00C832AD">
      <w:pPr>
        <w:pStyle w:val="Default"/>
        <w:jc w:val="both"/>
        <w:rPr>
          <w:b/>
          <w:bCs/>
          <w:color w:val="auto"/>
          <w:sz w:val="20"/>
          <w:szCs w:val="20"/>
        </w:rPr>
      </w:pPr>
    </w:p>
    <w:p w:rsidR="006239E2" w:rsidRPr="00C832AD" w:rsidRDefault="006239E2" w:rsidP="00C36416">
      <w:pPr>
        <w:pStyle w:val="Default"/>
        <w:numPr>
          <w:ilvl w:val="0"/>
          <w:numId w:val="693"/>
        </w:numPr>
        <w:jc w:val="both"/>
        <w:rPr>
          <w:color w:val="auto"/>
          <w:sz w:val="20"/>
          <w:szCs w:val="20"/>
        </w:rPr>
      </w:pPr>
      <w:r w:rsidRPr="00C832AD">
        <w:rPr>
          <w:color w:val="auto"/>
          <w:sz w:val="20"/>
          <w:szCs w:val="20"/>
        </w:rPr>
        <w:t xml:space="preserve">Program Terapii dla Młodzieży (102) - modernizacja budynku przy ul. Tarnogórskiej 3 w celu dostosowania pomieszczeń do prowadzenia terapii indywidualnej i grupowej dla młodzieży eksperymentującej lub uzależnionej od środków psychoaktywnych. </w:t>
      </w:r>
    </w:p>
    <w:p w:rsidR="006239E2" w:rsidRPr="00C832AD" w:rsidRDefault="006239E2" w:rsidP="00C36416">
      <w:pPr>
        <w:pStyle w:val="Default"/>
        <w:ind w:firstLine="708"/>
        <w:jc w:val="both"/>
        <w:rPr>
          <w:color w:val="auto"/>
          <w:sz w:val="20"/>
          <w:szCs w:val="20"/>
        </w:rPr>
      </w:pPr>
      <w:r w:rsidRPr="00C832AD">
        <w:rPr>
          <w:color w:val="auto"/>
          <w:sz w:val="20"/>
          <w:szCs w:val="20"/>
        </w:rPr>
        <w:t xml:space="preserve">Projekt korzystający z infrastruktury projektu: </w:t>
      </w:r>
    </w:p>
    <w:p w:rsidR="006239E2" w:rsidRPr="00C832AD" w:rsidRDefault="00FE7F06" w:rsidP="00C36416">
      <w:pPr>
        <w:pStyle w:val="Default"/>
        <w:numPr>
          <w:ilvl w:val="0"/>
          <w:numId w:val="695"/>
        </w:numPr>
        <w:jc w:val="both"/>
        <w:rPr>
          <w:color w:val="auto"/>
          <w:sz w:val="20"/>
          <w:szCs w:val="20"/>
        </w:rPr>
      </w:pPr>
      <w:r>
        <w:rPr>
          <w:color w:val="auto"/>
          <w:sz w:val="20"/>
          <w:szCs w:val="20"/>
        </w:rPr>
        <w:t>Lepszy Start (28).</w:t>
      </w:r>
    </w:p>
    <w:p w:rsidR="006239E2" w:rsidRPr="00C832AD" w:rsidRDefault="006239E2" w:rsidP="00C832AD">
      <w:pPr>
        <w:pStyle w:val="Default"/>
        <w:jc w:val="both"/>
        <w:rPr>
          <w:color w:val="auto"/>
          <w:sz w:val="20"/>
          <w:szCs w:val="20"/>
        </w:rPr>
      </w:pPr>
    </w:p>
    <w:p w:rsidR="006239E2" w:rsidRPr="00C832AD" w:rsidRDefault="006239E2" w:rsidP="00C36416">
      <w:pPr>
        <w:pStyle w:val="Default"/>
        <w:numPr>
          <w:ilvl w:val="0"/>
          <w:numId w:val="693"/>
        </w:numPr>
        <w:jc w:val="both"/>
        <w:rPr>
          <w:color w:val="auto"/>
          <w:sz w:val="20"/>
          <w:szCs w:val="20"/>
        </w:rPr>
      </w:pPr>
      <w:r w:rsidRPr="00C832AD">
        <w:rPr>
          <w:color w:val="auto"/>
          <w:sz w:val="20"/>
          <w:szCs w:val="20"/>
        </w:rPr>
        <w:t>Uruchomienie mieszkań chronionych z zapleczem treningowym dla mieszkańców DPS dla Dorosłych oraz osób przewlekle psychicznie chorych mieszkańców miasta Bytom (103) - utworzenie mieszkań treningowych z</w:t>
      </w:r>
      <w:r w:rsidR="00B109B5">
        <w:rPr>
          <w:color w:val="auto"/>
          <w:sz w:val="20"/>
          <w:szCs w:val="20"/>
        </w:rPr>
        <w:t> </w:t>
      </w:r>
      <w:r w:rsidRPr="00C832AD">
        <w:rPr>
          <w:color w:val="auto"/>
          <w:sz w:val="20"/>
          <w:szCs w:val="20"/>
        </w:rPr>
        <w:t xml:space="preserve">zapleczem treningowym przy ul. Dworcowej 7. </w:t>
      </w:r>
    </w:p>
    <w:p w:rsidR="006239E2" w:rsidRPr="00C832AD" w:rsidRDefault="006239E2" w:rsidP="00037385">
      <w:pPr>
        <w:pStyle w:val="Default"/>
        <w:ind w:firstLine="708"/>
        <w:jc w:val="both"/>
        <w:rPr>
          <w:color w:val="auto"/>
          <w:sz w:val="20"/>
          <w:szCs w:val="20"/>
        </w:rPr>
      </w:pPr>
      <w:r w:rsidRPr="00C832AD">
        <w:rPr>
          <w:color w:val="auto"/>
          <w:sz w:val="20"/>
          <w:szCs w:val="20"/>
        </w:rPr>
        <w:t xml:space="preserve">Projekt korzystający z infrastruktury projektu: </w:t>
      </w:r>
    </w:p>
    <w:p w:rsidR="006239E2" w:rsidRPr="00C832AD" w:rsidRDefault="006239E2" w:rsidP="00037385">
      <w:pPr>
        <w:pStyle w:val="Default"/>
        <w:numPr>
          <w:ilvl w:val="0"/>
          <w:numId w:val="695"/>
        </w:numPr>
        <w:jc w:val="both"/>
        <w:rPr>
          <w:color w:val="auto"/>
          <w:sz w:val="20"/>
          <w:szCs w:val="20"/>
        </w:rPr>
      </w:pPr>
      <w:r w:rsidRPr="00C832AD">
        <w:rPr>
          <w:color w:val="auto"/>
          <w:sz w:val="20"/>
          <w:szCs w:val="20"/>
        </w:rPr>
        <w:t>Kompleksowe, alternatywne i aktywizacyjne usługi terapeutyczne dla osób przewlekle psychicznie chorych - mieszkańców miasta Bytom, w tym mie</w:t>
      </w:r>
      <w:r w:rsidR="00FE7F06">
        <w:rPr>
          <w:color w:val="auto"/>
          <w:sz w:val="20"/>
          <w:szCs w:val="20"/>
        </w:rPr>
        <w:t>szkańców DPS dla Dorosłych (57).</w:t>
      </w:r>
      <w:r w:rsidRPr="00C832AD">
        <w:rPr>
          <w:color w:val="auto"/>
          <w:sz w:val="20"/>
          <w:szCs w:val="20"/>
        </w:rPr>
        <w:t xml:space="preserve"> </w:t>
      </w:r>
    </w:p>
    <w:p w:rsidR="006239E2" w:rsidRPr="00C832AD" w:rsidRDefault="006239E2" w:rsidP="00C832AD">
      <w:pPr>
        <w:pStyle w:val="Default"/>
        <w:jc w:val="both"/>
        <w:rPr>
          <w:color w:val="auto"/>
          <w:sz w:val="20"/>
          <w:szCs w:val="20"/>
        </w:rPr>
      </w:pPr>
    </w:p>
    <w:p w:rsidR="00037385" w:rsidRDefault="006239E2" w:rsidP="00C832AD">
      <w:pPr>
        <w:pStyle w:val="Default"/>
        <w:numPr>
          <w:ilvl w:val="0"/>
          <w:numId w:val="693"/>
        </w:numPr>
        <w:jc w:val="both"/>
        <w:rPr>
          <w:color w:val="auto"/>
          <w:sz w:val="20"/>
          <w:szCs w:val="20"/>
        </w:rPr>
      </w:pPr>
      <w:r w:rsidRPr="00C832AD">
        <w:rPr>
          <w:color w:val="auto"/>
          <w:sz w:val="20"/>
          <w:szCs w:val="20"/>
        </w:rPr>
        <w:t>Modernizacja budynków mieszkalnych wielorodzinnych celem adaptacji na lokale socjalne – uzyskanie 19 lokali przy ul. Żeromskieg</w:t>
      </w:r>
      <w:r w:rsidR="00C83DF4">
        <w:rPr>
          <w:color w:val="auto"/>
          <w:sz w:val="20"/>
          <w:szCs w:val="20"/>
        </w:rPr>
        <w:t>o 1 i Siemianowickiej 14 (101).</w:t>
      </w:r>
    </w:p>
    <w:p w:rsidR="00C83DF4" w:rsidRDefault="00C83DF4" w:rsidP="00C83DF4">
      <w:pPr>
        <w:pStyle w:val="Default"/>
        <w:ind w:left="720"/>
        <w:jc w:val="both"/>
        <w:rPr>
          <w:color w:val="auto"/>
          <w:sz w:val="20"/>
          <w:szCs w:val="20"/>
        </w:rPr>
      </w:pPr>
    </w:p>
    <w:p w:rsidR="006239E2" w:rsidRPr="00037385" w:rsidRDefault="006239E2" w:rsidP="00C832AD">
      <w:pPr>
        <w:pStyle w:val="Default"/>
        <w:numPr>
          <w:ilvl w:val="0"/>
          <w:numId w:val="693"/>
        </w:numPr>
        <w:jc w:val="both"/>
        <w:rPr>
          <w:color w:val="auto"/>
          <w:sz w:val="20"/>
          <w:szCs w:val="20"/>
        </w:rPr>
      </w:pPr>
      <w:r w:rsidRPr="00037385">
        <w:rPr>
          <w:color w:val="auto"/>
          <w:sz w:val="20"/>
          <w:szCs w:val="20"/>
        </w:rPr>
        <w:t>Utworzenie Centrum Usług Społecznych oraz lokali socjalnych, wspomaganych i chronionych w</w:t>
      </w:r>
      <w:r w:rsidR="00EA669B">
        <w:rPr>
          <w:color w:val="auto"/>
          <w:sz w:val="20"/>
          <w:szCs w:val="20"/>
        </w:rPr>
        <w:t> </w:t>
      </w:r>
      <w:r w:rsidRPr="00037385">
        <w:rPr>
          <w:color w:val="auto"/>
          <w:sz w:val="20"/>
          <w:szCs w:val="20"/>
        </w:rPr>
        <w:t>Bytomiu (Śródmieście i Rozbark) (105) - utworzenie 130 lokali socjalnych oraz 2 CUS przy ul.</w:t>
      </w:r>
      <w:r w:rsidR="00EA669B">
        <w:rPr>
          <w:color w:val="auto"/>
          <w:sz w:val="20"/>
          <w:szCs w:val="20"/>
        </w:rPr>
        <w:t> </w:t>
      </w:r>
      <w:r w:rsidRPr="00037385">
        <w:rPr>
          <w:color w:val="auto"/>
          <w:sz w:val="20"/>
          <w:szCs w:val="20"/>
        </w:rPr>
        <w:t xml:space="preserve">Piekarskiej 39 i ul. Piłsudskiego 21. </w:t>
      </w:r>
    </w:p>
    <w:p w:rsidR="006239E2" w:rsidRPr="00C832AD" w:rsidRDefault="006239E2" w:rsidP="00037385">
      <w:pPr>
        <w:pStyle w:val="Default"/>
        <w:ind w:firstLine="708"/>
        <w:jc w:val="both"/>
        <w:rPr>
          <w:color w:val="auto"/>
          <w:sz w:val="20"/>
          <w:szCs w:val="20"/>
        </w:rPr>
      </w:pPr>
      <w:r w:rsidRPr="00C832AD">
        <w:rPr>
          <w:color w:val="auto"/>
          <w:sz w:val="20"/>
          <w:szCs w:val="20"/>
        </w:rPr>
        <w:t xml:space="preserve">Projekty korzystające z infrastruktury projektów (101, 105): </w:t>
      </w:r>
    </w:p>
    <w:p w:rsidR="006239E2" w:rsidRPr="00C832AD" w:rsidRDefault="006239E2" w:rsidP="00037385">
      <w:pPr>
        <w:pStyle w:val="Default"/>
        <w:numPr>
          <w:ilvl w:val="0"/>
          <w:numId w:val="696"/>
        </w:numPr>
        <w:jc w:val="both"/>
        <w:rPr>
          <w:color w:val="auto"/>
          <w:sz w:val="20"/>
          <w:szCs w:val="20"/>
        </w:rPr>
      </w:pPr>
      <w:r w:rsidRPr="00C832AD">
        <w:rPr>
          <w:color w:val="auto"/>
          <w:sz w:val="20"/>
          <w:szCs w:val="20"/>
        </w:rPr>
        <w:t xml:space="preserve">Program „Godna starość” (39), </w:t>
      </w:r>
    </w:p>
    <w:p w:rsidR="006239E2" w:rsidRPr="00C832AD" w:rsidRDefault="006239E2" w:rsidP="00037385">
      <w:pPr>
        <w:pStyle w:val="Default"/>
        <w:numPr>
          <w:ilvl w:val="0"/>
          <w:numId w:val="696"/>
        </w:numPr>
        <w:jc w:val="both"/>
        <w:rPr>
          <w:color w:val="auto"/>
          <w:sz w:val="20"/>
          <w:szCs w:val="20"/>
        </w:rPr>
      </w:pPr>
      <w:r w:rsidRPr="00C832AD">
        <w:rPr>
          <w:color w:val="auto"/>
          <w:sz w:val="20"/>
          <w:szCs w:val="20"/>
        </w:rPr>
        <w:t xml:space="preserve">Centrum Integracji Społecznej przestrzenią dla aktywności osób wykluczonych (29), </w:t>
      </w:r>
    </w:p>
    <w:p w:rsidR="006239E2" w:rsidRPr="00C832AD" w:rsidRDefault="006239E2" w:rsidP="00037385">
      <w:pPr>
        <w:pStyle w:val="Default"/>
        <w:numPr>
          <w:ilvl w:val="0"/>
          <w:numId w:val="696"/>
        </w:numPr>
        <w:jc w:val="both"/>
        <w:rPr>
          <w:color w:val="auto"/>
          <w:sz w:val="20"/>
          <w:szCs w:val="20"/>
        </w:rPr>
      </w:pPr>
      <w:r w:rsidRPr="00C832AD">
        <w:rPr>
          <w:color w:val="auto"/>
          <w:sz w:val="20"/>
          <w:szCs w:val="20"/>
        </w:rPr>
        <w:t xml:space="preserve">Rewitalizacja społeczna Dzielnicy Bobrek, Rozbark i Śródmieście (50), </w:t>
      </w:r>
    </w:p>
    <w:p w:rsidR="006239E2" w:rsidRPr="00C832AD" w:rsidRDefault="006239E2" w:rsidP="00037385">
      <w:pPr>
        <w:pStyle w:val="Default"/>
        <w:numPr>
          <w:ilvl w:val="0"/>
          <w:numId w:val="696"/>
        </w:numPr>
        <w:jc w:val="both"/>
        <w:rPr>
          <w:color w:val="auto"/>
          <w:sz w:val="20"/>
          <w:szCs w:val="20"/>
        </w:rPr>
      </w:pPr>
      <w:r w:rsidRPr="00C832AD">
        <w:rPr>
          <w:color w:val="auto"/>
          <w:sz w:val="20"/>
          <w:szCs w:val="20"/>
        </w:rPr>
        <w:t xml:space="preserve">Centrum Wsparcia Rodziny (53, 54), </w:t>
      </w:r>
    </w:p>
    <w:p w:rsidR="006239E2" w:rsidRPr="00C832AD" w:rsidRDefault="006239E2" w:rsidP="00037385">
      <w:pPr>
        <w:pStyle w:val="Default"/>
        <w:numPr>
          <w:ilvl w:val="0"/>
          <w:numId w:val="696"/>
        </w:numPr>
        <w:jc w:val="both"/>
        <w:rPr>
          <w:color w:val="auto"/>
          <w:sz w:val="20"/>
          <w:szCs w:val="20"/>
        </w:rPr>
      </w:pPr>
      <w:r w:rsidRPr="00C832AD">
        <w:rPr>
          <w:color w:val="auto"/>
          <w:sz w:val="20"/>
          <w:szCs w:val="20"/>
        </w:rPr>
        <w:t xml:space="preserve">Usługi społeczne w mieszkaniach wspomaganych (55, 56), </w:t>
      </w:r>
    </w:p>
    <w:p w:rsidR="006239E2" w:rsidRPr="00C832AD" w:rsidRDefault="006239E2" w:rsidP="00037385">
      <w:pPr>
        <w:pStyle w:val="Default"/>
        <w:numPr>
          <w:ilvl w:val="0"/>
          <w:numId w:val="696"/>
        </w:numPr>
        <w:jc w:val="both"/>
        <w:rPr>
          <w:color w:val="auto"/>
          <w:sz w:val="20"/>
          <w:szCs w:val="20"/>
        </w:rPr>
      </w:pPr>
      <w:r w:rsidRPr="00C832AD">
        <w:rPr>
          <w:color w:val="auto"/>
          <w:sz w:val="20"/>
          <w:szCs w:val="20"/>
        </w:rPr>
        <w:t>Mieszkania Treningowe – wsparcie osób z niepełnosprawnością intelektualną n</w:t>
      </w:r>
      <w:r w:rsidR="00FE7F06">
        <w:rPr>
          <w:color w:val="auto"/>
          <w:sz w:val="20"/>
          <w:szCs w:val="20"/>
        </w:rPr>
        <w:t>a drodze do samodzielności (59),</w:t>
      </w:r>
      <w:r w:rsidRPr="00C832AD">
        <w:rPr>
          <w:color w:val="auto"/>
          <w:sz w:val="20"/>
          <w:szCs w:val="20"/>
        </w:rPr>
        <w:t xml:space="preserve"> </w:t>
      </w:r>
    </w:p>
    <w:p w:rsidR="006239E2" w:rsidRPr="00C832AD" w:rsidRDefault="006239E2" w:rsidP="00037385">
      <w:pPr>
        <w:pStyle w:val="Default"/>
        <w:numPr>
          <w:ilvl w:val="0"/>
          <w:numId w:val="696"/>
        </w:numPr>
        <w:jc w:val="both"/>
        <w:rPr>
          <w:color w:val="auto"/>
          <w:sz w:val="20"/>
          <w:szCs w:val="20"/>
        </w:rPr>
      </w:pPr>
      <w:r w:rsidRPr="00C832AD">
        <w:rPr>
          <w:color w:val="auto"/>
          <w:sz w:val="20"/>
          <w:szCs w:val="20"/>
        </w:rPr>
        <w:t xml:space="preserve">Rozwój usług społecznych poprzez utworzenie Centrum Usług Społecznych (63). </w:t>
      </w:r>
    </w:p>
    <w:p w:rsidR="006239E2" w:rsidRPr="00C832AD" w:rsidRDefault="006239E2" w:rsidP="00C832AD">
      <w:pPr>
        <w:pStyle w:val="Default"/>
        <w:jc w:val="both"/>
        <w:rPr>
          <w:color w:val="auto"/>
          <w:sz w:val="20"/>
          <w:szCs w:val="20"/>
        </w:rPr>
      </w:pPr>
    </w:p>
    <w:p w:rsidR="006239E2" w:rsidRPr="00C832AD" w:rsidRDefault="006239E2" w:rsidP="00037385">
      <w:pPr>
        <w:pStyle w:val="Default"/>
        <w:numPr>
          <w:ilvl w:val="0"/>
          <w:numId w:val="697"/>
        </w:numPr>
        <w:jc w:val="both"/>
        <w:rPr>
          <w:color w:val="auto"/>
          <w:sz w:val="20"/>
          <w:szCs w:val="20"/>
        </w:rPr>
      </w:pPr>
      <w:r w:rsidRPr="00C832AD">
        <w:rPr>
          <w:color w:val="auto"/>
          <w:sz w:val="20"/>
          <w:szCs w:val="20"/>
        </w:rPr>
        <w:t xml:space="preserve">Przebudowa i adaptacja budynku przy ulicy Karola Miarki 10 na potrzeby Centrum Integracji Społecznej (104). </w:t>
      </w:r>
    </w:p>
    <w:p w:rsidR="006239E2" w:rsidRPr="00C832AD" w:rsidRDefault="006239E2" w:rsidP="00037385">
      <w:pPr>
        <w:pStyle w:val="Default"/>
        <w:ind w:firstLine="708"/>
        <w:jc w:val="both"/>
        <w:rPr>
          <w:color w:val="auto"/>
          <w:sz w:val="20"/>
          <w:szCs w:val="20"/>
        </w:rPr>
      </w:pPr>
      <w:r w:rsidRPr="00C832AD">
        <w:rPr>
          <w:color w:val="auto"/>
          <w:sz w:val="20"/>
          <w:szCs w:val="20"/>
        </w:rPr>
        <w:t xml:space="preserve">Projekt korzystający z infrastruktury projektu: </w:t>
      </w:r>
    </w:p>
    <w:p w:rsidR="006239E2" w:rsidRPr="00C832AD" w:rsidRDefault="006239E2" w:rsidP="00037385">
      <w:pPr>
        <w:pStyle w:val="Default"/>
        <w:numPr>
          <w:ilvl w:val="0"/>
          <w:numId w:val="698"/>
        </w:numPr>
        <w:jc w:val="both"/>
        <w:rPr>
          <w:color w:val="auto"/>
          <w:sz w:val="20"/>
          <w:szCs w:val="20"/>
        </w:rPr>
      </w:pPr>
      <w:r w:rsidRPr="00C832AD">
        <w:rPr>
          <w:color w:val="auto"/>
          <w:sz w:val="20"/>
          <w:szCs w:val="20"/>
        </w:rPr>
        <w:t xml:space="preserve">Centrum Integracji Społecznej przestrzenią dla aktywności osób wykluczonych (29). </w:t>
      </w:r>
    </w:p>
    <w:p w:rsidR="006239E2" w:rsidRPr="00C832AD" w:rsidRDefault="006239E2" w:rsidP="00C832AD">
      <w:pPr>
        <w:pStyle w:val="Default"/>
        <w:jc w:val="both"/>
        <w:rPr>
          <w:color w:val="auto"/>
          <w:sz w:val="20"/>
          <w:szCs w:val="20"/>
        </w:rPr>
      </w:pPr>
    </w:p>
    <w:p w:rsidR="006239E2" w:rsidRPr="00C832AD" w:rsidRDefault="006239E2" w:rsidP="00037385">
      <w:pPr>
        <w:pStyle w:val="Default"/>
        <w:numPr>
          <w:ilvl w:val="0"/>
          <w:numId w:val="697"/>
        </w:numPr>
        <w:jc w:val="both"/>
        <w:rPr>
          <w:color w:val="auto"/>
          <w:sz w:val="20"/>
          <w:szCs w:val="20"/>
        </w:rPr>
      </w:pPr>
      <w:r w:rsidRPr="00C832AD">
        <w:rPr>
          <w:color w:val="auto"/>
          <w:sz w:val="20"/>
          <w:szCs w:val="20"/>
        </w:rPr>
        <w:t xml:space="preserve">Rewitalizacja gmachu Bytomskiego Centrum Kultury III etap (114) - adaptacja budynku przy ul. Karin Stanek 1 do realizacji usług społecznych. </w:t>
      </w:r>
    </w:p>
    <w:p w:rsidR="006239E2" w:rsidRPr="00C832AD" w:rsidRDefault="006239E2" w:rsidP="00037385">
      <w:pPr>
        <w:pStyle w:val="Default"/>
        <w:ind w:firstLine="708"/>
        <w:jc w:val="both"/>
        <w:rPr>
          <w:color w:val="auto"/>
          <w:sz w:val="20"/>
          <w:szCs w:val="20"/>
        </w:rPr>
      </w:pPr>
      <w:r w:rsidRPr="00C832AD">
        <w:rPr>
          <w:color w:val="auto"/>
          <w:sz w:val="20"/>
          <w:szCs w:val="20"/>
        </w:rPr>
        <w:t xml:space="preserve">Projekty korzystające z infrastruktury projektu: </w:t>
      </w:r>
    </w:p>
    <w:p w:rsidR="006239E2" w:rsidRPr="00C832AD" w:rsidRDefault="006239E2" w:rsidP="00037385">
      <w:pPr>
        <w:pStyle w:val="Default"/>
        <w:numPr>
          <w:ilvl w:val="0"/>
          <w:numId w:val="698"/>
        </w:numPr>
        <w:jc w:val="both"/>
        <w:rPr>
          <w:color w:val="auto"/>
          <w:sz w:val="20"/>
          <w:szCs w:val="20"/>
        </w:rPr>
      </w:pPr>
      <w:r w:rsidRPr="00C832AD">
        <w:rPr>
          <w:color w:val="auto"/>
          <w:sz w:val="20"/>
          <w:szCs w:val="20"/>
        </w:rPr>
        <w:t xml:space="preserve">Kompleksowe, alternatywne i aktywizacyjne usługi terapeutyczne dla osób przewlekle psychicznie chorych - mieszkańców miasta Bytom, w tym mieszkańców DPS dla Dorosłych (57). </w:t>
      </w:r>
    </w:p>
    <w:p w:rsidR="006239E2" w:rsidRPr="00C832AD" w:rsidRDefault="006239E2" w:rsidP="00C832AD">
      <w:pPr>
        <w:pStyle w:val="Default"/>
        <w:jc w:val="both"/>
        <w:rPr>
          <w:color w:val="auto"/>
          <w:sz w:val="20"/>
          <w:szCs w:val="20"/>
        </w:rPr>
      </w:pPr>
    </w:p>
    <w:p w:rsidR="006239E2" w:rsidRPr="00C832AD" w:rsidRDefault="006239E2" w:rsidP="00037385">
      <w:pPr>
        <w:pStyle w:val="Default"/>
        <w:numPr>
          <w:ilvl w:val="0"/>
          <w:numId w:val="697"/>
        </w:numPr>
        <w:jc w:val="both"/>
        <w:rPr>
          <w:color w:val="auto"/>
          <w:sz w:val="20"/>
          <w:szCs w:val="20"/>
        </w:rPr>
      </w:pPr>
      <w:r w:rsidRPr="00C832AD">
        <w:rPr>
          <w:color w:val="auto"/>
          <w:sz w:val="20"/>
          <w:szCs w:val="20"/>
        </w:rPr>
        <w:t xml:space="preserve">Stworzenie przyjemnych i bezpiecznych przestrzeni dla mieszkańców Rozbarku (110) - zagospodarowanie 6,38 ha przestrzeni miejskich Rozbarku (place, promenady, tereny rekreacyjne, place zabaw, niezbędne wyburzenia). </w:t>
      </w:r>
    </w:p>
    <w:p w:rsidR="006239E2" w:rsidRPr="00C832AD" w:rsidRDefault="006239E2" w:rsidP="00037385">
      <w:pPr>
        <w:pStyle w:val="Default"/>
        <w:ind w:firstLine="708"/>
        <w:jc w:val="both"/>
        <w:rPr>
          <w:color w:val="auto"/>
          <w:sz w:val="20"/>
          <w:szCs w:val="20"/>
        </w:rPr>
      </w:pPr>
      <w:r w:rsidRPr="00C832AD">
        <w:rPr>
          <w:color w:val="auto"/>
          <w:sz w:val="20"/>
          <w:szCs w:val="20"/>
        </w:rPr>
        <w:t xml:space="preserve">Projekty korzystające z infrastruktury projektu: </w:t>
      </w:r>
    </w:p>
    <w:p w:rsidR="006239E2" w:rsidRPr="00C832AD" w:rsidRDefault="006239E2" w:rsidP="00037385">
      <w:pPr>
        <w:pStyle w:val="Default"/>
        <w:numPr>
          <w:ilvl w:val="0"/>
          <w:numId w:val="699"/>
        </w:numPr>
        <w:jc w:val="both"/>
        <w:rPr>
          <w:color w:val="auto"/>
          <w:sz w:val="20"/>
          <w:szCs w:val="20"/>
        </w:rPr>
      </w:pPr>
      <w:r w:rsidRPr="00C832AD">
        <w:rPr>
          <w:color w:val="auto"/>
          <w:sz w:val="20"/>
          <w:szCs w:val="20"/>
        </w:rPr>
        <w:t xml:space="preserve">Klub Integracji Społecznej na Rozbarku (35), </w:t>
      </w:r>
    </w:p>
    <w:p w:rsidR="006239E2" w:rsidRPr="00C832AD" w:rsidRDefault="006239E2" w:rsidP="00037385">
      <w:pPr>
        <w:pStyle w:val="Default"/>
        <w:numPr>
          <w:ilvl w:val="0"/>
          <w:numId w:val="699"/>
        </w:numPr>
        <w:jc w:val="both"/>
        <w:rPr>
          <w:color w:val="auto"/>
          <w:sz w:val="20"/>
          <w:szCs w:val="20"/>
        </w:rPr>
      </w:pPr>
      <w:r w:rsidRPr="00C832AD">
        <w:rPr>
          <w:color w:val="auto"/>
          <w:sz w:val="20"/>
          <w:szCs w:val="20"/>
        </w:rPr>
        <w:t>Świetlica Środowiskowa „Rozbark dla Młodych</w:t>
      </w:r>
      <w:r w:rsidRPr="00C832AD">
        <w:rPr>
          <w:i/>
          <w:iCs/>
          <w:color w:val="auto"/>
          <w:sz w:val="20"/>
          <w:szCs w:val="20"/>
        </w:rPr>
        <w:t xml:space="preserve">” </w:t>
      </w:r>
      <w:r w:rsidR="00275904">
        <w:rPr>
          <w:color w:val="auto"/>
          <w:sz w:val="20"/>
          <w:szCs w:val="20"/>
        </w:rPr>
        <w:t>(61).</w:t>
      </w:r>
      <w:r w:rsidRPr="00C832AD">
        <w:rPr>
          <w:color w:val="auto"/>
          <w:sz w:val="20"/>
          <w:szCs w:val="20"/>
        </w:rPr>
        <w:t xml:space="preserve"> </w:t>
      </w:r>
    </w:p>
    <w:p w:rsidR="006239E2" w:rsidRPr="00C832AD" w:rsidRDefault="006239E2" w:rsidP="00C832AD">
      <w:pPr>
        <w:pStyle w:val="Default"/>
        <w:jc w:val="both"/>
        <w:rPr>
          <w:color w:val="auto"/>
          <w:sz w:val="20"/>
          <w:szCs w:val="20"/>
        </w:rPr>
      </w:pPr>
    </w:p>
    <w:p w:rsidR="006239E2" w:rsidRPr="00C832AD" w:rsidRDefault="006239E2" w:rsidP="00037385">
      <w:pPr>
        <w:pStyle w:val="Default"/>
        <w:numPr>
          <w:ilvl w:val="0"/>
          <w:numId w:val="697"/>
        </w:numPr>
        <w:jc w:val="both"/>
        <w:rPr>
          <w:color w:val="auto"/>
          <w:sz w:val="20"/>
          <w:szCs w:val="20"/>
        </w:rPr>
      </w:pPr>
      <w:r w:rsidRPr="00C832AD">
        <w:rPr>
          <w:color w:val="auto"/>
          <w:sz w:val="20"/>
          <w:szCs w:val="20"/>
        </w:rPr>
        <w:t xml:space="preserve">Rewitalizacja podobszarów 10, 11, 12, 13 – Bytom Śródmieście i Rozbark (109) - powierzchnia rewitalizacji: ok. 14.516 m2. </w:t>
      </w:r>
    </w:p>
    <w:p w:rsidR="006239E2" w:rsidRPr="00C832AD" w:rsidRDefault="006239E2" w:rsidP="00037385">
      <w:pPr>
        <w:pStyle w:val="Default"/>
        <w:ind w:firstLine="708"/>
        <w:jc w:val="both"/>
        <w:rPr>
          <w:color w:val="auto"/>
          <w:sz w:val="20"/>
          <w:szCs w:val="20"/>
        </w:rPr>
      </w:pPr>
      <w:r w:rsidRPr="00C832AD">
        <w:rPr>
          <w:color w:val="auto"/>
          <w:sz w:val="20"/>
          <w:szCs w:val="20"/>
        </w:rPr>
        <w:t xml:space="preserve">Projekty korzystające z infrastruktury projektu: </w:t>
      </w:r>
    </w:p>
    <w:p w:rsidR="006239E2" w:rsidRPr="00C832AD" w:rsidRDefault="006239E2" w:rsidP="00037385">
      <w:pPr>
        <w:pStyle w:val="Default"/>
        <w:numPr>
          <w:ilvl w:val="0"/>
          <w:numId w:val="700"/>
        </w:numPr>
        <w:jc w:val="both"/>
        <w:rPr>
          <w:color w:val="auto"/>
          <w:sz w:val="20"/>
          <w:szCs w:val="20"/>
        </w:rPr>
      </w:pPr>
      <w:r w:rsidRPr="00C832AD">
        <w:rPr>
          <w:color w:val="auto"/>
          <w:sz w:val="20"/>
          <w:szCs w:val="20"/>
        </w:rPr>
        <w:t xml:space="preserve">Centrum Integracji Społecznej przestrzenią dla aktywności osób wykluczonych (29), </w:t>
      </w:r>
    </w:p>
    <w:p w:rsidR="006239E2" w:rsidRPr="00C832AD" w:rsidRDefault="006239E2" w:rsidP="00037385">
      <w:pPr>
        <w:pStyle w:val="Default"/>
        <w:numPr>
          <w:ilvl w:val="0"/>
          <w:numId w:val="700"/>
        </w:numPr>
        <w:jc w:val="both"/>
        <w:rPr>
          <w:color w:val="auto"/>
          <w:sz w:val="20"/>
          <w:szCs w:val="20"/>
        </w:rPr>
      </w:pPr>
      <w:r w:rsidRPr="00C832AD">
        <w:rPr>
          <w:color w:val="auto"/>
          <w:sz w:val="20"/>
          <w:szCs w:val="20"/>
        </w:rPr>
        <w:t xml:space="preserve">Klub Integracji Społecznej na Rozbarku (35), </w:t>
      </w:r>
    </w:p>
    <w:p w:rsidR="006239E2" w:rsidRPr="00C832AD" w:rsidRDefault="006239E2" w:rsidP="00037385">
      <w:pPr>
        <w:pStyle w:val="Default"/>
        <w:numPr>
          <w:ilvl w:val="0"/>
          <w:numId w:val="700"/>
        </w:numPr>
        <w:jc w:val="both"/>
        <w:rPr>
          <w:color w:val="auto"/>
          <w:sz w:val="20"/>
          <w:szCs w:val="20"/>
        </w:rPr>
      </w:pPr>
      <w:r w:rsidRPr="00C832AD">
        <w:rPr>
          <w:color w:val="auto"/>
          <w:sz w:val="20"/>
          <w:szCs w:val="20"/>
        </w:rPr>
        <w:t xml:space="preserve">„Podwórka bez przemocy” – program z zakresu pedagogiki podwórkowej w rejonie Bobrka, Rozbarku i Śródmieścia (60), </w:t>
      </w:r>
    </w:p>
    <w:p w:rsidR="006239E2" w:rsidRPr="00C832AD" w:rsidRDefault="006239E2" w:rsidP="00037385">
      <w:pPr>
        <w:pStyle w:val="Default"/>
        <w:numPr>
          <w:ilvl w:val="0"/>
          <w:numId w:val="700"/>
        </w:numPr>
        <w:jc w:val="both"/>
        <w:rPr>
          <w:color w:val="auto"/>
          <w:sz w:val="20"/>
          <w:szCs w:val="20"/>
        </w:rPr>
      </w:pPr>
      <w:r w:rsidRPr="00C832AD">
        <w:rPr>
          <w:color w:val="auto"/>
          <w:sz w:val="20"/>
          <w:szCs w:val="20"/>
        </w:rPr>
        <w:t>Świetlica Środowis</w:t>
      </w:r>
      <w:r w:rsidR="00275904">
        <w:rPr>
          <w:color w:val="auto"/>
          <w:sz w:val="20"/>
          <w:szCs w:val="20"/>
        </w:rPr>
        <w:t>kowa „Rozbark dla Młodych" (61).</w:t>
      </w:r>
      <w:r w:rsidRPr="00C832AD">
        <w:rPr>
          <w:color w:val="auto"/>
          <w:sz w:val="20"/>
          <w:szCs w:val="20"/>
        </w:rPr>
        <w:t xml:space="preserve"> </w:t>
      </w:r>
    </w:p>
    <w:p w:rsidR="006239E2" w:rsidRPr="00C832AD" w:rsidRDefault="006239E2" w:rsidP="00C832AD">
      <w:pPr>
        <w:pStyle w:val="Default"/>
        <w:jc w:val="both"/>
        <w:rPr>
          <w:color w:val="auto"/>
          <w:sz w:val="20"/>
          <w:szCs w:val="20"/>
        </w:rPr>
      </w:pPr>
    </w:p>
    <w:p w:rsidR="006239E2" w:rsidRPr="00C832AD" w:rsidRDefault="006239E2" w:rsidP="00037385">
      <w:pPr>
        <w:pStyle w:val="Default"/>
        <w:numPr>
          <w:ilvl w:val="0"/>
          <w:numId w:val="697"/>
        </w:numPr>
        <w:jc w:val="both"/>
        <w:rPr>
          <w:color w:val="auto"/>
          <w:sz w:val="20"/>
          <w:szCs w:val="20"/>
        </w:rPr>
      </w:pPr>
      <w:r w:rsidRPr="00C832AD">
        <w:rPr>
          <w:color w:val="auto"/>
          <w:sz w:val="20"/>
          <w:szCs w:val="20"/>
        </w:rPr>
        <w:t>Remont konserwatorski elewacji budynku plebani kościoła p.w. Św. Trójcy w Bytomiu zlokalizowanego przy ul. Kwietniewskiego 1 (111) - powierzchnia rewitalizacji: 4 503 m</w:t>
      </w:r>
      <w:r w:rsidRPr="00C832AD">
        <w:rPr>
          <w:color w:val="auto"/>
          <w:sz w:val="20"/>
          <w:szCs w:val="20"/>
          <w:vertAlign w:val="superscript"/>
        </w:rPr>
        <w:t>2</w:t>
      </w:r>
      <w:r w:rsidR="00275904">
        <w:rPr>
          <w:color w:val="auto"/>
          <w:sz w:val="20"/>
          <w:szCs w:val="20"/>
        </w:rPr>
        <w:t>.</w:t>
      </w:r>
    </w:p>
    <w:p w:rsidR="006239E2" w:rsidRPr="00C832AD" w:rsidRDefault="006239E2" w:rsidP="00C832AD">
      <w:pPr>
        <w:pStyle w:val="Default"/>
        <w:jc w:val="both"/>
        <w:rPr>
          <w:color w:val="auto"/>
          <w:sz w:val="20"/>
          <w:szCs w:val="20"/>
        </w:rPr>
      </w:pPr>
    </w:p>
    <w:p w:rsidR="006239E2" w:rsidRPr="00C832AD" w:rsidRDefault="006239E2" w:rsidP="00037385">
      <w:pPr>
        <w:pStyle w:val="Default"/>
        <w:numPr>
          <w:ilvl w:val="0"/>
          <w:numId w:val="697"/>
        </w:numPr>
        <w:jc w:val="both"/>
        <w:rPr>
          <w:color w:val="auto"/>
          <w:sz w:val="20"/>
          <w:szCs w:val="20"/>
        </w:rPr>
      </w:pPr>
      <w:r w:rsidRPr="00C832AD">
        <w:rPr>
          <w:color w:val="auto"/>
          <w:sz w:val="20"/>
          <w:szCs w:val="20"/>
        </w:rPr>
        <w:t>Rewitalizacja starego domu katechetycznego przy ul. ks. Koziołka 3 (112) – powierzchnia rewitalizacji: 4 400 m</w:t>
      </w:r>
      <w:r w:rsidRPr="00C832AD">
        <w:rPr>
          <w:color w:val="auto"/>
          <w:sz w:val="20"/>
          <w:szCs w:val="20"/>
          <w:vertAlign w:val="superscript"/>
        </w:rPr>
        <w:t>2</w:t>
      </w:r>
      <w:r w:rsidR="00275904">
        <w:rPr>
          <w:color w:val="auto"/>
          <w:sz w:val="20"/>
          <w:szCs w:val="20"/>
        </w:rPr>
        <w:t>.</w:t>
      </w:r>
    </w:p>
    <w:p w:rsidR="006239E2" w:rsidRPr="00C832AD" w:rsidRDefault="006239E2" w:rsidP="00C832AD">
      <w:pPr>
        <w:pStyle w:val="Default"/>
        <w:jc w:val="both"/>
        <w:rPr>
          <w:color w:val="auto"/>
          <w:sz w:val="20"/>
          <w:szCs w:val="20"/>
        </w:rPr>
      </w:pPr>
    </w:p>
    <w:p w:rsidR="006239E2" w:rsidRPr="00C832AD" w:rsidRDefault="006239E2" w:rsidP="00037385">
      <w:pPr>
        <w:pStyle w:val="Default"/>
        <w:numPr>
          <w:ilvl w:val="0"/>
          <w:numId w:val="697"/>
        </w:numPr>
        <w:jc w:val="both"/>
        <w:rPr>
          <w:color w:val="auto"/>
          <w:sz w:val="20"/>
          <w:szCs w:val="20"/>
        </w:rPr>
      </w:pPr>
      <w:r w:rsidRPr="00C832AD">
        <w:rPr>
          <w:color w:val="auto"/>
          <w:sz w:val="20"/>
          <w:szCs w:val="20"/>
        </w:rPr>
        <w:t>Rewitalizacja społeczna poprzez kulturę kościoła Św. Jacka w Bytomiu (113) - dostosowanie przestrzeni kościoła górnego do potrzeb realizacji działalności społecznej - powierzchnia rewitalizacji: 920 m</w:t>
      </w:r>
      <w:r w:rsidRPr="00B40780">
        <w:rPr>
          <w:color w:val="auto"/>
          <w:sz w:val="20"/>
          <w:szCs w:val="20"/>
          <w:vertAlign w:val="superscript"/>
        </w:rPr>
        <w:t>2</w:t>
      </w:r>
      <w:r w:rsidRPr="00C832AD">
        <w:rPr>
          <w:color w:val="auto"/>
          <w:sz w:val="20"/>
          <w:szCs w:val="20"/>
        </w:rPr>
        <w:t xml:space="preserve">. </w:t>
      </w:r>
    </w:p>
    <w:p w:rsidR="006239E2" w:rsidRPr="00C832AD" w:rsidRDefault="006239E2" w:rsidP="00037385">
      <w:pPr>
        <w:pStyle w:val="Default"/>
        <w:ind w:firstLine="708"/>
        <w:jc w:val="both"/>
        <w:rPr>
          <w:color w:val="auto"/>
          <w:sz w:val="20"/>
          <w:szCs w:val="20"/>
        </w:rPr>
      </w:pPr>
      <w:r w:rsidRPr="00C832AD">
        <w:rPr>
          <w:color w:val="auto"/>
          <w:sz w:val="20"/>
          <w:szCs w:val="20"/>
        </w:rPr>
        <w:t xml:space="preserve">Projekty korzystające z infrastruktury projektu: </w:t>
      </w:r>
    </w:p>
    <w:p w:rsidR="006239E2" w:rsidRPr="00C832AD" w:rsidRDefault="006239E2" w:rsidP="00037385">
      <w:pPr>
        <w:pStyle w:val="Default"/>
        <w:numPr>
          <w:ilvl w:val="0"/>
          <w:numId w:val="701"/>
        </w:numPr>
        <w:jc w:val="both"/>
        <w:rPr>
          <w:color w:val="auto"/>
          <w:sz w:val="20"/>
          <w:szCs w:val="20"/>
        </w:rPr>
      </w:pPr>
      <w:r w:rsidRPr="00C832AD">
        <w:rPr>
          <w:color w:val="auto"/>
          <w:sz w:val="20"/>
          <w:szCs w:val="20"/>
        </w:rPr>
        <w:t xml:space="preserve">Klub Integracji Społecznej na Rozbarku (35), </w:t>
      </w:r>
    </w:p>
    <w:p w:rsidR="006239E2" w:rsidRPr="00C832AD" w:rsidRDefault="006239E2" w:rsidP="00037385">
      <w:pPr>
        <w:pStyle w:val="Default"/>
        <w:numPr>
          <w:ilvl w:val="0"/>
          <w:numId w:val="701"/>
        </w:numPr>
        <w:jc w:val="both"/>
        <w:rPr>
          <w:color w:val="auto"/>
          <w:sz w:val="20"/>
          <w:szCs w:val="20"/>
        </w:rPr>
      </w:pPr>
      <w:r w:rsidRPr="00C832AD">
        <w:rPr>
          <w:color w:val="auto"/>
          <w:sz w:val="20"/>
          <w:szCs w:val="20"/>
        </w:rPr>
        <w:t>Świetlica Środowis</w:t>
      </w:r>
      <w:r w:rsidR="00275904">
        <w:rPr>
          <w:color w:val="auto"/>
          <w:sz w:val="20"/>
          <w:szCs w:val="20"/>
        </w:rPr>
        <w:t>kowa „Rozbark dla Młodych” (61).</w:t>
      </w:r>
      <w:r w:rsidRPr="00C832AD">
        <w:rPr>
          <w:color w:val="auto"/>
          <w:sz w:val="20"/>
          <w:szCs w:val="20"/>
        </w:rPr>
        <w:t xml:space="preserve"> </w:t>
      </w:r>
    </w:p>
    <w:p w:rsidR="006239E2" w:rsidRPr="00C832AD" w:rsidRDefault="006239E2" w:rsidP="00C832AD">
      <w:pPr>
        <w:pStyle w:val="Default"/>
        <w:jc w:val="both"/>
        <w:rPr>
          <w:color w:val="auto"/>
          <w:sz w:val="20"/>
          <w:szCs w:val="20"/>
        </w:rPr>
      </w:pPr>
    </w:p>
    <w:p w:rsidR="006239E2" w:rsidRPr="00C832AD" w:rsidRDefault="006239E2" w:rsidP="00037385">
      <w:pPr>
        <w:pStyle w:val="Default"/>
        <w:numPr>
          <w:ilvl w:val="0"/>
          <w:numId w:val="702"/>
        </w:numPr>
        <w:jc w:val="both"/>
        <w:rPr>
          <w:color w:val="auto"/>
          <w:sz w:val="20"/>
          <w:szCs w:val="20"/>
        </w:rPr>
      </w:pPr>
      <w:r w:rsidRPr="00C832AD">
        <w:rPr>
          <w:color w:val="auto"/>
          <w:sz w:val="20"/>
          <w:szCs w:val="20"/>
        </w:rPr>
        <w:t>Rewitalizacja obiektu UL na cele działalności społecznej bytomskich harcerzy (115) - stworzenie przy ul.</w:t>
      </w:r>
      <w:r w:rsidR="00AD2FA0">
        <w:rPr>
          <w:color w:val="auto"/>
          <w:sz w:val="20"/>
          <w:szCs w:val="20"/>
        </w:rPr>
        <w:t> </w:t>
      </w:r>
      <w:r w:rsidRPr="00C832AD">
        <w:rPr>
          <w:color w:val="auto"/>
          <w:sz w:val="20"/>
          <w:szCs w:val="20"/>
        </w:rPr>
        <w:t>Korfantego 38 ośrodka do pracy z dziećmi i młodzieżą oraz rodzin z problemami wychowawczymi- powierzchnia rewitalizacji: 300 m</w:t>
      </w:r>
      <w:r w:rsidRPr="00C063C4">
        <w:rPr>
          <w:color w:val="auto"/>
          <w:sz w:val="20"/>
          <w:szCs w:val="20"/>
          <w:vertAlign w:val="superscript"/>
        </w:rPr>
        <w:t>2</w:t>
      </w:r>
      <w:r w:rsidRPr="00C832AD">
        <w:rPr>
          <w:color w:val="auto"/>
          <w:sz w:val="20"/>
          <w:szCs w:val="20"/>
        </w:rPr>
        <w:t xml:space="preserve">. </w:t>
      </w:r>
    </w:p>
    <w:p w:rsidR="006239E2" w:rsidRPr="00C832AD" w:rsidRDefault="006239E2" w:rsidP="00037385">
      <w:pPr>
        <w:pStyle w:val="Default"/>
        <w:ind w:firstLine="708"/>
        <w:jc w:val="both"/>
        <w:rPr>
          <w:color w:val="auto"/>
          <w:sz w:val="20"/>
          <w:szCs w:val="20"/>
        </w:rPr>
      </w:pPr>
      <w:r w:rsidRPr="00C832AD">
        <w:rPr>
          <w:color w:val="auto"/>
          <w:sz w:val="20"/>
          <w:szCs w:val="20"/>
        </w:rPr>
        <w:t xml:space="preserve">Projekt korzystający z infrastruktury projektu: </w:t>
      </w:r>
    </w:p>
    <w:p w:rsidR="006239E2" w:rsidRPr="00C832AD" w:rsidRDefault="006239E2" w:rsidP="00037385">
      <w:pPr>
        <w:pStyle w:val="Default"/>
        <w:numPr>
          <w:ilvl w:val="0"/>
          <w:numId w:val="703"/>
        </w:numPr>
        <w:jc w:val="both"/>
        <w:rPr>
          <w:color w:val="auto"/>
          <w:sz w:val="20"/>
          <w:szCs w:val="20"/>
        </w:rPr>
      </w:pPr>
      <w:r w:rsidRPr="00C832AD">
        <w:rPr>
          <w:color w:val="auto"/>
          <w:sz w:val="20"/>
          <w:szCs w:val="20"/>
        </w:rPr>
        <w:t>Bytomskie Centrum Aktywności Społecznej – działalność społ</w:t>
      </w:r>
      <w:r w:rsidR="00275904">
        <w:rPr>
          <w:color w:val="auto"/>
          <w:sz w:val="20"/>
          <w:szCs w:val="20"/>
        </w:rPr>
        <w:t>eczna bytomskich harcerzy (58).</w:t>
      </w:r>
    </w:p>
    <w:p w:rsidR="006239E2" w:rsidRPr="00C832AD" w:rsidRDefault="006239E2" w:rsidP="00C832AD">
      <w:pPr>
        <w:pStyle w:val="Default"/>
        <w:jc w:val="both"/>
        <w:rPr>
          <w:color w:val="auto"/>
          <w:sz w:val="20"/>
          <w:szCs w:val="20"/>
        </w:rPr>
      </w:pPr>
    </w:p>
    <w:p w:rsidR="006239E2" w:rsidRPr="00C832AD" w:rsidRDefault="006239E2" w:rsidP="00C01544">
      <w:pPr>
        <w:pStyle w:val="Default"/>
        <w:numPr>
          <w:ilvl w:val="0"/>
          <w:numId w:val="702"/>
        </w:numPr>
        <w:spacing w:line="228" w:lineRule="auto"/>
        <w:ind w:left="714" w:hanging="357"/>
        <w:jc w:val="both"/>
        <w:rPr>
          <w:color w:val="auto"/>
          <w:sz w:val="20"/>
          <w:szCs w:val="20"/>
        </w:rPr>
      </w:pPr>
      <w:r w:rsidRPr="00C832AD">
        <w:rPr>
          <w:color w:val="auto"/>
          <w:sz w:val="20"/>
          <w:szCs w:val="20"/>
        </w:rPr>
        <w:t xml:space="preserve">Masz firmę masz lokal - Program Aktywizacji Lokali Użytkowych (116) – zakłada się przygotowanie 40 lokali dla mikroprzedsiębiorców, uczestniczących w projekcie w ramach poddziałania 7.3.3. </w:t>
      </w:r>
    </w:p>
    <w:p w:rsidR="006239E2" w:rsidRPr="00C832AD" w:rsidRDefault="006239E2" w:rsidP="00037385">
      <w:pPr>
        <w:pStyle w:val="Default"/>
        <w:ind w:firstLine="708"/>
        <w:jc w:val="both"/>
        <w:rPr>
          <w:color w:val="auto"/>
          <w:sz w:val="20"/>
          <w:szCs w:val="20"/>
        </w:rPr>
      </w:pPr>
      <w:r w:rsidRPr="00C832AD">
        <w:rPr>
          <w:color w:val="auto"/>
          <w:sz w:val="20"/>
          <w:szCs w:val="20"/>
        </w:rPr>
        <w:t xml:space="preserve">Projekty korzystające z infrastruktury projektu: </w:t>
      </w:r>
    </w:p>
    <w:p w:rsidR="006239E2" w:rsidRPr="00C832AD" w:rsidRDefault="006239E2" w:rsidP="00037385">
      <w:pPr>
        <w:pStyle w:val="Default"/>
        <w:numPr>
          <w:ilvl w:val="0"/>
          <w:numId w:val="704"/>
        </w:numPr>
        <w:jc w:val="both"/>
        <w:rPr>
          <w:color w:val="auto"/>
          <w:sz w:val="20"/>
          <w:szCs w:val="20"/>
        </w:rPr>
      </w:pPr>
      <w:r w:rsidRPr="00C832AD">
        <w:rPr>
          <w:color w:val="auto"/>
          <w:sz w:val="20"/>
          <w:szCs w:val="20"/>
        </w:rPr>
        <w:t xml:space="preserve">Szansa na własną firmę (11), </w:t>
      </w:r>
    </w:p>
    <w:p w:rsidR="006239E2" w:rsidRPr="00C832AD" w:rsidRDefault="006239E2" w:rsidP="00037385">
      <w:pPr>
        <w:pStyle w:val="Default"/>
        <w:numPr>
          <w:ilvl w:val="0"/>
          <w:numId w:val="704"/>
        </w:numPr>
        <w:jc w:val="both"/>
        <w:rPr>
          <w:color w:val="auto"/>
          <w:sz w:val="20"/>
          <w:szCs w:val="20"/>
        </w:rPr>
      </w:pPr>
      <w:r w:rsidRPr="00C832AD">
        <w:rPr>
          <w:color w:val="auto"/>
          <w:sz w:val="20"/>
          <w:szCs w:val="20"/>
        </w:rPr>
        <w:t>Aktywizacja byt</w:t>
      </w:r>
      <w:r w:rsidR="00275904">
        <w:rPr>
          <w:color w:val="auto"/>
          <w:sz w:val="20"/>
          <w:szCs w:val="20"/>
        </w:rPr>
        <w:t>omskiej przedsiębiorczości (13).</w:t>
      </w:r>
      <w:r w:rsidRPr="00C832AD">
        <w:rPr>
          <w:color w:val="auto"/>
          <w:sz w:val="20"/>
          <w:szCs w:val="20"/>
        </w:rPr>
        <w:t xml:space="preserve"> </w:t>
      </w:r>
    </w:p>
    <w:p w:rsidR="006239E2" w:rsidRPr="00C01544" w:rsidRDefault="006239E2" w:rsidP="00C832AD">
      <w:pPr>
        <w:pStyle w:val="Default"/>
        <w:jc w:val="both"/>
        <w:rPr>
          <w:color w:val="auto"/>
          <w:sz w:val="16"/>
          <w:szCs w:val="20"/>
        </w:rPr>
      </w:pPr>
    </w:p>
    <w:p w:rsidR="006239E2" w:rsidRPr="00C832AD" w:rsidRDefault="006239E2" w:rsidP="00037385">
      <w:pPr>
        <w:pStyle w:val="Default"/>
        <w:numPr>
          <w:ilvl w:val="0"/>
          <w:numId w:val="702"/>
        </w:numPr>
        <w:jc w:val="both"/>
        <w:rPr>
          <w:color w:val="auto"/>
          <w:sz w:val="20"/>
          <w:szCs w:val="20"/>
        </w:rPr>
      </w:pPr>
      <w:r w:rsidRPr="00C832AD">
        <w:rPr>
          <w:color w:val="auto"/>
          <w:sz w:val="20"/>
          <w:szCs w:val="20"/>
        </w:rPr>
        <w:t>Rewitalizacja obiektów na potrzeby Centrum Integracji Aktywnej (107) – powierzchnia obszarów objętych rewitalizacją: 600 m</w:t>
      </w:r>
      <w:r w:rsidRPr="00037385">
        <w:rPr>
          <w:color w:val="auto"/>
          <w:sz w:val="20"/>
          <w:szCs w:val="20"/>
          <w:vertAlign w:val="superscript"/>
        </w:rPr>
        <w:t>2</w:t>
      </w:r>
      <w:r w:rsidRPr="00C832AD">
        <w:rPr>
          <w:color w:val="auto"/>
          <w:sz w:val="20"/>
          <w:szCs w:val="20"/>
        </w:rPr>
        <w:t xml:space="preserve">. </w:t>
      </w:r>
    </w:p>
    <w:p w:rsidR="006239E2" w:rsidRPr="00C832AD" w:rsidRDefault="006239E2" w:rsidP="00037385">
      <w:pPr>
        <w:pStyle w:val="Default"/>
        <w:ind w:firstLine="708"/>
        <w:jc w:val="both"/>
        <w:rPr>
          <w:color w:val="auto"/>
          <w:sz w:val="20"/>
          <w:szCs w:val="20"/>
        </w:rPr>
      </w:pPr>
      <w:r w:rsidRPr="00C832AD">
        <w:rPr>
          <w:color w:val="auto"/>
          <w:sz w:val="20"/>
          <w:szCs w:val="20"/>
        </w:rPr>
        <w:t xml:space="preserve">Projekt korzystający z infrastruktury projektu: </w:t>
      </w:r>
    </w:p>
    <w:p w:rsidR="006239E2" w:rsidRPr="00C832AD" w:rsidRDefault="006239E2" w:rsidP="00037385">
      <w:pPr>
        <w:pStyle w:val="Default"/>
        <w:numPr>
          <w:ilvl w:val="0"/>
          <w:numId w:val="705"/>
        </w:numPr>
        <w:jc w:val="both"/>
        <w:rPr>
          <w:color w:val="auto"/>
          <w:sz w:val="20"/>
          <w:szCs w:val="20"/>
        </w:rPr>
      </w:pPr>
      <w:r w:rsidRPr="00C832AD">
        <w:rPr>
          <w:color w:val="auto"/>
          <w:sz w:val="20"/>
          <w:szCs w:val="20"/>
        </w:rPr>
        <w:t>Centrum Int</w:t>
      </w:r>
      <w:r w:rsidR="00275904">
        <w:rPr>
          <w:color w:val="auto"/>
          <w:sz w:val="20"/>
          <w:szCs w:val="20"/>
        </w:rPr>
        <w:t>egracji Aktywnej na start (48).</w:t>
      </w:r>
    </w:p>
    <w:p w:rsidR="006239E2" w:rsidRPr="00C01544" w:rsidRDefault="006239E2" w:rsidP="00C832AD">
      <w:pPr>
        <w:pStyle w:val="Default"/>
        <w:jc w:val="both"/>
        <w:rPr>
          <w:color w:val="auto"/>
          <w:sz w:val="16"/>
          <w:szCs w:val="20"/>
        </w:rPr>
      </w:pPr>
    </w:p>
    <w:p w:rsidR="006239E2" w:rsidRPr="00C832AD" w:rsidRDefault="006239E2" w:rsidP="00037385">
      <w:pPr>
        <w:pStyle w:val="Default"/>
        <w:numPr>
          <w:ilvl w:val="0"/>
          <w:numId w:val="702"/>
        </w:numPr>
        <w:jc w:val="both"/>
        <w:rPr>
          <w:color w:val="auto"/>
          <w:sz w:val="20"/>
          <w:szCs w:val="20"/>
        </w:rPr>
      </w:pPr>
      <w:r w:rsidRPr="00C832AD">
        <w:rPr>
          <w:color w:val="auto"/>
          <w:sz w:val="20"/>
          <w:szCs w:val="20"/>
        </w:rPr>
        <w:t xml:space="preserve">Uratowanie przed rozbiórką i rewitalizacja zespołu dawnej kopalni „Rozbark” wpisanej do rejestru zabytków nieruchomych województwa śląskiego poprzez utworzenie unikatowego w skali kraju centrum sportów wspinaczkowych i siłowych w Bytomiu przy ul. Chorzowskiej (119) - prace remontowe budynku kotłowni, Szybu Bończyk z zagospodarowaniem otoczenia- powierzchnia rewitalizacji: 18.455 m2 </w:t>
      </w:r>
    </w:p>
    <w:p w:rsidR="006239E2" w:rsidRPr="00C832AD" w:rsidRDefault="006239E2" w:rsidP="00037385">
      <w:pPr>
        <w:pStyle w:val="Default"/>
        <w:ind w:firstLine="708"/>
        <w:jc w:val="both"/>
        <w:rPr>
          <w:color w:val="auto"/>
          <w:sz w:val="20"/>
          <w:szCs w:val="20"/>
        </w:rPr>
      </w:pPr>
      <w:r w:rsidRPr="00C832AD">
        <w:rPr>
          <w:color w:val="auto"/>
          <w:sz w:val="20"/>
          <w:szCs w:val="20"/>
        </w:rPr>
        <w:t xml:space="preserve">Projekty korzystające z infrastruktury projektu: </w:t>
      </w:r>
    </w:p>
    <w:p w:rsidR="006239E2" w:rsidRPr="00C832AD" w:rsidRDefault="006239E2" w:rsidP="00037385">
      <w:pPr>
        <w:pStyle w:val="Default"/>
        <w:numPr>
          <w:ilvl w:val="0"/>
          <w:numId w:val="706"/>
        </w:numPr>
        <w:jc w:val="both"/>
        <w:rPr>
          <w:color w:val="auto"/>
          <w:sz w:val="20"/>
          <w:szCs w:val="20"/>
        </w:rPr>
      </w:pPr>
      <w:r w:rsidRPr="00C832AD">
        <w:rPr>
          <w:color w:val="auto"/>
          <w:sz w:val="20"/>
          <w:szCs w:val="20"/>
        </w:rPr>
        <w:t>Stworzenie Klubu Integracji Społecznej na terenie byłej KWK Rozbark w Bytomiu przy ul.</w:t>
      </w:r>
      <w:r w:rsidR="00037385">
        <w:rPr>
          <w:color w:val="auto"/>
          <w:sz w:val="20"/>
          <w:szCs w:val="20"/>
        </w:rPr>
        <w:t> </w:t>
      </w:r>
      <w:r w:rsidRPr="00C832AD">
        <w:rPr>
          <w:color w:val="auto"/>
          <w:sz w:val="20"/>
          <w:szCs w:val="20"/>
        </w:rPr>
        <w:t xml:space="preserve">Chorzowskiej – rozwój interpersonalny osób wykluczonych i zagrożonych wykluczeniem społecznym i zawodowym (45), </w:t>
      </w:r>
    </w:p>
    <w:p w:rsidR="006239E2" w:rsidRPr="00C832AD" w:rsidRDefault="006239E2" w:rsidP="00037385">
      <w:pPr>
        <w:pStyle w:val="Default"/>
        <w:numPr>
          <w:ilvl w:val="0"/>
          <w:numId w:val="706"/>
        </w:numPr>
        <w:jc w:val="both"/>
        <w:rPr>
          <w:color w:val="auto"/>
          <w:sz w:val="20"/>
          <w:szCs w:val="20"/>
        </w:rPr>
      </w:pPr>
      <w:r w:rsidRPr="00C832AD">
        <w:rPr>
          <w:color w:val="auto"/>
          <w:sz w:val="20"/>
          <w:szCs w:val="20"/>
        </w:rPr>
        <w:t>Stworzenie Klubu Integracji Społecznej na terenie byłej KWK Rozbark w Bytomiu przy ul.</w:t>
      </w:r>
      <w:r w:rsidR="00037385">
        <w:rPr>
          <w:color w:val="auto"/>
          <w:sz w:val="20"/>
          <w:szCs w:val="20"/>
        </w:rPr>
        <w:t> </w:t>
      </w:r>
      <w:r w:rsidRPr="00C832AD">
        <w:rPr>
          <w:color w:val="auto"/>
          <w:sz w:val="20"/>
          <w:szCs w:val="20"/>
        </w:rPr>
        <w:t>Chorzowskiej – opieka krótkoterminowa dla dzieci i młodzieży, pomoc dydaktyczna dla rodzin oraz</w:t>
      </w:r>
      <w:r w:rsidR="00275904">
        <w:rPr>
          <w:color w:val="auto"/>
          <w:sz w:val="20"/>
          <w:szCs w:val="20"/>
        </w:rPr>
        <w:t xml:space="preserve"> aktywacja osób starszych (68).</w:t>
      </w:r>
    </w:p>
    <w:p w:rsidR="006239E2" w:rsidRPr="00C01544" w:rsidRDefault="006239E2" w:rsidP="00C832AD">
      <w:pPr>
        <w:pStyle w:val="Default"/>
        <w:jc w:val="both"/>
        <w:rPr>
          <w:color w:val="auto"/>
          <w:sz w:val="16"/>
          <w:szCs w:val="20"/>
        </w:rPr>
      </w:pPr>
    </w:p>
    <w:p w:rsidR="006239E2" w:rsidRPr="00C832AD" w:rsidRDefault="006239E2" w:rsidP="00037385">
      <w:pPr>
        <w:pStyle w:val="Default"/>
        <w:numPr>
          <w:ilvl w:val="0"/>
          <w:numId w:val="702"/>
        </w:numPr>
        <w:jc w:val="both"/>
        <w:rPr>
          <w:color w:val="auto"/>
          <w:sz w:val="20"/>
          <w:szCs w:val="20"/>
        </w:rPr>
      </w:pPr>
      <w:r w:rsidRPr="00C832AD">
        <w:rPr>
          <w:color w:val="auto"/>
          <w:sz w:val="20"/>
          <w:szCs w:val="20"/>
        </w:rPr>
        <w:t>Rewitalizacja obiektów po byłym zakładzie naprawczym zabytkowej Górnośląskiej Kolei Wąskotorowej w Bytomiu (117) - zagospodarowanie obiektów pokolejowych wraz z zagospodarowaniem przyległego otoczenia na cele społeczne - powierzchnia rewitalizacji: 23 707 m</w:t>
      </w:r>
      <w:r w:rsidRPr="00037385">
        <w:rPr>
          <w:color w:val="auto"/>
          <w:sz w:val="20"/>
          <w:szCs w:val="20"/>
          <w:vertAlign w:val="superscript"/>
        </w:rPr>
        <w:t>2</w:t>
      </w:r>
      <w:r w:rsidRPr="00C832AD">
        <w:rPr>
          <w:color w:val="auto"/>
          <w:sz w:val="20"/>
          <w:szCs w:val="20"/>
        </w:rPr>
        <w:t xml:space="preserve">. </w:t>
      </w:r>
    </w:p>
    <w:p w:rsidR="006239E2" w:rsidRPr="00C832AD" w:rsidRDefault="006239E2" w:rsidP="00037385">
      <w:pPr>
        <w:pStyle w:val="Default"/>
        <w:ind w:firstLine="708"/>
        <w:jc w:val="both"/>
        <w:rPr>
          <w:color w:val="auto"/>
          <w:sz w:val="20"/>
          <w:szCs w:val="20"/>
        </w:rPr>
      </w:pPr>
      <w:r w:rsidRPr="00C832AD">
        <w:rPr>
          <w:color w:val="auto"/>
          <w:sz w:val="20"/>
          <w:szCs w:val="20"/>
        </w:rPr>
        <w:t xml:space="preserve">Projekty korzystające z infrastruktury projektu: </w:t>
      </w:r>
    </w:p>
    <w:p w:rsidR="006239E2" w:rsidRPr="00C832AD" w:rsidRDefault="006239E2" w:rsidP="00037385">
      <w:pPr>
        <w:pStyle w:val="Default"/>
        <w:ind w:firstLine="708"/>
        <w:jc w:val="both"/>
        <w:rPr>
          <w:color w:val="auto"/>
          <w:sz w:val="20"/>
          <w:szCs w:val="20"/>
        </w:rPr>
      </w:pPr>
      <w:r w:rsidRPr="00C832AD">
        <w:rPr>
          <w:color w:val="auto"/>
          <w:sz w:val="20"/>
          <w:szCs w:val="20"/>
        </w:rPr>
        <w:t xml:space="preserve">Bytomski Inkubator Społeczny ROZBANA obejmujący następujące projekty: </w:t>
      </w:r>
    </w:p>
    <w:p w:rsidR="006239E2" w:rsidRPr="00C832AD" w:rsidRDefault="006239E2" w:rsidP="00037385">
      <w:pPr>
        <w:pStyle w:val="Default"/>
        <w:numPr>
          <w:ilvl w:val="0"/>
          <w:numId w:val="707"/>
        </w:numPr>
        <w:jc w:val="both"/>
        <w:rPr>
          <w:color w:val="auto"/>
          <w:sz w:val="20"/>
          <w:szCs w:val="20"/>
        </w:rPr>
      </w:pPr>
      <w:r w:rsidRPr="00C832AD">
        <w:rPr>
          <w:color w:val="auto"/>
          <w:sz w:val="20"/>
          <w:szCs w:val="20"/>
        </w:rPr>
        <w:t xml:space="preserve">uruchomienie warsztatów specjalistycznych z opcją wynajmu dla działalności gospodarczej (8), </w:t>
      </w:r>
    </w:p>
    <w:p w:rsidR="006239E2" w:rsidRPr="00C832AD" w:rsidRDefault="006239E2" w:rsidP="00C01544">
      <w:pPr>
        <w:pStyle w:val="Default"/>
        <w:numPr>
          <w:ilvl w:val="0"/>
          <w:numId w:val="707"/>
        </w:numPr>
        <w:spacing w:line="233" w:lineRule="auto"/>
        <w:ind w:left="1066" w:hanging="357"/>
        <w:jc w:val="both"/>
        <w:rPr>
          <w:color w:val="auto"/>
          <w:sz w:val="20"/>
          <w:szCs w:val="20"/>
        </w:rPr>
      </w:pPr>
      <w:r w:rsidRPr="00C832AD">
        <w:rPr>
          <w:color w:val="auto"/>
          <w:sz w:val="20"/>
          <w:szCs w:val="20"/>
        </w:rPr>
        <w:t xml:space="preserve">uruchomienie pre-inkubacji indywidualnych działalności gospodarczych na terenie Pre-inkubatora ROZBANA (15), </w:t>
      </w:r>
    </w:p>
    <w:p w:rsidR="006239E2" w:rsidRPr="00C832AD" w:rsidRDefault="006239E2" w:rsidP="00C01544">
      <w:pPr>
        <w:pStyle w:val="Default"/>
        <w:numPr>
          <w:ilvl w:val="0"/>
          <w:numId w:val="707"/>
        </w:numPr>
        <w:spacing w:line="233" w:lineRule="auto"/>
        <w:ind w:left="1066" w:hanging="357"/>
        <w:jc w:val="both"/>
        <w:rPr>
          <w:color w:val="auto"/>
          <w:sz w:val="20"/>
          <w:szCs w:val="20"/>
        </w:rPr>
      </w:pPr>
      <w:r w:rsidRPr="00C832AD">
        <w:rPr>
          <w:color w:val="auto"/>
          <w:sz w:val="20"/>
          <w:szCs w:val="20"/>
        </w:rPr>
        <w:t xml:space="preserve">uruchomienie Punktu Outplacement ROZBANA (18), </w:t>
      </w:r>
    </w:p>
    <w:p w:rsidR="006239E2" w:rsidRPr="00C832AD" w:rsidRDefault="006239E2" w:rsidP="00C01544">
      <w:pPr>
        <w:pStyle w:val="Default"/>
        <w:numPr>
          <w:ilvl w:val="0"/>
          <w:numId w:val="707"/>
        </w:numPr>
        <w:spacing w:line="233" w:lineRule="auto"/>
        <w:ind w:left="1066" w:hanging="357"/>
        <w:jc w:val="both"/>
        <w:rPr>
          <w:color w:val="auto"/>
          <w:sz w:val="20"/>
          <w:szCs w:val="20"/>
        </w:rPr>
      </w:pPr>
      <w:r w:rsidRPr="00C832AD">
        <w:rPr>
          <w:color w:val="auto"/>
          <w:sz w:val="20"/>
          <w:szCs w:val="20"/>
        </w:rPr>
        <w:t xml:space="preserve">uruchomienie Punktu Żłobek ROZBANA (21), </w:t>
      </w:r>
    </w:p>
    <w:p w:rsidR="006239E2" w:rsidRPr="00C832AD" w:rsidRDefault="006239E2" w:rsidP="00C01544">
      <w:pPr>
        <w:pStyle w:val="Default"/>
        <w:numPr>
          <w:ilvl w:val="0"/>
          <w:numId w:val="707"/>
        </w:numPr>
        <w:spacing w:line="233" w:lineRule="auto"/>
        <w:ind w:left="1066" w:hanging="357"/>
        <w:jc w:val="both"/>
        <w:rPr>
          <w:color w:val="auto"/>
          <w:sz w:val="20"/>
          <w:szCs w:val="20"/>
        </w:rPr>
      </w:pPr>
      <w:r w:rsidRPr="00C832AD">
        <w:rPr>
          <w:color w:val="auto"/>
          <w:sz w:val="20"/>
          <w:szCs w:val="20"/>
        </w:rPr>
        <w:t xml:space="preserve">uruchomienie Integracyjnego Ośrodka Aktywności ROZBANA (47), </w:t>
      </w:r>
    </w:p>
    <w:p w:rsidR="006239E2" w:rsidRPr="00C832AD" w:rsidRDefault="006239E2" w:rsidP="00C01544">
      <w:pPr>
        <w:pStyle w:val="Default"/>
        <w:numPr>
          <w:ilvl w:val="0"/>
          <w:numId w:val="707"/>
        </w:numPr>
        <w:spacing w:line="233" w:lineRule="auto"/>
        <w:ind w:left="1066" w:hanging="357"/>
        <w:jc w:val="both"/>
        <w:rPr>
          <w:color w:val="auto"/>
          <w:sz w:val="20"/>
          <w:szCs w:val="20"/>
        </w:rPr>
      </w:pPr>
      <w:r w:rsidRPr="00C832AD">
        <w:rPr>
          <w:color w:val="auto"/>
          <w:sz w:val="20"/>
          <w:szCs w:val="20"/>
        </w:rPr>
        <w:t xml:space="preserve">uruchomienie Świetlicy ROZBANA oraz Usług Opiekuńczych ROZBANA (71), </w:t>
      </w:r>
    </w:p>
    <w:p w:rsidR="006239E2" w:rsidRPr="00C832AD" w:rsidRDefault="006239E2" w:rsidP="00C01544">
      <w:pPr>
        <w:pStyle w:val="Default"/>
        <w:numPr>
          <w:ilvl w:val="0"/>
          <w:numId w:val="707"/>
        </w:numPr>
        <w:spacing w:line="233" w:lineRule="auto"/>
        <w:ind w:left="1066" w:hanging="357"/>
        <w:jc w:val="both"/>
        <w:rPr>
          <w:color w:val="auto"/>
          <w:sz w:val="20"/>
          <w:szCs w:val="20"/>
        </w:rPr>
      </w:pPr>
      <w:r w:rsidRPr="00C832AD">
        <w:rPr>
          <w:color w:val="auto"/>
          <w:sz w:val="20"/>
          <w:szCs w:val="20"/>
        </w:rPr>
        <w:t xml:space="preserve">powstanie Ośrodka Przedszkolnego ROZBANA (74), </w:t>
      </w:r>
    </w:p>
    <w:p w:rsidR="006239E2" w:rsidRPr="00C832AD" w:rsidRDefault="006239E2" w:rsidP="00C01544">
      <w:pPr>
        <w:pStyle w:val="Default"/>
        <w:numPr>
          <w:ilvl w:val="0"/>
          <w:numId w:val="707"/>
        </w:numPr>
        <w:spacing w:line="233" w:lineRule="auto"/>
        <w:ind w:left="1066" w:hanging="357"/>
        <w:jc w:val="both"/>
        <w:rPr>
          <w:color w:val="auto"/>
          <w:sz w:val="20"/>
          <w:szCs w:val="20"/>
        </w:rPr>
      </w:pPr>
      <w:r w:rsidRPr="00C832AD">
        <w:rPr>
          <w:color w:val="auto"/>
          <w:sz w:val="20"/>
          <w:szCs w:val="20"/>
        </w:rPr>
        <w:t>powstanie Oś</w:t>
      </w:r>
      <w:r w:rsidR="00037385">
        <w:rPr>
          <w:color w:val="auto"/>
          <w:sz w:val="20"/>
          <w:szCs w:val="20"/>
        </w:rPr>
        <w:t>rodka Oświatowego ROZBANA (78).</w:t>
      </w:r>
    </w:p>
    <w:p w:rsidR="006239E2" w:rsidRPr="00C01544" w:rsidRDefault="006239E2" w:rsidP="00C832AD">
      <w:pPr>
        <w:pStyle w:val="Default"/>
        <w:jc w:val="both"/>
        <w:rPr>
          <w:rFonts w:cs="Wingdings"/>
          <w:color w:val="auto"/>
          <w:sz w:val="16"/>
          <w:szCs w:val="20"/>
        </w:rPr>
      </w:pPr>
    </w:p>
    <w:p w:rsidR="00F53E1F" w:rsidRDefault="006239E2" w:rsidP="00F53E1F">
      <w:pPr>
        <w:pStyle w:val="Default"/>
        <w:numPr>
          <w:ilvl w:val="0"/>
          <w:numId w:val="702"/>
        </w:numPr>
        <w:ind w:left="714" w:hanging="357"/>
        <w:jc w:val="both"/>
        <w:rPr>
          <w:color w:val="auto"/>
          <w:sz w:val="20"/>
          <w:szCs w:val="20"/>
        </w:rPr>
      </w:pPr>
      <w:r w:rsidRPr="00C832AD">
        <w:rPr>
          <w:color w:val="auto"/>
          <w:sz w:val="20"/>
          <w:szCs w:val="20"/>
        </w:rPr>
        <w:t>Kompleksowa rewitalizacja złożona ze stref seniora, aktywizacji młodych, dla najmłodszych, zieleni, Inkubator Przedsiębiorczości z ukierunkowaniem na świadczenie usług dla osób starszych, poradnia zdrowia psychicznego wraz z ośrodkiem tera</w:t>
      </w:r>
      <w:r w:rsidR="00FF5341">
        <w:rPr>
          <w:color w:val="auto"/>
          <w:sz w:val="20"/>
          <w:szCs w:val="20"/>
        </w:rPr>
        <w:t>pii uzależnień, współuzależnień</w:t>
      </w:r>
      <w:r w:rsidRPr="00C832AD">
        <w:rPr>
          <w:color w:val="auto"/>
          <w:sz w:val="20"/>
          <w:szCs w:val="20"/>
        </w:rPr>
        <w:t xml:space="preserve"> i profilaktyki (120).</w:t>
      </w:r>
    </w:p>
    <w:p w:rsidR="00CA6225" w:rsidRDefault="00CA6225" w:rsidP="00CA6225">
      <w:pPr>
        <w:pStyle w:val="Default"/>
        <w:ind w:left="714"/>
        <w:jc w:val="both"/>
        <w:rPr>
          <w:color w:val="auto"/>
          <w:sz w:val="20"/>
          <w:szCs w:val="20"/>
        </w:rPr>
      </w:pPr>
    </w:p>
    <w:p w:rsidR="00002B1D" w:rsidRPr="000E69E5" w:rsidRDefault="00002B1D" w:rsidP="00F22008">
      <w:pPr>
        <w:pStyle w:val="NormalnyWeb1"/>
        <w:shd w:val="clear" w:color="auto" w:fill="99CCFF"/>
        <w:spacing w:before="0" w:line="240" w:lineRule="auto"/>
        <w:jc w:val="center"/>
        <w:rPr>
          <w:b/>
          <w:bCs/>
          <w:i/>
          <w:iCs/>
          <w:szCs w:val="20"/>
        </w:rPr>
      </w:pPr>
      <w:r w:rsidRPr="000E69E5">
        <w:rPr>
          <w:b/>
          <w:bCs/>
          <w:i/>
          <w:iCs/>
          <w:szCs w:val="20"/>
        </w:rPr>
        <w:t>Wiązka 2: Bobrek - Huta Bobrek - EC Szombierki + Pola Szombierskie</w:t>
      </w:r>
    </w:p>
    <w:p w:rsidR="00002B1D" w:rsidRPr="00C01544" w:rsidRDefault="00002B1D" w:rsidP="00C01544">
      <w:pPr>
        <w:pStyle w:val="NormalnyWeb1"/>
        <w:spacing w:before="0" w:after="0"/>
        <w:rPr>
          <w:sz w:val="16"/>
          <w:szCs w:val="20"/>
        </w:rPr>
      </w:pPr>
    </w:p>
    <w:p w:rsidR="00C83DF4" w:rsidRPr="00C83DF4" w:rsidRDefault="00C83DF4" w:rsidP="00C83DF4">
      <w:pPr>
        <w:pStyle w:val="Default"/>
        <w:jc w:val="both"/>
        <w:rPr>
          <w:rFonts w:asciiTheme="minorHAnsi" w:hAnsiTheme="minorHAnsi"/>
          <w:color w:val="auto"/>
          <w:sz w:val="20"/>
          <w:szCs w:val="20"/>
        </w:rPr>
      </w:pPr>
      <w:r w:rsidRPr="00C83DF4">
        <w:rPr>
          <w:rFonts w:asciiTheme="minorHAnsi" w:hAnsiTheme="minorHAnsi"/>
          <w:b/>
          <w:bCs/>
          <w:color w:val="auto"/>
          <w:sz w:val="20"/>
          <w:szCs w:val="20"/>
        </w:rPr>
        <w:t xml:space="preserve">Interwencje projektowe w ramach wiązki. </w:t>
      </w:r>
    </w:p>
    <w:p w:rsidR="00C83DF4" w:rsidRPr="00C83DF4" w:rsidRDefault="00C83DF4" w:rsidP="00C83DF4">
      <w:pPr>
        <w:pStyle w:val="Default"/>
        <w:jc w:val="both"/>
        <w:rPr>
          <w:rFonts w:asciiTheme="minorHAnsi" w:hAnsiTheme="minorHAnsi"/>
          <w:color w:val="auto"/>
          <w:sz w:val="20"/>
          <w:szCs w:val="20"/>
        </w:rPr>
      </w:pPr>
      <w:r w:rsidRPr="00C83DF4">
        <w:rPr>
          <w:rFonts w:asciiTheme="minorHAnsi" w:hAnsiTheme="minorHAnsi"/>
          <w:color w:val="auto"/>
          <w:sz w:val="20"/>
          <w:szCs w:val="20"/>
        </w:rPr>
        <w:t xml:space="preserve">W wiązce, po przeanalizowaniu działań zaplanowanych przez Miasto oraz przeprowadzeniu konsultacji społecznych, w odpowiedzi na problemy przedstawione w diagnozie, znalazły się projekty pogrupowane zgodnie z realizowanymi celami operacyjnymi. Poniżej przedstawiono informacje o poszczególnych projektach ze wskazaniem numeru porządkowego, pod jakim zostały zamieszczone w załączniku nr 2 – </w:t>
      </w:r>
      <w:r w:rsidR="00B35D7D">
        <w:rPr>
          <w:rFonts w:asciiTheme="minorHAnsi" w:hAnsiTheme="minorHAnsi"/>
          <w:color w:val="auto"/>
          <w:sz w:val="20"/>
          <w:szCs w:val="20"/>
        </w:rPr>
        <w:t>„</w:t>
      </w:r>
      <w:r w:rsidRPr="00C83DF4">
        <w:rPr>
          <w:rFonts w:asciiTheme="minorHAnsi" w:hAnsiTheme="minorHAnsi"/>
          <w:color w:val="auto"/>
          <w:sz w:val="20"/>
          <w:szCs w:val="20"/>
        </w:rPr>
        <w:t>Lista</w:t>
      </w:r>
      <w:r w:rsidR="00B35D7D">
        <w:rPr>
          <w:rFonts w:asciiTheme="minorHAnsi" w:hAnsiTheme="minorHAnsi"/>
          <w:color w:val="auto"/>
          <w:sz w:val="20"/>
          <w:szCs w:val="20"/>
        </w:rPr>
        <w:t xml:space="preserve"> przedsięwzięć podstawowych do </w:t>
      </w:r>
      <w:r w:rsidRPr="00C83DF4">
        <w:rPr>
          <w:rFonts w:asciiTheme="minorHAnsi" w:hAnsiTheme="minorHAnsi"/>
          <w:color w:val="auto"/>
          <w:sz w:val="20"/>
          <w:szCs w:val="20"/>
        </w:rPr>
        <w:t>Gminnego Programu Rewitalizacji. Bytom 2020+”. Pr</w:t>
      </w:r>
      <w:r w:rsidR="001C787F">
        <w:rPr>
          <w:rFonts w:asciiTheme="minorHAnsi" w:hAnsiTheme="minorHAnsi"/>
          <w:color w:val="auto"/>
          <w:sz w:val="20"/>
          <w:szCs w:val="20"/>
        </w:rPr>
        <w:t>ojekty mają przyczynić się do oż</w:t>
      </w:r>
      <w:r w:rsidRPr="00C83DF4">
        <w:rPr>
          <w:rFonts w:asciiTheme="minorHAnsi" w:hAnsiTheme="minorHAnsi"/>
          <w:color w:val="auto"/>
          <w:sz w:val="20"/>
          <w:szCs w:val="20"/>
        </w:rPr>
        <w:t>ywienia społecznego i gospodarczego</w:t>
      </w:r>
      <w:r w:rsidR="001C787F">
        <w:rPr>
          <w:rFonts w:asciiTheme="minorHAnsi" w:hAnsiTheme="minorHAnsi"/>
          <w:color w:val="auto"/>
          <w:sz w:val="20"/>
          <w:szCs w:val="20"/>
        </w:rPr>
        <w:t xml:space="preserve"> </w:t>
      </w:r>
      <w:r w:rsidRPr="00C83DF4">
        <w:rPr>
          <w:rFonts w:asciiTheme="minorHAnsi" w:hAnsiTheme="minorHAnsi"/>
          <w:color w:val="auto"/>
          <w:sz w:val="20"/>
          <w:szCs w:val="20"/>
        </w:rPr>
        <w:t>dzielnicy oraz poprawy</w:t>
      </w:r>
      <w:r w:rsidR="001C787F">
        <w:rPr>
          <w:rFonts w:asciiTheme="minorHAnsi" w:hAnsiTheme="minorHAnsi"/>
          <w:color w:val="auto"/>
          <w:sz w:val="20"/>
          <w:szCs w:val="20"/>
        </w:rPr>
        <w:t xml:space="preserve"> </w:t>
      </w:r>
      <w:r w:rsidRPr="00C83DF4">
        <w:rPr>
          <w:rFonts w:asciiTheme="minorHAnsi" w:hAnsiTheme="minorHAnsi"/>
          <w:color w:val="auto"/>
          <w:sz w:val="20"/>
          <w:szCs w:val="20"/>
        </w:rPr>
        <w:t>sytuacji mieszkańców. Obok licznych działań rewitalizacji społecznej, zaplanowano tu projekty z zakresu renowacji budynków mieszkalnych wraz z</w:t>
      </w:r>
      <w:r w:rsidR="00245F2E">
        <w:rPr>
          <w:rFonts w:asciiTheme="minorHAnsi" w:hAnsiTheme="minorHAnsi"/>
          <w:color w:val="auto"/>
          <w:sz w:val="20"/>
          <w:szCs w:val="20"/>
        </w:rPr>
        <w:t> </w:t>
      </w:r>
      <w:r w:rsidRPr="00C83DF4">
        <w:rPr>
          <w:rFonts w:asciiTheme="minorHAnsi" w:hAnsiTheme="minorHAnsi"/>
          <w:color w:val="auto"/>
          <w:sz w:val="20"/>
          <w:szCs w:val="20"/>
        </w:rPr>
        <w:t xml:space="preserve">otoczeniem oraz utworzenia infrastruktury społecznej. </w:t>
      </w:r>
    </w:p>
    <w:p w:rsidR="00C83DF4" w:rsidRPr="00C83DF4" w:rsidRDefault="00C83DF4" w:rsidP="00C83DF4">
      <w:pPr>
        <w:pStyle w:val="Default"/>
        <w:jc w:val="both"/>
        <w:rPr>
          <w:rFonts w:asciiTheme="minorHAnsi" w:hAnsiTheme="minorHAnsi"/>
          <w:b/>
          <w:bCs/>
          <w:color w:val="auto"/>
          <w:sz w:val="20"/>
          <w:szCs w:val="20"/>
        </w:rPr>
      </w:pPr>
      <w:r w:rsidRPr="00C83DF4">
        <w:rPr>
          <w:rFonts w:asciiTheme="minorHAnsi" w:hAnsiTheme="minorHAnsi"/>
          <w:b/>
          <w:bCs/>
          <w:color w:val="auto"/>
          <w:sz w:val="20"/>
          <w:szCs w:val="20"/>
        </w:rPr>
        <w:t>Cel Operacyjny 1.1 Wysoki poziom przedsiębiorczości mieszkańców kompensujący niedobory miejsc pracy w</w:t>
      </w:r>
      <w:r w:rsidR="00245F2E">
        <w:rPr>
          <w:rFonts w:asciiTheme="minorHAnsi" w:hAnsiTheme="minorHAnsi"/>
          <w:b/>
          <w:bCs/>
          <w:color w:val="auto"/>
          <w:sz w:val="20"/>
          <w:szCs w:val="20"/>
        </w:rPr>
        <w:t> </w:t>
      </w:r>
      <w:r w:rsidRPr="00C83DF4">
        <w:rPr>
          <w:rFonts w:asciiTheme="minorHAnsi" w:hAnsiTheme="minorHAnsi"/>
          <w:b/>
          <w:bCs/>
          <w:color w:val="auto"/>
          <w:sz w:val="20"/>
          <w:szCs w:val="20"/>
        </w:rPr>
        <w:t xml:space="preserve">mieście - projekty: </w:t>
      </w:r>
    </w:p>
    <w:p w:rsidR="00C83DF4" w:rsidRPr="00C83DF4" w:rsidRDefault="00C83DF4" w:rsidP="00245F2E">
      <w:pPr>
        <w:pStyle w:val="Default"/>
        <w:numPr>
          <w:ilvl w:val="0"/>
          <w:numId w:val="710"/>
        </w:numPr>
        <w:spacing w:after="9"/>
        <w:jc w:val="both"/>
        <w:rPr>
          <w:rFonts w:asciiTheme="minorHAnsi" w:hAnsiTheme="minorHAnsi"/>
          <w:color w:val="auto"/>
          <w:sz w:val="20"/>
          <w:szCs w:val="20"/>
        </w:rPr>
      </w:pPr>
      <w:r w:rsidRPr="00C83DF4">
        <w:rPr>
          <w:rFonts w:asciiTheme="minorHAnsi" w:hAnsiTheme="minorHAnsi"/>
          <w:color w:val="auto"/>
          <w:sz w:val="20"/>
          <w:szCs w:val="20"/>
        </w:rPr>
        <w:t xml:space="preserve">Szansa na własną firmę (11), </w:t>
      </w:r>
    </w:p>
    <w:p w:rsidR="00C83DF4" w:rsidRPr="00C83DF4" w:rsidRDefault="00C83DF4" w:rsidP="00245F2E">
      <w:pPr>
        <w:pStyle w:val="Default"/>
        <w:numPr>
          <w:ilvl w:val="0"/>
          <w:numId w:val="710"/>
        </w:numPr>
        <w:spacing w:after="9"/>
        <w:jc w:val="both"/>
        <w:rPr>
          <w:rFonts w:asciiTheme="minorHAnsi" w:hAnsiTheme="minorHAnsi"/>
          <w:color w:val="auto"/>
          <w:sz w:val="20"/>
          <w:szCs w:val="20"/>
        </w:rPr>
      </w:pPr>
      <w:r w:rsidRPr="00C83DF4">
        <w:rPr>
          <w:rFonts w:asciiTheme="minorHAnsi" w:hAnsiTheme="minorHAnsi"/>
          <w:color w:val="auto"/>
          <w:sz w:val="20"/>
          <w:szCs w:val="20"/>
        </w:rPr>
        <w:t xml:space="preserve">Firma dla seniora (12), </w:t>
      </w:r>
    </w:p>
    <w:p w:rsidR="00C83DF4" w:rsidRPr="00C83DF4" w:rsidRDefault="00C83DF4" w:rsidP="00245F2E">
      <w:pPr>
        <w:pStyle w:val="Default"/>
        <w:numPr>
          <w:ilvl w:val="0"/>
          <w:numId w:val="710"/>
        </w:numPr>
        <w:spacing w:after="9"/>
        <w:jc w:val="both"/>
        <w:rPr>
          <w:rFonts w:asciiTheme="minorHAnsi" w:hAnsiTheme="minorHAnsi"/>
          <w:color w:val="auto"/>
          <w:sz w:val="20"/>
          <w:szCs w:val="20"/>
        </w:rPr>
      </w:pPr>
      <w:r w:rsidRPr="00C83DF4">
        <w:rPr>
          <w:rFonts w:asciiTheme="minorHAnsi" w:hAnsiTheme="minorHAnsi"/>
          <w:color w:val="auto"/>
          <w:sz w:val="20"/>
          <w:szCs w:val="20"/>
        </w:rPr>
        <w:t xml:space="preserve">Aktywizacja bytomskiej przedsiębiorczości (13), </w:t>
      </w:r>
    </w:p>
    <w:p w:rsidR="00C83DF4" w:rsidRPr="00C83DF4" w:rsidRDefault="00C83DF4" w:rsidP="00245F2E">
      <w:pPr>
        <w:pStyle w:val="Default"/>
        <w:numPr>
          <w:ilvl w:val="0"/>
          <w:numId w:val="710"/>
        </w:numPr>
        <w:jc w:val="both"/>
        <w:rPr>
          <w:rFonts w:asciiTheme="minorHAnsi" w:hAnsiTheme="minorHAnsi"/>
          <w:color w:val="auto"/>
          <w:sz w:val="20"/>
          <w:szCs w:val="20"/>
        </w:rPr>
      </w:pPr>
      <w:r w:rsidRPr="00C83DF4">
        <w:rPr>
          <w:rFonts w:asciiTheme="minorHAnsi" w:hAnsiTheme="minorHAnsi"/>
          <w:color w:val="auto"/>
          <w:sz w:val="20"/>
          <w:szCs w:val="20"/>
        </w:rPr>
        <w:t>Bytomski Inkubator Przedsiębiorczości (14),</w:t>
      </w:r>
    </w:p>
    <w:p w:rsidR="00C83DF4" w:rsidRPr="00C83DF4" w:rsidRDefault="00C83DF4" w:rsidP="00C83DF4">
      <w:pPr>
        <w:pStyle w:val="Default"/>
        <w:numPr>
          <w:ilvl w:val="0"/>
          <w:numId w:val="708"/>
        </w:numPr>
        <w:jc w:val="both"/>
        <w:rPr>
          <w:rFonts w:asciiTheme="minorHAnsi" w:hAnsiTheme="minorHAnsi"/>
          <w:color w:val="auto"/>
          <w:sz w:val="20"/>
          <w:szCs w:val="20"/>
        </w:rPr>
      </w:pPr>
      <w:r w:rsidRPr="00C83DF4">
        <w:rPr>
          <w:rFonts w:asciiTheme="minorHAnsi" w:hAnsiTheme="minorHAnsi"/>
          <w:color w:val="auto"/>
          <w:sz w:val="20"/>
          <w:szCs w:val="20"/>
        </w:rPr>
        <w:t>Usługi rozwojowe dla bytomskich przedsiębiorstw (23),</w:t>
      </w:r>
    </w:p>
    <w:p w:rsidR="00C83DF4" w:rsidRPr="00C83DF4" w:rsidRDefault="00C83DF4" w:rsidP="00C83DF4">
      <w:pPr>
        <w:pStyle w:val="Default"/>
        <w:numPr>
          <w:ilvl w:val="0"/>
          <w:numId w:val="708"/>
        </w:numPr>
        <w:spacing w:after="9"/>
        <w:jc w:val="both"/>
        <w:rPr>
          <w:rFonts w:asciiTheme="minorHAnsi" w:hAnsiTheme="minorHAnsi"/>
          <w:color w:val="auto"/>
          <w:sz w:val="20"/>
          <w:szCs w:val="20"/>
        </w:rPr>
      </w:pPr>
      <w:r w:rsidRPr="00C83DF4">
        <w:rPr>
          <w:rFonts w:asciiTheme="minorHAnsi" w:hAnsiTheme="minorHAnsi"/>
          <w:color w:val="auto"/>
          <w:sz w:val="20"/>
          <w:szCs w:val="20"/>
        </w:rPr>
        <w:t xml:space="preserve">Bytomscy Transformersi–Strażnicy kapitału społecznego I (30), </w:t>
      </w:r>
    </w:p>
    <w:p w:rsidR="00C83DF4" w:rsidRPr="00C83DF4" w:rsidRDefault="00C83DF4" w:rsidP="00C83DF4">
      <w:pPr>
        <w:pStyle w:val="Default"/>
        <w:numPr>
          <w:ilvl w:val="0"/>
          <w:numId w:val="708"/>
        </w:numPr>
        <w:spacing w:after="9"/>
        <w:jc w:val="both"/>
        <w:rPr>
          <w:rFonts w:asciiTheme="minorHAnsi" w:hAnsiTheme="minorHAnsi"/>
          <w:color w:val="auto"/>
          <w:sz w:val="20"/>
          <w:szCs w:val="20"/>
        </w:rPr>
      </w:pPr>
      <w:r w:rsidRPr="00C83DF4">
        <w:rPr>
          <w:rFonts w:asciiTheme="minorHAnsi" w:hAnsiTheme="minorHAnsi"/>
          <w:color w:val="auto"/>
          <w:sz w:val="20"/>
          <w:szCs w:val="20"/>
        </w:rPr>
        <w:t xml:space="preserve">Bytomscy Transformersi–Strażnicy kapitału społecznego II (31), </w:t>
      </w:r>
    </w:p>
    <w:p w:rsidR="00C83DF4" w:rsidRPr="00C83DF4" w:rsidRDefault="00C83DF4" w:rsidP="00C83DF4">
      <w:pPr>
        <w:pStyle w:val="Default"/>
        <w:numPr>
          <w:ilvl w:val="0"/>
          <w:numId w:val="708"/>
        </w:numPr>
        <w:spacing w:after="9"/>
        <w:jc w:val="both"/>
        <w:rPr>
          <w:rFonts w:asciiTheme="minorHAnsi" w:hAnsiTheme="minorHAnsi"/>
          <w:color w:val="auto"/>
          <w:sz w:val="20"/>
          <w:szCs w:val="20"/>
        </w:rPr>
      </w:pPr>
      <w:r w:rsidRPr="00C83DF4">
        <w:rPr>
          <w:rFonts w:asciiTheme="minorHAnsi" w:hAnsiTheme="minorHAnsi"/>
          <w:color w:val="auto"/>
          <w:sz w:val="20"/>
          <w:szCs w:val="20"/>
        </w:rPr>
        <w:t xml:space="preserve">Bytomscy Transformersi–Strażnicy kapitału społecznego III (32), </w:t>
      </w:r>
    </w:p>
    <w:p w:rsidR="00C83DF4" w:rsidRPr="00C83DF4" w:rsidRDefault="00C83DF4" w:rsidP="00C83DF4">
      <w:pPr>
        <w:pStyle w:val="Default"/>
        <w:numPr>
          <w:ilvl w:val="0"/>
          <w:numId w:val="708"/>
        </w:numPr>
        <w:spacing w:after="9"/>
        <w:jc w:val="both"/>
        <w:rPr>
          <w:rFonts w:asciiTheme="minorHAnsi" w:hAnsiTheme="minorHAnsi"/>
          <w:color w:val="auto"/>
          <w:sz w:val="20"/>
          <w:szCs w:val="20"/>
        </w:rPr>
      </w:pPr>
      <w:r w:rsidRPr="00C83DF4">
        <w:rPr>
          <w:rFonts w:asciiTheme="minorHAnsi" w:hAnsiTheme="minorHAnsi"/>
          <w:color w:val="auto"/>
          <w:sz w:val="20"/>
          <w:szCs w:val="20"/>
        </w:rPr>
        <w:t xml:space="preserve">Bytomscy Transformersi–Strażnicy kapitału społecznego IV (33), </w:t>
      </w:r>
    </w:p>
    <w:p w:rsidR="00C83DF4" w:rsidRPr="00C83DF4" w:rsidRDefault="00C83DF4" w:rsidP="00C83DF4">
      <w:pPr>
        <w:pStyle w:val="Default"/>
        <w:numPr>
          <w:ilvl w:val="0"/>
          <w:numId w:val="708"/>
        </w:numPr>
        <w:jc w:val="both"/>
        <w:rPr>
          <w:rFonts w:asciiTheme="minorHAnsi" w:hAnsiTheme="minorHAnsi"/>
          <w:color w:val="auto"/>
          <w:sz w:val="20"/>
          <w:szCs w:val="20"/>
        </w:rPr>
      </w:pPr>
      <w:r w:rsidRPr="00C83DF4">
        <w:rPr>
          <w:rFonts w:asciiTheme="minorHAnsi" w:hAnsiTheme="minorHAnsi"/>
          <w:color w:val="auto"/>
          <w:sz w:val="20"/>
          <w:szCs w:val="20"/>
        </w:rPr>
        <w:t>Bytomski Ośrodek Aktywności (40),</w:t>
      </w:r>
    </w:p>
    <w:p w:rsidR="00C83DF4" w:rsidRPr="00C83DF4" w:rsidRDefault="00C83DF4" w:rsidP="00C83DF4">
      <w:pPr>
        <w:pStyle w:val="Default"/>
        <w:numPr>
          <w:ilvl w:val="0"/>
          <w:numId w:val="708"/>
        </w:numPr>
        <w:jc w:val="both"/>
        <w:rPr>
          <w:rFonts w:asciiTheme="minorHAnsi" w:hAnsiTheme="minorHAnsi"/>
          <w:color w:val="auto"/>
          <w:sz w:val="20"/>
          <w:szCs w:val="20"/>
        </w:rPr>
      </w:pPr>
      <w:r w:rsidRPr="00C83DF4">
        <w:rPr>
          <w:rFonts w:asciiTheme="minorHAnsi" w:hAnsiTheme="minorHAnsi"/>
          <w:color w:val="auto"/>
          <w:sz w:val="20"/>
          <w:szCs w:val="20"/>
        </w:rPr>
        <w:t>Centrum Integracji Aktywnej na start (48),</w:t>
      </w:r>
    </w:p>
    <w:p w:rsidR="00C83DF4" w:rsidRPr="00C83DF4" w:rsidRDefault="00C83DF4" w:rsidP="00C83DF4">
      <w:pPr>
        <w:pStyle w:val="Default"/>
        <w:numPr>
          <w:ilvl w:val="0"/>
          <w:numId w:val="708"/>
        </w:numPr>
        <w:spacing w:after="11"/>
        <w:jc w:val="both"/>
        <w:rPr>
          <w:rFonts w:asciiTheme="minorHAnsi" w:hAnsiTheme="minorHAnsi"/>
          <w:color w:val="auto"/>
          <w:sz w:val="20"/>
          <w:szCs w:val="20"/>
        </w:rPr>
      </w:pPr>
      <w:r w:rsidRPr="00C83DF4">
        <w:rPr>
          <w:rFonts w:asciiTheme="minorHAnsi" w:hAnsiTheme="minorHAnsi"/>
          <w:color w:val="auto"/>
          <w:sz w:val="20"/>
          <w:szCs w:val="20"/>
        </w:rPr>
        <w:t>Umiem się uczyć (75).</w:t>
      </w:r>
    </w:p>
    <w:p w:rsidR="00C83DF4" w:rsidRPr="00C83DF4" w:rsidRDefault="00C83DF4" w:rsidP="00C83DF4">
      <w:pPr>
        <w:pStyle w:val="Default"/>
        <w:spacing w:after="11"/>
        <w:jc w:val="both"/>
        <w:rPr>
          <w:rFonts w:asciiTheme="minorHAnsi" w:hAnsiTheme="minorHAnsi"/>
          <w:color w:val="auto"/>
          <w:sz w:val="20"/>
          <w:szCs w:val="20"/>
        </w:rPr>
      </w:pPr>
    </w:p>
    <w:p w:rsidR="00C83DF4" w:rsidRPr="00C83DF4" w:rsidRDefault="00C83DF4" w:rsidP="00C83DF4">
      <w:pPr>
        <w:pStyle w:val="Default"/>
        <w:jc w:val="both"/>
        <w:rPr>
          <w:rFonts w:asciiTheme="minorHAnsi" w:hAnsiTheme="minorHAnsi"/>
          <w:b/>
          <w:bCs/>
          <w:color w:val="auto"/>
          <w:sz w:val="20"/>
          <w:szCs w:val="20"/>
        </w:rPr>
      </w:pPr>
      <w:r w:rsidRPr="00C83DF4">
        <w:rPr>
          <w:rFonts w:asciiTheme="minorHAnsi" w:hAnsiTheme="minorHAnsi"/>
          <w:b/>
          <w:bCs/>
          <w:color w:val="auto"/>
          <w:sz w:val="20"/>
          <w:szCs w:val="20"/>
        </w:rPr>
        <w:t>Cel Operacyjny 1.2 Dogodne warunki dla rozwoju firm lokalnych – projekty:</w:t>
      </w:r>
    </w:p>
    <w:p w:rsidR="00C83DF4" w:rsidRPr="00C83DF4" w:rsidRDefault="00C83DF4" w:rsidP="00245F2E">
      <w:pPr>
        <w:pStyle w:val="Default"/>
        <w:numPr>
          <w:ilvl w:val="0"/>
          <w:numId w:val="687"/>
        </w:numPr>
        <w:jc w:val="both"/>
        <w:rPr>
          <w:rFonts w:asciiTheme="minorHAnsi" w:hAnsiTheme="minorHAnsi"/>
          <w:color w:val="auto"/>
          <w:sz w:val="20"/>
          <w:szCs w:val="20"/>
        </w:rPr>
      </w:pPr>
      <w:r w:rsidRPr="00C83DF4">
        <w:rPr>
          <w:rFonts w:asciiTheme="minorHAnsi" w:hAnsiTheme="minorHAnsi"/>
          <w:color w:val="auto"/>
          <w:sz w:val="20"/>
          <w:szCs w:val="20"/>
        </w:rPr>
        <w:t>Rewitalizacja społeczna bezrobotnych mieszkańców Bytomia poprzez aktywizację zawodową –</w:t>
      </w:r>
      <w:r w:rsidR="00245F2E">
        <w:rPr>
          <w:rFonts w:asciiTheme="minorHAnsi" w:hAnsiTheme="minorHAnsi"/>
          <w:color w:val="auto"/>
          <w:sz w:val="20"/>
          <w:szCs w:val="20"/>
        </w:rPr>
        <w:t xml:space="preserve"> etap </w:t>
      </w:r>
      <w:r w:rsidRPr="00C83DF4">
        <w:rPr>
          <w:rFonts w:asciiTheme="minorHAnsi" w:hAnsiTheme="minorHAnsi"/>
          <w:color w:val="auto"/>
          <w:sz w:val="20"/>
          <w:szCs w:val="20"/>
        </w:rPr>
        <w:t>I</w:t>
      </w:r>
      <w:r w:rsidR="00245F2E">
        <w:rPr>
          <w:rFonts w:asciiTheme="minorHAnsi" w:hAnsiTheme="minorHAnsi"/>
          <w:color w:val="auto"/>
          <w:sz w:val="20"/>
          <w:szCs w:val="20"/>
        </w:rPr>
        <w:t> </w:t>
      </w:r>
      <w:r w:rsidRPr="00C83DF4">
        <w:rPr>
          <w:rFonts w:asciiTheme="minorHAnsi" w:hAnsiTheme="minorHAnsi"/>
          <w:color w:val="auto"/>
          <w:sz w:val="20"/>
          <w:szCs w:val="20"/>
        </w:rPr>
        <w:t xml:space="preserve">(1), </w:t>
      </w:r>
    </w:p>
    <w:p w:rsidR="00C83DF4" w:rsidRPr="00C83DF4" w:rsidRDefault="00C83DF4" w:rsidP="00245F2E">
      <w:pPr>
        <w:pStyle w:val="Default"/>
        <w:numPr>
          <w:ilvl w:val="0"/>
          <w:numId w:val="687"/>
        </w:numPr>
        <w:jc w:val="both"/>
        <w:rPr>
          <w:rFonts w:asciiTheme="minorHAnsi" w:hAnsiTheme="minorHAnsi"/>
          <w:color w:val="auto"/>
          <w:sz w:val="20"/>
          <w:szCs w:val="20"/>
        </w:rPr>
      </w:pPr>
      <w:r w:rsidRPr="00C83DF4">
        <w:rPr>
          <w:rFonts w:asciiTheme="minorHAnsi" w:hAnsiTheme="minorHAnsi"/>
          <w:color w:val="auto"/>
          <w:sz w:val="20"/>
          <w:szCs w:val="20"/>
        </w:rPr>
        <w:t>Rewitalizacja społeczna bezrobotnych mieszkańców Bytomia popr</w:t>
      </w:r>
      <w:r w:rsidR="00245F2E">
        <w:rPr>
          <w:rFonts w:asciiTheme="minorHAnsi" w:hAnsiTheme="minorHAnsi"/>
          <w:color w:val="auto"/>
          <w:sz w:val="20"/>
          <w:szCs w:val="20"/>
        </w:rPr>
        <w:t>zez aktywizację zawodową – etap </w:t>
      </w:r>
      <w:r w:rsidRPr="00C83DF4">
        <w:rPr>
          <w:rFonts w:asciiTheme="minorHAnsi" w:hAnsiTheme="minorHAnsi"/>
          <w:color w:val="auto"/>
          <w:sz w:val="20"/>
          <w:szCs w:val="20"/>
        </w:rPr>
        <w:t>II</w:t>
      </w:r>
      <w:r w:rsidR="00245F2E">
        <w:rPr>
          <w:rFonts w:asciiTheme="minorHAnsi" w:hAnsiTheme="minorHAnsi"/>
          <w:color w:val="auto"/>
          <w:sz w:val="20"/>
          <w:szCs w:val="20"/>
        </w:rPr>
        <w:t> </w:t>
      </w:r>
      <w:r w:rsidRPr="00C83DF4">
        <w:rPr>
          <w:rFonts w:asciiTheme="minorHAnsi" w:hAnsiTheme="minorHAnsi"/>
          <w:color w:val="auto"/>
          <w:sz w:val="20"/>
          <w:szCs w:val="20"/>
        </w:rPr>
        <w:t xml:space="preserve">(2), </w:t>
      </w:r>
    </w:p>
    <w:p w:rsidR="00C83DF4" w:rsidRPr="00C83DF4" w:rsidRDefault="00C83DF4" w:rsidP="00245F2E">
      <w:pPr>
        <w:pStyle w:val="Akapitzlist"/>
        <w:numPr>
          <w:ilvl w:val="0"/>
          <w:numId w:val="687"/>
        </w:numPr>
        <w:spacing w:after="160" w:line="259" w:lineRule="auto"/>
        <w:contextualSpacing/>
        <w:jc w:val="both"/>
        <w:rPr>
          <w:rFonts w:asciiTheme="minorHAnsi" w:hAnsiTheme="minorHAnsi" w:cs="Calibri"/>
          <w:sz w:val="20"/>
          <w:szCs w:val="20"/>
        </w:rPr>
      </w:pPr>
      <w:r w:rsidRPr="00C83DF4">
        <w:rPr>
          <w:rFonts w:asciiTheme="minorHAnsi" w:hAnsiTheme="minorHAnsi" w:cs="Calibri"/>
          <w:sz w:val="20"/>
          <w:szCs w:val="20"/>
        </w:rPr>
        <w:t xml:space="preserve">Rewitalizacja społeczna bezrobotnych mieszkańców Bytomia poprzez specjalistyczne szkolenia zawodowe w wybranych zawodach rzemieślniczych (3), </w:t>
      </w:r>
    </w:p>
    <w:p w:rsidR="00C83DF4" w:rsidRPr="00C83DF4" w:rsidRDefault="00C83DF4" w:rsidP="00245F2E">
      <w:pPr>
        <w:pStyle w:val="Akapitzlist"/>
        <w:numPr>
          <w:ilvl w:val="0"/>
          <w:numId w:val="687"/>
        </w:numPr>
        <w:spacing w:after="160" w:line="259" w:lineRule="auto"/>
        <w:contextualSpacing/>
        <w:jc w:val="both"/>
        <w:rPr>
          <w:rFonts w:asciiTheme="minorHAnsi" w:hAnsiTheme="minorHAnsi" w:cs="Calibri"/>
          <w:sz w:val="20"/>
          <w:szCs w:val="20"/>
        </w:rPr>
      </w:pPr>
      <w:r w:rsidRPr="00C83DF4">
        <w:rPr>
          <w:rFonts w:asciiTheme="minorHAnsi" w:hAnsiTheme="minorHAnsi" w:cs="Calibri"/>
          <w:sz w:val="20"/>
          <w:szCs w:val="20"/>
        </w:rPr>
        <w:t>Droga do aktywności zawodowej (4),</w:t>
      </w:r>
    </w:p>
    <w:p w:rsidR="00C83DF4" w:rsidRPr="00C83DF4" w:rsidRDefault="00C83DF4" w:rsidP="00245F2E">
      <w:pPr>
        <w:pStyle w:val="Akapitzlist"/>
        <w:numPr>
          <w:ilvl w:val="0"/>
          <w:numId w:val="687"/>
        </w:numPr>
        <w:spacing w:after="0" w:line="259" w:lineRule="auto"/>
        <w:contextualSpacing/>
        <w:jc w:val="both"/>
        <w:rPr>
          <w:rFonts w:asciiTheme="minorHAnsi" w:hAnsiTheme="minorHAnsi" w:cs="Calibri"/>
          <w:sz w:val="20"/>
          <w:szCs w:val="20"/>
        </w:rPr>
      </w:pPr>
      <w:r w:rsidRPr="00C83DF4">
        <w:rPr>
          <w:rFonts w:asciiTheme="minorHAnsi" w:hAnsiTheme="minorHAnsi"/>
          <w:sz w:val="20"/>
          <w:szCs w:val="20"/>
        </w:rPr>
        <w:t>Lepszy start, praca, lepsze jutro (6),</w:t>
      </w:r>
    </w:p>
    <w:p w:rsidR="00C83DF4" w:rsidRPr="00C83DF4" w:rsidRDefault="00C83DF4" w:rsidP="00245F2E">
      <w:pPr>
        <w:pStyle w:val="Default"/>
        <w:numPr>
          <w:ilvl w:val="0"/>
          <w:numId w:val="687"/>
        </w:numPr>
        <w:jc w:val="both"/>
        <w:rPr>
          <w:rFonts w:asciiTheme="minorHAnsi" w:hAnsiTheme="minorHAnsi"/>
          <w:color w:val="auto"/>
          <w:sz w:val="20"/>
          <w:szCs w:val="20"/>
        </w:rPr>
      </w:pPr>
      <w:r w:rsidRPr="00C83DF4">
        <w:rPr>
          <w:rFonts w:asciiTheme="minorHAnsi" w:hAnsiTheme="minorHAnsi"/>
          <w:color w:val="auto"/>
          <w:sz w:val="20"/>
          <w:szCs w:val="20"/>
        </w:rPr>
        <w:t xml:space="preserve">Bytomski Inkubator Przedsiębiorczości (14), </w:t>
      </w:r>
    </w:p>
    <w:p w:rsidR="00C83DF4" w:rsidRPr="00C83DF4" w:rsidRDefault="00C83DF4" w:rsidP="00245F2E">
      <w:pPr>
        <w:pStyle w:val="Default"/>
        <w:numPr>
          <w:ilvl w:val="0"/>
          <w:numId w:val="687"/>
        </w:numPr>
        <w:jc w:val="both"/>
        <w:rPr>
          <w:rFonts w:asciiTheme="minorHAnsi" w:hAnsiTheme="minorHAnsi"/>
          <w:color w:val="auto"/>
          <w:sz w:val="20"/>
          <w:szCs w:val="20"/>
        </w:rPr>
      </w:pPr>
      <w:r w:rsidRPr="00C83DF4">
        <w:rPr>
          <w:rFonts w:asciiTheme="minorHAnsi" w:hAnsiTheme="minorHAnsi"/>
          <w:color w:val="auto"/>
          <w:sz w:val="20"/>
          <w:szCs w:val="20"/>
        </w:rPr>
        <w:t xml:space="preserve">Bytomscy Transformersi–Strażnicy kapitału społecznego I (30), </w:t>
      </w:r>
    </w:p>
    <w:p w:rsidR="00C83DF4" w:rsidRPr="00C83DF4" w:rsidRDefault="00C83DF4" w:rsidP="00245F2E">
      <w:pPr>
        <w:pStyle w:val="Default"/>
        <w:numPr>
          <w:ilvl w:val="0"/>
          <w:numId w:val="687"/>
        </w:numPr>
        <w:jc w:val="both"/>
        <w:rPr>
          <w:rFonts w:asciiTheme="minorHAnsi" w:hAnsiTheme="minorHAnsi"/>
          <w:color w:val="auto"/>
          <w:sz w:val="20"/>
          <w:szCs w:val="20"/>
        </w:rPr>
      </w:pPr>
      <w:r w:rsidRPr="00C83DF4">
        <w:rPr>
          <w:rFonts w:asciiTheme="minorHAnsi" w:hAnsiTheme="minorHAnsi"/>
          <w:color w:val="auto"/>
          <w:sz w:val="20"/>
          <w:szCs w:val="20"/>
        </w:rPr>
        <w:t xml:space="preserve">Bytomscy Transformersi–Strażnicy kapitału społecznego II (31), </w:t>
      </w:r>
    </w:p>
    <w:p w:rsidR="00C83DF4" w:rsidRPr="00C83DF4" w:rsidRDefault="00C83DF4" w:rsidP="00245F2E">
      <w:pPr>
        <w:pStyle w:val="Default"/>
        <w:numPr>
          <w:ilvl w:val="0"/>
          <w:numId w:val="687"/>
        </w:numPr>
        <w:jc w:val="both"/>
        <w:rPr>
          <w:rFonts w:asciiTheme="minorHAnsi" w:hAnsiTheme="minorHAnsi"/>
          <w:color w:val="auto"/>
          <w:sz w:val="20"/>
          <w:szCs w:val="20"/>
        </w:rPr>
      </w:pPr>
      <w:r w:rsidRPr="00C83DF4">
        <w:rPr>
          <w:rFonts w:asciiTheme="minorHAnsi" w:hAnsiTheme="minorHAnsi"/>
          <w:color w:val="auto"/>
          <w:sz w:val="20"/>
          <w:szCs w:val="20"/>
        </w:rPr>
        <w:t xml:space="preserve">Bytomscy Transformersi–Strażnicy kapitału społecznego III (32), </w:t>
      </w:r>
    </w:p>
    <w:p w:rsidR="00C83DF4" w:rsidRPr="00C83DF4" w:rsidRDefault="00C83DF4" w:rsidP="00245F2E">
      <w:pPr>
        <w:pStyle w:val="Default"/>
        <w:numPr>
          <w:ilvl w:val="0"/>
          <w:numId w:val="687"/>
        </w:numPr>
        <w:jc w:val="both"/>
        <w:rPr>
          <w:rFonts w:asciiTheme="minorHAnsi" w:hAnsiTheme="minorHAnsi"/>
          <w:color w:val="auto"/>
          <w:sz w:val="20"/>
          <w:szCs w:val="20"/>
        </w:rPr>
      </w:pPr>
      <w:r w:rsidRPr="00C83DF4">
        <w:rPr>
          <w:rFonts w:asciiTheme="minorHAnsi" w:hAnsiTheme="minorHAnsi"/>
          <w:color w:val="auto"/>
          <w:sz w:val="20"/>
          <w:szCs w:val="20"/>
        </w:rPr>
        <w:t xml:space="preserve">Bytomscy Transformersi–Strażnicy kapitału społecznego IV (33), </w:t>
      </w:r>
    </w:p>
    <w:p w:rsidR="00C83DF4" w:rsidRPr="00C83DF4" w:rsidRDefault="00C83DF4" w:rsidP="00245F2E">
      <w:pPr>
        <w:pStyle w:val="Akapitzlist"/>
        <w:numPr>
          <w:ilvl w:val="0"/>
          <w:numId w:val="687"/>
        </w:numPr>
        <w:spacing w:after="0" w:line="259" w:lineRule="auto"/>
        <w:contextualSpacing/>
        <w:jc w:val="both"/>
        <w:rPr>
          <w:rFonts w:asciiTheme="minorHAnsi" w:hAnsiTheme="minorHAnsi" w:cs="Calibri"/>
          <w:sz w:val="20"/>
          <w:szCs w:val="20"/>
        </w:rPr>
      </w:pPr>
      <w:r w:rsidRPr="00C83DF4">
        <w:rPr>
          <w:rFonts w:asciiTheme="minorHAnsi" w:hAnsiTheme="minorHAnsi" w:cs="Calibri"/>
          <w:sz w:val="20"/>
          <w:szCs w:val="20"/>
        </w:rPr>
        <w:t xml:space="preserve">Bytomski Ośrodek Aktywności (40), </w:t>
      </w:r>
    </w:p>
    <w:p w:rsidR="005A074C" w:rsidRPr="005A074C" w:rsidRDefault="00C83DF4" w:rsidP="005A074C">
      <w:pPr>
        <w:pStyle w:val="Akapitzlist"/>
        <w:numPr>
          <w:ilvl w:val="0"/>
          <w:numId w:val="687"/>
        </w:numPr>
        <w:spacing w:after="160" w:line="259" w:lineRule="auto"/>
        <w:contextualSpacing/>
        <w:jc w:val="both"/>
        <w:rPr>
          <w:rFonts w:asciiTheme="minorHAnsi" w:hAnsiTheme="minorHAnsi" w:cs="Calibri"/>
          <w:sz w:val="20"/>
          <w:szCs w:val="20"/>
        </w:rPr>
      </w:pPr>
      <w:r w:rsidRPr="00C83DF4">
        <w:rPr>
          <w:rFonts w:asciiTheme="minorHAnsi" w:hAnsiTheme="minorHAnsi"/>
          <w:sz w:val="20"/>
          <w:szCs w:val="20"/>
        </w:rPr>
        <w:t>Umiem się uczyć (75)</w:t>
      </w:r>
      <w:r w:rsidR="005A074C">
        <w:rPr>
          <w:rFonts w:asciiTheme="minorHAnsi" w:hAnsiTheme="minorHAnsi"/>
          <w:sz w:val="20"/>
          <w:szCs w:val="20"/>
        </w:rPr>
        <w:t>,</w:t>
      </w:r>
    </w:p>
    <w:p w:rsidR="00273B97" w:rsidRPr="00581E59" w:rsidRDefault="00273B97" w:rsidP="009C1D86">
      <w:pPr>
        <w:pStyle w:val="Akapitzlist"/>
        <w:numPr>
          <w:ilvl w:val="0"/>
          <w:numId w:val="687"/>
        </w:numPr>
        <w:shd w:val="clear" w:color="auto" w:fill="F2F2F2" w:themeFill="background1" w:themeFillShade="F2"/>
        <w:spacing w:after="160" w:line="259" w:lineRule="auto"/>
        <w:contextualSpacing/>
        <w:jc w:val="both"/>
        <w:rPr>
          <w:rFonts w:asciiTheme="minorHAnsi" w:hAnsiTheme="minorHAnsi" w:cs="Calibri"/>
          <w:sz w:val="20"/>
          <w:szCs w:val="20"/>
        </w:rPr>
      </w:pPr>
      <w:r w:rsidRPr="00991775">
        <w:rPr>
          <w:rFonts w:asciiTheme="minorHAnsi" w:hAnsiTheme="minorHAnsi"/>
          <w:sz w:val="20"/>
          <w:szCs w:val="20"/>
        </w:rPr>
        <w:t xml:space="preserve">Elektrociepłownia Szombierki – rewitalizacja dawnej elektrociepłowni wraz z przebudową, rozbudową, nadbudową, remontem i zmianą sposobu użytkowania na funkcje usługowe; kultury, nauki i oświaty, turystyki, sportu i rekreacji, zakwaterowania </w:t>
      </w:r>
      <w:r w:rsidRPr="00581E59">
        <w:rPr>
          <w:rFonts w:asciiTheme="minorHAnsi" w:hAnsiTheme="minorHAnsi"/>
          <w:sz w:val="20"/>
          <w:szCs w:val="20"/>
        </w:rPr>
        <w:t xml:space="preserve">turystycznego, wystawiennictwa, biur, handlu, gastronomii i usług wraz z zagospodarowaniem terenu i </w:t>
      </w:r>
      <w:r w:rsidR="00F965B4" w:rsidRPr="00581E59">
        <w:rPr>
          <w:rFonts w:asciiTheme="minorHAnsi" w:hAnsiTheme="minorHAnsi"/>
          <w:sz w:val="20"/>
          <w:szCs w:val="20"/>
        </w:rPr>
        <w:t>infrastrukturą towarzyszącą (141</w:t>
      </w:r>
      <w:r w:rsidRPr="00581E59">
        <w:rPr>
          <w:rFonts w:asciiTheme="minorHAnsi" w:hAnsiTheme="minorHAnsi"/>
          <w:sz w:val="20"/>
          <w:szCs w:val="20"/>
        </w:rPr>
        <w:t>).</w:t>
      </w:r>
    </w:p>
    <w:p w:rsidR="00C83DF4" w:rsidRPr="00C83DF4" w:rsidRDefault="00C83DF4" w:rsidP="00C83DF4">
      <w:pPr>
        <w:pStyle w:val="Default"/>
        <w:jc w:val="both"/>
        <w:rPr>
          <w:rFonts w:asciiTheme="minorHAnsi" w:hAnsiTheme="minorHAnsi"/>
          <w:b/>
          <w:bCs/>
          <w:color w:val="auto"/>
          <w:sz w:val="20"/>
          <w:szCs w:val="20"/>
        </w:rPr>
      </w:pPr>
      <w:r w:rsidRPr="00C83DF4">
        <w:rPr>
          <w:rFonts w:asciiTheme="minorHAnsi" w:hAnsiTheme="minorHAnsi"/>
          <w:b/>
          <w:bCs/>
          <w:color w:val="auto"/>
          <w:sz w:val="20"/>
          <w:szCs w:val="20"/>
        </w:rPr>
        <w:t>Cel Operacyjny 1.3 Wysoki poziom dostępności udogodnień umożliwiających podnoszenie kwalifikacji mieszkańców, usuwanie barier w powrocie na rynek pracy oraz wzrastający poziom motywacji wewnętrznej mieszkańców w zakresie realizacji karier zawodowych – projekty:</w:t>
      </w:r>
    </w:p>
    <w:p w:rsidR="00C83DF4" w:rsidRPr="00C83DF4" w:rsidRDefault="00C83DF4" w:rsidP="00C83DF4">
      <w:pPr>
        <w:pStyle w:val="Default"/>
        <w:numPr>
          <w:ilvl w:val="0"/>
          <w:numId w:val="709"/>
        </w:numPr>
        <w:jc w:val="both"/>
        <w:rPr>
          <w:rFonts w:asciiTheme="minorHAnsi" w:hAnsiTheme="minorHAnsi"/>
          <w:color w:val="auto"/>
          <w:sz w:val="20"/>
          <w:szCs w:val="20"/>
        </w:rPr>
      </w:pPr>
      <w:r w:rsidRPr="00C83DF4">
        <w:rPr>
          <w:rFonts w:asciiTheme="minorHAnsi" w:hAnsiTheme="minorHAnsi"/>
          <w:color w:val="auto"/>
          <w:sz w:val="20"/>
          <w:szCs w:val="20"/>
        </w:rPr>
        <w:t>Rewitalizacja społeczna bezrobotnych mieszkańców Bytomia poprzez aktywizację zawodową –</w:t>
      </w:r>
      <w:r w:rsidR="00245F2E">
        <w:rPr>
          <w:rFonts w:asciiTheme="minorHAnsi" w:hAnsiTheme="minorHAnsi"/>
          <w:color w:val="auto"/>
          <w:sz w:val="20"/>
          <w:szCs w:val="20"/>
        </w:rPr>
        <w:t xml:space="preserve"> etap </w:t>
      </w:r>
      <w:r w:rsidRPr="00C83DF4">
        <w:rPr>
          <w:rFonts w:asciiTheme="minorHAnsi" w:hAnsiTheme="minorHAnsi"/>
          <w:color w:val="auto"/>
          <w:sz w:val="20"/>
          <w:szCs w:val="20"/>
        </w:rPr>
        <w:t>I</w:t>
      </w:r>
      <w:r w:rsidR="00245F2E">
        <w:rPr>
          <w:rFonts w:asciiTheme="minorHAnsi" w:hAnsiTheme="minorHAnsi"/>
          <w:color w:val="auto"/>
          <w:sz w:val="20"/>
          <w:szCs w:val="20"/>
        </w:rPr>
        <w:t> </w:t>
      </w:r>
      <w:r w:rsidRPr="00C83DF4">
        <w:rPr>
          <w:rFonts w:asciiTheme="minorHAnsi" w:hAnsiTheme="minorHAnsi"/>
          <w:color w:val="auto"/>
          <w:sz w:val="20"/>
          <w:szCs w:val="20"/>
        </w:rPr>
        <w:t xml:space="preserve">(1), </w:t>
      </w:r>
    </w:p>
    <w:p w:rsidR="00C83DF4" w:rsidRPr="00C83DF4" w:rsidRDefault="00C83DF4" w:rsidP="00C83DF4">
      <w:pPr>
        <w:pStyle w:val="Default"/>
        <w:numPr>
          <w:ilvl w:val="0"/>
          <w:numId w:val="709"/>
        </w:numPr>
        <w:jc w:val="both"/>
        <w:rPr>
          <w:rFonts w:asciiTheme="minorHAnsi" w:hAnsiTheme="minorHAnsi"/>
          <w:color w:val="auto"/>
          <w:sz w:val="20"/>
          <w:szCs w:val="20"/>
        </w:rPr>
      </w:pPr>
      <w:r w:rsidRPr="00C83DF4">
        <w:rPr>
          <w:rFonts w:asciiTheme="minorHAnsi" w:hAnsiTheme="minorHAnsi"/>
          <w:color w:val="auto"/>
          <w:sz w:val="20"/>
          <w:szCs w:val="20"/>
        </w:rPr>
        <w:t>Rewitalizacja społeczna bezrobotnych mieszkańców Bytomia popr</w:t>
      </w:r>
      <w:r w:rsidR="00245F2E">
        <w:rPr>
          <w:rFonts w:asciiTheme="minorHAnsi" w:hAnsiTheme="minorHAnsi"/>
          <w:color w:val="auto"/>
          <w:sz w:val="20"/>
          <w:szCs w:val="20"/>
        </w:rPr>
        <w:t>zez aktywizację zawodową – etap </w:t>
      </w:r>
      <w:r w:rsidRPr="00C83DF4">
        <w:rPr>
          <w:rFonts w:asciiTheme="minorHAnsi" w:hAnsiTheme="minorHAnsi"/>
          <w:color w:val="auto"/>
          <w:sz w:val="20"/>
          <w:szCs w:val="20"/>
        </w:rPr>
        <w:t>II</w:t>
      </w:r>
      <w:r w:rsidR="00245F2E">
        <w:rPr>
          <w:rFonts w:asciiTheme="minorHAnsi" w:hAnsiTheme="minorHAnsi"/>
          <w:color w:val="auto"/>
          <w:sz w:val="20"/>
          <w:szCs w:val="20"/>
        </w:rPr>
        <w:t> </w:t>
      </w:r>
      <w:r w:rsidRPr="00C83DF4">
        <w:rPr>
          <w:rFonts w:asciiTheme="minorHAnsi" w:hAnsiTheme="minorHAnsi"/>
          <w:color w:val="auto"/>
          <w:sz w:val="20"/>
          <w:szCs w:val="20"/>
        </w:rPr>
        <w:t xml:space="preserve">(2), </w:t>
      </w:r>
    </w:p>
    <w:p w:rsidR="00C83DF4" w:rsidRPr="00C83DF4" w:rsidRDefault="00C83DF4" w:rsidP="00C83DF4">
      <w:pPr>
        <w:pStyle w:val="Akapitzlist"/>
        <w:numPr>
          <w:ilvl w:val="0"/>
          <w:numId w:val="709"/>
        </w:numPr>
        <w:spacing w:after="160" w:line="259" w:lineRule="auto"/>
        <w:contextualSpacing/>
        <w:jc w:val="both"/>
        <w:rPr>
          <w:rFonts w:asciiTheme="minorHAnsi" w:hAnsiTheme="minorHAnsi" w:cs="Calibri"/>
          <w:sz w:val="20"/>
          <w:szCs w:val="20"/>
        </w:rPr>
      </w:pPr>
      <w:r w:rsidRPr="00C83DF4">
        <w:rPr>
          <w:rFonts w:asciiTheme="minorHAnsi" w:hAnsiTheme="minorHAnsi" w:cs="Calibri"/>
          <w:sz w:val="20"/>
          <w:szCs w:val="20"/>
        </w:rPr>
        <w:t xml:space="preserve">Rewitalizacja społeczna bezrobotnych mieszkańców Bytomia poprzez specjalistyczne szkolenia zawodowe w wybranych zawodach rzemieślniczych (3), </w:t>
      </w:r>
    </w:p>
    <w:p w:rsidR="00C83DF4" w:rsidRPr="00C83DF4" w:rsidRDefault="00C83DF4" w:rsidP="00C83DF4">
      <w:pPr>
        <w:pStyle w:val="Akapitzlist"/>
        <w:numPr>
          <w:ilvl w:val="0"/>
          <w:numId w:val="709"/>
        </w:numPr>
        <w:spacing w:after="160" w:line="259" w:lineRule="auto"/>
        <w:contextualSpacing/>
        <w:jc w:val="both"/>
        <w:rPr>
          <w:rFonts w:asciiTheme="minorHAnsi" w:hAnsiTheme="minorHAnsi" w:cs="Calibri"/>
          <w:sz w:val="20"/>
          <w:szCs w:val="20"/>
        </w:rPr>
      </w:pPr>
      <w:r w:rsidRPr="00C83DF4">
        <w:rPr>
          <w:rFonts w:asciiTheme="minorHAnsi" w:hAnsiTheme="minorHAnsi" w:cs="Calibri"/>
          <w:sz w:val="20"/>
          <w:szCs w:val="20"/>
        </w:rPr>
        <w:t>Droga do aktywności zawodowej (4),</w:t>
      </w:r>
    </w:p>
    <w:p w:rsidR="00C83DF4" w:rsidRPr="00C83DF4" w:rsidRDefault="00C83DF4" w:rsidP="00C83DF4">
      <w:pPr>
        <w:pStyle w:val="Akapitzlist"/>
        <w:numPr>
          <w:ilvl w:val="0"/>
          <w:numId w:val="709"/>
        </w:numPr>
        <w:spacing w:after="0" w:line="259" w:lineRule="auto"/>
        <w:contextualSpacing/>
        <w:jc w:val="both"/>
        <w:rPr>
          <w:rFonts w:asciiTheme="minorHAnsi" w:hAnsiTheme="minorHAnsi" w:cs="Calibri"/>
          <w:sz w:val="20"/>
          <w:szCs w:val="20"/>
        </w:rPr>
      </w:pPr>
      <w:r w:rsidRPr="00C83DF4">
        <w:rPr>
          <w:rFonts w:asciiTheme="minorHAnsi" w:hAnsiTheme="minorHAnsi"/>
          <w:sz w:val="20"/>
          <w:szCs w:val="20"/>
        </w:rPr>
        <w:t>Zielony Bytom – Nowy start (9),</w:t>
      </w:r>
    </w:p>
    <w:p w:rsidR="00C83DF4" w:rsidRPr="00C83DF4" w:rsidRDefault="00C83DF4" w:rsidP="00C83DF4">
      <w:pPr>
        <w:pStyle w:val="Default"/>
        <w:numPr>
          <w:ilvl w:val="0"/>
          <w:numId w:val="709"/>
        </w:numPr>
        <w:jc w:val="both"/>
        <w:rPr>
          <w:rFonts w:asciiTheme="minorHAnsi" w:hAnsiTheme="minorHAnsi"/>
          <w:color w:val="auto"/>
          <w:sz w:val="20"/>
          <w:szCs w:val="20"/>
        </w:rPr>
      </w:pPr>
      <w:r w:rsidRPr="00C83DF4">
        <w:rPr>
          <w:rFonts w:asciiTheme="minorHAnsi" w:hAnsiTheme="minorHAnsi"/>
          <w:color w:val="auto"/>
          <w:sz w:val="20"/>
          <w:szCs w:val="20"/>
        </w:rPr>
        <w:t xml:space="preserve">Szansa na własną firmę (11), </w:t>
      </w:r>
    </w:p>
    <w:p w:rsidR="00C83DF4" w:rsidRPr="00C83DF4" w:rsidRDefault="00C83DF4" w:rsidP="00C83DF4">
      <w:pPr>
        <w:pStyle w:val="Default"/>
        <w:numPr>
          <w:ilvl w:val="0"/>
          <w:numId w:val="709"/>
        </w:numPr>
        <w:jc w:val="both"/>
        <w:rPr>
          <w:rFonts w:asciiTheme="minorHAnsi" w:hAnsiTheme="minorHAnsi"/>
          <w:color w:val="auto"/>
          <w:sz w:val="20"/>
          <w:szCs w:val="20"/>
        </w:rPr>
      </w:pPr>
      <w:r w:rsidRPr="00C83DF4">
        <w:rPr>
          <w:rFonts w:asciiTheme="minorHAnsi" w:hAnsiTheme="minorHAnsi"/>
          <w:color w:val="auto"/>
          <w:sz w:val="20"/>
          <w:szCs w:val="20"/>
        </w:rPr>
        <w:t xml:space="preserve">Firma dla seniora (12), </w:t>
      </w:r>
    </w:p>
    <w:p w:rsidR="00C83DF4" w:rsidRPr="00C83DF4" w:rsidRDefault="00C83DF4" w:rsidP="00C83DF4">
      <w:pPr>
        <w:pStyle w:val="Akapitzlist"/>
        <w:numPr>
          <w:ilvl w:val="0"/>
          <w:numId w:val="709"/>
        </w:numPr>
        <w:spacing w:after="160" w:line="259" w:lineRule="auto"/>
        <w:contextualSpacing/>
        <w:jc w:val="both"/>
        <w:rPr>
          <w:rFonts w:asciiTheme="minorHAnsi" w:hAnsiTheme="minorHAnsi" w:cs="Calibri"/>
          <w:sz w:val="20"/>
          <w:szCs w:val="20"/>
        </w:rPr>
      </w:pPr>
      <w:r w:rsidRPr="00C83DF4">
        <w:rPr>
          <w:rFonts w:asciiTheme="minorHAnsi" w:hAnsiTheme="minorHAnsi"/>
          <w:sz w:val="20"/>
          <w:szCs w:val="20"/>
        </w:rPr>
        <w:t>Aktywizacja bytomskiej przedsiębiorczości (13),</w:t>
      </w:r>
    </w:p>
    <w:p w:rsidR="00C83DF4" w:rsidRPr="00C83DF4" w:rsidRDefault="00C83DF4" w:rsidP="00C83DF4">
      <w:pPr>
        <w:pStyle w:val="Akapitzlist"/>
        <w:numPr>
          <w:ilvl w:val="0"/>
          <w:numId w:val="709"/>
        </w:numPr>
        <w:spacing w:after="160" w:line="259" w:lineRule="auto"/>
        <w:contextualSpacing/>
        <w:jc w:val="both"/>
        <w:rPr>
          <w:rFonts w:asciiTheme="minorHAnsi" w:hAnsiTheme="minorHAnsi" w:cs="Calibri"/>
          <w:sz w:val="20"/>
          <w:szCs w:val="20"/>
        </w:rPr>
      </w:pPr>
      <w:r w:rsidRPr="00C83DF4">
        <w:rPr>
          <w:rFonts w:asciiTheme="minorHAnsi" w:hAnsiTheme="minorHAnsi"/>
          <w:sz w:val="20"/>
          <w:szCs w:val="20"/>
        </w:rPr>
        <w:t>Nowe horyzonty zawodowe (17),</w:t>
      </w:r>
    </w:p>
    <w:p w:rsidR="00C83DF4" w:rsidRPr="00C83DF4" w:rsidRDefault="00C83DF4" w:rsidP="00C83DF4">
      <w:pPr>
        <w:pStyle w:val="Akapitzlist"/>
        <w:numPr>
          <w:ilvl w:val="0"/>
          <w:numId w:val="709"/>
        </w:numPr>
        <w:spacing w:after="160" w:line="259" w:lineRule="auto"/>
        <w:contextualSpacing/>
        <w:jc w:val="both"/>
        <w:rPr>
          <w:rFonts w:asciiTheme="minorHAnsi" w:hAnsiTheme="minorHAnsi" w:cs="Calibri"/>
          <w:sz w:val="20"/>
          <w:szCs w:val="20"/>
        </w:rPr>
      </w:pPr>
      <w:r w:rsidRPr="00C83DF4">
        <w:rPr>
          <w:rFonts w:asciiTheme="minorHAnsi" w:hAnsiTheme="minorHAnsi"/>
          <w:sz w:val="20"/>
          <w:szCs w:val="20"/>
        </w:rPr>
        <w:t>Nasz bezpieczny drugi dom (20),</w:t>
      </w:r>
    </w:p>
    <w:p w:rsidR="00C83DF4" w:rsidRPr="00C83DF4" w:rsidRDefault="00C83DF4" w:rsidP="00C83DF4">
      <w:pPr>
        <w:pStyle w:val="Akapitzlist"/>
        <w:numPr>
          <w:ilvl w:val="0"/>
          <w:numId w:val="709"/>
        </w:numPr>
        <w:spacing w:after="160" w:line="259" w:lineRule="auto"/>
        <w:contextualSpacing/>
        <w:jc w:val="both"/>
        <w:rPr>
          <w:rFonts w:asciiTheme="minorHAnsi" w:hAnsiTheme="minorHAnsi" w:cs="Calibri"/>
          <w:sz w:val="20"/>
          <w:szCs w:val="20"/>
        </w:rPr>
      </w:pPr>
      <w:r w:rsidRPr="00C83DF4">
        <w:rPr>
          <w:rFonts w:asciiTheme="minorHAnsi" w:hAnsiTheme="minorHAnsi"/>
          <w:sz w:val="20"/>
          <w:szCs w:val="20"/>
        </w:rPr>
        <w:t>Usługi rozwojowe dla bytomskich przedsiębiorstw (23),</w:t>
      </w:r>
    </w:p>
    <w:p w:rsidR="00C83DF4" w:rsidRPr="00C83DF4" w:rsidRDefault="00C83DF4" w:rsidP="00C83DF4">
      <w:pPr>
        <w:pStyle w:val="Akapitzlist"/>
        <w:numPr>
          <w:ilvl w:val="0"/>
          <w:numId w:val="709"/>
        </w:numPr>
        <w:spacing w:after="160" w:line="259" w:lineRule="auto"/>
        <w:contextualSpacing/>
        <w:jc w:val="both"/>
        <w:rPr>
          <w:rFonts w:asciiTheme="minorHAnsi" w:hAnsiTheme="minorHAnsi" w:cs="Calibri"/>
          <w:sz w:val="20"/>
          <w:szCs w:val="20"/>
        </w:rPr>
      </w:pPr>
      <w:r w:rsidRPr="00C83DF4">
        <w:rPr>
          <w:rFonts w:asciiTheme="minorHAnsi" w:hAnsiTheme="minorHAnsi"/>
          <w:sz w:val="20"/>
          <w:szCs w:val="20"/>
        </w:rPr>
        <w:t xml:space="preserve">Program aktywnej integracji osób i grup zagrożonych wykluczeniem społecznym (24), </w:t>
      </w:r>
    </w:p>
    <w:p w:rsidR="00C83DF4" w:rsidRPr="00C83DF4" w:rsidRDefault="00C83DF4" w:rsidP="00C83DF4">
      <w:pPr>
        <w:pStyle w:val="Akapitzlist"/>
        <w:numPr>
          <w:ilvl w:val="0"/>
          <w:numId w:val="709"/>
        </w:numPr>
        <w:spacing w:after="160" w:line="259" w:lineRule="auto"/>
        <w:contextualSpacing/>
        <w:jc w:val="both"/>
        <w:rPr>
          <w:rFonts w:asciiTheme="minorHAnsi" w:hAnsiTheme="minorHAnsi" w:cs="Calibri"/>
          <w:sz w:val="20"/>
          <w:szCs w:val="20"/>
        </w:rPr>
      </w:pPr>
      <w:r w:rsidRPr="00C83DF4">
        <w:rPr>
          <w:rFonts w:asciiTheme="minorHAnsi" w:hAnsiTheme="minorHAnsi"/>
          <w:sz w:val="20"/>
          <w:szCs w:val="20"/>
        </w:rPr>
        <w:t xml:space="preserve">Bytomscy Transformersi–Strażnicy kapitału społecznego I (30), </w:t>
      </w:r>
    </w:p>
    <w:p w:rsidR="00C83DF4" w:rsidRPr="00C83DF4" w:rsidRDefault="00C83DF4" w:rsidP="00C83DF4">
      <w:pPr>
        <w:pStyle w:val="Akapitzlist"/>
        <w:numPr>
          <w:ilvl w:val="0"/>
          <w:numId w:val="709"/>
        </w:numPr>
        <w:spacing w:after="160" w:line="259" w:lineRule="auto"/>
        <w:contextualSpacing/>
        <w:jc w:val="both"/>
        <w:rPr>
          <w:rFonts w:asciiTheme="minorHAnsi" w:hAnsiTheme="minorHAnsi" w:cs="Calibri"/>
          <w:sz w:val="20"/>
          <w:szCs w:val="20"/>
        </w:rPr>
      </w:pPr>
      <w:r w:rsidRPr="00C83DF4">
        <w:rPr>
          <w:rFonts w:asciiTheme="minorHAnsi" w:hAnsiTheme="minorHAnsi"/>
          <w:sz w:val="20"/>
          <w:szCs w:val="20"/>
        </w:rPr>
        <w:t xml:space="preserve">Bytomscy Transformersi–Strażnicy kapitału społecznego II (31), </w:t>
      </w:r>
    </w:p>
    <w:p w:rsidR="00C83DF4" w:rsidRPr="00C83DF4" w:rsidRDefault="00C83DF4" w:rsidP="00C83DF4">
      <w:pPr>
        <w:pStyle w:val="Akapitzlist"/>
        <w:numPr>
          <w:ilvl w:val="0"/>
          <w:numId w:val="709"/>
        </w:numPr>
        <w:spacing w:after="160" w:line="259" w:lineRule="auto"/>
        <w:contextualSpacing/>
        <w:jc w:val="both"/>
        <w:rPr>
          <w:rFonts w:asciiTheme="minorHAnsi" w:hAnsiTheme="minorHAnsi" w:cs="Calibri"/>
          <w:sz w:val="20"/>
          <w:szCs w:val="20"/>
        </w:rPr>
      </w:pPr>
      <w:r w:rsidRPr="00C83DF4">
        <w:rPr>
          <w:rFonts w:asciiTheme="minorHAnsi" w:hAnsiTheme="minorHAnsi"/>
          <w:sz w:val="20"/>
          <w:szCs w:val="20"/>
        </w:rPr>
        <w:t xml:space="preserve">Bytomscy Transformersi–Strażnicy kapitału społecznego III (32), </w:t>
      </w:r>
    </w:p>
    <w:p w:rsidR="00C83DF4" w:rsidRPr="00C83DF4" w:rsidRDefault="00C83DF4" w:rsidP="00C83DF4">
      <w:pPr>
        <w:pStyle w:val="Akapitzlist"/>
        <w:numPr>
          <w:ilvl w:val="0"/>
          <w:numId w:val="709"/>
        </w:numPr>
        <w:spacing w:after="160" w:line="259" w:lineRule="auto"/>
        <w:contextualSpacing/>
        <w:jc w:val="both"/>
        <w:rPr>
          <w:rFonts w:asciiTheme="minorHAnsi" w:hAnsiTheme="minorHAnsi" w:cs="Calibri"/>
          <w:sz w:val="20"/>
          <w:szCs w:val="20"/>
        </w:rPr>
      </w:pPr>
      <w:r w:rsidRPr="00C83DF4">
        <w:rPr>
          <w:rFonts w:asciiTheme="minorHAnsi" w:hAnsiTheme="minorHAnsi"/>
          <w:sz w:val="20"/>
          <w:szCs w:val="20"/>
        </w:rPr>
        <w:t xml:space="preserve">Bytomscy Transformersi–Strażnicy kapitału społecznego IV (33), </w:t>
      </w:r>
    </w:p>
    <w:p w:rsidR="00C83DF4" w:rsidRPr="00C83DF4" w:rsidRDefault="00C83DF4" w:rsidP="00C83DF4">
      <w:pPr>
        <w:pStyle w:val="Akapitzlist"/>
        <w:numPr>
          <w:ilvl w:val="0"/>
          <w:numId w:val="709"/>
        </w:numPr>
        <w:spacing w:after="0" w:line="259" w:lineRule="auto"/>
        <w:contextualSpacing/>
        <w:jc w:val="both"/>
        <w:rPr>
          <w:rFonts w:asciiTheme="minorHAnsi" w:hAnsiTheme="minorHAnsi" w:cs="Calibri"/>
          <w:sz w:val="20"/>
          <w:szCs w:val="20"/>
        </w:rPr>
      </w:pPr>
      <w:r w:rsidRPr="00C83DF4">
        <w:rPr>
          <w:rFonts w:asciiTheme="minorHAnsi" w:hAnsiTheme="minorHAnsi"/>
          <w:sz w:val="20"/>
          <w:szCs w:val="20"/>
        </w:rPr>
        <w:t>Program „Godna Starość” (39),</w:t>
      </w:r>
    </w:p>
    <w:p w:rsidR="00C83DF4" w:rsidRPr="00C83DF4" w:rsidRDefault="00C83DF4" w:rsidP="00C83DF4">
      <w:pPr>
        <w:pStyle w:val="Akapitzlist"/>
        <w:numPr>
          <w:ilvl w:val="0"/>
          <w:numId w:val="709"/>
        </w:numPr>
        <w:spacing w:after="0" w:line="259" w:lineRule="auto"/>
        <w:contextualSpacing/>
        <w:jc w:val="both"/>
        <w:rPr>
          <w:rFonts w:asciiTheme="minorHAnsi" w:hAnsiTheme="minorHAnsi" w:cs="Calibri"/>
          <w:sz w:val="20"/>
          <w:szCs w:val="20"/>
        </w:rPr>
      </w:pPr>
      <w:r w:rsidRPr="00C83DF4">
        <w:rPr>
          <w:rFonts w:asciiTheme="minorHAnsi" w:hAnsiTheme="minorHAnsi" w:cs="Calibri"/>
          <w:sz w:val="20"/>
          <w:szCs w:val="20"/>
        </w:rPr>
        <w:t xml:space="preserve">Bytomski Ośrodek Aktywności (40), </w:t>
      </w:r>
    </w:p>
    <w:p w:rsidR="00C83DF4" w:rsidRPr="00C83DF4" w:rsidRDefault="00C83DF4" w:rsidP="00C83DF4">
      <w:pPr>
        <w:pStyle w:val="Akapitzlist"/>
        <w:numPr>
          <w:ilvl w:val="0"/>
          <w:numId w:val="709"/>
        </w:numPr>
        <w:spacing w:after="160" w:line="259" w:lineRule="auto"/>
        <w:contextualSpacing/>
        <w:jc w:val="both"/>
        <w:rPr>
          <w:rFonts w:asciiTheme="minorHAnsi" w:hAnsiTheme="minorHAnsi" w:cs="Calibri"/>
          <w:sz w:val="20"/>
          <w:szCs w:val="20"/>
        </w:rPr>
      </w:pPr>
      <w:r w:rsidRPr="00C83DF4">
        <w:rPr>
          <w:rFonts w:asciiTheme="minorHAnsi" w:hAnsiTheme="minorHAnsi"/>
          <w:sz w:val="20"/>
          <w:szCs w:val="20"/>
        </w:rPr>
        <w:t>S.O.S dla dzielnicy Bobrek – aktywizacja zawodowa i społeczna (42),</w:t>
      </w:r>
    </w:p>
    <w:p w:rsidR="00C83DF4" w:rsidRPr="00C83DF4" w:rsidRDefault="00C83DF4" w:rsidP="00C83DF4">
      <w:pPr>
        <w:pStyle w:val="Akapitzlist"/>
        <w:numPr>
          <w:ilvl w:val="0"/>
          <w:numId w:val="709"/>
        </w:numPr>
        <w:spacing w:after="160" w:line="259" w:lineRule="auto"/>
        <w:contextualSpacing/>
        <w:jc w:val="both"/>
        <w:rPr>
          <w:rFonts w:asciiTheme="minorHAnsi" w:hAnsiTheme="minorHAnsi" w:cs="Calibri"/>
          <w:sz w:val="20"/>
          <w:szCs w:val="20"/>
        </w:rPr>
      </w:pPr>
      <w:r w:rsidRPr="00C83DF4">
        <w:rPr>
          <w:rFonts w:asciiTheme="minorHAnsi" w:hAnsiTheme="minorHAnsi"/>
          <w:sz w:val="20"/>
          <w:szCs w:val="20"/>
        </w:rPr>
        <w:t>Centrum Integracji Aktywnej na start (48),</w:t>
      </w:r>
    </w:p>
    <w:p w:rsidR="00C83DF4" w:rsidRPr="00C83DF4" w:rsidRDefault="00C83DF4" w:rsidP="00245F2E">
      <w:pPr>
        <w:pStyle w:val="Akapitzlist"/>
        <w:numPr>
          <w:ilvl w:val="0"/>
          <w:numId w:val="687"/>
        </w:numPr>
        <w:spacing w:after="0" w:line="259" w:lineRule="auto"/>
        <w:contextualSpacing/>
        <w:jc w:val="both"/>
        <w:rPr>
          <w:rFonts w:asciiTheme="minorHAnsi" w:hAnsiTheme="minorHAnsi" w:cs="Calibri"/>
          <w:sz w:val="20"/>
          <w:szCs w:val="20"/>
        </w:rPr>
      </w:pPr>
      <w:r w:rsidRPr="00C83DF4">
        <w:rPr>
          <w:rFonts w:asciiTheme="minorHAnsi" w:hAnsiTheme="minorHAnsi"/>
          <w:sz w:val="20"/>
          <w:szCs w:val="20"/>
        </w:rPr>
        <w:t>Opiekun Nieformalny - sposób na życie (52),</w:t>
      </w:r>
    </w:p>
    <w:p w:rsidR="00C83DF4" w:rsidRPr="00C83DF4" w:rsidRDefault="00C83DF4" w:rsidP="00245F2E">
      <w:pPr>
        <w:pStyle w:val="Akapitzlist"/>
        <w:numPr>
          <w:ilvl w:val="0"/>
          <w:numId w:val="687"/>
        </w:numPr>
        <w:spacing w:after="0" w:line="259" w:lineRule="auto"/>
        <w:contextualSpacing/>
        <w:jc w:val="both"/>
        <w:rPr>
          <w:rFonts w:asciiTheme="minorHAnsi" w:hAnsiTheme="minorHAnsi" w:cs="Calibri"/>
          <w:sz w:val="20"/>
          <w:szCs w:val="20"/>
        </w:rPr>
      </w:pPr>
      <w:r w:rsidRPr="00C83DF4">
        <w:rPr>
          <w:rFonts w:asciiTheme="minorHAnsi" w:hAnsiTheme="minorHAnsi"/>
          <w:sz w:val="20"/>
          <w:szCs w:val="20"/>
        </w:rPr>
        <w:t>Opiekuńczy Bytom – utworzenie i funkcjonowanie Bytomskiego Centrum Wsparcia Opiekunów Nieformalnych (65),</w:t>
      </w:r>
    </w:p>
    <w:p w:rsidR="00C83DF4" w:rsidRPr="00C83DF4" w:rsidRDefault="00C83DF4" w:rsidP="00245F2E">
      <w:pPr>
        <w:pStyle w:val="Akapitzlist"/>
        <w:numPr>
          <w:ilvl w:val="0"/>
          <w:numId w:val="687"/>
        </w:numPr>
        <w:spacing w:after="0" w:line="259" w:lineRule="auto"/>
        <w:contextualSpacing/>
        <w:jc w:val="both"/>
        <w:rPr>
          <w:rFonts w:asciiTheme="minorHAnsi" w:hAnsiTheme="minorHAnsi" w:cs="Calibri"/>
          <w:sz w:val="20"/>
          <w:szCs w:val="20"/>
        </w:rPr>
      </w:pPr>
      <w:r w:rsidRPr="00C83DF4">
        <w:rPr>
          <w:rFonts w:asciiTheme="minorHAnsi" w:hAnsiTheme="minorHAnsi"/>
          <w:sz w:val="20"/>
          <w:szCs w:val="20"/>
        </w:rPr>
        <w:t>Umiem się uczyć (75),</w:t>
      </w:r>
    </w:p>
    <w:p w:rsidR="00D0309C" w:rsidRPr="00D0309C" w:rsidRDefault="00C83DF4" w:rsidP="00D0309C">
      <w:pPr>
        <w:pStyle w:val="Akapitzlist"/>
        <w:numPr>
          <w:ilvl w:val="0"/>
          <w:numId w:val="688"/>
        </w:numPr>
        <w:shd w:val="clear" w:color="auto" w:fill="FFFFFF" w:themeFill="background1"/>
        <w:spacing w:after="160" w:line="259" w:lineRule="auto"/>
        <w:contextualSpacing/>
        <w:jc w:val="both"/>
        <w:rPr>
          <w:rFonts w:cs="Calibri"/>
          <w:sz w:val="20"/>
          <w:szCs w:val="20"/>
        </w:rPr>
      </w:pPr>
      <w:r w:rsidRPr="00D0309C">
        <w:rPr>
          <w:rFonts w:asciiTheme="minorHAnsi" w:hAnsiTheme="minorHAnsi"/>
          <w:sz w:val="20"/>
          <w:szCs w:val="20"/>
        </w:rPr>
        <w:t>Aktywizacja osób młodych pozostającyc</w:t>
      </w:r>
      <w:r w:rsidR="00D0309C" w:rsidRPr="00D0309C">
        <w:rPr>
          <w:rFonts w:asciiTheme="minorHAnsi" w:hAnsiTheme="minorHAnsi"/>
          <w:sz w:val="20"/>
          <w:szCs w:val="20"/>
        </w:rPr>
        <w:t>h bez pracy w Bytomiu (II) (80),</w:t>
      </w:r>
      <w:r w:rsidRPr="00D0309C">
        <w:rPr>
          <w:rFonts w:asciiTheme="minorHAnsi" w:hAnsiTheme="minorHAnsi"/>
          <w:sz w:val="20"/>
          <w:szCs w:val="20"/>
        </w:rPr>
        <w:t xml:space="preserve"> </w:t>
      </w:r>
    </w:p>
    <w:p w:rsidR="00C83DF4" w:rsidRPr="00D0309C" w:rsidRDefault="00D0309C" w:rsidP="009C1D86">
      <w:pPr>
        <w:pStyle w:val="Akapitzlist"/>
        <w:numPr>
          <w:ilvl w:val="0"/>
          <w:numId w:val="688"/>
        </w:numPr>
        <w:shd w:val="clear" w:color="auto" w:fill="F2F2F2" w:themeFill="background1" w:themeFillShade="F2"/>
        <w:spacing w:after="160" w:line="259" w:lineRule="auto"/>
        <w:contextualSpacing/>
        <w:jc w:val="both"/>
        <w:rPr>
          <w:rFonts w:cs="Calibri"/>
          <w:sz w:val="20"/>
          <w:szCs w:val="20"/>
        </w:rPr>
      </w:pPr>
      <w:r w:rsidRPr="009E6DA0">
        <w:rPr>
          <w:rFonts w:cs="Calibri"/>
          <w:sz w:val="20"/>
          <w:szCs w:val="20"/>
        </w:rPr>
        <w:t>Czas na zmiany - nowe perspektywy (RAZEM) z Cen</w:t>
      </w:r>
      <w:r>
        <w:rPr>
          <w:rFonts w:cs="Calibri"/>
          <w:sz w:val="20"/>
          <w:szCs w:val="20"/>
        </w:rPr>
        <w:t>trum Integracji Społecznej (133</w:t>
      </w:r>
      <w:r w:rsidRPr="009E6DA0">
        <w:rPr>
          <w:rFonts w:cs="Calibri"/>
          <w:sz w:val="20"/>
          <w:szCs w:val="20"/>
        </w:rPr>
        <w:t>)</w:t>
      </w:r>
      <w:r>
        <w:rPr>
          <w:rFonts w:cs="Calibri"/>
          <w:sz w:val="20"/>
          <w:szCs w:val="20"/>
        </w:rPr>
        <w:t>.</w:t>
      </w:r>
    </w:p>
    <w:p w:rsidR="00C83DF4" w:rsidRPr="00C83DF4" w:rsidRDefault="00C83DF4" w:rsidP="00C83DF4">
      <w:pPr>
        <w:pStyle w:val="Default"/>
        <w:ind w:left="357"/>
        <w:jc w:val="both"/>
        <w:rPr>
          <w:rFonts w:asciiTheme="minorHAnsi" w:hAnsiTheme="minorHAnsi"/>
          <w:color w:val="auto"/>
          <w:sz w:val="20"/>
          <w:szCs w:val="20"/>
          <w:highlight w:val="yellow"/>
        </w:rPr>
      </w:pPr>
    </w:p>
    <w:p w:rsidR="00C83DF4" w:rsidRPr="00C83DF4" w:rsidRDefault="00C83DF4" w:rsidP="00C83DF4">
      <w:pPr>
        <w:pStyle w:val="Default"/>
        <w:jc w:val="both"/>
        <w:rPr>
          <w:rFonts w:asciiTheme="minorHAnsi" w:hAnsiTheme="minorHAnsi"/>
          <w:b/>
          <w:bCs/>
          <w:color w:val="auto"/>
          <w:sz w:val="20"/>
          <w:szCs w:val="20"/>
        </w:rPr>
      </w:pPr>
      <w:r w:rsidRPr="00C83DF4">
        <w:rPr>
          <w:rFonts w:asciiTheme="minorHAnsi" w:hAnsiTheme="minorHAnsi"/>
          <w:b/>
          <w:bCs/>
          <w:color w:val="auto"/>
          <w:sz w:val="20"/>
          <w:szCs w:val="20"/>
        </w:rPr>
        <w:t>Cel Operacyjny 2.1 Ograniczona skala negatywnych zjawisk społecznych oraz wzrost dostępności do prorozwojowych usług publicznych – projekty:</w:t>
      </w:r>
    </w:p>
    <w:p w:rsidR="00C83DF4" w:rsidRPr="00C83DF4" w:rsidRDefault="00C83DF4" w:rsidP="00245F2E">
      <w:pPr>
        <w:pStyle w:val="Akapitzlist"/>
        <w:numPr>
          <w:ilvl w:val="0"/>
          <w:numId w:val="688"/>
        </w:numPr>
        <w:spacing w:after="0" w:line="259" w:lineRule="auto"/>
        <w:contextualSpacing/>
        <w:jc w:val="both"/>
        <w:rPr>
          <w:rFonts w:asciiTheme="minorHAnsi" w:hAnsiTheme="minorHAnsi" w:cs="Calibri"/>
          <w:sz w:val="20"/>
          <w:szCs w:val="20"/>
        </w:rPr>
      </w:pPr>
      <w:r w:rsidRPr="00C83DF4">
        <w:rPr>
          <w:rFonts w:asciiTheme="minorHAnsi" w:hAnsiTheme="minorHAnsi"/>
          <w:sz w:val="20"/>
          <w:szCs w:val="20"/>
        </w:rPr>
        <w:t>Program aktywnej integracji osób i grup zagrożonych wykluczeniem społecznym (24),</w:t>
      </w:r>
    </w:p>
    <w:p w:rsidR="00C83DF4" w:rsidRPr="00C83DF4" w:rsidRDefault="00C83DF4" w:rsidP="00245F2E">
      <w:pPr>
        <w:pStyle w:val="Akapitzlist"/>
        <w:numPr>
          <w:ilvl w:val="0"/>
          <w:numId w:val="688"/>
        </w:numPr>
        <w:spacing w:after="0" w:line="259" w:lineRule="auto"/>
        <w:contextualSpacing/>
        <w:jc w:val="both"/>
        <w:rPr>
          <w:rFonts w:asciiTheme="minorHAnsi" w:hAnsiTheme="minorHAnsi" w:cs="Calibri"/>
          <w:sz w:val="20"/>
          <w:szCs w:val="20"/>
        </w:rPr>
      </w:pPr>
      <w:r w:rsidRPr="00C83DF4">
        <w:rPr>
          <w:rFonts w:asciiTheme="minorHAnsi" w:hAnsiTheme="minorHAnsi"/>
          <w:sz w:val="20"/>
          <w:szCs w:val="20"/>
        </w:rPr>
        <w:t>Lepszy Start (28),</w:t>
      </w:r>
    </w:p>
    <w:p w:rsidR="00C83DF4" w:rsidRPr="00C83DF4" w:rsidRDefault="00C83DF4" w:rsidP="00245F2E">
      <w:pPr>
        <w:pStyle w:val="Default"/>
        <w:numPr>
          <w:ilvl w:val="0"/>
          <w:numId w:val="688"/>
        </w:numPr>
        <w:jc w:val="both"/>
        <w:rPr>
          <w:rFonts w:asciiTheme="minorHAnsi" w:hAnsiTheme="minorHAnsi"/>
          <w:color w:val="auto"/>
          <w:sz w:val="20"/>
          <w:szCs w:val="20"/>
        </w:rPr>
      </w:pPr>
      <w:r w:rsidRPr="00C83DF4">
        <w:rPr>
          <w:rFonts w:asciiTheme="minorHAnsi" w:hAnsiTheme="minorHAnsi"/>
          <w:color w:val="auto"/>
          <w:sz w:val="20"/>
          <w:szCs w:val="20"/>
        </w:rPr>
        <w:t xml:space="preserve">Bytomscy Transformersi–Strażnicy kapitału społecznego I (30), </w:t>
      </w:r>
    </w:p>
    <w:p w:rsidR="00C83DF4" w:rsidRPr="00C83DF4" w:rsidRDefault="00C83DF4" w:rsidP="00245F2E">
      <w:pPr>
        <w:pStyle w:val="Default"/>
        <w:numPr>
          <w:ilvl w:val="0"/>
          <w:numId w:val="688"/>
        </w:numPr>
        <w:jc w:val="both"/>
        <w:rPr>
          <w:rFonts w:asciiTheme="minorHAnsi" w:hAnsiTheme="minorHAnsi"/>
          <w:color w:val="auto"/>
          <w:sz w:val="20"/>
          <w:szCs w:val="20"/>
        </w:rPr>
      </w:pPr>
      <w:r w:rsidRPr="00C83DF4">
        <w:rPr>
          <w:rFonts w:asciiTheme="minorHAnsi" w:hAnsiTheme="minorHAnsi"/>
          <w:color w:val="auto"/>
          <w:sz w:val="20"/>
          <w:szCs w:val="20"/>
        </w:rPr>
        <w:t xml:space="preserve">Bytomscy Transformersi–Strażnicy kapitału społecznego II (31), </w:t>
      </w:r>
    </w:p>
    <w:p w:rsidR="00C83DF4" w:rsidRPr="00C83DF4" w:rsidRDefault="00C83DF4" w:rsidP="00245F2E">
      <w:pPr>
        <w:pStyle w:val="Default"/>
        <w:numPr>
          <w:ilvl w:val="0"/>
          <w:numId w:val="688"/>
        </w:numPr>
        <w:jc w:val="both"/>
        <w:rPr>
          <w:rFonts w:asciiTheme="minorHAnsi" w:hAnsiTheme="minorHAnsi"/>
          <w:color w:val="auto"/>
          <w:sz w:val="20"/>
          <w:szCs w:val="20"/>
        </w:rPr>
      </w:pPr>
      <w:r w:rsidRPr="00C83DF4">
        <w:rPr>
          <w:rFonts w:asciiTheme="minorHAnsi" w:hAnsiTheme="minorHAnsi"/>
          <w:color w:val="auto"/>
          <w:sz w:val="20"/>
          <w:szCs w:val="20"/>
        </w:rPr>
        <w:t xml:space="preserve">Bytomscy Transformersi–Strażnicy kapitału społecznego III (32), </w:t>
      </w:r>
    </w:p>
    <w:p w:rsidR="00C83DF4" w:rsidRPr="00C83DF4" w:rsidRDefault="00C83DF4" w:rsidP="00245F2E">
      <w:pPr>
        <w:pStyle w:val="Default"/>
        <w:numPr>
          <w:ilvl w:val="0"/>
          <w:numId w:val="688"/>
        </w:numPr>
        <w:jc w:val="both"/>
        <w:rPr>
          <w:rFonts w:asciiTheme="minorHAnsi" w:hAnsiTheme="minorHAnsi"/>
          <w:color w:val="auto"/>
          <w:sz w:val="20"/>
          <w:szCs w:val="20"/>
        </w:rPr>
      </w:pPr>
      <w:r w:rsidRPr="00C83DF4">
        <w:rPr>
          <w:rFonts w:asciiTheme="minorHAnsi" w:hAnsiTheme="minorHAnsi"/>
          <w:color w:val="auto"/>
          <w:sz w:val="20"/>
          <w:szCs w:val="20"/>
        </w:rPr>
        <w:t xml:space="preserve">Bytomscy Transformersi–Strażnicy kapitału społecznego IV (33), </w:t>
      </w:r>
    </w:p>
    <w:p w:rsidR="00C83DF4" w:rsidRPr="00C83DF4" w:rsidRDefault="00C83DF4" w:rsidP="00245F2E">
      <w:pPr>
        <w:pStyle w:val="Default"/>
        <w:numPr>
          <w:ilvl w:val="0"/>
          <w:numId w:val="688"/>
        </w:numPr>
        <w:jc w:val="both"/>
        <w:rPr>
          <w:rFonts w:asciiTheme="minorHAnsi" w:hAnsiTheme="minorHAnsi"/>
          <w:color w:val="auto"/>
          <w:sz w:val="20"/>
          <w:szCs w:val="20"/>
        </w:rPr>
      </w:pPr>
      <w:r w:rsidRPr="00C83DF4">
        <w:rPr>
          <w:rFonts w:asciiTheme="minorHAnsi" w:hAnsiTheme="minorHAnsi"/>
          <w:color w:val="auto"/>
          <w:sz w:val="20"/>
          <w:szCs w:val="20"/>
        </w:rPr>
        <w:t>Szansa dla Dziecka (34),</w:t>
      </w:r>
    </w:p>
    <w:p w:rsidR="00C83DF4" w:rsidRPr="00C83DF4" w:rsidRDefault="00C83DF4" w:rsidP="00245F2E">
      <w:pPr>
        <w:pStyle w:val="Akapitzlist"/>
        <w:numPr>
          <w:ilvl w:val="0"/>
          <w:numId w:val="688"/>
        </w:numPr>
        <w:spacing w:after="0" w:line="259" w:lineRule="auto"/>
        <w:contextualSpacing/>
        <w:jc w:val="both"/>
        <w:rPr>
          <w:rFonts w:asciiTheme="minorHAnsi" w:hAnsiTheme="minorHAnsi" w:cs="Calibri"/>
          <w:sz w:val="20"/>
          <w:szCs w:val="20"/>
        </w:rPr>
      </w:pPr>
      <w:r w:rsidRPr="00C83DF4">
        <w:rPr>
          <w:rFonts w:asciiTheme="minorHAnsi" w:hAnsiTheme="minorHAnsi" w:cs="Calibri"/>
          <w:sz w:val="20"/>
          <w:szCs w:val="20"/>
        </w:rPr>
        <w:t xml:space="preserve">Bytomski Ośrodek Aktywności (40), </w:t>
      </w:r>
    </w:p>
    <w:p w:rsidR="00C83DF4" w:rsidRPr="00C83DF4" w:rsidRDefault="00C83DF4" w:rsidP="00245F2E">
      <w:pPr>
        <w:pStyle w:val="Akapitzlist"/>
        <w:numPr>
          <w:ilvl w:val="0"/>
          <w:numId w:val="688"/>
        </w:numPr>
        <w:spacing w:after="160" w:line="259" w:lineRule="auto"/>
        <w:contextualSpacing/>
        <w:jc w:val="both"/>
        <w:rPr>
          <w:rFonts w:asciiTheme="minorHAnsi" w:hAnsiTheme="minorHAnsi" w:cs="Calibri"/>
          <w:sz w:val="20"/>
          <w:szCs w:val="20"/>
        </w:rPr>
      </w:pPr>
      <w:r w:rsidRPr="00C83DF4">
        <w:rPr>
          <w:rFonts w:asciiTheme="minorHAnsi" w:hAnsiTheme="minorHAnsi"/>
          <w:sz w:val="20"/>
          <w:szCs w:val="20"/>
        </w:rPr>
        <w:t>Ludzie do ludzi – Program Aktywizacji Lokalnej mieszkańców Bobrka (41</w:t>
      </w:r>
      <w:r w:rsidRPr="00C83DF4">
        <w:rPr>
          <w:rFonts w:asciiTheme="minorHAnsi" w:hAnsiTheme="minorHAnsi"/>
          <w:i/>
          <w:iCs/>
          <w:sz w:val="20"/>
          <w:szCs w:val="20"/>
        </w:rPr>
        <w:t>),</w:t>
      </w:r>
    </w:p>
    <w:p w:rsidR="00C83DF4" w:rsidRPr="00C83DF4" w:rsidRDefault="00C83DF4" w:rsidP="00245F2E">
      <w:pPr>
        <w:pStyle w:val="Akapitzlist"/>
        <w:numPr>
          <w:ilvl w:val="0"/>
          <w:numId w:val="688"/>
        </w:numPr>
        <w:spacing w:after="160" w:line="259" w:lineRule="auto"/>
        <w:contextualSpacing/>
        <w:jc w:val="both"/>
        <w:rPr>
          <w:rFonts w:asciiTheme="minorHAnsi" w:hAnsiTheme="minorHAnsi" w:cs="Calibri"/>
          <w:sz w:val="20"/>
          <w:szCs w:val="20"/>
        </w:rPr>
      </w:pPr>
      <w:r w:rsidRPr="00C83DF4">
        <w:rPr>
          <w:rFonts w:asciiTheme="minorHAnsi" w:hAnsiTheme="minorHAnsi"/>
          <w:sz w:val="20"/>
          <w:szCs w:val="20"/>
        </w:rPr>
        <w:t>S.O.S dla dzielnicy Bobrek – aktywizacja zawodowa i społeczna (42),</w:t>
      </w:r>
    </w:p>
    <w:p w:rsidR="00C83DF4" w:rsidRPr="00C83DF4" w:rsidRDefault="00C83DF4" w:rsidP="00245F2E">
      <w:pPr>
        <w:pStyle w:val="Akapitzlist"/>
        <w:numPr>
          <w:ilvl w:val="0"/>
          <w:numId w:val="688"/>
        </w:numPr>
        <w:spacing w:after="0" w:line="259" w:lineRule="auto"/>
        <w:contextualSpacing/>
        <w:jc w:val="both"/>
        <w:rPr>
          <w:rFonts w:asciiTheme="minorHAnsi" w:hAnsiTheme="minorHAnsi" w:cs="Calibri"/>
          <w:sz w:val="20"/>
          <w:szCs w:val="20"/>
        </w:rPr>
      </w:pPr>
      <w:r w:rsidRPr="00C83DF4">
        <w:rPr>
          <w:rFonts w:asciiTheme="minorHAnsi" w:hAnsiTheme="minorHAnsi"/>
          <w:sz w:val="20"/>
          <w:szCs w:val="20"/>
        </w:rPr>
        <w:t>Rewitalizacja społeczna Dzielnicy Bobrek, Rozbark i Śródmieście (50),</w:t>
      </w:r>
    </w:p>
    <w:p w:rsidR="00C83DF4" w:rsidRPr="00C83DF4" w:rsidRDefault="00C83DF4" w:rsidP="00245F2E">
      <w:pPr>
        <w:pStyle w:val="Akapitzlist"/>
        <w:numPr>
          <w:ilvl w:val="0"/>
          <w:numId w:val="688"/>
        </w:numPr>
        <w:spacing w:after="0" w:line="259" w:lineRule="auto"/>
        <w:contextualSpacing/>
        <w:jc w:val="both"/>
        <w:rPr>
          <w:rFonts w:asciiTheme="minorHAnsi" w:hAnsiTheme="minorHAnsi" w:cs="Calibri"/>
          <w:sz w:val="20"/>
          <w:szCs w:val="20"/>
        </w:rPr>
      </w:pPr>
      <w:r w:rsidRPr="00C83DF4">
        <w:rPr>
          <w:rFonts w:asciiTheme="minorHAnsi" w:hAnsiTheme="minorHAnsi"/>
          <w:sz w:val="20"/>
          <w:szCs w:val="20"/>
        </w:rPr>
        <w:t>Opiekun Nieformalny - sposób na życie (52),</w:t>
      </w:r>
    </w:p>
    <w:p w:rsidR="00C83DF4" w:rsidRPr="00C83DF4" w:rsidRDefault="00C83DF4" w:rsidP="00245F2E">
      <w:pPr>
        <w:pStyle w:val="Default"/>
        <w:numPr>
          <w:ilvl w:val="0"/>
          <w:numId w:val="688"/>
        </w:numPr>
        <w:jc w:val="both"/>
        <w:rPr>
          <w:rFonts w:asciiTheme="minorHAnsi" w:hAnsiTheme="minorHAnsi"/>
          <w:color w:val="auto"/>
          <w:sz w:val="20"/>
          <w:szCs w:val="20"/>
        </w:rPr>
      </w:pPr>
      <w:r w:rsidRPr="00C83DF4">
        <w:rPr>
          <w:rFonts w:asciiTheme="minorHAnsi" w:hAnsiTheme="minorHAnsi"/>
          <w:color w:val="auto"/>
          <w:sz w:val="20"/>
          <w:szCs w:val="20"/>
        </w:rPr>
        <w:t xml:space="preserve">Centrum Wsparcia Rodziny edycja I (53), </w:t>
      </w:r>
    </w:p>
    <w:p w:rsidR="00C83DF4" w:rsidRPr="00C83DF4" w:rsidRDefault="00C83DF4" w:rsidP="00245F2E">
      <w:pPr>
        <w:pStyle w:val="Default"/>
        <w:numPr>
          <w:ilvl w:val="0"/>
          <w:numId w:val="688"/>
        </w:numPr>
        <w:jc w:val="both"/>
        <w:rPr>
          <w:rFonts w:asciiTheme="minorHAnsi" w:hAnsiTheme="minorHAnsi"/>
          <w:color w:val="auto"/>
          <w:sz w:val="20"/>
          <w:szCs w:val="20"/>
        </w:rPr>
      </w:pPr>
      <w:r w:rsidRPr="00C83DF4">
        <w:rPr>
          <w:rFonts w:asciiTheme="minorHAnsi" w:hAnsiTheme="minorHAnsi"/>
          <w:color w:val="auto"/>
          <w:sz w:val="20"/>
          <w:szCs w:val="20"/>
        </w:rPr>
        <w:t xml:space="preserve">Centrum Wsparcia Rodziny edycja II (54), </w:t>
      </w:r>
    </w:p>
    <w:p w:rsidR="00C83DF4" w:rsidRPr="00C83DF4" w:rsidRDefault="00C83DF4" w:rsidP="00245F2E">
      <w:pPr>
        <w:pStyle w:val="Default"/>
        <w:numPr>
          <w:ilvl w:val="0"/>
          <w:numId w:val="688"/>
        </w:numPr>
        <w:jc w:val="both"/>
        <w:rPr>
          <w:rFonts w:asciiTheme="minorHAnsi" w:hAnsiTheme="minorHAnsi"/>
          <w:color w:val="auto"/>
          <w:sz w:val="20"/>
          <w:szCs w:val="20"/>
        </w:rPr>
      </w:pPr>
      <w:r w:rsidRPr="00C83DF4">
        <w:rPr>
          <w:rFonts w:asciiTheme="minorHAnsi" w:hAnsiTheme="minorHAnsi"/>
          <w:color w:val="auto"/>
          <w:sz w:val="20"/>
          <w:szCs w:val="20"/>
        </w:rPr>
        <w:t xml:space="preserve">Usługi społeczne w mieszkaniach wspomaganych edycja I (55), </w:t>
      </w:r>
    </w:p>
    <w:p w:rsidR="00C83DF4" w:rsidRPr="00C83DF4" w:rsidRDefault="00C83DF4" w:rsidP="00245F2E">
      <w:pPr>
        <w:pStyle w:val="Default"/>
        <w:numPr>
          <w:ilvl w:val="0"/>
          <w:numId w:val="688"/>
        </w:numPr>
        <w:jc w:val="both"/>
        <w:rPr>
          <w:rFonts w:asciiTheme="minorHAnsi" w:hAnsiTheme="minorHAnsi"/>
          <w:color w:val="auto"/>
          <w:sz w:val="20"/>
          <w:szCs w:val="20"/>
        </w:rPr>
      </w:pPr>
      <w:r w:rsidRPr="00C83DF4">
        <w:rPr>
          <w:rFonts w:asciiTheme="minorHAnsi" w:hAnsiTheme="minorHAnsi"/>
          <w:color w:val="auto"/>
          <w:sz w:val="20"/>
          <w:szCs w:val="20"/>
        </w:rPr>
        <w:t xml:space="preserve">Usługi społeczne w mieszkaniach wspomaganych edycja II (56),  </w:t>
      </w:r>
    </w:p>
    <w:p w:rsidR="00C83DF4" w:rsidRPr="00C83DF4" w:rsidRDefault="00C83DF4" w:rsidP="00245F2E">
      <w:pPr>
        <w:pStyle w:val="Default"/>
        <w:numPr>
          <w:ilvl w:val="0"/>
          <w:numId w:val="688"/>
        </w:numPr>
        <w:jc w:val="both"/>
        <w:rPr>
          <w:rFonts w:asciiTheme="minorHAnsi" w:hAnsiTheme="minorHAnsi"/>
          <w:color w:val="auto"/>
          <w:sz w:val="20"/>
          <w:szCs w:val="20"/>
        </w:rPr>
      </w:pPr>
      <w:r w:rsidRPr="00C83DF4">
        <w:rPr>
          <w:rFonts w:asciiTheme="minorHAnsi" w:hAnsiTheme="minorHAnsi"/>
          <w:color w:val="auto"/>
          <w:sz w:val="20"/>
          <w:szCs w:val="20"/>
        </w:rPr>
        <w:t>Kompleksowe, alternatywne i aktywizacyjne usługi terapeutyczne dla osób przewlekle psychicznie chorych - mieszkańców miasta Bytom, w tym mieszkańców DPS dla Dorosłych (57),</w:t>
      </w:r>
    </w:p>
    <w:p w:rsidR="00C83DF4" w:rsidRPr="00C83DF4" w:rsidRDefault="00C83DF4" w:rsidP="00245F2E">
      <w:pPr>
        <w:pStyle w:val="Akapitzlist"/>
        <w:numPr>
          <w:ilvl w:val="0"/>
          <w:numId w:val="688"/>
        </w:numPr>
        <w:spacing w:after="0" w:line="259" w:lineRule="auto"/>
        <w:contextualSpacing/>
        <w:jc w:val="both"/>
        <w:rPr>
          <w:rFonts w:asciiTheme="minorHAnsi" w:hAnsiTheme="minorHAnsi" w:cs="Calibri"/>
          <w:sz w:val="20"/>
          <w:szCs w:val="20"/>
        </w:rPr>
      </w:pPr>
      <w:r w:rsidRPr="00C83DF4">
        <w:rPr>
          <w:rFonts w:asciiTheme="minorHAnsi" w:hAnsiTheme="minorHAnsi"/>
          <w:sz w:val="20"/>
          <w:szCs w:val="20"/>
        </w:rPr>
        <w:t>Bytomskie Centrum Aktywności Społecznej – działalność społeczna bytomskich harcerzy (58),</w:t>
      </w:r>
    </w:p>
    <w:p w:rsidR="00C83DF4" w:rsidRPr="00C83DF4" w:rsidRDefault="00C83DF4" w:rsidP="00245F2E">
      <w:pPr>
        <w:pStyle w:val="Default"/>
        <w:numPr>
          <w:ilvl w:val="0"/>
          <w:numId w:val="688"/>
        </w:numPr>
        <w:jc w:val="both"/>
        <w:rPr>
          <w:rFonts w:asciiTheme="minorHAnsi" w:hAnsiTheme="minorHAnsi"/>
          <w:color w:val="auto"/>
          <w:sz w:val="20"/>
          <w:szCs w:val="20"/>
        </w:rPr>
      </w:pPr>
      <w:r w:rsidRPr="00C83DF4">
        <w:rPr>
          <w:rFonts w:asciiTheme="minorHAnsi" w:hAnsiTheme="minorHAnsi"/>
          <w:color w:val="auto"/>
          <w:sz w:val="20"/>
          <w:szCs w:val="20"/>
        </w:rPr>
        <w:t>Podwórka bez przemocy - program z zakresu pedagogiki podwórkowej w rejonie Bobrka, Rozbarku i</w:t>
      </w:r>
      <w:r w:rsidR="00245F2E">
        <w:rPr>
          <w:rFonts w:asciiTheme="minorHAnsi" w:hAnsiTheme="minorHAnsi"/>
          <w:color w:val="auto"/>
          <w:sz w:val="20"/>
          <w:szCs w:val="20"/>
        </w:rPr>
        <w:t> </w:t>
      </w:r>
      <w:r w:rsidRPr="00C83DF4">
        <w:rPr>
          <w:rFonts w:asciiTheme="minorHAnsi" w:hAnsiTheme="minorHAnsi"/>
          <w:color w:val="auto"/>
          <w:sz w:val="20"/>
          <w:szCs w:val="20"/>
        </w:rPr>
        <w:t xml:space="preserve">Śródmieścia (60), </w:t>
      </w:r>
    </w:p>
    <w:p w:rsidR="00C83DF4" w:rsidRPr="00C83DF4" w:rsidRDefault="00C83DF4" w:rsidP="00245F2E">
      <w:pPr>
        <w:pStyle w:val="Default"/>
        <w:numPr>
          <w:ilvl w:val="0"/>
          <w:numId w:val="688"/>
        </w:numPr>
        <w:jc w:val="both"/>
        <w:rPr>
          <w:rFonts w:asciiTheme="minorHAnsi" w:hAnsiTheme="minorHAnsi"/>
          <w:color w:val="auto"/>
          <w:sz w:val="20"/>
          <w:szCs w:val="20"/>
        </w:rPr>
      </w:pPr>
      <w:r w:rsidRPr="00C83DF4">
        <w:rPr>
          <w:rFonts w:asciiTheme="minorHAnsi" w:hAnsiTheme="minorHAnsi"/>
          <w:color w:val="auto"/>
          <w:sz w:val="20"/>
          <w:szCs w:val="20"/>
        </w:rPr>
        <w:t>Program "Aktywny Senior" (62),</w:t>
      </w:r>
    </w:p>
    <w:p w:rsidR="00C83DF4" w:rsidRPr="00C83DF4" w:rsidRDefault="00C83DF4" w:rsidP="00245F2E">
      <w:pPr>
        <w:pStyle w:val="Akapitzlist"/>
        <w:numPr>
          <w:ilvl w:val="0"/>
          <w:numId w:val="688"/>
        </w:numPr>
        <w:spacing w:after="0" w:line="259" w:lineRule="auto"/>
        <w:contextualSpacing/>
        <w:jc w:val="both"/>
        <w:rPr>
          <w:rFonts w:asciiTheme="minorHAnsi" w:hAnsiTheme="minorHAnsi" w:cs="Calibri"/>
          <w:sz w:val="20"/>
          <w:szCs w:val="20"/>
        </w:rPr>
      </w:pPr>
      <w:r w:rsidRPr="00C83DF4">
        <w:rPr>
          <w:rFonts w:asciiTheme="minorHAnsi" w:hAnsiTheme="minorHAnsi"/>
          <w:sz w:val="20"/>
          <w:szCs w:val="20"/>
        </w:rPr>
        <w:t>Opiekuńczy Bytom – utworzenie i funkcjonowanie Bytomskiego Centrum Wsparcia Opiekunów Nieformalnych (65),</w:t>
      </w:r>
    </w:p>
    <w:p w:rsidR="00C83DF4" w:rsidRPr="00C83DF4" w:rsidRDefault="00C83DF4" w:rsidP="00245F2E">
      <w:pPr>
        <w:pStyle w:val="Akapitzlist"/>
        <w:numPr>
          <w:ilvl w:val="0"/>
          <w:numId w:val="688"/>
        </w:numPr>
        <w:spacing w:after="0" w:line="259" w:lineRule="auto"/>
        <w:contextualSpacing/>
        <w:jc w:val="both"/>
        <w:rPr>
          <w:rFonts w:asciiTheme="minorHAnsi" w:hAnsiTheme="minorHAnsi" w:cs="Calibri"/>
          <w:sz w:val="20"/>
          <w:szCs w:val="20"/>
        </w:rPr>
      </w:pPr>
      <w:r w:rsidRPr="00C83DF4">
        <w:rPr>
          <w:rFonts w:asciiTheme="minorHAnsi" w:hAnsiTheme="minorHAnsi"/>
          <w:sz w:val="20"/>
          <w:szCs w:val="20"/>
        </w:rPr>
        <w:t>Bezpieczny senior (66),</w:t>
      </w:r>
    </w:p>
    <w:p w:rsidR="00C83DF4" w:rsidRPr="00C83DF4" w:rsidRDefault="00C83DF4" w:rsidP="00245F2E">
      <w:pPr>
        <w:pStyle w:val="Akapitzlist"/>
        <w:numPr>
          <w:ilvl w:val="0"/>
          <w:numId w:val="688"/>
        </w:numPr>
        <w:spacing w:after="0" w:line="259" w:lineRule="auto"/>
        <w:contextualSpacing/>
        <w:jc w:val="both"/>
        <w:rPr>
          <w:rFonts w:asciiTheme="minorHAnsi" w:hAnsiTheme="minorHAnsi" w:cs="Calibri"/>
          <w:sz w:val="20"/>
          <w:szCs w:val="20"/>
        </w:rPr>
      </w:pPr>
      <w:r w:rsidRPr="00C83DF4">
        <w:rPr>
          <w:rFonts w:asciiTheme="minorHAnsi" w:hAnsiTheme="minorHAnsi"/>
          <w:sz w:val="20"/>
          <w:szCs w:val="20"/>
        </w:rPr>
        <w:t xml:space="preserve">Opiekunowie są wśród nas (67),  </w:t>
      </w:r>
    </w:p>
    <w:p w:rsidR="00C83DF4" w:rsidRPr="00C83DF4" w:rsidRDefault="00C83DF4" w:rsidP="00245F2E">
      <w:pPr>
        <w:pStyle w:val="Default"/>
        <w:numPr>
          <w:ilvl w:val="0"/>
          <w:numId w:val="688"/>
        </w:numPr>
        <w:jc w:val="both"/>
        <w:rPr>
          <w:rFonts w:asciiTheme="minorHAnsi" w:hAnsiTheme="minorHAnsi"/>
          <w:color w:val="auto"/>
          <w:sz w:val="20"/>
          <w:szCs w:val="20"/>
        </w:rPr>
      </w:pPr>
      <w:r w:rsidRPr="00C83DF4">
        <w:rPr>
          <w:rFonts w:asciiTheme="minorHAnsi" w:hAnsiTheme="minorHAnsi"/>
          <w:color w:val="auto"/>
          <w:sz w:val="20"/>
          <w:szCs w:val="20"/>
        </w:rPr>
        <w:t xml:space="preserve">Wysoka jakość edukacji przedszkolnej - dodatkowe miejsca w przedszkolach (72), </w:t>
      </w:r>
    </w:p>
    <w:p w:rsidR="00C83DF4" w:rsidRPr="00C83DF4" w:rsidRDefault="00C83DF4" w:rsidP="00245F2E">
      <w:pPr>
        <w:pStyle w:val="Akapitzlist"/>
        <w:numPr>
          <w:ilvl w:val="0"/>
          <w:numId w:val="688"/>
        </w:numPr>
        <w:spacing w:after="0" w:line="259" w:lineRule="auto"/>
        <w:contextualSpacing/>
        <w:jc w:val="both"/>
        <w:rPr>
          <w:rFonts w:asciiTheme="minorHAnsi" w:hAnsiTheme="minorHAnsi" w:cs="Calibri"/>
          <w:sz w:val="20"/>
          <w:szCs w:val="20"/>
        </w:rPr>
      </w:pPr>
      <w:r w:rsidRPr="00C83DF4">
        <w:rPr>
          <w:rFonts w:asciiTheme="minorHAnsi" w:hAnsiTheme="minorHAnsi"/>
          <w:sz w:val="20"/>
          <w:szCs w:val="20"/>
        </w:rPr>
        <w:t>Umiem się uczyć (75),</w:t>
      </w:r>
    </w:p>
    <w:p w:rsidR="00C83DF4" w:rsidRPr="00C83DF4" w:rsidRDefault="00C83DF4" w:rsidP="00245F2E">
      <w:pPr>
        <w:pStyle w:val="Default"/>
        <w:numPr>
          <w:ilvl w:val="0"/>
          <w:numId w:val="688"/>
        </w:numPr>
        <w:jc w:val="both"/>
        <w:rPr>
          <w:rFonts w:asciiTheme="minorHAnsi" w:hAnsiTheme="minorHAnsi"/>
          <w:color w:val="auto"/>
          <w:sz w:val="20"/>
          <w:szCs w:val="20"/>
        </w:rPr>
      </w:pPr>
      <w:r w:rsidRPr="00C83DF4">
        <w:rPr>
          <w:rFonts w:asciiTheme="minorHAnsi" w:hAnsiTheme="minorHAnsi"/>
          <w:color w:val="auto"/>
          <w:sz w:val="20"/>
          <w:szCs w:val="20"/>
        </w:rPr>
        <w:t>Zostań programistą (76),</w:t>
      </w:r>
    </w:p>
    <w:p w:rsidR="00C83DF4" w:rsidRPr="00C83DF4" w:rsidRDefault="00C83DF4" w:rsidP="00245F2E">
      <w:pPr>
        <w:pStyle w:val="Akapitzlist"/>
        <w:numPr>
          <w:ilvl w:val="0"/>
          <w:numId w:val="688"/>
        </w:numPr>
        <w:spacing w:after="0" w:line="259" w:lineRule="auto"/>
        <w:contextualSpacing/>
        <w:jc w:val="both"/>
        <w:rPr>
          <w:rFonts w:asciiTheme="minorHAnsi" w:hAnsiTheme="minorHAnsi" w:cs="Calibri"/>
          <w:sz w:val="20"/>
          <w:szCs w:val="20"/>
        </w:rPr>
      </w:pPr>
      <w:r w:rsidRPr="00C83DF4">
        <w:rPr>
          <w:rFonts w:asciiTheme="minorHAnsi" w:hAnsiTheme="minorHAnsi"/>
          <w:sz w:val="20"/>
          <w:szCs w:val="20"/>
        </w:rPr>
        <w:t>Masz firmę masz lokal - Program Aktywizacji Lokali Użytkowych (116).</w:t>
      </w:r>
    </w:p>
    <w:p w:rsidR="00C83DF4" w:rsidRPr="00C83DF4" w:rsidRDefault="00C83DF4" w:rsidP="00C83DF4">
      <w:pPr>
        <w:pStyle w:val="Default"/>
        <w:jc w:val="both"/>
        <w:rPr>
          <w:rFonts w:asciiTheme="minorHAnsi" w:hAnsiTheme="minorHAnsi"/>
          <w:color w:val="auto"/>
          <w:sz w:val="20"/>
          <w:szCs w:val="20"/>
          <w:highlight w:val="yellow"/>
        </w:rPr>
      </w:pPr>
    </w:p>
    <w:p w:rsidR="00C83DF4" w:rsidRPr="00C83DF4" w:rsidRDefault="00C83DF4" w:rsidP="00C83DF4">
      <w:pPr>
        <w:pStyle w:val="Default"/>
        <w:jc w:val="both"/>
        <w:rPr>
          <w:rFonts w:asciiTheme="minorHAnsi" w:hAnsiTheme="minorHAnsi"/>
          <w:b/>
          <w:bCs/>
          <w:color w:val="auto"/>
          <w:sz w:val="20"/>
          <w:szCs w:val="20"/>
        </w:rPr>
      </w:pPr>
      <w:r w:rsidRPr="00C83DF4">
        <w:rPr>
          <w:rFonts w:asciiTheme="minorHAnsi" w:hAnsiTheme="minorHAnsi"/>
          <w:b/>
          <w:bCs/>
          <w:color w:val="auto"/>
          <w:sz w:val="20"/>
          <w:szCs w:val="20"/>
        </w:rPr>
        <w:t>Cel Operacyjny 2.2 Społeczności lokalne zintegrowane wokół tradycji dzielnic oraz oddolnych inicjatyw realizowanych przez mieszkańców na rzecz wspólnoty lokalnej – projekty:</w:t>
      </w:r>
    </w:p>
    <w:p w:rsidR="00C83DF4" w:rsidRPr="00C83DF4" w:rsidRDefault="00C83DF4" w:rsidP="00245F2E">
      <w:pPr>
        <w:pStyle w:val="Akapitzlist"/>
        <w:numPr>
          <w:ilvl w:val="0"/>
          <w:numId w:val="687"/>
        </w:numPr>
        <w:spacing w:after="0" w:line="259" w:lineRule="auto"/>
        <w:contextualSpacing/>
        <w:jc w:val="both"/>
        <w:rPr>
          <w:rFonts w:asciiTheme="minorHAnsi" w:hAnsiTheme="minorHAnsi" w:cs="Calibri"/>
          <w:sz w:val="20"/>
          <w:szCs w:val="20"/>
        </w:rPr>
      </w:pPr>
      <w:r w:rsidRPr="00C83DF4">
        <w:rPr>
          <w:rFonts w:asciiTheme="minorHAnsi" w:hAnsiTheme="minorHAnsi" w:cs="Calibri"/>
          <w:sz w:val="20"/>
          <w:szCs w:val="20"/>
        </w:rPr>
        <w:t xml:space="preserve">Bytomski Ośrodek Aktywności (40), </w:t>
      </w:r>
    </w:p>
    <w:p w:rsidR="00C83DF4" w:rsidRPr="00C83DF4" w:rsidRDefault="00C83DF4" w:rsidP="00245F2E">
      <w:pPr>
        <w:pStyle w:val="Default"/>
        <w:numPr>
          <w:ilvl w:val="0"/>
          <w:numId w:val="687"/>
        </w:numPr>
        <w:jc w:val="both"/>
        <w:rPr>
          <w:rFonts w:asciiTheme="minorHAnsi" w:hAnsiTheme="minorHAnsi"/>
          <w:color w:val="auto"/>
          <w:sz w:val="20"/>
          <w:szCs w:val="20"/>
        </w:rPr>
      </w:pPr>
      <w:r w:rsidRPr="00C83DF4">
        <w:rPr>
          <w:rFonts w:asciiTheme="minorHAnsi" w:hAnsiTheme="minorHAnsi"/>
          <w:color w:val="auto"/>
          <w:sz w:val="20"/>
          <w:szCs w:val="20"/>
        </w:rPr>
        <w:t>Program "Aktywny Senior" (62),</w:t>
      </w:r>
    </w:p>
    <w:p w:rsidR="00C83DF4" w:rsidRPr="00C83DF4" w:rsidRDefault="00C83DF4" w:rsidP="00245F2E">
      <w:pPr>
        <w:pStyle w:val="Akapitzlist"/>
        <w:numPr>
          <w:ilvl w:val="0"/>
          <w:numId w:val="687"/>
        </w:numPr>
        <w:spacing w:after="0" w:line="259" w:lineRule="auto"/>
        <w:contextualSpacing/>
        <w:jc w:val="both"/>
        <w:rPr>
          <w:rFonts w:asciiTheme="minorHAnsi" w:hAnsiTheme="minorHAnsi" w:cs="Calibri"/>
          <w:sz w:val="20"/>
          <w:szCs w:val="20"/>
        </w:rPr>
      </w:pPr>
      <w:r w:rsidRPr="00C83DF4">
        <w:rPr>
          <w:rFonts w:asciiTheme="minorHAnsi" w:hAnsiTheme="minorHAnsi"/>
          <w:sz w:val="20"/>
          <w:szCs w:val="20"/>
        </w:rPr>
        <w:t xml:space="preserve">Opiekunowie są wśród nas (67). </w:t>
      </w:r>
    </w:p>
    <w:p w:rsidR="00C83DF4" w:rsidRPr="00C83DF4" w:rsidRDefault="00C83DF4" w:rsidP="00C83DF4">
      <w:pPr>
        <w:pStyle w:val="Default"/>
        <w:jc w:val="both"/>
        <w:rPr>
          <w:rFonts w:asciiTheme="minorHAnsi" w:hAnsiTheme="minorHAnsi"/>
          <w:color w:val="auto"/>
          <w:sz w:val="20"/>
          <w:szCs w:val="20"/>
          <w:highlight w:val="yellow"/>
        </w:rPr>
      </w:pPr>
    </w:p>
    <w:p w:rsidR="00C83DF4" w:rsidRPr="00C83DF4" w:rsidRDefault="00C83DF4" w:rsidP="00C83DF4">
      <w:pPr>
        <w:pStyle w:val="Default"/>
        <w:jc w:val="both"/>
        <w:rPr>
          <w:rFonts w:asciiTheme="minorHAnsi" w:hAnsiTheme="minorHAnsi"/>
          <w:sz w:val="20"/>
          <w:szCs w:val="20"/>
        </w:rPr>
      </w:pPr>
      <w:r w:rsidRPr="00C83DF4">
        <w:rPr>
          <w:rFonts w:asciiTheme="minorHAnsi" w:hAnsiTheme="minorHAnsi"/>
          <w:b/>
          <w:bCs/>
          <w:color w:val="auto"/>
          <w:sz w:val="20"/>
          <w:szCs w:val="20"/>
        </w:rPr>
        <w:t>Cel Operacyjny 3.1 Odpowiadająca współczesnym standardom cywilizacyjnym jakość zabudowy na obszarach rewitalizowanych oraz wzrost odpowiedzialności mieszkańców za komunalny zasób mieszkaniowy – projekty:</w:t>
      </w:r>
    </w:p>
    <w:p w:rsidR="00C83DF4" w:rsidRPr="00C83DF4" w:rsidRDefault="00C83DF4" w:rsidP="00245F2E">
      <w:pPr>
        <w:pStyle w:val="Default"/>
        <w:numPr>
          <w:ilvl w:val="0"/>
          <w:numId w:val="687"/>
        </w:numPr>
        <w:jc w:val="both"/>
        <w:rPr>
          <w:rFonts w:asciiTheme="minorHAnsi" w:hAnsiTheme="minorHAnsi"/>
          <w:color w:val="auto"/>
          <w:sz w:val="20"/>
          <w:szCs w:val="20"/>
        </w:rPr>
      </w:pPr>
      <w:r w:rsidRPr="00C83DF4">
        <w:rPr>
          <w:rFonts w:asciiTheme="minorHAnsi" w:hAnsiTheme="minorHAnsi"/>
          <w:color w:val="auto"/>
          <w:sz w:val="20"/>
          <w:szCs w:val="20"/>
        </w:rPr>
        <w:t>Termomodernizacja budynku Zespołu Szkół Specjalnych nr 3 w Bytomiu (89),</w:t>
      </w:r>
    </w:p>
    <w:p w:rsidR="00C83DF4" w:rsidRPr="00C83DF4" w:rsidRDefault="00C83DF4" w:rsidP="00245F2E">
      <w:pPr>
        <w:pStyle w:val="Akapitzlist"/>
        <w:numPr>
          <w:ilvl w:val="0"/>
          <w:numId w:val="687"/>
        </w:numPr>
        <w:spacing w:after="0" w:line="259" w:lineRule="auto"/>
        <w:contextualSpacing/>
        <w:jc w:val="both"/>
        <w:rPr>
          <w:rFonts w:asciiTheme="minorHAnsi" w:hAnsiTheme="minorHAnsi" w:cs="Calibri"/>
          <w:sz w:val="20"/>
          <w:szCs w:val="20"/>
        </w:rPr>
      </w:pPr>
      <w:r w:rsidRPr="00C83DF4">
        <w:rPr>
          <w:rFonts w:asciiTheme="minorHAnsi" w:hAnsiTheme="minorHAnsi"/>
          <w:sz w:val="20"/>
          <w:szCs w:val="20"/>
        </w:rPr>
        <w:t>Utworzenie Centrum Usług Społecznych oraz lokali socjalnych, wspomaganych w Bytomiu (Bobrek) (106),</w:t>
      </w:r>
    </w:p>
    <w:p w:rsidR="00C83DF4" w:rsidRPr="00C83DF4" w:rsidRDefault="00C83DF4" w:rsidP="00245F2E">
      <w:pPr>
        <w:pStyle w:val="Akapitzlist"/>
        <w:numPr>
          <w:ilvl w:val="0"/>
          <w:numId w:val="687"/>
        </w:numPr>
        <w:spacing w:after="0" w:line="259" w:lineRule="auto"/>
        <w:contextualSpacing/>
        <w:jc w:val="both"/>
        <w:rPr>
          <w:rFonts w:asciiTheme="minorHAnsi" w:hAnsiTheme="minorHAnsi" w:cs="Calibri"/>
          <w:sz w:val="20"/>
          <w:szCs w:val="20"/>
        </w:rPr>
      </w:pPr>
      <w:r w:rsidRPr="00C83DF4">
        <w:rPr>
          <w:rFonts w:asciiTheme="minorHAnsi" w:hAnsiTheme="minorHAnsi"/>
          <w:sz w:val="20"/>
          <w:szCs w:val="20"/>
        </w:rPr>
        <w:t>Rewitalizacja części podobszaru nr 8 – Bytom Bobrek (108).</w:t>
      </w:r>
    </w:p>
    <w:p w:rsidR="00C83DF4" w:rsidRPr="00C83DF4" w:rsidRDefault="00C83DF4" w:rsidP="00C83DF4">
      <w:pPr>
        <w:pStyle w:val="Default"/>
        <w:jc w:val="both"/>
        <w:rPr>
          <w:rFonts w:asciiTheme="minorHAnsi" w:hAnsiTheme="minorHAnsi"/>
          <w:color w:val="auto"/>
          <w:sz w:val="20"/>
          <w:szCs w:val="20"/>
          <w:highlight w:val="yellow"/>
        </w:rPr>
      </w:pPr>
    </w:p>
    <w:p w:rsidR="00C83DF4" w:rsidRPr="00C83DF4" w:rsidRDefault="00C83DF4" w:rsidP="00C83DF4">
      <w:pPr>
        <w:pStyle w:val="Default"/>
        <w:jc w:val="both"/>
        <w:rPr>
          <w:rFonts w:asciiTheme="minorHAnsi" w:hAnsiTheme="minorHAnsi"/>
          <w:sz w:val="20"/>
          <w:szCs w:val="20"/>
        </w:rPr>
      </w:pPr>
      <w:r w:rsidRPr="00C83DF4">
        <w:rPr>
          <w:rFonts w:asciiTheme="minorHAnsi" w:hAnsiTheme="minorHAnsi"/>
          <w:b/>
          <w:bCs/>
          <w:color w:val="auto"/>
          <w:sz w:val="20"/>
          <w:szCs w:val="20"/>
        </w:rPr>
        <w:t>Cel Operacyjny 3.2 Partnerstwo władz miasta i społeczności lokalnych w podnoszeniu jakości i ochronie walorów przestrzeni publicznych – projekty:</w:t>
      </w:r>
    </w:p>
    <w:p w:rsidR="00C83DF4" w:rsidRPr="00C83DF4" w:rsidRDefault="00C83DF4" w:rsidP="00245F2E">
      <w:pPr>
        <w:pStyle w:val="Akapitzlist"/>
        <w:numPr>
          <w:ilvl w:val="0"/>
          <w:numId w:val="687"/>
        </w:numPr>
        <w:spacing w:after="0" w:line="259" w:lineRule="auto"/>
        <w:contextualSpacing/>
        <w:jc w:val="both"/>
        <w:rPr>
          <w:rFonts w:asciiTheme="minorHAnsi" w:hAnsiTheme="minorHAnsi" w:cs="Calibri"/>
          <w:sz w:val="20"/>
          <w:szCs w:val="20"/>
        </w:rPr>
      </w:pPr>
      <w:r w:rsidRPr="00C83DF4">
        <w:rPr>
          <w:rFonts w:asciiTheme="minorHAnsi" w:hAnsiTheme="minorHAnsi"/>
          <w:sz w:val="20"/>
          <w:szCs w:val="20"/>
        </w:rPr>
        <w:t>Rewitalizacja części podobszaru nr 8 – Bytom Bobrek (108).</w:t>
      </w:r>
    </w:p>
    <w:p w:rsidR="00C83DF4" w:rsidRPr="00367A98" w:rsidRDefault="00C83DF4" w:rsidP="00C83DF4">
      <w:pPr>
        <w:pStyle w:val="Default"/>
        <w:jc w:val="both"/>
        <w:rPr>
          <w:rFonts w:asciiTheme="minorHAnsi" w:hAnsiTheme="minorHAnsi"/>
          <w:color w:val="auto"/>
          <w:sz w:val="18"/>
          <w:szCs w:val="20"/>
          <w:highlight w:val="yellow"/>
        </w:rPr>
      </w:pPr>
    </w:p>
    <w:p w:rsidR="00C83DF4" w:rsidRPr="00C83DF4" w:rsidRDefault="00C83DF4" w:rsidP="00C83DF4">
      <w:pPr>
        <w:pStyle w:val="Default"/>
        <w:jc w:val="both"/>
        <w:rPr>
          <w:rFonts w:asciiTheme="minorHAnsi" w:hAnsiTheme="minorHAnsi"/>
          <w:sz w:val="20"/>
          <w:szCs w:val="20"/>
        </w:rPr>
      </w:pPr>
      <w:r w:rsidRPr="00C83DF4">
        <w:rPr>
          <w:rFonts w:asciiTheme="minorHAnsi" w:hAnsiTheme="minorHAnsi"/>
          <w:b/>
          <w:bCs/>
          <w:color w:val="auto"/>
          <w:sz w:val="20"/>
          <w:szCs w:val="20"/>
        </w:rPr>
        <w:t>Cel Operacyjny 4.1 Zrekultywowane tereny poprzemysłowe przygotowane na przyjęcie nowych funkcji ważnych dla poprawy sytuacji społecznej i rozwoju rynku pracy – projekty:</w:t>
      </w:r>
    </w:p>
    <w:p w:rsidR="00C83DF4" w:rsidRDefault="00C83DF4" w:rsidP="00245F2E">
      <w:pPr>
        <w:pStyle w:val="Default"/>
        <w:numPr>
          <w:ilvl w:val="0"/>
          <w:numId w:val="687"/>
        </w:numPr>
        <w:jc w:val="both"/>
        <w:rPr>
          <w:rFonts w:asciiTheme="minorHAnsi" w:hAnsiTheme="minorHAnsi"/>
          <w:color w:val="auto"/>
          <w:sz w:val="20"/>
          <w:szCs w:val="20"/>
        </w:rPr>
      </w:pPr>
      <w:r w:rsidRPr="00C83DF4">
        <w:rPr>
          <w:rFonts w:asciiTheme="minorHAnsi" w:hAnsiTheme="minorHAnsi"/>
          <w:color w:val="auto"/>
          <w:sz w:val="20"/>
          <w:szCs w:val="20"/>
        </w:rPr>
        <w:t>Kompleksowa rewitalizacja EC Szombierki wraz z otoczeniem dzięki utworzeniu GENERATORA – Innowacyjnego Parku Muzycznego (121).</w:t>
      </w:r>
    </w:p>
    <w:p w:rsidR="00273B97" w:rsidRPr="00581E59" w:rsidRDefault="00273B97" w:rsidP="009C1D86">
      <w:pPr>
        <w:pStyle w:val="Default"/>
        <w:numPr>
          <w:ilvl w:val="0"/>
          <w:numId w:val="687"/>
        </w:numPr>
        <w:shd w:val="clear" w:color="auto" w:fill="F2F2F2" w:themeFill="background1" w:themeFillShade="F2"/>
        <w:jc w:val="both"/>
        <w:rPr>
          <w:rFonts w:asciiTheme="minorHAnsi" w:hAnsiTheme="minorHAnsi"/>
          <w:color w:val="auto"/>
          <w:sz w:val="20"/>
          <w:szCs w:val="20"/>
        </w:rPr>
      </w:pPr>
      <w:r w:rsidRPr="00581E59">
        <w:rPr>
          <w:rFonts w:asciiTheme="minorHAnsi" w:hAnsiTheme="minorHAnsi"/>
          <w:color w:val="auto"/>
          <w:sz w:val="20"/>
          <w:szCs w:val="20"/>
        </w:rPr>
        <w:t xml:space="preserve">Elektrociepłownia Szombierki – rewitalizacja dawnej elektrociepłowni wraz z przebudową, rozbudową, nadbudową, remontem i zmianą sposobu użytkowania na funkcje usługowe; kultury, nauki i oświaty, turystyki, sportu i rekreacji, zakwaterowania turystycznego, wystawiennictwa, biur, handlu, gastronomii i usług wraz z zagospodarowaniem terenu i </w:t>
      </w:r>
      <w:r w:rsidR="00F965B4" w:rsidRPr="00581E59">
        <w:rPr>
          <w:rFonts w:asciiTheme="minorHAnsi" w:hAnsiTheme="minorHAnsi"/>
          <w:color w:val="auto"/>
          <w:sz w:val="20"/>
          <w:szCs w:val="20"/>
        </w:rPr>
        <w:t>infrastrukturą towarzyszącą (141</w:t>
      </w:r>
      <w:r w:rsidRPr="00581E59">
        <w:rPr>
          <w:rFonts w:asciiTheme="minorHAnsi" w:hAnsiTheme="minorHAnsi"/>
          <w:color w:val="auto"/>
          <w:sz w:val="20"/>
          <w:szCs w:val="20"/>
        </w:rPr>
        <w:t>).</w:t>
      </w:r>
    </w:p>
    <w:p w:rsidR="00C83DF4" w:rsidRPr="00581E59" w:rsidRDefault="00C83DF4" w:rsidP="00C83DF4">
      <w:pPr>
        <w:pStyle w:val="Default"/>
        <w:ind w:left="357"/>
        <w:jc w:val="both"/>
        <w:rPr>
          <w:rFonts w:asciiTheme="minorHAnsi" w:hAnsiTheme="minorHAnsi"/>
          <w:color w:val="auto"/>
          <w:sz w:val="18"/>
          <w:szCs w:val="20"/>
        </w:rPr>
      </w:pPr>
    </w:p>
    <w:p w:rsidR="00C83DF4" w:rsidRPr="00581E59" w:rsidRDefault="00C83DF4" w:rsidP="00C83DF4">
      <w:pPr>
        <w:pStyle w:val="Default"/>
        <w:jc w:val="both"/>
        <w:rPr>
          <w:rFonts w:asciiTheme="minorHAnsi" w:hAnsiTheme="minorHAnsi"/>
          <w:color w:val="auto"/>
          <w:sz w:val="20"/>
          <w:szCs w:val="20"/>
        </w:rPr>
      </w:pPr>
      <w:r w:rsidRPr="00581E59">
        <w:rPr>
          <w:rFonts w:asciiTheme="minorHAnsi" w:hAnsiTheme="minorHAnsi"/>
          <w:b/>
          <w:bCs/>
          <w:color w:val="auto"/>
          <w:sz w:val="20"/>
          <w:szCs w:val="20"/>
        </w:rPr>
        <w:t>Cel Operacyjny 4.2 Przywrócona wartość obiektów historycznych, kulturowych, krajobrazowo-przyrodniczych przyczyniająca się do wzmacniania tożsamości społeczności lokalnych – projekty:</w:t>
      </w:r>
    </w:p>
    <w:p w:rsidR="005A074C" w:rsidRPr="00581E59" w:rsidRDefault="00C83DF4" w:rsidP="005A074C">
      <w:pPr>
        <w:pStyle w:val="Default"/>
        <w:numPr>
          <w:ilvl w:val="0"/>
          <w:numId w:val="687"/>
        </w:numPr>
        <w:jc w:val="both"/>
        <w:rPr>
          <w:rFonts w:asciiTheme="minorHAnsi" w:hAnsiTheme="minorHAnsi"/>
          <w:color w:val="auto"/>
          <w:sz w:val="20"/>
          <w:szCs w:val="20"/>
        </w:rPr>
      </w:pPr>
      <w:r w:rsidRPr="00581E59">
        <w:rPr>
          <w:rFonts w:asciiTheme="minorHAnsi" w:hAnsiTheme="minorHAnsi"/>
          <w:color w:val="auto"/>
          <w:sz w:val="20"/>
          <w:szCs w:val="20"/>
        </w:rPr>
        <w:t>Kompleksowa rewitalizacja EC Szombierki wraz z otoczeniem dzięki utworzeniu GENERATORA – Innow</w:t>
      </w:r>
      <w:r w:rsidR="00E00CFA" w:rsidRPr="00581E59">
        <w:rPr>
          <w:rFonts w:asciiTheme="minorHAnsi" w:hAnsiTheme="minorHAnsi"/>
          <w:color w:val="auto"/>
          <w:sz w:val="20"/>
          <w:szCs w:val="20"/>
        </w:rPr>
        <w:t>acyjnego Parku Muzycznego (121)</w:t>
      </w:r>
      <w:r w:rsidR="005A074C" w:rsidRPr="00581E59">
        <w:rPr>
          <w:rFonts w:asciiTheme="minorHAnsi" w:hAnsiTheme="minorHAnsi"/>
          <w:color w:val="auto"/>
          <w:sz w:val="20"/>
          <w:szCs w:val="20"/>
        </w:rPr>
        <w:t>,</w:t>
      </w:r>
    </w:p>
    <w:p w:rsidR="00273B97" w:rsidRPr="00581E59" w:rsidRDefault="00273B97" w:rsidP="009C1D86">
      <w:pPr>
        <w:pStyle w:val="Default"/>
        <w:numPr>
          <w:ilvl w:val="0"/>
          <w:numId w:val="687"/>
        </w:numPr>
        <w:shd w:val="clear" w:color="auto" w:fill="F2F2F2" w:themeFill="background1" w:themeFillShade="F2"/>
        <w:jc w:val="both"/>
        <w:rPr>
          <w:rFonts w:asciiTheme="minorHAnsi" w:hAnsiTheme="minorHAnsi"/>
          <w:color w:val="auto"/>
          <w:sz w:val="20"/>
          <w:szCs w:val="20"/>
        </w:rPr>
      </w:pPr>
      <w:r w:rsidRPr="00581E59">
        <w:rPr>
          <w:rFonts w:asciiTheme="minorHAnsi" w:hAnsiTheme="minorHAnsi"/>
          <w:color w:val="auto"/>
          <w:sz w:val="20"/>
          <w:szCs w:val="20"/>
        </w:rPr>
        <w:t xml:space="preserve">Elektrociepłownia Szombierki – rewitalizacja dawnej elektrociepłowni wraz z przebudową, rozbudową, nadbudową, remontem i zmianą sposobu użytkowania na funkcje usługowe; kultury, nauki i oświaty, turystyki, sportu i rekreacji, zakwaterowania turystycznego, wystawiennictwa, biur, handlu, gastronomii i usług wraz z zagospodarowaniem terenu i </w:t>
      </w:r>
      <w:r w:rsidR="00F965B4" w:rsidRPr="00581E59">
        <w:rPr>
          <w:rFonts w:asciiTheme="minorHAnsi" w:hAnsiTheme="minorHAnsi"/>
          <w:color w:val="auto"/>
          <w:sz w:val="20"/>
          <w:szCs w:val="20"/>
        </w:rPr>
        <w:t>infrastrukturą towarzyszącą (141</w:t>
      </w:r>
      <w:r w:rsidRPr="00581E59">
        <w:rPr>
          <w:rFonts w:asciiTheme="minorHAnsi" w:hAnsiTheme="minorHAnsi"/>
          <w:color w:val="auto"/>
          <w:sz w:val="20"/>
          <w:szCs w:val="20"/>
        </w:rPr>
        <w:t>).</w:t>
      </w:r>
    </w:p>
    <w:p w:rsidR="00C83DF4" w:rsidRPr="00581E59" w:rsidRDefault="00C83DF4" w:rsidP="00C83DF4">
      <w:pPr>
        <w:pStyle w:val="Default"/>
        <w:jc w:val="both"/>
        <w:rPr>
          <w:rFonts w:asciiTheme="minorHAnsi" w:hAnsiTheme="minorHAnsi"/>
          <w:color w:val="auto"/>
          <w:sz w:val="16"/>
          <w:szCs w:val="20"/>
        </w:rPr>
      </w:pPr>
    </w:p>
    <w:p w:rsidR="00C83DF4" w:rsidRPr="00581E59" w:rsidRDefault="00C83DF4" w:rsidP="00C83DF4">
      <w:pPr>
        <w:pStyle w:val="Default"/>
        <w:jc w:val="both"/>
        <w:rPr>
          <w:rFonts w:asciiTheme="minorHAnsi" w:hAnsiTheme="minorHAnsi"/>
          <w:color w:val="auto"/>
          <w:sz w:val="20"/>
          <w:szCs w:val="20"/>
        </w:rPr>
      </w:pPr>
      <w:r w:rsidRPr="00581E59">
        <w:rPr>
          <w:rFonts w:asciiTheme="minorHAnsi" w:hAnsiTheme="minorHAnsi"/>
          <w:color w:val="auto"/>
          <w:sz w:val="20"/>
          <w:szCs w:val="20"/>
        </w:rPr>
        <w:t xml:space="preserve">Realizacja niektórych projektów społecznych wymienionych powyżej wymaga przygotowania niezbędnej infrastruktury związanej z: </w:t>
      </w:r>
    </w:p>
    <w:p w:rsidR="00C83DF4" w:rsidRPr="00581E59" w:rsidRDefault="00C83DF4" w:rsidP="005B00CD">
      <w:pPr>
        <w:pStyle w:val="Default"/>
        <w:numPr>
          <w:ilvl w:val="0"/>
          <w:numId w:val="712"/>
        </w:numPr>
        <w:spacing w:after="15"/>
        <w:jc w:val="both"/>
        <w:rPr>
          <w:rFonts w:asciiTheme="minorHAnsi" w:hAnsiTheme="minorHAnsi"/>
          <w:color w:val="auto"/>
          <w:sz w:val="20"/>
          <w:szCs w:val="20"/>
        </w:rPr>
      </w:pPr>
      <w:r w:rsidRPr="00581E59">
        <w:rPr>
          <w:rFonts w:asciiTheme="minorHAnsi" w:hAnsiTheme="minorHAnsi"/>
          <w:color w:val="auto"/>
          <w:sz w:val="20"/>
          <w:szCs w:val="20"/>
        </w:rPr>
        <w:t>lepszym dostępem do usług społecznych dla osób wykluczonych lub zagrożonych wykluczeniem, w</w:t>
      </w:r>
      <w:r w:rsidR="0091254A" w:rsidRPr="00581E59">
        <w:rPr>
          <w:rFonts w:asciiTheme="minorHAnsi" w:hAnsiTheme="minorHAnsi"/>
          <w:color w:val="auto"/>
          <w:sz w:val="20"/>
          <w:szCs w:val="20"/>
        </w:rPr>
        <w:t> </w:t>
      </w:r>
      <w:r w:rsidRPr="00581E59">
        <w:rPr>
          <w:rFonts w:asciiTheme="minorHAnsi" w:hAnsiTheme="minorHAnsi"/>
          <w:color w:val="auto"/>
          <w:sz w:val="20"/>
          <w:szCs w:val="20"/>
        </w:rPr>
        <w:t xml:space="preserve">tym: </w:t>
      </w:r>
    </w:p>
    <w:p w:rsidR="00C83DF4" w:rsidRPr="00C83DF4" w:rsidRDefault="00C83DF4" w:rsidP="005B00CD">
      <w:pPr>
        <w:pStyle w:val="Default"/>
        <w:numPr>
          <w:ilvl w:val="0"/>
          <w:numId w:val="713"/>
        </w:numPr>
        <w:spacing w:after="15"/>
        <w:jc w:val="both"/>
        <w:rPr>
          <w:rFonts w:asciiTheme="minorHAnsi" w:hAnsiTheme="minorHAnsi"/>
          <w:color w:val="auto"/>
          <w:sz w:val="20"/>
          <w:szCs w:val="20"/>
        </w:rPr>
      </w:pPr>
      <w:r w:rsidRPr="00581E59">
        <w:rPr>
          <w:rFonts w:asciiTheme="minorHAnsi" w:hAnsiTheme="minorHAnsi"/>
          <w:color w:val="auto"/>
          <w:sz w:val="20"/>
          <w:szCs w:val="20"/>
        </w:rPr>
        <w:t>robót budowlanych w zdegradowanych budynkach w celu adaptacji ich na</w:t>
      </w:r>
      <w:r w:rsidRPr="00C83DF4">
        <w:rPr>
          <w:rFonts w:asciiTheme="minorHAnsi" w:hAnsiTheme="minorHAnsi"/>
          <w:color w:val="auto"/>
          <w:sz w:val="20"/>
          <w:szCs w:val="20"/>
        </w:rPr>
        <w:t xml:space="preserve"> mieszkania socjalne, </w:t>
      </w:r>
    </w:p>
    <w:p w:rsidR="00C83DF4" w:rsidRPr="00C83DF4" w:rsidRDefault="00C83DF4" w:rsidP="005B00CD">
      <w:pPr>
        <w:pStyle w:val="Default"/>
        <w:numPr>
          <w:ilvl w:val="0"/>
          <w:numId w:val="713"/>
        </w:numPr>
        <w:spacing w:after="15"/>
        <w:jc w:val="both"/>
        <w:rPr>
          <w:rFonts w:asciiTheme="minorHAnsi" w:hAnsiTheme="minorHAnsi"/>
          <w:color w:val="auto"/>
          <w:sz w:val="20"/>
          <w:szCs w:val="20"/>
        </w:rPr>
      </w:pPr>
      <w:r w:rsidRPr="00C83DF4">
        <w:rPr>
          <w:rFonts w:asciiTheme="minorHAnsi" w:hAnsiTheme="minorHAnsi"/>
          <w:color w:val="auto"/>
          <w:sz w:val="20"/>
          <w:szCs w:val="20"/>
        </w:rPr>
        <w:t xml:space="preserve">robót budowlanych w zdegradowanych budynkach na potrzeby utworzenia centrów usług społecznościowych; </w:t>
      </w:r>
    </w:p>
    <w:p w:rsidR="00C83DF4" w:rsidRPr="00C83DF4" w:rsidRDefault="00C83DF4" w:rsidP="005B00CD">
      <w:pPr>
        <w:pStyle w:val="Default"/>
        <w:numPr>
          <w:ilvl w:val="0"/>
          <w:numId w:val="712"/>
        </w:numPr>
        <w:spacing w:after="15"/>
        <w:jc w:val="both"/>
        <w:rPr>
          <w:rFonts w:asciiTheme="minorHAnsi" w:hAnsiTheme="minorHAnsi"/>
          <w:color w:val="auto"/>
          <w:sz w:val="20"/>
          <w:szCs w:val="20"/>
        </w:rPr>
      </w:pPr>
      <w:r w:rsidRPr="00C83DF4">
        <w:rPr>
          <w:rFonts w:asciiTheme="minorHAnsi" w:hAnsiTheme="minorHAnsi"/>
          <w:color w:val="auto"/>
          <w:sz w:val="20"/>
          <w:szCs w:val="20"/>
        </w:rPr>
        <w:t>zwiększeniem aktywizacji społeczno-gospodarczej ludności zamieszkującej rewitalizowane tereny, w</w:t>
      </w:r>
      <w:r w:rsidR="0091254A">
        <w:rPr>
          <w:rFonts w:asciiTheme="minorHAnsi" w:hAnsiTheme="minorHAnsi"/>
          <w:color w:val="auto"/>
          <w:sz w:val="20"/>
          <w:szCs w:val="20"/>
        </w:rPr>
        <w:t> </w:t>
      </w:r>
      <w:r w:rsidRPr="00C83DF4">
        <w:rPr>
          <w:rFonts w:asciiTheme="minorHAnsi" w:hAnsiTheme="minorHAnsi"/>
          <w:color w:val="auto"/>
          <w:sz w:val="20"/>
          <w:szCs w:val="20"/>
        </w:rPr>
        <w:t xml:space="preserve">tym: </w:t>
      </w:r>
    </w:p>
    <w:p w:rsidR="00C83DF4" w:rsidRPr="00C83DF4" w:rsidRDefault="00C83DF4" w:rsidP="005B00CD">
      <w:pPr>
        <w:pStyle w:val="Default"/>
        <w:numPr>
          <w:ilvl w:val="0"/>
          <w:numId w:val="714"/>
        </w:numPr>
        <w:spacing w:after="15"/>
        <w:jc w:val="both"/>
        <w:rPr>
          <w:rFonts w:asciiTheme="minorHAnsi" w:hAnsiTheme="minorHAnsi"/>
          <w:color w:val="auto"/>
          <w:sz w:val="20"/>
          <w:szCs w:val="20"/>
        </w:rPr>
      </w:pPr>
      <w:r w:rsidRPr="00C83DF4">
        <w:rPr>
          <w:rFonts w:asciiTheme="minorHAnsi" w:hAnsiTheme="minorHAnsi"/>
          <w:color w:val="auto"/>
          <w:sz w:val="20"/>
          <w:szCs w:val="20"/>
        </w:rPr>
        <w:t>zagospodarowywanie przestrzeni miejskich, w tym roboty budowlane w obiektach wraz z</w:t>
      </w:r>
      <w:r w:rsidR="0091254A">
        <w:rPr>
          <w:rFonts w:asciiTheme="minorHAnsi" w:hAnsiTheme="minorHAnsi"/>
          <w:color w:val="auto"/>
          <w:sz w:val="20"/>
          <w:szCs w:val="20"/>
        </w:rPr>
        <w:t> </w:t>
      </w:r>
      <w:r w:rsidRPr="00C83DF4">
        <w:rPr>
          <w:rFonts w:asciiTheme="minorHAnsi" w:hAnsiTheme="minorHAnsi"/>
          <w:color w:val="auto"/>
          <w:sz w:val="20"/>
          <w:szCs w:val="20"/>
        </w:rPr>
        <w:t xml:space="preserve">zagospodarowaniem przyległego otoczenia, </w:t>
      </w:r>
    </w:p>
    <w:p w:rsidR="00C83DF4" w:rsidRPr="00C83DF4" w:rsidRDefault="00C83DF4" w:rsidP="005B00CD">
      <w:pPr>
        <w:pStyle w:val="Default"/>
        <w:numPr>
          <w:ilvl w:val="0"/>
          <w:numId w:val="714"/>
        </w:numPr>
        <w:jc w:val="both"/>
        <w:rPr>
          <w:rFonts w:asciiTheme="minorHAnsi" w:hAnsiTheme="minorHAnsi"/>
          <w:color w:val="auto"/>
          <w:sz w:val="20"/>
          <w:szCs w:val="20"/>
        </w:rPr>
      </w:pPr>
      <w:r w:rsidRPr="00C83DF4">
        <w:rPr>
          <w:rFonts w:asciiTheme="minorHAnsi" w:hAnsiTheme="minorHAnsi"/>
          <w:color w:val="auto"/>
          <w:sz w:val="20"/>
          <w:szCs w:val="20"/>
        </w:rPr>
        <w:t xml:space="preserve">robót budowlanych w zdegradowanych budynkach wraz z zagospodarowaniem przyległego otoczenia. </w:t>
      </w:r>
    </w:p>
    <w:p w:rsidR="00C83DF4" w:rsidRPr="00367A98" w:rsidRDefault="00C83DF4" w:rsidP="00C83DF4">
      <w:pPr>
        <w:pStyle w:val="Default"/>
        <w:jc w:val="both"/>
        <w:rPr>
          <w:rFonts w:asciiTheme="minorHAnsi" w:hAnsiTheme="minorHAnsi"/>
          <w:color w:val="auto"/>
          <w:sz w:val="18"/>
          <w:szCs w:val="20"/>
        </w:rPr>
      </w:pPr>
    </w:p>
    <w:p w:rsidR="00C83DF4" w:rsidRPr="00C83DF4" w:rsidRDefault="00C83DF4" w:rsidP="00C83DF4">
      <w:pPr>
        <w:pStyle w:val="Default"/>
        <w:jc w:val="both"/>
        <w:rPr>
          <w:rFonts w:asciiTheme="minorHAnsi" w:hAnsiTheme="minorHAnsi"/>
          <w:color w:val="auto"/>
          <w:sz w:val="20"/>
          <w:szCs w:val="20"/>
        </w:rPr>
      </w:pPr>
      <w:r w:rsidRPr="00C83DF4">
        <w:rPr>
          <w:rFonts w:asciiTheme="minorHAnsi" w:hAnsiTheme="minorHAnsi"/>
          <w:color w:val="auto"/>
          <w:sz w:val="20"/>
          <w:szCs w:val="20"/>
        </w:rPr>
        <w:t>Dzięki udostępnieniu przestrzeni miejskiej w ramach działań inwestycyjnych – podwórka, CUS, pozostałe przestrzenie – możliwa będzie realizacja działań nieinwestycyjnych, które będą z jednej strony korzystać z</w:t>
      </w:r>
      <w:r w:rsidR="00B35D7D">
        <w:rPr>
          <w:rFonts w:asciiTheme="minorHAnsi" w:hAnsiTheme="minorHAnsi"/>
          <w:color w:val="auto"/>
          <w:sz w:val="20"/>
          <w:szCs w:val="20"/>
        </w:rPr>
        <w:t> </w:t>
      </w:r>
      <w:r w:rsidRPr="00C83DF4">
        <w:rPr>
          <w:rFonts w:asciiTheme="minorHAnsi" w:hAnsiTheme="minorHAnsi"/>
          <w:color w:val="auto"/>
          <w:sz w:val="20"/>
          <w:szCs w:val="20"/>
        </w:rPr>
        <w:t xml:space="preserve">otrzymanej w ramach projektów twardych infrastruktury, a także uzupełniać ją i dopełniać z drugiej strony. </w:t>
      </w:r>
    </w:p>
    <w:p w:rsidR="00C83DF4" w:rsidRPr="00C83DF4" w:rsidRDefault="00C83DF4" w:rsidP="00C83DF4">
      <w:pPr>
        <w:pStyle w:val="Default"/>
        <w:jc w:val="both"/>
        <w:rPr>
          <w:rFonts w:asciiTheme="minorHAnsi" w:hAnsiTheme="minorHAnsi"/>
          <w:color w:val="auto"/>
          <w:sz w:val="20"/>
          <w:szCs w:val="20"/>
        </w:rPr>
      </w:pPr>
      <w:r w:rsidRPr="00C83DF4">
        <w:rPr>
          <w:rFonts w:asciiTheme="minorHAnsi" w:hAnsiTheme="minorHAnsi"/>
          <w:color w:val="auto"/>
          <w:sz w:val="20"/>
          <w:szCs w:val="20"/>
        </w:rPr>
        <w:t>Ponadto projekty inwestycyjne uzupełniać będą szereg projektów mających na celu pracę z mieszkańcami zagrożonymi wykluczeniem społecznym, ubóstwem, bezrobociem prowadzonych przez Miejski Ośrodek Pomocy Rodzinie, Powiatowy Urząd Pracy oraz organizacje pozarządowe. Interwencja inwestycyjna i</w:t>
      </w:r>
      <w:r w:rsidR="00B35D7D">
        <w:rPr>
          <w:rFonts w:asciiTheme="minorHAnsi" w:hAnsiTheme="minorHAnsi"/>
          <w:color w:val="auto"/>
          <w:sz w:val="20"/>
          <w:szCs w:val="20"/>
        </w:rPr>
        <w:t> </w:t>
      </w:r>
      <w:r w:rsidRPr="00C83DF4">
        <w:rPr>
          <w:rFonts w:asciiTheme="minorHAnsi" w:hAnsiTheme="minorHAnsi"/>
          <w:color w:val="auto"/>
          <w:sz w:val="20"/>
          <w:szCs w:val="20"/>
        </w:rPr>
        <w:t xml:space="preserve">nieinwestycyjna stworzą kompleksowe warunki do lepszego funkcjonowania mieszkańców, poczucia większej odpowiedzialności za swoje życie, za bliskich i za odnowione otoczenie. </w:t>
      </w:r>
    </w:p>
    <w:p w:rsidR="00C83DF4" w:rsidRPr="00C83DF4" w:rsidRDefault="00C83DF4" w:rsidP="00C83DF4">
      <w:pPr>
        <w:pStyle w:val="Default"/>
        <w:jc w:val="both"/>
        <w:rPr>
          <w:rFonts w:asciiTheme="minorHAnsi" w:hAnsiTheme="minorHAnsi"/>
          <w:color w:val="auto"/>
          <w:sz w:val="20"/>
          <w:szCs w:val="20"/>
        </w:rPr>
      </w:pPr>
    </w:p>
    <w:p w:rsidR="00C83DF4" w:rsidRPr="00C83DF4" w:rsidRDefault="00C83DF4" w:rsidP="00B35D7D">
      <w:pPr>
        <w:pStyle w:val="Default"/>
        <w:numPr>
          <w:ilvl w:val="0"/>
          <w:numId w:val="687"/>
        </w:numPr>
        <w:jc w:val="both"/>
        <w:rPr>
          <w:rFonts w:asciiTheme="minorHAnsi" w:hAnsiTheme="minorHAnsi"/>
          <w:color w:val="auto"/>
          <w:sz w:val="20"/>
          <w:szCs w:val="20"/>
        </w:rPr>
      </w:pPr>
      <w:r w:rsidRPr="00C83DF4">
        <w:rPr>
          <w:rFonts w:asciiTheme="minorHAnsi" w:hAnsiTheme="minorHAnsi"/>
          <w:color w:val="auto"/>
          <w:sz w:val="20"/>
          <w:szCs w:val="20"/>
        </w:rPr>
        <w:t xml:space="preserve">Utworzenie Centrum Usług Społecznych oraz lokali socjalnych, wspomaganych w Bytomiu (Bobrek) (106) - utworzenie 48 lokali socjalnych oraz 1 CUS. </w:t>
      </w:r>
    </w:p>
    <w:p w:rsidR="00C83DF4" w:rsidRPr="00C83DF4" w:rsidRDefault="00C83DF4" w:rsidP="00B35D7D">
      <w:pPr>
        <w:pStyle w:val="Default"/>
        <w:ind w:firstLine="708"/>
        <w:jc w:val="both"/>
        <w:rPr>
          <w:rFonts w:asciiTheme="minorHAnsi" w:hAnsiTheme="minorHAnsi"/>
          <w:color w:val="auto"/>
          <w:sz w:val="20"/>
          <w:szCs w:val="20"/>
        </w:rPr>
      </w:pPr>
      <w:r w:rsidRPr="00C83DF4">
        <w:rPr>
          <w:rFonts w:asciiTheme="minorHAnsi" w:hAnsiTheme="minorHAnsi"/>
          <w:color w:val="auto"/>
          <w:sz w:val="20"/>
          <w:szCs w:val="20"/>
        </w:rPr>
        <w:t xml:space="preserve">Projekty korzystające z infrastruktury projektu: </w:t>
      </w:r>
    </w:p>
    <w:p w:rsidR="00C83DF4" w:rsidRPr="00C83DF4" w:rsidRDefault="00C83DF4" w:rsidP="00B35D7D">
      <w:pPr>
        <w:pStyle w:val="Default"/>
        <w:numPr>
          <w:ilvl w:val="0"/>
          <w:numId w:val="715"/>
        </w:numPr>
        <w:jc w:val="both"/>
        <w:rPr>
          <w:rFonts w:asciiTheme="minorHAnsi" w:hAnsiTheme="minorHAnsi"/>
          <w:color w:val="auto"/>
          <w:sz w:val="20"/>
          <w:szCs w:val="20"/>
        </w:rPr>
      </w:pPr>
      <w:r w:rsidRPr="00C83DF4">
        <w:rPr>
          <w:rFonts w:asciiTheme="minorHAnsi" w:hAnsiTheme="minorHAnsi"/>
          <w:color w:val="auto"/>
          <w:sz w:val="20"/>
          <w:szCs w:val="20"/>
        </w:rPr>
        <w:t>Podwórka bez przemocy – program z zakresu pedagogiki podwórkowej w rejonie Bobrka, Rozbarku i Śródmieścia (60).</w:t>
      </w:r>
    </w:p>
    <w:p w:rsidR="00C83DF4" w:rsidRPr="00C83DF4" w:rsidRDefault="00C83DF4" w:rsidP="00B35D7D">
      <w:pPr>
        <w:pStyle w:val="Default"/>
        <w:numPr>
          <w:ilvl w:val="0"/>
          <w:numId w:val="715"/>
        </w:numPr>
        <w:spacing w:after="15"/>
        <w:jc w:val="both"/>
        <w:rPr>
          <w:rFonts w:asciiTheme="minorHAnsi" w:hAnsiTheme="minorHAnsi"/>
          <w:color w:val="auto"/>
          <w:sz w:val="20"/>
          <w:szCs w:val="20"/>
        </w:rPr>
      </w:pPr>
      <w:r w:rsidRPr="00C83DF4">
        <w:rPr>
          <w:rFonts w:asciiTheme="minorHAnsi" w:hAnsiTheme="minorHAnsi"/>
          <w:color w:val="auto"/>
          <w:sz w:val="20"/>
          <w:szCs w:val="20"/>
        </w:rPr>
        <w:t xml:space="preserve">Ludzie do ludzi – Program Aktywizacji Lokalnej mieszkańców Bobrka (41), </w:t>
      </w:r>
    </w:p>
    <w:p w:rsidR="00C83DF4" w:rsidRPr="00C83DF4" w:rsidRDefault="00C83DF4" w:rsidP="00B35D7D">
      <w:pPr>
        <w:pStyle w:val="Default"/>
        <w:numPr>
          <w:ilvl w:val="0"/>
          <w:numId w:val="715"/>
        </w:numPr>
        <w:spacing w:after="15"/>
        <w:jc w:val="both"/>
        <w:rPr>
          <w:rFonts w:asciiTheme="minorHAnsi" w:hAnsiTheme="minorHAnsi"/>
          <w:color w:val="auto"/>
          <w:sz w:val="20"/>
          <w:szCs w:val="20"/>
        </w:rPr>
      </w:pPr>
      <w:r w:rsidRPr="00C83DF4">
        <w:rPr>
          <w:rFonts w:asciiTheme="minorHAnsi" w:hAnsiTheme="minorHAnsi"/>
          <w:color w:val="auto"/>
          <w:sz w:val="20"/>
          <w:szCs w:val="20"/>
        </w:rPr>
        <w:t xml:space="preserve">S.O.S dla dzielnicy Bobrek – aktywizacja zawodowa i społeczna (42), </w:t>
      </w:r>
    </w:p>
    <w:p w:rsidR="00C83DF4" w:rsidRPr="00C83DF4" w:rsidRDefault="00C83DF4" w:rsidP="00B35D7D">
      <w:pPr>
        <w:pStyle w:val="Default"/>
        <w:numPr>
          <w:ilvl w:val="0"/>
          <w:numId w:val="715"/>
        </w:numPr>
        <w:jc w:val="both"/>
        <w:rPr>
          <w:rFonts w:asciiTheme="minorHAnsi" w:hAnsiTheme="minorHAnsi"/>
          <w:color w:val="auto"/>
          <w:sz w:val="20"/>
          <w:szCs w:val="20"/>
        </w:rPr>
      </w:pPr>
      <w:r w:rsidRPr="00C83DF4">
        <w:rPr>
          <w:rFonts w:asciiTheme="minorHAnsi" w:hAnsiTheme="minorHAnsi"/>
          <w:color w:val="auto"/>
          <w:sz w:val="20"/>
          <w:szCs w:val="20"/>
        </w:rPr>
        <w:t xml:space="preserve">Rewitalizacja społeczna Dzielnicy Bobrek, Rozbark i Śródmieścia (50). </w:t>
      </w:r>
    </w:p>
    <w:p w:rsidR="00C83DF4" w:rsidRPr="00C83DF4" w:rsidRDefault="00C83DF4" w:rsidP="00B35D7D">
      <w:pPr>
        <w:pStyle w:val="Default"/>
        <w:numPr>
          <w:ilvl w:val="0"/>
          <w:numId w:val="687"/>
        </w:numPr>
        <w:jc w:val="both"/>
        <w:rPr>
          <w:rFonts w:asciiTheme="minorHAnsi" w:hAnsiTheme="minorHAnsi"/>
          <w:color w:val="auto"/>
          <w:sz w:val="20"/>
          <w:szCs w:val="20"/>
        </w:rPr>
      </w:pPr>
      <w:r w:rsidRPr="00C83DF4">
        <w:rPr>
          <w:rFonts w:asciiTheme="minorHAnsi" w:hAnsiTheme="minorHAnsi"/>
          <w:color w:val="auto"/>
          <w:sz w:val="20"/>
          <w:szCs w:val="20"/>
        </w:rPr>
        <w:t>Rewitalizacja części podobszaru nr 8 – Bytom Bobrek (108) - powierzchnia obszarów rewitalizacji: ok.</w:t>
      </w:r>
      <w:r w:rsidR="00B35D7D">
        <w:rPr>
          <w:rFonts w:asciiTheme="minorHAnsi" w:hAnsiTheme="minorHAnsi"/>
          <w:color w:val="auto"/>
          <w:sz w:val="20"/>
          <w:szCs w:val="20"/>
        </w:rPr>
        <w:t> </w:t>
      </w:r>
      <w:r w:rsidRPr="00C83DF4">
        <w:rPr>
          <w:rFonts w:asciiTheme="minorHAnsi" w:hAnsiTheme="minorHAnsi"/>
          <w:color w:val="auto"/>
          <w:sz w:val="20"/>
          <w:szCs w:val="20"/>
        </w:rPr>
        <w:t xml:space="preserve">44.187 m2. </w:t>
      </w:r>
    </w:p>
    <w:p w:rsidR="00C83DF4" w:rsidRPr="00C83DF4" w:rsidRDefault="00C83DF4" w:rsidP="00B35D7D">
      <w:pPr>
        <w:pStyle w:val="Default"/>
        <w:ind w:firstLine="708"/>
        <w:jc w:val="both"/>
        <w:rPr>
          <w:rFonts w:asciiTheme="minorHAnsi" w:hAnsiTheme="minorHAnsi"/>
          <w:color w:val="auto"/>
          <w:sz w:val="20"/>
          <w:szCs w:val="20"/>
        </w:rPr>
      </w:pPr>
      <w:r w:rsidRPr="00C83DF4">
        <w:rPr>
          <w:rFonts w:asciiTheme="minorHAnsi" w:hAnsiTheme="minorHAnsi"/>
          <w:color w:val="auto"/>
          <w:sz w:val="20"/>
          <w:szCs w:val="20"/>
        </w:rPr>
        <w:t xml:space="preserve">Projekt korzystający z infrastruktury projektu: </w:t>
      </w:r>
    </w:p>
    <w:p w:rsidR="00C83DF4" w:rsidRPr="00C83DF4" w:rsidRDefault="00C83DF4" w:rsidP="00B35D7D">
      <w:pPr>
        <w:pStyle w:val="Default"/>
        <w:numPr>
          <w:ilvl w:val="0"/>
          <w:numId w:val="716"/>
        </w:numPr>
        <w:spacing w:after="15"/>
        <w:jc w:val="both"/>
        <w:rPr>
          <w:rFonts w:asciiTheme="minorHAnsi" w:hAnsiTheme="minorHAnsi"/>
          <w:color w:val="auto"/>
          <w:sz w:val="20"/>
          <w:szCs w:val="20"/>
        </w:rPr>
      </w:pPr>
      <w:r w:rsidRPr="00C83DF4">
        <w:rPr>
          <w:rFonts w:asciiTheme="minorHAnsi" w:hAnsiTheme="minorHAnsi"/>
          <w:color w:val="auto"/>
          <w:sz w:val="20"/>
          <w:szCs w:val="20"/>
        </w:rPr>
        <w:t xml:space="preserve">S.O.S dla dzielnicy Bobrek – aktywizacja zawodowa i społeczna (42), </w:t>
      </w:r>
    </w:p>
    <w:p w:rsidR="00C83DF4" w:rsidRPr="00C83DF4" w:rsidRDefault="00C83DF4" w:rsidP="00B35D7D">
      <w:pPr>
        <w:pStyle w:val="Default"/>
        <w:numPr>
          <w:ilvl w:val="0"/>
          <w:numId w:val="716"/>
        </w:numPr>
        <w:spacing w:after="15"/>
        <w:jc w:val="both"/>
        <w:rPr>
          <w:rFonts w:asciiTheme="minorHAnsi" w:hAnsiTheme="minorHAnsi"/>
          <w:color w:val="auto"/>
          <w:sz w:val="20"/>
          <w:szCs w:val="20"/>
        </w:rPr>
      </w:pPr>
      <w:r w:rsidRPr="00C83DF4">
        <w:rPr>
          <w:rFonts w:asciiTheme="minorHAnsi" w:hAnsiTheme="minorHAnsi"/>
          <w:color w:val="auto"/>
          <w:sz w:val="20"/>
          <w:szCs w:val="20"/>
        </w:rPr>
        <w:t>„</w:t>
      </w:r>
      <w:r w:rsidRPr="00C83DF4">
        <w:rPr>
          <w:rFonts w:asciiTheme="minorHAnsi" w:hAnsiTheme="minorHAnsi"/>
          <w:iCs/>
          <w:color w:val="auto"/>
          <w:sz w:val="20"/>
          <w:szCs w:val="20"/>
        </w:rPr>
        <w:t xml:space="preserve">Podwórka bez przemocy” – program z zakresu pedagogiki podwórkowej w rejonie Bobrka, Rozbarku i Śródmieścia (60), </w:t>
      </w:r>
    </w:p>
    <w:p w:rsidR="00C83DF4" w:rsidRPr="00C83DF4" w:rsidRDefault="00C83DF4" w:rsidP="00B35D7D">
      <w:pPr>
        <w:pStyle w:val="Default"/>
        <w:numPr>
          <w:ilvl w:val="0"/>
          <w:numId w:val="716"/>
        </w:numPr>
        <w:spacing w:after="15"/>
        <w:jc w:val="both"/>
        <w:rPr>
          <w:rFonts w:asciiTheme="minorHAnsi" w:hAnsiTheme="minorHAnsi"/>
          <w:iCs/>
          <w:color w:val="auto"/>
          <w:sz w:val="20"/>
          <w:szCs w:val="20"/>
        </w:rPr>
      </w:pPr>
      <w:r w:rsidRPr="00C83DF4">
        <w:rPr>
          <w:rFonts w:asciiTheme="minorHAnsi" w:hAnsiTheme="minorHAnsi"/>
          <w:iCs/>
          <w:color w:val="auto"/>
          <w:sz w:val="20"/>
          <w:szCs w:val="20"/>
        </w:rPr>
        <w:t>Ludzie do ludzi – Program Aktywizacji Lokalnej mieszkańców Bobrka (41).</w:t>
      </w:r>
    </w:p>
    <w:p w:rsidR="00C83DF4" w:rsidRPr="00C83DF4" w:rsidRDefault="00C83DF4" w:rsidP="00C83DF4">
      <w:pPr>
        <w:pStyle w:val="Default"/>
        <w:spacing w:after="15"/>
        <w:jc w:val="both"/>
        <w:rPr>
          <w:rFonts w:asciiTheme="minorHAnsi" w:hAnsiTheme="minorHAnsi"/>
          <w:color w:val="auto"/>
          <w:sz w:val="20"/>
          <w:szCs w:val="20"/>
          <w:highlight w:val="yellow"/>
        </w:rPr>
      </w:pPr>
    </w:p>
    <w:p w:rsidR="00C83DF4" w:rsidRPr="00C83DF4" w:rsidRDefault="00C83DF4" w:rsidP="00B35D7D">
      <w:pPr>
        <w:pStyle w:val="Default"/>
        <w:numPr>
          <w:ilvl w:val="0"/>
          <w:numId w:val="687"/>
        </w:numPr>
        <w:jc w:val="both"/>
        <w:rPr>
          <w:rFonts w:asciiTheme="minorHAnsi" w:hAnsiTheme="minorHAnsi"/>
          <w:color w:val="auto"/>
          <w:sz w:val="20"/>
          <w:szCs w:val="20"/>
        </w:rPr>
      </w:pPr>
      <w:r w:rsidRPr="00C83DF4">
        <w:rPr>
          <w:rFonts w:asciiTheme="minorHAnsi" w:hAnsiTheme="minorHAnsi"/>
          <w:color w:val="auto"/>
          <w:sz w:val="20"/>
          <w:szCs w:val="20"/>
        </w:rPr>
        <w:t>Masz firmę masz lokal - Program Aktywizacji Lokali Użytkowych (116) – zakłada się przygotowanie 40</w:t>
      </w:r>
      <w:r w:rsidR="00B35D7D">
        <w:rPr>
          <w:rFonts w:asciiTheme="minorHAnsi" w:hAnsiTheme="minorHAnsi"/>
          <w:color w:val="auto"/>
          <w:sz w:val="20"/>
          <w:szCs w:val="20"/>
        </w:rPr>
        <w:t> </w:t>
      </w:r>
      <w:r w:rsidRPr="00C83DF4">
        <w:rPr>
          <w:rFonts w:asciiTheme="minorHAnsi" w:hAnsiTheme="minorHAnsi"/>
          <w:color w:val="auto"/>
          <w:sz w:val="20"/>
          <w:szCs w:val="20"/>
        </w:rPr>
        <w:t xml:space="preserve">lokali dla mikroprzedsiębiorców, uczestniczących w projekcie w ramach poddziałania 7.3.3. </w:t>
      </w:r>
    </w:p>
    <w:p w:rsidR="00C83DF4" w:rsidRPr="00C83DF4" w:rsidRDefault="00C83DF4" w:rsidP="00B35D7D">
      <w:pPr>
        <w:pStyle w:val="Default"/>
        <w:ind w:firstLine="708"/>
        <w:jc w:val="both"/>
        <w:rPr>
          <w:rFonts w:asciiTheme="minorHAnsi" w:hAnsiTheme="minorHAnsi"/>
          <w:color w:val="auto"/>
          <w:sz w:val="20"/>
          <w:szCs w:val="20"/>
        </w:rPr>
      </w:pPr>
      <w:r w:rsidRPr="00C83DF4">
        <w:rPr>
          <w:rFonts w:asciiTheme="minorHAnsi" w:hAnsiTheme="minorHAnsi"/>
          <w:color w:val="auto"/>
          <w:sz w:val="20"/>
          <w:szCs w:val="20"/>
        </w:rPr>
        <w:t xml:space="preserve">Projekty korzystające z infrastruktury projektu: </w:t>
      </w:r>
    </w:p>
    <w:p w:rsidR="00C83DF4" w:rsidRPr="00C83DF4" w:rsidRDefault="00C83DF4" w:rsidP="00B35D7D">
      <w:pPr>
        <w:pStyle w:val="Default"/>
        <w:numPr>
          <w:ilvl w:val="0"/>
          <w:numId w:val="717"/>
        </w:numPr>
        <w:spacing w:after="15"/>
        <w:jc w:val="both"/>
        <w:rPr>
          <w:rFonts w:asciiTheme="minorHAnsi" w:hAnsiTheme="minorHAnsi"/>
          <w:color w:val="auto"/>
          <w:sz w:val="20"/>
          <w:szCs w:val="20"/>
        </w:rPr>
      </w:pPr>
      <w:r w:rsidRPr="00C83DF4">
        <w:rPr>
          <w:rFonts w:asciiTheme="minorHAnsi" w:hAnsiTheme="minorHAnsi"/>
          <w:color w:val="auto"/>
          <w:sz w:val="20"/>
          <w:szCs w:val="20"/>
        </w:rPr>
        <w:t xml:space="preserve">Szansa na własną firmę (11), </w:t>
      </w:r>
    </w:p>
    <w:p w:rsidR="00C83DF4" w:rsidRPr="00C83DF4" w:rsidRDefault="00C83DF4" w:rsidP="00B35D7D">
      <w:pPr>
        <w:pStyle w:val="Default"/>
        <w:numPr>
          <w:ilvl w:val="0"/>
          <w:numId w:val="717"/>
        </w:numPr>
        <w:jc w:val="both"/>
        <w:rPr>
          <w:rFonts w:asciiTheme="minorHAnsi" w:hAnsiTheme="minorHAnsi"/>
          <w:color w:val="auto"/>
          <w:sz w:val="20"/>
          <w:szCs w:val="20"/>
        </w:rPr>
      </w:pPr>
      <w:r w:rsidRPr="00C83DF4">
        <w:rPr>
          <w:rFonts w:asciiTheme="minorHAnsi" w:hAnsiTheme="minorHAnsi"/>
          <w:color w:val="auto"/>
          <w:sz w:val="20"/>
          <w:szCs w:val="20"/>
        </w:rPr>
        <w:t>Aktywizacja byto</w:t>
      </w:r>
      <w:r w:rsidR="00B35D7D">
        <w:rPr>
          <w:rFonts w:asciiTheme="minorHAnsi" w:hAnsiTheme="minorHAnsi"/>
          <w:color w:val="auto"/>
          <w:sz w:val="20"/>
          <w:szCs w:val="20"/>
        </w:rPr>
        <w:t>mskiej przedsiębiorczości (13).</w:t>
      </w:r>
    </w:p>
    <w:p w:rsidR="00C83DF4" w:rsidRDefault="00C83DF4" w:rsidP="00A23D3A">
      <w:pPr>
        <w:pStyle w:val="NormalnyWeb1"/>
        <w:spacing w:before="0" w:after="0"/>
        <w:rPr>
          <w:sz w:val="20"/>
          <w:szCs w:val="20"/>
        </w:rPr>
      </w:pPr>
    </w:p>
    <w:p w:rsidR="00002B1D" w:rsidRPr="00204244" w:rsidRDefault="00002B1D" w:rsidP="00002B1D">
      <w:pPr>
        <w:pStyle w:val="NormalnyWeb1"/>
        <w:shd w:val="clear" w:color="auto" w:fill="99CCFF"/>
        <w:spacing w:line="240" w:lineRule="auto"/>
        <w:jc w:val="center"/>
        <w:rPr>
          <w:b/>
          <w:bCs/>
          <w:i/>
          <w:iCs/>
          <w:szCs w:val="20"/>
        </w:rPr>
      </w:pPr>
      <w:r w:rsidRPr="00204244">
        <w:rPr>
          <w:b/>
          <w:bCs/>
          <w:i/>
          <w:iCs/>
          <w:szCs w:val="20"/>
        </w:rPr>
        <w:t>Wiązka 3: Kolonia Zgorzelec – Huta Zygmunt</w:t>
      </w:r>
    </w:p>
    <w:p w:rsidR="00002B1D" w:rsidRPr="00204244" w:rsidRDefault="00002B1D" w:rsidP="00C90E3B">
      <w:pPr>
        <w:pStyle w:val="NormalnyWeb1"/>
        <w:spacing w:before="0" w:after="0"/>
        <w:rPr>
          <w:sz w:val="20"/>
          <w:szCs w:val="20"/>
        </w:rPr>
      </w:pPr>
    </w:p>
    <w:p w:rsidR="00160480" w:rsidRPr="00160480" w:rsidRDefault="00160480" w:rsidP="00160480">
      <w:pPr>
        <w:pStyle w:val="Default"/>
        <w:jc w:val="both"/>
        <w:rPr>
          <w:rFonts w:asciiTheme="minorHAnsi" w:hAnsiTheme="minorHAnsi"/>
          <w:color w:val="auto"/>
          <w:sz w:val="20"/>
          <w:szCs w:val="20"/>
        </w:rPr>
      </w:pPr>
      <w:r w:rsidRPr="00160480">
        <w:rPr>
          <w:rFonts w:asciiTheme="minorHAnsi" w:hAnsiTheme="minorHAnsi"/>
          <w:b/>
          <w:bCs/>
          <w:color w:val="auto"/>
          <w:sz w:val="20"/>
          <w:szCs w:val="20"/>
        </w:rPr>
        <w:t xml:space="preserve">Interwencje projektowe w ramach wiązki. </w:t>
      </w:r>
    </w:p>
    <w:p w:rsidR="00160480" w:rsidRPr="00160480" w:rsidRDefault="00160480" w:rsidP="00160480">
      <w:pPr>
        <w:pStyle w:val="Default"/>
        <w:jc w:val="both"/>
        <w:rPr>
          <w:rFonts w:asciiTheme="minorHAnsi" w:hAnsiTheme="minorHAnsi"/>
          <w:color w:val="auto"/>
          <w:sz w:val="20"/>
          <w:szCs w:val="20"/>
        </w:rPr>
      </w:pPr>
      <w:r w:rsidRPr="00160480">
        <w:rPr>
          <w:rFonts w:asciiTheme="minorHAnsi" w:hAnsiTheme="minorHAnsi"/>
          <w:color w:val="auto"/>
          <w:sz w:val="20"/>
          <w:szCs w:val="20"/>
        </w:rPr>
        <w:t xml:space="preserve">W wiązce, po przeanalizowaniu działań zaplanowanych przez Miasto Bytom oraz przeprowadzeniu konsultacji społecznych, w odpowiedzi na problemy przedstawione w diagnozie, znalazły się projekty pogrupowane zgodnie z realizowanymi celami operacyjnymi. Poniżej przedstawiono informacje o poszczególnych projektach ze wskazaniem numeru porządkowego, pod jakim zostały zamieszczone w załączniku nr 2 – </w:t>
      </w:r>
      <w:r w:rsidR="0096750E">
        <w:rPr>
          <w:rFonts w:asciiTheme="minorHAnsi" w:hAnsiTheme="minorHAnsi"/>
          <w:color w:val="auto"/>
          <w:sz w:val="20"/>
          <w:szCs w:val="20"/>
        </w:rPr>
        <w:t>„</w:t>
      </w:r>
      <w:r w:rsidRPr="00160480">
        <w:rPr>
          <w:rFonts w:asciiTheme="minorHAnsi" w:hAnsiTheme="minorHAnsi"/>
          <w:color w:val="auto"/>
          <w:sz w:val="20"/>
          <w:szCs w:val="20"/>
        </w:rPr>
        <w:t>Lista</w:t>
      </w:r>
      <w:r w:rsidR="0096750E">
        <w:rPr>
          <w:rFonts w:asciiTheme="minorHAnsi" w:hAnsiTheme="minorHAnsi"/>
          <w:color w:val="auto"/>
          <w:sz w:val="20"/>
          <w:szCs w:val="20"/>
        </w:rPr>
        <w:t xml:space="preserve"> przedsięwzięć podstawowych do </w:t>
      </w:r>
      <w:r w:rsidRPr="00160480">
        <w:rPr>
          <w:rFonts w:asciiTheme="minorHAnsi" w:hAnsiTheme="minorHAnsi"/>
          <w:color w:val="auto"/>
          <w:sz w:val="20"/>
          <w:szCs w:val="20"/>
        </w:rPr>
        <w:t xml:space="preserve">Gminnego Programu Rewitalizacji. Bytom 2020+”. Projekty mają przyczynić się do ożywienia społecznego i gospodarczego dzielnicy, integracji i aktywizacji mieszkańców oraz przeciwdziałaniu wykluczeniu społecznemu mieszkańców osiedla. Zaplanowano tu przedsięwzięcia z zakresu renowacji budynków mieszkalnych wraz z otoczeniem oraz projekty z zakresu rewitalizacji społecznej. </w:t>
      </w:r>
    </w:p>
    <w:p w:rsidR="00160480" w:rsidRPr="00160480" w:rsidRDefault="00160480" w:rsidP="00160480">
      <w:pPr>
        <w:pStyle w:val="Default"/>
        <w:jc w:val="both"/>
        <w:rPr>
          <w:rFonts w:asciiTheme="minorHAnsi" w:hAnsiTheme="minorHAnsi"/>
          <w:color w:val="auto"/>
          <w:sz w:val="20"/>
          <w:szCs w:val="20"/>
          <w:highlight w:val="yellow"/>
        </w:rPr>
      </w:pPr>
      <w:r w:rsidRPr="00160480">
        <w:rPr>
          <w:rFonts w:asciiTheme="minorHAnsi" w:hAnsiTheme="minorHAnsi"/>
          <w:color w:val="auto"/>
          <w:sz w:val="20"/>
          <w:szCs w:val="20"/>
        </w:rPr>
        <w:t xml:space="preserve">Realizacja projektu inwestycyjnego będzie bezpośrednio powiązana z realizacją projektów nieinwestycyjnych. Poniżej prezentacja powiązań głównych przedsięwzięć w ramach wiązki 3. </w:t>
      </w:r>
    </w:p>
    <w:p w:rsidR="00160480" w:rsidRPr="00160480" w:rsidRDefault="00160480" w:rsidP="00160480">
      <w:pPr>
        <w:pStyle w:val="Default"/>
        <w:jc w:val="both"/>
        <w:rPr>
          <w:rFonts w:asciiTheme="minorHAnsi" w:hAnsiTheme="minorHAnsi"/>
          <w:color w:val="auto"/>
          <w:sz w:val="20"/>
          <w:szCs w:val="20"/>
          <w:highlight w:val="yellow"/>
        </w:rPr>
      </w:pPr>
    </w:p>
    <w:p w:rsidR="00160480" w:rsidRPr="00160480" w:rsidRDefault="00160480" w:rsidP="00160480">
      <w:pPr>
        <w:pStyle w:val="Default"/>
        <w:jc w:val="both"/>
        <w:rPr>
          <w:rFonts w:asciiTheme="minorHAnsi" w:hAnsiTheme="minorHAnsi"/>
          <w:b/>
          <w:bCs/>
          <w:color w:val="auto"/>
          <w:sz w:val="20"/>
          <w:szCs w:val="20"/>
        </w:rPr>
      </w:pPr>
      <w:r w:rsidRPr="00160480">
        <w:rPr>
          <w:rFonts w:asciiTheme="minorHAnsi" w:hAnsiTheme="minorHAnsi"/>
          <w:b/>
          <w:bCs/>
          <w:color w:val="auto"/>
          <w:sz w:val="20"/>
          <w:szCs w:val="20"/>
        </w:rPr>
        <w:t>Cel Operacyjny 1.1 Wysoki poziom przedsiębiorczości mieszkańców kompensujący niedobory miejsc pracy w</w:t>
      </w:r>
      <w:r>
        <w:rPr>
          <w:rFonts w:asciiTheme="minorHAnsi" w:hAnsiTheme="minorHAnsi"/>
          <w:b/>
          <w:bCs/>
          <w:color w:val="auto"/>
          <w:sz w:val="20"/>
          <w:szCs w:val="20"/>
        </w:rPr>
        <w:t> </w:t>
      </w:r>
      <w:r w:rsidRPr="00160480">
        <w:rPr>
          <w:rFonts w:asciiTheme="minorHAnsi" w:hAnsiTheme="minorHAnsi"/>
          <w:b/>
          <w:bCs/>
          <w:color w:val="auto"/>
          <w:sz w:val="20"/>
          <w:szCs w:val="20"/>
        </w:rPr>
        <w:t xml:space="preserve">mieście - projekty: </w:t>
      </w:r>
    </w:p>
    <w:p w:rsidR="00160480" w:rsidRPr="00160480" w:rsidRDefault="00160480" w:rsidP="00160480">
      <w:pPr>
        <w:pStyle w:val="Default"/>
        <w:numPr>
          <w:ilvl w:val="0"/>
          <w:numId w:val="719"/>
        </w:numPr>
        <w:spacing w:after="9"/>
        <w:jc w:val="both"/>
        <w:rPr>
          <w:rFonts w:asciiTheme="minorHAnsi" w:hAnsiTheme="minorHAnsi"/>
          <w:color w:val="auto"/>
          <w:sz w:val="20"/>
          <w:szCs w:val="20"/>
        </w:rPr>
      </w:pPr>
      <w:r w:rsidRPr="00160480">
        <w:rPr>
          <w:rFonts w:asciiTheme="minorHAnsi" w:hAnsiTheme="minorHAnsi"/>
          <w:color w:val="auto"/>
          <w:sz w:val="20"/>
          <w:szCs w:val="20"/>
        </w:rPr>
        <w:t xml:space="preserve">Szansa na własną firmę (11), </w:t>
      </w:r>
    </w:p>
    <w:p w:rsidR="00160480" w:rsidRPr="00160480" w:rsidRDefault="00160480" w:rsidP="00160480">
      <w:pPr>
        <w:pStyle w:val="Default"/>
        <w:numPr>
          <w:ilvl w:val="0"/>
          <w:numId w:val="719"/>
        </w:numPr>
        <w:spacing w:after="9"/>
        <w:jc w:val="both"/>
        <w:rPr>
          <w:rFonts w:asciiTheme="minorHAnsi" w:hAnsiTheme="minorHAnsi"/>
          <w:color w:val="auto"/>
          <w:sz w:val="20"/>
          <w:szCs w:val="20"/>
        </w:rPr>
      </w:pPr>
      <w:r w:rsidRPr="00160480">
        <w:rPr>
          <w:rFonts w:asciiTheme="minorHAnsi" w:hAnsiTheme="minorHAnsi"/>
          <w:color w:val="auto"/>
          <w:sz w:val="20"/>
          <w:szCs w:val="20"/>
        </w:rPr>
        <w:t xml:space="preserve">Firma dla seniora (12), </w:t>
      </w:r>
    </w:p>
    <w:p w:rsidR="00160480" w:rsidRPr="00160480" w:rsidRDefault="00160480" w:rsidP="00160480">
      <w:pPr>
        <w:pStyle w:val="Default"/>
        <w:numPr>
          <w:ilvl w:val="0"/>
          <w:numId w:val="719"/>
        </w:numPr>
        <w:spacing w:after="9"/>
        <w:jc w:val="both"/>
        <w:rPr>
          <w:rFonts w:asciiTheme="minorHAnsi" w:hAnsiTheme="minorHAnsi"/>
          <w:color w:val="auto"/>
          <w:sz w:val="20"/>
          <w:szCs w:val="20"/>
        </w:rPr>
      </w:pPr>
      <w:r w:rsidRPr="00160480">
        <w:rPr>
          <w:rFonts w:asciiTheme="minorHAnsi" w:hAnsiTheme="minorHAnsi"/>
          <w:color w:val="auto"/>
          <w:sz w:val="20"/>
          <w:szCs w:val="20"/>
        </w:rPr>
        <w:t xml:space="preserve">Aktywizacja bytomskiej przedsiębiorczości (13), </w:t>
      </w:r>
    </w:p>
    <w:p w:rsidR="00160480" w:rsidRPr="00160480" w:rsidRDefault="00160480" w:rsidP="00160480">
      <w:pPr>
        <w:pStyle w:val="Default"/>
        <w:numPr>
          <w:ilvl w:val="0"/>
          <w:numId w:val="719"/>
        </w:numPr>
        <w:jc w:val="both"/>
        <w:rPr>
          <w:rFonts w:asciiTheme="minorHAnsi" w:hAnsiTheme="minorHAnsi"/>
          <w:color w:val="auto"/>
          <w:sz w:val="20"/>
          <w:szCs w:val="20"/>
        </w:rPr>
      </w:pPr>
      <w:r w:rsidRPr="00160480">
        <w:rPr>
          <w:rFonts w:asciiTheme="minorHAnsi" w:hAnsiTheme="minorHAnsi"/>
          <w:color w:val="auto"/>
          <w:sz w:val="20"/>
          <w:szCs w:val="20"/>
        </w:rPr>
        <w:t>Bytomski Inkubator Przedsiębiorczości (14),</w:t>
      </w:r>
    </w:p>
    <w:p w:rsidR="00160480" w:rsidRPr="00160480" w:rsidRDefault="00160480" w:rsidP="00160480">
      <w:pPr>
        <w:pStyle w:val="Default"/>
        <w:numPr>
          <w:ilvl w:val="0"/>
          <w:numId w:val="718"/>
        </w:numPr>
        <w:jc w:val="both"/>
        <w:rPr>
          <w:rFonts w:asciiTheme="minorHAnsi" w:hAnsiTheme="minorHAnsi"/>
          <w:color w:val="auto"/>
          <w:sz w:val="20"/>
          <w:szCs w:val="20"/>
        </w:rPr>
      </w:pPr>
      <w:r w:rsidRPr="00160480">
        <w:rPr>
          <w:rFonts w:asciiTheme="minorHAnsi" w:hAnsiTheme="minorHAnsi"/>
          <w:color w:val="auto"/>
          <w:sz w:val="20"/>
          <w:szCs w:val="20"/>
        </w:rPr>
        <w:t>Usługi rozwojowe dla bytomskich przedsiębiorstw (23),</w:t>
      </w:r>
    </w:p>
    <w:p w:rsidR="00160480" w:rsidRPr="00160480" w:rsidRDefault="00160480" w:rsidP="00160480">
      <w:pPr>
        <w:pStyle w:val="Default"/>
        <w:numPr>
          <w:ilvl w:val="0"/>
          <w:numId w:val="718"/>
        </w:numPr>
        <w:spacing w:after="9"/>
        <w:jc w:val="both"/>
        <w:rPr>
          <w:rFonts w:asciiTheme="minorHAnsi" w:hAnsiTheme="minorHAnsi"/>
          <w:color w:val="auto"/>
          <w:sz w:val="20"/>
          <w:szCs w:val="20"/>
        </w:rPr>
      </w:pPr>
      <w:r w:rsidRPr="00160480">
        <w:rPr>
          <w:rFonts w:asciiTheme="minorHAnsi" w:hAnsiTheme="minorHAnsi"/>
          <w:color w:val="auto"/>
          <w:sz w:val="20"/>
          <w:szCs w:val="20"/>
        </w:rPr>
        <w:t xml:space="preserve">Bytomscy Transformersi–Strażnicy kapitału społecznego I (30), </w:t>
      </w:r>
    </w:p>
    <w:p w:rsidR="00160480" w:rsidRPr="00160480" w:rsidRDefault="00160480" w:rsidP="00160480">
      <w:pPr>
        <w:pStyle w:val="Default"/>
        <w:numPr>
          <w:ilvl w:val="0"/>
          <w:numId w:val="718"/>
        </w:numPr>
        <w:spacing w:after="9"/>
        <w:jc w:val="both"/>
        <w:rPr>
          <w:rFonts w:asciiTheme="minorHAnsi" w:hAnsiTheme="minorHAnsi"/>
          <w:color w:val="auto"/>
          <w:sz w:val="20"/>
          <w:szCs w:val="20"/>
        </w:rPr>
      </w:pPr>
      <w:r w:rsidRPr="00160480">
        <w:rPr>
          <w:rFonts w:asciiTheme="minorHAnsi" w:hAnsiTheme="minorHAnsi"/>
          <w:color w:val="auto"/>
          <w:sz w:val="20"/>
          <w:szCs w:val="20"/>
        </w:rPr>
        <w:t xml:space="preserve">Bytomscy Transformersi–Strażnicy kapitału społecznego II (31), </w:t>
      </w:r>
    </w:p>
    <w:p w:rsidR="00160480" w:rsidRPr="00160480" w:rsidRDefault="00160480" w:rsidP="00160480">
      <w:pPr>
        <w:pStyle w:val="Default"/>
        <w:numPr>
          <w:ilvl w:val="0"/>
          <w:numId w:val="718"/>
        </w:numPr>
        <w:spacing w:after="9"/>
        <w:jc w:val="both"/>
        <w:rPr>
          <w:rFonts w:asciiTheme="minorHAnsi" w:hAnsiTheme="minorHAnsi"/>
          <w:color w:val="auto"/>
          <w:sz w:val="20"/>
          <w:szCs w:val="20"/>
        </w:rPr>
      </w:pPr>
      <w:r w:rsidRPr="00160480">
        <w:rPr>
          <w:rFonts w:asciiTheme="minorHAnsi" w:hAnsiTheme="minorHAnsi"/>
          <w:color w:val="auto"/>
          <w:sz w:val="20"/>
          <w:szCs w:val="20"/>
        </w:rPr>
        <w:t xml:space="preserve">Bytomscy Transformersi–Strażnicy kapitału społecznego III (32), </w:t>
      </w:r>
    </w:p>
    <w:p w:rsidR="00160480" w:rsidRPr="00160480" w:rsidRDefault="00160480" w:rsidP="00160480">
      <w:pPr>
        <w:pStyle w:val="Default"/>
        <w:numPr>
          <w:ilvl w:val="0"/>
          <w:numId w:val="718"/>
        </w:numPr>
        <w:spacing w:after="9"/>
        <w:jc w:val="both"/>
        <w:rPr>
          <w:rFonts w:asciiTheme="minorHAnsi" w:hAnsiTheme="minorHAnsi"/>
          <w:color w:val="auto"/>
          <w:sz w:val="20"/>
          <w:szCs w:val="20"/>
        </w:rPr>
      </w:pPr>
      <w:r w:rsidRPr="00160480">
        <w:rPr>
          <w:rFonts w:asciiTheme="minorHAnsi" w:hAnsiTheme="minorHAnsi"/>
          <w:color w:val="auto"/>
          <w:sz w:val="20"/>
          <w:szCs w:val="20"/>
        </w:rPr>
        <w:t xml:space="preserve">Bytomscy Transformersi–Strażnicy kapitału społecznego IV (33), </w:t>
      </w:r>
    </w:p>
    <w:p w:rsidR="00160480" w:rsidRPr="00160480" w:rsidRDefault="00160480" w:rsidP="00160480">
      <w:pPr>
        <w:pStyle w:val="Default"/>
        <w:numPr>
          <w:ilvl w:val="0"/>
          <w:numId w:val="718"/>
        </w:numPr>
        <w:spacing w:after="9"/>
        <w:jc w:val="both"/>
        <w:rPr>
          <w:rFonts w:asciiTheme="minorHAnsi" w:hAnsiTheme="minorHAnsi"/>
          <w:color w:val="auto"/>
          <w:sz w:val="20"/>
          <w:szCs w:val="20"/>
        </w:rPr>
      </w:pPr>
      <w:r w:rsidRPr="00160480">
        <w:rPr>
          <w:rFonts w:asciiTheme="minorHAnsi" w:hAnsiTheme="minorHAnsi"/>
          <w:color w:val="auto"/>
          <w:sz w:val="20"/>
          <w:szCs w:val="20"/>
        </w:rPr>
        <w:t xml:space="preserve">Bytomski Ośrodek Aktywności (40), </w:t>
      </w:r>
    </w:p>
    <w:p w:rsidR="00160480" w:rsidRPr="00160480" w:rsidRDefault="00160480" w:rsidP="00160480">
      <w:pPr>
        <w:pStyle w:val="Default"/>
        <w:numPr>
          <w:ilvl w:val="0"/>
          <w:numId w:val="718"/>
        </w:numPr>
        <w:spacing w:after="9"/>
        <w:jc w:val="both"/>
        <w:rPr>
          <w:rFonts w:asciiTheme="minorHAnsi" w:hAnsiTheme="minorHAnsi"/>
          <w:color w:val="auto"/>
          <w:sz w:val="20"/>
          <w:szCs w:val="20"/>
        </w:rPr>
      </w:pPr>
      <w:r w:rsidRPr="00160480">
        <w:rPr>
          <w:rFonts w:asciiTheme="minorHAnsi" w:hAnsiTheme="minorHAnsi"/>
          <w:color w:val="auto"/>
          <w:sz w:val="20"/>
          <w:szCs w:val="20"/>
        </w:rPr>
        <w:t xml:space="preserve">Centrum Integracji Aktywnej na start (48), </w:t>
      </w:r>
    </w:p>
    <w:p w:rsidR="00160480" w:rsidRPr="00160480" w:rsidRDefault="00160480" w:rsidP="00160480">
      <w:pPr>
        <w:pStyle w:val="Default"/>
        <w:numPr>
          <w:ilvl w:val="0"/>
          <w:numId w:val="718"/>
        </w:numPr>
        <w:jc w:val="both"/>
        <w:rPr>
          <w:rFonts w:asciiTheme="minorHAnsi" w:hAnsiTheme="minorHAnsi"/>
          <w:color w:val="auto"/>
          <w:sz w:val="20"/>
          <w:szCs w:val="20"/>
        </w:rPr>
      </w:pPr>
      <w:r w:rsidRPr="00160480">
        <w:rPr>
          <w:rFonts w:asciiTheme="minorHAnsi" w:hAnsiTheme="minorHAnsi"/>
          <w:color w:val="auto"/>
          <w:sz w:val="20"/>
          <w:szCs w:val="20"/>
        </w:rPr>
        <w:t>Umiem się uczyć (75),</w:t>
      </w:r>
    </w:p>
    <w:p w:rsidR="00160480" w:rsidRPr="00160480" w:rsidRDefault="00160480" w:rsidP="00160480">
      <w:pPr>
        <w:pStyle w:val="Default"/>
        <w:numPr>
          <w:ilvl w:val="0"/>
          <w:numId w:val="718"/>
        </w:numPr>
        <w:jc w:val="both"/>
        <w:rPr>
          <w:rFonts w:asciiTheme="minorHAnsi" w:hAnsiTheme="minorHAnsi"/>
          <w:color w:val="auto"/>
          <w:sz w:val="20"/>
          <w:szCs w:val="20"/>
        </w:rPr>
      </w:pPr>
      <w:r w:rsidRPr="00160480">
        <w:rPr>
          <w:rFonts w:asciiTheme="minorHAnsi" w:hAnsiTheme="minorHAnsi"/>
          <w:color w:val="auto"/>
          <w:sz w:val="20"/>
          <w:szCs w:val="20"/>
        </w:rPr>
        <w:t>Masz firmę masz lokal - Program Akty</w:t>
      </w:r>
      <w:r w:rsidR="00626FC8">
        <w:rPr>
          <w:rFonts w:asciiTheme="minorHAnsi" w:hAnsiTheme="minorHAnsi"/>
          <w:color w:val="auto"/>
          <w:sz w:val="20"/>
          <w:szCs w:val="20"/>
        </w:rPr>
        <w:t>wizacji Lokali Użytkowych (116).</w:t>
      </w:r>
    </w:p>
    <w:p w:rsidR="00160480" w:rsidRPr="00160480" w:rsidRDefault="00160480" w:rsidP="00160480">
      <w:pPr>
        <w:pStyle w:val="Default"/>
        <w:jc w:val="both"/>
        <w:rPr>
          <w:rFonts w:asciiTheme="minorHAnsi" w:hAnsiTheme="minorHAnsi"/>
          <w:color w:val="auto"/>
          <w:sz w:val="20"/>
          <w:szCs w:val="20"/>
          <w:highlight w:val="yellow"/>
        </w:rPr>
      </w:pPr>
    </w:p>
    <w:p w:rsidR="00160480" w:rsidRPr="00160480" w:rsidRDefault="00160480" w:rsidP="00160480">
      <w:pPr>
        <w:pStyle w:val="Default"/>
        <w:jc w:val="both"/>
        <w:rPr>
          <w:rFonts w:asciiTheme="minorHAnsi" w:hAnsiTheme="minorHAnsi"/>
          <w:b/>
          <w:bCs/>
          <w:sz w:val="20"/>
          <w:szCs w:val="20"/>
        </w:rPr>
      </w:pPr>
      <w:r w:rsidRPr="00160480">
        <w:rPr>
          <w:rFonts w:asciiTheme="minorHAnsi" w:hAnsiTheme="minorHAnsi"/>
          <w:b/>
          <w:bCs/>
          <w:sz w:val="20"/>
          <w:szCs w:val="20"/>
        </w:rPr>
        <w:t>Cel Operacyjny 1.2 Dogodne warunki dla rozwoju firm lokalnych – projekty:</w:t>
      </w:r>
    </w:p>
    <w:p w:rsidR="00160480" w:rsidRPr="00160480" w:rsidRDefault="00160480" w:rsidP="00160480">
      <w:pPr>
        <w:pStyle w:val="Default"/>
        <w:numPr>
          <w:ilvl w:val="0"/>
          <w:numId w:val="687"/>
        </w:numPr>
        <w:jc w:val="both"/>
        <w:rPr>
          <w:rFonts w:asciiTheme="minorHAnsi" w:hAnsiTheme="minorHAnsi"/>
          <w:sz w:val="20"/>
          <w:szCs w:val="20"/>
        </w:rPr>
      </w:pPr>
      <w:r w:rsidRPr="00160480">
        <w:rPr>
          <w:rFonts w:asciiTheme="minorHAnsi" w:hAnsiTheme="minorHAnsi"/>
          <w:sz w:val="20"/>
          <w:szCs w:val="20"/>
        </w:rPr>
        <w:t>Rewitalizacja społeczna bezrobotnych mieszkańców Bytomia poprzez aktywizację zawodową –</w:t>
      </w:r>
      <w:r w:rsidR="00B943BD">
        <w:rPr>
          <w:rFonts w:asciiTheme="minorHAnsi" w:hAnsiTheme="minorHAnsi"/>
          <w:sz w:val="20"/>
          <w:szCs w:val="20"/>
        </w:rPr>
        <w:t xml:space="preserve"> etap </w:t>
      </w:r>
      <w:r w:rsidRPr="00160480">
        <w:rPr>
          <w:rFonts w:asciiTheme="minorHAnsi" w:hAnsiTheme="minorHAnsi"/>
          <w:sz w:val="20"/>
          <w:szCs w:val="20"/>
        </w:rPr>
        <w:t>I</w:t>
      </w:r>
      <w:r w:rsidR="00B943BD">
        <w:rPr>
          <w:rFonts w:asciiTheme="minorHAnsi" w:hAnsiTheme="minorHAnsi"/>
          <w:sz w:val="20"/>
          <w:szCs w:val="20"/>
        </w:rPr>
        <w:t> </w:t>
      </w:r>
      <w:r w:rsidRPr="00160480">
        <w:rPr>
          <w:rFonts w:asciiTheme="minorHAnsi" w:hAnsiTheme="minorHAnsi"/>
          <w:sz w:val="20"/>
          <w:szCs w:val="20"/>
        </w:rPr>
        <w:t xml:space="preserve">(1), </w:t>
      </w:r>
    </w:p>
    <w:p w:rsidR="00160480" w:rsidRPr="00160480" w:rsidRDefault="00160480" w:rsidP="00160480">
      <w:pPr>
        <w:pStyle w:val="Default"/>
        <w:numPr>
          <w:ilvl w:val="0"/>
          <w:numId w:val="687"/>
        </w:numPr>
        <w:jc w:val="both"/>
        <w:rPr>
          <w:rFonts w:asciiTheme="minorHAnsi" w:hAnsiTheme="minorHAnsi"/>
          <w:sz w:val="20"/>
          <w:szCs w:val="20"/>
        </w:rPr>
      </w:pPr>
      <w:r w:rsidRPr="00160480">
        <w:rPr>
          <w:rFonts w:asciiTheme="minorHAnsi" w:hAnsiTheme="minorHAnsi"/>
          <w:sz w:val="20"/>
          <w:szCs w:val="20"/>
        </w:rPr>
        <w:t>Rewitalizacja społeczna bezrobotnych mieszkańców Bytomia popr</w:t>
      </w:r>
      <w:r w:rsidR="00B943BD">
        <w:rPr>
          <w:rFonts w:asciiTheme="minorHAnsi" w:hAnsiTheme="minorHAnsi"/>
          <w:sz w:val="20"/>
          <w:szCs w:val="20"/>
        </w:rPr>
        <w:t>zez aktywizację zawodową – etap </w:t>
      </w:r>
      <w:r w:rsidRPr="00160480">
        <w:rPr>
          <w:rFonts w:asciiTheme="minorHAnsi" w:hAnsiTheme="minorHAnsi"/>
          <w:sz w:val="20"/>
          <w:szCs w:val="20"/>
        </w:rPr>
        <w:t>II</w:t>
      </w:r>
      <w:r w:rsidR="00B943BD">
        <w:rPr>
          <w:rFonts w:asciiTheme="minorHAnsi" w:hAnsiTheme="minorHAnsi"/>
          <w:sz w:val="20"/>
          <w:szCs w:val="20"/>
        </w:rPr>
        <w:t> </w:t>
      </w:r>
      <w:r w:rsidRPr="00160480">
        <w:rPr>
          <w:rFonts w:asciiTheme="minorHAnsi" w:hAnsiTheme="minorHAnsi"/>
          <w:sz w:val="20"/>
          <w:szCs w:val="20"/>
        </w:rPr>
        <w:t xml:space="preserve">(2), </w:t>
      </w:r>
    </w:p>
    <w:p w:rsidR="00160480" w:rsidRPr="00160480" w:rsidRDefault="00160480" w:rsidP="00160480">
      <w:pPr>
        <w:pStyle w:val="Default"/>
        <w:numPr>
          <w:ilvl w:val="0"/>
          <w:numId w:val="687"/>
        </w:numPr>
        <w:jc w:val="both"/>
        <w:rPr>
          <w:rFonts w:asciiTheme="minorHAnsi" w:hAnsiTheme="minorHAnsi"/>
          <w:sz w:val="20"/>
          <w:szCs w:val="20"/>
        </w:rPr>
      </w:pPr>
      <w:r w:rsidRPr="00160480">
        <w:rPr>
          <w:rFonts w:asciiTheme="minorHAnsi" w:hAnsiTheme="minorHAnsi"/>
          <w:sz w:val="20"/>
          <w:szCs w:val="20"/>
        </w:rPr>
        <w:t xml:space="preserve">Rewitalizacja społeczna bezrobotnych mieszkańców Bytomia poprzez specjalistyczne szkolenia zawodowe w wybranych zawodach rzemieślniczych (3), </w:t>
      </w:r>
    </w:p>
    <w:p w:rsidR="00160480" w:rsidRPr="00160480" w:rsidRDefault="00160480" w:rsidP="00160480">
      <w:pPr>
        <w:pStyle w:val="Default"/>
        <w:numPr>
          <w:ilvl w:val="0"/>
          <w:numId w:val="687"/>
        </w:numPr>
        <w:jc w:val="both"/>
        <w:rPr>
          <w:rFonts w:asciiTheme="minorHAnsi" w:hAnsiTheme="minorHAnsi"/>
          <w:sz w:val="20"/>
          <w:szCs w:val="20"/>
        </w:rPr>
      </w:pPr>
      <w:r w:rsidRPr="00160480">
        <w:rPr>
          <w:rFonts w:asciiTheme="minorHAnsi" w:hAnsiTheme="minorHAnsi"/>
          <w:sz w:val="20"/>
          <w:szCs w:val="20"/>
        </w:rPr>
        <w:t>Droga do aktywności zawodowej (4),</w:t>
      </w:r>
    </w:p>
    <w:p w:rsidR="00160480" w:rsidRPr="00160480" w:rsidRDefault="00160480" w:rsidP="00160480">
      <w:pPr>
        <w:pStyle w:val="Default"/>
        <w:numPr>
          <w:ilvl w:val="0"/>
          <w:numId w:val="687"/>
        </w:numPr>
        <w:jc w:val="both"/>
        <w:rPr>
          <w:rFonts w:asciiTheme="minorHAnsi" w:hAnsiTheme="minorHAnsi"/>
          <w:sz w:val="20"/>
          <w:szCs w:val="20"/>
        </w:rPr>
      </w:pPr>
      <w:r w:rsidRPr="00160480">
        <w:rPr>
          <w:rFonts w:asciiTheme="minorHAnsi" w:hAnsiTheme="minorHAnsi"/>
          <w:sz w:val="20"/>
          <w:szCs w:val="20"/>
        </w:rPr>
        <w:t>Lepszy start, praca, lepsze jutro (6),</w:t>
      </w:r>
    </w:p>
    <w:p w:rsidR="00160480" w:rsidRPr="00160480" w:rsidRDefault="00160480" w:rsidP="00160480">
      <w:pPr>
        <w:pStyle w:val="Default"/>
        <w:numPr>
          <w:ilvl w:val="0"/>
          <w:numId w:val="687"/>
        </w:numPr>
        <w:jc w:val="both"/>
        <w:rPr>
          <w:rFonts w:asciiTheme="minorHAnsi" w:hAnsiTheme="minorHAnsi"/>
          <w:sz w:val="20"/>
          <w:szCs w:val="20"/>
        </w:rPr>
      </w:pPr>
      <w:r w:rsidRPr="00160480">
        <w:rPr>
          <w:rFonts w:asciiTheme="minorHAnsi" w:hAnsiTheme="minorHAnsi"/>
          <w:sz w:val="20"/>
          <w:szCs w:val="20"/>
        </w:rPr>
        <w:t xml:space="preserve">Bytomski Inkubator Przedsiębiorczości (14), </w:t>
      </w:r>
    </w:p>
    <w:p w:rsidR="00160480" w:rsidRPr="00160480" w:rsidRDefault="00160480" w:rsidP="00160480">
      <w:pPr>
        <w:pStyle w:val="Default"/>
        <w:numPr>
          <w:ilvl w:val="0"/>
          <w:numId w:val="687"/>
        </w:numPr>
        <w:jc w:val="both"/>
        <w:rPr>
          <w:rFonts w:asciiTheme="minorHAnsi" w:hAnsiTheme="minorHAnsi"/>
          <w:sz w:val="20"/>
          <w:szCs w:val="20"/>
        </w:rPr>
      </w:pPr>
      <w:r w:rsidRPr="00160480">
        <w:rPr>
          <w:rFonts w:asciiTheme="minorHAnsi" w:hAnsiTheme="minorHAnsi"/>
          <w:sz w:val="20"/>
          <w:szCs w:val="20"/>
        </w:rPr>
        <w:t xml:space="preserve">Bytomscy Transformersi–Strażnicy kapitału społecznego I (30), </w:t>
      </w:r>
    </w:p>
    <w:p w:rsidR="00160480" w:rsidRPr="00160480" w:rsidRDefault="00160480" w:rsidP="00160480">
      <w:pPr>
        <w:pStyle w:val="Default"/>
        <w:numPr>
          <w:ilvl w:val="0"/>
          <w:numId w:val="687"/>
        </w:numPr>
        <w:jc w:val="both"/>
        <w:rPr>
          <w:rFonts w:asciiTheme="minorHAnsi" w:hAnsiTheme="minorHAnsi"/>
          <w:sz w:val="20"/>
          <w:szCs w:val="20"/>
        </w:rPr>
      </w:pPr>
      <w:r w:rsidRPr="00160480">
        <w:rPr>
          <w:rFonts w:asciiTheme="minorHAnsi" w:hAnsiTheme="minorHAnsi"/>
          <w:sz w:val="20"/>
          <w:szCs w:val="20"/>
        </w:rPr>
        <w:t xml:space="preserve">Bytomscy Transformersi–Strażnicy kapitału społecznego II (31), </w:t>
      </w:r>
    </w:p>
    <w:p w:rsidR="00160480" w:rsidRPr="00160480" w:rsidRDefault="00160480" w:rsidP="00160480">
      <w:pPr>
        <w:pStyle w:val="Default"/>
        <w:numPr>
          <w:ilvl w:val="0"/>
          <w:numId w:val="687"/>
        </w:numPr>
        <w:jc w:val="both"/>
        <w:rPr>
          <w:rFonts w:asciiTheme="minorHAnsi" w:hAnsiTheme="minorHAnsi"/>
          <w:sz w:val="20"/>
          <w:szCs w:val="20"/>
        </w:rPr>
      </w:pPr>
      <w:r w:rsidRPr="00160480">
        <w:rPr>
          <w:rFonts w:asciiTheme="minorHAnsi" w:hAnsiTheme="minorHAnsi"/>
          <w:sz w:val="20"/>
          <w:szCs w:val="20"/>
        </w:rPr>
        <w:t xml:space="preserve">Bytomscy Transformersi–Strażnicy kapitału społecznego III (32), </w:t>
      </w:r>
    </w:p>
    <w:p w:rsidR="00160480" w:rsidRPr="00160480" w:rsidRDefault="00160480" w:rsidP="00160480">
      <w:pPr>
        <w:pStyle w:val="Default"/>
        <w:numPr>
          <w:ilvl w:val="0"/>
          <w:numId w:val="687"/>
        </w:numPr>
        <w:jc w:val="both"/>
        <w:rPr>
          <w:rFonts w:asciiTheme="minorHAnsi" w:hAnsiTheme="minorHAnsi"/>
          <w:sz w:val="20"/>
          <w:szCs w:val="20"/>
        </w:rPr>
      </w:pPr>
      <w:r w:rsidRPr="00160480">
        <w:rPr>
          <w:rFonts w:asciiTheme="minorHAnsi" w:hAnsiTheme="minorHAnsi"/>
          <w:sz w:val="20"/>
          <w:szCs w:val="20"/>
        </w:rPr>
        <w:t xml:space="preserve">Bytomscy Transformersi–Strażnicy kapitału społecznego IV (33), </w:t>
      </w:r>
    </w:p>
    <w:p w:rsidR="00160480" w:rsidRPr="00160480" w:rsidRDefault="00160480" w:rsidP="00160480">
      <w:pPr>
        <w:pStyle w:val="Default"/>
        <w:numPr>
          <w:ilvl w:val="0"/>
          <w:numId w:val="687"/>
        </w:numPr>
        <w:jc w:val="both"/>
        <w:rPr>
          <w:rFonts w:asciiTheme="minorHAnsi" w:hAnsiTheme="minorHAnsi"/>
          <w:sz w:val="20"/>
          <w:szCs w:val="20"/>
        </w:rPr>
      </w:pPr>
      <w:r w:rsidRPr="00160480">
        <w:rPr>
          <w:rFonts w:asciiTheme="minorHAnsi" w:hAnsiTheme="minorHAnsi"/>
          <w:sz w:val="20"/>
          <w:szCs w:val="20"/>
        </w:rPr>
        <w:t xml:space="preserve">Bytomski Ośrodek Aktywności (40), </w:t>
      </w:r>
    </w:p>
    <w:p w:rsidR="00160480" w:rsidRPr="00160480" w:rsidRDefault="00626FC8" w:rsidP="00160480">
      <w:pPr>
        <w:pStyle w:val="Default"/>
        <w:numPr>
          <w:ilvl w:val="0"/>
          <w:numId w:val="687"/>
        </w:numPr>
        <w:jc w:val="both"/>
        <w:rPr>
          <w:rFonts w:asciiTheme="minorHAnsi" w:hAnsiTheme="minorHAnsi"/>
          <w:sz w:val="20"/>
          <w:szCs w:val="20"/>
        </w:rPr>
      </w:pPr>
      <w:r>
        <w:rPr>
          <w:rFonts w:asciiTheme="minorHAnsi" w:hAnsiTheme="minorHAnsi"/>
          <w:sz w:val="20"/>
          <w:szCs w:val="20"/>
        </w:rPr>
        <w:t>Umiem się uczyć (75).</w:t>
      </w:r>
    </w:p>
    <w:p w:rsidR="00570CF6" w:rsidRPr="00160480" w:rsidRDefault="00570CF6" w:rsidP="00160480">
      <w:pPr>
        <w:pStyle w:val="Default"/>
        <w:jc w:val="both"/>
        <w:rPr>
          <w:rFonts w:asciiTheme="minorHAnsi" w:hAnsiTheme="minorHAnsi"/>
          <w:color w:val="auto"/>
          <w:sz w:val="20"/>
          <w:szCs w:val="20"/>
          <w:highlight w:val="yellow"/>
        </w:rPr>
      </w:pPr>
    </w:p>
    <w:p w:rsidR="00160480" w:rsidRPr="00160480" w:rsidRDefault="00160480" w:rsidP="00160480">
      <w:pPr>
        <w:pStyle w:val="Default"/>
        <w:jc w:val="both"/>
        <w:rPr>
          <w:rFonts w:asciiTheme="minorHAnsi" w:hAnsiTheme="minorHAnsi"/>
          <w:b/>
          <w:bCs/>
          <w:color w:val="auto"/>
          <w:sz w:val="20"/>
          <w:szCs w:val="20"/>
        </w:rPr>
      </w:pPr>
      <w:r w:rsidRPr="00160480">
        <w:rPr>
          <w:rFonts w:asciiTheme="minorHAnsi" w:hAnsiTheme="minorHAnsi"/>
          <w:b/>
          <w:bCs/>
          <w:color w:val="auto"/>
          <w:sz w:val="20"/>
          <w:szCs w:val="20"/>
        </w:rPr>
        <w:t>Cel Operacyjny 1.3 Wysoki poziom dostępności udogodnień umożliwiających podnoszenie kwalifikacji mieszkańców, usuwanie barier w powrocie na rynek pracy oraz wzrastający poziom motywacji wewnętrznej mieszkańców w zakresie realizacji karier zawodowych – projekty:</w:t>
      </w:r>
    </w:p>
    <w:p w:rsidR="00160480" w:rsidRPr="00160480" w:rsidRDefault="00160480" w:rsidP="00160480">
      <w:pPr>
        <w:pStyle w:val="Default"/>
        <w:numPr>
          <w:ilvl w:val="0"/>
          <w:numId w:val="687"/>
        </w:numPr>
        <w:jc w:val="both"/>
        <w:rPr>
          <w:rFonts w:asciiTheme="minorHAnsi" w:hAnsiTheme="minorHAnsi"/>
          <w:color w:val="auto"/>
          <w:sz w:val="20"/>
          <w:szCs w:val="20"/>
        </w:rPr>
      </w:pPr>
      <w:r w:rsidRPr="00160480">
        <w:rPr>
          <w:rFonts w:asciiTheme="minorHAnsi" w:hAnsiTheme="minorHAnsi"/>
          <w:color w:val="auto"/>
          <w:sz w:val="20"/>
          <w:szCs w:val="20"/>
        </w:rPr>
        <w:t>Rewitalizacja społeczna bezrobotnych mieszkańców Bytomia poprzez aktywizację zawodową –</w:t>
      </w:r>
      <w:r w:rsidR="00B943BD">
        <w:rPr>
          <w:rFonts w:asciiTheme="minorHAnsi" w:hAnsiTheme="minorHAnsi"/>
          <w:color w:val="auto"/>
          <w:sz w:val="20"/>
          <w:szCs w:val="20"/>
        </w:rPr>
        <w:t xml:space="preserve"> </w:t>
      </w:r>
      <w:r w:rsidRPr="00160480">
        <w:rPr>
          <w:rFonts w:asciiTheme="minorHAnsi" w:hAnsiTheme="minorHAnsi"/>
          <w:color w:val="auto"/>
          <w:sz w:val="20"/>
          <w:szCs w:val="20"/>
        </w:rPr>
        <w:t>etap</w:t>
      </w:r>
      <w:r w:rsidR="00B943BD">
        <w:rPr>
          <w:rFonts w:asciiTheme="minorHAnsi" w:hAnsiTheme="minorHAnsi"/>
          <w:color w:val="auto"/>
          <w:sz w:val="20"/>
          <w:szCs w:val="20"/>
        </w:rPr>
        <w:t> </w:t>
      </w:r>
      <w:r w:rsidRPr="00160480">
        <w:rPr>
          <w:rFonts w:asciiTheme="minorHAnsi" w:hAnsiTheme="minorHAnsi"/>
          <w:color w:val="auto"/>
          <w:sz w:val="20"/>
          <w:szCs w:val="20"/>
        </w:rPr>
        <w:t>I</w:t>
      </w:r>
      <w:r w:rsidR="00B943BD">
        <w:rPr>
          <w:rFonts w:asciiTheme="minorHAnsi" w:hAnsiTheme="minorHAnsi"/>
          <w:color w:val="auto"/>
          <w:sz w:val="20"/>
          <w:szCs w:val="20"/>
        </w:rPr>
        <w:t> </w:t>
      </w:r>
      <w:r w:rsidRPr="00160480">
        <w:rPr>
          <w:rFonts w:asciiTheme="minorHAnsi" w:hAnsiTheme="minorHAnsi"/>
          <w:color w:val="auto"/>
          <w:sz w:val="20"/>
          <w:szCs w:val="20"/>
        </w:rPr>
        <w:t xml:space="preserve">(1), </w:t>
      </w:r>
    </w:p>
    <w:p w:rsidR="00160480" w:rsidRPr="00160480" w:rsidRDefault="00160480" w:rsidP="00160480">
      <w:pPr>
        <w:pStyle w:val="Default"/>
        <w:numPr>
          <w:ilvl w:val="0"/>
          <w:numId w:val="687"/>
        </w:numPr>
        <w:jc w:val="both"/>
        <w:rPr>
          <w:rFonts w:asciiTheme="minorHAnsi" w:hAnsiTheme="minorHAnsi"/>
          <w:color w:val="auto"/>
          <w:sz w:val="20"/>
          <w:szCs w:val="20"/>
        </w:rPr>
      </w:pPr>
      <w:r w:rsidRPr="00160480">
        <w:rPr>
          <w:rFonts w:asciiTheme="minorHAnsi" w:hAnsiTheme="minorHAnsi"/>
          <w:color w:val="auto"/>
          <w:sz w:val="20"/>
          <w:szCs w:val="20"/>
        </w:rPr>
        <w:t>Rewitalizacja społeczna bezrobotnych mieszkańców Bytomia poprzez aktywizację zawodową – etap</w:t>
      </w:r>
      <w:r w:rsidR="00B943BD">
        <w:rPr>
          <w:rFonts w:asciiTheme="minorHAnsi" w:hAnsiTheme="minorHAnsi"/>
          <w:color w:val="auto"/>
          <w:sz w:val="20"/>
          <w:szCs w:val="20"/>
        </w:rPr>
        <w:t> </w:t>
      </w:r>
      <w:r w:rsidRPr="00160480">
        <w:rPr>
          <w:rFonts w:asciiTheme="minorHAnsi" w:hAnsiTheme="minorHAnsi"/>
          <w:color w:val="auto"/>
          <w:sz w:val="20"/>
          <w:szCs w:val="20"/>
        </w:rPr>
        <w:t>II</w:t>
      </w:r>
      <w:r w:rsidR="00B943BD">
        <w:rPr>
          <w:rFonts w:asciiTheme="minorHAnsi" w:hAnsiTheme="minorHAnsi"/>
          <w:color w:val="auto"/>
          <w:sz w:val="20"/>
          <w:szCs w:val="20"/>
        </w:rPr>
        <w:t> </w:t>
      </w:r>
      <w:r w:rsidRPr="00160480">
        <w:rPr>
          <w:rFonts w:asciiTheme="minorHAnsi" w:hAnsiTheme="minorHAnsi"/>
          <w:color w:val="auto"/>
          <w:sz w:val="20"/>
          <w:szCs w:val="20"/>
        </w:rPr>
        <w:t xml:space="preserve">(2), </w:t>
      </w:r>
    </w:p>
    <w:p w:rsidR="00160480" w:rsidRPr="00160480" w:rsidRDefault="00160480" w:rsidP="00160480">
      <w:pPr>
        <w:pStyle w:val="Akapitzlist"/>
        <w:numPr>
          <w:ilvl w:val="0"/>
          <w:numId w:val="687"/>
        </w:numPr>
        <w:spacing w:after="160" w:line="259" w:lineRule="auto"/>
        <w:contextualSpacing/>
        <w:jc w:val="both"/>
        <w:rPr>
          <w:rFonts w:asciiTheme="minorHAnsi" w:hAnsiTheme="minorHAnsi" w:cs="Calibri"/>
          <w:sz w:val="20"/>
          <w:szCs w:val="20"/>
        </w:rPr>
      </w:pPr>
      <w:r w:rsidRPr="00160480">
        <w:rPr>
          <w:rFonts w:asciiTheme="minorHAnsi" w:hAnsiTheme="minorHAnsi" w:cs="Calibri"/>
          <w:sz w:val="20"/>
          <w:szCs w:val="20"/>
        </w:rPr>
        <w:t xml:space="preserve">Rewitalizacja społeczna bezrobotnych mieszkańców Bytomia poprzez specjalistyczne szkolenia zawodowe w wybranych zawodach rzemieślniczych (3), </w:t>
      </w:r>
    </w:p>
    <w:p w:rsidR="00160480" w:rsidRPr="00160480" w:rsidRDefault="00160480" w:rsidP="00160480">
      <w:pPr>
        <w:pStyle w:val="Akapitzlist"/>
        <w:numPr>
          <w:ilvl w:val="0"/>
          <w:numId w:val="687"/>
        </w:numPr>
        <w:spacing w:after="160" w:line="259" w:lineRule="auto"/>
        <w:contextualSpacing/>
        <w:jc w:val="both"/>
        <w:rPr>
          <w:rFonts w:asciiTheme="minorHAnsi" w:hAnsiTheme="minorHAnsi" w:cs="Calibri"/>
          <w:sz w:val="20"/>
          <w:szCs w:val="20"/>
        </w:rPr>
      </w:pPr>
      <w:r w:rsidRPr="00160480">
        <w:rPr>
          <w:rFonts w:asciiTheme="minorHAnsi" w:hAnsiTheme="minorHAnsi" w:cs="Calibri"/>
          <w:sz w:val="20"/>
          <w:szCs w:val="20"/>
        </w:rPr>
        <w:t>Droga do aktywności zawodowej (4),</w:t>
      </w:r>
    </w:p>
    <w:p w:rsidR="00160480" w:rsidRPr="00160480" w:rsidRDefault="00160480" w:rsidP="00160480">
      <w:pPr>
        <w:pStyle w:val="Akapitzlist"/>
        <w:numPr>
          <w:ilvl w:val="0"/>
          <w:numId w:val="687"/>
        </w:numPr>
        <w:spacing w:after="0" w:line="259" w:lineRule="auto"/>
        <w:contextualSpacing/>
        <w:jc w:val="both"/>
        <w:rPr>
          <w:rFonts w:asciiTheme="minorHAnsi" w:hAnsiTheme="minorHAnsi" w:cs="Calibri"/>
          <w:sz w:val="20"/>
          <w:szCs w:val="20"/>
        </w:rPr>
      </w:pPr>
      <w:r w:rsidRPr="00160480">
        <w:rPr>
          <w:rFonts w:asciiTheme="minorHAnsi" w:hAnsiTheme="minorHAnsi"/>
          <w:sz w:val="20"/>
          <w:szCs w:val="20"/>
        </w:rPr>
        <w:t>Zielony Bytom – Nowy start (9),</w:t>
      </w:r>
    </w:p>
    <w:p w:rsidR="00160480" w:rsidRPr="00160480" w:rsidRDefault="00160480" w:rsidP="00160480">
      <w:pPr>
        <w:pStyle w:val="Default"/>
        <w:numPr>
          <w:ilvl w:val="0"/>
          <w:numId w:val="687"/>
        </w:numPr>
        <w:jc w:val="both"/>
        <w:rPr>
          <w:rFonts w:asciiTheme="minorHAnsi" w:hAnsiTheme="minorHAnsi"/>
          <w:color w:val="auto"/>
          <w:sz w:val="20"/>
          <w:szCs w:val="20"/>
        </w:rPr>
      </w:pPr>
      <w:r w:rsidRPr="00160480">
        <w:rPr>
          <w:rFonts w:asciiTheme="minorHAnsi" w:hAnsiTheme="minorHAnsi"/>
          <w:color w:val="auto"/>
          <w:sz w:val="20"/>
          <w:szCs w:val="20"/>
        </w:rPr>
        <w:t xml:space="preserve">Szansa na własną firmę (11), </w:t>
      </w:r>
    </w:p>
    <w:p w:rsidR="00160480" w:rsidRPr="00160480" w:rsidRDefault="00160480" w:rsidP="00160480">
      <w:pPr>
        <w:pStyle w:val="Default"/>
        <w:numPr>
          <w:ilvl w:val="0"/>
          <w:numId w:val="687"/>
        </w:numPr>
        <w:jc w:val="both"/>
        <w:rPr>
          <w:rFonts w:asciiTheme="minorHAnsi" w:hAnsiTheme="minorHAnsi"/>
          <w:color w:val="auto"/>
          <w:sz w:val="20"/>
          <w:szCs w:val="20"/>
        </w:rPr>
      </w:pPr>
      <w:r w:rsidRPr="00160480">
        <w:rPr>
          <w:rFonts w:asciiTheme="minorHAnsi" w:hAnsiTheme="minorHAnsi"/>
          <w:color w:val="auto"/>
          <w:sz w:val="20"/>
          <w:szCs w:val="20"/>
        </w:rPr>
        <w:t xml:space="preserve">Firma dla seniora (12), </w:t>
      </w:r>
    </w:p>
    <w:p w:rsidR="00160480" w:rsidRPr="00160480" w:rsidRDefault="00160480" w:rsidP="00160480">
      <w:pPr>
        <w:pStyle w:val="Akapitzlist"/>
        <w:numPr>
          <w:ilvl w:val="0"/>
          <w:numId w:val="687"/>
        </w:numPr>
        <w:spacing w:after="0" w:line="259" w:lineRule="auto"/>
        <w:contextualSpacing/>
        <w:jc w:val="both"/>
        <w:rPr>
          <w:rFonts w:asciiTheme="minorHAnsi" w:hAnsiTheme="minorHAnsi" w:cs="Calibri"/>
          <w:sz w:val="20"/>
          <w:szCs w:val="20"/>
        </w:rPr>
      </w:pPr>
      <w:r w:rsidRPr="00160480">
        <w:rPr>
          <w:rFonts w:asciiTheme="minorHAnsi" w:hAnsiTheme="minorHAnsi"/>
          <w:sz w:val="20"/>
          <w:szCs w:val="20"/>
        </w:rPr>
        <w:t>Aktywizacja bytomskiej przedsiębiorczości (13),</w:t>
      </w:r>
    </w:p>
    <w:p w:rsidR="00160480" w:rsidRPr="00160480" w:rsidRDefault="00160480" w:rsidP="00160480">
      <w:pPr>
        <w:pStyle w:val="Akapitzlist"/>
        <w:numPr>
          <w:ilvl w:val="0"/>
          <w:numId w:val="687"/>
        </w:numPr>
        <w:spacing w:after="0" w:line="259" w:lineRule="auto"/>
        <w:contextualSpacing/>
        <w:jc w:val="both"/>
        <w:rPr>
          <w:rFonts w:asciiTheme="minorHAnsi" w:hAnsiTheme="minorHAnsi" w:cs="Calibri"/>
          <w:sz w:val="20"/>
          <w:szCs w:val="20"/>
        </w:rPr>
      </w:pPr>
      <w:r w:rsidRPr="00160480">
        <w:rPr>
          <w:rFonts w:asciiTheme="minorHAnsi" w:hAnsiTheme="minorHAnsi"/>
          <w:sz w:val="20"/>
          <w:szCs w:val="20"/>
        </w:rPr>
        <w:t>Nowe horyzonty zawodowe (17),</w:t>
      </w:r>
    </w:p>
    <w:p w:rsidR="00160480" w:rsidRPr="00160480" w:rsidRDefault="00160480" w:rsidP="00160480">
      <w:pPr>
        <w:pStyle w:val="Default"/>
        <w:numPr>
          <w:ilvl w:val="0"/>
          <w:numId w:val="687"/>
        </w:numPr>
        <w:jc w:val="both"/>
        <w:rPr>
          <w:rFonts w:asciiTheme="minorHAnsi" w:hAnsiTheme="minorHAnsi"/>
          <w:color w:val="auto"/>
          <w:sz w:val="20"/>
          <w:szCs w:val="20"/>
        </w:rPr>
      </w:pPr>
      <w:r w:rsidRPr="00160480">
        <w:rPr>
          <w:rFonts w:asciiTheme="minorHAnsi" w:hAnsiTheme="minorHAnsi"/>
          <w:color w:val="auto"/>
          <w:sz w:val="20"/>
          <w:szCs w:val="20"/>
        </w:rPr>
        <w:t>Usługi rozwojowe dla bytomskich przedsiębiorstw (23),</w:t>
      </w:r>
    </w:p>
    <w:p w:rsidR="00160480" w:rsidRPr="00160480" w:rsidRDefault="00160480" w:rsidP="00160480">
      <w:pPr>
        <w:pStyle w:val="Default"/>
        <w:numPr>
          <w:ilvl w:val="0"/>
          <w:numId w:val="687"/>
        </w:numPr>
        <w:jc w:val="both"/>
        <w:rPr>
          <w:rFonts w:asciiTheme="minorHAnsi" w:hAnsiTheme="minorHAnsi"/>
          <w:color w:val="auto"/>
          <w:sz w:val="20"/>
          <w:szCs w:val="20"/>
        </w:rPr>
      </w:pPr>
      <w:r w:rsidRPr="00160480">
        <w:rPr>
          <w:rFonts w:asciiTheme="minorHAnsi" w:hAnsiTheme="minorHAnsi"/>
          <w:color w:val="auto"/>
          <w:sz w:val="20"/>
          <w:szCs w:val="20"/>
        </w:rPr>
        <w:t xml:space="preserve">Program aktywnej integracji osób i grup zagrożonych wykluczeniem społecznym (24), </w:t>
      </w:r>
    </w:p>
    <w:p w:rsidR="00160480" w:rsidRPr="00160480" w:rsidRDefault="00160480" w:rsidP="00160480">
      <w:pPr>
        <w:pStyle w:val="Default"/>
        <w:numPr>
          <w:ilvl w:val="0"/>
          <w:numId w:val="687"/>
        </w:numPr>
        <w:jc w:val="both"/>
        <w:rPr>
          <w:rFonts w:asciiTheme="minorHAnsi" w:hAnsiTheme="minorHAnsi"/>
          <w:color w:val="auto"/>
          <w:sz w:val="20"/>
          <w:szCs w:val="20"/>
        </w:rPr>
      </w:pPr>
      <w:r w:rsidRPr="00160480">
        <w:rPr>
          <w:rFonts w:asciiTheme="minorHAnsi" w:hAnsiTheme="minorHAnsi"/>
          <w:color w:val="auto"/>
          <w:sz w:val="20"/>
          <w:szCs w:val="20"/>
        </w:rPr>
        <w:t xml:space="preserve">Bytomscy Transformersi–Strażnicy kapitału społecznego I (30), </w:t>
      </w:r>
    </w:p>
    <w:p w:rsidR="00160480" w:rsidRPr="00160480" w:rsidRDefault="00160480" w:rsidP="00160480">
      <w:pPr>
        <w:pStyle w:val="Default"/>
        <w:numPr>
          <w:ilvl w:val="0"/>
          <w:numId w:val="687"/>
        </w:numPr>
        <w:jc w:val="both"/>
        <w:rPr>
          <w:rFonts w:asciiTheme="minorHAnsi" w:hAnsiTheme="minorHAnsi"/>
          <w:color w:val="auto"/>
          <w:sz w:val="20"/>
          <w:szCs w:val="20"/>
        </w:rPr>
      </w:pPr>
      <w:r w:rsidRPr="00160480">
        <w:rPr>
          <w:rFonts w:asciiTheme="minorHAnsi" w:hAnsiTheme="minorHAnsi"/>
          <w:color w:val="auto"/>
          <w:sz w:val="20"/>
          <w:szCs w:val="20"/>
        </w:rPr>
        <w:t xml:space="preserve">Bytomscy Transformersi–Strażnicy kapitału społecznego II (31), </w:t>
      </w:r>
    </w:p>
    <w:p w:rsidR="00160480" w:rsidRPr="00160480" w:rsidRDefault="00160480" w:rsidP="00160480">
      <w:pPr>
        <w:pStyle w:val="Default"/>
        <w:numPr>
          <w:ilvl w:val="0"/>
          <w:numId w:val="687"/>
        </w:numPr>
        <w:jc w:val="both"/>
        <w:rPr>
          <w:rFonts w:asciiTheme="minorHAnsi" w:hAnsiTheme="minorHAnsi"/>
          <w:color w:val="auto"/>
          <w:sz w:val="20"/>
          <w:szCs w:val="20"/>
        </w:rPr>
      </w:pPr>
      <w:r w:rsidRPr="00160480">
        <w:rPr>
          <w:rFonts w:asciiTheme="minorHAnsi" w:hAnsiTheme="minorHAnsi"/>
          <w:color w:val="auto"/>
          <w:sz w:val="20"/>
          <w:szCs w:val="20"/>
        </w:rPr>
        <w:t xml:space="preserve">Bytomscy Transformersi–Strażnicy kapitału społecznego III (32), </w:t>
      </w:r>
    </w:p>
    <w:p w:rsidR="00160480" w:rsidRPr="00160480" w:rsidRDefault="00160480" w:rsidP="00160480">
      <w:pPr>
        <w:pStyle w:val="Default"/>
        <w:numPr>
          <w:ilvl w:val="0"/>
          <w:numId w:val="687"/>
        </w:numPr>
        <w:jc w:val="both"/>
        <w:rPr>
          <w:rFonts w:asciiTheme="minorHAnsi" w:hAnsiTheme="minorHAnsi"/>
          <w:color w:val="auto"/>
          <w:sz w:val="20"/>
          <w:szCs w:val="20"/>
        </w:rPr>
      </w:pPr>
      <w:r w:rsidRPr="00160480">
        <w:rPr>
          <w:rFonts w:asciiTheme="minorHAnsi" w:hAnsiTheme="minorHAnsi"/>
          <w:color w:val="auto"/>
          <w:sz w:val="20"/>
          <w:szCs w:val="20"/>
        </w:rPr>
        <w:t xml:space="preserve">Bytomscy Transformersi–Strażnicy kapitału społecznego IV (33), </w:t>
      </w:r>
    </w:p>
    <w:p w:rsidR="00160480" w:rsidRPr="00160480" w:rsidRDefault="00160480" w:rsidP="00160480">
      <w:pPr>
        <w:pStyle w:val="Akapitzlist"/>
        <w:numPr>
          <w:ilvl w:val="0"/>
          <w:numId w:val="687"/>
        </w:numPr>
        <w:spacing w:after="0" w:line="259" w:lineRule="auto"/>
        <w:contextualSpacing/>
        <w:jc w:val="both"/>
        <w:rPr>
          <w:rFonts w:asciiTheme="minorHAnsi" w:hAnsiTheme="minorHAnsi" w:cs="Calibri"/>
          <w:sz w:val="20"/>
          <w:szCs w:val="20"/>
        </w:rPr>
      </w:pPr>
      <w:r w:rsidRPr="00160480">
        <w:rPr>
          <w:rFonts w:asciiTheme="minorHAnsi" w:hAnsiTheme="minorHAnsi" w:cs="Calibri"/>
          <w:sz w:val="20"/>
          <w:szCs w:val="20"/>
        </w:rPr>
        <w:t xml:space="preserve">Bytomski Ośrodek Aktywności (40), </w:t>
      </w:r>
    </w:p>
    <w:p w:rsidR="00160480" w:rsidRPr="00160480" w:rsidRDefault="00160480" w:rsidP="00160480">
      <w:pPr>
        <w:pStyle w:val="Default"/>
        <w:numPr>
          <w:ilvl w:val="0"/>
          <w:numId w:val="687"/>
        </w:numPr>
        <w:jc w:val="both"/>
        <w:rPr>
          <w:rFonts w:asciiTheme="minorHAnsi" w:hAnsiTheme="minorHAnsi"/>
          <w:color w:val="auto"/>
          <w:sz w:val="20"/>
          <w:szCs w:val="20"/>
        </w:rPr>
      </w:pPr>
      <w:r w:rsidRPr="00160480">
        <w:rPr>
          <w:rFonts w:asciiTheme="minorHAnsi" w:hAnsiTheme="minorHAnsi"/>
          <w:color w:val="auto"/>
          <w:sz w:val="20"/>
          <w:szCs w:val="20"/>
        </w:rPr>
        <w:t>Centrum Integracji Aktywnej na start (48),</w:t>
      </w:r>
    </w:p>
    <w:p w:rsidR="00160480" w:rsidRPr="00160480" w:rsidRDefault="00160480" w:rsidP="00160480">
      <w:pPr>
        <w:pStyle w:val="Akapitzlist"/>
        <w:numPr>
          <w:ilvl w:val="0"/>
          <w:numId w:val="687"/>
        </w:numPr>
        <w:spacing w:after="0" w:line="259" w:lineRule="auto"/>
        <w:contextualSpacing/>
        <w:jc w:val="both"/>
        <w:rPr>
          <w:rFonts w:asciiTheme="minorHAnsi" w:hAnsiTheme="minorHAnsi" w:cs="Calibri"/>
          <w:sz w:val="20"/>
          <w:szCs w:val="20"/>
        </w:rPr>
      </w:pPr>
      <w:r w:rsidRPr="00160480">
        <w:rPr>
          <w:rFonts w:asciiTheme="minorHAnsi" w:hAnsiTheme="minorHAnsi"/>
          <w:sz w:val="20"/>
          <w:szCs w:val="20"/>
        </w:rPr>
        <w:t>Opiekun Nieformalny - sposób na życie (52),</w:t>
      </w:r>
    </w:p>
    <w:p w:rsidR="00160480" w:rsidRPr="00160480" w:rsidRDefault="00160480" w:rsidP="00160480">
      <w:pPr>
        <w:pStyle w:val="Akapitzlist"/>
        <w:numPr>
          <w:ilvl w:val="0"/>
          <w:numId w:val="687"/>
        </w:numPr>
        <w:spacing w:after="0" w:line="259" w:lineRule="auto"/>
        <w:contextualSpacing/>
        <w:jc w:val="both"/>
        <w:rPr>
          <w:rFonts w:asciiTheme="minorHAnsi" w:hAnsiTheme="minorHAnsi" w:cs="Calibri"/>
          <w:sz w:val="20"/>
          <w:szCs w:val="20"/>
        </w:rPr>
      </w:pPr>
      <w:r w:rsidRPr="00160480">
        <w:rPr>
          <w:rFonts w:asciiTheme="minorHAnsi" w:hAnsiTheme="minorHAnsi"/>
          <w:sz w:val="20"/>
          <w:szCs w:val="20"/>
        </w:rPr>
        <w:t>Opiekuńczy Bytom – utworzenie i funkcjonowanie Bytomskiego Centrum Wsparcia Opiekunów Nieformalnych (65),</w:t>
      </w:r>
    </w:p>
    <w:p w:rsidR="00160480" w:rsidRPr="00160480" w:rsidRDefault="00160480" w:rsidP="00160480">
      <w:pPr>
        <w:pStyle w:val="Akapitzlist"/>
        <w:numPr>
          <w:ilvl w:val="0"/>
          <w:numId w:val="687"/>
        </w:numPr>
        <w:spacing w:after="0" w:line="259" w:lineRule="auto"/>
        <w:contextualSpacing/>
        <w:jc w:val="both"/>
        <w:rPr>
          <w:rFonts w:asciiTheme="minorHAnsi" w:hAnsiTheme="minorHAnsi" w:cs="Calibri"/>
          <w:sz w:val="20"/>
          <w:szCs w:val="20"/>
        </w:rPr>
      </w:pPr>
      <w:r w:rsidRPr="00160480">
        <w:rPr>
          <w:rFonts w:asciiTheme="minorHAnsi" w:hAnsiTheme="minorHAnsi"/>
          <w:sz w:val="20"/>
          <w:szCs w:val="20"/>
        </w:rPr>
        <w:t>Umiem się uczyć (75),</w:t>
      </w:r>
    </w:p>
    <w:p w:rsidR="00160480" w:rsidRPr="00160480" w:rsidRDefault="00160480" w:rsidP="00160480">
      <w:pPr>
        <w:pStyle w:val="Default"/>
        <w:numPr>
          <w:ilvl w:val="0"/>
          <w:numId w:val="687"/>
        </w:numPr>
        <w:jc w:val="both"/>
        <w:rPr>
          <w:rFonts w:asciiTheme="minorHAnsi" w:hAnsiTheme="minorHAnsi"/>
          <w:color w:val="auto"/>
          <w:sz w:val="20"/>
          <w:szCs w:val="20"/>
        </w:rPr>
      </w:pPr>
      <w:r w:rsidRPr="00160480">
        <w:rPr>
          <w:rFonts w:asciiTheme="minorHAnsi" w:hAnsiTheme="minorHAnsi"/>
          <w:color w:val="auto"/>
          <w:sz w:val="20"/>
          <w:szCs w:val="20"/>
        </w:rPr>
        <w:t>Aktywizacja osób młodych pozostających bez pracy w Bytomiu (II) (80),</w:t>
      </w:r>
    </w:p>
    <w:p w:rsidR="00160480" w:rsidRPr="00160480" w:rsidRDefault="00160480" w:rsidP="00160480">
      <w:pPr>
        <w:pStyle w:val="Akapitzlist"/>
        <w:numPr>
          <w:ilvl w:val="0"/>
          <w:numId w:val="687"/>
        </w:numPr>
        <w:spacing w:after="0" w:line="259" w:lineRule="auto"/>
        <w:contextualSpacing/>
        <w:jc w:val="both"/>
        <w:rPr>
          <w:rFonts w:asciiTheme="minorHAnsi" w:hAnsiTheme="minorHAnsi" w:cs="Calibri"/>
          <w:sz w:val="20"/>
          <w:szCs w:val="20"/>
        </w:rPr>
      </w:pPr>
      <w:r w:rsidRPr="00160480">
        <w:rPr>
          <w:rFonts w:asciiTheme="minorHAnsi" w:hAnsiTheme="minorHAnsi"/>
          <w:sz w:val="20"/>
          <w:szCs w:val="20"/>
        </w:rPr>
        <w:t>Masz firmę masz lokal - Program Akty</w:t>
      </w:r>
      <w:r w:rsidR="00626FC8">
        <w:rPr>
          <w:rFonts w:asciiTheme="minorHAnsi" w:hAnsiTheme="minorHAnsi"/>
          <w:sz w:val="20"/>
          <w:szCs w:val="20"/>
        </w:rPr>
        <w:t>wizacji Lokali Użytkowych (116).</w:t>
      </w:r>
    </w:p>
    <w:p w:rsidR="00160480" w:rsidRPr="00160480" w:rsidRDefault="00160480" w:rsidP="00160480">
      <w:pPr>
        <w:jc w:val="both"/>
        <w:rPr>
          <w:rFonts w:cs="Calibri"/>
          <w:szCs w:val="20"/>
        </w:rPr>
      </w:pPr>
    </w:p>
    <w:p w:rsidR="00160480" w:rsidRPr="00160480" w:rsidRDefault="00160480" w:rsidP="00160480">
      <w:pPr>
        <w:pStyle w:val="Default"/>
        <w:jc w:val="both"/>
        <w:rPr>
          <w:rFonts w:asciiTheme="minorHAnsi" w:hAnsiTheme="minorHAnsi"/>
          <w:b/>
          <w:bCs/>
          <w:color w:val="auto"/>
          <w:sz w:val="20"/>
          <w:szCs w:val="20"/>
        </w:rPr>
      </w:pPr>
      <w:r w:rsidRPr="00160480">
        <w:rPr>
          <w:rFonts w:asciiTheme="minorHAnsi" w:hAnsiTheme="minorHAnsi"/>
          <w:b/>
          <w:bCs/>
          <w:color w:val="auto"/>
          <w:sz w:val="20"/>
          <w:szCs w:val="20"/>
        </w:rPr>
        <w:t>Cel Operacyjny 2.1 Ograniczona skala negatywnych zjawisk społecznych oraz wzrost dostępności do prorozwojowych usług publicznych – projekty:</w:t>
      </w:r>
    </w:p>
    <w:p w:rsidR="00160480" w:rsidRPr="00160480" w:rsidRDefault="00160480" w:rsidP="00160480">
      <w:pPr>
        <w:pStyle w:val="Akapitzlist"/>
        <w:numPr>
          <w:ilvl w:val="0"/>
          <w:numId w:val="688"/>
        </w:numPr>
        <w:spacing w:after="0" w:line="259" w:lineRule="auto"/>
        <w:contextualSpacing/>
        <w:jc w:val="both"/>
        <w:rPr>
          <w:rFonts w:asciiTheme="minorHAnsi" w:hAnsiTheme="minorHAnsi" w:cs="Calibri"/>
          <w:sz w:val="20"/>
          <w:szCs w:val="20"/>
        </w:rPr>
      </w:pPr>
      <w:r w:rsidRPr="00160480">
        <w:rPr>
          <w:rFonts w:asciiTheme="minorHAnsi" w:hAnsiTheme="minorHAnsi"/>
          <w:sz w:val="20"/>
          <w:szCs w:val="20"/>
        </w:rPr>
        <w:t>Program aktywnej integracji osób i grup zagrożonych wykluczeniem społecznym (24),</w:t>
      </w:r>
    </w:p>
    <w:p w:rsidR="00160480" w:rsidRPr="00160480" w:rsidRDefault="00160480" w:rsidP="00160480">
      <w:pPr>
        <w:pStyle w:val="Default"/>
        <w:numPr>
          <w:ilvl w:val="0"/>
          <w:numId w:val="688"/>
        </w:numPr>
        <w:jc w:val="both"/>
        <w:rPr>
          <w:rFonts w:asciiTheme="minorHAnsi" w:hAnsiTheme="minorHAnsi"/>
          <w:color w:val="auto"/>
          <w:sz w:val="20"/>
          <w:szCs w:val="20"/>
        </w:rPr>
      </w:pPr>
      <w:r w:rsidRPr="00160480">
        <w:rPr>
          <w:rFonts w:asciiTheme="minorHAnsi" w:hAnsiTheme="minorHAnsi"/>
          <w:color w:val="auto"/>
          <w:sz w:val="20"/>
          <w:szCs w:val="20"/>
        </w:rPr>
        <w:t xml:space="preserve">Bytomscy Transformersi–Strażnicy kapitału społecznego I (30), </w:t>
      </w:r>
    </w:p>
    <w:p w:rsidR="00160480" w:rsidRPr="00160480" w:rsidRDefault="00160480" w:rsidP="00160480">
      <w:pPr>
        <w:pStyle w:val="Default"/>
        <w:numPr>
          <w:ilvl w:val="0"/>
          <w:numId w:val="688"/>
        </w:numPr>
        <w:jc w:val="both"/>
        <w:rPr>
          <w:rFonts w:asciiTheme="minorHAnsi" w:hAnsiTheme="minorHAnsi"/>
          <w:color w:val="auto"/>
          <w:sz w:val="20"/>
          <w:szCs w:val="20"/>
        </w:rPr>
      </w:pPr>
      <w:r w:rsidRPr="00160480">
        <w:rPr>
          <w:rFonts w:asciiTheme="minorHAnsi" w:hAnsiTheme="minorHAnsi"/>
          <w:color w:val="auto"/>
          <w:sz w:val="20"/>
          <w:szCs w:val="20"/>
        </w:rPr>
        <w:t xml:space="preserve">Bytomscy Transformersi–Strażnicy kapitału społecznego II (31), </w:t>
      </w:r>
    </w:p>
    <w:p w:rsidR="00160480" w:rsidRPr="00160480" w:rsidRDefault="00160480" w:rsidP="00160480">
      <w:pPr>
        <w:pStyle w:val="Default"/>
        <w:numPr>
          <w:ilvl w:val="0"/>
          <w:numId w:val="688"/>
        </w:numPr>
        <w:jc w:val="both"/>
        <w:rPr>
          <w:rFonts w:asciiTheme="minorHAnsi" w:hAnsiTheme="minorHAnsi"/>
          <w:color w:val="auto"/>
          <w:sz w:val="20"/>
          <w:szCs w:val="20"/>
        </w:rPr>
      </w:pPr>
      <w:r w:rsidRPr="00160480">
        <w:rPr>
          <w:rFonts w:asciiTheme="minorHAnsi" w:hAnsiTheme="minorHAnsi"/>
          <w:color w:val="auto"/>
          <w:sz w:val="20"/>
          <w:szCs w:val="20"/>
        </w:rPr>
        <w:t xml:space="preserve">Bytomscy Transformersi–Strażnicy kapitału społecznego III (32), </w:t>
      </w:r>
    </w:p>
    <w:p w:rsidR="00160480" w:rsidRPr="00160480" w:rsidRDefault="00160480" w:rsidP="00160480">
      <w:pPr>
        <w:pStyle w:val="Default"/>
        <w:numPr>
          <w:ilvl w:val="0"/>
          <w:numId w:val="688"/>
        </w:numPr>
        <w:jc w:val="both"/>
        <w:rPr>
          <w:rFonts w:asciiTheme="minorHAnsi" w:hAnsiTheme="minorHAnsi"/>
          <w:color w:val="auto"/>
          <w:sz w:val="20"/>
          <w:szCs w:val="20"/>
        </w:rPr>
      </w:pPr>
      <w:r w:rsidRPr="00160480">
        <w:rPr>
          <w:rFonts w:asciiTheme="minorHAnsi" w:hAnsiTheme="minorHAnsi"/>
          <w:color w:val="auto"/>
          <w:sz w:val="20"/>
          <w:szCs w:val="20"/>
        </w:rPr>
        <w:t xml:space="preserve">Bytomscy Transformersi–Strażnicy kapitału społecznego IV (33), </w:t>
      </w:r>
    </w:p>
    <w:p w:rsidR="00160480" w:rsidRPr="00160480" w:rsidRDefault="00160480" w:rsidP="00160480">
      <w:pPr>
        <w:pStyle w:val="Akapitzlist"/>
        <w:numPr>
          <w:ilvl w:val="0"/>
          <w:numId w:val="688"/>
        </w:numPr>
        <w:spacing w:after="0" w:line="259" w:lineRule="auto"/>
        <w:contextualSpacing/>
        <w:jc w:val="both"/>
        <w:rPr>
          <w:rFonts w:asciiTheme="minorHAnsi" w:hAnsiTheme="minorHAnsi" w:cs="Calibri"/>
          <w:sz w:val="20"/>
          <w:szCs w:val="20"/>
        </w:rPr>
      </w:pPr>
      <w:r w:rsidRPr="00160480">
        <w:rPr>
          <w:rFonts w:asciiTheme="minorHAnsi" w:hAnsiTheme="minorHAnsi"/>
          <w:sz w:val="20"/>
          <w:szCs w:val="20"/>
        </w:rPr>
        <w:t>Program Aktywności Lokalnej Kolonia Zgorzelec (38),</w:t>
      </w:r>
    </w:p>
    <w:p w:rsidR="00160480" w:rsidRPr="00160480" w:rsidRDefault="00160480" w:rsidP="00160480">
      <w:pPr>
        <w:pStyle w:val="Akapitzlist"/>
        <w:numPr>
          <w:ilvl w:val="0"/>
          <w:numId w:val="688"/>
        </w:numPr>
        <w:spacing w:after="0" w:line="259" w:lineRule="auto"/>
        <w:contextualSpacing/>
        <w:jc w:val="both"/>
        <w:rPr>
          <w:rFonts w:asciiTheme="minorHAnsi" w:hAnsiTheme="minorHAnsi" w:cs="Calibri"/>
          <w:sz w:val="20"/>
          <w:szCs w:val="20"/>
        </w:rPr>
      </w:pPr>
      <w:r w:rsidRPr="00160480">
        <w:rPr>
          <w:rFonts w:asciiTheme="minorHAnsi" w:hAnsiTheme="minorHAnsi" w:cs="Calibri"/>
          <w:sz w:val="20"/>
          <w:szCs w:val="20"/>
        </w:rPr>
        <w:t xml:space="preserve">Bytomski Ośrodek Aktywności (40), </w:t>
      </w:r>
    </w:p>
    <w:p w:rsidR="00160480" w:rsidRPr="00160480" w:rsidRDefault="00160480" w:rsidP="00160480">
      <w:pPr>
        <w:pStyle w:val="Akapitzlist"/>
        <w:numPr>
          <w:ilvl w:val="0"/>
          <w:numId w:val="688"/>
        </w:numPr>
        <w:spacing w:after="0" w:line="259" w:lineRule="auto"/>
        <w:contextualSpacing/>
        <w:jc w:val="both"/>
        <w:rPr>
          <w:rFonts w:asciiTheme="minorHAnsi" w:hAnsiTheme="minorHAnsi" w:cs="Calibri"/>
          <w:sz w:val="20"/>
          <w:szCs w:val="20"/>
        </w:rPr>
      </w:pPr>
      <w:r w:rsidRPr="00160480">
        <w:rPr>
          <w:rFonts w:asciiTheme="minorHAnsi" w:hAnsiTheme="minorHAnsi"/>
          <w:sz w:val="20"/>
          <w:szCs w:val="20"/>
        </w:rPr>
        <w:t>Opiekun Nieformalny - sposób na życie (52),</w:t>
      </w:r>
    </w:p>
    <w:p w:rsidR="00160480" w:rsidRPr="00160480" w:rsidRDefault="00160480" w:rsidP="00160480">
      <w:pPr>
        <w:pStyle w:val="Default"/>
        <w:numPr>
          <w:ilvl w:val="0"/>
          <w:numId w:val="688"/>
        </w:numPr>
        <w:jc w:val="both"/>
        <w:rPr>
          <w:rFonts w:asciiTheme="minorHAnsi" w:hAnsiTheme="minorHAnsi"/>
          <w:color w:val="auto"/>
          <w:sz w:val="20"/>
          <w:szCs w:val="20"/>
        </w:rPr>
      </w:pPr>
      <w:r w:rsidRPr="00160480">
        <w:rPr>
          <w:rFonts w:asciiTheme="minorHAnsi" w:hAnsiTheme="minorHAnsi"/>
          <w:color w:val="auto"/>
          <w:sz w:val="20"/>
          <w:szCs w:val="20"/>
        </w:rPr>
        <w:t xml:space="preserve">Usługi społeczne w mieszkaniach wspomaganych edycja I (55), </w:t>
      </w:r>
    </w:p>
    <w:p w:rsidR="00160480" w:rsidRPr="00160480" w:rsidRDefault="00160480" w:rsidP="00160480">
      <w:pPr>
        <w:pStyle w:val="Default"/>
        <w:numPr>
          <w:ilvl w:val="0"/>
          <w:numId w:val="688"/>
        </w:numPr>
        <w:jc w:val="both"/>
        <w:rPr>
          <w:rFonts w:asciiTheme="minorHAnsi" w:hAnsiTheme="minorHAnsi"/>
          <w:color w:val="auto"/>
          <w:sz w:val="20"/>
          <w:szCs w:val="20"/>
        </w:rPr>
      </w:pPr>
      <w:r w:rsidRPr="00160480">
        <w:rPr>
          <w:rFonts w:asciiTheme="minorHAnsi" w:hAnsiTheme="minorHAnsi"/>
          <w:color w:val="auto"/>
          <w:sz w:val="20"/>
          <w:szCs w:val="20"/>
        </w:rPr>
        <w:t xml:space="preserve">Usługi społeczne w mieszkaniach wspomaganych edycja II (56),  </w:t>
      </w:r>
    </w:p>
    <w:p w:rsidR="00160480" w:rsidRPr="00160480" w:rsidRDefault="00160480" w:rsidP="00160480">
      <w:pPr>
        <w:pStyle w:val="Default"/>
        <w:numPr>
          <w:ilvl w:val="0"/>
          <w:numId w:val="688"/>
        </w:numPr>
        <w:jc w:val="both"/>
        <w:rPr>
          <w:rFonts w:asciiTheme="minorHAnsi" w:hAnsiTheme="minorHAnsi"/>
          <w:color w:val="auto"/>
          <w:sz w:val="20"/>
          <w:szCs w:val="20"/>
        </w:rPr>
      </w:pPr>
      <w:r w:rsidRPr="00160480">
        <w:rPr>
          <w:rFonts w:asciiTheme="minorHAnsi" w:hAnsiTheme="minorHAnsi"/>
          <w:color w:val="auto"/>
          <w:sz w:val="20"/>
          <w:szCs w:val="20"/>
        </w:rPr>
        <w:t>Kompleksowe, alternatywne i aktywizacyjne usługi terapeutyczne dla osób przewlekle psychicznie chorych - mieszkańców miasta Bytom, w tym mieszkańców DPS dla Dorosłych (57),</w:t>
      </w:r>
    </w:p>
    <w:p w:rsidR="00160480" w:rsidRPr="00160480" w:rsidRDefault="00160480" w:rsidP="00160480">
      <w:pPr>
        <w:pStyle w:val="Akapitzlist"/>
        <w:numPr>
          <w:ilvl w:val="0"/>
          <w:numId w:val="688"/>
        </w:numPr>
        <w:spacing w:after="0" w:line="259" w:lineRule="auto"/>
        <w:contextualSpacing/>
        <w:jc w:val="both"/>
        <w:rPr>
          <w:rFonts w:asciiTheme="minorHAnsi" w:hAnsiTheme="minorHAnsi" w:cs="Calibri"/>
          <w:sz w:val="20"/>
          <w:szCs w:val="20"/>
        </w:rPr>
      </w:pPr>
      <w:r w:rsidRPr="00160480">
        <w:rPr>
          <w:rFonts w:asciiTheme="minorHAnsi" w:hAnsiTheme="minorHAnsi"/>
          <w:sz w:val="20"/>
          <w:szCs w:val="20"/>
        </w:rPr>
        <w:t>Bytomskie Centrum Aktywności Społecznej – działalność społeczna bytomskich harcerzy (58),</w:t>
      </w:r>
    </w:p>
    <w:p w:rsidR="00160480" w:rsidRPr="00160480" w:rsidRDefault="00160480" w:rsidP="00160480">
      <w:pPr>
        <w:pStyle w:val="Akapitzlist"/>
        <w:numPr>
          <w:ilvl w:val="0"/>
          <w:numId w:val="688"/>
        </w:numPr>
        <w:spacing w:after="0" w:line="259" w:lineRule="auto"/>
        <w:contextualSpacing/>
        <w:jc w:val="both"/>
        <w:rPr>
          <w:rFonts w:asciiTheme="minorHAnsi" w:hAnsiTheme="minorHAnsi" w:cs="Calibri"/>
          <w:sz w:val="20"/>
          <w:szCs w:val="20"/>
        </w:rPr>
      </w:pPr>
      <w:r w:rsidRPr="00160480">
        <w:rPr>
          <w:rFonts w:asciiTheme="minorHAnsi" w:hAnsiTheme="minorHAnsi"/>
          <w:sz w:val="20"/>
          <w:szCs w:val="20"/>
        </w:rPr>
        <w:t>Opiekuńczy Bytom – utworzenie i funkcjonowanie Bytomskiego Centrum Wsparcia Opiekunów Nieformalnych (65),</w:t>
      </w:r>
    </w:p>
    <w:p w:rsidR="00160480" w:rsidRPr="00160480" w:rsidRDefault="00160480" w:rsidP="00160480">
      <w:pPr>
        <w:pStyle w:val="Akapitzlist"/>
        <w:numPr>
          <w:ilvl w:val="0"/>
          <w:numId w:val="688"/>
        </w:numPr>
        <w:spacing w:after="0" w:line="259" w:lineRule="auto"/>
        <w:contextualSpacing/>
        <w:jc w:val="both"/>
        <w:rPr>
          <w:rFonts w:asciiTheme="minorHAnsi" w:hAnsiTheme="minorHAnsi" w:cs="Calibri"/>
          <w:sz w:val="20"/>
          <w:szCs w:val="20"/>
        </w:rPr>
      </w:pPr>
      <w:r w:rsidRPr="00160480">
        <w:rPr>
          <w:rFonts w:asciiTheme="minorHAnsi" w:hAnsiTheme="minorHAnsi"/>
          <w:sz w:val="20"/>
          <w:szCs w:val="20"/>
        </w:rPr>
        <w:t>Bezpieczny senior (66),</w:t>
      </w:r>
    </w:p>
    <w:p w:rsidR="00160480" w:rsidRPr="00160480" w:rsidRDefault="00160480" w:rsidP="00160480">
      <w:pPr>
        <w:pStyle w:val="Akapitzlist"/>
        <w:numPr>
          <w:ilvl w:val="0"/>
          <w:numId w:val="688"/>
        </w:numPr>
        <w:spacing w:after="0" w:line="259" w:lineRule="auto"/>
        <w:contextualSpacing/>
        <w:jc w:val="both"/>
        <w:rPr>
          <w:rFonts w:asciiTheme="minorHAnsi" w:hAnsiTheme="minorHAnsi" w:cs="Calibri"/>
          <w:sz w:val="20"/>
          <w:szCs w:val="20"/>
        </w:rPr>
      </w:pPr>
      <w:r w:rsidRPr="00160480">
        <w:rPr>
          <w:rFonts w:asciiTheme="minorHAnsi" w:hAnsiTheme="minorHAnsi"/>
          <w:sz w:val="20"/>
          <w:szCs w:val="20"/>
        </w:rPr>
        <w:t xml:space="preserve">Opiekunowie są wśród nas (67),  </w:t>
      </w:r>
    </w:p>
    <w:p w:rsidR="00160480" w:rsidRPr="00160480" w:rsidRDefault="00160480" w:rsidP="00160480">
      <w:pPr>
        <w:pStyle w:val="Akapitzlist"/>
        <w:numPr>
          <w:ilvl w:val="0"/>
          <w:numId w:val="688"/>
        </w:numPr>
        <w:spacing w:after="0" w:line="259" w:lineRule="auto"/>
        <w:contextualSpacing/>
        <w:jc w:val="both"/>
        <w:rPr>
          <w:rFonts w:asciiTheme="minorHAnsi" w:hAnsiTheme="minorHAnsi" w:cs="Calibri"/>
          <w:sz w:val="20"/>
          <w:szCs w:val="20"/>
        </w:rPr>
      </w:pPr>
      <w:r w:rsidRPr="00160480">
        <w:rPr>
          <w:rFonts w:asciiTheme="minorHAnsi" w:hAnsiTheme="minorHAnsi"/>
          <w:sz w:val="20"/>
          <w:szCs w:val="20"/>
        </w:rPr>
        <w:t>Umiem się uczyć (75),</w:t>
      </w:r>
    </w:p>
    <w:p w:rsidR="00160480" w:rsidRPr="00160480" w:rsidRDefault="00160480" w:rsidP="00160480">
      <w:pPr>
        <w:pStyle w:val="Default"/>
        <w:numPr>
          <w:ilvl w:val="0"/>
          <w:numId w:val="688"/>
        </w:numPr>
        <w:jc w:val="both"/>
        <w:rPr>
          <w:rFonts w:asciiTheme="minorHAnsi" w:hAnsiTheme="minorHAnsi"/>
          <w:color w:val="auto"/>
          <w:sz w:val="20"/>
          <w:szCs w:val="20"/>
        </w:rPr>
      </w:pPr>
      <w:r w:rsidRPr="00160480">
        <w:rPr>
          <w:rFonts w:asciiTheme="minorHAnsi" w:hAnsiTheme="minorHAnsi"/>
          <w:color w:val="auto"/>
          <w:sz w:val="20"/>
          <w:szCs w:val="20"/>
        </w:rPr>
        <w:t>Zostań programistą (76),</w:t>
      </w:r>
    </w:p>
    <w:p w:rsidR="00160480" w:rsidRPr="00160480" w:rsidRDefault="00160480" w:rsidP="00160480">
      <w:pPr>
        <w:pStyle w:val="Akapitzlist"/>
        <w:numPr>
          <w:ilvl w:val="0"/>
          <w:numId w:val="688"/>
        </w:numPr>
        <w:spacing w:after="0" w:line="259" w:lineRule="auto"/>
        <w:contextualSpacing/>
        <w:jc w:val="both"/>
        <w:rPr>
          <w:rFonts w:asciiTheme="minorHAnsi" w:hAnsiTheme="minorHAnsi" w:cs="Calibri"/>
          <w:sz w:val="20"/>
          <w:szCs w:val="20"/>
        </w:rPr>
      </w:pPr>
      <w:r w:rsidRPr="00160480">
        <w:rPr>
          <w:rFonts w:asciiTheme="minorHAnsi" w:hAnsiTheme="minorHAnsi"/>
          <w:sz w:val="20"/>
          <w:szCs w:val="20"/>
        </w:rPr>
        <w:t>Masz firmę masz lokal - Program Aktywizacji Lokali Użytkowych (116).</w:t>
      </w:r>
    </w:p>
    <w:p w:rsidR="00160480" w:rsidRPr="00160480" w:rsidRDefault="00160480" w:rsidP="00160480">
      <w:pPr>
        <w:jc w:val="both"/>
        <w:rPr>
          <w:rFonts w:cs="Calibri"/>
          <w:szCs w:val="20"/>
        </w:rPr>
      </w:pPr>
    </w:p>
    <w:p w:rsidR="00160480" w:rsidRPr="00160480" w:rsidRDefault="00160480" w:rsidP="00160480">
      <w:pPr>
        <w:pStyle w:val="Default"/>
        <w:jc w:val="both"/>
        <w:rPr>
          <w:rFonts w:asciiTheme="minorHAnsi" w:hAnsiTheme="minorHAnsi"/>
          <w:b/>
          <w:bCs/>
          <w:color w:val="auto"/>
          <w:sz w:val="20"/>
          <w:szCs w:val="20"/>
        </w:rPr>
      </w:pPr>
      <w:r w:rsidRPr="00160480">
        <w:rPr>
          <w:rFonts w:asciiTheme="minorHAnsi" w:hAnsiTheme="minorHAnsi"/>
          <w:b/>
          <w:bCs/>
          <w:color w:val="auto"/>
          <w:sz w:val="20"/>
          <w:szCs w:val="20"/>
        </w:rPr>
        <w:t>Cel Operacyjny 2.2 Społeczności lokalne zintegrowane wokół tradycji dzielnic oraz oddolnych inicjatyw realizowanych przez mieszkańców na rzecz wspólnoty lokalnej – projekty:</w:t>
      </w:r>
    </w:p>
    <w:p w:rsidR="00160480" w:rsidRPr="00160480" w:rsidRDefault="00160480" w:rsidP="00160480">
      <w:pPr>
        <w:pStyle w:val="Akapitzlist"/>
        <w:numPr>
          <w:ilvl w:val="0"/>
          <w:numId w:val="688"/>
        </w:numPr>
        <w:spacing w:after="0" w:line="259" w:lineRule="auto"/>
        <w:ind w:left="717"/>
        <w:contextualSpacing/>
        <w:jc w:val="both"/>
        <w:rPr>
          <w:rFonts w:asciiTheme="minorHAnsi" w:hAnsiTheme="minorHAnsi" w:cs="Calibri"/>
          <w:sz w:val="20"/>
          <w:szCs w:val="20"/>
        </w:rPr>
      </w:pPr>
      <w:r w:rsidRPr="00160480">
        <w:rPr>
          <w:rFonts w:asciiTheme="minorHAnsi" w:hAnsiTheme="minorHAnsi"/>
          <w:sz w:val="20"/>
          <w:szCs w:val="20"/>
        </w:rPr>
        <w:t>Program Aktywności Lokalnej Kolonia Zgorzelec (38),</w:t>
      </w:r>
    </w:p>
    <w:p w:rsidR="00160480" w:rsidRPr="00160480" w:rsidRDefault="00160480" w:rsidP="00160480">
      <w:pPr>
        <w:pStyle w:val="Akapitzlist"/>
        <w:numPr>
          <w:ilvl w:val="0"/>
          <w:numId w:val="687"/>
        </w:numPr>
        <w:spacing w:after="0" w:line="259" w:lineRule="auto"/>
        <w:ind w:left="714" w:hanging="357"/>
        <w:contextualSpacing/>
        <w:jc w:val="both"/>
        <w:rPr>
          <w:rFonts w:asciiTheme="minorHAnsi" w:hAnsiTheme="minorHAnsi" w:cs="Calibri"/>
          <w:sz w:val="20"/>
          <w:szCs w:val="20"/>
        </w:rPr>
      </w:pPr>
      <w:r w:rsidRPr="00160480">
        <w:rPr>
          <w:rFonts w:asciiTheme="minorHAnsi" w:hAnsiTheme="minorHAnsi" w:cs="Calibri"/>
          <w:sz w:val="20"/>
          <w:szCs w:val="20"/>
        </w:rPr>
        <w:t xml:space="preserve">Bytomski Ośrodek Aktywności (40), </w:t>
      </w:r>
    </w:p>
    <w:p w:rsidR="00160480" w:rsidRPr="00160480" w:rsidRDefault="00160480" w:rsidP="00160480">
      <w:pPr>
        <w:pStyle w:val="Akapitzlist"/>
        <w:numPr>
          <w:ilvl w:val="0"/>
          <w:numId w:val="687"/>
        </w:numPr>
        <w:spacing w:after="0" w:line="259" w:lineRule="auto"/>
        <w:ind w:left="717"/>
        <w:contextualSpacing/>
        <w:jc w:val="both"/>
        <w:rPr>
          <w:rFonts w:asciiTheme="minorHAnsi" w:hAnsiTheme="minorHAnsi" w:cs="Calibri"/>
          <w:sz w:val="20"/>
          <w:szCs w:val="20"/>
        </w:rPr>
      </w:pPr>
      <w:r w:rsidRPr="00160480">
        <w:rPr>
          <w:rFonts w:asciiTheme="minorHAnsi" w:hAnsiTheme="minorHAnsi"/>
          <w:sz w:val="20"/>
          <w:szCs w:val="20"/>
        </w:rPr>
        <w:t>Opiekunowie są wśród nas (67).</w:t>
      </w:r>
    </w:p>
    <w:p w:rsidR="00160480" w:rsidRPr="00160480" w:rsidRDefault="00160480" w:rsidP="00160480">
      <w:pPr>
        <w:spacing w:line="259" w:lineRule="auto"/>
        <w:ind w:left="357"/>
        <w:contextualSpacing/>
        <w:jc w:val="both"/>
        <w:rPr>
          <w:rFonts w:cs="Calibri"/>
          <w:szCs w:val="20"/>
        </w:rPr>
      </w:pPr>
    </w:p>
    <w:p w:rsidR="00160480" w:rsidRPr="00160480" w:rsidRDefault="00160480" w:rsidP="00160480">
      <w:pPr>
        <w:pStyle w:val="Default"/>
        <w:jc w:val="both"/>
        <w:rPr>
          <w:rFonts w:asciiTheme="minorHAnsi" w:hAnsiTheme="minorHAnsi"/>
          <w:sz w:val="20"/>
          <w:szCs w:val="20"/>
        </w:rPr>
      </w:pPr>
      <w:r w:rsidRPr="00160480">
        <w:rPr>
          <w:rFonts w:asciiTheme="minorHAnsi" w:hAnsiTheme="minorHAnsi"/>
          <w:b/>
          <w:bCs/>
          <w:color w:val="auto"/>
          <w:sz w:val="20"/>
          <w:szCs w:val="20"/>
        </w:rPr>
        <w:t>Cel Operacyjny 3.1 Odpowiadająca współczesnym standardom cywilizacyjnym jakość zabudowy na obszarach rewitalizowanych oraz wzrost odpowiedzialności mieszkańców za komunalny zasób mieszkaniowy – projekty:</w:t>
      </w:r>
    </w:p>
    <w:p w:rsidR="00160480" w:rsidRPr="00160480" w:rsidRDefault="00160480" w:rsidP="00160480">
      <w:pPr>
        <w:pStyle w:val="Akapitzlist"/>
        <w:numPr>
          <w:ilvl w:val="0"/>
          <w:numId w:val="687"/>
        </w:numPr>
        <w:spacing w:after="0" w:line="259" w:lineRule="auto"/>
        <w:contextualSpacing/>
        <w:jc w:val="both"/>
        <w:rPr>
          <w:rFonts w:asciiTheme="minorHAnsi" w:hAnsiTheme="minorHAnsi" w:cs="Calibri"/>
          <w:sz w:val="20"/>
          <w:szCs w:val="20"/>
        </w:rPr>
      </w:pPr>
      <w:r w:rsidRPr="00160480">
        <w:rPr>
          <w:rFonts w:asciiTheme="minorHAnsi" w:hAnsiTheme="minorHAnsi"/>
          <w:sz w:val="20"/>
          <w:szCs w:val="20"/>
        </w:rPr>
        <w:t>Rewitalizacja podobszaru 19 – Bytom zabytkowe osiedle Kolonia Zgorzelec (118).</w:t>
      </w:r>
    </w:p>
    <w:p w:rsidR="00160480" w:rsidRPr="00160480" w:rsidRDefault="00160480" w:rsidP="00160480">
      <w:pPr>
        <w:pStyle w:val="Akapitzlist"/>
        <w:spacing w:after="0"/>
        <w:ind w:left="360"/>
        <w:jc w:val="both"/>
        <w:rPr>
          <w:rFonts w:asciiTheme="minorHAnsi" w:hAnsiTheme="minorHAnsi" w:cs="Calibri"/>
          <w:sz w:val="20"/>
          <w:szCs w:val="20"/>
        </w:rPr>
      </w:pPr>
    </w:p>
    <w:p w:rsidR="00160480" w:rsidRPr="00160480" w:rsidRDefault="00160480" w:rsidP="00160480">
      <w:pPr>
        <w:pStyle w:val="Default"/>
        <w:jc w:val="both"/>
        <w:rPr>
          <w:rFonts w:asciiTheme="minorHAnsi" w:hAnsiTheme="minorHAnsi"/>
          <w:sz w:val="20"/>
          <w:szCs w:val="20"/>
        </w:rPr>
      </w:pPr>
      <w:r w:rsidRPr="00160480">
        <w:rPr>
          <w:rFonts w:asciiTheme="minorHAnsi" w:hAnsiTheme="minorHAnsi"/>
          <w:b/>
          <w:bCs/>
          <w:color w:val="auto"/>
          <w:sz w:val="20"/>
          <w:szCs w:val="20"/>
        </w:rPr>
        <w:t>Cel Operacyjny 3.2 Partnerstwo władz miasta i społeczności lokalnych w podnoszeniu jakości i ochronie walorów przestrzeni publicznych – projekty:</w:t>
      </w:r>
    </w:p>
    <w:p w:rsidR="00160480" w:rsidRPr="00160480" w:rsidRDefault="00160480" w:rsidP="00160480">
      <w:pPr>
        <w:pStyle w:val="Akapitzlist"/>
        <w:numPr>
          <w:ilvl w:val="0"/>
          <w:numId w:val="687"/>
        </w:numPr>
        <w:spacing w:after="0" w:line="259" w:lineRule="auto"/>
        <w:contextualSpacing/>
        <w:jc w:val="both"/>
        <w:rPr>
          <w:rFonts w:asciiTheme="minorHAnsi" w:hAnsiTheme="minorHAnsi" w:cs="Calibri"/>
          <w:sz w:val="20"/>
          <w:szCs w:val="20"/>
        </w:rPr>
      </w:pPr>
      <w:r w:rsidRPr="00160480">
        <w:rPr>
          <w:rFonts w:asciiTheme="minorHAnsi" w:hAnsiTheme="minorHAnsi"/>
          <w:sz w:val="20"/>
          <w:szCs w:val="20"/>
        </w:rPr>
        <w:t>Rewitalizacja podobszaru 19 – Bytom zabytkowe osiedle Kolonia Zgorzelec (118).</w:t>
      </w:r>
    </w:p>
    <w:p w:rsidR="00160480" w:rsidRPr="00160480" w:rsidRDefault="00160480" w:rsidP="00160480">
      <w:pPr>
        <w:pStyle w:val="Default"/>
        <w:jc w:val="both"/>
        <w:rPr>
          <w:rFonts w:asciiTheme="minorHAnsi" w:hAnsiTheme="minorHAnsi"/>
          <w:color w:val="auto"/>
          <w:sz w:val="20"/>
          <w:szCs w:val="20"/>
          <w:highlight w:val="yellow"/>
        </w:rPr>
      </w:pPr>
    </w:p>
    <w:p w:rsidR="00160480" w:rsidRPr="00160480" w:rsidRDefault="00160480" w:rsidP="00160480">
      <w:pPr>
        <w:pStyle w:val="Default"/>
        <w:jc w:val="both"/>
        <w:rPr>
          <w:rFonts w:asciiTheme="minorHAnsi" w:hAnsiTheme="minorHAnsi"/>
          <w:color w:val="auto"/>
          <w:sz w:val="20"/>
          <w:szCs w:val="20"/>
        </w:rPr>
      </w:pPr>
      <w:r w:rsidRPr="00160480">
        <w:rPr>
          <w:rFonts w:asciiTheme="minorHAnsi" w:hAnsiTheme="minorHAnsi"/>
          <w:color w:val="auto"/>
          <w:sz w:val="20"/>
          <w:szCs w:val="20"/>
        </w:rPr>
        <w:t>Realizacja niektórych projektów społecznych wymienionych powyżej wymaga przygotowania niezbędnej infrastruktury, w tym zagospodarowywania przestrzeni miejskich oraz robót budowlanych w zdegradowanych budynkach wraz z zagospodarowaniem przyległego otoczenia.</w:t>
      </w:r>
    </w:p>
    <w:p w:rsidR="00160480" w:rsidRPr="00160480" w:rsidRDefault="00160480" w:rsidP="00160480">
      <w:pPr>
        <w:pStyle w:val="Default"/>
        <w:jc w:val="both"/>
        <w:rPr>
          <w:rFonts w:asciiTheme="minorHAnsi" w:hAnsiTheme="minorHAnsi"/>
          <w:b/>
          <w:bCs/>
          <w:color w:val="auto"/>
          <w:sz w:val="20"/>
          <w:szCs w:val="20"/>
          <w:highlight w:val="yellow"/>
        </w:rPr>
      </w:pPr>
    </w:p>
    <w:p w:rsidR="00160480" w:rsidRPr="00160480" w:rsidRDefault="00160480" w:rsidP="00160480">
      <w:pPr>
        <w:pStyle w:val="Default"/>
        <w:numPr>
          <w:ilvl w:val="0"/>
          <w:numId w:val="687"/>
        </w:numPr>
        <w:jc w:val="both"/>
        <w:rPr>
          <w:rFonts w:asciiTheme="minorHAnsi" w:hAnsiTheme="minorHAnsi"/>
          <w:color w:val="auto"/>
          <w:sz w:val="20"/>
          <w:szCs w:val="20"/>
        </w:rPr>
      </w:pPr>
      <w:r w:rsidRPr="00160480">
        <w:rPr>
          <w:rFonts w:asciiTheme="minorHAnsi" w:hAnsiTheme="minorHAnsi"/>
          <w:color w:val="auto"/>
          <w:sz w:val="20"/>
          <w:szCs w:val="20"/>
        </w:rPr>
        <w:t>Rewitalizacja podobszaru 19 – Bytom zabytkowe osiedle Kolonia Zgorzelec (118) - powierzchnia rewitalizacji: ok. 12.668 m</w:t>
      </w:r>
      <w:r w:rsidRPr="005B5A5A">
        <w:rPr>
          <w:rFonts w:asciiTheme="minorHAnsi" w:hAnsiTheme="minorHAnsi"/>
          <w:color w:val="auto"/>
          <w:sz w:val="20"/>
          <w:szCs w:val="20"/>
          <w:vertAlign w:val="superscript"/>
        </w:rPr>
        <w:t xml:space="preserve">2 </w:t>
      </w:r>
    </w:p>
    <w:p w:rsidR="00160480" w:rsidRPr="00160480" w:rsidRDefault="00160480" w:rsidP="005B5A5A">
      <w:pPr>
        <w:pStyle w:val="Default"/>
        <w:ind w:firstLine="708"/>
        <w:jc w:val="both"/>
        <w:rPr>
          <w:rFonts w:asciiTheme="minorHAnsi" w:hAnsiTheme="minorHAnsi"/>
          <w:color w:val="auto"/>
          <w:sz w:val="20"/>
          <w:szCs w:val="20"/>
        </w:rPr>
      </w:pPr>
      <w:r w:rsidRPr="00160480">
        <w:rPr>
          <w:rFonts w:asciiTheme="minorHAnsi" w:hAnsiTheme="minorHAnsi"/>
          <w:color w:val="auto"/>
          <w:sz w:val="20"/>
          <w:szCs w:val="20"/>
        </w:rPr>
        <w:t xml:space="preserve">Projekt korzystający z infrastruktury projektu: </w:t>
      </w:r>
    </w:p>
    <w:p w:rsidR="00160480" w:rsidRPr="00160480" w:rsidRDefault="00160480" w:rsidP="005B5A5A">
      <w:pPr>
        <w:pStyle w:val="Default"/>
        <w:numPr>
          <w:ilvl w:val="0"/>
          <w:numId w:val="720"/>
        </w:numPr>
        <w:jc w:val="both"/>
        <w:rPr>
          <w:rFonts w:asciiTheme="minorHAnsi" w:hAnsiTheme="minorHAnsi"/>
          <w:color w:val="auto"/>
          <w:sz w:val="20"/>
          <w:szCs w:val="20"/>
        </w:rPr>
      </w:pPr>
      <w:r w:rsidRPr="00160480">
        <w:rPr>
          <w:rFonts w:asciiTheme="minorHAnsi" w:hAnsiTheme="minorHAnsi"/>
          <w:color w:val="auto"/>
          <w:sz w:val="20"/>
          <w:szCs w:val="20"/>
        </w:rPr>
        <w:t xml:space="preserve">Program Aktywności </w:t>
      </w:r>
      <w:r w:rsidR="00626FC8">
        <w:rPr>
          <w:rFonts w:asciiTheme="minorHAnsi" w:hAnsiTheme="minorHAnsi"/>
          <w:color w:val="auto"/>
          <w:sz w:val="20"/>
          <w:szCs w:val="20"/>
        </w:rPr>
        <w:t>Lokalnej Kolonia Zgorzelec (38).</w:t>
      </w:r>
      <w:r w:rsidRPr="00160480">
        <w:rPr>
          <w:rFonts w:asciiTheme="minorHAnsi" w:hAnsiTheme="minorHAnsi"/>
          <w:color w:val="auto"/>
          <w:sz w:val="20"/>
          <w:szCs w:val="20"/>
        </w:rPr>
        <w:t xml:space="preserve"> </w:t>
      </w:r>
    </w:p>
    <w:p w:rsidR="00160480" w:rsidRPr="00160480" w:rsidRDefault="00160480" w:rsidP="00160480">
      <w:pPr>
        <w:pStyle w:val="Default"/>
        <w:jc w:val="both"/>
        <w:rPr>
          <w:rFonts w:asciiTheme="minorHAnsi" w:hAnsiTheme="minorHAnsi"/>
          <w:color w:val="auto"/>
          <w:sz w:val="20"/>
          <w:szCs w:val="20"/>
        </w:rPr>
      </w:pPr>
    </w:p>
    <w:p w:rsidR="00160480" w:rsidRPr="00160480" w:rsidRDefault="00160480" w:rsidP="005B5A5A">
      <w:pPr>
        <w:pStyle w:val="Default"/>
        <w:numPr>
          <w:ilvl w:val="0"/>
          <w:numId w:val="687"/>
        </w:numPr>
        <w:jc w:val="both"/>
        <w:rPr>
          <w:rFonts w:asciiTheme="minorHAnsi" w:hAnsiTheme="minorHAnsi"/>
          <w:color w:val="auto"/>
          <w:sz w:val="20"/>
          <w:szCs w:val="20"/>
        </w:rPr>
      </w:pPr>
      <w:r w:rsidRPr="00160480">
        <w:rPr>
          <w:rFonts w:asciiTheme="minorHAnsi" w:hAnsiTheme="minorHAnsi"/>
          <w:color w:val="auto"/>
          <w:sz w:val="20"/>
          <w:szCs w:val="20"/>
        </w:rPr>
        <w:t>Masz firmę masz lokal - Program Aktywizacji Lokali Użytkowych (116) – zakłada się przygotowanie 40</w:t>
      </w:r>
      <w:r w:rsidR="00B943BD">
        <w:rPr>
          <w:rFonts w:asciiTheme="minorHAnsi" w:hAnsiTheme="minorHAnsi"/>
          <w:color w:val="auto"/>
          <w:sz w:val="20"/>
          <w:szCs w:val="20"/>
        </w:rPr>
        <w:t> </w:t>
      </w:r>
      <w:r w:rsidRPr="00160480">
        <w:rPr>
          <w:rFonts w:asciiTheme="minorHAnsi" w:hAnsiTheme="minorHAnsi"/>
          <w:color w:val="auto"/>
          <w:sz w:val="20"/>
          <w:szCs w:val="20"/>
        </w:rPr>
        <w:t xml:space="preserve">lokali dla mikroprzedsiębiorców, uczestniczących w projekcie w ramach poddziałania 7.3.3. </w:t>
      </w:r>
    </w:p>
    <w:p w:rsidR="00160480" w:rsidRPr="00160480" w:rsidRDefault="00160480" w:rsidP="005B5A5A">
      <w:pPr>
        <w:pStyle w:val="Default"/>
        <w:ind w:firstLine="708"/>
        <w:jc w:val="both"/>
        <w:rPr>
          <w:rFonts w:asciiTheme="minorHAnsi" w:hAnsiTheme="minorHAnsi"/>
          <w:color w:val="auto"/>
          <w:sz w:val="20"/>
          <w:szCs w:val="20"/>
        </w:rPr>
      </w:pPr>
      <w:r w:rsidRPr="00160480">
        <w:rPr>
          <w:rFonts w:asciiTheme="minorHAnsi" w:hAnsiTheme="minorHAnsi"/>
          <w:color w:val="auto"/>
          <w:sz w:val="20"/>
          <w:szCs w:val="20"/>
        </w:rPr>
        <w:t xml:space="preserve">Projekty korzystające z infrastruktury projektu: </w:t>
      </w:r>
    </w:p>
    <w:p w:rsidR="00160480" w:rsidRPr="00160480" w:rsidRDefault="00160480" w:rsidP="005B5A5A">
      <w:pPr>
        <w:pStyle w:val="Default"/>
        <w:numPr>
          <w:ilvl w:val="0"/>
          <w:numId w:val="721"/>
        </w:numPr>
        <w:spacing w:after="15"/>
        <w:jc w:val="both"/>
        <w:rPr>
          <w:rFonts w:asciiTheme="minorHAnsi" w:hAnsiTheme="minorHAnsi"/>
          <w:color w:val="auto"/>
          <w:sz w:val="20"/>
          <w:szCs w:val="20"/>
        </w:rPr>
      </w:pPr>
      <w:r w:rsidRPr="00160480">
        <w:rPr>
          <w:rFonts w:asciiTheme="minorHAnsi" w:hAnsiTheme="minorHAnsi"/>
          <w:color w:val="auto"/>
          <w:sz w:val="20"/>
          <w:szCs w:val="20"/>
        </w:rPr>
        <w:t xml:space="preserve">Szansa na własną firmę (11), </w:t>
      </w:r>
    </w:p>
    <w:p w:rsidR="005B5A5A" w:rsidRPr="005B5A5A" w:rsidRDefault="00160480" w:rsidP="005B5A5A">
      <w:pPr>
        <w:pStyle w:val="Default"/>
        <w:numPr>
          <w:ilvl w:val="0"/>
          <w:numId w:val="721"/>
        </w:numPr>
        <w:jc w:val="both"/>
        <w:rPr>
          <w:rFonts w:asciiTheme="minorHAnsi" w:hAnsiTheme="minorHAnsi"/>
          <w:color w:val="auto"/>
          <w:sz w:val="20"/>
          <w:szCs w:val="20"/>
        </w:rPr>
      </w:pPr>
      <w:r w:rsidRPr="00160480">
        <w:rPr>
          <w:rFonts w:asciiTheme="minorHAnsi" w:hAnsiTheme="minorHAnsi"/>
          <w:color w:val="auto"/>
          <w:sz w:val="20"/>
          <w:szCs w:val="20"/>
        </w:rPr>
        <w:t xml:space="preserve">Aktywizacja bytomskiej przedsiębiorczości (13). </w:t>
      </w:r>
    </w:p>
    <w:p w:rsidR="00160480" w:rsidRPr="00160480" w:rsidRDefault="00160480" w:rsidP="00160480">
      <w:pPr>
        <w:pStyle w:val="Default"/>
        <w:jc w:val="both"/>
        <w:rPr>
          <w:rFonts w:asciiTheme="minorHAnsi" w:hAnsiTheme="minorHAnsi"/>
          <w:color w:val="auto"/>
          <w:sz w:val="20"/>
          <w:szCs w:val="20"/>
          <w:highlight w:val="yellow"/>
        </w:rPr>
      </w:pPr>
    </w:p>
    <w:p w:rsidR="005B5A5A" w:rsidRDefault="005B5A5A" w:rsidP="005B5A5A">
      <w:pPr>
        <w:pStyle w:val="Default"/>
        <w:jc w:val="both"/>
        <w:rPr>
          <w:color w:val="auto"/>
          <w:sz w:val="20"/>
          <w:szCs w:val="20"/>
        </w:rPr>
      </w:pPr>
      <w:r w:rsidRPr="005B5A5A">
        <w:rPr>
          <w:sz w:val="20"/>
          <w:szCs w:val="20"/>
        </w:rPr>
        <w:t xml:space="preserve">Dzięki udostępnieniu przestrzeni </w:t>
      </w:r>
      <w:r>
        <w:rPr>
          <w:color w:val="auto"/>
          <w:sz w:val="20"/>
          <w:szCs w:val="20"/>
        </w:rPr>
        <w:t>miejskiej w ramach działań inwestycyjnych – podwórka, pozostałe przestrzenie – możliwa będzie realizacja działań nieinwestycyjnych, które będą z jednej strony korzystać z</w:t>
      </w:r>
      <w:r w:rsidR="00B943BD">
        <w:rPr>
          <w:color w:val="auto"/>
          <w:sz w:val="20"/>
          <w:szCs w:val="20"/>
        </w:rPr>
        <w:t> </w:t>
      </w:r>
      <w:r>
        <w:rPr>
          <w:color w:val="auto"/>
          <w:sz w:val="20"/>
          <w:szCs w:val="20"/>
        </w:rPr>
        <w:t>otrzymanej w ramach projektów twardych infrastruktury, a także uzupełniać ją i dopełniać z drugiej strony. Ponadto projekty inwestycyjne uzupełniać będą szereg projektów mających na celu pracę z mieszkańcami zagrożonymi wykluczeniem społecznym, ubóstwem, bezrobociem prowadzonych przez Miejski Ośrodek Pomocy Rodzinie, Powiatowy Urząd Pracy oraz organizacje pozarządowe. Interwencja inwestycyjna i</w:t>
      </w:r>
      <w:r w:rsidR="00B943BD">
        <w:rPr>
          <w:color w:val="auto"/>
          <w:sz w:val="20"/>
          <w:szCs w:val="20"/>
        </w:rPr>
        <w:t> </w:t>
      </w:r>
      <w:r>
        <w:rPr>
          <w:color w:val="auto"/>
          <w:sz w:val="20"/>
          <w:szCs w:val="20"/>
        </w:rPr>
        <w:t xml:space="preserve">nieinwestycyjna stworzy kompleksowe warunki do lepszego funkcjonowania mieszkańców, poczucia większej odpowiedzialności za swoje życie, za bliskich i za odnowione otoczenie. </w:t>
      </w:r>
    </w:p>
    <w:p w:rsidR="00367A98" w:rsidRPr="005B5A5A" w:rsidRDefault="00367A98" w:rsidP="00A23D3A">
      <w:pPr>
        <w:pStyle w:val="NormalnyWeb1"/>
        <w:spacing w:before="0" w:after="0"/>
        <w:rPr>
          <w:sz w:val="20"/>
          <w:szCs w:val="20"/>
        </w:rPr>
      </w:pPr>
    </w:p>
    <w:p w:rsidR="00002B1D" w:rsidRPr="0015513B" w:rsidRDefault="00002B1D" w:rsidP="00002B1D">
      <w:pPr>
        <w:pStyle w:val="NormalnyWeb1"/>
        <w:shd w:val="clear" w:color="auto" w:fill="99CCFF"/>
        <w:spacing w:line="240" w:lineRule="auto"/>
        <w:jc w:val="center"/>
        <w:rPr>
          <w:b/>
          <w:bCs/>
          <w:i/>
          <w:iCs/>
          <w:szCs w:val="20"/>
        </w:rPr>
      </w:pPr>
      <w:r w:rsidRPr="0015513B">
        <w:rPr>
          <w:b/>
          <w:bCs/>
          <w:i/>
          <w:iCs/>
          <w:szCs w:val="20"/>
        </w:rPr>
        <w:t>Wiązka 4: horyzontalna</w:t>
      </w:r>
    </w:p>
    <w:p w:rsidR="00002B1D" w:rsidRDefault="00002B1D" w:rsidP="00002B1D">
      <w:pPr>
        <w:jc w:val="both"/>
        <w:rPr>
          <w:rFonts w:cs="Calibri"/>
          <w:b/>
          <w:szCs w:val="20"/>
        </w:rPr>
      </w:pPr>
    </w:p>
    <w:p w:rsidR="00626FC8" w:rsidRDefault="00626FC8" w:rsidP="00626FC8">
      <w:pPr>
        <w:pStyle w:val="Default"/>
        <w:jc w:val="both"/>
        <w:rPr>
          <w:color w:val="auto"/>
          <w:sz w:val="20"/>
          <w:szCs w:val="20"/>
        </w:rPr>
      </w:pPr>
      <w:r>
        <w:rPr>
          <w:b/>
          <w:bCs/>
          <w:color w:val="auto"/>
          <w:sz w:val="20"/>
          <w:szCs w:val="20"/>
        </w:rPr>
        <w:t xml:space="preserve">Interwencje projektowe w ramach wiązki. </w:t>
      </w:r>
    </w:p>
    <w:p w:rsidR="00626FC8" w:rsidRDefault="00626FC8" w:rsidP="00626FC8">
      <w:pPr>
        <w:pStyle w:val="Default"/>
        <w:jc w:val="both"/>
        <w:rPr>
          <w:color w:val="auto"/>
          <w:sz w:val="20"/>
          <w:szCs w:val="20"/>
        </w:rPr>
      </w:pPr>
      <w:r>
        <w:rPr>
          <w:color w:val="auto"/>
          <w:sz w:val="20"/>
          <w:szCs w:val="20"/>
        </w:rPr>
        <w:t>W wiązce, w odpowiedzi na problemy przedstawione w diagnozie, znalazły się projekty pogrupowane zgodnie z</w:t>
      </w:r>
      <w:r w:rsidR="001F4FD4">
        <w:rPr>
          <w:color w:val="auto"/>
          <w:sz w:val="20"/>
          <w:szCs w:val="20"/>
        </w:rPr>
        <w:t> </w:t>
      </w:r>
      <w:r>
        <w:rPr>
          <w:color w:val="auto"/>
          <w:sz w:val="20"/>
          <w:szCs w:val="20"/>
        </w:rPr>
        <w:t>realizowanymi celami operacyjnymi, oddziałujące na obszar rewitalizacji oraz realizujące cele programu.</w:t>
      </w:r>
    </w:p>
    <w:p w:rsidR="00626FC8" w:rsidRDefault="00626FC8" w:rsidP="00626FC8">
      <w:pPr>
        <w:pStyle w:val="Default"/>
        <w:jc w:val="both"/>
        <w:rPr>
          <w:color w:val="auto"/>
          <w:sz w:val="20"/>
          <w:szCs w:val="20"/>
          <w:highlight w:val="yellow"/>
        </w:rPr>
      </w:pPr>
    </w:p>
    <w:p w:rsidR="00626FC8" w:rsidRDefault="00626FC8" w:rsidP="00626FC8">
      <w:pPr>
        <w:pStyle w:val="Default"/>
        <w:jc w:val="both"/>
        <w:rPr>
          <w:color w:val="auto"/>
          <w:sz w:val="20"/>
          <w:szCs w:val="20"/>
        </w:rPr>
      </w:pPr>
      <w:r>
        <w:rPr>
          <w:b/>
          <w:bCs/>
          <w:color w:val="auto"/>
          <w:sz w:val="20"/>
          <w:szCs w:val="20"/>
        </w:rPr>
        <w:t>Cel Operacyjny 1.1 Wysoki poziom przedsiębiorczości mieszkańców kompensujący niedobory miejsc pracy w</w:t>
      </w:r>
      <w:r w:rsidR="001F4FD4">
        <w:rPr>
          <w:b/>
          <w:bCs/>
          <w:color w:val="auto"/>
          <w:sz w:val="20"/>
          <w:szCs w:val="20"/>
        </w:rPr>
        <w:t> </w:t>
      </w:r>
      <w:r>
        <w:rPr>
          <w:b/>
          <w:bCs/>
          <w:color w:val="auto"/>
          <w:sz w:val="20"/>
          <w:szCs w:val="20"/>
        </w:rPr>
        <w:t xml:space="preserve">mieście - projekty: </w:t>
      </w:r>
    </w:p>
    <w:p w:rsidR="006254F7" w:rsidRDefault="00626FC8" w:rsidP="006254F7">
      <w:pPr>
        <w:pStyle w:val="Default"/>
        <w:spacing w:after="11"/>
        <w:ind w:left="714" w:hanging="357"/>
        <w:jc w:val="both"/>
        <w:rPr>
          <w:color w:val="auto"/>
          <w:sz w:val="20"/>
          <w:szCs w:val="20"/>
        </w:rPr>
      </w:pPr>
      <w:r>
        <w:rPr>
          <w:rFonts w:ascii="Wingdings" w:hAnsi="Wingdings" w:cs="Wingdings"/>
          <w:color w:val="auto"/>
          <w:sz w:val="20"/>
          <w:szCs w:val="20"/>
        </w:rPr>
        <w:t></w:t>
      </w:r>
      <w:r>
        <w:rPr>
          <w:rFonts w:ascii="Wingdings" w:hAnsi="Wingdings" w:cs="Wingdings"/>
          <w:color w:val="auto"/>
          <w:sz w:val="20"/>
          <w:szCs w:val="20"/>
        </w:rPr>
        <w:t></w:t>
      </w:r>
      <w:r>
        <w:rPr>
          <w:color w:val="auto"/>
          <w:sz w:val="20"/>
          <w:szCs w:val="20"/>
        </w:rPr>
        <w:t>Poprawa zdolności do zatrudnienia osób poszukujących pracy i pozos</w:t>
      </w:r>
      <w:r w:rsidR="00151DEA">
        <w:rPr>
          <w:color w:val="auto"/>
          <w:sz w:val="20"/>
          <w:szCs w:val="20"/>
        </w:rPr>
        <w:t xml:space="preserve">tających bez pracy na obszarach </w:t>
      </w:r>
      <w:r>
        <w:rPr>
          <w:color w:val="auto"/>
          <w:sz w:val="20"/>
          <w:szCs w:val="20"/>
        </w:rPr>
        <w:t xml:space="preserve">rewitalizowanych (5), </w:t>
      </w:r>
    </w:p>
    <w:p w:rsidR="00626FC8" w:rsidRDefault="00626FC8" w:rsidP="006254F7">
      <w:pPr>
        <w:pStyle w:val="Default"/>
        <w:numPr>
          <w:ilvl w:val="0"/>
          <w:numId w:val="687"/>
        </w:numPr>
        <w:spacing w:after="11"/>
        <w:jc w:val="both"/>
        <w:rPr>
          <w:color w:val="auto"/>
          <w:sz w:val="20"/>
          <w:szCs w:val="20"/>
        </w:rPr>
      </w:pPr>
      <w:r>
        <w:rPr>
          <w:color w:val="auto"/>
          <w:sz w:val="20"/>
          <w:szCs w:val="20"/>
        </w:rPr>
        <w:t>KRYSTYNA Aktywne Zatrudnienie 7.1.3 (7),</w:t>
      </w:r>
    </w:p>
    <w:p w:rsidR="00626FC8" w:rsidRDefault="00626FC8" w:rsidP="006254F7">
      <w:pPr>
        <w:pStyle w:val="Default"/>
        <w:numPr>
          <w:ilvl w:val="0"/>
          <w:numId w:val="722"/>
        </w:numPr>
        <w:spacing w:after="11"/>
        <w:jc w:val="both"/>
        <w:rPr>
          <w:color w:val="auto"/>
          <w:sz w:val="20"/>
          <w:szCs w:val="20"/>
        </w:rPr>
      </w:pPr>
      <w:r>
        <w:rPr>
          <w:color w:val="auto"/>
          <w:sz w:val="20"/>
          <w:szCs w:val="20"/>
        </w:rPr>
        <w:t>KRYSTYNA - Promocja zatrudnienia 7.3.3 (16),</w:t>
      </w:r>
    </w:p>
    <w:p w:rsidR="00626FC8" w:rsidRDefault="00626FC8" w:rsidP="006254F7">
      <w:pPr>
        <w:pStyle w:val="Default"/>
        <w:numPr>
          <w:ilvl w:val="0"/>
          <w:numId w:val="722"/>
        </w:numPr>
        <w:spacing w:after="11"/>
        <w:jc w:val="both"/>
        <w:rPr>
          <w:color w:val="auto"/>
          <w:sz w:val="20"/>
          <w:szCs w:val="20"/>
        </w:rPr>
      </w:pPr>
      <w:r>
        <w:rPr>
          <w:color w:val="auto"/>
          <w:sz w:val="20"/>
          <w:szCs w:val="20"/>
        </w:rPr>
        <w:t>KRYSTYNA Outplacement 7.4.2 (18),</w:t>
      </w:r>
    </w:p>
    <w:p w:rsidR="00626FC8" w:rsidRDefault="00626FC8" w:rsidP="006254F7">
      <w:pPr>
        <w:pStyle w:val="Default"/>
        <w:numPr>
          <w:ilvl w:val="0"/>
          <w:numId w:val="722"/>
        </w:numPr>
        <w:spacing w:after="11"/>
        <w:jc w:val="both"/>
        <w:rPr>
          <w:color w:val="auto"/>
          <w:sz w:val="20"/>
          <w:szCs w:val="20"/>
        </w:rPr>
      </w:pPr>
      <w:r>
        <w:rPr>
          <w:color w:val="auto"/>
          <w:sz w:val="20"/>
          <w:szCs w:val="20"/>
        </w:rPr>
        <w:t>KRYSTYNA Opiekunka 8.1.3 (21),</w:t>
      </w:r>
    </w:p>
    <w:p w:rsidR="00626FC8" w:rsidRDefault="00626FC8" w:rsidP="006254F7">
      <w:pPr>
        <w:pStyle w:val="Default"/>
        <w:numPr>
          <w:ilvl w:val="0"/>
          <w:numId w:val="722"/>
        </w:numPr>
        <w:spacing w:after="11"/>
        <w:jc w:val="both"/>
        <w:rPr>
          <w:color w:val="auto"/>
          <w:sz w:val="20"/>
          <w:szCs w:val="20"/>
        </w:rPr>
      </w:pPr>
      <w:r>
        <w:rPr>
          <w:color w:val="auto"/>
          <w:sz w:val="20"/>
          <w:szCs w:val="20"/>
        </w:rPr>
        <w:t>Aktywizacja i integracja społeczna mieszkańców Bytomia, w szczególności dzielnicy Szombierki i</w:t>
      </w:r>
      <w:r w:rsidR="001F4FD4">
        <w:rPr>
          <w:color w:val="auto"/>
          <w:sz w:val="20"/>
          <w:szCs w:val="20"/>
        </w:rPr>
        <w:t> </w:t>
      </w:r>
      <w:r>
        <w:rPr>
          <w:color w:val="auto"/>
          <w:sz w:val="20"/>
          <w:szCs w:val="20"/>
        </w:rPr>
        <w:t xml:space="preserve">dzielnic ościennych (program aktywności lokalnych) (43), </w:t>
      </w:r>
    </w:p>
    <w:p w:rsidR="00626FC8" w:rsidRDefault="00626FC8" w:rsidP="006254F7">
      <w:pPr>
        <w:pStyle w:val="Default"/>
        <w:numPr>
          <w:ilvl w:val="0"/>
          <w:numId w:val="722"/>
        </w:numPr>
        <w:spacing w:after="11"/>
        <w:jc w:val="both"/>
        <w:rPr>
          <w:color w:val="auto"/>
          <w:sz w:val="20"/>
          <w:szCs w:val="20"/>
        </w:rPr>
      </w:pPr>
      <w:r>
        <w:rPr>
          <w:color w:val="auto"/>
          <w:sz w:val="20"/>
          <w:szCs w:val="20"/>
        </w:rPr>
        <w:t>KRYSTYNA Usługowa 9.2.3 (70),</w:t>
      </w:r>
    </w:p>
    <w:p w:rsidR="00626FC8" w:rsidRDefault="00626FC8" w:rsidP="006254F7">
      <w:pPr>
        <w:pStyle w:val="Default"/>
        <w:numPr>
          <w:ilvl w:val="0"/>
          <w:numId w:val="722"/>
        </w:numPr>
        <w:spacing w:after="11"/>
        <w:jc w:val="both"/>
        <w:rPr>
          <w:color w:val="auto"/>
          <w:sz w:val="20"/>
          <w:szCs w:val="20"/>
        </w:rPr>
      </w:pPr>
      <w:r>
        <w:rPr>
          <w:color w:val="auto"/>
          <w:sz w:val="20"/>
          <w:szCs w:val="20"/>
        </w:rPr>
        <w:t>KRYSTYNA Rozwojowa 11.1.4 (77),</w:t>
      </w:r>
    </w:p>
    <w:p w:rsidR="00626FC8" w:rsidRDefault="00626FC8" w:rsidP="006254F7">
      <w:pPr>
        <w:pStyle w:val="Default"/>
        <w:numPr>
          <w:ilvl w:val="0"/>
          <w:numId w:val="722"/>
        </w:numPr>
        <w:jc w:val="both"/>
        <w:rPr>
          <w:color w:val="auto"/>
          <w:sz w:val="20"/>
          <w:szCs w:val="20"/>
        </w:rPr>
      </w:pPr>
      <w:r>
        <w:rPr>
          <w:color w:val="auto"/>
          <w:sz w:val="20"/>
          <w:szCs w:val="20"/>
        </w:rPr>
        <w:t xml:space="preserve">Makerspace - FabLab KRYSTYNA (127). </w:t>
      </w:r>
    </w:p>
    <w:p w:rsidR="00626FC8" w:rsidRDefault="00626FC8" w:rsidP="00626FC8">
      <w:pPr>
        <w:pStyle w:val="Default"/>
        <w:jc w:val="both"/>
        <w:rPr>
          <w:color w:val="auto"/>
          <w:sz w:val="20"/>
          <w:szCs w:val="20"/>
        </w:rPr>
      </w:pPr>
    </w:p>
    <w:p w:rsidR="00626FC8" w:rsidRDefault="00626FC8" w:rsidP="00626FC8">
      <w:pPr>
        <w:pStyle w:val="Default"/>
        <w:jc w:val="both"/>
        <w:rPr>
          <w:b/>
          <w:bCs/>
          <w:color w:val="auto"/>
          <w:sz w:val="20"/>
          <w:szCs w:val="20"/>
        </w:rPr>
      </w:pPr>
      <w:r>
        <w:rPr>
          <w:b/>
          <w:bCs/>
          <w:color w:val="auto"/>
          <w:sz w:val="20"/>
          <w:szCs w:val="20"/>
        </w:rPr>
        <w:t>Cel Operacyjny 1.2 Dogodne warunki dla rozwoju firm lokalnych – projekty:</w:t>
      </w:r>
    </w:p>
    <w:p w:rsidR="00626FC8" w:rsidRDefault="00626FC8" w:rsidP="00626FC8">
      <w:pPr>
        <w:pStyle w:val="Default"/>
        <w:numPr>
          <w:ilvl w:val="0"/>
          <w:numId w:val="723"/>
        </w:numPr>
        <w:jc w:val="both"/>
        <w:rPr>
          <w:color w:val="auto"/>
          <w:sz w:val="20"/>
          <w:szCs w:val="20"/>
        </w:rPr>
      </w:pPr>
      <w:r>
        <w:rPr>
          <w:color w:val="auto"/>
          <w:sz w:val="20"/>
          <w:szCs w:val="20"/>
        </w:rPr>
        <w:t>KRYSTYNA Aktywne Zatrudnienie 7.1.3 (7),</w:t>
      </w:r>
    </w:p>
    <w:p w:rsidR="00626FC8" w:rsidRDefault="00626FC8" w:rsidP="00626FC8">
      <w:pPr>
        <w:pStyle w:val="Default"/>
        <w:numPr>
          <w:ilvl w:val="0"/>
          <w:numId w:val="723"/>
        </w:numPr>
        <w:spacing w:after="11"/>
        <w:jc w:val="both"/>
        <w:rPr>
          <w:color w:val="auto"/>
          <w:sz w:val="20"/>
          <w:szCs w:val="20"/>
        </w:rPr>
      </w:pPr>
      <w:r>
        <w:rPr>
          <w:color w:val="auto"/>
          <w:sz w:val="20"/>
          <w:szCs w:val="20"/>
        </w:rPr>
        <w:t>KRYSTYNA Promocja zatrudnienia 7.3.3 (16),</w:t>
      </w:r>
    </w:p>
    <w:p w:rsidR="00626FC8" w:rsidRDefault="00626FC8" w:rsidP="00626FC8">
      <w:pPr>
        <w:pStyle w:val="Default"/>
        <w:numPr>
          <w:ilvl w:val="0"/>
          <w:numId w:val="723"/>
        </w:numPr>
        <w:spacing w:after="11"/>
        <w:jc w:val="both"/>
        <w:rPr>
          <w:color w:val="auto"/>
          <w:sz w:val="20"/>
          <w:szCs w:val="20"/>
        </w:rPr>
      </w:pPr>
      <w:r>
        <w:rPr>
          <w:color w:val="auto"/>
          <w:sz w:val="20"/>
          <w:szCs w:val="20"/>
        </w:rPr>
        <w:t>KRYSTYNA Outplacement 7.4.2 (18),</w:t>
      </w:r>
    </w:p>
    <w:p w:rsidR="00626FC8" w:rsidRDefault="00626FC8" w:rsidP="006254F7">
      <w:pPr>
        <w:pStyle w:val="Akapitzlist"/>
        <w:numPr>
          <w:ilvl w:val="0"/>
          <w:numId w:val="723"/>
        </w:numPr>
        <w:spacing w:after="0" w:line="259" w:lineRule="auto"/>
        <w:contextualSpacing/>
        <w:jc w:val="both"/>
        <w:rPr>
          <w:rFonts w:cs="Calibri"/>
          <w:sz w:val="20"/>
          <w:szCs w:val="20"/>
        </w:rPr>
      </w:pPr>
      <w:r>
        <w:rPr>
          <w:rFonts w:cs="Calibri"/>
          <w:sz w:val="20"/>
          <w:szCs w:val="20"/>
        </w:rPr>
        <w:t>KRYSTYNA Opiekunka 8.1.3 (21),</w:t>
      </w:r>
    </w:p>
    <w:p w:rsidR="00626FC8" w:rsidRDefault="00626FC8" w:rsidP="006254F7">
      <w:pPr>
        <w:pStyle w:val="Default"/>
        <w:numPr>
          <w:ilvl w:val="0"/>
          <w:numId w:val="723"/>
        </w:numPr>
        <w:jc w:val="both"/>
        <w:rPr>
          <w:color w:val="auto"/>
          <w:sz w:val="20"/>
          <w:szCs w:val="20"/>
        </w:rPr>
      </w:pPr>
      <w:r>
        <w:rPr>
          <w:color w:val="auto"/>
          <w:sz w:val="20"/>
          <w:szCs w:val="20"/>
        </w:rPr>
        <w:t>Aktywizacja i integracja społeczna mieszkańców Bytomia, w szczególności dzielnicy Szombierki i</w:t>
      </w:r>
      <w:r w:rsidR="001F4FD4">
        <w:rPr>
          <w:color w:val="auto"/>
          <w:sz w:val="20"/>
          <w:szCs w:val="20"/>
        </w:rPr>
        <w:t> </w:t>
      </w:r>
      <w:r>
        <w:rPr>
          <w:color w:val="auto"/>
          <w:sz w:val="20"/>
          <w:szCs w:val="20"/>
        </w:rPr>
        <w:t xml:space="preserve">dzielnic ościennych (program aktywności lokalnych) (43), </w:t>
      </w:r>
    </w:p>
    <w:p w:rsidR="00626FC8" w:rsidRDefault="00626FC8" w:rsidP="006254F7">
      <w:pPr>
        <w:pStyle w:val="Akapitzlist"/>
        <w:numPr>
          <w:ilvl w:val="0"/>
          <w:numId w:val="723"/>
        </w:numPr>
        <w:spacing w:after="0" w:line="259" w:lineRule="auto"/>
        <w:contextualSpacing/>
        <w:jc w:val="both"/>
        <w:rPr>
          <w:rFonts w:cs="Calibri"/>
          <w:sz w:val="20"/>
          <w:szCs w:val="20"/>
        </w:rPr>
      </w:pPr>
      <w:r>
        <w:rPr>
          <w:rFonts w:cs="Calibri"/>
          <w:sz w:val="20"/>
          <w:szCs w:val="20"/>
        </w:rPr>
        <w:t>KRYSTYNA Integracja 9.1.3 (46),</w:t>
      </w:r>
    </w:p>
    <w:p w:rsidR="00626FC8" w:rsidRDefault="00626FC8" w:rsidP="00626FC8">
      <w:pPr>
        <w:pStyle w:val="Akapitzlist"/>
        <w:numPr>
          <w:ilvl w:val="0"/>
          <w:numId w:val="723"/>
        </w:numPr>
        <w:spacing w:after="160" w:line="259" w:lineRule="auto"/>
        <w:contextualSpacing/>
        <w:jc w:val="both"/>
        <w:rPr>
          <w:rFonts w:cs="Calibri"/>
          <w:sz w:val="20"/>
          <w:szCs w:val="20"/>
        </w:rPr>
      </w:pPr>
      <w:r>
        <w:rPr>
          <w:sz w:val="20"/>
          <w:szCs w:val="20"/>
        </w:rPr>
        <w:t>KRYSTYNA Usługowa 9.2.3 (70),</w:t>
      </w:r>
    </w:p>
    <w:p w:rsidR="00626FC8" w:rsidRDefault="00626FC8" w:rsidP="00626FC8">
      <w:pPr>
        <w:pStyle w:val="Akapitzlist"/>
        <w:numPr>
          <w:ilvl w:val="0"/>
          <w:numId w:val="723"/>
        </w:numPr>
        <w:spacing w:after="160" w:line="259" w:lineRule="auto"/>
        <w:contextualSpacing/>
        <w:jc w:val="both"/>
        <w:rPr>
          <w:rFonts w:cs="Calibri"/>
          <w:sz w:val="20"/>
          <w:szCs w:val="20"/>
        </w:rPr>
      </w:pPr>
      <w:r>
        <w:rPr>
          <w:rFonts w:cs="Calibri"/>
          <w:sz w:val="20"/>
          <w:szCs w:val="20"/>
        </w:rPr>
        <w:t>KRYSTYNA Rozwojowa 11.1.4 (77),</w:t>
      </w:r>
    </w:p>
    <w:p w:rsidR="00626FC8" w:rsidRDefault="00626FC8" w:rsidP="00626FC8">
      <w:pPr>
        <w:pStyle w:val="Akapitzlist"/>
        <w:numPr>
          <w:ilvl w:val="0"/>
          <w:numId w:val="723"/>
        </w:numPr>
        <w:spacing w:after="160" w:line="259" w:lineRule="auto"/>
        <w:contextualSpacing/>
        <w:jc w:val="both"/>
        <w:rPr>
          <w:rFonts w:cs="Calibri"/>
          <w:sz w:val="20"/>
          <w:szCs w:val="20"/>
        </w:rPr>
      </w:pPr>
      <w:r>
        <w:rPr>
          <w:sz w:val="20"/>
          <w:szCs w:val="20"/>
        </w:rPr>
        <w:t>Makerspace - FabLab KRYSTYNA (127),</w:t>
      </w:r>
    </w:p>
    <w:p w:rsidR="00626FC8" w:rsidRDefault="00626FC8" w:rsidP="00626FC8">
      <w:pPr>
        <w:pStyle w:val="Default"/>
        <w:jc w:val="both"/>
        <w:rPr>
          <w:b/>
          <w:bCs/>
          <w:color w:val="auto"/>
          <w:sz w:val="20"/>
          <w:szCs w:val="20"/>
        </w:rPr>
      </w:pPr>
      <w:r>
        <w:rPr>
          <w:b/>
          <w:bCs/>
          <w:color w:val="auto"/>
          <w:sz w:val="20"/>
          <w:szCs w:val="20"/>
        </w:rPr>
        <w:t>Cel Operacyjny 1.3 Wysoki poziom dostępności udogodnień umożliwiających podnoszenie kwalifikacji mieszkańców, usuwanie barier w powrocie na rynek pracy oraz wzrastający poziom motywacji wewnętrznej mieszkańców w zakresie realizacji karier zawodowych – projekty:</w:t>
      </w:r>
    </w:p>
    <w:p w:rsidR="00626FC8" w:rsidRDefault="00626FC8" w:rsidP="006254F7">
      <w:pPr>
        <w:pStyle w:val="Default"/>
        <w:spacing w:after="11"/>
        <w:ind w:left="360"/>
        <w:jc w:val="both"/>
        <w:rPr>
          <w:color w:val="auto"/>
          <w:sz w:val="20"/>
          <w:szCs w:val="20"/>
        </w:rPr>
      </w:pPr>
      <w:r>
        <w:rPr>
          <w:rFonts w:ascii="Wingdings" w:hAnsi="Wingdings" w:cs="Wingdings"/>
          <w:color w:val="auto"/>
          <w:sz w:val="20"/>
          <w:szCs w:val="20"/>
        </w:rPr>
        <w:t></w:t>
      </w:r>
      <w:r>
        <w:rPr>
          <w:rFonts w:ascii="Wingdings" w:hAnsi="Wingdings" w:cs="Wingdings"/>
          <w:color w:val="auto"/>
          <w:sz w:val="20"/>
          <w:szCs w:val="20"/>
        </w:rPr>
        <w:t></w:t>
      </w:r>
      <w:r>
        <w:rPr>
          <w:color w:val="auto"/>
          <w:sz w:val="20"/>
          <w:szCs w:val="20"/>
        </w:rPr>
        <w:t xml:space="preserve">Poprawa zdolności do zatrudnienia osób poszukujących pracy i pozostających bez pracy na obszarach rewitalizowanych (5), </w:t>
      </w:r>
    </w:p>
    <w:p w:rsidR="00626FC8" w:rsidRDefault="00626FC8" w:rsidP="00626FC8">
      <w:pPr>
        <w:pStyle w:val="Default"/>
        <w:numPr>
          <w:ilvl w:val="0"/>
          <w:numId w:val="723"/>
        </w:numPr>
        <w:jc w:val="both"/>
        <w:rPr>
          <w:color w:val="auto"/>
          <w:sz w:val="20"/>
          <w:szCs w:val="20"/>
        </w:rPr>
      </w:pPr>
      <w:r>
        <w:rPr>
          <w:color w:val="auto"/>
          <w:sz w:val="20"/>
          <w:szCs w:val="20"/>
        </w:rPr>
        <w:t>KRYSTYNA Aktywne Zatrudnienie 7.1.3 (7),</w:t>
      </w:r>
    </w:p>
    <w:p w:rsidR="00626FC8" w:rsidRDefault="00626FC8" w:rsidP="00626FC8">
      <w:pPr>
        <w:pStyle w:val="Default"/>
        <w:numPr>
          <w:ilvl w:val="0"/>
          <w:numId w:val="723"/>
        </w:numPr>
        <w:spacing w:after="11"/>
        <w:jc w:val="both"/>
        <w:rPr>
          <w:color w:val="auto"/>
          <w:sz w:val="20"/>
          <w:szCs w:val="20"/>
        </w:rPr>
      </w:pPr>
      <w:r>
        <w:rPr>
          <w:color w:val="auto"/>
          <w:sz w:val="20"/>
          <w:szCs w:val="20"/>
        </w:rPr>
        <w:t>KRYSTYNA Promocja zatrudnienia 7.3.3 (16),</w:t>
      </w:r>
    </w:p>
    <w:p w:rsidR="00626FC8" w:rsidRDefault="00626FC8" w:rsidP="00626FC8">
      <w:pPr>
        <w:pStyle w:val="Default"/>
        <w:numPr>
          <w:ilvl w:val="0"/>
          <w:numId w:val="723"/>
        </w:numPr>
        <w:spacing w:after="11"/>
        <w:jc w:val="both"/>
        <w:rPr>
          <w:color w:val="auto"/>
          <w:sz w:val="20"/>
          <w:szCs w:val="20"/>
        </w:rPr>
      </w:pPr>
      <w:r>
        <w:rPr>
          <w:color w:val="auto"/>
          <w:sz w:val="20"/>
          <w:szCs w:val="20"/>
        </w:rPr>
        <w:t>KRYSTYNA Outplacement 7.4.2 (18),</w:t>
      </w:r>
    </w:p>
    <w:p w:rsidR="00626FC8" w:rsidRDefault="00626FC8" w:rsidP="006254F7">
      <w:pPr>
        <w:pStyle w:val="Akapitzlist"/>
        <w:numPr>
          <w:ilvl w:val="0"/>
          <w:numId w:val="723"/>
        </w:numPr>
        <w:spacing w:after="0" w:line="259" w:lineRule="auto"/>
        <w:contextualSpacing/>
        <w:jc w:val="both"/>
        <w:rPr>
          <w:rFonts w:cs="Calibri"/>
          <w:sz w:val="20"/>
          <w:szCs w:val="20"/>
        </w:rPr>
      </w:pPr>
      <w:r>
        <w:rPr>
          <w:rFonts w:cs="Calibri"/>
          <w:sz w:val="20"/>
          <w:szCs w:val="20"/>
        </w:rPr>
        <w:t>KRYSTYNA Opiekunka 8.1.3 (21),</w:t>
      </w:r>
    </w:p>
    <w:p w:rsidR="00626FC8" w:rsidRDefault="00626FC8" w:rsidP="006254F7">
      <w:pPr>
        <w:pStyle w:val="Default"/>
        <w:numPr>
          <w:ilvl w:val="0"/>
          <w:numId w:val="723"/>
        </w:numPr>
        <w:jc w:val="both"/>
        <w:rPr>
          <w:color w:val="auto"/>
          <w:sz w:val="20"/>
          <w:szCs w:val="20"/>
        </w:rPr>
      </w:pPr>
      <w:r>
        <w:rPr>
          <w:color w:val="auto"/>
          <w:sz w:val="20"/>
          <w:szCs w:val="20"/>
        </w:rPr>
        <w:t>Aktywizacja i integracja społeczna mieszkańców Bytomia, w szczególności dzielnicy Szombierki i</w:t>
      </w:r>
      <w:r w:rsidR="001F4FD4">
        <w:rPr>
          <w:color w:val="auto"/>
          <w:sz w:val="20"/>
          <w:szCs w:val="20"/>
        </w:rPr>
        <w:t> </w:t>
      </w:r>
      <w:r>
        <w:rPr>
          <w:color w:val="auto"/>
          <w:sz w:val="20"/>
          <w:szCs w:val="20"/>
        </w:rPr>
        <w:t xml:space="preserve">dzielnic ościennych (program aktywności lokalnych) (43), </w:t>
      </w:r>
    </w:p>
    <w:p w:rsidR="00626FC8" w:rsidRDefault="00626FC8" w:rsidP="006254F7">
      <w:pPr>
        <w:pStyle w:val="Akapitzlist"/>
        <w:numPr>
          <w:ilvl w:val="0"/>
          <w:numId w:val="723"/>
        </w:numPr>
        <w:spacing w:after="0" w:line="259" w:lineRule="auto"/>
        <w:contextualSpacing/>
        <w:jc w:val="both"/>
        <w:rPr>
          <w:rFonts w:cs="Calibri"/>
          <w:sz w:val="20"/>
          <w:szCs w:val="20"/>
        </w:rPr>
      </w:pPr>
      <w:r>
        <w:rPr>
          <w:rFonts w:cs="Calibri"/>
          <w:sz w:val="20"/>
          <w:szCs w:val="20"/>
        </w:rPr>
        <w:t>KRYSTYNA Integracja 9.1.3 (46),</w:t>
      </w:r>
    </w:p>
    <w:p w:rsidR="00626FC8" w:rsidRDefault="00626FC8" w:rsidP="00626FC8">
      <w:pPr>
        <w:pStyle w:val="Akapitzlist"/>
        <w:numPr>
          <w:ilvl w:val="0"/>
          <w:numId w:val="723"/>
        </w:numPr>
        <w:spacing w:after="160" w:line="259" w:lineRule="auto"/>
        <w:contextualSpacing/>
        <w:jc w:val="both"/>
        <w:rPr>
          <w:rFonts w:cs="Calibri"/>
          <w:sz w:val="20"/>
          <w:szCs w:val="20"/>
        </w:rPr>
      </w:pPr>
      <w:r>
        <w:rPr>
          <w:sz w:val="20"/>
          <w:szCs w:val="20"/>
        </w:rPr>
        <w:t>KRYSTYNA Usługowa 9.2.3 (70),</w:t>
      </w:r>
    </w:p>
    <w:p w:rsidR="00626FC8" w:rsidRDefault="00626FC8" w:rsidP="00626FC8">
      <w:pPr>
        <w:pStyle w:val="Akapitzlist"/>
        <w:numPr>
          <w:ilvl w:val="0"/>
          <w:numId w:val="723"/>
        </w:numPr>
        <w:spacing w:after="160" w:line="259" w:lineRule="auto"/>
        <w:contextualSpacing/>
        <w:jc w:val="both"/>
        <w:rPr>
          <w:rFonts w:cs="Calibri"/>
          <w:sz w:val="20"/>
          <w:szCs w:val="20"/>
        </w:rPr>
      </w:pPr>
      <w:r>
        <w:rPr>
          <w:rFonts w:cs="Calibri"/>
          <w:sz w:val="20"/>
          <w:szCs w:val="20"/>
        </w:rPr>
        <w:t>KRYSTYNA Rozwojowa 11.1.4 (77),</w:t>
      </w:r>
    </w:p>
    <w:p w:rsidR="00626FC8" w:rsidRPr="00823075" w:rsidRDefault="00626FC8" w:rsidP="00626FC8">
      <w:pPr>
        <w:pStyle w:val="Akapitzlist"/>
        <w:numPr>
          <w:ilvl w:val="0"/>
          <w:numId w:val="723"/>
        </w:numPr>
        <w:spacing w:after="160" w:line="259" w:lineRule="auto"/>
        <w:contextualSpacing/>
        <w:jc w:val="both"/>
        <w:rPr>
          <w:rFonts w:cs="Calibri"/>
          <w:sz w:val="20"/>
          <w:szCs w:val="20"/>
        </w:rPr>
      </w:pPr>
      <w:r>
        <w:rPr>
          <w:sz w:val="20"/>
          <w:szCs w:val="20"/>
        </w:rPr>
        <w:t>Makerspace - FabLab KRYSTYNA (127),</w:t>
      </w:r>
    </w:p>
    <w:p w:rsidR="00273B97" w:rsidRPr="00991775" w:rsidRDefault="00273B97" w:rsidP="009C1D86">
      <w:pPr>
        <w:pStyle w:val="Akapitzlist"/>
        <w:numPr>
          <w:ilvl w:val="0"/>
          <w:numId w:val="723"/>
        </w:numPr>
        <w:shd w:val="clear" w:color="auto" w:fill="F2F2F2" w:themeFill="background1" w:themeFillShade="F2"/>
        <w:spacing w:after="160" w:line="259" w:lineRule="auto"/>
        <w:contextualSpacing/>
        <w:jc w:val="both"/>
        <w:rPr>
          <w:rFonts w:cs="Calibri"/>
          <w:sz w:val="20"/>
          <w:szCs w:val="20"/>
        </w:rPr>
      </w:pPr>
      <w:r w:rsidRPr="00991775">
        <w:rPr>
          <w:rFonts w:cs="Calibri"/>
          <w:sz w:val="20"/>
          <w:szCs w:val="20"/>
        </w:rPr>
        <w:t>Czas na zmiany - nowe perspektywy (RAZEM) z Centrum Integracji Społecznej (133),</w:t>
      </w:r>
    </w:p>
    <w:p w:rsidR="00273B97" w:rsidRPr="00991775" w:rsidRDefault="00273B97" w:rsidP="009C1D86">
      <w:pPr>
        <w:pStyle w:val="Akapitzlist"/>
        <w:numPr>
          <w:ilvl w:val="0"/>
          <w:numId w:val="723"/>
        </w:numPr>
        <w:shd w:val="clear" w:color="auto" w:fill="F2F2F2" w:themeFill="background1" w:themeFillShade="F2"/>
        <w:spacing w:after="160" w:line="259" w:lineRule="auto"/>
        <w:contextualSpacing/>
        <w:jc w:val="both"/>
        <w:rPr>
          <w:rFonts w:cs="Calibri"/>
          <w:sz w:val="20"/>
          <w:szCs w:val="20"/>
        </w:rPr>
      </w:pPr>
      <w:r w:rsidRPr="00991775">
        <w:rPr>
          <w:sz w:val="20"/>
          <w:szCs w:val="20"/>
        </w:rPr>
        <w:t>Razem do celu (136).</w:t>
      </w:r>
    </w:p>
    <w:p w:rsidR="00626FC8" w:rsidRDefault="00626FC8" w:rsidP="00626FC8">
      <w:pPr>
        <w:pStyle w:val="Default"/>
        <w:jc w:val="both"/>
        <w:rPr>
          <w:b/>
          <w:bCs/>
          <w:color w:val="auto"/>
          <w:sz w:val="20"/>
          <w:szCs w:val="20"/>
        </w:rPr>
      </w:pPr>
      <w:r>
        <w:rPr>
          <w:b/>
          <w:bCs/>
          <w:color w:val="auto"/>
          <w:sz w:val="20"/>
          <w:szCs w:val="20"/>
        </w:rPr>
        <w:t>Cel Operacyjny 2.1 Ograniczona skala negatywnych zjawisk społecznych oraz wzrost dostępności do prorozwojowych usług publicznych – projekty:</w:t>
      </w:r>
    </w:p>
    <w:p w:rsidR="00626FC8" w:rsidRDefault="00626FC8" w:rsidP="00151DEA">
      <w:pPr>
        <w:pStyle w:val="Default"/>
        <w:numPr>
          <w:ilvl w:val="0"/>
          <w:numId w:val="723"/>
        </w:numPr>
        <w:ind w:left="714" w:hanging="357"/>
        <w:jc w:val="both"/>
        <w:rPr>
          <w:color w:val="auto"/>
          <w:sz w:val="20"/>
          <w:szCs w:val="20"/>
        </w:rPr>
      </w:pPr>
      <w:r>
        <w:rPr>
          <w:color w:val="auto"/>
          <w:sz w:val="20"/>
          <w:szCs w:val="20"/>
        </w:rPr>
        <w:t xml:space="preserve">Rewitalizacja z Klubem Integracji Społecznej edycja I (25), </w:t>
      </w:r>
    </w:p>
    <w:p w:rsidR="00626FC8" w:rsidRDefault="00626FC8" w:rsidP="00151DEA">
      <w:pPr>
        <w:pStyle w:val="Default"/>
        <w:numPr>
          <w:ilvl w:val="0"/>
          <w:numId w:val="723"/>
        </w:numPr>
        <w:ind w:left="714" w:hanging="357"/>
        <w:jc w:val="both"/>
        <w:rPr>
          <w:color w:val="auto"/>
          <w:sz w:val="20"/>
          <w:szCs w:val="20"/>
        </w:rPr>
      </w:pPr>
      <w:r>
        <w:rPr>
          <w:color w:val="auto"/>
          <w:sz w:val="20"/>
          <w:szCs w:val="20"/>
        </w:rPr>
        <w:t xml:space="preserve">Rewitalizacja z Klubem Integracji Społecznej edycja II (26), </w:t>
      </w:r>
    </w:p>
    <w:p w:rsidR="00626FC8" w:rsidRDefault="00626FC8" w:rsidP="00151DEA">
      <w:pPr>
        <w:pStyle w:val="Default"/>
        <w:numPr>
          <w:ilvl w:val="0"/>
          <w:numId w:val="723"/>
        </w:numPr>
        <w:ind w:left="714" w:hanging="357"/>
        <w:jc w:val="both"/>
        <w:rPr>
          <w:color w:val="auto"/>
          <w:sz w:val="20"/>
          <w:szCs w:val="20"/>
        </w:rPr>
      </w:pPr>
      <w:r>
        <w:rPr>
          <w:color w:val="auto"/>
          <w:sz w:val="20"/>
          <w:szCs w:val="20"/>
        </w:rPr>
        <w:t>Rewitalizacja z Klubem Integracji Społecznej edycja III (27),</w:t>
      </w:r>
    </w:p>
    <w:p w:rsidR="00626FC8" w:rsidRDefault="00626FC8" w:rsidP="00151DEA">
      <w:pPr>
        <w:pStyle w:val="Akapitzlist"/>
        <w:numPr>
          <w:ilvl w:val="0"/>
          <w:numId w:val="723"/>
        </w:numPr>
        <w:spacing w:after="0" w:line="240" w:lineRule="auto"/>
        <w:ind w:left="714" w:hanging="357"/>
        <w:contextualSpacing/>
        <w:jc w:val="both"/>
        <w:rPr>
          <w:rFonts w:cs="Calibri"/>
          <w:sz w:val="20"/>
          <w:szCs w:val="20"/>
        </w:rPr>
      </w:pPr>
      <w:r>
        <w:rPr>
          <w:rFonts w:cs="Calibri"/>
          <w:sz w:val="20"/>
          <w:szCs w:val="20"/>
        </w:rPr>
        <w:t>KRYSTYNA Integracja 9.1.3 (46),</w:t>
      </w:r>
    </w:p>
    <w:p w:rsidR="00626FC8" w:rsidRDefault="00626FC8" w:rsidP="00151DEA">
      <w:pPr>
        <w:pStyle w:val="Akapitzlist"/>
        <w:numPr>
          <w:ilvl w:val="0"/>
          <w:numId w:val="723"/>
        </w:numPr>
        <w:spacing w:after="0" w:line="240" w:lineRule="auto"/>
        <w:ind w:left="714" w:hanging="357"/>
        <w:contextualSpacing/>
        <w:jc w:val="both"/>
        <w:rPr>
          <w:rFonts w:cs="Calibri"/>
          <w:sz w:val="20"/>
          <w:szCs w:val="20"/>
        </w:rPr>
      </w:pPr>
      <w:r>
        <w:rPr>
          <w:sz w:val="20"/>
          <w:szCs w:val="20"/>
        </w:rPr>
        <w:t>KRYSTYNA Usługowa 9.2.3 (70),</w:t>
      </w:r>
    </w:p>
    <w:p w:rsidR="00626FC8" w:rsidRPr="005A084A" w:rsidRDefault="00626FC8" w:rsidP="00151DEA">
      <w:pPr>
        <w:pStyle w:val="Akapitzlist"/>
        <w:numPr>
          <w:ilvl w:val="0"/>
          <w:numId w:val="723"/>
        </w:numPr>
        <w:spacing w:after="0" w:line="240" w:lineRule="auto"/>
        <w:ind w:left="714" w:hanging="357"/>
        <w:contextualSpacing/>
        <w:jc w:val="both"/>
        <w:rPr>
          <w:rFonts w:cs="Calibri"/>
          <w:sz w:val="20"/>
          <w:szCs w:val="20"/>
        </w:rPr>
      </w:pPr>
      <w:r>
        <w:rPr>
          <w:sz w:val="20"/>
          <w:szCs w:val="20"/>
        </w:rPr>
        <w:t>KRYSTYNA Przedszkolna 11.1.3 (73)</w:t>
      </w:r>
      <w:r w:rsidR="005A084A">
        <w:rPr>
          <w:sz w:val="20"/>
          <w:szCs w:val="20"/>
        </w:rPr>
        <w:t>,</w:t>
      </w:r>
    </w:p>
    <w:p w:rsidR="00273B97" w:rsidRPr="00991775" w:rsidRDefault="00273B97" w:rsidP="009C1D86">
      <w:pPr>
        <w:pStyle w:val="Akapitzlist"/>
        <w:numPr>
          <w:ilvl w:val="0"/>
          <w:numId w:val="723"/>
        </w:numPr>
        <w:shd w:val="clear" w:color="auto" w:fill="F2F2F2" w:themeFill="background1" w:themeFillShade="F2"/>
        <w:spacing w:after="0" w:line="240" w:lineRule="auto"/>
        <w:ind w:left="714" w:hanging="357"/>
        <w:contextualSpacing/>
        <w:jc w:val="both"/>
        <w:rPr>
          <w:rFonts w:cs="Calibri"/>
          <w:sz w:val="20"/>
          <w:szCs w:val="20"/>
        </w:rPr>
      </w:pPr>
      <w:r w:rsidRPr="00991775">
        <w:rPr>
          <w:rFonts w:cs="Calibri"/>
          <w:sz w:val="20"/>
          <w:szCs w:val="20"/>
        </w:rPr>
        <w:t>Czas na zmiany - nowe perspektywy (RAZEM) z Centrum Integracji Społecznej (133),</w:t>
      </w:r>
    </w:p>
    <w:p w:rsidR="00273B97" w:rsidRPr="00991775" w:rsidRDefault="00273B97" w:rsidP="009C1D86">
      <w:pPr>
        <w:pStyle w:val="Akapitzlist"/>
        <w:numPr>
          <w:ilvl w:val="0"/>
          <w:numId w:val="723"/>
        </w:numPr>
        <w:shd w:val="clear" w:color="auto" w:fill="F2F2F2" w:themeFill="background1" w:themeFillShade="F2"/>
        <w:spacing w:after="0" w:line="240" w:lineRule="auto"/>
        <w:ind w:left="714" w:hanging="357"/>
        <w:contextualSpacing/>
        <w:jc w:val="both"/>
        <w:rPr>
          <w:rFonts w:cs="Calibri"/>
          <w:sz w:val="20"/>
          <w:szCs w:val="20"/>
        </w:rPr>
      </w:pPr>
      <w:r w:rsidRPr="00991775">
        <w:rPr>
          <w:rFonts w:cs="Calibri"/>
          <w:sz w:val="20"/>
          <w:szCs w:val="20"/>
        </w:rPr>
        <w:t>Centrum Wsparcia Rodziny – CWR I (134),</w:t>
      </w:r>
    </w:p>
    <w:p w:rsidR="00273B97" w:rsidRPr="00991775" w:rsidRDefault="00273B97" w:rsidP="009C1D86">
      <w:pPr>
        <w:pStyle w:val="Akapitzlist"/>
        <w:numPr>
          <w:ilvl w:val="0"/>
          <w:numId w:val="723"/>
        </w:numPr>
        <w:shd w:val="clear" w:color="auto" w:fill="F2F2F2" w:themeFill="background1" w:themeFillShade="F2"/>
        <w:spacing w:after="0" w:line="240" w:lineRule="auto"/>
        <w:ind w:left="714" w:hanging="357"/>
        <w:contextualSpacing/>
        <w:jc w:val="both"/>
        <w:rPr>
          <w:rFonts w:cs="Calibri"/>
          <w:sz w:val="20"/>
          <w:szCs w:val="20"/>
        </w:rPr>
      </w:pPr>
      <w:r w:rsidRPr="00991775">
        <w:rPr>
          <w:rFonts w:cs="Calibri"/>
          <w:sz w:val="20"/>
          <w:szCs w:val="20"/>
        </w:rPr>
        <w:t>Centrum Wsparcia Rodzicielstwa Zastępczego – CWRZ I (135),</w:t>
      </w:r>
    </w:p>
    <w:p w:rsidR="00273B97" w:rsidRPr="00991775" w:rsidRDefault="00273B97" w:rsidP="009C1D86">
      <w:pPr>
        <w:pStyle w:val="Akapitzlist"/>
        <w:numPr>
          <w:ilvl w:val="0"/>
          <w:numId w:val="723"/>
        </w:numPr>
        <w:shd w:val="clear" w:color="auto" w:fill="F2F2F2" w:themeFill="background1" w:themeFillShade="F2"/>
        <w:spacing w:after="160" w:line="240" w:lineRule="auto"/>
        <w:ind w:left="714" w:hanging="357"/>
        <w:contextualSpacing/>
        <w:jc w:val="both"/>
        <w:rPr>
          <w:rFonts w:cs="Calibri"/>
          <w:sz w:val="20"/>
          <w:szCs w:val="20"/>
        </w:rPr>
      </w:pPr>
      <w:r w:rsidRPr="00991775">
        <w:rPr>
          <w:sz w:val="20"/>
          <w:szCs w:val="20"/>
        </w:rPr>
        <w:t>Razem do celu (136).</w:t>
      </w:r>
    </w:p>
    <w:p w:rsidR="00626FC8" w:rsidRDefault="00626FC8" w:rsidP="00626FC8">
      <w:pPr>
        <w:pStyle w:val="Default"/>
        <w:jc w:val="both"/>
        <w:rPr>
          <w:b/>
          <w:bCs/>
          <w:color w:val="auto"/>
          <w:sz w:val="20"/>
          <w:szCs w:val="20"/>
        </w:rPr>
      </w:pPr>
      <w:r>
        <w:rPr>
          <w:b/>
          <w:bCs/>
          <w:color w:val="auto"/>
          <w:sz w:val="20"/>
          <w:szCs w:val="20"/>
        </w:rPr>
        <w:t>Cel Operacyjny 2.2 Społeczności lokalne zintegrowane wokół tradycji dzielnic oraz oddolnych inicjatyw realizowanych przez mieszkańców na rzecz wspólnoty lokalnej – projekty:</w:t>
      </w:r>
    </w:p>
    <w:p w:rsidR="00626FC8" w:rsidRDefault="00626FC8" w:rsidP="006254F7">
      <w:pPr>
        <w:pStyle w:val="Akapitzlist"/>
        <w:numPr>
          <w:ilvl w:val="0"/>
          <w:numId w:val="723"/>
        </w:numPr>
        <w:spacing w:after="0" w:line="259" w:lineRule="auto"/>
        <w:contextualSpacing/>
        <w:jc w:val="both"/>
        <w:rPr>
          <w:rFonts w:cs="Calibri"/>
          <w:sz w:val="20"/>
          <w:szCs w:val="20"/>
        </w:rPr>
      </w:pPr>
      <w:r>
        <w:rPr>
          <w:rFonts w:cs="Calibri"/>
          <w:sz w:val="20"/>
          <w:szCs w:val="20"/>
        </w:rPr>
        <w:t>KRYSTYNA Integracja 9.1.3 (46),</w:t>
      </w:r>
    </w:p>
    <w:p w:rsidR="00626FC8" w:rsidRDefault="00626FC8" w:rsidP="00626FC8">
      <w:pPr>
        <w:pStyle w:val="Akapitzlist"/>
        <w:numPr>
          <w:ilvl w:val="0"/>
          <w:numId w:val="723"/>
        </w:numPr>
        <w:spacing w:after="0" w:line="259" w:lineRule="auto"/>
        <w:contextualSpacing/>
        <w:jc w:val="both"/>
        <w:rPr>
          <w:rFonts w:cs="Calibri"/>
          <w:sz w:val="20"/>
          <w:szCs w:val="20"/>
        </w:rPr>
      </w:pPr>
      <w:r>
        <w:rPr>
          <w:sz w:val="20"/>
          <w:szCs w:val="20"/>
        </w:rPr>
        <w:t>KRYSTYNA Usługowa 9.2.3 (70),</w:t>
      </w:r>
    </w:p>
    <w:p w:rsidR="00626FC8" w:rsidRDefault="00626FC8" w:rsidP="00626FC8">
      <w:pPr>
        <w:pStyle w:val="Akapitzlist"/>
        <w:numPr>
          <w:ilvl w:val="0"/>
          <w:numId w:val="723"/>
        </w:numPr>
        <w:spacing w:after="0" w:line="259" w:lineRule="auto"/>
        <w:contextualSpacing/>
        <w:jc w:val="both"/>
        <w:rPr>
          <w:rFonts w:cs="Calibri"/>
          <w:sz w:val="20"/>
          <w:szCs w:val="20"/>
        </w:rPr>
      </w:pPr>
      <w:r>
        <w:rPr>
          <w:rFonts w:cs="Calibri"/>
          <w:sz w:val="20"/>
          <w:szCs w:val="20"/>
        </w:rPr>
        <w:t>KRYSTYNA Rozwojowa 11.1.4 (77),</w:t>
      </w:r>
    </w:p>
    <w:p w:rsidR="00626FC8" w:rsidRDefault="00626FC8" w:rsidP="00626FC8">
      <w:pPr>
        <w:pStyle w:val="Akapitzlist"/>
        <w:numPr>
          <w:ilvl w:val="0"/>
          <w:numId w:val="723"/>
        </w:numPr>
        <w:spacing w:after="160" w:line="259" w:lineRule="auto"/>
        <w:contextualSpacing/>
        <w:jc w:val="both"/>
        <w:rPr>
          <w:rFonts w:cs="Calibri"/>
          <w:sz w:val="20"/>
          <w:szCs w:val="20"/>
        </w:rPr>
      </w:pPr>
      <w:r>
        <w:rPr>
          <w:sz w:val="20"/>
          <w:szCs w:val="20"/>
        </w:rPr>
        <w:t>Makerspace - FabLab KRYSTYNA (127),</w:t>
      </w:r>
    </w:p>
    <w:p w:rsidR="00626FC8" w:rsidRDefault="00626FC8" w:rsidP="00626FC8">
      <w:pPr>
        <w:pStyle w:val="Default"/>
        <w:jc w:val="both"/>
        <w:rPr>
          <w:sz w:val="20"/>
          <w:szCs w:val="20"/>
        </w:rPr>
      </w:pPr>
      <w:r>
        <w:rPr>
          <w:b/>
          <w:bCs/>
          <w:color w:val="auto"/>
          <w:sz w:val="20"/>
          <w:szCs w:val="20"/>
        </w:rPr>
        <w:t>Cel Operacyjny 3.1 Odpowiadająca współczesnym standardom cywilizacyjnym jakość zabudowy na obszarach rewitalizowanych oraz wzrost odpowiedzialności mieszkańców za komunalny zasób mieszkaniowy – projekty:</w:t>
      </w:r>
    </w:p>
    <w:p w:rsidR="00626FC8" w:rsidRDefault="00626FC8" w:rsidP="006254F7">
      <w:pPr>
        <w:pStyle w:val="Default"/>
        <w:numPr>
          <w:ilvl w:val="0"/>
          <w:numId w:val="725"/>
        </w:numPr>
        <w:spacing w:after="11"/>
        <w:jc w:val="both"/>
        <w:rPr>
          <w:color w:val="auto"/>
          <w:sz w:val="20"/>
          <w:szCs w:val="20"/>
        </w:rPr>
      </w:pPr>
      <w:r>
        <w:rPr>
          <w:color w:val="auto"/>
          <w:sz w:val="20"/>
          <w:szCs w:val="20"/>
        </w:rPr>
        <w:t>KRYSTYNA Outplacement 7.4.2 (18),</w:t>
      </w:r>
    </w:p>
    <w:p w:rsidR="00626FC8" w:rsidRDefault="00626FC8" w:rsidP="006254F7">
      <w:pPr>
        <w:pStyle w:val="Akapitzlist"/>
        <w:numPr>
          <w:ilvl w:val="0"/>
          <w:numId w:val="725"/>
        </w:numPr>
        <w:spacing w:after="0" w:line="259" w:lineRule="auto"/>
        <w:contextualSpacing/>
        <w:jc w:val="both"/>
        <w:rPr>
          <w:rFonts w:cs="Calibri"/>
          <w:sz w:val="20"/>
          <w:szCs w:val="20"/>
        </w:rPr>
      </w:pPr>
      <w:r>
        <w:rPr>
          <w:rFonts w:cs="Calibri"/>
          <w:sz w:val="20"/>
          <w:szCs w:val="20"/>
        </w:rPr>
        <w:t>KRYSTYNA Integracja 9.1.3 (46),</w:t>
      </w:r>
    </w:p>
    <w:p w:rsidR="00626FC8" w:rsidRDefault="00626FC8" w:rsidP="006254F7">
      <w:pPr>
        <w:pStyle w:val="Akapitzlist"/>
        <w:numPr>
          <w:ilvl w:val="0"/>
          <w:numId w:val="725"/>
        </w:numPr>
        <w:spacing w:after="0" w:line="259" w:lineRule="auto"/>
        <w:contextualSpacing/>
        <w:jc w:val="both"/>
        <w:rPr>
          <w:rFonts w:cs="Calibri"/>
          <w:sz w:val="20"/>
          <w:szCs w:val="20"/>
        </w:rPr>
      </w:pPr>
      <w:r>
        <w:rPr>
          <w:sz w:val="20"/>
          <w:szCs w:val="20"/>
        </w:rPr>
        <w:t>KRYSTYNA Usługowa 9.2.3 (70),</w:t>
      </w:r>
    </w:p>
    <w:p w:rsidR="00626FC8" w:rsidRDefault="00626FC8" w:rsidP="006254F7">
      <w:pPr>
        <w:pStyle w:val="Akapitzlist"/>
        <w:numPr>
          <w:ilvl w:val="0"/>
          <w:numId w:val="725"/>
        </w:numPr>
        <w:spacing w:after="0" w:line="259" w:lineRule="auto"/>
        <w:contextualSpacing/>
        <w:jc w:val="both"/>
        <w:rPr>
          <w:rFonts w:cs="Calibri"/>
          <w:sz w:val="20"/>
          <w:szCs w:val="20"/>
        </w:rPr>
      </w:pPr>
      <w:r>
        <w:rPr>
          <w:rFonts w:cs="Calibri"/>
          <w:sz w:val="20"/>
          <w:szCs w:val="20"/>
        </w:rPr>
        <w:t>KRYSTYNA Rozwojowa 11.1.4 (77),</w:t>
      </w:r>
    </w:p>
    <w:p w:rsidR="00626FC8" w:rsidRDefault="00626FC8" w:rsidP="006254F7">
      <w:pPr>
        <w:pStyle w:val="Default"/>
        <w:numPr>
          <w:ilvl w:val="0"/>
          <w:numId w:val="725"/>
        </w:numPr>
        <w:jc w:val="both"/>
        <w:rPr>
          <w:color w:val="auto"/>
          <w:sz w:val="20"/>
          <w:szCs w:val="20"/>
        </w:rPr>
      </w:pPr>
      <w:r>
        <w:rPr>
          <w:color w:val="auto"/>
          <w:sz w:val="20"/>
          <w:szCs w:val="20"/>
        </w:rPr>
        <w:t>Rewaloryzacja zespołu pałacowego Thiele-Wincklerów zlokalizowanego w Parku Ludowym przy ul.</w:t>
      </w:r>
      <w:r w:rsidR="001F4FD4">
        <w:rPr>
          <w:color w:val="auto"/>
          <w:sz w:val="20"/>
          <w:szCs w:val="20"/>
        </w:rPr>
        <w:t> </w:t>
      </w:r>
      <w:r>
        <w:rPr>
          <w:color w:val="auto"/>
          <w:sz w:val="20"/>
          <w:szCs w:val="20"/>
        </w:rPr>
        <w:t>Dzierżonia w Bytomiu-Miechowicach (92),</w:t>
      </w:r>
    </w:p>
    <w:p w:rsidR="00626FC8" w:rsidRDefault="00626FC8" w:rsidP="006254F7">
      <w:pPr>
        <w:pStyle w:val="Default"/>
        <w:numPr>
          <w:ilvl w:val="0"/>
          <w:numId w:val="725"/>
        </w:numPr>
        <w:jc w:val="both"/>
        <w:rPr>
          <w:color w:val="auto"/>
          <w:sz w:val="20"/>
          <w:szCs w:val="20"/>
        </w:rPr>
      </w:pPr>
      <w:r>
        <w:rPr>
          <w:color w:val="auto"/>
          <w:sz w:val="20"/>
          <w:szCs w:val="20"/>
        </w:rPr>
        <w:t>Przebudowa budynku po byłym hotelu robotniczym przy ul. Siemianowickiej 105 B w Bytomiu wraz ze zmianą sposobu użytkowania na funkcję mieszkalną (125),</w:t>
      </w:r>
    </w:p>
    <w:p w:rsidR="00626FC8" w:rsidRDefault="00626FC8" w:rsidP="006254F7">
      <w:pPr>
        <w:pStyle w:val="Akapitzlist"/>
        <w:numPr>
          <w:ilvl w:val="0"/>
          <w:numId w:val="725"/>
        </w:numPr>
        <w:spacing w:after="160" w:line="259" w:lineRule="auto"/>
        <w:contextualSpacing/>
        <w:jc w:val="both"/>
        <w:rPr>
          <w:rFonts w:cs="Calibri"/>
          <w:sz w:val="20"/>
          <w:szCs w:val="20"/>
        </w:rPr>
      </w:pPr>
      <w:r>
        <w:rPr>
          <w:sz w:val="20"/>
          <w:szCs w:val="20"/>
        </w:rPr>
        <w:t>Budowa nowej strażnicy Państwowej Straży Pożarnej z uwzględnieniem przystosowania pomieszczeń i</w:t>
      </w:r>
      <w:r w:rsidR="001F4FD4">
        <w:rPr>
          <w:sz w:val="20"/>
          <w:szCs w:val="20"/>
        </w:rPr>
        <w:t> </w:t>
      </w:r>
      <w:r>
        <w:rPr>
          <w:sz w:val="20"/>
          <w:szCs w:val="20"/>
        </w:rPr>
        <w:t>wyposażenia dla biura Bezpieczeństwa Miasta i Powiatowego Centrum Zarządzania Kryzysowego (126)</w:t>
      </w:r>
    </w:p>
    <w:p w:rsidR="00626FC8" w:rsidRDefault="00626FC8" w:rsidP="006254F7">
      <w:pPr>
        <w:pStyle w:val="Akapitzlist"/>
        <w:numPr>
          <w:ilvl w:val="0"/>
          <w:numId w:val="725"/>
        </w:numPr>
        <w:spacing w:after="160" w:line="259" w:lineRule="auto"/>
        <w:contextualSpacing/>
        <w:jc w:val="both"/>
        <w:rPr>
          <w:rFonts w:cs="Calibri"/>
          <w:sz w:val="20"/>
          <w:szCs w:val="20"/>
        </w:rPr>
      </w:pPr>
      <w:r>
        <w:rPr>
          <w:sz w:val="20"/>
          <w:szCs w:val="20"/>
        </w:rPr>
        <w:t>Makerspace - FabLab KRYSTYNA (127).</w:t>
      </w:r>
    </w:p>
    <w:p w:rsidR="00626FC8" w:rsidRDefault="00626FC8" w:rsidP="00626FC8">
      <w:pPr>
        <w:pStyle w:val="Default"/>
        <w:jc w:val="both"/>
        <w:rPr>
          <w:sz w:val="20"/>
          <w:szCs w:val="20"/>
        </w:rPr>
      </w:pPr>
      <w:r>
        <w:rPr>
          <w:b/>
          <w:bCs/>
          <w:color w:val="auto"/>
          <w:sz w:val="20"/>
          <w:szCs w:val="20"/>
        </w:rPr>
        <w:t xml:space="preserve">Cel Operacyjny 3.3 Wysoki poziom bezpieczeństwa mieszkańców wzmacniany przez dobre relacje </w:t>
      </w:r>
      <w:r w:rsidR="00367A98">
        <w:rPr>
          <w:b/>
          <w:bCs/>
          <w:color w:val="auto"/>
          <w:sz w:val="20"/>
          <w:szCs w:val="20"/>
        </w:rPr>
        <w:t>międzysąsiedzki</w:t>
      </w:r>
      <w:r>
        <w:rPr>
          <w:b/>
          <w:bCs/>
          <w:color w:val="auto"/>
          <w:sz w:val="20"/>
          <w:szCs w:val="20"/>
        </w:rPr>
        <w:t xml:space="preserve"> i odpowiedzialność mieszkańców za innych członków społeczności lokalnej – projekty:</w:t>
      </w:r>
    </w:p>
    <w:p w:rsidR="00626FC8" w:rsidRDefault="00626FC8" w:rsidP="006254F7">
      <w:pPr>
        <w:pStyle w:val="Default"/>
        <w:numPr>
          <w:ilvl w:val="0"/>
          <w:numId w:val="726"/>
        </w:numPr>
        <w:spacing w:after="11"/>
        <w:jc w:val="both"/>
        <w:rPr>
          <w:color w:val="auto"/>
          <w:sz w:val="20"/>
          <w:szCs w:val="20"/>
        </w:rPr>
      </w:pPr>
      <w:r>
        <w:rPr>
          <w:color w:val="auto"/>
          <w:sz w:val="20"/>
          <w:szCs w:val="20"/>
        </w:rPr>
        <w:t>KRYSTYNA Outplacement 7.4.2 (18),</w:t>
      </w:r>
    </w:p>
    <w:p w:rsidR="00626FC8" w:rsidRDefault="00626FC8" w:rsidP="006254F7">
      <w:pPr>
        <w:pStyle w:val="Akapitzlist"/>
        <w:numPr>
          <w:ilvl w:val="0"/>
          <w:numId w:val="726"/>
        </w:numPr>
        <w:spacing w:after="160" w:line="259" w:lineRule="auto"/>
        <w:contextualSpacing/>
        <w:jc w:val="both"/>
        <w:rPr>
          <w:rFonts w:cs="Calibri"/>
          <w:sz w:val="20"/>
          <w:szCs w:val="20"/>
        </w:rPr>
      </w:pPr>
      <w:r>
        <w:rPr>
          <w:sz w:val="20"/>
          <w:szCs w:val="20"/>
        </w:rPr>
        <w:t>Budowa nowej strażnicy Państwowej Straży Pożarnej z uwzględnieniem przystosowania pomieszczeń i</w:t>
      </w:r>
      <w:r w:rsidR="001F4FD4">
        <w:rPr>
          <w:sz w:val="20"/>
          <w:szCs w:val="20"/>
        </w:rPr>
        <w:t> </w:t>
      </w:r>
      <w:r>
        <w:rPr>
          <w:sz w:val="20"/>
          <w:szCs w:val="20"/>
        </w:rPr>
        <w:t>wyposażenia dla biura Bezpieczeństwa Miasta i Powiatowego Centrum Zarządzania Kryzysowego (126)</w:t>
      </w:r>
    </w:p>
    <w:p w:rsidR="00626FC8" w:rsidRDefault="00626FC8" w:rsidP="00626FC8">
      <w:pPr>
        <w:pStyle w:val="Default"/>
        <w:jc w:val="both"/>
        <w:rPr>
          <w:sz w:val="20"/>
          <w:szCs w:val="20"/>
        </w:rPr>
      </w:pPr>
      <w:r>
        <w:rPr>
          <w:b/>
          <w:bCs/>
          <w:color w:val="auto"/>
          <w:sz w:val="20"/>
          <w:szCs w:val="20"/>
        </w:rPr>
        <w:t>Cel Operacyjny 4.1 Zrekultywowane tereny poprzemysłowe przygotowane na przyjęcie nowych funkcji ważnych dla poprawy sytuacji społecznej i rozwoju rynku pracy – projekty:</w:t>
      </w:r>
    </w:p>
    <w:p w:rsidR="00626FC8" w:rsidRDefault="00626FC8" w:rsidP="00626FC8">
      <w:pPr>
        <w:pStyle w:val="Default"/>
        <w:numPr>
          <w:ilvl w:val="0"/>
          <w:numId w:val="723"/>
        </w:numPr>
        <w:jc w:val="both"/>
        <w:rPr>
          <w:color w:val="auto"/>
          <w:sz w:val="20"/>
          <w:szCs w:val="20"/>
        </w:rPr>
      </w:pPr>
      <w:r>
        <w:rPr>
          <w:color w:val="auto"/>
          <w:sz w:val="20"/>
          <w:szCs w:val="20"/>
        </w:rPr>
        <w:t>KRYSTYNA Aktywne Zatrudnienie 7.1.3 (7),</w:t>
      </w:r>
    </w:p>
    <w:p w:rsidR="00626FC8" w:rsidRDefault="00626FC8" w:rsidP="00626FC8">
      <w:pPr>
        <w:pStyle w:val="Default"/>
        <w:numPr>
          <w:ilvl w:val="0"/>
          <w:numId w:val="723"/>
        </w:numPr>
        <w:spacing w:after="11"/>
        <w:jc w:val="both"/>
        <w:rPr>
          <w:color w:val="auto"/>
          <w:sz w:val="20"/>
          <w:szCs w:val="20"/>
        </w:rPr>
      </w:pPr>
      <w:r>
        <w:rPr>
          <w:color w:val="auto"/>
          <w:sz w:val="20"/>
          <w:szCs w:val="20"/>
        </w:rPr>
        <w:t>KRYSTYNA Promocja zatrudnienia 7.3.3 (16),</w:t>
      </w:r>
    </w:p>
    <w:p w:rsidR="00626FC8" w:rsidRDefault="00626FC8" w:rsidP="00626FC8">
      <w:pPr>
        <w:pStyle w:val="Default"/>
        <w:numPr>
          <w:ilvl w:val="0"/>
          <w:numId w:val="723"/>
        </w:numPr>
        <w:spacing w:after="11"/>
        <w:jc w:val="both"/>
        <w:rPr>
          <w:color w:val="auto"/>
          <w:sz w:val="20"/>
          <w:szCs w:val="20"/>
        </w:rPr>
      </w:pPr>
      <w:r>
        <w:rPr>
          <w:color w:val="auto"/>
          <w:sz w:val="20"/>
          <w:szCs w:val="20"/>
        </w:rPr>
        <w:t>KRYSTYNA Outplacement 7.4.2 (18),</w:t>
      </w:r>
    </w:p>
    <w:p w:rsidR="00626FC8" w:rsidRDefault="00626FC8" w:rsidP="006254F7">
      <w:pPr>
        <w:pStyle w:val="Akapitzlist"/>
        <w:numPr>
          <w:ilvl w:val="0"/>
          <w:numId w:val="723"/>
        </w:numPr>
        <w:spacing w:after="0" w:line="259" w:lineRule="auto"/>
        <w:contextualSpacing/>
        <w:jc w:val="both"/>
        <w:rPr>
          <w:rFonts w:cs="Calibri"/>
          <w:sz w:val="20"/>
          <w:szCs w:val="20"/>
        </w:rPr>
      </w:pPr>
      <w:r>
        <w:rPr>
          <w:rFonts w:cs="Calibri"/>
          <w:sz w:val="20"/>
          <w:szCs w:val="20"/>
        </w:rPr>
        <w:t>KRYSTYNA Opiekunka 8.1.3 (21),</w:t>
      </w:r>
    </w:p>
    <w:p w:rsidR="00626FC8" w:rsidRDefault="00626FC8" w:rsidP="006254F7">
      <w:pPr>
        <w:pStyle w:val="Default"/>
        <w:numPr>
          <w:ilvl w:val="0"/>
          <w:numId w:val="723"/>
        </w:numPr>
        <w:jc w:val="both"/>
        <w:rPr>
          <w:color w:val="auto"/>
          <w:sz w:val="20"/>
          <w:szCs w:val="20"/>
        </w:rPr>
      </w:pPr>
      <w:r>
        <w:rPr>
          <w:color w:val="auto"/>
          <w:sz w:val="20"/>
          <w:szCs w:val="20"/>
        </w:rPr>
        <w:t>Aktywizacja i integracja społeczna mieszkańców Bytomia, w szczególności dzielnicy Szombierki i</w:t>
      </w:r>
      <w:r w:rsidR="001F4FD4">
        <w:rPr>
          <w:color w:val="auto"/>
          <w:sz w:val="20"/>
          <w:szCs w:val="20"/>
        </w:rPr>
        <w:t> </w:t>
      </w:r>
      <w:r>
        <w:rPr>
          <w:color w:val="auto"/>
          <w:sz w:val="20"/>
          <w:szCs w:val="20"/>
        </w:rPr>
        <w:t xml:space="preserve">dzielnic ościennych (program aktywności lokalnych) (43), </w:t>
      </w:r>
    </w:p>
    <w:p w:rsidR="00626FC8" w:rsidRDefault="00626FC8" w:rsidP="006254F7">
      <w:pPr>
        <w:pStyle w:val="Default"/>
        <w:numPr>
          <w:ilvl w:val="0"/>
          <w:numId w:val="723"/>
        </w:numPr>
        <w:jc w:val="both"/>
        <w:rPr>
          <w:color w:val="auto"/>
          <w:sz w:val="20"/>
          <w:szCs w:val="20"/>
        </w:rPr>
      </w:pPr>
      <w:r>
        <w:rPr>
          <w:sz w:val="20"/>
          <w:szCs w:val="20"/>
        </w:rPr>
        <w:t>KRYSTYNA Integracja 9.1.3 (46),</w:t>
      </w:r>
    </w:p>
    <w:p w:rsidR="00626FC8" w:rsidRDefault="00626FC8" w:rsidP="00626FC8">
      <w:pPr>
        <w:pStyle w:val="Akapitzlist"/>
        <w:numPr>
          <w:ilvl w:val="0"/>
          <w:numId w:val="723"/>
        </w:numPr>
        <w:spacing w:after="0" w:line="259" w:lineRule="auto"/>
        <w:contextualSpacing/>
        <w:jc w:val="both"/>
        <w:rPr>
          <w:rFonts w:cs="Calibri"/>
          <w:sz w:val="20"/>
          <w:szCs w:val="20"/>
        </w:rPr>
      </w:pPr>
      <w:r>
        <w:rPr>
          <w:sz w:val="20"/>
          <w:szCs w:val="20"/>
        </w:rPr>
        <w:t>KRYSTYNA Usługowa 9.2.3 (70),</w:t>
      </w:r>
    </w:p>
    <w:p w:rsidR="00626FC8" w:rsidRDefault="00626FC8" w:rsidP="00626FC8">
      <w:pPr>
        <w:pStyle w:val="Akapitzlist"/>
        <w:numPr>
          <w:ilvl w:val="0"/>
          <w:numId w:val="723"/>
        </w:numPr>
        <w:spacing w:after="0" w:line="259" w:lineRule="auto"/>
        <w:contextualSpacing/>
        <w:jc w:val="both"/>
        <w:rPr>
          <w:rFonts w:cs="Calibri"/>
          <w:sz w:val="20"/>
          <w:szCs w:val="20"/>
        </w:rPr>
      </w:pPr>
      <w:r>
        <w:rPr>
          <w:rFonts w:cs="Calibri"/>
          <w:sz w:val="20"/>
          <w:szCs w:val="20"/>
        </w:rPr>
        <w:t>KRYSTYNA Rozwojowa 11.1.4 (77),</w:t>
      </w:r>
    </w:p>
    <w:p w:rsidR="00626FC8" w:rsidRDefault="00626FC8" w:rsidP="00626FC8">
      <w:pPr>
        <w:pStyle w:val="Akapitzlist"/>
        <w:numPr>
          <w:ilvl w:val="0"/>
          <w:numId w:val="723"/>
        </w:numPr>
        <w:spacing w:after="0" w:line="259" w:lineRule="auto"/>
        <w:contextualSpacing/>
        <w:jc w:val="both"/>
        <w:rPr>
          <w:rFonts w:cs="Calibri"/>
          <w:sz w:val="20"/>
          <w:szCs w:val="20"/>
        </w:rPr>
      </w:pPr>
      <w:r>
        <w:rPr>
          <w:sz w:val="20"/>
          <w:szCs w:val="20"/>
        </w:rPr>
        <w:t>Uporządkowanie ruchu turystycznego na terenie Zespołu Przyrodniczo – Krajobrazowego Żabie Doły celem ochrony przyrody i bioróżnorodności oraz przystosowanie obszaru na cele edukacyjne i</w:t>
      </w:r>
      <w:r w:rsidR="001F4FD4">
        <w:rPr>
          <w:sz w:val="20"/>
          <w:szCs w:val="20"/>
        </w:rPr>
        <w:t> </w:t>
      </w:r>
      <w:r>
        <w:rPr>
          <w:sz w:val="20"/>
          <w:szCs w:val="20"/>
        </w:rPr>
        <w:t>rekreacyjno – wypoczynkowe (100),</w:t>
      </w:r>
    </w:p>
    <w:p w:rsidR="00626FC8" w:rsidRDefault="00626FC8" w:rsidP="00626FC8">
      <w:pPr>
        <w:pStyle w:val="Default"/>
        <w:numPr>
          <w:ilvl w:val="0"/>
          <w:numId w:val="723"/>
        </w:numPr>
        <w:spacing w:after="11"/>
        <w:jc w:val="both"/>
        <w:rPr>
          <w:color w:val="auto"/>
          <w:sz w:val="20"/>
          <w:szCs w:val="20"/>
        </w:rPr>
      </w:pPr>
      <w:r>
        <w:rPr>
          <w:color w:val="auto"/>
          <w:sz w:val="20"/>
          <w:szCs w:val="20"/>
        </w:rPr>
        <w:t>Przygotowanie terenu inwestycyjnego w Bytomiu – ulice Elektrownia i Racjonalizatorów (124),</w:t>
      </w:r>
    </w:p>
    <w:p w:rsidR="00CD5E17" w:rsidRPr="00581E59" w:rsidRDefault="00626FC8" w:rsidP="00CD5E17">
      <w:pPr>
        <w:pStyle w:val="Akapitzlist"/>
        <w:numPr>
          <w:ilvl w:val="0"/>
          <w:numId w:val="723"/>
        </w:numPr>
        <w:spacing w:after="160" w:line="259" w:lineRule="auto"/>
        <w:contextualSpacing/>
        <w:jc w:val="both"/>
        <w:rPr>
          <w:rFonts w:cs="Calibri"/>
          <w:sz w:val="20"/>
          <w:szCs w:val="20"/>
        </w:rPr>
      </w:pPr>
      <w:r>
        <w:rPr>
          <w:sz w:val="20"/>
          <w:szCs w:val="20"/>
        </w:rPr>
        <w:t xml:space="preserve">Makerspace - </w:t>
      </w:r>
      <w:r w:rsidRPr="00581E59">
        <w:rPr>
          <w:sz w:val="20"/>
          <w:szCs w:val="20"/>
        </w:rPr>
        <w:t>FabLab KRYSTYNA (127)</w:t>
      </w:r>
      <w:r w:rsidR="00151DEA" w:rsidRPr="00581E59">
        <w:rPr>
          <w:sz w:val="20"/>
          <w:szCs w:val="20"/>
        </w:rPr>
        <w:t>,</w:t>
      </w:r>
    </w:p>
    <w:p w:rsidR="00CD5E17" w:rsidRPr="00581E59" w:rsidRDefault="00CD5E17" w:rsidP="00CD5E17">
      <w:pPr>
        <w:pStyle w:val="Akapitzlist"/>
        <w:numPr>
          <w:ilvl w:val="0"/>
          <w:numId w:val="723"/>
        </w:numPr>
        <w:shd w:val="clear" w:color="auto" w:fill="F2F2F2" w:themeFill="background1" w:themeFillShade="F2"/>
        <w:spacing w:after="160" w:line="259" w:lineRule="auto"/>
        <w:contextualSpacing/>
        <w:jc w:val="both"/>
        <w:rPr>
          <w:rFonts w:cs="Calibri"/>
          <w:sz w:val="20"/>
          <w:szCs w:val="20"/>
        </w:rPr>
      </w:pPr>
      <w:r w:rsidRPr="00581E59">
        <w:rPr>
          <w:rFonts w:asciiTheme="minorHAnsi" w:hAnsiTheme="minorHAnsi"/>
          <w:sz w:val="20"/>
          <w:szCs w:val="20"/>
        </w:rPr>
        <w:t>Elektrociepłownia Szombierki – rewitalizacja dawnej elektrociepłowni wraz z przebudową, rozbudową, nadbudową, remontem i zmianą sposobu użytkowania na funkcje usługowe; kultury, nauki i oświaty, turystyki, sportu i rekreacji, zakwaterowania turystycznego, wystawiennictwa, biur, handlu, gastronomii i usług wraz z zagospodarowaniem terenu i infrastrukturą towarzyszącą (141),</w:t>
      </w:r>
    </w:p>
    <w:p w:rsidR="00273B97" w:rsidRPr="00581E59" w:rsidRDefault="00CD5E17" w:rsidP="00CD5E17">
      <w:pPr>
        <w:pStyle w:val="Akapitzlist"/>
        <w:numPr>
          <w:ilvl w:val="0"/>
          <w:numId w:val="723"/>
        </w:numPr>
        <w:shd w:val="clear" w:color="auto" w:fill="F2F2F2" w:themeFill="background1" w:themeFillShade="F2"/>
        <w:spacing w:after="0" w:line="240" w:lineRule="auto"/>
        <w:ind w:left="714" w:hanging="357"/>
        <w:contextualSpacing/>
        <w:jc w:val="both"/>
        <w:rPr>
          <w:rFonts w:cs="Calibri"/>
          <w:sz w:val="20"/>
          <w:szCs w:val="20"/>
        </w:rPr>
      </w:pPr>
      <w:r w:rsidRPr="00581E59">
        <w:rPr>
          <w:sz w:val="20"/>
          <w:szCs w:val="20"/>
        </w:rPr>
        <w:t>P</w:t>
      </w:r>
      <w:r w:rsidR="00273B97" w:rsidRPr="00581E59">
        <w:rPr>
          <w:sz w:val="20"/>
          <w:szCs w:val="20"/>
        </w:rPr>
        <w:t>onowne wykorzystanie zabudowań i zagospodarowanie terenu na obszarze dawnych Warsztatów Naprawc</w:t>
      </w:r>
      <w:r w:rsidR="00F965B4" w:rsidRPr="00581E59">
        <w:rPr>
          <w:sz w:val="20"/>
          <w:szCs w:val="20"/>
        </w:rPr>
        <w:t>zych GKW w Bytomiu Rozbarku (142</w:t>
      </w:r>
      <w:r w:rsidR="00273B97" w:rsidRPr="00581E59">
        <w:rPr>
          <w:sz w:val="20"/>
          <w:szCs w:val="20"/>
        </w:rPr>
        <w:t>),</w:t>
      </w:r>
    </w:p>
    <w:p w:rsidR="00E43FE6" w:rsidRPr="00581E59" w:rsidRDefault="00E43FE6" w:rsidP="00CD5E17">
      <w:pPr>
        <w:pStyle w:val="Akapitzlist"/>
        <w:numPr>
          <w:ilvl w:val="0"/>
          <w:numId w:val="723"/>
        </w:numPr>
        <w:shd w:val="clear" w:color="auto" w:fill="F2F2F2" w:themeFill="background1" w:themeFillShade="F2"/>
        <w:spacing w:after="160" w:line="240" w:lineRule="auto"/>
        <w:contextualSpacing/>
        <w:jc w:val="both"/>
        <w:rPr>
          <w:rFonts w:cs="Calibri"/>
          <w:sz w:val="20"/>
          <w:szCs w:val="20"/>
        </w:rPr>
      </w:pPr>
      <w:r w:rsidRPr="00581E59">
        <w:rPr>
          <w:rFonts w:cs="Calibri"/>
          <w:sz w:val="20"/>
          <w:szCs w:val="20"/>
        </w:rPr>
        <w:t>„Nowy RozPark” hala warsztatowa - rewitalizacja terenów i obiektów poprzemysłowych – hali warsztatowej byłych warsztatów naprawczych kolei wąskotorowej na cele usług społecznych i mieszkalnictwa wspomaganego (143),</w:t>
      </w:r>
    </w:p>
    <w:p w:rsidR="00E43FE6" w:rsidRPr="00581E59" w:rsidRDefault="00E43FE6" w:rsidP="00CD5E17">
      <w:pPr>
        <w:pStyle w:val="Akapitzlist"/>
        <w:numPr>
          <w:ilvl w:val="0"/>
          <w:numId w:val="723"/>
        </w:numPr>
        <w:shd w:val="clear" w:color="auto" w:fill="F2F2F2" w:themeFill="background1" w:themeFillShade="F2"/>
        <w:spacing w:after="160" w:line="240" w:lineRule="auto"/>
        <w:contextualSpacing/>
        <w:jc w:val="both"/>
        <w:rPr>
          <w:rFonts w:cs="Calibri"/>
          <w:sz w:val="20"/>
          <w:szCs w:val="20"/>
        </w:rPr>
      </w:pPr>
      <w:r w:rsidRPr="00581E59">
        <w:rPr>
          <w:rFonts w:cs="Calibri"/>
          <w:sz w:val="20"/>
          <w:szCs w:val="20"/>
        </w:rPr>
        <w:t>„Nowy RozPark” główna hala naprawcza - rewitalizacja terenów i obiektów poprzemysłowych na cele usług społecznych (144),</w:t>
      </w:r>
    </w:p>
    <w:p w:rsidR="00E43FE6" w:rsidRPr="00581E59" w:rsidRDefault="00E43FE6" w:rsidP="00CD5E17">
      <w:pPr>
        <w:pStyle w:val="Akapitzlist"/>
        <w:numPr>
          <w:ilvl w:val="0"/>
          <w:numId w:val="723"/>
        </w:numPr>
        <w:shd w:val="clear" w:color="auto" w:fill="F2F2F2" w:themeFill="background1" w:themeFillShade="F2"/>
        <w:spacing w:after="160" w:line="240" w:lineRule="auto"/>
        <w:contextualSpacing/>
        <w:jc w:val="both"/>
        <w:rPr>
          <w:rFonts w:cs="Calibri"/>
          <w:sz w:val="20"/>
          <w:szCs w:val="20"/>
        </w:rPr>
      </w:pPr>
      <w:r w:rsidRPr="00581E59">
        <w:rPr>
          <w:rFonts w:cs="Calibri"/>
          <w:sz w:val="20"/>
          <w:szCs w:val="20"/>
        </w:rPr>
        <w:t>„Nowy RozPark” zagospdoarowanie terenów rekreacyjnych - rewitalizacja terenów i obiektów poprzemysłowych byłych warsztatów naprawczych kolei wąskotorowej na cele usług społecznych, rekreacyjnych wraz z przygotowaniem infrastruktury dla funkcji sąsiednich (145),</w:t>
      </w:r>
    </w:p>
    <w:p w:rsidR="00E43FE6" w:rsidRPr="00581E59" w:rsidRDefault="00E43FE6" w:rsidP="00CD5E17">
      <w:pPr>
        <w:pStyle w:val="Akapitzlist"/>
        <w:numPr>
          <w:ilvl w:val="0"/>
          <w:numId w:val="723"/>
        </w:numPr>
        <w:shd w:val="clear" w:color="auto" w:fill="F2F2F2" w:themeFill="background1" w:themeFillShade="F2"/>
        <w:spacing w:after="160" w:line="240" w:lineRule="auto"/>
        <w:contextualSpacing/>
        <w:jc w:val="both"/>
        <w:rPr>
          <w:rFonts w:cs="Calibri"/>
          <w:sz w:val="20"/>
          <w:szCs w:val="20"/>
        </w:rPr>
      </w:pPr>
      <w:r w:rsidRPr="00581E59">
        <w:rPr>
          <w:rFonts w:cs="Calibri"/>
          <w:sz w:val="20"/>
          <w:szCs w:val="20"/>
        </w:rPr>
        <w:t>„Nowy RozPark” nowa zabudowa mieszkań wspomaganych - rewitalizacja terenów poprzemysłowych poprzez utworzenie lokali mieszkalnych wspomaganych i treningowych z uzupełnieniem funkcji usług społecznych pomocniczych i profilaktycznych (146),</w:t>
      </w:r>
    </w:p>
    <w:p w:rsidR="00273B97" w:rsidRPr="00581E59" w:rsidRDefault="00273B97" w:rsidP="00CD5E17">
      <w:pPr>
        <w:pStyle w:val="Akapitzlist"/>
        <w:numPr>
          <w:ilvl w:val="0"/>
          <w:numId w:val="723"/>
        </w:numPr>
        <w:shd w:val="clear" w:color="auto" w:fill="F2F2F2" w:themeFill="background1" w:themeFillShade="F2"/>
        <w:spacing w:after="0" w:line="240" w:lineRule="auto"/>
        <w:ind w:left="714" w:hanging="357"/>
        <w:contextualSpacing/>
        <w:jc w:val="both"/>
        <w:rPr>
          <w:rFonts w:cs="Calibri"/>
          <w:sz w:val="20"/>
          <w:szCs w:val="20"/>
        </w:rPr>
      </w:pPr>
      <w:r w:rsidRPr="00581E59">
        <w:rPr>
          <w:rFonts w:cs="Calibri"/>
          <w:sz w:val="20"/>
          <w:szCs w:val="20"/>
        </w:rPr>
        <w:t xml:space="preserve">Rozbudowa infrastruktury wspinaczkowej o </w:t>
      </w:r>
      <w:r w:rsidR="00F965B4" w:rsidRPr="00581E59">
        <w:rPr>
          <w:rFonts w:cs="Calibri"/>
          <w:sz w:val="20"/>
          <w:szCs w:val="20"/>
        </w:rPr>
        <w:t xml:space="preserve">strefę </w:t>
      </w:r>
      <w:r w:rsidR="00185B9E" w:rsidRPr="00581E59">
        <w:rPr>
          <w:rFonts w:cs="Calibri"/>
          <w:sz w:val="20"/>
          <w:szCs w:val="20"/>
        </w:rPr>
        <w:t>sportów olimpijskich (147</w:t>
      </w:r>
      <w:r w:rsidRPr="00581E59">
        <w:rPr>
          <w:rFonts w:cs="Calibri"/>
          <w:sz w:val="20"/>
          <w:szCs w:val="20"/>
        </w:rPr>
        <w:t>),</w:t>
      </w:r>
    </w:p>
    <w:p w:rsidR="00273B97" w:rsidRPr="00581E59" w:rsidRDefault="00273B97" w:rsidP="00CD5E17">
      <w:pPr>
        <w:pStyle w:val="Akapitzlist"/>
        <w:numPr>
          <w:ilvl w:val="0"/>
          <w:numId w:val="723"/>
        </w:numPr>
        <w:shd w:val="clear" w:color="auto" w:fill="F2F2F2" w:themeFill="background1" w:themeFillShade="F2"/>
        <w:spacing w:after="0" w:line="240" w:lineRule="auto"/>
        <w:ind w:left="714" w:hanging="357"/>
        <w:contextualSpacing/>
        <w:jc w:val="both"/>
        <w:rPr>
          <w:rFonts w:cs="Calibri"/>
          <w:sz w:val="20"/>
          <w:szCs w:val="20"/>
        </w:rPr>
      </w:pPr>
      <w:r w:rsidRPr="00581E59">
        <w:rPr>
          <w:rFonts w:cs="Calibri"/>
          <w:sz w:val="20"/>
          <w:szCs w:val="20"/>
        </w:rPr>
        <w:t xml:space="preserve">Wspinam się! Kopalnia Skarbów, czyli nowe kompetencje dla dzieci w Bytomiu w ramach podejmowanych działań w </w:t>
      </w:r>
      <w:r w:rsidR="00185B9E" w:rsidRPr="00581E59">
        <w:rPr>
          <w:rFonts w:cs="Calibri"/>
          <w:sz w:val="20"/>
          <w:szCs w:val="20"/>
        </w:rPr>
        <w:t>placówce wsparcia dziennego (148)</w:t>
      </w:r>
      <w:r w:rsidRPr="00581E59">
        <w:rPr>
          <w:rFonts w:cs="Calibri"/>
          <w:sz w:val="20"/>
          <w:szCs w:val="20"/>
        </w:rPr>
        <w:t>,</w:t>
      </w:r>
    </w:p>
    <w:p w:rsidR="00273B97" w:rsidRPr="00581E59" w:rsidRDefault="00273B97" w:rsidP="00CD5E17">
      <w:pPr>
        <w:pStyle w:val="Akapitzlist"/>
        <w:numPr>
          <w:ilvl w:val="0"/>
          <w:numId w:val="723"/>
        </w:numPr>
        <w:shd w:val="clear" w:color="auto" w:fill="F2F2F2" w:themeFill="background1" w:themeFillShade="F2"/>
        <w:spacing w:after="0" w:line="240" w:lineRule="auto"/>
        <w:ind w:left="714" w:hanging="357"/>
        <w:contextualSpacing/>
        <w:jc w:val="both"/>
        <w:rPr>
          <w:rFonts w:cs="Calibri"/>
          <w:sz w:val="20"/>
          <w:szCs w:val="20"/>
        </w:rPr>
      </w:pPr>
      <w:r w:rsidRPr="00581E59">
        <w:rPr>
          <w:rFonts w:cs="Calibri"/>
          <w:sz w:val="20"/>
          <w:szCs w:val="20"/>
        </w:rPr>
        <w:t>Zielony kwartał KWK Rozbark – Centrum Aktywności Społeczno – Edukac</w:t>
      </w:r>
      <w:r w:rsidR="00185B9E" w:rsidRPr="00581E59">
        <w:rPr>
          <w:rFonts w:cs="Calibri"/>
          <w:sz w:val="20"/>
          <w:szCs w:val="20"/>
        </w:rPr>
        <w:t>yjnej (149</w:t>
      </w:r>
      <w:r w:rsidRPr="00581E59">
        <w:rPr>
          <w:rFonts w:cs="Calibri"/>
          <w:sz w:val="20"/>
          <w:szCs w:val="20"/>
        </w:rPr>
        <w:t>),</w:t>
      </w:r>
    </w:p>
    <w:p w:rsidR="00273B97" w:rsidRPr="00581E59" w:rsidRDefault="00273B97" w:rsidP="00CD5E17">
      <w:pPr>
        <w:pStyle w:val="Akapitzlist"/>
        <w:numPr>
          <w:ilvl w:val="0"/>
          <w:numId w:val="723"/>
        </w:numPr>
        <w:shd w:val="clear" w:color="auto" w:fill="F2F2F2" w:themeFill="background1" w:themeFillShade="F2"/>
        <w:spacing w:after="0" w:line="240" w:lineRule="auto"/>
        <w:ind w:left="714" w:hanging="357"/>
        <w:contextualSpacing/>
        <w:jc w:val="both"/>
        <w:rPr>
          <w:rFonts w:cs="Calibri"/>
          <w:sz w:val="20"/>
          <w:szCs w:val="20"/>
        </w:rPr>
      </w:pPr>
      <w:r w:rsidRPr="00581E59">
        <w:rPr>
          <w:rFonts w:cs="Calibri"/>
          <w:sz w:val="20"/>
          <w:szCs w:val="20"/>
        </w:rPr>
        <w:t>Zielony kwartał KWK Rozbark – Centrum szkoleniowo–nocleg</w:t>
      </w:r>
      <w:r w:rsidR="00185B9E" w:rsidRPr="00581E59">
        <w:rPr>
          <w:rFonts w:cs="Calibri"/>
          <w:sz w:val="20"/>
          <w:szCs w:val="20"/>
        </w:rPr>
        <w:t>owe – Zielona Transformacja (150</w:t>
      </w:r>
      <w:r w:rsidRPr="00581E59">
        <w:rPr>
          <w:rFonts w:cs="Calibri"/>
          <w:sz w:val="20"/>
          <w:szCs w:val="20"/>
        </w:rPr>
        <w:t>),</w:t>
      </w:r>
    </w:p>
    <w:p w:rsidR="00273B97" w:rsidRPr="00581E59" w:rsidRDefault="00273B97" w:rsidP="00CD5E17">
      <w:pPr>
        <w:pStyle w:val="Akapitzlist"/>
        <w:numPr>
          <w:ilvl w:val="0"/>
          <w:numId w:val="723"/>
        </w:numPr>
        <w:shd w:val="clear" w:color="auto" w:fill="F2F2F2" w:themeFill="background1" w:themeFillShade="F2"/>
        <w:spacing w:after="0" w:line="240" w:lineRule="auto"/>
        <w:ind w:left="714" w:hanging="357"/>
        <w:contextualSpacing/>
        <w:jc w:val="both"/>
        <w:rPr>
          <w:rFonts w:cs="Calibri"/>
          <w:sz w:val="20"/>
          <w:szCs w:val="20"/>
        </w:rPr>
      </w:pPr>
      <w:r w:rsidRPr="00581E59">
        <w:rPr>
          <w:rFonts w:cs="Calibri"/>
          <w:sz w:val="20"/>
          <w:szCs w:val="20"/>
        </w:rPr>
        <w:t>Zielony kwartał KWK Rozbark – Edu</w:t>
      </w:r>
      <w:r w:rsidR="00185B9E" w:rsidRPr="00581E59">
        <w:rPr>
          <w:rFonts w:cs="Calibri"/>
          <w:sz w:val="20"/>
          <w:szCs w:val="20"/>
        </w:rPr>
        <w:t>kacja Zielona Transformacja (151</w:t>
      </w:r>
      <w:r w:rsidRPr="00581E59">
        <w:rPr>
          <w:rFonts w:cs="Calibri"/>
          <w:sz w:val="20"/>
          <w:szCs w:val="20"/>
        </w:rPr>
        <w:t>),</w:t>
      </w:r>
    </w:p>
    <w:p w:rsidR="00273B97" w:rsidRPr="00581E59" w:rsidRDefault="00273B97" w:rsidP="00CD5E17">
      <w:pPr>
        <w:pStyle w:val="Akapitzlist"/>
        <w:numPr>
          <w:ilvl w:val="0"/>
          <w:numId w:val="723"/>
        </w:numPr>
        <w:shd w:val="clear" w:color="auto" w:fill="F2F2F2" w:themeFill="background1" w:themeFillShade="F2"/>
        <w:spacing w:after="0" w:line="240" w:lineRule="auto"/>
        <w:ind w:left="714" w:hanging="357"/>
        <w:contextualSpacing/>
        <w:jc w:val="both"/>
        <w:rPr>
          <w:rFonts w:cs="Calibri"/>
          <w:sz w:val="20"/>
          <w:szCs w:val="20"/>
        </w:rPr>
      </w:pPr>
      <w:r w:rsidRPr="00581E59">
        <w:rPr>
          <w:rFonts w:cs="Calibri"/>
          <w:sz w:val="20"/>
          <w:szCs w:val="20"/>
        </w:rPr>
        <w:t>Zielony kwartał KWK Rozbark – Centrum Tr</w:t>
      </w:r>
      <w:r w:rsidR="00185B9E" w:rsidRPr="00581E59">
        <w:rPr>
          <w:rFonts w:cs="Calibri"/>
          <w:sz w:val="20"/>
          <w:szCs w:val="20"/>
        </w:rPr>
        <w:t>ansformacji Energetycznej I (152</w:t>
      </w:r>
      <w:r w:rsidRPr="00581E59">
        <w:rPr>
          <w:rFonts w:cs="Calibri"/>
          <w:sz w:val="20"/>
          <w:szCs w:val="20"/>
        </w:rPr>
        <w:t>),</w:t>
      </w:r>
    </w:p>
    <w:p w:rsidR="00273B97" w:rsidRPr="00581E59" w:rsidRDefault="00273B97" w:rsidP="00CD5E17">
      <w:pPr>
        <w:pStyle w:val="Akapitzlist"/>
        <w:numPr>
          <w:ilvl w:val="0"/>
          <w:numId w:val="723"/>
        </w:numPr>
        <w:shd w:val="clear" w:color="auto" w:fill="F2F2F2" w:themeFill="background1" w:themeFillShade="F2"/>
        <w:spacing w:after="0" w:line="240" w:lineRule="auto"/>
        <w:ind w:left="714" w:hanging="357"/>
        <w:contextualSpacing/>
        <w:jc w:val="both"/>
        <w:rPr>
          <w:rFonts w:cs="Calibri"/>
          <w:sz w:val="20"/>
          <w:szCs w:val="20"/>
        </w:rPr>
      </w:pPr>
      <w:r w:rsidRPr="00581E59">
        <w:rPr>
          <w:rFonts w:cs="Calibri"/>
          <w:sz w:val="20"/>
          <w:szCs w:val="20"/>
        </w:rPr>
        <w:t>Zielony kwartał KWK Rozbark – Centrum Tra</w:t>
      </w:r>
      <w:r w:rsidR="00185B9E" w:rsidRPr="00581E59">
        <w:rPr>
          <w:rFonts w:cs="Calibri"/>
          <w:sz w:val="20"/>
          <w:szCs w:val="20"/>
        </w:rPr>
        <w:t>nsformacji Energetycznej II (153</w:t>
      </w:r>
      <w:r w:rsidRPr="00581E59">
        <w:rPr>
          <w:rFonts w:cs="Calibri"/>
          <w:sz w:val="20"/>
          <w:szCs w:val="20"/>
        </w:rPr>
        <w:t>),</w:t>
      </w:r>
    </w:p>
    <w:p w:rsidR="00273B97" w:rsidRPr="00581E59" w:rsidRDefault="00273B97" w:rsidP="00CD5E17">
      <w:pPr>
        <w:pStyle w:val="Akapitzlist"/>
        <w:numPr>
          <w:ilvl w:val="0"/>
          <w:numId w:val="723"/>
        </w:numPr>
        <w:shd w:val="clear" w:color="auto" w:fill="F2F2F2" w:themeFill="background1" w:themeFillShade="F2"/>
        <w:spacing w:after="0" w:line="240" w:lineRule="auto"/>
        <w:contextualSpacing/>
        <w:jc w:val="both"/>
        <w:rPr>
          <w:rFonts w:cs="Calibri"/>
          <w:sz w:val="20"/>
          <w:szCs w:val="20"/>
        </w:rPr>
      </w:pPr>
      <w:r w:rsidRPr="00581E59">
        <w:rPr>
          <w:rFonts w:cs="Calibri"/>
          <w:sz w:val="20"/>
          <w:szCs w:val="20"/>
        </w:rPr>
        <w:t>Zielony kwartał KWK Rozbark – zagospodarowanie terenów poprzemysłowych poprzez utwor</w:t>
      </w:r>
      <w:r w:rsidR="00185B9E" w:rsidRPr="00581E59">
        <w:rPr>
          <w:rFonts w:cs="Calibri"/>
          <w:sz w:val="20"/>
          <w:szCs w:val="20"/>
        </w:rPr>
        <w:t>zenie mieszkań treningowych (154</w:t>
      </w:r>
      <w:r w:rsidRPr="00581E59">
        <w:rPr>
          <w:rFonts w:cs="Calibri"/>
          <w:sz w:val="20"/>
          <w:szCs w:val="20"/>
        </w:rPr>
        <w:t>),</w:t>
      </w:r>
    </w:p>
    <w:p w:rsidR="00273B97" w:rsidRPr="00581E59" w:rsidRDefault="00273B97" w:rsidP="00CD5E17">
      <w:pPr>
        <w:pStyle w:val="Akapitzlist"/>
        <w:numPr>
          <w:ilvl w:val="0"/>
          <w:numId w:val="723"/>
        </w:numPr>
        <w:shd w:val="clear" w:color="auto" w:fill="F2F2F2" w:themeFill="background1" w:themeFillShade="F2"/>
        <w:spacing w:after="0" w:line="240" w:lineRule="auto"/>
        <w:contextualSpacing/>
        <w:jc w:val="both"/>
        <w:rPr>
          <w:rFonts w:cs="Calibri"/>
          <w:sz w:val="20"/>
          <w:szCs w:val="20"/>
        </w:rPr>
      </w:pPr>
      <w:r w:rsidRPr="00581E59">
        <w:rPr>
          <w:rFonts w:cs="Calibri"/>
          <w:sz w:val="20"/>
          <w:szCs w:val="20"/>
        </w:rPr>
        <w:t>Zielony kwartał KWK Rozbark – zagospodarowanie terenów poprzemysłowych poprzez utwor</w:t>
      </w:r>
      <w:r w:rsidR="00F965B4" w:rsidRPr="00581E59">
        <w:rPr>
          <w:rFonts w:cs="Calibri"/>
          <w:sz w:val="20"/>
          <w:szCs w:val="20"/>
        </w:rPr>
        <w:t>zeni</w:t>
      </w:r>
      <w:r w:rsidR="00185B9E" w:rsidRPr="00581E59">
        <w:rPr>
          <w:rFonts w:cs="Calibri"/>
          <w:sz w:val="20"/>
          <w:szCs w:val="20"/>
        </w:rPr>
        <w:t>e mieszkań wspomaganych (155</w:t>
      </w:r>
      <w:r w:rsidRPr="00581E59">
        <w:rPr>
          <w:rFonts w:cs="Calibri"/>
          <w:sz w:val="20"/>
          <w:szCs w:val="20"/>
        </w:rPr>
        <w:t>),</w:t>
      </w:r>
    </w:p>
    <w:p w:rsidR="00273B97" w:rsidRPr="00581E59" w:rsidRDefault="00273B97" w:rsidP="00CD5E17">
      <w:pPr>
        <w:pStyle w:val="Akapitzlist"/>
        <w:numPr>
          <w:ilvl w:val="0"/>
          <w:numId w:val="723"/>
        </w:numPr>
        <w:shd w:val="clear" w:color="auto" w:fill="F2F2F2" w:themeFill="background1" w:themeFillShade="F2"/>
        <w:spacing w:after="0" w:line="240" w:lineRule="auto"/>
        <w:contextualSpacing/>
        <w:jc w:val="both"/>
        <w:rPr>
          <w:rFonts w:cs="Calibri"/>
          <w:sz w:val="20"/>
          <w:szCs w:val="20"/>
        </w:rPr>
      </w:pPr>
      <w:r w:rsidRPr="00581E59">
        <w:rPr>
          <w:rFonts w:cs="Calibri"/>
          <w:sz w:val="20"/>
          <w:szCs w:val="20"/>
        </w:rPr>
        <w:t>Zielony kwartał KWK Rozbark – zagospodarowanie terenów poprzemysłowych poprzez utworzenie mi</w:t>
      </w:r>
      <w:r w:rsidR="00185B9E" w:rsidRPr="00581E59">
        <w:rPr>
          <w:rFonts w:cs="Calibri"/>
          <w:sz w:val="20"/>
          <w:szCs w:val="20"/>
        </w:rPr>
        <w:t>eszkań wspomaganych etap II (156</w:t>
      </w:r>
      <w:r w:rsidRPr="00581E59">
        <w:rPr>
          <w:rFonts w:cs="Calibri"/>
          <w:sz w:val="20"/>
          <w:szCs w:val="20"/>
        </w:rPr>
        <w:t>),</w:t>
      </w:r>
    </w:p>
    <w:p w:rsidR="0069036A" w:rsidRPr="00581E59" w:rsidRDefault="0069036A" w:rsidP="00CD5E17">
      <w:pPr>
        <w:pStyle w:val="Akapitzlist"/>
        <w:numPr>
          <w:ilvl w:val="0"/>
          <w:numId w:val="723"/>
        </w:numPr>
        <w:shd w:val="clear" w:color="auto" w:fill="F2F2F2" w:themeFill="background1" w:themeFillShade="F2"/>
        <w:spacing w:after="0" w:line="240" w:lineRule="auto"/>
        <w:ind w:left="714" w:hanging="357"/>
        <w:contextualSpacing/>
        <w:jc w:val="both"/>
        <w:rPr>
          <w:rFonts w:cs="Calibri"/>
          <w:sz w:val="20"/>
          <w:szCs w:val="20"/>
        </w:rPr>
      </w:pPr>
      <w:r w:rsidRPr="00581E59">
        <w:rPr>
          <w:rFonts w:cs="Calibri"/>
          <w:sz w:val="20"/>
          <w:szCs w:val="20"/>
        </w:rPr>
        <w:t>Zielony kwartał KWK Rozbark – rewitalizacja budynków na działce nr 7128/565 wraz z zagosp</w:t>
      </w:r>
      <w:r w:rsidR="003A68CF" w:rsidRPr="00581E59">
        <w:rPr>
          <w:rFonts w:cs="Calibri"/>
          <w:sz w:val="20"/>
          <w:szCs w:val="20"/>
        </w:rPr>
        <w:t>odarowaniem terenu - etap I (157</w:t>
      </w:r>
      <w:r w:rsidRPr="00581E59">
        <w:rPr>
          <w:rFonts w:cs="Calibri"/>
          <w:sz w:val="20"/>
          <w:szCs w:val="20"/>
        </w:rPr>
        <w:t>),</w:t>
      </w:r>
    </w:p>
    <w:p w:rsidR="0069036A" w:rsidRPr="00581E59" w:rsidRDefault="0069036A" w:rsidP="00CD5E17">
      <w:pPr>
        <w:pStyle w:val="Akapitzlist"/>
        <w:numPr>
          <w:ilvl w:val="0"/>
          <w:numId w:val="723"/>
        </w:numPr>
        <w:shd w:val="clear" w:color="auto" w:fill="F2F2F2" w:themeFill="background1" w:themeFillShade="F2"/>
        <w:spacing w:after="0" w:line="240" w:lineRule="auto"/>
        <w:ind w:left="714" w:hanging="357"/>
        <w:contextualSpacing/>
        <w:jc w:val="both"/>
        <w:rPr>
          <w:rFonts w:cs="Calibri"/>
          <w:sz w:val="20"/>
          <w:szCs w:val="20"/>
        </w:rPr>
      </w:pPr>
      <w:r w:rsidRPr="00581E59">
        <w:rPr>
          <w:rFonts w:cs="Calibri"/>
          <w:sz w:val="20"/>
          <w:szCs w:val="20"/>
        </w:rPr>
        <w:t>Zielony kwartał KWK Rozbark – rewitalizacja budynków na działce nr 7128/565 wraz zagospo</w:t>
      </w:r>
      <w:r w:rsidR="003A68CF" w:rsidRPr="00581E59">
        <w:rPr>
          <w:rFonts w:cs="Calibri"/>
          <w:sz w:val="20"/>
          <w:szCs w:val="20"/>
        </w:rPr>
        <w:t>darowaniem terenu – etap II (158</w:t>
      </w:r>
      <w:r w:rsidRPr="00581E59">
        <w:rPr>
          <w:rFonts w:cs="Calibri"/>
          <w:sz w:val="20"/>
          <w:szCs w:val="20"/>
        </w:rPr>
        <w:t>),</w:t>
      </w:r>
    </w:p>
    <w:p w:rsidR="006D140E" w:rsidRPr="00581E59" w:rsidRDefault="006D140E" w:rsidP="00CD5E17">
      <w:pPr>
        <w:pStyle w:val="Default"/>
        <w:numPr>
          <w:ilvl w:val="0"/>
          <w:numId w:val="723"/>
        </w:numPr>
        <w:shd w:val="clear" w:color="auto" w:fill="F2F2F2" w:themeFill="background1" w:themeFillShade="F2"/>
        <w:ind w:left="714" w:hanging="357"/>
        <w:jc w:val="both"/>
        <w:rPr>
          <w:rFonts w:asciiTheme="minorHAnsi" w:hAnsiTheme="minorHAnsi"/>
          <w:color w:val="auto"/>
          <w:sz w:val="20"/>
          <w:szCs w:val="20"/>
        </w:rPr>
      </w:pPr>
      <w:r w:rsidRPr="00581E59">
        <w:rPr>
          <w:rFonts w:asciiTheme="minorHAnsi" w:hAnsiTheme="minorHAnsi"/>
          <w:color w:val="auto"/>
          <w:sz w:val="20"/>
          <w:szCs w:val="20"/>
        </w:rPr>
        <w:t>Budowa farmy fotowoltaicznej wraz z magazynem energii oraz pompą cie</w:t>
      </w:r>
      <w:r w:rsidR="00CA6225" w:rsidRPr="00581E59">
        <w:rPr>
          <w:rFonts w:asciiTheme="minorHAnsi" w:hAnsiTheme="minorHAnsi"/>
          <w:color w:val="auto"/>
          <w:sz w:val="20"/>
          <w:szCs w:val="20"/>
        </w:rPr>
        <w:t>p</w:t>
      </w:r>
      <w:r w:rsidRPr="00581E59">
        <w:rPr>
          <w:rFonts w:asciiTheme="minorHAnsi" w:hAnsiTheme="minorHAnsi"/>
          <w:color w:val="auto"/>
          <w:sz w:val="20"/>
          <w:szCs w:val="20"/>
        </w:rPr>
        <w:t>ła na terenie przepompowni ścieków Śródmieście</w:t>
      </w:r>
      <w:r w:rsidR="00185B9E" w:rsidRPr="00581E59">
        <w:rPr>
          <w:rFonts w:asciiTheme="minorHAnsi" w:hAnsiTheme="minorHAnsi"/>
          <w:color w:val="auto"/>
          <w:sz w:val="20"/>
          <w:szCs w:val="20"/>
        </w:rPr>
        <w:t xml:space="preserve"> (162</w:t>
      </w:r>
      <w:r w:rsidRPr="00581E59">
        <w:rPr>
          <w:rFonts w:asciiTheme="minorHAnsi" w:hAnsiTheme="minorHAnsi"/>
          <w:color w:val="auto"/>
          <w:sz w:val="20"/>
          <w:szCs w:val="20"/>
        </w:rPr>
        <w:t>),</w:t>
      </w:r>
    </w:p>
    <w:p w:rsidR="00273B97" w:rsidRPr="00581E59" w:rsidRDefault="00273B97" w:rsidP="00CD5E17">
      <w:pPr>
        <w:pStyle w:val="Default"/>
        <w:numPr>
          <w:ilvl w:val="0"/>
          <w:numId w:val="723"/>
        </w:numPr>
        <w:shd w:val="clear" w:color="auto" w:fill="F2F2F2" w:themeFill="background1" w:themeFillShade="F2"/>
        <w:spacing w:after="160"/>
        <w:ind w:left="714" w:hanging="357"/>
        <w:jc w:val="both"/>
        <w:rPr>
          <w:rFonts w:asciiTheme="minorHAnsi" w:hAnsiTheme="minorHAnsi"/>
          <w:color w:val="auto"/>
          <w:sz w:val="20"/>
          <w:szCs w:val="20"/>
        </w:rPr>
      </w:pPr>
      <w:r w:rsidRPr="00581E59">
        <w:rPr>
          <w:rFonts w:cs="Calibri"/>
          <w:color w:val="auto"/>
          <w:sz w:val="20"/>
          <w:szCs w:val="20"/>
        </w:rPr>
        <w:t>Zagospodarowanie zdegradowanych terenów oraz rewitalizacja obiektów po byłej Oczyszczalni Ścieków „Śródmieście” przy ul. Zabrzańsk</w:t>
      </w:r>
      <w:r w:rsidR="00185B9E" w:rsidRPr="00581E59">
        <w:rPr>
          <w:rFonts w:cs="Calibri"/>
          <w:color w:val="auto"/>
          <w:sz w:val="20"/>
          <w:szCs w:val="20"/>
        </w:rPr>
        <w:t>iej/Łagiewnickiej w Bytomiu (163</w:t>
      </w:r>
      <w:r w:rsidRPr="00581E59">
        <w:rPr>
          <w:rFonts w:cs="Calibri"/>
          <w:color w:val="auto"/>
          <w:sz w:val="20"/>
          <w:szCs w:val="20"/>
        </w:rPr>
        <w:t>).</w:t>
      </w:r>
    </w:p>
    <w:p w:rsidR="00626FC8" w:rsidRDefault="00626FC8" w:rsidP="00626FC8">
      <w:pPr>
        <w:pStyle w:val="Default"/>
        <w:jc w:val="both"/>
        <w:rPr>
          <w:sz w:val="20"/>
          <w:szCs w:val="20"/>
        </w:rPr>
      </w:pPr>
      <w:r>
        <w:rPr>
          <w:b/>
          <w:bCs/>
          <w:color w:val="auto"/>
          <w:sz w:val="20"/>
          <w:szCs w:val="20"/>
        </w:rPr>
        <w:t>Cel Operacyjny 4.2 Przywrócona wartość obiektów historycznych, kulturowych, krajobrazowo-przyrodniczych przyczyniająca się do wzmacniania tożsamości społeczności lokalnych – projekty:</w:t>
      </w:r>
    </w:p>
    <w:p w:rsidR="00626FC8" w:rsidRDefault="00626FC8" w:rsidP="00626FC8">
      <w:pPr>
        <w:pStyle w:val="Default"/>
        <w:numPr>
          <w:ilvl w:val="0"/>
          <w:numId w:val="723"/>
        </w:numPr>
        <w:jc w:val="both"/>
        <w:rPr>
          <w:color w:val="auto"/>
          <w:sz w:val="20"/>
          <w:szCs w:val="20"/>
        </w:rPr>
      </w:pPr>
      <w:r>
        <w:rPr>
          <w:color w:val="auto"/>
          <w:sz w:val="20"/>
          <w:szCs w:val="20"/>
        </w:rPr>
        <w:t>KRYSTYNA Aktywne Zatrudnienie 7.1.3 (7),</w:t>
      </w:r>
    </w:p>
    <w:p w:rsidR="00626FC8" w:rsidRDefault="00626FC8" w:rsidP="00626FC8">
      <w:pPr>
        <w:pStyle w:val="Default"/>
        <w:numPr>
          <w:ilvl w:val="0"/>
          <w:numId w:val="723"/>
        </w:numPr>
        <w:spacing w:after="11"/>
        <w:jc w:val="both"/>
        <w:rPr>
          <w:color w:val="auto"/>
          <w:sz w:val="20"/>
          <w:szCs w:val="20"/>
        </w:rPr>
      </w:pPr>
      <w:r>
        <w:rPr>
          <w:color w:val="auto"/>
          <w:sz w:val="20"/>
          <w:szCs w:val="20"/>
        </w:rPr>
        <w:t>KRYSTYNA Promocja zatrudnienia 7.3.3 (16),</w:t>
      </w:r>
    </w:p>
    <w:p w:rsidR="00626FC8" w:rsidRDefault="00626FC8" w:rsidP="00626FC8">
      <w:pPr>
        <w:pStyle w:val="Default"/>
        <w:numPr>
          <w:ilvl w:val="0"/>
          <w:numId w:val="723"/>
        </w:numPr>
        <w:spacing w:after="11"/>
        <w:jc w:val="both"/>
        <w:rPr>
          <w:color w:val="auto"/>
          <w:sz w:val="20"/>
          <w:szCs w:val="20"/>
        </w:rPr>
      </w:pPr>
      <w:r>
        <w:rPr>
          <w:color w:val="auto"/>
          <w:sz w:val="20"/>
          <w:szCs w:val="20"/>
        </w:rPr>
        <w:t>KRYSTYNA Outplacement 7.4.2 (18),</w:t>
      </w:r>
    </w:p>
    <w:p w:rsidR="00626FC8" w:rsidRDefault="00626FC8" w:rsidP="006254F7">
      <w:pPr>
        <w:pStyle w:val="Akapitzlist"/>
        <w:numPr>
          <w:ilvl w:val="0"/>
          <w:numId w:val="723"/>
        </w:numPr>
        <w:spacing w:after="0" w:line="259" w:lineRule="auto"/>
        <w:contextualSpacing/>
        <w:jc w:val="both"/>
        <w:rPr>
          <w:rFonts w:cs="Calibri"/>
          <w:sz w:val="20"/>
          <w:szCs w:val="20"/>
        </w:rPr>
      </w:pPr>
      <w:r>
        <w:rPr>
          <w:rFonts w:cs="Calibri"/>
          <w:sz w:val="20"/>
          <w:szCs w:val="20"/>
        </w:rPr>
        <w:t>KRYSTYNA Opiekunka 8.1.3 (21),</w:t>
      </w:r>
    </w:p>
    <w:p w:rsidR="00626FC8" w:rsidRDefault="00626FC8" w:rsidP="006254F7">
      <w:pPr>
        <w:pStyle w:val="Default"/>
        <w:numPr>
          <w:ilvl w:val="0"/>
          <w:numId w:val="723"/>
        </w:numPr>
        <w:jc w:val="both"/>
        <w:rPr>
          <w:color w:val="auto"/>
          <w:sz w:val="20"/>
          <w:szCs w:val="20"/>
        </w:rPr>
      </w:pPr>
      <w:r>
        <w:rPr>
          <w:sz w:val="20"/>
          <w:szCs w:val="20"/>
        </w:rPr>
        <w:t>KRYSTYNA Integracja 9.1.3 (46),</w:t>
      </w:r>
    </w:p>
    <w:p w:rsidR="00626FC8" w:rsidRDefault="00626FC8" w:rsidP="00626FC8">
      <w:pPr>
        <w:pStyle w:val="Akapitzlist"/>
        <w:numPr>
          <w:ilvl w:val="0"/>
          <w:numId w:val="723"/>
        </w:numPr>
        <w:spacing w:after="0" w:line="259" w:lineRule="auto"/>
        <w:contextualSpacing/>
        <w:jc w:val="both"/>
        <w:rPr>
          <w:rFonts w:cs="Calibri"/>
          <w:sz w:val="20"/>
          <w:szCs w:val="20"/>
        </w:rPr>
      </w:pPr>
      <w:r>
        <w:rPr>
          <w:sz w:val="20"/>
          <w:szCs w:val="20"/>
        </w:rPr>
        <w:t>KRYSTYNA Usługowa 9.2.3 (70),</w:t>
      </w:r>
    </w:p>
    <w:p w:rsidR="00626FC8" w:rsidRDefault="00626FC8" w:rsidP="00626FC8">
      <w:pPr>
        <w:pStyle w:val="Akapitzlist"/>
        <w:numPr>
          <w:ilvl w:val="0"/>
          <w:numId w:val="723"/>
        </w:numPr>
        <w:spacing w:after="0" w:line="259" w:lineRule="auto"/>
        <w:contextualSpacing/>
        <w:jc w:val="both"/>
        <w:rPr>
          <w:rFonts w:cs="Calibri"/>
          <w:sz w:val="20"/>
          <w:szCs w:val="20"/>
        </w:rPr>
      </w:pPr>
      <w:r>
        <w:rPr>
          <w:rFonts w:cs="Calibri"/>
          <w:sz w:val="20"/>
          <w:szCs w:val="20"/>
        </w:rPr>
        <w:t>KRYSTYNA Rozwojowa 11.1.4 (77),</w:t>
      </w:r>
    </w:p>
    <w:p w:rsidR="00626FC8" w:rsidRDefault="00626FC8" w:rsidP="00626FC8">
      <w:pPr>
        <w:pStyle w:val="Default"/>
        <w:numPr>
          <w:ilvl w:val="0"/>
          <w:numId w:val="723"/>
        </w:numPr>
        <w:jc w:val="both"/>
        <w:rPr>
          <w:color w:val="auto"/>
          <w:sz w:val="20"/>
          <w:szCs w:val="20"/>
        </w:rPr>
      </w:pPr>
      <w:r>
        <w:rPr>
          <w:color w:val="auto"/>
          <w:sz w:val="20"/>
          <w:szCs w:val="20"/>
        </w:rPr>
        <w:t>Rewaloryzacja zespołu pałacowego Thiele-Wincklerów zlokalizowanego w Parku Ludowym przy ul. Dzierżonia w Bytomiu-Miechowicach (92),</w:t>
      </w:r>
    </w:p>
    <w:p w:rsidR="00626FC8" w:rsidRDefault="00626FC8" w:rsidP="00626FC8">
      <w:pPr>
        <w:pStyle w:val="Default"/>
        <w:numPr>
          <w:ilvl w:val="0"/>
          <w:numId w:val="723"/>
        </w:numPr>
        <w:jc w:val="both"/>
        <w:rPr>
          <w:color w:val="auto"/>
          <w:sz w:val="20"/>
          <w:szCs w:val="20"/>
        </w:rPr>
      </w:pPr>
      <w:r>
        <w:rPr>
          <w:color w:val="auto"/>
          <w:sz w:val="20"/>
          <w:szCs w:val="20"/>
        </w:rPr>
        <w:t>Renowacja zabytkowego kościoła Św. Krzyża w Bytomiu (97),</w:t>
      </w:r>
    </w:p>
    <w:p w:rsidR="00626FC8" w:rsidRDefault="00626FC8" w:rsidP="00626FC8">
      <w:pPr>
        <w:pStyle w:val="Default"/>
        <w:numPr>
          <w:ilvl w:val="0"/>
          <w:numId w:val="723"/>
        </w:numPr>
        <w:jc w:val="both"/>
        <w:rPr>
          <w:color w:val="auto"/>
          <w:sz w:val="20"/>
          <w:szCs w:val="20"/>
        </w:rPr>
      </w:pPr>
      <w:r>
        <w:rPr>
          <w:color w:val="auto"/>
          <w:sz w:val="20"/>
          <w:szCs w:val="20"/>
        </w:rPr>
        <w:t>Konserwacja i zachowanie zabytkowego kościoła św. Małgorzaty w Bytomiu (98),</w:t>
      </w:r>
    </w:p>
    <w:p w:rsidR="00626FC8" w:rsidRPr="00581E59" w:rsidRDefault="00626FC8" w:rsidP="00626FC8">
      <w:pPr>
        <w:pStyle w:val="Akapitzlist"/>
        <w:numPr>
          <w:ilvl w:val="0"/>
          <w:numId w:val="723"/>
        </w:numPr>
        <w:spacing w:after="0" w:line="259" w:lineRule="auto"/>
        <w:contextualSpacing/>
        <w:jc w:val="both"/>
        <w:rPr>
          <w:rFonts w:cs="Calibri"/>
          <w:sz w:val="20"/>
          <w:szCs w:val="20"/>
        </w:rPr>
      </w:pPr>
      <w:r>
        <w:rPr>
          <w:sz w:val="20"/>
          <w:szCs w:val="20"/>
        </w:rPr>
        <w:t>Uporządkowanie ruchu turystycznego na terenie Zespołu Przyrodniczo – Krajobrazowego Żabie Doły celem ochrony przyrody i bioróżnorodności oraz przystosowanie obszaru na cele edukacyjne i</w:t>
      </w:r>
      <w:r w:rsidR="001F4FD4">
        <w:rPr>
          <w:sz w:val="20"/>
          <w:szCs w:val="20"/>
        </w:rPr>
        <w:t> </w:t>
      </w:r>
      <w:r w:rsidRPr="00581E59">
        <w:rPr>
          <w:sz w:val="20"/>
          <w:szCs w:val="20"/>
        </w:rPr>
        <w:t>rekreacyjno – wypoczynkowe (100),</w:t>
      </w:r>
    </w:p>
    <w:p w:rsidR="00626FC8" w:rsidRPr="00581E59" w:rsidRDefault="00626FC8" w:rsidP="00626FC8">
      <w:pPr>
        <w:pStyle w:val="Akapitzlist"/>
        <w:numPr>
          <w:ilvl w:val="0"/>
          <w:numId w:val="723"/>
        </w:numPr>
        <w:spacing w:after="0" w:line="259" w:lineRule="auto"/>
        <w:contextualSpacing/>
        <w:jc w:val="both"/>
        <w:rPr>
          <w:rFonts w:cs="Calibri"/>
          <w:sz w:val="20"/>
          <w:szCs w:val="20"/>
        </w:rPr>
      </w:pPr>
      <w:r w:rsidRPr="00581E59">
        <w:rPr>
          <w:sz w:val="20"/>
          <w:szCs w:val="20"/>
        </w:rPr>
        <w:t>Rewitalizacja terenów poprzemysłowych dzielnic Szombierki i Łagiewniki w dolinie rzeki Bytomki (122),</w:t>
      </w:r>
    </w:p>
    <w:p w:rsidR="00626FC8" w:rsidRPr="00581E59" w:rsidRDefault="00626FC8" w:rsidP="003058C8">
      <w:pPr>
        <w:pStyle w:val="Akapitzlist"/>
        <w:numPr>
          <w:ilvl w:val="0"/>
          <w:numId w:val="723"/>
        </w:numPr>
        <w:spacing w:after="0" w:line="259" w:lineRule="auto"/>
        <w:contextualSpacing/>
        <w:jc w:val="both"/>
        <w:rPr>
          <w:rFonts w:cs="Calibri"/>
          <w:sz w:val="20"/>
          <w:szCs w:val="20"/>
        </w:rPr>
      </w:pPr>
      <w:r w:rsidRPr="00581E59">
        <w:rPr>
          <w:sz w:val="20"/>
          <w:szCs w:val="20"/>
        </w:rPr>
        <w:t>Mak</w:t>
      </w:r>
      <w:r w:rsidR="00255D67" w:rsidRPr="00581E59">
        <w:rPr>
          <w:sz w:val="20"/>
          <w:szCs w:val="20"/>
        </w:rPr>
        <w:t>erspace - FabLab KRYSTYNA (127),</w:t>
      </w:r>
    </w:p>
    <w:p w:rsidR="00273B97" w:rsidRPr="00581E59" w:rsidRDefault="00273B97" w:rsidP="009C1D86">
      <w:pPr>
        <w:pStyle w:val="Akapitzlist"/>
        <w:numPr>
          <w:ilvl w:val="0"/>
          <w:numId w:val="723"/>
        </w:numPr>
        <w:shd w:val="clear" w:color="auto" w:fill="F2F2F2" w:themeFill="background1" w:themeFillShade="F2"/>
        <w:spacing w:after="0" w:line="240" w:lineRule="auto"/>
        <w:ind w:left="714" w:hanging="357"/>
        <w:contextualSpacing/>
        <w:jc w:val="both"/>
        <w:rPr>
          <w:rFonts w:cs="Calibri"/>
          <w:sz w:val="20"/>
          <w:szCs w:val="20"/>
        </w:rPr>
      </w:pPr>
      <w:r w:rsidRPr="00581E59">
        <w:rPr>
          <w:sz w:val="20"/>
          <w:szCs w:val="20"/>
        </w:rPr>
        <w:t>Ponowne wykorzystanie zabudowań i zagospodarowanie terenu na obszarze dawnych Warsztatów Naprawc</w:t>
      </w:r>
      <w:r w:rsidR="00EA019F" w:rsidRPr="00581E59">
        <w:rPr>
          <w:sz w:val="20"/>
          <w:szCs w:val="20"/>
        </w:rPr>
        <w:t>zych GKW w Bytomiu Rozbarku (142</w:t>
      </w:r>
      <w:r w:rsidRPr="00581E59">
        <w:rPr>
          <w:sz w:val="20"/>
          <w:szCs w:val="20"/>
        </w:rPr>
        <w:t>),</w:t>
      </w:r>
    </w:p>
    <w:p w:rsidR="00E43FE6" w:rsidRPr="00581E59" w:rsidRDefault="00E43FE6" w:rsidP="009C1D86">
      <w:pPr>
        <w:pStyle w:val="Akapitzlist"/>
        <w:numPr>
          <w:ilvl w:val="0"/>
          <w:numId w:val="723"/>
        </w:numPr>
        <w:shd w:val="clear" w:color="auto" w:fill="F2F2F2" w:themeFill="background1" w:themeFillShade="F2"/>
        <w:spacing w:after="160" w:line="240" w:lineRule="auto"/>
        <w:contextualSpacing/>
        <w:jc w:val="both"/>
        <w:rPr>
          <w:rFonts w:cs="Calibri"/>
          <w:sz w:val="20"/>
          <w:szCs w:val="20"/>
        </w:rPr>
      </w:pPr>
      <w:r w:rsidRPr="00581E59">
        <w:rPr>
          <w:rFonts w:cs="Calibri"/>
          <w:sz w:val="20"/>
          <w:szCs w:val="20"/>
        </w:rPr>
        <w:t>„Nowy RozPark” hala warsztatowa - rewitalizacja terenów i obiektów poprzemysłowych – hali warsztatowej byłych warsztatów naprawczych kolei wąskotorowej na cele usług społecznych i mieszkalnictwa wspomaganego (143),</w:t>
      </w:r>
    </w:p>
    <w:p w:rsidR="00E43FE6" w:rsidRPr="00581E59" w:rsidRDefault="00E43FE6" w:rsidP="009C1D86">
      <w:pPr>
        <w:pStyle w:val="Akapitzlist"/>
        <w:numPr>
          <w:ilvl w:val="0"/>
          <w:numId w:val="723"/>
        </w:numPr>
        <w:shd w:val="clear" w:color="auto" w:fill="F2F2F2" w:themeFill="background1" w:themeFillShade="F2"/>
        <w:spacing w:after="160" w:line="240" w:lineRule="auto"/>
        <w:contextualSpacing/>
        <w:jc w:val="both"/>
        <w:rPr>
          <w:rFonts w:cs="Calibri"/>
          <w:sz w:val="20"/>
          <w:szCs w:val="20"/>
        </w:rPr>
      </w:pPr>
      <w:r w:rsidRPr="00581E59">
        <w:rPr>
          <w:rFonts w:cs="Calibri"/>
          <w:sz w:val="20"/>
          <w:szCs w:val="20"/>
        </w:rPr>
        <w:t>„Nowy RozPark” główna hala naprawcza - rewitalizacja terenów i obiektów poprzemysłowych na cele usług społecznych (144),</w:t>
      </w:r>
    </w:p>
    <w:p w:rsidR="00E43FE6" w:rsidRPr="00581E59" w:rsidRDefault="00E43FE6" w:rsidP="009C1D86">
      <w:pPr>
        <w:pStyle w:val="Akapitzlist"/>
        <w:numPr>
          <w:ilvl w:val="0"/>
          <w:numId w:val="723"/>
        </w:numPr>
        <w:shd w:val="clear" w:color="auto" w:fill="F2F2F2" w:themeFill="background1" w:themeFillShade="F2"/>
        <w:spacing w:after="160" w:line="240" w:lineRule="auto"/>
        <w:contextualSpacing/>
        <w:jc w:val="both"/>
        <w:rPr>
          <w:rFonts w:cs="Calibri"/>
          <w:sz w:val="20"/>
          <w:szCs w:val="20"/>
        </w:rPr>
      </w:pPr>
      <w:r w:rsidRPr="00581E59">
        <w:rPr>
          <w:rFonts w:cs="Calibri"/>
          <w:sz w:val="20"/>
          <w:szCs w:val="20"/>
        </w:rPr>
        <w:t>„Nowy RozPark” zagospdoarowanie terenów rekreacyjnych - rewitalizacja terenów i obiektów poprzemysłowych byłych warsztatów naprawczych kolei wąskotorowej na cele usług społecznych, rekreacyjnych wraz z przygotowaniem infrastruktury dla funkcji sąsiednich (145),</w:t>
      </w:r>
    </w:p>
    <w:p w:rsidR="00E43FE6" w:rsidRPr="00581E59" w:rsidRDefault="00E43FE6" w:rsidP="009C1D86">
      <w:pPr>
        <w:pStyle w:val="Akapitzlist"/>
        <w:numPr>
          <w:ilvl w:val="0"/>
          <w:numId w:val="723"/>
        </w:numPr>
        <w:shd w:val="clear" w:color="auto" w:fill="F2F2F2" w:themeFill="background1" w:themeFillShade="F2"/>
        <w:spacing w:after="160" w:line="240" w:lineRule="auto"/>
        <w:contextualSpacing/>
        <w:jc w:val="both"/>
        <w:rPr>
          <w:rFonts w:cs="Calibri"/>
          <w:sz w:val="20"/>
          <w:szCs w:val="20"/>
        </w:rPr>
      </w:pPr>
      <w:r w:rsidRPr="00581E59">
        <w:rPr>
          <w:rFonts w:cs="Calibri"/>
          <w:sz w:val="20"/>
          <w:szCs w:val="20"/>
        </w:rPr>
        <w:t>„Nowy RozPark” nowa zabudowa mieszkań wspomaganych - rewitalizacja terenów poprzemysłowych poprzez utworzenie lokali mieszkalnych wspomaganych i treningowych z uzupełnieniem funkcji usług społecznych pomocniczych i profilaktycznych (146),</w:t>
      </w:r>
    </w:p>
    <w:p w:rsidR="00273B97" w:rsidRPr="00581E59" w:rsidRDefault="00273B97" w:rsidP="009C1D86">
      <w:pPr>
        <w:pStyle w:val="Akapitzlist"/>
        <w:numPr>
          <w:ilvl w:val="0"/>
          <w:numId w:val="723"/>
        </w:numPr>
        <w:shd w:val="clear" w:color="auto" w:fill="F2F2F2" w:themeFill="background1" w:themeFillShade="F2"/>
        <w:spacing w:after="0" w:line="240" w:lineRule="auto"/>
        <w:ind w:left="714" w:hanging="357"/>
        <w:contextualSpacing/>
        <w:jc w:val="both"/>
        <w:rPr>
          <w:rFonts w:cs="Calibri"/>
          <w:sz w:val="20"/>
          <w:szCs w:val="20"/>
        </w:rPr>
      </w:pPr>
      <w:r w:rsidRPr="00581E59">
        <w:rPr>
          <w:rFonts w:cs="Calibri"/>
          <w:sz w:val="20"/>
          <w:szCs w:val="20"/>
        </w:rPr>
        <w:t xml:space="preserve">Rozbudowa infrastruktury wspinaczkowej o </w:t>
      </w:r>
      <w:r w:rsidR="00185B9E" w:rsidRPr="00581E59">
        <w:rPr>
          <w:rFonts w:cs="Calibri"/>
          <w:sz w:val="20"/>
          <w:szCs w:val="20"/>
        </w:rPr>
        <w:t>strefę sportów olimpijskich (147</w:t>
      </w:r>
      <w:r w:rsidRPr="00581E59">
        <w:rPr>
          <w:rFonts w:cs="Calibri"/>
          <w:sz w:val="20"/>
          <w:szCs w:val="20"/>
        </w:rPr>
        <w:t>),</w:t>
      </w:r>
    </w:p>
    <w:p w:rsidR="00273B97" w:rsidRPr="00581E59" w:rsidRDefault="00273B97" w:rsidP="009C1D86">
      <w:pPr>
        <w:pStyle w:val="Akapitzlist"/>
        <w:numPr>
          <w:ilvl w:val="0"/>
          <w:numId w:val="723"/>
        </w:numPr>
        <w:shd w:val="clear" w:color="auto" w:fill="F2F2F2" w:themeFill="background1" w:themeFillShade="F2"/>
        <w:spacing w:after="0" w:line="240" w:lineRule="auto"/>
        <w:ind w:left="714" w:hanging="357"/>
        <w:contextualSpacing/>
        <w:jc w:val="both"/>
        <w:rPr>
          <w:rFonts w:cs="Calibri"/>
          <w:sz w:val="20"/>
          <w:szCs w:val="20"/>
        </w:rPr>
      </w:pPr>
      <w:r w:rsidRPr="00581E59">
        <w:rPr>
          <w:rFonts w:cs="Calibri"/>
          <w:sz w:val="20"/>
          <w:szCs w:val="20"/>
        </w:rPr>
        <w:t xml:space="preserve">Wspinam się! Kopalnia Skarbów, czyli nowe kompetencje dla dzieci w Bytomiu w ramach podejmowanych działań w </w:t>
      </w:r>
      <w:r w:rsidR="00185B9E" w:rsidRPr="00581E59">
        <w:rPr>
          <w:rFonts w:cs="Calibri"/>
          <w:sz w:val="20"/>
          <w:szCs w:val="20"/>
        </w:rPr>
        <w:t>placówce wsparcia dziennego (148</w:t>
      </w:r>
      <w:r w:rsidRPr="00581E59">
        <w:rPr>
          <w:rFonts w:cs="Calibri"/>
          <w:sz w:val="20"/>
          <w:szCs w:val="20"/>
        </w:rPr>
        <w:t>),</w:t>
      </w:r>
    </w:p>
    <w:p w:rsidR="00273B97" w:rsidRPr="00581E59" w:rsidRDefault="00273B97" w:rsidP="009C1D86">
      <w:pPr>
        <w:pStyle w:val="Akapitzlist"/>
        <w:numPr>
          <w:ilvl w:val="0"/>
          <w:numId w:val="723"/>
        </w:numPr>
        <w:shd w:val="clear" w:color="auto" w:fill="F2F2F2" w:themeFill="background1" w:themeFillShade="F2"/>
        <w:spacing w:after="0" w:line="240" w:lineRule="auto"/>
        <w:ind w:left="714" w:hanging="357"/>
        <w:contextualSpacing/>
        <w:jc w:val="both"/>
        <w:rPr>
          <w:rFonts w:cs="Calibri"/>
          <w:sz w:val="20"/>
          <w:szCs w:val="20"/>
        </w:rPr>
      </w:pPr>
      <w:r w:rsidRPr="00581E59">
        <w:rPr>
          <w:rFonts w:cs="Calibri"/>
          <w:sz w:val="20"/>
          <w:szCs w:val="20"/>
        </w:rPr>
        <w:t>Zielony kwartał KWK Rozbark – Centrum Aktywno</w:t>
      </w:r>
      <w:r w:rsidR="00EA019F" w:rsidRPr="00581E59">
        <w:rPr>
          <w:rFonts w:cs="Calibri"/>
          <w:sz w:val="20"/>
          <w:szCs w:val="20"/>
        </w:rPr>
        <w:t>ści Społeczno – Edukacyjnej (1</w:t>
      </w:r>
      <w:r w:rsidR="00185B9E" w:rsidRPr="00581E59">
        <w:rPr>
          <w:rFonts w:cs="Calibri"/>
          <w:sz w:val="20"/>
          <w:szCs w:val="20"/>
        </w:rPr>
        <w:t>49</w:t>
      </w:r>
      <w:r w:rsidRPr="00581E59">
        <w:rPr>
          <w:rFonts w:cs="Calibri"/>
          <w:sz w:val="20"/>
          <w:szCs w:val="20"/>
        </w:rPr>
        <w:t>),</w:t>
      </w:r>
    </w:p>
    <w:p w:rsidR="00273B97" w:rsidRPr="00581E59" w:rsidRDefault="00273B97" w:rsidP="009C1D86">
      <w:pPr>
        <w:pStyle w:val="Akapitzlist"/>
        <w:numPr>
          <w:ilvl w:val="0"/>
          <w:numId w:val="723"/>
        </w:numPr>
        <w:shd w:val="clear" w:color="auto" w:fill="F2F2F2" w:themeFill="background1" w:themeFillShade="F2"/>
        <w:spacing w:after="0" w:line="240" w:lineRule="auto"/>
        <w:ind w:left="714" w:hanging="357"/>
        <w:contextualSpacing/>
        <w:jc w:val="both"/>
        <w:rPr>
          <w:rFonts w:cs="Calibri"/>
          <w:sz w:val="20"/>
          <w:szCs w:val="20"/>
        </w:rPr>
      </w:pPr>
      <w:r w:rsidRPr="00581E59">
        <w:rPr>
          <w:rFonts w:cs="Calibri"/>
          <w:sz w:val="20"/>
          <w:szCs w:val="20"/>
        </w:rPr>
        <w:t>Zielony kwartał KWK Rozbark – Centrum szkoleniowo–noclegowe –</w:t>
      </w:r>
      <w:r w:rsidR="00185B9E" w:rsidRPr="00581E59">
        <w:rPr>
          <w:rFonts w:cs="Calibri"/>
          <w:sz w:val="20"/>
          <w:szCs w:val="20"/>
        </w:rPr>
        <w:t xml:space="preserve"> Zielona Transformacja (150</w:t>
      </w:r>
      <w:r w:rsidRPr="00581E59">
        <w:rPr>
          <w:rFonts w:cs="Calibri"/>
          <w:sz w:val="20"/>
          <w:szCs w:val="20"/>
        </w:rPr>
        <w:t>),</w:t>
      </w:r>
    </w:p>
    <w:p w:rsidR="00273B97" w:rsidRPr="00991775" w:rsidRDefault="00273B97" w:rsidP="009C1D86">
      <w:pPr>
        <w:pStyle w:val="Akapitzlist"/>
        <w:numPr>
          <w:ilvl w:val="0"/>
          <w:numId w:val="723"/>
        </w:numPr>
        <w:shd w:val="clear" w:color="auto" w:fill="F2F2F2" w:themeFill="background1" w:themeFillShade="F2"/>
        <w:spacing w:after="0" w:line="240" w:lineRule="auto"/>
        <w:ind w:left="714" w:hanging="357"/>
        <w:contextualSpacing/>
        <w:jc w:val="both"/>
        <w:rPr>
          <w:rFonts w:cs="Calibri"/>
          <w:sz w:val="20"/>
          <w:szCs w:val="20"/>
        </w:rPr>
      </w:pPr>
      <w:r w:rsidRPr="00991775">
        <w:rPr>
          <w:rFonts w:cs="Calibri"/>
          <w:sz w:val="20"/>
          <w:szCs w:val="20"/>
        </w:rPr>
        <w:t>Zielony kwartał KWK Rozbark – Edu</w:t>
      </w:r>
      <w:r w:rsidR="00185B9E">
        <w:rPr>
          <w:rFonts w:cs="Calibri"/>
          <w:sz w:val="20"/>
          <w:szCs w:val="20"/>
        </w:rPr>
        <w:t>kacja Zielona Transformacja (151</w:t>
      </w:r>
      <w:r w:rsidRPr="00991775">
        <w:rPr>
          <w:rFonts w:cs="Calibri"/>
          <w:sz w:val="20"/>
          <w:szCs w:val="20"/>
        </w:rPr>
        <w:t>),</w:t>
      </w:r>
    </w:p>
    <w:p w:rsidR="00273B97" w:rsidRPr="00991775" w:rsidRDefault="00273B97" w:rsidP="009C1D86">
      <w:pPr>
        <w:pStyle w:val="Akapitzlist"/>
        <w:numPr>
          <w:ilvl w:val="0"/>
          <w:numId w:val="723"/>
        </w:numPr>
        <w:shd w:val="clear" w:color="auto" w:fill="F2F2F2" w:themeFill="background1" w:themeFillShade="F2"/>
        <w:spacing w:after="0" w:line="240" w:lineRule="auto"/>
        <w:ind w:left="714" w:hanging="357"/>
        <w:contextualSpacing/>
        <w:jc w:val="both"/>
        <w:rPr>
          <w:rFonts w:cs="Calibri"/>
          <w:sz w:val="20"/>
          <w:szCs w:val="20"/>
        </w:rPr>
      </w:pPr>
      <w:r w:rsidRPr="00991775">
        <w:rPr>
          <w:rFonts w:cs="Calibri"/>
          <w:sz w:val="20"/>
          <w:szCs w:val="20"/>
        </w:rPr>
        <w:t>Zielony kwartał KWK Rozbark – Centrum Tr</w:t>
      </w:r>
      <w:r w:rsidR="00185B9E">
        <w:rPr>
          <w:rFonts w:cs="Calibri"/>
          <w:sz w:val="20"/>
          <w:szCs w:val="20"/>
        </w:rPr>
        <w:t>ansformacji Energetycznej I (152</w:t>
      </w:r>
      <w:r w:rsidRPr="00991775">
        <w:rPr>
          <w:rFonts w:cs="Calibri"/>
          <w:sz w:val="20"/>
          <w:szCs w:val="20"/>
        </w:rPr>
        <w:t>),</w:t>
      </w:r>
    </w:p>
    <w:p w:rsidR="00273B97" w:rsidRPr="00991775" w:rsidRDefault="00273B97" w:rsidP="009C1D86">
      <w:pPr>
        <w:pStyle w:val="Akapitzlist"/>
        <w:numPr>
          <w:ilvl w:val="0"/>
          <w:numId w:val="723"/>
        </w:numPr>
        <w:shd w:val="clear" w:color="auto" w:fill="F2F2F2" w:themeFill="background1" w:themeFillShade="F2"/>
        <w:spacing w:after="0" w:line="240" w:lineRule="auto"/>
        <w:ind w:left="714" w:hanging="357"/>
        <w:contextualSpacing/>
        <w:jc w:val="both"/>
        <w:rPr>
          <w:rFonts w:cs="Calibri"/>
          <w:sz w:val="20"/>
          <w:szCs w:val="20"/>
        </w:rPr>
      </w:pPr>
      <w:r w:rsidRPr="00991775">
        <w:rPr>
          <w:rFonts w:cs="Calibri"/>
          <w:sz w:val="20"/>
          <w:szCs w:val="20"/>
        </w:rPr>
        <w:t>Zielony kwartał KWK Rozbark – Centrum Tra</w:t>
      </w:r>
      <w:r w:rsidR="00185B9E">
        <w:rPr>
          <w:rFonts w:cs="Calibri"/>
          <w:sz w:val="20"/>
          <w:szCs w:val="20"/>
        </w:rPr>
        <w:t>nsformacji Energetycznej II (153</w:t>
      </w:r>
      <w:r w:rsidRPr="00991775">
        <w:rPr>
          <w:rFonts w:cs="Calibri"/>
          <w:sz w:val="20"/>
          <w:szCs w:val="20"/>
        </w:rPr>
        <w:t>),</w:t>
      </w:r>
    </w:p>
    <w:p w:rsidR="00273B97" w:rsidRPr="00991775" w:rsidRDefault="00273B97" w:rsidP="009C1D86">
      <w:pPr>
        <w:pStyle w:val="Akapitzlist"/>
        <w:numPr>
          <w:ilvl w:val="0"/>
          <w:numId w:val="723"/>
        </w:numPr>
        <w:shd w:val="clear" w:color="auto" w:fill="F2F2F2" w:themeFill="background1" w:themeFillShade="F2"/>
        <w:spacing w:after="0" w:line="240" w:lineRule="auto"/>
        <w:contextualSpacing/>
        <w:jc w:val="both"/>
        <w:rPr>
          <w:rFonts w:cs="Calibri"/>
          <w:sz w:val="20"/>
          <w:szCs w:val="20"/>
        </w:rPr>
      </w:pPr>
      <w:r w:rsidRPr="00991775">
        <w:rPr>
          <w:rFonts w:cs="Calibri"/>
          <w:sz w:val="20"/>
          <w:szCs w:val="20"/>
        </w:rPr>
        <w:t>Zielony kwartał KWK Rozbark – zagospodarowanie terenów poprzemysłowych poprzez utwor</w:t>
      </w:r>
      <w:r w:rsidR="00185B9E">
        <w:rPr>
          <w:rFonts w:cs="Calibri"/>
          <w:sz w:val="20"/>
          <w:szCs w:val="20"/>
        </w:rPr>
        <w:t>zenie mieszkań treningowych (154</w:t>
      </w:r>
      <w:r w:rsidRPr="00991775">
        <w:rPr>
          <w:rFonts w:cs="Calibri"/>
          <w:sz w:val="20"/>
          <w:szCs w:val="20"/>
        </w:rPr>
        <w:t>),</w:t>
      </w:r>
    </w:p>
    <w:p w:rsidR="00273B97" w:rsidRPr="00991775" w:rsidRDefault="00273B97" w:rsidP="009C1D86">
      <w:pPr>
        <w:pStyle w:val="Akapitzlist"/>
        <w:numPr>
          <w:ilvl w:val="0"/>
          <w:numId w:val="723"/>
        </w:numPr>
        <w:shd w:val="clear" w:color="auto" w:fill="F2F2F2" w:themeFill="background1" w:themeFillShade="F2"/>
        <w:spacing w:after="0" w:line="240" w:lineRule="auto"/>
        <w:contextualSpacing/>
        <w:jc w:val="both"/>
        <w:rPr>
          <w:rFonts w:cs="Calibri"/>
          <w:sz w:val="20"/>
          <w:szCs w:val="20"/>
        </w:rPr>
      </w:pPr>
      <w:r w:rsidRPr="00991775">
        <w:rPr>
          <w:rFonts w:cs="Calibri"/>
          <w:sz w:val="20"/>
          <w:szCs w:val="20"/>
        </w:rPr>
        <w:t>Zielony kwartał KWK Rozbark – zagospodarowanie terenów poprzemysłowych poprzez utwor</w:t>
      </w:r>
      <w:r w:rsidR="00185B9E">
        <w:rPr>
          <w:rFonts w:cs="Calibri"/>
          <w:sz w:val="20"/>
          <w:szCs w:val="20"/>
        </w:rPr>
        <w:t>zenie mieszkań wspomaganych (155</w:t>
      </w:r>
      <w:r w:rsidRPr="00991775">
        <w:rPr>
          <w:rFonts w:cs="Calibri"/>
          <w:sz w:val="20"/>
          <w:szCs w:val="20"/>
        </w:rPr>
        <w:t>),</w:t>
      </w:r>
    </w:p>
    <w:p w:rsidR="00273B97" w:rsidRPr="00991775" w:rsidRDefault="00273B97" w:rsidP="009C1D86">
      <w:pPr>
        <w:pStyle w:val="Akapitzlist"/>
        <w:numPr>
          <w:ilvl w:val="0"/>
          <w:numId w:val="723"/>
        </w:numPr>
        <w:shd w:val="clear" w:color="auto" w:fill="F2F2F2" w:themeFill="background1" w:themeFillShade="F2"/>
        <w:spacing w:after="0" w:line="240" w:lineRule="auto"/>
        <w:contextualSpacing/>
        <w:jc w:val="both"/>
        <w:rPr>
          <w:rFonts w:cs="Calibri"/>
          <w:sz w:val="20"/>
          <w:szCs w:val="20"/>
        </w:rPr>
      </w:pPr>
      <w:r w:rsidRPr="00991775">
        <w:rPr>
          <w:rFonts w:cs="Calibri"/>
          <w:sz w:val="20"/>
          <w:szCs w:val="20"/>
        </w:rPr>
        <w:t>Zielony kwartał KWK Rozbark – zagospodarowanie terenów poprzemysłowych poprzez utworzenie mi</w:t>
      </w:r>
      <w:r w:rsidR="00185B9E">
        <w:rPr>
          <w:rFonts w:cs="Calibri"/>
          <w:sz w:val="20"/>
          <w:szCs w:val="20"/>
        </w:rPr>
        <w:t>eszkań wspomaganych etap II (156</w:t>
      </w:r>
      <w:r w:rsidRPr="00991775">
        <w:rPr>
          <w:rFonts w:cs="Calibri"/>
          <w:sz w:val="20"/>
          <w:szCs w:val="20"/>
        </w:rPr>
        <w:t>),</w:t>
      </w:r>
    </w:p>
    <w:p w:rsidR="00273B97" w:rsidRPr="00991775" w:rsidRDefault="00273B97" w:rsidP="009C1D86">
      <w:pPr>
        <w:pStyle w:val="Default"/>
        <w:numPr>
          <w:ilvl w:val="0"/>
          <w:numId w:val="723"/>
        </w:numPr>
        <w:shd w:val="clear" w:color="auto" w:fill="F2F2F2" w:themeFill="background1" w:themeFillShade="F2"/>
        <w:ind w:left="714" w:hanging="357"/>
        <w:jc w:val="both"/>
        <w:rPr>
          <w:rFonts w:asciiTheme="minorHAnsi" w:hAnsiTheme="minorHAnsi"/>
          <w:color w:val="auto"/>
          <w:sz w:val="20"/>
          <w:szCs w:val="20"/>
        </w:rPr>
      </w:pPr>
      <w:r w:rsidRPr="00991775">
        <w:rPr>
          <w:rFonts w:asciiTheme="minorHAnsi" w:hAnsiTheme="minorHAnsi"/>
          <w:color w:val="auto"/>
          <w:sz w:val="20"/>
          <w:szCs w:val="20"/>
        </w:rPr>
        <w:t xml:space="preserve">Elektrociepłownia Szombierki – rewitalizacja dawnej elektrociepłowni wraz z przebudową, rozbudową, nadbudową, remontem i zmianą sposobu użytkowania na funkcje usługowe; kultury, nauki i oświaty, turystyki, sportu i rekreacji, zakwaterowania turystycznego, wystawiennictwa, biur, handlu, gastronomii i usług wraz z zagospodarowaniem terenu i </w:t>
      </w:r>
      <w:r w:rsidR="00EA019F">
        <w:rPr>
          <w:rFonts w:asciiTheme="minorHAnsi" w:hAnsiTheme="minorHAnsi"/>
          <w:color w:val="auto"/>
          <w:sz w:val="20"/>
          <w:szCs w:val="20"/>
        </w:rPr>
        <w:t>infrastrukturą towarzyszącą (141</w:t>
      </w:r>
      <w:r w:rsidRPr="00991775">
        <w:rPr>
          <w:rFonts w:asciiTheme="minorHAnsi" w:hAnsiTheme="minorHAnsi"/>
          <w:color w:val="auto"/>
          <w:sz w:val="20"/>
          <w:szCs w:val="20"/>
        </w:rPr>
        <w:t>),</w:t>
      </w:r>
    </w:p>
    <w:p w:rsidR="00273B97" w:rsidRPr="00ED2BA3" w:rsidRDefault="00273B97" w:rsidP="009C1D86">
      <w:pPr>
        <w:pStyle w:val="Default"/>
        <w:numPr>
          <w:ilvl w:val="0"/>
          <w:numId w:val="723"/>
        </w:numPr>
        <w:shd w:val="clear" w:color="auto" w:fill="F2F2F2" w:themeFill="background1" w:themeFillShade="F2"/>
        <w:spacing w:after="160"/>
        <w:ind w:left="714" w:hanging="357"/>
        <w:jc w:val="both"/>
        <w:rPr>
          <w:rFonts w:asciiTheme="minorHAnsi" w:hAnsiTheme="minorHAnsi"/>
          <w:color w:val="auto"/>
          <w:sz w:val="20"/>
          <w:szCs w:val="20"/>
        </w:rPr>
      </w:pPr>
      <w:r w:rsidRPr="00ED2BA3">
        <w:rPr>
          <w:rFonts w:cs="Calibri"/>
          <w:color w:val="auto"/>
          <w:sz w:val="20"/>
          <w:szCs w:val="20"/>
        </w:rPr>
        <w:t>Zagospodarowanie zdegradowanych terenów oraz rewitalizacja obiektów po byłej Oczyszczalni Ścieków „Śródmieście” przy ul. Zabrzańsk</w:t>
      </w:r>
      <w:r w:rsidR="00EA019F">
        <w:rPr>
          <w:rFonts w:cs="Calibri"/>
          <w:color w:val="auto"/>
          <w:sz w:val="20"/>
          <w:szCs w:val="20"/>
        </w:rPr>
        <w:t>iej/Ła</w:t>
      </w:r>
      <w:r w:rsidR="00185B9E">
        <w:rPr>
          <w:rFonts w:cs="Calibri"/>
          <w:color w:val="auto"/>
          <w:sz w:val="20"/>
          <w:szCs w:val="20"/>
        </w:rPr>
        <w:t>giewnickiej w Bytomiu (163</w:t>
      </w:r>
      <w:r w:rsidRPr="00ED2BA3">
        <w:rPr>
          <w:rFonts w:cs="Calibri"/>
          <w:color w:val="auto"/>
          <w:sz w:val="20"/>
          <w:szCs w:val="20"/>
        </w:rPr>
        <w:t>).</w:t>
      </w:r>
    </w:p>
    <w:p w:rsidR="00626FC8" w:rsidRDefault="00626FC8" w:rsidP="00626FC8">
      <w:pPr>
        <w:pStyle w:val="Default"/>
        <w:jc w:val="both"/>
        <w:rPr>
          <w:color w:val="auto"/>
          <w:sz w:val="20"/>
          <w:szCs w:val="20"/>
        </w:rPr>
      </w:pPr>
      <w:r>
        <w:rPr>
          <w:color w:val="auto"/>
          <w:sz w:val="20"/>
          <w:szCs w:val="20"/>
        </w:rPr>
        <w:t xml:space="preserve">Projekt Makerspace - FabLab KRYSTYNA (127) umożliwia realizację przedsięwzięcia Makerspace - FabLab KRYSTYNA obejmującego uruchomienie: </w:t>
      </w:r>
    </w:p>
    <w:p w:rsidR="00626FC8" w:rsidRDefault="00626FC8" w:rsidP="00D05D05">
      <w:pPr>
        <w:pStyle w:val="Default"/>
        <w:numPr>
          <w:ilvl w:val="0"/>
          <w:numId w:val="731"/>
        </w:numPr>
        <w:spacing w:after="15"/>
        <w:jc w:val="both"/>
        <w:rPr>
          <w:color w:val="auto"/>
          <w:sz w:val="20"/>
          <w:szCs w:val="20"/>
        </w:rPr>
      </w:pPr>
      <w:r>
        <w:rPr>
          <w:color w:val="auto"/>
          <w:sz w:val="20"/>
          <w:szCs w:val="20"/>
        </w:rPr>
        <w:t xml:space="preserve">warsztatów specjalistycznych z opcją wynajmu dla działalności gospodarczej (7), </w:t>
      </w:r>
    </w:p>
    <w:p w:rsidR="00626FC8" w:rsidRDefault="00626FC8" w:rsidP="00D05D05">
      <w:pPr>
        <w:pStyle w:val="Default"/>
        <w:numPr>
          <w:ilvl w:val="0"/>
          <w:numId w:val="731"/>
        </w:numPr>
        <w:spacing w:after="15"/>
        <w:jc w:val="both"/>
        <w:rPr>
          <w:color w:val="auto"/>
          <w:sz w:val="20"/>
          <w:szCs w:val="20"/>
        </w:rPr>
      </w:pPr>
      <w:r>
        <w:rPr>
          <w:color w:val="auto"/>
          <w:sz w:val="20"/>
          <w:szCs w:val="20"/>
        </w:rPr>
        <w:t xml:space="preserve">preinkubacji indywidualnych działalności gospodarczych na terenie Makerspace (15), </w:t>
      </w:r>
    </w:p>
    <w:p w:rsidR="00626FC8" w:rsidRDefault="00626FC8" w:rsidP="00D05D05">
      <w:pPr>
        <w:pStyle w:val="Default"/>
        <w:numPr>
          <w:ilvl w:val="0"/>
          <w:numId w:val="731"/>
        </w:numPr>
        <w:spacing w:after="15"/>
        <w:jc w:val="both"/>
        <w:rPr>
          <w:color w:val="auto"/>
          <w:sz w:val="20"/>
          <w:szCs w:val="20"/>
        </w:rPr>
      </w:pPr>
      <w:r>
        <w:rPr>
          <w:color w:val="auto"/>
          <w:sz w:val="20"/>
          <w:szCs w:val="20"/>
        </w:rPr>
        <w:t xml:space="preserve">Punktu Outplacement Szombierki (18), </w:t>
      </w:r>
    </w:p>
    <w:p w:rsidR="00626FC8" w:rsidRDefault="00626FC8" w:rsidP="00D05D05">
      <w:pPr>
        <w:pStyle w:val="Default"/>
        <w:numPr>
          <w:ilvl w:val="0"/>
          <w:numId w:val="731"/>
        </w:numPr>
        <w:spacing w:after="15"/>
        <w:jc w:val="both"/>
        <w:rPr>
          <w:color w:val="auto"/>
          <w:sz w:val="20"/>
          <w:szCs w:val="20"/>
        </w:rPr>
      </w:pPr>
      <w:r>
        <w:rPr>
          <w:color w:val="auto"/>
          <w:sz w:val="20"/>
          <w:szCs w:val="20"/>
        </w:rPr>
        <w:t xml:space="preserve">Punktu Żłobek KRYSTYNA (21), </w:t>
      </w:r>
    </w:p>
    <w:p w:rsidR="00626FC8" w:rsidRDefault="00626FC8" w:rsidP="00D05D05">
      <w:pPr>
        <w:pStyle w:val="Default"/>
        <w:numPr>
          <w:ilvl w:val="0"/>
          <w:numId w:val="731"/>
        </w:numPr>
        <w:spacing w:after="15"/>
        <w:jc w:val="both"/>
        <w:rPr>
          <w:color w:val="auto"/>
          <w:sz w:val="20"/>
          <w:szCs w:val="20"/>
        </w:rPr>
      </w:pPr>
      <w:r>
        <w:rPr>
          <w:color w:val="auto"/>
          <w:sz w:val="20"/>
          <w:szCs w:val="20"/>
        </w:rPr>
        <w:t xml:space="preserve">Integracyjnego Ośrodka Aktywności KRYSTYNA (46), </w:t>
      </w:r>
    </w:p>
    <w:p w:rsidR="00626FC8" w:rsidRDefault="00626FC8" w:rsidP="00D05D05">
      <w:pPr>
        <w:pStyle w:val="Default"/>
        <w:numPr>
          <w:ilvl w:val="0"/>
          <w:numId w:val="731"/>
        </w:numPr>
        <w:spacing w:after="15"/>
        <w:jc w:val="both"/>
        <w:rPr>
          <w:color w:val="auto"/>
          <w:sz w:val="20"/>
          <w:szCs w:val="20"/>
        </w:rPr>
      </w:pPr>
      <w:r>
        <w:rPr>
          <w:color w:val="auto"/>
          <w:sz w:val="20"/>
          <w:szCs w:val="20"/>
        </w:rPr>
        <w:t xml:space="preserve">Świetlicy KRYSTYNA oraz Usług Opiekuńczych KRYSTYNA (70), </w:t>
      </w:r>
    </w:p>
    <w:p w:rsidR="00626FC8" w:rsidRDefault="00626FC8" w:rsidP="00D05D05">
      <w:pPr>
        <w:pStyle w:val="Default"/>
        <w:numPr>
          <w:ilvl w:val="0"/>
          <w:numId w:val="731"/>
        </w:numPr>
        <w:spacing w:after="15"/>
        <w:jc w:val="both"/>
        <w:rPr>
          <w:color w:val="auto"/>
          <w:sz w:val="20"/>
          <w:szCs w:val="20"/>
        </w:rPr>
      </w:pPr>
      <w:r>
        <w:rPr>
          <w:color w:val="auto"/>
          <w:sz w:val="20"/>
          <w:szCs w:val="20"/>
        </w:rPr>
        <w:t xml:space="preserve">Ośrodka Przedszkolnego KRYSTYNA (73), </w:t>
      </w:r>
    </w:p>
    <w:p w:rsidR="00626FC8" w:rsidRDefault="00626FC8" w:rsidP="00D05D05">
      <w:pPr>
        <w:pStyle w:val="Default"/>
        <w:numPr>
          <w:ilvl w:val="0"/>
          <w:numId w:val="731"/>
        </w:numPr>
        <w:jc w:val="both"/>
        <w:rPr>
          <w:color w:val="auto"/>
          <w:sz w:val="20"/>
          <w:szCs w:val="20"/>
        </w:rPr>
      </w:pPr>
      <w:r>
        <w:rPr>
          <w:color w:val="auto"/>
          <w:sz w:val="20"/>
          <w:szCs w:val="20"/>
        </w:rPr>
        <w:t xml:space="preserve">Ośrodka Oświatowego KRYSTYNA (77). </w:t>
      </w:r>
    </w:p>
    <w:p w:rsidR="00626FC8" w:rsidRDefault="00626FC8" w:rsidP="00626FC8">
      <w:pPr>
        <w:pStyle w:val="NormalnyWeb2"/>
        <w:spacing w:before="0" w:after="0" w:line="240" w:lineRule="auto"/>
        <w:rPr>
          <w:rFonts w:asciiTheme="minorHAnsi" w:hAnsiTheme="minorHAnsi"/>
          <w:sz w:val="20"/>
          <w:szCs w:val="20"/>
          <w:highlight w:val="yellow"/>
        </w:rPr>
      </w:pPr>
    </w:p>
    <w:p w:rsidR="00B806E2" w:rsidRPr="00581E59" w:rsidRDefault="00310AB1" w:rsidP="00CA6225">
      <w:pPr>
        <w:shd w:val="clear" w:color="auto" w:fill="F2F2F2" w:themeFill="background1" w:themeFillShade="F2"/>
        <w:ind w:firstLine="708"/>
        <w:jc w:val="both"/>
        <w:rPr>
          <w:rFonts w:ascii="Calibri" w:hAnsi="Calibri"/>
          <w:b/>
        </w:rPr>
      </w:pPr>
      <w:r w:rsidRPr="00581E59">
        <w:rPr>
          <w:rFonts w:ascii="Calibri" w:hAnsi="Calibri"/>
          <w:b/>
        </w:rPr>
        <w:t>W r</w:t>
      </w:r>
      <w:r w:rsidR="00CA6225" w:rsidRPr="00581E59">
        <w:rPr>
          <w:rFonts w:ascii="Calibri" w:hAnsi="Calibri"/>
          <w:b/>
        </w:rPr>
        <w:t>amach GPR uwzględniono również</w:t>
      </w:r>
      <w:r w:rsidRPr="00581E59">
        <w:rPr>
          <w:rFonts w:ascii="Calibri" w:hAnsi="Calibri"/>
          <w:b/>
        </w:rPr>
        <w:t xml:space="preserve"> projekty, które realizowane są zarówno na obszarze re</w:t>
      </w:r>
      <w:r w:rsidR="00CA6225" w:rsidRPr="00581E59">
        <w:rPr>
          <w:rFonts w:ascii="Calibri" w:hAnsi="Calibri"/>
          <w:b/>
        </w:rPr>
        <w:t xml:space="preserve">witalizacji jak i </w:t>
      </w:r>
      <w:r w:rsidRPr="00581E59">
        <w:rPr>
          <w:rFonts w:ascii="Calibri" w:hAnsi="Calibri"/>
          <w:b/>
        </w:rPr>
        <w:t xml:space="preserve">poza nim. Są to projekty:  </w:t>
      </w:r>
    </w:p>
    <w:p w:rsidR="00CA6225" w:rsidRDefault="00CA6225" w:rsidP="00CA6225">
      <w:pPr>
        <w:pStyle w:val="Tekstpodstawowy"/>
        <w:spacing w:after="0"/>
        <w:jc w:val="both"/>
        <w:rPr>
          <w:rFonts w:ascii="Calibri" w:hAnsi="Calibri"/>
          <w:b/>
        </w:rPr>
      </w:pPr>
    </w:p>
    <w:p w:rsidR="00B806E2" w:rsidRPr="00626FC8" w:rsidRDefault="00310AB1">
      <w:pPr>
        <w:pStyle w:val="Tekstpodstawowy"/>
        <w:numPr>
          <w:ilvl w:val="0"/>
          <w:numId w:val="678"/>
        </w:numPr>
        <w:spacing w:after="0"/>
        <w:jc w:val="both"/>
        <w:rPr>
          <w:rFonts w:ascii="Calibri" w:hAnsi="Calibri"/>
          <w:b/>
        </w:rPr>
      </w:pPr>
      <w:r w:rsidRPr="00626FC8">
        <w:rPr>
          <w:rFonts w:ascii="Calibri" w:hAnsi="Calibri"/>
          <w:b/>
        </w:rPr>
        <w:t>Rewitalizacja terenów poprzemysłowych dzielnic Szombierki i Łagiewniki w dolinie rzeki Bytomki (122, wiązka 4)</w:t>
      </w:r>
    </w:p>
    <w:p w:rsidR="00310AB1" w:rsidRDefault="00310AB1" w:rsidP="00310AB1">
      <w:pPr>
        <w:pStyle w:val="Tekstpodstawowy2"/>
      </w:pPr>
      <w:r>
        <w:t xml:space="preserve">Projekt realizowany jest ze środków POIiŚ działanie 2.5 Poprawa jakości środowiska miejskiego. Dla działania tego nie jest wymagane, aby projekt był realizowany w obszarze rewitalizacji ani aby był wpisany do GPR. Jednakże ze względu na fakt, iż projekt w przeważającej części zlokalizowany jest na obszarze rewitalizacji (teren dawnej Huty Zygmunt (26)) został uwzględniony w programie. Projekt realizowany będzie na obszarze poprzemysłowym usytuowanym w okolicy doliny rzeki Bytomki. W projekcie założono urządzenie ogólnodostępnej przestrzeni rekreacyjno-sportowo-przyrodnicznej dla mieszkańców miasta, w szczególności pobliskich podobszarów rewitalizacji. Stworzenie zadbanych i zagospodarowanych przestrzeni pociąga za sobą tworzenie nowych miejsc pracy przy obsłudze powstałych terenów. </w:t>
      </w:r>
    </w:p>
    <w:p w:rsidR="00310AB1" w:rsidRDefault="00310AB1" w:rsidP="00310AB1">
      <w:pPr>
        <w:jc w:val="both"/>
        <w:rPr>
          <w:rFonts w:ascii="Calibri" w:hAnsi="Calibri"/>
        </w:rPr>
      </w:pPr>
      <w:r>
        <w:rPr>
          <w:rFonts w:ascii="Calibri" w:hAnsi="Calibri"/>
        </w:rPr>
        <w:t xml:space="preserve">Projekt przyczynia się do realizacji celu 4.2 Przywrócona wartość obiektów historycznych, kulturowych, krajobrazowo-przyrodniczych przyczyniająca się do wzmacniania tożsamości społeczności lokalnych, a także pośrednio celu 4.1 GPR Zrekultywowane tereny poprzemysłowe przygotowane na przyjęcie nowych funkcji ważnych dla poprawy sytuacji społecznej i rozwoju rynku pracy. </w:t>
      </w:r>
    </w:p>
    <w:p w:rsidR="00B806E2" w:rsidRPr="00626FC8" w:rsidRDefault="00310AB1">
      <w:pPr>
        <w:pStyle w:val="Tekstpodstawowy"/>
        <w:numPr>
          <w:ilvl w:val="0"/>
          <w:numId w:val="678"/>
        </w:numPr>
        <w:spacing w:after="0"/>
        <w:jc w:val="both"/>
        <w:rPr>
          <w:rFonts w:ascii="Calibri" w:hAnsi="Calibri"/>
          <w:b/>
        </w:rPr>
      </w:pPr>
      <w:r w:rsidRPr="00626FC8">
        <w:rPr>
          <w:rFonts w:ascii="Calibri" w:hAnsi="Calibri"/>
          <w:b/>
        </w:rPr>
        <w:t>Lepsze umiejętności - większe szanse na rynku pracy. Poprawa infrastruktury kształcenia zawodowego w Bytomiu (123, wiązka 1)</w:t>
      </w:r>
      <w:r w:rsidR="0029074C" w:rsidRPr="00626FC8">
        <w:rPr>
          <w:rFonts w:ascii="Calibri" w:hAnsi="Calibri"/>
          <w:b/>
        </w:rPr>
        <w:t>;</w:t>
      </w:r>
      <w:r w:rsidRPr="00626FC8">
        <w:rPr>
          <w:rFonts w:ascii="Calibri" w:hAnsi="Calibri"/>
          <w:b/>
        </w:rPr>
        <w:t xml:space="preserve"> </w:t>
      </w:r>
    </w:p>
    <w:p w:rsidR="00B806E2" w:rsidRPr="00626FC8" w:rsidRDefault="00310AB1">
      <w:pPr>
        <w:pStyle w:val="Tekstpodstawowy"/>
        <w:numPr>
          <w:ilvl w:val="0"/>
          <w:numId w:val="678"/>
        </w:numPr>
        <w:spacing w:after="0"/>
        <w:jc w:val="both"/>
        <w:rPr>
          <w:rFonts w:ascii="Calibri" w:hAnsi="Calibri"/>
          <w:b/>
        </w:rPr>
      </w:pPr>
      <w:r w:rsidRPr="00626FC8">
        <w:rPr>
          <w:rFonts w:ascii="Calibri" w:hAnsi="Calibri"/>
          <w:b/>
        </w:rPr>
        <w:t>Rozwojowy uczeń szkoły zawodowej z szansą na pracę na europejskim rynku pracy - dostosowanie oferty kształcenia zawodowego (79, wiązka 1)</w:t>
      </w:r>
      <w:r w:rsidR="00416013">
        <w:rPr>
          <w:rFonts w:ascii="Calibri" w:hAnsi="Calibri"/>
          <w:b/>
        </w:rPr>
        <w:t>.</w:t>
      </w:r>
    </w:p>
    <w:p w:rsidR="00310AB1" w:rsidRDefault="00310AB1" w:rsidP="00310AB1">
      <w:pPr>
        <w:jc w:val="both"/>
        <w:rPr>
          <w:rFonts w:ascii="Calibri" w:hAnsi="Calibri"/>
        </w:rPr>
      </w:pPr>
      <w:r>
        <w:rPr>
          <w:rFonts w:ascii="Calibri" w:hAnsi="Calibri"/>
        </w:rPr>
        <w:t xml:space="preserve">Oba projekty dotyczą bytomskich szkół zawodowych: Państwowe Szkoły Budownictwa - ZS, ZS Gastronomiczno-Hotelarskich, ZS Mechaniczno-Elektronicznych, Technikum nr 4, ZS Administracyjno-Ekonomicznych </w:t>
      </w:r>
      <w:r>
        <w:rPr>
          <w:rFonts w:ascii="Calibri" w:hAnsi="Calibri"/>
        </w:rPr>
        <w:br/>
        <w:t xml:space="preserve">i Ogólnokształcących, ZS Technicznych i Ogólnokształcących, ZS Usługowo-Rzemieślniczych, Zasadnicza Szkoła Zawodowa nr 8, z których dwie: ZS Usługowo-Rzemieślniczych (Świętochłowicka 10) oraz ZS Technicznych </w:t>
      </w:r>
      <w:r>
        <w:rPr>
          <w:rFonts w:ascii="Calibri" w:hAnsi="Calibri"/>
        </w:rPr>
        <w:br/>
        <w:t xml:space="preserve">i Ogólnokształcących (ul. Frycza Modrzewskiego 5) zlokalizowane są poza obszarem rewitalizacji, jednakże </w:t>
      </w:r>
      <w:r>
        <w:rPr>
          <w:rFonts w:ascii="Calibri" w:hAnsi="Calibri"/>
        </w:rPr>
        <w:br/>
        <w:t xml:space="preserve">w jego bliskim sąsiedztwie. </w:t>
      </w:r>
    </w:p>
    <w:p w:rsidR="00310AB1" w:rsidRDefault="00310AB1" w:rsidP="00310AB1">
      <w:pPr>
        <w:jc w:val="both"/>
        <w:rPr>
          <w:rFonts w:ascii="Calibri" w:hAnsi="Calibri"/>
        </w:rPr>
      </w:pPr>
      <w:r>
        <w:rPr>
          <w:rFonts w:ascii="Calibri" w:hAnsi="Calibri"/>
        </w:rPr>
        <w:t>Do wszystkich szkół zawodowych w mieście, także tych dwóch, uczęszcza spora grupa uczniów z obszarów rewitalizowanych, więc niezasadne jest ich wyłączanie z projektu ze względu na lokalizację siedziby szkoły. Poprzez poprawę warunków kształcenia zawodowego w mieście, a przez to poprawę sytuacji ludzi młodych na rynku pracy i podniesienie ich różnorodnych kompetencji i kwalifikacji projekty będą realizować cele GPR:</w:t>
      </w:r>
    </w:p>
    <w:p w:rsidR="00B806E2" w:rsidRPr="00367A98" w:rsidRDefault="00310AB1">
      <w:pPr>
        <w:pStyle w:val="Akapitzlist"/>
        <w:numPr>
          <w:ilvl w:val="0"/>
          <w:numId w:val="679"/>
        </w:numPr>
        <w:spacing w:after="0" w:line="240" w:lineRule="auto"/>
        <w:jc w:val="both"/>
        <w:rPr>
          <w:sz w:val="20"/>
        </w:rPr>
      </w:pPr>
      <w:r w:rsidRPr="00367A98">
        <w:rPr>
          <w:sz w:val="20"/>
        </w:rPr>
        <w:t>cel 1.3 Wysoki poziom dostępności udogodnień umożliwiających podnoszenie kwalifikacji mieszkańców, usuwanie barier w powrocie na rynek pracy oraz wzrastający poziom motywacji wewnętrznej mieszkańców w zakresie realizacji karier zawodowych,</w:t>
      </w:r>
    </w:p>
    <w:p w:rsidR="00B806E2" w:rsidRPr="00581E59" w:rsidRDefault="00310AB1" w:rsidP="00D05D05">
      <w:pPr>
        <w:pStyle w:val="Akapitzlist"/>
        <w:numPr>
          <w:ilvl w:val="0"/>
          <w:numId w:val="679"/>
        </w:numPr>
        <w:spacing w:after="120" w:line="240" w:lineRule="auto"/>
        <w:ind w:left="714" w:hanging="357"/>
        <w:jc w:val="both"/>
        <w:rPr>
          <w:sz w:val="20"/>
        </w:rPr>
      </w:pPr>
      <w:r w:rsidRPr="00367A98">
        <w:rPr>
          <w:sz w:val="20"/>
        </w:rPr>
        <w:t xml:space="preserve">cel 3.1 Odpowiadająca współczesnym standardom cywilizacyjnym jakość zabudowy na obszarach </w:t>
      </w:r>
      <w:r w:rsidRPr="00581E59">
        <w:rPr>
          <w:sz w:val="20"/>
        </w:rPr>
        <w:t>rewitalizowanych oraz wzrost odpowiedzialności mieszkańców za komunalny zasób mieszkaniowy.</w:t>
      </w:r>
    </w:p>
    <w:p w:rsidR="00CA6225" w:rsidRPr="00581E59" w:rsidRDefault="00CA6225" w:rsidP="00CA6225">
      <w:pPr>
        <w:pStyle w:val="Akapitzlist"/>
        <w:numPr>
          <w:ilvl w:val="0"/>
          <w:numId w:val="817"/>
        </w:numPr>
        <w:shd w:val="clear" w:color="auto" w:fill="F2F2F2" w:themeFill="background1" w:themeFillShade="F2"/>
        <w:spacing w:after="0" w:line="240" w:lineRule="auto"/>
        <w:contextualSpacing/>
        <w:jc w:val="both"/>
        <w:rPr>
          <w:rFonts w:cs="Calibri"/>
          <w:b/>
          <w:sz w:val="20"/>
          <w:szCs w:val="20"/>
        </w:rPr>
      </w:pPr>
      <w:r w:rsidRPr="00581E59">
        <w:rPr>
          <w:rFonts w:cs="Calibri"/>
          <w:b/>
          <w:sz w:val="20"/>
          <w:szCs w:val="20"/>
        </w:rPr>
        <w:t xml:space="preserve">Zielony kwartał KWK Rozbark – rewitalizacja budynków na działce nr 7128/565 wraz </w:t>
      </w:r>
      <w:r w:rsidRPr="00581E59">
        <w:rPr>
          <w:rFonts w:cs="Calibri"/>
          <w:b/>
          <w:sz w:val="20"/>
          <w:szCs w:val="20"/>
        </w:rPr>
        <w:br/>
        <w:t>z zagospodarowaniem terenu - etap I (157);</w:t>
      </w:r>
    </w:p>
    <w:p w:rsidR="00CA6225" w:rsidRPr="00581E59" w:rsidRDefault="00CA6225" w:rsidP="00CA6225">
      <w:pPr>
        <w:pStyle w:val="Akapitzlist"/>
        <w:numPr>
          <w:ilvl w:val="0"/>
          <w:numId w:val="817"/>
        </w:numPr>
        <w:shd w:val="clear" w:color="auto" w:fill="F2F2F2" w:themeFill="background1" w:themeFillShade="F2"/>
        <w:spacing w:after="0" w:line="240" w:lineRule="auto"/>
        <w:contextualSpacing/>
        <w:jc w:val="both"/>
        <w:rPr>
          <w:rFonts w:cs="Calibri"/>
          <w:b/>
          <w:sz w:val="20"/>
          <w:szCs w:val="20"/>
        </w:rPr>
      </w:pPr>
      <w:r w:rsidRPr="00581E59">
        <w:rPr>
          <w:rFonts w:cs="Calibri"/>
          <w:b/>
          <w:sz w:val="20"/>
          <w:szCs w:val="20"/>
        </w:rPr>
        <w:t>Zielony kwartał KWK Rozbark – rewitalizacja budynków na działce nr 7128/565 wraz zagospodarowaniem terenu – etap II (158).</w:t>
      </w:r>
    </w:p>
    <w:p w:rsidR="00A23D3A" w:rsidRPr="00926019" w:rsidRDefault="00A23D3A" w:rsidP="00136FE3">
      <w:pPr>
        <w:pStyle w:val="NormalnyWeb2"/>
        <w:spacing w:before="0" w:after="0" w:line="240" w:lineRule="auto"/>
        <w:ind w:firstLine="709"/>
        <w:jc w:val="both"/>
        <w:rPr>
          <w:rFonts w:asciiTheme="minorHAnsi" w:hAnsiTheme="minorHAnsi"/>
          <w:sz w:val="20"/>
          <w:szCs w:val="20"/>
        </w:rPr>
      </w:pPr>
      <w:r w:rsidRPr="00EC092F">
        <w:rPr>
          <w:rFonts w:asciiTheme="minorHAnsi" w:hAnsiTheme="minorHAnsi"/>
          <w:sz w:val="20"/>
          <w:szCs w:val="20"/>
        </w:rPr>
        <w:t>Wyżej wymienione projekty</w:t>
      </w:r>
      <w:r w:rsidRPr="00926019">
        <w:rPr>
          <w:rFonts w:asciiTheme="minorHAnsi" w:hAnsiTheme="minorHAnsi"/>
          <w:sz w:val="20"/>
          <w:szCs w:val="20"/>
        </w:rPr>
        <w:t xml:space="preserve"> w poszczególnych wiązkach zostały zebrane i podsumowane w tabeli – </w:t>
      </w:r>
      <w:r w:rsidR="00EA6D89">
        <w:rPr>
          <w:rFonts w:asciiTheme="minorHAnsi" w:hAnsiTheme="minorHAnsi"/>
          <w:b/>
          <w:bCs/>
          <w:sz w:val="20"/>
          <w:szCs w:val="20"/>
        </w:rPr>
        <w:t>z</w:t>
      </w:r>
      <w:r w:rsidRPr="00926019">
        <w:rPr>
          <w:rFonts w:asciiTheme="minorHAnsi" w:hAnsiTheme="minorHAnsi"/>
          <w:b/>
          <w:bCs/>
          <w:sz w:val="20"/>
          <w:szCs w:val="20"/>
        </w:rPr>
        <w:t xml:space="preserve">ałącznik </w:t>
      </w:r>
      <w:r w:rsidR="00EA6D89">
        <w:rPr>
          <w:rFonts w:asciiTheme="minorHAnsi" w:hAnsiTheme="minorHAnsi"/>
          <w:b/>
          <w:bCs/>
          <w:sz w:val="20"/>
          <w:szCs w:val="20"/>
        </w:rPr>
        <w:t xml:space="preserve">nr </w:t>
      </w:r>
      <w:r w:rsidRPr="00926019">
        <w:rPr>
          <w:rFonts w:asciiTheme="minorHAnsi" w:hAnsiTheme="minorHAnsi"/>
          <w:b/>
          <w:bCs/>
          <w:sz w:val="20"/>
          <w:szCs w:val="20"/>
        </w:rPr>
        <w:t>2 „Lista przedsięwzięć podstawowych do Gminnego Programu Rewitalizacji. Bytom 2020+”</w:t>
      </w:r>
      <w:r w:rsidRPr="00926019">
        <w:rPr>
          <w:rFonts w:asciiTheme="minorHAnsi" w:hAnsiTheme="minorHAnsi"/>
          <w:sz w:val="20"/>
          <w:szCs w:val="20"/>
        </w:rPr>
        <w:t xml:space="preserve">, stanowiącym integralną część Programu. Projekty te podzielono na interwencję społeczną oraz interwencję infrastrukturalno-inwestycyjną. Dla każdego projektu wskazano: </w:t>
      </w:r>
    </w:p>
    <w:p w:rsidR="00A23D3A" w:rsidRPr="00926019" w:rsidRDefault="00A23D3A" w:rsidP="00926019">
      <w:pPr>
        <w:pStyle w:val="NormalnyWeb2"/>
        <w:numPr>
          <w:ilvl w:val="0"/>
          <w:numId w:val="673"/>
        </w:numPr>
        <w:spacing w:before="0" w:after="0" w:line="240" w:lineRule="auto"/>
        <w:ind w:left="714" w:hanging="357"/>
        <w:rPr>
          <w:rFonts w:asciiTheme="minorHAnsi" w:hAnsiTheme="minorHAnsi"/>
          <w:sz w:val="20"/>
          <w:szCs w:val="20"/>
        </w:rPr>
      </w:pPr>
      <w:r w:rsidRPr="00926019">
        <w:rPr>
          <w:rFonts w:asciiTheme="minorHAnsi" w:hAnsiTheme="minorHAnsi"/>
          <w:sz w:val="20"/>
          <w:szCs w:val="20"/>
        </w:rPr>
        <w:t>nazwę,</w:t>
      </w:r>
    </w:p>
    <w:p w:rsidR="00A23D3A" w:rsidRPr="00926019" w:rsidRDefault="00A23D3A" w:rsidP="00926019">
      <w:pPr>
        <w:pStyle w:val="NormalnyWeb2"/>
        <w:numPr>
          <w:ilvl w:val="0"/>
          <w:numId w:val="673"/>
        </w:numPr>
        <w:spacing w:before="0" w:after="0" w:line="240" w:lineRule="auto"/>
        <w:rPr>
          <w:rFonts w:asciiTheme="minorHAnsi" w:hAnsiTheme="minorHAnsi"/>
          <w:sz w:val="20"/>
          <w:szCs w:val="20"/>
        </w:rPr>
      </w:pPr>
      <w:r w:rsidRPr="00926019">
        <w:rPr>
          <w:rFonts w:asciiTheme="minorHAnsi" w:hAnsiTheme="minorHAnsi"/>
          <w:sz w:val="20"/>
          <w:szCs w:val="20"/>
        </w:rPr>
        <w:t>podmiot realizujący,</w:t>
      </w:r>
    </w:p>
    <w:p w:rsidR="00A23D3A" w:rsidRPr="00926019" w:rsidRDefault="00A23D3A" w:rsidP="00926019">
      <w:pPr>
        <w:pStyle w:val="NormalnyWeb2"/>
        <w:numPr>
          <w:ilvl w:val="0"/>
          <w:numId w:val="673"/>
        </w:numPr>
        <w:spacing w:before="0" w:after="0" w:line="240" w:lineRule="auto"/>
        <w:rPr>
          <w:rFonts w:asciiTheme="minorHAnsi" w:hAnsiTheme="minorHAnsi"/>
          <w:sz w:val="20"/>
          <w:szCs w:val="20"/>
        </w:rPr>
      </w:pPr>
      <w:r w:rsidRPr="00926019">
        <w:rPr>
          <w:rFonts w:asciiTheme="minorHAnsi" w:hAnsiTheme="minorHAnsi"/>
          <w:sz w:val="20"/>
          <w:szCs w:val="20"/>
        </w:rPr>
        <w:t>zakres projektu,</w:t>
      </w:r>
    </w:p>
    <w:p w:rsidR="00A23D3A" w:rsidRPr="00926019" w:rsidRDefault="00A23D3A" w:rsidP="000F1357">
      <w:pPr>
        <w:pStyle w:val="NormalnyWeb2"/>
        <w:numPr>
          <w:ilvl w:val="0"/>
          <w:numId w:val="673"/>
        </w:numPr>
        <w:spacing w:before="0" w:after="0" w:line="240" w:lineRule="auto"/>
        <w:jc w:val="both"/>
        <w:rPr>
          <w:rFonts w:asciiTheme="minorHAnsi" w:hAnsiTheme="minorHAnsi"/>
          <w:sz w:val="20"/>
          <w:szCs w:val="20"/>
        </w:rPr>
      </w:pPr>
      <w:r w:rsidRPr="00926019">
        <w:rPr>
          <w:rFonts w:asciiTheme="minorHAnsi" w:hAnsiTheme="minorHAnsi"/>
          <w:sz w:val="20"/>
          <w:szCs w:val="20"/>
        </w:rPr>
        <w:t>adres (tam gdzie to możliwe lub wskazanie podobszaru rewitalizacji, w którym projekt będzie realizowany),</w:t>
      </w:r>
    </w:p>
    <w:p w:rsidR="00A23D3A" w:rsidRPr="00926019" w:rsidRDefault="00A23D3A" w:rsidP="000F1357">
      <w:pPr>
        <w:pStyle w:val="NormalnyWeb2"/>
        <w:numPr>
          <w:ilvl w:val="0"/>
          <w:numId w:val="673"/>
        </w:numPr>
        <w:spacing w:before="0" w:after="0" w:line="240" w:lineRule="auto"/>
        <w:jc w:val="both"/>
        <w:rPr>
          <w:rFonts w:asciiTheme="minorHAnsi" w:hAnsiTheme="minorHAnsi"/>
          <w:sz w:val="20"/>
          <w:szCs w:val="20"/>
        </w:rPr>
      </w:pPr>
      <w:r w:rsidRPr="00926019">
        <w:rPr>
          <w:rFonts w:asciiTheme="minorHAnsi" w:hAnsiTheme="minorHAnsi"/>
          <w:sz w:val="20"/>
          <w:szCs w:val="20"/>
        </w:rPr>
        <w:t>wiązkę, której projekt dotyczy,</w:t>
      </w:r>
    </w:p>
    <w:p w:rsidR="00A23D3A" w:rsidRPr="00926019" w:rsidRDefault="00A23D3A" w:rsidP="000F1357">
      <w:pPr>
        <w:pStyle w:val="NormalnyWeb2"/>
        <w:numPr>
          <w:ilvl w:val="0"/>
          <w:numId w:val="673"/>
        </w:numPr>
        <w:spacing w:before="0" w:after="0" w:line="240" w:lineRule="auto"/>
        <w:jc w:val="both"/>
        <w:rPr>
          <w:rFonts w:asciiTheme="minorHAnsi" w:hAnsiTheme="minorHAnsi"/>
          <w:sz w:val="20"/>
          <w:szCs w:val="20"/>
        </w:rPr>
      </w:pPr>
      <w:r w:rsidRPr="00926019">
        <w:rPr>
          <w:rFonts w:asciiTheme="minorHAnsi" w:hAnsiTheme="minorHAnsi"/>
          <w:sz w:val="20"/>
          <w:szCs w:val="20"/>
        </w:rPr>
        <w:t>źródło finansowania oraz działanie/poddziałanie programu operacyjnego (tam, gdzie to możliwe),</w:t>
      </w:r>
    </w:p>
    <w:p w:rsidR="00A23D3A" w:rsidRPr="00926019" w:rsidRDefault="00A23D3A" w:rsidP="000F1357">
      <w:pPr>
        <w:pStyle w:val="NormalnyWeb2"/>
        <w:numPr>
          <w:ilvl w:val="0"/>
          <w:numId w:val="673"/>
        </w:numPr>
        <w:spacing w:before="0" w:after="0" w:line="240" w:lineRule="auto"/>
        <w:jc w:val="both"/>
        <w:rPr>
          <w:rFonts w:asciiTheme="minorHAnsi" w:hAnsiTheme="minorHAnsi"/>
          <w:sz w:val="20"/>
          <w:szCs w:val="20"/>
        </w:rPr>
      </w:pPr>
      <w:r w:rsidRPr="00926019">
        <w:rPr>
          <w:rFonts w:asciiTheme="minorHAnsi" w:hAnsiTheme="minorHAnsi"/>
          <w:sz w:val="20"/>
          <w:szCs w:val="20"/>
        </w:rPr>
        <w:t>szacowaną całkowitą wartość w złotych,</w:t>
      </w:r>
    </w:p>
    <w:p w:rsidR="00A23D3A" w:rsidRPr="00926019" w:rsidRDefault="00A23D3A" w:rsidP="000F1357">
      <w:pPr>
        <w:pStyle w:val="NormalnyWeb2"/>
        <w:numPr>
          <w:ilvl w:val="0"/>
          <w:numId w:val="673"/>
        </w:numPr>
        <w:spacing w:before="0" w:after="0" w:line="240" w:lineRule="auto"/>
        <w:jc w:val="both"/>
        <w:rPr>
          <w:rFonts w:asciiTheme="minorHAnsi" w:hAnsiTheme="minorHAnsi"/>
          <w:sz w:val="20"/>
          <w:szCs w:val="20"/>
        </w:rPr>
      </w:pPr>
      <w:r w:rsidRPr="00926019">
        <w:rPr>
          <w:rFonts w:asciiTheme="minorHAnsi" w:hAnsiTheme="minorHAnsi"/>
          <w:sz w:val="20"/>
          <w:szCs w:val="20"/>
        </w:rPr>
        <w:t xml:space="preserve">okres realizacji, </w:t>
      </w:r>
    </w:p>
    <w:p w:rsidR="00A23D3A" w:rsidRDefault="00A23D3A" w:rsidP="000F1357">
      <w:pPr>
        <w:pStyle w:val="NormalnyWeb2"/>
        <w:numPr>
          <w:ilvl w:val="0"/>
          <w:numId w:val="673"/>
        </w:numPr>
        <w:spacing w:before="0" w:after="120" w:line="240" w:lineRule="auto"/>
        <w:ind w:left="714" w:hanging="357"/>
        <w:jc w:val="both"/>
        <w:rPr>
          <w:rFonts w:asciiTheme="minorHAnsi" w:hAnsiTheme="minorHAnsi"/>
          <w:sz w:val="20"/>
          <w:szCs w:val="20"/>
        </w:rPr>
      </w:pPr>
      <w:r w:rsidRPr="00926019">
        <w:rPr>
          <w:rFonts w:asciiTheme="minorHAnsi" w:hAnsiTheme="minorHAnsi"/>
          <w:sz w:val="20"/>
          <w:szCs w:val="20"/>
        </w:rPr>
        <w:t xml:space="preserve">rezultaty i sposób ich monitorowania w odniesieniu do celów rewitalizacji. </w:t>
      </w:r>
    </w:p>
    <w:p w:rsidR="0094329B" w:rsidRPr="00991775" w:rsidRDefault="0094329B" w:rsidP="009C1D86">
      <w:pPr>
        <w:pStyle w:val="NormalnyWeb2"/>
        <w:shd w:val="clear" w:color="auto" w:fill="F2F2F2" w:themeFill="background1" w:themeFillShade="F2"/>
        <w:spacing w:before="0" w:after="120" w:line="240" w:lineRule="auto"/>
        <w:ind w:firstLine="567"/>
        <w:jc w:val="both"/>
        <w:rPr>
          <w:rFonts w:asciiTheme="minorHAnsi" w:hAnsiTheme="minorHAnsi"/>
          <w:color w:val="auto"/>
          <w:sz w:val="20"/>
          <w:szCs w:val="20"/>
        </w:rPr>
      </w:pPr>
      <w:r w:rsidRPr="00991775">
        <w:rPr>
          <w:rFonts w:asciiTheme="minorHAnsi" w:hAnsiTheme="minorHAnsi"/>
          <w:color w:val="auto"/>
          <w:sz w:val="20"/>
          <w:szCs w:val="20"/>
        </w:rPr>
        <w:t xml:space="preserve">Projekty ujęte w </w:t>
      </w:r>
      <w:r w:rsidRPr="00991775">
        <w:rPr>
          <w:rFonts w:asciiTheme="minorHAnsi" w:hAnsiTheme="minorHAnsi"/>
          <w:bCs/>
          <w:color w:val="auto"/>
          <w:sz w:val="20"/>
          <w:szCs w:val="20"/>
        </w:rPr>
        <w:t>załączniku nr 2</w:t>
      </w:r>
      <w:r w:rsidR="000F1357" w:rsidRPr="00991775">
        <w:rPr>
          <w:rFonts w:asciiTheme="minorHAnsi" w:hAnsiTheme="minorHAnsi"/>
          <w:bCs/>
          <w:color w:val="auto"/>
          <w:sz w:val="20"/>
          <w:szCs w:val="20"/>
        </w:rPr>
        <w:t xml:space="preserve"> </w:t>
      </w:r>
      <w:r w:rsidRPr="00991775">
        <w:rPr>
          <w:rFonts w:asciiTheme="minorHAnsi" w:hAnsiTheme="minorHAnsi"/>
          <w:bCs/>
          <w:color w:val="auto"/>
          <w:sz w:val="20"/>
          <w:szCs w:val="20"/>
        </w:rPr>
        <w:t>„Lista przedsięwzięć podstawowych do Gminnego Programu Rewitalizacji. Bytom 2020+”</w:t>
      </w:r>
      <w:r w:rsidRPr="00991775">
        <w:rPr>
          <w:rFonts w:asciiTheme="minorHAnsi" w:hAnsiTheme="minorHAnsi"/>
          <w:color w:val="auto"/>
          <w:sz w:val="20"/>
          <w:szCs w:val="20"/>
        </w:rPr>
        <w:t xml:space="preserve"> </w:t>
      </w:r>
      <w:r w:rsidR="000F1357" w:rsidRPr="00991775">
        <w:rPr>
          <w:rFonts w:asciiTheme="minorHAnsi" w:hAnsiTheme="minorHAnsi"/>
          <w:bCs/>
          <w:color w:val="auto"/>
          <w:sz w:val="20"/>
          <w:szCs w:val="20"/>
        </w:rPr>
        <w:t>w pozycjach od 1 do 127,</w:t>
      </w:r>
      <w:r w:rsidR="000F1357" w:rsidRPr="00991775">
        <w:rPr>
          <w:rFonts w:asciiTheme="minorHAnsi" w:hAnsiTheme="minorHAnsi"/>
          <w:b/>
          <w:bCs/>
          <w:color w:val="auto"/>
          <w:sz w:val="20"/>
          <w:szCs w:val="20"/>
        </w:rPr>
        <w:t xml:space="preserve"> </w:t>
      </w:r>
      <w:r w:rsidRPr="00991775">
        <w:rPr>
          <w:rFonts w:asciiTheme="minorHAnsi" w:hAnsiTheme="minorHAnsi"/>
          <w:color w:val="auto"/>
          <w:sz w:val="20"/>
          <w:szCs w:val="20"/>
        </w:rPr>
        <w:t xml:space="preserve">były w głównej mierze finansowane ze środków Regionalnego Programu Operacyjnego na lata 2014-2020. Pozostałymi źródłami finansowania były: Program Operacyjny Infrastruktura i Środowisko, Program Operacyjny Wiedza Edukacja Rozwój oraz inne środki publiczne, w tym pochodzące z budżetu państwa.  </w:t>
      </w:r>
    </w:p>
    <w:p w:rsidR="009D0455" w:rsidRDefault="0094329B" w:rsidP="009C1D86">
      <w:pPr>
        <w:pStyle w:val="NormalnyWeb2"/>
        <w:shd w:val="clear" w:color="auto" w:fill="F2F2F2" w:themeFill="background1" w:themeFillShade="F2"/>
        <w:spacing w:before="0" w:after="120" w:line="240" w:lineRule="auto"/>
        <w:jc w:val="both"/>
        <w:rPr>
          <w:rFonts w:asciiTheme="minorHAnsi" w:hAnsiTheme="minorHAnsi"/>
          <w:color w:val="auto"/>
          <w:sz w:val="20"/>
          <w:szCs w:val="20"/>
        </w:rPr>
      </w:pPr>
      <w:r w:rsidRPr="00991775">
        <w:rPr>
          <w:rFonts w:asciiTheme="minorHAnsi" w:hAnsiTheme="minorHAnsi"/>
          <w:color w:val="auto"/>
          <w:sz w:val="20"/>
          <w:szCs w:val="20"/>
        </w:rPr>
        <w:t>W okresie obowiązywania "Gminnego Programu Rewitalizacji. Bytom 2020+"</w:t>
      </w:r>
      <w:r w:rsidR="000F1357" w:rsidRPr="00991775">
        <w:rPr>
          <w:rFonts w:asciiTheme="minorHAnsi" w:hAnsiTheme="minorHAnsi"/>
          <w:color w:val="auto"/>
          <w:sz w:val="20"/>
          <w:szCs w:val="20"/>
        </w:rPr>
        <w:t xml:space="preserve">, w odniesieniu do projektów </w:t>
      </w:r>
      <w:r w:rsidR="00DC2FDB">
        <w:rPr>
          <w:rFonts w:asciiTheme="minorHAnsi" w:hAnsiTheme="minorHAnsi"/>
          <w:color w:val="auto"/>
          <w:sz w:val="20"/>
          <w:szCs w:val="20"/>
        </w:rPr>
        <w:br/>
      </w:r>
      <w:r w:rsidR="000F1357" w:rsidRPr="00991775">
        <w:rPr>
          <w:rFonts w:asciiTheme="minorHAnsi" w:hAnsiTheme="minorHAnsi"/>
          <w:color w:val="auto"/>
          <w:sz w:val="20"/>
          <w:szCs w:val="20"/>
        </w:rPr>
        <w:t>z pozycji od 1 do 127,</w:t>
      </w:r>
      <w:r w:rsidRPr="00991775">
        <w:rPr>
          <w:rFonts w:asciiTheme="minorHAnsi" w:hAnsiTheme="minorHAnsi"/>
          <w:color w:val="auto"/>
          <w:sz w:val="20"/>
          <w:szCs w:val="20"/>
        </w:rPr>
        <w:t xml:space="preserve"> Wnioskodawcy podjęli decyzje o odstąpieniu od złożenia wniosków </w:t>
      </w:r>
      <w:r w:rsidR="00ED2BA3">
        <w:rPr>
          <w:rFonts w:asciiTheme="minorHAnsi" w:hAnsiTheme="minorHAnsi"/>
          <w:color w:val="auto"/>
          <w:sz w:val="20"/>
          <w:szCs w:val="20"/>
        </w:rPr>
        <w:br/>
      </w:r>
      <w:r w:rsidRPr="00991775">
        <w:rPr>
          <w:rFonts w:asciiTheme="minorHAnsi" w:hAnsiTheme="minorHAnsi"/>
          <w:color w:val="auto"/>
          <w:sz w:val="20"/>
          <w:szCs w:val="20"/>
        </w:rPr>
        <w:t>o dofinansowanie dla realizacji 43 projektów wpisanych na listę podstawową. Łącznie złożone zostały 83 wnioski o dofinansowanie, spośród których 6 otrzymało ocenę negatywną, a 2 wnioski o dofinansowanie pozostawione zostały bez rozpatrzenia. W stosunku do 15 projektów odstąpiono od podpisania umowy o dofinansowanie lub ich realizacji. Zgodnie z harmonogramem realizacji projektów, w 2023 roku zakończyła się realizacja 10 projektów z listy podstawowych przedsięwzięć rewitalizacyjnych, w związku z czym liczba projektów podstawowych zrealizowanych na koniec grudnia 2023 roku wyniosła 60.</w:t>
      </w:r>
    </w:p>
    <w:p w:rsidR="0094329B" w:rsidRPr="009D0455" w:rsidRDefault="009D0455" w:rsidP="009C1D86">
      <w:pPr>
        <w:pStyle w:val="NormalnyWeb2"/>
        <w:shd w:val="clear" w:color="auto" w:fill="F2F2F2" w:themeFill="background1" w:themeFillShade="F2"/>
        <w:spacing w:before="0" w:after="120" w:line="240" w:lineRule="auto"/>
        <w:jc w:val="both"/>
        <w:rPr>
          <w:rFonts w:asciiTheme="minorHAnsi" w:hAnsiTheme="minorHAnsi"/>
          <w:b/>
          <w:color w:val="auto"/>
          <w:sz w:val="20"/>
          <w:szCs w:val="20"/>
        </w:rPr>
      </w:pPr>
      <w:r w:rsidRPr="009D0455">
        <w:rPr>
          <w:rFonts w:asciiTheme="minorHAnsi" w:hAnsiTheme="minorHAnsi"/>
          <w:b/>
          <w:color w:val="auto"/>
          <w:sz w:val="20"/>
          <w:szCs w:val="20"/>
        </w:rPr>
        <w:t xml:space="preserve">Tabela </w:t>
      </w:r>
      <w:r w:rsidR="0094329B" w:rsidRPr="009D0455">
        <w:rPr>
          <w:rFonts w:asciiTheme="minorHAnsi" w:hAnsiTheme="minorHAnsi"/>
          <w:b/>
          <w:color w:val="auto"/>
          <w:sz w:val="20"/>
          <w:szCs w:val="20"/>
        </w:rPr>
        <w:t xml:space="preserve">  </w:t>
      </w:r>
      <w:r w:rsidR="001E23A3">
        <w:rPr>
          <w:rFonts w:asciiTheme="minorHAnsi" w:hAnsiTheme="minorHAnsi"/>
          <w:b/>
          <w:color w:val="auto"/>
          <w:sz w:val="20"/>
          <w:szCs w:val="20"/>
        </w:rPr>
        <w:t>Wykaz projektów zrealizowanych z dofinansowaniem EFS</w:t>
      </w:r>
    </w:p>
    <w:tbl>
      <w:tblPr>
        <w:tblStyle w:val="Tabela-Siatka"/>
        <w:tblW w:w="0" w:type="auto"/>
        <w:tblInd w:w="108" w:type="dxa"/>
        <w:tblLook w:val="04A0"/>
      </w:tblPr>
      <w:tblGrid>
        <w:gridCol w:w="5258"/>
        <w:gridCol w:w="1140"/>
        <w:gridCol w:w="2674"/>
      </w:tblGrid>
      <w:tr w:rsidR="00DB1509" w:rsidRPr="00991775" w:rsidTr="004F54D2">
        <w:trPr>
          <w:trHeight w:val="300"/>
        </w:trPr>
        <w:tc>
          <w:tcPr>
            <w:tcW w:w="5258" w:type="dxa"/>
            <w:hideMark/>
          </w:tcPr>
          <w:p w:rsidR="00DB1509" w:rsidRPr="00991775" w:rsidRDefault="00DB1509" w:rsidP="009C1D86">
            <w:pPr>
              <w:pStyle w:val="NormalnyWeb2"/>
              <w:shd w:val="clear" w:color="auto" w:fill="F2F2F2" w:themeFill="background1" w:themeFillShade="F2"/>
              <w:spacing w:before="0" w:after="0" w:line="240" w:lineRule="auto"/>
              <w:rPr>
                <w:color w:val="auto"/>
                <w:sz w:val="20"/>
                <w:szCs w:val="20"/>
              </w:rPr>
            </w:pPr>
            <w:r w:rsidRPr="00991775">
              <w:rPr>
                <w:color w:val="auto"/>
                <w:sz w:val="20"/>
                <w:szCs w:val="20"/>
              </w:rPr>
              <w:t> </w:t>
            </w:r>
          </w:p>
        </w:tc>
        <w:tc>
          <w:tcPr>
            <w:tcW w:w="1140" w:type="dxa"/>
            <w:hideMark/>
          </w:tcPr>
          <w:p w:rsidR="00DB1509" w:rsidRPr="00991775" w:rsidRDefault="00DB1509" w:rsidP="009C1D86">
            <w:pPr>
              <w:pStyle w:val="NormalnyWeb2"/>
              <w:shd w:val="clear" w:color="auto" w:fill="F2F2F2" w:themeFill="background1" w:themeFillShade="F2"/>
              <w:spacing w:before="0" w:after="0" w:line="240" w:lineRule="auto"/>
              <w:jc w:val="center"/>
              <w:rPr>
                <w:color w:val="auto"/>
                <w:sz w:val="20"/>
                <w:szCs w:val="20"/>
              </w:rPr>
            </w:pPr>
            <w:r w:rsidRPr="00991775">
              <w:rPr>
                <w:color w:val="auto"/>
                <w:sz w:val="20"/>
                <w:szCs w:val="20"/>
              </w:rPr>
              <w:t>liczba</w:t>
            </w:r>
          </w:p>
        </w:tc>
        <w:tc>
          <w:tcPr>
            <w:tcW w:w="2674" w:type="dxa"/>
            <w:hideMark/>
          </w:tcPr>
          <w:p w:rsidR="00DB1509" w:rsidRPr="00991775" w:rsidRDefault="00DB1509" w:rsidP="009C1D86">
            <w:pPr>
              <w:pStyle w:val="NormalnyWeb2"/>
              <w:shd w:val="clear" w:color="auto" w:fill="F2F2F2" w:themeFill="background1" w:themeFillShade="F2"/>
              <w:spacing w:before="0" w:after="0" w:line="240" w:lineRule="auto"/>
              <w:jc w:val="center"/>
              <w:rPr>
                <w:color w:val="auto"/>
                <w:sz w:val="20"/>
                <w:szCs w:val="20"/>
              </w:rPr>
            </w:pPr>
            <w:r w:rsidRPr="00991775">
              <w:rPr>
                <w:color w:val="auto"/>
                <w:sz w:val="20"/>
                <w:szCs w:val="20"/>
              </w:rPr>
              <w:t>wartość całkowita projektów</w:t>
            </w:r>
          </w:p>
        </w:tc>
      </w:tr>
      <w:tr w:rsidR="00DB1509" w:rsidRPr="00991775" w:rsidTr="004F54D2">
        <w:trPr>
          <w:trHeight w:val="300"/>
        </w:trPr>
        <w:tc>
          <w:tcPr>
            <w:tcW w:w="5258" w:type="dxa"/>
            <w:hideMark/>
          </w:tcPr>
          <w:p w:rsidR="00DB1509" w:rsidRPr="00991775" w:rsidRDefault="00DB1509" w:rsidP="009C1D86">
            <w:pPr>
              <w:pStyle w:val="NormalnyWeb2"/>
              <w:shd w:val="clear" w:color="auto" w:fill="F2F2F2" w:themeFill="background1" w:themeFillShade="F2"/>
              <w:spacing w:before="0" w:after="0" w:line="240" w:lineRule="auto"/>
              <w:rPr>
                <w:color w:val="auto"/>
                <w:sz w:val="20"/>
                <w:szCs w:val="20"/>
              </w:rPr>
            </w:pPr>
            <w:r w:rsidRPr="00991775">
              <w:rPr>
                <w:color w:val="auto"/>
                <w:sz w:val="20"/>
                <w:szCs w:val="20"/>
              </w:rPr>
              <w:t>RPO WSL 7.1.3  Poprawa zdolności do zatrudnienia osób poszukujących pracy i pozostających bez zatrudnienia - konkurs</w:t>
            </w:r>
          </w:p>
        </w:tc>
        <w:tc>
          <w:tcPr>
            <w:tcW w:w="1140" w:type="dxa"/>
            <w:noWrap/>
            <w:hideMark/>
          </w:tcPr>
          <w:p w:rsidR="00DB1509" w:rsidRPr="00991775" w:rsidRDefault="00DB1509" w:rsidP="009C1D86">
            <w:pPr>
              <w:pStyle w:val="NormalnyWeb2"/>
              <w:shd w:val="clear" w:color="auto" w:fill="F2F2F2" w:themeFill="background1" w:themeFillShade="F2"/>
              <w:spacing w:before="0" w:after="0" w:line="240" w:lineRule="auto"/>
              <w:jc w:val="center"/>
              <w:rPr>
                <w:color w:val="auto"/>
                <w:sz w:val="20"/>
                <w:szCs w:val="20"/>
              </w:rPr>
            </w:pPr>
            <w:r w:rsidRPr="00991775">
              <w:rPr>
                <w:color w:val="auto"/>
                <w:sz w:val="20"/>
                <w:szCs w:val="20"/>
              </w:rPr>
              <w:t>4</w:t>
            </w:r>
          </w:p>
        </w:tc>
        <w:tc>
          <w:tcPr>
            <w:tcW w:w="2674" w:type="dxa"/>
            <w:noWrap/>
            <w:hideMark/>
          </w:tcPr>
          <w:p w:rsidR="00DB1509" w:rsidRPr="00991775" w:rsidRDefault="00DB1509" w:rsidP="009C1D86">
            <w:pPr>
              <w:pStyle w:val="NormalnyWeb2"/>
              <w:shd w:val="clear" w:color="auto" w:fill="F2F2F2" w:themeFill="background1" w:themeFillShade="F2"/>
              <w:spacing w:before="0" w:after="0" w:line="240" w:lineRule="auto"/>
              <w:jc w:val="right"/>
              <w:rPr>
                <w:color w:val="auto"/>
                <w:sz w:val="20"/>
                <w:szCs w:val="20"/>
              </w:rPr>
            </w:pPr>
            <w:r w:rsidRPr="00991775">
              <w:rPr>
                <w:color w:val="auto"/>
                <w:sz w:val="20"/>
                <w:szCs w:val="20"/>
              </w:rPr>
              <w:t>12 041 963,01</w:t>
            </w:r>
          </w:p>
        </w:tc>
      </w:tr>
      <w:tr w:rsidR="00DB1509" w:rsidRPr="00991775" w:rsidTr="004F54D2">
        <w:trPr>
          <w:trHeight w:val="300"/>
        </w:trPr>
        <w:tc>
          <w:tcPr>
            <w:tcW w:w="5258" w:type="dxa"/>
            <w:hideMark/>
          </w:tcPr>
          <w:p w:rsidR="00DB1509" w:rsidRPr="00991775" w:rsidRDefault="00DB1509" w:rsidP="009C1D86">
            <w:pPr>
              <w:pStyle w:val="NormalnyWeb2"/>
              <w:shd w:val="clear" w:color="auto" w:fill="F2F2F2" w:themeFill="background1" w:themeFillShade="F2"/>
              <w:spacing w:before="0" w:after="0" w:line="240" w:lineRule="auto"/>
              <w:rPr>
                <w:color w:val="auto"/>
                <w:sz w:val="20"/>
                <w:szCs w:val="20"/>
              </w:rPr>
            </w:pPr>
            <w:r w:rsidRPr="00991775">
              <w:rPr>
                <w:color w:val="auto"/>
                <w:sz w:val="20"/>
                <w:szCs w:val="20"/>
              </w:rPr>
              <w:t>RPO WSL 7.3.3 Promocja samozatrudnienia – konkurs</w:t>
            </w:r>
          </w:p>
        </w:tc>
        <w:tc>
          <w:tcPr>
            <w:tcW w:w="1140" w:type="dxa"/>
            <w:noWrap/>
            <w:hideMark/>
          </w:tcPr>
          <w:p w:rsidR="00DB1509" w:rsidRPr="00991775" w:rsidRDefault="00DB1509" w:rsidP="009C1D86">
            <w:pPr>
              <w:pStyle w:val="NormalnyWeb2"/>
              <w:shd w:val="clear" w:color="auto" w:fill="F2F2F2" w:themeFill="background1" w:themeFillShade="F2"/>
              <w:spacing w:before="0" w:after="0" w:line="240" w:lineRule="auto"/>
              <w:jc w:val="center"/>
              <w:rPr>
                <w:color w:val="auto"/>
                <w:sz w:val="20"/>
                <w:szCs w:val="20"/>
              </w:rPr>
            </w:pPr>
            <w:r w:rsidRPr="00991775">
              <w:rPr>
                <w:color w:val="auto"/>
                <w:sz w:val="20"/>
                <w:szCs w:val="20"/>
              </w:rPr>
              <w:t>1</w:t>
            </w:r>
          </w:p>
        </w:tc>
        <w:tc>
          <w:tcPr>
            <w:tcW w:w="2674" w:type="dxa"/>
            <w:noWrap/>
            <w:hideMark/>
          </w:tcPr>
          <w:p w:rsidR="00DB1509" w:rsidRPr="00991775" w:rsidRDefault="00DB1509" w:rsidP="009C1D86">
            <w:pPr>
              <w:pStyle w:val="NormalnyWeb2"/>
              <w:shd w:val="clear" w:color="auto" w:fill="F2F2F2" w:themeFill="background1" w:themeFillShade="F2"/>
              <w:spacing w:before="0" w:after="0" w:line="240" w:lineRule="auto"/>
              <w:jc w:val="right"/>
              <w:rPr>
                <w:color w:val="auto"/>
                <w:sz w:val="20"/>
                <w:szCs w:val="20"/>
              </w:rPr>
            </w:pPr>
            <w:r w:rsidRPr="00991775">
              <w:rPr>
                <w:color w:val="auto"/>
                <w:sz w:val="20"/>
                <w:szCs w:val="20"/>
              </w:rPr>
              <w:t>3 714 960,00</w:t>
            </w:r>
          </w:p>
        </w:tc>
      </w:tr>
      <w:tr w:rsidR="00DB1509" w:rsidRPr="00991775" w:rsidTr="004F54D2">
        <w:trPr>
          <w:trHeight w:val="300"/>
        </w:trPr>
        <w:tc>
          <w:tcPr>
            <w:tcW w:w="5258" w:type="dxa"/>
            <w:hideMark/>
          </w:tcPr>
          <w:p w:rsidR="00DB1509" w:rsidRPr="00991775" w:rsidRDefault="00DB1509" w:rsidP="009C1D86">
            <w:pPr>
              <w:pStyle w:val="NormalnyWeb2"/>
              <w:shd w:val="clear" w:color="auto" w:fill="F2F2F2" w:themeFill="background1" w:themeFillShade="F2"/>
              <w:spacing w:before="0" w:after="0" w:line="240" w:lineRule="auto"/>
              <w:rPr>
                <w:color w:val="auto"/>
                <w:sz w:val="20"/>
                <w:szCs w:val="20"/>
              </w:rPr>
            </w:pPr>
            <w:r w:rsidRPr="00991775">
              <w:rPr>
                <w:color w:val="auto"/>
                <w:sz w:val="20"/>
                <w:szCs w:val="20"/>
              </w:rPr>
              <w:t>RPO WSL 7.4.1 Outplacement - ZIT</w:t>
            </w:r>
          </w:p>
        </w:tc>
        <w:tc>
          <w:tcPr>
            <w:tcW w:w="1140" w:type="dxa"/>
            <w:noWrap/>
            <w:hideMark/>
          </w:tcPr>
          <w:p w:rsidR="00DB1509" w:rsidRPr="00991775" w:rsidRDefault="00DB1509" w:rsidP="009C1D86">
            <w:pPr>
              <w:pStyle w:val="NormalnyWeb2"/>
              <w:shd w:val="clear" w:color="auto" w:fill="F2F2F2" w:themeFill="background1" w:themeFillShade="F2"/>
              <w:spacing w:before="0" w:after="0" w:line="240" w:lineRule="auto"/>
              <w:jc w:val="center"/>
              <w:rPr>
                <w:color w:val="auto"/>
                <w:sz w:val="20"/>
                <w:szCs w:val="20"/>
              </w:rPr>
            </w:pPr>
            <w:r w:rsidRPr="00991775">
              <w:rPr>
                <w:color w:val="auto"/>
                <w:sz w:val="20"/>
                <w:szCs w:val="20"/>
              </w:rPr>
              <w:t>1</w:t>
            </w:r>
          </w:p>
        </w:tc>
        <w:tc>
          <w:tcPr>
            <w:tcW w:w="2674" w:type="dxa"/>
            <w:noWrap/>
            <w:hideMark/>
          </w:tcPr>
          <w:p w:rsidR="00DB1509" w:rsidRPr="00991775" w:rsidRDefault="00DB1509" w:rsidP="009C1D86">
            <w:pPr>
              <w:pStyle w:val="NormalnyWeb2"/>
              <w:shd w:val="clear" w:color="auto" w:fill="F2F2F2" w:themeFill="background1" w:themeFillShade="F2"/>
              <w:spacing w:before="0" w:after="0" w:line="240" w:lineRule="auto"/>
              <w:jc w:val="right"/>
              <w:rPr>
                <w:color w:val="auto"/>
                <w:sz w:val="20"/>
                <w:szCs w:val="20"/>
              </w:rPr>
            </w:pPr>
            <w:r w:rsidRPr="00991775">
              <w:rPr>
                <w:color w:val="auto"/>
                <w:sz w:val="20"/>
                <w:szCs w:val="20"/>
              </w:rPr>
              <w:t>1 417 520,35</w:t>
            </w:r>
          </w:p>
        </w:tc>
      </w:tr>
      <w:tr w:rsidR="00DB1509" w:rsidRPr="00991775" w:rsidTr="004F54D2">
        <w:trPr>
          <w:trHeight w:val="300"/>
        </w:trPr>
        <w:tc>
          <w:tcPr>
            <w:tcW w:w="5258" w:type="dxa"/>
            <w:hideMark/>
          </w:tcPr>
          <w:p w:rsidR="00DB1509" w:rsidRPr="00991775" w:rsidRDefault="00DB1509" w:rsidP="009C1D86">
            <w:pPr>
              <w:pStyle w:val="NormalnyWeb2"/>
              <w:shd w:val="clear" w:color="auto" w:fill="F2F2F2" w:themeFill="background1" w:themeFillShade="F2"/>
              <w:spacing w:before="0" w:after="0" w:line="240" w:lineRule="auto"/>
              <w:rPr>
                <w:color w:val="auto"/>
                <w:sz w:val="20"/>
                <w:szCs w:val="20"/>
              </w:rPr>
            </w:pPr>
            <w:r w:rsidRPr="00991775">
              <w:rPr>
                <w:color w:val="auto"/>
                <w:sz w:val="20"/>
                <w:szCs w:val="20"/>
              </w:rPr>
              <w:t>RPO WSL 8.2.3 Wsparcie dla przedsiębiorców i ich pracowników w zakresie rozwoju przedsiębiorstwa - konkurs</w:t>
            </w:r>
          </w:p>
        </w:tc>
        <w:tc>
          <w:tcPr>
            <w:tcW w:w="1140" w:type="dxa"/>
            <w:noWrap/>
            <w:hideMark/>
          </w:tcPr>
          <w:p w:rsidR="00DB1509" w:rsidRPr="00991775" w:rsidRDefault="00DB1509" w:rsidP="009C1D86">
            <w:pPr>
              <w:pStyle w:val="NormalnyWeb2"/>
              <w:shd w:val="clear" w:color="auto" w:fill="F2F2F2" w:themeFill="background1" w:themeFillShade="F2"/>
              <w:spacing w:before="0" w:after="0" w:line="240" w:lineRule="auto"/>
              <w:jc w:val="center"/>
              <w:rPr>
                <w:color w:val="auto"/>
                <w:sz w:val="20"/>
                <w:szCs w:val="20"/>
              </w:rPr>
            </w:pPr>
            <w:r w:rsidRPr="00991775">
              <w:rPr>
                <w:color w:val="auto"/>
                <w:sz w:val="20"/>
                <w:szCs w:val="20"/>
              </w:rPr>
              <w:t>1</w:t>
            </w:r>
          </w:p>
        </w:tc>
        <w:tc>
          <w:tcPr>
            <w:tcW w:w="2674" w:type="dxa"/>
            <w:noWrap/>
            <w:hideMark/>
          </w:tcPr>
          <w:p w:rsidR="00DB1509" w:rsidRPr="00991775" w:rsidRDefault="00DB1509" w:rsidP="009C1D86">
            <w:pPr>
              <w:pStyle w:val="NormalnyWeb2"/>
              <w:shd w:val="clear" w:color="auto" w:fill="F2F2F2" w:themeFill="background1" w:themeFillShade="F2"/>
              <w:spacing w:before="0" w:after="0" w:line="240" w:lineRule="auto"/>
              <w:jc w:val="right"/>
              <w:rPr>
                <w:color w:val="auto"/>
                <w:sz w:val="20"/>
                <w:szCs w:val="20"/>
              </w:rPr>
            </w:pPr>
            <w:r w:rsidRPr="00991775">
              <w:rPr>
                <w:color w:val="auto"/>
                <w:sz w:val="20"/>
                <w:szCs w:val="20"/>
              </w:rPr>
              <w:t>25 525 597,98</w:t>
            </w:r>
          </w:p>
        </w:tc>
      </w:tr>
      <w:tr w:rsidR="00DB1509" w:rsidRPr="00991775" w:rsidTr="004F54D2">
        <w:trPr>
          <w:trHeight w:val="300"/>
        </w:trPr>
        <w:tc>
          <w:tcPr>
            <w:tcW w:w="5258" w:type="dxa"/>
            <w:hideMark/>
          </w:tcPr>
          <w:p w:rsidR="00DB1509" w:rsidRPr="00991775" w:rsidRDefault="00DB1509" w:rsidP="009C1D86">
            <w:pPr>
              <w:pStyle w:val="NormalnyWeb2"/>
              <w:shd w:val="clear" w:color="auto" w:fill="F2F2F2" w:themeFill="background1" w:themeFillShade="F2"/>
              <w:spacing w:before="0" w:after="0" w:line="240" w:lineRule="auto"/>
              <w:rPr>
                <w:color w:val="auto"/>
                <w:sz w:val="20"/>
                <w:szCs w:val="20"/>
              </w:rPr>
            </w:pPr>
            <w:r w:rsidRPr="00991775">
              <w:rPr>
                <w:color w:val="auto"/>
                <w:sz w:val="20"/>
                <w:szCs w:val="20"/>
              </w:rPr>
              <w:t>RPO WSL 9.1.3 Programy aktywnej integracji osób i grup zagrożonych wykluczeniem społecznym – OSI</w:t>
            </w:r>
          </w:p>
        </w:tc>
        <w:tc>
          <w:tcPr>
            <w:tcW w:w="1140" w:type="dxa"/>
            <w:noWrap/>
            <w:hideMark/>
          </w:tcPr>
          <w:p w:rsidR="00DB1509" w:rsidRPr="00991775" w:rsidRDefault="00DB1509" w:rsidP="009C1D86">
            <w:pPr>
              <w:pStyle w:val="NormalnyWeb2"/>
              <w:shd w:val="clear" w:color="auto" w:fill="F2F2F2" w:themeFill="background1" w:themeFillShade="F2"/>
              <w:spacing w:before="0" w:after="0" w:line="240" w:lineRule="auto"/>
              <w:jc w:val="center"/>
              <w:rPr>
                <w:color w:val="auto"/>
                <w:sz w:val="20"/>
                <w:szCs w:val="20"/>
              </w:rPr>
            </w:pPr>
            <w:r w:rsidRPr="00991775">
              <w:rPr>
                <w:color w:val="auto"/>
                <w:sz w:val="20"/>
                <w:szCs w:val="20"/>
              </w:rPr>
              <w:t>10</w:t>
            </w:r>
          </w:p>
        </w:tc>
        <w:tc>
          <w:tcPr>
            <w:tcW w:w="2674" w:type="dxa"/>
            <w:noWrap/>
            <w:hideMark/>
          </w:tcPr>
          <w:p w:rsidR="00DB1509" w:rsidRPr="00991775" w:rsidRDefault="00DB1509" w:rsidP="009C1D86">
            <w:pPr>
              <w:pStyle w:val="NormalnyWeb2"/>
              <w:shd w:val="clear" w:color="auto" w:fill="F2F2F2" w:themeFill="background1" w:themeFillShade="F2"/>
              <w:spacing w:before="0" w:after="0" w:line="240" w:lineRule="auto"/>
              <w:jc w:val="right"/>
              <w:rPr>
                <w:color w:val="auto"/>
                <w:sz w:val="20"/>
                <w:szCs w:val="20"/>
              </w:rPr>
            </w:pPr>
            <w:r w:rsidRPr="00991775">
              <w:rPr>
                <w:color w:val="auto"/>
                <w:sz w:val="20"/>
                <w:szCs w:val="20"/>
              </w:rPr>
              <w:t>17 614 874,48</w:t>
            </w:r>
          </w:p>
        </w:tc>
      </w:tr>
      <w:tr w:rsidR="00DB1509" w:rsidRPr="00991775" w:rsidTr="004F54D2">
        <w:trPr>
          <w:trHeight w:val="300"/>
        </w:trPr>
        <w:tc>
          <w:tcPr>
            <w:tcW w:w="5258" w:type="dxa"/>
            <w:hideMark/>
          </w:tcPr>
          <w:p w:rsidR="00DB1509" w:rsidRPr="00991775" w:rsidRDefault="00DB1509" w:rsidP="009C1D86">
            <w:pPr>
              <w:pStyle w:val="NormalnyWeb2"/>
              <w:shd w:val="clear" w:color="auto" w:fill="F2F2F2" w:themeFill="background1" w:themeFillShade="F2"/>
              <w:spacing w:before="0" w:after="0" w:line="240" w:lineRule="auto"/>
              <w:rPr>
                <w:color w:val="auto"/>
                <w:sz w:val="20"/>
                <w:szCs w:val="20"/>
              </w:rPr>
            </w:pPr>
            <w:r w:rsidRPr="00991775">
              <w:rPr>
                <w:color w:val="auto"/>
                <w:sz w:val="20"/>
                <w:szCs w:val="20"/>
              </w:rPr>
              <w:t>RPO WSL 9.2.3 Rozwój usług społecznych i zdrowotnych – OSI</w:t>
            </w:r>
          </w:p>
        </w:tc>
        <w:tc>
          <w:tcPr>
            <w:tcW w:w="1140" w:type="dxa"/>
            <w:noWrap/>
            <w:hideMark/>
          </w:tcPr>
          <w:p w:rsidR="00DB1509" w:rsidRPr="00991775" w:rsidRDefault="00DB1509" w:rsidP="009C1D86">
            <w:pPr>
              <w:pStyle w:val="NormalnyWeb2"/>
              <w:shd w:val="clear" w:color="auto" w:fill="F2F2F2" w:themeFill="background1" w:themeFillShade="F2"/>
              <w:spacing w:before="0" w:after="0" w:line="240" w:lineRule="auto"/>
              <w:jc w:val="center"/>
              <w:rPr>
                <w:color w:val="auto"/>
                <w:sz w:val="20"/>
                <w:szCs w:val="20"/>
              </w:rPr>
            </w:pPr>
            <w:r w:rsidRPr="00991775">
              <w:rPr>
                <w:color w:val="auto"/>
                <w:sz w:val="20"/>
                <w:szCs w:val="20"/>
              </w:rPr>
              <w:t>8</w:t>
            </w:r>
          </w:p>
        </w:tc>
        <w:tc>
          <w:tcPr>
            <w:tcW w:w="2674" w:type="dxa"/>
            <w:noWrap/>
            <w:hideMark/>
          </w:tcPr>
          <w:p w:rsidR="00DB1509" w:rsidRPr="00991775" w:rsidRDefault="00DB1509" w:rsidP="009C1D86">
            <w:pPr>
              <w:pStyle w:val="NormalnyWeb2"/>
              <w:shd w:val="clear" w:color="auto" w:fill="F2F2F2" w:themeFill="background1" w:themeFillShade="F2"/>
              <w:spacing w:before="0" w:after="0" w:line="240" w:lineRule="auto"/>
              <w:jc w:val="right"/>
              <w:rPr>
                <w:color w:val="auto"/>
                <w:sz w:val="20"/>
                <w:szCs w:val="20"/>
              </w:rPr>
            </w:pPr>
            <w:r w:rsidRPr="00991775">
              <w:rPr>
                <w:color w:val="auto"/>
                <w:sz w:val="20"/>
                <w:szCs w:val="20"/>
              </w:rPr>
              <w:t>28 028 534,03</w:t>
            </w:r>
          </w:p>
        </w:tc>
      </w:tr>
      <w:tr w:rsidR="00DB1509" w:rsidRPr="00991775" w:rsidTr="004F54D2">
        <w:trPr>
          <w:trHeight w:val="600"/>
        </w:trPr>
        <w:tc>
          <w:tcPr>
            <w:tcW w:w="5258" w:type="dxa"/>
            <w:hideMark/>
          </w:tcPr>
          <w:p w:rsidR="00DB1509" w:rsidRPr="00991775" w:rsidRDefault="00DB1509" w:rsidP="009C1D86">
            <w:pPr>
              <w:pStyle w:val="NormalnyWeb2"/>
              <w:shd w:val="clear" w:color="auto" w:fill="F2F2F2" w:themeFill="background1" w:themeFillShade="F2"/>
              <w:spacing w:before="0" w:after="0" w:line="240" w:lineRule="auto"/>
              <w:rPr>
                <w:color w:val="auto"/>
                <w:sz w:val="20"/>
                <w:szCs w:val="20"/>
              </w:rPr>
            </w:pPr>
            <w:r w:rsidRPr="00991775">
              <w:rPr>
                <w:color w:val="auto"/>
                <w:sz w:val="20"/>
                <w:szCs w:val="20"/>
              </w:rPr>
              <w:t>RPO WSL 11.1 Ograniczenie przedwczesnego kończenia nauki szkolnej oraz zapewnienie równego dostępu do dobrej jakości edukacji elementarnej, kształcenia podstawowego i średniego</w:t>
            </w:r>
          </w:p>
        </w:tc>
        <w:tc>
          <w:tcPr>
            <w:tcW w:w="1140" w:type="dxa"/>
            <w:noWrap/>
            <w:hideMark/>
          </w:tcPr>
          <w:p w:rsidR="00DB1509" w:rsidRPr="00991775" w:rsidRDefault="00DB1509" w:rsidP="009C1D86">
            <w:pPr>
              <w:pStyle w:val="NormalnyWeb2"/>
              <w:shd w:val="clear" w:color="auto" w:fill="F2F2F2" w:themeFill="background1" w:themeFillShade="F2"/>
              <w:spacing w:before="0" w:after="0" w:line="240" w:lineRule="auto"/>
              <w:jc w:val="center"/>
              <w:rPr>
                <w:color w:val="auto"/>
                <w:sz w:val="20"/>
                <w:szCs w:val="20"/>
              </w:rPr>
            </w:pPr>
            <w:r w:rsidRPr="00991775">
              <w:rPr>
                <w:color w:val="auto"/>
                <w:sz w:val="20"/>
                <w:szCs w:val="20"/>
              </w:rPr>
              <w:t>2</w:t>
            </w:r>
          </w:p>
        </w:tc>
        <w:tc>
          <w:tcPr>
            <w:tcW w:w="2674" w:type="dxa"/>
            <w:noWrap/>
            <w:hideMark/>
          </w:tcPr>
          <w:p w:rsidR="00DB1509" w:rsidRPr="00991775" w:rsidRDefault="00DB1509" w:rsidP="009C1D86">
            <w:pPr>
              <w:pStyle w:val="NormalnyWeb2"/>
              <w:shd w:val="clear" w:color="auto" w:fill="F2F2F2" w:themeFill="background1" w:themeFillShade="F2"/>
              <w:spacing w:before="0" w:after="0" w:line="240" w:lineRule="auto"/>
              <w:jc w:val="right"/>
              <w:rPr>
                <w:color w:val="auto"/>
                <w:sz w:val="20"/>
                <w:szCs w:val="20"/>
              </w:rPr>
            </w:pPr>
            <w:r w:rsidRPr="00991775">
              <w:rPr>
                <w:color w:val="auto"/>
                <w:sz w:val="20"/>
                <w:szCs w:val="20"/>
              </w:rPr>
              <w:t>1 335 668,48</w:t>
            </w:r>
          </w:p>
        </w:tc>
      </w:tr>
      <w:tr w:rsidR="00DB1509" w:rsidRPr="00991775" w:rsidTr="004F54D2">
        <w:trPr>
          <w:trHeight w:val="300"/>
        </w:trPr>
        <w:tc>
          <w:tcPr>
            <w:tcW w:w="5258" w:type="dxa"/>
            <w:hideMark/>
          </w:tcPr>
          <w:p w:rsidR="00DB1509" w:rsidRPr="00991775" w:rsidRDefault="00DB1509" w:rsidP="009C1D86">
            <w:pPr>
              <w:pStyle w:val="NormalnyWeb2"/>
              <w:shd w:val="clear" w:color="auto" w:fill="F2F2F2" w:themeFill="background1" w:themeFillShade="F2"/>
              <w:spacing w:before="0" w:after="120" w:line="240" w:lineRule="auto"/>
              <w:rPr>
                <w:color w:val="auto"/>
                <w:sz w:val="20"/>
                <w:szCs w:val="20"/>
              </w:rPr>
            </w:pPr>
            <w:r w:rsidRPr="00991775">
              <w:rPr>
                <w:color w:val="auto"/>
                <w:sz w:val="20"/>
                <w:szCs w:val="20"/>
              </w:rPr>
              <w:t>POWER 1.1.1 Wsparcie udzielane z Europejskiego Funduszu Społecznego</w:t>
            </w:r>
          </w:p>
        </w:tc>
        <w:tc>
          <w:tcPr>
            <w:tcW w:w="1140" w:type="dxa"/>
            <w:noWrap/>
            <w:hideMark/>
          </w:tcPr>
          <w:p w:rsidR="00DB1509" w:rsidRPr="00991775" w:rsidRDefault="00DB1509" w:rsidP="009C1D86">
            <w:pPr>
              <w:pStyle w:val="NormalnyWeb2"/>
              <w:shd w:val="clear" w:color="auto" w:fill="F2F2F2" w:themeFill="background1" w:themeFillShade="F2"/>
              <w:spacing w:before="0" w:after="120" w:line="240" w:lineRule="auto"/>
              <w:jc w:val="center"/>
              <w:rPr>
                <w:color w:val="auto"/>
                <w:sz w:val="20"/>
                <w:szCs w:val="20"/>
              </w:rPr>
            </w:pPr>
            <w:r w:rsidRPr="00991775">
              <w:rPr>
                <w:color w:val="auto"/>
                <w:sz w:val="20"/>
                <w:szCs w:val="20"/>
              </w:rPr>
              <w:t>1</w:t>
            </w:r>
          </w:p>
        </w:tc>
        <w:tc>
          <w:tcPr>
            <w:tcW w:w="2674" w:type="dxa"/>
            <w:noWrap/>
            <w:hideMark/>
          </w:tcPr>
          <w:p w:rsidR="00DB1509" w:rsidRPr="00991775" w:rsidRDefault="00DB1509" w:rsidP="009C1D86">
            <w:pPr>
              <w:pStyle w:val="NormalnyWeb2"/>
              <w:shd w:val="clear" w:color="auto" w:fill="F2F2F2" w:themeFill="background1" w:themeFillShade="F2"/>
              <w:spacing w:before="0" w:after="120" w:line="240" w:lineRule="auto"/>
              <w:jc w:val="right"/>
              <w:rPr>
                <w:color w:val="auto"/>
                <w:sz w:val="20"/>
                <w:szCs w:val="20"/>
              </w:rPr>
            </w:pPr>
            <w:r w:rsidRPr="00991775">
              <w:rPr>
                <w:color w:val="auto"/>
                <w:sz w:val="20"/>
                <w:szCs w:val="20"/>
              </w:rPr>
              <w:t>4 170 825,30</w:t>
            </w:r>
          </w:p>
        </w:tc>
      </w:tr>
    </w:tbl>
    <w:p w:rsidR="000F1357" w:rsidRPr="00991775" w:rsidRDefault="007225D2" w:rsidP="009C1D86">
      <w:pPr>
        <w:pStyle w:val="NormalnyWeb2"/>
        <w:shd w:val="clear" w:color="auto" w:fill="F2F2F2" w:themeFill="background1" w:themeFillShade="F2"/>
        <w:spacing w:before="0" w:after="120" w:line="240" w:lineRule="auto"/>
        <w:jc w:val="both"/>
        <w:rPr>
          <w:rFonts w:asciiTheme="minorHAnsi" w:hAnsiTheme="minorHAnsi"/>
          <w:i/>
          <w:color w:val="auto"/>
          <w:sz w:val="18"/>
          <w:szCs w:val="18"/>
        </w:rPr>
      </w:pPr>
      <w:r w:rsidRPr="00991775">
        <w:rPr>
          <w:rFonts w:cs="Calibri"/>
          <w:i/>
          <w:color w:val="auto"/>
          <w:sz w:val="18"/>
          <w:szCs w:val="18"/>
        </w:rPr>
        <w:t>Źródło: Opracowanie własne na podstawie danych ze sprawozdań i raportów monitoringowych</w:t>
      </w:r>
      <w:r w:rsidRPr="00991775">
        <w:rPr>
          <w:rFonts w:asciiTheme="minorHAnsi" w:hAnsiTheme="minorHAnsi"/>
          <w:i/>
          <w:color w:val="auto"/>
          <w:sz w:val="18"/>
          <w:szCs w:val="18"/>
        </w:rPr>
        <w:t>"Gminnego Programu Rewitalizacji. Bytom 2020+"</w:t>
      </w:r>
    </w:p>
    <w:p w:rsidR="0094329B" w:rsidRDefault="0094329B" w:rsidP="009C1D86">
      <w:pPr>
        <w:pStyle w:val="NormalnyWeb2"/>
        <w:shd w:val="clear" w:color="auto" w:fill="F2F2F2" w:themeFill="background1" w:themeFillShade="F2"/>
        <w:spacing w:before="0" w:after="120" w:line="240" w:lineRule="auto"/>
        <w:ind w:firstLine="567"/>
        <w:jc w:val="both"/>
        <w:rPr>
          <w:rFonts w:asciiTheme="minorHAnsi" w:hAnsiTheme="minorHAnsi"/>
          <w:color w:val="auto"/>
          <w:sz w:val="20"/>
          <w:szCs w:val="20"/>
        </w:rPr>
      </w:pPr>
      <w:r w:rsidRPr="00991775">
        <w:rPr>
          <w:rFonts w:asciiTheme="minorHAnsi" w:hAnsiTheme="minorHAnsi"/>
          <w:color w:val="auto"/>
          <w:sz w:val="20"/>
          <w:szCs w:val="20"/>
        </w:rPr>
        <w:t xml:space="preserve">Spośród przedsięwzięć z listy podstawowej </w:t>
      </w:r>
      <w:r w:rsidR="000F1357" w:rsidRPr="00991775">
        <w:rPr>
          <w:rFonts w:asciiTheme="minorHAnsi" w:hAnsiTheme="minorHAnsi"/>
          <w:color w:val="auto"/>
          <w:sz w:val="20"/>
          <w:szCs w:val="20"/>
        </w:rPr>
        <w:t xml:space="preserve">z pozycji od 1 do 127 </w:t>
      </w:r>
      <w:r w:rsidRPr="00991775">
        <w:rPr>
          <w:rFonts w:asciiTheme="minorHAnsi" w:hAnsiTheme="minorHAnsi"/>
          <w:color w:val="auto"/>
          <w:sz w:val="20"/>
          <w:szCs w:val="20"/>
        </w:rPr>
        <w:t xml:space="preserve">zrealizowano łącznie 28 projektów </w:t>
      </w:r>
      <w:r w:rsidR="009D0455">
        <w:rPr>
          <w:rFonts w:asciiTheme="minorHAnsi" w:hAnsiTheme="minorHAnsi"/>
          <w:color w:val="auto"/>
          <w:sz w:val="20"/>
          <w:szCs w:val="20"/>
        </w:rPr>
        <w:br/>
      </w:r>
      <w:r w:rsidRPr="00991775">
        <w:rPr>
          <w:rFonts w:asciiTheme="minorHAnsi" w:hAnsiTheme="minorHAnsi"/>
          <w:color w:val="auto"/>
          <w:sz w:val="20"/>
          <w:szCs w:val="20"/>
        </w:rPr>
        <w:t>o charakterze społecznym dofinansowanych ze środków Europejskiego Funduszu Społecznego o łącznej wartości 93 849 953,63 zł. Poniższe zestawienie obrazuje podział zrealizowanych projektów ze względu na zakres interwencji.</w:t>
      </w:r>
    </w:p>
    <w:p w:rsidR="001E23A3" w:rsidRPr="001E23A3" w:rsidRDefault="001E23A3" w:rsidP="009C1D86">
      <w:pPr>
        <w:pStyle w:val="NormalnyWeb2"/>
        <w:shd w:val="clear" w:color="auto" w:fill="F2F2F2" w:themeFill="background1" w:themeFillShade="F2"/>
        <w:spacing w:before="0" w:after="120" w:line="240" w:lineRule="auto"/>
        <w:jc w:val="both"/>
        <w:rPr>
          <w:rFonts w:asciiTheme="minorHAnsi" w:hAnsiTheme="minorHAnsi"/>
          <w:b/>
          <w:color w:val="auto"/>
          <w:sz w:val="20"/>
          <w:szCs w:val="20"/>
        </w:rPr>
      </w:pPr>
      <w:r w:rsidRPr="009D0455">
        <w:rPr>
          <w:rFonts w:asciiTheme="minorHAnsi" w:hAnsiTheme="minorHAnsi"/>
          <w:b/>
          <w:color w:val="auto"/>
          <w:sz w:val="20"/>
          <w:szCs w:val="20"/>
        </w:rPr>
        <w:t xml:space="preserve">Tabela   </w:t>
      </w:r>
      <w:r>
        <w:rPr>
          <w:rFonts w:asciiTheme="minorHAnsi" w:hAnsiTheme="minorHAnsi"/>
          <w:b/>
          <w:color w:val="auto"/>
          <w:sz w:val="20"/>
          <w:szCs w:val="20"/>
        </w:rPr>
        <w:t>Wykaz projektów zrealizowanych z dofinansowaniem EFRR</w:t>
      </w:r>
    </w:p>
    <w:tbl>
      <w:tblPr>
        <w:tblStyle w:val="Tabela-Siatka"/>
        <w:tblW w:w="0" w:type="auto"/>
        <w:tblInd w:w="108" w:type="dxa"/>
        <w:tblLayout w:type="fixed"/>
        <w:tblLook w:val="04A0"/>
      </w:tblPr>
      <w:tblGrid>
        <w:gridCol w:w="5245"/>
        <w:gridCol w:w="1134"/>
        <w:gridCol w:w="2693"/>
      </w:tblGrid>
      <w:tr w:rsidR="000F1357" w:rsidRPr="00991775" w:rsidTr="00DD1373">
        <w:trPr>
          <w:trHeight w:val="300"/>
        </w:trPr>
        <w:tc>
          <w:tcPr>
            <w:tcW w:w="5245" w:type="dxa"/>
            <w:hideMark/>
          </w:tcPr>
          <w:p w:rsidR="000F1357" w:rsidRPr="00991775" w:rsidRDefault="000F1357" w:rsidP="009C1D86">
            <w:pPr>
              <w:shd w:val="clear" w:color="auto" w:fill="F2F2F2" w:themeFill="background1" w:themeFillShade="F2"/>
              <w:jc w:val="both"/>
              <w:rPr>
                <w:rFonts w:cstheme="minorHAnsi"/>
                <w:sz w:val="20"/>
                <w:szCs w:val="20"/>
              </w:rPr>
            </w:pPr>
          </w:p>
        </w:tc>
        <w:tc>
          <w:tcPr>
            <w:tcW w:w="1134" w:type="dxa"/>
            <w:hideMark/>
          </w:tcPr>
          <w:p w:rsidR="000F1357" w:rsidRPr="00991775" w:rsidRDefault="000F1357" w:rsidP="009C1D86">
            <w:pPr>
              <w:shd w:val="clear" w:color="auto" w:fill="F2F2F2" w:themeFill="background1" w:themeFillShade="F2"/>
              <w:jc w:val="center"/>
              <w:rPr>
                <w:rFonts w:cstheme="minorHAnsi"/>
                <w:sz w:val="20"/>
                <w:szCs w:val="20"/>
              </w:rPr>
            </w:pPr>
            <w:r w:rsidRPr="00991775">
              <w:rPr>
                <w:rFonts w:cstheme="minorHAnsi"/>
                <w:sz w:val="20"/>
                <w:szCs w:val="20"/>
              </w:rPr>
              <w:t>liczba</w:t>
            </w:r>
          </w:p>
        </w:tc>
        <w:tc>
          <w:tcPr>
            <w:tcW w:w="2693" w:type="dxa"/>
            <w:hideMark/>
          </w:tcPr>
          <w:p w:rsidR="000F1357" w:rsidRPr="00991775" w:rsidRDefault="000F1357" w:rsidP="009C1D86">
            <w:pPr>
              <w:shd w:val="clear" w:color="auto" w:fill="F2F2F2" w:themeFill="background1" w:themeFillShade="F2"/>
              <w:jc w:val="center"/>
              <w:rPr>
                <w:rFonts w:cstheme="minorHAnsi"/>
                <w:sz w:val="20"/>
                <w:szCs w:val="20"/>
              </w:rPr>
            </w:pPr>
            <w:r w:rsidRPr="00991775">
              <w:rPr>
                <w:rFonts w:cstheme="minorHAnsi"/>
                <w:sz w:val="20"/>
                <w:szCs w:val="20"/>
              </w:rPr>
              <w:t>wartość całkowita projektów</w:t>
            </w:r>
          </w:p>
        </w:tc>
      </w:tr>
      <w:tr w:rsidR="000F1357" w:rsidRPr="00991775" w:rsidTr="00DD1373">
        <w:trPr>
          <w:trHeight w:val="300"/>
        </w:trPr>
        <w:tc>
          <w:tcPr>
            <w:tcW w:w="5245" w:type="dxa"/>
            <w:noWrap/>
            <w:hideMark/>
          </w:tcPr>
          <w:p w:rsidR="000F1357" w:rsidRPr="00991775" w:rsidRDefault="000F1357" w:rsidP="009C1D86">
            <w:pPr>
              <w:shd w:val="clear" w:color="auto" w:fill="F2F2F2" w:themeFill="background1" w:themeFillShade="F2"/>
              <w:rPr>
                <w:rFonts w:cstheme="minorHAnsi"/>
                <w:sz w:val="20"/>
                <w:szCs w:val="20"/>
              </w:rPr>
            </w:pPr>
            <w:r w:rsidRPr="00991775">
              <w:rPr>
                <w:rFonts w:cstheme="minorHAnsi"/>
                <w:sz w:val="20"/>
                <w:szCs w:val="20"/>
              </w:rPr>
              <w:t>RPO WSL 4.3.3 Efektywność energetyczna i odnawialne źródła energii w infrastrukturze publicznej i mieszkaniowej – OSI</w:t>
            </w:r>
          </w:p>
        </w:tc>
        <w:tc>
          <w:tcPr>
            <w:tcW w:w="1134" w:type="dxa"/>
            <w:noWrap/>
            <w:hideMark/>
          </w:tcPr>
          <w:p w:rsidR="000F1357" w:rsidRPr="00991775" w:rsidRDefault="000F1357" w:rsidP="009C1D86">
            <w:pPr>
              <w:shd w:val="clear" w:color="auto" w:fill="F2F2F2" w:themeFill="background1" w:themeFillShade="F2"/>
              <w:jc w:val="center"/>
              <w:rPr>
                <w:rFonts w:cstheme="minorHAnsi"/>
                <w:sz w:val="20"/>
                <w:szCs w:val="20"/>
              </w:rPr>
            </w:pPr>
            <w:r w:rsidRPr="00991775">
              <w:rPr>
                <w:rFonts w:cstheme="minorHAnsi"/>
                <w:sz w:val="20"/>
                <w:szCs w:val="20"/>
              </w:rPr>
              <w:t>8</w:t>
            </w:r>
          </w:p>
        </w:tc>
        <w:tc>
          <w:tcPr>
            <w:tcW w:w="2693" w:type="dxa"/>
            <w:noWrap/>
            <w:hideMark/>
          </w:tcPr>
          <w:p w:rsidR="000F1357" w:rsidRPr="00991775" w:rsidRDefault="000F1357" w:rsidP="009C1D86">
            <w:pPr>
              <w:shd w:val="clear" w:color="auto" w:fill="F2F2F2" w:themeFill="background1" w:themeFillShade="F2"/>
              <w:jc w:val="right"/>
              <w:rPr>
                <w:rFonts w:cstheme="minorHAnsi"/>
                <w:sz w:val="20"/>
                <w:szCs w:val="20"/>
              </w:rPr>
            </w:pPr>
            <w:r w:rsidRPr="00991775">
              <w:rPr>
                <w:rFonts w:cstheme="minorHAnsi"/>
                <w:sz w:val="20"/>
                <w:szCs w:val="20"/>
              </w:rPr>
              <w:t>44 778 859,36</w:t>
            </w:r>
          </w:p>
        </w:tc>
      </w:tr>
      <w:tr w:rsidR="000F1357" w:rsidRPr="00991775" w:rsidTr="00DD1373">
        <w:trPr>
          <w:trHeight w:val="300"/>
        </w:trPr>
        <w:tc>
          <w:tcPr>
            <w:tcW w:w="5245" w:type="dxa"/>
            <w:noWrap/>
            <w:hideMark/>
          </w:tcPr>
          <w:p w:rsidR="000F1357" w:rsidRPr="00991775" w:rsidRDefault="000F1357" w:rsidP="009C1D86">
            <w:pPr>
              <w:shd w:val="clear" w:color="auto" w:fill="F2F2F2" w:themeFill="background1" w:themeFillShade="F2"/>
              <w:rPr>
                <w:rFonts w:cstheme="minorHAnsi"/>
                <w:sz w:val="20"/>
                <w:szCs w:val="20"/>
              </w:rPr>
            </w:pPr>
            <w:r w:rsidRPr="00991775">
              <w:rPr>
                <w:rFonts w:cstheme="minorHAnsi"/>
                <w:sz w:val="20"/>
                <w:szCs w:val="20"/>
              </w:rPr>
              <w:t>RPO WSL 5.4.2 Ochrona różnorodności biologicznej – OSI</w:t>
            </w:r>
          </w:p>
        </w:tc>
        <w:tc>
          <w:tcPr>
            <w:tcW w:w="1134" w:type="dxa"/>
            <w:noWrap/>
            <w:hideMark/>
          </w:tcPr>
          <w:p w:rsidR="000F1357" w:rsidRPr="00991775" w:rsidRDefault="000F1357" w:rsidP="009C1D86">
            <w:pPr>
              <w:shd w:val="clear" w:color="auto" w:fill="F2F2F2" w:themeFill="background1" w:themeFillShade="F2"/>
              <w:jc w:val="center"/>
              <w:rPr>
                <w:rFonts w:cstheme="minorHAnsi"/>
                <w:sz w:val="20"/>
                <w:szCs w:val="20"/>
              </w:rPr>
            </w:pPr>
            <w:r w:rsidRPr="00991775">
              <w:rPr>
                <w:rFonts w:cstheme="minorHAnsi"/>
                <w:sz w:val="20"/>
                <w:szCs w:val="20"/>
              </w:rPr>
              <w:t>1</w:t>
            </w:r>
          </w:p>
        </w:tc>
        <w:tc>
          <w:tcPr>
            <w:tcW w:w="2693" w:type="dxa"/>
            <w:hideMark/>
          </w:tcPr>
          <w:p w:rsidR="000F1357" w:rsidRPr="00991775" w:rsidRDefault="000F1357" w:rsidP="009C1D86">
            <w:pPr>
              <w:shd w:val="clear" w:color="auto" w:fill="F2F2F2" w:themeFill="background1" w:themeFillShade="F2"/>
              <w:jc w:val="right"/>
              <w:rPr>
                <w:rFonts w:cstheme="minorHAnsi"/>
                <w:sz w:val="20"/>
                <w:szCs w:val="20"/>
              </w:rPr>
            </w:pPr>
            <w:r w:rsidRPr="00991775">
              <w:rPr>
                <w:rFonts w:cstheme="minorHAnsi"/>
                <w:sz w:val="20"/>
                <w:szCs w:val="20"/>
              </w:rPr>
              <w:t>2 747 625,00</w:t>
            </w:r>
          </w:p>
        </w:tc>
      </w:tr>
      <w:tr w:rsidR="000F1357" w:rsidRPr="00991775" w:rsidTr="00DD1373">
        <w:trPr>
          <w:trHeight w:val="300"/>
        </w:trPr>
        <w:tc>
          <w:tcPr>
            <w:tcW w:w="5245" w:type="dxa"/>
            <w:noWrap/>
            <w:hideMark/>
          </w:tcPr>
          <w:p w:rsidR="000F1357" w:rsidRPr="00991775" w:rsidRDefault="000F1357" w:rsidP="009C1D86">
            <w:pPr>
              <w:shd w:val="clear" w:color="auto" w:fill="F2F2F2" w:themeFill="background1" w:themeFillShade="F2"/>
              <w:rPr>
                <w:rFonts w:cstheme="minorHAnsi"/>
                <w:sz w:val="20"/>
                <w:szCs w:val="20"/>
              </w:rPr>
            </w:pPr>
            <w:r w:rsidRPr="00991775">
              <w:rPr>
                <w:rFonts w:cstheme="minorHAnsi"/>
                <w:sz w:val="20"/>
                <w:szCs w:val="20"/>
              </w:rPr>
              <w:t>RPO WSL 5.3.2 Dziedzictwo kulturowe – OSI</w:t>
            </w:r>
          </w:p>
        </w:tc>
        <w:tc>
          <w:tcPr>
            <w:tcW w:w="1134" w:type="dxa"/>
            <w:noWrap/>
            <w:hideMark/>
          </w:tcPr>
          <w:p w:rsidR="000F1357" w:rsidRPr="00991775" w:rsidRDefault="000F1357" w:rsidP="009C1D86">
            <w:pPr>
              <w:shd w:val="clear" w:color="auto" w:fill="F2F2F2" w:themeFill="background1" w:themeFillShade="F2"/>
              <w:jc w:val="center"/>
              <w:rPr>
                <w:rFonts w:cstheme="minorHAnsi"/>
                <w:sz w:val="20"/>
                <w:szCs w:val="20"/>
              </w:rPr>
            </w:pPr>
            <w:r w:rsidRPr="00991775">
              <w:rPr>
                <w:rFonts w:cstheme="minorHAnsi"/>
                <w:sz w:val="20"/>
                <w:szCs w:val="20"/>
              </w:rPr>
              <w:t>6</w:t>
            </w:r>
          </w:p>
        </w:tc>
        <w:tc>
          <w:tcPr>
            <w:tcW w:w="2693" w:type="dxa"/>
            <w:noWrap/>
            <w:hideMark/>
          </w:tcPr>
          <w:p w:rsidR="000F1357" w:rsidRPr="00991775" w:rsidRDefault="000F1357" w:rsidP="009C1D86">
            <w:pPr>
              <w:shd w:val="clear" w:color="auto" w:fill="F2F2F2" w:themeFill="background1" w:themeFillShade="F2"/>
              <w:jc w:val="right"/>
              <w:rPr>
                <w:rFonts w:cstheme="minorHAnsi"/>
                <w:sz w:val="20"/>
                <w:szCs w:val="20"/>
              </w:rPr>
            </w:pPr>
            <w:r w:rsidRPr="00991775">
              <w:rPr>
                <w:rFonts w:cstheme="minorHAnsi"/>
                <w:sz w:val="20"/>
                <w:szCs w:val="20"/>
              </w:rPr>
              <w:t>24 346 485,79</w:t>
            </w:r>
          </w:p>
        </w:tc>
      </w:tr>
      <w:tr w:rsidR="000F1357" w:rsidRPr="00991775" w:rsidTr="00DD1373">
        <w:trPr>
          <w:trHeight w:val="300"/>
        </w:trPr>
        <w:tc>
          <w:tcPr>
            <w:tcW w:w="5245" w:type="dxa"/>
            <w:noWrap/>
            <w:hideMark/>
          </w:tcPr>
          <w:p w:rsidR="000F1357" w:rsidRPr="00991775" w:rsidRDefault="000F1357" w:rsidP="009C1D86">
            <w:pPr>
              <w:shd w:val="clear" w:color="auto" w:fill="F2F2F2" w:themeFill="background1" w:themeFillShade="F2"/>
              <w:rPr>
                <w:rFonts w:cstheme="minorHAnsi"/>
                <w:sz w:val="20"/>
                <w:szCs w:val="20"/>
              </w:rPr>
            </w:pPr>
            <w:r w:rsidRPr="00991775">
              <w:rPr>
                <w:rFonts w:cstheme="minorHAnsi"/>
                <w:sz w:val="20"/>
                <w:szCs w:val="20"/>
              </w:rPr>
              <w:t>RPO WSL 10.2.3 Rozwój mieszkalnictwa socjalnego, wspomaganego i chronionego oraz infrastruktury usług społecznych - OSI</w:t>
            </w:r>
          </w:p>
        </w:tc>
        <w:tc>
          <w:tcPr>
            <w:tcW w:w="1134" w:type="dxa"/>
            <w:noWrap/>
            <w:hideMark/>
          </w:tcPr>
          <w:p w:rsidR="000F1357" w:rsidRPr="00991775" w:rsidRDefault="000F1357" w:rsidP="009C1D86">
            <w:pPr>
              <w:shd w:val="clear" w:color="auto" w:fill="F2F2F2" w:themeFill="background1" w:themeFillShade="F2"/>
              <w:jc w:val="center"/>
              <w:rPr>
                <w:rFonts w:cstheme="minorHAnsi"/>
                <w:sz w:val="20"/>
                <w:szCs w:val="20"/>
              </w:rPr>
            </w:pPr>
            <w:r w:rsidRPr="00991775">
              <w:rPr>
                <w:rFonts w:cstheme="minorHAnsi"/>
                <w:sz w:val="20"/>
                <w:szCs w:val="20"/>
              </w:rPr>
              <w:t>4</w:t>
            </w:r>
          </w:p>
        </w:tc>
        <w:tc>
          <w:tcPr>
            <w:tcW w:w="2693" w:type="dxa"/>
            <w:noWrap/>
            <w:hideMark/>
          </w:tcPr>
          <w:p w:rsidR="000F1357" w:rsidRPr="00991775" w:rsidRDefault="000F1357" w:rsidP="009C1D86">
            <w:pPr>
              <w:shd w:val="clear" w:color="auto" w:fill="F2F2F2" w:themeFill="background1" w:themeFillShade="F2"/>
              <w:jc w:val="right"/>
              <w:rPr>
                <w:rFonts w:cstheme="minorHAnsi"/>
                <w:sz w:val="20"/>
                <w:szCs w:val="20"/>
              </w:rPr>
            </w:pPr>
            <w:r w:rsidRPr="00991775">
              <w:rPr>
                <w:rFonts w:cstheme="minorHAnsi"/>
                <w:sz w:val="20"/>
                <w:szCs w:val="20"/>
              </w:rPr>
              <w:t>30 583 355,46</w:t>
            </w:r>
          </w:p>
        </w:tc>
      </w:tr>
      <w:tr w:rsidR="000F1357" w:rsidRPr="00991775" w:rsidTr="00DD1373">
        <w:trPr>
          <w:trHeight w:val="300"/>
        </w:trPr>
        <w:tc>
          <w:tcPr>
            <w:tcW w:w="5245" w:type="dxa"/>
            <w:noWrap/>
            <w:hideMark/>
          </w:tcPr>
          <w:p w:rsidR="000F1357" w:rsidRPr="00991775" w:rsidRDefault="000F1357" w:rsidP="009C1D86">
            <w:pPr>
              <w:shd w:val="clear" w:color="auto" w:fill="F2F2F2" w:themeFill="background1" w:themeFillShade="F2"/>
              <w:rPr>
                <w:rFonts w:cstheme="minorHAnsi"/>
                <w:sz w:val="20"/>
                <w:szCs w:val="20"/>
              </w:rPr>
            </w:pPr>
            <w:r w:rsidRPr="00991775">
              <w:rPr>
                <w:rFonts w:cstheme="minorHAnsi"/>
                <w:sz w:val="20"/>
                <w:szCs w:val="20"/>
              </w:rPr>
              <w:t>RPO WSL 10.3.4 Rewitalizacja obszarów zdegradowanych - OSI</w:t>
            </w:r>
          </w:p>
        </w:tc>
        <w:tc>
          <w:tcPr>
            <w:tcW w:w="1134" w:type="dxa"/>
            <w:noWrap/>
            <w:hideMark/>
          </w:tcPr>
          <w:p w:rsidR="000F1357" w:rsidRPr="00991775" w:rsidRDefault="000F1357" w:rsidP="009C1D86">
            <w:pPr>
              <w:shd w:val="clear" w:color="auto" w:fill="F2F2F2" w:themeFill="background1" w:themeFillShade="F2"/>
              <w:jc w:val="center"/>
              <w:rPr>
                <w:rFonts w:cstheme="minorHAnsi"/>
                <w:sz w:val="20"/>
                <w:szCs w:val="20"/>
              </w:rPr>
            </w:pPr>
            <w:r w:rsidRPr="00991775">
              <w:rPr>
                <w:rFonts w:cstheme="minorHAnsi"/>
                <w:sz w:val="20"/>
                <w:szCs w:val="20"/>
              </w:rPr>
              <w:t>7</w:t>
            </w:r>
          </w:p>
        </w:tc>
        <w:tc>
          <w:tcPr>
            <w:tcW w:w="2693" w:type="dxa"/>
            <w:noWrap/>
            <w:hideMark/>
          </w:tcPr>
          <w:p w:rsidR="000F1357" w:rsidRPr="00991775" w:rsidRDefault="000F1357" w:rsidP="009C1D86">
            <w:pPr>
              <w:shd w:val="clear" w:color="auto" w:fill="F2F2F2" w:themeFill="background1" w:themeFillShade="F2"/>
              <w:jc w:val="right"/>
              <w:rPr>
                <w:rFonts w:cstheme="minorHAnsi"/>
                <w:sz w:val="20"/>
                <w:szCs w:val="20"/>
              </w:rPr>
            </w:pPr>
            <w:r w:rsidRPr="00991775">
              <w:rPr>
                <w:rFonts w:cstheme="minorHAnsi"/>
                <w:sz w:val="20"/>
                <w:szCs w:val="20"/>
              </w:rPr>
              <w:t>94 205 143,18</w:t>
            </w:r>
          </w:p>
        </w:tc>
      </w:tr>
      <w:tr w:rsidR="000F1357" w:rsidRPr="00991775" w:rsidTr="00DD1373">
        <w:trPr>
          <w:trHeight w:val="300"/>
        </w:trPr>
        <w:tc>
          <w:tcPr>
            <w:tcW w:w="5245" w:type="dxa"/>
            <w:noWrap/>
            <w:hideMark/>
          </w:tcPr>
          <w:p w:rsidR="000F1357" w:rsidRPr="00991775" w:rsidRDefault="000F1357" w:rsidP="009C1D86">
            <w:pPr>
              <w:shd w:val="clear" w:color="auto" w:fill="F2F2F2" w:themeFill="background1" w:themeFillShade="F2"/>
              <w:rPr>
                <w:rFonts w:cstheme="minorHAnsi"/>
                <w:sz w:val="20"/>
                <w:szCs w:val="20"/>
              </w:rPr>
            </w:pPr>
            <w:r w:rsidRPr="00991775">
              <w:rPr>
                <w:rFonts w:cstheme="minorHAnsi"/>
                <w:sz w:val="20"/>
                <w:szCs w:val="20"/>
              </w:rPr>
              <w:t>POIiŚ 2.5 Poprawa jakości środowiska miejskiego</w:t>
            </w:r>
          </w:p>
        </w:tc>
        <w:tc>
          <w:tcPr>
            <w:tcW w:w="1134" w:type="dxa"/>
            <w:noWrap/>
            <w:hideMark/>
          </w:tcPr>
          <w:p w:rsidR="000F1357" w:rsidRPr="00991775" w:rsidRDefault="000F1357" w:rsidP="009C1D86">
            <w:pPr>
              <w:shd w:val="clear" w:color="auto" w:fill="F2F2F2" w:themeFill="background1" w:themeFillShade="F2"/>
              <w:jc w:val="center"/>
              <w:rPr>
                <w:rFonts w:cstheme="minorHAnsi"/>
                <w:sz w:val="20"/>
                <w:szCs w:val="20"/>
              </w:rPr>
            </w:pPr>
            <w:r w:rsidRPr="00991775">
              <w:rPr>
                <w:rFonts w:cstheme="minorHAnsi"/>
                <w:sz w:val="20"/>
                <w:szCs w:val="20"/>
              </w:rPr>
              <w:t>1</w:t>
            </w:r>
          </w:p>
        </w:tc>
        <w:tc>
          <w:tcPr>
            <w:tcW w:w="2693" w:type="dxa"/>
            <w:noWrap/>
            <w:hideMark/>
          </w:tcPr>
          <w:p w:rsidR="000F1357" w:rsidRPr="00991775" w:rsidRDefault="000F1357" w:rsidP="009C1D86">
            <w:pPr>
              <w:shd w:val="clear" w:color="auto" w:fill="F2F2F2" w:themeFill="background1" w:themeFillShade="F2"/>
              <w:jc w:val="right"/>
              <w:rPr>
                <w:rFonts w:cstheme="minorHAnsi"/>
                <w:sz w:val="20"/>
                <w:szCs w:val="20"/>
              </w:rPr>
            </w:pPr>
            <w:r w:rsidRPr="00991775">
              <w:rPr>
                <w:rFonts w:cstheme="minorHAnsi"/>
                <w:sz w:val="20"/>
                <w:szCs w:val="20"/>
              </w:rPr>
              <w:t>25 664 700,00</w:t>
            </w:r>
          </w:p>
        </w:tc>
      </w:tr>
      <w:tr w:rsidR="000F1357" w:rsidRPr="00991775" w:rsidTr="00DD1373">
        <w:trPr>
          <w:trHeight w:val="300"/>
        </w:trPr>
        <w:tc>
          <w:tcPr>
            <w:tcW w:w="5245" w:type="dxa"/>
            <w:noWrap/>
            <w:hideMark/>
          </w:tcPr>
          <w:p w:rsidR="000F1357" w:rsidRPr="00991775" w:rsidRDefault="000F1357" w:rsidP="009C1D86">
            <w:pPr>
              <w:shd w:val="clear" w:color="auto" w:fill="F2F2F2" w:themeFill="background1" w:themeFillShade="F2"/>
              <w:rPr>
                <w:rFonts w:cstheme="minorHAnsi"/>
                <w:sz w:val="20"/>
                <w:szCs w:val="20"/>
              </w:rPr>
            </w:pPr>
            <w:r w:rsidRPr="00991775">
              <w:rPr>
                <w:rFonts w:cstheme="minorHAnsi"/>
                <w:sz w:val="20"/>
                <w:szCs w:val="20"/>
              </w:rPr>
              <w:t>RPO WSL 10.3.1 Rewitalizacja obszarów zdegradowanych - ZIT</w:t>
            </w:r>
          </w:p>
        </w:tc>
        <w:tc>
          <w:tcPr>
            <w:tcW w:w="1134" w:type="dxa"/>
            <w:noWrap/>
            <w:hideMark/>
          </w:tcPr>
          <w:p w:rsidR="000F1357" w:rsidRPr="00991775" w:rsidRDefault="000F1357" w:rsidP="009C1D86">
            <w:pPr>
              <w:shd w:val="clear" w:color="auto" w:fill="F2F2F2" w:themeFill="background1" w:themeFillShade="F2"/>
              <w:jc w:val="center"/>
              <w:rPr>
                <w:rFonts w:cstheme="minorHAnsi"/>
                <w:sz w:val="20"/>
                <w:szCs w:val="20"/>
              </w:rPr>
            </w:pPr>
            <w:r w:rsidRPr="00991775">
              <w:rPr>
                <w:rFonts w:cstheme="minorHAnsi"/>
                <w:sz w:val="20"/>
                <w:szCs w:val="20"/>
              </w:rPr>
              <w:t>1</w:t>
            </w:r>
          </w:p>
        </w:tc>
        <w:tc>
          <w:tcPr>
            <w:tcW w:w="2693" w:type="dxa"/>
            <w:noWrap/>
            <w:hideMark/>
          </w:tcPr>
          <w:p w:rsidR="000F1357" w:rsidRPr="00991775" w:rsidRDefault="000F1357" w:rsidP="009C1D86">
            <w:pPr>
              <w:shd w:val="clear" w:color="auto" w:fill="F2F2F2" w:themeFill="background1" w:themeFillShade="F2"/>
              <w:jc w:val="right"/>
              <w:rPr>
                <w:rFonts w:cstheme="minorHAnsi"/>
                <w:sz w:val="20"/>
                <w:szCs w:val="20"/>
              </w:rPr>
            </w:pPr>
            <w:r w:rsidRPr="00991775">
              <w:rPr>
                <w:rFonts w:cstheme="minorHAnsi"/>
                <w:sz w:val="20"/>
                <w:szCs w:val="20"/>
              </w:rPr>
              <w:t>11 439 166,14</w:t>
            </w:r>
          </w:p>
        </w:tc>
      </w:tr>
      <w:tr w:rsidR="000F1357" w:rsidRPr="00991775" w:rsidTr="00DD1373">
        <w:trPr>
          <w:trHeight w:val="300"/>
        </w:trPr>
        <w:tc>
          <w:tcPr>
            <w:tcW w:w="5245" w:type="dxa"/>
            <w:noWrap/>
            <w:hideMark/>
          </w:tcPr>
          <w:p w:rsidR="000F1357" w:rsidRPr="00991775" w:rsidRDefault="000F1357" w:rsidP="009C1D86">
            <w:pPr>
              <w:shd w:val="clear" w:color="auto" w:fill="F2F2F2" w:themeFill="background1" w:themeFillShade="F2"/>
              <w:rPr>
                <w:rFonts w:cstheme="minorHAnsi"/>
                <w:sz w:val="20"/>
                <w:szCs w:val="20"/>
              </w:rPr>
            </w:pPr>
            <w:r w:rsidRPr="00991775">
              <w:rPr>
                <w:rFonts w:cstheme="minorHAnsi"/>
                <w:sz w:val="20"/>
                <w:szCs w:val="20"/>
              </w:rPr>
              <w:t>RPO WSL 4.3.1 Efektywność energetyczna i odnawialne źródła energii w infrastrukturze publicznej i mieszkaniowej - ZIT</w:t>
            </w:r>
          </w:p>
        </w:tc>
        <w:tc>
          <w:tcPr>
            <w:tcW w:w="1134" w:type="dxa"/>
            <w:noWrap/>
            <w:hideMark/>
          </w:tcPr>
          <w:p w:rsidR="000F1357" w:rsidRPr="00991775" w:rsidRDefault="000F1357" w:rsidP="009C1D86">
            <w:pPr>
              <w:shd w:val="clear" w:color="auto" w:fill="F2F2F2" w:themeFill="background1" w:themeFillShade="F2"/>
              <w:jc w:val="center"/>
              <w:rPr>
                <w:rFonts w:cstheme="minorHAnsi"/>
                <w:sz w:val="20"/>
                <w:szCs w:val="20"/>
              </w:rPr>
            </w:pPr>
            <w:r w:rsidRPr="00991775">
              <w:rPr>
                <w:rFonts w:cstheme="minorHAnsi"/>
                <w:sz w:val="20"/>
                <w:szCs w:val="20"/>
              </w:rPr>
              <w:t>1</w:t>
            </w:r>
          </w:p>
        </w:tc>
        <w:tc>
          <w:tcPr>
            <w:tcW w:w="2693" w:type="dxa"/>
            <w:noWrap/>
            <w:hideMark/>
          </w:tcPr>
          <w:p w:rsidR="000F1357" w:rsidRPr="00991775" w:rsidRDefault="000F1357" w:rsidP="009C1D86">
            <w:pPr>
              <w:shd w:val="clear" w:color="auto" w:fill="F2F2F2" w:themeFill="background1" w:themeFillShade="F2"/>
              <w:jc w:val="right"/>
              <w:rPr>
                <w:rFonts w:cstheme="minorHAnsi"/>
                <w:sz w:val="20"/>
                <w:szCs w:val="20"/>
              </w:rPr>
            </w:pPr>
            <w:r w:rsidRPr="00991775">
              <w:rPr>
                <w:rFonts w:cstheme="minorHAnsi"/>
                <w:sz w:val="20"/>
                <w:szCs w:val="20"/>
              </w:rPr>
              <w:t>895 716,85</w:t>
            </w:r>
          </w:p>
        </w:tc>
      </w:tr>
      <w:tr w:rsidR="000F1357" w:rsidRPr="00991775" w:rsidTr="00DD1373">
        <w:trPr>
          <w:trHeight w:val="300"/>
        </w:trPr>
        <w:tc>
          <w:tcPr>
            <w:tcW w:w="5245" w:type="dxa"/>
            <w:noWrap/>
            <w:hideMark/>
          </w:tcPr>
          <w:p w:rsidR="000F1357" w:rsidRPr="00991775" w:rsidRDefault="000F1357" w:rsidP="009C1D86">
            <w:pPr>
              <w:shd w:val="clear" w:color="auto" w:fill="F2F2F2" w:themeFill="background1" w:themeFillShade="F2"/>
              <w:rPr>
                <w:rFonts w:cstheme="minorHAnsi"/>
                <w:sz w:val="20"/>
                <w:szCs w:val="20"/>
              </w:rPr>
            </w:pPr>
            <w:r w:rsidRPr="00991775">
              <w:rPr>
                <w:rFonts w:cstheme="minorHAnsi"/>
                <w:sz w:val="20"/>
                <w:szCs w:val="20"/>
              </w:rPr>
              <w:t>RPO WSL 12.2.1 Infrastruktura kształcenia zawodowego - ZIT</w:t>
            </w:r>
          </w:p>
        </w:tc>
        <w:tc>
          <w:tcPr>
            <w:tcW w:w="1134" w:type="dxa"/>
            <w:noWrap/>
            <w:hideMark/>
          </w:tcPr>
          <w:p w:rsidR="000F1357" w:rsidRPr="00991775" w:rsidRDefault="000F1357" w:rsidP="009C1D86">
            <w:pPr>
              <w:shd w:val="clear" w:color="auto" w:fill="F2F2F2" w:themeFill="background1" w:themeFillShade="F2"/>
              <w:jc w:val="center"/>
              <w:rPr>
                <w:rFonts w:cstheme="minorHAnsi"/>
                <w:sz w:val="20"/>
                <w:szCs w:val="20"/>
              </w:rPr>
            </w:pPr>
            <w:r w:rsidRPr="00991775">
              <w:rPr>
                <w:rFonts w:cstheme="minorHAnsi"/>
                <w:sz w:val="20"/>
                <w:szCs w:val="20"/>
              </w:rPr>
              <w:t>1</w:t>
            </w:r>
          </w:p>
        </w:tc>
        <w:tc>
          <w:tcPr>
            <w:tcW w:w="2693" w:type="dxa"/>
            <w:noWrap/>
            <w:hideMark/>
          </w:tcPr>
          <w:p w:rsidR="000F1357" w:rsidRPr="00991775" w:rsidRDefault="000F1357" w:rsidP="009C1D86">
            <w:pPr>
              <w:shd w:val="clear" w:color="auto" w:fill="F2F2F2" w:themeFill="background1" w:themeFillShade="F2"/>
              <w:jc w:val="right"/>
              <w:rPr>
                <w:rFonts w:cstheme="minorHAnsi"/>
                <w:sz w:val="20"/>
                <w:szCs w:val="20"/>
              </w:rPr>
            </w:pPr>
            <w:r w:rsidRPr="00991775">
              <w:rPr>
                <w:rFonts w:cstheme="minorHAnsi"/>
                <w:sz w:val="20"/>
                <w:szCs w:val="20"/>
              </w:rPr>
              <w:t>3 701 803,48</w:t>
            </w:r>
          </w:p>
        </w:tc>
      </w:tr>
      <w:tr w:rsidR="000F1357" w:rsidRPr="00273B97" w:rsidTr="00DD1373">
        <w:trPr>
          <w:trHeight w:val="300"/>
        </w:trPr>
        <w:tc>
          <w:tcPr>
            <w:tcW w:w="5245" w:type="dxa"/>
            <w:noWrap/>
            <w:hideMark/>
          </w:tcPr>
          <w:p w:rsidR="000F1357" w:rsidRPr="00991775" w:rsidRDefault="000F1357" w:rsidP="009C1D86">
            <w:pPr>
              <w:shd w:val="clear" w:color="auto" w:fill="F2F2F2" w:themeFill="background1" w:themeFillShade="F2"/>
              <w:rPr>
                <w:rFonts w:cstheme="minorHAnsi"/>
                <w:sz w:val="20"/>
                <w:szCs w:val="20"/>
              </w:rPr>
            </w:pPr>
            <w:r w:rsidRPr="00991775">
              <w:rPr>
                <w:rFonts w:cstheme="minorHAnsi"/>
                <w:sz w:val="20"/>
                <w:szCs w:val="20"/>
              </w:rPr>
              <w:t>budżet państwa/Bank Gospodarstwa Krajowego</w:t>
            </w:r>
          </w:p>
        </w:tc>
        <w:tc>
          <w:tcPr>
            <w:tcW w:w="1134" w:type="dxa"/>
            <w:noWrap/>
            <w:hideMark/>
          </w:tcPr>
          <w:p w:rsidR="000F1357" w:rsidRPr="00991775" w:rsidRDefault="000F1357" w:rsidP="009C1D86">
            <w:pPr>
              <w:shd w:val="clear" w:color="auto" w:fill="F2F2F2" w:themeFill="background1" w:themeFillShade="F2"/>
              <w:jc w:val="center"/>
              <w:rPr>
                <w:rFonts w:cstheme="minorHAnsi"/>
                <w:sz w:val="20"/>
                <w:szCs w:val="20"/>
              </w:rPr>
            </w:pPr>
            <w:r w:rsidRPr="00991775">
              <w:rPr>
                <w:rFonts w:cstheme="minorHAnsi"/>
                <w:sz w:val="20"/>
                <w:szCs w:val="20"/>
              </w:rPr>
              <w:t>2</w:t>
            </w:r>
          </w:p>
        </w:tc>
        <w:tc>
          <w:tcPr>
            <w:tcW w:w="2693" w:type="dxa"/>
            <w:noWrap/>
            <w:hideMark/>
          </w:tcPr>
          <w:p w:rsidR="000F1357" w:rsidRPr="00991775" w:rsidRDefault="000F1357" w:rsidP="009C1D86">
            <w:pPr>
              <w:shd w:val="clear" w:color="auto" w:fill="F2F2F2" w:themeFill="background1" w:themeFillShade="F2"/>
              <w:jc w:val="right"/>
              <w:rPr>
                <w:rFonts w:cstheme="minorHAnsi"/>
                <w:sz w:val="20"/>
                <w:szCs w:val="20"/>
              </w:rPr>
            </w:pPr>
            <w:r w:rsidRPr="00991775">
              <w:rPr>
                <w:rFonts w:cstheme="minorHAnsi"/>
                <w:sz w:val="20"/>
                <w:szCs w:val="20"/>
              </w:rPr>
              <w:t>35 299 513,00</w:t>
            </w:r>
          </w:p>
        </w:tc>
      </w:tr>
    </w:tbl>
    <w:p w:rsidR="007225D2" w:rsidRPr="00273B97" w:rsidRDefault="007225D2" w:rsidP="009C1D86">
      <w:pPr>
        <w:pStyle w:val="NormalnyWeb2"/>
        <w:shd w:val="clear" w:color="auto" w:fill="F2F2F2" w:themeFill="background1" w:themeFillShade="F2"/>
        <w:spacing w:before="0" w:after="120" w:line="240" w:lineRule="auto"/>
        <w:jc w:val="both"/>
        <w:rPr>
          <w:rFonts w:asciiTheme="minorHAnsi" w:hAnsiTheme="minorHAnsi"/>
          <w:i/>
          <w:color w:val="auto"/>
          <w:sz w:val="18"/>
          <w:szCs w:val="18"/>
        </w:rPr>
      </w:pPr>
      <w:r w:rsidRPr="00991775">
        <w:rPr>
          <w:rFonts w:cs="Calibri"/>
          <w:i/>
          <w:color w:val="auto"/>
          <w:sz w:val="18"/>
          <w:szCs w:val="18"/>
          <w:shd w:val="clear" w:color="auto" w:fill="D9D9D9" w:themeFill="background1" w:themeFillShade="D9"/>
        </w:rPr>
        <w:t>Źródło: Opracowanie własne na podstawie danych ze sprawozdań i raportów monitoringowych</w:t>
      </w:r>
      <w:r w:rsidRPr="00991775">
        <w:rPr>
          <w:rFonts w:asciiTheme="minorHAnsi" w:hAnsiTheme="minorHAnsi"/>
          <w:i/>
          <w:color w:val="auto"/>
          <w:sz w:val="18"/>
          <w:szCs w:val="18"/>
          <w:shd w:val="clear" w:color="auto" w:fill="D9D9D9" w:themeFill="background1" w:themeFillShade="D9"/>
        </w:rPr>
        <w:t>"Gminnego Programu Rewitalizacji. Bytom 2020+"</w:t>
      </w:r>
    </w:p>
    <w:p w:rsidR="008A7CDC" w:rsidRPr="0015513B" w:rsidRDefault="008A7CDC" w:rsidP="00002B1D">
      <w:pPr>
        <w:jc w:val="both"/>
        <w:rPr>
          <w:rFonts w:cs="Calibri"/>
          <w:b/>
          <w:szCs w:val="20"/>
        </w:rPr>
      </w:pPr>
    </w:p>
    <w:p w:rsidR="00A83204" w:rsidRPr="00A83204" w:rsidRDefault="00A83204" w:rsidP="00141C15">
      <w:pPr>
        <w:pStyle w:val="Akapitzlist"/>
        <w:keepNext/>
        <w:numPr>
          <w:ilvl w:val="1"/>
          <w:numId w:val="225"/>
        </w:numPr>
        <w:spacing w:before="240" w:after="60" w:line="240" w:lineRule="auto"/>
        <w:outlineLvl w:val="2"/>
        <w:rPr>
          <w:rFonts w:eastAsia="Times New Roman" w:cs="Calibri"/>
          <w:b/>
          <w:bCs/>
          <w:vanish/>
          <w:color w:val="3366FF"/>
          <w:sz w:val="26"/>
          <w:szCs w:val="26"/>
          <w:lang w:eastAsia="pl-PL"/>
        </w:rPr>
      </w:pPr>
      <w:bookmarkStart w:id="8541" w:name="_Toc467665507"/>
      <w:bookmarkStart w:id="8542" w:name="_Toc467665661"/>
      <w:bookmarkStart w:id="8543" w:name="_Toc467669590"/>
      <w:bookmarkStart w:id="8544" w:name="_Toc467832095"/>
      <w:bookmarkStart w:id="8545" w:name="_Toc467832215"/>
      <w:bookmarkStart w:id="8546" w:name="_Toc467834920"/>
      <w:bookmarkStart w:id="8547" w:name="_Toc467843601"/>
      <w:bookmarkStart w:id="8548" w:name="_Toc467845587"/>
      <w:bookmarkStart w:id="8549" w:name="_Toc467847530"/>
      <w:bookmarkStart w:id="8550" w:name="_Toc467847652"/>
      <w:bookmarkStart w:id="8551" w:name="_Toc467847774"/>
      <w:bookmarkStart w:id="8552" w:name="_Toc467847898"/>
      <w:bookmarkStart w:id="8553" w:name="_Toc467848022"/>
      <w:bookmarkStart w:id="8554" w:name="_Toc467848146"/>
      <w:bookmarkStart w:id="8555" w:name="_Toc467848270"/>
      <w:bookmarkStart w:id="8556" w:name="_Toc467848394"/>
      <w:bookmarkStart w:id="8557" w:name="_Toc467848518"/>
      <w:bookmarkStart w:id="8558" w:name="_Toc468097992"/>
      <w:bookmarkStart w:id="8559" w:name="_Toc468098116"/>
      <w:bookmarkStart w:id="8560" w:name="_Toc468104783"/>
      <w:bookmarkStart w:id="8561" w:name="_Toc468104907"/>
      <w:bookmarkStart w:id="8562" w:name="_Toc468105033"/>
      <w:bookmarkStart w:id="8563" w:name="_Toc468105159"/>
      <w:bookmarkStart w:id="8564" w:name="_Toc468105285"/>
      <w:bookmarkStart w:id="8565" w:name="_Toc468105411"/>
      <w:bookmarkStart w:id="8566" w:name="_Toc468105895"/>
      <w:bookmarkStart w:id="8567" w:name="_Toc468106022"/>
      <w:bookmarkStart w:id="8568" w:name="_Toc468116316"/>
      <w:bookmarkStart w:id="8569" w:name="_Toc468178272"/>
      <w:bookmarkStart w:id="8570" w:name="_Toc468181566"/>
      <w:bookmarkStart w:id="8571" w:name="_Toc468181693"/>
      <w:bookmarkStart w:id="8572" w:name="_Toc468181822"/>
      <w:bookmarkStart w:id="8573" w:name="_Toc468181988"/>
      <w:bookmarkStart w:id="8574" w:name="_Toc468185929"/>
      <w:bookmarkStart w:id="8575" w:name="_Toc468190861"/>
      <w:bookmarkStart w:id="8576" w:name="_Toc468190987"/>
      <w:bookmarkStart w:id="8577" w:name="_Toc468191479"/>
      <w:bookmarkStart w:id="8578" w:name="_Toc468258150"/>
      <w:bookmarkStart w:id="8579" w:name="_Toc468258381"/>
      <w:bookmarkStart w:id="8580" w:name="_Toc468258675"/>
      <w:bookmarkStart w:id="8581" w:name="_Toc468258805"/>
      <w:bookmarkStart w:id="8582" w:name="_Toc468258938"/>
      <w:bookmarkStart w:id="8583" w:name="_Toc468259068"/>
      <w:bookmarkStart w:id="8584" w:name="_Toc468259197"/>
      <w:bookmarkStart w:id="8585" w:name="_Toc468259326"/>
      <w:bookmarkStart w:id="8586" w:name="_Toc468259583"/>
      <w:bookmarkStart w:id="8587" w:name="_Toc468259715"/>
      <w:bookmarkStart w:id="8588" w:name="_Toc468259845"/>
      <w:bookmarkStart w:id="8589" w:name="_Toc468259975"/>
      <w:bookmarkStart w:id="8590" w:name="_Toc468260105"/>
      <w:bookmarkStart w:id="8591" w:name="_Toc468260234"/>
      <w:bookmarkStart w:id="8592" w:name="_Toc468260363"/>
      <w:bookmarkStart w:id="8593" w:name="_Toc468260492"/>
      <w:bookmarkStart w:id="8594" w:name="_Toc468260621"/>
      <w:bookmarkStart w:id="8595" w:name="_Toc468260750"/>
      <w:bookmarkStart w:id="8596" w:name="_Toc468260879"/>
      <w:bookmarkStart w:id="8597" w:name="_Toc468261010"/>
      <w:bookmarkStart w:id="8598" w:name="_Toc468261141"/>
      <w:bookmarkStart w:id="8599" w:name="_Toc468261272"/>
      <w:bookmarkStart w:id="8600" w:name="_Toc468261403"/>
      <w:bookmarkStart w:id="8601" w:name="_Toc468261534"/>
      <w:bookmarkStart w:id="8602" w:name="_Toc468266846"/>
      <w:bookmarkStart w:id="8603" w:name="_Toc468266974"/>
      <w:bookmarkStart w:id="8604" w:name="_Toc468267102"/>
      <w:bookmarkStart w:id="8605" w:name="_Toc468269513"/>
      <w:bookmarkStart w:id="8606" w:name="_Toc468279479"/>
      <w:bookmarkStart w:id="8607" w:name="_Toc468360331"/>
      <w:bookmarkStart w:id="8608" w:name="_Toc468361272"/>
      <w:bookmarkStart w:id="8609" w:name="_Toc468363502"/>
      <w:bookmarkStart w:id="8610" w:name="_Toc468366329"/>
      <w:bookmarkStart w:id="8611" w:name="_Toc468428419"/>
      <w:bookmarkStart w:id="8612" w:name="_Toc468691815"/>
      <w:bookmarkStart w:id="8613" w:name="_Toc468691942"/>
      <w:bookmarkStart w:id="8614" w:name="_Toc468692069"/>
      <w:bookmarkStart w:id="8615" w:name="_Toc468694023"/>
      <w:bookmarkStart w:id="8616" w:name="_Toc468712718"/>
      <w:bookmarkStart w:id="8617" w:name="_Toc468712846"/>
      <w:bookmarkStart w:id="8618" w:name="_Toc468712973"/>
      <w:bookmarkStart w:id="8619" w:name="_Toc468713100"/>
      <w:bookmarkStart w:id="8620" w:name="_Toc468713227"/>
      <w:bookmarkStart w:id="8621" w:name="_Toc468713354"/>
      <w:bookmarkStart w:id="8622" w:name="_Toc468713481"/>
      <w:bookmarkStart w:id="8623" w:name="_Toc468713608"/>
      <w:bookmarkStart w:id="8624" w:name="_Toc468713861"/>
      <w:bookmarkStart w:id="8625" w:name="_Toc468713988"/>
      <w:bookmarkStart w:id="8626" w:name="_Toc468714115"/>
      <w:bookmarkStart w:id="8627" w:name="_Toc468787124"/>
      <w:bookmarkStart w:id="8628" w:name="_Toc468787442"/>
      <w:bookmarkStart w:id="8629" w:name="_Toc468787570"/>
      <w:bookmarkStart w:id="8630" w:name="_Toc468787698"/>
      <w:bookmarkStart w:id="8631" w:name="_Toc468787825"/>
      <w:bookmarkStart w:id="8632" w:name="_Toc468787952"/>
      <w:bookmarkStart w:id="8633" w:name="_Toc468788079"/>
      <w:bookmarkStart w:id="8634" w:name="_Toc468957759"/>
      <w:bookmarkStart w:id="8635" w:name="_Toc468957886"/>
      <w:bookmarkStart w:id="8636" w:name="_Toc468958013"/>
      <w:bookmarkStart w:id="8637" w:name="_Toc468958140"/>
      <w:bookmarkStart w:id="8638" w:name="_Toc468958267"/>
      <w:bookmarkStart w:id="8639" w:name="_Toc468958394"/>
      <w:bookmarkStart w:id="8640" w:name="_Toc468958521"/>
      <w:bookmarkStart w:id="8641" w:name="_Toc468958648"/>
      <w:bookmarkStart w:id="8642" w:name="_Toc468958775"/>
      <w:bookmarkStart w:id="8643" w:name="_Toc468958902"/>
      <w:bookmarkStart w:id="8644" w:name="_Toc468959029"/>
      <w:bookmarkStart w:id="8645" w:name="_Toc468959156"/>
      <w:bookmarkStart w:id="8646" w:name="_Toc468960657"/>
      <w:bookmarkStart w:id="8647" w:name="_Toc469035130"/>
      <w:bookmarkStart w:id="8648" w:name="_Toc469056840"/>
      <w:bookmarkStart w:id="8649" w:name="_Toc469321152"/>
      <w:bookmarkStart w:id="8650" w:name="_Toc469323881"/>
      <w:bookmarkStart w:id="8651" w:name="_Toc469324007"/>
      <w:bookmarkStart w:id="8652" w:name="_Toc469324558"/>
      <w:bookmarkStart w:id="8653" w:name="_Toc470695436"/>
      <w:bookmarkStart w:id="8654" w:name="_Toc470695589"/>
      <w:bookmarkStart w:id="8655" w:name="_Toc470697093"/>
      <w:bookmarkStart w:id="8656" w:name="_Toc470699977"/>
      <w:bookmarkStart w:id="8657" w:name="_Toc470762823"/>
      <w:bookmarkStart w:id="8658" w:name="_Toc471114641"/>
      <w:bookmarkStart w:id="8659" w:name="_Toc474393057"/>
      <w:bookmarkStart w:id="8660" w:name="_Toc474497948"/>
      <w:bookmarkStart w:id="8661" w:name="_Toc474498707"/>
      <w:bookmarkStart w:id="8662" w:name="_Toc474844566"/>
      <w:bookmarkStart w:id="8663" w:name="_Toc474844693"/>
      <w:bookmarkStart w:id="8664" w:name="_Toc474919963"/>
      <w:bookmarkStart w:id="8665" w:name="_Toc474924972"/>
      <w:bookmarkEnd w:id="8541"/>
      <w:bookmarkEnd w:id="8542"/>
      <w:bookmarkEnd w:id="8543"/>
      <w:bookmarkEnd w:id="8544"/>
      <w:bookmarkEnd w:id="8545"/>
      <w:bookmarkEnd w:id="8546"/>
      <w:bookmarkEnd w:id="8547"/>
      <w:bookmarkEnd w:id="8548"/>
      <w:bookmarkEnd w:id="8549"/>
      <w:bookmarkEnd w:id="8550"/>
      <w:bookmarkEnd w:id="8551"/>
      <w:bookmarkEnd w:id="8552"/>
      <w:bookmarkEnd w:id="8553"/>
      <w:bookmarkEnd w:id="8554"/>
      <w:bookmarkEnd w:id="8555"/>
      <w:bookmarkEnd w:id="8556"/>
      <w:bookmarkEnd w:id="8557"/>
      <w:bookmarkEnd w:id="8558"/>
      <w:bookmarkEnd w:id="8559"/>
      <w:bookmarkEnd w:id="8560"/>
      <w:bookmarkEnd w:id="8561"/>
      <w:bookmarkEnd w:id="8562"/>
      <w:bookmarkEnd w:id="8563"/>
      <w:bookmarkEnd w:id="8564"/>
      <w:bookmarkEnd w:id="8565"/>
      <w:bookmarkEnd w:id="8566"/>
      <w:bookmarkEnd w:id="8567"/>
      <w:bookmarkEnd w:id="8568"/>
      <w:bookmarkEnd w:id="8569"/>
      <w:bookmarkEnd w:id="8570"/>
      <w:bookmarkEnd w:id="8571"/>
      <w:bookmarkEnd w:id="8572"/>
      <w:bookmarkEnd w:id="8573"/>
      <w:bookmarkEnd w:id="8574"/>
      <w:bookmarkEnd w:id="8575"/>
      <w:bookmarkEnd w:id="8576"/>
      <w:bookmarkEnd w:id="8577"/>
      <w:bookmarkEnd w:id="8578"/>
      <w:bookmarkEnd w:id="8579"/>
      <w:bookmarkEnd w:id="8580"/>
      <w:bookmarkEnd w:id="8581"/>
      <w:bookmarkEnd w:id="8582"/>
      <w:bookmarkEnd w:id="8583"/>
      <w:bookmarkEnd w:id="8584"/>
      <w:bookmarkEnd w:id="8585"/>
      <w:bookmarkEnd w:id="8586"/>
      <w:bookmarkEnd w:id="8587"/>
      <w:bookmarkEnd w:id="8588"/>
      <w:bookmarkEnd w:id="8589"/>
      <w:bookmarkEnd w:id="8590"/>
      <w:bookmarkEnd w:id="8591"/>
      <w:bookmarkEnd w:id="8592"/>
      <w:bookmarkEnd w:id="8593"/>
      <w:bookmarkEnd w:id="8594"/>
      <w:bookmarkEnd w:id="8595"/>
      <w:bookmarkEnd w:id="8596"/>
      <w:bookmarkEnd w:id="8597"/>
      <w:bookmarkEnd w:id="8598"/>
      <w:bookmarkEnd w:id="8599"/>
      <w:bookmarkEnd w:id="8600"/>
      <w:bookmarkEnd w:id="8601"/>
      <w:bookmarkEnd w:id="8602"/>
      <w:bookmarkEnd w:id="8603"/>
      <w:bookmarkEnd w:id="8604"/>
      <w:bookmarkEnd w:id="8605"/>
      <w:bookmarkEnd w:id="8606"/>
      <w:bookmarkEnd w:id="8607"/>
      <w:bookmarkEnd w:id="8608"/>
      <w:bookmarkEnd w:id="8609"/>
      <w:bookmarkEnd w:id="8610"/>
      <w:bookmarkEnd w:id="8611"/>
      <w:bookmarkEnd w:id="8612"/>
      <w:bookmarkEnd w:id="8613"/>
      <w:bookmarkEnd w:id="8614"/>
      <w:bookmarkEnd w:id="8615"/>
      <w:bookmarkEnd w:id="8616"/>
      <w:bookmarkEnd w:id="8617"/>
      <w:bookmarkEnd w:id="8618"/>
      <w:bookmarkEnd w:id="8619"/>
      <w:bookmarkEnd w:id="8620"/>
      <w:bookmarkEnd w:id="8621"/>
      <w:bookmarkEnd w:id="8622"/>
      <w:bookmarkEnd w:id="8623"/>
      <w:bookmarkEnd w:id="8624"/>
      <w:bookmarkEnd w:id="8625"/>
      <w:bookmarkEnd w:id="8626"/>
      <w:bookmarkEnd w:id="8627"/>
      <w:bookmarkEnd w:id="8628"/>
      <w:bookmarkEnd w:id="8629"/>
      <w:bookmarkEnd w:id="8630"/>
      <w:bookmarkEnd w:id="8631"/>
      <w:bookmarkEnd w:id="8632"/>
      <w:bookmarkEnd w:id="8633"/>
      <w:bookmarkEnd w:id="8634"/>
      <w:bookmarkEnd w:id="8635"/>
      <w:bookmarkEnd w:id="8636"/>
      <w:bookmarkEnd w:id="8637"/>
      <w:bookmarkEnd w:id="8638"/>
      <w:bookmarkEnd w:id="8639"/>
      <w:bookmarkEnd w:id="8640"/>
      <w:bookmarkEnd w:id="8641"/>
      <w:bookmarkEnd w:id="8642"/>
      <w:bookmarkEnd w:id="8643"/>
      <w:bookmarkEnd w:id="8644"/>
      <w:bookmarkEnd w:id="8645"/>
      <w:bookmarkEnd w:id="8646"/>
      <w:bookmarkEnd w:id="8647"/>
      <w:bookmarkEnd w:id="8648"/>
      <w:bookmarkEnd w:id="8649"/>
      <w:bookmarkEnd w:id="8650"/>
      <w:bookmarkEnd w:id="8651"/>
      <w:bookmarkEnd w:id="8652"/>
      <w:bookmarkEnd w:id="8653"/>
      <w:bookmarkEnd w:id="8654"/>
      <w:bookmarkEnd w:id="8655"/>
      <w:bookmarkEnd w:id="8656"/>
      <w:bookmarkEnd w:id="8657"/>
      <w:bookmarkEnd w:id="8658"/>
      <w:bookmarkEnd w:id="8659"/>
      <w:bookmarkEnd w:id="8660"/>
      <w:bookmarkEnd w:id="8661"/>
      <w:bookmarkEnd w:id="8662"/>
      <w:bookmarkEnd w:id="8663"/>
      <w:bookmarkEnd w:id="8664"/>
      <w:bookmarkEnd w:id="8665"/>
    </w:p>
    <w:p w:rsidR="00A83204" w:rsidRPr="00A83204" w:rsidRDefault="00A83204" w:rsidP="00141C15">
      <w:pPr>
        <w:pStyle w:val="Akapitzlist"/>
        <w:keepNext/>
        <w:numPr>
          <w:ilvl w:val="2"/>
          <w:numId w:val="225"/>
        </w:numPr>
        <w:spacing w:before="240" w:after="60" w:line="240" w:lineRule="auto"/>
        <w:outlineLvl w:val="2"/>
        <w:rPr>
          <w:rFonts w:eastAsia="Times New Roman" w:cs="Calibri"/>
          <w:b/>
          <w:bCs/>
          <w:vanish/>
          <w:color w:val="3366FF"/>
          <w:sz w:val="26"/>
          <w:szCs w:val="26"/>
          <w:lang w:eastAsia="pl-PL"/>
        </w:rPr>
      </w:pPr>
      <w:bookmarkStart w:id="8666" w:name="_Toc467665508"/>
      <w:bookmarkStart w:id="8667" w:name="_Toc467665662"/>
      <w:bookmarkStart w:id="8668" w:name="_Toc467669591"/>
      <w:bookmarkStart w:id="8669" w:name="_Toc467832096"/>
      <w:bookmarkStart w:id="8670" w:name="_Toc467832216"/>
      <w:bookmarkStart w:id="8671" w:name="_Toc467834921"/>
      <w:bookmarkStart w:id="8672" w:name="_Toc467843602"/>
      <w:bookmarkStart w:id="8673" w:name="_Toc467845588"/>
      <w:bookmarkStart w:id="8674" w:name="_Toc467847531"/>
      <w:bookmarkStart w:id="8675" w:name="_Toc467847653"/>
      <w:bookmarkStart w:id="8676" w:name="_Toc467847775"/>
      <w:bookmarkStart w:id="8677" w:name="_Toc467847899"/>
      <w:bookmarkStart w:id="8678" w:name="_Toc467848023"/>
      <w:bookmarkStart w:id="8679" w:name="_Toc467848147"/>
      <w:bookmarkStart w:id="8680" w:name="_Toc467848271"/>
      <w:bookmarkStart w:id="8681" w:name="_Toc467848395"/>
      <w:bookmarkStart w:id="8682" w:name="_Toc467848519"/>
      <w:bookmarkStart w:id="8683" w:name="_Toc468097993"/>
      <w:bookmarkStart w:id="8684" w:name="_Toc468098117"/>
      <w:bookmarkStart w:id="8685" w:name="_Toc468104784"/>
      <w:bookmarkStart w:id="8686" w:name="_Toc468104908"/>
      <w:bookmarkStart w:id="8687" w:name="_Toc468105034"/>
      <w:bookmarkStart w:id="8688" w:name="_Toc468105160"/>
      <w:bookmarkStart w:id="8689" w:name="_Toc468105286"/>
      <w:bookmarkStart w:id="8690" w:name="_Toc468105412"/>
      <w:bookmarkStart w:id="8691" w:name="_Toc468105896"/>
      <w:bookmarkStart w:id="8692" w:name="_Toc468106023"/>
      <w:bookmarkStart w:id="8693" w:name="_Toc468116317"/>
      <w:bookmarkStart w:id="8694" w:name="_Toc468178273"/>
      <w:bookmarkStart w:id="8695" w:name="_Toc468181567"/>
      <w:bookmarkStart w:id="8696" w:name="_Toc468181694"/>
      <w:bookmarkStart w:id="8697" w:name="_Toc468181823"/>
      <w:bookmarkStart w:id="8698" w:name="_Toc468181989"/>
      <w:bookmarkStart w:id="8699" w:name="_Toc468185930"/>
      <w:bookmarkStart w:id="8700" w:name="_Toc468190862"/>
      <w:bookmarkStart w:id="8701" w:name="_Toc468190988"/>
      <w:bookmarkStart w:id="8702" w:name="_Toc468191480"/>
      <w:bookmarkStart w:id="8703" w:name="_Toc468258151"/>
      <w:bookmarkStart w:id="8704" w:name="_Toc468258382"/>
      <w:bookmarkStart w:id="8705" w:name="_Toc468258676"/>
      <w:bookmarkStart w:id="8706" w:name="_Toc468258806"/>
      <w:bookmarkStart w:id="8707" w:name="_Toc468258939"/>
      <w:bookmarkStart w:id="8708" w:name="_Toc468259069"/>
      <w:bookmarkStart w:id="8709" w:name="_Toc468259198"/>
      <w:bookmarkStart w:id="8710" w:name="_Toc468259327"/>
      <w:bookmarkStart w:id="8711" w:name="_Toc468259584"/>
      <w:bookmarkStart w:id="8712" w:name="_Toc468259716"/>
      <w:bookmarkStart w:id="8713" w:name="_Toc468259846"/>
      <w:bookmarkStart w:id="8714" w:name="_Toc468259976"/>
      <w:bookmarkStart w:id="8715" w:name="_Toc468260106"/>
      <w:bookmarkStart w:id="8716" w:name="_Toc468260235"/>
      <w:bookmarkStart w:id="8717" w:name="_Toc468260364"/>
      <w:bookmarkStart w:id="8718" w:name="_Toc468260493"/>
      <w:bookmarkStart w:id="8719" w:name="_Toc468260622"/>
      <w:bookmarkStart w:id="8720" w:name="_Toc468260751"/>
      <w:bookmarkStart w:id="8721" w:name="_Toc468260880"/>
      <w:bookmarkStart w:id="8722" w:name="_Toc468261011"/>
      <w:bookmarkStart w:id="8723" w:name="_Toc468261142"/>
      <w:bookmarkStart w:id="8724" w:name="_Toc468261273"/>
      <w:bookmarkStart w:id="8725" w:name="_Toc468261404"/>
      <w:bookmarkStart w:id="8726" w:name="_Toc468261535"/>
      <w:bookmarkStart w:id="8727" w:name="_Toc468266847"/>
      <w:bookmarkStart w:id="8728" w:name="_Toc468266975"/>
      <w:bookmarkStart w:id="8729" w:name="_Toc468267103"/>
      <w:bookmarkStart w:id="8730" w:name="_Toc468269514"/>
      <w:bookmarkStart w:id="8731" w:name="_Toc468279480"/>
      <w:bookmarkStart w:id="8732" w:name="_Toc468360332"/>
      <w:bookmarkStart w:id="8733" w:name="_Toc468361273"/>
      <w:bookmarkStart w:id="8734" w:name="_Toc468363503"/>
      <w:bookmarkStart w:id="8735" w:name="_Toc468366330"/>
      <w:bookmarkStart w:id="8736" w:name="_Toc468428420"/>
      <w:bookmarkStart w:id="8737" w:name="_Toc468691816"/>
      <w:bookmarkStart w:id="8738" w:name="_Toc468691943"/>
      <w:bookmarkStart w:id="8739" w:name="_Toc468692070"/>
      <w:bookmarkStart w:id="8740" w:name="_Toc468694024"/>
      <w:bookmarkStart w:id="8741" w:name="_Toc468712719"/>
      <w:bookmarkStart w:id="8742" w:name="_Toc468712847"/>
      <w:bookmarkStart w:id="8743" w:name="_Toc468712974"/>
      <w:bookmarkStart w:id="8744" w:name="_Toc468713101"/>
      <w:bookmarkStart w:id="8745" w:name="_Toc468713228"/>
      <w:bookmarkStart w:id="8746" w:name="_Toc468713355"/>
      <w:bookmarkStart w:id="8747" w:name="_Toc468713482"/>
      <w:bookmarkStart w:id="8748" w:name="_Toc468713609"/>
      <w:bookmarkStart w:id="8749" w:name="_Toc468713862"/>
      <w:bookmarkStart w:id="8750" w:name="_Toc468713989"/>
      <w:bookmarkStart w:id="8751" w:name="_Toc468714116"/>
      <w:bookmarkStart w:id="8752" w:name="_Toc468787125"/>
      <w:bookmarkStart w:id="8753" w:name="_Toc468787443"/>
      <w:bookmarkStart w:id="8754" w:name="_Toc468787571"/>
      <w:bookmarkStart w:id="8755" w:name="_Toc468787699"/>
      <w:bookmarkStart w:id="8756" w:name="_Toc468787826"/>
      <w:bookmarkStart w:id="8757" w:name="_Toc468787953"/>
      <w:bookmarkStart w:id="8758" w:name="_Toc468788080"/>
      <w:bookmarkStart w:id="8759" w:name="_Toc468957760"/>
      <w:bookmarkStart w:id="8760" w:name="_Toc468957887"/>
      <w:bookmarkStart w:id="8761" w:name="_Toc468958014"/>
      <w:bookmarkStart w:id="8762" w:name="_Toc468958141"/>
      <w:bookmarkStart w:id="8763" w:name="_Toc468958268"/>
      <w:bookmarkStart w:id="8764" w:name="_Toc468958395"/>
      <w:bookmarkStart w:id="8765" w:name="_Toc468958522"/>
      <w:bookmarkStart w:id="8766" w:name="_Toc468958649"/>
      <w:bookmarkStart w:id="8767" w:name="_Toc468958776"/>
      <w:bookmarkStart w:id="8768" w:name="_Toc468958903"/>
      <w:bookmarkStart w:id="8769" w:name="_Toc468959030"/>
      <w:bookmarkStart w:id="8770" w:name="_Toc468959157"/>
      <w:bookmarkStart w:id="8771" w:name="_Toc468960658"/>
      <w:bookmarkStart w:id="8772" w:name="_Toc469035131"/>
      <w:bookmarkStart w:id="8773" w:name="_Toc469056841"/>
      <w:bookmarkStart w:id="8774" w:name="_Toc469321153"/>
      <w:bookmarkStart w:id="8775" w:name="_Toc469323882"/>
      <w:bookmarkStart w:id="8776" w:name="_Toc469324008"/>
      <w:bookmarkStart w:id="8777" w:name="_Toc469324559"/>
      <w:bookmarkStart w:id="8778" w:name="_Toc470695437"/>
      <w:bookmarkStart w:id="8779" w:name="_Toc470695590"/>
      <w:bookmarkStart w:id="8780" w:name="_Toc470697094"/>
      <w:bookmarkStart w:id="8781" w:name="_Toc470699978"/>
      <w:bookmarkStart w:id="8782" w:name="_Toc470762824"/>
      <w:bookmarkStart w:id="8783" w:name="_Toc471114642"/>
      <w:bookmarkStart w:id="8784" w:name="_Toc474393058"/>
      <w:bookmarkStart w:id="8785" w:name="_Toc474497949"/>
      <w:bookmarkStart w:id="8786" w:name="_Toc474498708"/>
      <w:bookmarkStart w:id="8787" w:name="_Toc474844567"/>
      <w:bookmarkStart w:id="8788" w:name="_Toc474844694"/>
      <w:bookmarkStart w:id="8789" w:name="_Toc474919964"/>
      <w:bookmarkStart w:id="8790" w:name="_Toc474924973"/>
      <w:bookmarkEnd w:id="8666"/>
      <w:bookmarkEnd w:id="8667"/>
      <w:bookmarkEnd w:id="8668"/>
      <w:bookmarkEnd w:id="8669"/>
      <w:bookmarkEnd w:id="8670"/>
      <w:bookmarkEnd w:id="8671"/>
      <w:bookmarkEnd w:id="8672"/>
      <w:bookmarkEnd w:id="8673"/>
      <w:bookmarkEnd w:id="8674"/>
      <w:bookmarkEnd w:id="8675"/>
      <w:bookmarkEnd w:id="8676"/>
      <w:bookmarkEnd w:id="8677"/>
      <w:bookmarkEnd w:id="8678"/>
      <w:bookmarkEnd w:id="8679"/>
      <w:bookmarkEnd w:id="8680"/>
      <w:bookmarkEnd w:id="8681"/>
      <w:bookmarkEnd w:id="8682"/>
      <w:bookmarkEnd w:id="8683"/>
      <w:bookmarkEnd w:id="8684"/>
      <w:bookmarkEnd w:id="8685"/>
      <w:bookmarkEnd w:id="8686"/>
      <w:bookmarkEnd w:id="8687"/>
      <w:bookmarkEnd w:id="8688"/>
      <w:bookmarkEnd w:id="8689"/>
      <w:bookmarkEnd w:id="8690"/>
      <w:bookmarkEnd w:id="8691"/>
      <w:bookmarkEnd w:id="8692"/>
      <w:bookmarkEnd w:id="8693"/>
      <w:bookmarkEnd w:id="8694"/>
      <w:bookmarkEnd w:id="8695"/>
      <w:bookmarkEnd w:id="8696"/>
      <w:bookmarkEnd w:id="8697"/>
      <w:bookmarkEnd w:id="8698"/>
      <w:bookmarkEnd w:id="8699"/>
      <w:bookmarkEnd w:id="8700"/>
      <w:bookmarkEnd w:id="8701"/>
      <w:bookmarkEnd w:id="8702"/>
      <w:bookmarkEnd w:id="8703"/>
      <w:bookmarkEnd w:id="8704"/>
      <w:bookmarkEnd w:id="8705"/>
      <w:bookmarkEnd w:id="8706"/>
      <w:bookmarkEnd w:id="8707"/>
      <w:bookmarkEnd w:id="8708"/>
      <w:bookmarkEnd w:id="8709"/>
      <w:bookmarkEnd w:id="8710"/>
      <w:bookmarkEnd w:id="8711"/>
      <w:bookmarkEnd w:id="8712"/>
      <w:bookmarkEnd w:id="8713"/>
      <w:bookmarkEnd w:id="8714"/>
      <w:bookmarkEnd w:id="8715"/>
      <w:bookmarkEnd w:id="8716"/>
      <w:bookmarkEnd w:id="8717"/>
      <w:bookmarkEnd w:id="8718"/>
      <w:bookmarkEnd w:id="8719"/>
      <w:bookmarkEnd w:id="8720"/>
      <w:bookmarkEnd w:id="8721"/>
      <w:bookmarkEnd w:id="8722"/>
      <w:bookmarkEnd w:id="8723"/>
      <w:bookmarkEnd w:id="8724"/>
      <w:bookmarkEnd w:id="8725"/>
      <w:bookmarkEnd w:id="8726"/>
      <w:bookmarkEnd w:id="8727"/>
      <w:bookmarkEnd w:id="8728"/>
      <w:bookmarkEnd w:id="8729"/>
      <w:bookmarkEnd w:id="8730"/>
      <w:bookmarkEnd w:id="8731"/>
      <w:bookmarkEnd w:id="8732"/>
      <w:bookmarkEnd w:id="8733"/>
      <w:bookmarkEnd w:id="8734"/>
      <w:bookmarkEnd w:id="8735"/>
      <w:bookmarkEnd w:id="8736"/>
      <w:bookmarkEnd w:id="8737"/>
      <w:bookmarkEnd w:id="8738"/>
      <w:bookmarkEnd w:id="8739"/>
      <w:bookmarkEnd w:id="8740"/>
      <w:bookmarkEnd w:id="8741"/>
      <w:bookmarkEnd w:id="8742"/>
      <w:bookmarkEnd w:id="8743"/>
      <w:bookmarkEnd w:id="8744"/>
      <w:bookmarkEnd w:id="8745"/>
      <w:bookmarkEnd w:id="8746"/>
      <w:bookmarkEnd w:id="8747"/>
      <w:bookmarkEnd w:id="8748"/>
      <w:bookmarkEnd w:id="8749"/>
      <w:bookmarkEnd w:id="8750"/>
      <w:bookmarkEnd w:id="8751"/>
      <w:bookmarkEnd w:id="8752"/>
      <w:bookmarkEnd w:id="8753"/>
      <w:bookmarkEnd w:id="8754"/>
      <w:bookmarkEnd w:id="8755"/>
      <w:bookmarkEnd w:id="8756"/>
      <w:bookmarkEnd w:id="8757"/>
      <w:bookmarkEnd w:id="8758"/>
      <w:bookmarkEnd w:id="8759"/>
      <w:bookmarkEnd w:id="8760"/>
      <w:bookmarkEnd w:id="8761"/>
      <w:bookmarkEnd w:id="8762"/>
      <w:bookmarkEnd w:id="8763"/>
      <w:bookmarkEnd w:id="8764"/>
      <w:bookmarkEnd w:id="8765"/>
      <w:bookmarkEnd w:id="8766"/>
      <w:bookmarkEnd w:id="8767"/>
      <w:bookmarkEnd w:id="8768"/>
      <w:bookmarkEnd w:id="8769"/>
      <w:bookmarkEnd w:id="8770"/>
      <w:bookmarkEnd w:id="8771"/>
      <w:bookmarkEnd w:id="8772"/>
      <w:bookmarkEnd w:id="8773"/>
      <w:bookmarkEnd w:id="8774"/>
      <w:bookmarkEnd w:id="8775"/>
      <w:bookmarkEnd w:id="8776"/>
      <w:bookmarkEnd w:id="8777"/>
      <w:bookmarkEnd w:id="8778"/>
      <w:bookmarkEnd w:id="8779"/>
      <w:bookmarkEnd w:id="8780"/>
      <w:bookmarkEnd w:id="8781"/>
      <w:bookmarkEnd w:id="8782"/>
      <w:bookmarkEnd w:id="8783"/>
      <w:bookmarkEnd w:id="8784"/>
      <w:bookmarkEnd w:id="8785"/>
      <w:bookmarkEnd w:id="8786"/>
      <w:bookmarkEnd w:id="8787"/>
      <w:bookmarkEnd w:id="8788"/>
      <w:bookmarkEnd w:id="8789"/>
      <w:bookmarkEnd w:id="8790"/>
    </w:p>
    <w:p w:rsidR="000C70A4" w:rsidRPr="0045431A" w:rsidRDefault="000C70A4" w:rsidP="00C90E3B">
      <w:pPr>
        <w:pStyle w:val="Nagwek3"/>
        <w:numPr>
          <w:ilvl w:val="2"/>
          <w:numId w:val="184"/>
        </w:numPr>
        <w:spacing w:before="0"/>
      </w:pPr>
      <w:bookmarkStart w:id="8791" w:name="_Toc460186196"/>
      <w:bookmarkStart w:id="8792" w:name="_Toc460313325"/>
      <w:bookmarkStart w:id="8793" w:name="_Toc474924974"/>
      <w:bookmarkEnd w:id="8540"/>
      <w:r w:rsidRPr="0045431A">
        <w:t>Charakterystyka pozostałych przedsięwzięć rewitalizacyjnych</w:t>
      </w:r>
      <w:bookmarkEnd w:id="8791"/>
      <w:bookmarkEnd w:id="8792"/>
      <w:bookmarkEnd w:id="8793"/>
    </w:p>
    <w:p w:rsidR="000645E4" w:rsidRDefault="000645E4" w:rsidP="000645E4">
      <w:pPr>
        <w:jc w:val="both"/>
        <w:rPr>
          <w:rFonts w:ascii="Calibri" w:hAnsi="Calibri"/>
          <w:szCs w:val="20"/>
        </w:rPr>
      </w:pPr>
    </w:p>
    <w:p w:rsidR="00067C16" w:rsidRDefault="00067C16" w:rsidP="00067C16">
      <w:pPr>
        <w:pStyle w:val="Tekstpodstawowy"/>
        <w:spacing w:after="0"/>
        <w:ind w:firstLine="567"/>
        <w:jc w:val="both"/>
        <w:rPr>
          <w:rFonts w:ascii="Calibri" w:hAnsi="Calibri"/>
          <w:szCs w:val="20"/>
        </w:rPr>
      </w:pPr>
      <w:r>
        <w:rPr>
          <w:rFonts w:ascii="Calibri" w:hAnsi="Calibri"/>
          <w:szCs w:val="20"/>
        </w:rPr>
        <w:t>Równocześnie obok projektów podstawowych zidentyfikowano typy pozostałych dopuszczalnych przedsięwzięć rewitalizacyjnych, tj. takich, które ze względu na mniejszą skalę oddziaływania trudno przedstawić w formie skonkretyzowanych projektów, a które mają przyczynić się do realizacji kierunków działań wskazanych w niniejszym programie. Przedsięwzięcia te wynikają z przeprowadzonych konsultacji społecznych w podobszarach rewitalizacji</w:t>
      </w:r>
      <w:r w:rsidR="009030DB">
        <w:rPr>
          <w:rFonts w:ascii="Calibri" w:hAnsi="Calibri"/>
          <w:szCs w:val="20"/>
        </w:rPr>
        <w:t>,</w:t>
      </w:r>
      <w:r>
        <w:rPr>
          <w:rFonts w:ascii="Calibri" w:hAnsi="Calibri"/>
          <w:szCs w:val="20"/>
        </w:rPr>
        <w:t xml:space="preserve"> czyli z rzeczywistych potrzeb mieszkańców, a także odpowiadają na problemy przedstawione w diagnozie. Na podstawie przeprowadzonych konsultacji społecznych stwierdzono, że potrzeby mieszkańców oraz przedstawione propozycje projektów powtarzają się lub są podobne, dlatego też listę przedsięwzięć rewitalizacyjnych pozostałych przedstawiono dla wszystkich podobszarów zbiorczo. Nie podano dla nich szczegółowych informacji, w tym wartości. Będą mogły być doprecyzowane, a następnie realizowane w przypadku zapewnienia prywatnych źródeł finansowania, pojawiania się dodatkowych środków finansowych własnych lub z różnych źródeł zewnętrznych, bądź oszczędności w środkach przeznaczonych na finansowanie przedsięwzięć podstawowych. </w:t>
      </w:r>
    </w:p>
    <w:p w:rsidR="00EC092F" w:rsidRDefault="00067C16" w:rsidP="00D05D05">
      <w:pPr>
        <w:pStyle w:val="Tekstpodstawowy"/>
        <w:spacing w:after="0"/>
        <w:ind w:firstLine="567"/>
        <w:jc w:val="both"/>
        <w:rPr>
          <w:rFonts w:ascii="Calibri" w:hAnsi="Calibri"/>
          <w:szCs w:val="20"/>
        </w:rPr>
      </w:pPr>
      <w:r>
        <w:rPr>
          <w:rFonts w:ascii="Calibri" w:hAnsi="Calibri"/>
          <w:szCs w:val="20"/>
        </w:rPr>
        <w:t>Pozostałe przedsięwzięcia rewitalizacyjne mogą mieć formę projektów, ale także działań rozumianych jako interwencje nieprojektowe (np. stosowanie polityki czynszowej, klauzul społecznych w zamówieniach publicznych), które miasto będzie realizować w celu rozwiązywani</w:t>
      </w:r>
      <w:r w:rsidR="001E0467">
        <w:rPr>
          <w:rFonts w:ascii="Calibri" w:hAnsi="Calibri"/>
          <w:szCs w:val="20"/>
        </w:rPr>
        <w:t>a</w:t>
      </w:r>
      <w:r>
        <w:rPr>
          <w:rFonts w:ascii="Calibri" w:hAnsi="Calibri"/>
          <w:szCs w:val="20"/>
        </w:rPr>
        <w:t xml:space="preserve"> problemów zidentyfikowanych w diagnozie obszarów rewitalizacji. </w:t>
      </w:r>
    </w:p>
    <w:p w:rsidR="00E14D2A" w:rsidRPr="00273B97" w:rsidRDefault="005B3B98" w:rsidP="009C1D86">
      <w:pPr>
        <w:pStyle w:val="Tekstpodstawowy"/>
        <w:shd w:val="clear" w:color="auto" w:fill="F2F2F2" w:themeFill="background1" w:themeFillShade="F2"/>
        <w:spacing w:after="0"/>
        <w:ind w:firstLine="567"/>
        <w:jc w:val="both"/>
        <w:rPr>
          <w:rFonts w:ascii="Calibri" w:hAnsi="Calibri"/>
          <w:szCs w:val="20"/>
        </w:rPr>
      </w:pPr>
      <w:r w:rsidRPr="00273B97">
        <w:rPr>
          <w:rFonts w:ascii="Calibri" w:hAnsi="Calibri"/>
          <w:szCs w:val="20"/>
        </w:rPr>
        <w:t>Dla</w:t>
      </w:r>
      <w:r w:rsidR="00E14D2A" w:rsidRPr="00273B97">
        <w:rPr>
          <w:rFonts w:ascii="Calibri" w:hAnsi="Calibri"/>
          <w:szCs w:val="20"/>
        </w:rPr>
        <w:t xml:space="preserve"> każdeg</w:t>
      </w:r>
      <w:r w:rsidR="00557E89" w:rsidRPr="00273B97">
        <w:rPr>
          <w:rFonts w:ascii="Calibri" w:hAnsi="Calibri"/>
          <w:szCs w:val="20"/>
        </w:rPr>
        <w:t xml:space="preserve">o z rodzajów </w:t>
      </w:r>
      <w:r w:rsidR="00E14D2A" w:rsidRPr="00273B97">
        <w:rPr>
          <w:rFonts w:ascii="Calibri" w:hAnsi="Calibri"/>
          <w:szCs w:val="20"/>
        </w:rPr>
        <w:t>przedsięwzięć</w:t>
      </w:r>
      <w:r w:rsidRPr="00273B97">
        <w:rPr>
          <w:rFonts w:ascii="Calibri" w:hAnsi="Calibri"/>
          <w:szCs w:val="20"/>
        </w:rPr>
        <w:t xml:space="preserve"> uzupełniających zidentyfikowano </w:t>
      </w:r>
      <w:r w:rsidR="00E14D2A" w:rsidRPr="00273B97">
        <w:rPr>
          <w:rFonts w:ascii="Calibri" w:hAnsi="Calibri"/>
          <w:szCs w:val="20"/>
        </w:rPr>
        <w:t xml:space="preserve">projekty </w:t>
      </w:r>
      <w:r w:rsidR="00557E89" w:rsidRPr="00273B97">
        <w:rPr>
          <w:rFonts w:ascii="Calibri" w:hAnsi="Calibri"/>
          <w:szCs w:val="20"/>
        </w:rPr>
        <w:t xml:space="preserve">obejmujące działania, wpisujące się w </w:t>
      </w:r>
      <w:r w:rsidR="001A4594" w:rsidRPr="00273B97">
        <w:rPr>
          <w:rFonts w:ascii="Calibri" w:hAnsi="Calibri"/>
          <w:szCs w:val="20"/>
        </w:rPr>
        <w:t xml:space="preserve">odpowiedni </w:t>
      </w:r>
      <w:r w:rsidR="00557E89" w:rsidRPr="00273B97">
        <w:rPr>
          <w:rFonts w:ascii="Calibri" w:hAnsi="Calibri"/>
          <w:szCs w:val="20"/>
        </w:rPr>
        <w:t>z</w:t>
      </w:r>
      <w:r w:rsidR="001A4594" w:rsidRPr="00273B97">
        <w:rPr>
          <w:rFonts w:ascii="Calibri" w:hAnsi="Calibri"/>
          <w:szCs w:val="20"/>
        </w:rPr>
        <w:t>akres interwencji</w:t>
      </w:r>
      <w:r w:rsidR="00557E89" w:rsidRPr="00273B97">
        <w:rPr>
          <w:rFonts w:ascii="Calibri" w:hAnsi="Calibri"/>
          <w:szCs w:val="20"/>
        </w:rPr>
        <w:t>. Projekty uzupełniające stanowią wynik analiz danych ilościowych pochodzących z różnych źródeł statystycznych oraz wskazań jakościowych wynikających z przeprowadzonych konsultacji i badań ankietowych w ramach procesu monitoringu „Gminnego Programu Rewital</w:t>
      </w:r>
      <w:r w:rsidRPr="00273B97">
        <w:rPr>
          <w:rFonts w:ascii="Calibri" w:hAnsi="Calibri"/>
          <w:szCs w:val="20"/>
        </w:rPr>
        <w:t>izacji. Bytom 2020+”</w:t>
      </w:r>
      <w:r w:rsidR="00557E89" w:rsidRPr="00273B97">
        <w:rPr>
          <w:rFonts w:ascii="Calibri" w:hAnsi="Calibri"/>
          <w:szCs w:val="20"/>
        </w:rPr>
        <w:t>. Analizy te pozwoliły na sformułowanie rekomendacji dla dalszego wdrażania działań i przedsięwzięć w obszarze rewitalizacji, które stały się przesłankami do przeprowadzenia</w:t>
      </w:r>
      <w:r w:rsidRPr="00273B97">
        <w:rPr>
          <w:rFonts w:ascii="Calibri" w:hAnsi="Calibri"/>
          <w:szCs w:val="20"/>
        </w:rPr>
        <w:t xml:space="preserve"> otwartych naborów propozycji przedsięwzięć rewitalizacyjnych. Pro</w:t>
      </w:r>
      <w:r w:rsidR="0038453F" w:rsidRPr="00273B97">
        <w:rPr>
          <w:rFonts w:ascii="Calibri" w:hAnsi="Calibri"/>
          <w:szCs w:val="20"/>
        </w:rPr>
        <w:t xml:space="preserve">jekty uzupełniające </w:t>
      </w:r>
      <w:r w:rsidR="00F16A70" w:rsidRPr="00273B97">
        <w:rPr>
          <w:rFonts w:ascii="Calibri" w:hAnsi="Calibri"/>
          <w:szCs w:val="20"/>
        </w:rPr>
        <w:t>tworzące</w:t>
      </w:r>
      <w:r w:rsidR="0038453F" w:rsidRPr="00273B97">
        <w:rPr>
          <w:rFonts w:ascii="Calibri" w:hAnsi="Calibri"/>
          <w:szCs w:val="20"/>
        </w:rPr>
        <w:t xml:space="preserve"> </w:t>
      </w:r>
      <w:r w:rsidR="00F16A70" w:rsidRPr="00273B97">
        <w:rPr>
          <w:rFonts w:ascii="Calibri" w:hAnsi="Calibri"/>
          <w:szCs w:val="20"/>
        </w:rPr>
        <w:t>„Listę</w:t>
      </w:r>
      <w:r w:rsidRPr="00273B97">
        <w:rPr>
          <w:rFonts w:ascii="Calibri" w:hAnsi="Calibri"/>
          <w:szCs w:val="20"/>
        </w:rPr>
        <w:t xml:space="preserve"> nowych przedsięwzięć wspierających uruchomienie mechanizmów rozwojowych i uzupełniających podstawowe przedsięwzięcia rewitalizacyjne</w:t>
      </w:r>
      <w:r w:rsidR="00F16A70" w:rsidRPr="00273B97">
        <w:rPr>
          <w:rFonts w:ascii="Calibri" w:hAnsi="Calibri"/>
          <w:szCs w:val="20"/>
        </w:rPr>
        <w:t>”</w:t>
      </w:r>
      <w:r w:rsidRPr="00273B97">
        <w:rPr>
          <w:rFonts w:ascii="Calibri" w:hAnsi="Calibri"/>
          <w:szCs w:val="20"/>
        </w:rPr>
        <w:t xml:space="preserve"> przyjęte zostały </w:t>
      </w:r>
      <w:r w:rsidR="00F16A70" w:rsidRPr="00273B97">
        <w:rPr>
          <w:rFonts w:ascii="Calibri" w:hAnsi="Calibri"/>
          <w:szCs w:val="20"/>
        </w:rPr>
        <w:t xml:space="preserve">w ramach </w:t>
      </w:r>
      <w:r w:rsidR="00557E89" w:rsidRPr="00273B97">
        <w:rPr>
          <w:rFonts w:ascii="Calibri" w:hAnsi="Calibri"/>
          <w:szCs w:val="20"/>
        </w:rPr>
        <w:t>a</w:t>
      </w:r>
      <w:r w:rsidR="00F16A70" w:rsidRPr="00273B97">
        <w:rPr>
          <w:rFonts w:ascii="Calibri" w:hAnsi="Calibri"/>
          <w:szCs w:val="20"/>
        </w:rPr>
        <w:t xml:space="preserve">ktualizacji programu </w:t>
      </w:r>
      <w:r w:rsidR="00557E89" w:rsidRPr="00273B97">
        <w:rPr>
          <w:rFonts w:ascii="Calibri" w:hAnsi="Calibri"/>
          <w:szCs w:val="20"/>
        </w:rPr>
        <w:t>następującymi uchwałami: uchwałą nr XVII/223/19 Rady Miejskiej w Bytomiu z dnia 23 września 2019 r., uchwałą nr XXVI/392/20 Rady Miejskiej w Bytomiu z dnia 23 marca 2020 r., uchwałą nr XLV/618/21 Rady Miejskiej z dnia 26 lipca 2021 r., oraz uchwałą nr LXXXIV/1059/23 Rady Miejskiej w Bytomiu z dnia 25 września 2023 r</w:t>
      </w:r>
      <w:r w:rsidR="00F16A70" w:rsidRPr="00273B97">
        <w:rPr>
          <w:rFonts w:ascii="Calibri" w:hAnsi="Calibri"/>
          <w:szCs w:val="20"/>
        </w:rPr>
        <w:t>.</w:t>
      </w:r>
      <w:r w:rsidRPr="00273B97">
        <w:rPr>
          <w:rFonts w:ascii="Calibri" w:hAnsi="Calibri"/>
          <w:szCs w:val="20"/>
        </w:rPr>
        <w:t xml:space="preserve"> </w:t>
      </w:r>
    </w:p>
    <w:p w:rsidR="00067C16" w:rsidRDefault="00067C16" w:rsidP="00557E89">
      <w:pPr>
        <w:pStyle w:val="Tekstpodstawowy"/>
        <w:spacing w:after="0"/>
        <w:ind w:firstLine="567"/>
        <w:jc w:val="both"/>
        <w:rPr>
          <w:rFonts w:ascii="Calibri" w:hAnsi="Calibri"/>
          <w:szCs w:val="20"/>
        </w:rPr>
      </w:pPr>
      <w:r>
        <w:rPr>
          <w:rFonts w:ascii="Calibri" w:hAnsi="Calibri"/>
          <w:szCs w:val="20"/>
        </w:rPr>
        <w:t xml:space="preserve">Co do zasady przedsięwzięcia rewitalizacyjne powinny być realizowane w obszarze rewitalizacji, jednocześnie zgodnie z ustawą o rewitalizacji dopuszcza się </w:t>
      </w:r>
      <w:r w:rsidR="0003120C">
        <w:rPr>
          <w:rFonts w:ascii="Calibri" w:hAnsi="Calibri"/>
          <w:szCs w:val="20"/>
        </w:rPr>
        <w:t xml:space="preserve">by przedsięwzięcia zamieszczone </w:t>
      </w:r>
      <w:r>
        <w:rPr>
          <w:rFonts w:ascii="Calibri" w:hAnsi="Calibri"/>
          <w:szCs w:val="20"/>
        </w:rPr>
        <w:t>w GPR były realizowane poza obszarem rewitalizacji, je</w:t>
      </w:r>
      <w:r w:rsidR="0003120C">
        <w:rPr>
          <w:rFonts w:ascii="Calibri" w:hAnsi="Calibri"/>
          <w:szCs w:val="20"/>
        </w:rPr>
        <w:t xml:space="preserve">żeli wynika to z ich specyfiki. </w:t>
      </w:r>
      <w:r>
        <w:rPr>
          <w:rFonts w:ascii="Calibri" w:hAnsi="Calibri"/>
          <w:szCs w:val="20"/>
        </w:rPr>
        <w:t xml:space="preserve">Takie przypadki będą szeroko uzasadniane i wskazana zostanie ich komplementarność z innymi działaniami rewitalizacyjnymi oraz efektywności oddziaływania takiego projektu. Dotyczyć to będzie zwłaszcza projektów w zakresie wsparcia zatrudnienia i zakładania działalności gospodarczej, jak i działań wspierających dostęp do usług społecznych </w:t>
      </w:r>
      <w:r>
        <w:rPr>
          <w:rFonts w:ascii="Calibri" w:hAnsi="Calibri"/>
          <w:szCs w:val="20"/>
        </w:rPr>
        <w:br/>
        <w:t>i zdrowotnych oraz działań w zakresie aktywnej integracji społeczno-zawodowej osób zagrożonych wykluczeniem społecznym lub ubóstwem, w których z uwagi na sposób organizacji tych usług i zapisy statutowe jednostek/podmiotów je świadczących niezasadnym byłoby ograniczenie dostępu jedynie osobom zamieszkującym obszar rewitalizowany. W związku z powyższym zakłada się możliwość realizacji przedsięwzięć rewitalizacyjnych, w których beneficjenci będą pochodzić z dowolnego obszaru miasta, ale</w:t>
      </w:r>
      <w:r w:rsidR="0003120C">
        <w:rPr>
          <w:rFonts w:ascii="Calibri" w:hAnsi="Calibri"/>
          <w:szCs w:val="20"/>
        </w:rPr>
        <w:t xml:space="preserve"> będą one powiązane </w:t>
      </w:r>
      <w:r w:rsidR="0003120C">
        <w:rPr>
          <w:rFonts w:ascii="Calibri" w:hAnsi="Calibri"/>
          <w:szCs w:val="20"/>
        </w:rPr>
        <w:br/>
        <w:t xml:space="preserve">z obszarem </w:t>
      </w:r>
      <w:r>
        <w:rPr>
          <w:rFonts w:ascii="Calibri" w:hAnsi="Calibri"/>
          <w:szCs w:val="20"/>
        </w:rPr>
        <w:t xml:space="preserve">rewitalizowanym, co zostanie szczegółowo uzasadnione zgodnie z powyższym, a powiązania te będą mogły przybierać m.in. formy: </w:t>
      </w:r>
    </w:p>
    <w:p w:rsidR="00145549" w:rsidRDefault="00067C16" w:rsidP="00457EA5">
      <w:pPr>
        <w:pStyle w:val="Tekstpodstawowy"/>
        <w:numPr>
          <w:ilvl w:val="0"/>
          <w:numId w:val="168"/>
        </w:numPr>
        <w:spacing w:after="0"/>
        <w:jc w:val="both"/>
        <w:rPr>
          <w:rFonts w:ascii="Calibri" w:hAnsi="Calibri"/>
          <w:szCs w:val="20"/>
        </w:rPr>
      </w:pPr>
      <w:r>
        <w:rPr>
          <w:rFonts w:ascii="Calibri" w:hAnsi="Calibri"/>
          <w:szCs w:val="20"/>
        </w:rPr>
        <w:t>projekt może być realizowany poza obszarem (tylko tam dostępny jest np. lokal) beneficjenci projektu będą mieszkańcami obszaru rewitalizacji lub osobami na nim przebywającymi (np. osoby bezdomne);</w:t>
      </w:r>
    </w:p>
    <w:p w:rsidR="00145549" w:rsidRPr="00EC092F" w:rsidRDefault="00067C16" w:rsidP="00D05D05">
      <w:pPr>
        <w:pStyle w:val="Tekstpodstawowy"/>
        <w:numPr>
          <w:ilvl w:val="0"/>
          <w:numId w:val="168"/>
        </w:numPr>
        <w:spacing w:after="0"/>
        <w:jc w:val="both"/>
        <w:rPr>
          <w:rFonts w:ascii="Calibri" w:hAnsi="Calibri"/>
          <w:szCs w:val="20"/>
        </w:rPr>
      </w:pPr>
      <w:r>
        <w:rPr>
          <w:rFonts w:ascii="Calibri" w:hAnsi="Calibri"/>
          <w:szCs w:val="20"/>
        </w:rPr>
        <w:t xml:space="preserve">projekt realizowany jest poza obszarem dla osób spoza obszaru rewitalizacji, ale osoby te będą miały wpływ na obszar rewitalizowany – np. będzie to szkolenie streetworkerów, doradców zawodowych, </w:t>
      </w:r>
      <w:r w:rsidRPr="00EC092F">
        <w:rPr>
          <w:rFonts w:ascii="Calibri" w:hAnsi="Calibri"/>
          <w:szCs w:val="20"/>
        </w:rPr>
        <w:t xml:space="preserve">którzy po udziale w projekcie będą pracować w obszarze rewitalizacji.  </w:t>
      </w:r>
    </w:p>
    <w:p w:rsidR="00067C16" w:rsidRDefault="00067C16" w:rsidP="00E2020B">
      <w:pPr>
        <w:pStyle w:val="Tekstpodstawowywcity"/>
        <w:spacing w:after="0"/>
        <w:ind w:left="0"/>
        <w:jc w:val="both"/>
        <w:rPr>
          <w:szCs w:val="20"/>
        </w:rPr>
      </w:pPr>
      <w:r w:rsidRPr="00EC092F">
        <w:rPr>
          <w:szCs w:val="20"/>
        </w:rPr>
        <w:t>Tak szeroki - jak poniżej przedstawiony - zakres przedsięwzięć uzupełniających zastosowany został m.in. celem</w:t>
      </w:r>
      <w:r w:rsidRPr="00067C16">
        <w:rPr>
          <w:szCs w:val="20"/>
        </w:rPr>
        <w:t xml:space="preserve"> jak najpełniejszego uwzględnienia wyników konsultacji społecznych oraz propozycji przedsięwzięć zgłaszanych przez różnych interesariuszy, a także ze względu na fakt, że interesariusze będą pozyskiwać dofinansowanie dla projektów z różnych (nie tylko unijnych) źródeł, gdzie wymagane jest wpisywanie się projektu w kierunki gminnych dokumentów strategicznych bądź operacyjnych.  </w:t>
      </w:r>
    </w:p>
    <w:p w:rsidR="003058C8" w:rsidRDefault="003058C8" w:rsidP="00067C16">
      <w:pPr>
        <w:jc w:val="both"/>
        <w:rPr>
          <w:rFonts w:ascii="Calibri" w:hAnsi="Calibri"/>
          <w:szCs w:val="20"/>
        </w:rPr>
      </w:pPr>
    </w:p>
    <w:p w:rsidR="00067C16" w:rsidRDefault="00067C16" w:rsidP="00067C16">
      <w:pPr>
        <w:jc w:val="both"/>
        <w:rPr>
          <w:rFonts w:ascii="Calibri" w:hAnsi="Calibri"/>
          <w:szCs w:val="20"/>
        </w:rPr>
      </w:pPr>
      <w:r>
        <w:rPr>
          <w:rFonts w:ascii="Calibri" w:hAnsi="Calibri"/>
          <w:szCs w:val="20"/>
        </w:rPr>
        <w:t>W związku z powyższym zidentyfikowano możliwość realizacji następujących przedsięwzięć uzupełniających:</w:t>
      </w:r>
    </w:p>
    <w:p w:rsidR="00D05D05" w:rsidRDefault="00D05D05" w:rsidP="00067C16">
      <w:pPr>
        <w:jc w:val="both"/>
        <w:rPr>
          <w:rFonts w:ascii="Calibri" w:hAnsi="Calibri"/>
          <w:szCs w:val="20"/>
        </w:rPr>
      </w:pPr>
    </w:p>
    <w:p w:rsidR="00067C16" w:rsidRDefault="00067C16" w:rsidP="00067C16">
      <w:pPr>
        <w:numPr>
          <w:ilvl w:val="0"/>
          <w:numId w:val="86"/>
        </w:numPr>
        <w:jc w:val="both"/>
        <w:rPr>
          <w:rFonts w:ascii="Calibri" w:hAnsi="Calibri"/>
          <w:b/>
          <w:bCs/>
          <w:szCs w:val="20"/>
        </w:rPr>
      </w:pPr>
      <w:r>
        <w:rPr>
          <w:rFonts w:ascii="Calibri" w:hAnsi="Calibri"/>
          <w:b/>
          <w:bCs/>
          <w:szCs w:val="20"/>
        </w:rPr>
        <w:t xml:space="preserve">Przedsięwzięcia na rzecz rozwoju działalności gospodarczej i tworzenia nowych miejsc pracy </w:t>
      </w:r>
      <w:r>
        <w:rPr>
          <w:rFonts w:ascii="Calibri" w:hAnsi="Calibri"/>
          <w:szCs w:val="20"/>
        </w:rPr>
        <w:t>obejmujące m.in.:</w:t>
      </w:r>
    </w:p>
    <w:p w:rsidR="00067C16" w:rsidRDefault="00067C16" w:rsidP="00067C16">
      <w:pPr>
        <w:numPr>
          <w:ilvl w:val="0"/>
          <w:numId w:val="13"/>
        </w:numPr>
        <w:ind w:left="1077" w:hanging="357"/>
        <w:jc w:val="both"/>
        <w:rPr>
          <w:rFonts w:ascii="Calibri" w:hAnsi="Calibri"/>
          <w:szCs w:val="20"/>
        </w:rPr>
      </w:pPr>
      <w:r>
        <w:rPr>
          <w:rFonts w:ascii="Calibri" w:hAnsi="Calibri"/>
          <w:szCs w:val="20"/>
        </w:rPr>
        <w:t xml:space="preserve">adaptację lokali na parterach budynków, niezagospodarowanych budynków i obiektów, terenów poprzemysłowych na działalność gospodarczą, a także kulturalną, turystyczną i społeczną </w:t>
      </w:r>
      <w:r>
        <w:rPr>
          <w:rFonts w:ascii="Calibri" w:hAnsi="Calibri"/>
          <w:szCs w:val="20"/>
        </w:rPr>
        <w:br/>
        <w:t>w szczególności usługi dla mieszkańców,</w:t>
      </w:r>
    </w:p>
    <w:p w:rsidR="00067C16" w:rsidRDefault="00067C16" w:rsidP="00067C16">
      <w:pPr>
        <w:numPr>
          <w:ilvl w:val="0"/>
          <w:numId w:val="13"/>
        </w:numPr>
        <w:ind w:left="1077" w:hanging="357"/>
        <w:jc w:val="both"/>
        <w:rPr>
          <w:rFonts w:ascii="Calibri" w:hAnsi="Calibri"/>
          <w:szCs w:val="20"/>
        </w:rPr>
      </w:pPr>
      <w:r>
        <w:rPr>
          <w:rFonts w:ascii="Calibri" w:hAnsi="Calibri"/>
          <w:szCs w:val="20"/>
        </w:rPr>
        <w:t>przygotowanie terenów pod inwestycje (w szczególności na obszarach poprzemysłowych),</w:t>
      </w:r>
    </w:p>
    <w:p w:rsidR="00067C16" w:rsidRDefault="00067C16" w:rsidP="00067C16">
      <w:pPr>
        <w:numPr>
          <w:ilvl w:val="0"/>
          <w:numId w:val="13"/>
        </w:numPr>
        <w:ind w:left="1077" w:hanging="357"/>
        <w:jc w:val="both"/>
        <w:rPr>
          <w:rFonts w:ascii="Calibri" w:hAnsi="Calibri"/>
          <w:szCs w:val="20"/>
        </w:rPr>
      </w:pPr>
      <w:r>
        <w:rPr>
          <w:rFonts w:ascii="Calibri" w:hAnsi="Calibri"/>
          <w:szCs w:val="20"/>
        </w:rPr>
        <w:t xml:space="preserve">rozwój inkubatorów przedsiębiorczości m.in. dla nowoczesnych start-upów, </w:t>
      </w:r>
    </w:p>
    <w:p w:rsidR="00067C16" w:rsidRDefault="00067C16" w:rsidP="00067C16">
      <w:pPr>
        <w:numPr>
          <w:ilvl w:val="0"/>
          <w:numId w:val="13"/>
        </w:numPr>
        <w:ind w:left="1077" w:hanging="357"/>
        <w:jc w:val="both"/>
        <w:rPr>
          <w:rFonts w:ascii="Calibri" w:hAnsi="Calibri"/>
          <w:szCs w:val="20"/>
        </w:rPr>
      </w:pPr>
      <w:r>
        <w:rPr>
          <w:rFonts w:ascii="Calibri" w:hAnsi="Calibri"/>
          <w:szCs w:val="20"/>
        </w:rPr>
        <w:t>wsparcie finansowe (zwrotne jak i bezzwrotne) na rozpoczęcie działalności gospodarczej,</w:t>
      </w:r>
    </w:p>
    <w:p w:rsidR="00067C16" w:rsidRDefault="00067C16" w:rsidP="00067C16">
      <w:pPr>
        <w:numPr>
          <w:ilvl w:val="0"/>
          <w:numId w:val="13"/>
        </w:numPr>
        <w:ind w:left="1077" w:hanging="357"/>
        <w:jc w:val="both"/>
        <w:rPr>
          <w:rFonts w:ascii="Calibri" w:hAnsi="Calibri"/>
          <w:szCs w:val="20"/>
        </w:rPr>
      </w:pPr>
      <w:r>
        <w:rPr>
          <w:rFonts w:ascii="Calibri" w:hAnsi="Calibri"/>
          <w:szCs w:val="20"/>
        </w:rPr>
        <w:t xml:space="preserve">wsparcie szkoleniowo-doradcze (w tym programy edukacji zawodowej) dla osób planujących rozpoczęcie działalności gospodarczej, a także zmianę i podnoszenie kwalifikacji zawodowych zgodnie z potrzebami pracodawców,  </w:t>
      </w:r>
    </w:p>
    <w:p w:rsidR="00067C16" w:rsidRDefault="00067C16" w:rsidP="00067C16">
      <w:pPr>
        <w:numPr>
          <w:ilvl w:val="0"/>
          <w:numId w:val="13"/>
        </w:numPr>
        <w:ind w:left="1077" w:hanging="357"/>
        <w:jc w:val="both"/>
        <w:rPr>
          <w:rFonts w:ascii="Calibri" w:hAnsi="Calibri"/>
          <w:szCs w:val="20"/>
        </w:rPr>
      </w:pPr>
      <w:r>
        <w:rPr>
          <w:rFonts w:ascii="Calibri" w:hAnsi="Calibri"/>
          <w:szCs w:val="20"/>
        </w:rPr>
        <w:t>zapewnienie dostępu do zatrudnienia osobom poszukującym pracy i nieaktywnym zawodowo, w tym podejmowanie lokalnych inicjatyw na rzecz zatrudniania oraz wspierania mobilności pracowników,</w:t>
      </w:r>
    </w:p>
    <w:p w:rsidR="00067C16" w:rsidRDefault="00067C16" w:rsidP="00067C16">
      <w:pPr>
        <w:numPr>
          <w:ilvl w:val="0"/>
          <w:numId w:val="13"/>
        </w:numPr>
        <w:ind w:left="1077" w:hanging="357"/>
        <w:jc w:val="both"/>
        <w:rPr>
          <w:rFonts w:ascii="Calibri" w:hAnsi="Calibri"/>
          <w:szCs w:val="20"/>
        </w:rPr>
      </w:pPr>
      <w:r>
        <w:rPr>
          <w:rFonts w:ascii="Calibri" w:hAnsi="Calibri"/>
          <w:szCs w:val="20"/>
        </w:rPr>
        <w:t>wsparcie pomostowe oraz wsparcie typu outplacement dla pracowników zagrożonych zwolnieniem, przewidzianych do zwolnienia lub zwolnionych z przyczyn dotyczących zakładu pracy,</w:t>
      </w:r>
    </w:p>
    <w:p w:rsidR="00067C16" w:rsidRDefault="00067C16" w:rsidP="00067C16">
      <w:pPr>
        <w:numPr>
          <w:ilvl w:val="0"/>
          <w:numId w:val="13"/>
        </w:numPr>
        <w:ind w:left="1077" w:hanging="357"/>
        <w:jc w:val="both"/>
        <w:rPr>
          <w:rFonts w:ascii="Calibri" w:hAnsi="Calibri"/>
          <w:szCs w:val="20"/>
        </w:rPr>
      </w:pPr>
      <w:r>
        <w:rPr>
          <w:rFonts w:ascii="Calibri" w:hAnsi="Calibri"/>
          <w:szCs w:val="20"/>
        </w:rPr>
        <w:t>utworzenie stowarzyszenia lokalnych przedsiębiorców,</w:t>
      </w:r>
    </w:p>
    <w:p w:rsidR="00067C16" w:rsidRDefault="00067C16" w:rsidP="00067C16">
      <w:pPr>
        <w:numPr>
          <w:ilvl w:val="0"/>
          <w:numId w:val="13"/>
        </w:numPr>
        <w:ind w:left="1077" w:hanging="357"/>
        <w:jc w:val="both"/>
        <w:rPr>
          <w:rFonts w:ascii="Calibri" w:hAnsi="Calibri"/>
          <w:szCs w:val="20"/>
        </w:rPr>
      </w:pPr>
      <w:r>
        <w:rPr>
          <w:rFonts w:ascii="Calibri" w:hAnsi="Calibri"/>
          <w:szCs w:val="20"/>
        </w:rPr>
        <w:t xml:space="preserve">promowanie wśród lokalnych przedsiębiorców idei społecznej odpowiedzialności biznesu przejawiającej się w nawiązywaniu współpracy z nowotworzonymi firmami, a także wprowadzania na rynek pracy młodzieży z obszarów rewitalizacji, w szczególności z obszarów rewitalizacji, </w:t>
      </w:r>
    </w:p>
    <w:p w:rsidR="00067C16" w:rsidRDefault="00067C16" w:rsidP="00067C16">
      <w:pPr>
        <w:numPr>
          <w:ilvl w:val="0"/>
          <w:numId w:val="13"/>
        </w:numPr>
        <w:ind w:left="1077" w:hanging="357"/>
        <w:jc w:val="both"/>
        <w:rPr>
          <w:rFonts w:ascii="Calibri" w:hAnsi="Calibri"/>
          <w:szCs w:val="20"/>
        </w:rPr>
      </w:pPr>
      <w:r>
        <w:rPr>
          <w:rFonts w:ascii="Calibri" w:hAnsi="Calibri"/>
          <w:szCs w:val="20"/>
        </w:rPr>
        <w:t>wdrażanie klauzul społecznych w zamówieniach miejskich na działania rewitalizacyjne.</w:t>
      </w:r>
    </w:p>
    <w:p w:rsidR="003058C8" w:rsidRDefault="003058C8" w:rsidP="00010EDC">
      <w:pPr>
        <w:jc w:val="both"/>
        <w:rPr>
          <w:rFonts w:ascii="Calibri" w:hAnsi="Calibri"/>
        </w:rPr>
      </w:pPr>
    </w:p>
    <w:p w:rsidR="0056205D" w:rsidRPr="00273B97" w:rsidRDefault="0056205D" w:rsidP="009C1D86">
      <w:pPr>
        <w:shd w:val="clear" w:color="auto" w:fill="F2F2F2" w:themeFill="background1" w:themeFillShade="F2"/>
        <w:jc w:val="both"/>
        <w:rPr>
          <w:rFonts w:ascii="Calibri" w:hAnsi="Calibri"/>
          <w:b/>
          <w:bCs/>
          <w:szCs w:val="20"/>
        </w:rPr>
      </w:pPr>
      <w:r w:rsidRPr="00273B97">
        <w:rPr>
          <w:rFonts w:ascii="Calibri" w:hAnsi="Calibri"/>
          <w:b/>
          <w:bCs/>
          <w:szCs w:val="20"/>
        </w:rPr>
        <w:t>Projekty na rzecz rozwoju działalności gospodarczej i tworzenia nowych miejsc pracy:</w:t>
      </w:r>
    </w:p>
    <w:p w:rsidR="0056205D" w:rsidRPr="00273B97" w:rsidRDefault="0056205D" w:rsidP="009C1D86">
      <w:pPr>
        <w:pStyle w:val="Akapitzlist"/>
        <w:numPr>
          <w:ilvl w:val="0"/>
          <w:numId w:val="736"/>
        </w:numPr>
        <w:shd w:val="clear" w:color="auto" w:fill="F2F2F2" w:themeFill="background1" w:themeFillShade="F2"/>
        <w:spacing w:after="0" w:line="252" w:lineRule="auto"/>
        <w:ind w:left="1066" w:hanging="357"/>
        <w:jc w:val="both"/>
        <w:rPr>
          <w:sz w:val="20"/>
          <w:szCs w:val="20"/>
        </w:rPr>
      </w:pPr>
      <w:r w:rsidRPr="00273B97">
        <w:rPr>
          <w:sz w:val="20"/>
          <w:szCs w:val="20"/>
        </w:rPr>
        <w:t xml:space="preserve">Zmiana sposobu użytkowania budynków przy ul. Wrocławskiej 6 oraz 6A </w:t>
      </w:r>
      <w:r w:rsidRPr="00273B97">
        <w:rPr>
          <w:sz w:val="20"/>
          <w:szCs w:val="20"/>
        </w:rPr>
        <w:br/>
        <w:t>w Bytomiu z przeznaczeniem na żłobek i przedszkole - Centrala Obrotu Towarami Masowymi DAW - BYTOM Tadeusz Bieniek,</w:t>
      </w:r>
    </w:p>
    <w:p w:rsidR="0056205D" w:rsidRPr="00273B97" w:rsidRDefault="0056205D" w:rsidP="009C1D86">
      <w:pPr>
        <w:pStyle w:val="Akapitzlist"/>
        <w:numPr>
          <w:ilvl w:val="0"/>
          <w:numId w:val="736"/>
        </w:numPr>
        <w:shd w:val="clear" w:color="auto" w:fill="F2F2F2" w:themeFill="background1" w:themeFillShade="F2"/>
        <w:spacing w:after="0" w:line="252" w:lineRule="auto"/>
        <w:ind w:left="1066" w:hanging="357"/>
        <w:jc w:val="both"/>
        <w:rPr>
          <w:sz w:val="20"/>
          <w:szCs w:val="20"/>
        </w:rPr>
      </w:pPr>
      <w:r w:rsidRPr="00273B97">
        <w:rPr>
          <w:sz w:val="20"/>
          <w:szCs w:val="20"/>
        </w:rPr>
        <w:t xml:space="preserve">Zmiana sposobu użytkowania zdegradowanego budynku przy ul. Batorego 2 </w:t>
      </w:r>
      <w:r w:rsidRPr="00273B97">
        <w:rPr>
          <w:sz w:val="20"/>
          <w:szCs w:val="20"/>
        </w:rPr>
        <w:br/>
        <w:t>z przeznaczeniem na lokale do krótkoterminowego pobytu - Centrala Obrotu Towarami Masowymi DAW - BYTOM Tadeusz Bieniek,</w:t>
      </w:r>
    </w:p>
    <w:p w:rsidR="004775CB" w:rsidRPr="00273B97" w:rsidRDefault="004775CB" w:rsidP="009C1D86">
      <w:pPr>
        <w:pStyle w:val="Akapitzlist"/>
        <w:numPr>
          <w:ilvl w:val="0"/>
          <w:numId w:val="736"/>
        </w:numPr>
        <w:shd w:val="clear" w:color="auto" w:fill="F2F2F2" w:themeFill="background1" w:themeFillShade="F2"/>
        <w:spacing w:after="0" w:line="252" w:lineRule="auto"/>
        <w:ind w:left="1066" w:hanging="357"/>
        <w:jc w:val="both"/>
        <w:rPr>
          <w:sz w:val="20"/>
          <w:szCs w:val="20"/>
        </w:rPr>
      </w:pPr>
      <w:r w:rsidRPr="00273B97">
        <w:rPr>
          <w:sz w:val="20"/>
          <w:szCs w:val="20"/>
        </w:rPr>
        <w:t>GIBKO CYLNONĆ CYJNA  czyli SZYBKI STRZAŁ W DZIESIATKĘ  – program wsparcia bytomskiej przedsiębiorczości – Miasto Bytom,</w:t>
      </w:r>
    </w:p>
    <w:p w:rsidR="004775CB" w:rsidRPr="00273B97" w:rsidRDefault="00C728F5" w:rsidP="009C1D86">
      <w:pPr>
        <w:pStyle w:val="Akapitzlist"/>
        <w:numPr>
          <w:ilvl w:val="0"/>
          <w:numId w:val="736"/>
        </w:numPr>
        <w:shd w:val="clear" w:color="auto" w:fill="F2F2F2" w:themeFill="background1" w:themeFillShade="F2"/>
        <w:spacing w:after="0" w:line="252" w:lineRule="auto"/>
        <w:ind w:left="1066" w:hanging="357"/>
        <w:jc w:val="both"/>
        <w:rPr>
          <w:sz w:val="20"/>
          <w:szCs w:val="20"/>
        </w:rPr>
      </w:pPr>
      <w:r w:rsidRPr="00273B97">
        <w:rPr>
          <w:sz w:val="20"/>
          <w:szCs w:val="20"/>
        </w:rPr>
        <w:t xml:space="preserve">Szyb Krystyna </w:t>
      </w:r>
      <w:r w:rsidR="00FA0A9C" w:rsidRPr="00273B97">
        <w:rPr>
          <w:sz w:val="20"/>
          <w:szCs w:val="20"/>
        </w:rPr>
        <w:t xml:space="preserve">- </w:t>
      </w:r>
      <w:r w:rsidRPr="00273B97">
        <w:rPr>
          <w:sz w:val="20"/>
          <w:szCs w:val="20"/>
        </w:rPr>
        <w:t>AGC Bytom Sp. z o.o.</w:t>
      </w:r>
      <w:r w:rsidR="00FA0A9C" w:rsidRPr="00273B97">
        <w:rPr>
          <w:sz w:val="20"/>
          <w:szCs w:val="20"/>
        </w:rPr>
        <w:t>,</w:t>
      </w:r>
    </w:p>
    <w:p w:rsidR="00C728F5" w:rsidRPr="00273B97" w:rsidRDefault="00C728F5" w:rsidP="009C1D86">
      <w:pPr>
        <w:pStyle w:val="Akapitzlist"/>
        <w:numPr>
          <w:ilvl w:val="0"/>
          <w:numId w:val="736"/>
        </w:numPr>
        <w:shd w:val="clear" w:color="auto" w:fill="F2F2F2" w:themeFill="background1" w:themeFillShade="F2"/>
        <w:spacing w:after="0" w:line="252" w:lineRule="auto"/>
        <w:ind w:left="1066" w:hanging="357"/>
        <w:jc w:val="both"/>
        <w:rPr>
          <w:sz w:val="20"/>
          <w:szCs w:val="20"/>
        </w:rPr>
      </w:pPr>
      <w:r w:rsidRPr="00273B97">
        <w:rPr>
          <w:sz w:val="20"/>
          <w:szCs w:val="20"/>
        </w:rPr>
        <w:t>GENERATOR 2 - kompleksowa rewitalizacja EC Szombierki wraz</w:t>
      </w:r>
      <w:r w:rsidR="00FA0A9C" w:rsidRPr="00273B97">
        <w:rPr>
          <w:sz w:val="20"/>
          <w:szCs w:val="20"/>
        </w:rPr>
        <w:t xml:space="preserve"> </w:t>
      </w:r>
      <w:r w:rsidRPr="00273B97">
        <w:rPr>
          <w:sz w:val="20"/>
          <w:szCs w:val="20"/>
        </w:rPr>
        <w:t>z otoczeniem dzięki utworzeniu wielofunkcyjnej infrastruktury dla działalności społecznej</w:t>
      </w:r>
      <w:r w:rsidR="00FA0A9C" w:rsidRPr="00273B97">
        <w:rPr>
          <w:sz w:val="20"/>
          <w:szCs w:val="20"/>
        </w:rPr>
        <w:t xml:space="preserve"> </w:t>
      </w:r>
      <w:r w:rsidRPr="00273B97">
        <w:rPr>
          <w:sz w:val="20"/>
          <w:szCs w:val="20"/>
        </w:rPr>
        <w:t xml:space="preserve">i edukacyjnej przy zachowaniu zabytkowej substancji zespołu zabudowań historycznej Elektrociepłowni (etap 2) </w:t>
      </w:r>
      <w:r w:rsidR="00FA0A9C" w:rsidRPr="00273B97">
        <w:rPr>
          <w:sz w:val="20"/>
          <w:szCs w:val="20"/>
        </w:rPr>
        <w:t xml:space="preserve">- </w:t>
      </w:r>
      <w:r w:rsidRPr="00273B97">
        <w:rPr>
          <w:sz w:val="20"/>
          <w:szCs w:val="20"/>
        </w:rPr>
        <w:t>Rezonator S.A. Gliwice</w:t>
      </w:r>
      <w:r w:rsidR="00FA0A9C" w:rsidRPr="00273B97">
        <w:rPr>
          <w:sz w:val="20"/>
          <w:szCs w:val="20"/>
        </w:rPr>
        <w:t>,</w:t>
      </w:r>
    </w:p>
    <w:p w:rsidR="00C728F5" w:rsidRPr="00273B97" w:rsidRDefault="00C728F5" w:rsidP="009C1D86">
      <w:pPr>
        <w:pStyle w:val="Akapitzlist"/>
        <w:numPr>
          <w:ilvl w:val="0"/>
          <w:numId w:val="736"/>
        </w:numPr>
        <w:shd w:val="clear" w:color="auto" w:fill="F2F2F2" w:themeFill="background1" w:themeFillShade="F2"/>
        <w:spacing w:after="0" w:line="252" w:lineRule="auto"/>
        <w:ind w:left="1066" w:hanging="357"/>
        <w:jc w:val="both"/>
        <w:rPr>
          <w:sz w:val="20"/>
          <w:szCs w:val="20"/>
        </w:rPr>
      </w:pPr>
      <w:r w:rsidRPr="00273B97">
        <w:rPr>
          <w:sz w:val="20"/>
          <w:szCs w:val="20"/>
        </w:rPr>
        <w:t>GENERATOR KULTURY - kompleksowa rewitalizacja poprzemysłowej części Bytomia poprzez utrwalenie zabytkowej substancji zespołu budynków E</w:t>
      </w:r>
      <w:r w:rsidR="00FA0A9C" w:rsidRPr="00273B97">
        <w:rPr>
          <w:sz w:val="20"/>
          <w:szCs w:val="20"/>
        </w:rPr>
        <w:t xml:space="preserve">lektrociepłowni Szombierki ora </w:t>
      </w:r>
      <w:r w:rsidRPr="00273B97">
        <w:rPr>
          <w:sz w:val="20"/>
          <w:szCs w:val="20"/>
        </w:rPr>
        <w:t>stworzenie wielofunkcyjnej infrastruktury dla działalności kulturalnej</w:t>
      </w:r>
      <w:r w:rsidR="00FA0A9C" w:rsidRPr="00273B97">
        <w:rPr>
          <w:sz w:val="20"/>
          <w:szCs w:val="20"/>
        </w:rPr>
        <w:t xml:space="preserve"> </w:t>
      </w:r>
      <w:r w:rsidRPr="00273B97">
        <w:rPr>
          <w:sz w:val="20"/>
          <w:szCs w:val="20"/>
        </w:rPr>
        <w:t xml:space="preserve">i biznesowej (etap I) </w:t>
      </w:r>
      <w:r w:rsidR="00FA0A9C" w:rsidRPr="00273B97">
        <w:rPr>
          <w:sz w:val="20"/>
          <w:szCs w:val="20"/>
        </w:rPr>
        <w:t xml:space="preserve">- </w:t>
      </w:r>
      <w:r w:rsidRPr="00273B97">
        <w:rPr>
          <w:sz w:val="20"/>
          <w:szCs w:val="20"/>
        </w:rPr>
        <w:t>Rezonator S.A. Gliwice</w:t>
      </w:r>
      <w:r w:rsidR="00FA0A9C" w:rsidRPr="00273B97">
        <w:rPr>
          <w:sz w:val="20"/>
          <w:szCs w:val="20"/>
        </w:rPr>
        <w:t>,</w:t>
      </w:r>
    </w:p>
    <w:p w:rsidR="0056205D" w:rsidRPr="00273B97" w:rsidRDefault="00FA0A9C" w:rsidP="009C1D86">
      <w:pPr>
        <w:pStyle w:val="Akapitzlist"/>
        <w:numPr>
          <w:ilvl w:val="0"/>
          <w:numId w:val="736"/>
        </w:numPr>
        <w:shd w:val="clear" w:color="auto" w:fill="F2F2F2" w:themeFill="background1" w:themeFillShade="F2"/>
        <w:spacing w:after="0" w:line="252" w:lineRule="auto"/>
        <w:ind w:left="1066" w:hanging="357"/>
        <w:jc w:val="both"/>
        <w:rPr>
          <w:sz w:val="20"/>
          <w:szCs w:val="20"/>
        </w:rPr>
      </w:pPr>
      <w:r w:rsidRPr="00273B97">
        <w:rPr>
          <w:sz w:val="20"/>
          <w:szCs w:val="20"/>
        </w:rPr>
        <w:t>Poprawa konkurencyjności przedsiębiorstw poprzez działania rewitalizacyjne - Podmiot prywatny,</w:t>
      </w:r>
    </w:p>
    <w:p w:rsidR="0068177A" w:rsidRPr="00273B97" w:rsidRDefault="0068177A" w:rsidP="009C1D86">
      <w:pPr>
        <w:pStyle w:val="Akapitzlist"/>
        <w:numPr>
          <w:ilvl w:val="0"/>
          <w:numId w:val="736"/>
        </w:numPr>
        <w:shd w:val="clear" w:color="auto" w:fill="F2F2F2" w:themeFill="background1" w:themeFillShade="F2"/>
        <w:spacing w:after="0" w:line="252" w:lineRule="auto"/>
        <w:ind w:left="1066" w:hanging="357"/>
        <w:jc w:val="both"/>
        <w:rPr>
          <w:sz w:val="20"/>
          <w:szCs w:val="20"/>
        </w:rPr>
      </w:pPr>
      <w:r w:rsidRPr="00273B97">
        <w:rPr>
          <w:sz w:val="20"/>
          <w:szCs w:val="20"/>
        </w:rPr>
        <w:t>Kompleksowa rewitalizacja zabytkowych kamienic przy ul. Józefczaka 29 i Krawieckiej 3 oraz kamienicy przy ul. Józefczaka 18 wraz z zagospodarowaniem placu przy budynku Józefczaka 29 - Haider Sp. j.,</w:t>
      </w:r>
    </w:p>
    <w:p w:rsidR="00C34ECE" w:rsidRPr="00273B97" w:rsidRDefault="00510C87" w:rsidP="009C1D86">
      <w:pPr>
        <w:pStyle w:val="Akapitzlist"/>
        <w:numPr>
          <w:ilvl w:val="0"/>
          <w:numId w:val="736"/>
        </w:numPr>
        <w:shd w:val="clear" w:color="auto" w:fill="F2F2F2" w:themeFill="background1" w:themeFillShade="F2"/>
        <w:spacing w:after="0" w:line="252" w:lineRule="auto"/>
        <w:ind w:left="1066" w:hanging="357"/>
        <w:jc w:val="both"/>
        <w:rPr>
          <w:sz w:val="20"/>
          <w:szCs w:val="20"/>
        </w:rPr>
      </w:pPr>
      <w:r w:rsidRPr="00273B97">
        <w:rPr>
          <w:sz w:val="20"/>
          <w:szCs w:val="20"/>
        </w:rPr>
        <w:t xml:space="preserve">Rewitalizacja zabytkowego budynku siłowni koksowni </w:t>
      </w:r>
      <w:r w:rsidR="000340B9" w:rsidRPr="00273B97">
        <w:rPr>
          <w:sz w:val="20"/>
          <w:szCs w:val="20"/>
        </w:rPr>
        <w:t>w Bytomiu</w:t>
      </w:r>
      <w:r w:rsidRPr="00273B97">
        <w:rPr>
          <w:sz w:val="20"/>
          <w:szCs w:val="20"/>
        </w:rPr>
        <w:t xml:space="preserve"> – Koksownia Bytom Sp. z o.o.,</w:t>
      </w:r>
    </w:p>
    <w:p w:rsidR="00510C87" w:rsidRPr="00273B97" w:rsidRDefault="00510C87" w:rsidP="009C1D86">
      <w:pPr>
        <w:pStyle w:val="Akapitzlist"/>
        <w:numPr>
          <w:ilvl w:val="0"/>
          <w:numId w:val="736"/>
        </w:numPr>
        <w:shd w:val="clear" w:color="auto" w:fill="F2F2F2" w:themeFill="background1" w:themeFillShade="F2"/>
        <w:spacing w:after="0" w:line="252" w:lineRule="auto"/>
        <w:ind w:left="1066" w:hanging="357"/>
        <w:jc w:val="both"/>
        <w:rPr>
          <w:sz w:val="20"/>
          <w:szCs w:val="20"/>
        </w:rPr>
      </w:pPr>
      <w:r w:rsidRPr="00273B97">
        <w:rPr>
          <w:sz w:val="20"/>
          <w:szCs w:val="20"/>
        </w:rPr>
        <w:t>Transformacja poprzemysłowych terenów dawnej huty ”Bobrek” poprzez utworzenie Strefy Rozwoju Inwestycji i Aktywizacji Zawodowej oraz budowę instalacji oczyszczania gazu koksowniczego oraz systemu wytwarzania energii elektrycznej i ciepła w technologii wysokosprawnej Kogeneracji – Koksownia Bytom Sp. z o.o.</w:t>
      </w:r>
    </w:p>
    <w:p w:rsidR="0056205D" w:rsidRPr="00510C87" w:rsidRDefault="0056205D" w:rsidP="00510C87">
      <w:pPr>
        <w:pStyle w:val="Akapitzlist"/>
        <w:spacing w:after="0" w:line="252" w:lineRule="auto"/>
        <w:ind w:left="1066"/>
        <w:jc w:val="both"/>
        <w:rPr>
          <w:sz w:val="20"/>
          <w:szCs w:val="20"/>
        </w:rPr>
      </w:pPr>
    </w:p>
    <w:p w:rsidR="00010EDC" w:rsidRDefault="00010EDC" w:rsidP="00010EDC">
      <w:pPr>
        <w:jc w:val="both"/>
        <w:rPr>
          <w:rFonts w:ascii="Calibri" w:hAnsi="Calibri"/>
        </w:rPr>
      </w:pPr>
      <w:r>
        <w:rPr>
          <w:rFonts w:ascii="Calibri" w:hAnsi="Calibri"/>
        </w:rPr>
        <w:t xml:space="preserve">Powyższe przedsięwzięcia przyczynią się do realizacji następujących celów GPR: </w:t>
      </w:r>
    </w:p>
    <w:p w:rsidR="00010EDC" w:rsidRDefault="00010EDC" w:rsidP="00010EDC">
      <w:pPr>
        <w:numPr>
          <w:ilvl w:val="0"/>
          <w:numId w:val="681"/>
        </w:numPr>
        <w:jc w:val="both"/>
        <w:rPr>
          <w:rFonts w:ascii="Calibri" w:hAnsi="Calibri"/>
        </w:rPr>
      </w:pPr>
      <w:r>
        <w:rPr>
          <w:rFonts w:ascii="Calibri" w:hAnsi="Calibri"/>
        </w:rPr>
        <w:t>cel operacyjny 1.1 wysoki poziom przedsiębiorczości mieszkańców kompensujący niedobory miejsc pracy w mieście,</w:t>
      </w:r>
    </w:p>
    <w:p w:rsidR="00010EDC" w:rsidRDefault="00010EDC" w:rsidP="00010EDC">
      <w:pPr>
        <w:numPr>
          <w:ilvl w:val="0"/>
          <w:numId w:val="681"/>
        </w:numPr>
        <w:jc w:val="both"/>
        <w:rPr>
          <w:rFonts w:ascii="Calibri" w:hAnsi="Calibri"/>
        </w:rPr>
      </w:pPr>
      <w:r>
        <w:rPr>
          <w:rFonts w:ascii="Calibri" w:hAnsi="Calibri"/>
        </w:rPr>
        <w:t>cel operacyjny 1.2 dogodne warunki dla rozwoju firm lokalnych,</w:t>
      </w:r>
    </w:p>
    <w:p w:rsidR="00010EDC" w:rsidRDefault="00010EDC" w:rsidP="00010EDC">
      <w:pPr>
        <w:numPr>
          <w:ilvl w:val="0"/>
          <w:numId w:val="680"/>
        </w:numPr>
        <w:jc w:val="both"/>
        <w:rPr>
          <w:rFonts w:ascii="Calibri" w:hAnsi="Calibri"/>
        </w:rPr>
      </w:pPr>
      <w:r>
        <w:rPr>
          <w:rFonts w:ascii="Calibri" w:hAnsi="Calibri"/>
        </w:rPr>
        <w:t>cel operacyjny 1.3 wysoki poziom dostępności udogodnień umożliwiających podnoszenie kwalifikacji mieszkańców, usuwanie barier w powrocie na rynek pracy oraz wzrastający poziom motywacji wewnętrznej mieszkańców w zakresie realizacji karier zawodowych,</w:t>
      </w:r>
    </w:p>
    <w:p w:rsidR="00010EDC" w:rsidRDefault="00010EDC" w:rsidP="00010EDC">
      <w:pPr>
        <w:numPr>
          <w:ilvl w:val="0"/>
          <w:numId w:val="680"/>
        </w:numPr>
        <w:jc w:val="both"/>
        <w:rPr>
          <w:rFonts w:ascii="Calibri" w:hAnsi="Calibri"/>
        </w:rPr>
      </w:pPr>
      <w:r>
        <w:rPr>
          <w:rFonts w:ascii="Calibri" w:hAnsi="Calibri"/>
        </w:rPr>
        <w:t>cel operacyjny 2.1 ograniczona skala negatywnych zjawisk społecznych oraz wzrost dostępności do prorozwojowych usług publicznych.</w:t>
      </w:r>
    </w:p>
    <w:p w:rsidR="002A6628" w:rsidRPr="00010EDC" w:rsidRDefault="002A6628" w:rsidP="002A6628">
      <w:pPr>
        <w:ind w:left="720"/>
        <w:jc w:val="both"/>
        <w:rPr>
          <w:rFonts w:ascii="Calibri" w:hAnsi="Calibri"/>
        </w:rPr>
      </w:pPr>
    </w:p>
    <w:p w:rsidR="00067C16" w:rsidRDefault="00067C16" w:rsidP="00067C16">
      <w:pPr>
        <w:numPr>
          <w:ilvl w:val="0"/>
          <w:numId w:val="86"/>
        </w:numPr>
        <w:jc w:val="both"/>
        <w:rPr>
          <w:rFonts w:ascii="Calibri" w:hAnsi="Calibri"/>
          <w:b/>
          <w:bCs/>
          <w:szCs w:val="20"/>
        </w:rPr>
      </w:pPr>
      <w:r>
        <w:rPr>
          <w:rFonts w:ascii="Calibri" w:hAnsi="Calibri"/>
          <w:b/>
          <w:bCs/>
          <w:szCs w:val="20"/>
        </w:rPr>
        <w:t xml:space="preserve">Przedsięwzięcia przyczyniające się do aktywizacji osób bezrobotnych i podnoszenia kwalifikacji zawodowych mieszkańców </w:t>
      </w:r>
      <w:r>
        <w:rPr>
          <w:rFonts w:ascii="Calibri" w:hAnsi="Calibri"/>
          <w:szCs w:val="20"/>
        </w:rPr>
        <w:t>obejmujące m.in.:</w:t>
      </w:r>
      <w:r>
        <w:rPr>
          <w:rFonts w:ascii="Calibri" w:hAnsi="Calibri"/>
          <w:b/>
          <w:bCs/>
          <w:szCs w:val="20"/>
        </w:rPr>
        <w:t xml:space="preserve"> </w:t>
      </w:r>
    </w:p>
    <w:p w:rsidR="00067C16" w:rsidRDefault="00067C16" w:rsidP="00067C16">
      <w:pPr>
        <w:numPr>
          <w:ilvl w:val="0"/>
          <w:numId w:val="13"/>
        </w:numPr>
        <w:ind w:left="1077" w:hanging="357"/>
        <w:jc w:val="both"/>
        <w:rPr>
          <w:rFonts w:ascii="Calibri" w:hAnsi="Calibri"/>
          <w:szCs w:val="20"/>
        </w:rPr>
      </w:pPr>
      <w:r>
        <w:rPr>
          <w:rFonts w:ascii="Calibri" w:hAnsi="Calibri"/>
          <w:szCs w:val="20"/>
        </w:rPr>
        <w:t>szkolenia i kursy umożliwiające nabywanie, podwyższanie lub dostosowywanie kompetencji i kwalifikacji zawodowych, w tym z dziedzin niszowych, kultywujących zanikające zawody oraz kursy z zapewnieniem zatrudnienia,</w:t>
      </w:r>
    </w:p>
    <w:p w:rsidR="00067C16" w:rsidRDefault="00067C16" w:rsidP="00067C16">
      <w:pPr>
        <w:numPr>
          <w:ilvl w:val="0"/>
          <w:numId w:val="13"/>
        </w:numPr>
        <w:ind w:left="1077" w:hanging="357"/>
        <w:jc w:val="both"/>
        <w:rPr>
          <w:rFonts w:ascii="Calibri" w:hAnsi="Calibri"/>
          <w:szCs w:val="20"/>
        </w:rPr>
      </w:pPr>
      <w:r>
        <w:rPr>
          <w:rFonts w:ascii="Calibri" w:hAnsi="Calibri"/>
          <w:szCs w:val="20"/>
        </w:rPr>
        <w:t>utworzenie programu kształcenia zawodowego i ustawicznego dostosowanego do potrzeb lokalnego rynku pracy,</w:t>
      </w:r>
    </w:p>
    <w:p w:rsidR="00067C16" w:rsidRDefault="00067C16" w:rsidP="00067C16">
      <w:pPr>
        <w:numPr>
          <w:ilvl w:val="0"/>
          <w:numId w:val="13"/>
        </w:numPr>
        <w:ind w:left="1077" w:hanging="357"/>
        <w:jc w:val="both"/>
        <w:rPr>
          <w:rFonts w:ascii="Calibri" w:hAnsi="Calibri"/>
          <w:szCs w:val="20"/>
        </w:rPr>
      </w:pPr>
      <w:r>
        <w:rPr>
          <w:rFonts w:ascii="Calibri" w:hAnsi="Calibri"/>
          <w:szCs w:val="20"/>
        </w:rPr>
        <w:t>wsparcie w postaci praktyk i staży, które spełniają podstawowe wymogi zapewniające wysoki standard stażu,</w:t>
      </w:r>
    </w:p>
    <w:p w:rsidR="00067C16" w:rsidRDefault="00067C16" w:rsidP="00067C16">
      <w:pPr>
        <w:numPr>
          <w:ilvl w:val="0"/>
          <w:numId w:val="13"/>
        </w:numPr>
        <w:ind w:left="1077" w:hanging="357"/>
        <w:jc w:val="both"/>
        <w:rPr>
          <w:rFonts w:ascii="Calibri" w:hAnsi="Calibri"/>
          <w:szCs w:val="20"/>
        </w:rPr>
      </w:pPr>
      <w:r>
        <w:rPr>
          <w:rFonts w:ascii="Calibri" w:hAnsi="Calibri"/>
          <w:szCs w:val="20"/>
        </w:rPr>
        <w:t>subsydiowane zatrudnienie, refundacja wyposażenia lub doposażenia stanowiska pracy,</w:t>
      </w:r>
    </w:p>
    <w:p w:rsidR="00067C16" w:rsidRDefault="00067C16" w:rsidP="00067C16">
      <w:pPr>
        <w:numPr>
          <w:ilvl w:val="0"/>
          <w:numId w:val="13"/>
        </w:numPr>
        <w:ind w:left="1077" w:hanging="357"/>
        <w:jc w:val="both"/>
        <w:rPr>
          <w:rFonts w:ascii="Calibri" w:hAnsi="Calibri"/>
          <w:szCs w:val="20"/>
        </w:rPr>
      </w:pPr>
      <w:r>
        <w:rPr>
          <w:rFonts w:ascii="Calibri" w:hAnsi="Calibri"/>
          <w:szCs w:val="20"/>
        </w:rPr>
        <w:t xml:space="preserve">wsparcie w postaci zatrudnienia wspomaganego dla osób z niepełnosprawnościami, </w:t>
      </w:r>
    </w:p>
    <w:p w:rsidR="00067C16" w:rsidRDefault="00067C16" w:rsidP="00067C16">
      <w:pPr>
        <w:numPr>
          <w:ilvl w:val="0"/>
          <w:numId w:val="13"/>
        </w:numPr>
        <w:ind w:left="1077" w:hanging="357"/>
        <w:jc w:val="both"/>
        <w:rPr>
          <w:rFonts w:ascii="Calibri" w:hAnsi="Calibri"/>
          <w:szCs w:val="20"/>
        </w:rPr>
      </w:pPr>
      <w:r>
        <w:rPr>
          <w:rFonts w:ascii="Calibri" w:hAnsi="Calibri"/>
          <w:szCs w:val="20"/>
        </w:rPr>
        <w:t>organizacja prac społecznie użytecznych związanych z rewitalizacją,</w:t>
      </w:r>
    </w:p>
    <w:p w:rsidR="00067C16" w:rsidRDefault="00067C16" w:rsidP="00067C16">
      <w:pPr>
        <w:numPr>
          <w:ilvl w:val="0"/>
          <w:numId w:val="13"/>
        </w:numPr>
        <w:ind w:left="1077" w:hanging="357"/>
        <w:jc w:val="both"/>
        <w:rPr>
          <w:rFonts w:ascii="Calibri" w:hAnsi="Calibri"/>
          <w:szCs w:val="20"/>
        </w:rPr>
      </w:pPr>
      <w:r>
        <w:rPr>
          <w:rFonts w:ascii="Calibri" w:hAnsi="Calibri"/>
          <w:szCs w:val="20"/>
        </w:rPr>
        <w:t>umożliwienie kobietom powrotu do pracy po urodzeniu dziecka poprzez tworzenie żłobków,</w:t>
      </w:r>
    </w:p>
    <w:p w:rsidR="00067C16" w:rsidRDefault="00067C16" w:rsidP="00067C16">
      <w:pPr>
        <w:numPr>
          <w:ilvl w:val="0"/>
          <w:numId w:val="13"/>
        </w:numPr>
        <w:ind w:left="1077" w:hanging="357"/>
        <w:jc w:val="both"/>
        <w:rPr>
          <w:rFonts w:ascii="Calibri" w:hAnsi="Calibri"/>
          <w:szCs w:val="20"/>
        </w:rPr>
      </w:pPr>
      <w:r>
        <w:rPr>
          <w:rFonts w:ascii="Calibri" w:hAnsi="Calibri"/>
          <w:szCs w:val="20"/>
        </w:rPr>
        <w:t>sfinansowanie kosztów usług bieżącej opieki nad dziećmi lub wynagrodzenia dziennego opiekuna lub niani dla opiekunów dzieci do lat 3,</w:t>
      </w:r>
    </w:p>
    <w:p w:rsidR="00067C16" w:rsidRDefault="00067C16" w:rsidP="00067C16">
      <w:pPr>
        <w:numPr>
          <w:ilvl w:val="0"/>
          <w:numId w:val="13"/>
        </w:numPr>
        <w:ind w:left="1077" w:hanging="357"/>
        <w:jc w:val="both"/>
        <w:rPr>
          <w:rFonts w:ascii="Calibri" w:hAnsi="Calibri"/>
          <w:szCs w:val="20"/>
        </w:rPr>
      </w:pPr>
      <w:r>
        <w:rPr>
          <w:rFonts w:ascii="Calibri" w:hAnsi="Calibri"/>
          <w:szCs w:val="20"/>
        </w:rPr>
        <w:t>sfinansowanie kosztów przeszkolenia zawodowego dziennego opiekuna,</w:t>
      </w:r>
    </w:p>
    <w:p w:rsidR="00067C16" w:rsidRDefault="00067C16" w:rsidP="00067C16">
      <w:pPr>
        <w:numPr>
          <w:ilvl w:val="0"/>
          <w:numId w:val="13"/>
        </w:numPr>
        <w:ind w:left="1077" w:hanging="357"/>
        <w:jc w:val="both"/>
        <w:rPr>
          <w:rFonts w:ascii="Calibri" w:hAnsi="Calibri"/>
          <w:szCs w:val="20"/>
        </w:rPr>
      </w:pPr>
      <w:r>
        <w:rPr>
          <w:rFonts w:ascii="Calibri" w:hAnsi="Calibri"/>
          <w:szCs w:val="20"/>
        </w:rPr>
        <w:t xml:space="preserve">wsparcie sektora ekonomii społecznej poprzez m.in. usługi doradcze, edukacyjne, </w:t>
      </w:r>
      <w:r>
        <w:rPr>
          <w:rFonts w:ascii="Calibri" w:hAnsi="Calibri"/>
          <w:szCs w:val="20"/>
        </w:rPr>
        <w:br/>
        <w:t>i biznesowe, w tym podnoszenie kwalifikacji,</w:t>
      </w:r>
    </w:p>
    <w:p w:rsidR="00067C16" w:rsidRDefault="00067C16" w:rsidP="00067C16">
      <w:pPr>
        <w:numPr>
          <w:ilvl w:val="0"/>
          <w:numId w:val="13"/>
        </w:numPr>
        <w:ind w:left="1077" w:hanging="357"/>
        <w:jc w:val="both"/>
        <w:rPr>
          <w:rFonts w:ascii="Calibri" w:hAnsi="Calibri"/>
          <w:szCs w:val="20"/>
        </w:rPr>
      </w:pPr>
      <w:r>
        <w:rPr>
          <w:rFonts w:ascii="Calibri" w:hAnsi="Calibri"/>
          <w:szCs w:val="20"/>
        </w:rPr>
        <w:t xml:space="preserve">wsparcie organizacji pozarządowych w realizacji działań na rzecz osób bezrobotnych, </w:t>
      </w:r>
    </w:p>
    <w:p w:rsidR="00067C16" w:rsidRDefault="00067C16" w:rsidP="00067C16">
      <w:pPr>
        <w:numPr>
          <w:ilvl w:val="0"/>
          <w:numId w:val="13"/>
        </w:numPr>
        <w:ind w:left="1077" w:hanging="357"/>
        <w:jc w:val="both"/>
        <w:rPr>
          <w:rFonts w:ascii="Calibri" w:hAnsi="Calibri"/>
          <w:szCs w:val="20"/>
        </w:rPr>
      </w:pPr>
      <w:r>
        <w:rPr>
          <w:rFonts w:ascii="Calibri" w:hAnsi="Calibri"/>
          <w:szCs w:val="20"/>
        </w:rPr>
        <w:t xml:space="preserve">tworzenie miejsc pracy w obszarze przedsiębiorczości społecznej, </w:t>
      </w:r>
    </w:p>
    <w:p w:rsidR="00067C16" w:rsidRDefault="00067C16" w:rsidP="00067C16">
      <w:pPr>
        <w:numPr>
          <w:ilvl w:val="0"/>
          <w:numId w:val="13"/>
        </w:numPr>
        <w:ind w:left="1077" w:hanging="357"/>
        <w:jc w:val="both"/>
        <w:rPr>
          <w:rFonts w:ascii="Calibri" w:hAnsi="Calibri"/>
          <w:szCs w:val="20"/>
        </w:rPr>
      </w:pPr>
      <w:r>
        <w:rPr>
          <w:rFonts w:ascii="Calibri" w:hAnsi="Calibri"/>
          <w:szCs w:val="20"/>
        </w:rPr>
        <w:t xml:space="preserve">usługi animacyjne służące rozwojowi organizacji obywatelskich oraz usług inkubacyjnych. </w:t>
      </w:r>
    </w:p>
    <w:p w:rsidR="00EC092F" w:rsidRDefault="00EC092F" w:rsidP="00010EDC">
      <w:pPr>
        <w:ind w:left="720"/>
        <w:jc w:val="both"/>
        <w:rPr>
          <w:rFonts w:ascii="Calibri" w:hAnsi="Calibri"/>
          <w:szCs w:val="20"/>
        </w:rPr>
      </w:pPr>
    </w:p>
    <w:p w:rsidR="002A6628" w:rsidRPr="00273B97" w:rsidRDefault="002A6628" w:rsidP="009C1D86">
      <w:pPr>
        <w:shd w:val="clear" w:color="auto" w:fill="F2F2F2" w:themeFill="background1" w:themeFillShade="F2"/>
        <w:jc w:val="both"/>
        <w:rPr>
          <w:rFonts w:ascii="Calibri" w:hAnsi="Calibri"/>
          <w:b/>
          <w:bCs/>
          <w:szCs w:val="20"/>
        </w:rPr>
      </w:pPr>
      <w:r w:rsidRPr="00273B97">
        <w:rPr>
          <w:rFonts w:ascii="Calibri" w:hAnsi="Calibri"/>
          <w:b/>
          <w:szCs w:val="20"/>
        </w:rPr>
        <w:t xml:space="preserve">Projekty, </w:t>
      </w:r>
      <w:r w:rsidRPr="00273B97">
        <w:rPr>
          <w:rFonts w:ascii="Calibri" w:hAnsi="Calibri"/>
          <w:b/>
          <w:bCs/>
          <w:szCs w:val="20"/>
        </w:rPr>
        <w:t>których główna interwencja zmierza aktywizacji osób bezrobotnych i podnoszenia kwalifikacji zawodowych mieszkańców:</w:t>
      </w:r>
    </w:p>
    <w:p w:rsidR="002A6628" w:rsidRPr="00273B97" w:rsidRDefault="002A6628" w:rsidP="009C1D86">
      <w:pPr>
        <w:pStyle w:val="Akapitzlist"/>
        <w:numPr>
          <w:ilvl w:val="0"/>
          <w:numId w:val="739"/>
        </w:numPr>
        <w:shd w:val="clear" w:color="auto" w:fill="F2F2F2" w:themeFill="background1" w:themeFillShade="F2"/>
        <w:spacing w:after="0" w:line="252" w:lineRule="auto"/>
        <w:ind w:leftChars="353" w:left="1132" w:hanging="426"/>
        <w:jc w:val="both"/>
        <w:rPr>
          <w:sz w:val="20"/>
          <w:szCs w:val="20"/>
        </w:rPr>
      </w:pPr>
      <w:r w:rsidRPr="00273B97">
        <w:rPr>
          <w:sz w:val="20"/>
          <w:szCs w:val="20"/>
        </w:rPr>
        <w:t>Cyfrowy Bytom - Stowarzyszenie Miasto dla Mieszkańców,</w:t>
      </w:r>
    </w:p>
    <w:p w:rsidR="00DD0D6F" w:rsidRPr="00273B97" w:rsidRDefault="00DD0D6F" w:rsidP="009C1D86">
      <w:pPr>
        <w:pStyle w:val="Akapitzlist"/>
        <w:numPr>
          <w:ilvl w:val="0"/>
          <w:numId w:val="739"/>
        </w:numPr>
        <w:shd w:val="clear" w:color="auto" w:fill="F2F2F2" w:themeFill="background1" w:themeFillShade="F2"/>
        <w:spacing w:after="0" w:line="252" w:lineRule="auto"/>
        <w:ind w:leftChars="353" w:left="1132" w:hanging="426"/>
        <w:jc w:val="both"/>
        <w:rPr>
          <w:sz w:val="20"/>
          <w:szCs w:val="20"/>
        </w:rPr>
      </w:pPr>
      <w:r w:rsidRPr="00273B97">
        <w:rPr>
          <w:sz w:val="20"/>
          <w:szCs w:val="20"/>
        </w:rPr>
        <w:t xml:space="preserve">Nowe kwalifikacje to nowa praca - Niepubliczne Centrum Kształcenia Ustawicznego Sp. z o.o. </w:t>
      </w:r>
      <w:r w:rsidR="00027769">
        <w:rPr>
          <w:sz w:val="20"/>
          <w:szCs w:val="20"/>
        </w:rPr>
        <w:br/>
      </w:r>
      <w:r w:rsidRPr="00273B97">
        <w:rPr>
          <w:sz w:val="20"/>
          <w:szCs w:val="20"/>
        </w:rPr>
        <w:t>ul. Fabryczna 7, 41-400 Mysłowice w partnerstwie z Bytomskim Klubem Samorządowym,</w:t>
      </w:r>
    </w:p>
    <w:p w:rsidR="00DD0D6F" w:rsidRPr="00273B97" w:rsidRDefault="00DD0D6F" w:rsidP="009C1D86">
      <w:pPr>
        <w:pStyle w:val="Akapitzlist"/>
        <w:numPr>
          <w:ilvl w:val="0"/>
          <w:numId w:val="739"/>
        </w:numPr>
        <w:shd w:val="clear" w:color="auto" w:fill="F2F2F2" w:themeFill="background1" w:themeFillShade="F2"/>
        <w:spacing w:after="0" w:line="252" w:lineRule="auto"/>
        <w:ind w:leftChars="353" w:left="1132" w:hanging="426"/>
        <w:jc w:val="both"/>
        <w:rPr>
          <w:sz w:val="20"/>
          <w:szCs w:val="20"/>
        </w:rPr>
      </w:pPr>
      <w:r w:rsidRPr="00273B97">
        <w:rPr>
          <w:sz w:val="20"/>
          <w:szCs w:val="20"/>
        </w:rPr>
        <w:t>Krok po kroku do nowej szansy zawodowej - Mała Polska Flota Powietrzna Sp. z o.o.,</w:t>
      </w:r>
    </w:p>
    <w:p w:rsidR="000733E6" w:rsidRDefault="00DD0D6F" w:rsidP="009C1D86">
      <w:pPr>
        <w:pStyle w:val="Akapitzlist"/>
        <w:numPr>
          <w:ilvl w:val="0"/>
          <w:numId w:val="739"/>
        </w:numPr>
        <w:shd w:val="clear" w:color="auto" w:fill="F2F2F2" w:themeFill="background1" w:themeFillShade="F2"/>
        <w:spacing w:after="0" w:line="252" w:lineRule="auto"/>
        <w:ind w:leftChars="353" w:left="1132" w:hanging="426"/>
        <w:jc w:val="both"/>
        <w:rPr>
          <w:sz w:val="20"/>
          <w:szCs w:val="20"/>
        </w:rPr>
      </w:pPr>
      <w:r w:rsidRPr="00273B97">
        <w:rPr>
          <w:sz w:val="20"/>
          <w:szCs w:val="20"/>
        </w:rPr>
        <w:t>Rewitalizacja gruntów będących nieużytkami w celu przekształcenia ich w tereny sportowo-rekreacyjne, na terenie których położone będzie m.in. lądowisko oraz plac manewrowy dla prowadzenia treningów operatorów dronów oraz tereny przeznaczone do wypoczynku - Mała Polska Flota Powietrzna Sp. z o.o</w:t>
      </w:r>
      <w:r w:rsidR="00510C87" w:rsidRPr="000733E6">
        <w:rPr>
          <w:sz w:val="20"/>
          <w:szCs w:val="20"/>
        </w:rPr>
        <w:t>.</w:t>
      </w:r>
    </w:p>
    <w:p w:rsidR="009C1D86" w:rsidRPr="00581E59" w:rsidRDefault="009C1D86" w:rsidP="00581E59">
      <w:pPr>
        <w:shd w:val="clear" w:color="auto" w:fill="FFFFFF" w:themeFill="background1"/>
        <w:spacing w:line="252" w:lineRule="auto"/>
        <w:ind w:left="706"/>
        <w:jc w:val="both"/>
        <w:rPr>
          <w:szCs w:val="20"/>
        </w:rPr>
      </w:pPr>
    </w:p>
    <w:p w:rsidR="00010EDC" w:rsidRDefault="00010EDC" w:rsidP="00010EDC">
      <w:pPr>
        <w:jc w:val="both"/>
        <w:rPr>
          <w:rFonts w:ascii="Calibri" w:hAnsi="Calibri"/>
        </w:rPr>
      </w:pPr>
      <w:r>
        <w:rPr>
          <w:rFonts w:ascii="Calibri" w:hAnsi="Calibri"/>
        </w:rPr>
        <w:t xml:space="preserve">Powyższe przedsięwzięcia przyczynią się do realizacji następujących celów GPR: </w:t>
      </w:r>
    </w:p>
    <w:p w:rsidR="00010EDC" w:rsidRDefault="00010EDC" w:rsidP="00010EDC">
      <w:pPr>
        <w:numPr>
          <w:ilvl w:val="0"/>
          <w:numId w:val="680"/>
        </w:numPr>
        <w:jc w:val="both"/>
        <w:rPr>
          <w:rFonts w:ascii="Calibri" w:hAnsi="Calibri"/>
        </w:rPr>
      </w:pPr>
      <w:r>
        <w:rPr>
          <w:rFonts w:ascii="Calibri" w:hAnsi="Calibri"/>
        </w:rPr>
        <w:t>cel operacyjny 1.3 wysoki poziom dostępności udogodnień umożliwiających podnoszenie kwalifikacji mieszkańców, usuwanie barier w powrocie na rynek pracy oraz wzrastający poziom motywacji wewnętrznej mieszkańców w zakresie realizacji karier zawodowych,</w:t>
      </w:r>
    </w:p>
    <w:p w:rsidR="00010EDC" w:rsidRDefault="00010EDC" w:rsidP="00010EDC">
      <w:pPr>
        <w:numPr>
          <w:ilvl w:val="0"/>
          <w:numId w:val="680"/>
        </w:numPr>
        <w:jc w:val="both"/>
        <w:rPr>
          <w:rFonts w:ascii="Calibri" w:hAnsi="Calibri"/>
        </w:rPr>
      </w:pPr>
      <w:r>
        <w:rPr>
          <w:rFonts w:ascii="Calibri" w:hAnsi="Calibri"/>
        </w:rPr>
        <w:t>cel operacyjny 2.1 ograniczona skala negatywnych zjawisk społecznych oraz wzrost dostępności do prorozwojowych usług publicznych.</w:t>
      </w:r>
    </w:p>
    <w:p w:rsidR="00010EDC" w:rsidRDefault="00010EDC" w:rsidP="00010EDC">
      <w:pPr>
        <w:jc w:val="both"/>
        <w:rPr>
          <w:rFonts w:ascii="Calibri" w:hAnsi="Calibri"/>
          <w:szCs w:val="20"/>
        </w:rPr>
      </w:pPr>
    </w:p>
    <w:p w:rsidR="00067C16" w:rsidRDefault="00067C16" w:rsidP="00067C16">
      <w:pPr>
        <w:numPr>
          <w:ilvl w:val="0"/>
          <w:numId w:val="86"/>
        </w:numPr>
        <w:jc w:val="both"/>
        <w:rPr>
          <w:rFonts w:ascii="Calibri" w:hAnsi="Calibri"/>
          <w:b/>
          <w:bCs/>
          <w:szCs w:val="20"/>
        </w:rPr>
      </w:pPr>
      <w:r>
        <w:rPr>
          <w:rFonts w:ascii="Calibri" w:hAnsi="Calibri"/>
          <w:b/>
          <w:bCs/>
          <w:szCs w:val="20"/>
        </w:rPr>
        <w:t xml:space="preserve">Przedsięwzięcia przyczyniające się do zapobiegania wykluczeniu i do włączenia społecznego różnych grup społecznych </w:t>
      </w:r>
      <w:r>
        <w:rPr>
          <w:rFonts w:ascii="Calibri" w:hAnsi="Calibri"/>
          <w:szCs w:val="20"/>
        </w:rPr>
        <w:t>obejmujące m.in.:</w:t>
      </w:r>
      <w:r>
        <w:rPr>
          <w:rFonts w:ascii="Calibri" w:hAnsi="Calibri"/>
          <w:b/>
          <w:bCs/>
          <w:szCs w:val="20"/>
        </w:rPr>
        <w:t xml:space="preserve"> </w:t>
      </w:r>
    </w:p>
    <w:p w:rsidR="00067C16" w:rsidRDefault="00067C16" w:rsidP="00067C16">
      <w:pPr>
        <w:numPr>
          <w:ilvl w:val="0"/>
          <w:numId w:val="13"/>
        </w:numPr>
        <w:ind w:left="1077" w:hanging="357"/>
        <w:jc w:val="both"/>
        <w:rPr>
          <w:rFonts w:ascii="Calibri" w:hAnsi="Calibri"/>
          <w:szCs w:val="20"/>
        </w:rPr>
      </w:pPr>
      <w:r>
        <w:rPr>
          <w:rFonts w:ascii="Calibri" w:hAnsi="Calibri"/>
          <w:szCs w:val="20"/>
        </w:rPr>
        <w:t>wsparcie osób niepełnosprawnych poprzez realizację kompleksowych projektów aktywizacyjnych służących integracji społecznej i zawodowej, a także likwidację barier architektonicznych,</w:t>
      </w:r>
    </w:p>
    <w:p w:rsidR="00067C16" w:rsidRDefault="00067C16" w:rsidP="00067C16">
      <w:pPr>
        <w:numPr>
          <w:ilvl w:val="0"/>
          <w:numId w:val="13"/>
        </w:numPr>
        <w:ind w:left="1077" w:hanging="357"/>
        <w:jc w:val="both"/>
        <w:rPr>
          <w:rFonts w:ascii="Calibri" w:hAnsi="Calibri"/>
          <w:szCs w:val="20"/>
        </w:rPr>
      </w:pPr>
      <w:r>
        <w:rPr>
          <w:rFonts w:ascii="Calibri" w:hAnsi="Calibri"/>
          <w:szCs w:val="20"/>
        </w:rPr>
        <w:t>działania wspierające pracodawców w tworzeniu miejsc pracy dla osób z niepełnosprawnościami,</w:t>
      </w:r>
    </w:p>
    <w:p w:rsidR="00067C16" w:rsidRDefault="00067C16" w:rsidP="00067C16">
      <w:pPr>
        <w:numPr>
          <w:ilvl w:val="0"/>
          <w:numId w:val="13"/>
        </w:numPr>
        <w:ind w:left="1077" w:hanging="357"/>
        <w:jc w:val="both"/>
        <w:rPr>
          <w:rFonts w:ascii="Calibri" w:hAnsi="Calibri"/>
          <w:szCs w:val="20"/>
        </w:rPr>
      </w:pPr>
      <w:r>
        <w:rPr>
          <w:rFonts w:ascii="Calibri" w:hAnsi="Calibri"/>
          <w:szCs w:val="20"/>
        </w:rPr>
        <w:t>wsparcie osób w podeszłym wieku (w tym m.in. opieka nad osobami starszymi, organizacja zajęć i miejsc spotkań osób starszych, organizacja sieci domów seniora, szkolenia dla opiekunów osób starszych, włączanie osób starszych w projekty międzypokoleniowe),</w:t>
      </w:r>
    </w:p>
    <w:p w:rsidR="00065F6D" w:rsidRDefault="00065F6D" w:rsidP="00067C16">
      <w:pPr>
        <w:numPr>
          <w:ilvl w:val="0"/>
          <w:numId w:val="13"/>
        </w:numPr>
        <w:ind w:left="1077" w:hanging="357"/>
        <w:jc w:val="both"/>
        <w:rPr>
          <w:rFonts w:ascii="Calibri" w:hAnsi="Calibri"/>
          <w:szCs w:val="20"/>
        </w:rPr>
      </w:pPr>
      <w:r>
        <w:rPr>
          <w:rFonts w:ascii="Calibri" w:hAnsi="Calibri"/>
          <w:szCs w:val="20"/>
        </w:rPr>
        <w:t>rozszerzenie działalności Uniwersytetu Trzeciego Wieku,</w:t>
      </w:r>
    </w:p>
    <w:p w:rsidR="00067C16" w:rsidRDefault="00067C16" w:rsidP="00067C16">
      <w:pPr>
        <w:numPr>
          <w:ilvl w:val="0"/>
          <w:numId w:val="13"/>
        </w:numPr>
        <w:ind w:left="1077" w:hanging="357"/>
        <w:jc w:val="both"/>
        <w:rPr>
          <w:rFonts w:ascii="Calibri" w:hAnsi="Calibri"/>
          <w:szCs w:val="20"/>
        </w:rPr>
      </w:pPr>
      <w:r>
        <w:rPr>
          <w:rFonts w:ascii="Calibri" w:hAnsi="Calibri"/>
          <w:szCs w:val="20"/>
        </w:rPr>
        <w:t>wsparcie rozwoju usług zwiększających mobilność, autonomię i bezpieczeństwo osób niesamodzielnych,</w:t>
      </w:r>
    </w:p>
    <w:p w:rsidR="00067C16" w:rsidRDefault="00067C16" w:rsidP="00067C16">
      <w:pPr>
        <w:numPr>
          <w:ilvl w:val="0"/>
          <w:numId w:val="13"/>
        </w:numPr>
        <w:ind w:left="1077" w:hanging="357"/>
        <w:jc w:val="both"/>
        <w:rPr>
          <w:rFonts w:ascii="Calibri" w:hAnsi="Calibri"/>
          <w:szCs w:val="20"/>
        </w:rPr>
      </w:pPr>
      <w:r>
        <w:rPr>
          <w:rFonts w:ascii="Calibri" w:hAnsi="Calibri"/>
          <w:szCs w:val="20"/>
        </w:rPr>
        <w:t>wsparcie stosowania nowoczesnych technologii w usługach opiekuńczych (np. teleopieka),</w:t>
      </w:r>
    </w:p>
    <w:p w:rsidR="00067C16" w:rsidRDefault="00067C16" w:rsidP="00067C16">
      <w:pPr>
        <w:numPr>
          <w:ilvl w:val="0"/>
          <w:numId w:val="13"/>
        </w:numPr>
        <w:ind w:left="1077" w:hanging="357"/>
        <w:jc w:val="both"/>
        <w:rPr>
          <w:rFonts w:ascii="Calibri" w:hAnsi="Calibri"/>
          <w:szCs w:val="20"/>
        </w:rPr>
      </w:pPr>
      <w:r>
        <w:rPr>
          <w:rFonts w:ascii="Calibri" w:hAnsi="Calibri"/>
          <w:szCs w:val="20"/>
        </w:rPr>
        <w:t>wzrost dostępności usług opieki dziennej lub całodobowej, w tym opieki krótkoterminowej dla osób niesamodzielnych (w nowotworzonych lub istniejących ośrodkach),</w:t>
      </w:r>
    </w:p>
    <w:p w:rsidR="00067C16" w:rsidRDefault="00067C16" w:rsidP="00067C16">
      <w:pPr>
        <w:numPr>
          <w:ilvl w:val="0"/>
          <w:numId w:val="13"/>
        </w:numPr>
        <w:ind w:left="1077" w:hanging="357"/>
        <w:jc w:val="both"/>
        <w:rPr>
          <w:rFonts w:ascii="Calibri" w:hAnsi="Calibri"/>
          <w:szCs w:val="20"/>
        </w:rPr>
      </w:pPr>
      <w:r>
        <w:rPr>
          <w:rFonts w:ascii="Calibri" w:hAnsi="Calibri"/>
          <w:szCs w:val="20"/>
        </w:rPr>
        <w:t>wsparcie w zakresie usług asystenckich, opiekuńczych w celu umożliwienia opiekunom funkcjonowania społecznego, zawodowego oraz edukacyjnego,</w:t>
      </w:r>
    </w:p>
    <w:p w:rsidR="00067C16" w:rsidRDefault="00067C16" w:rsidP="00067C16">
      <w:pPr>
        <w:numPr>
          <w:ilvl w:val="0"/>
          <w:numId w:val="13"/>
        </w:numPr>
        <w:ind w:left="1077" w:hanging="357"/>
        <w:jc w:val="both"/>
        <w:rPr>
          <w:rFonts w:ascii="Calibri" w:hAnsi="Calibri"/>
          <w:szCs w:val="20"/>
        </w:rPr>
      </w:pPr>
      <w:r>
        <w:rPr>
          <w:rFonts w:ascii="Calibri" w:hAnsi="Calibri"/>
          <w:szCs w:val="20"/>
        </w:rPr>
        <w:t>projekty skierowane do osób zagrożonych uzależnieniami, uzależnionych i współuzależnionych,</w:t>
      </w:r>
    </w:p>
    <w:p w:rsidR="00067C16" w:rsidRDefault="00067C16" w:rsidP="00067C16">
      <w:pPr>
        <w:numPr>
          <w:ilvl w:val="0"/>
          <w:numId w:val="13"/>
        </w:numPr>
        <w:ind w:left="1077" w:hanging="357"/>
        <w:jc w:val="both"/>
        <w:rPr>
          <w:rFonts w:ascii="Calibri" w:hAnsi="Calibri"/>
          <w:szCs w:val="20"/>
        </w:rPr>
      </w:pPr>
      <w:r>
        <w:rPr>
          <w:rFonts w:ascii="Calibri" w:hAnsi="Calibri"/>
          <w:szCs w:val="20"/>
        </w:rPr>
        <w:t>rozwój usług społecznych i kompleksowe działania na rzecz integracji społecznej i zawodowej osób bezdomnych,</w:t>
      </w:r>
    </w:p>
    <w:p w:rsidR="00067C16" w:rsidRDefault="00067C16" w:rsidP="00067C16">
      <w:pPr>
        <w:numPr>
          <w:ilvl w:val="0"/>
          <w:numId w:val="13"/>
        </w:numPr>
        <w:ind w:left="1077" w:hanging="357"/>
        <w:jc w:val="both"/>
        <w:rPr>
          <w:rFonts w:ascii="Calibri" w:hAnsi="Calibri"/>
          <w:szCs w:val="20"/>
        </w:rPr>
      </w:pPr>
      <w:r>
        <w:rPr>
          <w:rFonts w:ascii="Calibri" w:hAnsi="Calibri"/>
          <w:szCs w:val="20"/>
        </w:rPr>
        <w:t xml:space="preserve">uruchomienie ogrzewalni dla osób bezdomnych, </w:t>
      </w:r>
    </w:p>
    <w:p w:rsidR="00067C16" w:rsidRDefault="00067C16" w:rsidP="00067C16">
      <w:pPr>
        <w:numPr>
          <w:ilvl w:val="0"/>
          <w:numId w:val="13"/>
        </w:numPr>
        <w:ind w:left="1077" w:hanging="357"/>
        <w:jc w:val="both"/>
        <w:rPr>
          <w:rFonts w:ascii="Calibri" w:hAnsi="Calibri"/>
          <w:szCs w:val="20"/>
        </w:rPr>
      </w:pPr>
      <w:r>
        <w:rPr>
          <w:rFonts w:ascii="Calibri" w:hAnsi="Calibri"/>
          <w:szCs w:val="20"/>
        </w:rPr>
        <w:t xml:space="preserve">wsparcie osób korzystających z pomocy społecznej (np. wsparcie prawne, psychologiczne, itd.), </w:t>
      </w:r>
    </w:p>
    <w:p w:rsidR="00067C16" w:rsidRDefault="00067C16" w:rsidP="00067C16">
      <w:pPr>
        <w:numPr>
          <w:ilvl w:val="0"/>
          <w:numId w:val="13"/>
        </w:numPr>
        <w:ind w:left="1077" w:hanging="357"/>
        <w:jc w:val="both"/>
        <w:rPr>
          <w:rFonts w:ascii="Calibri" w:hAnsi="Calibri"/>
          <w:szCs w:val="20"/>
        </w:rPr>
      </w:pPr>
      <w:r>
        <w:rPr>
          <w:rFonts w:ascii="Calibri" w:hAnsi="Calibri"/>
          <w:szCs w:val="20"/>
        </w:rPr>
        <w:t>działania (edukacyjne, społeczne, zawodowe) służące aktywnej, kompleksowej integracji o charakterze wsparcia indywidualnego, rodzinnego, środowiskowego, na rzecz osób, rodzin i grup wykluczonych i zagrożonych wykluczeniem społecznym,</w:t>
      </w:r>
    </w:p>
    <w:p w:rsidR="00067C16" w:rsidRDefault="00067C16" w:rsidP="00067C16">
      <w:pPr>
        <w:numPr>
          <w:ilvl w:val="0"/>
          <w:numId w:val="13"/>
        </w:numPr>
        <w:ind w:left="1077" w:hanging="357"/>
        <w:jc w:val="both"/>
        <w:rPr>
          <w:rFonts w:ascii="Calibri" w:hAnsi="Calibri"/>
          <w:szCs w:val="20"/>
        </w:rPr>
      </w:pPr>
      <w:r>
        <w:rPr>
          <w:rFonts w:ascii="Calibri" w:hAnsi="Calibri"/>
          <w:szCs w:val="20"/>
        </w:rPr>
        <w:t>rozwój i deinstytucjonalizacja usług zdrowotnych służących poprawie zdrowia osób zagrożonych ubóstwem i wykluczeniem społecznym,</w:t>
      </w:r>
    </w:p>
    <w:p w:rsidR="00067C16" w:rsidRDefault="00067C16" w:rsidP="00067C16">
      <w:pPr>
        <w:numPr>
          <w:ilvl w:val="0"/>
          <w:numId w:val="13"/>
        </w:numPr>
        <w:ind w:left="1077" w:hanging="357"/>
        <w:jc w:val="both"/>
        <w:rPr>
          <w:rFonts w:ascii="Calibri" w:hAnsi="Calibri"/>
          <w:szCs w:val="20"/>
        </w:rPr>
      </w:pPr>
      <w:r>
        <w:rPr>
          <w:rFonts w:ascii="Calibri" w:hAnsi="Calibri"/>
          <w:szCs w:val="20"/>
        </w:rPr>
        <w:t>wsparcie służące poprawie dostępu do usług reintegracji społecznej i zawodowej poprzez wykorzystanie potencjału podmiotów reintegracyjnych i utworzenie nowych (Centrum Integracji Społecznej, Klub Integracji Społecznej, Zakład Adaptacji Zawodowej, Warsztaty Terapii Zajęciowej),</w:t>
      </w:r>
    </w:p>
    <w:p w:rsidR="00067C16" w:rsidRDefault="00067C16" w:rsidP="00067C16">
      <w:pPr>
        <w:numPr>
          <w:ilvl w:val="0"/>
          <w:numId w:val="13"/>
        </w:numPr>
        <w:ind w:left="1077" w:hanging="357"/>
        <w:jc w:val="both"/>
        <w:rPr>
          <w:rFonts w:ascii="Calibri" w:hAnsi="Calibri"/>
          <w:szCs w:val="20"/>
        </w:rPr>
      </w:pPr>
      <w:r>
        <w:rPr>
          <w:rFonts w:ascii="Calibri" w:hAnsi="Calibri"/>
          <w:szCs w:val="20"/>
        </w:rPr>
        <w:t>wsparcie w zakresie rozszerzenia oferty podmiotów opieki instytucjonalnej,</w:t>
      </w:r>
    </w:p>
    <w:p w:rsidR="00067C16" w:rsidRDefault="00067C16" w:rsidP="00067C16">
      <w:pPr>
        <w:numPr>
          <w:ilvl w:val="0"/>
          <w:numId w:val="13"/>
        </w:numPr>
        <w:ind w:left="1077" w:hanging="357"/>
        <w:jc w:val="both"/>
        <w:rPr>
          <w:rFonts w:ascii="Calibri" w:hAnsi="Calibri"/>
          <w:szCs w:val="20"/>
        </w:rPr>
      </w:pPr>
      <w:r>
        <w:rPr>
          <w:rFonts w:ascii="Calibri" w:hAnsi="Calibri"/>
          <w:szCs w:val="20"/>
        </w:rPr>
        <w:t>rozwój usług mieszkalnictwa wspieranego,</w:t>
      </w:r>
    </w:p>
    <w:p w:rsidR="00067C16" w:rsidRDefault="00067C16" w:rsidP="00067C16">
      <w:pPr>
        <w:numPr>
          <w:ilvl w:val="0"/>
          <w:numId w:val="13"/>
        </w:numPr>
        <w:ind w:left="1077" w:hanging="357"/>
        <w:jc w:val="both"/>
        <w:rPr>
          <w:rFonts w:ascii="Calibri" w:hAnsi="Calibri"/>
          <w:szCs w:val="20"/>
        </w:rPr>
      </w:pPr>
      <w:r>
        <w:rPr>
          <w:rFonts w:ascii="Calibri" w:hAnsi="Calibri"/>
          <w:szCs w:val="20"/>
        </w:rPr>
        <w:t xml:space="preserve">włączenie do polityki czynszowej miasta rozwiązań dla osób wykluczonych lub zagrożonych wykluczeniem społecznym (np. możliwość odpracowania zaległości czynszowych), </w:t>
      </w:r>
    </w:p>
    <w:p w:rsidR="00067C16" w:rsidRDefault="00067C16" w:rsidP="00067C16">
      <w:pPr>
        <w:numPr>
          <w:ilvl w:val="0"/>
          <w:numId w:val="13"/>
        </w:numPr>
        <w:ind w:left="1077" w:hanging="357"/>
        <w:jc w:val="both"/>
        <w:rPr>
          <w:rFonts w:ascii="Calibri" w:hAnsi="Calibri"/>
          <w:szCs w:val="20"/>
        </w:rPr>
      </w:pPr>
      <w:r>
        <w:rPr>
          <w:rFonts w:ascii="Calibri" w:hAnsi="Calibri"/>
          <w:szCs w:val="20"/>
        </w:rPr>
        <w:t>kompleksowe działania na rzecz aktywizacji społeczno – zawodowej i integracji mieszkańców lokali socjalnych z zastosowaniem instrumentów aktywnej integracji (edukacyjnych, społecznych i zawodowych),</w:t>
      </w:r>
    </w:p>
    <w:p w:rsidR="00067C16" w:rsidRDefault="00067C16" w:rsidP="00067C16">
      <w:pPr>
        <w:numPr>
          <w:ilvl w:val="0"/>
          <w:numId w:val="13"/>
        </w:numPr>
        <w:ind w:left="1077" w:hanging="357"/>
        <w:jc w:val="both"/>
        <w:rPr>
          <w:rFonts w:ascii="Calibri" w:hAnsi="Calibri"/>
          <w:szCs w:val="20"/>
        </w:rPr>
      </w:pPr>
      <w:r>
        <w:rPr>
          <w:rFonts w:ascii="Calibri" w:hAnsi="Calibri"/>
          <w:szCs w:val="20"/>
        </w:rPr>
        <w:t>kompleksowe działania wspierające rodzinę i rozwijające formy pracy z rodziną (np. asystentury rodzinnej, rodzin wspieranych i pomocowych,</w:t>
      </w:r>
    </w:p>
    <w:p w:rsidR="00067C16" w:rsidRDefault="00067C16" w:rsidP="00067C16">
      <w:pPr>
        <w:numPr>
          <w:ilvl w:val="0"/>
          <w:numId w:val="13"/>
        </w:numPr>
        <w:ind w:left="1077" w:hanging="357"/>
        <w:jc w:val="both"/>
        <w:rPr>
          <w:rFonts w:ascii="Calibri" w:hAnsi="Calibri"/>
          <w:szCs w:val="20"/>
        </w:rPr>
      </w:pPr>
      <w:r>
        <w:rPr>
          <w:rFonts w:ascii="Calibri" w:hAnsi="Calibri"/>
          <w:szCs w:val="20"/>
        </w:rPr>
        <w:t>rozwój rodzinnych form pieczy zastępczej oraz podnoszenia jakości usług świadczonych w formach instytucjonalnych,</w:t>
      </w:r>
    </w:p>
    <w:p w:rsidR="00067C16" w:rsidRDefault="00067C16" w:rsidP="00067C16">
      <w:pPr>
        <w:numPr>
          <w:ilvl w:val="0"/>
          <w:numId w:val="13"/>
        </w:numPr>
        <w:ind w:left="1077" w:hanging="357"/>
        <w:jc w:val="both"/>
        <w:rPr>
          <w:rFonts w:ascii="Calibri" w:hAnsi="Calibri"/>
          <w:szCs w:val="20"/>
        </w:rPr>
      </w:pPr>
      <w:r>
        <w:rPr>
          <w:rFonts w:ascii="Calibri" w:hAnsi="Calibri"/>
          <w:szCs w:val="20"/>
        </w:rPr>
        <w:t>działania na rzecz usamodzielnienia osób opuszczających pieczę zastępczą, służące poprawie szans adaptacyjnych, między innymi dodatkowe wsparcie w zakresie umiejętności społecznych i zawodowych,</w:t>
      </w:r>
    </w:p>
    <w:p w:rsidR="00067C16" w:rsidRDefault="00067C16" w:rsidP="00067C16">
      <w:pPr>
        <w:numPr>
          <w:ilvl w:val="0"/>
          <w:numId w:val="13"/>
        </w:numPr>
        <w:ind w:left="1077" w:hanging="357"/>
        <w:jc w:val="both"/>
        <w:rPr>
          <w:rFonts w:ascii="Calibri" w:hAnsi="Calibri"/>
          <w:szCs w:val="20"/>
        </w:rPr>
      </w:pPr>
      <w:r>
        <w:rPr>
          <w:rFonts w:ascii="Calibri" w:hAnsi="Calibri"/>
          <w:szCs w:val="20"/>
        </w:rPr>
        <w:t>rozszerzenie oferty wsparcia w placówkach wsparcia dziennego dla dzieci i młodzieży i ich rozwoju (w tym środowiskowych form opieki np. świetlice, kluby środowiskowe),</w:t>
      </w:r>
    </w:p>
    <w:p w:rsidR="00067C16" w:rsidRDefault="00067C16" w:rsidP="00067C16">
      <w:pPr>
        <w:numPr>
          <w:ilvl w:val="0"/>
          <w:numId w:val="13"/>
        </w:numPr>
        <w:ind w:left="1077" w:hanging="357"/>
        <w:jc w:val="both"/>
        <w:rPr>
          <w:rFonts w:ascii="Calibri" w:hAnsi="Calibri"/>
          <w:szCs w:val="20"/>
        </w:rPr>
      </w:pPr>
      <w:r>
        <w:rPr>
          <w:rFonts w:ascii="Calibri" w:hAnsi="Calibri"/>
          <w:szCs w:val="20"/>
        </w:rPr>
        <w:t xml:space="preserve">działania wspierające wzrost kompetencji rodzicielskich oraz niwelowanie zachowań dysfunkcyjnych (np. powodujących konieczność umieszczania dzieci w pieczy zastępczej), </w:t>
      </w:r>
    </w:p>
    <w:p w:rsidR="00067C16" w:rsidRDefault="00067C16" w:rsidP="00067C16">
      <w:pPr>
        <w:numPr>
          <w:ilvl w:val="0"/>
          <w:numId w:val="13"/>
        </w:numPr>
        <w:ind w:left="1077" w:hanging="357"/>
        <w:jc w:val="both"/>
        <w:rPr>
          <w:rFonts w:ascii="Calibri" w:hAnsi="Calibri"/>
          <w:szCs w:val="20"/>
        </w:rPr>
      </w:pPr>
      <w:r>
        <w:rPr>
          <w:rFonts w:ascii="Calibri" w:hAnsi="Calibri"/>
          <w:szCs w:val="20"/>
        </w:rPr>
        <w:t>wzmacnianie potencjału społecznego i zawodowego lokalnych społeczności (działania oparte o samopomoc i wolontariat, środowiskowe, prozatrudnieniowe, edukacyjne), programy aktywności lokalnej.</w:t>
      </w:r>
    </w:p>
    <w:p w:rsidR="00B92ED6" w:rsidRDefault="00B92ED6" w:rsidP="00B92ED6">
      <w:pPr>
        <w:ind w:left="1077"/>
        <w:jc w:val="both"/>
        <w:rPr>
          <w:rFonts w:ascii="Calibri" w:hAnsi="Calibri"/>
          <w:szCs w:val="20"/>
        </w:rPr>
      </w:pPr>
    </w:p>
    <w:p w:rsidR="00E2020B" w:rsidRPr="00273B97" w:rsidRDefault="00E1285D" w:rsidP="009C1D86">
      <w:pPr>
        <w:shd w:val="clear" w:color="auto" w:fill="F2F2F2" w:themeFill="background1" w:themeFillShade="F2"/>
        <w:jc w:val="both"/>
        <w:rPr>
          <w:rFonts w:ascii="Calibri" w:hAnsi="Calibri"/>
          <w:b/>
          <w:bCs/>
          <w:szCs w:val="20"/>
        </w:rPr>
      </w:pPr>
      <w:r w:rsidRPr="00273B97">
        <w:rPr>
          <w:rFonts w:ascii="Calibri" w:hAnsi="Calibri"/>
          <w:b/>
          <w:szCs w:val="20"/>
        </w:rPr>
        <w:t xml:space="preserve">Projekty, </w:t>
      </w:r>
      <w:r w:rsidRPr="00273B97">
        <w:rPr>
          <w:rFonts w:ascii="Calibri" w:hAnsi="Calibri"/>
          <w:b/>
          <w:bCs/>
          <w:szCs w:val="20"/>
        </w:rPr>
        <w:t>których główna interwencja zmierza do zapobiegania wykluczeniu i do włączenia społecznego różnych grup społecznych:</w:t>
      </w:r>
    </w:p>
    <w:p w:rsidR="00E1285D" w:rsidRPr="00273B97" w:rsidRDefault="00E1285D" w:rsidP="009C1D86">
      <w:pPr>
        <w:pStyle w:val="Akapitzlist"/>
        <w:numPr>
          <w:ilvl w:val="0"/>
          <w:numId w:val="737"/>
        </w:numPr>
        <w:shd w:val="clear" w:color="auto" w:fill="F2F2F2" w:themeFill="background1" w:themeFillShade="F2"/>
        <w:spacing w:after="0" w:line="252" w:lineRule="auto"/>
        <w:ind w:left="1134" w:hanging="425"/>
        <w:jc w:val="both"/>
        <w:rPr>
          <w:sz w:val="20"/>
          <w:szCs w:val="20"/>
        </w:rPr>
      </w:pPr>
      <w:r w:rsidRPr="00273B97">
        <w:rPr>
          <w:sz w:val="20"/>
          <w:szCs w:val="20"/>
        </w:rPr>
        <w:t>Rozwój mieszkalnictwa socjalnego w Bytomiu – podobszar 8 Bobrek</w:t>
      </w:r>
      <w:r w:rsidR="00F012A9" w:rsidRPr="00273B97">
        <w:rPr>
          <w:sz w:val="20"/>
          <w:szCs w:val="20"/>
        </w:rPr>
        <w:t xml:space="preserve"> – Miasto Bytom,</w:t>
      </w:r>
    </w:p>
    <w:p w:rsidR="002A6628" w:rsidRPr="00273B97" w:rsidRDefault="00E1285D" w:rsidP="009C1D86">
      <w:pPr>
        <w:pStyle w:val="Akapitzlist"/>
        <w:numPr>
          <w:ilvl w:val="0"/>
          <w:numId w:val="737"/>
        </w:numPr>
        <w:shd w:val="clear" w:color="auto" w:fill="F2F2F2" w:themeFill="background1" w:themeFillShade="F2"/>
        <w:spacing w:after="0" w:line="252" w:lineRule="auto"/>
        <w:ind w:left="1134" w:hanging="425"/>
        <w:jc w:val="both"/>
        <w:rPr>
          <w:sz w:val="20"/>
          <w:szCs w:val="20"/>
        </w:rPr>
      </w:pPr>
      <w:r w:rsidRPr="00273B97">
        <w:rPr>
          <w:sz w:val="20"/>
          <w:szCs w:val="20"/>
        </w:rPr>
        <w:t xml:space="preserve">Adaptacja przyparafialnego budynku na potrzeby utworzenia Klubu Seniora </w:t>
      </w:r>
      <w:r w:rsidRPr="00273B97">
        <w:rPr>
          <w:sz w:val="20"/>
          <w:szCs w:val="20"/>
        </w:rPr>
        <w:br/>
        <w:t>w dzielnicy Bobrek</w:t>
      </w:r>
      <w:r w:rsidR="00F012A9" w:rsidRPr="00273B97">
        <w:rPr>
          <w:sz w:val="20"/>
          <w:szCs w:val="20"/>
        </w:rPr>
        <w:t xml:space="preserve"> - Parafia pw. Świętej Rodziny w Bytomiu Bobrku,</w:t>
      </w:r>
    </w:p>
    <w:p w:rsidR="002A6628" w:rsidRPr="00273B97" w:rsidRDefault="002A6628" w:rsidP="009C1D86">
      <w:pPr>
        <w:pStyle w:val="Akapitzlist"/>
        <w:numPr>
          <w:ilvl w:val="0"/>
          <w:numId w:val="737"/>
        </w:numPr>
        <w:shd w:val="clear" w:color="auto" w:fill="F2F2F2" w:themeFill="background1" w:themeFillShade="F2"/>
        <w:spacing w:after="0" w:line="252" w:lineRule="auto"/>
        <w:ind w:left="1134" w:hanging="425"/>
        <w:jc w:val="both"/>
        <w:rPr>
          <w:sz w:val="20"/>
          <w:szCs w:val="20"/>
        </w:rPr>
      </w:pPr>
      <w:r w:rsidRPr="00273B97">
        <w:rPr>
          <w:sz w:val="20"/>
          <w:szCs w:val="20"/>
        </w:rPr>
        <w:t>Bytom wszystkich zmysłów - Ewangelickie Stowarzyszenie Kultury Łódź (Miechowice),</w:t>
      </w:r>
    </w:p>
    <w:p w:rsidR="002A6628" w:rsidRPr="00273B97" w:rsidRDefault="002A6628" w:rsidP="009C1D86">
      <w:pPr>
        <w:pStyle w:val="Akapitzlist"/>
        <w:numPr>
          <w:ilvl w:val="0"/>
          <w:numId w:val="737"/>
        </w:numPr>
        <w:shd w:val="clear" w:color="auto" w:fill="F2F2F2" w:themeFill="background1" w:themeFillShade="F2"/>
        <w:spacing w:after="0" w:line="252" w:lineRule="auto"/>
        <w:ind w:left="1134" w:hanging="425"/>
        <w:jc w:val="both"/>
        <w:rPr>
          <w:sz w:val="20"/>
          <w:szCs w:val="20"/>
        </w:rPr>
      </w:pPr>
      <w:r w:rsidRPr="00273B97">
        <w:rPr>
          <w:sz w:val="20"/>
          <w:szCs w:val="20"/>
        </w:rPr>
        <w:t xml:space="preserve">Mamy moc – program z zakresu pedagogiki podwórkowej w rejonie Bobrka, Rozbarku, Karbia </w:t>
      </w:r>
      <w:r w:rsidRPr="00273B97">
        <w:rPr>
          <w:sz w:val="20"/>
          <w:szCs w:val="20"/>
        </w:rPr>
        <w:br/>
        <w:t>i Miechowic - Centrum Misji i Ewangelizacji Kościoła Ewangelicko-Augsburskiego w RP,</w:t>
      </w:r>
    </w:p>
    <w:p w:rsidR="002A6628" w:rsidRPr="00273B97" w:rsidRDefault="002A6628" w:rsidP="009C1D86">
      <w:pPr>
        <w:pStyle w:val="Akapitzlist"/>
        <w:numPr>
          <w:ilvl w:val="0"/>
          <w:numId w:val="737"/>
        </w:numPr>
        <w:shd w:val="clear" w:color="auto" w:fill="F2F2F2" w:themeFill="background1" w:themeFillShade="F2"/>
        <w:spacing w:after="0" w:line="252" w:lineRule="auto"/>
        <w:ind w:left="1134" w:hanging="425"/>
        <w:jc w:val="both"/>
        <w:rPr>
          <w:sz w:val="20"/>
          <w:szCs w:val="20"/>
        </w:rPr>
      </w:pPr>
      <w:r w:rsidRPr="00273B97">
        <w:rPr>
          <w:sz w:val="20"/>
          <w:szCs w:val="20"/>
        </w:rPr>
        <w:t>Jesteśmy dla Was - Fundacja Jesteśmy dla Was Katowice,</w:t>
      </w:r>
    </w:p>
    <w:p w:rsidR="00F012A9" w:rsidRPr="00273B97" w:rsidRDefault="002A6628" w:rsidP="009C1D86">
      <w:pPr>
        <w:pStyle w:val="Akapitzlist"/>
        <w:numPr>
          <w:ilvl w:val="0"/>
          <w:numId w:val="737"/>
        </w:numPr>
        <w:shd w:val="clear" w:color="auto" w:fill="F2F2F2" w:themeFill="background1" w:themeFillShade="F2"/>
        <w:spacing w:after="0" w:line="252" w:lineRule="auto"/>
        <w:ind w:left="1134" w:hanging="425"/>
        <w:jc w:val="both"/>
        <w:rPr>
          <w:sz w:val="20"/>
          <w:szCs w:val="20"/>
        </w:rPr>
      </w:pPr>
      <w:r w:rsidRPr="00273B97">
        <w:rPr>
          <w:sz w:val="20"/>
          <w:szCs w:val="20"/>
        </w:rPr>
        <w:t xml:space="preserve">Program Aktywności Lokalnej w Gminie Bytom - Podmiot prywatny (projekt realizowany </w:t>
      </w:r>
      <w:r w:rsidR="00027769">
        <w:rPr>
          <w:sz w:val="20"/>
          <w:szCs w:val="20"/>
        </w:rPr>
        <w:br/>
      </w:r>
      <w:r w:rsidRPr="00273B97">
        <w:rPr>
          <w:sz w:val="20"/>
          <w:szCs w:val="20"/>
        </w:rPr>
        <w:t>w partnerstwie)</w:t>
      </w:r>
      <w:r w:rsidR="00DC24A0" w:rsidRPr="00273B97">
        <w:rPr>
          <w:sz w:val="20"/>
          <w:szCs w:val="20"/>
        </w:rPr>
        <w:t>,</w:t>
      </w:r>
    </w:p>
    <w:p w:rsidR="00DD0D6F" w:rsidRPr="00273B97" w:rsidRDefault="00DD0D6F" w:rsidP="009C1D86">
      <w:pPr>
        <w:pStyle w:val="Akapitzlist"/>
        <w:numPr>
          <w:ilvl w:val="0"/>
          <w:numId w:val="737"/>
        </w:numPr>
        <w:shd w:val="clear" w:color="auto" w:fill="F2F2F2" w:themeFill="background1" w:themeFillShade="F2"/>
        <w:spacing w:after="0" w:line="252" w:lineRule="auto"/>
        <w:ind w:left="1134" w:hanging="425"/>
        <w:jc w:val="both"/>
        <w:rPr>
          <w:sz w:val="20"/>
          <w:szCs w:val="20"/>
        </w:rPr>
      </w:pPr>
      <w:r w:rsidRPr="00273B97">
        <w:rPr>
          <w:sz w:val="20"/>
          <w:szCs w:val="20"/>
        </w:rPr>
        <w:t>Centrum Terapii i Rozwoju "Perspektywa" - Fundacja Pomóc Więcej Sosnowiec,</w:t>
      </w:r>
    </w:p>
    <w:p w:rsidR="00DD0D6F" w:rsidRPr="00273B97" w:rsidRDefault="00DD0D6F" w:rsidP="009C1D86">
      <w:pPr>
        <w:pStyle w:val="Akapitzlist"/>
        <w:numPr>
          <w:ilvl w:val="0"/>
          <w:numId w:val="737"/>
        </w:numPr>
        <w:shd w:val="clear" w:color="auto" w:fill="F2F2F2" w:themeFill="background1" w:themeFillShade="F2"/>
        <w:spacing w:after="0" w:line="252" w:lineRule="auto"/>
        <w:ind w:left="1134" w:hanging="425"/>
        <w:jc w:val="both"/>
        <w:rPr>
          <w:sz w:val="20"/>
          <w:szCs w:val="20"/>
        </w:rPr>
      </w:pPr>
      <w:r w:rsidRPr="00273B97">
        <w:rPr>
          <w:sz w:val="20"/>
          <w:szCs w:val="20"/>
        </w:rPr>
        <w:t xml:space="preserve">Rozwój usług społecznych w Bytomiu – Klub Seniora w dzielnicy Bobrek </w:t>
      </w:r>
      <w:r w:rsidR="00EC4304" w:rsidRPr="00273B97">
        <w:rPr>
          <w:sz w:val="20"/>
          <w:szCs w:val="20"/>
        </w:rPr>
        <w:t xml:space="preserve">- </w:t>
      </w:r>
      <w:r w:rsidRPr="00273B97">
        <w:rPr>
          <w:sz w:val="20"/>
          <w:szCs w:val="20"/>
        </w:rPr>
        <w:t>Parafia pw. Świętej Rodziny w Bytomiu Bobrku,</w:t>
      </w:r>
    </w:p>
    <w:p w:rsidR="004775CB" w:rsidRPr="00273B97" w:rsidRDefault="004775CB" w:rsidP="009C1D86">
      <w:pPr>
        <w:pStyle w:val="Akapitzlist"/>
        <w:numPr>
          <w:ilvl w:val="0"/>
          <w:numId w:val="737"/>
        </w:numPr>
        <w:shd w:val="clear" w:color="auto" w:fill="F2F2F2" w:themeFill="background1" w:themeFillShade="F2"/>
        <w:spacing w:after="0" w:line="252" w:lineRule="auto"/>
        <w:ind w:left="1134" w:hanging="425"/>
        <w:jc w:val="both"/>
        <w:rPr>
          <w:sz w:val="20"/>
          <w:szCs w:val="20"/>
        </w:rPr>
      </w:pPr>
      <w:r w:rsidRPr="00273B97">
        <w:rPr>
          <w:sz w:val="20"/>
          <w:szCs w:val="20"/>
        </w:rPr>
        <w:t>AS – kontynuacja – Miasto Bytom,</w:t>
      </w:r>
    </w:p>
    <w:p w:rsidR="00B92ED6" w:rsidRPr="00273B97" w:rsidRDefault="00B92ED6" w:rsidP="009C1D86">
      <w:pPr>
        <w:pStyle w:val="Akapitzlist"/>
        <w:numPr>
          <w:ilvl w:val="0"/>
          <w:numId w:val="737"/>
        </w:numPr>
        <w:shd w:val="clear" w:color="auto" w:fill="F2F2F2" w:themeFill="background1" w:themeFillShade="F2"/>
        <w:spacing w:after="0" w:line="252" w:lineRule="auto"/>
        <w:ind w:left="1134" w:hanging="425"/>
        <w:jc w:val="both"/>
        <w:rPr>
          <w:sz w:val="20"/>
          <w:szCs w:val="20"/>
        </w:rPr>
      </w:pPr>
      <w:r w:rsidRPr="00273B97">
        <w:rPr>
          <w:sz w:val="20"/>
          <w:szCs w:val="20"/>
        </w:rPr>
        <w:t>Utworzenie Centrum Aktywności Społecznej przy Parafii św. Trójcy w Bytomiu - Parafia Św. Trójcy,</w:t>
      </w:r>
    </w:p>
    <w:p w:rsidR="00B92ED6" w:rsidRPr="00273B97" w:rsidRDefault="00B92ED6" w:rsidP="009C1D86">
      <w:pPr>
        <w:pStyle w:val="Akapitzlist"/>
        <w:numPr>
          <w:ilvl w:val="0"/>
          <w:numId w:val="737"/>
        </w:numPr>
        <w:shd w:val="clear" w:color="auto" w:fill="F2F2F2" w:themeFill="background1" w:themeFillShade="F2"/>
        <w:spacing w:after="0" w:line="252" w:lineRule="auto"/>
        <w:ind w:left="1134" w:hanging="425"/>
        <w:jc w:val="both"/>
        <w:rPr>
          <w:sz w:val="20"/>
          <w:szCs w:val="20"/>
        </w:rPr>
      </w:pPr>
      <w:r w:rsidRPr="00273B97">
        <w:rPr>
          <w:sz w:val="20"/>
          <w:szCs w:val="20"/>
        </w:rPr>
        <w:t>Utworzenie centrum społeczno-kulturalnego na Wzgórzu Św. Małgorzaty - Parafia Św. Małgorzaty,</w:t>
      </w:r>
    </w:p>
    <w:p w:rsidR="00B92ED6" w:rsidRPr="00273B97" w:rsidRDefault="00B92ED6" w:rsidP="009C1D86">
      <w:pPr>
        <w:pStyle w:val="Akapitzlist"/>
        <w:numPr>
          <w:ilvl w:val="0"/>
          <w:numId w:val="737"/>
        </w:numPr>
        <w:shd w:val="clear" w:color="auto" w:fill="F2F2F2" w:themeFill="background1" w:themeFillShade="F2"/>
        <w:spacing w:after="0" w:line="252" w:lineRule="auto"/>
        <w:ind w:left="1134" w:hanging="425"/>
        <w:jc w:val="both"/>
        <w:rPr>
          <w:sz w:val="20"/>
          <w:szCs w:val="20"/>
        </w:rPr>
      </w:pPr>
      <w:r w:rsidRPr="00273B97">
        <w:rPr>
          <w:sz w:val="20"/>
          <w:szCs w:val="20"/>
        </w:rPr>
        <w:t xml:space="preserve">Modernizacja centrum parafialnego przy pl. Klasztornym 4a w Bytomiu dla potrzeb mieszkańców obszaru rewitalizacji </w:t>
      </w:r>
      <w:r w:rsidR="003C24B4" w:rsidRPr="00273B97">
        <w:rPr>
          <w:sz w:val="20"/>
          <w:szCs w:val="20"/>
        </w:rPr>
        <w:t xml:space="preserve">- </w:t>
      </w:r>
      <w:r w:rsidRPr="00273B97">
        <w:rPr>
          <w:sz w:val="20"/>
          <w:szCs w:val="20"/>
        </w:rPr>
        <w:t>Parafia Ewangelicko-Augsburska (pl. Klasztorny)</w:t>
      </w:r>
      <w:r w:rsidR="003C24B4" w:rsidRPr="00273B97">
        <w:rPr>
          <w:sz w:val="20"/>
          <w:szCs w:val="20"/>
        </w:rPr>
        <w:t>,</w:t>
      </w:r>
    </w:p>
    <w:p w:rsidR="00B92ED6" w:rsidRPr="00273B97" w:rsidRDefault="00241989" w:rsidP="009C1D86">
      <w:pPr>
        <w:pStyle w:val="Akapitzlist"/>
        <w:numPr>
          <w:ilvl w:val="0"/>
          <w:numId w:val="737"/>
        </w:numPr>
        <w:shd w:val="clear" w:color="auto" w:fill="F2F2F2" w:themeFill="background1" w:themeFillShade="F2"/>
        <w:spacing w:after="0" w:line="252" w:lineRule="auto"/>
        <w:ind w:left="1134" w:hanging="425"/>
        <w:jc w:val="both"/>
        <w:rPr>
          <w:sz w:val="20"/>
          <w:szCs w:val="20"/>
        </w:rPr>
      </w:pPr>
      <w:r w:rsidRPr="00273B97">
        <w:rPr>
          <w:sz w:val="20"/>
          <w:szCs w:val="20"/>
        </w:rPr>
        <w:t xml:space="preserve">Rewitalizacja budynku przy ul. Wrocławskiej 58 na cele społeczne - Dom Invest sp. z o. o., </w:t>
      </w:r>
    </w:p>
    <w:p w:rsidR="00241989" w:rsidRPr="00273B97" w:rsidRDefault="00241989" w:rsidP="009C1D86">
      <w:pPr>
        <w:pStyle w:val="Akapitzlist"/>
        <w:numPr>
          <w:ilvl w:val="0"/>
          <w:numId w:val="737"/>
        </w:numPr>
        <w:shd w:val="clear" w:color="auto" w:fill="F2F2F2" w:themeFill="background1" w:themeFillShade="F2"/>
        <w:spacing w:after="0" w:line="252" w:lineRule="auto"/>
        <w:ind w:left="1134" w:hanging="425"/>
        <w:jc w:val="both"/>
        <w:rPr>
          <w:sz w:val="20"/>
          <w:szCs w:val="20"/>
        </w:rPr>
      </w:pPr>
      <w:r w:rsidRPr="00273B97">
        <w:rPr>
          <w:sz w:val="20"/>
          <w:szCs w:val="20"/>
        </w:rPr>
        <w:t xml:space="preserve">Rewitalizacja budynku przy ul. Wrocławskiej 62 na cele społeczne - Dom Invest sp. z o. o., </w:t>
      </w:r>
    </w:p>
    <w:p w:rsidR="00CF7746" w:rsidRPr="00273B97" w:rsidRDefault="00262505" w:rsidP="009C1D86">
      <w:pPr>
        <w:pStyle w:val="Akapitzlist"/>
        <w:numPr>
          <w:ilvl w:val="0"/>
          <w:numId w:val="737"/>
        </w:numPr>
        <w:shd w:val="clear" w:color="auto" w:fill="F2F2F2" w:themeFill="background1" w:themeFillShade="F2"/>
        <w:spacing w:after="0" w:line="252" w:lineRule="auto"/>
        <w:ind w:left="1134" w:hanging="425"/>
        <w:jc w:val="both"/>
        <w:rPr>
          <w:sz w:val="20"/>
          <w:szCs w:val="20"/>
        </w:rPr>
      </w:pPr>
      <w:r w:rsidRPr="00273B97">
        <w:rPr>
          <w:rFonts w:eastAsia="Times New Roman"/>
          <w:sz w:val="20"/>
          <w:szCs w:val="20"/>
        </w:rPr>
        <w:t>Bezpieczna przystań - Wsparcie rynku pracy poprzez zapewnienie dziennej opieki nad seniorami. Rektyfikacja i remont dwóch segmentów dawnego budynku DPS na potrzeby centrum usług społecznych - Parafia Ewangelicko-Augsburska w Bytomiu – Miechowicach,</w:t>
      </w:r>
    </w:p>
    <w:p w:rsidR="00262505" w:rsidRPr="00273B97" w:rsidRDefault="00262505" w:rsidP="009C1D86">
      <w:pPr>
        <w:pStyle w:val="Akapitzlist"/>
        <w:numPr>
          <w:ilvl w:val="0"/>
          <w:numId w:val="737"/>
        </w:numPr>
        <w:shd w:val="clear" w:color="auto" w:fill="F2F2F2" w:themeFill="background1" w:themeFillShade="F2"/>
        <w:spacing w:after="0" w:line="252" w:lineRule="auto"/>
        <w:ind w:left="1134" w:hanging="425"/>
        <w:jc w:val="both"/>
        <w:rPr>
          <w:sz w:val="20"/>
          <w:szCs w:val="20"/>
        </w:rPr>
      </w:pPr>
      <w:r w:rsidRPr="00273B97">
        <w:rPr>
          <w:rFonts w:eastAsia="Times New Roman"/>
          <w:sz w:val="20"/>
          <w:szCs w:val="20"/>
        </w:rPr>
        <w:t>Nowa przestrzeń dla bytomskich seniorów. Remont zabytkowego budynku ELIM na potrzeby mieszkalnictwa wspomaganego dla osób starszych oraz zagospodarowanie terenu - Parafia Ewangelicko-Augsburska w Bytomiu – Miechowicach,</w:t>
      </w:r>
    </w:p>
    <w:p w:rsidR="00124F4E" w:rsidRPr="00124F4E" w:rsidRDefault="00262505" w:rsidP="009C1D86">
      <w:pPr>
        <w:pStyle w:val="Akapitzlist"/>
        <w:numPr>
          <w:ilvl w:val="0"/>
          <w:numId w:val="737"/>
        </w:numPr>
        <w:shd w:val="clear" w:color="auto" w:fill="F2F2F2" w:themeFill="background1" w:themeFillShade="F2"/>
        <w:spacing w:after="0" w:line="252" w:lineRule="auto"/>
        <w:ind w:left="1134" w:hanging="425"/>
        <w:jc w:val="both"/>
        <w:rPr>
          <w:sz w:val="20"/>
          <w:szCs w:val="20"/>
        </w:rPr>
      </w:pPr>
      <w:r w:rsidRPr="00124F4E">
        <w:rPr>
          <w:rFonts w:eastAsia="Times New Roman"/>
          <w:sz w:val="20"/>
          <w:szCs w:val="20"/>
        </w:rPr>
        <w:t>Integracja społeczna bytomskich seniorów - Parafia Ewangelicko-Augsburska w Bytomiu – M</w:t>
      </w:r>
      <w:r w:rsidR="00124F4E" w:rsidRPr="00124F4E">
        <w:rPr>
          <w:rFonts w:eastAsia="Times New Roman"/>
          <w:sz w:val="20"/>
          <w:szCs w:val="20"/>
        </w:rPr>
        <w:t>iechowicach,</w:t>
      </w:r>
    </w:p>
    <w:p w:rsidR="00124F4E" w:rsidRPr="00581E59" w:rsidRDefault="00124F4E" w:rsidP="009C1D86">
      <w:pPr>
        <w:pStyle w:val="Akapitzlist"/>
        <w:numPr>
          <w:ilvl w:val="0"/>
          <w:numId w:val="737"/>
        </w:numPr>
        <w:shd w:val="clear" w:color="auto" w:fill="F2F2F2" w:themeFill="background1" w:themeFillShade="F2"/>
        <w:spacing w:after="0" w:line="252" w:lineRule="auto"/>
        <w:ind w:left="1134" w:hanging="425"/>
        <w:jc w:val="both"/>
        <w:rPr>
          <w:sz w:val="20"/>
          <w:szCs w:val="20"/>
        </w:rPr>
      </w:pPr>
      <w:r w:rsidRPr="00581E59">
        <w:rPr>
          <w:bCs/>
          <w:sz w:val="20"/>
          <w:szCs w:val="20"/>
        </w:rPr>
        <w:t>Utworzenie miejskiego centrum edukacji i interwencji społecznej,</w:t>
      </w:r>
      <w:r w:rsidRPr="00581E59">
        <w:rPr>
          <w:b/>
          <w:sz w:val="20"/>
          <w:szCs w:val="20"/>
        </w:rPr>
        <w:t xml:space="preserve"> </w:t>
      </w:r>
      <w:r w:rsidRPr="00581E59">
        <w:rPr>
          <w:sz w:val="20"/>
          <w:szCs w:val="20"/>
        </w:rPr>
        <w:t xml:space="preserve">rewitalizacja budynków na działce nr 1150/259, 1033/260, 1034/260, wraz z zagospodarowaniem terenu - </w:t>
      </w:r>
      <w:r w:rsidRPr="00581E59">
        <w:rPr>
          <w:rFonts w:eastAsia="Times New Roman"/>
          <w:sz w:val="20"/>
          <w:szCs w:val="20"/>
        </w:rPr>
        <w:t>Rzymskokatolicka Parafia pw</w:t>
      </w:r>
      <w:r w:rsidR="00053011" w:rsidRPr="00581E59">
        <w:rPr>
          <w:rFonts w:eastAsia="Times New Roman"/>
          <w:sz w:val="20"/>
          <w:szCs w:val="20"/>
        </w:rPr>
        <w:t>. św. Jana Nepomucena w Bytomiu,</w:t>
      </w:r>
    </w:p>
    <w:p w:rsidR="00053011" w:rsidRPr="00581E59" w:rsidRDefault="00053011" w:rsidP="009C1D86">
      <w:pPr>
        <w:pStyle w:val="Akapitzlist"/>
        <w:numPr>
          <w:ilvl w:val="0"/>
          <w:numId w:val="737"/>
        </w:numPr>
        <w:shd w:val="clear" w:color="auto" w:fill="F2F2F2" w:themeFill="background1" w:themeFillShade="F2"/>
        <w:spacing w:after="0" w:line="252" w:lineRule="auto"/>
        <w:ind w:left="1134" w:hanging="425"/>
        <w:jc w:val="both"/>
        <w:rPr>
          <w:sz w:val="20"/>
          <w:szCs w:val="20"/>
        </w:rPr>
      </w:pPr>
      <w:r w:rsidRPr="00581E59">
        <w:rPr>
          <w:sz w:val="20"/>
          <w:szCs w:val="20"/>
        </w:rPr>
        <w:t xml:space="preserve">Kompleksowa rewitalizacja terenów zdegradowanych dawnej Huty Zygmunt </w:t>
      </w:r>
      <w:r w:rsidR="001E20D3" w:rsidRPr="00581E59">
        <w:rPr>
          <w:sz w:val="20"/>
          <w:szCs w:val="20"/>
        </w:rPr>
        <w:t>w celu utworzenia wielofunkcyjneg</w:t>
      </w:r>
      <w:r w:rsidRPr="00581E59">
        <w:rPr>
          <w:sz w:val="20"/>
          <w:szCs w:val="20"/>
        </w:rPr>
        <w:t>o obiektu usługowego</w:t>
      </w:r>
      <w:r w:rsidR="005640FD" w:rsidRPr="00581E59">
        <w:rPr>
          <w:sz w:val="20"/>
          <w:szCs w:val="20"/>
        </w:rPr>
        <w:t xml:space="preserve"> – Firma Handlowo-</w:t>
      </w:r>
      <w:r w:rsidRPr="00581E59">
        <w:rPr>
          <w:sz w:val="20"/>
          <w:szCs w:val="20"/>
        </w:rPr>
        <w:t>Usługowa „KRIW”.</w:t>
      </w:r>
    </w:p>
    <w:p w:rsidR="00124F4E" w:rsidRPr="00124F4E" w:rsidRDefault="00124F4E" w:rsidP="009C1D86">
      <w:pPr>
        <w:shd w:val="clear" w:color="auto" w:fill="FFFFFF" w:themeFill="background1"/>
        <w:spacing w:line="252" w:lineRule="auto"/>
        <w:ind w:left="709"/>
        <w:jc w:val="both"/>
        <w:rPr>
          <w:szCs w:val="20"/>
        </w:rPr>
      </w:pPr>
    </w:p>
    <w:p w:rsidR="00010EDC" w:rsidRDefault="00010EDC" w:rsidP="00010EDC">
      <w:pPr>
        <w:jc w:val="both"/>
        <w:rPr>
          <w:rFonts w:ascii="Calibri" w:hAnsi="Calibri"/>
        </w:rPr>
      </w:pPr>
      <w:r>
        <w:rPr>
          <w:rFonts w:ascii="Calibri" w:hAnsi="Calibri"/>
        </w:rPr>
        <w:t xml:space="preserve">Powyższe przedsięwzięcia przyczynią się do realizacji następujących celów GPR: </w:t>
      </w:r>
    </w:p>
    <w:p w:rsidR="00010EDC" w:rsidRDefault="00010EDC" w:rsidP="00010EDC">
      <w:pPr>
        <w:numPr>
          <w:ilvl w:val="0"/>
          <w:numId w:val="680"/>
        </w:numPr>
        <w:jc w:val="both"/>
        <w:rPr>
          <w:rFonts w:ascii="Calibri" w:hAnsi="Calibri"/>
        </w:rPr>
      </w:pPr>
      <w:r>
        <w:rPr>
          <w:rFonts w:ascii="Calibri" w:hAnsi="Calibri"/>
        </w:rPr>
        <w:t>cel operacyjny 1.3 wysoki poziom dostępności udogodnień umożliwiających podnoszenie kwalifikacji mieszkańców, usuwanie barier w powrocie na rynek pracy oraz wzrastający poziom motywacji wewnętrznej mieszkańców w zakresie realizacji karier zawodowych,</w:t>
      </w:r>
    </w:p>
    <w:p w:rsidR="00010EDC" w:rsidRDefault="00010EDC" w:rsidP="00010EDC">
      <w:pPr>
        <w:numPr>
          <w:ilvl w:val="0"/>
          <w:numId w:val="680"/>
        </w:numPr>
        <w:jc w:val="both"/>
        <w:rPr>
          <w:rFonts w:ascii="Calibri" w:hAnsi="Calibri"/>
        </w:rPr>
      </w:pPr>
      <w:r>
        <w:rPr>
          <w:rFonts w:ascii="Calibri" w:hAnsi="Calibri"/>
        </w:rPr>
        <w:t>cel operacyjny 2.1 ograniczona skala negatywnych zjawisk społecznych oraz wzrost dostępności do prorozwojowych usług publicznych,</w:t>
      </w:r>
    </w:p>
    <w:p w:rsidR="00010EDC" w:rsidRDefault="00010EDC" w:rsidP="00010EDC">
      <w:pPr>
        <w:numPr>
          <w:ilvl w:val="0"/>
          <w:numId w:val="680"/>
        </w:numPr>
        <w:jc w:val="both"/>
        <w:rPr>
          <w:rFonts w:ascii="Calibri" w:hAnsi="Calibri"/>
        </w:rPr>
      </w:pPr>
      <w:r>
        <w:rPr>
          <w:rFonts w:ascii="Calibri" w:hAnsi="Calibri"/>
        </w:rPr>
        <w:t>cel operacyjny 2.2 społeczności lokalne zintegrowane wokół tradycji dzielnic oraz oddolnych inicjatyw realizowanych przez mieszkańców na rzecz wspólnoty lokalnej,</w:t>
      </w:r>
    </w:p>
    <w:p w:rsidR="00010EDC" w:rsidRDefault="00010EDC" w:rsidP="00010EDC">
      <w:pPr>
        <w:numPr>
          <w:ilvl w:val="0"/>
          <w:numId w:val="680"/>
        </w:numPr>
        <w:jc w:val="both"/>
        <w:rPr>
          <w:rFonts w:ascii="Calibri" w:hAnsi="Calibri"/>
        </w:rPr>
      </w:pPr>
      <w:r>
        <w:rPr>
          <w:rFonts w:ascii="Calibri" w:hAnsi="Calibri"/>
        </w:rPr>
        <w:t>cel operacyjny 3.1 odpowiadająca współczesnym standardom cywilizacyjnym jakość zabudowy na obszarach rewitalizowanych oraz wzrost odpowiedzialności mieszkańców za komunalny zasób mieszkaniowy,</w:t>
      </w:r>
    </w:p>
    <w:p w:rsidR="00010EDC" w:rsidRPr="00010EDC" w:rsidRDefault="00010EDC" w:rsidP="00E2020B">
      <w:pPr>
        <w:numPr>
          <w:ilvl w:val="0"/>
          <w:numId w:val="680"/>
        </w:numPr>
        <w:jc w:val="both"/>
        <w:rPr>
          <w:rFonts w:ascii="Calibri" w:hAnsi="Calibri"/>
        </w:rPr>
      </w:pPr>
      <w:r>
        <w:rPr>
          <w:rFonts w:ascii="Calibri" w:hAnsi="Calibri"/>
        </w:rPr>
        <w:t>cel operacyjny 3.3 wysoki poziom bezpieczeństwa mieszkańców wzmacniany przez dobre relacje międzysąsiedzkie i odpowiedzialność mieszkańców za innych członków społeczności lokalnej.</w:t>
      </w:r>
    </w:p>
    <w:p w:rsidR="00A9427E" w:rsidRDefault="00A9427E" w:rsidP="00E2020B">
      <w:pPr>
        <w:jc w:val="both"/>
        <w:rPr>
          <w:rFonts w:ascii="Calibri" w:hAnsi="Calibri"/>
          <w:szCs w:val="20"/>
        </w:rPr>
      </w:pPr>
    </w:p>
    <w:p w:rsidR="00067C16" w:rsidRDefault="00067C16" w:rsidP="00067C16">
      <w:pPr>
        <w:numPr>
          <w:ilvl w:val="0"/>
          <w:numId w:val="86"/>
        </w:numPr>
        <w:jc w:val="both"/>
        <w:rPr>
          <w:rFonts w:ascii="Calibri" w:hAnsi="Calibri"/>
          <w:b/>
          <w:bCs/>
          <w:szCs w:val="20"/>
        </w:rPr>
      </w:pPr>
      <w:r>
        <w:rPr>
          <w:rFonts w:ascii="Calibri" w:hAnsi="Calibri"/>
          <w:b/>
          <w:bCs/>
          <w:szCs w:val="20"/>
        </w:rPr>
        <w:t xml:space="preserve">Przedsięwzięcia na rzecz dzieci i młodzieży przyczyniające się do podnoszenia szans edukacyjnych, walki z dziedziczeniem ubóstwa i patologii społecznych </w:t>
      </w:r>
      <w:r>
        <w:rPr>
          <w:rFonts w:ascii="Calibri" w:hAnsi="Calibri"/>
          <w:szCs w:val="20"/>
        </w:rPr>
        <w:t>obejmujące m.in.:</w:t>
      </w:r>
    </w:p>
    <w:p w:rsidR="003058C8" w:rsidRPr="003058C8" w:rsidRDefault="00067C16" w:rsidP="00510C87">
      <w:pPr>
        <w:numPr>
          <w:ilvl w:val="0"/>
          <w:numId w:val="13"/>
        </w:numPr>
        <w:ind w:left="1077" w:hanging="357"/>
        <w:jc w:val="both"/>
        <w:rPr>
          <w:rFonts w:ascii="Calibri" w:hAnsi="Calibri"/>
          <w:szCs w:val="20"/>
        </w:rPr>
      </w:pPr>
      <w:r>
        <w:rPr>
          <w:rFonts w:ascii="Calibri" w:hAnsi="Calibri"/>
          <w:szCs w:val="20"/>
        </w:rPr>
        <w:t>poprawę bazy materialnej bytomskich szkół (wyposażenie pracowni przedmiotowych, pracowni zajęć dodatkowych),</w:t>
      </w:r>
    </w:p>
    <w:p w:rsidR="00067C16" w:rsidRDefault="00067C16" w:rsidP="00510C87">
      <w:pPr>
        <w:numPr>
          <w:ilvl w:val="0"/>
          <w:numId w:val="13"/>
        </w:numPr>
        <w:ind w:left="1077" w:hanging="357"/>
        <w:jc w:val="both"/>
        <w:rPr>
          <w:rFonts w:ascii="Calibri" w:hAnsi="Calibri"/>
          <w:szCs w:val="20"/>
        </w:rPr>
      </w:pPr>
      <w:r>
        <w:rPr>
          <w:rFonts w:ascii="Calibri" w:hAnsi="Calibri"/>
          <w:szCs w:val="20"/>
        </w:rPr>
        <w:t>poprawę i wzbogacenie bazy sportowej i rekreacyjnej (poprawę stanu obiektów sportowych szkolnych i ogólnodostępnych, tworzenie placów zabaw, boisk podwórkowych),</w:t>
      </w:r>
    </w:p>
    <w:p w:rsidR="00067C16" w:rsidRDefault="00067C16" w:rsidP="00510C87">
      <w:pPr>
        <w:numPr>
          <w:ilvl w:val="0"/>
          <w:numId w:val="13"/>
        </w:numPr>
        <w:ind w:left="1077" w:hanging="357"/>
        <w:jc w:val="both"/>
        <w:rPr>
          <w:rFonts w:ascii="Calibri" w:hAnsi="Calibri"/>
          <w:szCs w:val="20"/>
        </w:rPr>
      </w:pPr>
      <w:r>
        <w:rPr>
          <w:rFonts w:ascii="Calibri" w:hAnsi="Calibri"/>
          <w:szCs w:val="20"/>
        </w:rPr>
        <w:t>organizację infrastruktury spędzania czasu wolnego przez dzieci i młodzież,</w:t>
      </w:r>
    </w:p>
    <w:p w:rsidR="00067C16" w:rsidRDefault="00067C16" w:rsidP="00510C87">
      <w:pPr>
        <w:numPr>
          <w:ilvl w:val="0"/>
          <w:numId w:val="13"/>
        </w:numPr>
        <w:ind w:left="1077" w:hanging="357"/>
        <w:jc w:val="both"/>
        <w:rPr>
          <w:rFonts w:ascii="Calibri" w:hAnsi="Calibri"/>
          <w:szCs w:val="20"/>
        </w:rPr>
      </w:pPr>
      <w:r>
        <w:rPr>
          <w:rFonts w:ascii="Calibri" w:hAnsi="Calibri"/>
          <w:szCs w:val="20"/>
        </w:rPr>
        <w:t>poszerzenie oferty zajęć pozalekcyjnych oraz organizację imprez (m.in. kulturalnych, artystycznych), warsztatów, organizacja kółek zainteresowań, w tym zajęć artystyczno-kulturalnych, laboratoriów, zajęć sportowych i projektów dla dzieci i młodzieży, w szczególności zagrożonych ubóstwem lub wykluczeniem społecznym,</w:t>
      </w:r>
    </w:p>
    <w:p w:rsidR="00067C16" w:rsidRDefault="00067C16" w:rsidP="00510C87">
      <w:pPr>
        <w:numPr>
          <w:ilvl w:val="0"/>
          <w:numId w:val="13"/>
        </w:numPr>
        <w:ind w:left="1077" w:hanging="357"/>
        <w:jc w:val="both"/>
        <w:rPr>
          <w:rFonts w:ascii="Calibri" w:hAnsi="Calibri"/>
          <w:szCs w:val="20"/>
        </w:rPr>
      </w:pPr>
      <w:r>
        <w:rPr>
          <w:rFonts w:ascii="Calibri" w:hAnsi="Calibri"/>
          <w:szCs w:val="20"/>
        </w:rPr>
        <w:t>realizacja dodatkowych zajęć dydaktyczno-wyrównawczych służących wyrównywaniu dysproporcji edukacyjnych,</w:t>
      </w:r>
    </w:p>
    <w:p w:rsidR="00067C16" w:rsidRDefault="00067C16" w:rsidP="00510C87">
      <w:pPr>
        <w:numPr>
          <w:ilvl w:val="0"/>
          <w:numId w:val="13"/>
        </w:numPr>
        <w:ind w:left="1077" w:hanging="357"/>
        <w:jc w:val="both"/>
        <w:rPr>
          <w:rFonts w:ascii="Calibri" w:hAnsi="Calibri"/>
          <w:szCs w:val="20"/>
        </w:rPr>
      </w:pPr>
      <w:r>
        <w:rPr>
          <w:rFonts w:ascii="Calibri" w:hAnsi="Calibri"/>
          <w:szCs w:val="20"/>
        </w:rPr>
        <w:t>tworzenie w szkołach warunków do nauczania opartego na metodzie eksperymentu,</w:t>
      </w:r>
    </w:p>
    <w:p w:rsidR="00067C16" w:rsidRDefault="00067C16" w:rsidP="00510C87">
      <w:pPr>
        <w:numPr>
          <w:ilvl w:val="0"/>
          <w:numId w:val="13"/>
        </w:numPr>
        <w:ind w:left="1077" w:hanging="357"/>
        <w:jc w:val="both"/>
        <w:rPr>
          <w:rFonts w:ascii="Calibri" w:hAnsi="Calibri"/>
          <w:szCs w:val="20"/>
        </w:rPr>
      </w:pPr>
      <w:r>
        <w:rPr>
          <w:rFonts w:ascii="Calibri" w:hAnsi="Calibri"/>
          <w:szCs w:val="20"/>
        </w:rPr>
        <w:t>rozwój edukacji pozaformalnej,</w:t>
      </w:r>
    </w:p>
    <w:p w:rsidR="00067C16" w:rsidRDefault="00067C16" w:rsidP="00510C87">
      <w:pPr>
        <w:numPr>
          <w:ilvl w:val="0"/>
          <w:numId w:val="13"/>
        </w:numPr>
        <w:ind w:left="1077" w:hanging="357"/>
        <w:jc w:val="both"/>
        <w:rPr>
          <w:rFonts w:ascii="Calibri" w:hAnsi="Calibri"/>
          <w:szCs w:val="20"/>
        </w:rPr>
      </w:pPr>
      <w:r>
        <w:rPr>
          <w:rFonts w:ascii="Calibri" w:hAnsi="Calibri"/>
          <w:szCs w:val="20"/>
        </w:rPr>
        <w:t>nawiązywanie współpracy szkół z otoczeniem zewnętrznym,</w:t>
      </w:r>
    </w:p>
    <w:p w:rsidR="00067C16" w:rsidRDefault="00067C16" w:rsidP="00510C87">
      <w:pPr>
        <w:numPr>
          <w:ilvl w:val="0"/>
          <w:numId w:val="13"/>
        </w:numPr>
        <w:ind w:left="1077" w:hanging="357"/>
        <w:jc w:val="both"/>
        <w:rPr>
          <w:rFonts w:ascii="Calibri" w:hAnsi="Calibri"/>
          <w:szCs w:val="20"/>
        </w:rPr>
      </w:pPr>
      <w:r>
        <w:rPr>
          <w:rFonts w:ascii="Calibri" w:hAnsi="Calibri"/>
          <w:szCs w:val="20"/>
        </w:rPr>
        <w:t>doradztwo edukacyjno-zawodowe dla uczniów,</w:t>
      </w:r>
    </w:p>
    <w:p w:rsidR="00067C16" w:rsidRDefault="00067C16" w:rsidP="00510C87">
      <w:pPr>
        <w:numPr>
          <w:ilvl w:val="0"/>
          <w:numId w:val="13"/>
        </w:numPr>
        <w:ind w:left="1077" w:hanging="357"/>
        <w:jc w:val="both"/>
        <w:rPr>
          <w:rFonts w:ascii="Calibri" w:hAnsi="Calibri"/>
          <w:szCs w:val="20"/>
        </w:rPr>
      </w:pPr>
      <w:r>
        <w:rPr>
          <w:rFonts w:ascii="Calibri" w:hAnsi="Calibri"/>
          <w:szCs w:val="20"/>
        </w:rPr>
        <w:t>realizacja kompleksowych programów wspomagających szkołę w procesie indywidualizacji pracy z uczniem, w tym z uczniem ze specjalnymi potrzebami edukacyjnymi,</w:t>
      </w:r>
    </w:p>
    <w:p w:rsidR="00067C16" w:rsidRDefault="00067C16" w:rsidP="00510C87">
      <w:pPr>
        <w:numPr>
          <w:ilvl w:val="0"/>
          <w:numId w:val="13"/>
        </w:numPr>
        <w:ind w:left="1077" w:hanging="357"/>
        <w:jc w:val="both"/>
        <w:rPr>
          <w:rFonts w:ascii="Calibri" w:hAnsi="Calibri"/>
          <w:szCs w:val="20"/>
        </w:rPr>
      </w:pPr>
      <w:r>
        <w:rPr>
          <w:rFonts w:ascii="Calibri" w:hAnsi="Calibri"/>
          <w:szCs w:val="20"/>
        </w:rPr>
        <w:t>doskonalenie umiejętności i kompetencji zawodowych nauczycieli,</w:t>
      </w:r>
    </w:p>
    <w:p w:rsidR="00067C16" w:rsidRDefault="00067C16" w:rsidP="00510C87">
      <w:pPr>
        <w:numPr>
          <w:ilvl w:val="0"/>
          <w:numId w:val="13"/>
        </w:numPr>
        <w:ind w:left="1077" w:hanging="357"/>
        <w:jc w:val="both"/>
        <w:rPr>
          <w:rFonts w:ascii="Calibri" w:hAnsi="Calibri"/>
          <w:szCs w:val="20"/>
        </w:rPr>
      </w:pPr>
      <w:r>
        <w:rPr>
          <w:rFonts w:ascii="Calibri" w:hAnsi="Calibri"/>
          <w:szCs w:val="20"/>
        </w:rPr>
        <w:t xml:space="preserve">organizację programu integracji międzypokoleniowej, </w:t>
      </w:r>
    </w:p>
    <w:p w:rsidR="00067C16" w:rsidRDefault="00067C16" w:rsidP="00510C87">
      <w:pPr>
        <w:numPr>
          <w:ilvl w:val="0"/>
          <w:numId w:val="13"/>
        </w:numPr>
        <w:ind w:left="1077" w:hanging="357"/>
        <w:jc w:val="both"/>
        <w:rPr>
          <w:rFonts w:ascii="Calibri" w:hAnsi="Calibri"/>
          <w:szCs w:val="20"/>
        </w:rPr>
      </w:pPr>
      <w:r>
        <w:rPr>
          <w:rFonts w:ascii="Calibri" w:hAnsi="Calibri"/>
          <w:szCs w:val="20"/>
        </w:rPr>
        <w:t>tworzenie młodzieżowych klubów społecznościowych,</w:t>
      </w:r>
    </w:p>
    <w:p w:rsidR="00067C16" w:rsidRDefault="00067C16" w:rsidP="00510C87">
      <w:pPr>
        <w:numPr>
          <w:ilvl w:val="0"/>
          <w:numId w:val="13"/>
        </w:numPr>
        <w:ind w:left="1077" w:hanging="357"/>
        <w:jc w:val="both"/>
        <w:rPr>
          <w:rFonts w:ascii="Calibri" w:hAnsi="Calibri"/>
          <w:szCs w:val="20"/>
        </w:rPr>
      </w:pPr>
      <w:r>
        <w:rPr>
          <w:rFonts w:ascii="Calibri" w:hAnsi="Calibri"/>
          <w:szCs w:val="20"/>
        </w:rPr>
        <w:t>wzmocnienie tożsamości lokalnej dzieci i młodzieży, m.in. poprzez popularyzację edukacji regionalnej,</w:t>
      </w:r>
    </w:p>
    <w:p w:rsidR="00067C16" w:rsidRDefault="00067C16" w:rsidP="00510C87">
      <w:pPr>
        <w:numPr>
          <w:ilvl w:val="0"/>
          <w:numId w:val="13"/>
        </w:numPr>
        <w:ind w:left="1077" w:hanging="357"/>
        <w:jc w:val="both"/>
        <w:rPr>
          <w:rFonts w:ascii="Calibri" w:hAnsi="Calibri"/>
          <w:szCs w:val="20"/>
        </w:rPr>
      </w:pPr>
      <w:r>
        <w:rPr>
          <w:rFonts w:ascii="Calibri" w:hAnsi="Calibri"/>
          <w:szCs w:val="20"/>
        </w:rPr>
        <w:t>działania z zakresu edukacji zdrowotnej.</w:t>
      </w:r>
    </w:p>
    <w:p w:rsidR="00D10683" w:rsidRDefault="00D10683" w:rsidP="00D10683">
      <w:pPr>
        <w:ind w:left="1077"/>
        <w:jc w:val="both"/>
        <w:rPr>
          <w:rFonts w:ascii="Calibri" w:hAnsi="Calibri"/>
          <w:szCs w:val="20"/>
        </w:rPr>
      </w:pPr>
    </w:p>
    <w:p w:rsidR="00D10683" w:rsidRPr="00273B97" w:rsidRDefault="00D10683" w:rsidP="009C1D86">
      <w:pPr>
        <w:shd w:val="clear" w:color="auto" w:fill="F2F2F2" w:themeFill="background1" w:themeFillShade="F2"/>
        <w:spacing w:line="252" w:lineRule="auto"/>
        <w:jc w:val="both"/>
        <w:rPr>
          <w:rFonts w:ascii="Calibri" w:hAnsi="Calibri"/>
          <w:szCs w:val="20"/>
        </w:rPr>
      </w:pPr>
      <w:r w:rsidRPr="00273B97">
        <w:rPr>
          <w:rFonts w:ascii="Calibri" w:hAnsi="Calibri"/>
          <w:b/>
          <w:bCs/>
          <w:szCs w:val="20"/>
        </w:rPr>
        <w:t>Projekty na rzecz dzieci i młodzieży, których główna interwencja zmierza do podnoszenia szans edukacyjnych, walki z dziedziczeniem ubóstwa i patologii społecznych:</w:t>
      </w:r>
    </w:p>
    <w:p w:rsidR="00D10683" w:rsidRPr="00273B97" w:rsidRDefault="00D10683" w:rsidP="009C1D86">
      <w:pPr>
        <w:pStyle w:val="Akapitzlist"/>
        <w:numPr>
          <w:ilvl w:val="0"/>
          <w:numId w:val="735"/>
        </w:numPr>
        <w:shd w:val="clear" w:color="auto" w:fill="F2F2F2" w:themeFill="background1" w:themeFillShade="F2"/>
        <w:spacing w:after="0" w:line="252" w:lineRule="auto"/>
        <w:ind w:left="1134" w:hanging="425"/>
        <w:jc w:val="both"/>
        <w:rPr>
          <w:sz w:val="20"/>
          <w:szCs w:val="20"/>
        </w:rPr>
      </w:pPr>
      <w:r w:rsidRPr="00273B97">
        <w:rPr>
          <w:sz w:val="20"/>
          <w:szCs w:val="20"/>
        </w:rPr>
        <w:t>Uratowanie przed rozbiórką i rewitalizacja dawnej kopalni „Rozbark” wpisanej do rejestru zabytków nieruchomych województwa śląskiego poprzez utworzenie unikatowego w skali kraju centrum sportów wspinaczkowych i siłowych w Bytomiu przy ul. Chorzowskiej – Etap 2a – Klub Sportowy Skarpa Bytom,</w:t>
      </w:r>
    </w:p>
    <w:p w:rsidR="00D10683" w:rsidRPr="00273B97" w:rsidRDefault="00D10683" w:rsidP="009C1D86">
      <w:pPr>
        <w:pStyle w:val="Akapitzlist"/>
        <w:numPr>
          <w:ilvl w:val="0"/>
          <w:numId w:val="735"/>
        </w:numPr>
        <w:shd w:val="clear" w:color="auto" w:fill="F2F2F2" w:themeFill="background1" w:themeFillShade="F2"/>
        <w:spacing w:after="0" w:line="252" w:lineRule="auto"/>
        <w:ind w:left="1134" w:hanging="425"/>
        <w:jc w:val="both"/>
        <w:rPr>
          <w:sz w:val="20"/>
          <w:szCs w:val="20"/>
        </w:rPr>
      </w:pPr>
      <w:r w:rsidRPr="00273B97">
        <w:rPr>
          <w:sz w:val="20"/>
          <w:szCs w:val="20"/>
        </w:rPr>
        <w:t>Uratowanie przed rozbiórką i rewitalizacja dawnej kopalni „Rozbark” wpisanej do rejestru zabytków nieruchomych województwa śląskiego poprzez utworzenie unikatowego w skali kraju centrum sportów wspinaczkowych i siłowych w Bytomiu przy ul. Chorzowskiej – Etap 2b – Klub Sportowy Skarpa Bytom,</w:t>
      </w:r>
    </w:p>
    <w:p w:rsidR="00D10683" w:rsidRPr="00273B97" w:rsidRDefault="00D10683" w:rsidP="009C1D86">
      <w:pPr>
        <w:pStyle w:val="Akapitzlist"/>
        <w:numPr>
          <w:ilvl w:val="0"/>
          <w:numId w:val="735"/>
        </w:numPr>
        <w:shd w:val="clear" w:color="auto" w:fill="F2F2F2" w:themeFill="background1" w:themeFillShade="F2"/>
        <w:spacing w:after="0" w:line="252" w:lineRule="auto"/>
        <w:ind w:left="1134" w:hanging="425"/>
        <w:jc w:val="both"/>
        <w:rPr>
          <w:sz w:val="20"/>
          <w:szCs w:val="20"/>
        </w:rPr>
      </w:pPr>
      <w:r w:rsidRPr="00273B97">
        <w:rPr>
          <w:sz w:val="20"/>
          <w:szCs w:val="20"/>
        </w:rPr>
        <w:t>Bezpieczna i przyjazna przestrzeń dla mieszkańców Śródmieścia Bytomia (Wrocławska, Kolejowa, Batorego) - Centrala Obrotu Towarami Masowymi DAW - BYTOM Tadeusz Bieniek,</w:t>
      </w:r>
    </w:p>
    <w:p w:rsidR="00DC24A0" w:rsidRPr="00273B97" w:rsidRDefault="00DC24A0" w:rsidP="009C1D86">
      <w:pPr>
        <w:pStyle w:val="Akapitzlist"/>
        <w:numPr>
          <w:ilvl w:val="0"/>
          <w:numId w:val="738"/>
        </w:numPr>
        <w:shd w:val="clear" w:color="auto" w:fill="F2F2F2" w:themeFill="background1" w:themeFillShade="F2"/>
        <w:spacing w:after="0" w:line="252" w:lineRule="auto"/>
        <w:ind w:left="1134" w:hanging="425"/>
        <w:jc w:val="both"/>
        <w:rPr>
          <w:sz w:val="20"/>
          <w:szCs w:val="20"/>
        </w:rPr>
      </w:pPr>
      <w:r w:rsidRPr="00273B97">
        <w:rPr>
          <w:sz w:val="20"/>
          <w:szCs w:val="20"/>
        </w:rPr>
        <w:t>Inkubator Talentów - Wolne Stowarzyszenie Zielonych Artystów Bytom,</w:t>
      </w:r>
    </w:p>
    <w:p w:rsidR="00D10683" w:rsidRPr="00273B97" w:rsidRDefault="00B92ED6" w:rsidP="009C1D86">
      <w:pPr>
        <w:pStyle w:val="Akapitzlist"/>
        <w:numPr>
          <w:ilvl w:val="0"/>
          <w:numId w:val="735"/>
        </w:numPr>
        <w:shd w:val="clear" w:color="auto" w:fill="F2F2F2" w:themeFill="background1" w:themeFillShade="F2"/>
        <w:spacing w:after="0" w:line="252" w:lineRule="auto"/>
        <w:ind w:left="1134" w:hanging="425"/>
        <w:jc w:val="both"/>
        <w:rPr>
          <w:sz w:val="20"/>
          <w:szCs w:val="20"/>
        </w:rPr>
      </w:pPr>
      <w:r w:rsidRPr="00273B97">
        <w:rPr>
          <w:sz w:val="20"/>
          <w:szCs w:val="20"/>
        </w:rPr>
        <w:t>Kwitnący Bytom – miejskie ogrody społecznościowe (Miechowice)</w:t>
      </w:r>
      <w:r w:rsidR="003C24B4" w:rsidRPr="00273B97">
        <w:rPr>
          <w:sz w:val="20"/>
          <w:szCs w:val="20"/>
        </w:rPr>
        <w:t xml:space="preserve"> -</w:t>
      </w:r>
      <w:r w:rsidRPr="00273B97">
        <w:rPr>
          <w:sz w:val="20"/>
          <w:szCs w:val="20"/>
        </w:rPr>
        <w:t xml:space="preserve"> Ewangelickie Stowarzyszenie Kultury Łódź</w:t>
      </w:r>
      <w:r w:rsidR="003C24B4" w:rsidRPr="00273B97">
        <w:rPr>
          <w:sz w:val="20"/>
          <w:szCs w:val="20"/>
        </w:rPr>
        <w:t>,</w:t>
      </w:r>
    </w:p>
    <w:p w:rsidR="00124F4E" w:rsidRPr="00124F4E" w:rsidRDefault="001E7675" w:rsidP="009C1D86">
      <w:pPr>
        <w:pStyle w:val="Akapitzlist"/>
        <w:numPr>
          <w:ilvl w:val="0"/>
          <w:numId w:val="735"/>
        </w:numPr>
        <w:shd w:val="clear" w:color="auto" w:fill="F2F2F2" w:themeFill="background1" w:themeFillShade="F2"/>
        <w:spacing w:after="0" w:line="252" w:lineRule="auto"/>
        <w:ind w:left="1134" w:hanging="425"/>
        <w:jc w:val="both"/>
        <w:rPr>
          <w:sz w:val="20"/>
          <w:szCs w:val="20"/>
        </w:rPr>
      </w:pPr>
      <w:r w:rsidRPr="00273B97">
        <w:rPr>
          <w:sz w:val="20"/>
          <w:szCs w:val="20"/>
        </w:rPr>
        <w:t>Rewitalizacja infrastruktury sportowej Klubu Sportowego „Górnik” Bytom</w:t>
      </w:r>
      <w:r w:rsidR="00AC3B63" w:rsidRPr="00273B97">
        <w:rPr>
          <w:sz w:val="20"/>
          <w:szCs w:val="20"/>
        </w:rPr>
        <w:t xml:space="preserve"> -</w:t>
      </w:r>
      <w:r w:rsidRPr="00273B97">
        <w:rPr>
          <w:sz w:val="20"/>
          <w:szCs w:val="20"/>
        </w:rPr>
        <w:t xml:space="preserve"> Klub Sportowy „Górnik” Bytom</w:t>
      </w:r>
      <w:r w:rsidR="00124F4E">
        <w:rPr>
          <w:sz w:val="20"/>
          <w:szCs w:val="20"/>
        </w:rPr>
        <w:t>.</w:t>
      </w:r>
    </w:p>
    <w:p w:rsidR="00067C16" w:rsidRPr="00273B97" w:rsidRDefault="00067C16" w:rsidP="00D10683">
      <w:pPr>
        <w:ind w:left="1134" w:hanging="425"/>
        <w:jc w:val="both"/>
        <w:rPr>
          <w:rFonts w:ascii="Calibri" w:hAnsi="Calibri"/>
          <w:szCs w:val="20"/>
        </w:rPr>
      </w:pPr>
    </w:p>
    <w:p w:rsidR="00010EDC" w:rsidRPr="00273B97" w:rsidRDefault="00010EDC" w:rsidP="00010EDC">
      <w:pPr>
        <w:jc w:val="both"/>
        <w:rPr>
          <w:rFonts w:ascii="Calibri" w:hAnsi="Calibri"/>
        </w:rPr>
      </w:pPr>
      <w:r w:rsidRPr="00273B97">
        <w:rPr>
          <w:rFonts w:ascii="Calibri" w:hAnsi="Calibri"/>
        </w:rPr>
        <w:t xml:space="preserve">Powyższe przedsięwzięcia przyczynią się do realizacji następujących celów GPR: </w:t>
      </w:r>
    </w:p>
    <w:p w:rsidR="00010EDC" w:rsidRPr="00273B97" w:rsidRDefault="00010EDC" w:rsidP="00010EDC">
      <w:pPr>
        <w:numPr>
          <w:ilvl w:val="0"/>
          <w:numId w:val="680"/>
        </w:numPr>
        <w:jc w:val="both"/>
        <w:rPr>
          <w:rFonts w:ascii="Calibri" w:hAnsi="Calibri"/>
        </w:rPr>
      </w:pPr>
      <w:r w:rsidRPr="00273B97">
        <w:rPr>
          <w:rFonts w:ascii="Calibri" w:hAnsi="Calibri"/>
        </w:rPr>
        <w:t>cel operacyjny 2.1 ograniczona skala negatywnych zjawisk społecznych oraz wzrost dostępności do prorozwojowych usług publicznych,</w:t>
      </w:r>
    </w:p>
    <w:p w:rsidR="00010EDC" w:rsidRPr="00273B97" w:rsidRDefault="00010EDC" w:rsidP="00010EDC">
      <w:pPr>
        <w:numPr>
          <w:ilvl w:val="0"/>
          <w:numId w:val="680"/>
        </w:numPr>
        <w:jc w:val="both"/>
        <w:rPr>
          <w:rFonts w:ascii="Calibri" w:hAnsi="Calibri"/>
        </w:rPr>
      </w:pPr>
      <w:r w:rsidRPr="00273B97">
        <w:rPr>
          <w:rFonts w:ascii="Calibri" w:hAnsi="Calibri"/>
        </w:rPr>
        <w:t>cel operacyjny 2.2 społeczności lokalne zintegrowane wokół tradycji dzielnic oraz oddolnych inicjatyw realizowanych przez mieszkańców na rzecz wspólnoty lokalnej,</w:t>
      </w:r>
    </w:p>
    <w:p w:rsidR="00010EDC" w:rsidRPr="00273B97" w:rsidRDefault="00010EDC" w:rsidP="00010EDC">
      <w:pPr>
        <w:numPr>
          <w:ilvl w:val="0"/>
          <w:numId w:val="680"/>
        </w:numPr>
        <w:jc w:val="both"/>
        <w:rPr>
          <w:rFonts w:ascii="Calibri" w:hAnsi="Calibri"/>
        </w:rPr>
      </w:pPr>
      <w:r w:rsidRPr="00273B97">
        <w:rPr>
          <w:rFonts w:ascii="Calibri" w:hAnsi="Calibri"/>
        </w:rPr>
        <w:t>cel operacyjny 3.2 partnerstwo władz miasta i społeczności lokalnych w podnoszeniu jakości i ochronie walorów przestrzeni publicznych,</w:t>
      </w:r>
    </w:p>
    <w:p w:rsidR="00010EDC" w:rsidRPr="00273B97" w:rsidRDefault="00010EDC" w:rsidP="00010EDC">
      <w:pPr>
        <w:numPr>
          <w:ilvl w:val="0"/>
          <w:numId w:val="680"/>
        </w:numPr>
        <w:jc w:val="both"/>
        <w:rPr>
          <w:rFonts w:ascii="Calibri" w:hAnsi="Calibri"/>
        </w:rPr>
      </w:pPr>
      <w:r w:rsidRPr="00273B97">
        <w:rPr>
          <w:rFonts w:ascii="Calibri" w:hAnsi="Calibri"/>
        </w:rPr>
        <w:t>cel operacyjny 3.3 wysoki poziom bezpieczeństwa mieszkańców wzmacniany przez dobre relacje międzysąsiedzkie i odpowiedzialność mieszkańców za innych członków społeczności lokalnej.</w:t>
      </w:r>
    </w:p>
    <w:p w:rsidR="00010EDC" w:rsidRPr="00273B97" w:rsidRDefault="00010EDC" w:rsidP="00010EDC">
      <w:pPr>
        <w:jc w:val="both"/>
        <w:rPr>
          <w:rFonts w:ascii="Calibri" w:hAnsi="Calibri"/>
          <w:szCs w:val="20"/>
        </w:rPr>
      </w:pPr>
    </w:p>
    <w:p w:rsidR="00067C16" w:rsidRPr="00273B97" w:rsidRDefault="00067C16" w:rsidP="00067C16">
      <w:pPr>
        <w:numPr>
          <w:ilvl w:val="0"/>
          <w:numId w:val="86"/>
        </w:numPr>
        <w:jc w:val="both"/>
        <w:rPr>
          <w:rFonts w:ascii="Calibri" w:hAnsi="Calibri"/>
          <w:b/>
          <w:bCs/>
          <w:szCs w:val="20"/>
        </w:rPr>
      </w:pPr>
      <w:r w:rsidRPr="00273B97">
        <w:rPr>
          <w:rFonts w:ascii="Calibri" w:hAnsi="Calibri"/>
          <w:b/>
          <w:bCs/>
          <w:szCs w:val="20"/>
        </w:rPr>
        <w:t xml:space="preserve">Przedsięwzięcia integrujące mieszkańców i wpływające na rozwój inicjatyw społecznych mieszkańców </w:t>
      </w:r>
      <w:r w:rsidRPr="00273B97">
        <w:rPr>
          <w:rFonts w:ascii="Calibri" w:hAnsi="Calibri"/>
          <w:szCs w:val="20"/>
        </w:rPr>
        <w:t>obejmujące m.in.:</w:t>
      </w:r>
    </w:p>
    <w:p w:rsidR="00067C16" w:rsidRPr="00273B97" w:rsidRDefault="00067C16" w:rsidP="0083061E">
      <w:pPr>
        <w:numPr>
          <w:ilvl w:val="0"/>
          <w:numId w:val="13"/>
        </w:numPr>
        <w:ind w:left="1077" w:hanging="357"/>
        <w:jc w:val="both"/>
        <w:rPr>
          <w:rFonts w:ascii="Calibri" w:hAnsi="Calibri"/>
          <w:szCs w:val="20"/>
        </w:rPr>
      </w:pPr>
      <w:r w:rsidRPr="00273B97">
        <w:rPr>
          <w:rFonts w:ascii="Calibri" w:hAnsi="Calibri"/>
          <w:szCs w:val="20"/>
        </w:rPr>
        <w:t>wsparcie inicjatyw sąsiedzkich mających na celu poprawę stosunków międzyludzkich, wizerunku najbliższego otoczenia, zapewnienia bezpieczeństwa,</w:t>
      </w:r>
    </w:p>
    <w:p w:rsidR="00067C16" w:rsidRPr="00273B97" w:rsidRDefault="00067C16" w:rsidP="00067C16">
      <w:pPr>
        <w:numPr>
          <w:ilvl w:val="0"/>
          <w:numId w:val="13"/>
        </w:numPr>
        <w:ind w:left="1077" w:hanging="357"/>
        <w:jc w:val="both"/>
        <w:rPr>
          <w:rFonts w:ascii="Calibri" w:hAnsi="Calibri"/>
          <w:szCs w:val="20"/>
        </w:rPr>
      </w:pPr>
      <w:r w:rsidRPr="00273B97">
        <w:rPr>
          <w:rFonts w:ascii="Calibri" w:hAnsi="Calibri"/>
          <w:szCs w:val="20"/>
        </w:rPr>
        <w:t>pracę i animację społeczności lokalnej, w tym pracę podwórkową oraz rozwijanie wrażliwości na zjawiska przemocy i krzywdy społecznej w otoczeniu,</w:t>
      </w:r>
    </w:p>
    <w:p w:rsidR="00067C16" w:rsidRPr="00273B97" w:rsidRDefault="00067C16" w:rsidP="00067C16">
      <w:pPr>
        <w:numPr>
          <w:ilvl w:val="0"/>
          <w:numId w:val="13"/>
        </w:numPr>
        <w:ind w:left="1077" w:hanging="357"/>
        <w:jc w:val="both"/>
        <w:rPr>
          <w:rFonts w:ascii="Calibri" w:hAnsi="Calibri"/>
          <w:szCs w:val="20"/>
        </w:rPr>
      </w:pPr>
      <w:r w:rsidRPr="00273B97">
        <w:rPr>
          <w:rFonts w:ascii="Calibri" w:hAnsi="Calibri"/>
          <w:szCs w:val="20"/>
        </w:rPr>
        <w:t>zwiększanie aktywności społecznej i obywatelskiej dzieci i młodzieży,</w:t>
      </w:r>
    </w:p>
    <w:p w:rsidR="00067C16" w:rsidRPr="00273B97" w:rsidRDefault="00067C16" w:rsidP="00067C16">
      <w:pPr>
        <w:numPr>
          <w:ilvl w:val="0"/>
          <w:numId w:val="13"/>
        </w:numPr>
        <w:ind w:left="1077" w:hanging="357"/>
        <w:jc w:val="both"/>
        <w:rPr>
          <w:rFonts w:ascii="Calibri" w:hAnsi="Calibri"/>
          <w:szCs w:val="20"/>
        </w:rPr>
      </w:pPr>
      <w:r w:rsidRPr="00273B97">
        <w:rPr>
          <w:rFonts w:ascii="Calibri" w:hAnsi="Calibri"/>
          <w:szCs w:val="20"/>
        </w:rPr>
        <w:t>organizację różnorodnych imprez i warsztatów dla mieszkańców,</w:t>
      </w:r>
    </w:p>
    <w:p w:rsidR="00067C16" w:rsidRPr="00273B97" w:rsidRDefault="00067C16" w:rsidP="00067C16">
      <w:pPr>
        <w:numPr>
          <w:ilvl w:val="0"/>
          <w:numId w:val="13"/>
        </w:numPr>
        <w:ind w:left="1077" w:hanging="357"/>
        <w:jc w:val="both"/>
        <w:rPr>
          <w:rFonts w:ascii="Calibri" w:hAnsi="Calibri"/>
          <w:szCs w:val="20"/>
        </w:rPr>
      </w:pPr>
      <w:r w:rsidRPr="00273B97">
        <w:rPr>
          <w:rFonts w:ascii="Calibri" w:hAnsi="Calibri"/>
          <w:szCs w:val="20"/>
        </w:rPr>
        <w:t>działania mające na  celu budowanie tożsamości lokalnej i regionalnej oraz kultywowanie tradycji,</w:t>
      </w:r>
    </w:p>
    <w:p w:rsidR="00067C16" w:rsidRPr="00273B97" w:rsidRDefault="00067C16" w:rsidP="00067C16">
      <w:pPr>
        <w:numPr>
          <w:ilvl w:val="0"/>
          <w:numId w:val="13"/>
        </w:numPr>
        <w:ind w:left="1077" w:hanging="357"/>
        <w:jc w:val="both"/>
        <w:rPr>
          <w:rFonts w:ascii="Calibri" w:hAnsi="Calibri"/>
          <w:szCs w:val="20"/>
        </w:rPr>
      </w:pPr>
      <w:r w:rsidRPr="00273B97">
        <w:rPr>
          <w:rFonts w:ascii="Calibri" w:hAnsi="Calibri"/>
          <w:szCs w:val="20"/>
        </w:rPr>
        <w:t>organizację klubów sąsiedzkich,</w:t>
      </w:r>
    </w:p>
    <w:p w:rsidR="00067C16" w:rsidRPr="00273B97" w:rsidRDefault="00067C16" w:rsidP="00067C16">
      <w:pPr>
        <w:numPr>
          <w:ilvl w:val="0"/>
          <w:numId w:val="13"/>
        </w:numPr>
        <w:ind w:left="1077" w:hanging="357"/>
        <w:jc w:val="both"/>
        <w:rPr>
          <w:rFonts w:ascii="Calibri" w:hAnsi="Calibri"/>
          <w:szCs w:val="20"/>
        </w:rPr>
      </w:pPr>
      <w:r w:rsidRPr="00273B97">
        <w:rPr>
          <w:rFonts w:ascii="Calibri" w:hAnsi="Calibri"/>
          <w:szCs w:val="20"/>
        </w:rPr>
        <w:t xml:space="preserve">utworzenie lokalnych domów kultury i „domów społecznych”, lokalnych muzeów, wystaw </w:t>
      </w:r>
      <w:r w:rsidRPr="00273B97">
        <w:rPr>
          <w:rFonts w:ascii="Calibri" w:hAnsi="Calibri"/>
          <w:szCs w:val="20"/>
        </w:rPr>
        <w:br/>
        <w:t>i szlaków tematycznych oraz zagospodarowanie obiektów historycznych (np. schronów, wieży wodnej, obiektów pokopalnianych),</w:t>
      </w:r>
    </w:p>
    <w:p w:rsidR="00067C16" w:rsidRPr="00273B97" w:rsidRDefault="00067C16" w:rsidP="00067C16">
      <w:pPr>
        <w:numPr>
          <w:ilvl w:val="0"/>
          <w:numId w:val="13"/>
        </w:numPr>
        <w:ind w:left="1077" w:hanging="357"/>
        <w:jc w:val="both"/>
        <w:rPr>
          <w:rFonts w:ascii="Calibri" w:hAnsi="Calibri"/>
          <w:szCs w:val="20"/>
        </w:rPr>
      </w:pPr>
      <w:r w:rsidRPr="00273B97">
        <w:rPr>
          <w:rFonts w:ascii="Calibri" w:hAnsi="Calibri"/>
          <w:szCs w:val="20"/>
        </w:rPr>
        <w:t xml:space="preserve">utworzenie inkubatora NGO, </w:t>
      </w:r>
    </w:p>
    <w:p w:rsidR="00067C16" w:rsidRPr="00273B97" w:rsidRDefault="00067C16" w:rsidP="00067C16">
      <w:pPr>
        <w:numPr>
          <w:ilvl w:val="0"/>
          <w:numId w:val="13"/>
        </w:numPr>
        <w:ind w:left="1077" w:hanging="357"/>
        <w:jc w:val="both"/>
        <w:rPr>
          <w:rFonts w:ascii="Calibri" w:hAnsi="Calibri"/>
          <w:szCs w:val="20"/>
        </w:rPr>
      </w:pPr>
      <w:r w:rsidRPr="00273B97">
        <w:rPr>
          <w:rFonts w:ascii="Calibri" w:hAnsi="Calibri"/>
          <w:szCs w:val="20"/>
        </w:rPr>
        <w:t>aktywizowanie społeczności wokół działań związanych</w:t>
      </w:r>
      <w:r w:rsidR="00D9248F" w:rsidRPr="00273B97">
        <w:rPr>
          <w:rFonts w:ascii="Calibri" w:hAnsi="Calibri"/>
          <w:szCs w:val="20"/>
        </w:rPr>
        <w:t xml:space="preserve"> z rozwojem turystyki w mieście,</w:t>
      </w:r>
    </w:p>
    <w:p w:rsidR="00D9248F" w:rsidRPr="00273B97" w:rsidRDefault="00D9248F" w:rsidP="00067C16">
      <w:pPr>
        <w:numPr>
          <w:ilvl w:val="0"/>
          <w:numId w:val="13"/>
        </w:numPr>
        <w:ind w:left="1077" w:hanging="357"/>
        <w:jc w:val="both"/>
        <w:rPr>
          <w:rFonts w:ascii="Calibri" w:hAnsi="Calibri"/>
          <w:szCs w:val="20"/>
        </w:rPr>
      </w:pPr>
      <w:r w:rsidRPr="00273B97">
        <w:rPr>
          <w:rFonts w:ascii="Calibri" w:hAnsi="Calibri"/>
          <w:szCs w:val="20"/>
        </w:rPr>
        <w:t>digitalizację zasobów archiwalnych.</w:t>
      </w:r>
    </w:p>
    <w:p w:rsidR="002A6628" w:rsidRPr="00273B97" w:rsidRDefault="002A6628" w:rsidP="00067C16">
      <w:pPr>
        <w:jc w:val="both"/>
        <w:rPr>
          <w:rFonts w:ascii="Calibri" w:hAnsi="Calibri"/>
          <w:b/>
          <w:szCs w:val="20"/>
        </w:rPr>
      </w:pPr>
    </w:p>
    <w:p w:rsidR="00067C16" w:rsidRPr="00273B97" w:rsidRDefault="002A6628" w:rsidP="009C1D86">
      <w:pPr>
        <w:shd w:val="clear" w:color="auto" w:fill="F2F2F2" w:themeFill="background1" w:themeFillShade="F2"/>
        <w:jc w:val="both"/>
        <w:rPr>
          <w:rFonts w:ascii="Calibri" w:hAnsi="Calibri"/>
          <w:b/>
          <w:bCs/>
          <w:szCs w:val="20"/>
        </w:rPr>
      </w:pPr>
      <w:r w:rsidRPr="00273B97">
        <w:rPr>
          <w:rFonts w:ascii="Calibri" w:hAnsi="Calibri"/>
          <w:b/>
          <w:szCs w:val="20"/>
        </w:rPr>
        <w:t xml:space="preserve">Projekty, </w:t>
      </w:r>
      <w:r w:rsidRPr="00273B97">
        <w:rPr>
          <w:rFonts w:ascii="Calibri" w:hAnsi="Calibri"/>
          <w:b/>
          <w:bCs/>
          <w:szCs w:val="20"/>
        </w:rPr>
        <w:t>których główna interwencja zmierza do integracji mieszkańców:</w:t>
      </w:r>
    </w:p>
    <w:p w:rsidR="002A6628" w:rsidRPr="00273B97" w:rsidRDefault="002A6628" w:rsidP="009C1D86">
      <w:pPr>
        <w:pStyle w:val="Akapitzlist"/>
        <w:numPr>
          <w:ilvl w:val="0"/>
          <w:numId w:val="738"/>
        </w:numPr>
        <w:shd w:val="clear" w:color="auto" w:fill="F2F2F2" w:themeFill="background1" w:themeFillShade="F2"/>
        <w:spacing w:after="0" w:line="252" w:lineRule="auto"/>
        <w:ind w:left="1066" w:hanging="357"/>
        <w:jc w:val="both"/>
        <w:rPr>
          <w:sz w:val="20"/>
          <w:szCs w:val="20"/>
        </w:rPr>
      </w:pPr>
      <w:r w:rsidRPr="00273B97">
        <w:rPr>
          <w:sz w:val="20"/>
          <w:szCs w:val="20"/>
        </w:rPr>
        <w:t>Zwiększenie atrakcyjności Opery Śląskiej i ochrona jej dziedzictwa kulturowego poprzez przeprowadzenie prac konserwatorskich, restauratorskich oraz robót budowlanych - Opera Śląska,</w:t>
      </w:r>
    </w:p>
    <w:p w:rsidR="00DC24A0" w:rsidRPr="00273B97" w:rsidRDefault="00DC24A0" w:rsidP="009C1D86">
      <w:pPr>
        <w:pStyle w:val="Akapitzlist"/>
        <w:numPr>
          <w:ilvl w:val="0"/>
          <w:numId w:val="738"/>
        </w:numPr>
        <w:shd w:val="clear" w:color="auto" w:fill="F2F2F2" w:themeFill="background1" w:themeFillShade="F2"/>
        <w:spacing w:after="0" w:line="252" w:lineRule="auto"/>
        <w:ind w:left="1066" w:hanging="357"/>
        <w:jc w:val="both"/>
        <w:rPr>
          <w:sz w:val="20"/>
          <w:szCs w:val="20"/>
        </w:rPr>
      </w:pPr>
      <w:r w:rsidRPr="00273B97">
        <w:rPr>
          <w:sz w:val="20"/>
          <w:szCs w:val="20"/>
        </w:rPr>
        <w:t>Festyning Miejski - Wolne Stowarzyszenie Zielonych Artystów Bytom,</w:t>
      </w:r>
    </w:p>
    <w:p w:rsidR="00B92ED6" w:rsidRPr="00581E59" w:rsidRDefault="00B92ED6" w:rsidP="009C1D86">
      <w:pPr>
        <w:pStyle w:val="Akapitzlist"/>
        <w:numPr>
          <w:ilvl w:val="0"/>
          <w:numId w:val="738"/>
        </w:numPr>
        <w:shd w:val="clear" w:color="auto" w:fill="F2F2F2" w:themeFill="background1" w:themeFillShade="F2"/>
        <w:spacing w:after="0" w:line="252" w:lineRule="auto"/>
        <w:ind w:left="1066" w:hanging="357"/>
        <w:jc w:val="both"/>
        <w:rPr>
          <w:sz w:val="20"/>
          <w:szCs w:val="20"/>
        </w:rPr>
      </w:pPr>
      <w:r w:rsidRPr="00273B97">
        <w:rPr>
          <w:sz w:val="20"/>
          <w:szCs w:val="20"/>
        </w:rPr>
        <w:t>Renowacja zabytkowego kościoła Św. Rodziny</w:t>
      </w:r>
      <w:r w:rsidR="00FE67C4" w:rsidRPr="00273B97">
        <w:rPr>
          <w:sz w:val="20"/>
          <w:szCs w:val="20"/>
        </w:rPr>
        <w:t xml:space="preserve"> </w:t>
      </w:r>
      <w:r w:rsidRPr="00273B97">
        <w:rPr>
          <w:sz w:val="20"/>
          <w:szCs w:val="20"/>
        </w:rPr>
        <w:t xml:space="preserve">w Bytomiu - Parafia Rzymsko-Katolicka Św. Rodziny </w:t>
      </w:r>
      <w:r w:rsidRPr="00581E59">
        <w:rPr>
          <w:sz w:val="20"/>
          <w:szCs w:val="20"/>
        </w:rPr>
        <w:t>(Bobrek)</w:t>
      </w:r>
      <w:r w:rsidR="00DD49C3" w:rsidRPr="00581E59">
        <w:rPr>
          <w:sz w:val="20"/>
          <w:szCs w:val="20"/>
        </w:rPr>
        <w:t>,</w:t>
      </w:r>
    </w:p>
    <w:p w:rsidR="00DD49C3" w:rsidRPr="00581E59" w:rsidRDefault="00DD49C3" w:rsidP="009C1D86">
      <w:pPr>
        <w:pStyle w:val="Akapitzlist"/>
        <w:numPr>
          <w:ilvl w:val="0"/>
          <w:numId w:val="738"/>
        </w:numPr>
        <w:shd w:val="clear" w:color="auto" w:fill="F2F2F2" w:themeFill="background1" w:themeFillShade="F2"/>
        <w:spacing w:after="0" w:line="252" w:lineRule="auto"/>
        <w:ind w:left="1066" w:hanging="357"/>
        <w:jc w:val="both"/>
        <w:rPr>
          <w:sz w:val="20"/>
          <w:szCs w:val="20"/>
        </w:rPr>
      </w:pPr>
      <w:r w:rsidRPr="00581E59">
        <w:rPr>
          <w:sz w:val="20"/>
          <w:szCs w:val="20"/>
        </w:rPr>
        <w:t xml:space="preserve">Utworzenie Muzeum Górnośląskich Kolei Wąskotorowych na terenie dawnych Warsztatów Naprawczych Górnośląskich </w:t>
      </w:r>
      <w:r w:rsidR="00274F2E" w:rsidRPr="00581E59">
        <w:rPr>
          <w:sz w:val="20"/>
          <w:szCs w:val="20"/>
        </w:rPr>
        <w:t>Kolei Wąskotorowych na Rozbarku,</w:t>
      </w:r>
    </w:p>
    <w:p w:rsidR="00274F2E" w:rsidRPr="00581E59" w:rsidRDefault="00274F2E" w:rsidP="009C1D86">
      <w:pPr>
        <w:pStyle w:val="Akapitzlist"/>
        <w:numPr>
          <w:ilvl w:val="0"/>
          <w:numId w:val="738"/>
        </w:numPr>
        <w:shd w:val="clear" w:color="auto" w:fill="F2F2F2" w:themeFill="background1" w:themeFillShade="F2"/>
        <w:spacing w:after="0" w:line="252" w:lineRule="auto"/>
        <w:ind w:left="1066" w:hanging="357"/>
        <w:jc w:val="both"/>
        <w:rPr>
          <w:sz w:val="20"/>
          <w:szCs w:val="20"/>
        </w:rPr>
      </w:pPr>
      <w:r w:rsidRPr="00581E59">
        <w:rPr>
          <w:sz w:val="20"/>
          <w:szCs w:val="20"/>
        </w:rPr>
        <w:t>Nadanie stacji Bytom Karb Wąskotorowy Górnośląskich Kolei Wąskotorowych funkcji ogólnodostępnej przyjaznej przestrzeni publicznej sprzyjającej integracji lokalnej społeczności - Stowarzyszenie Górnośląskich Kolei Wąskotorowych.</w:t>
      </w:r>
    </w:p>
    <w:p w:rsidR="002A6628" w:rsidRPr="00EA2581" w:rsidRDefault="002A6628" w:rsidP="00067C16">
      <w:pPr>
        <w:jc w:val="both"/>
        <w:rPr>
          <w:rFonts w:ascii="Calibri" w:hAnsi="Calibri"/>
          <w:color w:val="FF0000"/>
          <w:szCs w:val="20"/>
        </w:rPr>
      </w:pPr>
    </w:p>
    <w:p w:rsidR="00B01E6E" w:rsidRDefault="00B01E6E" w:rsidP="00B01E6E">
      <w:pPr>
        <w:jc w:val="both"/>
        <w:rPr>
          <w:rFonts w:ascii="Calibri" w:hAnsi="Calibri"/>
        </w:rPr>
      </w:pPr>
      <w:r>
        <w:rPr>
          <w:rFonts w:ascii="Calibri" w:hAnsi="Calibri"/>
        </w:rPr>
        <w:t xml:space="preserve">Powyższe przedsięwzięcia przyczynią się do realizacji następujących celów GPR: </w:t>
      </w:r>
    </w:p>
    <w:p w:rsidR="00B01E6E" w:rsidRDefault="00B01E6E" w:rsidP="00B01E6E">
      <w:pPr>
        <w:numPr>
          <w:ilvl w:val="0"/>
          <w:numId w:val="680"/>
        </w:numPr>
        <w:jc w:val="both"/>
        <w:rPr>
          <w:rFonts w:ascii="Calibri" w:hAnsi="Calibri"/>
        </w:rPr>
      </w:pPr>
      <w:r>
        <w:rPr>
          <w:rFonts w:ascii="Calibri" w:hAnsi="Calibri"/>
        </w:rPr>
        <w:t>cel operacyjny 2.1 ograniczona skala negatywnych zjawisk społecznych oraz wzrost dostępności do prorozwojowych usług publicznych,</w:t>
      </w:r>
    </w:p>
    <w:p w:rsidR="00B01E6E" w:rsidRDefault="00B01E6E" w:rsidP="00B01E6E">
      <w:pPr>
        <w:numPr>
          <w:ilvl w:val="0"/>
          <w:numId w:val="680"/>
        </w:numPr>
        <w:jc w:val="both"/>
        <w:rPr>
          <w:rFonts w:ascii="Calibri" w:hAnsi="Calibri"/>
        </w:rPr>
      </w:pPr>
      <w:r>
        <w:rPr>
          <w:rFonts w:ascii="Calibri" w:hAnsi="Calibri"/>
        </w:rPr>
        <w:t>cel operacyjny 2.2 społeczności lokalne zintegrowane wokół tradycji dzielnic oraz oddolnych inicjatyw realizowanych przez mieszkańców na rzecz wspólnoty lokalnej,</w:t>
      </w:r>
    </w:p>
    <w:p w:rsidR="00B01E6E" w:rsidRDefault="00B01E6E" w:rsidP="00B01E6E">
      <w:pPr>
        <w:numPr>
          <w:ilvl w:val="0"/>
          <w:numId w:val="680"/>
        </w:numPr>
        <w:jc w:val="both"/>
        <w:rPr>
          <w:rFonts w:ascii="Calibri" w:hAnsi="Calibri"/>
        </w:rPr>
      </w:pPr>
      <w:r>
        <w:rPr>
          <w:rFonts w:ascii="Calibri" w:hAnsi="Calibri"/>
        </w:rPr>
        <w:t>cel operacyjny 3.2 partnerstwo władz miasta i społeczności lokalnych w podnoszeniu jakości i ochronie walorów przestrzeni publicznych,</w:t>
      </w:r>
    </w:p>
    <w:p w:rsidR="00B01E6E" w:rsidRPr="00B01E6E" w:rsidRDefault="00B01E6E" w:rsidP="00067C16">
      <w:pPr>
        <w:numPr>
          <w:ilvl w:val="0"/>
          <w:numId w:val="680"/>
        </w:numPr>
        <w:jc w:val="both"/>
        <w:rPr>
          <w:rFonts w:ascii="Calibri" w:hAnsi="Calibri"/>
        </w:rPr>
      </w:pPr>
      <w:r>
        <w:rPr>
          <w:rFonts w:ascii="Calibri" w:hAnsi="Calibri"/>
        </w:rPr>
        <w:t>cel operacyjny 4.2 przywrócona wartość obiektów historycznych, kulturowych, krajobrazowo-przyrodniczych przyczyniająca się do wzmacniania tożsamości społeczności lokalnych.</w:t>
      </w:r>
    </w:p>
    <w:p w:rsidR="00B01E6E" w:rsidRDefault="00B01E6E" w:rsidP="00067C16">
      <w:pPr>
        <w:jc w:val="both"/>
        <w:rPr>
          <w:rFonts w:ascii="Calibri" w:hAnsi="Calibri"/>
          <w:szCs w:val="20"/>
        </w:rPr>
      </w:pPr>
    </w:p>
    <w:p w:rsidR="00067C16" w:rsidRDefault="00067C16" w:rsidP="00067C16">
      <w:pPr>
        <w:numPr>
          <w:ilvl w:val="0"/>
          <w:numId w:val="86"/>
        </w:numPr>
        <w:jc w:val="both"/>
        <w:rPr>
          <w:rFonts w:ascii="Calibri" w:hAnsi="Calibri"/>
          <w:b/>
          <w:bCs/>
          <w:szCs w:val="20"/>
        </w:rPr>
      </w:pPr>
      <w:r>
        <w:rPr>
          <w:rFonts w:ascii="Calibri" w:hAnsi="Calibri"/>
          <w:b/>
          <w:bCs/>
          <w:szCs w:val="20"/>
        </w:rPr>
        <w:t xml:space="preserve">Przedsięwzięcia z zakresu poprawy warunków życia mieszkańców w ich otoczeniu oraz poprawy jakości przestrzeni publicznej </w:t>
      </w:r>
      <w:r>
        <w:rPr>
          <w:rFonts w:ascii="Calibri" w:hAnsi="Calibri"/>
          <w:szCs w:val="20"/>
        </w:rPr>
        <w:t>obejmujące m.in.:</w:t>
      </w:r>
    </w:p>
    <w:p w:rsidR="00067C16" w:rsidRDefault="00067C16" w:rsidP="00BD3D22">
      <w:pPr>
        <w:numPr>
          <w:ilvl w:val="0"/>
          <w:numId w:val="13"/>
        </w:numPr>
        <w:spacing w:line="252" w:lineRule="auto"/>
        <w:ind w:left="1077" w:hanging="357"/>
        <w:jc w:val="both"/>
        <w:rPr>
          <w:rFonts w:ascii="Calibri" w:hAnsi="Calibri"/>
          <w:szCs w:val="20"/>
        </w:rPr>
      </w:pPr>
      <w:r>
        <w:rPr>
          <w:rFonts w:ascii="Calibri" w:hAnsi="Calibri"/>
          <w:szCs w:val="20"/>
        </w:rPr>
        <w:t xml:space="preserve">działania w otoczeniu miejsca zamieszkania mieszkańców - zagospodarowanie podwórek, urządzenie małej architektury, aranżowanie przestrzeni wspólnych, </w:t>
      </w:r>
    </w:p>
    <w:p w:rsidR="00067C16" w:rsidRDefault="00067C16" w:rsidP="00BD3D22">
      <w:pPr>
        <w:numPr>
          <w:ilvl w:val="0"/>
          <w:numId w:val="13"/>
        </w:numPr>
        <w:spacing w:line="252" w:lineRule="auto"/>
        <w:ind w:left="1077" w:hanging="357"/>
        <w:jc w:val="both"/>
        <w:rPr>
          <w:rFonts w:ascii="Calibri" w:hAnsi="Calibri"/>
          <w:szCs w:val="20"/>
        </w:rPr>
      </w:pPr>
      <w:r>
        <w:rPr>
          <w:rFonts w:ascii="Calibri" w:hAnsi="Calibri"/>
          <w:szCs w:val="20"/>
        </w:rPr>
        <w:t>organizacja zieleni (placów, parków, skwerów, zieleni między budynkami mieszkalnymi, ogrodów przyszkolnych),</w:t>
      </w:r>
    </w:p>
    <w:p w:rsidR="00067C16" w:rsidRDefault="00067C16" w:rsidP="00BD3D22">
      <w:pPr>
        <w:numPr>
          <w:ilvl w:val="0"/>
          <w:numId w:val="13"/>
        </w:numPr>
        <w:spacing w:line="252" w:lineRule="auto"/>
        <w:ind w:left="1077" w:hanging="357"/>
        <w:jc w:val="both"/>
        <w:rPr>
          <w:rFonts w:ascii="Calibri" w:hAnsi="Calibri"/>
          <w:szCs w:val="20"/>
        </w:rPr>
      </w:pPr>
      <w:r>
        <w:rPr>
          <w:rFonts w:ascii="Calibri" w:hAnsi="Calibri"/>
          <w:szCs w:val="20"/>
        </w:rPr>
        <w:t>organizację miejsc spotkań i odpoczynku mieszkańców,</w:t>
      </w:r>
    </w:p>
    <w:p w:rsidR="00067C16" w:rsidRDefault="00067C16" w:rsidP="00BD3D22">
      <w:pPr>
        <w:numPr>
          <w:ilvl w:val="0"/>
          <w:numId w:val="13"/>
        </w:numPr>
        <w:spacing w:line="252" w:lineRule="auto"/>
        <w:ind w:left="1077" w:hanging="357"/>
        <w:jc w:val="both"/>
        <w:rPr>
          <w:rFonts w:ascii="Calibri" w:hAnsi="Calibri"/>
          <w:szCs w:val="20"/>
        </w:rPr>
      </w:pPr>
      <w:r>
        <w:rPr>
          <w:rFonts w:ascii="Calibri" w:hAnsi="Calibri"/>
          <w:szCs w:val="20"/>
        </w:rPr>
        <w:t>działania mające na celu rozwiązanie problemu nieczystości pochodzących od zwierząt domowych (wybiegi dla zwierząt, urządzenia do usuwania nieczystości, system kontroli i stymulowania zachowań w tym zakresie),</w:t>
      </w:r>
    </w:p>
    <w:p w:rsidR="00067C16" w:rsidRDefault="00067C16" w:rsidP="00BD3D22">
      <w:pPr>
        <w:numPr>
          <w:ilvl w:val="0"/>
          <w:numId w:val="13"/>
        </w:numPr>
        <w:spacing w:line="252" w:lineRule="auto"/>
        <w:ind w:left="1077" w:hanging="357"/>
        <w:jc w:val="both"/>
        <w:rPr>
          <w:rFonts w:ascii="Calibri" w:hAnsi="Calibri"/>
          <w:szCs w:val="20"/>
        </w:rPr>
      </w:pPr>
      <w:r>
        <w:rPr>
          <w:rFonts w:ascii="Calibri" w:hAnsi="Calibri"/>
          <w:szCs w:val="20"/>
        </w:rPr>
        <w:t>remonty kamienic oraz wypełnienie luk w zabudowie,</w:t>
      </w:r>
    </w:p>
    <w:p w:rsidR="00067C16" w:rsidRDefault="00067C16" w:rsidP="00BD3D22">
      <w:pPr>
        <w:numPr>
          <w:ilvl w:val="0"/>
          <w:numId w:val="13"/>
        </w:numPr>
        <w:spacing w:line="252" w:lineRule="auto"/>
        <w:ind w:left="1077" w:hanging="357"/>
        <w:jc w:val="both"/>
        <w:rPr>
          <w:rFonts w:ascii="Calibri" w:hAnsi="Calibri"/>
          <w:szCs w:val="20"/>
        </w:rPr>
      </w:pPr>
      <w:r>
        <w:rPr>
          <w:rFonts w:ascii="Calibri" w:hAnsi="Calibri"/>
          <w:szCs w:val="20"/>
        </w:rPr>
        <w:t xml:space="preserve">remonty oficyn oraz zagospodarowanie pustostanów na cele mieszkalne, społeczne, edukacyjne, rekreacyjne, </w:t>
      </w:r>
    </w:p>
    <w:p w:rsidR="00067C16" w:rsidRDefault="00067C16" w:rsidP="00BD3D22">
      <w:pPr>
        <w:numPr>
          <w:ilvl w:val="0"/>
          <w:numId w:val="13"/>
        </w:numPr>
        <w:spacing w:line="252" w:lineRule="auto"/>
        <w:ind w:left="1077" w:hanging="357"/>
        <w:jc w:val="both"/>
        <w:rPr>
          <w:rFonts w:ascii="Calibri" w:hAnsi="Calibri"/>
          <w:szCs w:val="20"/>
        </w:rPr>
      </w:pPr>
      <w:r>
        <w:rPr>
          <w:rFonts w:ascii="Calibri" w:hAnsi="Calibri"/>
          <w:szCs w:val="20"/>
        </w:rPr>
        <w:t>gazyfikacja budynków mieszkalnych (w szczególności w dzielnicy Bobrek),</w:t>
      </w:r>
    </w:p>
    <w:p w:rsidR="00067C16" w:rsidRDefault="00067C16" w:rsidP="00BD3D22">
      <w:pPr>
        <w:numPr>
          <w:ilvl w:val="0"/>
          <w:numId w:val="13"/>
        </w:numPr>
        <w:spacing w:line="252" w:lineRule="auto"/>
        <w:ind w:left="1077" w:hanging="357"/>
        <w:jc w:val="both"/>
        <w:rPr>
          <w:rFonts w:ascii="Calibri" w:hAnsi="Calibri"/>
          <w:szCs w:val="20"/>
        </w:rPr>
      </w:pPr>
      <w:r>
        <w:rPr>
          <w:rFonts w:ascii="Calibri" w:hAnsi="Calibri"/>
          <w:szCs w:val="20"/>
        </w:rPr>
        <w:t>remont kanalizacji sanitarnej i deszczowej (w szczególności w dzielnicy Kolonia Zgorzelec),</w:t>
      </w:r>
    </w:p>
    <w:p w:rsidR="00067C16" w:rsidRDefault="00067C16" w:rsidP="00BD3D22">
      <w:pPr>
        <w:numPr>
          <w:ilvl w:val="0"/>
          <w:numId w:val="13"/>
        </w:numPr>
        <w:spacing w:line="252" w:lineRule="auto"/>
        <w:ind w:left="1077" w:hanging="357"/>
        <w:jc w:val="both"/>
        <w:rPr>
          <w:rFonts w:ascii="Calibri" w:hAnsi="Calibri"/>
          <w:szCs w:val="20"/>
        </w:rPr>
      </w:pPr>
      <w:r>
        <w:rPr>
          <w:rFonts w:ascii="Calibri" w:hAnsi="Calibri"/>
          <w:szCs w:val="20"/>
        </w:rPr>
        <w:t>podnoszenie prestiżu dotąd zaniedbanych miejsc.</w:t>
      </w:r>
    </w:p>
    <w:p w:rsidR="00963245" w:rsidRDefault="00963245" w:rsidP="00963245">
      <w:pPr>
        <w:jc w:val="both"/>
        <w:rPr>
          <w:rFonts w:ascii="Calibri" w:hAnsi="Calibri"/>
          <w:szCs w:val="20"/>
        </w:rPr>
      </w:pPr>
    </w:p>
    <w:p w:rsidR="001D7782" w:rsidRPr="00273B97" w:rsidRDefault="002F2080" w:rsidP="009C1D86">
      <w:pPr>
        <w:pStyle w:val="Tekstpodstawowy"/>
        <w:shd w:val="clear" w:color="auto" w:fill="F2F2F2" w:themeFill="background1" w:themeFillShade="F2"/>
        <w:spacing w:after="0" w:line="252" w:lineRule="auto"/>
        <w:jc w:val="both"/>
        <w:rPr>
          <w:rFonts w:ascii="Calibri" w:hAnsi="Calibri"/>
          <w:b/>
          <w:bCs/>
          <w:szCs w:val="20"/>
        </w:rPr>
      </w:pPr>
      <w:r w:rsidRPr="00273B97">
        <w:rPr>
          <w:rFonts w:ascii="Calibri" w:hAnsi="Calibri"/>
          <w:b/>
          <w:bCs/>
          <w:szCs w:val="20"/>
        </w:rPr>
        <w:t xml:space="preserve">Projekty, których główna interwencja </w:t>
      </w:r>
      <w:r w:rsidR="00D10683" w:rsidRPr="00273B97">
        <w:rPr>
          <w:rFonts w:ascii="Calibri" w:hAnsi="Calibri"/>
          <w:b/>
          <w:bCs/>
          <w:szCs w:val="20"/>
        </w:rPr>
        <w:t>zmierza do</w:t>
      </w:r>
      <w:r w:rsidRPr="00273B97">
        <w:rPr>
          <w:rFonts w:ascii="Calibri" w:hAnsi="Calibri"/>
          <w:b/>
          <w:bCs/>
          <w:szCs w:val="20"/>
        </w:rPr>
        <w:t xml:space="preserve"> popraw</w:t>
      </w:r>
      <w:r w:rsidR="00D10683" w:rsidRPr="00273B97">
        <w:rPr>
          <w:rFonts w:ascii="Calibri" w:hAnsi="Calibri"/>
          <w:b/>
          <w:bCs/>
          <w:szCs w:val="20"/>
        </w:rPr>
        <w:t>y</w:t>
      </w:r>
      <w:r w:rsidR="001D7782" w:rsidRPr="00273B97">
        <w:rPr>
          <w:rFonts w:ascii="Calibri" w:hAnsi="Calibri"/>
          <w:b/>
          <w:bCs/>
          <w:szCs w:val="20"/>
        </w:rPr>
        <w:t xml:space="preserve"> warunków życia mieszkań</w:t>
      </w:r>
      <w:r w:rsidRPr="00273B97">
        <w:rPr>
          <w:rFonts w:ascii="Calibri" w:hAnsi="Calibri"/>
          <w:b/>
          <w:bCs/>
          <w:szCs w:val="20"/>
        </w:rPr>
        <w:t>ców w ich otoczeniu oraz popraw</w:t>
      </w:r>
      <w:r w:rsidR="00D10683" w:rsidRPr="00273B97">
        <w:rPr>
          <w:rFonts w:ascii="Calibri" w:hAnsi="Calibri"/>
          <w:b/>
          <w:bCs/>
          <w:szCs w:val="20"/>
        </w:rPr>
        <w:t>y</w:t>
      </w:r>
      <w:r w:rsidR="001D7782" w:rsidRPr="00273B97">
        <w:rPr>
          <w:rFonts w:ascii="Calibri" w:hAnsi="Calibri"/>
          <w:b/>
          <w:bCs/>
          <w:szCs w:val="20"/>
        </w:rPr>
        <w:t xml:space="preserve"> jakości przestrzeni publicznej:</w:t>
      </w:r>
    </w:p>
    <w:p w:rsidR="001D7782" w:rsidRPr="00273B97" w:rsidRDefault="001D7782"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noProof/>
          <w:szCs w:val="20"/>
        </w:rPr>
        <w:t>Rewitalizacja podobszaru 8 w Bytomiu – w tym przestrzeni Nowej Kolonii Robotniczej w dzielnicy Bobrek – Miasto Bytom,</w:t>
      </w:r>
    </w:p>
    <w:p w:rsidR="001D7782" w:rsidRPr="00273B97" w:rsidRDefault="001D7782"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Rewitalizacja podobszaru 19 w Bytomiu - zabytkowe osiedle Kolonia Zgorzelec (etap II) - Zakład Budynków Miejskich Sp. z o.o. (projekt partnerski),</w:t>
      </w:r>
    </w:p>
    <w:p w:rsidR="001D7782" w:rsidRPr="00273B97" w:rsidRDefault="001D7782"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Rewitalizacja podobszaru 10 w Bytomiu - kwartał ulic: Głęboka, Matejki, Katowicka i Rostka - Zakład Budynków Miejskich Sp. z o.o. (projekt partnerski),</w:t>
      </w:r>
    </w:p>
    <w:p w:rsidR="001D7782" w:rsidRPr="00273B97" w:rsidRDefault="001D7782"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 xml:space="preserve">Rewitalizacja podobszaru 10 w Bytomiu - okolice ulicy Dworcowej i Rynku </w:t>
      </w:r>
      <w:r w:rsidR="00EC3D58" w:rsidRPr="00273B97">
        <w:rPr>
          <w:szCs w:val="20"/>
        </w:rPr>
        <w:t xml:space="preserve">- </w:t>
      </w:r>
      <w:r w:rsidRPr="00273B97">
        <w:rPr>
          <w:szCs w:val="20"/>
        </w:rPr>
        <w:t>Zakład Budynków Miejskich Sp. z o.o. (projekt partnerski),</w:t>
      </w:r>
    </w:p>
    <w:p w:rsidR="001D7782" w:rsidRPr="00273B97" w:rsidRDefault="001D7782"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 xml:space="preserve">Rewitalizacja podobszaru 13 w Bytomiu - okolice ulicy Mickiewicza </w:t>
      </w:r>
      <w:r w:rsidR="00EC3D58" w:rsidRPr="00273B97">
        <w:rPr>
          <w:szCs w:val="20"/>
        </w:rPr>
        <w:t xml:space="preserve">- </w:t>
      </w:r>
      <w:r w:rsidRPr="00273B97">
        <w:rPr>
          <w:szCs w:val="20"/>
        </w:rPr>
        <w:t>Zakład Budynków Miejskich Sp. z o.o. (projekt partnerski),</w:t>
      </w:r>
    </w:p>
    <w:p w:rsidR="001D7782" w:rsidRPr="00273B97" w:rsidRDefault="001D7782"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 xml:space="preserve">Rewitalizacja przestrzeni publicznych na terenie Rozbarku i Śródmieścia </w:t>
      </w:r>
      <w:r w:rsidR="00EC3D58" w:rsidRPr="00273B97">
        <w:rPr>
          <w:szCs w:val="20"/>
        </w:rPr>
        <w:t xml:space="preserve">- Parafia św. Jacka </w:t>
      </w:r>
      <w:r w:rsidR="00EC3D58" w:rsidRPr="00273B97">
        <w:rPr>
          <w:szCs w:val="20"/>
        </w:rPr>
        <w:br/>
        <w:t xml:space="preserve">w Bytomiu, </w:t>
      </w:r>
    </w:p>
    <w:p w:rsidR="00EC3D58" w:rsidRPr="00273B97" w:rsidRDefault="00EC3D58"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Zagospodarowanie przestrzeni miejskich Śródmieścia Bytomia na cele społeczno-integracyjne (Kwietniewskiego 11, 15) - KBP BWI POLSKA Sp. z o.o. Sp. komandytowa,</w:t>
      </w:r>
    </w:p>
    <w:p w:rsidR="00EC3D58" w:rsidRPr="00273B97" w:rsidRDefault="00EC3D58"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Stworzenie przyjemnych i bezpiecznych przestrzeni dla mieszkańców Bytomia – etap II – Miasto Bytom,</w:t>
      </w:r>
    </w:p>
    <w:p w:rsidR="004775CB" w:rsidRPr="00273B97" w:rsidRDefault="004775CB"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Rewitalizac</w:t>
      </w:r>
      <w:r w:rsidR="00AE3ED2" w:rsidRPr="00273B97">
        <w:rPr>
          <w:szCs w:val="20"/>
        </w:rPr>
        <w:t>ja ul. Józefczaka - Haider Sp. j. oraz</w:t>
      </w:r>
      <w:r w:rsidRPr="00273B97">
        <w:rPr>
          <w:szCs w:val="20"/>
        </w:rPr>
        <w:t xml:space="preserve"> </w:t>
      </w:r>
      <w:r w:rsidR="00AE3ED2" w:rsidRPr="00273B97">
        <w:rPr>
          <w:szCs w:val="20"/>
        </w:rPr>
        <w:t>Wspólnota Mieszkaniowa</w:t>
      </w:r>
      <w:r w:rsidRPr="00273B97">
        <w:rPr>
          <w:szCs w:val="20"/>
        </w:rPr>
        <w:t xml:space="preserve"> przy ul. Józefczaka 6, </w:t>
      </w:r>
      <w:r w:rsidR="00AE3ED2" w:rsidRPr="00273B97">
        <w:rPr>
          <w:szCs w:val="20"/>
        </w:rPr>
        <w:t>Wspólnota Mieszkaniowa</w:t>
      </w:r>
      <w:r w:rsidRPr="00273B97">
        <w:rPr>
          <w:szCs w:val="20"/>
        </w:rPr>
        <w:t xml:space="preserve"> przy ul. Józefczaka 8, Gmina Bytom,</w:t>
      </w:r>
    </w:p>
    <w:p w:rsidR="004775CB" w:rsidRPr="00273B97" w:rsidRDefault="004775CB"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 xml:space="preserve">Budowa placu zabaw oraz rewitalizacja zieleni na podwórku nieruchomości </w:t>
      </w:r>
      <w:r w:rsidRPr="00273B97">
        <w:rPr>
          <w:szCs w:val="20"/>
        </w:rPr>
        <w:br/>
        <w:t>ul. Smolenia 32 - ZZION BATORY Sp. z o.o.,</w:t>
      </w:r>
    </w:p>
    <w:p w:rsidR="004775CB" w:rsidRPr="00273B97" w:rsidRDefault="004775CB"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 xml:space="preserve">Remont dachu, remont elewacji frontowej, termomodernizacja dachu, wykonanie izolacji pionowej fundamentów, montaż instalacji monitoringu, zagospodarowanie podwórza - Wspólnota Mieszkaniowa </w:t>
      </w:r>
      <w:r w:rsidR="009B77E6" w:rsidRPr="00273B97">
        <w:rPr>
          <w:szCs w:val="20"/>
        </w:rPr>
        <w:t xml:space="preserve">ul. </w:t>
      </w:r>
      <w:r w:rsidRPr="00273B97">
        <w:rPr>
          <w:szCs w:val="20"/>
        </w:rPr>
        <w:t xml:space="preserve">Jainty 14 </w:t>
      </w:r>
      <w:r w:rsidR="009B77E6" w:rsidRPr="00273B97">
        <w:rPr>
          <w:szCs w:val="20"/>
        </w:rPr>
        <w:t xml:space="preserve">ul. </w:t>
      </w:r>
      <w:r w:rsidRPr="00273B97">
        <w:rPr>
          <w:szCs w:val="20"/>
        </w:rPr>
        <w:t>Mariacka 6,</w:t>
      </w:r>
    </w:p>
    <w:p w:rsidR="002A4874" w:rsidRPr="00273B97" w:rsidRDefault="004775CB"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 xml:space="preserve">Remont dachu, remont elewacji frontowej, termomodernizacja dachu, wykonanie izolacji pionowej fundamentów, montaż instalacji monitoringu, zagospodarowanie podwórza - Wspólnota Mieszkaniowa </w:t>
      </w:r>
      <w:r w:rsidR="009B77E6" w:rsidRPr="00273B97">
        <w:rPr>
          <w:szCs w:val="20"/>
        </w:rPr>
        <w:t xml:space="preserve">ul. </w:t>
      </w:r>
      <w:r w:rsidRPr="00273B97">
        <w:rPr>
          <w:szCs w:val="20"/>
        </w:rPr>
        <w:t xml:space="preserve">Mariacka 5 </w:t>
      </w:r>
      <w:r w:rsidR="009B77E6" w:rsidRPr="00273B97">
        <w:rPr>
          <w:szCs w:val="20"/>
        </w:rPr>
        <w:t xml:space="preserve">ul. </w:t>
      </w:r>
      <w:r w:rsidRPr="00273B97">
        <w:rPr>
          <w:szCs w:val="20"/>
        </w:rPr>
        <w:t>Koziołka 1 i 2,</w:t>
      </w:r>
    </w:p>
    <w:p w:rsidR="004775CB" w:rsidRPr="00273B97" w:rsidRDefault="004775CB"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Remont dachu, termomodernizacja dachu, wykonanie izolacji pionowej fundamentów, montaż instalacji monitoringu, zagospodarowanie podwórza - Wspólnota Mieszkaniowa ul. Jagiellońska 24,</w:t>
      </w:r>
    </w:p>
    <w:p w:rsidR="004775CB" w:rsidRPr="00273B97" w:rsidRDefault="004775CB"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Remont dachu, termomodernizacja dachu, wykonanie izolacji pionowej fundamentów, montaż instalacji monitoringu, zagospodarowanie podwórza - Wspólnota Mieszkaniowa ul. Jagiellońska 3,</w:t>
      </w:r>
    </w:p>
    <w:p w:rsidR="004775CB" w:rsidRPr="00273B97" w:rsidRDefault="004775CB"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 xml:space="preserve">Odnowa zabudowy mieszkalnej i usługowej na obszarze rewitalizowanym oraz podniesienie atrakcyjności przestrzeni w celach pogłębiania spójności społecznej - Wspólnota Mieszkaniowa </w:t>
      </w:r>
      <w:r w:rsidR="009B77E6" w:rsidRPr="00273B97">
        <w:rPr>
          <w:szCs w:val="20"/>
        </w:rPr>
        <w:t xml:space="preserve">ul. </w:t>
      </w:r>
      <w:r w:rsidRPr="00273B97">
        <w:rPr>
          <w:szCs w:val="20"/>
        </w:rPr>
        <w:t>Jagiellońska 13,</w:t>
      </w:r>
    </w:p>
    <w:p w:rsidR="004775CB" w:rsidRPr="00273B97" w:rsidRDefault="004775CB"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 xml:space="preserve">Rewitalizacja przestrzeni pomiędzy budynkami mieszkalnymi stanowiącymi zwartą zabudowę zlokalizowanymi u zbiegu ulic Karola Miarki oraz Rostka - Wspólnota Mieszkaniowa </w:t>
      </w:r>
      <w:r w:rsidR="009B77E6" w:rsidRPr="00273B97">
        <w:rPr>
          <w:szCs w:val="20"/>
        </w:rPr>
        <w:t xml:space="preserve">ul. </w:t>
      </w:r>
      <w:r w:rsidRPr="00273B97">
        <w:rPr>
          <w:szCs w:val="20"/>
        </w:rPr>
        <w:t>Karola Miarki 21 we współpracy z partnerami,</w:t>
      </w:r>
    </w:p>
    <w:p w:rsidR="004775CB" w:rsidRPr="00273B97" w:rsidRDefault="004775CB"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 xml:space="preserve">Odnowa zabudowy mieszkalnej na obszarze rewitalizowanym oraz podniesienie atrakcyjności przestrzeni w celach pogłębienia spójności społecznej - Wspólnota Mieszkaniowa </w:t>
      </w:r>
      <w:r w:rsidR="009B77E6" w:rsidRPr="00273B97">
        <w:rPr>
          <w:szCs w:val="20"/>
        </w:rPr>
        <w:t xml:space="preserve">ul. </w:t>
      </w:r>
      <w:r w:rsidRPr="00273B97">
        <w:rPr>
          <w:szCs w:val="20"/>
        </w:rPr>
        <w:t>Kingi 4,</w:t>
      </w:r>
    </w:p>
    <w:p w:rsidR="00514CC2" w:rsidRPr="00273B97" w:rsidRDefault="00514CC2"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Odnowa zabudowy mieszkalnej na obszarze rewitalizowanym oraz podniesienie atrakcyjności przestrzeni w celach pogłębienia spójności społecznej - Wspólnota Mieszkaniowa pl. Kościuszki 12</w:t>
      </w:r>
      <w:r w:rsidR="00F352B6" w:rsidRPr="00273B97">
        <w:rPr>
          <w:szCs w:val="20"/>
        </w:rPr>
        <w:t>,</w:t>
      </w:r>
    </w:p>
    <w:p w:rsidR="00514CC2" w:rsidRPr="00273B97" w:rsidRDefault="00514CC2"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 xml:space="preserve">Odnowa zabudowy mieszkalnej na obszarze rewitalizowanym oraz podniesienie atrakcyjności przestrzeni w celach pogłębienia spójności społecznej - Wspólnota Mieszkaniowa </w:t>
      </w:r>
      <w:r w:rsidR="009B77E6" w:rsidRPr="00273B97">
        <w:rPr>
          <w:szCs w:val="20"/>
        </w:rPr>
        <w:t xml:space="preserve">ul. </w:t>
      </w:r>
      <w:r w:rsidRPr="00273B97">
        <w:rPr>
          <w:szCs w:val="20"/>
        </w:rPr>
        <w:t>Moniuszki 4</w:t>
      </w:r>
      <w:r w:rsidR="00F352B6" w:rsidRPr="00273B97">
        <w:rPr>
          <w:szCs w:val="20"/>
        </w:rPr>
        <w:t>,</w:t>
      </w:r>
    </w:p>
    <w:p w:rsidR="00514CC2" w:rsidRPr="00273B97" w:rsidRDefault="00514CC2"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Odnowa zabudowy mieszkalnej na obszarze rewitalizowanym oraz podniesienie atrakcyjności przestrzeni w celach pogłębienia spójności społecznej - Wspólnota Mieszkaniowa</w:t>
      </w:r>
      <w:r w:rsidR="00F352B6" w:rsidRPr="00273B97">
        <w:rPr>
          <w:szCs w:val="20"/>
        </w:rPr>
        <w:t xml:space="preserve"> </w:t>
      </w:r>
      <w:r w:rsidR="009B77E6" w:rsidRPr="00273B97">
        <w:rPr>
          <w:szCs w:val="20"/>
        </w:rPr>
        <w:t xml:space="preserve">ul. </w:t>
      </w:r>
      <w:r w:rsidR="00F352B6" w:rsidRPr="00273B97">
        <w:rPr>
          <w:szCs w:val="20"/>
        </w:rPr>
        <w:t>Rostka 21,</w:t>
      </w:r>
    </w:p>
    <w:p w:rsidR="00F352B6" w:rsidRPr="00273B97" w:rsidRDefault="00F352B6"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 xml:space="preserve">Odnowa zabudowy mieszkalnej na obszarze rewitalizowanym oraz podniesienie atrakcyjności przestrzeni w celach pogłębienia spójności społecznej - Wspólnota Mieszkaniowa </w:t>
      </w:r>
      <w:r w:rsidR="009B77E6" w:rsidRPr="00273B97">
        <w:rPr>
          <w:szCs w:val="20"/>
        </w:rPr>
        <w:t xml:space="preserve">ul. </w:t>
      </w:r>
      <w:r w:rsidRPr="00273B97">
        <w:rPr>
          <w:szCs w:val="20"/>
        </w:rPr>
        <w:t>Sądowa 3,</w:t>
      </w:r>
    </w:p>
    <w:p w:rsidR="001D7782" w:rsidRPr="00273B97" w:rsidRDefault="00F352B6"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 xml:space="preserve">Odnowa zabudowy mieszkalnej na obszarze rewitalizowanym oraz podniesienie atrakcyjności przestrzeni w celach pogłębienia spójności społecznej - Wspólnota Mieszkaniowa </w:t>
      </w:r>
      <w:r w:rsidR="009B77E6" w:rsidRPr="00273B97">
        <w:rPr>
          <w:szCs w:val="20"/>
        </w:rPr>
        <w:t xml:space="preserve">ul. </w:t>
      </w:r>
      <w:r w:rsidRPr="00273B97">
        <w:rPr>
          <w:szCs w:val="20"/>
        </w:rPr>
        <w:t>Brzezińska 19, 19a, 19b, 19c, 21,</w:t>
      </w:r>
    </w:p>
    <w:p w:rsidR="00F352B6" w:rsidRPr="00273B97" w:rsidRDefault="00F352B6"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Ulepszenie estetyki miasta poprzez rewitalizację kamienicy przy</w:t>
      </w:r>
      <w:r w:rsidRPr="00273B97">
        <w:rPr>
          <w:noProof/>
          <w:szCs w:val="20"/>
        </w:rPr>
        <w:t xml:space="preserve"> </w:t>
      </w:r>
      <w:r w:rsidRPr="00273B97">
        <w:rPr>
          <w:szCs w:val="20"/>
        </w:rPr>
        <w:t xml:space="preserve">ul. Chełmońskiego 9 - Wspólnota Mieszkaniowa </w:t>
      </w:r>
      <w:r w:rsidR="009B77E6" w:rsidRPr="00273B97">
        <w:rPr>
          <w:szCs w:val="20"/>
        </w:rPr>
        <w:t xml:space="preserve">ul. </w:t>
      </w:r>
      <w:r w:rsidRPr="00273B97">
        <w:rPr>
          <w:szCs w:val="20"/>
        </w:rPr>
        <w:t>Chełmońskiego 9,</w:t>
      </w:r>
    </w:p>
    <w:p w:rsidR="00F352B6" w:rsidRPr="00273B97" w:rsidRDefault="00F352B6"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Piękne Śródmieście dzięki rewitalizacji historycznej kamienicy przy Chrobrego 14, 14A</w:t>
      </w:r>
      <w:r w:rsidR="009B77E6" w:rsidRPr="00273B97">
        <w:rPr>
          <w:szCs w:val="20"/>
        </w:rPr>
        <w:t xml:space="preserve"> -</w:t>
      </w:r>
      <w:r w:rsidRPr="00273B97">
        <w:rPr>
          <w:szCs w:val="20"/>
        </w:rPr>
        <w:t xml:space="preserve"> Wspólnota Mieszkaniowa </w:t>
      </w:r>
      <w:r w:rsidR="009B77E6" w:rsidRPr="00273B97">
        <w:rPr>
          <w:szCs w:val="20"/>
        </w:rPr>
        <w:t xml:space="preserve">ul. </w:t>
      </w:r>
      <w:r w:rsidRPr="00273B97">
        <w:rPr>
          <w:szCs w:val="20"/>
        </w:rPr>
        <w:t>Chrobrego 14, 14A,</w:t>
      </w:r>
    </w:p>
    <w:p w:rsidR="00F352B6" w:rsidRPr="00273B97" w:rsidRDefault="00F352B6"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 xml:space="preserve">Piękne Śródmieście dzięki rewitalizacji historycznej kamienicy przy Chrobrego 16 - Wspólnota Mieszkaniowa </w:t>
      </w:r>
      <w:r w:rsidR="009B77E6" w:rsidRPr="00273B97">
        <w:rPr>
          <w:szCs w:val="20"/>
        </w:rPr>
        <w:t xml:space="preserve">ul. </w:t>
      </w:r>
      <w:r w:rsidRPr="00273B97">
        <w:rPr>
          <w:szCs w:val="20"/>
        </w:rPr>
        <w:t>Chrobrego 16,</w:t>
      </w:r>
    </w:p>
    <w:p w:rsidR="00F352B6" w:rsidRPr="00273B97" w:rsidRDefault="00F352B6"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 xml:space="preserve">Piękne Śródmieście dzięki rewitalizacji historycznej kamienicy przy Chrobrego 20, Żeromskiego 28 -  Wspólnota Mieszkaniowa </w:t>
      </w:r>
      <w:r w:rsidR="009B77E6" w:rsidRPr="00273B97">
        <w:rPr>
          <w:szCs w:val="20"/>
        </w:rPr>
        <w:t xml:space="preserve">ul. </w:t>
      </w:r>
      <w:r w:rsidRPr="00273B97">
        <w:rPr>
          <w:szCs w:val="20"/>
        </w:rPr>
        <w:t xml:space="preserve">Chrobrego 20, </w:t>
      </w:r>
      <w:r w:rsidR="009B77E6" w:rsidRPr="00273B97">
        <w:rPr>
          <w:szCs w:val="20"/>
        </w:rPr>
        <w:t xml:space="preserve">ul. </w:t>
      </w:r>
      <w:r w:rsidRPr="00273B97">
        <w:rPr>
          <w:szCs w:val="20"/>
        </w:rPr>
        <w:t>Żeromskiego 28,</w:t>
      </w:r>
    </w:p>
    <w:p w:rsidR="00F352B6" w:rsidRPr="00273B97" w:rsidRDefault="00F352B6"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 xml:space="preserve">Piękne Śródmieście dzięki rewitalizacji historycznej kamienicy przy Chrobrego 22, Żeromskiego 13 -  Wspólnota Mieszkaniowa </w:t>
      </w:r>
      <w:r w:rsidR="009B77E6" w:rsidRPr="00273B97">
        <w:rPr>
          <w:szCs w:val="20"/>
        </w:rPr>
        <w:t xml:space="preserve">ul. </w:t>
      </w:r>
      <w:r w:rsidRPr="00273B97">
        <w:rPr>
          <w:szCs w:val="20"/>
        </w:rPr>
        <w:t xml:space="preserve">Chrobrego 22, </w:t>
      </w:r>
      <w:r w:rsidR="009B77E6" w:rsidRPr="00273B97">
        <w:rPr>
          <w:szCs w:val="20"/>
        </w:rPr>
        <w:t xml:space="preserve">ul. </w:t>
      </w:r>
      <w:r w:rsidRPr="00273B97">
        <w:rPr>
          <w:szCs w:val="20"/>
        </w:rPr>
        <w:t>Żeromskiego 13,</w:t>
      </w:r>
    </w:p>
    <w:p w:rsidR="00F352B6" w:rsidRPr="00273B97" w:rsidRDefault="00F352B6"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 xml:space="preserve">Rewitalizacja Rozbarku poprzez zmianę wizerunku historycznej kamienicy przy ul. Floriańskiej 6, 8 -  Wspólnota Mieszkaniowa </w:t>
      </w:r>
      <w:r w:rsidR="009B77E6" w:rsidRPr="00273B97">
        <w:rPr>
          <w:szCs w:val="20"/>
        </w:rPr>
        <w:t xml:space="preserve">ul. </w:t>
      </w:r>
      <w:r w:rsidRPr="00273B97">
        <w:rPr>
          <w:szCs w:val="20"/>
        </w:rPr>
        <w:t>Floriańska 6, 8,</w:t>
      </w:r>
    </w:p>
    <w:p w:rsidR="00066390" w:rsidRPr="00273B97" w:rsidRDefault="00066390"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 xml:space="preserve">Czas na Jagiellońską - Wspólnota Mieszkaniowa </w:t>
      </w:r>
      <w:r w:rsidR="009B77E6" w:rsidRPr="00273B97">
        <w:rPr>
          <w:szCs w:val="20"/>
        </w:rPr>
        <w:t xml:space="preserve">ul. </w:t>
      </w:r>
      <w:r w:rsidRPr="00273B97">
        <w:rPr>
          <w:szCs w:val="20"/>
        </w:rPr>
        <w:t>Jagiellońska 32,</w:t>
      </w:r>
    </w:p>
    <w:p w:rsidR="00066390" w:rsidRPr="00273B97" w:rsidRDefault="00066390"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 xml:space="preserve">Rewitalizacja Rozbarku poprzez zmianę wizerunku historycznej kamienicy przy ul. Konopnickiej 4 -  Wspólnota Mieszkaniowa </w:t>
      </w:r>
      <w:r w:rsidR="009B77E6" w:rsidRPr="00273B97">
        <w:rPr>
          <w:szCs w:val="20"/>
        </w:rPr>
        <w:t xml:space="preserve">ul. </w:t>
      </w:r>
      <w:r w:rsidRPr="00273B97">
        <w:rPr>
          <w:szCs w:val="20"/>
        </w:rPr>
        <w:t>Konopnicka 4,</w:t>
      </w:r>
    </w:p>
    <w:p w:rsidR="00066390" w:rsidRPr="00273B97" w:rsidRDefault="00066390"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 xml:space="preserve">Rewitalizacja Rozbarku poprzez zmianę wizerunku historycznej kamienicy przy ul. Konopnickiej 8, Miętkiewicza 10 - Wspólnota Mieszkaniowa </w:t>
      </w:r>
      <w:r w:rsidR="009B77E6" w:rsidRPr="00273B97">
        <w:rPr>
          <w:szCs w:val="20"/>
        </w:rPr>
        <w:t xml:space="preserve">ul. </w:t>
      </w:r>
      <w:r w:rsidRPr="00273B97">
        <w:rPr>
          <w:szCs w:val="20"/>
        </w:rPr>
        <w:t xml:space="preserve">Konopnicka 8, </w:t>
      </w:r>
      <w:r w:rsidR="009B77E6" w:rsidRPr="00273B97">
        <w:rPr>
          <w:szCs w:val="20"/>
        </w:rPr>
        <w:t xml:space="preserve">ul. </w:t>
      </w:r>
      <w:r w:rsidRPr="00273B97">
        <w:rPr>
          <w:szCs w:val="20"/>
        </w:rPr>
        <w:t xml:space="preserve">Miętkiewicza 10, </w:t>
      </w:r>
    </w:p>
    <w:p w:rsidR="009C2178" w:rsidRPr="00273B97" w:rsidRDefault="009C2178"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 xml:space="preserve">Piękna Korfantego - Wspólnota Mieszkaniowa </w:t>
      </w:r>
      <w:r w:rsidR="009B77E6" w:rsidRPr="00273B97">
        <w:rPr>
          <w:szCs w:val="20"/>
        </w:rPr>
        <w:t xml:space="preserve">ul. </w:t>
      </w:r>
      <w:r w:rsidRPr="00273B97">
        <w:rPr>
          <w:szCs w:val="20"/>
        </w:rPr>
        <w:t>Korfantego 22,</w:t>
      </w:r>
    </w:p>
    <w:p w:rsidR="009C2178" w:rsidRPr="00273B97" w:rsidRDefault="009C2178"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 xml:space="preserve">Piękna Korfantego - Wspólnota Mieszkaniowa </w:t>
      </w:r>
      <w:r w:rsidR="009B77E6" w:rsidRPr="00273B97">
        <w:rPr>
          <w:szCs w:val="20"/>
        </w:rPr>
        <w:t xml:space="preserve">ul. </w:t>
      </w:r>
      <w:r w:rsidRPr="00273B97">
        <w:rPr>
          <w:szCs w:val="20"/>
        </w:rPr>
        <w:t>Korfantego 36,</w:t>
      </w:r>
    </w:p>
    <w:p w:rsidR="009C2178" w:rsidRPr="00273B97" w:rsidRDefault="009C2178"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 xml:space="preserve">Ulepszenie estetyki miasta poprzez rewitalizację kamienicy przy ul. Oświęcimskiej 7 - Wspólnota Mieszkaniowa </w:t>
      </w:r>
      <w:r w:rsidR="009B77E6" w:rsidRPr="00273B97">
        <w:rPr>
          <w:szCs w:val="20"/>
        </w:rPr>
        <w:t xml:space="preserve">ul. </w:t>
      </w:r>
      <w:r w:rsidRPr="00273B97">
        <w:rPr>
          <w:szCs w:val="20"/>
        </w:rPr>
        <w:t>Oświęcimska 7,</w:t>
      </w:r>
    </w:p>
    <w:p w:rsidR="009C2178" w:rsidRPr="00273B97" w:rsidRDefault="009C2178"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Piękne Śródmieście dzięki rewitalizacji historycznej kamienicy przy ul. Piłsudskiego 65, 69</w:t>
      </w:r>
      <w:r w:rsidRPr="00273B97">
        <w:rPr>
          <w:noProof/>
          <w:szCs w:val="20"/>
        </w:rPr>
        <w:t xml:space="preserve"> - </w:t>
      </w:r>
      <w:r w:rsidRPr="00273B97">
        <w:rPr>
          <w:szCs w:val="20"/>
        </w:rPr>
        <w:t xml:space="preserve">Wspólnota Mieszkaniowa </w:t>
      </w:r>
      <w:r w:rsidR="009B77E6" w:rsidRPr="00273B97">
        <w:rPr>
          <w:szCs w:val="20"/>
        </w:rPr>
        <w:t xml:space="preserve">ul. </w:t>
      </w:r>
      <w:r w:rsidRPr="00273B97">
        <w:rPr>
          <w:szCs w:val="20"/>
        </w:rPr>
        <w:t>Piłsudskiego 65, 69</w:t>
      </w:r>
    </w:p>
    <w:p w:rsidR="009C2178" w:rsidRPr="00273B97" w:rsidRDefault="009C2178"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Piękne Śródmieście dzięki rewitalizacji historycznej kamienicy przy</w:t>
      </w:r>
      <w:r w:rsidRPr="00273B97">
        <w:rPr>
          <w:noProof/>
          <w:szCs w:val="20"/>
        </w:rPr>
        <w:t xml:space="preserve"> </w:t>
      </w:r>
      <w:r w:rsidRPr="00273B97">
        <w:rPr>
          <w:szCs w:val="20"/>
        </w:rPr>
        <w:t>pl. Wolskiego 6 - Wspólnota Mieszkaniowa</w:t>
      </w:r>
      <w:r w:rsidRPr="00273B97">
        <w:rPr>
          <w:noProof/>
          <w:szCs w:val="20"/>
        </w:rPr>
        <w:t xml:space="preserve"> </w:t>
      </w:r>
      <w:r w:rsidRPr="00273B97">
        <w:rPr>
          <w:szCs w:val="20"/>
        </w:rPr>
        <w:t>pl. Wolskiego 6,</w:t>
      </w:r>
    </w:p>
    <w:p w:rsidR="00B333ED" w:rsidRPr="00273B97" w:rsidRDefault="00B333ED"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 xml:space="preserve">Ulepszenie estetyki miasta poprzez rewitalizację budynku przy ul. Prusa 42 </w:t>
      </w:r>
      <w:r w:rsidR="00AD28B3" w:rsidRPr="00273B97">
        <w:rPr>
          <w:szCs w:val="20"/>
        </w:rPr>
        <w:t xml:space="preserve">- </w:t>
      </w:r>
      <w:r w:rsidRPr="00273B97">
        <w:rPr>
          <w:szCs w:val="20"/>
        </w:rPr>
        <w:t xml:space="preserve">Wspólnota Mieszkaniowa </w:t>
      </w:r>
      <w:r w:rsidR="009B77E6" w:rsidRPr="00273B97">
        <w:rPr>
          <w:szCs w:val="20"/>
        </w:rPr>
        <w:t xml:space="preserve">ul. </w:t>
      </w:r>
      <w:r w:rsidRPr="00273B97">
        <w:rPr>
          <w:szCs w:val="20"/>
        </w:rPr>
        <w:t>Prusa 42</w:t>
      </w:r>
      <w:r w:rsidR="00AD28B3" w:rsidRPr="00273B97">
        <w:rPr>
          <w:szCs w:val="20"/>
        </w:rPr>
        <w:t>,</w:t>
      </w:r>
    </w:p>
    <w:p w:rsidR="00B333ED" w:rsidRPr="00273B97" w:rsidRDefault="00B333ED"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Piękne Śródmieście dzięki rewitalizacji historycznej kamienicy przy ul. Rycerskiej 12</w:t>
      </w:r>
      <w:r w:rsidR="00AD28B3" w:rsidRPr="00273B97">
        <w:rPr>
          <w:szCs w:val="20"/>
        </w:rPr>
        <w:t xml:space="preserve"> -</w:t>
      </w:r>
      <w:r w:rsidRPr="00273B97">
        <w:rPr>
          <w:szCs w:val="20"/>
        </w:rPr>
        <w:t xml:space="preserve"> Wspólnota Mieszkaniowa </w:t>
      </w:r>
      <w:r w:rsidR="009B77E6" w:rsidRPr="00273B97">
        <w:rPr>
          <w:szCs w:val="20"/>
        </w:rPr>
        <w:t xml:space="preserve">ul. </w:t>
      </w:r>
      <w:r w:rsidRPr="00273B97">
        <w:rPr>
          <w:szCs w:val="20"/>
        </w:rPr>
        <w:t>Rycerska 12</w:t>
      </w:r>
      <w:r w:rsidR="00AD28B3" w:rsidRPr="00273B97">
        <w:rPr>
          <w:szCs w:val="20"/>
        </w:rPr>
        <w:t>,</w:t>
      </w:r>
    </w:p>
    <w:p w:rsidR="00B333ED" w:rsidRPr="00273B97" w:rsidRDefault="00B333ED"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Piękne Śródmieście dzięki rewitalizacji historycznej kamienicy przy ul. Smolenia 30, 30A</w:t>
      </w:r>
      <w:r w:rsidR="00AD28B3" w:rsidRPr="00273B97">
        <w:rPr>
          <w:szCs w:val="20"/>
        </w:rPr>
        <w:t xml:space="preserve"> -</w:t>
      </w:r>
      <w:r w:rsidRPr="00273B97">
        <w:rPr>
          <w:szCs w:val="20"/>
        </w:rPr>
        <w:t xml:space="preserve"> Wspólnota Mieszkaniowa </w:t>
      </w:r>
      <w:r w:rsidR="009B77E6" w:rsidRPr="00273B97">
        <w:rPr>
          <w:szCs w:val="20"/>
        </w:rPr>
        <w:t xml:space="preserve">ul. </w:t>
      </w:r>
      <w:r w:rsidRPr="00273B97">
        <w:rPr>
          <w:szCs w:val="20"/>
        </w:rPr>
        <w:t>Smolenia 30, 30A</w:t>
      </w:r>
      <w:r w:rsidR="00AD28B3" w:rsidRPr="00273B97">
        <w:rPr>
          <w:szCs w:val="20"/>
        </w:rPr>
        <w:t>,</w:t>
      </w:r>
    </w:p>
    <w:p w:rsidR="00B333ED" w:rsidRPr="00273B97" w:rsidRDefault="00B333ED"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 xml:space="preserve">Piękne Śródmieście </w:t>
      </w:r>
      <w:r w:rsidR="00AD28B3" w:rsidRPr="00273B97">
        <w:rPr>
          <w:szCs w:val="20"/>
        </w:rPr>
        <w:t xml:space="preserve">- </w:t>
      </w:r>
      <w:r w:rsidRPr="00273B97">
        <w:rPr>
          <w:szCs w:val="20"/>
        </w:rPr>
        <w:t xml:space="preserve">Wspólnota Mieszkaniowa </w:t>
      </w:r>
      <w:r w:rsidR="00C94E79" w:rsidRPr="00273B97">
        <w:rPr>
          <w:szCs w:val="20"/>
        </w:rPr>
        <w:t xml:space="preserve">ul. </w:t>
      </w:r>
      <w:r w:rsidRPr="00273B97">
        <w:rPr>
          <w:szCs w:val="20"/>
        </w:rPr>
        <w:t xml:space="preserve">Sokoła 12A, </w:t>
      </w:r>
      <w:r w:rsidR="00C94E79" w:rsidRPr="00273B97">
        <w:rPr>
          <w:szCs w:val="20"/>
        </w:rPr>
        <w:t xml:space="preserve">ul. </w:t>
      </w:r>
      <w:r w:rsidRPr="00273B97">
        <w:rPr>
          <w:szCs w:val="20"/>
        </w:rPr>
        <w:t>Matejki 14</w:t>
      </w:r>
      <w:r w:rsidR="00AD28B3" w:rsidRPr="00273B97">
        <w:rPr>
          <w:szCs w:val="20"/>
        </w:rPr>
        <w:t>,</w:t>
      </w:r>
    </w:p>
    <w:p w:rsidR="00B333ED" w:rsidRPr="00273B97" w:rsidRDefault="00B333ED"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Piękne Śródmieście dzięki rewitalizacji zabytkowej kamienicy przy ul. Webera 1A</w:t>
      </w:r>
      <w:r w:rsidR="00AD28B3" w:rsidRPr="00273B97">
        <w:rPr>
          <w:szCs w:val="20"/>
        </w:rPr>
        <w:t xml:space="preserve"> - Wspólnota Mieszkaniowa </w:t>
      </w:r>
      <w:r w:rsidR="00C94E79" w:rsidRPr="00273B97">
        <w:rPr>
          <w:szCs w:val="20"/>
        </w:rPr>
        <w:t xml:space="preserve">ul. </w:t>
      </w:r>
      <w:r w:rsidR="00AD28B3" w:rsidRPr="00273B97">
        <w:rPr>
          <w:szCs w:val="20"/>
        </w:rPr>
        <w:t>Webera 1A,</w:t>
      </w:r>
    </w:p>
    <w:p w:rsidR="00AD28B3" w:rsidRPr="00273B97" w:rsidRDefault="00AD28B3"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 xml:space="preserve">Piękne Śródmieście dzięki rewitalizacji zabytkowej kamienicy przy ul. Wrocławskiej 5 - Wspólnota Mieszkaniowa </w:t>
      </w:r>
      <w:r w:rsidR="00C94E79" w:rsidRPr="00273B97">
        <w:rPr>
          <w:szCs w:val="20"/>
        </w:rPr>
        <w:t xml:space="preserve">ul. </w:t>
      </w:r>
      <w:r w:rsidRPr="00273B97">
        <w:rPr>
          <w:szCs w:val="20"/>
        </w:rPr>
        <w:t>Wrocławska 5,</w:t>
      </w:r>
    </w:p>
    <w:p w:rsidR="00AD28B3" w:rsidRPr="00273B97" w:rsidRDefault="00AD28B3"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 xml:space="preserve">Bytom od podwórka - Wspólnota Mieszkaniowa </w:t>
      </w:r>
      <w:r w:rsidR="00C94E79" w:rsidRPr="00273B97">
        <w:rPr>
          <w:szCs w:val="20"/>
        </w:rPr>
        <w:t xml:space="preserve">ul. </w:t>
      </w:r>
      <w:r w:rsidRPr="00273B97">
        <w:rPr>
          <w:szCs w:val="20"/>
        </w:rPr>
        <w:t>Dworcowa 22,</w:t>
      </w:r>
    </w:p>
    <w:p w:rsidR="00AD28B3" w:rsidRPr="00273B97" w:rsidRDefault="00AD28B3"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 xml:space="preserve">Zagospodarowanie terenów zielonych Wspólnoty Mieszkaniowej przy Matejki 4, 4a, 4b </w:t>
      </w:r>
      <w:r w:rsidR="00027769">
        <w:rPr>
          <w:szCs w:val="20"/>
        </w:rPr>
        <w:br/>
      </w:r>
      <w:r w:rsidRPr="00273B97">
        <w:rPr>
          <w:szCs w:val="20"/>
        </w:rPr>
        <w:t xml:space="preserve">w Bytomiu oraz remont części wspólnej budynku - Wspólnota Mieszkaniowa </w:t>
      </w:r>
      <w:r w:rsidR="00C94E79" w:rsidRPr="00273B97">
        <w:rPr>
          <w:szCs w:val="20"/>
        </w:rPr>
        <w:t xml:space="preserve">ul. </w:t>
      </w:r>
      <w:r w:rsidRPr="00273B97">
        <w:rPr>
          <w:szCs w:val="20"/>
        </w:rPr>
        <w:t>Matejki 4, 4a, 4b,</w:t>
      </w:r>
    </w:p>
    <w:p w:rsidR="00AD28B3" w:rsidRPr="00273B97" w:rsidRDefault="00AD28B3"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 xml:space="preserve">Urządzenie terenów zielonych Wspólnoty Mieszkaniowej Rostka 38-40 w Bytomiu oraz remont części wspólnej budynku - Wspólnota Mieszkaniowa </w:t>
      </w:r>
      <w:r w:rsidR="00C94E79" w:rsidRPr="00273B97">
        <w:rPr>
          <w:szCs w:val="20"/>
        </w:rPr>
        <w:t xml:space="preserve">ul. </w:t>
      </w:r>
      <w:r w:rsidRPr="00273B97">
        <w:rPr>
          <w:szCs w:val="20"/>
        </w:rPr>
        <w:t>Rostka 38-40,</w:t>
      </w:r>
    </w:p>
    <w:p w:rsidR="00AD28B3" w:rsidRPr="00273B97" w:rsidRDefault="00AD28B3"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 xml:space="preserve">Odnowa zabudowy mieszkalnej na obszarze rewitalizowanym oraz podniesienie atrakcyjności przestrzeni w celach pogłębienia spójności społecznej - Wspólnota Mieszkaniowa </w:t>
      </w:r>
      <w:r w:rsidR="00C94E79" w:rsidRPr="00273B97">
        <w:rPr>
          <w:szCs w:val="20"/>
        </w:rPr>
        <w:t xml:space="preserve">ul. </w:t>
      </w:r>
      <w:r w:rsidRPr="00273B97">
        <w:rPr>
          <w:szCs w:val="20"/>
        </w:rPr>
        <w:t>Powstańców Warszawskich 42,</w:t>
      </w:r>
    </w:p>
    <w:p w:rsidR="00AD28B3" w:rsidRPr="00273B97" w:rsidRDefault="00AD28B3"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 xml:space="preserve">Odnowa zabudowy mieszkalnej na obszarze rewitalizowanym wraz ze zwiększeniem bezpieczeństwa - Wspólnota Mieszkaniowa </w:t>
      </w:r>
      <w:r w:rsidR="00C94E79" w:rsidRPr="00273B97">
        <w:rPr>
          <w:szCs w:val="20"/>
        </w:rPr>
        <w:t xml:space="preserve">ul. </w:t>
      </w:r>
      <w:r w:rsidRPr="00273B97">
        <w:rPr>
          <w:szCs w:val="20"/>
        </w:rPr>
        <w:t>Grottgera 19,</w:t>
      </w:r>
    </w:p>
    <w:p w:rsidR="00AD28B3" w:rsidRPr="00273B97" w:rsidRDefault="00AD28B3"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 xml:space="preserve">Odnowa zabudowy na obszarze rewitalizowanym wraz ze zwiększeniem funkcjonalności </w:t>
      </w:r>
      <w:r w:rsidRPr="00273B97">
        <w:rPr>
          <w:szCs w:val="20"/>
        </w:rPr>
        <w:br/>
        <w:t>i podniesieniem atrakcyjności przestrzeni</w:t>
      </w:r>
      <w:r w:rsidRPr="00273B97">
        <w:rPr>
          <w:noProof/>
          <w:szCs w:val="20"/>
        </w:rPr>
        <w:t xml:space="preserve"> </w:t>
      </w:r>
      <w:r w:rsidRPr="00273B97">
        <w:rPr>
          <w:szCs w:val="20"/>
        </w:rPr>
        <w:t>w celach pogłębienia spójności społecznej - Wspólnota Mieszkaniowa Pl. Grunwaldzki 7,</w:t>
      </w:r>
    </w:p>
    <w:p w:rsidR="00AD28B3" w:rsidRPr="00273B97" w:rsidRDefault="00AD28B3"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 xml:space="preserve">Odnowa zabudowy mieszkalnej na obszarze rewitalizowanym wraz ze zwiększeniem bezpieczeństwa - Wspólnota Mieszkaniowa </w:t>
      </w:r>
      <w:r w:rsidR="00C94E79" w:rsidRPr="00273B97">
        <w:rPr>
          <w:szCs w:val="20"/>
        </w:rPr>
        <w:t xml:space="preserve">ul. </w:t>
      </w:r>
      <w:r w:rsidRPr="00273B97">
        <w:rPr>
          <w:szCs w:val="20"/>
        </w:rPr>
        <w:t>Strzelców Bytomskich 32a,</w:t>
      </w:r>
    </w:p>
    <w:p w:rsidR="00AD28B3" w:rsidRPr="00273B97" w:rsidRDefault="00AD28B3"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 xml:space="preserve">Odnowa zabudowy mieszkalnej na obszarze rewitalizowanym wraz ze zwiększeniem bezpieczeństwa - Wspólnota Mieszkaniowa </w:t>
      </w:r>
      <w:r w:rsidR="00C94E79" w:rsidRPr="00273B97">
        <w:rPr>
          <w:szCs w:val="20"/>
        </w:rPr>
        <w:t xml:space="preserve">ul. </w:t>
      </w:r>
      <w:r w:rsidRPr="00273B97">
        <w:rPr>
          <w:szCs w:val="20"/>
        </w:rPr>
        <w:t>Ligonia 1, 3,</w:t>
      </w:r>
    </w:p>
    <w:p w:rsidR="00AD28B3" w:rsidRPr="00273B97" w:rsidRDefault="00AD28B3"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Program o charakterze przestrzenno-funkcjonalnym oraz technicznym - Wspólnota Mieszkaniowa Plac Akademicki 15/Prusa 17, Plac Akademicki 13,</w:t>
      </w:r>
    </w:p>
    <w:p w:rsidR="00AD28B3" w:rsidRPr="00273B97" w:rsidRDefault="00AD28B3"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Ocalić kamienice ul. Smolenia od zapomnienia</w:t>
      </w:r>
      <w:r w:rsidR="00781DB1" w:rsidRPr="00273B97">
        <w:rPr>
          <w:szCs w:val="20"/>
        </w:rPr>
        <w:t xml:space="preserve"> - Właściciele nieruchomości przy ul. Smolenia 3,</w:t>
      </w:r>
    </w:p>
    <w:p w:rsidR="00781DB1" w:rsidRPr="00273B97" w:rsidRDefault="00781DB1"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 xml:space="preserve">Rewitalizacja zasobów mieszkalno-użytkowych Wspólnoty Mieszkaniowej przy ul. Rynek 14 - Wspólnota Mieszkaniowa ul. Rynek 14, </w:t>
      </w:r>
    </w:p>
    <w:p w:rsidR="00781DB1" w:rsidRPr="00273B97" w:rsidRDefault="00781DB1"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 xml:space="preserve">Rewitalizacja wspólnych przestrzeni budynku mieszkalnego na cele spotkań sąsiedzkich </w:t>
      </w:r>
      <w:r w:rsidRPr="00273B97">
        <w:rPr>
          <w:rFonts w:ascii="Arial" w:hAnsi="Arial" w:cs="Arial"/>
          <w:szCs w:val="20"/>
        </w:rPr>
        <w:br/>
      </w:r>
      <w:r w:rsidRPr="00273B97">
        <w:rPr>
          <w:szCs w:val="20"/>
        </w:rPr>
        <w:t>i międzypokoleniowych - Wspólnota Mieszkaniowa pl. Słowiański 9,</w:t>
      </w:r>
    </w:p>
    <w:p w:rsidR="00781DB1" w:rsidRPr="00273B97" w:rsidRDefault="00781DB1"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Rewitalizacja obszarów</w:t>
      </w:r>
      <w:r w:rsidRPr="00273B97">
        <w:rPr>
          <w:noProof/>
          <w:szCs w:val="20"/>
        </w:rPr>
        <w:t xml:space="preserve"> </w:t>
      </w:r>
      <w:r w:rsidRPr="00273B97">
        <w:rPr>
          <w:szCs w:val="20"/>
        </w:rPr>
        <w:t xml:space="preserve">i budynków zdegradowanych w Bytomiu - Wspólnota Mieszkaniowa </w:t>
      </w:r>
      <w:r w:rsidRPr="00273B97">
        <w:rPr>
          <w:szCs w:val="20"/>
        </w:rPr>
        <w:br/>
        <w:t>ul. Chrobrego 18,</w:t>
      </w:r>
    </w:p>
    <w:p w:rsidR="002A4874" w:rsidRPr="00273B97" w:rsidRDefault="00781DB1"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Rewitalizacja obszarów</w:t>
      </w:r>
      <w:r w:rsidRPr="00273B97">
        <w:rPr>
          <w:noProof/>
          <w:szCs w:val="20"/>
        </w:rPr>
        <w:t xml:space="preserve"> </w:t>
      </w:r>
      <w:r w:rsidRPr="00273B97">
        <w:rPr>
          <w:szCs w:val="20"/>
        </w:rPr>
        <w:t xml:space="preserve">i budynków zdegradowanych w Bytomiu - Wspólnota Mieszkaniowa </w:t>
      </w:r>
      <w:r w:rsidR="00027769">
        <w:rPr>
          <w:szCs w:val="20"/>
        </w:rPr>
        <w:br/>
      </w:r>
      <w:r w:rsidRPr="00273B97">
        <w:rPr>
          <w:szCs w:val="20"/>
        </w:rPr>
        <w:t>ul. Karola Miarki 13,</w:t>
      </w:r>
      <w:r w:rsidR="0021474A" w:rsidRPr="00273B97">
        <w:rPr>
          <w:szCs w:val="20"/>
        </w:rPr>
        <w:t xml:space="preserve"> </w:t>
      </w:r>
    </w:p>
    <w:p w:rsidR="00781DB1" w:rsidRPr="00273B97" w:rsidRDefault="00781DB1"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Rewitalizacja obszarów</w:t>
      </w:r>
      <w:r w:rsidRPr="00273B97">
        <w:rPr>
          <w:noProof/>
          <w:szCs w:val="20"/>
        </w:rPr>
        <w:t xml:space="preserve"> </w:t>
      </w:r>
      <w:r w:rsidRPr="00273B97">
        <w:rPr>
          <w:szCs w:val="20"/>
        </w:rPr>
        <w:t xml:space="preserve">i budynków zdegradowanych w Bytomiu - Wspólnota Mieszkaniowa </w:t>
      </w:r>
      <w:r w:rsidRPr="00273B97">
        <w:rPr>
          <w:szCs w:val="20"/>
        </w:rPr>
        <w:br/>
        <w:t>ul. Korfantego 2,</w:t>
      </w:r>
    </w:p>
    <w:p w:rsidR="001D7782" w:rsidRPr="00273B97" w:rsidRDefault="00781DB1"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Rewitalizacja obszarów</w:t>
      </w:r>
      <w:r w:rsidRPr="00273B97">
        <w:rPr>
          <w:noProof/>
          <w:szCs w:val="20"/>
        </w:rPr>
        <w:t xml:space="preserve"> </w:t>
      </w:r>
      <w:r w:rsidRPr="00273B97">
        <w:rPr>
          <w:szCs w:val="20"/>
        </w:rPr>
        <w:t xml:space="preserve">i budynków zdegradowanych w Bytomiu - Wspólnota Mieszkaniowa </w:t>
      </w:r>
      <w:r w:rsidR="00027769">
        <w:rPr>
          <w:szCs w:val="20"/>
        </w:rPr>
        <w:br/>
      </w:r>
      <w:r w:rsidRPr="00273B97">
        <w:rPr>
          <w:szCs w:val="20"/>
        </w:rPr>
        <w:t>ul. Moniuszki 3,</w:t>
      </w:r>
    </w:p>
    <w:p w:rsidR="00781DB1" w:rsidRPr="00273B97" w:rsidRDefault="00781DB1"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Rewitalizacja obszarów</w:t>
      </w:r>
      <w:r w:rsidRPr="00273B97">
        <w:rPr>
          <w:noProof/>
          <w:szCs w:val="20"/>
        </w:rPr>
        <w:t xml:space="preserve"> </w:t>
      </w:r>
      <w:r w:rsidRPr="00273B97">
        <w:rPr>
          <w:szCs w:val="20"/>
        </w:rPr>
        <w:t>i budynków zdegradowanych w Bytomiu - Wspólnota Mieszkaniowa</w:t>
      </w:r>
      <w:r w:rsidRPr="00273B97">
        <w:rPr>
          <w:noProof/>
          <w:szCs w:val="20"/>
        </w:rPr>
        <w:t xml:space="preserve"> </w:t>
      </w:r>
      <w:r w:rsidR="00027769">
        <w:rPr>
          <w:noProof/>
          <w:szCs w:val="20"/>
        </w:rPr>
        <w:br/>
      </w:r>
      <w:r w:rsidRPr="00273B97">
        <w:rPr>
          <w:szCs w:val="20"/>
        </w:rPr>
        <w:t>ul. Rycerskiej 4,</w:t>
      </w:r>
    </w:p>
    <w:p w:rsidR="00781DB1" w:rsidRPr="00273B97" w:rsidRDefault="00C71A74"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Rewitalizacja obszarów</w:t>
      </w:r>
      <w:r w:rsidRPr="00273B97">
        <w:rPr>
          <w:noProof/>
          <w:szCs w:val="20"/>
        </w:rPr>
        <w:t xml:space="preserve"> </w:t>
      </w:r>
      <w:r w:rsidRPr="00273B97">
        <w:rPr>
          <w:szCs w:val="20"/>
        </w:rPr>
        <w:t>i budynków zdegradowanych w Bytomiu - Wspólnota Mieszkaniowa</w:t>
      </w:r>
      <w:r w:rsidRPr="00273B97">
        <w:rPr>
          <w:noProof/>
          <w:szCs w:val="20"/>
        </w:rPr>
        <w:t xml:space="preserve"> </w:t>
      </w:r>
      <w:r w:rsidR="00027769">
        <w:rPr>
          <w:noProof/>
          <w:szCs w:val="20"/>
        </w:rPr>
        <w:br/>
      </w:r>
      <w:r w:rsidRPr="00273B97">
        <w:rPr>
          <w:szCs w:val="20"/>
        </w:rPr>
        <w:t>ul. Rycerskiej 6,</w:t>
      </w:r>
    </w:p>
    <w:p w:rsidR="00C71A74" w:rsidRPr="00273B97" w:rsidRDefault="00C71A74"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Rewitalizacja obszarów</w:t>
      </w:r>
      <w:r w:rsidRPr="00273B97">
        <w:rPr>
          <w:noProof/>
          <w:szCs w:val="20"/>
        </w:rPr>
        <w:t xml:space="preserve"> </w:t>
      </w:r>
      <w:r w:rsidRPr="00273B97">
        <w:rPr>
          <w:szCs w:val="20"/>
        </w:rPr>
        <w:t xml:space="preserve">i budynków zdegradowanych w Bytomiu - Wspólnota Mieszkaniowa </w:t>
      </w:r>
      <w:r w:rsidR="00027769">
        <w:rPr>
          <w:szCs w:val="20"/>
        </w:rPr>
        <w:br/>
      </w:r>
      <w:r w:rsidRPr="00273B97">
        <w:rPr>
          <w:szCs w:val="20"/>
        </w:rPr>
        <w:t>ul. Rycerskiej 8,</w:t>
      </w:r>
    </w:p>
    <w:p w:rsidR="00C71A74" w:rsidRPr="00273B97" w:rsidRDefault="00C71A74"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Rewitalizacja obszarów</w:t>
      </w:r>
      <w:r w:rsidRPr="00273B97">
        <w:rPr>
          <w:noProof/>
          <w:szCs w:val="20"/>
        </w:rPr>
        <w:t xml:space="preserve"> </w:t>
      </w:r>
      <w:r w:rsidRPr="00273B97">
        <w:rPr>
          <w:szCs w:val="20"/>
        </w:rPr>
        <w:t xml:space="preserve">i budynków zdegradowanych w Bytomiu - Wspólnota Mieszkaniowa </w:t>
      </w:r>
      <w:r w:rsidR="00027769">
        <w:rPr>
          <w:szCs w:val="20"/>
        </w:rPr>
        <w:br/>
      </w:r>
      <w:r w:rsidRPr="00273B97">
        <w:rPr>
          <w:szCs w:val="20"/>
        </w:rPr>
        <w:t>pl. Sikorskiego 4,</w:t>
      </w:r>
    </w:p>
    <w:p w:rsidR="00C71A74" w:rsidRPr="00273B97" w:rsidRDefault="00C71A74"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Rewitalizacja obszarów</w:t>
      </w:r>
      <w:r w:rsidRPr="00273B97">
        <w:rPr>
          <w:noProof/>
          <w:szCs w:val="20"/>
        </w:rPr>
        <w:t xml:space="preserve"> </w:t>
      </w:r>
      <w:r w:rsidRPr="00273B97">
        <w:rPr>
          <w:szCs w:val="20"/>
        </w:rPr>
        <w:t xml:space="preserve">i budynków zdegradowanych w Bytomiu - Wspólnota Mieszkaniowa </w:t>
      </w:r>
      <w:r w:rsidR="00027769">
        <w:rPr>
          <w:szCs w:val="20"/>
        </w:rPr>
        <w:br/>
      </w:r>
      <w:r w:rsidRPr="00273B97">
        <w:rPr>
          <w:szCs w:val="20"/>
        </w:rPr>
        <w:t>ul. Żeromskiego 22,</w:t>
      </w:r>
    </w:p>
    <w:p w:rsidR="00C71A74" w:rsidRPr="00273B97" w:rsidRDefault="00C71A74"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Rewitalizacja obszarów</w:t>
      </w:r>
      <w:r w:rsidRPr="00273B97">
        <w:rPr>
          <w:noProof/>
          <w:szCs w:val="20"/>
        </w:rPr>
        <w:t xml:space="preserve"> </w:t>
      </w:r>
      <w:r w:rsidRPr="00273B97">
        <w:rPr>
          <w:szCs w:val="20"/>
        </w:rPr>
        <w:t xml:space="preserve">i budynków zdegradowanych w Bytomiu - Wspólnota Mieszkaniowa </w:t>
      </w:r>
      <w:r w:rsidR="00027769">
        <w:rPr>
          <w:szCs w:val="20"/>
        </w:rPr>
        <w:br/>
      </w:r>
      <w:r w:rsidRPr="00273B97">
        <w:rPr>
          <w:szCs w:val="20"/>
        </w:rPr>
        <w:t>ul. Piekarska 11,</w:t>
      </w:r>
    </w:p>
    <w:p w:rsidR="00C71A74" w:rsidRPr="00273B97" w:rsidRDefault="00C71A74"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Rewitalizacja obszarów</w:t>
      </w:r>
      <w:r w:rsidRPr="00273B97">
        <w:rPr>
          <w:noProof/>
          <w:szCs w:val="20"/>
        </w:rPr>
        <w:t xml:space="preserve"> </w:t>
      </w:r>
      <w:r w:rsidRPr="00273B97">
        <w:rPr>
          <w:szCs w:val="20"/>
        </w:rPr>
        <w:t xml:space="preserve">i budynków zdegradowanych w Bytomiu - Wspólnota Mieszkaniowa </w:t>
      </w:r>
      <w:r w:rsidR="00027769">
        <w:rPr>
          <w:szCs w:val="20"/>
        </w:rPr>
        <w:br/>
      </w:r>
      <w:r w:rsidRPr="00273B97">
        <w:rPr>
          <w:szCs w:val="20"/>
        </w:rPr>
        <w:t>ul. Piekarska 15,</w:t>
      </w:r>
    </w:p>
    <w:p w:rsidR="00C71A74" w:rsidRPr="00273B97" w:rsidRDefault="00C71A74"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Rewitalizacja obszarów</w:t>
      </w:r>
      <w:r w:rsidRPr="00273B97">
        <w:rPr>
          <w:noProof/>
          <w:szCs w:val="20"/>
        </w:rPr>
        <w:t xml:space="preserve"> </w:t>
      </w:r>
      <w:r w:rsidRPr="00273B97">
        <w:rPr>
          <w:szCs w:val="20"/>
        </w:rPr>
        <w:t xml:space="preserve">i budynków zdegradowanych w Bytomiu - Wspólnota Mieszkaniowa </w:t>
      </w:r>
      <w:r w:rsidR="00027769">
        <w:rPr>
          <w:szCs w:val="20"/>
        </w:rPr>
        <w:br/>
      </w:r>
      <w:r w:rsidRPr="00273B97">
        <w:rPr>
          <w:szCs w:val="20"/>
        </w:rPr>
        <w:t>ul. Piłsudskiego 71,</w:t>
      </w:r>
    </w:p>
    <w:p w:rsidR="00C71A74" w:rsidRPr="00273B97" w:rsidRDefault="0042032F"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Rewitalizacja obszarów</w:t>
      </w:r>
      <w:r w:rsidRPr="00273B97">
        <w:rPr>
          <w:noProof/>
          <w:szCs w:val="20"/>
        </w:rPr>
        <w:t xml:space="preserve"> </w:t>
      </w:r>
      <w:r w:rsidRPr="00273B97">
        <w:rPr>
          <w:szCs w:val="20"/>
        </w:rPr>
        <w:t xml:space="preserve">i budynków zdegradowanych w Bytomiu - Wspólnota Mieszkaniowa </w:t>
      </w:r>
      <w:r w:rsidR="00027769">
        <w:rPr>
          <w:szCs w:val="20"/>
        </w:rPr>
        <w:br/>
      </w:r>
      <w:r w:rsidRPr="00273B97">
        <w:rPr>
          <w:szCs w:val="20"/>
        </w:rPr>
        <w:t>ul. ul. Powstańców Warszawskich 50,</w:t>
      </w:r>
    </w:p>
    <w:p w:rsidR="0042032F" w:rsidRPr="00273B97" w:rsidRDefault="0042032F"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Remont budynku wspólnoty mieszkaniowej wraz</w:t>
      </w:r>
      <w:r w:rsidRPr="00273B97">
        <w:rPr>
          <w:noProof/>
          <w:szCs w:val="20"/>
        </w:rPr>
        <w:t xml:space="preserve"> </w:t>
      </w:r>
      <w:r w:rsidRPr="00273B97">
        <w:rPr>
          <w:szCs w:val="20"/>
        </w:rPr>
        <w:t xml:space="preserve">z otoczeniem - Wspólnota Mieszkaniowa </w:t>
      </w:r>
      <w:r w:rsidR="00027769">
        <w:rPr>
          <w:szCs w:val="20"/>
        </w:rPr>
        <w:br/>
      </w:r>
      <w:r w:rsidRPr="00273B97">
        <w:rPr>
          <w:szCs w:val="20"/>
        </w:rPr>
        <w:t xml:space="preserve">ul. Piekarska 25, </w:t>
      </w:r>
    </w:p>
    <w:p w:rsidR="0042032F" w:rsidRPr="00273B97" w:rsidRDefault="0042032F"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Remont budynku wspólnoty mieszkaniowej wraz</w:t>
      </w:r>
      <w:r w:rsidRPr="00273B97">
        <w:rPr>
          <w:noProof/>
          <w:szCs w:val="20"/>
        </w:rPr>
        <w:t xml:space="preserve"> </w:t>
      </w:r>
      <w:r w:rsidRPr="00273B97">
        <w:rPr>
          <w:szCs w:val="20"/>
        </w:rPr>
        <w:t xml:space="preserve">z otoczeniem - Wspólnota Mieszkaniowa </w:t>
      </w:r>
      <w:r w:rsidR="00027769">
        <w:rPr>
          <w:szCs w:val="20"/>
        </w:rPr>
        <w:br/>
      </w:r>
      <w:r w:rsidRPr="00273B97">
        <w:rPr>
          <w:szCs w:val="20"/>
        </w:rPr>
        <w:t xml:space="preserve">ul. Powstańców Warszawskich 4, </w:t>
      </w:r>
    </w:p>
    <w:p w:rsidR="0042032F" w:rsidRPr="00273B97" w:rsidRDefault="0042032F"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Remont budynku wspólnoty mieszkaniowej wraz</w:t>
      </w:r>
      <w:r w:rsidRPr="00273B97">
        <w:rPr>
          <w:noProof/>
          <w:szCs w:val="20"/>
        </w:rPr>
        <w:t xml:space="preserve"> </w:t>
      </w:r>
      <w:r w:rsidRPr="00273B97">
        <w:rPr>
          <w:szCs w:val="20"/>
        </w:rPr>
        <w:t xml:space="preserve">z otoczeniem - Wspólnota Mieszkaniowa </w:t>
      </w:r>
      <w:r w:rsidR="00027769">
        <w:rPr>
          <w:szCs w:val="20"/>
        </w:rPr>
        <w:br/>
      </w:r>
      <w:r w:rsidRPr="00273B97">
        <w:rPr>
          <w:szCs w:val="20"/>
        </w:rPr>
        <w:t>ul. Powstańców Warszawskich 6,</w:t>
      </w:r>
    </w:p>
    <w:p w:rsidR="0042032F" w:rsidRPr="00273B97" w:rsidRDefault="0042032F"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Remont budynku wspólnoty mieszkaniowej wraz</w:t>
      </w:r>
      <w:r w:rsidR="00BC37B1" w:rsidRPr="00273B97">
        <w:rPr>
          <w:szCs w:val="20"/>
        </w:rPr>
        <w:t xml:space="preserve"> </w:t>
      </w:r>
      <w:r w:rsidRPr="00273B97">
        <w:rPr>
          <w:szCs w:val="20"/>
        </w:rPr>
        <w:t xml:space="preserve">z otoczeniem - Wspólnota Mieszkaniowa </w:t>
      </w:r>
      <w:r w:rsidR="00027769">
        <w:rPr>
          <w:szCs w:val="20"/>
        </w:rPr>
        <w:br/>
      </w:r>
      <w:r w:rsidRPr="00273B97">
        <w:rPr>
          <w:szCs w:val="20"/>
        </w:rPr>
        <w:t>ul.</w:t>
      </w:r>
      <w:r w:rsidR="00BC37B1" w:rsidRPr="00273B97">
        <w:rPr>
          <w:szCs w:val="20"/>
        </w:rPr>
        <w:t xml:space="preserve">  Zamenhofa 2, 4, 6,</w:t>
      </w:r>
    </w:p>
    <w:p w:rsidR="00BC37B1" w:rsidRPr="00273B97" w:rsidRDefault="00BC37B1"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Rewitalizacja zieleni oraz remont elewacji Wspólnoty Mieszkaniowej przy ul. Strzelców Bytomskich 18</w:t>
      </w:r>
      <w:r w:rsidRPr="00273B97">
        <w:rPr>
          <w:noProof/>
          <w:szCs w:val="20"/>
        </w:rPr>
        <w:t xml:space="preserve"> </w:t>
      </w:r>
      <w:r w:rsidRPr="00273B97">
        <w:rPr>
          <w:szCs w:val="20"/>
        </w:rPr>
        <w:t>w Bytomiu - Wspólnota Mieszkaniowa ul. Strzelców Bytomskich 18,</w:t>
      </w:r>
    </w:p>
    <w:p w:rsidR="00BC37B1" w:rsidRPr="00273B97" w:rsidRDefault="00BC37B1"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 xml:space="preserve">Rewitalizacja zieleni oraz remont elewacji Wspólnoty Mieszkaniowej przy </w:t>
      </w:r>
      <w:r w:rsidRPr="00273B97">
        <w:rPr>
          <w:szCs w:val="20"/>
        </w:rPr>
        <w:br/>
        <w:t>ul. Woźniaka 76 w Bytomiu - Wspólnota Mieszkaniowa ul. Woźniaka 76,</w:t>
      </w:r>
    </w:p>
    <w:p w:rsidR="00BC37B1" w:rsidRPr="00273B97" w:rsidRDefault="00BC37B1"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 xml:space="preserve">Aranżacja zieleni oraz remont elewacji frontowej Wspólnoty Mieszkaniowej przy ul. Szkolnej 7 </w:t>
      </w:r>
      <w:r w:rsidR="00027769">
        <w:rPr>
          <w:szCs w:val="20"/>
        </w:rPr>
        <w:br/>
      </w:r>
      <w:r w:rsidRPr="00273B97">
        <w:rPr>
          <w:szCs w:val="20"/>
        </w:rPr>
        <w:t>w Bytomiu - Wspólnota Mieszkaniowa ul. Szkolna 7,</w:t>
      </w:r>
    </w:p>
    <w:p w:rsidR="00BC37B1" w:rsidRPr="00273B97" w:rsidRDefault="00BC37B1"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 xml:space="preserve">Rewitalizacja zieleni oraz remont klatki schodowej na terenie Wspólnoty Mieszkaniowej przy </w:t>
      </w:r>
      <w:r w:rsidRPr="00273B97">
        <w:rPr>
          <w:szCs w:val="20"/>
        </w:rPr>
        <w:br/>
        <w:t>ul. Żeromskiego 19 - Wspólnota Mieszkaniowa ul. Żeromskiego 19,</w:t>
      </w:r>
    </w:p>
    <w:p w:rsidR="00BC37B1" w:rsidRPr="00273B97" w:rsidRDefault="00BC37B1"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Rewitalizacja zieleni na terenie Wspólnoty Mieszkaniowej oraz remont części wspólnych budynku - Wspólnota Mieszkaniowa ul. Smolenia 36,</w:t>
      </w:r>
    </w:p>
    <w:p w:rsidR="00BC37B1" w:rsidRPr="00273B97" w:rsidRDefault="00BC37B1"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 xml:space="preserve">Rewitalizacja zieleni oraz remont klatki schodowej na terenie Wspólnoty Mieszkaniowej przy </w:t>
      </w:r>
      <w:r w:rsidRPr="00273B97">
        <w:rPr>
          <w:szCs w:val="20"/>
        </w:rPr>
        <w:br/>
        <w:t>ul. Piekarskiej 98</w:t>
      </w:r>
      <w:r w:rsidRPr="00273B97">
        <w:rPr>
          <w:noProof/>
          <w:szCs w:val="20"/>
        </w:rPr>
        <w:t xml:space="preserve"> - </w:t>
      </w:r>
      <w:r w:rsidRPr="00273B97">
        <w:rPr>
          <w:szCs w:val="20"/>
        </w:rPr>
        <w:t>Wspólnota Mieszkaniowa ul. Piekarska 98,</w:t>
      </w:r>
    </w:p>
    <w:p w:rsidR="00BC37B1" w:rsidRPr="00273B97" w:rsidRDefault="00BC37B1"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Rewitalizacja zieleni na terenie Wspólnoty Mieszkaniowej oraz remont części wspólnych budynku -  Wspólnota Mieszkaniowa ul. Konopnickiej 25 we współpracy z ul. Konopnickiej 23,</w:t>
      </w:r>
    </w:p>
    <w:p w:rsidR="00BC37B1" w:rsidRPr="00273B97" w:rsidRDefault="00BC37B1"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 xml:space="preserve">Rewitalizacja zieleni na terenie Wspólnoty Mieszkaniowej oraz remont części wspólnych budynku - </w:t>
      </w:r>
      <w:r w:rsidR="00F245C2" w:rsidRPr="00273B97">
        <w:rPr>
          <w:szCs w:val="20"/>
        </w:rPr>
        <w:t>Wspólnota Mieszkaniowa ul. Konopnickiej 23</w:t>
      </w:r>
      <w:r w:rsidR="00F245C2" w:rsidRPr="00273B97">
        <w:rPr>
          <w:noProof/>
          <w:szCs w:val="20"/>
        </w:rPr>
        <w:t xml:space="preserve"> </w:t>
      </w:r>
      <w:r w:rsidR="00F245C2" w:rsidRPr="00273B97">
        <w:rPr>
          <w:szCs w:val="20"/>
        </w:rPr>
        <w:t>we współpracy z ul. Konopnickiej 25,</w:t>
      </w:r>
    </w:p>
    <w:p w:rsidR="00F245C2" w:rsidRPr="00273B97" w:rsidRDefault="00F245C2"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Rewitalizacja zieleni na terenie Wspólnoty Mieszkaniowej oraz remont części wspólnych budynku - Wspólnota Mieszkaniowa ul. Piłsudskiego 63,</w:t>
      </w:r>
    </w:p>
    <w:p w:rsidR="00F245C2" w:rsidRPr="00273B97" w:rsidRDefault="00F245C2"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Rewitalizacja zieleni na terenie Wspólnoty Mieszkaniowej oraz remont części wspólnych budynku - Wspólnota Mieszkaniowa ul. Piłsudskiego 19,</w:t>
      </w:r>
    </w:p>
    <w:p w:rsidR="00F245C2" w:rsidRPr="00273B97" w:rsidRDefault="00F245C2"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 xml:space="preserve">Rewitalizacja zieleni na terenie Wspólnoty Mieszkaniowej oraz remont części wspólnych budynku - Janusz Capiński we współpracy z budynkiem gminnym ul. Smolenia 29 oraz Wspólnotą </w:t>
      </w:r>
      <w:r w:rsidR="00027769">
        <w:rPr>
          <w:szCs w:val="20"/>
        </w:rPr>
        <w:br/>
      </w:r>
      <w:r w:rsidRPr="00273B97">
        <w:rPr>
          <w:szCs w:val="20"/>
        </w:rPr>
        <w:t>ul. Smolenia 27,</w:t>
      </w:r>
    </w:p>
    <w:p w:rsidR="00F245C2" w:rsidRPr="00273B97" w:rsidRDefault="00F245C2"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Rewitalizacja zieleni na terenie Wspólnoty Mieszkaniowej oraz remont części wspólnych budynku -  Wspólnota Mieszkaniowa ul. Smolenia 27</w:t>
      </w:r>
      <w:r w:rsidRPr="00273B97">
        <w:rPr>
          <w:noProof/>
          <w:szCs w:val="20"/>
        </w:rPr>
        <w:t xml:space="preserve"> </w:t>
      </w:r>
      <w:r w:rsidRPr="00273B97">
        <w:rPr>
          <w:szCs w:val="20"/>
        </w:rPr>
        <w:t>we współpracy z 27B,</w:t>
      </w:r>
    </w:p>
    <w:p w:rsidR="00F245C2" w:rsidRPr="00273B97" w:rsidRDefault="00F245C2"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 xml:space="preserve">Rewitalizacja zieleni na terenie Wspólnoty Mieszkaniowej </w:t>
      </w:r>
      <w:r w:rsidR="00B92ED6" w:rsidRPr="00273B97">
        <w:rPr>
          <w:szCs w:val="20"/>
        </w:rPr>
        <w:t>-</w:t>
      </w:r>
      <w:r w:rsidRPr="00273B97">
        <w:rPr>
          <w:szCs w:val="20"/>
        </w:rPr>
        <w:t xml:space="preserve"> Wspólnota Mieszkaniowa </w:t>
      </w:r>
      <w:r w:rsidR="00B92ED6" w:rsidRPr="00273B97">
        <w:rPr>
          <w:szCs w:val="20"/>
        </w:rPr>
        <w:t xml:space="preserve">ul. </w:t>
      </w:r>
      <w:r w:rsidRPr="00273B97">
        <w:rPr>
          <w:szCs w:val="20"/>
        </w:rPr>
        <w:t>Św. Kingi 2 we współpracy</w:t>
      </w:r>
      <w:r w:rsidR="00B92ED6" w:rsidRPr="00273B97">
        <w:rPr>
          <w:noProof/>
          <w:szCs w:val="20"/>
        </w:rPr>
        <w:t xml:space="preserve"> </w:t>
      </w:r>
      <w:r w:rsidRPr="00273B97">
        <w:rPr>
          <w:szCs w:val="20"/>
        </w:rPr>
        <w:t>z pl. Św. Barbary 2</w:t>
      </w:r>
      <w:r w:rsidR="00B92ED6" w:rsidRPr="00273B97">
        <w:rPr>
          <w:szCs w:val="20"/>
        </w:rPr>
        <w:t>,</w:t>
      </w:r>
    </w:p>
    <w:p w:rsidR="00B92ED6" w:rsidRPr="00273B97" w:rsidRDefault="00F245C2"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Rewitalizacja zieleni na terenie Wspólnoty Mieszkaniowej</w:t>
      </w:r>
      <w:r w:rsidR="00B92ED6" w:rsidRPr="00273B97">
        <w:rPr>
          <w:szCs w:val="20"/>
        </w:rPr>
        <w:t xml:space="preserve"> - </w:t>
      </w:r>
      <w:r w:rsidRPr="00273B97">
        <w:rPr>
          <w:szCs w:val="20"/>
        </w:rPr>
        <w:t>Wspólnota Mieszkaniowa</w:t>
      </w:r>
      <w:r w:rsidR="00B92ED6" w:rsidRPr="00273B97">
        <w:rPr>
          <w:szCs w:val="20"/>
        </w:rPr>
        <w:t xml:space="preserve"> </w:t>
      </w:r>
      <w:r w:rsidR="00027769">
        <w:rPr>
          <w:szCs w:val="20"/>
        </w:rPr>
        <w:br/>
      </w:r>
      <w:r w:rsidR="00B92ED6" w:rsidRPr="00273B97">
        <w:rPr>
          <w:szCs w:val="20"/>
        </w:rPr>
        <w:t>ul.</w:t>
      </w:r>
      <w:r w:rsidRPr="00273B97">
        <w:rPr>
          <w:szCs w:val="20"/>
        </w:rPr>
        <w:t xml:space="preserve"> Rostka7/</w:t>
      </w:r>
      <w:r w:rsidR="00B92ED6" w:rsidRPr="00273B97">
        <w:rPr>
          <w:szCs w:val="20"/>
        </w:rPr>
        <w:t xml:space="preserve">ul. </w:t>
      </w:r>
      <w:r w:rsidRPr="00273B97">
        <w:rPr>
          <w:szCs w:val="20"/>
        </w:rPr>
        <w:t>Katowicka 27</w:t>
      </w:r>
      <w:r w:rsidR="00B92ED6" w:rsidRPr="00273B97">
        <w:rPr>
          <w:szCs w:val="20"/>
        </w:rPr>
        <w:t>,</w:t>
      </w:r>
    </w:p>
    <w:p w:rsidR="00F245C2" w:rsidRPr="00273B97" w:rsidRDefault="00F245C2"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 xml:space="preserve">Budowa placu zabaw </w:t>
      </w:r>
      <w:r w:rsidR="00B92ED6" w:rsidRPr="00273B97">
        <w:rPr>
          <w:szCs w:val="20"/>
        </w:rPr>
        <w:t>-</w:t>
      </w:r>
      <w:r w:rsidRPr="00273B97">
        <w:rPr>
          <w:szCs w:val="20"/>
        </w:rPr>
        <w:t xml:space="preserve"> Wspólnota Mieszkaniowa przy ul. Siemianowickiej 77-91 we współpracy </w:t>
      </w:r>
      <w:r w:rsidR="00027769">
        <w:rPr>
          <w:szCs w:val="20"/>
        </w:rPr>
        <w:br/>
      </w:r>
      <w:r w:rsidRPr="00273B97">
        <w:rPr>
          <w:szCs w:val="20"/>
        </w:rPr>
        <w:t xml:space="preserve">z </w:t>
      </w:r>
      <w:r w:rsidR="00B92ED6" w:rsidRPr="00273B97">
        <w:rPr>
          <w:szCs w:val="20"/>
        </w:rPr>
        <w:t xml:space="preserve">ul. </w:t>
      </w:r>
      <w:r w:rsidRPr="00273B97">
        <w:rPr>
          <w:szCs w:val="20"/>
        </w:rPr>
        <w:t>Siemianowicką 66, 68, 70, 76 i Stowarzyszeniem "Majstersztyk"</w:t>
      </w:r>
      <w:r w:rsidR="00B92ED6" w:rsidRPr="00273B97">
        <w:rPr>
          <w:szCs w:val="20"/>
        </w:rPr>
        <w:t>,</w:t>
      </w:r>
    </w:p>
    <w:p w:rsidR="00C728F5" w:rsidRPr="00273B97" w:rsidRDefault="00C728F5"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Modernizacja budynku przy ul. Piotra Woźniaka 78</w:t>
      </w:r>
      <w:r w:rsidR="000E3BE4" w:rsidRPr="00273B97">
        <w:rPr>
          <w:noProof/>
          <w:szCs w:val="20"/>
        </w:rPr>
        <w:t xml:space="preserve"> </w:t>
      </w:r>
      <w:r w:rsidRPr="00273B97">
        <w:rPr>
          <w:szCs w:val="20"/>
        </w:rPr>
        <w:t>w Bytomiu dla potrzeb mieszkańców obszaru rewitalizacji Fundacja Pomóc Więcej Sosnowiec</w:t>
      </w:r>
    </w:p>
    <w:p w:rsidR="00C728F5" w:rsidRPr="00273B97" w:rsidRDefault="00C728F5"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Remont oficyny wraz</w:t>
      </w:r>
      <w:r w:rsidRPr="00273B97">
        <w:rPr>
          <w:noProof/>
          <w:szCs w:val="20"/>
        </w:rPr>
        <w:t xml:space="preserve"> </w:t>
      </w:r>
      <w:r w:rsidRPr="00273B97">
        <w:rPr>
          <w:szCs w:val="20"/>
        </w:rPr>
        <w:t>z podłączeniem budynku do sieci PEC Sp. z o.o. ul. Żołnierza Polskiego 23 - Profesjonalne Zarządzanie Nieruchomościami „Posesja” Owcarz, Sp. komandytowa,</w:t>
      </w:r>
    </w:p>
    <w:p w:rsidR="00C728F5" w:rsidRPr="00273B97" w:rsidRDefault="00C728F5"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 xml:space="preserve">Remont elewacji frontowych wraz z termomodernizacją ścian zewnętrznych </w:t>
      </w:r>
      <w:r w:rsidRPr="00273B97">
        <w:rPr>
          <w:szCs w:val="20"/>
        </w:rPr>
        <w:br/>
        <w:t>i podłączeniem budynku do sieci PEC Sp. z o.o. ul. Katowicka 17/ul. Wałowa 4 - Profesjonalne Zarządzanie Nieruchomościami „Posesja” Owcarz, Sp. komandytowa,</w:t>
      </w:r>
    </w:p>
    <w:p w:rsidR="00FE3C05" w:rsidRPr="00273B97" w:rsidRDefault="00FE3C05"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Rewitalizacja obszarów</w:t>
      </w:r>
      <w:r w:rsidRPr="00273B97">
        <w:rPr>
          <w:noProof/>
          <w:szCs w:val="20"/>
        </w:rPr>
        <w:t xml:space="preserve"> </w:t>
      </w:r>
      <w:r w:rsidRPr="00273B97">
        <w:rPr>
          <w:szCs w:val="20"/>
        </w:rPr>
        <w:t>i budynków zdegradowanych</w:t>
      </w:r>
      <w:r w:rsidRPr="00273B97">
        <w:rPr>
          <w:noProof/>
          <w:szCs w:val="20"/>
        </w:rPr>
        <w:t xml:space="preserve"> </w:t>
      </w:r>
      <w:r w:rsidRPr="00273B97">
        <w:rPr>
          <w:szCs w:val="20"/>
        </w:rPr>
        <w:t xml:space="preserve">w podobszarze 13 </w:t>
      </w:r>
      <w:r w:rsidRPr="00273B97">
        <w:rPr>
          <w:szCs w:val="20"/>
        </w:rPr>
        <w:br/>
        <w:t>w Bytomiu (ul. Chełmońskiego 15, 19, 21, 23, 27) - Zakład Budynków Miejskich Sp. z o.o.,</w:t>
      </w:r>
    </w:p>
    <w:p w:rsidR="00C728F5" w:rsidRPr="00273B97" w:rsidRDefault="00FE3C05"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Rewitalizacja obszarów</w:t>
      </w:r>
      <w:r w:rsidRPr="00273B97">
        <w:rPr>
          <w:noProof/>
          <w:szCs w:val="20"/>
        </w:rPr>
        <w:t xml:space="preserve"> </w:t>
      </w:r>
      <w:r w:rsidRPr="00273B97">
        <w:rPr>
          <w:szCs w:val="20"/>
        </w:rPr>
        <w:t>i budynków zagospodarowanych</w:t>
      </w:r>
      <w:r w:rsidRPr="00273B97">
        <w:rPr>
          <w:noProof/>
          <w:szCs w:val="20"/>
        </w:rPr>
        <w:t xml:space="preserve"> </w:t>
      </w:r>
      <w:r w:rsidRPr="00273B97">
        <w:rPr>
          <w:szCs w:val="20"/>
        </w:rPr>
        <w:t xml:space="preserve">w podobszarze 13 </w:t>
      </w:r>
      <w:r w:rsidRPr="00273B97">
        <w:rPr>
          <w:szCs w:val="20"/>
        </w:rPr>
        <w:br/>
        <w:t>w Bytomiu (ul. Matejki 2, ul. Witczaka 61, 63, 65, 67, 69) - Zakład Budynków Miejskich Sp. z o.o.,</w:t>
      </w:r>
    </w:p>
    <w:p w:rsidR="002A4874" w:rsidRPr="00273B97" w:rsidRDefault="00FE3C05"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Rewitalizacja obszarów i budynków zdegradowanych w podobszarze 10 i 13 w Bytomiu (ul. Lenartowicza 2-4, ul. Jainty 13, ul. Piastów Bytomskich, ul. Zaułek, ul. Oświęcimska 19, ul. Piłsudskiego 35) - Zakład Budynków Miejskich Sp. z o.o.,</w:t>
      </w:r>
      <w:r w:rsidR="0042651E" w:rsidRPr="00273B97">
        <w:rPr>
          <w:i/>
          <w:szCs w:val="20"/>
        </w:rPr>
        <w:t xml:space="preserve"> </w:t>
      </w:r>
    </w:p>
    <w:p w:rsidR="00463590" w:rsidRPr="00273B97" w:rsidRDefault="00463590"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Rewitalizacja kamienicy przy ul. Dworcowej 23</w:t>
      </w:r>
      <w:r w:rsidR="00B8551B" w:rsidRPr="00273B97">
        <w:rPr>
          <w:szCs w:val="20"/>
        </w:rPr>
        <w:t xml:space="preserve"> -</w:t>
      </w:r>
      <w:r w:rsidRPr="00273B97">
        <w:rPr>
          <w:szCs w:val="20"/>
        </w:rPr>
        <w:t xml:space="preserve"> Wspólnota Mieszkaniowa ul. Dworco</w:t>
      </w:r>
      <w:r w:rsidR="00B8551B" w:rsidRPr="00273B97">
        <w:rPr>
          <w:szCs w:val="20"/>
        </w:rPr>
        <w:t>wa</w:t>
      </w:r>
      <w:r w:rsidRPr="00273B97">
        <w:rPr>
          <w:szCs w:val="20"/>
        </w:rPr>
        <w:t xml:space="preserve"> 23</w:t>
      </w:r>
      <w:r w:rsidR="00B8551B" w:rsidRPr="00273B97">
        <w:rPr>
          <w:szCs w:val="20"/>
        </w:rPr>
        <w:t>,</w:t>
      </w:r>
    </w:p>
    <w:p w:rsidR="00463590" w:rsidRPr="00273B97" w:rsidRDefault="00463590"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Rewitalizacja kamienicy przy ul. Jainty</w:t>
      </w:r>
      <w:r w:rsidR="00B8551B" w:rsidRPr="00273B97">
        <w:rPr>
          <w:szCs w:val="20"/>
        </w:rPr>
        <w:t xml:space="preserve"> </w:t>
      </w:r>
      <w:r w:rsidRPr="00273B97">
        <w:rPr>
          <w:szCs w:val="20"/>
        </w:rPr>
        <w:t xml:space="preserve">14, </w:t>
      </w:r>
      <w:r w:rsidR="00B8551B" w:rsidRPr="00273B97">
        <w:rPr>
          <w:szCs w:val="20"/>
        </w:rPr>
        <w:t xml:space="preserve">ul. </w:t>
      </w:r>
      <w:r w:rsidRPr="00273B97">
        <w:rPr>
          <w:szCs w:val="20"/>
        </w:rPr>
        <w:t xml:space="preserve">Mariackiej 6 </w:t>
      </w:r>
      <w:r w:rsidR="00B8551B" w:rsidRPr="00273B97">
        <w:rPr>
          <w:szCs w:val="20"/>
        </w:rPr>
        <w:t xml:space="preserve">- </w:t>
      </w:r>
      <w:r w:rsidRPr="00273B97">
        <w:rPr>
          <w:szCs w:val="20"/>
        </w:rPr>
        <w:t xml:space="preserve">Wspólnota Mieszkaniowa ul. Jainty 14, </w:t>
      </w:r>
      <w:r w:rsidR="00B8551B" w:rsidRPr="00273B97">
        <w:rPr>
          <w:szCs w:val="20"/>
        </w:rPr>
        <w:t xml:space="preserve">ul. </w:t>
      </w:r>
      <w:r w:rsidRPr="00273B97">
        <w:rPr>
          <w:szCs w:val="20"/>
        </w:rPr>
        <w:t>Mariacka 6</w:t>
      </w:r>
      <w:r w:rsidR="00B8551B" w:rsidRPr="00273B97">
        <w:rPr>
          <w:szCs w:val="20"/>
        </w:rPr>
        <w:t>,</w:t>
      </w:r>
    </w:p>
    <w:p w:rsidR="00463590" w:rsidRPr="00273B97" w:rsidRDefault="00463590"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Rewitalizacja kamienicy przy ul. Jainty 15</w:t>
      </w:r>
      <w:r w:rsidR="00B8551B" w:rsidRPr="00273B97">
        <w:rPr>
          <w:szCs w:val="20"/>
        </w:rPr>
        <w:t xml:space="preserve"> -</w:t>
      </w:r>
      <w:r w:rsidRPr="00273B97">
        <w:rPr>
          <w:szCs w:val="20"/>
        </w:rPr>
        <w:t xml:space="preserve"> Wspólnota Mieszkaniowa ul. Jainty 15</w:t>
      </w:r>
      <w:r w:rsidR="00B8551B" w:rsidRPr="00273B97">
        <w:rPr>
          <w:szCs w:val="20"/>
        </w:rPr>
        <w:t>,</w:t>
      </w:r>
    </w:p>
    <w:p w:rsidR="00463590" w:rsidRPr="00273B97" w:rsidRDefault="00463590"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 xml:space="preserve">Rewitalizacja kamienicy przy ul. Jainty 8 </w:t>
      </w:r>
      <w:r w:rsidR="00B8551B" w:rsidRPr="00273B97">
        <w:rPr>
          <w:szCs w:val="20"/>
        </w:rPr>
        <w:t xml:space="preserve">- </w:t>
      </w:r>
      <w:r w:rsidRPr="00273B97">
        <w:rPr>
          <w:szCs w:val="20"/>
        </w:rPr>
        <w:t>Wspólnota Mieszkaniowa ul. Jainty 8</w:t>
      </w:r>
      <w:r w:rsidR="00B8551B" w:rsidRPr="00273B97">
        <w:rPr>
          <w:szCs w:val="20"/>
        </w:rPr>
        <w:t>,</w:t>
      </w:r>
    </w:p>
    <w:p w:rsidR="00463590" w:rsidRPr="00273B97" w:rsidRDefault="00463590"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 xml:space="preserve">Rewitalizacja kamienicy przy ul. Katowickiej 20 </w:t>
      </w:r>
      <w:r w:rsidR="00B8551B" w:rsidRPr="00273B97">
        <w:rPr>
          <w:szCs w:val="20"/>
        </w:rPr>
        <w:t xml:space="preserve">- </w:t>
      </w:r>
      <w:r w:rsidRPr="00273B97">
        <w:rPr>
          <w:szCs w:val="20"/>
        </w:rPr>
        <w:t>Wspólnota Mieszkaniowa ul. Katowicka 20</w:t>
      </w:r>
      <w:r w:rsidR="00B8551B" w:rsidRPr="00273B97">
        <w:rPr>
          <w:szCs w:val="20"/>
        </w:rPr>
        <w:t>,</w:t>
      </w:r>
    </w:p>
    <w:p w:rsidR="00463590" w:rsidRPr="00273B97" w:rsidRDefault="00463590"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Rewitalizacja kamienicy przy ul. Kraszewskiego 2</w:t>
      </w:r>
      <w:r w:rsidR="00B8551B" w:rsidRPr="00273B97">
        <w:rPr>
          <w:szCs w:val="20"/>
        </w:rPr>
        <w:t xml:space="preserve"> -</w:t>
      </w:r>
      <w:r w:rsidRPr="00273B97">
        <w:rPr>
          <w:szCs w:val="20"/>
        </w:rPr>
        <w:t xml:space="preserve"> Wspólnota Mieszkaniowa ul. Kraszewskiego 2</w:t>
      </w:r>
      <w:r w:rsidR="00B8551B" w:rsidRPr="00273B97">
        <w:rPr>
          <w:szCs w:val="20"/>
        </w:rPr>
        <w:t>,</w:t>
      </w:r>
    </w:p>
    <w:p w:rsidR="002A4874" w:rsidRPr="00273B97" w:rsidRDefault="00463590"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 xml:space="preserve">Rewitalizacja kamienicy przy ul. Mariackiej 5, </w:t>
      </w:r>
      <w:r w:rsidR="00B8551B" w:rsidRPr="00273B97">
        <w:rPr>
          <w:szCs w:val="20"/>
        </w:rPr>
        <w:t xml:space="preserve">ul. </w:t>
      </w:r>
      <w:r w:rsidRPr="00273B97">
        <w:rPr>
          <w:szCs w:val="20"/>
        </w:rPr>
        <w:t>Koziołka 1</w:t>
      </w:r>
      <w:r w:rsidR="00B8551B" w:rsidRPr="00273B97">
        <w:rPr>
          <w:noProof/>
          <w:szCs w:val="20"/>
        </w:rPr>
        <w:t xml:space="preserve"> </w:t>
      </w:r>
      <w:r w:rsidRPr="00273B97">
        <w:rPr>
          <w:szCs w:val="20"/>
        </w:rPr>
        <w:t xml:space="preserve">i 2 </w:t>
      </w:r>
      <w:r w:rsidR="00B8551B" w:rsidRPr="00273B97">
        <w:rPr>
          <w:szCs w:val="20"/>
        </w:rPr>
        <w:t xml:space="preserve">- </w:t>
      </w:r>
      <w:r w:rsidRPr="00273B97">
        <w:rPr>
          <w:szCs w:val="20"/>
        </w:rPr>
        <w:t xml:space="preserve">Wspólnota Mieszkaniowa  </w:t>
      </w:r>
      <w:r w:rsidR="00027769">
        <w:rPr>
          <w:szCs w:val="20"/>
        </w:rPr>
        <w:br/>
      </w:r>
      <w:r w:rsidRPr="00273B97">
        <w:rPr>
          <w:szCs w:val="20"/>
        </w:rPr>
        <w:t xml:space="preserve">ul. Mariacka 5, </w:t>
      </w:r>
      <w:r w:rsidR="00B8551B" w:rsidRPr="00273B97">
        <w:rPr>
          <w:szCs w:val="20"/>
        </w:rPr>
        <w:t xml:space="preserve">ul. </w:t>
      </w:r>
      <w:r w:rsidRPr="00273B97">
        <w:rPr>
          <w:szCs w:val="20"/>
        </w:rPr>
        <w:t>Koziołka 1 i 2</w:t>
      </w:r>
      <w:r w:rsidR="00B8551B" w:rsidRPr="00273B97">
        <w:rPr>
          <w:szCs w:val="20"/>
        </w:rPr>
        <w:t>,</w:t>
      </w:r>
      <w:r w:rsidR="0042651E" w:rsidRPr="00273B97">
        <w:rPr>
          <w:i/>
          <w:szCs w:val="20"/>
        </w:rPr>
        <w:t xml:space="preserve"> </w:t>
      </w:r>
    </w:p>
    <w:p w:rsidR="00463590" w:rsidRPr="00273B97" w:rsidRDefault="00463590"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Rewitalizacja kamienicy przy ul. Mickiewicza 24</w:t>
      </w:r>
      <w:r w:rsidR="00B8551B" w:rsidRPr="00273B97">
        <w:rPr>
          <w:szCs w:val="20"/>
        </w:rPr>
        <w:t xml:space="preserve"> - Wspólnota Mieszkaniowa</w:t>
      </w:r>
      <w:r w:rsidR="00B8551B" w:rsidRPr="00273B97">
        <w:rPr>
          <w:noProof/>
          <w:szCs w:val="20"/>
        </w:rPr>
        <w:t xml:space="preserve"> </w:t>
      </w:r>
      <w:r w:rsidR="00B8551B" w:rsidRPr="00273B97">
        <w:rPr>
          <w:szCs w:val="20"/>
        </w:rPr>
        <w:t>ul. Mickiewicza 24,</w:t>
      </w:r>
    </w:p>
    <w:p w:rsidR="00B8551B" w:rsidRPr="00273B97" w:rsidRDefault="00B8551B"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Rewitalizacja kamienicy przy ul. Orląt Lwowskich 3 - Wspólnota mieszkaniowa ul. Orląt Lwowskich 3,</w:t>
      </w:r>
    </w:p>
    <w:p w:rsidR="00C10DAF" w:rsidRPr="00273B97" w:rsidRDefault="00C10DAF" w:rsidP="009C1D86">
      <w:pPr>
        <w:pStyle w:val="Akapitzlist"/>
        <w:numPr>
          <w:ilvl w:val="0"/>
          <w:numId w:val="734"/>
        </w:numPr>
        <w:shd w:val="clear" w:color="auto" w:fill="F2F2F2" w:themeFill="background1" w:themeFillShade="F2"/>
        <w:spacing w:after="0" w:line="252" w:lineRule="auto"/>
        <w:ind w:left="1134" w:hanging="425"/>
        <w:jc w:val="both"/>
        <w:rPr>
          <w:sz w:val="20"/>
          <w:szCs w:val="20"/>
        </w:rPr>
      </w:pPr>
      <w:r w:rsidRPr="00273B97">
        <w:rPr>
          <w:sz w:val="20"/>
          <w:szCs w:val="20"/>
        </w:rPr>
        <w:t>Rewitalizacja budynków mieszkalnych zlokalizowanych na Rozbarku - Wspólnota Mieszkaniowa ul. Konopnickiej 23,</w:t>
      </w:r>
    </w:p>
    <w:p w:rsidR="00C10DAF" w:rsidRPr="00273B97" w:rsidRDefault="00C10DAF" w:rsidP="009C1D86">
      <w:pPr>
        <w:pStyle w:val="Akapitzlist"/>
        <w:numPr>
          <w:ilvl w:val="0"/>
          <w:numId w:val="734"/>
        </w:numPr>
        <w:shd w:val="clear" w:color="auto" w:fill="F2F2F2" w:themeFill="background1" w:themeFillShade="F2"/>
        <w:spacing w:after="0" w:line="252" w:lineRule="auto"/>
        <w:ind w:left="1134" w:hanging="425"/>
        <w:jc w:val="both"/>
        <w:rPr>
          <w:sz w:val="20"/>
          <w:szCs w:val="20"/>
        </w:rPr>
      </w:pPr>
      <w:r w:rsidRPr="00273B97">
        <w:rPr>
          <w:sz w:val="20"/>
          <w:szCs w:val="20"/>
        </w:rPr>
        <w:t>Rewitalizacja budynku mieszkalnego przy</w:t>
      </w:r>
      <w:r w:rsidRPr="00273B97">
        <w:rPr>
          <w:noProof/>
          <w:sz w:val="20"/>
          <w:szCs w:val="20"/>
        </w:rPr>
        <w:t xml:space="preserve"> </w:t>
      </w:r>
      <w:r w:rsidRPr="00273B97">
        <w:rPr>
          <w:sz w:val="20"/>
          <w:szCs w:val="20"/>
        </w:rPr>
        <w:t xml:space="preserve">ul. Dworcowej 32 - Wspólnota Mieszkaniowa </w:t>
      </w:r>
      <w:r w:rsidR="00027769">
        <w:rPr>
          <w:sz w:val="20"/>
          <w:szCs w:val="20"/>
        </w:rPr>
        <w:br/>
      </w:r>
      <w:r w:rsidRPr="00273B97">
        <w:rPr>
          <w:sz w:val="20"/>
          <w:szCs w:val="20"/>
        </w:rPr>
        <w:t>ul. Dworcowa 32,</w:t>
      </w:r>
    </w:p>
    <w:p w:rsidR="00C10DAF" w:rsidRPr="00273B97" w:rsidRDefault="00C10DAF" w:rsidP="009C1D86">
      <w:pPr>
        <w:pStyle w:val="Akapitzlist"/>
        <w:numPr>
          <w:ilvl w:val="0"/>
          <w:numId w:val="734"/>
        </w:numPr>
        <w:shd w:val="clear" w:color="auto" w:fill="F2F2F2" w:themeFill="background1" w:themeFillShade="F2"/>
        <w:spacing w:after="0" w:line="252" w:lineRule="auto"/>
        <w:ind w:left="1134" w:hanging="425"/>
        <w:jc w:val="both"/>
        <w:rPr>
          <w:sz w:val="20"/>
          <w:szCs w:val="20"/>
        </w:rPr>
      </w:pPr>
      <w:r w:rsidRPr="00273B97">
        <w:rPr>
          <w:sz w:val="20"/>
          <w:szCs w:val="20"/>
        </w:rPr>
        <w:t>Rewitalizacja budynków mieszkalnych przy</w:t>
      </w:r>
      <w:r w:rsidRPr="00273B97">
        <w:rPr>
          <w:noProof/>
          <w:sz w:val="20"/>
          <w:szCs w:val="20"/>
        </w:rPr>
        <w:t xml:space="preserve"> </w:t>
      </w:r>
      <w:r w:rsidRPr="00273B97">
        <w:rPr>
          <w:sz w:val="20"/>
          <w:szCs w:val="20"/>
        </w:rPr>
        <w:t xml:space="preserve">ul. Mickiewicza - Wspólnota Mieszkaniowa </w:t>
      </w:r>
      <w:r w:rsidR="00027769">
        <w:rPr>
          <w:sz w:val="20"/>
          <w:szCs w:val="20"/>
        </w:rPr>
        <w:br/>
      </w:r>
      <w:r w:rsidRPr="00273B97">
        <w:rPr>
          <w:sz w:val="20"/>
          <w:szCs w:val="20"/>
        </w:rPr>
        <w:t>ul. Mickiewicza 3, 19, 21, 36</w:t>
      </w:r>
      <w:r w:rsidRPr="00273B97">
        <w:rPr>
          <w:noProof/>
          <w:sz w:val="20"/>
          <w:szCs w:val="20"/>
        </w:rPr>
        <w:t xml:space="preserve">, </w:t>
      </w:r>
      <w:r w:rsidRPr="00273B97">
        <w:rPr>
          <w:sz w:val="20"/>
          <w:szCs w:val="20"/>
        </w:rPr>
        <w:t>ul. Prusa 20/ ul. Mickiewicza 8,</w:t>
      </w:r>
    </w:p>
    <w:p w:rsidR="00C10DAF" w:rsidRPr="00273B97" w:rsidRDefault="00C10DAF" w:rsidP="009C1D86">
      <w:pPr>
        <w:pStyle w:val="Akapitzlist"/>
        <w:numPr>
          <w:ilvl w:val="0"/>
          <w:numId w:val="734"/>
        </w:numPr>
        <w:shd w:val="clear" w:color="auto" w:fill="F2F2F2" w:themeFill="background1" w:themeFillShade="F2"/>
        <w:spacing w:after="0" w:line="252" w:lineRule="auto"/>
        <w:ind w:left="1134" w:hanging="425"/>
        <w:jc w:val="both"/>
        <w:rPr>
          <w:sz w:val="20"/>
          <w:szCs w:val="20"/>
        </w:rPr>
      </w:pPr>
      <w:r w:rsidRPr="00273B97">
        <w:rPr>
          <w:sz w:val="20"/>
          <w:szCs w:val="20"/>
        </w:rPr>
        <w:t>Rewitalizacja budynku mieszkalnego przy ul. Bolesława Prusa - Wspólnota Mieszkaniowa ul. Prusa 44,</w:t>
      </w:r>
    </w:p>
    <w:p w:rsidR="00C10DAF" w:rsidRPr="00273B97" w:rsidRDefault="00C10DAF" w:rsidP="009C1D86">
      <w:pPr>
        <w:pStyle w:val="Akapitzlist"/>
        <w:numPr>
          <w:ilvl w:val="0"/>
          <w:numId w:val="734"/>
        </w:numPr>
        <w:shd w:val="clear" w:color="auto" w:fill="F2F2F2" w:themeFill="background1" w:themeFillShade="F2"/>
        <w:spacing w:after="0" w:line="252" w:lineRule="auto"/>
        <w:ind w:left="1134" w:hanging="425"/>
        <w:jc w:val="both"/>
        <w:rPr>
          <w:sz w:val="20"/>
          <w:szCs w:val="20"/>
        </w:rPr>
      </w:pPr>
      <w:r w:rsidRPr="00273B97">
        <w:rPr>
          <w:sz w:val="20"/>
          <w:szCs w:val="20"/>
        </w:rPr>
        <w:t>Rewitalizacja budynków mieszkalnych przy ul. Powstańców Warszawskich - Wspólnota Mieszkaniowa ul. Powstańców Warszawskich 14,</w:t>
      </w:r>
    </w:p>
    <w:p w:rsidR="00C10DAF" w:rsidRPr="00273B97" w:rsidRDefault="00C10DAF" w:rsidP="009C1D86">
      <w:pPr>
        <w:pStyle w:val="Akapitzlist"/>
        <w:numPr>
          <w:ilvl w:val="0"/>
          <w:numId w:val="734"/>
        </w:numPr>
        <w:shd w:val="clear" w:color="auto" w:fill="F2F2F2" w:themeFill="background1" w:themeFillShade="F2"/>
        <w:spacing w:after="0" w:line="252" w:lineRule="auto"/>
        <w:ind w:left="1134" w:hanging="425"/>
        <w:jc w:val="both"/>
        <w:rPr>
          <w:sz w:val="20"/>
          <w:szCs w:val="20"/>
        </w:rPr>
      </w:pPr>
      <w:r w:rsidRPr="00273B97">
        <w:rPr>
          <w:sz w:val="20"/>
          <w:szCs w:val="20"/>
        </w:rPr>
        <w:t>Rewitalizacja budynków mieszkalnych przy ul. Grottgera - Wspólnota Mieszkaniowa ul. Grottgera 3, 4, 4a, 4b, 5,</w:t>
      </w:r>
    </w:p>
    <w:p w:rsidR="00C10DAF" w:rsidRPr="00273B97" w:rsidRDefault="00C10DAF" w:rsidP="009C1D86">
      <w:pPr>
        <w:pStyle w:val="Akapitzlist"/>
        <w:numPr>
          <w:ilvl w:val="0"/>
          <w:numId w:val="734"/>
        </w:numPr>
        <w:shd w:val="clear" w:color="auto" w:fill="F2F2F2" w:themeFill="background1" w:themeFillShade="F2"/>
        <w:spacing w:after="0" w:line="252" w:lineRule="auto"/>
        <w:ind w:left="1134" w:hanging="425"/>
        <w:jc w:val="both"/>
        <w:rPr>
          <w:sz w:val="20"/>
          <w:szCs w:val="20"/>
        </w:rPr>
      </w:pPr>
      <w:r w:rsidRPr="00273B97">
        <w:rPr>
          <w:sz w:val="20"/>
          <w:szCs w:val="20"/>
        </w:rPr>
        <w:t>Rewitalizacja budynków mieszkalnych przy ul. Karola Miarki - Wspólnota Mieszkaniowa ul. Karola Miarki 20,</w:t>
      </w:r>
    </w:p>
    <w:p w:rsidR="00C10DAF" w:rsidRPr="00273B97" w:rsidRDefault="00C10DAF" w:rsidP="009C1D86">
      <w:pPr>
        <w:pStyle w:val="Akapitzlist"/>
        <w:numPr>
          <w:ilvl w:val="0"/>
          <w:numId w:val="734"/>
        </w:numPr>
        <w:shd w:val="clear" w:color="auto" w:fill="F2F2F2" w:themeFill="background1" w:themeFillShade="F2"/>
        <w:spacing w:after="0" w:line="252" w:lineRule="auto"/>
        <w:ind w:left="1134" w:hanging="425"/>
        <w:jc w:val="both"/>
        <w:rPr>
          <w:i/>
          <w:sz w:val="20"/>
          <w:szCs w:val="20"/>
        </w:rPr>
      </w:pPr>
      <w:r w:rsidRPr="00273B97">
        <w:rPr>
          <w:sz w:val="20"/>
          <w:szCs w:val="20"/>
        </w:rPr>
        <w:t xml:space="preserve">Rewitalizacja budynków mieszkalnych przy ul. Orląt Lwowskich, fragment między ulicami Mickiewicza oraz Oświęcimską - Wspólnota Mieszkaniowa ul. Orląt Lwowskich 9, ul. Oświęcimska 10 a, </w:t>
      </w:r>
    </w:p>
    <w:p w:rsidR="00C10DAF" w:rsidRPr="00273B97" w:rsidRDefault="00C10DAF" w:rsidP="009C1D86">
      <w:pPr>
        <w:pStyle w:val="Akapitzlist"/>
        <w:numPr>
          <w:ilvl w:val="0"/>
          <w:numId w:val="734"/>
        </w:numPr>
        <w:shd w:val="clear" w:color="auto" w:fill="F2F2F2" w:themeFill="background1" w:themeFillShade="F2"/>
        <w:spacing w:after="0" w:line="252" w:lineRule="auto"/>
        <w:ind w:left="1134" w:hanging="425"/>
        <w:jc w:val="both"/>
        <w:rPr>
          <w:sz w:val="20"/>
          <w:szCs w:val="20"/>
        </w:rPr>
      </w:pPr>
      <w:r w:rsidRPr="00273B97">
        <w:rPr>
          <w:sz w:val="20"/>
          <w:szCs w:val="20"/>
        </w:rPr>
        <w:t>Rewitalizacja ul. Zamenhofa - Wspólnota Mieszkaniowa ul. Zamenhofa 9,</w:t>
      </w:r>
    </w:p>
    <w:p w:rsidR="00C10DAF" w:rsidRPr="00273B97" w:rsidRDefault="00C10DAF" w:rsidP="009C1D86">
      <w:pPr>
        <w:pStyle w:val="Akapitzlist"/>
        <w:numPr>
          <w:ilvl w:val="0"/>
          <w:numId w:val="734"/>
        </w:numPr>
        <w:shd w:val="clear" w:color="auto" w:fill="F2F2F2" w:themeFill="background1" w:themeFillShade="F2"/>
        <w:spacing w:after="0" w:line="252" w:lineRule="auto"/>
        <w:ind w:left="1134" w:hanging="425"/>
        <w:jc w:val="both"/>
        <w:rPr>
          <w:sz w:val="20"/>
          <w:szCs w:val="20"/>
        </w:rPr>
      </w:pPr>
      <w:r w:rsidRPr="00273B97">
        <w:rPr>
          <w:sz w:val="20"/>
          <w:szCs w:val="20"/>
        </w:rPr>
        <w:t xml:space="preserve">Rewitalizacja budynków mieszkalnych przy ul. Wojciecha Korfantego oraz Szkolnej fragment między ulicami Marszałka Józefa Piłsudskiego i Szkolną oraz między ulicami Jana Matejki </w:t>
      </w:r>
      <w:r w:rsidR="00027769">
        <w:rPr>
          <w:sz w:val="20"/>
          <w:szCs w:val="20"/>
        </w:rPr>
        <w:br/>
      </w:r>
      <w:r w:rsidRPr="00273B97">
        <w:rPr>
          <w:sz w:val="20"/>
          <w:szCs w:val="20"/>
        </w:rPr>
        <w:t>i Staromiejską - Wspólnota Mieszkaniowa ul. Korfantego 25,</w:t>
      </w:r>
    </w:p>
    <w:p w:rsidR="00C10DAF" w:rsidRPr="00273B97" w:rsidRDefault="00C10DAF" w:rsidP="009C1D86">
      <w:pPr>
        <w:pStyle w:val="Akapitzlist"/>
        <w:numPr>
          <w:ilvl w:val="0"/>
          <w:numId w:val="734"/>
        </w:numPr>
        <w:shd w:val="clear" w:color="auto" w:fill="F2F2F2" w:themeFill="background1" w:themeFillShade="F2"/>
        <w:spacing w:after="0" w:line="252" w:lineRule="auto"/>
        <w:ind w:left="1134" w:hanging="425"/>
        <w:jc w:val="both"/>
        <w:rPr>
          <w:sz w:val="20"/>
          <w:szCs w:val="20"/>
        </w:rPr>
      </w:pPr>
      <w:r w:rsidRPr="00273B97">
        <w:rPr>
          <w:sz w:val="20"/>
          <w:szCs w:val="20"/>
        </w:rPr>
        <w:t>Rewitalizacja Placu Słowiańskiego - Wspólnota Mieszkaniowa Plac Słowiański 1,</w:t>
      </w:r>
    </w:p>
    <w:p w:rsidR="00C10DAF" w:rsidRPr="00273B97" w:rsidRDefault="00C10DAF" w:rsidP="009C1D86">
      <w:pPr>
        <w:pStyle w:val="Akapitzlist"/>
        <w:numPr>
          <w:ilvl w:val="0"/>
          <w:numId w:val="734"/>
        </w:numPr>
        <w:shd w:val="clear" w:color="auto" w:fill="F2F2F2" w:themeFill="background1" w:themeFillShade="F2"/>
        <w:spacing w:after="0" w:line="252" w:lineRule="auto"/>
        <w:ind w:left="1134" w:hanging="425"/>
        <w:jc w:val="both"/>
        <w:rPr>
          <w:sz w:val="20"/>
          <w:szCs w:val="20"/>
        </w:rPr>
      </w:pPr>
      <w:r w:rsidRPr="00273B97">
        <w:rPr>
          <w:sz w:val="20"/>
          <w:szCs w:val="20"/>
        </w:rPr>
        <w:t>Rewitalizacja Placu Sikorskiego - Wspólnota Mieszkaniowa Plac Sikorskiego 6,</w:t>
      </w:r>
    </w:p>
    <w:p w:rsidR="00C10DAF" w:rsidRPr="00273B97" w:rsidRDefault="00C10DAF" w:rsidP="009C1D86">
      <w:pPr>
        <w:pStyle w:val="Akapitzlist"/>
        <w:numPr>
          <w:ilvl w:val="0"/>
          <w:numId w:val="734"/>
        </w:numPr>
        <w:shd w:val="clear" w:color="auto" w:fill="F2F2F2" w:themeFill="background1" w:themeFillShade="F2"/>
        <w:spacing w:after="0" w:line="252" w:lineRule="auto"/>
        <w:ind w:left="1134" w:hanging="425"/>
        <w:jc w:val="both"/>
        <w:rPr>
          <w:sz w:val="20"/>
          <w:szCs w:val="20"/>
        </w:rPr>
      </w:pPr>
      <w:r w:rsidRPr="00273B97">
        <w:rPr>
          <w:sz w:val="20"/>
          <w:szCs w:val="20"/>
        </w:rPr>
        <w:t>Rewitalizacja budynków mieszkalnych przy ul. Piłsudskiego fragment między ul. Żołnierza Polskiego oraz Powstańców Warszawskich - Wspólnota Mieszkaniowa ul. Piłsudskiego 17,</w:t>
      </w:r>
    </w:p>
    <w:p w:rsidR="00C10DAF" w:rsidRPr="00273B97" w:rsidRDefault="00C10DAF" w:rsidP="009C1D86">
      <w:pPr>
        <w:pStyle w:val="Akapitzlist"/>
        <w:numPr>
          <w:ilvl w:val="0"/>
          <w:numId w:val="734"/>
        </w:numPr>
        <w:shd w:val="clear" w:color="auto" w:fill="F2F2F2" w:themeFill="background1" w:themeFillShade="F2"/>
        <w:spacing w:after="0" w:line="252" w:lineRule="auto"/>
        <w:ind w:left="1134" w:hanging="425"/>
        <w:jc w:val="both"/>
        <w:rPr>
          <w:sz w:val="20"/>
          <w:szCs w:val="20"/>
        </w:rPr>
      </w:pPr>
      <w:r w:rsidRPr="00273B97">
        <w:rPr>
          <w:sz w:val="20"/>
          <w:szCs w:val="20"/>
        </w:rPr>
        <w:t xml:space="preserve">Rewitalizacja budynków mieszkalnych przy ul J. Rostka 7/ Katowickiej 27 oraz ul. Katowickiej 31 fragment między ulicami J. Rostka i L. Zamenhofa - Wspólnota Mieszkaniowa ul. Rostka 7/ </w:t>
      </w:r>
      <w:r w:rsidR="00027769">
        <w:rPr>
          <w:sz w:val="20"/>
          <w:szCs w:val="20"/>
        </w:rPr>
        <w:br/>
      </w:r>
      <w:r w:rsidRPr="00273B97">
        <w:rPr>
          <w:sz w:val="20"/>
          <w:szCs w:val="20"/>
        </w:rPr>
        <w:t>ul. Katowicka 27,</w:t>
      </w:r>
    </w:p>
    <w:p w:rsidR="00C10DAF" w:rsidRPr="00273B97" w:rsidRDefault="00C10DAF" w:rsidP="009C1D86">
      <w:pPr>
        <w:pStyle w:val="Akapitzlist"/>
        <w:numPr>
          <w:ilvl w:val="0"/>
          <w:numId w:val="734"/>
        </w:numPr>
        <w:shd w:val="clear" w:color="auto" w:fill="F2F2F2" w:themeFill="background1" w:themeFillShade="F2"/>
        <w:spacing w:after="0" w:line="252" w:lineRule="auto"/>
        <w:ind w:left="1134" w:hanging="425"/>
        <w:jc w:val="both"/>
        <w:rPr>
          <w:sz w:val="20"/>
          <w:szCs w:val="20"/>
        </w:rPr>
      </w:pPr>
      <w:r w:rsidRPr="00273B97">
        <w:rPr>
          <w:sz w:val="20"/>
          <w:szCs w:val="20"/>
        </w:rPr>
        <w:t>Rewitalizacja budynków mieszkalnych przy ul. Piekarskiej fragment między ulicami Marszałka Józefa Piłsudskiego a Powstańców Śląskich - Wspólnota Mieszkaniowa ul. Piekarska 36/38,</w:t>
      </w:r>
    </w:p>
    <w:p w:rsidR="00C10DAF" w:rsidRPr="00273B97" w:rsidRDefault="00C10DAF" w:rsidP="009C1D86">
      <w:pPr>
        <w:pStyle w:val="Akapitzlist"/>
        <w:numPr>
          <w:ilvl w:val="0"/>
          <w:numId w:val="734"/>
        </w:numPr>
        <w:shd w:val="clear" w:color="auto" w:fill="F2F2F2" w:themeFill="background1" w:themeFillShade="F2"/>
        <w:spacing w:after="0" w:line="252" w:lineRule="auto"/>
        <w:ind w:left="1134" w:hanging="425"/>
        <w:jc w:val="both"/>
        <w:rPr>
          <w:sz w:val="20"/>
          <w:szCs w:val="20"/>
        </w:rPr>
      </w:pPr>
      <w:r w:rsidRPr="00273B97">
        <w:rPr>
          <w:sz w:val="20"/>
          <w:szCs w:val="20"/>
        </w:rPr>
        <w:t>Rewitalizacja budynków mieszkalnych przy ul. Moniuszki fragment między ulicami Powstańców Warszawskich oraz Dworcową - Wspólnota Mieszkaniowa ul. Moniuszki 2,</w:t>
      </w:r>
    </w:p>
    <w:p w:rsidR="00C10DAF" w:rsidRPr="00273B97" w:rsidRDefault="00C10DAF" w:rsidP="009C1D86">
      <w:pPr>
        <w:pStyle w:val="Akapitzlist"/>
        <w:numPr>
          <w:ilvl w:val="0"/>
          <w:numId w:val="734"/>
        </w:numPr>
        <w:shd w:val="clear" w:color="auto" w:fill="F2F2F2" w:themeFill="background1" w:themeFillShade="F2"/>
        <w:spacing w:after="0" w:line="252" w:lineRule="auto"/>
        <w:ind w:left="1134" w:hanging="425"/>
        <w:jc w:val="both"/>
        <w:rPr>
          <w:sz w:val="20"/>
          <w:szCs w:val="20"/>
        </w:rPr>
      </w:pPr>
      <w:r w:rsidRPr="00273B97">
        <w:rPr>
          <w:rFonts w:eastAsia="Times New Roman"/>
          <w:iCs/>
          <w:sz w:val="20"/>
          <w:szCs w:val="20"/>
        </w:rPr>
        <w:t>Rewitalizacja budynków mieszkalnych przy ul. Jana Smolenia, Żołnierza Polskiego oraz Żeromskiego, fragment między ulicami Bolesława Chrobrego oraz Żołnierza Polskiego</w:t>
      </w:r>
      <w:r w:rsidRPr="00273B97">
        <w:rPr>
          <w:iCs/>
          <w:sz w:val="20"/>
          <w:szCs w:val="20"/>
        </w:rPr>
        <w:t xml:space="preserve"> - </w:t>
      </w:r>
      <w:r w:rsidRPr="00273B97">
        <w:rPr>
          <w:rFonts w:eastAsia="Times New Roman"/>
          <w:iCs/>
          <w:sz w:val="20"/>
          <w:szCs w:val="20"/>
        </w:rPr>
        <w:t>Wspólnota Mieszkaniowa ul. Jana Smolenia 25,</w:t>
      </w:r>
    </w:p>
    <w:p w:rsidR="00C10DAF" w:rsidRPr="00273B97" w:rsidRDefault="00C10DAF" w:rsidP="009C1D86">
      <w:pPr>
        <w:pStyle w:val="Akapitzlist"/>
        <w:numPr>
          <w:ilvl w:val="0"/>
          <w:numId w:val="734"/>
        </w:numPr>
        <w:shd w:val="clear" w:color="auto" w:fill="F2F2F2" w:themeFill="background1" w:themeFillShade="F2"/>
        <w:spacing w:after="0" w:line="252" w:lineRule="auto"/>
        <w:ind w:left="1134" w:hanging="425"/>
        <w:jc w:val="both"/>
        <w:rPr>
          <w:sz w:val="20"/>
          <w:szCs w:val="20"/>
        </w:rPr>
      </w:pPr>
      <w:r w:rsidRPr="00273B97">
        <w:rPr>
          <w:iCs/>
          <w:sz w:val="20"/>
          <w:szCs w:val="20"/>
        </w:rPr>
        <w:t xml:space="preserve">Rewitalizacja budynków mieszkalnych przy ul. Strzelców Bytomskich fragment między ulicami Piotra Woźniaka oraz Morcinka - </w:t>
      </w:r>
      <w:r w:rsidRPr="00273B97">
        <w:rPr>
          <w:rFonts w:eastAsia="Times New Roman"/>
          <w:iCs/>
          <w:sz w:val="20"/>
          <w:szCs w:val="20"/>
        </w:rPr>
        <w:t>Wspólnota Mieszkaniowa ul. Strzelców Bytomskich 18,</w:t>
      </w:r>
    </w:p>
    <w:p w:rsidR="00B8551B" w:rsidRPr="00273B97" w:rsidRDefault="00B8551B"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Rewitalizacja kamienicy przy ul. Oświęcimskiej 13 - Wspólnota Mieszkaniowa ul. Oświęcimska 13,</w:t>
      </w:r>
    </w:p>
    <w:p w:rsidR="00B8551B" w:rsidRPr="00273B97" w:rsidRDefault="00B8551B"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Rewitalizacja kamienicy przy ul. Sądowej 6 - Wspólnota Mieszkaniowa ul. Sądowa 6,</w:t>
      </w:r>
    </w:p>
    <w:p w:rsidR="00B8551B" w:rsidRPr="00273B97" w:rsidRDefault="00B8551B"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Rewitalizacja kamienicy przy ul. Jagiellońskiej 3 - Wspólnota Mieszkaniowa ul. Jagiellońska 3,</w:t>
      </w:r>
    </w:p>
    <w:p w:rsidR="00B8551B" w:rsidRPr="00273B97" w:rsidRDefault="00B8551B"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Rewitalizacja kamienicy przy ul. Jagiellońskiej 22 - Wspólnota Mieszkaniowa ul. Jagiellońska 22,</w:t>
      </w:r>
    </w:p>
    <w:p w:rsidR="00B8551B" w:rsidRPr="00273B97" w:rsidRDefault="00B8551B"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Rewitalizacja kamienicy przy ul. Jagiellońskiej 18 - Wspólnota Mieszkaniowa ul. Jagiellońska 18,</w:t>
      </w:r>
    </w:p>
    <w:p w:rsidR="00480773" w:rsidRPr="00273B97" w:rsidRDefault="00480773"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Rewitalizacja kamienicy przy ul. Jagiellońskiej 16</w:t>
      </w:r>
      <w:r w:rsidRPr="00273B97">
        <w:rPr>
          <w:noProof/>
          <w:szCs w:val="20"/>
        </w:rPr>
        <w:t xml:space="preserve"> - </w:t>
      </w:r>
      <w:r w:rsidRPr="00273B97">
        <w:rPr>
          <w:szCs w:val="20"/>
        </w:rPr>
        <w:t>Wspólnota Mieszkaniowa ul. Jagiellońska 16,</w:t>
      </w:r>
    </w:p>
    <w:p w:rsidR="00B8551B" w:rsidRPr="00273B97" w:rsidRDefault="00B8551B"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Rewitalizacja kamienicy przy ul. Dworcowej 24 - Wspólnota Mieszkaniowa ul. Dworcowa 24,</w:t>
      </w:r>
    </w:p>
    <w:p w:rsidR="00B8551B" w:rsidRPr="00273B97" w:rsidRDefault="00B8551B"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Rewitalizacja kamienicy przy ul. Jagiellońskiej 11 - Wspólnota Mieszkaniowa ul. Jagiellońska 11,</w:t>
      </w:r>
    </w:p>
    <w:p w:rsidR="00B8551B" w:rsidRPr="00273B97" w:rsidRDefault="00B8551B"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Rewitalizacja kamienicy przy ul. Drzymały 4 - Wspólnota Mieszkaniowa ul. Drzymały 4,</w:t>
      </w:r>
    </w:p>
    <w:p w:rsidR="00B8551B" w:rsidRPr="00273B97" w:rsidRDefault="00B8551B"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Rewitalizacja kamienicy przy ul. Dworcowej 14 - Wspólnota Mieszkaniowa ul. Dworcowa 14,</w:t>
      </w:r>
    </w:p>
    <w:p w:rsidR="00B8551B" w:rsidRPr="00273B97" w:rsidRDefault="00B8551B"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Rewitalizacja kamienicy przy ul. Dworcowej 15 - Wspólnota Mieszkaniowa ul. Dworcowa 15,</w:t>
      </w:r>
    </w:p>
    <w:p w:rsidR="00B8551B" w:rsidRPr="00273B97" w:rsidRDefault="006E5F26"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Rewitalizacja kamienicy przy ul. Dworcowej 20 - Wspólnota Mieszkaniowa ul. Dworcowa 20,</w:t>
      </w:r>
    </w:p>
    <w:p w:rsidR="006E5F26" w:rsidRPr="00273B97" w:rsidRDefault="006E5F26"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Rewitalizacja kamienicy przy ul. Strzelców Bytomskich 30B - Wspólnota Mieszkaniowa</w:t>
      </w:r>
      <w:r w:rsidR="00480773" w:rsidRPr="00273B97">
        <w:rPr>
          <w:szCs w:val="20"/>
        </w:rPr>
        <w:t xml:space="preserve"> </w:t>
      </w:r>
      <w:r w:rsidR="00027769">
        <w:rPr>
          <w:szCs w:val="20"/>
        </w:rPr>
        <w:br/>
      </w:r>
      <w:r w:rsidR="00480773" w:rsidRPr="00273B97">
        <w:rPr>
          <w:szCs w:val="20"/>
        </w:rPr>
        <w:t>ul. Strzelców Bytomskich 30B,</w:t>
      </w:r>
    </w:p>
    <w:p w:rsidR="00986D5B" w:rsidRPr="00273B97" w:rsidRDefault="00986D5B"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Pawilon – Studio taneczne Rozbark – Miasto Bytom,</w:t>
      </w:r>
    </w:p>
    <w:p w:rsidR="000435F8" w:rsidRPr="00273B97" w:rsidRDefault="00C34ECE"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Rewitalizacja budynku mieszkalnego przy ul. Bolesława Prusa - Wspólnota Mieszkaniowa ul. Prusa 19, ul. Prusa 24, ul. Prusa 20/Mickiewicza 8,</w:t>
      </w:r>
      <w:r w:rsidRPr="00273B97">
        <w:rPr>
          <w:noProof/>
          <w:szCs w:val="20"/>
        </w:rPr>
        <w:t xml:space="preserve"> </w:t>
      </w:r>
      <w:r w:rsidRPr="00273B97">
        <w:rPr>
          <w:szCs w:val="20"/>
        </w:rPr>
        <w:t>ul. Prusa 13-15,</w:t>
      </w:r>
    </w:p>
    <w:p w:rsidR="00C34ECE" w:rsidRPr="00273B97" w:rsidRDefault="00C34ECE"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 xml:space="preserve">Rewitalizacja budynków przy Rynku w Bytomiu - Wspólnota Mieszkaniowa ul. Krakowska 1, </w:t>
      </w:r>
      <w:r w:rsidR="00027769">
        <w:rPr>
          <w:szCs w:val="20"/>
        </w:rPr>
        <w:br/>
      </w:r>
      <w:r w:rsidRPr="00273B97">
        <w:rPr>
          <w:szCs w:val="20"/>
        </w:rPr>
        <w:t>ul. Piastów Bytomskich 11 i 13, ul. Jainty 9,</w:t>
      </w:r>
      <w:r w:rsidRPr="00273B97">
        <w:rPr>
          <w:noProof/>
          <w:szCs w:val="20"/>
        </w:rPr>
        <w:t xml:space="preserve"> </w:t>
      </w:r>
      <w:r w:rsidRPr="00273B97">
        <w:rPr>
          <w:szCs w:val="20"/>
        </w:rPr>
        <w:t>Rynek 11,</w:t>
      </w:r>
    </w:p>
    <w:p w:rsidR="00C34ECE" w:rsidRPr="00273B97" w:rsidRDefault="00C34ECE"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Rewitalizacja budynku mieszkalnego przy Placu Słowiańskim 8 w Bytomiu - Wspólnota Mieszkaniowa</w:t>
      </w:r>
      <w:r w:rsidRPr="00273B97">
        <w:rPr>
          <w:noProof/>
          <w:szCs w:val="20"/>
        </w:rPr>
        <w:t xml:space="preserve"> </w:t>
      </w:r>
      <w:r w:rsidRPr="00273B97">
        <w:rPr>
          <w:szCs w:val="20"/>
        </w:rPr>
        <w:t>Plac Słowiański 8,</w:t>
      </w:r>
    </w:p>
    <w:p w:rsidR="00C34ECE" w:rsidRPr="00273B97" w:rsidRDefault="00C34ECE"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Rewitalizacja budynku mieszkalnego przy ul. Chrobrego 30 w Bytomiu - Wspólnota Mieszkaniowa</w:t>
      </w:r>
      <w:r w:rsidRPr="00273B97">
        <w:rPr>
          <w:noProof/>
          <w:szCs w:val="20"/>
        </w:rPr>
        <w:t xml:space="preserve"> </w:t>
      </w:r>
      <w:r w:rsidRPr="00273B97">
        <w:rPr>
          <w:szCs w:val="20"/>
        </w:rPr>
        <w:t>ul. Chrobrego 30,</w:t>
      </w:r>
    </w:p>
    <w:p w:rsidR="00C34ECE" w:rsidRPr="00273B97" w:rsidRDefault="00C34ECE"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Rewitalizacja budynku mieszkalnego przy Placu Akademickim 10 w Bytomiu - Wspólnota Mieszkaniowa</w:t>
      </w:r>
      <w:r w:rsidRPr="00273B97">
        <w:rPr>
          <w:noProof/>
          <w:szCs w:val="20"/>
        </w:rPr>
        <w:t xml:space="preserve"> </w:t>
      </w:r>
      <w:r w:rsidRPr="00273B97">
        <w:rPr>
          <w:szCs w:val="20"/>
        </w:rPr>
        <w:t>Plac Akademicki 10,</w:t>
      </w:r>
    </w:p>
    <w:p w:rsidR="00C34ECE" w:rsidRPr="00273B97" w:rsidRDefault="00C34ECE"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Rewitalizacja budynku mieszkalnego przy ul. Oświęcimskiej 1 w Bytomiu - Wspólnota Mieszkaniowa ul. Oświęcimska 1,</w:t>
      </w:r>
    </w:p>
    <w:p w:rsidR="00C035DF" w:rsidRPr="00273B97" w:rsidRDefault="00C035DF"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Rewitalizacja budynku mieszkalnego przy ul. Staffa 2 w Bytomiu - Wspólnota Mieszkaniowa</w:t>
      </w:r>
      <w:r w:rsidRPr="00273B97">
        <w:rPr>
          <w:noProof/>
          <w:szCs w:val="20"/>
        </w:rPr>
        <w:t xml:space="preserve"> </w:t>
      </w:r>
      <w:r w:rsidR="00027769">
        <w:rPr>
          <w:noProof/>
          <w:szCs w:val="20"/>
        </w:rPr>
        <w:br/>
      </w:r>
      <w:r w:rsidRPr="00273B97">
        <w:rPr>
          <w:szCs w:val="20"/>
        </w:rPr>
        <w:t>ul. Staffa 2,</w:t>
      </w:r>
    </w:p>
    <w:p w:rsidR="00C035DF" w:rsidRPr="00273B97" w:rsidRDefault="00C035DF"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Rewitalizacja budynków mieszkalnych przy ul. Rostka 7/Katowickiej 27/Katowickiej 31 – fragment między ulicami Józefa Rostka i Ludwika Zamenhofa oraz Katowicką 47 - Wspólnota Mieszkaniowa ul. Katowicka 27, ul. Katowicka 31</w:t>
      </w:r>
      <w:r w:rsidRPr="00273B97">
        <w:rPr>
          <w:noProof/>
          <w:szCs w:val="20"/>
        </w:rPr>
        <w:t xml:space="preserve">, </w:t>
      </w:r>
      <w:r w:rsidRPr="00273B97">
        <w:rPr>
          <w:szCs w:val="20"/>
        </w:rPr>
        <w:t>ul. Katowicka 47,</w:t>
      </w:r>
    </w:p>
    <w:p w:rsidR="00C035DF" w:rsidRPr="00273B97" w:rsidRDefault="00C035DF"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Rewitalizacja budynków mieszkalnych przy ul. Orląt Lwowskich - fragment między ulicami Mickiewicza oraz Oświęcimską - Wspólnota Mieszkaniowa ul. Orląt Lwowskich 9/Oświęcimska 10a, ul. Orląt Lwowskich 7/Mickiewicza 11</w:t>
      </w:r>
      <w:r w:rsidRPr="00273B97">
        <w:rPr>
          <w:noProof/>
          <w:szCs w:val="20"/>
        </w:rPr>
        <w:t xml:space="preserve">, </w:t>
      </w:r>
      <w:r w:rsidRPr="00273B97">
        <w:rPr>
          <w:szCs w:val="20"/>
        </w:rPr>
        <w:t>ul. Orląt Lwowskich 8a/ ul. Orląt Lwowskich 7a, 10, 13,</w:t>
      </w:r>
    </w:p>
    <w:p w:rsidR="00C035DF" w:rsidRPr="00273B97" w:rsidRDefault="008C4188"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 xml:space="preserve">Rewitalizacja budynku mieszkalnego przy ul. Fałata 8, 10, 10a, 10b - Wspólnota Mieszkaniowa </w:t>
      </w:r>
      <w:r w:rsidR="00027769">
        <w:rPr>
          <w:szCs w:val="20"/>
        </w:rPr>
        <w:br/>
      </w:r>
      <w:r w:rsidRPr="00273B97">
        <w:rPr>
          <w:szCs w:val="20"/>
        </w:rPr>
        <w:t>ul. Fałata 8, 10, 10a, 10b,</w:t>
      </w:r>
    </w:p>
    <w:p w:rsidR="008C4188" w:rsidRPr="00273B97" w:rsidRDefault="008C4188"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Poprawa estetyki i wizerunku kamienicy - Wspólnota Mieszkaniowa</w:t>
      </w:r>
      <w:r w:rsidRPr="00273B97">
        <w:rPr>
          <w:noProof/>
          <w:szCs w:val="20"/>
        </w:rPr>
        <w:t xml:space="preserve"> </w:t>
      </w:r>
      <w:r w:rsidRPr="00273B97">
        <w:rPr>
          <w:szCs w:val="20"/>
        </w:rPr>
        <w:t>ul. Katowicka 5,</w:t>
      </w:r>
    </w:p>
    <w:p w:rsidR="008C4188" w:rsidRPr="00273B97" w:rsidRDefault="008C4188"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Rewitalizacja Katowicka 7 - Wspólnota Mieszkaniowa</w:t>
      </w:r>
      <w:r w:rsidRPr="00273B97">
        <w:rPr>
          <w:noProof/>
          <w:szCs w:val="20"/>
        </w:rPr>
        <w:t xml:space="preserve"> </w:t>
      </w:r>
      <w:r w:rsidRPr="00273B97">
        <w:rPr>
          <w:szCs w:val="20"/>
        </w:rPr>
        <w:t>ul. Katowicka 7,</w:t>
      </w:r>
    </w:p>
    <w:p w:rsidR="008C4188" w:rsidRPr="00273B97" w:rsidRDefault="008C4188"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Rewitalizacja Katowicka 9 - Wspólnota Mieszkaniowa</w:t>
      </w:r>
      <w:r w:rsidRPr="00273B97">
        <w:rPr>
          <w:noProof/>
          <w:szCs w:val="20"/>
        </w:rPr>
        <w:t xml:space="preserve"> </w:t>
      </w:r>
      <w:r w:rsidRPr="00273B97">
        <w:rPr>
          <w:szCs w:val="20"/>
        </w:rPr>
        <w:t>ul. Katowicka 9,</w:t>
      </w:r>
    </w:p>
    <w:p w:rsidR="00DD3A30" w:rsidRPr="00273B97" w:rsidRDefault="00510C87"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Rewitalizacja zespołu zabytkowego Parafii Ewangelicko-Augsburskiej</w:t>
      </w:r>
      <w:r w:rsidR="00146B41" w:rsidRPr="00273B97">
        <w:rPr>
          <w:noProof/>
          <w:szCs w:val="20"/>
        </w:rPr>
        <w:t xml:space="preserve"> </w:t>
      </w:r>
      <w:r w:rsidRPr="00273B97">
        <w:rPr>
          <w:szCs w:val="20"/>
        </w:rPr>
        <w:t>w Miechowicach - Zakończenie prac. Remont Domku Matki Ewy</w:t>
      </w:r>
      <w:r w:rsidRPr="00273B97">
        <w:rPr>
          <w:noProof/>
          <w:szCs w:val="20"/>
        </w:rPr>
        <w:t xml:space="preserve"> </w:t>
      </w:r>
      <w:r w:rsidRPr="00273B97">
        <w:rPr>
          <w:szCs w:val="20"/>
        </w:rPr>
        <w:t>z przeznaczeniem na muzeum - Parafia Ewangelicko-Augsburska</w:t>
      </w:r>
      <w:r w:rsidRPr="00273B97">
        <w:rPr>
          <w:noProof/>
          <w:szCs w:val="20"/>
        </w:rPr>
        <w:t xml:space="preserve"> </w:t>
      </w:r>
      <w:r w:rsidRPr="00273B97">
        <w:rPr>
          <w:szCs w:val="20"/>
        </w:rPr>
        <w:t>w Bytomiu – Miechowicach</w:t>
      </w:r>
      <w:r w:rsidR="00DD3A30" w:rsidRPr="00273B97">
        <w:rPr>
          <w:szCs w:val="20"/>
        </w:rPr>
        <w:t>,</w:t>
      </w:r>
    </w:p>
    <w:p w:rsidR="008C4188" w:rsidRPr="00273B97" w:rsidRDefault="00DD3A30"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 xml:space="preserve">Rewitalizacja/termomodernizacja lata 2025-2029 - ZBM/Wspólnoty Mieszkaniowe Podobszaru </w:t>
      </w:r>
      <w:r w:rsidR="00027769">
        <w:rPr>
          <w:szCs w:val="20"/>
        </w:rPr>
        <w:br/>
      </w:r>
      <w:r w:rsidRPr="00273B97">
        <w:rPr>
          <w:szCs w:val="20"/>
        </w:rPr>
        <w:t>nr 10 – Śródmieście,</w:t>
      </w:r>
    </w:p>
    <w:p w:rsidR="00DD3A30" w:rsidRPr="00581E59" w:rsidRDefault="00DD3A30"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273B97">
        <w:rPr>
          <w:szCs w:val="20"/>
        </w:rPr>
        <w:t xml:space="preserve">Rewitalizacja/termomodernizacja lata 2025-2029 - </w:t>
      </w:r>
      <w:r w:rsidRPr="00273B97">
        <w:rPr>
          <w:noProof/>
          <w:szCs w:val="20"/>
        </w:rPr>
        <w:t xml:space="preserve">ZBM/Wspólnoty Mieszkaniowe Podobszaru </w:t>
      </w:r>
      <w:r w:rsidR="00027769">
        <w:rPr>
          <w:noProof/>
          <w:szCs w:val="20"/>
        </w:rPr>
        <w:br/>
      </w:r>
      <w:r w:rsidRPr="00581E59">
        <w:rPr>
          <w:noProof/>
          <w:szCs w:val="20"/>
        </w:rPr>
        <w:t>nr 11 - Śródmieście Zachód,</w:t>
      </w:r>
    </w:p>
    <w:p w:rsidR="00DD3A30" w:rsidRPr="00581E59" w:rsidRDefault="00DD3A30"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581E59">
        <w:rPr>
          <w:szCs w:val="20"/>
        </w:rPr>
        <w:t xml:space="preserve">Rewitalizacja/termomodernizacja lata 2025-2029 - </w:t>
      </w:r>
      <w:r w:rsidRPr="00581E59">
        <w:rPr>
          <w:noProof/>
          <w:szCs w:val="20"/>
        </w:rPr>
        <w:t xml:space="preserve">ZBM/Wspólnoty Mieszkaniowe Podobszaru </w:t>
      </w:r>
      <w:r w:rsidR="00027769" w:rsidRPr="00581E59">
        <w:rPr>
          <w:noProof/>
          <w:szCs w:val="20"/>
        </w:rPr>
        <w:br/>
      </w:r>
      <w:r w:rsidRPr="00581E59">
        <w:rPr>
          <w:noProof/>
          <w:szCs w:val="20"/>
        </w:rPr>
        <w:t>nr 12 – Rozbark,</w:t>
      </w:r>
    </w:p>
    <w:p w:rsidR="00DD3A30" w:rsidRPr="00581E59" w:rsidRDefault="00DD3A30"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581E59">
        <w:rPr>
          <w:szCs w:val="20"/>
        </w:rPr>
        <w:t xml:space="preserve">Rewitalizacja/termomodernizacja lata 2025-2029 - </w:t>
      </w:r>
      <w:r w:rsidRPr="00581E59">
        <w:rPr>
          <w:noProof/>
          <w:szCs w:val="20"/>
        </w:rPr>
        <w:t xml:space="preserve">ZBM/Wspólnoty Mieszkaniowe Podobszaru </w:t>
      </w:r>
      <w:r w:rsidR="00027769" w:rsidRPr="00581E59">
        <w:rPr>
          <w:noProof/>
          <w:szCs w:val="20"/>
        </w:rPr>
        <w:br/>
      </w:r>
      <w:r w:rsidRPr="00581E59">
        <w:rPr>
          <w:noProof/>
          <w:szCs w:val="20"/>
        </w:rPr>
        <w:t xml:space="preserve">nr 13 - Śródmieście </w:t>
      </w:r>
      <w:r w:rsidR="00124F4E" w:rsidRPr="00581E59">
        <w:rPr>
          <w:noProof/>
          <w:szCs w:val="20"/>
        </w:rPr>
        <w:t>Północ,</w:t>
      </w:r>
    </w:p>
    <w:p w:rsidR="00124F4E" w:rsidRPr="00581E59" w:rsidRDefault="00124F4E"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581E59">
        <w:rPr>
          <w:szCs w:val="20"/>
        </w:rPr>
        <w:t>Rewitalizacja budynku przy ul. Żeromskiego 23-25 (były Dom Partii) na cele usług społecznych – Śląskie Lofty sp. z o.o.</w:t>
      </w:r>
      <w:r w:rsidR="0041028D" w:rsidRPr="00581E59">
        <w:rPr>
          <w:szCs w:val="20"/>
        </w:rPr>
        <w:t>,</w:t>
      </w:r>
    </w:p>
    <w:p w:rsidR="0041028D" w:rsidRPr="00581E59" w:rsidRDefault="0041028D" w:rsidP="009C1D86">
      <w:pPr>
        <w:pStyle w:val="Tekstpodstawowy"/>
        <w:numPr>
          <w:ilvl w:val="0"/>
          <w:numId w:val="734"/>
        </w:numPr>
        <w:shd w:val="clear" w:color="auto" w:fill="F2F2F2" w:themeFill="background1" w:themeFillShade="F2"/>
        <w:spacing w:after="0" w:line="252" w:lineRule="auto"/>
        <w:ind w:left="1134" w:hanging="425"/>
        <w:jc w:val="both"/>
        <w:rPr>
          <w:noProof/>
          <w:szCs w:val="20"/>
        </w:rPr>
      </w:pPr>
      <w:r w:rsidRPr="00581E59">
        <w:rPr>
          <w:noProof/>
          <w:szCs w:val="20"/>
        </w:rPr>
        <w:t>Rewitalizacja budynku Urzędu Miejskiego w Bytomiu przy ul. Parkowej 2 – Miasto Bytom.</w:t>
      </w:r>
    </w:p>
    <w:p w:rsidR="00510C87" w:rsidRPr="00510C87" w:rsidRDefault="00510C87" w:rsidP="00510C87">
      <w:pPr>
        <w:pStyle w:val="Tekstpodstawowy"/>
        <w:spacing w:after="0" w:line="252" w:lineRule="auto"/>
        <w:ind w:left="709"/>
        <w:jc w:val="both"/>
        <w:rPr>
          <w:noProof/>
          <w:szCs w:val="20"/>
        </w:rPr>
      </w:pPr>
    </w:p>
    <w:p w:rsidR="00987663" w:rsidRDefault="00987663" w:rsidP="00987663">
      <w:pPr>
        <w:jc w:val="both"/>
        <w:rPr>
          <w:rFonts w:ascii="Calibri" w:hAnsi="Calibri"/>
        </w:rPr>
      </w:pPr>
      <w:r>
        <w:rPr>
          <w:rFonts w:ascii="Calibri" w:hAnsi="Calibri"/>
        </w:rPr>
        <w:t xml:space="preserve">Powyższe przedsięwzięcia przyczynią się do realizacji następujących celów GPR: </w:t>
      </w:r>
    </w:p>
    <w:p w:rsidR="00987663" w:rsidRDefault="00987663" w:rsidP="00987663">
      <w:pPr>
        <w:numPr>
          <w:ilvl w:val="0"/>
          <w:numId w:val="680"/>
        </w:numPr>
        <w:jc w:val="both"/>
        <w:rPr>
          <w:rFonts w:ascii="Calibri" w:hAnsi="Calibri"/>
        </w:rPr>
      </w:pPr>
      <w:r>
        <w:rPr>
          <w:rFonts w:ascii="Calibri" w:hAnsi="Calibri"/>
        </w:rPr>
        <w:t>cel operacyjny 2.2 społeczności lokalne zintegrowane wokół tradycji dzielnic oraz oddolnych inicjatyw realizowanych przez mieszkańców na rzecz wspólnoty lokalnej,</w:t>
      </w:r>
    </w:p>
    <w:p w:rsidR="00987663" w:rsidRDefault="00987663" w:rsidP="00987663">
      <w:pPr>
        <w:numPr>
          <w:ilvl w:val="0"/>
          <w:numId w:val="680"/>
        </w:numPr>
        <w:jc w:val="both"/>
        <w:rPr>
          <w:rFonts w:ascii="Calibri" w:hAnsi="Calibri"/>
        </w:rPr>
      </w:pPr>
      <w:r>
        <w:rPr>
          <w:rFonts w:ascii="Calibri" w:hAnsi="Calibri"/>
        </w:rPr>
        <w:t>cel operacyjny 3.1 odpowiadająca współczesnym standardom cywilizacyjnym jakość zabudowy na obszarach rewitalizowanych oraz wzrost odpowiedzialności mieszkańców za komunalny zasób mieszkaniowy,</w:t>
      </w:r>
    </w:p>
    <w:p w:rsidR="00987663" w:rsidRDefault="00987663" w:rsidP="00987663">
      <w:pPr>
        <w:numPr>
          <w:ilvl w:val="0"/>
          <w:numId w:val="680"/>
        </w:numPr>
        <w:jc w:val="both"/>
        <w:rPr>
          <w:rFonts w:ascii="Calibri" w:hAnsi="Calibri"/>
        </w:rPr>
      </w:pPr>
      <w:r>
        <w:rPr>
          <w:rFonts w:ascii="Calibri" w:hAnsi="Calibri"/>
        </w:rPr>
        <w:t>cel operacyjny 3.2 partnerstwo władz miasta i społeczności lokalnych w podnoszeniu jakości i ochronie walorów przestrzeni publicznych,</w:t>
      </w:r>
    </w:p>
    <w:p w:rsidR="00987663" w:rsidRPr="00987663" w:rsidRDefault="00987663" w:rsidP="00963245">
      <w:pPr>
        <w:numPr>
          <w:ilvl w:val="0"/>
          <w:numId w:val="680"/>
        </w:numPr>
        <w:jc w:val="both"/>
        <w:rPr>
          <w:rFonts w:ascii="Calibri" w:hAnsi="Calibri"/>
        </w:rPr>
      </w:pPr>
      <w:r>
        <w:rPr>
          <w:rFonts w:ascii="Calibri" w:hAnsi="Calibri"/>
        </w:rPr>
        <w:t>cel operacyjny 3.3 wysoki poziom bezpieczeństwa mieszkańców wzmacniany przez dobre relacje międzysąsiedzkie i odpowiedzialność mieszkańców za innych członków społeczności lokalnej.</w:t>
      </w:r>
    </w:p>
    <w:p w:rsidR="00987663" w:rsidRDefault="00987663" w:rsidP="00963245">
      <w:pPr>
        <w:jc w:val="both"/>
        <w:rPr>
          <w:rFonts w:ascii="Calibri" w:hAnsi="Calibri"/>
          <w:szCs w:val="20"/>
        </w:rPr>
      </w:pPr>
    </w:p>
    <w:p w:rsidR="00067C16" w:rsidRDefault="00067C16" w:rsidP="00067C16">
      <w:pPr>
        <w:numPr>
          <w:ilvl w:val="0"/>
          <w:numId w:val="86"/>
        </w:numPr>
        <w:jc w:val="both"/>
        <w:rPr>
          <w:rFonts w:ascii="Calibri" w:hAnsi="Calibri"/>
          <w:b/>
          <w:bCs/>
          <w:szCs w:val="20"/>
        </w:rPr>
      </w:pPr>
      <w:r>
        <w:rPr>
          <w:rFonts w:ascii="Calibri" w:hAnsi="Calibri"/>
          <w:b/>
          <w:bCs/>
          <w:szCs w:val="20"/>
        </w:rPr>
        <w:t xml:space="preserve">Przedsięwzięcia na rzecz poprawy stanu zdrowia mieszkańców </w:t>
      </w:r>
      <w:r>
        <w:rPr>
          <w:rFonts w:ascii="Calibri" w:hAnsi="Calibri"/>
          <w:szCs w:val="20"/>
        </w:rPr>
        <w:t>obejmujące m.in.:</w:t>
      </w:r>
    </w:p>
    <w:p w:rsidR="00067C16" w:rsidRDefault="00067C16" w:rsidP="00067C16">
      <w:pPr>
        <w:numPr>
          <w:ilvl w:val="0"/>
          <w:numId w:val="13"/>
        </w:numPr>
        <w:ind w:left="1077" w:hanging="357"/>
        <w:jc w:val="both"/>
        <w:rPr>
          <w:rFonts w:ascii="Calibri" w:hAnsi="Calibri"/>
          <w:szCs w:val="20"/>
        </w:rPr>
      </w:pPr>
      <w:r>
        <w:rPr>
          <w:rFonts w:ascii="Calibri" w:hAnsi="Calibri"/>
          <w:szCs w:val="20"/>
        </w:rPr>
        <w:t>działania profilaktyczne,</w:t>
      </w:r>
    </w:p>
    <w:p w:rsidR="00067C16" w:rsidRDefault="00067C16" w:rsidP="00067C16">
      <w:pPr>
        <w:numPr>
          <w:ilvl w:val="0"/>
          <w:numId w:val="13"/>
        </w:numPr>
        <w:ind w:left="1077" w:hanging="357"/>
        <w:jc w:val="both"/>
        <w:rPr>
          <w:rFonts w:ascii="Calibri" w:hAnsi="Calibri"/>
          <w:szCs w:val="20"/>
        </w:rPr>
      </w:pPr>
      <w:r>
        <w:rPr>
          <w:rFonts w:ascii="Calibri" w:hAnsi="Calibri"/>
          <w:szCs w:val="20"/>
        </w:rPr>
        <w:t>poprawę stanu infrastruktury służby zdrowia (m.in. w zakresie geriatrii, chorób zakaźnych i pasożytniczych, kardiologii),</w:t>
      </w:r>
    </w:p>
    <w:p w:rsidR="00067C16" w:rsidRDefault="00067C16" w:rsidP="00067C16">
      <w:pPr>
        <w:numPr>
          <w:ilvl w:val="0"/>
          <w:numId w:val="13"/>
        </w:numPr>
        <w:ind w:left="1077" w:hanging="357"/>
        <w:jc w:val="both"/>
        <w:rPr>
          <w:rFonts w:ascii="Calibri" w:hAnsi="Calibri"/>
          <w:szCs w:val="20"/>
        </w:rPr>
      </w:pPr>
      <w:r>
        <w:rPr>
          <w:rFonts w:ascii="Calibri" w:hAnsi="Calibri"/>
          <w:szCs w:val="20"/>
        </w:rPr>
        <w:t>działania na rzecz wyrównywania deficytów rozwojowych dzieci z niedosłuchem, autyzmem oraz z zespołem Aspergera,</w:t>
      </w:r>
    </w:p>
    <w:p w:rsidR="00067C16" w:rsidRDefault="00067C16" w:rsidP="00067C16">
      <w:pPr>
        <w:numPr>
          <w:ilvl w:val="0"/>
          <w:numId w:val="13"/>
        </w:numPr>
        <w:ind w:left="1077" w:hanging="357"/>
        <w:jc w:val="both"/>
        <w:rPr>
          <w:rFonts w:ascii="Calibri" w:hAnsi="Calibri"/>
          <w:szCs w:val="20"/>
        </w:rPr>
      </w:pPr>
      <w:r>
        <w:rPr>
          <w:rFonts w:ascii="Calibri" w:hAnsi="Calibri"/>
          <w:szCs w:val="20"/>
        </w:rPr>
        <w:t>inicjatywy na rzecz zdrowia osób starszych,</w:t>
      </w:r>
    </w:p>
    <w:p w:rsidR="00067C16" w:rsidRDefault="00067C16" w:rsidP="00067C16">
      <w:pPr>
        <w:numPr>
          <w:ilvl w:val="0"/>
          <w:numId w:val="13"/>
        </w:numPr>
        <w:ind w:left="1077" w:hanging="357"/>
        <w:jc w:val="both"/>
        <w:rPr>
          <w:rFonts w:ascii="Calibri" w:hAnsi="Calibri"/>
          <w:szCs w:val="20"/>
        </w:rPr>
      </w:pPr>
      <w:r>
        <w:rPr>
          <w:rFonts w:ascii="Calibri" w:hAnsi="Calibri"/>
          <w:szCs w:val="20"/>
        </w:rPr>
        <w:t>inicjatywy na rzecz osób po amputacjach,</w:t>
      </w:r>
    </w:p>
    <w:p w:rsidR="00067C16" w:rsidRDefault="00067C16" w:rsidP="00067C16">
      <w:pPr>
        <w:numPr>
          <w:ilvl w:val="0"/>
          <w:numId w:val="13"/>
        </w:numPr>
        <w:ind w:left="1077" w:hanging="357"/>
        <w:jc w:val="both"/>
        <w:rPr>
          <w:rFonts w:ascii="Calibri" w:hAnsi="Calibri"/>
          <w:szCs w:val="20"/>
        </w:rPr>
      </w:pPr>
      <w:r>
        <w:rPr>
          <w:rFonts w:ascii="Calibri" w:hAnsi="Calibri"/>
          <w:szCs w:val="20"/>
        </w:rPr>
        <w:t>działania w zakresie zachowania, ratowania, przywracania lub poprawie zdrowia osób z zaburzeniami psychicznymi,</w:t>
      </w:r>
    </w:p>
    <w:p w:rsidR="00067C16" w:rsidRDefault="00067C16" w:rsidP="00067C16">
      <w:pPr>
        <w:numPr>
          <w:ilvl w:val="0"/>
          <w:numId w:val="13"/>
        </w:numPr>
        <w:ind w:left="1077" w:hanging="357"/>
        <w:jc w:val="both"/>
        <w:rPr>
          <w:rFonts w:ascii="Calibri" w:hAnsi="Calibri"/>
          <w:szCs w:val="20"/>
        </w:rPr>
      </w:pPr>
      <w:r>
        <w:rPr>
          <w:rFonts w:ascii="Calibri" w:hAnsi="Calibri"/>
          <w:szCs w:val="20"/>
        </w:rPr>
        <w:t>wsparcie w zakresie zapewnienia dostępu do kompleksowych i innowacyjnych zabiegów medycznych.</w:t>
      </w:r>
    </w:p>
    <w:p w:rsidR="000733E6" w:rsidRDefault="000733E6" w:rsidP="000733E6">
      <w:pPr>
        <w:ind w:left="720"/>
        <w:jc w:val="both"/>
        <w:rPr>
          <w:rFonts w:ascii="Calibri" w:hAnsi="Calibri"/>
          <w:szCs w:val="20"/>
        </w:rPr>
      </w:pPr>
    </w:p>
    <w:p w:rsidR="000733E6" w:rsidRPr="000733E6" w:rsidRDefault="000733E6" w:rsidP="009C1D86">
      <w:pPr>
        <w:shd w:val="clear" w:color="auto" w:fill="F2F2F2" w:themeFill="background1" w:themeFillShade="F2"/>
        <w:jc w:val="both"/>
        <w:rPr>
          <w:rFonts w:ascii="Calibri" w:hAnsi="Calibri"/>
          <w:b/>
          <w:bCs/>
          <w:szCs w:val="20"/>
        </w:rPr>
      </w:pPr>
      <w:r w:rsidRPr="00273B97">
        <w:rPr>
          <w:rFonts w:ascii="Calibri" w:hAnsi="Calibri"/>
          <w:b/>
          <w:szCs w:val="20"/>
        </w:rPr>
        <w:t>Projekty</w:t>
      </w:r>
      <w:r>
        <w:rPr>
          <w:rFonts w:ascii="Calibri" w:hAnsi="Calibri"/>
          <w:b/>
          <w:szCs w:val="20"/>
        </w:rPr>
        <w:t xml:space="preserve"> z zakresu </w:t>
      </w:r>
      <w:r>
        <w:rPr>
          <w:rFonts w:ascii="Calibri" w:hAnsi="Calibri"/>
          <w:b/>
          <w:bCs/>
          <w:szCs w:val="20"/>
        </w:rPr>
        <w:t>profilaktyki zdrowotnej:</w:t>
      </w:r>
    </w:p>
    <w:p w:rsidR="000733E6" w:rsidRPr="00581E59" w:rsidRDefault="000733E6" w:rsidP="009C1D86">
      <w:pPr>
        <w:pStyle w:val="Akapitzlist"/>
        <w:numPr>
          <w:ilvl w:val="0"/>
          <w:numId w:val="13"/>
        </w:numPr>
        <w:shd w:val="clear" w:color="auto" w:fill="F2F2F2" w:themeFill="background1" w:themeFillShade="F2"/>
        <w:spacing w:after="0" w:line="252" w:lineRule="auto"/>
        <w:jc w:val="both"/>
        <w:rPr>
          <w:sz w:val="20"/>
          <w:szCs w:val="20"/>
        </w:rPr>
      </w:pPr>
      <w:r w:rsidRPr="00581E59">
        <w:rPr>
          <w:sz w:val="20"/>
          <w:szCs w:val="20"/>
        </w:rPr>
        <w:t>Zero ryzyka dla pracownika – wspólny projekt MOPR i PUP w Bytomiu – Miasto Bytom.</w:t>
      </w:r>
    </w:p>
    <w:p w:rsidR="00067C16" w:rsidRPr="00581E59" w:rsidRDefault="00067C16" w:rsidP="00987663">
      <w:pPr>
        <w:jc w:val="both"/>
        <w:rPr>
          <w:rFonts w:ascii="Calibri" w:hAnsi="Calibri"/>
          <w:szCs w:val="20"/>
        </w:rPr>
      </w:pPr>
    </w:p>
    <w:p w:rsidR="00987663" w:rsidRDefault="00987663" w:rsidP="00987663">
      <w:pPr>
        <w:jc w:val="both"/>
        <w:rPr>
          <w:rFonts w:ascii="Calibri" w:hAnsi="Calibri"/>
        </w:rPr>
      </w:pPr>
      <w:r>
        <w:rPr>
          <w:rFonts w:ascii="Calibri" w:hAnsi="Calibri"/>
        </w:rPr>
        <w:t xml:space="preserve">Powyższe przedsięwzięcia przyczynią się do realizacji następujących celów GPR: </w:t>
      </w:r>
    </w:p>
    <w:p w:rsidR="00987663" w:rsidRDefault="00987663" w:rsidP="00987663">
      <w:pPr>
        <w:numPr>
          <w:ilvl w:val="0"/>
          <w:numId w:val="680"/>
        </w:numPr>
        <w:jc w:val="both"/>
        <w:rPr>
          <w:rFonts w:ascii="Calibri" w:hAnsi="Calibri"/>
        </w:rPr>
      </w:pPr>
      <w:r>
        <w:rPr>
          <w:rFonts w:ascii="Calibri" w:hAnsi="Calibri"/>
        </w:rPr>
        <w:t>cel operacyjny 2.1 ograniczona skala negatywnych zjawisk społecznych oraz wzrost dostępności do prorozwojowych usług publicznych,</w:t>
      </w:r>
    </w:p>
    <w:p w:rsidR="00700F9F" w:rsidRPr="00510C87" w:rsidRDefault="00987663" w:rsidP="00987663">
      <w:pPr>
        <w:numPr>
          <w:ilvl w:val="0"/>
          <w:numId w:val="680"/>
        </w:numPr>
        <w:jc w:val="both"/>
        <w:rPr>
          <w:rFonts w:ascii="Calibri" w:hAnsi="Calibri"/>
        </w:rPr>
      </w:pPr>
      <w:r>
        <w:rPr>
          <w:rFonts w:ascii="Calibri" w:hAnsi="Calibri"/>
        </w:rPr>
        <w:t>cel operacyjny 3.1 odpowiadająca współczesnym standardom cywilizacyjnym jakość zabudowy na obszarach rewitalizowanych oraz wzrost odpowiedzialności mieszkańców za komunalny zasób mieszkaniowy.</w:t>
      </w:r>
    </w:p>
    <w:p w:rsidR="00700F9F" w:rsidRDefault="00700F9F" w:rsidP="00987663">
      <w:pPr>
        <w:jc w:val="both"/>
        <w:rPr>
          <w:rFonts w:ascii="Calibri" w:hAnsi="Calibri"/>
          <w:szCs w:val="20"/>
        </w:rPr>
      </w:pPr>
    </w:p>
    <w:p w:rsidR="00067C16" w:rsidRDefault="00067C16" w:rsidP="00067C16">
      <w:pPr>
        <w:numPr>
          <w:ilvl w:val="0"/>
          <w:numId w:val="86"/>
        </w:numPr>
        <w:jc w:val="both"/>
        <w:rPr>
          <w:rFonts w:ascii="Calibri" w:hAnsi="Calibri"/>
          <w:b/>
          <w:bCs/>
          <w:szCs w:val="20"/>
        </w:rPr>
      </w:pPr>
      <w:r>
        <w:rPr>
          <w:rFonts w:ascii="Calibri" w:hAnsi="Calibri"/>
          <w:b/>
          <w:bCs/>
          <w:szCs w:val="20"/>
        </w:rPr>
        <w:t xml:space="preserve">Przedsięwzięcia z zakresu infrastruktury drogowej oraz mobilności miejskiej </w:t>
      </w:r>
      <w:r>
        <w:rPr>
          <w:rFonts w:ascii="Calibri" w:hAnsi="Calibri"/>
          <w:szCs w:val="20"/>
        </w:rPr>
        <w:t>obejmujące m.in.:</w:t>
      </w:r>
    </w:p>
    <w:p w:rsidR="00067C16" w:rsidRDefault="00067C16" w:rsidP="00067C16">
      <w:pPr>
        <w:numPr>
          <w:ilvl w:val="0"/>
          <w:numId w:val="13"/>
        </w:numPr>
        <w:ind w:left="1077" w:hanging="357"/>
        <w:jc w:val="both"/>
        <w:rPr>
          <w:rFonts w:ascii="Calibri" w:hAnsi="Calibri"/>
          <w:szCs w:val="20"/>
        </w:rPr>
      </w:pPr>
      <w:r>
        <w:rPr>
          <w:rFonts w:ascii="Calibri" w:hAnsi="Calibri"/>
          <w:szCs w:val="20"/>
        </w:rPr>
        <w:t>budowę ścieżek rowerowych i infrastruktury rowerowej (np. stojaków),</w:t>
      </w:r>
    </w:p>
    <w:p w:rsidR="00067C16" w:rsidRDefault="00067C16" w:rsidP="00067C16">
      <w:pPr>
        <w:numPr>
          <w:ilvl w:val="0"/>
          <w:numId w:val="13"/>
        </w:numPr>
        <w:ind w:left="1077" w:hanging="357"/>
        <w:jc w:val="both"/>
        <w:rPr>
          <w:rFonts w:ascii="Calibri" w:hAnsi="Calibri"/>
          <w:szCs w:val="20"/>
        </w:rPr>
      </w:pPr>
      <w:r>
        <w:rPr>
          <w:rFonts w:ascii="Calibri" w:hAnsi="Calibri"/>
          <w:szCs w:val="20"/>
        </w:rPr>
        <w:t>poprawę stanu chodników i dróg dojazdowych do budynków mieszkalnych i instytucji,</w:t>
      </w:r>
    </w:p>
    <w:p w:rsidR="003058C8" w:rsidRPr="00510C87" w:rsidRDefault="00067C16" w:rsidP="00510C87">
      <w:pPr>
        <w:numPr>
          <w:ilvl w:val="0"/>
          <w:numId w:val="13"/>
        </w:numPr>
        <w:ind w:left="1077" w:hanging="357"/>
        <w:jc w:val="both"/>
        <w:rPr>
          <w:rFonts w:ascii="Calibri" w:hAnsi="Calibri"/>
          <w:szCs w:val="20"/>
        </w:rPr>
      </w:pPr>
      <w:r>
        <w:rPr>
          <w:rFonts w:ascii="Calibri" w:hAnsi="Calibri"/>
          <w:szCs w:val="20"/>
        </w:rPr>
        <w:t>tworzenie miejsc parkingowych,</w:t>
      </w:r>
    </w:p>
    <w:p w:rsidR="00067C16" w:rsidRDefault="00067C16" w:rsidP="00067C16">
      <w:pPr>
        <w:numPr>
          <w:ilvl w:val="0"/>
          <w:numId w:val="13"/>
        </w:numPr>
        <w:ind w:left="1077" w:hanging="357"/>
        <w:jc w:val="both"/>
        <w:rPr>
          <w:rFonts w:ascii="Calibri" w:hAnsi="Calibri"/>
          <w:szCs w:val="20"/>
        </w:rPr>
      </w:pPr>
      <w:r>
        <w:rPr>
          <w:rFonts w:ascii="Calibri" w:hAnsi="Calibri"/>
          <w:szCs w:val="20"/>
        </w:rPr>
        <w:t xml:space="preserve">tworzenie stref ruchu uspokojonego oraz stref z wykorzystaniem elementów SMART City, </w:t>
      </w:r>
    </w:p>
    <w:p w:rsidR="00067C16" w:rsidRDefault="00067C16" w:rsidP="00067C16">
      <w:pPr>
        <w:numPr>
          <w:ilvl w:val="0"/>
          <w:numId w:val="13"/>
        </w:numPr>
        <w:ind w:left="1077" w:hanging="357"/>
        <w:jc w:val="both"/>
        <w:rPr>
          <w:rFonts w:ascii="Calibri" w:hAnsi="Calibri"/>
          <w:szCs w:val="20"/>
        </w:rPr>
      </w:pPr>
      <w:r>
        <w:rPr>
          <w:rFonts w:ascii="Calibri" w:hAnsi="Calibri"/>
          <w:szCs w:val="20"/>
        </w:rPr>
        <w:t>organizację otoczenia dróg (oświetlenie, pasy zieleni),</w:t>
      </w:r>
      <w:r>
        <w:rPr>
          <w:rFonts w:ascii="Calibri" w:hAnsi="Calibri"/>
          <w:szCs w:val="20"/>
        </w:rPr>
        <w:tab/>
      </w:r>
    </w:p>
    <w:p w:rsidR="00067C16" w:rsidRDefault="00067C16" w:rsidP="00067C16">
      <w:pPr>
        <w:numPr>
          <w:ilvl w:val="0"/>
          <w:numId w:val="13"/>
        </w:numPr>
        <w:ind w:left="1077" w:hanging="357"/>
        <w:jc w:val="both"/>
        <w:rPr>
          <w:rFonts w:ascii="Calibri" w:hAnsi="Calibri"/>
          <w:szCs w:val="20"/>
        </w:rPr>
      </w:pPr>
      <w:r>
        <w:rPr>
          <w:rFonts w:ascii="Calibri" w:hAnsi="Calibri"/>
          <w:szCs w:val="20"/>
        </w:rPr>
        <w:t xml:space="preserve">włączenie miasta w redefinicję roli kolei w skali regionalnej. </w:t>
      </w:r>
    </w:p>
    <w:p w:rsidR="00986D5B" w:rsidRDefault="00986D5B" w:rsidP="00986D5B">
      <w:pPr>
        <w:jc w:val="both"/>
        <w:rPr>
          <w:rFonts w:ascii="Calibri" w:hAnsi="Calibri"/>
          <w:szCs w:val="20"/>
        </w:rPr>
      </w:pPr>
    </w:p>
    <w:p w:rsidR="00986D5B" w:rsidRPr="00273B97" w:rsidRDefault="00986D5B" w:rsidP="009C1D86">
      <w:pPr>
        <w:pStyle w:val="Tekstpodstawowy"/>
        <w:shd w:val="clear" w:color="auto" w:fill="F2F2F2" w:themeFill="background1" w:themeFillShade="F2"/>
        <w:spacing w:after="0" w:line="252" w:lineRule="auto"/>
        <w:jc w:val="both"/>
        <w:rPr>
          <w:rFonts w:ascii="Calibri" w:hAnsi="Calibri"/>
          <w:szCs w:val="20"/>
        </w:rPr>
      </w:pPr>
      <w:r w:rsidRPr="00273B97">
        <w:rPr>
          <w:rFonts w:ascii="Calibri" w:hAnsi="Calibri"/>
          <w:b/>
          <w:bCs/>
          <w:szCs w:val="20"/>
        </w:rPr>
        <w:t>Projekty z zakresu infrastruktury drogowej oraz mobilności miejskiej:</w:t>
      </w:r>
    </w:p>
    <w:p w:rsidR="00067C16" w:rsidRPr="00273B97" w:rsidRDefault="00986D5B" w:rsidP="009C1D86">
      <w:pPr>
        <w:pStyle w:val="Akapitzlist"/>
        <w:numPr>
          <w:ilvl w:val="0"/>
          <w:numId w:val="741"/>
        </w:numPr>
        <w:shd w:val="clear" w:color="auto" w:fill="F2F2F2" w:themeFill="background1" w:themeFillShade="F2"/>
        <w:ind w:left="1134" w:hanging="425"/>
        <w:rPr>
          <w:sz w:val="20"/>
          <w:szCs w:val="20"/>
        </w:rPr>
      </w:pPr>
      <w:r w:rsidRPr="00273B97">
        <w:rPr>
          <w:sz w:val="20"/>
          <w:szCs w:val="20"/>
        </w:rPr>
        <w:t>Droga rowerowa wzdłuż ul. Siemianowickiej –</w:t>
      </w:r>
      <w:r w:rsidR="00146B41" w:rsidRPr="00273B97">
        <w:rPr>
          <w:sz w:val="20"/>
          <w:szCs w:val="20"/>
        </w:rPr>
        <w:t xml:space="preserve"> Miasto Bytom.</w:t>
      </w:r>
    </w:p>
    <w:p w:rsidR="00EB5C39" w:rsidRDefault="00EB5C39" w:rsidP="00EB5C39">
      <w:pPr>
        <w:jc w:val="both"/>
        <w:rPr>
          <w:rFonts w:ascii="Calibri" w:hAnsi="Calibri"/>
        </w:rPr>
      </w:pPr>
      <w:r>
        <w:rPr>
          <w:rFonts w:ascii="Calibri" w:hAnsi="Calibri"/>
        </w:rPr>
        <w:t xml:space="preserve">Powyższe przedsięwzięcia przyczynią się do realizacji następujących celów GPR: </w:t>
      </w:r>
    </w:p>
    <w:p w:rsidR="00EB5C39" w:rsidRDefault="00EB5C39" w:rsidP="00EB5C39">
      <w:pPr>
        <w:numPr>
          <w:ilvl w:val="0"/>
          <w:numId w:val="680"/>
        </w:numPr>
        <w:jc w:val="both"/>
        <w:rPr>
          <w:rFonts w:ascii="Calibri" w:hAnsi="Calibri"/>
        </w:rPr>
      </w:pPr>
      <w:r>
        <w:rPr>
          <w:rFonts w:ascii="Calibri" w:hAnsi="Calibri"/>
        </w:rPr>
        <w:t>cel operacyjny 2.1 ograniczona skala negatywnych zjawisk społecznych oraz wzrost dostępności do prorozwojowych usług publicznych,</w:t>
      </w:r>
    </w:p>
    <w:p w:rsidR="00EB5C39" w:rsidRDefault="00EB5C39" w:rsidP="00EB5C39">
      <w:pPr>
        <w:numPr>
          <w:ilvl w:val="0"/>
          <w:numId w:val="680"/>
        </w:numPr>
        <w:jc w:val="both"/>
        <w:rPr>
          <w:rFonts w:ascii="Calibri" w:hAnsi="Calibri"/>
        </w:rPr>
      </w:pPr>
      <w:r>
        <w:rPr>
          <w:rFonts w:ascii="Calibri" w:hAnsi="Calibri"/>
        </w:rPr>
        <w:t>cel operacyjny 3.2 partnerstwo władz miasta i społeczności lokalnych w podnoszeniu jakości i ochronie walorów przestrzeni publicznych,</w:t>
      </w:r>
    </w:p>
    <w:p w:rsidR="00EB5C39" w:rsidRDefault="00EB5C39" w:rsidP="00067C16">
      <w:pPr>
        <w:numPr>
          <w:ilvl w:val="0"/>
          <w:numId w:val="680"/>
        </w:numPr>
        <w:jc w:val="both"/>
        <w:rPr>
          <w:rFonts w:ascii="Calibri" w:hAnsi="Calibri"/>
        </w:rPr>
      </w:pPr>
      <w:r>
        <w:rPr>
          <w:rFonts w:ascii="Calibri" w:hAnsi="Calibri"/>
        </w:rPr>
        <w:t>cel operacyjny 3.3 wysoki poziom bezpieczeństwa mieszkańców wzmacniany przez dobre relacje międzysąsiedzkie i odpowiedzialność mieszkańców za innych członków społeczności lokalnej.</w:t>
      </w:r>
    </w:p>
    <w:p w:rsidR="00396FBE" w:rsidRPr="00146B41" w:rsidRDefault="00396FBE" w:rsidP="00396FBE">
      <w:pPr>
        <w:ind w:left="720"/>
        <w:jc w:val="both"/>
        <w:rPr>
          <w:rFonts w:ascii="Calibri" w:hAnsi="Calibri"/>
        </w:rPr>
      </w:pPr>
    </w:p>
    <w:p w:rsidR="00067C16" w:rsidRDefault="00067C16" w:rsidP="00067C16">
      <w:pPr>
        <w:numPr>
          <w:ilvl w:val="0"/>
          <w:numId w:val="86"/>
        </w:numPr>
        <w:jc w:val="both"/>
        <w:rPr>
          <w:rFonts w:ascii="Calibri" w:hAnsi="Calibri"/>
          <w:b/>
          <w:bCs/>
          <w:szCs w:val="20"/>
        </w:rPr>
      </w:pPr>
      <w:r>
        <w:rPr>
          <w:rFonts w:ascii="Calibri" w:hAnsi="Calibri"/>
          <w:b/>
          <w:bCs/>
          <w:szCs w:val="20"/>
        </w:rPr>
        <w:t xml:space="preserve">Przedsięwzięcia na rzecz poprawy bezpieczeństwa i porządku publicznego </w:t>
      </w:r>
      <w:r>
        <w:rPr>
          <w:rFonts w:ascii="Calibri" w:hAnsi="Calibri"/>
          <w:szCs w:val="20"/>
        </w:rPr>
        <w:t>obejmujące m.in.:</w:t>
      </w:r>
    </w:p>
    <w:p w:rsidR="00067C16" w:rsidRDefault="00067C16" w:rsidP="00067C16">
      <w:pPr>
        <w:numPr>
          <w:ilvl w:val="0"/>
          <w:numId w:val="13"/>
        </w:numPr>
        <w:ind w:left="1077" w:hanging="357"/>
        <w:jc w:val="both"/>
        <w:rPr>
          <w:rFonts w:ascii="Calibri" w:hAnsi="Calibri"/>
          <w:szCs w:val="20"/>
        </w:rPr>
      </w:pPr>
      <w:r>
        <w:rPr>
          <w:rFonts w:ascii="Calibri" w:hAnsi="Calibri"/>
          <w:szCs w:val="20"/>
        </w:rPr>
        <w:t>instalacja monitoringu wizyjnego,</w:t>
      </w:r>
    </w:p>
    <w:p w:rsidR="00067C16" w:rsidRDefault="00067C16" w:rsidP="00067C16">
      <w:pPr>
        <w:numPr>
          <w:ilvl w:val="0"/>
          <w:numId w:val="13"/>
        </w:numPr>
        <w:ind w:left="1077" w:hanging="357"/>
        <w:jc w:val="both"/>
        <w:rPr>
          <w:rFonts w:ascii="Calibri" w:hAnsi="Calibri"/>
          <w:szCs w:val="20"/>
        </w:rPr>
      </w:pPr>
      <w:r>
        <w:rPr>
          <w:rFonts w:ascii="Calibri" w:hAnsi="Calibri"/>
          <w:szCs w:val="20"/>
        </w:rPr>
        <w:t>montaż dodatkowego oświetlenia,</w:t>
      </w:r>
    </w:p>
    <w:p w:rsidR="00067C16" w:rsidRDefault="00067C16" w:rsidP="00067C16">
      <w:pPr>
        <w:numPr>
          <w:ilvl w:val="0"/>
          <w:numId w:val="13"/>
        </w:numPr>
        <w:ind w:left="1077" w:hanging="357"/>
        <w:jc w:val="both"/>
        <w:rPr>
          <w:rFonts w:ascii="Calibri" w:hAnsi="Calibri"/>
          <w:szCs w:val="20"/>
        </w:rPr>
      </w:pPr>
      <w:r>
        <w:rPr>
          <w:rFonts w:ascii="Calibri" w:hAnsi="Calibri"/>
          <w:szCs w:val="20"/>
        </w:rPr>
        <w:t>prace rewitalizacyjne przy obiektach Aresztu Śledczego wraz z dostosowaniem obiektu do prowadzenia działań edukacyjno-prewencyjnych,</w:t>
      </w:r>
    </w:p>
    <w:p w:rsidR="00067C16" w:rsidRDefault="00067C16" w:rsidP="00067C16">
      <w:pPr>
        <w:numPr>
          <w:ilvl w:val="0"/>
          <w:numId w:val="13"/>
        </w:numPr>
        <w:ind w:left="1077" w:hanging="357"/>
        <w:jc w:val="both"/>
        <w:rPr>
          <w:rFonts w:ascii="Calibri" w:hAnsi="Calibri"/>
          <w:szCs w:val="20"/>
        </w:rPr>
      </w:pPr>
      <w:r>
        <w:rPr>
          <w:rFonts w:ascii="Calibri" w:hAnsi="Calibri"/>
          <w:szCs w:val="20"/>
        </w:rPr>
        <w:t>prowadzenie kampanii informacyjnych i edukacyjnych na temat negatywnych skutków przemocy i zachowań agresywnych oraz rozwijanie wrażliwości mieszkańców (np. „Nie reagujesz-akceptujesz”).</w:t>
      </w:r>
    </w:p>
    <w:p w:rsidR="00067C16" w:rsidRDefault="00067C16" w:rsidP="00067C16">
      <w:pPr>
        <w:jc w:val="both"/>
        <w:rPr>
          <w:rFonts w:ascii="Calibri" w:hAnsi="Calibri"/>
          <w:szCs w:val="20"/>
        </w:rPr>
      </w:pPr>
    </w:p>
    <w:p w:rsidR="00EB5C39" w:rsidRDefault="00EB5C39" w:rsidP="00EB5C39">
      <w:pPr>
        <w:jc w:val="both"/>
        <w:rPr>
          <w:rFonts w:ascii="Calibri" w:hAnsi="Calibri"/>
        </w:rPr>
      </w:pPr>
      <w:r>
        <w:rPr>
          <w:rFonts w:ascii="Calibri" w:hAnsi="Calibri"/>
        </w:rPr>
        <w:t xml:space="preserve">Powyższe przedsięwzięcia przyczynią się do realizacji następujących celów GPR: </w:t>
      </w:r>
    </w:p>
    <w:p w:rsidR="00EB5C39" w:rsidRDefault="00EB5C39" w:rsidP="00EB5C39">
      <w:pPr>
        <w:numPr>
          <w:ilvl w:val="0"/>
          <w:numId w:val="680"/>
        </w:numPr>
        <w:jc w:val="both"/>
        <w:rPr>
          <w:rFonts w:ascii="Calibri" w:hAnsi="Calibri"/>
        </w:rPr>
      </w:pPr>
      <w:r>
        <w:rPr>
          <w:rFonts w:ascii="Calibri" w:hAnsi="Calibri"/>
        </w:rPr>
        <w:t>cel operacyjny 3.1 odpowiadająca współczesnym standardom cywilizacyjnym jakość zabudowy na obszarach rewitalizowanych oraz wzrost odpowiedzialności mieszkańców za komunalny zasób mieszkaniowy,</w:t>
      </w:r>
    </w:p>
    <w:p w:rsidR="00EB5C39" w:rsidRPr="00EB5C39" w:rsidRDefault="00EB5C39" w:rsidP="00067C16">
      <w:pPr>
        <w:numPr>
          <w:ilvl w:val="0"/>
          <w:numId w:val="680"/>
        </w:numPr>
        <w:jc w:val="both"/>
        <w:rPr>
          <w:rFonts w:ascii="Calibri" w:hAnsi="Calibri"/>
        </w:rPr>
      </w:pPr>
      <w:r>
        <w:rPr>
          <w:rFonts w:ascii="Calibri" w:hAnsi="Calibri"/>
        </w:rPr>
        <w:t>cel operacyjny 3.3 wysoki poziom bezpieczeństwa mieszkańców wzmacniany przez dobre relacje międzysąsiedzkie i odpowiedzialność mieszkańców za innych członków społeczności lokalnej.</w:t>
      </w:r>
    </w:p>
    <w:p w:rsidR="00EB5C39" w:rsidRDefault="00EB5C39" w:rsidP="00067C16">
      <w:pPr>
        <w:jc w:val="both"/>
        <w:rPr>
          <w:rFonts w:ascii="Calibri" w:hAnsi="Calibri"/>
          <w:szCs w:val="20"/>
        </w:rPr>
      </w:pPr>
    </w:p>
    <w:p w:rsidR="00067C16" w:rsidRDefault="00067C16" w:rsidP="00067C16">
      <w:pPr>
        <w:numPr>
          <w:ilvl w:val="0"/>
          <w:numId w:val="86"/>
        </w:numPr>
        <w:jc w:val="both"/>
        <w:rPr>
          <w:rFonts w:ascii="Calibri" w:hAnsi="Calibri"/>
          <w:b/>
          <w:bCs/>
          <w:szCs w:val="20"/>
        </w:rPr>
      </w:pPr>
      <w:r>
        <w:rPr>
          <w:rFonts w:ascii="Calibri" w:hAnsi="Calibri"/>
          <w:b/>
          <w:bCs/>
          <w:szCs w:val="20"/>
        </w:rPr>
        <w:t xml:space="preserve">Przedsięwzięcia z zakresu ekologii i poprawy stanu środowiska </w:t>
      </w:r>
      <w:r>
        <w:rPr>
          <w:rFonts w:ascii="Calibri" w:hAnsi="Calibri"/>
          <w:szCs w:val="20"/>
        </w:rPr>
        <w:t>obejmujące m.in.:</w:t>
      </w:r>
      <w:r>
        <w:rPr>
          <w:rFonts w:ascii="Calibri" w:hAnsi="Calibri"/>
          <w:b/>
          <w:bCs/>
          <w:szCs w:val="20"/>
        </w:rPr>
        <w:t xml:space="preserve"> </w:t>
      </w:r>
    </w:p>
    <w:p w:rsidR="00067C16" w:rsidRDefault="00067C16" w:rsidP="00067C16">
      <w:pPr>
        <w:numPr>
          <w:ilvl w:val="0"/>
          <w:numId w:val="13"/>
        </w:numPr>
        <w:ind w:left="1077" w:hanging="357"/>
        <w:jc w:val="both"/>
        <w:rPr>
          <w:rFonts w:ascii="Calibri" w:hAnsi="Calibri"/>
          <w:szCs w:val="20"/>
        </w:rPr>
      </w:pPr>
      <w:r>
        <w:rPr>
          <w:rFonts w:ascii="Calibri" w:hAnsi="Calibri"/>
          <w:szCs w:val="20"/>
        </w:rPr>
        <w:t xml:space="preserve">monitoring środowiska poprzez prowadzenie pomiarów stanu zanieczyszczeń, hałasu, itd.,  </w:t>
      </w:r>
    </w:p>
    <w:p w:rsidR="00067C16" w:rsidRDefault="00067C16" w:rsidP="00067C16">
      <w:pPr>
        <w:numPr>
          <w:ilvl w:val="0"/>
          <w:numId w:val="13"/>
        </w:numPr>
        <w:ind w:left="1077" w:hanging="357"/>
        <w:jc w:val="both"/>
        <w:rPr>
          <w:rFonts w:ascii="Calibri" w:hAnsi="Calibri"/>
          <w:szCs w:val="20"/>
        </w:rPr>
      </w:pPr>
      <w:r>
        <w:rPr>
          <w:rFonts w:ascii="Calibri" w:hAnsi="Calibri"/>
          <w:szCs w:val="20"/>
        </w:rPr>
        <w:t xml:space="preserve">likwidację dzikich wysypisk śmieci oraz wdrażanie działań mających na celu poprawę stanu czystości miasta, </w:t>
      </w:r>
    </w:p>
    <w:p w:rsidR="00067C16" w:rsidRDefault="00067C16" w:rsidP="00067C16">
      <w:pPr>
        <w:numPr>
          <w:ilvl w:val="0"/>
          <w:numId w:val="13"/>
        </w:numPr>
        <w:ind w:left="1077" w:hanging="357"/>
        <w:jc w:val="both"/>
        <w:rPr>
          <w:rFonts w:ascii="Calibri" w:hAnsi="Calibri"/>
          <w:szCs w:val="20"/>
        </w:rPr>
      </w:pPr>
      <w:r>
        <w:rPr>
          <w:rFonts w:ascii="Calibri" w:hAnsi="Calibri"/>
          <w:szCs w:val="20"/>
        </w:rPr>
        <w:t xml:space="preserve">uporządkowanie koryta oraz terenów przybrzeżnych rzeki Bytomki, </w:t>
      </w:r>
    </w:p>
    <w:p w:rsidR="00067C16" w:rsidRDefault="00067C16" w:rsidP="00067C16">
      <w:pPr>
        <w:numPr>
          <w:ilvl w:val="0"/>
          <w:numId w:val="13"/>
        </w:numPr>
        <w:ind w:left="1077" w:hanging="357"/>
        <w:jc w:val="both"/>
        <w:rPr>
          <w:rFonts w:ascii="Calibri" w:hAnsi="Calibri"/>
          <w:szCs w:val="20"/>
        </w:rPr>
      </w:pPr>
      <w:r>
        <w:rPr>
          <w:rFonts w:ascii="Calibri" w:hAnsi="Calibri"/>
          <w:szCs w:val="20"/>
        </w:rPr>
        <w:t>edukację proekologiczną i kształtowanie postaw proekologicznych,</w:t>
      </w:r>
    </w:p>
    <w:p w:rsidR="00067C16" w:rsidRDefault="00067C16" w:rsidP="00067C16">
      <w:pPr>
        <w:numPr>
          <w:ilvl w:val="0"/>
          <w:numId w:val="13"/>
        </w:numPr>
        <w:ind w:left="1077" w:hanging="357"/>
        <w:jc w:val="both"/>
        <w:rPr>
          <w:rFonts w:ascii="Calibri" w:hAnsi="Calibri"/>
          <w:szCs w:val="20"/>
        </w:rPr>
      </w:pPr>
      <w:r>
        <w:rPr>
          <w:rFonts w:ascii="Calibri" w:hAnsi="Calibri"/>
          <w:szCs w:val="20"/>
        </w:rPr>
        <w:t xml:space="preserve">uciepłownienie miasta, w tym podłączanie budynków do sieci PEC Sp. z o.o., </w:t>
      </w:r>
    </w:p>
    <w:p w:rsidR="00067C16" w:rsidRDefault="00067C16" w:rsidP="00067C16">
      <w:pPr>
        <w:numPr>
          <w:ilvl w:val="0"/>
          <w:numId w:val="13"/>
        </w:numPr>
        <w:ind w:left="1077" w:hanging="357"/>
        <w:jc w:val="both"/>
        <w:rPr>
          <w:rFonts w:ascii="Calibri" w:hAnsi="Calibri"/>
          <w:szCs w:val="20"/>
        </w:rPr>
      </w:pPr>
      <w:r>
        <w:rPr>
          <w:rFonts w:ascii="Calibri" w:hAnsi="Calibri"/>
          <w:szCs w:val="20"/>
        </w:rPr>
        <w:t xml:space="preserve">upowszechnianie wykorzystania alternatywnych źródeł energii, </w:t>
      </w:r>
    </w:p>
    <w:p w:rsidR="00067C16" w:rsidRDefault="00067C16" w:rsidP="00067C16">
      <w:pPr>
        <w:numPr>
          <w:ilvl w:val="0"/>
          <w:numId w:val="13"/>
        </w:numPr>
        <w:ind w:left="1077" w:hanging="357"/>
        <w:jc w:val="both"/>
        <w:rPr>
          <w:rFonts w:ascii="Calibri" w:hAnsi="Calibri"/>
          <w:szCs w:val="20"/>
        </w:rPr>
      </w:pPr>
      <w:r>
        <w:rPr>
          <w:rFonts w:ascii="Calibri" w:hAnsi="Calibri"/>
          <w:szCs w:val="20"/>
        </w:rPr>
        <w:t xml:space="preserve">podnoszenie energooszczędności i efektywności cieplnej budynków mieszkalnych i publicznych. </w:t>
      </w:r>
    </w:p>
    <w:p w:rsidR="00A9427E" w:rsidRPr="00273B97" w:rsidRDefault="00A9427E" w:rsidP="00EB5C39">
      <w:pPr>
        <w:jc w:val="both"/>
        <w:rPr>
          <w:rFonts w:ascii="Calibri" w:hAnsi="Calibri"/>
        </w:rPr>
      </w:pPr>
    </w:p>
    <w:p w:rsidR="00551B94" w:rsidRPr="00273B97" w:rsidRDefault="00551B94" w:rsidP="009C1D86">
      <w:pPr>
        <w:pStyle w:val="Tekstpodstawowy"/>
        <w:shd w:val="clear" w:color="auto" w:fill="F2F2F2" w:themeFill="background1" w:themeFillShade="F2"/>
        <w:spacing w:after="0" w:line="252" w:lineRule="auto"/>
        <w:jc w:val="both"/>
        <w:rPr>
          <w:rFonts w:ascii="Calibri" w:hAnsi="Calibri"/>
          <w:b/>
          <w:bCs/>
          <w:szCs w:val="20"/>
        </w:rPr>
      </w:pPr>
      <w:r w:rsidRPr="00273B97">
        <w:rPr>
          <w:rFonts w:ascii="Calibri" w:hAnsi="Calibri"/>
          <w:b/>
          <w:bCs/>
          <w:szCs w:val="20"/>
        </w:rPr>
        <w:t>Projekty z zakresu ekologii, których główna interwencja zmierza do poprawy stanu środowiska:</w:t>
      </w:r>
    </w:p>
    <w:p w:rsidR="00551B94" w:rsidRPr="00273B97" w:rsidRDefault="00551B94" w:rsidP="009C1D86">
      <w:pPr>
        <w:pStyle w:val="Tekstpodstawowy"/>
        <w:numPr>
          <w:ilvl w:val="0"/>
          <w:numId w:val="740"/>
        </w:numPr>
        <w:shd w:val="clear" w:color="auto" w:fill="F2F2F2" w:themeFill="background1" w:themeFillShade="F2"/>
        <w:spacing w:after="0" w:line="252" w:lineRule="auto"/>
        <w:ind w:left="1134" w:hanging="425"/>
        <w:jc w:val="both"/>
        <w:rPr>
          <w:szCs w:val="20"/>
        </w:rPr>
      </w:pPr>
      <w:r w:rsidRPr="00273B97">
        <w:rPr>
          <w:szCs w:val="20"/>
        </w:rPr>
        <w:t>Modernizacja energetyczna budynków sal gimnastycznych w placówkach oświatowych – Miasto Bytom,</w:t>
      </w:r>
    </w:p>
    <w:p w:rsidR="00551B94" w:rsidRPr="00273B97" w:rsidRDefault="00551B94" w:rsidP="009C1D86">
      <w:pPr>
        <w:pStyle w:val="Tekstpodstawowy"/>
        <w:numPr>
          <w:ilvl w:val="0"/>
          <w:numId w:val="740"/>
        </w:numPr>
        <w:shd w:val="clear" w:color="auto" w:fill="F2F2F2" w:themeFill="background1" w:themeFillShade="F2"/>
        <w:spacing w:after="0" w:line="252" w:lineRule="auto"/>
        <w:ind w:left="1134" w:hanging="425"/>
        <w:jc w:val="both"/>
        <w:rPr>
          <w:szCs w:val="20"/>
        </w:rPr>
      </w:pPr>
      <w:r w:rsidRPr="00273B97">
        <w:rPr>
          <w:szCs w:val="20"/>
        </w:rPr>
        <w:t>Modernizacja energetyczna budynku Bytomskiego Teatru Tańca i Ruchu „</w:t>
      </w:r>
      <w:r w:rsidR="00225504" w:rsidRPr="00273B97">
        <w:rPr>
          <w:szCs w:val="20"/>
        </w:rPr>
        <w:t>Rozbark” przy ul. Kilara 29</w:t>
      </w:r>
      <w:r w:rsidRPr="00273B97">
        <w:rPr>
          <w:szCs w:val="20"/>
        </w:rPr>
        <w:t xml:space="preserve"> w Bytomiu – Miasto Bytom,</w:t>
      </w:r>
    </w:p>
    <w:p w:rsidR="00551B94" w:rsidRPr="00273B97" w:rsidRDefault="00551B94" w:rsidP="009C1D86">
      <w:pPr>
        <w:pStyle w:val="Tekstpodstawowy"/>
        <w:numPr>
          <w:ilvl w:val="0"/>
          <w:numId w:val="740"/>
        </w:numPr>
        <w:shd w:val="clear" w:color="auto" w:fill="F2F2F2" w:themeFill="background1" w:themeFillShade="F2"/>
        <w:spacing w:after="0" w:line="252" w:lineRule="auto"/>
        <w:ind w:left="1134" w:hanging="425"/>
        <w:jc w:val="both"/>
        <w:rPr>
          <w:szCs w:val="20"/>
        </w:rPr>
      </w:pPr>
      <w:r w:rsidRPr="00273B97">
        <w:rPr>
          <w:szCs w:val="20"/>
        </w:rPr>
        <w:t>Dostawa ciepła do obiektów oddalonych od sieci ciepłowniczej w oparciu o odnawialne źródła energii na podstawie budynku przy ulicy Huty Julia 12B w Bytomiu – Miasto Bytom,</w:t>
      </w:r>
    </w:p>
    <w:p w:rsidR="00551B94" w:rsidRPr="00273B97" w:rsidRDefault="00CF7746" w:rsidP="009C1D86">
      <w:pPr>
        <w:pStyle w:val="Tekstpodstawowy"/>
        <w:numPr>
          <w:ilvl w:val="0"/>
          <w:numId w:val="740"/>
        </w:numPr>
        <w:shd w:val="clear" w:color="auto" w:fill="F2F2F2" w:themeFill="background1" w:themeFillShade="F2"/>
        <w:spacing w:after="0" w:line="252" w:lineRule="auto"/>
        <w:ind w:left="1134" w:hanging="425"/>
        <w:jc w:val="both"/>
        <w:rPr>
          <w:szCs w:val="20"/>
        </w:rPr>
      </w:pPr>
      <w:r w:rsidRPr="00273B97">
        <w:rPr>
          <w:szCs w:val="20"/>
        </w:rPr>
        <w:t>Termomodernizacja wielorodzinnych budynków mieszkalnych będących własnością Gminy Bytom – Miasto Bytom,</w:t>
      </w:r>
    </w:p>
    <w:p w:rsidR="00C035DF" w:rsidRPr="00273B97" w:rsidRDefault="00C035DF" w:rsidP="009C1D86">
      <w:pPr>
        <w:pStyle w:val="Tekstpodstawowy"/>
        <w:numPr>
          <w:ilvl w:val="0"/>
          <w:numId w:val="740"/>
        </w:numPr>
        <w:shd w:val="clear" w:color="auto" w:fill="F2F2F2" w:themeFill="background1" w:themeFillShade="F2"/>
        <w:spacing w:after="0" w:line="252" w:lineRule="auto"/>
        <w:ind w:left="1134" w:hanging="425"/>
        <w:jc w:val="both"/>
        <w:rPr>
          <w:szCs w:val="20"/>
        </w:rPr>
      </w:pPr>
      <w:r w:rsidRPr="00273B97">
        <w:rPr>
          <w:szCs w:val="20"/>
        </w:rPr>
        <w:t>Rewitalizacja budynków oraz przestrzeni w obrębie skweru Ślebody - Wspólnota Mieszkaniowa ul. Fałata 3, 3a, ul. Strzelców Bytomskich 32/ Fałata 1, ul. Strzelców Bytomskich 32a, 34, 34a, 34b,</w:t>
      </w:r>
    </w:p>
    <w:p w:rsidR="008C4188" w:rsidRPr="00273B97" w:rsidRDefault="008C4188" w:rsidP="009C1D86">
      <w:pPr>
        <w:pStyle w:val="Tekstpodstawowy"/>
        <w:numPr>
          <w:ilvl w:val="0"/>
          <w:numId w:val="740"/>
        </w:numPr>
        <w:shd w:val="clear" w:color="auto" w:fill="F2F2F2" w:themeFill="background1" w:themeFillShade="F2"/>
        <w:spacing w:after="0" w:line="252" w:lineRule="auto"/>
        <w:ind w:left="1134" w:hanging="425"/>
        <w:jc w:val="both"/>
        <w:rPr>
          <w:szCs w:val="20"/>
        </w:rPr>
      </w:pPr>
      <w:r w:rsidRPr="00273B97">
        <w:rPr>
          <w:szCs w:val="20"/>
        </w:rPr>
        <w:t xml:space="preserve">Odrestaurowanie budynku przy ul. Witczaka 63 w Bytomiu - Wspólnota Mieszkaniowa </w:t>
      </w:r>
      <w:r w:rsidR="00027769">
        <w:rPr>
          <w:szCs w:val="20"/>
        </w:rPr>
        <w:br/>
      </w:r>
      <w:r w:rsidRPr="00273B97">
        <w:rPr>
          <w:szCs w:val="20"/>
        </w:rPr>
        <w:t>ul. Witczaka 63,</w:t>
      </w:r>
    </w:p>
    <w:p w:rsidR="008C4188" w:rsidRPr="00273B97" w:rsidRDefault="008C4188" w:rsidP="009C1D86">
      <w:pPr>
        <w:pStyle w:val="Tekstpodstawowy"/>
        <w:numPr>
          <w:ilvl w:val="0"/>
          <w:numId w:val="740"/>
        </w:numPr>
        <w:shd w:val="clear" w:color="auto" w:fill="F2F2F2" w:themeFill="background1" w:themeFillShade="F2"/>
        <w:spacing w:after="0" w:line="252" w:lineRule="auto"/>
        <w:ind w:left="1134" w:hanging="425"/>
        <w:jc w:val="both"/>
        <w:rPr>
          <w:szCs w:val="20"/>
        </w:rPr>
      </w:pPr>
      <w:r w:rsidRPr="00273B97">
        <w:rPr>
          <w:szCs w:val="20"/>
        </w:rPr>
        <w:t xml:space="preserve">Odrestaurowanie budynku przy ul. Drzymały 2 w Bytomiu - Wspólnota Mieszkaniowa </w:t>
      </w:r>
      <w:r w:rsidR="00027769">
        <w:rPr>
          <w:szCs w:val="20"/>
        </w:rPr>
        <w:br/>
      </w:r>
      <w:r w:rsidRPr="00273B97">
        <w:rPr>
          <w:szCs w:val="20"/>
        </w:rPr>
        <w:t>ul. Drzymały 2,</w:t>
      </w:r>
    </w:p>
    <w:p w:rsidR="008C4188" w:rsidRPr="00581E59" w:rsidRDefault="008C4188" w:rsidP="009C1D86">
      <w:pPr>
        <w:pStyle w:val="Tekstpodstawowy"/>
        <w:numPr>
          <w:ilvl w:val="0"/>
          <w:numId w:val="740"/>
        </w:numPr>
        <w:shd w:val="clear" w:color="auto" w:fill="F2F2F2" w:themeFill="background1" w:themeFillShade="F2"/>
        <w:spacing w:after="0" w:line="252" w:lineRule="auto"/>
        <w:ind w:left="1134" w:hanging="425"/>
        <w:jc w:val="both"/>
        <w:rPr>
          <w:szCs w:val="20"/>
        </w:rPr>
      </w:pPr>
      <w:r w:rsidRPr="00581E59">
        <w:rPr>
          <w:szCs w:val="20"/>
        </w:rPr>
        <w:t>Rewitalizacja budynku przy ul. Nawrota 5 w Bytomiu - Wspólnota Mieszkaniowa ul. Nawrota 5,</w:t>
      </w:r>
    </w:p>
    <w:p w:rsidR="008C4188" w:rsidRPr="00581E59" w:rsidRDefault="008C4188" w:rsidP="009C1D86">
      <w:pPr>
        <w:pStyle w:val="Tekstpodstawowy"/>
        <w:numPr>
          <w:ilvl w:val="0"/>
          <w:numId w:val="740"/>
        </w:numPr>
        <w:shd w:val="clear" w:color="auto" w:fill="F2F2F2" w:themeFill="background1" w:themeFillShade="F2"/>
        <w:spacing w:after="0" w:line="252" w:lineRule="auto"/>
        <w:ind w:left="1134" w:hanging="425"/>
        <w:jc w:val="both"/>
        <w:rPr>
          <w:szCs w:val="20"/>
        </w:rPr>
      </w:pPr>
      <w:r w:rsidRPr="00581E59">
        <w:rPr>
          <w:szCs w:val="20"/>
        </w:rPr>
        <w:t xml:space="preserve">Rewitalizacja budynków oraz przestrzeni w obrębie ulic Plac Rodła, Fałata oraz Axentowicza </w:t>
      </w:r>
      <w:r w:rsidR="00027769" w:rsidRPr="00581E59">
        <w:rPr>
          <w:szCs w:val="20"/>
        </w:rPr>
        <w:br/>
      </w:r>
      <w:r w:rsidRPr="00581E59">
        <w:rPr>
          <w:szCs w:val="20"/>
        </w:rPr>
        <w:t>w Bytomiu - Wspólnota Mieszkaniowa Plac Rodła 1, ul. Fałata 16, ul. Axentowicza 13,</w:t>
      </w:r>
    </w:p>
    <w:p w:rsidR="00510C87" w:rsidRPr="00581E59" w:rsidRDefault="00510C87" w:rsidP="009C1D86">
      <w:pPr>
        <w:pStyle w:val="Tekstpodstawowy"/>
        <w:numPr>
          <w:ilvl w:val="0"/>
          <w:numId w:val="740"/>
        </w:numPr>
        <w:shd w:val="clear" w:color="auto" w:fill="F2F2F2" w:themeFill="background1" w:themeFillShade="F2"/>
        <w:spacing w:after="0" w:line="252" w:lineRule="auto"/>
        <w:ind w:left="1134" w:hanging="425"/>
        <w:jc w:val="both"/>
        <w:rPr>
          <w:szCs w:val="20"/>
        </w:rPr>
      </w:pPr>
      <w:r w:rsidRPr="00581E59">
        <w:rPr>
          <w:szCs w:val="20"/>
        </w:rPr>
        <w:t>Modernizacja energetyczna budynku siedziby ZBM – TBS Sp. z o.o. - ZBM – TBS Sp. z o.o.</w:t>
      </w:r>
      <w:r w:rsidR="007022D9" w:rsidRPr="00581E59">
        <w:rPr>
          <w:szCs w:val="20"/>
        </w:rPr>
        <w:t>,</w:t>
      </w:r>
    </w:p>
    <w:p w:rsidR="007022D9" w:rsidRPr="00581E59" w:rsidRDefault="007022D9" w:rsidP="009C1D86">
      <w:pPr>
        <w:pStyle w:val="Tekstpodstawowy"/>
        <w:numPr>
          <w:ilvl w:val="0"/>
          <w:numId w:val="740"/>
        </w:numPr>
        <w:shd w:val="clear" w:color="auto" w:fill="F2F2F2" w:themeFill="background1" w:themeFillShade="F2"/>
        <w:spacing w:after="0" w:line="252" w:lineRule="auto"/>
        <w:ind w:left="1134" w:hanging="425"/>
        <w:jc w:val="both"/>
        <w:rPr>
          <w:noProof/>
          <w:szCs w:val="20"/>
        </w:rPr>
      </w:pPr>
      <w:r w:rsidRPr="00581E59">
        <w:rPr>
          <w:szCs w:val="20"/>
        </w:rPr>
        <w:t xml:space="preserve">Rewitalizacja/termomodernizacja lata 2025-2029 - ZBM/Wspólnoty Mieszkaniowe Podobszaru </w:t>
      </w:r>
      <w:r w:rsidR="00027769" w:rsidRPr="00581E59">
        <w:rPr>
          <w:szCs w:val="20"/>
        </w:rPr>
        <w:br/>
      </w:r>
      <w:r w:rsidRPr="00581E59">
        <w:rPr>
          <w:szCs w:val="20"/>
        </w:rPr>
        <w:t>nr 10 – Śródmieście,</w:t>
      </w:r>
    </w:p>
    <w:p w:rsidR="007022D9" w:rsidRPr="00581E59" w:rsidRDefault="007022D9" w:rsidP="009C1D86">
      <w:pPr>
        <w:pStyle w:val="Tekstpodstawowy"/>
        <w:numPr>
          <w:ilvl w:val="0"/>
          <w:numId w:val="740"/>
        </w:numPr>
        <w:shd w:val="clear" w:color="auto" w:fill="F2F2F2" w:themeFill="background1" w:themeFillShade="F2"/>
        <w:spacing w:after="0" w:line="252" w:lineRule="auto"/>
        <w:ind w:left="1134" w:hanging="425"/>
        <w:jc w:val="both"/>
        <w:rPr>
          <w:noProof/>
          <w:szCs w:val="20"/>
        </w:rPr>
      </w:pPr>
      <w:r w:rsidRPr="00581E59">
        <w:rPr>
          <w:szCs w:val="20"/>
        </w:rPr>
        <w:t xml:space="preserve">Rewitalizacja/termomodernizacja lata 2025-2029 - </w:t>
      </w:r>
      <w:r w:rsidRPr="00581E59">
        <w:rPr>
          <w:noProof/>
          <w:szCs w:val="20"/>
        </w:rPr>
        <w:t xml:space="preserve">ZBM/Wspólnoty Mieszkaniowe Podobszaru </w:t>
      </w:r>
      <w:r w:rsidR="00027769" w:rsidRPr="00581E59">
        <w:rPr>
          <w:noProof/>
          <w:szCs w:val="20"/>
        </w:rPr>
        <w:br/>
      </w:r>
      <w:r w:rsidRPr="00581E59">
        <w:rPr>
          <w:noProof/>
          <w:szCs w:val="20"/>
        </w:rPr>
        <w:t>nr 11 - Śródmieście Zachód,</w:t>
      </w:r>
    </w:p>
    <w:p w:rsidR="007022D9" w:rsidRPr="00581E59" w:rsidRDefault="007022D9" w:rsidP="009C1D86">
      <w:pPr>
        <w:pStyle w:val="Tekstpodstawowy"/>
        <w:numPr>
          <w:ilvl w:val="0"/>
          <w:numId w:val="740"/>
        </w:numPr>
        <w:shd w:val="clear" w:color="auto" w:fill="F2F2F2" w:themeFill="background1" w:themeFillShade="F2"/>
        <w:spacing w:after="0" w:line="252" w:lineRule="auto"/>
        <w:ind w:left="1134" w:hanging="425"/>
        <w:jc w:val="both"/>
        <w:rPr>
          <w:noProof/>
          <w:szCs w:val="20"/>
        </w:rPr>
      </w:pPr>
      <w:r w:rsidRPr="00581E59">
        <w:rPr>
          <w:szCs w:val="20"/>
        </w:rPr>
        <w:t xml:space="preserve">Rewitalizacja/termomodernizacja lata 2025-2029 - </w:t>
      </w:r>
      <w:r w:rsidRPr="00581E59">
        <w:rPr>
          <w:noProof/>
          <w:szCs w:val="20"/>
        </w:rPr>
        <w:t xml:space="preserve">ZBM/Wspólnoty Mieszkaniowe Podobszaru </w:t>
      </w:r>
      <w:r w:rsidR="00027769" w:rsidRPr="00581E59">
        <w:rPr>
          <w:noProof/>
          <w:szCs w:val="20"/>
        </w:rPr>
        <w:br/>
      </w:r>
      <w:r w:rsidRPr="00581E59">
        <w:rPr>
          <w:noProof/>
          <w:szCs w:val="20"/>
        </w:rPr>
        <w:t>nr 12 – Rozbark,</w:t>
      </w:r>
    </w:p>
    <w:p w:rsidR="007022D9" w:rsidRPr="00581E59" w:rsidRDefault="007022D9" w:rsidP="009C1D86">
      <w:pPr>
        <w:pStyle w:val="Tekstpodstawowy"/>
        <w:numPr>
          <w:ilvl w:val="0"/>
          <w:numId w:val="740"/>
        </w:numPr>
        <w:shd w:val="clear" w:color="auto" w:fill="F2F2F2" w:themeFill="background1" w:themeFillShade="F2"/>
        <w:spacing w:after="0" w:line="252" w:lineRule="auto"/>
        <w:ind w:left="1134" w:hanging="425"/>
        <w:jc w:val="both"/>
        <w:rPr>
          <w:noProof/>
          <w:szCs w:val="20"/>
        </w:rPr>
      </w:pPr>
      <w:r w:rsidRPr="00581E59">
        <w:rPr>
          <w:szCs w:val="20"/>
        </w:rPr>
        <w:t xml:space="preserve">Rewitalizacja/termomodernizacja lata 2025-2029 - </w:t>
      </w:r>
      <w:r w:rsidRPr="00581E59">
        <w:rPr>
          <w:noProof/>
          <w:szCs w:val="20"/>
        </w:rPr>
        <w:t xml:space="preserve">ZBM/Wspólnoty Mieszkaniowe Podobszaru </w:t>
      </w:r>
      <w:r w:rsidR="00027769" w:rsidRPr="00581E59">
        <w:rPr>
          <w:noProof/>
          <w:szCs w:val="20"/>
        </w:rPr>
        <w:br/>
      </w:r>
      <w:r w:rsidRPr="00581E59">
        <w:rPr>
          <w:noProof/>
          <w:szCs w:val="20"/>
        </w:rPr>
        <w:t>nr 13 - Śródmieście Północ,</w:t>
      </w:r>
    </w:p>
    <w:p w:rsidR="007022D9" w:rsidRPr="00581E59" w:rsidRDefault="007022D9" w:rsidP="009C1D86">
      <w:pPr>
        <w:pStyle w:val="Tekstpodstawowy"/>
        <w:numPr>
          <w:ilvl w:val="0"/>
          <w:numId w:val="740"/>
        </w:numPr>
        <w:shd w:val="clear" w:color="auto" w:fill="F2F2F2" w:themeFill="background1" w:themeFillShade="F2"/>
        <w:spacing w:after="0" w:line="252" w:lineRule="auto"/>
        <w:ind w:left="1134" w:hanging="425"/>
        <w:jc w:val="both"/>
        <w:rPr>
          <w:b/>
          <w:noProof/>
          <w:szCs w:val="20"/>
        </w:rPr>
      </w:pPr>
      <w:r w:rsidRPr="00581E59">
        <w:rPr>
          <w:noProof/>
          <w:szCs w:val="20"/>
        </w:rPr>
        <w:t>Termomodernizacja budynku przy ul. Prusa 21 w Bytomiu,</w:t>
      </w:r>
    </w:p>
    <w:p w:rsidR="007022D9" w:rsidRPr="00581E59" w:rsidRDefault="007022D9" w:rsidP="009C1D86">
      <w:pPr>
        <w:pStyle w:val="Tekstpodstawowy"/>
        <w:numPr>
          <w:ilvl w:val="0"/>
          <w:numId w:val="740"/>
        </w:numPr>
        <w:shd w:val="clear" w:color="auto" w:fill="F2F2F2" w:themeFill="background1" w:themeFillShade="F2"/>
        <w:spacing w:after="0" w:line="252" w:lineRule="auto"/>
        <w:ind w:left="1134" w:hanging="425"/>
        <w:jc w:val="both"/>
        <w:rPr>
          <w:noProof/>
          <w:szCs w:val="20"/>
        </w:rPr>
      </w:pPr>
      <w:r w:rsidRPr="00581E59">
        <w:rPr>
          <w:noProof/>
          <w:szCs w:val="20"/>
        </w:rPr>
        <w:t>Termomodernizacja budynku przy ul. Prusa 23 w Bytomiu.</w:t>
      </w:r>
    </w:p>
    <w:p w:rsidR="00551B94" w:rsidRDefault="00551B94" w:rsidP="00EB5C39">
      <w:pPr>
        <w:jc w:val="both"/>
        <w:rPr>
          <w:rFonts w:ascii="Calibri" w:hAnsi="Calibri"/>
        </w:rPr>
      </w:pPr>
    </w:p>
    <w:p w:rsidR="00EB5C39" w:rsidRDefault="00EB5C39" w:rsidP="00EB5C39">
      <w:pPr>
        <w:jc w:val="both"/>
        <w:rPr>
          <w:rFonts w:ascii="Calibri" w:hAnsi="Calibri"/>
        </w:rPr>
      </w:pPr>
      <w:r>
        <w:rPr>
          <w:rFonts w:ascii="Calibri" w:hAnsi="Calibri"/>
        </w:rPr>
        <w:t xml:space="preserve">Powyższe przedsięwzięcia przyczynią się do realizacji następujących celów GPR: </w:t>
      </w:r>
    </w:p>
    <w:p w:rsidR="00EB5C39" w:rsidRDefault="00EB5C39" w:rsidP="00EB5C39">
      <w:pPr>
        <w:numPr>
          <w:ilvl w:val="0"/>
          <w:numId w:val="680"/>
        </w:numPr>
        <w:jc w:val="both"/>
        <w:rPr>
          <w:rFonts w:ascii="Calibri" w:hAnsi="Calibri"/>
        </w:rPr>
      </w:pPr>
      <w:r>
        <w:rPr>
          <w:rFonts w:ascii="Calibri" w:hAnsi="Calibri"/>
        </w:rPr>
        <w:t>cel operacyjny 3.1 odpowiadająca współczesnym standardom cywilizacyjnym jakość zabudowy na obszarach rewitalizowanych oraz wzrost odpowiedzialności mieszkańców za komunalny zasób mieszkaniowy,</w:t>
      </w:r>
    </w:p>
    <w:p w:rsidR="00EB5C39" w:rsidRDefault="00EB5C39" w:rsidP="00EB5C39">
      <w:pPr>
        <w:numPr>
          <w:ilvl w:val="0"/>
          <w:numId w:val="680"/>
        </w:numPr>
        <w:jc w:val="both"/>
        <w:rPr>
          <w:rFonts w:ascii="Calibri" w:hAnsi="Calibri"/>
        </w:rPr>
      </w:pPr>
      <w:r>
        <w:rPr>
          <w:rFonts w:ascii="Calibri" w:hAnsi="Calibri"/>
        </w:rPr>
        <w:t>cel operacyjny 4.1 zrekultywowane tereny poprzemysłowe przygotowane na przyjęcie nowych funkcji ważnych dla poprawy sytuacji społecznej i rozwoju rynku pracy,</w:t>
      </w:r>
    </w:p>
    <w:p w:rsidR="00EB5C39" w:rsidRDefault="00EB5C39" w:rsidP="00EB5C39">
      <w:pPr>
        <w:numPr>
          <w:ilvl w:val="0"/>
          <w:numId w:val="680"/>
        </w:numPr>
        <w:jc w:val="both"/>
        <w:rPr>
          <w:rFonts w:ascii="Calibri" w:hAnsi="Calibri"/>
        </w:rPr>
      </w:pPr>
      <w:r>
        <w:rPr>
          <w:rFonts w:ascii="Calibri" w:hAnsi="Calibri"/>
        </w:rPr>
        <w:t xml:space="preserve">cel operacyjny 4.2 przywrócona wartość obiektów historycznych, kulturowych, krajobrazowo-przyrodniczych przyczyniająca się do wzmacniania tożsamości społeczności lokalnych. </w:t>
      </w:r>
    </w:p>
    <w:p w:rsidR="00AA3767" w:rsidRDefault="00AA3767">
      <w:bookmarkStart w:id="8794" w:name="_Toc460186198"/>
      <w:bookmarkStart w:id="8795" w:name="_Toc460313327"/>
    </w:p>
    <w:p w:rsidR="00CD5E17" w:rsidRDefault="00CD5E17"/>
    <w:p w:rsidR="00CD5E17" w:rsidRDefault="00CD5E17"/>
    <w:p w:rsidR="000C70A4" w:rsidRDefault="000C70A4" w:rsidP="006D764E">
      <w:pPr>
        <w:pStyle w:val="Nagwek2"/>
        <w:numPr>
          <w:ilvl w:val="1"/>
          <w:numId w:val="189"/>
        </w:numPr>
        <w:ind w:left="431" w:hanging="431"/>
      </w:pPr>
      <w:bookmarkStart w:id="8796" w:name="_Toc474924975"/>
      <w:r>
        <w:t>Niezbędne zmiany w dokumentach strategicznych Bytomia</w:t>
      </w:r>
      <w:bookmarkEnd w:id="8794"/>
      <w:bookmarkEnd w:id="8795"/>
      <w:bookmarkEnd w:id="8796"/>
    </w:p>
    <w:p w:rsidR="000C70A4" w:rsidRPr="00861878" w:rsidRDefault="000C70A4">
      <w:pPr>
        <w:tabs>
          <w:tab w:val="left" w:pos="0"/>
        </w:tabs>
        <w:jc w:val="both"/>
        <w:rPr>
          <w:rFonts w:ascii="Calibri" w:hAnsi="Calibri"/>
          <w:sz w:val="16"/>
          <w:szCs w:val="20"/>
        </w:rPr>
      </w:pPr>
    </w:p>
    <w:p w:rsidR="00E2020B" w:rsidRPr="00861878" w:rsidRDefault="000C70A4" w:rsidP="00861878">
      <w:pPr>
        <w:tabs>
          <w:tab w:val="left" w:pos="0"/>
        </w:tabs>
        <w:spacing w:after="120"/>
        <w:ind w:firstLine="567"/>
        <w:jc w:val="both"/>
        <w:rPr>
          <w:rFonts w:ascii="Calibri" w:hAnsi="Calibri"/>
          <w:szCs w:val="20"/>
        </w:rPr>
      </w:pPr>
      <w:r>
        <w:rPr>
          <w:rFonts w:ascii="Calibri" w:hAnsi="Calibri"/>
          <w:szCs w:val="20"/>
        </w:rPr>
        <w:t>Ustawa z dnia 9 października 2015 r. o rewitalizacji przewiduje możliwość wprowadzenia gminnym programem rewitalizacji zmian w gminnych dokumentach strategicznych i </w:t>
      </w:r>
      <w:r w:rsidR="00195A20">
        <w:rPr>
          <w:rFonts w:ascii="Calibri" w:hAnsi="Calibri"/>
          <w:szCs w:val="20"/>
        </w:rPr>
        <w:t xml:space="preserve">w </w:t>
      </w:r>
      <w:r>
        <w:rPr>
          <w:rFonts w:ascii="Calibri" w:hAnsi="Calibri"/>
          <w:szCs w:val="20"/>
        </w:rPr>
        <w:t>wynikających z nich aktach prawa miejscowego, w tym w studium uwarunkowań i kierunków zagospodarowania przestrzennego gminy i</w:t>
      </w:r>
      <w:r w:rsidR="001155A6">
        <w:rPr>
          <w:rFonts w:ascii="Calibri" w:hAnsi="Calibri"/>
          <w:szCs w:val="20"/>
        </w:rPr>
        <w:t> </w:t>
      </w:r>
      <w:r>
        <w:rPr>
          <w:rFonts w:ascii="Calibri" w:hAnsi="Calibri"/>
          <w:szCs w:val="20"/>
        </w:rPr>
        <w:t>programach gospodarowania mieszkaniowym zasobem gminy.</w:t>
      </w:r>
    </w:p>
    <w:p w:rsidR="000C70A4" w:rsidRPr="006C23F2" w:rsidRDefault="000C70A4">
      <w:pPr>
        <w:autoSpaceDE w:val="0"/>
        <w:autoSpaceDN w:val="0"/>
        <w:adjustRightInd w:val="0"/>
        <w:jc w:val="both"/>
        <w:outlineLvl w:val="5"/>
        <w:rPr>
          <w:rFonts w:ascii="Calibri" w:hAnsi="Calibri"/>
          <w:b/>
          <w:bCs/>
          <w:szCs w:val="20"/>
        </w:rPr>
      </w:pPr>
      <w:r w:rsidRPr="006C23F2">
        <w:rPr>
          <w:rFonts w:ascii="Calibri" w:hAnsi="Calibri"/>
          <w:b/>
          <w:bCs/>
          <w:szCs w:val="20"/>
        </w:rPr>
        <w:t>Niezbędne zmiany w zakresie polityki społecznej Bytomia</w:t>
      </w:r>
    </w:p>
    <w:p w:rsidR="006C23F2" w:rsidRPr="00EC092F" w:rsidRDefault="006C23F2" w:rsidP="00861878">
      <w:pPr>
        <w:spacing w:after="120"/>
        <w:ind w:firstLine="709"/>
        <w:jc w:val="both"/>
        <w:rPr>
          <w:rFonts w:ascii="Calibri" w:hAnsi="Calibri"/>
          <w:szCs w:val="20"/>
        </w:rPr>
      </w:pPr>
      <w:r w:rsidRPr="006C23F2">
        <w:rPr>
          <w:rFonts w:ascii="Calibri" w:hAnsi="Calibri"/>
          <w:szCs w:val="20"/>
        </w:rPr>
        <w:t xml:space="preserve">W związku z opracowaniem i późniejszym uchwaleniem "Gminnego Programu Rewitalizacji. Bytom 2020+" nie przewiduje się zmian w </w:t>
      </w:r>
      <w:r w:rsidR="00610572">
        <w:rPr>
          <w:rFonts w:ascii="Calibri" w:hAnsi="Calibri"/>
          <w:szCs w:val="20"/>
        </w:rPr>
        <w:t>„</w:t>
      </w:r>
      <w:r w:rsidRPr="006C23F2">
        <w:rPr>
          <w:rFonts w:ascii="Calibri" w:hAnsi="Calibri"/>
          <w:szCs w:val="20"/>
        </w:rPr>
        <w:t>Strategii Rozwiązywania Problemów Społecznych Miasta Bytomia na lata 2015-2020</w:t>
      </w:r>
      <w:r w:rsidR="00610572">
        <w:rPr>
          <w:rFonts w:ascii="Calibri" w:hAnsi="Calibri"/>
          <w:szCs w:val="20"/>
        </w:rPr>
        <w:t>”</w:t>
      </w:r>
      <w:r w:rsidRPr="006C23F2">
        <w:rPr>
          <w:rFonts w:ascii="Calibri" w:hAnsi="Calibri"/>
          <w:szCs w:val="20"/>
        </w:rPr>
        <w:t xml:space="preserve"> oraz w innych aktach prawa miejscowego.</w:t>
      </w:r>
    </w:p>
    <w:p w:rsidR="000C70A4" w:rsidRDefault="000C70A4">
      <w:pPr>
        <w:autoSpaceDE w:val="0"/>
        <w:autoSpaceDN w:val="0"/>
        <w:adjustRightInd w:val="0"/>
        <w:jc w:val="both"/>
        <w:outlineLvl w:val="5"/>
        <w:rPr>
          <w:rFonts w:ascii="Calibri" w:hAnsi="Calibri"/>
          <w:b/>
          <w:bCs/>
          <w:szCs w:val="20"/>
        </w:rPr>
      </w:pPr>
      <w:r>
        <w:rPr>
          <w:rFonts w:ascii="Calibri" w:hAnsi="Calibri"/>
          <w:b/>
          <w:bCs/>
          <w:szCs w:val="20"/>
        </w:rPr>
        <w:t>Niezbędne zmiany w zakresie planowania i zagospodarowania przestrzennego Bytomia</w:t>
      </w:r>
    </w:p>
    <w:p w:rsidR="000C70A4" w:rsidRDefault="000C70A4" w:rsidP="00195A20">
      <w:pPr>
        <w:autoSpaceDE w:val="0"/>
        <w:autoSpaceDN w:val="0"/>
        <w:adjustRightInd w:val="0"/>
        <w:ind w:firstLine="567"/>
        <w:jc w:val="both"/>
        <w:rPr>
          <w:rFonts w:ascii="Calibri" w:hAnsi="Calibri"/>
          <w:szCs w:val="20"/>
        </w:rPr>
      </w:pPr>
      <w:r>
        <w:rPr>
          <w:rFonts w:ascii="Calibri" w:hAnsi="Calibri"/>
          <w:szCs w:val="20"/>
        </w:rPr>
        <w:t>W związku z uchwaleniem niniejszego Programu nie przewiduje się zmian w Studium uwarunkowań i</w:t>
      </w:r>
      <w:r w:rsidR="001155A6">
        <w:rPr>
          <w:rFonts w:ascii="Calibri" w:hAnsi="Calibri"/>
          <w:szCs w:val="20"/>
        </w:rPr>
        <w:t> </w:t>
      </w:r>
      <w:r>
        <w:rPr>
          <w:rFonts w:ascii="Calibri" w:hAnsi="Calibri"/>
          <w:szCs w:val="20"/>
        </w:rPr>
        <w:t>kierunków zagospodarowania przestrzennego Gminy Bytom. Obowiązujące miejscowe plany zagospodarowania przestrzennego są zgodne z „Gminnym Programem Rewitalizacji</w:t>
      </w:r>
      <w:r w:rsidR="001155A6">
        <w:rPr>
          <w:rFonts w:ascii="Calibri" w:hAnsi="Calibri"/>
          <w:szCs w:val="20"/>
        </w:rPr>
        <w:t>.</w:t>
      </w:r>
      <w:r>
        <w:rPr>
          <w:rFonts w:ascii="Calibri" w:hAnsi="Calibri"/>
          <w:szCs w:val="20"/>
        </w:rPr>
        <w:t xml:space="preserve"> Bytom 2020+”.</w:t>
      </w:r>
      <w:r w:rsidR="00195A20">
        <w:rPr>
          <w:rFonts w:ascii="Calibri" w:hAnsi="Calibri"/>
          <w:szCs w:val="20"/>
        </w:rPr>
        <w:t xml:space="preserve"> </w:t>
      </w:r>
      <w:r>
        <w:rPr>
          <w:rFonts w:ascii="Calibri" w:hAnsi="Calibri"/>
          <w:szCs w:val="20"/>
        </w:rPr>
        <w:t>Zgodne z</w:t>
      </w:r>
      <w:r w:rsidR="00195A20">
        <w:rPr>
          <w:rFonts w:ascii="Calibri" w:hAnsi="Calibri"/>
          <w:szCs w:val="20"/>
        </w:rPr>
        <w:t> </w:t>
      </w:r>
      <w:r>
        <w:rPr>
          <w:rFonts w:ascii="Calibri" w:hAnsi="Calibri"/>
          <w:szCs w:val="20"/>
        </w:rPr>
        <w:t>GPR są także plany miejscowe opracowywane na obszarze rewitalizacji w chwili uchwalania Programu.</w:t>
      </w:r>
    </w:p>
    <w:p w:rsidR="000C70A4" w:rsidRDefault="000C70A4">
      <w:pPr>
        <w:autoSpaceDE w:val="0"/>
        <w:autoSpaceDN w:val="0"/>
        <w:adjustRightInd w:val="0"/>
        <w:ind w:firstLine="567"/>
        <w:jc w:val="both"/>
        <w:rPr>
          <w:rFonts w:ascii="Calibri" w:hAnsi="Calibri"/>
          <w:szCs w:val="20"/>
        </w:rPr>
      </w:pPr>
      <w:r>
        <w:rPr>
          <w:rFonts w:ascii="Calibri" w:hAnsi="Calibri"/>
          <w:szCs w:val="20"/>
        </w:rPr>
        <w:t>Aktualnie trwają prace związane ze sporządzeniem miejscowego planu z</w:t>
      </w:r>
      <w:r w:rsidR="008C1D29">
        <w:rPr>
          <w:rFonts w:ascii="Calibri" w:hAnsi="Calibri"/>
          <w:szCs w:val="20"/>
        </w:rPr>
        <w:t>agospodarowania przestrzennego Ś</w:t>
      </w:r>
      <w:r>
        <w:rPr>
          <w:rFonts w:ascii="Calibri" w:hAnsi="Calibri"/>
          <w:szCs w:val="20"/>
        </w:rPr>
        <w:t>ródmieścia Bytomia prowadzone na mocy uchwały nr XVII/222/11 Rady Miejskiej w Bytomiu z</w:t>
      </w:r>
      <w:r w:rsidR="001155A6">
        <w:rPr>
          <w:rFonts w:ascii="Calibri" w:hAnsi="Calibri"/>
          <w:szCs w:val="20"/>
        </w:rPr>
        <w:t> </w:t>
      </w:r>
      <w:r>
        <w:rPr>
          <w:rFonts w:ascii="Calibri" w:hAnsi="Calibri"/>
          <w:szCs w:val="20"/>
        </w:rPr>
        <w:t>dnia 28 września 2011 r. Docelowo zastąpi on miejscowy plan z</w:t>
      </w:r>
      <w:r w:rsidR="00A60B89">
        <w:rPr>
          <w:rFonts w:ascii="Calibri" w:hAnsi="Calibri"/>
          <w:szCs w:val="20"/>
        </w:rPr>
        <w:t>agospodarowania przestrzennego Ś</w:t>
      </w:r>
      <w:r>
        <w:rPr>
          <w:rFonts w:ascii="Calibri" w:hAnsi="Calibri"/>
          <w:szCs w:val="20"/>
        </w:rPr>
        <w:t>ródmieścia Bytomia pod nazwą „Plan Rewitalizacji i Rozwoju Śródmieścia (ReRoŚ)”, przyjęty uchwałą nr XXIX/458/2004 Rady Miejskiej w Bytomiu z dnia 25 sierpnia 2004 r. ogłoszoną w Dzienniku Urzędowym Województwa Śląskiego nr 99, poz. 2806 z 20 października 2004 r. (z późn. zm.).</w:t>
      </w:r>
    </w:p>
    <w:p w:rsidR="000C70A4" w:rsidRDefault="000C70A4" w:rsidP="00FC599D">
      <w:pPr>
        <w:autoSpaceDE w:val="0"/>
        <w:autoSpaceDN w:val="0"/>
        <w:adjustRightInd w:val="0"/>
        <w:jc w:val="both"/>
        <w:rPr>
          <w:rFonts w:ascii="Calibri" w:hAnsi="Calibri"/>
          <w:szCs w:val="20"/>
        </w:rPr>
      </w:pPr>
      <w:r>
        <w:rPr>
          <w:rFonts w:ascii="Calibri" w:hAnsi="Calibri"/>
          <w:szCs w:val="20"/>
        </w:rPr>
        <w:t>Opracowywany plan z</w:t>
      </w:r>
      <w:r w:rsidR="00A60B89">
        <w:rPr>
          <w:rFonts w:ascii="Calibri" w:hAnsi="Calibri"/>
          <w:szCs w:val="20"/>
        </w:rPr>
        <w:t>agospodarowania przestrzennego Ś</w:t>
      </w:r>
      <w:r>
        <w:rPr>
          <w:rFonts w:ascii="Calibri" w:hAnsi="Calibri"/>
          <w:szCs w:val="20"/>
        </w:rPr>
        <w:t>ródmieścia Bytomia obejmie teren ograniczony od:</w:t>
      </w:r>
    </w:p>
    <w:p w:rsidR="000C70A4" w:rsidRDefault="000C70A4" w:rsidP="00F56E18">
      <w:pPr>
        <w:numPr>
          <w:ilvl w:val="0"/>
          <w:numId w:val="14"/>
        </w:numPr>
        <w:autoSpaceDE w:val="0"/>
        <w:autoSpaceDN w:val="0"/>
        <w:adjustRightInd w:val="0"/>
        <w:ind w:left="714" w:hanging="357"/>
        <w:jc w:val="both"/>
        <w:rPr>
          <w:rFonts w:ascii="Calibri" w:hAnsi="Calibri"/>
          <w:szCs w:val="20"/>
        </w:rPr>
      </w:pPr>
      <w:r>
        <w:rPr>
          <w:rFonts w:ascii="Calibri" w:hAnsi="Calibri"/>
          <w:szCs w:val="20"/>
        </w:rPr>
        <w:t xml:space="preserve">wschodu ul. Stanisława Witczaka i ul. Chorzowską, </w:t>
      </w:r>
    </w:p>
    <w:p w:rsidR="000C70A4" w:rsidRDefault="000C70A4" w:rsidP="00F56E18">
      <w:pPr>
        <w:numPr>
          <w:ilvl w:val="0"/>
          <w:numId w:val="14"/>
        </w:numPr>
        <w:autoSpaceDE w:val="0"/>
        <w:autoSpaceDN w:val="0"/>
        <w:adjustRightInd w:val="0"/>
        <w:ind w:left="714" w:hanging="357"/>
        <w:jc w:val="both"/>
        <w:rPr>
          <w:rFonts w:ascii="Calibri" w:hAnsi="Calibri"/>
          <w:szCs w:val="20"/>
        </w:rPr>
      </w:pPr>
      <w:r>
        <w:rPr>
          <w:rFonts w:ascii="Calibri" w:hAnsi="Calibri"/>
          <w:szCs w:val="20"/>
        </w:rPr>
        <w:t>północy ul. Sandomierską, ul. Powstańców Śląskich i jej przedłużeniem,</w:t>
      </w:r>
    </w:p>
    <w:p w:rsidR="000C70A4" w:rsidRDefault="000C70A4" w:rsidP="00F56E18">
      <w:pPr>
        <w:numPr>
          <w:ilvl w:val="0"/>
          <w:numId w:val="14"/>
        </w:numPr>
        <w:autoSpaceDE w:val="0"/>
        <w:autoSpaceDN w:val="0"/>
        <w:adjustRightInd w:val="0"/>
        <w:ind w:left="714" w:hanging="357"/>
        <w:jc w:val="both"/>
        <w:rPr>
          <w:rFonts w:ascii="Calibri" w:hAnsi="Calibri"/>
          <w:szCs w:val="20"/>
        </w:rPr>
      </w:pPr>
      <w:r>
        <w:rPr>
          <w:rFonts w:ascii="Calibri" w:hAnsi="Calibri"/>
          <w:szCs w:val="20"/>
        </w:rPr>
        <w:t>zachodu ul. Piłkarską, ul. Łużycką i jej przedłużeniem</w:t>
      </w:r>
      <w:r w:rsidR="0041695A">
        <w:rPr>
          <w:rFonts w:ascii="Calibri" w:hAnsi="Calibri"/>
          <w:szCs w:val="20"/>
        </w:rPr>
        <w:t>,</w:t>
      </w:r>
    </w:p>
    <w:p w:rsidR="000C70A4" w:rsidRDefault="000C70A4" w:rsidP="00E2020B">
      <w:pPr>
        <w:numPr>
          <w:ilvl w:val="0"/>
          <w:numId w:val="14"/>
        </w:numPr>
        <w:autoSpaceDE w:val="0"/>
        <w:autoSpaceDN w:val="0"/>
        <w:adjustRightInd w:val="0"/>
        <w:spacing w:after="100"/>
        <w:ind w:left="714" w:hanging="357"/>
        <w:jc w:val="both"/>
        <w:rPr>
          <w:rFonts w:ascii="Calibri" w:hAnsi="Calibri"/>
          <w:szCs w:val="20"/>
        </w:rPr>
      </w:pPr>
      <w:r>
        <w:rPr>
          <w:rFonts w:ascii="Calibri" w:hAnsi="Calibri"/>
          <w:szCs w:val="20"/>
        </w:rPr>
        <w:t>południa terenami kolei.</w:t>
      </w:r>
    </w:p>
    <w:p w:rsidR="000C70A4" w:rsidRDefault="000C70A4" w:rsidP="00244638">
      <w:pPr>
        <w:autoSpaceDE w:val="0"/>
        <w:autoSpaceDN w:val="0"/>
        <w:adjustRightInd w:val="0"/>
        <w:jc w:val="both"/>
        <w:rPr>
          <w:rFonts w:ascii="Calibri" w:hAnsi="Calibri"/>
          <w:szCs w:val="20"/>
        </w:rPr>
      </w:pPr>
      <w:r>
        <w:rPr>
          <w:rFonts w:ascii="Calibri" w:hAnsi="Calibri"/>
          <w:szCs w:val="20"/>
        </w:rPr>
        <w:t>Określi on zasady ochrony i kształtowania ładu przestrzennego, sprecyzuje parametry i wskaźniki kształtowania zabudowy oraz zagospodarowania terenu, a także inne uwarunkowania wynikające z przepisów ustawy o</w:t>
      </w:r>
      <w:r w:rsidR="00244638">
        <w:rPr>
          <w:rFonts w:ascii="Calibri" w:hAnsi="Calibri"/>
          <w:szCs w:val="20"/>
        </w:rPr>
        <w:t> </w:t>
      </w:r>
      <w:r>
        <w:rPr>
          <w:rFonts w:ascii="Calibri" w:hAnsi="Calibri"/>
          <w:szCs w:val="20"/>
        </w:rPr>
        <w:t>planowaniu i zagospodarowaniu przestrzennym. Uchwalenie planu dla tego obszaru pozwoli na uporządkowanie istniejącej zabudowy oraz racjonalne zagospodarowanie terenów niezabudowanych. Ustalenia planu będą zgodne z głównymi zamierzeniami polityki przestrzennej Bytomia, wyrażonymi w obowiązującym od 2011 r. „Studium uwarunkowań i zagospodarowania przestrzennego Gminy Bytom”.</w:t>
      </w:r>
    </w:p>
    <w:p w:rsidR="000C70A4" w:rsidRPr="00EC092F" w:rsidRDefault="000C70A4" w:rsidP="00861878">
      <w:pPr>
        <w:autoSpaceDE w:val="0"/>
        <w:autoSpaceDN w:val="0"/>
        <w:adjustRightInd w:val="0"/>
        <w:spacing w:after="120"/>
        <w:ind w:firstLine="709"/>
        <w:jc w:val="both"/>
        <w:rPr>
          <w:rFonts w:ascii="Calibri" w:hAnsi="Calibri"/>
          <w:szCs w:val="20"/>
        </w:rPr>
      </w:pPr>
      <w:r>
        <w:rPr>
          <w:rFonts w:ascii="Calibri" w:hAnsi="Calibri"/>
          <w:szCs w:val="20"/>
        </w:rPr>
        <w:t>W związku z uchwaleniem „Gminnego Programu Rewitalizacji. Bytom 2020+” nie wskazuje się miejscowych planów zagospodarowania przestrzennego koniecznych do uchwalenia albo zmiany. Nie przewiduje się także konieczności uchwalenia miejscowego planu rewitalizacji, o którym mowa w art. 37f ust. 1 ustawy z dnia 27</w:t>
      </w:r>
      <w:r w:rsidR="001B16CB">
        <w:rPr>
          <w:rFonts w:ascii="Calibri" w:hAnsi="Calibri"/>
          <w:szCs w:val="20"/>
        </w:rPr>
        <w:t> </w:t>
      </w:r>
      <w:r>
        <w:rPr>
          <w:rFonts w:ascii="Calibri" w:hAnsi="Calibri"/>
          <w:szCs w:val="20"/>
        </w:rPr>
        <w:t>marca 2003 r. o planowaniu i zagospodarowaniu przestrzennym.</w:t>
      </w:r>
    </w:p>
    <w:p w:rsidR="000C70A4" w:rsidRDefault="000C70A4">
      <w:pPr>
        <w:autoSpaceDE w:val="0"/>
        <w:autoSpaceDN w:val="0"/>
        <w:adjustRightInd w:val="0"/>
        <w:jc w:val="both"/>
        <w:outlineLvl w:val="5"/>
        <w:rPr>
          <w:rFonts w:ascii="Calibri" w:hAnsi="Calibri"/>
          <w:b/>
          <w:bCs/>
          <w:szCs w:val="20"/>
        </w:rPr>
      </w:pPr>
      <w:r>
        <w:rPr>
          <w:rFonts w:ascii="Calibri" w:hAnsi="Calibri"/>
          <w:b/>
          <w:bCs/>
          <w:szCs w:val="20"/>
        </w:rPr>
        <w:t>Niezbędne zmiany w polityce mieszkaniowej Bytomia</w:t>
      </w:r>
    </w:p>
    <w:p w:rsidR="000C70A4" w:rsidRDefault="000C70A4" w:rsidP="001F416F">
      <w:pPr>
        <w:autoSpaceDE w:val="0"/>
        <w:autoSpaceDN w:val="0"/>
        <w:adjustRightInd w:val="0"/>
        <w:ind w:firstLine="708"/>
        <w:jc w:val="both"/>
        <w:rPr>
          <w:rFonts w:ascii="Calibri" w:hAnsi="Calibri"/>
          <w:szCs w:val="20"/>
        </w:rPr>
      </w:pPr>
      <w:r>
        <w:rPr>
          <w:rFonts w:ascii="Calibri" w:hAnsi="Calibri"/>
          <w:szCs w:val="20"/>
        </w:rPr>
        <w:t>W związku z opracowaniem gminnego programu rewitalizacji przewiduje się wprowadzenie zmian w</w:t>
      </w:r>
      <w:r w:rsidR="004624B7">
        <w:rPr>
          <w:rFonts w:ascii="Calibri" w:hAnsi="Calibri"/>
          <w:szCs w:val="20"/>
        </w:rPr>
        <w:t> </w:t>
      </w:r>
      <w:r>
        <w:rPr>
          <w:rFonts w:ascii="Calibri" w:hAnsi="Calibri"/>
          <w:szCs w:val="20"/>
        </w:rPr>
        <w:t>uchwałach definiujących politykę mieszkaniową gminy:</w:t>
      </w:r>
    </w:p>
    <w:p w:rsidR="000C70A4" w:rsidRDefault="000C70A4" w:rsidP="00F56E18">
      <w:pPr>
        <w:numPr>
          <w:ilvl w:val="0"/>
          <w:numId w:val="8"/>
        </w:numPr>
        <w:autoSpaceDE w:val="0"/>
        <w:autoSpaceDN w:val="0"/>
        <w:adjustRightInd w:val="0"/>
        <w:ind w:left="714" w:hanging="357"/>
        <w:jc w:val="both"/>
        <w:rPr>
          <w:rFonts w:ascii="Calibri" w:hAnsi="Calibri"/>
          <w:szCs w:val="20"/>
        </w:rPr>
      </w:pPr>
      <w:r>
        <w:rPr>
          <w:rFonts w:ascii="Calibri" w:hAnsi="Calibri"/>
          <w:szCs w:val="20"/>
        </w:rPr>
        <w:t>nr XV/205/13 Rady Miejskiej w Bytomiu z dnia 27 maja 2013 r. w sprawie zasad wynajmowania lokali wchodzących w skład mieszkaniowego zasobu gminy Bytom (z późn. zm.),</w:t>
      </w:r>
    </w:p>
    <w:p w:rsidR="000C70A4" w:rsidRDefault="000C70A4" w:rsidP="00F56E18">
      <w:pPr>
        <w:numPr>
          <w:ilvl w:val="0"/>
          <w:numId w:val="8"/>
        </w:numPr>
        <w:autoSpaceDE w:val="0"/>
        <w:autoSpaceDN w:val="0"/>
        <w:adjustRightInd w:val="0"/>
        <w:spacing w:after="120"/>
        <w:ind w:left="714" w:hanging="357"/>
        <w:jc w:val="both"/>
        <w:rPr>
          <w:rFonts w:ascii="Calibri" w:hAnsi="Calibri"/>
          <w:szCs w:val="20"/>
        </w:rPr>
      </w:pPr>
      <w:r>
        <w:rPr>
          <w:rFonts w:ascii="Calibri" w:hAnsi="Calibri"/>
          <w:szCs w:val="20"/>
        </w:rPr>
        <w:t>nr XXIV/330/13 Rady Miejskiej w Bytomiu z dnia 16 grudnia 2013 r. w sprawie przyjęcia „Wieloletniego programu gospodarowania mieszkaniowym zasobem gminy Bytom na lata 2014-2019”.</w:t>
      </w:r>
    </w:p>
    <w:p w:rsidR="000C70A4" w:rsidRDefault="000C70A4" w:rsidP="001F416F">
      <w:pPr>
        <w:autoSpaceDE w:val="0"/>
        <w:autoSpaceDN w:val="0"/>
        <w:adjustRightInd w:val="0"/>
        <w:jc w:val="both"/>
        <w:rPr>
          <w:rFonts w:ascii="Calibri" w:hAnsi="Calibri"/>
          <w:szCs w:val="20"/>
        </w:rPr>
      </w:pPr>
      <w:r>
        <w:rPr>
          <w:rFonts w:ascii="Calibri" w:hAnsi="Calibri"/>
          <w:szCs w:val="20"/>
        </w:rPr>
        <w:t>Planowane nowelizacje ww. uchwał w szczególności będą dotyczyły kwestii związanych ze sposobem i</w:t>
      </w:r>
      <w:r w:rsidR="004624B7">
        <w:rPr>
          <w:rFonts w:ascii="Calibri" w:hAnsi="Calibri"/>
          <w:szCs w:val="20"/>
        </w:rPr>
        <w:t> </w:t>
      </w:r>
      <w:r>
        <w:rPr>
          <w:rFonts w:ascii="Calibri" w:hAnsi="Calibri"/>
          <w:szCs w:val="20"/>
        </w:rPr>
        <w:t>trybem zagospodarowania lokali mieszkalnych po zakończeniu przedsięwzięć rewitalizacyjnych.</w:t>
      </w:r>
      <w:r w:rsidR="00D32B2B">
        <w:rPr>
          <w:rFonts w:ascii="Calibri" w:hAnsi="Calibri"/>
          <w:szCs w:val="20"/>
        </w:rPr>
        <w:t xml:space="preserve"> </w:t>
      </w:r>
      <w:r>
        <w:rPr>
          <w:rFonts w:ascii="Calibri" w:hAnsi="Calibri"/>
          <w:szCs w:val="20"/>
        </w:rPr>
        <w:t>Podobna nowelizacja związana będzie ze sposobem zagospodarowania pozyskanych w wyniku prac rewitalizacyjnych wolnych lokali użytkowych. Wobec czego, przewiduje się w tym zakresie zmianę obowiązującej uchwały nr XV/181/07 Rady Miejskiej w Bytomiu z dnia 28 sierpnia 2007 r. w sprawie: zasad gospodarowania lo</w:t>
      </w:r>
      <w:r w:rsidR="00244638">
        <w:rPr>
          <w:rFonts w:ascii="Calibri" w:hAnsi="Calibri"/>
          <w:szCs w:val="20"/>
        </w:rPr>
        <w:t>kalami użytkowymi (z</w:t>
      </w:r>
      <w:r w:rsidR="00315DDC">
        <w:rPr>
          <w:rFonts w:ascii="Calibri" w:hAnsi="Calibri"/>
          <w:szCs w:val="20"/>
        </w:rPr>
        <w:t> </w:t>
      </w:r>
      <w:r w:rsidR="00244638">
        <w:rPr>
          <w:rFonts w:ascii="Calibri" w:hAnsi="Calibri"/>
          <w:szCs w:val="20"/>
        </w:rPr>
        <w:t>późn.</w:t>
      </w:r>
      <w:r w:rsidR="00315DDC">
        <w:rPr>
          <w:rFonts w:ascii="Calibri" w:hAnsi="Calibri"/>
          <w:szCs w:val="20"/>
        </w:rPr>
        <w:t> </w:t>
      </w:r>
      <w:r w:rsidR="00244638">
        <w:rPr>
          <w:rFonts w:ascii="Calibri" w:hAnsi="Calibri"/>
          <w:szCs w:val="20"/>
        </w:rPr>
        <w:t xml:space="preserve">zm.). </w:t>
      </w:r>
      <w:r>
        <w:rPr>
          <w:rFonts w:ascii="Calibri" w:hAnsi="Calibri"/>
          <w:szCs w:val="20"/>
        </w:rPr>
        <w:t>Odpowiednie zmiany zostaną także wprowadzone w</w:t>
      </w:r>
      <w:r w:rsidR="004624B7">
        <w:rPr>
          <w:rFonts w:ascii="Calibri" w:hAnsi="Calibri"/>
          <w:szCs w:val="20"/>
        </w:rPr>
        <w:t> </w:t>
      </w:r>
      <w:r>
        <w:rPr>
          <w:rFonts w:ascii="Calibri" w:hAnsi="Calibri"/>
          <w:szCs w:val="20"/>
        </w:rPr>
        <w:t>przepisach wykonawczych do ww. aktów prawnych.</w:t>
      </w:r>
    </w:p>
    <w:p w:rsidR="000C70A4" w:rsidRDefault="000C70A4">
      <w:pPr>
        <w:autoSpaceDE w:val="0"/>
        <w:autoSpaceDN w:val="0"/>
        <w:adjustRightInd w:val="0"/>
        <w:jc w:val="both"/>
        <w:outlineLvl w:val="5"/>
        <w:rPr>
          <w:rFonts w:ascii="Calibri" w:hAnsi="Calibri"/>
          <w:b/>
          <w:bCs/>
          <w:szCs w:val="20"/>
        </w:rPr>
      </w:pPr>
      <w:r>
        <w:rPr>
          <w:rFonts w:ascii="Calibri" w:hAnsi="Calibri"/>
          <w:b/>
          <w:bCs/>
          <w:szCs w:val="20"/>
        </w:rPr>
        <w:t>Niezbędne zmiany w zakresie opieki nad zabytkami Bytomia</w:t>
      </w:r>
    </w:p>
    <w:p w:rsidR="00ED2BD6" w:rsidRDefault="006B72C6" w:rsidP="00ED2BD6">
      <w:pPr>
        <w:autoSpaceDE w:val="0"/>
        <w:autoSpaceDN w:val="0"/>
        <w:adjustRightInd w:val="0"/>
        <w:ind w:firstLine="567"/>
        <w:jc w:val="both"/>
        <w:rPr>
          <w:rFonts w:ascii="Calibri" w:hAnsi="Calibri"/>
          <w:szCs w:val="20"/>
        </w:rPr>
      </w:pPr>
      <w:r>
        <w:rPr>
          <w:rFonts w:ascii="Calibri" w:hAnsi="Calibri"/>
          <w:szCs w:val="20"/>
        </w:rPr>
        <w:t>Przewidywane jest</w:t>
      </w:r>
      <w:r w:rsidR="00ED2BD6" w:rsidRPr="00ED2BD6">
        <w:rPr>
          <w:rFonts w:ascii="Calibri" w:hAnsi="Calibri"/>
          <w:szCs w:val="20"/>
        </w:rPr>
        <w:t xml:space="preserve"> </w:t>
      </w:r>
      <w:r w:rsidR="00ED2BD6">
        <w:rPr>
          <w:rFonts w:ascii="Calibri" w:hAnsi="Calibri"/>
          <w:szCs w:val="20"/>
        </w:rPr>
        <w:t>przyjęcie uchwałą</w:t>
      </w:r>
      <w:r>
        <w:rPr>
          <w:rFonts w:ascii="Calibri" w:hAnsi="Calibri"/>
          <w:szCs w:val="20"/>
        </w:rPr>
        <w:t xml:space="preserve"> Rady Miejskiej</w:t>
      </w:r>
      <w:r w:rsidR="00ED2BD6" w:rsidRPr="00ED2BD6">
        <w:rPr>
          <w:rFonts w:ascii="Calibri" w:hAnsi="Calibri"/>
          <w:szCs w:val="20"/>
        </w:rPr>
        <w:t xml:space="preserve"> „Programu Opieki nad Zabytkami Miasta Bytomia na lata 2018-2021” – zgodnie z zapisem art. 87 ust. 1 ustawy o ochronie zabytków i opiece nad zabytkami.</w:t>
      </w:r>
      <w:r w:rsidR="00ED2BD6">
        <w:rPr>
          <w:rFonts w:ascii="Calibri" w:hAnsi="Calibri"/>
          <w:szCs w:val="20"/>
        </w:rPr>
        <w:t xml:space="preserve">   </w:t>
      </w:r>
    </w:p>
    <w:p w:rsidR="000C70A4" w:rsidRDefault="000C70A4" w:rsidP="00315DDC">
      <w:pPr>
        <w:jc w:val="both"/>
        <w:rPr>
          <w:rFonts w:ascii="Calibri" w:hAnsi="Calibri"/>
          <w:szCs w:val="20"/>
        </w:rPr>
      </w:pPr>
      <w:r>
        <w:rPr>
          <w:rFonts w:ascii="Calibri" w:hAnsi="Calibri"/>
          <w:szCs w:val="20"/>
        </w:rPr>
        <w:t>Analiza dokumentów strategicznych, programowych i planistycznych Bytomia potwierdza ich zgodność i</w:t>
      </w:r>
      <w:r w:rsidR="00315DDC">
        <w:rPr>
          <w:rFonts w:ascii="Calibri" w:hAnsi="Calibri"/>
          <w:szCs w:val="20"/>
        </w:rPr>
        <w:t> </w:t>
      </w:r>
      <w:r>
        <w:rPr>
          <w:rFonts w:ascii="Calibri" w:hAnsi="Calibri"/>
          <w:szCs w:val="20"/>
        </w:rPr>
        <w:t>spójność z celami strategicznymi „Gminnego Programu Rewitalizacji. Bytom 2020+” oraz priorytetowymi kierunkami interwencji na poziomie regionalnym i krajowym.</w:t>
      </w:r>
    </w:p>
    <w:p w:rsidR="000C70A4" w:rsidRPr="00E2020B" w:rsidRDefault="000C70A4">
      <w:pPr>
        <w:jc w:val="both"/>
        <w:rPr>
          <w:rFonts w:ascii="Calibri" w:hAnsi="Calibri"/>
          <w:szCs w:val="20"/>
        </w:rPr>
      </w:pPr>
      <w:r>
        <w:rPr>
          <w:rFonts w:ascii="Calibri" w:hAnsi="Calibri"/>
          <w:szCs w:val="20"/>
        </w:rPr>
        <w:t>Zgodność kierunków tych oddziaływań pozwoli na wzmocnienie efektów wdrażanych projektów przewidzianych do realizacji w GPR obejmujących komplementarne i spójne działania w wymiarach społecznym, gospodarczym, infrastrukturalnym, przestrzennym i środowiskowym.</w:t>
      </w:r>
    </w:p>
    <w:p w:rsidR="004F5138" w:rsidRDefault="00A81E25" w:rsidP="005E4AB6">
      <w:pPr>
        <w:ind w:firstLine="708"/>
        <w:jc w:val="both"/>
        <w:rPr>
          <w:rFonts w:ascii="Calibri" w:hAnsi="Calibri"/>
          <w:bCs/>
          <w:szCs w:val="20"/>
        </w:rPr>
      </w:pPr>
      <w:r w:rsidRPr="00A81E25">
        <w:rPr>
          <w:rFonts w:ascii="Calibri" w:hAnsi="Calibri"/>
          <w:bCs/>
          <w:szCs w:val="20"/>
        </w:rPr>
        <w:t>Należy zaznaczyć, że wszelkie zmiany w powyższych dokumentach strategicznych wynikające z</w:t>
      </w:r>
      <w:r>
        <w:rPr>
          <w:rFonts w:ascii="Calibri" w:hAnsi="Calibri"/>
          <w:bCs/>
          <w:szCs w:val="20"/>
        </w:rPr>
        <w:t> </w:t>
      </w:r>
      <w:r w:rsidRPr="00A81E25">
        <w:rPr>
          <w:rFonts w:ascii="Calibri" w:hAnsi="Calibri"/>
          <w:bCs/>
          <w:szCs w:val="20"/>
        </w:rPr>
        <w:t xml:space="preserve">utworzenia w Bytomiu Specjalnej Strefy Rewitalizacji, opisanej w rozdziale </w:t>
      </w:r>
      <w:r w:rsidR="009F3BD5">
        <w:rPr>
          <w:rFonts w:ascii="Calibri" w:hAnsi="Calibri"/>
          <w:bCs/>
          <w:szCs w:val="20"/>
        </w:rPr>
        <w:t>3.5.</w:t>
      </w:r>
      <w:r w:rsidRPr="00A81E25">
        <w:rPr>
          <w:rFonts w:ascii="Calibri" w:hAnsi="Calibri"/>
          <w:bCs/>
          <w:szCs w:val="20"/>
        </w:rPr>
        <w:t xml:space="preserve"> niniejszego GPR, zostaną wskazane na etapie późniejszym, tj. po opracowaniu ostatecznego kształtu i ustaleniu regula</w:t>
      </w:r>
      <w:r w:rsidR="00E22F92">
        <w:rPr>
          <w:rFonts w:ascii="Calibri" w:hAnsi="Calibri"/>
          <w:bCs/>
          <w:szCs w:val="20"/>
        </w:rPr>
        <w:t xml:space="preserve">cji prawnych obowiązujących w </w:t>
      </w:r>
      <w:r w:rsidRPr="00A81E25">
        <w:rPr>
          <w:rFonts w:ascii="Calibri" w:hAnsi="Calibri"/>
          <w:bCs/>
          <w:szCs w:val="20"/>
        </w:rPr>
        <w:t>Strefie, która wyznaczona zostanie w drodze odrębnej uchwały rady miejskiej.</w:t>
      </w:r>
    </w:p>
    <w:p w:rsidR="001E23A3" w:rsidRDefault="001E23A3" w:rsidP="005E4AB6">
      <w:pPr>
        <w:ind w:firstLine="708"/>
        <w:jc w:val="both"/>
        <w:rPr>
          <w:rFonts w:ascii="Calibri" w:hAnsi="Calibri"/>
          <w:bCs/>
          <w:szCs w:val="20"/>
        </w:rPr>
      </w:pPr>
    </w:p>
    <w:p w:rsidR="001E23A3" w:rsidRPr="00581E59" w:rsidRDefault="001E23A3" w:rsidP="009C1D86">
      <w:pPr>
        <w:pStyle w:val="Tekstpodstawowy"/>
        <w:shd w:val="clear" w:color="auto" w:fill="F2F2F2" w:themeFill="background1" w:themeFillShade="F2"/>
        <w:spacing w:after="0"/>
        <w:jc w:val="both"/>
        <w:rPr>
          <w:rFonts w:ascii="Calibri" w:hAnsi="Calibri"/>
          <w:b/>
          <w:szCs w:val="20"/>
        </w:rPr>
      </w:pPr>
      <w:r w:rsidRPr="00581E59">
        <w:rPr>
          <w:rFonts w:ascii="Calibri" w:hAnsi="Calibri"/>
          <w:b/>
          <w:bCs/>
          <w:szCs w:val="20"/>
        </w:rPr>
        <w:t xml:space="preserve">Aktualizacje </w:t>
      </w:r>
      <w:r w:rsidRPr="00581E59">
        <w:rPr>
          <w:rFonts w:ascii="Calibri" w:hAnsi="Calibri"/>
          <w:b/>
          <w:szCs w:val="20"/>
        </w:rPr>
        <w:t>"Gminnego Programu Rewitalizacji. Bytom 2020+"</w:t>
      </w:r>
    </w:p>
    <w:p w:rsidR="001E23A3" w:rsidRPr="00581E59" w:rsidRDefault="001E23A3" w:rsidP="009C1D86">
      <w:pPr>
        <w:pStyle w:val="Tekstpodstawowy"/>
        <w:shd w:val="clear" w:color="auto" w:fill="F2F2F2" w:themeFill="background1" w:themeFillShade="F2"/>
        <w:spacing w:after="0"/>
        <w:jc w:val="both"/>
        <w:rPr>
          <w:rFonts w:ascii="Calibri" w:hAnsi="Calibri"/>
          <w:szCs w:val="20"/>
        </w:rPr>
      </w:pPr>
      <w:r w:rsidRPr="00581E59">
        <w:rPr>
          <w:rFonts w:ascii="Calibri" w:hAnsi="Calibri"/>
          <w:szCs w:val="20"/>
        </w:rPr>
        <w:t xml:space="preserve">Przeprowadzono następujące aktualizacje programu: </w:t>
      </w:r>
    </w:p>
    <w:p w:rsidR="001E23A3" w:rsidRPr="00581E59" w:rsidRDefault="001E23A3" w:rsidP="009C1D86">
      <w:pPr>
        <w:pStyle w:val="Tekstpodstawowy"/>
        <w:numPr>
          <w:ilvl w:val="0"/>
          <w:numId w:val="815"/>
        </w:numPr>
        <w:shd w:val="clear" w:color="auto" w:fill="F2F2F2" w:themeFill="background1" w:themeFillShade="F2"/>
        <w:spacing w:after="0"/>
        <w:rPr>
          <w:rFonts w:ascii="Calibri" w:hAnsi="Calibri"/>
          <w:szCs w:val="20"/>
        </w:rPr>
      </w:pPr>
      <w:r w:rsidRPr="00581E59">
        <w:rPr>
          <w:rFonts w:ascii="Calibri" w:hAnsi="Calibri"/>
          <w:szCs w:val="20"/>
        </w:rPr>
        <w:t xml:space="preserve">uchwałą nr XVII/223/19 Rady Miejskiej w Bytomiu z 23 września 2019 r., </w:t>
      </w:r>
    </w:p>
    <w:p w:rsidR="001E23A3" w:rsidRPr="00581E59" w:rsidRDefault="001E23A3" w:rsidP="009C1D86">
      <w:pPr>
        <w:pStyle w:val="Tekstpodstawowy"/>
        <w:numPr>
          <w:ilvl w:val="0"/>
          <w:numId w:val="815"/>
        </w:numPr>
        <w:shd w:val="clear" w:color="auto" w:fill="F2F2F2" w:themeFill="background1" w:themeFillShade="F2"/>
        <w:spacing w:after="0"/>
        <w:rPr>
          <w:rFonts w:ascii="Calibri" w:hAnsi="Calibri"/>
          <w:szCs w:val="20"/>
        </w:rPr>
      </w:pPr>
      <w:r w:rsidRPr="00581E59">
        <w:rPr>
          <w:rFonts w:ascii="Calibri" w:hAnsi="Calibri"/>
          <w:szCs w:val="20"/>
        </w:rPr>
        <w:t>uchwałą nr XXVI/392/20 Rady Miejskiej w Bytomiu z 23 marca 2020 r.,</w:t>
      </w:r>
    </w:p>
    <w:p w:rsidR="001E23A3" w:rsidRPr="00581E59" w:rsidRDefault="001E23A3" w:rsidP="009C1D86">
      <w:pPr>
        <w:pStyle w:val="Tekstpodstawowy"/>
        <w:numPr>
          <w:ilvl w:val="0"/>
          <w:numId w:val="815"/>
        </w:numPr>
        <w:shd w:val="clear" w:color="auto" w:fill="F2F2F2" w:themeFill="background1" w:themeFillShade="F2"/>
        <w:spacing w:after="0"/>
        <w:rPr>
          <w:rFonts w:ascii="Calibri" w:hAnsi="Calibri"/>
          <w:szCs w:val="20"/>
        </w:rPr>
      </w:pPr>
      <w:r w:rsidRPr="00581E59">
        <w:rPr>
          <w:rFonts w:ascii="Calibri" w:hAnsi="Calibri"/>
          <w:szCs w:val="20"/>
        </w:rPr>
        <w:t xml:space="preserve">uchwałą nr XLV/618/21 Rady Miejskiej w Bytomiu z 26 lipca 2021 r., </w:t>
      </w:r>
    </w:p>
    <w:p w:rsidR="001E23A3" w:rsidRPr="00581E59" w:rsidRDefault="001E23A3" w:rsidP="009C1D86">
      <w:pPr>
        <w:pStyle w:val="Tekstpodstawowy"/>
        <w:numPr>
          <w:ilvl w:val="0"/>
          <w:numId w:val="815"/>
        </w:numPr>
        <w:shd w:val="clear" w:color="auto" w:fill="F2F2F2" w:themeFill="background1" w:themeFillShade="F2"/>
        <w:spacing w:after="0"/>
        <w:rPr>
          <w:rFonts w:ascii="Calibri" w:hAnsi="Calibri"/>
          <w:szCs w:val="20"/>
        </w:rPr>
      </w:pPr>
      <w:r w:rsidRPr="00581E59">
        <w:rPr>
          <w:rFonts w:ascii="Calibri" w:hAnsi="Calibri"/>
          <w:szCs w:val="20"/>
        </w:rPr>
        <w:t>uchwałą nr LXXXIV/1059/23 Rady Miejskiej w Bytomiu z 25 września 2023 r.</w:t>
      </w:r>
    </w:p>
    <w:p w:rsidR="001E23A3" w:rsidRPr="00581E59" w:rsidRDefault="001E23A3" w:rsidP="009C1D86">
      <w:pPr>
        <w:pStyle w:val="Tekstpodstawowy"/>
        <w:shd w:val="clear" w:color="auto" w:fill="F2F2F2" w:themeFill="background1" w:themeFillShade="F2"/>
        <w:spacing w:after="0"/>
        <w:jc w:val="both"/>
        <w:rPr>
          <w:rFonts w:ascii="Calibri" w:hAnsi="Calibri"/>
          <w:szCs w:val="20"/>
        </w:rPr>
      </w:pPr>
      <w:r w:rsidRPr="00581E59">
        <w:rPr>
          <w:rFonts w:ascii="Calibri" w:hAnsi="Calibri"/>
          <w:szCs w:val="20"/>
        </w:rPr>
        <w:t xml:space="preserve">Rada Miejska w Bytomiu w dniu 15 marca 2024 r. podjęła uchwałę  nr XCI/1143/24 w sprawie przystąpienia do aktualizacji „Gminnego Programu Rewitalizacji. Bytom 2020+”. </w:t>
      </w:r>
    </w:p>
    <w:p w:rsidR="001E23A3" w:rsidRPr="001B7035" w:rsidRDefault="001E23A3" w:rsidP="005E4AB6">
      <w:pPr>
        <w:ind w:firstLine="708"/>
        <w:jc w:val="both"/>
        <w:rPr>
          <w:rFonts w:ascii="Calibri" w:hAnsi="Calibri"/>
          <w:bCs/>
          <w:color w:val="FF0000"/>
          <w:szCs w:val="20"/>
        </w:rPr>
      </w:pPr>
    </w:p>
    <w:p w:rsidR="00EC092F" w:rsidRDefault="00EC092F" w:rsidP="00A81E25">
      <w:pPr>
        <w:ind w:firstLine="708"/>
        <w:jc w:val="both"/>
        <w:rPr>
          <w:rFonts w:ascii="Calibri" w:hAnsi="Calibri"/>
          <w:bCs/>
          <w:szCs w:val="20"/>
        </w:rPr>
      </w:pPr>
    </w:p>
    <w:p w:rsidR="00EC092F" w:rsidRDefault="00EC092F" w:rsidP="00A81E25">
      <w:pPr>
        <w:ind w:firstLine="708"/>
        <w:jc w:val="both"/>
        <w:rPr>
          <w:rFonts w:ascii="Calibri" w:hAnsi="Calibri"/>
          <w:bCs/>
          <w:szCs w:val="20"/>
        </w:rPr>
      </w:pPr>
    </w:p>
    <w:p w:rsidR="000C70A4" w:rsidRDefault="000C70A4" w:rsidP="0032256F">
      <w:pPr>
        <w:pStyle w:val="Nagwek2"/>
        <w:numPr>
          <w:ilvl w:val="1"/>
          <w:numId w:val="189"/>
        </w:numPr>
        <w:spacing w:before="0"/>
        <w:ind w:left="431" w:hanging="431"/>
      </w:pPr>
      <w:bookmarkStart w:id="8797" w:name="_Toc460186199"/>
      <w:bookmarkStart w:id="8798" w:name="_Toc460313328"/>
      <w:bookmarkStart w:id="8799" w:name="_Toc474924976"/>
      <w:r>
        <w:t>Specjalna Strefa Rewitalizacji</w:t>
      </w:r>
      <w:bookmarkEnd w:id="8797"/>
      <w:bookmarkEnd w:id="8798"/>
      <w:bookmarkEnd w:id="8799"/>
    </w:p>
    <w:p w:rsidR="00D6790C" w:rsidRDefault="00D6790C" w:rsidP="00D6790C">
      <w:pPr>
        <w:pStyle w:val="Default"/>
        <w:ind w:firstLine="708"/>
        <w:jc w:val="both"/>
        <w:rPr>
          <w:sz w:val="20"/>
          <w:szCs w:val="20"/>
        </w:rPr>
      </w:pPr>
    </w:p>
    <w:p w:rsidR="00D0254C" w:rsidRDefault="00D0254C" w:rsidP="00D0254C">
      <w:pPr>
        <w:pStyle w:val="Default"/>
        <w:ind w:firstLine="708"/>
        <w:jc w:val="both"/>
        <w:rPr>
          <w:sz w:val="20"/>
          <w:szCs w:val="20"/>
        </w:rPr>
      </w:pPr>
      <w:r>
        <w:rPr>
          <w:sz w:val="20"/>
          <w:szCs w:val="20"/>
        </w:rPr>
        <w:t xml:space="preserve">Specjalna Strefa Rewitalizacji (SSR) zostanie utworzona </w:t>
      </w:r>
      <w:r>
        <w:rPr>
          <w:sz w:val="20"/>
          <w:szCs w:val="22"/>
        </w:rPr>
        <w:t>na całym obszarze rewitalizacji</w:t>
      </w:r>
      <w:r>
        <w:rPr>
          <w:sz w:val="20"/>
          <w:szCs w:val="20"/>
        </w:rPr>
        <w:t xml:space="preserve"> Bytomia na podstawie zapisów Rozdziału 5 ustawy o rewitalizacji z dnia 9 października 2015 r., </w:t>
      </w:r>
      <w:r w:rsidRPr="00661129">
        <w:rPr>
          <w:sz w:val="20"/>
          <w:szCs w:val="20"/>
        </w:rPr>
        <w:t>a w szczególności art. 25 ust</w:t>
      </w:r>
      <w:r w:rsidR="00D51481">
        <w:rPr>
          <w:sz w:val="20"/>
          <w:szCs w:val="20"/>
        </w:rPr>
        <w:t>awy</w:t>
      </w:r>
      <w:r w:rsidRPr="00661129">
        <w:rPr>
          <w:sz w:val="20"/>
          <w:szCs w:val="22"/>
        </w:rPr>
        <w:t>, w celu zapewnienia sprawnej realizacji przedsięwzięć rewitalizacyjnych.</w:t>
      </w:r>
    </w:p>
    <w:p w:rsidR="00D0254C" w:rsidRDefault="00D0254C" w:rsidP="00D0254C">
      <w:pPr>
        <w:autoSpaceDE w:val="0"/>
        <w:autoSpaceDN w:val="0"/>
        <w:adjustRightInd w:val="0"/>
        <w:jc w:val="both"/>
        <w:rPr>
          <w:rFonts w:ascii="Calibri" w:eastAsia="SegoeUI" w:hAnsi="Calibri"/>
          <w:szCs w:val="22"/>
        </w:rPr>
      </w:pPr>
      <w:r>
        <w:rPr>
          <w:rFonts w:ascii="Calibri" w:eastAsia="SegoeUI" w:hAnsi="Calibri"/>
          <w:szCs w:val="22"/>
        </w:rPr>
        <w:t>Gmina Bytom opracuje do końca III kw. 2017 r. analiz</w:t>
      </w:r>
      <w:r>
        <w:rPr>
          <w:rFonts w:ascii="Calibri" w:eastAsia="SegoeUI" w:hAnsi="Calibri" w:hint="eastAsia"/>
          <w:szCs w:val="22"/>
        </w:rPr>
        <w:t>ę</w:t>
      </w:r>
      <w:r>
        <w:rPr>
          <w:rFonts w:ascii="Calibri" w:eastAsia="SegoeUI" w:hAnsi="Calibri"/>
          <w:szCs w:val="22"/>
        </w:rPr>
        <w:t xml:space="preserve"> optymalnego wykorzystania narz</w:t>
      </w:r>
      <w:r>
        <w:rPr>
          <w:rFonts w:ascii="Calibri" w:eastAsia="SegoeUI" w:hAnsi="Calibri" w:hint="eastAsia"/>
          <w:szCs w:val="22"/>
        </w:rPr>
        <w:t>ę</w:t>
      </w:r>
      <w:r>
        <w:rPr>
          <w:rFonts w:ascii="Calibri" w:eastAsia="SegoeUI" w:hAnsi="Calibri"/>
          <w:szCs w:val="22"/>
        </w:rPr>
        <w:t>dzi Specjalnej Strefy Rewitalizacji w poszczególnych podobszarach rewitalizacji, które umo</w:t>
      </w:r>
      <w:r>
        <w:rPr>
          <w:rFonts w:ascii="Calibri" w:eastAsia="SegoeUI" w:hAnsi="Calibri" w:hint="eastAsia"/>
          <w:szCs w:val="22"/>
        </w:rPr>
        <w:t>ż</w:t>
      </w:r>
      <w:r>
        <w:rPr>
          <w:rFonts w:ascii="Calibri" w:eastAsia="SegoeUI" w:hAnsi="Calibri"/>
          <w:szCs w:val="22"/>
        </w:rPr>
        <w:t>liwi</w:t>
      </w:r>
      <w:r>
        <w:rPr>
          <w:rFonts w:ascii="Calibri" w:eastAsia="SegoeUI" w:hAnsi="Calibri" w:hint="eastAsia"/>
          <w:szCs w:val="22"/>
        </w:rPr>
        <w:t>ą</w:t>
      </w:r>
      <w:r>
        <w:rPr>
          <w:rFonts w:ascii="Calibri" w:eastAsia="SegoeUI" w:hAnsi="Calibri"/>
          <w:szCs w:val="22"/>
        </w:rPr>
        <w:t xml:space="preserve"> podj</w:t>
      </w:r>
      <w:r>
        <w:rPr>
          <w:rFonts w:ascii="Calibri" w:eastAsia="SegoeUI" w:hAnsi="Calibri" w:hint="eastAsia"/>
          <w:szCs w:val="22"/>
        </w:rPr>
        <w:t>ę</w:t>
      </w:r>
      <w:r>
        <w:rPr>
          <w:rFonts w:ascii="Calibri" w:eastAsia="SegoeUI" w:hAnsi="Calibri"/>
          <w:szCs w:val="22"/>
        </w:rPr>
        <w:t>cie uchwa</w:t>
      </w:r>
      <w:r>
        <w:rPr>
          <w:rFonts w:ascii="Calibri" w:eastAsia="SegoeUI" w:hAnsi="Calibri" w:hint="eastAsia"/>
          <w:szCs w:val="22"/>
        </w:rPr>
        <w:t>ł</w:t>
      </w:r>
      <w:r>
        <w:rPr>
          <w:rFonts w:ascii="Calibri" w:eastAsia="SegoeUI" w:hAnsi="Calibri"/>
          <w:szCs w:val="22"/>
        </w:rPr>
        <w:t>y w sprawie utworzenia przez Miasto Bytom SSR. Dzia</w:t>
      </w:r>
      <w:r>
        <w:rPr>
          <w:rFonts w:ascii="Calibri" w:eastAsia="SegoeUI" w:hAnsi="Calibri" w:hint="eastAsia"/>
          <w:szCs w:val="22"/>
        </w:rPr>
        <w:t>ł</w:t>
      </w:r>
      <w:r>
        <w:rPr>
          <w:rFonts w:ascii="Calibri" w:eastAsia="SegoeUI" w:hAnsi="Calibri"/>
          <w:szCs w:val="22"/>
        </w:rPr>
        <w:t>anie b</w:t>
      </w:r>
      <w:r>
        <w:rPr>
          <w:rFonts w:ascii="Calibri" w:eastAsia="SegoeUI" w:hAnsi="Calibri" w:hint="eastAsia"/>
          <w:szCs w:val="22"/>
        </w:rPr>
        <w:t>ę</w:t>
      </w:r>
      <w:r>
        <w:rPr>
          <w:rFonts w:ascii="Calibri" w:eastAsia="SegoeUI" w:hAnsi="Calibri"/>
          <w:szCs w:val="22"/>
        </w:rPr>
        <w:t>dzie wsp</w:t>
      </w:r>
      <w:r>
        <w:rPr>
          <w:rFonts w:ascii="Calibri" w:eastAsia="SegoeUI" w:hAnsi="Calibri" w:hint="eastAsia"/>
          <w:szCs w:val="22"/>
        </w:rPr>
        <w:t>ó</w:t>
      </w:r>
      <w:r>
        <w:rPr>
          <w:rFonts w:ascii="Calibri" w:eastAsia="SegoeUI" w:hAnsi="Calibri"/>
          <w:szCs w:val="22"/>
        </w:rPr>
        <w:t xml:space="preserve">łfinansowane ze </w:t>
      </w:r>
      <w:r>
        <w:rPr>
          <w:rFonts w:ascii="Calibri" w:eastAsia="SegoeUI" w:hAnsi="Calibri" w:hint="eastAsia"/>
          <w:szCs w:val="22"/>
        </w:rPr>
        <w:t>ś</w:t>
      </w:r>
      <w:r>
        <w:rPr>
          <w:rFonts w:ascii="Calibri" w:eastAsia="SegoeUI" w:hAnsi="Calibri"/>
          <w:szCs w:val="22"/>
        </w:rPr>
        <w:t>rodków Programu Operacyjnego Pomoc Techniczna na podstawie umowy pomi</w:t>
      </w:r>
      <w:r>
        <w:rPr>
          <w:rFonts w:ascii="Calibri" w:eastAsia="SegoeUI" w:hAnsi="Calibri" w:hint="eastAsia"/>
          <w:szCs w:val="22"/>
        </w:rPr>
        <w:t>ę</w:t>
      </w:r>
      <w:r>
        <w:rPr>
          <w:rFonts w:ascii="Calibri" w:eastAsia="SegoeUI" w:hAnsi="Calibri"/>
          <w:szCs w:val="22"/>
        </w:rPr>
        <w:t>dzy Gmin</w:t>
      </w:r>
      <w:r>
        <w:rPr>
          <w:rFonts w:ascii="Calibri" w:eastAsia="SegoeUI" w:hAnsi="Calibri" w:hint="eastAsia"/>
          <w:szCs w:val="22"/>
        </w:rPr>
        <w:t>ą</w:t>
      </w:r>
      <w:r>
        <w:rPr>
          <w:rFonts w:ascii="Calibri" w:eastAsia="SegoeUI" w:hAnsi="Calibri"/>
          <w:szCs w:val="22"/>
        </w:rPr>
        <w:t xml:space="preserve"> Bytom a Ministerstwem Rozwoju. Indywidualne wnioski z analizy dot. optymalnego wykorzystania narz</w:t>
      </w:r>
      <w:r>
        <w:rPr>
          <w:rFonts w:ascii="Calibri" w:eastAsia="SegoeUI" w:hAnsi="Calibri" w:hint="eastAsia"/>
          <w:szCs w:val="22"/>
        </w:rPr>
        <w:t>ę</w:t>
      </w:r>
      <w:r>
        <w:rPr>
          <w:rFonts w:ascii="Calibri" w:eastAsia="SegoeUI" w:hAnsi="Calibri"/>
          <w:szCs w:val="22"/>
        </w:rPr>
        <w:t>dzi SSR w poszczególnych podobszarach</w:t>
      </w:r>
      <w:r>
        <w:rPr>
          <w:rFonts w:ascii="Calibri" w:eastAsia="SegoeUI" w:hAnsi="Calibri" w:hint="eastAsia"/>
          <w:szCs w:val="22"/>
        </w:rPr>
        <w:t xml:space="preserve"> rewitalizacji </w:t>
      </w:r>
      <w:r>
        <w:rPr>
          <w:rFonts w:ascii="Calibri" w:eastAsia="SegoeUI" w:hAnsi="Calibri"/>
          <w:szCs w:val="22"/>
        </w:rPr>
        <w:t xml:space="preserve">uwzględniające ich specyfikę, wskażą dla każdego podobszaru najbardziej skuteczny wachlarz narzędzi SSR m.in. tj.: </w:t>
      </w:r>
    </w:p>
    <w:p w:rsidR="00D0254C" w:rsidRDefault="00D0254C" w:rsidP="00D0254C">
      <w:pPr>
        <w:numPr>
          <w:ilvl w:val="0"/>
          <w:numId w:val="223"/>
        </w:numPr>
        <w:autoSpaceDE w:val="0"/>
        <w:autoSpaceDN w:val="0"/>
        <w:adjustRightInd w:val="0"/>
        <w:jc w:val="both"/>
        <w:rPr>
          <w:rFonts w:ascii="Calibri" w:eastAsia="SegoeUI" w:hAnsi="Calibri"/>
          <w:szCs w:val="22"/>
        </w:rPr>
      </w:pPr>
      <w:r>
        <w:rPr>
          <w:rFonts w:ascii="Calibri" w:hAnsi="Calibri" w:cs="Arial"/>
          <w:szCs w:val="30"/>
        </w:rPr>
        <w:t>brak obowiązku depozytu w przypadku wywłaszczenia nieruchomości o nieustalonym stanie prawnym na cel publiczny</w:t>
      </w:r>
      <w:r>
        <w:rPr>
          <w:rFonts w:ascii="Calibri" w:eastAsia="SegoeUI" w:hAnsi="Calibri"/>
          <w:szCs w:val="22"/>
        </w:rPr>
        <w:t xml:space="preserve">, </w:t>
      </w:r>
    </w:p>
    <w:p w:rsidR="00D0254C" w:rsidRDefault="00D0254C" w:rsidP="00D0254C">
      <w:pPr>
        <w:numPr>
          <w:ilvl w:val="0"/>
          <w:numId w:val="223"/>
        </w:numPr>
        <w:autoSpaceDE w:val="0"/>
        <w:autoSpaceDN w:val="0"/>
        <w:adjustRightInd w:val="0"/>
        <w:jc w:val="both"/>
        <w:rPr>
          <w:rFonts w:ascii="Calibri" w:eastAsia="SegoeUI" w:hAnsi="Calibri"/>
          <w:szCs w:val="22"/>
        </w:rPr>
      </w:pPr>
      <w:r>
        <w:rPr>
          <w:rFonts w:ascii="Calibri" w:eastAsia="SegoeUI" w:hAnsi="Calibri"/>
          <w:szCs w:val="22"/>
        </w:rPr>
        <w:t>prawo pierwokupu,</w:t>
      </w:r>
    </w:p>
    <w:p w:rsidR="00D0254C" w:rsidRDefault="00D0254C" w:rsidP="00D0254C">
      <w:pPr>
        <w:numPr>
          <w:ilvl w:val="0"/>
          <w:numId w:val="222"/>
        </w:numPr>
        <w:rPr>
          <w:rFonts w:ascii="Calibri" w:hAnsi="Calibri" w:cs="Arial"/>
          <w:szCs w:val="30"/>
        </w:rPr>
      </w:pPr>
      <w:r>
        <w:rPr>
          <w:rFonts w:ascii="Calibri" w:hAnsi="Calibri" w:cs="Arial"/>
          <w:szCs w:val="30"/>
        </w:rPr>
        <w:t>cel publiczny – rozwój społecznego budownictwa społecznego,</w:t>
      </w:r>
    </w:p>
    <w:p w:rsidR="00D0254C" w:rsidRDefault="00D0254C" w:rsidP="00D0254C">
      <w:pPr>
        <w:numPr>
          <w:ilvl w:val="0"/>
          <w:numId w:val="222"/>
        </w:numPr>
        <w:rPr>
          <w:rFonts w:ascii="Calibri" w:hAnsi="Calibri" w:cs="Arial"/>
          <w:szCs w:val="30"/>
        </w:rPr>
      </w:pPr>
      <w:r>
        <w:rPr>
          <w:rFonts w:ascii="Calibri" w:hAnsi="Calibri" w:cs="Arial"/>
          <w:szCs w:val="30"/>
        </w:rPr>
        <w:t>ułatwienie przekwaterowań na czas niezbędnych remontów,</w:t>
      </w:r>
    </w:p>
    <w:p w:rsidR="00D0254C" w:rsidRDefault="00D0254C" w:rsidP="00D0254C">
      <w:pPr>
        <w:numPr>
          <w:ilvl w:val="0"/>
          <w:numId w:val="222"/>
        </w:numPr>
        <w:rPr>
          <w:rFonts w:ascii="Calibri" w:hAnsi="Calibri" w:cs="Arial"/>
          <w:szCs w:val="30"/>
        </w:rPr>
      </w:pPr>
      <w:r>
        <w:rPr>
          <w:rFonts w:ascii="Calibri" w:hAnsi="Calibri" w:cs="Arial"/>
          <w:szCs w:val="30"/>
        </w:rPr>
        <w:t>zakaz wydawania decyzji o warunkach zabudowy,</w:t>
      </w:r>
    </w:p>
    <w:p w:rsidR="00D0254C" w:rsidRDefault="00D0254C" w:rsidP="00D0254C">
      <w:pPr>
        <w:numPr>
          <w:ilvl w:val="0"/>
          <w:numId w:val="222"/>
        </w:numPr>
        <w:rPr>
          <w:rFonts w:ascii="Calibri" w:hAnsi="Calibri" w:cs="Arial"/>
          <w:szCs w:val="30"/>
        </w:rPr>
      </w:pPr>
      <w:r>
        <w:rPr>
          <w:rFonts w:ascii="Calibri" w:hAnsi="Calibri" w:cs="Arial"/>
          <w:szCs w:val="30"/>
        </w:rPr>
        <w:t>dopuszczenie świadczenia pieniężnego w przypadku roszczeń o zwrot nieruchomości,</w:t>
      </w:r>
    </w:p>
    <w:p w:rsidR="00D0254C" w:rsidRDefault="00D0254C" w:rsidP="00D0254C">
      <w:pPr>
        <w:numPr>
          <w:ilvl w:val="0"/>
          <w:numId w:val="222"/>
        </w:numPr>
        <w:rPr>
          <w:rFonts w:ascii="Calibri" w:hAnsi="Calibri" w:cs="Arial"/>
          <w:szCs w:val="30"/>
        </w:rPr>
      </w:pPr>
      <w:r>
        <w:rPr>
          <w:rFonts w:ascii="Calibri" w:hAnsi="Calibri" w:cs="Arial"/>
          <w:szCs w:val="30"/>
        </w:rPr>
        <w:t>dotacja w wysokości nieprzekraczającej 50% nakładów koniecznych na wykonanie robót budowlanych polegających na remoncie lub przebudowie lub prac konserwatorskich i prac restauratorskich.</w:t>
      </w:r>
    </w:p>
    <w:p w:rsidR="00D0254C" w:rsidRDefault="00D0254C" w:rsidP="00D0254C">
      <w:pPr>
        <w:numPr>
          <w:ilvl w:val="0"/>
          <w:numId w:val="223"/>
        </w:numPr>
        <w:autoSpaceDE w:val="0"/>
        <w:autoSpaceDN w:val="0"/>
        <w:adjustRightInd w:val="0"/>
        <w:jc w:val="both"/>
        <w:rPr>
          <w:rFonts w:ascii="Calibri" w:hAnsi="Calibri"/>
          <w:b/>
          <w:bCs/>
          <w:szCs w:val="22"/>
        </w:rPr>
      </w:pPr>
      <w:r>
        <w:rPr>
          <w:rFonts w:ascii="Calibri" w:hAnsi="Calibri" w:cs="Arial"/>
          <w:szCs w:val="30"/>
        </w:rPr>
        <w:t>preferencje w zamówieniach publicznych (aktywizacja osób mających miejsce zamieszkania na obszarze SSR</w:t>
      </w:r>
      <w:r>
        <w:rPr>
          <w:rFonts w:ascii="Calibri" w:eastAsia="SegoeUI" w:hAnsi="Calibri"/>
          <w:szCs w:val="22"/>
        </w:rPr>
        <w:t>).</w:t>
      </w:r>
    </w:p>
    <w:p w:rsidR="00D0254C" w:rsidRDefault="00D0254C" w:rsidP="00D0254C">
      <w:pPr>
        <w:autoSpaceDE w:val="0"/>
        <w:autoSpaceDN w:val="0"/>
        <w:adjustRightInd w:val="0"/>
        <w:jc w:val="both"/>
        <w:rPr>
          <w:rFonts w:ascii="Calibri" w:eastAsia="SegoeUI" w:hAnsi="Calibri"/>
          <w:szCs w:val="22"/>
        </w:rPr>
      </w:pPr>
      <w:r>
        <w:rPr>
          <w:rFonts w:ascii="Calibri" w:hAnsi="Calibri"/>
          <w:b/>
          <w:bCs/>
          <w:szCs w:val="22"/>
        </w:rPr>
        <w:t xml:space="preserve">Ustanowienie Strefy oraz dokładny zakres jej regulacji – zgodnie z dyspozycją Ustawy – będzie przedmiotem uchwały Rady Miejskiej w Bytomiu. </w:t>
      </w:r>
      <w:r>
        <w:rPr>
          <w:rFonts w:ascii="Calibri" w:eastAsia="SegoeUI" w:hAnsi="Calibri"/>
          <w:szCs w:val="22"/>
        </w:rPr>
        <w:t>Uchwa</w:t>
      </w:r>
      <w:r>
        <w:rPr>
          <w:rFonts w:ascii="Calibri" w:eastAsia="SegoeUI" w:hAnsi="Calibri" w:hint="eastAsia"/>
          <w:szCs w:val="22"/>
        </w:rPr>
        <w:t>ł</w:t>
      </w:r>
      <w:r>
        <w:rPr>
          <w:rFonts w:ascii="Calibri" w:eastAsia="SegoeUI" w:hAnsi="Calibri"/>
          <w:szCs w:val="22"/>
        </w:rPr>
        <w:t>a w sprawie utworzenia Specjalnej Strefy Rewitalizacji zostanie przyjęta dla całego obszaru rewitalizacji i b</w:t>
      </w:r>
      <w:r>
        <w:rPr>
          <w:rFonts w:ascii="Calibri" w:eastAsia="SegoeUI" w:hAnsi="Calibri" w:hint="eastAsia"/>
          <w:szCs w:val="22"/>
        </w:rPr>
        <w:t>ę</w:t>
      </w:r>
      <w:r>
        <w:rPr>
          <w:rFonts w:ascii="Calibri" w:eastAsia="SegoeUI" w:hAnsi="Calibri"/>
          <w:szCs w:val="22"/>
        </w:rPr>
        <w:t>dzie uwzgl</w:t>
      </w:r>
      <w:r>
        <w:rPr>
          <w:rFonts w:ascii="Calibri" w:eastAsia="SegoeUI" w:hAnsi="Calibri" w:hint="eastAsia"/>
          <w:szCs w:val="22"/>
        </w:rPr>
        <w:t>ę</w:t>
      </w:r>
      <w:r>
        <w:rPr>
          <w:rFonts w:ascii="Calibri" w:eastAsia="SegoeUI" w:hAnsi="Calibri"/>
          <w:szCs w:val="22"/>
        </w:rPr>
        <w:t>dnia</w:t>
      </w:r>
      <w:r>
        <w:rPr>
          <w:rFonts w:ascii="Calibri" w:eastAsia="SegoeUI" w:hAnsi="Calibri" w:hint="eastAsia"/>
          <w:szCs w:val="22"/>
        </w:rPr>
        <w:t>ł</w:t>
      </w:r>
      <w:r>
        <w:rPr>
          <w:rFonts w:ascii="Calibri" w:eastAsia="SegoeUI" w:hAnsi="Calibri"/>
          <w:szCs w:val="22"/>
        </w:rPr>
        <w:t>a indywidualne wnioski z analizy dot. optymalnego wykorzystania narz</w:t>
      </w:r>
      <w:r>
        <w:rPr>
          <w:rFonts w:ascii="Calibri" w:eastAsia="SegoeUI" w:hAnsi="Calibri" w:hint="eastAsia"/>
          <w:szCs w:val="22"/>
        </w:rPr>
        <w:t>ę</w:t>
      </w:r>
      <w:r>
        <w:rPr>
          <w:rFonts w:ascii="Calibri" w:eastAsia="SegoeUI" w:hAnsi="Calibri"/>
          <w:szCs w:val="22"/>
        </w:rPr>
        <w:t>dzi SSR w ka</w:t>
      </w:r>
      <w:r>
        <w:rPr>
          <w:rFonts w:ascii="Calibri" w:eastAsia="SegoeUI" w:hAnsi="Calibri" w:hint="eastAsia"/>
          <w:szCs w:val="22"/>
        </w:rPr>
        <w:t>ż</w:t>
      </w:r>
      <w:r>
        <w:rPr>
          <w:rFonts w:ascii="Calibri" w:eastAsia="SegoeUI" w:hAnsi="Calibri"/>
          <w:szCs w:val="22"/>
        </w:rPr>
        <w:t>dym z podobszarów.</w:t>
      </w:r>
    </w:p>
    <w:p w:rsidR="00D0254C" w:rsidRDefault="00D0254C" w:rsidP="00D0254C">
      <w:pPr>
        <w:autoSpaceDE w:val="0"/>
        <w:autoSpaceDN w:val="0"/>
        <w:adjustRightInd w:val="0"/>
        <w:jc w:val="both"/>
        <w:rPr>
          <w:rFonts w:ascii="Calibri" w:eastAsia="SegoeUI" w:hAnsi="Calibri"/>
          <w:szCs w:val="22"/>
        </w:rPr>
      </w:pPr>
      <w:r>
        <w:rPr>
          <w:rFonts w:ascii="Calibri" w:hAnsi="Calibri"/>
          <w:szCs w:val="20"/>
        </w:rPr>
        <w:t>Zakłada się, że Specjalna Strefa Rewitalizacji zacznie funkcjonować od dnia 1 stycznia 2018 r. przez okres nie dłuższy niż 10 lat (zgodnie z zapisami art. 25 ust. 2 ustawy o rewitalizacji).</w:t>
      </w:r>
    </w:p>
    <w:p w:rsidR="001F6E57" w:rsidRPr="00E2020B" w:rsidRDefault="001F6E57" w:rsidP="001F6E57">
      <w:pPr>
        <w:autoSpaceDE w:val="0"/>
        <w:autoSpaceDN w:val="0"/>
        <w:adjustRightInd w:val="0"/>
        <w:jc w:val="both"/>
        <w:rPr>
          <w:rFonts w:ascii="Calibri" w:hAnsi="Calibri"/>
          <w:sz w:val="18"/>
          <w:szCs w:val="20"/>
        </w:rPr>
      </w:pPr>
    </w:p>
    <w:p w:rsidR="001F6E57" w:rsidRPr="00AA3767" w:rsidRDefault="001F6E57" w:rsidP="00AA3767">
      <w:pPr>
        <w:pStyle w:val="Nagwek2"/>
        <w:numPr>
          <w:ilvl w:val="1"/>
          <w:numId w:val="189"/>
        </w:numPr>
        <w:ind w:left="431" w:hanging="431"/>
      </w:pPr>
      <w:bookmarkStart w:id="8800" w:name="_Toc474924977"/>
      <w:r>
        <w:t>Uchwalenie miejscowego planu rewitalizacji</w:t>
      </w:r>
      <w:bookmarkEnd w:id="8800"/>
    </w:p>
    <w:p w:rsidR="00410B18" w:rsidRPr="00410B18" w:rsidRDefault="001F6E57" w:rsidP="00410B18">
      <w:pPr>
        <w:autoSpaceDE w:val="0"/>
        <w:autoSpaceDN w:val="0"/>
        <w:adjustRightInd w:val="0"/>
        <w:ind w:firstLine="708"/>
        <w:jc w:val="both"/>
      </w:pPr>
      <w:r>
        <w:rPr>
          <w:rFonts w:ascii="Calibri" w:eastAsia="SegoeUI" w:hAnsi="Calibri"/>
          <w:color w:val="000000"/>
          <w:szCs w:val="22"/>
        </w:rPr>
        <w:t xml:space="preserve">W ramach </w:t>
      </w:r>
      <w:r w:rsidR="00661129">
        <w:rPr>
          <w:rFonts w:ascii="Calibri" w:eastAsia="SegoeUI" w:hAnsi="Calibri"/>
          <w:color w:val="000000"/>
          <w:szCs w:val="22"/>
        </w:rPr>
        <w:t>„</w:t>
      </w:r>
      <w:r>
        <w:rPr>
          <w:rFonts w:ascii="Calibri" w:eastAsia="SegoeUI" w:hAnsi="Calibri"/>
          <w:color w:val="000000"/>
          <w:szCs w:val="22"/>
        </w:rPr>
        <w:t>Gminnego Programu Rewitalizacji. Bytom 2020+</w:t>
      </w:r>
      <w:r w:rsidR="00661129">
        <w:rPr>
          <w:rFonts w:ascii="Calibri" w:eastAsia="SegoeUI" w:hAnsi="Calibri"/>
          <w:color w:val="000000"/>
          <w:szCs w:val="22"/>
        </w:rPr>
        <w:t>”</w:t>
      </w:r>
      <w:r>
        <w:rPr>
          <w:rFonts w:ascii="Calibri" w:eastAsia="SegoeUI" w:hAnsi="Calibri"/>
          <w:color w:val="000000"/>
          <w:szCs w:val="22"/>
        </w:rPr>
        <w:t xml:space="preserve"> nie wykazuje si</w:t>
      </w:r>
      <w:r>
        <w:rPr>
          <w:rFonts w:ascii="Calibri" w:eastAsia="SegoeUI" w:hAnsi="Calibri" w:hint="eastAsia"/>
          <w:color w:val="000000"/>
          <w:szCs w:val="22"/>
        </w:rPr>
        <w:t>ę</w:t>
      </w:r>
      <w:r>
        <w:rPr>
          <w:rFonts w:ascii="Calibri" w:eastAsia="SegoeUI" w:hAnsi="Calibri"/>
          <w:color w:val="000000"/>
          <w:szCs w:val="22"/>
        </w:rPr>
        <w:t xml:space="preserve"> konieczno</w:t>
      </w:r>
      <w:r>
        <w:rPr>
          <w:rFonts w:ascii="Calibri" w:eastAsia="SegoeUI" w:hAnsi="Calibri" w:hint="eastAsia"/>
          <w:color w:val="000000"/>
          <w:szCs w:val="22"/>
        </w:rPr>
        <w:t>ś</w:t>
      </w:r>
      <w:r>
        <w:rPr>
          <w:rFonts w:ascii="Calibri" w:eastAsia="SegoeUI" w:hAnsi="Calibri"/>
          <w:color w:val="000000"/>
          <w:szCs w:val="22"/>
        </w:rPr>
        <w:t>ci sporz</w:t>
      </w:r>
      <w:r>
        <w:rPr>
          <w:rFonts w:ascii="Calibri" w:eastAsia="SegoeUI" w:hAnsi="Calibri" w:hint="eastAsia"/>
          <w:color w:val="000000"/>
          <w:szCs w:val="22"/>
        </w:rPr>
        <w:t>ą</w:t>
      </w:r>
      <w:r>
        <w:rPr>
          <w:rFonts w:ascii="Calibri" w:eastAsia="SegoeUI" w:hAnsi="Calibri"/>
          <w:color w:val="000000"/>
          <w:szCs w:val="22"/>
        </w:rPr>
        <w:t>dzenia i uchwalenia miejscowego planu rewitalizacji.</w:t>
      </w:r>
      <w:bookmarkStart w:id="8801" w:name="_Toc460186200"/>
      <w:bookmarkStart w:id="8802" w:name="_Toc460313329"/>
    </w:p>
    <w:p w:rsidR="00315DDC" w:rsidRPr="00315DDC" w:rsidRDefault="000C70A4" w:rsidP="00315DDC">
      <w:pPr>
        <w:pStyle w:val="Nagwek1"/>
        <w:numPr>
          <w:ilvl w:val="0"/>
          <w:numId w:val="44"/>
        </w:numPr>
        <w:ind w:left="357" w:hanging="357"/>
      </w:pPr>
      <w:bookmarkStart w:id="8803" w:name="_Toc474924978"/>
      <w:r w:rsidRPr="00F80B1C">
        <w:t>ZARZĄDZANIE</w:t>
      </w:r>
      <w:bookmarkStart w:id="8804" w:name="_Toc460313330"/>
      <w:bookmarkStart w:id="8805" w:name="_Toc460186201"/>
      <w:bookmarkEnd w:id="8801"/>
      <w:bookmarkEnd w:id="8802"/>
      <w:bookmarkEnd w:id="8803"/>
    </w:p>
    <w:p w:rsidR="00FA55EA" w:rsidRPr="00FA55EA" w:rsidRDefault="00FA55EA" w:rsidP="006D764E">
      <w:pPr>
        <w:pStyle w:val="Akapitzlist"/>
        <w:keepNext/>
        <w:keepLines/>
        <w:numPr>
          <w:ilvl w:val="0"/>
          <w:numId w:val="189"/>
        </w:numPr>
        <w:spacing w:before="240" w:after="120"/>
        <w:jc w:val="both"/>
        <w:outlineLvl w:val="1"/>
        <w:rPr>
          <w:rFonts w:eastAsia="Times New Roman"/>
          <w:b/>
          <w:bCs/>
          <w:vanish/>
          <w:color w:val="3366FF"/>
          <w:sz w:val="28"/>
          <w:szCs w:val="28"/>
          <w:lang w:eastAsia="pl-PL"/>
        </w:rPr>
      </w:pPr>
      <w:bookmarkStart w:id="8806" w:name="_Toc468258682"/>
      <w:bookmarkStart w:id="8807" w:name="_Toc468258813"/>
      <w:bookmarkStart w:id="8808" w:name="_Toc468258946"/>
      <w:bookmarkStart w:id="8809" w:name="_Toc468259075"/>
      <w:bookmarkStart w:id="8810" w:name="_Toc468259204"/>
      <w:bookmarkStart w:id="8811" w:name="_Toc468259333"/>
      <w:bookmarkStart w:id="8812" w:name="_Toc468259590"/>
      <w:bookmarkStart w:id="8813" w:name="_Toc468259722"/>
      <w:bookmarkStart w:id="8814" w:name="_Toc468259852"/>
      <w:bookmarkStart w:id="8815" w:name="_Toc468259983"/>
      <w:bookmarkStart w:id="8816" w:name="_Toc468260112"/>
      <w:bookmarkStart w:id="8817" w:name="_Toc468260241"/>
      <w:bookmarkStart w:id="8818" w:name="_Toc468260370"/>
      <w:bookmarkStart w:id="8819" w:name="_Toc468260499"/>
      <w:bookmarkStart w:id="8820" w:name="_Toc468260628"/>
      <w:bookmarkStart w:id="8821" w:name="_Toc468260757"/>
      <w:bookmarkStart w:id="8822" w:name="_Toc468260887"/>
      <w:bookmarkStart w:id="8823" w:name="_Toc468261018"/>
      <w:bookmarkStart w:id="8824" w:name="_Toc468261149"/>
      <w:bookmarkStart w:id="8825" w:name="_Toc468261280"/>
      <w:bookmarkStart w:id="8826" w:name="_Toc468261411"/>
      <w:bookmarkStart w:id="8827" w:name="_Toc468261542"/>
      <w:bookmarkStart w:id="8828" w:name="_Toc468266853"/>
      <w:bookmarkStart w:id="8829" w:name="_Toc468266981"/>
      <w:bookmarkStart w:id="8830" w:name="_Toc468267109"/>
      <w:bookmarkStart w:id="8831" w:name="_Toc468269520"/>
      <w:bookmarkStart w:id="8832" w:name="_Toc468279486"/>
      <w:bookmarkStart w:id="8833" w:name="_Toc468360338"/>
      <w:bookmarkStart w:id="8834" w:name="_Toc468361279"/>
      <w:bookmarkStart w:id="8835" w:name="_Toc468363509"/>
      <w:bookmarkStart w:id="8836" w:name="_Toc468366336"/>
      <w:bookmarkStart w:id="8837" w:name="_Toc468428426"/>
      <w:bookmarkStart w:id="8838" w:name="_Toc468691822"/>
      <w:bookmarkStart w:id="8839" w:name="_Toc468691949"/>
      <w:bookmarkStart w:id="8840" w:name="_Toc468692076"/>
      <w:bookmarkStart w:id="8841" w:name="_Toc468694030"/>
      <w:bookmarkStart w:id="8842" w:name="_Toc468712725"/>
      <w:bookmarkStart w:id="8843" w:name="_Toc468712853"/>
      <w:bookmarkStart w:id="8844" w:name="_Toc468712980"/>
      <w:bookmarkStart w:id="8845" w:name="_Toc468713107"/>
      <w:bookmarkStart w:id="8846" w:name="_Toc468713234"/>
      <w:bookmarkStart w:id="8847" w:name="_Toc468713361"/>
      <w:bookmarkStart w:id="8848" w:name="_Toc468713488"/>
      <w:bookmarkStart w:id="8849" w:name="_Toc468713615"/>
      <w:bookmarkStart w:id="8850" w:name="_Toc468713868"/>
      <w:bookmarkStart w:id="8851" w:name="_Toc468713995"/>
      <w:bookmarkStart w:id="8852" w:name="_Toc468714122"/>
      <w:bookmarkStart w:id="8853" w:name="_Toc468787131"/>
      <w:bookmarkStart w:id="8854" w:name="_Toc468787449"/>
      <w:bookmarkStart w:id="8855" w:name="_Toc468787577"/>
      <w:bookmarkStart w:id="8856" w:name="_Toc468787705"/>
      <w:bookmarkStart w:id="8857" w:name="_Toc468787832"/>
      <w:bookmarkStart w:id="8858" w:name="_Toc468787959"/>
      <w:bookmarkStart w:id="8859" w:name="_Toc468788086"/>
      <w:bookmarkStart w:id="8860" w:name="_Toc468957766"/>
      <w:bookmarkStart w:id="8861" w:name="_Toc468957893"/>
      <w:bookmarkStart w:id="8862" w:name="_Toc468958020"/>
      <w:bookmarkStart w:id="8863" w:name="_Toc468958147"/>
      <w:bookmarkStart w:id="8864" w:name="_Toc468958274"/>
      <w:bookmarkStart w:id="8865" w:name="_Toc468958401"/>
      <w:bookmarkStart w:id="8866" w:name="_Toc468958528"/>
      <w:bookmarkStart w:id="8867" w:name="_Toc468958655"/>
      <w:bookmarkStart w:id="8868" w:name="_Toc468958782"/>
      <w:bookmarkStart w:id="8869" w:name="_Toc468958909"/>
      <w:bookmarkStart w:id="8870" w:name="_Toc468959036"/>
      <w:bookmarkStart w:id="8871" w:name="_Toc468959163"/>
      <w:bookmarkStart w:id="8872" w:name="_Toc468960664"/>
      <w:bookmarkStart w:id="8873" w:name="_Toc469035137"/>
      <w:bookmarkStart w:id="8874" w:name="_Toc469056847"/>
      <w:bookmarkStart w:id="8875" w:name="_Toc469321159"/>
      <w:bookmarkStart w:id="8876" w:name="_Toc469323888"/>
      <w:bookmarkStart w:id="8877" w:name="_Toc469324014"/>
      <w:bookmarkStart w:id="8878" w:name="_Toc469324565"/>
      <w:bookmarkStart w:id="8879" w:name="_Toc470695443"/>
      <w:bookmarkStart w:id="8880" w:name="_Toc470695596"/>
      <w:bookmarkStart w:id="8881" w:name="_Toc470697100"/>
      <w:bookmarkStart w:id="8882" w:name="_Toc470699984"/>
      <w:bookmarkStart w:id="8883" w:name="_Toc470762830"/>
      <w:bookmarkStart w:id="8884" w:name="_Toc471114648"/>
      <w:bookmarkStart w:id="8885" w:name="_Toc474393064"/>
      <w:bookmarkStart w:id="8886" w:name="_Toc474497955"/>
      <w:bookmarkStart w:id="8887" w:name="_Toc474498714"/>
      <w:bookmarkStart w:id="8888" w:name="_Toc474844573"/>
      <w:bookmarkStart w:id="8889" w:name="_Toc474844700"/>
      <w:bookmarkStart w:id="8890" w:name="_Toc474919970"/>
      <w:bookmarkStart w:id="8891" w:name="_Toc474924979"/>
      <w:bookmarkEnd w:id="8806"/>
      <w:bookmarkEnd w:id="8807"/>
      <w:bookmarkEnd w:id="8808"/>
      <w:bookmarkEnd w:id="8809"/>
      <w:bookmarkEnd w:id="8810"/>
      <w:bookmarkEnd w:id="8811"/>
      <w:bookmarkEnd w:id="8812"/>
      <w:bookmarkEnd w:id="8813"/>
      <w:bookmarkEnd w:id="8814"/>
      <w:bookmarkEnd w:id="8815"/>
      <w:bookmarkEnd w:id="8816"/>
      <w:bookmarkEnd w:id="8817"/>
      <w:bookmarkEnd w:id="8818"/>
      <w:bookmarkEnd w:id="8819"/>
      <w:bookmarkEnd w:id="8820"/>
      <w:bookmarkEnd w:id="8821"/>
      <w:bookmarkEnd w:id="8822"/>
      <w:bookmarkEnd w:id="8823"/>
      <w:bookmarkEnd w:id="8824"/>
      <w:bookmarkEnd w:id="8825"/>
      <w:bookmarkEnd w:id="8826"/>
      <w:bookmarkEnd w:id="8827"/>
      <w:bookmarkEnd w:id="8828"/>
      <w:bookmarkEnd w:id="8829"/>
      <w:bookmarkEnd w:id="8830"/>
      <w:bookmarkEnd w:id="8831"/>
      <w:bookmarkEnd w:id="8832"/>
      <w:bookmarkEnd w:id="8833"/>
      <w:bookmarkEnd w:id="8834"/>
      <w:bookmarkEnd w:id="8835"/>
      <w:bookmarkEnd w:id="8836"/>
      <w:bookmarkEnd w:id="8837"/>
      <w:bookmarkEnd w:id="8838"/>
      <w:bookmarkEnd w:id="8839"/>
      <w:bookmarkEnd w:id="8840"/>
      <w:bookmarkEnd w:id="8841"/>
      <w:bookmarkEnd w:id="8842"/>
      <w:bookmarkEnd w:id="8843"/>
      <w:bookmarkEnd w:id="8844"/>
      <w:bookmarkEnd w:id="8845"/>
      <w:bookmarkEnd w:id="8846"/>
      <w:bookmarkEnd w:id="8847"/>
      <w:bookmarkEnd w:id="8848"/>
      <w:bookmarkEnd w:id="8849"/>
      <w:bookmarkEnd w:id="8850"/>
      <w:bookmarkEnd w:id="8851"/>
      <w:bookmarkEnd w:id="8852"/>
      <w:bookmarkEnd w:id="8853"/>
      <w:bookmarkEnd w:id="8854"/>
      <w:bookmarkEnd w:id="8855"/>
      <w:bookmarkEnd w:id="8856"/>
      <w:bookmarkEnd w:id="8857"/>
      <w:bookmarkEnd w:id="8858"/>
      <w:bookmarkEnd w:id="8859"/>
      <w:bookmarkEnd w:id="8860"/>
      <w:bookmarkEnd w:id="8861"/>
      <w:bookmarkEnd w:id="8862"/>
      <w:bookmarkEnd w:id="8863"/>
      <w:bookmarkEnd w:id="8864"/>
      <w:bookmarkEnd w:id="8865"/>
      <w:bookmarkEnd w:id="8866"/>
      <w:bookmarkEnd w:id="8867"/>
      <w:bookmarkEnd w:id="8868"/>
      <w:bookmarkEnd w:id="8869"/>
      <w:bookmarkEnd w:id="8870"/>
      <w:bookmarkEnd w:id="8871"/>
      <w:bookmarkEnd w:id="8872"/>
      <w:bookmarkEnd w:id="8873"/>
      <w:bookmarkEnd w:id="8874"/>
      <w:bookmarkEnd w:id="8875"/>
      <w:bookmarkEnd w:id="8876"/>
      <w:bookmarkEnd w:id="8877"/>
      <w:bookmarkEnd w:id="8878"/>
      <w:bookmarkEnd w:id="8879"/>
      <w:bookmarkEnd w:id="8880"/>
      <w:bookmarkEnd w:id="8881"/>
      <w:bookmarkEnd w:id="8882"/>
      <w:bookmarkEnd w:id="8883"/>
      <w:bookmarkEnd w:id="8884"/>
      <w:bookmarkEnd w:id="8885"/>
      <w:bookmarkEnd w:id="8886"/>
      <w:bookmarkEnd w:id="8887"/>
      <w:bookmarkEnd w:id="8888"/>
      <w:bookmarkEnd w:id="8889"/>
      <w:bookmarkEnd w:id="8890"/>
      <w:bookmarkEnd w:id="8891"/>
    </w:p>
    <w:p w:rsidR="00FA55EA" w:rsidRPr="00FA55EA" w:rsidRDefault="00FA55EA" w:rsidP="006D764E">
      <w:pPr>
        <w:pStyle w:val="Akapitzlist"/>
        <w:keepNext/>
        <w:keepLines/>
        <w:numPr>
          <w:ilvl w:val="0"/>
          <w:numId w:val="189"/>
        </w:numPr>
        <w:spacing w:before="240" w:after="120"/>
        <w:jc w:val="both"/>
        <w:outlineLvl w:val="1"/>
        <w:rPr>
          <w:rFonts w:eastAsia="Times New Roman"/>
          <w:b/>
          <w:bCs/>
          <w:vanish/>
          <w:color w:val="3366FF"/>
          <w:sz w:val="28"/>
          <w:szCs w:val="28"/>
          <w:lang w:eastAsia="pl-PL"/>
        </w:rPr>
      </w:pPr>
      <w:bookmarkStart w:id="8892" w:name="_Toc468258683"/>
      <w:bookmarkStart w:id="8893" w:name="_Toc468258814"/>
      <w:bookmarkStart w:id="8894" w:name="_Toc468258947"/>
      <w:bookmarkStart w:id="8895" w:name="_Toc468259076"/>
      <w:bookmarkStart w:id="8896" w:name="_Toc468259205"/>
      <w:bookmarkStart w:id="8897" w:name="_Toc468259334"/>
      <w:bookmarkStart w:id="8898" w:name="_Toc468259591"/>
      <w:bookmarkStart w:id="8899" w:name="_Toc468259723"/>
      <w:bookmarkStart w:id="8900" w:name="_Toc468259853"/>
      <w:bookmarkStart w:id="8901" w:name="_Toc468259984"/>
      <w:bookmarkStart w:id="8902" w:name="_Toc468260113"/>
      <w:bookmarkStart w:id="8903" w:name="_Toc468260242"/>
      <w:bookmarkStart w:id="8904" w:name="_Toc468260371"/>
      <w:bookmarkStart w:id="8905" w:name="_Toc468260500"/>
      <w:bookmarkStart w:id="8906" w:name="_Toc468260629"/>
      <w:bookmarkStart w:id="8907" w:name="_Toc468260758"/>
      <w:bookmarkStart w:id="8908" w:name="_Toc468260888"/>
      <w:bookmarkStart w:id="8909" w:name="_Toc468261019"/>
      <w:bookmarkStart w:id="8910" w:name="_Toc468261150"/>
      <w:bookmarkStart w:id="8911" w:name="_Toc468261281"/>
      <w:bookmarkStart w:id="8912" w:name="_Toc468261412"/>
      <w:bookmarkStart w:id="8913" w:name="_Toc468261543"/>
      <w:bookmarkStart w:id="8914" w:name="_Toc468266854"/>
      <w:bookmarkStart w:id="8915" w:name="_Toc468266982"/>
      <w:bookmarkStart w:id="8916" w:name="_Toc468267110"/>
      <w:bookmarkStart w:id="8917" w:name="_Toc468269521"/>
      <w:bookmarkStart w:id="8918" w:name="_Toc468279487"/>
      <w:bookmarkStart w:id="8919" w:name="_Toc468360339"/>
      <w:bookmarkStart w:id="8920" w:name="_Toc468361280"/>
      <w:bookmarkStart w:id="8921" w:name="_Toc468363510"/>
      <w:bookmarkStart w:id="8922" w:name="_Toc468366337"/>
      <w:bookmarkStart w:id="8923" w:name="_Toc468428427"/>
      <w:bookmarkStart w:id="8924" w:name="_Toc468691823"/>
      <w:bookmarkStart w:id="8925" w:name="_Toc468691950"/>
      <w:bookmarkStart w:id="8926" w:name="_Toc468692077"/>
      <w:bookmarkStart w:id="8927" w:name="_Toc468694031"/>
      <w:bookmarkStart w:id="8928" w:name="_Toc468712726"/>
      <w:bookmarkStart w:id="8929" w:name="_Toc468712854"/>
      <w:bookmarkStart w:id="8930" w:name="_Toc468712981"/>
      <w:bookmarkStart w:id="8931" w:name="_Toc468713108"/>
      <w:bookmarkStart w:id="8932" w:name="_Toc468713235"/>
      <w:bookmarkStart w:id="8933" w:name="_Toc468713362"/>
      <w:bookmarkStart w:id="8934" w:name="_Toc468713489"/>
      <w:bookmarkStart w:id="8935" w:name="_Toc468713616"/>
      <w:bookmarkStart w:id="8936" w:name="_Toc468713869"/>
      <w:bookmarkStart w:id="8937" w:name="_Toc468713996"/>
      <w:bookmarkStart w:id="8938" w:name="_Toc468714123"/>
      <w:bookmarkStart w:id="8939" w:name="_Toc468787132"/>
      <w:bookmarkStart w:id="8940" w:name="_Toc468787450"/>
      <w:bookmarkStart w:id="8941" w:name="_Toc468787578"/>
      <w:bookmarkStart w:id="8942" w:name="_Toc468787706"/>
      <w:bookmarkStart w:id="8943" w:name="_Toc468787833"/>
      <w:bookmarkStart w:id="8944" w:name="_Toc468787960"/>
      <w:bookmarkStart w:id="8945" w:name="_Toc468788087"/>
      <w:bookmarkStart w:id="8946" w:name="_Toc468957767"/>
      <w:bookmarkStart w:id="8947" w:name="_Toc468957894"/>
      <w:bookmarkStart w:id="8948" w:name="_Toc468958021"/>
      <w:bookmarkStart w:id="8949" w:name="_Toc468958148"/>
      <w:bookmarkStart w:id="8950" w:name="_Toc468958275"/>
      <w:bookmarkStart w:id="8951" w:name="_Toc468958402"/>
      <w:bookmarkStart w:id="8952" w:name="_Toc468958529"/>
      <w:bookmarkStart w:id="8953" w:name="_Toc468958656"/>
      <w:bookmarkStart w:id="8954" w:name="_Toc468958783"/>
      <w:bookmarkStart w:id="8955" w:name="_Toc468958910"/>
      <w:bookmarkStart w:id="8956" w:name="_Toc468959037"/>
      <w:bookmarkStart w:id="8957" w:name="_Toc468959164"/>
      <w:bookmarkStart w:id="8958" w:name="_Toc468960665"/>
      <w:bookmarkStart w:id="8959" w:name="_Toc469035138"/>
      <w:bookmarkStart w:id="8960" w:name="_Toc469056848"/>
      <w:bookmarkStart w:id="8961" w:name="_Toc469321160"/>
      <w:bookmarkStart w:id="8962" w:name="_Toc469323889"/>
      <w:bookmarkStart w:id="8963" w:name="_Toc469324015"/>
      <w:bookmarkStart w:id="8964" w:name="_Toc469324566"/>
      <w:bookmarkStart w:id="8965" w:name="_Toc470695444"/>
      <w:bookmarkStart w:id="8966" w:name="_Toc470695597"/>
      <w:bookmarkStart w:id="8967" w:name="_Toc470697101"/>
      <w:bookmarkStart w:id="8968" w:name="_Toc470699985"/>
      <w:bookmarkStart w:id="8969" w:name="_Toc470762831"/>
      <w:bookmarkStart w:id="8970" w:name="_Toc471114649"/>
      <w:bookmarkStart w:id="8971" w:name="_Toc474393065"/>
      <w:bookmarkStart w:id="8972" w:name="_Toc474497956"/>
      <w:bookmarkStart w:id="8973" w:name="_Toc474498715"/>
      <w:bookmarkStart w:id="8974" w:name="_Toc474844574"/>
      <w:bookmarkStart w:id="8975" w:name="_Toc474844701"/>
      <w:bookmarkStart w:id="8976" w:name="_Toc474919971"/>
      <w:bookmarkStart w:id="8977" w:name="_Toc474924980"/>
      <w:bookmarkEnd w:id="8892"/>
      <w:bookmarkEnd w:id="8893"/>
      <w:bookmarkEnd w:id="8894"/>
      <w:bookmarkEnd w:id="8895"/>
      <w:bookmarkEnd w:id="8896"/>
      <w:bookmarkEnd w:id="8897"/>
      <w:bookmarkEnd w:id="8898"/>
      <w:bookmarkEnd w:id="8899"/>
      <w:bookmarkEnd w:id="8900"/>
      <w:bookmarkEnd w:id="8901"/>
      <w:bookmarkEnd w:id="8902"/>
      <w:bookmarkEnd w:id="8903"/>
      <w:bookmarkEnd w:id="8904"/>
      <w:bookmarkEnd w:id="8905"/>
      <w:bookmarkEnd w:id="8906"/>
      <w:bookmarkEnd w:id="8907"/>
      <w:bookmarkEnd w:id="8908"/>
      <w:bookmarkEnd w:id="8909"/>
      <w:bookmarkEnd w:id="8910"/>
      <w:bookmarkEnd w:id="8911"/>
      <w:bookmarkEnd w:id="8912"/>
      <w:bookmarkEnd w:id="8913"/>
      <w:bookmarkEnd w:id="8914"/>
      <w:bookmarkEnd w:id="8915"/>
      <w:bookmarkEnd w:id="8916"/>
      <w:bookmarkEnd w:id="8917"/>
      <w:bookmarkEnd w:id="8918"/>
      <w:bookmarkEnd w:id="8919"/>
      <w:bookmarkEnd w:id="8920"/>
      <w:bookmarkEnd w:id="8921"/>
      <w:bookmarkEnd w:id="8922"/>
      <w:bookmarkEnd w:id="8923"/>
      <w:bookmarkEnd w:id="8924"/>
      <w:bookmarkEnd w:id="8925"/>
      <w:bookmarkEnd w:id="8926"/>
      <w:bookmarkEnd w:id="8927"/>
      <w:bookmarkEnd w:id="8928"/>
      <w:bookmarkEnd w:id="8929"/>
      <w:bookmarkEnd w:id="8930"/>
      <w:bookmarkEnd w:id="8931"/>
      <w:bookmarkEnd w:id="8932"/>
      <w:bookmarkEnd w:id="8933"/>
      <w:bookmarkEnd w:id="8934"/>
      <w:bookmarkEnd w:id="8935"/>
      <w:bookmarkEnd w:id="8936"/>
      <w:bookmarkEnd w:id="8937"/>
      <w:bookmarkEnd w:id="8938"/>
      <w:bookmarkEnd w:id="8939"/>
      <w:bookmarkEnd w:id="8940"/>
      <w:bookmarkEnd w:id="8941"/>
      <w:bookmarkEnd w:id="8942"/>
      <w:bookmarkEnd w:id="8943"/>
      <w:bookmarkEnd w:id="8944"/>
      <w:bookmarkEnd w:id="8945"/>
      <w:bookmarkEnd w:id="8946"/>
      <w:bookmarkEnd w:id="8947"/>
      <w:bookmarkEnd w:id="8948"/>
      <w:bookmarkEnd w:id="8949"/>
      <w:bookmarkEnd w:id="8950"/>
      <w:bookmarkEnd w:id="8951"/>
      <w:bookmarkEnd w:id="8952"/>
      <w:bookmarkEnd w:id="8953"/>
      <w:bookmarkEnd w:id="8954"/>
      <w:bookmarkEnd w:id="8955"/>
      <w:bookmarkEnd w:id="8956"/>
      <w:bookmarkEnd w:id="8957"/>
      <w:bookmarkEnd w:id="8958"/>
      <w:bookmarkEnd w:id="8959"/>
      <w:bookmarkEnd w:id="8960"/>
      <w:bookmarkEnd w:id="8961"/>
      <w:bookmarkEnd w:id="8962"/>
      <w:bookmarkEnd w:id="8963"/>
      <w:bookmarkEnd w:id="8964"/>
      <w:bookmarkEnd w:id="8965"/>
      <w:bookmarkEnd w:id="8966"/>
      <w:bookmarkEnd w:id="8967"/>
      <w:bookmarkEnd w:id="8968"/>
      <w:bookmarkEnd w:id="8969"/>
      <w:bookmarkEnd w:id="8970"/>
      <w:bookmarkEnd w:id="8971"/>
      <w:bookmarkEnd w:id="8972"/>
      <w:bookmarkEnd w:id="8973"/>
      <w:bookmarkEnd w:id="8974"/>
      <w:bookmarkEnd w:id="8975"/>
      <w:bookmarkEnd w:id="8976"/>
      <w:bookmarkEnd w:id="8977"/>
    </w:p>
    <w:p w:rsidR="00FA55EA" w:rsidRPr="00FA55EA" w:rsidRDefault="00FA55EA" w:rsidP="006D764E">
      <w:pPr>
        <w:pStyle w:val="Akapitzlist"/>
        <w:keepNext/>
        <w:keepLines/>
        <w:numPr>
          <w:ilvl w:val="0"/>
          <w:numId w:val="189"/>
        </w:numPr>
        <w:spacing w:before="240" w:after="120"/>
        <w:jc w:val="both"/>
        <w:outlineLvl w:val="1"/>
        <w:rPr>
          <w:rFonts w:eastAsia="Times New Roman"/>
          <w:b/>
          <w:bCs/>
          <w:vanish/>
          <w:color w:val="3366FF"/>
          <w:sz w:val="28"/>
          <w:szCs w:val="28"/>
          <w:lang w:eastAsia="pl-PL"/>
        </w:rPr>
      </w:pPr>
      <w:bookmarkStart w:id="8978" w:name="_Toc468258684"/>
      <w:bookmarkStart w:id="8979" w:name="_Toc468258815"/>
      <w:bookmarkStart w:id="8980" w:name="_Toc468258948"/>
      <w:bookmarkStart w:id="8981" w:name="_Toc468259077"/>
      <w:bookmarkStart w:id="8982" w:name="_Toc468259206"/>
      <w:bookmarkStart w:id="8983" w:name="_Toc468259335"/>
      <w:bookmarkStart w:id="8984" w:name="_Toc468259592"/>
      <w:bookmarkStart w:id="8985" w:name="_Toc468259724"/>
      <w:bookmarkStart w:id="8986" w:name="_Toc468259854"/>
      <w:bookmarkStart w:id="8987" w:name="_Toc468259985"/>
      <w:bookmarkStart w:id="8988" w:name="_Toc468260114"/>
      <w:bookmarkStart w:id="8989" w:name="_Toc468260243"/>
      <w:bookmarkStart w:id="8990" w:name="_Toc468260372"/>
      <w:bookmarkStart w:id="8991" w:name="_Toc468260501"/>
      <w:bookmarkStart w:id="8992" w:name="_Toc468260630"/>
      <w:bookmarkStart w:id="8993" w:name="_Toc468260759"/>
      <w:bookmarkStart w:id="8994" w:name="_Toc468260889"/>
      <w:bookmarkStart w:id="8995" w:name="_Toc468261020"/>
      <w:bookmarkStart w:id="8996" w:name="_Toc468261151"/>
      <w:bookmarkStart w:id="8997" w:name="_Toc468261282"/>
      <w:bookmarkStart w:id="8998" w:name="_Toc468261413"/>
      <w:bookmarkStart w:id="8999" w:name="_Toc468261544"/>
      <w:bookmarkStart w:id="9000" w:name="_Toc468266855"/>
      <w:bookmarkStart w:id="9001" w:name="_Toc468266983"/>
      <w:bookmarkStart w:id="9002" w:name="_Toc468267111"/>
      <w:bookmarkStart w:id="9003" w:name="_Toc468269522"/>
      <w:bookmarkStart w:id="9004" w:name="_Toc468279488"/>
      <w:bookmarkStart w:id="9005" w:name="_Toc468360340"/>
      <w:bookmarkStart w:id="9006" w:name="_Toc468361281"/>
      <w:bookmarkStart w:id="9007" w:name="_Toc468363511"/>
      <w:bookmarkStart w:id="9008" w:name="_Toc468366338"/>
      <w:bookmarkStart w:id="9009" w:name="_Toc468428428"/>
      <w:bookmarkStart w:id="9010" w:name="_Toc468691824"/>
      <w:bookmarkStart w:id="9011" w:name="_Toc468691951"/>
      <w:bookmarkStart w:id="9012" w:name="_Toc468692078"/>
      <w:bookmarkStart w:id="9013" w:name="_Toc468694032"/>
      <w:bookmarkStart w:id="9014" w:name="_Toc468712727"/>
      <w:bookmarkStart w:id="9015" w:name="_Toc468712855"/>
      <w:bookmarkStart w:id="9016" w:name="_Toc468712982"/>
      <w:bookmarkStart w:id="9017" w:name="_Toc468713109"/>
      <w:bookmarkStart w:id="9018" w:name="_Toc468713236"/>
      <w:bookmarkStart w:id="9019" w:name="_Toc468713363"/>
      <w:bookmarkStart w:id="9020" w:name="_Toc468713490"/>
      <w:bookmarkStart w:id="9021" w:name="_Toc468713617"/>
      <w:bookmarkStart w:id="9022" w:name="_Toc468713870"/>
      <w:bookmarkStart w:id="9023" w:name="_Toc468713997"/>
      <w:bookmarkStart w:id="9024" w:name="_Toc468714124"/>
      <w:bookmarkStart w:id="9025" w:name="_Toc468787133"/>
      <w:bookmarkStart w:id="9026" w:name="_Toc468787451"/>
      <w:bookmarkStart w:id="9027" w:name="_Toc468787579"/>
      <w:bookmarkStart w:id="9028" w:name="_Toc468787707"/>
      <w:bookmarkStart w:id="9029" w:name="_Toc468787834"/>
      <w:bookmarkStart w:id="9030" w:name="_Toc468787961"/>
      <w:bookmarkStart w:id="9031" w:name="_Toc468788088"/>
      <w:bookmarkStart w:id="9032" w:name="_Toc468957768"/>
      <w:bookmarkStart w:id="9033" w:name="_Toc468957895"/>
      <w:bookmarkStart w:id="9034" w:name="_Toc468958022"/>
      <w:bookmarkStart w:id="9035" w:name="_Toc468958149"/>
      <w:bookmarkStart w:id="9036" w:name="_Toc468958276"/>
      <w:bookmarkStart w:id="9037" w:name="_Toc468958403"/>
      <w:bookmarkStart w:id="9038" w:name="_Toc468958530"/>
      <w:bookmarkStart w:id="9039" w:name="_Toc468958657"/>
      <w:bookmarkStart w:id="9040" w:name="_Toc468958784"/>
      <w:bookmarkStart w:id="9041" w:name="_Toc468958911"/>
      <w:bookmarkStart w:id="9042" w:name="_Toc468959038"/>
      <w:bookmarkStart w:id="9043" w:name="_Toc468959165"/>
      <w:bookmarkStart w:id="9044" w:name="_Toc468960666"/>
      <w:bookmarkStart w:id="9045" w:name="_Toc469035139"/>
      <w:bookmarkStart w:id="9046" w:name="_Toc469056849"/>
      <w:bookmarkStart w:id="9047" w:name="_Toc469321161"/>
      <w:bookmarkStart w:id="9048" w:name="_Toc469323890"/>
      <w:bookmarkStart w:id="9049" w:name="_Toc469324016"/>
      <w:bookmarkStart w:id="9050" w:name="_Toc469324567"/>
      <w:bookmarkStart w:id="9051" w:name="_Toc470695445"/>
      <w:bookmarkStart w:id="9052" w:name="_Toc470695598"/>
      <w:bookmarkStart w:id="9053" w:name="_Toc470697102"/>
      <w:bookmarkStart w:id="9054" w:name="_Toc470699986"/>
      <w:bookmarkStart w:id="9055" w:name="_Toc470762832"/>
      <w:bookmarkStart w:id="9056" w:name="_Toc471114650"/>
      <w:bookmarkStart w:id="9057" w:name="_Toc474393066"/>
      <w:bookmarkStart w:id="9058" w:name="_Toc474497957"/>
      <w:bookmarkStart w:id="9059" w:name="_Toc474498716"/>
      <w:bookmarkStart w:id="9060" w:name="_Toc474844575"/>
      <w:bookmarkStart w:id="9061" w:name="_Toc474844702"/>
      <w:bookmarkStart w:id="9062" w:name="_Toc474919972"/>
      <w:bookmarkStart w:id="9063" w:name="_Toc474924981"/>
      <w:bookmarkEnd w:id="8978"/>
      <w:bookmarkEnd w:id="8979"/>
      <w:bookmarkEnd w:id="8980"/>
      <w:bookmarkEnd w:id="8981"/>
      <w:bookmarkEnd w:id="8982"/>
      <w:bookmarkEnd w:id="8983"/>
      <w:bookmarkEnd w:id="8984"/>
      <w:bookmarkEnd w:id="8985"/>
      <w:bookmarkEnd w:id="8986"/>
      <w:bookmarkEnd w:id="8987"/>
      <w:bookmarkEnd w:id="8988"/>
      <w:bookmarkEnd w:id="8989"/>
      <w:bookmarkEnd w:id="8990"/>
      <w:bookmarkEnd w:id="8991"/>
      <w:bookmarkEnd w:id="8992"/>
      <w:bookmarkEnd w:id="8993"/>
      <w:bookmarkEnd w:id="8994"/>
      <w:bookmarkEnd w:id="8995"/>
      <w:bookmarkEnd w:id="8996"/>
      <w:bookmarkEnd w:id="8997"/>
      <w:bookmarkEnd w:id="8998"/>
      <w:bookmarkEnd w:id="8999"/>
      <w:bookmarkEnd w:id="9000"/>
      <w:bookmarkEnd w:id="9001"/>
      <w:bookmarkEnd w:id="9002"/>
      <w:bookmarkEnd w:id="9003"/>
      <w:bookmarkEnd w:id="9004"/>
      <w:bookmarkEnd w:id="9005"/>
      <w:bookmarkEnd w:id="9006"/>
      <w:bookmarkEnd w:id="9007"/>
      <w:bookmarkEnd w:id="9008"/>
      <w:bookmarkEnd w:id="9009"/>
      <w:bookmarkEnd w:id="9010"/>
      <w:bookmarkEnd w:id="9011"/>
      <w:bookmarkEnd w:id="9012"/>
      <w:bookmarkEnd w:id="9013"/>
      <w:bookmarkEnd w:id="9014"/>
      <w:bookmarkEnd w:id="9015"/>
      <w:bookmarkEnd w:id="9016"/>
      <w:bookmarkEnd w:id="9017"/>
      <w:bookmarkEnd w:id="9018"/>
      <w:bookmarkEnd w:id="9019"/>
      <w:bookmarkEnd w:id="9020"/>
      <w:bookmarkEnd w:id="9021"/>
      <w:bookmarkEnd w:id="9022"/>
      <w:bookmarkEnd w:id="9023"/>
      <w:bookmarkEnd w:id="9024"/>
      <w:bookmarkEnd w:id="9025"/>
      <w:bookmarkEnd w:id="9026"/>
      <w:bookmarkEnd w:id="9027"/>
      <w:bookmarkEnd w:id="9028"/>
      <w:bookmarkEnd w:id="9029"/>
      <w:bookmarkEnd w:id="9030"/>
      <w:bookmarkEnd w:id="9031"/>
      <w:bookmarkEnd w:id="9032"/>
      <w:bookmarkEnd w:id="9033"/>
      <w:bookmarkEnd w:id="9034"/>
      <w:bookmarkEnd w:id="9035"/>
      <w:bookmarkEnd w:id="9036"/>
      <w:bookmarkEnd w:id="9037"/>
      <w:bookmarkEnd w:id="9038"/>
      <w:bookmarkEnd w:id="9039"/>
      <w:bookmarkEnd w:id="9040"/>
      <w:bookmarkEnd w:id="9041"/>
      <w:bookmarkEnd w:id="9042"/>
      <w:bookmarkEnd w:id="9043"/>
      <w:bookmarkEnd w:id="9044"/>
      <w:bookmarkEnd w:id="9045"/>
      <w:bookmarkEnd w:id="9046"/>
      <w:bookmarkEnd w:id="9047"/>
      <w:bookmarkEnd w:id="9048"/>
      <w:bookmarkEnd w:id="9049"/>
      <w:bookmarkEnd w:id="9050"/>
      <w:bookmarkEnd w:id="9051"/>
      <w:bookmarkEnd w:id="9052"/>
      <w:bookmarkEnd w:id="9053"/>
      <w:bookmarkEnd w:id="9054"/>
      <w:bookmarkEnd w:id="9055"/>
      <w:bookmarkEnd w:id="9056"/>
      <w:bookmarkEnd w:id="9057"/>
      <w:bookmarkEnd w:id="9058"/>
      <w:bookmarkEnd w:id="9059"/>
      <w:bookmarkEnd w:id="9060"/>
      <w:bookmarkEnd w:id="9061"/>
      <w:bookmarkEnd w:id="9062"/>
      <w:bookmarkEnd w:id="9063"/>
    </w:p>
    <w:p w:rsidR="00FA55EA" w:rsidRPr="00FA55EA" w:rsidRDefault="00FA55EA" w:rsidP="006D764E">
      <w:pPr>
        <w:pStyle w:val="Akapitzlist"/>
        <w:keepNext/>
        <w:keepLines/>
        <w:numPr>
          <w:ilvl w:val="0"/>
          <w:numId w:val="189"/>
        </w:numPr>
        <w:spacing w:before="240" w:after="120"/>
        <w:jc w:val="both"/>
        <w:outlineLvl w:val="1"/>
        <w:rPr>
          <w:rFonts w:eastAsia="Times New Roman"/>
          <w:b/>
          <w:bCs/>
          <w:vanish/>
          <w:color w:val="3366FF"/>
          <w:sz w:val="28"/>
          <w:szCs w:val="28"/>
          <w:lang w:eastAsia="pl-PL"/>
        </w:rPr>
      </w:pPr>
      <w:bookmarkStart w:id="9064" w:name="_Toc468258685"/>
      <w:bookmarkStart w:id="9065" w:name="_Toc468258816"/>
      <w:bookmarkStart w:id="9066" w:name="_Toc468258949"/>
      <w:bookmarkStart w:id="9067" w:name="_Toc468259078"/>
      <w:bookmarkStart w:id="9068" w:name="_Toc468259207"/>
      <w:bookmarkStart w:id="9069" w:name="_Toc468259336"/>
      <w:bookmarkStart w:id="9070" w:name="_Toc468259593"/>
      <w:bookmarkStart w:id="9071" w:name="_Toc468259725"/>
      <w:bookmarkStart w:id="9072" w:name="_Toc468259855"/>
      <w:bookmarkStart w:id="9073" w:name="_Toc468259986"/>
      <w:bookmarkStart w:id="9074" w:name="_Toc468260115"/>
      <w:bookmarkStart w:id="9075" w:name="_Toc468260244"/>
      <w:bookmarkStart w:id="9076" w:name="_Toc468260373"/>
      <w:bookmarkStart w:id="9077" w:name="_Toc468260502"/>
      <w:bookmarkStart w:id="9078" w:name="_Toc468260631"/>
      <w:bookmarkStart w:id="9079" w:name="_Toc468260760"/>
      <w:bookmarkStart w:id="9080" w:name="_Toc468260890"/>
      <w:bookmarkStart w:id="9081" w:name="_Toc468261021"/>
      <w:bookmarkStart w:id="9082" w:name="_Toc468261152"/>
      <w:bookmarkStart w:id="9083" w:name="_Toc468261283"/>
      <w:bookmarkStart w:id="9084" w:name="_Toc468261414"/>
      <w:bookmarkStart w:id="9085" w:name="_Toc468261545"/>
      <w:bookmarkStart w:id="9086" w:name="_Toc468266856"/>
      <w:bookmarkStart w:id="9087" w:name="_Toc468266984"/>
      <w:bookmarkStart w:id="9088" w:name="_Toc468267112"/>
      <w:bookmarkStart w:id="9089" w:name="_Toc468269523"/>
      <w:bookmarkStart w:id="9090" w:name="_Toc468279489"/>
      <w:bookmarkStart w:id="9091" w:name="_Toc468360341"/>
      <w:bookmarkStart w:id="9092" w:name="_Toc468361282"/>
      <w:bookmarkStart w:id="9093" w:name="_Toc468363512"/>
      <w:bookmarkStart w:id="9094" w:name="_Toc468366339"/>
      <w:bookmarkStart w:id="9095" w:name="_Toc468428429"/>
      <w:bookmarkStart w:id="9096" w:name="_Toc468691825"/>
      <w:bookmarkStart w:id="9097" w:name="_Toc468691952"/>
      <w:bookmarkStart w:id="9098" w:name="_Toc468692079"/>
      <w:bookmarkStart w:id="9099" w:name="_Toc468694033"/>
      <w:bookmarkStart w:id="9100" w:name="_Toc468712728"/>
      <w:bookmarkStart w:id="9101" w:name="_Toc468712856"/>
      <w:bookmarkStart w:id="9102" w:name="_Toc468712983"/>
      <w:bookmarkStart w:id="9103" w:name="_Toc468713110"/>
      <w:bookmarkStart w:id="9104" w:name="_Toc468713237"/>
      <w:bookmarkStart w:id="9105" w:name="_Toc468713364"/>
      <w:bookmarkStart w:id="9106" w:name="_Toc468713491"/>
      <w:bookmarkStart w:id="9107" w:name="_Toc468713618"/>
      <w:bookmarkStart w:id="9108" w:name="_Toc468713871"/>
      <w:bookmarkStart w:id="9109" w:name="_Toc468713998"/>
      <w:bookmarkStart w:id="9110" w:name="_Toc468714125"/>
      <w:bookmarkStart w:id="9111" w:name="_Toc468787134"/>
      <w:bookmarkStart w:id="9112" w:name="_Toc468787452"/>
      <w:bookmarkStart w:id="9113" w:name="_Toc468787580"/>
      <w:bookmarkStart w:id="9114" w:name="_Toc468787708"/>
      <w:bookmarkStart w:id="9115" w:name="_Toc468787835"/>
      <w:bookmarkStart w:id="9116" w:name="_Toc468787962"/>
      <w:bookmarkStart w:id="9117" w:name="_Toc468788089"/>
      <w:bookmarkStart w:id="9118" w:name="_Toc468957769"/>
      <w:bookmarkStart w:id="9119" w:name="_Toc468957896"/>
      <w:bookmarkStart w:id="9120" w:name="_Toc468958023"/>
      <w:bookmarkStart w:id="9121" w:name="_Toc468958150"/>
      <w:bookmarkStart w:id="9122" w:name="_Toc468958277"/>
      <w:bookmarkStart w:id="9123" w:name="_Toc468958404"/>
      <w:bookmarkStart w:id="9124" w:name="_Toc468958531"/>
      <w:bookmarkStart w:id="9125" w:name="_Toc468958658"/>
      <w:bookmarkStart w:id="9126" w:name="_Toc468958785"/>
      <w:bookmarkStart w:id="9127" w:name="_Toc468958912"/>
      <w:bookmarkStart w:id="9128" w:name="_Toc468959039"/>
      <w:bookmarkStart w:id="9129" w:name="_Toc468959166"/>
      <w:bookmarkStart w:id="9130" w:name="_Toc468960667"/>
      <w:bookmarkStart w:id="9131" w:name="_Toc469035140"/>
      <w:bookmarkStart w:id="9132" w:name="_Toc469056850"/>
      <w:bookmarkStart w:id="9133" w:name="_Toc469321162"/>
      <w:bookmarkStart w:id="9134" w:name="_Toc469323891"/>
      <w:bookmarkStart w:id="9135" w:name="_Toc469324017"/>
      <w:bookmarkStart w:id="9136" w:name="_Toc469324568"/>
      <w:bookmarkStart w:id="9137" w:name="_Toc470695446"/>
      <w:bookmarkStart w:id="9138" w:name="_Toc470695599"/>
      <w:bookmarkStart w:id="9139" w:name="_Toc470697103"/>
      <w:bookmarkStart w:id="9140" w:name="_Toc470699987"/>
      <w:bookmarkStart w:id="9141" w:name="_Toc470762833"/>
      <w:bookmarkStart w:id="9142" w:name="_Toc471114651"/>
      <w:bookmarkStart w:id="9143" w:name="_Toc474393067"/>
      <w:bookmarkStart w:id="9144" w:name="_Toc474497958"/>
      <w:bookmarkStart w:id="9145" w:name="_Toc474498717"/>
      <w:bookmarkStart w:id="9146" w:name="_Toc474844576"/>
      <w:bookmarkStart w:id="9147" w:name="_Toc474844703"/>
      <w:bookmarkStart w:id="9148" w:name="_Toc474919973"/>
      <w:bookmarkStart w:id="9149" w:name="_Toc474924982"/>
      <w:bookmarkEnd w:id="9064"/>
      <w:bookmarkEnd w:id="9065"/>
      <w:bookmarkEnd w:id="9066"/>
      <w:bookmarkEnd w:id="9067"/>
      <w:bookmarkEnd w:id="9068"/>
      <w:bookmarkEnd w:id="9069"/>
      <w:bookmarkEnd w:id="9070"/>
      <w:bookmarkEnd w:id="9071"/>
      <w:bookmarkEnd w:id="9072"/>
      <w:bookmarkEnd w:id="9073"/>
      <w:bookmarkEnd w:id="9074"/>
      <w:bookmarkEnd w:id="9075"/>
      <w:bookmarkEnd w:id="9076"/>
      <w:bookmarkEnd w:id="9077"/>
      <w:bookmarkEnd w:id="9078"/>
      <w:bookmarkEnd w:id="9079"/>
      <w:bookmarkEnd w:id="9080"/>
      <w:bookmarkEnd w:id="9081"/>
      <w:bookmarkEnd w:id="9082"/>
      <w:bookmarkEnd w:id="9083"/>
      <w:bookmarkEnd w:id="9084"/>
      <w:bookmarkEnd w:id="9085"/>
      <w:bookmarkEnd w:id="9086"/>
      <w:bookmarkEnd w:id="9087"/>
      <w:bookmarkEnd w:id="9088"/>
      <w:bookmarkEnd w:id="9089"/>
      <w:bookmarkEnd w:id="9090"/>
      <w:bookmarkEnd w:id="9091"/>
      <w:bookmarkEnd w:id="9092"/>
      <w:bookmarkEnd w:id="9093"/>
      <w:bookmarkEnd w:id="9094"/>
      <w:bookmarkEnd w:id="9095"/>
      <w:bookmarkEnd w:id="9096"/>
      <w:bookmarkEnd w:id="9097"/>
      <w:bookmarkEnd w:id="9098"/>
      <w:bookmarkEnd w:id="9099"/>
      <w:bookmarkEnd w:id="9100"/>
      <w:bookmarkEnd w:id="9101"/>
      <w:bookmarkEnd w:id="9102"/>
      <w:bookmarkEnd w:id="9103"/>
      <w:bookmarkEnd w:id="9104"/>
      <w:bookmarkEnd w:id="9105"/>
      <w:bookmarkEnd w:id="9106"/>
      <w:bookmarkEnd w:id="9107"/>
      <w:bookmarkEnd w:id="9108"/>
      <w:bookmarkEnd w:id="9109"/>
      <w:bookmarkEnd w:id="9110"/>
      <w:bookmarkEnd w:id="9111"/>
      <w:bookmarkEnd w:id="9112"/>
      <w:bookmarkEnd w:id="9113"/>
      <w:bookmarkEnd w:id="9114"/>
      <w:bookmarkEnd w:id="9115"/>
      <w:bookmarkEnd w:id="9116"/>
      <w:bookmarkEnd w:id="9117"/>
      <w:bookmarkEnd w:id="9118"/>
      <w:bookmarkEnd w:id="9119"/>
      <w:bookmarkEnd w:id="9120"/>
      <w:bookmarkEnd w:id="9121"/>
      <w:bookmarkEnd w:id="9122"/>
      <w:bookmarkEnd w:id="9123"/>
      <w:bookmarkEnd w:id="9124"/>
      <w:bookmarkEnd w:id="9125"/>
      <w:bookmarkEnd w:id="9126"/>
      <w:bookmarkEnd w:id="9127"/>
      <w:bookmarkEnd w:id="9128"/>
      <w:bookmarkEnd w:id="9129"/>
      <w:bookmarkEnd w:id="9130"/>
      <w:bookmarkEnd w:id="9131"/>
      <w:bookmarkEnd w:id="9132"/>
      <w:bookmarkEnd w:id="9133"/>
      <w:bookmarkEnd w:id="9134"/>
      <w:bookmarkEnd w:id="9135"/>
      <w:bookmarkEnd w:id="9136"/>
      <w:bookmarkEnd w:id="9137"/>
      <w:bookmarkEnd w:id="9138"/>
      <w:bookmarkEnd w:id="9139"/>
      <w:bookmarkEnd w:id="9140"/>
      <w:bookmarkEnd w:id="9141"/>
      <w:bookmarkEnd w:id="9142"/>
      <w:bookmarkEnd w:id="9143"/>
      <w:bookmarkEnd w:id="9144"/>
      <w:bookmarkEnd w:id="9145"/>
      <w:bookmarkEnd w:id="9146"/>
      <w:bookmarkEnd w:id="9147"/>
      <w:bookmarkEnd w:id="9148"/>
      <w:bookmarkEnd w:id="9149"/>
    </w:p>
    <w:p w:rsidR="000C70A4" w:rsidRPr="00AA3767" w:rsidRDefault="000C70A4" w:rsidP="00AA3767">
      <w:pPr>
        <w:pStyle w:val="Nagwek2"/>
        <w:numPr>
          <w:ilvl w:val="1"/>
          <w:numId w:val="296"/>
        </w:numPr>
      </w:pPr>
      <w:bookmarkStart w:id="9150" w:name="_Toc474924983"/>
      <w:r w:rsidRPr="0077030D">
        <w:t>Opis schematu zarządzania rewitalizacją w Bytomiu</w:t>
      </w:r>
      <w:bookmarkEnd w:id="8804"/>
      <w:bookmarkEnd w:id="8805"/>
      <w:bookmarkEnd w:id="9150"/>
    </w:p>
    <w:p w:rsidR="00493747" w:rsidRDefault="00493747" w:rsidP="00493747">
      <w:pPr>
        <w:autoSpaceDE w:val="0"/>
        <w:autoSpaceDN w:val="0"/>
        <w:adjustRightInd w:val="0"/>
        <w:ind w:firstLine="567"/>
        <w:jc w:val="both"/>
        <w:rPr>
          <w:rFonts w:ascii="Calibri" w:hAnsi="Calibri" w:cs="Calibri"/>
          <w:szCs w:val="20"/>
        </w:rPr>
      </w:pPr>
      <w:r>
        <w:rPr>
          <w:rFonts w:ascii="Calibri" w:hAnsi="Calibri" w:cs="Calibri"/>
          <w:szCs w:val="20"/>
        </w:rPr>
        <w:t>Osadzenie procesu rewitalizacji w kontekście zadań własnych gminy przez ustawę o rewitalizacji oraz znaczenie nadawane jej w ramach polityki miasta, wymaga określenia podmiotu zarządzającego procesem rewitalizacji w Bytomiu. Zarządzającym rewitalizacją jest Prezydent Miasta.</w:t>
      </w:r>
    </w:p>
    <w:p w:rsidR="00493747" w:rsidRDefault="00493747" w:rsidP="00493747">
      <w:pPr>
        <w:autoSpaceDE w:val="0"/>
        <w:autoSpaceDN w:val="0"/>
        <w:adjustRightInd w:val="0"/>
        <w:ind w:firstLine="567"/>
        <w:jc w:val="both"/>
        <w:rPr>
          <w:rFonts w:ascii="Calibri" w:hAnsi="Calibri" w:cs="Calibri"/>
          <w:szCs w:val="20"/>
        </w:rPr>
      </w:pPr>
      <w:r>
        <w:rPr>
          <w:rFonts w:ascii="Calibri" w:hAnsi="Calibri" w:cs="Calibri"/>
          <w:szCs w:val="20"/>
        </w:rPr>
        <w:t>Proponowany model rewitalizacji, zakłada aktywne wykorzystanie potencjału organizacji pozarządowych w planowanych przez samorząd działaniach rewitalizacyjnych, szczególnie w zakresie działań miękkich, nakierowanych na świadczenie usług społecznych. Schemat zarządzania rewitalizacją przewiduje następujące szczeble zarządzania:</w:t>
      </w:r>
    </w:p>
    <w:p w:rsidR="00493747" w:rsidRDefault="00493747" w:rsidP="00493747">
      <w:pPr>
        <w:autoSpaceDE w:val="0"/>
        <w:autoSpaceDN w:val="0"/>
        <w:adjustRightInd w:val="0"/>
        <w:jc w:val="both"/>
        <w:rPr>
          <w:rFonts w:ascii="Calibri" w:hAnsi="Calibri" w:cs="Calibri"/>
          <w:szCs w:val="20"/>
        </w:rPr>
      </w:pPr>
    </w:p>
    <w:p w:rsidR="00493747" w:rsidRDefault="00493747" w:rsidP="00493747">
      <w:pPr>
        <w:jc w:val="both"/>
        <w:rPr>
          <w:rFonts w:ascii="Calibri" w:hAnsi="Calibri"/>
          <w:b/>
          <w:bCs/>
          <w:szCs w:val="20"/>
        </w:rPr>
      </w:pPr>
      <w:r>
        <w:rPr>
          <w:rFonts w:ascii="Calibri" w:hAnsi="Calibri"/>
          <w:b/>
          <w:bCs/>
          <w:szCs w:val="20"/>
        </w:rPr>
        <w:t>Koordynatorem programowym rewitalizacji jest I Zastępca Prezydenta Miasta Bytom</w:t>
      </w:r>
    </w:p>
    <w:p w:rsidR="00493747" w:rsidRDefault="00493747" w:rsidP="00493747">
      <w:pPr>
        <w:autoSpaceDE w:val="0"/>
        <w:autoSpaceDN w:val="0"/>
        <w:adjustRightInd w:val="0"/>
        <w:jc w:val="both"/>
        <w:rPr>
          <w:rFonts w:ascii="Calibri" w:hAnsi="Calibri"/>
          <w:szCs w:val="20"/>
        </w:rPr>
      </w:pPr>
      <w:r>
        <w:rPr>
          <w:rFonts w:ascii="Calibri" w:hAnsi="Calibri"/>
          <w:szCs w:val="20"/>
        </w:rPr>
        <w:t>W gestii I Zastępcy Prezydenta pozostaje:</w:t>
      </w:r>
    </w:p>
    <w:p w:rsidR="00493747" w:rsidRDefault="00493747" w:rsidP="00493747">
      <w:pPr>
        <w:autoSpaceDE w:val="0"/>
        <w:autoSpaceDN w:val="0"/>
        <w:adjustRightInd w:val="0"/>
        <w:jc w:val="both"/>
        <w:rPr>
          <w:rFonts w:ascii="Calibri" w:hAnsi="Calibri"/>
          <w:szCs w:val="20"/>
        </w:rPr>
      </w:pPr>
      <w:r>
        <w:rPr>
          <w:rFonts w:ascii="Calibri" w:hAnsi="Calibri"/>
          <w:szCs w:val="20"/>
        </w:rPr>
        <w:t>Na etapie programowania działań rewitalizacyjnych:</w:t>
      </w:r>
    </w:p>
    <w:p w:rsidR="00493747" w:rsidRDefault="00493747" w:rsidP="00493747">
      <w:pPr>
        <w:numPr>
          <w:ilvl w:val="0"/>
          <w:numId w:val="83"/>
        </w:numPr>
        <w:autoSpaceDE w:val="0"/>
        <w:autoSpaceDN w:val="0"/>
        <w:adjustRightInd w:val="0"/>
        <w:ind w:left="714" w:hanging="357"/>
        <w:jc w:val="both"/>
        <w:rPr>
          <w:rFonts w:ascii="Calibri" w:hAnsi="Calibri"/>
          <w:szCs w:val="20"/>
          <w:lang w:eastAsia="en-US"/>
        </w:rPr>
      </w:pPr>
      <w:r>
        <w:rPr>
          <w:rFonts w:ascii="Calibri" w:hAnsi="Calibri"/>
          <w:szCs w:val="20"/>
          <w:lang w:eastAsia="en-US"/>
        </w:rPr>
        <w:t>Przygotowanie szczegółowych planów i koncepcji realizacji GPR, w tym konstruowanie planów ramowych (obejmujących modelowe rozwiązania – projekt pilotażowy) oraz formułowanie wytycznych dla realizacji wszystkich działań rewitalizacyjnych w mieście;</w:t>
      </w:r>
    </w:p>
    <w:p w:rsidR="00493747" w:rsidRDefault="00493747" w:rsidP="00493747">
      <w:pPr>
        <w:numPr>
          <w:ilvl w:val="0"/>
          <w:numId w:val="83"/>
        </w:numPr>
        <w:ind w:left="714" w:hanging="357"/>
        <w:jc w:val="both"/>
        <w:rPr>
          <w:rFonts w:ascii="Calibri" w:hAnsi="Calibri"/>
          <w:szCs w:val="20"/>
          <w:lang w:eastAsia="en-US"/>
        </w:rPr>
      </w:pPr>
      <w:r>
        <w:rPr>
          <w:rFonts w:ascii="Calibri" w:hAnsi="Calibri"/>
          <w:szCs w:val="20"/>
          <w:lang w:eastAsia="en-US"/>
        </w:rPr>
        <w:t>Zarządzanie realizacją GPR, w tym programów i projektów rewitalizacyjnych, zlecanie ich wykonania, innym jednostkom w strukturze miasta oraz podmiotom zewnętrznym, koordynowanie wykonania projektów oraz działań podejmowanych w ramach realizacji GPR;</w:t>
      </w:r>
    </w:p>
    <w:p w:rsidR="00493747" w:rsidRDefault="00493747" w:rsidP="00493747">
      <w:pPr>
        <w:numPr>
          <w:ilvl w:val="0"/>
          <w:numId w:val="83"/>
        </w:numPr>
        <w:autoSpaceDE w:val="0"/>
        <w:autoSpaceDN w:val="0"/>
        <w:adjustRightInd w:val="0"/>
        <w:ind w:left="714" w:hanging="357"/>
        <w:jc w:val="both"/>
        <w:rPr>
          <w:rFonts w:ascii="Calibri" w:hAnsi="Calibri"/>
          <w:szCs w:val="20"/>
          <w:lang w:eastAsia="en-US"/>
        </w:rPr>
      </w:pPr>
      <w:r>
        <w:rPr>
          <w:rFonts w:ascii="Calibri" w:hAnsi="Calibri"/>
          <w:szCs w:val="20"/>
          <w:lang w:eastAsia="en-US"/>
        </w:rPr>
        <w:t xml:space="preserve">Współpracę z podległymi Koordynatorami. </w:t>
      </w:r>
    </w:p>
    <w:p w:rsidR="00493747" w:rsidRDefault="00493747" w:rsidP="00493747">
      <w:pPr>
        <w:autoSpaceDE w:val="0"/>
        <w:autoSpaceDN w:val="0"/>
        <w:adjustRightInd w:val="0"/>
        <w:jc w:val="both"/>
        <w:rPr>
          <w:rFonts w:ascii="Calibri" w:hAnsi="Calibri"/>
          <w:szCs w:val="20"/>
        </w:rPr>
      </w:pPr>
    </w:p>
    <w:p w:rsidR="00493747" w:rsidRDefault="00493747" w:rsidP="00493747">
      <w:pPr>
        <w:jc w:val="both"/>
        <w:rPr>
          <w:rFonts w:ascii="Calibri" w:hAnsi="Calibri"/>
          <w:szCs w:val="20"/>
        </w:rPr>
      </w:pPr>
      <w:r>
        <w:rPr>
          <w:rFonts w:ascii="Calibri" w:hAnsi="Calibri"/>
          <w:szCs w:val="20"/>
        </w:rPr>
        <w:t>Na etapie wdrażania rewitalizacji pion programowy odpowiada za:</w:t>
      </w:r>
    </w:p>
    <w:p w:rsidR="00493747" w:rsidRDefault="00493747" w:rsidP="00493747">
      <w:pPr>
        <w:numPr>
          <w:ilvl w:val="0"/>
          <w:numId w:val="84"/>
        </w:numPr>
        <w:suppressAutoHyphens/>
        <w:ind w:left="714" w:hanging="357"/>
        <w:jc w:val="both"/>
        <w:rPr>
          <w:rFonts w:ascii="Calibri" w:hAnsi="Calibri" w:cs="Calibri"/>
          <w:szCs w:val="20"/>
        </w:rPr>
      </w:pPr>
      <w:r>
        <w:rPr>
          <w:rFonts w:ascii="Calibri" w:hAnsi="Calibri" w:cs="Calibri"/>
          <w:szCs w:val="20"/>
        </w:rPr>
        <w:t xml:space="preserve">Realizację funkcji strategicznych; </w:t>
      </w:r>
    </w:p>
    <w:p w:rsidR="00493747" w:rsidRDefault="00493747" w:rsidP="00493747">
      <w:pPr>
        <w:numPr>
          <w:ilvl w:val="0"/>
          <w:numId w:val="84"/>
        </w:numPr>
        <w:suppressAutoHyphens/>
        <w:ind w:left="714" w:hanging="357"/>
        <w:jc w:val="both"/>
        <w:rPr>
          <w:rFonts w:ascii="Calibri" w:hAnsi="Calibri" w:cs="Calibri"/>
          <w:szCs w:val="20"/>
        </w:rPr>
      </w:pPr>
      <w:r>
        <w:rPr>
          <w:rFonts w:ascii="Calibri" w:hAnsi="Calibri" w:cs="Calibri"/>
          <w:szCs w:val="20"/>
        </w:rPr>
        <w:t>Komunikację w ramach całego schematu wdrażania i zarządzania rewitalizacją w Bytomiu;</w:t>
      </w:r>
    </w:p>
    <w:p w:rsidR="00493747" w:rsidRDefault="00493747" w:rsidP="00493747">
      <w:pPr>
        <w:numPr>
          <w:ilvl w:val="0"/>
          <w:numId w:val="84"/>
        </w:numPr>
        <w:suppressAutoHyphens/>
        <w:ind w:left="714" w:hanging="357"/>
        <w:jc w:val="both"/>
        <w:rPr>
          <w:rFonts w:ascii="Calibri" w:hAnsi="Calibri" w:cs="Calibri"/>
          <w:szCs w:val="20"/>
        </w:rPr>
      </w:pPr>
      <w:r>
        <w:rPr>
          <w:rFonts w:ascii="Calibri" w:hAnsi="Calibri" w:cs="Calibri"/>
          <w:szCs w:val="20"/>
        </w:rPr>
        <w:t xml:space="preserve">Formułowanie i kontrolę realizacji polityk sektorowych; </w:t>
      </w:r>
    </w:p>
    <w:p w:rsidR="00493747" w:rsidRDefault="00493747" w:rsidP="00493747">
      <w:pPr>
        <w:numPr>
          <w:ilvl w:val="0"/>
          <w:numId w:val="84"/>
        </w:numPr>
        <w:ind w:left="714" w:hanging="357"/>
        <w:jc w:val="both"/>
        <w:rPr>
          <w:rFonts w:ascii="Calibri" w:hAnsi="Calibri"/>
          <w:szCs w:val="20"/>
          <w:lang w:eastAsia="en-US"/>
        </w:rPr>
      </w:pPr>
      <w:r>
        <w:rPr>
          <w:rFonts w:ascii="Calibri" w:hAnsi="Calibri"/>
          <w:szCs w:val="20"/>
          <w:lang w:eastAsia="en-US"/>
        </w:rPr>
        <w:t>Funkcje decyzyjne w administracji publicznej;</w:t>
      </w:r>
    </w:p>
    <w:p w:rsidR="00493747" w:rsidRDefault="00493747" w:rsidP="00493747">
      <w:pPr>
        <w:numPr>
          <w:ilvl w:val="0"/>
          <w:numId w:val="84"/>
        </w:numPr>
        <w:ind w:left="714" w:hanging="357"/>
        <w:jc w:val="both"/>
        <w:rPr>
          <w:rFonts w:ascii="Calibri" w:hAnsi="Calibri"/>
          <w:szCs w:val="20"/>
          <w:lang w:eastAsia="en-US"/>
        </w:rPr>
      </w:pPr>
      <w:r>
        <w:rPr>
          <w:rFonts w:ascii="Calibri" w:hAnsi="Calibri"/>
          <w:szCs w:val="20"/>
          <w:lang w:eastAsia="en-US"/>
        </w:rPr>
        <w:t xml:space="preserve">Sporządzanie analiz oraz stałe monitorowanie działań podejmowanych w ramach realizacji GPR (wraz z partycypacją </w:t>
      </w:r>
      <w:r w:rsidR="00F85F4A">
        <w:rPr>
          <w:rFonts w:ascii="Calibri" w:hAnsi="Calibri"/>
          <w:szCs w:val="20"/>
          <w:lang w:eastAsia="en-US"/>
        </w:rPr>
        <w:t>społeczną</w:t>
      </w:r>
      <w:r>
        <w:rPr>
          <w:rFonts w:ascii="Calibri" w:hAnsi="Calibri"/>
          <w:szCs w:val="20"/>
          <w:lang w:eastAsia="en-US"/>
        </w:rPr>
        <w:t>);</w:t>
      </w:r>
    </w:p>
    <w:p w:rsidR="00493747" w:rsidRDefault="00493747" w:rsidP="00493747">
      <w:pPr>
        <w:numPr>
          <w:ilvl w:val="0"/>
          <w:numId w:val="84"/>
        </w:numPr>
        <w:autoSpaceDE w:val="0"/>
        <w:autoSpaceDN w:val="0"/>
        <w:adjustRightInd w:val="0"/>
        <w:ind w:left="714" w:hanging="357"/>
        <w:jc w:val="both"/>
        <w:rPr>
          <w:rFonts w:ascii="Calibri" w:hAnsi="Calibri"/>
          <w:szCs w:val="20"/>
          <w:lang w:eastAsia="en-US"/>
        </w:rPr>
      </w:pPr>
      <w:r>
        <w:rPr>
          <w:rFonts w:ascii="Calibri" w:hAnsi="Calibri"/>
          <w:szCs w:val="20"/>
          <w:lang w:eastAsia="en-US"/>
        </w:rPr>
        <w:t>Pozyskiwanie, przetwarzanie oraz zarządzanie przepływem danych i informacji związanych z realizacją GPR;</w:t>
      </w:r>
    </w:p>
    <w:p w:rsidR="00493747" w:rsidRDefault="00493747" w:rsidP="00493747">
      <w:pPr>
        <w:numPr>
          <w:ilvl w:val="0"/>
          <w:numId w:val="84"/>
        </w:numPr>
        <w:suppressAutoHyphens/>
        <w:ind w:left="714" w:hanging="357"/>
        <w:jc w:val="both"/>
        <w:rPr>
          <w:rFonts w:ascii="Calibri" w:hAnsi="Calibri" w:cs="Calibri"/>
          <w:szCs w:val="20"/>
        </w:rPr>
      </w:pPr>
      <w:r>
        <w:rPr>
          <w:rFonts w:ascii="Calibri" w:hAnsi="Calibri" w:cs="Calibri"/>
          <w:szCs w:val="20"/>
        </w:rPr>
        <w:t xml:space="preserve">Ewaluację procesu oraz efektów „Gminnego Programu Rewitalizacji. Bytom 2020+”. </w:t>
      </w:r>
    </w:p>
    <w:p w:rsidR="00493747" w:rsidRDefault="00493747" w:rsidP="00493747">
      <w:pPr>
        <w:jc w:val="both"/>
        <w:rPr>
          <w:rFonts w:ascii="Calibri" w:hAnsi="Calibri"/>
          <w:szCs w:val="20"/>
        </w:rPr>
      </w:pPr>
    </w:p>
    <w:p w:rsidR="00493747" w:rsidRDefault="00493747" w:rsidP="00493747">
      <w:pPr>
        <w:jc w:val="both"/>
        <w:rPr>
          <w:rFonts w:ascii="Calibri" w:hAnsi="Calibri"/>
          <w:szCs w:val="20"/>
        </w:rPr>
      </w:pPr>
      <w:r>
        <w:rPr>
          <w:rFonts w:ascii="Calibri" w:hAnsi="Calibri"/>
          <w:szCs w:val="20"/>
        </w:rPr>
        <w:t>Monitoring rewitalizacji jest skoordynowany z monitorowaniem strategii rozwoju miasta i opiera się o ten sam zestaw narzędzi. Zadania te realizuje Referat Planowania Strategicznego i Funduszy Europejskich w Wydziale Strategii i Funduszy Europejskich.</w:t>
      </w:r>
    </w:p>
    <w:p w:rsidR="00493747" w:rsidRDefault="00493747" w:rsidP="00493747">
      <w:pPr>
        <w:jc w:val="both"/>
        <w:rPr>
          <w:rFonts w:ascii="Calibri" w:hAnsi="Calibri"/>
          <w:szCs w:val="20"/>
        </w:rPr>
      </w:pPr>
    </w:p>
    <w:p w:rsidR="00493747" w:rsidRPr="003E5F31" w:rsidRDefault="00040756" w:rsidP="00493747">
      <w:pPr>
        <w:jc w:val="both"/>
        <w:rPr>
          <w:rFonts w:ascii="Calibri" w:hAnsi="Calibri"/>
          <w:b/>
          <w:szCs w:val="20"/>
        </w:rPr>
      </w:pPr>
      <w:r w:rsidRPr="00040756">
        <w:rPr>
          <w:rFonts w:ascii="Calibri" w:hAnsi="Calibri"/>
          <w:b/>
          <w:szCs w:val="20"/>
        </w:rPr>
        <w:t>Koordynatorowi programowemu rewitalizacji podlegają bezpośrednio:</w:t>
      </w:r>
    </w:p>
    <w:p w:rsidR="00493747" w:rsidRDefault="00493747" w:rsidP="00493747">
      <w:pPr>
        <w:jc w:val="both"/>
        <w:rPr>
          <w:rFonts w:ascii="Calibri" w:hAnsi="Calibri"/>
          <w:szCs w:val="20"/>
        </w:rPr>
      </w:pPr>
    </w:p>
    <w:p w:rsidR="00493747" w:rsidRDefault="00493747" w:rsidP="00493747">
      <w:pPr>
        <w:jc w:val="both"/>
        <w:rPr>
          <w:rFonts w:ascii="Calibri" w:hAnsi="Calibri"/>
          <w:szCs w:val="20"/>
        </w:rPr>
      </w:pPr>
      <w:r>
        <w:rPr>
          <w:rFonts w:ascii="Calibri" w:hAnsi="Calibri"/>
          <w:b/>
          <w:bCs/>
          <w:szCs w:val="20"/>
        </w:rPr>
        <w:t xml:space="preserve">1. Koordynator ds. wdrożenia GPR – Koordynator operacyjny </w:t>
      </w:r>
      <w:r>
        <w:rPr>
          <w:rFonts w:ascii="Calibri" w:hAnsi="Calibri"/>
          <w:szCs w:val="20"/>
        </w:rPr>
        <w:t>- odpowiedzialny za koordynację całego procesu wdrażania rewitalizacji w strukturze miasta. Koordynatorowi podlega zespół do spraw wdrażania projektów w ramach GPR, który Prezydent powołuje odrębnym zarządzeniem. Jest to multidyscyplinarny zespół, do którego należą przedstawiciele jednostek i wydziałów realizujących projekty w ramach OSI, ZIT oraz innych.</w:t>
      </w:r>
    </w:p>
    <w:p w:rsidR="00493747" w:rsidRDefault="00493747" w:rsidP="00493747">
      <w:pPr>
        <w:autoSpaceDE w:val="0"/>
        <w:autoSpaceDN w:val="0"/>
        <w:adjustRightInd w:val="0"/>
        <w:jc w:val="both"/>
        <w:rPr>
          <w:rFonts w:ascii="Calibri" w:hAnsi="Calibri"/>
          <w:szCs w:val="20"/>
        </w:rPr>
      </w:pPr>
      <w:r>
        <w:rPr>
          <w:rFonts w:ascii="Calibri" w:hAnsi="Calibri"/>
          <w:szCs w:val="20"/>
        </w:rPr>
        <w:t>Ponadto Koordynator odpowiada za:</w:t>
      </w:r>
    </w:p>
    <w:p w:rsidR="00493747" w:rsidRDefault="00493747" w:rsidP="00493747">
      <w:pPr>
        <w:numPr>
          <w:ilvl w:val="0"/>
          <w:numId w:val="15"/>
        </w:numPr>
        <w:autoSpaceDE w:val="0"/>
        <w:autoSpaceDN w:val="0"/>
        <w:adjustRightInd w:val="0"/>
        <w:ind w:left="714" w:hanging="357"/>
        <w:jc w:val="both"/>
        <w:rPr>
          <w:rFonts w:ascii="Calibri" w:hAnsi="Calibri"/>
          <w:szCs w:val="20"/>
          <w:lang w:eastAsia="en-US"/>
        </w:rPr>
      </w:pPr>
      <w:r>
        <w:rPr>
          <w:rFonts w:ascii="Calibri" w:hAnsi="Calibri"/>
          <w:szCs w:val="20"/>
          <w:lang w:eastAsia="en-US"/>
        </w:rPr>
        <w:t>Wdrażanie GPR w wymiarze projektowym i obszarowym;</w:t>
      </w:r>
    </w:p>
    <w:p w:rsidR="00493747" w:rsidRDefault="00493747" w:rsidP="00493747">
      <w:pPr>
        <w:numPr>
          <w:ilvl w:val="0"/>
          <w:numId w:val="15"/>
        </w:numPr>
        <w:autoSpaceDE w:val="0"/>
        <w:autoSpaceDN w:val="0"/>
        <w:adjustRightInd w:val="0"/>
        <w:ind w:left="714" w:hanging="357"/>
        <w:jc w:val="both"/>
        <w:rPr>
          <w:rFonts w:ascii="Calibri" w:hAnsi="Calibri"/>
          <w:szCs w:val="20"/>
          <w:lang w:eastAsia="en-US"/>
        </w:rPr>
      </w:pPr>
      <w:r>
        <w:rPr>
          <w:rFonts w:ascii="Calibri" w:hAnsi="Calibri"/>
          <w:szCs w:val="20"/>
          <w:lang w:eastAsia="en-US"/>
        </w:rPr>
        <w:t>Współpracę z innymi komórkami w strukturze Miasta oraz organizacjami pożytku publicznego i innymi interesariuszami;</w:t>
      </w:r>
    </w:p>
    <w:p w:rsidR="00493747" w:rsidRDefault="00493747" w:rsidP="00493747">
      <w:pPr>
        <w:numPr>
          <w:ilvl w:val="0"/>
          <w:numId w:val="15"/>
        </w:numPr>
        <w:ind w:left="714" w:hanging="357"/>
        <w:jc w:val="both"/>
        <w:rPr>
          <w:rFonts w:ascii="Calibri" w:hAnsi="Calibri"/>
          <w:szCs w:val="20"/>
          <w:lang w:eastAsia="en-US"/>
        </w:rPr>
      </w:pPr>
      <w:r>
        <w:rPr>
          <w:rFonts w:ascii="Calibri" w:hAnsi="Calibri"/>
          <w:szCs w:val="20"/>
          <w:lang w:eastAsia="en-US"/>
        </w:rPr>
        <w:t>Koordynację działań pomiędzy poszczególnymi uczestnikami procesów rewitalizacyjnych;</w:t>
      </w:r>
    </w:p>
    <w:p w:rsidR="00493747" w:rsidRDefault="00F85F4A" w:rsidP="00493747">
      <w:pPr>
        <w:numPr>
          <w:ilvl w:val="0"/>
          <w:numId w:val="15"/>
        </w:numPr>
        <w:ind w:left="714" w:hanging="357"/>
        <w:jc w:val="both"/>
        <w:rPr>
          <w:rFonts w:ascii="Calibri" w:hAnsi="Calibri"/>
          <w:szCs w:val="20"/>
          <w:lang w:eastAsia="en-US"/>
        </w:rPr>
      </w:pPr>
      <w:r>
        <w:rPr>
          <w:rFonts w:ascii="Calibri" w:hAnsi="Calibri"/>
          <w:szCs w:val="20"/>
          <w:lang w:eastAsia="en-US"/>
        </w:rPr>
        <w:t>Wykonanie</w:t>
      </w:r>
      <w:r w:rsidR="00493747">
        <w:rPr>
          <w:rFonts w:ascii="Calibri" w:hAnsi="Calibri"/>
          <w:szCs w:val="20"/>
          <w:lang w:eastAsia="en-US"/>
        </w:rPr>
        <w:t xml:space="preserve"> projektów oraz działań podejmowanych w ramach realizacji GPR;</w:t>
      </w:r>
    </w:p>
    <w:p w:rsidR="00493747" w:rsidRDefault="00493747" w:rsidP="00493747">
      <w:pPr>
        <w:numPr>
          <w:ilvl w:val="0"/>
          <w:numId w:val="15"/>
        </w:numPr>
        <w:ind w:left="714" w:hanging="357"/>
        <w:jc w:val="both"/>
        <w:rPr>
          <w:rFonts w:ascii="Calibri" w:hAnsi="Calibri"/>
          <w:szCs w:val="20"/>
          <w:lang w:eastAsia="en-US"/>
        </w:rPr>
      </w:pPr>
      <w:r>
        <w:rPr>
          <w:rFonts w:ascii="Calibri" w:hAnsi="Calibri"/>
          <w:szCs w:val="20"/>
          <w:lang w:eastAsia="en-US"/>
        </w:rPr>
        <w:t>Przygotowania dla każdego z podobszarów rewitalizacji programu inwestycyjnego oraz programu społeczno-gospodarczego;</w:t>
      </w:r>
    </w:p>
    <w:p w:rsidR="00493747" w:rsidRDefault="00493747" w:rsidP="00493747">
      <w:pPr>
        <w:numPr>
          <w:ilvl w:val="0"/>
          <w:numId w:val="15"/>
        </w:numPr>
        <w:ind w:left="714" w:hanging="357"/>
        <w:jc w:val="both"/>
        <w:rPr>
          <w:rFonts w:ascii="Calibri" w:hAnsi="Calibri"/>
          <w:szCs w:val="20"/>
          <w:lang w:eastAsia="en-US"/>
        </w:rPr>
      </w:pPr>
      <w:r>
        <w:rPr>
          <w:rFonts w:ascii="Calibri" w:hAnsi="Calibri"/>
          <w:szCs w:val="20"/>
          <w:lang w:eastAsia="en-US"/>
        </w:rPr>
        <w:t>Ustalenie harmonogramu realizacji projektów w ramach GPR na lata 2016-2022 i jego bieżącą aktualizację;</w:t>
      </w:r>
    </w:p>
    <w:p w:rsidR="00493747" w:rsidRDefault="00493747" w:rsidP="00493747">
      <w:pPr>
        <w:numPr>
          <w:ilvl w:val="0"/>
          <w:numId w:val="15"/>
        </w:numPr>
        <w:ind w:left="714" w:hanging="357"/>
        <w:jc w:val="both"/>
        <w:rPr>
          <w:rFonts w:ascii="Calibri" w:hAnsi="Calibri"/>
          <w:szCs w:val="20"/>
          <w:lang w:eastAsia="en-US"/>
        </w:rPr>
      </w:pPr>
      <w:r>
        <w:rPr>
          <w:rFonts w:ascii="Calibri" w:hAnsi="Calibri"/>
          <w:szCs w:val="20"/>
          <w:lang w:eastAsia="en-US"/>
        </w:rPr>
        <w:t>Bieżące informowanie koordynatora programowego rewitalizacji o postępach prac zespołu oraz stanu realizacji projektów w ramach GPR</w:t>
      </w:r>
    </w:p>
    <w:p w:rsidR="00493747" w:rsidRDefault="00493747" w:rsidP="00493747">
      <w:pPr>
        <w:numPr>
          <w:ilvl w:val="0"/>
          <w:numId w:val="15"/>
        </w:numPr>
        <w:ind w:left="714" w:hanging="357"/>
        <w:jc w:val="both"/>
        <w:rPr>
          <w:rFonts w:ascii="Calibri" w:hAnsi="Calibri"/>
          <w:szCs w:val="20"/>
          <w:lang w:eastAsia="en-US"/>
        </w:rPr>
      </w:pPr>
      <w:r>
        <w:rPr>
          <w:rFonts w:ascii="Calibri" w:hAnsi="Calibri"/>
          <w:szCs w:val="20"/>
          <w:lang w:eastAsia="en-US"/>
        </w:rPr>
        <w:t>Sporządzanie kwartalnych sprawozdań z prac zespołu i ich przedkładanie Prezydentowi Miasta.</w:t>
      </w:r>
    </w:p>
    <w:p w:rsidR="00493747" w:rsidRDefault="00493747" w:rsidP="00493747">
      <w:pPr>
        <w:autoSpaceDE w:val="0"/>
        <w:autoSpaceDN w:val="0"/>
        <w:adjustRightInd w:val="0"/>
        <w:jc w:val="both"/>
        <w:rPr>
          <w:rFonts w:ascii="Calibri" w:hAnsi="Calibri"/>
          <w:szCs w:val="20"/>
        </w:rPr>
      </w:pPr>
    </w:p>
    <w:p w:rsidR="00493747" w:rsidRDefault="00493747" w:rsidP="00493747">
      <w:pPr>
        <w:jc w:val="both"/>
        <w:rPr>
          <w:rFonts w:ascii="Calibri" w:hAnsi="Calibri"/>
          <w:b/>
          <w:bCs/>
          <w:szCs w:val="20"/>
        </w:rPr>
      </w:pPr>
      <w:r>
        <w:rPr>
          <w:rFonts w:ascii="Calibri" w:hAnsi="Calibri"/>
          <w:szCs w:val="20"/>
        </w:rPr>
        <w:t>Za przygotowanie projektów odpowiada</w:t>
      </w:r>
      <w:r>
        <w:rPr>
          <w:rFonts w:ascii="Calibri" w:hAnsi="Calibri"/>
          <w:b/>
          <w:bCs/>
          <w:szCs w:val="20"/>
        </w:rPr>
        <w:t xml:space="preserve"> - Zespół ds. wdrażania projektów w ramach GPR</w:t>
      </w:r>
      <w:r>
        <w:rPr>
          <w:rFonts w:ascii="Calibri" w:hAnsi="Calibri"/>
          <w:szCs w:val="20"/>
        </w:rPr>
        <w:t>, który podlega bezpośrednio Koordynatorowi ds. wdrażania GPR.</w:t>
      </w:r>
    </w:p>
    <w:p w:rsidR="00493747" w:rsidRDefault="00493747" w:rsidP="00493747">
      <w:pPr>
        <w:jc w:val="both"/>
        <w:rPr>
          <w:rFonts w:ascii="Calibri" w:hAnsi="Calibri"/>
          <w:szCs w:val="20"/>
        </w:rPr>
      </w:pPr>
      <w:r>
        <w:rPr>
          <w:rFonts w:ascii="Calibri" w:hAnsi="Calibri"/>
          <w:szCs w:val="20"/>
        </w:rPr>
        <w:t>Zadaniem zespołu jest przygotowanie i sprawne wdrożenie projektów przewidzianych do realizacji w latach 2016-2022, przy współfinansowaniu ze środków funduszy europejskich oraz innych projektów wdrażanych w ramach GPR.</w:t>
      </w:r>
      <w:r w:rsidR="003E5F31">
        <w:rPr>
          <w:rFonts w:ascii="Calibri" w:hAnsi="Calibri"/>
          <w:szCs w:val="20"/>
        </w:rPr>
        <w:t xml:space="preserve"> </w:t>
      </w:r>
      <w:r>
        <w:rPr>
          <w:rFonts w:ascii="Calibri" w:hAnsi="Calibri"/>
          <w:szCs w:val="20"/>
        </w:rPr>
        <w:t>W szczególności do zadań zespołu należeć będzie:</w:t>
      </w:r>
    </w:p>
    <w:p w:rsidR="00493747" w:rsidRDefault="00493747" w:rsidP="00493747">
      <w:pPr>
        <w:numPr>
          <w:ilvl w:val="0"/>
          <w:numId w:val="16"/>
        </w:numPr>
        <w:jc w:val="both"/>
        <w:rPr>
          <w:rFonts w:ascii="Calibri" w:hAnsi="Calibri"/>
          <w:szCs w:val="20"/>
        </w:rPr>
      </w:pPr>
      <w:r>
        <w:rPr>
          <w:rFonts w:ascii="Calibri" w:hAnsi="Calibri"/>
          <w:szCs w:val="20"/>
        </w:rPr>
        <w:t>Współpraca w zakresie szczegółowego doprecyzowania planów dla podobszarów, przeprowadzenia ewentualnych dodatkowych diagnoz w podobszarach rewitalizacji;</w:t>
      </w:r>
    </w:p>
    <w:p w:rsidR="00493747" w:rsidRDefault="00493747" w:rsidP="00493747">
      <w:pPr>
        <w:numPr>
          <w:ilvl w:val="0"/>
          <w:numId w:val="16"/>
        </w:numPr>
        <w:jc w:val="both"/>
        <w:rPr>
          <w:rFonts w:ascii="Calibri" w:hAnsi="Calibri"/>
          <w:szCs w:val="20"/>
        </w:rPr>
      </w:pPr>
      <w:r>
        <w:rPr>
          <w:rFonts w:ascii="Calibri" w:hAnsi="Calibri"/>
          <w:szCs w:val="20"/>
        </w:rPr>
        <w:t>Wdrażanie projektów rewitalizacyjnych zgodnie z przyjętymi planami dla podobszarów rewitalizacji w ramach realizacji GPR;</w:t>
      </w:r>
    </w:p>
    <w:p w:rsidR="00493747" w:rsidRDefault="00493747" w:rsidP="00493747">
      <w:pPr>
        <w:numPr>
          <w:ilvl w:val="0"/>
          <w:numId w:val="16"/>
        </w:numPr>
        <w:jc w:val="both"/>
        <w:rPr>
          <w:rFonts w:ascii="Calibri" w:hAnsi="Calibri"/>
          <w:szCs w:val="20"/>
        </w:rPr>
      </w:pPr>
      <w:r>
        <w:rPr>
          <w:rFonts w:ascii="Calibri" w:hAnsi="Calibri"/>
          <w:szCs w:val="20"/>
        </w:rPr>
        <w:t>W zakresie wykonywanych przez członków zespołów zadań i posiadanych kompetencji - przygotowywanie informacji, danych i dokumentów niezbędnych do wypełnienia dokumentacji przed-aplikacyjnej (np. fiszek projektowych) i  aplikacyjnej, wymaganej przez Instytucję Zarządzającą Regionalnym Programem Operacyjnym Województwa Śląskiego na lata 2014-2020 (przede wszystkim w  ramach Obszaru Strategicznej Interwencji, Zintegrowanych Inwestycji Terytorialnych, Kontraktu Terytorialnego oraz Projektów Kluczowych);</w:t>
      </w:r>
    </w:p>
    <w:p w:rsidR="00493747" w:rsidRDefault="00493747" w:rsidP="00493747">
      <w:pPr>
        <w:numPr>
          <w:ilvl w:val="0"/>
          <w:numId w:val="16"/>
        </w:numPr>
        <w:jc w:val="both"/>
        <w:rPr>
          <w:rFonts w:ascii="Calibri" w:hAnsi="Calibri"/>
          <w:szCs w:val="20"/>
        </w:rPr>
      </w:pPr>
      <w:r>
        <w:rPr>
          <w:rFonts w:ascii="Calibri" w:hAnsi="Calibri"/>
          <w:szCs w:val="20"/>
        </w:rPr>
        <w:t>Opiniowanie dokumentacji projektowych, takich jak m.in. studia wykonalności, koncepcje funkcjonalno-użytkowe, koncepcje architektoniczno-urbanistyczne, dokumentacje techniczne, itp. dla projektów zatwierdzonych przez Prezydenta Miasta;</w:t>
      </w:r>
    </w:p>
    <w:p w:rsidR="00493747" w:rsidRDefault="00493747" w:rsidP="00493747">
      <w:pPr>
        <w:numPr>
          <w:ilvl w:val="0"/>
          <w:numId w:val="16"/>
        </w:numPr>
        <w:jc w:val="both"/>
        <w:rPr>
          <w:rFonts w:ascii="Calibri" w:hAnsi="Calibri"/>
          <w:szCs w:val="20"/>
        </w:rPr>
      </w:pPr>
      <w:r>
        <w:rPr>
          <w:rFonts w:ascii="Calibri" w:hAnsi="Calibri"/>
          <w:szCs w:val="20"/>
        </w:rPr>
        <w:t>Współpracę z innymi komórkami w strukturze Miasta w ujęciu pionowym i wertykalnym oraz organizacjami pożytku publicznego i innymi interesariuszami;</w:t>
      </w:r>
      <w:r>
        <w:rPr>
          <w:rFonts w:ascii="Calibri" w:hAnsi="Calibri"/>
          <w:color w:val="FF0000"/>
          <w:szCs w:val="20"/>
        </w:rPr>
        <w:t>.</w:t>
      </w:r>
    </w:p>
    <w:p w:rsidR="00493747" w:rsidRPr="00B6779A" w:rsidRDefault="00493747" w:rsidP="00493747">
      <w:pPr>
        <w:numPr>
          <w:ilvl w:val="0"/>
          <w:numId w:val="16"/>
        </w:numPr>
        <w:jc w:val="both"/>
        <w:rPr>
          <w:rFonts w:ascii="Calibri" w:hAnsi="Calibri"/>
          <w:szCs w:val="20"/>
        </w:rPr>
      </w:pPr>
      <w:r>
        <w:rPr>
          <w:rFonts w:ascii="Calibri" w:hAnsi="Calibri"/>
          <w:szCs w:val="20"/>
        </w:rPr>
        <w:t>Określanie zakresu danych niezbędnych do wyliczania wskaźników rezultatu i oddziaływania oraz wypracowanie sposobów ich pozyskiwania i przetwarzania.</w:t>
      </w:r>
    </w:p>
    <w:p w:rsidR="00493747" w:rsidRDefault="008B656C" w:rsidP="00493747">
      <w:pPr>
        <w:jc w:val="both"/>
        <w:rPr>
          <w:rFonts w:ascii="Calibri" w:hAnsi="Calibri"/>
          <w:szCs w:val="20"/>
        </w:rPr>
      </w:pPr>
      <w:r w:rsidRPr="001A1BD7">
        <w:rPr>
          <w:rFonts w:ascii="Calibri" w:hAnsi="Calibri"/>
        </w:rPr>
        <w:t xml:space="preserve">Szacunkowy koszt zarządzania GPR nie </w:t>
      </w:r>
      <w:r w:rsidR="00E456AB">
        <w:rPr>
          <w:rFonts w:ascii="Calibri" w:hAnsi="Calibri"/>
        </w:rPr>
        <w:t>jest możliwy do dokładnego oszacowania</w:t>
      </w:r>
      <w:r w:rsidRPr="001A1BD7">
        <w:rPr>
          <w:rFonts w:ascii="Calibri" w:hAnsi="Calibri"/>
        </w:rPr>
        <w:t>, ponieważ koordynatorzy i</w:t>
      </w:r>
      <w:r w:rsidR="00E456AB">
        <w:rPr>
          <w:rFonts w:ascii="Calibri" w:hAnsi="Calibri"/>
        </w:rPr>
        <w:t> </w:t>
      </w:r>
      <w:r w:rsidR="00964EF3">
        <w:rPr>
          <w:rFonts w:ascii="Calibri" w:hAnsi="Calibri"/>
        </w:rPr>
        <w:t>c</w:t>
      </w:r>
      <w:r w:rsidR="00CE577A">
        <w:rPr>
          <w:rFonts w:ascii="Calibri" w:hAnsi="Calibri"/>
        </w:rPr>
        <w:t xml:space="preserve">złonkowie zespołu wykonują swoje zadania w ramach zadań służbowych bez dodatkowego wynagrodzenia. </w:t>
      </w:r>
      <w:r w:rsidR="00493747">
        <w:rPr>
          <w:rFonts w:ascii="Calibri" w:hAnsi="Calibri"/>
        </w:rPr>
        <w:t>Koszty zarządzania GPR są wliczone w bieżące koszty wynagrodzeń pracowników merytorycznych wydziałów i</w:t>
      </w:r>
      <w:r w:rsidR="00881C89">
        <w:rPr>
          <w:rFonts w:ascii="Calibri" w:hAnsi="Calibri"/>
        </w:rPr>
        <w:t> </w:t>
      </w:r>
      <w:r w:rsidR="00493747">
        <w:rPr>
          <w:rFonts w:ascii="Calibri" w:hAnsi="Calibri"/>
        </w:rPr>
        <w:t xml:space="preserve">jednostek miejskich biorących udział </w:t>
      </w:r>
      <w:r w:rsidR="00CE577A">
        <w:rPr>
          <w:rFonts w:ascii="Calibri" w:hAnsi="Calibri"/>
        </w:rPr>
        <w:t xml:space="preserve">w </w:t>
      </w:r>
      <w:r w:rsidR="00493747">
        <w:rPr>
          <w:rFonts w:ascii="Calibri" w:hAnsi="Calibri"/>
        </w:rPr>
        <w:t xml:space="preserve">procesie wdrażania projektów w ramach </w:t>
      </w:r>
      <w:r w:rsidR="0017230A">
        <w:rPr>
          <w:rFonts w:ascii="Calibri" w:hAnsi="Calibri"/>
        </w:rPr>
        <w:t>„</w:t>
      </w:r>
      <w:r w:rsidR="00493747">
        <w:rPr>
          <w:rFonts w:ascii="Calibri" w:hAnsi="Calibri"/>
        </w:rPr>
        <w:t>Gminnego Programu Rewitalizacji. Bytom 2020+</w:t>
      </w:r>
      <w:r w:rsidR="0017230A">
        <w:rPr>
          <w:rFonts w:ascii="Calibri" w:hAnsi="Calibri"/>
        </w:rPr>
        <w:t>”</w:t>
      </w:r>
      <w:r w:rsidR="00493747">
        <w:rPr>
          <w:rFonts w:ascii="Calibri" w:hAnsi="Calibri"/>
        </w:rPr>
        <w:t>.</w:t>
      </w:r>
      <w:r w:rsidR="00CE577A">
        <w:rPr>
          <w:rFonts w:ascii="Calibri" w:hAnsi="Calibri"/>
        </w:rPr>
        <w:t xml:space="preserve"> </w:t>
      </w:r>
    </w:p>
    <w:p w:rsidR="00493747" w:rsidRDefault="00493747" w:rsidP="00493747">
      <w:pPr>
        <w:jc w:val="both"/>
        <w:rPr>
          <w:rFonts w:ascii="Calibri" w:hAnsi="Calibri"/>
          <w:color w:val="5B9BD5"/>
          <w:szCs w:val="20"/>
        </w:rPr>
      </w:pPr>
    </w:p>
    <w:p w:rsidR="00493747" w:rsidRDefault="00493747" w:rsidP="00493747">
      <w:pPr>
        <w:jc w:val="both"/>
        <w:rPr>
          <w:rFonts w:ascii="Calibri" w:hAnsi="Calibri"/>
          <w:b/>
          <w:bCs/>
          <w:szCs w:val="20"/>
        </w:rPr>
      </w:pPr>
      <w:r>
        <w:rPr>
          <w:rFonts w:ascii="Calibri" w:hAnsi="Calibri"/>
          <w:b/>
          <w:bCs/>
          <w:szCs w:val="20"/>
        </w:rPr>
        <w:t>2. Koordynator Projektu Pilotażowego</w:t>
      </w:r>
      <w:r>
        <w:rPr>
          <w:rFonts w:ascii="Calibri" w:hAnsi="Calibri"/>
          <w:szCs w:val="20"/>
        </w:rPr>
        <w:t>, który odpowiada za wypracowanie i wdrożenie rozwiązań pilotażowych w rewitalizacji.</w:t>
      </w:r>
    </w:p>
    <w:p w:rsidR="00493747" w:rsidRDefault="00493747" w:rsidP="00493747">
      <w:pPr>
        <w:jc w:val="both"/>
        <w:rPr>
          <w:rFonts w:ascii="Calibri" w:hAnsi="Calibri"/>
          <w:szCs w:val="20"/>
        </w:rPr>
      </w:pPr>
      <w:r>
        <w:rPr>
          <w:rFonts w:ascii="Calibri" w:hAnsi="Calibri"/>
          <w:szCs w:val="20"/>
        </w:rPr>
        <w:t>Koordynator zarządza wdrażaniem projektu pilotażowego oraz wypracowaniem modelowych rozwiązań w obszarze mieszkalnictwa i innowacji społecznych, a także ich uwzględnianiem w procesie rewitalizacji miasta.</w:t>
      </w:r>
    </w:p>
    <w:p w:rsidR="00493747" w:rsidRDefault="00493747" w:rsidP="00493747">
      <w:pPr>
        <w:ind w:firstLine="708"/>
        <w:jc w:val="both"/>
        <w:rPr>
          <w:rFonts w:ascii="Calibri" w:hAnsi="Calibri"/>
          <w:b/>
          <w:bCs/>
          <w:szCs w:val="20"/>
        </w:rPr>
      </w:pPr>
      <w:r>
        <w:rPr>
          <w:rFonts w:ascii="Calibri" w:hAnsi="Calibri"/>
          <w:szCs w:val="20"/>
        </w:rPr>
        <w:t>Za monitoring działań i wdrożenie modelowych rozwiązań w podobszarach odpowiada</w:t>
      </w:r>
      <w:r>
        <w:rPr>
          <w:rFonts w:ascii="Calibri" w:hAnsi="Calibri"/>
          <w:b/>
          <w:bCs/>
          <w:szCs w:val="20"/>
        </w:rPr>
        <w:t xml:space="preserve"> Zespół ds.</w:t>
      </w:r>
      <w:r w:rsidR="00F85F4A">
        <w:rPr>
          <w:rFonts w:ascii="Calibri" w:hAnsi="Calibri"/>
          <w:b/>
          <w:bCs/>
          <w:szCs w:val="20"/>
        </w:rPr>
        <w:t> </w:t>
      </w:r>
      <w:r>
        <w:rPr>
          <w:rFonts w:ascii="Calibri" w:hAnsi="Calibri" w:cs="Arial"/>
          <w:b/>
          <w:bCs/>
          <w:spacing w:val="-2"/>
        </w:rPr>
        <w:t>wdrożenia projektu pilotażowego,</w:t>
      </w:r>
      <w:r>
        <w:rPr>
          <w:rFonts w:ascii="Arial" w:hAnsi="Arial" w:cs="Arial"/>
          <w:b/>
          <w:bCs/>
          <w:spacing w:val="-2"/>
        </w:rPr>
        <w:t xml:space="preserve"> </w:t>
      </w:r>
      <w:r>
        <w:rPr>
          <w:rFonts w:ascii="Calibri" w:hAnsi="Calibri"/>
          <w:szCs w:val="20"/>
        </w:rPr>
        <w:t>który podlegają bezpośrednio Koordynatorowi Projektu Pilotażowego.</w:t>
      </w:r>
    </w:p>
    <w:p w:rsidR="00493747" w:rsidRDefault="00493747" w:rsidP="00493747">
      <w:pPr>
        <w:jc w:val="both"/>
        <w:rPr>
          <w:rFonts w:ascii="Calibri" w:hAnsi="Calibri"/>
          <w:szCs w:val="20"/>
        </w:rPr>
      </w:pPr>
      <w:r>
        <w:rPr>
          <w:rFonts w:ascii="Calibri" w:hAnsi="Calibri"/>
          <w:szCs w:val="20"/>
        </w:rPr>
        <w:t>Zespół odpowiadają za:</w:t>
      </w:r>
    </w:p>
    <w:p w:rsidR="00493747" w:rsidRDefault="00493747" w:rsidP="00493747">
      <w:pPr>
        <w:numPr>
          <w:ilvl w:val="0"/>
          <w:numId w:val="15"/>
        </w:numPr>
        <w:jc w:val="both"/>
        <w:rPr>
          <w:rFonts w:ascii="Calibri" w:hAnsi="Calibri"/>
          <w:szCs w:val="20"/>
          <w:lang w:eastAsia="en-US"/>
        </w:rPr>
      </w:pPr>
      <w:r>
        <w:rPr>
          <w:rFonts w:ascii="Calibri" w:hAnsi="Calibri"/>
          <w:szCs w:val="20"/>
          <w:lang w:eastAsia="en-US"/>
        </w:rPr>
        <w:t xml:space="preserve">Monitorowanie sytuacji w podobszarach rewitalizacji, a w ramach swoich działań monitorują również udział mieszkańców oraz innych interesariuszy w procesie wdrażania i oceny GPR, na terenie swojego podobszaru; </w:t>
      </w:r>
    </w:p>
    <w:p w:rsidR="00493747" w:rsidRDefault="00493747" w:rsidP="00493747">
      <w:pPr>
        <w:numPr>
          <w:ilvl w:val="0"/>
          <w:numId w:val="15"/>
        </w:numPr>
        <w:jc w:val="both"/>
        <w:rPr>
          <w:rFonts w:ascii="Calibri" w:hAnsi="Calibri"/>
          <w:szCs w:val="20"/>
          <w:lang w:eastAsia="en-US"/>
        </w:rPr>
      </w:pPr>
      <w:r>
        <w:rPr>
          <w:rFonts w:ascii="Calibri" w:hAnsi="Calibri"/>
          <w:szCs w:val="20"/>
          <w:lang w:eastAsia="en-US"/>
        </w:rPr>
        <w:t>Informowanie o występujących problemach i konieczności zmian w planach dotyczących podobszarów;</w:t>
      </w:r>
    </w:p>
    <w:p w:rsidR="00493747" w:rsidRDefault="00493747" w:rsidP="00493747">
      <w:pPr>
        <w:numPr>
          <w:ilvl w:val="0"/>
          <w:numId w:val="15"/>
        </w:numPr>
        <w:jc w:val="both"/>
        <w:rPr>
          <w:rFonts w:ascii="Calibri" w:hAnsi="Calibri"/>
          <w:szCs w:val="20"/>
          <w:lang w:eastAsia="en-US"/>
        </w:rPr>
      </w:pPr>
      <w:r>
        <w:rPr>
          <w:rFonts w:ascii="Calibri" w:hAnsi="Calibri"/>
          <w:szCs w:val="20"/>
          <w:lang w:eastAsia="en-US"/>
        </w:rPr>
        <w:t>Koordynują politykę informacyjną w podobszarach, przy wsparciu dedykowanego pracownika wdrażającego Program Edukacji, Partycypacji i Promocji;</w:t>
      </w:r>
    </w:p>
    <w:p w:rsidR="00493747" w:rsidRDefault="00493747" w:rsidP="00493747">
      <w:pPr>
        <w:jc w:val="both"/>
        <w:rPr>
          <w:rFonts w:ascii="Calibri" w:hAnsi="Calibri"/>
          <w:szCs w:val="20"/>
        </w:rPr>
      </w:pPr>
      <w:r>
        <w:rPr>
          <w:rFonts w:ascii="Calibri" w:hAnsi="Calibri"/>
          <w:szCs w:val="20"/>
          <w:lang w:eastAsia="en-US"/>
        </w:rPr>
        <w:t>Koordynatorzy stanowią również punkt kontaktowy dla wszystkich interesariuszy swojego podobszaru. Wspierają w tym zakresie Lokalny Punkt Informacyjny, od którego w regularnych okresach otrzymują informacje na temat udzielonych porad i doradztwa.</w:t>
      </w:r>
    </w:p>
    <w:p w:rsidR="009F0925" w:rsidRDefault="009F0925">
      <w:pPr>
        <w:sectPr w:rsidR="009F0925" w:rsidSect="001C4A4E">
          <w:footnotePr>
            <w:pos w:val="beneathText"/>
          </w:footnotePr>
          <w:type w:val="continuous"/>
          <w:pgSz w:w="11906" w:h="16838"/>
          <w:pgMar w:top="1418" w:right="1418" w:bottom="1418" w:left="1418" w:header="708" w:footer="708" w:gutter="0"/>
          <w:cols w:space="708"/>
          <w:docGrid w:linePitch="600" w:charSpace="32768"/>
        </w:sectPr>
      </w:pPr>
    </w:p>
    <w:p w:rsidR="009F0925" w:rsidRPr="00BB09B0" w:rsidRDefault="009F0925" w:rsidP="009F0925">
      <w:pPr>
        <w:rPr>
          <w:b/>
        </w:rPr>
      </w:pPr>
      <w:r>
        <w:rPr>
          <w:b/>
          <w:noProof/>
        </w:rPr>
        <w:drawing>
          <wp:anchor distT="182880" distB="193548" distL="114300" distR="114300" simplePos="0" relativeHeight="251678208" behindDoc="0" locked="0" layoutInCell="1" allowOverlap="1">
            <wp:simplePos x="0" y="0"/>
            <wp:positionH relativeFrom="margin">
              <wp:posOffset>118745</wp:posOffset>
            </wp:positionH>
            <wp:positionV relativeFrom="paragraph">
              <wp:posOffset>366395</wp:posOffset>
            </wp:positionV>
            <wp:extent cx="8670290" cy="4400550"/>
            <wp:effectExtent l="76200" t="0" r="54610" b="0"/>
            <wp:wrapSquare wrapText="bothSides"/>
            <wp:docPr id="1" name="Diagram 12"/>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1" r:lo="rId112" r:qs="rId113" r:cs="rId114"/>
              </a:graphicData>
            </a:graphic>
          </wp:anchor>
        </w:drawing>
      </w:r>
      <w:bookmarkStart w:id="9151" w:name="_Toc474925067"/>
      <w:r w:rsidRPr="00BB09B0">
        <w:rPr>
          <w:b/>
        </w:rPr>
        <w:t xml:space="preserve">Schemat </w:t>
      </w:r>
      <w:r w:rsidR="003972D8" w:rsidRPr="00BB09B0">
        <w:rPr>
          <w:b/>
        </w:rPr>
        <w:fldChar w:fldCharType="begin"/>
      </w:r>
      <w:r w:rsidRPr="00BB09B0">
        <w:rPr>
          <w:b/>
        </w:rPr>
        <w:instrText xml:space="preserve"> SEQ Schemat \* ARABIC </w:instrText>
      </w:r>
      <w:r w:rsidR="003972D8" w:rsidRPr="00BB09B0">
        <w:rPr>
          <w:b/>
        </w:rPr>
        <w:fldChar w:fldCharType="separate"/>
      </w:r>
      <w:r w:rsidR="00413FFE">
        <w:rPr>
          <w:b/>
          <w:noProof/>
        </w:rPr>
        <w:t>3</w:t>
      </w:r>
      <w:r w:rsidR="003972D8" w:rsidRPr="00BB09B0">
        <w:rPr>
          <w:b/>
        </w:rPr>
        <w:fldChar w:fldCharType="end"/>
      </w:r>
      <w:r w:rsidRPr="00BB09B0">
        <w:rPr>
          <w:b/>
        </w:rPr>
        <w:t xml:space="preserve">. Schemat </w:t>
      </w:r>
      <w:r>
        <w:rPr>
          <w:b/>
        </w:rPr>
        <w:t>procesu rewitalizacji w Bytomiu</w:t>
      </w:r>
      <w:bookmarkEnd w:id="9151"/>
    </w:p>
    <w:p w:rsidR="009D66ED" w:rsidRPr="008175F4" w:rsidRDefault="009D66ED" w:rsidP="00DE3D1F">
      <w:pPr>
        <w:pStyle w:val="Legenda"/>
        <w:rPr>
          <w:b w:val="0"/>
          <w:i/>
          <w:sz w:val="18"/>
        </w:rPr>
      </w:pPr>
      <w:r w:rsidRPr="008175F4">
        <w:rPr>
          <w:b w:val="0"/>
          <w:i/>
          <w:sz w:val="18"/>
        </w:rPr>
        <w:t xml:space="preserve">Źródło: Opracowanie </w:t>
      </w:r>
      <w:r w:rsidR="00CF6801" w:rsidRPr="008175F4">
        <w:rPr>
          <w:b w:val="0"/>
          <w:i/>
          <w:sz w:val="18"/>
        </w:rPr>
        <w:t>IRM we współpracy z Urzędem Miasta</w:t>
      </w:r>
    </w:p>
    <w:p w:rsidR="00041656" w:rsidRPr="009D66ED" w:rsidRDefault="00041656" w:rsidP="009D66ED">
      <w:pPr>
        <w:sectPr w:rsidR="00041656" w:rsidRPr="009D66ED" w:rsidSect="0055039E">
          <w:footnotePr>
            <w:pos w:val="beneathText"/>
          </w:footnotePr>
          <w:type w:val="continuous"/>
          <w:pgSz w:w="16838" w:h="11906" w:orient="landscape"/>
          <w:pgMar w:top="1418" w:right="1418" w:bottom="1418" w:left="1418" w:header="708" w:footer="708" w:gutter="0"/>
          <w:cols w:space="708"/>
          <w:docGrid w:linePitch="600" w:charSpace="32768"/>
        </w:sectPr>
      </w:pPr>
    </w:p>
    <w:p w:rsidR="00BB09B0" w:rsidRPr="00BB09B0" w:rsidRDefault="00BB09B0" w:rsidP="005F2B6C">
      <w:pPr>
        <w:spacing w:after="120"/>
        <w:rPr>
          <w:b/>
        </w:rPr>
      </w:pPr>
      <w:bookmarkStart w:id="9152" w:name="_Toc474925068"/>
      <w:r w:rsidRPr="00BB09B0">
        <w:rPr>
          <w:b/>
        </w:rPr>
        <w:t xml:space="preserve">Schemat </w:t>
      </w:r>
      <w:r w:rsidR="003972D8" w:rsidRPr="00BB09B0">
        <w:rPr>
          <w:b/>
        </w:rPr>
        <w:fldChar w:fldCharType="begin"/>
      </w:r>
      <w:r w:rsidRPr="00BB09B0">
        <w:rPr>
          <w:b/>
        </w:rPr>
        <w:instrText xml:space="preserve"> SEQ Schemat \* ARABIC </w:instrText>
      </w:r>
      <w:r w:rsidR="003972D8" w:rsidRPr="00BB09B0">
        <w:rPr>
          <w:b/>
        </w:rPr>
        <w:fldChar w:fldCharType="separate"/>
      </w:r>
      <w:r w:rsidR="00413FFE">
        <w:rPr>
          <w:b/>
          <w:noProof/>
        </w:rPr>
        <w:t>4</w:t>
      </w:r>
      <w:r w:rsidR="003972D8" w:rsidRPr="00BB09B0">
        <w:rPr>
          <w:b/>
        </w:rPr>
        <w:fldChar w:fldCharType="end"/>
      </w:r>
      <w:r w:rsidRPr="00BB09B0">
        <w:rPr>
          <w:b/>
        </w:rPr>
        <w:t xml:space="preserve">. Schemat zarządzania </w:t>
      </w:r>
      <w:r w:rsidR="00311FAA">
        <w:rPr>
          <w:b/>
        </w:rPr>
        <w:t xml:space="preserve">rewitalizacją w </w:t>
      </w:r>
      <w:r w:rsidRPr="00BB09B0">
        <w:rPr>
          <w:b/>
        </w:rPr>
        <w:t>Bytomiu</w:t>
      </w:r>
      <w:bookmarkEnd w:id="9152"/>
    </w:p>
    <w:p w:rsidR="00F90CC6" w:rsidRDefault="003972D8">
      <w:r>
        <w:rPr>
          <w:noProof/>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054" type="#_x0000_t34" style="position:absolute;margin-left:206.45pt;margin-top:348.55pt;width:102.45pt;height:41.3pt;rotation:180;flip:y;z-index:251694592" o:connectortype="elbow" adj="18542,228892,-80075" strokecolor="#44a3c0" strokeweight="1pt"/>
        </w:pict>
      </w:r>
      <w:r>
        <w:rPr>
          <w:noProof/>
        </w:rPr>
        <w:pict>
          <v:shapetype id="_x0000_t32" coordsize="21600,21600" o:spt="32" o:oned="t" path="m,l21600,21600e" filled="f">
            <v:path arrowok="t" fillok="f" o:connecttype="none"/>
            <o:lock v:ext="edit" shapetype="t"/>
          </v:shapetype>
          <v:shape id="_x0000_s1052" type="#_x0000_t32" style="position:absolute;margin-left:206.45pt;margin-top:292.8pt;width:25.05pt;height:0;z-index:251693568" o:connectortype="straight" strokecolor="#44a3c0" strokeweight="1pt"/>
        </w:pict>
      </w:r>
      <w:r w:rsidR="0043168D">
        <w:rPr>
          <w:noProof/>
        </w:rPr>
        <w:drawing>
          <wp:inline distT="0" distB="0" distL="0" distR="0">
            <wp:extent cx="5553075" cy="5429250"/>
            <wp:effectExtent l="0" t="0" r="0" b="0"/>
            <wp:docPr id="23" name="Diagram 5"/>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6" r:lo="rId117" r:qs="rId118" r:cs="rId119"/>
              </a:graphicData>
            </a:graphic>
          </wp:inline>
        </w:drawing>
      </w:r>
    </w:p>
    <w:p w:rsidR="00F90CC6" w:rsidRPr="00D96D36" w:rsidRDefault="00FB19FC" w:rsidP="005F2B6C">
      <w:pPr>
        <w:spacing w:before="120"/>
        <w:rPr>
          <w:i/>
          <w:sz w:val="18"/>
          <w:szCs w:val="20"/>
        </w:rPr>
      </w:pPr>
      <w:r w:rsidRPr="00D96D36">
        <w:rPr>
          <w:i/>
          <w:sz w:val="18"/>
          <w:szCs w:val="20"/>
        </w:rPr>
        <w:t xml:space="preserve">Źródło: Opracowanie </w:t>
      </w:r>
      <w:r w:rsidR="006C7CCD">
        <w:rPr>
          <w:i/>
          <w:sz w:val="18"/>
          <w:szCs w:val="20"/>
        </w:rPr>
        <w:t>Instytutu Rozwoju Miast</w:t>
      </w:r>
      <w:r w:rsidRPr="00D96D36">
        <w:rPr>
          <w:i/>
          <w:sz w:val="18"/>
          <w:szCs w:val="20"/>
        </w:rPr>
        <w:t xml:space="preserve"> we współpracy z Urzędem Miasta</w:t>
      </w:r>
    </w:p>
    <w:p w:rsidR="000C70A4" w:rsidRDefault="000C70A4">
      <w:pPr>
        <w:jc w:val="both"/>
        <w:rPr>
          <w:rFonts w:ascii="Calibri" w:hAnsi="Calibri"/>
          <w:szCs w:val="20"/>
        </w:rPr>
      </w:pPr>
    </w:p>
    <w:p w:rsidR="00E62F62" w:rsidRDefault="00AD657B">
      <w:pPr>
        <w:ind w:firstLine="431"/>
        <w:jc w:val="both"/>
        <w:rPr>
          <w:rFonts w:ascii="Calibri" w:hAnsi="Calibri"/>
          <w:szCs w:val="20"/>
        </w:rPr>
      </w:pPr>
      <w:r w:rsidRPr="00AD657B">
        <w:rPr>
          <w:rFonts w:ascii="Calibri" w:hAnsi="Calibri"/>
          <w:szCs w:val="20"/>
        </w:rPr>
        <w:t>Koordynator ds. wdrażania GPR oraz Koordynator Projektu Pilotażowego podlegają I Zastępcy Prezydenta Miasta, który jest Koordynatorem programowym rewitalizacji.</w:t>
      </w:r>
      <w:r>
        <w:rPr>
          <w:rFonts w:ascii="Calibri" w:hAnsi="Calibri"/>
          <w:szCs w:val="20"/>
        </w:rPr>
        <w:t xml:space="preserve"> </w:t>
      </w:r>
      <w:r w:rsidRPr="00AD657B">
        <w:rPr>
          <w:rFonts w:ascii="Calibri" w:hAnsi="Calibri"/>
          <w:szCs w:val="20"/>
        </w:rPr>
        <w:t>Koordynatorzy ds. wdrażania GPR oraz Projektu Pilotażowego współpracują ze sobą w ujęciu poziomym. Koordynator Projektu Pilotażowego uczestniczy również w pracach Zespołu ds. wdrożenia GPR, co zapewnia bieżącą wymianę informacji i gwarantuje wdrożenie efektów projektu pilotażowego w procesie wdrażania GPR.</w:t>
      </w:r>
    </w:p>
    <w:p w:rsidR="00AD657B" w:rsidRDefault="00AD657B">
      <w:pPr>
        <w:jc w:val="both"/>
        <w:rPr>
          <w:rFonts w:ascii="Calibri" w:hAnsi="Calibri"/>
          <w:szCs w:val="20"/>
        </w:rPr>
      </w:pPr>
    </w:p>
    <w:p w:rsidR="000C70A4" w:rsidRPr="0077030D" w:rsidRDefault="000C70A4" w:rsidP="006D764E">
      <w:pPr>
        <w:pStyle w:val="Nagwek2"/>
        <w:numPr>
          <w:ilvl w:val="1"/>
          <w:numId w:val="296"/>
        </w:numPr>
        <w:ind w:left="431" w:hanging="431"/>
      </w:pPr>
      <w:bookmarkStart w:id="9153" w:name="_Toc460313332"/>
      <w:bookmarkStart w:id="9154" w:name="_Toc474924984"/>
      <w:r w:rsidRPr="0077030D">
        <w:t>Procedura aktualizacji GPR</w:t>
      </w:r>
      <w:bookmarkEnd w:id="9153"/>
      <w:bookmarkEnd w:id="9154"/>
    </w:p>
    <w:p w:rsidR="000C70A4" w:rsidRDefault="000C70A4">
      <w:pPr>
        <w:jc w:val="both"/>
        <w:rPr>
          <w:rFonts w:ascii="Calibri" w:hAnsi="Calibri"/>
          <w:szCs w:val="20"/>
        </w:rPr>
      </w:pPr>
    </w:p>
    <w:p w:rsidR="00756196" w:rsidRPr="00756196" w:rsidRDefault="00756196" w:rsidP="00756196">
      <w:pPr>
        <w:ind w:firstLine="708"/>
        <w:jc w:val="both"/>
        <w:rPr>
          <w:rFonts w:ascii="Calibri" w:hAnsi="Calibri"/>
          <w:szCs w:val="20"/>
        </w:rPr>
      </w:pPr>
      <w:r w:rsidRPr="00756196">
        <w:rPr>
          <w:rFonts w:ascii="Calibri" w:hAnsi="Calibri"/>
          <w:szCs w:val="20"/>
        </w:rPr>
        <w:t>W przypadku stwierdzenia, że GPR wymaga zmiany, Prezydent Miasta Bytomia występuje do Rady</w:t>
      </w:r>
      <w:r>
        <w:rPr>
          <w:szCs w:val="20"/>
        </w:rPr>
        <w:t xml:space="preserve"> </w:t>
      </w:r>
      <w:r w:rsidRPr="00756196">
        <w:rPr>
          <w:rFonts w:ascii="Calibri" w:hAnsi="Calibri"/>
          <w:szCs w:val="20"/>
        </w:rPr>
        <w:t>Miejskiej z</w:t>
      </w:r>
      <w:r>
        <w:rPr>
          <w:szCs w:val="20"/>
        </w:rPr>
        <w:t> </w:t>
      </w:r>
      <w:r w:rsidRPr="00756196">
        <w:rPr>
          <w:rFonts w:ascii="Calibri" w:hAnsi="Calibri"/>
          <w:szCs w:val="20"/>
        </w:rPr>
        <w:t xml:space="preserve">wnioskiem o jego zmianę. Do wniosku załącza się opinię Komitetu Rewitalizacji. </w:t>
      </w:r>
    </w:p>
    <w:p w:rsidR="00756196" w:rsidRPr="00756196" w:rsidRDefault="00756196" w:rsidP="00756196">
      <w:pPr>
        <w:ind w:firstLine="708"/>
        <w:jc w:val="both"/>
        <w:rPr>
          <w:rFonts w:ascii="Calibri" w:hAnsi="Calibri"/>
          <w:szCs w:val="20"/>
        </w:rPr>
      </w:pPr>
      <w:r w:rsidRPr="00756196">
        <w:rPr>
          <w:rFonts w:ascii="Calibri" w:hAnsi="Calibri"/>
          <w:szCs w:val="20"/>
        </w:rPr>
        <w:t>Podstawą wprowadzania zmian do GPR może być w szczególności konieczność wprowadzenia nowych projektów rewitalizacyjnych bądź zmiany w prawodawstwie, w tym np.: w zakresie ustawy o rewitalizacji</w:t>
      </w:r>
      <w:r>
        <w:rPr>
          <w:szCs w:val="20"/>
        </w:rPr>
        <w:t xml:space="preserve">. </w:t>
      </w:r>
      <w:r w:rsidRPr="00756196">
        <w:rPr>
          <w:rFonts w:ascii="Calibri" w:hAnsi="Calibri"/>
          <w:szCs w:val="20"/>
        </w:rPr>
        <w:t xml:space="preserve">Zmiana niniejszego Programu następuje w trybie, w jakim jest on uchwalany, zgodnie z art. 23 ustawy </w:t>
      </w:r>
      <w:r w:rsidRPr="00756196">
        <w:rPr>
          <w:rFonts w:ascii="Calibri" w:hAnsi="Calibri"/>
          <w:szCs w:val="20"/>
        </w:rPr>
        <w:br/>
        <w:t>o rewitalizacji.</w:t>
      </w:r>
    </w:p>
    <w:p w:rsidR="000C70A4" w:rsidRDefault="000C70A4" w:rsidP="006D764E">
      <w:pPr>
        <w:pStyle w:val="Nagwek2"/>
        <w:numPr>
          <w:ilvl w:val="1"/>
          <w:numId w:val="296"/>
        </w:numPr>
        <w:ind w:left="431" w:hanging="431"/>
      </w:pPr>
      <w:bookmarkStart w:id="9155" w:name="_Toc460313333"/>
      <w:bookmarkStart w:id="9156" w:name="_Toc474924985"/>
      <w:r>
        <w:t>Ramowy harmonogram wdrażania GPR wraz z szacunkowymi ramami finansowymi</w:t>
      </w:r>
      <w:bookmarkEnd w:id="9155"/>
      <w:bookmarkEnd w:id="9156"/>
    </w:p>
    <w:p w:rsidR="003E49F7" w:rsidRPr="00C444F7" w:rsidRDefault="003E49F7" w:rsidP="003E49F7">
      <w:pPr>
        <w:ind w:firstLine="708"/>
        <w:jc w:val="both"/>
        <w:rPr>
          <w:rFonts w:ascii="Calibri" w:hAnsi="Calibri"/>
          <w:szCs w:val="20"/>
        </w:rPr>
      </w:pPr>
      <w:r w:rsidRPr="00C444F7">
        <w:rPr>
          <w:rFonts w:ascii="Calibri" w:hAnsi="Calibri"/>
          <w:szCs w:val="20"/>
        </w:rPr>
        <w:t xml:space="preserve">Zgodnie z przyjętą metodologią </w:t>
      </w:r>
      <w:r w:rsidR="004C703F">
        <w:rPr>
          <w:rFonts w:ascii="Calibri" w:hAnsi="Calibri"/>
          <w:szCs w:val="20"/>
        </w:rPr>
        <w:t>„</w:t>
      </w:r>
      <w:r w:rsidRPr="00C444F7">
        <w:rPr>
          <w:rFonts w:ascii="Calibri" w:hAnsi="Calibri"/>
          <w:szCs w:val="20"/>
        </w:rPr>
        <w:t>Gminny Program Rewitalizacji. Bytom 2020+</w:t>
      </w:r>
      <w:r w:rsidR="004C703F">
        <w:rPr>
          <w:rFonts w:ascii="Calibri" w:hAnsi="Calibri"/>
          <w:szCs w:val="20"/>
        </w:rPr>
        <w:t>”</w:t>
      </w:r>
      <w:r w:rsidRPr="00C444F7">
        <w:rPr>
          <w:rFonts w:ascii="Calibri" w:hAnsi="Calibri"/>
          <w:szCs w:val="20"/>
        </w:rPr>
        <w:t xml:space="preserve"> (GPR) został sporządzony jako program wieloletni. </w:t>
      </w:r>
    </w:p>
    <w:p w:rsidR="003E49F7" w:rsidRPr="00C444F7" w:rsidRDefault="003E49F7" w:rsidP="003E49F7">
      <w:pPr>
        <w:jc w:val="both"/>
        <w:rPr>
          <w:rFonts w:ascii="Calibri" w:hAnsi="Calibri"/>
          <w:szCs w:val="20"/>
        </w:rPr>
      </w:pPr>
      <w:r w:rsidRPr="00C444F7">
        <w:rPr>
          <w:rFonts w:ascii="Calibri" w:hAnsi="Calibri"/>
          <w:szCs w:val="20"/>
        </w:rPr>
        <w:t>Powyżej zaprezentowane podejście uzasadniają następujące przesłanki:</w:t>
      </w:r>
    </w:p>
    <w:p w:rsidR="00C444F7" w:rsidRDefault="003E49F7" w:rsidP="002722E1">
      <w:pPr>
        <w:pStyle w:val="Akapitzlist"/>
        <w:numPr>
          <w:ilvl w:val="0"/>
          <w:numId w:val="96"/>
        </w:numPr>
        <w:spacing w:after="0" w:line="240" w:lineRule="auto"/>
        <w:ind w:left="714" w:hanging="357"/>
        <w:jc w:val="both"/>
        <w:rPr>
          <w:sz w:val="20"/>
          <w:szCs w:val="20"/>
        </w:rPr>
      </w:pPr>
      <w:r w:rsidRPr="00C444F7">
        <w:rPr>
          <w:sz w:val="20"/>
          <w:szCs w:val="20"/>
        </w:rPr>
        <w:t xml:space="preserve">założenia podstawowego dokumentu operacyjnego miasta – gminnego programu rewitalizacji powinny być spójne z podstawowym dokumentem strategicznym Bytomia, jakim jest </w:t>
      </w:r>
      <w:r w:rsidR="0017230A">
        <w:rPr>
          <w:sz w:val="20"/>
          <w:szCs w:val="20"/>
        </w:rPr>
        <w:t>„</w:t>
      </w:r>
      <w:r w:rsidRPr="00C444F7">
        <w:rPr>
          <w:sz w:val="20"/>
          <w:szCs w:val="20"/>
        </w:rPr>
        <w:t>Strategia Rozwoju Miasta. Bytom 2020+</w:t>
      </w:r>
      <w:r w:rsidR="0017230A">
        <w:rPr>
          <w:sz w:val="20"/>
          <w:szCs w:val="20"/>
        </w:rPr>
        <w:t>”</w:t>
      </w:r>
      <w:r w:rsidRPr="00C444F7">
        <w:rPr>
          <w:sz w:val="20"/>
          <w:szCs w:val="20"/>
        </w:rPr>
        <w:t>;</w:t>
      </w:r>
    </w:p>
    <w:p w:rsidR="00C444F7" w:rsidRDefault="003E49F7" w:rsidP="002722E1">
      <w:pPr>
        <w:pStyle w:val="Akapitzlist"/>
        <w:numPr>
          <w:ilvl w:val="0"/>
          <w:numId w:val="96"/>
        </w:numPr>
        <w:spacing w:after="0" w:line="240" w:lineRule="auto"/>
        <w:ind w:left="714" w:hanging="357"/>
        <w:jc w:val="both"/>
        <w:rPr>
          <w:sz w:val="20"/>
          <w:szCs w:val="20"/>
        </w:rPr>
      </w:pPr>
      <w:r w:rsidRPr="00C444F7">
        <w:rPr>
          <w:sz w:val="20"/>
          <w:szCs w:val="20"/>
        </w:rPr>
        <w:t xml:space="preserve">brak określenia przez Ustawodawcę wymogów co do okresu na jaki dany program rewitalizacji powinien zostać uchwalony; </w:t>
      </w:r>
    </w:p>
    <w:p w:rsidR="00C444F7" w:rsidRDefault="003E49F7" w:rsidP="002722E1">
      <w:pPr>
        <w:pStyle w:val="Akapitzlist"/>
        <w:numPr>
          <w:ilvl w:val="0"/>
          <w:numId w:val="96"/>
        </w:numPr>
        <w:spacing w:after="0" w:line="240" w:lineRule="auto"/>
        <w:ind w:left="714" w:hanging="357"/>
        <w:jc w:val="both"/>
        <w:rPr>
          <w:sz w:val="20"/>
          <w:szCs w:val="20"/>
        </w:rPr>
      </w:pPr>
      <w:r w:rsidRPr="00C444F7">
        <w:rPr>
          <w:sz w:val="20"/>
          <w:szCs w:val="20"/>
        </w:rPr>
        <w:t>konieczność wieloletniego programowania działań rewitalizacyjnych, ich ciągłego monitorowania oraz aktualizacji w celu osiągnięcia maksymalnej efektywności;</w:t>
      </w:r>
    </w:p>
    <w:p w:rsidR="00C444F7" w:rsidRDefault="003E49F7" w:rsidP="009C1D86">
      <w:pPr>
        <w:pStyle w:val="Akapitzlist"/>
        <w:numPr>
          <w:ilvl w:val="0"/>
          <w:numId w:val="96"/>
        </w:numPr>
        <w:shd w:val="clear" w:color="auto" w:fill="F2F2F2" w:themeFill="background1" w:themeFillShade="F2"/>
        <w:spacing w:after="0" w:line="240" w:lineRule="auto"/>
        <w:ind w:left="714" w:hanging="357"/>
        <w:jc w:val="both"/>
        <w:rPr>
          <w:sz w:val="20"/>
          <w:szCs w:val="20"/>
        </w:rPr>
      </w:pPr>
      <w:r w:rsidRPr="00C444F7">
        <w:rPr>
          <w:sz w:val="20"/>
          <w:szCs w:val="20"/>
        </w:rPr>
        <w:t>konieczność dostosowania za</w:t>
      </w:r>
      <w:r w:rsidR="007F7EED">
        <w:rPr>
          <w:sz w:val="20"/>
          <w:szCs w:val="20"/>
        </w:rPr>
        <w:t xml:space="preserve">łożeń GPR do </w:t>
      </w:r>
      <w:r w:rsidRPr="00C444F7">
        <w:rPr>
          <w:sz w:val="20"/>
          <w:szCs w:val="20"/>
        </w:rPr>
        <w:t xml:space="preserve"> perspektywy finansowej Unii Europejskiej</w:t>
      </w:r>
      <w:r w:rsidR="007F7EED">
        <w:rPr>
          <w:sz w:val="20"/>
          <w:szCs w:val="20"/>
        </w:rPr>
        <w:t xml:space="preserve"> na lata </w:t>
      </w:r>
      <w:r w:rsidRPr="00C444F7">
        <w:rPr>
          <w:sz w:val="20"/>
          <w:szCs w:val="20"/>
        </w:rPr>
        <w:t>2014-2020, z uwagi na znaczące zaangażowanie środków Europejskiego Funduszu Społecznego oraz Europejskiego Funduszu Rozwoju Regionalnego w realizację procesów rewitalizacyjnych w ramach Obszaru Strategicznej Interwencji;</w:t>
      </w:r>
    </w:p>
    <w:p w:rsidR="001412B7" w:rsidRPr="00D42FF1" w:rsidRDefault="001412B7" w:rsidP="001412B7">
      <w:pPr>
        <w:pStyle w:val="NormalnyWeb"/>
        <w:numPr>
          <w:ilvl w:val="0"/>
          <w:numId w:val="96"/>
        </w:numPr>
        <w:spacing w:after="198" w:afterAutospacing="0"/>
        <w:jc w:val="both"/>
      </w:pPr>
      <w:r w:rsidRPr="00D42FF1">
        <w:rPr>
          <w:rFonts w:ascii="Calibri" w:hAnsi="Calibri"/>
          <w:szCs w:val="20"/>
        </w:rPr>
        <w:t>specyfiki przedsięwzięć rewitalizacyjnych zidentyfikowanych jako podstawowe, których zakładana realizacja przypada na lata 2017-2023</w:t>
      </w:r>
      <w:r w:rsidRPr="00D42FF1">
        <w:rPr>
          <w:szCs w:val="20"/>
        </w:rPr>
        <w:t>.</w:t>
      </w:r>
    </w:p>
    <w:p w:rsidR="00D42FF1" w:rsidRPr="00D42FF1" w:rsidRDefault="00D42FF1" w:rsidP="008D6109">
      <w:pPr>
        <w:pStyle w:val="western"/>
        <w:spacing w:before="0" w:beforeAutospacing="0" w:after="0" w:afterAutospacing="0"/>
        <w:ind w:firstLine="708"/>
        <w:jc w:val="both"/>
        <w:rPr>
          <w:rFonts w:ascii="Calibri" w:hAnsi="Calibri"/>
          <w:sz w:val="20"/>
          <w:szCs w:val="20"/>
        </w:rPr>
      </w:pPr>
      <w:r w:rsidRPr="00D42FF1">
        <w:rPr>
          <w:rFonts w:ascii="Calibri" w:hAnsi="Calibri"/>
          <w:sz w:val="20"/>
          <w:szCs w:val="20"/>
        </w:rPr>
        <w:t xml:space="preserve">W związku z powyższym, rozpoczęcie wdrażania Programu założono na </w:t>
      </w:r>
      <w:r w:rsidRPr="00D42FF1">
        <w:rPr>
          <w:rFonts w:ascii="Calibri" w:hAnsi="Calibri"/>
          <w:b/>
          <w:bCs/>
          <w:sz w:val="20"/>
          <w:szCs w:val="20"/>
        </w:rPr>
        <w:t>styczeń</w:t>
      </w:r>
      <w:r w:rsidRPr="00D42FF1">
        <w:rPr>
          <w:rFonts w:ascii="Calibri" w:hAnsi="Calibri"/>
          <w:sz w:val="20"/>
          <w:szCs w:val="20"/>
        </w:rPr>
        <w:t xml:space="preserve"> </w:t>
      </w:r>
      <w:r w:rsidRPr="00D42FF1">
        <w:rPr>
          <w:rFonts w:ascii="Calibri" w:hAnsi="Calibri"/>
          <w:b/>
          <w:bCs/>
          <w:sz w:val="20"/>
          <w:szCs w:val="20"/>
        </w:rPr>
        <w:t xml:space="preserve">2017 r., </w:t>
      </w:r>
      <w:r w:rsidRPr="00697F42">
        <w:rPr>
          <w:rFonts w:ascii="Calibri" w:hAnsi="Calibri"/>
          <w:b/>
          <w:bCs/>
          <w:sz w:val="20"/>
          <w:szCs w:val="20"/>
        </w:rPr>
        <w:t xml:space="preserve">a zakończenie na </w:t>
      </w:r>
      <w:r w:rsidRPr="00D42FF1">
        <w:rPr>
          <w:rFonts w:ascii="Calibri" w:hAnsi="Calibri"/>
          <w:b/>
          <w:bCs/>
          <w:sz w:val="20"/>
          <w:szCs w:val="20"/>
        </w:rPr>
        <w:t xml:space="preserve">grudzień 2027 (termin uwzględniający maksymalny, ustawowy okres funkcjonowania Specjalnej Strefy Rewitalizacji – zgodnie z rozdziałem 3.5 niniejszego dokumentu). </w:t>
      </w:r>
      <w:r w:rsidRPr="00D42FF1">
        <w:rPr>
          <w:rFonts w:ascii="Calibri" w:hAnsi="Calibri"/>
          <w:sz w:val="20"/>
          <w:szCs w:val="20"/>
        </w:rPr>
        <w:t>Program zakłada zaangażowanie znaczących środków publicznych (m.in. fundusze UE, środki EBI, środki własne miasta oraz jego jednostek) oraz niepublicznych (wkład własny projektodawców niepublicznych).</w:t>
      </w:r>
    </w:p>
    <w:p w:rsidR="00D42FF1" w:rsidRPr="00D42FF1" w:rsidRDefault="00D42FF1" w:rsidP="00E561F3">
      <w:pPr>
        <w:pStyle w:val="western"/>
        <w:spacing w:before="0" w:beforeAutospacing="0" w:after="0" w:afterAutospacing="0"/>
        <w:jc w:val="both"/>
        <w:rPr>
          <w:rFonts w:ascii="Calibri" w:hAnsi="Calibri"/>
          <w:sz w:val="20"/>
          <w:szCs w:val="20"/>
        </w:rPr>
      </w:pPr>
      <w:r w:rsidRPr="00D42FF1">
        <w:rPr>
          <w:rFonts w:ascii="Calibri" w:hAnsi="Calibri"/>
          <w:sz w:val="20"/>
          <w:szCs w:val="20"/>
        </w:rPr>
        <w:t>Szczegółowe, wstępne założenia co do potencjalnych źródeł finansowania przedsięwzięć rewitalizacyjnych przedstawiono w</w:t>
      </w:r>
      <w:r w:rsidR="00BE173E">
        <w:rPr>
          <w:rFonts w:ascii="Calibri" w:hAnsi="Calibri"/>
          <w:sz w:val="20"/>
          <w:szCs w:val="20"/>
        </w:rPr>
        <w:t xml:space="preserve"> tabeli 33.</w:t>
      </w:r>
    </w:p>
    <w:p w:rsidR="003E49F7" w:rsidRDefault="003E49F7" w:rsidP="003E49F7">
      <w:pPr>
        <w:jc w:val="both"/>
        <w:rPr>
          <w:rFonts w:ascii="Calibri" w:hAnsi="Calibri"/>
          <w:szCs w:val="20"/>
          <w:highlight w:val="yellow"/>
        </w:rPr>
      </w:pPr>
    </w:p>
    <w:p w:rsidR="002A1A6D" w:rsidRPr="002A1A6D" w:rsidRDefault="002A1A6D" w:rsidP="002229B6">
      <w:pPr>
        <w:pStyle w:val="Legenda"/>
        <w:keepNext/>
        <w:spacing w:after="60"/>
      </w:pPr>
      <w:bookmarkStart w:id="9157" w:name="_Toc202771126"/>
      <w:r w:rsidRPr="00C53EFB">
        <w:t xml:space="preserve">Tabela </w:t>
      </w:r>
      <w:r w:rsidR="003972D8" w:rsidRPr="00C53EFB">
        <w:fldChar w:fldCharType="begin"/>
      </w:r>
      <w:r w:rsidRPr="00C53EFB">
        <w:instrText xml:space="preserve"> SEQ Tabela \* ARABIC </w:instrText>
      </w:r>
      <w:r w:rsidR="003972D8" w:rsidRPr="00C53EFB">
        <w:fldChar w:fldCharType="separate"/>
      </w:r>
      <w:r w:rsidR="00413FFE">
        <w:rPr>
          <w:noProof/>
        </w:rPr>
        <w:t>32</w:t>
      </w:r>
      <w:r w:rsidR="003972D8" w:rsidRPr="00C53EFB">
        <w:fldChar w:fldCharType="end"/>
      </w:r>
      <w:r>
        <w:t xml:space="preserve">. </w:t>
      </w:r>
      <w:r w:rsidR="002229B6">
        <w:t>Potencjalne źródła finansowania przedsięwzięć rewitalizacyjnych</w:t>
      </w:r>
      <w:bookmarkEnd w:id="9157"/>
    </w:p>
    <w:tbl>
      <w:tblPr>
        <w:tblW w:w="0" w:type="auto"/>
        <w:jc w:val="center"/>
        <w:tblLayout w:type="fixed"/>
        <w:tblCellMar>
          <w:top w:w="75" w:type="dxa"/>
          <w:left w:w="75" w:type="dxa"/>
          <w:bottom w:w="75" w:type="dxa"/>
          <w:right w:w="75" w:type="dxa"/>
        </w:tblCellMar>
        <w:tblLook w:val="0000"/>
      </w:tblPr>
      <w:tblGrid>
        <w:gridCol w:w="716"/>
        <w:gridCol w:w="1666"/>
        <w:gridCol w:w="1682"/>
        <w:gridCol w:w="1679"/>
        <w:gridCol w:w="1679"/>
        <w:gridCol w:w="1656"/>
        <w:gridCol w:w="6"/>
      </w:tblGrid>
      <w:tr w:rsidR="00273B97" w:rsidTr="009E6DA0">
        <w:trPr>
          <w:gridAfter w:val="1"/>
          <w:wAfter w:w="6" w:type="dxa"/>
          <w:cantSplit/>
          <w:trHeight w:val="105"/>
          <w:jc w:val="center"/>
        </w:trPr>
        <w:tc>
          <w:tcPr>
            <w:tcW w:w="9078" w:type="dxa"/>
            <w:gridSpan w:val="6"/>
            <w:tcBorders>
              <w:top w:val="double" w:sz="1" w:space="0" w:color="000000"/>
              <w:left w:val="double" w:sz="1" w:space="0" w:color="000000"/>
              <w:bottom w:val="double" w:sz="1" w:space="0" w:color="000000"/>
              <w:right w:val="double" w:sz="1" w:space="0" w:color="000000"/>
            </w:tcBorders>
            <w:shd w:val="clear" w:color="auto" w:fill="99CCFF"/>
            <w:vAlign w:val="center"/>
          </w:tcPr>
          <w:p w:rsidR="00273B97" w:rsidRDefault="00273B97" w:rsidP="009E6DA0">
            <w:pPr>
              <w:pStyle w:val="NormalnyWeb2"/>
              <w:spacing w:before="20" w:after="20" w:line="240" w:lineRule="auto"/>
              <w:jc w:val="center"/>
              <w:rPr>
                <w:b/>
                <w:bCs/>
              </w:rPr>
            </w:pPr>
            <w:r>
              <w:rPr>
                <w:b/>
                <w:bCs/>
              </w:rPr>
              <w:t>INDYKATYWNE ŚRODKI FINANSOWE W RAMACH PROGRAMU REWITALIZACJI Z PODZIAŁEM NA ŹRÓDŁA FINANSOWANIA</w:t>
            </w:r>
          </w:p>
          <w:p w:rsidR="00273B97" w:rsidRDefault="00273B97" w:rsidP="009E6DA0">
            <w:pPr>
              <w:pStyle w:val="NormalnyWeb2"/>
              <w:spacing w:before="20" w:after="20" w:line="240" w:lineRule="auto"/>
              <w:jc w:val="center"/>
              <w:rPr>
                <w:b/>
                <w:bCs/>
              </w:rPr>
            </w:pPr>
            <w:r w:rsidRPr="00EA23E6">
              <w:rPr>
                <w:b/>
                <w:bCs/>
                <w:sz w:val="20"/>
              </w:rPr>
              <w:t xml:space="preserve">(numeracja w odniesieniu do „Listy przedsięwzięć podstawowych </w:t>
            </w:r>
            <w:r w:rsidRPr="00EA23E6">
              <w:rPr>
                <w:b/>
                <w:bCs/>
                <w:sz w:val="20"/>
              </w:rPr>
              <w:br/>
              <w:t>do Gminnego Programu Rewitalizacji. Bytom 2020+”)</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center"/>
          </w:tcPr>
          <w:p w:rsidR="00273B97" w:rsidRDefault="00273B97" w:rsidP="009E6DA0">
            <w:pPr>
              <w:pStyle w:val="NormalnyWeb2"/>
              <w:spacing w:line="216" w:lineRule="auto"/>
              <w:jc w:val="center"/>
              <w:rPr>
                <w:b/>
                <w:bCs/>
                <w:sz w:val="18"/>
                <w:szCs w:val="18"/>
              </w:rPr>
            </w:pPr>
            <w:r>
              <w:rPr>
                <w:b/>
                <w:bCs/>
                <w:sz w:val="18"/>
                <w:szCs w:val="18"/>
              </w:rPr>
              <w:t>ID</w:t>
            </w:r>
          </w:p>
        </w:tc>
        <w:tc>
          <w:tcPr>
            <w:tcW w:w="166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center"/>
          </w:tcPr>
          <w:p w:rsidR="00273B97" w:rsidRDefault="00273B97" w:rsidP="009E6DA0">
            <w:pPr>
              <w:pStyle w:val="NormalnyWeb2"/>
              <w:spacing w:line="216" w:lineRule="auto"/>
              <w:jc w:val="center"/>
              <w:rPr>
                <w:b/>
                <w:bCs/>
                <w:sz w:val="18"/>
                <w:szCs w:val="18"/>
              </w:rPr>
            </w:pPr>
            <w:r>
              <w:rPr>
                <w:b/>
                <w:bCs/>
                <w:sz w:val="18"/>
                <w:szCs w:val="18"/>
              </w:rPr>
              <w:t>POCHODZĄCE ZE ŹRÓDEŁ KRAJOWYCH PUBLICZNYCH</w:t>
            </w:r>
          </w:p>
        </w:tc>
        <w:tc>
          <w:tcPr>
            <w:tcW w:w="1682"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center"/>
          </w:tcPr>
          <w:p w:rsidR="00273B97" w:rsidRDefault="00273B97" w:rsidP="009E6DA0">
            <w:pPr>
              <w:pStyle w:val="NormalnyWeb2"/>
              <w:spacing w:line="216" w:lineRule="auto"/>
              <w:jc w:val="center"/>
              <w:rPr>
                <w:b/>
                <w:bCs/>
                <w:sz w:val="18"/>
                <w:szCs w:val="18"/>
              </w:rPr>
            </w:pPr>
            <w:r>
              <w:rPr>
                <w:b/>
                <w:bCs/>
                <w:sz w:val="18"/>
                <w:szCs w:val="18"/>
              </w:rPr>
              <w:t>POCHODZĄCE ZE ŹRÓDEŁ PRYWATNYCH</w:t>
            </w:r>
          </w:p>
        </w:tc>
        <w:tc>
          <w:tcPr>
            <w:tcW w:w="1679"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center"/>
          </w:tcPr>
          <w:p w:rsidR="00273B97" w:rsidRDefault="00273B97" w:rsidP="009E6DA0">
            <w:pPr>
              <w:pStyle w:val="NormalnyWeb2"/>
              <w:spacing w:line="216" w:lineRule="auto"/>
              <w:jc w:val="center"/>
              <w:rPr>
                <w:b/>
                <w:bCs/>
                <w:sz w:val="18"/>
                <w:szCs w:val="18"/>
              </w:rPr>
            </w:pPr>
            <w:r>
              <w:rPr>
                <w:b/>
                <w:bCs/>
                <w:sz w:val="18"/>
                <w:szCs w:val="18"/>
              </w:rPr>
              <w:t>POCHODZĄCE Z FUNDUSZY UE: EFRR, EFS, FS</w:t>
            </w:r>
          </w:p>
        </w:tc>
        <w:tc>
          <w:tcPr>
            <w:tcW w:w="1679"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center"/>
          </w:tcPr>
          <w:p w:rsidR="00273B97" w:rsidRDefault="00273B97" w:rsidP="009E6DA0">
            <w:pPr>
              <w:pStyle w:val="NormalnyWeb2"/>
              <w:spacing w:line="216" w:lineRule="auto"/>
              <w:jc w:val="center"/>
              <w:rPr>
                <w:b/>
                <w:bCs/>
                <w:sz w:val="18"/>
                <w:szCs w:val="18"/>
              </w:rPr>
            </w:pPr>
            <w:r>
              <w:rPr>
                <w:b/>
                <w:bCs/>
                <w:sz w:val="18"/>
                <w:szCs w:val="18"/>
              </w:rPr>
              <w:t>POCHODZĄCE Z INNYCH ŹRÓDEŁ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center"/>
          </w:tcPr>
          <w:p w:rsidR="00273B97" w:rsidRDefault="00273B97" w:rsidP="009E6DA0">
            <w:pPr>
              <w:pStyle w:val="NormalnyWeb2"/>
              <w:spacing w:line="216" w:lineRule="auto"/>
              <w:jc w:val="center"/>
              <w:rPr>
                <w:b/>
                <w:bCs/>
                <w:sz w:val="18"/>
                <w:szCs w:val="18"/>
              </w:rPr>
            </w:pPr>
            <w:r>
              <w:rPr>
                <w:b/>
                <w:bCs/>
                <w:sz w:val="18"/>
                <w:szCs w:val="18"/>
              </w:rPr>
              <w:t>SUMA</w:t>
            </w:r>
          </w:p>
        </w:tc>
      </w:tr>
      <w:tr w:rsidR="00273B97" w:rsidTr="00D321C0">
        <w:trPr>
          <w:cantSplit/>
          <w:trHeight w:val="218"/>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1</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437 070,61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2 476 733,45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2 913 804,06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2</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518 579,39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2 938 616,55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3 457 195,94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3</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204 386,10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1 158 187,90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1 362 574,00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4</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494 983,69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2 804 907,59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3 299 891,28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5</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30 000,00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15 000,00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255 000,00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300 000,00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6</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37 681,00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18 841,00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320 288,00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376 810,00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7</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367 500,00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183 750,00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3 123 750,00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3 675 000,00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8</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367 500,00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183 750,00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3 123 750,00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3 675 000,00 zł</w:t>
            </w:r>
          </w:p>
        </w:tc>
      </w:tr>
      <w:tr w:rsidR="00273B97" w:rsidTr="00D321C0">
        <w:trPr>
          <w:cantSplit/>
          <w:trHeight w:val="168"/>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9</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390 000,00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2 210 000,00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2 600 000,00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10</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68 310,00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387 090,00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455 400,00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40" w:lineRule="auto"/>
              <w:jc w:val="center"/>
              <w:rPr>
                <w:rFonts w:asciiTheme="minorHAnsi" w:hAnsiTheme="minorHAnsi"/>
                <w:b/>
                <w:bCs/>
                <w:sz w:val="20"/>
                <w:szCs w:val="20"/>
              </w:rPr>
            </w:pPr>
            <w:r w:rsidRPr="001211D9">
              <w:rPr>
                <w:rFonts w:asciiTheme="minorHAnsi" w:hAnsiTheme="minorHAnsi"/>
                <w:b/>
                <w:bCs/>
                <w:sz w:val="20"/>
                <w:szCs w:val="20"/>
              </w:rPr>
              <w:t>11</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40" w:lineRule="auto"/>
              <w:jc w:val="right"/>
              <w:rPr>
                <w:rFonts w:asciiTheme="minorHAnsi" w:hAnsiTheme="minorHAnsi"/>
              </w:rPr>
            </w:pPr>
            <w:r w:rsidRPr="003F7A14">
              <w:rPr>
                <w:rFonts w:asciiTheme="minorHAnsi" w:hAnsiTheme="minorHAnsi"/>
              </w:rPr>
              <w:t>553 483,70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40" w:lineRule="auto"/>
              <w:jc w:val="right"/>
              <w:rPr>
                <w:rFonts w:asciiTheme="minorHAnsi" w:hAnsiTheme="minorHAnsi"/>
              </w:rPr>
            </w:pPr>
            <w:r w:rsidRPr="003F7A14">
              <w:rPr>
                <w:rFonts w:asciiTheme="minorHAnsi" w:hAnsiTheme="minorHAnsi"/>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40" w:lineRule="auto"/>
              <w:jc w:val="right"/>
              <w:rPr>
                <w:rFonts w:asciiTheme="minorHAnsi" w:hAnsiTheme="minorHAnsi"/>
              </w:rPr>
            </w:pPr>
            <w:r w:rsidRPr="003F7A14">
              <w:rPr>
                <w:rFonts w:asciiTheme="minorHAnsi" w:hAnsiTheme="minorHAnsi"/>
              </w:rPr>
              <w:t>3 136 407,58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40"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40" w:lineRule="auto"/>
              <w:jc w:val="right"/>
              <w:rPr>
                <w:rFonts w:asciiTheme="minorHAnsi" w:hAnsiTheme="minorHAnsi"/>
              </w:rPr>
            </w:pPr>
            <w:r w:rsidRPr="003F7A14">
              <w:rPr>
                <w:rFonts w:asciiTheme="minorHAnsi" w:hAnsiTheme="minorHAnsi"/>
              </w:rPr>
              <w:t>3 689 891,28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12</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276 741,84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1 568 203,76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1 844 945,60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13</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553 483,69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3 136 407,59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3 689 891,28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14</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479 000,00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241 000,00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4 080 000,00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4 800 000,00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15</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150 000,00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75 000,00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1 275 000,00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1 500 000,00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16</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150 000,00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75 000,00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1 275 000,00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1 500 000,00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17</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100 087,80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567 164,20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667 252,00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18</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75 000,00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1 425 000,00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1 500 000,00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19</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75 000,00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1 425 000,00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1 500 000,00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20</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127 050,00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719 950,00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847 000,00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21</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108 000,00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792 000,00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900 000,00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22</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108 000,00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792 000,00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900 000,00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23</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2 529 308,46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14 332 748,00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16 862 056,46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24</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22 207,80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125 844,20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148 052,00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25</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122 880,00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696 320,00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819 200,00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26</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122 880,00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696 320,00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819 200,00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27</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122 880,00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696 320,00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819 200,00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28</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195 000,00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1 105 000,00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1 300 000,00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29</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375 000,00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2 125 000,00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2 500 000,00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30</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742 500,00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4 207 500,00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4 950 000,00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31</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742 500,00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4 207 500,00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4 950 000,00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32</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742 500,00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4 207 500,00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4 950 000,00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33</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742 500,00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4 207 500,00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4 950 000,00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34</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63 000,00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31 500,00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535 500,00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630 000,00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35</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220 000,00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110 000,00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1 870 000,00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2 200 000,00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36</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113 684,21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56 842,11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966 315,79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1 136 842,11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37</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354 000,00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177 000,00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3 009 000,00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3 540 000,00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38</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450 000,00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225 000,00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3 825 000,00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4 500 000,00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39</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350 000,00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175 000,00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2 975 000,00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3 500 000,00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40</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240 000,00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80 000,00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1 225 000,00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1 545 000,00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41</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200 000,00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100 000,00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1 700 000,00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2 000 000,00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42</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112 500,00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637 500,00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750 000,00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43</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42 000,00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21 000,00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357 000,00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420 000,00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44</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58 688,00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332 562,00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391 250,00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45</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38 000,00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19 000,00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323 000,00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380 000,00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46</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100 000,00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50 000,00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850 000,00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1 000 000,00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47</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100 000,00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50 000,00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850 000,00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1 000 000,00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48</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742 500,00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4 207 500,00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4 950 000,00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49</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160 000,00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140 000,00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1 700 000,00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2 000 000,00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50</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200 000,00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100 000,00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1 700 000,00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2 000 000,00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51</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160 000,00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140 000,00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1 700 000,00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2 000 000,00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52</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742 500,00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4 207 500,00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4 950 000,00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53</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918 921,00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5 207 220,00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6 126 141,00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54</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947 635,50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5 369 934,50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6 317 570,00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55</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158 270,00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896 860,00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1 055 130,00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56</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124 398,00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704 922,00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829 320,00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57</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300 000,00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1 700 000,00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2 000 000,00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58</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360 000,00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315 000,00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3 825 000,00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4 500 000,00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59</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51 531,20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42 140,00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550 464,80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644 140,00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60</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64 000,00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56 000,00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680 000,00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800 000,00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61</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172 000,00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150 500,00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1 827 500,00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2 150 000,00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62</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240 000,00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210 000,00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2 550 000,00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3 000 000,00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63</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147 682,50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836 867,50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984 550,00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64</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1 020 555,00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5 783 145,00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6 803 700,00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65</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1 140 000,00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6 460 000,00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7 600 000,00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66</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390 000,00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2 210 000,00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2 600 000,00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67</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108 000,00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612 000,00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720 000,00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68</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25 200,00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22 050,00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267 750,00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315 000,00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69</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119 196,00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675 444,00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794 640,00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70</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67 200,00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58 800,00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714 000,00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840 000,00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71</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67 200,00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58 800,00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714 000,00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840 000,00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72</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3 800 000,00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670 000,00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4 470 000,00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73</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81 000,00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455 000,00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536 000,00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74</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81 000,00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455 000,00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536 000,00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75</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95 284,89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857 564,00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952 848,89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76</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158 000,00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900 000,00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1 058 000,00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77</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50 000,00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450 000,00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500 000,00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78</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50 000,00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450 000,00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500 000,00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79</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618 000,00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center"/>
          </w:tcPr>
          <w:p w:rsidR="00273B97" w:rsidRPr="003F7A14" w:rsidRDefault="00273B97" w:rsidP="003F7A14">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center"/>
          </w:tcPr>
          <w:p w:rsidR="00273B97" w:rsidRPr="003F7A14" w:rsidRDefault="00273B97" w:rsidP="003F7A14">
            <w:pPr>
              <w:pStyle w:val="NormalnyWeb2"/>
              <w:spacing w:before="0" w:after="0" w:line="204" w:lineRule="auto"/>
              <w:jc w:val="right"/>
              <w:rPr>
                <w:rFonts w:asciiTheme="minorHAnsi" w:hAnsiTheme="minorHAnsi"/>
              </w:rPr>
            </w:pPr>
            <w:r w:rsidRPr="003F7A14">
              <w:rPr>
                <w:rFonts w:asciiTheme="minorHAnsi" w:hAnsiTheme="minorHAnsi"/>
              </w:rPr>
              <w:t>3 500 000,00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4 118 000,00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80</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655 653,80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center"/>
          </w:tcPr>
          <w:p w:rsidR="00273B97" w:rsidRPr="003F7A14" w:rsidRDefault="00273B97" w:rsidP="003F7A14">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center"/>
          </w:tcPr>
          <w:p w:rsidR="00273B97" w:rsidRPr="003F7A14" w:rsidRDefault="00273B97" w:rsidP="003F7A14">
            <w:pPr>
              <w:pStyle w:val="NormalnyWeb2"/>
              <w:spacing w:before="0" w:after="0" w:line="204" w:lineRule="auto"/>
              <w:jc w:val="right"/>
              <w:rPr>
                <w:rFonts w:asciiTheme="minorHAnsi" w:hAnsiTheme="minorHAnsi"/>
              </w:rPr>
            </w:pPr>
            <w:r w:rsidRPr="003F7A14">
              <w:rPr>
                <w:rFonts w:asciiTheme="minorHAnsi" w:hAnsiTheme="minorHAnsi"/>
              </w:rPr>
              <w:t>3 515 171,50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4 170 825,30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81</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4 203 003,47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center"/>
          </w:tcPr>
          <w:p w:rsidR="00273B97" w:rsidRPr="003F7A14" w:rsidRDefault="00273B97" w:rsidP="003F7A14">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center"/>
          </w:tcPr>
          <w:p w:rsidR="00273B97" w:rsidRPr="003F7A14" w:rsidRDefault="00273B97" w:rsidP="003F7A14">
            <w:pPr>
              <w:pStyle w:val="NormalnyWeb2"/>
              <w:spacing w:before="0" w:after="0" w:line="204" w:lineRule="auto"/>
              <w:jc w:val="right"/>
              <w:rPr>
                <w:rFonts w:asciiTheme="minorHAnsi" w:hAnsiTheme="minorHAnsi"/>
              </w:rPr>
            </w:pPr>
            <w:r w:rsidRPr="003F7A14">
              <w:rPr>
                <w:rFonts w:asciiTheme="minorHAnsi" w:hAnsiTheme="minorHAnsi"/>
              </w:rPr>
              <w:t>23 817 019,69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28 020 023,16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82</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3 515 000,00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1 615 000,00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5 130 000,00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83</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1 201 566,03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4 839 849,14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6 041 415,17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84</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58 590,00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332 010,00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390 600,00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85</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203 400,00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1 152 600,00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1 356 000,00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86</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79 500,00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450 500,00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530 000,00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87</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114 000,00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646 000,00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760 000,00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88</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158 174,12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896 320,00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1 054 494,12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89</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192 450,00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1 090 550,00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1 283 000,00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90</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613 500,00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3 476 500,00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4 090 000,00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91</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166 335,75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942 569,25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1 108 905,00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92</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2 907 986,00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4 581 262,00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7 489 248,00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93</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907 500,00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5 142 500,00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6 050 000,00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94</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68 910,00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390 490,00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459 400,00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95</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112 000,00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630 000,00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742 000,00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96</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48 000,00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270 400,00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318 400,00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97</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510 000,00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2 890 000,00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3 400 000,00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98</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360 000,00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2 040 000,00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2 400 000,00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99</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715 483,76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4 054 408,00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4 769 891,76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100</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492 000,00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2 788 000,00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3 280 000,00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101</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375 000,00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2 125 000,00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2 500 000,00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102</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96 000,00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544 000,00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640 000,00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103</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375 000,00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2 125 000,00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2 500 000,00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104</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900 000,00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5 100 000,00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6 000 000,00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105</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2 400 000,00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13 600 000,00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16 000 000,00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106</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1 725 000,00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9 775 000,00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11 500 000,00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107</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2 186 294,12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12 389 000,00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14 575 294,12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108</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6 989 667,60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39 608 116,40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46 597 784,00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109</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2 706 177,75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15 335 007,25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18 041 185,00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110</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1 800 000,00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10 200 000,00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12 000 000,00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111</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79 520,00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39 760,00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675 920,00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795 200,00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112</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17 500,00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8 750,00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148 750,00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175 000,00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113</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840 000,00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420 000,00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7 140 000,00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8 400 000,00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114</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1 200 000,00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6 800 000,00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8 000 000,00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115</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120 000,00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60 000,00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1 020 000,00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1 200 000,00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116</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386 330,47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2 189 206,00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2 575 536,47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117</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3 000 000,00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17 000 000,00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20 000 000,00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118</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4 200 000,00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23 800 000,00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28 000 000,00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119</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1 407 470,26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7 975 664,82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9 383 135,08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120</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8 600 000,00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8 600 000,00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121</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80 000 000,00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80 000 000,00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122</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4 500 000,00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25 500 000,00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30 000 000,00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123</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537 000,00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3 043 000,00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3 580 000,00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124</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13 200 000,00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13 200 000,00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26 400 000,00 zł</w:t>
            </w:r>
          </w:p>
        </w:tc>
      </w:tr>
      <w:tr w:rsidR="00273B97" w:rsidTr="00D321C0">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125</w:t>
            </w:r>
          </w:p>
        </w:tc>
        <w:tc>
          <w:tcPr>
            <w:tcW w:w="1666"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5 646 006,75 zł</w:t>
            </w:r>
          </w:p>
        </w:tc>
        <w:tc>
          <w:tcPr>
            <w:tcW w:w="1682"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5 646 006,75 zł</w:t>
            </w:r>
          </w:p>
        </w:tc>
      </w:tr>
      <w:tr w:rsidR="00273B97" w:rsidTr="00D321C0">
        <w:trPr>
          <w:cantSplit/>
          <w:trHeight w:val="105"/>
          <w:jc w:val="center"/>
        </w:trPr>
        <w:tc>
          <w:tcPr>
            <w:tcW w:w="716" w:type="dxa"/>
            <w:tcBorders>
              <w:top w:val="double" w:sz="1" w:space="0" w:color="000000"/>
              <w:left w:val="double" w:sz="1" w:space="0" w:color="000000"/>
              <w:bottom w:val="double" w:sz="2" w:space="0" w:color="000000"/>
              <w:right w:val="double" w:sz="1"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126</w:t>
            </w:r>
          </w:p>
        </w:tc>
        <w:tc>
          <w:tcPr>
            <w:tcW w:w="1666" w:type="dxa"/>
            <w:tcBorders>
              <w:top w:val="double" w:sz="1" w:space="0" w:color="000000"/>
              <w:left w:val="double" w:sz="1" w:space="0" w:color="000000"/>
              <w:bottom w:val="double" w:sz="2"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27 147 600,00 zł</w:t>
            </w:r>
          </w:p>
        </w:tc>
        <w:tc>
          <w:tcPr>
            <w:tcW w:w="1682" w:type="dxa"/>
            <w:tcBorders>
              <w:top w:val="double" w:sz="1" w:space="0" w:color="000000"/>
              <w:left w:val="double" w:sz="1" w:space="0" w:color="000000"/>
              <w:bottom w:val="double" w:sz="2"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79" w:type="dxa"/>
            <w:tcBorders>
              <w:top w:val="double" w:sz="1" w:space="0" w:color="000000"/>
              <w:left w:val="double" w:sz="1" w:space="0" w:color="000000"/>
              <w:bottom w:val="double" w:sz="2"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79" w:type="dxa"/>
            <w:tcBorders>
              <w:top w:val="double" w:sz="1" w:space="0" w:color="000000"/>
              <w:left w:val="double" w:sz="1" w:space="0" w:color="000000"/>
              <w:bottom w:val="double" w:sz="2"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1" w:space="0" w:color="000000"/>
              <w:left w:val="double" w:sz="1" w:space="0" w:color="000000"/>
              <w:bottom w:val="double" w:sz="2" w:space="0" w:color="000000"/>
              <w:right w:val="double" w:sz="1"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27 147 600,00 zł</w:t>
            </w:r>
          </w:p>
        </w:tc>
      </w:tr>
      <w:tr w:rsidR="00273B97" w:rsidTr="00D321C0">
        <w:trPr>
          <w:cantSplit/>
          <w:trHeight w:val="105"/>
          <w:jc w:val="center"/>
        </w:trPr>
        <w:tc>
          <w:tcPr>
            <w:tcW w:w="716" w:type="dxa"/>
            <w:tcBorders>
              <w:top w:val="double" w:sz="2" w:space="0" w:color="000000"/>
              <w:left w:val="double" w:sz="2" w:space="0" w:color="000000"/>
              <w:bottom w:val="double" w:sz="18" w:space="0" w:color="000000"/>
              <w:right w:val="double" w:sz="2" w:space="0" w:color="000000"/>
            </w:tcBorders>
            <w:shd w:val="clear" w:color="auto" w:fill="DDD9C3" w:themeFill="background2" w:themeFillShade="E6"/>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sidRPr="001211D9">
              <w:rPr>
                <w:rFonts w:asciiTheme="minorHAnsi" w:hAnsiTheme="minorHAnsi"/>
                <w:b/>
                <w:bCs/>
                <w:sz w:val="20"/>
                <w:szCs w:val="20"/>
              </w:rPr>
              <w:t>127</w:t>
            </w:r>
          </w:p>
        </w:tc>
        <w:tc>
          <w:tcPr>
            <w:tcW w:w="1666" w:type="dxa"/>
            <w:tcBorders>
              <w:top w:val="double" w:sz="2" w:space="0" w:color="000000"/>
              <w:left w:val="double" w:sz="2" w:space="0" w:color="000000"/>
              <w:bottom w:val="double" w:sz="18" w:space="0" w:color="000000"/>
              <w:right w:val="double" w:sz="2"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82" w:type="dxa"/>
            <w:tcBorders>
              <w:top w:val="double" w:sz="2" w:space="0" w:color="000000"/>
              <w:left w:val="double" w:sz="2" w:space="0" w:color="000000"/>
              <w:bottom w:val="double" w:sz="18" w:space="0" w:color="000000"/>
              <w:right w:val="double" w:sz="2"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1 800 000,00 zł</w:t>
            </w:r>
          </w:p>
        </w:tc>
        <w:tc>
          <w:tcPr>
            <w:tcW w:w="1679" w:type="dxa"/>
            <w:tcBorders>
              <w:top w:val="double" w:sz="2" w:space="0" w:color="000000"/>
              <w:left w:val="double" w:sz="2" w:space="0" w:color="000000"/>
              <w:bottom w:val="double" w:sz="18" w:space="0" w:color="000000"/>
              <w:right w:val="double" w:sz="2"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10 200 000,00 zł</w:t>
            </w:r>
          </w:p>
        </w:tc>
        <w:tc>
          <w:tcPr>
            <w:tcW w:w="1679" w:type="dxa"/>
            <w:tcBorders>
              <w:top w:val="double" w:sz="2" w:space="0" w:color="000000"/>
              <w:left w:val="double" w:sz="2" w:space="0" w:color="000000"/>
              <w:bottom w:val="double" w:sz="18" w:space="0" w:color="000000"/>
              <w:right w:val="double" w:sz="2"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0,00 zł</w:t>
            </w:r>
          </w:p>
        </w:tc>
        <w:tc>
          <w:tcPr>
            <w:tcW w:w="1662" w:type="dxa"/>
            <w:gridSpan w:val="2"/>
            <w:tcBorders>
              <w:top w:val="double" w:sz="2" w:space="0" w:color="000000"/>
              <w:left w:val="double" w:sz="2" w:space="0" w:color="000000"/>
              <w:bottom w:val="double" w:sz="18" w:space="0" w:color="000000"/>
              <w:right w:val="double" w:sz="2" w:space="0" w:color="000000"/>
            </w:tcBorders>
            <w:shd w:val="clear" w:color="auto" w:fill="FFFFFF"/>
            <w:vAlign w:val="bottom"/>
          </w:tcPr>
          <w:p w:rsidR="00273B97" w:rsidRPr="003F7A14" w:rsidRDefault="00273B97" w:rsidP="009E6DA0">
            <w:pPr>
              <w:pStyle w:val="NormalnyWeb2"/>
              <w:spacing w:before="0" w:after="0" w:line="204" w:lineRule="auto"/>
              <w:jc w:val="right"/>
              <w:rPr>
                <w:rFonts w:asciiTheme="minorHAnsi" w:hAnsiTheme="minorHAnsi"/>
              </w:rPr>
            </w:pPr>
            <w:r w:rsidRPr="003F7A14">
              <w:rPr>
                <w:rFonts w:asciiTheme="minorHAnsi" w:hAnsiTheme="minorHAnsi"/>
              </w:rPr>
              <w:t>12 000 000,00 zł</w:t>
            </w:r>
          </w:p>
        </w:tc>
      </w:tr>
      <w:tr w:rsidR="00273B97" w:rsidTr="009C1D86">
        <w:trPr>
          <w:cantSplit/>
          <w:trHeight w:val="105"/>
          <w:jc w:val="center"/>
        </w:trPr>
        <w:tc>
          <w:tcPr>
            <w:tcW w:w="716" w:type="dxa"/>
            <w:tcBorders>
              <w:top w:val="double" w:sz="18" w:space="0" w:color="000000"/>
              <w:left w:val="double" w:sz="1" w:space="0" w:color="000000"/>
              <w:bottom w:val="double" w:sz="1" w:space="0" w:color="000000"/>
              <w:right w:val="double" w:sz="1" w:space="0" w:color="000000"/>
            </w:tcBorders>
            <w:shd w:val="clear" w:color="auto" w:fill="F2F2F2" w:themeFill="background1" w:themeFillShade="F2"/>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Pr>
                <w:rFonts w:asciiTheme="minorHAnsi" w:hAnsiTheme="minorHAnsi"/>
                <w:b/>
                <w:bCs/>
                <w:sz w:val="20"/>
                <w:szCs w:val="20"/>
              </w:rPr>
              <w:t>128</w:t>
            </w:r>
          </w:p>
        </w:tc>
        <w:tc>
          <w:tcPr>
            <w:tcW w:w="1666" w:type="dxa"/>
            <w:tcBorders>
              <w:top w:val="double" w:sz="18" w:space="0" w:color="000000"/>
              <w:left w:val="double" w:sz="1" w:space="0" w:color="000000"/>
              <w:bottom w:val="double" w:sz="1" w:space="0" w:color="000000"/>
              <w:right w:val="double" w:sz="1" w:space="0" w:color="000000"/>
            </w:tcBorders>
            <w:shd w:val="clear" w:color="auto" w:fill="F2F2F2" w:themeFill="background1" w:themeFillShade="F2"/>
            <w:vAlign w:val="center"/>
          </w:tcPr>
          <w:p w:rsidR="00273B97" w:rsidRPr="00581E59" w:rsidRDefault="00273B97" w:rsidP="001F237B">
            <w:pPr>
              <w:pStyle w:val="NormalnyWeb2"/>
              <w:spacing w:before="0" w:after="0" w:line="204" w:lineRule="auto"/>
              <w:jc w:val="right"/>
              <w:rPr>
                <w:rFonts w:cs="Calibri"/>
                <w:color w:val="auto"/>
              </w:rPr>
            </w:pPr>
            <w:r w:rsidRPr="00581E59">
              <w:rPr>
                <w:rFonts w:cs="Calibri"/>
                <w:color w:val="auto"/>
              </w:rPr>
              <w:t>90 000,00 zł</w:t>
            </w:r>
          </w:p>
        </w:tc>
        <w:tc>
          <w:tcPr>
            <w:tcW w:w="1682" w:type="dxa"/>
            <w:tcBorders>
              <w:top w:val="double" w:sz="18" w:space="0" w:color="000000"/>
              <w:left w:val="double" w:sz="1" w:space="0" w:color="000000"/>
              <w:bottom w:val="double" w:sz="1" w:space="0" w:color="000000"/>
              <w:right w:val="double" w:sz="1" w:space="0" w:color="000000"/>
            </w:tcBorders>
            <w:shd w:val="clear" w:color="auto" w:fill="F2F2F2" w:themeFill="background1" w:themeFillShade="F2"/>
            <w:vAlign w:val="center"/>
          </w:tcPr>
          <w:p w:rsidR="00273B97" w:rsidRPr="00581E59" w:rsidRDefault="00273B97" w:rsidP="001F237B">
            <w:pPr>
              <w:jc w:val="right"/>
              <w:rPr>
                <w:rFonts w:ascii="Calibri" w:hAnsi="Calibri" w:cs="Calibri"/>
                <w:sz w:val="22"/>
                <w:szCs w:val="22"/>
              </w:rPr>
            </w:pPr>
            <w:r w:rsidRPr="00581E59">
              <w:rPr>
                <w:rFonts w:ascii="Calibri" w:hAnsi="Calibri" w:cs="Calibri"/>
                <w:sz w:val="22"/>
                <w:szCs w:val="22"/>
              </w:rPr>
              <w:t>0,00 zł</w:t>
            </w:r>
          </w:p>
        </w:tc>
        <w:tc>
          <w:tcPr>
            <w:tcW w:w="1679" w:type="dxa"/>
            <w:tcBorders>
              <w:top w:val="double" w:sz="18" w:space="0" w:color="000000"/>
              <w:left w:val="double" w:sz="1" w:space="0" w:color="000000"/>
              <w:bottom w:val="double" w:sz="1" w:space="0" w:color="000000"/>
              <w:right w:val="double" w:sz="1" w:space="0" w:color="000000"/>
            </w:tcBorders>
            <w:shd w:val="clear" w:color="auto" w:fill="F2F2F2" w:themeFill="background1" w:themeFillShade="F2"/>
            <w:vAlign w:val="center"/>
          </w:tcPr>
          <w:p w:rsidR="00273B97" w:rsidRPr="00581E59" w:rsidRDefault="00273B97" w:rsidP="001F237B">
            <w:pPr>
              <w:pStyle w:val="NormalnyWeb2"/>
              <w:spacing w:before="0" w:after="0" w:line="204" w:lineRule="auto"/>
              <w:jc w:val="right"/>
              <w:rPr>
                <w:rFonts w:cs="Calibri"/>
                <w:color w:val="auto"/>
              </w:rPr>
            </w:pPr>
            <w:r w:rsidRPr="00581E59">
              <w:rPr>
                <w:rFonts w:cs="Calibri"/>
                <w:color w:val="auto"/>
              </w:rPr>
              <w:t>5 100 000,00 zł</w:t>
            </w:r>
          </w:p>
        </w:tc>
        <w:tc>
          <w:tcPr>
            <w:tcW w:w="1679" w:type="dxa"/>
            <w:tcBorders>
              <w:top w:val="double" w:sz="18" w:space="0" w:color="000000"/>
              <w:left w:val="double" w:sz="1" w:space="0" w:color="000000"/>
              <w:bottom w:val="double" w:sz="1" w:space="0" w:color="000000"/>
              <w:right w:val="double" w:sz="1" w:space="0" w:color="000000"/>
            </w:tcBorders>
            <w:shd w:val="clear" w:color="auto" w:fill="F2F2F2" w:themeFill="background1" w:themeFillShade="F2"/>
            <w:vAlign w:val="center"/>
          </w:tcPr>
          <w:p w:rsidR="00273B97" w:rsidRPr="00581E59" w:rsidRDefault="00273B97" w:rsidP="001F237B">
            <w:pPr>
              <w:pStyle w:val="NormalnyWeb2"/>
              <w:spacing w:before="0" w:after="0" w:line="204" w:lineRule="auto"/>
              <w:jc w:val="right"/>
              <w:rPr>
                <w:rFonts w:cs="Calibri"/>
                <w:color w:val="auto"/>
              </w:rPr>
            </w:pPr>
            <w:r w:rsidRPr="00581E59">
              <w:rPr>
                <w:rFonts w:cs="Calibri"/>
                <w:color w:val="auto"/>
              </w:rPr>
              <w:t>0,00 zł</w:t>
            </w:r>
          </w:p>
        </w:tc>
        <w:tc>
          <w:tcPr>
            <w:tcW w:w="1662" w:type="dxa"/>
            <w:gridSpan w:val="2"/>
            <w:tcBorders>
              <w:top w:val="double" w:sz="18" w:space="0" w:color="000000"/>
              <w:left w:val="double" w:sz="1" w:space="0" w:color="000000"/>
              <w:bottom w:val="double" w:sz="1" w:space="0" w:color="000000"/>
              <w:right w:val="double" w:sz="1" w:space="0" w:color="000000"/>
            </w:tcBorders>
            <w:shd w:val="clear" w:color="auto" w:fill="F2F2F2" w:themeFill="background1" w:themeFillShade="F2"/>
            <w:vAlign w:val="center"/>
          </w:tcPr>
          <w:p w:rsidR="00273B97" w:rsidRPr="00581E59" w:rsidRDefault="00273B97" w:rsidP="001F237B">
            <w:pPr>
              <w:jc w:val="right"/>
              <w:rPr>
                <w:rFonts w:ascii="Calibri" w:hAnsi="Calibri" w:cs="Calibri"/>
                <w:sz w:val="22"/>
                <w:szCs w:val="22"/>
              </w:rPr>
            </w:pPr>
            <w:r w:rsidRPr="00581E59">
              <w:rPr>
                <w:rFonts w:ascii="Calibri" w:hAnsi="Calibri" w:cs="Calibri"/>
                <w:sz w:val="22"/>
                <w:szCs w:val="22"/>
              </w:rPr>
              <w:t>6 000 000,00 zł</w:t>
            </w:r>
          </w:p>
        </w:tc>
      </w:tr>
      <w:tr w:rsidR="00273B97" w:rsidTr="009C1D86">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273B97" w:rsidRPr="001211D9" w:rsidRDefault="00273B97" w:rsidP="009E6DA0">
            <w:pPr>
              <w:pStyle w:val="NormalnyWeb2"/>
              <w:spacing w:before="0" w:after="0" w:line="204" w:lineRule="auto"/>
              <w:jc w:val="center"/>
              <w:rPr>
                <w:rFonts w:asciiTheme="minorHAnsi" w:hAnsiTheme="minorHAnsi"/>
                <w:b/>
                <w:bCs/>
                <w:sz w:val="20"/>
                <w:szCs w:val="20"/>
              </w:rPr>
            </w:pPr>
            <w:r>
              <w:rPr>
                <w:rFonts w:asciiTheme="minorHAnsi" w:hAnsiTheme="minorHAnsi"/>
                <w:b/>
                <w:bCs/>
                <w:sz w:val="20"/>
                <w:szCs w:val="20"/>
              </w:rPr>
              <w:t>129</w:t>
            </w:r>
          </w:p>
        </w:tc>
        <w:tc>
          <w:tcPr>
            <w:tcW w:w="166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273B97" w:rsidRPr="00581E59" w:rsidRDefault="00273B97" w:rsidP="001F237B">
            <w:pPr>
              <w:pStyle w:val="NormalnyWeb2"/>
              <w:spacing w:before="0" w:after="0" w:line="204" w:lineRule="auto"/>
              <w:jc w:val="right"/>
              <w:rPr>
                <w:rFonts w:cs="Calibri"/>
                <w:color w:val="auto"/>
              </w:rPr>
            </w:pPr>
            <w:r w:rsidRPr="00581E59">
              <w:rPr>
                <w:rFonts w:cs="Calibri"/>
                <w:color w:val="auto"/>
              </w:rPr>
              <w:t>120 000,00 zł</w:t>
            </w:r>
          </w:p>
        </w:tc>
        <w:tc>
          <w:tcPr>
            <w:tcW w:w="1682"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273B97" w:rsidRPr="00581E59" w:rsidRDefault="00273B97" w:rsidP="001F237B">
            <w:pPr>
              <w:jc w:val="right"/>
              <w:rPr>
                <w:rFonts w:ascii="Calibri" w:hAnsi="Calibri" w:cs="Calibri"/>
                <w:sz w:val="22"/>
                <w:szCs w:val="22"/>
              </w:rPr>
            </w:pPr>
            <w:r w:rsidRPr="00581E59">
              <w:rPr>
                <w:rFonts w:ascii="Calibri" w:hAnsi="Calibri" w:cs="Calibri"/>
                <w:sz w:val="22"/>
                <w:szCs w:val="22"/>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273B97" w:rsidRPr="00581E59" w:rsidRDefault="00273B97" w:rsidP="001F237B">
            <w:pPr>
              <w:pStyle w:val="NormalnyWeb2"/>
              <w:spacing w:before="0" w:after="0" w:line="204" w:lineRule="auto"/>
              <w:jc w:val="right"/>
              <w:rPr>
                <w:rFonts w:cs="Calibri"/>
                <w:color w:val="auto"/>
              </w:rPr>
            </w:pPr>
            <w:r w:rsidRPr="00581E59">
              <w:rPr>
                <w:rFonts w:cs="Calibri"/>
                <w:color w:val="auto"/>
              </w:rPr>
              <w:t>6 800 000,00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273B97" w:rsidRPr="00581E59" w:rsidRDefault="00273B97" w:rsidP="001F237B">
            <w:pPr>
              <w:pStyle w:val="NormalnyWeb2"/>
              <w:spacing w:before="0" w:after="0" w:line="204" w:lineRule="auto"/>
              <w:jc w:val="right"/>
              <w:rPr>
                <w:rFonts w:cs="Calibri"/>
                <w:color w:val="auto"/>
              </w:rPr>
            </w:pPr>
            <w:r w:rsidRPr="00581E59">
              <w:rPr>
                <w:rFonts w:cs="Calibri"/>
                <w:color w:val="auto"/>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273B97" w:rsidRPr="00581E59" w:rsidRDefault="00273B97" w:rsidP="001F237B">
            <w:pPr>
              <w:jc w:val="right"/>
              <w:rPr>
                <w:rFonts w:ascii="Calibri" w:hAnsi="Calibri" w:cs="Calibri"/>
                <w:sz w:val="22"/>
                <w:szCs w:val="22"/>
              </w:rPr>
            </w:pPr>
            <w:r w:rsidRPr="00581E59">
              <w:rPr>
                <w:rFonts w:ascii="Calibri" w:hAnsi="Calibri" w:cs="Calibri"/>
                <w:sz w:val="22"/>
                <w:szCs w:val="22"/>
              </w:rPr>
              <w:t>8 000 000,00 zł</w:t>
            </w:r>
          </w:p>
        </w:tc>
      </w:tr>
      <w:tr w:rsidR="009752CF" w:rsidTr="009C1D86">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Pr="001211D9" w:rsidRDefault="009752CF" w:rsidP="009E6DA0">
            <w:pPr>
              <w:pStyle w:val="NormalnyWeb2"/>
              <w:spacing w:before="0" w:after="0" w:line="204" w:lineRule="auto"/>
              <w:jc w:val="center"/>
              <w:rPr>
                <w:rFonts w:asciiTheme="minorHAnsi" w:hAnsiTheme="minorHAnsi"/>
                <w:b/>
                <w:bCs/>
                <w:sz w:val="20"/>
                <w:szCs w:val="20"/>
              </w:rPr>
            </w:pPr>
            <w:r>
              <w:rPr>
                <w:rFonts w:asciiTheme="minorHAnsi" w:hAnsiTheme="minorHAnsi"/>
                <w:b/>
                <w:bCs/>
                <w:sz w:val="20"/>
                <w:szCs w:val="20"/>
              </w:rPr>
              <w:t>130</w:t>
            </w:r>
          </w:p>
        </w:tc>
        <w:tc>
          <w:tcPr>
            <w:tcW w:w="166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Pr="00581E59" w:rsidRDefault="009752CF">
            <w:pPr>
              <w:jc w:val="right"/>
              <w:rPr>
                <w:rFonts w:ascii="Calibri" w:hAnsi="Calibri" w:cs="Calibri"/>
                <w:sz w:val="22"/>
                <w:szCs w:val="22"/>
              </w:rPr>
            </w:pPr>
            <w:r w:rsidRPr="00581E59">
              <w:rPr>
                <w:rFonts w:ascii="Calibri" w:hAnsi="Calibri" w:cs="Calibri"/>
                <w:sz w:val="22"/>
                <w:szCs w:val="22"/>
              </w:rPr>
              <w:t>6 000 000,00 zł</w:t>
            </w:r>
          </w:p>
        </w:tc>
        <w:tc>
          <w:tcPr>
            <w:tcW w:w="1682"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Pr="00581E59" w:rsidRDefault="009752CF">
            <w:pPr>
              <w:jc w:val="right"/>
              <w:rPr>
                <w:rFonts w:ascii="Calibri" w:hAnsi="Calibri" w:cs="Calibri"/>
                <w:sz w:val="22"/>
                <w:szCs w:val="22"/>
              </w:rPr>
            </w:pPr>
            <w:r w:rsidRPr="00581E59">
              <w:rPr>
                <w:rFonts w:ascii="Calibri" w:hAnsi="Calibri" w:cs="Calibri"/>
                <w:sz w:val="22"/>
                <w:szCs w:val="22"/>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Pr="00581E59" w:rsidRDefault="009752CF">
            <w:pPr>
              <w:jc w:val="right"/>
              <w:rPr>
                <w:rFonts w:ascii="Calibri" w:hAnsi="Calibri" w:cs="Calibri"/>
                <w:sz w:val="22"/>
                <w:szCs w:val="22"/>
              </w:rPr>
            </w:pPr>
            <w:r w:rsidRPr="00581E59">
              <w:rPr>
                <w:rFonts w:ascii="Calibri" w:hAnsi="Calibri" w:cs="Calibri"/>
                <w:sz w:val="22"/>
                <w:szCs w:val="22"/>
              </w:rPr>
              <w:t>34 000 000,00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1F237B">
            <w:pPr>
              <w:pStyle w:val="NormalnyWeb2"/>
              <w:spacing w:before="0" w:after="0" w:line="204" w:lineRule="auto"/>
              <w:jc w:val="right"/>
              <w:rPr>
                <w:rFonts w:cs="Calibri"/>
                <w:color w:val="auto"/>
              </w:rPr>
            </w:pPr>
            <w:r w:rsidRPr="00581E59">
              <w:rPr>
                <w:rFonts w:cs="Calibri"/>
                <w:color w:val="auto"/>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Pr="00581E59" w:rsidRDefault="009752CF">
            <w:pPr>
              <w:jc w:val="right"/>
              <w:rPr>
                <w:rFonts w:ascii="Calibri" w:hAnsi="Calibri" w:cs="Calibri"/>
                <w:sz w:val="22"/>
                <w:szCs w:val="22"/>
              </w:rPr>
            </w:pPr>
            <w:r w:rsidRPr="00581E59">
              <w:rPr>
                <w:rFonts w:ascii="Calibri" w:hAnsi="Calibri" w:cs="Calibri"/>
                <w:sz w:val="22"/>
                <w:szCs w:val="22"/>
              </w:rPr>
              <w:t>40 000 000,00 zł</w:t>
            </w:r>
          </w:p>
        </w:tc>
      </w:tr>
      <w:tr w:rsidR="009752CF" w:rsidTr="009C1D86">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Pr="001211D9" w:rsidRDefault="009752CF" w:rsidP="009E6DA0">
            <w:pPr>
              <w:pStyle w:val="NormalnyWeb2"/>
              <w:spacing w:before="0" w:after="0" w:line="204" w:lineRule="auto"/>
              <w:jc w:val="center"/>
              <w:rPr>
                <w:rFonts w:asciiTheme="minorHAnsi" w:hAnsiTheme="minorHAnsi"/>
                <w:b/>
                <w:bCs/>
                <w:sz w:val="20"/>
                <w:szCs w:val="20"/>
              </w:rPr>
            </w:pPr>
            <w:r>
              <w:rPr>
                <w:rFonts w:asciiTheme="minorHAnsi" w:hAnsiTheme="minorHAnsi"/>
                <w:b/>
                <w:bCs/>
                <w:sz w:val="20"/>
                <w:szCs w:val="20"/>
              </w:rPr>
              <w:t>131</w:t>
            </w:r>
          </w:p>
        </w:tc>
        <w:tc>
          <w:tcPr>
            <w:tcW w:w="166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1F237B">
            <w:pPr>
              <w:pStyle w:val="NormalnyWeb2"/>
              <w:spacing w:before="0" w:after="0" w:line="204" w:lineRule="auto"/>
              <w:jc w:val="right"/>
              <w:rPr>
                <w:rFonts w:cs="Calibri"/>
                <w:color w:val="auto"/>
              </w:rPr>
            </w:pPr>
            <w:r w:rsidRPr="00581E59">
              <w:rPr>
                <w:rFonts w:cs="Calibri"/>
                <w:color w:val="auto"/>
              </w:rPr>
              <w:t>4 983 383,48 zł</w:t>
            </w:r>
          </w:p>
        </w:tc>
        <w:tc>
          <w:tcPr>
            <w:tcW w:w="1682"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1F237B">
            <w:pPr>
              <w:jc w:val="right"/>
              <w:rPr>
                <w:rFonts w:ascii="Calibri" w:hAnsi="Calibri" w:cs="Calibri"/>
                <w:sz w:val="22"/>
                <w:szCs w:val="22"/>
              </w:rPr>
            </w:pPr>
            <w:r w:rsidRPr="00581E59">
              <w:rPr>
                <w:rFonts w:ascii="Calibri" w:hAnsi="Calibri" w:cs="Calibri"/>
                <w:sz w:val="22"/>
                <w:szCs w:val="22"/>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1F237B">
            <w:pPr>
              <w:pStyle w:val="NormalnyWeb2"/>
              <w:spacing w:before="0" w:after="0" w:line="204" w:lineRule="auto"/>
              <w:jc w:val="right"/>
              <w:rPr>
                <w:rFonts w:cs="Calibri"/>
                <w:color w:val="auto"/>
              </w:rPr>
            </w:pPr>
            <w:r w:rsidRPr="00581E59">
              <w:rPr>
                <w:rFonts w:cs="Calibri"/>
                <w:color w:val="auto"/>
              </w:rPr>
              <w:t>12 491 213,24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1F237B">
            <w:pPr>
              <w:pStyle w:val="NormalnyWeb2"/>
              <w:spacing w:before="0" w:after="0" w:line="204" w:lineRule="auto"/>
              <w:jc w:val="right"/>
              <w:rPr>
                <w:rFonts w:cs="Calibri"/>
                <w:color w:val="auto"/>
              </w:rPr>
            </w:pPr>
            <w:r w:rsidRPr="00581E59">
              <w:rPr>
                <w:rFonts w:cs="Calibri"/>
                <w:color w:val="auto"/>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1F237B">
            <w:pPr>
              <w:jc w:val="right"/>
              <w:rPr>
                <w:rFonts w:ascii="Calibri" w:hAnsi="Calibri" w:cs="Calibri"/>
                <w:sz w:val="22"/>
                <w:szCs w:val="22"/>
              </w:rPr>
            </w:pPr>
            <w:r w:rsidRPr="00581E59">
              <w:rPr>
                <w:rFonts w:ascii="Calibri" w:hAnsi="Calibri" w:cs="Calibri"/>
                <w:sz w:val="22"/>
                <w:szCs w:val="22"/>
              </w:rPr>
              <w:t>17 474 596,72 zł</w:t>
            </w:r>
          </w:p>
        </w:tc>
      </w:tr>
      <w:tr w:rsidR="009752CF" w:rsidTr="009C1D86">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Pr="001211D9" w:rsidRDefault="009752CF" w:rsidP="009E6DA0">
            <w:pPr>
              <w:pStyle w:val="NormalnyWeb2"/>
              <w:spacing w:before="0" w:after="0" w:line="204" w:lineRule="auto"/>
              <w:jc w:val="center"/>
              <w:rPr>
                <w:rFonts w:asciiTheme="minorHAnsi" w:hAnsiTheme="minorHAnsi"/>
                <w:b/>
                <w:bCs/>
                <w:sz w:val="20"/>
                <w:szCs w:val="20"/>
              </w:rPr>
            </w:pPr>
            <w:r>
              <w:rPr>
                <w:rFonts w:asciiTheme="minorHAnsi" w:hAnsiTheme="minorHAnsi"/>
                <w:b/>
                <w:bCs/>
                <w:sz w:val="20"/>
                <w:szCs w:val="20"/>
              </w:rPr>
              <w:t>132</w:t>
            </w:r>
          </w:p>
        </w:tc>
        <w:tc>
          <w:tcPr>
            <w:tcW w:w="166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1F237B">
            <w:pPr>
              <w:pStyle w:val="NormalnyWeb2"/>
              <w:spacing w:before="0" w:after="0" w:line="204" w:lineRule="auto"/>
              <w:jc w:val="right"/>
              <w:rPr>
                <w:rFonts w:cs="Calibri"/>
                <w:color w:val="auto"/>
              </w:rPr>
            </w:pPr>
            <w:r w:rsidRPr="00581E59">
              <w:rPr>
                <w:rFonts w:cs="Calibri"/>
                <w:color w:val="auto"/>
              </w:rPr>
              <w:t>0,00 zł</w:t>
            </w:r>
          </w:p>
        </w:tc>
        <w:tc>
          <w:tcPr>
            <w:tcW w:w="1682"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1F237B">
            <w:pPr>
              <w:jc w:val="right"/>
              <w:rPr>
                <w:rFonts w:ascii="Calibri" w:hAnsi="Calibri" w:cs="Calibri"/>
                <w:sz w:val="22"/>
                <w:szCs w:val="22"/>
              </w:rPr>
            </w:pPr>
            <w:r w:rsidRPr="00581E59">
              <w:rPr>
                <w:rFonts w:ascii="Calibri" w:hAnsi="Calibri" w:cs="Calibri"/>
                <w:sz w:val="22"/>
                <w:szCs w:val="22"/>
              </w:rPr>
              <w:t xml:space="preserve">1 800 000,00 zł </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1F237B">
            <w:pPr>
              <w:pStyle w:val="NormalnyWeb2"/>
              <w:spacing w:before="0" w:after="0" w:line="204" w:lineRule="auto"/>
              <w:jc w:val="right"/>
              <w:rPr>
                <w:rFonts w:cs="Calibri"/>
                <w:color w:val="auto"/>
              </w:rPr>
            </w:pPr>
            <w:r w:rsidRPr="00581E59">
              <w:rPr>
                <w:rFonts w:cs="Calibri"/>
                <w:color w:val="auto"/>
              </w:rPr>
              <w:t>10 200 000,00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1F237B">
            <w:pPr>
              <w:pStyle w:val="NormalnyWeb2"/>
              <w:spacing w:before="0" w:after="0" w:line="204" w:lineRule="auto"/>
              <w:jc w:val="right"/>
              <w:rPr>
                <w:rFonts w:cs="Calibri"/>
                <w:color w:val="auto"/>
              </w:rPr>
            </w:pPr>
            <w:r w:rsidRPr="00581E59">
              <w:rPr>
                <w:rFonts w:cs="Calibri"/>
                <w:color w:val="auto"/>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1F237B">
            <w:pPr>
              <w:jc w:val="right"/>
              <w:rPr>
                <w:rFonts w:ascii="Calibri" w:hAnsi="Calibri" w:cs="Calibri"/>
                <w:sz w:val="22"/>
                <w:szCs w:val="22"/>
              </w:rPr>
            </w:pPr>
            <w:r w:rsidRPr="00581E59">
              <w:rPr>
                <w:rFonts w:ascii="Calibri" w:hAnsi="Calibri" w:cs="Calibri"/>
                <w:sz w:val="22"/>
                <w:szCs w:val="22"/>
              </w:rPr>
              <w:t>12 000 000,00 zł</w:t>
            </w:r>
          </w:p>
        </w:tc>
      </w:tr>
      <w:tr w:rsidR="009752CF" w:rsidTr="009C1D86">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Pr="001211D9" w:rsidRDefault="009752CF" w:rsidP="009E6DA0">
            <w:pPr>
              <w:pStyle w:val="NormalnyWeb2"/>
              <w:spacing w:before="0" w:after="0" w:line="204" w:lineRule="auto"/>
              <w:jc w:val="center"/>
              <w:rPr>
                <w:rFonts w:asciiTheme="minorHAnsi" w:hAnsiTheme="minorHAnsi"/>
                <w:b/>
                <w:bCs/>
                <w:sz w:val="20"/>
                <w:szCs w:val="20"/>
              </w:rPr>
            </w:pPr>
            <w:r>
              <w:rPr>
                <w:rFonts w:asciiTheme="minorHAnsi" w:hAnsiTheme="minorHAnsi"/>
                <w:b/>
                <w:bCs/>
                <w:sz w:val="20"/>
                <w:szCs w:val="20"/>
              </w:rPr>
              <w:t>133</w:t>
            </w:r>
          </w:p>
        </w:tc>
        <w:tc>
          <w:tcPr>
            <w:tcW w:w="166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1F237B">
            <w:pPr>
              <w:pStyle w:val="NormalnyWeb2"/>
              <w:spacing w:before="0" w:after="0" w:line="204" w:lineRule="auto"/>
              <w:jc w:val="right"/>
              <w:rPr>
                <w:rFonts w:cs="Calibri"/>
                <w:color w:val="auto"/>
              </w:rPr>
            </w:pPr>
            <w:r w:rsidRPr="00581E59">
              <w:rPr>
                <w:rFonts w:cs="Calibri"/>
                <w:color w:val="auto"/>
              </w:rPr>
              <w:t>56 304,91 zł</w:t>
            </w:r>
          </w:p>
        </w:tc>
        <w:tc>
          <w:tcPr>
            <w:tcW w:w="1682"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1F237B">
            <w:pPr>
              <w:jc w:val="right"/>
              <w:rPr>
                <w:rFonts w:ascii="Calibri" w:hAnsi="Calibri" w:cs="Calibri"/>
                <w:sz w:val="22"/>
                <w:szCs w:val="22"/>
              </w:rPr>
            </w:pPr>
            <w:r w:rsidRPr="00581E59">
              <w:rPr>
                <w:rFonts w:ascii="Calibri" w:hAnsi="Calibri" w:cs="Calibri"/>
                <w:sz w:val="22"/>
                <w:szCs w:val="22"/>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1F237B">
            <w:pPr>
              <w:pStyle w:val="NormalnyWeb2"/>
              <w:spacing w:before="0" w:after="0" w:line="204" w:lineRule="auto"/>
              <w:jc w:val="right"/>
              <w:rPr>
                <w:rFonts w:cs="Calibri"/>
                <w:color w:val="auto"/>
              </w:rPr>
            </w:pPr>
            <w:r w:rsidRPr="00581E59">
              <w:rPr>
                <w:rFonts w:cs="Calibri"/>
                <w:color w:val="auto"/>
              </w:rPr>
              <w:t>1 069 793,21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1F237B">
            <w:pPr>
              <w:pStyle w:val="NormalnyWeb2"/>
              <w:spacing w:before="0" w:after="0" w:line="204" w:lineRule="auto"/>
              <w:jc w:val="right"/>
              <w:rPr>
                <w:rFonts w:cs="Calibri"/>
                <w:color w:val="auto"/>
              </w:rPr>
            </w:pPr>
            <w:r w:rsidRPr="00581E59">
              <w:rPr>
                <w:rFonts w:cs="Calibri"/>
                <w:color w:val="auto"/>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1F237B">
            <w:pPr>
              <w:jc w:val="right"/>
              <w:rPr>
                <w:rFonts w:ascii="Calibri" w:hAnsi="Calibri" w:cs="Calibri"/>
                <w:sz w:val="22"/>
                <w:szCs w:val="22"/>
              </w:rPr>
            </w:pPr>
            <w:r w:rsidRPr="00581E59">
              <w:rPr>
                <w:rFonts w:ascii="Calibri" w:hAnsi="Calibri" w:cs="Calibri"/>
                <w:sz w:val="22"/>
                <w:szCs w:val="22"/>
              </w:rPr>
              <w:t>1 126 098,12 zł</w:t>
            </w:r>
          </w:p>
        </w:tc>
      </w:tr>
      <w:tr w:rsidR="009752CF" w:rsidTr="009C1D86">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Pr="001211D9" w:rsidRDefault="009752CF" w:rsidP="009E6DA0">
            <w:pPr>
              <w:pStyle w:val="NormalnyWeb2"/>
              <w:spacing w:before="0" w:after="0" w:line="204" w:lineRule="auto"/>
              <w:jc w:val="center"/>
              <w:rPr>
                <w:rFonts w:asciiTheme="minorHAnsi" w:hAnsiTheme="minorHAnsi"/>
                <w:b/>
                <w:bCs/>
                <w:sz w:val="20"/>
                <w:szCs w:val="20"/>
              </w:rPr>
            </w:pPr>
            <w:r>
              <w:rPr>
                <w:rFonts w:asciiTheme="minorHAnsi" w:hAnsiTheme="minorHAnsi"/>
                <w:b/>
                <w:bCs/>
                <w:sz w:val="20"/>
                <w:szCs w:val="20"/>
              </w:rPr>
              <w:t>134</w:t>
            </w:r>
          </w:p>
        </w:tc>
        <w:tc>
          <w:tcPr>
            <w:tcW w:w="166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1F237B">
            <w:pPr>
              <w:pStyle w:val="NormalnyWeb2"/>
              <w:spacing w:before="0" w:after="0" w:line="204" w:lineRule="auto"/>
              <w:jc w:val="right"/>
              <w:rPr>
                <w:rFonts w:cs="Calibri"/>
                <w:color w:val="auto"/>
              </w:rPr>
            </w:pPr>
            <w:r w:rsidRPr="00581E59">
              <w:rPr>
                <w:rFonts w:cs="Calibri"/>
                <w:color w:val="auto"/>
              </w:rPr>
              <w:t>513 360,00 zł</w:t>
            </w:r>
          </w:p>
        </w:tc>
        <w:tc>
          <w:tcPr>
            <w:tcW w:w="1682"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1F237B">
            <w:pPr>
              <w:jc w:val="right"/>
              <w:rPr>
                <w:rFonts w:ascii="Calibri" w:hAnsi="Calibri" w:cs="Calibri"/>
                <w:sz w:val="22"/>
                <w:szCs w:val="22"/>
              </w:rPr>
            </w:pPr>
            <w:r w:rsidRPr="00581E59">
              <w:rPr>
                <w:rFonts w:ascii="Calibri" w:hAnsi="Calibri" w:cs="Calibri"/>
                <w:sz w:val="22"/>
                <w:szCs w:val="22"/>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1F237B">
            <w:pPr>
              <w:pStyle w:val="NormalnyWeb2"/>
              <w:spacing w:before="0" w:after="0" w:line="204" w:lineRule="auto"/>
              <w:jc w:val="right"/>
              <w:rPr>
                <w:rFonts w:cs="Calibri"/>
                <w:color w:val="auto"/>
              </w:rPr>
            </w:pPr>
            <w:r w:rsidRPr="00581E59">
              <w:rPr>
                <w:rFonts w:cs="Calibri"/>
                <w:color w:val="auto"/>
              </w:rPr>
              <w:t>2 909 040,00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1F237B">
            <w:pPr>
              <w:pStyle w:val="NormalnyWeb2"/>
              <w:spacing w:before="0" w:after="0" w:line="204" w:lineRule="auto"/>
              <w:jc w:val="right"/>
              <w:rPr>
                <w:rFonts w:cs="Calibri"/>
                <w:color w:val="auto"/>
              </w:rPr>
            </w:pPr>
            <w:r w:rsidRPr="00581E59">
              <w:rPr>
                <w:rFonts w:cs="Calibri"/>
                <w:color w:val="auto"/>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1F237B">
            <w:pPr>
              <w:jc w:val="right"/>
              <w:rPr>
                <w:rFonts w:ascii="Calibri" w:hAnsi="Calibri" w:cs="Calibri"/>
                <w:sz w:val="22"/>
                <w:szCs w:val="22"/>
              </w:rPr>
            </w:pPr>
            <w:r w:rsidRPr="00581E59">
              <w:rPr>
                <w:rFonts w:ascii="Calibri" w:hAnsi="Calibri" w:cs="Calibri"/>
                <w:sz w:val="22"/>
                <w:szCs w:val="22"/>
              </w:rPr>
              <w:t>3 422 400,00 zł</w:t>
            </w:r>
          </w:p>
        </w:tc>
      </w:tr>
      <w:tr w:rsidR="009752CF" w:rsidTr="009C1D86">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Pr="001211D9" w:rsidRDefault="009752CF" w:rsidP="009E6DA0">
            <w:pPr>
              <w:pStyle w:val="NormalnyWeb2"/>
              <w:spacing w:before="0" w:after="0" w:line="204" w:lineRule="auto"/>
              <w:jc w:val="center"/>
              <w:rPr>
                <w:rFonts w:asciiTheme="minorHAnsi" w:hAnsiTheme="minorHAnsi"/>
                <w:b/>
                <w:bCs/>
                <w:sz w:val="20"/>
                <w:szCs w:val="20"/>
              </w:rPr>
            </w:pPr>
            <w:r>
              <w:rPr>
                <w:rFonts w:asciiTheme="minorHAnsi" w:hAnsiTheme="minorHAnsi"/>
                <w:b/>
                <w:bCs/>
                <w:sz w:val="20"/>
                <w:szCs w:val="20"/>
              </w:rPr>
              <w:t>135</w:t>
            </w:r>
          </w:p>
        </w:tc>
        <w:tc>
          <w:tcPr>
            <w:tcW w:w="166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Pr="00581E59" w:rsidRDefault="009752CF">
            <w:pPr>
              <w:jc w:val="right"/>
              <w:rPr>
                <w:rFonts w:ascii="Calibri" w:hAnsi="Calibri" w:cs="Calibri"/>
                <w:sz w:val="22"/>
                <w:szCs w:val="22"/>
              </w:rPr>
            </w:pPr>
            <w:r w:rsidRPr="00581E59">
              <w:rPr>
                <w:rFonts w:ascii="Calibri" w:hAnsi="Calibri" w:cs="Calibri"/>
                <w:sz w:val="22"/>
                <w:szCs w:val="22"/>
              </w:rPr>
              <w:t>306 769,40 zł</w:t>
            </w:r>
          </w:p>
        </w:tc>
        <w:tc>
          <w:tcPr>
            <w:tcW w:w="1682"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Pr="00581E59" w:rsidRDefault="009752CF">
            <w:pPr>
              <w:jc w:val="right"/>
              <w:rPr>
                <w:rFonts w:ascii="Calibri" w:hAnsi="Calibri" w:cs="Calibri"/>
                <w:sz w:val="22"/>
                <w:szCs w:val="22"/>
              </w:rPr>
            </w:pPr>
            <w:r w:rsidRPr="00581E59">
              <w:rPr>
                <w:rFonts w:ascii="Calibri" w:hAnsi="Calibri" w:cs="Calibri"/>
                <w:sz w:val="22"/>
                <w:szCs w:val="22"/>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Pr="00581E59" w:rsidRDefault="009752CF">
            <w:pPr>
              <w:jc w:val="right"/>
              <w:rPr>
                <w:rFonts w:ascii="Calibri" w:hAnsi="Calibri" w:cs="Calibri"/>
                <w:sz w:val="22"/>
                <w:szCs w:val="22"/>
              </w:rPr>
            </w:pPr>
            <w:r w:rsidRPr="00581E59">
              <w:rPr>
                <w:rFonts w:ascii="Calibri" w:hAnsi="Calibri" w:cs="Calibri"/>
                <w:sz w:val="22"/>
                <w:szCs w:val="22"/>
              </w:rPr>
              <w:t>1 738 359,96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Pr="00581E59" w:rsidRDefault="009752CF">
            <w:pPr>
              <w:jc w:val="right"/>
              <w:rPr>
                <w:rFonts w:ascii="Calibri" w:hAnsi="Calibri" w:cs="Calibri"/>
                <w:sz w:val="22"/>
                <w:szCs w:val="22"/>
              </w:rPr>
            </w:pPr>
            <w:r w:rsidRPr="00581E59">
              <w:rPr>
                <w:rFonts w:ascii="Calibri" w:hAnsi="Calibri" w:cs="Calibri"/>
                <w:sz w:val="22"/>
                <w:szCs w:val="22"/>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Pr="00581E59" w:rsidRDefault="009752CF">
            <w:pPr>
              <w:jc w:val="right"/>
              <w:rPr>
                <w:rFonts w:ascii="Calibri" w:hAnsi="Calibri" w:cs="Calibri"/>
                <w:sz w:val="22"/>
                <w:szCs w:val="22"/>
              </w:rPr>
            </w:pPr>
            <w:r w:rsidRPr="00581E59">
              <w:rPr>
                <w:rFonts w:ascii="Calibri" w:hAnsi="Calibri" w:cs="Calibri"/>
                <w:sz w:val="22"/>
                <w:szCs w:val="22"/>
              </w:rPr>
              <w:t>2 045 129,36 zł</w:t>
            </w:r>
          </w:p>
        </w:tc>
      </w:tr>
      <w:tr w:rsidR="009752CF" w:rsidTr="009C1D86">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Pr="001211D9" w:rsidRDefault="009752CF" w:rsidP="009E6DA0">
            <w:pPr>
              <w:pStyle w:val="NormalnyWeb2"/>
              <w:spacing w:before="0" w:after="0" w:line="204" w:lineRule="auto"/>
              <w:jc w:val="center"/>
              <w:rPr>
                <w:rFonts w:asciiTheme="minorHAnsi" w:hAnsiTheme="minorHAnsi"/>
                <w:b/>
                <w:bCs/>
                <w:sz w:val="20"/>
                <w:szCs w:val="20"/>
              </w:rPr>
            </w:pPr>
            <w:r>
              <w:rPr>
                <w:rFonts w:asciiTheme="minorHAnsi" w:hAnsiTheme="minorHAnsi"/>
                <w:b/>
                <w:bCs/>
                <w:sz w:val="20"/>
                <w:szCs w:val="20"/>
              </w:rPr>
              <w:t>136</w:t>
            </w:r>
          </w:p>
        </w:tc>
        <w:tc>
          <w:tcPr>
            <w:tcW w:w="166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1F237B">
            <w:pPr>
              <w:pStyle w:val="NormalnyWeb2"/>
              <w:spacing w:before="0" w:after="0" w:line="204" w:lineRule="auto"/>
              <w:jc w:val="right"/>
              <w:rPr>
                <w:rFonts w:cs="Calibri"/>
                <w:color w:val="auto"/>
              </w:rPr>
            </w:pPr>
            <w:r w:rsidRPr="00581E59">
              <w:rPr>
                <w:rFonts w:cs="Calibri"/>
                <w:color w:val="auto"/>
              </w:rPr>
              <w:t>282 086,61 zł</w:t>
            </w:r>
          </w:p>
        </w:tc>
        <w:tc>
          <w:tcPr>
            <w:tcW w:w="1682"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1F237B">
            <w:pPr>
              <w:jc w:val="right"/>
              <w:rPr>
                <w:rFonts w:ascii="Calibri" w:hAnsi="Calibri" w:cs="Calibri"/>
                <w:sz w:val="22"/>
                <w:szCs w:val="22"/>
              </w:rPr>
            </w:pPr>
            <w:r w:rsidRPr="00581E59">
              <w:rPr>
                <w:rFonts w:ascii="Calibri" w:hAnsi="Calibri" w:cs="Calibri"/>
                <w:sz w:val="22"/>
                <w:szCs w:val="22"/>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1F237B">
            <w:pPr>
              <w:pStyle w:val="NormalnyWeb2"/>
              <w:spacing w:before="0" w:after="0" w:line="204" w:lineRule="auto"/>
              <w:jc w:val="right"/>
              <w:rPr>
                <w:rFonts w:cs="Calibri"/>
                <w:color w:val="auto"/>
              </w:rPr>
            </w:pPr>
            <w:r w:rsidRPr="00581E59">
              <w:rPr>
                <w:rFonts w:cs="Calibri"/>
                <w:color w:val="auto"/>
              </w:rPr>
              <w:t>1 598 490,75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1F237B">
            <w:pPr>
              <w:pStyle w:val="NormalnyWeb2"/>
              <w:spacing w:before="0" w:after="0" w:line="204" w:lineRule="auto"/>
              <w:jc w:val="right"/>
              <w:rPr>
                <w:rFonts w:cs="Calibri"/>
                <w:color w:val="auto"/>
              </w:rPr>
            </w:pPr>
            <w:r w:rsidRPr="00581E59">
              <w:rPr>
                <w:rFonts w:cs="Calibri"/>
                <w:color w:val="auto"/>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1F237B">
            <w:pPr>
              <w:jc w:val="right"/>
              <w:rPr>
                <w:rFonts w:ascii="Calibri" w:hAnsi="Calibri" w:cs="Calibri"/>
                <w:sz w:val="22"/>
                <w:szCs w:val="22"/>
              </w:rPr>
            </w:pPr>
            <w:r w:rsidRPr="00581E59">
              <w:rPr>
                <w:rFonts w:ascii="Calibri" w:hAnsi="Calibri" w:cs="Calibri"/>
                <w:sz w:val="22"/>
                <w:szCs w:val="22"/>
              </w:rPr>
              <w:t>1 880 577,36 zł</w:t>
            </w:r>
          </w:p>
        </w:tc>
      </w:tr>
      <w:tr w:rsidR="009752CF" w:rsidTr="009C1D86">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Pr="001211D9" w:rsidRDefault="009752CF" w:rsidP="009E6DA0">
            <w:pPr>
              <w:pStyle w:val="NormalnyWeb2"/>
              <w:spacing w:before="0" w:after="0" w:line="204" w:lineRule="auto"/>
              <w:jc w:val="center"/>
              <w:rPr>
                <w:rFonts w:asciiTheme="minorHAnsi" w:hAnsiTheme="minorHAnsi"/>
                <w:b/>
                <w:bCs/>
                <w:sz w:val="20"/>
                <w:szCs w:val="20"/>
              </w:rPr>
            </w:pPr>
            <w:r>
              <w:rPr>
                <w:rFonts w:asciiTheme="minorHAnsi" w:hAnsiTheme="minorHAnsi"/>
                <w:b/>
                <w:bCs/>
                <w:sz w:val="20"/>
                <w:szCs w:val="20"/>
              </w:rPr>
              <w:t>137</w:t>
            </w:r>
          </w:p>
        </w:tc>
        <w:tc>
          <w:tcPr>
            <w:tcW w:w="166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1F237B">
            <w:pPr>
              <w:pStyle w:val="NormalnyWeb2"/>
              <w:spacing w:before="0" w:after="0" w:line="204" w:lineRule="auto"/>
              <w:jc w:val="right"/>
              <w:rPr>
                <w:rFonts w:cs="Calibri"/>
                <w:color w:val="auto"/>
              </w:rPr>
            </w:pPr>
            <w:r w:rsidRPr="00581E59">
              <w:rPr>
                <w:rFonts w:cs="Calibri"/>
                <w:color w:val="auto"/>
              </w:rPr>
              <w:t>1 675 485,00 zł</w:t>
            </w:r>
          </w:p>
        </w:tc>
        <w:tc>
          <w:tcPr>
            <w:tcW w:w="1682"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1F237B">
            <w:pPr>
              <w:jc w:val="right"/>
              <w:rPr>
                <w:rFonts w:ascii="Calibri" w:hAnsi="Calibri" w:cs="Calibri"/>
                <w:sz w:val="22"/>
                <w:szCs w:val="22"/>
              </w:rPr>
            </w:pPr>
            <w:r w:rsidRPr="00581E59">
              <w:rPr>
                <w:rFonts w:ascii="Calibri" w:hAnsi="Calibri" w:cs="Calibri"/>
                <w:sz w:val="22"/>
                <w:szCs w:val="22"/>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1F237B">
            <w:pPr>
              <w:jc w:val="right"/>
              <w:rPr>
                <w:rFonts w:ascii="Calibri" w:hAnsi="Calibri" w:cs="Calibri"/>
                <w:sz w:val="22"/>
                <w:szCs w:val="22"/>
              </w:rPr>
            </w:pPr>
            <w:r w:rsidRPr="00581E59">
              <w:rPr>
                <w:rFonts w:ascii="Calibri" w:hAnsi="Calibri" w:cs="Calibri"/>
                <w:sz w:val="22"/>
                <w:szCs w:val="22"/>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1F237B">
            <w:pPr>
              <w:pStyle w:val="NormalnyWeb2"/>
              <w:spacing w:before="0" w:after="0" w:line="204" w:lineRule="auto"/>
              <w:jc w:val="right"/>
              <w:rPr>
                <w:rFonts w:cs="Calibri"/>
                <w:color w:val="auto"/>
              </w:rPr>
            </w:pPr>
            <w:r w:rsidRPr="00581E59">
              <w:rPr>
                <w:rFonts w:cs="Calibri"/>
                <w:color w:val="auto"/>
              </w:rPr>
              <w:t>4 375 171,00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1F237B">
            <w:pPr>
              <w:jc w:val="right"/>
              <w:rPr>
                <w:rFonts w:ascii="Calibri" w:hAnsi="Calibri" w:cs="Calibri"/>
                <w:sz w:val="22"/>
                <w:szCs w:val="22"/>
              </w:rPr>
            </w:pPr>
            <w:r w:rsidRPr="00581E59">
              <w:rPr>
                <w:rFonts w:ascii="Calibri" w:hAnsi="Calibri" w:cs="Calibri"/>
                <w:sz w:val="22"/>
                <w:szCs w:val="22"/>
              </w:rPr>
              <w:t>6 050 656,00 zł</w:t>
            </w:r>
          </w:p>
        </w:tc>
      </w:tr>
      <w:tr w:rsidR="009752CF" w:rsidTr="009C1D86">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Pr="001211D9" w:rsidRDefault="009752CF" w:rsidP="009E6DA0">
            <w:pPr>
              <w:pStyle w:val="NormalnyWeb2"/>
              <w:spacing w:before="0" w:after="0" w:line="204" w:lineRule="auto"/>
              <w:jc w:val="center"/>
              <w:rPr>
                <w:rFonts w:asciiTheme="minorHAnsi" w:hAnsiTheme="minorHAnsi"/>
                <w:b/>
                <w:bCs/>
                <w:sz w:val="20"/>
                <w:szCs w:val="20"/>
              </w:rPr>
            </w:pPr>
            <w:r>
              <w:rPr>
                <w:rFonts w:asciiTheme="minorHAnsi" w:hAnsiTheme="minorHAnsi"/>
                <w:b/>
                <w:bCs/>
                <w:sz w:val="20"/>
                <w:szCs w:val="20"/>
              </w:rPr>
              <w:t>138</w:t>
            </w:r>
          </w:p>
        </w:tc>
        <w:tc>
          <w:tcPr>
            <w:tcW w:w="166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1F237B">
            <w:pPr>
              <w:pStyle w:val="NormalnyWeb2"/>
              <w:spacing w:before="0" w:after="0" w:line="204" w:lineRule="auto"/>
              <w:jc w:val="right"/>
              <w:rPr>
                <w:rFonts w:cs="Calibri"/>
                <w:color w:val="auto"/>
              </w:rPr>
            </w:pPr>
            <w:r w:rsidRPr="00581E59">
              <w:rPr>
                <w:rFonts w:cs="Calibri"/>
                <w:color w:val="auto"/>
              </w:rPr>
              <w:t>8 284 218,05 zł</w:t>
            </w:r>
          </w:p>
        </w:tc>
        <w:tc>
          <w:tcPr>
            <w:tcW w:w="1682"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1F237B">
            <w:pPr>
              <w:jc w:val="right"/>
              <w:rPr>
                <w:rFonts w:ascii="Calibri" w:hAnsi="Calibri" w:cs="Calibri"/>
                <w:sz w:val="22"/>
                <w:szCs w:val="22"/>
              </w:rPr>
            </w:pPr>
            <w:r w:rsidRPr="00581E59">
              <w:rPr>
                <w:rFonts w:ascii="Calibri" w:hAnsi="Calibri" w:cs="Calibri"/>
                <w:sz w:val="22"/>
                <w:szCs w:val="22"/>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1F237B">
            <w:pPr>
              <w:jc w:val="right"/>
              <w:rPr>
                <w:rFonts w:ascii="Calibri" w:hAnsi="Calibri" w:cs="Calibri"/>
                <w:sz w:val="22"/>
                <w:szCs w:val="22"/>
              </w:rPr>
            </w:pPr>
            <w:r w:rsidRPr="00581E59">
              <w:rPr>
                <w:rFonts w:ascii="Calibri" w:hAnsi="Calibri" w:cs="Calibri"/>
                <w:sz w:val="22"/>
                <w:szCs w:val="22"/>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1F237B">
            <w:pPr>
              <w:pStyle w:val="NormalnyWeb2"/>
              <w:spacing w:before="0" w:after="0" w:line="204" w:lineRule="auto"/>
              <w:jc w:val="right"/>
              <w:rPr>
                <w:rFonts w:cs="Calibri"/>
                <w:color w:val="auto"/>
              </w:rPr>
            </w:pPr>
            <w:r w:rsidRPr="00581E59">
              <w:rPr>
                <w:rFonts w:cs="Calibri"/>
                <w:color w:val="auto"/>
              </w:rPr>
              <w:t>33 136 872,20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1F237B">
            <w:pPr>
              <w:jc w:val="right"/>
              <w:rPr>
                <w:rFonts w:ascii="Calibri" w:hAnsi="Calibri" w:cs="Calibri"/>
                <w:sz w:val="22"/>
                <w:szCs w:val="22"/>
              </w:rPr>
            </w:pPr>
            <w:r w:rsidRPr="00581E59">
              <w:rPr>
                <w:rFonts w:ascii="Calibri" w:hAnsi="Calibri" w:cs="Calibri"/>
                <w:sz w:val="22"/>
                <w:szCs w:val="22"/>
              </w:rPr>
              <w:t xml:space="preserve">41 421 090,25 zł </w:t>
            </w:r>
          </w:p>
        </w:tc>
      </w:tr>
      <w:tr w:rsidR="009752CF" w:rsidTr="009C1D86">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Pr="001211D9" w:rsidRDefault="009752CF" w:rsidP="009E6DA0">
            <w:pPr>
              <w:pStyle w:val="NormalnyWeb2"/>
              <w:spacing w:before="0" w:after="0" w:line="204" w:lineRule="auto"/>
              <w:jc w:val="center"/>
              <w:rPr>
                <w:rFonts w:asciiTheme="minorHAnsi" w:hAnsiTheme="minorHAnsi"/>
                <w:b/>
                <w:bCs/>
                <w:sz w:val="20"/>
                <w:szCs w:val="20"/>
              </w:rPr>
            </w:pPr>
            <w:r>
              <w:rPr>
                <w:rFonts w:asciiTheme="minorHAnsi" w:hAnsiTheme="minorHAnsi"/>
                <w:b/>
                <w:bCs/>
                <w:sz w:val="20"/>
                <w:szCs w:val="20"/>
              </w:rPr>
              <w:t>139</w:t>
            </w:r>
          </w:p>
        </w:tc>
        <w:tc>
          <w:tcPr>
            <w:tcW w:w="166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1F237B">
            <w:pPr>
              <w:pStyle w:val="NormalnyWeb2"/>
              <w:spacing w:before="0" w:after="0" w:line="204" w:lineRule="auto"/>
              <w:jc w:val="right"/>
              <w:rPr>
                <w:rFonts w:cs="Calibri"/>
                <w:color w:val="auto"/>
              </w:rPr>
            </w:pPr>
            <w:r w:rsidRPr="00581E59">
              <w:rPr>
                <w:rFonts w:cs="Calibri"/>
                <w:color w:val="auto"/>
              </w:rPr>
              <w:t>3 832 873,46 zł</w:t>
            </w:r>
          </w:p>
        </w:tc>
        <w:tc>
          <w:tcPr>
            <w:tcW w:w="1682"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1F237B">
            <w:pPr>
              <w:jc w:val="right"/>
              <w:rPr>
                <w:rFonts w:ascii="Calibri" w:hAnsi="Calibri" w:cs="Calibri"/>
                <w:sz w:val="22"/>
                <w:szCs w:val="22"/>
              </w:rPr>
            </w:pPr>
            <w:r w:rsidRPr="00581E59">
              <w:rPr>
                <w:rFonts w:ascii="Calibri" w:hAnsi="Calibri" w:cs="Calibri"/>
                <w:sz w:val="22"/>
                <w:szCs w:val="22"/>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1F237B">
            <w:pPr>
              <w:jc w:val="right"/>
              <w:rPr>
                <w:rFonts w:ascii="Calibri" w:hAnsi="Calibri" w:cs="Calibri"/>
                <w:sz w:val="22"/>
                <w:szCs w:val="22"/>
              </w:rPr>
            </w:pPr>
            <w:r w:rsidRPr="00581E59">
              <w:rPr>
                <w:rFonts w:ascii="Calibri" w:hAnsi="Calibri" w:cs="Calibri"/>
                <w:sz w:val="22"/>
                <w:szCs w:val="22"/>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1F237B">
            <w:pPr>
              <w:pStyle w:val="NormalnyWeb2"/>
              <w:spacing w:before="0" w:after="0" w:line="204" w:lineRule="auto"/>
              <w:jc w:val="right"/>
              <w:rPr>
                <w:rFonts w:cs="Calibri"/>
                <w:color w:val="auto"/>
              </w:rPr>
            </w:pPr>
            <w:r w:rsidRPr="00581E59">
              <w:rPr>
                <w:rFonts w:cs="Calibri"/>
                <w:color w:val="auto"/>
              </w:rPr>
              <w:t>14 167 126,54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1F237B">
            <w:pPr>
              <w:jc w:val="right"/>
              <w:rPr>
                <w:rFonts w:ascii="Calibri" w:hAnsi="Calibri" w:cs="Calibri"/>
                <w:sz w:val="22"/>
                <w:szCs w:val="22"/>
              </w:rPr>
            </w:pPr>
            <w:r w:rsidRPr="00581E59">
              <w:rPr>
                <w:rFonts w:ascii="Calibri" w:hAnsi="Calibri" w:cs="Calibri"/>
                <w:sz w:val="22"/>
                <w:szCs w:val="22"/>
              </w:rPr>
              <w:t>18 000 000,00 zł</w:t>
            </w:r>
          </w:p>
        </w:tc>
      </w:tr>
      <w:tr w:rsidR="009752CF" w:rsidTr="009C1D86">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Default="009752CF" w:rsidP="009E6DA0">
            <w:pPr>
              <w:pStyle w:val="NormalnyWeb2"/>
              <w:spacing w:before="0" w:after="0" w:line="204" w:lineRule="auto"/>
              <w:jc w:val="center"/>
              <w:rPr>
                <w:rFonts w:asciiTheme="minorHAnsi" w:hAnsiTheme="minorHAnsi"/>
                <w:b/>
                <w:bCs/>
                <w:sz w:val="20"/>
                <w:szCs w:val="20"/>
              </w:rPr>
            </w:pPr>
            <w:r>
              <w:rPr>
                <w:rFonts w:asciiTheme="minorHAnsi" w:hAnsiTheme="minorHAnsi"/>
                <w:b/>
                <w:bCs/>
                <w:sz w:val="20"/>
                <w:szCs w:val="20"/>
              </w:rPr>
              <w:t>140</w:t>
            </w:r>
          </w:p>
        </w:tc>
        <w:tc>
          <w:tcPr>
            <w:tcW w:w="166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1F237B">
            <w:pPr>
              <w:pStyle w:val="NormalnyWeb2"/>
              <w:spacing w:before="0" w:after="0" w:line="204" w:lineRule="auto"/>
              <w:jc w:val="right"/>
              <w:rPr>
                <w:rFonts w:cs="Calibri"/>
                <w:color w:val="auto"/>
              </w:rPr>
            </w:pPr>
            <w:r w:rsidRPr="00581E59">
              <w:rPr>
                <w:rFonts w:cs="Calibri"/>
                <w:color w:val="auto"/>
              </w:rPr>
              <w:t>194 219,82 zł</w:t>
            </w:r>
          </w:p>
        </w:tc>
        <w:tc>
          <w:tcPr>
            <w:tcW w:w="1682"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1F237B">
            <w:pPr>
              <w:jc w:val="right"/>
              <w:rPr>
                <w:rFonts w:ascii="Calibri" w:hAnsi="Calibri" w:cs="Calibri"/>
                <w:sz w:val="22"/>
                <w:szCs w:val="22"/>
              </w:rPr>
            </w:pPr>
            <w:r w:rsidRPr="00581E59">
              <w:rPr>
                <w:rFonts w:ascii="Calibri" w:hAnsi="Calibri" w:cs="Calibri"/>
                <w:sz w:val="22"/>
                <w:szCs w:val="22"/>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1F237B">
            <w:pPr>
              <w:jc w:val="right"/>
              <w:rPr>
                <w:rFonts w:ascii="Calibri" w:hAnsi="Calibri" w:cs="Calibri"/>
                <w:sz w:val="22"/>
                <w:szCs w:val="22"/>
              </w:rPr>
            </w:pPr>
            <w:r w:rsidRPr="00581E59">
              <w:rPr>
                <w:rFonts w:ascii="Calibri" w:hAnsi="Calibri" w:cs="Calibri"/>
                <w:sz w:val="22"/>
                <w:szCs w:val="22"/>
              </w:rPr>
              <w:t>1 100 578,95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1F237B">
            <w:pPr>
              <w:pStyle w:val="NormalnyWeb2"/>
              <w:spacing w:before="0" w:after="0" w:line="204" w:lineRule="auto"/>
              <w:jc w:val="right"/>
              <w:rPr>
                <w:rFonts w:cs="Calibri"/>
                <w:color w:val="auto"/>
              </w:rPr>
            </w:pPr>
            <w:r w:rsidRPr="00581E59">
              <w:rPr>
                <w:rFonts w:cs="Calibri"/>
                <w:color w:val="auto"/>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1F237B">
            <w:pPr>
              <w:jc w:val="right"/>
              <w:rPr>
                <w:rFonts w:ascii="Calibri" w:hAnsi="Calibri" w:cs="Calibri"/>
                <w:sz w:val="22"/>
                <w:szCs w:val="22"/>
              </w:rPr>
            </w:pPr>
            <w:r w:rsidRPr="00581E59">
              <w:rPr>
                <w:rFonts w:ascii="Calibri" w:hAnsi="Calibri" w:cs="Calibri"/>
                <w:sz w:val="22"/>
                <w:szCs w:val="22"/>
              </w:rPr>
              <w:t>1 294 798,77 zł</w:t>
            </w:r>
          </w:p>
        </w:tc>
      </w:tr>
      <w:tr w:rsidR="009752CF" w:rsidTr="009C1D86">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Pr="00581E59" w:rsidRDefault="009752CF" w:rsidP="009E6DA0">
            <w:pPr>
              <w:pStyle w:val="NormalnyWeb2"/>
              <w:spacing w:before="0" w:after="0" w:line="204" w:lineRule="auto"/>
              <w:jc w:val="center"/>
              <w:rPr>
                <w:rFonts w:asciiTheme="minorHAnsi" w:hAnsiTheme="minorHAnsi"/>
                <w:b/>
                <w:bCs/>
                <w:color w:val="auto"/>
                <w:sz w:val="20"/>
                <w:szCs w:val="20"/>
              </w:rPr>
            </w:pPr>
            <w:r w:rsidRPr="00581E59">
              <w:rPr>
                <w:rFonts w:asciiTheme="minorHAnsi" w:hAnsiTheme="minorHAnsi"/>
                <w:b/>
                <w:bCs/>
                <w:color w:val="auto"/>
                <w:sz w:val="20"/>
                <w:szCs w:val="20"/>
              </w:rPr>
              <w:t>141</w:t>
            </w:r>
          </w:p>
        </w:tc>
        <w:tc>
          <w:tcPr>
            <w:tcW w:w="166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pStyle w:val="NormalnyWeb2"/>
              <w:spacing w:before="0" w:after="0" w:line="204" w:lineRule="auto"/>
              <w:jc w:val="right"/>
              <w:rPr>
                <w:rFonts w:cs="Calibri"/>
                <w:color w:val="auto"/>
              </w:rPr>
            </w:pPr>
            <w:r w:rsidRPr="00581E59">
              <w:rPr>
                <w:rFonts w:cs="Calibri"/>
                <w:color w:val="auto"/>
              </w:rPr>
              <w:t>0,00 zł</w:t>
            </w:r>
          </w:p>
        </w:tc>
        <w:tc>
          <w:tcPr>
            <w:tcW w:w="1682"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pStyle w:val="NormalnyWeb2"/>
              <w:spacing w:before="0" w:after="0" w:line="204" w:lineRule="auto"/>
              <w:jc w:val="right"/>
              <w:rPr>
                <w:rFonts w:cs="Calibri"/>
                <w:color w:val="auto"/>
              </w:rPr>
            </w:pPr>
            <w:r w:rsidRPr="00581E59">
              <w:rPr>
                <w:rFonts w:cs="Calibri"/>
                <w:color w:val="auto"/>
              </w:rPr>
              <w:t>40 000 000,00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pStyle w:val="NormalnyWeb2"/>
              <w:spacing w:before="0" w:after="0" w:line="204" w:lineRule="auto"/>
              <w:jc w:val="right"/>
              <w:rPr>
                <w:rFonts w:cs="Calibri"/>
                <w:color w:val="auto"/>
              </w:rPr>
            </w:pPr>
            <w:r w:rsidRPr="00581E59">
              <w:rPr>
                <w:rFonts w:cs="Calibri"/>
                <w:color w:val="auto"/>
              </w:rPr>
              <w:t>47 500 000,00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pStyle w:val="NormalnyWeb2"/>
              <w:spacing w:before="0" w:after="0" w:line="204" w:lineRule="auto"/>
              <w:jc w:val="right"/>
              <w:rPr>
                <w:rFonts w:cs="Calibri"/>
                <w:color w:val="auto"/>
                <w:sz w:val="20"/>
                <w:szCs w:val="20"/>
              </w:rPr>
            </w:pPr>
            <w:r w:rsidRPr="00581E59">
              <w:rPr>
                <w:rFonts w:cs="Calibri"/>
                <w:color w:val="auto"/>
                <w:sz w:val="20"/>
                <w:szCs w:val="20"/>
              </w:rPr>
              <w:t>312 500 000,00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jc w:val="right"/>
              <w:rPr>
                <w:rFonts w:ascii="Calibri" w:hAnsi="Calibri" w:cs="Calibri"/>
                <w:szCs w:val="20"/>
              </w:rPr>
            </w:pPr>
            <w:r w:rsidRPr="00581E59">
              <w:rPr>
                <w:rFonts w:ascii="Calibri" w:hAnsi="Calibri" w:cs="Calibri"/>
                <w:szCs w:val="20"/>
              </w:rPr>
              <w:t>400 000 000,00 zł</w:t>
            </w:r>
          </w:p>
        </w:tc>
      </w:tr>
      <w:tr w:rsidR="009752CF" w:rsidTr="009C1D86">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Pr="00581E59" w:rsidRDefault="009752CF" w:rsidP="009E6DA0">
            <w:pPr>
              <w:pStyle w:val="NormalnyWeb2"/>
              <w:spacing w:before="0" w:after="0" w:line="204" w:lineRule="auto"/>
              <w:jc w:val="center"/>
              <w:rPr>
                <w:rFonts w:asciiTheme="minorHAnsi" w:hAnsiTheme="minorHAnsi"/>
                <w:b/>
                <w:bCs/>
                <w:color w:val="auto"/>
                <w:sz w:val="20"/>
                <w:szCs w:val="20"/>
              </w:rPr>
            </w:pPr>
            <w:r w:rsidRPr="00581E59">
              <w:rPr>
                <w:rFonts w:asciiTheme="minorHAnsi" w:hAnsiTheme="minorHAnsi"/>
                <w:b/>
                <w:bCs/>
                <w:color w:val="auto"/>
                <w:sz w:val="20"/>
                <w:szCs w:val="20"/>
              </w:rPr>
              <w:t>142</w:t>
            </w:r>
          </w:p>
        </w:tc>
        <w:tc>
          <w:tcPr>
            <w:tcW w:w="166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Pr="00581E59" w:rsidRDefault="009752CF" w:rsidP="009E6DA0">
            <w:pPr>
              <w:pStyle w:val="NormalnyWeb2"/>
              <w:spacing w:before="0" w:after="0" w:line="204" w:lineRule="auto"/>
              <w:jc w:val="right"/>
              <w:rPr>
                <w:rFonts w:cs="Calibri"/>
                <w:color w:val="auto"/>
              </w:rPr>
            </w:pPr>
            <w:r w:rsidRPr="00581E59">
              <w:rPr>
                <w:rFonts w:cs="Calibri"/>
                <w:color w:val="auto"/>
              </w:rPr>
              <w:t>0,00 zł</w:t>
            </w:r>
          </w:p>
        </w:tc>
        <w:tc>
          <w:tcPr>
            <w:tcW w:w="1682"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Pr="00581E59" w:rsidRDefault="009752CF" w:rsidP="009E6DA0">
            <w:pPr>
              <w:pStyle w:val="NormalnyWeb2"/>
              <w:spacing w:before="0" w:after="0" w:line="204" w:lineRule="auto"/>
              <w:jc w:val="right"/>
              <w:rPr>
                <w:rFonts w:cs="Calibri"/>
                <w:color w:val="auto"/>
              </w:rPr>
            </w:pPr>
            <w:r w:rsidRPr="00581E59">
              <w:rPr>
                <w:rFonts w:cs="Calibri"/>
                <w:color w:val="auto"/>
              </w:rPr>
              <w:t>500 000,00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Pr="00581E59" w:rsidRDefault="009752CF" w:rsidP="009E6DA0">
            <w:pPr>
              <w:pStyle w:val="NormalnyWeb2"/>
              <w:spacing w:before="0" w:after="0" w:line="204" w:lineRule="auto"/>
              <w:jc w:val="right"/>
              <w:rPr>
                <w:rFonts w:cs="Calibri"/>
                <w:color w:val="auto"/>
              </w:rPr>
            </w:pPr>
            <w:r w:rsidRPr="00581E59">
              <w:rPr>
                <w:rFonts w:cs="Calibri"/>
                <w:color w:val="auto"/>
              </w:rPr>
              <w:t>3 500 000,00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pStyle w:val="NormalnyWeb2"/>
              <w:spacing w:before="0" w:after="0" w:line="204" w:lineRule="auto"/>
              <w:jc w:val="right"/>
              <w:rPr>
                <w:rFonts w:cs="Calibri"/>
                <w:color w:val="auto"/>
              </w:rPr>
            </w:pPr>
            <w:r w:rsidRPr="00581E59">
              <w:rPr>
                <w:rFonts w:cs="Calibri"/>
                <w:color w:val="auto"/>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jc w:val="right"/>
              <w:rPr>
                <w:rFonts w:ascii="Calibri" w:hAnsi="Calibri" w:cs="Calibri"/>
                <w:sz w:val="22"/>
                <w:szCs w:val="22"/>
              </w:rPr>
            </w:pPr>
            <w:r w:rsidRPr="00581E59">
              <w:rPr>
                <w:rFonts w:ascii="Calibri" w:hAnsi="Calibri" w:cs="Calibri"/>
                <w:sz w:val="22"/>
                <w:szCs w:val="22"/>
              </w:rPr>
              <w:t>4 000 000,00 zł</w:t>
            </w:r>
          </w:p>
        </w:tc>
      </w:tr>
      <w:tr w:rsidR="009752CF" w:rsidTr="009C1D86">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Pr="00581E59" w:rsidRDefault="009752CF" w:rsidP="009E6DA0">
            <w:pPr>
              <w:pStyle w:val="NormalnyWeb2"/>
              <w:spacing w:before="0" w:after="0" w:line="204" w:lineRule="auto"/>
              <w:jc w:val="center"/>
              <w:rPr>
                <w:rFonts w:asciiTheme="minorHAnsi" w:hAnsiTheme="minorHAnsi"/>
                <w:b/>
                <w:bCs/>
                <w:color w:val="auto"/>
                <w:sz w:val="20"/>
                <w:szCs w:val="20"/>
              </w:rPr>
            </w:pPr>
            <w:r w:rsidRPr="00581E59">
              <w:rPr>
                <w:rFonts w:asciiTheme="minorHAnsi" w:hAnsiTheme="minorHAnsi"/>
                <w:b/>
                <w:bCs/>
                <w:color w:val="auto"/>
                <w:sz w:val="20"/>
                <w:szCs w:val="20"/>
              </w:rPr>
              <w:t>143</w:t>
            </w:r>
          </w:p>
        </w:tc>
        <w:tc>
          <w:tcPr>
            <w:tcW w:w="166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1F237B">
            <w:pPr>
              <w:jc w:val="right"/>
              <w:rPr>
                <w:sz w:val="22"/>
                <w:szCs w:val="22"/>
              </w:rPr>
            </w:pPr>
            <w:r w:rsidRPr="00581E59">
              <w:rPr>
                <w:rFonts w:cs="Calibri"/>
                <w:sz w:val="22"/>
                <w:szCs w:val="22"/>
              </w:rPr>
              <w:t>0,00 zł</w:t>
            </w:r>
          </w:p>
        </w:tc>
        <w:tc>
          <w:tcPr>
            <w:tcW w:w="1682"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1F237B">
            <w:pPr>
              <w:jc w:val="right"/>
              <w:rPr>
                <w:rFonts w:ascii="Calibri" w:hAnsi="Calibri" w:cs="Calibri"/>
                <w:sz w:val="22"/>
                <w:szCs w:val="22"/>
              </w:rPr>
            </w:pPr>
            <w:r w:rsidRPr="00581E59">
              <w:rPr>
                <w:rFonts w:ascii="Calibri" w:hAnsi="Calibri" w:cs="Calibri"/>
                <w:sz w:val="22"/>
                <w:szCs w:val="22"/>
              </w:rPr>
              <w:t>1 875 000,00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Pr="00581E59" w:rsidRDefault="009752CF">
            <w:pPr>
              <w:jc w:val="right"/>
              <w:rPr>
                <w:rFonts w:ascii="Calibri" w:hAnsi="Calibri" w:cs="Calibri"/>
                <w:sz w:val="22"/>
                <w:szCs w:val="22"/>
              </w:rPr>
            </w:pPr>
            <w:r w:rsidRPr="00581E59">
              <w:rPr>
                <w:rFonts w:ascii="Calibri" w:hAnsi="Calibri" w:cs="Calibri"/>
                <w:sz w:val="22"/>
                <w:szCs w:val="22"/>
              </w:rPr>
              <w:t>10 625 000,00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1F237B">
            <w:pPr>
              <w:jc w:val="right"/>
              <w:rPr>
                <w:sz w:val="22"/>
                <w:szCs w:val="22"/>
              </w:rPr>
            </w:pPr>
            <w:r w:rsidRPr="00581E59">
              <w:rPr>
                <w:rFonts w:cs="Calibri"/>
                <w:sz w:val="22"/>
                <w:szCs w:val="22"/>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1F237B">
            <w:pPr>
              <w:jc w:val="right"/>
              <w:rPr>
                <w:rFonts w:ascii="Calibri" w:hAnsi="Calibri" w:cs="Calibri"/>
                <w:sz w:val="22"/>
                <w:szCs w:val="22"/>
              </w:rPr>
            </w:pPr>
            <w:r w:rsidRPr="00581E59">
              <w:rPr>
                <w:rFonts w:ascii="Calibri" w:hAnsi="Calibri" w:cs="Calibri"/>
                <w:sz w:val="22"/>
                <w:szCs w:val="22"/>
              </w:rPr>
              <w:t>12 500 000,00 zł</w:t>
            </w:r>
          </w:p>
        </w:tc>
      </w:tr>
      <w:tr w:rsidR="009752CF" w:rsidTr="009C1D86">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Pr="00581E59" w:rsidRDefault="009752CF" w:rsidP="009E6DA0">
            <w:pPr>
              <w:pStyle w:val="NormalnyWeb2"/>
              <w:spacing w:before="0" w:after="0" w:line="204" w:lineRule="auto"/>
              <w:jc w:val="center"/>
              <w:rPr>
                <w:rFonts w:asciiTheme="minorHAnsi" w:hAnsiTheme="minorHAnsi"/>
                <w:b/>
                <w:bCs/>
                <w:color w:val="auto"/>
                <w:sz w:val="20"/>
                <w:szCs w:val="20"/>
              </w:rPr>
            </w:pPr>
            <w:r w:rsidRPr="00581E59">
              <w:rPr>
                <w:rFonts w:asciiTheme="minorHAnsi" w:hAnsiTheme="minorHAnsi"/>
                <w:b/>
                <w:bCs/>
                <w:color w:val="auto"/>
                <w:sz w:val="20"/>
                <w:szCs w:val="20"/>
              </w:rPr>
              <w:t>144</w:t>
            </w:r>
          </w:p>
        </w:tc>
        <w:tc>
          <w:tcPr>
            <w:tcW w:w="166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1F237B">
            <w:pPr>
              <w:jc w:val="right"/>
              <w:rPr>
                <w:sz w:val="22"/>
                <w:szCs w:val="22"/>
              </w:rPr>
            </w:pPr>
            <w:r w:rsidRPr="00581E59">
              <w:rPr>
                <w:rFonts w:cs="Calibri"/>
                <w:sz w:val="22"/>
                <w:szCs w:val="22"/>
              </w:rPr>
              <w:t>0,00 zł</w:t>
            </w:r>
          </w:p>
        </w:tc>
        <w:tc>
          <w:tcPr>
            <w:tcW w:w="1682"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1F237B">
            <w:pPr>
              <w:jc w:val="right"/>
              <w:rPr>
                <w:rFonts w:ascii="Calibri" w:hAnsi="Calibri" w:cs="Calibri"/>
                <w:sz w:val="22"/>
                <w:szCs w:val="22"/>
              </w:rPr>
            </w:pPr>
            <w:r w:rsidRPr="00581E59">
              <w:rPr>
                <w:rFonts w:ascii="Calibri" w:hAnsi="Calibri" w:cs="Calibri"/>
                <w:sz w:val="22"/>
                <w:szCs w:val="22"/>
              </w:rPr>
              <w:t>7 200 000,00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Pr="00581E59" w:rsidRDefault="009752CF">
            <w:pPr>
              <w:jc w:val="right"/>
              <w:rPr>
                <w:rFonts w:ascii="Calibri" w:hAnsi="Calibri" w:cs="Calibri"/>
                <w:sz w:val="22"/>
                <w:szCs w:val="22"/>
              </w:rPr>
            </w:pPr>
            <w:r w:rsidRPr="00581E59">
              <w:rPr>
                <w:rFonts w:ascii="Calibri" w:hAnsi="Calibri" w:cs="Calibri"/>
                <w:sz w:val="22"/>
                <w:szCs w:val="22"/>
              </w:rPr>
              <w:t>40 800 000,00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1F237B">
            <w:pPr>
              <w:jc w:val="right"/>
              <w:rPr>
                <w:sz w:val="22"/>
                <w:szCs w:val="22"/>
              </w:rPr>
            </w:pPr>
            <w:r w:rsidRPr="00581E59">
              <w:rPr>
                <w:rFonts w:cs="Calibri"/>
                <w:sz w:val="22"/>
                <w:szCs w:val="22"/>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1F237B">
            <w:pPr>
              <w:jc w:val="right"/>
              <w:rPr>
                <w:rFonts w:ascii="Calibri" w:hAnsi="Calibri" w:cs="Calibri"/>
                <w:sz w:val="22"/>
                <w:szCs w:val="22"/>
              </w:rPr>
            </w:pPr>
            <w:r w:rsidRPr="00581E59">
              <w:rPr>
                <w:rFonts w:ascii="Calibri" w:hAnsi="Calibri" w:cs="Calibri"/>
                <w:sz w:val="22"/>
                <w:szCs w:val="22"/>
              </w:rPr>
              <w:t>48 000 000,00 zł</w:t>
            </w:r>
          </w:p>
        </w:tc>
      </w:tr>
      <w:tr w:rsidR="009752CF" w:rsidTr="009C1D86">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Pr="00581E59" w:rsidRDefault="009752CF" w:rsidP="009E6DA0">
            <w:pPr>
              <w:pStyle w:val="NormalnyWeb2"/>
              <w:spacing w:before="0" w:after="0" w:line="204" w:lineRule="auto"/>
              <w:jc w:val="center"/>
              <w:rPr>
                <w:rFonts w:asciiTheme="minorHAnsi" w:hAnsiTheme="minorHAnsi"/>
                <w:b/>
                <w:bCs/>
                <w:color w:val="auto"/>
                <w:sz w:val="20"/>
                <w:szCs w:val="20"/>
              </w:rPr>
            </w:pPr>
            <w:r w:rsidRPr="00581E59">
              <w:rPr>
                <w:rFonts w:asciiTheme="minorHAnsi" w:hAnsiTheme="minorHAnsi"/>
                <w:b/>
                <w:bCs/>
                <w:color w:val="auto"/>
                <w:sz w:val="20"/>
                <w:szCs w:val="20"/>
              </w:rPr>
              <w:t>145</w:t>
            </w:r>
          </w:p>
        </w:tc>
        <w:tc>
          <w:tcPr>
            <w:tcW w:w="166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1F237B">
            <w:pPr>
              <w:jc w:val="right"/>
              <w:rPr>
                <w:sz w:val="22"/>
                <w:szCs w:val="22"/>
              </w:rPr>
            </w:pPr>
            <w:r w:rsidRPr="00581E59">
              <w:rPr>
                <w:rFonts w:cs="Calibri"/>
                <w:sz w:val="22"/>
                <w:szCs w:val="22"/>
              </w:rPr>
              <w:t>0,00 zł</w:t>
            </w:r>
          </w:p>
        </w:tc>
        <w:tc>
          <w:tcPr>
            <w:tcW w:w="1682"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1F237B">
            <w:pPr>
              <w:jc w:val="right"/>
              <w:rPr>
                <w:rFonts w:ascii="Calibri" w:hAnsi="Calibri" w:cs="Calibri"/>
                <w:sz w:val="22"/>
                <w:szCs w:val="22"/>
              </w:rPr>
            </w:pPr>
            <w:r w:rsidRPr="00581E59">
              <w:rPr>
                <w:rFonts w:ascii="Calibri" w:hAnsi="Calibri" w:cs="Calibri"/>
                <w:sz w:val="22"/>
                <w:szCs w:val="22"/>
              </w:rPr>
              <w:t>1 800 000,00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Pr="00581E59" w:rsidRDefault="009752CF">
            <w:pPr>
              <w:jc w:val="right"/>
              <w:rPr>
                <w:rFonts w:ascii="Calibri" w:hAnsi="Calibri" w:cs="Calibri"/>
                <w:sz w:val="22"/>
                <w:szCs w:val="22"/>
              </w:rPr>
            </w:pPr>
            <w:r w:rsidRPr="00581E59">
              <w:rPr>
                <w:rFonts w:ascii="Calibri" w:hAnsi="Calibri" w:cs="Calibri"/>
                <w:sz w:val="22"/>
                <w:szCs w:val="22"/>
              </w:rPr>
              <w:t>10 200 000,00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1F237B">
            <w:pPr>
              <w:jc w:val="right"/>
              <w:rPr>
                <w:sz w:val="22"/>
                <w:szCs w:val="22"/>
              </w:rPr>
            </w:pPr>
            <w:r w:rsidRPr="00581E59">
              <w:rPr>
                <w:rFonts w:cs="Calibri"/>
                <w:sz w:val="22"/>
                <w:szCs w:val="22"/>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1F237B">
            <w:pPr>
              <w:jc w:val="right"/>
              <w:rPr>
                <w:rFonts w:ascii="Calibri" w:hAnsi="Calibri" w:cs="Calibri"/>
                <w:sz w:val="22"/>
                <w:szCs w:val="22"/>
              </w:rPr>
            </w:pPr>
            <w:r w:rsidRPr="00581E59">
              <w:rPr>
                <w:rFonts w:ascii="Calibri" w:hAnsi="Calibri" w:cs="Calibri"/>
                <w:sz w:val="22"/>
                <w:szCs w:val="22"/>
              </w:rPr>
              <w:t>12 000 000,00 zł</w:t>
            </w:r>
          </w:p>
        </w:tc>
      </w:tr>
      <w:tr w:rsidR="009752CF" w:rsidTr="009C1D86">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Pr="00581E59" w:rsidRDefault="009752CF" w:rsidP="009E6DA0">
            <w:pPr>
              <w:pStyle w:val="NormalnyWeb2"/>
              <w:spacing w:before="0" w:after="0" w:line="204" w:lineRule="auto"/>
              <w:jc w:val="center"/>
              <w:rPr>
                <w:rFonts w:asciiTheme="minorHAnsi" w:hAnsiTheme="minorHAnsi"/>
                <w:b/>
                <w:bCs/>
                <w:color w:val="auto"/>
                <w:sz w:val="20"/>
                <w:szCs w:val="20"/>
              </w:rPr>
            </w:pPr>
            <w:r w:rsidRPr="00581E59">
              <w:rPr>
                <w:rFonts w:asciiTheme="minorHAnsi" w:hAnsiTheme="minorHAnsi"/>
                <w:b/>
                <w:bCs/>
                <w:color w:val="auto"/>
                <w:sz w:val="20"/>
                <w:szCs w:val="20"/>
              </w:rPr>
              <w:t>146</w:t>
            </w:r>
          </w:p>
        </w:tc>
        <w:tc>
          <w:tcPr>
            <w:tcW w:w="166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1F237B">
            <w:pPr>
              <w:jc w:val="right"/>
              <w:rPr>
                <w:sz w:val="22"/>
                <w:szCs w:val="22"/>
              </w:rPr>
            </w:pPr>
            <w:r w:rsidRPr="00581E59">
              <w:rPr>
                <w:rFonts w:cs="Calibri"/>
                <w:sz w:val="22"/>
                <w:szCs w:val="22"/>
              </w:rPr>
              <w:t>0,00 zł</w:t>
            </w:r>
          </w:p>
        </w:tc>
        <w:tc>
          <w:tcPr>
            <w:tcW w:w="1682"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1F237B">
            <w:pPr>
              <w:jc w:val="right"/>
              <w:rPr>
                <w:rFonts w:ascii="Calibri" w:hAnsi="Calibri" w:cs="Calibri"/>
                <w:sz w:val="22"/>
                <w:szCs w:val="22"/>
              </w:rPr>
            </w:pPr>
            <w:r w:rsidRPr="00581E59">
              <w:rPr>
                <w:rFonts w:ascii="Calibri" w:hAnsi="Calibri" w:cs="Calibri"/>
                <w:sz w:val="22"/>
                <w:szCs w:val="22"/>
              </w:rPr>
              <w:t>6 900 000,00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Pr="00581E59" w:rsidRDefault="009752CF">
            <w:pPr>
              <w:jc w:val="right"/>
              <w:rPr>
                <w:rFonts w:ascii="Calibri" w:hAnsi="Calibri" w:cs="Calibri"/>
                <w:sz w:val="22"/>
                <w:szCs w:val="22"/>
              </w:rPr>
            </w:pPr>
            <w:r w:rsidRPr="00581E59">
              <w:rPr>
                <w:rFonts w:ascii="Calibri" w:hAnsi="Calibri" w:cs="Calibri"/>
                <w:sz w:val="22"/>
                <w:szCs w:val="22"/>
              </w:rPr>
              <w:t>39 100 000,00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1F237B">
            <w:pPr>
              <w:jc w:val="right"/>
              <w:rPr>
                <w:sz w:val="22"/>
                <w:szCs w:val="22"/>
              </w:rPr>
            </w:pPr>
            <w:r w:rsidRPr="00581E59">
              <w:rPr>
                <w:rFonts w:cs="Calibri"/>
                <w:sz w:val="22"/>
                <w:szCs w:val="22"/>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1F237B">
            <w:pPr>
              <w:jc w:val="right"/>
              <w:rPr>
                <w:rFonts w:ascii="Calibri" w:hAnsi="Calibri" w:cs="Calibri"/>
                <w:sz w:val="22"/>
                <w:szCs w:val="22"/>
              </w:rPr>
            </w:pPr>
            <w:r w:rsidRPr="00581E59">
              <w:rPr>
                <w:rFonts w:ascii="Calibri" w:hAnsi="Calibri" w:cs="Calibri"/>
                <w:sz w:val="22"/>
                <w:szCs w:val="22"/>
              </w:rPr>
              <w:t>46 000 000,00 zł</w:t>
            </w:r>
          </w:p>
        </w:tc>
      </w:tr>
      <w:tr w:rsidR="009752CF" w:rsidTr="009C1D86">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Pr="00581E59" w:rsidRDefault="009752CF" w:rsidP="009E6DA0">
            <w:pPr>
              <w:pStyle w:val="NormalnyWeb2"/>
              <w:spacing w:before="0" w:after="0" w:line="204" w:lineRule="auto"/>
              <w:jc w:val="center"/>
              <w:rPr>
                <w:rFonts w:asciiTheme="minorHAnsi" w:hAnsiTheme="minorHAnsi"/>
                <w:b/>
                <w:bCs/>
                <w:color w:val="auto"/>
                <w:sz w:val="20"/>
                <w:szCs w:val="20"/>
              </w:rPr>
            </w:pPr>
            <w:r w:rsidRPr="00581E59">
              <w:rPr>
                <w:rFonts w:asciiTheme="minorHAnsi" w:hAnsiTheme="minorHAnsi"/>
                <w:b/>
                <w:bCs/>
                <w:color w:val="auto"/>
                <w:sz w:val="20"/>
                <w:szCs w:val="20"/>
              </w:rPr>
              <w:t>147</w:t>
            </w:r>
          </w:p>
        </w:tc>
        <w:tc>
          <w:tcPr>
            <w:tcW w:w="166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tcPr>
          <w:p w:rsidR="009752CF" w:rsidRPr="00581E59" w:rsidRDefault="009752CF" w:rsidP="009E6DA0">
            <w:pPr>
              <w:jc w:val="right"/>
              <w:rPr>
                <w:rFonts w:ascii="Calibri" w:hAnsi="Calibri" w:cs="Calibri"/>
                <w:sz w:val="22"/>
                <w:szCs w:val="22"/>
              </w:rPr>
            </w:pPr>
            <w:r w:rsidRPr="00581E59">
              <w:rPr>
                <w:rFonts w:ascii="Calibri" w:hAnsi="Calibri" w:cs="Calibri"/>
                <w:sz w:val="22"/>
                <w:szCs w:val="22"/>
              </w:rPr>
              <w:t>0,00 zł</w:t>
            </w:r>
          </w:p>
        </w:tc>
        <w:tc>
          <w:tcPr>
            <w:tcW w:w="1682"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tcPr>
          <w:p w:rsidR="009752CF" w:rsidRPr="00581E59" w:rsidRDefault="009752CF" w:rsidP="009E6DA0">
            <w:pPr>
              <w:jc w:val="right"/>
              <w:rPr>
                <w:rFonts w:ascii="Calibri" w:hAnsi="Calibri" w:cs="Calibri"/>
                <w:sz w:val="22"/>
                <w:szCs w:val="22"/>
              </w:rPr>
            </w:pPr>
            <w:r w:rsidRPr="00581E59">
              <w:rPr>
                <w:rFonts w:ascii="Calibri" w:hAnsi="Calibri" w:cs="Calibri"/>
                <w:sz w:val="22"/>
                <w:szCs w:val="22"/>
              </w:rPr>
              <w:t>4 560 000,00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Pr="00581E59" w:rsidRDefault="009752CF" w:rsidP="009E6DA0">
            <w:pPr>
              <w:pStyle w:val="NormalnyWeb2"/>
              <w:spacing w:before="0" w:after="0" w:line="204" w:lineRule="auto"/>
              <w:jc w:val="right"/>
              <w:rPr>
                <w:rFonts w:cs="Calibri"/>
                <w:color w:val="auto"/>
              </w:rPr>
            </w:pPr>
            <w:r w:rsidRPr="00581E59">
              <w:rPr>
                <w:rFonts w:cs="Calibri"/>
                <w:color w:val="auto"/>
              </w:rPr>
              <w:t>10 200 000,00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pStyle w:val="NormalnyWeb2"/>
              <w:spacing w:before="0" w:after="0" w:line="204" w:lineRule="auto"/>
              <w:jc w:val="right"/>
              <w:rPr>
                <w:rFonts w:cs="Calibri"/>
                <w:color w:val="auto"/>
              </w:rPr>
            </w:pPr>
            <w:r w:rsidRPr="00581E59">
              <w:rPr>
                <w:rFonts w:cs="Calibri"/>
                <w:color w:val="auto"/>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jc w:val="right"/>
              <w:rPr>
                <w:rFonts w:ascii="Calibri" w:hAnsi="Calibri" w:cs="Calibri"/>
                <w:sz w:val="22"/>
                <w:szCs w:val="22"/>
              </w:rPr>
            </w:pPr>
            <w:r w:rsidRPr="00581E59">
              <w:rPr>
                <w:rFonts w:ascii="Calibri" w:hAnsi="Calibri" w:cs="Calibri"/>
                <w:sz w:val="22"/>
                <w:szCs w:val="22"/>
              </w:rPr>
              <w:t>14 760 000,00 zł</w:t>
            </w:r>
          </w:p>
        </w:tc>
      </w:tr>
      <w:tr w:rsidR="009752CF" w:rsidTr="009C1D86">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Pr="00581E59" w:rsidRDefault="009752CF" w:rsidP="009E6DA0">
            <w:pPr>
              <w:pStyle w:val="NormalnyWeb2"/>
              <w:spacing w:before="0" w:after="0" w:line="204" w:lineRule="auto"/>
              <w:jc w:val="center"/>
              <w:rPr>
                <w:rFonts w:asciiTheme="minorHAnsi" w:hAnsiTheme="minorHAnsi"/>
                <w:b/>
                <w:bCs/>
                <w:color w:val="auto"/>
                <w:sz w:val="20"/>
                <w:szCs w:val="20"/>
              </w:rPr>
            </w:pPr>
            <w:r w:rsidRPr="00581E59">
              <w:rPr>
                <w:rFonts w:asciiTheme="minorHAnsi" w:hAnsiTheme="minorHAnsi"/>
                <w:b/>
                <w:bCs/>
                <w:color w:val="auto"/>
                <w:sz w:val="20"/>
                <w:szCs w:val="20"/>
              </w:rPr>
              <w:t>148</w:t>
            </w:r>
          </w:p>
        </w:tc>
        <w:tc>
          <w:tcPr>
            <w:tcW w:w="166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pStyle w:val="NormalnyWeb2"/>
              <w:spacing w:before="0" w:after="0" w:line="204" w:lineRule="auto"/>
              <w:jc w:val="right"/>
              <w:rPr>
                <w:rFonts w:cs="Calibri"/>
                <w:color w:val="auto"/>
              </w:rPr>
            </w:pPr>
            <w:r w:rsidRPr="00581E59">
              <w:rPr>
                <w:rFonts w:cs="Calibri"/>
                <w:color w:val="auto"/>
              </w:rPr>
              <w:t>0,00 zł</w:t>
            </w:r>
          </w:p>
        </w:tc>
        <w:tc>
          <w:tcPr>
            <w:tcW w:w="1682"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pStyle w:val="NormalnyWeb2"/>
              <w:spacing w:before="0" w:after="0" w:line="204" w:lineRule="auto"/>
              <w:jc w:val="right"/>
              <w:rPr>
                <w:rFonts w:cs="Calibri"/>
                <w:color w:val="auto"/>
              </w:rPr>
            </w:pPr>
            <w:r w:rsidRPr="00581E59">
              <w:rPr>
                <w:rFonts w:cs="Calibri"/>
                <w:color w:val="auto"/>
              </w:rPr>
              <w:t>80 100,00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pStyle w:val="NormalnyWeb2"/>
              <w:spacing w:before="0" w:after="0" w:line="204" w:lineRule="auto"/>
              <w:jc w:val="right"/>
              <w:rPr>
                <w:rFonts w:cs="Calibri"/>
                <w:color w:val="auto"/>
              </w:rPr>
            </w:pPr>
            <w:r w:rsidRPr="00581E59">
              <w:rPr>
                <w:rFonts w:cs="Calibri"/>
                <w:color w:val="auto"/>
              </w:rPr>
              <w:t>1 521 900,00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pStyle w:val="NormalnyWeb2"/>
              <w:spacing w:before="0" w:after="0" w:line="204" w:lineRule="auto"/>
              <w:jc w:val="right"/>
              <w:rPr>
                <w:rFonts w:cs="Calibri"/>
                <w:color w:val="auto"/>
              </w:rPr>
            </w:pPr>
            <w:r w:rsidRPr="00581E59">
              <w:rPr>
                <w:rFonts w:cs="Calibri"/>
                <w:color w:val="auto"/>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jc w:val="right"/>
              <w:rPr>
                <w:rFonts w:ascii="Calibri" w:hAnsi="Calibri" w:cs="Calibri"/>
                <w:sz w:val="22"/>
                <w:szCs w:val="22"/>
              </w:rPr>
            </w:pPr>
            <w:r w:rsidRPr="00581E59">
              <w:rPr>
                <w:rFonts w:ascii="Calibri" w:hAnsi="Calibri" w:cs="Calibri"/>
                <w:sz w:val="22"/>
                <w:szCs w:val="22"/>
              </w:rPr>
              <w:t>1 602 000,00 zł</w:t>
            </w:r>
          </w:p>
        </w:tc>
      </w:tr>
      <w:tr w:rsidR="009752CF" w:rsidTr="009C1D86">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Pr="00581E59" w:rsidRDefault="009752CF" w:rsidP="009E6DA0">
            <w:pPr>
              <w:pStyle w:val="NormalnyWeb2"/>
              <w:spacing w:before="0" w:after="0" w:line="204" w:lineRule="auto"/>
              <w:jc w:val="center"/>
              <w:rPr>
                <w:rFonts w:asciiTheme="minorHAnsi" w:hAnsiTheme="minorHAnsi"/>
                <w:b/>
                <w:bCs/>
                <w:color w:val="auto"/>
                <w:sz w:val="20"/>
                <w:szCs w:val="20"/>
              </w:rPr>
            </w:pPr>
            <w:r w:rsidRPr="00581E59">
              <w:rPr>
                <w:rFonts w:asciiTheme="minorHAnsi" w:hAnsiTheme="minorHAnsi"/>
                <w:b/>
                <w:bCs/>
                <w:color w:val="auto"/>
                <w:sz w:val="20"/>
                <w:szCs w:val="20"/>
              </w:rPr>
              <w:t>149</w:t>
            </w:r>
          </w:p>
        </w:tc>
        <w:tc>
          <w:tcPr>
            <w:tcW w:w="166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jc w:val="right"/>
              <w:rPr>
                <w:rFonts w:ascii="Calibri" w:hAnsi="Calibri" w:cs="Calibri"/>
                <w:sz w:val="22"/>
                <w:szCs w:val="22"/>
              </w:rPr>
            </w:pPr>
            <w:r w:rsidRPr="00581E59">
              <w:rPr>
                <w:rFonts w:ascii="Calibri" w:hAnsi="Calibri" w:cs="Calibri"/>
                <w:sz w:val="22"/>
                <w:szCs w:val="22"/>
              </w:rPr>
              <w:t>0,00 zł</w:t>
            </w:r>
          </w:p>
        </w:tc>
        <w:tc>
          <w:tcPr>
            <w:tcW w:w="1682"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pStyle w:val="NormalnyWeb2"/>
              <w:spacing w:before="0" w:after="0" w:line="204" w:lineRule="auto"/>
              <w:jc w:val="right"/>
              <w:rPr>
                <w:rFonts w:cs="Calibri"/>
                <w:color w:val="auto"/>
              </w:rPr>
            </w:pPr>
            <w:r w:rsidRPr="00581E59">
              <w:rPr>
                <w:rFonts w:cs="Calibri"/>
                <w:color w:val="auto"/>
              </w:rPr>
              <w:t>4212437,50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pStyle w:val="NormalnyWeb2"/>
              <w:spacing w:before="0" w:after="0" w:line="204" w:lineRule="auto"/>
              <w:jc w:val="right"/>
              <w:rPr>
                <w:rFonts w:cs="Calibri"/>
                <w:color w:val="auto"/>
              </w:rPr>
            </w:pPr>
            <w:r w:rsidRPr="00581E59">
              <w:rPr>
                <w:rFonts w:cs="Calibri"/>
                <w:color w:val="auto"/>
              </w:rPr>
              <w:t>5 793 812,50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pStyle w:val="NormalnyWeb2"/>
              <w:spacing w:before="0" w:after="0" w:line="204" w:lineRule="auto"/>
              <w:jc w:val="right"/>
              <w:rPr>
                <w:rFonts w:cs="Calibri"/>
                <w:color w:val="auto"/>
              </w:rPr>
            </w:pPr>
            <w:r w:rsidRPr="00581E59">
              <w:rPr>
                <w:rFonts w:cs="Calibri"/>
                <w:color w:val="auto"/>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jc w:val="right"/>
              <w:rPr>
                <w:rFonts w:ascii="Calibri" w:hAnsi="Calibri" w:cs="Calibri"/>
                <w:sz w:val="22"/>
                <w:szCs w:val="22"/>
              </w:rPr>
            </w:pPr>
            <w:r w:rsidRPr="00581E59">
              <w:rPr>
                <w:rFonts w:ascii="Calibri" w:hAnsi="Calibri" w:cs="Calibri"/>
                <w:sz w:val="22"/>
                <w:szCs w:val="22"/>
              </w:rPr>
              <w:t>10 006 250,00 zł</w:t>
            </w:r>
          </w:p>
        </w:tc>
      </w:tr>
      <w:tr w:rsidR="009752CF" w:rsidTr="009C1D86">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Pr="00581E59" w:rsidRDefault="009752CF" w:rsidP="009E6DA0">
            <w:pPr>
              <w:pStyle w:val="NormalnyWeb2"/>
              <w:spacing w:before="0" w:after="0" w:line="204" w:lineRule="auto"/>
              <w:jc w:val="center"/>
              <w:rPr>
                <w:rFonts w:asciiTheme="minorHAnsi" w:hAnsiTheme="minorHAnsi"/>
                <w:b/>
                <w:bCs/>
                <w:color w:val="auto"/>
                <w:sz w:val="20"/>
                <w:szCs w:val="20"/>
              </w:rPr>
            </w:pPr>
            <w:r w:rsidRPr="00581E59">
              <w:rPr>
                <w:rFonts w:asciiTheme="minorHAnsi" w:hAnsiTheme="minorHAnsi"/>
                <w:b/>
                <w:bCs/>
                <w:color w:val="auto"/>
                <w:sz w:val="20"/>
                <w:szCs w:val="20"/>
              </w:rPr>
              <w:t>150</w:t>
            </w:r>
          </w:p>
        </w:tc>
        <w:tc>
          <w:tcPr>
            <w:tcW w:w="166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jc w:val="right"/>
              <w:rPr>
                <w:rFonts w:ascii="Calibri" w:hAnsi="Calibri" w:cs="Calibri"/>
                <w:sz w:val="22"/>
                <w:szCs w:val="22"/>
              </w:rPr>
            </w:pPr>
            <w:r w:rsidRPr="00581E59">
              <w:rPr>
                <w:rFonts w:ascii="Calibri" w:hAnsi="Calibri" w:cs="Calibri"/>
                <w:sz w:val="22"/>
                <w:szCs w:val="22"/>
              </w:rPr>
              <w:t>0,00 zł</w:t>
            </w:r>
          </w:p>
        </w:tc>
        <w:tc>
          <w:tcPr>
            <w:tcW w:w="1682"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pStyle w:val="NormalnyWeb2"/>
              <w:spacing w:before="0" w:after="0" w:line="204" w:lineRule="auto"/>
              <w:jc w:val="right"/>
              <w:rPr>
                <w:rFonts w:cs="Calibri"/>
                <w:color w:val="auto"/>
              </w:rPr>
            </w:pPr>
            <w:r w:rsidRPr="00581E59">
              <w:rPr>
                <w:rFonts w:cs="Calibri"/>
                <w:color w:val="auto"/>
              </w:rPr>
              <w:t>8 935 504,50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pStyle w:val="NormalnyWeb2"/>
              <w:spacing w:before="0" w:after="0" w:line="204" w:lineRule="auto"/>
              <w:jc w:val="right"/>
              <w:rPr>
                <w:rFonts w:cs="Calibri"/>
                <w:color w:val="auto"/>
              </w:rPr>
            </w:pPr>
            <w:r w:rsidRPr="00581E59">
              <w:rPr>
                <w:rFonts w:cs="Calibri"/>
                <w:color w:val="auto"/>
              </w:rPr>
              <w:t>18 555 521,50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pStyle w:val="NormalnyWeb2"/>
              <w:spacing w:before="0" w:after="0" w:line="204" w:lineRule="auto"/>
              <w:jc w:val="right"/>
              <w:rPr>
                <w:rFonts w:cs="Calibri"/>
                <w:color w:val="auto"/>
              </w:rPr>
            </w:pPr>
            <w:r w:rsidRPr="00581E59">
              <w:rPr>
                <w:rFonts w:cs="Calibri"/>
                <w:color w:val="auto"/>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jc w:val="right"/>
              <w:rPr>
                <w:rFonts w:ascii="Calibri" w:hAnsi="Calibri" w:cs="Calibri"/>
                <w:sz w:val="22"/>
                <w:szCs w:val="22"/>
              </w:rPr>
            </w:pPr>
            <w:r w:rsidRPr="00581E59">
              <w:rPr>
                <w:rFonts w:ascii="Calibri" w:hAnsi="Calibri" w:cs="Calibri"/>
                <w:sz w:val="22"/>
                <w:szCs w:val="22"/>
              </w:rPr>
              <w:t>27 491 026,00 zł</w:t>
            </w:r>
          </w:p>
        </w:tc>
      </w:tr>
      <w:tr w:rsidR="009752CF" w:rsidTr="009C1D86">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Pr="00581E59" w:rsidRDefault="009752CF" w:rsidP="009E6DA0">
            <w:pPr>
              <w:pStyle w:val="NormalnyWeb2"/>
              <w:spacing w:before="0" w:after="0" w:line="204" w:lineRule="auto"/>
              <w:jc w:val="center"/>
              <w:rPr>
                <w:rFonts w:asciiTheme="minorHAnsi" w:hAnsiTheme="minorHAnsi"/>
                <w:b/>
                <w:bCs/>
                <w:color w:val="auto"/>
                <w:sz w:val="20"/>
                <w:szCs w:val="20"/>
              </w:rPr>
            </w:pPr>
            <w:r w:rsidRPr="00581E59">
              <w:rPr>
                <w:rFonts w:asciiTheme="minorHAnsi" w:hAnsiTheme="minorHAnsi"/>
                <w:b/>
                <w:bCs/>
                <w:color w:val="auto"/>
                <w:sz w:val="20"/>
                <w:szCs w:val="20"/>
              </w:rPr>
              <w:t>151</w:t>
            </w:r>
          </w:p>
        </w:tc>
        <w:tc>
          <w:tcPr>
            <w:tcW w:w="166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jc w:val="right"/>
              <w:rPr>
                <w:rFonts w:ascii="Calibri" w:hAnsi="Calibri" w:cs="Calibri"/>
                <w:sz w:val="22"/>
                <w:szCs w:val="22"/>
              </w:rPr>
            </w:pPr>
            <w:r w:rsidRPr="00581E59">
              <w:rPr>
                <w:rFonts w:ascii="Calibri" w:hAnsi="Calibri" w:cs="Calibri"/>
                <w:sz w:val="22"/>
                <w:szCs w:val="22"/>
              </w:rPr>
              <w:t>0,00 zł</w:t>
            </w:r>
          </w:p>
        </w:tc>
        <w:tc>
          <w:tcPr>
            <w:tcW w:w="1682"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pStyle w:val="NormalnyWeb2"/>
              <w:spacing w:before="0" w:after="0" w:line="204" w:lineRule="auto"/>
              <w:jc w:val="right"/>
              <w:rPr>
                <w:rFonts w:cs="Calibri"/>
                <w:color w:val="auto"/>
              </w:rPr>
            </w:pPr>
            <w:r w:rsidRPr="00581E59">
              <w:rPr>
                <w:rFonts w:cs="Calibri"/>
                <w:color w:val="auto"/>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pStyle w:val="NormalnyWeb2"/>
              <w:spacing w:before="0" w:after="0" w:line="204" w:lineRule="auto"/>
              <w:jc w:val="right"/>
              <w:rPr>
                <w:rFonts w:cs="Calibri"/>
                <w:color w:val="auto"/>
              </w:rPr>
            </w:pPr>
            <w:r w:rsidRPr="00581E59">
              <w:rPr>
                <w:rFonts w:cs="Calibri"/>
                <w:color w:val="auto"/>
              </w:rPr>
              <w:t>5 770 375,93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pStyle w:val="NormalnyWeb2"/>
              <w:spacing w:before="0" w:after="0" w:line="204" w:lineRule="auto"/>
              <w:jc w:val="right"/>
              <w:rPr>
                <w:rFonts w:cs="Calibri"/>
                <w:color w:val="auto"/>
              </w:rPr>
            </w:pPr>
            <w:r w:rsidRPr="00581E59">
              <w:rPr>
                <w:rFonts w:cs="Calibri"/>
                <w:color w:val="auto"/>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jc w:val="right"/>
              <w:rPr>
                <w:rFonts w:ascii="Calibri" w:hAnsi="Calibri" w:cs="Calibri"/>
                <w:sz w:val="22"/>
                <w:szCs w:val="22"/>
              </w:rPr>
            </w:pPr>
            <w:r w:rsidRPr="00581E59">
              <w:rPr>
                <w:rFonts w:ascii="Calibri" w:hAnsi="Calibri" w:cs="Calibri"/>
                <w:sz w:val="22"/>
                <w:szCs w:val="22"/>
              </w:rPr>
              <w:t>5 770 375,93 zł</w:t>
            </w:r>
          </w:p>
        </w:tc>
      </w:tr>
      <w:tr w:rsidR="009752CF" w:rsidTr="009C1D86">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Pr="00581E59" w:rsidRDefault="009752CF" w:rsidP="009E6DA0">
            <w:pPr>
              <w:pStyle w:val="NormalnyWeb2"/>
              <w:spacing w:before="0" w:after="0" w:line="204" w:lineRule="auto"/>
              <w:jc w:val="center"/>
              <w:rPr>
                <w:rFonts w:asciiTheme="minorHAnsi" w:hAnsiTheme="minorHAnsi"/>
                <w:b/>
                <w:bCs/>
                <w:color w:val="auto"/>
                <w:sz w:val="20"/>
                <w:szCs w:val="20"/>
              </w:rPr>
            </w:pPr>
            <w:r w:rsidRPr="00581E59">
              <w:rPr>
                <w:rFonts w:asciiTheme="minorHAnsi" w:hAnsiTheme="minorHAnsi"/>
                <w:b/>
                <w:bCs/>
                <w:color w:val="auto"/>
                <w:sz w:val="20"/>
                <w:szCs w:val="20"/>
              </w:rPr>
              <w:t>152</w:t>
            </w:r>
          </w:p>
        </w:tc>
        <w:tc>
          <w:tcPr>
            <w:tcW w:w="166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jc w:val="right"/>
              <w:rPr>
                <w:rFonts w:ascii="Calibri" w:hAnsi="Calibri" w:cs="Calibri"/>
                <w:sz w:val="22"/>
                <w:szCs w:val="22"/>
              </w:rPr>
            </w:pPr>
            <w:r w:rsidRPr="00581E59">
              <w:rPr>
                <w:rFonts w:ascii="Calibri" w:hAnsi="Calibri" w:cs="Calibri"/>
                <w:sz w:val="22"/>
                <w:szCs w:val="22"/>
              </w:rPr>
              <w:t>0,00 zł</w:t>
            </w:r>
          </w:p>
        </w:tc>
        <w:tc>
          <w:tcPr>
            <w:tcW w:w="1682"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pStyle w:val="NormalnyWeb2"/>
              <w:spacing w:before="0" w:after="0" w:line="204" w:lineRule="auto"/>
              <w:jc w:val="right"/>
              <w:rPr>
                <w:rFonts w:cs="Calibri"/>
                <w:color w:val="auto"/>
              </w:rPr>
            </w:pPr>
            <w:r w:rsidRPr="00581E59">
              <w:rPr>
                <w:rFonts w:cs="Calibri"/>
                <w:color w:val="auto"/>
              </w:rPr>
              <w:t>1 396 269,15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pStyle w:val="NormalnyWeb2"/>
              <w:spacing w:before="0" w:after="0" w:line="204" w:lineRule="auto"/>
              <w:jc w:val="right"/>
              <w:rPr>
                <w:rFonts w:cs="Calibri"/>
                <w:color w:val="auto"/>
              </w:rPr>
            </w:pPr>
            <w:r w:rsidRPr="00581E59">
              <w:rPr>
                <w:rFonts w:cs="Calibri"/>
                <w:color w:val="auto"/>
              </w:rPr>
              <w:t>1 957 052,48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pStyle w:val="NormalnyWeb2"/>
              <w:spacing w:before="0" w:after="0" w:line="204" w:lineRule="auto"/>
              <w:jc w:val="right"/>
              <w:rPr>
                <w:rFonts w:cs="Calibri"/>
                <w:color w:val="auto"/>
              </w:rPr>
            </w:pPr>
            <w:r w:rsidRPr="00581E59">
              <w:rPr>
                <w:rFonts w:cs="Calibri"/>
                <w:color w:val="auto"/>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jc w:val="right"/>
              <w:rPr>
                <w:rFonts w:ascii="Calibri" w:hAnsi="Calibri" w:cs="Calibri"/>
                <w:sz w:val="22"/>
                <w:szCs w:val="22"/>
              </w:rPr>
            </w:pPr>
            <w:r w:rsidRPr="00581E59">
              <w:rPr>
                <w:rFonts w:ascii="Calibri" w:hAnsi="Calibri" w:cs="Calibri"/>
                <w:sz w:val="22"/>
                <w:szCs w:val="22"/>
              </w:rPr>
              <w:t>3 353 321,63 zł</w:t>
            </w:r>
          </w:p>
        </w:tc>
      </w:tr>
      <w:tr w:rsidR="009752CF" w:rsidTr="009C1D86">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Pr="00581E59" w:rsidRDefault="009752CF" w:rsidP="009E6DA0">
            <w:pPr>
              <w:pStyle w:val="NormalnyWeb2"/>
              <w:spacing w:before="0" w:after="0" w:line="204" w:lineRule="auto"/>
              <w:jc w:val="center"/>
              <w:rPr>
                <w:rFonts w:asciiTheme="minorHAnsi" w:hAnsiTheme="minorHAnsi"/>
                <w:b/>
                <w:bCs/>
                <w:color w:val="auto"/>
                <w:sz w:val="20"/>
                <w:szCs w:val="20"/>
              </w:rPr>
            </w:pPr>
            <w:r w:rsidRPr="00581E59">
              <w:rPr>
                <w:rFonts w:asciiTheme="minorHAnsi" w:hAnsiTheme="minorHAnsi"/>
                <w:b/>
                <w:bCs/>
                <w:color w:val="auto"/>
                <w:sz w:val="20"/>
                <w:szCs w:val="20"/>
              </w:rPr>
              <w:t>153</w:t>
            </w:r>
          </w:p>
        </w:tc>
        <w:tc>
          <w:tcPr>
            <w:tcW w:w="166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jc w:val="right"/>
              <w:rPr>
                <w:rFonts w:ascii="Calibri" w:hAnsi="Calibri" w:cs="Calibri"/>
                <w:sz w:val="22"/>
                <w:szCs w:val="22"/>
              </w:rPr>
            </w:pPr>
            <w:r w:rsidRPr="00581E59">
              <w:rPr>
                <w:rFonts w:ascii="Calibri" w:hAnsi="Calibri" w:cs="Calibri"/>
                <w:sz w:val="22"/>
                <w:szCs w:val="22"/>
              </w:rPr>
              <w:t>0,00 zł</w:t>
            </w:r>
          </w:p>
        </w:tc>
        <w:tc>
          <w:tcPr>
            <w:tcW w:w="1682"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pStyle w:val="NormalnyWeb2"/>
              <w:spacing w:before="0" w:after="0" w:line="204" w:lineRule="auto"/>
              <w:jc w:val="right"/>
              <w:rPr>
                <w:rFonts w:cs="Calibri"/>
                <w:color w:val="auto"/>
              </w:rPr>
            </w:pPr>
            <w:r w:rsidRPr="00581E59">
              <w:rPr>
                <w:rFonts w:cs="Calibri"/>
                <w:color w:val="auto"/>
              </w:rPr>
              <w:t>9 557 182,09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pStyle w:val="NormalnyWeb2"/>
              <w:spacing w:before="0" w:after="0" w:line="204" w:lineRule="auto"/>
              <w:jc w:val="right"/>
              <w:rPr>
                <w:rFonts w:cs="Calibri"/>
                <w:color w:val="auto"/>
              </w:rPr>
            </w:pPr>
            <w:r w:rsidRPr="00581E59">
              <w:rPr>
                <w:rFonts w:cs="Calibri"/>
                <w:color w:val="auto"/>
              </w:rPr>
              <w:t>7 358 077,08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pStyle w:val="NormalnyWeb2"/>
              <w:spacing w:before="0" w:after="0" w:line="204" w:lineRule="auto"/>
              <w:jc w:val="right"/>
              <w:rPr>
                <w:rFonts w:cs="Calibri"/>
                <w:color w:val="auto"/>
              </w:rPr>
            </w:pPr>
            <w:r w:rsidRPr="00581E59">
              <w:rPr>
                <w:rFonts w:cs="Calibri"/>
                <w:color w:val="auto"/>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jc w:val="right"/>
              <w:rPr>
                <w:rFonts w:ascii="Calibri" w:hAnsi="Calibri" w:cs="Calibri"/>
                <w:sz w:val="22"/>
                <w:szCs w:val="22"/>
              </w:rPr>
            </w:pPr>
            <w:r w:rsidRPr="00581E59">
              <w:rPr>
                <w:rFonts w:ascii="Calibri" w:hAnsi="Calibri" w:cs="Calibri"/>
                <w:sz w:val="22"/>
                <w:szCs w:val="22"/>
              </w:rPr>
              <w:t>16 915 259,17 zł</w:t>
            </w:r>
          </w:p>
        </w:tc>
      </w:tr>
      <w:tr w:rsidR="009752CF" w:rsidTr="009C1D86">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Pr="00581E59" w:rsidRDefault="009752CF" w:rsidP="009E6DA0">
            <w:pPr>
              <w:pStyle w:val="NormalnyWeb2"/>
              <w:spacing w:before="0" w:after="0" w:line="204" w:lineRule="auto"/>
              <w:jc w:val="center"/>
              <w:rPr>
                <w:rFonts w:asciiTheme="minorHAnsi" w:hAnsiTheme="minorHAnsi"/>
                <w:b/>
                <w:bCs/>
                <w:color w:val="auto"/>
                <w:sz w:val="20"/>
                <w:szCs w:val="20"/>
              </w:rPr>
            </w:pPr>
            <w:r w:rsidRPr="00581E59">
              <w:rPr>
                <w:rFonts w:asciiTheme="minorHAnsi" w:hAnsiTheme="minorHAnsi"/>
                <w:b/>
                <w:bCs/>
                <w:color w:val="auto"/>
                <w:sz w:val="20"/>
                <w:szCs w:val="20"/>
              </w:rPr>
              <w:t>154</w:t>
            </w:r>
          </w:p>
        </w:tc>
        <w:tc>
          <w:tcPr>
            <w:tcW w:w="166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Pr="00581E59" w:rsidRDefault="009752CF">
            <w:pPr>
              <w:jc w:val="right"/>
              <w:rPr>
                <w:rFonts w:ascii="Calibri" w:hAnsi="Calibri" w:cs="Calibri"/>
                <w:sz w:val="22"/>
                <w:szCs w:val="22"/>
              </w:rPr>
            </w:pPr>
            <w:r w:rsidRPr="00581E59">
              <w:rPr>
                <w:rFonts w:ascii="Calibri" w:hAnsi="Calibri" w:cs="Calibri"/>
                <w:sz w:val="22"/>
                <w:szCs w:val="22"/>
              </w:rPr>
              <w:t>0,00 zł</w:t>
            </w:r>
          </w:p>
        </w:tc>
        <w:tc>
          <w:tcPr>
            <w:tcW w:w="1682"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Pr="00581E59" w:rsidRDefault="009752CF">
            <w:pPr>
              <w:jc w:val="right"/>
              <w:rPr>
                <w:rFonts w:ascii="Calibri" w:hAnsi="Calibri" w:cs="Calibri"/>
                <w:sz w:val="22"/>
                <w:szCs w:val="22"/>
              </w:rPr>
            </w:pPr>
            <w:r w:rsidRPr="00581E59">
              <w:rPr>
                <w:rFonts w:ascii="Calibri" w:hAnsi="Calibri" w:cs="Calibri"/>
                <w:sz w:val="22"/>
                <w:szCs w:val="22"/>
              </w:rPr>
              <w:t>1 969 012,50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Pr="00581E59" w:rsidRDefault="009752CF">
            <w:pPr>
              <w:jc w:val="right"/>
              <w:rPr>
                <w:rFonts w:ascii="Calibri" w:hAnsi="Calibri" w:cs="Calibri"/>
                <w:sz w:val="22"/>
                <w:szCs w:val="22"/>
              </w:rPr>
            </w:pPr>
            <w:r w:rsidRPr="00581E59">
              <w:rPr>
                <w:rFonts w:ascii="Calibri" w:hAnsi="Calibri" w:cs="Calibri"/>
                <w:sz w:val="22"/>
                <w:szCs w:val="22"/>
              </w:rPr>
              <w:t>11 157 737,50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Pr="00581E59" w:rsidRDefault="009752CF">
            <w:pPr>
              <w:jc w:val="right"/>
              <w:rPr>
                <w:rFonts w:ascii="Calibri" w:hAnsi="Calibri" w:cs="Calibri"/>
                <w:sz w:val="22"/>
                <w:szCs w:val="22"/>
              </w:rPr>
            </w:pPr>
            <w:r w:rsidRPr="00581E59">
              <w:rPr>
                <w:rFonts w:ascii="Calibri" w:hAnsi="Calibri" w:cs="Calibri"/>
                <w:sz w:val="22"/>
                <w:szCs w:val="22"/>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Pr="00581E59" w:rsidRDefault="009752CF">
            <w:pPr>
              <w:jc w:val="right"/>
              <w:rPr>
                <w:rFonts w:ascii="Calibri" w:hAnsi="Calibri" w:cs="Calibri"/>
                <w:sz w:val="22"/>
                <w:szCs w:val="22"/>
              </w:rPr>
            </w:pPr>
            <w:r w:rsidRPr="00581E59">
              <w:rPr>
                <w:rFonts w:ascii="Calibri" w:hAnsi="Calibri" w:cs="Calibri"/>
                <w:sz w:val="22"/>
                <w:szCs w:val="22"/>
              </w:rPr>
              <w:t>13 126 750,00 zł</w:t>
            </w:r>
          </w:p>
        </w:tc>
      </w:tr>
      <w:tr w:rsidR="009752CF" w:rsidTr="009C1D86">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Pr="00581E59" w:rsidRDefault="009752CF" w:rsidP="009E6DA0">
            <w:pPr>
              <w:pStyle w:val="NormalnyWeb2"/>
              <w:spacing w:before="0" w:after="0" w:line="204" w:lineRule="auto"/>
              <w:jc w:val="center"/>
              <w:rPr>
                <w:rFonts w:asciiTheme="minorHAnsi" w:hAnsiTheme="minorHAnsi"/>
                <w:b/>
                <w:bCs/>
                <w:color w:val="auto"/>
                <w:sz w:val="20"/>
                <w:szCs w:val="20"/>
              </w:rPr>
            </w:pPr>
            <w:r w:rsidRPr="00581E59">
              <w:rPr>
                <w:rFonts w:asciiTheme="minorHAnsi" w:hAnsiTheme="minorHAnsi"/>
                <w:b/>
                <w:bCs/>
                <w:color w:val="auto"/>
                <w:sz w:val="20"/>
                <w:szCs w:val="20"/>
              </w:rPr>
              <w:t>155</w:t>
            </w:r>
          </w:p>
        </w:tc>
        <w:tc>
          <w:tcPr>
            <w:tcW w:w="166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jc w:val="right"/>
              <w:rPr>
                <w:rFonts w:ascii="Calibri" w:hAnsi="Calibri" w:cs="Calibri"/>
                <w:sz w:val="22"/>
                <w:szCs w:val="22"/>
              </w:rPr>
            </w:pPr>
            <w:r w:rsidRPr="00581E59">
              <w:rPr>
                <w:rFonts w:ascii="Calibri" w:hAnsi="Calibri" w:cs="Calibri"/>
                <w:sz w:val="22"/>
                <w:szCs w:val="22"/>
              </w:rPr>
              <w:t>0,00 zł</w:t>
            </w:r>
          </w:p>
        </w:tc>
        <w:tc>
          <w:tcPr>
            <w:tcW w:w="1682"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pStyle w:val="NormalnyWeb2"/>
              <w:spacing w:before="0" w:after="0" w:line="204" w:lineRule="auto"/>
              <w:jc w:val="right"/>
              <w:rPr>
                <w:rFonts w:cs="Calibri"/>
                <w:color w:val="auto"/>
              </w:rPr>
            </w:pPr>
            <w:r w:rsidRPr="00581E59">
              <w:rPr>
                <w:rFonts w:cs="Calibri"/>
                <w:color w:val="auto"/>
              </w:rPr>
              <w:t>5 666 250,00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pStyle w:val="NormalnyWeb2"/>
              <w:spacing w:before="0" w:after="0" w:line="204" w:lineRule="auto"/>
              <w:jc w:val="right"/>
              <w:rPr>
                <w:rFonts w:cs="Calibri"/>
                <w:color w:val="auto"/>
              </w:rPr>
            </w:pPr>
            <w:r w:rsidRPr="00581E59">
              <w:rPr>
                <w:rFonts w:cs="Calibri"/>
                <w:color w:val="auto"/>
              </w:rPr>
              <w:t>10 583 750,00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pStyle w:val="NormalnyWeb2"/>
              <w:spacing w:before="0" w:after="0" w:line="204" w:lineRule="auto"/>
              <w:jc w:val="right"/>
              <w:rPr>
                <w:rFonts w:cs="Calibri"/>
                <w:color w:val="auto"/>
              </w:rPr>
            </w:pPr>
            <w:r w:rsidRPr="00581E59">
              <w:rPr>
                <w:rFonts w:cs="Calibri"/>
                <w:color w:val="auto"/>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jc w:val="right"/>
              <w:rPr>
                <w:rFonts w:ascii="Calibri" w:hAnsi="Calibri" w:cs="Calibri"/>
                <w:sz w:val="22"/>
                <w:szCs w:val="22"/>
              </w:rPr>
            </w:pPr>
            <w:r w:rsidRPr="00581E59">
              <w:rPr>
                <w:rFonts w:ascii="Calibri" w:hAnsi="Calibri" w:cs="Calibri"/>
                <w:sz w:val="22"/>
                <w:szCs w:val="22"/>
              </w:rPr>
              <w:t>16 250 000,00 zł</w:t>
            </w:r>
          </w:p>
        </w:tc>
      </w:tr>
      <w:tr w:rsidR="009752CF" w:rsidTr="009C1D86">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Pr="00581E59" w:rsidRDefault="009752CF" w:rsidP="009E6DA0">
            <w:pPr>
              <w:pStyle w:val="NormalnyWeb2"/>
              <w:spacing w:before="0" w:after="0" w:line="204" w:lineRule="auto"/>
              <w:jc w:val="center"/>
              <w:rPr>
                <w:rFonts w:asciiTheme="minorHAnsi" w:hAnsiTheme="minorHAnsi"/>
                <w:b/>
                <w:bCs/>
                <w:color w:val="auto"/>
                <w:sz w:val="20"/>
                <w:szCs w:val="20"/>
              </w:rPr>
            </w:pPr>
            <w:r w:rsidRPr="00581E59">
              <w:rPr>
                <w:rFonts w:asciiTheme="minorHAnsi" w:hAnsiTheme="minorHAnsi"/>
                <w:b/>
                <w:bCs/>
                <w:color w:val="auto"/>
                <w:sz w:val="20"/>
                <w:szCs w:val="20"/>
              </w:rPr>
              <w:t>156</w:t>
            </w:r>
          </w:p>
        </w:tc>
        <w:tc>
          <w:tcPr>
            <w:tcW w:w="166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pStyle w:val="NormalnyWeb2"/>
              <w:spacing w:before="0" w:after="0" w:line="204" w:lineRule="auto"/>
              <w:jc w:val="right"/>
              <w:rPr>
                <w:rFonts w:cs="Calibri"/>
                <w:color w:val="auto"/>
              </w:rPr>
            </w:pPr>
            <w:r w:rsidRPr="00581E59">
              <w:rPr>
                <w:rFonts w:cs="Calibri"/>
                <w:color w:val="auto"/>
              </w:rPr>
              <w:t>0,00 zł</w:t>
            </w:r>
          </w:p>
        </w:tc>
        <w:tc>
          <w:tcPr>
            <w:tcW w:w="1682"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pStyle w:val="NormalnyWeb2"/>
              <w:spacing w:before="0" w:after="0" w:line="204" w:lineRule="auto"/>
              <w:jc w:val="right"/>
              <w:rPr>
                <w:rFonts w:cs="Calibri"/>
                <w:color w:val="auto"/>
              </w:rPr>
            </w:pPr>
            <w:r w:rsidRPr="00581E59">
              <w:rPr>
                <w:rFonts w:cs="Calibri"/>
                <w:color w:val="auto"/>
              </w:rPr>
              <w:t>19 732 034,40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pStyle w:val="NormalnyWeb2"/>
              <w:spacing w:before="0" w:after="0" w:line="204" w:lineRule="auto"/>
              <w:jc w:val="right"/>
              <w:rPr>
                <w:rFonts w:cs="Calibri"/>
                <w:color w:val="auto"/>
              </w:rPr>
            </w:pPr>
            <w:r w:rsidRPr="00581E59">
              <w:rPr>
                <w:rFonts w:cs="Calibri"/>
                <w:color w:val="auto"/>
              </w:rPr>
              <w:t>44 778 916,88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pStyle w:val="NormalnyWeb2"/>
              <w:spacing w:before="0" w:after="0" w:line="204" w:lineRule="auto"/>
              <w:jc w:val="right"/>
              <w:rPr>
                <w:rFonts w:cs="Calibri"/>
                <w:color w:val="auto"/>
              </w:rPr>
            </w:pPr>
            <w:r w:rsidRPr="00581E59">
              <w:rPr>
                <w:rFonts w:cs="Calibri"/>
                <w:color w:val="auto"/>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jc w:val="right"/>
              <w:rPr>
                <w:rFonts w:ascii="Calibri" w:hAnsi="Calibri" w:cs="Calibri"/>
                <w:sz w:val="22"/>
                <w:szCs w:val="22"/>
              </w:rPr>
            </w:pPr>
            <w:r w:rsidRPr="00581E59">
              <w:rPr>
                <w:rFonts w:ascii="Calibri" w:hAnsi="Calibri" w:cs="Calibri"/>
                <w:sz w:val="22"/>
                <w:szCs w:val="22"/>
              </w:rPr>
              <w:t>64 510 954,28 zł</w:t>
            </w:r>
          </w:p>
        </w:tc>
      </w:tr>
      <w:tr w:rsidR="009752CF" w:rsidTr="009C1D86">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Pr="00581E59" w:rsidRDefault="009752CF" w:rsidP="009E6DA0">
            <w:pPr>
              <w:pStyle w:val="NormalnyWeb2"/>
              <w:spacing w:before="0" w:after="0" w:line="204" w:lineRule="auto"/>
              <w:jc w:val="center"/>
              <w:rPr>
                <w:rFonts w:asciiTheme="minorHAnsi" w:hAnsiTheme="minorHAnsi"/>
                <w:b/>
                <w:bCs/>
                <w:color w:val="auto"/>
                <w:sz w:val="20"/>
                <w:szCs w:val="20"/>
              </w:rPr>
            </w:pPr>
            <w:r w:rsidRPr="00581E59">
              <w:rPr>
                <w:rFonts w:asciiTheme="minorHAnsi" w:hAnsiTheme="minorHAnsi"/>
                <w:b/>
                <w:bCs/>
                <w:color w:val="auto"/>
                <w:sz w:val="20"/>
                <w:szCs w:val="20"/>
              </w:rPr>
              <w:t>157</w:t>
            </w:r>
          </w:p>
        </w:tc>
        <w:tc>
          <w:tcPr>
            <w:tcW w:w="166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Pr="00581E59" w:rsidRDefault="009752CF">
            <w:pPr>
              <w:jc w:val="right"/>
              <w:rPr>
                <w:rFonts w:ascii="Calibri" w:hAnsi="Calibri" w:cs="Calibri"/>
                <w:sz w:val="22"/>
                <w:szCs w:val="22"/>
              </w:rPr>
            </w:pPr>
            <w:r w:rsidRPr="00581E59">
              <w:rPr>
                <w:rFonts w:ascii="Calibri" w:hAnsi="Calibri" w:cs="Calibri"/>
                <w:sz w:val="22"/>
                <w:szCs w:val="22"/>
              </w:rPr>
              <w:t>0,00 zł</w:t>
            </w:r>
          </w:p>
        </w:tc>
        <w:tc>
          <w:tcPr>
            <w:tcW w:w="1682"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Pr="00581E59" w:rsidRDefault="009752CF">
            <w:pPr>
              <w:jc w:val="right"/>
              <w:rPr>
                <w:rFonts w:ascii="Calibri" w:hAnsi="Calibri" w:cs="Calibri"/>
                <w:sz w:val="22"/>
                <w:szCs w:val="22"/>
              </w:rPr>
            </w:pPr>
            <w:r w:rsidRPr="00581E59">
              <w:rPr>
                <w:rFonts w:ascii="Calibri" w:hAnsi="Calibri" w:cs="Calibri"/>
                <w:sz w:val="22"/>
                <w:szCs w:val="22"/>
              </w:rPr>
              <w:t>2 623 725,00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Pr="00581E59" w:rsidRDefault="009752CF">
            <w:pPr>
              <w:jc w:val="right"/>
              <w:rPr>
                <w:rFonts w:ascii="Calibri" w:hAnsi="Calibri" w:cs="Calibri"/>
                <w:sz w:val="22"/>
                <w:szCs w:val="22"/>
              </w:rPr>
            </w:pPr>
            <w:r w:rsidRPr="00581E59">
              <w:rPr>
                <w:rFonts w:ascii="Calibri" w:hAnsi="Calibri" w:cs="Calibri"/>
                <w:sz w:val="22"/>
                <w:szCs w:val="22"/>
              </w:rPr>
              <w:t>14 867 775,00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Pr="00581E59" w:rsidRDefault="009752CF">
            <w:pPr>
              <w:jc w:val="right"/>
              <w:rPr>
                <w:rFonts w:ascii="Calibri" w:hAnsi="Calibri" w:cs="Calibri"/>
                <w:sz w:val="22"/>
                <w:szCs w:val="22"/>
              </w:rPr>
            </w:pPr>
            <w:r w:rsidRPr="00581E59">
              <w:rPr>
                <w:rFonts w:ascii="Calibri" w:hAnsi="Calibri" w:cs="Calibri"/>
                <w:sz w:val="22"/>
                <w:szCs w:val="22"/>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Pr="00581E59" w:rsidRDefault="009752CF">
            <w:pPr>
              <w:jc w:val="right"/>
              <w:rPr>
                <w:rFonts w:ascii="Calibri" w:hAnsi="Calibri" w:cs="Calibri"/>
                <w:sz w:val="22"/>
                <w:szCs w:val="22"/>
              </w:rPr>
            </w:pPr>
            <w:r w:rsidRPr="00581E59">
              <w:rPr>
                <w:rFonts w:ascii="Calibri" w:hAnsi="Calibri" w:cs="Calibri"/>
                <w:sz w:val="22"/>
                <w:szCs w:val="22"/>
              </w:rPr>
              <w:t>17 491 500,00 zł</w:t>
            </w:r>
          </w:p>
        </w:tc>
      </w:tr>
      <w:tr w:rsidR="00ED7532" w:rsidTr="009C1D86">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ED7532" w:rsidRPr="00581E59" w:rsidRDefault="00ED7532" w:rsidP="009E6DA0">
            <w:pPr>
              <w:pStyle w:val="NormalnyWeb2"/>
              <w:spacing w:before="0" w:after="0" w:line="204" w:lineRule="auto"/>
              <w:jc w:val="center"/>
              <w:rPr>
                <w:rFonts w:asciiTheme="minorHAnsi" w:hAnsiTheme="minorHAnsi"/>
                <w:b/>
                <w:bCs/>
                <w:color w:val="auto"/>
                <w:sz w:val="20"/>
                <w:szCs w:val="20"/>
              </w:rPr>
            </w:pPr>
            <w:r w:rsidRPr="00581E59">
              <w:rPr>
                <w:rFonts w:asciiTheme="minorHAnsi" w:hAnsiTheme="minorHAnsi"/>
                <w:b/>
                <w:bCs/>
                <w:color w:val="auto"/>
                <w:sz w:val="20"/>
                <w:szCs w:val="20"/>
              </w:rPr>
              <w:t>158</w:t>
            </w:r>
          </w:p>
        </w:tc>
        <w:tc>
          <w:tcPr>
            <w:tcW w:w="166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ED7532" w:rsidRPr="00581E59" w:rsidRDefault="00ED7532">
            <w:pPr>
              <w:jc w:val="right"/>
              <w:rPr>
                <w:rFonts w:ascii="Calibri" w:hAnsi="Calibri" w:cs="Calibri"/>
                <w:sz w:val="22"/>
                <w:szCs w:val="22"/>
              </w:rPr>
            </w:pPr>
            <w:r w:rsidRPr="00581E59">
              <w:rPr>
                <w:rFonts w:ascii="Calibri" w:hAnsi="Calibri" w:cs="Calibri"/>
                <w:sz w:val="22"/>
                <w:szCs w:val="22"/>
              </w:rPr>
              <w:t>0,00 zł</w:t>
            </w:r>
          </w:p>
        </w:tc>
        <w:tc>
          <w:tcPr>
            <w:tcW w:w="1682"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ED7532" w:rsidRPr="00581E59" w:rsidRDefault="00ED7532">
            <w:pPr>
              <w:jc w:val="right"/>
              <w:rPr>
                <w:rFonts w:ascii="Calibri" w:hAnsi="Calibri" w:cs="Calibri"/>
                <w:sz w:val="22"/>
                <w:szCs w:val="22"/>
              </w:rPr>
            </w:pPr>
            <w:r w:rsidRPr="00581E59">
              <w:rPr>
                <w:rFonts w:ascii="Calibri" w:hAnsi="Calibri" w:cs="Calibri"/>
                <w:sz w:val="22"/>
                <w:szCs w:val="22"/>
              </w:rPr>
              <w:t>1 423 966,75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ED7532" w:rsidRPr="00581E59" w:rsidRDefault="00ED7532">
            <w:pPr>
              <w:jc w:val="right"/>
              <w:rPr>
                <w:rFonts w:ascii="Calibri" w:hAnsi="Calibri" w:cs="Calibri"/>
                <w:sz w:val="22"/>
                <w:szCs w:val="22"/>
              </w:rPr>
            </w:pPr>
            <w:r w:rsidRPr="00581E59">
              <w:rPr>
                <w:rFonts w:ascii="Calibri" w:hAnsi="Calibri" w:cs="Calibri"/>
                <w:sz w:val="22"/>
                <w:szCs w:val="22"/>
              </w:rPr>
              <w:t>8 080 478,25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ED7532" w:rsidRPr="00581E59" w:rsidRDefault="00ED7532">
            <w:pPr>
              <w:jc w:val="right"/>
              <w:rPr>
                <w:rFonts w:ascii="Calibri" w:hAnsi="Calibri" w:cs="Calibri"/>
                <w:sz w:val="22"/>
                <w:szCs w:val="22"/>
              </w:rPr>
            </w:pPr>
            <w:r w:rsidRPr="00581E59">
              <w:rPr>
                <w:rFonts w:ascii="Calibri" w:hAnsi="Calibri" w:cs="Calibri"/>
                <w:sz w:val="22"/>
                <w:szCs w:val="22"/>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ED7532" w:rsidRPr="00581E59" w:rsidRDefault="00ED7532">
            <w:pPr>
              <w:jc w:val="right"/>
              <w:rPr>
                <w:rFonts w:ascii="Calibri" w:hAnsi="Calibri" w:cs="Calibri"/>
                <w:sz w:val="22"/>
                <w:szCs w:val="22"/>
              </w:rPr>
            </w:pPr>
            <w:r w:rsidRPr="00581E59">
              <w:rPr>
                <w:rFonts w:ascii="Calibri" w:hAnsi="Calibri" w:cs="Calibri"/>
                <w:sz w:val="22"/>
                <w:szCs w:val="22"/>
              </w:rPr>
              <w:t>9 506 445,00 zł</w:t>
            </w:r>
          </w:p>
        </w:tc>
      </w:tr>
      <w:tr w:rsidR="009752CF" w:rsidTr="009C1D86">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pStyle w:val="NormalnyWeb2"/>
              <w:spacing w:before="0" w:after="0" w:line="204" w:lineRule="auto"/>
              <w:jc w:val="center"/>
              <w:rPr>
                <w:rFonts w:asciiTheme="minorHAnsi" w:hAnsiTheme="minorHAnsi"/>
                <w:b/>
                <w:bCs/>
                <w:color w:val="auto"/>
                <w:sz w:val="20"/>
                <w:szCs w:val="20"/>
              </w:rPr>
            </w:pPr>
            <w:r w:rsidRPr="00581E59">
              <w:rPr>
                <w:rFonts w:asciiTheme="minorHAnsi" w:hAnsiTheme="minorHAnsi"/>
                <w:b/>
                <w:bCs/>
                <w:color w:val="auto"/>
                <w:sz w:val="20"/>
                <w:szCs w:val="20"/>
              </w:rPr>
              <w:t>159</w:t>
            </w:r>
          </w:p>
        </w:tc>
        <w:tc>
          <w:tcPr>
            <w:tcW w:w="166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pStyle w:val="NormalnyWeb2"/>
              <w:spacing w:before="0" w:after="0" w:line="204" w:lineRule="auto"/>
              <w:jc w:val="right"/>
              <w:rPr>
                <w:rFonts w:cs="Calibri"/>
                <w:color w:val="auto"/>
              </w:rPr>
            </w:pPr>
            <w:r w:rsidRPr="00581E59">
              <w:rPr>
                <w:rFonts w:eastAsia="DejaVuSans" w:cs="Calibri"/>
                <w:color w:val="auto"/>
              </w:rPr>
              <w:t>753 023,71</w:t>
            </w:r>
            <w:r w:rsidRPr="00581E59">
              <w:rPr>
                <w:rFonts w:cs="Calibri"/>
                <w:color w:val="auto"/>
              </w:rPr>
              <w:t xml:space="preserve"> zł</w:t>
            </w:r>
          </w:p>
        </w:tc>
        <w:tc>
          <w:tcPr>
            <w:tcW w:w="1682"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pStyle w:val="NormalnyWeb2"/>
              <w:spacing w:before="0" w:after="0" w:line="204" w:lineRule="auto"/>
              <w:jc w:val="right"/>
              <w:rPr>
                <w:rFonts w:cs="Calibri"/>
                <w:color w:val="auto"/>
              </w:rPr>
            </w:pPr>
            <w:r w:rsidRPr="00581E59">
              <w:rPr>
                <w:rFonts w:cs="Calibri"/>
                <w:color w:val="auto"/>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jc w:val="right"/>
              <w:rPr>
                <w:rFonts w:ascii="Calibri" w:hAnsi="Calibri" w:cs="Calibri"/>
                <w:sz w:val="22"/>
                <w:szCs w:val="22"/>
              </w:rPr>
            </w:pPr>
            <w:r w:rsidRPr="00581E59">
              <w:rPr>
                <w:rFonts w:ascii="Calibri" w:eastAsia="DejaVuSans" w:hAnsi="Calibri" w:cs="Calibri"/>
                <w:sz w:val="22"/>
                <w:szCs w:val="22"/>
              </w:rPr>
              <w:t>4 267 134,31</w:t>
            </w:r>
            <w:r w:rsidRPr="00581E59">
              <w:rPr>
                <w:rFonts w:ascii="Calibri" w:hAnsi="Calibri" w:cs="Calibri"/>
                <w:sz w:val="22"/>
                <w:szCs w:val="22"/>
              </w:rPr>
              <w:t xml:space="preserve">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pStyle w:val="NormalnyWeb2"/>
              <w:spacing w:before="0" w:after="0" w:line="204" w:lineRule="auto"/>
              <w:jc w:val="right"/>
              <w:rPr>
                <w:rFonts w:cs="Calibri"/>
                <w:color w:val="auto"/>
              </w:rPr>
            </w:pPr>
            <w:r w:rsidRPr="00581E59">
              <w:rPr>
                <w:rFonts w:cs="Calibri"/>
                <w:color w:val="auto"/>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jc w:val="right"/>
              <w:rPr>
                <w:rFonts w:ascii="Calibri" w:hAnsi="Calibri" w:cs="Calibri"/>
                <w:sz w:val="22"/>
                <w:szCs w:val="22"/>
              </w:rPr>
            </w:pPr>
            <w:r w:rsidRPr="00581E59">
              <w:rPr>
                <w:rFonts w:ascii="Calibri" w:hAnsi="Calibri" w:cs="Calibri"/>
                <w:sz w:val="22"/>
                <w:szCs w:val="22"/>
              </w:rPr>
              <w:t>5 020 158,02 zł</w:t>
            </w:r>
          </w:p>
        </w:tc>
      </w:tr>
      <w:tr w:rsidR="00ED7532" w:rsidTr="009C1D86">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ED7532" w:rsidRPr="00581E59" w:rsidRDefault="00ED7532" w:rsidP="009E6DA0">
            <w:pPr>
              <w:pStyle w:val="NormalnyWeb2"/>
              <w:spacing w:before="0" w:after="0" w:line="204" w:lineRule="auto"/>
              <w:jc w:val="center"/>
              <w:rPr>
                <w:rFonts w:asciiTheme="minorHAnsi" w:hAnsiTheme="minorHAnsi"/>
                <w:b/>
                <w:bCs/>
                <w:color w:val="auto"/>
                <w:sz w:val="20"/>
                <w:szCs w:val="20"/>
              </w:rPr>
            </w:pPr>
            <w:r w:rsidRPr="00581E59">
              <w:rPr>
                <w:rFonts w:asciiTheme="minorHAnsi" w:hAnsiTheme="minorHAnsi"/>
                <w:b/>
                <w:bCs/>
                <w:color w:val="auto"/>
                <w:sz w:val="20"/>
                <w:szCs w:val="20"/>
              </w:rPr>
              <w:t>160</w:t>
            </w:r>
          </w:p>
        </w:tc>
        <w:tc>
          <w:tcPr>
            <w:tcW w:w="166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ED7532" w:rsidRPr="00581E59" w:rsidRDefault="00ED7532">
            <w:pPr>
              <w:jc w:val="right"/>
              <w:rPr>
                <w:rFonts w:ascii="Calibri" w:hAnsi="Calibri" w:cs="Calibri"/>
                <w:sz w:val="22"/>
                <w:szCs w:val="22"/>
              </w:rPr>
            </w:pPr>
            <w:r w:rsidRPr="00581E59">
              <w:rPr>
                <w:rFonts w:ascii="Calibri" w:hAnsi="Calibri" w:cs="Calibri"/>
                <w:sz w:val="22"/>
                <w:szCs w:val="22"/>
              </w:rPr>
              <w:t>1 067 960,15 zł</w:t>
            </w:r>
          </w:p>
        </w:tc>
        <w:tc>
          <w:tcPr>
            <w:tcW w:w="1682"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ED7532" w:rsidRPr="00581E59" w:rsidRDefault="00ED7532">
            <w:pPr>
              <w:jc w:val="right"/>
              <w:rPr>
                <w:rFonts w:ascii="Calibri" w:hAnsi="Calibri" w:cs="Calibri"/>
                <w:sz w:val="22"/>
                <w:szCs w:val="22"/>
              </w:rPr>
            </w:pPr>
            <w:r w:rsidRPr="00581E59">
              <w:rPr>
                <w:rFonts w:ascii="Calibri" w:hAnsi="Calibri" w:cs="Calibri"/>
                <w:sz w:val="22"/>
                <w:szCs w:val="22"/>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ED7532" w:rsidRPr="00581E59" w:rsidRDefault="00ED7532">
            <w:pPr>
              <w:jc w:val="right"/>
              <w:rPr>
                <w:rFonts w:ascii="Calibri" w:hAnsi="Calibri" w:cs="Calibri"/>
                <w:sz w:val="22"/>
                <w:szCs w:val="22"/>
              </w:rPr>
            </w:pPr>
            <w:r w:rsidRPr="00581E59">
              <w:rPr>
                <w:rFonts w:ascii="Calibri" w:hAnsi="Calibri" w:cs="Calibri"/>
                <w:sz w:val="22"/>
                <w:szCs w:val="22"/>
              </w:rPr>
              <w:t>6 051 774,15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ED7532" w:rsidRPr="00581E59" w:rsidRDefault="00ED7532">
            <w:pPr>
              <w:jc w:val="right"/>
              <w:rPr>
                <w:rFonts w:ascii="Calibri" w:hAnsi="Calibri" w:cs="Calibri"/>
                <w:sz w:val="22"/>
                <w:szCs w:val="22"/>
              </w:rPr>
            </w:pPr>
            <w:r w:rsidRPr="00581E59">
              <w:rPr>
                <w:rFonts w:ascii="Calibri" w:hAnsi="Calibri" w:cs="Calibri"/>
                <w:sz w:val="22"/>
                <w:szCs w:val="22"/>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ED7532" w:rsidRPr="00581E59" w:rsidRDefault="00ED7532">
            <w:pPr>
              <w:jc w:val="right"/>
              <w:rPr>
                <w:rFonts w:ascii="Calibri" w:hAnsi="Calibri" w:cs="Calibri"/>
                <w:sz w:val="22"/>
                <w:szCs w:val="22"/>
              </w:rPr>
            </w:pPr>
            <w:r w:rsidRPr="00581E59">
              <w:rPr>
                <w:rFonts w:ascii="Calibri" w:hAnsi="Calibri" w:cs="Calibri"/>
                <w:sz w:val="22"/>
                <w:szCs w:val="22"/>
              </w:rPr>
              <w:t>7  119  734,30 zł</w:t>
            </w:r>
          </w:p>
        </w:tc>
      </w:tr>
      <w:tr w:rsidR="009752CF" w:rsidTr="009C1D86">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Pr="00581E59" w:rsidRDefault="009752CF" w:rsidP="009E6DA0">
            <w:pPr>
              <w:pStyle w:val="NormalnyWeb2"/>
              <w:spacing w:before="0" w:after="0" w:line="204" w:lineRule="auto"/>
              <w:jc w:val="center"/>
              <w:rPr>
                <w:rFonts w:asciiTheme="minorHAnsi" w:hAnsiTheme="minorHAnsi"/>
                <w:b/>
                <w:bCs/>
                <w:color w:val="auto"/>
                <w:sz w:val="20"/>
                <w:szCs w:val="20"/>
              </w:rPr>
            </w:pPr>
            <w:r w:rsidRPr="00581E59">
              <w:rPr>
                <w:rFonts w:asciiTheme="minorHAnsi" w:hAnsiTheme="minorHAnsi"/>
                <w:b/>
                <w:bCs/>
                <w:color w:val="auto"/>
                <w:sz w:val="20"/>
                <w:szCs w:val="20"/>
              </w:rPr>
              <w:t>161</w:t>
            </w:r>
          </w:p>
        </w:tc>
        <w:tc>
          <w:tcPr>
            <w:tcW w:w="166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pStyle w:val="NormalnyWeb2"/>
              <w:spacing w:before="0" w:after="0" w:line="204" w:lineRule="auto"/>
              <w:jc w:val="right"/>
              <w:rPr>
                <w:rFonts w:cs="Calibri"/>
                <w:color w:val="auto"/>
              </w:rPr>
            </w:pPr>
            <w:r w:rsidRPr="00581E59">
              <w:rPr>
                <w:rFonts w:eastAsia="DejaVuSans" w:cs="Calibri"/>
                <w:color w:val="auto"/>
              </w:rPr>
              <w:t>745 837,02 zł</w:t>
            </w:r>
          </w:p>
        </w:tc>
        <w:tc>
          <w:tcPr>
            <w:tcW w:w="1682"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pStyle w:val="NormalnyWeb2"/>
              <w:spacing w:before="0" w:after="0" w:line="204" w:lineRule="auto"/>
              <w:jc w:val="right"/>
              <w:rPr>
                <w:rFonts w:cs="Calibri"/>
                <w:color w:val="auto"/>
              </w:rPr>
            </w:pPr>
            <w:r w:rsidRPr="00581E59">
              <w:rPr>
                <w:rFonts w:cs="Calibri"/>
                <w:color w:val="auto"/>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jc w:val="right"/>
              <w:rPr>
                <w:rFonts w:ascii="Calibri" w:eastAsia="DejaVuSans" w:hAnsi="Calibri" w:cs="Calibri"/>
                <w:sz w:val="22"/>
                <w:szCs w:val="22"/>
              </w:rPr>
            </w:pPr>
            <w:r w:rsidRPr="00581E59">
              <w:rPr>
                <w:rFonts w:ascii="Calibri" w:eastAsia="DejaVuSans" w:hAnsi="Calibri" w:cs="Calibri"/>
                <w:sz w:val="22"/>
                <w:szCs w:val="22"/>
              </w:rPr>
              <w:t>4 226 324,59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pStyle w:val="NormalnyWeb2"/>
              <w:spacing w:before="0" w:after="0" w:line="204" w:lineRule="auto"/>
              <w:jc w:val="right"/>
              <w:rPr>
                <w:rFonts w:cs="Calibri"/>
                <w:color w:val="auto"/>
              </w:rPr>
            </w:pPr>
            <w:r w:rsidRPr="00581E59">
              <w:rPr>
                <w:rFonts w:cs="Calibri"/>
                <w:color w:val="auto"/>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jc w:val="right"/>
              <w:rPr>
                <w:rFonts w:ascii="Calibri" w:hAnsi="Calibri" w:cs="Calibri"/>
                <w:sz w:val="22"/>
                <w:szCs w:val="22"/>
              </w:rPr>
            </w:pPr>
            <w:r w:rsidRPr="00581E59">
              <w:rPr>
                <w:rFonts w:ascii="Calibri" w:hAnsi="Calibri" w:cs="Calibri"/>
                <w:sz w:val="22"/>
                <w:szCs w:val="22"/>
              </w:rPr>
              <w:t>4 972 161,61 zł</w:t>
            </w:r>
          </w:p>
        </w:tc>
      </w:tr>
      <w:tr w:rsidR="009752CF" w:rsidTr="009C1D86">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Pr="00581E59" w:rsidRDefault="009752CF" w:rsidP="009E6DA0">
            <w:pPr>
              <w:pStyle w:val="NormalnyWeb2"/>
              <w:spacing w:before="0" w:after="0" w:line="204" w:lineRule="auto"/>
              <w:jc w:val="center"/>
              <w:rPr>
                <w:rFonts w:asciiTheme="minorHAnsi" w:hAnsiTheme="minorHAnsi"/>
                <w:b/>
                <w:bCs/>
                <w:color w:val="auto"/>
                <w:sz w:val="20"/>
                <w:szCs w:val="20"/>
              </w:rPr>
            </w:pPr>
            <w:r w:rsidRPr="00581E59">
              <w:rPr>
                <w:rFonts w:asciiTheme="minorHAnsi" w:hAnsiTheme="minorHAnsi"/>
                <w:b/>
                <w:bCs/>
                <w:color w:val="auto"/>
                <w:sz w:val="20"/>
                <w:szCs w:val="20"/>
              </w:rPr>
              <w:t>162</w:t>
            </w:r>
          </w:p>
        </w:tc>
        <w:tc>
          <w:tcPr>
            <w:tcW w:w="166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08687E">
            <w:pPr>
              <w:jc w:val="right"/>
              <w:rPr>
                <w:rFonts w:ascii="Calibri" w:hAnsi="Calibri" w:cs="Calibri"/>
                <w:bCs/>
                <w:sz w:val="22"/>
                <w:szCs w:val="22"/>
              </w:rPr>
            </w:pPr>
            <w:r w:rsidRPr="00581E59">
              <w:rPr>
                <w:rFonts w:ascii="Calibri" w:hAnsi="Calibri" w:cs="Calibri"/>
                <w:bCs/>
                <w:sz w:val="22"/>
                <w:szCs w:val="22"/>
              </w:rPr>
              <w:t>1 255 657,18 zł</w:t>
            </w:r>
          </w:p>
        </w:tc>
        <w:tc>
          <w:tcPr>
            <w:tcW w:w="1682"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08687E">
            <w:pPr>
              <w:pStyle w:val="NormalnyWeb2"/>
              <w:spacing w:before="0" w:after="0" w:line="204" w:lineRule="auto"/>
              <w:jc w:val="right"/>
              <w:rPr>
                <w:rFonts w:cs="Calibri"/>
                <w:color w:val="auto"/>
              </w:rPr>
            </w:pPr>
            <w:r w:rsidRPr="00581E59">
              <w:rPr>
                <w:rFonts w:cs="Calibri"/>
                <w:color w:val="auto"/>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08687E">
            <w:pPr>
              <w:jc w:val="right"/>
              <w:rPr>
                <w:rFonts w:ascii="Calibri" w:hAnsi="Calibri" w:cs="Calibri"/>
                <w:bCs/>
                <w:sz w:val="22"/>
                <w:szCs w:val="22"/>
              </w:rPr>
            </w:pPr>
            <w:r w:rsidRPr="00581E59">
              <w:rPr>
                <w:rFonts w:ascii="Calibri" w:hAnsi="Calibri" w:cs="Calibri"/>
                <w:bCs/>
                <w:sz w:val="22"/>
                <w:szCs w:val="22"/>
              </w:rPr>
              <w:t>7 115 390,72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08687E">
            <w:pPr>
              <w:pStyle w:val="NormalnyWeb2"/>
              <w:spacing w:before="0" w:after="0" w:line="204" w:lineRule="auto"/>
              <w:jc w:val="right"/>
              <w:rPr>
                <w:rFonts w:cs="Calibri"/>
                <w:color w:val="auto"/>
              </w:rPr>
            </w:pPr>
            <w:r w:rsidRPr="00581E59">
              <w:rPr>
                <w:rFonts w:cs="Calibri"/>
                <w:color w:val="auto"/>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08687E">
            <w:pPr>
              <w:jc w:val="right"/>
              <w:rPr>
                <w:rFonts w:ascii="Calibri" w:hAnsi="Calibri" w:cs="Calibri"/>
                <w:bCs/>
                <w:sz w:val="22"/>
                <w:szCs w:val="22"/>
              </w:rPr>
            </w:pPr>
            <w:r w:rsidRPr="00581E59">
              <w:rPr>
                <w:rFonts w:ascii="Calibri" w:hAnsi="Calibri" w:cs="Calibri"/>
                <w:bCs/>
                <w:sz w:val="22"/>
                <w:szCs w:val="22"/>
              </w:rPr>
              <w:t>8 371 047,90 zł</w:t>
            </w:r>
          </w:p>
        </w:tc>
      </w:tr>
      <w:tr w:rsidR="009752CF" w:rsidTr="009C1D86">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pStyle w:val="NormalnyWeb2"/>
              <w:spacing w:before="0" w:after="0" w:line="204" w:lineRule="auto"/>
              <w:jc w:val="center"/>
              <w:rPr>
                <w:rFonts w:asciiTheme="minorHAnsi" w:hAnsiTheme="minorHAnsi"/>
                <w:b/>
                <w:bCs/>
                <w:color w:val="auto"/>
                <w:sz w:val="20"/>
                <w:szCs w:val="20"/>
              </w:rPr>
            </w:pPr>
            <w:r w:rsidRPr="00581E59">
              <w:rPr>
                <w:rFonts w:asciiTheme="minorHAnsi" w:hAnsiTheme="minorHAnsi"/>
                <w:b/>
                <w:bCs/>
                <w:color w:val="auto"/>
                <w:sz w:val="20"/>
                <w:szCs w:val="20"/>
              </w:rPr>
              <w:t>163</w:t>
            </w:r>
          </w:p>
        </w:tc>
        <w:tc>
          <w:tcPr>
            <w:tcW w:w="166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jc w:val="right"/>
              <w:rPr>
                <w:rFonts w:ascii="Calibri" w:hAnsi="Calibri" w:cs="Calibri"/>
                <w:sz w:val="22"/>
                <w:szCs w:val="22"/>
              </w:rPr>
            </w:pPr>
            <w:r w:rsidRPr="00581E59">
              <w:rPr>
                <w:rFonts w:ascii="Calibri" w:hAnsi="Calibri" w:cs="Calibri"/>
                <w:bCs/>
                <w:sz w:val="22"/>
                <w:szCs w:val="22"/>
              </w:rPr>
              <w:t>7 978 407,45 zł</w:t>
            </w:r>
          </w:p>
        </w:tc>
        <w:tc>
          <w:tcPr>
            <w:tcW w:w="1682"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pStyle w:val="NormalnyWeb2"/>
              <w:spacing w:before="0" w:after="0" w:line="204" w:lineRule="auto"/>
              <w:jc w:val="right"/>
              <w:rPr>
                <w:rFonts w:cs="Calibri"/>
                <w:color w:val="auto"/>
              </w:rPr>
            </w:pPr>
            <w:r w:rsidRPr="00581E59">
              <w:rPr>
                <w:rFonts w:cs="Calibri"/>
                <w:color w:val="auto"/>
              </w:rPr>
              <w:t>0,00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jc w:val="right"/>
              <w:rPr>
                <w:rFonts w:ascii="Calibri" w:hAnsi="Calibri" w:cs="Calibri"/>
                <w:bCs/>
                <w:sz w:val="22"/>
                <w:szCs w:val="22"/>
              </w:rPr>
            </w:pPr>
            <w:r w:rsidRPr="00581E59">
              <w:rPr>
                <w:rFonts w:ascii="Calibri" w:hAnsi="Calibri" w:cs="Calibri"/>
                <w:bCs/>
                <w:sz w:val="22"/>
                <w:szCs w:val="22"/>
              </w:rPr>
              <w:t>45 210 975,55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pStyle w:val="NormalnyWeb2"/>
              <w:spacing w:before="0" w:after="0" w:line="204" w:lineRule="auto"/>
              <w:jc w:val="right"/>
              <w:rPr>
                <w:rFonts w:cs="Calibri"/>
                <w:color w:val="auto"/>
              </w:rPr>
            </w:pPr>
            <w:r w:rsidRPr="00581E59">
              <w:rPr>
                <w:rFonts w:cs="Calibri"/>
                <w:color w:val="auto"/>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jc w:val="right"/>
              <w:rPr>
                <w:rFonts w:ascii="Calibri" w:hAnsi="Calibri" w:cs="Calibri"/>
                <w:sz w:val="22"/>
                <w:szCs w:val="22"/>
              </w:rPr>
            </w:pPr>
            <w:r w:rsidRPr="00581E59">
              <w:rPr>
                <w:rFonts w:ascii="Calibri" w:hAnsi="Calibri" w:cs="Calibri"/>
                <w:bCs/>
                <w:sz w:val="22"/>
                <w:szCs w:val="22"/>
              </w:rPr>
              <w:t>53 189 383,00 zł</w:t>
            </w:r>
          </w:p>
        </w:tc>
      </w:tr>
      <w:tr w:rsidR="009752CF" w:rsidTr="009C1D86">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Pr="00581E59" w:rsidRDefault="009752CF" w:rsidP="009E6DA0">
            <w:pPr>
              <w:pStyle w:val="NormalnyWeb2"/>
              <w:spacing w:before="0" w:after="0" w:line="204" w:lineRule="auto"/>
              <w:jc w:val="center"/>
              <w:rPr>
                <w:rFonts w:asciiTheme="minorHAnsi" w:hAnsiTheme="minorHAnsi"/>
                <w:b/>
                <w:bCs/>
                <w:color w:val="auto"/>
                <w:sz w:val="20"/>
                <w:szCs w:val="20"/>
              </w:rPr>
            </w:pPr>
            <w:r w:rsidRPr="00581E59">
              <w:rPr>
                <w:rFonts w:asciiTheme="minorHAnsi" w:hAnsiTheme="minorHAnsi"/>
                <w:b/>
                <w:bCs/>
                <w:color w:val="auto"/>
                <w:sz w:val="20"/>
                <w:szCs w:val="20"/>
              </w:rPr>
              <w:t>164</w:t>
            </w:r>
          </w:p>
        </w:tc>
        <w:tc>
          <w:tcPr>
            <w:tcW w:w="166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pStyle w:val="NormalnyWeb2"/>
              <w:spacing w:before="0" w:after="0" w:line="204" w:lineRule="auto"/>
              <w:jc w:val="right"/>
              <w:rPr>
                <w:rFonts w:cs="Calibri"/>
                <w:color w:val="auto"/>
              </w:rPr>
            </w:pPr>
            <w:r w:rsidRPr="00581E59">
              <w:rPr>
                <w:rFonts w:cs="Calibri"/>
                <w:color w:val="auto"/>
              </w:rPr>
              <w:t>0,00 zł</w:t>
            </w:r>
          </w:p>
        </w:tc>
        <w:tc>
          <w:tcPr>
            <w:tcW w:w="1682"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pStyle w:val="NormalnyWeb2"/>
              <w:spacing w:before="0" w:after="0" w:line="204" w:lineRule="auto"/>
              <w:jc w:val="right"/>
              <w:rPr>
                <w:rFonts w:cs="Calibri"/>
                <w:color w:val="auto"/>
              </w:rPr>
            </w:pPr>
            <w:r w:rsidRPr="00581E59">
              <w:rPr>
                <w:rFonts w:cs="Calibri"/>
                <w:color w:val="auto"/>
              </w:rPr>
              <w:t>12 750,00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pStyle w:val="NormalnyWeb2"/>
              <w:spacing w:before="0" w:after="0" w:line="204" w:lineRule="auto"/>
              <w:jc w:val="right"/>
              <w:rPr>
                <w:rFonts w:cs="Calibri"/>
                <w:color w:val="auto"/>
              </w:rPr>
            </w:pPr>
            <w:r w:rsidRPr="00581E59">
              <w:rPr>
                <w:rFonts w:cs="Calibri"/>
                <w:color w:val="auto"/>
              </w:rPr>
              <w:t>72 250,00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pStyle w:val="NormalnyWeb2"/>
              <w:spacing w:before="0" w:after="0" w:line="204" w:lineRule="auto"/>
              <w:jc w:val="right"/>
              <w:rPr>
                <w:rFonts w:cs="Calibri"/>
                <w:color w:val="auto"/>
              </w:rPr>
            </w:pPr>
            <w:r w:rsidRPr="00581E59">
              <w:rPr>
                <w:rFonts w:cs="Calibri"/>
                <w:color w:val="auto"/>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jc w:val="right"/>
              <w:rPr>
                <w:rFonts w:ascii="Calibri" w:hAnsi="Calibri" w:cs="Calibri"/>
                <w:sz w:val="22"/>
                <w:szCs w:val="22"/>
              </w:rPr>
            </w:pPr>
            <w:r w:rsidRPr="00581E59">
              <w:rPr>
                <w:rFonts w:ascii="Calibri" w:hAnsi="Calibri" w:cs="Calibri"/>
                <w:sz w:val="22"/>
                <w:szCs w:val="22"/>
              </w:rPr>
              <w:t>85 000,00 zł</w:t>
            </w:r>
          </w:p>
        </w:tc>
      </w:tr>
      <w:tr w:rsidR="009752CF" w:rsidTr="009C1D86">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Pr="00581E59" w:rsidRDefault="009752CF" w:rsidP="009E6DA0">
            <w:pPr>
              <w:pStyle w:val="NormalnyWeb2"/>
              <w:spacing w:before="0" w:after="0" w:line="204" w:lineRule="auto"/>
              <w:jc w:val="center"/>
              <w:rPr>
                <w:rFonts w:asciiTheme="minorHAnsi" w:hAnsiTheme="minorHAnsi"/>
                <w:b/>
                <w:bCs/>
                <w:color w:val="auto"/>
                <w:sz w:val="20"/>
                <w:szCs w:val="20"/>
              </w:rPr>
            </w:pPr>
            <w:r w:rsidRPr="00581E59">
              <w:rPr>
                <w:rFonts w:asciiTheme="minorHAnsi" w:hAnsiTheme="minorHAnsi"/>
                <w:b/>
                <w:bCs/>
                <w:color w:val="auto"/>
                <w:sz w:val="20"/>
                <w:szCs w:val="20"/>
              </w:rPr>
              <w:t>165</w:t>
            </w:r>
          </w:p>
        </w:tc>
        <w:tc>
          <w:tcPr>
            <w:tcW w:w="166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tcPr>
          <w:p w:rsidR="009752CF" w:rsidRPr="00581E59" w:rsidRDefault="009752CF" w:rsidP="009E6DA0">
            <w:pPr>
              <w:jc w:val="right"/>
              <w:rPr>
                <w:rFonts w:ascii="Calibri" w:hAnsi="Calibri" w:cs="Calibri"/>
                <w:sz w:val="22"/>
                <w:szCs w:val="22"/>
              </w:rPr>
            </w:pPr>
            <w:r w:rsidRPr="00581E59">
              <w:rPr>
                <w:rFonts w:ascii="Calibri" w:hAnsi="Calibri" w:cs="Calibri"/>
                <w:sz w:val="22"/>
                <w:szCs w:val="22"/>
              </w:rPr>
              <w:t>0,00 zł</w:t>
            </w:r>
          </w:p>
        </w:tc>
        <w:tc>
          <w:tcPr>
            <w:tcW w:w="1682"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pStyle w:val="NormalnyWeb2"/>
              <w:spacing w:before="0" w:after="0" w:line="204" w:lineRule="auto"/>
              <w:jc w:val="right"/>
              <w:rPr>
                <w:rFonts w:cs="Calibri"/>
                <w:color w:val="auto"/>
              </w:rPr>
            </w:pPr>
            <w:r w:rsidRPr="00581E59">
              <w:rPr>
                <w:rFonts w:cs="Calibri"/>
                <w:color w:val="auto"/>
              </w:rPr>
              <w:t>15 000,00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pStyle w:val="NormalnyWeb2"/>
              <w:spacing w:before="0" w:after="0" w:line="204" w:lineRule="auto"/>
              <w:jc w:val="right"/>
              <w:rPr>
                <w:rFonts w:cs="Calibri"/>
                <w:color w:val="auto"/>
              </w:rPr>
            </w:pPr>
            <w:r w:rsidRPr="00581E59">
              <w:rPr>
                <w:rFonts w:cs="Calibri"/>
                <w:color w:val="auto"/>
              </w:rPr>
              <w:t>85 000,00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pStyle w:val="NormalnyWeb2"/>
              <w:spacing w:before="0" w:after="0" w:line="204" w:lineRule="auto"/>
              <w:jc w:val="right"/>
              <w:rPr>
                <w:rFonts w:cs="Calibri"/>
                <w:color w:val="auto"/>
              </w:rPr>
            </w:pPr>
            <w:r w:rsidRPr="00581E59">
              <w:rPr>
                <w:rFonts w:cs="Calibri"/>
                <w:color w:val="auto"/>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jc w:val="right"/>
              <w:rPr>
                <w:rFonts w:ascii="Calibri" w:hAnsi="Calibri" w:cs="Calibri"/>
                <w:sz w:val="22"/>
                <w:szCs w:val="22"/>
              </w:rPr>
            </w:pPr>
            <w:r w:rsidRPr="00581E59">
              <w:rPr>
                <w:rFonts w:ascii="Calibri" w:hAnsi="Calibri" w:cs="Calibri"/>
                <w:sz w:val="22"/>
                <w:szCs w:val="22"/>
              </w:rPr>
              <w:t>100 000,00 zł</w:t>
            </w:r>
          </w:p>
        </w:tc>
      </w:tr>
      <w:tr w:rsidR="009752CF" w:rsidTr="009C1D86">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Pr="00581E59" w:rsidRDefault="009752CF" w:rsidP="009E6DA0">
            <w:pPr>
              <w:pStyle w:val="NormalnyWeb2"/>
              <w:spacing w:before="0" w:after="0" w:line="204" w:lineRule="auto"/>
              <w:jc w:val="center"/>
              <w:rPr>
                <w:rFonts w:asciiTheme="minorHAnsi" w:hAnsiTheme="minorHAnsi"/>
                <w:b/>
                <w:bCs/>
                <w:color w:val="auto"/>
                <w:sz w:val="20"/>
                <w:szCs w:val="20"/>
              </w:rPr>
            </w:pPr>
            <w:r w:rsidRPr="00581E59">
              <w:rPr>
                <w:rFonts w:asciiTheme="minorHAnsi" w:hAnsiTheme="minorHAnsi"/>
                <w:b/>
                <w:bCs/>
                <w:color w:val="auto"/>
                <w:sz w:val="20"/>
                <w:szCs w:val="20"/>
              </w:rPr>
              <w:t>166</w:t>
            </w:r>
          </w:p>
        </w:tc>
        <w:tc>
          <w:tcPr>
            <w:tcW w:w="166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tcPr>
          <w:p w:rsidR="009752CF" w:rsidRPr="00581E59" w:rsidRDefault="009752CF" w:rsidP="009E6DA0">
            <w:pPr>
              <w:jc w:val="right"/>
              <w:rPr>
                <w:rFonts w:ascii="Calibri" w:hAnsi="Calibri" w:cs="Calibri"/>
                <w:sz w:val="22"/>
                <w:szCs w:val="22"/>
              </w:rPr>
            </w:pPr>
            <w:r w:rsidRPr="00581E59">
              <w:rPr>
                <w:rFonts w:ascii="Calibri" w:hAnsi="Calibri" w:cs="Calibri"/>
                <w:sz w:val="22"/>
                <w:szCs w:val="22"/>
              </w:rPr>
              <w:t>0,00 zł</w:t>
            </w:r>
          </w:p>
        </w:tc>
        <w:tc>
          <w:tcPr>
            <w:tcW w:w="1682"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pStyle w:val="NormalnyWeb2"/>
              <w:spacing w:before="0" w:after="0" w:line="204" w:lineRule="auto"/>
              <w:jc w:val="right"/>
              <w:rPr>
                <w:rFonts w:cs="Calibri"/>
                <w:color w:val="auto"/>
              </w:rPr>
            </w:pPr>
            <w:r w:rsidRPr="00581E59">
              <w:rPr>
                <w:rFonts w:cs="Calibri"/>
                <w:color w:val="auto"/>
              </w:rPr>
              <w:t>15 000,00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pStyle w:val="NormalnyWeb2"/>
              <w:spacing w:before="0" w:after="0" w:line="204" w:lineRule="auto"/>
              <w:jc w:val="right"/>
              <w:rPr>
                <w:rFonts w:cs="Calibri"/>
                <w:color w:val="auto"/>
              </w:rPr>
            </w:pPr>
            <w:r w:rsidRPr="00581E59">
              <w:rPr>
                <w:rFonts w:cs="Calibri"/>
                <w:color w:val="auto"/>
              </w:rPr>
              <w:t>85 000,00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pStyle w:val="NormalnyWeb2"/>
              <w:spacing w:before="0" w:after="0" w:line="204" w:lineRule="auto"/>
              <w:jc w:val="right"/>
              <w:rPr>
                <w:rFonts w:cs="Calibri"/>
                <w:color w:val="auto"/>
              </w:rPr>
            </w:pPr>
            <w:r w:rsidRPr="00581E59">
              <w:rPr>
                <w:rFonts w:cs="Calibri"/>
                <w:color w:val="auto"/>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jc w:val="right"/>
              <w:rPr>
                <w:rFonts w:ascii="Calibri" w:hAnsi="Calibri" w:cs="Calibri"/>
                <w:sz w:val="22"/>
                <w:szCs w:val="22"/>
              </w:rPr>
            </w:pPr>
            <w:r w:rsidRPr="00581E59">
              <w:rPr>
                <w:rFonts w:ascii="Calibri" w:hAnsi="Calibri" w:cs="Calibri"/>
                <w:sz w:val="22"/>
                <w:szCs w:val="22"/>
              </w:rPr>
              <w:t>100 000,00 zł</w:t>
            </w:r>
          </w:p>
        </w:tc>
      </w:tr>
      <w:tr w:rsidR="009752CF" w:rsidTr="009C1D86">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Pr="00581E59" w:rsidRDefault="009752CF" w:rsidP="009E6DA0">
            <w:pPr>
              <w:pStyle w:val="NormalnyWeb2"/>
              <w:spacing w:before="0" w:after="0" w:line="204" w:lineRule="auto"/>
              <w:jc w:val="center"/>
              <w:rPr>
                <w:rFonts w:asciiTheme="minorHAnsi" w:hAnsiTheme="minorHAnsi"/>
                <w:b/>
                <w:bCs/>
                <w:color w:val="auto"/>
                <w:sz w:val="20"/>
                <w:szCs w:val="20"/>
              </w:rPr>
            </w:pPr>
            <w:r w:rsidRPr="00581E59">
              <w:rPr>
                <w:rFonts w:asciiTheme="minorHAnsi" w:hAnsiTheme="minorHAnsi"/>
                <w:b/>
                <w:bCs/>
                <w:color w:val="auto"/>
                <w:sz w:val="20"/>
                <w:szCs w:val="20"/>
              </w:rPr>
              <w:t>167</w:t>
            </w:r>
          </w:p>
        </w:tc>
        <w:tc>
          <w:tcPr>
            <w:tcW w:w="166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tcPr>
          <w:p w:rsidR="009752CF" w:rsidRPr="00581E59" w:rsidRDefault="009752CF" w:rsidP="009E6DA0">
            <w:pPr>
              <w:jc w:val="right"/>
              <w:rPr>
                <w:rFonts w:ascii="Calibri" w:hAnsi="Calibri" w:cs="Calibri"/>
                <w:sz w:val="22"/>
                <w:szCs w:val="22"/>
              </w:rPr>
            </w:pPr>
            <w:r w:rsidRPr="00581E59">
              <w:rPr>
                <w:rFonts w:ascii="Calibri" w:hAnsi="Calibri" w:cs="Calibri"/>
                <w:sz w:val="22"/>
                <w:szCs w:val="22"/>
              </w:rPr>
              <w:t>0,00 zł</w:t>
            </w:r>
          </w:p>
        </w:tc>
        <w:tc>
          <w:tcPr>
            <w:tcW w:w="1682"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pStyle w:val="NormalnyWeb2"/>
              <w:spacing w:before="0" w:after="0" w:line="204" w:lineRule="auto"/>
              <w:jc w:val="right"/>
              <w:rPr>
                <w:rFonts w:cs="Calibri"/>
                <w:color w:val="auto"/>
              </w:rPr>
            </w:pPr>
            <w:r w:rsidRPr="00581E59">
              <w:rPr>
                <w:rFonts w:cs="Calibri"/>
                <w:color w:val="auto"/>
              </w:rPr>
              <w:t>15 000,00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pStyle w:val="NormalnyWeb2"/>
              <w:spacing w:before="0" w:after="0" w:line="204" w:lineRule="auto"/>
              <w:jc w:val="right"/>
              <w:rPr>
                <w:rFonts w:cs="Calibri"/>
                <w:color w:val="auto"/>
              </w:rPr>
            </w:pPr>
            <w:r w:rsidRPr="00581E59">
              <w:rPr>
                <w:rFonts w:cs="Calibri"/>
                <w:color w:val="auto"/>
              </w:rPr>
              <w:t>85 000,00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pStyle w:val="NormalnyWeb2"/>
              <w:spacing w:before="0" w:after="0" w:line="204" w:lineRule="auto"/>
              <w:jc w:val="right"/>
              <w:rPr>
                <w:rFonts w:cs="Calibri"/>
                <w:color w:val="auto"/>
              </w:rPr>
            </w:pPr>
            <w:r w:rsidRPr="00581E59">
              <w:rPr>
                <w:rFonts w:cs="Calibri"/>
                <w:color w:val="auto"/>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jc w:val="right"/>
              <w:rPr>
                <w:rFonts w:ascii="Calibri" w:hAnsi="Calibri" w:cs="Calibri"/>
                <w:sz w:val="22"/>
                <w:szCs w:val="22"/>
              </w:rPr>
            </w:pPr>
            <w:r w:rsidRPr="00581E59">
              <w:rPr>
                <w:rFonts w:ascii="Calibri" w:hAnsi="Calibri" w:cs="Calibri"/>
                <w:sz w:val="22"/>
                <w:szCs w:val="22"/>
              </w:rPr>
              <w:t>100 000,00 zł</w:t>
            </w:r>
          </w:p>
        </w:tc>
      </w:tr>
      <w:tr w:rsidR="009752CF" w:rsidTr="009C1D86">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Pr="00581E59" w:rsidRDefault="009752CF" w:rsidP="009E6DA0">
            <w:pPr>
              <w:pStyle w:val="NormalnyWeb2"/>
              <w:spacing w:before="0" w:after="0" w:line="204" w:lineRule="auto"/>
              <w:jc w:val="center"/>
              <w:rPr>
                <w:rFonts w:asciiTheme="minorHAnsi" w:hAnsiTheme="minorHAnsi"/>
                <w:b/>
                <w:bCs/>
                <w:color w:val="auto"/>
                <w:sz w:val="20"/>
                <w:szCs w:val="20"/>
              </w:rPr>
            </w:pPr>
            <w:r w:rsidRPr="00581E59">
              <w:rPr>
                <w:rFonts w:asciiTheme="minorHAnsi" w:hAnsiTheme="minorHAnsi"/>
                <w:b/>
                <w:bCs/>
                <w:color w:val="auto"/>
                <w:sz w:val="20"/>
                <w:szCs w:val="20"/>
              </w:rPr>
              <w:t>168</w:t>
            </w:r>
          </w:p>
        </w:tc>
        <w:tc>
          <w:tcPr>
            <w:tcW w:w="166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tcPr>
          <w:p w:rsidR="009752CF" w:rsidRPr="00581E59" w:rsidRDefault="009752CF" w:rsidP="009E6DA0">
            <w:pPr>
              <w:jc w:val="right"/>
              <w:rPr>
                <w:rFonts w:ascii="Calibri" w:hAnsi="Calibri" w:cs="Calibri"/>
                <w:sz w:val="22"/>
                <w:szCs w:val="22"/>
              </w:rPr>
            </w:pPr>
            <w:r w:rsidRPr="00581E59">
              <w:rPr>
                <w:rFonts w:ascii="Calibri" w:hAnsi="Calibri" w:cs="Calibri"/>
                <w:sz w:val="22"/>
                <w:szCs w:val="22"/>
              </w:rPr>
              <w:t>0,00 zł</w:t>
            </w:r>
          </w:p>
        </w:tc>
        <w:tc>
          <w:tcPr>
            <w:tcW w:w="1682"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pStyle w:val="NormalnyWeb2"/>
              <w:spacing w:before="0" w:after="0" w:line="204" w:lineRule="auto"/>
              <w:jc w:val="right"/>
              <w:rPr>
                <w:rFonts w:cs="Calibri"/>
                <w:color w:val="auto"/>
              </w:rPr>
            </w:pPr>
            <w:r w:rsidRPr="00581E59">
              <w:rPr>
                <w:rFonts w:cs="Calibri"/>
                <w:color w:val="auto"/>
              </w:rPr>
              <w:t>15 000,00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pStyle w:val="NormalnyWeb2"/>
              <w:spacing w:before="0" w:after="0" w:line="204" w:lineRule="auto"/>
              <w:jc w:val="right"/>
              <w:rPr>
                <w:rFonts w:cs="Calibri"/>
                <w:color w:val="auto"/>
              </w:rPr>
            </w:pPr>
            <w:r w:rsidRPr="00581E59">
              <w:rPr>
                <w:rFonts w:cs="Calibri"/>
                <w:color w:val="auto"/>
              </w:rPr>
              <w:t>85 000,00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pStyle w:val="NormalnyWeb2"/>
              <w:spacing w:before="0" w:after="0" w:line="204" w:lineRule="auto"/>
              <w:jc w:val="right"/>
              <w:rPr>
                <w:rFonts w:cs="Calibri"/>
                <w:color w:val="auto"/>
              </w:rPr>
            </w:pPr>
            <w:r w:rsidRPr="00581E59">
              <w:rPr>
                <w:rFonts w:cs="Calibri"/>
                <w:color w:val="auto"/>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jc w:val="right"/>
              <w:rPr>
                <w:rFonts w:ascii="Calibri" w:hAnsi="Calibri" w:cs="Calibri"/>
                <w:sz w:val="22"/>
                <w:szCs w:val="22"/>
              </w:rPr>
            </w:pPr>
            <w:r w:rsidRPr="00581E59">
              <w:rPr>
                <w:rFonts w:ascii="Calibri" w:hAnsi="Calibri" w:cs="Calibri"/>
                <w:sz w:val="22"/>
                <w:szCs w:val="22"/>
              </w:rPr>
              <w:t>100 000,00 zł</w:t>
            </w:r>
          </w:p>
        </w:tc>
      </w:tr>
      <w:tr w:rsidR="009752CF" w:rsidTr="009C1D86">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Pr="00581E59" w:rsidRDefault="009752CF" w:rsidP="009E6DA0">
            <w:pPr>
              <w:pStyle w:val="NormalnyWeb2"/>
              <w:spacing w:before="0" w:after="0" w:line="204" w:lineRule="auto"/>
              <w:jc w:val="center"/>
              <w:rPr>
                <w:rFonts w:asciiTheme="minorHAnsi" w:hAnsiTheme="minorHAnsi"/>
                <w:b/>
                <w:bCs/>
                <w:color w:val="auto"/>
                <w:sz w:val="20"/>
                <w:szCs w:val="20"/>
              </w:rPr>
            </w:pPr>
            <w:r w:rsidRPr="00581E59">
              <w:rPr>
                <w:rFonts w:asciiTheme="minorHAnsi" w:hAnsiTheme="minorHAnsi"/>
                <w:b/>
                <w:bCs/>
                <w:color w:val="auto"/>
                <w:sz w:val="20"/>
                <w:szCs w:val="20"/>
              </w:rPr>
              <w:t>169</w:t>
            </w:r>
          </w:p>
        </w:tc>
        <w:tc>
          <w:tcPr>
            <w:tcW w:w="166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tcPr>
          <w:p w:rsidR="009752CF" w:rsidRPr="00581E59" w:rsidRDefault="009752CF" w:rsidP="009E6DA0">
            <w:pPr>
              <w:jc w:val="right"/>
              <w:rPr>
                <w:rFonts w:ascii="Calibri" w:hAnsi="Calibri" w:cs="Calibri"/>
                <w:sz w:val="22"/>
                <w:szCs w:val="22"/>
              </w:rPr>
            </w:pPr>
            <w:r w:rsidRPr="00581E59">
              <w:rPr>
                <w:rFonts w:ascii="Calibri" w:hAnsi="Calibri" w:cs="Calibri"/>
                <w:sz w:val="22"/>
                <w:szCs w:val="22"/>
              </w:rPr>
              <w:t>0,00 zł</w:t>
            </w:r>
          </w:p>
        </w:tc>
        <w:tc>
          <w:tcPr>
            <w:tcW w:w="1682"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pStyle w:val="NormalnyWeb2"/>
              <w:spacing w:before="0" w:after="0" w:line="204" w:lineRule="auto"/>
              <w:jc w:val="right"/>
              <w:rPr>
                <w:rFonts w:cs="Calibri"/>
                <w:color w:val="auto"/>
              </w:rPr>
            </w:pPr>
            <w:r w:rsidRPr="00581E59">
              <w:rPr>
                <w:rFonts w:cs="Calibri"/>
                <w:color w:val="auto"/>
              </w:rPr>
              <w:t>15 000,00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pStyle w:val="NormalnyWeb2"/>
              <w:spacing w:before="0" w:after="0" w:line="204" w:lineRule="auto"/>
              <w:jc w:val="right"/>
              <w:rPr>
                <w:rFonts w:cs="Calibri"/>
                <w:color w:val="auto"/>
              </w:rPr>
            </w:pPr>
            <w:r w:rsidRPr="00581E59">
              <w:rPr>
                <w:rFonts w:cs="Calibri"/>
                <w:color w:val="auto"/>
              </w:rPr>
              <w:t>85 000,00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pStyle w:val="NormalnyWeb2"/>
              <w:spacing w:before="0" w:after="0" w:line="204" w:lineRule="auto"/>
              <w:jc w:val="right"/>
              <w:rPr>
                <w:rFonts w:cs="Calibri"/>
                <w:color w:val="auto"/>
              </w:rPr>
            </w:pPr>
            <w:r w:rsidRPr="00581E59">
              <w:rPr>
                <w:rFonts w:cs="Calibri"/>
                <w:color w:val="auto"/>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jc w:val="right"/>
              <w:rPr>
                <w:rFonts w:ascii="Calibri" w:hAnsi="Calibri" w:cs="Calibri"/>
                <w:sz w:val="22"/>
                <w:szCs w:val="22"/>
              </w:rPr>
            </w:pPr>
            <w:r w:rsidRPr="00581E59">
              <w:rPr>
                <w:rFonts w:ascii="Calibri" w:hAnsi="Calibri" w:cs="Calibri"/>
                <w:sz w:val="22"/>
                <w:szCs w:val="22"/>
              </w:rPr>
              <w:t>100 000,00 zł</w:t>
            </w:r>
          </w:p>
        </w:tc>
      </w:tr>
      <w:tr w:rsidR="009752CF" w:rsidTr="009C1D86">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Pr="00581E59" w:rsidRDefault="009752CF" w:rsidP="009E6DA0">
            <w:pPr>
              <w:pStyle w:val="NormalnyWeb2"/>
              <w:spacing w:before="0" w:after="0" w:line="204" w:lineRule="auto"/>
              <w:jc w:val="center"/>
              <w:rPr>
                <w:rFonts w:asciiTheme="minorHAnsi" w:hAnsiTheme="minorHAnsi"/>
                <w:b/>
                <w:bCs/>
                <w:color w:val="auto"/>
                <w:sz w:val="20"/>
                <w:szCs w:val="20"/>
              </w:rPr>
            </w:pPr>
            <w:r w:rsidRPr="00581E59">
              <w:rPr>
                <w:rFonts w:asciiTheme="minorHAnsi" w:hAnsiTheme="minorHAnsi"/>
                <w:b/>
                <w:bCs/>
                <w:color w:val="auto"/>
                <w:sz w:val="20"/>
                <w:szCs w:val="20"/>
              </w:rPr>
              <w:t>170</w:t>
            </w:r>
          </w:p>
        </w:tc>
        <w:tc>
          <w:tcPr>
            <w:tcW w:w="166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tcPr>
          <w:p w:rsidR="009752CF" w:rsidRPr="00581E59" w:rsidRDefault="009752CF" w:rsidP="009E6DA0">
            <w:pPr>
              <w:jc w:val="right"/>
              <w:rPr>
                <w:rFonts w:ascii="Calibri" w:hAnsi="Calibri" w:cs="Calibri"/>
                <w:sz w:val="22"/>
                <w:szCs w:val="22"/>
              </w:rPr>
            </w:pPr>
            <w:r w:rsidRPr="00581E59">
              <w:rPr>
                <w:rFonts w:ascii="Calibri" w:hAnsi="Calibri" w:cs="Calibri"/>
                <w:sz w:val="22"/>
                <w:szCs w:val="22"/>
              </w:rPr>
              <w:t>0,00 zł</w:t>
            </w:r>
          </w:p>
        </w:tc>
        <w:tc>
          <w:tcPr>
            <w:tcW w:w="1682"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pStyle w:val="NormalnyWeb2"/>
              <w:spacing w:before="0" w:after="0" w:line="204" w:lineRule="auto"/>
              <w:jc w:val="right"/>
              <w:rPr>
                <w:rFonts w:cs="Calibri"/>
                <w:color w:val="auto"/>
              </w:rPr>
            </w:pPr>
            <w:r w:rsidRPr="00581E59">
              <w:rPr>
                <w:rFonts w:cs="Calibri"/>
                <w:color w:val="auto"/>
              </w:rPr>
              <w:t>12 750,00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pStyle w:val="NormalnyWeb2"/>
              <w:spacing w:before="0" w:after="0" w:line="204" w:lineRule="auto"/>
              <w:jc w:val="right"/>
              <w:rPr>
                <w:rFonts w:cs="Calibri"/>
                <w:color w:val="auto"/>
              </w:rPr>
            </w:pPr>
            <w:r w:rsidRPr="00581E59">
              <w:rPr>
                <w:rFonts w:cs="Calibri"/>
                <w:color w:val="auto"/>
              </w:rPr>
              <w:t>72 250,00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pStyle w:val="NormalnyWeb2"/>
              <w:spacing w:before="0" w:after="0" w:line="204" w:lineRule="auto"/>
              <w:jc w:val="right"/>
              <w:rPr>
                <w:rFonts w:cs="Calibri"/>
                <w:color w:val="auto"/>
              </w:rPr>
            </w:pPr>
            <w:r w:rsidRPr="00581E59">
              <w:rPr>
                <w:rFonts w:cs="Calibri"/>
                <w:color w:val="auto"/>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jc w:val="right"/>
              <w:rPr>
                <w:rFonts w:ascii="Calibri" w:hAnsi="Calibri" w:cs="Calibri"/>
                <w:sz w:val="22"/>
                <w:szCs w:val="22"/>
              </w:rPr>
            </w:pPr>
            <w:r w:rsidRPr="00581E59">
              <w:rPr>
                <w:rFonts w:ascii="Calibri" w:hAnsi="Calibri" w:cs="Calibri"/>
                <w:sz w:val="22"/>
                <w:szCs w:val="22"/>
              </w:rPr>
              <w:t>85 000,00 zł</w:t>
            </w:r>
          </w:p>
        </w:tc>
      </w:tr>
      <w:tr w:rsidR="009752CF" w:rsidTr="009C1D86">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Pr="00581E59" w:rsidRDefault="009752CF" w:rsidP="009E6DA0">
            <w:pPr>
              <w:pStyle w:val="NormalnyWeb2"/>
              <w:spacing w:before="0" w:after="0" w:line="204" w:lineRule="auto"/>
              <w:jc w:val="center"/>
              <w:rPr>
                <w:rFonts w:asciiTheme="minorHAnsi" w:hAnsiTheme="minorHAnsi"/>
                <w:b/>
                <w:bCs/>
                <w:color w:val="auto"/>
                <w:sz w:val="20"/>
                <w:szCs w:val="20"/>
              </w:rPr>
            </w:pPr>
            <w:r w:rsidRPr="00581E59">
              <w:rPr>
                <w:rFonts w:asciiTheme="minorHAnsi" w:hAnsiTheme="minorHAnsi"/>
                <w:b/>
                <w:bCs/>
                <w:color w:val="auto"/>
                <w:sz w:val="20"/>
                <w:szCs w:val="20"/>
              </w:rPr>
              <w:t>171</w:t>
            </w:r>
          </w:p>
        </w:tc>
        <w:tc>
          <w:tcPr>
            <w:tcW w:w="166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tcPr>
          <w:p w:rsidR="009752CF" w:rsidRPr="00581E59" w:rsidRDefault="009752CF" w:rsidP="009E6DA0">
            <w:pPr>
              <w:jc w:val="right"/>
              <w:rPr>
                <w:rFonts w:ascii="Calibri" w:hAnsi="Calibri" w:cs="Calibri"/>
                <w:sz w:val="22"/>
                <w:szCs w:val="22"/>
              </w:rPr>
            </w:pPr>
            <w:r w:rsidRPr="00581E59">
              <w:rPr>
                <w:rFonts w:ascii="Calibri" w:hAnsi="Calibri" w:cs="Calibri"/>
                <w:sz w:val="22"/>
                <w:szCs w:val="22"/>
              </w:rPr>
              <w:t>0,00 zł</w:t>
            </w:r>
          </w:p>
        </w:tc>
        <w:tc>
          <w:tcPr>
            <w:tcW w:w="1682"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pStyle w:val="NormalnyWeb2"/>
              <w:spacing w:before="0" w:after="0" w:line="204" w:lineRule="auto"/>
              <w:jc w:val="right"/>
              <w:rPr>
                <w:rFonts w:cs="Calibri"/>
                <w:color w:val="auto"/>
              </w:rPr>
            </w:pPr>
            <w:r w:rsidRPr="00581E59">
              <w:rPr>
                <w:rFonts w:cs="Calibri"/>
                <w:color w:val="auto"/>
              </w:rPr>
              <w:t>7 800,00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pStyle w:val="NormalnyWeb2"/>
              <w:spacing w:before="0" w:after="0" w:line="204" w:lineRule="auto"/>
              <w:jc w:val="right"/>
              <w:rPr>
                <w:rFonts w:cs="Calibri"/>
                <w:color w:val="auto"/>
              </w:rPr>
            </w:pPr>
            <w:r w:rsidRPr="00581E59">
              <w:rPr>
                <w:rFonts w:cs="Calibri"/>
                <w:color w:val="auto"/>
              </w:rPr>
              <w:t>44 200,00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pStyle w:val="NormalnyWeb2"/>
              <w:spacing w:before="0" w:after="0" w:line="204" w:lineRule="auto"/>
              <w:jc w:val="right"/>
              <w:rPr>
                <w:rFonts w:cs="Calibri"/>
                <w:color w:val="auto"/>
              </w:rPr>
            </w:pPr>
            <w:r w:rsidRPr="00581E59">
              <w:rPr>
                <w:rFonts w:cs="Calibri"/>
                <w:color w:val="auto"/>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jc w:val="right"/>
              <w:rPr>
                <w:rFonts w:ascii="Calibri" w:hAnsi="Calibri" w:cs="Calibri"/>
                <w:sz w:val="22"/>
                <w:szCs w:val="22"/>
              </w:rPr>
            </w:pPr>
            <w:r w:rsidRPr="00581E59">
              <w:rPr>
                <w:rFonts w:ascii="Calibri" w:hAnsi="Calibri" w:cs="Calibri"/>
                <w:sz w:val="22"/>
                <w:szCs w:val="22"/>
              </w:rPr>
              <w:t>52 000,00 zł</w:t>
            </w:r>
          </w:p>
        </w:tc>
      </w:tr>
      <w:tr w:rsidR="009752CF" w:rsidTr="009C1D86">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Pr="00581E59" w:rsidRDefault="009752CF" w:rsidP="009E6DA0">
            <w:pPr>
              <w:pStyle w:val="NormalnyWeb2"/>
              <w:spacing w:before="0" w:after="0" w:line="204" w:lineRule="auto"/>
              <w:jc w:val="center"/>
              <w:rPr>
                <w:rFonts w:asciiTheme="minorHAnsi" w:hAnsiTheme="minorHAnsi"/>
                <w:b/>
                <w:bCs/>
                <w:color w:val="auto"/>
                <w:sz w:val="20"/>
                <w:szCs w:val="20"/>
              </w:rPr>
            </w:pPr>
            <w:r w:rsidRPr="00581E59">
              <w:rPr>
                <w:rFonts w:asciiTheme="minorHAnsi" w:hAnsiTheme="minorHAnsi"/>
                <w:b/>
                <w:bCs/>
                <w:color w:val="auto"/>
                <w:sz w:val="20"/>
                <w:szCs w:val="20"/>
              </w:rPr>
              <w:t>172</w:t>
            </w:r>
          </w:p>
        </w:tc>
        <w:tc>
          <w:tcPr>
            <w:tcW w:w="166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tcPr>
          <w:p w:rsidR="009752CF" w:rsidRPr="00581E59" w:rsidRDefault="009752CF" w:rsidP="009E6DA0">
            <w:pPr>
              <w:jc w:val="right"/>
              <w:rPr>
                <w:rFonts w:ascii="Calibri" w:hAnsi="Calibri" w:cs="Calibri"/>
                <w:sz w:val="22"/>
                <w:szCs w:val="22"/>
              </w:rPr>
            </w:pPr>
            <w:r w:rsidRPr="00581E59">
              <w:rPr>
                <w:rFonts w:ascii="Calibri" w:hAnsi="Calibri" w:cs="Calibri"/>
                <w:sz w:val="22"/>
                <w:szCs w:val="22"/>
              </w:rPr>
              <w:t>0,00 zł</w:t>
            </w:r>
          </w:p>
        </w:tc>
        <w:tc>
          <w:tcPr>
            <w:tcW w:w="1682"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pStyle w:val="NormalnyWeb2"/>
              <w:spacing w:before="0" w:after="0" w:line="204" w:lineRule="auto"/>
              <w:jc w:val="right"/>
              <w:rPr>
                <w:rFonts w:cs="Calibri"/>
                <w:color w:val="auto"/>
              </w:rPr>
            </w:pPr>
            <w:r w:rsidRPr="00581E59">
              <w:rPr>
                <w:rFonts w:cs="Calibri"/>
                <w:color w:val="auto"/>
              </w:rPr>
              <w:t>12 300,00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pStyle w:val="NormalnyWeb2"/>
              <w:spacing w:before="0" w:after="0" w:line="204" w:lineRule="auto"/>
              <w:jc w:val="right"/>
              <w:rPr>
                <w:rFonts w:cs="Calibri"/>
                <w:color w:val="auto"/>
              </w:rPr>
            </w:pPr>
            <w:r w:rsidRPr="00581E59">
              <w:rPr>
                <w:rFonts w:cs="Calibri"/>
                <w:color w:val="auto"/>
              </w:rPr>
              <w:t>69 700,00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pStyle w:val="NormalnyWeb2"/>
              <w:spacing w:before="0" w:after="0" w:line="204" w:lineRule="auto"/>
              <w:jc w:val="right"/>
              <w:rPr>
                <w:rFonts w:cs="Calibri"/>
                <w:color w:val="auto"/>
              </w:rPr>
            </w:pPr>
            <w:r w:rsidRPr="00581E59">
              <w:rPr>
                <w:rFonts w:cs="Calibri"/>
                <w:color w:val="auto"/>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jc w:val="right"/>
              <w:rPr>
                <w:rFonts w:ascii="Calibri" w:hAnsi="Calibri" w:cs="Calibri"/>
                <w:sz w:val="22"/>
                <w:szCs w:val="22"/>
              </w:rPr>
            </w:pPr>
            <w:r w:rsidRPr="00581E59">
              <w:rPr>
                <w:rFonts w:ascii="Calibri" w:hAnsi="Calibri" w:cs="Calibri"/>
                <w:sz w:val="22"/>
                <w:szCs w:val="22"/>
              </w:rPr>
              <w:t>82 000,00 zł</w:t>
            </w:r>
          </w:p>
        </w:tc>
      </w:tr>
      <w:tr w:rsidR="009752CF" w:rsidTr="009C1D86">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Pr="00581E59" w:rsidRDefault="009752CF" w:rsidP="009E6DA0">
            <w:pPr>
              <w:pStyle w:val="NormalnyWeb2"/>
              <w:spacing w:before="0" w:after="0" w:line="204" w:lineRule="auto"/>
              <w:jc w:val="center"/>
              <w:rPr>
                <w:rFonts w:asciiTheme="minorHAnsi" w:hAnsiTheme="minorHAnsi"/>
                <w:b/>
                <w:bCs/>
                <w:color w:val="auto"/>
                <w:sz w:val="20"/>
                <w:szCs w:val="20"/>
              </w:rPr>
            </w:pPr>
            <w:r w:rsidRPr="00581E59">
              <w:rPr>
                <w:rFonts w:asciiTheme="minorHAnsi" w:hAnsiTheme="minorHAnsi"/>
                <w:b/>
                <w:bCs/>
                <w:color w:val="auto"/>
                <w:sz w:val="20"/>
                <w:szCs w:val="20"/>
              </w:rPr>
              <w:t>173</w:t>
            </w:r>
          </w:p>
        </w:tc>
        <w:tc>
          <w:tcPr>
            <w:tcW w:w="166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tcPr>
          <w:p w:rsidR="009752CF" w:rsidRPr="00581E59" w:rsidRDefault="009752CF" w:rsidP="009E6DA0">
            <w:pPr>
              <w:jc w:val="right"/>
              <w:rPr>
                <w:rFonts w:ascii="Calibri" w:hAnsi="Calibri" w:cs="Calibri"/>
                <w:sz w:val="22"/>
                <w:szCs w:val="22"/>
              </w:rPr>
            </w:pPr>
            <w:r w:rsidRPr="00581E59">
              <w:rPr>
                <w:rFonts w:ascii="Calibri" w:hAnsi="Calibri" w:cs="Calibri"/>
                <w:sz w:val="22"/>
                <w:szCs w:val="22"/>
              </w:rPr>
              <w:t>0,00 zł</w:t>
            </w:r>
          </w:p>
        </w:tc>
        <w:tc>
          <w:tcPr>
            <w:tcW w:w="1682"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Pr="00581E59" w:rsidRDefault="009752CF" w:rsidP="009E6DA0">
            <w:pPr>
              <w:pStyle w:val="NormalnyWeb2"/>
              <w:spacing w:before="0" w:after="0" w:line="204" w:lineRule="auto"/>
              <w:jc w:val="right"/>
              <w:rPr>
                <w:rFonts w:cs="Calibri"/>
                <w:color w:val="auto"/>
              </w:rPr>
            </w:pPr>
            <w:r w:rsidRPr="00581E59">
              <w:rPr>
                <w:rFonts w:cs="Calibri"/>
                <w:color w:val="auto"/>
              </w:rPr>
              <w:t>22 500,00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Pr="00581E59" w:rsidRDefault="009752CF" w:rsidP="009E6DA0">
            <w:pPr>
              <w:pStyle w:val="NormalnyWeb2"/>
              <w:spacing w:before="0" w:after="0" w:line="204" w:lineRule="auto"/>
              <w:jc w:val="right"/>
              <w:rPr>
                <w:rFonts w:cs="Calibri"/>
                <w:color w:val="auto"/>
              </w:rPr>
            </w:pPr>
            <w:r w:rsidRPr="00581E59">
              <w:rPr>
                <w:rFonts w:cs="Calibri"/>
                <w:color w:val="auto"/>
              </w:rPr>
              <w:t>127 500,00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pStyle w:val="NormalnyWeb2"/>
              <w:spacing w:before="0" w:after="0" w:line="204" w:lineRule="auto"/>
              <w:jc w:val="right"/>
              <w:rPr>
                <w:rFonts w:cs="Calibri"/>
                <w:color w:val="auto"/>
              </w:rPr>
            </w:pPr>
            <w:r w:rsidRPr="00581E59">
              <w:rPr>
                <w:rFonts w:cs="Calibri"/>
                <w:color w:val="auto"/>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jc w:val="right"/>
              <w:rPr>
                <w:rFonts w:ascii="Calibri" w:hAnsi="Calibri" w:cs="Calibri"/>
                <w:sz w:val="22"/>
                <w:szCs w:val="22"/>
              </w:rPr>
            </w:pPr>
            <w:r w:rsidRPr="00581E59">
              <w:rPr>
                <w:rFonts w:ascii="Calibri" w:hAnsi="Calibri" w:cs="Calibri"/>
                <w:sz w:val="22"/>
                <w:szCs w:val="22"/>
              </w:rPr>
              <w:t>150 000,00 zł</w:t>
            </w:r>
          </w:p>
        </w:tc>
      </w:tr>
      <w:tr w:rsidR="009752CF" w:rsidTr="009C1D86">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Pr="00581E59" w:rsidRDefault="009752CF" w:rsidP="009E6DA0">
            <w:pPr>
              <w:pStyle w:val="NormalnyWeb2"/>
              <w:spacing w:before="0" w:after="0" w:line="204" w:lineRule="auto"/>
              <w:jc w:val="center"/>
              <w:rPr>
                <w:rFonts w:asciiTheme="minorHAnsi" w:hAnsiTheme="minorHAnsi"/>
                <w:b/>
                <w:bCs/>
                <w:color w:val="auto"/>
                <w:sz w:val="20"/>
                <w:szCs w:val="20"/>
              </w:rPr>
            </w:pPr>
            <w:r w:rsidRPr="00581E59">
              <w:rPr>
                <w:rFonts w:asciiTheme="minorHAnsi" w:hAnsiTheme="minorHAnsi"/>
                <w:b/>
                <w:bCs/>
                <w:color w:val="auto"/>
                <w:sz w:val="20"/>
                <w:szCs w:val="20"/>
              </w:rPr>
              <w:t>174</w:t>
            </w:r>
          </w:p>
        </w:tc>
        <w:tc>
          <w:tcPr>
            <w:tcW w:w="166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tcPr>
          <w:p w:rsidR="009752CF" w:rsidRPr="00581E59" w:rsidRDefault="009752CF" w:rsidP="009E6DA0">
            <w:pPr>
              <w:jc w:val="right"/>
              <w:rPr>
                <w:rFonts w:ascii="Calibri" w:hAnsi="Calibri" w:cs="Calibri"/>
                <w:sz w:val="22"/>
                <w:szCs w:val="22"/>
              </w:rPr>
            </w:pPr>
            <w:r w:rsidRPr="00581E59">
              <w:rPr>
                <w:rFonts w:ascii="Calibri" w:hAnsi="Calibri" w:cs="Calibri"/>
                <w:sz w:val="22"/>
                <w:szCs w:val="22"/>
              </w:rPr>
              <w:t>0,00 zł</w:t>
            </w:r>
          </w:p>
        </w:tc>
        <w:tc>
          <w:tcPr>
            <w:tcW w:w="1682"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Pr="00581E59" w:rsidRDefault="009752CF" w:rsidP="009E6DA0">
            <w:pPr>
              <w:pStyle w:val="NormalnyWeb2"/>
              <w:spacing w:before="0" w:after="0" w:line="204" w:lineRule="auto"/>
              <w:jc w:val="right"/>
              <w:rPr>
                <w:rFonts w:cs="Calibri"/>
                <w:color w:val="auto"/>
              </w:rPr>
            </w:pPr>
            <w:r w:rsidRPr="00581E59">
              <w:rPr>
                <w:rFonts w:cs="Calibri"/>
                <w:color w:val="auto"/>
              </w:rPr>
              <w:t>7 500,00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Pr="00581E59" w:rsidRDefault="009752CF" w:rsidP="009E6DA0">
            <w:pPr>
              <w:pStyle w:val="NormalnyWeb2"/>
              <w:spacing w:before="0" w:after="0" w:line="204" w:lineRule="auto"/>
              <w:jc w:val="right"/>
              <w:rPr>
                <w:rFonts w:cs="Calibri"/>
                <w:color w:val="auto"/>
              </w:rPr>
            </w:pPr>
            <w:r w:rsidRPr="00581E59">
              <w:rPr>
                <w:rFonts w:cs="Calibri"/>
                <w:color w:val="auto"/>
              </w:rPr>
              <w:t>42 500,00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pStyle w:val="NormalnyWeb2"/>
              <w:spacing w:before="0" w:after="0" w:line="204" w:lineRule="auto"/>
              <w:jc w:val="right"/>
              <w:rPr>
                <w:rFonts w:cs="Calibri"/>
                <w:color w:val="auto"/>
              </w:rPr>
            </w:pPr>
            <w:r w:rsidRPr="00581E59">
              <w:rPr>
                <w:rFonts w:cs="Calibri"/>
                <w:color w:val="auto"/>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9E6DA0">
            <w:pPr>
              <w:jc w:val="right"/>
              <w:rPr>
                <w:rFonts w:ascii="Calibri" w:hAnsi="Calibri" w:cs="Calibri"/>
                <w:sz w:val="22"/>
                <w:szCs w:val="22"/>
              </w:rPr>
            </w:pPr>
            <w:r w:rsidRPr="00581E59">
              <w:rPr>
                <w:rFonts w:ascii="Calibri" w:hAnsi="Calibri" w:cs="Calibri"/>
                <w:sz w:val="22"/>
                <w:szCs w:val="22"/>
              </w:rPr>
              <w:t>50 000,00 zł</w:t>
            </w:r>
          </w:p>
        </w:tc>
      </w:tr>
      <w:tr w:rsidR="009752CF" w:rsidTr="009C1D86">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Pr="00581E59" w:rsidRDefault="009752CF" w:rsidP="009E6DA0">
            <w:pPr>
              <w:pStyle w:val="NormalnyWeb2"/>
              <w:spacing w:before="0" w:after="0" w:line="204" w:lineRule="auto"/>
              <w:jc w:val="center"/>
              <w:rPr>
                <w:rFonts w:asciiTheme="minorHAnsi" w:hAnsiTheme="minorHAnsi"/>
                <w:b/>
                <w:bCs/>
                <w:color w:val="auto"/>
                <w:sz w:val="20"/>
                <w:szCs w:val="20"/>
              </w:rPr>
            </w:pPr>
            <w:r w:rsidRPr="00581E59">
              <w:rPr>
                <w:rFonts w:asciiTheme="minorHAnsi" w:hAnsiTheme="minorHAnsi"/>
                <w:b/>
                <w:bCs/>
                <w:color w:val="auto"/>
                <w:sz w:val="20"/>
                <w:szCs w:val="20"/>
              </w:rPr>
              <w:t>175</w:t>
            </w:r>
          </w:p>
        </w:tc>
        <w:tc>
          <w:tcPr>
            <w:tcW w:w="166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tcPr>
          <w:p w:rsidR="009752CF" w:rsidRPr="00581E59" w:rsidRDefault="009752CF" w:rsidP="000039D0">
            <w:pPr>
              <w:jc w:val="right"/>
              <w:rPr>
                <w:rFonts w:ascii="Calibri" w:hAnsi="Calibri" w:cs="Calibri"/>
                <w:sz w:val="22"/>
                <w:szCs w:val="22"/>
              </w:rPr>
            </w:pPr>
            <w:r w:rsidRPr="00581E59">
              <w:rPr>
                <w:rFonts w:ascii="Calibri" w:hAnsi="Calibri" w:cs="Calibri"/>
                <w:sz w:val="22"/>
                <w:szCs w:val="22"/>
              </w:rPr>
              <w:t>0,00 zł</w:t>
            </w:r>
          </w:p>
        </w:tc>
        <w:tc>
          <w:tcPr>
            <w:tcW w:w="1682"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Pr="00581E59" w:rsidRDefault="009752CF" w:rsidP="000039D0">
            <w:pPr>
              <w:pStyle w:val="NormalnyWeb2"/>
              <w:spacing w:before="0" w:after="0" w:line="204" w:lineRule="auto"/>
              <w:jc w:val="right"/>
              <w:rPr>
                <w:rFonts w:cs="Calibri"/>
                <w:color w:val="auto"/>
              </w:rPr>
            </w:pPr>
            <w:r w:rsidRPr="00581E59">
              <w:rPr>
                <w:rFonts w:cs="Calibri"/>
                <w:color w:val="auto"/>
              </w:rPr>
              <w:t>7 500,00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Pr="00581E59" w:rsidRDefault="009752CF" w:rsidP="000039D0">
            <w:pPr>
              <w:pStyle w:val="NormalnyWeb2"/>
              <w:spacing w:before="0" w:after="0" w:line="204" w:lineRule="auto"/>
              <w:jc w:val="right"/>
              <w:rPr>
                <w:rFonts w:cs="Calibri"/>
                <w:color w:val="auto"/>
              </w:rPr>
            </w:pPr>
            <w:r w:rsidRPr="00581E59">
              <w:rPr>
                <w:rFonts w:cs="Calibri"/>
                <w:color w:val="auto"/>
              </w:rPr>
              <w:t>42 500,00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0039D0">
            <w:pPr>
              <w:pStyle w:val="NormalnyWeb2"/>
              <w:spacing w:before="0" w:after="0" w:line="204" w:lineRule="auto"/>
              <w:jc w:val="right"/>
              <w:rPr>
                <w:rFonts w:cs="Calibri"/>
                <w:color w:val="auto"/>
              </w:rPr>
            </w:pPr>
            <w:r w:rsidRPr="00581E59">
              <w:rPr>
                <w:rFonts w:cs="Calibri"/>
                <w:color w:val="auto"/>
              </w:rPr>
              <w:t>0,00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center"/>
          </w:tcPr>
          <w:p w:rsidR="009752CF" w:rsidRPr="00581E59" w:rsidRDefault="009752CF" w:rsidP="000039D0">
            <w:pPr>
              <w:jc w:val="right"/>
              <w:rPr>
                <w:rFonts w:ascii="Calibri" w:hAnsi="Calibri" w:cs="Calibri"/>
                <w:sz w:val="22"/>
                <w:szCs w:val="22"/>
              </w:rPr>
            </w:pPr>
            <w:r w:rsidRPr="00581E59">
              <w:rPr>
                <w:rFonts w:ascii="Calibri" w:hAnsi="Calibri" w:cs="Calibri"/>
                <w:sz w:val="22"/>
                <w:szCs w:val="22"/>
              </w:rPr>
              <w:t>50 000,00 zł</w:t>
            </w:r>
          </w:p>
        </w:tc>
      </w:tr>
      <w:tr w:rsidR="009752CF" w:rsidTr="009C1D86">
        <w:trPr>
          <w:cantSplit/>
          <w:trHeight w:val="105"/>
          <w:jc w:val="center"/>
        </w:trPr>
        <w:tc>
          <w:tcPr>
            <w:tcW w:w="71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Pr="00581E59" w:rsidRDefault="009752CF" w:rsidP="009E6DA0">
            <w:pPr>
              <w:pStyle w:val="NormalnyWeb2"/>
              <w:spacing w:before="40" w:after="40" w:line="204" w:lineRule="auto"/>
              <w:jc w:val="right"/>
              <w:rPr>
                <w:rFonts w:asciiTheme="minorHAnsi" w:hAnsiTheme="minorHAnsi"/>
                <w:b/>
                <w:bCs/>
                <w:color w:val="auto"/>
                <w:sz w:val="20"/>
                <w:szCs w:val="20"/>
              </w:rPr>
            </w:pPr>
            <w:r w:rsidRPr="00581E59">
              <w:rPr>
                <w:rFonts w:asciiTheme="minorHAnsi" w:hAnsiTheme="minorHAnsi"/>
                <w:b/>
                <w:bCs/>
                <w:color w:val="auto"/>
                <w:sz w:val="20"/>
                <w:szCs w:val="20"/>
              </w:rPr>
              <w:t>SUMA</w:t>
            </w:r>
          </w:p>
        </w:tc>
        <w:tc>
          <w:tcPr>
            <w:tcW w:w="1666"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Pr="00581E59" w:rsidRDefault="00085FE6" w:rsidP="009E6DA0">
            <w:pPr>
              <w:pStyle w:val="NormalnyWeb2"/>
              <w:spacing w:before="40" w:after="40" w:line="204" w:lineRule="auto"/>
              <w:jc w:val="right"/>
              <w:rPr>
                <w:rFonts w:asciiTheme="minorHAnsi" w:hAnsiTheme="minorHAnsi"/>
                <w:b/>
                <w:bCs/>
                <w:color w:val="auto"/>
                <w:sz w:val="18"/>
                <w:szCs w:val="18"/>
              </w:rPr>
            </w:pPr>
            <w:r w:rsidRPr="00581E59">
              <w:rPr>
                <w:rFonts w:asciiTheme="minorHAnsi" w:hAnsiTheme="minorHAnsi"/>
                <w:b/>
                <w:bCs/>
                <w:color w:val="auto"/>
                <w:sz w:val="18"/>
                <w:szCs w:val="18"/>
              </w:rPr>
              <w:t>159 961 502,71</w:t>
            </w:r>
            <w:r w:rsidR="00A05EA0" w:rsidRPr="00581E59">
              <w:rPr>
                <w:rFonts w:asciiTheme="minorHAnsi" w:hAnsiTheme="minorHAnsi"/>
                <w:b/>
                <w:bCs/>
                <w:color w:val="auto"/>
                <w:sz w:val="18"/>
                <w:szCs w:val="18"/>
              </w:rPr>
              <w:t xml:space="preserve"> </w:t>
            </w:r>
            <w:r w:rsidR="009752CF" w:rsidRPr="00581E59">
              <w:rPr>
                <w:rFonts w:asciiTheme="minorHAnsi" w:hAnsiTheme="minorHAnsi"/>
                <w:b/>
                <w:bCs/>
                <w:color w:val="auto"/>
                <w:sz w:val="18"/>
                <w:szCs w:val="18"/>
              </w:rPr>
              <w:t xml:space="preserve"> zł</w:t>
            </w:r>
          </w:p>
        </w:tc>
        <w:tc>
          <w:tcPr>
            <w:tcW w:w="1682"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Pr="00581E59" w:rsidRDefault="00A05EA0" w:rsidP="009E6DA0">
            <w:pPr>
              <w:pStyle w:val="NormalnyWeb2"/>
              <w:spacing w:before="40" w:after="40" w:line="204" w:lineRule="auto"/>
              <w:jc w:val="right"/>
              <w:rPr>
                <w:rFonts w:asciiTheme="minorHAnsi" w:hAnsiTheme="minorHAnsi"/>
                <w:b/>
                <w:bCs/>
                <w:color w:val="auto"/>
                <w:sz w:val="18"/>
                <w:szCs w:val="18"/>
              </w:rPr>
            </w:pPr>
            <w:r w:rsidRPr="00581E59">
              <w:rPr>
                <w:rFonts w:asciiTheme="minorHAnsi" w:hAnsiTheme="minorHAnsi"/>
                <w:b/>
                <w:bCs/>
                <w:color w:val="auto"/>
                <w:sz w:val="18"/>
                <w:szCs w:val="18"/>
              </w:rPr>
              <w:t xml:space="preserve">220 960 555,68 </w:t>
            </w:r>
            <w:r w:rsidR="009752CF" w:rsidRPr="00581E59">
              <w:rPr>
                <w:rFonts w:asciiTheme="minorHAnsi" w:hAnsiTheme="minorHAnsi"/>
                <w:b/>
                <w:bCs/>
                <w:color w:val="auto"/>
                <w:sz w:val="18"/>
                <w:szCs w:val="18"/>
              </w:rPr>
              <w:t xml:space="preserve">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Pr="00581E59" w:rsidRDefault="00085FE6" w:rsidP="009E6DA0">
            <w:pPr>
              <w:pStyle w:val="NormalnyWeb2"/>
              <w:spacing w:before="40" w:after="40" w:line="204" w:lineRule="auto"/>
              <w:jc w:val="right"/>
              <w:rPr>
                <w:rFonts w:asciiTheme="minorHAnsi" w:hAnsiTheme="minorHAnsi"/>
                <w:b/>
                <w:bCs/>
                <w:color w:val="auto"/>
                <w:sz w:val="18"/>
                <w:szCs w:val="18"/>
              </w:rPr>
            </w:pPr>
            <w:r w:rsidRPr="00581E59">
              <w:rPr>
                <w:rFonts w:asciiTheme="minorHAnsi" w:hAnsiTheme="minorHAnsi"/>
                <w:b/>
                <w:bCs/>
                <w:color w:val="auto"/>
                <w:sz w:val="18"/>
                <w:szCs w:val="18"/>
              </w:rPr>
              <w:t>878 425 266,85</w:t>
            </w:r>
            <w:r w:rsidR="009752CF" w:rsidRPr="00581E59">
              <w:rPr>
                <w:rFonts w:asciiTheme="minorHAnsi" w:hAnsiTheme="minorHAnsi"/>
                <w:b/>
                <w:bCs/>
                <w:color w:val="auto"/>
                <w:sz w:val="18"/>
                <w:szCs w:val="18"/>
              </w:rPr>
              <w:t xml:space="preserve"> zł</w:t>
            </w:r>
          </w:p>
        </w:tc>
        <w:tc>
          <w:tcPr>
            <w:tcW w:w="1679" w:type="dxa"/>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Pr="00581E59" w:rsidRDefault="00A05EA0" w:rsidP="009E6DA0">
            <w:pPr>
              <w:pStyle w:val="NormalnyWeb2"/>
              <w:spacing w:before="40" w:after="40" w:line="204" w:lineRule="auto"/>
              <w:jc w:val="right"/>
              <w:rPr>
                <w:rFonts w:asciiTheme="minorHAnsi" w:hAnsiTheme="minorHAnsi"/>
                <w:b/>
                <w:bCs/>
                <w:color w:val="auto"/>
                <w:sz w:val="18"/>
                <w:szCs w:val="18"/>
              </w:rPr>
            </w:pPr>
            <w:r w:rsidRPr="00581E59">
              <w:rPr>
                <w:rFonts w:asciiTheme="minorHAnsi" w:hAnsiTheme="minorHAnsi"/>
                <w:b/>
                <w:bCs/>
                <w:color w:val="auto"/>
                <w:sz w:val="18"/>
                <w:szCs w:val="18"/>
              </w:rPr>
              <w:t>377 379 169,74</w:t>
            </w:r>
            <w:r w:rsidR="009752CF" w:rsidRPr="00581E59">
              <w:rPr>
                <w:rFonts w:asciiTheme="minorHAnsi" w:hAnsiTheme="minorHAnsi"/>
                <w:b/>
                <w:bCs/>
                <w:color w:val="auto"/>
                <w:sz w:val="18"/>
                <w:szCs w:val="18"/>
              </w:rPr>
              <w:t xml:space="preserve"> zł</w:t>
            </w:r>
          </w:p>
        </w:tc>
        <w:tc>
          <w:tcPr>
            <w:tcW w:w="1662" w:type="dxa"/>
            <w:gridSpan w:val="2"/>
            <w:tcBorders>
              <w:top w:val="double" w:sz="1" w:space="0" w:color="000000"/>
              <w:left w:val="double" w:sz="1" w:space="0" w:color="000000"/>
              <w:bottom w:val="double" w:sz="1" w:space="0" w:color="000000"/>
              <w:right w:val="double" w:sz="1" w:space="0" w:color="000000"/>
            </w:tcBorders>
            <w:shd w:val="clear" w:color="auto" w:fill="F2F2F2" w:themeFill="background1" w:themeFillShade="F2"/>
            <w:vAlign w:val="bottom"/>
          </w:tcPr>
          <w:p w:rsidR="009752CF" w:rsidRPr="00581E59" w:rsidRDefault="00085FE6" w:rsidP="009E6DA0">
            <w:pPr>
              <w:pStyle w:val="NormalnyWeb2"/>
              <w:spacing w:before="40" w:after="40" w:line="204" w:lineRule="auto"/>
              <w:jc w:val="right"/>
              <w:rPr>
                <w:rFonts w:asciiTheme="minorHAnsi" w:hAnsiTheme="minorHAnsi"/>
                <w:b/>
                <w:bCs/>
                <w:color w:val="auto"/>
                <w:sz w:val="18"/>
                <w:szCs w:val="18"/>
              </w:rPr>
            </w:pPr>
            <w:r w:rsidRPr="00581E59">
              <w:rPr>
                <w:rFonts w:asciiTheme="minorHAnsi" w:hAnsiTheme="minorHAnsi"/>
                <w:b/>
                <w:bCs/>
                <w:color w:val="auto"/>
                <w:sz w:val="18"/>
                <w:szCs w:val="18"/>
              </w:rPr>
              <w:t>1 580 618 497,98</w:t>
            </w:r>
            <w:r w:rsidR="009752CF" w:rsidRPr="00581E59">
              <w:rPr>
                <w:rFonts w:asciiTheme="minorHAnsi" w:hAnsiTheme="minorHAnsi"/>
                <w:b/>
                <w:bCs/>
                <w:color w:val="auto"/>
                <w:sz w:val="18"/>
                <w:szCs w:val="18"/>
              </w:rPr>
              <w:t xml:space="preserve"> zł</w:t>
            </w:r>
          </w:p>
        </w:tc>
      </w:tr>
    </w:tbl>
    <w:p w:rsidR="003E49F7" w:rsidRDefault="00ED3D87" w:rsidP="003E49F7">
      <w:pPr>
        <w:jc w:val="both"/>
        <w:rPr>
          <w:i/>
          <w:sz w:val="18"/>
          <w:szCs w:val="18"/>
        </w:rPr>
      </w:pPr>
      <w:r w:rsidRPr="00F21D41">
        <w:rPr>
          <w:i/>
          <w:sz w:val="18"/>
          <w:szCs w:val="18"/>
        </w:rPr>
        <w:t>Źródło: Opracowanie własne</w:t>
      </w:r>
    </w:p>
    <w:p w:rsidR="00ED3D87" w:rsidRPr="00C63339" w:rsidRDefault="00ED3D87" w:rsidP="00B406AB">
      <w:pPr>
        <w:jc w:val="both"/>
        <w:rPr>
          <w:rFonts w:ascii="Calibri" w:hAnsi="Calibri"/>
          <w:b/>
          <w:szCs w:val="20"/>
          <w:highlight w:val="yellow"/>
        </w:rPr>
      </w:pPr>
    </w:p>
    <w:p w:rsidR="005A6F65" w:rsidRPr="005A6F65" w:rsidRDefault="005A6F65" w:rsidP="009C1D86">
      <w:pPr>
        <w:pStyle w:val="NormalnyWeb"/>
        <w:shd w:val="clear" w:color="auto" w:fill="F2F2F2" w:themeFill="background1" w:themeFillShade="F2"/>
        <w:spacing w:before="0" w:beforeAutospacing="0" w:after="0" w:afterAutospacing="0"/>
        <w:ind w:firstLine="567"/>
        <w:jc w:val="both"/>
        <w:rPr>
          <w:rFonts w:ascii="Calibri" w:hAnsi="Calibri"/>
        </w:rPr>
      </w:pPr>
      <w:r w:rsidRPr="005A6F65">
        <w:rPr>
          <w:rFonts w:ascii="Calibri" w:hAnsi="Calibri"/>
        </w:rPr>
        <w:t xml:space="preserve">Z uwagi na fakt, że Miasto Bytom zostało wskazane w Regionalnym Programie Operacyjnym Województwa Śląskiego na lata 2014-2020, w ramach jednego z pięciu kluczowych Obszarów Strategicznej Interwencji określonych w Umowie Partnerstwa (Miasta i dzielnice miast wymagające rewitalizacji), </w:t>
      </w:r>
      <w:r w:rsidR="00C65871">
        <w:rPr>
          <w:rFonts w:ascii="Calibri" w:hAnsi="Calibri"/>
        </w:rPr>
        <w:t>ok. </w:t>
      </w:r>
      <w:r w:rsidRPr="005A6F65">
        <w:rPr>
          <w:rFonts w:ascii="Calibri" w:hAnsi="Calibri"/>
        </w:rPr>
        <w:t>100</w:t>
      </w:r>
      <w:r w:rsidR="00C65871">
        <w:rPr>
          <w:rFonts w:ascii="Calibri" w:hAnsi="Calibri"/>
        </w:rPr>
        <w:t> </w:t>
      </w:r>
      <w:r w:rsidRPr="005A6F65">
        <w:rPr>
          <w:rFonts w:ascii="Calibri" w:hAnsi="Calibri"/>
        </w:rPr>
        <w:t>milionów euro (w przybli</w:t>
      </w:r>
      <w:r w:rsidR="007F7EED">
        <w:rPr>
          <w:rFonts w:ascii="Calibri" w:hAnsi="Calibri"/>
        </w:rPr>
        <w:t xml:space="preserve">żeniu 400 milionów zł) </w:t>
      </w:r>
      <w:r w:rsidRPr="005A6F65">
        <w:rPr>
          <w:rFonts w:ascii="Calibri" w:hAnsi="Calibri"/>
        </w:rPr>
        <w:t xml:space="preserve">zaangażowanych </w:t>
      </w:r>
      <w:r w:rsidR="007F7EED">
        <w:rPr>
          <w:rFonts w:ascii="Calibri" w:hAnsi="Calibri"/>
        </w:rPr>
        <w:t xml:space="preserve">zostało </w:t>
      </w:r>
      <w:r w:rsidRPr="005A6F65">
        <w:rPr>
          <w:rFonts w:ascii="Calibri" w:hAnsi="Calibri"/>
        </w:rPr>
        <w:t xml:space="preserve">ze środków RPO WSL 2014-2020 na realizację działań rewitalizacyjnych. Biorąc pod uwagę zapisy RPO WSL 2014-2020, zakładające osiągnięcie określonych wartości wskaźników postępu finansowego, produktu oraz rezultatu już w 2018 r., założono intensywne prace nad wdrażaniem działań rewitalizacyjnych niezwłocznie po uchwaleniu Gminnego Programu Rewitalizacji. </w:t>
      </w:r>
    </w:p>
    <w:p w:rsidR="005A6F65" w:rsidRPr="005A6F65" w:rsidRDefault="005A6F65" w:rsidP="009C1D86">
      <w:pPr>
        <w:pStyle w:val="NormalnyWeb"/>
        <w:shd w:val="clear" w:color="auto" w:fill="F2F2F2" w:themeFill="background1" w:themeFillShade="F2"/>
        <w:spacing w:before="0" w:beforeAutospacing="0" w:after="0" w:afterAutospacing="0"/>
        <w:jc w:val="both"/>
        <w:rPr>
          <w:rFonts w:ascii="Calibri" w:hAnsi="Calibri"/>
        </w:rPr>
      </w:pPr>
      <w:r w:rsidRPr="005A6F65">
        <w:rPr>
          <w:rFonts w:ascii="Calibri" w:hAnsi="Calibri"/>
        </w:rPr>
        <w:t>Równolegl</w:t>
      </w:r>
      <w:r w:rsidR="00D55F63">
        <w:rPr>
          <w:rFonts w:ascii="Calibri" w:hAnsi="Calibri"/>
        </w:rPr>
        <w:t>e do projektów w ramach OSI były</w:t>
      </w:r>
      <w:r w:rsidRPr="005A6F65">
        <w:rPr>
          <w:rFonts w:ascii="Calibri" w:hAnsi="Calibri"/>
        </w:rPr>
        <w:t xml:space="preserve"> realizowane projekty w ramach ZIT, współfinansowane ze środków EBI oraz inne, finansowane ze środków prywatnych.</w:t>
      </w:r>
    </w:p>
    <w:p w:rsidR="005A6F65" w:rsidRPr="005A6F65" w:rsidRDefault="005A6F65" w:rsidP="005A6F65">
      <w:pPr>
        <w:pStyle w:val="NormalnyWeb"/>
        <w:spacing w:before="0" w:beforeAutospacing="0" w:after="0" w:afterAutospacing="0"/>
        <w:ind w:firstLine="567"/>
        <w:jc w:val="both"/>
      </w:pPr>
      <w:r w:rsidRPr="005A6F65">
        <w:rPr>
          <w:rFonts w:ascii="Calibri" w:hAnsi="Calibri"/>
        </w:rPr>
        <w:t>Pierwsza aktualizacja będzie miała miejsce nie później niż 3 lata po uchwaleniu niniejszego dokumentu, co pozwoli na elastyczne reagowanie w kontekście ewentualnych opóźnień lub wystąpienia negatywnych zjawisk. Aktualizacja umożliwi ocenę dotychczas wdrażanych działań oraz wprowadzenie do programu nowych inicjatyw/przedsięwzięć rewitalizacyjnych.</w:t>
      </w:r>
    </w:p>
    <w:p w:rsidR="000C70A4" w:rsidRDefault="000C70A4">
      <w:pPr>
        <w:jc w:val="both"/>
        <w:rPr>
          <w:rFonts w:ascii="Calibri" w:hAnsi="Calibri"/>
          <w:b/>
          <w:szCs w:val="20"/>
        </w:rPr>
      </w:pPr>
    </w:p>
    <w:p w:rsidR="000C70A4" w:rsidRPr="0077030D" w:rsidRDefault="000C70A4" w:rsidP="006D764E">
      <w:pPr>
        <w:pStyle w:val="Nagwek2"/>
        <w:numPr>
          <w:ilvl w:val="1"/>
          <w:numId w:val="296"/>
        </w:numPr>
        <w:ind w:left="431" w:hanging="431"/>
      </w:pPr>
      <w:bookmarkStart w:id="9158" w:name="_Toc460313334"/>
      <w:bookmarkStart w:id="9159" w:name="_Toc474924986"/>
      <w:r w:rsidRPr="0077030D">
        <w:t>Mechanizmy integrowania przedsięwzięć rewitalizacyjnych</w:t>
      </w:r>
      <w:bookmarkEnd w:id="9158"/>
      <w:bookmarkEnd w:id="9159"/>
    </w:p>
    <w:p w:rsidR="000C70A4" w:rsidRDefault="000C70A4">
      <w:pPr>
        <w:jc w:val="both"/>
        <w:rPr>
          <w:rFonts w:ascii="Calibri" w:hAnsi="Calibri"/>
          <w:b/>
          <w:szCs w:val="20"/>
        </w:rPr>
      </w:pPr>
    </w:p>
    <w:p w:rsidR="004C2D2B" w:rsidRPr="00F01197" w:rsidRDefault="004C2D2B" w:rsidP="004C2D2B">
      <w:pPr>
        <w:ind w:firstLine="360"/>
        <w:jc w:val="both"/>
        <w:rPr>
          <w:bCs/>
          <w:szCs w:val="20"/>
        </w:rPr>
      </w:pPr>
      <w:r>
        <w:rPr>
          <w:rFonts w:ascii="Calibri" w:hAnsi="Calibri"/>
          <w:bCs/>
          <w:szCs w:val="20"/>
        </w:rPr>
        <w:tab/>
      </w:r>
      <w:r w:rsidRPr="00F01197">
        <w:rPr>
          <w:bCs/>
          <w:szCs w:val="20"/>
        </w:rPr>
        <w:t>Mechanizm integrowania przedsięwzięć rewitalizacyjnych będzie wdrażany z uwzględnieniem następujących zasad:</w:t>
      </w:r>
    </w:p>
    <w:p w:rsidR="004C2D2B" w:rsidRPr="00F01197" w:rsidRDefault="004C2D2B" w:rsidP="004C2D2B">
      <w:pPr>
        <w:jc w:val="both"/>
        <w:rPr>
          <w:bCs/>
          <w:szCs w:val="20"/>
        </w:rPr>
      </w:pPr>
    </w:p>
    <w:p w:rsidR="004C2D2B" w:rsidRPr="00F01197" w:rsidRDefault="00295930" w:rsidP="00A32047">
      <w:pPr>
        <w:numPr>
          <w:ilvl w:val="0"/>
          <w:numId w:val="21"/>
        </w:numPr>
        <w:suppressAutoHyphens/>
        <w:ind w:left="357" w:hanging="357"/>
        <w:jc w:val="both"/>
        <w:rPr>
          <w:b/>
          <w:bCs/>
          <w:szCs w:val="20"/>
        </w:rPr>
      </w:pPr>
      <w:r>
        <w:rPr>
          <w:b/>
          <w:bCs/>
          <w:szCs w:val="20"/>
        </w:rPr>
        <w:t>Zasada kompleksowości</w:t>
      </w:r>
    </w:p>
    <w:p w:rsidR="004C2D2B" w:rsidRPr="00F01197" w:rsidRDefault="004C2D2B" w:rsidP="004C2D2B">
      <w:pPr>
        <w:ind w:firstLine="708"/>
        <w:jc w:val="both"/>
        <w:rPr>
          <w:szCs w:val="20"/>
        </w:rPr>
      </w:pPr>
      <w:r w:rsidRPr="00F01197">
        <w:rPr>
          <w:szCs w:val="20"/>
        </w:rPr>
        <w:t>Zasada realizowana będzie poprzez kompleksowe zaplanowanie przedsięwzięć rewitalizacyjnych, współfinansowanych z różnych źródeł, wspólnie – zasada synergii – oddziaływujących na rozwiązanie danego problemu.</w:t>
      </w:r>
    </w:p>
    <w:p w:rsidR="004C2D2B" w:rsidRPr="00F01197" w:rsidRDefault="004C2D2B" w:rsidP="004C2D2B">
      <w:pPr>
        <w:ind w:firstLine="708"/>
        <w:jc w:val="both"/>
        <w:rPr>
          <w:bCs/>
          <w:szCs w:val="20"/>
        </w:rPr>
      </w:pPr>
      <w:r w:rsidRPr="00F01197">
        <w:rPr>
          <w:bCs/>
          <w:szCs w:val="20"/>
        </w:rPr>
        <w:t>W ramach programu zaplanowano szereg przedsięwzięć ze ś</w:t>
      </w:r>
      <w:r w:rsidR="00647066">
        <w:rPr>
          <w:bCs/>
          <w:szCs w:val="20"/>
        </w:rPr>
        <w:t>rodków EFRR i</w:t>
      </w:r>
      <w:r w:rsidRPr="00F01197">
        <w:rPr>
          <w:bCs/>
          <w:szCs w:val="20"/>
        </w:rPr>
        <w:t xml:space="preserve"> EFS w ramach OSI, ZIT, środków EBI, budżetu Bytomia oraz środków niepublicznych. </w:t>
      </w:r>
    </w:p>
    <w:p w:rsidR="004C2D2B" w:rsidRPr="00F01197" w:rsidRDefault="00747D46" w:rsidP="004C2D2B">
      <w:pPr>
        <w:jc w:val="both"/>
        <w:rPr>
          <w:bCs/>
          <w:szCs w:val="20"/>
        </w:rPr>
      </w:pPr>
      <w:r w:rsidRPr="00F8161D">
        <w:t>Zasada synergii została zaplanowana już na etapie programowania, wykazując przedsięwzięcia podstawowe w</w:t>
      </w:r>
      <w:r w:rsidR="004E5889">
        <w:t> </w:t>
      </w:r>
      <w:r w:rsidRPr="00F8161D">
        <w:t>formie terytorialnie skoncentrowanych wiązek projektowych wdrażanych w pogrupowanych (zgodnie z</w:t>
      </w:r>
      <w:r w:rsidR="004E5889">
        <w:t> </w:t>
      </w:r>
      <w:r w:rsidRPr="00F8161D">
        <w:t xml:space="preserve">metodologią przedstawioną w rozdziale 2.7)  podobszarach rewitalizacji. Realizacja przedsięwzięć z danej wiązki, kompleksowo przyczyni się do rozwiązania zdefiniowanych w części diagnostycznej dokumentu problemów natury społecznej oraz gospodarczej, środowiskowej, przestrzenno-funkcjonalnej i technicznej (przedsięwzięcia w danej wiązce odpowiadają różnym problemom zidentyfikowanym </w:t>
      </w:r>
      <w:r w:rsidRPr="00F8161D">
        <w:br/>
        <w:t>w danych podobszarach).</w:t>
      </w:r>
      <w:r>
        <w:t xml:space="preserve"> </w:t>
      </w:r>
      <w:r w:rsidR="004C2D2B" w:rsidRPr="00F01197">
        <w:rPr>
          <w:bCs/>
          <w:szCs w:val="20"/>
        </w:rPr>
        <w:t>Jednocześnie efekt synergii będzie każdorazowo weryfikowany w</w:t>
      </w:r>
      <w:r w:rsidR="004E5889">
        <w:rPr>
          <w:bCs/>
          <w:szCs w:val="20"/>
        </w:rPr>
        <w:t> </w:t>
      </w:r>
      <w:r w:rsidR="004C2D2B" w:rsidRPr="00F01197">
        <w:rPr>
          <w:bCs/>
          <w:szCs w:val="20"/>
        </w:rPr>
        <w:t xml:space="preserve">trakcie oceny każdego z przedsięwzięć </w:t>
      </w:r>
      <w:r w:rsidR="004C2D2B" w:rsidRPr="009F79EF">
        <w:rPr>
          <w:bCs/>
          <w:szCs w:val="20"/>
        </w:rPr>
        <w:t>z osobna.</w:t>
      </w:r>
      <w:r w:rsidR="004C2D2B" w:rsidRPr="00F01197">
        <w:rPr>
          <w:bCs/>
          <w:szCs w:val="20"/>
        </w:rPr>
        <w:t xml:space="preserve"> </w:t>
      </w:r>
    </w:p>
    <w:p w:rsidR="00ED3D87" w:rsidRDefault="00ED3D87" w:rsidP="004C2D2B">
      <w:pPr>
        <w:jc w:val="both"/>
        <w:rPr>
          <w:bCs/>
          <w:szCs w:val="20"/>
        </w:rPr>
      </w:pPr>
    </w:p>
    <w:p w:rsidR="004C2D2B" w:rsidRPr="009F79EF" w:rsidRDefault="00295930" w:rsidP="00A32047">
      <w:pPr>
        <w:numPr>
          <w:ilvl w:val="0"/>
          <w:numId w:val="21"/>
        </w:numPr>
        <w:suppressAutoHyphens/>
        <w:ind w:left="357" w:hanging="357"/>
        <w:jc w:val="both"/>
        <w:rPr>
          <w:b/>
          <w:bCs/>
          <w:szCs w:val="20"/>
        </w:rPr>
      </w:pPr>
      <w:r w:rsidRPr="009F79EF">
        <w:rPr>
          <w:b/>
          <w:bCs/>
          <w:szCs w:val="20"/>
        </w:rPr>
        <w:t>Zasada koncentracji</w:t>
      </w:r>
    </w:p>
    <w:p w:rsidR="004C2D2B" w:rsidRPr="00F01197" w:rsidRDefault="004C2D2B" w:rsidP="004C2D2B">
      <w:pPr>
        <w:ind w:firstLine="708"/>
        <w:jc w:val="both"/>
        <w:rPr>
          <w:bCs/>
          <w:i/>
          <w:iCs/>
          <w:szCs w:val="20"/>
        </w:rPr>
      </w:pPr>
      <w:r w:rsidRPr="00F01197">
        <w:rPr>
          <w:bCs/>
          <w:i/>
          <w:iCs/>
          <w:szCs w:val="20"/>
        </w:rPr>
        <w:t xml:space="preserve">Zasada ta oznacza koncentrację prowadzonych działań rewitalizacyjnych na terenach o istotnym znaczeniu dla rozwoju gminy, obejmujących całość lub część zdiagnozowanego obszaru zdegradowanego i dotkniętych szczególną koncentracją problemów i negatywnych zjawisk kryzysowych. </w:t>
      </w:r>
    </w:p>
    <w:p w:rsidR="004C2D2B" w:rsidRPr="00F01197" w:rsidRDefault="004C2D2B" w:rsidP="004C2D2B">
      <w:pPr>
        <w:jc w:val="both"/>
        <w:rPr>
          <w:bCs/>
          <w:szCs w:val="20"/>
        </w:rPr>
      </w:pPr>
    </w:p>
    <w:p w:rsidR="004C2D2B" w:rsidRDefault="004C2D2B" w:rsidP="004C2D2B">
      <w:pPr>
        <w:widowControl w:val="0"/>
        <w:suppressAutoHyphens/>
        <w:autoSpaceDE w:val="0"/>
        <w:ind w:firstLine="708"/>
        <w:jc w:val="both"/>
        <w:rPr>
          <w:rFonts w:cs="Arial"/>
          <w:spacing w:val="-2"/>
          <w:szCs w:val="20"/>
          <w:lang w:eastAsia="ar-SA" w:bidi="hi-IN"/>
        </w:rPr>
      </w:pPr>
      <w:r w:rsidRPr="00F01197">
        <w:rPr>
          <w:rFonts w:cs="Arial"/>
          <w:spacing w:val="-2"/>
          <w:szCs w:val="20"/>
          <w:lang w:eastAsia="ar-SA" w:bidi="hi-IN"/>
        </w:rPr>
        <w:t xml:space="preserve">Zgodnie z przyjętą w ustawie o rewitalizacji definicją rewitalizacja stanowi proces wyprowadzania ze stanu kryzysowego obszarów zdegradowanych, prowadzony w sposób kompleksowy, poprzez zintegrowane działania na rzecz lokalnej społeczności, przestrzeni i gospodarki, </w:t>
      </w:r>
      <w:r w:rsidRPr="00F01197">
        <w:rPr>
          <w:rFonts w:cs="Arial"/>
          <w:b/>
          <w:bCs/>
          <w:spacing w:val="-2"/>
          <w:szCs w:val="20"/>
          <w:lang w:eastAsia="ar-SA" w:bidi="hi-IN"/>
        </w:rPr>
        <w:t>skoncentrowane</w:t>
      </w:r>
      <w:r w:rsidRPr="00F01197">
        <w:rPr>
          <w:rFonts w:cs="Arial"/>
          <w:spacing w:val="-2"/>
          <w:szCs w:val="20"/>
          <w:lang w:eastAsia="ar-SA" w:bidi="hi-IN"/>
        </w:rPr>
        <w:t xml:space="preserve"> terytorialnie, prowadzone przez interesariuszy rewitalizacji na podstawie gminnego programu rewitalizacji. Ustawowe zapisy, a także fakt szczególnej koncentracji negatywnych zjawisk – stały się podstawą do wskazania części obszaru zdegradowanego jako obszaru rewitalizacji. Obszar rewitalizacji obejmuje 15 podobszarów, w tym 6 podobszarów zamieszkałych (Bobrek, Śródmieście, Śródmieście Zachód, Rozbark, Śródmieście Północ, Kolonia Zgorzelec) o łącznej powierzchni 416 ha (5,97% powierzchni miasta) zamieszkałe przez 45991 mieszkańców miasta (28,97% całkowitej liczby mieszkańców) oraz 9 podobszarów poprzemysłowych, obejmujących 412 ha (5,96% pow. miasta), na których realizowane będą działania mające przyczynić się do przeciwdziałania negatywnym zjawiskom społecznym zidentyfikowanym w podobszarach zamieszkałych. Łącznie obszar rewitalizacji obejmuje 11,93% powierzchni miasta. Cztery z wymienionych podobszarów zamieszkałych (Śródmieście, Śródmieście Zachód, Rozbark, Śródmieście Północ) przylegają do siebie. W trakcie delimitacji, na etapie wyznaczania jednostek urbanistycznych przeanalizowano rozkłady danych ilustrujących negatywne zjawiska, wariantując stopień agregacji danych w odniesieniu do Śródmieścia. Rozważano zarówno utworzenie jednej większej jednostki urbanistycznej, jak i rozbicie na kilka odrębnych podobszarów, chociaż tworzących w przestrzeni jeden większy obszar. Ostatecznie uśrednianie danych na poziomie jednej dużej jednostki śródmiejskiej oznaczało zniekształcenie informacji o zjawiskach kryzysowych występujących w poszczególnych częściach Śródmieścia, zdecydowano więc o podziale na wskazane jednostki. W przestrzeni miasta występują więc obecnie 2 oddalone od centrum Bytomia podobszary rewitalizacji (Bobrek, Kolonia Zgorzelec) oraz jeden podobszar złożony z czterech jednostek położony w centrum miasta.</w:t>
      </w:r>
    </w:p>
    <w:p w:rsidR="00747D46" w:rsidRDefault="00747D46" w:rsidP="00747D46">
      <w:pPr>
        <w:jc w:val="both"/>
      </w:pPr>
      <w:r w:rsidRPr="00600348">
        <w:t>W związku z powyższym oraz z uwagi na szereg zidentyfikowanych na etapie diagnozy, różnego rodzajów problemów zdecydowano się na ukierunkowanie planowanej interwencji w funkcjonalne „wiązki projektowe”. Podstawowym założeniem przy konstruowaniu wiązek było osiągnięcie odpowiedniej synergii dzięki połączeniu oddziaływania interwencji „miękkiej” (społecznej/nieinwestycyjnej) oraz „twardej” (infrastrukturalno-inwestycyjnej). Dodatkowo, założenie większej ilości przedsięwzięć rozwiązujących więcej niż jeden zidentyfikowany problem w danym podobszarze, zwiększy efektywność prowadzonych działań i pozwoli zminimali</w:t>
      </w:r>
      <w:r w:rsidR="001A1BD7">
        <w:t xml:space="preserve">zować ryzyko porażki w sytuacji, </w:t>
      </w:r>
      <w:r w:rsidRPr="00600348">
        <w:t>gdy dany projekt nie będzie</w:t>
      </w:r>
      <w:r w:rsidR="00600348">
        <w:t xml:space="preserve"> </w:t>
      </w:r>
      <w:r w:rsidRPr="00600348">
        <w:t xml:space="preserve">z różnych przyczyn realizowany.  </w:t>
      </w:r>
      <w:r>
        <w:t xml:space="preserve"> </w:t>
      </w:r>
    </w:p>
    <w:p w:rsidR="004C2D2B" w:rsidRPr="00F01197" w:rsidRDefault="004C2D2B" w:rsidP="004C2D2B">
      <w:pPr>
        <w:widowControl w:val="0"/>
        <w:suppressAutoHyphens/>
        <w:autoSpaceDE w:val="0"/>
        <w:jc w:val="both"/>
        <w:rPr>
          <w:rFonts w:cs="Arial"/>
          <w:bCs/>
          <w:spacing w:val="-2"/>
          <w:szCs w:val="20"/>
          <w:lang w:eastAsia="ar-SA" w:bidi="hi-IN"/>
        </w:rPr>
      </w:pPr>
    </w:p>
    <w:p w:rsidR="004C2D2B" w:rsidRPr="00F01197" w:rsidRDefault="004C2D2B" w:rsidP="00A32047">
      <w:pPr>
        <w:numPr>
          <w:ilvl w:val="0"/>
          <w:numId w:val="21"/>
        </w:numPr>
        <w:suppressAutoHyphens/>
        <w:ind w:left="357" w:hanging="357"/>
        <w:jc w:val="both"/>
        <w:rPr>
          <w:b/>
          <w:bCs/>
          <w:szCs w:val="20"/>
        </w:rPr>
      </w:pPr>
      <w:r w:rsidRPr="00F01197">
        <w:rPr>
          <w:b/>
          <w:bCs/>
          <w:szCs w:val="20"/>
        </w:rPr>
        <w:t>Zasada komplementarności</w:t>
      </w:r>
    </w:p>
    <w:p w:rsidR="004C2D2B" w:rsidRPr="00F01197" w:rsidRDefault="004C2D2B" w:rsidP="004C2D2B">
      <w:pPr>
        <w:spacing w:line="100" w:lineRule="atLeast"/>
        <w:ind w:firstLine="708"/>
        <w:jc w:val="both"/>
        <w:rPr>
          <w:rFonts w:eastAsia="Calibri" w:cs="Calibri"/>
          <w:szCs w:val="20"/>
        </w:rPr>
      </w:pPr>
      <w:r w:rsidRPr="00F01197">
        <w:rPr>
          <w:rFonts w:eastAsia="Calibri" w:cs="Calibri"/>
          <w:szCs w:val="20"/>
        </w:rPr>
        <w:t>Zasada zostanie spełniona poprzez zapewnienie spójności planowanych i realizowanych działań w różnych wymiarach: programowym, przestrzennym, problemowym, proceduralno-instytycjonalnym, międzyokresowym oraz źródeł finansowania.</w:t>
      </w:r>
    </w:p>
    <w:p w:rsidR="004C2D2B" w:rsidRPr="00F01197" w:rsidRDefault="004C2D2B" w:rsidP="004C2D2B">
      <w:pPr>
        <w:spacing w:line="100" w:lineRule="atLeast"/>
        <w:jc w:val="both"/>
        <w:rPr>
          <w:rFonts w:eastAsia="Calibri" w:cs="Calibri"/>
          <w:szCs w:val="20"/>
        </w:rPr>
      </w:pPr>
    </w:p>
    <w:p w:rsidR="004C2D2B" w:rsidRPr="00F01197" w:rsidRDefault="00295930" w:rsidP="003B3BFB">
      <w:pPr>
        <w:pStyle w:val="Akapitzlist2"/>
        <w:numPr>
          <w:ilvl w:val="0"/>
          <w:numId w:val="59"/>
        </w:numPr>
        <w:spacing w:line="100" w:lineRule="atLeast"/>
        <w:jc w:val="both"/>
        <w:rPr>
          <w:rFonts w:asciiTheme="minorHAnsi" w:eastAsia="Calibri" w:hAnsiTheme="minorHAnsi" w:cs="Calibri"/>
          <w:b/>
          <w:szCs w:val="20"/>
        </w:rPr>
      </w:pPr>
      <w:r>
        <w:rPr>
          <w:rFonts w:asciiTheme="minorHAnsi" w:eastAsia="Calibri" w:hAnsiTheme="minorHAnsi" w:cs="Calibri"/>
          <w:b/>
          <w:szCs w:val="20"/>
        </w:rPr>
        <w:t>Komplementarność programowa</w:t>
      </w:r>
    </w:p>
    <w:p w:rsidR="004C2D2B" w:rsidRPr="00DE319B" w:rsidRDefault="004C2D2B" w:rsidP="004C2D2B">
      <w:pPr>
        <w:spacing w:line="100" w:lineRule="atLeast"/>
        <w:ind w:firstLine="708"/>
        <w:jc w:val="both"/>
        <w:rPr>
          <w:rFonts w:eastAsia="Calibri" w:cs="Calibri"/>
          <w:szCs w:val="20"/>
        </w:rPr>
      </w:pPr>
      <w:r w:rsidRPr="00F01197">
        <w:rPr>
          <w:rFonts w:eastAsia="Calibri" w:cs="Calibri"/>
          <w:szCs w:val="20"/>
        </w:rPr>
        <w:t xml:space="preserve">Zasada komplementarności ma swoje odzwierciedlenie już na etapie samego opracowania programu rewitalizacji, wykorzystującego założenia koncepcji </w:t>
      </w:r>
      <w:r w:rsidRPr="00DE319B">
        <w:rPr>
          <w:rFonts w:eastAsia="Calibri" w:cs="Calibri"/>
          <w:szCs w:val="20"/>
        </w:rPr>
        <w:t>projektu pilotażowego w zakresie rewitalizacji dla miasta Bytomia Zgodnie z założeniami projektu (noszącego nazwę „</w:t>
      </w:r>
      <w:r w:rsidR="007F6938" w:rsidRPr="00F923F6">
        <w:rPr>
          <w:szCs w:val="20"/>
        </w:rPr>
        <w:t>B</w:t>
      </w:r>
      <w:r w:rsidR="007F6938">
        <w:rPr>
          <w:szCs w:val="20"/>
        </w:rPr>
        <w:t>YTOM odNOWA</w:t>
      </w:r>
      <w:r w:rsidR="007F6938" w:rsidRPr="00DE319B">
        <w:rPr>
          <w:szCs w:val="20"/>
        </w:rPr>
        <w:t xml:space="preserve"> </w:t>
      </w:r>
      <w:r w:rsidRPr="00DE319B">
        <w:rPr>
          <w:szCs w:val="20"/>
        </w:rPr>
        <w:t>– innowacyjne projekty mieszkaniowe i rozwój inicjatyw społecznych</w:t>
      </w:r>
      <w:r w:rsidRPr="00DE319B">
        <w:rPr>
          <w:rFonts w:eastAsia="Calibri" w:cs="Calibri"/>
          <w:szCs w:val="20"/>
        </w:rPr>
        <w:t>”), jednym z modelowych wiązek działań jest opracowanie „Gminnego Programu Rewitalizacji. Bytom 2020+” (GPR), pozostałe to:</w:t>
      </w:r>
    </w:p>
    <w:p w:rsidR="004C2D2B" w:rsidRPr="00DE319B" w:rsidRDefault="004C2D2B" w:rsidP="004C2D2B">
      <w:pPr>
        <w:spacing w:line="100" w:lineRule="atLeast"/>
        <w:jc w:val="both"/>
        <w:rPr>
          <w:rFonts w:eastAsia="Calibri" w:cs="Calibri"/>
          <w:szCs w:val="20"/>
        </w:rPr>
      </w:pPr>
      <w:r w:rsidRPr="00DE319B">
        <w:rPr>
          <w:rFonts w:eastAsia="Calibri" w:cs="Calibri"/>
          <w:szCs w:val="20"/>
        </w:rPr>
        <w:t>- wzmocnienie zdolności instytucjonalnej miasta Bytomia do prowadzenia działań rewitalizacyjnych,</w:t>
      </w:r>
    </w:p>
    <w:p w:rsidR="004C2D2B" w:rsidRPr="00DE319B" w:rsidRDefault="004C2D2B" w:rsidP="004C2D2B">
      <w:pPr>
        <w:spacing w:line="100" w:lineRule="atLeast"/>
        <w:jc w:val="both"/>
        <w:rPr>
          <w:rFonts w:eastAsia="Calibri" w:cs="Calibri"/>
          <w:szCs w:val="20"/>
        </w:rPr>
      </w:pPr>
      <w:r w:rsidRPr="00DE319B">
        <w:rPr>
          <w:rFonts w:eastAsia="Calibri" w:cs="Calibri"/>
          <w:szCs w:val="20"/>
        </w:rPr>
        <w:t>- „Bytomski Model Mieszkalnictwa Dostępnego”,</w:t>
      </w:r>
    </w:p>
    <w:p w:rsidR="004C2D2B" w:rsidRPr="00DE319B" w:rsidRDefault="004C2D2B" w:rsidP="004C2D2B">
      <w:pPr>
        <w:spacing w:line="100" w:lineRule="atLeast"/>
        <w:jc w:val="both"/>
        <w:rPr>
          <w:rFonts w:eastAsia="Calibri" w:cs="Calibri"/>
          <w:szCs w:val="20"/>
        </w:rPr>
      </w:pPr>
      <w:r w:rsidRPr="00DE319B">
        <w:rPr>
          <w:rFonts w:eastAsia="Calibri" w:cs="Calibri"/>
          <w:szCs w:val="20"/>
        </w:rPr>
        <w:t>-  rozwój inicjatyw społecznych.</w:t>
      </w:r>
    </w:p>
    <w:p w:rsidR="004C2D2B" w:rsidRPr="00F01197" w:rsidRDefault="004C2D2B" w:rsidP="004C2D2B">
      <w:pPr>
        <w:widowControl w:val="0"/>
        <w:tabs>
          <w:tab w:val="right" w:pos="1003"/>
        </w:tabs>
        <w:spacing w:line="100" w:lineRule="atLeast"/>
        <w:jc w:val="both"/>
        <w:rPr>
          <w:rFonts w:eastAsia="Calibri" w:cs="Calibri"/>
          <w:szCs w:val="20"/>
        </w:rPr>
      </w:pPr>
      <w:r w:rsidRPr="00DE319B">
        <w:rPr>
          <w:rFonts w:eastAsia="Calibri" w:cs="Calibri"/>
          <w:szCs w:val="20"/>
        </w:rPr>
        <w:t>Celem działań przeprowadzonych na różnych poziomach oddziaływania na obszar rewitalizacji (od całego obszaru rewitalizacji po wybrany obszar pilotażowy) jest wypracowanie najbardziej adekwatnego mechanizmu prowadzenia działań rewitalizacyjnych w Bytomiu poprzez dopasowanie</w:t>
      </w:r>
      <w:r w:rsidRPr="00F01197">
        <w:rPr>
          <w:rFonts w:eastAsia="Calibri" w:cs="Calibri"/>
          <w:szCs w:val="20"/>
        </w:rPr>
        <w:t xml:space="preserve"> podejmowanych działań do zidentyfikowanych problemów wynikających z pogłębionej diagnozy. W związku z tym większość wiązek działań obejmuje działania diagnostyczne, przygotowanie interesariuszy i jednostek UM do wykorzystania zebranych informacji i odebranych diagnoz oraz wdrożenie szytego na miarę rozwiązania. Z tego punktu widzenia miasto Bytom będzie modelowym przykładem budowania i wzmacniania zdolności instytucjonalnej interesariuszy procesu rewitalizacji do programowania i realizacji działań rewitalizacyjnych zgodnie z Krajową Polityką Miejską 2023. Jednocześnie wypracowane diagnozy będą mogły służyć programowaniu podobnych badań i rozwiązań w innych obszarach tego i innych miast.</w:t>
      </w:r>
    </w:p>
    <w:p w:rsidR="004C2D2B" w:rsidRPr="00F01197" w:rsidRDefault="004C2D2B" w:rsidP="004C2D2B">
      <w:pPr>
        <w:widowControl w:val="0"/>
        <w:tabs>
          <w:tab w:val="right" w:pos="1003"/>
        </w:tabs>
        <w:spacing w:line="100" w:lineRule="atLeast"/>
        <w:jc w:val="both"/>
        <w:rPr>
          <w:rFonts w:eastAsia="Calibri" w:cs="Calibri"/>
          <w:szCs w:val="20"/>
        </w:rPr>
      </w:pPr>
      <w:r w:rsidRPr="00F01197">
        <w:rPr>
          <w:rFonts w:eastAsia="Calibri" w:cs="Calibri"/>
          <w:szCs w:val="20"/>
        </w:rPr>
        <w:t xml:space="preserve">Doświadczenia i wiedza nabyta podczas realizacji działań pilotażowych pomogą również w dostosowaniu bytomskiego GPR do potrzeb i oczekiwań interesariuszy by w bardziej efektywny sposób oddziaływać na obszar rewitalizacji.   </w:t>
      </w:r>
    </w:p>
    <w:p w:rsidR="004C2D2B" w:rsidRPr="00F01197" w:rsidRDefault="004C2D2B" w:rsidP="004C2D2B">
      <w:pPr>
        <w:spacing w:line="100" w:lineRule="atLeast"/>
        <w:jc w:val="both"/>
        <w:rPr>
          <w:rFonts w:eastAsia="Calibri" w:cs="Calibri"/>
          <w:color w:val="000000"/>
          <w:szCs w:val="20"/>
        </w:rPr>
      </w:pPr>
      <w:r w:rsidRPr="00F01197">
        <w:rPr>
          <w:rFonts w:eastAsia="Calibri" w:cs="Calibri"/>
          <w:color w:val="000000"/>
          <w:szCs w:val="20"/>
        </w:rPr>
        <w:t>Ścisła spójność występuje między Gminnym Programem Rewitalizacji a sformułowaną w roku 2014 „Strategią rozwoju miasta Bytom 2020+”. W GPR nawiązano do następujących celów operacyjnych zawartych w strategii (a także odnoszących się do nich kierunków):</w:t>
      </w:r>
    </w:p>
    <w:p w:rsidR="004C2D2B" w:rsidRPr="00F01197" w:rsidRDefault="004C2D2B" w:rsidP="00302355">
      <w:pPr>
        <w:pStyle w:val="Akapitzlist2"/>
        <w:numPr>
          <w:ilvl w:val="0"/>
          <w:numId w:val="22"/>
        </w:numPr>
        <w:tabs>
          <w:tab w:val="num" w:pos="0"/>
        </w:tabs>
        <w:spacing w:before="120" w:line="100" w:lineRule="atLeast"/>
        <w:ind w:left="714" w:hanging="357"/>
        <w:jc w:val="both"/>
        <w:rPr>
          <w:rFonts w:asciiTheme="minorHAnsi" w:eastAsia="Calibri" w:hAnsiTheme="minorHAnsi" w:cs="Calibri"/>
          <w:szCs w:val="20"/>
        </w:rPr>
      </w:pPr>
      <w:r w:rsidRPr="00F01197">
        <w:rPr>
          <w:rFonts w:asciiTheme="minorHAnsi" w:eastAsia="Calibri" w:hAnsiTheme="minorHAnsi" w:cs="Calibri"/>
          <w:szCs w:val="20"/>
        </w:rPr>
        <w:t>C I/1 Bytom miastem zrewitalizowanych przestrzeni publicznych i odnowionych centrów dzielnic,</w:t>
      </w:r>
    </w:p>
    <w:p w:rsidR="004C2D2B" w:rsidRPr="00F01197" w:rsidRDefault="004C2D2B" w:rsidP="00302355">
      <w:pPr>
        <w:pStyle w:val="Akapitzlist2"/>
        <w:numPr>
          <w:ilvl w:val="0"/>
          <w:numId w:val="22"/>
        </w:numPr>
        <w:tabs>
          <w:tab w:val="num" w:pos="0"/>
        </w:tabs>
        <w:spacing w:line="100" w:lineRule="atLeast"/>
        <w:ind w:left="714" w:hanging="357"/>
        <w:jc w:val="both"/>
        <w:rPr>
          <w:rFonts w:asciiTheme="minorHAnsi" w:eastAsia="Calibri" w:hAnsiTheme="minorHAnsi" w:cs="Calibri"/>
          <w:szCs w:val="20"/>
        </w:rPr>
      </w:pPr>
      <w:r w:rsidRPr="00F01197">
        <w:rPr>
          <w:rFonts w:asciiTheme="minorHAnsi" w:eastAsia="Calibri" w:hAnsiTheme="minorHAnsi" w:cs="Calibri"/>
          <w:szCs w:val="20"/>
        </w:rPr>
        <w:t>C I/2 Bytom miastem zasobów mieszkaniowych o wysokim standardzie,</w:t>
      </w:r>
    </w:p>
    <w:p w:rsidR="004C2D2B" w:rsidRPr="00F01197" w:rsidRDefault="004C2D2B" w:rsidP="00302355">
      <w:pPr>
        <w:pStyle w:val="Akapitzlist2"/>
        <w:numPr>
          <w:ilvl w:val="0"/>
          <w:numId w:val="22"/>
        </w:numPr>
        <w:tabs>
          <w:tab w:val="num" w:pos="0"/>
        </w:tabs>
        <w:spacing w:line="100" w:lineRule="atLeast"/>
        <w:ind w:left="714" w:hanging="357"/>
        <w:jc w:val="both"/>
        <w:rPr>
          <w:rFonts w:asciiTheme="minorHAnsi" w:eastAsia="Calibri" w:hAnsiTheme="minorHAnsi" w:cs="Calibri"/>
          <w:szCs w:val="20"/>
        </w:rPr>
      </w:pPr>
      <w:r w:rsidRPr="00F01197">
        <w:rPr>
          <w:rFonts w:asciiTheme="minorHAnsi" w:eastAsia="Calibri" w:hAnsiTheme="minorHAnsi" w:cs="Calibri"/>
          <w:szCs w:val="20"/>
        </w:rPr>
        <w:t>C I/3 Bytom miastem powszechnej dostępności do wysokiej jakości różnorodnych usług publicznych,</w:t>
      </w:r>
    </w:p>
    <w:p w:rsidR="004C2D2B" w:rsidRPr="00F01197" w:rsidRDefault="004C2D2B" w:rsidP="00302355">
      <w:pPr>
        <w:pStyle w:val="Akapitzlist2"/>
        <w:numPr>
          <w:ilvl w:val="0"/>
          <w:numId w:val="22"/>
        </w:numPr>
        <w:tabs>
          <w:tab w:val="num" w:pos="0"/>
        </w:tabs>
        <w:spacing w:line="100" w:lineRule="atLeast"/>
        <w:ind w:left="714" w:hanging="357"/>
        <w:jc w:val="both"/>
        <w:rPr>
          <w:rFonts w:asciiTheme="minorHAnsi" w:eastAsia="Calibri" w:hAnsiTheme="minorHAnsi" w:cs="Calibri"/>
          <w:szCs w:val="20"/>
        </w:rPr>
      </w:pPr>
      <w:r w:rsidRPr="00F01197">
        <w:rPr>
          <w:rFonts w:asciiTheme="minorHAnsi" w:eastAsia="Calibri" w:hAnsiTheme="minorHAnsi" w:cs="Calibri"/>
          <w:szCs w:val="20"/>
        </w:rPr>
        <w:t>C III/1 Bytom miastem sprzyjającym rozwijaniu talentów i zainteresowań oraz aktywny</w:t>
      </w:r>
      <w:r w:rsidR="00647066">
        <w:rPr>
          <w:rFonts w:asciiTheme="minorHAnsi" w:eastAsia="Calibri" w:hAnsiTheme="minorHAnsi" w:cs="Calibri"/>
          <w:szCs w:val="20"/>
        </w:rPr>
        <w:t>ch form spędzania czasu wolnego.</w:t>
      </w:r>
    </w:p>
    <w:p w:rsidR="004C2D2B" w:rsidRPr="00F01197" w:rsidRDefault="004C2D2B" w:rsidP="004C2D2B">
      <w:pPr>
        <w:widowControl w:val="0"/>
        <w:tabs>
          <w:tab w:val="right" w:pos="1003"/>
        </w:tabs>
        <w:spacing w:line="100" w:lineRule="atLeast"/>
        <w:jc w:val="both"/>
        <w:rPr>
          <w:rFonts w:eastAsia="Calibri" w:cs="Calibri"/>
          <w:color w:val="000000"/>
          <w:szCs w:val="20"/>
        </w:rPr>
      </w:pPr>
      <w:r w:rsidRPr="00F01197">
        <w:rPr>
          <w:rFonts w:eastAsia="Calibri" w:cs="Calibri"/>
          <w:color w:val="000000"/>
          <w:szCs w:val="20"/>
        </w:rPr>
        <w:t>Wśród szeregu kierunków zapisanych w strategii a bezpośrednio odnoszących się do GPR warto wskazać:</w:t>
      </w:r>
    </w:p>
    <w:p w:rsidR="004C2D2B" w:rsidRPr="00F01197" w:rsidRDefault="00647066" w:rsidP="00302355">
      <w:pPr>
        <w:pStyle w:val="Akapitzlist2"/>
        <w:numPr>
          <w:ilvl w:val="0"/>
          <w:numId w:val="22"/>
        </w:numPr>
        <w:tabs>
          <w:tab w:val="num" w:pos="0"/>
        </w:tabs>
        <w:spacing w:before="120" w:line="100" w:lineRule="atLeast"/>
        <w:ind w:left="714" w:hanging="357"/>
        <w:jc w:val="both"/>
        <w:rPr>
          <w:rFonts w:asciiTheme="minorHAnsi" w:eastAsia="Calibri" w:hAnsiTheme="minorHAnsi" w:cs="Calibri"/>
          <w:szCs w:val="20"/>
        </w:rPr>
      </w:pPr>
      <w:r>
        <w:rPr>
          <w:rFonts w:asciiTheme="minorHAnsi" w:eastAsia="Calibri" w:hAnsiTheme="minorHAnsi" w:cs="Calibri"/>
          <w:szCs w:val="20"/>
        </w:rPr>
        <w:t>K7. </w:t>
      </w:r>
      <w:r w:rsidR="004C2D2B" w:rsidRPr="00F01197">
        <w:rPr>
          <w:rFonts w:asciiTheme="minorHAnsi" w:eastAsia="Calibri" w:hAnsiTheme="minorHAnsi" w:cs="Calibri"/>
          <w:szCs w:val="20"/>
        </w:rPr>
        <w:t>Rozwój wyspecjalizowanych usług adresowanych do osób starszych i niepełnosprawnych,</w:t>
      </w:r>
    </w:p>
    <w:p w:rsidR="004C2D2B" w:rsidRPr="00F01197" w:rsidRDefault="00647066" w:rsidP="00302355">
      <w:pPr>
        <w:pStyle w:val="Akapitzlist2"/>
        <w:numPr>
          <w:ilvl w:val="0"/>
          <w:numId w:val="22"/>
        </w:numPr>
        <w:tabs>
          <w:tab w:val="num" w:pos="0"/>
        </w:tabs>
        <w:spacing w:line="100" w:lineRule="atLeast"/>
        <w:ind w:left="714" w:hanging="357"/>
        <w:jc w:val="both"/>
        <w:rPr>
          <w:rFonts w:asciiTheme="minorHAnsi" w:eastAsia="Calibri" w:hAnsiTheme="minorHAnsi" w:cs="Calibri"/>
          <w:szCs w:val="20"/>
        </w:rPr>
      </w:pPr>
      <w:r>
        <w:rPr>
          <w:rFonts w:asciiTheme="minorHAnsi" w:eastAsia="Calibri" w:hAnsiTheme="minorHAnsi" w:cs="Calibri"/>
          <w:szCs w:val="20"/>
        </w:rPr>
        <w:t>K8. </w:t>
      </w:r>
      <w:r w:rsidR="004C2D2B" w:rsidRPr="00F01197">
        <w:rPr>
          <w:rFonts w:asciiTheme="minorHAnsi" w:eastAsia="Calibri" w:hAnsiTheme="minorHAnsi" w:cs="Calibri"/>
          <w:szCs w:val="20"/>
        </w:rPr>
        <w:t>Podejmowanie inicjatyw na rzecz integracji społecznej i zawodowej środowisk marginalizowanych,</w:t>
      </w:r>
    </w:p>
    <w:p w:rsidR="004C2D2B" w:rsidRPr="00F01197" w:rsidRDefault="00647066" w:rsidP="00302355">
      <w:pPr>
        <w:pStyle w:val="Akapitzlist2"/>
        <w:numPr>
          <w:ilvl w:val="0"/>
          <w:numId w:val="22"/>
        </w:numPr>
        <w:tabs>
          <w:tab w:val="num" w:pos="0"/>
        </w:tabs>
        <w:spacing w:line="100" w:lineRule="atLeast"/>
        <w:ind w:left="714" w:hanging="357"/>
        <w:jc w:val="both"/>
        <w:rPr>
          <w:rFonts w:asciiTheme="minorHAnsi" w:eastAsia="Calibri" w:hAnsiTheme="minorHAnsi" w:cs="Calibri"/>
          <w:szCs w:val="20"/>
        </w:rPr>
      </w:pPr>
      <w:r>
        <w:rPr>
          <w:rFonts w:asciiTheme="minorHAnsi" w:eastAsia="Calibri" w:hAnsiTheme="minorHAnsi" w:cs="Calibri"/>
          <w:szCs w:val="20"/>
        </w:rPr>
        <w:t>K9. </w:t>
      </w:r>
      <w:r w:rsidR="004C2D2B" w:rsidRPr="00F01197">
        <w:rPr>
          <w:rFonts w:asciiTheme="minorHAnsi" w:eastAsia="Calibri" w:hAnsiTheme="minorHAnsi" w:cs="Calibri"/>
          <w:szCs w:val="20"/>
        </w:rPr>
        <w:t>Rozwój usług wspierających funkcjonowanie rodziny oraz godzenie obowiązków rodzinnych z zawodowymi,</w:t>
      </w:r>
    </w:p>
    <w:p w:rsidR="004C2D2B" w:rsidRPr="00F01197" w:rsidRDefault="004C2D2B" w:rsidP="00302355">
      <w:pPr>
        <w:pStyle w:val="Akapitzlist2"/>
        <w:numPr>
          <w:ilvl w:val="0"/>
          <w:numId w:val="22"/>
        </w:numPr>
        <w:tabs>
          <w:tab w:val="num" w:pos="0"/>
        </w:tabs>
        <w:spacing w:line="100" w:lineRule="atLeast"/>
        <w:ind w:left="714" w:hanging="357"/>
        <w:jc w:val="both"/>
        <w:rPr>
          <w:rFonts w:asciiTheme="minorHAnsi" w:eastAsia="Calibri" w:hAnsiTheme="minorHAnsi" w:cs="Calibri"/>
          <w:szCs w:val="20"/>
        </w:rPr>
      </w:pPr>
      <w:r w:rsidRPr="00F01197">
        <w:rPr>
          <w:rFonts w:asciiTheme="minorHAnsi" w:eastAsia="Calibri" w:hAnsiTheme="minorHAnsi" w:cs="Calibri"/>
          <w:szCs w:val="20"/>
        </w:rPr>
        <w:t>K10. Poprawa bezpieczeństwa publicznego,</w:t>
      </w:r>
    </w:p>
    <w:p w:rsidR="004C2D2B" w:rsidRPr="00F01197" w:rsidRDefault="004C2D2B" w:rsidP="00302355">
      <w:pPr>
        <w:pStyle w:val="Akapitzlist2"/>
        <w:numPr>
          <w:ilvl w:val="0"/>
          <w:numId w:val="22"/>
        </w:numPr>
        <w:tabs>
          <w:tab w:val="num" w:pos="0"/>
        </w:tabs>
        <w:spacing w:line="100" w:lineRule="atLeast"/>
        <w:ind w:left="714" w:hanging="357"/>
        <w:jc w:val="both"/>
        <w:rPr>
          <w:rFonts w:asciiTheme="minorHAnsi" w:eastAsia="Calibri" w:hAnsiTheme="minorHAnsi" w:cs="Calibri"/>
          <w:szCs w:val="20"/>
        </w:rPr>
      </w:pPr>
      <w:r w:rsidRPr="00F01197">
        <w:rPr>
          <w:rFonts w:asciiTheme="minorHAnsi" w:eastAsia="Calibri" w:hAnsiTheme="minorHAnsi" w:cs="Calibri"/>
          <w:szCs w:val="20"/>
        </w:rPr>
        <w:t>K11. Rozszerzanie udziału organizacji pozarządowych w dostarczaniu usług publicznych,</w:t>
      </w:r>
    </w:p>
    <w:p w:rsidR="004C2D2B" w:rsidRPr="00F01197" w:rsidRDefault="004C2D2B" w:rsidP="00302355">
      <w:pPr>
        <w:pStyle w:val="Akapitzlist2"/>
        <w:numPr>
          <w:ilvl w:val="0"/>
          <w:numId w:val="22"/>
        </w:numPr>
        <w:tabs>
          <w:tab w:val="num" w:pos="0"/>
        </w:tabs>
        <w:spacing w:line="100" w:lineRule="atLeast"/>
        <w:ind w:left="714" w:hanging="357"/>
        <w:jc w:val="both"/>
        <w:rPr>
          <w:rFonts w:asciiTheme="minorHAnsi" w:eastAsia="Calibri" w:hAnsiTheme="minorHAnsi" w:cs="Calibri"/>
          <w:szCs w:val="20"/>
        </w:rPr>
      </w:pPr>
      <w:r w:rsidRPr="00F01197">
        <w:rPr>
          <w:rFonts w:asciiTheme="minorHAnsi" w:eastAsia="Calibri" w:hAnsiTheme="minorHAnsi" w:cs="Calibri"/>
          <w:szCs w:val="20"/>
        </w:rPr>
        <w:t>K25. Przekształcanie terenów poprzemysłowych w tereny użyteczności publicznej o wysokiej wartości przyrodniczej,</w:t>
      </w:r>
    </w:p>
    <w:p w:rsidR="004C2D2B" w:rsidRPr="00F01197" w:rsidRDefault="004C2D2B" w:rsidP="00302355">
      <w:pPr>
        <w:pStyle w:val="Akapitzlist2"/>
        <w:numPr>
          <w:ilvl w:val="0"/>
          <w:numId w:val="22"/>
        </w:numPr>
        <w:tabs>
          <w:tab w:val="num" w:pos="0"/>
        </w:tabs>
        <w:spacing w:after="120" w:line="100" w:lineRule="atLeast"/>
        <w:ind w:left="714" w:hanging="357"/>
        <w:jc w:val="both"/>
        <w:rPr>
          <w:rFonts w:asciiTheme="minorHAnsi" w:eastAsia="Calibri" w:hAnsiTheme="minorHAnsi" w:cs="Calibri"/>
          <w:szCs w:val="20"/>
        </w:rPr>
      </w:pPr>
      <w:r w:rsidRPr="00F01197">
        <w:rPr>
          <w:rFonts w:asciiTheme="minorHAnsi" w:eastAsia="Calibri" w:hAnsiTheme="minorHAnsi" w:cs="Calibri"/>
          <w:szCs w:val="20"/>
        </w:rPr>
        <w:t>K27. Upowszechnianie kultury spędzania czasu wolnego.</w:t>
      </w:r>
    </w:p>
    <w:p w:rsidR="004C2D2B" w:rsidRPr="00F01197" w:rsidRDefault="004C2D2B" w:rsidP="004C2D2B">
      <w:pPr>
        <w:spacing w:line="100" w:lineRule="atLeast"/>
        <w:jc w:val="both"/>
        <w:rPr>
          <w:rFonts w:eastAsia="Calibri" w:cs="Calibri"/>
          <w:color w:val="000000"/>
          <w:szCs w:val="20"/>
        </w:rPr>
      </w:pPr>
      <w:r w:rsidRPr="00F01197">
        <w:rPr>
          <w:rFonts w:eastAsia="Calibri" w:cs="Calibri"/>
          <w:color w:val="000000"/>
          <w:szCs w:val="20"/>
        </w:rPr>
        <w:t>W nawiązaniu do wspomnianej strategii zostały też ustalone wskaźniki do monitoringu GPR. W szczególności wykorzystano wskaźniki analogiczne do celów ze strategii odnoszących się do sytuacji społecznej, przemian przestrzennych oraz zmian na rynku pracy.</w:t>
      </w:r>
    </w:p>
    <w:p w:rsidR="004C2D2B" w:rsidRPr="00F01197" w:rsidRDefault="004C2D2B" w:rsidP="004C2D2B">
      <w:pPr>
        <w:spacing w:before="120" w:line="100" w:lineRule="atLeast"/>
        <w:jc w:val="both"/>
        <w:rPr>
          <w:rFonts w:eastAsia="Calibri" w:cs="Calibri"/>
          <w:color w:val="000000"/>
          <w:szCs w:val="20"/>
        </w:rPr>
      </w:pPr>
      <w:r w:rsidRPr="00F01197">
        <w:rPr>
          <w:rFonts w:eastAsia="Calibri" w:cs="Calibri"/>
          <w:color w:val="000000"/>
          <w:szCs w:val="20"/>
        </w:rPr>
        <w:t>Należy też podkreślić, że myślenie o rewitalizacji zostało zapoczątkowane w Bytomiu ponad dekadę temu, kiedy to podjęto prace nad takimi dokumentami jak:</w:t>
      </w:r>
    </w:p>
    <w:p w:rsidR="004C2D2B" w:rsidRPr="00F01197" w:rsidRDefault="004C2D2B" w:rsidP="00302355">
      <w:pPr>
        <w:pStyle w:val="Akapitzlist2"/>
        <w:numPr>
          <w:ilvl w:val="0"/>
          <w:numId w:val="22"/>
        </w:numPr>
        <w:tabs>
          <w:tab w:val="num" w:pos="0"/>
        </w:tabs>
        <w:spacing w:line="100" w:lineRule="atLeast"/>
        <w:ind w:left="714" w:hanging="357"/>
        <w:jc w:val="both"/>
        <w:rPr>
          <w:rFonts w:asciiTheme="minorHAnsi" w:eastAsia="Calibri" w:hAnsiTheme="minorHAnsi" w:cs="Calibri"/>
          <w:szCs w:val="20"/>
        </w:rPr>
      </w:pPr>
      <w:r w:rsidRPr="00F01197">
        <w:rPr>
          <w:rFonts w:asciiTheme="minorHAnsi" w:eastAsia="Calibri" w:hAnsiTheme="minorHAnsi" w:cs="Calibri"/>
          <w:szCs w:val="20"/>
        </w:rPr>
        <w:t>„Program rewitalizacji społeczno-ekonomicznej wybranych obszarów miejskich i terenów poprzemysłowych dla gminy Bytom na lata 2004 – 2015”,</w:t>
      </w:r>
    </w:p>
    <w:p w:rsidR="004C2D2B" w:rsidRPr="00F01197" w:rsidRDefault="004C2D2B" w:rsidP="00302355">
      <w:pPr>
        <w:pStyle w:val="Akapitzlist2"/>
        <w:numPr>
          <w:ilvl w:val="0"/>
          <w:numId w:val="22"/>
        </w:numPr>
        <w:tabs>
          <w:tab w:val="num" w:pos="0"/>
        </w:tabs>
        <w:spacing w:after="120" w:line="100" w:lineRule="atLeast"/>
        <w:ind w:left="714" w:hanging="357"/>
        <w:jc w:val="both"/>
        <w:rPr>
          <w:rFonts w:asciiTheme="minorHAnsi" w:eastAsia="Calibri" w:hAnsiTheme="minorHAnsi" w:cs="Calibri"/>
          <w:szCs w:val="20"/>
        </w:rPr>
      </w:pPr>
      <w:r w:rsidRPr="00F01197">
        <w:rPr>
          <w:rFonts w:asciiTheme="minorHAnsi" w:eastAsia="Calibri" w:hAnsiTheme="minorHAnsi" w:cs="Calibri"/>
          <w:szCs w:val="20"/>
        </w:rPr>
        <w:t>„Program rewitalizacji Bytomia na lata 2007-2020” (zaktualizowany w roku 2009).</w:t>
      </w:r>
    </w:p>
    <w:p w:rsidR="004C2D2B" w:rsidRPr="00F01197" w:rsidRDefault="004C2D2B" w:rsidP="004C2D2B">
      <w:pPr>
        <w:spacing w:line="100" w:lineRule="atLeast"/>
        <w:jc w:val="both"/>
        <w:rPr>
          <w:rFonts w:eastAsia="Calibri" w:cs="Calibri"/>
          <w:color w:val="000000"/>
          <w:szCs w:val="20"/>
        </w:rPr>
      </w:pPr>
      <w:r w:rsidRPr="00F01197">
        <w:rPr>
          <w:rFonts w:eastAsia="Calibri" w:cs="Calibri"/>
          <w:color w:val="000000"/>
          <w:szCs w:val="20"/>
        </w:rPr>
        <w:t>W pierwszym z wymienionych programów wskazano do rewitalizacji tereny miejskie (Śródmieście i Kolonia Zgorzelec), tereny przemysłowe (tereny po zakładach górniczych) oraz tereny miejsko-przemysłowe (Bobrek). Program pozwolił na określenie skali zagrożeń występujących na tych terenach oraz na zaproponowanie preferowanych przedsięwzięć rewitalizacyjnych. Kolejne prace analityczno-planistyczne wykonywane w następnych latach potwierdziły słuszność dokonanych wskazań; również w GPR wykorzystano wyniki uzyskane w omawianym programie.</w:t>
      </w:r>
    </w:p>
    <w:p w:rsidR="004C2D2B" w:rsidRPr="00F01197" w:rsidRDefault="004C2D2B" w:rsidP="004C2D2B">
      <w:pPr>
        <w:spacing w:line="100" w:lineRule="atLeast"/>
        <w:jc w:val="both"/>
        <w:rPr>
          <w:rFonts w:eastAsia="Calibri" w:cs="Calibri"/>
          <w:color w:val="000000"/>
          <w:szCs w:val="20"/>
        </w:rPr>
      </w:pPr>
      <w:r w:rsidRPr="00F01197">
        <w:rPr>
          <w:rFonts w:eastAsia="Calibri" w:cs="Calibri"/>
          <w:color w:val="000000"/>
          <w:szCs w:val="20"/>
        </w:rPr>
        <w:t>„Program rewitalizacji Bytomia na lata 2007-2020” – obok wskazania, a właściwie podtrzymania priorytetów obszarowych rewitalizacji – zawiera zbiór przedsięwzięć w różnych wymiarach rewitalizacji charakterystycznych dla współczesnego podejścia do rewitalizacji, to jest przedsięwzięcia społeczne, gospodarcze, kulturowe i środowiskowe. Filozofia wielowymiarowego podejścia do rewitalizacji jest kontynuowana w GPR.</w:t>
      </w:r>
    </w:p>
    <w:p w:rsidR="004C2D2B" w:rsidRPr="00F01197" w:rsidRDefault="004C2D2B" w:rsidP="004C2D2B">
      <w:pPr>
        <w:spacing w:line="100" w:lineRule="atLeast"/>
        <w:jc w:val="both"/>
        <w:rPr>
          <w:rFonts w:eastAsia="Calibri" w:cs="Calibri"/>
          <w:color w:val="000000"/>
          <w:szCs w:val="20"/>
        </w:rPr>
      </w:pPr>
      <w:r w:rsidRPr="00F01197">
        <w:rPr>
          <w:rFonts w:eastAsia="Calibri" w:cs="Calibri"/>
          <w:color w:val="000000"/>
          <w:szCs w:val="20"/>
        </w:rPr>
        <w:t>W ramach komplementarności programowej warto też wskazać na konsekwentne realizowanie w mieście prac nad kolejnymi programami w układzie partnerskim. Oczywiście, prace nad GPR-em rozwinęły liczbę podmiotów lokalnych biorących udział w pracach programowych. Jednak podkreślić należy, że wcześniejsze prace pozwoliły na utrwalenie w środowisku lokalnym idei rewitalizacji, a część osób biorących udział we wcześniejszych pracach i konsultacjach była aktywna także w pracach nad GPR. Fakty te pokazują, że w mieście udało się uzyskać komplementarność programową w aspekcie:</w:t>
      </w:r>
    </w:p>
    <w:p w:rsidR="004C2D2B" w:rsidRPr="00F01197" w:rsidRDefault="004C2D2B" w:rsidP="002722E1">
      <w:pPr>
        <w:pStyle w:val="Akapitzlist2"/>
        <w:numPr>
          <w:ilvl w:val="0"/>
          <w:numId w:val="22"/>
        </w:numPr>
        <w:tabs>
          <w:tab w:val="num" w:pos="0"/>
        </w:tabs>
        <w:spacing w:before="120" w:line="100" w:lineRule="atLeast"/>
        <w:ind w:left="714" w:hanging="357"/>
        <w:jc w:val="both"/>
        <w:rPr>
          <w:rFonts w:asciiTheme="minorHAnsi" w:eastAsia="Calibri" w:hAnsiTheme="minorHAnsi" w:cs="Calibri"/>
          <w:szCs w:val="20"/>
        </w:rPr>
      </w:pPr>
      <w:r w:rsidRPr="00F01197">
        <w:rPr>
          <w:rFonts w:asciiTheme="minorHAnsi" w:eastAsia="Calibri" w:hAnsiTheme="minorHAnsi" w:cs="Calibri"/>
          <w:szCs w:val="20"/>
        </w:rPr>
        <w:t>przestrzennym,</w:t>
      </w:r>
    </w:p>
    <w:p w:rsidR="004C2D2B" w:rsidRPr="00F01197" w:rsidRDefault="004C2D2B" w:rsidP="002722E1">
      <w:pPr>
        <w:pStyle w:val="Akapitzlist2"/>
        <w:numPr>
          <w:ilvl w:val="0"/>
          <w:numId w:val="22"/>
        </w:numPr>
        <w:tabs>
          <w:tab w:val="num" w:pos="0"/>
        </w:tabs>
        <w:spacing w:line="100" w:lineRule="atLeast"/>
        <w:ind w:left="714" w:hanging="357"/>
        <w:jc w:val="both"/>
        <w:rPr>
          <w:rFonts w:asciiTheme="minorHAnsi" w:eastAsia="Calibri" w:hAnsiTheme="minorHAnsi" w:cs="Calibri"/>
          <w:szCs w:val="20"/>
        </w:rPr>
      </w:pPr>
      <w:r w:rsidRPr="00F01197">
        <w:rPr>
          <w:rFonts w:asciiTheme="minorHAnsi" w:eastAsia="Calibri" w:hAnsiTheme="minorHAnsi" w:cs="Calibri"/>
          <w:szCs w:val="20"/>
        </w:rPr>
        <w:t>treściowym,</w:t>
      </w:r>
    </w:p>
    <w:p w:rsidR="004C2D2B" w:rsidRPr="00F01197" w:rsidRDefault="004C2D2B" w:rsidP="002722E1">
      <w:pPr>
        <w:pStyle w:val="Akapitzlist2"/>
        <w:numPr>
          <w:ilvl w:val="0"/>
          <w:numId w:val="22"/>
        </w:numPr>
        <w:tabs>
          <w:tab w:val="num" w:pos="0"/>
        </w:tabs>
        <w:spacing w:line="100" w:lineRule="atLeast"/>
        <w:ind w:left="714" w:hanging="357"/>
        <w:jc w:val="both"/>
        <w:rPr>
          <w:rFonts w:asciiTheme="minorHAnsi" w:eastAsia="Calibri" w:hAnsiTheme="minorHAnsi" w:cs="Calibri"/>
          <w:szCs w:val="20"/>
        </w:rPr>
      </w:pPr>
      <w:r w:rsidRPr="00F01197">
        <w:rPr>
          <w:rFonts w:asciiTheme="minorHAnsi" w:eastAsia="Calibri" w:hAnsiTheme="minorHAnsi" w:cs="Calibri"/>
          <w:szCs w:val="20"/>
        </w:rPr>
        <w:t>metodycznym,</w:t>
      </w:r>
    </w:p>
    <w:p w:rsidR="004C2D2B" w:rsidRPr="00F01197" w:rsidRDefault="004C2D2B" w:rsidP="002722E1">
      <w:pPr>
        <w:pStyle w:val="Akapitzlist2"/>
        <w:numPr>
          <w:ilvl w:val="0"/>
          <w:numId w:val="22"/>
        </w:numPr>
        <w:tabs>
          <w:tab w:val="num" w:pos="0"/>
        </w:tabs>
        <w:spacing w:line="100" w:lineRule="atLeast"/>
        <w:ind w:left="714" w:hanging="357"/>
        <w:jc w:val="both"/>
        <w:rPr>
          <w:rFonts w:asciiTheme="minorHAnsi" w:eastAsia="Calibri" w:hAnsiTheme="minorHAnsi" w:cs="Calibri"/>
          <w:szCs w:val="20"/>
        </w:rPr>
      </w:pPr>
      <w:r w:rsidRPr="00F01197">
        <w:rPr>
          <w:rFonts w:asciiTheme="minorHAnsi" w:eastAsia="Calibri" w:hAnsiTheme="minorHAnsi" w:cs="Calibri"/>
          <w:szCs w:val="20"/>
        </w:rPr>
        <w:t>podmiotowym.</w:t>
      </w:r>
    </w:p>
    <w:p w:rsidR="004C2D2B" w:rsidRPr="00F01197" w:rsidRDefault="004C2D2B" w:rsidP="004C2D2B">
      <w:pPr>
        <w:widowControl w:val="0"/>
        <w:tabs>
          <w:tab w:val="right" w:pos="1003"/>
        </w:tabs>
        <w:spacing w:line="100" w:lineRule="atLeast"/>
        <w:jc w:val="both"/>
      </w:pPr>
    </w:p>
    <w:p w:rsidR="004C2D2B" w:rsidRPr="00F01197" w:rsidRDefault="004C2D2B" w:rsidP="003B3BFB">
      <w:pPr>
        <w:pStyle w:val="Akapitzlist2"/>
        <w:numPr>
          <w:ilvl w:val="0"/>
          <w:numId w:val="59"/>
        </w:numPr>
        <w:spacing w:line="100" w:lineRule="atLeast"/>
        <w:jc w:val="both"/>
        <w:rPr>
          <w:rFonts w:asciiTheme="minorHAnsi" w:eastAsia="Calibri" w:hAnsiTheme="minorHAnsi" w:cs="Calibri"/>
          <w:b/>
          <w:szCs w:val="20"/>
        </w:rPr>
      </w:pPr>
      <w:r w:rsidRPr="00F01197">
        <w:rPr>
          <w:rFonts w:asciiTheme="minorHAnsi" w:eastAsia="Calibri" w:hAnsiTheme="minorHAnsi" w:cs="Calibri"/>
          <w:b/>
          <w:szCs w:val="20"/>
        </w:rPr>
        <w:t>Komplem</w:t>
      </w:r>
      <w:r w:rsidR="00295930">
        <w:rPr>
          <w:rFonts w:asciiTheme="minorHAnsi" w:eastAsia="Calibri" w:hAnsiTheme="minorHAnsi" w:cs="Calibri"/>
          <w:b/>
          <w:szCs w:val="20"/>
        </w:rPr>
        <w:t>entarność przestrzenna</w:t>
      </w:r>
    </w:p>
    <w:p w:rsidR="004C2D2B" w:rsidRPr="00F01197" w:rsidRDefault="004C2D2B" w:rsidP="004C2D2B">
      <w:pPr>
        <w:spacing w:line="100" w:lineRule="atLeast"/>
        <w:ind w:firstLine="708"/>
        <w:jc w:val="both"/>
        <w:rPr>
          <w:rFonts w:eastAsia="Calibri" w:cs="Calibri"/>
          <w:szCs w:val="20"/>
        </w:rPr>
      </w:pPr>
      <w:r w:rsidRPr="00F01197">
        <w:rPr>
          <w:rFonts w:eastAsia="Calibri" w:cs="Calibri"/>
          <w:szCs w:val="20"/>
        </w:rPr>
        <w:t xml:space="preserve">Komplementarność przestrzenna zostanie zagwarantowana poprzez identyfikację podstawowych przedsięwzięć rewitalizacyjnych ukierunkowanych w ramach wiązek terytorialnie skierowanych na rozwiązywania danych problemów na danym podobszarze rewitalizacji. </w:t>
      </w:r>
      <w:r w:rsidR="00747D46" w:rsidRPr="00600348">
        <w:t>Zgodnie z informacjami przedstawionymi w podrozdziale 2.7 zdefiniowanie wiązek zostało poprzedzone analizą podobszarów rewitalizacji pod kątem wdrożenia najefektywniejszych rozwiązań w zakresie procesów rewitalizacyjnych – zwłaszcza w kontekście wzajemnych powiązań oraz położenia.</w:t>
      </w:r>
    </w:p>
    <w:p w:rsidR="004C2D2B" w:rsidRPr="00F01197" w:rsidRDefault="004C2D2B" w:rsidP="004C2D2B">
      <w:pPr>
        <w:spacing w:line="100" w:lineRule="atLeast"/>
        <w:jc w:val="both"/>
        <w:rPr>
          <w:rFonts w:eastAsia="Calibri" w:cs="Calibri"/>
          <w:szCs w:val="20"/>
        </w:rPr>
      </w:pPr>
      <w:r w:rsidRPr="00F01197">
        <w:rPr>
          <w:rFonts w:eastAsia="Calibri" w:cs="Calibri"/>
          <w:szCs w:val="20"/>
        </w:rPr>
        <w:t xml:space="preserve">Co do zasady przedsięwzięcia rewitalizacyjne powinny być realizowane w obszarze rewitalizacji, jednocześnie zgodnie z ustawą o rewitalizacji z dnia 9 października 2015 roku dopuszcza się by przedsięwzięcia zamieszczone w GPR były realizowane poza obszarem rewitalizacji, jeżeli wynika to z ich specyfiki – tzn. jeśli ich oddziaływanie wpływa na obszar rewitalizacji lub też, jeśli nie jest możliwe lub racjonalne realizowanie projektu w obszarze rewitalizacji (np. infrastruktura niezbędna do realizacji danego projektu zlokalizowana jest poza obszarem rewitalizacji). </w:t>
      </w:r>
    </w:p>
    <w:p w:rsidR="004C2D2B" w:rsidRPr="00F01197" w:rsidRDefault="004C2D2B" w:rsidP="004C2D2B">
      <w:pPr>
        <w:spacing w:line="100" w:lineRule="atLeast"/>
        <w:jc w:val="both"/>
        <w:rPr>
          <w:rFonts w:eastAsia="Calibri" w:cs="Calibri"/>
          <w:szCs w:val="20"/>
        </w:rPr>
      </w:pPr>
      <w:r w:rsidRPr="00F01197">
        <w:rPr>
          <w:rFonts w:eastAsia="Calibri" w:cs="Calibri"/>
          <w:szCs w:val="20"/>
        </w:rPr>
        <w:t>Wymiar przestrzenny komplementarności zostanie również wzmocniony przez realizację założeń projektu pilotażowego, w ramach którego, w związku z koniecznością dywersyfikacji skali i natężenia działań pilotażowych zaproponowano przyjęcie dwóch poziomów działań w odniesieniu do:</w:t>
      </w:r>
    </w:p>
    <w:p w:rsidR="004C2D2B" w:rsidRPr="00F01197" w:rsidRDefault="004C2D2B" w:rsidP="002722E1">
      <w:pPr>
        <w:widowControl w:val="0"/>
        <w:numPr>
          <w:ilvl w:val="0"/>
          <w:numId w:val="58"/>
        </w:numPr>
        <w:tabs>
          <w:tab w:val="right" w:pos="1003"/>
        </w:tabs>
        <w:suppressAutoHyphens/>
        <w:spacing w:before="120" w:line="100" w:lineRule="atLeast"/>
        <w:ind w:left="714" w:hanging="357"/>
        <w:jc w:val="both"/>
        <w:rPr>
          <w:rFonts w:eastAsia="Calibri" w:cs="Calibri"/>
          <w:szCs w:val="20"/>
        </w:rPr>
      </w:pPr>
      <w:r w:rsidRPr="00F01197">
        <w:rPr>
          <w:rFonts w:eastAsia="Calibri" w:cs="Calibri"/>
          <w:szCs w:val="20"/>
        </w:rPr>
        <w:t>całego obszaru rewitalizacji,</w:t>
      </w:r>
    </w:p>
    <w:p w:rsidR="004C2D2B" w:rsidRPr="00F01197" w:rsidRDefault="004C2D2B" w:rsidP="002722E1">
      <w:pPr>
        <w:widowControl w:val="0"/>
        <w:numPr>
          <w:ilvl w:val="0"/>
          <w:numId w:val="58"/>
        </w:numPr>
        <w:tabs>
          <w:tab w:val="right" w:pos="1003"/>
        </w:tabs>
        <w:suppressAutoHyphens/>
        <w:spacing w:after="120" w:line="100" w:lineRule="atLeast"/>
        <w:ind w:left="714" w:hanging="357"/>
        <w:jc w:val="both"/>
        <w:rPr>
          <w:rFonts w:eastAsia="Calibri" w:cs="Calibri"/>
          <w:szCs w:val="20"/>
        </w:rPr>
      </w:pPr>
      <w:r w:rsidRPr="00F01197">
        <w:rPr>
          <w:rFonts w:eastAsia="Calibri" w:cs="Calibri"/>
          <w:szCs w:val="20"/>
        </w:rPr>
        <w:t>obszaru pilotażowego.</w:t>
      </w:r>
    </w:p>
    <w:p w:rsidR="004C2D2B" w:rsidRPr="00F01197" w:rsidRDefault="004C2D2B" w:rsidP="004C2D2B">
      <w:pPr>
        <w:pStyle w:val="Application3"/>
        <w:ind w:left="0" w:firstLine="0"/>
        <w:jc w:val="both"/>
        <w:rPr>
          <w:rFonts w:asciiTheme="minorHAnsi" w:hAnsiTheme="minorHAnsi"/>
          <w:sz w:val="20"/>
          <w:lang w:val="pl-PL"/>
        </w:rPr>
      </w:pPr>
      <w:r w:rsidRPr="00F01197">
        <w:rPr>
          <w:rFonts w:asciiTheme="minorHAnsi" w:hAnsiTheme="minorHAnsi"/>
          <w:sz w:val="20"/>
          <w:lang w:val="pl-PL"/>
        </w:rPr>
        <w:t xml:space="preserve">Jako obszar pilotażowy rekomenduje się kwartały: 7, 8, 9, 10, 21, 22, 23, 24, 25, 40a,b zgodnie z numeracją przyjętą </w:t>
      </w:r>
      <w:r w:rsidRPr="00F01197">
        <w:rPr>
          <w:rFonts w:asciiTheme="minorHAnsi" w:hAnsiTheme="minorHAnsi"/>
          <w:sz w:val="20"/>
          <w:szCs w:val="20"/>
          <w:lang w:val="pl-PL"/>
        </w:rPr>
        <w:t xml:space="preserve">w Studium wykonalności dla </w:t>
      </w:r>
      <w:r w:rsidRPr="00F01197">
        <w:rPr>
          <w:rFonts w:asciiTheme="minorHAnsi" w:hAnsiTheme="minorHAnsi"/>
          <w:iCs/>
          <w:sz w:val="20"/>
          <w:szCs w:val="20"/>
          <w:lang w:val="pl-PL"/>
        </w:rPr>
        <w:t>projektu pn. Rewitalizacja Starówki Bytomia – dziedzictwa kulturowego regionu” opracowanym przez Główny Instytut Górnictwa</w:t>
      </w:r>
      <w:r w:rsidRPr="00F01197">
        <w:rPr>
          <w:rFonts w:asciiTheme="minorHAnsi" w:hAnsiTheme="minorHAnsi"/>
          <w:sz w:val="20"/>
          <w:lang w:val="pl-PL"/>
        </w:rPr>
        <w:t xml:space="preserve"> oraz teren po zajezdni kolei wąskotorowej w</w:t>
      </w:r>
      <w:r w:rsidR="00100FEA">
        <w:rPr>
          <w:rFonts w:asciiTheme="minorHAnsi" w:hAnsiTheme="minorHAnsi"/>
          <w:sz w:val="20"/>
          <w:lang w:val="pl-PL"/>
        </w:rPr>
        <w:t> </w:t>
      </w:r>
      <w:r w:rsidRPr="00F01197">
        <w:rPr>
          <w:rFonts w:asciiTheme="minorHAnsi" w:hAnsiTheme="minorHAnsi"/>
          <w:sz w:val="20"/>
          <w:lang w:val="pl-PL"/>
        </w:rPr>
        <w:t>podobszarze Rozbark. Obszar pilotażowy złożony z ww. terenów pozwala w efektywny sposób prowadzić działania szkoleniowe i doradcze skierowane do interesariuszy ukierunkowane na wzrost ich zaangażowania w</w:t>
      </w:r>
      <w:r w:rsidR="00100FEA">
        <w:rPr>
          <w:rFonts w:asciiTheme="minorHAnsi" w:hAnsiTheme="minorHAnsi"/>
          <w:sz w:val="20"/>
          <w:lang w:val="pl-PL"/>
        </w:rPr>
        <w:t> </w:t>
      </w:r>
      <w:r w:rsidRPr="00F01197">
        <w:rPr>
          <w:rFonts w:asciiTheme="minorHAnsi" w:hAnsiTheme="minorHAnsi"/>
          <w:sz w:val="20"/>
          <w:lang w:val="pl-PL"/>
        </w:rPr>
        <w:t>realizację własnych projektów w ramach GPR.</w:t>
      </w:r>
    </w:p>
    <w:p w:rsidR="004C2D2B" w:rsidRPr="00F01197" w:rsidRDefault="004C2D2B" w:rsidP="004C2D2B">
      <w:pPr>
        <w:pStyle w:val="Application3"/>
        <w:ind w:left="0" w:firstLine="0"/>
        <w:jc w:val="both"/>
        <w:rPr>
          <w:rFonts w:asciiTheme="minorHAnsi" w:hAnsiTheme="minorHAnsi"/>
          <w:sz w:val="20"/>
          <w:lang w:val="pl-PL"/>
        </w:rPr>
      </w:pPr>
    </w:p>
    <w:p w:rsidR="004C2D2B" w:rsidRPr="00F01197" w:rsidRDefault="007E2EE5" w:rsidP="007E2EE5">
      <w:pPr>
        <w:pStyle w:val="Legenda"/>
        <w:spacing w:line="312" w:lineRule="auto"/>
        <w:rPr>
          <w:szCs w:val="24"/>
        </w:rPr>
      </w:pPr>
      <w:bookmarkStart w:id="9160" w:name="_Toc191972660"/>
      <w:r w:rsidRPr="00F01197">
        <w:t xml:space="preserve">Mapa </w:t>
      </w:r>
      <w:r w:rsidR="003972D8" w:rsidRPr="00F01197">
        <w:fldChar w:fldCharType="begin"/>
      </w:r>
      <w:r w:rsidRPr="00F01197">
        <w:instrText xml:space="preserve"> SEQ Mapa \* ARABIC </w:instrText>
      </w:r>
      <w:r w:rsidR="003972D8" w:rsidRPr="00F01197">
        <w:fldChar w:fldCharType="separate"/>
      </w:r>
      <w:r w:rsidR="00413FFE">
        <w:rPr>
          <w:noProof/>
        </w:rPr>
        <w:t>48</w:t>
      </w:r>
      <w:r w:rsidR="003972D8" w:rsidRPr="00F01197">
        <w:fldChar w:fldCharType="end"/>
      </w:r>
      <w:r w:rsidRPr="00F01197">
        <w:t>. Kwartały wg ReRoŚ</w:t>
      </w:r>
      <w:bookmarkEnd w:id="9160"/>
      <w:r w:rsidRPr="00F01197">
        <w:t xml:space="preserve"> </w:t>
      </w:r>
    </w:p>
    <w:p w:rsidR="004C2D2B" w:rsidRPr="00AD2428" w:rsidRDefault="0043168D" w:rsidP="004C2D2B">
      <w:pPr>
        <w:pStyle w:val="Application3"/>
        <w:ind w:left="0" w:firstLine="0"/>
        <w:jc w:val="both"/>
        <w:rPr>
          <w:rFonts w:asciiTheme="minorHAnsi" w:hAnsiTheme="minorHAnsi"/>
          <w:sz w:val="20"/>
          <w:highlight w:val="yellow"/>
          <w:lang w:val="pl-PL"/>
        </w:rPr>
      </w:pPr>
      <w:r>
        <w:rPr>
          <w:noProof/>
          <w:lang w:val="pl-PL" w:eastAsia="pl-PL"/>
        </w:rPr>
        <w:drawing>
          <wp:inline distT="0" distB="0" distL="0" distR="0">
            <wp:extent cx="5762625" cy="4533900"/>
            <wp:effectExtent l="57150" t="38100" r="47625" b="19050"/>
            <wp:docPr id="2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21" cstate="print"/>
                    <a:srcRect/>
                    <a:stretch>
                      <a:fillRect/>
                    </a:stretch>
                  </pic:blipFill>
                  <pic:spPr bwMode="auto">
                    <a:xfrm>
                      <a:off x="0" y="0"/>
                      <a:ext cx="5762625" cy="4533900"/>
                    </a:xfrm>
                    <a:prstGeom prst="rect">
                      <a:avLst/>
                    </a:prstGeom>
                    <a:noFill/>
                    <a:ln w="28575" cmpd="sng">
                      <a:solidFill>
                        <a:srgbClr val="365F91"/>
                      </a:solidFill>
                      <a:miter lim="800000"/>
                      <a:headEnd/>
                      <a:tailEnd/>
                    </a:ln>
                    <a:effectLst/>
                  </pic:spPr>
                </pic:pic>
              </a:graphicData>
            </a:graphic>
          </wp:inline>
        </w:drawing>
      </w:r>
    </w:p>
    <w:p w:rsidR="004C2D2B" w:rsidRPr="00F01197" w:rsidRDefault="00E438BE" w:rsidP="004C2D2B">
      <w:pPr>
        <w:pStyle w:val="Application3"/>
        <w:spacing w:after="120" w:line="276" w:lineRule="auto"/>
        <w:ind w:left="0" w:firstLine="0"/>
        <w:jc w:val="both"/>
        <w:rPr>
          <w:rFonts w:asciiTheme="minorHAnsi" w:hAnsiTheme="minorHAnsi"/>
          <w:i/>
          <w:sz w:val="18"/>
          <w:lang w:val="pl-PL"/>
        </w:rPr>
      </w:pPr>
      <w:r w:rsidRPr="00F01197">
        <w:rPr>
          <w:rFonts w:asciiTheme="minorHAnsi" w:hAnsiTheme="minorHAnsi"/>
          <w:i/>
          <w:sz w:val="18"/>
          <w:lang w:val="pl-PL"/>
        </w:rPr>
        <w:t>Ź</w:t>
      </w:r>
      <w:r w:rsidR="004C2D2B" w:rsidRPr="00F01197">
        <w:rPr>
          <w:rFonts w:asciiTheme="minorHAnsi" w:hAnsiTheme="minorHAnsi"/>
          <w:i/>
          <w:sz w:val="18"/>
          <w:lang w:val="pl-PL"/>
        </w:rPr>
        <w:t>ródło: Opracowanie GIG na podstawie mapy Urzędu Miejskiego w Bytomiu</w:t>
      </w:r>
    </w:p>
    <w:p w:rsidR="004C2D2B" w:rsidRPr="00F01197" w:rsidRDefault="004C2D2B" w:rsidP="00F01197">
      <w:pPr>
        <w:spacing w:line="100" w:lineRule="atLeast"/>
        <w:ind w:firstLine="708"/>
        <w:jc w:val="both"/>
        <w:rPr>
          <w:rFonts w:cs="Arial"/>
          <w:spacing w:val="-2"/>
          <w:szCs w:val="20"/>
          <w:lang w:eastAsia="ar-SA"/>
        </w:rPr>
      </w:pPr>
      <w:r w:rsidRPr="00F01197">
        <w:rPr>
          <w:rFonts w:cs="Arial"/>
          <w:spacing w:val="-2"/>
          <w:szCs w:val="20"/>
          <w:lang w:eastAsia="ar-SA"/>
        </w:rPr>
        <w:t xml:space="preserve">Podstawowe wsparcie w „Bytomskim Modelu Mieszkalnictwa Dostępnego” skierowane jest do obszaru </w:t>
      </w:r>
      <w:r w:rsidR="00A31F02">
        <w:rPr>
          <w:rFonts w:cs="Arial"/>
          <w:spacing w:val="-2"/>
          <w:szCs w:val="20"/>
          <w:lang w:eastAsia="ar-SA"/>
        </w:rPr>
        <w:t>rewitalizacji</w:t>
      </w:r>
      <w:r w:rsidRPr="00F01197">
        <w:rPr>
          <w:rFonts w:cs="Arial"/>
          <w:spacing w:val="-2"/>
          <w:szCs w:val="20"/>
          <w:lang w:eastAsia="ar-SA"/>
        </w:rPr>
        <w:t>. Został wybrany, jako pilotażowy, z uwagi na dużą reprezentację różnego typu interesariuszy, a także występowanie niezagospodarowanych zasobów mieszkaniowych, które mogłyby być testowo/pilotażowo wykorzystywane. Możliwość kreowania i badania zachodzących pomiędzy poszczególnymi interesariuszami (miasto, przedsiębiorcy, instytucje edukacyjne, kulturalne, mieszkańcy) wzajemnych oddziaływań, może posłużyć, jako swoiste Miejskie Laboratorium Interakcji, a wyciągnięte z tego wnioski będą podstawą do stworzenia efektywnego i w pełni funkcjonalnego systemu skutecznej komunikacji miejskiej.</w:t>
      </w:r>
    </w:p>
    <w:p w:rsidR="004C2D2B" w:rsidRPr="00F01197" w:rsidRDefault="004C2D2B" w:rsidP="004C2D2B">
      <w:pPr>
        <w:spacing w:line="100" w:lineRule="atLeast"/>
        <w:jc w:val="both"/>
        <w:rPr>
          <w:rFonts w:cs="Arial"/>
          <w:spacing w:val="-2"/>
          <w:szCs w:val="20"/>
          <w:lang w:eastAsia="ar-SA"/>
        </w:rPr>
      </w:pPr>
      <w:r w:rsidRPr="00F01197">
        <w:rPr>
          <w:rFonts w:cs="Arial"/>
          <w:spacing w:val="-2"/>
          <w:szCs w:val="20"/>
          <w:lang w:eastAsia="ar-SA"/>
        </w:rPr>
        <w:t>Istotne znaczenie ma sąsiedztwo i lokalizacja tego terenu, a także obecność na tym terenie wielu podmiotów. Ze względu na istotne znaczenie budowania procedur współpracy i partnerstwa między interesariuszami reprezentującymi różne środowiska (mieszkańcy, instytucje publiczne, przedsiębiorcy, organizacje pozarządowe, kościół)</w:t>
      </w:r>
      <w:r w:rsidRPr="00F01197">
        <w:rPr>
          <w:rFonts w:cs="Arial"/>
          <w:spacing w:val="-2"/>
          <w:szCs w:val="20"/>
          <w:vertAlign w:val="superscript"/>
          <w:lang w:eastAsia="ar-SA"/>
        </w:rPr>
        <w:footnoteReference w:id="44"/>
      </w:r>
      <w:r w:rsidRPr="00F01197">
        <w:rPr>
          <w:rFonts w:cs="Arial"/>
          <w:spacing w:val="-2"/>
          <w:szCs w:val="20"/>
          <w:lang w:eastAsia="ar-SA"/>
        </w:rPr>
        <w:t xml:space="preserve"> </w:t>
      </w:r>
      <w:r w:rsidRPr="00F01197">
        <w:rPr>
          <w:rFonts w:cs="Arial"/>
          <w:b/>
          <w:spacing w:val="-2"/>
          <w:szCs w:val="20"/>
          <w:lang w:eastAsia="ar-SA"/>
        </w:rPr>
        <w:t xml:space="preserve">w obszarze pilotażowym będą testowane działania doradcze i edukacyjne dla interesariuszy, tutaj też w pierwszej kolejności realizowane będą testowe projekty w ramach </w:t>
      </w:r>
      <w:r w:rsidRPr="00F01197">
        <w:rPr>
          <w:rFonts w:cs="Arial"/>
          <w:b/>
          <w:i/>
          <w:spacing w:val="-2"/>
          <w:szCs w:val="20"/>
          <w:lang w:eastAsia="ar-SA"/>
        </w:rPr>
        <w:t xml:space="preserve">Bytomskiego </w:t>
      </w:r>
      <w:r w:rsidR="00E05EE4">
        <w:rPr>
          <w:rFonts w:cs="Arial"/>
          <w:b/>
          <w:i/>
          <w:spacing w:val="-2"/>
          <w:szCs w:val="20"/>
          <w:lang w:eastAsia="ar-SA"/>
        </w:rPr>
        <w:t>Modelu Dostępnego Mieszkalnictwa</w:t>
      </w:r>
      <w:r w:rsidRPr="00F01197">
        <w:rPr>
          <w:rFonts w:cs="Arial"/>
          <w:b/>
          <w:i/>
          <w:spacing w:val="-2"/>
          <w:szCs w:val="20"/>
          <w:lang w:eastAsia="ar-SA"/>
        </w:rPr>
        <w:t xml:space="preserve"> </w:t>
      </w:r>
      <w:r w:rsidRPr="00F01197">
        <w:rPr>
          <w:rFonts w:cs="Arial"/>
          <w:spacing w:val="-2"/>
          <w:szCs w:val="20"/>
          <w:lang w:eastAsia="ar-SA"/>
        </w:rPr>
        <w:t xml:space="preserve">. </w:t>
      </w:r>
    </w:p>
    <w:p w:rsidR="004C2D2B" w:rsidRPr="00F01197" w:rsidRDefault="004C2D2B" w:rsidP="004C2D2B">
      <w:pPr>
        <w:spacing w:line="100" w:lineRule="atLeast"/>
        <w:jc w:val="both"/>
        <w:rPr>
          <w:rFonts w:cs="Arial"/>
          <w:spacing w:val="-2"/>
          <w:szCs w:val="20"/>
          <w:lang w:eastAsia="ar-SA"/>
        </w:rPr>
      </w:pPr>
      <w:r w:rsidRPr="00F01197">
        <w:rPr>
          <w:rFonts w:cs="Arial"/>
          <w:spacing w:val="-2"/>
          <w:szCs w:val="20"/>
          <w:lang w:eastAsia="ar-SA"/>
        </w:rPr>
        <w:t xml:space="preserve">Kompozycja interesariuszy i zróżnicowana struktura przestrzenna pozwala na partycypacyjne opracowanie koncepcji organizacyjno-funkcjonalnej, które będzie ramą dla działań podmiotów prywatnych w tym obszarze oraz </w:t>
      </w:r>
      <w:r w:rsidRPr="00F01197">
        <w:rPr>
          <w:rFonts w:cs="Arial"/>
          <w:b/>
          <w:spacing w:val="-2"/>
          <w:szCs w:val="20"/>
          <w:lang w:eastAsia="ar-SA"/>
        </w:rPr>
        <w:t>planów działań dla poszczególnych uczestników procesu</w:t>
      </w:r>
      <w:r w:rsidRPr="00F01197">
        <w:rPr>
          <w:rFonts w:cs="Arial"/>
          <w:spacing w:val="-2"/>
          <w:szCs w:val="20"/>
          <w:lang w:eastAsia="ar-SA"/>
        </w:rPr>
        <w:t xml:space="preserve">, wzbogaconej dla podmiotów publicznych o niezbędne analizy prawne i dokumentację techniczną do realizacji inwestycyjnych komponentów planowanych działań. Opracowanie planów działań do pilotażowych wdrożeń powinno rozpocząć się jak najwcześniej po uchwaleniu GPR, przy czym przygotowanie do nich należy już prowadzić w trakcie procedury opracowania GPR, aby włączyć od samego początku jak najszerszą grupę interesariuszy. </w:t>
      </w:r>
    </w:p>
    <w:p w:rsidR="004C2D2B" w:rsidRPr="00F01197" w:rsidRDefault="004C2D2B" w:rsidP="004C2D2B">
      <w:pPr>
        <w:spacing w:line="100" w:lineRule="atLeast"/>
        <w:jc w:val="both"/>
        <w:rPr>
          <w:rFonts w:cs="Arial"/>
          <w:spacing w:val="-2"/>
          <w:szCs w:val="20"/>
          <w:lang w:eastAsia="ar-SA"/>
        </w:rPr>
      </w:pPr>
      <w:r w:rsidRPr="00F01197">
        <w:rPr>
          <w:rFonts w:cs="Arial"/>
          <w:spacing w:val="-2"/>
          <w:szCs w:val="20"/>
          <w:lang w:eastAsia="ar-SA"/>
        </w:rPr>
        <w:t>Dodatkowo, do obszaru pilotażowego został zaliczony teren dawnej zajezdni kolei wąskotorowej w dzielnicy Rozbark. Opracowanie planu działania przedstawiającego jego ponowne zagospodarowanie może być przykładem do wykorzystania w kolejnych tego typu obszarach Bytomia.</w:t>
      </w:r>
    </w:p>
    <w:p w:rsidR="004C2D2B" w:rsidRPr="00F01197" w:rsidRDefault="004C2D2B" w:rsidP="004C2D2B">
      <w:pPr>
        <w:spacing w:line="100" w:lineRule="atLeast"/>
        <w:jc w:val="both"/>
        <w:rPr>
          <w:rFonts w:cs="Arial"/>
          <w:spacing w:val="-2"/>
          <w:szCs w:val="20"/>
          <w:lang w:eastAsia="ar-SA"/>
        </w:rPr>
      </w:pPr>
      <w:r w:rsidRPr="00F01197">
        <w:rPr>
          <w:rFonts w:cs="Arial"/>
          <w:spacing w:val="-2"/>
          <w:szCs w:val="20"/>
          <w:lang w:eastAsia="ar-SA"/>
        </w:rPr>
        <w:t>Opracowane plany działań dla poszczególnych interesariuszy będą składać się z listy jasno zdefiniowanych czynności i niezbędnych zasobów / informacji (terminy konkursów, możliwości ubiegania się o środki z</w:t>
      </w:r>
      <w:r w:rsidR="00CD7760">
        <w:rPr>
          <w:rFonts w:cs="Arial"/>
          <w:spacing w:val="-2"/>
          <w:szCs w:val="20"/>
          <w:lang w:eastAsia="ar-SA"/>
        </w:rPr>
        <w:t> </w:t>
      </w:r>
      <w:r w:rsidRPr="00F01197">
        <w:rPr>
          <w:rFonts w:cs="Arial"/>
          <w:spacing w:val="-2"/>
          <w:szCs w:val="20"/>
          <w:lang w:eastAsia="ar-SA"/>
        </w:rPr>
        <w:t xml:space="preserve">różnorodnych źródeł wraz z informacjami o zasadach). Do ich upowszechniania wykorzystana zostanie strona internetowa </w:t>
      </w:r>
      <w:hyperlink r:id="rId122" w:history="1">
        <w:r w:rsidRPr="00F01197">
          <w:rPr>
            <w:rStyle w:val="Hipercze"/>
            <w:rFonts w:cs="Arial"/>
            <w:spacing w:val="-2"/>
            <w:szCs w:val="20"/>
            <w:lang w:eastAsia="ar-SA"/>
          </w:rPr>
          <w:t>www.bytomodnowa.pl</w:t>
        </w:r>
      </w:hyperlink>
      <w:r w:rsidRPr="00F01197">
        <w:rPr>
          <w:rFonts w:cs="Arial"/>
          <w:spacing w:val="-2"/>
          <w:szCs w:val="20"/>
          <w:lang w:eastAsia="ar-SA"/>
        </w:rPr>
        <w:t xml:space="preserve"> oraz kwartalnik o kompleksowej rewitalizacji Bytomia pn.: </w:t>
      </w:r>
      <w:r w:rsidR="007F6938" w:rsidRPr="00F923F6">
        <w:rPr>
          <w:szCs w:val="20"/>
        </w:rPr>
        <w:t>B</w:t>
      </w:r>
      <w:r w:rsidR="007F6938">
        <w:rPr>
          <w:szCs w:val="20"/>
        </w:rPr>
        <w:t>YTOM odNOWA</w:t>
      </w:r>
      <w:r w:rsidRPr="00F01197">
        <w:rPr>
          <w:rFonts w:cs="Arial"/>
          <w:spacing w:val="-2"/>
          <w:szCs w:val="20"/>
          <w:lang w:eastAsia="ar-SA"/>
        </w:rPr>
        <w:t>. Opracowanie planów działań z oznaczonymi kamieniami milowymi i zapotrzebowaniem na pomoc doradczą będzie służyło wspieraniu procesu zarządzania w obszarze pilotażowym. Interesariusze z tego obszaru będą także korzystać z doradztwa oraz szkoleń w stałych punktach informacyjnych.</w:t>
      </w:r>
    </w:p>
    <w:p w:rsidR="004C2D2B" w:rsidRPr="00F01197" w:rsidRDefault="004C2D2B" w:rsidP="00434840">
      <w:pPr>
        <w:spacing w:line="100" w:lineRule="atLeast"/>
        <w:ind w:firstLine="708"/>
        <w:jc w:val="both"/>
        <w:rPr>
          <w:rFonts w:eastAsia="Calibri" w:cs="Calibri"/>
          <w:color w:val="000000"/>
          <w:szCs w:val="20"/>
        </w:rPr>
      </w:pPr>
      <w:r w:rsidRPr="00F01197">
        <w:rPr>
          <w:rFonts w:eastAsia="Calibri" w:cs="Calibri"/>
          <w:color w:val="000000"/>
          <w:szCs w:val="20"/>
        </w:rPr>
        <w:t>W ramach komplementarności przestrzennej zwrócono także uwagę na komplementarność między procesem rewitalizacji</w:t>
      </w:r>
      <w:r w:rsidR="00365534">
        <w:rPr>
          <w:rFonts w:eastAsia="Calibri" w:cs="Calibri"/>
          <w:color w:val="000000"/>
          <w:szCs w:val="20"/>
        </w:rPr>
        <w:t>,</w:t>
      </w:r>
      <w:r w:rsidRPr="00F01197">
        <w:rPr>
          <w:rFonts w:eastAsia="Calibri" w:cs="Calibri"/>
          <w:color w:val="000000"/>
          <w:szCs w:val="20"/>
        </w:rPr>
        <w:t xml:space="preserve"> a rozwojem miasta. Działania podejmowane w obszarach rewitalizacji zaplanowano w</w:t>
      </w:r>
      <w:r w:rsidR="00365534">
        <w:rPr>
          <w:rFonts w:eastAsia="Calibri" w:cs="Calibri"/>
          <w:color w:val="000000"/>
          <w:szCs w:val="20"/>
        </w:rPr>
        <w:t> </w:t>
      </w:r>
      <w:r w:rsidRPr="00F01197">
        <w:rPr>
          <w:rFonts w:eastAsia="Calibri" w:cs="Calibri"/>
          <w:color w:val="000000"/>
          <w:szCs w:val="20"/>
        </w:rPr>
        <w:t>taki sposób, aby:</w:t>
      </w:r>
    </w:p>
    <w:p w:rsidR="004C2D2B" w:rsidRPr="00F01197" w:rsidRDefault="004C2D2B" w:rsidP="00965B93">
      <w:pPr>
        <w:pStyle w:val="Akapitzlist2"/>
        <w:numPr>
          <w:ilvl w:val="0"/>
          <w:numId w:val="22"/>
        </w:numPr>
        <w:tabs>
          <w:tab w:val="num" w:pos="0"/>
        </w:tabs>
        <w:spacing w:line="100" w:lineRule="atLeast"/>
        <w:ind w:left="714" w:hanging="357"/>
        <w:jc w:val="both"/>
        <w:rPr>
          <w:rFonts w:asciiTheme="minorHAnsi" w:eastAsia="Calibri" w:hAnsiTheme="minorHAnsi" w:cs="Calibri"/>
          <w:szCs w:val="20"/>
        </w:rPr>
      </w:pPr>
      <w:r w:rsidRPr="00F01197">
        <w:rPr>
          <w:rFonts w:asciiTheme="minorHAnsi" w:eastAsia="Calibri" w:hAnsiTheme="minorHAnsi" w:cs="Calibri"/>
          <w:szCs w:val="20"/>
        </w:rPr>
        <w:t>ograniczać negatywny wpływ sytuacji na obszarach rewitalizacji na sytuację i rozwój całego miasta; oznacza to, że przedsięwzięcia zostały ustalone w sposób, który ma zapobiegać przenoszeniu negatywnych zjawisk poza obszary rewitalizacji; ponadto, dąży się do poprawy wizerunku całego miasta dzięki rozwiązaniu problemów, które stały się argumentem dla rewitalizacji, a równocześnie obciążają wizerunek inwestycyjny i społeczny Bytomia;</w:t>
      </w:r>
    </w:p>
    <w:p w:rsidR="004C2D2B" w:rsidRPr="00F01197" w:rsidRDefault="004C2D2B" w:rsidP="00965B93">
      <w:pPr>
        <w:pStyle w:val="Akapitzlist2"/>
        <w:numPr>
          <w:ilvl w:val="0"/>
          <w:numId w:val="22"/>
        </w:numPr>
        <w:tabs>
          <w:tab w:val="num" w:pos="0"/>
        </w:tabs>
        <w:spacing w:line="100" w:lineRule="atLeast"/>
        <w:ind w:left="714" w:hanging="357"/>
        <w:jc w:val="both"/>
        <w:rPr>
          <w:rFonts w:asciiTheme="minorHAnsi" w:eastAsia="Calibri" w:hAnsiTheme="minorHAnsi" w:cs="Calibri"/>
          <w:szCs w:val="20"/>
        </w:rPr>
      </w:pPr>
      <w:r w:rsidRPr="00F01197">
        <w:rPr>
          <w:rFonts w:asciiTheme="minorHAnsi" w:eastAsia="Calibri" w:hAnsiTheme="minorHAnsi" w:cs="Calibri"/>
          <w:szCs w:val="20"/>
        </w:rPr>
        <w:t>w dłuższej perspektywie osiągać na obszarach rewitalizacji efekty, które będą nie tylko związane z usuwaniem zjawisk kryzysowych, ale także bezpośrednio wspierać będą rozwój miasta; oznacza to, że dąży się nie tylko do wyeliminowania negatywnych wpływów na miasto, ale także do uczynienia z obszarów rewitalizacji – w wyniku dokonania planowanych interwencji – „mikrocentrów” rozwoju lokalnego wnoszących nową jakość w rozwój całego miasta;</w:t>
      </w:r>
    </w:p>
    <w:p w:rsidR="004C2D2B" w:rsidRPr="00F01197" w:rsidRDefault="004C2D2B" w:rsidP="00965B93">
      <w:pPr>
        <w:pStyle w:val="Akapitzlist2"/>
        <w:numPr>
          <w:ilvl w:val="0"/>
          <w:numId w:val="22"/>
        </w:numPr>
        <w:tabs>
          <w:tab w:val="num" w:pos="0"/>
        </w:tabs>
        <w:spacing w:line="100" w:lineRule="atLeast"/>
        <w:ind w:left="714" w:hanging="357"/>
        <w:jc w:val="both"/>
        <w:rPr>
          <w:rFonts w:asciiTheme="minorHAnsi" w:eastAsia="Calibri" w:hAnsiTheme="minorHAnsi" w:cs="Calibri"/>
          <w:szCs w:val="20"/>
        </w:rPr>
      </w:pPr>
      <w:r w:rsidRPr="00F01197">
        <w:rPr>
          <w:rFonts w:asciiTheme="minorHAnsi" w:eastAsia="Calibri" w:hAnsiTheme="minorHAnsi" w:cs="Calibri"/>
          <w:szCs w:val="20"/>
        </w:rPr>
        <w:t>nie dopuścić do wypychania problemów społecznych poza obszary rewitalizacji; rewitalizacja nie ma doprowadzić do „pozbycia” się problemu z danego obszaru, ale do jego realnego rozwiązania;</w:t>
      </w:r>
    </w:p>
    <w:p w:rsidR="004C2D2B" w:rsidRPr="00F01197" w:rsidRDefault="004C2D2B" w:rsidP="00965B93">
      <w:pPr>
        <w:pStyle w:val="Akapitzlist2"/>
        <w:numPr>
          <w:ilvl w:val="0"/>
          <w:numId w:val="22"/>
        </w:numPr>
        <w:tabs>
          <w:tab w:val="num" w:pos="0"/>
        </w:tabs>
        <w:spacing w:line="100" w:lineRule="atLeast"/>
        <w:ind w:left="714" w:hanging="357"/>
        <w:jc w:val="both"/>
        <w:rPr>
          <w:rFonts w:asciiTheme="minorHAnsi" w:eastAsia="Calibri" w:hAnsiTheme="minorHAnsi" w:cs="Calibri"/>
          <w:szCs w:val="20"/>
        </w:rPr>
      </w:pPr>
      <w:r w:rsidRPr="00F01197">
        <w:rPr>
          <w:rFonts w:asciiTheme="minorHAnsi" w:eastAsia="Calibri" w:hAnsiTheme="minorHAnsi" w:cs="Calibri"/>
          <w:szCs w:val="20"/>
        </w:rPr>
        <w:t>podwyższać efektywność ekonomiczną i usprawniać proces rewitalizacji; część działań realizowana może być poza obszarem rewitalizacji ze względu na wykorzystanie istniejącej infrastruktury, albo ze względu na skoncentrowanie działań w jednym miejscu, aby rozwiązać problemy występujące na kilku obszarach.</w:t>
      </w:r>
    </w:p>
    <w:p w:rsidR="004C2D2B" w:rsidRDefault="004C2D2B" w:rsidP="004C2D2B">
      <w:pPr>
        <w:spacing w:line="100" w:lineRule="atLeast"/>
        <w:jc w:val="both"/>
      </w:pPr>
    </w:p>
    <w:p w:rsidR="00434840" w:rsidRDefault="00434840" w:rsidP="004C2D2B">
      <w:pPr>
        <w:spacing w:line="100" w:lineRule="atLeast"/>
        <w:jc w:val="both"/>
      </w:pPr>
    </w:p>
    <w:p w:rsidR="00434840" w:rsidRDefault="00434840" w:rsidP="004C2D2B">
      <w:pPr>
        <w:spacing w:line="100" w:lineRule="atLeast"/>
        <w:jc w:val="both"/>
      </w:pPr>
    </w:p>
    <w:p w:rsidR="004C2D2B" w:rsidRPr="00295930" w:rsidRDefault="004C2D2B" w:rsidP="003B3BFB">
      <w:pPr>
        <w:pStyle w:val="Akapitzlist"/>
        <w:numPr>
          <w:ilvl w:val="0"/>
          <w:numId w:val="59"/>
        </w:numPr>
        <w:spacing w:after="0" w:line="100" w:lineRule="atLeast"/>
        <w:jc w:val="both"/>
        <w:rPr>
          <w:rFonts w:cs="Calibri"/>
          <w:b/>
          <w:sz w:val="20"/>
          <w:szCs w:val="20"/>
        </w:rPr>
      </w:pPr>
      <w:r w:rsidRPr="00295930">
        <w:rPr>
          <w:rFonts w:cs="Calibri"/>
          <w:b/>
          <w:sz w:val="20"/>
          <w:szCs w:val="20"/>
        </w:rPr>
        <w:t>Komplementarność problemowa</w:t>
      </w:r>
    </w:p>
    <w:p w:rsidR="004C2D2B" w:rsidRDefault="00F01197" w:rsidP="00F01197">
      <w:pPr>
        <w:spacing w:line="100" w:lineRule="atLeast"/>
        <w:jc w:val="both"/>
        <w:rPr>
          <w:rFonts w:ascii="Calibri" w:eastAsia="Calibri" w:hAnsi="Calibri" w:cs="Calibri"/>
          <w:szCs w:val="20"/>
        </w:rPr>
      </w:pPr>
      <w:r>
        <w:rPr>
          <w:rFonts w:ascii="Calibri" w:eastAsia="Calibri" w:hAnsi="Calibri" w:cs="Calibri"/>
          <w:szCs w:val="20"/>
        </w:rPr>
        <w:tab/>
      </w:r>
      <w:r w:rsidR="004C2D2B">
        <w:rPr>
          <w:rFonts w:ascii="Calibri" w:eastAsia="Calibri" w:hAnsi="Calibri" w:cs="Calibri"/>
          <w:szCs w:val="20"/>
        </w:rPr>
        <w:t>Komplementarność problemowa na poziomie programowania została zagwarantowana poprzez opracowanie programu wewnętrznie spójnego, przygotowanego zgodnie z zasadami sztuki, zgodnego w swych założeniach ze Strategią Miasta.</w:t>
      </w:r>
    </w:p>
    <w:p w:rsidR="004C2D2B" w:rsidRPr="00F01197" w:rsidRDefault="004C2D2B" w:rsidP="004C2D2B">
      <w:pPr>
        <w:spacing w:line="100" w:lineRule="atLeast"/>
        <w:jc w:val="both"/>
        <w:rPr>
          <w:rFonts w:eastAsia="Calibri" w:cs="Calibri"/>
          <w:color w:val="000000"/>
          <w:szCs w:val="20"/>
        </w:rPr>
      </w:pPr>
      <w:r>
        <w:rPr>
          <w:rFonts w:ascii="Calibri" w:eastAsia="Calibri" w:hAnsi="Calibri" w:cs="Calibri"/>
          <w:color w:val="000000"/>
          <w:szCs w:val="20"/>
        </w:rPr>
        <w:t xml:space="preserve">Opracowanie GPR zostało oparte na wielowymiarowej i wszechstronnej diagnozie miasta oraz wskazaniu obszarów rewitalizacji. Opracowanie diagnozy umożliwiło nakreślenie sytuacji obszarów rewitalizacji z uwzględnieniem ich specyfiki (zarówno w aspekcie słabości, jak również potencjałów rewitalizacji). Dobre rozpoznanie uwarunkowań pozwoliło na stworzenie specyficznej, pożądanej wizji rozwiązania problemów oraz przyszłości obszarów rewitalizacji. Wizja ta została opracowana z uwzględnieniem istniejących wyzwań oraz aspiracji społeczności lokalnych. W wizji uwzględniono także pozycję obszarów rewitalizacji w mieście. Odpowiadając na pytanie dotyczące przyszłości obszarów rewitalizacji stworzono podstawę dla sformułowania </w:t>
      </w:r>
      <w:r w:rsidRPr="00F01197">
        <w:rPr>
          <w:rFonts w:eastAsia="Calibri" w:cs="Calibri"/>
          <w:color w:val="000000"/>
          <w:szCs w:val="20"/>
        </w:rPr>
        <w:t>celów oraz odpowiadających im kierunków działań, w ramach których wygenerowano przedsięwzięcia rewitalizacyjne.</w:t>
      </w:r>
    </w:p>
    <w:p w:rsidR="004C2D2B" w:rsidRPr="00F01197" w:rsidRDefault="004C2D2B" w:rsidP="004C2D2B">
      <w:pPr>
        <w:spacing w:line="100" w:lineRule="atLeast"/>
        <w:jc w:val="both"/>
        <w:rPr>
          <w:rFonts w:eastAsia="Calibri" w:cs="Calibri"/>
          <w:color w:val="000000"/>
          <w:szCs w:val="20"/>
        </w:rPr>
      </w:pPr>
      <w:r w:rsidRPr="00F01197">
        <w:rPr>
          <w:rFonts w:eastAsia="Calibri" w:cs="Calibri"/>
          <w:color w:val="000000"/>
          <w:szCs w:val="20"/>
        </w:rPr>
        <w:t>W całym procesie identyfikowania problemów, a następnie formułowania wizji, celów i kierunków ściśle współpracowano ze społecznościami lokalnymi (co zostało opisane w innych częściach GPR).</w:t>
      </w:r>
    </w:p>
    <w:p w:rsidR="004C2D2B" w:rsidRPr="00F01197" w:rsidRDefault="004C2D2B" w:rsidP="004C2D2B">
      <w:pPr>
        <w:spacing w:line="100" w:lineRule="atLeast"/>
        <w:jc w:val="both"/>
        <w:rPr>
          <w:rFonts w:eastAsia="Calibri" w:cs="Calibri"/>
          <w:color w:val="000000"/>
          <w:szCs w:val="20"/>
        </w:rPr>
      </w:pPr>
      <w:r w:rsidRPr="00F01197">
        <w:rPr>
          <w:rFonts w:eastAsia="Calibri" w:cs="Calibri"/>
          <w:color w:val="000000"/>
          <w:szCs w:val="20"/>
        </w:rPr>
        <w:t>W trakcie prac diagnostycznych operowano pogłębionymi analizami, to jest takimi, które nie tylko identyfikowały problem, ale także wskazywały jego przyczyny. Dopiero ustalenie genezy pozwoliło na przejście do dalszych etapów tworzenia programu, w szczególności do wieńczących GPR przedsięwzięć zorientowanych na usuwanie konkretnych przyczyn występowania problemów społecznych. Takie podejście umożliwiło postrzeganie problemu w całym spektrum przyczyn oraz w powiązaniu z innymi uwarunkowaniami (problemami) występującymi na obszarze rewitalizacji lub w mieście.</w:t>
      </w:r>
    </w:p>
    <w:p w:rsidR="00747D46" w:rsidRPr="00741B81" w:rsidRDefault="00747D46" w:rsidP="00747D46">
      <w:pPr>
        <w:autoSpaceDE w:val="0"/>
        <w:autoSpaceDN w:val="0"/>
        <w:adjustRightInd w:val="0"/>
        <w:jc w:val="both"/>
        <w:rPr>
          <w:rFonts w:cs="Calibri"/>
        </w:rPr>
      </w:pPr>
      <w:r w:rsidRPr="00741B81">
        <w:rPr>
          <w:rFonts w:cs="Calibri"/>
        </w:rPr>
        <w:t xml:space="preserve">Komplementarność problemowa na poziomie projektowym została zagwarantowana poprzez identyfikację poszczególnych wiązek terytorialnych, przy założeniu, że przedsięwzięcie nieinwestycyjne warunkuje realizację inwestycyjnego tylko w tym przypadku, gdy działanie inwestycyjne dopełnia nieinwestycyjne przy rozwiązaniu problemu społecznego lub społecznego i co najmniej jednego innego niż społeczny. W celu zwiększenia efektywności prowadzonych działań, wprowadzono następujące założenia: </w:t>
      </w:r>
    </w:p>
    <w:p w:rsidR="00747D46" w:rsidRPr="00434840" w:rsidRDefault="00747D46" w:rsidP="00741B81">
      <w:pPr>
        <w:pStyle w:val="Akapitzlist"/>
        <w:numPr>
          <w:ilvl w:val="0"/>
          <w:numId w:val="727"/>
        </w:numPr>
        <w:autoSpaceDE w:val="0"/>
        <w:autoSpaceDN w:val="0"/>
        <w:adjustRightInd w:val="0"/>
        <w:spacing w:after="0" w:line="240" w:lineRule="auto"/>
        <w:jc w:val="both"/>
        <w:rPr>
          <w:rFonts w:cs="Calibri"/>
          <w:sz w:val="20"/>
        </w:rPr>
      </w:pPr>
      <w:r w:rsidRPr="00434840">
        <w:rPr>
          <w:rFonts w:cs="Calibri"/>
          <w:sz w:val="20"/>
        </w:rPr>
        <w:t>dany projekt powinien być ukierunkowany na rozwiązywanie większej ilości problemów</w:t>
      </w:r>
      <w:r w:rsidR="00BB5968" w:rsidRPr="00434840">
        <w:rPr>
          <w:rFonts w:cs="Calibri"/>
          <w:sz w:val="20"/>
        </w:rPr>
        <w:t>,</w:t>
      </w:r>
    </w:p>
    <w:p w:rsidR="00747D46" w:rsidRPr="00434840" w:rsidRDefault="00747D46" w:rsidP="00741B81">
      <w:pPr>
        <w:pStyle w:val="Akapitzlist"/>
        <w:numPr>
          <w:ilvl w:val="0"/>
          <w:numId w:val="727"/>
        </w:numPr>
        <w:autoSpaceDE w:val="0"/>
        <w:autoSpaceDN w:val="0"/>
        <w:adjustRightInd w:val="0"/>
        <w:spacing w:after="0" w:line="240" w:lineRule="auto"/>
        <w:jc w:val="both"/>
        <w:rPr>
          <w:rFonts w:cs="Calibri"/>
          <w:sz w:val="20"/>
        </w:rPr>
      </w:pPr>
      <w:r w:rsidRPr="00434840">
        <w:rPr>
          <w:rFonts w:cs="Calibri"/>
          <w:sz w:val="20"/>
        </w:rPr>
        <w:t xml:space="preserve">dany problem powinien być rozwiązywany przez większą ilość projektów. </w:t>
      </w:r>
    </w:p>
    <w:p w:rsidR="00747D46" w:rsidRDefault="00747D46" w:rsidP="00747D46">
      <w:pPr>
        <w:autoSpaceDE w:val="0"/>
        <w:autoSpaceDN w:val="0"/>
        <w:adjustRightInd w:val="0"/>
        <w:jc w:val="both"/>
        <w:rPr>
          <w:rFonts w:cs="Calibri"/>
        </w:rPr>
      </w:pPr>
      <w:r w:rsidRPr="00741B81">
        <w:rPr>
          <w:rFonts w:cs="Calibri"/>
        </w:rPr>
        <w:t xml:space="preserve">Takie podejście pozwoli na, z jednej strony zapewnienie komplementarności problemowej, </w:t>
      </w:r>
      <w:r w:rsidRPr="00741B81">
        <w:rPr>
          <w:rFonts w:cs="Calibri"/>
        </w:rPr>
        <w:br/>
        <w:t>a z drugiej strony na odpowiednią koncentrację działań i minimalizację ryzyka realizacyjnego.</w:t>
      </w:r>
      <w:r>
        <w:rPr>
          <w:rFonts w:cs="Calibri"/>
        </w:rPr>
        <w:t xml:space="preserve">  </w:t>
      </w:r>
      <w:r w:rsidR="00715F0C">
        <w:rPr>
          <w:rFonts w:cs="Calibri"/>
        </w:rPr>
        <w:t xml:space="preserve"> </w:t>
      </w:r>
    </w:p>
    <w:p w:rsidR="004C2D2B" w:rsidRPr="00F01197" w:rsidRDefault="004C2D2B" w:rsidP="004C2D2B">
      <w:pPr>
        <w:spacing w:line="100" w:lineRule="atLeast"/>
        <w:jc w:val="both"/>
        <w:rPr>
          <w:rFonts w:eastAsia="Calibri" w:cs="Calibri"/>
          <w:szCs w:val="20"/>
        </w:rPr>
      </w:pPr>
      <w:r w:rsidRPr="00F01197">
        <w:rPr>
          <w:rFonts w:eastAsia="Calibri" w:cs="Calibri"/>
          <w:szCs w:val="20"/>
        </w:rPr>
        <w:t xml:space="preserve">Komplementarność problemowa na poziomie podstawowym będzie identyfikowana każdorazowo indywidualnie. </w:t>
      </w:r>
    </w:p>
    <w:p w:rsidR="004C2D2B" w:rsidRDefault="004C2D2B" w:rsidP="004C2D2B">
      <w:pPr>
        <w:spacing w:line="100" w:lineRule="atLeast"/>
        <w:jc w:val="both"/>
        <w:rPr>
          <w:rFonts w:eastAsia="Calibri" w:cs="Calibri"/>
          <w:szCs w:val="20"/>
        </w:rPr>
      </w:pPr>
      <w:r w:rsidRPr="00F01197">
        <w:rPr>
          <w:rFonts w:eastAsia="Calibri" w:cs="Calibri"/>
          <w:szCs w:val="20"/>
        </w:rPr>
        <w:t>Komplementarność w przedmiotowym wymiarze będzie dodatkowo wspierana przez projekt pilotażowy, którego jedno z działań dotyczy m.in. innowacji społecznych.</w:t>
      </w:r>
    </w:p>
    <w:p w:rsidR="00752692" w:rsidRDefault="00752692" w:rsidP="004C2D2B">
      <w:pPr>
        <w:spacing w:line="100" w:lineRule="atLeast"/>
        <w:jc w:val="both"/>
        <w:rPr>
          <w:rFonts w:eastAsia="Calibri" w:cs="Calibri"/>
          <w:b/>
          <w:szCs w:val="20"/>
        </w:rPr>
      </w:pPr>
    </w:p>
    <w:p w:rsidR="004C2D2B" w:rsidRPr="00302355" w:rsidRDefault="004C2D2B" w:rsidP="004C2D2B">
      <w:pPr>
        <w:spacing w:line="100" w:lineRule="atLeast"/>
        <w:jc w:val="both"/>
        <w:rPr>
          <w:rFonts w:eastAsia="Calibri" w:cs="Calibri"/>
          <w:b/>
          <w:szCs w:val="20"/>
        </w:rPr>
      </w:pPr>
      <w:r w:rsidRPr="00302355">
        <w:rPr>
          <w:rFonts w:eastAsia="Calibri" w:cs="Calibri"/>
          <w:b/>
          <w:szCs w:val="20"/>
        </w:rPr>
        <w:t>W ramach działania przewiduje się m.in.:</w:t>
      </w:r>
    </w:p>
    <w:p w:rsidR="009B7016" w:rsidRPr="009B7016" w:rsidRDefault="004C2D2B" w:rsidP="009B7016">
      <w:pPr>
        <w:pStyle w:val="Akapitzlist"/>
        <w:numPr>
          <w:ilvl w:val="0"/>
          <w:numId w:val="210"/>
        </w:numPr>
        <w:spacing w:after="0" w:line="100" w:lineRule="atLeast"/>
        <w:ind w:left="714" w:hanging="357"/>
        <w:jc w:val="both"/>
        <w:rPr>
          <w:rFonts w:cs="Calibri"/>
          <w:sz w:val="20"/>
          <w:szCs w:val="20"/>
        </w:rPr>
      </w:pPr>
      <w:r w:rsidRPr="009B7016">
        <w:rPr>
          <w:rFonts w:cs="Calibri"/>
          <w:sz w:val="20"/>
          <w:szCs w:val="20"/>
        </w:rPr>
        <w:t>badanie jakości życia w obszarze rewitalizacji wraz z ewaluacją wpływu dotychczas realizowanych projektów społecznych w Bytomiu na zmiany jakości życia mieszkańców obszarów zagrożonych ubóstwem i wykluczeniem społecznym, którego efektem będą rekomendacje dotyczące zmian w</w:t>
      </w:r>
      <w:r w:rsidR="00DB41E6">
        <w:rPr>
          <w:rFonts w:cs="Calibri"/>
          <w:sz w:val="20"/>
          <w:szCs w:val="20"/>
        </w:rPr>
        <w:t> </w:t>
      </w:r>
      <w:r w:rsidRPr="009B7016">
        <w:rPr>
          <w:rFonts w:cs="Calibri"/>
          <w:sz w:val="20"/>
          <w:szCs w:val="20"/>
        </w:rPr>
        <w:t>realizowanych projektach oraz potencjalnych nowych projektów (tzw. innowacji społecznych),</w:t>
      </w:r>
    </w:p>
    <w:p w:rsidR="009B7016" w:rsidRPr="009B7016" w:rsidRDefault="004C2D2B" w:rsidP="009B7016">
      <w:pPr>
        <w:pStyle w:val="Akapitzlist"/>
        <w:numPr>
          <w:ilvl w:val="0"/>
          <w:numId w:val="210"/>
        </w:numPr>
        <w:spacing w:after="0" w:line="100" w:lineRule="atLeast"/>
        <w:ind w:left="714" w:hanging="357"/>
        <w:jc w:val="both"/>
        <w:rPr>
          <w:rFonts w:cs="Calibri"/>
          <w:sz w:val="20"/>
          <w:szCs w:val="20"/>
        </w:rPr>
      </w:pPr>
      <w:r w:rsidRPr="009B7016">
        <w:rPr>
          <w:rFonts w:asciiTheme="minorHAnsi" w:hAnsiTheme="minorHAnsi" w:cs="Calibri"/>
          <w:sz w:val="20"/>
          <w:szCs w:val="20"/>
        </w:rPr>
        <w:t>publiczne, komercyjne i filantropijne źródła finansowania projektów rewitalizacyjnych (infrastrukturalnych i społecznych) w ramach GPR – poradnik dla interesariuszy procesu rewitalizacji w</w:t>
      </w:r>
      <w:r w:rsidR="00DB41E6">
        <w:rPr>
          <w:rFonts w:asciiTheme="minorHAnsi" w:hAnsiTheme="minorHAnsi" w:cs="Calibri"/>
          <w:sz w:val="20"/>
          <w:szCs w:val="20"/>
        </w:rPr>
        <w:t> </w:t>
      </w:r>
      <w:r w:rsidRPr="009B7016">
        <w:rPr>
          <w:rFonts w:asciiTheme="minorHAnsi" w:hAnsiTheme="minorHAnsi" w:cs="Calibri"/>
          <w:sz w:val="20"/>
          <w:szCs w:val="20"/>
        </w:rPr>
        <w:t>Bytomiu,</w:t>
      </w:r>
    </w:p>
    <w:p w:rsidR="009B7016" w:rsidRPr="009B7016" w:rsidRDefault="004C2D2B" w:rsidP="009B7016">
      <w:pPr>
        <w:pStyle w:val="Akapitzlist"/>
        <w:numPr>
          <w:ilvl w:val="0"/>
          <w:numId w:val="210"/>
        </w:numPr>
        <w:spacing w:after="0" w:line="100" w:lineRule="atLeast"/>
        <w:ind w:left="714" w:hanging="357"/>
        <w:jc w:val="both"/>
        <w:rPr>
          <w:rFonts w:cs="Calibri"/>
          <w:sz w:val="20"/>
          <w:szCs w:val="20"/>
        </w:rPr>
      </w:pPr>
      <w:r w:rsidRPr="009B7016">
        <w:rPr>
          <w:rFonts w:asciiTheme="minorHAnsi" w:hAnsiTheme="minorHAnsi" w:cs="Calibri"/>
          <w:sz w:val="20"/>
          <w:szCs w:val="20"/>
        </w:rPr>
        <w:t xml:space="preserve">w ramach strony </w:t>
      </w:r>
      <w:hyperlink r:id="rId123" w:history="1">
        <w:r w:rsidRPr="009B7016">
          <w:rPr>
            <w:rStyle w:val="Hipercze"/>
            <w:rFonts w:asciiTheme="minorHAnsi" w:hAnsiTheme="minorHAnsi"/>
            <w:sz w:val="20"/>
            <w:szCs w:val="20"/>
          </w:rPr>
          <w:t>www.bytomodnowa.pl</w:t>
        </w:r>
      </w:hyperlink>
      <w:r w:rsidRPr="009B7016">
        <w:rPr>
          <w:rFonts w:asciiTheme="minorHAnsi" w:hAnsiTheme="minorHAnsi" w:cs="Calibri"/>
          <w:sz w:val="20"/>
          <w:szCs w:val="20"/>
        </w:rPr>
        <w:t xml:space="preserve"> zostanie utworzony generator wniosków dla organizacji pozarządowych na wspólne świadczenie usług w ramach otwartych konkursów ofert dla konsorcjów NGO,</w:t>
      </w:r>
    </w:p>
    <w:p w:rsidR="009B7016" w:rsidRPr="009B7016" w:rsidRDefault="004C2D2B" w:rsidP="009B7016">
      <w:pPr>
        <w:pStyle w:val="Akapitzlist"/>
        <w:numPr>
          <w:ilvl w:val="0"/>
          <w:numId w:val="210"/>
        </w:numPr>
        <w:spacing w:after="0" w:line="100" w:lineRule="atLeast"/>
        <w:ind w:left="714" w:hanging="357"/>
        <w:jc w:val="both"/>
        <w:rPr>
          <w:rFonts w:cs="Calibri"/>
          <w:sz w:val="20"/>
          <w:szCs w:val="20"/>
        </w:rPr>
      </w:pPr>
      <w:r w:rsidRPr="009B7016">
        <w:rPr>
          <w:rFonts w:asciiTheme="minorHAnsi" w:hAnsiTheme="minorHAnsi" w:cs="Calibri"/>
          <w:sz w:val="20"/>
          <w:szCs w:val="20"/>
        </w:rPr>
        <w:t>mechanizm regrantingowy wraz z koncepcją wdrażania;</w:t>
      </w:r>
    </w:p>
    <w:p w:rsidR="009B7016" w:rsidRPr="009B7016" w:rsidRDefault="004C2D2B" w:rsidP="009B7016">
      <w:pPr>
        <w:pStyle w:val="Akapitzlist"/>
        <w:numPr>
          <w:ilvl w:val="0"/>
          <w:numId w:val="210"/>
        </w:numPr>
        <w:spacing w:after="0" w:line="100" w:lineRule="atLeast"/>
        <w:ind w:left="714" w:hanging="357"/>
        <w:jc w:val="both"/>
        <w:rPr>
          <w:rFonts w:cs="Calibri"/>
          <w:sz w:val="20"/>
          <w:szCs w:val="20"/>
        </w:rPr>
      </w:pPr>
      <w:r w:rsidRPr="009B7016">
        <w:rPr>
          <w:rFonts w:asciiTheme="minorHAnsi" w:hAnsiTheme="minorHAnsi" w:cs="Calibri"/>
          <w:sz w:val="20"/>
          <w:szCs w:val="20"/>
        </w:rPr>
        <w:t>konkurs na innowacje społeczne, w tym przygotowanie wytycznych dla konkursu na pomysły dot.</w:t>
      </w:r>
      <w:r w:rsidR="00DB41E6">
        <w:rPr>
          <w:rFonts w:asciiTheme="minorHAnsi" w:hAnsiTheme="minorHAnsi" w:cs="Calibri"/>
          <w:sz w:val="20"/>
          <w:szCs w:val="20"/>
        </w:rPr>
        <w:t> </w:t>
      </w:r>
      <w:r w:rsidRPr="009B7016">
        <w:rPr>
          <w:rFonts w:asciiTheme="minorHAnsi" w:hAnsiTheme="minorHAnsi" w:cs="Calibri"/>
          <w:sz w:val="20"/>
          <w:szCs w:val="20"/>
        </w:rPr>
        <w:t>innowacji społecznych, organizację konkursu i ocenę prac konkursowych przez skład sędziowski w</w:t>
      </w:r>
      <w:r w:rsidR="00DB41E6">
        <w:rPr>
          <w:rFonts w:asciiTheme="minorHAnsi" w:hAnsiTheme="minorHAnsi" w:cs="Calibri"/>
          <w:sz w:val="20"/>
          <w:szCs w:val="20"/>
        </w:rPr>
        <w:t> </w:t>
      </w:r>
      <w:r w:rsidRPr="009B7016">
        <w:rPr>
          <w:rFonts w:asciiTheme="minorHAnsi" w:hAnsiTheme="minorHAnsi" w:cs="Calibri"/>
          <w:sz w:val="20"/>
          <w:szCs w:val="20"/>
        </w:rPr>
        <w:t>poszczególnych kategoriach;</w:t>
      </w:r>
    </w:p>
    <w:p w:rsidR="009B7016" w:rsidRPr="00752692" w:rsidRDefault="004C2D2B" w:rsidP="009B7016">
      <w:pPr>
        <w:pStyle w:val="Akapitzlist"/>
        <w:numPr>
          <w:ilvl w:val="0"/>
          <w:numId w:val="210"/>
        </w:numPr>
        <w:spacing w:after="0" w:line="100" w:lineRule="atLeast"/>
        <w:ind w:left="714" w:hanging="357"/>
        <w:jc w:val="both"/>
        <w:rPr>
          <w:rFonts w:cs="Calibri"/>
          <w:sz w:val="20"/>
          <w:szCs w:val="20"/>
        </w:rPr>
      </w:pPr>
      <w:r w:rsidRPr="009B7016">
        <w:rPr>
          <w:rFonts w:asciiTheme="minorHAnsi" w:hAnsiTheme="minorHAnsi" w:cs="Calibri"/>
          <w:sz w:val="20"/>
          <w:szCs w:val="20"/>
        </w:rPr>
        <w:t>wypracowanie przez zwycięzców konkursów projektów społecznych bazujących na wynikach konkursu z interesariuszami procesu rewitalizacji, dla których zostaną zaprojektowane nagrodzone innowacyjne pomysły mieszczące się w katalogu typów projektów określonych w działaniach OSI,</w:t>
      </w:r>
    </w:p>
    <w:p w:rsidR="00752692" w:rsidRPr="009B7016" w:rsidRDefault="00752692" w:rsidP="00752692">
      <w:pPr>
        <w:pStyle w:val="Akapitzlist"/>
        <w:spacing w:after="0" w:line="100" w:lineRule="atLeast"/>
        <w:ind w:left="714"/>
        <w:jc w:val="both"/>
        <w:rPr>
          <w:rFonts w:cs="Calibri"/>
          <w:sz w:val="20"/>
          <w:szCs w:val="20"/>
        </w:rPr>
      </w:pPr>
    </w:p>
    <w:p w:rsidR="009B7016" w:rsidRPr="009B7016" w:rsidRDefault="004C2D2B" w:rsidP="009B7016">
      <w:pPr>
        <w:pStyle w:val="Akapitzlist"/>
        <w:numPr>
          <w:ilvl w:val="0"/>
          <w:numId w:val="210"/>
        </w:numPr>
        <w:spacing w:after="0" w:line="100" w:lineRule="atLeast"/>
        <w:ind w:left="714" w:hanging="357"/>
        <w:jc w:val="both"/>
        <w:rPr>
          <w:rFonts w:cs="Calibri"/>
          <w:sz w:val="20"/>
          <w:szCs w:val="20"/>
        </w:rPr>
      </w:pPr>
      <w:r w:rsidRPr="009B7016">
        <w:rPr>
          <w:rFonts w:asciiTheme="minorHAnsi" w:hAnsiTheme="minorHAnsi" w:cs="Calibri"/>
          <w:sz w:val="20"/>
          <w:szCs w:val="20"/>
        </w:rPr>
        <w:t>konferencja dotycząca wyników ewaluacji dotychczasowych form wsparcia społecznego, kryteriów konkursu na innowacje społeczne oraz projektów nagrodzonych w tym konkursie,</w:t>
      </w:r>
    </w:p>
    <w:p w:rsidR="004C2D2B" w:rsidRPr="009B7016" w:rsidRDefault="004C2D2B" w:rsidP="009B7016">
      <w:pPr>
        <w:pStyle w:val="Akapitzlist"/>
        <w:numPr>
          <w:ilvl w:val="0"/>
          <w:numId w:val="210"/>
        </w:numPr>
        <w:spacing w:after="0" w:line="100" w:lineRule="atLeast"/>
        <w:ind w:left="714" w:hanging="357"/>
        <w:jc w:val="both"/>
        <w:rPr>
          <w:rFonts w:cs="Calibri"/>
          <w:szCs w:val="20"/>
        </w:rPr>
      </w:pPr>
      <w:r w:rsidRPr="009B7016">
        <w:rPr>
          <w:rFonts w:asciiTheme="minorHAnsi" w:hAnsiTheme="minorHAnsi" w:cs="Calibri"/>
          <w:sz w:val="20"/>
          <w:szCs w:val="20"/>
        </w:rPr>
        <w:t>wdrożenie działań stymulujących szerokie stosowanie narzędzi budowania zaangażowania społeczności lokalnej w rewitalizacji, w tym z wykorzystaniem metody planning for real.</w:t>
      </w:r>
    </w:p>
    <w:p w:rsidR="004C2D2B" w:rsidRPr="00F01197" w:rsidRDefault="004C2D2B" w:rsidP="004C2D2B">
      <w:pPr>
        <w:spacing w:line="100" w:lineRule="atLeast"/>
        <w:jc w:val="both"/>
        <w:rPr>
          <w:szCs w:val="20"/>
        </w:rPr>
      </w:pPr>
    </w:p>
    <w:p w:rsidR="004C2D2B" w:rsidRPr="00295930" w:rsidRDefault="004C2D2B" w:rsidP="003B3BFB">
      <w:pPr>
        <w:pStyle w:val="Akapitzlist"/>
        <w:numPr>
          <w:ilvl w:val="0"/>
          <w:numId w:val="59"/>
        </w:numPr>
        <w:spacing w:after="0" w:line="100" w:lineRule="atLeast"/>
        <w:jc w:val="both"/>
        <w:rPr>
          <w:rFonts w:asciiTheme="minorHAnsi" w:hAnsiTheme="minorHAnsi" w:cs="Calibri"/>
          <w:b/>
          <w:sz w:val="20"/>
          <w:szCs w:val="20"/>
        </w:rPr>
      </w:pPr>
      <w:r w:rsidRPr="00295930">
        <w:rPr>
          <w:rFonts w:asciiTheme="minorHAnsi" w:hAnsiTheme="minorHAnsi" w:cs="Calibri"/>
          <w:b/>
          <w:sz w:val="20"/>
          <w:szCs w:val="20"/>
        </w:rPr>
        <w:t>Komplementarno</w:t>
      </w:r>
      <w:r w:rsidR="00263558">
        <w:rPr>
          <w:rFonts w:asciiTheme="minorHAnsi" w:hAnsiTheme="minorHAnsi" w:cs="Calibri"/>
          <w:b/>
          <w:sz w:val="20"/>
          <w:szCs w:val="20"/>
        </w:rPr>
        <w:t>ść proceduralno-instytucjonalna</w:t>
      </w:r>
    </w:p>
    <w:p w:rsidR="004C2D2B" w:rsidRPr="00F01197" w:rsidRDefault="00F01197" w:rsidP="00F01197">
      <w:pPr>
        <w:spacing w:line="100" w:lineRule="atLeast"/>
        <w:ind w:firstLine="357"/>
        <w:jc w:val="both"/>
        <w:rPr>
          <w:rFonts w:eastAsia="Calibri" w:cs="Calibri"/>
          <w:szCs w:val="20"/>
        </w:rPr>
      </w:pPr>
      <w:r>
        <w:rPr>
          <w:rFonts w:eastAsia="Calibri" w:cs="Calibri"/>
          <w:szCs w:val="20"/>
        </w:rPr>
        <w:tab/>
      </w:r>
      <w:r w:rsidR="004C2D2B" w:rsidRPr="00F01197">
        <w:rPr>
          <w:rFonts w:eastAsia="Calibri" w:cs="Calibri"/>
          <w:szCs w:val="20"/>
        </w:rPr>
        <w:t>Komplementarność zostanie zagwarantowana poprzez przyjęcie spójnego systemu wdrażania procesów rewitalizacyjnych, składającego się z:</w:t>
      </w:r>
    </w:p>
    <w:p w:rsidR="004C2D2B" w:rsidRPr="00F01197" w:rsidRDefault="004C2D2B" w:rsidP="00DB41E6">
      <w:pPr>
        <w:numPr>
          <w:ilvl w:val="0"/>
          <w:numId w:val="58"/>
        </w:numPr>
        <w:suppressAutoHyphens/>
        <w:spacing w:before="120" w:line="100" w:lineRule="atLeast"/>
        <w:ind w:left="714" w:hanging="357"/>
        <w:jc w:val="both"/>
        <w:rPr>
          <w:rFonts w:eastAsia="Calibri" w:cs="Calibri"/>
          <w:szCs w:val="20"/>
        </w:rPr>
      </w:pPr>
      <w:r w:rsidRPr="00F01197">
        <w:rPr>
          <w:rFonts w:eastAsia="Calibri" w:cs="Calibri"/>
          <w:szCs w:val="20"/>
        </w:rPr>
        <w:t>systemu zarządzania;</w:t>
      </w:r>
    </w:p>
    <w:p w:rsidR="004C2D2B" w:rsidRPr="00F01197" w:rsidRDefault="004C2D2B" w:rsidP="00DB41E6">
      <w:pPr>
        <w:numPr>
          <w:ilvl w:val="0"/>
          <w:numId w:val="58"/>
        </w:numPr>
        <w:suppressAutoHyphens/>
        <w:spacing w:line="100" w:lineRule="atLeast"/>
        <w:ind w:left="714" w:hanging="357"/>
        <w:jc w:val="both"/>
        <w:rPr>
          <w:rFonts w:eastAsia="Calibri" w:cs="Calibri"/>
          <w:szCs w:val="20"/>
        </w:rPr>
      </w:pPr>
      <w:r w:rsidRPr="00F01197">
        <w:rPr>
          <w:rFonts w:eastAsia="Calibri" w:cs="Calibri"/>
          <w:szCs w:val="20"/>
        </w:rPr>
        <w:t>systemu monitorowania postępów realizacji programu;</w:t>
      </w:r>
    </w:p>
    <w:p w:rsidR="004C2D2B" w:rsidRPr="00F01197" w:rsidRDefault="004C2D2B" w:rsidP="00DB41E6">
      <w:pPr>
        <w:numPr>
          <w:ilvl w:val="0"/>
          <w:numId w:val="58"/>
        </w:numPr>
        <w:suppressAutoHyphens/>
        <w:spacing w:line="100" w:lineRule="atLeast"/>
        <w:ind w:left="714" w:hanging="357"/>
        <w:jc w:val="both"/>
        <w:rPr>
          <w:rFonts w:eastAsia="Calibri" w:cs="Calibri"/>
          <w:szCs w:val="20"/>
        </w:rPr>
      </w:pPr>
      <w:r w:rsidRPr="00F01197">
        <w:rPr>
          <w:rFonts w:eastAsia="Calibri" w:cs="Calibri"/>
          <w:szCs w:val="20"/>
        </w:rPr>
        <w:t xml:space="preserve">systemu aktualizacji. </w:t>
      </w:r>
    </w:p>
    <w:p w:rsidR="004C2D2B" w:rsidRPr="00F01197" w:rsidRDefault="004C2D2B" w:rsidP="004C2D2B">
      <w:pPr>
        <w:spacing w:line="100" w:lineRule="atLeast"/>
        <w:jc w:val="both"/>
        <w:rPr>
          <w:rFonts w:eastAsia="Calibri" w:cs="Calibri"/>
          <w:szCs w:val="20"/>
        </w:rPr>
      </w:pPr>
      <w:r w:rsidRPr="00F01197">
        <w:rPr>
          <w:szCs w:val="20"/>
        </w:rPr>
        <w:t>Wskazany wyżej wymiar komplementarności zostanie dodatkowo wzmocniony poprzez działania pilotażowe, które zakładają m.in.</w:t>
      </w:r>
      <w:r w:rsidRPr="00F01197">
        <w:rPr>
          <w:rFonts w:eastAsia="Calibri" w:cs="Calibri"/>
          <w:szCs w:val="20"/>
        </w:rPr>
        <w:t xml:space="preserve"> wzmocnienie zdolności instytucjonalnej miasta Bytomia oraz lokalnych interesariuszy (w tym przede wszystkim mieszkańców oraz organizacji pozarządowych) do prowadzenia działań rewitalizacyjnych poprzez:</w:t>
      </w:r>
    </w:p>
    <w:p w:rsidR="004C2D2B" w:rsidRPr="00F01197" w:rsidRDefault="004C2D2B" w:rsidP="00DB41E6">
      <w:pPr>
        <w:numPr>
          <w:ilvl w:val="0"/>
          <w:numId w:val="23"/>
        </w:numPr>
        <w:tabs>
          <w:tab w:val="num" w:pos="0"/>
        </w:tabs>
        <w:suppressAutoHyphens/>
        <w:spacing w:before="120" w:line="100" w:lineRule="atLeast"/>
        <w:ind w:left="714" w:hanging="357"/>
        <w:jc w:val="both"/>
        <w:rPr>
          <w:rFonts w:eastAsia="Calibri" w:cs="Calibri"/>
          <w:szCs w:val="20"/>
        </w:rPr>
      </w:pPr>
      <w:r w:rsidRPr="00F01197">
        <w:rPr>
          <w:rFonts w:eastAsia="Calibri" w:cs="Calibri"/>
          <w:szCs w:val="20"/>
        </w:rPr>
        <w:t>dostosowanie struktur</w:t>
      </w:r>
      <w:r w:rsidR="00447958">
        <w:rPr>
          <w:rFonts w:eastAsia="Calibri" w:cs="Calibri"/>
          <w:szCs w:val="20"/>
        </w:rPr>
        <w:t>y UM do założeń opisanych w GPR;</w:t>
      </w:r>
    </w:p>
    <w:p w:rsidR="004C2D2B" w:rsidRPr="00F01197" w:rsidRDefault="004C2D2B" w:rsidP="00DB41E6">
      <w:pPr>
        <w:numPr>
          <w:ilvl w:val="0"/>
          <w:numId w:val="23"/>
        </w:numPr>
        <w:tabs>
          <w:tab w:val="num" w:pos="0"/>
        </w:tabs>
        <w:suppressAutoHyphens/>
        <w:spacing w:line="100" w:lineRule="atLeast"/>
        <w:ind w:left="714" w:hanging="357"/>
        <w:jc w:val="both"/>
        <w:rPr>
          <w:rFonts w:eastAsia="Calibri" w:cs="Calibri"/>
          <w:szCs w:val="20"/>
        </w:rPr>
      </w:pPr>
      <w:r w:rsidRPr="00F01197">
        <w:rPr>
          <w:rFonts w:eastAsia="Calibri" w:cs="Calibri"/>
          <w:szCs w:val="20"/>
        </w:rPr>
        <w:t>działania edukacyjne skierowane do pracowników UM wzmacniające ich zdolność do uczest</w:t>
      </w:r>
      <w:r w:rsidR="00447958">
        <w:rPr>
          <w:rFonts w:eastAsia="Calibri" w:cs="Calibri"/>
          <w:szCs w:val="20"/>
        </w:rPr>
        <w:t>nictwa w procesie rewitalizacji;</w:t>
      </w:r>
    </w:p>
    <w:p w:rsidR="004C2D2B" w:rsidRPr="00F01197" w:rsidRDefault="004C2D2B" w:rsidP="00DB41E6">
      <w:pPr>
        <w:numPr>
          <w:ilvl w:val="0"/>
          <w:numId w:val="23"/>
        </w:numPr>
        <w:tabs>
          <w:tab w:val="num" w:pos="0"/>
        </w:tabs>
        <w:suppressAutoHyphens/>
        <w:spacing w:line="100" w:lineRule="atLeast"/>
        <w:ind w:left="714" w:hanging="357"/>
        <w:jc w:val="both"/>
        <w:rPr>
          <w:rFonts w:eastAsia="Calibri" w:cs="Calibri"/>
          <w:szCs w:val="20"/>
        </w:rPr>
      </w:pPr>
      <w:r w:rsidRPr="00F01197">
        <w:rPr>
          <w:rFonts w:eastAsia="Calibri" w:cs="Calibri"/>
          <w:szCs w:val="20"/>
        </w:rPr>
        <w:t xml:space="preserve">opracowanie Planu działania w zakresie edukacji, komunikacji społecznej i promocji procesu rewitalizacji miasta Bytom – dokument instruktażowy dla koordynatora </w:t>
      </w:r>
      <w:r w:rsidR="007D08A3">
        <w:rPr>
          <w:rFonts w:eastAsia="Calibri" w:cs="Calibri"/>
          <w:szCs w:val="20"/>
        </w:rPr>
        <w:t xml:space="preserve">ds. wdrażania </w:t>
      </w:r>
      <w:r w:rsidRPr="00F01197">
        <w:rPr>
          <w:rFonts w:eastAsia="Calibri" w:cs="Calibri"/>
          <w:szCs w:val="20"/>
        </w:rPr>
        <w:t>GPR, pokazujący możliwe narzędzia edukacyjne oraz formy promocji i metod pracy z interesariuszami przez okres wdrażania i oceny rewitalizacji wraz z oczekiw</w:t>
      </w:r>
      <w:r w:rsidR="00447958">
        <w:rPr>
          <w:rFonts w:eastAsia="Calibri" w:cs="Calibri"/>
          <w:szCs w:val="20"/>
        </w:rPr>
        <w:t>anymi rezultatami i produktami;</w:t>
      </w:r>
      <w:r w:rsidRPr="00F01197">
        <w:rPr>
          <w:rFonts w:eastAsia="Calibri" w:cs="Calibri"/>
          <w:szCs w:val="20"/>
        </w:rPr>
        <w:t xml:space="preserve"> </w:t>
      </w:r>
    </w:p>
    <w:p w:rsidR="004C2D2B" w:rsidRPr="00F01197" w:rsidRDefault="004C2D2B" w:rsidP="00DB41E6">
      <w:pPr>
        <w:numPr>
          <w:ilvl w:val="0"/>
          <w:numId w:val="23"/>
        </w:numPr>
        <w:tabs>
          <w:tab w:val="num" w:pos="0"/>
        </w:tabs>
        <w:suppressAutoHyphens/>
        <w:spacing w:line="100" w:lineRule="atLeast"/>
        <w:ind w:left="714" w:hanging="357"/>
        <w:jc w:val="both"/>
        <w:rPr>
          <w:rFonts w:eastAsia="Calibri" w:cs="Calibri"/>
          <w:szCs w:val="20"/>
        </w:rPr>
      </w:pPr>
      <w:r w:rsidRPr="00F01197">
        <w:rPr>
          <w:rFonts w:eastAsia="Calibri" w:cs="Calibri"/>
          <w:szCs w:val="20"/>
        </w:rPr>
        <w:t>działania informacyjno-promocyjne skierowane do mieszkańców w ramach Programu (np. organizacja debat, warsztatów oraz spotkań informacyjnych dla mieszkańców obsza</w:t>
      </w:r>
      <w:r w:rsidR="00447958">
        <w:rPr>
          <w:rFonts w:eastAsia="Calibri" w:cs="Calibri"/>
          <w:szCs w:val="20"/>
        </w:rPr>
        <w:t>ru rewitalizacji);</w:t>
      </w:r>
    </w:p>
    <w:p w:rsidR="004C2D2B" w:rsidRPr="00F01197" w:rsidRDefault="004C2D2B" w:rsidP="00DB41E6">
      <w:pPr>
        <w:numPr>
          <w:ilvl w:val="0"/>
          <w:numId w:val="23"/>
        </w:numPr>
        <w:tabs>
          <w:tab w:val="num" w:pos="0"/>
        </w:tabs>
        <w:suppressAutoHyphens/>
        <w:spacing w:line="100" w:lineRule="atLeast"/>
        <w:ind w:left="714" w:hanging="357"/>
        <w:jc w:val="both"/>
        <w:rPr>
          <w:rFonts w:eastAsia="Calibri" w:cs="Calibri"/>
          <w:szCs w:val="20"/>
        </w:rPr>
      </w:pPr>
      <w:r w:rsidRPr="00F01197">
        <w:rPr>
          <w:rFonts w:eastAsia="Calibri" w:cs="Calibri"/>
          <w:szCs w:val="20"/>
        </w:rPr>
        <w:t>organizację stałego punktu informacyjnego w obszarze rewitalizacji, w ramach których zapewniane będzie doradztwo (dyżury) oraz szkolenia dla interesariuszy, w tym:</w:t>
      </w:r>
    </w:p>
    <w:p w:rsidR="004C2D2B" w:rsidRPr="00F01197" w:rsidRDefault="004C2D2B" w:rsidP="003B3BFB">
      <w:pPr>
        <w:pStyle w:val="Akapitzlist"/>
        <w:numPr>
          <w:ilvl w:val="0"/>
          <w:numId w:val="71"/>
        </w:numPr>
        <w:spacing w:after="0" w:line="100" w:lineRule="atLeast"/>
        <w:ind w:left="1077" w:hanging="357"/>
        <w:jc w:val="both"/>
        <w:rPr>
          <w:rFonts w:asciiTheme="minorHAnsi" w:hAnsiTheme="minorHAnsi" w:cs="Calibri"/>
          <w:sz w:val="20"/>
          <w:szCs w:val="20"/>
        </w:rPr>
      </w:pPr>
      <w:r w:rsidRPr="00F01197">
        <w:rPr>
          <w:rFonts w:asciiTheme="minorHAnsi" w:hAnsiTheme="minorHAnsi" w:cs="Calibri"/>
          <w:sz w:val="20"/>
          <w:szCs w:val="20"/>
        </w:rPr>
        <w:t>wsparcie edukacyjne i doradcze dla organizacji pozarządowych, wspierające zdolność instytucjonalną tych organizacji do zaangażowania się w realizację projektów społecznych,</w:t>
      </w:r>
    </w:p>
    <w:p w:rsidR="004C2D2B" w:rsidRPr="00F01197" w:rsidRDefault="004C2D2B" w:rsidP="003B3BFB">
      <w:pPr>
        <w:pStyle w:val="Akapitzlist"/>
        <w:numPr>
          <w:ilvl w:val="0"/>
          <w:numId w:val="71"/>
        </w:numPr>
        <w:spacing w:after="0" w:line="100" w:lineRule="atLeast"/>
        <w:ind w:left="1077" w:hanging="357"/>
        <w:jc w:val="both"/>
        <w:rPr>
          <w:rFonts w:asciiTheme="minorHAnsi" w:hAnsiTheme="minorHAnsi" w:cs="Calibri"/>
          <w:sz w:val="20"/>
          <w:szCs w:val="20"/>
        </w:rPr>
      </w:pPr>
      <w:r w:rsidRPr="00F01197">
        <w:rPr>
          <w:rFonts w:asciiTheme="minorHAnsi" w:hAnsiTheme="minorHAnsi" w:cs="Calibri"/>
          <w:sz w:val="20"/>
          <w:szCs w:val="20"/>
        </w:rPr>
        <w:t>doradztwo prawne, ekonomiczne i techniczne dla interesariuszy w</w:t>
      </w:r>
      <w:r w:rsidR="00F01197">
        <w:rPr>
          <w:rFonts w:asciiTheme="minorHAnsi" w:hAnsiTheme="minorHAnsi" w:cs="Calibri"/>
          <w:sz w:val="20"/>
          <w:szCs w:val="20"/>
        </w:rPr>
        <w:t xml:space="preserve"> kwartale pilotażowym i </w:t>
      </w:r>
      <w:r w:rsidRPr="00F01197">
        <w:rPr>
          <w:rFonts w:asciiTheme="minorHAnsi" w:hAnsiTheme="minorHAnsi" w:cs="Calibri"/>
          <w:sz w:val="20"/>
          <w:szCs w:val="20"/>
        </w:rPr>
        <w:t>w</w:t>
      </w:r>
      <w:r w:rsidR="00F01197">
        <w:rPr>
          <w:rFonts w:asciiTheme="minorHAnsi" w:hAnsiTheme="minorHAnsi" w:cs="Calibri"/>
          <w:sz w:val="20"/>
          <w:szCs w:val="20"/>
        </w:rPr>
        <w:t> </w:t>
      </w:r>
      <w:r w:rsidR="00447958">
        <w:rPr>
          <w:rFonts w:asciiTheme="minorHAnsi" w:hAnsiTheme="minorHAnsi" w:cs="Calibri"/>
          <w:sz w:val="20"/>
          <w:szCs w:val="20"/>
        </w:rPr>
        <w:t>obszarze rewitalizacji;</w:t>
      </w:r>
    </w:p>
    <w:p w:rsidR="004C2D2B" w:rsidRPr="00F01197" w:rsidRDefault="004C2D2B" w:rsidP="00DB41E6">
      <w:pPr>
        <w:numPr>
          <w:ilvl w:val="0"/>
          <w:numId w:val="23"/>
        </w:numPr>
        <w:tabs>
          <w:tab w:val="num" w:pos="0"/>
        </w:tabs>
        <w:suppressAutoHyphens/>
        <w:spacing w:line="100" w:lineRule="atLeast"/>
        <w:ind w:left="714" w:hanging="357"/>
        <w:jc w:val="both"/>
        <w:rPr>
          <w:rFonts w:eastAsia="Calibri" w:cs="Calibri"/>
          <w:szCs w:val="20"/>
        </w:rPr>
      </w:pPr>
      <w:r w:rsidRPr="00F01197">
        <w:rPr>
          <w:rFonts w:eastAsia="Calibri" w:cs="Calibri"/>
          <w:szCs w:val="20"/>
        </w:rPr>
        <w:t>kontynuację wydawania gazety poświęconej kompleksowej rewitalizacji miasta – Gazeta jest wydawana podobnie jak lokalny dziennik, zawiera wszystkie bieżące informacje o stanie rewitalizacji w mieście i</w:t>
      </w:r>
      <w:r w:rsidR="00F01197">
        <w:rPr>
          <w:rFonts w:eastAsia="Calibri" w:cs="Calibri"/>
          <w:szCs w:val="20"/>
        </w:rPr>
        <w:t> </w:t>
      </w:r>
      <w:r w:rsidRPr="00F01197">
        <w:rPr>
          <w:rFonts w:eastAsia="Calibri" w:cs="Calibri"/>
          <w:szCs w:val="20"/>
        </w:rPr>
        <w:t>będzie wydawana co kwartał do końca projektu pilotażowego, a następnie planowana jest kontynuacja ze środków miasta. Jest to przystępny i komunikatywny sposób dotarcia do wszystkich mieszkańców, również tych, kt</w:t>
      </w:r>
      <w:r w:rsidR="00447958">
        <w:rPr>
          <w:rFonts w:eastAsia="Calibri" w:cs="Calibri"/>
          <w:szCs w:val="20"/>
        </w:rPr>
        <w:t>órzy nie korzystają z Internetu;</w:t>
      </w:r>
    </w:p>
    <w:p w:rsidR="004C2D2B" w:rsidRPr="00F01197" w:rsidRDefault="004C2D2B" w:rsidP="00DB41E6">
      <w:pPr>
        <w:numPr>
          <w:ilvl w:val="0"/>
          <w:numId w:val="23"/>
        </w:numPr>
        <w:tabs>
          <w:tab w:val="num" w:pos="0"/>
        </w:tabs>
        <w:suppressAutoHyphens/>
        <w:spacing w:line="100" w:lineRule="atLeast"/>
        <w:ind w:left="714" w:hanging="357"/>
        <w:jc w:val="both"/>
        <w:rPr>
          <w:szCs w:val="20"/>
        </w:rPr>
      </w:pPr>
      <w:r w:rsidRPr="00F01197">
        <w:rPr>
          <w:szCs w:val="20"/>
        </w:rPr>
        <w:t>prowadzenie strony internetowej – www.bytomodnowa.pl oraz merytoryczne prowadzenie bloga podsumowującego dział</w:t>
      </w:r>
      <w:r w:rsidR="00447958">
        <w:rPr>
          <w:szCs w:val="20"/>
        </w:rPr>
        <w:t>ania doradcze;</w:t>
      </w:r>
    </w:p>
    <w:p w:rsidR="004C2D2B" w:rsidRPr="00F01197" w:rsidRDefault="004C2D2B" w:rsidP="00DB41E6">
      <w:pPr>
        <w:numPr>
          <w:ilvl w:val="0"/>
          <w:numId w:val="23"/>
        </w:numPr>
        <w:tabs>
          <w:tab w:val="num" w:pos="0"/>
        </w:tabs>
        <w:suppressAutoHyphens/>
        <w:spacing w:line="100" w:lineRule="atLeast"/>
        <w:ind w:left="714" w:hanging="357"/>
        <w:jc w:val="both"/>
        <w:rPr>
          <w:szCs w:val="20"/>
        </w:rPr>
      </w:pPr>
      <w:r w:rsidRPr="00F01197">
        <w:rPr>
          <w:szCs w:val="20"/>
        </w:rPr>
        <w:t>opracowanie analizy dotyczącej zakresu Specjalnej Strefy Rewitalizacji w Bytomiu oraz uchwały ws. wyznaczenia SSR, konsult</w:t>
      </w:r>
      <w:r w:rsidR="00447958">
        <w:rPr>
          <w:szCs w:val="20"/>
        </w:rPr>
        <w:t>acje społeczne uchwały dot. SSR.</w:t>
      </w:r>
    </w:p>
    <w:p w:rsidR="004C2D2B" w:rsidRPr="00F01197" w:rsidRDefault="004C2D2B" w:rsidP="004C2D2B">
      <w:pPr>
        <w:spacing w:line="100" w:lineRule="atLeast"/>
        <w:ind w:left="567"/>
        <w:jc w:val="both"/>
        <w:rPr>
          <w:rFonts w:eastAsia="Calibri" w:cs="Calibri"/>
          <w:b/>
          <w:szCs w:val="20"/>
        </w:rPr>
      </w:pPr>
    </w:p>
    <w:p w:rsidR="004C2D2B" w:rsidRPr="00295930" w:rsidRDefault="00263558" w:rsidP="003B3BFB">
      <w:pPr>
        <w:pStyle w:val="Akapitzlist"/>
        <w:numPr>
          <w:ilvl w:val="0"/>
          <w:numId w:val="59"/>
        </w:numPr>
        <w:spacing w:after="0" w:line="100" w:lineRule="atLeast"/>
        <w:jc w:val="both"/>
        <w:rPr>
          <w:rFonts w:asciiTheme="minorHAnsi" w:hAnsiTheme="minorHAnsi" w:cs="Calibri"/>
          <w:b/>
          <w:sz w:val="20"/>
          <w:szCs w:val="20"/>
        </w:rPr>
      </w:pPr>
      <w:r>
        <w:rPr>
          <w:rFonts w:asciiTheme="minorHAnsi" w:hAnsiTheme="minorHAnsi" w:cs="Calibri"/>
          <w:b/>
          <w:sz w:val="20"/>
          <w:szCs w:val="20"/>
        </w:rPr>
        <w:t>Komplementarność międzyokresowa</w:t>
      </w:r>
    </w:p>
    <w:p w:rsidR="004C2D2B" w:rsidRPr="00F01197" w:rsidRDefault="004C2D2B" w:rsidP="004C2D2B">
      <w:pPr>
        <w:spacing w:line="100" w:lineRule="atLeast"/>
        <w:ind w:firstLine="567"/>
        <w:jc w:val="both"/>
        <w:rPr>
          <w:rFonts w:eastAsia="Calibri" w:cs="Calibri"/>
          <w:color w:val="000000"/>
          <w:szCs w:val="20"/>
        </w:rPr>
      </w:pPr>
      <w:r w:rsidRPr="00F01197">
        <w:rPr>
          <w:rFonts w:eastAsia="Calibri" w:cs="Calibri"/>
          <w:szCs w:val="20"/>
        </w:rPr>
        <w:t xml:space="preserve">Działania zaplanowane w ramach programu, będą uzupełniały działania rewitalizacyjne wcześniej realizowane. </w:t>
      </w:r>
      <w:r w:rsidRPr="00F01197">
        <w:rPr>
          <w:rFonts w:eastAsia="Calibri" w:cs="Calibri"/>
          <w:color w:val="000000"/>
          <w:szCs w:val="20"/>
        </w:rPr>
        <w:t>W części dotyczącej komplementarności programowej opisano wcześniejsze doświadczenia w formułowaniu dokumentów rewitalizacyjnych. GPR stanowi kontynuację procesu koncepcyjnego, ale także wdrożeniowego, który w mieście jest realizowany od roku 2004.</w:t>
      </w:r>
    </w:p>
    <w:p w:rsidR="004C2D2B" w:rsidRPr="00F01197" w:rsidRDefault="004C2D2B" w:rsidP="004C2D2B">
      <w:pPr>
        <w:spacing w:line="100" w:lineRule="atLeast"/>
        <w:jc w:val="both"/>
        <w:rPr>
          <w:rFonts w:eastAsia="Calibri" w:cs="Calibri"/>
          <w:szCs w:val="20"/>
        </w:rPr>
      </w:pPr>
      <w:r w:rsidRPr="00F01197">
        <w:rPr>
          <w:rFonts w:eastAsia="Calibri" w:cs="Calibri"/>
          <w:szCs w:val="20"/>
        </w:rPr>
        <w:t>Dotychczasowe działania rewitalizacyjne w Bytomiu obejmują zarówno przedsięwzięcia finansowane ze źródeł publicznych (w tym współfinansowane ze środków funduszy europejskich po 2004 roku), jak i projekty realizowane przez prywatnych inwestorów. Poniżej w sposób syntetyczny zaprezentowano dotychczasowe doświadczenia w zakresie rewitalizacji w Bytomiu (w tym także planowane działania oraz projekty rewitalizacyjne realizowane w mieście przed 2004 rokiem).</w:t>
      </w:r>
      <w:r w:rsidR="007D08A3">
        <w:rPr>
          <w:rFonts w:eastAsia="Calibri" w:cs="Calibri"/>
          <w:szCs w:val="20"/>
        </w:rPr>
        <w:t xml:space="preserve"> </w:t>
      </w:r>
      <w:r w:rsidRPr="00F01197">
        <w:rPr>
          <w:rFonts w:eastAsia="Calibri" w:cs="Calibri"/>
          <w:szCs w:val="20"/>
        </w:rPr>
        <w:t xml:space="preserve">Interesującą, choć niezrealizowaną koncepcją rewitalizacji w Bytomiu, był projekt </w:t>
      </w:r>
      <w:r w:rsidRPr="007D08A3">
        <w:rPr>
          <w:rFonts w:eastAsia="Calibri" w:cs="Calibri"/>
          <w:b/>
          <w:szCs w:val="20"/>
        </w:rPr>
        <w:t>Kolonia Artystów</w:t>
      </w:r>
      <w:r w:rsidRPr="00F01197">
        <w:rPr>
          <w:rFonts w:eastAsia="Calibri" w:cs="Calibri"/>
          <w:szCs w:val="20"/>
        </w:rPr>
        <w:t xml:space="preserve"> – rewaloryzacja zabytkowego zespołu mieszkalnego, który realizowany miał być na obszarze Kolonii Zgorzelec. Projekt ten miał na celu ratowanie zabytkowego zespołu mieszkalnego, z końca XIX wieku, zgodnie z jego dotychczasową funkcją (zachowanie układu dawnego osiedla robotniczego w postaci jednorodzinnych i dwurodzinnych domów z wydzielonym ogrodem przydomowym i garażem, a także zespołem zieleni osiedlowej). Projekt zakładał uruchomienie procesu kompleksowej prywatyzacji zespołu zabudowy oraz przeprowadzenie jego modernizacji w oparciu przede wszystkim o środki indywidualnych inwestorów przy ograniczonym do niezbędnych działań zaangażowaniu miasta. Odnowione osiedle miało stać się środowiskiem zamieszkania ludzi kreatywnych, a tym samym miejscem kreacji różnych działań twórczych (miejscem pracy i wymiany poglądów). W grudniu 2002 roku w</w:t>
      </w:r>
      <w:r w:rsidR="007D08A3">
        <w:rPr>
          <w:rFonts w:eastAsia="Calibri" w:cs="Calibri"/>
          <w:szCs w:val="20"/>
        </w:rPr>
        <w:t> </w:t>
      </w:r>
      <w:r w:rsidRPr="00F01197">
        <w:rPr>
          <w:rFonts w:eastAsia="Calibri" w:cs="Calibri"/>
          <w:szCs w:val="20"/>
        </w:rPr>
        <w:t xml:space="preserve">Bytomiu otwarto </w:t>
      </w:r>
      <w:r w:rsidRPr="007D08A3">
        <w:rPr>
          <w:rFonts w:eastAsia="Calibri" w:cs="Calibri"/>
          <w:b/>
          <w:szCs w:val="20"/>
        </w:rPr>
        <w:t>centrum sportowo-rekreacyjne Dolomity Sportowo Dolina</w:t>
      </w:r>
      <w:r w:rsidRPr="00F01197">
        <w:rPr>
          <w:rFonts w:eastAsia="Calibri" w:cs="Calibri"/>
          <w:szCs w:val="20"/>
        </w:rPr>
        <w:t xml:space="preserve">. Jest to prywatna inwestycja zrealizowana w miejscu dawnego wyrobiska po kamieniołomie dolomitu. Rozpatrując działania rewitalizacyjne podejmowane w Bytomiu przed 2004 rokiem wypada zwrócić uwagę na projekt pn. </w:t>
      </w:r>
      <w:r w:rsidRPr="007D08A3">
        <w:rPr>
          <w:rFonts w:eastAsia="Calibri" w:cs="Calibri"/>
          <w:b/>
          <w:szCs w:val="20"/>
        </w:rPr>
        <w:t>Bolko_Loft – modernizacja i</w:t>
      </w:r>
      <w:r w:rsidR="007D08A3" w:rsidRPr="007D08A3">
        <w:rPr>
          <w:rFonts w:eastAsia="Calibri" w:cs="Calibri"/>
          <w:b/>
          <w:szCs w:val="20"/>
        </w:rPr>
        <w:t> </w:t>
      </w:r>
      <w:r w:rsidRPr="007D08A3">
        <w:rPr>
          <w:rFonts w:eastAsia="Calibri" w:cs="Calibri"/>
          <w:b/>
          <w:szCs w:val="20"/>
        </w:rPr>
        <w:t>adaptacja budynku lampiarni zakładów górniczo-hutniczych na przestrzeń mieszkalną.</w:t>
      </w:r>
      <w:r w:rsidRPr="00F01197">
        <w:rPr>
          <w:rFonts w:eastAsia="Calibri" w:cs="Calibri"/>
          <w:szCs w:val="20"/>
        </w:rPr>
        <w:t xml:space="preserve"> Bolko Loft jest jednym z</w:t>
      </w:r>
      <w:r w:rsidR="007D08A3">
        <w:rPr>
          <w:rFonts w:eastAsia="Calibri" w:cs="Calibri"/>
          <w:szCs w:val="20"/>
        </w:rPr>
        <w:t> </w:t>
      </w:r>
      <w:r w:rsidRPr="00F01197">
        <w:rPr>
          <w:rFonts w:eastAsia="Calibri" w:cs="Calibri"/>
          <w:szCs w:val="20"/>
        </w:rPr>
        <w:t xml:space="preserve">pierwszych loftów w Polsce, powstałym w wyniku modernizacji i adaptacji obiektu poprzemysłowego (budynek lampiarni dawnych Zakładów Górniczo-Hutniczych „Orzeł Biały”) na cele mieszkalne. Warto zaznaczyć, iż budynek ten nominowany był do wielu prestiżowych europejskich nagród architektonicznych. Ponadto w 2006 roku w konkursie </w:t>
      </w:r>
      <w:r w:rsidRPr="007D08A3">
        <w:rPr>
          <w:rFonts w:eastAsia="Calibri" w:cs="Calibri"/>
          <w:b/>
          <w:szCs w:val="20"/>
        </w:rPr>
        <w:t>Polska. Ikony architektury</w:t>
      </w:r>
      <w:r w:rsidRPr="00F01197">
        <w:rPr>
          <w:rFonts w:eastAsia="Calibri" w:cs="Calibri"/>
          <w:szCs w:val="20"/>
        </w:rPr>
        <w:t xml:space="preserve"> budynek wybrany został jako jedna z dwudziestu najciekawszych realizacji architektonicznych w Polsce po 1989 roku. Istotny wpływ na proces rewitalizacji Bytomia po 2004 roku wywarły fundusze polityki spójności Unii Europejskiej. W latach 2004–2015 na obszarze miasta zrealizowano szereg projektów o charakterze rewitalizacyjnym, dofinansowanych ze środków funduszy europejskich. W pierwszej kolejności należy zwrócić uwagę na projekty realizowane w ramach działań bezpośrednio dedykowanych rewitalizacji w ZPORR 2004 – 2006 (działanie 3.3. Zdegradowane obszary miejskie, poprzemysłowe i powojskowe) i RPO Województwa Śląskiego 2007–2013 (działanie 6.2. Rewitalizacja obszarów zdegradowanych). W ramach tych działań w Bytomiu zrealizowano w sumie 13 przedsięwzięć rewitalizacyjnych o łącznej wartości 67,5 mln PLN (z czego 63,8% stanowiły środki pozyskane z budżetu Unii Europejskiej). Warto odnotować, że wnioskodawcą powyższych przedsięwzięć był zarówno samorząd miasta, jak również spółdzielnie i wspólnoty mieszkaniowe, parafie, a także organizacje pozarządowe. Projekty rewitalizacyjne realizowane w Bytomiu w ramach wymienionych wyżej działań ZPORR 2004–2006 i RPO Województwa Śląskiego 2007–2013 podzielić można na kilka kategorii. Pierwszą z nich są przedsięwzięcia, których zakres rzeczowy dotyczył modernizacji budynków użyteczności publicznej (</w:t>
      </w:r>
      <w:r w:rsidRPr="007D08A3">
        <w:rPr>
          <w:rFonts w:eastAsia="Calibri" w:cs="Calibri"/>
          <w:b/>
          <w:szCs w:val="20"/>
        </w:rPr>
        <w:t>Rewitalizacja gmachu głównego Miejskiej Biblioteki Publicznej w Bytomiu i Rewitalizacja budynków Muzeum Górnośląskiego w</w:t>
      </w:r>
      <w:r w:rsidR="003E3C96" w:rsidRPr="007D08A3">
        <w:rPr>
          <w:rFonts w:eastAsia="Calibri" w:cs="Calibri"/>
          <w:b/>
          <w:szCs w:val="20"/>
        </w:rPr>
        <w:t> </w:t>
      </w:r>
      <w:r w:rsidRPr="007D08A3">
        <w:rPr>
          <w:rFonts w:eastAsia="Calibri" w:cs="Calibri"/>
          <w:b/>
          <w:szCs w:val="20"/>
        </w:rPr>
        <w:t>Bytomiu</w:t>
      </w:r>
      <w:r w:rsidRPr="00F01197">
        <w:rPr>
          <w:rFonts w:eastAsia="Calibri" w:cs="Calibri"/>
          <w:szCs w:val="20"/>
        </w:rPr>
        <w:t xml:space="preserve">).Następną grupę działań rewitalizacyjnych stanowią projekty związane z modernizacją oraz adaptacją różnych obiektów do pełnienia nowych funkcji społecznych. </w:t>
      </w:r>
    </w:p>
    <w:p w:rsidR="004C2D2B" w:rsidRPr="00F01197" w:rsidRDefault="004C2D2B" w:rsidP="004C2D2B">
      <w:pPr>
        <w:spacing w:line="100" w:lineRule="atLeast"/>
        <w:jc w:val="both"/>
        <w:rPr>
          <w:rFonts w:eastAsia="Calibri" w:cs="Calibri"/>
          <w:szCs w:val="20"/>
        </w:rPr>
      </w:pPr>
      <w:r w:rsidRPr="00F01197">
        <w:rPr>
          <w:rFonts w:eastAsia="Calibri" w:cs="Calibri"/>
          <w:szCs w:val="20"/>
        </w:rPr>
        <w:t>Przykładem takich działań są:</w:t>
      </w:r>
    </w:p>
    <w:p w:rsidR="004C2D2B" w:rsidRPr="00F01197" w:rsidRDefault="004C2D2B" w:rsidP="00DB41E6">
      <w:pPr>
        <w:pStyle w:val="Akapitzlist"/>
        <w:numPr>
          <w:ilvl w:val="0"/>
          <w:numId w:val="68"/>
        </w:numPr>
        <w:spacing w:before="120" w:after="0" w:line="100" w:lineRule="atLeast"/>
        <w:ind w:left="714" w:hanging="357"/>
        <w:jc w:val="both"/>
        <w:rPr>
          <w:rFonts w:asciiTheme="minorHAnsi" w:hAnsiTheme="minorHAnsi" w:cs="Calibri"/>
          <w:sz w:val="20"/>
          <w:szCs w:val="20"/>
        </w:rPr>
      </w:pPr>
      <w:r w:rsidRPr="00F01197">
        <w:rPr>
          <w:rFonts w:asciiTheme="minorHAnsi" w:hAnsiTheme="minorHAnsi" w:cs="Calibri"/>
          <w:sz w:val="20"/>
          <w:szCs w:val="20"/>
        </w:rPr>
        <w:t>Rewitalizacja terenów po byłej KWK Rozbark – Etap I budynek cechowni i administracyjny. Celem projektu była adaptacja oraz zmiana sposobu użytkowania dwóch obiektów po byłej KWK Rozbark (zabytkowego budynku cechowni i budynku administracyjnego) w połączeniu z zagospodarowaniem przyległego terenu. Po modernizacji budynek administracyjny został zaadaptowany w kierunku obiektu wielofunkcyjnego (o funkcjach edukacyjnych, kulturalnych i społecznych). Natomiast budynek cechowni po modernizacji zaadaptowany został na cele kulturalne (w tym m.in. dla potrzeb organizacji spektakli i przedstawień teatralnych). Tereny przylegające do powyższych obiektów zagospodarowano w zakresie małej architektury. Po zakończeniu działań rewitalizacyjnych gospodarzem odnowionych obiektów został Bytomski Teatr Tańca i Ruchu Rozbark, będący miejską instytucją kultury.</w:t>
      </w:r>
    </w:p>
    <w:p w:rsidR="004C2D2B" w:rsidRPr="00F01197" w:rsidRDefault="004C2D2B" w:rsidP="00DB41E6">
      <w:pPr>
        <w:pStyle w:val="Akapitzlist"/>
        <w:numPr>
          <w:ilvl w:val="0"/>
          <w:numId w:val="68"/>
        </w:numPr>
        <w:spacing w:after="0" w:line="100" w:lineRule="atLeast"/>
        <w:ind w:left="714" w:hanging="357"/>
        <w:jc w:val="both"/>
        <w:rPr>
          <w:rFonts w:asciiTheme="minorHAnsi" w:hAnsiTheme="minorHAnsi" w:cs="Calibri"/>
          <w:sz w:val="20"/>
          <w:szCs w:val="20"/>
        </w:rPr>
      </w:pPr>
      <w:r w:rsidRPr="00F01197">
        <w:rPr>
          <w:rFonts w:asciiTheme="minorHAnsi" w:hAnsiTheme="minorHAnsi" w:cs="Calibri"/>
          <w:sz w:val="20"/>
          <w:szCs w:val="20"/>
        </w:rPr>
        <w:t>Przebudowa części administracyjno-dydaktycznej nieużytkowanego obiektu byłego internatu Zespołu Szkół Technicznych w Bytomiu i jego adaptacja na Centrum Inicjatyw Społecznych.</w:t>
      </w:r>
    </w:p>
    <w:p w:rsidR="004C2D2B" w:rsidRPr="00F01197" w:rsidRDefault="004C2D2B" w:rsidP="00DB41E6">
      <w:pPr>
        <w:pStyle w:val="Akapitzlist"/>
        <w:numPr>
          <w:ilvl w:val="0"/>
          <w:numId w:val="68"/>
        </w:numPr>
        <w:spacing w:after="0" w:line="100" w:lineRule="atLeast"/>
        <w:ind w:left="714" w:hanging="357"/>
        <w:jc w:val="both"/>
        <w:rPr>
          <w:rFonts w:asciiTheme="minorHAnsi" w:hAnsiTheme="minorHAnsi" w:cs="Calibri"/>
          <w:sz w:val="20"/>
          <w:szCs w:val="20"/>
        </w:rPr>
      </w:pPr>
      <w:r w:rsidRPr="00F01197">
        <w:rPr>
          <w:rFonts w:asciiTheme="minorHAnsi" w:hAnsiTheme="minorHAnsi" w:cs="Calibri"/>
          <w:sz w:val="20"/>
          <w:szCs w:val="20"/>
        </w:rPr>
        <w:t>Przebudowa budynku biurowego po dawnej KWK Powstańców Śląskich wraz z jego adaptacją na zakład aktywności zawodowej o profilu restauracyjnym. Projekt ten zrealizowany został przez Bytomskie Stowarzyszenie Pomocy Dzieciom i Młodzieży Niepełnosprawnej.</w:t>
      </w:r>
    </w:p>
    <w:p w:rsidR="004C2D2B" w:rsidRPr="00F01197" w:rsidRDefault="004C2D2B" w:rsidP="00DB41E6">
      <w:pPr>
        <w:pStyle w:val="Akapitzlist"/>
        <w:numPr>
          <w:ilvl w:val="0"/>
          <w:numId w:val="68"/>
        </w:numPr>
        <w:spacing w:line="100" w:lineRule="atLeast"/>
        <w:ind w:left="714" w:hanging="357"/>
        <w:jc w:val="both"/>
        <w:rPr>
          <w:rFonts w:asciiTheme="minorHAnsi" w:hAnsiTheme="minorHAnsi" w:cs="Calibri"/>
          <w:sz w:val="20"/>
          <w:szCs w:val="20"/>
        </w:rPr>
      </w:pPr>
      <w:r w:rsidRPr="00F01197">
        <w:rPr>
          <w:rFonts w:asciiTheme="minorHAnsi" w:hAnsiTheme="minorHAnsi" w:cs="Calibri"/>
          <w:sz w:val="20"/>
          <w:szCs w:val="20"/>
        </w:rPr>
        <w:t>Rewitalizacja Zabytkowego Zespołu Parafii Ewangelicko-Augsburskiej (rewitalizacja budynku Ciszy Syjonu na potrzeby działalności Centrum Ewangelickiego im. Matki Ewy).</w:t>
      </w:r>
    </w:p>
    <w:p w:rsidR="004C2D2B" w:rsidRPr="00F01197" w:rsidRDefault="004C2D2B" w:rsidP="004C2D2B">
      <w:pPr>
        <w:spacing w:line="100" w:lineRule="atLeast"/>
        <w:ind w:firstLine="567"/>
        <w:jc w:val="both"/>
        <w:rPr>
          <w:rFonts w:eastAsia="Calibri" w:cs="Calibri"/>
          <w:szCs w:val="20"/>
        </w:rPr>
      </w:pPr>
      <w:r w:rsidRPr="00F01197">
        <w:rPr>
          <w:rFonts w:eastAsia="Calibri" w:cs="Calibri"/>
          <w:szCs w:val="20"/>
        </w:rPr>
        <w:t xml:space="preserve">Ponadto w ramach działań z zakresu rewitalizacji na obszarze Bytomia realizowano również projekty dotyczące rewitalizacji przestrzeni miejskiej. Przykładem takiego działania jest projekt Rewitalizacja zaniedbanych przestrzeni miejskich poprzez </w:t>
      </w:r>
      <w:r w:rsidRPr="007D08A3">
        <w:rPr>
          <w:rFonts w:eastAsia="Calibri" w:cs="Calibri"/>
          <w:b/>
          <w:szCs w:val="20"/>
        </w:rPr>
        <w:t>utworzenie Kolorowych Podwórek w Bytomiu</w:t>
      </w:r>
      <w:r w:rsidRPr="00F01197">
        <w:rPr>
          <w:rFonts w:eastAsia="Calibri" w:cs="Calibri"/>
          <w:szCs w:val="20"/>
        </w:rPr>
        <w:t>. W ramach powyższego projektu odnowiono 9 zaniedbanych przestrzeni miejskich w różnych częściach miasta poprzez utworzenie atrakcyjnych i bezpiecznych placów zabaw oraz miejsc spędzania czasu wolnego zarówno dla dzieci i młodzieży, jak również osób dorosłych .</w:t>
      </w:r>
    </w:p>
    <w:p w:rsidR="004C2D2B" w:rsidRPr="00F01197" w:rsidRDefault="004C2D2B" w:rsidP="004C2D2B">
      <w:pPr>
        <w:spacing w:line="100" w:lineRule="atLeast"/>
        <w:ind w:firstLine="567"/>
        <w:jc w:val="both"/>
        <w:rPr>
          <w:rFonts w:eastAsia="Calibri" w:cs="Calibri"/>
          <w:szCs w:val="20"/>
        </w:rPr>
      </w:pPr>
      <w:r w:rsidRPr="00F01197">
        <w:rPr>
          <w:rFonts w:eastAsia="Calibri" w:cs="Calibri"/>
          <w:szCs w:val="20"/>
        </w:rPr>
        <w:t>Kolejnym typem realizowanych działań rewitalizacyjnych była renowacja zasobów mieszkaniowych (tj.</w:t>
      </w:r>
      <w:r w:rsidR="00F01197">
        <w:rPr>
          <w:rFonts w:eastAsia="Calibri" w:cs="Calibri"/>
          <w:szCs w:val="20"/>
        </w:rPr>
        <w:t> </w:t>
      </w:r>
      <w:r w:rsidRPr="00F01197">
        <w:rPr>
          <w:rFonts w:eastAsia="Calibri" w:cs="Calibri"/>
          <w:szCs w:val="20"/>
        </w:rPr>
        <w:t xml:space="preserve">modernizacja wspólnych części wielorodzinnych budynków mieszkalnych). W minionym okresie programowania na obszarze Bytomia zrealizowano 4 tego rodzaju projekty, których wnioskodawcami były spółdzielnie oraz wspólnoty mieszkaniowe. Interesującym przykładem projektu rewitalizacji, który ze względu na swój zakres rzeczowy może być określony jako przedsięwzięcie kompleksowe, jest </w:t>
      </w:r>
      <w:r w:rsidRPr="002C5EA6">
        <w:rPr>
          <w:rFonts w:eastAsia="Calibri" w:cs="Calibri"/>
          <w:b/>
          <w:szCs w:val="20"/>
        </w:rPr>
        <w:t>Rewitalizacja poprzemysłowych dzielnic Bytomia – utworzenie nowoczesnego centrum rekreacyjnego, edukacyjnego i kulturalnego na Rozbarku. Projekt ten zrealizowany został przez parafię rzymsko-katolicką p.w. św. Jacka</w:t>
      </w:r>
      <w:r w:rsidRPr="00F01197">
        <w:rPr>
          <w:rFonts w:eastAsia="Calibri" w:cs="Calibri"/>
          <w:szCs w:val="20"/>
        </w:rPr>
        <w:t>. Zakres tego przedsięwzięcia obejmował m.in.: budowę w pobliżu kościoła wielofunkcyjnego obiektu sceny plenerowej, budowę budynku warsztatów muzyczno-teatralnych (zaplecze dla utworzonego budynku sceny), odnowienie terenów zieleni przy ul. Matejki i Witczaka (utworzenie ogrodu różańcowego) oraz adaptację trzech pomieszczeń parafialnych na cele muzealne, kulturalne i edukacyjne .</w:t>
      </w:r>
    </w:p>
    <w:p w:rsidR="004C2D2B" w:rsidRPr="00F01197" w:rsidRDefault="004C2D2B" w:rsidP="004C2D2B">
      <w:pPr>
        <w:spacing w:line="100" w:lineRule="atLeast"/>
        <w:ind w:firstLine="567"/>
        <w:jc w:val="both"/>
        <w:rPr>
          <w:rFonts w:eastAsia="Calibri" w:cs="Calibri"/>
          <w:szCs w:val="20"/>
        </w:rPr>
      </w:pPr>
      <w:r w:rsidRPr="00F01197">
        <w:rPr>
          <w:rFonts w:eastAsia="Calibri" w:cs="Calibri"/>
          <w:szCs w:val="20"/>
        </w:rPr>
        <w:t>Mimo, że powyższym przedsięwzięciom w sposób bezpośredni nie towarzyszyły działania społeczne, to jednak należy podkreślić, że realizacja części spośród nich przyczyniła się do stworzenia potencjału czy też przestrzeni do podejmowania i rozwijania takich działań (m.in. Bytomski Teatr Tańca i Ruchu Rozbark czy centrum kulturalno-edukacyjne przy parafii p.w. św. Jacka). Poza opisanymi wyżej przedsięwzięciami, na obszarze Bytomia w latach 2004–2015, realizowane były również inne projekty o charakterze rewitalizacyjnym, współfinansowane ze środków europejskich. Wśród przykładów takich działań wypada wskazać na projekty inwestycyjne dotyczące rewitalizacji terenów poprzemysłowych w celu nadania im nowych funkcji gospodarczych, a mianowicie:</w:t>
      </w:r>
    </w:p>
    <w:p w:rsidR="004C2D2B" w:rsidRPr="00F01197" w:rsidRDefault="004C2D2B" w:rsidP="00DB41E6">
      <w:pPr>
        <w:pStyle w:val="Akapitzlist"/>
        <w:numPr>
          <w:ilvl w:val="0"/>
          <w:numId w:val="69"/>
        </w:numPr>
        <w:spacing w:before="120" w:after="0" w:line="100" w:lineRule="atLeast"/>
        <w:ind w:left="714" w:hanging="357"/>
        <w:jc w:val="both"/>
        <w:rPr>
          <w:rFonts w:asciiTheme="minorHAnsi" w:hAnsiTheme="minorHAnsi" w:cs="Calibri"/>
          <w:sz w:val="20"/>
          <w:szCs w:val="20"/>
        </w:rPr>
      </w:pPr>
      <w:r w:rsidRPr="002C5EA6">
        <w:rPr>
          <w:rFonts w:asciiTheme="minorHAnsi" w:hAnsiTheme="minorHAnsi" w:cs="Calibri"/>
          <w:b/>
          <w:sz w:val="20"/>
          <w:szCs w:val="20"/>
        </w:rPr>
        <w:t>Utworzenie Bytomskiego Parku Przemysłowego</w:t>
      </w:r>
      <w:r w:rsidRPr="00F01197">
        <w:rPr>
          <w:rFonts w:asciiTheme="minorHAnsi" w:hAnsiTheme="minorHAnsi" w:cs="Calibri"/>
          <w:sz w:val="20"/>
          <w:szCs w:val="20"/>
        </w:rPr>
        <w:t xml:space="preserve"> na bazie terenów po zrestrukturyzowanych Zakładach Górniczo-Hutniczych „Orzeł Biały” (przy ul. Siemianowickiej 98). Utworzenie parku przemysłowego w</w:t>
      </w:r>
      <w:r w:rsidR="00F01197">
        <w:rPr>
          <w:rFonts w:asciiTheme="minorHAnsi" w:hAnsiTheme="minorHAnsi" w:cs="Calibri"/>
          <w:sz w:val="20"/>
          <w:szCs w:val="20"/>
        </w:rPr>
        <w:t> </w:t>
      </w:r>
      <w:r w:rsidRPr="00F01197">
        <w:rPr>
          <w:rFonts w:asciiTheme="minorHAnsi" w:hAnsiTheme="minorHAnsi" w:cs="Calibri"/>
          <w:sz w:val="20"/>
          <w:szCs w:val="20"/>
        </w:rPr>
        <w:t>Bytomiu zostało dofinansowane z funduszy europejskich w ramach SPO Wzrost konkurencyjności przedsiębiorstw 2004–2006 (działanie 1.3. Tworzenie korzystnych warunków dla rozwoju firm). W ramach projektu wybudowane zostały 4 hale produkcyjno-magazynowe w systemie modułowym (o całkowitej powierzchni ponad 10 tys. m</w:t>
      </w:r>
      <w:r w:rsidRPr="002C5EA6">
        <w:rPr>
          <w:rFonts w:asciiTheme="minorHAnsi" w:hAnsiTheme="minorHAnsi" w:cs="Calibri"/>
          <w:sz w:val="20"/>
          <w:szCs w:val="20"/>
          <w:vertAlign w:val="superscript"/>
        </w:rPr>
        <w:t>2</w:t>
      </w:r>
      <w:r w:rsidRPr="00F01197">
        <w:rPr>
          <w:rFonts w:asciiTheme="minorHAnsi" w:hAnsiTheme="minorHAnsi" w:cs="Calibri"/>
          <w:sz w:val="20"/>
          <w:szCs w:val="20"/>
        </w:rPr>
        <w:t>) i budynek zaplecza administracyjno-biurowego z salą konferencyjną na 12 osób. Projekt obejmował też uzbrojenie i zagospodarowanie terenu (infrastruktura techniczna, drogi wewnętrzne, parkingi i utwardzone place). Bytomski Park Przemysłowy zajmuje powierzchnię 4,6 ha i</w:t>
      </w:r>
      <w:r w:rsidR="00F01197">
        <w:rPr>
          <w:rFonts w:asciiTheme="minorHAnsi" w:hAnsiTheme="minorHAnsi" w:cs="Calibri"/>
          <w:sz w:val="20"/>
          <w:szCs w:val="20"/>
        </w:rPr>
        <w:t> </w:t>
      </w:r>
      <w:r w:rsidRPr="00F01197">
        <w:rPr>
          <w:rFonts w:asciiTheme="minorHAnsi" w:hAnsiTheme="minorHAnsi" w:cs="Calibri"/>
          <w:sz w:val="20"/>
          <w:szCs w:val="20"/>
        </w:rPr>
        <w:t>położony jest we wschodniej części miasta, bezpośrednio przy drodze krajowej nr 94. Obecnie (tj. od 2014 roku) Bytomski Park Przemysłowy tworzą wyłącznie nieruchomości należące do Górnośląskiej Agencji Przedsiębiorczości i Rozwoju Sp. z o.o. w Gliwicach.</w:t>
      </w:r>
    </w:p>
    <w:p w:rsidR="004C2D2B" w:rsidRPr="00F01197" w:rsidRDefault="004C2D2B" w:rsidP="00DB41E6">
      <w:pPr>
        <w:pStyle w:val="Akapitzlist"/>
        <w:numPr>
          <w:ilvl w:val="0"/>
          <w:numId w:val="69"/>
        </w:numPr>
        <w:spacing w:line="100" w:lineRule="atLeast"/>
        <w:ind w:left="714" w:hanging="357"/>
        <w:jc w:val="both"/>
        <w:rPr>
          <w:rFonts w:asciiTheme="minorHAnsi" w:hAnsiTheme="minorHAnsi" w:cs="Calibri"/>
          <w:sz w:val="20"/>
          <w:szCs w:val="20"/>
        </w:rPr>
      </w:pPr>
      <w:r w:rsidRPr="002C5EA6">
        <w:rPr>
          <w:rFonts w:asciiTheme="minorHAnsi" w:hAnsiTheme="minorHAnsi" w:cs="Calibri"/>
          <w:b/>
          <w:sz w:val="20"/>
          <w:szCs w:val="20"/>
        </w:rPr>
        <w:t>Utworzenie strefy aktywności inwestycyjnej</w:t>
      </w:r>
      <w:r w:rsidRPr="00F01197">
        <w:rPr>
          <w:rFonts w:asciiTheme="minorHAnsi" w:hAnsiTheme="minorHAnsi" w:cs="Calibri"/>
          <w:sz w:val="20"/>
          <w:szCs w:val="20"/>
        </w:rPr>
        <w:t xml:space="preserve"> na terenach po byłej KWK Powstańców Śląskich (w</w:t>
      </w:r>
      <w:r w:rsidR="002C5EA6">
        <w:rPr>
          <w:rFonts w:asciiTheme="minorHAnsi" w:hAnsiTheme="minorHAnsi" w:cs="Calibri"/>
          <w:sz w:val="20"/>
          <w:szCs w:val="20"/>
        </w:rPr>
        <w:t> </w:t>
      </w:r>
      <w:r w:rsidRPr="00F01197">
        <w:rPr>
          <w:rFonts w:asciiTheme="minorHAnsi" w:hAnsiTheme="minorHAnsi" w:cs="Calibri"/>
          <w:sz w:val="20"/>
          <w:szCs w:val="20"/>
        </w:rPr>
        <w:t>rejonie ulic Dąbrowa Miejska i Strzelców Bytomskich). Projekt realizowany przez Miasto Bytom przy wsparciu funduszy europejskich w ramach RPO Województwa Śląskiego 2007–2013 (działanie 1.1. Wzmocnienie atrakcyjności inwestycyjnej regionu). Zakres rzeczowy tego przedsięwzięcia obejmował kompleksowe uzbrojenie terenu poprzemysłowego (21 ha) wraz z budową drogi dojazdowej i</w:t>
      </w:r>
      <w:r w:rsidR="002C5EA6">
        <w:rPr>
          <w:rFonts w:asciiTheme="minorHAnsi" w:hAnsiTheme="minorHAnsi" w:cs="Calibri"/>
          <w:sz w:val="20"/>
          <w:szCs w:val="20"/>
        </w:rPr>
        <w:t> </w:t>
      </w:r>
      <w:r w:rsidRPr="00F01197">
        <w:rPr>
          <w:rFonts w:asciiTheme="minorHAnsi" w:hAnsiTheme="minorHAnsi" w:cs="Calibri"/>
          <w:sz w:val="20"/>
          <w:szCs w:val="20"/>
        </w:rPr>
        <w:t>makroniwelacją terenu. Obszar powyższej inwestycji, położony w północnej części miasta (w</w:t>
      </w:r>
      <w:r w:rsidR="002C5EA6">
        <w:rPr>
          <w:rFonts w:asciiTheme="minorHAnsi" w:hAnsiTheme="minorHAnsi" w:cs="Calibri"/>
          <w:sz w:val="20"/>
          <w:szCs w:val="20"/>
        </w:rPr>
        <w:t> </w:t>
      </w:r>
      <w:r w:rsidRPr="00F01197">
        <w:rPr>
          <w:rFonts w:asciiTheme="minorHAnsi" w:hAnsiTheme="minorHAnsi" w:cs="Calibri"/>
          <w:sz w:val="20"/>
          <w:szCs w:val="20"/>
        </w:rPr>
        <w:t>odległości około 1,5 km od węzła autostrady A1), przynależy do Katowickiej Specjalnej Strefy Ekonomicznej (podstrefa gliwicka).</w:t>
      </w:r>
    </w:p>
    <w:p w:rsidR="004C2D2B" w:rsidRPr="00F01197" w:rsidRDefault="004C2D2B" w:rsidP="004C2D2B">
      <w:pPr>
        <w:spacing w:line="100" w:lineRule="atLeast"/>
        <w:ind w:firstLine="567"/>
        <w:jc w:val="both"/>
        <w:rPr>
          <w:rFonts w:eastAsia="Calibri" w:cs="Calibri"/>
          <w:szCs w:val="20"/>
        </w:rPr>
      </w:pPr>
      <w:r w:rsidRPr="00F01197">
        <w:rPr>
          <w:rFonts w:eastAsia="Calibri" w:cs="Calibri"/>
          <w:szCs w:val="20"/>
        </w:rPr>
        <w:t xml:space="preserve">Ponadto w Bytomiu zrealizowano cztery projekty dotyczące </w:t>
      </w:r>
      <w:r w:rsidRPr="002C5EA6">
        <w:rPr>
          <w:rFonts w:eastAsia="Calibri" w:cs="Calibri"/>
          <w:b/>
          <w:szCs w:val="20"/>
        </w:rPr>
        <w:t>rekultywacji zdegradowanych terenów oraz ich zagospodarowania w kierunku przyrodniczym</w:t>
      </w:r>
      <w:r w:rsidRPr="00F01197">
        <w:rPr>
          <w:rFonts w:eastAsia="Calibri" w:cs="Calibri"/>
          <w:szCs w:val="20"/>
        </w:rPr>
        <w:t>. Przedsięwzięcia te zostały dofinansowane w ramach działania 5.2. Gospodarka odpadami RPO Województwa Śląskiego 2007–2013, a ich zakres obejmował likwidację dzikich składowisk odpadów i zagospodarowanie terenu. W efekcie w różnych częściach miasta udostępniono tereny atrakcyjne przyrodniczo o łącznej powierzchni 16,7 ha .</w:t>
      </w:r>
    </w:p>
    <w:p w:rsidR="004C2D2B" w:rsidRPr="00F01197" w:rsidRDefault="004C2D2B" w:rsidP="004C2D2B">
      <w:pPr>
        <w:spacing w:line="100" w:lineRule="atLeast"/>
        <w:ind w:firstLine="567"/>
        <w:jc w:val="both"/>
        <w:rPr>
          <w:rFonts w:eastAsia="Calibri" w:cs="Calibri"/>
          <w:szCs w:val="20"/>
        </w:rPr>
      </w:pPr>
      <w:r w:rsidRPr="00F01197">
        <w:rPr>
          <w:rFonts w:eastAsia="Calibri" w:cs="Calibri"/>
          <w:szCs w:val="20"/>
        </w:rPr>
        <w:t xml:space="preserve">Wypada także zaznaczyć, że w ramach Systemowego </w:t>
      </w:r>
      <w:r w:rsidRPr="002C5EA6">
        <w:rPr>
          <w:rFonts w:eastAsia="Calibri" w:cs="Calibri"/>
          <w:b/>
          <w:szCs w:val="20"/>
        </w:rPr>
        <w:t>Projektu Aktywizacji – SPA w Bytomiu</w:t>
      </w:r>
      <w:r w:rsidRPr="00F01197">
        <w:rPr>
          <w:rFonts w:eastAsia="Calibri" w:cs="Calibri"/>
          <w:szCs w:val="20"/>
        </w:rPr>
        <w:t xml:space="preserve"> (działanie 7.1. Rozwój i upowszechnienie aktywnej integracji PO Kapitał Ludzki 2007–2013), wdrażanego przez Miejski Ośrodek Pomocy Rodzinie, w dwóch dzielnicach miasta cechujących się wysoką koncentracją problemów społecznych (Bobrek oraz Rozbark) uruchomione zostały Programy Aktywności Lokalnej.</w:t>
      </w:r>
      <w:r w:rsidRPr="00F01197">
        <w:rPr>
          <w:rFonts w:eastAsia="Calibri" w:cs="Calibri"/>
          <w:szCs w:val="20"/>
        </w:rPr>
        <w:br/>
        <w:t xml:space="preserve">Działania ukierunkowane na przeciwdziałanie problemom społecznym podejmowane były również w ramach projektów edukacyjnych, realizowanych w bytomskich szkołach. Przykładem może być projekt </w:t>
      </w:r>
      <w:r w:rsidR="005F5A58" w:rsidRPr="002C5EA6">
        <w:rPr>
          <w:rFonts w:eastAsia="Calibri" w:cs="Calibri"/>
          <w:b/>
          <w:szCs w:val="20"/>
        </w:rPr>
        <w:t>„</w:t>
      </w:r>
      <w:r w:rsidRPr="002C5EA6">
        <w:rPr>
          <w:rFonts w:eastAsia="Calibri" w:cs="Calibri"/>
          <w:b/>
          <w:szCs w:val="20"/>
        </w:rPr>
        <w:t>Ty też jesteś Mistrzem – dzisiaj w Bytomiu jutro w Europie</w:t>
      </w:r>
      <w:r w:rsidR="005F5A58" w:rsidRPr="002C5EA6">
        <w:rPr>
          <w:rFonts w:eastAsia="Calibri" w:cs="Calibri"/>
          <w:b/>
          <w:szCs w:val="20"/>
        </w:rPr>
        <w:t>”</w:t>
      </w:r>
      <w:r w:rsidRPr="00F01197">
        <w:rPr>
          <w:rFonts w:eastAsia="Calibri" w:cs="Calibri"/>
          <w:szCs w:val="20"/>
        </w:rPr>
        <w:t>. Kompleksowy program zajęć dla gimnazjalistów z Bytomia zagrożonych wypadnięciem z systemu edukacji. Projekt ten skierowany został do uczniów mających problemy w nauce, trudności materialne i wagarujących, a tym samym zagrożonych wypadnięciem z systemu edukacji. Zasadniczym celem omawianego projektu stało się wzmocnienie atrakcyjności zajęć i zachęcanie młodzieży do uczestnictwa w życiu szkoły. W ramach projektu przeprowadzono nieodpłatne zajęcia z psychologiem, a także zajęcia sportowe i kulturalne. Zajęcia organizowane były w różnych formach (np. zajęcia warsztatowe czy też koła zainteresowań) z uwzględnieniem innowacyjnych metod nauczania.</w:t>
      </w:r>
    </w:p>
    <w:p w:rsidR="004C2D2B" w:rsidRPr="00F01197" w:rsidRDefault="004C2D2B" w:rsidP="004C2D2B">
      <w:pPr>
        <w:spacing w:line="100" w:lineRule="atLeast"/>
        <w:ind w:firstLine="567"/>
        <w:jc w:val="both"/>
        <w:rPr>
          <w:rFonts w:eastAsia="Calibri" w:cs="Calibri"/>
          <w:szCs w:val="20"/>
        </w:rPr>
      </w:pPr>
      <w:r w:rsidRPr="00F01197">
        <w:rPr>
          <w:rFonts w:eastAsia="Calibri" w:cs="Calibri"/>
          <w:szCs w:val="20"/>
        </w:rPr>
        <w:t xml:space="preserve">Warto mieć na uwadze, że poza działaniami współfinansowanymi z funduszy europejskich, po 2004 roku na obszarze Bytomia realizowane były również projekty rewitalizacyjne finansowane ze środków prywatnych inwestorów. Wśród największych tego typu przedsięwzięć należy wymienić </w:t>
      </w:r>
      <w:r w:rsidRPr="002C5EA6">
        <w:rPr>
          <w:rFonts w:eastAsia="Calibri" w:cs="Calibri"/>
          <w:b/>
          <w:szCs w:val="20"/>
        </w:rPr>
        <w:t>utworzenie pola golfowego (Armada Golf Club) na terenach po byłej Kopalni Węgla Kamiennego Szombierki</w:t>
      </w:r>
      <w:r w:rsidRPr="00F01197">
        <w:rPr>
          <w:rFonts w:eastAsia="Calibri" w:cs="Calibri"/>
          <w:szCs w:val="20"/>
        </w:rPr>
        <w:t xml:space="preserve"> </w:t>
      </w:r>
      <w:r w:rsidRPr="002C5EA6">
        <w:rPr>
          <w:rFonts w:eastAsia="Calibri" w:cs="Calibri"/>
          <w:b/>
          <w:szCs w:val="20"/>
        </w:rPr>
        <w:t>oraz budowę galerii handlowo-rozrywkowej Agora Bytom</w:t>
      </w:r>
      <w:r w:rsidRPr="00F01197">
        <w:rPr>
          <w:rFonts w:eastAsia="Calibri" w:cs="Calibri"/>
          <w:szCs w:val="20"/>
        </w:rPr>
        <w:t xml:space="preserve"> w miejscu wyburzonego w 1979 roku kwartału zabudowy śródmiejskiej w ścisłym centrum miasta.</w:t>
      </w:r>
    </w:p>
    <w:p w:rsidR="006D5973" w:rsidRPr="00F01197" w:rsidRDefault="006D5973" w:rsidP="004C2D2B">
      <w:pPr>
        <w:spacing w:line="100" w:lineRule="atLeast"/>
        <w:ind w:left="1080"/>
        <w:jc w:val="both"/>
        <w:rPr>
          <w:szCs w:val="20"/>
        </w:rPr>
      </w:pPr>
    </w:p>
    <w:p w:rsidR="004C2D2B" w:rsidRPr="00295930" w:rsidRDefault="004C2D2B" w:rsidP="003B3BFB">
      <w:pPr>
        <w:pStyle w:val="Akapitzlist"/>
        <w:numPr>
          <w:ilvl w:val="0"/>
          <w:numId w:val="59"/>
        </w:numPr>
        <w:spacing w:after="0" w:line="100" w:lineRule="atLeast"/>
        <w:jc w:val="both"/>
        <w:rPr>
          <w:rFonts w:asciiTheme="minorHAnsi" w:hAnsiTheme="minorHAnsi" w:cs="Calibri"/>
          <w:b/>
          <w:sz w:val="20"/>
          <w:szCs w:val="20"/>
        </w:rPr>
      </w:pPr>
      <w:r w:rsidRPr="00295930">
        <w:rPr>
          <w:rFonts w:asciiTheme="minorHAnsi" w:hAnsiTheme="minorHAnsi" w:cs="Calibri"/>
          <w:b/>
          <w:sz w:val="20"/>
          <w:szCs w:val="20"/>
        </w:rPr>
        <w:t>Kompl</w:t>
      </w:r>
      <w:r w:rsidR="00263558">
        <w:rPr>
          <w:rFonts w:asciiTheme="minorHAnsi" w:hAnsiTheme="minorHAnsi" w:cs="Calibri"/>
          <w:b/>
          <w:sz w:val="20"/>
          <w:szCs w:val="20"/>
        </w:rPr>
        <w:t>ementarność źródeł finansowania</w:t>
      </w:r>
    </w:p>
    <w:p w:rsidR="004C2D2B" w:rsidRPr="00F01197" w:rsidRDefault="004C2D2B" w:rsidP="004C2D2B">
      <w:pPr>
        <w:spacing w:line="100" w:lineRule="atLeast"/>
        <w:ind w:firstLine="708"/>
        <w:jc w:val="both"/>
        <w:rPr>
          <w:rFonts w:eastAsia="Calibri" w:cs="Calibri"/>
          <w:szCs w:val="20"/>
        </w:rPr>
      </w:pPr>
      <w:r w:rsidRPr="00F01197">
        <w:rPr>
          <w:rFonts w:eastAsia="Calibri" w:cs="Calibri"/>
          <w:szCs w:val="20"/>
        </w:rPr>
        <w:t xml:space="preserve">Komplementarność źródeł finansowania zostanie zagwarantowana poprzez zaplanowanie poszczególnych przedsięwzięć podstawowych z różnego rodzaju źródeł: EFRR, EFS, EBI, środki publiczne Miasta, środki prywatne. </w:t>
      </w:r>
    </w:p>
    <w:p w:rsidR="004C2D2B" w:rsidRPr="00F01197" w:rsidRDefault="004C2D2B" w:rsidP="004C2D2B">
      <w:pPr>
        <w:spacing w:line="100" w:lineRule="atLeast"/>
        <w:jc w:val="both"/>
        <w:rPr>
          <w:rFonts w:eastAsia="Calibri" w:cs="Calibri"/>
          <w:color w:val="000000"/>
          <w:szCs w:val="20"/>
        </w:rPr>
      </w:pPr>
      <w:r w:rsidRPr="00F01197">
        <w:rPr>
          <w:rFonts w:eastAsia="Calibri" w:cs="Calibri"/>
          <w:color w:val="000000"/>
          <w:szCs w:val="20"/>
        </w:rPr>
        <w:t>Źródła finansowania projektów zostały wskazane w kartach projektów. Zakłada się, że priorytetowymi projektami są te, co do których:</w:t>
      </w:r>
    </w:p>
    <w:p w:rsidR="004C2D2B" w:rsidRPr="00F01197" w:rsidRDefault="004C2D2B" w:rsidP="00DB41E6">
      <w:pPr>
        <w:pStyle w:val="Akapitzlist2"/>
        <w:numPr>
          <w:ilvl w:val="0"/>
          <w:numId w:val="22"/>
        </w:numPr>
        <w:tabs>
          <w:tab w:val="num" w:pos="0"/>
        </w:tabs>
        <w:spacing w:before="120" w:line="100" w:lineRule="atLeast"/>
        <w:ind w:left="714" w:hanging="357"/>
        <w:jc w:val="both"/>
        <w:rPr>
          <w:rFonts w:asciiTheme="minorHAnsi" w:hAnsiTheme="minorHAnsi"/>
          <w:szCs w:val="20"/>
        </w:rPr>
      </w:pPr>
      <w:r w:rsidRPr="00F01197">
        <w:rPr>
          <w:rFonts w:asciiTheme="minorHAnsi" w:hAnsiTheme="minorHAnsi"/>
          <w:szCs w:val="20"/>
        </w:rPr>
        <w:t>istnieje wysokie prawdopodobieństwo pozyskania środków ze źródeł zewnętrznych, w tym środków z programów operacyjnych oraz środków z budżetu Państwa;</w:t>
      </w:r>
    </w:p>
    <w:p w:rsidR="004C2D2B" w:rsidRPr="00F01197" w:rsidRDefault="004C2D2B" w:rsidP="00DB41E6">
      <w:pPr>
        <w:pStyle w:val="Akapitzlist2"/>
        <w:numPr>
          <w:ilvl w:val="0"/>
          <w:numId w:val="22"/>
        </w:numPr>
        <w:tabs>
          <w:tab w:val="num" w:pos="0"/>
        </w:tabs>
        <w:spacing w:line="100" w:lineRule="atLeast"/>
        <w:ind w:left="714" w:hanging="357"/>
        <w:jc w:val="both"/>
        <w:rPr>
          <w:rFonts w:asciiTheme="minorHAnsi" w:hAnsiTheme="minorHAnsi"/>
          <w:szCs w:val="20"/>
        </w:rPr>
      </w:pPr>
      <w:r w:rsidRPr="00F01197">
        <w:rPr>
          <w:rFonts w:asciiTheme="minorHAnsi" w:hAnsiTheme="minorHAnsi"/>
          <w:szCs w:val="20"/>
        </w:rPr>
        <w:t>występuje wy</w:t>
      </w:r>
      <w:r w:rsidR="00EA2126">
        <w:rPr>
          <w:rFonts w:asciiTheme="minorHAnsi" w:hAnsiTheme="minorHAnsi"/>
          <w:szCs w:val="20"/>
        </w:rPr>
        <w:t>sokie zainteresowanie realizacją</w:t>
      </w:r>
      <w:r w:rsidRPr="00F01197">
        <w:rPr>
          <w:rFonts w:asciiTheme="minorHAnsi" w:hAnsiTheme="minorHAnsi"/>
          <w:szCs w:val="20"/>
        </w:rPr>
        <w:t xml:space="preserve"> projektów ze strony podmiotów prywatnych, skłonnych do zainwestowania własnych środków;</w:t>
      </w:r>
    </w:p>
    <w:p w:rsidR="004C2D2B" w:rsidRPr="00F01197" w:rsidRDefault="004C2D2B" w:rsidP="00DB41E6">
      <w:pPr>
        <w:pStyle w:val="Akapitzlist2"/>
        <w:numPr>
          <w:ilvl w:val="0"/>
          <w:numId w:val="22"/>
        </w:numPr>
        <w:tabs>
          <w:tab w:val="num" w:pos="0"/>
        </w:tabs>
        <w:spacing w:line="100" w:lineRule="atLeast"/>
        <w:ind w:left="714" w:hanging="357"/>
        <w:jc w:val="both"/>
        <w:rPr>
          <w:rFonts w:asciiTheme="minorHAnsi" w:hAnsiTheme="minorHAnsi"/>
          <w:szCs w:val="20"/>
        </w:rPr>
      </w:pPr>
      <w:r w:rsidRPr="00F01197">
        <w:rPr>
          <w:rFonts w:asciiTheme="minorHAnsi" w:hAnsiTheme="minorHAnsi"/>
          <w:szCs w:val="20"/>
        </w:rPr>
        <w:t>występuje wspólnotowy charakter projektu, to znaczy, że realizacji projektu sprzyja angażowanie niewielkich środków przez dużą liczbę podmiotów prywatnych (mieszkańców), w wyniku czego uzyskiwana jest rewitalizacyjna „masa krytyczna”;</w:t>
      </w:r>
    </w:p>
    <w:p w:rsidR="00493747" w:rsidRDefault="004C2D2B" w:rsidP="00363C2D">
      <w:pPr>
        <w:pStyle w:val="Akapitzlist2"/>
        <w:numPr>
          <w:ilvl w:val="0"/>
          <w:numId w:val="22"/>
        </w:numPr>
        <w:tabs>
          <w:tab w:val="num" w:pos="0"/>
        </w:tabs>
        <w:spacing w:line="100" w:lineRule="atLeast"/>
        <w:ind w:left="714" w:hanging="357"/>
        <w:jc w:val="both"/>
        <w:rPr>
          <w:rFonts w:asciiTheme="minorHAnsi" w:hAnsiTheme="minorHAnsi"/>
          <w:szCs w:val="20"/>
        </w:rPr>
      </w:pPr>
      <w:r w:rsidRPr="00F01197">
        <w:rPr>
          <w:rFonts w:asciiTheme="minorHAnsi" w:hAnsiTheme="minorHAnsi"/>
          <w:szCs w:val="20"/>
        </w:rPr>
        <w:t>możliwe jest wykorzystanie różnego rodzaju zasobów (w postaci zasobów rzeczowych oraz aktywności różnych podmiotów); dzięki temu, możliwe jest obniżenie skali niezbędnych nakładów finansowych.</w:t>
      </w:r>
    </w:p>
    <w:p w:rsidR="003A6A35" w:rsidRPr="003A6A35" w:rsidRDefault="000C70A4" w:rsidP="006D764E">
      <w:pPr>
        <w:pStyle w:val="Nagwek2"/>
        <w:numPr>
          <w:ilvl w:val="1"/>
          <w:numId w:val="296"/>
        </w:numPr>
        <w:ind w:left="431" w:hanging="431"/>
      </w:pPr>
      <w:bookmarkStart w:id="9161" w:name="_Toc460313336"/>
      <w:bookmarkStart w:id="9162" w:name="_Toc474924987"/>
      <w:r>
        <w:t xml:space="preserve">System monitorowania </w:t>
      </w:r>
      <w:r w:rsidR="00C226AF">
        <w:t xml:space="preserve">i </w:t>
      </w:r>
      <w:r w:rsidR="00C01327">
        <w:t>ewaluacji</w:t>
      </w:r>
      <w:r w:rsidR="00C226AF">
        <w:t xml:space="preserve"> </w:t>
      </w:r>
      <w:r>
        <w:t>GPR</w:t>
      </w:r>
      <w:bookmarkEnd w:id="9161"/>
      <w:bookmarkEnd w:id="9162"/>
    </w:p>
    <w:p w:rsidR="00493747" w:rsidRDefault="00493747" w:rsidP="00493747">
      <w:pPr>
        <w:suppressAutoHyphens/>
        <w:ind w:left="720"/>
        <w:jc w:val="both"/>
        <w:rPr>
          <w:rFonts w:ascii="Calibri" w:eastAsia="Lucida Sans Unicode" w:hAnsi="Calibri" w:cs="Mangal"/>
          <w:kern w:val="2"/>
          <w:szCs w:val="20"/>
          <w:lang w:eastAsia="hi-IN" w:bidi="hi-IN"/>
        </w:rPr>
      </w:pPr>
    </w:p>
    <w:p w:rsidR="00E7674A" w:rsidRDefault="00E7674A" w:rsidP="00E7674A">
      <w:pPr>
        <w:suppressAutoHyphens/>
        <w:ind w:firstLine="708"/>
        <w:jc w:val="both"/>
        <w:rPr>
          <w:rFonts w:eastAsia="Lucida Sans Unicode" w:cs="Mangal"/>
          <w:kern w:val="2"/>
          <w:szCs w:val="20"/>
          <w:lang w:eastAsia="hi-IN" w:bidi="hi-IN"/>
        </w:rPr>
      </w:pPr>
      <w:r>
        <w:rPr>
          <w:rFonts w:eastAsia="Lucida Sans Unicode" w:cs="Mangal"/>
          <w:kern w:val="2"/>
          <w:szCs w:val="20"/>
          <w:lang w:eastAsia="hi-IN" w:bidi="hi-IN"/>
        </w:rPr>
        <w:t>Zakłada się, że wdrożenie GPR jest procesem, w którym konieczne jest zapewnienie elastyczności decyzyjnej oraz kontekstowe podejmowanie decyzji odpowiednich do zmieniającej się sytuacji w mieście i</w:t>
      </w:r>
      <w:r w:rsidR="0091792F">
        <w:rPr>
          <w:rFonts w:eastAsia="Lucida Sans Unicode" w:cs="Mangal"/>
          <w:kern w:val="2"/>
          <w:szCs w:val="20"/>
          <w:lang w:eastAsia="hi-IN" w:bidi="hi-IN"/>
        </w:rPr>
        <w:t> </w:t>
      </w:r>
      <w:r w:rsidR="0020326F">
        <w:rPr>
          <w:rFonts w:eastAsia="Lucida Sans Unicode" w:cs="Mangal"/>
          <w:kern w:val="2"/>
          <w:szCs w:val="20"/>
          <w:lang w:eastAsia="hi-IN" w:bidi="hi-IN"/>
        </w:rPr>
        <w:t>pod</w:t>
      </w:r>
      <w:r>
        <w:rPr>
          <w:rFonts w:eastAsia="Lucida Sans Unicode" w:cs="Mangal"/>
          <w:kern w:val="2"/>
          <w:szCs w:val="20"/>
          <w:lang w:eastAsia="hi-IN" w:bidi="hi-IN"/>
        </w:rPr>
        <w:t>obszarach rewitalizacji. Niezbędne jest więc stworzenie systemu ewaluacji procesu wdrożeniowego, opartego na wymianie informacji między podmiotami lokalnymi oraz na systemie monitoringu dostarczającego wiedzy o</w:t>
      </w:r>
      <w:r w:rsidR="0091792F">
        <w:rPr>
          <w:rFonts w:eastAsia="Lucida Sans Unicode" w:cs="Mangal"/>
          <w:kern w:val="2"/>
          <w:szCs w:val="20"/>
          <w:lang w:eastAsia="hi-IN" w:bidi="hi-IN"/>
        </w:rPr>
        <w:t> </w:t>
      </w:r>
      <w:r>
        <w:rPr>
          <w:rFonts w:eastAsia="Lucida Sans Unicode" w:cs="Mangal"/>
          <w:kern w:val="2"/>
          <w:szCs w:val="20"/>
          <w:lang w:eastAsia="hi-IN" w:bidi="hi-IN"/>
        </w:rPr>
        <w:t xml:space="preserve">procesach powiązanych z rewitalizacją. Podstawowe cele systemu ewaluacji </w:t>
      </w:r>
      <w:r w:rsidR="0017230A">
        <w:rPr>
          <w:rFonts w:eastAsia="Lucida Sans Unicode" w:cs="Mangal"/>
          <w:kern w:val="2"/>
          <w:szCs w:val="20"/>
          <w:lang w:eastAsia="hi-IN" w:bidi="hi-IN"/>
        </w:rPr>
        <w:t>„</w:t>
      </w:r>
      <w:r>
        <w:rPr>
          <w:rFonts w:eastAsia="Lucida Sans Unicode" w:cs="Mangal"/>
          <w:kern w:val="2"/>
          <w:szCs w:val="20"/>
          <w:lang w:eastAsia="hi-IN" w:bidi="hi-IN"/>
        </w:rPr>
        <w:t>Gminnego Programu Rewitalizacji. Bytom 2020+</w:t>
      </w:r>
      <w:r w:rsidR="0017230A">
        <w:rPr>
          <w:rFonts w:eastAsia="Lucida Sans Unicode" w:cs="Mangal"/>
          <w:kern w:val="2"/>
          <w:szCs w:val="20"/>
          <w:lang w:eastAsia="hi-IN" w:bidi="hi-IN"/>
        </w:rPr>
        <w:t>”</w:t>
      </w:r>
      <w:r>
        <w:rPr>
          <w:rFonts w:eastAsia="Lucida Sans Unicode" w:cs="Mangal"/>
          <w:kern w:val="2"/>
          <w:szCs w:val="20"/>
          <w:lang w:eastAsia="hi-IN" w:bidi="hi-IN"/>
        </w:rPr>
        <w:t xml:space="preserve"> (GPR) obejmują:</w:t>
      </w:r>
    </w:p>
    <w:p w:rsidR="00E7674A" w:rsidRPr="00E7674A" w:rsidRDefault="00E7674A" w:rsidP="00E7674A">
      <w:pPr>
        <w:pStyle w:val="Akapitzlist"/>
        <w:numPr>
          <w:ilvl w:val="0"/>
          <w:numId w:val="450"/>
        </w:numPr>
        <w:suppressAutoHyphens/>
        <w:spacing w:after="0" w:line="240" w:lineRule="auto"/>
        <w:ind w:left="714" w:hanging="357"/>
        <w:jc w:val="both"/>
        <w:rPr>
          <w:rFonts w:eastAsia="Lucida Sans Unicode" w:cs="Calibri"/>
          <w:kern w:val="2"/>
          <w:sz w:val="20"/>
          <w:lang w:eastAsia="hi-IN" w:bidi="hi-IN"/>
        </w:rPr>
      </w:pPr>
      <w:r w:rsidRPr="00E7674A">
        <w:rPr>
          <w:rFonts w:eastAsia="Lucida Sans Unicode" w:cs="Calibri"/>
          <w:kern w:val="2"/>
          <w:sz w:val="20"/>
          <w:szCs w:val="20"/>
          <w:lang w:eastAsia="hi-IN" w:bidi="hi-IN"/>
        </w:rPr>
        <w:t>śledzenie postępów procesu rewitalizacji,</w:t>
      </w:r>
    </w:p>
    <w:p w:rsidR="00E7674A" w:rsidRPr="00E7674A" w:rsidRDefault="00E7674A" w:rsidP="00E7674A">
      <w:pPr>
        <w:pStyle w:val="Akapitzlist"/>
        <w:numPr>
          <w:ilvl w:val="0"/>
          <w:numId w:val="450"/>
        </w:numPr>
        <w:suppressAutoHyphens/>
        <w:spacing w:after="0" w:line="240" w:lineRule="auto"/>
        <w:ind w:left="714" w:hanging="357"/>
        <w:jc w:val="both"/>
        <w:rPr>
          <w:rFonts w:eastAsia="Lucida Sans Unicode" w:cs="Calibri"/>
          <w:kern w:val="2"/>
          <w:sz w:val="20"/>
          <w:lang w:eastAsia="hi-IN" w:bidi="hi-IN"/>
        </w:rPr>
      </w:pPr>
      <w:r w:rsidRPr="00E7674A">
        <w:rPr>
          <w:rFonts w:eastAsia="Lucida Sans Unicode" w:cs="Calibri"/>
          <w:kern w:val="2"/>
          <w:sz w:val="20"/>
          <w:szCs w:val="20"/>
          <w:lang w:eastAsia="hi-IN" w:bidi="hi-IN"/>
        </w:rPr>
        <w:t>określanie relacji między podejmowanymi działaniami rewitalizacyjnymi, a sytuacją na podobszarach rewitalizacji,</w:t>
      </w:r>
    </w:p>
    <w:p w:rsidR="00E7674A" w:rsidRPr="00E7674A" w:rsidRDefault="00E7674A" w:rsidP="00E7674A">
      <w:pPr>
        <w:pStyle w:val="Akapitzlist"/>
        <w:numPr>
          <w:ilvl w:val="0"/>
          <w:numId w:val="450"/>
        </w:numPr>
        <w:suppressAutoHyphens/>
        <w:spacing w:after="0" w:line="240" w:lineRule="auto"/>
        <w:ind w:left="714" w:hanging="357"/>
        <w:jc w:val="both"/>
        <w:rPr>
          <w:rFonts w:eastAsia="Lucida Sans Unicode" w:cs="Calibri"/>
          <w:kern w:val="2"/>
          <w:sz w:val="20"/>
          <w:lang w:eastAsia="hi-IN" w:bidi="hi-IN"/>
        </w:rPr>
      </w:pPr>
      <w:r w:rsidRPr="00E7674A">
        <w:rPr>
          <w:rFonts w:eastAsia="Lucida Sans Unicode" w:cs="Calibri"/>
          <w:kern w:val="2"/>
          <w:sz w:val="20"/>
          <w:szCs w:val="20"/>
          <w:lang w:eastAsia="hi-IN" w:bidi="hi-IN"/>
        </w:rPr>
        <w:t>rozpoznawanie aktywności interesariuszy  w procesie rewitalizacji,</w:t>
      </w:r>
    </w:p>
    <w:p w:rsidR="00E7674A" w:rsidRPr="00E7674A" w:rsidRDefault="00E7674A" w:rsidP="00E7674A">
      <w:pPr>
        <w:pStyle w:val="Akapitzlist"/>
        <w:numPr>
          <w:ilvl w:val="0"/>
          <w:numId w:val="450"/>
        </w:numPr>
        <w:suppressAutoHyphens/>
        <w:spacing w:after="0" w:line="240" w:lineRule="auto"/>
        <w:ind w:left="714" w:hanging="357"/>
        <w:jc w:val="both"/>
        <w:rPr>
          <w:rFonts w:eastAsia="Lucida Sans Unicode" w:cs="Calibri"/>
          <w:kern w:val="2"/>
          <w:sz w:val="20"/>
          <w:lang w:eastAsia="hi-IN" w:bidi="hi-IN"/>
        </w:rPr>
      </w:pPr>
      <w:r w:rsidRPr="00E7674A">
        <w:rPr>
          <w:rFonts w:eastAsia="Lucida Sans Unicode" w:cs="Calibri"/>
          <w:kern w:val="2"/>
          <w:sz w:val="20"/>
          <w:szCs w:val="20"/>
          <w:lang w:eastAsia="hi-IN" w:bidi="hi-IN"/>
        </w:rPr>
        <w:t>identyfikację ryzyk towarzyszących rewitalizacji,</w:t>
      </w:r>
    </w:p>
    <w:p w:rsidR="00E7674A" w:rsidRPr="00E7674A" w:rsidRDefault="00E7674A" w:rsidP="00E7674A">
      <w:pPr>
        <w:pStyle w:val="Akapitzlist"/>
        <w:numPr>
          <w:ilvl w:val="0"/>
          <w:numId w:val="450"/>
        </w:numPr>
        <w:suppressAutoHyphens/>
        <w:spacing w:after="0" w:line="240" w:lineRule="auto"/>
        <w:ind w:left="714" w:hanging="357"/>
        <w:jc w:val="both"/>
        <w:rPr>
          <w:rFonts w:eastAsia="Lucida Sans Unicode" w:cs="Calibri"/>
          <w:kern w:val="2"/>
          <w:sz w:val="20"/>
          <w:lang w:eastAsia="hi-IN" w:bidi="hi-IN"/>
        </w:rPr>
      </w:pPr>
      <w:r w:rsidRPr="00E7674A">
        <w:rPr>
          <w:rFonts w:eastAsia="Lucida Sans Unicode" w:cs="Calibri"/>
          <w:kern w:val="2"/>
          <w:sz w:val="20"/>
          <w:szCs w:val="20"/>
          <w:lang w:eastAsia="hi-IN" w:bidi="hi-IN"/>
        </w:rPr>
        <w:t>dostarczenie możliwości podejmowania szybkiej reakcji na pojawiające się wyzwania i odchylenia od założeń programu,</w:t>
      </w:r>
    </w:p>
    <w:p w:rsidR="00E7674A" w:rsidRPr="00E7674A" w:rsidRDefault="00E7674A" w:rsidP="00E7674A">
      <w:pPr>
        <w:pStyle w:val="Akapitzlist"/>
        <w:numPr>
          <w:ilvl w:val="0"/>
          <w:numId w:val="450"/>
        </w:numPr>
        <w:suppressAutoHyphens/>
        <w:spacing w:after="0" w:line="240" w:lineRule="auto"/>
        <w:ind w:left="714" w:hanging="357"/>
        <w:jc w:val="both"/>
        <w:rPr>
          <w:rFonts w:eastAsia="Lucida Sans Unicode" w:cs="Calibri"/>
          <w:kern w:val="2"/>
          <w:sz w:val="20"/>
          <w:lang w:eastAsia="hi-IN" w:bidi="hi-IN"/>
        </w:rPr>
      </w:pPr>
      <w:r w:rsidRPr="00E7674A">
        <w:rPr>
          <w:rFonts w:eastAsia="Lucida Sans Unicode" w:cs="Calibri"/>
          <w:kern w:val="2"/>
          <w:sz w:val="20"/>
          <w:szCs w:val="20"/>
          <w:lang w:eastAsia="hi-IN" w:bidi="hi-IN"/>
        </w:rPr>
        <w:t>podejmowanie działań korygujących</w:t>
      </w:r>
      <w:r w:rsidR="0020326F">
        <w:rPr>
          <w:rFonts w:eastAsia="Lucida Sans Unicode" w:cs="Calibri"/>
          <w:kern w:val="2"/>
          <w:sz w:val="20"/>
          <w:szCs w:val="20"/>
          <w:lang w:eastAsia="hi-IN" w:bidi="hi-IN"/>
        </w:rPr>
        <w:t xml:space="preserve"> w sposobie</w:t>
      </w:r>
      <w:r w:rsidRPr="00E7674A">
        <w:rPr>
          <w:rFonts w:eastAsia="Lucida Sans Unicode" w:cs="Calibri"/>
          <w:kern w:val="2"/>
          <w:sz w:val="20"/>
          <w:szCs w:val="20"/>
          <w:lang w:eastAsia="hi-IN" w:bidi="hi-IN"/>
        </w:rPr>
        <w:t xml:space="preserve"> wdrażania programu oraz dokonywanie modyfikacji zawartości dokumentu,</w:t>
      </w:r>
    </w:p>
    <w:p w:rsidR="00E7674A" w:rsidRPr="00E7674A" w:rsidRDefault="00E7674A" w:rsidP="00E7674A">
      <w:pPr>
        <w:pStyle w:val="Akapitzlist"/>
        <w:numPr>
          <w:ilvl w:val="0"/>
          <w:numId w:val="450"/>
        </w:numPr>
        <w:suppressAutoHyphens/>
        <w:spacing w:after="0" w:line="240" w:lineRule="auto"/>
        <w:ind w:left="714" w:hanging="357"/>
        <w:jc w:val="both"/>
        <w:rPr>
          <w:rFonts w:eastAsia="Lucida Sans Unicode" w:cs="Calibri"/>
          <w:kern w:val="2"/>
          <w:sz w:val="20"/>
          <w:lang w:eastAsia="hi-IN" w:bidi="hi-IN"/>
        </w:rPr>
      </w:pPr>
      <w:r w:rsidRPr="00E7674A">
        <w:rPr>
          <w:rFonts w:eastAsia="Lucida Sans Unicode" w:cs="Calibri"/>
          <w:kern w:val="2"/>
          <w:sz w:val="20"/>
          <w:szCs w:val="20"/>
          <w:lang w:eastAsia="hi-IN" w:bidi="hi-IN"/>
        </w:rPr>
        <w:t>udostępnianie wiarygodnej informacji interesariuszom (m.in. podmiotom lokalnym – uczestnikom oraz beneficjentom procesu rewitalizacji),</w:t>
      </w:r>
    </w:p>
    <w:p w:rsidR="00E7674A" w:rsidRPr="00E7674A" w:rsidRDefault="00E7674A" w:rsidP="00E7674A">
      <w:pPr>
        <w:pStyle w:val="Akapitzlist"/>
        <w:numPr>
          <w:ilvl w:val="0"/>
          <w:numId w:val="450"/>
        </w:numPr>
        <w:suppressAutoHyphens/>
        <w:spacing w:line="240" w:lineRule="auto"/>
        <w:ind w:left="714" w:hanging="357"/>
        <w:jc w:val="both"/>
        <w:rPr>
          <w:rFonts w:eastAsia="Lucida Sans Unicode" w:cs="Calibri"/>
          <w:kern w:val="2"/>
          <w:sz w:val="20"/>
          <w:szCs w:val="20"/>
          <w:lang w:eastAsia="hi-IN" w:bidi="hi-IN"/>
        </w:rPr>
      </w:pPr>
      <w:r w:rsidRPr="00E7674A">
        <w:rPr>
          <w:rFonts w:eastAsia="Lucida Sans Unicode" w:cs="Calibri"/>
          <w:kern w:val="2"/>
          <w:sz w:val="20"/>
          <w:szCs w:val="20"/>
          <w:lang w:eastAsia="hi-IN" w:bidi="hi-IN"/>
        </w:rPr>
        <w:t>bieżącą identyfikację uwarunkowań decydujących o realizacji programu rewitalizacji, w szczególności w aspekcie makrootoczenia.</w:t>
      </w:r>
    </w:p>
    <w:p w:rsidR="00E7674A" w:rsidRPr="00491EA6" w:rsidRDefault="00E7674A" w:rsidP="00E7674A">
      <w:pPr>
        <w:suppressAutoHyphens/>
        <w:ind w:firstLine="708"/>
        <w:jc w:val="both"/>
        <w:rPr>
          <w:rFonts w:eastAsia="Lucida Sans Unicode" w:cs="Mangal"/>
          <w:b/>
          <w:kern w:val="2"/>
          <w:szCs w:val="20"/>
          <w:lang w:eastAsia="hi-IN" w:bidi="hi-IN"/>
        </w:rPr>
      </w:pPr>
      <w:r w:rsidRPr="00491EA6">
        <w:rPr>
          <w:rFonts w:eastAsia="Lucida Sans Unicode" w:cs="Mangal"/>
          <w:b/>
          <w:kern w:val="2"/>
          <w:szCs w:val="20"/>
          <w:lang w:eastAsia="hi-IN" w:bidi="hi-IN"/>
        </w:rPr>
        <w:t>Monitoring bytomskiego GPR oparty zostaje na zasadach:</w:t>
      </w:r>
    </w:p>
    <w:p w:rsidR="00E7674A" w:rsidRDefault="00E7674A" w:rsidP="00E7674A">
      <w:pPr>
        <w:numPr>
          <w:ilvl w:val="0"/>
          <w:numId w:val="449"/>
        </w:numPr>
        <w:suppressAutoHyphens/>
        <w:jc w:val="both"/>
        <w:rPr>
          <w:rFonts w:eastAsia="Lucida Sans Unicode" w:cs="Calibri"/>
          <w:kern w:val="2"/>
          <w:szCs w:val="20"/>
          <w:lang w:eastAsia="hi-IN" w:bidi="hi-IN"/>
        </w:rPr>
      </w:pPr>
      <w:r>
        <w:rPr>
          <w:rFonts w:eastAsia="Lucida Sans Unicode" w:cs="Calibri"/>
          <w:b/>
          <w:kern w:val="2"/>
          <w:szCs w:val="20"/>
          <w:lang w:eastAsia="hi-IN" w:bidi="hi-IN"/>
        </w:rPr>
        <w:t>partnerstwa i wielopodmiotowości</w:t>
      </w:r>
      <w:r>
        <w:rPr>
          <w:rFonts w:eastAsia="Lucida Sans Unicode" w:cs="Calibri"/>
          <w:kern w:val="2"/>
          <w:szCs w:val="20"/>
          <w:lang w:eastAsia="hi-IN" w:bidi="hi-IN"/>
        </w:rPr>
        <w:t xml:space="preserve"> – monitoring jest realizowany z udziałem szerokiego spektrum interesariuszy dostarczających wyprofilowanych informacji o sytuacji w podobszarach rewitalizowanych oraz zmianach, które zachodzą w wyniku realizacji GPR; zasada partnerstwa wymaga zaangażowania podmiotów z różnych sektorów; realizacji zasady partnerstwa służy w praktyce:</w:t>
      </w:r>
    </w:p>
    <w:p w:rsidR="00E7674A" w:rsidRDefault="00E7674A" w:rsidP="00E7674A">
      <w:pPr>
        <w:numPr>
          <w:ilvl w:val="1"/>
          <w:numId w:val="449"/>
        </w:numPr>
        <w:suppressAutoHyphens/>
        <w:ind w:left="714" w:hanging="357"/>
        <w:jc w:val="both"/>
        <w:rPr>
          <w:rFonts w:eastAsia="Lucida Sans Unicode" w:cs="Calibri"/>
          <w:kern w:val="2"/>
          <w:szCs w:val="20"/>
          <w:lang w:eastAsia="hi-IN" w:bidi="hi-IN"/>
        </w:rPr>
      </w:pPr>
      <w:r>
        <w:rPr>
          <w:rFonts w:eastAsia="Lucida Sans Unicode" w:cs="Calibri"/>
          <w:kern w:val="2"/>
          <w:szCs w:val="20"/>
          <w:lang w:eastAsia="hi-IN" w:bidi="hi-IN"/>
        </w:rPr>
        <w:t>utrzymywanie kontaktu ze społecznościami lokalnymi w formie cyklicznie realizowanych spotkań oraz różnych form badań o charakterze ankietowym,</w:t>
      </w:r>
    </w:p>
    <w:p w:rsidR="00E7674A" w:rsidRDefault="00E7674A" w:rsidP="00E7674A">
      <w:pPr>
        <w:numPr>
          <w:ilvl w:val="1"/>
          <w:numId w:val="449"/>
        </w:numPr>
        <w:suppressAutoHyphens/>
        <w:ind w:left="714" w:hanging="357"/>
        <w:jc w:val="both"/>
        <w:rPr>
          <w:rFonts w:eastAsia="Lucida Sans Unicode" w:cs="Calibri"/>
          <w:kern w:val="2"/>
          <w:szCs w:val="20"/>
          <w:lang w:eastAsia="hi-IN" w:bidi="hi-IN"/>
        </w:rPr>
      </w:pPr>
      <w:r>
        <w:rPr>
          <w:rFonts w:eastAsia="Lucida Sans Unicode" w:cs="Calibri"/>
          <w:kern w:val="2"/>
          <w:szCs w:val="20"/>
          <w:lang w:eastAsia="hi-IN" w:bidi="hi-IN"/>
        </w:rPr>
        <w:t>wyraźne określenie liderów społecznych w realizowanych projektach,</w:t>
      </w:r>
    </w:p>
    <w:p w:rsidR="00E7674A" w:rsidRDefault="00E7674A" w:rsidP="00E7674A">
      <w:pPr>
        <w:numPr>
          <w:ilvl w:val="1"/>
          <w:numId w:val="449"/>
        </w:numPr>
        <w:suppressAutoHyphens/>
        <w:ind w:left="714" w:hanging="357"/>
        <w:jc w:val="both"/>
        <w:rPr>
          <w:rFonts w:eastAsia="Lucida Sans Unicode" w:cs="Calibri"/>
          <w:kern w:val="2"/>
          <w:szCs w:val="20"/>
          <w:lang w:eastAsia="hi-IN" w:bidi="hi-IN"/>
        </w:rPr>
      </w:pPr>
      <w:r>
        <w:rPr>
          <w:rFonts w:eastAsia="Lucida Sans Unicode" w:cs="Calibri"/>
          <w:kern w:val="2"/>
          <w:szCs w:val="20"/>
          <w:lang w:eastAsia="hi-IN" w:bidi="hi-IN"/>
        </w:rPr>
        <w:t>uzgodnienie z rożnymi instytucjami i organizacjami zakresu informacji, które mogą być udostępniane na rzecz monitoringu procesu rewitalizacji,</w:t>
      </w:r>
    </w:p>
    <w:p w:rsidR="00E7674A" w:rsidRDefault="00E7674A" w:rsidP="00E7674A">
      <w:pPr>
        <w:numPr>
          <w:ilvl w:val="1"/>
          <w:numId w:val="449"/>
        </w:numPr>
        <w:suppressAutoHyphens/>
        <w:ind w:left="714" w:hanging="357"/>
        <w:jc w:val="both"/>
        <w:rPr>
          <w:rFonts w:eastAsia="Lucida Sans Unicode" w:cs="Calibri"/>
          <w:kern w:val="2"/>
          <w:szCs w:val="20"/>
          <w:lang w:eastAsia="hi-IN" w:bidi="hi-IN"/>
        </w:rPr>
      </w:pPr>
      <w:r>
        <w:rPr>
          <w:rFonts w:eastAsia="Lucida Sans Unicode" w:cs="Calibri"/>
          <w:kern w:val="2"/>
          <w:szCs w:val="20"/>
          <w:lang w:eastAsia="hi-IN" w:bidi="hi-IN"/>
        </w:rPr>
        <w:t>stworzenie spójnego systemu centralizującego zebrane z różnych źródeł informacje oraz opracowanie narzędzi umożliwiających możliwie szybką interpretację wyników w stosunku do przyjętych założeń w GPR,</w:t>
      </w:r>
    </w:p>
    <w:p w:rsidR="00E7674A" w:rsidRDefault="00E7674A" w:rsidP="00E7674A">
      <w:pPr>
        <w:numPr>
          <w:ilvl w:val="1"/>
          <w:numId w:val="449"/>
        </w:numPr>
        <w:suppressAutoHyphens/>
        <w:ind w:left="714" w:hanging="357"/>
        <w:jc w:val="both"/>
        <w:rPr>
          <w:rFonts w:eastAsia="Lucida Sans Unicode" w:cs="Calibri"/>
          <w:kern w:val="2"/>
          <w:szCs w:val="20"/>
          <w:lang w:eastAsia="hi-IN" w:bidi="hi-IN"/>
        </w:rPr>
      </w:pPr>
      <w:r>
        <w:rPr>
          <w:rFonts w:eastAsia="Lucida Sans Unicode" w:cs="Calibri"/>
          <w:kern w:val="2"/>
          <w:szCs w:val="20"/>
          <w:lang w:eastAsia="hi-IN" w:bidi="hi-IN"/>
        </w:rPr>
        <w:t>dostępność do informacji zebranych w systemie monitoringu oraz do wyników ich przetwarzania dla podmiotów partnerskich oraz dla społeczności lokalnych rewitalizowanych podobszarów,</w:t>
      </w:r>
    </w:p>
    <w:p w:rsidR="00E7674A" w:rsidRDefault="00E7674A" w:rsidP="00E7674A">
      <w:pPr>
        <w:numPr>
          <w:ilvl w:val="0"/>
          <w:numId w:val="449"/>
        </w:numPr>
        <w:suppressAutoHyphens/>
        <w:ind w:left="357" w:hanging="357"/>
        <w:jc w:val="both"/>
        <w:rPr>
          <w:rFonts w:eastAsia="Lucida Sans Unicode" w:cs="Calibri"/>
          <w:kern w:val="2"/>
          <w:szCs w:val="20"/>
          <w:lang w:eastAsia="hi-IN" w:bidi="hi-IN"/>
        </w:rPr>
      </w:pPr>
      <w:r>
        <w:rPr>
          <w:rFonts w:eastAsia="Lucida Sans Unicode" w:cs="Calibri"/>
          <w:b/>
          <w:kern w:val="2"/>
          <w:szCs w:val="20"/>
          <w:lang w:eastAsia="hi-IN" w:bidi="hi-IN"/>
        </w:rPr>
        <w:t>spójności programowej</w:t>
      </w:r>
      <w:r>
        <w:rPr>
          <w:rFonts w:eastAsia="Lucida Sans Unicode" w:cs="Calibri"/>
          <w:kern w:val="2"/>
          <w:szCs w:val="20"/>
          <w:lang w:eastAsia="hi-IN" w:bidi="hi-IN"/>
        </w:rPr>
        <w:t xml:space="preserve"> – monitoringowi poddane zostaną zmiany sytuacji i wyniki działań na różnym poziomie; monitoring obejmuje dane począwszy od pojedynczych projektów, poprzez wiązki projektów, aż po dane ilustrujące osiąganie celów GPR oraz zmiany sytuacji rewitalizowanych podobszarów; w ramach monitoringu poddawane są analizie nie tylko wyniki, ale także stawiane są hipotezy dotyczące relacji między podejmowanymi działaniami, a zmianami sytuacji rewitalizowanych podobszarów (płaszczyzny monitoringu uporządkowane na schemacie </w:t>
      </w:r>
      <w:r>
        <w:rPr>
          <w:rFonts w:eastAsia="Lucida Sans Unicode" w:cs="Calibri"/>
          <w:i/>
          <w:kern w:val="2"/>
          <w:szCs w:val="20"/>
          <w:lang w:eastAsia="hi-IN" w:bidi="hi-IN"/>
        </w:rPr>
        <w:t>Poziomy monitoringu wdrażania GPR</w:t>
      </w:r>
      <w:r>
        <w:rPr>
          <w:rFonts w:eastAsia="Lucida Sans Unicode" w:cs="Calibri"/>
          <w:kern w:val="2"/>
          <w:szCs w:val="20"/>
          <w:lang w:eastAsia="hi-IN" w:bidi="hi-IN"/>
        </w:rPr>
        <w:t>) – zwłaszcza pod kątem efektywności i synergii działań inwestycyjnych i nieinwestycyjnych (środki OSI);</w:t>
      </w:r>
    </w:p>
    <w:p w:rsidR="00E7674A" w:rsidRDefault="00E7674A" w:rsidP="00E7674A">
      <w:pPr>
        <w:numPr>
          <w:ilvl w:val="0"/>
          <w:numId w:val="449"/>
        </w:numPr>
        <w:suppressAutoHyphens/>
        <w:ind w:left="357" w:hanging="357"/>
        <w:jc w:val="both"/>
        <w:rPr>
          <w:rFonts w:eastAsia="Lucida Sans Unicode" w:cs="Calibri"/>
          <w:kern w:val="2"/>
          <w:szCs w:val="20"/>
          <w:lang w:eastAsia="hi-IN" w:bidi="hi-IN"/>
        </w:rPr>
      </w:pPr>
      <w:r>
        <w:rPr>
          <w:rFonts w:eastAsia="Lucida Sans Unicode" w:cs="Calibri"/>
          <w:b/>
          <w:kern w:val="2"/>
          <w:szCs w:val="20"/>
          <w:lang w:eastAsia="hi-IN" w:bidi="hi-IN"/>
        </w:rPr>
        <w:t>spójności strategiczno-planistycznej</w:t>
      </w:r>
      <w:r>
        <w:rPr>
          <w:rFonts w:eastAsia="Lucida Sans Unicode" w:cs="Calibri"/>
          <w:kern w:val="2"/>
          <w:szCs w:val="20"/>
          <w:lang w:eastAsia="hi-IN" w:bidi="hi-IN"/>
        </w:rPr>
        <w:t xml:space="preserve"> – monitoring realizacji GPR jest spójny z istniejącym w mieście systemem monitoringu funkcjonującym w kontekście wdrażania strategii rozwoju Bytomia; </w:t>
      </w:r>
    </w:p>
    <w:p w:rsidR="00E7674A" w:rsidRDefault="00E7674A" w:rsidP="00E7674A">
      <w:pPr>
        <w:numPr>
          <w:ilvl w:val="0"/>
          <w:numId w:val="449"/>
        </w:numPr>
        <w:suppressAutoHyphens/>
        <w:ind w:left="357" w:hanging="357"/>
        <w:jc w:val="both"/>
        <w:rPr>
          <w:rFonts w:eastAsia="Lucida Sans Unicode" w:cs="Calibri"/>
          <w:kern w:val="2"/>
          <w:szCs w:val="20"/>
          <w:lang w:eastAsia="hi-IN" w:bidi="hi-IN"/>
        </w:rPr>
      </w:pPr>
      <w:r>
        <w:rPr>
          <w:rFonts w:eastAsia="Lucida Sans Unicode" w:cs="Calibri"/>
          <w:b/>
          <w:kern w:val="2"/>
          <w:szCs w:val="20"/>
          <w:lang w:eastAsia="hi-IN" w:bidi="hi-IN"/>
        </w:rPr>
        <w:t>elastyczności</w:t>
      </w:r>
      <w:r>
        <w:rPr>
          <w:rFonts w:eastAsia="Lucida Sans Unicode" w:cs="Calibri"/>
          <w:kern w:val="2"/>
          <w:szCs w:val="20"/>
          <w:lang w:eastAsia="hi-IN" w:bidi="hi-IN"/>
        </w:rPr>
        <w:t xml:space="preserve"> – wyjściowy system monitoringu oparty jest na aktualnie zidentyfikowanych potrzebach oraz zbiorze informacji dostępnych w różnych źródłach; długi horyzont wdrażania programu wskazuje na konieczność liczenia się ze zmianami kluczowych czynników decydujących o sytuacji i rozwoju obszarów rewitalizacji; możliwe jest między innymi pojawienie się zmian skokowych oraz nowych zjawisk, które wymagać będą monitorowania; mogą się także pojawi</w:t>
      </w:r>
      <w:r w:rsidR="0020326F">
        <w:rPr>
          <w:rFonts w:eastAsia="Lucida Sans Unicode" w:cs="Calibri"/>
          <w:kern w:val="2"/>
          <w:szCs w:val="20"/>
          <w:lang w:eastAsia="hi-IN" w:bidi="hi-IN"/>
        </w:rPr>
        <w:t>a</w:t>
      </w:r>
      <w:r>
        <w:rPr>
          <w:rFonts w:eastAsia="Lucida Sans Unicode" w:cs="Calibri"/>
          <w:kern w:val="2"/>
          <w:szCs w:val="20"/>
          <w:lang w:eastAsia="hi-IN" w:bidi="hi-IN"/>
        </w:rPr>
        <w:t>ć nowe możliwości konstruowania zbioru danych do monitoringu; w związku z tym, przewidywane jest modyfikowanie systemu monitoringu – zarówno w oparciu o obserwację zjawisk od strony ilościowej, jak również w oparciu o konsultacje z ekspertami z różnych dziedzin związanych z rewitalizacją oraz z liderami lokalnymi lub innymi interesariuszami procesu rewitalizacji;</w:t>
      </w:r>
    </w:p>
    <w:p w:rsidR="00E7674A" w:rsidRDefault="00E7674A" w:rsidP="00E7674A">
      <w:pPr>
        <w:numPr>
          <w:ilvl w:val="0"/>
          <w:numId w:val="449"/>
        </w:numPr>
        <w:suppressAutoHyphens/>
        <w:ind w:left="357" w:hanging="357"/>
        <w:jc w:val="both"/>
        <w:rPr>
          <w:rFonts w:eastAsia="Lucida Sans Unicode" w:cs="Calibri"/>
          <w:kern w:val="2"/>
          <w:szCs w:val="20"/>
          <w:lang w:eastAsia="hi-IN" w:bidi="hi-IN"/>
        </w:rPr>
      </w:pPr>
      <w:r>
        <w:rPr>
          <w:rFonts w:eastAsia="Lucida Sans Unicode" w:cs="Calibri"/>
          <w:b/>
          <w:kern w:val="2"/>
          <w:szCs w:val="20"/>
          <w:lang w:eastAsia="hi-IN" w:bidi="hi-IN"/>
        </w:rPr>
        <w:t>ciągłości</w:t>
      </w:r>
      <w:r>
        <w:rPr>
          <w:rFonts w:eastAsia="Lucida Sans Unicode" w:cs="Calibri"/>
          <w:kern w:val="2"/>
          <w:szCs w:val="20"/>
          <w:lang w:eastAsia="hi-IN" w:bidi="hi-IN"/>
        </w:rPr>
        <w:t xml:space="preserve"> – monitoring rewitalizacji prowadzony jest w sposób ciągły, umożliwiający obserwowanie procesów i porównywanie danych w ustalonych interwałach czasowych; podstawowa część monitoringu zostaje więc oparta na danych, które można zbierać i analizować w sposób ciągły i powtarzalny; wyjątkiem są doraźne badania przeprowadzane w związku z próbami identyfikacji zjawisk skokowych;</w:t>
      </w:r>
    </w:p>
    <w:p w:rsidR="00E7674A" w:rsidRDefault="00E7674A" w:rsidP="00E7674A">
      <w:pPr>
        <w:numPr>
          <w:ilvl w:val="0"/>
          <w:numId w:val="449"/>
        </w:numPr>
        <w:suppressAutoHyphens/>
        <w:ind w:left="357" w:hanging="357"/>
        <w:jc w:val="both"/>
        <w:rPr>
          <w:rFonts w:eastAsia="Lucida Sans Unicode" w:cs="Calibri"/>
          <w:kern w:val="2"/>
          <w:szCs w:val="20"/>
          <w:lang w:eastAsia="hi-IN" w:bidi="hi-IN"/>
        </w:rPr>
      </w:pPr>
      <w:r>
        <w:rPr>
          <w:rFonts w:eastAsia="Lucida Sans Unicode" w:cs="Calibri"/>
          <w:b/>
          <w:kern w:val="2"/>
          <w:szCs w:val="20"/>
          <w:lang w:eastAsia="hi-IN" w:bidi="hi-IN"/>
        </w:rPr>
        <w:t>łączenia analiz ilościowych i jakościowych</w:t>
      </w:r>
      <w:r>
        <w:rPr>
          <w:rFonts w:eastAsia="Lucida Sans Unicode" w:cs="Calibri"/>
          <w:kern w:val="2"/>
          <w:szCs w:val="20"/>
          <w:lang w:eastAsia="hi-IN" w:bidi="hi-IN"/>
        </w:rPr>
        <w:t xml:space="preserve"> – w systemie monitoringu główna część danych ma charakter ilościowy; dotyczy to różnego rodzaju danych statystycznych, a także danych związanych np. z realizacją projektów (zarówno inwestycyjnych jak i nieinwestycyjnych); ze względu na długi horyzont realizacji i złożoność procesów stosowane będą kontekstowo także analizy jakościowe; będą one służyły przede wszystkim:</w:t>
      </w:r>
    </w:p>
    <w:p w:rsidR="00E7674A" w:rsidRDefault="00E7674A" w:rsidP="00E7674A">
      <w:pPr>
        <w:numPr>
          <w:ilvl w:val="1"/>
          <w:numId w:val="449"/>
        </w:numPr>
        <w:suppressAutoHyphens/>
        <w:ind w:left="714" w:hanging="357"/>
        <w:jc w:val="both"/>
        <w:rPr>
          <w:rFonts w:eastAsia="Lucida Sans Unicode" w:cs="Calibri"/>
          <w:kern w:val="2"/>
          <w:szCs w:val="20"/>
          <w:lang w:eastAsia="hi-IN" w:bidi="hi-IN"/>
        </w:rPr>
      </w:pPr>
      <w:r>
        <w:rPr>
          <w:rFonts w:eastAsia="Lucida Sans Unicode" w:cs="Calibri"/>
          <w:kern w:val="2"/>
          <w:szCs w:val="20"/>
          <w:lang w:eastAsia="hi-IN" w:bidi="hi-IN"/>
        </w:rPr>
        <w:t>interpretowaniu wyników, które nie poddają się prostej analizie; w szczególności dotyczy to stawiania hipotez dotyczących korelacji między obserwowanymi zjawiskami; w tym celu mogą być stosowane analizy powiązań krzyżowych między wyselekcjonowanymi czynnikami;</w:t>
      </w:r>
    </w:p>
    <w:p w:rsidR="00E7674A" w:rsidRDefault="00E7674A" w:rsidP="00E7674A">
      <w:pPr>
        <w:numPr>
          <w:ilvl w:val="1"/>
          <w:numId w:val="449"/>
        </w:numPr>
        <w:suppressAutoHyphens/>
        <w:ind w:left="714" w:hanging="357"/>
        <w:jc w:val="both"/>
        <w:rPr>
          <w:rFonts w:eastAsia="Lucida Sans Unicode" w:cs="Calibri"/>
          <w:kern w:val="2"/>
          <w:szCs w:val="20"/>
          <w:lang w:eastAsia="hi-IN" w:bidi="hi-IN"/>
        </w:rPr>
      </w:pPr>
      <w:r>
        <w:rPr>
          <w:rFonts w:eastAsia="Lucida Sans Unicode" w:cs="Calibri"/>
          <w:kern w:val="2"/>
          <w:szCs w:val="20"/>
          <w:lang w:eastAsia="hi-IN" w:bidi="hi-IN"/>
        </w:rPr>
        <w:t>stawianiu hipotez dotyczących odstępstw od dotychczas obserwowanych trendów oraz formułowania propozycji odnoszących się do struktury danych do monitoringu.</w:t>
      </w:r>
    </w:p>
    <w:p w:rsidR="00434792" w:rsidRDefault="00434792" w:rsidP="00434792">
      <w:pPr>
        <w:suppressAutoHyphens/>
        <w:jc w:val="both"/>
        <w:rPr>
          <w:rFonts w:ascii="Calibri" w:eastAsia="Lucida Sans Unicode" w:hAnsi="Calibri" w:cs="Calibri"/>
          <w:kern w:val="2"/>
          <w:szCs w:val="20"/>
          <w:lang w:eastAsia="hi-IN" w:bidi="hi-IN"/>
        </w:rPr>
      </w:pPr>
    </w:p>
    <w:p w:rsidR="00F21D41" w:rsidRPr="00F21D41" w:rsidRDefault="00BB09B0" w:rsidP="00F21D41">
      <w:pPr>
        <w:rPr>
          <w:b/>
        </w:rPr>
      </w:pPr>
      <w:bookmarkStart w:id="9163" w:name="_Toc474925069"/>
      <w:r w:rsidRPr="00BB09B0">
        <w:rPr>
          <w:b/>
        </w:rPr>
        <w:t xml:space="preserve">Schemat </w:t>
      </w:r>
      <w:r w:rsidR="003972D8" w:rsidRPr="00BB09B0">
        <w:rPr>
          <w:b/>
        </w:rPr>
        <w:fldChar w:fldCharType="begin"/>
      </w:r>
      <w:r w:rsidRPr="00BB09B0">
        <w:rPr>
          <w:b/>
        </w:rPr>
        <w:instrText xml:space="preserve"> SEQ Schemat \* ARABIC </w:instrText>
      </w:r>
      <w:r w:rsidR="003972D8" w:rsidRPr="00BB09B0">
        <w:rPr>
          <w:b/>
        </w:rPr>
        <w:fldChar w:fldCharType="separate"/>
      </w:r>
      <w:r w:rsidR="00413FFE">
        <w:rPr>
          <w:b/>
          <w:noProof/>
        </w:rPr>
        <w:t>5</w:t>
      </w:r>
      <w:r w:rsidR="003972D8" w:rsidRPr="00BB09B0">
        <w:rPr>
          <w:b/>
        </w:rPr>
        <w:fldChar w:fldCharType="end"/>
      </w:r>
      <w:r w:rsidRPr="00BB09B0">
        <w:rPr>
          <w:b/>
        </w:rPr>
        <w:t xml:space="preserve">. </w:t>
      </w:r>
      <w:r>
        <w:rPr>
          <w:b/>
        </w:rPr>
        <w:t>Cykl monitoringu wdrażania GPR</w:t>
      </w:r>
      <w:bookmarkEnd w:id="9163"/>
    </w:p>
    <w:p w:rsidR="00F21D41" w:rsidRDefault="003972D8" w:rsidP="003A6A35">
      <w:r>
        <w:rPr>
          <w:noProof/>
        </w:rPr>
        <w:pict>
          <v:shapetype id="_x0000_t202" coordsize="21600,21600" o:spt="202" path="m,l,21600r21600,l21600,xe">
            <v:stroke joinstyle="miter"/>
            <v:path gradientshapeok="t" o:connecttype="rect"/>
          </v:shapetype>
          <v:shape id="Pole tekstowe 14" o:spid="_x0000_s1032" type="#_x0000_t202" style="position:absolute;margin-left:141.4pt;margin-top:113.6pt;width:153pt;height:51.7pt;z-index:25166694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" fillcolor="#365f91" stroked="f" strokeweight=".5pt">
            <v:textbox style="mso-next-textbox:#Pole tekstowe 14">
              <w:txbxContent>
                <w:p w:rsidR="0069036A" w:rsidRPr="00AD247C" w:rsidRDefault="0069036A" w:rsidP="003A6A35">
                  <w:pPr>
                    <w:jc w:val="center"/>
                    <w:rPr>
                      <w:rFonts w:ascii="Calibri" w:hAnsi="Calibri"/>
                      <w:b/>
                      <w:color w:val="FFFFFF"/>
                      <w:sz w:val="22"/>
                      <w:szCs w:val="22"/>
                    </w:rPr>
                  </w:pPr>
                  <w:r w:rsidRPr="00AD247C">
                    <w:rPr>
                      <w:rFonts w:ascii="Calibri" w:hAnsi="Calibri"/>
                      <w:b/>
                      <w:color w:val="FFFFFF"/>
                      <w:sz w:val="22"/>
                      <w:szCs w:val="22"/>
                    </w:rPr>
                    <w:t xml:space="preserve">REALNE ZMIANY W PROGRAMIE </w:t>
                  </w:r>
                  <w:r w:rsidRPr="00AD247C">
                    <w:rPr>
                      <w:rFonts w:ascii="Calibri" w:hAnsi="Calibri"/>
                      <w:b/>
                      <w:color w:val="FFFFFF"/>
                      <w:sz w:val="22"/>
                      <w:szCs w:val="22"/>
                    </w:rPr>
                    <w:br/>
                    <w:t>I  WDRAŻANIU</w:t>
                  </w:r>
                </w:p>
              </w:txbxContent>
            </v:textbox>
          </v:shape>
        </w:pict>
      </w:r>
      <w:r>
        <w:rPr>
          <w:noProof/>
        </w:rPr>
        <w:pict>
          <v:shape id="Strzałka wygięta w górę 13" o:spid="_x0000_s1031" style="position:absolute;margin-left:324.55pt;margin-top:95.95pt;width:46.85pt;height:81.7pt;rotation:90;flip:x;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95312,10372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" path="m,888447r372070,l372070,148828r-74414,l446484,,595312,148828r-74414,l520898,1037275,,1037275,,888447xe" fillcolor="#4f81bd" strokecolor="#243f60" strokeweight="2pt">
            <v:path arrowok="t" o:connecttype="custom" o:connectlocs="0,888447;372070,888447;372070,148828;297656,148828;446484,0;595312,148828;520898,148828;520898,1037275;0,1037275;0,888447" o:connectangles="0,0,0,0,0,0,0,0,0,0"/>
          </v:shape>
        </w:pict>
      </w:r>
      <w:r>
        <w:rPr>
          <w:noProof/>
        </w:rPr>
        <w:pict>
          <v:shape id="Strzałka wygięta w górę 10" o:spid="_x0000_s1030" style="position:absolute;margin-left:46.15pt;margin-top:113.6pt;width:78pt;height:41.25pt;flip:x;z-index:2516648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990600,523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" path="m,392906r794147,l794147,130969r-65484,l859631,,990600,130969r-65484,l925116,523875,,523875,,392906xe" fillcolor="#4f81bd" strokecolor="#243f60" strokeweight="2pt">
            <v:path arrowok="t" o:connecttype="custom" o:connectlocs="0,392906;794147,392906;794147,130969;728663,130969;859631,0;990600,130969;925116,130969;925116,523875;0,523875;0,392906" o:connectangles="0,0,0,0,0,0,0,0,0,0"/>
          </v:shape>
        </w:pict>
      </w:r>
      <w:r w:rsidR="0043168D">
        <w:rPr>
          <w:noProof/>
        </w:rPr>
        <w:drawing>
          <wp:inline distT="0" distB="0" distL="0" distR="0">
            <wp:extent cx="5487670" cy="1114425"/>
            <wp:effectExtent l="19050" t="0" r="17780" b="0"/>
            <wp:docPr id="21" name="Diagram 9"/>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4" r:lo="rId125" r:qs="rId126" r:cs="rId127"/>
              </a:graphicData>
            </a:graphic>
          </wp:inline>
        </w:drawing>
      </w:r>
    </w:p>
    <w:p w:rsidR="00F21D41" w:rsidRDefault="00F21D41" w:rsidP="003A6A35"/>
    <w:p w:rsidR="00F21D41" w:rsidRDefault="00F21D41" w:rsidP="003A6A35"/>
    <w:p w:rsidR="00F21D41" w:rsidRDefault="00F21D41" w:rsidP="003A6A35"/>
    <w:p w:rsidR="00F21D41" w:rsidRDefault="00F21D41" w:rsidP="003A6A35"/>
    <w:p w:rsidR="00F21D41" w:rsidRDefault="00F21D41" w:rsidP="003A6A35">
      <w:pPr>
        <w:rPr>
          <w:sz w:val="18"/>
          <w:szCs w:val="18"/>
        </w:rPr>
      </w:pPr>
    </w:p>
    <w:p w:rsidR="00752692" w:rsidRDefault="00752692" w:rsidP="003A6A35">
      <w:pPr>
        <w:rPr>
          <w:i/>
          <w:sz w:val="18"/>
          <w:szCs w:val="18"/>
        </w:rPr>
      </w:pPr>
    </w:p>
    <w:p w:rsidR="003A6A35" w:rsidRPr="00F21D41" w:rsidRDefault="00F21D41" w:rsidP="003A6A35">
      <w:pPr>
        <w:rPr>
          <w:rFonts w:eastAsiaTheme="minorEastAsia"/>
          <w:i/>
          <w:sz w:val="18"/>
          <w:szCs w:val="18"/>
        </w:rPr>
      </w:pPr>
      <w:r w:rsidRPr="00F21D41">
        <w:rPr>
          <w:i/>
          <w:sz w:val="18"/>
          <w:szCs w:val="18"/>
        </w:rPr>
        <w:t xml:space="preserve">Źródło: </w:t>
      </w:r>
      <w:r w:rsidR="00377C6B">
        <w:rPr>
          <w:i/>
          <w:sz w:val="18"/>
          <w:szCs w:val="18"/>
        </w:rPr>
        <w:t xml:space="preserve">Opracowanie </w:t>
      </w:r>
      <w:r w:rsidR="00E7674A">
        <w:rPr>
          <w:i/>
          <w:sz w:val="18"/>
          <w:szCs w:val="18"/>
        </w:rPr>
        <w:t>dr K. Wrana</w:t>
      </w:r>
      <w:r w:rsidR="003A6A35" w:rsidRPr="00F21D41">
        <w:rPr>
          <w:i/>
          <w:sz w:val="18"/>
          <w:szCs w:val="18"/>
        </w:rPr>
        <w:br w:type="page"/>
      </w:r>
    </w:p>
    <w:p w:rsidR="00F7393E" w:rsidRPr="00290AB7" w:rsidRDefault="00290AB7" w:rsidP="00590C61">
      <w:pPr>
        <w:spacing w:before="240" w:after="80"/>
        <w:rPr>
          <w:b/>
        </w:rPr>
      </w:pPr>
      <w:bookmarkStart w:id="9164" w:name="_Toc474925070"/>
      <w:r w:rsidRPr="00BB09B0">
        <w:rPr>
          <w:b/>
        </w:rPr>
        <w:t xml:space="preserve">Schemat </w:t>
      </w:r>
      <w:r w:rsidR="003972D8" w:rsidRPr="00BB09B0">
        <w:rPr>
          <w:b/>
        </w:rPr>
        <w:fldChar w:fldCharType="begin"/>
      </w:r>
      <w:r w:rsidRPr="00BB09B0">
        <w:rPr>
          <w:b/>
        </w:rPr>
        <w:instrText xml:space="preserve"> SEQ Schemat \* ARABIC </w:instrText>
      </w:r>
      <w:r w:rsidR="003972D8" w:rsidRPr="00BB09B0">
        <w:rPr>
          <w:b/>
        </w:rPr>
        <w:fldChar w:fldCharType="separate"/>
      </w:r>
      <w:r w:rsidR="00413FFE">
        <w:rPr>
          <w:b/>
          <w:noProof/>
        </w:rPr>
        <w:t>6</w:t>
      </w:r>
      <w:r w:rsidR="003972D8" w:rsidRPr="00BB09B0">
        <w:rPr>
          <w:b/>
        </w:rPr>
        <w:fldChar w:fldCharType="end"/>
      </w:r>
      <w:r w:rsidRPr="00BB09B0">
        <w:rPr>
          <w:b/>
        </w:rPr>
        <w:t xml:space="preserve">. </w:t>
      </w:r>
      <w:r>
        <w:rPr>
          <w:b/>
        </w:rPr>
        <w:t>Poziomy monitoringu i ewaluacji GPR</w:t>
      </w:r>
      <w:bookmarkEnd w:id="9164"/>
    </w:p>
    <w:p w:rsidR="00290AB7" w:rsidRDefault="00290AB7">
      <w:r w:rsidRPr="00290AB7">
        <w:rPr>
          <w:noProof/>
        </w:rPr>
        <w:drawing>
          <wp:inline distT="0" distB="0" distL="0" distR="0">
            <wp:extent cx="5486400" cy="6200775"/>
            <wp:effectExtent l="38100" t="0" r="19050" b="0"/>
            <wp:docPr id="6"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9" r:lo="rId130" r:qs="rId131" r:cs="rId132"/>
              </a:graphicData>
            </a:graphic>
          </wp:inline>
        </w:drawing>
      </w:r>
    </w:p>
    <w:p w:rsidR="00290AB7" w:rsidRDefault="00290AB7" w:rsidP="00C65D31">
      <w:pPr>
        <w:spacing w:before="100"/>
      </w:pPr>
      <w:r w:rsidRPr="00F21D41">
        <w:rPr>
          <w:i/>
          <w:sz w:val="18"/>
          <w:szCs w:val="18"/>
        </w:rPr>
        <w:t xml:space="preserve">Źródło: </w:t>
      </w:r>
      <w:r w:rsidR="00377C6B">
        <w:rPr>
          <w:i/>
          <w:sz w:val="18"/>
          <w:szCs w:val="18"/>
        </w:rPr>
        <w:t>Opracowanie dr K. Wrana</w:t>
      </w:r>
    </w:p>
    <w:p w:rsidR="0029562F" w:rsidRDefault="0029562F" w:rsidP="00C65D31">
      <w:pPr>
        <w:suppressAutoHyphens/>
        <w:spacing w:before="60"/>
        <w:ind w:firstLine="709"/>
        <w:jc w:val="both"/>
        <w:rPr>
          <w:rFonts w:cs="Mangal"/>
          <w:kern w:val="2"/>
          <w:szCs w:val="20"/>
          <w:lang w:eastAsia="hi-IN" w:bidi="hi-IN"/>
        </w:rPr>
      </w:pPr>
    </w:p>
    <w:p w:rsidR="00290AB7" w:rsidRDefault="00290AB7" w:rsidP="0091792F">
      <w:pPr>
        <w:suppressAutoHyphens/>
        <w:ind w:firstLine="708"/>
        <w:jc w:val="both"/>
        <w:rPr>
          <w:rFonts w:cs="Mangal"/>
          <w:kern w:val="2"/>
          <w:szCs w:val="20"/>
          <w:lang w:eastAsia="hi-IN" w:bidi="hi-IN"/>
        </w:rPr>
      </w:pPr>
      <w:r>
        <w:rPr>
          <w:rFonts w:cs="Mangal"/>
          <w:kern w:val="2"/>
          <w:szCs w:val="20"/>
          <w:lang w:eastAsia="hi-IN" w:bidi="hi-IN"/>
        </w:rPr>
        <w:t>Wielopodmiotowość systemu ewaluacji i monitoringu zostanie osiągnięta poprzez trwałą współpracę z podmiotami lokalnymi oraz innymi interesariuszami. Struktura systemu ewaluacji i monitoringu łączącego różne podmioty została przedstawiona na schemacie</w:t>
      </w:r>
      <w:r w:rsidR="0006689B">
        <w:rPr>
          <w:rFonts w:cs="Mangal"/>
          <w:kern w:val="2"/>
          <w:szCs w:val="20"/>
          <w:lang w:eastAsia="hi-IN" w:bidi="hi-IN"/>
        </w:rPr>
        <w:t xml:space="preserve"> 7</w:t>
      </w:r>
      <w:r>
        <w:rPr>
          <w:rFonts w:cs="Mangal"/>
          <w:kern w:val="2"/>
          <w:szCs w:val="20"/>
          <w:lang w:eastAsia="hi-IN" w:bidi="hi-IN"/>
        </w:rPr>
        <w:t>.</w:t>
      </w:r>
    </w:p>
    <w:p w:rsidR="00290AB7" w:rsidRDefault="00290AB7" w:rsidP="00290AB7">
      <w:pPr>
        <w:suppressAutoHyphens/>
        <w:jc w:val="both"/>
        <w:rPr>
          <w:rFonts w:cs="Mangal"/>
          <w:kern w:val="2"/>
          <w:szCs w:val="20"/>
          <w:lang w:eastAsia="hi-IN" w:bidi="hi-IN"/>
        </w:rPr>
      </w:pPr>
    </w:p>
    <w:p w:rsidR="00BC3434" w:rsidRDefault="00BC3434" w:rsidP="00290AB7">
      <w:pPr>
        <w:rPr>
          <w:b/>
        </w:rPr>
      </w:pPr>
      <w:bookmarkStart w:id="9165" w:name="_Toc467761910"/>
    </w:p>
    <w:p w:rsidR="00BC3434" w:rsidRDefault="00BC3434" w:rsidP="00290AB7">
      <w:pPr>
        <w:rPr>
          <w:b/>
        </w:rPr>
      </w:pPr>
    </w:p>
    <w:p w:rsidR="00BC3434" w:rsidRDefault="00BC3434" w:rsidP="00290AB7">
      <w:pPr>
        <w:rPr>
          <w:b/>
        </w:rPr>
      </w:pPr>
    </w:p>
    <w:p w:rsidR="00BC3434" w:rsidRDefault="00BC3434" w:rsidP="00290AB7">
      <w:pPr>
        <w:rPr>
          <w:b/>
        </w:rPr>
      </w:pPr>
    </w:p>
    <w:p w:rsidR="00BC3434" w:rsidRDefault="00BC3434" w:rsidP="00290AB7">
      <w:pPr>
        <w:rPr>
          <w:b/>
        </w:rPr>
      </w:pPr>
    </w:p>
    <w:p w:rsidR="00BC3434" w:rsidRDefault="00BC3434" w:rsidP="00290AB7">
      <w:pPr>
        <w:rPr>
          <w:b/>
        </w:rPr>
      </w:pPr>
    </w:p>
    <w:p w:rsidR="00BC3434" w:rsidRDefault="00BC3434" w:rsidP="00290AB7">
      <w:pPr>
        <w:rPr>
          <w:b/>
        </w:rPr>
      </w:pPr>
    </w:p>
    <w:p w:rsidR="00290AB7" w:rsidRDefault="00290AB7" w:rsidP="00F655F2">
      <w:pPr>
        <w:spacing w:after="60"/>
        <w:rPr>
          <w:b/>
        </w:rPr>
      </w:pPr>
      <w:bookmarkStart w:id="9166" w:name="_Toc474925071"/>
      <w:r>
        <w:rPr>
          <w:b/>
        </w:rPr>
        <w:t xml:space="preserve">Schemat </w:t>
      </w:r>
      <w:r w:rsidR="003972D8">
        <w:rPr>
          <w:b/>
        </w:rPr>
        <w:fldChar w:fldCharType="begin"/>
      </w:r>
      <w:r>
        <w:rPr>
          <w:b/>
        </w:rPr>
        <w:instrText xml:space="preserve"> SEQ Schemat \* ARABIC </w:instrText>
      </w:r>
      <w:r w:rsidR="003972D8">
        <w:rPr>
          <w:b/>
        </w:rPr>
        <w:fldChar w:fldCharType="separate"/>
      </w:r>
      <w:r w:rsidR="00413FFE">
        <w:rPr>
          <w:b/>
          <w:noProof/>
        </w:rPr>
        <w:t>7</w:t>
      </w:r>
      <w:r w:rsidR="003972D8">
        <w:rPr>
          <w:b/>
        </w:rPr>
        <w:fldChar w:fldCharType="end"/>
      </w:r>
      <w:r>
        <w:rPr>
          <w:b/>
        </w:rPr>
        <w:t>. Podmioty ewaluacji i monitoringu GPR</w:t>
      </w:r>
      <w:bookmarkEnd w:id="9165"/>
      <w:bookmarkEnd w:id="9166"/>
    </w:p>
    <w:p w:rsidR="00290AB7" w:rsidRDefault="00290AB7" w:rsidP="00290AB7">
      <w:pPr>
        <w:jc w:val="both"/>
      </w:pPr>
      <w:r>
        <w:rPr>
          <w:noProof/>
        </w:rPr>
        <w:drawing>
          <wp:inline distT="0" distB="0" distL="0" distR="0">
            <wp:extent cx="5494655" cy="3829050"/>
            <wp:effectExtent l="19050" t="0" r="10795" b="0"/>
            <wp:docPr id="85" name="Diagram 15"/>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4" r:lo="rId135" r:qs="rId136" r:cs="rId137"/>
              </a:graphicData>
            </a:graphic>
          </wp:inline>
        </w:drawing>
      </w:r>
    </w:p>
    <w:p w:rsidR="00290AB7" w:rsidRDefault="00290AB7" w:rsidP="00290AB7">
      <w:pPr>
        <w:suppressAutoHyphens/>
        <w:jc w:val="both"/>
        <w:rPr>
          <w:i/>
          <w:sz w:val="18"/>
          <w:szCs w:val="18"/>
        </w:rPr>
      </w:pPr>
      <w:r>
        <w:rPr>
          <w:i/>
          <w:sz w:val="18"/>
          <w:szCs w:val="18"/>
        </w:rPr>
        <w:t xml:space="preserve">Źródło: </w:t>
      </w:r>
      <w:r w:rsidR="00377C6B">
        <w:rPr>
          <w:i/>
          <w:sz w:val="18"/>
          <w:szCs w:val="18"/>
        </w:rPr>
        <w:t>Opracowanie dr K. Wrana</w:t>
      </w:r>
    </w:p>
    <w:p w:rsidR="00290AB7" w:rsidRDefault="00290AB7" w:rsidP="00290AB7">
      <w:pPr>
        <w:suppressAutoHyphens/>
        <w:jc w:val="both"/>
        <w:rPr>
          <w:rFonts w:cs="Mangal"/>
          <w:kern w:val="2"/>
          <w:szCs w:val="20"/>
          <w:lang w:eastAsia="hi-IN" w:bidi="hi-IN"/>
        </w:rPr>
      </w:pPr>
    </w:p>
    <w:p w:rsidR="00290AB7" w:rsidRDefault="00CA010A" w:rsidP="00CA010A">
      <w:pPr>
        <w:suppressAutoHyphens/>
        <w:ind w:firstLine="708"/>
        <w:jc w:val="both"/>
        <w:rPr>
          <w:rFonts w:cs="Mangal"/>
          <w:kern w:val="2"/>
          <w:szCs w:val="20"/>
          <w:lang w:eastAsia="hi-IN" w:bidi="hi-IN"/>
        </w:rPr>
      </w:pPr>
      <w:r>
        <w:rPr>
          <w:rFonts w:cs="Mangal"/>
          <w:kern w:val="2"/>
          <w:szCs w:val="20"/>
          <w:lang w:eastAsia="hi-IN" w:bidi="hi-IN"/>
        </w:rPr>
        <w:t>„</w:t>
      </w:r>
      <w:r w:rsidR="00290AB7">
        <w:rPr>
          <w:rFonts w:cs="Mangal"/>
          <w:kern w:val="2"/>
          <w:szCs w:val="20"/>
          <w:lang w:eastAsia="hi-IN" w:bidi="hi-IN"/>
        </w:rPr>
        <w:t>Gminny Program Rewitalizacji. Bytom 2020+</w:t>
      </w:r>
      <w:r>
        <w:rPr>
          <w:rFonts w:cs="Mangal"/>
          <w:kern w:val="2"/>
          <w:szCs w:val="20"/>
          <w:lang w:eastAsia="hi-IN" w:bidi="hi-IN"/>
        </w:rPr>
        <w:t>”</w:t>
      </w:r>
      <w:r w:rsidR="00290AB7">
        <w:rPr>
          <w:rFonts w:cs="Mangal"/>
          <w:kern w:val="2"/>
          <w:szCs w:val="20"/>
          <w:lang w:eastAsia="hi-IN" w:bidi="hi-IN"/>
        </w:rPr>
        <w:t xml:space="preserve"> został sformułowany przy aktywnym udziale podmiotów lokalnych, które udostępniły posiadane informacje na temat sytuacji miasta i obszarów rewitalizacji. Na etapie wdrażania (i monitoringu) kontakty z tymi podmiotami będą utrwalane i rozwijane w celu korzystania z możliwie bogatego źródła informacji o zachodzących procesach rewitalizacyjnych.</w:t>
      </w:r>
    </w:p>
    <w:p w:rsidR="00290AB7" w:rsidRDefault="00290AB7" w:rsidP="00290AB7">
      <w:pPr>
        <w:suppressAutoHyphens/>
        <w:jc w:val="both"/>
        <w:rPr>
          <w:rFonts w:cs="Mangal"/>
          <w:kern w:val="2"/>
          <w:szCs w:val="20"/>
          <w:lang w:eastAsia="hi-IN" w:bidi="hi-IN"/>
        </w:rPr>
      </w:pPr>
      <w:r>
        <w:rPr>
          <w:rFonts w:cs="Mangal"/>
          <w:kern w:val="2"/>
          <w:szCs w:val="20"/>
          <w:lang w:eastAsia="hi-IN" w:bidi="hi-IN"/>
        </w:rPr>
        <w:t>Dane do oprac</w:t>
      </w:r>
      <w:r w:rsidR="0020326F">
        <w:rPr>
          <w:rFonts w:cs="Mangal"/>
          <w:kern w:val="2"/>
          <w:szCs w:val="20"/>
          <w:lang w:eastAsia="hi-IN" w:bidi="hi-IN"/>
        </w:rPr>
        <w:t>owania GPR pozyskiwane były od w</w:t>
      </w:r>
      <w:r>
        <w:rPr>
          <w:rFonts w:cs="Mangal"/>
          <w:kern w:val="2"/>
          <w:szCs w:val="20"/>
          <w:lang w:eastAsia="hi-IN" w:bidi="hi-IN"/>
        </w:rPr>
        <w:t xml:space="preserve">ydziałów </w:t>
      </w:r>
      <w:r w:rsidR="0020326F">
        <w:rPr>
          <w:rFonts w:cs="Mangal"/>
          <w:kern w:val="2"/>
          <w:szCs w:val="20"/>
          <w:lang w:eastAsia="hi-IN" w:bidi="hi-IN"/>
        </w:rPr>
        <w:t xml:space="preserve">i referatów </w:t>
      </w:r>
      <w:r>
        <w:rPr>
          <w:rFonts w:cs="Mangal"/>
          <w:kern w:val="2"/>
          <w:szCs w:val="20"/>
          <w:lang w:eastAsia="hi-IN" w:bidi="hi-IN"/>
        </w:rPr>
        <w:t xml:space="preserve">Urzędu Miejskiego oraz instytucji miejskich/publicznych (w zakresie kompetencji poszczególnych jednostek), a także instytucji kultury, Policji, organizacji pozarządowych oraz pozostałych interesariuszy rewitalizacji definiowanych w </w:t>
      </w:r>
      <w:r w:rsidR="0020326F">
        <w:rPr>
          <w:rFonts w:cs="Mangal"/>
          <w:kern w:val="2"/>
          <w:szCs w:val="20"/>
          <w:lang w:eastAsia="hi-IN" w:bidi="hi-IN"/>
        </w:rPr>
        <w:t>u</w:t>
      </w:r>
      <w:r>
        <w:rPr>
          <w:rFonts w:cs="Mangal"/>
          <w:kern w:val="2"/>
          <w:szCs w:val="20"/>
          <w:lang w:eastAsia="hi-IN" w:bidi="hi-IN"/>
        </w:rPr>
        <w:t xml:space="preserve">stawie o rewitalizacji. </w:t>
      </w:r>
    </w:p>
    <w:p w:rsidR="00290AB7" w:rsidRDefault="00290AB7" w:rsidP="00290AB7">
      <w:pPr>
        <w:suppressAutoHyphens/>
        <w:jc w:val="both"/>
        <w:rPr>
          <w:rFonts w:cs="Mangal"/>
          <w:kern w:val="2"/>
          <w:szCs w:val="20"/>
          <w:lang w:eastAsia="hi-IN" w:bidi="hi-IN"/>
        </w:rPr>
      </w:pPr>
    </w:p>
    <w:p w:rsidR="0093272F" w:rsidRDefault="0093272F" w:rsidP="00AE7C58">
      <w:pPr>
        <w:autoSpaceDE w:val="0"/>
        <w:autoSpaceDN w:val="0"/>
        <w:adjustRightInd w:val="0"/>
        <w:jc w:val="both"/>
      </w:pPr>
      <w:r w:rsidRPr="00AE7C58">
        <w:rPr>
          <w:rFonts w:ascii="Calibri" w:eastAsia="SegoeUI" w:hAnsi="Calibri"/>
          <w:szCs w:val="22"/>
        </w:rPr>
        <w:t>Za monitorowanie i ocen</w:t>
      </w:r>
      <w:r w:rsidRPr="00AE7C58">
        <w:rPr>
          <w:rFonts w:ascii="Calibri" w:eastAsia="SegoeUI" w:hAnsi="Calibri" w:hint="eastAsia"/>
          <w:szCs w:val="22"/>
        </w:rPr>
        <w:t>ę</w:t>
      </w:r>
      <w:r w:rsidRPr="00AE7C58">
        <w:rPr>
          <w:rFonts w:ascii="Calibri" w:eastAsia="SegoeUI" w:hAnsi="Calibri"/>
          <w:szCs w:val="22"/>
        </w:rPr>
        <w:t xml:space="preserve"> wdra</w:t>
      </w:r>
      <w:r w:rsidRPr="00AE7C58">
        <w:rPr>
          <w:rFonts w:ascii="Calibri" w:eastAsia="SegoeUI" w:hAnsi="Calibri" w:hint="eastAsia"/>
          <w:szCs w:val="22"/>
        </w:rPr>
        <w:t>ż</w:t>
      </w:r>
      <w:r w:rsidRPr="00AE7C58">
        <w:rPr>
          <w:rFonts w:ascii="Calibri" w:eastAsia="SegoeUI" w:hAnsi="Calibri"/>
          <w:szCs w:val="22"/>
        </w:rPr>
        <w:t xml:space="preserve">ania </w:t>
      </w:r>
      <w:r w:rsidR="00AE7C58">
        <w:rPr>
          <w:rFonts w:ascii="Calibri" w:eastAsia="SegoeUI" w:hAnsi="Calibri"/>
          <w:szCs w:val="22"/>
        </w:rPr>
        <w:t>„</w:t>
      </w:r>
      <w:r w:rsidRPr="00AE7C58">
        <w:rPr>
          <w:rFonts w:ascii="Calibri" w:eastAsia="SegoeUI" w:hAnsi="Calibri"/>
          <w:szCs w:val="22"/>
        </w:rPr>
        <w:t>Gminnego Progr</w:t>
      </w:r>
      <w:r w:rsidR="001A1BD7" w:rsidRPr="00AE7C58">
        <w:rPr>
          <w:rFonts w:ascii="Calibri" w:eastAsia="SegoeUI" w:hAnsi="Calibri"/>
          <w:szCs w:val="22"/>
        </w:rPr>
        <w:t>amu Rewitalizacji. Bytom 2020+</w:t>
      </w:r>
      <w:r w:rsidR="00AE7C58">
        <w:rPr>
          <w:rFonts w:ascii="Calibri" w:eastAsia="SegoeUI" w:hAnsi="Calibri"/>
          <w:szCs w:val="22"/>
        </w:rPr>
        <w:t>”</w:t>
      </w:r>
      <w:r w:rsidR="001A1BD7" w:rsidRPr="00AE7C58">
        <w:rPr>
          <w:rFonts w:ascii="Calibri" w:eastAsia="SegoeUI" w:hAnsi="Calibri"/>
          <w:szCs w:val="22"/>
        </w:rPr>
        <w:t xml:space="preserve"> </w:t>
      </w:r>
      <w:r w:rsidRPr="00AE7C58">
        <w:rPr>
          <w:rFonts w:ascii="Calibri" w:eastAsia="SegoeUI" w:hAnsi="Calibri"/>
          <w:szCs w:val="22"/>
        </w:rPr>
        <w:t>w Bytomiu odpowiedzialny b</w:t>
      </w:r>
      <w:r w:rsidRPr="00AE7C58">
        <w:rPr>
          <w:rFonts w:ascii="Calibri" w:eastAsia="SegoeUI" w:hAnsi="Calibri" w:hint="eastAsia"/>
          <w:szCs w:val="22"/>
        </w:rPr>
        <w:t>ę</w:t>
      </w:r>
      <w:r w:rsidRPr="00AE7C58">
        <w:rPr>
          <w:rFonts w:ascii="Calibri" w:eastAsia="SegoeUI" w:hAnsi="Calibri"/>
          <w:szCs w:val="22"/>
        </w:rPr>
        <w:t xml:space="preserve">dzie Wydział Strategii i Funduszy Europejskich. </w:t>
      </w:r>
      <w:r>
        <w:t xml:space="preserve">Wszystkie wskaźniki mierzone będą cyklicznie. Częstotliwość pomiaru wskaźników jest uzależniona od kategorii wskaźnika. </w:t>
      </w:r>
    </w:p>
    <w:p w:rsidR="0093272F" w:rsidRDefault="0093272F" w:rsidP="0093272F">
      <w:pPr>
        <w:pStyle w:val="Tekstpodstawowy"/>
        <w:jc w:val="both"/>
      </w:pPr>
      <w:r>
        <w:t>Wskaźniki podzielono na dwie grupy:</w:t>
      </w:r>
    </w:p>
    <w:p w:rsidR="0093272F" w:rsidRDefault="0093272F" w:rsidP="0093272F">
      <w:pPr>
        <w:pStyle w:val="Tekstpodstawowy"/>
        <w:numPr>
          <w:ilvl w:val="0"/>
          <w:numId w:val="728"/>
        </w:numPr>
        <w:autoSpaceDE w:val="0"/>
        <w:autoSpaceDN w:val="0"/>
        <w:adjustRightInd w:val="0"/>
        <w:spacing w:after="0"/>
        <w:jc w:val="both"/>
      </w:pPr>
      <w:r>
        <w:t>wskaźniki realizacji celów operacyjnych,</w:t>
      </w:r>
    </w:p>
    <w:p w:rsidR="0093272F" w:rsidRDefault="0093272F" w:rsidP="00AE7C58">
      <w:pPr>
        <w:pStyle w:val="Tekstpodstawowy"/>
        <w:numPr>
          <w:ilvl w:val="0"/>
          <w:numId w:val="728"/>
        </w:numPr>
        <w:autoSpaceDE w:val="0"/>
        <w:autoSpaceDN w:val="0"/>
        <w:adjustRightInd w:val="0"/>
        <w:ind w:left="714" w:hanging="357"/>
        <w:jc w:val="both"/>
      </w:pPr>
      <w:r>
        <w:t>wskaźniki projektów.</w:t>
      </w:r>
    </w:p>
    <w:p w:rsidR="0093272F" w:rsidRDefault="0093272F" w:rsidP="0093272F">
      <w:pPr>
        <w:pStyle w:val="Tekstpodstawowy"/>
        <w:jc w:val="both"/>
      </w:pPr>
      <w:r>
        <w:t xml:space="preserve">Jako wartości bazowe wskaźników realizacji celów przyjęto </w:t>
      </w:r>
      <w:r w:rsidR="00C36E1B">
        <w:t>wartości, które</w:t>
      </w:r>
      <w:r w:rsidR="001A1BD7">
        <w:t xml:space="preserve"> brane były pod uwagę w trakcie delimitacji obszaru rewitalizacji oraz na </w:t>
      </w:r>
      <w:r w:rsidR="00C36E1B">
        <w:t>podstawie, których</w:t>
      </w:r>
      <w:r>
        <w:t xml:space="preserve"> przygotowano pogłębioną diagnozę obszaru rewitalizacji, tj. wartości za rok 2016. Zakłada </w:t>
      </w:r>
      <w:r w:rsidR="001A1BD7">
        <w:t>się monitorowanie</w:t>
      </w:r>
      <w:r>
        <w:rPr>
          <w:b/>
          <w:bCs/>
        </w:rPr>
        <w:t xml:space="preserve"> wskaźników celów </w:t>
      </w:r>
      <w:r w:rsidR="001A1BD7">
        <w:rPr>
          <w:b/>
          <w:bCs/>
        </w:rPr>
        <w:t>operacyjnych, co</w:t>
      </w:r>
      <w:r>
        <w:rPr>
          <w:b/>
          <w:bCs/>
        </w:rPr>
        <w:t xml:space="preserve"> dwa lata</w:t>
      </w:r>
      <w:r>
        <w:t xml:space="preserve">. </w:t>
      </w:r>
      <w:r w:rsidR="005F6F7D">
        <w:t>Przy czym pierwszy</w:t>
      </w:r>
      <w:r w:rsidR="001A1BD7">
        <w:t xml:space="preserve"> monitoring </w:t>
      </w:r>
      <w:r w:rsidR="00C36E1B">
        <w:t xml:space="preserve">realizacji celów </w:t>
      </w:r>
      <w:r w:rsidR="001A1BD7">
        <w:t xml:space="preserve">planuje się na </w:t>
      </w:r>
      <w:r w:rsidR="00C36E1B">
        <w:t>2019 rok (do końca I kwartału).</w:t>
      </w:r>
    </w:p>
    <w:p w:rsidR="0093272F" w:rsidRDefault="0093272F" w:rsidP="0093272F">
      <w:pPr>
        <w:pStyle w:val="Tekstpodstawowy"/>
        <w:jc w:val="both"/>
      </w:pPr>
      <w:r>
        <w:t xml:space="preserve">Natomiast monitorowanie projektów odbywać się będzie na podstawie </w:t>
      </w:r>
      <w:r>
        <w:rPr>
          <w:b/>
          <w:bCs/>
        </w:rPr>
        <w:t>sprawozdań rocznych</w:t>
      </w:r>
      <w:r>
        <w:t xml:space="preserve"> bądź końcowych dostarczanych przez wnioskodawców zgłasza</w:t>
      </w:r>
      <w:r w:rsidR="001A1BD7">
        <w:t xml:space="preserve">jących swoje projekty w ramach </w:t>
      </w:r>
      <w:r>
        <w:t>„Gminnego Programu Rewitalizacji. Byt</w:t>
      </w:r>
      <w:r w:rsidR="00C63ECB">
        <w:t>om 2020</w:t>
      </w:r>
      <w:r>
        <w:t>+”.</w:t>
      </w:r>
    </w:p>
    <w:p w:rsidR="0093272F" w:rsidRDefault="0093272F" w:rsidP="0093272F">
      <w:pPr>
        <w:pStyle w:val="Tekstpodstawowy"/>
        <w:jc w:val="both"/>
      </w:pPr>
      <w:r>
        <w:t xml:space="preserve">Raport z monitoringu </w:t>
      </w:r>
      <w:r w:rsidR="008E05B0">
        <w:t>„</w:t>
      </w:r>
      <w:r>
        <w:t>Gminnego Programu Rewitalizacji. Bytom 2020+</w:t>
      </w:r>
      <w:r w:rsidR="008E05B0">
        <w:t>”</w:t>
      </w:r>
      <w:r>
        <w:t xml:space="preserve"> będzie </w:t>
      </w:r>
      <w:r w:rsidR="00C36E1B">
        <w:t>przygotowywany, co</w:t>
      </w:r>
      <w:r>
        <w:t xml:space="preserve"> roku, zawsze do końca I kwartału roku </w:t>
      </w:r>
      <w:r w:rsidR="00C36E1B">
        <w:t>następnego i</w:t>
      </w:r>
      <w:r>
        <w:t xml:space="preserve"> przedkładany do zaopiniowania członkom Komitetu Rewitalizacji a następnie prezentowany Radnym Rady Miejskiej w Bytomiu.</w:t>
      </w:r>
    </w:p>
    <w:p w:rsidR="005F3737" w:rsidRDefault="005F3737" w:rsidP="005F3737">
      <w:pPr>
        <w:pStyle w:val="Legenda"/>
        <w:keepNext/>
      </w:pPr>
      <w:bookmarkStart w:id="9167" w:name="_Toc202771127"/>
      <w:r>
        <w:t xml:space="preserve">Tabela </w:t>
      </w:r>
      <w:fldSimple w:instr=" SEQ Tabela \* ARABIC ">
        <w:r w:rsidR="00413FFE">
          <w:rPr>
            <w:noProof/>
          </w:rPr>
          <w:t>33</w:t>
        </w:r>
      </w:fldSimple>
      <w:r>
        <w:t xml:space="preserve">. </w:t>
      </w:r>
      <w:r w:rsidR="00E0606A">
        <w:t>Harmonogram monitoringu „Gminnego Programu Rewitalizacji. Bytom 2020+”</w:t>
      </w:r>
      <w:bookmarkEnd w:id="916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197"/>
        <w:gridCol w:w="4677"/>
        <w:gridCol w:w="1985"/>
      </w:tblGrid>
      <w:tr w:rsidR="008E05B0" w:rsidTr="00BB7D12">
        <w:trPr>
          <w:trHeight w:val="268"/>
        </w:trPr>
        <w:tc>
          <w:tcPr>
            <w:tcW w:w="2197" w:type="dxa"/>
            <w:shd w:val="clear" w:color="auto" w:fill="99CCFF"/>
            <w:vAlign w:val="center"/>
          </w:tcPr>
          <w:p w:rsidR="008E05B0" w:rsidRDefault="008E05B0" w:rsidP="002C1E78">
            <w:pPr>
              <w:autoSpaceDE w:val="0"/>
              <w:autoSpaceDN w:val="0"/>
              <w:adjustRightInd w:val="0"/>
              <w:jc w:val="center"/>
              <w:rPr>
                <w:rFonts w:ascii="Calibri" w:hAnsi="Calibri"/>
                <w:b/>
                <w:bCs/>
                <w:szCs w:val="20"/>
              </w:rPr>
            </w:pPr>
          </w:p>
        </w:tc>
        <w:tc>
          <w:tcPr>
            <w:tcW w:w="4677" w:type="dxa"/>
            <w:shd w:val="clear" w:color="auto" w:fill="99CCFF"/>
            <w:vAlign w:val="center"/>
          </w:tcPr>
          <w:p w:rsidR="008E05B0" w:rsidRPr="0012172A" w:rsidRDefault="008E05B0" w:rsidP="00BB7D12">
            <w:pPr>
              <w:autoSpaceDE w:val="0"/>
              <w:autoSpaceDN w:val="0"/>
              <w:adjustRightInd w:val="0"/>
              <w:spacing w:before="60" w:after="60"/>
              <w:jc w:val="center"/>
              <w:rPr>
                <w:rFonts w:ascii="Calibri" w:hAnsi="Calibri"/>
                <w:b/>
                <w:sz w:val="22"/>
                <w:szCs w:val="20"/>
              </w:rPr>
            </w:pPr>
            <w:r w:rsidRPr="0012172A">
              <w:rPr>
                <w:rFonts w:ascii="Calibri" w:hAnsi="Calibri"/>
                <w:b/>
                <w:sz w:val="22"/>
                <w:szCs w:val="20"/>
              </w:rPr>
              <w:t>FORMA</w:t>
            </w:r>
          </w:p>
        </w:tc>
        <w:tc>
          <w:tcPr>
            <w:tcW w:w="1985" w:type="dxa"/>
            <w:shd w:val="clear" w:color="auto" w:fill="99CCFF"/>
            <w:vAlign w:val="center"/>
          </w:tcPr>
          <w:p w:rsidR="008E05B0" w:rsidRPr="0012172A" w:rsidRDefault="008E05B0" w:rsidP="00BB7D12">
            <w:pPr>
              <w:autoSpaceDE w:val="0"/>
              <w:autoSpaceDN w:val="0"/>
              <w:adjustRightInd w:val="0"/>
              <w:spacing w:before="60" w:after="60"/>
              <w:jc w:val="center"/>
              <w:rPr>
                <w:rFonts w:ascii="Calibri" w:hAnsi="Calibri"/>
                <w:b/>
                <w:sz w:val="22"/>
                <w:szCs w:val="20"/>
              </w:rPr>
            </w:pPr>
            <w:r w:rsidRPr="0012172A">
              <w:rPr>
                <w:rFonts w:ascii="Calibri" w:hAnsi="Calibri"/>
                <w:b/>
                <w:sz w:val="22"/>
                <w:szCs w:val="20"/>
              </w:rPr>
              <w:t>OKRES</w:t>
            </w:r>
          </w:p>
        </w:tc>
      </w:tr>
      <w:tr w:rsidR="008E05B0" w:rsidTr="00D321C0">
        <w:trPr>
          <w:trHeight w:val="810"/>
        </w:trPr>
        <w:tc>
          <w:tcPr>
            <w:tcW w:w="2197" w:type="dxa"/>
            <w:shd w:val="clear" w:color="auto" w:fill="DDD9C3" w:themeFill="background2" w:themeFillShade="E6"/>
            <w:vAlign w:val="center"/>
          </w:tcPr>
          <w:p w:rsidR="008E05B0" w:rsidRPr="0012172A" w:rsidRDefault="008E05B0" w:rsidP="00BB7D12">
            <w:pPr>
              <w:autoSpaceDE w:val="0"/>
              <w:autoSpaceDN w:val="0"/>
              <w:adjustRightInd w:val="0"/>
              <w:rPr>
                <w:rFonts w:ascii="Calibri" w:hAnsi="Calibri"/>
                <w:b/>
                <w:sz w:val="22"/>
                <w:szCs w:val="20"/>
              </w:rPr>
            </w:pPr>
            <w:r w:rsidRPr="0012172A">
              <w:rPr>
                <w:rFonts w:ascii="Calibri" w:hAnsi="Calibri"/>
                <w:b/>
                <w:sz w:val="22"/>
                <w:szCs w:val="20"/>
              </w:rPr>
              <w:t xml:space="preserve">SPRAWOZDAWCZOŚĆ </w:t>
            </w:r>
          </w:p>
        </w:tc>
        <w:tc>
          <w:tcPr>
            <w:tcW w:w="4677" w:type="dxa"/>
          </w:tcPr>
          <w:p w:rsidR="008E05B0" w:rsidRPr="008E05B0" w:rsidRDefault="008E05B0" w:rsidP="008E05B0">
            <w:pPr>
              <w:numPr>
                <w:ilvl w:val="0"/>
                <w:numId w:val="732"/>
              </w:numPr>
              <w:autoSpaceDE w:val="0"/>
              <w:autoSpaceDN w:val="0"/>
              <w:adjustRightInd w:val="0"/>
              <w:rPr>
                <w:rFonts w:ascii="Calibri" w:hAnsi="Calibri"/>
                <w:szCs w:val="20"/>
              </w:rPr>
            </w:pPr>
            <w:r w:rsidRPr="008E05B0">
              <w:rPr>
                <w:rFonts w:ascii="Calibri" w:hAnsi="Calibri"/>
                <w:b/>
                <w:bCs/>
                <w:i/>
                <w:iCs/>
                <w:szCs w:val="20"/>
              </w:rPr>
              <w:t>do 15 lutego roku następnego</w:t>
            </w:r>
            <w:r w:rsidRPr="008E05B0">
              <w:rPr>
                <w:rFonts w:ascii="Calibri" w:hAnsi="Calibri"/>
                <w:szCs w:val="20"/>
              </w:rPr>
              <w:t xml:space="preserve"> - sprawozdania cząstkowe przygotowywane przez  beneficjentów projektów wpisanych do „Gminnego Programu Rewitalizacji. Bytom 2020+”, </w:t>
            </w:r>
          </w:p>
          <w:p w:rsidR="008E05B0" w:rsidRPr="008E05B0" w:rsidRDefault="008E05B0" w:rsidP="008E05B0">
            <w:pPr>
              <w:numPr>
                <w:ilvl w:val="0"/>
                <w:numId w:val="732"/>
              </w:numPr>
              <w:autoSpaceDE w:val="0"/>
              <w:autoSpaceDN w:val="0"/>
              <w:adjustRightInd w:val="0"/>
              <w:rPr>
                <w:rFonts w:ascii="Calibri" w:hAnsi="Calibri"/>
                <w:szCs w:val="20"/>
              </w:rPr>
            </w:pPr>
            <w:r w:rsidRPr="008E05B0">
              <w:rPr>
                <w:rFonts w:ascii="Calibri" w:hAnsi="Calibri"/>
                <w:b/>
                <w:bCs/>
                <w:i/>
                <w:iCs/>
                <w:szCs w:val="20"/>
              </w:rPr>
              <w:t>do 30 marca roku następnego</w:t>
            </w:r>
            <w:r w:rsidRPr="008E05B0">
              <w:rPr>
                <w:rFonts w:ascii="Calibri" w:hAnsi="Calibri"/>
                <w:szCs w:val="20"/>
              </w:rPr>
              <w:t xml:space="preserve"> – sprawozdanie z realizacji Gminnego Programu Rewitalizacji. Bytom 2020+ na postawie sprawozdań cząstkowych</w:t>
            </w:r>
          </w:p>
        </w:tc>
        <w:tc>
          <w:tcPr>
            <w:tcW w:w="1985" w:type="dxa"/>
          </w:tcPr>
          <w:p w:rsidR="008E05B0" w:rsidRPr="007C2424" w:rsidRDefault="008E05B0" w:rsidP="007C2424">
            <w:pPr>
              <w:rPr>
                <w:rFonts w:ascii="Calibri" w:hAnsi="Calibri"/>
                <w:b/>
              </w:rPr>
            </w:pPr>
            <w:r w:rsidRPr="007C2424">
              <w:rPr>
                <w:rFonts w:ascii="Calibri" w:hAnsi="Calibri"/>
                <w:b/>
              </w:rPr>
              <w:t>Co roku – pierwszy do 30 marca 2018 r.</w:t>
            </w:r>
          </w:p>
          <w:p w:rsidR="008E05B0" w:rsidRPr="008E05B0" w:rsidRDefault="008E05B0" w:rsidP="002C1E78">
            <w:pPr>
              <w:autoSpaceDE w:val="0"/>
              <w:autoSpaceDN w:val="0"/>
              <w:adjustRightInd w:val="0"/>
              <w:rPr>
                <w:rFonts w:ascii="Calibri" w:hAnsi="Calibri"/>
                <w:b/>
                <w:bCs/>
                <w:szCs w:val="20"/>
              </w:rPr>
            </w:pPr>
          </w:p>
        </w:tc>
      </w:tr>
      <w:tr w:rsidR="008E05B0" w:rsidTr="00D321C0">
        <w:trPr>
          <w:trHeight w:val="810"/>
        </w:trPr>
        <w:tc>
          <w:tcPr>
            <w:tcW w:w="2197" w:type="dxa"/>
            <w:shd w:val="clear" w:color="auto" w:fill="DDD9C3" w:themeFill="background2" w:themeFillShade="E6"/>
            <w:vAlign w:val="center"/>
          </w:tcPr>
          <w:p w:rsidR="008E05B0" w:rsidRPr="0012172A" w:rsidRDefault="008E05B0" w:rsidP="00BB7D12">
            <w:pPr>
              <w:autoSpaceDE w:val="0"/>
              <w:autoSpaceDN w:val="0"/>
              <w:adjustRightInd w:val="0"/>
              <w:rPr>
                <w:rFonts w:ascii="Calibri" w:hAnsi="Calibri"/>
                <w:b/>
                <w:sz w:val="22"/>
                <w:szCs w:val="20"/>
              </w:rPr>
            </w:pPr>
            <w:r w:rsidRPr="0012172A">
              <w:rPr>
                <w:rFonts w:ascii="Calibri" w:hAnsi="Calibri"/>
                <w:b/>
                <w:sz w:val="22"/>
                <w:szCs w:val="20"/>
              </w:rPr>
              <w:t xml:space="preserve">MONITORING </w:t>
            </w:r>
          </w:p>
        </w:tc>
        <w:tc>
          <w:tcPr>
            <w:tcW w:w="4677" w:type="dxa"/>
          </w:tcPr>
          <w:p w:rsidR="008E05B0" w:rsidRPr="008E05B0" w:rsidRDefault="008E05B0" w:rsidP="008E05B0">
            <w:pPr>
              <w:numPr>
                <w:ilvl w:val="0"/>
                <w:numId w:val="733"/>
              </w:numPr>
              <w:autoSpaceDE w:val="0"/>
              <w:autoSpaceDN w:val="0"/>
              <w:adjustRightInd w:val="0"/>
              <w:rPr>
                <w:rFonts w:ascii="Calibri" w:hAnsi="Calibri"/>
                <w:szCs w:val="20"/>
              </w:rPr>
            </w:pPr>
            <w:r w:rsidRPr="008E05B0">
              <w:rPr>
                <w:rFonts w:ascii="Calibri" w:hAnsi="Calibri"/>
                <w:b/>
                <w:bCs/>
                <w:i/>
                <w:iCs/>
                <w:szCs w:val="20"/>
              </w:rPr>
              <w:t>do 30 marca co dwa lata</w:t>
            </w:r>
            <w:r w:rsidRPr="008E05B0">
              <w:rPr>
                <w:rFonts w:ascii="Calibri" w:hAnsi="Calibri"/>
                <w:szCs w:val="20"/>
              </w:rPr>
              <w:t xml:space="preserve"> – raport na podstawie wskaźników realizacji celów operacyjnych. Wartości zbierane od wydziałów i jednostek raz na dwa lata.</w:t>
            </w:r>
          </w:p>
        </w:tc>
        <w:tc>
          <w:tcPr>
            <w:tcW w:w="1985" w:type="dxa"/>
          </w:tcPr>
          <w:p w:rsidR="008E05B0" w:rsidRPr="007C2424" w:rsidRDefault="008E05B0" w:rsidP="007C2424">
            <w:pPr>
              <w:rPr>
                <w:rFonts w:ascii="Calibri" w:hAnsi="Calibri"/>
                <w:b/>
              </w:rPr>
            </w:pPr>
            <w:r w:rsidRPr="007C2424">
              <w:rPr>
                <w:rFonts w:ascii="Calibri" w:hAnsi="Calibri"/>
                <w:b/>
              </w:rPr>
              <w:t>Co dwa lata</w:t>
            </w:r>
          </w:p>
          <w:p w:rsidR="008E05B0" w:rsidRPr="008E05B0" w:rsidRDefault="008E05B0" w:rsidP="007C2424">
            <w:pPr>
              <w:rPr>
                <w:rFonts w:ascii="Calibri" w:hAnsi="Calibri"/>
                <w:b/>
                <w:bCs/>
              </w:rPr>
            </w:pPr>
            <w:r w:rsidRPr="007C2424">
              <w:rPr>
                <w:rFonts w:ascii="Calibri" w:hAnsi="Calibri"/>
                <w:b/>
                <w:bCs/>
              </w:rPr>
              <w:t>- pierwszy do 30</w:t>
            </w:r>
            <w:r w:rsidR="00BB7D12" w:rsidRPr="007C2424">
              <w:rPr>
                <w:b/>
                <w:bCs/>
              </w:rPr>
              <w:t> </w:t>
            </w:r>
            <w:r w:rsidRPr="007C2424">
              <w:rPr>
                <w:rFonts w:ascii="Calibri" w:hAnsi="Calibri"/>
                <w:b/>
                <w:bCs/>
              </w:rPr>
              <w:t>marca 2019 r.</w:t>
            </w:r>
            <w:r w:rsidRPr="008E05B0">
              <w:rPr>
                <w:rFonts w:ascii="Calibri" w:hAnsi="Calibri"/>
                <w:b/>
                <w:bCs/>
              </w:rPr>
              <w:t xml:space="preserve"> </w:t>
            </w:r>
          </w:p>
        </w:tc>
      </w:tr>
      <w:tr w:rsidR="008E05B0" w:rsidTr="005C0A93">
        <w:trPr>
          <w:trHeight w:val="810"/>
        </w:trPr>
        <w:tc>
          <w:tcPr>
            <w:tcW w:w="2197" w:type="dxa"/>
            <w:shd w:val="clear" w:color="auto" w:fill="DDD9C3" w:themeFill="background2" w:themeFillShade="E6"/>
            <w:vAlign w:val="center"/>
          </w:tcPr>
          <w:p w:rsidR="008E05B0" w:rsidRPr="0012172A" w:rsidRDefault="008E05B0" w:rsidP="00BB7D12">
            <w:pPr>
              <w:autoSpaceDE w:val="0"/>
              <w:autoSpaceDN w:val="0"/>
              <w:adjustRightInd w:val="0"/>
              <w:rPr>
                <w:rFonts w:ascii="Calibri" w:hAnsi="Calibri"/>
                <w:b/>
                <w:sz w:val="22"/>
                <w:szCs w:val="20"/>
              </w:rPr>
            </w:pPr>
            <w:r w:rsidRPr="0012172A">
              <w:rPr>
                <w:rFonts w:ascii="Calibri" w:hAnsi="Calibri"/>
                <w:b/>
                <w:sz w:val="22"/>
                <w:szCs w:val="20"/>
              </w:rPr>
              <w:t>EWALUACJA</w:t>
            </w:r>
          </w:p>
        </w:tc>
        <w:tc>
          <w:tcPr>
            <w:tcW w:w="4677" w:type="dxa"/>
          </w:tcPr>
          <w:p w:rsidR="008E05B0" w:rsidRPr="008E05B0" w:rsidRDefault="008E05B0" w:rsidP="002C1E78">
            <w:pPr>
              <w:autoSpaceDE w:val="0"/>
              <w:autoSpaceDN w:val="0"/>
              <w:adjustRightInd w:val="0"/>
              <w:rPr>
                <w:rFonts w:ascii="Calibri" w:hAnsi="Calibri"/>
                <w:szCs w:val="20"/>
              </w:rPr>
            </w:pPr>
            <w:r w:rsidRPr="008E05B0">
              <w:rPr>
                <w:rFonts w:ascii="Calibri" w:hAnsi="Calibri"/>
                <w:szCs w:val="20"/>
              </w:rPr>
              <w:t>Bieżąca analiza wpływu podejmowanych działań rewitalizacyjnych na realne zmiany sytuacji obszaru. Zlecanie ekspertyz dot. oceny sytuacji w obszarze rewitalizacji (działania planowane w ramach pilotażu)</w:t>
            </w:r>
          </w:p>
        </w:tc>
        <w:tc>
          <w:tcPr>
            <w:tcW w:w="1985" w:type="dxa"/>
            <w:shd w:val="clear" w:color="auto" w:fill="D9D9D9" w:themeFill="background1" w:themeFillShade="D9"/>
          </w:tcPr>
          <w:p w:rsidR="008E05B0" w:rsidRPr="008E05B0" w:rsidRDefault="008E05B0" w:rsidP="005C0A93">
            <w:pPr>
              <w:autoSpaceDE w:val="0"/>
              <w:autoSpaceDN w:val="0"/>
              <w:adjustRightInd w:val="0"/>
              <w:rPr>
                <w:rFonts w:ascii="Calibri" w:hAnsi="Calibri"/>
                <w:szCs w:val="20"/>
              </w:rPr>
            </w:pPr>
            <w:r w:rsidRPr="008E05B0">
              <w:rPr>
                <w:rFonts w:ascii="Calibri" w:hAnsi="Calibri"/>
                <w:szCs w:val="20"/>
              </w:rPr>
              <w:t xml:space="preserve">Korekty GPR będą wprowadzane </w:t>
            </w:r>
            <w:r w:rsidRPr="008E05B0">
              <w:rPr>
                <w:rFonts w:ascii="Calibri" w:hAnsi="Calibri"/>
                <w:b/>
                <w:bCs/>
                <w:i/>
                <w:iCs/>
                <w:szCs w:val="20"/>
              </w:rPr>
              <w:t>w</w:t>
            </w:r>
            <w:r w:rsidR="008E6A9F">
              <w:rPr>
                <w:b/>
                <w:bCs/>
                <w:i/>
                <w:iCs/>
                <w:szCs w:val="20"/>
              </w:rPr>
              <w:t> </w:t>
            </w:r>
            <w:r w:rsidRPr="008E05B0">
              <w:rPr>
                <w:rFonts w:ascii="Calibri" w:hAnsi="Calibri"/>
                <w:b/>
                <w:bCs/>
                <w:i/>
                <w:iCs/>
                <w:szCs w:val="20"/>
              </w:rPr>
              <w:t>miarę potrzeb</w:t>
            </w:r>
            <w:r w:rsidR="005C0A93">
              <w:rPr>
                <w:rFonts w:ascii="Calibri" w:hAnsi="Calibri"/>
                <w:b/>
                <w:bCs/>
                <w:i/>
                <w:iCs/>
                <w:szCs w:val="20"/>
              </w:rPr>
              <w:t>.</w:t>
            </w:r>
            <w:r w:rsidRPr="008E05B0">
              <w:rPr>
                <w:rFonts w:ascii="Calibri" w:hAnsi="Calibri"/>
                <w:b/>
                <w:bCs/>
                <w:i/>
                <w:iCs/>
                <w:szCs w:val="20"/>
              </w:rPr>
              <w:t xml:space="preserve"> </w:t>
            </w:r>
          </w:p>
        </w:tc>
      </w:tr>
    </w:tbl>
    <w:p w:rsidR="005F3737" w:rsidRDefault="005F3737" w:rsidP="005F3737">
      <w:pPr>
        <w:suppressAutoHyphens/>
        <w:spacing w:before="60"/>
        <w:jc w:val="both"/>
        <w:rPr>
          <w:i/>
          <w:sz w:val="18"/>
          <w:szCs w:val="18"/>
        </w:rPr>
      </w:pPr>
      <w:r>
        <w:rPr>
          <w:i/>
          <w:sz w:val="18"/>
          <w:szCs w:val="18"/>
        </w:rPr>
        <w:t xml:space="preserve">Źródło: </w:t>
      </w:r>
      <w:r w:rsidR="002437D8">
        <w:rPr>
          <w:i/>
          <w:sz w:val="18"/>
          <w:szCs w:val="18"/>
        </w:rPr>
        <w:t>Opracowanie własne</w:t>
      </w:r>
    </w:p>
    <w:p w:rsidR="008E05B0" w:rsidRDefault="008E05B0" w:rsidP="008E05B0">
      <w:pPr>
        <w:suppressAutoHyphens/>
        <w:jc w:val="both"/>
        <w:rPr>
          <w:rFonts w:eastAsia="Lucida Sans Unicode" w:cs="Mangal"/>
          <w:kern w:val="2"/>
          <w:szCs w:val="20"/>
          <w:lang w:eastAsia="hi-IN" w:bidi="hi-IN"/>
        </w:rPr>
      </w:pPr>
    </w:p>
    <w:p w:rsidR="00290AB7" w:rsidRDefault="00290AB7" w:rsidP="008E6A9F">
      <w:pPr>
        <w:suppressAutoHyphens/>
        <w:spacing w:after="60"/>
        <w:ind w:firstLine="709"/>
        <w:jc w:val="both"/>
        <w:rPr>
          <w:rFonts w:eastAsia="Lucida Sans Unicode" w:cs="Mangal"/>
          <w:kern w:val="2"/>
          <w:szCs w:val="20"/>
          <w:lang w:eastAsia="hi-IN" w:bidi="hi-IN"/>
        </w:rPr>
      </w:pPr>
      <w:r>
        <w:rPr>
          <w:rFonts w:eastAsia="Lucida Sans Unicode" w:cs="Mangal"/>
          <w:kern w:val="2"/>
          <w:szCs w:val="20"/>
          <w:lang w:eastAsia="hi-IN" w:bidi="hi-IN"/>
        </w:rPr>
        <w:t xml:space="preserve">Monitoring realizacji programu stanowi nawiązanie do wykonanych w ramach prac nad GPR-em diagnoz, w szczególności problemów, których łagodzenie zakłada się w procesie rewitalizacji. Wskaźniki wykorzystywane w monitoringu dotyczą osiągania zdefiniowanych celów oraz </w:t>
      </w:r>
      <w:r w:rsidR="0020326F">
        <w:rPr>
          <w:rFonts w:eastAsia="Lucida Sans Unicode" w:cs="Mangal"/>
          <w:kern w:val="2"/>
          <w:szCs w:val="20"/>
          <w:lang w:eastAsia="hi-IN" w:bidi="hi-IN"/>
        </w:rPr>
        <w:t xml:space="preserve">oceny </w:t>
      </w:r>
      <w:r>
        <w:rPr>
          <w:rFonts w:eastAsia="Lucida Sans Unicode" w:cs="Mangal"/>
          <w:kern w:val="2"/>
          <w:szCs w:val="20"/>
          <w:lang w:eastAsia="hi-IN" w:bidi="hi-IN"/>
        </w:rPr>
        <w:t>sytuacji na obszarach poddanych rewitalizacji.</w:t>
      </w:r>
    </w:p>
    <w:p w:rsidR="003F7A14" w:rsidRDefault="003F7A14" w:rsidP="009C1D86">
      <w:pPr>
        <w:shd w:val="clear" w:color="auto" w:fill="F2F2F2" w:themeFill="background1" w:themeFillShade="F2"/>
        <w:suppressAutoHyphens/>
        <w:ind w:firstLine="708"/>
        <w:jc w:val="both"/>
      </w:pPr>
      <w:r>
        <w:t xml:space="preserve">Monitorowanie służy zagwarantowaniu realizacji celów operacyjnych określonych w Programie (monitoring rzeczowy) oraz odpowiedniej absorpcji środków nań przewidzianych (monitoring finansowy). Mierzeniu postępu realizacji celów oraz ocenie efektywności wdrażania w ujęciu rzeczowym i finansowym służą wskaźniki Programu. Przedstawiony poniżej system monitorowania uwzględnia współfinansowanie projektów ze środków zewnętrznych w tym m.in. RPO WSL na lata 2014-2020 oraz programu </w:t>
      </w:r>
      <w:r w:rsidRPr="003D7B27">
        <w:rPr>
          <w:bCs/>
        </w:rPr>
        <w:t>Fundusze Europejskie dla Śląskiego na lata 2021-2027 (FESL 2021-2027)</w:t>
      </w:r>
      <w:r w:rsidRPr="003D7B27">
        <w:t>.</w:t>
      </w:r>
      <w:r>
        <w:t xml:space="preserve"> Z monitoringiem ściśle związana jest sprawozdawczość, obejmująca zbieranie informacji dotyczących wdrażania Programu z uwzględnieniem celów i działań w postaci danych liczbowych, finansowych, wskaźników i innego rodzaju informacji oraz przekazywanie ich odpowiednim podmiotom w określonej formie i terminach dla potrzeb monitorowania celów i efektów rzeczowych.</w:t>
      </w:r>
    </w:p>
    <w:p w:rsidR="003F7A14" w:rsidRDefault="003F7A14" w:rsidP="009C1D86">
      <w:pPr>
        <w:shd w:val="clear" w:color="auto" w:fill="F2F2F2" w:themeFill="background1" w:themeFillShade="F2"/>
        <w:suppressAutoHyphens/>
        <w:jc w:val="both"/>
        <w:rPr>
          <w:rFonts w:eastAsia="Lucida Sans Unicode" w:cs="Mangal"/>
          <w:kern w:val="2"/>
          <w:szCs w:val="20"/>
          <w:lang w:eastAsia="hi-IN" w:bidi="hi-IN"/>
        </w:rPr>
      </w:pPr>
      <w:r>
        <w:rPr>
          <w:rFonts w:eastAsia="Lucida Sans Unicode" w:cs="Mangal"/>
          <w:kern w:val="2"/>
          <w:szCs w:val="20"/>
          <w:lang w:eastAsia="hi-IN" w:bidi="hi-IN"/>
        </w:rPr>
        <w:t>W tabeli 35 zaprezentowano system wskaźników służących określeniu poziomu realizacji celów GPR.</w:t>
      </w:r>
    </w:p>
    <w:p w:rsidR="0093272F" w:rsidRDefault="0093272F" w:rsidP="00290AB7">
      <w:pPr>
        <w:suppressAutoHyphens/>
        <w:jc w:val="both"/>
        <w:rPr>
          <w:rFonts w:eastAsia="Lucida Sans Unicode" w:cs="Mangal"/>
          <w:kern w:val="2"/>
          <w:szCs w:val="20"/>
          <w:lang w:eastAsia="hi-IN" w:bidi="hi-IN"/>
        </w:rPr>
      </w:pPr>
    </w:p>
    <w:p w:rsidR="00290AB7" w:rsidRDefault="00290AB7" w:rsidP="00634DD0">
      <w:pPr>
        <w:pStyle w:val="Legenda"/>
        <w:keepNext/>
        <w:spacing w:after="60"/>
      </w:pPr>
      <w:bookmarkStart w:id="9168" w:name="_Toc467761902"/>
      <w:bookmarkStart w:id="9169" w:name="_Toc202771128"/>
      <w:r>
        <w:t xml:space="preserve">Tabela </w:t>
      </w:r>
      <w:fldSimple w:instr=" SEQ Tabela \* ARABIC ">
        <w:r w:rsidR="00413FFE">
          <w:rPr>
            <w:noProof/>
          </w:rPr>
          <w:t>34</w:t>
        </w:r>
      </w:fldSimple>
      <w:r>
        <w:t>. Wskaźniki realizacji celów GPR</w:t>
      </w:r>
      <w:bookmarkEnd w:id="9168"/>
      <w:bookmarkEnd w:id="9169"/>
    </w:p>
    <w:tbl>
      <w:tblPr>
        <w:tblW w:w="5000" w:type="pct"/>
        <w:tblInd w:w="-8" w:type="dxa"/>
        <w:tblCellMar>
          <w:left w:w="10" w:type="dxa"/>
          <w:right w:w="10" w:type="dxa"/>
        </w:tblCellMar>
        <w:tblLook w:val="0000"/>
      </w:tblPr>
      <w:tblGrid>
        <w:gridCol w:w="4554"/>
        <w:gridCol w:w="4536"/>
      </w:tblGrid>
      <w:tr w:rsidR="00290AB7" w:rsidRPr="00470146" w:rsidTr="00470146">
        <w:tc>
          <w:tcPr>
            <w:tcW w:w="5000" w:type="pct"/>
            <w:gridSpan w:val="2"/>
            <w:tcBorders>
              <w:top w:val="single" w:sz="4" w:space="0" w:color="000000"/>
              <w:left w:val="single" w:sz="4" w:space="0" w:color="000000"/>
              <w:bottom w:val="single" w:sz="4" w:space="0" w:color="000000"/>
              <w:right w:val="single" w:sz="4" w:space="0" w:color="000000"/>
            </w:tcBorders>
            <w:shd w:val="clear" w:color="auto" w:fill="99CCFF"/>
          </w:tcPr>
          <w:p w:rsidR="00290AB7" w:rsidRPr="00470146" w:rsidRDefault="00290AB7" w:rsidP="00470146">
            <w:pPr>
              <w:suppressAutoHyphens/>
              <w:spacing w:before="40" w:after="40"/>
              <w:jc w:val="center"/>
              <w:rPr>
                <w:sz w:val="22"/>
                <w:szCs w:val="20"/>
              </w:rPr>
            </w:pPr>
            <w:r w:rsidRPr="00470146">
              <w:rPr>
                <w:b/>
                <w:bCs/>
                <w:sz w:val="22"/>
                <w:szCs w:val="20"/>
              </w:rPr>
              <w:t>CEL STRATEGICZNY  1</w:t>
            </w:r>
          </w:p>
          <w:p w:rsidR="00290AB7" w:rsidRPr="00470146" w:rsidRDefault="00290AB7" w:rsidP="00470146">
            <w:pPr>
              <w:suppressAutoHyphens/>
              <w:spacing w:before="40" w:after="40"/>
              <w:jc w:val="center"/>
              <w:rPr>
                <w:b/>
                <w:bCs/>
                <w:szCs w:val="20"/>
              </w:rPr>
            </w:pPr>
            <w:r w:rsidRPr="00470146">
              <w:rPr>
                <w:b/>
                <w:bCs/>
                <w:sz w:val="22"/>
                <w:szCs w:val="20"/>
              </w:rPr>
              <w:t>Utworzenie konkurencyjnej struktury gospodarczej, opartej na przedsiębiorczości mieszkańców, zapewniającej atrakcyjne miejsca pracy</w:t>
            </w:r>
          </w:p>
        </w:tc>
      </w:tr>
      <w:tr w:rsidR="00290AB7" w:rsidRPr="00470146" w:rsidTr="008E6A9F">
        <w:tc>
          <w:tcPr>
            <w:tcW w:w="2505" w:type="pct"/>
            <w:tcBorders>
              <w:top w:val="single" w:sz="4" w:space="0" w:color="000000"/>
              <w:left w:val="single" w:sz="4" w:space="0" w:color="000000"/>
              <w:bottom w:val="single" w:sz="4" w:space="0" w:color="000000"/>
              <w:right w:val="single" w:sz="4" w:space="0" w:color="000000"/>
            </w:tcBorders>
          </w:tcPr>
          <w:p w:rsidR="00290AB7" w:rsidRPr="00470146" w:rsidRDefault="00290AB7" w:rsidP="00371563">
            <w:pPr>
              <w:suppressAutoHyphens/>
              <w:ind w:left="57"/>
              <w:jc w:val="both"/>
              <w:rPr>
                <w:b/>
                <w:bCs/>
                <w:szCs w:val="20"/>
              </w:rPr>
            </w:pPr>
            <w:r w:rsidRPr="00470146">
              <w:rPr>
                <w:b/>
                <w:bCs/>
                <w:szCs w:val="20"/>
              </w:rPr>
              <w:t>CEL OPERACYJNY 1.1</w:t>
            </w:r>
            <w:r w:rsidRPr="00470146">
              <w:rPr>
                <w:b/>
                <w:bCs/>
                <w:szCs w:val="20"/>
              </w:rPr>
              <w:tab/>
            </w:r>
          </w:p>
          <w:p w:rsidR="00290AB7" w:rsidRPr="00470146" w:rsidRDefault="00290AB7" w:rsidP="008E6A9F">
            <w:pPr>
              <w:suppressAutoHyphens/>
              <w:ind w:left="57"/>
              <w:rPr>
                <w:szCs w:val="20"/>
              </w:rPr>
            </w:pPr>
            <w:r w:rsidRPr="00470146">
              <w:rPr>
                <w:szCs w:val="20"/>
              </w:rPr>
              <w:t>Wysoki poziom przedsiębiorczości mieszkańców kompensujący niedobory miejsc pracy w</w:t>
            </w:r>
            <w:r w:rsidR="008E6A9F">
              <w:rPr>
                <w:szCs w:val="20"/>
              </w:rPr>
              <w:t> </w:t>
            </w:r>
            <w:r w:rsidRPr="00470146">
              <w:rPr>
                <w:szCs w:val="20"/>
              </w:rPr>
              <w:t>mieście</w:t>
            </w:r>
          </w:p>
        </w:tc>
        <w:tc>
          <w:tcPr>
            <w:tcW w:w="2495" w:type="pct"/>
            <w:tcBorders>
              <w:top w:val="single" w:sz="4" w:space="0" w:color="000000"/>
              <w:left w:val="single" w:sz="4" w:space="0" w:color="000000"/>
              <w:bottom w:val="single" w:sz="4" w:space="0" w:color="000000"/>
              <w:right w:val="single" w:sz="4" w:space="0" w:color="000000"/>
            </w:tcBorders>
          </w:tcPr>
          <w:p w:rsidR="00AE76C5" w:rsidRPr="00766EF0" w:rsidRDefault="00E362A0" w:rsidP="005B6117">
            <w:pPr>
              <w:pStyle w:val="Akapitzlist"/>
              <w:numPr>
                <w:ilvl w:val="0"/>
                <w:numId w:val="98"/>
              </w:numPr>
              <w:suppressAutoHyphens/>
              <w:spacing w:after="0" w:line="240" w:lineRule="auto"/>
              <w:ind w:left="414" w:hanging="357"/>
              <w:rPr>
                <w:rFonts w:asciiTheme="minorHAnsi" w:hAnsiTheme="minorHAnsi"/>
                <w:color w:val="000000"/>
                <w:kern w:val="2"/>
                <w:sz w:val="20"/>
                <w:szCs w:val="20"/>
                <w:lang w:eastAsia="hi-IN" w:bidi="hi-IN"/>
              </w:rPr>
            </w:pPr>
            <w:r w:rsidRPr="00766EF0">
              <w:rPr>
                <w:rFonts w:asciiTheme="minorHAnsi" w:hAnsiTheme="minorHAnsi"/>
                <w:kern w:val="2"/>
                <w:sz w:val="20"/>
                <w:szCs w:val="20"/>
                <w:lang w:eastAsia="hi-IN" w:bidi="hi-IN"/>
              </w:rPr>
              <w:t>Liczba</w:t>
            </w:r>
            <w:r w:rsidR="0093272F" w:rsidRPr="00766EF0">
              <w:rPr>
                <w:rFonts w:asciiTheme="minorHAnsi" w:hAnsiTheme="minorHAnsi"/>
                <w:kern w:val="2"/>
                <w:sz w:val="20"/>
                <w:szCs w:val="20"/>
                <w:lang w:eastAsia="hi-IN" w:bidi="hi-IN"/>
              </w:rPr>
              <w:t xml:space="preserve"> osób bezrobotnych z obszaru rewitalizacji, które założyły własną firmę </w:t>
            </w:r>
            <w:r w:rsidR="0093272F" w:rsidRPr="00F655F2">
              <w:rPr>
                <w:rFonts w:asciiTheme="minorHAnsi" w:hAnsiTheme="minorHAnsi"/>
                <w:color w:val="0070C0"/>
                <w:sz w:val="20"/>
                <w:szCs w:val="20"/>
              </w:rPr>
              <w:t>(</w:t>
            </w:r>
            <w:r w:rsidR="0093272F" w:rsidRPr="00F655F2">
              <w:rPr>
                <w:rFonts w:asciiTheme="minorHAnsi" w:hAnsiTheme="minorHAnsi"/>
                <w:color w:val="0070C0"/>
                <w:sz w:val="20"/>
                <w:szCs w:val="20"/>
              </w:rPr>
              <w:sym w:font="Wingdings 3" w:char="F06B"/>
            </w:r>
            <w:r w:rsidR="0093272F" w:rsidRPr="00F655F2">
              <w:rPr>
                <w:rFonts w:asciiTheme="minorHAnsi" w:hAnsiTheme="minorHAnsi"/>
                <w:color w:val="0070C0"/>
                <w:sz w:val="20"/>
                <w:szCs w:val="20"/>
              </w:rPr>
              <w:t>)</w:t>
            </w:r>
            <w:r w:rsidR="0093272F" w:rsidRPr="00766EF0">
              <w:rPr>
                <w:rFonts w:asciiTheme="minorHAnsi" w:hAnsiTheme="minorHAnsi"/>
                <w:kern w:val="2"/>
                <w:sz w:val="20"/>
                <w:szCs w:val="20"/>
                <w:lang w:eastAsia="hi-IN" w:bidi="hi-IN"/>
              </w:rPr>
              <w:t>,</w:t>
            </w:r>
          </w:p>
          <w:p w:rsidR="0093272F" w:rsidRPr="00766EF0" w:rsidRDefault="00E362A0" w:rsidP="005B6117">
            <w:pPr>
              <w:pStyle w:val="Akapitzlist"/>
              <w:numPr>
                <w:ilvl w:val="0"/>
                <w:numId w:val="98"/>
              </w:numPr>
              <w:suppressAutoHyphens/>
              <w:spacing w:after="0" w:line="240" w:lineRule="auto"/>
              <w:ind w:left="414" w:hanging="357"/>
              <w:rPr>
                <w:rFonts w:asciiTheme="minorHAnsi" w:hAnsiTheme="minorHAnsi"/>
                <w:color w:val="000000"/>
                <w:kern w:val="2"/>
                <w:sz w:val="20"/>
                <w:szCs w:val="20"/>
                <w:lang w:eastAsia="hi-IN" w:bidi="hi-IN"/>
              </w:rPr>
            </w:pPr>
            <w:r w:rsidRPr="00766EF0">
              <w:rPr>
                <w:rFonts w:asciiTheme="minorHAnsi" w:hAnsiTheme="minorHAnsi"/>
                <w:color w:val="000000"/>
                <w:kern w:val="2"/>
                <w:sz w:val="20"/>
                <w:szCs w:val="20"/>
                <w:lang w:eastAsia="hi-IN" w:bidi="hi-IN"/>
              </w:rPr>
              <w:t>Liczba</w:t>
            </w:r>
            <w:r w:rsidR="0093272F" w:rsidRPr="00766EF0">
              <w:rPr>
                <w:rFonts w:asciiTheme="minorHAnsi" w:hAnsiTheme="minorHAnsi"/>
                <w:color w:val="000000"/>
                <w:kern w:val="2"/>
                <w:sz w:val="20"/>
                <w:szCs w:val="20"/>
                <w:lang w:eastAsia="hi-IN" w:bidi="hi-IN"/>
              </w:rPr>
              <w:t xml:space="preserve"> ofert pracy zgłaszanych do PUP przez bytomskie firmy </w:t>
            </w:r>
            <w:r w:rsidR="0093272F" w:rsidRPr="00766EF0">
              <w:rPr>
                <w:rFonts w:asciiTheme="minorHAnsi" w:hAnsiTheme="minorHAnsi"/>
                <w:color w:val="0070C0"/>
                <w:sz w:val="20"/>
                <w:szCs w:val="20"/>
              </w:rPr>
              <w:t>(</w:t>
            </w:r>
            <w:r w:rsidR="0093272F" w:rsidRPr="00766EF0">
              <w:rPr>
                <w:rFonts w:asciiTheme="minorHAnsi" w:hAnsiTheme="minorHAnsi"/>
                <w:color w:val="0070C0"/>
                <w:sz w:val="20"/>
                <w:szCs w:val="20"/>
              </w:rPr>
              <w:sym w:font="Wingdings 3" w:char="F06B"/>
            </w:r>
            <w:r w:rsidR="0093272F" w:rsidRPr="00766EF0">
              <w:rPr>
                <w:rFonts w:asciiTheme="minorHAnsi" w:hAnsiTheme="minorHAnsi"/>
                <w:color w:val="0070C0"/>
                <w:sz w:val="20"/>
                <w:szCs w:val="20"/>
              </w:rPr>
              <w:t>)</w:t>
            </w:r>
            <w:r w:rsidR="0093272F" w:rsidRPr="00766EF0">
              <w:rPr>
                <w:rFonts w:asciiTheme="minorHAnsi" w:hAnsiTheme="minorHAnsi"/>
                <w:color w:val="000000"/>
                <w:kern w:val="2"/>
                <w:sz w:val="20"/>
                <w:szCs w:val="20"/>
                <w:lang w:eastAsia="hi-IN" w:bidi="hi-IN"/>
              </w:rPr>
              <w:t>,</w:t>
            </w:r>
          </w:p>
          <w:p w:rsidR="0093272F" w:rsidRPr="00766EF0" w:rsidRDefault="00E362A0" w:rsidP="005B6117">
            <w:pPr>
              <w:pStyle w:val="Akapitzlist"/>
              <w:numPr>
                <w:ilvl w:val="0"/>
                <w:numId w:val="98"/>
              </w:numPr>
              <w:suppressAutoHyphens/>
              <w:spacing w:after="0" w:line="240" w:lineRule="auto"/>
              <w:ind w:left="414" w:hanging="357"/>
              <w:rPr>
                <w:rFonts w:asciiTheme="minorHAnsi" w:hAnsiTheme="minorHAnsi"/>
                <w:color w:val="000000"/>
                <w:kern w:val="2"/>
                <w:sz w:val="20"/>
                <w:szCs w:val="20"/>
                <w:lang w:eastAsia="hi-IN" w:bidi="hi-IN"/>
              </w:rPr>
            </w:pPr>
            <w:r w:rsidRPr="00766EF0">
              <w:rPr>
                <w:rFonts w:asciiTheme="minorHAnsi" w:hAnsiTheme="minorHAnsi"/>
                <w:color w:val="000000"/>
                <w:kern w:val="2"/>
                <w:sz w:val="20"/>
                <w:szCs w:val="20"/>
                <w:lang w:eastAsia="hi-IN" w:bidi="hi-IN"/>
              </w:rPr>
              <w:t>Liczba</w:t>
            </w:r>
            <w:r w:rsidR="0093272F" w:rsidRPr="00766EF0">
              <w:rPr>
                <w:rFonts w:asciiTheme="minorHAnsi" w:hAnsiTheme="minorHAnsi"/>
                <w:color w:val="000000"/>
                <w:kern w:val="2"/>
                <w:sz w:val="20"/>
                <w:szCs w:val="20"/>
                <w:lang w:eastAsia="hi-IN" w:bidi="hi-IN"/>
              </w:rPr>
              <w:t xml:space="preserve"> projektów realizowanych na obszarze rewitalizacji przez podmioty z różnych sektorów w</w:t>
            </w:r>
            <w:r w:rsidR="0083358D">
              <w:rPr>
                <w:rFonts w:asciiTheme="minorHAnsi" w:hAnsiTheme="minorHAnsi"/>
                <w:color w:val="000000"/>
                <w:kern w:val="2"/>
                <w:sz w:val="20"/>
                <w:szCs w:val="20"/>
                <w:lang w:eastAsia="hi-IN" w:bidi="hi-IN"/>
              </w:rPr>
              <w:t> </w:t>
            </w:r>
            <w:r w:rsidR="0093272F" w:rsidRPr="00766EF0">
              <w:rPr>
                <w:rFonts w:asciiTheme="minorHAnsi" w:hAnsiTheme="minorHAnsi"/>
                <w:color w:val="000000"/>
                <w:kern w:val="2"/>
                <w:sz w:val="20"/>
                <w:szCs w:val="20"/>
                <w:lang w:eastAsia="hi-IN" w:bidi="hi-IN"/>
              </w:rPr>
              <w:t xml:space="preserve">zakresie promocji samozatrudnienia </w:t>
            </w:r>
            <w:r w:rsidR="0093272F" w:rsidRPr="00766EF0">
              <w:rPr>
                <w:rFonts w:asciiTheme="minorHAnsi" w:hAnsiTheme="minorHAnsi"/>
                <w:color w:val="0070C0"/>
                <w:sz w:val="20"/>
                <w:szCs w:val="20"/>
              </w:rPr>
              <w:t>(</w:t>
            </w:r>
            <w:r w:rsidR="0093272F" w:rsidRPr="00766EF0">
              <w:rPr>
                <w:rFonts w:asciiTheme="minorHAnsi" w:hAnsiTheme="minorHAnsi"/>
                <w:color w:val="0070C0"/>
                <w:sz w:val="20"/>
                <w:szCs w:val="20"/>
              </w:rPr>
              <w:sym w:font="Wingdings 3" w:char="F06B"/>
            </w:r>
            <w:r w:rsidR="0093272F" w:rsidRPr="00766EF0">
              <w:rPr>
                <w:rFonts w:asciiTheme="minorHAnsi" w:hAnsiTheme="minorHAnsi"/>
                <w:color w:val="0070C0"/>
                <w:sz w:val="20"/>
                <w:szCs w:val="20"/>
              </w:rPr>
              <w:t>)</w:t>
            </w:r>
            <w:r>
              <w:rPr>
                <w:rFonts w:asciiTheme="minorHAnsi" w:hAnsiTheme="minorHAnsi"/>
                <w:sz w:val="20"/>
                <w:szCs w:val="20"/>
              </w:rPr>
              <w:t>.</w:t>
            </w:r>
          </w:p>
        </w:tc>
      </w:tr>
      <w:tr w:rsidR="00290AB7" w:rsidRPr="00470146" w:rsidTr="008E6A9F">
        <w:tc>
          <w:tcPr>
            <w:tcW w:w="2505" w:type="pct"/>
            <w:tcBorders>
              <w:top w:val="single" w:sz="4" w:space="0" w:color="000000"/>
              <w:left w:val="single" w:sz="4" w:space="0" w:color="000000"/>
              <w:bottom w:val="single" w:sz="4" w:space="0" w:color="000000"/>
              <w:right w:val="single" w:sz="4" w:space="0" w:color="000000"/>
            </w:tcBorders>
          </w:tcPr>
          <w:p w:rsidR="00290AB7" w:rsidRPr="00470146" w:rsidRDefault="00290AB7" w:rsidP="00371563">
            <w:pPr>
              <w:suppressAutoHyphens/>
              <w:ind w:left="57"/>
              <w:jc w:val="both"/>
              <w:rPr>
                <w:b/>
                <w:bCs/>
                <w:szCs w:val="20"/>
              </w:rPr>
            </w:pPr>
            <w:r w:rsidRPr="00470146">
              <w:rPr>
                <w:b/>
                <w:bCs/>
                <w:szCs w:val="20"/>
              </w:rPr>
              <w:t xml:space="preserve">CEL OPERACYJNY 1.2 </w:t>
            </w:r>
            <w:r w:rsidRPr="00470146">
              <w:rPr>
                <w:b/>
                <w:bCs/>
                <w:szCs w:val="20"/>
              </w:rPr>
              <w:tab/>
            </w:r>
          </w:p>
          <w:p w:rsidR="00290AB7" w:rsidRPr="00470146" w:rsidRDefault="00290AB7" w:rsidP="009B65B0">
            <w:pPr>
              <w:suppressAutoHyphens/>
              <w:ind w:left="57"/>
              <w:rPr>
                <w:szCs w:val="20"/>
              </w:rPr>
            </w:pPr>
            <w:r w:rsidRPr="00470146">
              <w:rPr>
                <w:szCs w:val="20"/>
              </w:rPr>
              <w:t>Dogodne warunki dla rozwoju firm lokalnych</w:t>
            </w:r>
          </w:p>
        </w:tc>
        <w:tc>
          <w:tcPr>
            <w:tcW w:w="2495" w:type="pct"/>
            <w:tcBorders>
              <w:top w:val="single" w:sz="4" w:space="0" w:color="000000"/>
              <w:left w:val="single" w:sz="4" w:space="0" w:color="000000"/>
              <w:bottom w:val="single" w:sz="4" w:space="0" w:color="000000"/>
              <w:right w:val="single" w:sz="4" w:space="0" w:color="000000"/>
            </w:tcBorders>
          </w:tcPr>
          <w:p w:rsidR="00AE76C5" w:rsidRPr="00766EF0" w:rsidRDefault="00E362A0" w:rsidP="005B6117">
            <w:pPr>
              <w:pStyle w:val="Akapitzlist"/>
              <w:numPr>
                <w:ilvl w:val="0"/>
                <w:numId w:val="98"/>
              </w:numPr>
              <w:suppressAutoHyphens/>
              <w:spacing w:after="0" w:line="240" w:lineRule="auto"/>
              <w:ind w:left="414" w:hanging="357"/>
              <w:rPr>
                <w:rFonts w:asciiTheme="minorHAnsi" w:hAnsiTheme="minorHAnsi"/>
                <w:color w:val="000000"/>
                <w:kern w:val="2"/>
                <w:sz w:val="20"/>
                <w:szCs w:val="20"/>
                <w:lang w:eastAsia="hi-IN" w:bidi="hi-IN"/>
              </w:rPr>
            </w:pPr>
            <w:r w:rsidRPr="00146E69">
              <w:rPr>
                <w:rFonts w:asciiTheme="minorHAnsi" w:hAnsiTheme="minorHAnsi"/>
                <w:kern w:val="2"/>
                <w:sz w:val="20"/>
                <w:szCs w:val="20"/>
                <w:lang w:eastAsia="hi-IN" w:bidi="hi-IN"/>
              </w:rPr>
              <w:t>Liczba</w:t>
            </w:r>
            <w:r w:rsidR="0093272F" w:rsidRPr="00146E69">
              <w:rPr>
                <w:rFonts w:asciiTheme="minorHAnsi" w:hAnsiTheme="minorHAnsi"/>
                <w:kern w:val="2"/>
                <w:sz w:val="20"/>
                <w:szCs w:val="20"/>
                <w:lang w:eastAsia="hi-IN" w:bidi="hi-IN"/>
              </w:rPr>
              <w:t xml:space="preserve"> podmiotów zarejestrowanych w CEIDG na 100 osób</w:t>
            </w:r>
            <w:r w:rsidR="0093272F" w:rsidRPr="00766EF0">
              <w:rPr>
                <w:rFonts w:asciiTheme="minorHAnsi" w:hAnsiTheme="minorHAnsi"/>
                <w:color w:val="FF0000"/>
                <w:kern w:val="2"/>
                <w:sz w:val="20"/>
                <w:szCs w:val="20"/>
                <w:lang w:eastAsia="hi-IN" w:bidi="hi-IN"/>
              </w:rPr>
              <w:t xml:space="preserve"> </w:t>
            </w:r>
            <w:r w:rsidR="0093272F" w:rsidRPr="00766EF0">
              <w:rPr>
                <w:rFonts w:asciiTheme="minorHAnsi" w:hAnsiTheme="minorHAnsi"/>
                <w:color w:val="0070C0"/>
                <w:sz w:val="20"/>
                <w:szCs w:val="20"/>
              </w:rPr>
              <w:t>(</w:t>
            </w:r>
            <w:r w:rsidR="0093272F" w:rsidRPr="00766EF0">
              <w:rPr>
                <w:rFonts w:asciiTheme="minorHAnsi" w:hAnsiTheme="minorHAnsi"/>
                <w:color w:val="0070C0"/>
                <w:sz w:val="20"/>
                <w:szCs w:val="20"/>
              </w:rPr>
              <w:sym w:font="Wingdings 3" w:char="F06B"/>
            </w:r>
            <w:r w:rsidR="0093272F" w:rsidRPr="00766EF0">
              <w:rPr>
                <w:rFonts w:asciiTheme="minorHAnsi" w:hAnsiTheme="minorHAnsi"/>
                <w:color w:val="0070C0"/>
                <w:sz w:val="20"/>
                <w:szCs w:val="20"/>
              </w:rPr>
              <w:t>)</w:t>
            </w:r>
            <w:r w:rsidR="00F655F2" w:rsidRPr="00F655F2">
              <w:rPr>
                <w:rFonts w:asciiTheme="minorHAnsi" w:hAnsiTheme="minorHAnsi"/>
                <w:sz w:val="20"/>
                <w:szCs w:val="20"/>
              </w:rPr>
              <w:t>,</w:t>
            </w:r>
          </w:p>
          <w:p w:rsidR="0093272F" w:rsidRPr="00766EF0" w:rsidRDefault="00E362A0" w:rsidP="005B6117">
            <w:pPr>
              <w:pStyle w:val="Akapitzlist"/>
              <w:numPr>
                <w:ilvl w:val="0"/>
                <w:numId w:val="98"/>
              </w:numPr>
              <w:suppressAutoHyphens/>
              <w:spacing w:after="0" w:line="240" w:lineRule="auto"/>
              <w:ind w:left="414" w:hanging="357"/>
              <w:rPr>
                <w:rFonts w:asciiTheme="minorHAnsi" w:hAnsiTheme="minorHAnsi"/>
                <w:color w:val="000000"/>
                <w:kern w:val="2"/>
                <w:sz w:val="20"/>
                <w:szCs w:val="20"/>
                <w:lang w:eastAsia="hi-IN" w:bidi="hi-IN"/>
              </w:rPr>
            </w:pPr>
            <w:r w:rsidRPr="00766EF0">
              <w:rPr>
                <w:rFonts w:asciiTheme="minorHAnsi" w:hAnsiTheme="minorHAnsi"/>
                <w:color w:val="000000"/>
                <w:kern w:val="2"/>
                <w:sz w:val="20"/>
                <w:szCs w:val="20"/>
                <w:lang w:eastAsia="hi-IN" w:bidi="hi-IN"/>
              </w:rPr>
              <w:t>Stosunek</w:t>
            </w:r>
            <w:r w:rsidR="0093272F" w:rsidRPr="00766EF0">
              <w:rPr>
                <w:rFonts w:asciiTheme="minorHAnsi" w:hAnsiTheme="minorHAnsi"/>
                <w:color w:val="000000"/>
                <w:kern w:val="2"/>
                <w:sz w:val="20"/>
                <w:szCs w:val="20"/>
                <w:lang w:eastAsia="hi-IN" w:bidi="hi-IN"/>
              </w:rPr>
              <w:t xml:space="preserve"> między liczbą firm nowo rejestrowanych a liczbą firm wyrejestrowanych w CEIDG </w:t>
            </w:r>
            <w:r w:rsidR="0093272F" w:rsidRPr="00766EF0">
              <w:rPr>
                <w:rFonts w:asciiTheme="minorHAnsi" w:hAnsiTheme="minorHAnsi"/>
                <w:color w:val="0070C0"/>
                <w:sz w:val="20"/>
                <w:szCs w:val="20"/>
              </w:rPr>
              <w:t>(</w:t>
            </w:r>
            <w:r w:rsidR="0093272F" w:rsidRPr="00766EF0">
              <w:rPr>
                <w:rFonts w:asciiTheme="minorHAnsi" w:hAnsiTheme="minorHAnsi"/>
                <w:color w:val="0070C0"/>
                <w:sz w:val="20"/>
                <w:szCs w:val="20"/>
              </w:rPr>
              <w:sym w:font="Wingdings 3" w:char="F06B"/>
            </w:r>
            <w:r w:rsidR="0093272F" w:rsidRPr="00766EF0">
              <w:rPr>
                <w:rFonts w:asciiTheme="minorHAnsi" w:hAnsiTheme="minorHAnsi"/>
                <w:color w:val="0070C0"/>
                <w:sz w:val="20"/>
                <w:szCs w:val="20"/>
              </w:rPr>
              <w:t>)</w:t>
            </w:r>
            <w:r w:rsidRPr="00E362A0">
              <w:rPr>
                <w:rFonts w:asciiTheme="minorHAnsi" w:hAnsiTheme="minorHAnsi"/>
                <w:sz w:val="20"/>
                <w:szCs w:val="20"/>
              </w:rPr>
              <w:t>.</w:t>
            </w:r>
          </w:p>
        </w:tc>
      </w:tr>
      <w:tr w:rsidR="00290AB7" w:rsidRPr="00470146" w:rsidTr="008E6A9F">
        <w:tc>
          <w:tcPr>
            <w:tcW w:w="2505" w:type="pct"/>
            <w:tcBorders>
              <w:top w:val="single" w:sz="4" w:space="0" w:color="000000"/>
              <w:left w:val="single" w:sz="4" w:space="0" w:color="000000"/>
              <w:bottom w:val="single" w:sz="4" w:space="0" w:color="000000"/>
              <w:right w:val="single" w:sz="4" w:space="0" w:color="000000"/>
            </w:tcBorders>
          </w:tcPr>
          <w:p w:rsidR="00290AB7" w:rsidRPr="00470146" w:rsidRDefault="00290AB7" w:rsidP="00371563">
            <w:pPr>
              <w:suppressAutoHyphens/>
              <w:ind w:left="57"/>
              <w:jc w:val="both"/>
              <w:rPr>
                <w:b/>
                <w:bCs/>
                <w:szCs w:val="20"/>
              </w:rPr>
            </w:pPr>
            <w:r w:rsidRPr="00470146">
              <w:rPr>
                <w:b/>
                <w:bCs/>
                <w:szCs w:val="20"/>
              </w:rPr>
              <w:t>CEL OPERACYJNY 1.3</w:t>
            </w:r>
            <w:r w:rsidRPr="00470146">
              <w:rPr>
                <w:b/>
                <w:bCs/>
                <w:szCs w:val="20"/>
              </w:rPr>
              <w:tab/>
            </w:r>
          </w:p>
          <w:p w:rsidR="00290AB7" w:rsidRPr="00470146" w:rsidRDefault="00290AB7" w:rsidP="00371563">
            <w:pPr>
              <w:suppressAutoHyphens/>
              <w:ind w:left="57"/>
              <w:rPr>
                <w:szCs w:val="20"/>
              </w:rPr>
            </w:pPr>
            <w:r w:rsidRPr="00470146">
              <w:rPr>
                <w:szCs w:val="20"/>
              </w:rPr>
              <w:t>Wysoki poziom dostępności udogodnień umożliwiających podnoszenie kwalifikacji mieszkańców, usuwanie barier w powrocie na rynek pracy oraz wzrastający poziom motywacji wewnętrznej mieszkańców w</w:t>
            </w:r>
            <w:r w:rsidR="00F46ACB">
              <w:rPr>
                <w:szCs w:val="20"/>
              </w:rPr>
              <w:t> </w:t>
            </w:r>
            <w:r w:rsidRPr="00470146">
              <w:rPr>
                <w:szCs w:val="20"/>
              </w:rPr>
              <w:t>zakresie realizacji karier zawodowych</w:t>
            </w:r>
          </w:p>
          <w:p w:rsidR="00290AB7" w:rsidRPr="00470146" w:rsidRDefault="00290AB7" w:rsidP="00371563">
            <w:pPr>
              <w:pStyle w:val="Akapitzlist"/>
              <w:suppressAutoHyphens/>
              <w:spacing w:after="0"/>
              <w:ind w:left="57"/>
              <w:rPr>
                <w:rFonts w:asciiTheme="minorHAnsi" w:hAnsiTheme="minorHAnsi"/>
                <w:sz w:val="20"/>
                <w:szCs w:val="20"/>
              </w:rPr>
            </w:pPr>
          </w:p>
          <w:p w:rsidR="00290AB7" w:rsidRPr="00470146" w:rsidRDefault="00290AB7" w:rsidP="00371563">
            <w:pPr>
              <w:pStyle w:val="Akapitzlist"/>
              <w:suppressAutoHyphens/>
              <w:spacing w:after="0"/>
              <w:ind w:left="57"/>
              <w:rPr>
                <w:rFonts w:asciiTheme="minorHAnsi" w:hAnsiTheme="minorHAnsi"/>
                <w:color w:val="FF0000"/>
                <w:kern w:val="2"/>
                <w:sz w:val="20"/>
                <w:szCs w:val="20"/>
                <w:highlight w:val="yellow"/>
                <w:lang w:eastAsia="hi-IN" w:bidi="hi-IN"/>
              </w:rPr>
            </w:pPr>
          </w:p>
        </w:tc>
        <w:tc>
          <w:tcPr>
            <w:tcW w:w="2495" w:type="pct"/>
            <w:tcBorders>
              <w:top w:val="single" w:sz="4" w:space="0" w:color="000000"/>
              <w:left w:val="single" w:sz="4" w:space="0" w:color="000000"/>
              <w:bottom w:val="single" w:sz="4" w:space="0" w:color="000000"/>
              <w:right w:val="single" w:sz="4" w:space="0" w:color="000000"/>
            </w:tcBorders>
          </w:tcPr>
          <w:p w:rsidR="00AE76C5" w:rsidRPr="00146E69" w:rsidRDefault="00E362A0" w:rsidP="005B6117">
            <w:pPr>
              <w:pStyle w:val="Akapitzlist3"/>
              <w:numPr>
                <w:ilvl w:val="0"/>
                <w:numId w:val="98"/>
              </w:numPr>
              <w:spacing w:before="0" w:after="0" w:line="240" w:lineRule="auto"/>
              <w:ind w:left="414" w:hanging="357"/>
              <w:jc w:val="left"/>
              <w:rPr>
                <w:rFonts w:asciiTheme="minorHAnsi" w:hAnsiTheme="minorHAnsi"/>
                <w:b w:val="0"/>
                <w:bCs w:val="0"/>
                <w:color w:val="auto"/>
                <w:kern w:val="2"/>
                <w:sz w:val="20"/>
                <w:szCs w:val="20"/>
                <w:lang w:eastAsia="hi-IN" w:bidi="hi-IN"/>
              </w:rPr>
            </w:pPr>
            <w:r w:rsidRPr="00146E69">
              <w:rPr>
                <w:rFonts w:asciiTheme="minorHAnsi" w:hAnsiTheme="minorHAnsi"/>
                <w:b w:val="0"/>
                <w:color w:val="auto"/>
                <w:kern w:val="2"/>
                <w:sz w:val="20"/>
                <w:szCs w:val="20"/>
                <w:lang w:eastAsia="hi-IN" w:bidi="hi-IN"/>
              </w:rPr>
              <w:t>Liczba</w:t>
            </w:r>
            <w:r w:rsidR="0093272F" w:rsidRPr="00146E69">
              <w:rPr>
                <w:rFonts w:asciiTheme="minorHAnsi" w:hAnsiTheme="minorHAnsi"/>
                <w:b w:val="0"/>
                <w:color w:val="auto"/>
                <w:kern w:val="2"/>
                <w:sz w:val="20"/>
                <w:szCs w:val="20"/>
                <w:lang w:eastAsia="hi-IN" w:bidi="hi-IN"/>
              </w:rPr>
              <w:t xml:space="preserve"> bezrobotnych w przedziałach wiekowych: do 30 roku życia, powyżej 30 roku życia, powyżej 50 roku życia na obszarze rewitalizacji</w:t>
            </w:r>
            <w:r w:rsidR="0093272F" w:rsidRPr="00146E69">
              <w:rPr>
                <w:rFonts w:asciiTheme="minorHAnsi" w:hAnsiTheme="minorHAnsi"/>
                <w:b w:val="0"/>
                <w:color w:val="auto"/>
                <w:sz w:val="20"/>
                <w:szCs w:val="20"/>
              </w:rPr>
              <w:t xml:space="preserve"> </w:t>
            </w:r>
            <w:r w:rsidR="0093272F" w:rsidRPr="002B18CC">
              <w:rPr>
                <w:rFonts w:asciiTheme="minorHAnsi" w:hAnsiTheme="minorHAnsi"/>
                <w:b w:val="0"/>
                <w:color w:val="0070C0"/>
                <w:sz w:val="20"/>
                <w:szCs w:val="20"/>
              </w:rPr>
              <w:t>(</w:t>
            </w:r>
            <w:r w:rsidR="0093272F" w:rsidRPr="002B18CC">
              <w:rPr>
                <w:rFonts w:asciiTheme="minorHAnsi" w:hAnsiTheme="minorHAnsi"/>
                <w:b w:val="0"/>
                <w:color w:val="0070C0"/>
                <w:sz w:val="20"/>
                <w:szCs w:val="20"/>
              </w:rPr>
              <w:sym w:font="Wingdings 3" w:char="F06D"/>
            </w:r>
            <w:r w:rsidR="0093272F" w:rsidRPr="002B18CC">
              <w:rPr>
                <w:rFonts w:asciiTheme="minorHAnsi" w:hAnsiTheme="minorHAnsi"/>
                <w:b w:val="0"/>
                <w:color w:val="0070C0"/>
                <w:sz w:val="20"/>
                <w:szCs w:val="20"/>
              </w:rPr>
              <w:t>)</w:t>
            </w:r>
            <w:r w:rsidR="002B18CC">
              <w:rPr>
                <w:rFonts w:asciiTheme="minorHAnsi" w:hAnsiTheme="minorHAnsi"/>
                <w:b w:val="0"/>
                <w:color w:val="auto"/>
                <w:sz w:val="20"/>
                <w:szCs w:val="20"/>
              </w:rPr>
              <w:t>,</w:t>
            </w:r>
          </w:p>
          <w:p w:rsidR="0093272F" w:rsidRPr="00146E69" w:rsidRDefault="00E362A0" w:rsidP="005B6117">
            <w:pPr>
              <w:pStyle w:val="Akapitzlist3"/>
              <w:numPr>
                <w:ilvl w:val="0"/>
                <w:numId w:val="98"/>
              </w:numPr>
              <w:spacing w:before="0" w:after="0" w:line="240" w:lineRule="auto"/>
              <w:ind w:left="414" w:hanging="357"/>
              <w:jc w:val="left"/>
              <w:rPr>
                <w:rFonts w:asciiTheme="minorHAnsi" w:hAnsiTheme="minorHAnsi"/>
                <w:b w:val="0"/>
                <w:bCs w:val="0"/>
                <w:color w:val="auto"/>
                <w:kern w:val="2"/>
                <w:sz w:val="20"/>
                <w:szCs w:val="20"/>
                <w:lang w:eastAsia="hi-IN" w:bidi="hi-IN"/>
              </w:rPr>
            </w:pPr>
            <w:r w:rsidRPr="00146E69">
              <w:rPr>
                <w:rFonts w:asciiTheme="minorHAnsi" w:hAnsiTheme="minorHAnsi"/>
                <w:b w:val="0"/>
                <w:color w:val="auto"/>
                <w:kern w:val="2"/>
                <w:sz w:val="20"/>
                <w:szCs w:val="20"/>
                <w:lang w:eastAsia="hi-IN" w:bidi="hi-IN"/>
              </w:rPr>
              <w:t>Bezrobocie</w:t>
            </w:r>
            <w:r w:rsidR="0093272F" w:rsidRPr="00146E69">
              <w:rPr>
                <w:rFonts w:asciiTheme="minorHAnsi" w:hAnsiTheme="minorHAnsi"/>
                <w:b w:val="0"/>
                <w:color w:val="auto"/>
                <w:kern w:val="2"/>
                <w:sz w:val="20"/>
                <w:szCs w:val="20"/>
                <w:lang w:eastAsia="hi-IN" w:bidi="hi-IN"/>
              </w:rPr>
              <w:t xml:space="preserve"> w obszarach rewitalizacji według czasu pozostawania bez pracy </w:t>
            </w:r>
            <w:r w:rsidR="0093272F" w:rsidRPr="002B18CC">
              <w:rPr>
                <w:rFonts w:asciiTheme="minorHAnsi" w:hAnsiTheme="minorHAnsi"/>
                <w:b w:val="0"/>
                <w:color w:val="0070C0"/>
                <w:sz w:val="20"/>
                <w:szCs w:val="20"/>
              </w:rPr>
              <w:t>(</w:t>
            </w:r>
            <w:r w:rsidR="0093272F" w:rsidRPr="002B18CC">
              <w:rPr>
                <w:rFonts w:asciiTheme="minorHAnsi" w:hAnsiTheme="minorHAnsi"/>
                <w:b w:val="0"/>
                <w:color w:val="0070C0"/>
                <w:sz w:val="20"/>
                <w:szCs w:val="20"/>
              </w:rPr>
              <w:sym w:font="Wingdings 3" w:char="F06D"/>
            </w:r>
            <w:r w:rsidR="0093272F" w:rsidRPr="002B18CC">
              <w:rPr>
                <w:rFonts w:asciiTheme="minorHAnsi" w:hAnsiTheme="minorHAnsi"/>
                <w:b w:val="0"/>
                <w:color w:val="0070C0"/>
                <w:sz w:val="20"/>
                <w:szCs w:val="20"/>
              </w:rPr>
              <w:t>)</w:t>
            </w:r>
            <w:r w:rsidR="0093272F" w:rsidRPr="00146E69">
              <w:rPr>
                <w:rFonts w:asciiTheme="minorHAnsi" w:hAnsiTheme="minorHAnsi"/>
                <w:b w:val="0"/>
                <w:color w:val="auto"/>
                <w:kern w:val="2"/>
                <w:sz w:val="20"/>
                <w:szCs w:val="20"/>
                <w:lang w:eastAsia="hi-IN" w:bidi="hi-IN"/>
              </w:rPr>
              <w:t>:</w:t>
            </w:r>
          </w:p>
          <w:p w:rsidR="0093272F" w:rsidRPr="00146E69" w:rsidRDefault="0093272F" w:rsidP="005B6117">
            <w:pPr>
              <w:numPr>
                <w:ilvl w:val="1"/>
                <w:numId w:val="729"/>
              </w:numPr>
              <w:suppressAutoHyphens/>
              <w:ind w:left="811" w:hanging="357"/>
              <w:rPr>
                <w:kern w:val="2"/>
                <w:szCs w:val="20"/>
                <w:lang w:eastAsia="hi-IN" w:bidi="hi-IN"/>
              </w:rPr>
            </w:pPr>
            <w:r w:rsidRPr="00146E69">
              <w:rPr>
                <w:kern w:val="2"/>
                <w:szCs w:val="20"/>
                <w:lang w:eastAsia="hi-IN" w:bidi="hi-IN"/>
              </w:rPr>
              <w:t xml:space="preserve">liczba osób pozostających bez pracy </w:t>
            </w:r>
            <w:r w:rsidR="00395906">
              <w:rPr>
                <w:kern w:val="2"/>
                <w:szCs w:val="20"/>
                <w:lang w:eastAsia="hi-IN" w:bidi="hi-IN"/>
              </w:rPr>
              <w:br/>
            </w:r>
            <w:r w:rsidRPr="00146E69">
              <w:rPr>
                <w:kern w:val="2"/>
                <w:szCs w:val="20"/>
                <w:lang w:eastAsia="hi-IN" w:bidi="hi-IN"/>
              </w:rPr>
              <w:t>12-24</w:t>
            </w:r>
            <w:r w:rsidR="0083358D">
              <w:rPr>
                <w:kern w:val="2"/>
                <w:szCs w:val="20"/>
                <w:lang w:eastAsia="hi-IN" w:bidi="hi-IN"/>
              </w:rPr>
              <w:t> </w:t>
            </w:r>
            <w:r w:rsidRPr="00146E69">
              <w:rPr>
                <w:kern w:val="2"/>
                <w:szCs w:val="20"/>
                <w:lang w:eastAsia="hi-IN" w:bidi="hi-IN"/>
              </w:rPr>
              <w:t>mies.</w:t>
            </w:r>
            <w:r w:rsidR="00E362A0">
              <w:rPr>
                <w:kern w:val="2"/>
                <w:szCs w:val="20"/>
                <w:lang w:eastAsia="hi-IN" w:bidi="hi-IN"/>
              </w:rPr>
              <w:t>,</w:t>
            </w:r>
            <w:r w:rsidRPr="00146E69">
              <w:rPr>
                <w:kern w:val="2"/>
                <w:szCs w:val="20"/>
                <w:lang w:eastAsia="hi-IN" w:bidi="hi-IN"/>
              </w:rPr>
              <w:t xml:space="preserve"> </w:t>
            </w:r>
          </w:p>
          <w:p w:rsidR="0093272F" w:rsidRPr="00146E69" w:rsidRDefault="0093272F" w:rsidP="005B6117">
            <w:pPr>
              <w:numPr>
                <w:ilvl w:val="1"/>
                <w:numId w:val="729"/>
              </w:numPr>
              <w:suppressAutoHyphens/>
              <w:ind w:left="811" w:hanging="357"/>
              <w:rPr>
                <w:kern w:val="2"/>
                <w:szCs w:val="20"/>
                <w:lang w:eastAsia="hi-IN" w:bidi="hi-IN"/>
              </w:rPr>
            </w:pPr>
            <w:r w:rsidRPr="00146E69">
              <w:rPr>
                <w:kern w:val="2"/>
                <w:szCs w:val="20"/>
                <w:lang w:eastAsia="hi-IN" w:bidi="hi-IN"/>
              </w:rPr>
              <w:t>liczba osób pozost</w:t>
            </w:r>
            <w:r w:rsidR="00E362A0">
              <w:rPr>
                <w:kern w:val="2"/>
                <w:szCs w:val="20"/>
                <w:lang w:eastAsia="hi-IN" w:bidi="hi-IN"/>
              </w:rPr>
              <w:t>ających bez pracy pow.</w:t>
            </w:r>
            <w:r w:rsidR="00395906">
              <w:rPr>
                <w:kern w:val="2"/>
                <w:szCs w:val="20"/>
                <w:lang w:eastAsia="hi-IN" w:bidi="hi-IN"/>
              </w:rPr>
              <w:t> </w:t>
            </w:r>
            <w:r w:rsidR="00E362A0">
              <w:rPr>
                <w:kern w:val="2"/>
                <w:szCs w:val="20"/>
                <w:lang w:eastAsia="hi-IN" w:bidi="hi-IN"/>
              </w:rPr>
              <w:t>24</w:t>
            </w:r>
            <w:r w:rsidR="0083358D">
              <w:rPr>
                <w:kern w:val="2"/>
                <w:szCs w:val="20"/>
                <w:lang w:eastAsia="hi-IN" w:bidi="hi-IN"/>
              </w:rPr>
              <w:t> </w:t>
            </w:r>
            <w:r w:rsidR="00E362A0">
              <w:rPr>
                <w:kern w:val="2"/>
                <w:szCs w:val="20"/>
                <w:lang w:eastAsia="hi-IN" w:bidi="hi-IN"/>
              </w:rPr>
              <w:t>mies.</w:t>
            </w:r>
            <w:r w:rsidRPr="00146E69">
              <w:rPr>
                <w:kern w:val="2"/>
                <w:szCs w:val="20"/>
                <w:lang w:eastAsia="hi-IN" w:bidi="hi-IN"/>
              </w:rPr>
              <w:t>,</w:t>
            </w:r>
          </w:p>
          <w:p w:rsidR="00AE76C5" w:rsidRPr="00146E69" w:rsidRDefault="00E362A0" w:rsidP="005B6117">
            <w:pPr>
              <w:pStyle w:val="Akapitzlist"/>
              <w:numPr>
                <w:ilvl w:val="0"/>
                <w:numId w:val="98"/>
              </w:numPr>
              <w:suppressAutoHyphens/>
              <w:spacing w:after="0" w:line="240" w:lineRule="auto"/>
              <w:ind w:left="414" w:hanging="357"/>
              <w:rPr>
                <w:rFonts w:asciiTheme="minorHAnsi" w:hAnsiTheme="minorHAnsi"/>
                <w:b/>
                <w:bCs/>
                <w:kern w:val="2"/>
                <w:sz w:val="20"/>
                <w:szCs w:val="20"/>
                <w:lang w:eastAsia="hi-IN" w:bidi="hi-IN"/>
              </w:rPr>
            </w:pPr>
            <w:r>
              <w:rPr>
                <w:rFonts w:asciiTheme="minorHAnsi" w:hAnsiTheme="minorHAnsi"/>
                <w:kern w:val="2"/>
                <w:sz w:val="20"/>
                <w:szCs w:val="20"/>
                <w:lang w:eastAsia="hi-IN" w:bidi="hi-IN"/>
              </w:rPr>
              <w:t>L</w:t>
            </w:r>
            <w:r w:rsidR="0093272F" w:rsidRPr="00146E69">
              <w:rPr>
                <w:rFonts w:asciiTheme="minorHAnsi" w:hAnsiTheme="minorHAnsi"/>
                <w:kern w:val="2"/>
                <w:sz w:val="20"/>
                <w:szCs w:val="20"/>
                <w:lang w:eastAsia="hi-IN" w:bidi="hi-IN"/>
              </w:rPr>
              <w:t xml:space="preserve">iczba osób dotkniętych bezrobociem długotrwałym kwalifikowanych przez Urząd Pracy jako tzw. profil III, </w:t>
            </w:r>
            <w:r w:rsidR="0093272F" w:rsidRPr="002B18CC">
              <w:rPr>
                <w:rFonts w:asciiTheme="minorHAnsi" w:hAnsiTheme="minorHAnsi"/>
                <w:color w:val="0070C0"/>
                <w:sz w:val="20"/>
                <w:szCs w:val="20"/>
              </w:rPr>
              <w:t>(</w:t>
            </w:r>
            <w:r w:rsidR="0093272F" w:rsidRPr="002B18CC">
              <w:rPr>
                <w:rFonts w:asciiTheme="minorHAnsi" w:hAnsiTheme="minorHAnsi"/>
                <w:color w:val="0070C0"/>
                <w:sz w:val="20"/>
                <w:szCs w:val="20"/>
              </w:rPr>
              <w:sym w:font="Wingdings 3" w:char="F06D"/>
            </w:r>
            <w:r w:rsidR="0093272F" w:rsidRPr="002B18CC">
              <w:rPr>
                <w:rFonts w:asciiTheme="minorHAnsi" w:hAnsiTheme="minorHAnsi"/>
                <w:color w:val="0070C0"/>
                <w:sz w:val="20"/>
                <w:szCs w:val="20"/>
              </w:rPr>
              <w:t>)</w:t>
            </w:r>
          </w:p>
          <w:p w:rsidR="0093272F" w:rsidRPr="00766EF0" w:rsidRDefault="00E362A0" w:rsidP="005B6117">
            <w:pPr>
              <w:pStyle w:val="Akapitzlist3"/>
              <w:numPr>
                <w:ilvl w:val="0"/>
                <w:numId w:val="98"/>
              </w:numPr>
              <w:spacing w:before="0" w:after="0" w:line="240" w:lineRule="auto"/>
              <w:ind w:left="414" w:hanging="357"/>
              <w:jc w:val="left"/>
              <w:rPr>
                <w:rFonts w:asciiTheme="minorHAnsi" w:hAnsiTheme="minorHAnsi"/>
                <w:b w:val="0"/>
                <w:bCs w:val="0"/>
                <w:color w:val="000000"/>
                <w:kern w:val="2"/>
                <w:sz w:val="20"/>
                <w:szCs w:val="20"/>
                <w:lang w:eastAsia="hi-IN" w:bidi="hi-IN"/>
              </w:rPr>
            </w:pPr>
            <w:r w:rsidRPr="00146E69">
              <w:rPr>
                <w:rFonts w:asciiTheme="minorHAnsi" w:hAnsiTheme="minorHAnsi" w:cs="Times New Roman"/>
                <w:b w:val="0"/>
                <w:color w:val="auto"/>
                <w:kern w:val="2"/>
                <w:sz w:val="20"/>
                <w:szCs w:val="20"/>
                <w:lang w:eastAsia="hi-IN" w:bidi="hi-IN"/>
              </w:rPr>
              <w:t>Stosunek</w:t>
            </w:r>
            <w:r w:rsidR="0093272F" w:rsidRPr="00146E69">
              <w:rPr>
                <w:rFonts w:asciiTheme="minorHAnsi" w:hAnsiTheme="minorHAnsi" w:cs="Times New Roman"/>
                <w:b w:val="0"/>
                <w:color w:val="auto"/>
                <w:kern w:val="2"/>
                <w:sz w:val="20"/>
                <w:szCs w:val="20"/>
                <w:lang w:eastAsia="hi-IN" w:bidi="hi-IN"/>
              </w:rPr>
              <w:t xml:space="preserve"> liczby dzieci w wieku przedszkolnym do liczby miejsc w przedszkolach </w:t>
            </w:r>
            <w:r w:rsidR="0093272F" w:rsidRPr="002B18CC">
              <w:rPr>
                <w:rFonts w:asciiTheme="minorHAnsi" w:hAnsiTheme="minorHAnsi" w:cs="Times New Roman"/>
                <w:b w:val="0"/>
                <w:color w:val="0070C0"/>
                <w:sz w:val="20"/>
                <w:szCs w:val="20"/>
              </w:rPr>
              <w:t>(</w:t>
            </w:r>
            <w:r w:rsidR="0093272F" w:rsidRPr="002B18CC">
              <w:rPr>
                <w:rFonts w:asciiTheme="minorHAnsi" w:hAnsiTheme="minorHAnsi" w:cs="Times New Roman"/>
                <w:b w:val="0"/>
                <w:color w:val="0070C0"/>
                <w:sz w:val="20"/>
                <w:szCs w:val="20"/>
              </w:rPr>
              <w:sym w:font="Wingdings 3" w:char="F06D"/>
            </w:r>
            <w:r w:rsidR="0093272F" w:rsidRPr="002B18CC">
              <w:rPr>
                <w:rFonts w:asciiTheme="minorHAnsi" w:hAnsiTheme="minorHAnsi" w:cs="Times New Roman"/>
                <w:b w:val="0"/>
                <w:color w:val="0070C0"/>
                <w:sz w:val="20"/>
                <w:szCs w:val="20"/>
              </w:rPr>
              <w:t>)</w:t>
            </w:r>
            <w:r w:rsidRPr="00E362A0">
              <w:rPr>
                <w:rFonts w:asciiTheme="minorHAnsi" w:hAnsiTheme="minorHAnsi" w:cs="Times New Roman"/>
                <w:b w:val="0"/>
                <w:color w:val="auto"/>
                <w:sz w:val="20"/>
                <w:szCs w:val="20"/>
              </w:rPr>
              <w:t>.</w:t>
            </w:r>
          </w:p>
        </w:tc>
      </w:tr>
      <w:tr w:rsidR="00290AB7" w:rsidRPr="00470146" w:rsidTr="00470146">
        <w:tc>
          <w:tcPr>
            <w:tcW w:w="5000" w:type="pct"/>
            <w:gridSpan w:val="2"/>
            <w:tcBorders>
              <w:top w:val="single" w:sz="4" w:space="0" w:color="000000"/>
              <w:left w:val="single" w:sz="4" w:space="0" w:color="000000"/>
              <w:bottom w:val="single" w:sz="4" w:space="0" w:color="000000"/>
              <w:right w:val="single" w:sz="4" w:space="0" w:color="000000"/>
            </w:tcBorders>
            <w:shd w:val="clear" w:color="auto" w:fill="99CCFF"/>
          </w:tcPr>
          <w:p w:rsidR="00290AB7" w:rsidRPr="00470146" w:rsidRDefault="00290AB7" w:rsidP="003D3B7A">
            <w:pPr>
              <w:suppressAutoHyphens/>
              <w:spacing w:before="60" w:after="40"/>
              <w:jc w:val="center"/>
              <w:rPr>
                <w:b/>
                <w:bCs/>
                <w:color w:val="000000"/>
                <w:sz w:val="22"/>
                <w:szCs w:val="20"/>
              </w:rPr>
            </w:pPr>
            <w:r w:rsidRPr="00470146">
              <w:rPr>
                <w:b/>
                <w:bCs/>
                <w:color w:val="000000"/>
                <w:sz w:val="22"/>
                <w:szCs w:val="20"/>
              </w:rPr>
              <w:t>CEL STRATEGICZNY 2</w:t>
            </w:r>
          </w:p>
          <w:p w:rsidR="00290AB7" w:rsidRPr="00470146" w:rsidRDefault="00290AB7" w:rsidP="00470146">
            <w:pPr>
              <w:suppressAutoHyphens/>
              <w:spacing w:before="40" w:after="40"/>
              <w:jc w:val="center"/>
              <w:rPr>
                <w:color w:val="000000"/>
                <w:kern w:val="2"/>
                <w:szCs w:val="20"/>
                <w:lang w:eastAsia="hi-IN" w:bidi="hi-IN"/>
              </w:rPr>
            </w:pPr>
            <w:r w:rsidRPr="00470146">
              <w:rPr>
                <w:b/>
                <w:bCs/>
                <w:color w:val="000000"/>
                <w:sz w:val="22"/>
                <w:szCs w:val="20"/>
              </w:rPr>
              <w:t>Przywrócona spójność społeczna i ograniczenie negatywnych zjawisk społecznych</w:t>
            </w:r>
          </w:p>
        </w:tc>
      </w:tr>
      <w:tr w:rsidR="00290AB7" w:rsidRPr="00470146" w:rsidTr="008E6A9F">
        <w:tc>
          <w:tcPr>
            <w:tcW w:w="2505" w:type="pct"/>
            <w:tcBorders>
              <w:top w:val="single" w:sz="4" w:space="0" w:color="000000"/>
              <w:left w:val="single" w:sz="4" w:space="0" w:color="000000"/>
              <w:bottom w:val="single" w:sz="4" w:space="0" w:color="000000"/>
              <w:right w:val="single" w:sz="4" w:space="0" w:color="000000"/>
            </w:tcBorders>
          </w:tcPr>
          <w:p w:rsidR="00290AB7" w:rsidRPr="00470146" w:rsidRDefault="00290AB7" w:rsidP="00371563">
            <w:pPr>
              <w:suppressAutoHyphens/>
              <w:ind w:left="57"/>
              <w:jc w:val="both"/>
              <w:rPr>
                <w:b/>
                <w:bCs/>
                <w:szCs w:val="20"/>
              </w:rPr>
            </w:pPr>
            <w:r w:rsidRPr="00470146">
              <w:rPr>
                <w:b/>
                <w:bCs/>
                <w:szCs w:val="20"/>
              </w:rPr>
              <w:t>CEL OPERACYJNY 2.1</w:t>
            </w:r>
            <w:r w:rsidRPr="00470146">
              <w:rPr>
                <w:b/>
                <w:bCs/>
                <w:szCs w:val="20"/>
              </w:rPr>
              <w:tab/>
            </w:r>
          </w:p>
          <w:p w:rsidR="00290AB7" w:rsidRPr="00470146" w:rsidRDefault="00290AB7" w:rsidP="00371563">
            <w:pPr>
              <w:suppressAutoHyphens/>
              <w:ind w:left="57"/>
              <w:rPr>
                <w:szCs w:val="20"/>
              </w:rPr>
            </w:pPr>
            <w:r w:rsidRPr="00470146">
              <w:rPr>
                <w:szCs w:val="20"/>
              </w:rPr>
              <w:t>Ograniczona skala negatywnych zjawisk społecznych oraz wzrost dostępności do prorozwojowych usług publicznych</w:t>
            </w:r>
          </w:p>
          <w:p w:rsidR="00290AB7" w:rsidRPr="00470146" w:rsidRDefault="00290AB7" w:rsidP="00371563">
            <w:pPr>
              <w:suppressAutoHyphens/>
              <w:ind w:left="57"/>
              <w:rPr>
                <w:szCs w:val="20"/>
              </w:rPr>
            </w:pPr>
          </w:p>
          <w:p w:rsidR="00290AB7" w:rsidRPr="00470146" w:rsidRDefault="00290AB7" w:rsidP="00371563">
            <w:pPr>
              <w:suppressAutoHyphens/>
              <w:ind w:left="57"/>
              <w:jc w:val="both"/>
              <w:rPr>
                <w:b/>
                <w:bCs/>
                <w:szCs w:val="20"/>
              </w:rPr>
            </w:pPr>
          </w:p>
        </w:tc>
        <w:tc>
          <w:tcPr>
            <w:tcW w:w="2495" w:type="pct"/>
            <w:tcBorders>
              <w:top w:val="single" w:sz="4" w:space="0" w:color="000000"/>
              <w:left w:val="single" w:sz="4" w:space="0" w:color="000000"/>
              <w:bottom w:val="single" w:sz="4" w:space="0" w:color="000000"/>
              <w:right w:val="single" w:sz="4" w:space="0" w:color="000000"/>
            </w:tcBorders>
          </w:tcPr>
          <w:p w:rsidR="00AE76C5" w:rsidRPr="00C47389" w:rsidRDefault="00E362A0" w:rsidP="00371563">
            <w:pPr>
              <w:pStyle w:val="Akapitzlist3"/>
              <w:numPr>
                <w:ilvl w:val="0"/>
                <w:numId w:val="98"/>
              </w:numPr>
              <w:spacing w:before="0" w:after="0" w:line="240" w:lineRule="auto"/>
              <w:ind w:left="414" w:hanging="357"/>
              <w:jc w:val="left"/>
              <w:rPr>
                <w:rFonts w:asciiTheme="minorHAnsi" w:hAnsiTheme="minorHAnsi"/>
                <w:b w:val="0"/>
                <w:bCs w:val="0"/>
                <w:color w:val="auto"/>
                <w:kern w:val="2"/>
                <w:sz w:val="20"/>
                <w:szCs w:val="20"/>
                <w:lang w:eastAsia="hi-IN" w:bidi="hi-IN"/>
              </w:rPr>
            </w:pPr>
            <w:r w:rsidRPr="00C47389">
              <w:rPr>
                <w:rFonts w:asciiTheme="minorHAnsi" w:hAnsiTheme="minorHAnsi"/>
                <w:b w:val="0"/>
                <w:color w:val="auto"/>
                <w:kern w:val="2"/>
                <w:sz w:val="20"/>
                <w:szCs w:val="20"/>
                <w:lang w:eastAsia="hi-IN" w:bidi="hi-IN"/>
              </w:rPr>
              <w:t>Liczba</w:t>
            </w:r>
            <w:r w:rsidR="0093272F" w:rsidRPr="00C47389">
              <w:rPr>
                <w:rFonts w:asciiTheme="minorHAnsi" w:hAnsiTheme="minorHAnsi"/>
                <w:b w:val="0"/>
                <w:color w:val="auto"/>
                <w:kern w:val="2"/>
                <w:sz w:val="20"/>
                <w:szCs w:val="20"/>
                <w:lang w:eastAsia="hi-IN" w:bidi="hi-IN"/>
              </w:rPr>
              <w:t xml:space="preserve"> beneficjentów wszystkich rodza</w:t>
            </w:r>
            <w:r w:rsidR="00342D73" w:rsidRPr="00C47389">
              <w:rPr>
                <w:rFonts w:asciiTheme="minorHAnsi" w:hAnsiTheme="minorHAnsi"/>
                <w:b w:val="0"/>
                <w:color w:val="auto"/>
                <w:kern w:val="2"/>
                <w:sz w:val="20"/>
                <w:szCs w:val="20"/>
                <w:lang w:eastAsia="hi-IN" w:bidi="hi-IN"/>
              </w:rPr>
              <w:t>jów pomocy społecznej na 1 tys</w:t>
            </w:r>
            <w:r w:rsidR="00486287">
              <w:rPr>
                <w:rFonts w:asciiTheme="minorHAnsi" w:hAnsiTheme="minorHAnsi"/>
                <w:b w:val="0"/>
                <w:color w:val="auto"/>
                <w:kern w:val="2"/>
                <w:sz w:val="20"/>
                <w:szCs w:val="20"/>
                <w:lang w:eastAsia="hi-IN" w:bidi="hi-IN"/>
              </w:rPr>
              <w:t>.</w:t>
            </w:r>
            <w:r w:rsidR="0093272F" w:rsidRPr="00C47389">
              <w:rPr>
                <w:rFonts w:asciiTheme="minorHAnsi" w:hAnsiTheme="minorHAnsi"/>
                <w:b w:val="0"/>
                <w:color w:val="auto"/>
                <w:kern w:val="2"/>
                <w:sz w:val="20"/>
                <w:szCs w:val="20"/>
                <w:lang w:eastAsia="hi-IN" w:bidi="hi-IN"/>
              </w:rPr>
              <w:t xml:space="preserve"> mieszkańców</w:t>
            </w:r>
            <w:r w:rsidR="00486287">
              <w:rPr>
                <w:rFonts w:asciiTheme="minorHAnsi" w:hAnsiTheme="minorHAnsi"/>
                <w:b w:val="0"/>
                <w:color w:val="auto"/>
                <w:kern w:val="2"/>
                <w:sz w:val="20"/>
                <w:szCs w:val="20"/>
                <w:lang w:eastAsia="hi-IN" w:bidi="hi-IN"/>
              </w:rPr>
              <w:t xml:space="preserve"> </w:t>
            </w:r>
            <w:r w:rsidR="0093272F" w:rsidRPr="00486287">
              <w:rPr>
                <w:rFonts w:asciiTheme="minorHAnsi" w:hAnsiTheme="minorHAnsi"/>
                <w:b w:val="0"/>
                <w:color w:val="0070C0"/>
                <w:sz w:val="20"/>
                <w:szCs w:val="20"/>
              </w:rPr>
              <w:t>(</w:t>
            </w:r>
            <w:r w:rsidR="0093272F" w:rsidRPr="00486287">
              <w:rPr>
                <w:rFonts w:asciiTheme="minorHAnsi" w:hAnsiTheme="minorHAnsi"/>
                <w:b w:val="0"/>
                <w:color w:val="0070C0"/>
                <w:sz w:val="20"/>
                <w:szCs w:val="20"/>
              </w:rPr>
              <w:sym w:font="Wingdings 3" w:char="F06D"/>
            </w:r>
            <w:r w:rsidR="0093272F" w:rsidRPr="00486287">
              <w:rPr>
                <w:rFonts w:asciiTheme="minorHAnsi" w:hAnsiTheme="minorHAnsi"/>
                <w:b w:val="0"/>
                <w:color w:val="0070C0"/>
                <w:sz w:val="20"/>
                <w:szCs w:val="20"/>
              </w:rPr>
              <w:t>)</w:t>
            </w:r>
            <w:r w:rsidR="00486287" w:rsidRPr="00486287">
              <w:rPr>
                <w:rFonts w:asciiTheme="minorHAnsi" w:hAnsiTheme="minorHAnsi"/>
                <w:b w:val="0"/>
                <w:color w:val="auto"/>
                <w:sz w:val="20"/>
                <w:szCs w:val="20"/>
              </w:rPr>
              <w:t>,</w:t>
            </w:r>
          </w:p>
          <w:p w:rsidR="0093272F" w:rsidRPr="00C47389" w:rsidRDefault="00E362A0" w:rsidP="00371563">
            <w:pPr>
              <w:pStyle w:val="Akapitzlist3"/>
              <w:numPr>
                <w:ilvl w:val="0"/>
                <w:numId w:val="98"/>
              </w:numPr>
              <w:spacing w:before="0" w:after="0" w:line="240" w:lineRule="auto"/>
              <w:ind w:left="414" w:hanging="357"/>
              <w:jc w:val="left"/>
              <w:rPr>
                <w:rFonts w:asciiTheme="minorHAnsi" w:hAnsiTheme="minorHAnsi"/>
                <w:b w:val="0"/>
                <w:bCs w:val="0"/>
                <w:color w:val="auto"/>
                <w:kern w:val="2"/>
                <w:sz w:val="20"/>
                <w:szCs w:val="20"/>
                <w:lang w:eastAsia="hi-IN" w:bidi="hi-IN"/>
              </w:rPr>
            </w:pPr>
            <w:r w:rsidRPr="00C47389">
              <w:rPr>
                <w:rFonts w:asciiTheme="minorHAnsi" w:hAnsiTheme="minorHAnsi"/>
                <w:b w:val="0"/>
                <w:color w:val="auto"/>
                <w:kern w:val="2"/>
                <w:sz w:val="20"/>
                <w:szCs w:val="20"/>
                <w:lang w:eastAsia="hi-IN" w:bidi="hi-IN"/>
              </w:rPr>
              <w:t>Liczba</w:t>
            </w:r>
            <w:r w:rsidR="0093272F" w:rsidRPr="00C47389">
              <w:rPr>
                <w:rFonts w:asciiTheme="minorHAnsi" w:hAnsiTheme="minorHAnsi"/>
                <w:b w:val="0"/>
                <w:color w:val="auto"/>
                <w:kern w:val="2"/>
                <w:sz w:val="20"/>
                <w:szCs w:val="20"/>
                <w:lang w:eastAsia="hi-IN" w:bidi="hi-IN"/>
              </w:rPr>
              <w:t xml:space="preserve"> osób pobierających zasiłki</w:t>
            </w:r>
            <w:r w:rsidR="00486287">
              <w:rPr>
                <w:rFonts w:asciiTheme="minorHAnsi" w:hAnsiTheme="minorHAnsi"/>
                <w:b w:val="0"/>
                <w:color w:val="auto"/>
                <w:kern w:val="2"/>
                <w:sz w:val="20"/>
                <w:szCs w:val="20"/>
                <w:lang w:eastAsia="hi-IN" w:bidi="hi-IN"/>
              </w:rPr>
              <w:t xml:space="preserve"> celowe na 1 tys. mieszkańców</w:t>
            </w:r>
            <w:r w:rsidR="0093272F" w:rsidRPr="00C47389">
              <w:rPr>
                <w:rFonts w:asciiTheme="minorHAnsi" w:hAnsiTheme="minorHAnsi"/>
                <w:b w:val="0"/>
                <w:color w:val="auto"/>
                <w:kern w:val="2"/>
                <w:sz w:val="20"/>
                <w:szCs w:val="20"/>
                <w:lang w:eastAsia="hi-IN" w:bidi="hi-IN"/>
              </w:rPr>
              <w:t xml:space="preserve"> </w:t>
            </w:r>
            <w:r w:rsidR="0093272F" w:rsidRPr="00486287">
              <w:rPr>
                <w:rFonts w:asciiTheme="minorHAnsi" w:hAnsiTheme="minorHAnsi"/>
                <w:b w:val="0"/>
                <w:color w:val="0070C0"/>
                <w:sz w:val="20"/>
                <w:szCs w:val="20"/>
              </w:rPr>
              <w:t>(</w:t>
            </w:r>
            <w:r w:rsidR="0093272F" w:rsidRPr="00486287">
              <w:rPr>
                <w:rFonts w:asciiTheme="minorHAnsi" w:hAnsiTheme="minorHAnsi"/>
                <w:b w:val="0"/>
                <w:color w:val="0070C0"/>
                <w:sz w:val="20"/>
                <w:szCs w:val="20"/>
              </w:rPr>
              <w:sym w:font="Wingdings 3" w:char="F06D"/>
            </w:r>
            <w:r w:rsidR="0093272F" w:rsidRPr="00486287">
              <w:rPr>
                <w:rFonts w:asciiTheme="minorHAnsi" w:hAnsiTheme="minorHAnsi"/>
                <w:b w:val="0"/>
                <w:color w:val="0070C0"/>
                <w:sz w:val="20"/>
                <w:szCs w:val="20"/>
              </w:rPr>
              <w:t>)</w:t>
            </w:r>
            <w:r w:rsidR="00486287" w:rsidRPr="00486287">
              <w:rPr>
                <w:rFonts w:asciiTheme="minorHAnsi" w:hAnsiTheme="minorHAnsi"/>
                <w:b w:val="0"/>
                <w:color w:val="auto"/>
                <w:sz w:val="20"/>
                <w:szCs w:val="20"/>
              </w:rPr>
              <w:t>,</w:t>
            </w:r>
          </w:p>
          <w:p w:rsidR="0093272F" w:rsidRPr="00766EF0" w:rsidRDefault="00E362A0" w:rsidP="00F655F2">
            <w:pPr>
              <w:pStyle w:val="Akapitzlist3"/>
              <w:numPr>
                <w:ilvl w:val="0"/>
                <w:numId w:val="98"/>
              </w:numPr>
              <w:spacing w:before="0" w:after="0" w:line="240" w:lineRule="auto"/>
              <w:ind w:left="414" w:hanging="357"/>
              <w:jc w:val="left"/>
              <w:rPr>
                <w:rFonts w:asciiTheme="minorHAnsi" w:hAnsiTheme="minorHAnsi"/>
                <w:b w:val="0"/>
                <w:bCs w:val="0"/>
                <w:color w:val="000000"/>
                <w:kern w:val="2"/>
                <w:sz w:val="20"/>
                <w:szCs w:val="20"/>
                <w:lang w:eastAsia="hi-IN" w:bidi="hi-IN"/>
              </w:rPr>
            </w:pPr>
            <w:r w:rsidRPr="00C47389">
              <w:rPr>
                <w:rFonts w:asciiTheme="minorHAnsi" w:hAnsiTheme="minorHAnsi" w:cs="Times New Roman"/>
                <w:b w:val="0"/>
                <w:color w:val="auto"/>
                <w:kern w:val="2"/>
                <w:sz w:val="20"/>
                <w:szCs w:val="20"/>
                <w:lang w:eastAsia="hi-IN" w:bidi="hi-IN"/>
              </w:rPr>
              <w:t>Liczba</w:t>
            </w:r>
            <w:r w:rsidR="0093272F" w:rsidRPr="00C47389">
              <w:rPr>
                <w:rFonts w:asciiTheme="minorHAnsi" w:hAnsiTheme="minorHAnsi" w:cs="Times New Roman"/>
                <w:b w:val="0"/>
                <w:color w:val="auto"/>
                <w:kern w:val="2"/>
                <w:sz w:val="20"/>
                <w:szCs w:val="20"/>
                <w:lang w:eastAsia="hi-IN" w:bidi="hi-IN"/>
              </w:rPr>
              <w:t xml:space="preserve"> uczniów szkół podstawow</w:t>
            </w:r>
            <w:r w:rsidR="00486287">
              <w:rPr>
                <w:rFonts w:asciiTheme="minorHAnsi" w:hAnsiTheme="minorHAnsi" w:cs="Times New Roman"/>
                <w:b w:val="0"/>
                <w:color w:val="auto"/>
                <w:kern w:val="2"/>
                <w:sz w:val="20"/>
                <w:szCs w:val="20"/>
                <w:lang w:eastAsia="hi-IN" w:bidi="hi-IN"/>
              </w:rPr>
              <w:t>ych korzystających z</w:t>
            </w:r>
            <w:r w:rsidR="00F655F2">
              <w:rPr>
                <w:rFonts w:asciiTheme="minorHAnsi" w:hAnsiTheme="minorHAnsi" w:cs="Times New Roman"/>
                <w:b w:val="0"/>
                <w:color w:val="auto"/>
                <w:kern w:val="2"/>
                <w:sz w:val="20"/>
                <w:szCs w:val="20"/>
                <w:lang w:eastAsia="hi-IN" w:bidi="hi-IN"/>
              </w:rPr>
              <w:t> </w:t>
            </w:r>
            <w:r w:rsidR="00486287">
              <w:rPr>
                <w:rFonts w:asciiTheme="minorHAnsi" w:hAnsiTheme="minorHAnsi" w:cs="Times New Roman"/>
                <w:b w:val="0"/>
                <w:color w:val="auto"/>
                <w:kern w:val="2"/>
                <w:sz w:val="20"/>
                <w:szCs w:val="20"/>
                <w:lang w:eastAsia="hi-IN" w:bidi="hi-IN"/>
              </w:rPr>
              <w:t>dożywiania</w:t>
            </w:r>
            <w:r w:rsidR="0093272F" w:rsidRPr="00C47389">
              <w:rPr>
                <w:rFonts w:asciiTheme="minorHAnsi" w:hAnsiTheme="minorHAnsi" w:cs="Times New Roman"/>
                <w:b w:val="0"/>
                <w:color w:val="auto"/>
                <w:kern w:val="2"/>
                <w:sz w:val="20"/>
                <w:szCs w:val="20"/>
                <w:lang w:eastAsia="hi-IN" w:bidi="hi-IN"/>
              </w:rPr>
              <w:t xml:space="preserve"> </w:t>
            </w:r>
            <w:r w:rsidR="0093272F" w:rsidRPr="00486287">
              <w:rPr>
                <w:rFonts w:asciiTheme="minorHAnsi" w:hAnsiTheme="minorHAnsi" w:cs="Times New Roman"/>
                <w:b w:val="0"/>
                <w:color w:val="0070C0"/>
                <w:sz w:val="20"/>
                <w:szCs w:val="20"/>
              </w:rPr>
              <w:t>(</w:t>
            </w:r>
            <w:r w:rsidR="0093272F" w:rsidRPr="00486287">
              <w:rPr>
                <w:rFonts w:asciiTheme="minorHAnsi" w:hAnsiTheme="minorHAnsi" w:cs="Times New Roman"/>
                <w:b w:val="0"/>
                <w:color w:val="0070C0"/>
                <w:sz w:val="20"/>
                <w:szCs w:val="20"/>
              </w:rPr>
              <w:sym w:font="Wingdings 3" w:char="F06D"/>
            </w:r>
            <w:r w:rsidR="0093272F" w:rsidRPr="00486287">
              <w:rPr>
                <w:rFonts w:asciiTheme="minorHAnsi" w:hAnsiTheme="minorHAnsi" w:cs="Times New Roman"/>
                <w:b w:val="0"/>
                <w:color w:val="0070C0"/>
                <w:sz w:val="20"/>
                <w:szCs w:val="20"/>
              </w:rPr>
              <w:t>)</w:t>
            </w:r>
            <w:r>
              <w:rPr>
                <w:rFonts w:asciiTheme="minorHAnsi" w:hAnsiTheme="minorHAnsi" w:cs="Times New Roman"/>
                <w:b w:val="0"/>
                <w:color w:val="auto"/>
                <w:sz w:val="20"/>
                <w:szCs w:val="20"/>
              </w:rPr>
              <w:t>.</w:t>
            </w:r>
          </w:p>
        </w:tc>
      </w:tr>
      <w:tr w:rsidR="00290AB7" w:rsidRPr="00470146" w:rsidTr="008E6A9F">
        <w:tc>
          <w:tcPr>
            <w:tcW w:w="2505" w:type="pct"/>
            <w:tcBorders>
              <w:top w:val="single" w:sz="4" w:space="0" w:color="000000"/>
              <w:left w:val="single" w:sz="4" w:space="0" w:color="000000"/>
              <w:bottom w:val="single" w:sz="4" w:space="0" w:color="000000"/>
              <w:right w:val="single" w:sz="4" w:space="0" w:color="000000"/>
            </w:tcBorders>
          </w:tcPr>
          <w:p w:rsidR="00290AB7" w:rsidRPr="00470146" w:rsidRDefault="00290AB7" w:rsidP="00371563">
            <w:pPr>
              <w:suppressAutoHyphens/>
              <w:ind w:left="57"/>
              <w:jc w:val="both"/>
              <w:rPr>
                <w:b/>
                <w:bCs/>
                <w:szCs w:val="20"/>
              </w:rPr>
            </w:pPr>
            <w:r w:rsidRPr="00470146">
              <w:rPr>
                <w:b/>
                <w:bCs/>
                <w:szCs w:val="20"/>
              </w:rPr>
              <w:t>CEL OPERACYJNY 2.2</w:t>
            </w:r>
            <w:r w:rsidRPr="00470146">
              <w:rPr>
                <w:b/>
                <w:bCs/>
                <w:szCs w:val="20"/>
              </w:rPr>
              <w:tab/>
            </w:r>
          </w:p>
          <w:p w:rsidR="00290AB7" w:rsidRPr="00470146" w:rsidRDefault="00290AB7" w:rsidP="00371563">
            <w:pPr>
              <w:suppressAutoHyphens/>
              <w:ind w:left="57"/>
              <w:rPr>
                <w:szCs w:val="20"/>
              </w:rPr>
            </w:pPr>
            <w:r w:rsidRPr="00470146">
              <w:rPr>
                <w:szCs w:val="20"/>
              </w:rPr>
              <w:t>Społeczności lokalne zintegrowane wokół tradycji dzielnic oraz oddolnych inicjatyw realizowanych przez mieszkańców na rzecz wspólnoty lokalnej</w:t>
            </w:r>
          </w:p>
        </w:tc>
        <w:tc>
          <w:tcPr>
            <w:tcW w:w="2495" w:type="pct"/>
            <w:tcBorders>
              <w:top w:val="single" w:sz="4" w:space="0" w:color="000000"/>
              <w:left w:val="single" w:sz="4" w:space="0" w:color="000000"/>
              <w:bottom w:val="single" w:sz="4" w:space="0" w:color="000000"/>
              <w:right w:val="single" w:sz="4" w:space="0" w:color="000000"/>
            </w:tcBorders>
          </w:tcPr>
          <w:p w:rsidR="00766EF0" w:rsidRPr="00C47389" w:rsidRDefault="0093272F" w:rsidP="00371563">
            <w:pPr>
              <w:pStyle w:val="Akapitzlist3"/>
              <w:numPr>
                <w:ilvl w:val="0"/>
                <w:numId w:val="98"/>
              </w:numPr>
              <w:spacing w:before="0" w:after="0" w:line="240" w:lineRule="auto"/>
              <w:ind w:left="414" w:hanging="357"/>
              <w:jc w:val="left"/>
              <w:rPr>
                <w:rFonts w:asciiTheme="minorHAnsi" w:hAnsiTheme="minorHAnsi"/>
                <w:b w:val="0"/>
                <w:bCs w:val="0"/>
                <w:color w:val="auto"/>
                <w:kern w:val="2"/>
                <w:sz w:val="20"/>
                <w:szCs w:val="20"/>
                <w:lang w:eastAsia="hi-IN" w:bidi="hi-IN"/>
              </w:rPr>
            </w:pPr>
            <w:r w:rsidRPr="00C47389">
              <w:rPr>
                <w:rFonts w:asciiTheme="minorHAnsi" w:hAnsiTheme="minorHAnsi"/>
                <w:b w:val="0"/>
                <w:color w:val="auto"/>
                <w:kern w:val="2"/>
                <w:sz w:val="20"/>
                <w:szCs w:val="20"/>
                <w:lang w:eastAsia="hi-IN" w:bidi="hi-IN"/>
              </w:rPr>
              <w:t xml:space="preserve">Liczba projektów obywatelskich zgłaszanych przez mieszkańców rewitalizowanych dzielnic (np. do budżetu obywatelskiego miasta) </w:t>
            </w:r>
            <w:r w:rsidRPr="00486287">
              <w:rPr>
                <w:rFonts w:asciiTheme="minorHAnsi" w:hAnsiTheme="minorHAnsi"/>
                <w:b w:val="0"/>
                <w:color w:val="0070C0"/>
                <w:kern w:val="2"/>
                <w:sz w:val="20"/>
                <w:szCs w:val="20"/>
                <w:lang w:eastAsia="hi-IN" w:bidi="hi-IN"/>
              </w:rPr>
              <w:t>(</w:t>
            </w:r>
            <w:r w:rsidRPr="00486287">
              <w:rPr>
                <w:rFonts w:asciiTheme="minorHAnsi" w:hAnsiTheme="minorHAnsi"/>
                <w:b w:val="0"/>
                <w:color w:val="0070C0"/>
                <w:kern w:val="2"/>
                <w:sz w:val="20"/>
                <w:lang w:bidi="hi-IN"/>
              </w:rPr>
              <w:sym w:font="Wingdings 3" w:char="F06B"/>
            </w:r>
            <w:r w:rsidRPr="00486287">
              <w:rPr>
                <w:rFonts w:asciiTheme="minorHAnsi" w:hAnsiTheme="minorHAnsi"/>
                <w:b w:val="0"/>
                <w:color w:val="0070C0"/>
                <w:kern w:val="2"/>
                <w:sz w:val="20"/>
                <w:szCs w:val="20"/>
                <w:lang w:eastAsia="hi-IN" w:bidi="hi-IN"/>
              </w:rPr>
              <w:t>)</w:t>
            </w:r>
            <w:r w:rsidR="00486287">
              <w:rPr>
                <w:rFonts w:asciiTheme="minorHAnsi" w:hAnsiTheme="minorHAnsi"/>
                <w:b w:val="0"/>
                <w:color w:val="auto"/>
                <w:kern w:val="2"/>
                <w:sz w:val="20"/>
                <w:szCs w:val="20"/>
                <w:lang w:eastAsia="hi-IN" w:bidi="hi-IN"/>
              </w:rPr>
              <w:t>,</w:t>
            </w:r>
          </w:p>
          <w:p w:rsidR="00766EF0" w:rsidRPr="00C47389" w:rsidRDefault="00E362A0" w:rsidP="00371563">
            <w:pPr>
              <w:pStyle w:val="Akapitzlist3"/>
              <w:numPr>
                <w:ilvl w:val="0"/>
                <w:numId w:val="98"/>
              </w:numPr>
              <w:spacing w:before="0" w:after="0" w:line="240" w:lineRule="auto"/>
              <w:ind w:left="414" w:hanging="357"/>
              <w:jc w:val="left"/>
              <w:rPr>
                <w:rFonts w:asciiTheme="minorHAnsi" w:hAnsiTheme="minorHAnsi"/>
                <w:b w:val="0"/>
                <w:bCs w:val="0"/>
                <w:color w:val="auto"/>
                <w:kern w:val="2"/>
                <w:sz w:val="20"/>
                <w:szCs w:val="20"/>
                <w:lang w:eastAsia="hi-IN" w:bidi="hi-IN"/>
              </w:rPr>
            </w:pPr>
            <w:r w:rsidRPr="00C47389">
              <w:rPr>
                <w:rFonts w:asciiTheme="minorHAnsi" w:hAnsiTheme="minorHAnsi"/>
                <w:b w:val="0"/>
                <w:color w:val="auto"/>
                <w:kern w:val="2"/>
                <w:sz w:val="20"/>
                <w:szCs w:val="20"/>
                <w:lang w:eastAsia="hi-IN" w:bidi="hi-IN"/>
              </w:rPr>
              <w:t>Liczba</w:t>
            </w:r>
            <w:r w:rsidR="0093272F" w:rsidRPr="00C47389">
              <w:rPr>
                <w:rFonts w:asciiTheme="minorHAnsi" w:hAnsiTheme="minorHAnsi"/>
                <w:b w:val="0"/>
                <w:color w:val="auto"/>
                <w:kern w:val="2"/>
                <w:sz w:val="20"/>
                <w:szCs w:val="20"/>
                <w:lang w:eastAsia="hi-IN" w:bidi="hi-IN"/>
              </w:rPr>
              <w:t xml:space="preserve"> organizacji pozarządowych działających w</w:t>
            </w:r>
            <w:r w:rsidR="00F655F2">
              <w:rPr>
                <w:rFonts w:asciiTheme="minorHAnsi" w:hAnsiTheme="minorHAnsi"/>
                <w:b w:val="0"/>
                <w:color w:val="auto"/>
                <w:kern w:val="2"/>
                <w:sz w:val="20"/>
                <w:szCs w:val="20"/>
                <w:lang w:eastAsia="hi-IN" w:bidi="hi-IN"/>
              </w:rPr>
              <w:t> </w:t>
            </w:r>
            <w:r w:rsidR="0093272F" w:rsidRPr="00C47389">
              <w:rPr>
                <w:rFonts w:asciiTheme="minorHAnsi" w:hAnsiTheme="minorHAnsi"/>
                <w:b w:val="0"/>
                <w:color w:val="auto"/>
                <w:kern w:val="2"/>
                <w:sz w:val="20"/>
                <w:szCs w:val="20"/>
                <w:lang w:eastAsia="hi-IN" w:bidi="hi-IN"/>
              </w:rPr>
              <w:t>dziedzi</w:t>
            </w:r>
            <w:r w:rsidR="00486287">
              <w:rPr>
                <w:rFonts w:asciiTheme="minorHAnsi" w:hAnsiTheme="minorHAnsi"/>
                <w:b w:val="0"/>
                <w:color w:val="auto"/>
                <w:kern w:val="2"/>
                <w:sz w:val="20"/>
                <w:szCs w:val="20"/>
                <w:lang w:eastAsia="hi-IN" w:bidi="hi-IN"/>
              </w:rPr>
              <w:t>nie kultury i spraw społecznych</w:t>
            </w:r>
            <w:r w:rsidR="0093272F" w:rsidRPr="00C47389">
              <w:rPr>
                <w:rFonts w:asciiTheme="minorHAnsi" w:hAnsiTheme="minorHAnsi"/>
                <w:b w:val="0"/>
                <w:color w:val="auto"/>
                <w:kern w:val="2"/>
                <w:sz w:val="20"/>
                <w:szCs w:val="20"/>
                <w:lang w:eastAsia="hi-IN" w:bidi="hi-IN"/>
              </w:rPr>
              <w:t xml:space="preserve"> </w:t>
            </w:r>
            <w:r w:rsidR="0093272F" w:rsidRPr="00486287">
              <w:rPr>
                <w:rFonts w:asciiTheme="minorHAnsi" w:hAnsiTheme="minorHAnsi"/>
                <w:b w:val="0"/>
                <w:color w:val="0070C0"/>
                <w:sz w:val="20"/>
                <w:szCs w:val="20"/>
              </w:rPr>
              <w:t>(</w:t>
            </w:r>
            <w:r w:rsidR="00284A94" w:rsidRPr="00486287">
              <w:rPr>
                <w:rFonts w:asciiTheme="minorHAnsi" w:hAnsiTheme="minorHAnsi"/>
                <w:b w:val="0"/>
                <w:color w:val="0070C0"/>
                <w:sz w:val="20"/>
                <w:szCs w:val="20"/>
              </w:rPr>
              <w:t xml:space="preserve">= lub </w:t>
            </w:r>
            <w:r w:rsidR="0093272F" w:rsidRPr="00486287">
              <w:rPr>
                <w:rFonts w:asciiTheme="minorHAnsi" w:hAnsiTheme="minorHAnsi"/>
                <w:b w:val="0"/>
                <w:color w:val="0070C0"/>
                <w:sz w:val="20"/>
              </w:rPr>
              <w:sym w:font="Wingdings 3" w:char="F06B"/>
            </w:r>
            <w:r w:rsidR="0093272F" w:rsidRPr="00486287">
              <w:rPr>
                <w:rFonts w:asciiTheme="minorHAnsi" w:hAnsiTheme="minorHAnsi"/>
                <w:b w:val="0"/>
                <w:color w:val="0070C0"/>
                <w:sz w:val="20"/>
                <w:szCs w:val="20"/>
              </w:rPr>
              <w:t>)</w:t>
            </w:r>
            <w:r w:rsidR="00486287">
              <w:rPr>
                <w:rFonts w:asciiTheme="minorHAnsi" w:hAnsiTheme="minorHAnsi"/>
                <w:b w:val="0"/>
                <w:color w:val="auto"/>
                <w:sz w:val="20"/>
                <w:szCs w:val="20"/>
              </w:rPr>
              <w:t>,</w:t>
            </w:r>
          </w:p>
          <w:p w:rsidR="00766EF0" w:rsidRPr="00C47389" w:rsidRDefault="00E362A0" w:rsidP="00371563">
            <w:pPr>
              <w:pStyle w:val="Akapitzlist3"/>
              <w:numPr>
                <w:ilvl w:val="0"/>
                <w:numId w:val="98"/>
              </w:numPr>
              <w:spacing w:before="0" w:after="0" w:line="240" w:lineRule="auto"/>
              <w:ind w:left="414" w:hanging="357"/>
              <w:jc w:val="left"/>
              <w:rPr>
                <w:rFonts w:asciiTheme="minorHAnsi" w:hAnsiTheme="minorHAnsi"/>
                <w:b w:val="0"/>
                <w:bCs w:val="0"/>
                <w:color w:val="auto"/>
                <w:kern w:val="2"/>
                <w:sz w:val="20"/>
                <w:szCs w:val="20"/>
                <w:lang w:eastAsia="hi-IN" w:bidi="hi-IN"/>
              </w:rPr>
            </w:pPr>
            <w:r w:rsidRPr="00C47389">
              <w:rPr>
                <w:rFonts w:asciiTheme="minorHAnsi" w:hAnsiTheme="minorHAnsi"/>
                <w:b w:val="0"/>
                <w:color w:val="auto"/>
                <w:kern w:val="2"/>
                <w:sz w:val="20"/>
                <w:szCs w:val="20"/>
                <w:lang w:eastAsia="hi-IN" w:bidi="hi-IN"/>
              </w:rPr>
              <w:t>Aktywność</w:t>
            </w:r>
            <w:r w:rsidR="0093272F" w:rsidRPr="00C47389">
              <w:rPr>
                <w:rFonts w:asciiTheme="minorHAnsi" w:hAnsiTheme="minorHAnsi"/>
                <w:b w:val="0"/>
                <w:color w:val="auto"/>
                <w:kern w:val="2"/>
                <w:sz w:val="20"/>
                <w:szCs w:val="20"/>
                <w:lang w:eastAsia="hi-IN" w:bidi="hi-IN"/>
              </w:rPr>
              <w:t xml:space="preserve"> organizacji wyrażona wielkością dotacji udzielonych organizacjom </w:t>
            </w:r>
            <w:r w:rsidR="00486287">
              <w:rPr>
                <w:rFonts w:asciiTheme="minorHAnsi" w:hAnsiTheme="minorHAnsi"/>
                <w:b w:val="0"/>
                <w:color w:val="auto"/>
                <w:kern w:val="2"/>
                <w:sz w:val="20"/>
                <w:szCs w:val="20"/>
                <w:lang w:eastAsia="hi-IN" w:bidi="hi-IN"/>
              </w:rPr>
              <w:t>na zadania w dziedzinie kultury</w:t>
            </w:r>
            <w:r w:rsidR="0093272F" w:rsidRPr="00C47389">
              <w:rPr>
                <w:rFonts w:asciiTheme="minorHAnsi" w:hAnsiTheme="minorHAnsi"/>
                <w:b w:val="0"/>
                <w:color w:val="auto"/>
                <w:kern w:val="2"/>
                <w:sz w:val="20"/>
                <w:szCs w:val="20"/>
                <w:lang w:eastAsia="hi-IN" w:bidi="hi-IN"/>
              </w:rPr>
              <w:t xml:space="preserve"> </w:t>
            </w:r>
            <w:r w:rsidR="0093272F" w:rsidRPr="00486287">
              <w:rPr>
                <w:rFonts w:asciiTheme="minorHAnsi" w:hAnsiTheme="minorHAnsi"/>
                <w:b w:val="0"/>
                <w:color w:val="0070C0"/>
                <w:sz w:val="20"/>
                <w:szCs w:val="20"/>
              </w:rPr>
              <w:t>(</w:t>
            </w:r>
            <w:r w:rsidR="0093272F" w:rsidRPr="00486287">
              <w:rPr>
                <w:rFonts w:asciiTheme="minorHAnsi" w:hAnsiTheme="minorHAnsi"/>
                <w:b w:val="0"/>
                <w:color w:val="0070C0"/>
                <w:sz w:val="20"/>
              </w:rPr>
              <w:sym w:font="Wingdings 3" w:char="F06B"/>
            </w:r>
            <w:r w:rsidR="0093272F" w:rsidRPr="00486287">
              <w:rPr>
                <w:rFonts w:asciiTheme="minorHAnsi" w:hAnsiTheme="minorHAnsi"/>
                <w:b w:val="0"/>
                <w:color w:val="0070C0"/>
                <w:sz w:val="20"/>
                <w:szCs w:val="20"/>
              </w:rPr>
              <w:t>)</w:t>
            </w:r>
            <w:r w:rsidR="00486287">
              <w:rPr>
                <w:rFonts w:asciiTheme="minorHAnsi" w:hAnsiTheme="minorHAnsi"/>
                <w:b w:val="0"/>
                <w:color w:val="auto"/>
                <w:sz w:val="20"/>
                <w:szCs w:val="20"/>
              </w:rPr>
              <w:t>,</w:t>
            </w:r>
          </w:p>
          <w:p w:rsidR="0093272F" w:rsidRPr="00C47389" w:rsidRDefault="00E362A0" w:rsidP="00371563">
            <w:pPr>
              <w:pStyle w:val="Akapitzlist3"/>
              <w:numPr>
                <w:ilvl w:val="0"/>
                <w:numId w:val="98"/>
              </w:numPr>
              <w:spacing w:before="0" w:after="0" w:line="240" w:lineRule="auto"/>
              <w:ind w:left="414" w:hanging="357"/>
              <w:jc w:val="left"/>
              <w:rPr>
                <w:rFonts w:asciiTheme="minorHAnsi" w:hAnsiTheme="minorHAnsi"/>
                <w:b w:val="0"/>
                <w:bCs w:val="0"/>
                <w:color w:val="auto"/>
                <w:kern w:val="2"/>
                <w:sz w:val="20"/>
                <w:szCs w:val="20"/>
                <w:lang w:eastAsia="hi-IN" w:bidi="hi-IN"/>
              </w:rPr>
            </w:pPr>
            <w:r w:rsidRPr="00C47389">
              <w:rPr>
                <w:rFonts w:asciiTheme="minorHAnsi" w:hAnsiTheme="minorHAnsi"/>
                <w:b w:val="0"/>
                <w:color w:val="auto"/>
                <w:kern w:val="2"/>
                <w:sz w:val="20"/>
                <w:szCs w:val="20"/>
                <w:lang w:eastAsia="hi-IN" w:bidi="hi-IN"/>
              </w:rPr>
              <w:t>Liczba</w:t>
            </w:r>
            <w:r w:rsidR="0093272F" w:rsidRPr="00C47389">
              <w:rPr>
                <w:rFonts w:asciiTheme="minorHAnsi" w:hAnsiTheme="minorHAnsi"/>
                <w:b w:val="0"/>
                <w:color w:val="auto"/>
                <w:kern w:val="2"/>
                <w:sz w:val="20"/>
                <w:szCs w:val="20"/>
                <w:lang w:eastAsia="hi-IN" w:bidi="hi-IN"/>
              </w:rPr>
              <w:t xml:space="preserve"> klubów sportowych i Uczniowskich Klubów Sportowych działając</w:t>
            </w:r>
            <w:r w:rsidR="00486287">
              <w:rPr>
                <w:rFonts w:asciiTheme="minorHAnsi" w:hAnsiTheme="minorHAnsi"/>
                <w:b w:val="0"/>
                <w:color w:val="auto"/>
                <w:kern w:val="2"/>
                <w:sz w:val="20"/>
                <w:szCs w:val="20"/>
                <w:lang w:eastAsia="hi-IN" w:bidi="hi-IN"/>
              </w:rPr>
              <w:t>ych na rewitalizowanym obszarze</w:t>
            </w:r>
            <w:r w:rsidR="0093272F" w:rsidRPr="00C47389">
              <w:rPr>
                <w:rFonts w:asciiTheme="minorHAnsi" w:hAnsiTheme="minorHAnsi"/>
                <w:b w:val="0"/>
                <w:color w:val="auto"/>
                <w:kern w:val="2"/>
                <w:sz w:val="20"/>
                <w:szCs w:val="20"/>
                <w:lang w:eastAsia="hi-IN" w:bidi="hi-IN"/>
              </w:rPr>
              <w:t xml:space="preserve"> </w:t>
            </w:r>
            <w:r w:rsidR="0093272F" w:rsidRPr="00486287">
              <w:rPr>
                <w:rFonts w:asciiTheme="minorHAnsi" w:hAnsiTheme="minorHAnsi"/>
                <w:b w:val="0"/>
                <w:color w:val="0070C0"/>
                <w:sz w:val="20"/>
                <w:szCs w:val="20"/>
              </w:rPr>
              <w:t>(</w:t>
            </w:r>
            <w:r w:rsidR="00284A94" w:rsidRPr="00486287">
              <w:rPr>
                <w:rFonts w:asciiTheme="minorHAnsi" w:hAnsiTheme="minorHAnsi"/>
                <w:b w:val="0"/>
                <w:color w:val="0070C0"/>
                <w:sz w:val="20"/>
                <w:szCs w:val="20"/>
              </w:rPr>
              <w:t xml:space="preserve">= lub </w:t>
            </w:r>
            <w:r w:rsidR="0093272F" w:rsidRPr="00486287">
              <w:rPr>
                <w:rFonts w:asciiTheme="minorHAnsi" w:hAnsiTheme="minorHAnsi"/>
                <w:b w:val="0"/>
                <w:color w:val="0070C0"/>
                <w:sz w:val="20"/>
              </w:rPr>
              <w:sym w:font="Wingdings 3" w:char="F06B"/>
            </w:r>
            <w:r w:rsidR="0093272F" w:rsidRPr="00486287">
              <w:rPr>
                <w:rFonts w:asciiTheme="minorHAnsi" w:hAnsiTheme="minorHAnsi"/>
                <w:b w:val="0"/>
                <w:color w:val="0070C0"/>
                <w:sz w:val="20"/>
                <w:szCs w:val="20"/>
              </w:rPr>
              <w:t>)</w:t>
            </w:r>
            <w:r w:rsidR="00486287">
              <w:rPr>
                <w:rFonts w:asciiTheme="minorHAnsi" w:hAnsiTheme="minorHAnsi"/>
                <w:b w:val="0"/>
                <w:color w:val="auto"/>
                <w:sz w:val="20"/>
                <w:szCs w:val="20"/>
              </w:rPr>
              <w:t>,</w:t>
            </w:r>
          </w:p>
          <w:p w:rsidR="0093272F" w:rsidRPr="00C47389" w:rsidRDefault="00E362A0" w:rsidP="00371563">
            <w:pPr>
              <w:pStyle w:val="Akapitzlist3"/>
              <w:numPr>
                <w:ilvl w:val="0"/>
                <w:numId w:val="98"/>
              </w:numPr>
              <w:spacing w:before="0" w:after="0" w:line="240" w:lineRule="auto"/>
              <w:ind w:left="414" w:hanging="357"/>
              <w:jc w:val="left"/>
              <w:rPr>
                <w:rFonts w:asciiTheme="minorHAnsi" w:hAnsiTheme="minorHAnsi"/>
                <w:b w:val="0"/>
                <w:bCs w:val="0"/>
                <w:color w:val="auto"/>
                <w:kern w:val="2"/>
                <w:sz w:val="20"/>
                <w:szCs w:val="20"/>
                <w:lang w:eastAsia="hi-IN" w:bidi="hi-IN"/>
              </w:rPr>
            </w:pPr>
            <w:r w:rsidRPr="00C47389">
              <w:rPr>
                <w:rFonts w:asciiTheme="minorHAnsi" w:hAnsiTheme="minorHAnsi" w:cs="Times New Roman"/>
                <w:b w:val="0"/>
                <w:color w:val="auto"/>
                <w:kern w:val="2"/>
                <w:sz w:val="20"/>
                <w:szCs w:val="20"/>
                <w:lang w:eastAsia="hi-IN" w:bidi="hi-IN"/>
              </w:rPr>
              <w:t>Liczba</w:t>
            </w:r>
            <w:r w:rsidR="0093272F" w:rsidRPr="00C47389">
              <w:rPr>
                <w:rFonts w:asciiTheme="minorHAnsi" w:hAnsiTheme="minorHAnsi" w:cs="Times New Roman"/>
                <w:b w:val="0"/>
                <w:color w:val="auto"/>
                <w:kern w:val="2"/>
                <w:sz w:val="20"/>
                <w:szCs w:val="20"/>
                <w:lang w:eastAsia="hi-IN" w:bidi="hi-IN"/>
              </w:rPr>
              <w:t xml:space="preserve"> miejsc pracy utworzonych w</w:t>
            </w:r>
            <w:r w:rsidR="0083358D">
              <w:rPr>
                <w:rFonts w:asciiTheme="minorHAnsi" w:hAnsiTheme="minorHAnsi" w:cs="Times New Roman"/>
                <w:b w:val="0"/>
                <w:color w:val="auto"/>
                <w:kern w:val="2"/>
                <w:sz w:val="20"/>
                <w:szCs w:val="20"/>
                <w:lang w:eastAsia="hi-IN" w:bidi="hi-IN"/>
              </w:rPr>
              <w:t> </w:t>
            </w:r>
            <w:r w:rsidR="0093272F" w:rsidRPr="00C47389">
              <w:rPr>
                <w:rFonts w:asciiTheme="minorHAnsi" w:hAnsiTheme="minorHAnsi" w:cs="Times New Roman"/>
                <w:b w:val="0"/>
                <w:color w:val="auto"/>
                <w:kern w:val="2"/>
                <w:sz w:val="20"/>
                <w:szCs w:val="20"/>
                <w:lang w:eastAsia="hi-IN" w:bidi="hi-IN"/>
              </w:rPr>
              <w:t xml:space="preserve">przedsiębiorstwach społecznych </w:t>
            </w:r>
            <w:r w:rsidR="0093272F" w:rsidRPr="00E66964">
              <w:rPr>
                <w:rFonts w:asciiTheme="minorHAnsi" w:hAnsiTheme="minorHAnsi" w:cs="Times New Roman"/>
                <w:b w:val="0"/>
                <w:color w:val="0070C0"/>
                <w:sz w:val="20"/>
                <w:szCs w:val="20"/>
              </w:rPr>
              <w:t>(</w:t>
            </w:r>
            <w:r w:rsidR="0093272F" w:rsidRPr="00E66964">
              <w:rPr>
                <w:rFonts w:asciiTheme="minorHAnsi" w:hAnsiTheme="minorHAnsi" w:cs="Times New Roman"/>
                <w:b w:val="0"/>
                <w:color w:val="0070C0"/>
                <w:sz w:val="20"/>
                <w:szCs w:val="20"/>
              </w:rPr>
              <w:sym w:font="Wingdings 3" w:char="F06B"/>
            </w:r>
            <w:r w:rsidR="0093272F" w:rsidRPr="00E66964">
              <w:rPr>
                <w:rFonts w:asciiTheme="minorHAnsi" w:hAnsiTheme="minorHAnsi" w:cs="Times New Roman"/>
                <w:b w:val="0"/>
                <w:color w:val="0070C0"/>
                <w:sz w:val="20"/>
                <w:szCs w:val="20"/>
              </w:rPr>
              <w:t>)</w:t>
            </w:r>
            <w:r w:rsidR="00486287">
              <w:rPr>
                <w:rFonts w:asciiTheme="minorHAnsi" w:hAnsiTheme="minorHAnsi" w:cs="Times New Roman"/>
                <w:b w:val="0"/>
                <w:color w:val="auto"/>
                <w:sz w:val="20"/>
                <w:szCs w:val="20"/>
              </w:rPr>
              <w:t>,</w:t>
            </w:r>
          </w:p>
          <w:p w:rsidR="0093272F" w:rsidRPr="00766EF0" w:rsidRDefault="00290AB7" w:rsidP="00371563">
            <w:pPr>
              <w:pStyle w:val="Akapitzlist3"/>
              <w:numPr>
                <w:ilvl w:val="0"/>
                <w:numId w:val="98"/>
              </w:numPr>
              <w:spacing w:before="0" w:after="0" w:line="240" w:lineRule="auto"/>
              <w:ind w:left="414" w:hanging="357"/>
              <w:jc w:val="left"/>
              <w:rPr>
                <w:rFonts w:asciiTheme="minorHAnsi" w:hAnsiTheme="minorHAnsi"/>
                <w:b w:val="0"/>
                <w:bCs w:val="0"/>
                <w:color w:val="FF0000"/>
                <w:kern w:val="2"/>
                <w:sz w:val="20"/>
                <w:szCs w:val="20"/>
                <w:lang w:eastAsia="hi-IN" w:bidi="hi-IN"/>
              </w:rPr>
            </w:pPr>
            <w:r w:rsidRPr="00C47389">
              <w:rPr>
                <w:rFonts w:asciiTheme="minorHAnsi" w:hAnsiTheme="minorHAnsi"/>
                <w:b w:val="0"/>
                <w:bCs w:val="0"/>
                <w:color w:val="auto"/>
                <w:kern w:val="2"/>
                <w:sz w:val="20"/>
                <w:szCs w:val="20"/>
                <w:lang w:eastAsia="hi-IN" w:bidi="hi-IN"/>
              </w:rPr>
              <w:t xml:space="preserve">Frekwencja w wyborach samorządowych </w:t>
            </w:r>
            <w:r w:rsidRPr="00E66964">
              <w:rPr>
                <w:rFonts w:asciiTheme="minorHAnsi" w:hAnsiTheme="minorHAnsi"/>
                <w:b w:val="0"/>
                <w:color w:val="0070C0"/>
                <w:kern w:val="2"/>
                <w:sz w:val="20"/>
                <w:szCs w:val="20"/>
                <w:lang w:eastAsia="hi-IN" w:bidi="hi-IN"/>
              </w:rPr>
              <w:t>(</w:t>
            </w:r>
            <w:r w:rsidRPr="00E66964">
              <w:rPr>
                <w:rFonts w:asciiTheme="minorHAnsi" w:hAnsiTheme="minorHAnsi"/>
                <w:b w:val="0"/>
                <w:color w:val="0070C0"/>
                <w:kern w:val="2"/>
                <w:sz w:val="20"/>
                <w:szCs w:val="20"/>
                <w:lang w:eastAsia="hi-IN" w:bidi="hi-IN"/>
              </w:rPr>
              <w:sym w:font="Wingdings 3" w:char="F06B"/>
            </w:r>
            <w:r w:rsidRPr="00E66964">
              <w:rPr>
                <w:rFonts w:asciiTheme="minorHAnsi" w:hAnsiTheme="minorHAnsi"/>
                <w:b w:val="0"/>
                <w:color w:val="0070C0"/>
                <w:kern w:val="2"/>
                <w:sz w:val="20"/>
                <w:szCs w:val="20"/>
                <w:lang w:eastAsia="hi-IN" w:bidi="hi-IN"/>
              </w:rPr>
              <w:t>)</w:t>
            </w:r>
            <w:r w:rsidR="00E362A0">
              <w:rPr>
                <w:rFonts w:asciiTheme="minorHAnsi" w:hAnsiTheme="minorHAnsi"/>
                <w:b w:val="0"/>
                <w:color w:val="0070C0"/>
                <w:kern w:val="2"/>
                <w:sz w:val="20"/>
                <w:szCs w:val="20"/>
                <w:lang w:eastAsia="hi-IN" w:bidi="hi-IN"/>
              </w:rPr>
              <w:t>.</w:t>
            </w:r>
          </w:p>
        </w:tc>
      </w:tr>
      <w:tr w:rsidR="00290AB7" w:rsidRPr="00470146" w:rsidTr="00470146">
        <w:tc>
          <w:tcPr>
            <w:tcW w:w="5000" w:type="pct"/>
            <w:gridSpan w:val="2"/>
            <w:tcBorders>
              <w:top w:val="single" w:sz="4" w:space="0" w:color="000000"/>
              <w:left w:val="single" w:sz="4" w:space="0" w:color="000000"/>
              <w:bottom w:val="single" w:sz="4" w:space="0" w:color="000000"/>
              <w:right w:val="single" w:sz="4" w:space="0" w:color="000000"/>
            </w:tcBorders>
            <w:shd w:val="clear" w:color="auto" w:fill="99CCFF"/>
          </w:tcPr>
          <w:p w:rsidR="00290AB7" w:rsidRPr="00470146" w:rsidRDefault="00290AB7" w:rsidP="003D3B7A">
            <w:pPr>
              <w:suppressAutoHyphens/>
              <w:spacing w:before="60" w:after="40"/>
              <w:jc w:val="center"/>
              <w:rPr>
                <w:b/>
                <w:bCs/>
                <w:color w:val="000000"/>
                <w:sz w:val="22"/>
                <w:szCs w:val="20"/>
              </w:rPr>
            </w:pPr>
            <w:r w:rsidRPr="00470146">
              <w:rPr>
                <w:b/>
                <w:bCs/>
                <w:color w:val="000000"/>
                <w:sz w:val="22"/>
                <w:szCs w:val="20"/>
              </w:rPr>
              <w:t>CEL STRATEGICZNY 3</w:t>
            </w:r>
          </w:p>
          <w:p w:rsidR="00290AB7" w:rsidRPr="00470146" w:rsidRDefault="00290AB7" w:rsidP="00470146">
            <w:pPr>
              <w:suppressAutoHyphens/>
              <w:spacing w:before="40" w:after="40"/>
              <w:jc w:val="center"/>
              <w:rPr>
                <w:color w:val="000000"/>
                <w:kern w:val="2"/>
                <w:szCs w:val="20"/>
                <w:lang w:eastAsia="hi-IN" w:bidi="hi-IN"/>
              </w:rPr>
            </w:pPr>
            <w:r w:rsidRPr="00470146">
              <w:rPr>
                <w:b/>
                <w:bCs/>
                <w:color w:val="000000"/>
                <w:sz w:val="22"/>
                <w:szCs w:val="20"/>
              </w:rPr>
              <w:t>Funkcjonalna i estetyczna atrakcyjność przestrzeni publicznych, w których realizowane są działalności integrujące społeczności lokalne oraz decydujące o witalności i wizerunku miasta</w:t>
            </w:r>
          </w:p>
        </w:tc>
      </w:tr>
      <w:tr w:rsidR="00290AB7" w:rsidRPr="00470146" w:rsidTr="008E6A9F">
        <w:tc>
          <w:tcPr>
            <w:tcW w:w="2505" w:type="pct"/>
            <w:tcBorders>
              <w:top w:val="single" w:sz="4" w:space="0" w:color="000000"/>
              <w:left w:val="single" w:sz="4" w:space="0" w:color="000000"/>
              <w:bottom w:val="single" w:sz="4" w:space="0" w:color="000000"/>
              <w:right w:val="single" w:sz="4" w:space="0" w:color="000000"/>
            </w:tcBorders>
          </w:tcPr>
          <w:p w:rsidR="00290AB7" w:rsidRPr="00470146" w:rsidRDefault="00290AB7" w:rsidP="00371563">
            <w:pPr>
              <w:suppressAutoHyphens/>
              <w:ind w:left="57"/>
              <w:jc w:val="both"/>
              <w:rPr>
                <w:b/>
                <w:bCs/>
                <w:szCs w:val="20"/>
              </w:rPr>
            </w:pPr>
            <w:r w:rsidRPr="00470146">
              <w:rPr>
                <w:b/>
                <w:bCs/>
                <w:szCs w:val="20"/>
              </w:rPr>
              <w:t>CEL OPERACYJNY 3.1</w:t>
            </w:r>
            <w:r w:rsidRPr="00470146">
              <w:rPr>
                <w:b/>
                <w:bCs/>
                <w:szCs w:val="20"/>
              </w:rPr>
              <w:tab/>
            </w:r>
          </w:p>
          <w:p w:rsidR="00290AB7" w:rsidRPr="00470146" w:rsidRDefault="00290AB7" w:rsidP="00371563">
            <w:pPr>
              <w:suppressAutoHyphens/>
              <w:ind w:left="57"/>
              <w:rPr>
                <w:szCs w:val="20"/>
              </w:rPr>
            </w:pPr>
            <w:r w:rsidRPr="00470146">
              <w:rPr>
                <w:szCs w:val="20"/>
              </w:rPr>
              <w:t>Odpowiadająca współczesnym standardom cywilizacyjnym jakość zabudowy na obszarach rewitalizowanych oraz wzrost odpowiedzialności mieszkańców za komunalny zasób mieszkaniowy</w:t>
            </w:r>
          </w:p>
        </w:tc>
        <w:tc>
          <w:tcPr>
            <w:tcW w:w="2495" w:type="pct"/>
            <w:tcBorders>
              <w:top w:val="single" w:sz="4" w:space="0" w:color="000000"/>
              <w:left w:val="single" w:sz="4" w:space="0" w:color="000000"/>
              <w:bottom w:val="single" w:sz="4" w:space="0" w:color="000000"/>
              <w:right w:val="single" w:sz="4" w:space="0" w:color="000000"/>
            </w:tcBorders>
          </w:tcPr>
          <w:p w:rsidR="00290AB7" w:rsidRPr="00C47389" w:rsidRDefault="00290AB7" w:rsidP="00371563">
            <w:pPr>
              <w:pStyle w:val="Akapitzlist3"/>
              <w:numPr>
                <w:ilvl w:val="0"/>
                <w:numId w:val="98"/>
              </w:numPr>
              <w:spacing w:before="0" w:after="0" w:line="240" w:lineRule="auto"/>
              <w:ind w:left="414" w:hanging="357"/>
              <w:jc w:val="left"/>
              <w:rPr>
                <w:rFonts w:asciiTheme="minorHAnsi" w:hAnsiTheme="minorHAnsi"/>
                <w:b w:val="0"/>
                <w:bCs w:val="0"/>
                <w:color w:val="auto"/>
                <w:kern w:val="2"/>
                <w:sz w:val="20"/>
                <w:szCs w:val="20"/>
                <w:lang w:eastAsia="hi-IN" w:bidi="hi-IN"/>
              </w:rPr>
            </w:pPr>
            <w:r w:rsidRPr="00C47389">
              <w:rPr>
                <w:rFonts w:asciiTheme="minorHAnsi" w:hAnsiTheme="minorHAnsi"/>
                <w:b w:val="0"/>
                <w:bCs w:val="0"/>
                <w:color w:val="auto"/>
                <w:kern w:val="2"/>
                <w:sz w:val="20"/>
                <w:szCs w:val="20"/>
                <w:lang w:eastAsia="hi-IN" w:bidi="hi-IN"/>
              </w:rPr>
              <w:t xml:space="preserve">Liczba zmodernizowanych budynków mieszkalnych </w:t>
            </w:r>
            <w:r w:rsidRPr="00BE7B04">
              <w:rPr>
                <w:rFonts w:asciiTheme="minorHAnsi" w:hAnsiTheme="minorHAnsi"/>
                <w:b w:val="0"/>
                <w:color w:val="0070C0"/>
                <w:kern w:val="2"/>
                <w:sz w:val="20"/>
                <w:szCs w:val="20"/>
                <w:lang w:eastAsia="hi-IN" w:bidi="hi-IN"/>
              </w:rPr>
              <w:t>(</w:t>
            </w:r>
            <w:r w:rsidRPr="00BE7B04">
              <w:rPr>
                <w:rFonts w:asciiTheme="minorHAnsi" w:hAnsiTheme="minorHAnsi"/>
                <w:b w:val="0"/>
                <w:color w:val="0070C0"/>
                <w:kern w:val="2"/>
                <w:sz w:val="20"/>
                <w:szCs w:val="20"/>
                <w:lang w:eastAsia="hi-IN" w:bidi="hi-IN"/>
              </w:rPr>
              <w:sym w:font="Wingdings 3" w:char="F06B"/>
            </w:r>
            <w:r w:rsidRPr="00BE7B04">
              <w:rPr>
                <w:rFonts w:asciiTheme="minorHAnsi" w:hAnsiTheme="minorHAnsi"/>
                <w:b w:val="0"/>
                <w:color w:val="0070C0"/>
                <w:kern w:val="2"/>
                <w:sz w:val="20"/>
                <w:szCs w:val="20"/>
                <w:lang w:eastAsia="hi-IN" w:bidi="hi-IN"/>
              </w:rPr>
              <w:t>)</w:t>
            </w:r>
            <w:r w:rsidR="00BE7B04">
              <w:rPr>
                <w:rFonts w:asciiTheme="minorHAnsi" w:hAnsiTheme="minorHAnsi"/>
                <w:b w:val="0"/>
                <w:color w:val="auto"/>
                <w:kern w:val="2"/>
                <w:sz w:val="20"/>
                <w:szCs w:val="20"/>
                <w:lang w:eastAsia="hi-IN" w:bidi="hi-IN"/>
              </w:rPr>
              <w:t>,</w:t>
            </w:r>
          </w:p>
          <w:p w:rsidR="00290AB7" w:rsidRPr="00C47389" w:rsidRDefault="00290AB7" w:rsidP="00371563">
            <w:pPr>
              <w:pStyle w:val="Akapitzlist3"/>
              <w:numPr>
                <w:ilvl w:val="0"/>
                <w:numId w:val="98"/>
              </w:numPr>
              <w:spacing w:before="0" w:after="0" w:line="240" w:lineRule="auto"/>
              <w:ind w:left="414" w:hanging="357"/>
              <w:jc w:val="left"/>
              <w:rPr>
                <w:rFonts w:asciiTheme="minorHAnsi" w:hAnsiTheme="minorHAnsi"/>
                <w:b w:val="0"/>
                <w:bCs w:val="0"/>
                <w:color w:val="auto"/>
                <w:kern w:val="2"/>
                <w:sz w:val="20"/>
                <w:szCs w:val="20"/>
                <w:lang w:eastAsia="hi-IN" w:bidi="hi-IN"/>
              </w:rPr>
            </w:pPr>
            <w:r w:rsidRPr="00C47389">
              <w:rPr>
                <w:rFonts w:asciiTheme="minorHAnsi" w:hAnsiTheme="minorHAnsi"/>
                <w:b w:val="0"/>
                <w:bCs w:val="0"/>
                <w:color w:val="auto"/>
                <w:kern w:val="2"/>
                <w:sz w:val="20"/>
                <w:szCs w:val="20"/>
                <w:lang w:eastAsia="hi-IN" w:bidi="hi-IN"/>
              </w:rPr>
              <w:t xml:space="preserve">Ilość </w:t>
            </w:r>
            <w:r w:rsidR="00824C89" w:rsidRPr="00C47389">
              <w:rPr>
                <w:rFonts w:asciiTheme="minorHAnsi" w:hAnsiTheme="minorHAnsi"/>
                <w:b w:val="0"/>
                <w:bCs w:val="0"/>
                <w:color w:val="auto"/>
                <w:kern w:val="2"/>
                <w:sz w:val="20"/>
                <w:szCs w:val="20"/>
                <w:lang w:eastAsia="hi-IN" w:bidi="hi-IN"/>
              </w:rPr>
              <w:t>z</w:t>
            </w:r>
            <w:r w:rsidRPr="00C47389">
              <w:rPr>
                <w:rFonts w:asciiTheme="minorHAnsi" w:hAnsiTheme="minorHAnsi"/>
                <w:b w:val="0"/>
                <w:bCs w:val="0"/>
                <w:color w:val="auto"/>
                <w:kern w:val="2"/>
                <w:sz w:val="20"/>
                <w:szCs w:val="20"/>
                <w:lang w:eastAsia="hi-IN" w:bidi="hi-IN"/>
              </w:rPr>
              <w:t xml:space="preserve">likwidowanych źródeł niskiej emisji </w:t>
            </w:r>
            <w:r w:rsidRPr="00BE7B04">
              <w:rPr>
                <w:rFonts w:asciiTheme="minorHAnsi" w:hAnsiTheme="minorHAnsi"/>
                <w:b w:val="0"/>
                <w:color w:val="0070C0"/>
                <w:kern w:val="2"/>
                <w:sz w:val="20"/>
                <w:szCs w:val="20"/>
                <w:lang w:eastAsia="hi-IN" w:bidi="hi-IN"/>
              </w:rPr>
              <w:t>(</w:t>
            </w:r>
            <w:r w:rsidRPr="00BE7B04">
              <w:rPr>
                <w:rFonts w:asciiTheme="minorHAnsi" w:hAnsiTheme="minorHAnsi"/>
                <w:b w:val="0"/>
                <w:color w:val="0070C0"/>
                <w:kern w:val="2"/>
                <w:sz w:val="20"/>
                <w:szCs w:val="20"/>
                <w:lang w:eastAsia="hi-IN" w:bidi="hi-IN"/>
              </w:rPr>
              <w:sym w:font="Wingdings 3" w:char="F06B"/>
            </w:r>
            <w:r w:rsidRPr="00BE7B04">
              <w:rPr>
                <w:rFonts w:asciiTheme="minorHAnsi" w:hAnsiTheme="minorHAnsi"/>
                <w:b w:val="0"/>
                <w:color w:val="0070C0"/>
                <w:kern w:val="2"/>
                <w:sz w:val="20"/>
                <w:szCs w:val="20"/>
                <w:lang w:eastAsia="hi-IN" w:bidi="hi-IN"/>
              </w:rPr>
              <w:t>)</w:t>
            </w:r>
            <w:r w:rsidR="00BE7B04">
              <w:rPr>
                <w:rFonts w:asciiTheme="minorHAnsi" w:hAnsiTheme="minorHAnsi"/>
                <w:b w:val="0"/>
                <w:color w:val="auto"/>
                <w:kern w:val="2"/>
                <w:sz w:val="20"/>
                <w:szCs w:val="20"/>
                <w:lang w:eastAsia="hi-IN" w:bidi="hi-IN"/>
              </w:rPr>
              <w:t>,</w:t>
            </w:r>
          </w:p>
          <w:p w:rsidR="00290AB7" w:rsidRPr="00C47389" w:rsidRDefault="00290AB7" w:rsidP="00371563">
            <w:pPr>
              <w:pStyle w:val="Akapitzlist3"/>
              <w:numPr>
                <w:ilvl w:val="0"/>
                <w:numId w:val="98"/>
              </w:numPr>
              <w:spacing w:before="0" w:after="0" w:line="240" w:lineRule="auto"/>
              <w:ind w:left="414" w:hanging="357"/>
              <w:jc w:val="left"/>
              <w:rPr>
                <w:rFonts w:asciiTheme="minorHAnsi" w:hAnsiTheme="minorHAnsi"/>
                <w:b w:val="0"/>
                <w:bCs w:val="0"/>
                <w:color w:val="auto"/>
                <w:kern w:val="2"/>
                <w:sz w:val="20"/>
                <w:szCs w:val="20"/>
                <w:lang w:eastAsia="hi-IN" w:bidi="hi-IN"/>
              </w:rPr>
            </w:pPr>
            <w:r w:rsidRPr="00C47389">
              <w:rPr>
                <w:rFonts w:asciiTheme="minorHAnsi" w:hAnsiTheme="minorHAnsi"/>
                <w:b w:val="0"/>
                <w:bCs w:val="0"/>
                <w:color w:val="auto"/>
                <w:kern w:val="2"/>
                <w:sz w:val="20"/>
                <w:szCs w:val="20"/>
                <w:lang w:eastAsia="hi-IN" w:bidi="hi-IN"/>
              </w:rPr>
              <w:t xml:space="preserve">Odsetek należących do gminy budynków według szacowanego stanu technicznego budynków </w:t>
            </w:r>
            <w:r w:rsidRPr="00BE7B04">
              <w:rPr>
                <w:rFonts w:asciiTheme="minorHAnsi" w:hAnsiTheme="minorHAnsi"/>
                <w:b w:val="0"/>
                <w:bCs w:val="0"/>
                <w:color w:val="0070C0"/>
                <w:kern w:val="2"/>
                <w:sz w:val="20"/>
                <w:szCs w:val="20"/>
                <w:lang w:eastAsia="hi-IN" w:bidi="hi-IN"/>
              </w:rPr>
              <w:t>(szacowany w</w:t>
            </w:r>
            <w:r w:rsidR="0069136D">
              <w:rPr>
                <w:rFonts w:asciiTheme="minorHAnsi" w:hAnsiTheme="minorHAnsi"/>
                <w:b w:val="0"/>
                <w:bCs w:val="0"/>
                <w:color w:val="0070C0"/>
                <w:kern w:val="2"/>
                <w:sz w:val="20"/>
                <w:szCs w:val="20"/>
                <w:lang w:eastAsia="hi-IN" w:bidi="hi-IN"/>
              </w:rPr>
              <w:t> </w:t>
            </w:r>
            <w:r w:rsidRPr="00BE7B04">
              <w:rPr>
                <w:rFonts w:asciiTheme="minorHAnsi" w:hAnsiTheme="minorHAnsi"/>
                <w:b w:val="0"/>
                <w:bCs w:val="0"/>
                <w:color w:val="0070C0"/>
                <w:kern w:val="2"/>
                <w:sz w:val="20"/>
                <w:szCs w:val="20"/>
                <w:lang w:eastAsia="hi-IN" w:bidi="hi-IN"/>
              </w:rPr>
              <w:t>pięciostopniowej skali:</w:t>
            </w:r>
            <w:r w:rsidRPr="00C47389">
              <w:rPr>
                <w:rFonts w:asciiTheme="minorHAnsi" w:hAnsiTheme="minorHAnsi"/>
                <w:b w:val="0"/>
                <w:bCs w:val="0"/>
                <w:color w:val="auto"/>
                <w:kern w:val="2"/>
                <w:sz w:val="20"/>
                <w:szCs w:val="20"/>
                <w:lang w:eastAsia="hi-IN" w:bidi="hi-IN"/>
              </w:rPr>
              <w:t xml:space="preserve"> </w:t>
            </w:r>
            <w:r w:rsidRPr="00BE7B04">
              <w:rPr>
                <w:rFonts w:asciiTheme="minorHAnsi" w:hAnsiTheme="minorHAnsi"/>
                <w:b w:val="0"/>
                <w:bCs w:val="0"/>
                <w:color w:val="0070C0"/>
                <w:kern w:val="2"/>
                <w:sz w:val="20"/>
                <w:szCs w:val="20"/>
                <w:lang w:eastAsia="hi-IN" w:bidi="hi-IN"/>
              </w:rPr>
              <w:sym w:font="Wingdings 3" w:char="F06D"/>
            </w:r>
            <w:r w:rsidRPr="00BE7B04">
              <w:rPr>
                <w:rFonts w:asciiTheme="minorHAnsi" w:hAnsiTheme="minorHAnsi"/>
                <w:b w:val="0"/>
                <w:bCs w:val="0"/>
                <w:color w:val="0070C0"/>
                <w:kern w:val="2"/>
                <w:sz w:val="20"/>
                <w:szCs w:val="20"/>
                <w:lang w:eastAsia="hi-IN" w:bidi="hi-IN"/>
              </w:rPr>
              <w:t xml:space="preserve"> dla zasobów </w:t>
            </w:r>
            <w:r w:rsidR="00284A94" w:rsidRPr="00BE7B04">
              <w:rPr>
                <w:rFonts w:asciiTheme="minorHAnsi" w:hAnsiTheme="minorHAnsi"/>
                <w:b w:val="0"/>
                <w:bCs w:val="0"/>
                <w:color w:val="0070C0"/>
                <w:kern w:val="2"/>
                <w:sz w:val="20"/>
                <w:szCs w:val="20"/>
                <w:lang w:eastAsia="hi-IN" w:bidi="hi-IN"/>
              </w:rPr>
              <w:t>w złym stanie technicznym</w:t>
            </w:r>
            <w:r w:rsidRPr="00BE7B04">
              <w:rPr>
                <w:rFonts w:asciiTheme="minorHAnsi" w:hAnsiTheme="minorHAnsi"/>
                <w:b w:val="0"/>
                <w:bCs w:val="0"/>
                <w:color w:val="0070C0"/>
                <w:kern w:val="2"/>
                <w:sz w:val="20"/>
                <w:szCs w:val="20"/>
                <w:lang w:eastAsia="hi-IN" w:bidi="hi-IN"/>
              </w:rPr>
              <w:t xml:space="preserve">, </w:t>
            </w:r>
            <w:r w:rsidRPr="00BE7B04">
              <w:rPr>
                <w:rFonts w:asciiTheme="minorHAnsi" w:hAnsiTheme="minorHAnsi"/>
                <w:b w:val="0"/>
                <w:bCs w:val="0"/>
                <w:color w:val="0070C0"/>
                <w:kern w:val="2"/>
                <w:sz w:val="20"/>
                <w:szCs w:val="20"/>
                <w:lang w:eastAsia="hi-IN" w:bidi="hi-IN"/>
              </w:rPr>
              <w:sym w:font="Wingdings 3" w:char="F06B"/>
            </w:r>
            <w:r w:rsidRPr="00BE7B04">
              <w:rPr>
                <w:rFonts w:asciiTheme="minorHAnsi" w:hAnsiTheme="minorHAnsi"/>
                <w:b w:val="0"/>
                <w:bCs w:val="0"/>
                <w:color w:val="0070C0"/>
                <w:kern w:val="2"/>
                <w:sz w:val="20"/>
                <w:szCs w:val="20"/>
                <w:lang w:eastAsia="hi-IN" w:bidi="hi-IN"/>
              </w:rPr>
              <w:t xml:space="preserve"> dla zasobów </w:t>
            </w:r>
            <w:r w:rsidR="00284A94" w:rsidRPr="00BE7B04">
              <w:rPr>
                <w:rFonts w:asciiTheme="minorHAnsi" w:hAnsiTheme="minorHAnsi"/>
                <w:b w:val="0"/>
                <w:bCs w:val="0"/>
                <w:color w:val="0070C0"/>
                <w:kern w:val="2"/>
                <w:sz w:val="20"/>
                <w:szCs w:val="20"/>
                <w:lang w:eastAsia="hi-IN" w:bidi="hi-IN"/>
              </w:rPr>
              <w:t>w dobrym stanie technicznym</w:t>
            </w:r>
            <w:r w:rsidRPr="00BE7B04">
              <w:rPr>
                <w:rFonts w:asciiTheme="minorHAnsi" w:hAnsiTheme="minorHAnsi"/>
                <w:b w:val="0"/>
                <w:bCs w:val="0"/>
                <w:color w:val="0070C0"/>
                <w:kern w:val="2"/>
                <w:sz w:val="20"/>
                <w:szCs w:val="20"/>
                <w:lang w:eastAsia="hi-IN" w:bidi="hi-IN"/>
              </w:rPr>
              <w:t>)</w:t>
            </w:r>
            <w:r w:rsidR="00BE7B04">
              <w:rPr>
                <w:rFonts w:asciiTheme="minorHAnsi" w:hAnsiTheme="minorHAnsi"/>
                <w:b w:val="0"/>
                <w:bCs w:val="0"/>
                <w:color w:val="auto"/>
                <w:kern w:val="2"/>
                <w:sz w:val="20"/>
                <w:szCs w:val="20"/>
                <w:lang w:eastAsia="hi-IN" w:bidi="hi-IN"/>
              </w:rPr>
              <w:t>,</w:t>
            </w:r>
          </w:p>
          <w:p w:rsidR="00865887" w:rsidRPr="00C47389" w:rsidRDefault="00E362A0" w:rsidP="00371563">
            <w:pPr>
              <w:pStyle w:val="Akapitzlist3"/>
              <w:numPr>
                <w:ilvl w:val="0"/>
                <w:numId w:val="98"/>
              </w:numPr>
              <w:spacing w:before="0" w:after="0" w:line="240" w:lineRule="auto"/>
              <w:ind w:left="414" w:hanging="357"/>
              <w:jc w:val="left"/>
              <w:rPr>
                <w:rFonts w:asciiTheme="minorHAnsi" w:hAnsiTheme="minorHAnsi"/>
                <w:b w:val="0"/>
                <w:bCs w:val="0"/>
                <w:color w:val="auto"/>
                <w:kern w:val="2"/>
                <w:sz w:val="20"/>
                <w:szCs w:val="20"/>
                <w:lang w:eastAsia="hi-IN" w:bidi="hi-IN"/>
              </w:rPr>
            </w:pPr>
            <w:r>
              <w:rPr>
                <w:b w:val="0"/>
                <w:bCs w:val="0"/>
                <w:color w:val="auto"/>
                <w:kern w:val="2"/>
                <w:sz w:val="20"/>
                <w:szCs w:val="20"/>
                <w:lang w:eastAsia="hi-IN" w:bidi="hi-IN"/>
              </w:rPr>
              <w:t>Ś</w:t>
            </w:r>
            <w:r w:rsidRPr="00C47389">
              <w:rPr>
                <w:b w:val="0"/>
                <w:bCs w:val="0"/>
                <w:color w:val="auto"/>
                <w:kern w:val="2"/>
                <w:sz w:val="20"/>
                <w:szCs w:val="20"/>
                <w:lang w:eastAsia="hi-IN" w:bidi="hi-IN"/>
              </w:rPr>
              <w:t>rednie</w:t>
            </w:r>
            <w:r w:rsidR="00865887" w:rsidRPr="00C47389">
              <w:rPr>
                <w:b w:val="0"/>
                <w:bCs w:val="0"/>
                <w:color w:val="auto"/>
                <w:kern w:val="2"/>
                <w:sz w:val="20"/>
                <w:szCs w:val="20"/>
                <w:lang w:eastAsia="hi-IN" w:bidi="hi-IN"/>
              </w:rPr>
              <w:t xml:space="preserve"> zadłużenie w lokalach w zasobie mieszkaniowym gminy z przyznanymi zasiłkami celowymi</w:t>
            </w:r>
            <w:r w:rsidR="00BE7B04">
              <w:rPr>
                <w:b w:val="0"/>
                <w:bCs w:val="0"/>
                <w:color w:val="auto"/>
                <w:kern w:val="2"/>
                <w:sz w:val="20"/>
                <w:szCs w:val="20"/>
                <w:lang w:eastAsia="hi-IN" w:bidi="hi-IN"/>
              </w:rPr>
              <w:t xml:space="preserve"> </w:t>
            </w:r>
            <w:r w:rsidR="00865887" w:rsidRPr="00BE7B04">
              <w:rPr>
                <w:b w:val="0"/>
                <w:bCs w:val="0"/>
                <w:color w:val="0070C0"/>
                <w:sz w:val="20"/>
                <w:szCs w:val="20"/>
              </w:rPr>
              <w:t>(</w:t>
            </w:r>
            <w:r w:rsidR="00865887" w:rsidRPr="00BE7B04">
              <w:rPr>
                <w:b w:val="0"/>
                <w:bCs w:val="0"/>
                <w:color w:val="0070C0"/>
                <w:sz w:val="20"/>
                <w:szCs w:val="20"/>
              </w:rPr>
              <w:sym w:font="Wingdings 3" w:char="F06D"/>
            </w:r>
            <w:r w:rsidR="00865887" w:rsidRPr="00BE7B04">
              <w:rPr>
                <w:b w:val="0"/>
                <w:bCs w:val="0"/>
                <w:color w:val="0070C0"/>
                <w:sz w:val="20"/>
                <w:szCs w:val="20"/>
              </w:rPr>
              <w:t>)</w:t>
            </w:r>
            <w:r w:rsidRPr="00E362A0">
              <w:rPr>
                <w:b w:val="0"/>
                <w:bCs w:val="0"/>
                <w:color w:val="auto"/>
                <w:sz w:val="20"/>
                <w:szCs w:val="20"/>
              </w:rPr>
              <w:t>.</w:t>
            </w:r>
          </w:p>
        </w:tc>
      </w:tr>
      <w:tr w:rsidR="00290AB7" w:rsidRPr="00470146" w:rsidTr="008E6A9F">
        <w:tc>
          <w:tcPr>
            <w:tcW w:w="2505" w:type="pct"/>
            <w:tcBorders>
              <w:top w:val="single" w:sz="4" w:space="0" w:color="000000"/>
              <w:left w:val="single" w:sz="4" w:space="0" w:color="000000"/>
              <w:bottom w:val="single" w:sz="4" w:space="0" w:color="000000"/>
              <w:right w:val="single" w:sz="4" w:space="0" w:color="000000"/>
            </w:tcBorders>
          </w:tcPr>
          <w:p w:rsidR="00290AB7" w:rsidRPr="00470146" w:rsidRDefault="00290AB7" w:rsidP="00371563">
            <w:pPr>
              <w:suppressAutoHyphens/>
              <w:ind w:left="57"/>
              <w:jc w:val="both"/>
              <w:rPr>
                <w:b/>
                <w:bCs/>
                <w:szCs w:val="20"/>
              </w:rPr>
            </w:pPr>
            <w:r w:rsidRPr="00470146">
              <w:rPr>
                <w:b/>
                <w:bCs/>
                <w:szCs w:val="20"/>
              </w:rPr>
              <w:t>CEL OPERACYJNY 3.2</w:t>
            </w:r>
            <w:r w:rsidRPr="00470146">
              <w:rPr>
                <w:b/>
                <w:bCs/>
                <w:szCs w:val="20"/>
              </w:rPr>
              <w:tab/>
            </w:r>
          </w:p>
          <w:p w:rsidR="00290AB7" w:rsidRPr="00470146" w:rsidRDefault="00290AB7" w:rsidP="00371563">
            <w:pPr>
              <w:suppressAutoHyphens/>
              <w:ind w:left="57"/>
              <w:rPr>
                <w:szCs w:val="20"/>
              </w:rPr>
            </w:pPr>
            <w:r w:rsidRPr="00470146">
              <w:rPr>
                <w:szCs w:val="20"/>
              </w:rPr>
              <w:t>Partnerstwo władz miasta i społeczności lokalnych w podnoszeniu jakości i ochronie walorów przestrzeni publicznych</w:t>
            </w:r>
          </w:p>
        </w:tc>
        <w:tc>
          <w:tcPr>
            <w:tcW w:w="2495" w:type="pct"/>
            <w:tcBorders>
              <w:top w:val="single" w:sz="4" w:space="0" w:color="000000"/>
              <w:left w:val="single" w:sz="4" w:space="0" w:color="000000"/>
              <w:bottom w:val="single" w:sz="4" w:space="0" w:color="000000"/>
              <w:right w:val="single" w:sz="4" w:space="0" w:color="000000"/>
            </w:tcBorders>
          </w:tcPr>
          <w:p w:rsidR="00865887" w:rsidRPr="00C47389" w:rsidRDefault="005B250C" w:rsidP="00371563">
            <w:pPr>
              <w:pStyle w:val="Akapitzlist3"/>
              <w:numPr>
                <w:ilvl w:val="0"/>
                <w:numId w:val="98"/>
              </w:numPr>
              <w:spacing w:before="0" w:after="0" w:line="240" w:lineRule="auto"/>
              <w:ind w:left="414" w:hanging="357"/>
              <w:jc w:val="left"/>
              <w:rPr>
                <w:rFonts w:asciiTheme="minorHAnsi" w:hAnsiTheme="minorHAnsi"/>
                <w:b w:val="0"/>
                <w:bCs w:val="0"/>
                <w:color w:val="auto"/>
                <w:kern w:val="2"/>
                <w:sz w:val="20"/>
                <w:szCs w:val="20"/>
                <w:lang w:eastAsia="hi-IN" w:bidi="hi-IN"/>
              </w:rPr>
            </w:pPr>
            <w:r w:rsidRPr="00C47389">
              <w:rPr>
                <w:b w:val="0"/>
                <w:bCs w:val="0"/>
                <w:color w:val="auto"/>
                <w:kern w:val="2"/>
                <w:sz w:val="20"/>
                <w:szCs w:val="20"/>
                <w:lang w:eastAsia="hi-IN" w:bidi="hi-IN"/>
              </w:rPr>
              <w:t>U</w:t>
            </w:r>
            <w:r w:rsidR="00865887" w:rsidRPr="00C47389">
              <w:rPr>
                <w:b w:val="0"/>
                <w:bCs w:val="0"/>
                <w:color w:val="auto"/>
                <w:kern w:val="2"/>
                <w:sz w:val="20"/>
                <w:szCs w:val="20"/>
                <w:lang w:eastAsia="hi-IN" w:bidi="hi-IN"/>
              </w:rPr>
              <w:t xml:space="preserve">dział powierzchni terenów zielonych na obszarze rewitalizacji  </w:t>
            </w:r>
            <w:r w:rsidR="00865887" w:rsidRPr="00BE7B04">
              <w:rPr>
                <w:b w:val="0"/>
                <w:bCs w:val="0"/>
                <w:color w:val="0070C0"/>
                <w:kern w:val="2"/>
                <w:sz w:val="20"/>
                <w:szCs w:val="20"/>
                <w:lang w:eastAsia="hi-IN" w:bidi="hi-IN"/>
              </w:rPr>
              <w:t>(</w:t>
            </w:r>
            <w:r w:rsidR="00865887" w:rsidRPr="00BE7B04">
              <w:rPr>
                <w:b w:val="0"/>
                <w:bCs w:val="0"/>
                <w:color w:val="0070C0"/>
                <w:kern w:val="2"/>
                <w:sz w:val="20"/>
                <w:szCs w:val="20"/>
                <w:lang w:eastAsia="hi-IN" w:bidi="hi-IN"/>
              </w:rPr>
              <w:sym w:font="Wingdings 3" w:char="F06B"/>
            </w:r>
            <w:r w:rsidR="00865887" w:rsidRPr="00BE7B04">
              <w:rPr>
                <w:b w:val="0"/>
                <w:bCs w:val="0"/>
                <w:color w:val="0070C0"/>
                <w:kern w:val="2"/>
                <w:sz w:val="20"/>
                <w:szCs w:val="20"/>
                <w:lang w:eastAsia="hi-IN" w:bidi="hi-IN"/>
              </w:rPr>
              <w:t>)</w:t>
            </w:r>
            <w:r w:rsidR="00E362A0" w:rsidRPr="00E362A0">
              <w:rPr>
                <w:b w:val="0"/>
                <w:bCs w:val="0"/>
                <w:color w:val="auto"/>
                <w:kern w:val="2"/>
                <w:sz w:val="20"/>
                <w:szCs w:val="20"/>
                <w:lang w:eastAsia="hi-IN" w:bidi="hi-IN"/>
              </w:rPr>
              <w:t>.</w:t>
            </w:r>
          </w:p>
        </w:tc>
      </w:tr>
      <w:tr w:rsidR="00290AB7" w:rsidRPr="00470146" w:rsidTr="008E6A9F">
        <w:trPr>
          <w:trHeight w:val="1244"/>
        </w:trPr>
        <w:tc>
          <w:tcPr>
            <w:tcW w:w="2505" w:type="pct"/>
            <w:tcBorders>
              <w:top w:val="single" w:sz="4" w:space="0" w:color="000000"/>
              <w:left w:val="single" w:sz="4" w:space="0" w:color="000000"/>
              <w:bottom w:val="single" w:sz="4" w:space="0" w:color="000000"/>
              <w:right w:val="single" w:sz="4" w:space="0" w:color="000000"/>
            </w:tcBorders>
          </w:tcPr>
          <w:p w:rsidR="00290AB7" w:rsidRPr="00470146" w:rsidRDefault="00290AB7" w:rsidP="00371563">
            <w:pPr>
              <w:suppressAutoHyphens/>
              <w:ind w:left="57"/>
              <w:jc w:val="both"/>
              <w:rPr>
                <w:b/>
                <w:bCs/>
                <w:szCs w:val="20"/>
              </w:rPr>
            </w:pPr>
            <w:r w:rsidRPr="00470146">
              <w:rPr>
                <w:b/>
                <w:bCs/>
                <w:szCs w:val="20"/>
              </w:rPr>
              <w:t>CEL OPERACYJNY 3.3</w:t>
            </w:r>
            <w:r w:rsidRPr="00470146">
              <w:rPr>
                <w:b/>
                <w:bCs/>
                <w:szCs w:val="20"/>
              </w:rPr>
              <w:tab/>
            </w:r>
          </w:p>
          <w:p w:rsidR="00290AB7" w:rsidRPr="00470146" w:rsidRDefault="00290AB7" w:rsidP="00371563">
            <w:pPr>
              <w:suppressAutoHyphens/>
              <w:ind w:left="57"/>
              <w:rPr>
                <w:szCs w:val="20"/>
              </w:rPr>
            </w:pPr>
            <w:r w:rsidRPr="00470146">
              <w:rPr>
                <w:szCs w:val="20"/>
              </w:rPr>
              <w:t>Wysoki poziom bezpieczeństwa mieszkańców wzmacniany przez dobre relacje międzysąsiedzkie i odpowiedzialność mieszkańców za innych członków społeczności lokalnej</w:t>
            </w:r>
          </w:p>
        </w:tc>
        <w:tc>
          <w:tcPr>
            <w:tcW w:w="2495" w:type="pct"/>
            <w:tcBorders>
              <w:top w:val="single" w:sz="4" w:space="0" w:color="000000"/>
              <w:left w:val="single" w:sz="4" w:space="0" w:color="000000"/>
              <w:bottom w:val="single" w:sz="4" w:space="0" w:color="000000"/>
              <w:right w:val="single" w:sz="4" w:space="0" w:color="000000"/>
            </w:tcBorders>
          </w:tcPr>
          <w:p w:rsidR="00290AB7" w:rsidRPr="00C47389" w:rsidRDefault="00290AB7" w:rsidP="00371563">
            <w:pPr>
              <w:pStyle w:val="Akapitzlist3"/>
              <w:numPr>
                <w:ilvl w:val="0"/>
                <w:numId w:val="98"/>
              </w:numPr>
              <w:spacing w:before="0" w:after="0" w:line="240" w:lineRule="auto"/>
              <w:ind w:left="414" w:hanging="357"/>
              <w:jc w:val="left"/>
              <w:rPr>
                <w:rFonts w:asciiTheme="minorHAnsi" w:hAnsiTheme="minorHAnsi"/>
                <w:b w:val="0"/>
                <w:bCs w:val="0"/>
                <w:color w:val="auto"/>
                <w:kern w:val="2"/>
                <w:sz w:val="20"/>
                <w:szCs w:val="20"/>
                <w:lang w:eastAsia="hi-IN" w:bidi="hi-IN"/>
              </w:rPr>
            </w:pPr>
            <w:r w:rsidRPr="00C47389">
              <w:rPr>
                <w:rFonts w:asciiTheme="minorHAnsi" w:hAnsiTheme="minorHAnsi"/>
                <w:b w:val="0"/>
                <w:bCs w:val="0"/>
                <w:color w:val="auto"/>
                <w:kern w:val="2"/>
                <w:sz w:val="20"/>
                <w:szCs w:val="20"/>
                <w:lang w:eastAsia="hi-IN" w:bidi="hi-IN"/>
              </w:rPr>
              <w:t>Liczba przestępst</w:t>
            </w:r>
            <w:r w:rsidR="003D7E17" w:rsidRPr="00C47389">
              <w:rPr>
                <w:rFonts w:asciiTheme="minorHAnsi" w:hAnsiTheme="minorHAnsi"/>
                <w:b w:val="0"/>
                <w:bCs w:val="0"/>
                <w:color w:val="auto"/>
                <w:kern w:val="2"/>
                <w:sz w:val="20"/>
                <w:szCs w:val="20"/>
                <w:lang w:eastAsia="hi-IN" w:bidi="hi-IN"/>
              </w:rPr>
              <w:t>w ogółem na 10 tys. mieszkańców</w:t>
            </w:r>
            <w:r w:rsidRPr="00C47389">
              <w:rPr>
                <w:rFonts w:asciiTheme="minorHAnsi" w:hAnsiTheme="minorHAnsi"/>
                <w:b w:val="0"/>
                <w:bCs w:val="0"/>
                <w:color w:val="auto"/>
                <w:kern w:val="2"/>
                <w:sz w:val="20"/>
                <w:szCs w:val="20"/>
                <w:lang w:eastAsia="hi-IN" w:bidi="hi-IN"/>
              </w:rPr>
              <w:t xml:space="preserve"> </w:t>
            </w:r>
            <w:r w:rsidRPr="00BE7B04">
              <w:rPr>
                <w:rFonts w:asciiTheme="minorHAnsi" w:hAnsiTheme="minorHAnsi"/>
                <w:b w:val="0"/>
                <w:bCs w:val="0"/>
                <w:color w:val="0070C0"/>
                <w:kern w:val="2"/>
                <w:sz w:val="20"/>
                <w:szCs w:val="20"/>
                <w:lang w:eastAsia="hi-IN" w:bidi="hi-IN"/>
              </w:rPr>
              <w:t>(</w:t>
            </w:r>
            <w:r w:rsidRPr="00BE7B04">
              <w:rPr>
                <w:rFonts w:asciiTheme="minorHAnsi" w:hAnsiTheme="minorHAnsi"/>
                <w:b w:val="0"/>
                <w:bCs w:val="0"/>
                <w:color w:val="0070C0"/>
                <w:kern w:val="2"/>
                <w:sz w:val="20"/>
                <w:szCs w:val="20"/>
                <w:lang w:eastAsia="hi-IN" w:bidi="hi-IN"/>
              </w:rPr>
              <w:sym w:font="Wingdings 3" w:char="F06D"/>
            </w:r>
            <w:r w:rsidRPr="00BE7B04">
              <w:rPr>
                <w:rFonts w:asciiTheme="minorHAnsi" w:hAnsiTheme="minorHAnsi"/>
                <w:b w:val="0"/>
                <w:bCs w:val="0"/>
                <w:color w:val="0070C0"/>
                <w:kern w:val="2"/>
                <w:sz w:val="20"/>
                <w:szCs w:val="20"/>
                <w:lang w:eastAsia="hi-IN" w:bidi="hi-IN"/>
              </w:rPr>
              <w:t>)</w:t>
            </w:r>
            <w:r w:rsidR="00BE7B04">
              <w:rPr>
                <w:rFonts w:asciiTheme="minorHAnsi" w:hAnsiTheme="minorHAnsi"/>
                <w:b w:val="0"/>
                <w:bCs w:val="0"/>
                <w:color w:val="auto"/>
                <w:kern w:val="2"/>
                <w:sz w:val="20"/>
                <w:szCs w:val="20"/>
                <w:lang w:eastAsia="hi-IN" w:bidi="hi-IN"/>
              </w:rPr>
              <w:t>,</w:t>
            </w:r>
          </w:p>
          <w:p w:rsidR="00290AB7" w:rsidRPr="00C47389" w:rsidRDefault="00290AB7" w:rsidP="00371563">
            <w:pPr>
              <w:pStyle w:val="Akapitzlist3"/>
              <w:numPr>
                <w:ilvl w:val="0"/>
                <w:numId w:val="98"/>
              </w:numPr>
              <w:spacing w:before="0" w:after="0" w:line="240" w:lineRule="auto"/>
              <w:ind w:left="414" w:hanging="357"/>
              <w:jc w:val="left"/>
              <w:rPr>
                <w:rFonts w:asciiTheme="minorHAnsi" w:hAnsiTheme="minorHAnsi"/>
                <w:b w:val="0"/>
                <w:bCs w:val="0"/>
                <w:color w:val="auto"/>
                <w:kern w:val="2"/>
                <w:sz w:val="20"/>
                <w:szCs w:val="20"/>
                <w:lang w:eastAsia="hi-IN" w:bidi="hi-IN"/>
              </w:rPr>
            </w:pPr>
            <w:r w:rsidRPr="00C47389">
              <w:rPr>
                <w:rFonts w:asciiTheme="minorHAnsi" w:hAnsiTheme="minorHAnsi"/>
                <w:b w:val="0"/>
                <w:bCs w:val="0"/>
                <w:color w:val="auto"/>
                <w:kern w:val="2"/>
                <w:sz w:val="20"/>
                <w:szCs w:val="20"/>
                <w:lang w:eastAsia="hi-IN" w:bidi="hi-IN"/>
              </w:rPr>
              <w:t>Liczba czynów</w:t>
            </w:r>
            <w:r w:rsidR="003D7E17" w:rsidRPr="00C47389">
              <w:rPr>
                <w:rFonts w:asciiTheme="minorHAnsi" w:hAnsiTheme="minorHAnsi"/>
                <w:b w:val="0"/>
                <w:bCs w:val="0"/>
                <w:color w:val="auto"/>
                <w:kern w:val="2"/>
                <w:sz w:val="20"/>
                <w:szCs w:val="20"/>
                <w:lang w:eastAsia="hi-IN" w:bidi="hi-IN"/>
              </w:rPr>
              <w:t xml:space="preserve"> karalnych osób niepełnoletnich</w:t>
            </w:r>
            <w:r w:rsidRPr="00C47389">
              <w:rPr>
                <w:rFonts w:asciiTheme="minorHAnsi" w:hAnsiTheme="minorHAnsi"/>
                <w:b w:val="0"/>
                <w:bCs w:val="0"/>
                <w:color w:val="auto"/>
                <w:kern w:val="2"/>
                <w:sz w:val="20"/>
                <w:szCs w:val="20"/>
                <w:lang w:eastAsia="hi-IN" w:bidi="hi-IN"/>
              </w:rPr>
              <w:t xml:space="preserve"> </w:t>
            </w:r>
            <w:r w:rsidRPr="00BE7B04">
              <w:rPr>
                <w:rFonts w:asciiTheme="minorHAnsi" w:hAnsiTheme="minorHAnsi"/>
                <w:b w:val="0"/>
                <w:bCs w:val="0"/>
                <w:color w:val="0070C0"/>
                <w:kern w:val="2"/>
                <w:sz w:val="20"/>
                <w:szCs w:val="20"/>
                <w:lang w:eastAsia="hi-IN" w:bidi="hi-IN"/>
              </w:rPr>
              <w:t>(</w:t>
            </w:r>
            <w:r w:rsidRPr="00BE7B04">
              <w:rPr>
                <w:rFonts w:asciiTheme="minorHAnsi" w:hAnsiTheme="minorHAnsi"/>
                <w:b w:val="0"/>
                <w:bCs w:val="0"/>
                <w:color w:val="0070C0"/>
                <w:kern w:val="2"/>
                <w:sz w:val="20"/>
                <w:szCs w:val="20"/>
                <w:lang w:eastAsia="hi-IN" w:bidi="hi-IN"/>
              </w:rPr>
              <w:sym w:font="Wingdings 3" w:char="F06D"/>
            </w:r>
            <w:r w:rsidRPr="00BE7B04">
              <w:rPr>
                <w:rFonts w:asciiTheme="minorHAnsi" w:hAnsiTheme="minorHAnsi"/>
                <w:b w:val="0"/>
                <w:bCs w:val="0"/>
                <w:color w:val="0070C0"/>
                <w:kern w:val="2"/>
                <w:sz w:val="20"/>
                <w:szCs w:val="20"/>
                <w:lang w:eastAsia="hi-IN" w:bidi="hi-IN"/>
              </w:rPr>
              <w:t>)</w:t>
            </w:r>
            <w:r w:rsidR="00BE7B04">
              <w:rPr>
                <w:rFonts w:asciiTheme="minorHAnsi" w:hAnsiTheme="minorHAnsi"/>
                <w:b w:val="0"/>
                <w:bCs w:val="0"/>
                <w:color w:val="auto"/>
                <w:kern w:val="2"/>
                <w:sz w:val="20"/>
                <w:szCs w:val="20"/>
                <w:lang w:eastAsia="hi-IN" w:bidi="hi-IN"/>
              </w:rPr>
              <w:t>,</w:t>
            </w:r>
          </w:p>
          <w:p w:rsidR="00290AB7" w:rsidRPr="00C47389" w:rsidRDefault="00290AB7" w:rsidP="00371563">
            <w:pPr>
              <w:pStyle w:val="Akapitzlist3"/>
              <w:numPr>
                <w:ilvl w:val="0"/>
                <w:numId w:val="98"/>
              </w:numPr>
              <w:spacing w:before="0" w:after="0" w:line="240" w:lineRule="auto"/>
              <w:ind w:left="414" w:hanging="357"/>
              <w:jc w:val="left"/>
              <w:rPr>
                <w:rFonts w:asciiTheme="minorHAnsi" w:hAnsiTheme="minorHAnsi"/>
                <w:b w:val="0"/>
                <w:bCs w:val="0"/>
                <w:color w:val="auto"/>
                <w:kern w:val="2"/>
                <w:sz w:val="20"/>
                <w:szCs w:val="20"/>
                <w:lang w:eastAsia="hi-IN" w:bidi="hi-IN"/>
              </w:rPr>
            </w:pPr>
            <w:r w:rsidRPr="00C47389">
              <w:rPr>
                <w:rFonts w:asciiTheme="minorHAnsi" w:hAnsiTheme="minorHAnsi"/>
                <w:b w:val="0"/>
                <w:bCs w:val="0"/>
                <w:color w:val="auto"/>
                <w:kern w:val="2"/>
                <w:sz w:val="20"/>
                <w:szCs w:val="20"/>
                <w:lang w:eastAsia="hi-IN" w:bidi="hi-IN"/>
              </w:rPr>
              <w:t>Liczba przypadków przemocy w r</w:t>
            </w:r>
            <w:r w:rsidR="005B250C" w:rsidRPr="00C47389">
              <w:rPr>
                <w:rFonts w:asciiTheme="minorHAnsi" w:hAnsiTheme="minorHAnsi"/>
                <w:b w:val="0"/>
                <w:bCs w:val="0"/>
                <w:color w:val="auto"/>
                <w:kern w:val="2"/>
                <w:sz w:val="20"/>
                <w:szCs w:val="20"/>
                <w:lang w:eastAsia="hi-IN" w:bidi="hi-IN"/>
              </w:rPr>
              <w:t>odzinie na 10 tys. m</w:t>
            </w:r>
            <w:r w:rsidR="003D7E17" w:rsidRPr="00C47389">
              <w:rPr>
                <w:rFonts w:asciiTheme="minorHAnsi" w:hAnsiTheme="minorHAnsi"/>
                <w:b w:val="0"/>
                <w:bCs w:val="0"/>
                <w:color w:val="auto"/>
                <w:kern w:val="2"/>
                <w:sz w:val="20"/>
                <w:szCs w:val="20"/>
                <w:lang w:eastAsia="hi-IN" w:bidi="hi-IN"/>
              </w:rPr>
              <w:t xml:space="preserve">ieszkańców </w:t>
            </w:r>
            <w:r w:rsidRPr="00BE7B04">
              <w:rPr>
                <w:rFonts w:asciiTheme="minorHAnsi" w:hAnsiTheme="minorHAnsi"/>
                <w:b w:val="0"/>
                <w:bCs w:val="0"/>
                <w:color w:val="0070C0"/>
                <w:kern w:val="2"/>
                <w:sz w:val="20"/>
                <w:szCs w:val="20"/>
                <w:lang w:eastAsia="hi-IN" w:bidi="hi-IN"/>
              </w:rPr>
              <w:t>(</w:t>
            </w:r>
            <w:r w:rsidRPr="00BE7B04">
              <w:rPr>
                <w:rFonts w:asciiTheme="minorHAnsi" w:hAnsiTheme="minorHAnsi"/>
                <w:b w:val="0"/>
                <w:bCs w:val="0"/>
                <w:color w:val="0070C0"/>
                <w:kern w:val="2"/>
                <w:sz w:val="20"/>
                <w:szCs w:val="20"/>
                <w:lang w:eastAsia="hi-IN" w:bidi="hi-IN"/>
              </w:rPr>
              <w:sym w:font="Wingdings 3" w:char="F06D"/>
            </w:r>
            <w:r w:rsidRPr="00BE7B04">
              <w:rPr>
                <w:rFonts w:asciiTheme="minorHAnsi" w:hAnsiTheme="minorHAnsi"/>
                <w:b w:val="0"/>
                <w:bCs w:val="0"/>
                <w:color w:val="0070C0"/>
                <w:kern w:val="2"/>
                <w:sz w:val="20"/>
                <w:szCs w:val="20"/>
                <w:lang w:eastAsia="hi-IN" w:bidi="hi-IN"/>
              </w:rPr>
              <w:t>)</w:t>
            </w:r>
            <w:r w:rsidR="00E362A0">
              <w:rPr>
                <w:rFonts w:asciiTheme="minorHAnsi" w:hAnsiTheme="minorHAnsi"/>
                <w:b w:val="0"/>
                <w:bCs w:val="0"/>
                <w:color w:val="auto"/>
                <w:kern w:val="2"/>
                <w:sz w:val="20"/>
                <w:szCs w:val="20"/>
                <w:lang w:eastAsia="hi-IN" w:bidi="hi-IN"/>
              </w:rPr>
              <w:t>.</w:t>
            </w:r>
          </w:p>
        </w:tc>
      </w:tr>
      <w:tr w:rsidR="00290AB7" w:rsidRPr="00470146" w:rsidTr="00470146">
        <w:tc>
          <w:tcPr>
            <w:tcW w:w="5000" w:type="pct"/>
            <w:gridSpan w:val="2"/>
            <w:tcBorders>
              <w:top w:val="single" w:sz="4" w:space="0" w:color="000000"/>
              <w:left w:val="single" w:sz="4" w:space="0" w:color="000000"/>
              <w:bottom w:val="single" w:sz="4" w:space="0" w:color="000000"/>
              <w:right w:val="single" w:sz="4" w:space="0" w:color="000000"/>
            </w:tcBorders>
            <w:shd w:val="clear" w:color="auto" w:fill="99CCFF"/>
          </w:tcPr>
          <w:p w:rsidR="00290AB7" w:rsidRPr="00470146" w:rsidRDefault="00290AB7" w:rsidP="00470146">
            <w:pPr>
              <w:suppressAutoHyphens/>
              <w:spacing w:before="40" w:after="40"/>
              <w:jc w:val="center"/>
              <w:rPr>
                <w:b/>
                <w:bCs/>
                <w:color w:val="000000"/>
                <w:sz w:val="22"/>
                <w:szCs w:val="20"/>
              </w:rPr>
            </w:pPr>
            <w:r w:rsidRPr="00470146">
              <w:rPr>
                <w:b/>
                <w:bCs/>
                <w:color w:val="000000"/>
                <w:sz w:val="22"/>
                <w:szCs w:val="20"/>
              </w:rPr>
              <w:t>CEL STRATEGICZNY 4</w:t>
            </w:r>
          </w:p>
          <w:p w:rsidR="00290AB7" w:rsidRPr="00470146" w:rsidRDefault="00290AB7" w:rsidP="00470146">
            <w:pPr>
              <w:suppressAutoHyphens/>
              <w:spacing w:before="40" w:after="40"/>
              <w:jc w:val="center"/>
              <w:rPr>
                <w:color w:val="000000"/>
                <w:kern w:val="2"/>
                <w:szCs w:val="20"/>
                <w:lang w:eastAsia="hi-IN" w:bidi="hi-IN"/>
              </w:rPr>
            </w:pPr>
            <w:r w:rsidRPr="00470146">
              <w:rPr>
                <w:b/>
                <w:bCs/>
                <w:color w:val="000000"/>
                <w:sz w:val="22"/>
                <w:szCs w:val="20"/>
              </w:rPr>
              <w:t>Ożywienie terenów zdegradowanych dostarczających funkcji i udogodnień umożliwiających mieszkańcom rozwój społeczny i ekonomiczny</w:t>
            </w:r>
          </w:p>
        </w:tc>
      </w:tr>
      <w:tr w:rsidR="00290AB7" w:rsidRPr="00470146" w:rsidTr="008E6A9F">
        <w:tc>
          <w:tcPr>
            <w:tcW w:w="2505" w:type="pct"/>
            <w:tcBorders>
              <w:top w:val="single" w:sz="4" w:space="0" w:color="000000"/>
              <w:left w:val="single" w:sz="4" w:space="0" w:color="000000"/>
              <w:bottom w:val="single" w:sz="4" w:space="0" w:color="000000"/>
              <w:right w:val="single" w:sz="4" w:space="0" w:color="000000"/>
            </w:tcBorders>
          </w:tcPr>
          <w:p w:rsidR="00290AB7" w:rsidRPr="00470146" w:rsidRDefault="00290AB7" w:rsidP="00371563">
            <w:pPr>
              <w:suppressAutoHyphens/>
              <w:ind w:left="57"/>
              <w:jc w:val="both"/>
              <w:rPr>
                <w:b/>
                <w:bCs/>
                <w:szCs w:val="20"/>
              </w:rPr>
            </w:pPr>
            <w:r w:rsidRPr="00470146">
              <w:rPr>
                <w:b/>
                <w:bCs/>
                <w:szCs w:val="20"/>
              </w:rPr>
              <w:t>CEL OPERACYJNY 4.1</w:t>
            </w:r>
            <w:r w:rsidRPr="00470146">
              <w:rPr>
                <w:b/>
                <w:bCs/>
                <w:szCs w:val="20"/>
              </w:rPr>
              <w:tab/>
            </w:r>
          </w:p>
          <w:p w:rsidR="00290AB7" w:rsidRPr="00470146" w:rsidRDefault="00290AB7" w:rsidP="00F655F2">
            <w:pPr>
              <w:suppressAutoHyphens/>
              <w:ind w:left="57"/>
              <w:rPr>
                <w:szCs w:val="20"/>
              </w:rPr>
            </w:pPr>
            <w:r w:rsidRPr="00470146">
              <w:rPr>
                <w:szCs w:val="20"/>
              </w:rPr>
              <w:t>Zrekultywowane tereny poprzemysłowe przygotowane na przyjęcie nowych funkcji ważnych dla poprawy sytuacji społecznej i</w:t>
            </w:r>
            <w:r w:rsidR="00F655F2">
              <w:rPr>
                <w:szCs w:val="20"/>
              </w:rPr>
              <w:t> </w:t>
            </w:r>
            <w:r w:rsidRPr="00470146">
              <w:rPr>
                <w:szCs w:val="20"/>
              </w:rPr>
              <w:t>rozwoju rynku pracy</w:t>
            </w:r>
          </w:p>
        </w:tc>
        <w:tc>
          <w:tcPr>
            <w:tcW w:w="2495" w:type="pct"/>
            <w:tcBorders>
              <w:top w:val="single" w:sz="4" w:space="0" w:color="000000"/>
              <w:left w:val="single" w:sz="4" w:space="0" w:color="000000"/>
              <w:bottom w:val="single" w:sz="4" w:space="0" w:color="000000"/>
              <w:right w:val="single" w:sz="4" w:space="0" w:color="000000"/>
            </w:tcBorders>
          </w:tcPr>
          <w:p w:rsidR="00290AB7" w:rsidRPr="00470146" w:rsidRDefault="00290AB7" w:rsidP="005B6117">
            <w:pPr>
              <w:pStyle w:val="Akapitzlist3"/>
              <w:numPr>
                <w:ilvl w:val="0"/>
                <w:numId w:val="98"/>
              </w:numPr>
              <w:spacing w:before="0" w:after="0" w:line="240" w:lineRule="auto"/>
              <w:ind w:left="414" w:hanging="357"/>
              <w:jc w:val="left"/>
              <w:rPr>
                <w:rFonts w:asciiTheme="minorHAnsi" w:hAnsiTheme="minorHAnsi"/>
                <w:b w:val="0"/>
                <w:bCs w:val="0"/>
                <w:color w:val="000000"/>
                <w:kern w:val="2"/>
                <w:sz w:val="20"/>
                <w:szCs w:val="20"/>
                <w:lang w:eastAsia="hi-IN" w:bidi="hi-IN"/>
              </w:rPr>
            </w:pPr>
            <w:r w:rsidRPr="00470146">
              <w:rPr>
                <w:rFonts w:asciiTheme="minorHAnsi" w:hAnsiTheme="minorHAnsi"/>
                <w:b w:val="0"/>
                <w:bCs w:val="0"/>
                <w:color w:val="000000"/>
                <w:kern w:val="2"/>
                <w:sz w:val="20"/>
                <w:szCs w:val="20"/>
                <w:lang w:eastAsia="hi-IN" w:bidi="hi-IN"/>
              </w:rPr>
              <w:t>Powierzchnia terenów inwestycyjnych utworzonych w</w:t>
            </w:r>
            <w:r w:rsidR="0069136D">
              <w:rPr>
                <w:rFonts w:asciiTheme="minorHAnsi" w:hAnsiTheme="minorHAnsi"/>
                <w:b w:val="0"/>
                <w:bCs w:val="0"/>
                <w:color w:val="000000"/>
                <w:kern w:val="2"/>
                <w:sz w:val="20"/>
                <w:szCs w:val="20"/>
                <w:lang w:eastAsia="hi-IN" w:bidi="hi-IN"/>
              </w:rPr>
              <w:t> </w:t>
            </w:r>
            <w:r w:rsidRPr="00470146">
              <w:rPr>
                <w:rFonts w:asciiTheme="minorHAnsi" w:hAnsiTheme="minorHAnsi"/>
                <w:b w:val="0"/>
                <w:bCs w:val="0"/>
                <w:color w:val="000000"/>
                <w:kern w:val="2"/>
                <w:sz w:val="20"/>
                <w:szCs w:val="20"/>
                <w:lang w:eastAsia="hi-IN" w:bidi="hi-IN"/>
              </w:rPr>
              <w:t xml:space="preserve">oparciu o tereny rekultywowane </w:t>
            </w:r>
            <w:r w:rsidRPr="00BE7B04">
              <w:rPr>
                <w:rFonts w:asciiTheme="minorHAnsi" w:hAnsiTheme="minorHAnsi"/>
                <w:b w:val="0"/>
                <w:bCs w:val="0"/>
                <w:color w:val="0070C0"/>
                <w:kern w:val="2"/>
                <w:sz w:val="20"/>
                <w:szCs w:val="20"/>
                <w:lang w:eastAsia="hi-IN" w:bidi="hi-IN"/>
              </w:rPr>
              <w:t>(</w:t>
            </w:r>
            <w:r w:rsidRPr="00BE7B04">
              <w:rPr>
                <w:rFonts w:asciiTheme="minorHAnsi" w:hAnsiTheme="minorHAnsi"/>
                <w:b w:val="0"/>
                <w:bCs w:val="0"/>
                <w:color w:val="0070C0"/>
                <w:kern w:val="2"/>
                <w:sz w:val="20"/>
                <w:szCs w:val="20"/>
                <w:lang w:eastAsia="hi-IN" w:bidi="hi-IN"/>
              </w:rPr>
              <w:sym w:font="Wingdings 3" w:char="F06B"/>
            </w:r>
            <w:r w:rsidRPr="00BE7B04">
              <w:rPr>
                <w:rFonts w:asciiTheme="minorHAnsi" w:hAnsiTheme="minorHAnsi"/>
                <w:b w:val="0"/>
                <w:bCs w:val="0"/>
                <w:color w:val="0070C0"/>
                <w:kern w:val="2"/>
                <w:sz w:val="20"/>
                <w:szCs w:val="20"/>
                <w:lang w:eastAsia="hi-IN" w:bidi="hi-IN"/>
              </w:rPr>
              <w:t>)</w:t>
            </w:r>
            <w:r w:rsidR="00BE7B04">
              <w:rPr>
                <w:rFonts w:asciiTheme="minorHAnsi" w:hAnsiTheme="minorHAnsi"/>
                <w:b w:val="0"/>
                <w:bCs w:val="0"/>
                <w:color w:val="auto"/>
                <w:kern w:val="2"/>
                <w:sz w:val="20"/>
                <w:szCs w:val="20"/>
                <w:lang w:eastAsia="hi-IN" w:bidi="hi-IN"/>
              </w:rPr>
              <w:t>,</w:t>
            </w:r>
          </w:p>
          <w:p w:rsidR="00865887" w:rsidRPr="005B250C" w:rsidRDefault="00290AB7" w:rsidP="005B6117">
            <w:pPr>
              <w:pStyle w:val="Akapitzlist3"/>
              <w:numPr>
                <w:ilvl w:val="0"/>
                <w:numId w:val="98"/>
              </w:numPr>
              <w:spacing w:before="0" w:after="0" w:line="240" w:lineRule="auto"/>
              <w:ind w:left="414" w:hanging="357"/>
              <w:jc w:val="left"/>
              <w:rPr>
                <w:rFonts w:asciiTheme="minorHAnsi" w:hAnsiTheme="minorHAnsi"/>
                <w:b w:val="0"/>
                <w:bCs w:val="0"/>
                <w:color w:val="000000"/>
                <w:kern w:val="2"/>
                <w:sz w:val="20"/>
                <w:szCs w:val="20"/>
                <w:lang w:eastAsia="hi-IN" w:bidi="hi-IN"/>
              </w:rPr>
            </w:pPr>
            <w:r w:rsidRPr="00470146">
              <w:rPr>
                <w:rFonts w:asciiTheme="minorHAnsi" w:hAnsiTheme="minorHAnsi"/>
                <w:b w:val="0"/>
                <w:bCs w:val="0"/>
                <w:color w:val="000000"/>
                <w:kern w:val="2"/>
                <w:sz w:val="20"/>
                <w:szCs w:val="20"/>
                <w:lang w:eastAsia="hi-IN" w:bidi="hi-IN"/>
              </w:rPr>
              <w:t xml:space="preserve">Liczba </w:t>
            </w:r>
            <w:r w:rsidR="005B250C">
              <w:rPr>
                <w:rFonts w:asciiTheme="minorHAnsi" w:hAnsiTheme="minorHAnsi"/>
                <w:b w:val="0"/>
                <w:bCs w:val="0"/>
                <w:color w:val="000000"/>
                <w:kern w:val="2"/>
                <w:sz w:val="20"/>
                <w:szCs w:val="20"/>
                <w:lang w:eastAsia="hi-IN" w:bidi="hi-IN"/>
              </w:rPr>
              <w:t>przedsiębiorstw</w:t>
            </w:r>
            <w:r w:rsidRPr="00470146">
              <w:rPr>
                <w:rFonts w:asciiTheme="minorHAnsi" w:hAnsiTheme="minorHAnsi"/>
                <w:b w:val="0"/>
                <w:bCs w:val="0"/>
                <w:color w:val="000000"/>
                <w:kern w:val="2"/>
                <w:sz w:val="20"/>
                <w:szCs w:val="20"/>
                <w:lang w:eastAsia="hi-IN" w:bidi="hi-IN"/>
              </w:rPr>
              <w:t xml:space="preserve"> podejmujących działalność na zrekultywowanych terenach przeznaczonych na cele inwestycyjne </w:t>
            </w:r>
            <w:r w:rsidRPr="00BE7B04">
              <w:rPr>
                <w:rFonts w:asciiTheme="minorHAnsi" w:hAnsiTheme="minorHAnsi"/>
                <w:b w:val="0"/>
                <w:bCs w:val="0"/>
                <w:color w:val="0070C0"/>
                <w:kern w:val="2"/>
                <w:sz w:val="20"/>
                <w:szCs w:val="20"/>
                <w:lang w:eastAsia="hi-IN" w:bidi="hi-IN"/>
              </w:rPr>
              <w:t>(</w:t>
            </w:r>
            <w:r w:rsidRPr="00BE7B04">
              <w:rPr>
                <w:rFonts w:asciiTheme="minorHAnsi" w:hAnsiTheme="minorHAnsi"/>
                <w:b w:val="0"/>
                <w:bCs w:val="0"/>
                <w:color w:val="0070C0"/>
                <w:kern w:val="2"/>
                <w:sz w:val="20"/>
                <w:szCs w:val="20"/>
                <w:lang w:eastAsia="hi-IN" w:bidi="hi-IN"/>
              </w:rPr>
              <w:sym w:font="Wingdings 3" w:char="F06B"/>
            </w:r>
            <w:r w:rsidRPr="00BE7B04">
              <w:rPr>
                <w:rFonts w:asciiTheme="minorHAnsi" w:hAnsiTheme="minorHAnsi"/>
                <w:b w:val="0"/>
                <w:bCs w:val="0"/>
                <w:color w:val="0070C0"/>
                <w:kern w:val="2"/>
                <w:sz w:val="20"/>
                <w:szCs w:val="20"/>
                <w:lang w:eastAsia="hi-IN" w:bidi="hi-IN"/>
              </w:rPr>
              <w:t>)</w:t>
            </w:r>
            <w:r w:rsidR="00E362A0">
              <w:rPr>
                <w:rFonts w:asciiTheme="minorHAnsi" w:hAnsiTheme="minorHAnsi"/>
                <w:b w:val="0"/>
                <w:bCs w:val="0"/>
                <w:color w:val="auto"/>
                <w:kern w:val="2"/>
                <w:sz w:val="20"/>
                <w:szCs w:val="20"/>
                <w:lang w:eastAsia="hi-IN" w:bidi="hi-IN"/>
              </w:rPr>
              <w:t>.</w:t>
            </w:r>
          </w:p>
        </w:tc>
      </w:tr>
      <w:tr w:rsidR="00290AB7" w:rsidRPr="00470146" w:rsidTr="008E6A9F">
        <w:tc>
          <w:tcPr>
            <w:tcW w:w="2505" w:type="pct"/>
            <w:tcBorders>
              <w:top w:val="single" w:sz="4" w:space="0" w:color="000000"/>
              <w:left w:val="single" w:sz="4" w:space="0" w:color="000000"/>
              <w:bottom w:val="single" w:sz="4" w:space="0" w:color="000000"/>
              <w:right w:val="single" w:sz="4" w:space="0" w:color="000000"/>
            </w:tcBorders>
          </w:tcPr>
          <w:p w:rsidR="00290AB7" w:rsidRPr="00470146" w:rsidRDefault="00290AB7" w:rsidP="00371563">
            <w:pPr>
              <w:suppressAutoHyphens/>
              <w:ind w:left="57"/>
              <w:jc w:val="both"/>
              <w:rPr>
                <w:b/>
                <w:bCs/>
                <w:szCs w:val="20"/>
              </w:rPr>
            </w:pPr>
            <w:r w:rsidRPr="00470146">
              <w:rPr>
                <w:b/>
                <w:bCs/>
                <w:szCs w:val="20"/>
              </w:rPr>
              <w:t>CEL OPERACYJNY 4.2</w:t>
            </w:r>
          </w:p>
          <w:p w:rsidR="00290AB7" w:rsidRPr="00470146" w:rsidRDefault="00290AB7" w:rsidP="00F655F2">
            <w:pPr>
              <w:suppressAutoHyphens/>
              <w:ind w:left="57"/>
              <w:rPr>
                <w:szCs w:val="20"/>
              </w:rPr>
            </w:pPr>
            <w:r w:rsidRPr="00470146">
              <w:rPr>
                <w:szCs w:val="20"/>
              </w:rPr>
              <w:t>Przywrócona wartość obiektów historycznych, kulturowy</w:t>
            </w:r>
            <w:r w:rsidR="00F655F2">
              <w:rPr>
                <w:szCs w:val="20"/>
              </w:rPr>
              <w:t>ch, krajobrazowo-przyrodniczych,</w:t>
            </w:r>
            <w:r w:rsidRPr="00470146">
              <w:rPr>
                <w:szCs w:val="20"/>
              </w:rPr>
              <w:t xml:space="preserve"> przyczyniająca się do wzmacniania tożsamości społeczności lokalnych </w:t>
            </w:r>
          </w:p>
        </w:tc>
        <w:tc>
          <w:tcPr>
            <w:tcW w:w="2495" w:type="pct"/>
            <w:tcBorders>
              <w:top w:val="single" w:sz="4" w:space="0" w:color="000000"/>
              <w:left w:val="single" w:sz="4" w:space="0" w:color="000000"/>
              <w:bottom w:val="single" w:sz="4" w:space="0" w:color="000000"/>
              <w:right w:val="single" w:sz="4" w:space="0" w:color="000000"/>
            </w:tcBorders>
          </w:tcPr>
          <w:p w:rsidR="00290AB7" w:rsidRPr="00470146" w:rsidRDefault="00290AB7" w:rsidP="005B6117">
            <w:pPr>
              <w:pStyle w:val="Akapitzlist3"/>
              <w:numPr>
                <w:ilvl w:val="0"/>
                <w:numId w:val="98"/>
              </w:numPr>
              <w:spacing w:before="0" w:after="0" w:line="240" w:lineRule="auto"/>
              <w:ind w:left="414" w:hanging="357"/>
              <w:jc w:val="left"/>
              <w:rPr>
                <w:rFonts w:asciiTheme="minorHAnsi" w:hAnsiTheme="minorHAnsi"/>
                <w:b w:val="0"/>
                <w:bCs w:val="0"/>
                <w:color w:val="000000"/>
                <w:kern w:val="2"/>
                <w:sz w:val="20"/>
                <w:szCs w:val="20"/>
                <w:lang w:eastAsia="hi-IN" w:bidi="hi-IN"/>
              </w:rPr>
            </w:pPr>
            <w:r w:rsidRPr="00470146">
              <w:rPr>
                <w:rFonts w:asciiTheme="minorHAnsi" w:hAnsiTheme="minorHAnsi"/>
                <w:b w:val="0"/>
                <w:bCs w:val="0"/>
                <w:color w:val="000000"/>
                <w:kern w:val="2"/>
                <w:sz w:val="20"/>
                <w:szCs w:val="20"/>
                <w:lang w:eastAsia="hi-IN" w:bidi="hi-IN"/>
              </w:rPr>
              <w:t xml:space="preserve">Powierzchnia obszarów/ siedlisk, dla których zatrzymano proces utraty bioróżnorodności biologicznej lub odtworzono i wzbogacono zasoby przyrody </w:t>
            </w:r>
            <w:r w:rsidRPr="00BE7B04">
              <w:rPr>
                <w:rFonts w:asciiTheme="minorHAnsi" w:hAnsiTheme="minorHAnsi"/>
                <w:b w:val="0"/>
                <w:bCs w:val="0"/>
                <w:color w:val="0070C0"/>
                <w:kern w:val="2"/>
                <w:sz w:val="20"/>
                <w:szCs w:val="20"/>
                <w:lang w:eastAsia="hi-IN" w:bidi="hi-IN"/>
              </w:rPr>
              <w:t>(</w:t>
            </w:r>
            <w:r w:rsidRPr="00BE7B04">
              <w:rPr>
                <w:rFonts w:asciiTheme="minorHAnsi" w:hAnsiTheme="minorHAnsi"/>
                <w:b w:val="0"/>
                <w:bCs w:val="0"/>
                <w:color w:val="0070C0"/>
                <w:kern w:val="2"/>
                <w:sz w:val="20"/>
                <w:szCs w:val="20"/>
                <w:lang w:eastAsia="hi-IN" w:bidi="hi-IN"/>
              </w:rPr>
              <w:sym w:font="Wingdings 3" w:char="F06B"/>
            </w:r>
            <w:r w:rsidRPr="00BE7B04">
              <w:rPr>
                <w:rFonts w:asciiTheme="minorHAnsi" w:hAnsiTheme="minorHAnsi"/>
                <w:b w:val="0"/>
                <w:bCs w:val="0"/>
                <w:color w:val="0070C0"/>
                <w:kern w:val="2"/>
                <w:sz w:val="20"/>
                <w:szCs w:val="20"/>
                <w:lang w:eastAsia="hi-IN" w:bidi="hi-IN"/>
              </w:rPr>
              <w:t>)</w:t>
            </w:r>
            <w:r w:rsidR="00BE7B04">
              <w:rPr>
                <w:rFonts w:asciiTheme="minorHAnsi" w:hAnsiTheme="minorHAnsi"/>
                <w:b w:val="0"/>
                <w:bCs w:val="0"/>
                <w:color w:val="000000"/>
                <w:kern w:val="2"/>
                <w:sz w:val="20"/>
                <w:szCs w:val="20"/>
                <w:lang w:eastAsia="hi-IN" w:bidi="hi-IN"/>
              </w:rPr>
              <w:t>,</w:t>
            </w:r>
          </w:p>
          <w:p w:rsidR="00290AB7" w:rsidRPr="00470146" w:rsidRDefault="00290AB7" w:rsidP="005B6117">
            <w:pPr>
              <w:pStyle w:val="Akapitzlist3"/>
              <w:numPr>
                <w:ilvl w:val="0"/>
                <w:numId w:val="98"/>
              </w:numPr>
              <w:spacing w:before="0" w:after="0" w:line="240" w:lineRule="auto"/>
              <w:ind w:left="414" w:hanging="357"/>
              <w:jc w:val="left"/>
              <w:rPr>
                <w:rFonts w:asciiTheme="minorHAnsi" w:hAnsiTheme="minorHAnsi"/>
                <w:b w:val="0"/>
                <w:bCs w:val="0"/>
                <w:color w:val="000000"/>
                <w:kern w:val="2"/>
                <w:sz w:val="20"/>
                <w:szCs w:val="20"/>
                <w:lang w:eastAsia="hi-IN" w:bidi="hi-IN"/>
              </w:rPr>
            </w:pPr>
            <w:r w:rsidRPr="00470146">
              <w:rPr>
                <w:rFonts w:asciiTheme="minorHAnsi" w:hAnsiTheme="minorHAnsi"/>
                <w:b w:val="0"/>
                <w:bCs w:val="0"/>
                <w:color w:val="000000"/>
                <w:kern w:val="2"/>
                <w:sz w:val="20"/>
                <w:szCs w:val="20"/>
                <w:lang w:eastAsia="hi-IN" w:bidi="hi-IN"/>
              </w:rPr>
              <w:t xml:space="preserve">Powierzchnia zrekultywowanych terenów </w:t>
            </w:r>
            <w:r w:rsidRPr="00BE7B04">
              <w:rPr>
                <w:rFonts w:asciiTheme="minorHAnsi" w:hAnsiTheme="minorHAnsi"/>
                <w:b w:val="0"/>
                <w:bCs w:val="0"/>
                <w:color w:val="0070C0"/>
                <w:kern w:val="2"/>
                <w:sz w:val="20"/>
                <w:szCs w:val="20"/>
                <w:lang w:eastAsia="hi-IN" w:bidi="hi-IN"/>
              </w:rPr>
              <w:t>(</w:t>
            </w:r>
            <w:r w:rsidRPr="00BE7B04">
              <w:rPr>
                <w:rFonts w:asciiTheme="minorHAnsi" w:hAnsiTheme="minorHAnsi"/>
                <w:b w:val="0"/>
                <w:bCs w:val="0"/>
                <w:color w:val="0070C0"/>
                <w:kern w:val="2"/>
                <w:sz w:val="20"/>
                <w:szCs w:val="20"/>
                <w:lang w:eastAsia="hi-IN" w:bidi="hi-IN"/>
              </w:rPr>
              <w:sym w:font="Wingdings 3" w:char="F06B"/>
            </w:r>
            <w:r w:rsidRPr="00BE7B04">
              <w:rPr>
                <w:rFonts w:asciiTheme="minorHAnsi" w:hAnsiTheme="minorHAnsi"/>
                <w:b w:val="0"/>
                <w:bCs w:val="0"/>
                <w:color w:val="0070C0"/>
                <w:kern w:val="2"/>
                <w:sz w:val="20"/>
                <w:szCs w:val="20"/>
                <w:lang w:eastAsia="hi-IN" w:bidi="hi-IN"/>
              </w:rPr>
              <w:t>)</w:t>
            </w:r>
            <w:r w:rsidR="00BE7B04">
              <w:rPr>
                <w:rFonts w:asciiTheme="minorHAnsi" w:hAnsiTheme="minorHAnsi"/>
                <w:b w:val="0"/>
                <w:bCs w:val="0"/>
                <w:color w:val="auto"/>
                <w:kern w:val="2"/>
                <w:sz w:val="20"/>
                <w:szCs w:val="20"/>
                <w:lang w:eastAsia="hi-IN" w:bidi="hi-IN"/>
              </w:rPr>
              <w:t>,</w:t>
            </w:r>
          </w:p>
          <w:p w:rsidR="00290AB7" w:rsidRPr="00470146" w:rsidRDefault="00290AB7" w:rsidP="005B6117">
            <w:pPr>
              <w:pStyle w:val="Akapitzlist"/>
              <w:numPr>
                <w:ilvl w:val="0"/>
                <w:numId w:val="98"/>
              </w:numPr>
              <w:suppressAutoHyphens/>
              <w:spacing w:after="0" w:line="240" w:lineRule="auto"/>
              <w:ind w:left="414" w:hanging="357"/>
              <w:rPr>
                <w:rFonts w:asciiTheme="minorHAnsi" w:hAnsiTheme="minorHAnsi"/>
                <w:color w:val="000000"/>
                <w:kern w:val="2"/>
                <w:sz w:val="20"/>
                <w:szCs w:val="20"/>
                <w:lang w:eastAsia="hi-IN" w:bidi="hi-IN"/>
              </w:rPr>
            </w:pPr>
            <w:r w:rsidRPr="00470146">
              <w:rPr>
                <w:rFonts w:asciiTheme="minorHAnsi" w:hAnsiTheme="minorHAnsi"/>
                <w:color w:val="000000"/>
                <w:kern w:val="2"/>
                <w:sz w:val="20"/>
                <w:szCs w:val="20"/>
                <w:lang w:eastAsia="hi-IN" w:bidi="hi-IN"/>
              </w:rPr>
              <w:t>Powierzchnia obiektów, które zostały przystosowane do pełnienia nowych funkcji kulturalnyc</w:t>
            </w:r>
            <w:r w:rsidR="00A6786B">
              <w:rPr>
                <w:rFonts w:asciiTheme="minorHAnsi" w:hAnsiTheme="minorHAnsi"/>
                <w:color w:val="000000"/>
                <w:kern w:val="2"/>
                <w:sz w:val="20"/>
                <w:szCs w:val="20"/>
                <w:lang w:eastAsia="hi-IN" w:bidi="hi-IN"/>
              </w:rPr>
              <w:t>h,  rekreacyjnych  i</w:t>
            </w:r>
            <w:r w:rsidR="0069136D">
              <w:rPr>
                <w:rFonts w:asciiTheme="minorHAnsi" w:hAnsiTheme="minorHAnsi"/>
                <w:color w:val="000000"/>
                <w:kern w:val="2"/>
                <w:sz w:val="20"/>
                <w:szCs w:val="20"/>
                <w:lang w:eastAsia="hi-IN" w:bidi="hi-IN"/>
              </w:rPr>
              <w:t> </w:t>
            </w:r>
            <w:r w:rsidR="00A6786B">
              <w:rPr>
                <w:rFonts w:asciiTheme="minorHAnsi" w:hAnsiTheme="minorHAnsi"/>
                <w:color w:val="000000"/>
                <w:kern w:val="2"/>
                <w:sz w:val="20"/>
                <w:szCs w:val="20"/>
                <w:lang w:eastAsia="hi-IN" w:bidi="hi-IN"/>
              </w:rPr>
              <w:t>sportowych</w:t>
            </w:r>
            <w:r w:rsidRPr="00470146">
              <w:rPr>
                <w:rFonts w:asciiTheme="minorHAnsi" w:hAnsiTheme="minorHAnsi"/>
                <w:color w:val="000000"/>
                <w:kern w:val="2"/>
                <w:sz w:val="20"/>
                <w:szCs w:val="20"/>
                <w:lang w:eastAsia="hi-IN" w:bidi="hi-IN"/>
              </w:rPr>
              <w:t xml:space="preserve"> </w:t>
            </w:r>
            <w:r w:rsidRPr="00BE7B04">
              <w:rPr>
                <w:rFonts w:asciiTheme="minorHAnsi" w:hAnsiTheme="minorHAnsi"/>
                <w:color w:val="0070C0"/>
                <w:kern w:val="2"/>
                <w:sz w:val="20"/>
                <w:szCs w:val="20"/>
                <w:lang w:eastAsia="hi-IN" w:bidi="hi-IN"/>
              </w:rPr>
              <w:t>(</w:t>
            </w:r>
            <w:r w:rsidR="005B250C" w:rsidRPr="00BE7B04">
              <w:rPr>
                <w:rFonts w:asciiTheme="minorHAnsi" w:hAnsiTheme="minorHAnsi"/>
                <w:color w:val="0070C0"/>
                <w:kern w:val="2"/>
                <w:sz w:val="20"/>
                <w:szCs w:val="20"/>
                <w:lang w:eastAsia="hi-IN" w:bidi="hi-IN"/>
              </w:rPr>
              <w:t>do</w:t>
            </w:r>
            <w:r w:rsidR="00E47506">
              <w:rPr>
                <w:rFonts w:asciiTheme="minorHAnsi" w:hAnsiTheme="minorHAnsi"/>
                <w:color w:val="0070C0"/>
                <w:kern w:val="2"/>
                <w:sz w:val="20"/>
                <w:szCs w:val="20"/>
                <w:lang w:eastAsia="hi-IN" w:bidi="hi-IN"/>
              </w:rPr>
              <w:t> </w:t>
            </w:r>
            <w:r w:rsidR="005B250C" w:rsidRPr="00BE7B04">
              <w:rPr>
                <w:rFonts w:asciiTheme="minorHAnsi" w:hAnsiTheme="minorHAnsi"/>
                <w:color w:val="0070C0"/>
                <w:kern w:val="2"/>
                <w:sz w:val="20"/>
                <w:szCs w:val="20"/>
                <w:lang w:eastAsia="hi-IN" w:bidi="hi-IN"/>
              </w:rPr>
              <w:t xml:space="preserve">2018 r. </w:t>
            </w:r>
            <w:r w:rsidRPr="00BE7B04">
              <w:rPr>
                <w:rFonts w:asciiTheme="minorHAnsi" w:hAnsiTheme="minorHAnsi"/>
                <w:color w:val="0070C0"/>
                <w:kern w:val="2"/>
                <w:sz w:val="20"/>
                <w:szCs w:val="20"/>
                <w:lang w:eastAsia="hi-IN" w:bidi="hi-IN"/>
              </w:rPr>
              <w:sym w:font="Wingdings 3" w:char="F06B"/>
            </w:r>
            <w:r w:rsidR="005B250C" w:rsidRPr="00BE7B04">
              <w:rPr>
                <w:rFonts w:asciiTheme="minorHAnsi" w:hAnsiTheme="minorHAnsi"/>
                <w:color w:val="0070C0"/>
                <w:kern w:val="2"/>
                <w:sz w:val="20"/>
                <w:szCs w:val="20"/>
                <w:lang w:eastAsia="hi-IN" w:bidi="hi-IN"/>
              </w:rPr>
              <w:t>, po 2018 r. =</w:t>
            </w:r>
            <w:r w:rsidRPr="00BE7B04">
              <w:rPr>
                <w:rFonts w:asciiTheme="minorHAnsi" w:hAnsiTheme="minorHAnsi"/>
                <w:color w:val="0070C0"/>
                <w:kern w:val="2"/>
                <w:sz w:val="20"/>
                <w:szCs w:val="20"/>
                <w:lang w:eastAsia="hi-IN" w:bidi="hi-IN"/>
              </w:rPr>
              <w:t>)</w:t>
            </w:r>
            <w:r w:rsidR="00BE7B04">
              <w:rPr>
                <w:rFonts w:asciiTheme="minorHAnsi" w:hAnsiTheme="minorHAnsi"/>
                <w:color w:val="000000"/>
                <w:kern w:val="2"/>
                <w:sz w:val="20"/>
                <w:szCs w:val="20"/>
                <w:lang w:eastAsia="hi-IN" w:bidi="hi-IN"/>
              </w:rPr>
              <w:t>,</w:t>
            </w:r>
          </w:p>
          <w:p w:rsidR="00290AB7" w:rsidRPr="00470146" w:rsidRDefault="00290AB7" w:rsidP="005B6117">
            <w:pPr>
              <w:pStyle w:val="Akapitzlist"/>
              <w:numPr>
                <w:ilvl w:val="0"/>
                <w:numId w:val="98"/>
              </w:numPr>
              <w:suppressAutoHyphens/>
              <w:spacing w:after="60" w:line="240" w:lineRule="auto"/>
              <w:ind w:left="414" w:hanging="357"/>
              <w:rPr>
                <w:rFonts w:asciiTheme="minorHAnsi" w:hAnsiTheme="minorHAnsi"/>
                <w:color w:val="000000"/>
                <w:kern w:val="2"/>
                <w:sz w:val="20"/>
                <w:szCs w:val="20"/>
                <w:lang w:eastAsia="hi-IN" w:bidi="hi-IN"/>
              </w:rPr>
            </w:pPr>
            <w:r w:rsidRPr="00470146">
              <w:rPr>
                <w:rFonts w:asciiTheme="minorHAnsi" w:hAnsiTheme="minorHAnsi"/>
                <w:color w:val="000000"/>
                <w:kern w:val="2"/>
                <w:sz w:val="20"/>
                <w:szCs w:val="20"/>
                <w:lang w:eastAsia="hi-IN" w:bidi="hi-IN"/>
              </w:rPr>
              <w:t xml:space="preserve">Liczba zabytków nieruchomych objętych wsparciem </w:t>
            </w:r>
            <w:r w:rsidRPr="00BE7B04">
              <w:rPr>
                <w:rFonts w:asciiTheme="minorHAnsi" w:hAnsiTheme="minorHAnsi"/>
                <w:bCs/>
                <w:color w:val="0070C0"/>
                <w:kern w:val="2"/>
                <w:sz w:val="20"/>
                <w:szCs w:val="20"/>
                <w:lang w:eastAsia="hi-IN" w:bidi="hi-IN"/>
              </w:rPr>
              <w:t>(</w:t>
            </w:r>
            <w:r w:rsidRPr="00BE7B04">
              <w:rPr>
                <w:rFonts w:asciiTheme="minorHAnsi" w:hAnsiTheme="minorHAnsi"/>
                <w:bCs/>
                <w:color w:val="0070C0"/>
                <w:kern w:val="2"/>
                <w:sz w:val="20"/>
                <w:szCs w:val="20"/>
                <w:lang w:eastAsia="hi-IN" w:bidi="hi-IN"/>
              </w:rPr>
              <w:sym w:font="Wingdings 3" w:char="F06B"/>
            </w:r>
            <w:r w:rsidRPr="00BE7B04">
              <w:rPr>
                <w:rFonts w:asciiTheme="minorHAnsi" w:hAnsiTheme="minorHAnsi"/>
                <w:bCs/>
                <w:color w:val="0070C0"/>
                <w:kern w:val="2"/>
                <w:sz w:val="20"/>
                <w:szCs w:val="20"/>
                <w:lang w:eastAsia="hi-IN" w:bidi="hi-IN"/>
              </w:rPr>
              <w:t>)</w:t>
            </w:r>
            <w:r w:rsidR="00E362A0">
              <w:rPr>
                <w:rFonts w:asciiTheme="minorHAnsi" w:hAnsiTheme="minorHAnsi"/>
                <w:bCs/>
                <w:kern w:val="2"/>
                <w:sz w:val="20"/>
                <w:szCs w:val="20"/>
                <w:lang w:eastAsia="hi-IN" w:bidi="hi-IN"/>
              </w:rPr>
              <w:t>.</w:t>
            </w:r>
          </w:p>
        </w:tc>
      </w:tr>
    </w:tbl>
    <w:p w:rsidR="001B1C3F" w:rsidRDefault="001B1C3F" w:rsidP="004A1252">
      <w:pPr>
        <w:suppressAutoHyphens/>
        <w:spacing w:before="60"/>
        <w:jc w:val="both"/>
        <w:rPr>
          <w:i/>
          <w:sz w:val="18"/>
          <w:szCs w:val="18"/>
        </w:rPr>
      </w:pPr>
      <w:r>
        <w:rPr>
          <w:i/>
          <w:sz w:val="18"/>
          <w:szCs w:val="18"/>
        </w:rPr>
        <w:t xml:space="preserve">Źródło: </w:t>
      </w:r>
      <w:r w:rsidR="00377C6B">
        <w:rPr>
          <w:i/>
          <w:sz w:val="18"/>
          <w:szCs w:val="18"/>
        </w:rPr>
        <w:t>Opracowanie dr K. Wrana</w:t>
      </w:r>
      <w:r>
        <w:rPr>
          <w:i/>
          <w:sz w:val="18"/>
          <w:szCs w:val="18"/>
        </w:rPr>
        <w:t>, UM Bytom</w:t>
      </w:r>
    </w:p>
    <w:p w:rsidR="007D27DA" w:rsidRDefault="007D27DA" w:rsidP="00290AB7">
      <w:pPr>
        <w:suppressAutoHyphens/>
        <w:jc w:val="both"/>
        <w:rPr>
          <w:rFonts w:eastAsia="Lucida Sans Unicode" w:cs="Calibri"/>
          <w:kern w:val="2"/>
          <w:szCs w:val="20"/>
          <w:lang w:eastAsia="hi-IN" w:bidi="hi-IN"/>
        </w:rPr>
      </w:pPr>
    </w:p>
    <w:p w:rsidR="003F7A14" w:rsidRDefault="003F7A14" w:rsidP="009C1D86">
      <w:pPr>
        <w:shd w:val="clear" w:color="auto" w:fill="F2F2F2" w:themeFill="background1" w:themeFillShade="F2"/>
        <w:suppressAutoHyphens/>
        <w:spacing w:before="60"/>
        <w:ind w:firstLine="709"/>
        <w:jc w:val="both"/>
        <w:rPr>
          <w:rFonts w:eastAsia="Lucida Sans Unicode" w:cs="Calibri"/>
          <w:kern w:val="2"/>
          <w:szCs w:val="20"/>
          <w:lang w:eastAsia="hi-IN" w:bidi="hi-IN"/>
        </w:rPr>
      </w:pPr>
      <w:r w:rsidRPr="00BB5BFA">
        <w:rPr>
          <w:rFonts w:eastAsia="Lucida Sans Unicode" w:cs="Calibri"/>
          <w:kern w:val="2"/>
          <w:szCs w:val="20"/>
          <w:lang w:eastAsia="hi-IN" w:bidi="hi-IN"/>
        </w:rPr>
        <w:t>Wdrażanie GPR opiera się na realizacji wypracowanych partnersko projektów. Projekty zawarte w bytomskim „Gminnym Programie Rewitalizacji. Bytom 2020+” oraz projekty, które do programu będą wprowadzane powiązane są w większości z osiąganiem wskaźników określonych głównie w Regionalnym Programie Operacyjnym Województwa Śląskiego na lata 2014-2020</w:t>
      </w:r>
      <w:r w:rsidRPr="00BB5BFA">
        <w:t xml:space="preserve"> oraz w programie </w:t>
      </w:r>
      <w:r w:rsidRPr="00BB5BFA">
        <w:rPr>
          <w:bCs/>
        </w:rPr>
        <w:t>Fundusze Europejskie dla Śląskiego na lata 2021-2027</w:t>
      </w:r>
      <w:r w:rsidRPr="00BB5BFA">
        <w:t>.</w:t>
      </w:r>
      <w:r w:rsidRPr="00BB5BFA">
        <w:rPr>
          <w:rFonts w:eastAsia="Lucida Sans Unicode" w:cs="Calibri"/>
          <w:kern w:val="2"/>
          <w:szCs w:val="20"/>
          <w:lang w:eastAsia="hi-IN" w:bidi="hi-IN"/>
        </w:rPr>
        <w:t xml:space="preserve"> W sytuacji, gdy na obszarach rewitalizacji podejmowane będą konkretne projekty mające związek z poniższymi wskaźnikami produktu i rezultatu prowadzony będzie monitoring wybranych wskaźników.</w:t>
      </w:r>
      <w:r>
        <w:rPr>
          <w:rFonts w:eastAsia="Lucida Sans Unicode" w:cs="Calibri"/>
          <w:kern w:val="2"/>
          <w:szCs w:val="20"/>
          <w:lang w:eastAsia="hi-IN" w:bidi="hi-IN"/>
        </w:rPr>
        <w:t xml:space="preserve"> </w:t>
      </w:r>
    </w:p>
    <w:p w:rsidR="00182EFE" w:rsidRDefault="00182EFE" w:rsidP="00CA1B04">
      <w:pPr>
        <w:suppressAutoHyphens/>
        <w:jc w:val="both"/>
        <w:rPr>
          <w:i/>
          <w:sz w:val="18"/>
          <w:szCs w:val="18"/>
        </w:rPr>
      </w:pPr>
    </w:p>
    <w:p w:rsidR="00182EFE" w:rsidRDefault="00182EFE" w:rsidP="00182EFE">
      <w:pPr>
        <w:suppressAutoHyphens/>
        <w:jc w:val="both"/>
        <w:rPr>
          <w:rFonts w:ascii="Calibri" w:eastAsia="Lucida Sans Unicode" w:hAnsi="Calibri" w:cs="Mangal"/>
          <w:b/>
          <w:kern w:val="2"/>
          <w:szCs w:val="20"/>
          <w:lang w:eastAsia="hi-IN" w:bidi="hi-IN"/>
        </w:rPr>
      </w:pPr>
      <w:r>
        <w:rPr>
          <w:rFonts w:ascii="Calibri" w:eastAsia="Lucida Sans Unicode" w:hAnsi="Calibri" w:cs="Mangal"/>
          <w:b/>
          <w:kern w:val="2"/>
          <w:szCs w:val="20"/>
          <w:lang w:eastAsia="hi-IN" w:bidi="hi-IN"/>
        </w:rPr>
        <w:t>Analiza ryzyka wraz ze środkami zaradczymi</w:t>
      </w:r>
    </w:p>
    <w:p w:rsidR="00182EFE" w:rsidRDefault="0017230A" w:rsidP="00182EFE">
      <w:pPr>
        <w:suppressAutoHyphens/>
        <w:jc w:val="both"/>
        <w:rPr>
          <w:rFonts w:ascii="Calibri" w:eastAsia="Lucida Sans Unicode" w:hAnsi="Calibri" w:cs="Mangal"/>
          <w:kern w:val="2"/>
          <w:szCs w:val="20"/>
          <w:lang w:eastAsia="hi-IN" w:bidi="hi-IN"/>
        </w:rPr>
      </w:pPr>
      <w:r>
        <w:rPr>
          <w:rFonts w:ascii="Calibri" w:hAnsi="Calibri" w:cs="Mangal"/>
          <w:kern w:val="2"/>
          <w:szCs w:val="20"/>
          <w:lang w:eastAsia="hi-IN" w:bidi="hi-IN"/>
        </w:rPr>
        <w:t>„</w:t>
      </w:r>
      <w:r w:rsidR="00182EFE">
        <w:rPr>
          <w:rFonts w:ascii="Calibri" w:hAnsi="Calibri" w:cs="Mangal"/>
          <w:kern w:val="2"/>
          <w:szCs w:val="20"/>
          <w:lang w:eastAsia="hi-IN" w:bidi="hi-IN"/>
        </w:rPr>
        <w:t>Gminny</w:t>
      </w:r>
      <w:r w:rsidR="00182EFE">
        <w:rPr>
          <w:rFonts w:ascii="Calibri" w:eastAsia="Lucida Sans Unicode" w:hAnsi="Calibri" w:cs="Mangal"/>
          <w:kern w:val="2"/>
          <w:szCs w:val="20"/>
          <w:lang w:eastAsia="hi-IN" w:bidi="hi-IN"/>
        </w:rPr>
        <w:t xml:space="preserve"> Program Rewitalizacji. Bytom 2020+</w:t>
      </w:r>
      <w:r>
        <w:rPr>
          <w:rFonts w:ascii="Calibri" w:eastAsia="Lucida Sans Unicode" w:hAnsi="Calibri" w:cs="Mangal"/>
          <w:kern w:val="2"/>
          <w:szCs w:val="20"/>
          <w:lang w:eastAsia="hi-IN" w:bidi="hi-IN"/>
        </w:rPr>
        <w:t>”</w:t>
      </w:r>
      <w:r w:rsidR="00182EFE">
        <w:rPr>
          <w:rFonts w:ascii="Calibri" w:eastAsia="Lucida Sans Unicode" w:hAnsi="Calibri" w:cs="Mangal"/>
          <w:kern w:val="2"/>
          <w:szCs w:val="20"/>
          <w:lang w:eastAsia="hi-IN" w:bidi="hi-IN"/>
        </w:rPr>
        <w:t xml:space="preserve"> został opracowany w oparciu o szereg uporządkowanych danych i konsultacji ze środowiskami lokalnymi. Skala wykonanych prac analitycznych i zbliżenie procesu formułowania do oczekiwań mieszkańców wspierają prawdopodobieństwo osiągnięcia założonych celów oraz realizacji przedsięwzięć zapisanych w GPR. Nie można jednak zapominać o tym, że GPR wdrażany będzie w długiej perspektywie czasowej, w której na pewno występować będą zmiany zarówno w wymiarze miejskim, jak i w wymiarze zewnętrznym. Nie pozostaną one bez wpływu zarówno na sens jak i możliwości realizacji założonych projektów, a także na powodzenie całego procesu rewitalizacji. Poniżej zaprezentowano typologię podstawowych rodzajów ryzyka informacyjnego, które towarzyszyć mogą wdrażaniu GPR.</w:t>
      </w:r>
    </w:p>
    <w:p w:rsidR="00CC0D21" w:rsidRDefault="00CC0D21" w:rsidP="00CA1B04">
      <w:pPr>
        <w:suppressAutoHyphens/>
        <w:jc w:val="both"/>
        <w:rPr>
          <w:i/>
          <w:sz w:val="18"/>
          <w:szCs w:val="18"/>
        </w:rPr>
      </w:pPr>
    </w:p>
    <w:p w:rsidR="00182EFE" w:rsidRDefault="0047691F" w:rsidP="00CA1B04">
      <w:pPr>
        <w:suppressAutoHyphens/>
        <w:jc w:val="both"/>
        <w:rPr>
          <w:i/>
          <w:sz w:val="18"/>
          <w:szCs w:val="18"/>
        </w:rPr>
      </w:pPr>
      <w:r>
        <w:rPr>
          <w:i/>
          <w:sz w:val="18"/>
          <w:szCs w:val="18"/>
        </w:rPr>
        <w:br/>
      </w:r>
    </w:p>
    <w:p w:rsidR="00186354" w:rsidRDefault="00186354" w:rsidP="00CA1B04">
      <w:pPr>
        <w:suppressAutoHyphens/>
        <w:jc w:val="both"/>
        <w:rPr>
          <w:i/>
          <w:sz w:val="18"/>
          <w:szCs w:val="18"/>
        </w:rPr>
      </w:pPr>
    </w:p>
    <w:p w:rsidR="00186354" w:rsidRDefault="00186354" w:rsidP="00CA1B04">
      <w:pPr>
        <w:suppressAutoHyphens/>
        <w:jc w:val="both"/>
        <w:rPr>
          <w:i/>
          <w:sz w:val="18"/>
          <w:szCs w:val="18"/>
        </w:rPr>
      </w:pPr>
    </w:p>
    <w:p w:rsidR="00186354" w:rsidRDefault="00186354" w:rsidP="00CA1B04">
      <w:pPr>
        <w:suppressAutoHyphens/>
        <w:jc w:val="both"/>
        <w:rPr>
          <w:i/>
          <w:sz w:val="18"/>
          <w:szCs w:val="18"/>
        </w:rPr>
      </w:pPr>
    </w:p>
    <w:p w:rsidR="00186354" w:rsidRDefault="00186354" w:rsidP="00CA1B04">
      <w:pPr>
        <w:suppressAutoHyphens/>
        <w:jc w:val="both"/>
        <w:rPr>
          <w:i/>
          <w:sz w:val="18"/>
          <w:szCs w:val="18"/>
        </w:rPr>
      </w:pPr>
    </w:p>
    <w:p w:rsidR="00186354" w:rsidRDefault="00186354" w:rsidP="00CA1B04">
      <w:pPr>
        <w:suppressAutoHyphens/>
        <w:jc w:val="both"/>
        <w:rPr>
          <w:i/>
          <w:sz w:val="18"/>
          <w:szCs w:val="18"/>
        </w:rPr>
      </w:pPr>
    </w:p>
    <w:p w:rsidR="00186354" w:rsidRDefault="00186354" w:rsidP="00CA1B04">
      <w:pPr>
        <w:suppressAutoHyphens/>
        <w:jc w:val="both"/>
        <w:rPr>
          <w:i/>
          <w:sz w:val="18"/>
          <w:szCs w:val="18"/>
        </w:rPr>
      </w:pPr>
    </w:p>
    <w:p w:rsidR="00186354" w:rsidRDefault="00186354" w:rsidP="00CA1B04">
      <w:pPr>
        <w:suppressAutoHyphens/>
        <w:jc w:val="both"/>
        <w:rPr>
          <w:i/>
          <w:sz w:val="18"/>
          <w:szCs w:val="18"/>
        </w:rPr>
      </w:pPr>
    </w:p>
    <w:p w:rsidR="00186354" w:rsidRDefault="00186354" w:rsidP="00CA1B04">
      <w:pPr>
        <w:suppressAutoHyphens/>
        <w:jc w:val="both"/>
        <w:rPr>
          <w:i/>
          <w:sz w:val="18"/>
          <w:szCs w:val="18"/>
        </w:rPr>
      </w:pPr>
    </w:p>
    <w:p w:rsidR="00290AB7" w:rsidRPr="00290AB7" w:rsidRDefault="00290AB7" w:rsidP="00A518D3">
      <w:pPr>
        <w:spacing w:before="40" w:after="100"/>
        <w:rPr>
          <w:b/>
        </w:rPr>
      </w:pPr>
      <w:bookmarkStart w:id="9170" w:name="_Toc474925072"/>
      <w:r w:rsidRPr="00BB09B0">
        <w:rPr>
          <w:b/>
        </w:rPr>
        <w:t xml:space="preserve">Schemat </w:t>
      </w:r>
      <w:r w:rsidR="003972D8" w:rsidRPr="00BB09B0">
        <w:rPr>
          <w:b/>
        </w:rPr>
        <w:fldChar w:fldCharType="begin"/>
      </w:r>
      <w:r w:rsidRPr="00BB09B0">
        <w:rPr>
          <w:b/>
        </w:rPr>
        <w:instrText xml:space="preserve"> SEQ Schemat \* ARABIC </w:instrText>
      </w:r>
      <w:r w:rsidR="003972D8" w:rsidRPr="00BB09B0">
        <w:rPr>
          <w:b/>
        </w:rPr>
        <w:fldChar w:fldCharType="separate"/>
      </w:r>
      <w:r w:rsidR="00413FFE">
        <w:rPr>
          <w:b/>
          <w:noProof/>
        </w:rPr>
        <w:t>8</w:t>
      </w:r>
      <w:r w:rsidR="003972D8" w:rsidRPr="00BB09B0">
        <w:rPr>
          <w:b/>
        </w:rPr>
        <w:fldChar w:fldCharType="end"/>
      </w:r>
      <w:r w:rsidRPr="00BB09B0">
        <w:rPr>
          <w:b/>
        </w:rPr>
        <w:t xml:space="preserve">. </w:t>
      </w:r>
      <w:r>
        <w:rPr>
          <w:b/>
        </w:rPr>
        <w:t>Poziomy monitoringu i ewaluacji GPR</w:t>
      </w:r>
      <w:bookmarkEnd w:id="9170"/>
    </w:p>
    <w:p w:rsidR="00290AB7" w:rsidRDefault="00290AB7">
      <w:r w:rsidRPr="00290AB7">
        <w:rPr>
          <w:noProof/>
        </w:rPr>
        <w:drawing>
          <wp:inline distT="0" distB="0" distL="0" distR="0">
            <wp:extent cx="5482590" cy="6181725"/>
            <wp:effectExtent l="19050" t="0" r="22860" b="0"/>
            <wp:docPr id="88" name="Diagram 5"/>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9" r:lo="rId140" r:qs="rId141" r:cs="rId142"/>
              </a:graphicData>
            </a:graphic>
          </wp:inline>
        </w:drawing>
      </w:r>
    </w:p>
    <w:p w:rsidR="00290AB7" w:rsidRDefault="00290AB7" w:rsidP="00072235">
      <w:pPr>
        <w:spacing w:before="100"/>
      </w:pPr>
      <w:r w:rsidRPr="00F21D41">
        <w:rPr>
          <w:i/>
          <w:sz w:val="18"/>
          <w:szCs w:val="18"/>
        </w:rPr>
        <w:t xml:space="preserve">Źródło: </w:t>
      </w:r>
      <w:r w:rsidR="00377C6B">
        <w:rPr>
          <w:i/>
          <w:sz w:val="18"/>
          <w:szCs w:val="18"/>
        </w:rPr>
        <w:t>Opracowanie dr K. Wrana</w:t>
      </w:r>
    </w:p>
    <w:p w:rsidR="00290AB7" w:rsidRDefault="00290AB7"/>
    <w:p w:rsidR="00290AB7" w:rsidRDefault="00290AB7" w:rsidP="00072235">
      <w:pPr>
        <w:suppressAutoHyphens/>
        <w:ind w:firstLine="708"/>
        <w:jc w:val="both"/>
        <w:rPr>
          <w:rFonts w:eastAsia="Lucida Sans Unicode" w:cs="Mangal"/>
          <w:kern w:val="2"/>
          <w:szCs w:val="20"/>
          <w:lang w:eastAsia="hi-IN" w:bidi="hi-IN"/>
        </w:rPr>
      </w:pPr>
      <w:r>
        <w:rPr>
          <w:rFonts w:eastAsia="Lucida Sans Unicode" w:cs="Mangal"/>
          <w:kern w:val="2"/>
          <w:szCs w:val="20"/>
          <w:lang w:eastAsia="hi-IN" w:bidi="hi-IN"/>
        </w:rPr>
        <w:t>Obok ryzyka informacyjnego uwzględniono w systemie wdrażania GPR także szereg rodzajów ryzyka, które związane są z przygotowaniem i wdrożeniem konkretnych projektów. Konsekwencją wystąpienia takich typów ryzyka może być nie tylko niepowodzenie samego projektu, ale także nieuzyskanie lub utrata środków finansowych na realizację projektu.</w:t>
      </w:r>
    </w:p>
    <w:p w:rsidR="00290AB7" w:rsidRDefault="00290AB7" w:rsidP="00290AB7">
      <w:pPr>
        <w:suppressAutoHyphens/>
        <w:jc w:val="both"/>
        <w:rPr>
          <w:rFonts w:eastAsia="Lucida Sans Unicode" w:cs="Mangal"/>
          <w:kern w:val="2"/>
          <w:szCs w:val="20"/>
          <w:lang w:eastAsia="hi-IN" w:bidi="hi-IN"/>
        </w:rPr>
      </w:pPr>
    </w:p>
    <w:p w:rsidR="00290AB7" w:rsidRDefault="00290AB7" w:rsidP="00290AB7">
      <w:pPr>
        <w:suppressAutoHyphens/>
        <w:jc w:val="both"/>
        <w:rPr>
          <w:rFonts w:eastAsia="Lucida Sans Unicode" w:cs="Mangal"/>
          <w:kern w:val="2"/>
          <w:szCs w:val="20"/>
          <w:lang w:eastAsia="hi-IN" w:bidi="hi-IN"/>
        </w:rPr>
      </w:pPr>
    </w:p>
    <w:p w:rsidR="00DC4369" w:rsidRDefault="00DC4369" w:rsidP="00290AB7">
      <w:pPr>
        <w:suppressAutoHyphens/>
        <w:jc w:val="both"/>
        <w:rPr>
          <w:rFonts w:eastAsia="Lucida Sans Unicode" w:cs="Mangal"/>
          <w:kern w:val="2"/>
          <w:szCs w:val="20"/>
          <w:lang w:eastAsia="hi-IN" w:bidi="hi-IN"/>
        </w:rPr>
      </w:pPr>
    </w:p>
    <w:p w:rsidR="00DC4369" w:rsidRDefault="00DC4369" w:rsidP="00290AB7">
      <w:pPr>
        <w:suppressAutoHyphens/>
        <w:jc w:val="both"/>
        <w:rPr>
          <w:rFonts w:eastAsia="Lucida Sans Unicode" w:cs="Mangal"/>
          <w:kern w:val="2"/>
          <w:szCs w:val="20"/>
          <w:lang w:eastAsia="hi-IN" w:bidi="hi-IN"/>
        </w:rPr>
      </w:pPr>
    </w:p>
    <w:p w:rsidR="00DC4369" w:rsidRDefault="00DC4369" w:rsidP="00290AB7">
      <w:pPr>
        <w:suppressAutoHyphens/>
        <w:jc w:val="both"/>
        <w:rPr>
          <w:rFonts w:eastAsia="Lucida Sans Unicode" w:cs="Mangal"/>
          <w:kern w:val="2"/>
          <w:szCs w:val="20"/>
          <w:lang w:eastAsia="hi-IN" w:bidi="hi-IN"/>
        </w:rPr>
      </w:pPr>
    </w:p>
    <w:p w:rsidR="00DC4369" w:rsidRDefault="00DC4369" w:rsidP="00290AB7">
      <w:pPr>
        <w:suppressAutoHyphens/>
        <w:jc w:val="both"/>
        <w:rPr>
          <w:rFonts w:eastAsia="Lucida Sans Unicode" w:cs="Mangal"/>
          <w:kern w:val="2"/>
          <w:szCs w:val="20"/>
          <w:lang w:eastAsia="hi-IN" w:bidi="hi-IN"/>
        </w:rPr>
      </w:pPr>
    </w:p>
    <w:p w:rsidR="00DC4369" w:rsidRDefault="00DC4369" w:rsidP="00290AB7">
      <w:pPr>
        <w:suppressAutoHyphens/>
        <w:jc w:val="both"/>
        <w:rPr>
          <w:rFonts w:eastAsia="Lucida Sans Unicode" w:cs="Mangal"/>
          <w:kern w:val="2"/>
          <w:szCs w:val="20"/>
          <w:lang w:eastAsia="hi-IN" w:bidi="hi-IN"/>
        </w:rPr>
      </w:pPr>
    </w:p>
    <w:p w:rsidR="00290AB7" w:rsidRDefault="00290AB7" w:rsidP="00290AB7">
      <w:pPr>
        <w:rPr>
          <w:b/>
        </w:rPr>
      </w:pPr>
      <w:bookmarkStart w:id="9171" w:name="_Toc467761913"/>
      <w:bookmarkStart w:id="9172" w:name="_Toc474925073"/>
      <w:r>
        <w:rPr>
          <w:b/>
        </w:rPr>
        <w:t xml:space="preserve">Schemat </w:t>
      </w:r>
      <w:r w:rsidR="003972D8">
        <w:rPr>
          <w:b/>
        </w:rPr>
        <w:fldChar w:fldCharType="begin"/>
      </w:r>
      <w:r>
        <w:rPr>
          <w:b/>
        </w:rPr>
        <w:instrText xml:space="preserve"> SEQ Schemat \* ARABIC </w:instrText>
      </w:r>
      <w:r w:rsidR="003972D8">
        <w:rPr>
          <w:b/>
        </w:rPr>
        <w:fldChar w:fldCharType="separate"/>
      </w:r>
      <w:r w:rsidR="00413FFE">
        <w:rPr>
          <w:b/>
          <w:noProof/>
        </w:rPr>
        <w:t>9</w:t>
      </w:r>
      <w:r w:rsidR="003972D8">
        <w:rPr>
          <w:b/>
        </w:rPr>
        <w:fldChar w:fldCharType="end"/>
      </w:r>
      <w:r>
        <w:rPr>
          <w:b/>
        </w:rPr>
        <w:t>. Typologia ryzyka projektowego</w:t>
      </w:r>
      <w:bookmarkEnd w:id="9171"/>
      <w:bookmarkEnd w:id="9172"/>
    </w:p>
    <w:p w:rsidR="00290AB7" w:rsidRDefault="00290AB7" w:rsidP="00290AB7">
      <w:pPr>
        <w:suppressAutoHyphens/>
        <w:jc w:val="both"/>
        <w:rPr>
          <w:rFonts w:eastAsia="Lucida Sans Unicode" w:cs="Mangal"/>
          <w:kern w:val="2"/>
          <w:szCs w:val="20"/>
          <w:lang w:eastAsia="hi-IN" w:bidi="hi-IN"/>
        </w:rPr>
      </w:pPr>
    </w:p>
    <w:p w:rsidR="00290AB7" w:rsidRDefault="00290AB7" w:rsidP="00290AB7">
      <w:pPr>
        <w:spacing w:line="360" w:lineRule="auto"/>
        <w:jc w:val="both"/>
      </w:pPr>
      <w:r>
        <w:rPr>
          <w:noProof/>
        </w:rPr>
        <w:drawing>
          <wp:inline distT="0" distB="0" distL="0" distR="0">
            <wp:extent cx="5487670" cy="7219950"/>
            <wp:effectExtent l="0" t="0" r="36830" b="0"/>
            <wp:docPr id="101" name="Diagram 6"/>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4" r:lo="rId145" r:qs="rId146" r:cs="rId147"/>
              </a:graphicData>
            </a:graphic>
          </wp:inline>
        </w:drawing>
      </w:r>
    </w:p>
    <w:p w:rsidR="00290AB7" w:rsidRDefault="00290AB7" w:rsidP="00290AB7">
      <w:pPr>
        <w:suppressAutoHyphens/>
        <w:jc w:val="both"/>
        <w:rPr>
          <w:rFonts w:eastAsia="Lucida Sans Unicode" w:cs="Calibri"/>
          <w:i/>
          <w:kern w:val="2"/>
          <w:szCs w:val="20"/>
          <w:lang w:eastAsia="hi-IN" w:bidi="hi-IN"/>
        </w:rPr>
      </w:pPr>
      <w:r>
        <w:rPr>
          <w:rFonts w:eastAsia="Lucida Sans Unicode" w:cs="Calibri"/>
          <w:i/>
          <w:kern w:val="2"/>
          <w:szCs w:val="20"/>
          <w:lang w:eastAsia="hi-IN" w:bidi="hi-IN"/>
        </w:rPr>
        <w:t xml:space="preserve">Źródło: </w:t>
      </w:r>
      <w:r w:rsidR="00377C6B">
        <w:rPr>
          <w:i/>
          <w:sz w:val="18"/>
          <w:szCs w:val="18"/>
        </w:rPr>
        <w:t>Opracowanie dr K. Wrana</w:t>
      </w:r>
    </w:p>
    <w:p w:rsidR="00290AB7" w:rsidRDefault="00290AB7" w:rsidP="00290AB7">
      <w:pPr>
        <w:suppressAutoHyphens/>
        <w:jc w:val="both"/>
        <w:rPr>
          <w:rFonts w:eastAsia="Lucida Sans Unicode" w:cs="Mangal"/>
          <w:kern w:val="2"/>
          <w:szCs w:val="20"/>
          <w:lang w:eastAsia="hi-IN" w:bidi="hi-IN"/>
        </w:rPr>
      </w:pPr>
    </w:p>
    <w:p w:rsidR="00290AB7" w:rsidRDefault="00290AB7" w:rsidP="00DC4369">
      <w:pPr>
        <w:suppressAutoHyphens/>
        <w:ind w:firstLine="708"/>
        <w:jc w:val="both"/>
        <w:rPr>
          <w:rFonts w:eastAsia="Lucida Sans Unicode" w:cs="Mangal"/>
          <w:kern w:val="2"/>
          <w:szCs w:val="20"/>
          <w:lang w:eastAsia="hi-IN" w:bidi="hi-IN"/>
        </w:rPr>
      </w:pPr>
      <w:r>
        <w:rPr>
          <w:rFonts w:eastAsia="Lucida Sans Unicode" w:cs="Mangal"/>
          <w:kern w:val="2"/>
          <w:szCs w:val="20"/>
          <w:lang w:eastAsia="hi-IN" w:bidi="hi-IN"/>
        </w:rPr>
        <w:t xml:space="preserve">Trzecia grupa czynników ryzyka związana jest z zarządzaniem procesem wdrażania GPR oraz z podtrzymywaniem efektów uzyskiwanych w wyniku rewitalizacji. </w:t>
      </w:r>
    </w:p>
    <w:p w:rsidR="00290AB7" w:rsidRDefault="00290AB7" w:rsidP="00290AB7">
      <w:pPr>
        <w:suppressAutoHyphens/>
        <w:jc w:val="both"/>
        <w:rPr>
          <w:rFonts w:eastAsia="Lucida Sans Unicode" w:cs="Mangal"/>
          <w:kern w:val="2"/>
          <w:szCs w:val="20"/>
          <w:lang w:eastAsia="hi-IN" w:bidi="hi-IN"/>
        </w:rPr>
      </w:pPr>
    </w:p>
    <w:p w:rsidR="00290AB7" w:rsidRDefault="00290AB7" w:rsidP="00290AB7">
      <w:pPr>
        <w:suppressAutoHyphens/>
        <w:jc w:val="both"/>
        <w:rPr>
          <w:rFonts w:eastAsia="Lucida Sans Unicode" w:cs="Mangal"/>
          <w:kern w:val="2"/>
          <w:szCs w:val="20"/>
          <w:lang w:eastAsia="hi-IN" w:bidi="hi-IN"/>
        </w:rPr>
      </w:pPr>
    </w:p>
    <w:p w:rsidR="00290AB7" w:rsidRDefault="00290AB7" w:rsidP="00290AB7">
      <w:pPr>
        <w:rPr>
          <w:b/>
        </w:rPr>
      </w:pPr>
      <w:bookmarkStart w:id="9173" w:name="_Toc467761914"/>
      <w:bookmarkStart w:id="9174" w:name="_Toc474925074"/>
      <w:r>
        <w:rPr>
          <w:b/>
        </w:rPr>
        <w:t xml:space="preserve">Schemat </w:t>
      </w:r>
      <w:r w:rsidR="003972D8">
        <w:rPr>
          <w:b/>
        </w:rPr>
        <w:fldChar w:fldCharType="begin"/>
      </w:r>
      <w:r>
        <w:rPr>
          <w:b/>
        </w:rPr>
        <w:instrText xml:space="preserve"> SEQ Schemat \* ARABIC </w:instrText>
      </w:r>
      <w:r w:rsidR="003972D8">
        <w:rPr>
          <w:b/>
        </w:rPr>
        <w:fldChar w:fldCharType="separate"/>
      </w:r>
      <w:r w:rsidR="00413FFE">
        <w:rPr>
          <w:b/>
          <w:noProof/>
        </w:rPr>
        <w:t>10</w:t>
      </w:r>
      <w:r w:rsidR="003972D8">
        <w:rPr>
          <w:b/>
        </w:rPr>
        <w:fldChar w:fldCharType="end"/>
      </w:r>
      <w:r>
        <w:rPr>
          <w:b/>
        </w:rPr>
        <w:t>. Typologia ryzyka zarządczego</w:t>
      </w:r>
      <w:bookmarkEnd w:id="9173"/>
      <w:bookmarkEnd w:id="9174"/>
    </w:p>
    <w:p w:rsidR="00290AB7" w:rsidRDefault="00290AB7" w:rsidP="00290AB7">
      <w:pPr>
        <w:suppressAutoHyphens/>
        <w:jc w:val="both"/>
        <w:rPr>
          <w:rFonts w:eastAsia="Lucida Sans Unicode" w:cs="Mangal"/>
          <w:kern w:val="2"/>
          <w:szCs w:val="20"/>
          <w:lang w:eastAsia="hi-IN" w:bidi="hi-IN"/>
        </w:rPr>
      </w:pPr>
    </w:p>
    <w:p w:rsidR="00290AB7" w:rsidRDefault="00290AB7" w:rsidP="00290AB7">
      <w:pPr>
        <w:spacing w:line="360" w:lineRule="auto"/>
        <w:jc w:val="both"/>
      </w:pPr>
      <w:r>
        <w:rPr>
          <w:noProof/>
        </w:rPr>
        <w:drawing>
          <wp:inline distT="0" distB="0" distL="0" distR="0">
            <wp:extent cx="5487670" cy="4029075"/>
            <wp:effectExtent l="0" t="0" r="36830" b="0"/>
            <wp:docPr id="102" name="Diagram 7"/>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9" r:lo="rId150" r:qs="rId151" r:cs="rId152"/>
              </a:graphicData>
            </a:graphic>
          </wp:inline>
        </w:drawing>
      </w:r>
    </w:p>
    <w:p w:rsidR="00290AB7" w:rsidRDefault="00290AB7" w:rsidP="00290AB7">
      <w:pPr>
        <w:suppressAutoHyphens/>
        <w:jc w:val="both"/>
        <w:rPr>
          <w:rFonts w:eastAsia="Lucida Sans Unicode" w:cs="Calibri"/>
          <w:i/>
          <w:kern w:val="2"/>
          <w:szCs w:val="20"/>
          <w:lang w:eastAsia="hi-IN" w:bidi="hi-IN"/>
        </w:rPr>
      </w:pPr>
      <w:r>
        <w:rPr>
          <w:rFonts w:eastAsia="Lucida Sans Unicode" w:cs="Calibri"/>
          <w:i/>
          <w:kern w:val="2"/>
          <w:szCs w:val="20"/>
          <w:lang w:eastAsia="hi-IN" w:bidi="hi-IN"/>
        </w:rPr>
        <w:t xml:space="preserve">Źródło: </w:t>
      </w:r>
      <w:r w:rsidR="00377C6B">
        <w:rPr>
          <w:i/>
          <w:sz w:val="18"/>
          <w:szCs w:val="18"/>
        </w:rPr>
        <w:t>Opracowanie dr K. Wrana</w:t>
      </w:r>
    </w:p>
    <w:p w:rsidR="00290AB7" w:rsidRDefault="00290AB7" w:rsidP="00290AB7">
      <w:pPr>
        <w:spacing w:line="360" w:lineRule="auto"/>
        <w:jc w:val="both"/>
      </w:pPr>
    </w:p>
    <w:p w:rsidR="00290AB7" w:rsidRDefault="00290AB7" w:rsidP="004765BF">
      <w:pPr>
        <w:suppressAutoHyphens/>
        <w:ind w:firstLine="708"/>
        <w:jc w:val="both"/>
        <w:rPr>
          <w:rFonts w:eastAsia="Lucida Sans Unicode" w:cs="Mangal"/>
          <w:kern w:val="2"/>
          <w:szCs w:val="20"/>
          <w:lang w:eastAsia="hi-IN" w:bidi="hi-IN"/>
        </w:rPr>
      </w:pPr>
      <w:r>
        <w:rPr>
          <w:rFonts w:eastAsia="Lucida Sans Unicode" w:cs="Mangal"/>
          <w:kern w:val="2"/>
          <w:szCs w:val="20"/>
          <w:lang w:eastAsia="hi-IN" w:bidi="hi-IN"/>
        </w:rPr>
        <w:t xml:space="preserve">Warto podkreślić, że wymienione rodzaje ryzyka w różnym stopniu poddają się kontroli. Zróżnicowana jest również skuteczność przeciwdziałania tym ryzykom. </w:t>
      </w:r>
    </w:p>
    <w:p w:rsidR="00290AB7" w:rsidRDefault="00290AB7" w:rsidP="00290AB7">
      <w:pPr>
        <w:suppressAutoHyphens/>
        <w:jc w:val="both"/>
        <w:rPr>
          <w:rFonts w:eastAsia="Lucida Sans Unicode" w:cs="Mangal"/>
          <w:kern w:val="2"/>
          <w:szCs w:val="20"/>
          <w:lang w:eastAsia="hi-IN" w:bidi="hi-IN"/>
        </w:rPr>
      </w:pPr>
    </w:p>
    <w:p w:rsidR="00290AB7" w:rsidRDefault="00290AB7" w:rsidP="00290AB7">
      <w:pPr>
        <w:rPr>
          <w:b/>
        </w:rPr>
      </w:pPr>
      <w:bookmarkStart w:id="9175" w:name="_Toc467761915"/>
      <w:bookmarkStart w:id="9176" w:name="_Toc474925075"/>
      <w:r>
        <w:rPr>
          <w:b/>
        </w:rPr>
        <w:t xml:space="preserve">Schemat </w:t>
      </w:r>
      <w:r w:rsidR="003972D8">
        <w:rPr>
          <w:b/>
        </w:rPr>
        <w:fldChar w:fldCharType="begin"/>
      </w:r>
      <w:r>
        <w:rPr>
          <w:b/>
        </w:rPr>
        <w:instrText xml:space="preserve"> SEQ Schemat \* ARABIC </w:instrText>
      </w:r>
      <w:r w:rsidR="003972D8">
        <w:rPr>
          <w:b/>
        </w:rPr>
        <w:fldChar w:fldCharType="separate"/>
      </w:r>
      <w:r w:rsidR="00413FFE">
        <w:rPr>
          <w:b/>
          <w:noProof/>
        </w:rPr>
        <w:t>11</w:t>
      </w:r>
      <w:r w:rsidR="003972D8">
        <w:rPr>
          <w:b/>
        </w:rPr>
        <w:fldChar w:fldCharType="end"/>
      </w:r>
      <w:r>
        <w:rPr>
          <w:b/>
        </w:rPr>
        <w:t>. Typologia ryzyka ze względu na przyczyny i możliwości zapobiegania</w:t>
      </w:r>
      <w:bookmarkEnd w:id="9175"/>
      <w:bookmarkEnd w:id="9176"/>
    </w:p>
    <w:p w:rsidR="00290AB7" w:rsidRDefault="00DC4369" w:rsidP="00290AB7">
      <w:pPr>
        <w:spacing w:line="360" w:lineRule="auto"/>
        <w:jc w:val="both"/>
      </w:pPr>
      <w:r w:rsidRPr="00DC4369">
        <w:rPr>
          <w:noProof/>
        </w:rPr>
        <w:drawing>
          <wp:inline distT="0" distB="0" distL="0" distR="0">
            <wp:extent cx="5500174" cy="2438400"/>
            <wp:effectExtent l="38100" t="0" r="24326" b="0"/>
            <wp:docPr id="105" name="Diagram 8"/>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4" r:lo="rId155" r:qs="rId156" r:cs="rId157"/>
              </a:graphicData>
            </a:graphic>
          </wp:inline>
        </w:drawing>
      </w:r>
    </w:p>
    <w:p w:rsidR="00290AB7" w:rsidRDefault="00290AB7" w:rsidP="00290AB7">
      <w:pPr>
        <w:suppressAutoHyphens/>
        <w:jc w:val="both"/>
        <w:rPr>
          <w:rFonts w:eastAsia="Lucida Sans Unicode" w:cs="Calibri"/>
          <w:i/>
          <w:kern w:val="2"/>
          <w:szCs w:val="20"/>
          <w:lang w:eastAsia="hi-IN" w:bidi="hi-IN"/>
        </w:rPr>
      </w:pPr>
      <w:r>
        <w:rPr>
          <w:rFonts w:eastAsia="Lucida Sans Unicode" w:cs="Calibri"/>
          <w:i/>
          <w:kern w:val="2"/>
          <w:szCs w:val="20"/>
          <w:lang w:eastAsia="hi-IN" w:bidi="hi-IN"/>
        </w:rPr>
        <w:t xml:space="preserve">Źródło: </w:t>
      </w:r>
      <w:r w:rsidR="00EC31A0">
        <w:rPr>
          <w:i/>
          <w:sz w:val="18"/>
          <w:szCs w:val="18"/>
        </w:rPr>
        <w:t>Opracowanie dr K. Wrana</w:t>
      </w:r>
    </w:p>
    <w:p w:rsidR="00290AB7" w:rsidRDefault="00290AB7" w:rsidP="00290AB7">
      <w:pPr>
        <w:spacing w:line="360" w:lineRule="auto"/>
        <w:jc w:val="both"/>
      </w:pPr>
    </w:p>
    <w:p w:rsidR="00290AB7" w:rsidRDefault="00290AB7" w:rsidP="00290AB7">
      <w:pPr>
        <w:suppressAutoHyphens/>
        <w:jc w:val="both"/>
        <w:rPr>
          <w:rFonts w:cs="Mangal"/>
          <w:kern w:val="2"/>
          <w:szCs w:val="20"/>
          <w:lang w:eastAsia="hi-IN" w:bidi="hi-IN"/>
        </w:rPr>
      </w:pPr>
      <w:r>
        <w:rPr>
          <w:rFonts w:cs="Mangal"/>
          <w:kern w:val="2"/>
          <w:szCs w:val="20"/>
          <w:lang w:eastAsia="hi-IN" w:bidi="hi-IN"/>
        </w:rPr>
        <w:t xml:space="preserve">Dla zarządzania ryzykiem i niepewnością </w:t>
      </w:r>
      <w:r w:rsidR="00320155">
        <w:rPr>
          <w:rFonts w:cs="Mangal"/>
          <w:kern w:val="2"/>
          <w:szCs w:val="20"/>
          <w:lang w:eastAsia="hi-IN" w:bidi="hi-IN"/>
        </w:rPr>
        <w:t xml:space="preserve">kontekstowo będą </w:t>
      </w:r>
      <w:r>
        <w:rPr>
          <w:rFonts w:cs="Mangal"/>
          <w:kern w:val="2"/>
          <w:szCs w:val="20"/>
          <w:lang w:eastAsia="hi-IN" w:bidi="hi-IN"/>
        </w:rPr>
        <w:t xml:space="preserve">wykorzystane </w:t>
      </w:r>
      <w:r w:rsidR="00320155">
        <w:rPr>
          <w:rFonts w:cs="Mangal"/>
          <w:kern w:val="2"/>
          <w:szCs w:val="20"/>
          <w:lang w:eastAsia="hi-IN" w:bidi="hi-IN"/>
        </w:rPr>
        <w:t xml:space="preserve">w zależności od sytuacji i potrzeb </w:t>
      </w:r>
      <w:r>
        <w:rPr>
          <w:rFonts w:cs="Mangal"/>
          <w:kern w:val="2"/>
          <w:szCs w:val="20"/>
          <w:lang w:eastAsia="hi-IN" w:bidi="hi-IN"/>
        </w:rPr>
        <w:t>techniki wchodzące w skład następujących metod:</w:t>
      </w:r>
    </w:p>
    <w:p w:rsidR="00290AB7" w:rsidRDefault="00290AB7" w:rsidP="00290AB7">
      <w:pPr>
        <w:numPr>
          <w:ilvl w:val="0"/>
          <w:numId w:val="22"/>
        </w:numPr>
        <w:tabs>
          <w:tab w:val="num" w:pos="0"/>
        </w:tabs>
        <w:suppressAutoHyphens/>
        <w:ind w:left="720"/>
        <w:jc w:val="both"/>
        <w:rPr>
          <w:rFonts w:cs="Calibri"/>
          <w:kern w:val="2"/>
          <w:szCs w:val="20"/>
          <w:lang w:eastAsia="hi-IN" w:bidi="hi-IN"/>
        </w:rPr>
      </w:pPr>
      <w:r w:rsidRPr="00EE1EC8">
        <w:rPr>
          <w:rFonts w:cs="Calibri"/>
          <w:b/>
          <w:kern w:val="2"/>
          <w:szCs w:val="20"/>
          <w:lang w:eastAsia="hi-IN" w:bidi="hi-IN"/>
        </w:rPr>
        <w:t>metody technokratycznej</w:t>
      </w:r>
      <w:r>
        <w:rPr>
          <w:rFonts w:cs="Calibri"/>
          <w:kern w:val="2"/>
          <w:szCs w:val="20"/>
          <w:lang w:eastAsia="hi-IN" w:bidi="hi-IN"/>
        </w:rPr>
        <w:t xml:space="preserve"> – polegającej na wykorzystywaniu najlepszych technik prognozowania do przewidywania przyszłych zmian otoczenia i opracowywania planów działania w otoczeniu; w szczególności, techniki w ramach tej metody obejmują różne formy studiów scenariuszowych, badań ankietowych, technikę delficką, analizy powiązań krzyżowych itp.;</w:t>
      </w:r>
    </w:p>
    <w:p w:rsidR="00290AB7" w:rsidRDefault="00290AB7" w:rsidP="00290AB7">
      <w:pPr>
        <w:numPr>
          <w:ilvl w:val="0"/>
          <w:numId w:val="22"/>
        </w:numPr>
        <w:tabs>
          <w:tab w:val="num" w:pos="0"/>
        </w:tabs>
        <w:suppressAutoHyphens/>
        <w:ind w:left="720"/>
        <w:jc w:val="both"/>
        <w:rPr>
          <w:rFonts w:cs="Calibri"/>
          <w:kern w:val="2"/>
          <w:szCs w:val="20"/>
          <w:lang w:eastAsia="hi-IN" w:bidi="hi-IN"/>
        </w:rPr>
      </w:pPr>
      <w:r w:rsidRPr="00EE1EC8">
        <w:rPr>
          <w:rFonts w:cs="Calibri"/>
          <w:b/>
          <w:kern w:val="2"/>
          <w:szCs w:val="20"/>
          <w:lang w:eastAsia="hi-IN" w:bidi="hi-IN"/>
        </w:rPr>
        <w:t>metody politycznej</w:t>
      </w:r>
      <w:r>
        <w:rPr>
          <w:rFonts w:cs="Calibri"/>
          <w:kern w:val="2"/>
          <w:szCs w:val="20"/>
          <w:lang w:eastAsia="hi-IN" w:bidi="hi-IN"/>
        </w:rPr>
        <w:t xml:space="preserve"> – polegającej na działaniach menedżerskich związanych z konsekwentnym kreowaniem i kontrolą przyszłości w drodze podporządkowania lub eliminacji źródeł niepewności; przykładami technik w ramach tej metody są różne formy partnerstw, delegowania uprawnień, przesuwania obowiązków, odpowiedzialności i ryzyka na inne podmioty; </w:t>
      </w:r>
    </w:p>
    <w:p w:rsidR="00290AB7" w:rsidRDefault="00290AB7" w:rsidP="00290AB7">
      <w:pPr>
        <w:numPr>
          <w:ilvl w:val="0"/>
          <w:numId w:val="22"/>
        </w:numPr>
        <w:tabs>
          <w:tab w:val="num" w:pos="0"/>
        </w:tabs>
        <w:suppressAutoHyphens/>
        <w:ind w:left="720"/>
        <w:jc w:val="both"/>
        <w:rPr>
          <w:rFonts w:cs="Calibri"/>
          <w:kern w:val="2"/>
          <w:szCs w:val="20"/>
          <w:lang w:eastAsia="hi-IN" w:bidi="hi-IN"/>
        </w:rPr>
      </w:pPr>
      <w:r w:rsidRPr="00EE1EC8">
        <w:rPr>
          <w:rFonts w:cs="Calibri"/>
          <w:b/>
          <w:kern w:val="2"/>
          <w:szCs w:val="20"/>
          <w:lang w:eastAsia="hi-IN" w:bidi="hi-IN"/>
        </w:rPr>
        <w:t>metody strukturalnej</w:t>
      </w:r>
      <w:r>
        <w:rPr>
          <w:rFonts w:cs="Calibri"/>
          <w:kern w:val="2"/>
          <w:szCs w:val="20"/>
          <w:lang w:eastAsia="hi-IN" w:bidi="hi-IN"/>
        </w:rPr>
        <w:t xml:space="preserve"> – polegającej na uodpornieniu systemu na działanie czynnika niepewności przez kształtowanie struktur elastycznych, dających się łatwo przystosować do nieprzewidzianych zmian w otoczeniu; w ramach tej metody wykorzystywane są różne formy aliansów, zmian strukturalnych łączących podmioty miejskie z innymi sektorami, rozwijanie i zapewnianie zasobów na rzecz realizacji rozwoju.</w:t>
      </w:r>
    </w:p>
    <w:p w:rsidR="00290AB7" w:rsidRDefault="00290AB7" w:rsidP="00290AB7">
      <w:pPr>
        <w:suppressAutoHyphens/>
        <w:jc w:val="both"/>
        <w:rPr>
          <w:rFonts w:cs="Mangal"/>
          <w:kern w:val="2"/>
          <w:szCs w:val="20"/>
          <w:lang w:eastAsia="hi-IN" w:bidi="hi-IN"/>
        </w:rPr>
      </w:pPr>
      <w:r>
        <w:rPr>
          <w:rFonts w:cs="Mangal"/>
          <w:kern w:val="2"/>
          <w:szCs w:val="20"/>
          <w:lang w:eastAsia="hi-IN" w:bidi="hi-IN"/>
        </w:rPr>
        <w:t>Opisane w poniższej tabeli techniki i narzędzia zostały opracowane przy wykorzystaniu wymienionych metod. Podkreślić należy spójność między technikami stosowanymi na etapie formułowania i wdrażania programu. W dużej części, techniki stosowane na etapie wdrażania stanowią naturalną kontynuację technik wykorzystywanych na etapie formułowania programu.</w:t>
      </w:r>
    </w:p>
    <w:p w:rsidR="00290AB7" w:rsidRDefault="00290AB7" w:rsidP="00290AB7">
      <w:pPr>
        <w:suppressAutoHyphens/>
        <w:jc w:val="both"/>
        <w:rPr>
          <w:rFonts w:cs="Mangal"/>
          <w:kern w:val="2"/>
          <w:szCs w:val="20"/>
          <w:lang w:eastAsia="hi-IN" w:bidi="hi-IN"/>
        </w:rPr>
      </w:pPr>
    </w:p>
    <w:p w:rsidR="00290AB7" w:rsidRDefault="00290AB7" w:rsidP="00E00336">
      <w:pPr>
        <w:pStyle w:val="Legenda"/>
        <w:keepNext/>
        <w:spacing w:after="60"/>
        <w:jc w:val="both"/>
      </w:pPr>
      <w:bookmarkStart w:id="9177" w:name="_Toc467761904"/>
      <w:bookmarkStart w:id="9178" w:name="_Toc202771129"/>
      <w:r>
        <w:t xml:space="preserve">Tabela </w:t>
      </w:r>
      <w:fldSimple w:instr=" SEQ Tabela \* ARABIC ">
        <w:r w:rsidR="00413FFE">
          <w:rPr>
            <w:noProof/>
          </w:rPr>
          <w:t>35</w:t>
        </w:r>
      </w:fldSimple>
      <w:r>
        <w:t>. Sposoby zapobiegania zidentyfikowanym rodzajom ryzyka w zależności od źródła i charakteru czynników niepewności</w:t>
      </w:r>
      <w:bookmarkEnd w:id="9177"/>
      <w:bookmarkEnd w:id="9178"/>
    </w:p>
    <w:tbl>
      <w:tblPr>
        <w:tblW w:w="9288" w:type="dxa"/>
        <w:tblLayout w:type="fixed"/>
        <w:tblLook w:val="04A0"/>
      </w:tblPr>
      <w:tblGrid>
        <w:gridCol w:w="2518"/>
        <w:gridCol w:w="3686"/>
        <w:gridCol w:w="3084"/>
      </w:tblGrid>
      <w:tr w:rsidR="00290AB7" w:rsidTr="00E00336">
        <w:tc>
          <w:tcPr>
            <w:tcW w:w="2518" w:type="dxa"/>
            <w:tcBorders>
              <w:top w:val="single" w:sz="8" w:space="0" w:color="000000"/>
              <w:left w:val="single" w:sz="8" w:space="0" w:color="000000"/>
              <w:bottom w:val="single" w:sz="8" w:space="0" w:color="000000"/>
              <w:right w:val="single" w:sz="8" w:space="0" w:color="000000"/>
            </w:tcBorders>
            <w:shd w:val="clear" w:color="auto" w:fill="99CCFF"/>
            <w:vAlign w:val="center"/>
            <w:hideMark/>
          </w:tcPr>
          <w:p w:rsidR="00290AB7" w:rsidRDefault="00290AB7" w:rsidP="0020326F">
            <w:pPr>
              <w:suppressAutoHyphens/>
              <w:jc w:val="center"/>
              <w:rPr>
                <w:rFonts w:cs="Calibri"/>
                <w:b/>
                <w:bCs/>
                <w:kern w:val="2"/>
                <w:szCs w:val="20"/>
                <w:lang w:eastAsia="hi-IN" w:bidi="hi-IN"/>
              </w:rPr>
            </w:pPr>
            <w:r>
              <w:rPr>
                <w:rFonts w:cs="Calibri"/>
                <w:b/>
                <w:bCs/>
                <w:kern w:val="2"/>
                <w:szCs w:val="20"/>
                <w:lang w:eastAsia="hi-IN" w:bidi="hi-IN"/>
              </w:rPr>
              <w:t>Ryzyko</w:t>
            </w:r>
          </w:p>
        </w:tc>
        <w:tc>
          <w:tcPr>
            <w:tcW w:w="3686" w:type="dxa"/>
            <w:tcBorders>
              <w:top w:val="single" w:sz="8" w:space="0" w:color="000000"/>
              <w:left w:val="single" w:sz="8" w:space="0" w:color="000000"/>
              <w:bottom w:val="single" w:sz="8" w:space="0" w:color="000000"/>
              <w:right w:val="single" w:sz="8" w:space="0" w:color="000000"/>
            </w:tcBorders>
            <w:shd w:val="clear" w:color="auto" w:fill="99CCFF"/>
            <w:vAlign w:val="center"/>
            <w:hideMark/>
          </w:tcPr>
          <w:p w:rsidR="00290AB7" w:rsidRDefault="00290AB7" w:rsidP="0020326F">
            <w:pPr>
              <w:suppressAutoHyphens/>
              <w:jc w:val="center"/>
              <w:rPr>
                <w:rFonts w:cs="Mangal"/>
                <w:b/>
                <w:bCs/>
                <w:kern w:val="2"/>
                <w:szCs w:val="20"/>
                <w:lang w:eastAsia="hi-IN" w:bidi="hi-IN"/>
              </w:rPr>
            </w:pPr>
            <w:r>
              <w:rPr>
                <w:rFonts w:cs="Mangal"/>
                <w:b/>
                <w:bCs/>
                <w:kern w:val="2"/>
                <w:szCs w:val="20"/>
                <w:lang w:eastAsia="hi-IN" w:bidi="hi-IN"/>
              </w:rPr>
              <w:t>Techniki/narzędzia radzenia sobie z ryzykiem na etapie formułowania Programu</w:t>
            </w:r>
          </w:p>
        </w:tc>
        <w:tc>
          <w:tcPr>
            <w:tcW w:w="3084" w:type="dxa"/>
            <w:tcBorders>
              <w:top w:val="single" w:sz="8" w:space="0" w:color="000000"/>
              <w:left w:val="single" w:sz="8" w:space="0" w:color="000000"/>
              <w:bottom w:val="single" w:sz="8" w:space="0" w:color="000000"/>
              <w:right w:val="single" w:sz="8" w:space="0" w:color="000000"/>
            </w:tcBorders>
            <w:shd w:val="clear" w:color="auto" w:fill="99CCFF"/>
            <w:vAlign w:val="center"/>
            <w:hideMark/>
          </w:tcPr>
          <w:p w:rsidR="00290AB7" w:rsidRDefault="00290AB7" w:rsidP="0020326F">
            <w:pPr>
              <w:suppressAutoHyphens/>
              <w:jc w:val="center"/>
              <w:rPr>
                <w:rFonts w:cs="Mangal"/>
                <w:b/>
                <w:bCs/>
                <w:kern w:val="2"/>
                <w:szCs w:val="20"/>
                <w:lang w:eastAsia="hi-IN" w:bidi="hi-IN"/>
              </w:rPr>
            </w:pPr>
            <w:r>
              <w:rPr>
                <w:rFonts w:cs="Mangal"/>
                <w:b/>
                <w:bCs/>
                <w:kern w:val="2"/>
                <w:szCs w:val="20"/>
                <w:lang w:eastAsia="hi-IN" w:bidi="hi-IN"/>
              </w:rPr>
              <w:t>Techniki/narzędzia radzenia sobie z ryzykiem na etapie wdrażania Programu</w:t>
            </w:r>
          </w:p>
        </w:tc>
      </w:tr>
      <w:tr w:rsidR="00290AB7" w:rsidTr="009F0F90">
        <w:tc>
          <w:tcPr>
            <w:tcW w:w="2518" w:type="dxa"/>
            <w:tcBorders>
              <w:top w:val="single" w:sz="8" w:space="0" w:color="000000"/>
              <w:left w:val="single" w:sz="8" w:space="0" w:color="000000"/>
              <w:bottom w:val="single" w:sz="8" w:space="0" w:color="000000"/>
              <w:right w:val="single" w:sz="8" w:space="0" w:color="000000"/>
            </w:tcBorders>
            <w:shd w:val="clear" w:color="auto" w:fill="DDD9C3" w:themeFill="background2" w:themeFillShade="E6"/>
            <w:hideMark/>
          </w:tcPr>
          <w:p w:rsidR="00290AB7" w:rsidRDefault="00290AB7" w:rsidP="0020326F">
            <w:pPr>
              <w:suppressAutoHyphens/>
              <w:rPr>
                <w:rFonts w:cs="Calibri"/>
                <w:b/>
                <w:bCs/>
                <w:kern w:val="2"/>
                <w:sz w:val="18"/>
                <w:szCs w:val="20"/>
                <w:lang w:eastAsia="hi-IN" w:bidi="hi-IN"/>
              </w:rPr>
            </w:pPr>
            <w:r>
              <w:rPr>
                <w:rFonts w:cs="Calibri"/>
                <w:b/>
                <w:bCs/>
                <w:kern w:val="2"/>
                <w:sz w:val="18"/>
                <w:szCs w:val="20"/>
                <w:lang w:eastAsia="hi-IN" w:bidi="hi-IN"/>
              </w:rPr>
              <w:t>Ryzyko niepełnego dostępu do informacji oraz nie w pełni poprawnych wyników analiz wykonanych na etapie formułowania dokumentu</w:t>
            </w:r>
          </w:p>
        </w:tc>
        <w:tc>
          <w:tcPr>
            <w:tcW w:w="3686" w:type="dxa"/>
            <w:tcBorders>
              <w:top w:val="single" w:sz="8" w:space="0" w:color="000000"/>
              <w:left w:val="single" w:sz="8" w:space="0" w:color="000000"/>
              <w:bottom w:val="single" w:sz="8" w:space="0" w:color="000000"/>
              <w:right w:val="single" w:sz="8" w:space="0" w:color="000000"/>
            </w:tcBorders>
            <w:hideMark/>
          </w:tcPr>
          <w:p w:rsidR="00290AB7" w:rsidRDefault="00290AB7" w:rsidP="00290AB7">
            <w:pPr>
              <w:numPr>
                <w:ilvl w:val="0"/>
                <w:numId w:val="23"/>
              </w:numPr>
              <w:tabs>
                <w:tab w:val="num" w:pos="0"/>
              </w:tabs>
              <w:suppressAutoHyphens/>
              <w:ind w:left="222" w:hanging="222"/>
              <w:rPr>
                <w:rFonts w:cs="Calibri"/>
                <w:kern w:val="2"/>
                <w:sz w:val="18"/>
                <w:szCs w:val="20"/>
                <w:lang w:eastAsia="hi-IN" w:bidi="hi-IN"/>
              </w:rPr>
            </w:pPr>
            <w:r>
              <w:rPr>
                <w:rFonts w:cs="Calibri"/>
                <w:kern w:val="2"/>
                <w:sz w:val="18"/>
                <w:szCs w:val="20"/>
                <w:lang w:eastAsia="hi-IN" w:bidi="hi-IN"/>
              </w:rPr>
              <w:t>szerokie konsultacje społeczne w celu zgromadzenia, oceny i wartościowania gromadzonych danych,</w:t>
            </w:r>
          </w:p>
          <w:p w:rsidR="00290AB7" w:rsidRDefault="00290AB7" w:rsidP="00290AB7">
            <w:pPr>
              <w:numPr>
                <w:ilvl w:val="0"/>
                <w:numId w:val="23"/>
              </w:numPr>
              <w:tabs>
                <w:tab w:val="num" w:pos="0"/>
              </w:tabs>
              <w:suppressAutoHyphens/>
              <w:ind w:left="222" w:hanging="222"/>
              <w:rPr>
                <w:rFonts w:cs="Calibri"/>
                <w:kern w:val="2"/>
                <w:sz w:val="18"/>
                <w:szCs w:val="20"/>
                <w:lang w:eastAsia="hi-IN" w:bidi="hi-IN"/>
              </w:rPr>
            </w:pPr>
            <w:r>
              <w:rPr>
                <w:rFonts w:cs="Calibri"/>
                <w:kern w:val="2"/>
                <w:sz w:val="18"/>
                <w:szCs w:val="20"/>
                <w:lang w:eastAsia="hi-IN" w:bidi="hi-IN"/>
              </w:rPr>
              <w:t>wykorzystanie danych z instytucji miejskich, w</w:t>
            </w:r>
            <w:r w:rsidR="00E00336">
              <w:rPr>
                <w:rFonts w:cs="Calibri"/>
                <w:kern w:val="2"/>
                <w:sz w:val="18"/>
                <w:szCs w:val="20"/>
                <w:lang w:eastAsia="hi-IN" w:bidi="hi-IN"/>
              </w:rPr>
              <w:t> </w:t>
            </w:r>
            <w:r>
              <w:rPr>
                <w:rFonts w:cs="Calibri"/>
                <w:kern w:val="2"/>
                <w:sz w:val="18"/>
                <w:szCs w:val="20"/>
                <w:lang w:eastAsia="hi-IN" w:bidi="hi-IN"/>
              </w:rPr>
              <w:t>szczególności PUP, MOP</w:t>
            </w:r>
            <w:r w:rsidR="008E2146">
              <w:rPr>
                <w:rFonts w:cs="Calibri"/>
                <w:kern w:val="2"/>
                <w:sz w:val="18"/>
                <w:szCs w:val="20"/>
                <w:lang w:eastAsia="hi-IN" w:bidi="hi-IN"/>
              </w:rPr>
              <w:t>R</w:t>
            </w:r>
            <w:r>
              <w:rPr>
                <w:rFonts w:cs="Calibri"/>
                <w:kern w:val="2"/>
                <w:sz w:val="18"/>
                <w:szCs w:val="20"/>
                <w:lang w:eastAsia="hi-IN" w:bidi="hi-IN"/>
              </w:rPr>
              <w:t>, Policji, Straży Miejskiej, placówek edukacyjnych, itp.,</w:t>
            </w:r>
          </w:p>
          <w:p w:rsidR="00290AB7" w:rsidRDefault="00290AB7" w:rsidP="00290AB7">
            <w:pPr>
              <w:numPr>
                <w:ilvl w:val="0"/>
                <w:numId w:val="23"/>
              </w:numPr>
              <w:tabs>
                <w:tab w:val="num" w:pos="0"/>
              </w:tabs>
              <w:suppressAutoHyphens/>
              <w:ind w:left="222" w:hanging="222"/>
              <w:rPr>
                <w:rFonts w:cs="Calibri"/>
                <w:kern w:val="2"/>
                <w:sz w:val="18"/>
                <w:szCs w:val="20"/>
                <w:lang w:eastAsia="hi-IN" w:bidi="hi-IN"/>
              </w:rPr>
            </w:pPr>
            <w:r>
              <w:rPr>
                <w:rFonts w:cs="Calibri"/>
                <w:kern w:val="2"/>
                <w:sz w:val="18"/>
                <w:szCs w:val="20"/>
                <w:lang w:eastAsia="hi-IN" w:bidi="hi-IN"/>
              </w:rPr>
              <w:t>wykorzystanie narzędzi ankietowych dla uzupełnienia deficytów informacyjnych w</w:t>
            </w:r>
            <w:r w:rsidR="00E00336">
              <w:rPr>
                <w:rFonts w:cs="Calibri"/>
                <w:kern w:val="2"/>
                <w:sz w:val="18"/>
                <w:szCs w:val="20"/>
                <w:lang w:eastAsia="hi-IN" w:bidi="hi-IN"/>
              </w:rPr>
              <w:t> </w:t>
            </w:r>
            <w:r>
              <w:rPr>
                <w:rFonts w:cs="Calibri"/>
                <w:kern w:val="2"/>
                <w:sz w:val="18"/>
                <w:szCs w:val="20"/>
                <w:lang w:eastAsia="hi-IN" w:bidi="hi-IN"/>
              </w:rPr>
              <w:t>źródłach statystyki publicznej,</w:t>
            </w:r>
          </w:p>
          <w:p w:rsidR="00290AB7" w:rsidRDefault="00290AB7" w:rsidP="00290AB7">
            <w:pPr>
              <w:numPr>
                <w:ilvl w:val="0"/>
                <w:numId w:val="23"/>
              </w:numPr>
              <w:tabs>
                <w:tab w:val="num" w:pos="0"/>
              </w:tabs>
              <w:suppressAutoHyphens/>
              <w:ind w:left="222" w:hanging="222"/>
              <w:rPr>
                <w:rFonts w:cs="Calibri"/>
                <w:kern w:val="2"/>
                <w:sz w:val="18"/>
                <w:szCs w:val="20"/>
                <w:lang w:eastAsia="hi-IN" w:bidi="hi-IN"/>
              </w:rPr>
            </w:pPr>
            <w:r>
              <w:rPr>
                <w:rFonts w:cs="Calibri"/>
                <w:kern w:val="2"/>
                <w:sz w:val="18"/>
                <w:szCs w:val="20"/>
                <w:lang w:eastAsia="hi-IN" w:bidi="hi-IN"/>
              </w:rPr>
              <w:t>organizacja otwartych spotkań ze społecznościami lokalnymi w miejscu i</w:t>
            </w:r>
            <w:r w:rsidR="00E00336">
              <w:rPr>
                <w:rFonts w:cs="Calibri"/>
                <w:kern w:val="2"/>
                <w:sz w:val="18"/>
                <w:szCs w:val="20"/>
                <w:lang w:eastAsia="hi-IN" w:bidi="hi-IN"/>
              </w:rPr>
              <w:t> </w:t>
            </w:r>
            <w:r>
              <w:rPr>
                <w:rFonts w:cs="Calibri"/>
                <w:kern w:val="2"/>
                <w:sz w:val="18"/>
                <w:szCs w:val="20"/>
                <w:lang w:eastAsia="hi-IN" w:bidi="hi-IN"/>
              </w:rPr>
              <w:t>terminie jak najbardziej dogodnym dla uczestników,</w:t>
            </w:r>
          </w:p>
          <w:p w:rsidR="00290AB7" w:rsidRDefault="00290AB7" w:rsidP="00E00336">
            <w:pPr>
              <w:numPr>
                <w:ilvl w:val="0"/>
                <w:numId w:val="23"/>
              </w:numPr>
              <w:tabs>
                <w:tab w:val="num" w:pos="0"/>
              </w:tabs>
              <w:suppressAutoHyphens/>
              <w:ind w:left="222" w:hanging="222"/>
              <w:rPr>
                <w:rFonts w:cs="Calibri"/>
                <w:kern w:val="2"/>
                <w:sz w:val="18"/>
                <w:szCs w:val="20"/>
                <w:lang w:eastAsia="hi-IN" w:bidi="hi-IN"/>
              </w:rPr>
            </w:pPr>
            <w:r>
              <w:rPr>
                <w:rFonts w:cs="Calibri"/>
                <w:kern w:val="2"/>
                <w:sz w:val="18"/>
                <w:szCs w:val="20"/>
                <w:lang w:eastAsia="hi-IN" w:bidi="hi-IN"/>
              </w:rPr>
              <w:t>spotkania i wywiady z instytucjami oraz osobami kontaktującymi się ze środowiskami problemowymi słabo uczestnicząc</w:t>
            </w:r>
            <w:r w:rsidR="008F207E">
              <w:rPr>
                <w:rFonts w:cs="Calibri"/>
                <w:kern w:val="2"/>
                <w:sz w:val="18"/>
                <w:szCs w:val="20"/>
                <w:lang w:eastAsia="hi-IN" w:bidi="hi-IN"/>
              </w:rPr>
              <w:t>ymi w</w:t>
            </w:r>
            <w:r w:rsidR="00E00336">
              <w:rPr>
                <w:rFonts w:cs="Calibri"/>
                <w:kern w:val="2"/>
                <w:sz w:val="18"/>
                <w:szCs w:val="20"/>
                <w:lang w:eastAsia="hi-IN" w:bidi="hi-IN"/>
              </w:rPr>
              <w:t> </w:t>
            </w:r>
            <w:r w:rsidR="008F207E">
              <w:rPr>
                <w:rFonts w:cs="Calibri"/>
                <w:kern w:val="2"/>
                <w:sz w:val="18"/>
                <w:szCs w:val="20"/>
                <w:lang w:eastAsia="hi-IN" w:bidi="hi-IN"/>
              </w:rPr>
              <w:t>konsultacjach społecznych</w:t>
            </w:r>
            <w:r w:rsidR="00EE1EC8">
              <w:rPr>
                <w:rFonts w:cs="Calibri"/>
                <w:kern w:val="2"/>
                <w:sz w:val="18"/>
                <w:szCs w:val="20"/>
                <w:lang w:eastAsia="hi-IN" w:bidi="hi-IN"/>
              </w:rPr>
              <w:t>.</w:t>
            </w:r>
          </w:p>
        </w:tc>
        <w:tc>
          <w:tcPr>
            <w:tcW w:w="3084" w:type="dxa"/>
            <w:tcBorders>
              <w:top w:val="single" w:sz="8" w:space="0" w:color="000000"/>
              <w:left w:val="single" w:sz="8" w:space="0" w:color="000000"/>
              <w:bottom w:val="single" w:sz="8" w:space="0" w:color="000000"/>
              <w:right w:val="single" w:sz="8" w:space="0" w:color="000000"/>
            </w:tcBorders>
            <w:hideMark/>
          </w:tcPr>
          <w:p w:rsidR="00290AB7" w:rsidRDefault="00290AB7" w:rsidP="00290AB7">
            <w:pPr>
              <w:numPr>
                <w:ilvl w:val="0"/>
                <w:numId w:val="23"/>
              </w:numPr>
              <w:tabs>
                <w:tab w:val="num" w:pos="0"/>
              </w:tabs>
              <w:suppressAutoHyphens/>
              <w:ind w:left="298" w:hanging="298"/>
              <w:rPr>
                <w:rFonts w:cs="Calibri"/>
                <w:kern w:val="2"/>
                <w:sz w:val="18"/>
                <w:szCs w:val="20"/>
                <w:lang w:eastAsia="hi-IN" w:bidi="hi-IN"/>
              </w:rPr>
            </w:pPr>
            <w:r>
              <w:rPr>
                <w:rFonts w:cs="Calibri"/>
                <w:kern w:val="2"/>
                <w:sz w:val="18"/>
                <w:szCs w:val="20"/>
                <w:lang w:eastAsia="hi-IN" w:bidi="hi-IN"/>
              </w:rPr>
              <w:t>utrwalenie kontaktów z partnerami procesu formułowania strategii – ustalenie zbioru informacji, które mogą być przekazywane przez różne podmioty, interwałów czasowych przekazywania informacji, korzyści dla podmiotów uczestniczących w procesie zbierania danych,</w:t>
            </w:r>
          </w:p>
          <w:p w:rsidR="00290AB7" w:rsidRDefault="00290AB7" w:rsidP="00290AB7">
            <w:pPr>
              <w:numPr>
                <w:ilvl w:val="0"/>
                <w:numId w:val="23"/>
              </w:numPr>
              <w:tabs>
                <w:tab w:val="num" w:pos="0"/>
              </w:tabs>
              <w:suppressAutoHyphens/>
              <w:ind w:left="298" w:hanging="298"/>
              <w:rPr>
                <w:rFonts w:cs="Calibri"/>
                <w:kern w:val="2"/>
                <w:sz w:val="18"/>
                <w:szCs w:val="20"/>
                <w:lang w:eastAsia="hi-IN" w:bidi="hi-IN"/>
              </w:rPr>
            </w:pPr>
            <w:r>
              <w:rPr>
                <w:rFonts w:cs="Calibri"/>
                <w:kern w:val="2"/>
                <w:sz w:val="18"/>
                <w:szCs w:val="20"/>
                <w:lang w:eastAsia="hi-IN" w:bidi="hi-IN"/>
              </w:rPr>
              <w:t>podtrzymywanie stałego kontaktu z liderami reprezentującymi różne grupy społeczne,</w:t>
            </w:r>
          </w:p>
          <w:p w:rsidR="00290AB7" w:rsidRDefault="00290AB7" w:rsidP="00290AB7">
            <w:pPr>
              <w:numPr>
                <w:ilvl w:val="0"/>
                <w:numId w:val="23"/>
              </w:numPr>
              <w:tabs>
                <w:tab w:val="num" w:pos="0"/>
              </w:tabs>
              <w:suppressAutoHyphens/>
              <w:ind w:left="298" w:hanging="298"/>
              <w:rPr>
                <w:rFonts w:cs="Calibri"/>
                <w:kern w:val="2"/>
                <w:sz w:val="18"/>
                <w:szCs w:val="20"/>
                <w:lang w:eastAsia="hi-IN" w:bidi="hi-IN"/>
              </w:rPr>
            </w:pPr>
            <w:r>
              <w:rPr>
                <w:rFonts w:cs="Calibri"/>
                <w:kern w:val="2"/>
                <w:sz w:val="18"/>
                <w:szCs w:val="20"/>
                <w:lang w:eastAsia="hi-IN" w:bidi="hi-IN"/>
              </w:rPr>
              <w:t>stworzenie w oparciu o zbiór danych dostępnych w instytucjach miejskich systemu danych do monitoringu,</w:t>
            </w:r>
          </w:p>
          <w:p w:rsidR="00290AB7" w:rsidRDefault="00290AB7" w:rsidP="00290AB7">
            <w:pPr>
              <w:numPr>
                <w:ilvl w:val="0"/>
                <w:numId w:val="23"/>
              </w:numPr>
              <w:tabs>
                <w:tab w:val="num" w:pos="0"/>
              </w:tabs>
              <w:suppressAutoHyphens/>
              <w:ind w:left="298" w:hanging="298"/>
              <w:rPr>
                <w:rFonts w:cs="Calibri"/>
                <w:kern w:val="2"/>
                <w:sz w:val="18"/>
                <w:szCs w:val="20"/>
                <w:lang w:eastAsia="hi-IN" w:bidi="hi-IN"/>
              </w:rPr>
            </w:pPr>
            <w:r>
              <w:rPr>
                <w:rFonts w:cs="Calibri"/>
                <w:kern w:val="2"/>
                <w:sz w:val="18"/>
                <w:szCs w:val="20"/>
                <w:lang w:eastAsia="hi-IN" w:bidi="hi-IN"/>
              </w:rPr>
              <w:t>opracowanie narzędzia informatycznego umożliwiającego gromadzenie danych z różnych źródeł, ich porządkowanie oraz</w:t>
            </w:r>
            <w:r w:rsidR="008F207E">
              <w:rPr>
                <w:rFonts w:cs="Calibri"/>
                <w:kern w:val="2"/>
                <w:sz w:val="18"/>
                <w:szCs w:val="20"/>
                <w:lang w:eastAsia="hi-IN" w:bidi="hi-IN"/>
              </w:rPr>
              <w:t xml:space="preserve"> czytelną prezentację graficzną</w:t>
            </w:r>
            <w:r w:rsidR="00EE1EC8">
              <w:rPr>
                <w:rFonts w:cs="Calibri"/>
                <w:kern w:val="2"/>
                <w:sz w:val="18"/>
                <w:szCs w:val="20"/>
                <w:lang w:eastAsia="hi-IN" w:bidi="hi-IN"/>
              </w:rPr>
              <w:t>.</w:t>
            </w:r>
          </w:p>
        </w:tc>
      </w:tr>
      <w:tr w:rsidR="00290AB7" w:rsidTr="009F0F90">
        <w:tc>
          <w:tcPr>
            <w:tcW w:w="2518" w:type="dxa"/>
            <w:tcBorders>
              <w:top w:val="single" w:sz="8" w:space="0" w:color="000000"/>
              <w:left w:val="single" w:sz="8" w:space="0" w:color="000000"/>
              <w:bottom w:val="single" w:sz="8" w:space="0" w:color="000000"/>
              <w:right w:val="single" w:sz="8" w:space="0" w:color="000000"/>
            </w:tcBorders>
            <w:shd w:val="clear" w:color="auto" w:fill="DDD9C3" w:themeFill="background2" w:themeFillShade="E6"/>
            <w:hideMark/>
          </w:tcPr>
          <w:p w:rsidR="00290AB7" w:rsidRDefault="00290AB7" w:rsidP="0020326F">
            <w:pPr>
              <w:suppressAutoHyphens/>
              <w:rPr>
                <w:rFonts w:cs="Calibri"/>
                <w:b/>
                <w:bCs/>
                <w:kern w:val="2"/>
                <w:sz w:val="18"/>
                <w:szCs w:val="20"/>
                <w:lang w:eastAsia="hi-IN" w:bidi="hi-IN"/>
              </w:rPr>
            </w:pPr>
            <w:r>
              <w:rPr>
                <w:rFonts w:cs="Calibri"/>
                <w:b/>
                <w:bCs/>
                <w:kern w:val="2"/>
                <w:sz w:val="18"/>
                <w:szCs w:val="20"/>
                <w:lang w:eastAsia="hi-IN" w:bidi="hi-IN"/>
              </w:rPr>
              <w:t>Ryzyko błędnego prognozowania zjawisk</w:t>
            </w:r>
          </w:p>
        </w:tc>
        <w:tc>
          <w:tcPr>
            <w:tcW w:w="3686" w:type="dxa"/>
            <w:tcBorders>
              <w:top w:val="single" w:sz="8" w:space="0" w:color="000000"/>
              <w:left w:val="single" w:sz="8" w:space="0" w:color="000000"/>
              <w:bottom w:val="single" w:sz="8" w:space="0" w:color="000000"/>
              <w:right w:val="single" w:sz="8" w:space="0" w:color="000000"/>
            </w:tcBorders>
            <w:hideMark/>
          </w:tcPr>
          <w:p w:rsidR="00290AB7" w:rsidRDefault="00290AB7" w:rsidP="00290AB7">
            <w:pPr>
              <w:numPr>
                <w:ilvl w:val="0"/>
                <w:numId w:val="23"/>
              </w:numPr>
              <w:tabs>
                <w:tab w:val="num" w:pos="0"/>
              </w:tabs>
              <w:suppressAutoHyphens/>
              <w:ind w:left="222" w:hanging="222"/>
              <w:rPr>
                <w:rFonts w:cs="Calibri"/>
                <w:kern w:val="2"/>
                <w:sz w:val="18"/>
                <w:szCs w:val="20"/>
                <w:lang w:eastAsia="hi-IN" w:bidi="hi-IN"/>
              </w:rPr>
            </w:pPr>
            <w:r>
              <w:rPr>
                <w:rFonts w:cs="Calibri"/>
                <w:kern w:val="2"/>
                <w:sz w:val="18"/>
                <w:szCs w:val="20"/>
                <w:lang w:eastAsia="hi-IN" w:bidi="hi-IN"/>
              </w:rPr>
              <w:t>wykorzystanie technik scenariuszowych do porządkowania i obróbki zgromadzonych danych, w szczególności opracowanie scenariuszy zmian ewolucyjnych w mieście i</w:t>
            </w:r>
            <w:r w:rsidR="00E00336">
              <w:rPr>
                <w:rFonts w:cs="Calibri"/>
                <w:kern w:val="2"/>
                <w:sz w:val="18"/>
                <w:szCs w:val="20"/>
                <w:lang w:eastAsia="hi-IN" w:bidi="hi-IN"/>
              </w:rPr>
              <w:t> </w:t>
            </w:r>
            <w:r>
              <w:rPr>
                <w:rFonts w:cs="Calibri"/>
                <w:kern w:val="2"/>
                <w:sz w:val="18"/>
                <w:szCs w:val="20"/>
                <w:lang w:eastAsia="hi-IN" w:bidi="hi-IN"/>
              </w:rPr>
              <w:t>otoczeniu,</w:t>
            </w:r>
          </w:p>
          <w:p w:rsidR="00290AB7" w:rsidRDefault="00290AB7" w:rsidP="00290AB7">
            <w:pPr>
              <w:numPr>
                <w:ilvl w:val="0"/>
                <w:numId w:val="23"/>
              </w:numPr>
              <w:tabs>
                <w:tab w:val="num" w:pos="0"/>
              </w:tabs>
              <w:suppressAutoHyphens/>
              <w:ind w:left="222" w:hanging="222"/>
              <w:rPr>
                <w:rFonts w:cs="Calibri"/>
                <w:kern w:val="2"/>
                <w:sz w:val="18"/>
                <w:szCs w:val="20"/>
                <w:lang w:eastAsia="hi-IN" w:bidi="hi-IN"/>
              </w:rPr>
            </w:pPr>
            <w:r>
              <w:rPr>
                <w:rFonts w:cs="Calibri"/>
                <w:kern w:val="2"/>
                <w:sz w:val="18"/>
                <w:szCs w:val="20"/>
                <w:lang w:eastAsia="hi-IN" w:bidi="hi-IN"/>
              </w:rPr>
              <w:t>selekcja, w oparciu o techniki scenariuszowe tzw. driverów, czyli czynników o</w:t>
            </w:r>
            <w:r w:rsidR="00E00336">
              <w:rPr>
                <w:rFonts w:cs="Calibri"/>
                <w:kern w:val="2"/>
                <w:sz w:val="18"/>
                <w:szCs w:val="20"/>
                <w:lang w:eastAsia="hi-IN" w:bidi="hi-IN"/>
              </w:rPr>
              <w:t> </w:t>
            </w:r>
            <w:r>
              <w:rPr>
                <w:rFonts w:cs="Calibri"/>
                <w:kern w:val="2"/>
                <w:sz w:val="18"/>
                <w:szCs w:val="20"/>
                <w:lang w:eastAsia="hi-IN" w:bidi="hi-IN"/>
              </w:rPr>
              <w:t>najsilniejszym wpływie na kształtowanie przyszłości,</w:t>
            </w:r>
          </w:p>
          <w:p w:rsidR="00290AB7" w:rsidRDefault="00290AB7" w:rsidP="00290AB7">
            <w:pPr>
              <w:numPr>
                <w:ilvl w:val="0"/>
                <w:numId w:val="23"/>
              </w:numPr>
              <w:tabs>
                <w:tab w:val="num" w:pos="0"/>
              </w:tabs>
              <w:suppressAutoHyphens/>
              <w:ind w:left="222" w:hanging="222"/>
              <w:rPr>
                <w:rFonts w:cs="Calibri"/>
                <w:kern w:val="2"/>
                <w:sz w:val="18"/>
                <w:szCs w:val="20"/>
                <w:lang w:eastAsia="hi-IN" w:bidi="hi-IN"/>
              </w:rPr>
            </w:pPr>
            <w:r>
              <w:rPr>
                <w:rFonts w:cs="Calibri"/>
                <w:kern w:val="2"/>
                <w:sz w:val="18"/>
                <w:szCs w:val="20"/>
                <w:lang w:eastAsia="hi-IN" w:bidi="hi-IN"/>
              </w:rPr>
              <w:t>wykorzystanie technik quasi-delfickich realizowanych z przedstawicielami społeczności lokalnych (mieszkańcy jako eksperci w badaniach typu delfickiego – iteracyjny proces konsultacji): sondowanie opinii, porządkowanie wyników, przedstawianie uporządkowanych w</w:t>
            </w:r>
            <w:r w:rsidR="008F207E">
              <w:rPr>
                <w:rFonts w:cs="Calibri"/>
                <w:kern w:val="2"/>
                <w:sz w:val="18"/>
                <w:szCs w:val="20"/>
                <w:lang w:eastAsia="hi-IN" w:bidi="hi-IN"/>
              </w:rPr>
              <w:t>yników, kolejne konsultacje</w:t>
            </w:r>
            <w:r w:rsidR="00A417D0">
              <w:rPr>
                <w:rFonts w:cs="Calibri"/>
                <w:kern w:val="2"/>
                <w:sz w:val="18"/>
                <w:szCs w:val="20"/>
                <w:lang w:eastAsia="hi-IN" w:bidi="hi-IN"/>
              </w:rPr>
              <w:t>.</w:t>
            </w:r>
          </w:p>
        </w:tc>
        <w:tc>
          <w:tcPr>
            <w:tcW w:w="3084" w:type="dxa"/>
            <w:tcBorders>
              <w:top w:val="single" w:sz="8" w:space="0" w:color="000000"/>
              <w:left w:val="single" w:sz="8" w:space="0" w:color="000000"/>
              <w:bottom w:val="single" w:sz="8" w:space="0" w:color="000000"/>
              <w:right w:val="single" w:sz="8" w:space="0" w:color="000000"/>
            </w:tcBorders>
            <w:hideMark/>
          </w:tcPr>
          <w:p w:rsidR="00290AB7" w:rsidRDefault="00290AB7" w:rsidP="00290AB7">
            <w:pPr>
              <w:numPr>
                <w:ilvl w:val="0"/>
                <w:numId w:val="23"/>
              </w:numPr>
              <w:tabs>
                <w:tab w:val="num" w:pos="0"/>
              </w:tabs>
              <w:suppressAutoHyphens/>
              <w:ind w:left="298" w:hanging="298"/>
              <w:rPr>
                <w:rFonts w:cs="Calibri"/>
                <w:kern w:val="2"/>
                <w:sz w:val="18"/>
                <w:szCs w:val="20"/>
                <w:lang w:eastAsia="hi-IN" w:bidi="hi-IN"/>
              </w:rPr>
            </w:pPr>
            <w:r>
              <w:rPr>
                <w:rFonts w:cs="Calibri"/>
                <w:kern w:val="2"/>
                <w:sz w:val="18"/>
                <w:szCs w:val="20"/>
                <w:lang w:eastAsia="hi-IN" w:bidi="hi-IN"/>
              </w:rPr>
              <w:t>stworzenie systemu szybkiego analizowania i prognozowania sytuacji w mieście i obszar</w:t>
            </w:r>
            <w:r w:rsidR="008F207E">
              <w:rPr>
                <w:rFonts w:cs="Calibri"/>
                <w:kern w:val="2"/>
                <w:sz w:val="18"/>
                <w:szCs w:val="20"/>
                <w:lang w:eastAsia="hi-IN" w:bidi="hi-IN"/>
              </w:rPr>
              <w:t>o</w:t>
            </w:r>
            <w:r w:rsidR="008E2146">
              <w:rPr>
                <w:rFonts w:cs="Calibri"/>
                <w:kern w:val="2"/>
                <w:sz w:val="18"/>
                <w:szCs w:val="20"/>
                <w:lang w:eastAsia="hi-IN" w:bidi="hi-IN"/>
              </w:rPr>
              <w:t>we</w:t>
            </w:r>
            <w:r>
              <w:rPr>
                <w:rFonts w:cs="Calibri"/>
                <w:kern w:val="2"/>
                <w:sz w:val="18"/>
                <w:szCs w:val="20"/>
                <w:lang w:eastAsia="hi-IN" w:bidi="hi-IN"/>
              </w:rPr>
              <w:t xml:space="preserve"> </w:t>
            </w:r>
            <w:r w:rsidR="008E2146">
              <w:rPr>
                <w:rFonts w:cs="Calibri"/>
                <w:kern w:val="2"/>
                <w:sz w:val="18"/>
                <w:szCs w:val="20"/>
                <w:lang w:eastAsia="hi-IN" w:bidi="hi-IN"/>
              </w:rPr>
              <w:t xml:space="preserve">rewitalizacji </w:t>
            </w:r>
            <w:r>
              <w:rPr>
                <w:rFonts w:cs="Calibri"/>
                <w:kern w:val="2"/>
                <w:sz w:val="18"/>
                <w:szCs w:val="20"/>
                <w:lang w:eastAsia="hi-IN" w:bidi="hi-IN"/>
              </w:rPr>
              <w:t xml:space="preserve"> w oparciu o</w:t>
            </w:r>
            <w:r w:rsidR="00EE1EC8">
              <w:rPr>
                <w:rFonts w:cs="Calibri"/>
                <w:kern w:val="2"/>
                <w:sz w:val="18"/>
                <w:szCs w:val="20"/>
                <w:lang w:eastAsia="hi-IN" w:bidi="hi-IN"/>
              </w:rPr>
              <w:t> </w:t>
            </w:r>
            <w:r>
              <w:rPr>
                <w:rFonts w:cs="Calibri"/>
                <w:kern w:val="2"/>
                <w:sz w:val="18"/>
                <w:szCs w:val="20"/>
                <w:lang w:eastAsia="hi-IN" w:bidi="hi-IN"/>
              </w:rPr>
              <w:t>zidentyfikowane drivery – wykorzystanie opracowanej z</w:t>
            </w:r>
            <w:r w:rsidR="00EE1EC8">
              <w:rPr>
                <w:rFonts w:cs="Calibri"/>
                <w:kern w:val="2"/>
                <w:sz w:val="18"/>
                <w:szCs w:val="20"/>
                <w:lang w:eastAsia="hi-IN" w:bidi="hi-IN"/>
              </w:rPr>
              <w:t> </w:t>
            </w:r>
            <w:r>
              <w:rPr>
                <w:rFonts w:cs="Calibri"/>
                <w:kern w:val="2"/>
                <w:sz w:val="18"/>
                <w:szCs w:val="20"/>
                <w:lang w:eastAsia="hi-IN" w:bidi="hi-IN"/>
              </w:rPr>
              <w:t>udziałem ekspertów macierzy powiązań krzyżowych (jako wynik konsensusu co do wydarzeń przełomowych, stanowiących si</w:t>
            </w:r>
            <w:r w:rsidR="00A417D0">
              <w:rPr>
                <w:rFonts w:cs="Calibri"/>
                <w:kern w:val="2"/>
                <w:sz w:val="18"/>
                <w:szCs w:val="20"/>
                <w:lang w:eastAsia="hi-IN" w:bidi="hi-IN"/>
              </w:rPr>
              <w:t>ły napędowe przyszłego rozwoju),</w:t>
            </w:r>
          </w:p>
          <w:p w:rsidR="00290AB7" w:rsidRDefault="00290AB7" w:rsidP="00290AB7">
            <w:pPr>
              <w:numPr>
                <w:ilvl w:val="0"/>
                <w:numId w:val="23"/>
              </w:numPr>
              <w:tabs>
                <w:tab w:val="num" w:pos="0"/>
              </w:tabs>
              <w:suppressAutoHyphens/>
              <w:ind w:left="298" w:hanging="298"/>
              <w:rPr>
                <w:rFonts w:cs="Calibri"/>
                <w:kern w:val="2"/>
                <w:sz w:val="18"/>
                <w:szCs w:val="20"/>
                <w:lang w:eastAsia="hi-IN" w:bidi="hi-IN"/>
              </w:rPr>
            </w:pPr>
            <w:r>
              <w:rPr>
                <w:rFonts w:cs="Calibri"/>
                <w:kern w:val="2"/>
                <w:sz w:val="18"/>
                <w:szCs w:val="20"/>
                <w:lang w:eastAsia="hi-IN" w:bidi="hi-IN"/>
              </w:rPr>
              <w:t>okresowe stosowanie techniki delfickiej wśród grupy wybranych ekspertów związanych z miastem,</w:t>
            </w:r>
          </w:p>
          <w:p w:rsidR="00290AB7" w:rsidRDefault="00290AB7" w:rsidP="00E00336">
            <w:pPr>
              <w:numPr>
                <w:ilvl w:val="0"/>
                <w:numId w:val="23"/>
              </w:numPr>
              <w:tabs>
                <w:tab w:val="num" w:pos="0"/>
              </w:tabs>
              <w:suppressAutoHyphens/>
              <w:ind w:left="298" w:hanging="298"/>
              <w:rPr>
                <w:rFonts w:cs="Calibri"/>
                <w:kern w:val="2"/>
                <w:sz w:val="18"/>
                <w:szCs w:val="20"/>
                <w:lang w:eastAsia="hi-IN" w:bidi="hi-IN"/>
              </w:rPr>
            </w:pPr>
            <w:r>
              <w:rPr>
                <w:rFonts w:cs="Calibri"/>
                <w:kern w:val="2"/>
                <w:sz w:val="18"/>
                <w:szCs w:val="20"/>
                <w:lang w:eastAsia="hi-IN" w:bidi="hi-IN"/>
              </w:rPr>
              <w:t>cykliczne spotkania z</w:t>
            </w:r>
            <w:r w:rsidR="00E00336">
              <w:rPr>
                <w:rFonts w:cs="Calibri"/>
                <w:kern w:val="2"/>
                <w:sz w:val="18"/>
                <w:szCs w:val="20"/>
                <w:lang w:eastAsia="hi-IN" w:bidi="hi-IN"/>
              </w:rPr>
              <w:t> </w:t>
            </w:r>
            <w:r>
              <w:rPr>
                <w:rFonts w:cs="Calibri"/>
                <w:kern w:val="2"/>
                <w:sz w:val="18"/>
                <w:szCs w:val="20"/>
                <w:lang w:eastAsia="hi-IN" w:bidi="hi-IN"/>
              </w:rPr>
              <w:t>mieszkańcami obszarów zdegradowanych w celu określania procesów zmian i</w:t>
            </w:r>
            <w:r w:rsidR="008F207E">
              <w:rPr>
                <w:rFonts w:cs="Calibri"/>
                <w:kern w:val="2"/>
                <w:sz w:val="18"/>
                <w:szCs w:val="20"/>
                <w:lang w:eastAsia="hi-IN" w:bidi="hi-IN"/>
              </w:rPr>
              <w:t> </w:t>
            </w:r>
            <w:r>
              <w:rPr>
                <w:rFonts w:cs="Calibri"/>
                <w:kern w:val="2"/>
                <w:sz w:val="18"/>
                <w:szCs w:val="20"/>
                <w:lang w:eastAsia="hi-IN" w:bidi="hi-IN"/>
              </w:rPr>
              <w:t>trendów dotyczących tych obszarów</w:t>
            </w:r>
            <w:r w:rsidR="00A417D0">
              <w:rPr>
                <w:rFonts w:cs="Calibri"/>
                <w:kern w:val="2"/>
                <w:sz w:val="18"/>
                <w:szCs w:val="20"/>
                <w:lang w:eastAsia="hi-IN" w:bidi="hi-IN"/>
              </w:rPr>
              <w:t>.</w:t>
            </w:r>
          </w:p>
        </w:tc>
      </w:tr>
      <w:tr w:rsidR="00290AB7" w:rsidTr="009F0F90">
        <w:tc>
          <w:tcPr>
            <w:tcW w:w="2518" w:type="dxa"/>
            <w:tcBorders>
              <w:top w:val="single" w:sz="8" w:space="0" w:color="000000"/>
              <w:left w:val="single" w:sz="8" w:space="0" w:color="000000"/>
              <w:bottom w:val="single" w:sz="8" w:space="0" w:color="000000"/>
              <w:right w:val="single" w:sz="8" w:space="0" w:color="000000"/>
            </w:tcBorders>
            <w:shd w:val="clear" w:color="auto" w:fill="DDD9C3" w:themeFill="background2" w:themeFillShade="E6"/>
            <w:hideMark/>
          </w:tcPr>
          <w:p w:rsidR="00290AB7" w:rsidRDefault="00290AB7" w:rsidP="0020326F">
            <w:pPr>
              <w:suppressAutoHyphens/>
              <w:rPr>
                <w:rFonts w:cs="Calibri"/>
                <w:b/>
                <w:bCs/>
                <w:kern w:val="2"/>
                <w:sz w:val="18"/>
                <w:szCs w:val="20"/>
                <w:lang w:eastAsia="hi-IN" w:bidi="hi-IN"/>
              </w:rPr>
            </w:pPr>
            <w:r>
              <w:rPr>
                <w:rFonts w:cs="Calibri"/>
                <w:b/>
                <w:bCs/>
                <w:kern w:val="2"/>
                <w:sz w:val="18"/>
                <w:szCs w:val="20"/>
                <w:lang w:eastAsia="hi-IN" w:bidi="hi-IN"/>
              </w:rPr>
              <w:t>Ryzyko niewłaściwie realizowanego monitoringu Programu</w:t>
            </w:r>
          </w:p>
        </w:tc>
        <w:tc>
          <w:tcPr>
            <w:tcW w:w="3686" w:type="dxa"/>
            <w:tcBorders>
              <w:top w:val="single" w:sz="8" w:space="0" w:color="000000"/>
              <w:left w:val="single" w:sz="8" w:space="0" w:color="000000"/>
              <w:bottom w:val="single" w:sz="8" w:space="0" w:color="000000"/>
              <w:right w:val="single" w:sz="8" w:space="0" w:color="000000"/>
            </w:tcBorders>
            <w:hideMark/>
          </w:tcPr>
          <w:p w:rsidR="00290AB7" w:rsidRDefault="00290AB7" w:rsidP="00290AB7">
            <w:pPr>
              <w:numPr>
                <w:ilvl w:val="0"/>
                <w:numId w:val="23"/>
              </w:numPr>
              <w:tabs>
                <w:tab w:val="num" w:pos="0"/>
              </w:tabs>
              <w:suppressAutoHyphens/>
              <w:ind w:left="222" w:hanging="222"/>
              <w:rPr>
                <w:rFonts w:cs="Calibri"/>
                <w:kern w:val="2"/>
                <w:sz w:val="18"/>
                <w:szCs w:val="20"/>
                <w:lang w:eastAsia="hi-IN" w:bidi="hi-IN"/>
              </w:rPr>
            </w:pPr>
            <w:r>
              <w:rPr>
                <w:rFonts w:cs="Calibri"/>
                <w:kern w:val="2"/>
                <w:sz w:val="18"/>
                <w:szCs w:val="20"/>
                <w:lang w:eastAsia="hi-IN" w:bidi="hi-IN"/>
              </w:rPr>
              <w:t>przygotowanie wzoru karty projektu uwzględniającej wskaźniki realizacji projektu oraz wskaźniki realizacji celów rewitalizacji,</w:t>
            </w:r>
          </w:p>
          <w:p w:rsidR="00290AB7" w:rsidRDefault="00290AB7" w:rsidP="00290AB7">
            <w:pPr>
              <w:numPr>
                <w:ilvl w:val="0"/>
                <w:numId w:val="23"/>
              </w:numPr>
              <w:tabs>
                <w:tab w:val="num" w:pos="0"/>
              </w:tabs>
              <w:suppressAutoHyphens/>
              <w:ind w:left="222" w:hanging="222"/>
              <w:rPr>
                <w:rFonts w:cs="Calibri"/>
                <w:kern w:val="2"/>
                <w:sz w:val="18"/>
                <w:szCs w:val="20"/>
                <w:lang w:eastAsia="hi-IN" w:bidi="hi-IN"/>
              </w:rPr>
            </w:pPr>
            <w:r>
              <w:rPr>
                <w:rFonts w:cs="Calibri"/>
                <w:kern w:val="2"/>
                <w:sz w:val="18"/>
                <w:szCs w:val="20"/>
                <w:lang w:eastAsia="hi-IN" w:bidi="hi-IN"/>
              </w:rPr>
              <w:t>stworzenie grupy konsultantów-ekspertów biorących udział w różnych fazach monitoringu: gromadzenie i przetwarzanie da</w:t>
            </w:r>
            <w:r w:rsidR="008F207E">
              <w:rPr>
                <w:rFonts w:cs="Calibri"/>
                <w:kern w:val="2"/>
                <w:sz w:val="18"/>
                <w:szCs w:val="20"/>
                <w:lang w:eastAsia="hi-IN" w:bidi="hi-IN"/>
              </w:rPr>
              <w:t>nych oraz interpretacja wyników</w:t>
            </w:r>
            <w:r w:rsidR="00A417D0">
              <w:rPr>
                <w:rFonts w:cs="Calibri"/>
                <w:kern w:val="2"/>
                <w:sz w:val="18"/>
                <w:szCs w:val="20"/>
                <w:lang w:eastAsia="hi-IN" w:bidi="hi-IN"/>
              </w:rPr>
              <w:t>.</w:t>
            </w:r>
          </w:p>
        </w:tc>
        <w:tc>
          <w:tcPr>
            <w:tcW w:w="3084" w:type="dxa"/>
            <w:tcBorders>
              <w:top w:val="single" w:sz="8" w:space="0" w:color="000000"/>
              <w:left w:val="single" w:sz="8" w:space="0" w:color="000000"/>
              <w:bottom w:val="single" w:sz="8" w:space="0" w:color="000000"/>
              <w:right w:val="single" w:sz="8" w:space="0" w:color="000000"/>
            </w:tcBorders>
            <w:hideMark/>
          </w:tcPr>
          <w:p w:rsidR="00290AB7" w:rsidRDefault="00290AB7" w:rsidP="00290AB7">
            <w:pPr>
              <w:numPr>
                <w:ilvl w:val="0"/>
                <w:numId w:val="23"/>
              </w:numPr>
              <w:tabs>
                <w:tab w:val="num" w:pos="0"/>
              </w:tabs>
              <w:suppressAutoHyphens/>
              <w:ind w:left="298" w:hanging="298"/>
              <w:rPr>
                <w:rFonts w:cs="Calibri"/>
                <w:kern w:val="2"/>
                <w:sz w:val="18"/>
                <w:szCs w:val="20"/>
                <w:lang w:eastAsia="hi-IN" w:bidi="hi-IN"/>
              </w:rPr>
            </w:pPr>
            <w:r>
              <w:rPr>
                <w:rFonts w:cs="Calibri"/>
                <w:kern w:val="2"/>
                <w:sz w:val="18"/>
                <w:szCs w:val="20"/>
                <w:lang w:eastAsia="hi-IN" w:bidi="hi-IN"/>
              </w:rPr>
              <w:t>powiązanie monitoringu ilościowego z jakościowym – okresowe konsultowanie wyników monitoringu z ekspertami i</w:t>
            </w:r>
            <w:r w:rsidR="008F207E">
              <w:rPr>
                <w:rFonts w:cs="Calibri"/>
                <w:kern w:val="2"/>
                <w:sz w:val="18"/>
                <w:szCs w:val="20"/>
                <w:lang w:eastAsia="hi-IN" w:bidi="hi-IN"/>
              </w:rPr>
              <w:t> </w:t>
            </w:r>
            <w:r>
              <w:rPr>
                <w:rFonts w:cs="Calibri"/>
                <w:kern w:val="2"/>
                <w:sz w:val="18"/>
                <w:szCs w:val="20"/>
                <w:lang w:eastAsia="hi-IN" w:bidi="hi-IN"/>
              </w:rPr>
              <w:t>beneficjentami, ewaluacja z</w:t>
            </w:r>
            <w:r w:rsidR="008F207E">
              <w:rPr>
                <w:rFonts w:cs="Calibri"/>
                <w:kern w:val="2"/>
                <w:sz w:val="18"/>
                <w:szCs w:val="20"/>
                <w:lang w:eastAsia="hi-IN" w:bidi="hi-IN"/>
              </w:rPr>
              <w:t> </w:t>
            </w:r>
            <w:r>
              <w:rPr>
                <w:rFonts w:cs="Calibri"/>
                <w:kern w:val="2"/>
                <w:sz w:val="18"/>
                <w:szCs w:val="20"/>
                <w:lang w:eastAsia="hi-IN" w:bidi="hi-IN"/>
              </w:rPr>
              <w:t>punktu widzenia potrzeb społeczności lokalnych oraz generalnych procesów rozwoju miasta,</w:t>
            </w:r>
          </w:p>
          <w:p w:rsidR="00290AB7" w:rsidRDefault="00290AB7" w:rsidP="00290AB7">
            <w:pPr>
              <w:numPr>
                <w:ilvl w:val="0"/>
                <w:numId w:val="23"/>
              </w:numPr>
              <w:tabs>
                <w:tab w:val="num" w:pos="0"/>
              </w:tabs>
              <w:suppressAutoHyphens/>
              <w:ind w:left="298" w:hanging="298"/>
              <w:rPr>
                <w:rFonts w:cs="Calibri"/>
                <w:kern w:val="2"/>
                <w:sz w:val="18"/>
                <w:szCs w:val="20"/>
                <w:lang w:eastAsia="hi-IN" w:bidi="hi-IN"/>
              </w:rPr>
            </w:pPr>
            <w:r>
              <w:rPr>
                <w:rFonts w:cs="Calibri"/>
                <w:kern w:val="2"/>
                <w:sz w:val="18"/>
                <w:szCs w:val="20"/>
                <w:lang w:eastAsia="hi-IN" w:bidi="hi-IN"/>
              </w:rPr>
              <w:t>sprawozdawczość projektowa obejmująca analizę rezultatów projektu oraz wpływ na realizację celów GPR,</w:t>
            </w:r>
          </w:p>
          <w:p w:rsidR="00290AB7" w:rsidRDefault="00290AB7" w:rsidP="00290AB7">
            <w:pPr>
              <w:numPr>
                <w:ilvl w:val="0"/>
                <w:numId w:val="23"/>
              </w:numPr>
              <w:tabs>
                <w:tab w:val="num" w:pos="0"/>
              </w:tabs>
              <w:suppressAutoHyphens/>
              <w:ind w:left="298" w:hanging="298"/>
              <w:rPr>
                <w:rFonts w:cs="Calibri"/>
                <w:kern w:val="2"/>
                <w:sz w:val="18"/>
                <w:szCs w:val="20"/>
                <w:lang w:eastAsia="hi-IN" w:bidi="hi-IN"/>
              </w:rPr>
            </w:pPr>
            <w:r>
              <w:rPr>
                <w:rFonts w:cs="Calibri"/>
                <w:kern w:val="2"/>
                <w:sz w:val="18"/>
                <w:szCs w:val="20"/>
                <w:lang w:eastAsia="hi-IN" w:bidi="hi-IN"/>
              </w:rPr>
              <w:t>powiązanie monitoringu GPR z monitoringiem wdrażania strategii rozwoju miasta,</w:t>
            </w:r>
          </w:p>
          <w:p w:rsidR="00290AB7" w:rsidRDefault="00290AB7" w:rsidP="00290AB7">
            <w:pPr>
              <w:numPr>
                <w:ilvl w:val="0"/>
                <w:numId w:val="23"/>
              </w:numPr>
              <w:tabs>
                <w:tab w:val="num" w:pos="0"/>
              </w:tabs>
              <w:suppressAutoHyphens/>
              <w:ind w:left="298" w:hanging="298"/>
              <w:rPr>
                <w:rFonts w:cs="Calibri"/>
                <w:kern w:val="2"/>
                <w:sz w:val="18"/>
                <w:szCs w:val="20"/>
                <w:lang w:eastAsia="hi-IN" w:bidi="hi-IN"/>
              </w:rPr>
            </w:pPr>
            <w:r>
              <w:rPr>
                <w:rFonts w:cs="Calibri"/>
                <w:kern w:val="2"/>
                <w:sz w:val="18"/>
                <w:szCs w:val="20"/>
                <w:lang w:eastAsia="hi-IN" w:bidi="hi-IN"/>
              </w:rPr>
              <w:t>opracowanie i wykorzystywanie informatycznego narzędzia do monitorowania rea</w:t>
            </w:r>
            <w:r w:rsidR="008F207E">
              <w:rPr>
                <w:rFonts w:cs="Calibri"/>
                <w:kern w:val="2"/>
                <w:sz w:val="18"/>
                <w:szCs w:val="20"/>
                <w:lang w:eastAsia="hi-IN" w:bidi="hi-IN"/>
              </w:rPr>
              <w:t>lizacji projektów rewitalizacji</w:t>
            </w:r>
            <w:r w:rsidR="00A417D0">
              <w:rPr>
                <w:rFonts w:cs="Calibri"/>
                <w:kern w:val="2"/>
                <w:sz w:val="18"/>
                <w:szCs w:val="20"/>
                <w:lang w:eastAsia="hi-IN" w:bidi="hi-IN"/>
              </w:rPr>
              <w:t>.</w:t>
            </w:r>
          </w:p>
        </w:tc>
      </w:tr>
      <w:tr w:rsidR="00290AB7" w:rsidTr="009F0F90">
        <w:tc>
          <w:tcPr>
            <w:tcW w:w="2518" w:type="dxa"/>
            <w:tcBorders>
              <w:top w:val="single" w:sz="8" w:space="0" w:color="000000"/>
              <w:left w:val="single" w:sz="8" w:space="0" w:color="000000"/>
              <w:bottom w:val="single" w:sz="8" w:space="0" w:color="000000"/>
              <w:right w:val="single" w:sz="8" w:space="0" w:color="000000"/>
            </w:tcBorders>
            <w:shd w:val="clear" w:color="auto" w:fill="DDD9C3" w:themeFill="background2" w:themeFillShade="E6"/>
            <w:hideMark/>
          </w:tcPr>
          <w:p w:rsidR="00290AB7" w:rsidRDefault="00290AB7" w:rsidP="00E00336">
            <w:pPr>
              <w:tabs>
                <w:tab w:val="left" w:pos="720"/>
              </w:tabs>
              <w:suppressAutoHyphens/>
              <w:rPr>
                <w:rFonts w:cs="Calibri"/>
                <w:b/>
                <w:bCs/>
                <w:kern w:val="2"/>
                <w:sz w:val="18"/>
                <w:szCs w:val="20"/>
                <w:lang w:eastAsia="hi-IN" w:bidi="hi-IN"/>
              </w:rPr>
            </w:pPr>
            <w:r>
              <w:rPr>
                <w:rFonts w:cs="Calibri"/>
                <w:b/>
                <w:bCs/>
                <w:kern w:val="2"/>
                <w:sz w:val="18"/>
                <w:szCs w:val="20"/>
                <w:lang w:eastAsia="hi-IN" w:bidi="hi-IN"/>
              </w:rPr>
              <w:t>Ryzyko związane z</w:t>
            </w:r>
            <w:r w:rsidR="00A417D0">
              <w:rPr>
                <w:rFonts w:cs="Calibri"/>
                <w:b/>
                <w:bCs/>
                <w:kern w:val="2"/>
                <w:sz w:val="18"/>
                <w:szCs w:val="20"/>
                <w:lang w:eastAsia="hi-IN" w:bidi="hi-IN"/>
              </w:rPr>
              <w:t> </w:t>
            </w:r>
            <w:r>
              <w:rPr>
                <w:rFonts w:cs="Calibri"/>
                <w:b/>
                <w:bCs/>
                <w:kern w:val="2"/>
                <w:sz w:val="18"/>
                <w:szCs w:val="20"/>
                <w:lang w:eastAsia="hi-IN" w:bidi="hi-IN"/>
              </w:rPr>
              <w:t>przygotowaniem niezbędnej dokumentacji i</w:t>
            </w:r>
            <w:r w:rsidR="00E00336">
              <w:rPr>
                <w:rFonts w:cs="Calibri"/>
                <w:b/>
                <w:bCs/>
                <w:kern w:val="2"/>
                <w:sz w:val="18"/>
                <w:szCs w:val="20"/>
                <w:lang w:eastAsia="hi-IN" w:bidi="hi-IN"/>
              </w:rPr>
              <w:t> </w:t>
            </w:r>
            <w:r>
              <w:rPr>
                <w:rFonts w:cs="Calibri"/>
                <w:b/>
                <w:bCs/>
                <w:kern w:val="2"/>
                <w:sz w:val="18"/>
                <w:szCs w:val="20"/>
                <w:lang w:eastAsia="hi-IN" w:bidi="hi-IN"/>
              </w:rPr>
              <w:t>stosowaniem procedur</w:t>
            </w:r>
          </w:p>
        </w:tc>
        <w:tc>
          <w:tcPr>
            <w:tcW w:w="3686" w:type="dxa"/>
            <w:tcBorders>
              <w:top w:val="single" w:sz="8" w:space="0" w:color="000000"/>
              <w:left w:val="single" w:sz="8" w:space="0" w:color="000000"/>
              <w:bottom w:val="single" w:sz="8" w:space="0" w:color="000000"/>
              <w:right w:val="single" w:sz="8" w:space="0" w:color="000000"/>
            </w:tcBorders>
            <w:hideMark/>
          </w:tcPr>
          <w:p w:rsidR="00290AB7" w:rsidRDefault="00290AB7" w:rsidP="00290AB7">
            <w:pPr>
              <w:numPr>
                <w:ilvl w:val="0"/>
                <w:numId w:val="23"/>
              </w:numPr>
              <w:tabs>
                <w:tab w:val="num" w:pos="0"/>
              </w:tabs>
              <w:suppressAutoHyphens/>
              <w:ind w:left="222" w:hanging="222"/>
              <w:rPr>
                <w:rFonts w:cs="Calibri"/>
                <w:kern w:val="2"/>
                <w:sz w:val="18"/>
                <w:szCs w:val="20"/>
                <w:lang w:eastAsia="hi-IN" w:bidi="hi-IN"/>
              </w:rPr>
            </w:pPr>
            <w:r>
              <w:rPr>
                <w:rFonts w:cs="Calibri"/>
                <w:kern w:val="2"/>
                <w:sz w:val="18"/>
                <w:szCs w:val="20"/>
                <w:lang w:eastAsia="hi-IN" w:bidi="hi-IN"/>
              </w:rPr>
              <w:t>edukacja podmiotów lokalnych w zakresie zasad przygotowania karty projektu,</w:t>
            </w:r>
          </w:p>
          <w:p w:rsidR="00290AB7" w:rsidRDefault="00290AB7" w:rsidP="00290AB7">
            <w:pPr>
              <w:numPr>
                <w:ilvl w:val="0"/>
                <w:numId w:val="23"/>
              </w:numPr>
              <w:tabs>
                <w:tab w:val="num" w:pos="0"/>
              </w:tabs>
              <w:suppressAutoHyphens/>
              <w:ind w:left="222" w:hanging="222"/>
              <w:rPr>
                <w:rFonts w:cs="Calibri"/>
                <w:kern w:val="2"/>
                <w:sz w:val="18"/>
                <w:szCs w:val="20"/>
                <w:lang w:eastAsia="hi-IN" w:bidi="hi-IN"/>
              </w:rPr>
            </w:pPr>
            <w:r>
              <w:rPr>
                <w:rFonts w:cs="Calibri"/>
                <w:kern w:val="2"/>
                <w:sz w:val="18"/>
                <w:szCs w:val="20"/>
                <w:lang w:eastAsia="hi-IN" w:bidi="hi-IN"/>
              </w:rPr>
              <w:t>doradztwo dla podmiotów przygotowujących karty projektu – konsultanci projektowi oraz narzędzie informatyczne,</w:t>
            </w:r>
          </w:p>
          <w:p w:rsidR="00290AB7" w:rsidRDefault="00290AB7" w:rsidP="00E00336">
            <w:pPr>
              <w:numPr>
                <w:ilvl w:val="0"/>
                <w:numId w:val="23"/>
              </w:numPr>
              <w:tabs>
                <w:tab w:val="num" w:pos="0"/>
              </w:tabs>
              <w:suppressAutoHyphens/>
              <w:ind w:left="222" w:hanging="222"/>
              <w:rPr>
                <w:rFonts w:cs="Calibri"/>
                <w:kern w:val="2"/>
                <w:sz w:val="18"/>
                <w:szCs w:val="20"/>
                <w:lang w:eastAsia="hi-IN" w:bidi="hi-IN"/>
              </w:rPr>
            </w:pPr>
            <w:r>
              <w:rPr>
                <w:rFonts w:cs="Calibri"/>
                <w:kern w:val="2"/>
                <w:sz w:val="18"/>
                <w:szCs w:val="20"/>
                <w:lang w:eastAsia="hi-IN" w:bidi="hi-IN"/>
              </w:rPr>
              <w:t>stworzenie zespołu profesjonalistów w zakresie przygotowania i realizacji projektów z uwzględnieniem potrzeb projektów „twardych” i „miękkich” (w składzie zespołu m. in. osoby specjalizujące się w</w:t>
            </w:r>
            <w:r w:rsidR="00E00336">
              <w:rPr>
                <w:rFonts w:cs="Calibri"/>
                <w:kern w:val="2"/>
                <w:sz w:val="18"/>
                <w:szCs w:val="20"/>
                <w:lang w:eastAsia="hi-IN" w:bidi="hi-IN"/>
              </w:rPr>
              <w:t> </w:t>
            </w:r>
            <w:r>
              <w:rPr>
                <w:rFonts w:cs="Calibri"/>
                <w:kern w:val="2"/>
                <w:sz w:val="18"/>
                <w:szCs w:val="20"/>
                <w:lang w:eastAsia="hi-IN" w:bidi="hi-IN"/>
              </w:rPr>
              <w:t>spełnianiu wymog</w:t>
            </w:r>
            <w:r w:rsidR="008F207E">
              <w:rPr>
                <w:rFonts w:cs="Calibri"/>
                <w:kern w:val="2"/>
                <w:sz w:val="18"/>
                <w:szCs w:val="20"/>
                <w:lang w:eastAsia="hi-IN" w:bidi="hi-IN"/>
              </w:rPr>
              <w:t>ów formalnych i</w:t>
            </w:r>
            <w:r w:rsidR="00E00336">
              <w:rPr>
                <w:rFonts w:cs="Calibri"/>
                <w:kern w:val="2"/>
                <w:sz w:val="18"/>
                <w:szCs w:val="20"/>
                <w:lang w:eastAsia="hi-IN" w:bidi="hi-IN"/>
              </w:rPr>
              <w:t> </w:t>
            </w:r>
            <w:r w:rsidR="008F207E">
              <w:rPr>
                <w:rFonts w:cs="Calibri"/>
                <w:kern w:val="2"/>
                <w:sz w:val="18"/>
                <w:szCs w:val="20"/>
                <w:lang w:eastAsia="hi-IN" w:bidi="hi-IN"/>
              </w:rPr>
              <w:t>proceduralnych)</w:t>
            </w:r>
            <w:r w:rsidR="00A417D0">
              <w:rPr>
                <w:rFonts w:cs="Calibri"/>
                <w:kern w:val="2"/>
                <w:sz w:val="18"/>
                <w:szCs w:val="20"/>
                <w:lang w:eastAsia="hi-IN" w:bidi="hi-IN"/>
              </w:rPr>
              <w:t>.</w:t>
            </w:r>
          </w:p>
        </w:tc>
        <w:tc>
          <w:tcPr>
            <w:tcW w:w="3084" w:type="dxa"/>
            <w:tcBorders>
              <w:top w:val="single" w:sz="8" w:space="0" w:color="000000"/>
              <w:left w:val="single" w:sz="8" w:space="0" w:color="000000"/>
              <w:bottom w:val="single" w:sz="8" w:space="0" w:color="000000"/>
              <w:right w:val="single" w:sz="8" w:space="0" w:color="000000"/>
            </w:tcBorders>
            <w:hideMark/>
          </w:tcPr>
          <w:p w:rsidR="00290AB7" w:rsidRDefault="00290AB7" w:rsidP="00290AB7">
            <w:pPr>
              <w:numPr>
                <w:ilvl w:val="0"/>
                <w:numId w:val="23"/>
              </w:numPr>
              <w:tabs>
                <w:tab w:val="num" w:pos="0"/>
              </w:tabs>
              <w:suppressAutoHyphens/>
              <w:ind w:left="298" w:hanging="298"/>
              <w:rPr>
                <w:rFonts w:cs="Calibri"/>
                <w:kern w:val="2"/>
                <w:sz w:val="18"/>
                <w:szCs w:val="20"/>
                <w:lang w:eastAsia="hi-IN" w:bidi="hi-IN"/>
              </w:rPr>
            </w:pPr>
            <w:r>
              <w:rPr>
                <w:rFonts w:cs="Calibri"/>
                <w:kern w:val="2"/>
                <w:sz w:val="18"/>
                <w:szCs w:val="20"/>
                <w:lang w:eastAsia="hi-IN" w:bidi="hi-IN"/>
              </w:rPr>
              <w:t>analiza błędów w przygotowanych kartach projektu,</w:t>
            </w:r>
          </w:p>
          <w:p w:rsidR="00290AB7" w:rsidRDefault="00290AB7" w:rsidP="00290AB7">
            <w:pPr>
              <w:numPr>
                <w:ilvl w:val="0"/>
                <w:numId w:val="23"/>
              </w:numPr>
              <w:tabs>
                <w:tab w:val="num" w:pos="0"/>
              </w:tabs>
              <w:suppressAutoHyphens/>
              <w:ind w:left="298" w:hanging="298"/>
              <w:rPr>
                <w:rFonts w:cs="Calibri"/>
                <w:kern w:val="2"/>
                <w:sz w:val="18"/>
                <w:szCs w:val="20"/>
                <w:lang w:eastAsia="hi-IN" w:bidi="hi-IN"/>
              </w:rPr>
            </w:pPr>
            <w:r>
              <w:rPr>
                <w:rFonts w:cs="Calibri"/>
                <w:kern w:val="2"/>
                <w:sz w:val="18"/>
                <w:szCs w:val="20"/>
                <w:lang w:eastAsia="hi-IN" w:bidi="hi-IN"/>
              </w:rPr>
              <w:t>analiza niezgodności zakładanych i uzyskiwanych wyników,</w:t>
            </w:r>
          </w:p>
          <w:p w:rsidR="00290AB7" w:rsidRDefault="00290AB7" w:rsidP="00290AB7">
            <w:pPr>
              <w:numPr>
                <w:ilvl w:val="0"/>
                <w:numId w:val="23"/>
              </w:numPr>
              <w:tabs>
                <w:tab w:val="num" w:pos="0"/>
              </w:tabs>
              <w:suppressAutoHyphens/>
              <w:ind w:left="298" w:hanging="298"/>
              <w:rPr>
                <w:rFonts w:cs="Calibri"/>
                <w:kern w:val="2"/>
                <w:sz w:val="18"/>
                <w:szCs w:val="20"/>
                <w:lang w:eastAsia="hi-IN" w:bidi="hi-IN"/>
              </w:rPr>
            </w:pPr>
            <w:r>
              <w:rPr>
                <w:rFonts w:cs="Calibri"/>
                <w:kern w:val="2"/>
                <w:sz w:val="18"/>
                <w:szCs w:val="20"/>
                <w:lang w:eastAsia="hi-IN" w:bidi="hi-IN"/>
              </w:rPr>
              <w:t>analiza relacji z instytucjami zewnętrznymi warunkującymi realizację zakładanych projektów,</w:t>
            </w:r>
          </w:p>
          <w:p w:rsidR="00290AB7" w:rsidRDefault="00290AB7" w:rsidP="00290AB7">
            <w:pPr>
              <w:numPr>
                <w:ilvl w:val="0"/>
                <w:numId w:val="23"/>
              </w:numPr>
              <w:tabs>
                <w:tab w:val="num" w:pos="0"/>
              </w:tabs>
              <w:suppressAutoHyphens/>
              <w:ind w:left="298" w:hanging="298"/>
              <w:rPr>
                <w:rFonts w:cs="Calibri"/>
                <w:kern w:val="2"/>
                <w:sz w:val="18"/>
                <w:szCs w:val="20"/>
                <w:lang w:eastAsia="hi-IN" w:bidi="hi-IN"/>
              </w:rPr>
            </w:pPr>
            <w:r>
              <w:rPr>
                <w:rFonts w:cs="Calibri"/>
                <w:kern w:val="2"/>
                <w:sz w:val="18"/>
                <w:szCs w:val="20"/>
                <w:lang w:eastAsia="hi-IN" w:bidi="hi-IN"/>
              </w:rPr>
              <w:t>spotkania z grupami potencjalnych partnerów słabo wł</w:t>
            </w:r>
            <w:r w:rsidR="00E00336">
              <w:rPr>
                <w:rFonts w:cs="Calibri"/>
                <w:kern w:val="2"/>
                <w:sz w:val="18"/>
                <w:szCs w:val="20"/>
                <w:lang w:eastAsia="hi-IN" w:bidi="hi-IN"/>
              </w:rPr>
              <w:t>ączającymi się w realizację GPR</w:t>
            </w:r>
            <w:r>
              <w:rPr>
                <w:rFonts w:cs="Calibri"/>
                <w:kern w:val="2"/>
                <w:sz w:val="18"/>
                <w:szCs w:val="20"/>
                <w:lang w:eastAsia="hi-IN" w:bidi="hi-IN"/>
              </w:rPr>
              <w:t xml:space="preserve"> -</w:t>
            </w:r>
            <w:r w:rsidR="00E00336">
              <w:rPr>
                <w:rFonts w:cs="Calibri"/>
                <w:kern w:val="2"/>
                <w:sz w:val="18"/>
                <w:szCs w:val="20"/>
                <w:lang w:eastAsia="hi-IN" w:bidi="hi-IN"/>
              </w:rPr>
              <w:t xml:space="preserve"> </w:t>
            </w:r>
            <w:r>
              <w:rPr>
                <w:rFonts w:cs="Calibri"/>
                <w:kern w:val="2"/>
                <w:sz w:val="18"/>
                <w:szCs w:val="20"/>
                <w:lang w:eastAsia="hi-IN" w:bidi="hi-IN"/>
              </w:rPr>
              <w:t>edukowanie na temat możliwości udziału w</w:t>
            </w:r>
            <w:r w:rsidR="00A417D0">
              <w:rPr>
                <w:rFonts w:cs="Calibri"/>
                <w:kern w:val="2"/>
                <w:sz w:val="18"/>
                <w:szCs w:val="20"/>
                <w:lang w:eastAsia="hi-IN" w:bidi="hi-IN"/>
              </w:rPr>
              <w:t> </w:t>
            </w:r>
            <w:r>
              <w:rPr>
                <w:rFonts w:cs="Calibri"/>
                <w:kern w:val="2"/>
                <w:sz w:val="18"/>
                <w:szCs w:val="20"/>
                <w:lang w:eastAsia="hi-IN" w:bidi="hi-IN"/>
              </w:rPr>
              <w:t>rewitalizacji,</w:t>
            </w:r>
          </w:p>
          <w:p w:rsidR="00290AB7" w:rsidRDefault="00290AB7" w:rsidP="00290AB7">
            <w:pPr>
              <w:numPr>
                <w:ilvl w:val="0"/>
                <w:numId w:val="23"/>
              </w:numPr>
              <w:tabs>
                <w:tab w:val="num" w:pos="0"/>
              </w:tabs>
              <w:suppressAutoHyphens/>
              <w:ind w:left="298" w:hanging="298"/>
              <w:rPr>
                <w:rFonts w:cs="Calibri"/>
                <w:kern w:val="2"/>
                <w:sz w:val="18"/>
                <w:szCs w:val="20"/>
                <w:lang w:eastAsia="hi-IN" w:bidi="hi-IN"/>
              </w:rPr>
            </w:pPr>
            <w:r>
              <w:rPr>
                <w:rFonts w:cs="Calibri"/>
                <w:kern w:val="2"/>
                <w:sz w:val="18"/>
                <w:szCs w:val="20"/>
                <w:lang w:eastAsia="hi-IN" w:bidi="hi-IN"/>
              </w:rPr>
              <w:t>nawiązywanie i podtrzymywanie kontaktów z instytucjami wydającymi de</w:t>
            </w:r>
            <w:r w:rsidR="008F207E">
              <w:rPr>
                <w:rFonts w:cs="Calibri"/>
                <w:kern w:val="2"/>
                <w:sz w:val="18"/>
                <w:szCs w:val="20"/>
                <w:lang w:eastAsia="hi-IN" w:bidi="hi-IN"/>
              </w:rPr>
              <w:t>cyzje ważące dla realizacji GPR</w:t>
            </w:r>
            <w:r w:rsidR="00A417D0">
              <w:rPr>
                <w:rFonts w:cs="Calibri"/>
                <w:kern w:val="2"/>
                <w:sz w:val="18"/>
                <w:szCs w:val="20"/>
                <w:lang w:eastAsia="hi-IN" w:bidi="hi-IN"/>
              </w:rPr>
              <w:t>.</w:t>
            </w:r>
          </w:p>
        </w:tc>
      </w:tr>
      <w:tr w:rsidR="00290AB7" w:rsidTr="009F0F90">
        <w:tc>
          <w:tcPr>
            <w:tcW w:w="2518" w:type="dxa"/>
            <w:tcBorders>
              <w:top w:val="single" w:sz="8" w:space="0" w:color="000000"/>
              <w:left w:val="single" w:sz="8" w:space="0" w:color="000000"/>
              <w:bottom w:val="single" w:sz="8" w:space="0" w:color="000000"/>
              <w:right w:val="single" w:sz="8" w:space="0" w:color="000000"/>
            </w:tcBorders>
            <w:shd w:val="clear" w:color="auto" w:fill="DDD9C3" w:themeFill="background2" w:themeFillShade="E6"/>
            <w:hideMark/>
          </w:tcPr>
          <w:p w:rsidR="00290AB7" w:rsidRDefault="00290AB7" w:rsidP="00A417D0">
            <w:pPr>
              <w:tabs>
                <w:tab w:val="left" w:pos="720"/>
              </w:tabs>
              <w:suppressAutoHyphens/>
              <w:rPr>
                <w:rFonts w:cs="Calibri"/>
                <w:b/>
                <w:bCs/>
                <w:kern w:val="2"/>
                <w:sz w:val="18"/>
                <w:szCs w:val="20"/>
                <w:lang w:eastAsia="hi-IN" w:bidi="hi-IN"/>
              </w:rPr>
            </w:pPr>
            <w:r>
              <w:rPr>
                <w:rFonts w:cs="Calibri"/>
                <w:b/>
                <w:bCs/>
                <w:kern w:val="2"/>
                <w:sz w:val="18"/>
                <w:szCs w:val="20"/>
                <w:lang w:eastAsia="hi-IN" w:bidi="hi-IN"/>
              </w:rPr>
              <w:t>Ryzyko związane z relacjami z</w:t>
            </w:r>
            <w:r w:rsidR="00A417D0">
              <w:rPr>
                <w:rFonts w:cs="Calibri"/>
                <w:b/>
                <w:bCs/>
                <w:kern w:val="2"/>
                <w:sz w:val="18"/>
                <w:szCs w:val="20"/>
                <w:lang w:eastAsia="hi-IN" w:bidi="hi-IN"/>
              </w:rPr>
              <w:t> </w:t>
            </w:r>
            <w:r>
              <w:rPr>
                <w:rFonts w:cs="Calibri"/>
                <w:b/>
                <w:bCs/>
                <w:kern w:val="2"/>
                <w:sz w:val="18"/>
                <w:szCs w:val="20"/>
                <w:lang w:eastAsia="hi-IN" w:bidi="hi-IN"/>
              </w:rPr>
              <w:t>podmiotami partnerskim</w:t>
            </w:r>
          </w:p>
        </w:tc>
        <w:tc>
          <w:tcPr>
            <w:tcW w:w="3686" w:type="dxa"/>
            <w:tcBorders>
              <w:top w:val="single" w:sz="8" w:space="0" w:color="000000"/>
              <w:left w:val="single" w:sz="8" w:space="0" w:color="000000"/>
              <w:bottom w:val="single" w:sz="8" w:space="0" w:color="000000"/>
              <w:right w:val="single" w:sz="8" w:space="0" w:color="000000"/>
            </w:tcBorders>
            <w:hideMark/>
          </w:tcPr>
          <w:p w:rsidR="00290AB7" w:rsidRDefault="00290AB7" w:rsidP="00290AB7">
            <w:pPr>
              <w:numPr>
                <w:ilvl w:val="0"/>
                <w:numId w:val="23"/>
              </w:numPr>
              <w:tabs>
                <w:tab w:val="num" w:pos="0"/>
              </w:tabs>
              <w:suppressAutoHyphens/>
              <w:ind w:left="222" w:hanging="222"/>
              <w:rPr>
                <w:rFonts w:cs="Calibri"/>
                <w:kern w:val="2"/>
                <w:sz w:val="18"/>
                <w:szCs w:val="20"/>
                <w:lang w:eastAsia="hi-IN" w:bidi="hi-IN"/>
              </w:rPr>
            </w:pPr>
            <w:r>
              <w:rPr>
                <w:rFonts w:cs="Calibri"/>
                <w:kern w:val="2"/>
                <w:sz w:val="18"/>
                <w:szCs w:val="20"/>
                <w:lang w:eastAsia="hi-IN" w:bidi="hi-IN"/>
              </w:rPr>
              <w:t>działania promujące możliwość wzięcia udziału przez podmioty lokalne w realizacji Programu,</w:t>
            </w:r>
          </w:p>
          <w:p w:rsidR="00290AB7" w:rsidRDefault="00290AB7" w:rsidP="00290AB7">
            <w:pPr>
              <w:numPr>
                <w:ilvl w:val="0"/>
                <w:numId w:val="23"/>
              </w:numPr>
              <w:tabs>
                <w:tab w:val="num" w:pos="0"/>
              </w:tabs>
              <w:suppressAutoHyphens/>
              <w:ind w:left="222" w:hanging="222"/>
              <w:rPr>
                <w:rFonts w:cs="Calibri"/>
                <w:kern w:val="2"/>
                <w:sz w:val="18"/>
                <w:szCs w:val="20"/>
                <w:lang w:eastAsia="hi-IN" w:bidi="hi-IN"/>
              </w:rPr>
            </w:pPr>
            <w:r>
              <w:rPr>
                <w:rFonts w:cs="Calibri"/>
                <w:kern w:val="2"/>
                <w:sz w:val="18"/>
                <w:szCs w:val="20"/>
                <w:lang w:eastAsia="hi-IN" w:bidi="hi-IN"/>
              </w:rPr>
              <w:t>preferencyjne traktowanie partnerów legitymujących się pozytywnymi doświadczeniami w realizacji projektów,</w:t>
            </w:r>
          </w:p>
          <w:p w:rsidR="00290AB7" w:rsidRDefault="00290AB7" w:rsidP="00290AB7">
            <w:pPr>
              <w:numPr>
                <w:ilvl w:val="0"/>
                <w:numId w:val="23"/>
              </w:numPr>
              <w:tabs>
                <w:tab w:val="num" w:pos="0"/>
              </w:tabs>
              <w:suppressAutoHyphens/>
              <w:ind w:left="222" w:hanging="222"/>
              <w:rPr>
                <w:rFonts w:cs="Calibri"/>
                <w:kern w:val="2"/>
                <w:sz w:val="18"/>
                <w:szCs w:val="20"/>
                <w:lang w:eastAsia="hi-IN" w:bidi="hi-IN"/>
              </w:rPr>
            </w:pPr>
            <w:r>
              <w:rPr>
                <w:rFonts w:cs="Calibri"/>
                <w:kern w:val="2"/>
                <w:sz w:val="18"/>
                <w:szCs w:val="20"/>
                <w:lang w:eastAsia="hi-IN" w:bidi="hi-IN"/>
              </w:rPr>
              <w:t>przesuwanie funkcji liderów i</w:t>
            </w:r>
            <w:r w:rsidR="00E00336">
              <w:rPr>
                <w:rFonts w:cs="Calibri"/>
                <w:kern w:val="2"/>
                <w:sz w:val="18"/>
                <w:szCs w:val="20"/>
                <w:lang w:eastAsia="hi-IN" w:bidi="hi-IN"/>
              </w:rPr>
              <w:t> </w:t>
            </w:r>
            <w:r>
              <w:rPr>
                <w:rFonts w:cs="Calibri"/>
                <w:kern w:val="2"/>
                <w:sz w:val="18"/>
                <w:szCs w:val="20"/>
                <w:lang w:eastAsia="hi-IN" w:bidi="hi-IN"/>
              </w:rPr>
              <w:t>odpowiedzialności za realizację projektów na</w:t>
            </w:r>
            <w:r w:rsidR="00E00336">
              <w:rPr>
                <w:rFonts w:cs="Calibri"/>
                <w:kern w:val="2"/>
                <w:sz w:val="18"/>
                <w:szCs w:val="20"/>
                <w:lang w:eastAsia="hi-IN" w:bidi="hi-IN"/>
              </w:rPr>
              <w:t> </w:t>
            </w:r>
            <w:r>
              <w:rPr>
                <w:rFonts w:cs="Calibri"/>
                <w:kern w:val="2"/>
                <w:sz w:val="18"/>
                <w:szCs w:val="20"/>
                <w:lang w:eastAsia="hi-IN" w:bidi="hi-IN"/>
              </w:rPr>
              <w:t>podmioty spoza Urzędu Miasta,</w:t>
            </w:r>
          </w:p>
          <w:p w:rsidR="00290AB7" w:rsidRDefault="00290AB7" w:rsidP="00290AB7">
            <w:pPr>
              <w:numPr>
                <w:ilvl w:val="0"/>
                <w:numId w:val="23"/>
              </w:numPr>
              <w:tabs>
                <w:tab w:val="num" w:pos="0"/>
              </w:tabs>
              <w:suppressAutoHyphens/>
              <w:ind w:left="222" w:hanging="222"/>
              <w:rPr>
                <w:rFonts w:cs="Calibri"/>
                <w:kern w:val="2"/>
                <w:sz w:val="18"/>
                <w:szCs w:val="20"/>
                <w:lang w:eastAsia="hi-IN" w:bidi="hi-IN"/>
              </w:rPr>
            </w:pPr>
            <w:r>
              <w:rPr>
                <w:rFonts w:cs="Calibri"/>
                <w:kern w:val="2"/>
                <w:sz w:val="18"/>
                <w:szCs w:val="20"/>
                <w:lang w:eastAsia="hi-IN" w:bidi="hi-IN"/>
              </w:rPr>
              <w:t xml:space="preserve">preferencyjne traktowanie projektów zgłaszanych przez podmioty społeczne, </w:t>
            </w:r>
            <w:r>
              <w:rPr>
                <w:rFonts w:cs="Calibri"/>
                <w:kern w:val="2"/>
                <w:sz w:val="18"/>
                <w:szCs w:val="20"/>
                <w:lang w:eastAsia="hi-IN" w:bidi="hi-IN"/>
              </w:rPr>
              <w:br/>
              <w:t>z którymi mieszkańcy się utożsamiają,</w:t>
            </w:r>
          </w:p>
          <w:p w:rsidR="00290AB7" w:rsidRDefault="00290AB7" w:rsidP="00290AB7">
            <w:pPr>
              <w:numPr>
                <w:ilvl w:val="0"/>
                <w:numId w:val="23"/>
              </w:numPr>
              <w:tabs>
                <w:tab w:val="num" w:pos="0"/>
              </w:tabs>
              <w:suppressAutoHyphens/>
              <w:ind w:left="222" w:hanging="222"/>
              <w:rPr>
                <w:rFonts w:cs="Calibri"/>
                <w:kern w:val="2"/>
                <w:sz w:val="18"/>
                <w:szCs w:val="20"/>
                <w:lang w:eastAsia="hi-IN" w:bidi="hi-IN"/>
              </w:rPr>
            </w:pPr>
            <w:r>
              <w:rPr>
                <w:rFonts w:cs="Calibri"/>
                <w:kern w:val="2"/>
                <w:sz w:val="18"/>
                <w:szCs w:val="20"/>
                <w:lang w:eastAsia="hi-IN" w:bidi="hi-IN"/>
              </w:rPr>
              <w:t xml:space="preserve">nakreślanie ścieżki krytycznej projektów </w:t>
            </w:r>
            <w:r>
              <w:rPr>
                <w:rFonts w:cs="Calibri"/>
                <w:kern w:val="2"/>
                <w:sz w:val="18"/>
                <w:szCs w:val="20"/>
                <w:lang w:eastAsia="hi-IN" w:bidi="hi-IN"/>
              </w:rPr>
              <w:br/>
              <w:t>i szczególne wsparcie dla podmiotów, które są odpowiedzialne za zad</w:t>
            </w:r>
            <w:r w:rsidR="008F207E">
              <w:rPr>
                <w:rFonts w:cs="Calibri"/>
                <w:kern w:val="2"/>
                <w:sz w:val="18"/>
                <w:szCs w:val="20"/>
                <w:lang w:eastAsia="hi-IN" w:bidi="hi-IN"/>
              </w:rPr>
              <w:t>ania tworzące ścieżkę krytyczną</w:t>
            </w:r>
            <w:r w:rsidR="00A417D0">
              <w:rPr>
                <w:rFonts w:cs="Calibri"/>
                <w:kern w:val="2"/>
                <w:sz w:val="18"/>
                <w:szCs w:val="20"/>
                <w:lang w:eastAsia="hi-IN" w:bidi="hi-IN"/>
              </w:rPr>
              <w:t>.</w:t>
            </w:r>
          </w:p>
        </w:tc>
        <w:tc>
          <w:tcPr>
            <w:tcW w:w="3084" w:type="dxa"/>
            <w:tcBorders>
              <w:top w:val="single" w:sz="8" w:space="0" w:color="000000"/>
              <w:left w:val="single" w:sz="8" w:space="0" w:color="000000"/>
              <w:bottom w:val="single" w:sz="8" w:space="0" w:color="000000"/>
              <w:right w:val="single" w:sz="8" w:space="0" w:color="000000"/>
            </w:tcBorders>
            <w:hideMark/>
          </w:tcPr>
          <w:p w:rsidR="00290AB7" w:rsidRDefault="00290AB7" w:rsidP="00290AB7">
            <w:pPr>
              <w:numPr>
                <w:ilvl w:val="0"/>
                <w:numId w:val="23"/>
              </w:numPr>
              <w:tabs>
                <w:tab w:val="num" w:pos="0"/>
              </w:tabs>
              <w:suppressAutoHyphens/>
              <w:ind w:left="298" w:hanging="298"/>
              <w:rPr>
                <w:rFonts w:cs="Calibri"/>
                <w:kern w:val="2"/>
                <w:sz w:val="18"/>
                <w:szCs w:val="20"/>
                <w:lang w:eastAsia="hi-IN" w:bidi="hi-IN"/>
              </w:rPr>
            </w:pPr>
            <w:r>
              <w:rPr>
                <w:rFonts w:cs="Calibri"/>
                <w:kern w:val="2"/>
                <w:sz w:val="18"/>
                <w:szCs w:val="20"/>
                <w:lang w:eastAsia="hi-IN" w:bidi="hi-IN"/>
              </w:rPr>
              <w:t>analiza postaw i solidności partnerów realizujących projekty,</w:t>
            </w:r>
          </w:p>
          <w:p w:rsidR="00290AB7" w:rsidRDefault="00290AB7" w:rsidP="00290AB7">
            <w:pPr>
              <w:numPr>
                <w:ilvl w:val="0"/>
                <w:numId w:val="23"/>
              </w:numPr>
              <w:tabs>
                <w:tab w:val="num" w:pos="0"/>
              </w:tabs>
              <w:suppressAutoHyphens/>
              <w:ind w:left="298" w:hanging="298"/>
              <w:rPr>
                <w:rFonts w:cs="Calibri"/>
                <w:kern w:val="2"/>
                <w:sz w:val="18"/>
                <w:szCs w:val="20"/>
                <w:lang w:eastAsia="hi-IN" w:bidi="hi-IN"/>
              </w:rPr>
            </w:pPr>
            <w:r>
              <w:rPr>
                <w:rFonts w:cs="Calibri"/>
                <w:kern w:val="2"/>
                <w:sz w:val="18"/>
                <w:szCs w:val="20"/>
                <w:lang w:eastAsia="hi-IN" w:bidi="hi-IN"/>
              </w:rPr>
              <w:t>promowanie korzyści, które odnoszą podmioty partnerskie z tytułu solidnego udziału w realiza</w:t>
            </w:r>
            <w:r w:rsidR="008F207E">
              <w:rPr>
                <w:rFonts w:cs="Calibri"/>
                <w:kern w:val="2"/>
                <w:sz w:val="18"/>
                <w:szCs w:val="20"/>
                <w:lang w:eastAsia="hi-IN" w:bidi="hi-IN"/>
              </w:rPr>
              <w:t>cji projektów rewitalizacyjnych</w:t>
            </w:r>
            <w:r w:rsidR="00A417D0">
              <w:rPr>
                <w:rFonts w:cs="Calibri"/>
                <w:kern w:val="2"/>
                <w:sz w:val="18"/>
                <w:szCs w:val="20"/>
                <w:lang w:eastAsia="hi-IN" w:bidi="hi-IN"/>
              </w:rPr>
              <w:t>.</w:t>
            </w:r>
          </w:p>
        </w:tc>
      </w:tr>
      <w:tr w:rsidR="00290AB7" w:rsidTr="009F0F90">
        <w:tc>
          <w:tcPr>
            <w:tcW w:w="2518" w:type="dxa"/>
            <w:tcBorders>
              <w:top w:val="single" w:sz="8" w:space="0" w:color="000000"/>
              <w:left w:val="single" w:sz="8" w:space="0" w:color="000000"/>
              <w:bottom w:val="single" w:sz="8" w:space="0" w:color="000000"/>
              <w:right w:val="single" w:sz="8" w:space="0" w:color="000000"/>
            </w:tcBorders>
            <w:shd w:val="clear" w:color="auto" w:fill="DDD9C3" w:themeFill="background2" w:themeFillShade="E6"/>
            <w:hideMark/>
          </w:tcPr>
          <w:p w:rsidR="00290AB7" w:rsidRDefault="00290AB7" w:rsidP="00A417D0">
            <w:pPr>
              <w:tabs>
                <w:tab w:val="left" w:pos="720"/>
              </w:tabs>
              <w:suppressAutoHyphens/>
              <w:rPr>
                <w:rFonts w:cs="Calibri"/>
                <w:b/>
                <w:bCs/>
                <w:kern w:val="2"/>
                <w:sz w:val="18"/>
                <w:szCs w:val="20"/>
                <w:lang w:eastAsia="hi-IN" w:bidi="hi-IN"/>
              </w:rPr>
            </w:pPr>
            <w:r>
              <w:rPr>
                <w:rFonts w:cs="Calibri"/>
                <w:b/>
                <w:bCs/>
                <w:kern w:val="2"/>
                <w:sz w:val="18"/>
                <w:szCs w:val="20"/>
                <w:lang w:eastAsia="hi-IN" w:bidi="hi-IN"/>
              </w:rPr>
              <w:t>Ryzyko związane z</w:t>
            </w:r>
            <w:r w:rsidR="00A417D0">
              <w:rPr>
                <w:rFonts w:cs="Calibri"/>
                <w:b/>
                <w:bCs/>
                <w:kern w:val="2"/>
                <w:sz w:val="18"/>
                <w:szCs w:val="20"/>
                <w:lang w:eastAsia="hi-IN" w:bidi="hi-IN"/>
              </w:rPr>
              <w:t> </w:t>
            </w:r>
            <w:r>
              <w:rPr>
                <w:rFonts w:cs="Calibri"/>
                <w:b/>
                <w:bCs/>
                <w:kern w:val="2"/>
                <w:sz w:val="18"/>
                <w:szCs w:val="20"/>
                <w:lang w:eastAsia="hi-IN" w:bidi="hi-IN"/>
              </w:rPr>
              <w:t>beneficjentami projektu</w:t>
            </w:r>
          </w:p>
        </w:tc>
        <w:tc>
          <w:tcPr>
            <w:tcW w:w="3686" w:type="dxa"/>
            <w:tcBorders>
              <w:top w:val="single" w:sz="8" w:space="0" w:color="000000"/>
              <w:left w:val="single" w:sz="8" w:space="0" w:color="000000"/>
              <w:bottom w:val="single" w:sz="8" w:space="0" w:color="000000"/>
              <w:right w:val="single" w:sz="8" w:space="0" w:color="000000"/>
            </w:tcBorders>
            <w:hideMark/>
          </w:tcPr>
          <w:p w:rsidR="00290AB7" w:rsidRDefault="00290AB7" w:rsidP="00290AB7">
            <w:pPr>
              <w:numPr>
                <w:ilvl w:val="0"/>
                <w:numId w:val="23"/>
              </w:numPr>
              <w:tabs>
                <w:tab w:val="num" w:pos="0"/>
              </w:tabs>
              <w:suppressAutoHyphens/>
              <w:ind w:left="222" w:hanging="222"/>
              <w:rPr>
                <w:rFonts w:cs="Calibri"/>
                <w:kern w:val="2"/>
                <w:sz w:val="18"/>
                <w:szCs w:val="20"/>
                <w:lang w:eastAsia="hi-IN" w:bidi="hi-IN"/>
              </w:rPr>
            </w:pPr>
            <w:r>
              <w:rPr>
                <w:rFonts w:cs="Calibri"/>
                <w:kern w:val="2"/>
                <w:sz w:val="18"/>
                <w:szCs w:val="20"/>
                <w:lang w:eastAsia="hi-IN" w:bidi="hi-IN"/>
              </w:rPr>
              <w:t xml:space="preserve">preferencyjne traktowanie projektów zgłaszanych przez podmioty społeczne, </w:t>
            </w:r>
            <w:r>
              <w:rPr>
                <w:rFonts w:cs="Calibri"/>
                <w:kern w:val="2"/>
                <w:sz w:val="18"/>
                <w:szCs w:val="20"/>
                <w:lang w:eastAsia="hi-IN" w:bidi="hi-IN"/>
              </w:rPr>
              <w:br/>
              <w:t>z którymi mieszkańcy się utożsamiają i oczekują na ich rezultaty,</w:t>
            </w:r>
          </w:p>
          <w:p w:rsidR="00290AB7" w:rsidRDefault="00290AB7" w:rsidP="00290AB7">
            <w:pPr>
              <w:numPr>
                <w:ilvl w:val="0"/>
                <w:numId w:val="23"/>
              </w:numPr>
              <w:tabs>
                <w:tab w:val="num" w:pos="0"/>
              </w:tabs>
              <w:suppressAutoHyphens/>
              <w:ind w:left="222" w:hanging="222"/>
              <w:rPr>
                <w:rFonts w:cs="Calibri"/>
                <w:kern w:val="2"/>
                <w:sz w:val="18"/>
                <w:szCs w:val="20"/>
                <w:lang w:eastAsia="hi-IN" w:bidi="hi-IN"/>
              </w:rPr>
            </w:pPr>
            <w:r>
              <w:rPr>
                <w:rFonts w:cs="Calibri"/>
                <w:kern w:val="2"/>
                <w:sz w:val="18"/>
                <w:szCs w:val="20"/>
                <w:lang w:eastAsia="hi-IN" w:bidi="hi-IN"/>
              </w:rPr>
              <w:t>oszacowanie w karcie projektu kosztów, które powinny być ponoszone przez beneficjentów,</w:t>
            </w:r>
          </w:p>
          <w:p w:rsidR="00290AB7" w:rsidRDefault="00290AB7" w:rsidP="00290AB7">
            <w:pPr>
              <w:numPr>
                <w:ilvl w:val="0"/>
                <w:numId w:val="23"/>
              </w:numPr>
              <w:tabs>
                <w:tab w:val="num" w:pos="0"/>
              </w:tabs>
              <w:suppressAutoHyphens/>
              <w:ind w:left="222" w:hanging="222"/>
              <w:rPr>
                <w:rFonts w:cs="Calibri"/>
                <w:kern w:val="2"/>
                <w:sz w:val="18"/>
                <w:szCs w:val="20"/>
                <w:lang w:eastAsia="hi-IN" w:bidi="hi-IN"/>
              </w:rPr>
            </w:pPr>
            <w:r>
              <w:rPr>
                <w:rFonts w:cs="Calibri"/>
                <w:kern w:val="2"/>
                <w:sz w:val="18"/>
                <w:szCs w:val="20"/>
                <w:lang w:eastAsia="hi-IN" w:bidi="hi-IN"/>
              </w:rPr>
              <w:t>analiza skłonności (możliwości) ponoszenia opłat z tytułu korzystania z</w:t>
            </w:r>
            <w:r w:rsidR="008F207E">
              <w:rPr>
                <w:rFonts w:cs="Calibri"/>
                <w:kern w:val="2"/>
                <w:sz w:val="18"/>
                <w:szCs w:val="20"/>
                <w:lang w:eastAsia="hi-IN" w:bidi="hi-IN"/>
              </w:rPr>
              <w:t> </w:t>
            </w:r>
            <w:r>
              <w:rPr>
                <w:rFonts w:cs="Calibri"/>
                <w:kern w:val="2"/>
                <w:sz w:val="18"/>
                <w:szCs w:val="20"/>
                <w:lang w:eastAsia="hi-IN" w:bidi="hi-IN"/>
              </w:rPr>
              <w:t>projektu wśród jego potencjalnych beneficjentów, w tym przy wykorzystaniu badań ankietowych,</w:t>
            </w:r>
          </w:p>
          <w:p w:rsidR="00290AB7" w:rsidRDefault="00290AB7" w:rsidP="00290AB7">
            <w:pPr>
              <w:numPr>
                <w:ilvl w:val="0"/>
                <w:numId w:val="23"/>
              </w:numPr>
              <w:tabs>
                <w:tab w:val="num" w:pos="0"/>
              </w:tabs>
              <w:suppressAutoHyphens/>
              <w:ind w:left="222" w:hanging="222"/>
              <w:rPr>
                <w:rFonts w:cs="Calibri"/>
                <w:kern w:val="2"/>
                <w:sz w:val="18"/>
                <w:szCs w:val="20"/>
                <w:lang w:eastAsia="hi-IN" w:bidi="hi-IN"/>
              </w:rPr>
            </w:pPr>
            <w:r>
              <w:rPr>
                <w:rFonts w:cs="Calibri"/>
                <w:kern w:val="2"/>
                <w:sz w:val="18"/>
                <w:szCs w:val="20"/>
                <w:lang w:eastAsia="hi-IN" w:bidi="hi-IN"/>
              </w:rPr>
              <w:t>określenie źródeł dofinansow</w:t>
            </w:r>
            <w:r w:rsidR="008F207E">
              <w:rPr>
                <w:rFonts w:cs="Calibri"/>
                <w:kern w:val="2"/>
                <w:sz w:val="18"/>
                <w:szCs w:val="20"/>
                <w:lang w:eastAsia="hi-IN" w:bidi="hi-IN"/>
              </w:rPr>
              <w:t>ania do funkcjonowania projektu</w:t>
            </w:r>
            <w:r w:rsidR="00A417D0">
              <w:rPr>
                <w:rFonts w:cs="Calibri"/>
                <w:kern w:val="2"/>
                <w:sz w:val="18"/>
                <w:szCs w:val="20"/>
                <w:lang w:eastAsia="hi-IN" w:bidi="hi-IN"/>
              </w:rPr>
              <w:t>.</w:t>
            </w:r>
          </w:p>
        </w:tc>
        <w:tc>
          <w:tcPr>
            <w:tcW w:w="3084" w:type="dxa"/>
            <w:tcBorders>
              <w:top w:val="single" w:sz="8" w:space="0" w:color="000000"/>
              <w:left w:val="single" w:sz="8" w:space="0" w:color="000000"/>
              <w:bottom w:val="single" w:sz="8" w:space="0" w:color="000000"/>
              <w:right w:val="single" w:sz="8" w:space="0" w:color="000000"/>
            </w:tcBorders>
            <w:hideMark/>
          </w:tcPr>
          <w:p w:rsidR="00290AB7" w:rsidRDefault="00290AB7" w:rsidP="00290AB7">
            <w:pPr>
              <w:numPr>
                <w:ilvl w:val="0"/>
                <w:numId w:val="23"/>
              </w:numPr>
              <w:tabs>
                <w:tab w:val="num" w:pos="0"/>
              </w:tabs>
              <w:suppressAutoHyphens/>
              <w:ind w:left="298" w:hanging="298"/>
              <w:rPr>
                <w:rFonts w:cs="Calibri"/>
                <w:kern w:val="2"/>
                <w:sz w:val="18"/>
                <w:szCs w:val="20"/>
                <w:lang w:eastAsia="hi-IN" w:bidi="hi-IN"/>
              </w:rPr>
            </w:pPr>
            <w:r>
              <w:rPr>
                <w:rFonts w:cs="Calibri"/>
                <w:kern w:val="2"/>
                <w:sz w:val="18"/>
                <w:szCs w:val="20"/>
                <w:lang w:eastAsia="hi-IN" w:bidi="hi-IN"/>
              </w:rPr>
              <w:t>promowanie rezultatów projektów wśród potencjalnych beneficjentów,</w:t>
            </w:r>
          </w:p>
          <w:p w:rsidR="00290AB7" w:rsidRDefault="00290AB7" w:rsidP="00290AB7">
            <w:pPr>
              <w:numPr>
                <w:ilvl w:val="0"/>
                <w:numId w:val="23"/>
              </w:numPr>
              <w:tabs>
                <w:tab w:val="num" w:pos="0"/>
              </w:tabs>
              <w:suppressAutoHyphens/>
              <w:ind w:left="298" w:hanging="298"/>
              <w:rPr>
                <w:rFonts w:cs="Calibri"/>
                <w:kern w:val="2"/>
                <w:sz w:val="18"/>
                <w:szCs w:val="20"/>
                <w:lang w:eastAsia="hi-IN" w:bidi="hi-IN"/>
              </w:rPr>
            </w:pPr>
            <w:r>
              <w:rPr>
                <w:rFonts w:cs="Calibri"/>
                <w:kern w:val="2"/>
                <w:sz w:val="18"/>
                <w:szCs w:val="20"/>
                <w:lang w:eastAsia="hi-IN" w:bidi="hi-IN"/>
              </w:rPr>
              <w:t>okresowe stosowanie instrumentów udostępniających projekt grupo</w:t>
            </w:r>
            <w:r w:rsidR="008F207E">
              <w:rPr>
                <w:rFonts w:cs="Calibri"/>
                <w:kern w:val="2"/>
                <w:sz w:val="18"/>
                <w:szCs w:val="20"/>
                <w:lang w:eastAsia="hi-IN" w:bidi="hi-IN"/>
              </w:rPr>
              <w:t>m o niskim statusie materialnym</w:t>
            </w:r>
            <w:r w:rsidR="00A417D0">
              <w:rPr>
                <w:rFonts w:cs="Calibri"/>
                <w:kern w:val="2"/>
                <w:sz w:val="18"/>
                <w:szCs w:val="20"/>
                <w:lang w:eastAsia="hi-IN" w:bidi="hi-IN"/>
              </w:rPr>
              <w:t>.</w:t>
            </w:r>
          </w:p>
        </w:tc>
      </w:tr>
      <w:tr w:rsidR="00290AB7" w:rsidTr="009F0F90">
        <w:tc>
          <w:tcPr>
            <w:tcW w:w="2518" w:type="dxa"/>
            <w:tcBorders>
              <w:top w:val="single" w:sz="8" w:space="0" w:color="000000"/>
              <w:left w:val="single" w:sz="8" w:space="0" w:color="000000"/>
              <w:bottom w:val="single" w:sz="8" w:space="0" w:color="000000"/>
              <w:right w:val="single" w:sz="8" w:space="0" w:color="000000"/>
            </w:tcBorders>
            <w:shd w:val="clear" w:color="auto" w:fill="DDD9C3" w:themeFill="background2" w:themeFillShade="E6"/>
            <w:hideMark/>
          </w:tcPr>
          <w:p w:rsidR="00290AB7" w:rsidRDefault="00290AB7" w:rsidP="0020326F">
            <w:pPr>
              <w:tabs>
                <w:tab w:val="left" w:pos="720"/>
              </w:tabs>
              <w:suppressAutoHyphens/>
              <w:rPr>
                <w:rFonts w:cs="Calibri"/>
                <w:b/>
                <w:bCs/>
                <w:kern w:val="2"/>
                <w:sz w:val="18"/>
                <w:szCs w:val="20"/>
                <w:lang w:eastAsia="hi-IN" w:bidi="hi-IN"/>
              </w:rPr>
            </w:pPr>
            <w:r>
              <w:rPr>
                <w:rFonts w:cs="Calibri"/>
                <w:b/>
                <w:bCs/>
                <w:kern w:val="2"/>
                <w:sz w:val="18"/>
                <w:szCs w:val="20"/>
                <w:lang w:eastAsia="hi-IN" w:bidi="hi-IN"/>
              </w:rPr>
              <w:t>Ryzyko kompetencyjne</w:t>
            </w:r>
          </w:p>
        </w:tc>
        <w:tc>
          <w:tcPr>
            <w:tcW w:w="3686" w:type="dxa"/>
            <w:tcBorders>
              <w:top w:val="single" w:sz="8" w:space="0" w:color="000000"/>
              <w:left w:val="single" w:sz="8" w:space="0" w:color="000000"/>
              <w:bottom w:val="single" w:sz="8" w:space="0" w:color="000000"/>
              <w:right w:val="single" w:sz="8" w:space="0" w:color="000000"/>
            </w:tcBorders>
            <w:hideMark/>
          </w:tcPr>
          <w:p w:rsidR="00290AB7" w:rsidRDefault="00290AB7" w:rsidP="00290AB7">
            <w:pPr>
              <w:numPr>
                <w:ilvl w:val="0"/>
                <w:numId w:val="23"/>
              </w:numPr>
              <w:tabs>
                <w:tab w:val="num" w:pos="0"/>
              </w:tabs>
              <w:suppressAutoHyphens/>
              <w:ind w:left="222" w:hanging="222"/>
              <w:rPr>
                <w:rFonts w:cs="Calibri"/>
                <w:kern w:val="2"/>
                <w:sz w:val="18"/>
                <w:szCs w:val="20"/>
                <w:lang w:eastAsia="hi-IN" w:bidi="hi-IN"/>
              </w:rPr>
            </w:pPr>
            <w:r>
              <w:rPr>
                <w:rFonts w:cs="Calibri"/>
                <w:kern w:val="2"/>
                <w:sz w:val="18"/>
                <w:szCs w:val="20"/>
                <w:lang w:eastAsia="hi-IN" w:bidi="hi-IN"/>
              </w:rPr>
              <w:t>edukacja i doradztwo dla partnerów przygotowujących projekty,</w:t>
            </w:r>
          </w:p>
          <w:p w:rsidR="00290AB7" w:rsidRDefault="00290AB7" w:rsidP="00E00336">
            <w:pPr>
              <w:numPr>
                <w:ilvl w:val="0"/>
                <w:numId w:val="23"/>
              </w:numPr>
              <w:tabs>
                <w:tab w:val="num" w:pos="0"/>
              </w:tabs>
              <w:suppressAutoHyphens/>
              <w:ind w:left="222" w:hanging="222"/>
              <w:rPr>
                <w:rFonts w:cs="Calibri"/>
                <w:kern w:val="2"/>
                <w:sz w:val="18"/>
                <w:szCs w:val="20"/>
                <w:lang w:eastAsia="hi-IN" w:bidi="hi-IN"/>
              </w:rPr>
            </w:pPr>
            <w:r>
              <w:rPr>
                <w:rFonts w:cs="Calibri"/>
                <w:kern w:val="2"/>
                <w:sz w:val="18"/>
                <w:szCs w:val="20"/>
                <w:lang w:eastAsia="hi-IN" w:bidi="hi-IN"/>
              </w:rPr>
              <w:t>przyjmowanie do realizacji projektów o</w:t>
            </w:r>
            <w:r w:rsidR="008F207E">
              <w:rPr>
                <w:rFonts w:cs="Calibri"/>
                <w:kern w:val="2"/>
                <w:sz w:val="18"/>
                <w:szCs w:val="20"/>
                <w:lang w:eastAsia="hi-IN" w:bidi="hi-IN"/>
              </w:rPr>
              <w:t> </w:t>
            </w:r>
            <w:r>
              <w:rPr>
                <w:rFonts w:cs="Calibri"/>
                <w:kern w:val="2"/>
                <w:sz w:val="18"/>
                <w:szCs w:val="20"/>
                <w:lang w:eastAsia="hi-IN" w:bidi="hi-IN"/>
              </w:rPr>
              <w:t>mniejszym poziomie złożoności, w</w:t>
            </w:r>
            <w:r w:rsidR="008F207E">
              <w:rPr>
                <w:rFonts w:cs="Calibri"/>
                <w:kern w:val="2"/>
                <w:sz w:val="18"/>
                <w:szCs w:val="20"/>
                <w:lang w:eastAsia="hi-IN" w:bidi="hi-IN"/>
              </w:rPr>
              <w:t> </w:t>
            </w:r>
            <w:r>
              <w:rPr>
                <w:rFonts w:cs="Calibri"/>
                <w:kern w:val="2"/>
                <w:sz w:val="18"/>
                <w:szCs w:val="20"/>
                <w:lang w:eastAsia="hi-IN" w:bidi="hi-IN"/>
              </w:rPr>
              <w:t>których podmioty lokalne, szczególnie mieszkańcy mogą rozwijać swoje kompetencje w</w:t>
            </w:r>
            <w:r w:rsidR="00E00336">
              <w:rPr>
                <w:rFonts w:cs="Calibri"/>
                <w:kern w:val="2"/>
                <w:sz w:val="18"/>
                <w:szCs w:val="20"/>
                <w:lang w:eastAsia="hi-IN" w:bidi="hi-IN"/>
              </w:rPr>
              <w:t> </w:t>
            </w:r>
            <w:r>
              <w:rPr>
                <w:rFonts w:cs="Calibri"/>
                <w:kern w:val="2"/>
                <w:sz w:val="18"/>
                <w:szCs w:val="20"/>
                <w:lang w:eastAsia="hi-IN" w:bidi="hi-IN"/>
              </w:rPr>
              <w:t>zakresie zarządzania</w:t>
            </w:r>
            <w:r w:rsidR="008F207E">
              <w:rPr>
                <w:rFonts w:cs="Calibri"/>
                <w:kern w:val="2"/>
                <w:sz w:val="18"/>
                <w:szCs w:val="20"/>
                <w:lang w:eastAsia="hi-IN" w:bidi="hi-IN"/>
              </w:rPr>
              <w:t xml:space="preserve"> projektami</w:t>
            </w:r>
            <w:r w:rsidR="00A417D0">
              <w:rPr>
                <w:rFonts w:cs="Calibri"/>
                <w:kern w:val="2"/>
                <w:sz w:val="18"/>
                <w:szCs w:val="20"/>
                <w:lang w:eastAsia="hi-IN" w:bidi="hi-IN"/>
              </w:rPr>
              <w:t>.</w:t>
            </w:r>
          </w:p>
        </w:tc>
        <w:tc>
          <w:tcPr>
            <w:tcW w:w="3084" w:type="dxa"/>
            <w:tcBorders>
              <w:top w:val="single" w:sz="8" w:space="0" w:color="000000"/>
              <w:left w:val="single" w:sz="8" w:space="0" w:color="000000"/>
              <w:bottom w:val="single" w:sz="8" w:space="0" w:color="000000"/>
              <w:right w:val="single" w:sz="8" w:space="0" w:color="000000"/>
            </w:tcBorders>
            <w:hideMark/>
          </w:tcPr>
          <w:p w:rsidR="00290AB7" w:rsidRDefault="00290AB7" w:rsidP="00290AB7">
            <w:pPr>
              <w:numPr>
                <w:ilvl w:val="0"/>
                <w:numId w:val="23"/>
              </w:numPr>
              <w:tabs>
                <w:tab w:val="num" w:pos="0"/>
              </w:tabs>
              <w:suppressAutoHyphens/>
              <w:ind w:left="298" w:hanging="298"/>
              <w:rPr>
                <w:rFonts w:cs="Calibri"/>
                <w:kern w:val="2"/>
                <w:sz w:val="18"/>
                <w:szCs w:val="20"/>
                <w:lang w:eastAsia="hi-IN" w:bidi="hi-IN"/>
              </w:rPr>
            </w:pPr>
            <w:r>
              <w:rPr>
                <w:rFonts w:cs="Calibri"/>
                <w:kern w:val="2"/>
                <w:sz w:val="18"/>
                <w:szCs w:val="20"/>
                <w:lang w:eastAsia="hi-IN" w:bidi="hi-IN"/>
              </w:rPr>
              <w:t>edukacja i doradztwo dla partnerów</w:t>
            </w:r>
            <w:r w:rsidR="008F207E">
              <w:rPr>
                <w:rFonts w:cs="Calibri"/>
                <w:kern w:val="2"/>
                <w:sz w:val="18"/>
                <w:szCs w:val="20"/>
                <w:lang w:eastAsia="hi-IN" w:bidi="hi-IN"/>
              </w:rPr>
              <w:t xml:space="preserve"> w trakcie realizacji projektów</w:t>
            </w:r>
            <w:r w:rsidR="00A417D0">
              <w:rPr>
                <w:rFonts w:cs="Calibri"/>
                <w:kern w:val="2"/>
                <w:sz w:val="18"/>
                <w:szCs w:val="20"/>
                <w:lang w:eastAsia="hi-IN" w:bidi="hi-IN"/>
              </w:rPr>
              <w:t>.</w:t>
            </w:r>
          </w:p>
        </w:tc>
      </w:tr>
      <w:tr w:rsidR="00290AB7" w:rsidTr="009F0F90">
        <w:tc>
          <w:tcPr>
            <w:tcW w:w="2518" w:type="dxa"/>
            <w:tcBorders>
              <w:top w:val="single" w:sz="8" w:space="0" w:color="000000"/>
              <w:left w:val="single" w:sz="8" w:space="0" w:color="000000"/>
              <w:bottom w:val="single" w:sz="8" w:space="0" w:color="000000"/>
              <w:right w:val="single" w:sz="8" w:space="0" w:color="000000"/>
            </w:tcBorders>
            <w:shd w:val="clear" w:color="auto" w:fill="DDD9C3" w:themeFill="background2" w:themeFillShade="E6"/>
            <w:hideMark/>
          </w:tcPr>
          <w:p w:rsidR="00290AB7" w:rsidRDefault="00290AB7" w:rsidP="0020326F">
            <w:pPr>
              <w:tabs>
                <w:tab w:val="left" w:pos="720"/>
              </w:tabs>
              <w:suppressAutoHyphens/>
              <w:rPr>
                <w:rFonts w:cs="Calibri"/>
                <w:b/>
                <w:bCs/>
                <w:kern w:val="2"/>
                <w:sz w:val="18"/>
                <w:szCs w:val="20"/>
                <w:lang w:eastAsia="hi-IN" w:bidi="hi-IN"/>
              </w:rPr>
            </w:pPr>
            <w:r>
              <w:rPr>
                <w:rFonts w:cs="Calibri"/>
                <w:b/>
                <w:bCs/>
                <w:kern w:val="2"/>
                <w:sz w:val="18"/>
                <w:szCs w:val="20"/>
                <w:lang w:eastAsia="hi-IN" w:bidi="hi-IN"/>
              </w:rPr>
              <w:t>Ryzyko zasobowe</w:t>
            </w:r>
          </w:p>
        </w:tc>
        <w:tc>
          <w:tcPr>
            <w:tcW w:w="3686" w:type="dxa"/>
            <w:tcBorders>
              <w:top w:val="single" w:sz="8" w:space="0" w:color="000000"/>
              <w:left w:val="single" w:sz="8" w:space="0" w:color="000000"/>
              <w:bottom w:val="single" w:sz="8" w:space="0" w:color="000000"/>
              <w:right w:val="single" w:sz="8" w:space="0" w:color="000000"/>
            </w:tcBorders>
            <w:hideMark/>
          </w:tcPr>
          <w:p w:rsidR="00290AB7" w:rsidRDefault="00290AB7" w:rsidP="00290AB7">
            <w:pPr>
              <w:numPr>
                <w:ilvl w:val="0"/>
                <w:numId w:val="23"/>
              </w:numPr>
              <w:tabs>
                <w:tab w:val="num" w:pos="0"/>
              </w:tabs>
              <w:suppressAutoHyphens/>
              <w:ind w:left="222" w:hanging="222"/>
              <w:rPr>
                <w:rFonts w:cs="Calibri"/>
                <w:kern w:val="2"/>
                <w:sz w:val="18"/>
                <w:szCs w:val="20"/>
                <w:lang w:eastAsia="hi-IN" w:bidi="hi-IN"/>
              </w:rPr>
            </w:pPr>
            <w:r>
              <w:rPr>
                <w:rFonts w:cs="Calibri"/>
                <w:kern w:val="2"/>
                <w:sz w:val="18"/>
                <w:szCs w:val="20"/>
                <w:lang w:eastAsia="hi-IN" w:bidi="hi-IN"/>
              </w:rPr>
              <w:t>precyzyjne opracowanie kart projektów w</w:t>
            </w:r>
            <w:r w:rsidR="008F207E">
              <w:rPr>
                <w:rFonts w:cs="Calibri"/>
                <w:kern w:val="2"/>
                <w:sz w:val="18"/>
                <w:szCs w:val="20"/>
                <w:lang w:eastAsia="hi-IN" w:bidi="hi-IN"/>
              </w:rPr>
              <w:t> </w:t>
            </w:r>
            <w:r>
              <w:rPr>
                <w:rFonts w:cs="Calibri"/>
                <w:kern w:val="2"/>
                <w:sz w:val="18"/>
                <w:szCs w:val="20"/>
                <w:lang w:eastAsia="hi-IN" w:bidi="hi-IN"/>
              </w:rPr>
              <w:t>części finansowej,</w:t>
            </w:r>
          </w:p>
          <w:p w:rsidR="00290AB7" w:rsidRDefault="00290AB7" w:rsidP="00290AB7">
            <w:pPr>
              <w:numPr>
                <w:ilvl w:val="0"/>
                <w:numId w:val="23"/>
              </w:numPr>
              <w:tabs>
                <w:tab w:val="num" w:pos="0"/>
              </w:tabs>
              <w:suppressAutoHyphens/>
              <w:ind w:left="222" w:hanging="222"/>
              <w:rPr>
                <w:rFonts w:cs="Calibri"/>
                <w:kern w:val="2"/>
                <w:sz w:val="18"/>
                <w:szCs w:val="20"/>
                <w:lang w:eastAsia="hi-IN" w:bidi="hi-IN"/>
              </w:rPr>
            </w:pPr>
            <w:r>
              <w:rPr>
                <w:rFonts w:cs="Calibri"/>
                <w:kern w:val="2"/>
                <w:sz w:val="18"/>
                <w:szCs w:val="20"/>
                <w:lang w:eastAsia="hi-IN" w:bidi="hi-IN"/>
              </w:rPr>
              <w:t>tworzenie zbioru projektów do realizacji w</w:t>
            </w:r>
            <w:r w:rsidR="008F207E">
              <w:rPr>
                <w:rFonts w:cs="Calibri"/>
                <w:kern w:val="2"/>
                <w:sz w:val="18"/>
                <w:szCs w:val="20"/>
                <w:lang w:eastAsia="hi-IN" w:bidi="hi-IN"/>
              </w:rPr>
              <w:t> </w:t>
            </w:r>
            <w:r>
              <w:rPr>
                <w:rFonts w:cs="Calibri"/>
                <w:kern w:val="2"/>
                <w:sz w:val="18"/>
                <w:szCs w:val="20"/>
                <w:lang w:eastAsia="hi-IN" w:bidi="hi-IN"/>
              </w:rPr>
              <w:t>roku budżetowym w powiązaniu z</w:t>
            </w:r>
            <w:r w:rsidR="008F207E">
              <w:rPr>
                <w:rFonts w:cs="Calibri"/>
                <w:kern w:val="2"/>
                <w:sz w:val="18"/>
                <w:szCs w:val="20"/>
                <w:lang w:eastAsia="hi-IN" w:bidi="hi-IN"/>
              </w:rPr>
              <w:t> </w:t>
            </w:r>
            <w:r>
              <w:rPr>
                <w:rFonts w:cs="Calibri"/>
                <w:kern w:val="2"/>
                <w:sz w:val="18"/>
                <w:szCs w:val="20"/>
                <w:lang w:eastAsia="hi-IN" w:bidi="hi-IN"/>
              </w:rPr>
              <w:t>wielkością dostępnych środków,</w:t>
            </w:r>
          </w:p>
          <w:p w:rsidR="00290AB7" w:rsidRDefault="00290AB7" w:rsidP="00290AB7">
            <w:pPr>
              <w:numPr>
                <w:ilvl w:val="0"/>
                <w:numId w:val="23"/>
              </w:numPr>
              <w:tabs>
                <w:tab w:val="num" w:pos="0"/>
              </w:tabs>
              <w:suppressAutoHyphens/>
              <w:ind w:left="222" w:hanging="222"/>
              <w:rPr>
                <w:rFonts w:cs="Calibri"/>
                <w:kern w:val="2"/>
                <w:sz w:val="18"/>
                <w:szCs w:val="20"/>
                <w:lang w:eastAsia="hi-IN" w:bidi="hi-IN"/>
              </w:rPr>
            </w:pPr>
            <w:r>
              <w:rPr>
                <w:rFonts w:cs="Calibri"/>
                <w:kern w:val="2"/>
                <w:sz w:val="18"/>
                <w:szCs w:val="20"/>
                <w:lang w:eastAsia="hi-IN" w:bidi="hi-IN"/>
              </w:rPr>
              <w:t>preferencje dla projektów, dla których możliwy jest montaż finansowy z różnych źródeł,</w:t>
            </w:r>
          </w:p>
          <w:p w:rsidR="00290AB7" w:rsidRDefault="00290AB7" w:rsidP="00290AB7">
            <w:pPr>
              <w:numPr>
                <w:ilvl w:val="0"/>
                <w:numId w:val="23"/>
              </w:numPr>
              <w:tabs>
                <w:tab w:val="num" w:pos="0"/>
              </w:tabs>
              <w:suppressAutoHyphens/>
              <w:ind w:left="222" w:hanging="222"/>
              <w:rPr>
                <w:rFonts w:cs="Calibri"/>
                <w:kern w:val="2"/>
                <w:sz w:val="18"/>
                <w:szCs w:val="20"/>
                <w:lang w:eastAsia="hi-IN" w:bidi="hi-IN"/>
              </w:rPr>
            </w:pPr>
            <w:r>
              <w:rPr>
                <w:rFonts w:cs="Calibri"/>
                <w:kern w:val="2"/>
                <w:sz w:val="18"/>
                <w:szCs w:val="20"/>
                <w:lang w:eastAsia="hi-IN" w:bidi="hi-IN"/>
              </w:rPr>
              <w:t>preferencje dla projektów, w których potrzeby finansowe mogą być kompensowane przez wykorzystanie dostępnych zasobów rzeczowych i</w:t>
            </w:r>
            <w:r w:rsidR="008F207E">
              <w:rPr>
                <w:rFonts w:cs="Calibri"/>
                <w:kern w:val="2"/>
                <w:sz w:val="18"/>
                <w:szCs w:val="20"/>
                <w:lang w:eastAsia="hi-IN" w:bidi="hi-IN"/>
              </w:rPr>
              <w:t> </w:t>
            </w:r>
            <w:r>
              <w:rPr>
                <w:rFonts w:cs="Calibri"/>
                <w:kern w:val="2"/>
                <w:sz w:val="18"/>
                <w:szCs w:val="20"/>
                <w:lang w:eastAsia="hi-IN" w:bidi="hi-IN"/>
              </w:rPr>
              <w:t>kadrowych,</w:t>
            </w:r>
          </w:p>
          <w:p w:rsidR="00290AB7" w:rsidRDefault="00290AB7" w:rsidP="00290AB7">
            <w:pPr>
              <w:numPr>
                <w:ilvl w:val="0"/>
                <w:numId w:val="23"/>
              </w:numPr>
              <w:tabs>
                <w:tab w:val="num" w:pos="0"/>
              </w:tabs>
              <w:suppressAutoHyphens/>
              <w:ind w:left="222" w:hanging="222"/>
              <w:rPr>
                <w:rFonts w:cs="Calibri"/>
                <w:kern w:val="2"/>
                <w:sz w:val="18"/>
                <w:szCs w:val="20"/>
                <w:lang w:eastAsia="hi-IN" w:bidi="hi-IN"/>
              </w:rPr>
            </w:pPr>
            <w:r>
              <w:rPr>
                <w:rFonts w:cs="Calibri"/>
                <w:kern w:val="2"/>
                <w:sz w:val="18"/>
                <w:szCs w:val="20"/>
                <w:lang w:eastAsia="hi-IN" w:bidi="hi-IN"/>
              </w:rPr>
              <w:t>stworzenie rezerwowego funduszu finansowa</w:t>
            </w:r>
            <w:r w:rsidR="008F207E">
              <w:rPr>
                <w:rFonts w:cs="Calibri"/>
                <w:kern w:val="2"/>
                <w:sz w:val="18"/>
                <w:szCs w:val="20"/>
                <w:lang w:eastAsia="hi-IN" w:bidi="hi-IN"/>
              </w:rPr>
              <w:t>nia projektów rewitalizacyjnych</w:t>
            </w:r>
            <w:r w:rsidR="00A417D0">
              <w:rPr>
                <w:rFonts w:cs="Calibri"/>
                <w:kern w:val="2"/>
                <w:sz w:val="18"/>
                <w:szCs w:val="20"/>
                <w:lang w:eastAsia="hi-IN" w:bidi="hi-IN"/>
              </w:rPr>
              <w:t>.</w:t>
            </w:r>
          </w:p>
        </w:tc>
        <w:tc>
          <w:tcPr>
            <w:tcW w:w="3084" w:type="dxa"/>
            <w:tcBorders>
              <w:top w:val="single" w:sz="8" w:space="0" w:color="000000"/>
              <w:left w:val="single" w:sz="8" w:space="0" w:color="000000"/>
              <w:bottom w:val="single" w:sz="8" w:space="0" w:color="000000"/>
              <w:right w:val="single" w:sz="8" w:space="0" w:color="000000"/>
            </w:tcBorders>
            <w:hideMark/>
          </w:tcPr>
          <w:p w:rsidR="00290AB7" w:rsidRDefault="00290AB7" w:rsidP="00290AB7">
            <w:pPr>
              <w:numPr>
                <w:ilvl w:val="0"/>
                <w:numId w:val="23"/>
              </w:numPr>
              <w:tabs>
                <w:tab w:val="num" w:pos="0"/>
              </w:tabs>
              <w:suppressAutoHyphens/>
              <w:ind w:left="298" w:hanging="298"/>
              <w:rPr>
                <w:rFonts w:cs="Calibri"/>
                <w:kern w:val="2"/>
                <w:sz w:val="18"/>
                <w:szCs w:val="20"/>
                <w:lang w:eastAsia="hi-IN" w:bidi="hi-IN"/>
              </w:rPr>
            </w:pPr>
            <w:r>
              <w:rPr>
                <w:rFonts w:cs="Calibri"/>
                <w:kern w:val="2"/>
                <w:sz w:val="18"/>
                <w:szCs w:val="20"/>
                <w:lang w:eastAsia="hi-IN" w:bidi="hi-IN"/>
              </w:rPr>
              <w:t>analiza poziomu wykorzystania zasobów w ramach wiązki realizowanych projektów – ewentualne przes</w:t>
            </w:r>
            <w:r w:rsidR="008F207E">
              <w:rPr>
                <w:rFonts w:cs="Calibri"/>
                <w:kern w:val="2"/>
                <w:sz w:val="18"/>
                <w:szCs w:val="20"/>
                <w:lang w:eastAsia="hi-IN" w:bidi="hi-IN"/>
              </w:rPr>
              <w:t>uwanie rezerw między projektami</w:t>
            </w:r>
            <w:r w:rsidR="00A417D0">
              <w:rPr>
                <w:rFonts w:cs="Calibri"/>
                <w:kern w:val="2"/>
                <w:sz w:val="18"/>
                <w:szCs w:val="20"/>
                <w:lang w:eastAsia="hi-IN" w:bidi="hi-IN"/>
              </w:rPr>
              <w:t>.</w:t>
            </w:r>
          </w:p>
        </w:tc>
      </w:tr>
      <w:tr w:rsidR="00290AB7" w:rsidTr="009F0F90">
        <w:tc>
          <w:tcPr>
            <w:tcW w:w="2518" w:type="dxa"/>
            <w:tcBorders>
              <w:top w:val="single" w:sz="8" w:space="0" w:color="000000"/>
              <w:left w:val="single" w:sz="8" w:space="0" w:color="000000"/>
              <w:bottom w:val="single" w:sz="8" w:space="0" w:color="000000"/>
              <w:right w:val="single" w:sz="8" w:space="0" w:color="000000"/>
            </w:tcBorders>
            <w:shd w:val="clear" w:color="auto" w:fill="DDD9C3" w:themeFill="background2" w:themeFillShade="E6"/>
            <w:hideMark/>
          </w:tcPr>
          <w:p w:rsidR="00290AB7" w:rsidRDefault="00290AB7" w:rsidP="0020326F">
            <w:pPr>
              <w:tabs>
                <w:tab w:val="left" w:pos="720"/>
              </w:tabs>
              <w:suppressAutoHyphens/>
              <w:rPr>
                <w:rFonts w:cs="Calibri"/>
                <w:b/>
                <w:bCs/>
                <w:kern w:val="2"/>
                <w:sz w:val="18"/>
                <w:szCs w:val="20"/>
                <w:lang w:eastAsia="hi-IN" w:bidi="hi-IN"/>
              </w:rPr>
            </w:pPr>
            <w:r>
              <w:rPr>
                <w:rFonts w:cs="Calibri"/>
                <w:b/>
                <w:bCs/>
                <w:kern w:val="2"/>
                <w:sz w:val="18"/>
                <w:szCs w:val="20"/>
                <w:lang w:eastAsia="hi-IN" w:bidi="hi-IN"/>
              </w:rPr>
              <w:t>Ryzyko polityczne</w:t>
            </w:r>
          </w:p>
        </w:tc>
        <w:tc>
          <w:tcPr>
            <w:tcW w:w="3686" w:type="dxa"/>
            <w:tcBorders>
              <w:top w:val="single" w:sz="8" w:space="0" w:color="000000"/>
              <w:left w:val="single" w:sz="8" w:space="0" w:color="000000"/>
              <w:bottom w:val="single" w:sz="8" w:space="0" w:color="000000"/>
              <w:right w:val="single" w:sz="8" w:space="0" w:color="000000"/>
            </w:tcBorders>
            <w:hideMark/>
          </w:tcPr>
          <w:p w:rsidR="00290AB7" w:rsidRDefault="00290AB7" w:rsidP="00290AB7">
            <w:pPr>
              <w:numPr>
                <w:ilvl w:val="0"/>
                <w:numId w:val="23"/>
              </w:numPr>
              <w:tabs>
                <w:tab w:val="num" w:pos="0"/>
              </w:tabs>
              <w:suppressAutoHyphens/>
              <w:ind w:left="222" w:hanging="222"/>
              <w:rPr>
                <w:rFonts w:cs="Calibri"/>
                <w:kern w:val="2"/>
                <w:sz w:val="18"/>
                <w:szCs w:val="20"/>
                <w:lang w:eastAsia="hi-IN" w:bidi="hi-IN"/>
              </w:rPr>
            </w:pPr>
            <w:r>
              <w:rPr>
                <w:rFonts w:cs="Calibri"/>
                <w:kern w:val="2"/>
                <w:sz w:val="18"/>
                <w:szCs w:val="20"/>
                <w:lang w:eastAsia="hi-IN" w:bidi="hi-IN"/>
              </w:rPr>
              <w:t>realizacja prac nad programem rewitalizacji z</w:t>
            </w:r>
            <w:r w:rsidR="00E00336">
              <w:rPr>
                <w:rFonts w:cs="Calibri"/>
                <w:kern w:val="2"/>
                <w:sz w:val="18"/>
                <w:szCs w:val="20"/>
                <w:lang w:eastAsia="hi-IN" w:bidi="hi-IN"/>
              </w:rPr>
              <w:t> </w:t>
            </w:r>
            <w:r>
              <w:rPr>
                <w:rFonts w:cs="Calibri"/>
                <w:kern w:val="2"/>
                <w:sz w:val="18"/>
                <w:szCs w:val="20"/>
                <w:lang w:eastAsia="hi-IN" w:bidi="hi-IN"/>
              </w:rPr>
              <w:t>możliwie dużą liczbą podmiotów lokalnych – społeczna „własność” GPR jako zabezpieczen</w:t>
            </w:r>
            <w:r w:rsidRPr="00E00336">
              <w:rPr>
                <w:rFonts w:cs="Calibri"/>
                <w:kern w:val="2"/>
                <w:sz w:val="16"/>
                <w:szCs w:val="20"/>
                <w:lang w:eastAsia="hi-IN" w:bidi="hi-IN"/>
              </w:rPr>
              <w:t>i</w:t>
            </w:r>
            <w:r>
              <w:rPr>
                <w:rFonts w:cs="Calibri"/>
                <w:kern w:val="2"/>
                <w:sz w:val="18"/>
                <w:szCs w:val="20"/>
                <w:lang w:eastAsia="hi-IN" w:bidi="hi-IN"/>
              </w:rPr>
              <w:t>e</w:t>
            </w:r>
            <w:r w:rsidRPr="00E00336">
              <w:rPr>
                <w:rFonts w:cs="Calibri"/>
                <w:kern w:val="2"/>
                <w:sz w:val="14"/>
                <w:szCs w:val="20"/>
                <w:lang w:eastAsia="hi-IN" w:bidi="hi-IN"/>
              </w:rPr>
              <w:t xml:space="preserve"> </w:t>
            </w:r>
            <w:r>
              <w:rPr>
                <w:rFonts w:cs="Calibri"/>
                <w:kern w:val="2"/>
                <w:sz w:val="18"/>
                <w:szCs w:val="20"/>
                <w:lang w:eastAsia="hi-IN" w:bidi="hi-IN"/>
              </w:rPr>
              <w:t>przed</w:t>
            </w:r>
            <w:r w:rsidRPr="00E00336">
              <w:rPr>
                <w:rFonts w:cs="Calibri"/>
                <w:kern w:val="2"/>
                <w:sz w:val="16"/>
                <w:szCs w:val="20"/>
                <w:lang w:eastAsia="hi-IN" w:bidi="hi-IN"/>
              </w:rPr>
              <w:t xml:space="preserve"> </w:t>
            </w:r>
            <w:r>
              <w:rPr>
                <w:rFonts w:cs="Calibri"/>
                <w:kern w:val="2"/>
                <w:sz w:val="18"/>
                <w:szCs w:val="20"/>
                <w:lang w:eastAsia="hi-IN" w:bidi="hi-IN"/>
              </w:rPr>
              <w:t>nieciągłośc</w:t>
            </w:r>
            <w:r w:rsidRPr="00E00336">
              <w:rPr>
                <w:rFonts w:cs="Calibri"/>
                <w:kern w:val="2"/>
                <w:sz w:val="16"/>
                <w:szCs w:val="20"/>
                <w:lang w:eastAsia="hi-IN" w:bidi="hi-IN"/>
              </w:rPr>
              <w:t>i</w:t>
            </w:r>
            <w:r>
              <w:rPr>
                <w:rFonts w:cs="Calibri"/>
                <w:kern w:val="2"/>
                <w:sz w:val="18"/>
                <w:szCs w:val="20"/>
                <w:lang w:eastAsia="hi-IN" w:bidi="hi-IN"/>
              </w:rPr>
              <w:t>ą</w:t>
            </w:r>
            <w:r w:rsidRPr="00E00336">
              <w:rPr>
                <w:rFonts w:cs="Calibri"/>
                <w:kern w:val="2"/>
                <w:sz w:val="10"/>
                <w:szCs w:val="20"/>
                <w:lang w:eastAsia="hi-IN" w:bidi="hi-IN"/>
              </w:rPr>
              <w:t xml:space="preserve"> </w:t>
            </w:r>
            <w:r w:rsidRPr="00E00336">
              <w:rPr>
                <w:rFonts w:cs="Calibri"/>
                <w:spacing w:val="-2"/>
                <w:kern w:val="2"/>
                <w:sz w:val="18"/>
                <w:szCs w:val="20"/>
                <w:lang w:eastAsia="hi-IN" w:bidi="hi-IN"/>
              </w:rPr>
              <w:t>po</w:t>
            </w:r>
            <w:r w:rsidR="00E00336" w:rsidRPr="00E00336">
              <w:rPr>
                <w:rFonts w:cs="Calibri"/>
                <w:spacing w:val="-2"/>
                <w:kern w:val="2"/>
                <w:sz w:val="18"/>
                <w:szCs w:val="20"/>
                <w:lang w:eastAsia="hi-IN" w:bidi="hi-IN"/>
              </w:rPr>
              <w:t>l</w:t>
            </w:r>
            <w:r w:rsidR="00E00336" w:rsidRPr="00E00336">
              <w:rPr>
                <w:rFonts w:cs="Calibri"/>
                <w:spacing w:val="-2"/>
                <w:kern w:val="2"/>
                <w:sz w:val="16"/>
                <w:szCs w:val="20"/>
                <w:lang w:eastAsia="hi-IN" w:bidi="hi-IN"/>
              </w:rPr>
              <w:t>i</w:t>
            </w:r>
            <w:r w:rsidRPr="00E00336">
              <w:rPr>
                <w:rFonts w:cs="Calibri"/>
                <w:spacing w:val="-2"/>
                <w:kern w:val="2"/>
                <w:sz w:val="18"/>
                <w:szCs w:val="20"/>
                <w:lang w:eastAsia="hi-IN" w:bidi="hi-IN"/>
              </w:rPr>
              <w:t>tyczn</w:t>
            </w:r>
            <w:r w:rsidR="00E00336" w:rsidRPr="00E00336">
              <w:rPr>
                <w:rFonts w:cs="Calibri"/>
                <w:spacing w:val="-2"/>
                <w:kern w:val="2"/>
                <w:sz w:val="18"/>
                <w:szCs w:val="20"/>
                <w:lang w:eastAsia="hi-IN" w:bidi="hi-IN"/>
              </w:rPr>
              <w:t>ą</w:t>
            </w:r>
            <w:r w:rsidRPr="00E00336">
              <w:rPr>
                <w:rFonts w:cs="Calibri"/>
                <w:spacing w:val="-2"/>
                <w:kern w:val="2"/>
                <w:sz w:val="10"/>
                <w:szCs w:val="20"/>
                <w:lang w:eastAsia="hi-IN" w:bidi="hi-IN"/>
              </w:rPr>
              <w:t>,</w:t>
            </w:r>
          </w:p>
          <w:p w:rsidR="00290AB7" w:rsidRDefault="00290AB7" w:rsidP="00290AB7">
            <w:pPr>
              <w:numPr>
                <w:ilvl w:val="0"/>
                <w:numId w:val="23"/>
              </w:numPr>
              <w:tabs>
                <w:tab w:val="num" w:pos="0"/>
              </w:tabs>
              <w:suppressAutoHyphens/>
              <w:ind w:left="222" w:hanging="222"/>
              <w:rPr>
                <w:rFonts w:cs="Calibri"/>
                <w:kern w:val="2"/>
                <w:sz w:val="18"/>
                <w:szCs w:val="20"/>
                <w:lang w:eastAsia="hi-IN" w:bidi="hi-IN"/>
              </w:rPr>
            </w:pPr>
            <w:r>
              <w:rPr>
                <w:rFonts w:cs="Calibri"/>
                <w:kern w:val="2"/>
                <w:sz w:val="18"/>
                <w:szCs w:val="20"/>
                <w:lang w:eastAsia="hi-IN" w:bidi="hi-IN"/>
              </w:rPr>
              <w:t>prowadzenie monitoringu otoczenia regulacyjnego w aspektach mających wpływ na prowadzenie  działań rewitalizacyjnych</w:t>
            </w:r>
            <w:r w:rsidR="00A417D0">
              <w:rPr>
                <w:rFonts w:cs="Calibri"/>
                <w:kern w:val="2"/>
                <w:sz w:val="18"/>
                <w:szCs w:val="20"/>
                <w:lang w:eastAsia="hi-IN" w:bidi="hi-IN"/>
              </w:rPr>
              <w:t>.</w:t>
            </w:r>
          </w:p>
        </w:tc>
        <w:tc>
          <w:tcPr>
            <w:tcW w:w="3084" w:type="dxa"/>
            <w:tcBorders>
              <w:top w:val="single" w:sz="8" w:space="0" w:color="000000"/>
              <w:left w:val="single" w:sz="8" w:space="0" w:color="000000"/>
              <w:bottom w:val="single" w:sz="8" w:space="0" w:color="000000"/>
              <w:right w:val="single" w:sz="8" w:space="0" w:color="000000"/>
            </w:tcBorders>
            <w:hideMark/>
          </w:tcPr>
          <w:p w:rsidR="00290AB7" w:rsidRDefault="00290AB7" w:rsidP="008F207E">
            <w:pPr>
              <w:numPr>
                <w:ilvl w:val="0"/>
                <w:numId w:val="23"/>
              </w:numPr>
              <w:tabs>
                <w:tab w:val="num" w:pos="0"/>
              </w:tabs>
              <w:suppressAutoHyphens/>
              <w:ind w:left="298" w:hanging="298"/>
              <w:rPr>
                <w:rFonts w:cs="Calibri"/>
                <w:kern w:val="2"/>
                <w:sz w:val="18"/>
                <w:szCs w:val="20"/>
                <w:lang w:eastAsia="hi-IN" w:bidi="hi-IN"/>
              </w:rPr>
            </w:pPr>
            <w:r>
              <w:rPr>
                <w:rFonts w:cs="Calibri"/>
                <w:kern w:val="2"/>
                <w:sz w:val="18"/>
                <w:szCs w:val="20"/>
                <w:lang w:eastAsia="hi-IN" w:bidi="hi-IN"/>
              </w:rPr>
              <w:t>promowanie efektów realizacji GPR w społeczności lokalnej w celu utożsamienia mieszkańców z</w:t>
            </w:r>
            <w:r w:rsidR="008F207E">
              <w:rPr>
                <w:rFonts w:cs="Calibri"/>
                <w:kern w:val="2"/>
                <w:sz w:val="18"/>
                <w:szCs w:val="20"/>
                <w:lang w:eastAsia="hi-IN" w:bidi="hi-IN"/>
              </w:rPr>
              <w:t> </w:t>
            </w:r>
            <w:r>
              <w:rPr>
                <w:rFonts w:cs="Calibri"/>
                <w:kern w:val="2"/>
                <w:sz w:val="18"/>
                <w:szCs w:val="20"/>
                <w:lang w:eastAsia="hi-IN" w:bidi="hi-IN"/>
              </w:rPr>
              <w:t>programem</w:t>
            </w:r>
            <w:r w:rsidR="00A417D0">
              <w:rPr>
                <w:rFonts w:cs="Calibri"/>
                <w:kern w:val="2"/>
                <w:sz w:val="18"/>
                <w:szCs w:val="20"/>
                <w:lang w:eastAsia="hi-IN" w:bidi="hi-IN"/>
              </w:rPr>
              <w:t>.</w:t>
            </w:r>
          </w:p>
        </w:tc>
      </w:tr>
      <w:tr w:rsidR="00290AB7" w:rsidTr="009F0F90">
        <w:tc>
          <w:tcPr>
            <w:tcW w:w="2518" w:type="dxa"/>
            <w:tcBorders>
              <w:top w:val="single" w:sz="8" w:space="0" w:color="000000"/>
              <w:left w:val="single" w:sz="8" w:space="0" w:color="000000"/>
              <w:bottom w:val="single" w:sz="8" w:space="0" w:color="000000"/>
              <w:right w:val="single" w:sz="8" w:space="0" w:color="000000"/>
            </w:tcBorders>
            <w:shd w:val="clear" w:color="auto" w:fill="DDD9C3" w:themeFill="background2" w:themeFillShade="E6"/>
            <w:hideMark/>
          </w:tcPr>
          <w:p w:rsidR="00290AB7" w:rsidRDefault="00290AB7" w:rsidP="0020326F">
            <w:pPr>
              <w:tabs>
                <w:tab w:val="left" w:pos="720"/>
              </w:tabs>
              <w:suppressAutoHyphens/>
              <w:rPr>
                <w:rFonts w:cs="Calibri"/>
                <w:b/>
                <w:bCs/>
                <w:kern w:val="2"/>
                <w:sz w:val="18"/>
                <w:szCs w:val="20"/>
                <w:lang w:eastAsia="hi-IN" w:bidi="hi-IN"/>
              </w:rPr>
            </w:pPr>
            <w:r>
              <w:rPr>
                <w:rFonts w:cs="Calibri"/>
                <w:b/>
                <w:bCs/>
                <w:kern w:val="2"/>
                <w:sz w:val="18"/>
                <w:szCs w:val="20"/>
                <w:lang w:eastAsia="hi-IN" w:bidi="hi-IN"/>
              </w:rPr>
              <w:t>Ryzyko planistyczne</w:t>
            </w:r>
          </w:p>
        </w:tc>
        <w:tc>
          <w:tcPr>
            <w:tcW w:w="3686" w:type="dxa"/>
            <w:tcBorders>
              <w:top w:val="single" w:sz="8" w:space="0" w:color="000000"/>
              <w:left w:val="single" w:sz="8" w:space="0" w:color="000000"/>
              <w:bottom w:val="single" w:sz="8" w:space="0" w:color="000000"/>
              <w:right w:val="single" w:sz="8" w:space="0" w:color="000000"/>
            </w:tcBorders>
            <w:hideMark/>
          </w:tcPr>
          <w:p w:rsidR="00290AB7" w:rsidRDefault="00290AB7" w:rsidP="00290AB7">
            <w:pPr>
              <w:numPr>
                <w:ilvl w:val="0"/>
                <w:numId w:val="23"/>
              </w:numPr>
              <w:tabs>
                <w:tab w:val="num" w:pos="0"/>
              </w:tabs>
              <w:suppressAutoHyphens/>
              <w:ind w:left="222" w:hanging="222"/>
              <w:rPr>
                <w:rFonts w:cs="Calibri"/>
                <w:kern w:val="2"/>
                <w:sz w:val="18"/>
                <w:szCs w:val="20"/>
                <w:lang w:eastAsia="hi-IN" w:bidi="hi-IN"/>
              </w:rPr>
            </w:pPr>
            <w:r>
              <w:rPr>
                <w:rFonts w:cs="Calibri"/>
                <w:kern w:val="2"/>
                <w:sz w:val="18"/>
                <w:szCs w:val="20"/>
                <w:lang w:eastAsia="hi-IN" w:bidi="hi-IN"/>
              </w:rPr>
              <w:t xml:space="preserve">strukturalne i treściowe powiązanie </w:t>
            </w:r>
            <w:r w:rsidR="008F207E">
              <w:rPr>
                <w:rFonts w:cs="Calibri"/>
                <w:kern w:val="2"/>
                <w:sz w:val="18"/>
                <w:szCs w:val="20"/>
                <w:lang w:eastAsia="hi-IN" w:bidi="hi-IN"/>
              </w:rPr>
              <w:t>GPR ze strategią rozwoju miasta</w:t>
            </w:r>
            <w:r w:rsidR="00A417D0">
              <w:rPr>
                <w:rFonts w:cs="Calibri"/>
                <w:kern w:val="2"/>
                <w:sz w:val="18"/>
                <w:szCs w:val="20"/>
                <w:lang w:eastAsia="hi-IN" w:bidi="hi-IN"/>
              </w:rPr>
              <w:t>.</w:t>
            </w:r>
          </w:p>
        </w:tc>
        <w:tc>
          <w:tcPr>
            <w:tcW w:w="3084" w:type="dxa"/>
            <w:tcBorders>
              <w:top w:val="single" w:sz="8" w:space="0" w:color="000000"/>
              <w:left w:val="single" w:sz="8" w:space="0" w:color="000000"/>
              <w:bottom w:val="single" w:sz="8" w:space="0" w:color="000000"/>
              <w:right w:val="single" w:sz="8" w:space="0" w:color="000000"/>
            </w:tcBorders>
            <w:hideMark/>
          </w:tcPr>
          <w:p w:rsidR="00290AB7" w:rsidRDefault="00290AB7" w:rsidP="008E2146">
            <w:pPr>
              <w:numPr>
                <w:ilvl w:val="0"/>
                <w:numId w:val="23"/>
              </w:numPr>
              <w:tabs>
                <w:tab w:val="num" w:pos="0"/>
              </w:tabs>
              <w:suppressAutoHyphens/>
              <w:ind w:left="298" w:hanging="298"/>
              <w:rPr>
                <w:rFonts w:cs="Calibri"/>
                <w:kern w:val="2"/>
                <w:sz w:val="18"/>
                <w:szCs w:val="20"/>
                <w:lang w:eastAsia="hi-IN" w:bidi="hi-IN"/>
              </w:rPr>
            </w:pPr>
            <w:r>
              <w:rPr>
                <w:rFonts w:cs="Calibri"/>
                <w:kern w:val="2"/>
                <w:sz w:val="18"/>
                <w:szCs w:val="20"/>
                <w:lang w:eastAsia="hi-IN" w:bidi="hi-IN"/>
              </w:rPr>
              <w:t>stały monitoring realizacji GPR oraz sytuacji</w:t>
            </w:r>
            <w:r w:rsidR="008E2146">
              <w:rPr>
                <w:rFonts w:cs="Calibri"/>
                <w:kern w:val="2"/>
                <w:sz w:val="18"/>
                <w:szCs w:val="20"/>
                <w:lang w:eastAsia="hi-IN" w:bidi="hi-IN"/>
              </w:rPr>
              <w:t xml:space="preserve"> pod</w:t>
            </w:r>
            <w:r>
              <w:rPr>
                <w:rFonts w:cs="Calibri"/>
                <w:kern w:val="2"/>
                <w:sz w:val="18"/>
                <w:szCs w:val="20"/>
                <w:lang w:eastAsia="hi-IN" w:bidi="hi-IN"/>
              </w:rPr>
              <w:t xml:space="preserve">obszarów </w:t>
            </w:r>
            <w:r w:rsidR="008E2146">
              <w:rPr>
                <w:rFonts w:cs="Calibri"/>
                <w:kern w:val="2"/>
                <w:sz w:val="18"/>
                <w:szCs w:val="20"/>
                <w:lang w:eastAsia="hi-IN" w:bidi="hi-IN"/>
              </w:rPr>
              <w:t>rewitalizacji</w:t>
            </w:r>
            <w:r>
              <w:rPr>
                <w:rFonts w:cs="Calibri"/>
                <w:kern w:val="2"/>
                <w:sz w:val="18"/>
                <w:szCs w:val="20"/>
                <w:lang w:eastAsia="hi-IN" w:bidi="hi-IN"/>
              </w:rPr>
              <w:t xml:space="preserve"> jako „wsad” do analiz wykonywanych przy opracowaniu lub aktualizacji i</w:t>
            </w:r>
            <w:r w:rsidR="008F207E">
              <w:rPr>
                <w:rFonts w:cs="Calibri"/>
                <w:kern w:val="2"/>
                <w:sz w:val="18"/>
                <w:szCs w:val="20"/>
                <w:lang w:eastAsia="hi-IN" w:bidi="hi-IN"/>
              </w:rPr>
              <w:t>nnych dokumentów planistycznych</w:t>
            </w:r>
            <w:r w:rsidR="00A417D0">
              <w:rPr>
                <w:rFonts w:cs="Calibri"/>
                <w:kern w:val="2"/>
                <w:sz w:val="18"/>
                <w:szCs w:val="20"/>
                <w:lang w:eastAsia="hi-IN" w:bidi="hi-IN"/>
              </w:rPr>
              <w:t>.</w:t>
            </w:r>
          </w:p>
        </w:tc>
      </w:tr>
      <w:tr w:rsidR="00290AB7" w:rsidTr="009F0F90">
        <w:tc>
          <w:tcPr>
            <w:tcW w:w="2518" w:type="dxa"/>
            <w:tcBorders>
              <w:top w:val="single" w:sz="8" w:space="0" w:color="000000"/>
              <w:left w:val="single" w:sz="8" w:space="0" w:color="000000"/>
              <w:bottom w:val="single" w:sz="8" w:space="0" w:color="000000"/>
              <w:right w:val="single" w:sz="8" w:space="0" w:color="000000"/>
            </w:tcBorders>
            <w:shd w:val="clear" w:color="auto" w:fill="DDD9C3" w:themeFill="background2" w:themeFillShade="E6"/>
            <w:hideMark/>
          </w:tcPr>
          <w:p w:rsidR="00290AB7" w:rsidRDefault="00290AB7" w:rsidP="0020326F">
            <w:pPr>
              <w:tabs>
                <w:tab w:val="left" w:pos="720"/>
              </w:tabs>
              <w:suppressAutoHyphens/>
              <w:rPr>
                <w:rFonts w:cs="Calibri"/>
                <w:b/>
                <w:bCs/>
                <w:kern w:val="2"/>
                <w:sz w:val="18"/>
                <w:szCs w:val="20"/>
                <w:lang w:eastAsia="hi-IN" w:bidi="hi-IN"/>
              </w:rPr>
            </w:pPr>
            <w:r>
              <w:rPr>
                <w:rFonts w:cs="Calibri"/>
                <w:b/>
                <w:bCs/>
                <w:kern w:val="2"/>
                <w:sz w:val="18"/>
                <w:szCs w:val="20"/>
                <w:lang w:eastAsia="hi-IN" w:bidi="hi-IN"/>
              </w:rPr>
              <w:t>Ryzyko budżetowe</w:t>
            </w:r>
          </w:p>
        </w:tc>
        <w:tc>
          <w:tcPr>
            <w:tcW w:w="3686" w:type="dxa"/>
            <w:tcBorders>
              <w:top w:val="single" w:sz="8" w:space="0" w:color="000000"/>
              <w:left w:val="single" w:sz="8" w:space="0" w:color="000000"/>
              <w:bottom w:val="single" w:sz="8" w:space="0" w:color="000000"/>
              <w:right w:val="single" w:sz="8" w:space="0" w:color="000000"/>
            </w:tcBorders>
            <w:hideMark/>
          </w:tcPr>
          <w:p w:rsidR="00290AB7" w:rsidRDefault="00290AB7" w:rsidP="00290AB7">
            <w:pPr>
              <w:numPr>
                <w:ilvl w:val="0"/>
                <w:numId w:val="23"/>
              </w:numPr>
              <w:tabs>
                <w:tab w:val="num" w:pos="0"/>
              </w:tabs>
              <w:suppressAutoHyphens/>
              <w:ind w:left="222" w:hanging="222"/>
              <w:rPr>
                <w:rFonts w:cs="Calibri"/>
                <w:kern w:val="2"/>
                <w:sz w:val="18"/>
                <w:szCs w:val="20"/>
                <w:lang w:eastAsia="hi-IN" w:bidi="hi-IN"/>
              </w:rPr>
            </w:pPr>
            <w:r>
              <w:rPr>
                <w:rFonts w:cs="Calibri"/>
                <w:kern w:val="2"/>
                <w:sz w:val="18"/>
                <w:szCs w:val="20"/>
                <w:lang w:eastAsia="hi-IN" w:bidi="hi-IN"/>
              </w:rPr>
              <w:t>ujęcie w budżecie środków na realizację projektów rewitalizacyjnych lub utworzenie miejskiego funduszu rewitalizacji (sztywna wielkość środków przeznaczanych corocznie na rewitalizację lub zbiór zasad regulujących wielkość środków budżetowych przeznaczanych na rewitalizację),</w:t>
            </w:r>
          </w:p>
          <w:p w:rsidR="00290AB7" w:rsidRDefault="00290AB7" w:rsidP="00290AB7">
            <w:pPr>
              <w:numPr>
                <w:ilvl w:val="0"/>
                <w:numId w:val="23"/>
              </w:numPr>
              <w:tabs>
                <w:tab w:val="num" w:pos="0"/>
              </w:tabs>
              <w:suppressAutoHyphens/>
              <w:ind w:left="222" w:hanging="222"/>
              <w:rPr>
                <w:rFonts w:cs="Calibri"/>
                <w:kern w:val="2"/>
                <w:sz w:val="18"/>
                <w:szCs w:val="20"/>
                <w:lang w:eastAsia="hi-IN" w:bidi="hi-IN"/>
              </w:rPr>
            </w:pPr>
            <w:r>
              <w:rPr>
                <w:rFonts w:cs="Calibri"/>
                <w:kern w:val="2"/>
                <w:sz w:val="18"/>
                <w:szCs w:val="20"/>
                <w:lang w:eastAsia="hi-IN" w:bidi="hi-IN"/>
              </w:rPr>
              <w:t>tworzenie zbioru projektów do realizacji w</w:t>
            </w:r>
            <w:r w:rsidR="008F207E">
              <w:rPr>
                <w:rFonts w:cs="Calibri"/>
                <w:kern w:val="2"/>
                <w:sz w:val="18"/>
                <w:szCs w:val="20"/>
                <w:lang w:eastAsia="hi-IN" w:bidi="hi-IN"/>
              </w:rPr>
              <w:t> </w:t>
            </w:r>
            <w:r>
              <w:rPr>
                <w:rFonts w:cs="Calibri"/>
                <w:kern w:val="2"/>
                <w:sz w:val="18"/>
                <w:szCs w:val="20"/>
                <w:lang w:eastAsia="hi-IN" w:bidi="hi-IN"/>
              </w:rPr>
              <w:t>roku budżetowym w powiązaniu z</w:t>
            </w:r>
            <w:r w:rsidR="008F207E">
              <w:rPr>
                <w:rFonts w:cs="Calibri"/>
                <w:kern w:val="2"/>
                <w:sz w:val="18"/>
                <w:szCs w:val="20"/>
                <w:lang w:eastAsia="hi-IN" w:bidi="hi-IN"/>
              </w:rPr>
              <w:t> </w:t>
            </w:r>
            <w:r>
              <w:rPr>
                <w:rFonts w:cs="Calibri"/>
                <w:kern w:val="2"/>
                <w:sz w:val="18"/>
                <w:szCs w:val="20"/>
                <w:lang w:eastAsia="hi-IN" w:bidi="hi-IN"/>
              </w:rPr>
              <w:t>wielkością dostępnych środków,</w:t>
            </w:r>
          </w:p>
          <w:p w:rsidR="00E00336" w:rsidRPr="00E00336" w:rsidRDefault="00290AB7" w:rsidP="00E00336">
            <w:pPr>
              <w:numPr>
                <w:ilvl w:val="0"/>
                <w:numId w:val="23"/>
              </w:numPr>
              <w:tabs>
                <w:tab w:val="num" w:pos="0"/>
              </w:tabs>
              <w:suppressAutoHyphens/>
              <w:ind w:left="222" w:hanging="222"/>
              <w:rPr>
                <w:rFonts w:cs="Calibri"/>
                <w:kern w:val="2"/>
                <w:sz w:val="18"/>
                <w:szCs w:val="20"/>
                <w:lang w:eastAsia="hi-IN" w:bidi="hi-IN"/>
              </w:rPr>
            </w:pPr>
            <w:r>
              <w:rPr>
                <w:rFonts w:cs="Calibri"/>
                <w:kern w:val="2"/>
                <w:sz w:val="18"/>
                <w:szCs w:val="20"/>
                <w:lang w:eastAsia="hi-IN" w:bidi="hi-IN"/>
              </w:rPr>
              <w:t>preferencje dla projektów realizowa</w:t>
            </w:r>
            <w:r w:rsidR="008F207E">
              <w:rPr>
                <w:rFonts w:cs="Calibri"/>
                <w:kern w:val="2"/>
                <w:sz w:val="18"/>
                <w:szCs w:val="20"/>
                <w:lang w:eastAsia="hi-IN" w:bidi="hi-IN"/>
              </w:rPr>
              <w:t>nych w</w:t>
            </w:r>
            <w:r w:rsidR="00E00336">
              <w:rPr>
                <w:rFonts w:cs="Calibri"/>
                <w:kern w:val="2"/>
                <w:sz w:val="18"/>
                <w:szCs w:val="20"/>
                <w:lang w:eastAsia="hi-IN" w:bidi="hi-IN"/>
              </w:rPr>
              <w:t> </w:t>
            </w:r>
            <w:r w:rsidR="008F207E">
              <w:rPr>
                <w:rFonts w:cs="Calibri"/>
                <w:kern w:val="2"/>
                <w:sz w:val="18"/>
                <w:szCs w:val="20"/>
                <w:lang w:eastAsia="hi-IN" w:bidi="hi-IN"/>
              </w:rPr>
              <w:t>oparciu o montaż środków</w:t>
            </w:r>
            <w:r w:rsidR="00A417D0">
              <w:rPr>
                <w:rFonts w:cs="Calibri"/>
                <w:kern w:val="2"/>
                <w:sz w:val="18"/>
                <w:szCs w:val="20"/>
                <w:lang w:eastAsia="hi-IN" w:bidi="hi-IN"/>
              </w:rPr>
              <w:t>.</w:t>
            </w:r>
          </w:p>
        </w:tc>
        <w:tc>
          <w:tcPr>
            <w:tcW w:w="3084" w:type="dxa"/>
            <w:tcBorders>
              <w:top w:val="single" w:sz="8" w:space="0" w:color="000000"/>
              <w:left w:val="single" w:sz="8" w:space="0" w:color="000000"/>
              <w:bottom w:val="single" w:sz="8" w:space="0" w:color="000000"/>
              <w:right w:val="single" w:sz="8" w:space="0" w:color="000000"/>
            </w:tcBorders>
            <w:hideMark/>
          </w:tcPr>
          <w:p w:rsidR="00290AB7" w:rsidRDefault="00290AB7" w:rsidP="00290AB7">
            <w:pPr>
              <w:numPr>
                <w:ilvl w:val="0"/>
                <w:numId w:val="23"/>
              </w:numPr>
              <w:tabs>
                <w:tab w:val="num" w:pos="0"/>
              </w:tabs>
              <w:suppressAutoHyphens/>
              <w:ind w:left="298" w:hanging="298"/>
              <w:rPr>
                <w:rFonts w:cs="Calibri"/>
                <w:kern w:val="2"/>
                <w:sz w:val="18"/>
                <w:szCs w:val="20"/>
                <w:lang w:eastAsia="hi-IN" w:bidi="hi-IN"/>
              </w:rPr>
            </w:pPr>
            <w:r>
              <w:rPr>
                <w:rFonts w:cs="Calibri"/>
                <w:kern w:val="2"/>
                <w:sz w:val="18"/>
                <w:szCs w:val="20"/>
                <w:lang w:eastAsia="hi-IN" w:bidi="hi-IN"/>
              </w:rPr>
              <w:t>rozwijanie narzędzi typu budżet obywatelski w nawiązaniu do poziomu zainteresowania udziałem w re</w:t>
            </w:r>
            <w:r w:rsidR="008F207E">
              <w:rPr>
                <w:rFonts w:cs="Calibri"/>
                <w:kern w:val="2"/>
                <w:sz w:val="18"/>
                <w:szCs w:val="20"/>
                <w:lang w:eastAsia="hi-IN" w:bidi="hi-IN"/>
              </w:rPr>
              <w:t>witalizacji podmiotów lokalnych</w:t>
            </w:r>
            <w:r w:rsidR="00A417D0">
              <w:rPr>
                <w:rFonts w:cs="Calibri"/>
                <w:kern w:val="2"/>
                <w:sz w:val="18"/>
                <w:szCs w:val="20"/>
                <w:lang w:eastAsia="hi-IN" w:bidi="hi-IN"/>
              </w:rPr>
              <w:t>.</w:t>
            </w:r>
          </w:p>
        </w:tc>
      </w:tr>
      <w:tr w:rsidR="00290AB7" w:rsidTr="009F0F90">
        <w:tc>
          <w:tcPr>
            <w:tcW w:w="2518" w:type="dxa"/>
            <w:tcBorders>
              <w:top w:val="single" w:sz="8" w:space="0" w:color="000000"/>
              <w:left w:val="single" w:sz="8" w:space="0" w:color="000000"/>
              <w:bottom w:val="single" w:sz="8" w:space="0" w:color="000000"/>
              <w:right w:val="single" w:sz="8" w:space="0" w:color="000000"/>
            </w:tcBorders>
            <w:shd w:val="clear" w:color="auto" w:fill="DDD9C3" w:themeFill="background2" w:themeFillShade="E6"/>
            <w:hideMark/>
          </w:tcPr>
          <w:p w:rsidR="00290AB7" w:rsidRDefault="00290AB7" w:rsidP="0020326F">
            <w:pPr>
              <w:tabs>
                <w:tab w:val="left" w:pos="720"/>
              </w:tabs>
              <w:suppressAutoHyphens/>
              <w:rPr>
                <w:rFonts w:cs="Calibri"/>
                <w:b/>
                <w:bCs/>
                <w:kern w:val="2"/>
                <w:sz w:val="18"/>
                <w:szCs w:val="20"/>
                <w:lang w:eastAsia="hi-IN" w:bidi="hi-IN"/>
              </w:rPr>
            </w:pPr>
            <w:r>
              <w:rPr>
                <w:rFonts w:cs="Calibri"/>
                <w:b/>
                <w:bCs/>
                <w:kern w:val="2"/>
                <w:sz w:val="18"/>
                <w:szCs w:val="20"/>
                <w:lang w:eastAsia="hi-IN" w:bidi="hi-IN"/>
              </w:rPr>
              <w:t>Ryzyko zmiany fundamentalnej</w:t>
            </w:r>
          </w:p>
        </w:tc>
        <w:tc>
          <w:tcPr>
            <w:tcW w:w="3686" w:type="dxa"/>
            <w:tcBorders>
              <w:top w:val="single" w:sz="8" w:space="0" w:color="000000"/>
              <w:left w:val="single" w:sz="8" w:space="0" w:color="000000"/>
              <w:bottom w:val="single" w:sz="8" w:space="0" w:color="000000"/>
              <w:right w:val="single" w:sz="8" w:space="0" w:color="000000"/>
            </w:tcBorders>
            <w:hideMark/>
          </w:tcPr>
          <w:p w:rsidR="00290AB7" w:rsidRDefault="00290AB7" w:rsidP="00290AB7">
            <w:pPr>
              <w:numPr>
                <w:ilvl w:val="0"/>
                <w:numId w:val="23"/>
              </w:numPr>
              <w:tabs>
                <w:tab w:val="num" w:pos="0"/>
              </w:tabs>
              <w:suppressAutoHyphens/>
              <w:ind w:left="222" w:hanging="222"/>
              <w:rPr>
                <w:rFonts w:cs="Calibri"/>
                <w:kern w:val="2"/>
                <w:sz w:val="18"/>
                <w:szCs w:val="20"/>
                <w:lang w:eastAsia="hi-IN" w:bidi="hi-IN"/>
              </w:rPr>
            </w:pPr>
            <w:r>
              <w:rPr>
                <w:rFonts w:cs="Calibri"/>
                <w:kern w:val="2"/>
                <w:sz w:val="18"/>
                <w:szCs w:val="20"/>
                <w:lang w:eastAsia="hi-IN" w:bidi="hi-IN"/>
              </w:rPr>
              <w:t>wykorzystanie technik scenariuszowych do porządkowania i obróbki zgromadzonych danych, w szczególności opracowanie scenariuszy zmian ewolucyjnych w mieście i</w:t>
            </w:r>
            <w:r w:rsidR="006E5CC3">
              <w:rPr>
                <w:rFonts w:cs="Calibri"/>
                <w:kern w:val="2"/>
                <w:sz w:val="18"/>
                <w:szCs w:val="20"/>
                <w:lang w:eastAsia="hi-IN" w:bidi="hi-IN"/>
              </w:rPr>
              <w:t> </w:t>
            </w:r>
            <w:r>
              <w:rPr>
                <w:rFonts w:cs="Calibri"/>
                <w:kern w:val="2"/>
                <w:sz w:val="18"/>
                <w:szCs w:val="20"/>
                <w:lang w:eastAsia="hi-IN" w:bidi="hi-IN"/>
              </w:rPr>
              <w:t>otoczeniu,</w:t>
            </w:r>
          </w:p>
          <w:p w:rsidR="00290AB7" w:rsidRDefault="00290AB7" w:rsidP="006E5CC3">
            <w:pPr>
              <w:numPr>
                <w:ilvl w:val="0"/>
                <w:numId w:val="23"/>
              </w:numPr>
              <w:tabs>
                <w:tab w:val="num" w:pos="0"/>
              </w:tabs>
              <w:suppressAutoHyphens/>
              <w:ind w:left="222" w:hanging="222"/>
              <w:rPr>
                <w:rFonts w:cs="Calibri"/>
                <w:kern w:val="2"/>
                <w:sz w:val="18"/>
                <w:szCs w:val="20"/>
                <w:lang w:eastAsia="hi-IN" w:bidi="hi-IN"/>
              </w:rPr>
            </w:pPr>
            <w:r>
              <w:rPr>
                <w:rFonts w:cs="Calibri"/>
                <w:kern w:val="2"/>
                <w:sz w:val="18"/>
                <w:szCs w:val="20"/>
                <w:lang w:eastAsia="hi-IN" w:bidi="hi-IN"/>
              </w:rPr>
              <w:t>selekcja, w oparciu o techniki scenariuszowe tzw. driverów, czyli czynników o</w:t>
            </w:r>
            <w:r w:rsidR="006E5CC3">
              <w:rPr>
                <w:rFonts w:cs="Calibri"/>
                <w:kern w:val="2"/>
                <w:sz w:val="18"/>
                <w:szCs w:val="20"/>
                <w:lang w:eastAsia="hi-IN" w:bidi="hi-IN"/>
              </w:rPr>
              <w:t> </w:t>
            </w:r>
            <w:r>
              <w:rPr>
                <w:rFonts w:cs="Calibri"/>
                <w:kern w:val="2"/>
                <w:sz w:val="18"/>
                <w:szCs w:val="20"/>
                <w:lang w:eastAsia="hi-IN" w:bidi="hi-IN"/>
              </w:rPr>
              <w:t>najsilniejszym wpływ</w:t>
            </w:r>
            <w:r w:rsidR="008F207E">
              <w:rPr>
                <w:rFonts w:cs="Calibri"/>
                <w:kern w:val="2"/>
                <w:sz w:val="18"/>
                <w:szCs w:val="20"/>
                <w:lang w:eastAsia="hi-IN" w:bidi="hi-IN"/>
              </w:rPr>
              <w:t>ie na kształtowanie przyszłości</w:t>
            </w:r>
            <w:r w:rsidR="00A417D0">
              <w:rPr>
                <w:rFonts w:cs="Calibri"/>
                <w:kern w:val="2"/>
                <w:sz w:val="18"/>
                <w:szCs w:val="20"/>
                <w:lang w:eastAsia="hi-IN" w:bidi="hi-IN"/>
              </w:rPr>
              <w:t>.</w:t>
            </w:r>
          </w:p>
        </w:tc>
        <w:tc>
          <w:tcPr>
            <w:tcW w:w="3084" w:type="dxa"/>
            <w:tcBorders>
              <w:top w:val="single" w:sz="8" w:space="0" w:color="000000"/>
              <w:left w:val="single" w:sz="8" w:space="0" w:color="000000"/>
              <w:bottom w:val="single" w:sz="8" w:space="0" w:color="000000"/>
              <w:right w:val="single" w:sz="8" w:space="0" w:color="000000"/>
            </w:tcBorders>
            <w:hideMark/>
          </w:tcPr>
          <w:p w:rsidR="00290AB7" w:rsidRDefault="00290AB7" w:rsidP="00290AB7">
            <w:pPr>
              <w:numPr>
                <w:ilvl w:val="0"/>
                <w:numId w:val="23"/>
              </w:numPr>
              <w:tabs>
                <w:tab w:val="num" w:pos="0"/>
              </w:tabs>
              <w:suppressAutoHyphens/>
              <w:ind w:left="298" w:hanging="298"/>
              <w:rPr>
                <w:rFonts w:cs="Calibri"/>
                <w:kern w:val="2"/>
                <w:sz w:val="18"/>
                <w:szCs w:val="20"/>
                <w:lang w:eastAsia="hi-IN" w:bidi="hi-IN"/>
              </w:rPr>
            </w:pPr>
            <w:r>
              <w:rPr>
                <w:rFonts w:cs="Calibri"/>
                <w:kern w:val="2"/>
                <w:sz w:val="18"/>
                <w:szCs w:val="20"/>
                <w:lang w:eastAsia="hi-IN" w:bidi="hi-IN"/>
              </w:rPr>
              <w:t>stworzenie systemu szybkiego analizowania i prognozowania sytuacji w mieście i obszarach zdegradowanych w oparciu o</w:t>
            </w:r>
            <w:r w:rsidR="008F207E">
              <w:rPr>
                <w:rFonts w:cs="Calibri"/>
                <w:kern w:val="2"/>
                <w:sz w:val="18"/>
                <w:szCs w:val="20"/>
                <w:lang w:eastAsia="hi-IN" w:bidi="hi-IN"/>
              </w:rPr>
              <w:t> </w:t>
            </w:r>
            <w:r>
              <w:rPr>
                <w:rFonts w:cs="Calibri"/>
                <w:kern w:val="2"/>
                <w:sz w:val="18"/>
                <w:szCs w:val="20"/>
                <w:lang w:eastAsia="hi-IN" w:bidi="hi-IN"/>
              </w:rPr>
              <w:t>zidentyfikowane drivery – wykorzystanie opracowanej z</w:t>
            </w:r>
            <w:r w:rsidR="008F207E">
              <w:rPr>
                <w:rFonts w:cs="Calibri"/>
                <w:kern w:val="2"/>
                <w:sz w:val="18"/>
                <w:szCs w:val="20"/>
                <w:lang w:eastAsia="hi-IN" w:bidi="hi-IN"/>
              </w:rPr>
              <w:t> </w:t>
            </w:r>
            <w:r>
              <w:rPr>
                <w:rFonts w:cs="Calibri"/>
                <w:kern w:val="2"/>
                <w:sz w:val="18"/>
                <w:szCs w:val="20"/>
                <w:lang w:eastAsia="hi-IN" w:bidi="hi-IN"/>
              </w:rPr>
              <w:t>udziałem ekspertów macierzy powiązań krzyżowych (jako wynik konsensusu co do wydarzeń przełomowych, stanowiących si</w:t>
            </w:r>
            <w:r w:rsidR="008F207E">
              <w:rPr>
                <w:rFonts w:cs="Calibri"/>
                <w:kern w:val="2"/>
                <w:sz w:val="18"/>
                <w:szCs w:val="20"/>
                <w:lang w:eastAsia="hi-IN" w:bidi="hi-IN"/>
              </w:rPr>
              <w:t>ły napędowe przyszłego rozwoju),</w:t>
            </w:r>
          </w:p>
          <w:p w:rsidR="00290AB7" w:rsidRDefault="00290AB7" w:rsidP="006E5CC3">
            <w:pPr>
              <w:numPr>
                <w:ilvl w:val="0"/>
                <w:numId w:val="23"/>
              </w:numPr>
              <w:tabs>
                <w:tab w:val="num" w:pos="0"/>
              </w:tabs>
              <w:suppressAutoHyphens/>
              <w:ind w:left="298" w:hanging="298"/>
              <w:rPr>
                <w:rFonts w:cs="Calibri"/>
                <w:kern w:val="2"/>
                <w:sz w:val="18"/>
                <w:szCs w:val="20"/>
                <w:lang w:eastAsia="hi-IN" w:bidi="hi-IN"/>
              </w:rPr>
            </w:pPr>
            <w:r>
              <w:rPr>
                <w:rFonts w:cs="Calibri"/>
                <w:kern w:val="2"/>
                <w:sz w:val="18"/>
                <w:szCs w:val="20"/>
                <w:lang w:eastAsia="hi-IN" w:bidi="hi-IN"/>
              </w:rPr>
              <w:t>cykliczne spotkania z</w:t>
            </w:r>
            <w:r w:rsidR="006E5CC3">
              <w:rPr>
                <w:rFonts w:cs="Calibri"/>
                <w:kern w:val="2"/>
                <w:sz w:val="18"/>
                <w:szCs w:val="20"/>
                <w:lang w:eastAsia="hi-IN" w:bidi="hi-IN"/>
              </w:rPr>
              <w:t> </w:t>
            </w:r>
            <w:r>
              <w:rPr>
                <w:rFonts w:cs="Calibri"/>
                <w:kern w:val="2"/>
                <w:sz w:val="18"/>
                <w:szCs w:val="20"/>
                <w:lang w:eastAsia="hi-IN" w:bidi="hi-IN"/>
              </w:rPr>
              <w:t xml:space="preserve">mieszkańcami </w:t>
            </w:r>
            <w:r w:rsidR="008E2146">
              <w:rPr>
                <w:rFonts w:cs="Calibri"/>
                <w:kern w:val="2"/>
                <w:sz w:val="18"/>
                <w:szCs w:val="20"/>
                <w:lang w:eastAsia="hi-IN" w:bidi="hi-IN"/>
              </w:rPr>
              <w:t>pod</w:t>
            </w:r>
            <w:r>
              <w:rPr>
                <w:rFonts w:cs="Calibri"/>
                <w:kern w:val="2"/>
                <w:sz w:val="18"/>
                <w:szCs w:val="20"/>
                <w:lang w:eastAsia="hi-IN" w:bidi="hi-IN"/>
              </w:rPr>
              <w:t xml:space="preserve">obszarów </w:t>
            </w:r>
            <w:r w:rsidR="008E2146">
              <w:rPr>
                <w:rFonts w:cs="Calibri"/>
                <w:kern w:val="2"/>
                <w:sz w:val="18"/>
                <w:szCs w:val="20"/>
                <w:lang w:eastAsia="hi-IN" w:bidi="hi-IN"/>
              </w:rPr>
              <w:t>rewitalizacji</w:t>
            </w:r>
            <w:r>
              <w:rPr>
                <w:rFonts w:cs="Calibri"/>
                <w:kern w:val="2"/>
                <w:sz w:val="18"/>
                <w:szCs w:val="20"/>
                <w:lang w:eastAsia="hi-IN" w:bidi="hi-IN"/>
              </w:rPr>
              <w:t xml:space="preserve"> w celu identyfikacji z</w:t>
            </w:r>
            <w:r w:rsidR="008F207E">
              <w:rPr>
                <w:rFonts w:cs="Calibri"/>
                <w:kern w:val="2"/>
                <w:sz w:val="18"/>
                <w:szCs w:val="20"/>
                <w:lang w:eastAsia="hi-IN" w:bidi="hi-IN"/>
              </w:rPr>
              <w:t>jawisk uznawanych za przełomowe</w:t>
            </w:r>
            <w:r w:rsidR="00A417D0">
              <w:rPr>
                <w:rFonts w:cs="Calibri"/>
                <w:kern w:val="2"/>
                <w:sz w:val="18"/>
                <w:szCs w:val="20"/>
                <w:lang w:eastAsia="hi-IN" w:bidi="hi-IN"/>
              </w:rPr>
              <w:t>.</w:t>
            </w:r>
          </w:p>
        </w:tc>
      </w:tr>
      <w:tr w:rsidR="00290AB7" w:rsidTr="009F0F90">
        <w:tc>
          <w:tcPr>
            <w:tcW w:w="2518" w:type="dxa"/>
            <w:tcBorders>
              <w:top w:val="single" w:sz="8" w:space="0" w:color="000000"/>
              <w:left w:val="single" w:sz="8" w:space="0" w:color="000000"/>
              <w:bottom w:val="single" w:sz="8" w:space="0" w:color="000000"/>
              <w:right w:val="single" w:sz="8" w:space="0" w:color="000000"/>
            </w:tcBorders>
            <w:shd w:val="clear" w:color="auto" w:fill="DDD9C3" w:themeFill="background2" w:themeFillShade="E6"/>
            <w:hideMark/>
          </w:tcPr>
          <w:p w:rsidR="00290AB7" w:rsidRDefault="00290AB7" w:rsidP="0020326F">
            <w:pPr>
              <w:tabs>
                <w:tab w:val="left" w:pos="720"/>
              </w:tabs>
              <w:suppressAutoHyphens/>
              <w:rPr>
                <w:rFonts w:cs="Calibri"/>
                <w:b/>
                <w:bCs/>
                <w:kern w:val="2"/>
                <w:sz w:val="18"/>
                <w:szCs w:val="20"/>
                <w:lang w:eastAsia="hi-IN" w:bidi="hi-IN"/>
              </w:rPr>
            </w:pPr>
            <w:r>
              <w:rPr>
                <w:rFonts w:cs="Calibri"/>
                <w:b/>
                <w:bCs/>
                <w:kern w:val="2"/>
                <w:sz w:val="18"/>
                <w:szCs w:val="20"/>
                <w:lang w:eastAsia="hi-IN" w:bidi="hi-IN"/>
              </w:rPr>
              <w:t>Ryzyko strukturalne</w:t>
            </w:r>
          </w:p>
        </w:tc>
        <w:tc>
          <w:tcPr>
            <w:tcW w:w="3686" w:type="dxa"/>
            <w:tcBorders>
              <w:top w:val="single" w:sz="8" w:space="0" w:color="000000"/>
              <w:left w:val="single" w:sz="8" w:space="0" w:color="000000"/>
              <w:bottom w:val="single" w:sz="8" w:space="0" w:color="000000"/>
              <w:right w:val="single" w:sz="8" w:space="0" w:color="000000"/>
            </w:tcBorders>
            <w:hideMark/>
          </w:tcPr>
          <w:p w:rsidR="00290AB7" w:rsidRDefault="00290AB7" w:rsidP="00290AB7">
            <w:pPr>
              <w:numPr>
                <w:ilvl w:val="0"/>
                <w:numId w:val="23"/>
              </w:numPr>
              <w:tabs>
                <w:tab w:val="num" w:pos="0"/>
              </w:tabs>
              <w:suppressAutoHyphens/>
              <w:ind w:left="222" w:hanging="222"/>
              <w:rPr>
                <w:rFonts w:cs="Calibri"/>
                <w:kern w:val="2"/>
                <w:sz w:val="18"/>
                <w:szCs w:val="20"/>
                <w:lang w:eastAsia="hi-IN" w:bidi="hi-IN"/>
              </w:rPr>
            </w:pPr>
            <w:r>
              <w:rPr>
                <w:rFonts w:cs="Calibri"/>
                <w:kern w:val="2"/>
                <w:sz w:val="18"/>
                <w:szCs w:val="20"/>
                <w:lang w:eastAsia="hi-IN" w:bidi="hi-IN"/>
              </w:rPr>
              <w:t>powierzenie funkcji Koordynatora programowego ds. Rewitalizacji I Zastępcy Prezydenta Miasta,</w:t>
            </w:r>
          </w:p>
          <w:p w:rsidR="00290AB7" w:rsidRDefault="00290AB7" w:rsidP="00290AB7">
            <w:pPr>
              <w:numPr>
                <w:ilvl w:val="0"/>
                <w:numId w:val="23"/>
              </w:numPr>
              <w:tabs>
                <w:tab w:val="num" w:pos="0"/>
              </w:tabs>
              <w:suppressAutoHyphens/>
              <w:ind w:left="222" w:hanging="222"/>
              <w:rPr>
                <w:rFonts w:cs="Calibri"/>
                <w:kern w:val="2"/>
                <w:sz w:val="18"/>
                <w:szCs w:val="20"/>
                <w:lang w:eastAsia="hi-IN" w:bidi="hi-IN"/>
              </w:rPr>
            </w:pPr>
            <w:r>
              <w:rPr>
                <w:rFonts w:cs="Calibri"/>
                <w:kern w:val="2"/>
                <w:sz w:val="18"/>
                <w:szCs w:val="20"/>
                <w:lang w:eastAsia="hi-IN" w:bidi="hi-IN"/>
              </w:rPr>
              <w:t>stworzenie Zespołu ds. Wdrażania Projektów GPR odpowiedzialnego za realizację projektów,</w:t>
            </w:r>
          </w:p>
          <w:p w:rsidR="00290AB7" w:rsidRDefault="00290AB7" w:rsidP="00290AB7">
            <w:pPr>
              <w:numPr>
                <w:ilvl w:val="0"/>
                <w:numId w:val="23"/>
              </w:numPr>
              <w:tabs>
                <w:tab w:val="num" w:pos="0"/>
              </w:tabs>
              <w:suppressAutoHyphens/>
              <w:ind w:left="222" w:hanging="222"/>
              <w:rPr>
                <w:rFonts w:cs="Calibri"/>
                <w:kern w:val="2"/>
                <w:sz w:val="18"/>
                <w:szCs w:val="20"/>
                <w:lang w:eastAsia="hi-IN" w:bidi="hi-IN"/>
              </w:rPr>
            </w:pPr>
            <w:r>
              <w:rPr>
                <w:rFonts w:cs="Calibri"/>
                <w:kern w:val="2"/>
                <w:sz w:val="18"/>
                <w:szCs w:val="20"/>
                <w:lang w:eastAsia="hi-IN" w:bidi="hi-IN"/>
              </w:rPr>
              <w:t>stworzenie w UM specjalnej ścieżki realizacji projektów rewitalizacyjnych,</w:t>
            </w:r>
          </w:p>
          <w:p w:rsidR="00290AB7" w:rsidRDefault="00290AB7" w:rsidP="00290AB7">
            <w:pPr>
              <w:numPr>
                <w:ilvl w:val="0"/>
                <w:numId w:val="23"/>
              </w:numPr>
              <w:tabs>
                <w:tab w:val="num" w:pos="0"/>
              </w:tabs>
              <w:suppressAutoHyphens/>
              <w:ind w:left="222" w:hanging="222"/>
              <w:rPr>
                <w:rFonts w:cs="Calibri"/>
                <w:kern w:val="2"/>
                <w:sz w:val="18"/>
                <w:szCs w:val="20"/>
                <w:lang w:eastAsia="hi-IN" w:bidi="hi-IN"/>
              </w:rPr>
            </w:pPr>
            <w:r>
              <w:rPr>
                <w:rFonts w:cs="Calibri"/>
                <w:kern w:val="2"/>
                <w:sz w:val="18"/>
                <w:szCs w:val="20"/>
                <w:lang w:eastAsia="hi-IN" w:bidi="hi-IN"/>
              </w:rPr>
              <w:t>stworzenie zbiorczego harmonogramu zadań w ramach wiązki projektów realizowanych w danym roku kalendarzowym,</w:t>
            </w:r>
          </w:p>
          <w:p w:rsidR="00290AB7" w:rsidRDefault="00290AB7" w:rsidP="00290AB7">
            <w:pPr>
              <w:numPr>
                <w:ilvl w:val="0"/>
                <w:numId w:val="23"/>
              </w:numPr>
              <w:tabs>
                <w:tab w:val="num" w:pos="0"/>
              </w:tabs>
              <w:suppressAutoHyphens/>
              <w:ind w:left="222" w:hanging="222"/>
              <w:rPr>
                <w:rFonts w:cs="Calibri"/>
                <w:kern w:val="2"/>
                <w:sz w:val="18"/>
                <w:szCs w:val="20"/>
                <w:lang w:eastAsia="hi-IN" w:bidi="hi-IN"/>
              </w:rPr>
            </w:pPr>
            <w:r>
              <w:rPr>
                <w:rFonts w:cs="Calibri"/>
                <w:kern w:val="2"/>
                <w:sz w:val="18"/>
                <w:szCs w:val="20"/>
                <w:lang w:eastAsia="hi-IN" w:bidi="hi-IN"/>
              </w:rPr>
              <w:t>stworzenie narzędzia informatycznego umożliwiającego pełną i bieżącą kontrolę realizacji zadań skład</w:t>
            </w:r>
            <w:r w:rsidR="008F207E">
              <w:rPr>
                <w:rFonts w:cs="Calibri"/>
                <w:kern w:val="2"/>
                <w:sz w:val="18"/>
                <w:szCs w:val="20"/>
                <w:lang w:eastAsia="hi-IN" w:bidi="hi-IN"/>
              </w:rPr>
              <w:t>ających się na wiązkę projektów</w:t>
            </w:r>
            <w:r w:rsidR="00A417D0">
              <w:rPr>
                <w:rFonts w:cs="Calibri"/>
                <w:kern w:val="2"/>
                <w:sz w:val="18"/>
                <w:szCs w:val="20"/>
                <w:lang w:eastAsia="hi-IN" w:bidi="hi-IN"/>
              </w:rPr>
              <w:t>.</w:t>
            </w:r>
          </w:p>
        </w:tc>
        <w:tc>
          <w:tcPr>
            <w:tcW w:w="3084" w:type="dxa"/>
            <w:tcBorders>
              <w:top w:val="single" w:sz="8" w:space="0" w:color="000000"/>
              <w:left w:val="single" w:sz="8" w:space="0" w:color="000000"/>
              <w:bottom w:val="single" w:sz="8" w:space="0" w:color="000000"/>
              <w:right w:val="single" w:sz="8" w:space="0" w:color="000000"/>
            </w:tcBorders>
            <w:hideMark/>
          </w:tcPr>
          <w:p w:rsidR="00290AB7" w:rsidRDefault="00290AB7" w:rsidP="00290AB7">
            <w:pPr>
              <w:numPr>
                <w:ilvl w:val="0"/>
                <w:numId w:val="23"/>
              </w:numPr>
              <w:tabs>
                <w:tab w:val="num" w:pos="0"/>
              </w:tabs>
              <w:suppressAutoHyphens/>
              <w:ind w:left="298" w:hanging="298"/>
              <w:rPr>
                <w:rFonts w:cs="Calibri"/>
                <w:kern w:val="2"/>
                <w:sz w:val="18"/>
                <w:szCs w:val="20"/>
                <w:lang w:eastAsia="hi-IN" w:bidi="hi-IN"/>
              </w:rPr>
            </w:pPr>
            <w:r>
              <w:rPr>
                <w:rFonts w:cs="Calibri"/>
                <w:kern w:val="2"/>
                <w:sz w:val="18"/>
                <w:szCs w:val="20"/>
                <w:lang w:eastAsia="hi-IN" w:bidi="hi-IN"/>
              </w:rPr>
              <w:t>identyfikacja barier dla rewitalizacji tworzonych przez regulacje lokalne,</w:t>
            </w:r>
          </w:p>
          <w:p w:rsidR="00290AB7" w:rsidRDefault="00290AB7" w:rsidP="00290AB7">
            <w:pPr>
              <w:numPr>
                <w:ilvl w:val="0"/>
                <w:numId w:val="23"/>
              </w:numPr>
              <w:tabs>
                <w:tab w:val="num" w:pos="0"/>
              </w:tabs>
              <w:suppressAutoHyphens/>
              <w:ind w:left="298" w:hanging="298"/>
              <w:rPr>
                <w:rFonts w:cs="Calibri"/>
                <w:kern w:val="2"/>
                <w:sz w:val="18"/>
                <w:szCs w:val="20"/>
                <w:lang w:eastAsia="hi-IN" w:bidi="hi-IN"/>
              </w:rPr>
            </w:pPr>
            <w:r>
              <w:rPr>
                <w:rFonts w:cs="Calibri"/>
                <w:kern w:val="2"/>
                <w:sz w:val="18"/>
                <w:szCs w:val="20"/>
                <w:lang w:eastAsia="hi-IN" w:bidi="hi-IN"/>
              </w:rPr>
              <w:t>rozpoznawanie barier kompetencyjnych i wsparcie w</w:t>
            </w:r>
            <w:r w:rsidR="00A417D0">
              <w:rPr>
                <w:rFonts w:cs="Calibri"/>
                <w:kern w:val="2"/>
                <w:sz w:val="18"/>
                <w:szCs w:val="20"/>
                <w:lang w:eastAsia="hi-IN" w:bidi="hi-IN"/>
              </w:rPr>
              <w:t> </w:t>
            </w:r>
            <w:r>
              <w:rPr>
                <w:rFonts w:cs="Calibri"/>
                <w:kern w:val="2"/>
                <w:sz w:val="18"/>
                <w:szCs w:val="20"/>
                <w:lang w:eastAsia="hi-IN" w:bidi="hi-IN"/>
              </w:rPr>
              <w:t>wypełnianiu luk kompetencyjnych,</w:t>
            </w:r>
          </w:p>
          <w:p w:rsidR="00290AB7" w:rsidRDefault="00290AB7" w:rsidP="008F207E">
            <w:pPr>
              <w:numPr>
                <w:ilvl w:val="0"/>
                <w:numId w:val="23"/>
              </w:numPr>
              <w:tabs>
                <w:tab w:val="num" w:pos="0"/>
              </w:tabs>
              <w:suppressAutoHyphens/>
              <w:ind w:left="298" w:hanging="298"/>
              <w:rPr>
                <w:rFonts w:cs="Calibri"/>
                <w:kern w:val="2"/>
                <w:sz w:val="18"/>
                <w:szCs w:val="20"/>
                <w:lang w:eastAsia="hi-IN" w:bidi="hi-IN"/>
              </w:rPr>
            </w:pPr>
            <w:r>
              <w:rPr>
                <w:rFonts w:cs="Calibri"/>
                <w:kern w:val="2"/>
                <w:sz w:val="18"/>
                <w:szCs w:val="20"/>
                <w:lang w:eastAsia="hi-IN" w:bidi="hi-IN"/>
              </w:rPr>
              <w:t>utrzymywanie kontaktu przez Zespół ds. Wdrażania Projektów GPR z podmiotami lokalnymi (zwłaszcza z sek</w:t>
            </w:r>
            <w:r w:rsidR="008F207E">
              <w:rPr>
                <w:rFonts w:cs="Calibri"/>
                <w:kern w:val="2"/>
                <w:sz w:val="18"/>
                <w:szCs w:val="20"/>
                <w:lang w:eastAsia="hi-IN" w:bidi="hi-IN"/>
              </w:rPr>
              <w:t>tora społecznego i biznesowego)</w:t>
            </w:r>
            <w:r w:rsidR="00A417D0">
              <w:rPr>
                <w:rFonts w:cs="Calibri"/>
                <w:kern w:val="2"/>
                <w:sz w:val="18"/>
                <w:szCs w:val="20"/>
                <w:lang w:eastAsia="hi-IN" w:bidi="hi-IN"/>
              </w:rPr>
              <w:t>.</w:t>
            </w:r>
          </w:p>
        </w:tc>
      </w:tr>
    </w:tbl>
    <w:p w:rsidR="00290AB7" w:rsidRDefault="00290AB7" w:rsidP="00290AB7">
      <w:pPr>
        <w:suppressAutoHyphens/>
        <w:jc w:val="both"/>
        <w:rPr>
          <w:rFonts w:eastAsia="Lucida Sans Unicode" w:cs="Calibri"/>
          <w:i/>
          <w:kern w:val="2"/>
          <w:szCs w:val="20"/>
          <w:lang w:eastAsia="hi-IN" w:bidi="hi-IN"/>
        </w:rPr>
      </w:pPr>
      <w:r>
        <w:rPr>
          <w:rFonts w:eastAsia="Lucida Sans Unicode" w:cs="Calibri"/>
          <w:i/>
          <w:kern w:val="2"/>
          <w:szCs w:val="20"/>
          <w:lang w:eastAsia="hi-IN" w:bidi="hi-IN"/>
        </w:rPr>
        <w:t xml:space="preserve">Źródło: </w:t>
      </w:r>
      <w:r w:rsidR="00377C6B">
        <w:rPr>
          <w:i/>
          <w:sz w:val="18"/>
          <w:szCs w:val="18"/>
        </w:rPr>
        <w:t>Opracowanie dr K. Wrana</w:t>
      </w:r>
    </w:p>
    <w:p w:rsidR="00290AB7" w:rsidRDefault="00290AB7" w:rsidP="00290AB7">
      <w:pPr>
        <w:suppressAutoHyphens/>
        <w:jc w:val="both"/>
        <w:rPr>
          <w:rFonts w:cs="Mangal"/>
          <w:kern w:val="2"/>
          <w:szCs w:val="20"/>
          <w:lang w:eastAsia="hi-IN" w:bidi="hi-IN"/>
        </w:rPr>
      </w:pPr>
    </w:p>
    <w:p w:rsidR="00290AB7" w:rsidRDefault="00290AB7" w:rsidP="00290AB7">
      <w:pPr>
        <w:suppressAutoHyphens/>
        <w:jc w:val="both"/>
        <w:rPr>
          <w:rFonts w:cs="Mangal"/>
          <w:kern w:val="2"/>
          <w:szCs w:val="20"/>
          <w:lang w:eastAsia="hi-IN" w:bidi="hi-IN"/>
        </w:rPr>
      </w:pPr>
      <w:r>
        <w:rPr>
          <w:rFonts w:cs="Mangal"/>
          <w:kern w:val="2"/>
          <w:szCs w:val="20"/>
          <w:lang w:eastAsia="hi-IN" w:bidi="hi-IN"/>
        </w:rPr>
        <w:t>Reasumując, zbiór proponowanych w powyższej tabeli działań ma na celu:</w:t>
      </w:r>
    </w:p>
    <w:p w:rsidR="00290AB7" w:rsidRDefault="00290AB7" w:rsidP="00DC4369">
      <w:pPr>
        <w:numPr>
          <w:ilvl w:val="0"/>
          <w:numId w:val="85"/>
        </w:numPr>
        <w:suppressAutoHyphens/>
        <w:spacing w:before="120"/>
        <w:ind w:left="714" w:hanging="357"/>
        <w:jc w:val="both"/>
        <w:rPr>
          <w:rFonts w:cs="Calibri"/>
          <w:kern w:val="2"/>
          <w:szCs w:val="20"/>
          <w:lang w:eastAsia="hi-IN" w:bidi="hi-IN"/>
        </w:rPr>
      </w:pPr>
      <w:r>
        <w:rPr>
          <w:rFonts w:cs="Calibri"/>
          <w:kern w:val="2"/>
          <w:szCs w:val="20"/>
          <w:lang w:eastAsia="hi-IN" w:bidi="hi-IN"/>
        </w:rPr>
        <w:t>eliminowanie błędów na etapie formułowania GPR,</w:t>
      </w:r>
    </w:p>
    <w:p w:rsidR="00290AB7" w:rsidRDefault="00290AB7" w:rsidP="00DC4369">
      <w:pPr>
        <w:numPr>
          <w:ilvl w:val="0"/>
          <w:numId w:val="85"/>
        </w:numPr>
        <w:suppressAutoHyphens/>
        <w:ind w:left="714" w:hanging="357"/>
        <w:jc w:val="both"/>
        <w:rPr>
          <w:rFonts w:cs="Calibri"/>
          <w:kern w:val="2"/>
          <w:szCs w:val="20"/>
          <w:lang w:eastAsia="hi-IN" w:bidi="hi-IN"/>
        </w:rPr>
      </w:pPr>
      <w:r>
        <w:rPr>
          <w:rFonts w:cs="Calibri"/>
          <w:kern w:val="2"/>
          <w:szCs w:val="20"/>
          <w:lang w:eastAsia="hi-IN" w:bidi="hi-IN"/>
        </w:rPr>
        <w:t>regulowanie procesu wdrażania GPR przy wykorzystaniu procedur partnerstwa,</w:t>
      </w:r>
    </w:p>
    <w:p w:rsidR="00290AB7" w:rsidRDefault="00290AB7" w:rsidP="00DC4369">
      <w:pPr>
        <w:numPr>
          <w:ilvl w:val="0"/>
          <w:numId w:val="85"/>
        </w:numPr>
        <w:suppressAutoHyphens/>
        <w:ind w:left="714" w:hanging="357"/>
        <w:jc w:val="both"/>
        <w:rPr>
          <w:rFonts w:cs="Calibri"/>
          <w:kern w:val="2"/>
          <w:szCs w:val="20"/>
          <w:lang w:eastAsia="hi-IN" w:bidi="hi-IN"/>
        </w:rPr>
      </w:pPr>
      <w:r>
        <w:rPr>
          <w:rFonts w:cs="Calibri"/>
          <w:kern w:val="2"/>
          <w:szCs w:val="20"/>
          <w:lang w:eastAsia="hi-IN" w:bidi="hi-IN"/>
        </w:rPr>
        <w:t>stałe podtrzymywanie współpracy z różnymi środowiskami lokalnymi,</w:t>
      </w:r>
    </w:p>
    <w:p w:rsidR="00290AB7" w:rsidRDefault="00290AB7" w:rsidP="00DC4369">
      <w:pPr>
        <w:numPr>
          <w:ilvl w:val="0"/>
          <w:numId w:val="85"/>
        </w:numPr>
        <w:suppressAutoHyphens/>
        <w:ind w:left="714" w:hanging="357"/>
        <w:jc w:val="both"/>
        <w:rPr>
          <w:rFonts w:cs="Calibri"/>
          <w:kern w:val="2"/>
          <w:szCs w:val="20"/>
          <w:lang w:eastAsia="hi-IN" w:bidi="hi-IN"/>
        </w:rPr>
      </w:pPr>
      <w:r>
        <w:rPr>
          <w:rFonts w:cs="Calibri"/>
          <w:kern w:val="2"/>
          <w:szCs w:val="20"/>
          <w:lang w:eastAsia="hi-IN" w:bidi="hi-IN"/>
        </w:rPr>
        <w:t>zapobieganie sytuacji deficytu zasobów,</w:t>
      </w:r>
    </w:p>
    <w:p w:rsidR="00290AB7" w:rsidRDefault="00290AB7" w:rsidP="00DC4369">
      <w:pPr>
        <w:numPr>
          <w:ilvl w:val="0"/>
          <w:numId w:val="85"/>
        </w:numPr>
        <w:suppressAutoHyphens/>
        <w:ind w:left="714" w:hanging="357"/>
        <w:jc w:val="both"/>
        <w:rPr>
          <w:rFonts w:cs="Calibri"/>
          <w:kern w:val="2"/>
          <w:szCs w:val="20"/>
          <w:lang w:eastAsia="hi-IN" w:bidi="hi-IN"/>
        </w:rPr>
      </w:pPr>
      <w:r>
        <w:rPr>
          <w:rFonts w:cs="Calibri"/>
          <w:kern w:val="2"/>
          <w:szCs w:val="20"/>
          <w:lang w:eastAsia="hi-IN" w:bidi="hi-IN"/>
        </w:rPr>
        <w:t>eliminowanie konfliktów między podmiotami,</w:t>
      </w:r>
    </w:p>
    <w:p w:rsidR="00290AB7" w:rsidRDefault="00290AB7" w:rsidP="00DC4369">
      <w:pPr>
        <w:numPr>
          <w:ilvl w:val="0"/>
          <w:numId w:val="85"/>
        </w:numPr>
        <w:suppressAutoHyphens/>
        <w:ind w:left="714" w:hanging="357"/>
        <w:jc w:val="both"/>
        <w:rPr>
          <w:rFonts w:cs="Calibri"/>
          <w:kern w:val="2"/>
          <w:szCs w:val="20"/>
          <w:lang w:eastAsia="hi-IN" w:bidi="hi-IN"/>
        </w:rPr>
      </w:pPr>
      <w:r>
        <w:rPr>
          <w:rFonts w:cs="Calibri"/>
          <w:kern w:val="2"/>
          <w:szCs w:val="20"/>
          <w:lang w:eastAsia="hi-IN" w:bidi="hi-IN"/>
        </w:rPr>
        <w:t>eliminowanie kolizji między poszczególnymi działaniami, a także między GPR a innymi dokumentami lokalnymi,</w:t>
      </w:r>
    </w:p>
    <w:p w:rsidR="00290AB7" w:rsidRDefault="00290AB7" w:rsidP="00DC4369">
      <w:pPr>
        <w:numPr>
          <w:ilvl w:val="0"/>
          <w:numId w:val="85"/>
        </w:numPr>
        <w:suppressAutoHyphens/>
        <w:ind w:left="714" w:hanging="357"/>
        <w:jc w:val="both"/>
        <w:rPr>
          <w:rFonts w:cs="Calibri"/>
          <w:kern w:val="2"/>
          <w:szCs w:val="20"/>
          <w:lang w:eastAsia="hi-IN" w:bidi="hi-IN"/>
        </w:rPr>
      </w:pPr>
      <w:r>
        <w:rPr>
          <w:rFonts w:cs="Calibri"/>
          <w:kern w:val="2"/>
          <w:szCs w:val="20"/>
          <w:lang w:eastAsia="hi-IN" w:bidi="hi-IN"/>
        </w:rPr>
        <w:t>dostosowanie rezultatów rewitalizacji do realnych potrzeb mieszkańców.</w:t>
      </w:r>
    </w:p>
    <w:p w:rsidR="00290AB7" w:rsidRDefault="00290AB7" w:rsidP="00290AB7">
      <w:pPr>
        <w:suppressAutoHyphens/>
        <w:jc w:val="both"/>
        <w:rPr>
          <w:rFonts w:cs="Mangal"/>
          <w:kern w:val="2"/>
          <w:szCs w:val="20"/>
          <w:lang w:eastAsia="hi-IN" w:bidi="hi-IN"/>
        </w:rPr>
      </w:pPr>
    </w:p>
    <w:p w:rsidR="00290AB7" w:rsidRDefault="00290AB7" w:rsidP="00290AB7">
      <w:pPr>
        <w:suppressAutoHyphens/>
        <w:jc w:val="both"/>
        <w:rPr>
          <w:rFonts w:eastAsia="Lucida Sans Unicode" w:cs="Mangal"/>
          <w:b/>
          <w:kern w:val="2"/>
          <w:szCs w:val="20"/>
          <w:lang w:eastAsia="hi-IN" w:bidi="hi-IN"/>
        </w:rPr>
      </w:pPr>
      <w:r>
        <w:rPr>
          <w:rFonts w:eastAsia="Lucida Sans Unicode" w:cs="Mangal"/>
          <w:b/>
          <w:kern w:val="2"/>
          <w:szCs w:val="20"/>
          <w:lang w:eastAsia="hi-IN" w:bidi="hi-IN"/>
        </w:rPr>
        <w:t>Przejrzystość i odpowiedzialność publiczna za wdrożenie GPR</w:t>
      </w:r>
    </w:p>
    <w:p w:rsidR="00290AB7" w:rsidRDefault="00290AB7" w:rsidP="00B00CFA">
      <w:pPr>
        <w:suppressAutoHyphens/>
        <w:spacing w:after="60"/>
        <w:ind w:firstLine="709"/>
        <w:jc w:val="both"/>
        <w:rPr>
          <w:rFonts w:eastAsia="Lucida Sans Unicode" w:cs="Mangal"/>
          <w:kern w:val="2"/>
          <w:szCs w:val="20"/>
          <w:lang w:eastAsia="hi-IN" w:bidi="hi-IN"/>
        </w:rPr>
      </w:pPr>
      <w:r>
        <w:rPr>
          <w:rFonts w:eastAsia="Lucida Sans Unicode" w:cs="Mangal"/>
          <w:kern w:val="2"/>
          <w:szCs w:val="20"/>
          <w:lang w:eastAsia="hi-IN" w:bidi="hi-IN"/>
        </w:rPr>
        <w:t xml:space="preserve">Sensem i zarazem najważniejszą cechą </w:t>
      </w:r>
      <w:r w:rsidR="0017230A">
        <w:rPr>
          <w:rFonts w:eastAsia="Lucida Sans Unicode" w:cs="Mangal"/>
          <w:kern w:val="2"/>
          <w:szCs w:val="20"/>
          <w:lang w:eastAsia="hi-IN" w:bidi="hi-IN"/>
        </w:rPr>
        <w:t>„</w:t>
      </w:r>
      <w:r>
        <w:rPr>
          <w:rFonts w:eastAsia="Lucida Sans Unicode" w:cs="Mangal"/>
          <w:kern w:val="2"/>
          <w:szCs w:val="20"/>
          <w:lang w:eastAsia="hi-IN" w:bidi="hi-IN"/>
        </w:rPr>
        <w:t>Gminnego Programu Rewitalizacji</w:t>
      </w:r>
      <w:r w:rsidR="008E2146">
        <w:rPr>
          <w:rFonts w:eastAsia="Lucida Sans Unicode" w:cs="Mangal"/>
          <w:kern w:val="2"/>
          <w:szCs w:val="20"/>
          <w:lang w:eastAsia="hi-IN" w:bidi="hi-IN"/>
        </w:rPr>
        <w:t>. Bytom 2020+</w:t>
      </w:r>
      <w:r w:rsidR="0017230A">
        <w:rPr>
          <w:rFonts w:eastAsia="Lucida Sans Unicode" w:cs="Mangal"/>
          <w:kern w:val="2"/>
          <w:szCs w:val="20"/>
          <w:lang w:eastAsia="hi-IN" w:bidi="hi-IN"/>
        </w:rPr>
        <w:t>”</w:t>
      </w:r>
      <w:r>
        <w:rPr>
          <w:rFonts w:eastAsia="Lucida Sans Unicode" w:cs="Mangal"/>
          <w:kern w:val="2"/>
          <w:szCs w:val="20"/>
          <w:lang w:eastAsia="hi-IN" w:bidi="hi-IN"/>
        </w:rPr>
        <w:t xml:space="preserve"> jest jego ścisłe powiązanie ze zmieniającymi się potrzebami społeczności lokalnych. Pierwszym etapem służącym zapewnieniu przejrzystości GPR oraz przygotowaniem do wdrożenia tego dokumentu w zgodzie z zasadą odpowiedzialności publicznej stał się rozbudowany proces partnerskiego przygotowania Programu. Dołożono wszelkich starań, aby </w:t>
      </w:r>
      <w:r w:rsidR="0017230A">
        <w:rPr>
          <w:rFonts w:eastAsia="Lucida Sans Unicode" w:cs="Mangal"/>
          <w:kern w:val="2"/>
          <w:szCs w:val="20"/>
          <w:lang w:eastAsia="hi-IN" w:bidi="hi-IN"/>
        </w:rPr>
        <w:t>„</w:t>
      </w:r>
      <w:r>
        <w:rPr>
          <w:rFonts w:eastAsia="Lucida Sans Unicode" w:cs="Mangal"/>
          <w:kern w:val="2"/>
          <w:szCs w:val="20"/>
          <w:lang w:eastAsia="hi-IN" w:bidi="hi-IN"/>
        </w:rPr>
        <w:t>Gminny Program Rewitalizacji</w:t>
      </w:r>
      <w:r w:rsidR="008E2146">
        <w:rPr>
          <w:rFonts w:eastAsia="Lucida Sans Unicode" w:cs="Mangal"/>
          <w:kern w:val="2"/>
          <w:szCs w:val="20"/>
          <w:lang w:eastAsia="hi-IN" w:bidi="hi-IN"/>
        </w:rPr>
        <w:t>. Bytom 2020+</w:t>
      </w:r>
      <w:r w:rsidR="0017230A">
        <w:rPr>
          <w:rFonts w:eastAsia="Lucida Sans Unicode" w:cs="Mangal"/>
          <w:kern w:val="2"/>
          <w:szCs w:val="20"/>
          <w:lang w:eastAsia="hi-IN" w:bidi="hi-IN"/>
        </w:rPr>
        <w:t>”</w:t>
      </w:r>
      <w:r>
        <w:rPr>
          <w:rFonts w:eastAsia="Lucida Sans Unicode" w:cs="Mangal"/>
          <w:kern w:val="2"/>
          <w:szCs w:val="20"/>
          <w:lang w:eastAsia="hi-IN" w:bidi="hi-IN"/>
        </w:rPr>
        <w:t xml:space="preserve"> był dokumentem:</w:t>
      </w:r>
    </w:p>
    <w:p w:rsidR="00DC4369" w:rsidRDefault="00290AB7" w:rsidP="00DC4369">
      <w:pPr>
        <w:numPr>
          <w:ilvl w:val="0"/>
          <w:numId w:val="24"/>
        </w:numPr>
        <w:suppressAutoHyphens/>
        <w:ind w:left="714" w:hanging="357"/>
        <w:jc w:val="both"/>
        <w:rPr>
          <w:rFonts w:eastAsia="Lucida Sans Unicode" w:cs="Calibri"/>
          <w:kern w:val="2"/>
          <w:szCs w:val="20"/>
          <w:lang w:eastAsia="hi-IN" w:bidi="hi-IN"/>
        </w:rPr>
      </w:pPr>
      <w:r>
        <w:rPr>
          <w:rFonts w:eastAsia="Lucida Sans Unicode" w:cs="Calibri"/>
          <w:kern w:val="2"/>
          <w:szCs w:val="20"/>
          <w:lang w:eastAsia="hi-IN" w:bidi="hi-IN"/>
        </w:rPr>
        <w:t>dotykającym problemów realnych, czytelnych dla mieszkańców obszarów zdegradowanych przeznaczonych do rewitalizacji, poruszającym się w zakresie merytorycznym, który w sposób rzeczywisty jest ważny dla podmiotów lokalnych,</w:t>
      </w:r>
    </w:p>
    <w:p w:rsidR="00290AB7" w:rsidRPr="00DC4369" w:rsidRDefault="00290AB7" w:rsidP="00DC4369">
      <w:pPr>
        <w:numPr>
          <w:ilvl w:val="0"/>
          <w:numId w:val="24"/>
        </w:numPr>
        <w:suppressAutoHyphens/>
        <w:ind w:left="714" w:hanging="357"/>
        <w:jc w:val="both"/>
        <w:rPr>
          <w:rFonts w:eastAsia="Lucida Sans Unicode" w:cs="Calibri"/>
          <w:kern w:val="2"/>
          <w:szCs w:val="20"/>
          <w:lang w:eastAsia="hi-IN" w:bidi="hi-IN"/>
        </w:rPr>
      </w:pPr>
      <w:r w:rsidRPr="00DC4369">
        <w:rPr>
          <w:rFonts w:eastAsia="Lucida Sans Unicode" w:cs="Calibri"/>
          <w:kern w:val="2"/>
          <w:szCs w:val="20"/>
          <w:lang w:eastAsia="hi-IN" w:bidi="hi-IN"/>
        </w:rPr>
        <w:t>przejrzystym w swojej formie, a więc atrakcyjnym graficznie oraz zrozumiałym pod względem językowym dla podmiotów, które są bezpośrednio zainteresowane jego wdrażaniem</w:t>
      </w:r>
      <w:r>
        <w:rPr>
          <w:rFonts w:eastAsia="Lucida Sans Unicode" w:cs="Calibri"/>
          <w:kern w:val="2"/>
          <w:szCs w:val="20"/>
          <w:vertAlign w:val="superscript"/>
          <w:lang w:eastAsia="hi-IN" w:bidi="hi-IN"/>
        </w:rPr>
        <w:footnoteReference w:id="45"/>
      </w:r>
      <w:r w:rsidRPr="00DC4369">
        <w:rPr>
          <w:rFonts w:eastAsia="Lucida Sans Unicode" w:cs="Calibri"/>
          <w:kern w:val="2"/>
          <w:szCs w:val="20"/>
          <w:lang w:eastAsia="hi-IN" w:bidi="hi-IN"/>
        </w:rPr>
        <w:t>.</w:t>
      </w:r>
    </w:p>
    <w:p w:rsidR="00290AB7" w:rsidRDefault="00290AB7" w:rsidP="001C628A">
      <w:pPr>
        <w:suppressAutoHyphens/>
        <w:ind w:firstLine="708"/>
        <w:jc w:val="both"/>
        <w:rPr>
          <w:rFonts w:eastAsia="Lucida Sans Unicode" w:cs="Mangal"/>
          <w:kern w:val="2"/>
          <w:szCs w:val="20"/>
          <w:lang w:eastAsia="hi-IN" w:bidi="hi-IN"/>
        </w:rPr>
      </w:pPr>
      <w:r>
        <w:rPr>
          <w:rFonts w:eastAsia="Lucida Sans Unicode" w:cs="Mangal"/>
          <w:kern w:val="2"/>
          <w:szCs w:val="20"/>
          <w:lang w:eastAsia="hi-IN" w:bidi="hi-IN"/>
        </w:rPr>
        <w:t>Samorząd Miasta Bytomia organizując prace nad sformułowaniem tego dokumentu, jak również tworząc podstawy systemu jego wdrażania kierował się zasadami szerokiej partycypacji społecznej oraz powszechnym dostępem do informacji o realizowanych i planowanych pracach. W tym sensie, Gminny Program Rewitalizacji jest z jednej strony kontynuacją podejścia, które w mieście jest powszechnie wykorzystywane przy wdrażaniu innych dokumentów strategiczny</w:t>
      </w:r>
      <w:r w:rsidR="001C628A">
        <w:rPr>
          <w:rFonts w:eastAsia="Lucida Sans Unicode" w:cs="Mangal"/>
          <w:kern w:val="2"/>
          <w:szCs w:val="20"/>
          <w:lang w:eastAsia="hi-IN" w:bidi="hi-IN"/>
        </w:rPr>
        <w:t xml:space="preserve">ch, a z drugiej strony stanowi </w:t>
      </w:r>
      <w:r>
        <w:rPr>
          <w:rFonts w:eastAsia="Lucida Sans Unicode" w:cs="Mangal"/>
          <w:kern w:val="2"/>
          <w:szCs w:val="20"/>
          <w:lang w:eastAsia="hi-IN" w:bidi="hi-IN"/>
        </w:rPr>
        <w:t>wyraźny krok w kierunku pogłębiania i</w:t>
      </w:r>
      <w:r w:rsidR="00487458">
        <w:rPr>
          <w:rFonts w:eastAsia="Lucida Sans Unicode" w:cs="Mangal"/>
          <w:kern w:val="2"/>
          <w:szCs w:val="20"/>
          <w:lang w:eastAsia="hi-IN" w:bidi="hi-IN"/>
        </w:rPr>
        <w:t> </w:t>
      </w:r>
      <w:r>
        <w:rPr>
          <w:rFonts w:eastAsia="Lucida Sans Unicode" w:cs="Mangal"/>
          <w:kern w:val="2"/>
          <w:szCs w:val="20"/>
          <w:lang w:eastAsia="hi-IN" w:bidi="hi-IN"/>
        </w:rPr>
        <w:t>rozwijania metod partycypacyjnych.</w:t>
      </w:r>
    </w:p>
    <w:p w:rsidR="00290AB7" w:rsidRDefault="00290AB7" w:rsidP="00290AB7">
      <w:pPr>
        <w:suppressAutoHyphens/>
        <w:jc w:val="both"/>
        <w:rPr>
          <w:rFonts w:eastAsia="Lucida Sans Unicode" w:cs="Mangal"/>
          <w:kern w:val="2"/>
          <w:szCs w:val="20"/>
          <w:lang w:eastAsia="hi-IN" w:bidi="hi-IN"/>
        </w:rPr>
      </w:pPr>
    </w:p>
    <w:p w:rsidR="00290AB7" w:rsidRDefault="00290AB7" w:rsidP="00AF3309">
      <w:pPr>
        <w:suppressAutoHyphens/>
        <w:ind w:firstLine="708"/>
        <w:jc w:val="both"/>
        <w:rPr>
          <w:rFonts w:eastAsia="Lucida Sans Unicode" w:cs="Mangal"/>
          <w:kern w:val="2"/>
          <w:szCs w:val="20"/>
          <w:lang w:eastAsia="hi-IN" w:bidi="hi-IN"/>
        </w:rPr>
      </w:pPr>
      <w:r>
        <w:rPr>
          <w:rFonts w:eastAsia="Lucida Sans Unicode" w:cs="Mangal"/>
          <w:kern w:val="2"/>
          <w:szCs w:val="20"/>
          <w:lang w:eastAsia="hi-IN" w:bidi="hi-IN"/>
        </w:rPr>
        <w:t>Główne założenie dotyczące bytomskiego Gminnego Programu Rewitalizacji w kontekście odpowiedzialności publicznej można wyrazić w następującym zdaniu:</w:t>
      </w:r>
    </w:p>
    <w:p w:rsidR="00227363" w:rsidRDefault="00227363" w:rsidP="00AF3309">
      <w:pPr>
        <w:suppressAutoHyphens/>
        <w:ind w:firstLine="708"/>
        <w:jc w:val="both"/>
        <w:rPr>
          <w:rFonts w:eastAsia="Lucida Sans Unicode" w:cs="Mangal"/>
          <w:kern w:val="2"/>
          <w:szCs w:val="20"/>
          <w:lang w:eastAsia="hi-IN" w:bidi="hi-IN"/>
        </w:rPr>
      </w:pPr>
    </w:p>
    <w:p w:rsidR="00290AB7" w:rsidRPr="00227363" w:rsidRDefault="00290AB7" w:rsidP="00421A9C">
      <w:pPr>
        <w:shd w:val="clear" w:color="auto" w:fill="99CCFF"/>
        <w:suppressAutoHyphens/>
        <w:spacing w:line="276" w:lineRule="auto"/>
        <w:jc w:val="center"/>
        <w:rPr>
          <w:rFonts w:eastAsia="Lucida Sans Unicode" w:cs="Mangal"/>
          <w:smallCaps/>
          <w:kern w:val="2"/>
          <w:sz w:val="23"/>
          <w:szCs w:val="23"/>
          <w:lang w:eastAsia="hi-IN" w:bidi="hi-IN"/>
        </w:rPr>
      </w:pPr>
      <w:r w:rsidRPr="00227363">
        <w:rPr>
          <w:rFonts w:eastAsia="Lucida Sans Unicode" w:cs="Mangal"/>
          <w:b/>
          <w:bCs/>
          <w:smallCaps/>
          <w:kern w:val="2"/>
          <w:sz w:val="23"/>
          <w:szCs w:val="23"/>
          <w:lang w:eastAsia="hi-IN" w:bidi="hi-IN"/>
        </w:rPr>
        <w:t xml:space="preserve">Gminny Program Rewitalizacji.  Bytom 2020+ jest wynikiem </w:t>
      </w:r>
      <w:r w:rsidRPr="00227363">
        <w:rPr>
          <w:rFonts w:eastAsia="Lucida Sans Unicode" w:cs="Mangal"/>
          <w:b/>
          <w:bCs/>
          <w:smallCaps/>
          <w:kern w:val="2"/>
          <w:sz w:val="23"/>
          <w:szCs w:val="23"/>
          <w:lang w:eastAsia="hi-IN" w:bidi="hi-IN"/>
        </w:rPr>
        <w:br/>
        <w:t xml:space="preserve">wypracowanego przy udziale władz lokalnych </w:t>
      </w:r>
      <w:r w:rsidRPr="00227363">
        <w:rPr>
          <w:rFonts w:eastAsia="Lucida Sans Unicode" w:cs="Mangal"/>
          <w:b/>
          <w:bCs/>
          <w:smallCaps/>
          <w:kern w:val="2"/>
          <w:sz w:val="23"/>
          <w:szCs w:val="23"/>
          <w:lang w:eastAsia="hi-IN" w:bidi="hi-IN"/>
        </w:rPr>
        <w:br/>
        <w:t xml:space="preserve">porozumienia między członkami społeczności lokalnej </w:t>
      </w:r>
      <w:r w:rsidRPr="00227363">
        <w:rPr>
          <w:rFonts w:eastAsia="Lucida Sans Unicode" w:cs="Mangal"/>
          <w:b/>
          <w:bCs/>
          <w:smallCaps/>
          <w:kern w:val="2"/>
          <w:sz w:val="23"/>
          <w:szCs w:val="23"/>
          <w:lang w:eastAsia="hi-IN" w:bidi="hi-IN"/>
        </w:rPr>
        <w:br/>
        <w:t xml:space="preserve">oraz przymierzem zawartym między członkami społeczności lokalnej a władzami lokalnymi </w:t>
      </w:r>
      <w:r w:rsidRPr="00227363">
        <w:rPr>
          <w:rFonts w:eastAsia="Lucida Sans Unicode" w:cs="Mangal"/>
          <w:b/>
          <w:bCs/>
          <w:smallCaps/>
          <w:kern w:val="2"/>
          <w:sz w:val="23"/>
          <w:szCs w:val="23"/>
          <w:lang w:eastAsia="hi-IN" w:bidi="hi-IN"/>
        </w:rPr>
        <w:br/>
        <w:t xml:space="preserve">na rzecz rozwiązywania problemów utrudniających rozwój obszarów zdegradowanych </w:t>
      </w:r>
      <w:r w:rsidRPr="00227363">
        <w:rPr>
          <w:rFonts w:eastAsia="Lucida Sans Unicode" w:cs="Mangal"/>
          <w:b/>
          <w:bCs/>
          <w:smallCaps/>
          <w:kern w:val="2"/>
          <w:sz w:val="23"/>
          <w:szCs w:val="23"/>
          <w:lang w:eastAsia="hi-IN" w:bidi="hi-IN"/>
        </w:rPr>
        <w:br/>
        <w:t>i różnych grup społecznych związanych z tymi obszarami.</w:t>
      </w:r>
    </w:p>
    <w:p w:rsidR="00290AB7" w:rsidRDefault="00290AB7" w:rsidP="00290AB7">
      <w:pPr>
        <w:suppressAutoHyphens/>
        <w:jc w:val="both"/>
        <w:rPr>
          <w:rFonts w:eastAsia="Lucida Sans Unicode" w:cs="Mangal"/>
          <w:kern w:val="2"/>
          <w:szCs w:val="20"/>
          <w:lang w:eastAsia="hi-IN" w:bidi="hi-IN"/>
        </w:rPr>
      </w:pPr>
    </w:p>
    <w:p w:rsidR="00290AB7" w:rsidRDefault="004B5839" w:rsidP="004B5839">
      <w:pPr>
        <w:suppressAutoHyphens/>
        <w:jc w:val="both"/>
        <w:rPr>
          <w:rFonts w:eastAsia="Lucida Sans Unicode" w:cs="Mangal"/>
          <w:kern w:val="2"/>
          <w:szCs w:val="20"/>
          <w:lang w:eastAsia="hi-IN" w:bidi="hi-IN"/>
        </w:rPr>
      </w:pPr>
      <w:r>
        <w:rPr>
          <w:rFonts w:eastAsia="Lucida Sans Unicode" w:cs="Mangal"/>
          <w:kern w:val="2"/>
          <w:szCs w:val="20"/>
          <w:lang w:eastAsia="hi-IN" w:bidi="hi-IN"/>
        </w:rPr>
        <w:tab/>
      </w:r>
      <w:r w:rsidR="00290AB7">
        <w:rPr>
          <w:rFonts w:eastAsia="Lucida Sans Unicode" w:cs="Mangal"/>
          <w:kern w:val="2"/>
          <w:szCs w:val="20"/>
          <w:lang w:eastAsia="hi-IN" w:bidi="hi-IN"/>
        </w:rPr>
        <w:t>W szczególności, w trakcie formułowania dokumentu wykorzystano zróżnicowane narzędzia na rzecz: przekazywania i pozyskiwania informacji oraz budowania konsensusu społecznego wokół procesu rewitalizacji.</w:t>
      </w:r>
    </w:p>
    <w:p w:rsidR="00290AB7" w:rsidRDefault="00290AB7" w:rsidP="00290AB7">
      <w:pPr>
        <w:suppressAutoHyphens/>
        <w:jc w:val="both"/>
        <w:rPr>
          <w:rFonts w:eastAsia="Lucida Sans Unicode" w:cs="Mangal"/>
          <w:kern w:val="2"/>
          <w:szCs w:val="20"/>
          <w:lang w:eastAsia="hi-IN" w:bidi="hi-IN"/>
        </w:rPr>
      </w:pPr>
    </w:p>
    <w:p w:rsidR="00290AB7" w:rsidRDefault="00290AB7" w:rsidP="004B5839">
      <w:pPr>
        <w:spacing w:after="40"/>
        <w:jc w:val="both"/>
        <w:rPr>
          <w:b/>
        </w:rPr>
      </w:pPr>
      <w:bookmarkStart w:id="9179" w:name="_Toc467761916"/>
      <w:bookmarkStart w:id="9180" w:name="_Toc474925076"/>
      <w:r>
        <w:rPr>
          <w:b/>
        </w:rPr>
        <w:t>Schemat</w:t>
      </w:r>
      <w:r w:rsidR="005F1134">
        <w:rPr>
          <w:b/>
        </w:rPr>
        <w:t> </w:t>
      </w:r>
      <w:r w:rsidR="003972D8">
        <w:rPr>
          <w:b/>
        </w:rPr>
        <w:fldChar w:fldCharType="begin"/>
      </w:r>
      <w:r>
        <w:rPr>
          <w:b/>
        </w:rPr>
        <w:instrText xml:space="preserve"> SEQ Schemat \* ARABIC </w:instrText>
      </w:r>
      <w:r w:rsidR="003972D8">
        <w:rPr>
          <w:b/>
        </w:rPr>
        <w:fldChar w:fldCharType="separate"/>
      </w:r>
      <w:r w:rsidR="00413FFE">
        <w:rPr>
          <w:b/>
          <w:noProof/>
        </w:rPr>
        <w:t>12</w:t>
      </w:r>
      <w:r w:rsidR="003972D8">
        <w:rPr>
          <w:b/>
        </w:rPr>
        <w:fldChar w:fldCharType="end"/>
      </w:r>
      <w:r w:rsidR="005F1134">
        <w:rPr>
          <w:b/>
        </w:rPr>
        <w:t>. </w:t>
      </w:r>
      <w:r>
        <w:rPr>
          <w:b/>
        </w:rPr>
        <w:t>Podstawowy zakres merytoryczny prac realizowanych w partnerstwie ze społecznościami lokalnymi na etapie formułowania GPR</w:t>
      </w:r>
      <w:bookmarkEnd w:id="9179"/>
      <w:bookmarkEnd w:id="9180"/>
    </w:p>
    <w:p w:rsidR="00290AB7" w:rsidRDefault="00DC4369" w:rsidP="00290AB7">
      <w:pPr>
        <w:spacing w:line="360" w:lineRule="auto"/>
        <w:jc w:val="both"/>
      </w:pPr>
      <w:r w:rsidRPr="00DC4369">
        <w:rPr>
          <w:noProof/>
        </w:rPr>
        <w:drawing>
          <wp:inline distT="0" distB="0" distL="0" distR="0">
            <wp:extent cx="5481955" cy="3105150"/>
            <wp:effectExtent l="38100" t="0" r="23495" b="0"/>
            <wp:docPr id="106" name="Diagram 1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9" r:lo="rId160" r:qs="rId161" r:cs="rId162"/>
              </a:graphicData>
            </a:graphic>
          </wp:inline>
        </w:drawing>
      </w:r>
    </w:p>
    <w:p w:rsidR="00DC4369" w:rsidRDefault="00DC4369" w:rsidP="00AF3309">
      <w:pPr>
        <w:jc w:val="both"/>
      </w:pPr>
      <w:r w:rsidRPr="00AE60D5">
        <w:rPr>
          <w:rFonts w:ascii="Calibri" w:eastAsia="Lucida Sans Unicode" w:hAnsi="Calibri" w:cs="Calibri"/>
          <w:i/>
          <w:kern w:val="2"/>
          <w:sz w:val="18"/>
          <w:szCs w:val="20"/>
          <w:lang w:eastAsia="hi-IN" w:bidi="hi-IN"/>
        </w:rPr>
        <w:t xml:space="preserve">Źródło: </w:t>
      </w:r>
      <w:r w:rsidR="00377C6B">
        <w:rPr>
          <w:i/>
          <w:sz w:val="18"/>
          <w:szCs w:val="18"/>
        </w:rPr>
        <w:t>Opracowanie dr K. Wrana</w:t>
      </w:r>
    </w:p>
    <w:p w:rsidR="00AF3309" w:rsidRDefault="00AF3309" w:rsidP="00290AB7">
      <w:pPr>
        <w:suppressAutoHyphens/>
        <w:ind w:firstLine="708"/>
        <w:jc w:val="both"/>
        <w:rPr>
          <w:rFonts w:eastAsia="Lucida Sans Unicode" w:cs="Mangal"/>
          <w:kern w:val="2"/>
          <w:szCs w:val="20"/>
          <w:lang w:eastAsia="hi-IN" w:bidi="hi-IN"/>
        </w:rPr>
      </w:pPr>
    </w:p>
    <w:p w:rsidR="00A518D3" w:rsidRDefault="00290AB7" w:rsidP="00290AB7">
      <w:pPr>
        <w:suppressAutoHyphens/>
        <w:ind w:firstLine="708"/>
        <w:jc w:val="both"/>
        <w:rPr>
          <w:rFonts w:cs="Calibri"/>
        </w:rPr>
      </w:pPr>
      <w:r>
        <w:rPr>
          <w:rFonts w:eastAsia="Lucida Sans Unicode" w:cs="Mangal"/>
          <w:kern w:val="2"/>
          <w:szCs w:val="20"/>
          <w:lang w:eastAsia="hi-IN" w:bidi="hi-IN"/>
        </w:rPr>
        <w:t>W trakcie prac nad GPR starano się dotrzeć do możliwie dużej liczby mieszkańców. Takie starania będą również podtrzymywane w trakcie wdrażania oraz ewentualnej aktualizacji GPR. Jest to podyktowane spostrzeżeniami, które poczynione zostały na etapie formułowania programu, a które określić można mianem wyzwań związanych z włączeniem mieszkańców do procesu rewitalizacji. Bez sprostania tym wyzwaniom realizacja założeń o przejrzystości i odpowiedzialności publicznej będzie niemożliwa.</w:t>
      </w:r>
    </w:p>
    <w:p w:rsidR="00B00CFA" w:rsidRDefault="00B00CFA">
      <w:pPr>
        <w:rPr>
          <w:rFonts w:ascii="Calibri" w:hAnsi="Calibri"/>
          <w:b/>
          <w:bCs/>
          <w:color w:val="3366FF"/>
          <w:kern w:val="32"/>
          <w:sz w:val="32"/>
          <w:szCs w:val="32"/>
        </w:rPr>
      </w:pPr>
      <w:r>
        <w:br w:type="page"/>
      </w:r>
    </w:p>
    <w:p w:rsidR="00A82117" w:rsidRPr="007553D1" w:rsidRDefault="00A82117" w:rsidP="005A3841">
      <w:pPr>
        <w:pStyle w:val="Nagwek1"/>
        <w:spacing w:before="0"/>
      </w:pPr>
      <w:bookmarkStart w:id="9181" w:name="_Toc474924988"/>
      <w:r>
        <w:t>SPIS ILUSTRACJI</w:t>
      </w:r>
      <w:bookmarkEnd w:id="9181"/>
    </w:p>
    <w:p w:rsidR="00B80F21" w:rsidRDefault="003972D8">
      <w:pPr>
        <w:pStyle w:val="Spisilustracji"/>
        <w:tabs>
          <w:tab w:val="right" w:leader="dot" w:pos="9060"/>
        </w:tabs>
        <w:rPr>
          <w:rFonts w:asciiTheme="minorHAnsi" w:eastAsiaTheme="minorEastAsia" w:hAnsiTheme="minorHAnsi" w:cstheme="minorBidi"/>
          <w:noProof/>
          <w:sz w:val="22"/>
          <w:szCs w:val="22"/>
          <w:lang w:eastAsia="pl-PL"/>
        </w:rPr>
      </w:pPr>
      <w:r w:rsidRPr="003972D8">
        <w:rPr>
          <w:rFonts w:asciiTheme="minorHAnsi" w:hAnsiTheme="minorHAnsi"/>
          <w:szCs w:val="20"/>
        </w:rPr>
        <w:fldChar w:fldCharType="begin"/>
      </w:r>
      <w:r w:rsidR="00A82117" w:rsidRPr="007553D1">
        <w:rPr>
          <w:rFonts w:asciiTheme="minorHAnsi" w:hAnsiTheme="minorHAnsi"/>
          <w:szCs w:val="20"/>
        </w:rPr>
        <w:instrText xml:space="preserve"> TOC \h \z \c "Ilustracja" </w:instrText>
      </w:r>
      <w:r w:rsidRPr="003972D8">
        <w:rPr>
          <w:rFonts w:asciiTheme="minorHAnsi" w:hAnsiTheme="minorHAnsi"/>
          <w:szCs w:val="20"/>
        </w:rPr>
        <w:fldChar w:fldCharType="separate"/>
      </w:r>
      <w:hyperlink w:anchor="_Toc474924994" w:history="1">
        <w:r w:rsidR="00B80F21" w:rsidRPr="0059410E">
          <w:rPr>
            <w:rStyle w:val="Hipercze"/>
            <w:noProof/>
          </w:rPr>
          <w:t>Ilustracja 1. Wizualizacja dworca</w:t>
        </w:r>
        <w:r w:rsidR="00B80F21">
          <w:rPr>
            <w:noProof/>
            <w:webHidden/>
          </w:rPr>
          <w:tab/>
        </w:r>
        <w:r>
          <w:rPr>
            <w:noProof/>
            <w:webHidden/>
          </w:rPr>
          <w:fldChar w:fldCharType="begin"/>
        </w:r>
        <w:r w:rsidR="00B80F21">
          <w:rPr>
            <w:noProof/>
            <w:webHidden/>
          </w:rPr>
          <w:instrText xml:space="preserve"> PAGEREF _Toc474924994 \h </w:instrText>
        </w:r>
        <w:r>
          <w:rPr>
            <w:noProof/>
            <w:webHidden/>
          </w:rPr>
        </w:r>
        <w:r>
          <w:rPr>
            <w:noProof/>
            <w:webHidden/>
          </w:rPr>
          <w:fldChar w:fldCharType="separate"/>
        </w:r>
        <w:r w:rsidR="00413FFE">
          <w:rPr>
            <w:noProof/>
            <w:webHidden/>
          </w:rPr>
          <w:t>28</w:t>
        </w:r>
        <w:r>
          <w:rPr>
            <w:noProof/>
            <w:webHidden/>
          </w:rPr>
          <w:fldChar w:fldCharType="end"/>
        </w:r>
      </w:hyperlink>
    </w:p>
    <w:p w:rsidR="00B80F21"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474924995" w:history="1">
        <w:r w:rsidR="00B80F21" w:rsidRPr="0059410E">
          <w:rPr>
            <w:rStyle w:val="Hipercze"/>
            <w:noProof/>
          </w:rPr>
          <w:t>Ilustracja 2. Kolonia Zgorzelec 10, 11</w:t>
        </w:r>
        <w:r w:rsidR="00B80F21">
          <w:rPr>
            <w:noProof/>
            <w:webHidden/>
          </w:rPr>
          <w:tab/>
        </w:r>
        <w:r>
          <w:rPr>
            <w:noProof/>
            <w:webHidden/>
          </w:rPr>
          <w:fldChar w:fldCharType="begin"/>
        </w:r>
        <w:r w:rsidR="00B80F21">
          <w:rPr>
            <w:noProof/>
            <w:webHidden/>
          </w:rPr>
          <w:instrText xml:space="preserve"> PAGEREF _Toc474924995 \h </w:instrText>
        </w:r>
        <w:r>
          <w:rPr>
            <w:noProof/>
            <w:webHidden/>
          </w:rPr>
        </w:r>
        <w:r>
          <w:rPr>
            <w:noProof/>
            <w:webHidden/>
          </w:rPr>
          <w:fldChar w:fldCharType="separate"/>
        </w:r>
        <w:r w:rsidR="00413FFE">
          <w:rPr>
            <w:noProof/>
            <w:webHidden/>
          </w:rPr>
          <w:t>88</w:t>
        </w:r>
        <w:r>
          <w:rPr>
            <w:noProof/>
            <w:webHidden/>
          </w:rPr>
          <w:fldChar w:fldCharType="end"/>
        </w:r>
      </w:hyperlink>
    </w:p>
    <w:p w:rsidR="00B80F21"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474924996" w:history="1">
        <w:r w:rsidR="00B80F21" w:rsidRPr="0059410E">
          <w:rPr>
            <w:rStyle w:val="Hipercze"/>
            <w:noProof/>
          </w:rPr>
          <w:t>Ilustracja 3. Kolonia Zgorzelec 12, 16</w:t>
        </w:r>
        <w:r w:rsidR="00B80F21">
          <w:rPr>
            <w:noProof/>
            <w:webHidden/>
          </w:rPr>
          <w:tab/>
        </w:r>
        <w:r>
          <w:rPr>
            <w:noProof/>
            <w:webHidden/>
          </w:rPr>
          <w:fldChar w:fldCharType="begin"/>
        </w:r>
        <w:r w:rsidR="00B80F21">
          <w:rPr>
            <w:noProof/>
            <w:webHidden/>
          </w:rPr>
          <w:instrText xml:space="preserve"> PAGEREF _Toc474924996 \h </w:instrText>
        </w:r>
        <w:r>
          <w:rPr>
            <w:noProof/>
            <w:webHidden/>
          </w:rPr>
        </w:r>
        <w:r>
          <w:rPr>
            <w:noProof/>
            <w:webHidden/>
          </w:rPr>
          <w:fldChar w:fldCharType="separate"/>
        </w:r>
        <w:r w:rsidR="00413FFE">
          <w:rPr>
            <w:noProof/>
            <w:webHidden/>
          </w:rPr>
          <w:t>89</w:t>
        </w:r>
        <w:r>
          <w:rPr>
            <w:noProof/>
            <w:webHidden/>
          </w:rPr>
          <w:fldChar w:fldCharType="end"/>
        </w:r>
      </w:hyperlink>
    </w:p>
    <w:p w:rsidR="00B80F21"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474924997" w:history="1">
        <w:r w:rsidR="00B80F21" w:rsidRPr="0059410E">
          <w:rPr>
            <w:rStyle w:val="Hipercze"/>
            <w:noProof/>
          </w:rPr>
          <w:t>Ilustracja 4. Kolonia Zgorzelec 31, 32</w:t>
        </w:r>
        <w:r w:rsidR="00B80F21">
          <w:rPr>
            <w:noProof/>
            <w:webHidden/>
          </w:rPr>
          <w:tab/>
        </w:r>
        <w:r>
          <w:rPr>
            <w:noProof/>
            <w:webHidden/>
          </w:rPr>
          <w:fldChar w:fldCharType="begin"/>
        </w:r>
        <w:r w:rsidR="00B80F21">
          <w:rPr>
            <w:noProof/>
            <w:webHidden/>
          </w:rPr>
          <w:instrText xml:space="preserve"> PAGEREF _Toc474924997 \h </w:instrText>
        </w:r>
        <w:r>
          <w:rPr>
            <w:noProof/>
            <w:webHidden/>
          </w:rPr>
        </w:r>
        <w:r>
          <w:rPr>
            <w:noProof/>
            <w:webHidden/>
          </w:rPr>
          <w:fldChar w:fldCharType="separate"/>
        </w:r>
        <w:r w:rsidR="00413FFE">
          <w:rPr>
            <w:noProof/>
            <w:webHidden/>
          </w:rPr>
          <w:t>89</w:t>
        </w:r>
        <w:r>
          <w:rPr>
            <w:noProof/>
            <w:webHidden/>
          </w:rPr>
          <w:fldChar w:fldCharType="end"/>
        </w:r>
      </w:hyperlink>
    </w:p>
    <w:p w:rsidR="00B80F21"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474924998" w:history="1">
        <w:r w:rsidR="00B80F21" w:rsidRPr="0059410E">
          <w:rPr>
            <w:rStyle w:val="Hipercze"/>
            <w:noProof/>
          </w:rPr>
          <w:t>Ilustracja 5. Kolonia Zgorzelec 26, 33</w:t>
        </w:r>
        <w:r w:rsidR="00B80F21">
          <w:rPr>
            <w:noProof/>
            <w:webHidden/>
          </w:rPr>
          <w:tab/>
        </w:r>
        <w:r>
          <w:rPr>
            <w:noProof/>
            <w:webHidden/>
          </w:rPr>
          <w:fldChar w:fldCharType="begin"/>
        </w:r>
        <w:r w:rsidR="00B80F21">
          <w:rPr>
            <w:noProof/>
            <w:webHidden/>
          </w:rPr>
          <w:instrText xml:space="preserve"> PAGEREF _Toc474924998 \h </w:instrText>
        </w:r>
        <w:r>
          <w:rPr>
            <w:noProof/>
            <w:webHidden/>
          </w:rPr>
        </w:r>
        <w:r>
          <w:rPr>
            <w:noProof/>
            <w:webHidden/>
          </w:rPr>
          <w:fldChar w:fldCharType="separate"/>
        </w:r>
        <w:r w:rsidR="00413FFE">
          <w:rPr>
            <w:noProof/>
            <w:webHidden/>
          </w:rPr>
          <w:t>89</w:t>
        </w:r>
        <w:r>
          <w:rPr>
            <w:noProof/>
            <w:webHidden/>
          </w:rPr>
          <w:fldChar w:fldCharType="end"/>
        </w:r>
      </w:hyperlink>
    </w:p>
    <w:p w:rsidR="00B80F21"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474924999" w:history="1">
        <w:r w:rsidR="00B80F21" w:rsidRPr="0059410E">
          <w:rPr>
            <w:rStyle w:val="Hipercze"/>
            <w:noProof/>
          </w:rPr>
          <w:t>Ilustracja 6. Kolonia Zgorzelec 34, 37</w:t>
        </w:r>
        <w:r w:rsidR="00B80F21">
          <w:rPr>
            <w:noProof/>
            <w:webHidden/>
          </w:rPr>
          <w:tab/>
        </w:r>
        <w:r>
          <w:rPr>
            <w:noProof/>
            <w:webHidden/>
          </w:rPr>
          <w:fldChar w:fldCharType="begin"/>
        </w:r>
        <w:r w:rsidR="00B80F21">
          <w:rPr>
            <w:noProof/>
            <w:webHidden/>
          </w:rPr>
          <w:instrText xml:space="preserve"> PAGEREF _Toc474924999 \h </w:instrText>
        </w:r>
        <w:r>
          <w:rPr>
            <w:noProof/>
            <w:webHidden/>
          </w:rPr>
        </w:r>
        <w:r>
          <w:rPr>
            <w:noProof/>
            <w:webHidden/>
          </w:rPr>
          <w:fldChar w:fldCharType="separate"/>
        </w:r>
        <w:r w:rsidR="00413FFE">
          <w:rPr>
            <w:noProof/>
            <w:webHidden/>
          </w:rPr>
          <w:t>89</w:t>
        </w:r>
        <w:r>
          <w:rPr>
            <w:noProof/>
            <w:webHidden/>
          </w:rPr>
          <w:fldChar w:fldCharType="end"/>
        </w:r>
      </w:hyperlink>
    </w:p>
    <w:p w:rsidR="00B80F21"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474925000" w:history="1">
        <w:r w:rsidR="00B80F21" w:rsidRPr="0059410E">
          <w:rPr>
            <w:rStyle w:val="Hipercze"/>
            <w:noProof/>
          </w:rPr>
          <w:t>Ilustracja 7. Ul. Piekarska 27, 43</w:t>
        </w:r>
        <w:r w:rsidR="00B80F21">
          <w:rPr>
            <w:noProof/>
            <w:webHidden/>
          </w:rPr>
          <w:tab/>
        </w:r>
        <w:r>
          <w:rPr>
            <w:noProof/>
            <w:webHidden/>
          </w:rPr>
          <w:fldChar w:fldCharType="begin"/>
        </w:r>
        <w:r w:rsidR="00B80F21">
          <w:rPr>
            <w:noProof/>
            <w:webHidden/>
          </w:rPr>
          <w:instrText xml:space="preserve"> PAGEREF _Toc474925000 \h </w:instrText>
        </w:r>
        <w:r>
          <w:rPr>
            <w:noProof/>
            <w:webHidden/>
          </w:rPr>
        </w:r>
        <w:r>
          <w:rPr>
            <w:noProof/>
            <w:webHidden/>
          </w:rPr>
          <w:fldChar w:fldCharType="separate"/>
        </w:r>
        <w:r w:rsidR="00413FFE">
          <w:rPr>
            <w:noProof/>
            <w:webHidden/>
          </w:rPr>
          <w:t>91</w:t>
        </w:r>
        <w:r>
          <w:rPr>
            <w:noProof/>
            <w:webHidden/>
          </w:rPr>
          <w:fldChar w:fldCharType="end"/>
        </w:r>
      </w:hyperlink>
    </w:p>
    <w:p w:rsidR="00B80F21"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474925001" w:history="1">
        <w:r w:rsidR="00B80F21" w:rsidRPr="0059410E">
          <w:rPr>
            <w:rStyle w:val="Hipercze"/>
            <w:noProof/>
          </w:rPr>
          <w:t>Ilustracja 8. Ul. Żeromskiego 32, 34-36</w:t>
        </w:r>
        <w:r w:rsidR="00B80F21">
          <w:rPr>
            <w:noProof/>
            <w:webHidden/>
          </w:rPr>
          <w:tab/>
        </w:r>
        <w:r>
          <w:rPr>
            <w:noProof/>
            <w:webHidden/>
          </w:rPr>
          <w:fldChar w:fldCharType="begin"/>
        </w:r>
        <w:r w:rsidR="00B80F21">
          <w:rPr>
            <w:noProof/>
            <w:webHidden/>
          </w:rPr>
          <w:instrText xml:space="preserve"> PAGEREF _Toc474925001 \h </w:instrText>
        </w:r>
        <w:r>
          <w:rPr>
            <w:noProof/>
            <w:webHidden/>
          </w:rPr>
        </w:r>
        <w:r>
          <w:rPr>
            <w:noProof/>
            <w:webHidden/>
          </w:rPr>
          <w:fldChar w:fldCharType="separate"/>
        </w:r>
        <w:r w:rsidR="00413FFE">
          <w:rPr>
            <w:noProof/>
            <w:webHidden/>
          </w:rPr>
          <w:t>91</w:t>
        </w:r>
        <w:r>
          <w:rPr>
            <w:noProof/>
            <w:webHidden/>
          </w:rPr>
          <w:fldChar w:fldCharType="end"/>
        </w:r>
      </w:hyperlink>
    </w:p>
    <w:p w:rsidR="00B80F21"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474925002" w:history="1">
        <w:r w:rsidR="00B80F21" w:rsidRPr="0059410E">
          <w:rPr>
            <w:rStyle w:val="Hipercze"/>
            <w:noProof/>
          </w:rPr>
          <w:t>Ilustracja 9. Ul. Piłsudskiego 15</w:t>
        </w:r>
        <w:r w:rsidR="00B80F21">
          <w:rPr>
            <w:noProof/>
            <w:webHidden/>
          </w:rPr>
          <w:tab/>
        </w:r>
        <w:r>
          <w:rPr>
            <w:noProof/>
            <w:webHidden/>
          </w:rPr>
          <w:fldChar w:fldCharType="begin"/>
        </w:r>
        <w:r w:rsidR="00B80F21">
          <w:rPr>
            <w:noProof/>
            <w:webHidden/>
          </w:rPr>
          <w:instrText xml:space="preserve"> PAGEREF _Toc474925002 \h </w:instrText>
        </w:r>
        <w:r>
          <w:rPr>
            <w:noProof/>
            <w:webHidden/>
          </w:rPr>
        </w:r>
        <w:r>
          <w:rPr>
            <w:noProof/>
            <w:webHidden/>
          </w:rPr>
          <w:fldChar w:fldCharType="separate"/>
        </w:r>
        <w:r w:rsidR="00413FFE">
          <w:rPr>
            <w:noProof/>
            <w:webHidden/>
          </w:rPr>
          <w:t>91</w:t>
        </w:r>
        <w:r>
          <w:rPr>
            <w:noProof/>
            <w:webHidden/>
          </w:rPr>
          <w:fldChar w:fldCharType="end"/>
        </w:r>
      </w:hyperlink>
    </w:p>
    <w:p w:rsidR="00B80F21"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474925003" w:history="1">
        <w:r w:rsidR="00B80F21" w:rsidRPr="0059410E">
          <w:rPr>
            <w:rStyle w:val="Hipercze"/>
            <w:noProof/>
          </w:rPr>
          <w:t>Ilustracja 10. Ul. Piłsudskiego 34, 38</w:t>
        </w:r>
        <w:r w:rsidR="00B80F21">
          <w:rPr>
            <w:noProof/>
            <w:webHidden/>
          </w:rPr>
          <w:tab/>
        </w:r>
        <w:r>
          <w:rPr>
            <w:noProof/>
            <w:webHidden/>
          </w:rPr>
          <w:fldChar w:fldCharType="begin"/>
        </w:r>
        <w:r w:rsidR="00B80F21">
          <w:rPr>
            <w:noProof/>
            <w:webHidden/>
          </w:rPr>
          <w:instrText xml:space="preserve"> PAGEREF _Toc474925003 \h </w:instrText>
        </w:r>
        <w:r>
          <w:rPr>
            <w:noProof/>
            <w:webHidden/>
          </w:rPr>
        </w:r>
        <w:r>
          <w:rPr>
            <w:noProof/>
            <w:webHidden/>
          </w:rPr>
          <w:fldChar w:fldCharType="separate"/>
        </w:r>
        <w:r w:rsidR="00413FFE">
          <w:rPr>
            <w:noProof/>
            <w:webHidden/>
          </w:rPr>
          <w:t>92</w:t>
        </w:r>
        <w:r>
          <w:rPr>
            <w:noProof/>
            <w:webHidden/>
          </w:rPr>
          <w:fldChar w:fldCharType="end"/>
        </w:r>
      </w:hyperlink>
    </w:p>
    <w:p w:rsidR="00B80F21"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474925004" w:history="1">
        <w:r w:rsidR="00B80F21" w:rsidRPr="0059410E">
          <w:rPr>
            <w:rStyle w:val="Hipercze"/>
            <w:noProof/>
          </w:rPr>
          <w:t>Ilustracja 11. Ul. Konstytucji 31a, ul. Piecucha 10</w:t>
        </w:r>
        <w:r w:rsidR="00B80F21">
          <w:rPr>
            <w:noProof/>
            <w:webHidden/>
          </w:rPr>
          <w:tab/>
        </w:r>
        <w:r>
          <w:rPr>
            <w:noProof/>
            <w:webHidden/>
          </w:rPr>
          <w:fldChar w:fldCharType="begin"/>
        </w:r>
        <w:r w:rsidR="00B80F21">
          <w:rPr>
            <w:noProof/>
            <w:webHidden/>
          </w:rPr>
          <w:instrText xml:space="preserve"> PAGEREF _Toc474925004 \h </w:instrText>
        </w:r>
        <w:r>
          <w:rPr>
            <w:noProof/>
            <w:webHidden/>
          </w:rPr>
        </w:r>
        <w:r>
          <w:rPr>
            <w:noProof/>
            <w:webHidden/>
          </w:rPr>
          <w:fldChar w:fldCharType="separate"/>
        </w:r>
        <w:r w:rsidR="00413FFE">
          <w:rPr>
            <w:noProof/>
            <w:webHidden/>
          </w:rPr>
          <w:t>92</w:t>
        </w:r>
        <w:r>
          <w:rPr>
            <w:noProof/>
            <w:webHidden/>
          </w:rPr>
          <w:fldChar w:fldCharType="end"/>
        </w:r>
      </w:hyperlink>
    </w:p>
    <w:p w:rsidR="00B80F21"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474925005" w:history="1">
        <w:r w:rsidR="00B80F21" w:rsidRPr="0059410E">
          <w:rPr>
            <w:rStyle w:val="Hipercze"/>
            <w:noProof/>
          </w:rPr>
          <w:t>Ilustracja 12. Ul. Katowicka 11-13, ul. Siemianowicka 16</w:t>
        </w:r>
        <w:r w:rsidR="00B80F21">
          <w:rPr>
            <w:noProof/>
            <w:webHidden/>
          </w:rPr>
          <w:tab/>
        </w:r>
        <w:r>
          <w:rPr>
            <w:noProof/>
            <w:webHidden/>
          </w:rPr>
          <w:fldChar w:fldCharType="begin"/>
        </w:r>
        <w:r w:rsidR="00B80F21">
          <w:rPr>
            <w:noProof/>
            <w:webHidden/>
          </w:rPr>
          <w:instrText xml:space="preserve"> PAGEREF _Toc474925005 \h </w:instrText>
        </w:r>
        <w:r>
          <w:rPr>
            <w:noProof/>
            <w:webHidden/>
          </w:rPr>
        </w:r>
        <w:r>
          <w:rPr>
            <w:noProof/>
            <w:webHidden/>
          </w:rPr>
          <w:fldChar w:fldCharType="separate"/>
        </w:r>
        <w:r w:rsidR="00413FFE">
          <w:rPr>
            <w:noProof/>
            <w:webHidden/>
          </w:rPr>
          <w:t>94</w:t>
        </w:r>
        <w:r>
          <w:rPr>
            <w:noProof/>
            <w:webHidden/>
          </w:rPr>
          <w:fldChar w:fldCharType="end"/>
        </w:r>
      </w:hyperlink>
    </w:p>
    <w:p w:rsidR="00B80F21"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474925006" w:history="1">
        <w:r w:rsidR="00B80F21" w:rsidRPr="0059410E">
          <w:rPr>
            <w:rStyle w:val="Hipercze"/>
            <w:noProof/>
          </w:rPr>
          <w:t>Ilustracja 13. Przestrzeń miejska: Plac Drzymały, Kolonia Zgorzelec 10, 11, 12, 13</w:t>
        </w:r>
        <w:r w:rsidR="00B80F21">
          <w:rPr>
            <w:noProof/>
            <w:webHidden/>
          </w:rPr>
          <w:tab/>
        </w:r>
        <w:r>
          <w:rPr>
            <w:noProof/>
            <w:webHidden/>
          </w:rPr>
          <w:fldChar w:fldCharType="begin"/>
        </w:r>
        <w:r w:rsidR="00B80F21">
          <w:rPr>
            <w:noProof/>
            <w:webHidden/>
          </w:rPr>
          <w:instrText xml:space="preserve"> PAGEREF _Toc474925006 \h </w:instrText>
        </w:r>
        <w:r>
          <w:rPr>
            <w:noProof/>
            <w:webHidden/>
          </w:rPr>
        </w:r>
        <w:r>
          <w:rPr>
            <w:noProof/>
            <w:webHidden/>
          </w:rPr>
          <w:fldChar w:fldCharType="separate"/>
        </w:r>
        <w:r w:rsidR="00413FFE">
          <w:rPr>
            <w:noProof/>
            <w:webHidden/>
          </w:rPr>
          <w:t>94</w:t>
        </w:r>
        <w:r>
          <w:rPr>
            <w:noProof/>
            <w:webHidden/>
          </w:rPr>
          <w:fldChar w:fldCharType="end"/>
        </w:r>
      </w:hyperlink>
    </w:p>
    <w:p w:rsidR="00B80F21"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474925007" w:history="1">
        <w:r w:rsidR="00B80F21" w:rsidRPr="0059410E">
          <w:rPr>
            <w:rStyle w:val="Hipercze"/>
            <w:noProof/>
          </w:rPr>
          <w:t>Ilustracja 14. Przestrzeń miejska: ul. Stalowa, ul. Stalowa – ul. Pasteura – ul. Piecucha</w:t>
        </w:r>
        <w:r w:rsidR="00B80F21">
          <w:rPr>
            <w:noProof/>
            <w:webHidden/>
          </w:rPr>
          <w:tab/>
        </w:r>
        <w:r>
          <w:rPr>
            <w:noProof/>
            <w:webHidden/>
          </w:rPr>
          <w:fldChar w:fldCharType="begin"/>
        </w:r>
        <w:r w:rsidR="00B80F21">
          <w:rPr>
            <w:noProof/>
            <w:webHidden/>
          </w:rPr>
          <w:instrText xml:space="preserve"> PAGEREF _Toc474925007 \h </w:instrText>
        </w:r>
        <w:r>
          <w:rPr>
            <w:noProof/>
            <w:webHidden/>
          </w:rPr>
        </w:r>
        <w:r>
          <w:rPr>
            <w:noProof/>
            <w:webHidden/>
          </w:rPr>
          <w:fldChar w:fldCharType="separate"/>
        </w:r>
        <w:r w:rsidR="00413FFE">
          <w:rPr>
            <w:noProof/>
            <w:webHidden/>
          </w:rPr>
          <w:t>94</w:t>
        </w:r>
        <w:r>
          <w:rPr>
            <w:noProof/>
            <w:webHidden/>
          </w:rPr>
          <w:fldChar w:fldCharType="end"/>
        </w:r>
      </w:hyperlink>
    </w:p>
    <w:p w:rsidR="00B80F21"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474925008" w:history="1">
        <w:r w:rsidR="00B80F21" w:rsidRPr="0059410E">
          <w:rPr>
            <w:rStyle w:val="Hipercze"/>
            <w:noProof/>
          </w:rPr>
          <w:t>Ilustracja 15. Przestrzeń miejska: ul. Piecucha – ul. Pasteura, Piłsudskiego 50</w:t>
        </w:r>
        <w:r w:rsidR="00B80F21">
          <w:rPr>
            <w:noProof/>
            <w:webHidden/>
          </w:rPr>
          <w:tab/>
        </w:r>
        <w:r>
          <w:rPr>
            <w:noProof/>
            <w:webHidden/>
          </w:rPr>
          <w:fldChar w:fldCharType="begin"/>
        </w:r>
        <w:r w:rsidR="00B80F21">
          <w:rPr>
            <w:noProof/>
            <w:webHidden/>
          </w:rPr>
          <w:instrText xml:space="preserve"> PAGEREF _Toc474925008 \h </w:instrText>
        </w:r>
        <w:r>
          <w:rPr>
            <w:noProof/>
            <w:webHidden/>
          </w:rPr>
        </w:r>
        <w:r>
          <w:rPr>
            <w:noProof/>
            <w:webHidden/>
          </w:rPr>
          <w:fldChar w:fldCharType="separate"/>
        </w:r>
        <w:r w:rsidR="00413FFE">
          <w:rPr>
            <w:noProof/>
            <w:webHidden/>
          </w:rPr>
          <w:t>94</w:t>
        </w:r>
        <w:r>
          <w:rPr>
            <w:noProof/>
            <w:webHidden/>
          </w:rPr>
          <w:fldChar w:fldCharType="end"/>
        </w:r>
      </w:hyperlink>
    </w:p>
    <w:p w:rsidR="00B80F21"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474925009" w:history="1">
        <w:r w:rsidR="00B80F21" w:rsidRPr="0059410E">
          <w:rPr>
            <w:rStyle w:val="Hipercze"/>
            <w:noProof/>
          </w:rPr>
          <w:t>Ilustracja 16. Przestrzeń miejska: Piekarska 39, Piłsudskiego 34-36</w:t>
        </w:r>
        <w:r w:rsidR="00B80F21">
          <w:rPr>
            <w:noProof/>
            <w:webHidden/>
          </w:rPr>
          <w:tab/>
        </w:r>
        <w:r>
          <w:rPr>
            <w:noProof/>
            <w:webHidden/>
          </w:rPr>
          <w:fldChar w:fldCharType="begin"/>
        </w:r>
        <w:r w:rsidR="00B80F21">
          <w:rPr>
            <w:noProof/>
            <w:webHidden/>
          </w:rPr>
          <w:instrText xml:space="preserve"> PAGEREF _Toc474925009 \h </w:instrText>
        </w:r>
        <w:r>
          <w:rPr>
            <w:noProof/>
            <w:webHidden/>
          </w:rPr>
        </w:r>
        <w:r>
          <w:rPr>
            <w:noProof/>
            <w:webHidden/>
          </w:rPr>
          <w:fldChar w:fldCharType="separate"/>
        </w:r>
        <w:r w:rsidR="00413FFE">
          <w:rPr>
            <w:noProof/>
            <w:webHidden/>
          </w:rPr>
          <w:t>95</w:t>
        </w:r>
        <w:r>
          <w:rPr>
            <w:noProof/>
            <w:webHidden/>
          </w:rPr>
          <w:fldChar w:fldCharType="end"/>
        </w:r>
      </w:hyperlink>
    </w:p>
    <w:p w:rsidR="00B80F21"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474925010" w:history="1">
        <w:r w:rsidR="00B80F21" w:rsidRPr="0059410E">
          <w:rPr>
            <w:rStyle w:val="Hipercze"/>
            <w:noProof/>
          </w:rPr>
          <w:t>Ilustracja 17. Przestrzeń miejska: ul. Jaronia – ul. Musialika, Plac Świętej Barbary – ul. Kochanowskiego</w:t>
        </w:r>
        <w:r w:rsidR="00B80F21">
          <w:rPr>
            <w:noProof/>
            <w:webHidden/>
          </w:rPr>
          <w:tab/>
        </w:r>
        <w:r>
          <w:rPr>
            <w:noProof/>
            <w:webHidden/>
          </w:rPr>
          <w:fldChar w:fldCharType="begin"/>
        </w:r>
        <w:r w:rsidR="00B80F21">
          <w:rPr>
            <w:noProof/>
            <w:webHidden/>
          </w:rPr>
          <w:instrText xml:space="preserve"> PAGEREF _Toc474925010 \h </w:instrText>
        </w:r>
        <w:r>
          <w:rPr>
            <w:noProof/>
            <w:webHidden/>
          </w:rPr>
        </w:r>
        <w:r>
          <w:rPr>
            <w:noProof/>
            <w:webHidden/>
          </w:rPr>
          <w:fldChar w:fldCharType="separate"/>
        </w:r>
        <w:r w:rsidR="00413FFE">
          <w:rPr>
            <w:noProof/>
            <w:webHidden/>
          </w:rPr>
          <w:t>95</w:t>
        </w:r>
        <w:r>
          <w:rPr>
            <w:noProof/>
            <w:webHidden/>
          </w:rPr>
          <w:fldChar w:fldCharType="end"/>
        </w:r>
      </w:hyperlink>
    </w:p>
    <w:p w:rsidR="00B80F21"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474925011" w:history="1">
        <w:r w:rsidR="00B80F21" w:rsidRPr="0059410E">
          <w:rPr>
            <w:rStyle w:val="Hipercze"/>
            <w:noProof/>
          </w:rPr>
          <w:t>Ilustracja 18. Przestrzeń miejska: ul. Królowej Jadwigi – ul. Reymonta, ul. Sienna</w:t>
        </w:r>
        <w:r w:rsidR="00B80F21">
          <w:rPr>
            <w:noProof/>
            <w:webHidden/>
          </w:rPr>
          <w:tab/>
        </w:r>
        <w:r>
          <w:rPr>
            <w:noProof/>
            <w:webHidden/>
          </w:rPr>
          <w:fldChar w:fldCharType="begin"/>
        </w:r>
        <w:r w:rsidR="00B80F21">
          <w:rPr>
            <w:noProof/>
            <w:webHidden/>
          </w:rPr>
          <w:instrText xml:space="preserve"> PAGEREF _Toc474925011 \h </w:instrText>
        </w:r>
        <w:r>
          <w:rPr>
            <w:noProof/>
            <w:webHidden/>
          </w:rPr>
        </w:r>
        <w:r>
          <w:rPr>
            <w:noProof/>
            <w:webHidden/>
          </w:rPr>
          <w:fldChar w:fldCharType="separate"/>
        </w:r>
        <w:r w:rsidR="00413FFE">
          <w:rPr>
            <w:noProof/>
            <w:webHidden/>
          </w:rPr>
          <w:t>95</w:t>
        </w:r>
        <w:r>
          <w:rPr>
            <w:noProof/>
            <w:webHidden/>
          </w:rPr>
          <w:fldChar w:fldCharType="end"/>
        </w:r>
      </w:hyperlink>
    </w:p>
    <w:p w:rsidR="00B80F21"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474925012" w:history="1">
        <w:r w:rsidR="00B80F21" w:rsidRPr="0059410E">
          <w:rPr>
            <w:rStyle w:val="Hipercze"/>
            <w:noProof/>
          </w:rPr>
          <w:t>Ilustracja 19. Przestrzeń miejska: ul. Musialika 3</w:t>
        </w:r>
        <w:r w:rsidR="00B80F21">
          <w:rPr>
            <w:noProof/>
            <w:webHidden/>
          </w:rPr>
          <w:tab/>
        </w:r>
        <w:r>
          <w:rPr>
            <w:noProof/>
            <w:webHidden/>
          </w:rPr>
          <w:fldChar w:fldCharType="begin"/>
        </w:r>
        <w:r w:rsidR="00B80F21">
          <w:rPr>
            <w:noProof/>
            <w:webHidden/>
          </w:rPr>
          <w:instrText xml:space="preserve"> PAGEREF _Toc474925012 \h </w:instrText>
        </w:r>
        <w:r>
          <w:rPr>
            <w:noProof/>
            <w:webHidden/>
          </w:rPr>
        </w:r>
        <w:r>
          <w:rPr>
            <w:noProof/>
            <w:webHidden/>
          </w:rPr>
          <w:fldChar w:fldCharType="separate"/>
        </w:r>
        <w:r w:rsidR="00413FFE">
          <w:rPr>
            <w:noProof/>
            <w:webHidden/>
          </w:rPr>
          <w:t>95</w:t>
        </w:r>
        <w:r>
          <w:rPr>
            <w:noProof/>
            <w:webHidden/>
          </w:rPr>
          <w:fldChar w:fldCharType="end"/>
        </w:r>
      </w:hyperlink>
    </w:p>
    <w:p w:rsidR="00B80F21"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474925013" w:history="1">
        <w:r w:rsidR="00B80F21" w:rsidRPr="0059410E">
          <w:rPr>
            <w:rStyle w:val="Hipercze"/>
            <w:noProof/>
          </w:rPr>
          <w:t>Ilustracja 20. Pałac Thiele-Wincklerów w Miechowicach</w:t>
        </w:r>
        <w:r w:rsidR="00B80F21">
          <w:rPr>
            <w:noProof/>
            <w:webHidden/>
          </w:rPr>
          <w:tab/>
        </w:r>
        <w:r>
          <w:rPr>
            <w:noProof/>
            <w:webHidden/>
          </w:rPr>
          <w:fldChar w:fldCharType="begin"/>
        </w:r>
        <w:r w:rsidR="00B80F21">
          <w:rPr>
            <w:noProof/>
            <w:webHidden/>
          </w:rPr>
          <w:instrText xml:space="preserve"> PAGEREF _Toc474925013 \h </w:instrText>
        </w:r>
        <w:r>
          <w:rPr>
            <w:noProof/>
            <w:webHidden/>
          </w:rPr>
        </w:r>
        <w:r>
          <w:rPr>
            <w:noProof/>
            <w:webHidden/>
          </w:rPr>
          <w:fldChar w:fldCharType="separate"/>
        </w:r>
        <w:r w:rsidR="00413FFE">
          <w:rPr>
            <w:noProof/>
            <w:webHidden/>
          </w:rPr>
          <w:t>111</w:t>
        </w:r>
        <w:r>
          <w:rPr>
            <w:noProof/>
            <w:webHidden/>
          </w:rPr>
          <w:fldChar w:fldCharType="end"/>
        </w:r>
      </w:hyperlink>
    </w:p>
    <w:p w:rsidR="002A7E07" w:rsidRDefault="003972D8" w:rsidP="002A7E07">
      <w:pPr>
        <w:pStyle w:val="Nagwek1"/>
        <w:spacing w:before="0" w:after="0"/>
        <w:rPr>
          <w:rFonts w:asciiTheme="minorHAnsi" w:hAnsiTheme="minorHAnsi"/>
          <w:sz w:val="20"/>
          <w:szCs w:val="20"/>
        </w:rPr>
      </w:pPr>
      <w:r w:rsidRPr="007553D1">
        <w:rPr>
          <w:rFonts w:asciiTheme="minorHAnsi" w:hAnsiTheme="minorHAnsi"/>
          <w:sz w:val="20"/>
          <w:szCs w:val="20"/>
        </w:rPr>
        <w:fldChar w:fldCharType="end"/>
      </w:r>
    </w:p>
    <w:p w:rsidR="00BE10FC" w:rsidRDefault="00BE10FC" w:rsidP="00EE1513">
      <w:pPr>
        <w:pStyle w:val="Nagwek1"/>
        <w:spacing w:before="120"/>
      </w:pPr>
      <w:bookmarkStart w:id="9182" w:name="_Toc474924989"/>
      <w:r>
        <w:t>SPIS MAP</w:t>
      </w:r>
      <w:bookmarkEnd w:id="9182"/>
    </w:p>
    <w:p w:rsidR="00485599" w:rsidRPr="00485599" w:rsidRDefault="003972D8">
      <w:pPr>
        <w:pStyle w:val="Spisilustracji"/>
        <w:tabs>
          <w:tab w:val="right" w:leader="dot" w:pos="9060"/>
        </w:tabs>
        <w:rPr>
          <w:rFonts w:asciiTheme="minorHAnsi" w:eastAsiaTheme="minorEastAsia" w:hAnsiTheme="minorHAnsi" w:cstheme="minorBidi"/>
          <w:noProof/>
          <w:sz w:val="22"/>
          <w:szCs w:val="22"/>
          <w:lang w:eastAsia="pl-PL"/>
        </w:rPr>
      </w:pPr>
      <w:r w:rsidRPr="003972D8">
        <w:fldChar w:fldCharType="begin"/>
      </w:r>
      <w:r w:rsidR="00BE10FC" w:rsidRPr="007553D1">
        <w:instrText xml:space="preserve"> TOC \h \z \c "Mapa" </w:instrText>
      </w:r>
      <w:r w:rsidRPr="003972D8">
        <w:fldChar w:fldCharType="separate"/>
      </w:r>
      <w:hyperlink w:anchor="_Toc191972613" w:history="1">
        <w:r w:rsidR="00485599" w:rsidRPr="00485599">
          <w:rPr>
            <w:rStyle w:val="Hipercze"/>
            <w:noProof/>
          </w:rPr>
          <w:t>Mapa 1. Obszary wymagające przekształceń, rehabilitacji lub rekultywacji objęte obszarem rewitalizacji</w:t>
        </w:r>
        <w:r w:rsidR="00485599" w:rsidRPr="00485599">
          <w:rPr>
            <w:noProof/>
            <w:webHidden/>
          </w:rPr>
          <w:tab/>
        </w:r>
        <w:r w:rsidRPr="00485599">
          <w:rPr>
            <w:noProof/>
            <w:webHidden/>
          </w:rPr>
          <w:fldChar w:fldCharType="begin"/>
        </w:r>
        <w:r w:rsidR="00485599" w:rsidRPr="00485599">
          <w:rPr>
            <w:noProof/>
            <w:webHidden/>
          </w:rPr>
          <w:instrText xml:space="preserve"> PAGEREF _Toc191972613 \h </w:instrText>
        </w:r>
        <w:r w:rsidRPr="00485599">
          <w:rPr>
            <w:noProof/>
            <w:webHidden/>
          </w:rPr>
        </w:r>
        <w:r w:rsidRPr="00485599">
          <w:rPr>
            <w:noProof/>
            <w:webHidden/>
          </w:rPr>
          <w:fldChar w:fldCharType="separate"/>
        </w:r>
        <w:r w:rsidR="00413FFE">
          <w:rPr>
            <w:noProof/>
            <w:webHidden/>
          </w:rPr>
          <w:t>18</w:t>
        </w:r>
        <w:r w:rsidRPr="00485599">
          <w:rPr>
            <w:noProof/>
            <w:webHidden/>
          </w:rPr>
          <w:fldChar w:fldCharType="end"/>
        </w:r>
      </w:hyperlink>
    </w:p>
    <w:p w:rsidR="00485599" w:rsidRPr="00485599"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191972614" w:history="1">
        <w:r w:rsidR="00485599" w:rsidRPr="00485599">
          <w:rPr>
            <w:rStyle w:val="Hipercze"/>
            <w:noProof/>
          </w:rPr>
          <w:t>Mapa 2. Projektowana Bytomska Centralna Trasa Północ-Południe</w:t>
        </w:r>
        <w:r w:rsidR="00485599" w:rsidRPr="00485599">
          <w:rPr>
            <w:noProof/>
            <w:webHidden/>
          </w:rPr>
          <w:tab/>
        </w:r>
        <w:r w:rsidRPr="00485599">
          <w:rPr>
            <w:noProof/>
            <w:webHidden/>
          </w:rPr>
          <w:fldChar w:fldCharType="begin"/>
        </w:r>
        <w:r w:rsidR="00485599" w:rsidRPr="00485599">
          <w:rPr>
            <w:noProof/>
            <w:webHidden/>
          </w:rPr>
          <w:instrText xml:space="preserve"> PAGEREF _Toc191972614 \h </w:instrText>
        </w:r>
        <w:r w:rsidRPr="00485599">
          <w:rPr>
            <w:noProof/>
            <w:webHidden/>
          </w:rPr>
        </w:r>
        <w:r w:rsidRPr="00485599">
          <w:rPr>
            <w:noProof/>
            <w:webHidden/>
          </w:rPr>
          <w:fldChar w:fldCharType="separate"/>
        </w:r>
        <w:r w:rsidR="00413FFE">
          <w:rPr>
            <w:noProof/>
            <w:webHidden/>
          </w:rPr>
          <w:t>26</w:t>
        </w:r>
        <w:r w:rsidRPr="00485599">
          <w:rPr>
            <w:noProof/>
            <w:webHidden/>
          </w:rPr>
          <w:fldChar w:fldCharType="end"/>
        </w:r>
      </w:hyperlink>
    </w:p>
    <w:p w:rsidR="00485599" w:rsidRPr="00485599"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191972615" w:history="1">
        <w:r w:rsidR="00485599" w:rsidRPr="00485599">
          <w:rPr>
            <w:rStyle w:val="Hipercze"/>
            <w:noProof/>
          </w:rPr>
          <w:t>Mapa 3. Miejscowy plan zagospodarowania przestrzennego Śródmieścia Bytomia</w:t>
        </w:r>
        <w:r w:rsidR="00485599" w:rsidRPr="00485599">
          <w:rPr>
            <w:noProof/>
            <w:webHidden/>
          </w:rPr>
          <w:tab/>
        </w:r>
        <w:r w:rsidRPr="00485599">
          <w:rPr>
            <w:noProof/>
            <w:webHidden/>
          </w:rPr>
          <w:fldChar w:fldCharType="begin"/>
        </w:r>
        <w:r w:rsidR="00485599" w:rsidRPr="00485599">
          <w:rPr>
            <w:noProof/>
            <w:webHidden/>
          </w:rPr>
          <w:instrText xml:space="preserve"> PAGEREF _Toc191972615 \h </w:instrText>
        </w:r>
        <w:r w:rsidRPr="00485599">
          <w:rPr>
            <w:noProof/>
            <w:webHidden/>
          </w:rPr>
        </w:r>
        <w:r w:rsidRPr="00485599">
          <w:rPr>
            <w:noProof/>
            <w:webHidden/>
          </w:rPr>
          <w:fldChar w:fldCharType="separate"/>
        </w:r>
        <w:r w:rsidR="00413FFE">
          <w:rPr>
            <w:noProof/>
            <w:webHidden/>
          </w:rPr>
          <w:t>28</w:t>
        </w:r>
        <w:r w:rsidRPr="00485599">
          <w:rPr>
            <w:noProof/>
            <w:webHidden/>
          </w:rPr>
          <w:fldChar w:fldCharType="end"/>
        </w:r>
      </w:hyperlink>
    </w:p>
    <w:p w:rsidR="00485599" w:rsidRPr="00485599"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191972616" w:history="1">
        <w:r w:rsidR="00485599" w:rsidRPr="00485599">
          <w:rPr>
            <w:rStyle w:val="Hipercze"/>
            <w:noProof/>
          </w:rPr>
          <w:t>Mapa 4. Obszar rewitalizacji w Bytomiu</w:t>
        </w:r>
        <w:r w:rsidR="00485599" w:rsidRPr="00485599">
          <w:rPr>
            <w:noProof/>
            <w:webHidden/>
          </w:rPr>
          <w:tab/>
        </w:r>
        <w:r w:rsidRPr="00485599">
          <w:rPr>
            <w:noProof/>
            <w:webHidden/>
          </w:rPr>
          <w:fldChar w:fldCharType="begin"/>
        </w:r>
        <w:r w:rsidR="00485599" w:rsidRPr="00485599">
          <w:rPr>
            <w:noProof/>
            <w:webHidden/>
          </w:rPr>
          <w:instrText xml:space="preserve"> PAGEREF _Toc191972616 \h </w:instrText>
        </w:r>
        <w:r w:rsidRPr="00485599">
          <w:rPr>
            <w:noProof/>
            <w:webHidden/>
          </w:rPr>
        </w:r>
        <w:r w:rsidRPr="00485599">
          <w:rPr>
            <w:noProof/>
            <w:webHidden/>
          </w:rPr>
          <w:fldChar w:fldCharType="separate"/>
        </w:r>
        <w:r w:rsidR="00413FFE">
          <w:rPr>
            <w:noProof/>
            <w:webHidden/>
          </w:rPr>
          <w:t>39</w:t>
        </w:r>
        <w:r w:rsidRPr="00485599">
          <w:rPr>
            <w:noProof/>
            <w:webHidden/>
          </w:rPr>
          <w:fldChar w:fldCharType="end"/>
        </w:r>
      </w:hyperlink>
    </w:p>
    <w:p w:rsidR="00485599" w:rsidRPr="00485599"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191972617" w:history="1">
        <w:r w:rsidR="00485599" w:rsidRPr="00485599">
          <w:rPr>
            <w:rStyle w:val="Hipercze"/>
            <w:noProof/>
          </w:rPr>
          <w:t>Mapa 5. Udział osób bezrobotnych w ludności w wieku produkcyjnym</w:t>
        </w:r>
        <w:r w:rsidR="00485599" w:rsidRPr="00485599">
          <w:rPr>
            <w:noProof/>
            <w:webHidden/>
          </w:rPr>
          <w:tab/>
        </w:r>
        <w:r w:rsidRPr="00485599">
          <w:rPr>
            <w:noProof/>
            <w:webHidden/>
          </w:rPr>
          <w:fldChar w:fldCharType="begin"/>
        </w:r>
        <w:r w:rsidR="00485599" w:rsidRPr="00485599">
          <w:rPr>
            <w:noProof/>
            <w:webHidden/>
          </w:rPr>
          <w:instrText xml:space="preserve"> PAGEREF _Toc191972617 \h </w:instrText>
        </w:r>
        <w:r w:rsidRPr="00485599">
          <w:rPr>
            <w:noProof/>
            <w:webHidden/>
          </w:rPr>
        </w:r>
        <w:r w:rsidRPr="00485599">
          <w:rPr>
            <w:noProof/>
            <w:webHidden/>
          </w:rPr>
          <w:fldChar w:fldCharType="separate"/>
        </w:r>
        <w:r w:rsidR="00413FFE">
          <w:rPr>
            <w:noProof/>
            <w:webHidden/>
          </w:rPr>
          <w:t>44</w:t>
        </w:r>
        <w:r w:rsidRPr="00485599">
          <w:rPr>
            <w:noProof/>
            <w:webHidden/>
          </w:rPr>
          <w:fldChar w:fldCharType="end"/>
        </w:r>
      </w:hyperlink>
    </w:p>
    <w:p w:rsidR="00485599" w:rsidRPr="00485599"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191972618" w:history="1">
        <w:r w:rsidR="00485599" w:rsidRPr="00485599">
          <w:rPr>
            <w:rStyle w:val="Hipercze"/>
            <w:noProof/>
          </w:rPr>
          <w:t>Mapa 6. Udział osób bezrobotnych z wykształceniem gimnazjalnym i poniżej w ogóle bezrobotnych</w:t>
        </w:r>
        <w:r w:rsidR="00485599" w:rsidRPr="00485599">
          <w:rPr>
            <w:noProof/>
            <w:webHidden/>
          </w:rPr>
          <w:tab/>
        </w:r>
        <w:r w:rsidRPr="00485599">
          <w:rPr>
            <w:noProof/>
            <w:webHidden/>
          </w:rPr>
          <w:fldChar w:fldCharType="begin"/>
        </w:r>
        <w:r w:rsidR="00485599" w:rsidRPr="00485599">
          <w:rPr>
            <w:noProof/>
            <w:webHidden/>
          </w:rPr>
          <w:instrText xml:space="preserve"> PAGEREF _Toc191972618 \h </w:instrText>
        </w:r>
        <w:r w:rsidRPr="00485599">
          <w:rPr>
            <w:noProof/>
            <w:webHidden/>
          </w:rPr>
        </w:r>
        <w:r w:rsidRPr="00485599">
          <w:rPr>
            <w:noProof/>
            <w:webHidden/>
          </w:rPr>
          <w:fldChar w:fldCharType="separate"/>
        </w:r>
        <w:r w:rsidR="00413FFE">
          <w:rPr>
            <w:noProof/>
            <w:webHidden/>
          </w:rPr>
          <w:t>47</w:t>
        </w:r>
        <w:r w:rsidRPr="00485599">
          <w:rPr>
            <w:noProof/>
            <w:webHidden/>
          </w:rPr>
          <w:fldChar w:fldCharType="end"/>
        </w:r>
      </w:hyperlink>
    </w:p>
    <w:p w:rsidR="00485599" w:rsidRPr="00485599"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191972619" w:history="1">
        <w:r w:rsidR="00485599" w:rsidRPr="00485599">
          <w:rPr>
            <w:rStyle w:val="Hipercze"/>
            <w:noProof/>
          </w:rPr>
          <w:t>Mapa 7. Osoby otrzymujące zasiłki celowe w Bytomiu</w:t>
        </w:r>
        <w:r w:rsidR="00485599" w:rsidRPr="00485599">
          <w:rPr>
            <w:noProof/>
            <w:webHidden/>
          </w:rPr>
          <w:tab/>
        </w:r>
        <w:r w:rsidRPr="00485599">
          <w:rPr>
            <w:noProof/>
            <w:webHidden/>
          </w:rPr>
          <w:fldChar w:fldCharType="begin"/>
        </w:r>
        <w:r w:rsidR="00485599" w:rsidRPr="00485599">
          <w:rPr>
            <w:noProof/>
            <w:webHidden/>
          </w:rPr>
          <w:instrText xml:space="preserve"> PAGEREF _Toc191972619 \h </w:instrText>
        </w:r>
        <w:r w:rsidRPr="00485599">
          <w:rPr>
            <w:noProof/>
            <w:webHidden/>
          </w:rPr>
        </w:r>
        <w:r w:rsidRPr="00485599">
          <w:rPr>
            <w:noProof/>
            <w:webHidden/>
          </w:rPr>
          <w:fldChar w:fldCharType="separate"/>
        </w:r>
        <w:r w:rsidR="00413FFE">
          <w:rPr>
            <w:noProof/>
            <w:webHidden/>
          </w:rPr>
          <w:t>51</w:t>
        </w:r>
        <w:r w:rsidRPr="00485599">
          <w:rPr>
            <w:noProof/>
            <w:webHidden/>
          </w:rPr>
          <w:fldChar w:fldCharType="end"/>
        </w:r>
      </w:hyperlink>
    </w:p>
    <w:p w:rsidR="00485599" w:rsidRPr="00485599"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191972620" w:history="1">
        <w:r w:rsidR="00485599" w:rsidRPr="00485599">
          <w:rPr>
            <w:rStyle w:val="Hipercze"/>
            <w:noProof/>
          </w:rPr>
          <w:t>Mapa 8. Uczniowie szkół podstawowych korzystający z dożywiania</w:t>
        </w:r>
        <w:r w:rsidR="00485599" w:rsidRPr="00485599">
          <w:rPr>
            <w:noProof/>
            <w:webHidden/>
          </w:rPr>
          <w:tab/>
        </w:r>
        <w:r w:rsidRPr="00485599">
          <w:rPr>
            <w:noProof/>
            <w:webHidden/>
          </w:rPr>
          <w:fldChar w:fldCharType="begin"/>
        </w:r>
        <w:r w:rsidR="00485599" w:rsidRPr="00485599">
          <w:rPr>
            <w:noProof/>
            <w:webHidden/>
          </w:rPr>
          <w:instrText xml:space="preserve"> PAGEREF _Toc191972620 \h </w:instrText>
        </w:r>
        <w:r w:rsidRPr="00485599">
          <w:rPr>
            <w:noProof/>
            <w:webHidden/>
          </w:rPr>
        </w:r>
        <w:r w:rsidRPr="00485599">
          <w:rPr>
            <w:noProof/>
            <w:webHidden/>
          </w:rPr>
          <w:fldChar w:fldCharType="separate"/>
        </w:r>
        <w:r w:rsidR="00413FFE">
          <w:rPr>
            <w:noProof/>
            <w:webHidden/>
          </w:rPr>
          <w:t>52</w:t>
        </w:r>
        <w:r w:rsidRPr="00485599">
          <w:rPr>
            <w:noProof/>
            <w:webHidden/>
          </w:rPr>
          <w:fldChar w:fldCharType="end"/>
        </w:r>
      </w:hyperlink>
    </w:p>
    <w:p w:rsidR="00485599" w:rsidRPr="00485599"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191972621" w:history="1">
        <w:r w:rsidR="00485599" w:rsidRPr="00485599">
          <w:rPr>
            <w:rStyle w:val="Hipercze"/>
            <w:noProof/>
          </w:rPr>
          <w:t>Mapa 9. Zadłużenie czynszowe w budynkach komunalnych</w:t>
        </w:r>
        <w:r w:rsidR="00485599" w:rsidRPr="00485599">
          <w:rPr>
            <w:noProof/>
            <w:webHidden/>
          </w:rPr>
          <w:tab/>
        </w:r>
        <w:r w:rsidRPr="00485599">
          <w:rPr>
            <w:noProof/>
            <w:webHidden/>
          </w:rPr>
          <w:fldChar w:fldCharType="begin"/>
        </w:r>
        <w:r w:rsidR="00485599" w:rsidRPr="00485599">
          <w:rPr>
            <w:noProof/>
            <w:webHidden/>
          </w:rPr>
          <w:instrText xml:space="preserve"> PAGEREF _Toc191972621 \h </w:instrText>
        </w:r>
        <w:r w:rsidRPr="00485599">
          <w:rPr>
            <w:noProof/>
            <w:webHidden/>
          </w:rPr>
        </w:r>
        <w:r w:rsidRPr="00485599">
          <w:rPr>
            <w:noProof/>
            <w:webHidden/>
          </w:rPr>
          <w:fldChar w:fldCharType="separate"/>
        </w:r>
        <w:r w:rsidR="00413FFE">
          <w:rPr>
            <w:noProof/>
            <w:webHidden/>
          </w:rPr>
          <w:t>52</w:t>
        </w:r>
        <w:r w:rsidRPr="00485599">
          <w:rPr>
            <w:noProof/>
            <w:webHidden/>
          </w:rPr>
          <w:fldChar w:fldCharType="end"/>
        </w:r>
      </w:hyperlink>
    </w:p>
    <w:p w:rsidR="00485599" w:rsidRPr="00485599"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191972622" w:history="1">
        <w:r w:rsidR="00485599" w:rsidRPr="00485599">
          <w:rPr>
            <w:rStyle w:val="Hipercze"/>
            <w:noProof/>
          </w:rPr>
          <w:t>Mapa 10. Zadłużenie czynszowe w budynkach komunalnych w zestawieniu z zasiłkami celowymi</w:t>
        </w:r>
        <w:r w:rsidR="00485599" w:rsidRPr="00485599">
          <w:rPr>
            <w:noProof/>
            <w:webHidden/>
          </w:rPr>
          <w:tab/>
        </w:r>
        <w:r w:rsidRPr="00485599">
          <w:rPr>
            <w:noProof/>
            <w:webHidden/>
          </w:rPr>
          <w:fldChar w:fldCharType="begin"/>
        </w:r>
        <w:r w:rsidR="00485599" w:rsidRPr="00485599">
          <w:rPr>
            <w:noProof/>
            <w:webHidden/>
          </w:rPr>
          <w:instrText xml:space="preserve"> PAGEREF _Toc191972622 \h </w:instrText>
        </w:r>
        <w:r w:rsidRPr="00485599">
          <w:rPr>
            <w:noProof/>
            <w:webHidden/>
          </w:rPr>
        </w:r>
        <w:r w:rsidRPr="00485599">
          <w:rPr>
            <w:noProof/>
            <w:webHidden/>
          </w:rPr>
          <w:fldChar w:fldCharType="separate"/>
        </w:r>
        <w:r w:rsidR="00413FFE">
          <w:rPr>
            <w:noProof/>
            <w:webHidden/>
          </w:rPr>
          <w:t>53</w:t>
        </w:r>
        <w:r w:rsidRPr="00485599">
          <w:rPr>
            <w:noProof/>
            <w:webHidden/>
          </w:rPr>
          <w:fldChar w:fldCharType="end"/>
        </w:r>
      </w:hyperlink>
    </w:p>
    <w:p w:rsidR="00485599" w:rsidRPr="00485599"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191972623" w:history="1">
        <w:r w:rsidR="00485599" w:rsidRPr="00485599">
          <w:rPr>
            <w:rStyle w:val="Hipercze"/>
            <w:bCs/>
            <w:noProof/>
          </w:rPr>
          <w:t>Mapa 11. Mieszkania socjalne w Bytomiu</w:t>
        </w:r>
        <w:r w:rsidR="00485599" w:rsidRPr="00485599">
          <w:rPr>
            <w:noProof/>
            <w:webHidden/>
          </w:rPr>
          <w:tab/>
        </w:r>
        <w:r w:rsidRPr="00485599">
          <w:rPr>
            <w:noProof/>
            <w:webHidden/>
          </w:rPr>
          <w:fldChar w:fldCharType="begin"/>
        </w:r>
        <w:r w:rsidR="00485599" w:rsidRPr="00485599">
          <w:rPr>
            <w:noProof/>
            <w:webHidden/>
          </w:rPr>
          <w:instrText xml:space="preserve"> PAGEREF _Toc191972623 \h </w:instrText>
        </w:r>
        <w:r w:rsidRPr="00485599">
          <w:rPr>
            <w:noProof/>
            <w:webHidden/>
          </w:rPr>
        </w:r>
        <w:r w:rsidRPr="00485599">
          <w:rPr>
            <w:noProof/>
            <w:webHidden/>
          </w:rPr>
          <w:fldChar w:fldCharType="separate"/>
        </w:r>
        <w:r w:rsidR="00413FFE">
          <w:rPr>
            <w:noProof/>
            <w:webHidden/>
          </w:rPr>
          <w:t>55</w:t>
        </w:r>
        <w:r w:rsidRPr="00485599">
          <w:rPr>
            <w:noProof/>
            <w:webHidden/>
          </w:rPr>
          <w:fldChar w:fldCharType="end"/>
        </w:r>
      </w:hyperlink>
    </w:p>
    <w:p w:rsidR="00485599" w:rsidRPr="00485599"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191972624" w:history="1">
        <w:r w:rsidR="00485599" w:rsidRPr="00485599">
          <w:rPr>
            <w:rStyle w:val="Hipercze"/>
            <w:noProof/>
          </w:rPr>
          <w:t>Mapa 12. Mieszkania socjalne na 1 tys. mieszkańców w Bytomiu</w:t>
        </w:r>
        <w:r w:rsidR="00485599" w:rsidRPr="00485599">
          <w:rPr>
            <w:noProof/>
            <w:webHidden/>
          </w:rPr>
          <w:tab/>
        </w:r>
        <w:r w:rsidRPr="00485599">
          <w:rPr>
            <w:noProof/>
            <w:webHidden/>
          </w:rPr>
          <w:fldChar w:fldCharType="begin"/>
        </w:r>
        <w:r w:rsidR="00485599" w:rsidRPr="00485599">
          <w:rPr>
            <w:noProof/>
            <w:webHidden/>
          </w:rPr>
          <w:instrText xml:space="preserve"> PAGEREF _Toc191972624 \h </w:instrText>
        </w:r>
        <w:r w:rsidRPr="00485599">
          <w:rPr>
            <w:noProof/>
            <w:webHidden/>
          </w:rPr>
        </w:r>
        <w:r w:rsidRPr="00485599">
          <w:rPr>
            <w:noProof/>
            <w:webHidden/>
          </w:rPr>
          <w:fldChar w:fldCharType="separate"/>
        </w:r>
        <w:r w:rsidR="00413FFE">
          <w:rPr>
            <w:noProof/>
            <w:webHidden/>
          </w:rPr>
          <w:t>55</w:t>
        </w:r>
        <w:r w:rsidRPr="00485599">
          <w:rPr>
            <w:noProof/>
            <w:webHidden/>
          </w:rPr>
          <w:fldChar w:fldCharType="end"/>
        </w:r>
      </w:hyperlink>
    </w:p>
    <w:p w:rsidR="00485599" w:rsidRPr="00485599"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191972625" w:history="1">
        <w:r w:rsidR="00485599" w:rsidRPr="00485599">
          <w:rPr>
            <w:rStyle w:val="Hipercze"/>
            <w:noProof/>
          </w:rPr>
          <w:t>Mapa 13. Przestępstwa ogółem na 10 tys. mieszkańców popełnione w 2015 r.</w:t>
        </w:r>
        <w:r w:rsidR="00485599" w:rsidRPr="00485599">
          <w:rPr>
            <w:noProof/>
            <w:webHidden/>
          </w:rPr>
          <w:tab/>
        </w:r>
        <w:r w:rsidRPr="00485599">
          <w:rPr>
            <w:noProof/>
            <w:webHidden/>
          </w:rPr>
          <w:fldChar w:fldCharType="begin"/>
        </w:r>
        <w:r w:rsidR="00485599" w:rsidRPr="00485599">
          <w:rPr>
            <w:noProof/>
            <w:webHidden/>
          </w:rPr>
          <w:instrText xml:space="preserve"> PAGEREF _Toc191972625 \h </w:instrText>
        </w:r>
        <w:r w:rsidRPr="00485599">
          <w:rPr>
            <w:noProof/>
            <w:webHidden/>
          </w:rPr>
        </w:r>
        <w:r w:rsidRPr="00485599">
          <w:rPr>
            <w:noProof/>
            <w:webHidden/>
          </w:rPr>
          <w:fldChar w:fldCharType="separate"/>
        </w:r>
        <w:r w:rsidR="00413FFE">
          <w:rPr>
            <w:noProof/>
            <w:webHidden/>
          </w:rPr>
          <w:t>57</w:t>
        </w:r>
        <w:r w:rsidRPr="00485599">
          <w:rPr>
            <w:noProof/>
            <w:webHidden/>
          </w:rPr>
          <w:fldChar w:fldCharType="end"/>
        </w:r>
      </w:hyperlink>
    </w:p>
    <w:p w:rsidR="00485599" w:rsidRPr="00485599"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191972626" w:history="1">
        <w:r w:rsidR="00485599" w:rsidRPr="00485599">
          <w:rPr>
            <w:rStyle w:val="Hipercze"/>
            <w:noProof/>
          </w:rPr>
          <w:t>Mapa 14. Przemoc w rodzinie na 10 tys. mieszkańców w 2015 r.</w:t>
        </w:r>
        <w:r w:rsidR="00485599" w:rsidRPr="00485599">
          <w:rPr>
            <w:noProof/>
            <w:webHidden/>
          </w:rPr>
          <w:tab/>
        </w:r>
        <w:r w:rsidRPr="00485599">
          <w:rPr>
            <w:noProof/>
            <w:webHidden/>
          </w:rPr>
          <w:fldChar w:fldCharType="begin"/>
        </w:r>
        <w:r w:rsidR="00485599" w:rsidRPr="00485599">
          <w:rPr>
            <w:noProof/>
            <w:webHidden/>
          </w:rPr>
          <w:instrText xml:space="preserve"> PAGEREF _Toc191972626 \h </w:instrText>
        </w:r>
        <w:r w:rsidRPr="00485599">
          <w:rPr>
            <w:noProof/>
            <w:webHidden/>
          </w:rPr>
        </w:r>
        <w:r w:rsidRPr="00485599">
          <w:rPr>
            <w:noProof/>
            <w:webHidden/>
          </w:rPr>
          <w:fldChar w:fldCharType="separate"/>
        </w:r>
        <w:r w:rsidR="00413FFE">
          <w:rPr>
            <w:noProof/>
            <w:webHidden/>
          </w:rPr>
          <w:t>58</w:t>
        </w:r>
        <w:r w:rsidRPr="00485599">
          <w:rPr>
            <w:noProof/>
            <w:webHidden/>
          </w:rPr>
          <w:fldChar w:fldCharType="end"/>
        </w:r>
      </w:hyperlink>
    </w:p>
    <w:p w:rsidR="00485599"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191972627" w:history="1">
        <w:r w:rsidR="00485599" w:rsidRPr="00485599">
          <w:rPr>
            <w:rStyle w:val="Hipercze"/>
            <w:noProof/>
          </w:rPr>
          <w:t>Mapa 15. Wskaźnik zasiłków z powodu uzależnień w Bytomiu</w:t>
        </w:r>
        <w:r w:rsidR="00485599" w:rsidRPr="00485599">
          <w:rPr>
            <w:noProof/>
            <w:webHidden/>
          </w:rPr>
          <w:tab/>
        </w:r>
        <w:r w:rsidRPr="00485599">
          <w:rPr>
            <w:noProof/>
            <w:webHidden/>
          </w:rPr>
          <w:fldChar w:fldCharType="begin"/>
        </w:r>
        <w:r w:rsidR="00485599" w:rsidRPr="00485599">
          <w:rPr>
            <w:noProof/>
            <w:webHidden/>
          </w:rPr>
          <w:instrText xml:space="preserve"> PAGEREF _Toc191972627 \h </w:instrText>
        </w:r>
        <w:r w:rsidRPr="00485599">
          <w:rPr>
            <w:noProof/>
            <w:webHidden/>
          </w:rPr>
        </w:r>
        <w:r w:rsidRPr="00485599">
          <w:rPr>
            <w:noProof/>
            <w:webHidden/>
          </w:rPr>
          <w:fldChar w:fldCharType="separate"/>
        </w:r>
        <w:r w:rsidR="00413FFE">
          <w:rPr>
            <w:noProof/>
            <w:webHidden/>
          </w:rPr>
          <w:t>60</w:t>
        </w:r>
        <w:r w:rsidRPr="00485599">
          <w:rPr>
            <w:noProof/>
            <w:webHidden/>
          </w:rPr>
          <w:fldChar w:fldCharType="end"/>
        </w:r>
      </w:hyperlink>
    </w:p>
    <w:p w:rsidR="00485599"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191972628" w:history="1">
        <w:r w:rsidR="00485599" w:rsidRPr="000823C4">
          <w:rPr>
            <w:rStyle w:val="Hipercze"/>
            <w:noProof/>
          </w:rPr>
          <w:t>Mapa 16. Zasiłki z powodu bezradności opiekuńczo - wychowawczej w Bytomiu</w:t>
        </w:r>
        <w:r w:rsidR="00485599">
          <w:rPr>
            <w:noProof/>
            <w:webHidden/>
          </w:rPr>
          <w:tab/>
        </w:r>
        <w:r>
          <w:rPr>
            <w:noProof/>
            <w:webHidden/>
          </w:rPr>
          <w:fldChar w:fldCharType="begin"/>
        </w:r>
        <w:r w:rsidR="00485599">
          <w:rPr>
            <w:noProof/>
            <w:webHidden/>
          </w:rPr>
          <w:instrText xml:space="preserve"> PAGEREF _Toc191972628 \h </w:instrText>
        </w:r>
        <w:r>
          <w:rPr>
            <w:noProof/>
            <w:webHidden/>
          </w:rPr>
        </w:r>
        <w:r>
          <w:rPr>
            <w:noProof/>
            <w:webHidden/>
          </w:rPr>
          <w:fldChar w:fldCharType="separate"/>
        </w:r>
        <w:r w:rsidR="00413FFE">
          <w:rPr>
            <w:noProof/>
            <w:webHidden/>
          </w:rPr>
          <w:t>62</w:t>
        </w:r>
        <w:r>
          <w:rPr>
            <w:noProof/>
            <w:webHidden/>
          </w:rPr>
          <w:fldChar w:fldCharType="end"/>
        </w:r>
      </w:hyperlink>
    </w:p>
    <w:p w:rsidR="00485599"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191972629" w:history="1">
        <w:r w:rsidR="00485599" w:rsidRPr="000823C4">
          <w:rPr>
            <w:rStyle w:val="Hipercze"/>
            <w:noProof/>
          </w:rPr>
          <w:t>Mapa 17. Osoby z niepełnosprawnością w Bytomiu</w:t>
        </w:r>
        <w:r w:rsidR="00485599">
          <w:rPr>
            <w:noProof/>
            <w:webHidden/>
          </w:rPr>
          <w:tab/>
        </w:r>
        <w:r>
          <w:rPr>
            <w:noProof/>
            <w:webHidden/>
          </w:rPr>
          <w:fldChar w:fldCharType="begin"/>
        </w:r>
        <w:r w:rsidR="00485599">
          <w:rPr>
            <w:noProof/>
            <w:webHidden/>
          </w:rPr>
          <w:instrText xml:space="preserve"> PAGEREF _Toc191972629 \h </w:instrText>
        </w:r>
        <w:r>
          <w:rPr>
            <w:noProof/>
            <w:webHidden/>
          </w:rPr>
        </w:r>
        <w:r>
          <w:rPr>
            <w:noProof/>
            <w:webHidden/>
          </w:rPr>
          <w:fldChar w:fldCharType="separate"/>
        </w:r>
        <w:r w:rsidR="00413FFE">
          <w:rPr>
            <w:noProof/>
            <w:webHidden/>
          </w:rPr>
          <w:t>65</w:t>
        </w:r>
        <w:r>
          <w:rPr>
            <w:noProof/>
            <w:webHidden/>
          </w:rPr>
          <w:fldChar w:fldCharType="end"/>
        </w:r>
      </w:hyperlink>
    </w:p>
    <w:p w:rsidR="00485599"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191972630" w:history="1">
        <w:r w:rsidR="00485599" w:rsidRPr="000823C4">
          <w:rPr>
            <w:rStyle w:val="Hipercze"/>
            <w:noProof/>
          </w:rPr>
          <w:t>Mapa 18. Udział osób w wieku poprodukcyjnym w populacji</w:t>
        </w:r>
        <w:r w:rsidR="00485599">
          <w:rPr>
            <w:noProof/>
            <w:webHidden/>
          </w:rPr>
          <w:tab/>
        </w:r>
        <w:r>
          <w:rPr>
            <w:noProof/>
            <w:webHidden/>
          </w:rPr>
          <w:fldChar w:fldCharType="begin"/>
        </w:r>
        <w:r w:rsidR="00485599">
          <w:rPr>
            <w:noProof/>
            <w:webHidden/>
          </w:rPr>
          <w:instrText xml:space="preserve"> PAGEREF _Toc191972630 \h </w:instrText>
        </w:r>
        <w:r>
          <w:rPr>
            <w:noProof/>
            <w:webHidden/>
          </w:rPr>
        </w:r>
        <w:r>
          <w:rPr>
            <w:noProof/>
            <w:webHidden/>
          </w:rPr>
          <w:fldChar w:fldCharType="separate"/>
        </w:r>
        <w:r w:rsidR="00413FFE">
          <w:rPr>
            <w:noProof/>
            <w:webHidden/>
          </w:rPr>
          <w:t>67</w:t>
        </w:r>
        <w:r>
          <w:rPr>
            <w:noProof/>
            <w:webHidden/>
          </w:rPr>
          <w:fldChar w:fldCharType="end"/>
        </w:r>
      </w:hyperlink>
    </w:p>
    <w:p w:rsidR="00485599"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191972631" w:history="1">
        <w:r w:rsidR="00485599" w:rsidRPr="000823C4">
          <w:rPr>
            <w:rStyle w:val="Hipercze"/>
            <w:noProof/>
          </w:rPr>
          <w:t>Mapa 19. Kobiety w wieku powyżej 75 lat w populacji osób w tym wieku</w:t>
        </w:r>
        <w:r w:rsidR="00485599">
          <w:rPr>
            <w:noProof/>
            <w:webHidden/>
          </w:rPr>
          <w:tab/>
        </w:r>
        <w:r>
          <w:rPr>
            <w:noProof/>
            <w:webHidden/>
          </w:rPr>
          <w:fldChar w:fldCharType="begin"/>
        </w:r>
        <w:r w:rsidR="00485599">
          <w:rPr>
            <w:noProof/>
            <w:webHidden/>
          </w:rPr>
          <w:instrText xml:space="preserve"> PAGEREF _Toc191972631 \h </w:instrText>
        </w:r>
        <w:r>
          <w:rPr>
            <w:noProof/>
            <w:webHidden/>
          </w:rPr>
        </w:r>
        <w:r>
          <w:rPr>
            <w:noProof/>
            <w:webHidden/>
          </w:rPr>
          <w:fldChar w:fldCharType="separate"/>
        </w:r>
        <w:r w:rsidR="00413FFE">
          <w:rPr>
            <w:noProof/>
            <w:webHidden/>
          </w:rPr>
          <w:t>68</w:t>
        </w:r>
        <w:r>
          <w:rPr>
            <w:noProof/>
            <w:webHidden/>
          </w:rPr>
          <w:fldChar w:fldCharType="end"/>
        </w:r>
      </w:hyperlink>
    </w:p>
    <w:p w:rsidR="00485599"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191972632" w:history="1">
        <w:r w:rsidR="00485599" w:rsidRPr="000823C4">
          <w:rPr>
            <w:rStyle w:val="Hipercze"/>
            <w:noProof/>
          </w:rPr>
          <w:t>Mapa 20. Frekwencja wyborcza w wyborach samorządowych w 2014 r.</w:t>
        </w:r>
        <w:r w:rsidR="00485599">
          <w:rPr>
            <w:noProof/>
            <w:webHidden/>
          </w:rPr>
          <w:tab/>
        </w:r>
        <w:r>
          <w:rPr>
            <w:noProof/>
            <w:webHidden/>
          </w:rPr>
          <w:fldChar w:fldCharType="begin"/>
        </w:r>
        <w:r w:rsidR="00485599">
          <w:rPr>
            <w:noProof/>
            <w:webHidden/>
          </w:rPr>
          <w:instrText xml:space="preserve"> PAGEREF _Toc191972632 \h </w:instrText>
        </w:r>
        <w:r>
          <w:rPr>
            <w:noProof/>
            <w:webHidden/>
          </w:rPr>
        </w:r>
        <w:r>
          <w:rPr>
            <w:noProof/>
            <w:webHidden/>
          </w:rPr>
          <w:fldChar w:fldCharType="separate"/>
        </w:r>
        <w:r w:rsidR="00413FFE">
          <w:rPr>
            <w:noProof/>
            <w:webHidden/>
          </w:rPr>
          <w:t>70</w:t>
        </w:r>
        <w:r>
          <w:rPr>
            <w:noProof/>
            <w:webHidden/>
          </w:rPr>
          <w:fldChar w:fldCharType="end"/>
        </w:r>
      </w:hyperlink>
    </w:p>
    <w:p w:rsidR="00485599"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191972633" w:history="1">
        <w:r w:rsidR="00485599" w:rsidRPr="000823C4">
          <w:rPr>
            <w:rStyle w:val="Hipercze"/>
            <w:noProof/>
          </w:rPr>
          <w:t>Mapa 21. Kluby sportowe i Uczniowskie Kluby Sportowe w Bytomiu</w:t>
        </w:r>
        <w:r w:rsidR="00485599">
          <w:rPr>
            <w:noProof/>
            <w:webHidden/>
          </w:rPr>
          <w:tab/>
        </w:r>
        <w:r>
          <w:rPr>
            <w:noProof/>
            <w:webHidden/>
          </w:rPr>
          <w:fldChar w:fldCharType="begin"/>
        </w:r>
        <w:r w:rsidR="00485599">
          <w:rPr>
            <w:noProof/>
            <w:webHidden/>
          </w:rPr>
          <w:instrText xml:space="preserve"> PAGEREF _Toc191972633 \h </w:instrText>
        </w:r>
        <w:r>
          <w:rPr>
            <w:noProof/>
            <w:webHidden/>
          </w:rPr>
        </w:r>
        <w:r>
          <w:rPr>
            <w:noProof/>
            <w:webHidden/>
          </w:rPr>
          <w:fldChar w:fldCharType="separate"/>
        </w:r>
        <w:r w:rsidR="00413FFE">
          <w:rPr>
            <w:noProof/>
            <w:webHidden/>
          </w:rPr>
          <w:t>71</w:t>
        </w:r>
        <w:r>
          <w:rPr>
            <w:noProof/>
            <w:webHidden/>
          </w:rPr>
          <w:fldChar w:fldCharType="end"/>
        </w:r>
      </w:hyperlink>
    </w:p>
    <w:p w:rsidR="00485599"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191972634" w:history="1">
        <w:r w:rsidR="00485599" w:rsidRPr="000823C4">
          <w:rPr>
            <w:rStyle w:val="Hipercze"/>
            <w:noProof/>
          </w:rPr>
          <w:t>Mapa 22. Dotacje udzielone organizacjom sportowym w 2016 r.</w:t>
        </w:r>
        <w:r w:rsidR="00485599">
          <w:rPr>
            <w:noProof/>
            <w:webHidden/>
          </w:rPr>
          <w:tab/>
        </w:r>
        <w:r>
          <w:rPr>
            <w:noProof/>
            <w:webHidden/>
          </w:rPr>
          <w:fldChar w:fldCharType="begin"/>
        </w:r>
        <w:r w:rsidR="00485599">
          <w:rPr>
            <w:noProof/>
            <w:webHidden/>
          </w:rPr>
          <w:instrText xml:space="preserve"> PAGEREF _Toc191972634 \h </w:instrText>
        </w:r>
        <w:r>
          <w:rPr>
            <w:noProof/>
            <w:webHidden/>
          </w:rPr>
        </w:r>
        <w:r>
          <w:rPr>
            <w:noProof/>
            <w:webHidden/>
          </w:rPr>
          <w:fldChar w:fldCharType="separate"/>
        </w:r>
        <w:r w:rsidR="00413FFE">
          <w:rPr>
            <w:noProof/>
            <w:webHidden/>
          </w:rPr>
          <w:t>72</w:t>
        </w:r>
        <w:r>
          <w:rPr>
            <w:noProof/>
            <w:webHidden/>
          </w:rPr>
          <w:fldChar w:fldCharType="end"/>
        </w:r>
      </w:hyperlink>
    </w:p>
    <w:p w:rsidR="00485599"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191972635" w:history="1">
        <w:r w:rsidR="00485599" w:rsidRPr="000823C4">
          <w:rPr>
            <w:rStyle w:val="Hipercze"/>
            <w:noProof/>
          </w:rPr>
          <w:t>Mapa 23. Cykliczne imprezy sportowe w Bytomiu</w:t>
        </w:r>
        <w:r w:rsidR="00485599">
          <w:rPr>
            <w:noProof/>
            <w:webHidden/>
          </w:rPr>
          <w:tab/>
        </w:r>
        <w:r>
          <w:rPr>
            <w:noProof/>
            <w:webHidden/>
          </w:rPr>
          <w:fldChar w:fldCharType="begin"/>
        </w:r>
        <w:r w:rsidR="00485599">
          <w:rPr>
            <w:noProof/>
            <w:webHidden/>
          </w:rPr>
          <w:instrText xml:space="preserve"> PAGEREF _Toc191972635 \h </w:instrText>
        </w:r>
        <w:r>
          <w:rPr>
            <w:noProof/>
            <w:webHidden/>
          </w:rPr>
        </w:r>
        <w:r>
          <w:rPr>
            <w:noProof/>
            <w:webHidden/>
          </w:rPr>
          <w:fldChar w:fldCharType="separate"/>
        </w:r>
        <w:r w:rsidR="00413FFE">
          <w:rPr>
            <w:noProof/>
            <w:webHidden/>
          </w:rPr>
          <w:t>72</w:t>
        </w:r>
        <w:r>
          <w:rPr>
            <w:noProof/>
            <w:webHidden/>
          </w:rPr>
          <w:fldChar w:fldCharType="end"/>
        </w:r>
      </w:hyperlink>
    </w:p>
    <w:p w:rsidR="00485599"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191972636" w:history="1">
        <w:r w:rsidR="00485599" w:rsidRPr="000823C4">
          <w:rPr>
            <w:rStyle w:val="Hipercze"/>
            <w:noProof/>
          </w:rPr>
          <w:t>Mapa 24. Obiekty sportowe w Bytomiu</w:t>
        </w:r>
        <w:r w:rsidR="00485599">
          <w:rPr>
            <w:noProof/>
            <w:webHidden/>
          </w:rPr>
          <w:tab/>
        </w:r>
        <w:r>
          <w:rPr>
            <w:noProof/>
            <w:webHidden/>
          </w:rPr>
          <w:fldChar w:fldCharType="begin"/>
        </w:r>
        <w:r w:rsidR="00485599">
          <w:rPr>
            <w:noProof/>
            <w:webHidden/>
          </w:rPr>
          <w:instrText xml:space="preserve"> PAGEREF _Toc191972636 \h </w:instrText>
        </w:r>
        <w:r>
          <w:rPr>
            <w:noProof/>
            <w:webHidden/>
          </w:rPr>
        </w:r>
        <w:r>
          <w:rPr>
            <w:noProof/>
            <w:webHidden/>
          </w:rPr>
          <w:fldChar w:fldCharType="separate"/>
        </w:r>
        <w:r w:rsidR="00413FFE">
          <w:rPr>
            <w:noProof/>
            <w:webHidden/>
          </w:rPr>
          <w:t>73</w:t>
        </w:r>
        <w:r>
          <w:rPr>
            <w:noProof/>
            <w:webHidden/>
          </w:rPr>
          <w:fldChar w:fldCharType="end"/>
        </w:r>
      </w:hyperlink>
    </w:p>
    <w:p w:rsidR="00485599"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191972637" w:history="1">
        <w:r w:rsidR="00485599" w:rsidRPr="000823C4">
          <w:rPr>
            <w:rStyle w:val="Hipercze"/>
            <w:noProof/>
          </w:rPr>
          <w:t>Mapa 25. Wyniki sprawdzianu po 6. klasie w Bytomiu</w:t>
        </w:r>
        <w:r w:rsidR="00485599">
          <w:rPr>
            <w:noProof/>
            <w:webHidden/>
          </w:rPr>
          <w:tab/>
        </w:r>
        <w:r>
          <w:rPr>
            <w:noProof/>
            <w:webHidden/>
          </w:rPr>
          <w:fldChar w:fldCharType="begin"/>
        </w:r>
        <w:r w:rsidR="00485599">
          <w:rPr>
            <w:noProof/>
            <w:webHidden/>
          </w:rPr>
          <w:instrText xml:space="preserve"> PAGEREF _Toc191972637 \h </w:instrText>
        </w:r>
        <w:r>
          <w:rPr>
            <w:noProof/>
            <w:webHidden/>
          </w:rPr>
        </w:r>
        <w:r>
          <w:rPr>
            <w:noProof/>
            <w:webHidden/>
          </w:rPr>
          <w:fldChar w:fldCharType="separate"/>
        </w:r>
        <w:r w:rsidR="00413FFE">
          <w:rPr>
            <w:noProof/>
            <w:webHidden/>
          </w:rPr>
          <w:t>74</w:t>
        </w:r>
        <w:r>
          <w:rPr>
            <w:noProof/>
            <w:webHidden/>
          </w:rPr>
          <w:fldChar w:fldCharType="end"/>
        </w:r>
      </w:hyperlink>
    </w:p>
    <w:p w:rsidR="00485599"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191972638" w:history="1">
        <w:r w:rsidR="00485599" w:rsidRPr="000823C4">
          <w:rPr>
            <w:rStyle w:val="Hipercze"/>
            <w:noProof/>
          </w:rPr>
          <w:t>Mapa 26. Spółki prawa handlowego w Bytomiu na 1 tys. mieszkańców</w:t>
        </w:r>
        <w:r w:rsidR="00485599">
          <w:rPr>
            <w:noProof/>
            <w:webHidden/>
          </w:rPr>
          <w:tab/>
        </w:r>
        <w:r>
          <w:rPr>
            <w:noProof/>
            <w:webHidden/>
          </w:rPr>
          <w:fldChar w:fldCharType="begin"/>
        </w:r>
        <w:r w:rsidR="00485599">
          <w:rPr>
            <w:noProof/>
            <w:webHidden/>
          </w:rPr>
          <w:instrText xml:space="preserve"> PAGEREF _Toc191972638 \h </w:instrText>
        </w:r>
        <w:r>
          <w:rPr>
            <w:noProof/>
            <w:webHidden/>
          </w:rPr>
        </w:r>
        <w:r>
          <w:rPr>
            <w:noProof/>
            <w:webHidden/>
          </w:rPr>
          <w:fldChar w:fldCharType="separate"/>
        </w:r>
        <w:r w:rsidR="00413FFE">
          <w:rPr>
            <w:noProof/>
            <w:webHidden/>
          </w:rPr>
          <w:t>76</w:t>
        </w:r>
        <w:r>
          <w:rPr>
            <w:noProof/>
            <w:webHidden/>
          </w:rPr>
          <w:fldChar w:fldCharType="end"/>
        </w:r>
      </w:hyperlink>
    </w:p>
    <w:p w:rsidR="00485599"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191972639" w:history="1">
        <w:r w:rsidR="00485599" w:rsidRPr="000823C4">
          <w:rPr>
            <w:rStyle w:val="Hipercze"/>
            <w:noProof/>
          </w:rPr>
          <w:t>Mapa 27. Średnie, duże i bardzo duże spółki prawa handlowego w Bytomiu</w:t>
        </w:r>
        <w:r w:rsidR="00485599">
          <w:rPr>
            <w:noProof/>
            <w:webHidden/>
          </w:rPr>
          <w:tab/>
        </w:r>
        <w:r>
          <w:rPr>
            <w:noProof/>
            <w:webHidden/>
          </w:rPr>
          <w:fldChar w:fldCharType="begin"/>
        </w:r>
        <w:r w:rsidR="00485599">
          <w:rPr>
            <w:noProof/>
            <w:webHidden/>
          </w:rPr>
          <w:instrText xml:space="preserve"> PAGEREF _Toc191972639 \h </w:instrText>
        </w:r>
        <w:r>
          <w:rPr>
            <w:noProof/>
            <w:webHidden/>
          </w:rPr>
        </w:r>
        <w:r>
          <w:rPr>
            <w:noProof/>
            <w:webHidden/>
          </w:rPr>
          <w:fldChar w:fldCharType="separate"/>
        </w:r>
        <w:r w:rsidR="00413FFE">
          <w:rPr>
            <w:noProof/>
            <w:webHidden/>
          </w:rPr>
          <w:t>77</w:t>
        </w:r>
        <w:r>
          <w:rPr>
            <w:noProof/>
            <w:webHidden/>
          </w:rPr>
          <w:fldChar w:fldCharType="end"/>
        </w:r>
      </w:hyperlink>
    </w:p>
    <w:p w:rsidR="00485599"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191972640" w:history="1">
        <w:r w:rsidR="00485599" w:rsidRPr="000823C4">
          <w:rPr>
            <w:rStyle w:val="Hipercze"/>
            <w:noProof/>
          </w:rPr>
          <w:t>Mapa 28. Małe przedsiębiorstwa</w:t>
        </w:r>
        <w:r w:rsidR="00485599">
          <w:rPr>
            <w:noProof/>
            <w:webHidden/>
          </w:rPr>
          <w:tab/>
        </w:r>
        <w:r>
          <w:rPr>
            <w:noProof/>
            <w:webHidden/>
          </w:rPr>
          <w:fldChar w:fldCharType="begin"/>
        </w:r>
        <w:r w:rsidR="00485599">
          <w:rPr>
            <w:noProof/>
            <w:webHidden/>
          </w:rPr>
          <w:instrText xml:space="preserve"> PAGEREF _Toc191972640 \h </w:instrText>
        </w:r>
        <w:r>
          <w:rPr>
            <w:noProof/>
            <w:webHidden/>
          </w:rPr>
        </w:r>
        <w:r>
          <w:rPr>
            <w:noProof/>
            <w:webHidden/>
          </w:rPr>
          <w:fldChar w:fldCharType="separate"/>
        </w:r>
        <w:r w:rsidR="00413FFE">
          <w:rPr>
            <w:noProof/>
            <w:webHidden/>
          </w:rPr>
          <w:t>77</w:t>
        </w:r>
        <w:r>
          <w:rPr>
            <w:noProof/>
            <w:webHidden/>
          </w:rPr>
          <w:fldChar w:fldCharType="end"/>
        </w:r>
      </w:hyperlink>
    </w:p>
    <w:p w:rsidR="00485599"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191972641" w:history="1">
        <w:r w:rsidR="00485599" w:rsidRPr="000823C4">
          <w:rPr>
            <w:rStyle w:val="Hipercze"/>
            <w:noProof/>
          </w:rPr>
          <w:t>Mapa 29. Mikroprzedsiębiorstwa</w:t>
        </w:r>
        <w:r w:rsidR="00485599">
          <w:rPr>
            <w:noProof/>
            <w:webHidden/>
          </w:rPr>
          <w:tab/>
        </w:r>
        <w:r>
          <w:rPr>
            <w:noProof/>
            <w:webHidden/>
          </w:rPr>
          <w:fldChar w:fldCharType="begin"/>
        </w:r>
        <w:r w:rsidR="00485599">
          <w:rPr>
            <w:noProof/>
            <w:webHidden/>
          </w:rPr>
          <w:instrText xml:space="preserve"> PAGEREF _Toc191972641 \h </w:instrText>
        </w:r>
        <w:r>
          <w:rPr>
            <w:noProof/>
            <w:webHidden/>
          </w:rPr>
        </w:r>
        <w:r>
          <w:rPr>
            <w:noProof/>
            <w:webHidden/>
          </w:rPr>
          <w:fldChar w:fldCharType="separate"/>
        </w:r>
        <w:r w:rsidR="00413FFE">
          <w:rPr>
            <w:noProof/>
            <w:webHidden/>
          </w:rPr>
          <w:t>78</w:t>
        </w:r>
        <w:r>
          <w:rPr>
            <w:noProof/>
            <w:webHidden/>
          </w:rPr>
          <w:fldChar w:fldCharType="end"/>
        </w:r>
      </w:hyperlink>
    </w:p>
    <w:p w:rsidR="00485599"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191972642" w:history="1">
        <w:r w:rsidR="00485599" w:rsidRPr="000823C4">
          <w:rPr>
            <w:rStyle w:val="Hipercze"/>
            <w:noProof/>
          </w:rPr>
          <w:t>Mapa 30. Podmioty zarejestrowane w CEIDG na 100 osób</w:t>
        </w:r>
        <w:r w:rsidR="00485599">
          <w:rPr>
            <w:noProof/>
            <w:webHidden/>
          </w:rPr>
          <w:tab/>
        </w:r>
        <w:r>
          <w:rPr>
            <w:noProof/>
            <w:webHidden/>
          </w:rPr>
          <w:fldChar w:fldCharType="begin"/>
        </w:r>
        <w:r w:rsidR="00485599">
          <w:rPr>
            <w:noProof/>
            <w:webHidden/>
          </w:rPr>
          <w:instrText xml:space="preserve"> PAGEREF _Toc191972642 \h </w:instrText>
        </w:r>
        <w:r>
          <w:rPr>
            <w:noProof/>
            <w:webHidden/>
          </w:rPr>
        </w:r>
        <w:r>
          <w:rPr>
            <w:noProof/>
            <w:webHidden/>
          </w:rPr>
          <w:fldChar w:fldCharType="separate"/>
        </w:r>
        <w:r w:rsidR="00413FFE">
          <w:rPr>
            <w:noProof/>
            <w:webHidden/>
          </w:rPr>
          <w:t>81</w:t>
        </w:r>
        <w:r>
          <w:rPr>
            <w:noProof/>
            <w:webHidden/>
          </w:rPr>
          <w:fldChar w:fldCharType="end"/>
        </w:r>
      </w:hyperlink>
    </w:p>
    <w:p w:rsidR="00485599"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191972643" w:history="1">
        <w:r w:rsidR="00485599" w:rsidRPr="000823C4">
          <w:rPr>
            <w:rStyle w:val="Hipercze"/>
            <w:noProof/>
          </w:rPr>
          <w:t>Mapa 31. Udział osób bezrobotnych z wykształceniem gimnazjalnym i poniżej w ogóle bezrobotnych</w:t>
        </w:r>
        <w:r w:rsidR="00485599">
          <w:rPr>
            <w:noProof/>
            <w:webHidden/>
          </w:rPr>
          <w:tab/>
        </w:r>
        <w:r>
          <w:rPr>
            <w:noProof/>
            <w:webHidden/>
          </w:rPr>
          <w:fldChar w:fldCharType="begin"/>
        </w:r>
        <w:r w:rsidR="00485599">
          <w:rPr>
            <w:noProof/>
            <w:webHidden/>
          </w:rPr>
          <w:instrText xml:space="preserve"> PAGEREF _Toc191972643 \h </w:instrText>
        </w:r>
        <w:r>
          <w:rPr>
            <w:noProof/>
            <w:webHidden/>
          </w:rPr>
        </w:r>
        <w:r>
          <w:rPr>
            <w:noProof/>
            <w:webHidden/>
          </w:rPr>
          <w:fldChar w:fldCharType="separate"/>
        </w:r>
        <w:r w:rsidR="00413FFE">
          <w:rPr>
            <w:noProof/>
            <w:webHidden/>
          </w:rPr>
          <w:t>83</w:t>
        </w:r>
        <w:r>
          <w:rPr>
            <w:noProof/>
            <w:webHidden/>
          </w:rPr>
          <w:fldChar w:fldCharType="end"/>
        </w:r>
      </w:hyperlink>
    </w:p>
    <w:p w:rsidR="00485599"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191972644" w:history="1">
        <w:r w:rsidR="00485599" w:rsidRPr="000823C4">
          <w:rPr>
            <w:rStyle w:val="Hipercze"/>
            <w:noProof/>
          </w:rPr>
          <w:t>Mapa 32. Udział budynków należących do gminy i budynków wspólnot mieszkaniowych</w:t>
        </w:r>
        <w:r w:rsidR="00485599">
          <w:rPr>
            <w:noProof/>
            <w:webHidden/>
          </w:rPr>
          <w:tab/>
        </w:r>
        <w:r>
          <w:rPr>
            <w:noProof/>
            <w:webHidden/>
          </w:rPr>
          <w:fldChar w:fldCharType="begin"/>
        </w:r>
        <w:r w:rsidR="00485599">
          <w:rPr>
            <w:noProof/>
            <w:webHidden/>
          </w:rPr>
          <w:instrText xml:space="preserve"> PAGEREF _Toc191972644 \h </w:instrText>
        </w:r>
        <w:r>
          <w:rPr>
            <w:noProof/>
            <w:webHidden/>
          </w:rPr>
        </w:r>
        <w:r>
          <w:rPr>
            <w:noProof/>
            <w:webHidden/>
          </w:rPr>
          <w:fldChar w:fldCharType="separate"/>
        </w:r>
        <w:r w:rsidR="00413FFE">
          <w:rPr>
            <w:noProof/>
            <w:webHidden/>
          </w:rPr>
          <w:t>84</w:t>
        </w:r>
        <w:r>
          <w:rPr>
            <w:noProof/>
            <w:webHidden/>
          </w:rPr>
          <w:fldChar w:fldCharType="end"/>
        </w:r>
      </w:hyperlink>
    </w:p>
    <w:p w:rsidR="00485599"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191972645" w:history="1">
        <w:r w:rsidR="00485599" w:rsidRPr="000823C4">
          <w:rPr>
            <w:rStyle w:val="Hipercze"/>
            <w:noProof/>
          </w:rPr>
          <w:t>Mapa 33. Budynki gminne i budynki wspólnot mieszkaniowych z udziałem gminy</w:t>
        </w:r>
        <w:r w:rsidR="00485599">
          <w:rPr>
            <w:noProof/>
            <w:webHidden/>
          </w:rPr>
          <w:tab/>
        </w:r>
        <w:r>
          <w:rPr>
            <w:noProof/>
            <w:webHidden/>
          </w:rPr>
          <w:fldChar w:fldCharType="begin"/>
        </w:r>
        <w:r w:rsidR="00485599">
          <w:rPr>
            <w:noProof/>
            <w:webHidden/>
          </w:rPr>
          <w:instrText xml:space="preserve"> PAGEREF _Toc191972645 \h </w:instrText>
        </w:r>
        <w:r>
          <w:rPr>
            <w:noProof/>
            <w:webHidden/>
          </w:rPr>
        </w:r>
        <w:r>
          <w:rPr>
            <w:noProof/>
            <w:webHidden/>
          </w:rPr>
          <w:fldChar w:fldCharType="separate"/>
        </w:r>
        <w:r w:rsidR="00413FFE">
          <w:rPr>
            <w:noProof/>
            <w:webHidden/>
          </w:rPr>
          <w:t>84</w:t>
        </w:r>
        <w:r>
          <w:rPr>
            <w:noProof/>
            <w:webHidden/>
          </w:rPr>
          <w:fldChar w:fldCharType="end"/>
        </w:r>
      </w:hyperlink>
    </w:p>
    <w:p w:rsidR="00485599"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191972646" w:history="1">
        <w:r w:rsidR="00485599" w:rsidRPr="000823C4">
          <w:rPr>
            <w:rStyle w:val="Hipercze"/>
            <w:noProof/>
          </w:rPr>
          <w:t>Mapa 34. Budynki gminne i budynki wspólnot mieszkaniowych z udziałem gminy - centrum</w:t>
        </w:r>
        <w:r w:rsidR="00485599">
          <w:rPr>
            <w:noProof/>
            <w:webHidden/>
          </w:rPr>
          <w:tab/>
        </w:r>
        <w:r>
          <w:rPr>
            <w:noProof/>
            <w:webHidden/>
          </w:rPr>
          <w:fldChar w:fldCharType="begin"/>
        </w:r>
        <w:r w:rsidR="00485599">
          <w:rPr>
            <w:noProof/>
            <w:webHidden/>
          </w:rPr>
          <w:instrText xml:space="preserve"> PAGEREF _Toc191972646 \h </w:instrText>
        </w:r>
        <w:r>
          <w:rPr>
            <w:noProof/>
            <w:webHidden/>
          </w:rPr>
        </w:r>
        <w:r>
          <w:rPr>
            <w:noProof/>
            <w:webHidden/>
          </w:rPr>
          <w:fldChar w:fldCharType="separate"/>
        </w:r>
        <w:r w:rsidR="00413FFE">
          <w:rPr>
            <w:noProof/>
            <w:webHidden/>
          </w:rPr>
          <w:t>85</w:t>
        </w:r>
        <w:r>
          <w:rPr>
            <w:noProof/>
            <w:webHidden/>
          </w:rPr>
          <w:fldChar w:fldCharType="end"/>
        </w:r>
      </w:hyperlink>
    </w:p>
    <w:p w:rsidR="00485599"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191972647" w:history="1">
        <w:r w:rsidR="00485599" w:rsidRPr="000823C4">
          <w:rPr>
            <w:rStyle w:val="Hipercze"/>
            <w:noProof/>
          </w:rPr>
          <w:t>Mapa 35. Łazienki w mieszkaniach komunalnych – budynki gminne</w:t>
        </w:r>
        <w:r w:rsidR="00485599">
          <w:rPr>
            <w:noProof/>
            <w:webHidden/>
          </w:rPr>
          <w:tab/>
        </w:r>
        <w:r>
          <w:rPr>
            <w:noProof/>
            <w:webHidden/>
          </w:rPr>
          <w:fldChar w:fldCharType="begin"/>
        </w:r>
        <w:r w:rsidR="00485599">
          <w:rPr>
            <w:noProof/>
            <w:webHidden/>
          </w:rPr>
          <w:instrText xml:space="preserve"> PAGEREF _Toc191972647 \h </w:instrText>
        </w:r>
        <w:r>
          <w:rPr>
            <w:noProof/>
            <w:webHidden/>
          </w:rPr>
        </w:r>
        <w:r>
          <w:rPr>
            <w:noProof/>
            <w:webHidden/>
          </w:rPr>
          <w:fldChar w:fldCharType="separate"/>
        </w:r>
        <w:r w:rsidR="00413FFE">
          <w:rPr>
            <w:noProof/>
            <w:webHidden/>
          </w:rPr>
          <w:t>86</w:t>
        </w:r>
        <w:r>
          <w:rPr>
            <w:noProof/>
            <w:webHidden/>
          </w:rPr>
          <w:fldChar w:fldCharType="end"/>
        </w:r>
      </w:hyperlink>
    </w:p>
    <w:p w:rsidR="00485599"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191972648" w:history="1">
        <w:r w:rsidR="00485599" w:rsidRPr="000823C4">
          <w:rPr>
            <w:rStyle w:val="Hipercze"/>
            <w:noProof/>
          </w:rPr>
          <w:t>Mapa 36. WC w mieszkaniach komunalnych – budynki gminne</w:t>
        </w:r>
        <w:r w:rsidR="00485599">
          <w:rPr>
            <w:noProof/>
            <w:webHidden/>
          </w:rPr>
          <w:tab/>
        </w:r>
        <w:r>
          <w:rPr>
            <w:noProof/>
            <w:webHidden/>
          </w:rPr>
          <w:fldChar w:fldCharType="begin"/>
        </w:r>
        <w:r w:rsidR="00485599">
          <w:rPr>
            <w:noProof/>
            <w:webHidden/>
          </w:rPr>
          <w:instrText xml:space="preserve"> PAGEREF _Toc191972648 \h </w:instrText>
        </w:r>
        <w:r>
          <w:rPr>
            <w:noProof/>
            <w:webHidden/>
          </w:rPr>
        </w:r>
        <w:r>
          <w:rPr>
            <w:noProof/>
            <w:webHidden/>
          </w:rPr>
          <w:fldChar w:fldCharType="separate"/>
        </w:r>
        <w:r w:rsidR="00413FFE">
          <w:rPr>
            <w:noProof/>
            <w:webHidden/>
          </w:rPr>
          <w:t>87</w:t>
        </w:r>
        <w:r>
          <w:rPr>
            <w:noProof/>
            <w:webHidden/>
          </w:rPr>
          <w:fldChar w:fldCharType="end"/>
        </w:r>
      </w:hyperlink>
    </w:p>
    <w:p w:rsidR="00485599"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191972649" w:history="1">
        <w:r w:rsidR="00485599" w:rsidRPr="000823C4">
          <w:rPr>
            <w:rStyle w:val="Hipercze"/>
            <w:noProof/>
          </w:rPr>
          <w:t>Mapa 37. Stan techniczny budynków należących do gminy</w:t>
        </w:r>
        <w:r w:rsidR="00485599">
          <w:rPr>
            <w:noProof/>
            <w:webHidden/>
          </w:rPr>
          <w:tab/>
        </w:r>
        <w:r>
          <w:rPr>
            <w:noProof/>
            <w:webHidden/>
          </w:rPr>
          <w:fldChar w:fldCharType="begin"/>
        </w:r>
        <w:r w:rsidR="00485599">
          <w:rPr>
            <w:noProof/>
            <w:webHidden/>
          </w:rPr>
          <w:instrText xml:space="preserve"> PAGEREF _Toc191972649 \h </w:instrText>
        </w:r>
        <w:r>
          <w:rPr>
            <w:noProof/>
            <w:webHidden/>
          </w:rPr>
        </w:r>
        <w:r>
          <w:rPr>
            <w:noProof/>
            <w:webHidden/>
          </w:rPr>
          <w:fldChar w:fldCharType="separate"/>
        </w:r>
        <w:r w:rsidR="00413FFE">
          <w:rPr>
            <w:noProof/>
            <w:webHidden/>
          </w:rPr>
          <w:t>90</w:t>
        </w:r>
        <w:r>
          <w:rPr>
            <w:noProof/>
            <w:webHidden/>
          </w:rPr>
          <w:fldChar w:fldCharType="end"/>
        </w:r>
      </w:hyperlink>
    </w:p>
    <w:p w:rsidR="00485599"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191972650" w:history="1">
        <w:r w:rsidR="00485599" w:rsidRPr="000823C4">
          <w:rPr>
            <w:rStyle w:val="Hipercze"/>
            <w:noProof/>
          </w:rPr>
          <w:t>Mapa 38. Zasiłek celowy a komunalne budynki w złym lub bardzo złym stanie technicznym</w:t>
        </w:r>
        <w:r w:rsidR="00485599">
          <w:rPr>
            <w:noProof/>
            <w:webHidden/>
          </w:rPr>
          <w:tab/>
        </w:r>
        <w:r>
          <w:rPr>
            <w:noProof/>
            <w:webHidden/>
          </w:rPr>
          <w:fldChar w:fldCharType="begin"/>
        </w:r>
        <w:r w:rsidR="00485599">
          <w:rPr>
            <w:noProof/>
            <w:webHidden/>
          </w:rPr>
          <w:instrText xml:space="preserve"> PAGEREF _Toc191972650 \h </w:instrText>
        </w:r>
        <w:r>
          <w:rPr>
            <w:noProof/>
            <w:webHidden/>
          </w:rPr>
        </w:r>
        <w:r>
          <w:rPr>
            <w:noProof/>
            <w:webHidden/>
          </w:rPr>
          <w:fldChar w:fldCharType="separate"/>
        </w:r>
        <w:r w:rsidR="00413FFE">
          <w:rPr>
            <w:noProof/>
            <w:webHidden/>
          </w:rPr>
          <w:t>90</w:t>
        </w:r>
        <w:r>
          <w:rPr>
            <w:noProof/>
            <w:webHidden/>
          </w:rPr>
          <w:fldChar w:fldCharType="end"/>
        </w:r>
      </w:hyperlink>
    </w:p>
    <w:p w:rsidR="00485599"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191972651" w:history="1">
        <w:r w:rsidR="00485599" w:rsidRPr="000823C4">
          <w:rPr>
            <w:rStyle w:val="Hipercze"/>
            <w:noProof/>
          </w:rPr>
          <w:t>Mapa 39. Obszary eksploatacji górniczej na obszarze gminy Bytom</w:t>
        </w:r>
        <w:r w:rsidR="00485599">
          <w:rPr>
            <w:noProof/>
            <w:webHidden/>
          </w:rPr>
          <w:tab/>
        </w:r>
        <w:r>
          <w:rPr>
            <w:noProof/>
            <w:webHidden/>
          </w:rPr>
          <w:fldChar w:fldCharType="begin"/>
        </w:r>
        <w:r w:rsidR="00485599">
          <w:rPr>
            <w:noProof/>
            <w:webHidden/>
          </w:rPr>
          <w:instrText xml:space="preserve"> PAGEREF _Toc191972651 \h </w:instrText>
        </w:r>
        <w:r>
          <w:rPr>
            <w:noProof/>
            <w:webHidden/>
          </w:rPr>
        </w:r>
        <w:r>
          <w:rPr>
            <w:noProof/>
            <w:webHidden/>
          </w:rPr>
          <w:fldChar w:fldCharType="separate"/>
        </w:r>
        <w:r w:rsidR="00413FFE">
          <w:rPr>
            <w:noProof/>
            <w:webHidden/>
          </w:rPr>
          <w:t>99</w:t>
        </w:r>
        <w:r>
          <w:rPr>
            <w:noProof/>
            <w:webHidden/>
          </w:rPr>
          <w:fldChar w:fldCharType="end"/>
        </w:r>
      </w:hyperlink>
    </w:p>
    <w:p w:rsidR="00485599"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191972652" w:history="1">
        <w:r w:rsidR="00485599" w:rsidRPr="000823C4">
          <w:rPr>
            <w:rStyle w:val="Hipercze"/>
            <w:noProof/>
          </w:rPr>
          <w:t>Mapa 40. Ogrzewanie piecowe węglowe powodujące niską emisję (budynki 100% gminy)</w:t>
        </w:r>
        <w:r w:rsidR="00485599">
          <w:rPr>
            <w:noProof/>
            <w:webHidden/>
          </w:rPr>
          <w:tab/>
        </w:r>
        <w:r>
          <w:rPr>
            <w:noProof/>
            <w:webHidden/>
          </w:rPr>
          <w:fldChar w:fldCharType="begin"/>
        </w:r>
        <w:r w:rsidR="00485599">
          <w:rPr>
            <w:noProof/>
            <w:webHidden/>
          </w:rPr>
          <w:instrText xml:space="preserve"> PAGEREF _Toc191972652 \h </w:instrText>
        </w:r>
        <w:r>
          <w:rPr>
            <w:noProof/>
            <w:webHidden/>
          </w:rPr>
        </w:r>
        <w:r>
          <w:rPr>
            <w:noProof/>
            <w:webHidden/>
          </w:rPr>
          <w:fldChar w:fldCharType="separate"/>
        </w:r>
        <w:r w:rsidR="00413FFE">
          <w:rPr>
            <w:noProof/>
            <w:webHidden/>
          </w:rPr>
          <w:t>101</w:t>
        </w:r>
        <w:r>
          <w:rPr>
            <w:noProof/>
            <w:webHidden/>
          </w:rPr>
          <w:fldChar w:fldCharType="end"/>
        </w:r>
      </w:hyperlink>
    </w:p>
    <w:p w:rsidR="00485599"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191972653" w:history="1">
        <w:r w:rsidR="00485599" w:rsidRPr="000823C4">
          <w:rPr>
            <w:rStyle w:val="Hipercze"/>
            <w:noProof/>
          </w:rPr>
          <w:t>Mapa 41. Organizacje pozarządowe w Bytomiu na 1 tys. mieszkańców</w:t>
        </w:r>
        <w:r w:rsidR="00485599">
          <w:rPr>
            <w:noProof/>
            <w:webHidden/>
          </w:rPr>
          <w:tab/>
        </w:r>
        <w:r>
          <w:rPr>
            <w:noProof/>
            <w:webHidden/>
          </w:rPr>
          <w:fldChar w:fldCharType="begin"/>
        </w:r>
        <w:r w:rsidR="00485599">
          <w:rPr>
            <w:noProof/>
            <w:webHidden/>
          </w:rPr>
          <w:instrText xml:space="preserve"> PAGEREF _Toc191972653 \h </w:instrText>
        </w:r>
        <w:r>
          <w:rPr>
            <w:noProof/>
            <w:webHidden/>
          </w:rPr>
        </w:r>
        <w:r>
          <w:rPr>
            <w:noProof/>
            <w:webHidden/>
          </w:rPr>
          <w:fldChar w:fldCharType="separate"/>
        </w:r>
        <w:r w:rsidR="00413FFE">
          <w:rPr>
            <w:noProof/>
            <w:webHidden/>
          </w:rPr>
          <w:t>102</w:t>
        </w:r>
        <w:r>
          <w:rPr>
            <w:noProof/>
            <w:webHidden/>
          </w:rPr>
          <w:fldChar w:fldCharType="end"/>
        </w:r>
      </w:hyperlink>
    </w:p>
    <w:p w:rsidR="00485599"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191972654" w:history="1">
        <w:r w:rsidR="00485599" w:rsidRPr="000823C4">
          <w:rPr>
            <w:rStyle w:val="Hipercze"/>
            <w:noProof/>
          </w:rPr>
          <w:t>Mapa 42. Organizacje pozarządowe działające w dziedzinie kultury i spraw społecznych</w:t>
        </w:r>
        <w:r w:rsidR="00485599">
          <w:rPr>
            <w:noProof/>
            <w:webHidden/>
          </w:rPr>
          <w:tab/>
        </w:r>
        <w:r>
          <w:rPr>
            <w:noProof/>
            <w:webHidden/>
          </w:rPr>
          <w:fldChar w:fldCharType="begin"/>
        </w:r>
        <w:r w:rsidR="00485599">
          <w:rPr>
            <w:noProof/>
            <w:webHidden/>
          </w:rPr>
          <w:instrText xml:space="preserve"> PAGEREF _Toc191972654 \h </w:instrText>
        </w:r>
        <w:r>
          <w:rPr>
            <w:noProof/>
            <w:webHidden/>
          </w:rPr>
        </w:r>
        <w:r>
          <w:rPr>
            <w:noProof/>
            <w:webHidden/>
          </w:rPr>
          <w:fldChar w:fldCharType="separate"/>
        </w:r>
        <w:r w:rsidR="00413FFE">
          <w:rPr>
            <w:noProof/>
            <w:webHidden/>
          </w:rPr>
          <w:t>103</w:t>
        </w:r>
        <w:r>
          <w:rPr>
            <w:noProof/>
            <w:webHidden/>
          </w:rPr>
          <w:fldChar w:fldCharType="end"/>
        </w:r>
      </w:hyperlink>
    </w:p>
    <w:p w:rsidR="00485599"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191972655" w:history="1">
        <w:r w:rsidR="00485599" w:rsidRPr="000823C4">
          <w:rPr>
            <w:rStyle w:val="Hipercze"/>
            <w:noProof/>
          </w:rPr>
          <w:t>Mapa 43. Dotacje udzielone organizacjom na zadania w dziedzinie kultury w 2016 r.</w:t>
        </w:r>
        <w:r w:rsidR="00485599">
          <w:rPr>
            <w:noProof/>
            <w:webHidden/>
          </w:rPr>
          <w:tab/>
        </w:r>
        <w:r>
          <w:rPr>
            <w:noProof/>
            <w:webHidden/>
          </w:rPr>
          <w:fldChar w:fldCharType="begin"/>
        </w:r>
        <w:r w:rsidR="00485599">
          <w:rPr>
            <w:noProof/>
            <w:webHidden/>
          </w:rPr>
          <w:instrText xml:space="preserve"> PAGEREF _Toc191972655 \h </w:instrText>
        </w:r>
        <w:r>
          <w:rPr>
            <w:noProof/>
            <w:webHidden/>
          </w:rPr>
        </w:r>
        <w:r>
          <w:rPr>
            <w:noProof/>
            <w:webHidden/>
          </w:rPr>
          <w:fldChar w:fldCharType="separate"/>
        </w:r>
        <w:r w:rsidR="00413FFE">
          <w:rPr>
            <w:noProof/>
            <w:webHidden/>
          </w:rPr>
          <w:t>105</w:t>
        </w:r>
        <w:r>
          <w:rPr>
            <w:noProof/>
            <w:webHidden/>
          </w:rPr>
          <w:fldChar w:fldCharType="end"/>
        </w:r>
      </w:hyperlink>
    </w:p>
    <w:p w:rsidR="00485599"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191972656" w:history="1">
        <w:r w:rsidR="00485599" w:rsidRPr="000823C4">
          <w:rPr>
            <w:rStyle w:val="Hipercze"/>
            <w:noProof/>
          </w:rPr>
          <w:t>Mapa 44. Instytucje kultury w Bytomiu</w:t>
        </w:r>
        <w:r w:rsidR="00485599">
          <w:rPr>
            <w:noProof/>
            <w:webHidden/>
          </w:rPr>
          <w:tab/>
        </w:r>
        <w:r>
          <w:rPr>
            <w:noProof/>
            <w:webHidden/>
          </w:rPr>
          <w:fldChar w:fldCharType="begin"/>
        </w:r>
        <w:r w:rsidR="00485599">
          <w:rPr>
            <w:noProof/>
            <w:webHidden/>
          </w:rPr>
          <w:instrText xml:space="preserve"> PAGEREF _Toc191972656 \h </w:instrText>
        </w:r>
        <w:r>
          <w:rPr>
            <w:noProof/>
            <w:webHidden/>
          </w:rPr>
        </w:r>
        <w:r>
          <w:rPr>
            <w:noProof/>
            <w:webHidden/>
          </w:rPr>
          <w:fldChar w:fldCharType="separate"/>
        </w:r>
        <w:r w:rsidR="00413FFE">
          <w:rPr>
            <w:noProof/>
            <w:webHidden/>
          </w:rPr>
          <w:t>107</w:t>
        </w:r>
        <w:r>
          <w:rPr>
            <w:noProof/>
            <w:webHidden/>
          </w:rPr>
          <w:fldChar w:fldCharType="end"/>
        </w:r>
      </w:hyperlink>
    </w:p>
    <w:p w:rsidR="00485599"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191972657" w:history="1">
        <w:r w:rsidR="00485599" w:rsidRPr="000823C4">
          <w:rPr>
            <w:rStyle w:val="Hipercze"/>
            <w:noProof/>
          </w:rPr>
          <w:t>Mapa 45. Najważniejsze obiekty zabytkowe w Bytomiu</w:t>
        </w:r>
        <w:r w:rsidR="00485599">
          <w:rPr>
            <w:noProof/>
            <w:webHidden/>
          </w:rPr>
          <w:tab/>
        </w:r>
        <w:r>
          <w:rPr>
            <w:noProof/>
            <w:webHidden/>
          </w:rPr>
          <w:fldChar w:fldCharType="begin"/>
        </w:r>
        <w:r w:rsidR="00485599">
          <w:rPr>
            <w:noProof/>
            <w:webHidden/>
          </w:rPr>
          <w:instrText xml:space="preserve"> PAGEREF _Toc191972657 \h </w:instrText>
        </w:r>
        <w:r>
          <w:rPr>
            <w:noProof/>
            <w:webHidden/>
          </w:rPr>
        </w:r>
        <w:r>
          <w:rPr>
            <w:noProof/>
            <w:webHidden/>
          </w:rPr>
          <w:fldChar w:fldCharType="separate"/>
        </w:r>
        <w:r w:rsidR="00413FFE">
          <w:rPr>
            <w:noProof/>
            <w:webHidden/>
          </w:rPr>
          <w:t>110</w:t>
        </w:r>
        <w:r>
          <w:rPr>
            <w:noProof/>
            <w:webHidden/>
          </w:rPr>
          <w:fldChar w:fldCharType="end"/>
        </w:r>
      </w:hyperlink>
    </w:p>
    <w:p w:rsidR="00485599"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191972658" w:history="1">
        <w:r w:rsidR="00485599" w:rsidRPr="000823C4">
          <w:rPr>
            <w:rStyle w:val="Hipercze"/>
            <w:noProof/>
          </w:rPr>
          <w:t>Mapa 46. Wiązka 1, 2, 3</w:t>
        </w:r>
        <w:r w:rsidR="00485599">
          <w:rPr>
            <w:noProof/>
            <w:webHidden/>
          </w:rPr>
          <w:tab/>
        </w:r>
        <w:r>
          <w:rPr>
            <w:noProof/>
            <w:webHidden/>
          </w:rPr>
          <w:fldChar w:fldCharType="begin"/>
        </w:r>
        <w:r w:rsidR="00485599">
          <w:rPr>
            <w:noProof/>
            <w:webHidden/>
          </w:rPr>
          <w:instrText xml:space="preserve"> PAGEREF _Toc191972658 \h </w:instrText>
        </w:r>
        <w:r>
          <w:rPr>
            <w:noProof/>
            <w:webHidden/>
          </w:rPr>
        </w:r>
        <w:r>
          <w:rPr>
            <w:noProof/>
            <w:webHidden/>
          </w:rPr>
          <w:fldChar w:fldCharType="separate"/>
        </w:r>
        <w:r w:rsidR="00413FFE">
          <w:rPr>
            <w:noProof/>
            <w:webHidden/>
          </w:rPr>
          <w:t>124</w:t>
        </w:r>
        <w:r>
          <w:rPr>
            <w:noProof/>
            <w:webHidden/>
          </w:rPr>
          <w:fldChar w:fldCharType="end"/>
        </w:r>
      </w:hyperlink>
    </w:p>
    <w:p w:rsidR="00485599"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191972659" w:history="1">
        <w:r w:rsidR="00485599" w:rsidRPr="000823C4">
          <w:rPr>
            <w:rStyle w:val="Hipercze"/>
            <w:noProof/>
          </w:rPr>
          <w:t>Mapa 47. Wiązka 4</w:t>
        </w:r>
        <w:r w:rsidR="00485599">
          <w:rPr>
            <w:noProof/>
            <w:webHidden/>
          </w:rPr>
          <w:tab/>
        </w:r>
        <w:r>
          <w:rPr>
            <w:noProof/>
            <w:webHidden/>
          </w:rPr>
          <w:fldChar w:fldCharType="begin"/>
        </w:r>
        <w:r w:rsidR="00485599">
          <w:rPr>
            <w:noProof/>
            <w:webHidden/>
          </w:rPr>
          <w:instrText xml:space="preserve"> PAGEREF _Toc191972659 \h </w:instrText>
        </w:r>
        <w:r>
          <w:rPr>
            <w:noProof/>
            <w:webHidden/>
          </w:rPr>
        </w:r>
        <w:r>
          <w:rPr>
            <w:noProof/>
            <w:webHidden/>
          </w:rPr>
          <w:fldChar w:fldCharType="separate"/>
        </w:r>
        <w:r w:rsidR="00413FFE">
          <w:rPr>
            <w:noProof/>
            <w:webHidden/>
          </w:rPr>
          <w:t>125</w:t>
        </w:r>
        <w:r>
          <w:rPr>
            <w:noProof/>
            <w:webHidden/>
          </w:rPr>
          <w:fldChar w:fldCharType="end"/>
        </w:r>
      </w:hyperlink>
    </w:p>
    <w:p w:rsidR="00485599"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191972660" w:history="1">
        <w:r w:rsidR="00485599" w:rsidRPr="000823C4">
          <w:rPr>
            <w:rStyle w:val="Hipercze"/>
            <w:noProof/>
          </w:rPr>
          <w:t>Mapa 48. Kwartały wg ReRoŚ</w:t>
        </w:r>
        <w:r w:rsidR="00485599">
          <w:rPr>
            <w:noProof/>
            <w:webHidden/>
          </w:rPr>
          <w:tab/>
        </w:r>
        <w:r>
          <w:rPr>
            <w:noProof/>
            <w:webHidden/>
          </w:rPr>
          <w:fldChar w:fldCharType="begin"/>
        </w:r>
        <w:r w:rsidR="00485599">
          <w:rPr>
            <w:noProof/>
            <w:webHidden/>
          </w:rPr>
          <w:instrText xml:space="preserve"> PAGEREF _Toc191972660 \h </w:instrText>
        </w:r>
        <w:r>
          <w:rPr>
            <w:noProof/>
            <w:webHidden/>
          </w:rPr>
        </w:r>
        <w:r>
          <w:rPr>
            <w:noProof/>
            <w:webHidden/>
          </w:rPr>
          <w:fldChar w:fldCharType="separate"/>
        </w:r>
        <w:r w:rsidR="00413FFE">
          <w:rPr>
            <w:noProof/>
            <w:webHidden/>
          </w:rPr>
          <w:t>212</w:t>
        </w:r>
        <w:r>
          <w:rPr>
            <w:noProof/>
            <w:webHidden/>
          </w:rPr>
          <w:fldChar w:fldCharType="end"/>
        </w:r>
      </w:hyperlink>
    </w:p>
    <w:p w:rsidR="00BE10FC" w:rsidRDefault="003972D8" w:rsidP="00BE10FC">
      <w:r w:rsidRPr="007553D1">
        <w:fldChar w:fldCharType="end"/>
      </w:r>
    </w:p>
    <w:p w:rsidR="00BE10FC" w:rsidRDefault="00BE10FC" w:rsidP="00EE1513">
      <w:pPr>
        <w:pStyle w:val="Nagwek1"/>
        <w:spacing w:before="120"/>
      </w:pPr>
      <w:bookmarkStart w:id="9183" w:name="_Toc474924990"/>
      <w:r>
        <w:t>SPIS SCHEMATÓW</w:t>
      </w:r>
      <w:bookmarkEnd w:id="9183"/>
    </w:p>
    <w:p w:rsidR="00B80F21" w:rsidRPr="00B80F21" w:rsidRDefault="003972D8">
      <w:pPr>
        <w:pStyle w:val="Spisilustracji"/>
        <w:tabs>
          <w:tab w:val="right" w:leader="dot" w:pos="9060"/>
        </w:tabs>
        <w:rPr>
          <w:rFonts w:asciiTheme="minorHAnsi" w:eastAsiaTheme="minorEastAsia" w:hAnsiTheme="minorHAnsi" w:cstheme="minorBidi"/>
          <w:noProof/>
          <w:sz w:val="22"/>
          <w:szCs w:val="22"/>
          <w:lang w:eastAsia="pl-PL"/>
        </w:rPr>
      </w:pPr>
      <w:r w:rsidRPr="00F163D5">
        <w:rPr>
          <w:szCs w:val="20"/>
        </w:rPr>
        <w:fldChar w:fldCharType="begin"/>
      </w:r>
      <w:r w:rsidR="00BE10FC" w:rsidRPr="00F163D5">
        <w:rPr>
          <w:szCs w:val="20"/>
        </w:rPr>
        <w:instrText xml:space="preserve"> TOC \h \z \c "Schemat" </w:instrText>
      </w:r>
      <w:r w:rsidRPr="00F163D5">
        <w:rPr>
          <w:szCs w:val="20"/>
        </w:rPr>
        <w:fldChar w:fldCharType="separate"/>
      </w:r>
      <w:hyperlink w:anchor="_Toc474925065" w:history="1">
        <w:r w:rsidR="00B80F21" w:rsidRPr="00B80F21">
          <w:rPr>
            <w:rStyle w:val="Hipercze"/>
            <w:noProof/>
          </w:rPr>
          <w:t>Schemat 1. Przestrzeń publiczna</w:t>
        </w:r>
        <w:r w:rsidR="00B80F21" w:rsidRPr="00B80F21">
          <w:rPr>
            <w:noProof/>
            <w:webHidden/>
          </w:rPr>
          <w:tab/>
        </w:r>
        <w:r w:rsidRPr="00B80F21">
          <w:rPr>
            <w:noProof/>
            <w:webHidden/>
          </w:rPr>
          <w:fldChar w:fldCharType="begin"/>
        </w:r>
        <w:r w:rsidR="00B80F21" w:rsidRPr="00B80F21">
          <w:rPr>
            <w:noProof/>
            <w:webHidden/>
          </w:rPr>
          <w:instrText xml:space="preserve"> PAGEREF _Toc474925065 \h </w:instrText>
        </w:r>
        <w:r w:rsidRPr="00B80F21">
          <w:rPr>
            <w:noProof/>
            <w:webHidden/>
          </w:rPr>
        </w:r>
        <w:r w:rsidRPr="00B80F21">
          <w:rPr>
            <w:noProof/>
            <w:webHidden/>
          </w:rPr>
          <w:fldChar w:fldCharType="separate"/>
        </w:r>
        <w:r w:rsidR="00413FFE">
          <w:rPr>
            <w:noProof/>
            <w:webHidden/>
          </w:rPr>
          <w:t>97</w:t>
        </w:r>
        <w:r w:rsidRPr="00B80F21">
          <w:rPr>
            <w:noProof/>
            <w:webHidden/>
          </w:rPr>
          <w:fldChar w:fldCharType="end"/>
        </w:r>
      </w:hyperlink>
    </w:p>
    <w:p w:rsidR="00B80F21" w:rsidRPr="00B80F21"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474925066" w:history="1">
        <w:r w:rsidR="00B80F21" w:rsidRPr="00B80F21">
          <w:rPr>
            <w:rStyle w:val="Hipercze"/>
            <w:noProof/>
          </w:rPr>
          <w:t>Schemat 2. Logika interwencji społeczno-infrastrukturalnej</w:t>
        </w:r>
        <w:r w:rsidR="00B80F21" w:rsidRPr="00B80F21">
          <w:rPr>
            <w:noProof/>
            <w:webHidden/>
          </w:rPr>
          <w:tab/>
        </w:r>
        <w:r w:rsidRPr="00B80F21">
          <w:rPr>
            <w:noProof/>
            <w:webHidden/>
          </w:rPr>
          <w:fldChar w:fldCharType="begin"/>
        </w:r>
        <w:r w:rsidR="00B80F21" w:rsidRPr="00B80F21">
          <w:rPr>
            <w:noProof/>
            <w:webHidden/>
          </w:rPr>
          <w:instrText xml:space="preserve"> PAGEREF _Toc474925066 \h </w:instrText>
        </w:r>
        <w:r w:rsidRPr="00B80F21">
          <w:rPr>
            <w:noProof/>
            <w:webHidden/>
          </w:rPr>
        </w:r>
        <w:r w:rsidRPr="00B80F21">
          <w:rPr>
            <w:noProof/>
            <w:webHidden/>
          </w:rPr>
          <w:fldChar w:fldCharType="separate"/>
        </w:r>
        <w:r w:rsidR="00413FFE">
          <w:rPr>
            <w:noProof/>
            <w:webHidden/>
          </w:rPr>
          <w:t>156</w:t>
        </w:r>
        <w:r w:rsidRPr="00B80F21">
          <w:rPr>
            <w:noProof/>
            <w:webHidden/>
          </w:rPr>
          <w:fldChar w:fldCharType="end"/>
        </w:r>
      </w:hyperlink>
    </w:p>
    <w:p w:rsidR="00B80F21" w:rsidRPr="00B80F21"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474925067" w:history="1">
        <w:r w:rsidR="00B80F21" w:rsidRPr="00B80F21">
          <w:rPr>
            <w:rStyle w:val="Hipercze"/>
            <w:noProof/>
          </w:rPr>
          <w:t>Schemat 3. Schemat procesu rewitalizacji w Bytomiu</w:t>
        </w:r>
        <w:r w:rsidR="00B80F21" w:rsidRPr="00B80F21">
          <w:rPr>
            <w:noProof/>
            <w:webHidden/>
          </w:rPr>
          <w:tab/>
        </w:r>
        <w:r w:rsidRPr="00B80F21">
          <w:rPr>
            <w:noProof/>
            <w:webHidden/>
          </w:rPr>
          <w:fldChar w:fldCharType="begin"/>
        </w:r>
        <w:r w:rsidR="00B80F21" w:rsidRPr="00B80F21">
          <w:rPr>
            <w:noProof/>
            <w:webHidden/>
          </w:rPr>
          <w:instrText xml:space="preserve"> PAGEREF _Toc474925067 \h </w:instrText>
        </w:r>
        <w:r w:rsidRPr="00B80F21">
          <w:rPr>
            <w:noProof/>
            <w:webHidden/>
          </w:rPr>
        </w:r>
        <w:r w:rsidRPr="00B80F21">
          <w:rPr>
            <w:noProof/>
            <w:webHidden/>
          </w:rPr>
          <w:fldChar w:fldCharType="separate"/>
        </w:r>
        <w:r w:rsidR="00413FFE">
          <w:rPr>
            <w:noProof/>
            <w:webHidden/>
          </w:rPr>
          <w:t>201</w:t>
        </w:r>
        <w:r w:rsidRPr="00B80F21">
          <w:rPr>
            <w:noProof/>
            <w:webHidden/>
          </w:rPr>
          <w:fldChar w:fldCharType="end"/>
        </w:r>
      </w:hyperlink>
    </w:p>
    <w:p w:rsidR="00B80F21" w:rsidRPr="00B80F21"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474925068" w:history="1">
        <w:r w:rsidR="00B80F21" w:rsidRPr="00B80F21">
          <w:rPr>
            <w:rStyle w:val="Hipercze"/>
            <w:noProof/>
          </w:rPr>
          <w:t>Schemat 4. Schemat zarządzania rewitalizacją w Bytomiu</w:t>
        </w:r>
        <w:r w:rsidR="00B80F21" w:rsidRPr="00B80F21">
          <w:rPr>
            <w:noProof/>
            <w:webHidden/>
          </w:rPr>
          <w:tab/>
        </w:r>
        <w:r w:rsidRPr="00B80F21">
          <w:rPr>
            <w:noProof/>
            <w:webHidden/>
          </w:rPr>
          <w:fldChar w:fldCharType="begin"/>
        </w:r>
        <w:r w:rsidR="00B80F21" w:rsidRPr="00B80F21">
          <w:rPr>
            <w:noProof/>
            <w:webHidden/>
          </w:rPr>
          <w:instrText xml:space="preserve"> PAGEREF _Toc474925068 \h </w:instrText>
        </w:r>
        <w:r w:rsidRPr="00B80F21">
          <w:rPr>
            <w:noProof/>
            <w:webHidden/>
          </w:rPr>
        </w:r>
        <w:r w:rsidRPr="00B80F21">
          <w:rPr>
            <w:noProof/>
            <w:webHidden/>
          </w:rPr>
          <w:fldChar w:fldCharType="separate"/>
        </w:r>
        <w:r w:rsidR="00413FFE">
          <w:rPr>
            <w:noProof/>
            <w:webHidden/>
          </w:rPr>
          <w:t>202</w:t>
        </w:r>
        <w:r w:rsidRPr="00B80F21">
          <w:rPr>
            <w:noProof/>
            <w:webHidden/>
          </w:rPr>
          <w:fldChar w:fldCharType="end"/>
        </w:r>
      </w:hyperlink>
    </w:p>
    <w:p w:rsidR="00B80F21" w:rsidRPr="00B80F21"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474925069" w:history="1">
        <w:r w:rsidR="00B80F21" w:rsidRPr="00B80F21">
          <w:rPr>
            <w:rStyle w:val="Hipercze"/>
            <w:noProof/>
          </w:rPr>
          <w:t>Schemat 5. Cykl monitoringu wdrażania GPR</w:t>
        </w:r>
        <w:r w:rsidR="00B80F21" w:rsidRPr="00B80F21">
          <w:rPr>
            <w:noProof/>
            <w:webHidden/>
          </w:rPr>
          <w:tab/>
        </w:r>
        <w:r w:rsidRPr="00B80F21">
          <w:rPr>
            <w:noProof/>
            <w:webHidden/>
          </w:rPr>
          <w:fldChar w:fldCharType="begin"/>
        </w:r>
        <w:r w:rsidR="00B80F21" w:rsidRPr="00B80F21">
          <w:rPr>
            <w:noProof/>
            <w:webHidden/>
          </w:rPr>
          <w:instrText xml:space="preserve"> PAGEREF _Toc474925069 \h </w:instrText>
        </w:r>
        <w:r w:rsidRPr="00B80F21">
          <w:rPr>
            <w:noProof/>
            <w:webHidden/>
          </w:rPr>
        </w:r>
        <w:r w:rsidRPr="00B80F21">
          <w:rPr>
            <w:noProof/>
            <w:webHidden/>
          </w:rPr>
          <w:fldChar w:fldCharType="separate"/>
        </w:r>
        <w:r w:rsidR="00413FFE">
          <w:rPr>
            <w:noProof/>
            <w:webHidden/>
          </w:rPr>
          <w:t>219</w:t>
        </w:r>
        <w:r w:rsidRPr="00B80F21">
          <w:rPr>
            <w:noProof/>
            <w:webHidden/>
          </w:rPr>
          <w:fldChar w:fldCharType="end"/>
        </w:r>
      </w:hyperlink>
    </w:p>
    <w:p w:rsidR="00B80F21" w:rsidRPr="00B80F21"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474925070" w:history="1">
        <w:r w:rsidR="00B80F21" w:rsidRPr="00B80F21">
          <w:rPr>
            <w:rStyle w:val="Hipercze"/>
            <w:noProof/>
          </w:rPr>
          <w:t>Schemat 6. Poziomy monitoringu i ewaluacji GPR</w:t>
        </w:r>
        <w:r w:rsidR="00B80F21" w:rsidRPr="00B80F21">
          <w:rPr>
            <w:noProof/>
            <w:webHidden/>
          </w:rPr>
          <w:tab/>
        </w:r>
        <w:r w:rsidRPr="00B80F21">
          <w:rPr>
            <w:noProof/>
            <w:webHidden/>
          </w:rPr>
          <w:fldChar w:fldCharType="begin"/>
        </w:r>
        <w:r w:rsidR="00B80F21" w:rsidRPr="00B80F21">
          <w:rPr>
            <w:noProof/>
            <w:webHidden/>
          </w:rPr>
          <w:instrText xml:space="preserve"> PAGEREF _Toc474925070 \h </w:instrText>
        </w:r>
        <w:r w:rsidRPr="00B80F21">
          <w:rPr>
            <w:noProof/>
            <w:webHidden/>
          </w:rPr>
        </w:r>
        <w:r w:rsidRPr="00B80F21">
          <w:rPr>
            <w:noProof/>
            <w:webHidden/>
          </w:rPr>
          <w:fldChar w:fldCharType="separate"/>
        </w:r>
        <w:r w:rsidR="00413FFE">
          <w:rPr>
            <w:noProof/>
            <w:webHidden/>
          </w:rPr>
          <w:t>220</w:t>
        </w:r>
        <w:r w:rsidRPr="00B80F21">
          <w:rPr>
            <w:noProof/>
            <w:webHidden/>
          </w:rPr>
          <w:fldChar w:fldCharType="end"/>
        </w:r>
      </w:hyperlink>
    </w:p>
    <w:p w:rsidR="00B80F21" w:rsidRPr="00B80F21"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474925071" w:history="1">
        <w:r w:rsidR="00B80F21" w:rsidRPr="00B80F21">
          <w:rPr>
            <w:rStyle w:val="Hipercze"/>
            <w:noProof/>
          </w:rPr>
          <w:t>Schemat 7. Podmioty ewaluacji i monitoringu GPR</w:t>
        </w:r>
        <w:r w:rsidR="00B80F21" w:rsidRPr="00B80F21">
          <w:rPr>
            <w:noProof/>
            <w:webHidden/>
          </w:rPr>
          <w:tab/>
        </w:r>
        <w:r w:rsidRPr="00B80F21">
          <w:rPr>
            <w:noProof/>
            <w:webHidden/>
          </w:rPr>
          <w:fldChar w:fldCharType="begin"/>
        </w:r>
        <w:r w:rsidR="00B80F21" w:rsidRPr="00B80F21">
          <w:rPr>
            <w:noProof/>
            <w:webHidden/>
          </w:rPr>
          <w:instrText xml:space="preserve"> PAGEREF _Toc474925071 \h </w:instrText>
        </w:r>
        <w:r w:rsidRPr="00B80F21">
          <w:rPr>
            <w:noProof/>
            <w:webHidden/>
          </w:rPr>
        </w:r>
        <w:r w:rsidRPr="00B80F21">
          <w:rPr>
            <w:noProof/>
            <w:webHidden/>
          </w:rPr>
          <w:fldChar w:fldCharType="separate"/>
        </w:r>
        <w:r w:rsidR="00413FFE">
          <w:rPr>
            <w:noProof/>
            <w:webHidden/>
          </w:rPr>
          <w:t>221</w:t>
        </w:r>
        <w:r w:rsidRPr="00B80F21">
          <w:rPr>
            <w:noProof/>
            <w:webHidden/>
          </w:rPr>
          <w:fldChar w:fldCharType="end"/>
        </w:r>
      </w:hyperlink>
    </w:p>
    <w:p w:rsidR="00B80F21" w:rsidRPr="00B80F21"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474925072" w:history="1">
        <w:r w:rsidR="00B80F21" w:rsidRPr="00B80F21">
          <w:rPr>
            <w:rStyle w:val="Hipercze"/>
            <w:noProof/>
          </w:rPr>
          <w:t>Schemat 8. Poziomy monitoringu i ewaluacji GPR</w:t>
        </w:r>
        <w:r w:rsidR="00B80F21" w:rsidRPr="00B80F21">
          <w:rPr>
            <w:noProof/>
            <w:webHidden/>
          </w:rPr>
          <w:tab/>
        </w:r>
        <w:r w:rsidRPr="00B80F21">
          <w:rPr>
            <w:noProof/>
            <w:webHidden/>
          </w:rPr>
          <w:fldChar w:fldCharType="begin"/>
        </w:r>
        <w:r w:rsidR="00B80F21" w:rsidRPr="00B80F21">
          <w:rPr>
            <w:noProof/>
            <w:webHidden/>
          </w:rPr>
          <w:instrText xml:space="preserve"> PAGEREF _Toc474925072 \h </w:instrText>
        </w:r>
        <w:r w:rsidRPr="00B80F21">
          <w:rPr>
            <w:noProof/>
            <w:webHidden/>
          </w:rPr>
        </w:r>
        <w:r w:rsidRPr="00B80F21">
          <w:rPr>
            <w:noProof/>
            <w:webHidden/>
          </w:rPr>
          <w:fldChar w:fldCharType="separate"/>
        </w:r>
        <w:r w:rsidR="00413FFE">
          <w:rPr>
            <w:noProof/>
            <w:webHidden/>
          </w:rPr>
          <w:t>225</w:t>
        </w:r>
        <w:r w:rsidRPr="00B80F21">
          <w:rPr>
            <w:noProof/>
            <w:webHidden/>
          </w:rPr>
          <w:fldChar w:fldCharType="end"/>
        </w:r>
      </w:hyperlink>
    </w:p>
    <w:p w:rsidR="00B80F21" w:rsidRPr="00B80F21"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474925073" w:history="1">
        <w:r w:rsidR="00B80F21" w:rsidRPr="00B80F21">
          <w:rPr>
            <w:rStyle w:val="Hipercze"/>
            <w:noProof/>
          </w:rPr>
          <w:t>Schemat 9. Typologia ryzyka projektowego</w:t>
        </w:r>
        <w:r w:rsidR="00B80F21" w:rsidRPr="00B80F21">
          <w:rPr>
            <w:noProof/>
            <w:webHidden/>
          </w:rPr>
          <w:tab/>
        </w:r>
        <w:r w:rsidRPr="00B80F21">
          <w:rPr>
            <w:noProof/>
            <w:webHidden/>
          </w:rPr>
          <w:fldChar w:fldCharType="begin"/>
        </w:r>
        <w:r w:rsidR="00B80F21" w:rsidRPr="00B80F21">
          <w:rPr>
            <w:noProof/>
            <w:webHidden/>
          </w:rPr>
          <w:instrText xml:space="preserve"> PAGEREF _Toc474925073 \h </w:instrText>
        </w:r>
        <w:r w:rsidRPr="00B80F21">
          <w:rPr>
            <w:noProof/>
            <w:webHidden/>
          </w:rPr>
        </w:r>
        <w:r w:rsidRPr="00B80F21">
          <w:rPr>
            <w:noProof/>
            <w:webHidden/>
          </w:rPr>
          <w:fldChar w:fldCharType="separate"/>
        </w:r>
        <w:r w:rsidR="00413FFE">
          <w:rPr>
            <w:noProof/>
            <w:webHidden/>
          </w:rPr>
          <w:t>226</w:t>
        </w:r>
        <w:r w:rsidRPr="00B80F21">
          <w:rPr>
            <w:noProof/>
            <w:webHidden/>
          </w:rPr>
          <w:fldChar w:fldCharType="end"/>
        </w:r>
      </w:hyperlink>
    </w:p>
    <w:p w:rsidR="00B80F21" w:rsidRPr="00B80F21"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474925074" w:history="1">
        <w:r w:rsidR="00B80F21" w:rsidRPr="00B80F21">
          <w:rPr>
            <w:rStyle w:val="Hipercze"/>
            <w:noProof/>
          </w:rPr>
          <w:t>Schemat 10. Typologia ryzyka zarządczego</w:t>
        </w:r>
        <w:r w:rsidR="00B80F21" w:rsidRPr="00B80F21">
          <w:rPr>
            <w:noProof/>
            <w:webHidden/>
          </w:rPr>
          <w:tab/>
        </w:r>
        <w:r w:rsidRPr="00B80F21">
          <w:rPr>
            <w:noProof/>
            <w:webHidden/>
          </w:rPr>
          <w:fldChar w:fldCharType="begin"/>
        </w:r>
        <w:r w:rsidR="00B80F21" w:rsidRPr="00B80F21">
          <w:rPr>
            <w:noProof/>
            <w:webHidden/>
          </w:rPr>
          <w:instrText xml:space="preserve"> PAGEREF _Toc474925074 \h </w:instrText>
        </w:r>
        <w:r w:rsidRPr="00B80F21">
          <w:rPr>
            <w:noProof/>
            <w:webHidden/>
          </w:rPr>
        </w:r>
        <w:r w:rsidRPr="00B80F21">
          <w:rPr>
            <w:noProof/>
            <w:webHidden/>
          </w:rPr>
          <w:fldChar w:fldCharType="separate"/>
        </w:r>
        <w:r w:rsidR="00413FFE">
          <w:rPr>
            <w:noProof/>
            <w:webHidden/>
          </w:rPr>
          <w:t>227</w:t>
        </w:r>
        <w:r w:rsidRPr="00B80F21">
          <w:rPr>
            <w:noProof/>
            <w:webHidden/>
          </w:rPr>
          <w:fldChar w:fldCharType="end"/>
        </w:r>
      </w:hyperlink>
    </w:p>
    <w:p w:rsidR="00B80F21" w:rsidRPr="00B80F21"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474925075" w:history="1">
        <w:r w:rsidR="00B80F21" w:rsidRPr="00B80F21">
          <w:rPr>
            <w:rStyle w:val="Hipercze"/>
            <w:noProof/>
          </w:rPr>
          <w:t>Schemat 11. Typologia ryzyka ze względu na przyczyny i możliwości zapobiegania</w:t>
        </w:r>
        <w:r w:rsidR="00B80F21" w:rsidRPr="00B80F21">
          <w:rPr>
            <w:noProof/>
            <w:webHidden/>
          </w:rPr>
          <w:tab/>
        </w:r>
        <w:r w:rsidRPr="00B80F21">
          <w:rPr>
            <w:noProof/>
            <w:webHidden/>
          </w:rPr>
          <w:fldChar w:fldCharType="begin"/>
        </w:r>
        <w:r w:rsidR="00B80F21" w:rsidRPr="00B80F21">
          <w:rPr>
            <w:noProof/>
            <w:webHidden/>
          </w:rPr>
          <w:instrText xml:space="preserve"> PAGEREF _Toc474925075 \h </w:instrText>
        </w:r>
        <w:r w:rsidRPr="00B80F21">
          <w:rPr>
            <w:noProof/>
            <w:webHidden/>
          </w:rPr>
        </w:r>
        <w:r w:rsidRPr="00B80F21">
          <w:rPr>
            <w:noProof/>
            <w:webHidden/>
          </w:rPr>
          <w:fldChar w:fldCharType="separate"/>
        </w:r>
        <w:r w:rsidR="00413FFE">
          <w:rPr>
            <w:noProof/>
            <w:webHidden/>
          </w:rPr>
          <w:t>227</w:t>
        </w:r>
        <w:r w:rsidRPr="00B80F21">
          <w:rPr>
            <w:noProof/>
            <w:webHidden/>
          </w:rPr>
          <w:fldChar w:fldCharType="end"/>
        </w:r>
      </w:hyperlink>
    </w:p>
    <w:p w:rsidR="00BE10FC" w:rsidRDefault="003972D8" w:rsidP="00EE1513">
      <w:pPr>
        <w:pStyle w:val="Spisilustracji"/>
        <w:tabs>
          <w:tab w:val="right" w:leader="dot" w:pos="9060"/>
        </w:tabs>
        <w:rPr>
          <w:szCs w:val="20"/>
        </w:rPr>
      </w:pPr>
      <w:hyperlink w:anchor="_Toc474925076" w:history="1">
        <w:r w:rsidR="00B80F21" w:rsidRPr="00B80F21">
          <w:rPr>
            <w:rStyle w:val="Hipercze"/>
            <w:noProof/>
          </w:rPr>
          <w:t>Schemat 12. Podstawowy zakres merytoryczny prac realizowanych w partnerstwie ze społecznościami lokalnymi na etapie formułowania GPR</w:t>
        </w:r>
        <w:r w:rsidR="00B80F21" w:rsidRPr="00B80F21">
          <w:rPr>
            <w:noProof/>
            <w:webHidden/>
          </w:rPr>
          <w:tab/>
        </w:r>
        <w:r w:rsidRPr="00B80F21">
          <w:rPr>
            <w:noProof/>
            <w:webHidden/>
          </w:rPr>
          <w:fldChar w:fldCharType="begin"/>
        </w:r>
        <w:r w:rsidR="00B80F21" w:rsidRPr="00B80F21">
          <w:rPr>
            <w:noProof/>
            <w:webHidden/>
          </w:rPr>
          <w:instrText xml:space="preserve"> PAGEREF _Toc474925076 \h </w:instrText>
        </w:r>
        <w:r w:rsidRPr="00B80F21">
          <w:rPr>
            <w:noProof/>
            <w:webHidden/>
          </w:rPr>
        </w:r>
        <w:r w:rsidRPr="00B80F21">
          <w:rPr>
            <w:noProof/>
            <w:webHidden/>
          </w:rPr>
          <w:fldChar w:fldCharType="separate"/>
        </w:r>
        <w:r w:rsidR="00413FFE">
          <w:rPr>
            <w:noProof/>
            <w:webHidden/>
          </w:rPr>
          <w:t>232</w:t>
        </w:r>
        <w:r w:rsidRPr="00B80F21">
          <w:rPr>
            <w:noProof/>
            <w:webHidden/>
          </w:rPr>
          <w:fldChar w:fldCharType="end"/>
        </w:r>
      </w:hyperlink>
      <w:r w:rsidRPr="00F163D5">
        <w:rPr>
          <w:szCs w:val="20"/>
        </w:rPr>
        <w:fldChar w:fldCharType="end"/>
      </w:r>
    </w:p>
    <w:p w:rsidR="007553D1" w:rsidRPr="007553D1" w:rsidRDefault="007553D1" w:rsidP="00A82117">
      <w:pPr>
        <w:pStyle w:val="Nagwek1"/>
      </w:pPr>
      <w:bookmarkStart w:id="9184" w:name="_Toc474924991"/>
      <w:r w:rsidRPr="007553D1">
        <w:t>SPIS TABEL</w:t>
      </w:r>
      <w:bookmarkEnd w:id="9184"/>
    </w:p>
    <w:p w:rsidR="009562F3" w:rsidRDefault="003972D8">
      <w:pPr>
        <w:pStyle w:val="Spisilustracji"/>
        <w:tabs>
          <w:tab w:val="right" w:leader="dot" w:pos="9060"/>
        </w:tabs>
        <w:rPr>
          <w:rFonts w:asciiTheme="minorHAnsi" w:eastAsiaTheme="minorEastAsia" w:hAnsiTheme="minorHAnsi" w:cstheme="minorBidi"/>
          <w:noProof/>
          <w:sz w:val="22"/>
          <w:szCs w:val="22"/>
          <w:lang w:eastAsia="pl-PL"/>
        </w:rPr>
      </w:pPr>
      <w:r w:rsidRPr="003972D8">
        <w:fldChar w:fldCharType="begin"/>
      </w:r>
      <w:r w:rsidR="007553D1">
        <w:instrText xml:space="preserve"> TOC \h \z \c "Tabela" </w:instrText>
      </w:r>
      <w:r w:rsidRPr="003972D8">
        <w:fldChar w:fldCharType="separate"/>
      </w:r>
      <w:hyperlink w:anchor="_Toc202771095" w:history="1">
        <w:r w:rsidR="009562F3" w:rsidRPr="00EA641C">
          <w:rPr>
            <w:rStyle w:val="Hipercze"/>
            <w:noProof/>
          </w:rPr>
          <w:t>Tabela 1. Dokumenty strategiczne, programowe i planistyczne nawiązujące do procesu rewitalizacji Bytomia</w:t>
        </w:r>
        <w:r w:rsidR="009562F3">
          <w:rPr>
            <w:noProof/>
            <w:webHidden/>
          </w:rPr>
          <w:tab/>
        </w:r>
        <w:r>
          <w:rPr>
            <w:noProof/>
            <w:webHidden/>
          </w:rPr>
          <w:fldChar w:fldCharType="begin"/>
        </w:r>
        <w:r w:rsidR="009562F3">
          <w:rPr>
            <w:noProof/>
            <w:webHidden/>
          </w:rPr>
          <w:instrText xml:space="preserve"> PAGEREF _Toc202771095 \h </w:instrText>
        </w:r>
        <w:r>
          <w:rPr>
            <w:noProof/>
            <w:webHidden/>
          </w:rPr>
        </w:r>
        <w:r>
          <w:rPr>
            <w:noProof/>
            <w:webHidden/>
          </w:rPr>
          <w:fldChar w:fldCharType="separate"/>
        </w:r>
        <w:r w:rsidR="00413FFE">
          <w:rPr>
            <w:noProof/>
            <w:webHidden/>
          </w:rPr>
          <w:t>7</w:t>
        </w:r>
        <w:r>
          <w:rPr>
            <w:noProof/>
            <w:webHidden/>
          </w:rPr>
          <w:fldChar w:fldCharType="end"/>
        </w:r>
      </w:hyperlink>
    </w:p>
    <w:p w:rsidR="009562F3"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202771096" w:history="1">
        <w:r w:rsidR="009562F3" w:rsidRPr="009562F3">
          <w:rPr>
            <w:rStyle w:val="Hipercze"/>
            <w:noProof/>
          </w:rPr>
          <w:t>Tabela 2. Wybrane kluczowe kierunki działań stanowiące kluczowe obszary aktywności realizatorów strategii</w:t>
        </w:r>
        <w:r w:rsidR="009562F3">
          <w:rPr>
            <w:noProof/>
            <w:webHidden/>
          </w:rPr>
          <w:tab/>
        </w:r>
        <w:r>
          <w:rPr>
            <w:noProof/>
            <w:webHidden/>
          </w:rPr>
          <w:fldChar w:fldCharType="begin"/>
        </w:r>
        <w:r w:rsidR="009562F3">
          <w:rPr>
            <w:noProof/>
            <w:webHidden/>
          </w:rPr>
          <w:instrText xml:space="preserve"> PAGEREF _Toc202771096 \h </w:instrText>
        </w:r>
        <w:r>
          <w:rPr>
            <w:noProof/>
            <w:webHidden/>
          </w:rPr>
        </w:r>
        <w:r>
          <w:rPr>
            <w:noProof/>
            <w:webHidden/>
          </w:rPr>
          <w:fldChar w:fldCharType="separate"/>
        </w:r>
        <w:r w:rsidR="00413FFE">
          <w:rPr>
            <w:noProof/>
            <w:webHidden/>
          </w:rPr>
          <w:t>8</w:t>
        </w:r>
        <w:r>
          <w:rPr>
            <w:noProof/>
            <w:webHidden/>
          </w:rPr>
          <w:fldChar w:fldCharType="end"/>
        </w:r>
      </w:hyperlink>
    </w:p>
    <w:p w:rsidR="009562F3"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202771097" w:history="1">
        <w:r w:rsidR="009562F3" w:rsidRPr="00EA641C">
          <w:rPr>
            <w:rStyle w:val="Hipercze"/>
            <w:noProof/>
          </w:rPr>
          <w:t>Tabela 3. Powierzchnia obszaru rewitalizacji</w:t>
        </w:r>
        <w:r w:rsidR="009562F3">
          <w:rPr>
            <w:noProof/>
            <w:webHidden/>
          </w:rPr>
          <w:tab/>
        </w:r>
        <w:r>
          <w:rPr>
            <w:noProof/>
            <w:webHidden/>
          </w:rPr>
          <w:fldChar w:fldCharType="begin"/>
        </w:r>
        <w:r w:rsidR="009562F3">
          <w:rPr>
            <w:noProof/>
            <w:webHidden/>
          </w:rPr>
          <w:instrText xml:space="preserve"> PAGEREF _Toc202771097 \h </w:instrText>
        </w:r>
        <w:r>
          <w:rPr>
            <w:noProof/>
            <w:webHidden/>
          </w:rPr>
        </w:r>
        <w:r>
          <w:rPr>
            <w:noProof/>
            <w:webHidden/>
          </w:rPr>
          <w:fldChar w:fldCharType="separate"/>
        </w:r>
        <w:r w:rsidR="00413FFE">
          <w:rPr>
            <w:noProof/>
            <w:webHidden/>
          </w:rPr>
          <w:t>40</w:t>
        </w:r>
        <w:r>
          <w:rPr>
            <w:noProof/>
            <w:webHidden/>
          </w:rPr>
          <w:fldChar w:fldCharType="end"/>
        </w:r>
      </w:hyperlink>
    </w:p>
    <w:p w:rsidR="009562F3"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202771098" w:history="1">
        <w:r w:rsidR="009562F3" w:rsidRPr="00EA641C">
          <w:rPr>
            <w:rStyle w:val="Hipercze"/>
            <w:noProof/>
          </w:rPr>
          <w:t>Tabela 4. Ludność obszaru rewitalizacji</w:t>
        </w:r>
        <w:r w:rsidR="009562F3" w:rsidRPr="00EA641C">
          <w:rPr>
            <w:rStyle w:val="Hipercze"/>
            <w:rFonts w:eastAsia="Calibri"/>
            <w:noProof/>
          </w:rPr>
          <w:t xml:space="preserve"> (2015 r.)</w:t>
        </w:r>
        <w:r w:rsidR="009562F3">
          <w:rPr>
            <w:noProof/>
            <w:webHidden/>
          </w:rPr>
          <w:tab/>
        </w:r>
        <w:r>
          <w:rPr>
            <w:noProof/>
            <w:webHidden/>
          </w:rPr>
          <w:fldChar w:fldCharType="begin"/>
        </w:r>
        <w:r w:rsidR="009562F3">
          <w:rPr>
            <w:noProof/>
            <w:webHidden/>
          </w:rPr>
          <w:instrText xml:space="preserve"> PAGEREF _Toc202771098 \h </w:instrText>
        </w:r>
        <w:r>
          <w:rPr>
            <w:noProof/>
            <w:webHidden/>
          </w:rPr>
        </w:r>
        <w:r>
          <w:rPr>
            <w:noProof/>
            <w:webHidden/>
          </w:rPr>
          <w:fldChar w:fldCharType="separate"/>
        </w:r>
        <w:r w:rsidR="00413FFE">
          <w:rPr>
            <w:noProof/>
            <w:webHidden/>
          </w:rPr>
          <w:t>41</w:t>
        </w:r>
        <w:r>
          <w:rPr>
            <w:noProof/>
            <w:webHidden/>
          </w:rPr>
          <w:fldChar w:fldCharType="end"/>
        </w:r>
      </w:hyperlink>
    </w:p>
    <w:p w:rsidR="009562F3"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202771099" w:history="1">
        <w:r w:rsidR="009562F3" w:rsidRPr="00EA641C">
          <w:rPr>
            <w:rStyle w:val="Hipercze"/>
            <w:noProof/>
          </w:rPr>
          <w:t>Tabela 5. Udział osób bezrobotnych w populacji osób w wieku produkcyjnym</w:t>
        </w:r>
        <w:r w:rsidR="009562F3">
          <w:rPr>
            <w:noProof/>
            <w:webHidden/>
          </w:rPr>
          <w:tab/>
        </w:r>
        <w:r>
          <w:rPr>
            <w:noProof/>
            <w:webHidden/>
          </w:rPr>
          <w:fldChar w:fldCharType="begin"/>
        </w:r>
        <w:r w:rsidR="009562F3">
          <w:rPr>
            <w:noProof/>
            <w:webHidden/>
          </w:rPr>
          <w:instrText xml:space="preserve"> PAGEREF _Toc202771099 \h </w:instrText>
        </w:r>
        <w:r>
          <w:rPr>
            <w:noProof/>
            <w:webHidden/>
          </w:rPr>
        </w:r>
        <w:r>
          <w:rPr>
            <w:noProof/>
            <w:webHidden/>
          </w:rPr>
          <w:fldChar w:fldCharType="separate"/>
        </w:r>
        <w:r w:rsidR="00413FFE">
          <w:rPr>
            <w:noProof/>
            <w:webHidden/>
          </w:rPr>
          <w:t>44</w:t>
        </w:r>
        <w:r>
          <w:rPr>
            <w:noProof/>
            <w:webHidden/>
          </w:rPr>
          <w:fldChar w:fldCharType="end"/>
        </w:r>
      </w:hyperlink>
    </w:p>
    <w:p w:rsidR="009562F3"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202771100" w:history="1">
        <w:r w:rsidR="009562F3" w:rsidRPr="00EA641C">
          <w:rPr>
            <w:rStyle w:val="Hipercze"/>
            <w:noProof/>
          </w:rPr>
          <w:t>Tabela 6. Bezrobotni według czasu pozostawania bez pracy</w:t>
        </w:r>
        <w:r w:rsidR="009562F3">
          <w:rPr>
            <w:noProof/>
            <w:webHidden/>
          </w:rPr>
          <w:tab/>
        </w:r>
        <w:r>
          <w:rPr>
            <w:noProof/>
            <w:webHidden/>
          </w:rPr>
          <w:fldChar w:fldCharType="begin"/>
        </w:r>
        <w:r w:rsidR="009562F3">
          <w:rPr>
            <w:noProof/>
            <w:webHidden/>
          </w:rPr>
          <w:instrText xml:space="preserve"> PAGEREF _Toc202771100 \h </w:instrText>
        </w:r>
        <w:r>
          <w:rPr>
            <w:noProof/>
            <w:webHidden/>
          </w:rPr>
        </w:r>
        <w:r>
          <w:rPr>
            <w:noProof/>
            <w:webHidden/>
          </w:rPr>
          <w:fldChar w:fldCharType="separate"/>
        </w:r>
        <w:r w:rsidR="00413FFE">
          <w:rPr>
            <w:noProof/>
            <w:webHidden/>
          </w:rPr>
          <w:t>45</w:t>
        </w:r>
        <w:r>
          <w:rPr>
            <w:noProof/>
            <w:webHidden/>
          </w:rPr>
          <w:fldChar w:fldCharType="end"/>
        </w:r>
      </w:hyperlink>
    </w:p>
    <w:p w:rsidR="009562F3"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202771101" w:history="1">
        <w:r w:rsidR="009562F3" w:rsidRPr="00EA641C">
          <w:rPr>
            <w:rStyle w:val="Hipercze"/>
            <w:noProof/>
          </w:rPr>
          <w:t>Tabela 7. Bezrobotni według wieku</w:t>
        </w:r>
        <w:r w:rsidR="009562F3">
          <w:rPr>
            <w:noProof/>
            <w:webHidden/>
          </w:rPr>
          <w:tab/>
        </w:r>
        <w:r>
          <w:rPr>
            <w:noProof/>
            <w:webHidden/>
          </w:rPr>
          <w:fldChar w:fldCharType="begin"/>
        </w:r>
        <w:r w:rsidR="009562F3">
          <w:rPr>
            <w:noProof/>
            <w:webHidden/>
          </w:rPr>
          <w:instrText xml:space="preserve"> PAGEREF _Toc202771101 \h </w:instrText>
        </w:r>
        <w:r>
          <w:rPr>
            <w:noProof/>
            <w:webHidden/>
          </w:rPr>
        </w:r>
        <w:r>
          <w:rPr>
            <w:noProof/>
            <w:webHidden/>
          </w:rPr>
          <w:fldChar w:fldCharType="separate"/>
        </w:r>
        <w:r w:rsidR="00413FFE">
          <w:rPr>
            <w:noProof/>
            <w:webHidden/>
          </w:rPr>
          <w:t>47</w:t>
        </w:r>
        <w:r>
          <w:rPr>
            <w:noProof/>
            <w:webHidden/>
          </w:rPr>
          <w:fldChar w:fldCharType="end"/>
        </w:r>
      </w:hyperlink>
    </w:p>
    <w:p w:rsidR="009562F3"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202771102" w:history="1">
        <w:r w:rsidR="009562F3" w:rsidRPr="00EA641C">
          <w:rPr>
            <w:rStyle w:val="Hipercze"/>
            <w:noProof/>
          </w:rPr>
          <w:t>Tabela 8. Charakterystyka bezrobocia w podobszarach rewitalizacji</w:t>
        </w:r>
        <w:r w:rsidR="009562F3">
          <w:rPr>
            <w:noProof/>
            <w:webHidden/>
          </w:rPr>
          <w:tab/>
        </w:r>
        <w:r>
          <w:rPr>
            <w:noProof/>
            <w:webHidden/>
          </w:rPr>
          <w:fldChar w:fldCharType="begin"/>
        </w:r>
        <w:r w:rsidR="009562F3">
          <w:rPr>
            <w:noProof/>
            <w:webHidden/>
          </w:rPr>
          <w:instrText xml:space="preserve"> PAGEREF _Toc202771102 \h </w:instrText>
        </w:r>
        <w:r>
          <w:rPr>
            <w:noProof/>
            <w:webHidden/>
          </w:rPr>
        </w:r>
        <w:r>
          <w:rPr>
            <w:noProof/>
            <w:webHidden/>
          </w:rPr>
          <w:fldChar w:fldCharType="separate"/>
        </w:r>
        <w:r w:rsidR="00413FFE">
          <w:rPr>
            <w:noProof/>
            <w:webHidden/>
          </w:rPr>
          <w:t>49</w:t>
        </w:r>
        <w:r>
          <w:rPr>
            <w:noProof/>
            <w:webHidden/>
          </w:rPr>
          <w:fldChar w:fldCharType="end"/>
        </w:r>
      </w:hyperlink>
    </w:p>
    <w:p w:rsidR="009562F3"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202771103" w:history="1">
        <w:r w:rsidR="009562F3" w:rsidRPr="00EA641C">
          <w:rPr>
            <w:rStyle w:val="Hipercze"/>
            <w:noProof/>
          </w:rPr>
          <w:t>Tabela 9. Zasiłki pomocy społecznej na 1 tys. mieszkańców</w:t>
        </w:r>
        <w:r w:rsidR="009562F3">
          <w:rPr>
            <w:noProof/>
            <w:webHidden/>
          </w:rPr>
          <w:tab/>
        </w:r>
        <w:r>
          <w:rPr>
            <w:noProof/>
            <w:webHidden/>
          </w:rPr>
          <w:fldChar w:fldCharType="begin"/>
        </w:r>
        <w:r w:rsidR="009562F3">
          <w:rPr>
            <w:noProof/>
            <w:webHidden/>
          </w:rPr>
          <w:instrText xml:space="preserve"> PAGEREF _Toc202771103 \h </w:instrText>
        </w:r>
        <w:r>
          <w:rPr>
            <w:noProof/>
            <w:webHidden/>
          </w:rPr>
        </w:r>
        <w:r>
          <w:rPr>
            <w:noProof/>
            <w:webHidden/>
          </w:rPr>
          <w:fldChar w:fldCharType="separate"/>
        </w:r>
        <w:r w:rsidR="00413FFE">
          <w:rPr>
            <w:noProof/>
            <w:webHidden/>
          </w:rPr>
          <w:t>50</w:t>
        </w:r>
        <w:r>
          <w:rPr>
            <w:noProof/>
            <w:webHidden/>
          </w:rPr>
          <w:fldChar w:fldCharType="end"/>
        </w:r>
      </w:hyperlink>
    </w:p>
    <w:p w:rsidR="009562F3"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202771104" w:history="1">
        <w:r w:rsidR="009562F3" w:rsidRPr="00EA641C">
          <w:rPr>
            <w:rStyle w:val="Hipercze"/>
            <w:noProof/>
          </w:rPr>
          <w:t>Tabela 10. Charakterystyka ubóstwa w podobszarach rewitalizacji</w:t>
        </w:r>
        <w:r w:rsidR="009562F3">
          <w:rPr>
            <w:noProof/>
            <w:webHidden/>
          </w:rPr>
          <w:tab/>
        </w:r>
        <w:r>
          <w:rPr>
            <w:noProof/>
            <w:webHidden/>
          </w:rPr>
          <w:fldChar w:fldCharType="begin"/>
        </w:r>
        <w:r w:rsidR="009562F3">
          <w:rPr>
            <w:noProof/>
            <w:webHidden/>
          </w:rPr>
          <w:instrText xml:space="preserve"> PAGEREF _Toc202771104 \h </w:instrText>
        </w:r>
        <w:r>
          <w:rPr>
            <w:noProof/>
            <w:webHidden/>
          </w:rPr>
        </w:r>
        <w:r>
          <w:rPr>
            <w:noProof/>
            <w:webHidden/>
          </w:rPr>
          <w:fldChar w:fldCharType="separate"/>
        </w:r>
        <w:r w:rsidR="00413FFE">
          <w:rPr>
            <w:noProof/>
            <w:webHidden/>
          </w:rPr>
          <w:t>56</w:t>
        </w:r>
        <w:r>
          <w:rPr>
            <w:noProof/>
            <w:webHidden/>
          </w:rPr>
          <w:fldChar w:fldCharType="end"/>
        </w:r>
      </w:hyperlink>
    </w:p>
    <w:p w:rsidR="009562F3"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202771105" w:history="1">
        <w:r w:rsidR="009562F3" w:rsidRPr="00EA641C">
          <w:rPr>
            <w:rStyle w:val="Hipercze"/>
            <w:noProof/>
          </w:rPr>
          <w:t>Tabela 11. Charakterystyka przestępczości w podobszarach rewitalizacji</w:t>
        </w:r>
        <w:r w:rsidR="009562F3">
          <w:rPr>
            <w:noProof/>
            <w:webHidden/>
          </w:rPr>
          <w:tab/>
        </w:r>
        <w:r>
          <w:rPr>
            <w:noProof/>
            <w:webHidden/>
          </w:rPr>
          <w:fldChar w:fldCharType="begin"/>
        </w:r>
        <w:r w:rsidR="009562F3">
          <w:rPr>
            <w:noProof/>
            <w:webHidden/>
          </w:rPr>
          <w:instrText xml:space="preserve"> PAGEREF _Toc202771105 \h </w:instrText>
        </w:r>
        <w:r>
          <w:rPr>
            <w:noProof/>
            <w:webHidden/>
          </w:rPr>
        </w:r>
        <w:r>
          <w:rPr>
            <w:noProof/>
            <w:webHidden/>
          </w:rPr>
          <w:fldChar w:fldCharType="separate"/>
        </w:r>
        <w:r w:rsidR="00413FFE">
          <w:rPr>
            <w:noProof/>
            <w:webHidden/>
          </w:rPr>
          <w:t>58</w:t>
        </w:r>
        <w:r>
          <w:rPr>
            <w:noProof/>
            <w:webHidden/>
          </w:rPr>
          <w:fldChar w:fldCharType="end"/>
        </w:r>
      </w:hyperlink>
    </w:p>
    <w:p w:rsidR="009562F3"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202771106" w:history="1">
        <w:r w:rsidR="009562F3" w:rsidRPr="00EA641C">
          <w:rPr>
            <w:rStyle w:val="Hipercze"/>
            <w:noProof/>
          </w:rPr>
          <w:t>Tabela 12. Korzystający z usług CIKiPU w 2015 roku</w:t>
        </w:r>
        <w:r w:rsidR="009562F3">
          <w:rPr>
            <w:noProof/>
            <w:webHidden/>
          </w:rPr>
          <w:tab/>
        </w:r>
        <w:r>
          <w:rPr>
            <w:noProof/>
            <w:webHidden/>
          </w:rPr>
          <w:fldChar w:fldCharType="begin"/>
        </w:r>
        <w:r w:rsidR="009562F3">
          <w:rPr>
            <w:noProof/>
            <w:webHidden/>
          </w:rPr>
          <w:instrText xml:space="preserve"> PAGEREF _Toc202771106 \h </w:instrText>
        </w:r>
        <w:r>
          <w:rPr>
            <w:noProof/>
            <w:webHidden/>
          </w:rPr>
        </w:r>
        <w:r>
          <w:rPr>
            <w:noProof/>
            <w:webHidden/>
          </w:rPr>
          <w:fldChar w:fldCharType="separate"/>
        </w:r>
        <w:r w:rsidR="00413FFE">
          <w:rPr>
            <w:noProof/>
            <w:webHidden/>
          </w:rPr>
          <w:t>59</w:t>
        </w:r>
        <w:r>
          <w:rPr>
            <w:noProof/>
            <w:webHidden/>
          </w:rPr>
          <w:fldChar w:fldCharType="end"/>
        </w:r>
      </w:hyperlink>
    </w:p>
    <w:p w:rsidR="009562F3"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202771107" w:history="1">
        <w:r w:rsidR="009562F3" w:rsidRPr="00EA641C">
          <w:rPr>
            <w:rStyle w:val="Hipercze"/>
            <w:noProof/>
          </w:rPr>
          <w:t>Tabela 13. Osoby nieletnie korzystające z usług CIKiPU w 2015 roku</w:t>
        </w:r>
        <w:r w:rsidR="009562F3">
          <w:rPr>
            <w:noProof/>
            <w:webHidden/>
          </w:rPr>
          <w:tab/>
        </w:r>
        <w:r>
          <w:rPr>
            <w:noProof/>
            <w:webHidden/>
          </w:rPr>
          <w:fldChar w:fldCharType="begin"/>
        </w:r>
        <w:r w:rsidR="009562F3">
          <w:rPr>
            <w:noProof/>
            <w:webHidden/>
          </w:rPr>
          <w:instrText xml:space="preserve"> PAGEREF _Toc202771107 \h </w:instrText>
        </w:r>
        <w:r>
          <w:rPr>
            <w:noProof/>
            <w:webHidden/>
          </w:rPr>
        </w:r>
        <w:r>
          <w:rPr>
            <w:noProof/>
            <w:webHidden/>
          </w:rPr>
          <w:fldChar w:fldCharType="separate"/>
        </w:r>
        <w:r w:rsidR="00413FFE">
          <w:rPr>
            <w:noProof/>
            <w:webHidden/>
          </w:rPr>
          <w:t>60</w:t>
        </w:r>
        <w:r>
          <w:rPr>
            <w:noProof/>
            <w:webHidden/>
          </w:rPr>
          <w:fldChar w:fldCharType="end"/>
        </w:r>
      </w:hyperlink>
    </w:p>
    <w:p w:rsidR="009562F3"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202771108" w:history="1">
        <w:r w:rsidR="009562F3" w:rsidRPr="00EA641C">
          <w:rPr>
            <w:rStyle w:val="Hipercze"/>
            <w:noProof/>
          </w:rPr>
          <w:t>Tabela 14. Charakterystyka problemu uzależnień w podobszarach rewitalizacji</w:t>
        </w:r>
        <w:r w:rsidR="009562F3">
          <w:rPr>
            <w:noProof/>
            <w:webHidden/>
          </w:rPr>
          <w:tab/>
        </w:r>
        <w:r>
          <w:rPr>
            <w:noProof/>
            <w:webHidden/>
          </w:rPr>
          <w:fldChar w:fldCharType="begin"/>
        </w:r>
        <w:r w:rsidR="009562F3">
          <w:rPr>
            <w:noProof/>
            <w:webHidden/>
          </w:rPr>
          <w:instrText xml:space="preserve"> PAGEREF _Toc202771108 \h </w:instrText>
        </w:r>
        <w:r>
          <w:rPr>
            <w:noProof/>
            <w:webHidden/>
          </w:rPr>
        </w:r>
        <w:r>
          <w:rPr>
            <w:noProof/>
            <w:webHidden/>
          </w:rPr>
          <w:fldChar w:fldCharType="separate"/>
        </w:r>
        <w:r w:rsidR="00413FFE">
          <w:rPr>
            <w:noProof/>
            <w:webHidden/>
          </w:rPr>
          <w:t>61</w:t>
        </w:r>
        <w:r>
          <w:rPr>
            <w:noProof/>
            <w:webHidden/>
          </w:rPr>
          <w:fldChar w:fldCharType="end"/>
        </w:r>
      </w:hyperlink>
    </w:p>
    <w:p w:rsidR="009562F3"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202771109" w:history="1">
        <w:r w:rsidR="009562F3" w:rsidRPr="00EA641C">
          <w:rPr>
            <w:rStyle w:val="Hipercze"/>
            <w:noProof/>
          </w:rPr>
          <w:t>Tabela 15. Wybrane formy wsparcia problemów opiekuńczo - wychowawczych</w:t>
        </w:r>
        <w:r w:rsidR="009562F3">
          <w:rPr>
            <w:noProof/>
            <w:webHidden/>
          </w:rPr>
          <w:tab/>
        </w:r>
        <w:r>
          <w:rPr>
            <w:noProof/>
            <w:webHidden/>
          </w:rPr>
          <w:fldChar w:fldCharType="begin"/>
        </w:r>
        <w:r w:rsidR="009562F3">
          <w:rPr>
            <w:noProof/>
            <w:webHidden/>
          </w:rPr>
          <w:instrText xml:space="preserve"> PAGEREF _Toc202771109 \h </w:instrText>
        </w:r>
        <w:r>
          <w:rPr>
            <w:noProof/>
            <w:webHidden/>
          </w:rPr>
        </w:r>
        <w:r>
          <w:rPr>
            <w:noProof/>
            <w:webHidden/>
          </w:rPr>
          <w:fldChar w:fldCharType="separate"/>
        </w:r>
        <w:r w:rsidR="00413FFE">
          <w:rPr>
            <w:noProof/>
            <w:webHidden/>
          </w:rPr>
          <w:t>62</w:t>
        </w:r>
        <w:r>
          <w:rPr>
            <w:noProof/>
            <w:webHidden/>
          </w:rPr>
          <w:fldChar w:fldCharType="end"/>
        </w:r>
      </w:hyperlink>
    </w:p>
    <w:p w:rsidR="009562F3"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202771110" w:history="1">
        <w:r w:rsidR="009562F3" w:rsidRPr="00EA641C">
          <w:rPr>
            <w:rStyle w:val="Hipercze"/>
            <w:noProof/>
          </w:rPr>
          <w:t>Tabela 16. Zaburzenia i choroby psychiczne w Bytomiu</w:t>
        </w:r>
        <w:r w:rsidR="009562F3">
          <w:rPr>
            <w:noProof/>
            <w:webHidden/>
          </w:rPr>
          <w:tab/>
        </w:r>
        <w:r>
          <w:rPr>
            <w:noProof/>
            <w:webHidden/>
          </w:rPr>
          <w:fldChar w:fldCharType="begin"/>
        </w:r>
        <w:r w:rsidR="009562F3">
          <w:rPr>
            <w:noProof/>
            <w:webHidden/>
          </w:rPr>
          <w:instrText xml:space="preserve"> PAGEREF _Toc202771110 \h </w:instrText>
        </w:r>
        <w:r>
          <w:rPr>
            <w:noProof/>
            <w:webHidden/>
          </w:rPr>
        </w:r>
        <w:r>
          <w:rPr>
            <w:noProof/>
            <w:webHidden/>
          </w:rPr>
          <w:fldChar w:fldCharType="separate"/>
        </w:r>
        <w:r w:rsidR="00413FFE">
          <w:rPr>
            <w:noProof/>
            <w:webHidden/>
          </w:rPr>
          <w:t>64</w:t>
        </w:r>
        <w:r>
          <w:rPr>
            <w:noProof/>
            <w:webHidden/>
          </w:rPr>
          <w:fldChar w:fldCharType="end"/>
        </w:r>
      </w:hyperlink>
    </w:p>
    <w:p w:rsidR="009562F3"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202771111" w:history="1">
        <w:r w:rsidR="009562F3" w:rsidRPr="00EA641C">
          <w:rPr>
            <w:rStyle w:val="Hipercze"/>
            <w:noProof/>
          </w:rPr>
          <w:t>Tabela 17. Osoby z niepełnosprawnością na obszarze rewitalizacji</w:t>
        </w:r>
        <w:r w:rsidR="009562F3">
          <w:rPr>
            <w:noProof/>
            <w:webHidden/>
          </w:rPr>
          <w:tab/>
        </w:r>
        <w:r>
          <w:rPr>
            <w:noProof/>
            <w:webHidden/>
          </w:rPr>
          <w:fldChar w:fldCharType="begin"/>
        </w:r>
        <w:r w:rsidR="009562F3">
          <w:rPr>
            <w:noProof/>
            <w:webHidden/>
          </w:rPr>
          <w:instrText xml:space="preserve"> PAGEREF _Toc202771111 \h </w:instrText>
        </w:r>
        <w:r>
          <w:rPr>
            <w:noProof/>
            <w:webHidden/>
          </w:rPr>
        </w:r>
        <w:r>
          <w:rPr>
            <w:noProof/>
            <w:webHidden/>
          </w:rPr>
          <w:fldChar w:fldCharType="separate"/>
        </w:r>
        <w:r w:rsidR="00413FFE">
          <w:rPr>
            <w:noProof/>
            <w:webHidden/>
          </w:rPr>
          <w:t>64</w:t>
        </w:r>
        <w:r>
          <w:rPr>
            <w:noProof/>
            <w:webHidden/>
          </w:rPr>
          <w:fldChar w:fldCharType="end"/>
        </w:r>
      </w:hyperlink>
    </w:p>
    <w:p w:rsidR="009562F3"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202771112" w:history="1">
        <w:r w:rsidR="009562F3" w:rsidRPr="00EA641C">
          <w:rPr>
            <w:rStyle w:val="Hipercze"/>
            <w:noProof/>
          </w:rPr>
          <w:t>Tabela 18. Charakterystyka problemu bezdomności w podobszarach rewitalizacji</w:t>
        </w:r>
        <w:r w:rsidR="009562F3">
          <w:rPr>
            <w:noProof/>
            <w:webHidden/>
          </w:rPr>
          <w:tab/>
        </w:r>
        <w:r>
          <w:rPr>
            <w:noProof/>
            <w:webHidden/>
          </w:rPr>
          <w:fldChar w:fldCharType="begin"/>
        </w:r>
        <w:r w:rsidR="009562F3">
          <w:rPr>
            <w:noProof/>
            <w:webHidden/>
          </w:rPr>
          <w:instrText xml:space="preserve"> PAGEREF _Toc202771112 \h </w:instrText>
        </w:r>
        <w:r>
          <w:rPr>
            <w:noProof/>
            <w:webHidden/>
          </w:rPr>
        </w:r>
        <w:r>
          <w:rPr>
            <w:noProof/>
            <w:webHidden/>
          </w:rPr>
          <w:fldChar w:fldCharType="separate"/>
        </w:r>
        <w:r w:rsidR="00413FFE">
          <w:rPr>
            <w:noProof/>
            <w:webHidden/>
          </w:rPr>
          <w:t>66</w:t>
        </w:r>
        <w:r>
          <w:rPr>
            <w:noProof/>
            <w:webHidden/>
          </w:rPr>
          <w:fldChar w:fldCharType="end"/>
        </w:r>
      </w:hyperlink>
    </w:p>
    <w:p w:rsidR="009562F3"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202771113" w:history="1">
        <w:r w:rsidR="009562F3" w:rsidRPr="00EA641C">
          <w:rPr>
            <w:rStyle w:val="Hipercze"/>
            <w:noProof/>
          </w:rPr>
          <w:t>Tabela 19. Trzy najczęściej występujące rodzaje działalności spółek w podobszarach rewitalizacji</w:t>
        </w:r>
        <w:r w:rsidR="009562F3">
          <w:rPr>
            <w:noProof/>
            <w:webHidden/>
          </w:rPr>
          <w:tab/>
        </w:r>
        <w:r>
          <w:rPr>
            <w:noProof/>
            <w:webHidden/>
          </w:rPr>
          <w:fldChar w:fldCharType="begin"/>
        </w:r>
        <w:r w:rsidR="009562F3">
          <w:rPr>
            <w:noProof/>
            <w:webHidden/>
          </w:rPr>
          <w:instrText xml:space="preserve"> PAGEREF _Toc202771113 \h </w:instrText>
        </w:r>
        <w:r>
          <w:rPr>
            <w:noProof/>
            <w:webHidden/>
          </w:rPr>
        </w:r>
        <w:r>
          <w:rPr>
            <w:noProof/>
            <w:webHidden/>
          </w:rPr>
          <w:fldChar w:fldCharType="separate"/>
        </w:r>
        <w:r w:rsidR="00413FFE">
          <w:rPr>
            <w:noProof/>
            <w:webHidden/>
          </w:rPr>
          <w:t>78</w:t>
        </w:r>
        <w:r>
          <w:rPr>
            <w:noProof/>
            <w:webHidden/>
          </w:rPr>
          <w:fldChar w:fldCharType="end"/>
        </w:r>
      </w:hyperlink>
    </w:p>
    <w:p w:rsidR="009562F3"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202771114" w:history="1">
        <w:r w:rsidR="009562F3" w:rsidRPr="00EA641C">
          <w:rPr>
            <w:rStyle w:val="Hipercze"/>
            <w:noProof/>
          </w:rPr>
          <w:t>Tabela 20. Charakterystyka działalności spółek wg PKD w Śródmieściu i Śródmieściu Północ</w:t>
        </w:r>
        <w:r w:rsidR="009562F3">
          <w:rPr>
            <w:noProof/>
            <w:webHidden/>
          </w:rPr>
          <w:tab/>
        </w:r>
        <w:r>
          <w:rPr>
            <w:noProof/>
            <w:webHidden/>
          </w:rPr>
          <w:fldChar w:fldCharType="begin"/>
        </w:r>
        <w:r w:rsidR="009562F3">
          <w:rPr>
            <w:noProof/>
            <w:webHidden/>
          </w:rPr>
          <w:instrText xml:space="preserve"> PAGEREF _Toc202771114 \h </w:instrText>
        </w:r>
        <w:r>
          <w:rPr>
            <w:noProof/>
            <w:webHidden/>
          </w:rPr>
        </w:r>
        <w:r>
          <w:rPr>
            <w:noProof/>
            <w:webHidden/>
          </w:rPr>
          <w:fldChar w:fldCharType="separate"/>
        </w:r>
        <w:r w:rsidR="00413FFE">
          <w:rPr>
            <w:noProof/>
            <w:webHidden/>
          </w:rPr>
          <w:t>79</w:t>
        </w:r>
        <w:r>
          <w:rPr>
            <w:noProof/>
            <w:webHidden/>
          </w:rPr>
          <w:fldChar w:fldCharType="end"/>
        </w:r>
      </w:hyperlink>
    </w:p>
    <w:p w:rsidR="009562F3"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202771115" w:history="1">
        <w:r w:rsidR="009562F3" w:rsidRPr="00EA641C">
          <w:rPr>
            <w:rStyle w:val="Hipercze"/>
            <w:noProof/>
          </w:rPr>
          <w:t>Tabela 21. Kryteria oceny i klasyfikacji technicznej stanu zużycia technicznego elementów budynku</w:t>
        </w:r>
        <w:r w:rsidR="009562F3">
          <w:rPr>
            <w:noProof/>
            <w:webHidden/>
          </w:rPr>
          <w:tab/>
        </w:r>
        <w:r>
          <w:rPr>
            <w:noProof/>
            <w:webHidden/>
          </w:rPr>
          <w:fldChar w:fldCharType="begin"/>
        </w:r>
        <w:r w:rsidR="009562F3">
          <w:rPr>
            <w:noProof/>
            <w:webHidden/>
          </w:rPr>
          <w:instrText xml:space="preserve"> PAGEREF _Toc202771115 \h </w:instrText>
        </w:r>
        <w:r>
          <w:rPr>
            <w:noProof/>
            <w:webHidden/>
          </w:rPr>
        </w:r>
        <w:r>
          <w:rPr>
            <w:noProof/>
            <w:webHidden/>
          </w:rPr>
          <w:fldChar w:fldCharType="separate"/>
        </w:r>
        <w:r w:rsidR="00413FFE">
          <w:rPr>
            <w:noProof/>
            <w:webHidden/>
          </w:rPr>
          <w:t>88</w:t>
        </w:r>
        <w:r>
          <w:rPr>
            <w:noProof/>
            <w:webHidden/>
          </w:rPr>
          <w:fldChar w:fldCharType="end"/>
        </w:r>
      </w:hyperlink>
    </w:p>
    <w:p w:rsidR="009562F3"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202771116" w:history="1">
        <w:r w:rsidR="009562F3" w:rsidRPr="00EA641C">
          <w:rPr>
            <w:rStyle w:val="Hipercze"/>
            <w:noProof/>
          </w:rPr>
          <w:t>Tabela 22. Kryteria oceny i klasyfikacji technicznej stanu zużycia technicznego elewacji budynku</w:t>
        </w:r>
        <w:r w:rsidR="009562F3">
          <w:rPr>
            <w:noProof/>
            <w:webHidden/>
          </w:rPr>
          <w:tab/>
        </w:r>
        <w:r>
          <w:rPr>
            <w:noProof/>
            <w:webHidden/>
          </w:rPr>
          <w:fldChar w:fldCharType="begin"/>
        </w:r>
        <w:r w:rsidR="009562F3">
          <w:rPr>
            <w:noProof/>
            <w:webHidden/>
          </w:rPr>
          <w:instrText xml:space="preserve"> PAGEREF _Toc202771116 \h </w:instrText>
        </w:r>
        <w:r>
          <w:rPr>
            <w:noProof/>
            <w:webHidden/>
          </w:rPr>
        </w:r>
        <w:r>
          <w:rPr>
            <w:noProof/>
            <w:webHidden/>
          </w:rPr>
          <w:fldChar w:fldCharType="separate"/>
        </w:r>
        <w:r w:rsidR="00413FFE">
          <w:rPr>
            <w:noProof/>
            <w:webHidden/>
          </w:rPr>
          <w:t>93</w:t>
        </w:r>
        <w:r>
          <w:rPr>
            <w:noProof/>
            <w:webHidden/>
          </w:rPr>
          <w:fldChar w:fldCharType="end"/>
        </w:r>
      </w:hyperlink>
    </w:p>
    <w:p w:rsidR="009562F3"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202771117" w:history="1">
        <w:r w:rsidR="009562F3" w:rsidRPr="00EA641C">
          <w:rPr>
            <w:rStyle w:val="Hipercze"/>
            <w:noProof/>
          </w:rPr>
          <w:t>Tabela 23. Ilościowy wykaz szkód górniczych 2014-2016</w:t>
        </w:r>
        <w:r w:rsidR="009562F3">
          <w:rPr>
            <w:noProof/>
            <w:webHidden/>
          </w:rPr>
          <w:tab/>
        </w:r>
        <w:r>
          <w:rPr>
            <w:noProof/>
            <w:webHidden/>
          </w:rPr>
          <w:fldChar w:fldCharType="begin"/>
        </w:r>
        <w:r w:rsidR="009562F3">
          <w:rPr>
            <w:noProof/>
            <w:webHidden/>
          </w:rPr>
          <w:instrText xml:space="preserve"> PAGEREF _Toc202771117 \h </w:instrText>
        </w:r>
        <w:r>
          <w:rPr>
            <w:noProof/>
            <w:webHidden/>
          </w:rPr>
        </w:r>
        <w:r>
          <w:rPr>
            <w:noProof/>
            <w:webHidden/>
          </w:rPr>
          <w:fldChar w:fldCharType="separate"/>
        </w:r>
        <w:r w:rsidR="00413FFE">
          <w:rPr>
            <w:noProof/>
            <w:webHidden/>
          </w:rPr>
          <w:t>98</w:t>
        </w:r>
        <w:r>
          <w:rPr>
            <w:noProof/>
            <w:webHidden/>
          </w:rPr>
          <w:fldChar w:fldCharType="end"/>
        </w:r>
      </w:hyperlink>
    </w:p>
    <w:p w:rsidR="009562F3"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202771118" w:history="1">
        <w:r w:rsidR="009562F3" w:rsidRPr="00EA641C">
          <w:rPr>
            <w:rStyle w:val="Hipercze"/>
            <w:noProof/>
          </w:rPr>
          <w:t>Tabela 24. Podsumowanie diagnozy w podobszarach rewitalizacji Bytomia, w sferze społecznej</w:t>
        </w:r>
        <w:r w:rsidR="009562F3">
          <w:rPr>
            <w:noProof/>
            <w:webHidden/>
          </w:rPr>
          <w:tab/>
        </w:r>
        <w:r>
          <w:rPr>
            <w:noProof/>
            <w:webHidden/>
          </w:rPr>
          <w:fldChar w:fldCharType="begin"/>
        </w:r>
        <w:r w:rsidR="009562F3">
          <w:rPr>
            <w:noProof/>
            <w:webHidden/>
          </w:rPr>
          <w:instrText xml:space="preserve"> PAGEREF _Toc202771118 \h </w:instrText>
        </w:r>
        <w:r>
          <w:rPr>
            <w:noProof/>
            <w:webHidden/>
          </w:rPr>
        </w:r>
        <w:r>
          <w:rPr>
            <w:noProof/>
            <w:webHidden/>
          </w:rPr>
          <w:fldChar w:fldCharType="separate"/>
        </w:r>
        <w:r w:rsidR="00413FFE">
          <w:rPr>
            <w:noProof/>
            <w:webHidden/>
          </w:rPr>
          <w:t>119</w:t>
        </w:r>
        <w:r>
          <w:rPr>
            <w:noProof/>
            <w:webHidden/>
          </w:rPr>
          <w:fldChar w:fldCharType="end"/>
        </w:r>
      </w:hyperlink>
    </w:p>
    <w:p w:rsidR="009562F3"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202771119" w:history="1">
        <w:r w:rsidR="009562F3" w:rsidRPr="00EA641C">
          <w:rPr>
            <w:rStyle w:val="Hipercze"/>
            <w:noProof/>
          </w:rPr>
          <w:t>Tabela 25. Bobrek – cele i kierunki</w:t>
        </w:r>
        <w:r w:rsidR="009562F3">
          <w:rPr>
            <w:noProof/>
            <w:webHidden/>
          </w:rPr>
          <w:tab/>
        </w:r>
        <w:r>
          <w:rPr>
            <w:noProof/>
            <w:webHidden/>
          </w:rPr>
          <w:fldChar w:fldCharType="begin"/>
        </w:r>
        <w:r w:rsidR="009562F3">
          <w:rPr>
            <w:noProof/>
            <w:webHidden/>
          </w:rPr>
          <w:instrText xml:space="preserve"> PAGEREF _Toc202771119 \h </w:instrText>
        </w:r>
        <w:r>
          <w:rPr>
            <w:noProof/>
            <w:webHidden/>
          </w:rPr>
        </w:r>
        <w:r>
          <w:rPr>
            <w:noProof/>
            <w:webHidden/>
          </w:rPr>
          <w:fldChar w:fldCharType="separate"/>
        </w:r>
        <w:r w:rsidR="00413FFE">
          <w:rPr>
            <w:noProof/>
            <w:webHidden/>
          </w:rPr>
          <w:t>130</w:t>
        </w:r>
        <w:r>
          <w:rPr>
            <w:noProof/>
            <w:webHidden/>
          </w:rPr>
          <w:fldChar w:fldCharType="end"/>
        </w:r>
      </w:hyperlink>
    </w:p>
    <w:p w:rsidR="009562F3"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202771120" w:history="1">
        <w:r w:rsidR="009562F3" w:rsidRPr="00EA641C">
          <w:rPr>
            <w:rStyle w:val="Hipercze"/>
            <w:noProof/>
          </w:rPr>
          <w:t>Tabela 26. Kolonia Zgorzelec – cele i kierunki</w:t>
        </w:r>
        <w:r w:rsidR="009562F3">
          <w:rPr>
            <w:noProof/>
            <w:webHidden/>
          </w:rPr>
          <w:tab/>
        </w:r>
        <w:r>
          <w:rPr>
            <w:noProof/>
            <w:webHidden/>
          </w:rPr>
          <w:fldChar w:fldCharType="begin"/>
        </w:r>
        <w:r w:rsidR="009562F3">
          <w:rPr>
            <w:noProof/>
            <w:webHidden/>
          </w:rPr>
          <w:instrText xml:space="preserve"> PAGEREF _Toc202771120 \h </w:instrText>
        </w:r>
        <w:r>
          <w:rPr>
            <w:noProof/>
            <w:webHidden/>
          </w:rPr>
        </w:r>
        <w:r>
          <w:rPr>
            <w:noProof/>
            <w:webHidden/>
          </w:rPr>
          <w:fldChar w:fldCharType="separate"/>
        </w:r>
        <w:r w:rsidR="00413FFE">
          <w:rPr>
            <w:noProof/>
            <w:webHidden/>
          </w:rPr>
          <w:t>132</w:t>
        </w:r>
        <w:r>
          <w:rPr>
            <w:noProof/>
            <w:webHidden/>
          </w:rPr>
          <w:fldChar w:fldCharType="end"/>
        </w:r>
      </w:hyperlink>
    </w:p>
    <w:p w:rsidR="009562F3"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202771121" w:history="1">
        <w:r w:rsidR="009562F3" w:rsidRPr="00EA641C">
          <w:rPr>
            <w:rStyle w:val="Hipercze"/>
            <w:noProof/>
          </w:rPr>
          <w:t>Tabela 27. Rozbark – cele i kierunki</w:t>
        </w:r>
        <w:r w:rsidR="009562F3">
          <w:rPr>
            <w:noProof/>
            <w:webHidden/>
          </w:rPr>
          <w:tab/>
        </w:r>
        <w:r>
          <w:rPr>
            <w:noProof/>
            <w:webHidden/>
          </w:rPr>
          <w:fldChar w:fldCharType="begin"/>
        </w:r>
        <w:r w:rsidR="009562F3">
          <w:rPr>
            <w:noProof/>
            <w:webHidden/>
          </w:rPr>
          <w:instrText xml:space="preserve"> PAGEREF _Toc202771121 \h </w:instrText>
        </w:r>
        <w:r>
          <w:rPr>
            <w:noProof/>
            <w:webHidden/>
          </w:rPr>
        </w:r>
        <w:r>
          <w:rPr>
            <w:noProof/>
            <w:webHidden/>
          </w:rPr>
          <w:fldChar w:fldCharType="separate"/>
        </w:r>
        <w:r w:rsidR="00413FFE">
          <w:rPr>
            <w:noProof/>
            <w:webHidden/>
          </w:rPr>
          <w:t>133</w:t>
        </w:r>
        <w:r>
          <w:rPr>
            <w:noProof/>
            <w:webHidden/>
          </w:rPr>
          <w:fldChar w:fldCharType="end"/>
        </w:r>
      </w:hyperlink>
    </w:p>
    <w:p w:rsidR="009562F3"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202771122" w:history="1">
        <w:r w:rsidR="009562F3" w:rsidRPr="00EA641C">
          <w:rPr>
            <w:rStyle w:val="Hipercze"/>
            <w:noProof/>
          </w:rPr>
          <w:t>Tabela 28. Śródmieście Zachód  – cele i kierunki</w:t>
        </w:r>
        <w:r w:rsidR="009562F3">
          <w:rPr>
            <w:noProof/>
            <w:webHidden/>
          </w:rPr>
          <w:tab/>
        </w:r>
        <w:r>
          <w:rPr>
            <w:noProof/>
            <w:webHidden/>
          </w:rPr>
          <w:fldChar w:fldCharType="begin"/>
        </w:r>
        <w:r w:rsidR="009562F3">
          <w:rPr>
            <w:noProof/>
            <w:webHidden/>
          </w:rPr>
          <w:instrText xml:space="preserve"> PAGEREF _Toc202771122 \h </w:instrText>
        </w:r>
        <w:r>
          <w:rPr>
            <w:noProof/>
            <w:webHidden/>
          </w:rPr>
        </w:r>
        <w:r>
          <w:rPr>
            <w:noProof/>
            <w:webHidden/>
          </w:rPr>
          <w:fldChar w:fldCharType="separate"/>
        </w:r>
        <w:r w:rsidR="00413FFE">
          <w:rPr>
            <w:noProof/>
            <w:webHidden/>
          </w:rPr>
          <w:t>134</w:t>
        </w:r>
        <w:r>
          <w:rPr>
            <w:noProof/>
            <w:webHidden/>
          </w:rPr>
          <w:fldChar w:fldCharType="end"/>
        </w:r>
      </w:hyperlink>
    </w:p>
    <w:p w:rsidR="009562F3"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202771123" w:history="1">
        <w:r w:rsidR="009562F3" w:rsidRPr="00EA641C">
          <w:rPr>
            <w:rStyle w:val="Hipercze"/>
            <w:noProof/>
          </w:rPr>
          <w:t>Tabela 29. Śródmieście Północ – cele i kierunki</w:t>
        </w:r>
        <w:r w:rsidR="009562F3">
          <w:rPr>
            <w:noProof/>
            <w:webHidden/>
          </w:rPr>
          <w:tab/>
        </w:r>
        <w:r>
          <w:rPr>
            <w:noProof/>
            <w:webHidden/>
          </w:rPr>
          <w:fldChar w:fldCharType="begin"/>
        </w:r>
        <w:r w:rsidR="009562F3">
          <w:rPr>
            <w:noProof/>
            <w:webHidden/>
          </w:rPr>
          <w:instrText xml:space="preserve"> PAGEREF _Toc202771123 \h </w:instrText>
        </w:r>
        <w:r>
          <w:rPr>
            <w:noProof/>
            <w:webHidden/>
          </w:rPr>
        </w:r>
        <w:r>
          <w:rPr>
            <w:noProof/>
            <w:webHidden/>
          </w:rPr>
          <w:fldChar w:fldCharType="separate"/>
        </w:r>
        <w:r w:rsidR="00413FFE">
          <w:rPr>
            <w:noProof/>
            <w:webHidden/>
          </w:rPr>
          <w:t>135</w:t>
        </w:r>
        <w:r>
          <w:rPr>
            <w:noProof/>
            <w:webHidden/>
          </w:rPr>
          <w:fldChar w:fldCharType="end"/>
        </w:r>
      </w:hyperlink>
    </w:p>
    <w:p w:rsidR="009562F3"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202771124" w:history="1">
        <w:r w:rsidR="009562F3" w:rsidRPr="00EA641C">
          <w:rPr>
            <w:rStyle w:val="Hipercze"/>
            <w:noProof/>
          </w:rPr>
          <w:t>Tabela 30. Śródmieście Centrum – cele i kierunki</w:t>
        </w:r>
        <w:r w:rsidR="009562F3">
          <w:rPr>
            <w:noProof/>
            <w:webHidden/>
          </w:rPr>
          <w:tab/>
        </w:r>
        <w:r>
          <w:rPr>
            <w:noProof/>
            <w:webHidden/>
          </w:rPr>
          <w:fldChar w:fldCharType="begin"/>
        </w:r>
        <w:r w:rsidR="009562F3">
          <w:rPr>
            <w:noProof/>
            <w:webHidden/>
          </w:rPr>
          <w:instrText xml:space="preserve"> PAGEREF _Toc202771124 \h </w:instrText>
        </w:r>
        <w:r>
          <w:rPr>
            <w:noProof/>
            <w:webHidden/>
          </w:rPr>
        </w:r>
        <w:r>
          <w:rPr>
            <w:noProof/>
            <w:webHidden/>
          </w:rPr>
          <w:fldChar w:fldCharType="separate"/>
        </w:r>
        <w:r w:rsidR="00413FFE">
          <w:rPr>
            <w:noProof/>
            <w:webHidden/>
          </w:rPr>
          <w:t>136</w:t>
        </w:r>
        <w:r>
          <w:rPr>
            <w:noProof/>
            <w:webHidden/>
          </w:rPr>
          <w:fldChar w:fldCharType="end"/>
        </w:r>
      </w:hyperlink>
    </w:p>
    <w:p w:rsidR="009562F3"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202771125" w:history="1">
        <w:r w:rsidR="009562F3" w:rsidRPr="00EA641C">
          <w:rPr>
            <w:rStyle w:val="Hipercze"/>
            <w:noProof/>
          </w:rPr>
          <w:t>Tabela 31. Cele operacyjne, a kierunki działań rewitalizacyjnych</w:t>
        </w:r>
        <w:r w:rsidR="009562F3">
          <w:rPr>
            <w:noProof/>
            <w:webHidden/>
          </w:rPr>
          <w:tab/>
        </w:r>
        <w:r>
          <w:rPr>
            <w:noProof/>
            <w:webHidden/>
          </w:rPr>
          <w:fldChar w:fldCharType="begin"/>
        </w:r>
        <w:r w:rsidR="009562F3">
          <w:rPr>
            <w:noProof/>
            <w:webHidden/>
          </w:rPr>
          <w:instrText xml:space="preserve"> PAGEREF _Toc202771125 \h </w:instrText>
        </w:r>
        <w:r>
          <w:rPr>
            <w:noProof/>
            <w:webHidden/>
          </w:rPr>
        </w:r>
        <w:r>
          <w:rPr>
            <w:noProof/>
            <w:webHidden/>
          </w:rPr>
          <w:fldChar w:fldCharType="separate"/>
        </w:r>
        <w:r w:rsidR="00413FFE">
          <w:rPr>
            <w:noProof/>
            <w:webHidden/>
          </w:rPr>
          <w:t>140</w:t>
        </w:r>
        <w:r>
          <w:rPr>
            <w:noProof/>
            <w:webHidden/>
          </w:rPr>
          <w:fldChar w:fldCharType="end"/>
        </w:r>
      </w:hyperlink>
    </w:p>
    <w:p w:rsidR="009562F3"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202771126" w:history="1">
        <w:r w:rsidR="009562F3" w:rsidRPr="00EA641C">
          <w:rPr>
            <w:rStyle w:val="Hipercze"/>
            <w:noProof/>
          </w:rPr>
          <w:t>Tabela 32. Potencjalne źródła finansowania przedsięwzięć rewitalizacyjnych</w:t>
        </w:r>
        <w:r w:rsidR="009562F3">
          <w:rPr>
            <w:noProof/>
            <w:webHidden/>
          </w:rPr>
          <w:tab/>
        </w:r>
        <w:r>
          <w:rPr>
            <w:noProof/>
            <w:webHidden/>
          </w:rPr>
          <w:fldChar w:fldCharType="begin"/>
        </w:r>
        <w:r w:rsidR="009562F3">
          <w:rPr>
            <w:noProof/>
            <w:webHidden/>
          </w:rPr>
          <w:instrText xml:space="preserve"> PAGEREF _Toc202771126 \h </w:instrText>
        </w:r>
        <w:r>
          <w:rPr>
            <w:noProof/>
            <w:webHidden/>
          </w:rPr>
        </w:r>
        <w:r>
          <w:rPr>
            <w:noProof/>
            <w:webHidden/>
          </w:rPr>
          <w:fldChar w:fldCharType="separate"/>
        </w:r>
        <w:r w:rsidR="00413FFE">
          <w:rPr>
            <w:noProof/>
            <w:webHidden/>
          </w:rPr>
          <w:t>203</w:t>
        </w:r>
        <w:r>
          <w:rPr>
            <w:noProof/>
            <w:webHidden/>
          </w:rPr>
          <w:fldChar w:fldCharType="end"/>
        </w:r>
      </w:hyperlink>
    </w:p>
    <w:p w:rsidR="009562F3"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202771127" w:history="1">
        <w:r w:rsidR="009562F3" w:rsidRPr="00EA641C">
          <w:rPr>
            <w:rStyle w:val="Hipercze"/>
            <w:noProof/>
          </w:rPr>
          <w:t>Tabela 33. Harmonogram monitoringu „Gminnego Programu Rewitalizacji. Bytom 2020+”</w:t>
        </w:r>
        <w:r w:rsidR="009562F3">
          <w:rPr>
            <w:noProof/>
            <w:webHidden/>
          </w:rPr>
          <w:tab/>
        </w:r>
        <w:r>
          <w:rPr>
            <w:noProof/>
            <w:webHidden/>
          </w:rPr>
          <w:fldChar w:fldCharType="begin"/>
        </w:r>
        <w:r w:rsidR="009562F3">
          <w:rPr>
            <w:noProof/>
            <w:webHidden/>
          </w:rPr>
          <w:instrText xml:space="preserve"> PAGEREF _Toc202771127 \h </w:instrText>
        </w:r>
        <w:r>
          <w:rPr>
            <w:noProof/>
            <w:webHidden/>
          </w:rPr>
        </w:r>
        <w:r>
          <w:rPr>
            <w:noProof/>
            <w:webHidden/>
          </w:rPr>
          <w:fldChar w:fldCharType="separate"/>
        </w:r>
        <w:r w:rsidR="00413FFE">
          <w:rPr>
            <w:noProof/>
            <w:webHidden/>
          </w:rPr>
          <w:t>222</w:t>
        </w:r>
        <w:r>
          <w:rPr>
            <w:noProof/>
            <w:webHidden/>
          </w:rPr>
          <w:fldChar w:fldCharType="end"/>
        </w:r>
      </w:hyperlink>
    </w:p>
    <w:p w:rsidR="009562F3"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202771128" w:history="1">
        <w:r w:rsidR="009562F3" w:rsidRPr="00EA641C">
          <w:rPr>
            <w:rStyle w:val="Hipercze"/>
            <w:noProof/>
          </w:rPr>
          <w:t>Tabela 34. Wskaźniki realizacji celów GPR</w:t>
        </w:r>
        <w:r w:rsidR="009562F3">
          <w:rPr>
            <w:noProof/>
            <w:webHidden/>
          </w:rPr>
          <w:tab/>
        </w:r>
        <w:r>
          <w:rPr>
            <w:noProof/>
            <w:webHidden/>
          </w:rPr>
          <w:fldChar w:fldCharType="begin"/>
        </w:r>
        <w:r w:rsidR="009562F3">
          <w:rPr>
            <w:noProof/>
            <w:webHidden/>
          </w:rPr>
          <w:instrText xml:space="preserve"> PAGEREF _Toc202771128 \h </w:instrText>
        </w:r>
        <w:r>
          <w:rPr>
            <w:noProof/>
            <w:webHidden/>
          </w:rPr>
        </w:r>
        <w:r>
          <w:rPr>
            <w:noProof/>
            <w:webHidden/>
          </w:rPr>
          <w:fldChar w:fldCharType="separate"/>
        </w:r>
        <w:r w:rsidR="00413FFE">
          <w:rPr>
            <w:noProof/>
            <w:webHidden/>
          </w:rPr>
          <w:t>222</w:t>
        </w:r>
        <w:r>
          <w:rPr>
            <w:noProof/>
            <w:webHidden/>
          </w:rPr>
          <w:fldChar w:fldCharType="end"/>
        </w:r>
      </w:hyperlink>
    </w:p>
    <w:p w:rsidR="009562F3" w:rsidRDefault="003972D8">
      <w:pPr>
        <w:pStyle w:val="Spisilustracji"/>
        <w:tabs>
          <w:tab w:val="right" w:leader="dot" w:pos="9060"/>
        </w:tabs>
        <w:rPr>
          <w:rFonts w:asciiTheme="minorHAnsi" w:eastAsiaTheme="minorEastAsia" w:hAnsiTheme="minorHAnsi" w:cstheme="minorBidi"/>
          <w:noProof/>
          <w:sz w:val="22"/>
          <w:szCs w:val="22"/>
          <w:lang w:eastAsia="pl-PL"/>
        </w:rPr>
      </w:pPr>
      <w:hyperlink w:anchor="_Toc202771129" w:history="1">
        <w:r w:rsidR="009562F3" w:rsidRPr="00EA641C">
          <w:rPr>
            <w:rStyle w:val="Hipercze"/>
            <w:noProof/>
          </w:rPr>
          <w:t>Tabela 35. Sposoby zapobiegania zidentyfikowanym rodzajom ryzyka w zależności od źródła i charakteru czynników niepewności</w:t>
        </w:r>
        <w:r w:rsidR="009562F3">
          <w:rPr>
            <w:noProof/>
            <w:webHidden/>
          </w:rPr>
          <w:tab/>
        </w:r>
        <w:r>
          <w:rPr>
            <w:noProof/>
            <w:webHidden/>
          </w:rPr>
          <w:fldChar w:fldCharType="begin"/>
        </w:r>
        <w:r w:rsidR="009562F3">
          <w:rPr>
            <w:noProof/>
            <w:webHidden/>
          </w:rPr>
          <w:instrText xml:space="preserve"> PAGEREF _Toc202771129 \h </w:instrText>
        </w:r>
        <w:r>
          <w:rPr>
            <w:noProof/>
            <w:webHidden/>
          </w:rPr>
        </w:r>
        <w:r>
          <w:rPr>
            <w:noProof/>
            <w:webHidden/>
          </w:rPr>
          <w:fldChar w:fldCharType="separate"/>
        </w:r>
        <w:r w:rsidR="00413FFE">
          <w:rPr>
            <w:noProof/>
            <w:webHidden/>
          </w:rPr>
          <w:t>228</w:t>
        </w:r>
        <w:r>
          <w:rPr>
            <w:noProof/>
            <w:webHidden/>
          </w:rPr>
          <w:fldChar w:fldCharType="end"/>
        </w:r>
      </w:hyperlink>
    </w:p>
    <w:p w:rsidR="007553D1" w:rsidRDefault="003972D8" w:rsidP="003A6A35">
      <w:r>
        <w:fldChar w:fldCharType="end"/>
      </w:r>
    </w:p>
    <w:p w:rsidR="00043F11" w:rsidRPr="007553D1" w:rsidRDefault="00043F11" w:rsidP="00EE1513">
      <w:pPr>
        <w:pStyle w:val="Nagwek1"/>
        <w:spacing w:before="180"/>
      </w:pPr>
      <w:bookmarkStart w:id="9185" w:name="_Toc474924992"/>
      <w:r w:rsidRPr="007553D1">
        <w:t xml:space="preserve">SPIS </w:t>
      </w:r>
      <w:r w:rsidR="00B17F86">
        <w:t>WYKRESÓW</w:t>
      </w:r>
      <w:bookmarkEnd w:id="9185"/>
    </w:p>
    <w:p w:rsidR="00B80F21" w:rsidRDefault="003972D8">
      <w:pPr>
        <w:pStyle w:val="Spisilustracji"/>
        <w:tabs>
          <w:tab w:val="right" w:leader="dot" w:pos="9060"/>
        </w:tabs>
        <w:rPr>
          <w:rFonts w:asciiTheme="minorHAnsi" w:eastAsiaTheme="minorEastAsia" w:hAnsiTheme="minorHAnsi" w:cstheme="minorBidi"/>
          <w:noProof/>
          <w:sz w:val="22"/>
          <w:szCs w:val="22"/>
          <w:lang w:eastAsia="pl-PL"/>
        </w:rPr>
      </w:pPr>
      <w:r w:rsidRPr="003972D8">
        <w:rPr>
          <w:kern w:val="32"/>
        </w:rPr>
        <w:fldChar w:fldCharType="begin"/>
      </w:r>
      <w:r w:rsidR="00B17F86">
        <w:rPr>
          <w:kern w:val="32"/>
        </w:rPr>
        <w:instrText xml:space="preserve"> TOC \h \z \c "Wykres" </w:instrText>
      </w:r>
      <w:r w:rsidRPr="003972D8">
        <w:rPr>
          <w:kern w:val="32"/>
        </w:rPr>
        <w:fldChar w:fldCharType="separate"/>
      </w:r>
      <w:hyperlink w:anchor="_Toc474925113" w:history="1">
        <w:r w:rsidR="00B80F21" w:rsidRPr="009B73C1">
          <w:rPr>
            <w:rStyle w:val="Hipercze"/>
            <w:noProof/>
          </w:rPr>
          <w:t>Wykres 1. Obszary działalności przedsiębiorstwa, w których potrzebna jest pomoc zewnętrzna</w:t>
        </w:r>
        <w:r w:rsidR="00B80F21">
          <w:rPr>
            <w:noProof/>
            <w:webHidden/>
          </w:rPr>
          <w:tab/>
        </w:r>
        <w:r>
          <w:rPr>
            <w:noProof/>
            <w:webHidden/>
          </w:rPr>
          <w:fldChar w:fldCharType="begin"/>
        </w:r>
        <w:r w:rsidR="00B80F21">
          <w:rPr>
            <w:noProof/>
            <w:webHidden/>
          </w:rPr>
          <w:instrText xml:space="preserve"> PAGEREF _Toc474925113 \h </w:instrText>
        </w:r>
        <w:r>
          <w:rPr>
            <w:noProof/>
            <w:webHidden/>
          </w:rPr>
        </w:r>
        <w:r>
          <w:rPr>
            <w:noProof/>
            <w:webHidden/>
          </w:rPr>
          <w:fldChar w:fldCharType="separate"/>
        </w:r>
        <w:r w:rsidR="00413FFE">
          <w:rPr>
            <w:noProof/>
            <w:webHidden/>
          </w:rPr>
          <w:t>82</w:t>
        </w:r>
        <w:r>
          <w:rPr>
            <w:noProof/>
            <w:webHidden/>
          </w:rPr>
          <w:fldChar w:fldCharType="end"/>
        </w:r>
      </w:hyperlink>
    </w:p>
    <w:p w:rsidR="00067A36" w:rsidRPr="007553D1" w:rsidRDefault="003972D8" w:rsidP="00067A36">
      <w:pPr>
        <w:pStyle w:val="Nagwek1"/>
      </w:pPr>
      <w:r>
        <w:fldChar w:fldCharType="end"/>
      </w:r>
      <w:bookmarkStart w:id="9186" w:name="_Toc474924993"/>
      <w:r w:rsidR="00067A36" w:rsidRPr="007553D1">
        <w:t xml:space="preserve">SPIS </w:t>
      </w:r>
      <w:r w:rsidR="00067A36">
        <w:t>ZAŁĄCZNIKÓW</w:t>
      </w:r>
      <w:bookmarkEnd w:id="9186"/>
    </w:p>
    <w:p w:rsidR="007553D1" w:rsidRDefault="007553D1" w:rsidP="00043F11">
      <w:pPr>
        <w:rPr>
          <w:kern w:val="32"/>
        </w:rPr>
      </w:pPr>
    </w:p>
    <w:p w:rsidR="0072377D" w:rsidRPr="00DB5DBC" w:rsidRDefault="009B4927" w:rsidP="0015126F">
      <w:pPr>
        <w:pStyle w:val="Akapitzlist"/>
        <w:numPr>
          <w:ilvl w:val="0"/>
          <w:numId w:val="357"/>
        </w:numPr>
        <w:ind w:left="714" w:hanging="357"/>
        <w:jc w:val="both"/>
        <w:rPr>
          <w:rFonts w:asciiTheme="minorHAnsi" w:hAnsiTheme="minorHAnsi"/>
          <w:b/>
          <w:szCs w:val="20"/>
        </w:rPr>
      </w:pPr>
      <w:r w:rsidRPr="00DB5DBC">
        <w:rPr>
          <w:rFonts w:asciiTheme="minorHAnsi" w:hAnsiTheme="minorHAnsi"/>
          <w:b/>
          <w:szCs w:val="20"/>
        </w:rPr>
        <w:t>Załącznik</w:t>
      </w:r>
      <w:r w:rsidR="00FB6478" w:rsidRPr="00DB5DBC">
        <w:rPr>
          <w:rFonts w:asciiTheme="minorHAnsi" w:hAnsiTheme="minorHAnsi"/>
          <w:b/>
          <w:szCs w:val="20"/>
        </w:rPr>
        <w:t xml:space="preserve"> </w:t>
      </w:r>
      <w:r w:rsidR="00EA6D89">
        <w:rPr>
          <w:rFonts w:asciiTheme="minorHAnsi" w:hAnsiTheme="minorHAnsi"/>
          <w:b/>
          <w:szCs w:val="20"/>
        </w:rPr>
        <w:t xml:space="preserve">nr </w:t>
      </w:r>
      <w:r w:rsidR="00FB6478" w:rsidRPr="00DB5DBC">
        <w:rPr>
          <w:rFonts w:asciiTheme="minorHAnsi" w:hAnsiTheme="minorHAnsi"/>
          <w:b/>
          <w:szCs w:val="20"/>
        </w:rPr>
        <w:t xml:space="preserve">1 </w:t>
      </w:r>
      <w:r w:rsidR="006D6825">
        <w:rPr>
          <w:rFonts w:asciiTheme="minorHAnsi" w:hAnsiTheme="minorHAnsi"/>
          <w:b/>
          <w:szCs w:val="20"/>
        </w:rPr>
        <w:tab/>
      </w:r>
      <w:r w:rsidR="006D6825">
        <w:rPr>
          <w:rFonts w:asciiTheme="minorHAnsi" w:hAnsiTheme="minorHAnsi"/>
          <w:b/>
          <w:szCs w:val="20"/>
        </w:rPr>
        <w:br/>
      </w:r>
      <w:r w:rsidR="00250A1D" w:rsidRPr="00DB5DBC">
        <w:rPr>
          <w:rFonts w:asciiTheme="minorHAnsi" w:hAnsiTheme="minorHAnsi"/>
          <w:b/>
          <w:szCs w:val="20"/>
        </w:rPr>
        <w:t>–</w:t>
      </w:r>
      <w:r w:rsidR="00FB6478" w:rsidRPr="00DB5DBC">
        <w:rPr>
          <w:rFonts w:asciiTheme="minorHAnsi" w:hAnsiTheme="minorHAnsi"/>
          <w:b/>
          <w:szCs w:val="20"/>
        </w:rPr>
        <w:t xml:space="preserve"> </w:t>
      </w:r>
      <w:r w:rsidR="002A71A6" w:rsidRPr="00DB5DBC">
        <w:rPr>
          <w:rFonts w:asciiTheme="minorHAnsi" w:hAnsiTheme="minorHAnsi"/>
          <w:b/>
          <w:szCs w:val="20"/>
        </w:rPr>
        <w:t xml:space="preserve">„Podstawowe kierunki zmian funkcjonalno-przestrzennych obszaru </w:t>
      </w:r>
      <w:r w:rsidR="002A71A6" w:rsidRPr="00741A1D">
        <w:rPr>
          <w:rFonts w:asciiTheme="minorHAnsi" w:hAnsiTheme="minorHAnsi"/>
          <w:b/>
          <w:szCs w:val="20"/>
        </w:rPr>
        <w:t>rewitalizacji</w:t>
      </w:r>
      <w:r w:rsidR="00250A1D" w:rsidRPr="00741A1D">
        <w:rPr>
          <w:rFonts w:asciiTheme="minorHAnsi" w:hAnsiTheme="minorHAnsi"/>
          <w:b/>
          <w:szCs w:val="20"/>
        </w:rPr>
        <w:t>”</w:t>
      </w:r>
      <w:r w:rsidR="0072377D" w:rsidRPr="00741A1D">
        <w:rPr>
          <w:rFonts w:asciiTheme="minorHAnsi" w:hAnsiTheme="minorHAnsi"/>
          <w:sz w:val="24"/>
        </w:rPr>
        <w:t xml:space="preserve"> </w:t>
      </w:r>
      <w:r w:rsidR="007D3DAD" w:rsidRPr="00741A1D">
        <w:rPr>
          <w:rFonts w:asciiTheme="minorHAnsi" w:hAnsiTheme="minorHAnsi"/>
          <w:b/>
        </w:rPr>
        <w:t>(</w:t>
      </w:r>
      <w:r w:rsidR="00741A1D">
        <w:rPr>
          <w:rFonts w:asciiTheme="minorHAnsi" w:hAnsiTheme="minorHAnsi"/>
          <w:b/>
        </w:rPr>
        <w:t>MAPA</w:t>
      </w:r>
      <w:r w:rsidR="007D3DAD" w:rsidRPr="00741A1D">
        <w:rPr>
          <w:rFonts w:asciiTheme="minorHAnsi" w:hAnsiTheme="minorHAnsi"/>
          <w:b/>
        </w:rPr>
        <w:t>)</w:t>
      </w:r>
    </w:p>
    <w:p w:rsidR="00FB6478" w:rsidRPr="00DB5DBC" w:rsidRDefault="0072377D" w:rsidP="0015126F">
      <w:pPr>
        <w:pStyle w:val="Akapitzlist"/>
        <w:numPr>
          <w:ilvl w:val="0"/>
          <w:numId w:val="357"/>
        </w:numPr>
        <w:jc w:val="both"/>
        <w:rPr>
          <w:rFonts w:asciiTheme="minorHAnsi" w:hAnsiTheme="minorHAnsi"/>
          <w:b/>
          <w:szCs w:val="20"/>
        </w:rPr>
      </w:pPr>
      <w:r w:rsidRPr="00DB5DBC">
        <w:rPr>
          <w:rFonts w:asciiTheme="minorHAnsi" w:hAnsiTheme="minorHAnsi"/>
          <w:b/>
          <w:szCs w:val="20"/>
        </w:rPr>
        <w:t xml:space="preserve">Załącznik </w:t>
      </w:r>
      <w:r w:rsidR="00EA6D89">
        <w:rPr>
          <w:rFonts w:asciiTheme="minorHAnsi" w:hAnsiTheme="minorHAnsi"/>
          <w:b/>
          <w:szCs w:val="20"/>
        </w:rPr>
        <w:t xml:space="preserve">nr </w:t>
      </w:r>
      <w:r w:rsidRPr="00DB5DBC">
        <w:rPr>
          <w:rFonts w:asciiTheme="minorHAnsi" w:hAnsiTheme="minorHAnsi"/>
          <w:b/>
          <w:szCs w:val="20"/>
        </w:rPr>
        <w:t xml:space="preserve">2 </w:t>
      </w:r>
      <w:r w:rsidR="006D6825">
        <w:rPr>
          <w:rFonts w:asciiTheme="minorHAnsi" w:hAnsiTheme="minorHAnsi"/>
          <w:b/>
          <w:szCs w:val="20"/>
        </w:rPr>
        <w:tab/>
      </w:r>
      <w:r w:rsidR="006D6825">
        <w:rPr>
          <w:rFonts w:asciiTheme="minorHAnsi" w:hAnsiTheme="minorHAnsi"/>
          <w:b/>
          <w:szCs w:val="20"/>
        </w:rPr>
        <w:br/>
      </w:r>
      <w:r w:rsidRPr="00DB5DBC">
        <w:rPr>
          <w:rFonts w:asciiTheme="minorHAnsi" w:hAnsiTheme="minorHAnsi"/>
          <w:b/>
          <w:szCs w:val="20"/>
        </w:rPr>
        <w:t>– „Lista przedsięwzięć podstawowych do Gminnego Programu Rewitalizacji. Bytom 2020+”</w:t>
      </w:r>
      <w:r w:rsidR="00150166" w:rsidRPr="00DB5DBC">
        <w:rPr>
          <w:rFonts w:asciiTheme="minorHAnsi" w:hAnsiTheme="minorHAnsi"/>
          <w:b/>
          <w:szCs w:val="20"/>
        </w:rPr>
        <w:t xml:space="preserve"> </w:t>
      </w:r>
    </w:p>
    <w:p w:rsidR="002C1E78" w:rsidRDefault="00150166" w:rsidP="0015126F">
      <w:pPr>
        <w:pStyle w:val="Akapitzlist"/>
        <w:numPr>
          <w:ilvl w:val="0"/>
          <w:numId w:val="357"/>
        </w:numPr>
        <w:ind w:left="714" w:hanging="357"/>
        <w:jc w:val="both"/>
        <w:rPr>
          <w:rFonts w:asciiTheme="minorHAnsi" w:hAnsiTheme="minorHAnsi"/>
          <w:b/>
          <w:szCs w:val="20"/>
        </w:rPr>
      </w:pPr>
      <w:r w:rsidRPr="00DB5DBC">
        <w:rPr>
          <w:rFonts w:asciiTheme="minorHAnsi" w:hAnsiTheme="minorHAnsi"/>
          <w:b/>
          <w:szCs w:val="20"/>
        </w:rPr>
        <w:t xml:space="preserve">Załącznik </w:t>
      </w:r>
      <w:r w:rsidR="00EA6D89">
        <w:rPr>
          <w:rFonts w:asciiTheme="minorHAnsi" w:hAnsiTheme="minorHAnsi"/>
          <w:b/>
          <w:szCs w:val="20"/>
        </w:rPr>
        <w:t xml:space="preserve">nr </w:t>
      </w:r>
      <w:r w:rsidRPr="00DB5DBC">
        <w:rPr>
          <w:rFonts w:asciiTheme="minorHAnsi" w:hAnsiTheme="minorHAnsi"/>
          <w:b/>
          <w:szCs w:val="20"/>
        </w:rPr>
        <w:t>3</w:t>
      </w:r>
      <w:r w:rsidR="006D6825">
        <w:rPr>
          <w:rFonts w:asciiTheme="minorHAnsi" w:hAnsiTheme="minorHAnsi"/>
          <w:b/>
          <w:szCs w:val="20"/>
        </w:rPr>
        <w:tab/>
      </w:r>
      <w:r w:rsidRPr="00DB5DBC">
        <w:rPr>
          <w:rFonts w:asciiTheme="minorHAnsi" w:hAnsiTheme="minorHAnsi"/>
          <w:b/>
          <w:szCs w:val="20"/>
        </w:rPr>
        <w:t xml:space="preserve"> </w:t>
      </w:r>
      <w:r w:rsidR="006D6825">
        <w:rPr>
          <w:rFonts w:asciiTheme="minorHAnsi" w:hAnsiTheme="minorHAnsi"/>
          <w:b/>
          <w:szCs w:val="20"/>
        </w:rPr>
        <w:br/>
      </w:r>
      <w:r w:rsidRPr="00DB5DBC">
        <w:rPr>
          <w:rFonts w:asciiTheme="minorHAnsi" w:hAnsiTheme="minorHAnsi"/>
          <w:b/>
          <w:szCs w:val="20"/>
        </w:rPr>
        <w:t>– „Matryca logiczna”</w:t>
      </w:r>
    </w:p>
    <w:p w:rsidR="00150166" w:rsidRDefault="00150166" w:rsidP="002C1E78">
      <w:pPr>
        <w:pStyle w:val="Akapitzlist"/>
        <w:jc w:val="both"/>
        <w:rPr>
          <w:rFonts w:asciiTheme="minorHAnsi" w:hAnsiTheme="minorHAnsi"/>
          <w:b/>
          <w:szCs w:val="20"/>
        </w:rPr>
      </w:pPr>
    </w:p>
    <w:p w:rsidR="002C1E78" w:rsidRPr="00CA7FB4" w:rsidRDefault="002C1E78" w:rsidP="00CA7FB4">
      <w:pPr>
        <w:jc w:val="both"/>
        <w:rPr>
          <w:b/>
          <w:szCs w:val="20"/>
        </w:rPr>
      </w:pPr>
    </w:p>
    <w:sectPr w:rsidR="002C1E78" w:rsidRPr="00CA7FB4" w:rsidSect="00CA1B04">
      <w:footerReference w:type="default" r:id="rId164"/>
      <w:footnotePr>
        <w:pos w:val="beneathText"/>
      </w:footnotePr>
      <w:type w:val="continuous"/>
      <w:pgSz w:w="11906" w:h="16838"/>
      <w:pgMar w:top="1418" w:right="1418" w:bottom="1418" w:left="1418" w:header="708" w:footer="709" w:gutter="0"/>
      <w:cols w:space="708"/>
      <w:docGrid w:linePitch="600" w:charSpace="32768"/>
    </w:sectPr>
  </w:body>
</w:document>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15:commentEx w15:paraId="2A23BC99" w15:done="0"/>
  <w15:commentEx w15:paraId="3807003D" w15:done="0"/>
  <w15:commentEx w15:paraId="5FE3A4A9" w15:done="0"/>
  <w15:commentEx w15:paraId="3B30C8E0" w15:done="0"/>
  <w15:commentEx w15:paraId="59971F47" w15:done="0"/>
  <w15:commentEx w15:paraId="1597C1D5" w15:done="0"/>
  <w15:commentEx w15:paraId="79F3D673" w15:done="0"/>
  <w15:commentEx w15:paraId="1A770453" w15:done="0"/>
  <w15:commentEx w15:paraId="62ED9215" w15:done="0"/>
  <w15:commentEx w15:paraId="4F0A16BB" w15:done="0"/>
  <w15:commentEx w15:paraId="5116DB60" w15:done="0"/>
  <w15:commentEx w15:paraId="74EACABD" w15:done="0"/>
  <w15:commentEx w15:paraId="6E709ED5" w15:done="0"/>
  <w15:commentEx w15:paraId="718A3A0D" w15:done="0"/>
  <w15:commentEx w15:paraId="5EE1FB7C" w15:done="0"/>
  <w15:commentEx w15:paraId="1E799A24"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410B" w:rsidRDefault="0008410B">
      <w:r>
        <w:separator/>
      </w:r>
    </w:p>
  </w:endnote>
  <w:endnote w:type="continuationSeparator" w:id="0">
    <w:p w:rsidR="0008410B" w:rsidRDefault="0008410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epoloItcTEEBoo">
    <w:panose1 w:val="02000503000000020004"/>
    <w:charset w:val="EE"/>
    <w:family w:val="auto"/>
    <w:pitch w:val="variable"/>
    <w:sig w:usb0="80000027" w:usb1="00000000" w:usb2="00000000" w:usb3="00000000" w:csb0="00000082"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Alegreya Sans">
    <w:altName w:val="Arial"/>
    <w:charset w:val="00"/>
    <w:family w:val="swiss"/>
    <w:pitch w:val="default"/>
    <w:sig w:usb0="00000000" w:usb1="00000000" w:usb2="00000000" w:usb3="00000000" w:csb0="00000000" w:csb1="00000000"/>
  </w:font>
  <w:font w:name="Lucida Sans Unicode">
    <w:panose1 w:val="020B0602030504020204"/>
    <w:charset w:val="EE"/>
    <w:family w:val="swiss"/>
    <w:pitch w:val="variable"/>
    <w:sig w:usb0="80000AFF" w:usb1="0000396B" w:usb2="00000000" w:usb3="00000000" w:csb0="000000BF" w:csb1="00000000"/>
  </w:font>
  <w:font w:name="font271">
    <w:altName w:val="Times New Roman"/>
    <w:charset w:val="EE"/>
    <w:family w:val="auto"/>
    <w:pitch w:val="variable"/>
    <w:sig w:usb0="00000000" w:usb1="00000000" w:usb2="00000000" w:usb3="00000000" w:csb0="00000000"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font95">
    <w:altName w:val="Times New Roman"/>
    <w:charset w:val="EE"/>
    <w:family w:val="auto"/>
    <w:pitch w:val="variable"/>
    <w:sig w:usb0="00000000" w:usb1="00000000" w:usb2="00000000" w:usb3="00000000" w:csb0="00000000" w:csb1="00000000"/>
  </w:font>
  <w:font w:name="Arial CE">
    <w:panose1 w:val="020B0604020202020204"/>
    <w:charset w:val="00"/>
    <w:family w:val="auto"/>
    <w:pitch w:val="variable"/>
    <w:sig w:usb0="00000000" w:usb1="00000000" w:usb2="00000000" w:usb3="00000000" w:csb0="00000000" w:csb1="00000000"/>
  </w:font>
  <w:font w:name="TimesNewRomanPSMT">
    <w:altName w:val="Times New Roman"/>
    <w:charset w:val="00"/>
    <w:family w:val="auto"/>
    <w:pitch w:val="variable"/>
    <w:sig w:usb0="E0002AEF" w:usb1="C0007841" w:usb2="00000009" w:usb3="00000000" w:csb0="000001FF" w:csb1="00000000"/>
  </w:font>
  <w:font w:name="TimesNewRoman">
    <w:altName w:val="Arial"/>
    <w:panose1 w:val="00000000000000000000"/>
    <w:charset w:val="80"/>
    <w:family w:val="auto"/>
    <w:notTrueType/>
    <w:pitch w:val="default"/>
    <w:sig w:usb0="00000007" w:usb1="08070000" w:usb2="00000010" w:usb3="00000000" w:csb0="00020003" w:csb1="00000000"/>
  </w:font>
  <w:font w:name="Calibri-Italic">
    <w:panose1 w:val="00000000000000000000"/>
    <w:charset w:val="EE"/>
    <w:family w:val="auto"/>
    <w:notTrueType/>
    <w:pitch w:val="default"/>
    <w:sig w:usb0="00000005" w:usb1="00000000" w:usb2="00000000" w:usb3="00000000" w:csb0="00000002" w:csb1="00000000"/>
  </w:font>
  <w:font w:name="ArialNarrow">
    <w:altName w:val="Arial Narrow"/>
    <w:panose1 w:val="00000000000000000000"/>
    <w:charset w:val="EE"/>
    <w:family w:val="auto"/>
    <w:notTrueType/>
    <w:pitch w:val="default"/>
    <w:sig w:usb0="00000005" w:usb1="00000000" w:usb2="00000000" w:usb3="00000000" w:csb0="00000002" w:csb1="00000000"/>
  </w:font>
  <w:font w:name="Arial Unicode MS">
    <w:panose1 w:val="020B0604020202020204"/>
    <w:charset w:val="80"/>
    <w:family w:val="swiss"/>
    <w:pitch w:val="variable"/>
    <w:sig w:usb0="F7FFAFFF" w:usb1="E9DFFFFF" w:usb2="0000003F" w:usb3="00000000" w:csb0="003F01FF" w:csb1="00000000"/>
  </w:font>
  <w:font w:name="Century751No2PL-Roman">
    <w:altName w:val="MS Mincho"/>
    <w:panose1 w:val="00000000000000000000"/>
    <w:charset w:val="80"/>
    <w:family w:val="auto"/>
    <w:notTrueType/>
    <w:pitch w:val="default"/>
    <w:sig w:usb0="00000000" w:usb1="08070000" w:usb2="00000010" w:usb3="00000000" w:csb0="00020000" w:csb1="00000000"/>
  </w:font>
  <w:font w:name="MinionPro-Regular">
    <w:altName w:val="MS Mincho"/>
    <w:panose1 w:val="00000000000000000000"/>
    <w:charset w:val="EE"/>
    <w:family w:val="roman"/>
    <w:notTrueType/>
    <w:pitch w:val="default"/>
    <w:sig w:usb0="00000000" w:usb1="08070000" w:usb2="00000010" w:usb3="00000000" w:csb0="00020002" w:csb1="00000000"/>
  </w:font>
  <w:font w:name="MinionPro-It">
    <w:altName w:val="MS Mincho"/>
    <w:panose1 w:val="00000000000000000000"/>
    <w:charset w:val="80"/>
    <w:family w:val="roman"/>
    <w:notTrueType/>
    <w:pitch w:val="default"/>
    <w:sig w:usb0="00000001" w:usb1="08070000" w:usb2="00000010" w:usb3="00000000" w:csb0="00020000" w:csb1="00000000"/>
  </w:font>
  <w:font w:name="Arial Narrow">
    <w:panose1 w:val="020B0606020202030204"/>
    <w:charset w:val="EE"/>
    <w:family w:val="swiss"/>
    <w:pitch w:val="variable"/>
    <w:sig w:usb0="00000287" w:usb1="00000800" w:usb2="00000000" w:usb3="00000000" w:csb0="0000009F" w:csb1="00000000"/>
  </w:font>
  <w:font w:name="TiepoloItcTEE-Book">
    <w:charset w:val="EE"/>
    <w:family w:val="auto"/>
    <w:pitch w:val="default"/>
    <w:sig w:usb0="00000000" w:usb1="00000000" w:usb2="00000000" w:usb3="00000000" w:csb0="00000000" w:csb1="00000000"/>
  </w:font>
  <w:font w:name="Lato-Regular">
    <w:altName w:val="Times New Roman"/>
    <w:panose1 w:val="00000000000000000000"/>
    <w:charset w:val="00"/>
    <w:family w:val="auto"/>
    <w:notTrueType/>
    <w:pitch w:val="default"/>
    <w:sig w:usb0="00000003" w:usb1="00000000" w:usb2="00000000" w:usb3="00000000" w:csb0="00000001" w:csb1="00000000"/>
  </w:font>
  <w:font w:name="SymbolMT">
    <w:altName w:val="Microsoft JhengHei"/>
    <w:panose1 w:val="00000000000000000000"/>
    <w:charset w:val="88"/>
    <w:family w:val="auto"/>
    <w:notTrueType/>
    <w:pitch w:val="default"/>
    <w:sig w:usb0="00000001" w:usb1="08080000" w:usb2="00000010" w:usb3="00000000" w:csb0="00100000" w:csb1="00000000"/>
  </w:font>
  <w:font w:name="Tahoma,Bold">
    <w:altName w:val="MS Mincho"/>
    <w:panose1 w:val="00000000000000000000"/>
    <w:charset w:val="80"/>
    <w:family w:val="auto"/>
    <w:notTrueType/>
    <w:pitch w:val="default"/>
    <w:sig w:usb0="00000001" w:usb1="08070000" w:usb2="00000010" w:usb3="00000000" w:csb0="00020000" w:csb1="00000000"/>
  </w:font>
  <w:font w:name="Calibri,Bold">
    <w:altName w:val="MS Mincho"/>
    <w:panose1 w:val="00000000000000000000"/>
    <w:charset w:val="80"/>
    <w:family w:val="auto"/>
    <w:notTrueType/>
    <w:pitch w:val="default"/>
    <w:sig w:usb0="00000001" w:usb1="08070000" w:usb2="00000010" w:usb3="00000000" w:csb0="00020000" w:csb1="00000000"/>
  </w:font>
  <w:font w:name="SegoeUI">
    <w:altName w:val="MS Mincho"/>
    <w:panose1 w:val="00000000000000000000"/>
    <w:charset w:val="80"/>
    <w:family w:val="auto"/>
    <w:notTrueType/>
    <w:pitch w:val="default"/>
    <w:sig w:usb0="00000001" w:usb1="08070000" w:usb2="00000010" w:usb3="00000000" w:csb0="00020000" w:csb1="00000000"/>
  </w:font>
  <w:font w:name="DejaVuSans">
    <w:altName w:val="Yu Gothic"/>
    <w:charset w:val="80"/>
    <w:family w:val="auto"/>
    <w:pitch w:val="default"/>
    <w:sig w:usb0="00000001" w:usb1="08070000" w:usb2="00000010" w:usb3="00000000" w:csb0="00020000" w:csb1="00000000"/>
  </w:font>
  <w:font w:name="Wingdings 3">
    <w:panose1 w:val="05040102010807070707"/>
    <w:charset w:val="02"/>
    <w:family w:val="roman"/>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036A" w:rsidRDefault="0069036A">
    <w:pPr>
      <w:pStyle w:val="Stopka"/>
      <w:jc w:val="right"/>
    </w:pPr>
  </w:p>
  <w:p w:rsidR="0069036A" w:rsidRDefault="0069036A" w:rsidP="007949A4">
    <w:pPr>
      <w:pStyle w:val="Stopka"/>
      <w:rPr>
        <w:sz w:val="22"/>
        <w:szCs w:val="18"/>
      </w:rPr>
    </w:pPr>
    <w:r>
      <w:rPr>
        <w:noProof/>
      </w:rPr>
      <w:drawing>
        <wp:inline distT="0" distB="0" distL="0" distR="0">
          <wp:extent cx="5667375" cy="752475"/>
          <wp:effectExtent l="19050" t="0" r="9525" b="0"/>
          <wp:docPr id="62" name="Obraz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1"/>
                  <pic:cNvPicPr>
                    <a:picLocks noChangeAspect="1" noChangeArrowheads="1"/>
                  </pic:cNvPicPr>
                </pic:nvPicPr>
                <pic:blipFill>
                  <a:blip r:embed="rId1"/>
                  <a:srcRect/>
                  <a:stretch>
                    <a:fillRect/>
                  </a:stretch>
                </pic:blipFill>
                <pic:spPr bwMode="auto">
                  <a:xfrm>
                    <a:off x="0" y="0"/>
                    <a:ext cx="5667375" cy="752475"/>
                  </a:xfrm>
                  <a:prstGeom prst="rect">
                    <a:avLst/>
                  </a:prstGeom>
                  <a:solidFill>
                    <a:srgbClr val="FFFFFF"/>
                  </a:solidFill>
                  <a:ln w="9525">
                    <a:noFill/>
                    <a:miter lim="800000"/>
                    <a:headEnd/>
                    <a:tailEnd/>
                  </a:ln>
                </pic:spPr>
              </pic:pic>
            </a:graphicData>
          </a:graphic>
        </wp:inline>
      </w:drawing>
    </w:r>
  </w:p>
  <w:p w:rsidR="0069036A" w:rsidRDefault="0069036A" w:rsidP="007949A4">
    <w:pPr>
      <w:pStyle w:val="Stopka"/>
      <w:jc w:val="center"/>
      <w:rPr>
        <w:sz w:val="22"/>
        <w:szCs w:val="18"/>
      </w:rPr>
    </w:pPr>
  </w:p>
  <w:p w:rsidR="0069036A" w:rsidRDefault="0069036A">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036A" w:rsidRDefault="0069036A" w:rsidP="00913E93">
    <w:pPr>
      <w:pStyle w:val="Stopka"/>
      <w:jc w:val="center"/>
      <w:rPr>
        <w:sz w:val="22"/>
        <w:szCs w:val="18"/>
      </w:rPr>
    </w:pPr>
    <w:r>
      <w:rPr>
        <w:noProof/>
      </w:rPr>
      <w:drawing>
        <wp:inline distT="0" distB="0" distL="0" distR="0">
          <wp:extent cx="5667375" cy="752475"/>
          <wp:effectExtent l="19050" t="0" r="9525" b="0"/>
          <wp:docPr id="61" name="Obraz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9"/>
                  <pic:cNvPicPr>
                    <a:picLocks noChangeAspect="1" noChangeArrowheads="1"/>
                  </pic:cNvPicPr>
                </pic:nvPicPr>
                <pic:blipFill>
                  <a:blip r:embed="rId1"/>
                  <a:srcRect/>
                  <a:stretch>
                    <a:fillRect/>
                  </a:stretch>
                </pic:blipFill>
                <pic:spPr bwMode="auto">
                  <a:xfrm>
                    <a:off x="0" y="0"/>
                    <a:ext cx="5667375" cy="752475"/>
                  </a:xfrm>
                  <a:prstGeom prst="rect">
                    <a:avLst/>
                  </a:prstGeom>
                  <a:solidFill>
                    <a:srgbClr val="FFFFFF"/>
                  </a:solidFill>
                  <a:ln w="9525">
                    <a:noFill/>
                    <a:miter lim="800000"/>
                    <a:headEnd/>
                    <a:tailEnd/>
                  </a:ln>
                </pic:spPr>
              </pic:pic>
            </a:graphicData>
          </a:graphic>
        </wp:inline>
      </w:drawing>
    </w:r>
  </w:p>
  <w:p w:rsidR="0069036A" w:rsidRDefault="0069036A" w:rsidP="007949A4">
    <w:pPr>
      <w:pStyle w:val="Stopka"/>
      <w:jc w:val="center"/>
      <w:rPr>
        <w:sz w:val="22"/>
        <w:szCs w:val="18"/>
      </w:rPr>
    </w:pPr>
  </w:p>
  <w:p w:rsidR="0069036A" w:rsidRDefault="0069036A">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036A" w:rsidRDefault="0069036A">
    <w:pPr>
      <w:pStyle w:val="Stopka"/>
    </w:pPr>
    <w:r w:rsidRPr="007C1678">
      <w:rPr>
        <w:noProof/>
      </w:rPr>
      <w:drawing>
        <wp:inline distT="0" distB="0" distL="0" distR="0">
          <wp:extent cx="5667375" cy="752475"/>
          <wp:effectExtent l="19050" t="0" r="9525" b="0"/>
          <wp:docPr id="2" name="Obraz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9"/>
                  <pic:cNvPicPr>
                    <a:picLocks noChangeAspect="1" noChangeArrowheads="1"/>
                  </pic:cNvPicPr>
                </pic:nvPicPr>
                <pic:blipFill>
                  <a:blip r:embed="rId1"/>
                  <a:srcRect/>
                  <a:stretch>
                    <a:fillRect/>
                  </a:stretch>
                </pic:blipFill>
                <pic:spPr bwMode="auto">
                  <a:xfrm>
                    <a:off x="0" y="0"/>
                    <a:ext cx="5667375" cy="752475"/>
                  </a:xfrm>
                  <a:prstGeom prst="rect">
                    <a:avLst/>
                  </a:prstGeom>
                  <a:solidFill>
                    <a:srgbClr val="FFFFFF"/>
                  </a:solidFill>
                  <a:ln w="9525">
                    <a:noFill/>
                    <a:miter lim="800000"/>
                    <a:headEnd/>
                    <a:tailEnd/>
                  </a:ln>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410B" w:rsidRDefault="0008410B">
      <w:r>
        <w:separator/>
      </w:r>
    </w:p>
  </w:footnote>
  <w:footnote w:type="continuationSeparator" w:id="0">
    <w:p w:rsidR="0008410B" w:rsidRDefault="0008410B">
      <w:r>
        <w:continuationSeparator/>
      </w:r>
    </w:p>
  </w:footnote>
  <w:footnote w:id="1">
    <w:p w:rsidR="0069036A" w:rsidRPr="00165F6F" w:rsidRDefault="0069036A">
      <w:pPr>
        <w:pStyle w:val="Tekstprzypisudolnego"/>
        <w:rPr>
          <w:sz w:val="18"/>
          <w:szCs w:val="18"/>
        </w:rPr>
      </w:pPr>
      <w:r>
        <w:rPr>
          <w:rStyle w:val="Odwoanieprzypisudolnego"/>
        </w:rPr>
        <w:footnoteRef/>
      </w:r>
      <w:r>
        <w:t xml:space="preserve"> </w:t>
      </w:r>
      <w:r w:rsidRPr="00165F6F">
        <w:rPr>
          <w:sz w:val="18"/>
          <w:szCs w:val="18"/>
        </w:rPr>
        <w:t>KSSR 2030, 2019 r., str. 49</w:t>
      </w:r>
    </w:p>
  </w:footnote>
  <w:footnote w:id="2">
    <w:p w:rsidR="0069036A" w:rsidRPr="00165F6F" w:rsidRDefault="0069036A">
      <w:pPr>
        <w:pStyle w:val="Tekstprzypisudolnego"/>
        <w:rPr>
          <w:sz w:val="18"/>
          <w:szCs w:val="18"/>
        </w:rPr>
      </w:pPr>
      <w:r w:rsidRPr="00165F6F">
        <w:rPr>
          <w:rStyle w:val="Odwoanieprzypisudolnego"/>
          <w:sz w:val="18"/>
          <w:szCs w:val="18"/>
        </w:rPr>
        <w:footnoteRef/>
      </w:r>
      <w:r w:rsidRPr="00165F6F">
        <w:rPr>
          <w:sz w:val="18"/>
          <w:szCs w:val="18"/>
        </w:rPr>
        <w:t xml:space="preserve"> KSSR 2030, 2019 r., str. 57</w:t>
      </w:r>
    </w:p>
  </w:footnote>
  <w:footnote w:id="3">
    <w:p w:rsidR="0069036A" w:rsidRPr="00165F6F" w:rsidRDefault="0069036A">
      <w:pPr>
        <w:pStyle w:val="Tekstprzypisudolnego"/>
        <w:rPr>
          <w:sz w:val="18"/>
          <w:szCs w:val="18"/>
        </w:rPr>
      </w:pPr>
      <w:r w:rsidRPr="00165F6F">
        <w:rPr>
          <w:rStyle w:val="Odwoanieprzypisudolnego"/>
          <w:sz w:val="18"/>
          <w:szCs w:val="18"/>
        </w:rPr>
        <w:footnoteRef/>
      </w:r>
      <w:r w:rsidRPr="00165F6F">
        <w:rPr>
          <w:sz w:val="18"/>
          <w:szCs w:val="18"/>
        </w:rPr>
        <w:t xml:space="preserve"> KSSR 2030, 2019 r., str. 36</w:t>
      </w:r>
    </w:p>
  </w:footnote>
  <w:footnote w:id="4">
    <w:p w:rsidR="0069036A" w:rsidRPr="00165F6F" w:rsidRDefault="0069036A" w:rsidP="00221889">
      <w:pPr>
        <w:pStyle w:val="Tekstprzypisudolnego"/>
        <w:rPr>
          <w:sz w:val="18"/>
          <w:szCs w:val="18"/>
        </w:rPr>
      </w:pPr>
      <w:r w:rsidRPr="00165F6F">
        <w:rPr>
          <w:rStyle w:val="Odwoanieprzypisudolnego"/>
          <w:sz w:val="18"/>
          <w:szCs w:val="18"/>
        </w:rPr>
        <w:footnoteRef/>
      </w:r>
      <w:r w:rsidRPr="00165F6F">
        <w:rPr>
          <w:sz w:val="18"/>
          <w:szCs w:val="18"/>
        </w:rPr>
        <w:t xml:space="preserve"> Umowa Partnerstwa, czerwiec 2022 r., str. 129</w:t>
      </w:r>
    </w:p>
    <w:p w:rsidR="0069036A" w:rsidRDefault="0069036A">
      <w:pPr>
        <w:pStyle w:val="Tekstprzypisudolnego"/>
      </w:pPr>
    </w:p>
  </w:footnote>
  <w:footnote w:id="5">
    <w:p w:rsidR="0069036A" w:rsidRPr="00FB6971" w:rsidRDefault="0069036A" w:rsidP="004C25C8">
      <w:pPr>
        <w:pStyle w:val="Tekstprzypisudolnego"/>
        <w:jc w:val="both"/>
      </w:pPr>
      <w:r w:rsidRPr="00FB6971">
        <w:rPr>
          <w:rStyle w:val="Odwoanieprzypisudolnego"/>
          <w:sz w:val="18"/>
        </w:rPr>
        <w:footnoteRef/>
      </w:r>
      <w:r w:rsidRPr="00FB6971">
        <w:rPr>
          <w:sz w:val="18"/>
        </w:rPr>
        <w:t xml:space="preserve"> Delimitacja oparta była na podziale miasta na jednostki urbanistyczne, </w:t>
      </w:r>
      <w:r w:rsidRPr="00FB6971">
        <w:rPr>
          <w:rFonts w:eastAsia="Calibri" w:cs="ArialNarrow"/>
          <w:sz w:val="18"/>
        </w:rPr>
        <w:t>które wyznaczają fragmenty miasta o odmiennym charakterze. G</w:t>
      </w:r>
      <w:r w:rsidRPr="00FB6971">
        <w:rPr>
          <w:sz w:val="18"/>
        </w:rPr>
        <w:t>ranice podobszarów pokrywają się z granicami jednostek. Dlatego w Programie Rewitalizacji zachowano odrębność tych czterech podobszarów, mimo, że tworzą razem jeden większy obszar.</w:t>
      </w:r>
    </w:p>
  </w:footnote>
  <w:footnote w:id="6">
    <w:p w:rsidR="0069036A" w:rsidRPr="00FB6971" w:rsidRDefault="0069036A" w:rsidP="004C25C8">
      <w:pPr>
        <w:pStyle w:val="Tekstprzypisudolnego"/>
        <w:jc w:val="both"/>
      </w:pPr>
      <w:r w:rsidRPr="00FB6971">
        <w:rPr>
          <w:rStyle w:val="Odwoanieprzypisudolnego"/>
          <w:sz w:val="18"/>
        </w:rPr>
        <w:footnoteRef/>
      </w:r>
      <w:r w:rsidRPr="00FB6971">
        <w:rPr>
          <w:sz w:val="18"/>
        </w:rPr>
        <w:t xml:space="preserve"> Dane do delimitacji zbierane były w ciągu 2015 roku, dlatego mogą występować pewne różnice między wielkościami podawanymi w tekście, a informacjami pochodzącymi z późniejszego okresu.</w:t>
      </w:r>
    </w:p>
  </w:footnote>
  <w:footnote w:id="7">
    <w:p w:rsidR="0069036A" w:rsidRPr="00FF38F2" w:rsidRDefault="0069036A" w:rsidP="00FB410F">
      <w:pPr>
        <w:pStyle w:val="Tekstprzypisudolnego"/>
      </w:pPr>
      <w:r w:rsidRPr="00934BB9">
        <w:rPr>
          <w:rStyle w:val="Odwoanieprzypisudolnego"/>
          <w:sz w:val="18"/>
        </w:rPr>
        <w:footnoteRef/>
      </w:r>
      <w:r w:rsidRPr="00FF38F2">
        <w:t xml:space="preserve"> </w:t>
      </w:r>
      <w:r w:rsidRPr="00934BB9">
        <w:rPr>
          <w:sz w:val="18"/>
        </w:rPr>
        <w:t>Wersja z dn</w:t>
      </w:r>
      <w:r>
        <w:rPr>
          <w:sz w:val="18"/>
        </w:rPr>
        <w:t>ia 2 sierpnia 2016 r., s. 25-26</w:t>
      </w:r>
    </w:p>
  </w:footnote>
  <w:footnote w:id="8">
    <w:p w:rsidR="0069036A" w:rsidRDefault="0069036A" w:rsidP="005260B6">
      <w:pPr>
        <w:pStyle w:val="Tekstprzypisudolnego"/>
      </w:pPr>
      <w:r>
        <w:rPr>
          <w:rStyle w:val="Odwoanieprzypisudolnego"/>
        </w:rPr>
        <w:footnoteRef/>
      </w:r>
      <w:r>
        <w:t xml:space="preserve"> </w:t>
      </w:r>
      <w:r>
        <w:rPr>
          <w:rFonts w:ascii="Calibri" w:hAnsi="Calibri" w:cs="Calibri"/>
          <w:sz w:val="18"/>
          <w:szCs w:val="18"/>
        </w:rPr>
        <w:t>Dane GUS na 31.12.2015 r.</w:t>
      </w:r>
    </w:p>
  </w:footnote>
  <w:footnote w:id="9">
    <w:p w:rsidR="0069036A" w:rsidRDefault="0069036A" w:rsidP="00A40018">
      <w:pPr>
        <w:pStyle w:val="Tekstprzypisudolnego"/>
        <w:jc w:val="both"/>
      </w:pPr>
      <w:r>
        <w:rPr>
          <w:rStyle w:val="Odwoanieprzypisudolnego"/>
          <w:sz w:val="18"/>
          <w:szCs w:val="18"/>
        </w:rPr>
        <w:footnoteRef/>
      </w:r>
      <w:r>
        <w:rPr>
          <w:sz w:val="18"/>
          <w:szCs w:val="18"/>
        </w:rPr>
        <w:t xml:space="preserve"> </w:t>
      </w:r>
      <w:r>
        <w:rPr>
          <w:rFonts w:ascii="Calibri" w:hAnsi="Calibri" w:cs="Calibri"/>
          <w:sz w:val="18"/>
          <w:szCs w:val="18"/>
        </w:rPr>
        <w:t xml:space="preserve">Taki sam, bardzo wysoki wskaźnik występuje w Kolonii Zgorzelec; na 91 osób w wieku produkcyjnym bez pracy pozostaje tam 20 osób. </w:t>
      </w:r>
    </w:p>
  </w:footnote>
  <w:footnote w:id="10">
    <w:p w:rsidR="0069036A" w:rsidRDefault="0069036A" w:rsidP="005260B6">
      <w:pPr>
        <w:pStyle w:val="Tekstprzypisudolnego"/>
        <w:jc w:val="both"/>
      </w:pPr>
      <w:r>
        <w:rPr>
          <w:rStyle w:val="Odwoanieprzypisudolnego"/>
          <w:rFonts w:ascii="Calibri" w:hAnsi="Calibri" w:cs="Calibri"/>
          <w:sz w:val="18"/>
          <w:szCs w:val="18"/>
        </w:rPr>
        <w:footnoteRef/>
      </w:r>
      <w:r>
        <w:rPr>
          <w:rFonts w:ascii="Calibri" w:hAnsi="Calibri" w:cs="Calibri"/>
          <w:sz w:val="18"/>
          <w:szCs w:val="18"/>
        </w:rPr>
        <w:t xml:space="preserve"> W Kolonii Zgorzelec, z powodu niewielkiej liczby ludności, wysoki procentowo udział przekłada się na niewielką liczbę osób - chodzi jedynie o 9 osób.</w:t>
      </w:r>
    </w:p>
  </w:footnote>
  <w:footnote w:id="11">
    <w:p w:rsidR="0069036A" w:rsidRDefault="0069036A" w:rsidP="00004419">
      <w:pPr>
        <w:pStyle w:val="Tekstprzypisudolnego"/>
        <w:spacing w:line="216" w:lineRule="auto"/>
      </w:pPr>
      <w:r>
        <w:rPr>
          <w:rStyle w:val="Odwoanieprzypisudolnego"/>
        </w:rPr>
        <w:footnoteRef/>
      </w:r>
      <w:r>
        <w:t xml:space="preserve"> </w:t>
      </w:r>
      <w:r w:rsidRPr="007E2829">
        <w:rPr>
          <w:sz w:val="18"/>
          <w:szCs w:val="18"/>
        </w:rPr>
        <w:t>Podana wielkość odnosi się do wszystkich trzech dzieln</w:t>
      </w:r>
      <w:r>
        <w:rPr>
          <w:sz w:val="18"/>
          <w:szCs w:val="18"/>
        </w:rPr>
        <w:t>i</w:t>
      </w:r>
      <w:r w:rsidRPr="007E2829">
        <w:rPr>
          <w:sz w:val="18"/>
          <w:szCs w:val="18"/>
        </w:rPr>
        <w:t>c Śródmieścia jako całości.</w:t>
      </w:r>
    </w:p>
  </w:footnote>
  <w:footnote w:id="12">
    <w:p w:rsidR="0069036A" w:rsidRDefault="0069036A" w:rsidP="00CB1CE0">
      <w:pPr>
        <w:pStyle w:val="Tekstprzypisudolnego"/>
      </w:pPr>
      <w:r>
        <w:rPr>
          <w:rStyle w:val="Odwoanieprzypisudolnego"/>
        </w:rPr>
        <w:footnoteRef/>
      </w:r>
      <w:r>
        <w:t xml:space="preserve"> </w:t>
      </w:r>
      <w:r>
        <w:rPr>
          <w:rFonts w:ascii="Calibri" w:hAnsi="Calibri" w:cs="Calibri"/>
          <w:sz w:val="18"/>
          <w:szCs w:val="18"/>
        </w:rPr>
        <w:t>W skład Zespołu weszli przedstawiciele Urzędu Miejskiego w Bytomiu, MOPR i Bytomskich Mieszkań.</w:t>
      </w:r>
    </w:p>
  </w:footnote>
  <w:footnote w:id="13">
    <w:p w:rsidR="0069036A" w:rsidRPr="0038597F" w:rsidRDefault="0069036A" w:rsidP="005969C4">
      <w:pPr>
        <w:pStyle w:val="Standard"/>
        <w:spacing w:after="0" w:line="240" w:lineRule="auto"/>
        <w:jc w:val="both"/>
        <w:rPr>
          <w:sz w:val="18"/>
          <w:szCs w:val="18"/>
        </w:rPr>
      </w:pPr>
      <w:r w:rsidRPr="0038597F">
        <w:rPr>
          <w:rStyle w:val="Odwoanieprzypisudolnego"/>
          <w:sz w:val="18"/>
          <w:szCs w:val="18"/>
        </w:rPr>
        <w:footnoteRef/>
      </w:r>
      <w:r w:rsidRPr="0038597F">
        <w:rPr>
          <w:sz w:val="18"/>
          <w:szCs w:val="18"/>
        </w:rPr>
        <w:t xml:space="preserve"> </w:t>
      </w:r>
      <w:r w:rsidRPr="0038597F">
        <w:rPr>
          <w:color w:val="000000"/>
          <w:kern w:val="0"/>
          <w:sz w:val="18"/>
          <w:szCs w:val="18"/>
        </w:rPr>
        <w:t>Obowiązująca lista osób oczekujących do zawarcia umowy najmu przez osoby opuszczające rodzinną lub instytucjonalną pieczę zastępczą obejmuje 70 osób.</w:t>
      </w:r>
    </w:p>
  </w:footnote>
  <w:footnote w:id="14">
    <w:p w:rsidR="0069036A" w:rsidRDefault="0069036A" w:rsidP="005B41FF">
      <w:pPr>
        <w:pStyle w:val="Tekstprzypisudolnego"/>
      </w:pPr>
      <w:r>
        <w:rPr>
          <w:rStyle w:val="Odwoanieprzypisudolnego"/>
          <w:rFonts w:ascii="Calibri" w:hAnsi="Calibri" w:cs="Calibri"/>
        </w:rPr>
        <w:footnoteRef/>
      </w:r>
      <w:r>
        <w:rPr>
          <w:rFonts w:ascii="Calibri" w:hAnsi="Calibri" w:cs="Calibri"/>
        </w:rPr>
        <w:t xml:space="preserve"> </w:t>
      </w:r>
      <w:r>
        <w:rPr>
          <w:rFonts w:ascii="Calibri" w:hAnsi="Calibri" w:cs="Calibri"/>
          <w:sz w:val="18"/>
          <w:szCs w:val="18"/>
        </w:rPr>
        <w:t>Z wyjątkiem Kolonii Zgorzelec, gdzie nie odnotowano przypadku przemocy w rodzinie.</w:t>
      </w:r>
    </w:p>
  </w:footnote>
  <w:footnote w:id="15">
    <w:p w:rsidR="0069036A" w:rsidRDefault="0069036A" w:rsidP="00351E5B">
      <w:pPr>
        <w:pStyle w:val="Tekstprzypisudolnego"/>
      </w:pPr>
      <w:r>
        <w:rPr>
          <w:rStyle w:val="Odwoanieprzypisudolnego"/>
          <w:rFonts w:ascii="Calibri" w:hAnsi="Calibri" w:cs="Calibri"/>
          <w:sz w:val="18"/>
          <w:szCs w:val="18"/>
        </w:rPr>
        <w:footnoteRef/>
      </w:r>
      <w:r>
        <w:rPr>
          <w:rFonts w:cs="Calibri"/>
          <w:sz w:val="18"/>
          <w:szCs w:val="18"/>
        </w:rPr>
        <w:t xml:space="preserve"> </w:t>
      </w:r>
      <w:r w:rsidRPr="00BD4F95">
        <w:rPr>
          <w:rFonts w:cs="Calibri"/>
          <w:sz w:val="18"/>
          <w:szCs w:val="18"/>
        </w:rPr>
        <w:t>O bezradności w prowadzeniu gospodarstwa domowego mówi się w odniesieniu do rodzin, które posiadają wystarczające środki finansowe na zabezpieczenie podstawowych potrzeb, lecz środkami tymi dysponują w nieodpowiedni sposób.</w:t>
      </w:r>
    </w:p>
  </w:footnote>
  <w:footnote w:id="16">
    <w:p w:rsidR="0069036A" w:rsidRDefault="0069036A" w:rsidP="00092EFF">
      <w:pPr>
        <w:pStyle w:val="Tekstprzypisudolnego"/>
        <w:jc w:val="both"/>
      </w:pPr>
      <w:r>
        <w:rPr>
          <w:rStyle w:val="Odwoanieprzypisudolnego"/>
          <w:rFonts w:ascii="Calibri" w:hAnsi="Calibri" w:cs="Calibri"/>
          <w:sz w:val="18"/>
          <w:szCs w:val="18"/>
        </w:rPr>
        <w:footnoteRef/>
      </w:r>
      <w:r>
        <w:rPr>
          <w:rFonts w:ascii="Calibri" w:hAnsi="Calibri" w:cs="Calibri"/>
          <w:sz w:val="18"/>
          <w:szCs w:val="18"/>
        </w:rPr>
        <w:t xml:space="preserve"> W skład Zespołu weszli przedstawiciele Wydziału Polityki Społecznej, Bytomskiego Ośrodka Promocji Zdrowia, miejscowych szpitali oraz Powiatowej Stacji Sanitarno – Epidemiologicznej.</w:t>
      </w:r>
    </w:p>
  </w:footnote>
  <w:footnote w:id="17">
    <w:p w:rsidR="0069036A" w:rsidRDefault="0069036A" w:rsidP="00092EFF">
      <w:pPr>
        <w:pStyle w:val="Tekstprzypisudolnego"/>
        <w:jc w:val="both"/>
      </w:pPr>
      <w:r>
        <w:rPr>
          <w:rStyle w:val="Odwoanieprzypisudolnego"/>
          <w:rFonts w:ascii="Calibri" w:hAnsi="Calibri" w:cs="Calibri"/>
          <w:sz w:val="18"/>
          <w:szCs w:val="18"/>
        </w:rPr>
        <w:footnoteRef/>
      </w:r>
      <w:r>
        <w:rPr>
          <w:rFonts w:ascii="Calibri" w:hAnsi="Calibri" w:cs="Calibri"/>
          <w:sz w:val="18"/>
          <w:szCs w:val="18"/>
        </w:rPr>
        <w:t xml:space="preserve"> W skład Zespołu weszli przedstawiciele MOPR oraz instytucji i organizacji działających na rzecz osób niepełnosprawnych.</w:t>
      </w:r>
    </w:p>
  </w:footnote>
  <w:footnote w:id="18">
    <w:p w:rsidR="0069036A" w:rsidRDefault="0069036A" w:rsidP="00AD6128">
      <w:pPr>
        <w:jc w:val="both"/>
      </w:pPr>
      <w:r>
        <w:rPr>
          <w:rStyle w:val="Odwoanieprzypisudolnego"/>
          <w:rFonts w:ascii="Calibri" w:hAnsi="Calibri" w:cs="Calibri"/>
          <w:sz w:val="18"/>
          <w:szCs w:val="18"/>
        </w:rPr>
        <w:footnoteRef/>
      </w:r>
      <w:r>
        <w:rPr>
          <w:rFonts w:ascii="Calibri" w:hAnsi="Calibri" w:cs="Calibri"/>
          <w:sz w:val="18"/>
          <w:szCs w:val="18"/>
        </w:rPr>
        <w:t xml:space="preserve"> Informacje na temat bezdomności przygotował Zespół analizujący ten problem na potrzeby programu rewitalizacji. W skład Zespołu weszli przedstawiciele Miejskiego Ośrodka Pomocy Rodzinie, Straży Miejskiej i Bytomskich Mieszkań. </w:t>
      </w:r>
    </w:p>
  </w:footnote>
  <w:footnote w:id="19">
    <w:p w:rsidR="0069036A" w:rsidRPr="008A0B3B" w:rsidRDefault="0069036A" w:rsidP="000318A6">
      <w:pPr>
        <w:pStyle w:val="Tekstprzypisudolnego"/>
        <w:jc w:val="both"/>
        <w:rPr>
          <w:sz w:val="18"/>
        </w:rPr>
      </w:pPr>
      <w:r w:rsidRPr="008A0B3B">
        <w:rPr>
          <w:rStyle w:val="Odwoanieprzypisudolnego"/>
          <w:sz w:val="18"/>
        </w:rPr>
        <w:footnoteRef/>
      </w:r>
      <w:r w:rsidRPr="008A0B3B">
        <w:rPr>
          <w:sz w:val="18"/>
        </w:rPr>
        <w:t xml:space="preserve"> W skład Zespołu weszli przedstawiciele Wydziału Kultury i Sportu, Wydział</w:t>
      </w:r>
      <w:r>
        <w:rPr>
          <w:sz w:val="18"/>
        </w:rPr>
        <w:t>u</w:t>
      </w:r>
      <w:r w:rsidRPr="008A0B3B">
        <w:rPr>
          <w:sz w:val="18"/>
        </w:rPr>
        <w:t xml:space="preserve"> Edukacji, </w:t>
      </w:r>
      <w:r w:rsidRPr="008A0B3B">
        <w:rPr>
          <w:rFonts w:eastAsia="Calibri"/>
          <w:sz w:val="18"/>
        </w:rPr>
        <w:t>Referat</w:t>
      </w:r>
      <w:r w:rsidRPr="008A0B3B">
        <w:rPr>
          <w:sz w:val="18"/>
        </w:rPr>
        <w:t>u</w:t>
      </w:r>
      <w:r w:rsidRPr="008A0B3B">
        <w:rPr>
          <w:rFonts w:eastAsia="Calibri"/>
          <w:sz w:val="18"/>
        </w:rPr>
        <w:t xml:space="preserve"> Obsługi Klastra Rewitalizacji i Współpracy z Organizacjami Pozarządowymi</w:t>
      </w:r>
      <w:r w:rsidRPr="008A0B3B">
        <w:rPr>
          <w:sz w:val="18"/>
        </w:rPr>
        <w:t xml:space="preserve"> oraz Bytomskiego Centrum Kultury.</w:t>
      </w:r>
    </w:p>
  </w:footnote>
  <w:footnote w:id="20">
    <w:p w:rsidR="0069036A" w:rsidRDefault="0069036A" w:rsidP="002F21D0">
      <w:pPr>
        <w:pStyle w:val="Tekstprzypisudolnego"/>
        <w:jc w:val="both"/>
      </w:pPr>
      <w:r w:rsidRPr="008A0B3B">
        <w:rPr>
          <w:rStyle w:val="Odwoanieprzypisudolnego"/>
          <w:sz w:val="18"/>
        </w:rPr>
        <w:footnoteRef/>
      </w:r>
      <w:r w:rsidRPr="008A0B3B">
        <w:rPr>
          <w:sz w:val="18"/>
        </w:rPr>
        <w:t xml:space="preserve"> Na mapie pokazano frekwencję w obwodach wyborczych i granice podobszarów rewitalizacji.</w:t>
      </w:r>
    </w:p>
  </w:footnote>
  <w:footnote w:id="21">
    <w:p w:rsidR="0069036A" w:rsidRPr="000318A6" w:rsidRDefault="0069036A" w:rsidP="000318A6">
      <w:pPr>
        <w:pStyle w:val="Tekstprzypisudolnego"/>
        <w:jc w:val="both"/>
      </w:pPr>
      <w:r w:rsidRPr="006F533E">
        <w:rPr>
          <w:rStyle w:val="Odwoanieprzypisudolnego"/>
          <w:sz w:val="18"/>
        </w:rPr>
        <w:footnoteRef/>
      </w:r>
      <w:r w:rsidRPr="006F533E">
        <w:rPr>
          <w:sz w:val="18"/>
        </w:rPr>
        <w:t xml:space="preserve"> Na podstawie materiału roboczego przygotowanego przez zespół ekspertów IRM w ramach umowy z MR służącego do opracowania koncepcji projektu pilotażowego.</w:t>
      </w:r>
    </w:p>
  </w:footnote>
  <w:footnote w:id="22">
    <w:p w:rsidR="0069036A" w:rsidRPr="00DF77FD" w:rsidRDefault="0069036A" w:rsidP="000318A6">
      <w:pPr>
        <w:pStyle w:val="Tekstprzypisudolnego"/>
        <w:jc w:val="both"/>
        <w:rPr>
          <w:sz w:val="18"/>
        </w:rPr>
      </w:pPr>
      <w:r w:rsidRPr="00DF77FD">
        <w:rPr>
          <w:rStyle w:val="Odwoanieprzypisudolnego"/>
          <w:sz w:val="18"/>
        </w:rPr>
        <w:footnoteRef/>
      </w:r>
      <w:r w:rsidRPr="00DF77FD">
        <w:rPr>
          <w:sz w:val="18"/>
        </w:rPr>
        <w:t xml:space="preserve"> Badanie obejmowało lata 2002-2012 i zostało wykonane na zlecenie Górnośląskiego Związku Metropolitalnego w ramach projektu pn. </w:t>
      </w:r>
      <w:r w:rsidRPr="00DF77FD">
        <w:rPr>
          <w:rStyle w:val="Pogrubienie"/>
          <w:rFonts w:eastAsia="Arial Unicode MS"/>
          <w:b w:val="0"/>
          <w:sz w:val="18"/>
        </w:rPr>
        <w:t>„Ocena kondycji ekonomicznej osób fizycznych i podmiotów gospodarczych w kontekście dynamiki rozwoju społeczno-gospodarczego miast Górnośląskiego Związku Metropolitalnego wraz z opracowaniem Programu Rozwoju Gospodarczego Metropolii "Silesia" do 2025” współfinansowanego w ramach PO Pomoc Techniczna 2007-2013.</w:t>
      </w:r>
    </w:p>
  </w:footnote>
  <w:footnote w:id="23">
    <w:p w:rsidR="0069036A" w:rsidRPr="00DF77FD" w:rsidRDefault="0069036A" w:rsidP="000318A6">
      <w:pPr>
        <w:pStyle w:val="Tekstprzypisudolnego"/>
        <w:jc w:val="both"/>
        <w:rPr>
          <w:sz w:val="18"/>
        </w:rPr>
      </w:pPr>
      <w:r w:rsidRPr="00DF77FD">
        <w:rPr>
          <w:rStyle w:val="Odwoanieprzypisudolnego"/>
          <w:sz w:val="18"/>
        </w:rPr>
        <w:footnoteRef/>
      </w:r>
      <w:r w:rsidRPr="00DF77FD">
        <w:rPr>
          <w:sz w:val="18"/>
        </w:rPr>
        <w:t xml:space="preserve"> Krzysztofik R., 2012, Uruchomienie mechanizmów zmieniających dotychczasową ścieżkę rozwoju Bytomia. Rekomendacje do strategii rozwojowej Bytomia. </w:t>
      </w:r>
    </w:p>
  </w:footnote>
  <w:footnote w:id="24">
    <w:p w:rsidR="0069036A" w:rsidRPr="00DF77FD" w:rsidRDefault="0069036A" w:rsidP="000318A6">
      <w:pPr>
        <w:pStyle w:val="Tekstprzypisudolnego"/>
        <w:jc w:val="both"/>
        <w:rPr>
          <w:sz w:val="18"/>
        </w:rPr>
      </w:pPr>
      <w:r w:rsidRPr="00DF77FD">
        <w:rPr>
          <w:rStyle w:val="Odwoanieprzypisudolnego"/>
          <w:sz w:val="18"/>
        </w:rPr>
        <w:footnoteRef/>
      </w:r>
      <w:r w:rsidRPr="00DF77FD">
        <w:rPr>
          <w:sz w:val="18"/>
        </w:rPr>
        <w:t xml:space="preserve"> Konkurencja terenów </w:t>
      </w:r>
      <w:r w:rsidRPr="00DF77FD">
        <w:rPr>
          <w:i/>
          <w:sz w:val="18"/>
        </w:rPr>
        <w:t>greenfield</w:t>
      </w:r>
      <w:r w:rsidRPr="00DF77FD">
        <w:rPr>
          <w:sz w:val="18"/>
        </w:rPr>
        <w:t xml:space="preserve"> w innych miastach konurbacji i słaba dostępność komunikacyjna Bytomia w latach 1990. i 2000. była jednym z głównych barier utrudniających odbudowę bazy ekonomicznej miasta. </w:t>
      </w:r>
    </w:p>
  </w:footnote>
  <w:footnote w:id="25">
    <w:p w:rsidR="0069036A" w:rsidRPr="00DF77FD" w:rsidRDefault="0069036A" w:rsidP="000318A6">
      <w:pPr>
        <w:pStyle w:val="Tekstprzypisudolnego"/>
        <w:jc w:val="both"/>
        <w:rPr>
          <w:sz w:val="18"/>
        </w:rPr>
      </w:pPr>
      <w:r w:rsidRPr="00DF77FD">
        <w:rPr>
          <w:rStyle w:val="Odwoanieprzypisudolnego"/>
          <w:sz w:val="18"/>
        </w:rPr>
        <w:footnoteRef/>
      </w:r>
      <w:r w:rsidRPr="00DF77FD">
        <w:rPr>
          <w:sz w:val="18"/>
        </w:rPr>
        <w:t xml:space="preserve"> Warto zauważyć, że znana firma odzieżowa Bytom S.A. w 2013 r. przeniosła siedzibę zarządu do Krakowa.</w:t>
      </w:r>
    </w:p>
  </w:footnote>
  <w:footnote w:id="26">
    <w:p w:rsidR="0069036A" w:rsidRPr="00223F25" w:rsidRDefault="0069036A" w:rsidP="000318A6">
      <w:pPr>
        <w:pStyle w:val="Tekstprzypisudolnego"/>
        <w:jc w:val="both"/>
        <w:rPr>
          <w:highlight w:val="yellow"/>
        </w:rPr>
      </w:pPr>
      <w:r w:rsidRPr="00DF77FD">
        <w:rPr>
          <w:rStyle w:val="Odwoanieprzypisudolnego"/>
          <w:sz w:val="18"/>
        </w:rPr>
        <w:footnoteRef/>
      </w:r>
      <w:r w:rsidRPr="00DF77FD">
        <w:rPr>
          <w:sz w:val="18"/>
        </w:rPr>
        <w:t xml:space="preserve"> Źródło: Lista 2000 Polskich Przedsiębiorstw i Eksporterów, Rzeczpospolita, 21.10.2015 r. </w:t>
      </w:r>
    </w:p>
  </w:footnote>
  <w:footnote w:id="27">
    <w:p w:rsidR="0069036A" w:rsidRPr="005F15BF" w:rsidRDefault="0069036A" w:rsidP="00D42F6F">
      <w:pPr>
        <w:pStyle w:val="Tekstprzypisudolnego"/>
        <w:rPr>
          <w:sz w:val="18"/>
          <w:szCs w:val="18"/>
        </w:rPr>
      </w:pPr>
      <w:r w:rsidRPr="005F15BF">
        <w:rPr>
          <w:rStyle w:val="Odwoanieprzypisudolnego"/>
          <w:sz w:val="18"/>
          <w:szCs w:val="18"/>
        </w:rPr>
        <w:footnoteRef/>
      </w:r>
      <w:r w:rsidRPr="005F15BF">
        <w:rPr>
          <w:sz w:val="18"/>
          <w:szCs w:val="18"/>
        </w:rPr>
        <w:t xml:space="preserve"> W Kolonii Zgorzelec nie odnotowano żadnej spółki, zatem informacje odnosz</w:t>
      </w:r>
      <w:r>
        <w:rPr>
          <w:sz w:val="18"/>
          <w:szCs w:val="18"/>
        </w:rPr>
        <w:t>ą</w:t>
      </w:r>
      <w:r w:rsidRPr="005F15BF">
        <w:rPr>
          <w:sz w:val="18"/>
          <w:szCs w:val="18"/>
        </w:rPr>
        <w:t xml:space="preserve"> sie do pi</w:t>
      </w:r>
      <w:r>
        <w:rPr>
          <w:sz w:val="18"/>
          <w:szCs w:val="18"/>
        </w:rPr>
        <w:t>ę</w:t>
      </w:r>
      <w:r w:rsidRPr="005F15BF">
        <w:rPr>
          <w:sz w:val="18"/>
          <w:szCs w:val="18"/>
        </w:rPr>
        <w:t xml:space="preserve">ciu podobszarów. </w:t>
      </w:r>
    </w:p>
  </w:footnote>
  <w:footnote w:id="28">
    <w:p w:rsidR="0069036A" w:rsidRPr="00EC41C2" w:rsidRDefault="0069036A" w:rsidP="00D42F6F">
      <w:pPr>
        <w:pStyle w:val="Tekstprzypisudolnego"/>
        <w:rPr>
          <w:sz w:val="18"/>
          <w:szCs w:val="18"/>
        </w:rPr>
      </w:pPr>
      <w:r w:rsidRPr="00EC41C2">
        <w:rPr>
          <w:rStyle w:val="Odwoanieprzypisudolnego"/>
          <w:sz w:val="18"/>
          <w:szCs w:val="18"/>
        </w:rPr>
        <w:footnoteRef/>
      </w:r>
      <w:r w:rsidRPr="00EC41C2">
        <w:rPr>
          <w:sz w:val="18"/>
          <w:szCs w:val="18"/>
        </w:rPr>
        <w:t xml:space="preserve"> W zestawieniu pominięto Bobrek z powodu bardzo małej liczby firm.</w:t>
      </w:r>
    </w:p>
  </w:footnote>
  <w:footnote w:id="29">
    <w:p w:rsidR="0069036A" w:rsidRPr="008F1C3D" w:rsidRDefault="0069036A" w:rsidP="0041273E">
      <w:pPr>
        <w:autoSpaceDE w:val="0"/>
        <w:autoSpaceDN w:val="0"/>
        <w:adjustRightInd w:val="0"/>
        <w:jc w:val="both"/>
        <w:rPr>
          <w:sz w:val="18"/>
          <w:szCs w:val="20"/>
          <w:lang w:val="en-US"/>
        </w:rPr>
      </w:pPr>
      <w:r w:rsidRPr="008F1C3D">
        <w:rPr>
          <w:rStyle w:val="Odwoanieprzypisudolnego"/>
          <w:sz w:val="18"/>
          <w:szCs w:val="20"/>
        </w:rPr>
        <w:footnoteRef/>
      </w:r>
      <w:r w:rsidRPr="008F1C3D">
        <w:rPr>
          <w:sz w:val="18"/>
          <w:szCs w:val="20"/>
        </w:rPr>
        <w:t xml:space="preserve"> Niska przedsiębiorczość jest jedną z charakterystycznych cech miast które były uzależnione od wielkich zakładów przemysłowych zwłaszcza tzw. przemysłu ciężkiego. Fenomen ten jest jedną z najsilniejszych barier ich odnowy gospodarczej i społecznej (zob. np. </w:t>
      </w:r>
      <w:r w:rsidRPr="008F1C3D">
        <w:rPr>
          <w:rFonts w:cs="MinionPro-Regular"/>
          <w:sz w:val="18"/>
          <w:szCs w:val="20"/>
          <w:lang w:val="en-US"/>
        </w:rPr>
        <w:t xml:space="preserve">Carlsson B., Acs Z., Audretsch D., Braunerhjelm P., 2007, </w:t>
      </w:r>
      <w:r w:rsidRPr="008F1C3D">
        <w:rPr>
          <w:rFonts w:eastAsia="MinionPro-It" w:cs="MinionPro-It"/>
          <w:i/>
          <w:iCs/>
          <w:sz w:val="18"/>
          <w:szCs w:val="20"/>
          <w:lang w:val="en-US"/>
        </w:rPr>
        <w:t>The knowledge filter, entrepreneurship, and economic growth</w:t>
      </w:r>
      <w:r w:rsidRPr="008F1C3D">
        <w:rPr>
          <w:rFonts w:cs="MinionPro-Regular"/>
          <w:sz w:val="18"/>
          <w:szCs w:val="20"/>
          <w:lang w:val="en-US"/>
        </w:rPr>
        <w:t>, Jena Economic Research Paper No. 2007-057; GMU School of Public Policy Research Paper No. 2010-12. http://dx.doi.org/10.2139/ssrn.1022922).</w:t>
      </w:r>
    </w:p>
  </w:footnote>
  <w:footnote w:id="30">
    <w:p w:rsidR="0069036A" w:rsidRDefault="0069036A" w:rsidP="0041273E">
      <w:pPr>
        <w:pStyle w:val="Tekstprzypisudolnego"/>
        <w:jc w:val="both"/>
      </w:pPr>
      <w:r w:rsidRPr="008F1C3D">
        <w:rPr>
          <w:rStyle w:val="Odwoanieprzypisudolnego"/>
          <w:sz w:val="18"/>
        </w:rPr>
        <w:footnoteRef/>
      </w:r>
      <w:r w:rsidRPr="008F1C3D">
        <w:rPr>
          <w:sz w:val="18"/>
        </w:rPr>
        <w:t xml:space="preserve"> W charakterystyce sytuacji gospodarczej w Bytomiu wykorzystano m. in. materiał roboczy wypracowany przez zespół ekspertów IRM w ramach umowy z MR służący wypracowaniu koncepcji projektu pilotażowego.</w:t>
      </w:r>
    </w:p>
  </w:footnote>
  <w:footnote w:id="31">
    <w:p w:rsidR="0069036A" w:rsidRPr="008A4108" w:rsidRDefault="0069036A" w:rsidP="0041273E">
      <w:pPr>
        <w:pStyle w:val="Tekstprzypisudolnego"/>
        <w:jc w:val="both"/>
      </w:pPr>
      <w:r w:rsidRPr="008A4108">
        <w:rPr>
          <w:rStyle w:val="Odwoanieprzypisudolnego"/>
          <w:sz w:val="18"/>
        </w:rPr>
        <w:footnoteRef/>
      </w:r>
      <w:r w:rsidRPr="008A4108">
        <w:rPr>
          <w:sz w:val="18"/>
        </w:rPr>
        <w:t xml:space="preserve"> W niniejszym opracowaniu określenie „budynki należące do gminy” obejmuje: budynki 100% własności gminy, własność Skarbu Państwa oraz własność osób prywatnych w przymusowym zarządzie. Dwie ostatnie grupy stanowią margines w</w:t>
      </w:r>
      <w:r>
        <w:rPr>
          <w:sz w:val="18"/>
        </w:rPr>
        <w:t> </w:t>
      </w:r>
      <w:r w:rsidRPr="008A4108">
        <w:rPr>
          <w:sz w:val="18"/>
        </w:rPr>
        <w:t>porównaniu z budynkami 100% gminy. W praktyce gmina zarządza i dysponuje nimi tak samo, jak budynkami własnymi.</w:t>
      </w:r>
    </w:p>
  </w:footnote>
  <w:footnote w:id="32">
    <w:p w:rsidR="0069036A" w:rsidRPr="008A4108" w:rsidRDefault="0069036A" w:rsidP="00A37F92">
      <w:pPr>
        <w:spacing w:line="216" w:lineRule="auto"/>
        <w:jc w:val="both"/>
        <w:rPr>
          <w:sz w:val="18"/>
          <w:szCs w:val="20"/>
        </w:rPr>
      </w:pPr>
      <w:r w:rsidRPr="008A4108">
        <w:rPr>
          <w:rStyle w:val="Odwoanieprzypisudolnego"/>
          <w:sz w:val="18"/>
          <w:szCs w:val="20"/>
        </w:rPr>
        <w:footnoteRef/>
      </w:r>
      <w:r w:rsidRPr="008A4108">
        <w:rPr>
          <w:sz w:val="18"/>
          <w:szCs w:val="20"/>
        </w:rPr>
        <w:t xml:space="preserve"> W skład Zespołu weszli przedstawiciele Centrum Integracji Społecznej, Miejskiego Ośrodka Pomocy Rodzinie, Powiatowego Urzędu Pracy, Bytomskiego Centrum Wsparcia i Bytomskiej Rady Działalności Pożytku Publicznego.</w:t>
      </w:r>
    </w:p>
  </w:footnote>
  <w:footnote w:id="33">
    <w:p w:rsidR="0069036A" w:rsidRPr="002C79F0" w:rsidRDefault="0069036A" w:rsidP="00A37F92">
      <w:pPr>
        <w:pStyle w:val="Tekstprzypisudolnego"/>
        <w:spacing w:line="216" w:lineRule="auto"/>
        <w:jc w:val="both"/>
      </w:pPr>
      <w:r w:rsidRPr="008A4108">
        <w:rPr>
          <w:rStyle w:val="Odwoanieprzypisudolnego"/>
          <w:sz w:val="18"/>
        </w:rPr>
        <w:footnoteRef/>
      </w:r>
      <w:r w:rsidRPr="008A4108">
        <w:rPr>
          <w:sz w:val="18"/>
        </w:rPr>
        <w:t xml:space="preserve"> Analiza roku budowy dotyczy budynków należących do gminy. Dane budynków wspólnot mieszkaniowych z udziałem gminy nie są pełne. Można jednak stwierdzić, że budynki wspólnot mieszkaniowych powstały w późniejszym okresie, niż budynki należące do gminy.</w:t>
      </w:r>
    </w:p>
  </w:footnote>
  <w:footnote w:id="34">
    <w:p w:rsidR="0069036A" w:rsidRPr="0041273E" w:rsidRDefault="0069036A" w:rsidP="0041273E">
      <w:pPr>
        <w:pStyle w:val="Tekstprzypisudolnego"/>
        <w:jc w:val="both"/>
      </w:pPr>
      <w:r w:rsidRPr="00303C53">
        <w:rPr>
          <w:rStyle w:val="Odwoanieprzypisudolnego"/>
          <w:sz w:val="18"/>
        </w:rPr>
        <w:footnoteRef/>
      </w:r>
      <w:r w:rsidRPr="00303C53">
        <w:rPr>
          <w:sz w:val="18"/>
        </w:rPr>
        <w:t xml:space="preserve"> Analiza stanu technicznego dotyczy tylko budynków należących do gminy, ponieważ dane budynków wspólnot mieszkaniowych z udziałem gminy nie są pełne. Można jednak stwierdzić, że stan budynków wspólnot mieszkaniowych jest lepszy niż budynków należących do gminy.</w:t>
      </w:r>
    </w:p>
  </w:footnote>
  <w:footnote w:id="35">
    <w:p w:rsidR="0069036A" w:rsidRPr="00CA781B" w:rsidRDefault="0069036A" w:rsidP="00866333">
      <w:pPr>
        <w:pStyle w:val="Tekstprzypisudolnego"/>
        <w:jc w:val="both"/>
        <w:rPr>
          <w:sz w:val="18"/>
          <w:szCs w:val="18"/>
        </w:rPr>
      </w:pPr>
      <w:r w:rsidRPr="00CA781B">
        <w:rPr>
          <w:rStyle w:val="Odwoanieprzypisudolnego"/>
          <w:sz w:val="18"/>
          <w:szCs w:val="18"/>
        </w:rPr>
        <w:footnoteRef/>
      </w:r>
      <w:r>
        <w:rPr>
          <w:rStyle w:val="Odwoanieprzypisudolnego"/>
          <w:sz w:val="18"/>
          <w:szCs w:val="18"/>
        </w:rPr>
        <w:t xml:space="preserve"> </w:t>
      </w:r>
      <w:r w:rsidRPr="00CA781B">
        <w:rPr>
          <w:sz w:val="18"/>
          <w:szCs w:val="18"/>
        </w:rPr>
        <w:t>Analiza stanu technicznego dotyczy tylko budynków należących do gminy, ponieważ dane budynków wspólnot mieszkaniowych z udziałem gminy nie są pełne. Można jednak stwierdzić, że stan budynków wspólnot mieszkaniowych jest lepszy niż budynków należących do gminy.</w:t>
      </w:r>
    </w:p>
  </w:footnote>
  <w:footnote w:id="36">
    <w:p w:rsidR="0069036A" w:rsidRPr="00AD6898" w:rsidRDefault="0069036A" w:rsidP="0041273E">
      <w:pPr>
        <w:pStyle w:val="Tekstprzypisudolnego"/>
        <w:jc w:val="both"/>
        <w:rPr>
          <w:rFonts w:cs="Arial Narrow"/>
          <w:sz w:val="18"/>
          <w:szCs w:val="18"/>
        </w:rPr>
      </w:pPr>
      <w:r w:rsidRPr="00EB191D">
        <w:rPr>
          <w:rStyle w:val="Odwoanieprzypisudolnego"/>
          <w:sz w:val="18"/>
          <w:szCs w:val="18"/>
        </w:rPr>
        <w:footnoteRef/>
      </w:r>
      <w:r>
        <w:rPr>
          <w:rStyle w:val="rdoZnak"/>
          <w:rFonts w:asciiTheme="minorHAnsi" w:hAnsiTheme="minorHAnsi"/>
          <w:b/>
          <w:bCs/>
        </w:rPr>
        <w:t xml:space="preserve"> </w:t>
      </w:r>
      <w:r w:rsidRPr="00AD6898">
        <w:rPr>
          <w:rStyle w:val="rdoZnak"/>
          <w:rFonts w:asciiTheme="minorHAnsi" w:hAnsiTheme="minorHAnsi"/>
          <w:b/>
          <w:bCs/>
        </w:rPr>
        <w:t>Obszarem górniczym</w:t>
      </w:r>
      <w:r w:rsidRPr="00AD6898">
        <w:rPr>
          <w:rStyle w:val="rdoZnak"/>
          <w:rFonts w:asciiTheme="minorHAnsi" w:hAnsiTheme="minorHAnsi"/>
        </w:rPr>
        <w:t xml:space="preserve"> jest przestrzeń, w granicach której przedsiębiorca jest uprawniony do wydobywania kopaliny, podziemnego bez-zbiornikowego magazynowania substancji, podziemnego składowania odpadów, podziemnego składowania dwutlenku węgla oraz prowadzenia robót górniczych niezbędnych do wykonywania koncesji (Ustawa z dnia 9 czerwca 2011 r. </w:t>
      </w:r>
      <w:r>
        <w:rPr>
          <w:rStyle w:val="rdoZnak"/>
          <w:rFonts w:asciiTheme="minorHAnsi" w:hAnsiTheme="minorHAnsi"/>
        </w:rPr>
        <w:t xml:space="preserve">– Prawo geologiczne i górnicze, </w:t>
      </w:r>
      <w:r w:rsidRPr="00AD6898">
        <w:rPr>
          <w:rStyle w:val="rdoZnak"/>
          <w:rFonts w:asciiTheme="minorHAnsi" w:hAnsiTheme="minorHAnsi"/>
        </w:rPr>
        <w:t>Dz. U. 2011 nr 163 poz. 981, z późn. zm.).</w:t>
      </w:r>
    </w:p>
  </w:footnote>
  <w:footnote w:id="37">
    <w:p w:rsidR="0069036A" w:rsidRPr="0041273E" w:rsidRDefault="0069036A" w:rsidP="0041273E">
      <w:pPr>
        <w:pStyle w:val="Tekstprzypisudolnego"/>
        <w:jc w:val="both"/>
        <w:rPr>
          <w:rFonts w:cs="Arial Narrow"/>
          <w:sz w:val="18"/>
          <w:szCs w:val="18"/>
        </w:rPr>
      </w:pPr>
      <w:r w:rsidRPr="00AD6898">
        <w:rPr>
          <w:rStyle w:val="Odwoanieprzypisudolnego"/>
          <w:sz w:val="18"/>
          <w:szCs w:val="18"/>
        </w:rPr>
        <w:footnoteRef/>
      </w:r>
      <w:r w:rsidRPr="00AD6898">
        <w:rPr>
          <w:rStyle w:val="rdoZnak"/>
          <w:rFonts w:asciiTheme="minorHAnsi" w:hAnsiTheme="minorHAnsi"/>
          <w:b/>
          <w:bCs/>
        </w:rPr>
        <w:t xml:space="preserve"> Terenem górniczym</w:t>
      </w:r>
      <w:r w:rsidRPr="00AD6898">
        <w:rPr>
          <w:rStyle w:val="rdoZnak"/>
          <w:rFonts w:asciiTheme="minorHAnsi" w:hAnsiTheme="minorHAnsi"/>
        </w:rPr>
        <w:t xml:space="preserve"> jest przestrzeń objęta przewidywanymi szkodliwymi wpływami robót górniczych zakładu górniczego (Ustawa z dnia 9 czerwca 2011 r. – Prawo geologiczne i górnicze (Dz. U. 2011 nr 163 poz. 981, z późn. zm.).</w:t>
      </w:r>
    </w:p>
  </w:footnote>
  <w:footnote w:id="38">
    <w:p w:rsidR="0069036A" w:rsidRPr="007E3578" w:rsidRDefault="0069036A" w:rsidP="001C2FD4">
      <w:pPr>
        <w:pStyle w:val="Tekstprzypisudolnego"/>
        <w:rPr>
          <w:sz w:val="18"/>
        </w:rPr>
      </w:pPr>
      <w:r w:rsidRPr="007E3578">
        <w:rPr>
          <w:rStyle w:val="Odwoanieprzypisudolnego"/>
          <w:sz w:val="18"/>
        </w:rPr>
        <w:footnoteRef/>
      </w:r>
      <w:r w:rsidRPr="007E3578">
        <w:rPr>
          <w:sz w:val="18"/>
        </w:rPr>
        <w:t xml:space="preserve"> Prognoza oddziaływania na środowisko Projektu Strategii Rozwoju Miasta Bytom 2020+, Bytom, lipiec 2014 r., str. 68</w:t>
      </w:r>
      <w:r>
        <w:rPr>
          <w:sz w:val="18"/>
        </w:rPr>
        <w:t>.</w:t>
      </w:r>
    </w:p>
  </w:footnote>
  <w:footnote w:id="39">
    <w:p w:rsidR="0069036A" w:rsidRDefault="0069036A" w:rsidP="001C2FD4">
      <w:pPr>
        <w:pStyle w:val="Tekstprzypisudolnego"/>
        <w:rPr>
          <w:sz w:val="18"/>
        </w:rPr>
      </w:pPr>
      <w:r w:rsidRPr="007E3578">
        <w:rPr>
          <w:rStyle w:val="Odwoanieprzypisudolnego"/>
          <w:sz w:val="18"/>
        </w:rPr>
        <w:footnoteRef/>
      </w:r>
      <w:r w:rsidRPr="007E3578">
        <w:rPr>
          <w:sz w:val="18"/>
        </w:rPr>
        <w:t xml:space="preserve"> Studium Uwarunkowań i Kierunków Zagospodarowania Przestrzennego Gminy Bytom, 2011</w:t>
      </w:r>
      <w:r>
        <w:rPr>
          <w:sz w:val="18"/>
        </w:rPr>
        <w:t xml:space="preserve"> r.</w:t>
      </w:r>
    </w:p>
  </w:footnote>
  <w:footnote w:id="40">
    <w:p w:rsidR="0069036A" w:rsidRPr="00E16CF5" w:rsidRDefault="0069036A" w:rsidP="00F3250F">
      <w:pPr>
        <w:pStyle w:val="Tekstprzypisudolnego"/>
        <w:rPr>
          <w:iCs/>
        </w:rPr>
      </w:pPr>
      <w:r w:rsidRPr="002E5996">
        <w:rPr>
          <w:rStyle w:val="Odwoanieprzypisudolnego"/>
          <w:sz w:val="18"/>
        </w:rPr>
        <w:footnoteRef/>
      </w:r>
      <w:r w:rsidRPr="002E5996">
        <w:rPr>
          <w:sz w:val="18"/>
        </w:rPr>
        <w:t xml:space="preserve"> “</w:t>
      </w:r>
      <w:r w:rsidRPr="002E5996">
        <w:rPr>
          <w:iCs/>
          <w:sz w:val="18"/>
        </w:rPr>
        <w:t>Aktualizacja Studium wykonalności dla projektu pn. Rewitalizacja Starówki Bytomia – dziedzictwa kulturowego regionu”, Główny Instytut Górnictwa na zlecenie Gminy Bytom, Katowice  2013</w:t>
      </w:r>
      <w:r>
        <w:rPr>
          <w:iCs/>
          <w:sz w:val="18"/>
        </w:rPr>
        <w:t xml:space="preserve"> r.</w:t>
      </w:r>
    </w:p>
  </w:footnote>
  <w:footnote w:id="41">
    <w:p w:rsidR="0069036A" w:rsidRPr="00522CE9" w:rsidRDefault="0069036A" w:rsidP="00522CE9">
      <w:pPr>
        <w:rPr>
          <w:rFonts w:ascii="Calibri" w:hAnsi="Calibri"/>
          <w:sz w:val="18"/>
          <w:szCs w:val="18"/>
        </w:rPr>
      </w:pPr>
      <w:r w:rsidRPr="00CC1A25">
        <w:rPr>
          <w:rStyle w:val="Znakiprzypiswdolnych"/>
          <w:rFonts w:ascii="Calibri" w:hAnsi="Calibri"/>
          <w:sz w:val="18"/>
          <w:szCs w:val="18"/>
          <w:vertAlign w:val="superscript"/>
        </w:rPr>
        <w:footnoteRef/>
      </w:r>
      <w:r w:rsidRPr="00522CE9">
        <w:rPr>
          <w:sz w:val="18"/>
          <w:szCs w:val="18"/>
        </w:rPr>
        <w:t xml:space="preserve"> </w:t>
      </w:r>
      <w:r w:rsidRPr="00522CE9">
        <w:rPr>
          <w:rFonts w:ascii="Calibri" w:hAnsi="Calibri"/>
          <w:sz w:val="18"/>
          <w:szCs w:val="18"/>
        </w:rPr>
        <w:t>Dane ludnościowe dotyczące kolejnych podobszarów pochodzą z 2015 r.</w:t>
      </w:r>
    </w:p>
    <w:p w:rsidR="0069036A" w:rsidRDefault="0069036A" w:rsidP="007956B3">
      <w:pPr>
        <w:pStyle w:val="Tekstprzypisudolnego"/>
        <w:rPr>
          <w:rFonts w:ascii="Calibri" w:hAnsi="Calibri"/>
        </w:rPr>
      </w:pPr>
    </w:p>
  </w:footnote>
  <w:footnote w:id="42">
    <w:p w:rsidR="0069036A" w:rsidRPr="009300B6" w:rsidRDefault="0069036A" w:rsidP="002F7956">
      <w:pPr>
        <w:pStyle w:val="Tekstprzypisudolnego"/>
        <w:jc w:val="both"/>
      </w:pPr>
      <w:r>
        <w:rPr>
          <w:rStyle w:val="Odwoanieprzypisudolnego"/>
        </w:rPr>
        <w:footnoteRef/>
      </w:r>
      <w:r>
        <w:t xml:space="preserve"> </w:t>
      </w:r>
      <w:r w:rsidRPr="009300B6">
        <w:t>Podmioty zewnętrzne – wszystkie podmioty (organizacje, instytucje, osoby prywatne i inne jednostki) niebędące jednostkami budżetowymi/organizacyjnymi UM Bytom/komórkami UM Bytom.</w:t>
      </w:r>
    </w:p>
  </w:footnote>
  <w:footnote w:id="43">
    <w:p w:rsidR="0069036A" w:rsidRDefault="0069036A" w:rsidP="002F7956">
      <w:pPr>
        <w:pStyle w:val="Tekstprzypisudolnego"/>
        <w:jc w:val="both"/>
      </w:pPr>
      <w:r w:rsidRPr="009300B6">
        <w:rPr>
          <w:rStyle w:val="Odwoanieprzypisudolnego"/>
        </w:rPr>
        <w:footnoteRef/>
      </w:r>
      <w:r w:rsidRPr="009300B6">
        <w:t xml:space="preserve"> Z uwagi na złożoność niektórych uwag, które wymagały udzielenia odpowiedzi do poszczególnych fragmentów, suma wszystkich uwag pozytywnie i negatywnie rozpatrzonych różni się od ogólnej liczby zgłoszonych uwag.</w:t>
      </w:r>
    </w:p>
  </w:footnote>
  <w:footnote w:id="44">
    <w:p w:rsidR="0069036A" w:rsidRDefault="0069036A" w:rsidP="004C2D2B">
      <w:pPr>
        <w:pStyle w:val="Tekstprzypisudolnego"/>
        <w:jc w:val="both"/>
        <w:rPr>
          <w:rFonts w:ascii="Arial" w:hAnsi="Arial" w:cs="Arial"/>
          <w:sz w:val="18"/>
          <w:szCs w:val="18"/>
        </w:rPr>
      </w:pPr>
      <w:r>
        <w:rPr>
          <w:rStyle w:val="Odwoanieprzypisudolnego"/>
          <w:rFonts w:ascii="Arial" w:hAnsi="Arial" w:cs="Arial"/>
          <w:sz w:val="18"/>
          <w:szCs w:val="18"/>
        </w:rPr>
        <w:footnoteRef/>
      </w:r>
      <w:r>
        <w:rPr>
          <w:rFonts w:ascii="Arial" w:hAnsi="Arial" w:cs="Arial"/>
          <w:sz w:val="18"/>
          <w:szCs w:val="18"/>
        </w:rPr>
        <w:t xml:space="preserve"> </w:t>
      </w:r>
      <w:r w:rsidRPr="00F01197">
        <w:rPr>
          <w:rFonts w:cs="Arial"/>
          <w:sz w:val="18"/>
          <w:szCs w:val="18"/>
        </w:rPr>
        <w:t xml:space="preserve">GIG, 2013, </w:t>
      </w:r>
      <w:r w:rsidRPr="00F01197">
        <w:rPr>
          <w:rFonts w:cs="Arial"/>
          <w:i/>
          <w:sz w:val="18"/>
          <w:szCs w:val="18"/>
        </w:rPr>
        <w:t>Aktualizacja Studium Wykonalności dla projektu „Rewitalizacja starówki Bytomia – dziedzictwa kulturowego regionu – etap I</w:t>
      </w:r>
      <w:r w:rsidRPr="00F01197">
        <w:rPr>
          <w:rFonts w:cs="Arial"/>
          <w:sz w:val="18"/>
          <w:szCs w:val="18"/>
        </w:rPr>
        <w:t>, Katowice, s. 37</w:t>
      </w:r>
    </w:p>
  </w:footnote>
  <w:footnote w:id="45">
    <w:p w:rsidR="0069036A" w:rsidRPr="00CE7BA6" w:rsidRDefault="0069036A" w:rsidP="00CE7BA6">
      <w:pPr>
        <w:rPr>
          <w:szCs w:val="20"/>
        </w:rPr>
      </w:pPr>
      <w:r>
        <w:rPr>
          <w:rStyle w:val="Odwoanieprzypisudolnego1"/>
          <w:szCs w:val="20"/>
        </w:rPr>
        <w:footnoteRef/>
      </w:r>
      <w:r>
        <w:rPr>
          <w:szCs w:val="20"/>
        </w:rPr>
        <w:t xml:space="preserve"> </w:t>
      </w:r>
      <w:r>
        <w:rPr>
          <w:sz w:val="18"/>
          <w:szCs w:val="20"/>
        </w:rPr>
        <w:t xml:space="preserve">Podstawowy dokument został opracowany zgodnie z koniecznymi wymaganiami określonymi w Ustawie o rewitalizacji.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036A" w:rsidRDefault="003972D8">
    <w:pPr>
      <w:pStyle w:val="Nagwek"/>
    </w:pPr>
    <w:r>
      <w:rPr>
        <w:noProof/>
        <w:lang w:eastAsia="zh-TW"/>
      </w:rPr>
      <w:pict>
        <v:shapetype id="_x0000_t202" coordsize="21600,21600" o:spt="202" path="m,l,21600r21600,l21600,xe">
          <v:stroke joinstyle="miter"/>
          <v:path gradientshapeok="t" o:connecttype="rect"/>
        </v:shapetype>
        <v:shape id="_x0000_s2050" type="#_x0000_t202" style="position:absolute;margin-left:70.9pt;margin-top:26.45pt;width:453.5pt;height:12.2pt;z-index:251658240;mso-width-percent:1000;mso-position-horizontal-relative:page;mso-position-vertical-relative:page;mso-width-percent:1000;mso-width-relative:margin;v-text-anchor:middle" o:allowincell="f" filled="f" stroked="f">
          <v:textbox style="mso-next-textbox:#_x0000_s2050;mso-fit-shape-to-text:t" inset=",0,,0">
            <w:txbxContent>
              <w:p w:rsidR="0069036A" w:rsidRPr="00D310A9" w:rsidRDefault="0069036A" w:rsidP="00D310A9">
                <w:pPr>
                  <w:rPr>
                    <w:rFonts w:ascii="Calibri" w:hAnsi="Calibri"/>
                    <w:szCs w:val="20"/>
                  </w:rPr>
                </w:pPr>
                <w:r w:rsidRPr="00D310A9">
                  <w:rPr>
                    <w:rFonts w:ascii="Calibri" w:hAnsi="Calibri"/>
                    <w:szCs w:val="20"/>
                  </w:rPr>
                  <w:t>Gminny Program Rewitalizacji. Bytom 2020 +</w:t>
                </w:r>
              </w:p>
            </w:txbxContent>
          </v:textbox>
          <w10:wrap anchorx="margin" anchory="margin"/>
        </v:shape>
      </w:pict>
    </w:r>
    <w:r>
      <w:rPr>
        <w:noProof/>
        <w:lang w:eastAsia="zh-TW"/>
      </w:rPr>
      <w:pict>
        <v:shape id="_x0000_s2049" type="#_x0000_t202" style="position:absolute;margin-left:0;margin-top:25.65pt;width:70.9pt;height:13.8pt;z-index:251657216;mso-width-percent:1000;mso-position-horizontal-relative:page;mso-position-vertical-relative:page;mso-width-percent:1000;mso-width-relative:left-margin-area;v-text-anchor:middle" o:allowincell="f" fillcolor="#4f81bd" stroked="f">
          <v:textbox style="mso-next-textbox:#_x0000_s2049;mso-fit-shape-to-text:t" inset=",0,,0">
            <w:txbxContent>
              <w:p w:rsidR="0069036A" w:rsidRPr="00D310A9" w:rsidRDefault="003972D8">
                <w:pPr>
                  <w:jc w:val="right"/>
                  <w:rPr>
                    <w:color w:val="FFFFFF"/>
                  </w:rPr>
                </w:pPr>
                <w:r w:rsidRPr="003972D8">
                  <w:fldChar w:fldCharType="begin"/>
                </w:r>
                <w:r w:rsidR="0069036A">
                  <w:instrText xml:space="preserve"> PAGE   \* MERGEFORMAT </w:instrText>
                </w:r>
                <w:r w:rsidRPr="003972D8">
                  <w:fldChar w:fldCharType="separate"/>
                </w:r>
                <w:r w:rsidR="00BF0B3B" w:rsidRPr="00BF0B3B">
                  <w:rPr>
                    <w:noProof/>
                    <w:color w:val="FFFFFF"/>
                  </w:rPr>
                  <w:t>144</w:t>
                </w:r>
                <w:r>
                  <w:rPr>
                    <w:noProof/>
                    <w:color w:val="FFFFFF"/>
                  </w:rPr>
                  <w:fldChar w:fldCharType="end"/>
                </w:r>
              </w:p>
            </w:txbxContent>
          </v:textbox>
          <w10:wrap anchorx="page"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036A" w:rsidRDefault="0069036A" w:rsidP="008C7BB2">
    <w:pPr>
      <w:pStyle w:val="Nagwek"/>
      <w:jc w:val="center"/>
    </w:pPr>
    <w:r>
      <w:t xml:space="preserve">                                                                     </w:t>
    </w:r>
    <w:r w:rsidR="00413FFE">
      <w:t xml:space="preserve">                               </w:t>
    </w:r>
    <w:r>
      <w:t xml:space="preserve">Załącznik </w:t>
    </w:r>
  </w:p>
  <w:p w:rsidR="0069036A" w:rsidRDefault="0069036A" w:rsidP="008C7BB2">
    <w:pPr>
      <w:pStyle w:val="Nagwek"/>
      <w:jc w:val="center"/>
    </w:pPr>
    <w:r>
      <w:tab/>
      <w:t xml:space="preserve">                                            </w:t>
    </w:r>
    <w:r w:rsidR="00413FFE">
      <w:t xml:space="preserve">   do u</w:t>
    </w:r>
    <w:r>
      <w:t xml:space="preserve">chwały </w:t>
    </w:r>
    <w:r w:rsidR="00413FFE">
      <w:t>nr</w:t>
    </w:r>
  </w:p>
  <w:p w:rsidR="0069036A" w:rsidRDefault="0069036A" w:rsidP="00B53D89">
    <w:pPr>
      <w:pStyle w:val="Nagwek"/>
      <w:jc w:val="center"/>
    </w:pPr>
    <w:r>
      <w:tab/>
      <w:t xml:space="preserve">                                                                                                         </w:t>
    </w:r>
    <w:r w:rsidR="00413FFE">
      <w:t xml:space="preserve">  </w:t>
    </w:r>
    <w:r>
      <w:t xml:space="preserve">Rady Miejskiej w Bytomiu </w:t>
    </w:r>
    <w:r>
      <w:br/>
      <w:t xml:space="preserve">                                                                                               z dnia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6112639E"/>
    <w:lvl w:ilvl="0">
      <w:start w:val="1"/>
      <w:numFmt w:val="bullet"/>
      <w:pStyle w:val="Listapunktowana"/>
      <w:lvlText w:val=""/>
      <w:lvlJc w:val="left"/>
      <w:pPr>
        <w:tabs>
          <w:tab w:val="num" w:pos="360"/>
        </w:tabs>
        <w:ind w:left="360" w:hanging="360"/>
      </w:pPr>
      <w:rPr>
        <w:rFonts w:ascii="Symbol" w:hAnsi="Symbol" w:hint="default"/>
      </w:rPr>
    </w:lvl>
  </w:abstractNum>
  <w:abstractNum w:abstractNumId="1">
    <w:nsid w:val="00000001"/>
    <w:multiLevelType w:val="multilevel"/>
    <w:tmpl w:val="F1EEDE76"/>
    <w:name w:val="WWNum1"/>
    <w:lvl w:ilvl="0">
      <w:start w:val="1"/>
      <w:numFmt w:val="bullet"/>
      <w:lvlText w:val=""/>
      <w:lvlJc w:val="left"/>
      <w:pPr>
        <w:tabs>
          <w:tab w:val="num" w:pos="0"/>
        </w:tabs>
        <w:ind w:left="720" w:firstLine="360"/>
      </w:pPr>
      <w:rPr>
        <w:rFonts w:ascii="Wingdings" w:hAnsi="Wingdings" w:hint="default"/>
        <w:position w:val="0"/>
        <w:sz w:val="20"/>
        <w:vertAlign w:val="baseline"/>
      </w:rPr>
    </w:lvl>
    <w:lvl w:ilvl="1">
      <w:start w:val="1"/>
      <w:numFmt w:val="bullet"/>
      <w:lvlText w:val="o"/>
      <w:lvlJc w:val="left"/>
      <w:pPr>
        <w:tabs>
          <w:tab w:val="num" w:pos="0"/>
        </w:tabs>
        <w:ind w:left="1440" w:firstLine="1080"/>
      </w:pPr>
      <w:rPr>
        <w:rFonts w:ascii="Arial" w:hAnsi="Arial" w:cs="Arial"/>
        <w:position w:val="0"/>
        <w:sz w:val="24"/>
        <w:vertAlign w:val="baseline"/>
      </w:rPr>
    </w:lvl>
    <w:lvl w:ilvl="2">
      <w:start w:val="1"/>
      <w:numFmt w:val="bullet"/>
      <w:lvlText w:val="▪"/>
      <w:lvlJc w:val="left"/>
      <w:pPr>
        <w:tabs>
          <w:tab w:val="num" w:pos="0"/>
        </w:tabs>
        <w:ind w:left="2160" w:firstLine="1800"/>
      </w:pPr>
      <w:rPr>
        <w:rFonts w:ascii="Arial" w:hAnsi="Arial" w:cs="Arial"/>
        <w:position w:val="0"/>
        <w:sz w:val="24"/>
        <w:vertAlign w:val="baseline"/>
      </w:rPr>
    </w:lvl>
    <w:lvl w:ilvl="3">
      <w:start w:val="1"/>
      <w:numFmt w:val="bullet"/>
      <w:lvlText w:val="●"/>
      <w:lvlJc w:val="left"/>
      <w:pPr>
        <w:tabs>
          <w:tab w:val="num" w:pos="0"/>
        </w:tabs>
        <w:ind w:left="2880" w:firstLine="2520"/>
      </w:pPr>
      <w:rPr>
        <w:rFonts w:ascii="Arial" w:hAnsi="Arial" w:cs="Arial"/>
        <w:position w:val="0"/>
        <w:sz w:val="24"/>
        <w:vertAlign w:val="baseline"/>
      </w:rPr>
    </w:lvl>
    <w:lvl w:ilvl="4">
      <w:start w:val="1"/>
      <w:numFmt w:val="bullet"/>
      <w:lvlText w:val="o"/>
      <w:lvlJc w:val="left"/>
      <w:pPr>
        <w:tabs>
          <w:tab w:val="num" w:pos="0"/>
        </w:tabs>
        <w:ind w:left="3600" w:firstLine="3240"/>
      </w:pPr>
      <w:rPr>
        <w:rFonts w:ascii="Arial" w:hAnsi="Arial" w:cs="Arial"/>
        <w:position w:val="0"/>
        <w:sz w:val="24"/>
        <w:vertAlign w:val="baseline"/>
      </w:rPr>
    </w:lvl>
    <w:lvl w:ilvl="5">
      <w:start w:val="1"/>
      <w:numFmt w:val="bullet"/>
      <w:lvlText w:val="▪"/>
      <w:lvlJc w:val="left"/>
      <w:pPr>
        <w:tabs>
          <w:tab w:val="num" w:pos="0"/>
        </w:tabs>
        <w:ind w:left="4320" w:firstLine="3960"/>
      </w:pPr>
      <w:rPr>
        <w:rFonts w:ascii="Arial" w:hAnsi="Arial" w:cs="Arial"/>
        <w:position w:val="0"/>
        <w:sz w:val="24"/>
        <w:vertAlign w:val="baseline"/>
      </w:rPr>
    </w:lvl>
    <w:lvl w:ilvl="6">
      <w:start w:val="1"/>
      <w:numFmt w:val="bullet"/>
      <w:lvlText w:val="●"/>
      <w:lvlJc w:val="left"/>
      <w:pPr>
        <w:tabs>
          <w:tab w:val="num" w:pos="0"/>
        </w:tabs>
        <w:ind w:left="5040" w:firstLine="4680"/>
      </w:pPr>
      <w:rPr>
        <w:rFonts w:ascii="Arial" w:hAnsi="Arial" w:cs="Arial"/>
        <w:position w:val="0"/>
        <w:sz w:val="24"/>
        <w:vertAlign w:val="baseline"/>
      </w:rPr>
    </w:lvl>
    <w:lvl w:ilvl="7">
      <w:start w:val="1"/>
      <w:numFmt w:val="bullet"/>
      <w:lvlText w:val="o"/>
      <w:lvlJc w:val="left"/>
      <w:pPr>
        <w:tabs>
          <w:tab w:val="num" w:pos="0"/>
        </w:tabs>
        <w:ind w:left="5760" w:firstLine="5400"/>
      </w:pPr>
      <w:rPr>
        <w:rFonts w:ascii="Arial" w:hAnsi="Arial" w:cs="Arial"/>
        <w:position w:val="0"/>
        <w:sz w:val="24"/>
        <w:vertAlign w:val="baseline"/>
      </w:rPr>
    </w:lvl>
    <w:lvl w:ilvl="8">
      <w:start w:val="1"/>
      <w:numFmt w:val="bullet"/>
      <w:lvlText w:val="▪"/>
      <w:lvlJc w:val="left"/>
      <w:pPr>
        <w:tabs>
          <w:tab w:val="num" w:pos="0"/>
        </w:tabs>
        <w:ind w:left="6480" w:firstLine="6120"/>
      </w:pPr>
      <w:rPr>
        <w:rFonts w:ascii="Arial" w:hAnsi="Arial" w:cs="Arial"/>
        <w:position w:val="0"/>
        <w:sz w:val="24"/>
        <w:vertAlign w:val="baseline"/>
      </w:rPr>
    </w:lvl>
  </w:abstractNum>
  <w:abstractNum w:abstractNumId="2">
    <w:nsid w:val="00000002"/>
    <w:multiLevelType w:val="multilevel"/>
    <w:tmpl w:val="00000002"/>
    <w:name w:val="WWNum11"/>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3">
    <w:nsid w:val="00000003"/>
    <w:multiLevelType w:val="multilevel"/>
    <w:tmpl w:val="00000003"/>
    <w:name w:val="WWNum12"/>
    <w:lvl w:ilvl="0">
      <w:start w:val="1"/>
      <w:numFmt w:val="decimal"/>
      <w:lvlText w:val="Schemat  %1."/>
      <w:lvlJc w:val="left"/>
      <w:pPr>
        <w:tabs>
          <w:tab w:val="num" w:pos="568"/>
        </w:tabs>
        <w:ind w:left="928" w:hanging="360"/>
      </w:pPr>
      <w:rPr>
        <w:b/>
        <w:i w:val="0"/>
      </w:r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4">
    <w:nsid w:val="00000004"/>
    <w:multiLevelType w:val="singleLevel"/>
    <w:tmpl w:val="04150005"/>
    <w:lvl w:ilvl="0">
      <w:start w:val="1"/>
      <w:numFmt w:val="bullet"/>
      <w:lvlText w:val=""/>
      <w:lvlJc w:val="left"/>
      <w:pPr>
        <w:ind w:left="360" w:hanging="360"/>
      </w:pPr>
      <w:rPr>
        <w:rFonts w:ascii="Wingdings" w:hAnsi="Wingdings" w:hint="default"/>
        <w:color w:val="auto"/>
      </w:rPr>
    </w:lvl>
  </w:abstractNum>
  <w:abstractNum w:abstractNumId="5">
    <w:nsid w:val="00000005"/>
    <w:multiLevelType w:val="multilevel"/>
    <w:tmpl w:val="00000005"/>
    <w:name w:val="WWNum14"/>
    <w:lvl w:ilvl="0">
      <w:start w:val="1"/>
      <w:numFmt w:val="decimal"/>
      <w:lvlText w:val="Tabela %1."/>
      <w:lvlJc w:val="left"/>
      <w:pPr>
        <w:tabs>
          <w:tab w:val="num" w:pos="0"/>
        </w:tabs>
        <w:ind w:left="360" w:hanging="360"/>
      </w:pPr>
      <w:rPr>
        <w:b/>
        <w:i w:val="0"/>
      </w:r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6">
    <w:nsid w:val="00000006"/>
    <w:multiLevelType w:val="singleLevel"/>
    <w:tmpl w:val="BE427452"/>
    <w:lvl w:ilvl="0">
      <w:start w:val="1"/>
      <w:numFmt w:val="bullet"/>
      <w:lvlText w:val=""/>
      <w:lvlJc w:val="left"/>
      <w:pPr>
        <w:ind w:left="720" w:hanging="360"/>
      </w:pPr>
      <w:rPr>
        <w:rFonts w:ascii="Wingdings" w:hAnsi="Wingdings" w:cs="Wingdings" w:hint="default"/>
        <w:color w:val="auto"/>
        <w:sz w:val="20"/>
      </w:rPr>
    </w:lvl>
  </w:abstractNum>
  <w:abstractNum w:abstractNumId="7">
    <w:nsid w:val="00000007"/>
    <w:multiLevelType w:val="singleLevel"/>
    <w:tmpl w:val="04150005"/>
    <w:lvl w:ilvl="0">
      <w:start w:val="1"/>
      <w:numFmt w:val="bullet"/>
      <w:lvlText w:val=""/>
      <w:lvlJc w:val="left"/>
      <w:pPr>
        <w:ind w:left="360" w:hanging="360"/>
      </w:pPr>
      <w:rPr>
        <w:rFonts w:ascii="Wingdings" w:hAnsi="Wingdings" w:hint="default"/>
        <w:color w:val="auto"/>
        <w:szCs w:val="20"/>
      </w:rPr>
    </w:lvl>
  </w:abstractNum>
  <w:abstractNum w:abstractNumId="8">
    <w:nsid w:val="00000008"/>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szCs w:val="22"/>
      </w:rPr>
    </w:lvl>
    <w:lvl w:ilvl="2">
      <w:start w:val="1"/>
      <w:numFmt w:val="decimal"/>
      <w:lvlText w:val="%1.%2.%3."/>
      <w:lvlJc w:val="left"/>
      <w:pPr>
        <w:ind w:left="1224" w:hanging="504"/>
      </w:pPr>
      <w:rPr>
        <w:rFonts w:hint="default"/>
        <w:szCs w:val="22"/>
      </w:rPr>
    </w:lvl>
    <w:lvl w:ilvl="3">
      <w:start w:val="1"/>
      <w:numFmt w:val="decimal"/>
      <w:lvlText w:val="%1.%2.%3.%4."/>
      <w:lvlJc w:val="left"/>
      <w:pPr>
        <w:ind w:left="1728" w:hanging="648"/>
      </w:pPr>
      <w:rPr>
        <w:rFonts w:hint="default"/>
        <w:szCs w:val="22"/>
      </w:rPr>
    </w:lvl>
    <w:lvl w:ilvl="4">
      <w:start w:val="1"/>
      <w:numFmt w:val="decimal"/>
      <w:lvlText w:val="%1.%2.%3.%4.%5."/>
      <w:lvlJc w:val="left"/>
      <w:pPr>
        <w:ind w:left="2232" w:hanging="792"/>
      </w:pPr>
      <w:rPr>
        <w:rFonts w:hint="default"/>
        <w:szCs w:val="22"/>
      </w:rPr>
    </w:lvl>
    <w:lvl w:ilvl="5">
      <w:start w:val="1"/>
      <w:numFmt w:val="decimal"/>
      <w:lvlText w:val="%1.%2.%3.%4.%5.%6."/>
      <w:lvlJc w:val="left"/>
      <w:pPr>
        <w:ind w:left="2736" w:hanging="936"/>
      </w:pPr>
      <w:rPr>
        <w:rFonts w:hint="default"/>
        <w:szCs w:val="22"/>
      </w:rPr>
    </w:lvl>
    <w:lvl w:ilvl="6">
      <w:start w:val="1"/>
      <w:numFmt w:val="decimal"/>
      <w:lvlText w:val="%1.%2.%3.%4.%5.%6.%7."/>
      <w:lvlJc w:val="left"/>
      <w:pPr>
        <w:ind w:left="3240" w:hanging="1080"/>
      </w:pPr>
      <w:rPr>
        <w:rFonts w:hint="default"/>
        <w:szCs w:val="22"/>
      </w:rPr>
    </w:lvl>
    <w:lvl w:ilvl="7">
      <w:start w:val="1"/>
      <w:numFmt w:val="decimal"/>
      <w:lvlText w:val="%1.%2.%3.%4.%5.%6.%7.%8."/>
      <w:lvlJc w:val="left"/>
      <w:pPr>
        <w:ind w:left="3744" w:hanging="1224"/>
      </w:pPr>
      <w:rPr>
        <w:rFonts w:hint="default"/>
        <w:szCs w:val="22"/>
      </w:rPr>
    </w:lvl>
    <w:lvl w:ilvl="8">
      <w:start w:val="1"/>
      <w:numFmt w:val="decimal"/>
      <w:lvlText w:val="%1.%2.%3.%4.%5.%6.%7.%8.%9."/>
      <w:lvlJc w:val="left"/>
      <w:pPr>
        <w:ind w:left="4320" w:hanging="1440"/>
      </w:pPr>
      <w:rPr>
        <w:rFonts w:hint="default"/>
        <w:szCs w:val="22"/>
      </w:rPr>
    </w:lvl>
  </w:abstractNum>
  <w:abstractNum w:abstractNumId="9">
    <w:nsid w:val="00000009"/>
    <w:multiLevelType w:val="multilevel"/>
    <w:tmpl w:val="528E6E12"/>
    <w:name w:val="WW8Num9"/>
    <w:lvl w:ilvl="0">
      <w:start w:val="1"/>
      <w:numFmt w:val="decimal"/>
      <w:lvlText w:val="%1."/>
      <w:lvlJc w:val="left"/>
      <w:pPr>
        <w:tabs>
          <w:tab w:val="num" w:pos="360"/>
        </w:tabs>
        <w:ind w:left="340" w:hanging="34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0">
    <w:nsid w:val="0000000A"/>
    <w:multiLevelType w:val="multilevel"/>
    <w:tmpl w:val="0000000A"/>
    <w:name w:val="WWNum21"/>
    <w:lvl w:ilvl="0">
      <w:start w:val="1"/>
      <w:numFmt w:val="bullet"/>
      <w:lvlText w:val=""/>
      <w:lvlJc w:val="left"/>
      <w:pPr>
        <w:tabs>
          <w:tab w:val="num" w:pos="0"/>
        </w:tabs>
        <w:ind w:left="720" w:hanging="360"/>
      </w:pPr>
      <w:rPr>
        <w:rFonts w:ascii="Wingdings" w:hAnsi="Wingdings"/>
      </w:rPr>
    </w:lvl>
    <w:lvl w:ilvl="1">
      <w:start w:val="1"/>
      <w:numFmt w:val="bullet"/>
      <w:lvlText w:val="-"/>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1">
    <w:nsid w:val="0000000B"/>
    <w:multiLevelType w:val="multilevel"/>
    <w:tmpl w:val="088659AE"/>
    <w:name w:val="WWNum23"/>
    <w:lvl w:ilvl="0">
      <w:numFmt w:val="bullet"/>
      <w:lvlText w:val="–"/>
      <w:lvlJc w:val="left"/>
      <w:pPr>
        <w:tabs>
          <w:tab w:val="num" w:pos="0"/>
        </w:tabs>
        <w:ind w:left="360" w:hanging="360"/>
      </w:pPr>
      <w:rPr>
        <w:rFonts w:ascii="TiepoloItcTEEBoo" w:hAnsi="TiepoloItcTEEBoo" w:cs="TiepoloItcTEEBoo" w:hint="default"/>
        <w:color w:val="auto"/>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2">
    <w:nsid w:val="0000000C"/>
    <w:multiLevelType w:val="multilevel"/>
    <w:tmpl w:val="4DAAD22E"/>
    <w:name w:val="WW8Num12"/>
    <w:lvl w:ilvl="0">
      <w:start w:val="1"/>
      <w:numFmt w:val="decimal"/>
      <w:lvlText w:val="%1."/>
      <w:lvlJc w:val="left"/>
      <w:pPr>
        <w:tabs>
          <w:tab w:val="num" w:pos="720"/>
        </w:tabs>
        <w:ind w:left="720" w:hanging="360"/>
      </w:pPr>
      <w:rPr>
        <w:rFonts w:ascii="Calibri" w:hAnsi="Calibri" w:cs="TiepoloItcTEEBoo" w:hint="default"/>
        <w:color w:val="auto"/>
        <w:szCs w:val="20"/>
      </w:rPr>
    </w:lvl>
    <w:lvl w:ilvl="1">
      <w:start w:val="1"/>
      <w:numFmt w:val="bullet"/>
      <w:lvlText w:val="-"/>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3">
    <w:nsid w:val="0000000D"/>
    <w:multiLevelType w:val="singleLevel"/>
    <w:tmpl w:val="04150005"/>
    <w:lvl w:ilvl="0">
      <w:start w:val="1"/>
      <w:numFmt w:val="bullet"/>
      <w:lvlText w:val=""/>
      <w:lvlJc w:val="left"/>
      <w:pPr>
        <w:ind w:left="720" w:hanging="360"/>
      </w:pPr>
      <w:rPr>
        <w:rFonts w:ascii="Wingdings" w:hAnsi="Wingdings" w:hint="default"/>
      </w:rPr>
    </w:lvl>
  </w:abstractNum>
  <w:abstractNum w:abstractNumId="14">
    <w:nsid w:val="0000000E"/>
    <w:multiLevelType w:val="multilevel"/>
    <w:tmpl w:val="0000000E"/>
    <w:name w:val="WWNum26"/>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5">
    <w:nsid w:val="0000000F"/>
    <w:multiLevelType w:val="singleLevel"/>
    <w:tmpl w:val="04150005"/>
    <w:lvl w:ilvl="0">
      <w:start w:val="1"/>
      <w:numFmt w:val="bullet"/>
      <w:lvlText w:val=""/>
      <w:lvlJc w:val="left"/>
      <w:pPr>
        <w:ind w:left="360" w:hanging="360"/>
      </w:pPr>
      <w:rPr>
        <w:rFonts w:ascii="Wingdings" w:hAnsi="Wingdings" w:hint="default"/>
      </w:rPr>
    </w:lvl>
  </w:abstractNum>
  <w:abstractNum w:abstractNumId="16">
    <w:nsid w:val="00000010"/>
    <w:multiLevelType w:val="multilevel"/>
    <w:tmpl w:val="A3E6362A"/>
    <w:name w:val="WW8Num16"/>
    <w:lvl w:ilvl="0">
      <w:start w:val="1"/>
      <w:numFmt w:val="decimal"/>
      <w:lvlText w:val="%1."/>
      <w:lvlJc w:val="left"/>
      <w:pPr>
        <w:tabs>
          <w:tab w:val="num" w:pos="720"/>
        </w:tabs>
        <w:ind w:left="720" w:hanging="720"/>
      </w:pPr>
      <w:rPr>
        <w:rFonts w:ascii="Symbol" w:hAnsi="Symbol" w:cs="Symbol" w:hint="default"/>
        <w:b w:val="0"/>
        <w:bCs w:val="0"/>
        <w:color w:val="auto"/>
        <w:sz w:val="18"/>
        <w:szCs w:val="20"/>
      </w:rPr>
    </w:lvl>
    <w:lvl w:ilvl="1">
      <w:start w:val="1"/>
      <w:numFmt w:val="decimal"/>
      <w:lvlText w:val="%1.%2."/>
      <w:lvlJc w:val="left"/>
      <w:pPr>
        <w:tabs>
          <w:tab w:val="num" w:pos="0"/>
        </w:tabs>
        <w:ind w:left="792" w:hanging="432"/>
      </w:pPr>
      <w:rPr>
        <w:rFonts w:asciiTheme="minorHAnsi" w:hAnsiTheme="minorHAnsi" w:cs="Symbol" w:hint="default"/>
        <w:b/>
        <w:bCs w:val="0"/>
        <w:color w:val="0066FF"/>
        <w:sz w:val="28"/>
        <w:szCs w:val="28"/>
      </w:rPr>
    </w:lvl>
    <w:lvl w:ilvl="2">
      <w:start w:val="1"/>
      <w:numFmt w:val="decimal"/>
      <w:lvlText w:val="%1.%2.%3."/>
      <w:lvlJc w:val="left"/>
      <w:pPr>
        <w:tabs>
          <w:tab w:val="num" w:pos="0"/>
        </w:tabs>
        <w:ind w:left="1224" w:hanging="504"/>
      </w:pPr>
      <w:rPr>
        <w:rFonts w:asciiTheme="minorHAnsi" w:hAnsiTheme="minorHAnsi" w:cs="Symbol" w:hint="default"/>
        <w:b w:val="0"/>
        <w:bCs w:val="0"/>
        <w:color w:val="auto"/>
        <w:sz w:val="20"/>
        <w:szCs w:val="20"/>
      </w:rPr>
    </w:lvl>
    <w:lvl w:ilvl="3">
      <w:start w:val="1"/>
      <w:numFmt w:val="decimal"/>
      <w:lvlText w:val="%1.%2.%3.%4."/>
      <w:lvlJc w:val="left"/>
      <w:pPr>
        <w:tabs>
          <w:tab w:val="num" w:pos="0"/>
        </w:tabs>
        <w:ind w:left="1728" w:hanging="648"/>
      </w:pPr>
      <w:rPr>
        <w:rFonts w:ascii="Symbol" w:hAnsi="Symbol" w:cs="Symbol" w:hint="default"/>
        <w:b w:val="0"/>
        <w:bCs w:val="0"/>
        <w:color w:val="auto"/>
        <w:sz w:val="18"/>
        <w:szCs w:val="20"/>
      </w:rPr>
    </w:lvl>
    <w:lvl w:ilvl="4">
      <w:start w:val="1"/>
      <w:numFmt w:val="decimal"/>
      <w:lvlText w:val="%1.%2.%3.%4.%5."/>
      <w:lvlJc w:val="left"/>
      <w:pPr>
        <w:tabs>
          <w:tab w:val="num" w:pos="0"/>
        </w:tabs>
        <w:ind w:left="2232" w:hanging="792"/>
      </w:pPr>
      <w:rPr>
        <w:rFonts w:ascii="Symbol" w:hAnsi="Symbol" w:cs="Symbol" w:hint="default"/>
        <w:b w:val="0"/>
        <w:bCs w:val="0"/>
        <w:color w:val="auto"/>
        <w:sz w:val="18"/>
        <w:szCs w:val="20"/>
      </w:rPr>
    </w:lvl>
    <w:lvl w:ilvl="5">
      <w:start w:val="1"/>
      <w:numFmt w:val="decimal"/>
      <w:lvlText w:val="%1.%2.%3.%4.%5.%6."/>
      <w:lvlJc w:val="left"/>
      <w:pPr>
        <w:tabs>
          <w:tab w:val="num" w:pos="0"/>
        </w:tabs>
        <w:ind w:left="2736" w:hanging="936"/>
      </w:pPr>
      <w:rPr>
        <w:rFonts w:ascii="Symbol" w:hAnsi="Symbol" w:cs="Symbol" w:hint="default"/>
        <w:b w:val="0"/>
        <w:bCs w:val="0"/>
        <w:color w:val="auto"/>
        <w:sz w:val="18"/>
        <w:szCs w:val="20"/>
      </w:rPr>
    </w:lvl>
    <w:lvl w:ilvl="6">
      <w:start w:val="1"/>
      <w:numFmt w:val="decimal"/>
      <w:lvlText w:val="%1.%2.%3.%4.%5.%6.%7."/>
      <w:lvlJc w:val="left"/>
      <w:pPr>
        <w:tabs>
          <w:tab w:val="num" w:pos="0"/>
        </w:tabs>
        <w:ind w:left="3240" w:hanging="1080"/>
      </w:pPr>
      <w:rPr>
        <w:rFonts w:ascii="Symbol" w:hAnsi="Symbol" w:cs="Symbol" w:hint="default"/>
        <w:b w:val="0"/>
        <w:bCs w:val="0"/>
        <w:color w:val="auto"/>
        <w:sz w:val="18"/>
        <w:szCs w:val="20"/>
      </w:rPr>
    </w:lvl>
    <w:lvl w:ilvl="7">
      <w:start w:val="1"/>
      <w:numFmt w:val="decimal"/>
      <w:lvlText w:val="%1.%2.%3.%4.%5.%6.%7.%8."/>
      <w:lvlJc w:val="left"/>
      <w:pPr>
        <w:tabs>
          <w:tab w:val="num" w:pos="0"/>
        </w:tabs>
        <w:ind w:left="3744" w:hanging="1224"/>
      </w:pPr>
      <w:rPr>
        <w:rFonts w:ascii="Symbol" w:hAnsi="Symbol" w:cs="Symbol" w:hint="default"/>
        <w:b w:val="0"/>
        <w:bCs w:val="0"/>
        <w:color w:val="auto"/>
        <w:sz w:val="18"/>
        <w:szCs w:val="20"/>
      </w:rPr>
    </w:lvl>
    <w:lvl w:ilvl="8">
      <w:start w:val="1"/>
      <w:numFmt w:val="decimal"/>
      <w:lvlText w:val="%1.%2.%3.%4.%5.%6.%7.%8.%9."/>
      <w:lvlJc w:val="left"/>
      <w:pPr>
        <w:tabs>
          <w:tab w:val="num" w:pos="1440"/>
        </w:tabs>
        <w:ind w:left="340" w:hanging="340"/>
      </w:pPr>
      <w:rPr>
        <w:rFonts w:ascii="Symbol" w:hAnsi="Symbol" w:cs="Symbol" w:hint="default"/>
        <w:b w:val="0"/>
        <w:bCs w:val="0"/>
        <w:color w:val="auto"/>
        <w:sz w:val="18"/>
        <w:szCs w:val="20"/>
      </w:rPr>
    </w:lvl>
  </w:abstractNum>
  <w:abstractNum w:abstractNumId="17">
    <w:nsid w:val="00000011"/>
    <w:multiLevelType w:val="multilevel"/>
    <w:tmpl w:val="7C44CFDA"/>
    <w:name w:val="WW8Num17"/>
    <w:lvl w:ilvl="0">
      <w:start w:val="1"/>
      <w:numFmt w:val="decimal"/>
      <w:lvlText w:val="%1."/>
      <w:lvlJc w:val="left"/>
      <w:pPr>
        <w:tabs>
          <w:tab w:val="num" w:pos="0"/>
        </w:tabs>
        <w:ind w:left="360" w:hanging="360"/>
      </w:pPr>
      <w:rPr>
        <w:rFonts w:ascii="Symbol" w:hAnsi="Symbol" w:cs="Times New Roman" w:hint="default"/>
        <w:b w:val="0"/>
        <w:bCs w:val="0"/>
        <w:color w:val="auto"/>
        <w:sz w:val="20"/>
        <w:szCs w:val="20"/>
      </w:rPr>
    </w:lvl>
    <w:lvl w:ilvl="1">
      <w:start w:val="1"/>
      <w:numFmt w:val="decimal"/>
      <w:lvlText w:val="%1.%2."/>
      <w:lvlJc w:val="left"/>
      <w:pPr>
        <w:tabs>
          <w:tab w:val="num" w:pos="0"/>
        </w:tabs>
        <w:ind w:left="792" w:hanging="432"/>
      </w:pPr>
      <w:rPr>
        <w:rFonts w:ascii="Symbol" w:hAnsi="Symbol" w:cs="Times New Roman" w:hint="default"/>
        <w:b w:val="0"/>
        <w:bCs w:val="0"/>
        <w:color w:val="auto"/>
        <w:sz w:val="20"/>
        <w:szCs w:val="20"/>
      </w:rPr>
    </w:lvl>
    <w:lvl w:ilvl="2">
      <w:start w:val="1"/>
      <w:numFmt w:val="decimal"/>
      <w:lvlText w:val="%1.%2.%3."/>
      <w:lvlJc w:val="left"/>
      <w:pPr>
        <w:tabs>
          <w:tab w:val="num" w:pos="0"/>
        </w:tabs>
        <w:ind w:left="1224" w:hanging="504"/>
      </w:pPr>
      <w:rPr>
        <w:rFonts w:asciiTheme="minorHAnsi" w:hAnsiTheme="minorHAnsi" w:cs="Times New Roman" w:hint="default"/>
        <w:b w:val="0"/>
        <w:bCs w:val="0"/>
        <w:color w:val="auto"/>
        <w:sz w:val="20"/>
        <w:szCs w:val="20"/>
      </w:rPr>
    </w:lvl>
    <w:lvl w:ilvl="3">
      <w:start w:val="1"/>
      <w:numFmt w:val="decimal"/>
      <w:lvlText w:val="%1.%2.%3.%4."/>
      <w:lvlJc w:val="left"/>
      <w:pPr>
        <w:tabs>
          <w:tab w:val="num" w:pos="0"/>
        </w:tabs>
        <w:ind w:left="1728" w:hanging="648"/>
      </w:pPr>
      <w:rPr>
        <w:rFonts w:ascii="Symbol" w:hAnsi="Symbol" w:cs="Times New Roman" w:hint="default"/>
        <w:b w:val="0"/>
        <w:bCs w:val="0"/>
        <w:color w:val="auto"/>
        <w:sz w:val="20"/>
        <w:szCs w:val="20"/>
      </w:rPr>
    </w:lvl>
    <w:lvl w:ilvl="4">
      <w:start w:val="1"/>
      <w:numFmt w:val="decimal"/>
      <w:lvlText w:val="%1.%2.%3.%4.%5."/>
      <w:lvlJc w:val="left"/>
      <w:pPr>
        <w:tabs>
          <w:tab w:val="num" w:pos="0"/>
        </w:tabs>
        <w:ind w:left="2232" w:hanging="792"/>
      </w:pPr>
      <w:rPr>
        <w:rFonts w:ascii="Symbol" w:hAnsi="Symbol" w:cs="Times New Roman" w:hint="default"/>
        <w:b w:val="0"/>
        <w:bCs w:val="0"/>
        <w:color w:val="auto"/>
        <w:sz w:val="20"/>
        <w:szCs w:val="20"/>
      </w:rPr>
    </w:lvl>
    <w:lvl w:ilvl="5">
      <w:start w:val="1"/>
      <w:numFmt w:val="decimal"/>
      <w:lvlText w:val="%1.%2.%3.%4.%5.%6."/>
      <w:lvlJc w:val="left"/>
      <w:pPr>
        <w:tabs>
          <w:tab w:val="num" w:pos="0"/>
        </w:tabs>
        <w:ind w:left="2736" w:hanging="936"/>
      </w:pPr>
      <w:rPr>
        <w:rFonts w:ascii="Symbol" w:hAnsi="Symbol" w:cs="Times New Roman" w:hint="default"/>
        <w:b w:val="0"/>
        <w:bCs w:val="0"/>
        <w:color w:val="auto"/>
        <w:sz w:val="20"/>
        <w:szCs w:val="20"/>
      </w:rPr>
    </w:lvl>
    <w:lvl w:ilvl="6">
      <w:start w:val="1"/>
      <w:numFmt w:val="decimal"/>
      <w:lvlText w:val="%1.%2.%3.%4.%5.%6.%7."/>
      <w:lvlJc w:val="left"/>
      <w:pPr>
        <w:tabs>
          <w:tab w:val="num" w:pos="0"/>
        </w:tabs>
        <w:ind w:left="3240" w:hanging="1080"/>
      </w:pPr>
      <w:rPr>
        <w:rFonts w:ascii="Symbol" w:hAnsi="Symbol" w:cs="Times New Roman" w:hint="default"/>
        <w:b w:val="0"/>
        <w:bCs w:val="0"/>
        <w:color w:val="auto"/>
        <w:sz w:val="20"/>
        <w:szCs w:val="20"/>
      </w:rPr>
    </w:lvl>
    <w:lvl w:ilvl="7">
      <w:start w:val="1"/>
      <w:numFmt w:val="decimal"/>
      <w:lvlText w:val="%1.%2.%3.%4.%5.%6.%7.%8."/>
      <w:lvlJc w:val="left"/>
      <w:pPr>
        <w:tabs>
          <w:tab w:val="num" w:pos="0"/>
        </w:tabs>
        <w:ind w:left="3744" w:hanging="1224"/>
      </w:pPr>
      <w:rPr>
        <w:rFonts w:ascii="Symbol" w:hAnsi="Symbol" w:cs="Times New Roman" w:hint="default"/>
        <w:b w:val="0"/>
        <w:bCs w:val="0"/>
        <w:color w:val="auto"/>
        <w:sz w:val="20"/>
        <w:szCs w:val="20"/>
      </w:rPr>
    </w:lvl>
    <w:lvl w:ilvl="8">
      <w:start w:val="1"/>
      <w:numFmt w:val="decimal"/>
      <w:lvlText w:val="%1.%2.%3.%4.%5.%6.%7.%8.%9."/>
      <w:lvlJc w:val="left"/>
      <w:pPr>
        <w:tabs>
          <w:tab w:val="num" w:pos="0"/>
        </w:tabs>
        <w:ind w:left="4320" w:hanging="1440"/>
      </w:pPr>
      <w:rPr>
        <w:rFonts w:ascii="Symbol" w:hAnsi="Symbol" w:cs="Times New Roman" w:hint="default"/>
        <w:b w:val="0"/>
        <w:bCs w:val="0"/>
        <w:color w:val="auto"/>
        <w:sz w:val="20"/>
        <w:szCs w:val="20"/>
      </w:rPr>
    </w:lvl>
  </w:abstractNum>
  <w:abstractNum w:abstractNumId="18">
    <w:nsid w:val="00000012"/>
    <w:multiLevelType w:val="singleLevel"/>
    <w:tmpl w:val="04150005"/>
    <w:lvl w:ilvl="0">
      <w:start w:val="1"/>
      <w:numFmt w:val="bullet"/>
      <w:lvlText w:val=""/>
      <w:lvlJc w:val="left"/>
      <w:pPr>
        <w:ind w:left="720" w:hanging="360"/>
      </w:pPr>
      <w:rPr>
        <w:rFonts w:ascii="Wingdings" w:hAnsi="Wingdings" w:hint="default"/>
      </w:rPr>
    </w:lvl>
  </w:abstractNum>
  <w:abstractNum w:abstractNumId="19">
    <w:nsid w:val="00000013"/>
    <w:multiLevelType w:val="singleLevel"/>
    <w:tmpl w:val="04150005"/>
    <w:lvl w:ilvl="0">
      <w:start w:val="1"/>
      <w:numFmt w:val="bullet"/>
      <w:lvlText w:val=""/>
      <w:lvlJc w:val="left"/>
      <w:pPr>
        <w:ind w:left="720" w:hanging="360"/>
      </w:pPr>
      <w:rPr>
        <w:rFonts w:ascii="Wingdings" w:hAnsi="Wingdings" w:hint="default"/>
      </w:rPr>
    </w:lvl>
  </w:abstractNum>
  <w:abstractNum w:abstractNumId="20">
    <w:nsid w:val="00000014"/>
    <w:multiLevelType w:val="singleLevel"/>
    <w:tmpl w:val="04150005"/>
    <w:lvl w:ilvl="0">
      <w:start w:val="1"/>
      <w:numFmt w:val="bullet"/>
      <w:lvlText w:val=""/>
      <w:lvlJc w:val="left"/>
      <w:pPr>
        <w:ind w:left="360" w:hanging="360"/>
      </w:pPr>
      <w:rPr>
        <w:rFonts w:ascii="Wingdings" w:hAnsi="Wingdings" w:hint="default"/>
      </w:rPr>
    </w:lvl>
  </w:abstractNum>
  <w:abstractNum w:abstractNumId="21">
    <w:nsid w:val="00000015"/>
    <w:multiLevelType w:val="multilevel"/>
    <w:tmpl w:val="B1C09A68"/>
    <w:name w:val="WW8Num21"/>
    <w:lvl w:ilvl="0">
      <w:start w:val="1"/>
      <w:numFmt w:val="bullet"/>
      <w:lvlText w:val=""/>
      <w:lvlJc w:val="left"/>
      <w:pPr>
        <w:tabs>
          <w:tab w:val="num" w:pos="0"/>
        </w:tabs>
        <w:ind w:left="360" w:hanging="360"/>
      </w:pPr>
      <w:rPr>
        <w:rFonts w:ascii="Wingdings" w:hAnsi="Wingdings" w:hint="default"/>
        <w:sz w:val="20"/>
      </w:rPr>
    </w:lvl>
    <w:lvl w:ilvl="1">
      <w:start w:val="1"/>
      <w:numFmt w:val="decimal"/>
      <w:lvlText w:val="%1.%2."/>
      <w:lvlJc w:val="left"/>
      <w:pPr>
        <w:tabs>
          <w:tab w:val="num" w:pos="0"/>
        </w:tabs>
        <w:ind w:left="792" w:hanging="432"/>
      </w:pPr>
      <w:rPr>
        <w:rFonts w:asciiTheme="minorHAnsi" w:hAnsiTheme="minorHAnsi" w:cs="Times New Roman" w:hint="default"/>
        <w:sz w:val="28"/>
        <w:szCs w:val="28"/>
      </w:rPr>
    </w:lvl>
    <w:lvl w:ilvl="2">
      <w:start w:val="1"/>
      <w:numFmt w:val="decimal"/>
      <w:lvlText w:val="%1.%2.%3."/>
      <w:lvlJc w:val="left"/>
      <w:pPr>
        <w:tabs>
          <w:tab w:val="num" w:pos="0"/>
        </w:tabs>
        <w:ind w:left="1224" w:hanging="504"/>
      </w:pPr>
      <w:rPr>
        <w:rFonts w:asciiTheme="minorHAnsi" w:hAnsiTheme="minorHAnsi" w:cs="Times New Roman" w:hint="default"/>
        <w:sz w:val="20"/>
      </w:rPr>
    </w:lvl>
    <w:lvl w:ilvl="3">
      <w:start w:val="1"/>
      <w:numFmt w:val="decimal"/>
      <w:lvlText w:val="%1.%2.%3.%4."/>
      <w:lvlJc w:val="left"/>
      <w:pPr>
        <w:tabs>
          <w:tab w:val="num" w:pos="0"/>
        </w:tabs>
        <w:ind w:left="1728" w:hanging="648"/>
      </w:pPr>
      <w:rPr>
        <w:rFonts w:ascii="Times New Roman" w:hAnsi="Times New Roman" w:cs="Times New Roman"/>
        <w:sz w:val="20"/>
      </w:rPr>
    </w:lvl>
    <w:lvl w:ilvl="4">
      <w:start w:val="1"/>
      <w:numFmt w:val="decimal"/>
      <w:lvlText w:val="%1.%2.%3.%4.%5."/>
      <w:lvlJc w:val="left"/>
      <w:pPr>
        <w:tabs>
          <w:tab w:val="num" w:pos="0"/>
        </w:tabs>
        <w:ind w:left="2232" w:hanging="792"/>
      </w:pPr>
      <w:rPr>
        <w:rFonts w:ascii="Times New Roman" w:hAnsi="Times New Roman" w:cs="Times New Roman"/>
        <w:sz w:val="20"/>
      </w:rPr>
    </w:lvl>
    <w:lvl w:ilvl="5">
      <w:start w:val="1"/>
      <w:numFmt w:val="decimal"/>
      <w:lvlText w:val="%1.%2.%3.%4.%5.%6."/>
      <w:lvlJc w:val="left"/>
      <w:pPr>
        <w:tabs>
          <w:tab w:val="num" w:pos="0"/>
        </w:tabs>
        <w:ind w:left="2736" w:hanging="936"/>
      </w:pPr>
      <w:rPr>
        <w:rFonts w:ascii="Times New Roman" w:hAnsi="Times New Roman" w:cs="Times New Roman"/>
        <w:sz w:val="20"/>
      </w:rPr>
    </w:lvl>
    <w:lvl w:ilvl="6">
      <w:start w:val="1"/>
      <w:numFmt w:val="decimal"/>
      <w:lvlText w:val="%1.%2.%3.%4.%5.%6.%7."/>
      <w:lvlJc w:val="left"/>
      <w:pPr>
        <w:tabs>
          <w:tab w:val="num" w:pos="0"/>
        </w:tabs>
        <w:ind w:left="3240" w:hanging="1080"/>
      </w:pPr>
      <w:rPr>
        <w:rFonts w:ascii="Times New Roman" w:hAnsi="Times New Roman" w:cs="Times New Roman"/>
        <w:sz w:val="20"/>
      </w:rPr>
    </w:lvl>
    <w:lvl w:ilvl="7">
      <w:start w:val="1"/>
      <w:numFmt w:val="decimal"/>
      <w:lvlText w:val="%1.%2.%3.%4.%5.%6.%7.%8."/>
      <w:lvlJc w:val="left"/>
      <w:pPr>
        <w:tabs>
          <w:tab w:val="num" w:pos="0"/>
        </w:tabs>
        <w:ind w:left="3744" w:hanging="1224"/>
      </w:pPr>
      <w:rPr>
        <w:rFonts w:ascii="Times New Roman" w:hAnsi="Times New Roman" w:cs="Times New Roman"/>
        <w:sz w:val="20"/>
      </w:rPr>
    </w:lvl>
    <w:lvl w:ilvl="8">
      <w:start w:val="1"/>
      <w:numFmt w:val="decimal"/>
      <w:lvlText w:val="%1.%2.%3.%4.%5.%6.%7.%8.%9."/>
      <w:lvlJc w:val="left"/>
      <w:pPr>
        <w:tabs>
          <w:tab w:val="num" w:pos="0"/>
        </w:tabs>
        <w:ind w:left="4320" w:hanging="1440"/>
      </w:pPr>
      <w:rPr>
        <w:rFonts w:ascii="Times New Roman" w:hAnsi="Times New Roman" w:cs="Times New Roman"/>
        <w:sz w:val="20"/>
      </w:rPr>
    </w:lvl>
  </w:abstractNum>
  <w:abstractNum w:abstractNumId="22">
    <w:nsid w:val="00000016"/>
    <w:multiLevelType w:val="multilevel"/>
    <w:tmpl w:val="00000016"/>
    <w:lvl w:ilvl="0">
      <w:start w:val="1"/>
      <w:numFmt w:val="bullet"/>
      <w:lvlText w:val=""/>
      <w:lvlJc w:val="left"/>
      <w:pPr>
        <w:tabs>
          <w:tab w:val="num" w:pos="0"/>
        </w:tabs>
        <w:ind w:left="720" w:hanging="360"/>
      </w:pPr>
      <w:rPr>
        <w:rFonts w:ascii="Wingdings" w:hAnsi="Wingdings" w:cs="Wingdings"/>
        <w:color w:val="00000A"/>
        <w:sz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nsid w:val="00000017"/>
    <w:multiLevelType w:val="multilevel"/>
    <w:tmpl w:val="ECB80BFC"/>
    <w:name w:val="WW8Num23"/>
    <w:lvl w:ilvl="0">
      <w:start w:val="1"/>
      <w:numFmt w:val="bullet"/>
      <w:lvlText w:val=""/>
      <w:lvlJc w:val="left"/>
      <w:pPr>
        <w:tabs>
          <w:tab w:val="num" w:pos="0"/>
        </w:tabs>
        <w:ind w:left="0" w:firstLine="0"/>
      </w:pPr>
      <w:rPr>
        <w:rFonts w:ascii="Wingdings" w:hAnsi="Wingdings" w:hint="default"/>
      </w:rPr>
    </w:lvl>
    <w:lvl w:ilvl="1">
      <w:start w:val="1"/>
      <w:numFmt w:val="bullet"/>
      <w:lvlText w:val="o"/>
      <w:lvlJc w:val="left"/>
      <w:pPr>
        <w:tabs>
          <w:tab w:val="num" w:pos="360"/>
        </w:tabs>
        <w:ind w:left="0" w:firstLine="0"/>
      </w:pPr>
      <w:rPr>
        <w:rFonts w:ascii="Courier New" w:hAnsi="Courier New" w:cs="Courier New" w:hint="default"/>
      </w:rPr>
    </w:lvl>
    <w:lvl w:ilvl="2">
      <w:start w:val="1"/>
      <w:numFmt w:val="decimal"/>
      <w:lvlText w:val="....%2.%3."/>
      <w:lvlJc w:val="left"/>
      <w:pPr>
        <w:tabs>
          <w:tab w:val="num" w:pos="0"/>
        </w:tabs>
        <w:ind w:left="1224" w:hanging="504"/>
      </w:pPr>
      <w:rPr>
        <w:rFonts w:ascii="Symbol" w:hAnsi="Symbol" w:cs="Times New Roman" w:hint="default"/>
      </w:rPr>
    </w:lvl>
    <w:lvl w:ilvl="3">
      <w:start w:val="1"/>
      <w:numFmt w:val="decimal"/>
      <w:lvlText w:val="....%2.%3.%4."/>
      <w:lvlJc w:val="left"/>
      <w:pPr>
        <w:tabs>
          <w:tab w:val="num" w:pos="0"/>
        </w:tabs>
        <w:ind w:left="1728" w:hanging="648"/>
      </w:pPr>
      <w:rPr>
        <w:rFonts w:ascii="Symbol" w:hAnsi="Symbol" w:cs="Times New Roman" w:hint="default"/>
      </w:rPr>
    </w:lvl>
    <w:lvl w:ilvl="4">
      <w:start w:val="1"/>
      <w:numFmt w:val="decimal"/>
      <w:lvlText w:val="....%2.%3.%4.%5."/>
      <w:lvlJc w:val="left"/>
      <w:pPr>
        <w:tabs>
          <w:tab w:val="num" w:pos="0"/>
        </w:tabs>
        <w:ind w:left="2232" w:hanging="792"/>
      </w:pPr>
      <w:rPr>
        <w:rFonts w:ascii="Symbol" w:hAnsi="Symbol" w:cs="Times New Roman" w:hint="default"/>
      </w:rPr>
    </w:lvl>
    <w:lvl w:ilvl="5">
      <w:start w:val="1"/>
      <w:numFmt w:val="decimal"/>
      <w:lvlText w:val="....%2.%3.%4.%5.%6."/>
      <w:lvlJc w:val="left"/>
      <w:pPr>
        <w:tabs>
          <w:tab w:val="num" w:pos="0"/>
        </w:tabs>
        <w:ind w:left="2736" w:hanging="936"/>
      </w:pPr>
      <w:rPr>
        <w:rFonts w:ascii="Symbol" w:hAnsi="Symbol" w:cs="Times New Roman" w:hint="default"/>
      </w:rPr>
    </w:lvl>
    <w:lvl w:ilvl="6">
      <w:start w:val="1"/>
      <w:numFmt w:val="decimal"/>
      <w:lvlText w:val="....%2.%3.%4.%5.%6.%7."/>
      <w:lvlJc w:val="left"/>
      <w:pPr>
        <w:tabs>
          <w:tab w:val="num" w:pos="0"/>
        </w:tabs>
        <w:ind w:left="3240" w:hanging="1080"/>
      </w:pPr>
      <w:rPr>
        <w:rFonts w:ascii="Symbol" w:hAnsi="Symbol" w:cs="Times New Roman" w:hint="default"/>
      </w:rPr>
    </w:lvl>
    <w:lvl w:ilvl="7">
      <w:start w:val="1"/>
      <w:numFmt w:val="decimal"/>
      <w:lvlText w:val="....%2.%3.%4.%5.%6.%7.%8."/>
      <w:lvlJc w:val="left"/>
      <w:pPr>
        <w:tabs>
          <w:tab w:val="num" w:pos="0"/>
        </w:tabs>
        <w:ind w:left="3744" w:hanging="1224"/>
      </w:pPr>
      <w:rPr>
        <w:rFonts w:ascii="Symbol" w:hAnsi="Symbol" w:cs="Times New Roman" w:hint="default"/>
      </w:rPr>
    </w:lvl>
    <w:lvl w:ilvl="8">
      <w:start w:val="1"/>
      <w:numFmt w:val="decimal"/>
      <w:lvlText w:val="....%2.%3.%4.%5.%6.%7.%8.%9."/>
      <w:lvlJc w:val="left"/>
      <w:pPr>
        <w:tabs>
          <w:tab w:val="num" w:pos="0"/>
        </w:tabs>
        <w:ind w:left="4320" w:hanging="1440"/>
      </w:pPr>
      <w:rPr>
        <w:rFonts w:ascii="Symbol" w:hAnsi="Symbol" w:cs="Times New Roman" w:hint="default"/>
      </w:rPr>
    </w:lvl>
  </w:abstractNum>
  <w:abstractNum w:abstractNumId="24">
    <w:nsid w:val="00000018"/>
    <w:multiLevelType w:val="multilevel"/>
    <w:tmpl w:val="9B5EF468"/>
    <w:name w:val="WW8Num24"/>
    <w:lvl w:ilvl="0">
      <w:start w:val="1"/>
      <w:numFmt w:val="decimal"/>
      <w:lvlText w:val="%1."/>
      <w:lvlJc w:val="left"/>
      <w:pPr>
        <w:tabs>
          <w:tab w:val="num" w:pos="0"/>
        </w:tabs>
        <w:ind w:left="360" w:hanging="360"/>
      </w:pPr>
      <w:rPr>
        <w:rFonts w:ascii="Symbol" w:hAnsi="Symbol" w:cs="Times New Roman" w:hint="default"/>
        <w:sz w:val="18"/>
      </w:rPr>
    </w:lvl>
    <w:lvl w:ilvl="1">
      <w:start w:val="1"/>
      <w:numFmt w:val="decimal"/>
      <w:lvlText w:val="%1.%2."/>
      <w:lvlJc w:val="left"/>
      <w:pPr>
        <w:tabs>
          <w:tab w:val="num" w:pos="0"/>
        </w:tabs>
        <w:ind w:left="792" w:hanging="432"/>
      </w:pPr>
      <w:rPr>
        <w:rFonts w:ascii="Symbol" w:hAnsi="Symbol" w:cs="Times New Roman" w:hint="default"/>
        <w:sz w:val="18"/>
      </w:rPr>
    </w:lvl>
    <w:lvl w:ilvl="2">
      <w:start w:val="1"/>
      <w:numFmt w:val="decimal"/>
      <w:lvlText w:val="%1.%2.%3."/>
      <w:lvlJc w:val="left"/>
      <w:pPr>
        <w:tabs>
          <w:tab w:val="num" w:pos="0"/>
        </w:tabs>
        <w:ind w:left="1224" w:hanging="504"/>
      </w:pPr>
      <w:rPr>
        <w:rFonts w:asciiTheme="minorHAnsi" w:hAnsiTheme="minorHAnsi" w:cs="Times New Roman" w:hint="default"/>
        <w:b w:val="0"/>
        <w:color w:val="auto"/>
        <w:sz w:val="20"/>
      </w:rPr>
    </w:lvl>
    <w:lvl w:ilvl="3">
      <w:start w:val="1"/>
      <w:numFmt w:val="decimal"/>
      <w:lvlText w:val="%1.%2.%3.%4."/>
      <w:lvlJc w:val="left"/>
      <w:pPr>
        <w:tabs>
          <w:tab w:val="num" w:pos="0"/>
        </w:tabs>
        <w:ind w:left="1728" w:hanging="648"/>
      </w:pPr>
      <w:rPr>
        <w:rFonts w:ascii="Symbol" w:hAnsi="Symbol" w:cs="Times New Roman" w:hint="default"/>
        <w:sz w:val="18"/>
      </w:rPr>
    </w:lvl>
    <w:lvl w:ilvl="4">
      <w:start w:val="1"/>
      <w:numFmt w:val="decimal"/>
      <w:lvlText w:val="%1.%2.%3.%4.%5."/>
      <w:lvlJc w:val="left"/>
      <w:pPr>
        <w:tabs>
          <w:tab w:val="num" w:pos="0"/>
        </w:tabs>
        <w:ind w:left="2232" w:hanging="792"/>
      </w:pPr>
      <w:rPr>
        <w:rFonts w:ascii="Symbol" w:hAnsi="Symbol" w:cs="Times New Roman" w:hint="default"/>
        <w:sz w:val="18"/>
      </w:rPr>
    </w:lvl>
    <w:lvl w:ilvl="5">
      <w:start w:val="1"/>
      <w:numFmt w:val="decimal"/>
      <w:lvlText w:val="%1.%2.%3.%4.%5.%6."/>
      <w:lvlJc w:val="left"/>
      <w:pPr>
        <w:tabs>
          <w:tab w:val="num" w:pos="0"/>
        </w:tabs>
        <w:ind w:left="2736" w:hanging="936"/>
      </w:pPr>
      <w:rPr>
        <w:rFonts w:ascii="Symbol" w:hAnsi="Symbol" w:cs="Times New Roman" w:hint="default"/>
        <w:sz w:val="18"/>
      </w:rPr>
    </w:lvl>
    <w:lvl w:ilvl="6">
      <w:start w:val="1"/>
      <w:numFmt w:val="decimal"/>
      <w:lvlText w:val="%1.%2.%3.%4.%5.%6.%7."/>
      <w:lvlJc w:val="left"/>
      <w:pPr>
        <w:tabs>
          <w:tab w:val="num" w:pos="0"/>
        </w:tabs>
        <w:ind w:left="3240" w:hanging="1080"/>
      </w:pPr>
      <w:rPr>
        <w:rFonts w:ascii="Symbol" w:hAnsi="Symbol" w:cs="Times New Roman" w:hint="default"/>
        <w:sz w:val="18"/>
      </w:rPr>
    </w:lvl>
    <w:lvl w:ilvl="7">
      <w:start w:val="1"/>
      <w:numFmt w:val="decimal"/>
      <w:lvlText w:val="%1.%2.%3.%4.%5.%6.%7.%8."/>
      <w:lvlJc w:val="left"/>
      <w:pPr>
        <w:tabs>
          <w:tab w:val="num" w:pos="0"/>
        </w:tabs>
        <w:ind w:left="3744" w:hanging="1224"/>
      </w:pPr>
      <w:rPr>
        <w:rFonts w:ascii="Symbol" w:hAnsi="Symbol" w:cs="Times New Roman" w:hint="default"/>
        <w:sz w:val="18"/>
      </w:rPr>
    </w:lvl>
    <w:lvl w:ilvl="8">
      <w:start w:val="1"/>
      <w:numFmt w:val="decimal"/>
      <w:lvlText w:val="%1.%2.%3.%4.%5.%6.%7.%8.%9."/>
      <w:lvlJc w:val="left"/>
      <w:pPr>
        <w:tabs>
          <w:tab w:val="num" w:pos="0"/>
        </w:tabs>
        <w:ind w:left="4320" w:hanging="1440"/>
      </w:pPr>
      <w:rPr>
        <w:rFonts w:ascii="Symbol" w:hAnsi="Symbol" w:cs="Times New Roman" w:hint="default"/>
        <w:sz w:val="18"/>
      </w:rPr>
    </w:lvl>
  </w:abstractNum>
  <w:abstractNum w:abstractNumId="25">
    <w:nsid w:val="00000019"/>
    <w:multiLevelType w:val="singleLevel"/>
    <w:tmpl w:val="04150005"/>
    <w:lvl w:ilvl="0">
      <w:start w:val="1"/>
      <w:numFmt w:val="bullet"/>
      <w:lvlText w:val=""/>
      <w:lvlJc w:val="left"/>
      <w:pPr>
        <w:ind w:left="720" w:hanging="360"/>
      </w:pPr>
      <w:rPr>
        <w:rFonts w:ascii="Wingdings" w:hAnsi="Wingdings" w:hint="default"/>
      </w:rPr>
    </w:lvl>
  </w:abstractNum>
  <w:abstractNum w:abstractNumId="26">
    <w:nsid w:val="0000001A"/>
    <w:multiLevelType w:val="singleLevel"/>
    <w:tmpl w:val="04150005"/>
    <w:lvl w:ilvl="0">
      <w:start w:val="1"/>
      <w:numFmt w:val="bullet"/>
      <w:lvlText w:val=""/>
      <w:lvlJc w:val="left"/>
      <w:pPr>
        <w:ind w:left="720" w:hanging="360"/>
      </w:pPr>
      <w:rPr>
        <w:rFonts w:ascii="Wingdings" w:hAnsi="Wingdings" w:hint="default"/>
        <w:bCs/>
        <w:sz w:val="20"/>
      </w:rPr>
    </w:lvl>
  </w:abstractNum>
  <w:abstractNum w:abstractNumId="27">
    <w:nsid w:val="0000001B"/>
    <w:multiLevelType w:val="singleLevel"/>
    <w:tmpl w:val="04150005"/>
    <w:lvl w:ilvl="0">
      <w:start w:val="1"/>
      <w:numFmt w:val="bullet"/>
      <w:lvlText w:val=""/>
      <w:lvlJc w:val="left"/>
      <w:pPr>
        <w:ind w:left="360" w:hanging="360"/>
      </w:pPr>
      <w:rPr>
        <w:rFonts w:ascii="Wingdings" w:hAnsi="Wingdings" w:hint="default"/>
      </w:rPr>
    </w:lvl>
  </w:abstractNum>
  <w:abstractNum w:abstractNumId="28">
    <w:nsid w:val="0000001C"/>
    <w:multiLevelType w:val="singleLevel"/>
    <w:tmpl w:val="04150005"/>
    <w:lvl w:ilvl="0">
      <w:start w:val="1"/>
      <w:numFmt w:val="bullet"/>
      <w:lvlText w:val=""/>
      <w:lvlJc w:val="left"/>
      <w:pPr>
        <w:ind w:left="720" w:hanging="360"/>
      </w:pPr>
      <w:rPr>
        <w:rFonts w:ascii="Wingdings" w:hAnsi="Wingdings" w:hint="default"/>
      </w:rPr>
    </w:lvl>
  </w:abstractNum>
  <w:abstractNum w:abstractNumId="29">
    <w:nsid w:val="0000001D"/>
    <w:multiLevelType w:val="multilevel"/>
    <w:tmpl w:val="C92C1D9C"/>
    <w:name w:val="WW8Num29"/>
    <w:lvl w:ilvl="0">
      <w:start w:val="2"/>
      <w:numFmt w:val="decimal"/>
      <w:lvlText w:val="%1"/>
      <w:lvlJc w:val="left"/>
      <w:pPr>
        <w:tabs>
          <w:tab w:val="num" w:pos="0"/>
        </w:tabs>
        <w:ind w:left="405" w:hanging="405"/>
      </w:pPr>
      <w:rPr>
        <w:rFonts w:ascii="Times New Roman" w:hAnsi="Times New Roman" w:cs="Times New Roman" w:hint="default"/>
        <w:b w:val="0"/>
        <w:bCs w:val="0"/>
        <w:color w:val="auto"/>
        <w:sz w:val="20"/>
        <w:szCs w:val="20"/>
      </w:rPr>
    </w:lvl>
    <w:lvl w:ilvl="1">
      <w:start w:val="1"/>
      <w:numFmt w:val="decimal"/>
      <w:lvlText w:val="%1.%2"/>
      <w:lvlJc w:val="left"/>
      <w:pPr>
        <w:tabs>
          <w:tab w:val="num" w:pos="0"/>
        </w:tabs>
        <w:ind w:left="405" w:hanging="405"/>
      </w:pPr>
      <w:rPr>
        <w:rFonts w:ascii="Times New Roman" w:hAnsi="Times New Roman" w:cs="Times New Roman" w:hint="default"/>
        <w:b w:val="0"/>
        <w:bCs w:val="0"/>
        <w:color w:val="auto"/>
        <w:sz w:val="20"/>
        <w:szCs w:val="20"/>
      </w:rPr>
    </w:lvl>
    <w:lvl w:ilvl="2">
      <w:start w:val="1"/>
      <w:numFmt w:val="decimal"/>
      <w:lvlText w:val="%1.%2.%3"/>
      <w:lvlJc w:val="left"/>
      <w:pPr>
        <w:tabs>
          <w:tab w:val="num" w:pos="720"/>
        </w:tabs>
        <w:ind w:left="720" w:hanging="720"/>
      </w:pPr>
      <w:rPr>
        <w:rFonts w:asciiTheme="minorHAnsi" w:hAnsiTheme="minorHAnsi" w:cs="Times New Roman" w:hint="default"/>
        <w:b w:val="0"/>
        <w:bCs w:val="0"/>
        <w:color w:val="auto"/>
        <w:sz w:val="20"/>
        <w:szCs w:val="20"/>
      </w:rPr>
    </w:lvl>
    <w:lvl w:ilvl="3">
      <w:start w:val="1"/>
      <w:numFmt w:val="decimal"/>
      <w:lvlText w:val="%1.%2.%3.%4"/>
      <w:lvlJc w:val="left"/>
      <w:pPr>
        <w:tabs>
          <w:tab w:val="num" w:pos="0"/>
        </w:tabs>
        <w:ind w:left="720" w:hanging="720"/>
      </w:pPr>
      <w:rPr>
        <w:rFonts w:ascii="Times New Roman" w:hAnsi="Times New Roman" w:cs="Times New Roman" w:hint="default"/>
        <w:b w:val="0"/>
        <w:bCs w:val="0"/>
        <w:color w:val="auto"/>
        <w:sz w:val="20"/>
        <w:szCs w:val="20"/>
      </w:rPr>
    </w:lvl>
    <w:lvl w:ilvl="4">
      <w:start w:val="1"/>
      <w:numFmt w:val="decimal"/>
      <w:lvlText w:val="%1.%2.%3.%4.%5"/>
      <w:lvlJc w:val="left"/>
      <w:pPr>
        <w:tabs>
          <w:tab w:val="num" w:pos="0"/>
        </w:tabs>
        <w:ind w:left="720" w:hanging="720"/>
      </w:pPr>
      <w:rPr>
        <w:rFonts w:ascii="Times New Roman" w:hAnsi="Times New Roman" w:cs="Times New Roman" w:hint="default"/>
        <w:b w:val="0"/>
        <w:bCs w:val="0"/>
        <w:color w:val="auto"/>
        <w:sz w:val="20"/>
        <w:szCs w:val="20"/>
      </w:rPr>
    </w:lvl>
    <w:lvl w:ilvl="5">
      <w:start w:val="1"/>
      <w:numFmt w:val="decimal"/>
      <w:lvlText w:val="%1.%2.%3.%4.%5.%6"/>
      <w:lvlJc w:val="left"/>
      <w:pPr>
        <w:tabs>
          <w:tab w:val="num" w:pos="0"/>
        </w:tabs>
        <w:ind w:left="1080" w:hanging="1080"/>
      </w:pPr>
      <w:rPr>
        <w:rFonts w:ascii="Times New Roman" w:hAnsi="Times New Roman" w:cs="Times New Roman" w:hint="default"/>
        <w:b w:val="0"/>
        <w:bCs w:val="0"/>
        <w:color w:val="auto"/>
        <w:sz w:val="20"/>
        <w:szCs w:val="20"/>
      </w:rPr>
    </w:lvl>
    <w:lvl w:ilvl="6">
      <w:start w:val="1"/>
      <w:numFmt w:val="decimal"/>
      <w:lvlText w:val="%1.%2.%3.%4.%5.%6.%7"/>
      <w:lvlJc w:val="left"/>
      <w:pPr>
        <w:tabs>
          <w:tab w:val="num" w:pos="0"/>
        </w:tabs>
        <w:ind w:left="1080" w:hanging="1080"/>
      </w:pPr>
      <w:rPr>
        <w:rFonts w:ascii="Times New Roman" w:hAnsi="Times New Roman" w:cs="Times New Roman" w:hint="default"/>
        <w:b w:val="0"/>
        <w:bCs w:val="0"/>
        <w:color w:val="auto"/>
        <w:sz w:val="20"/>
        <w:szCs w:val="20"/>
      </w:rPr>
    </w:lvl>
    <w:lvl w:ilvl="7">
      <w:start w:val="1"/>
      <w:numFmt w:val="decimal"/>
      <w:lvlText w:val="%1.%2.%3.%4.%5.%6.%7.%8"/>
      <w:lvlJc w:val="left"/>
      <w:pPr>
        <w:tabs>
          <w:tab w:val="num" w:pos="0"/>
        </w:tabs>
        <w:ind w:left="1440" w:hanging="1440"/>
      </w:pPr>
      <w:rPr>
        <w:rFonts w:ascii="Times New Roman" w:hAnsi="Times New Roman" w:cs="Times New Roman" w:hint="default"/>
        <w:b w:val="0"/>
        <w:bCs w:val="0"/>
        <w:color w:val="auto"/>
        <w:sz w:val="20"/>
        <w:szCs w:val="20"/>
      </w:rPr>
    </w:lvl>
    <w:lvl w:ilvl="8">
      <w:start w:val="1"/>
      <w:numFmt w:val="decimal"/>
      <w:lvlText w:val="%1.%2.%3.%4.%5.%6.%7.%8.%9"/>
      <w:lvlJc w:val="left"/>
      <w:pPr>
        <w:tabs>
          <w:tab w:val="num" w:pos="0"/>
        </w:tabs>
        <w:ind w:left="1440" w:hanging="1440"/>
      </w:pPr>
      <w:rPr>
        <w:rFonts w:ascii="Times New Roman" w:hAnsi="Times New Roman" w:cs="Times New Roman" w:hint="default"/>
        <w:b w:val="0"/>
        <w:bCs w:val="0"/>
        <w:color w:val="auto"/>
        <w:sz w:val="20"/>
        <w:szCs w:val="20"/>
      </w:rPr>
    </w:lvl>
  </w:abstractNum>
  <w:abstractNum w:abstractNumId="30">
    <w:nsid w:val="0000001E"/>
    <w:multiLevelType w:val="multilevel"/>
    <w:tmpl w:val="D8F604CC"/>
    <w:name w:val="WW8Num30"/>
    <w:lvl w:ilvl="0">
      <w:start w:val="1"/>
      <w:numFmt w:val="decimal"/>
      <w:lvlText w:val="%1"/>
      <w:lvlJc w:val="left"/>
      <w:pPr>
        <w:tabs>
          <w:tab w:val="num" w:pos="0"/>
        </w:tabs>
        <w:ind w:left="435" w:hanging="435"/>
      </w:pPr>
      <w:rPr>
        <w:rFonts w:ascii="Symbol" w:hAnsi="Symbol" w:cs="Times New Roman" w:hint="default"/>
        <w:b w:val="0"/>
        <w:bCs w:val="0"/>
        <w:color w:val="auto"/>
        <w:sz w:val="20"/>
        <w:szCs w:val="20"/>
      </w:rPr>
    </w:lvl>
    <w:lvl w:ilvl="1">
      <w:start w:val="1"/>
      <w:numFmt w:val="decimal"/>
      <w:lvlText w:val="%1.%2"/>
      <w:lvlJc w:val="left"/>
      <w:pPr>
        <w:tabs>
          <w:tab w:val="num" w:pos="0"/>
        </w:tabs>
        <w:ind w:left="435" w:hanging="435"/>
      </w:pPr>
      <w:rPr>
        <w:rFonts w:asciiTheme="minorHAnsi" w:hAnsiTheme="minorHAnsi" w:cs="Times New Roman" w:hint="default"/>
        <w:b/>
        <w:bCs w:val="0"/>
        <w:color w:val="auto"/>
        <w:sz w:val="20"/>
        <w:szCs w:val="20"/>
      </w:rPr>
    </w:lvl>
    <w:lvl w:ilvl="2">
      <w:start w:val="1"/>
      <w:numFmt w:val="decimal"/>
      <w:lvlText w:val="%1.%2.%3"/>
      <w:lvlJc w:val="left"/>
      <w:pPr>
        <w:tabs>
          <w:tab w:val="num" w:pos="0"/>
        </w:tabs>
        <w:ind w:left="720" w:hanging="720"/>
      </w:pPr>
      <w:rPr>
        <w:rFonts w:asciiTheme="minorHAnsi" w:hAnsiTheme="minorHAnsi" w:cs="Times New Roman" w:hint="default"/>
        <w:b w:val="0"/>
        <w:bCs w:val="0"/>
        <w:color w:val="auto"/>
        <w:sz w:val="20"/>
        <w:szCs w:val="20"/>
      </w:rPr>
    </w:lvl>
    <w:lvl w:ilvl="3">
      <w:start w:val="1"/>
      <w:numFmt w:val="decimal"/>
      <w:lvlText w:val="%1.%2.%3.%4"/>
      <w:lvlJc w:val="left"/>
      <w:pPr>
        <w:tabs>
          <w:tab w:val="num" w:pos="0"/>
        </w:tabs>
        <w:ind w:left="720" w:hanging="720"/>
      </w:pPr>
      <w:rPr>
        <w:rFonts w:ascii="Symbol" w:hAnsi="Symbol" w:cs="Times New Roman" w:hint="default"/>
        <w:b w:val="0"/>
        <w:bCs w:val="0"/>
        <w:color w:val="auto"/>
        <w:sz w:val="20"/>
        <w:szCs w:val="20"/>
      </w:rPr>
    </w:lvl>
    <w:lvl w:ilvl="4">
      <w:start w:val="1"/>
      <w:numFmt w:val="decimal"/>
      <w:lvlText w:val="%1.%2.%3.%4.%5"/>
      <w:lvlJc w:val="left"/>
      <w:pPr>
        <w:tabs>
          <w:tab w:val="num" w:pos="0"/>
        </w:tabs>
        <w:ind w:left="720" w:hanging="720"/>
      </w:pPr>
      <w:rPr>
        <w:rFonts w:ascii="Symbol" w:hAnsi="Symbol" w:cs="Times New Roman" w:hint="default"/>
        <w:b w:val="0"/>
        <w:bCs w:val="0"/>
        <w:color w:val="auto"/>
        <w:sz w:val="20"/>
        <w:szCs w:val="20"/>
      </w:rPr>
    </w:lvl>
    <w:lvl w:ilvl="5">
      <w:start w:val="1"/>
      <w:numFmt w:val="decimal"/>
      <w:lvlText w:val="%1.%2.%3.%4.%5.%6"/>
      <w:lvlJc w:val="left"/>
      <w:pPr>
        <w:tabs>
          <w:tab w:val="num" w:pos="0"/>
        </w:tabs>
        <w:ind w:left="1080" w:hanging="1080"/>
      </w:pPr>
      <w:rPr>
        <w:rFonts w:ascii="Symbol" w:hAnsi="Symbol" w:cs="Times New Roman" w:hint="default"/>
        <w:b w:val="0"/>
        <w:bCs w:val="0"/>
        <w:color w:val="auto"/>
        <w:sz w:val="20"/>
        <w:szCs w:val="20"/>
      </w:rPr>
    </w:lvl>
    <w:lvl w:ilvl="6">
      <w:start w:val="1"/>
      <w:numFmt w:val="decimal"/>
      <w:lvlText w:val="%1.%2.%3.%4.%5.%6.%7"/>
      <w:lvlJc w:val="left"/>
      <w:pPr>
        <w:tabs>
          <w:tab w:val="num" w:pos="0"/>
        </w:tabs>
        <w:ind w:left="1080" w:hanging="1080"/>
      </w:pPr>
      <w:rPr>
        <w:rFonts w:ascii="Symbol" w:hAnsi="Symbol" w:cs="Times New Roman" w:hint="default"/>
        <w:b w:val="0"/>
        <w:bCs w:val="0"/>
        <w:color w:val="auto"/>
        <w:sz w:val="20"/>
        <w:szCs w:val="20"/>
      </w:rPr>
    </w:lvl>
    <w:lvl w:ilvl="7">
      <w:start w:val="1"/>
      <w:numFmt w:val="decimal"/>
      <w:lvlText w:val="%1.%2.%3.%4.%5.%6.%7.%8"/>
      <w:lvlJc w:val="left"/>
      <w:pPr>
        <w:tabs>
          <w:tab w:val="num" w:pos="0"/>
        </w:tabs>
        <w:ind w:left="1440" w:hanging="1440"/>
      </w:pPr>
      <w:rPr>
        <w:rFonts w:ascii="Symbol" w:hAnsi="Symbol" w:cs="Times New Roman" w:hint="default"/>
        <w:b w:val="0"/>
        <w:bCs w:val="0"/>
        <w:color w:val="auto"/>
        <w:sz w:val="20"/>
        <w:szCs w:val="20"/>
      </w:rPr>
    </w:lvl>
    <w:lvl w:ilvl="8">
      <w:start w:val="1"/>
      <w:numFmt w:val="decimal"/>
      <w:lvlText w:val="%1.%2.%3.%4.%5.%6.%7.%8.%9"/>
      <w:lvlJc w:val="left"/>
      <w:pPr>
        <w:tabs>
          <w:tab w:val="num" w:pos="0"/>
        </w:tabs>
        <w:ind w:left="1440" w:hanging="1440"/>
      </w:pPr>
      <w:rPr>
        <w:rFonts w:ascii="Symbol" w:hAnsi="Symbol" w:cs="Times New Roman" w:hint="default"/>
        <w:b w:val="0"/>
        <w:bCs w:val="0"/>
        <w:color w:val="auto"/>
        <w:sz w:val="20"/>
        <w:szCs w:val="20"/>
      </w:rPr>
    </w:lvl>
  </w:abstractNum>
  <w:abstractNum w:abstractNumId="31">
    <w:nsid w:val="0000001F"/>
    <w:multiLevelType w:val="multilevel"/>
    <w:tmpl w:val="0000001F"/>
    <w:name w:val="WW8Num31"/>
    <w:lvl w:ilvl="0">
      <w:start w:val="1"/>
      <w:numFmt w:val="decimal"/>
      <w:lvlText w:val="%1."/>
      <w:lvlJc w:val="left"/>
      <w:pPr>
        <w:tabs>
          <w:tab w:val="num" w:pos="0"/>
        </w:tabs>
        <w:ind w:left="720" w:hanging="360"/>
      </w:pPr>
      <w:rPr>
        <w:rFonts w:ascii="Symbol" w:hAnsi="Symbol" w:cs="Times New Roman" w:hint="default"/>
        <w:b w:val="0"/>
        <w:bCs w:val="0"/>
        <w:color w:val="auto"/>
        <w:sz w:val="20"/>
        <w:szCs w:val="20"/>
      </w:rPr>
    </w:lvl>
    <w:lvl w:ilvl="1">
      <w:start w:val="1"/>
      <w:numFmt w:val="decimal"/>
      <w:lvlText w:val="%1.%2"/>
      <w:lvlJc w:val="left"/>
      <w:pPr>
        <w:tabs>
          <w:tab w:val="num" w:pos="0"/>
        </w:tabs>
        <w:ind w:left="795" w:hanging="435"/>
      </w:pPr>
      <w:rPr>
        <w:rFonts w:ascii="Courier New" w:hAnsi="Courier New" w:cs="Courier New" w:hint="default"/>
      </w:rPr>
    </w:lvl>
    <w:lvl w:ilvl="2">
      <w:start w:val="1"/>
      <w:numFmt w:val="decimal"/>
      <w:lvlText w:val="%1.%2.%3"/>
      <w:lvlJc w:val="left"/>
      <w:pPr>
        <w:tabs>
          <w:tab w:val="num" w:pos="0"/>
        </w:tabs>
        <w:ind w:left="1080" w:hanging="720"/>
      </w:pPr>
      <w:rPr>
        <w:rFonts w:ascii="Wingdings" w:hAnsi="Wingdings" w:cs="Wingdings" w:hint="default"/>
      </w:rPr>
    </w:lvl>
    <w:lvl w:ilvl="3">
      <w:start w:val="1"/>
      <w:numFmt w:val="decimal"/>
      <w:lvlText w:val="%1.%2.%3.%4"/>
      <w:lvlJc w:val="left"/>
      <w:pPr>
        <w:tabs>
          <w:tab w:val="num" w:pos="0"/>
        </w:tabs>
        <w:ind w:left="1440" w:hanging="1080"/>
      </w:pPr>
      <w:rPr>
        <w:rFonts w:ascii="Courier New" w:hAnsi="Courier New" w:cs="Courier New" w:hint="default"/>
      </w:rPr>
    </w:lvl>
    <w:lvl w:ilvl="4">
      <w:start w:val="1"/>
      <w:numFmt w:val="decimal"/>
      <w:lvlText w:val="%1.%2.%3.%4.%5"/>
      <w:lvlJc w:val="left"/>
      <w:pPr>
        <w:tabs>
          <w:tab w:val="num" w:pos="0"/>
        </w:tabs>
        <w:ind w:left="1440" w:hanging="1080"/>
      </w:pPr>
      <w:rPr>
        <w:rFonts w:ascii="Courier New" w:hAnsi="Courier New" w:cs="Courier New" w:hint="default"/>
      </w:rPr>
    </w:lvl>
    <w:lvl w:ilvl="5">
      <w:start w:val="1"/>
      <w:numFmt w:val="decimal"/>
      <w:lvlText w:val="%1.%2.%3.%4.%5.%6"/>
      <w:lvlJc w:val="left"/>
      <w:pPr>
        <w:tabs>
          <w:tab w:val="num" w:pos="0"/>
        </w:tabs>
        <w:ind w:left="1800" w:hanging="1440"/>
      </w:pPr>
      <w:rPr>
        <w:rFonts w:ascii="Courier New" w:hAnsi="Courier New" w:cs="Courier New" w:hint="default"/>
      </w:rPr>
    </w:lvl>
    <w:lvl w:ilvl="6">
      <w:start w:val="1"/>
      <w:numFmt w:val="decimal"/>
      <w:lvlText w:val="%1.%2.%3.%4.%5.%6.%7"/>
      <w:lvlJc w:val="left"/>
      <w:pPr>
        <w:tabs>
          <w:tab w:val="num" w:pos="0"/>
        </w:tabs>
        <w:ind w:left="1800" w:hanging="1440"/>
      </w:pPr>
      <w:rPr>
        <w:rFonts w:ascii="Courier New" w:hAnsi="Courier New" w:cs="Courier New" w:hint="default"/>
      </w:rPr>
    </w:lvl>
    <w:lvl w:ilvl="7">
      <w:start w:val="1"/>
      <w:numFmt w:val="decimal"/>
      <w:lvlText w:val="%1.%2.%3.%4.%5.%6.%7.%8"/>
      <w:lvlJc w:val="left"/>
      <w:pPr>
        <w:tabs>
          <w:tab w:val="num" w:pos="0"/>
        </w:tabs>
        <w:ind w:left="2160" w:hanging="1800"/>
      </w:pPr>
      <w:rPr>
        <w:rFonts w:ascii="Courier New" w:hAnsi="Courier New" w:cs="Courier New" w:hint="default"/>
      </w:rPr>
    </w:lvl>
    <w:lvl w:ilvl="8">
      <w:start w:val="1"/>
      <w:numFmt w:val="decimal"/>
      <w:lvlText w:val="%1.%2.%3.%4.%5.%6.%7.%8.%9"/>
      <w:lvlJc w:val="left"/>
      <w:pPr>
        <w:tabs>
          <w:tab w:val="num" w:pos="0"/>
        </w:tabs>
        <w:ind w:left="2520" w:hanging="2160"/>
      </w:pPr>
      <w:rPr>
        <w:rFonts w:ascii="Courier New" w:hAnsi="Courier New" w:cs="Courier New" w:hint="default"/>
      </w:rPr>
    </w:lvl>
  </w:abstractNum>
  <w:abstractNum w:abstractNumId="32">
    <w:nsid w:val="00000020"/>
    <w:multiLevelType w:val="multilevel"/>
    <w:tmpl w:val="0898FAE8"/>
    <w:name w:val="WW8Num32"/>
    <w:lvl w:ilvl="0">
      <w:start w:val="1"/>
      <w:numFmt w:val="bullet"/>
      <w:lvlText w:val="̶"/>
      <w:lvlJc w:val="left"/>
      <w:pPr>
        <w:tabs>
          <w:tab w:val="num" w:pos="0"/>
        </w:tabs>
        <w:ind w:left="720" w:hanging="360"/>
      </w:pPr>
      <w:rPr>
        <w:rFonts w:ascii="Calibri" w:hAnsi="Calibri" w:cs="Times New Roman" w:hint="default"/>
        <w:sz w:val="18"/>
        <w:szCs w:val="20"/>
      </w:rPr>
    </w:lvl>
    <w:lvl w:ilvl="1">
      <w:start w:val="1"/>
      <w:numFmt w:val="bullet"/>
      <w:lvlText w:val=""/>
      <w:lvlJc w:val="left"/>
      <w:pPr>
        <w:tabs>
          <w:tab w:val="num" w:pos="360"/>
        </w:tabs>
        <w:ind w:left="0" w:firstLine="0"/>
      </w:pPr>
      <w:rPr>
        <w:rFonts w:ascii="Wingdings" w:hAnsi="Wingdings" w:hint="default"/>
      </w:rPr>
    </w:lvl>
    <w:lvl w:ilvl="2">
      <w:start w:val="1"/>
      <w:numFmt w:val="bullet"/>
      <w:lvlText w:val=""/>
      <w:lvlJc w:val="left"/>
      <w:pPr>
        <w:tabs>
          <w:tab w:val="num" w:pos="0"/>
        </w:tabs>
        <w:ind w:left="2160" w:hanging="360"/>
      </w:pPr>
      <w:rPr>
        <w:rFonts w:ascii="Wingdings" w:hAnsi="Wingdings" w:cs="Times New Roman" w:hint="default"/>
        <w:color w:val="3366FF"/>
      </w:rPr>
    </w:lvl>
    <w:lvl w:ilvl="3">
      <w:start w:val="1"/>
      <w:numFmt w:val="bullet"/>
      <w:lvlText w:val=""/>
      <w:lvlJc w:val="left"/>
      <w:pPr>
        <w:tabs>
          <w:tab w:val="num" w:pos="0"/>
        </w:tabs>
        <w:ind w:left="2880" w:hanging="360"/>
      </w:pPr>
      <w:rPr>
        <w:rFonts w:ascii="Symbol" w:hAnsi="Symbol" w:cs="Times New Roman"/>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Times New Roman" w:hint="default"/>
        <w:color w:val="3366FF"/>
      </w:rPr>
    </w:lvl>
    <w:lvl w:ilvl="6">
      <w:start w:val="1"/>
      <w:numFmt w:val="bullet"/>
      <w:lvlText w:val=""/>
      <w:lvlJc w:val="left"/>
      <w:pPr>
        <w:tabs>
          <w:tab w:val="num" w:pos="0"/>
        </w:tabs>
        <w:ind w:left="5040" w:hanging="360"/>
      </w:pPr>
      <w:rPr>
        <w:rFonts w:ascii="Symbol" w:hAnsi="Symbol" w:cs="Times New Roman"/>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Times New Roman" w:hint="default"/>
        <w:color w:val="3366FF"/>
      </w:rPr>
    </w:lvl>
  </w:abstractNum>
  <w:abstractNum w:abstractNumId="33">
    <w:nsid w:val="00000021"/>
    <w:multiLevelType w:val="singleLevel"/>
    <w:tmpl w:val="00000021"/>
    <w:name w:val="WW8Num34"/>
    <w:lvl w:ilvl="0">
      <w:start w:val="1"/>
      <w:numFmt w:val="decimal"/>
      <w:lvlText w:val="%1)"/>
      <w:lvlJc w:val="left"/>
      <w:pPr>
        <w:tabs>
          <w:tab w:val="num" w:pos="0"/>
        </w:tabs>
        <w:ind w:left="720" w:hanging="360"/>
      </w:pPr>
      <w:rPr>
        <w:rFonts w:ascii="Arial" w:hAnsi="Arial" w:cs="Arial" w:hint="default"/>
        <w:sz w:val="20"/>
        <w:szCs w:val="20"/>
      </w:rPr>
    </w:lvl>
  </w:abstractNum>
  <w:abstractNum w:abstractNumId="34">
    <w:nsid w:val="00000022"/>
    <w:multiLevelType w:val="singleLevel"/>
    <w:tmpl w:val="04150005"/>
    <w:lvl w:ilvl="0">
      <w:start w:val="1"/>
      <w:numFmt w:val="bullet"/>
      <w:lvlText w:val=""/>
      <w:lvlJc w:val="left"/>
      <w:pPr>
        <w:ind w:left="720" w:hanging="360"/>
      </w:pPr>
      <w:rPr>
        <w:rFonts w:ascii="Wingdings" w:hAnsi="Wingdings" w:hint="default"/>
        <w:b w:val="0"/>
        <w:bCs w:val="0"/>
        <w:color w:val="auto"/>
        <w:sz w:val="20"/>
        <w:szCs w:val="20"/>
      </w:rPr>
    </w:lvl>
  </w:abstractNum>
  <w:abstractNum w:abstractNumId="35">
    <w:nsid w:val="00000023"/>
    <w:multiLevelType w:val="multilevel"/>
    <w:tmpl w:val="00000023"/>
    <w:name w:val="WW8Num35"/>
    <w:lvl w:ilvl="0">
      <w:start w:val="2"/>
      <w:numFmt w:val="decimal"/>
      <w:lvlText w:val="%1."/>
      <w:lvlJc w:val="left"/>
      <w:pPr>
        <w:tabs>
          <w:tab w:val="num" w:pos="360"/>
        </w:tabs>
        <w:ind w:left="0" w:firstLine="0"/>
      </w:pPr>
      <w:rPr>
        <w:rFonts w:ascii="Times New Roman" w:hAnsi="Times New Roman" w:cs="Times New Roman" w:hint="default"/>
      </w:rPr>
    </w:lvl>
    <w:lvl w:ilvl="1">
      <w:start w:val="2"/>
      <w:numFmt w:val="decimal"/>
      <w:lvlText w:val="%1.%2."/>
      <w:lvlJc w:val="left"/>
      <w:pPr>
        <w:tabs>
          <w:tab w:val="num" w:pos="720"/>
        </w:tabs>
        <w:ind w:left="0" w:firstLine="0"/>
      </w:pPr>
      <w:rPr>
        <w:rFonts w:ascii="Times New Roman" w:hAnsi="Times New Roman" w:cs="Times New Roman" w:hint="default"/>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1080"/>
        </w:tabs>
        <w:ind w:left="1080" w:hanging="108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440"/>
        </w:tabs>
        <w:ind w:left="1440" w:hanging="144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800"/>
        </w:tabs>
        <w:ind w:left="1800" w:hanging="180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36">
    <w:nsid w:val="00000024"/>
    <w:multiLevelType w:val="singleLevel"/>
    <w:tmpl w:val="04150005"/>
    <w:lvl w:ilvl="0">
      <w:start w:val="1"/>
      <w:numFmt w:val="bullet"/>
      <w:lvlText w:val=""/>
      <w:lvlJc w:val="left"/>
      <w:pPr>
        <w:ind w:left="360" w:hanging="360"/>
      </w:pPr>
      <w:rPr>
        <w:rFonts w:ascii="Wingdings" w:hAnsi="Wingdings" w:hint="default"/>
      </w:rPr>
    </w:lvl>
  </w:abstractNum>
  <w:abstractNum w:abstractNumId="37">
    <w:nsid w:val="00000025"/>
    <w:multiLevelType w:val="multilevel"/>
    <w:tmpl w:val="00000025"/>
    <w:name w:val="WW8Num37"/>
    <w:lvl w:ilvl="0">
      <w:start w:val="1"/>
      <w:numFmt w:val="decimal"/>
      <w:lvlText w:val="%1"/>
      <w:lvlJc w:val="left"/>
      <w:pPr>
        <w:tabs>
          <w:tab w:val="num" w:pos="0"/>
        </w:tabs>
        <w:ind w:left="405" w:hanging="405"/>
      </w:pPr>
      <w:rPr>
        <w:rFonts w:ascii="Calibri" w:hAnsi="Calibri" w:cs="Times New Roman" w:hint="default"/>
        <w:b w:val="0"/>
        <w:bCs w:val="0"/>
        <w:color w:val="auto"/>
        <w:sz w:val="20"/>
        <w:szCs w:val="20"/>
      </w:rPr>
    </w:lvl>
    <w:lvl w:ilvl="1">
      <w:start w:val="3"/>
      <w:numFmt w:val="decimal"/>
      <w:lvlText w:val="%1.%2"/>
      <w:lvlJc w:val="left"/>
      <w:pPr>
        <w:tabs>
          <w:tab w:val="num" w:pos="0"/>
        </w:tabs>
        <w:ind w:left="405" w:hanging="405"/>
      </w:pPr>
      <w:rPr>
        <w:rFonts w:ascii="Calibri" w:hAnsi="Calibri" w:cs="Times New Roman" w:hint="default"/>
        <w:b w:val="0"/>
        <w:bCs w:val="0"/>
        <w:color w:val="auto"/>
        <w:sz w:val="20"/>
        <w:szCs w:val="20"/>
      </w:rPr>
    </w:lvl>
    <w:lvl w:ilvl="2">
      <w:start w:val="1"/>
      <w:numFmt w:val="decimal"/>
      <w:lvlText w:val="%1.%2.%3"/>
      <w:lvlJc w:val="left"/>
      <w:pPr>
        <w:tabs>
          <w:tab w:val="num" w:pos="0"/>
        </w:tabs>
        <w:ind w:left="720" w:hanging="720"/>
      </w:pPr>
      <w:rPr>
        <w:rFonts w:ascii="Calibri" w:hAnsi="Calibri" w:cs="Times New Roman" w:hint="default"/>
        <w:b w:val="0"/>
        <w:bCs w:val="0"/>
        <w:color w:val="auto"/>
        <w:sz w:val="20"/>
        <w:szCs w:val="20"/>
      </w:rPr>
    </w:lvl>
    <w:lvl w:ilvl="3">
      <w:start w:val="1"/>
      <w:numFmt w:val="decimal"/>
      <w:lvlText w:val="%1.%2.%3.%4"/>
      <w:lvlJc w:val="left"/>
      <w:pPr>
        <w:tabs>
          <w:tab w:val="num" w:pos="0"/>
        </w:tabs>
        <w:ind w:left="720" w:hanging="720"/>
      </w:pPr>
      <w:rPr>
        <w:rFonts w:ascii="Calibri" w:hAnsi="Calibri" w:cs="Times New Roman" w:hint="default"/>
        <w:b w:val="0"/>
        <w:bCs w:val="0"/>
        <w:color w:val="auto"/>
        <w:sz w:val="20"/>
        <w:szCs w:val="20"/>
      </w:rPr>
    </w:lvl>
    <w:lvl w:ilvl="4">
      <w:start w:val="1"/>
      <w:numFmt w:val="decimal"/>
      <w:lvlText w:val="%1.%2.%3.%4.%5"/>
      <w:lvlJc w:val="left"/>
      <w:pPr>
        <w:tabs>
          <w:tab w:val="num" w:pos="0"/>
        </w:tabs>
        <w:ind w:left="720" w:hanging="720"/>
      </w:pPr>
      <w:rPr>
        <w:rFonts w:ascii="Calibri" w:hAnsi="Calibri" w:cs="Times New Roman" w:hint="default"/>
        <w:b w:val="0"/>
        <w:bCs w:val="0"/>
        <w:color w:val="auto"/>
        <w:sz w:val="20"/>
        <w:szCs w:val="20"/>
      </w:rPr>
    </w:lvl>
    <w:lvl w:ilvl="5">
      <w:start w:val="1"/>
      <w:numFmt w:val="decimal"/>
      <w:lvlText w:val="%1.%2.%3.%4.%5.%6"/>
      <w:lvlJc w:val="left"/>
      <w:pPr>
        <w:tabs>
          <w:tab w:val="num" w:pos="0"/>
        </w:tabs>
        <w:ind w:left="1080" w:hanging="1080"/>
      </w:pPr>
      <w:rPr>
        <w:rFonts w:ascii="Calibri" w:hAnsi="Calibri" w:cs="Times New Roman" w:hint="default"/>
        <w:b w:val="0"/>
        <w:bCs w:val="0"/>
        <w:color w:val="auto"/>
        <w:sz w:val="20"/>
        <w:szCs w:val="20"/>
      </w:rPr>
    </w:lvl>
    <w:lvl w:ilvl="6">
      <w:start w:val="1"/>
      <w:numFmt w:val="decimal"/>
      <w:lvlText w:val="%1.%2.%3.%4.%5.%6.%7"/>
      <w:lvlJc w:val="left"/>
      <w:pPr>
        <w:tabs>
          <w:tab w:val="num" w:pos="0"/>
        </w:tabs>
        <w:ind w:left="1080" w:hanging="1080"/>
      </w:pPr>
      <w:rPr>
        <w:rFonts w:ascii="Calibri" w:hAnsi="Calibri" w:cs="Times New Roman" w:hint="default"/>
        <w:b w:val="0"/>
        <w:bCs w:val="0"/>
        <w:color w:val="auto"/>
        <w:sz w:val="20"/>
        <w:szCs w:val="20"/>
      </w:rPr>
    </w:lvl>
    <w:lvl w:ilvl="7">
      <w:start w:val="1"/>
      <w:numFmt w:val="decimal"/>
      <w:lvlText w:val="%1.%2.%3.%4.%5.%6.%7.%8"/>
      <w:lvlJc w:val="left"/>
      <w:pPr>
        <w:tabs>
          <w:tab w:val="num" w:pos="0"/>
        </w:tabs>
        <w:ind w:left="1440" w:hanging="1440"/>
      </w:pPr>
      <w:rPr>
        <w:rFonts w:ascii="Calibri" w:hAnsi="Calibri" w:cs="Times New Roman" w:hint="default"/>
        <w:b w:val="0"/>
        <w:bCs w:val="0"/>
        <w:color w:val="auto"/>
        <w:sz w:val="20"/>
        <w:szCs w:val="20"/>
      </w:rPr>
    </w:lvl>
    <w:lvl w:ilvl="8">
      <w:start w:val="1"/>
      <w:numFmt w:val="decimal"/>
      <w:lvlText w:val="%1.%2.%3.%4.%5.%6.%7.%8.%9"/>
      <w:lvlJc w:val="left"/>
      <w:pPr>
        <w:tabs>
          <w:tab w:val="num" w:pos="0"/>
        </w:tabs>
        <w:ind w:left="1440" w:hanging="1440"/>
      </w:pPr>
      <w:rPr>
        <w:rFonts w:ascii="Calibri" w:hAnsi="Calibri" w:cs="Times New Roman" w:hint="default"/>
        <w:b w:val="0"/>
        <w:bCs w:val="0"/>
        <w:color w:val="auto"/>
        <w:sz w:val="20"/>
        <w:szCs w:val="20"/>
      </w:rPr>
    </w:lvl>
  </w:abstractNum>
  <w:abstractNum w:abstractNumId="38">
    <w:nsid w:val="00000026"/>
    <w:multiLevelType w:val="multilevel"/>
    <w:tmpl w:val="895E5CD6"/>
    <w:name w:val="WW8Num38"/>
    <w:lvl w:ilvl="0">
      <w:start w:val="1"/>
      <w:numFmt w:val="bullet"/>
      <w:lvlText w:val=""/>
      <w:lvlJc w:val="left"/>
      <w:pPr>
        <w:tabs>
          <w:tab w:val="num" w:pos="360"/>
        </w:tabs>
        <w:ind w:left="0" w:firstLine="0"/>
      </w:pPr>
      <w:rPr>
        <w:rFonts w:ascii="Symbol" w:hAnsi="Symbol" w:cs="Times New Roman"/>
        <w:b w:val="0"/>
        <w:bCs w:val="0"/>
        <w:color w:val="auto"/>
        <w:sz w:val="20"/>
        <w:szCs w:val="20"/>
      </w:rPr>
    </w:lvl>
    <w:lvl w:ilvl="1">
      <w:start w:val="1"/>
      <w:numFmt w:val="bullet"/>
      <w:lvlText w:val=""/>
      <w:lvlJc w:val="left"/>
      <w:pPr>
        <w:tabs>
          <w:tab w:val="num" w:pos="360"/>
        </w:tabs>
        <w:ind w:left="0" w:firstLine="0"/>
      </w:pPr>
      <w:rPr>
        <w:rFonts w:ascii="Wingdings" w:hAnsi="Wingdings" w:hint="default"/>
        <w:b w:val="0"/>
        <w:bCs w:val="0"/>
        <w:color w:val="auto"/>
        <w:sz w:val="20"/>
        <w:szCs w:val="20"/>
      </w:rPr>
    </w:lvl>
    <w:lvl w:ilvl="2">
      <w:start w:val="1"/>
      <w:numFmt w:val="bullet"/>
      <w:lvlText w:val=""/>
      <w:lvlJc w:val="left"/>
      <w:pPr>
        <w:tabs>
          <w:tab w:val="num" w:pos="2160"/>
        </w:tabs>
        <w:ind w:left="2160" w:hanging="360"/>
      </w:pPr>
      <w:rPr>
        <w:rFonts w:ascii="Wingdings" w:hAnsi="Wingdings" w:cs="Times New Roman"/>
        <w:b w:val="0"/>
        <w:sz w:val="20"/>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b w:val="0"/>
        <w:sz w:val="20"/>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b w:val="0"/>
        <w:sz w:val="20"/>
      </w:rPr>
    </w:lvl>
  </w:abstractNum>
  <w:abstractNum w:abstractNumId="39">
    <w:nsid w:val="00000027"/>
    <w:multiLevelType w:val="multilevel"/>
    <w:tmpl w:val="00000027"/>
    <w:name w:val="WW8Num39"/>
    <w:lvl w:ilvl="0">
      <w:start w:val="3"/>
      <w:numFmt w:val="decimal"/>
      <w:lvlText w:val="%1."/>
      <w:lvlJc w:val="left"/>
      <w:pPr>
        <w:tabs>
          <w:tab w:val="num" w:pos="360"/>
        </w:tabs>
        <w:ind w:left="360" w:hanging="360"/>
      </w:pPr>
      <w:rPr>
        <w:rFonts w:ascii="Symbol" w:hAnsi="Symbol" w:cs="Times New Roman" w:hint="default"/>
        <w:sz w:val="18"/>
        <w:szCs w:val="23"/>
      </w:rPr>
    </w:lvl>
    <w:lvl w:ilvl="1">
      <w:start w:val="2"/>
      <w:numFmt w:val="decimal"/>
      <w:lvlText w:val="%1.%2."/>
      <w:lvlJc w:val="left"/>
      <w:pPr>
        <w:tabs>
          <w:tab w:val="num" w:pos="720"/>
        </w:tabs>
        <w:ind w:left="720" w:hanging="720"/>
      </w:pPr>
      <w:rPr>
        <w:rFonts w:ascii="Symbol" w:hAnsi="Symbol" w:cs="Times New Roman" w:hint="default"/>
        <w:sz w:val="18"/>
        <w:szCs w:val="23"/>
      </w:rPr>
    </w:lvl>
    <w:lvl w:ilvl="2">
      <w:start w:val="1"/>
      <w:numFmt w:val="decimal"/>
      <w:lvlText w:val="%1.%2.%3."/>
      <w:lvlJc w:val="left"/>
      <w:pPr>
        <w:tabs>
          <w:tab w:val="num" w:pos="720"/>
        </w:tabs>
        <w:ind w:left="720" w:hanging="720"/>
      </w:pPr>
      <w:rPr>
        <w:rFonts w:ascii="Symbol" w:hAnsi="Symbol" w:cs="Times New Roman" w:hint="default"/>
        <w:sz w:val="18"/>
        <w:szCs w:val="23"/>
      </w:rPr>
    </w:lvl>
    <w:lvl w:ilvl="3">
      <w:start w:val="1"/>
      <w:numFmt w:val="decimal"/>
      <w:lvlText w:val="%1.%2.%3.%4."/>
      <w:lvlJc w:val="left"/>
      <w:pPr>
        <w:tabs>
          <w:tab w:val="num" w:pos="1080"/>
        </w:tabs>
        <w:ind w:left="1080" w:hanging="1080"/>
      </w:pPr>
      <w:rPr>
        <w:rFonts w:ascii="Symbol" w:hAnsi="Symbol" w:cs="Times New Roman" w:hint="default"/>
        <w:sz w:val="18"/>
        <w:szCs w:val="23"/>
      </w:rPr>
    </w:lvl>
    <w:lvl w:ilvl="4">
      <w:start w:val="1"/>
      <w:numFmt w:val="decimal"/>
      <w:lvlText w:val="%1.%2.%3.%4.%5."/>
      <w:lvlJc w:val="left"/>
      <w:pPr>
        <w:tabs>
          <w:tab w:val="num" w:pos="1080"/>
        </w:tabs>
        <w:ind w:left="1080" w:hanging="1080"/>
      </w:pPr>
      <w:rPr>
        <w:rFonts w:ascii="Symbol" w:hAnsi="Symbol" w:cs="Times New Roman" w:hint="default"/>
        <w:sz w:val="18"/>
        <w:szCs w:val="23"/>
      </w:rPr>
    </w:lvl>
    <w:lvl w:ilvl="5">
      <w:start w:val="1"/>
      <w:numFmt w:val="decimal"/>
      <w:lvlText w:val="%1.%2.%3.%4.%5.%6."/>
      <w:lvlJc w:val="left"/>
      <w:pPr>
        <w:tabs>
          <w:tab w:val="num" w:pos="1440"/>
        </w:tabs>
        <w:ind w:left="1440" w:hanging="1440"/>
      </w:pPr>
      <w:rPr>
        <w:rFonts w:ascii="Symbol" w:hAnsi="Symbol" w:cs="Times New Roman" w:hint="default"/>
        <w:sz w:val="18"/>
        <w:szCs w:val="23"/>
      </w:rPr>
    </w:lvl>
    <w:lvl w:ilvl="6">
      <w:start w:val="1"/>
      <w:numFmt w:val="decimal"/>
      <w:lvlText w:val="%1.%2.%3.%4.%5.%6.%7."/>
      <w:lvlJc w:val="left"/>
      <w:pPr>
        <w:tabs>
          <w:tab w:val="num" w:pos="1440"/>
        </w:tabs>
        <w:ind w:left="1440" w:hanging="1440"/>
      </w:pPr>
      <w:rPr>
        <w:rFonts w:ascii="Symbol" w:hAnsi="Symbol" w:cs="Times New Roman" w:hint="default"/>
        <w:sz w:val="18"/>
        <w:szCs w:val="23"/>
      </w:rPr>
    </w:lvl>
    <w:lvl w:ilvl="7">
      <w:start w:val="1"/>
      <w:numFmt w:val="decimal"/>
      <w:lvlText w:val="%1.%2.%3.%4.%5.%6.%7.%8."/>
      <w:lvlJc w:val="left"/>
      <w:pPr>
        <w:tabs>
          <w:tab w:val="num" w:pos="1800"/>
        </w:tabs>
        <w:ind w:left="1800" w:hanging="1800"/>
      </w:pPr>
      <w:rPr>
        <w:rFonts w:ascii="Symbol" w:hAnsi="Symbol" w:cs="Times New Roman" w:hint="default"/>
        <w:sz w:val="18"/>
        <w:szCs w:val="23"/>
      </w:rPr>
    </w:lvl>
    <w:lvl w:ilvl="8">
      <w:start w:val="1"/>
      <w:numFmt w:val="decimal"/>
      <w:lvlText w:val="%1.%2.%3.%4.%5.%6.%7.%8.%9."/>
      <w:lvlJc w:val="left"/>
      <w:pPr>
        <w:tabs>
          <w:tab w:val="num" w:pos="1800"/>
        </w:tabs>
        <w:ind w:left="1800" w:hanging="1800"/>
      </w:pPr>
      <w:rPr>
        <w:rFonts w:ascii="Symbol" w:hAnsi="Symbol" w:cs="Times New Roman" w:hint="default"/>
        <w:sz w:val="18"/>
        <w:szCs w:val="23"/>
      </w:rPr>
    </w:lvl>
  </w:abstractNum>
  <w:abstractNum w:abstractNumId="40">
    <w:nsid w:val="00000028"/>
    <w:multiLevelType w:val="multilevel"/>
    <w:tmpl w:val="119CD6DA"/>
    <w:name w:val="WW8Num40"/>
    <w:lvl w:ilvl="0">
      <w:start w:val="2"/>
      <w:numFmt w:val="decimal"/>
      <w:lvlText w:val="%1."/>
      <w:lvlJc w:val="left"/>
      <w:pPr>
        <w:tabs>
          <w:tab w:val="num" w:pos="720"/>
        </w:tabs>
        <w:ind w:left="720" w:hanging="360"/>
      </w:pPr>
      <w:rPr>
        <w:rFonts w:ascii="Times New Roman" w:hAnsi="Times New Roman" w:cs="Times New Roman" w:hint="default"/>
      </w:rPr>
    </w:lvl>
    <w:lvl w:ilvl="1">
      <w:start w:val="2"/>
      <w:numFmt w:val="decimal"/>
      <w:lvlText w:val="%1.%2."/>
      <w:lvlJc w:val="left"/>
      <w:pPr>
        <w:tabs>
          <w:tab w:val="num" w:pos="1080"/>
        </w:tabs>
        <w:ind w:left="1080" w:hanging="360"/>
      </w:pPr>
      <w:rPr>
        <w:rFonts w:hint="default"/>
      </w:rPr>
    </w:lvl>
    <w:lvl w:ilvl="2">
      <w:start w:val="1"/>
      <w:numFmt w:val="decimal"/>
      <w:lvlText w:val="%1.%2.%3"/>
      <w:lvlJc w:val="left"/>
      <w:pPr>
        <w:tabs>
          <w:tab w:val="num" w:pos="720"/>
        </w:tabs>
        <w:ind w:left="720" w:hanging="720"/>
      </w:pPr>
      <w:rPr>
        <w:rFonts w:asciiTheme="minorHAnsi" w:hAnsiTheme="minorHAnsi" w:hint="default"/>
        <w:b w:val="0"/>
        <w:color w:val="auto"/>
      </w:rPr>
    </w:lvl>
    <w:lvl w:ilvl="3">
      <w:start w:val="1"/>
      <w:numFmt w:val="decimal"/>
      <w:lvlText w:val="%1.%2.%3.%4."/>
      <w:lvlJc w:val="left"/>
      <w:pPr>
        <w:tabs>
          <w:tab w:val="num" w:pos="1800"/>
        </w:tabs>
        <w:ind w:left="1800" w:hanging="360"/>
      </w:pPr>
      <w:rPr>
        <w:rFonts w:hint="default"/>
      </w:rPr>
    </w:lvl>
    <w:lvl w:ilvl="4">
      <w:start w:val="1"/>
      <w:numFmt w:val="decimal"/>
      <w:lvlText w:val="%1.%2.%3.%4.%5."/>
      <w:lvlJc w:val="left"/>
      <w:pPr>
        <w:tabs>
          <w:tab w:val="num" w:pos="2160"/>
        </w:tabs>
        <w:ind w:left="2160" w:hanging="360"/>
      </w:pPr>
      <w:rPr>
        <w:rFonts w:hint="default"/>
      </w:rPr>
    </w:lvl>
    <w:lvl w:ilvl="5">
      <w:start w:val="1"/>
      <w:numFmt w:val="decimal"/>
      <w:lvlText w:val="%1.%2.%3.%4.%5.%6."/>
      <w:lvlJc w:val="left"/>
      <w:pPr>
        <w:tabs>
          <w:tab w:val="num" w:pos="2520"/>
        </w:tabs>
        <w:ind w:left="2520" w:hanging="360"/>
      </w:pPr>
      <w:rPr>
        <w:rFonts w:hint="default"/>
      </w:rPr>
    </w:lvl>
    <w:lvl w:ilvl="6">
      <w:start w:val="1"/>
      <w:numFmt w:val="decimal"/>
      <w:lvlText w:val="%1.%2.%3.%4.%5.%6.%7."/>
      <w:lvlJc w:val="left"/>
      <w:pPr>
        <w:tabs>
          <w:tab w:val="num" w:pos="2880"/>
        </w:tabs>
        <w:ind w:left="2880" w:hanging="360"/>
      </w:pPr>
      <w:rPr>
        <w:rFonts w:hint="default"/>
      </w:rPr>
    </w:lvl>
    <w:lvl w:ilvl="7">
      <w:start w:val="1"/>
      <w:numFmt w:val="decimal"/>
      <w:lvlText w:val="%1.%2.%3.%4.%5.%6.%7.%8."/>
      <w:lvlJc w:val="left"/>
      <w:pPr>
        <w:tabs>
          <w:tab w:val="num" w:pos="3240"/>
        </w:tabs>
        <w:ind w:left="3240" w:hanging="360"/>
      </w:pPr>
      <w:rPr>
        <w:rFonts w:hint="default"/>
      </w:rPr>
    </w:lvl>
    <w:lvl w:ilvl="8">
      <w:start w:val="1"/>
      <w:numFmt w:val="decimal"/>
      <w:lvlText w:val="%1.%2.%3.%4.%5.%6.%7.%8.%9."/>
      <w:lvlJc w:val="left"/>
      <w:pPr>
        <w:tabs>
          <w:tab w:val="num" w:pos="3600"/>
        </w:tabs>
        <w:ind w:left="3600" w:hanging="360"/>
      </w:pPr>
      <w:rPr>
        <w:rFonts w:hint="default"/>
      </w:rPr>
    </w:lvl>
  </w:abstractNum>
  <w:abstractNum w:abstractNumId="41">
    <w:nsid w:val="0000002B"/>
    <w:multiLevelType w:val="multilevel"/>
    <w:tmpl w:val="227A202C"/>
    <w:name w:val="WWNum45"/>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Wingdings" w:hAnsi="Wingdings" w:hint="default"/>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42">
    <w:nsid w:val="000000AE"/>
    <w:multiLevelType w:val="multilevel"/>
    <w:tmpl w:val="D43A2E42"/>
    <w:name w:val="WWNum23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3">
    <w:nsid w:val="000000B3"/>
    <w:multiLevelType w:val="multilevel"/>
    <w:tmpl w:val="000000B3"/>
    <w:name w:val="WWNum299"/>
    <w:lvl w:ilvl="0">
      <w:start w:val="1"/>
      <w:numFmt w:val="upperRoman"/>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44">
    <w:nsid w:val="000000B4"/>
    <w:multiLevelType w:val="multilevel"/>
    <w:tmpl w:val="000000B4"/>
    <w:name w:val="WWNum301"/>
    <w:lvl w:ilvl="0">
      <w:start w:val="1"/>
      <w:numFmt w:val="bullet"/>
      <w:lvlText w:val="-"/>
      <w:lvlJc w:val="left"/>
      <w:pPr>
        <w:tabs>
          <w:tab w:val="num" w:pos="0"/>
        </w:tabs>
        <w:ind w:left="720" w:hanging="360"/>
      </w:pPr>
      <w:rPr>
        <w:rFonts w:ascii="Verdana" w:hAnsi="Verdana"/>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45">
    <w:nsid w:val="000000BA"/>
    <w:multiLevelType w:val="multilevel"/>
    <w:tmpl w:val="000000BA"/>
    <w:name w:val="WWNum30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46">
    <w:nsid w:val="000000BC"/>
    <w:multiLevelType w:val="multilevel"/>
    <w:tmpl w:val="000000BC"/>
    <w:name w:val="WWNum309"/>
    <w:lvl w:ilvl="0">
      <w:start w:val="1"/>
      <w:numFmt w:val="bullet"/>
      <w:lvlText w:val="-"/>
      <w:lvlJc w:val="left"/>
      <w:pPr>
        <w:tabs>
          <w:tab w:val="num" w:pos="0"/>
        </w:tabs>
        <w:ind w:left="720" w:hanging="360"/>
      </w:pPr>
      <w:rPr>
        <w:rFonts w:ascii="Verdana" w:hAnsi="Verdana"/>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47">
    <w:nsid w:val="000000BD"/>
    <w:multiLevelType w:val="multilevel"/>
    <w:tmpl w:val="000000BD"/>
    <w:name w:val="WWNum310"/>
    <w:lvl w:ilvl="0">
      <w:start w:val="1"/>
      <w:numFmt w:val="bullet"/>
      <w:lvlText w:val="-"/>
      <w:lvlJc w:val="left"/>
      <w:pPr>
        <w:tabs>
          <w:tab w:val="num" w:pos="0"/>
        </w:tabs>
        <w:ind w:left="720" w:hanging="360"/>
      </w:pPr>
      <w:rPr>
        <w:rFonts w:ascii="Verdana" w:hAnsi="Verdana"/>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48">
    <w:nsid w:val="000000BE"/>
    <w:multiLevelType w:val="multilevel"/>
    <w:tmpl w:val="000000BE"/>
    <w:name w:val="WWNum311"/>
    <w:lvl w:ilvl="0">
      <w:start w:val="1"/>
      <w:numFmt w:val="bullet"/>
      <w:lvlText w:val="-"/>
      <w:lvlJc w:val="left"/>
      <w:pPr>
        <w:tabs>
          <w:tab w:val="num" w:pos="0"/>
        </w:tabs>
        <w:ind w:left="720" w:hanging="360"/>
      </w:pPr>
      <w:rPr>
        <w:rFonts w:ascii="Verdana" w:hAnsi="Verdana"/>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49">
    <w:nsid w:val="000000BF"/>
    <w:multiLevelType w:val="multilevel"/>
    <w:tmpl w:val="000000BF"/>
    <w:name w:val="WWNum312"/>
    <w:lvl w:ilvl="0">
      <w:start w:val="1"/>
      <w:numFmt w:val="bullet"/>
      <w:lvlText w:val="-"/>
      <w:lvlJc w:val="left"/>
      <w:pPr>
        <w:tabs>
          <w:tab w:val="num" w:pos="0"/>
        </w:tabs>
        <w:ind w:left="720" w:hanging="360"/>
      </w:pPr>
      <w:rPr>
        <w:rFonts w:ascii="Verdana" w:hAnsi="Verdana"/>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50">
    <w:nsid w:val="000000C0"/>
    <w:multiLevelType w:val="multilevel"/>
    <w:tmpl w:val="000000C0"/>
    <w:name w:val="WWNum313"/>
    <w:lvl w:ilvl="0">
      <w:start w:val="1"/>
      <w:numFmt w:val="bullet"/>
      <w:lvlText w:val="-"/>
      <w:lvlJc w:val="left"/>
      <w:pPr>
        <w:tabs>
          <w:tab w:val="num" w:pos="0"/>
        </w:tabs>
        <w:ind w:left="720" w:hanging="360"/>
      </w:pPr>
      <w:rPr>
        <w:rFonts w:ascii="Verdana" w:hAnsi="Verdana"/>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51">
    <w:nsid w:val="000000C1"/>
    <w:multiLevelType w:val="multilevel"/>
    <w:tmpl w:val="000000C1"/>
    <w:name w:val="WWNum314"/>
    <w:lvl w:ilvl="0">
      <w:start w:val="1"/>
      <w:numFmt w:val="bullet"/>
      <w:lvlText w:val="-"/>
      <w:lvlJc w:val="left"/>
      <w:pPr>
        <w:tabs>
          <w:tab w:val="num" w:pos="0"/>
        </w:tabs>
        <w:ind w:left="720" w:hanging="360"/>
      </w:pPr>
      <w:rPr>
        <w:rFonts w:ascii="Verdana" w:hAnsi="Verdana"/>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52">
    <w:nsid w:val="000000C2"/>
    <w:multiLevelType w:val="multilevel"/>
    <w:tmpl w:val="000000C2"/>
    <w:name w:val="WWNum315"/>
    <w:lvl w:ilvl="0">
      <w:start w:val="1"/>
      <w:numFmt w:val="bullet"/>
      <w:lvlText w:val="-"/>
      <w:lvlJc w:val="left"/>
      <w:pPr>
        <w:tabs>
          <w:tab w:val="num" w:pos="0"/>
        </w:tabs>
        <w:ind w:left="720" w:hanging="360"/>
      </w:pPr>
      <w:rPr>
        <w:rFonts w:ascii="Verdana" w:hAnsi="Verdana"/>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53">
    <w:nsid w:val="000000C3"/>
    <w:multiLevelType w:val="multilevel"/>
    <w:tmpl w:val="000000C3"/>
    <w:name w:val="WWNum316"/>
    <w:lvl w:ilvl="0">
      <w:start w:val="1"/>
      <w:numFmt w:val="bullet"/>
      <w:lvlText w:val="-"/>
      <w:lvlJc w:val="left"/>
      <w:pPr>
        <w:tabs>
          <w:tab w:val="num" w:pos="0"/>
        </w:tabs>
        <w:ind w:left="720" w:hanging="360"/>
      </w:pPr>
      <w:rPr>
        <w:rFonts w:ascii="Verdana" w:hAnsi="Verdana"/>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54">
    <w:nsid w:val="000000C4"/>
    <w:multiLevelType w:val="multilevel"/>
    <w:tmpl w:val="000000C4"/>
    <w:name w:val="WWNum317"/>
    <w:lvl w:ilvl="0">
      <w:start w:val="1"/>
      <w:numFmt w:val="bullet"/>
      <w:lvlText w:val="-"/>
      <w:lvlJc w:val="left"/>
      <w:pPr>
        <w:tabs>
          <w:tab w:val="num" w:pos="0"/>
        </w:tabs>
        <w:ind w:left="720" w:hanging="360"/>
      </w:pPr>
      <w:rPr>
        <w:rFonts w:ascii="Verdana" w:hAnsi="Verdana"/>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55">
    <w:nsid w:val="000000C9"/>
    <w:multiLevelType w:val="multilevel"/>
    <w:tmpl w:val="000000C9"/>
    <w:name w:val="WWNum322"/>
    <w:lvl w:ilvl="0">
      <w:start w:val="1"/>
      <w:numFmt w:val="bullet"/>
      <w:lvlText w:val="-"/>
      <w:lvlJc w:val="left"/>
      <w:pPr>
        <w:tabs>
          <w:tab w:val="num" w:pos="0"/>
        </w:tabs>
        <w:ind w:left="720" w:hanging="360"/>
      </w:pPr>
      <w:rPr>
        <w:rFonts w:ascii="Verdana" w:hAnsi="Verdana"/>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56">
    <w:nsid w:val="000000CA"/>
    <w:multiLevelType w:val="multilevel"/>
    <w:tmpl w:val="000000CA"/>
    <w:name w:val="WWNum323"/>
    <w:lvl w:ilvl="0">
      <w:start w:val="1"/>
      <w:numFmt w:val="bullet"/>
      <w:lvlText w:val="-"/>
      <w:lvlJc w:val="left"/>
      <w:pPr>
        <w:tabs>
          <w:tab w:val="num" w:pos="0"/>
        </w:tabs>
        <w:ind w:left="720" w:hanging="360"/>
      </w:pPr>
      <w:rPr>
        <w:rFonts w:ascii="Verdana" w:hAnsi="Verdana"/>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57">
    <w:nsid w:val="000000CB"/>
    <w:multiLevelType w:val="multilevel"/>
    <w:tmpl w:val="000000CB"/>
    <w:name w:val="WWNum483"/>
    <w:lvl w:ilvl="0">
      <w:start w:val="1"/>
      <w:numFmt w:val="bullet"/>
      <w:lvlText w:val=""/>
      <w:lvlJc w:val="left"/>
      <w:pPr>
        <w:tabs>
          <w:tab w:val="num" w:pos="720"/>
        </w:tabs>
        <w:ind w:left="720" w:hanging="360"/>
      </w:pPr>
      <w:rPr>
        <w:rFonts w:ascii="Wingdings" w:hAnsi="Wingdings"/>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58">
    <w:nsid w:val="000000CC"/>
    <w:multiLevelType w:val="multilevel"/>
    <w:tmpl w:val="000000CC"/>
    <w:name w:val="WWNum484"/>
    <w:lvl w:ilvl="0">
      <w:start w:val="1"/>
      <w:numFmt w:val="bullet"/>
      <w:lvlText w:val=""/>
      <w:lvlJc w:val="left"/>
      <w:pPr>
        <w:tabs>
          <w:tab w:val="num" w:pos="720"/>
        </w:tabs>
        <w:ind w:left="720" w:hanging="360"/>
      </w:pPr>
      <w:rPr>
        <w:rFonts w:ascii="Wingdings" w:hAnsi="Wingdings"/>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59">
    <w:nsid w:val="000000CD"/>
    <w:multiLevelType w:val="multilevel"/>
    <w:tmpl w:val="000000CD"/>
    <w:name w:val="WWNum485"/>
    <w:lvl w:ilvl="0">
      <w:start w:val="1"/>
      <w:numFmt w:val="bullet"/>
      <w:lvlText w:val=""/>
      <w:lvlJc w:val="left"/>
      <w:pPr>
        <w:tabs>
          <w:tab w:val="num" w:pos="720"/>
        </w:tabs>
        <w:ind w:left="720" w:hanging="360"/>
      </w:pPr>
      <w:rPr>
        <w:rFonts w:ascii="Wingdings" w:hAnsi="Wingdings"/>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60">
    <w:nsid w:val="000000CE"/>
    <w:multiLevelType w:val="multilevel"/>
    <w:tmpl w:val="000000CE"/>
    <w:name w:val="WWNum486"/>
    <w:lvl w:ilvl="0">
      <w:start w:val="1"/>
      <w:numFmt w:val="bullet"/>
      <w:lvlText w:val=""/>
      <w:lvlJc w:val="left"/>
      <w:pPr>
        <w:tabs>
          <w:tab w:val="num" w:pos="720"/>
        </w:tabs>
        <w:ind w:left="720" w:hanging="360"/>
      </w:pPr>
      <w:rPr>
        <w:rFonts w:ascii="Wingdings" w:hAnsi="Wingdings"/>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61">
    <w:nsid w:val="000000CF"/>
    <w:multiLevelType w:val="multilevel"/>
    <w:tmpl w:val="000000CF"/>
    <w:name w:val="WWNum487"/>
    <w:lvl w:ilvl="0">
      <w:start w:val="1"/>
      <w:numFmt w:val="bullet"/>
      <w:lvlText w:val=""/>
      <w:lvlJc w:val="left"/>
      <w:pPr>
        <w:tabs>
          <w:tab w:val="num" w:pos="720"/>
        </w:tabs>
        <w:ind w:left="720" w:hanging="360"/>
      </w:pPr>
      <w:rPr>
        <w:rFonts w:ascii="Wingdings" w:hAnsi="Wingdings"/>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62">
    <w:nsid w:val="000000D0"/>
    <w:multiLevelType w:val="multilevel"/>
    <w:tmpl w:val="000000D0"/>
    <w:name w:val="WWNum488"/>
    <w:lvl w:ilvl="0">
      <w:start w:val="1"/>
      <w:numFmt w:val="bullet"/>
      <w:lvlText w:val=""/>
      <w:lvlJc w:val="left"/>
      <w:pPr>
        <w:tabs>
          <w:tab w:val="num" w:pos="720"/>
        </w:tabs>
        <w:ind w:left="720" w:hanging="360"/>
      </w:pPr>
      <w:rPr>
        <w:rFonts w:ascii="Wingdings" w:hAnsi="Wingdings"/>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63">
    <w:nsid w:val="000000D1"/>
    <w:multiLevelType w:val="multilevel"/>
    <w:tmpl w:val="000000D1"/>
    <w:name w:val="WWNum489"/>
    <w:lvl w:ilvl="0">
      <w:start w:val="1"/>
      <w:numFmt w:val="bullet"/>
      <w:lvlText w:val=""/>
      <w:lvlJc w:val="left"/>
      <w:pPr>
        <w:tabs>
          <w:tab w:val="num" w:pos="720"/>
        </w:tabs>
        <w:ind w:left="720" w:hanging="360"/>
      </w:pPr>
      <w:rPr>
        <w:rFonts w:ascii="Wingdings" w:hAnsi="Wingdings"/>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64">
    <w:nsid w:val="000000D2"/>
    <w:multiLevelType w:val="multilevel"/>
    <w:tmpl w:val="000000D2"/>
    <w:name w:val="WWNum490"/>
    <w:lvl w:ilvl="0">
      <w:start w:val="1"/>
      <w:numFmt w:val="bullet"/>
      <w:lvlText w:val=""/>
      <w:lvlJc w:val="left"/>
      <w:pPr>
        <w:tabs>
          <w:tab w:val="num" w:pos="720"/>
        </w:tabs>
        <w:ind w:left="720" w:hanging="360"/>
      </w:pPr>
      <w:rPr>
        <w:rFonts w:ascii="Wingdings" w:hAnsi="Wingdings"/>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65">
    <w:nsid w:val="000000D3"/>
    <w:multiLevelType w:val="multilevel"/>
    <w:tmpl w:val="000000D3"/>
    <w:name w:val="WWNum491"/>
    <w:lvl w:ilvl="0">
      <w:start w:val="1"/>
      <w:numFmt w:val="bullet"/>
      <w:lvlText w:val=""/>
      <w:lvlJc w:val="left"/>
      <w:pPr>
        <w:tabs>
          <w:tab w:val="num" w:pos="720"/>
        </w:tabs>
        <w:ind w:left="720" w:hanging="360"/>
      </w:pPr>
      <w:rPr>
        <w:rFonts w:ascii="Wingdings" w:hAnsi="Wingdings"/>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66">
    <w:nsid w:val="000000D4"/>
    <w:multiLevelType w:val="multilevel"/>
    <w:tmpl w:val="000000D4"/>
    <w:name w:val="WWNum492"/>
    <w:lvl w:ilvl="0">
      <w:start w:val="1"/>
      <w:numFmt w:val="bullet"/>
      <w:lvlText w:val=""/>
      <w:lvlJc w:val="left"/>
      <w:pPr>
        <w:tabs>
          <w:tab w:val="num" w:pos="720"/>
        </w:tabs>
        <w:ind w:left="720" w:hanging="360"/>
      </w:pPr>
      <w:rPr>
        <w:rFonts w:ascii="Wingdings" w:hAnsi="Wingdings"/>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67">
    <w:nsid w:val="000000D5"/>
    <w:multiLevelType w:val="multilevel"/>
    <w:tmpl w:val="000000D5"/>
    <w:name w:val="WWNum493"/>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2.%3."/>
      <w:lvlJc w:val="left"/>
      <w:pPr>
        <w:tabs>
          <w:tab w:val="num" w:pos="2160"/>
        </w:tabs>
        <w:ind w:left="2160" w:hanging="360"/>
      </w:pPr>
    </w:lvl>
    <w:lvl w:ilvl="3">
      <w:start w:val="1"/>
      <w:numFmt w:val="lowerLetter"/>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Letter"/>
      <w:lvlText w:val="%2.%3.%4.%5.%6."/>
      <w:lvlJc w:val="left"/>
      <w:pPr>
        <w:tabs>
          <w:tab w:val="num" w:pos="4320"/>
        </w:tabs>
        <w:ind w:left="4320" w:hanging="360"/>
      </w:pPr>
    </w:lvl>
    <w:lvl w:ilvl="6">
      <w:start w:val="1"/>
      <w:numFmt w:val="lowerLetter"/>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Letter"/>
      <w:lvlText w:val="%2.%3.%4.%5.%6.%7.%8.%9."/>
      <w:lvlJc w:val="left"/>
      <w:pPr>
        <w:tabs>
          <w:tab w:val="num" w:pos="6480"/>
        </w:tabs>
        <w:ind w:left="6480" w:hanging="360"/>
      </w:pPr>
    </w:lvl>
  </w:abstractNum>
  <w:abstractNum w:abstractNumId="68">
    <w:nsid w:val="000000D6"/>
    <w:multiLevelType w:val="multilevel"/>
    <w:tmpl w:val="000000D6"/>
    <w:name w:val="WWNum494"/>
    <w:lvl w:ilvl="0">
      <w:start w:val="1"/>
      <w:numFmt w:val="bullet"/>
      <w:lvlText w:val="-"/>
      <w:lvlJc w:val="left"/>
      <w:pPr>
        <w:tabs>
          <w:tab w:val="num" w:pos="720"/>
        </w:tabs>
        <w:ind w:left="720" w:hanging="360"/>
      </w:pPr>
      <w:rPr>
        <w:rFonts w:ascii="Times New Roman" w:hAnsi="Times New Roman" w:cs="Times New Roman"/>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69">
    <w:nsid w:val="000000D7"/>
    <w:multiLevelType w:val="multilevel"/>
    <w:tmpl w:val="000000D7"/>
    <w:name w:val="WWNum496"/>
    <w:lvl w:ilvl="0">
      <w:start w:val="1"/>
      <w:numFmt w:val="bullet"/>
      <w:lvlText w:val="-"/>
      <w:lvlJc w:val="left"/>
      <w:pPr>
        <w:tabs>
          <w:tab w:val="num" w:pos="720"/>
        </w:tabs>
        <w:ind w:left="720" w:hanging="360"/>
      </w:pPr>
      <w:rPr>
        <w:rFonts w:ascii="Times New Roman" w:hAnsi="Times New Roman" w:cs="Times New Roman"/>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70">
    <w:nsid w:val="000000D8"/>
    <w:multiLevelType w:val="multilevel"/>
    <w:tmpl w:val="000000D8"/>
    <w:name w:val="WWNum497"/>
    <w:lvl w:ilvl="0">
      <w:start w:val="1"/>
      <w:numFmt w:val="bullet"/>
      <w:lvlText w:val=""/>
      <w:lvlJc w:val="left"/>
      <w:pPr>
        <w:tabs>
          <w:tab w:val="num" w:pos="720"/>
        </w:tabs>
        <w:ind w:left="720" w:hanging="360"/>
      </w:pPr>
      <w:rPr>
        <w:rFonts w:ascii="Wingdings" w:hAnsi="Wingdings"/>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71">
    <w:nsid w:val="000000D9"/>
    <w:multiLevelType w:val="multilevel"/>
    <w:tmpl w:val="000000D9"/>
    <w:name w:val="WWNum524"/>
    <w:lvl w:ilvl="0">
      <w:start w:val="1"/>
      <w:numFmt w:val="bullet"/>
      <w:lvlText w:val=""/>
      <w:lvlJc w:val="left"/>
      <w:pPr>
        <w:tabs>
          <w:tab w:val="num" w:pos="720"/>
        </w:tabs>
        <w:ind w:left="720" w:hanging="360"/>
      </w:pPr>
      <w:rPr>
        <w:rFonts w:ascii="Wingdings" w:hAnsi="Wingdings"/>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72">
    <w:nsid w:val="000000DA"/>
    <w:multiLevelType w:val="multilevel"/>
    <w:tmpl w:val="000000DA"/>
    <w:name w:val="WWNum525"/>
    <w:lvl w:ilvl="0">
      <w:start w:val="1"/>
      <w:numFmt w:val="bullet"/>
      <w:lvlText w:val=""/>
      <w:lvlJc w:val="left"/>
      <w:pPr>
        <w:tabs>
          <w:tab w:val="num" w:pos="720"/>
        </w:tabs>
        <w:ind w:left="720" w:hanging="360"/>
      </w:pPr>
      <w:rPr>
        <w:rFonts w:ascii="Wingdings" w:hAnsi="Wingdings"/>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73">
    <w:nsid w:val="000000DB"/>
    <w:multiLevelType w:val="multilevel"/>
    <w:tmpl w:val="000000DB"/>
    <w:name w:val="WWNum526"/>
    <w:lvl w:ilvl="0">
      <w:start w:val="1"/>
      <w:numFmt w:val="bullet"/>
      <w:lvlText w:val=""/>
      <w:lvlJc w:val="left"/>
      <w:pPr>
        <w:tabs>
          <w:tab w:val="num" w:pos="720"/>
        </w:tabs>
        <w:ind w:left="720" w:hanging="360"/>
      </w:pPr>
      <w:rPr>
        <w:rFonts w:ascii="Wingdings" w:hAnsi="Wingdings"/>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74">
    <w:nsid w:val="000000DC"/>
    <w:multiLevelType w:val="multilevel"/>
    <w:tmpl w:val="000000DC"/>
    <w:name w:val="WWNum527"/>
    <w:lvl w:ilvl="0">
      <w:start w:val="1"/>
      <w:numFmt w:val="bullet"/>
      <w:lvlText w:val=""/>
      <w:lvlJc w:val="left"/>
      <w:pPr>
        <w:tabs>
          <w:tab w:val="num" w:pos="720"/>
        </w:tabs>
        <w:ind w:left="720" w:hanging="360"/>
      </w:pPr>
      <w:rPr>
        <w:rFonts w:ascii="Wingdings" w:hAnsi="Wingdings"/>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75">
    <w:nsid w:val="000000DD"/>
    <w:multiLevelType w:val="multilevel"/>
    <w:tmpl w:val="000000DD"/>
    <w:name w:val="WWNum528"/>
    <w:lvl w:ilvl="0">
      <w:start w:val="1"/>
      <w:numFmt w:val="bullet"/>
      <w:lvlText w:val=""/>
      <w:lvlJc w:val="left"/>
      <w:pPr>
        <w:tabs>
          <w:tab w:val="num" w:pos="720"/>
        </w:tabs>
        <w:ind w:left="720" w:hanging="360"/>
      </w:pPr>
      <w:rPr>
        <w:rFonts w:ascii="Wingdings" w:hAnsi="Wingdings"/>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76">
    <w:nsid w:val="000000DE"/>
    <w:multiLevelType w:val="multilevel"/>
    <w:tmpl w:val="000000DE"/>
    <w:name w:val="WWNum529"/>
    <w:lvl w:ilvl="0">
      <w:start w:val="1"/>
      <w:numFmt w:val="bullet"/>
      <w:lvlText w:val=""/>
      <w:lvlJc w:val="left"/>
      <w:pPr>
        <w:tabs>
          <w:tab w:val="num" w:pos="720"/>
        </w:tabs>
        <w:ind w:left="720" w:hanging="360"/>
      </w:pPr>
      <w:rPr>
        <w:rFonts w:ascii="Wingdings" w:hAnsi="Wingdings"/>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77">
    <w:nsid w:val="000000DF"/>
    <w:multiLevelType w:val="multilevel"/>
    <w:tmpl w:val="000000DF"/>
    <w:name w:val="WWNum530"/>
    <w:lvl w:ilvl="0">
      <w:start w:val="1"/>
      <w:numFmt w:val="bullet"/>
      <w:lvlText w:val=""/>
      <w:lvlJc w:val="left"/>
      <w:pPr>
        <w:tabs>
          <w:tab w:val="num" w:pos="720"/>
        </w:tabs>
        <w:ind w:left="720" w:hanging="360"/>
      </w:pPr>
      <w:rPr>
        <w:rFonts w:ascii="Wingdings" w:hAnsi="Wingdings"/>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78">
    <w:nsid w:val="000000E0"/>
    <w:multiLevelType w:val="multilevel"/>
    <w:tmpl w:val="000000E0"/>
    <w:name w:val="WWNum345"/>
    <w:lvl w:ilvl="0">
      <w:start w:val="1"/>
      <w:numFmt w:val="bullet"/>
      <w:lvlText w:val="-"/>
      <w:lvlJc w:val="left"/>
      <w:pPr>
        <w:tabs>
          <w:tab w:val="num" w:pos="0"/>
        </w:tabs>
        <w:ind w:left="720" w:hanging="360"/>
      </w:pPr>
      <w:rPr>
        <w:rFonts w:ascii="Verdana" w:hAnsi="Verdana"/>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79">
    <w:nsid w:val="000000E1"/>
    <w:multiLevelType w:val="multilevel"/>
    <w:tmpl w:val="000000E1"/>
    <w:name w:val="WWNum347"/>
    <w:lvl w:ilvl="0">
      <w:start w:val="1"/>
      <w:numFmt w:val="bullet"/>
      <w:lvlText w:val=""/>
      <w:lvlJc w:val="left"/>
      <w:pPr>
        <w:tabs>
          <w:tab w:val="num" w:pos="0"/>
        </w:tabs>
        <w:ind w:left="720" w:hanging="360"/>
      </w:pPr>
      <w:rPr>
        <w:rFonts w:ascii="Wingdings" w:hAnsi="Wingdings"/>
        <w:color w:val="00000A"/>
        <w:sz w:val="2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80">
    <w:nsid w:val="000000E2"/>
    <w:multiLevelType w:val="multilevel"/>
    <w:tmpl w:val="000000E2"/>
    <w:name w:val="WWNum348"/>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81">
    <w:nsid w:val="000000E3"/>
    <w:multiLevelType w:val="multilevel"/>
    <w:tmpl w:val="000000E3"/>
    <w:name w:val="WWNum349"/>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82">
    <w:nsid w:val="000000E4"/>
    <w:multiLevelType w:val="multilevel"/>
    <w:tmpl w:val="000000E4"/>
    <w:name w:val="WWNum350"/>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83">
    <w:nsid w:val="000000E5"/>
    <w:multiLevelType w:val="multilevel"/>
    <w:tmpl w:val="000000E5"/>
    <w:name w:val="WWNum35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84">
    <w:nsid w:val="000000E6"/>
    <w:multiLevelType w:val="multilevel"/>
    <w:tmpl w:val="9DE61F70"/>
    <w:name w:val="WWNum352"/>
    <w:lvl w:ilvl="0">
      <w:numFmt w:val="bullet"/>
      <w:lvlText w:val="-"/>
      <w:lvlJc w:val="left"/>
      <w:pPr>
        <w:tabs>
          <w:tab w:val="num" w:pos="0"/>
        </w:tabs>
        <w:ind w:left="720" w:hanging="360"/>
      </w:pPr>
      <w:rPr>
        <w:rFonts w:ascii="Times New Roman" w:eastAsia="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85">
    <w:nsid w:val="000000E7"/>
    <w:multiLevelType w:val="multilevel"/>
    <w:tmpl w:val="B17C548A"/>
    <w:name w:val="WWNum353"/>
    <w:lvl w:ilvl="0">
      <w:numFmt w:val="bullet"/>
      <w:lvlText w:val="-"/>
      <w:lvlJc w:val="left"/>
      <w:pPr>
        <w:tabs>
          <w:tab w:val="num" w:pos="0"/>
        </w:tabs>
        <w:ind w:left="720" w:hanging="360"/>
      </w:pPr>
      <w:rPr>
        <w:rFonts w:ascii="Times New Roman" w:eastAsia="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86">
    <w:nsid w:val="000000E8"/>
    <w:multiLevelType w:val="multilevel"/>
    <w:tmpl w:val="000000E8"/>
    <w:name w:val="WWNum544"/>
    <w:lvl w:ilvl="0">
      <w:start w:val="1"/>
      <w:numFmt w:val="bullet"/>
      <w:lvlText w:val=""/>
      <w:lvlJc w:val="left"/>
      <w:pPr>
        <w:tabs>
          <w:tab w:val="num" w:pos="720"/>
        </w:tabs>
        <w:ind w:left="720" w:hanging="360"/>
      </w:pPr>
      <w:rPr>
        <w:rFonts w:ascii="Wingdings" w:hAnsi="Wingdings"/>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87">
    <w:nsid w:val="000000E9"/>
    <w:multiLevelType w:val="multilevel"/>
    <w:tmpl w:val="000000E9"/>
    <w:name w:val="WWNum546"/>
    <w:lvl w:ilvl="0">
      <w:start w:val="1"/>
      <w:numFmt w:val="bullet"/>
      <w:lvlText w:val=""/>
      <w:lvlJc w:val="left"/>
      <w:pPr>
        <w:tabs>
          <w:tab w:val="num" w:pos="720"/>
        </w:tabs>
        <w:ind w:left="720" w:hanging="360"/>
      </w:pPr>
      <w:rPr>
        <w:rFonts w:ascii="Wingdings" w:hAnsi="Wingdings"/>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88">
    <w:nsid w:val="000000EA"/>
    <w:multiLevelType w:val="multilevel"/>
    <w:tmpl w:val="000000EA"/>
    <w:name w:val="WWNum548"/>
    <w:lvl w:ilvl="0">
      <w:start w:val="1"/>
      <w:numFmt w:val="bullet"/>
      <w:lvlText w:val=""/>
      <w:lvlJc w:val="left"/>
      <w:pPr>
        <w:tabs>
          <w:tab w:val="num" w:pos="720"/>
        </w:tabs>
        <w:ind w:left="720" w:hanging="360"/>
      </w:pPr>
      <w:rPr>
        <w:rFonts w:ascii="Wingdings" w:hAnsi="Wingdings"/>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89">
    <w:nsid w:val="000000EB"/>
    <w:multiLevelType w:val="multilevel"/>
    <w:tmpl w:val="000000EB"/>
    <w:name w:val="WWNum549"/>
    <w:lvl w:ilvl="0">
      <w:start w:val="1"/>
      <w:numFmt w:val="bullet"/>
      <w:lvlText w:val=""/>
      <w:lvlJc w:val="left"/>
      <w:pPr>
        <w:tabs>
          <w:tab w:val="num" w:pos="720"/>
        </w:tabs>
        <w:ind w:left="720" w:hanging="360"/>
      </w:pPr>
      <w:rPr>
        <w:rFonts w:ascii="Wingdings" w:hAnsi="Wingdings"/>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90">
    <w:nsid w:val="000000EC"/>
    <w:multiLevelType w:val="multilevel"/>
    <w:tmpl w:val="000000EC"/>
    <w:name w:val="WWNum550"/>
    <w:lvl w:ilvl="0">
      <w:start w:val="1"/>
      <w:numFmt w:val="bullet"/>
      <w:lvlText w:val=""/>
      <w:lvlJc w:val="left"/>
      <w:pPr>
        <w:tabs>
          <w:tab w:val="num" w:pos="720"/>
        </w:tabs>
        <w:ind w:left="720" w:hanging="360"/>
      </w:pPr>
      <w:rPr>
        <w:rFonts w:ascii="Wingdings" w:hAnsi="Wingdings"/>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91">
    <w:nsid w:val="000000ED"/>
    <w:multiLevelType w:val="multilevel"/>
    <w:tmpl w:val="000000ED"/>
    <w:name w:val="WWNum551"/>
    <w:lvl w:ilvl="0">
      <w:start w:val="1"/>
      <w:numFmt w:val="bullet"/>
      <w:lvlText w:val=""/>
      <w:lvlJc w:val="left"/>
      <w:pPr>
        <w:tabs>
          <w:tab w:val="num" w:pos="720"/>
        </w:tabs>
        <w:ind w:left="720" w:hanging="360"/>
      </w:pPr>
      <w:rPr>
        <w:rFonts w:ascii="Symbol" w:hAnsi="Symbol"/>
        <w:sz w:val="20"/>
      </w:rPr>
    </w:lvl>
    <w:lvl w:ilvl="1">
      <w:start w:val="1"/>
      <w:numFmt w:val="bullet"/>
      <w:lvlText w:val=""/>
      <w:lvlJc w:val="left"/>
      <w:pPr>
        <w:tabs>
          <w:tab w:val="num" w:pos="1440"/>
        </w:tabs>
        <w:ind w:left="1440" w:hanging="360"/>
      </w:pPr>
      <w:rPr>
        <w:rFonts w:ascii="Wingdings" w:hAnsi="Wingdings"/>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92">
    <w:nsid w:val="000000EE"/>
    <w:multiLevelType w:val="multilevel"/>
    <w:tmpl w:val="000000EE"/>
    <w:name w:val="WWNum552"/>
    <w:lvl w:ilvl="0">
      <w:start w:val="1"/>
      <w:numFmt w:val="bullet"/>
      <w:lvlText w:val=""/>
      <w:lvlJc w:val="left"/>
      <w:pPr>
        <w:tabs>
          <w:tab w:val="num" w:pos="720"/>
        </w:tabs>
        <w:ind w:left="720" w:hanging="360"/>
      </w:pPr>
      <w:rPr>
        <w:rFonts w:ascii="Wingdings" w:hAnsi="Wingdings"/>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93">
    <w:nsid w:val="000000EF"/>
    <w:multiLevelType w:val="multilevel"/>
    <w:tmpl w:val="000000EF"/>
    <w:name w:val="WWNum553"/>
    <w:lvl w:ilvl="0">
      <w:start w:val="1"/>
      <w:numFmt w:val="bullet"/>
      <w:lvlText w:val=""/>
      <w:lvlJc w:val="left"/>
      <w:pPr>
        <w:tabs>
          <w:tab w:val="num" w:pos="720"/>
        </w:tabs>
        <w:ind w:left="720" w:hanging="360"/>
      </w:pPr>
      <w:rPr>
        <w:rFonts w:ascii="Wingdings" w:hAnsi="Wingdings"/>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94">
    <w:nsid w:val="000000F0"/>
    <w:multiLevelType w:val="multilevel"/>
    <w:tmpl w:val="000000F0"/>
    <w:name w:val="WWNum554"/>
    <w:lvl w:ilvl="0">
      <w:start w:val="1"/>
      <w:numFmt w:val="bullet"/>
      <w:lvlText w:val=""/>
      <w:lvlJc w:val="left"/>
      <w:pPr>
        <w:tabs>
          <w:tab w:val="num" w:pos="720"/>
        </w:tabs>
        <w:ind w:left="720" w:hanging="360"/>
      </w:pPr>
      <w:rPr>
        <w:rFonts w:ascii="Wingdings" w:hAnsi="Wingdings"/>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95">
    <w:nsid w:val="000000F1"/>
    <w:multiLevelType w:val="multilevel"/>
    <w:tmpl w:val="000000F1"/>
    <w:name w:val="WWNum555"/>
    <w:lvl w:ilvl="0">
      <w:start w:val="1"/>
      <w:numFmt w:val="bullet"/>
      <w:lvlText w:val=""/>
      <w:lvlJc w:val="left"/>
      <w:pPr>
        <w:tabs>
          <w:tab w:val="num" w:pos="720"/>
        </w:tabs>
        <w:ind w:left="720" w:hanging="360"/>
      </w:pPr>
      <w:rPr>
        <w:rFonts w:ascii="Wingdings" w:hAnsi="Wingdings"/>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96">
    <w:nsid w:val="000000F2"/>
    <w:multiLevelType w:val="multilevel"/>
    <w:tmpl w:val="000000F2"/>
    <w:name w:val="WWNum556"/>
    <w:lvl w:ilvl="0">
      <w:start w:val="1"/>
      <w:numFmt w:val="bullet"/>
      <w:lvlText w:val=""/>
      <w:lvlJc w:val="left"/>
      <w:pPr>
        <w:tabs>
          <w:tab w:val="num" w:pos="720"/>
        </w:tabs>
        <w:ind w:left="720" w:hanging="360"/>
      </w:pPr>
      <w:rPr>
        <w:rFonts w:ascii="Wingdings" w:hAnsi="Wingdings"/>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97">
    <w:nsid w:val="000000F3"/>
    <w:multiLevelType w:val="multilevel"/>
    <w:tmpl w:val="000000F3"/>
    <w:name w:val="WWNum557"/>
    <w:lvl w:ilvl="0">
      <w:start w:val="1"/>
      <w:numFmt w:val="bullet"/>
      <w:lvlText w:val=""/>
      <w:lvlJc w:val="left"/>
      <w:pPr>
        <w:tabs>
          <w:tab w:val="num" w:pos="720"/>
        </w:tabs>
        <w:ind w:left="720" w:hanging="360"/>
      </w:pPr>
      <w:rPr>
        <w:rFonts w:ascii="Wingdings" w:hAnsi="Wingdings"/>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98">
    <w:nsid w:val="000000F4"/>
    <w:multiLevelType w:val="multilevel"/>
    <w:tmpl w:val="000000F4"/>
    <w:name w:val="WWNum558"/>
    <w:lvl w:ilvl="0">
      <w:start w:val="1"/>
      <w:numFmt w:val="bullet"/>
      <w:lvlText w:val=""/>
      <w:lvlJc w:val="left"/>
      <w:pPr>
        <w:tabs>
          <w:tab w:val="num" w:pos="720"/>
        </w:tabs>
        <w:ind w:left="720" w:hanging="360"/>
      </w:pPr>
      <w:rPr>
        <w:rFonts w:ascii="Wingdings" w:hAnsi="Wingdings"/>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99">
    <w:nsid w:val="000000F5"/>
    <w:multiLevelType w:val="multilevel"/>
    <w:tmpl w:val="000000F5"/>
    <w:name w:val="WWNum559"/>
    <w:lvl w:ilvl="0">
      <w:start w:val="1"/>
      <w:numFmt w:val="bullet"/>
      <w:lvlText w:val=""/>
      <w:lvlJc w:val="left"/>
      <w:pPr>
        <w:tabs>
          <w:tab w:val="num" w:pos="720"/>
        </w:tabs>
        <w:ind w:left="720" w:hanging="360"/>
      </w:pPr>
      <w:rPr>
        <w:rFonts w:ascii="Wingdings" w:hAnsi="Wingdings"/>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00">
    <w:nsid w:val="000000F6"/>
    <w:multiLevelType w:val="multilevel"/>
    <w:tmpl w:val="000000F6"/>
    <w:name w:val="WWNum560"/>
    <w:lvl w:ilvl="0">
      <w:start w:val="1"/>
      <w:numFmt w:val="bullet"/>
      <w:lvlText w:val="-"/>
      <w:lvlJc w:val="left"/>
      <w:pPr>
        <w:tabs>
          <w:tab w:val="num" w:pos="720"/>
        </w:tabs>
        <w:ind w:left="720" w:hanging="360"/>
      </w:pPr>
      <w:rPr>
        <w:rFonts w:ascii="Times New Roman" w:hAnsi="Times New Roman" w:cs="Times New Roman"/>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01">
    <w:nsid w:val="000000F7"/>
    <w:multiLevelType w:val="multilevel"/>
    <w:tmpl w:val="000000F7"/>
    <w:name w:val="WWNum561"/>
    <w:lvl w:ilvl="0">
      <w:start w:val="1"/>
      <w:numFmt w:val="bullet"/>
      <w:lvlText w:val=""/>
      <w:lvlJc w:val="left"/>
      <w:pPr>
        <w:tabs>
          <w:tab w:val="num" w:pos="720"/>
        </w:tabs>
        <w:ind w:left="720" w:hanging="360"/>
      </w:pPr>
      <w:rPr>
        <w:rFonts w:ascii="Wingdings" w:hAnsi="Wingdings"/>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02">
    <w:nsid w:val="000000F8"/>
    <w:multiLevelType w:val="multilevel"/>
    <w:tmpl w:val="000000F8"/>
    <w:name w:val="WWNum563"/>
    <w:lvl w:ilvl="0">
      <w:start w:val="1"/>
      <w:numFmt w:val="bullet"/>
      <w:lvlText w:val=""/>
      <w:lvlJc w:val="left"/>
      <w:pPr>
        <w:tabs>
          <w:tab w:val="num" w:pos="720"/>
        </w:tabs>
        <w:ind w:left="720" w:hanging="360"/>
      </w:pPr>
      <w:rPr>
        <w:rFonts w:ascii="Wingdings" w:hAnsi="Wingdings"/>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03">
    <w:nsid w:val="000000F9"/>
    <w:multiLevelType w:val="multilevel"/>
    <w:tmpl w:val="000000F9"/>
    <w:name w:val="WWNum564"/>
    <w:lvl w:ilvl="0">
      <w:start w:val="1"/>
      <w:numFmt w:val="bullet"/>
      <w:lvlText w:val=""/>
      <w:lvlJc w:val="left"/>
      <w:pPr>
        <w:tabs>
          <w:tab w:val="num" w:pos="720"/>
        </w:tabs>
        <w:ind w:left="720" w:hanging="360"/>
      </w:pPr>
      <w:rPr>
        <w:rFonts w:ascii="Wingdings" w:hAnsi="Wingdings"/>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04">
    <w:nsid w:val="000000FA"/>
    <w:multiLevelType w:val="multilevel"/>
    <w:tmpl w:val="000000FA"/>
    <w:name w:val="WWNum565"/>
    <w:lvl w:ilvl="0">
      <w:start w:val="1"/>
      <w:numFmt w:val="bullet"/>
      <w:lvlText w:val=""/>
      <w:lvlJc w:val="left"/>
      <w:pPr>
        <w:tabs>
          <w:tab w:val="num" w:pos="720"/>
        </w:tabs>
        <w:ind w:left="720" w:hanging="360"/>
      </w:pPr>
      <w:rPr>
        <w:rFonts w:ascii="Wingdings" w:hAnsi="Wingdings"/>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05">
    <w:nsid w:val="000000FB"/>
    <w:multiLevelType w:val="multilevel"/>
    <w:tmpl w:val="000000FB"/>
    <w:name w:val="WWNum566"/>
    <w:lvl w:ilvl="0">
      <w:start w:val="1"/>
      <w:numFmt w:val="bullet"/>
      <w:lvlText w:val=""/>
      <w:lvlJc w:val="left"/>
      <w:pPr>
        <w:tabs>
          <w:tab w:val="num" w:pos="720"/>
        </w:tabs>
        <w:ind w:left="720" w:hanging="360"/>
      </w:pPr>
      <w:rPr>
        <w:rFonts w:ascii="Wingdings" w:hAnsi="Wingdings"/>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06">
    <w:nsid w:val="000000FC"/>
    <w:multiLevelType w:val="multilevel"/>
    <w:tmpl w:val="000000FC"/>
    <w:name w:val="WWNum567"/>
    <w:lvl w:ilvl="0">
      <w:start w:val="1"/>
      <w:numFmt w:val="bullet"/>
      <w:lvlText w:val=""/>
      <w:lvlJc w:val="left"/>
      <w:pPr>
        <w:tabs>
          <w:tab w:val="num" w:pos="720"/>
        </w:tabs>
        <w:ind w:left="720" w:hanging="360"/>
      </w:pPr>
      <w:rPr>
        <w:rFonts w:ascii="Wingdings" w:hAnsi="Wingdings"/>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07">
    <w:nsid w:val="000000FD"/>
    <w:multiLevelType w:val="multilevel"/>
    <w:tmpl w:val="000000FD"/>
    <w:name w:val="WWNum568"/>
    <w:lvl w:ilvl="0">
      <w:start w:val="1"/>
      <w:numFmt w:val="bullet"/>
      <w:lvlText w:val=""/>
      <w:lvlJc w:val="left"/>
      <w:pPr>
        <w:tabs>
          <w:tab w:val="num" w:pos="720"/>
        </w:tabs>
        <w:ind w:left="720" w:hanging="360"/>
      </w:pPr>
      <w:rPr>
        <w:rFonts w:ascii="Wingdings" w:hAnsi="Wingdings"/>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08">
    <w:nsid w:val="000000FE"/>
    <w:multiLevelType w:val="multilevel"/>
    <w:tmpl w:val="000000FE"/>
    <w:name w:val="WWNum569"/>
    <w:lvl w:ilvl="0">
      <w:start w:val="1"/>
      <w:numFmt w:val="bullet"/>
      <w:lvlText w:val=""/>
      <w:lvlJc w:val="left"/>
      <w:pPr>
        <w:tabs>
          <w:tab w:val="num" w:pos="720"/>
        </w:tabs>
        <w:ind w:left="720" w:hanging="360"/>
      </w:pPr>
      <w:rPr>
        <w:rFonts w:ascii="Wingdings" w:hAnsi="Wingdings"/>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09">
    <w:nsid w:val="000000FF"/>
    <w:multiLevelType w:val="multilevel"/>
    <w:tmpl w:val="000000FF"/>
    <w:name w:val="WWNum570"/>
    <w:lvl w:ilvl="0">
      <w:start w:val="1"/>
      <w:numFmt w:val="bullet"/>
      <w:lvlText w:val=""/>
      <w:lvlJc w:val="left"/>
      <w:pPr>
        <w:tabs>
          <w:tab w:val="num" w:pos="720"/>
        </w:tabs>
        <w:ind w:left="720" w:hanging="360"/>
      </w:pPr>
      <w:rPr>
        <w:rFonts w:ascii="Wingdings" w:hAnsi="Wingdings"/>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10">
    <w:nsid w:val="00000100"/>
    <w:multiLevelType w:val="multilevel"/>
    <w:tmpl w:val="00000100"/>
    <w:name w:val="WWNum571"/>
    <w:lvl w:ilvl="0">
      <w:start w:val="1"/>
      <w:numFmt w:val="bullet"/>
      <w:lvlText w:val=""/>
      <w:lvlJc w:val="left"/>
      <w:pPr>
        <w:tabs>
          <w:tab w:val="num" w:pos="720"/>
        </w:tabs>
        <w:ind w:left="720" w:hanging="360"/>
      </w:pPr>
      <w:rPr>
        <w:rFonts w:ascii="Wingdings" w:hAnsi="Wingdings"/>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11">
    <w:nsid w:val="00000101"/>
    <w:multiLevelType w:val="multilevel"/>
    <w:tmpl w:val="00000101"/>
    <w:name w:val="WWNum572"/>
    <w:lvl w:ilvl="0">
      <w:start w:val="1"/>
      <w:numFmt w:val="bullet"/>
      <w:lvlText w:val=""/>
      <w:lvlJc w:val="left"/>
      <w:pPr>
        <w:tabs>
          <w:tab w:val="num" w:pos="720"/>
        </w:tabs>
        <w:ind w:left="720" w:hanging="360"/>
      </w:pPr>
      <w:rPr>
        <w:rFonts w:ascii="Wingdings" w:hAnsi="Wingdings"/>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12">
    <w:nsid w:val="00000102"/>
    <w:multiLevelType w:val="multilevel"/>
    <w:tmpl w:val="00000102"/>
    <w:name w:val="WWNum573"/>
    <w:lvl w:ilvl="0">
      <w:start w:val="1"/>
      <w:numFmt w:val="bullet"/>
      <w:lvlText w:val=""/>
      <w:lvlJc w:val="left"/>
      <w:pPr>
        <w:tabs>
          <w:tab w:val="num" w:pos="720"/>
        </w:tabs>
        <w:ind w:left="720" w:hanging="360"/>
      </w:pPr>
      <w:rPr>
        <w:rFonts w:ascii="Wingdings" w:hAnsi="Wingdings"/>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13">
    <w:nsid w:val="00000103"/>
    <w:multiLevelType w:val="multilevel"/>
    <w:tmpl w:val="1B365556"/>
    <w:name w:val="WWNum5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14">
    <w:nsid w:val="00000104"/>
    <w:multiLevelType w:val="multilevel"/>
    <w:tmpl w:val="03844472"/>
    <w:name w:val="WWNum575"/>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15">
    <w:nsid w:val="00000105"/>
    <w:multiLevelType w:val="multilevel"/>
    <w:tmpl w:val="00000105"/>
    <w:name w:val="WWNum577"/>
    <w:lvl w:ilvl="0">
      <w:start w:val="1"/>
      <w:numFmt w:val="bullet"/>
      <w:lvlText w:val=""/>
      <w:lvlJc w:val="left"/>
      <w:pPr>
        <w:tabs>
          <w:tab w:val="num" w:pos="720"/>
        </w:tabs>
        <w:ind w:left="720" w:hanging="360"/>
      </w:pPr>
      <w:rPr>
        <w:rFonts w:ascii="Wingdings" w:hAnsi="Wingdings"/>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16">
    <w:nsid w:val="00000106"/>
    <w:multiLevelType w:val="multilevel"/>
    <w:tmpl w:val="00000106"/>
    <w:name w:val="WWNum578"/>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17">
    <w:nsid w:val="00000107"/>
    <w:multiLevelType w:val="multilevel"/>
    <w:tmpl w:val="00000107"/>
    <w:name w:val="WWNum579"/>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18">
    <w:nsid w:val="00000108"/>
    <w:multiLevelType w:val="multilevel"/>
    <w:tmpl w:val="00000108"/>
    <w:name w:val="WWNum580"/>
    <w:lvl w:ilvl="0">
      <w:start w:val="1"/>
      <w:numFmt w:val="bullet"/>
      <w:lvlText w:val="-"/>
      <w:lvlJc w:val="left"/>
      <w:pPr>
        <w:tabs>
          <w:tab w:val="num" w:pos="0"/>
        </w:tabs>
        <w:ind w:left="720" w:hanging="360"/>
      </w:pPr>
      <w:rPr>
        <w:rFonts w:ascii="Times New Roman" w:hAnsi="Times New Roman" w:cs="Times New Roman"/>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19">
    <w:nsid w:val="00000109"/>
    <w:multiLevelType w:val="multilevel"/>
    <w:tmpl w:val="00000109"/>
    <w:name w:val="WWNum581"/>
    <w:lvl w:ilvl="0">
      <w:start w:val="1"/>
      <w:numFmt w:val="bullet"/>
      <w:lvlText w:val="-"/>
      <w:lvlJc w:val="left"/>
      <w:pPr>
        <w:tabs>
          <w:tab w:val="num" w:pos="0"/>
        </w:tabs>
        <w:ind w:left="720" w:hanging="360"/>
      </w:pPr>
      <w:rPr>
        <w:rFonts w:ascii="Times New Roman" w:hAnsi="Times New Roman" w:cs="Times New Roman"/>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20">
    <w:nsid w:val="0000010A"/>
    <w:multiLevelType w:val="multilevel"/>
    <w:tmpl w:val="0000010A"/>
    <w:name w:val="WWNum582"/>
    <w:lvl w:ilvl="0">
      <w:start w:val="1"/>
      <w:numFmt w:val="bullet"/>
      <w:lvlText w:val="-"/>
      <w:lvlJc w:val="left"/>
      <w:pPr>
        <w:tabs>
          <w:tab w:val="num" w:pos="0"/>
        </w:tabs>
        <w:ind w:left="1440" w:hanging="360"/>
      </w:pPr>
      <w:rPr>
        <w:rFonts w:ascii="Times New Roman" w:hAnsi="Times New Roman" w:cs="Times New Roman"/>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rPr>
    </w:lvl>
    <w:lvl w:ilvl="3">
      <w:start w:val="1"/>
      <w:numFmt w:val="bullet"/>
      <w:lvlText w:val=""/>
      <w:lvlJc w:val="left"/>
      <w:pPr>
        <w:tabs>
          <w:tab w:val="num" w:pos="0"/>
        </w:tabs>
        <w:ind w:left="3600" w:hanging="360"/>
      </w:pPr>
      <w:rPr>
        <w:rFonts w:ascii="Symbol" w:hAnsi="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rPr>
    </w:lvl>
    <w:lvl w:ilvl="6">
      <w:start w:val="1"/>
      <w:numFmt w:val="bullet"/>
      <w:lvlText w:val=""/>
      <w:lvlJc w:val="left"/>
      <w:pPr>
        <w:tabs>
          <w:tab w:val="num" w:pos="0"/>
        </w:tabs>
        <w:ind w:left="5760" w:hanging="360"/>
      </w:pPr>
      <w:rPr>
        <w:rFonts w:ascii="Symbol" w:hAnsi="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rPr>
    </w:lvl>
  </w:abstractNum>
  <w:abstractNum w:abstractNumId="121">
    <w:nsid w:val="0000010B"/>
    <w:multiLevelType w:val="multilevel"/>
    <w:tmpl w:val="A5FC28C0"/>
    <w:name w:val="WWNum583"/>
    <w:lvl w:ilvl="0">
      <w:start w:val="1"/>
      <w:numFmt w:val="bullet"/>
      <w:lvlText w:val=""/>
      <w:lvlJc w:val="left"/>
      <w:pPr>
        <w:tabs>
          <w:tab w:val="num" w:pos="0"/>
        </w:tabs>
        <w:ind w:left="720" w:hanging="360"/>
      </w:pPr>
      <w:rPr>
        <w:rFonts w:ascii="Wingdings" w:hAnsi="Wingdings"/>
        <w:sz w:val="20"/>
        <w:szCs w:val="2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22">
    <w:nsid w:val="0000010C"/>
    <w:multiLevelType w:val="multilevel"/>
    <w:tmpl w:val="0000010C"/>
    <w:name w:val="WWNum584"/>
    <w:lvl w:ilvl="0">
      <w:start w:val="1"/>
      <w:numFmt w:val="bullet"/>
      <w:lvlText w:val="-"/>
      <w:lvlJc w:val="left"/>
      <w:pPr>
        <w:tabs>
          <w:tab w:val="num" w:pos="0"/>
        </w:tabs>
        <w:ind w:left="720" w:hanging="360"/>
      </w:pPr>
      <w:rPr>
        <w:rFonts w:ascii="Times New Roman" w:hAnsi="Times New Roman" w:cs="Times New Roman"/>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23">
    <w:nsid w:val="0000010D"/>
    <w:multiLevelType w:val="multilevel"/>
    <w:tmpl w:val="0000010D"/>
    <w:name w:val="WWNum585"/>
    <w:lvl w:ilvl="0">
      <w:start w:val="1"/>
      <w:numFmt w:val="bullet"/>
      <w:lvlText w:val="-"/>
      <w:lvlJc w:val="left"/>
      <w:pPr>
        <w:tabs>
          <w:tab w:val="num" w:pos="0"/>
        </w:tabs>
        <w:ind w:left="720" w:hanging="360"/>
      </w:pPr>
      <w:rPr>
        <w:rFonts w:ascii="Times New Roman" w:hAnsi="Times New Roman" w:cs="Times New Roman"/>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24">
    <w:nsid w:val="0000010E"/>
    <w:multiLevelType w:val="multilevel"/>
    <w:tmpl w:val="0000010E"/>
    <w:name w:val="WWNum586"/>
    <w:lvl w:ilvl="0">
      <w:start w:val="1"/>
      <w:numFmt w:val="bullet"/>
      <w:lvlText w:val="-"/>
      <w:lvlJc w:val="left"/>
      <w:pPr>
        <w:tabs>
          <w:tab w:val="num" w:pos="0"/>
        </w:tabs>
        <w:ind w:left="720" w:hanging="360"/>
      </w:pPr>
      <w:rPr>
        <w:rFonts w:ascii="Times New Roman" w:hAnsi="Times New Roman" w:cs="Times New Roman"/>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25">
    <w:nsid w:val="0000010F"/>
    <w:multiLevelType w:val="multilevel"/>
    <w:tmpl w:val="0000010F"/>
    <w:name w:val="WWNum587"/>
    <w:lvl w:ilvl="0">
      <w:start w:val="1"/>
      <w:numFmt w:val="bullet"/>
      <w:lvlText w:val="-"/>
      <w:lvlJc w:val="left"/>
      <w:pPr>
        <w:tabs>
          <w:tab w:val="num" w:pos="0"/>
        </w:tabs>
        <w:ind w:left="1440" w:hanging="360"/>
      </w:pPr>
      <w:rPr>
        <w:rFonts w:ascii="Times New Roman" w:hAnsi="Times New Roman" w:cs="Times New Roman"/>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rPr>
    </w:lvl>
    <w:lvl w:ilvl="3">
      <w:start w:val="1"/>
      <w:numFmt w:val="bullet"/>
      <w:lvlText w:val=""/>
      <w:lvlJc w:val="left"/>
      <w:pPr>
        <w:tabs>
          <w:tab w:val="num" w:pos="0"/>
        </w:tabs>
        <w:ind w:left="3600" w:hanging="360"/>
      </w:pPr>
      <w:rPr>
        <w:rFonts w:ascii="Symbol" w:hAnsi="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rPr>
    </w:lvl>
    <w:lvl w:ilvl="6">
      <w:start w:val="1"/>
      <w:numFmt w:val="bullet"/>
      <w:lvlText w:val=""/>
      <w:lvlJc w:val="left"/>
      <w:pPr>
        <w:tabs>
          <w:tab w:val="num" w:pos="0"/>
        </w:tabs>
        <w:ind w:left="5760" w:hanging="360"/>
      </w:pPr>
      <w:rPr>
        <w:rFonts w:ascii="Symbol" w:hAnsi="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rPr>
    </w:lvl>
  </w:abstractNum>
  <w:abstractNum w:abstractNumId="126">
    <w:nsid w:val="00000110"/>
    <w:multiLevelType w:val="multilevel"/>
    <w:tmpl w:val="00000110"/>
    <w:name w:val="WWNum588"/>
    <w:lvl w:ilvl="0">
      <w:start w:val="1"/>
      <w:numFmt w:val="bullet"/>
      <w:lvlText w:val="-"/>
      <w:lvlJc w:val="left"/>
      <w:pPr>
        <w:tabs>
          <w:tab w:val="num" w:pos="0"/>
        </w:tabs>
        <w:ind w:left="720" w:hanging="360"/>
      </w:pPr>
      <w:rPr>
        <w:rFonts w:ascii="Times New Roman" w:hAnsi="Times New Roman" w:cs="Times New Roman"/>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27">
    <w:nsid w:val="00000111"/>
    <w:multiLevelType w:val="multilevel"/>
    <w:tmpl w:val="00000111"/>
    <w:name w:val="WWNum589"/>
    <w:lvl w:ilvl="0">
      <w:start w:val="1"/>
      <w:numFmt w:val="bullet"/>
      <w:lvlText w:val="-"/>
      <w:lvlJc w:val="left"/>
      <w:pPr>
        <w:tabs>
          <w:tab w:val="num" w:pos="0"/>
        </w:tabs>
        <w:ind w:left="1440" w:hanging="360"/>
      </w:pPr>
      <w:rPr>
        <w:rFonts w:ascii="Times New Roman" w:hAnsi="Times New Roman" w:cs="Times New Roman"/>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rPr>
    </w:lvl>
    <w:lvl w:ilvl="3">
      <w:start w:val="1"/>
      <w:numFmt w:val="bullet"/>
      <w:lvlText w:val=""/>
      <w:lvlJc w:val="left"/>
      <w:pPr>
        <w:tabs>
          <w:tab w:val="num" w:pos="0"/>
        </w:tabs>
        <w:ind w:left="3600" w:hanging="360"/>
      </w:pPr>
      <w:rPr>
        <w:rFonts w:ascii="Symbol" w:hAnsi="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rPr>
    </w:lvl>
    <w:lvl w:ilvl="6">
      <w:start w:val="1"/>
      <w:numFmt w:val="bullet"/>
      <w:lvlText w:val=""/>
      <w:lvlJc w:val="left"/>
      <w:pPr>
        <w:tabs>
          <w:tab w:val="num" w:pos="0"/>
        </w:tabs>
        <w:ind w:left="5760" w:hanging="360"/>
      </w:pPr>
      <w:rPr>
        <w:rFonts w:ascii="Symbol" w:hAnsi="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rPr>
    </w:lvl>
  </w:abstractNum>
  <w:abstractNum w:abstractNumId="128">
    <w:nsid w:val="00000112"/>
    <w:multiLevelType w:val="multilevel"/>
    <w:tmpl w:val="00000112"/>
    <w:name w:val="WWNum590"/>
    <w:lvl w:ilvl="0">
      <w:start w:val="1"/>
      <w:numFmt w:val="bullet"/>
      <w:lvlText w:val="-"/>
      <w:lvlJc w:val="left"/>
      <w:pPr>
        <w:tabs>
          <w:tab w:val="num" w:pos="0"/>
        </w:tabs>
        <w:ind w:left="720" w:hanging="360"/>
      </w:pPr>
      <w:rPr>
        <w:rFonts w:ascii="Times New Roman" w:hAnsi="Times New Roman" w:cs="Times New Roman"/>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29">
    <w:nsid w:val="00000113"/>
    <w:multiLevelType w:val="multilevel"/>
    <w:tmpl w:val="00000113"/>
    <w:name w:val="WWNum593"/>
    <w:lvl w:ilvl="0">
      <w:start w:val="1"/>
      <w:numFmt w:val="bullet"/>
      <w:lvlText w:val="-"/>
      <w:lvlJc w:val="left"/>
      <w:pPr>
        <w:tabs>
          <w:tab w:val="num" w:pos="0"/>
        </w:tabs>
        <w:ind w:left="720" w:hanging="360"/>
      </w:pPr>
      <w:rPr>
        <w:rFonts w:ascii="Times New Roman" w:hAnsi="Times New Roman" w:cs="Times New Roman"/>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30">
    <w:nsid w:val="00000114"/>
    <w:multiLevelType w:val="multilevel"/>
    <w:tmpl w:val="00000114"/>
    <w:name w:val="WWNum594"/>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2.%3."/>
      <w:lvlJc w:val="left"/>
      <w:pPr>
        <w:tabs>
          <w:tab w:val="num" w:pos="2160"/>
        </w:tabs>
        <w:ind w:left="2160" w:hanging="360"/>
      </w:pPr>
    </w:lvl>
    <w:lvl w:ilvl="3">
      <w:start w:val="1"/>
      <w:numFmt w:val="lowerLetter"/>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Letter"/>
      <w:lvlText w:val="%2.%3.%4.%5.%6."/>
      <w:lvlJc w:val="left"/>
      <w:pPr>
        <w:tabs>
          <w:tab w:val="num" w:pos="4320"/>
        </w:tabs>
        <w:ind w:left="4320" w:hanging="360"/>
      </w:pPr>
    </w:lvl>
    <w:lvl w:ilvl="6">
      <w:start w:val="1"/>
      <w:numFmt w:val="lowerLetter"/>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Letter"/>
      <w:lvlText w:val="%2.%3.%4.%5.%6.%7.%8.%9."/>
      <w:lvlJc w:val="left"/>
      <w:pPr>
        <w:tabs>
          <w:tab w:val="num" w:pos="6480"/>
        </w:tabs>
        <w:ind w:left="6480" w:hanging="360"/>
      </w:pPr>
    </w:lvl>
  </w:abstractNum>
  <w:abstractNum w:abstractNumId="131">
    <w:nsid w:val="00000115"/>
    <w:multiLevelType w:val="multilevel"/>
    <w:tmpl w:val="00000115"/>
    <w:name w:val="WWNum595"/>
    <w:lvl w:ilvl="0">
      <w:start w:val="1"/>
      <w:numFmt w:val="bullet"/>
      <w:lvlText w:val="-"/>
      <w:lvlJc w:val="left"/>
      <w:pPr>
        <w:tabs>
          <w:tab w:val="num" w:pos="720"/>
        </w:tabs>
        <w:ind w:left="720" w:hanging="360"/>
      </w:pPr>
      <w:rPr>
        <w:rFonts w:ascii="Times New Roman" w:hAnsi="Times New Roman" w:cs="Times New Roman"/>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32">
    <w:nsid w:val="00000116"/>
    <w:multiLevelType w:val="multilevel"/>
    <w:tmpl w:val="00000116"/>
    <w:name w:val="WWNum596"/>
    <w:lvl w:ilvl="0">
      <w:start w:val="1"/>
      <w:numFmt w:val="bullet"/>
      <w:lvlText w:val="-"/>
      <w:lvlJc w:val="left"/>
      <w:pPr>
        <w:tabs>
          <w:tab w:val="num" w:pos="720"/>
        </w:tabs>
        <w:ind w:left="720" w:hanging="360"/>
      </w:pPr>
      <w:rPr>
        <w:rFonts w:ascii="Times New Roman" w:hAnsi="Times New Roman" w:cs="Times New Roman"/>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33">
    <w:nsid w:val="00000117"/>
    <w:multiLevelType w:val="multilevel"/>
    <w:tmpl w:val="00000117"/>
    <w:name w:val="WWNum597"/>
    <w:lvl w:ilvl="0">
      <w:start w:val="1"/>
      <w:numFmt w:val="bullet"/>
      <w:lvlText w:val="-"/>
      <w:lvlJc w:val="left"/>
      <w:pPr>
        <w:tabs>
          <w:tab w:val="num" w:pos="720"/>
        </w:tabs>
        <w:ind w:left="720" w:hanging="360"/>
      </w:pPr>
      <w:rPr>
        <w:rFonts w:ascii="Times New Roman" w:hAnsi="Times New Roman" w:cs="Times New Roman"/>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34">
    <w:nsid w:val="00000118"/>
    <w:multiLevelType w:val="multilevel"/>
    <w:tmpl w:val="00000118"/>
    <w:name w:val="WWNum598"/>
    <w:lvl w:ilvl="0">
      <w:start w:val="1"/>
      <w:numFmt w:val="bullet"/>
      <w:lvlText w:val="-"/>
      <w:lvlJc w:val="left"/>
      <w:pPr>
        <w:tabs>
          <w:tab w:val="num" w:pos="720"/>
        </w:tabs>
        <w:ind w:left="720" w:hanging="360"/>
      </w:pPr>
      <w:rPr>
        <w:rFonts w:ascii="Times New Roman" w:hAnsi="Times New Roman" w:cs="Times New Roman"/>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35">
    <w:nsid w:val="00000119"/>
    <w:multiLevelType w:val="multilevel"/>
    <w:tmpl w:val="00000119"/>
    <w:name w:val="WWNum599"/>
    <w:lvl w:ilvl="0">
      <w:start w:val="1"/>
      <w:numFmt w:val="bullet"/>
      <w:lvlText w:val="-"/>
      <w:lvlJc w:val="left"/>
      <w:pPr>
        <w:tabs>
          <w:tab w:val="num" w:pos="720"/>
        </w:tabs>
        <w:ind w:left="720" w:hanging="360"/>
      </w:pPr>
      <w:rPr>
        <w:rFonts w:ascii="Times New Roman" w:hAnsi="Times New Roman" w:cs="Times New Roman"/>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36">
    <w:nsid w:val="0000011A"/>
    <w:multiLevelType w:val="multilevel"/>
    <w:tmpl w:val="0000011A"/>
    <w:name w:val="WWNum600"/>
    <w:lvl w:ilvl="0">
      <w:start w:val="1"/>
      <w:numFmt w:val="bullet"/>
      <w:lvlText w:val="-"/>
      <w:lvlJc w:val="left"/>
      <w:pPr>
        <w:tabs>
          <w:tab w:val="num" w:pos="720"/>
        </w:tabs>
        <w:ind w:left="720" w:hanging="360"/>
      </w:pPr>
      <w:rPr>
        <w:rFonts w:ascii="Times New Roman" w:hAnsi="Times New Roman" w:cs="Times New Roman"/>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37">
    <w:nsid w:val="0000011B"/>
    <w:multiLevelType w:val="multilevel"/>
    <w:tmpl w:val="0000011B"/>
    <w:name w:val="WWNum601"/>
    <w:lvl w:ilvl="0">
      <w:start w:val="1"/>
      <w:numFmt w:val="bullet"/>
      <w:lvlText w:val="-"/>
      <w:lvlJc w:val="left"/>
      <w:pPr>
        <w:tabs>
          <w:tab w:val="num" w:pos="720"/>
        </w:tabs>
        <w:ind w:left="720" w:hanging="360"/>
      </w:pPr>
      <w:rPr>
        <w:rFonts w:ascii="Times New Roman" w:hAnsi="Times New Roman" w:cs="Times New Roman"/>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38">
    <w:nsid w:val="000A23A6"/>
    <w:multiLevelType w:val="hybridMultilevel"/>
    <w:tmpl w:val="8618C5E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9">
    <w:nsid w:val="003358FC"/>
    <w:multiLevelType w:val="hybridMultilevel"/>
    <w:tmpl w:val="0796761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0">
    <w:nsid w:val="00711BE1"/>
    <w:multiLevelType w:val="hybridMultilevel"/>
    <w:tmpl w:val="084831C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1">
    <w:nsid w:val="00735A5B"/>
    <w:multiLevelType w:val="multilevel"/>
    <w:tmpl w:val="541AE70E"/>
    <w:lvl w:ilvl="0">
      <w:start w:val="2"/>
      <w:numFmt w:val="decimal"/>
      <w:lvlText w:val="%1."/>
      <w:lvlJc w:val="left"/>
      <w:pPr>
        <w:ind w:left="630" w:hanging="63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2">
    <w:nsid w:val="00806A93"/>
    <w:multiLevelType w:val="hybridMultilevel"/>
    <w:tmpl w:val="762A9216"/>
    <w:lvl w:ilvl="0" w:tplc="04150005">
      <w:start w:val="1"/>
      <w:numFmt w:val="bullet"/>
      <w:lvlText w:val=""/>
      <w:lvlJc w:val="left"/>
      <w:pPr>
        <w:tabs>
          <w:tab w:val="num" w:pos="720"/>
        </w:tabs>
        <w:ind w:left="720" w:hanging="360"/>
      </w:pPr>
      <w:rPr>
        <w:rFonts w:ascii="Wingdings" w:hAnsi="Wingdings" w:hint="default"/>
        <w:sz w:val="20"/>
      </w:rPr>
    </w:lvl>
    <w:lvl w:ilvl="1" w:tplc="6A0267E8" w:tentative="1">
      <w:start w:val="1"/>
      <w:numFmt w:val="bullet"/>
      <w:lvlText w:val="o"/>
      <w:lvlJc w:val="left"/>
      <w:pPr>
        <w:tabs>
          <w:tab w:val="num" w:pos="1440"/>
        </w:tabs>
        <w:ind w:left="1440" w:hanging="360"/>
      </w:pPr>
      <w:rPr>
        <w:rFonts w:ascii="Courier New" w:hAnsi="Courier New" w:hint="default"/>
        <w:sz w:val="20"/>
      </w:rPr>
    </w:lvl>
    <w:lvl w:ilvl="2" w:tplc="B8BCA444" w:tentative="1">
      <w:start w:val="1"/>
      <w:numFmt w:val="bullet"/>
      <w:lvlText w:val=""/>
      <w:lvlJc w:val="left"/>
      <w:pPr>
        <w:tabs>
          <w:tab w:val="num" w:pos="2160"/>
        </w:tabs>
        <w:ind w:left="2160" w:hanging="360"/>
      </w:pPr>
      <w:rPr>
        <w:rFonts w:ascii="Wingdings" w:hAnsi="Wingdings" w:hint="default"/>
        <w:sz w:val="20"/>
      </w:rPr>
    </w:lvl>
    <w:lvl w:ilvl="3" w:tplc="44A009CA" w:tentative="1">
      <w:start w:val="1"/>
      <w:numFmt w:val="bullet"/>
      <w:lvlText w:val=""/>
      <w:lvlJc w:val="left"/>
      <w:pPr>
        <w:tabs>
          <w:tab w:val="num" w:pos="2880"/>
        </w:tabs>
        <w:ind w:left="2880" w:hanging="360"/>
      </w:pPr>
      <w:rPr>
        <w:rFonts w:ascii="Wingdings" w:hAnsi="Wingdings" w:hint="default"/>
        <w:sz w:val="20"/>
      </w:rPr>
    </w:lvl>
    <w:lvl w:ilvl="4" w:tplc="0A5E1D74" w:tentative="1">
      <w:start w:val="1"/>
      <w:numFmt w:val="bullet"/>
      <w:lvlText w:val=""/>
      <w:lvlJc w:val="left"/>
      <w:pPr>
        <w:tabs>
          <w:tab w:val="num" w:pos="3600"/>
        </w:tabs>
        <w:ind w:left="3600" w:hanging="360"/>
      </w:pPr>
      <w:rPr>
        <w:rFonts w:ascii="Wingdings" w:hAnsi="Wingdings" w:hint="default"/>
        <w:sz w:val="20"/>
      </w:rPr>
    </w:lvl>
    <w:lvl w:ilvl="5" w:tplc="560A3D7E" w:tentative="1">
      <w:start w:val="1"/>
      <w:numFmt w:val="bullet"/>
      <w:lvlText w:val=""/>
      <w:lvlJc w:val="left"/>
      <w:pPr>
        <w:tabs>
          <w:tab w:val="num" w:pos="4320"/>
        </w:tabs>
        <w:ind w:left="4320" w:hanging="360"/>
      </w:pPr>
      <w:rPr>
        <w:rFonts w:ascii="Wingdings" w:hAnsi="Wingdings" w:hint="default"/>
        <w:sz w:val="20"/>
      </w:rPr>
    </w:lvl>
    <w:lvl w:ilvl="6" w:tplc="5810CB1A" w:tentative="1">
      <w:start w:val="1"/>
      <w:numFmt w:val="bullet"/>
      <w:lvlText w:val=""/>
      <w:lvlJc w:val="left"/>
      <w:pPr>
        <w:tabs>
          <w:tab w:val="num" w:pos="5040"/>
        </w:tabs>
        <w:ind w:left="5040" w:hanging="360"/>
      </w:pPr>
      <w:rPr>
        <w:rFonts w:ascii="Wingdings" w:hAnsi="Wingdings" w:hint="default"/>
        <w:sz w:val="20"/>
      </w:rPr>
    </w:lvl>
    <w:lvl w:ilvl="7" w:tplc="26AAC83C" w:tentative="1">
      <w:start w:val="1"/>
      <w:numFmt w:val="bullet"/>
      <w:lvlText w:val=""/>
      <w:lvlJc w:val="left"/>
      <w:pPr>
        <w:tabs>
          <w:tab w:val="num" w:pos="5760"/>
        </w:tabs>
        <w:ind w:left="5760" w:hanging="360"/>
      </w:pPr>
      <w:rPr>
        <w:rFonts w:ascii="Wingdings" w:hAnsi="Wingdings" w:hint="default"/>
        <w:sz w:val="20"/>
      </w:rPr>
    </w:lvl>
    <w:lvl w:ilvl="8" w:tplc="5DBA027E" w:tentative="1">
      <w:start w:val="1"/>
      <w:numFmt w:val="bullet"/>
      <w:lvlText w:val=""/>
      <w:lvlJc w:val="left"/>
      <w:pPr>
        <w:tabs>
          <w:tab w:val="num" w:pos="6480"/>
        </w:tabs>
        <w:ind w:left="6480" w:hanging="360"/>
      </w:pPr>
      <w:rPr>
        <w:rFonts w:ascii="Wingdings" w:hAnsi="Wingdings" w:hint="default"/>
        <w:sz w:val="20"/>
      </w:rPr>
    </w:lvl>
  </w:abstractNum>
  <w:abstractNum w:abstractNumId="143">
    <w:nsid w:val="00A0242B"/>
    <w:multiLevelType w:val="hybridMultilevel"/>
    <w:tmpl w:val="768C68CA"/>
    <w:lvl w:ilvl="0" w:tplc="2E10A5B0">
      <w:start w:val="1"/>
      <w:numFmt w:val="decimal"/>
      <w:lvlText w:val="K+.3.%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4">
    <w:nsid w:val="00A5621B"/>
    <w:multiLevelType w:val="hybridMultilevel"/>
    <w:tmpl w:val="E2B0F452"/>
    <w:lvl w:ilvl="0" w:tplc="AF54D4C8">
      <w:start w:val="1"/>
      <w:numFmt w:val="decimal"/>
      <w:lvlText w:val="%1."/>
      <w:lvlJc w:val="left"/>
      <w:pPr>
        <w:tabs>
          <w:tab w:val="num" w:pos="720"/>
        </w:tabs>
        <w:ind w:left="720" w:hanging="360"/>
      </w:pPr>
    </w:lvl>
    <w:lvl w:ilvl="1" w:tplc="8BFA809E" w:tentative="1">
      <w:start w:val="1"/>
      <w:numFmt w:val="decimal"/>
      <w:lvlText w:val="%2."/>
      <w:lvlJc w:val="left"/>
      <w:pPr>
        <w:tabs>
          <w:tab w:val="num" w:pos="1440"/>
        </w:tabs>
        <w:ind w:left="1440" w:hanging="360"/>
      </w:pPr>
    </w:lvl>
    <w:lvl w:ilvl="2" w:tplc="9A6EE62E" w:tentative="1">
      <w:start w:val="1"/>
      <w:numFmt w:val="decimal"/>
      <w:lvlText w:val="%3."/>
      <w:lvlJc w:val="left"/>
      <w:pPr>
        <w:tabs>
          <w:tab w:val="num" w:pos="2160"/>
        </w:tabs>
        <w:ind w:left="2160" w:hanging="360"/>
      </w:pPr>
    </w:lvl>
    <w:lvl w:ilvl="3" w:tplc="0AD00842" w:tentative="1">
      <w:start w:val="1"/>
      <w:numFmt w:val="decimal"/>
      <w:lvlText w:val="%4."/>
      <w:lvlJc w:val="left"/>
      <w:pPr>
        <w:tabs>
          <w:tab w:val="num" w:pos="2880"/>
        </w:tabs>
        <w:ind w:left="2880" w:hanging="360"/>
      </w:pPr>
    </w:lvl>
    <w:lvl w:ilvl="4" w:tplc="4EBCDEFE" w:tentative="1">
      <w:start w:val="1"/>
      <w:numFmt w:val="decimal"/>
      <w:lvlText w:val="%5."/>
      <w:lvlJc w:val="left"/>
      <w:pPr>
        <w:tabs>
          <w:tab w:val="num" w:pos="3600"/>
        </w:tabs>
        <w:ind w:left="3600" w:hanging="360"/>
      </w:pPr>
    </w:lvl>
    <w:lvl w:ilvl="5" w:tplc="580C4900" w:tentative="1">
      <w:start w:val="1"/>
      <w:numFmt w:val="decimal"/>
      <w:lvlText w:val="%6."/>
      <w:lvlJc w:val="left"/>
      <w:pPr>
        <w:tabs>
          <w:tab w:val="num" w:pos="4320"/>
        </w:tabs>
        <w:ind w:left="4320" w:hanging="360"/>
      </w:pPr>
    </w:lvl>
    <w:lvl w:ilvl="6" w:tplc="0BEEFB74" w:tentative="1">
      <w:start w:val="1"/>
      <w:numFmt w:val="decimal"/>
      <w:lvlText w:val="%7."/>
      <w:lvlJc w:val="left"/>
      <w:pPr>
        <w:tabs>
          <w:tab w:val="num" w:pos="5040"/>
        </w:tabs>
        <w:ind w:left="5040" w:hanging="360"/>
      </w:pPr>
    </w:lvl>
    <w:lvl w:ilvl="7" w:tplc="37762F60" w:tentative="1">
      <w:start w:val="1"/>
      <w:numFmt w:val="decimal"/>
      <w:lvlText w:val="%8."/>
      <w:lvlJc w:val="left"/>
      <w:pPr>
        <w:tabs>
          <w:tab w:val="num" w:pos="5760"/>
        </w:tabs>
        <w:ind w:left="5760" w:hanging="360"/>
      </w:pPr>
    </w:lvl>
    <w:lvl w:ilvl="8" w:tplc="F90E2CB6" w:tentative="1">
      <w:start w:val="1"/>
      <w:numFmt w:val="decimal"/>
      <w:lvlText w:val="%9."/>
      <w:lvlJc w:val="left"/>
      <w:pPr>
        <w:tabs>
          <w:tab w:val="num" w:pos="6480"/>
        </w:tabs>
        <w:ind w:left="6480" w:hanging="360"/>
      </w:pPr>
    </w:lvl>
  </w:abstractNum>
  <w:abstractNum w:abstractNumId="145">
    <w:nsid w:val="00EB71B2"/>
    <w:multiLevelType w:val="hybridMultilevel"/>
    <w:tmpl w:val="1DFCA30C"/>
    <w:lvl w:ilvl="0" w:tplc="D6A656B6">
      <w:numFmt w:val="bullet"/>
      <w:lvlText w:val="-"/>
      <w:lvlJc w:val="left"/>
      <w:pPr>
        <w:ind w:left="1440" w:hanging="360"/>
      </w:pPr>
      <w:rPr>
        <w:rFonts w:ascii="Times New Roman" w:eastAsia="Times New Roman" w:hAnsi="Times New Roman"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46">
    <w:nsid w:val="00F97E10"/>
    <w:multiLevelType w:val="hybridMultilevel"/>
    <w:tmpl w:val="01F0B2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7">
    <w:nsid w:val="0102635D"/>
    <w:multiLevelType w:val="hybridMultilevel"/>
    <w:tmpl w:val="5E3A2B9E"/>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8">
    <w:nsid w:val="016A7744"/>
    <w:multiLevelType w:val="hybridMultilevel"/>
    <w:tmpl w:val="6C36DEBA"/>
    <w:lvl w:ilvl="0" w:tplc="19F2D6E6">
      <w:start w:val="1"/>
      <w:numFmt w:val="bullet"/>
      <w:lvlText w:val=""/>
      <w:lvlJc w:val="left"/>
      <w:pPr>
        <w:tabs>
          <w:tab w:val="num" w:pos="1440"/>
        </w:tabs>
        <w:ind w:left="1440" w:hanging="360"/>
      </w:pPr>
      <w:rPr>
        <w:rFonts w:ascii="Wingdings" w:hAnsi="Wingdings" w:cs="Wingdings" w:hint="default"/>
        <w:color w:val="auto"/>
        <w:sz w:val="20"/>
      </w:rPr>
    </w:lvl>
    <w:lvl w:ilvl="1" w:tplc="04150019" w:tentative="1">
      <w:start w:val="1"/>
      <w:numFmt w:val="bullet"/>
      <w:lvlText w:val="o"/>
      <w:lvlJc w:val="left"/>
      <w:pPr>
        <w:tabs>
          <w:tab w:val="num" w:pos="1440"/>
        </w:tabs>
        <w:ind w:left="1440" w:hanging="360"/>
      </w:pPr>
      <w:rPr>
        <w:rFonts w:ascii="Courier New" w:hAnsi="Courier New" w:hint="default"/>
      </w:rPr>
    </w:lvl>
    <w:lvl w:ilvl="2" w:tplc="0415001B" w:tentative="1">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149">
    <w:nsid w:val="01C0515B"/>
    <w:multiLevelType w:val="hybridMultilevel"/>
    <w:tmpl w:val="B4BC454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0">
    <w:nsid w:val="01E30039"/>
    <w:multiLevelType w:val="multilevel"/>
    <w:tmpl w:val="91F4C868"/>
    <w:styleLink w:val="WWNum128"/>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51">
    <w:nsid w:val="023F5404"/>
    <w:multiLevelType w:val="hybridMultilevel"/>
    <w:tmpl w:val="C388A986"/>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2">
    <w:nsid w:val="02442AA2"/>
    <w:multiLevelType w:val="hybridMultilevel"/>
    <w:tmpl w:val="0C182FA4"/>
    <w:lvl w:ilvl="0" w:tplc="A2784350">
      <w:start w:val="1"/>
      <w:numFmt w:val="decimal"/>
      <w:lvlText w:val="C6.K%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3">
    <w:nsid w:val="028F6128"/>
    <w:multiLevelType w:val="hybridMultilevel"/>
    <w:tmpl w:val="0324CB1A"/>
    <w:lvl w:ilvl="0" w:tplc="04150005">
      <w:start w:val="1"/>
      <w:numFmt w:val="bullet"/>
      <w:lvlText w:val=""/>
      <w:lvlJc w:val="left"/>
      <w:pPr>
        <w:tabs>
          <w:tab w:val="num" w:pos="720"/>
        </w:tabs>
        <w:ind w:left="720" w:hanging="360"/>
      </w:pPr>
      <w:rPr>
        <w:rFonts w:ascii="Wingdings" w:hAnsi="Wingdings" w:hint="default"/>
        <w:sz w:val="20"/>
      </w:rPr>
    </w:lvl>
    <w:lvl w:ilvl="1" w:tplc="7292D7D4" w:tentative="1">
      <w:start w:val="1"/>
      <w:numFmt w:val="bullet"/>
      <w:lvlText w:val="o"/>
      <w:lvlJc w:val="left"/>
      <w:pPr>
        <w:tabs>
          <w:tab w:val="num" w:pos="1440"/>
        </w:tabs>
        <w:ind w:left="1440" w:hanging="360"/>
      </w:pPr>
      <w:rPr>
        <w:rFonts w:ascii="Courier New" w:hAnsi="Courier New" w:hint="default"/>
        <w:sz w:val="20"/>
      </w:rPr>
    </w:lvl>
    <w:lvl w:ilvl="2" w:tplc="674C4930" w:tentative="1">
      <w:start w:val="1"/>
      <w:numFmt w:val="bullet"/>
      <w:lvlText w:val=""/>
      <w:lvlJc w:val="left"/>
      <w:pPr>
        <w:tabs>
          <w:tab w:val="num" w:pos="2160"/>
        </w:tabs>
        <w:ind w:left="2160" w:hanging="360"/>
      </w:pPr>
      <w:rPr>
        <w:rFonts w:ascii="Wingdings" w:hAnsi="Wingdings" w:hint="default"/>
        <w:sz w:val="20"/>
      </w:rPr>
    </w:lvl>
    <w:lvl w:ilvl="3" w:tplc="1CE02760" w:tentative="1">
      <w:start w:val="1"/>
      <w:numFmt w:val="bullet"/>
      <w:lvlText w:val=""/>
      <w:lvlJc w:val="left"/>
      <w:pPr>
        <w:tabs>
          <w:tab w:val="num" w:pos="2880"/>
        </w:tabs>
        <w:ind w:left="2880" w:hanging="360"/>
      </w:pPr>
      <w:rPr>
        <w:rFonts w:ascii="Wingdings" w:hAnsi="Wingdings" w:hint="default"/>
        <w:sz w:val="20"/>
      </w:rPr>
    </w:lvl>
    <w:lvl w:ilvl="4" w:tplc="0436F21E" w:tentative="1">
      <w:start w:val="1"/>
      <w:numFmt w:val="bullet"/>
      <w:lvlText w:val=""/>
      <w:lvlJc w:val="left"/>
      <w:pPr>
        <w:tabs>
          <w:tab w:val="num" w:pos="3600"/>
        </w:tabs>
        <w:ind w:left="3600" w:hanging="360"/>
      </w:pPr>
      <w:rPr>
        <w:rFonts w:ascii="Wingdings" w:hAnsi="Wingdings" w:hint="default"/>
        <w:sz w:val="20"/>
      </w:rPr>
    </w:lvl>
    <w:lvl w:ilvl="5" w:tplc="0016C634" w:tentative="1">
      <w:start w:val="1"/>
      <w:numFmt w:val="bullet"/>
      <w:lvlText w:val=""/>
      <w:lvlJc w:val="left"/>
      <w:pPr>
        <w:tabs>
          <w:tab w:val="num" w:pos="4320"/>
        </w:tabs>
        <w:ind w:left="4320" w:hanging="360"/>
      </w:pPr>
      <w:rPr>
        <w:rFonts w:ascii="Wingdings" w:hAnsi="Wingdings" w:hint="default"/>
        <w:sz w:val="20"/>
      </w:rPr>
    </w:lvl>
    <w:lvl w:ilvl="6" w:tplc="305A7C32" w:tentative="1">
      <w:start w:val="1"/>
      <w:numFmt w:val="bullet"/>
      <w:lvlText w:val=""/>
      <w:lvlJc w:val="left"/>
      <w:pPr>
        <w:tabs>
          <w:tab w:val="num" w:pos="5040"/>
        </w:tabs>
        <w:ind w:left="5040" w:hanging="360"/>
      </w:pPr>
      <w:rPr>
        <w:rFonts w:ascii="Wingdings" w:hAnsi="Wingdings" w:hint="default"/>
        <w:sz w:val="20"/>
      </w:rPr>
    </w:lvl>
    <w:lvl w:ilvl="7" w:tplc="01B86550" w:tentative="1">
      <w:start w:val="1"/>
      <w:numFmt w:val="bullet"/>
      <w:lvlText w:val=""/>
      <w:lvlJc w:val="left"/>
      <w:pPr>
        <w:tabs>
          <w:tab w:val="num" w:pos="5760"/>
        </w:tabs>
        <w:ind w:left="5760" w:hanging="360"/>
      </w:pPr>
      <w:rPr>
        <w:rFonts w:ascii="Wingdings" w:hAnsi="Wingdings" w:hint="default"/>
        <w:sz w:val="20"/>
      </w:rPr>
    </w:lvl>
    <w:lvl w:ilvl="8" w:tplc="17D6E812" w:tentative="1">
      <w:start w:val="1"/>
      <w:numFmt w:val="bullet"/>
      <w:lvlText w:val=""/>
      <w:lvlJc w:val="left"/>
      <w:pPr>
        <w:tabs>
          <w:tab w:val="num" w:pos="6480"/>
        </w:tabs>
        <w:ind w:left="6480" w:hanging="360"/>
      </w:pPr>
      <w:rPr>
        <w:rFonts w:ascii="Wingdings" w:hAnsi="Wingdings" w:hint="default"/>
        <w:sz w:val="20"/>
      </w:rPr>
    </w:lvl>
  </w:abstractNum>
  <w:abstractNum w:abstractNumId="154">
    <w:nsid w:val="02AB76DA"/>
    <w:multiLevelType w:val="hybridMultilevel"/>
    <w:tmpl w:val="693229E6"/>
    <w:lvl w:ilvl="0" w:tplc="0415000F">
      <w:start w:val="1"/>
      <w:numFmt w:val="decimal"/>
      <w:lvlText w:val="%1."/>
      <w:lvlJc w:val="left"/>
      <w:pPr>
        <w:tabs>
          <w:tab w:val="num" w:pos="720"/>
        </w:tabs>
        <w:ind w:left="720" w:hanging="360"/>
      </w:pPr>
      <w:rPr>
        <w:rFonts w:hint="default"/>
      </w:rPr>
    </w:lvl>
    <w:lvl w:ilvl="1" w:tplc="00000004">
      <w:numFmt w:val="bullet"/>
      <w:lvlText w:val="–"/>
      <w:lvlJc w:val="left"/>
      <w:pPr>
        <w:tabs>
          <w:tab w:val="num" w:pos="1440"/>
        </w:tabs>
        <w:ind w:left="1440" w:hanging="360"/>
      </w:pPr>
      <w:rPr>
        <w:rFonts w:ascii="TiepoloItcTEEBoo" w:hAnsi="TiepoloItcTEEBoo" w:cs="TiepoloItcTEEBoo" w:hint="default"/>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5">
    <w:nsid w:val="02B0439E"/>
    <w:multiLevelType w:val="hybridMultilevel"/>
    <w:tmpl w:val="8FCAB6A6"/>
    <w:lvl w:ilvl="0" w:tplc="D6A656B6">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6">
    <w:nsid w:val="02DD11A9"/>
    <w:multiLevelType w:val="hybridMultilevel"/>
    <w:tmpl w:val="77626E36"/>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7">
    <w:nsid w:val="03091C23"/>
    <w:multiLevelType w:val="hybridMultilevel"/>
    <w:tmpl w:val="5764F384"/>
    <w:lvl w:ilvl="0" w:tplc="D6A656B6">
      <w:numFmt w:val="bullet"/>
      <w:lvlText w:val="-"/>
      <w:lvlJc w:val="left"/>
      <w:pPr>
        <w:ind w:left="1068" w:hanging="360"/>
      </w:pPr>
      <w:rPr>
        <w:rFonts w:ascii="Times New Roman" w:eastAsia="Times New Roman" w:hAnsi="Times New Roman" w:cs="Times New Roman"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58">
    <w:nsid w:val="03190F2A"/>
    <w:multiLevelType w:val="hybridMultilevel"/>
    <w:tmpl w:val="3AC028C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9">
    <w:nsid w:val="037371B1"/>
    <w:multiLevelType w:val="hybridMultilevel"/>
    <w:tmpl w:val="D5522C3A"/>
    <w:lvl w:ilvl="0" w:tplc="3BA23654">
      <w:start w:val="1"/>
      <w:numFmt w:val="bullet"/>
      <w:lvlText w:val="-"/>
      <w:lvlJc w:val="left"/>
      <w:pPr>
        <w:ind w:left="720" w:hanging="360"/>
      </w:pPr>
      <w:rPr>
        <w:rFonts w:ascii="Verdana" w:hAnsi="Verdana"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60">
    <w:nsid w:val="038B0E72"/>
    <w:multiLevelType w:val="hybridMultilevel"/>
    <w:tmpl w:val="B23882B2"/>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1">
    <w:nsid w:val="03CE217D"/>
    <w:multiLevelType w:val="hybridMultilevel"/>
    <w:tmpl w:val="04BACB08"/>
    <w:lvl w:ilvl="0" w:tplc="04150005">
      <w:start w:val="1"/>
      <w:numFmt w:val="bullet"/>
      <w:lvlText w:val=""/>
      <w:lvlJc w:val="left"/>
      <w:pPr>
        <w:tabs>
          <w:tab w:val="num" w:pos="720"/>
        </w:tabs>
        <w:ind w:left="720" w:hanging="360"/>
      </w:pPr>
      <w:rPr>
        <w:rFonts w:ascii="Wingdings" w:hAnsi="Wingdings" w:hint="default"/>
        <w:sz w:val="20"/>
      </w:rPr>
    </w:lvl>
    <w:lvl w:ilvl="1" w:tplc="A8FA23BC" w:tentative="1">
      <w:start w:val="1"/>
      <w:numFmt w:val="bullet"/>
      <w:lvlText w:val="o"/>
      <w:lvlJc w:val="left"/>
      <w:pPr>
        <w:tabs>
          <w:tab w:val="num" w:pos="1440"/>
        </w:tabs>
        <w:ind w:left="1440" w:hanging="360"/>
      </w:pPr>
      <w:rPr>
        <w:rFonts w:ascii="Courier New" w:hAnsi="Courier New" w:hint="default"/>
        <w:sz w:val="20"/>
      </w:rPr>
    </w:lvl>
    <w:lvl w:ilvl="2" w:tplc="24566E7C" w:tentative="1">
      <w:start w:val="1"/>
      <w:numFmt w:val="bullet"/>
      <w:lvlText w:val=""/>
      <w:lvlJc w:val="left"/>
      <w:pPr>
        <w:tabs>
          <w:tab w:val="num" w:pos="2160"/>
        </w:tabs>
        <w:ind w:left="2160" w:hanging="360"/>
      </w:pPr>
      <w:rPr>
        <w:rFonts w:ascii="Wingdings" w:hAnsi="Wingdings" w:hint="default"/>
        <w:sz w:val="20"/>
      </w:rPr>
    </w:lvl>
    <w:lvl w:ilvl="3" w:tplc="2AF09FEE" w:tentative="1">
      <w:start w:val="1"/>
      <w:numFmt w:val="bullet"/>
      <w:lvlText w:val=""/>
      <w:lvlJc w:val="left"/>
      <w:pPr>
        <w:tabs>
          <w:tab w:val="num" w:pos="2880"/>
        </w:tabs>
        <w:ind w:left="2880" w:hanging="360"/>
      </w:pPr>
      <w:rPr>
        <w:rFonts w:ascii="Wingdings" w:hAnsi="Wingdings" w:hint="default"/>
        <w:sz w:val="20"/>
      </w:rPr>
    </w:lvl>
    <w:lvl w:ilvl="4" w:tplc="FEEE7418" w:tentative="1">
      <w:start w:val="1"/>
      <w:numFmt w:val="bullet"/>
      <w:lvlText w:val=""/>
      <w:lvlJc w:val="left"/>
      <w:pPr>
        <w:tabs>
          <w:tab w:val="num" w:pos="3600"/>
        </w:tabs>
        <w:ind w:left="3600" w:hanging="360"/>
      </w:pPr>
      <w:rPr>
        <w:rFonts w:ascii="Wingdings" w:hAnsi="Wingdings" w:hint="default"/>
        <w:sz w:val="20"/>
      </w:rPr>
    </w:lvl>
    <w:lvl w:ilvl="5" w:tplc="17880670" w:tentative="1">
      <w:start w:val="1"/>
      <w:numFmt w:val="bullet"/>
      <w:lvlText w:val=""/>
      <w:lvlJc w:val="left"/>
      <w:pPr>
        <w:tabs>
          <w:tab w:val="num" w:pos="4320"/>
        </w:tabs>
        <w:ind w:left="4320" w:hanging="360"/>
      </w:pPr>
      <w:rPr>
        <w:rFonts w:ascii="Wingdings" w:hAnsi="Wingdings" w:hint="default"/>
        <w:sz w:val="20"/>
      </w:rPr>
    </w:lvl>
    <w:lvl w:ilvl="6" w:tplc="5044D0FE" w:tentative="1">
      <w:start w:val="1"/>
      <w:numFmt w:val="bullet"/>
      <w:lvlText w:val=""/>
      <w:lvlJc w:val="left"/>
      <w:pPr>
        <w:tabs>
          <w:tab w:val="num" w:pos="5040"/>
        </w:tabs>
        <w:ind w:left="5040" w:hanging="360"/>
      </w:pPr>
      <w:rPr>
        <w:rFonts w:ascii="Wingdings" w:hAnsi="Wingdings" w:hint="default"/>
        <w:sz w:val="20"/>
      </w:rPr>
    </w:lvl>
    <w:lvl w:ilvl="7" w:tplc="3D1E0E10" w:tentative="1">
      <w:start w:val="1"/>
      <w:numFmt w:val="bullet"/>
      <w:lvlText w:val=""/>
      <w:lvlJc w:val="left"/>
      <w:pPr>
        <w:tabs>
          <w:tab w:val="num" w:pos="5760"/>
        </w:tabs>
        <w:ind w:left="5760" w:hanging="360"/>
      </w:pPr>
      <w:rPr>
        <w:rFonts w:ascii="Wingdings" w:hAnsi="Wingdings" w:hint="default"/>
        <w:sz w:val="20"/>
      </w:rPr>
    </w:lvl>
    <w:lvl w:ilvl="8" w:tplc="F28474EE" w:tentative="1">
      <w:start w:val="1"/>
      <w:numFmt w:val="bullet"/>
      <w:lvlText w:val=""/>
      <w:lvlJc w:val="left"/>
      <w:pPr>
        <w:tabs>
          <w:tab w:val="num" w:pos="6480"/>
        </w:tabs>
        <w:ind w:left="6480" w:hanging="360"/>
      </w:pPr>
      <w:rPr>
        <w:rFonts w:ascii="Wingdings" w:hAnsi="Wingdings" w:hint="default"/>
        <w:sz w:val="20"/>
      </w:rPr>
    </w:lvl>
  </w:abstractNum>
  <w:abstractNum w:abstractNumId="162">
    <w:nsid w:val="03E77267"/>
    <w:multiLevelType w:val="multilevel"/>
    <w:tmpl w:val="5B52B67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3">
    <w:nsid w:val="040324C4"/>
    <w:multiLevelType w:val="hybridMultilevel"/>
    <w:tmpl w:val="2826A5A8"/>
    <w:lvl w:ilvl="0" w:tplc="ACCA58F6">
      <w:start w:val="1"/>
      <w:numFmt w:val="bullet"/>
      <w:lvlText w:val=""/>
      <w:lvlJc w:val="left"/>
      <w:pPr>
        <w:ind w:left="720" w:hanging="360"/>
      </w:pPr>
      <w:rPr>
        <w:rFonts w:ascii="Wingdings" w:hAnsi="Wingdings" w:hint="default"/>
        <w:sz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4">
    <w:nsid w:val="04170377"/>
    <w:multiLevelType w:val="hybridMultilevel"/>
    <w:tmpl w:val="14A0B77E"/>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5">
    <w:nsid w:val="04665F20"/>
    <w:multiLevelType w:val="hybridMultilevel"/>
    <w:tmpl w:val="597412F6"/>
    <w:lvl w:ilvl="0" w:tplc="85687AD2">
      <w:start w:val="1"/>
      <w:numFmt w:val="decimal"/>
      <w:lvlText w:val="K4.2.%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6">
    <w:nsid w:val="047B1B86"/>
    <w:multiLevelType w:val="hybridMultilevel"/>
    <w:tmpl w:val="42622C32"/>
    <w:lvl w:ilvl="0" w:tplc="E30016B0">
      <w:start w:val="1"/>
      <w:numFmt w:val="bullet"/>
      <w:lvlText w:val=""/>
      <w:lvlJc w:val="left"/>
      <w:pPr>
        <w:tabs>
          <w:tab w:val="num" w:pos="720"/>
        </w:tabs>
        <w:ind w:left="720" w:hanging="360"/>
      </w:pPr>
      <w:rPr>
        <w:rFonts w:ascii="Symbol" w:hAnsi="Symbol" w:hint="default"/>
        <w:sz w:val="20"/>
      </w:rPr>
    </w:lvl>
    <w:lvl w:ilvl="1" w:tplc="D716F588" w:tentative="1">
      <w:start w:val="1"/>
      <w:numFmt w:val="bullet"/>
      <w:lvlText w:val="o"/>
      <w:lvlJc w:val="left"/>
      <w:pPr>
        <w:tabs>
          <w:tab w:val="num" w:pos="1440"/>
        </w:tabs>
        <w:ind w:left="1440" w:hanging="360"/>
      </w:pPr>
      <w:rPr>
        <w:rFonts w:ascii="Courier New" w:hAnsi="Courier New" w:hint="default"/>
        <w:sz w:val="20"/>
      </w:rPr>
    </w:lvl>
    <w:lvl w:ilvl="2" w:tplc="EF505450" w:tentative="1">
      <w:start w:val="1"/>
      <w:numFmt w:val="bullet"/>
      <w:lvlText w:val=""/>
      <w:lvlJc w:val="left"/>
      <w:pPr>
        <w:tabs>
          <w:tab w:val="num" w:pos="2160"/>
        </w:tabs>
        <w:ind w:left="2160" w:hanging="360"/>
      </w:pPr>
      <w:rPr>
        <w:rFonts w:ascii="Wingdings" w:hAnsi="Wingdings" w:hint="default"/>
        <w:sz w:val="20"/>
      </w:rPr>
    </w:lvl>
    <w:lvl w:ilvl="3" w:tplc="F628E452" w:tentative="1">
      <w:start w:val="1"/>
      <w:numFmt w:val="bullet"/>
      <w:lvlText w:val=""/>
      <w:lvlJc w:val="left"/>
      <w:pPr>
        <w:tabs>
          <w:tab w:val="num" w:pos="2880"/>
        </w:tabs>
        <w:ind w:left="2880" w:hanging="360"/>
      </w:pPr>
      <w:rPr>
        <w:rFonts w:ascii="Wingdings" w:hAnsi="Wingdings" w:hint="default"/>
        <w:sz w:val="20"/>
      </w:rPr>
    </w:lvl>
    <w:lvl w:ilvl="4" w:tplc="CCB6E5F6" w:tentative="1">
      <w:start w:val="1"/>
      <w:numFmt w:val="bullet"/>
      <w:lvlText w:val=""/>
      <w:lvlJc w:val="left"/>
      <w:pPr>
        <w:tabs>
          <w:tab w:val="num" w:pos="3600"/>
        </w:tabs>
        <w:ind w:left="3600" w:hanging="360"/>
      </w:pPr>
      <w:rPr>
        <w:rFonts w:ascii="Wingdings" w:hAnsi="Wingdings" w:hint="default"/>
        <w:sz w:val="20"/>
      </w:rPr>
    </w:lvl>
    <w:lvl w:ilvl="5" w:tplc="ABC66D2A" w:tentative="1">
      <w:start w:val="1"/>
      <w:numFmt w:val="bullet"/>
      <w:lvlText w:val=""/>
      <w:lvlJc w:val="left"/>
      <w:pPr>
        <w:tabs>
          <w:tab w:val="num" w:pos="4320"/>
        </w:tabs>
        <w:ind w:left="4320" w:hanging="360"/>
      </w:pPr>
      <w:rPr>
        <w:rFonts w:ascii="Wingdings" w:hAnsi="Wingdings" w:hint="default"/>
        <w:sz w:val="20"/>
      </w:rPr>
    </w:lvl>
    <w:lvl w:ilvl="6" w:tplc="3E6868F4" w:tentative="1">
      <w:start w:val="1"/>
      <w:numFmt w:val="bullet"/>
      <w:lvlText w:val=""/>
      <w:lvlJc w:val="left"/>
      <w:pPr>
        <w:tabs>
          <w:tab w:val="num" w:pos="5040"/>
        </w:tabs>
        <w:ind w:left="5040" w:hanging="360"/>
      </w:pPr>
      <w:rPr>
        <w:rFonts w:ascii="Wingdings" w:hAnsi="Wingdings" w:hint="default"/>
        <w:sz w:val="20"/>
      </w:rPr>
    </w:lvl>
    <w:lvl w:ilvl="7" w:tplc="D9A429D2" w:tentative="1">
      <w:start w:val="1"/>
      <w:numFmt w:val="bullet"/>
      <w:lvlText w:val=""/>
      <w:lvlJc w:val="left"/>
      <w:pPr>
        <w:tabs>
          <w:tab w:val="num" w:pos="5760"/>
        </w:tabs>
        <w:ind w:left="5760" w:hanging="360"/>
      </w:pPr>
      <w:rPr>
        <w:rFonts w:ascii="Wingdings" w:hAnsi="Wingdings" w:hint="default"/>
        <w:sz w:val="20"/>
      </w:rPr>
    </w:lvl>
    <w:lvl w:ilvl="8" w:tplc="CC36AB90" w:tentative="1">
      <w:start w:val="1"/>
      <w:numFmt w:val="bullet"/>
      <w:lvlText w:val=""/>
      <w:lvlJc w:val="left"/>
      <w:pPr>
        <w:tabs>
          <w:tab w:val="num" w:pos="6480"/>
        </w:tabs>
        <w:ind w:left="6480" w:hanging="360"/>
      </w:pPr>
      <w:rPr>
        <w:rFonts w:ascii="Wingdings" w:hAnsi="Wingdings" w:hint="default"/>
        <w:sz w:val="20"/>
      </w:rPr>
    </w:lvl>
  </w:abstractNum>
  <w:abstractNum w:abstractNumId="167">
    <w:nsid w:val="04A00C51"/>
    <w:multiLevelType w:val="hybridMultilevel"/>
    <w:tmpl w:val="E2E28FBA"/>
    <w:lvl w:ilvl="0" w:tplc="3BA23654">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8">
    <w:nsid w:val="04A728AF"/>
    <w:multiLevelType w:val="hybridMultilevel"/>
    <w:tmpl w:val="FAFE85D2"/>
    <w:lvl w:ilvl="0" w:tplc="D6A656B6">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9">
    <w:nsid w:val="04B53AD1"/>
    <w:multiLevelType w:val="hybridMultilevel"/>
    <w:tmpl w:val="9F68D9B0"/>
    <w:lvl w:ilvl="0" w:tplc="D6A656B6">
      <w:numFmt w:val="bullet"/>
      <w:lvlText w:val="-"/>
      <w:lvlJc w:val="left"/>
      <w:pPr>
        <w:ind w:left="1440" w:hanging="360"/>
      </w:pPr>
      <w:rPr>
        <w:rFonts w:ascii="Times New Roman" w:eastAsia="Times New Roman" w:hAnsi="Times New Roman"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70">
    <w:nsid w:val="064E0F8E"/>
    <w:multiLevelType w:val="hybridMultilevel"/>
    <w:tmpl w:val="050CFFC2"/>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1">
    <w:nsid w:val="06603A79"/>
    <w:multiLevelType w:val="hybridMultilevel"/>
    <w:tmpl w:val="FEF45F42"/>
    <w:lvl w:ilvl="0" w:tplc="D6A656B6">
      <w:numFmt w:val="bullet"/>
      <w:lvlText w:val="-"/>
      <w:lvlJc w:val="left"/>
      <w:pPr>
        <w:ind w:left="1068" w:hanging="360"/>
      </w:pPr>
      <w:rPr>
        <w:rFonts w:ascii="Times New Roman" w:eastAsia="Times New Roman" w:hAnsi="Times New Roman" w:cs="Times New Roman"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72">
    <w:nsid w:val="066F71ED"/>
    <w:multiLevelType w:val="hybridMultilevel"/>
    <w:tmpl w:val="9A2C0884"/>
    <w:lvl w:ilvl="0" w:tplc="37E83256">
      <w:start w:val="1"/>
      <w:numFmt w:val="decimal"/>
      <w:lvlText w:val="%1."/>
      <w:lvlJc w:val="left"/>
      <w:pPr>
        <w:tabs>
          <w:tab w:val="num" w:pos="720"/>
        </w:tabs>
        <w:ind w:left="720" w:hanging="360"/>
      </w:pPr>
      <w:rPr>
        <w:rFonts w:eastAsia="Times New Roman" w:cs="Arial"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3">
    <w:nsid w:val="0671552E"/>
    <w:multiLevelType w:val="hybridMultilevel"/>
    <w:tmpl w:val="FF7034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4">
    <w:nsid w:val="06907073"/>
    <w:multiLevelType w:val="multilevel"/>
    <w:tmpl w:val="D77A0EE6"/>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i w:val="0"/>
        <w:sz w:val="26"/>
        <w:szCs w:val="26"/>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5">
    <w:nsid w:val="069D5D96"/>
    <w:multiLevelType w:val="hybridMultilevel"/>
    <w:tmpl w:val="98B84B7C"/>
    <w:lvl w:ilvl="0" w:tplc="FCC6DB08">
      <w:start w:val="1"/>
      <w:numFmt w:val="decimal"/>
      <w:lvlText w:val="C1.K%1."/>
      <w:lvlJc w:val="left"/>
      <w:pPr>
        <w:ind w:left="360" w:hanging="360"/>
      </w:pPr>
      <w:rPr>
        <w:rFonts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176">
    <w:nsid w:val="06A22257"/>
    <w:multiLevelType w:val="hybridMultilevel"/>
    <w:tmpl w:val="42B23B0E"/>
    <w:lvl w:ilvl="0" w:tplc="FBE8798A">
      <w:start w:val="1"/>
      <w:numFmt w:val="decimal"/>
      <w:lvlText w:val="K+.2.%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7">
    <w:nsid w:val="06C01BB0"/>
    <w:multiLevelType w:val="hybridMultilevel"/>
    <w:tmpl w:val="CAB8906C"/>
    <w:lvl w:ilvl="0" w:tplc="D6A656B6">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8">
    <w:nsid w:val="071E461B"/>
    <w:multiLevelType w:val="hybridMultilevel"/>
    <w:tmpl w:val="C838BCA4"/>
    <w:lvl w:ilvl="0" w:tplc="801C38E4">
      <w:start w:val="1"/>
      <w:numFmt w:val="decimal"/>
      <w:lvlText w:val="%1."/>
      <w:lvlJc w:val="left"/>
      <w:pPr>
        <w:tabs>
          <w:tab w:val="num" w:pos="720"/>
        </w:tabs>
        <w:ind w:left="720" w:hanging="360"/>
      </w:pPr>
      <w:rPr>
        <w:rFonts w:hint="default"/>
        <w:b/>
      </w:rPr>
    </w:lvl>
    <w:lvl w:ilvl="1" w:tplc="D382AE3E">
      <w:start w:val="1"/>
      <w:numFmt w:val="lowerLetter"/>
      <w:lvlText w:val="%2."/>
      <w:lvlJc w:val="left"/>
      <w:pPr>
        <w:tabs>
          <w:tab w:val="num" w:pos="1440"/>
        </w:tabs>
        <w:ind w:left="1440" w:hanging="360"/>
      </w:pPr>
      <w:rPr>
        <w:rFonts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9">
    <w:nsid w:val="075871FB"/>
    <w:multiLevelType w:val="hybridMultilevel"/>
    <w:tmpl w:val="5A189F08"/>
    <w:lvl w:ilvl="0" w:tplc="96BAC3D6">
      <w:start w:val="1"/>
      <w:numFmt w:val="upperLetter"/>
      <w:lvlText w:val="%1."/>
      <w:lvlJc w:val="left"/>
      <w:pPr>
        <w:ind w:left="36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0">
    <w:nsid w:val="077C5F3F"/>
    <w:multiLevelType w:val="multilevel"/>
    <w:tmpl w:val="585E682A"/>
    <w:lvl w:ilvl="0">
      <w:start w:val="1"/>
      <w:numFmt w:val="decimal"/>
      <w:lvlText w:val="%1"/>
      <w:lvlJc w:val="left"/>
      <w:pPr>
        <w:ind w:left="555" w:hanging="555"/>
      </w:pPr>
      <w:rPr>
        <w:rFonts w:hint="default"/>
      </w:rPr>
    </w:lvl>
    <w:lvl w:ilvl="1">
      <w:start w:val="3"/>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1">
    <w:nsid w:val="078069D4"/>
    <w:multiLevelType w:val="hybridMultilevel"/>
    <w:tmpl w:val="5E381026"/>
    <w:lvl w:ilvl="0" w:tplc="C55856B8">
      <w:start w:val="1"/>
      <w:numFmt w:val="decimal"/>
      <w:lvlText w:val="K1.2.%1."/>
      <w:lvlJc w:val="left"/>
      <w:pPr>
        <w:ind w:left="785"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2">
    <w:nsid w:val="078C3988"/>
    <w:multiLevelType w:val="hybridMultilevel"/>
    <w:tmpl w:val="39F8388A"/>
    <w:lvl w:ilvl="0" w:tplc="67A6E99C">
      <w:start w:val="1"/>
      <w:numFmt w:val="bullet"/>
      <w:lvlText w:val=""/>
      <w:lvlJc w:val="left"/>
      <w:pPr>
        <w:tabs>
          <w:tab w:val="num" w:pos="1553"/>
        </w:tabs>
        <w:ind w:left="1553" w:hanging="360"/>
      </w:pPr>
      <w:rPr>
        <w:rFonts w:ascii="Wingdings" w:hAnsi="Wingdings" w:cs="Wingdings" w:hint="default"/>
        <w:color w:val="auto"/>
        <w:sz w:val="20"/>
      </w:rPr>
    </w:lvl>
    <w:lvl w:ilvl="1" w:tplc="D096B86E" w:tentative="1">
      <w:start w:val="1"/>
      <w:numFmt w:val="bullet"/>
      <w:lvlText w:val="o"/>
      <w:lvlJc w:val="left"/>
      <w:pPr>
        <w:tabs>
          <w:tab w:val="num" w:pos="1553"/>
        </w:tabs>
        <w:ind w:left="1553" w:hanging="360"/>
      </w:pPr>
      <w:rPr>
        <w:rFonts w:ascii="Courier New" w:hAnsi="Courier New" w:hint="default"/>
      </w:rPr>
    </w:lvl>
    <w:lvl w:ilvl="2" w:tplc="D12645CC" w:tentative="1">
      <w:start w:val="1"/>
      <w:numFmt w:val="bullet"/>
      <w:lvlText w:val=""/>
      <w:lvlJc w:val="left"/>
      <w:pPr>
        <w:tabs>
          <w:tab w:val="num" w:pos="2273"/>
        </w:tabs>
        <w:ind w:left="2273" w:hanging="360"/>
      </w:pPr>
      <w:rPr>
        <w:rFonts w:ascii="Wingdings" w:hAnsi="Wingdings" w:hint="default"/>
      </w:rPr>
    </w:lvl>
    <w:lvl w:ilvl="3" w:tplc="F55A2E58" w:tentative="1">
      <w:start w:val="1"/>
      <w:numFmt w:val="bullet"/>
      <w:lvlText w:val=""/>
      <w:lvlJc w:val="left"/>
      <w:pPr>
        <w:tabs>
          <w:tab w:val="num" w:pos="2993"/>
        </w:tabs>
        <w:ind w:left="2993" w:hanging="360"/>
      </w:pPr>
      <w:rPr>
        <w:rFonts w:ascii="Symbol" w:hAnsi="Symbol" w:hint="default"/>
      </w:rPr>
    </w:lvl>
    <w:lvl w:ilvl="4" w:tplc="51767474" w:tentative="1">
      <w:start w:val="1"/>
      <w:numFmt w:val="bullet"/>
      <w:lvlText w:val="o"/>
      <w:lvlJc w:val="left"/>
      <w:pPr>
        <w:tabs>
          <w:tab w:val="num" w:pos="3713"/>
        </w:tabs>
        <w:ind w:left="3713" w:hanging="360"/>
      </w:pPr>
      <w:rPr>
        <w:rFonts w:ascii="Courier New" w:hAnsi="Courier New" w:hint="default"/>
      </w:rPr>
    </w:lvl>
    <w:lvl w:ilvl="5" w:tplc="0024CE5A" w:tentative="1">
      <w:start w:val="1"/>
      <w:numFmt w:val="bullet"/>
      <w:lvlText w:val=""/>
      <w:lvlJc w:val="left"/>
      <w:pPr>
        <w:tabs>
          <w:tab w:val="num" w:pos="4433"/>
        </w:tabs>
        <w:ind w:left="4433" w:hanging="360"/>
      </w:pPr>
      <w:rPr>
        <w:rFonts w:ascii="Wingdings" w:hAnsi="Wingdings" w:hint="default"/>
      </w:rPr>
    </w:lvl>
    <w:lvl w:ilvl="6" w:tplc="DC22A18A" w:tentative="1">
      <w:start w:val="1"/>
      <w:numFmt w:val="bullet"/>
      <w:lvlText w:val=""/>
      <w:lvlJc w:val="left"/>
      <w:pPr>
        <w:tabs>
          <w:tab w:val="num" w:pos="5153"/>
        </w:tabs>
        <w:ind w:left="5153" w:hanging="360"/>
      </w:pPr>
      <w:rPr>
        <w:rFonts w:ascii="Symbol" w:hAnsi="Symbol" w:hint="default"/>
      </w:rPr>
    </w:lvl>
    <w:lvl w:ilvl="7" w:tplc="B9D8153C" w:tentative="1">
      <w:start w:val="1"/>
      <w:numFmt w:val="bullet"/>
      <w:lvlText w:val="o"/>
      <w:lvlJc w:val="left"/>
      <w:pPr>
        <w:tabs>
          <w:tab w:val="num" w:pos="5873"/>
        </w:tabs>
        <w:ind w:left="5873" w:hanging="360"/>
      </w:pPr>
      <w:rPr>
        <w:rFonts w:ascii="Courier New" w:hAnsi="Courier New" w:hint="default"/>
      </w:rPr>
    </w:lvl>
    <w:lvl w:ilvl="8" w:tplc="08702538" w:tentative="1">
      <w:start w:val="1"/>
      <w:numFmt w:val="bullet"/>
      <w:lvlText w:val=""/>
      <w:lvlJc w:val="left"/>
      <w:pPr>
        <w:tabs>
          <w:tab w:val="num" w:pos="6593"/>
        </w:tabs>
        <w:ind w:left="6593" w:hanging="360"/>
      </w:pPr>
      <w:rPr>
        <w:rFonts w:ascii="Wingdings" w:hAnsi="Wingdings" w:hint="default"/>
      </w:rPr>
    </w:lvl>
  </w:abstractNum>
  <w:abstractNum w:abstractNumId="183">
    <w:nsid w:val="07F026BC"/>
    <w:multiLevelType w:val="hybridMultilevel"/>
    <w:tmpl w:val="6B5E8294"/>
    <w:lvl w:ilvl="0" w:tplc="2A9CF4AE">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84">
    <w:nsid w:val="08137407"/>
    <w:multiLevelType w:val="hybridMultilevel"/>
    <w:tmpl w:val="F16C7A68"/>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5">
    <w:nsid w:val="084B4AEE"/>
    <w:multiLevelType w:val="hybridMultilevel"/>
    <w:tmpl w:val="DC5680A4"/>
    <w:lvl w:ilvl="0" w:tplc="B9EE8CDE">
      <w:start w:val="1"/>
      <w:numFmt w:val="bullet"/>
      <w:lvlText w:val=""/>
      <w:lvlJc w:val="left"/>
      <w:pPr>
        <w:tabs>
          <w:tab w:val="num" w:pos="720"/>
        </w:tabs>
        <w:ind w:left="720" w:hanging="360"/>
      </w:pPr>
      <w:rPr>
        <w:rFonts w:ascii="Wingdings" w:hAnsi="Wingdings" w:cs="Wingdings" w:hint="default"/>
        <w:color w:val="auto"/>
        <w:sz w:val="20"/>
      </w:rPr>
    </w:lvl>
    <w:lvl w:ilvl="1" w:tplc="620CD5C2">
      <w:start w:val="1"/>
      <w:numFmt w:val="bullet"/>
      <w:lvlText w:val="o"/>
      <w:lvlJc w:val="left"/>
      <w:pPr>
        <w:tabs>
          <w:tab w:val="num" w:pos="1440"/>
        </w:tabs>
        <w:ind w:left="1440" w:hanging="360"/>
      </w:pPr>
      <w:rPr>
        <w:rFonts w:ascii="Courier New" w:hAnsi="Courier New" w:cs="Courier New" w:hint="default"/>
      </w:rPr>
    </w:lvl>
    <w:lvl w:ilvl="2" w:tplc="1AFA3AB6">
      <w:start w:val="1"/>
      <w:numFmt w:val="bullet"/>
      <w:lvlText w:val=""/>
      <w:lvlJc w:val="left"/>
      <w:pPr>
        <w:tabs>
          <w:tab w:val="num" w:pos="2160"/>
        </w:tabs>
        <w:ind w:left="2160" w:hanging="360"/>
      </w:pPr>
      <w:rPr>
        <w:rFonts w:ascii="Wingdings" w:hAnsi="Wingdings" w:cs="Wingdings" w:hint="default"/>
      </w:rPr>
    </w:lvl>
    <w:lvl w:ilvl="3" w:tplc="B7B29C3E">
      <w:start w:val="1"/>
      <w:numFmt w:val="bullet"/>
      <w:lvlText w:val=""/>
      <w:lvlJc w:val="left"/>
      <w:pPr>
        <w:tabs>
          <w:tab w:val="num" w:pos="2880"/>
        </w:tabs>
        <w:ind w:left="2880" w:hanging="360"/>
      </w:pPr>
      <w:rPr>
        <w:rFonts w:ascii="Symbol" w:hAnsi="Symbol" w:cs="Symbol" w:hint="default"/>
      </w:rPr>
    </w:lvl>
    <w:lvl w:ilvl="4" w:tplc="7B1EC8B0">
      <w:start w:val="1"/>
      <w:numFmt w:val="bullet"/>
      <w:lvlText w:val="o"/>
      <w:lvlJc w:val="left"/>
      <w:pPr>
        <w:tabs>
          <w:tab w:val="num" w:pos="3600"/>
        </w:tabs>
        <w:ind w:left="3600" w:hanging="360"/>
      </w:pPr>
      <w:rPr>
        <w:rFonts w:ascii="Courier New" w:hAnsi="Courier New" w:cs="Courier New" w:hint="default"/>
      </w:rPr>
    </w:lvl>
    <w:lvl w:ilvl="5" w:tplc="961899DE">
      <w:start w:val="1"/>
      <w:numFmt w:val="bullet"/>
      <w:lvlText w:val=""/>
      <w:lvlJc w:val="left"/>
      <w:pPr>
        <w:tabs>
          <w:tab w:val="num" w:pos="4320"/>
        </w:tabs>
        <w:ind w:left="4320" w:hanging="360"/>
      </w:pPr>
      <w:rPr>
        <w:rFonts w:ascii="Wingdings" w:hAnsi="Wingdings" w:cs="Wingdings" w:hint="default"/>
      </w:rPr>
    </w:lvl>
    <w:lvl w:ilvl="6" w:tplc="4DFE9B30">
      <w:start w:val="1"/>
      <w:numFmt w:val="bullet"/>
      <w:lvlText w:val=""/>
      <w:lvlJc w:val="left"/>
      <w:pPr>
        <w:tabs>
          <w:tab w:val="num" w:pos="5040"/>
        </w:tabs>
        <w:ind w:left="5040" w:hanging="360"/>
      </w:pPr>
      <w:rPr>
        <w:rFonts w:ascii="Symbol" w:hAnsi="Symbol" w:cs="Symbol" w:hint="default"/>
      </w:rPr>
    </w:lvl>
    <w:lvl w:ilvl="7" w:tplc="FCF03680">
      <w:start w:val="1"/>
      <w:numFmt w:val="bullet"/>
      <w:lvlText w:val="o"/>
      <w:lvlJc w:val="left"/>
      <w:pPr>
        <w:tabs>
          <w:tab w:val="num" w:pos="5760"/>
        </w:tabs>
        <w:ind w:left="5760" w:hanging="360"/>
      </w:pPr>
      <w:rPr>
        <w:rFonts w:ascii="Courier New" w:hAnsi="Courier New" w:cs="Courier New" w:hint="default"/>
      </w:rPr>
    </w:lvl>
    <w:lvl w:ilvl="8" w:tplc="4D948EB2">
      <w:start w:val="1"/>
      <w:numFmt w:val="bullet"/>
      <w:lvlText w:val=""/>
      <w:lvlJc w:val="left"/>
      <w:pPr>
        <w:tabs>
          <w:tab w:val="num" w:pos="6480"/>
        </w:tabs>
        <w:ind w:left="6480" w:hanging="360"/>
      </w:pPr>
      <w:rPr>
        <w:rFonts w:ascii="Wingdings" w:hAnsi="Wingdings" w:cs="Wingdings" w:hint="default"/>
      </w:rPr>
    </w:lvl>
  </w:abstractNum>
  <w:abstractNum w:abstractNumId="186">
    <w:nsid w:val="08705139"/>
    <w:multiLevelType w:val="hybridMultilevel"/>
    <w:tmpl w:val="573E81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7">
    <w:nsid w:val="0873588A"/>
    <w:multiLevelType w:val="hybridMultilevel"/>
    <w:tmpl w:val="EF46130C"/>
    <w:lvl w:ilvl="0" w:tplc="21DE8A86">
      <w:start w:val="1"/>
      <w:numFmt w:val="bullet"/>
      <w:lvlText w:val=""/>
      <w:lvlJc w:val="left"/>
      <w:pPr>
        <w:ind w:left="720" w:hanging="360"/>
      </w:pPr>
      <w:rPr>
        <w:rFonts w:ascii="Wingdings" w:hAnsi="Wingdings" w:hint="default"/>
        <w:sz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8">
    <w:nsid w:val="08794C10"/>
    <w:multiLevelType w:val="multilevel"/>
    <w:tmpl w:val="883C0320"/>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9">
    <w:nsid w:val="08887EB1"/>
    <w:multiLevelType w:val="hybridMultilevel"/>
    <w:tmpl w:val="67548F7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0">
    <w:nsid w:val="088F7567"/>
    <w:multiLevelType w:val="hybridMultilevel"/>
    <w:tmpl w:val="90F0E0C2"/>
    <w:lvl w:ilvl="0" w:tplc="F3F4976E">
      <w:start w:val="1"/>
      <w:numFmt w:val="decimal"/>
      <w:lvlText w:val="%1."/>
      <w:lvlJc w:val="left"/>
      <w:pPr>
        <w:tabs>
          <w:tab w:val="num" w:pos="720"/>
        </w:tabs>
        <w:ind w:left="720" w:hanging="360"/>
      </w:pPr>
    </w:lvl>
    <w:lvl w:ilvl="1" w:tplc="D8D4BD52" w:tentative="1">
      <w:start w:val="1"/>
      <w:numFmt w:val="decimal"/>
      <w:lvlText w:val="%2."/>
      <w:lvlJc w:val="left"/>
      <w:pPr>
        <w:tabs>
          <w:tab w:val="num" w:pos="1440"/>
        </w:tabs>
        <w:ind w:left="1440" w:hanging="360"/>
      </w:pPr>
    </w:lvl>
    <w:lvl w:ilvl="2" w:tplc="61BCE8BE" w:tentative="1">
      <w:start w:val="1"/>
      <w:numFmt w:val="decimal"/>
      <w:lvlText w:val="%3."/>
      <w:lvlJc w:val="left"/>
      <w:pPr>
        <w:tabs>
          <w:tab w:val="num" w:pos="2160"/>
        </w:tabs>
        <w:ind w:left="2160" w:hanging="360"/>
      </w:pPr>
    </w:lvl>
    <w:lvl w:ilvl="3" w:tplc="737A8284" w:tentative="1">
      <w:start w:val="1"/>
      <w:numFmt w:val="decimal"/>
      <w:lvlText w:val="%4."/>
      <w:lvlJc w:val="left"/>
      <w:pPr>
        <w:tabs>
          <w:tab w:val="num" w:pos="2880"/>
        </w:tabs>
        <w:ind w:left="2880" w:hanging="360"/>
      </w:pPr>
    </w:lvl>
    <w:lvl w:ilvl="4" w:tplc="9D6A8548" w:tentative="1">
      <w:start w:val="1"/>
      <w:numFmt w:val="decimal"/>
      <w:lvlText w:val="%5."/>
      <w:lvlJc w:val="left"/>
      <w:pPr>
        <w:tabs>
          <w:tab w:val="num" w:pos="3600"/>
        </w:tabs>
        <w:ind w:left="3600" w:hanging="360"/>
      </w:pPr>
    </w:lvl>
    <w:lvl w:ilvl="5" w:tplc="ABF6980C" w:tentative="1">
      <w:start w:val="1"/>
      <w:numFmt w:val="decimal"/>
      <w:lvlText w:val="%6."/>
      <w:lvlJc w:val="left"/>
      <w:pPr>
        <w:tabs>
          <w:tab w:val="num" w:pos="4320"/>
        </w:tabs>
        <w:ind w:left="4320" w:hanging="360"/>
      </w:pPr>
    </w:lvl>
    <w:lvl w:ilvl="6" w:tplc="92763B14" w:tentative="1">
      <w:start w:val="1"/>
      <w:numFmt w:val="decimal"/>
      <w:lvlText w:val="%7."/>
      <w:lvlJc w:val="left"/>
      <w:pPr>
        <w:tabs>
          <w:tab w:val="num" w:pos="5040"/>
        </w:tabs>
        <w:ind w:left="5040" w:hanging="360"/>
      </w:pPr>
    </w:lvl>
    <w:lvl w:ilvl="7" w:tplc="D7569998" w:tentative="1">
      <w:start w:val="1"/>
      <w:numFmt w:val="decimal"/>
      <w:lvlText w:val="%8."/>
      <w:lvlJc w:val="left"/>
      <w:pPr>
        <w:tabs>
          <w:tab w:val="num" w:pos="5760"/>
        </w:tabs>
        <w:ind w:left="5760" w:hanging="360"/>
      </w:pPr>
    </w:lvl>
    <w:lvl w:ilvl="8" w:tplc="E4261210" w:tentative="1">
      <w:start w:val="1"/>
      <w:numFmt w:val="decimal"/>
      <w:lvlText w:val="%9."/>
      <w:lvlJc w:val="left"/>
      <w:pPr>
        <w:tabs>
          <w:tab w:val="num" w:pos="6480"/>
        </w:tabs>
        <w:ind w:left="6480" w:hanging="360"/>
      </w:pPr>
    </w:lvl>
  </w:abstractNum>
  <w:abstractNum w:abstractNumId="191">
    <w:nsid w:val="08A7159D"/>
    <w:multiLevelType w:val="hybridMultilevel"/>
    <w:tmpl w:val="874E6570"/>
    <w:lvl w:ilvl="0" w:tplc="00000002">
      <w:start w:val="1"/>
      <w:numFmt w:val="bullet"/>
      <w:lvlText w:val=""/>
      <w:lvlJc w:val="left"/>
      <w:pPr>
        <w:ind w:left="720" w:hanging="360"/>
      </w:pPr>
      <w:rPr>
        <w:rFonts w:ascii="Symbol" w:hAnsi="Symbol" w:cs="Times New Roman"/>
      </w:rPr>
    </w:lvl>
    <w:lvl w:ilvl="1" w:tplc="04150005">
      <w:start w:val="1"/>
      <w:numFmt w:val="bullet"/>
      <w:lvlText w:val=""/>
      <w:lvlJc w:val="left"/>
      <w:pPr>
        <w:ind w:left="1440" w:hanging="360"/>
      </w:pPr>
      <w:rPr>
        <w:rFonts w:ascii="Wingdings" w:hAnsi="Wingdings" w:hint="default"/>
        <w:color w:val="auto"/>
        <w:szCs w:val="20"/>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2">
    <w:nsid w:val="08EE4391"/>
    <w:multiLevelType w:val="hybridMultilevel"/>
    <w:tmpl w:val="8B48BA82"/>
    <w:lvl w:ilvl="0" w:tplc="7D62B6E8">
      <w:start w:val="3"/>
      <w:numFmt w:val="upperRoman"/>
      <w:lvlText w:val="%1."/>
      <w:lvlJc w:val="right"/>
      <w:pPr>
        <w:tabs>
          <w:tab w:val="num" w:pos="720"/>
        </w:tabs>
        <w:ind w:left="720" w:hanging="360"/>
      </w:pPr>
    </w:lvl>
    <w:lvl w:ilvl="1" w:tplc="66D21E08" w:tentative="1">
      <w:start w:val="1"/>
      <w:numFmt w:val="upperRoman"/>
      <w:lvlText w:val="%2."/>
      <w:lvlJc w:val="right"/>
      <w:pPr>
        <w:tabs>
          <w:tab w:val="num" w:pos="1440"/>
        </w:tabs>
        <w:ind w:left="1440" w:hanging="360"/>
      </w:pPr>
    </w:lvl>
    <w:lvl w:ilvl="2" w:tplc="8C4008EA" w:tentative="1">
      <w:start w:val="1"/>
      <w:numFmt w:val="upperRoman"/>
      <w:lvlText w:val="%3."/>
      <w:lvlJc w:val="right"/>
      <w:pPr>
        <w:tabs>
          <w:tab w:val="num" w:pos="2160"/>
        </w:tabs>
        <w:ind w:left="2160" w:hanging="360"/>
      </w:pPr>
    </w:lvl>
    <w:lvl w:ilvl="3" w:tplc="564C063E" w:tentative="1">
      <w:start w:val="1"/>
      <w:numFmt w:val="upperRoman"/>
      <w:lvlText w:val="%4."/>
      <w:lvlJc w:val="right"/>
      <w:pPr>
        <w:tabs>
          <w:tab w:val="num" w:pos="2880"/>
        </w:tabs>
        <w:ind w:left="2880" w:hanging="360"/>
      </w:pPr>
    </w:lvl>
    <w:lvl w:ilvl="4" w:tplc="EFB8F1E4" w:tentative="1">
      <w:start w:val="1"/>
      <w:numFmt w:val="upperRoman"/>
      <w:lvlText w:val="%5."/>
      <w:lvlJc w:val="right"/>
      <w:pPr>
        <w:tabs>
          <w:tab w:val="num" w:pos="3600"/>
        </w:tabs>
        <w:ind w:left="3600" w:hanging="360"/>
      </w:pPr>
    </w:lvl>
    <w:lvl w:ilvl="5" w:tplc="528AD5BC" w:tentative="1">
      <w:start w:val="1"/>
      <w:numFmt w:val="upperRoman"/>
      <w:lvlText w:val="%6."/>
      <w:lvlJc w:val="right"/>
      <w:pPr>
        <w:tabs>
          <w:tab w:val="num" w:pos="4320"/>
        </w:tabs>
        <w:ind w:left="4320" w:hanging="360"/>
      </w:pPr>
    </w:lvl>
    <w:lvl w:ilvl="6" w:tplc="2B7CC186" w:tentative="1">
      <w:start w:val="1"/>
      <w:numFmt w:val="upperRoman"/>
      <w:lvlText w:val="%7."/>
      <w:lvlJc w:val="right"/>
      <w:pPr>
        <w:tabs>
          <w:tab w:val="num" w:pos="5040"/>
        </w:tabs>
        <w:ind w:left="5040" w:hanging="360"/>
      </w:pPr>
    </w:lvl>
    <w:lvl w:ilvl="7" w:tplc="CE5C5D96" w:tentative="1">
      <w:start w:val="1"/>
      <w:numFmt w:val="upperRoman"/>
      <w:lvlText w:val="%8."/>
      <w:lvlJc w:val="right"/>
      <w:pPr>
        <w:tabs>
          <w:tab w:val="num" w:pos="5760"/>
        </w:tabs>
        <w:ind w:left="5760" w:hanging="360"/>
      </w:pPr>
    </w:lvl>
    <w:lvl w:ilvl="8" w:tplc="BB74CFE0" w:tentative="1">
      <w:start w:val="1"/>
      <w:numFmt w:val="upperRoman"/>
      <w:lvlText w:val="%9."/>
      <w:lvlJc w:val="right"/>
      <w:pPr>
        <w:tabs>
          <w:tab w:val="num" w:pos="6480"/>
        </w:tabs>
        <w:ind w:left="6480" w:hanging="360"/>
      </w:pPr>
    </w:lvl>
  </w:abstractNum>
  <w:abstractNum w:abstractNumId="193">
    <w:nsid w:val="09135718"/>
    <w:multiLevelType w:val="hybridMultilevel"/>
    <w:tmpl w:val="C1D6AEBA"/>
    <w:lvl w:ilvl="0" w:tplc="04150005">
      <w:start w:val="1"/>
      <w:numFmt w:val="bullet"/>
      <w:lvlText w:val=""/>
      <w:lvlJc w:val="left"/>
      <w:pPr>
        <w:tabs>
          <w:tab w:val="num" w:pos="720"/>
        </w:tabs>
        <w:ind w:left="720" w:hanging="360"/>
      </w:pPr>
      <w:rPr>
        <w:rFonts w:ascii="Wingdings" w:hAnsi="Wingdings" w:hint="default"/>
        <w:color w:val="auto"/>
      </w:rPr>
    </w:lvl>
    <w:lvl w:ilvl="1" w:tplc="04150019">
      <w:start w:val="1"/>
      <w:numFmt w:val="lowerLetter"/>
      <w:lvlText w:val="%2."/>
      <w:lvlJc w:val="left"/>
      <w:pPr>
        <w:tabs>
          <w:tab w:val="num" w:pos="1440"/>
        </w:tabs>
        <w:ind w:left="1440" w:hanging="360"/>
      </w:pPr>
      <w:rPr>
        <w:rFonts w:ascii="Times New Roman" w:hAnsi="Times New Roman" w:cs="Times New Roman"/>
      </w:rPr>
    </w:lvl>
    <w:lvl w:ilvl="2" w:tplc="0415001B">
      <w:start w:val="1"/>
      <w:numFmt w:val="lowerRoman"/>
      <w:lvlText w:val="%3."/>
      <w:lvlJc w:val="right"/>
      <w:pPr>
        <w:tabs>
          <w:tab w:val="num" w:pos="2160"/>
        </w:tabs>
        <w:ind w:left="2160" w:hanging="180"/>
      </w:pPr>
      <w:rPr>
        <w:rFonts w:ascii="Times New Roman" w:hAnsi="Times New Roman" w:cs="Times New Roman"/>
      </w:rPr>
    </w:lvl>
    <w:lvl w:ilvl="3" w:tplc="0415000F">
      <w:start w:val="1"/>
      <w:numFmt w:val="decimal"/>
      <w:lvlText w:val="%4."/>
      <w:lvlJc w:val="left"/>
      <w:pPr>
        <w:tabs>
          <w:tab w:val="num" w:pos="2880"/>
        </w:tabs>
        <w:ind w:left="2880" w:hanging="360"/>
      </w:pPr>
      <w:rPr>
        <w:rFonts w:ascii="Times New Roman" w:hAnsi="Times New Roman" w:cs="Times New Roman"/>
      </w:rPr>
    </w:lvl>
    <w:lvl w:ilvl="4" w:tplc="04150019">
      <w:start w:val="1"/>
      <w:numFmt w:val="lowerLetter"/>
      <w:lvlText w:val="%5."/>
      <w:lvlJc w:val="left"/>
      <w:pPr>
        <w:tabs>
          <w:tab w:val="num" w:pos="3600"/>
        </w:tabs>
        <w:ind w:left="3600" w:hanging="360"/>
      </w:pPr>
      <w:rPr>
        <w:rFonts w:ascii="Times New Roman" w:hAnsi="Times New Roman" w:cs="Times New Roman"/>
      </w:rPr>
    </w:lvl>
    <w:lvl w:ilvl="5" w:tplc="0415001B">
      <w:start w:val="1"/>
      <w:numFmt w:val="lowerRoman"/>
      <w:lvlText w:val="%6."/>
      <w:lvlJc w:val="right"/>
      <w:pPr>
        <w:tabs>
          <w:tab w:val="num" w:pos="4320"/>
        </w:tabs>
        <w:ind w:left="4320" w:hanging="18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lowerLetter"/>
      <w:lvlText w:val="%8."/>
      <w:lvlJc w:val="left"/>
      <w:pPr>
        <w:tabs>
          <w:tab w:val="num" w:pos="5760"/>
        </w:tabs>
        <w:ind w:left="5760" w:hanging="360"/>
      </w:pPr>
      <w:rPr>
        <w:rFonts w:ascii="Times New Roman" w:hAnsi="Times New Roman" w:cs="Times New Roman"/>
      </w:rPr>
    </w:lvl>
    <w:lvl w:ilvl="8" w:tplc="0415001B">
      <w:start w:val="1"/>
      <w:numFmt w:val="lowerRoman"/>
      <w:lvlText w:val="%9."/>
      <w:lvlJc w:val="right"/>
      <w:pPr>
        <w:tabs>
          <w:tab w:val="num" w:pos="6480"/>
        </w:tabs>
        <w:ind w:left="6480" w:hanging="180"/>
      </w:pPr>
      <w:rPr>
        <w:rFonts w:ascii="Times New Roman" w:hAnsi="Times New Roman" w:cs="Times New Roman"/>
      </w:rPr>
    </w:lvl>
  </w:abstractNum>
  <w:abstractNum w:abstractNumId="194">
    <w:nsid w:val="093C7688"/>
    <w:multiLevelType w:val="hybridMultilevel"/>
    <w:tmpl w:val="2AAC8D2C"/>
    <w:lvl w:ilvl="0" w:tplc="D6A656B6">
      <w:numFmt w:val="bullet"/>
      <w:lvlText w:val="-"/>
      <w:lvlJc w:val="left"/>
      <w:pPr>
        <w:ind w:left="765" w:hanging="360"/>
      </w:pPr>
      <w:rPr>
        <w:rFonts w:ascii="Times New Roman" w:eastAsia="Times New Roman" w:hAnsi="Times New Roman" w:cs="Times New Roman"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195">
    <w:nsid w:val="097511B3"/>
    <w:multiLevelType w:val="hybridMultilevel"/>
    <w:tmpl w:val="5C38477E"/>
    <w:lvl w:ilvl="0" w:tplc="3BA23654">
      <w:start w:val="1"/>
      <w:numFmt w:val="bullet"/>
      <w:lvlText w:val="-"/>
      <w:lvlJc w:val="left"/>
      <w:pPr>
        <w:ind w:left="720" w:hanging="360"/>
      </w:pPr>
      <w:rPr>
        <w:rFonts w:ascii="Verdana" w:hAnsi="Verdana"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96">
    <w:nsid w:val="09884877"/>
    <w:multiLevelType w:val="hybridMultilevel"/>
    <w:tmpl w:val="9F4826BE"/>
    <w:lvl w:ilvl="0" w:tplc="BFE67356">
      <w:start w:val="1"/>
      <w:numFmt w:val="bullet"/>
      <w:lvlText w:val=""/>
      <w:lvlJc w:val="left"/>
      <w:pPr>
        <w:ind w:left="720" w:hanging="360"/>
      </w:pPr>
      <w:rPr>
        <w:rFonts w:ascii="Wingdings" w:hAnsi="Wingdings" w:hint="default"/>
        <w:sz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7">
    <w:nsid w:val="09DE2E44"/>
    <w:multiLevelType w:val="multilevel"/>
    <w:tmpl w:val="A8B84874"/>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val="0"/>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8">
    <w:nsid w:val="0A285185"/>
    <w:multiLevelType w:val="hybridMultilevel"/>
    <w:tmpl w:val="3EE6861C"/>
    <w:lvl w:ilvl="0" w:tplc="438E0998">
      <w:start w:val="1"/>
      <w:numFmt w:val="bullet"/>
      <w:lvlText w:val=""/>
      <w:lvlJc w:val="left"/>
      <w:pPr>
        <w:tabs>
          <w:tab w:val="num" w:pos="720"/>
        </w:tabs>
        <w:ind w:left="720" w:hanging="360"/>
      </w:pPr>
      <w:rPr>
        <w:rFonts w:ascii="Symbol" w:hAnsi="Symbol" w:hint="default"/>
        <w:sz w:val="20"/>
      </w:rPr>
    </w:lvl>
    <w:lvl w:ilvl="1" w:tplc="6338B29E" w:tentative="1">
      <w:start w:val="1"/>
      <w:numFmt w:val="bullet"/>
      <w:lvlText w:val="o"/>
      <w:lvlJc w:val="left"/>
      <w:pPr>
        <w:tabs>
          <w:tab w:val="num" w:pos="1440"/>
        </w:tabs>
        <w:ind w:left="1440" w:hanging="360"/>
      </w:pPr>
      <w:rPr>
        <w:rFonts w:ascii="Courier New" w:hAnsi="Courier New" w:hint="default"/>
        <w:sz w:val="20"/>
      </w:rPr>
    </w:lvl>
    <w:lvl w:ilvl="2" w:tplc="F32A3B68" w:tentative="1">
      <w:start w:val="1"/>
      <w:numFmt w:val="bullet"/>
      <w:lvlText w:val=""/>
      <w:lvlJc w:val="left"/>
      <w:pPr>
        <w:tabs>
          <w:tab w:val="num" w:pos="2160"/>
        </w:tabs>
        <w:ind w:left="2160" w:hanging="360"/>
      </w:pPr>
      <w:rPr>
        <w:rFonts w:ascii="Wingdings" w:hAnsi="Wingdings" w:hint="default"/>
        <w:sz w:val="20"/>
      </w:rPr>
    </w:lvl>
    <w:lvl w:ilvl="3" w:tplc="8956453C" w:tentative="1">
      <w:start w:val="1"/>
      <w:numFmt w:val="bullet"/>
      <w:lvlText w:val=""/>
      <w:lvlJc w:val="left"/>
      <w:pPr>
        <w:tabs>
          <w:tab w:val="num" w:pos="2880"/>
        </w:tabs>
        <w:ind w:left="2880" w:hanging="360"/>
      </w:pPr>
      <w:rPr>
        <w:rFonts w:ascii="Wingdings" w:hAnsi="Wingdings" w:hint="default"/>
        <w:sz w:val="20"/>
      </w:rPr>
    </w:lvl>
    <w:lvl w:ilvl="4" w:tplc="865ACCBC" w:tentative="1">
      <w:start w:val="1"/>
      <w:numFmt w:val="bullet"/>
      <w:lvlText w:val=""/>
      <w:lvlJc w:val="left"/>
      <w:pPr>
        <w:tabs>
          <w:tab w:val="num" w:pos="3600"/>
        </w:tabs>
        <w:ind w:left="3600" w:hanging="360"/>
      </w:pPr>
      <w:rPr>
        <w:rFonts w:ascii="Wingdings" w:hAnsi="Wingdings" w:hint="default"/>
        <w:sz w:val="20"/>
      </w:rPr>
    </w:lvl>
    <w:lvl w:ilvl="5" w:tplc="F4FE34B0" w:tentative="1">
      <w:start w:val="1"/>
      <w:numFmt w:val="bullet"/>
      <w:lvlText w:val=""/>
      <w:lvlJc w:val="left"/>
      <w:pPr>
        <w:tabs>
          <w:tab w:val="num" w:pos="4320"/>
        </w:tabs>
        <w:ind w:left="4320" w:hanging="360"/>
      </w:pPr>
      <w:rPr>
        <w:rFonts w:ascii="Wingdings" w:hAnsi="Wingdings" w:hint="default"/>
        <w:sz w:val="20"/>
      </w:rPr>
    </w:lvl>
    <w:lvl w:ilvl="6" w:tplc="B9E079E6" w:tentative="1">
      <w:start w:val="1"/>
      <w:numFmt w:val="bullet"/>
      <w:lvlText w:val=""/>
      <w:lvlJc w:val="left"/>
      <w:pPr>
        <w:tabs>
          <w:tab w:val="num" w:pos="5040"/>
        </w:tabs>
        <w:ind w:left="5040" w:hanging="360"/>
      </w:pPr>
      <w:rPr>
        <w:rFonts w:ascii="Wingdings" w:hAnsi="Wingdings" w:hint="default"/>
        <w:sz w:val="20"/>
      </w:rPr>
    </w:lvl>
    <w:lvl w:ilvl="7" w:tplc="D71A7DD4" w:tentative="1">
      <w:start w:val="1"/>
      <w:numFmt w:val="bullet"/>
      <w:lvlText w:val=""/>
      <w:lvlJc w:val="left"/>
      <w:pPr>
        <w:tabs>
          <w:tab w:val="num" w:pos="5760"/>
        </w:tabs>
        <w:ind w:left="5760" w:hanging="360"/>
      </w:pPr>
      <w:rPr>
        <w:rFonts w:ascii="Wingdings" w:hAnsi="Wingdings" w:hint="default"/>
        <w:sz w:val="20"/>
      </w:rPr>
    </w:lvl>
    <w:lvl w:ilvl="8" w:tplc="BC8CCB00" w:tentative="1">
      <w:start w:val="1"/>
      <w:numFmt w:val="bullet"/>
      <w:lvlText w:val=""/>
      <w:lvlJc w:val="left"/>
      <w:pPr>
        <w:tabs>
          <w:tab w:val="num" w:pos="6480"/>
        </w:tabs>
        <w:ind w:left="6480" w:hanging="360"/>
      </w:pPr>
      <w:rPr>
        <w:rFonts w:ascii="Wingdings" w:hAnsi="Wingdings" w:hint="default"/>
        <w:sz w:val="20"/>
      </w:rPr>
    </w:lvl>
  </w:abstractNum>
  <w:abstractNum w:abstractNumId="199">
    <w:nsid w:val="0A2A1552"/>
    <w:multiLevelType w:val="hybridMultilevel"/>
    <w:tmpl w:val="A774896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0">
    <w:nsid w:val="0A7C782C"/>
    <w:multiLevelType w:val="hybridMultilevel"/>
    <w:tmpl w:val="0F962B7E"/>
    <w:lvl w:ilvl="0" w:tplc="3BA23654">
      <w:start w:val="1"/>
      <w:numFmt w:val="bullet"/>
      <w:lvlText w:val="-"/>
      <w:lvlJc w:val="left"/>
      <w:pPr>
        <w:ind w:left="720" w:hanging="360"/>
      </w:pPr>
      <w:rPr>
        <w:rFonts w:ascii="Verdana" w:hAnsi="Verdana"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01">
    <w:nsid w:val="0AAD4B0F"/>
    <w:multiLevelType w:val="hybridMultilevel"/>
    <w:tmpl w:val="6074BAAE"/>
    <w:lvl w:ilvl="0" w:tplc="D6A656B6">
      <w:numFmt w:val="bullet"/>
      <w:lvlText w:val="-"/>
      <w:lvlJc w:val="left"/>
      <w:pPr>
        <w:tabs>
          <w:tab w:val="num" w:pos="720"/>
        </w:tabs>
        <w:ind w:left="720" w:hanging="360"/>
      </w:pPr>
      <w:rPr>
        <w:rFonts w:ascii="Times New Roman" w:eastAsia="Times New Roman" w:hAnsi="Times New Roman" w:cs="Times New Roman" w:hint="default"/>
        <w:sz w:val="20"/>
      </w:rPr>
    </w:lvl>
    <w:lvl w:ilvl="1" w:tplc="A49C6596" w:tentative="1">
      <w:start w:val="1"/>
      <w:numFmt w:val="bullet"/>
      <w:lvlText w:val="o"/>
      <w:lvlJc w:val="left"/>
      <w:pPr>
        <w:tabs>
          <w:tab w:val="num" w:pos="1440"/>
        </w:tabs>
        <w:ind w:left="1440" w:hanging="360"/>
      </w:pPr>
      <w:rPr>
        <w:rFonts w:ascii="Courier New" w:hAnsi="Courier New" w:hint="default"/>
        <w:sz w:val="20"/>
      </w:rPr>
    </w:lvl>
    <w:lvl w:ilvl="2" w:tplc="98E28200" w:tentative="1">
      <w:start w:val="1"/>
      <w:numFmt w:val="bullet"/>
      <w:lvlText w:val=""/>
      <w:lvlJc w:val="left"/>
      <w:pPr>
        <w:tabs>
          <w:tab w:val="num" w:pos="2160"/>
        </w:tabs>
        <w:ind w:left="2160" w:hanging="360"/>
      </w:pPr>
      <w:rPr>
        <w:rFonts w:ascii="Wingdings" w:hAnsi="Wingdings" w:hint="default"/>
        <w:sz w:val="20"/>
      </w:rPr>
    </w:lvl>
    <w:lvl w:ilvl="3" w:tplc="D2942638" w:tentative="1">
      <w:start w:val="1"/>
      <w:numFmt w:val="bullet"/>
      <w:lvlText w:val=""/>
      <w:lvlJc w:val="left"/>
      <w:pPr>
        <w:tabs>
          <w:tab w:val="num" w:pos="2880"/>
        </w:tabs>
        <w:ind w:left="2880" w:hanging="360"/>
      </w:pPr>
      <w:rPr>
        <w:rFonts w:ascii="Wingdings" w:hAnsi="Wingdings" w:hint="default"/>
        <w:sz w:val="20"/>
      </w:rPr>
    </w:lvl>
    <w:lvl w:ilvl="4" w:tplc="7A6E6D92" w:tentative="1">
      <w:start w:val="1"/>
      <w:numFmt w:val="bullet"/>
      <w:lvlText w:val=""/>
      <w:lvlJc w:val="left"/>
      <w:pPr>
        <w:tabs>
          <w:tab w:val="num" w:pos="3600"/>
        </w:tabs>
        <w:ind w:left="3600" w:hanging="360"/>
      </w:pPr>
      <w:rPr>
        <w:rFonts w:ascii="Wingdings" w:hAnsi="Wingdings" w:hint="default"/>
        <w:sz w:val="20"/>
      </w:rPr>
    </w:lvl>
    <w:lvl w:ilvl="5" w:tplc="0FE40EC8" w:tentative="1">
      <w:start w:val="1"/>
      <w:numFmt w:val="bullet"/>
      <w:lvlText w:val=""/>
      <w:lvlJc w:val="left"/>
      <w:pPr>
        <w:tabs>
          <w:tab w:val="num" w:pos="4320"/>
        </w:tabs>
        <w:ind w:left="4320" w:hanging="360"/>
      </w:pPr>
      <w:rPr>
        <w:rFonts w:ascii="Wingdings" w:hAnsi="Wingdings" w:hint="default"/>
        <w:sz w:val="20"/>
      </w:rPr>
    </w:lvl>
    <w:lvl w:ilvl="6" w:tplc="6A603EF2" w:tentative="1">
      <w:start w:val="1"/>
      <w:numFmt w:val="bullet"/>
      <w:lvlText w:val=""/>
      <w:lvlJc w:val="left"/>
      <w:pPr>
        <w:tabs>
          <w:tab w:val="num" w:pos="5040"/>
        </w:tabs>
        <w:ind w:left="5040" w:hanging="360"/>
      </w:pPr>
      <w:rPr>
        <w:rFonts w:ascii="Wingdings" w:hAnsi="Wingdings" w:hint="default"/>
        <w:sz w:val="20"/>
      </w:rPr>
    </w:lvl>
    <w:lvl w:ilvl="7" w:tplc="440034FA" w:tentative="1">
      <w:start w:val="1"/>
      <w:numFmt w:val="bullet"/>
      <w:lvlText w:val=""/>
      <w:lvlJc w:val="left"/>
      <w:pPr>
        <w:tabs>
          <w:tab w:val="num" w:pos="5760"/>
        </w:tabs>
        <w:ind w:left="5760" w:hanging="360"/>
      </w:pPr>
      <w:rPr>
        <w:rFonts w:ascii="Wingdings" w:hAnsi="Wingdings" w:hint="default"/>
        <w:sz w:val="20"/>
      </w:rPr>
    </w:lvl>
    <w:lvl w:ilvl="8" w:tplc="CF9C344A" w:tentative="1">
      <w:start w:val="1"/>
      <w:numFmt w:val="bullet"/>
      <w:lvlText w:val=""/>
      <w:lvlJc w:val="left"/>
      <w:pPr>
        <w:tabs>
          <w:tab w:val="num" w:pos="6480"/>
        </w:tabs>
        <w:ind w:left="6480" w:hanging="360"/>
      </w:pPr>
      <w:rPr>
        <w:rFonts w:ascii="Wingdings" w:hAnsi="Wingdings" w:hint="default"/>
        <w:sz w:val="20"/>
      </w:rPr>
    </w:lvl>
  </w:abstractNum>
  <w:abstractNum w:abstractNumId="202">
    <w:nsid w:val="0AC01943"/>
    <w:multiLevelType w:val="hybridMultilevel"/>
    <w:tmpl w:val="BA90A4E8"/>
    <w:lvl w:ilvl="0" w:tplc="3BA23654">
      <w:start w:val="1"/>
      <w:numFmt w:val="bullet"/>
      <w:lvlText w:val="-"/>
      <w:lvlJc w:val="left"/>
      <w:pPr>
        <w:ind w:left="720" w:hanging="360"/>
      </w:pPr>
      <w:rPr>
        <w:rFonts w:ascii="Verdana" w:hAnsi="Verdana"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03">
    <w:nsid w:val="0AF629CD"/>
    <w:multiLevelType w:val="hybridMultilevel"/>
    <w:tmpl w:val="738C1EAA"/>
    <w:lvl w:ilvl="0" w:tplc="4AFE42F8">
      <w:start w:val="1"/>
      <w:numFmt w:val="decimal"/>
      <w:lvlText w:val="K2.2.%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4">
    <w:nsid w:val="0BB96ECB"/>
    <w:multiLevelType w:val="hybridMultilevel"/>
    <w:tmpl w:val="3F5C0912"/>
    <w:lvl w:ilvl="0" w:tplc="C6A8BC64">
      <w:start w:val="1"/>
      <w:numFmt w:val="decimal"/>
      <w:lvlText w:val="C4.%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5">
    <w:nsid w:val="0BBC59FE"/>
    <w:multiLevelType w:val="hybridMultilevel"/>
    <w:tmpl w:val="2D2A1D22"/>
    <w:lvl w:ilvl="0" w:tplc="04150005">
      <w:start w:val="1"/>
      <w:numFmt w:val="bullet"/>
      <w:lvlText w:val=""/>
      <w:lvlJc w:val="left"/>
      <w:pPr>
        <w:tabs>
          <w:tab w:val="num" w:pos="720"/>
        </w:tabs>
        <w:ind w:left="720" w:hanging="360"/>
      </w:pPr>
      <w:rPr>
        <w:rFonts w:ascii="Wingdings" w:hAnsi="Wingdings" w:hint="default"/>
        <w:sz w:val="20"/>
      </w:rPr>
    </w:lvl>
    <w:lvl w:ilvl="1" w:tplc="6DAE3254" w:tentative="1">
      <w:start w:val="1"/>
      <w:numFmt w:val="bullet"/>
      <w:lvlText w:val="o"/>
      <w:lvlJc w:val="left"/>
      <w:pPr>
        <w:tabs>
          <w:tab w:val="num" w:pos="1440"/>
        </w:tabs>
        <w:ind w:left="1440" w:hanging="360"/>
      </w:pPr>
      <w:rPr>
        <w:rFonts w:ascii="Courier New" w:hAnsi="Courier New" w:hint="default"/>
        <w:sz w:val="20"/>
      </w:rPr>
    </w:lvl>
    <w:lvl w:ilvl="2" w:tplc="109ED0F2" w:tentative="1">
      <w:start w:val="1"/>
      <w:numFmt w:val="bullet"/>
      <w:lvlText w:val=""/>
      <w:lvlJc w:val="left"/>
      <w:pPr>
        <w:tabs>
          <w:tab w:val="num" w:pos="2160"/>
        </w:tabs>
        <w:ind w:left="2160" w:hanging="360"/>
      </w:pPr>
      <w:rPr>
        <w:rFonts w:ascii="Wingdings" w:hAnsi="Wingdings" w:hint="default"/>
        <w:sz w:val="20"/>
      </w:rPr>
    </w:lvl>
    <w:lvl w:ilvl="3" w:tplc="7A404A72" w:tentative="1">
      <w:start w:val="1"/>
      <w:numFmt w:val="bullet"/>
      <w:lvlText w:val=""/>
      <w:lvlJc w:val="left"/>
      <w:pPr>
        <w:tabs>
          <w:tab w:val="num" w:pos="2880"/>
        </w:tabs>
        <w:ind w:left="2880" w:hanging="360"/>
      </w:pPr>
      <w:rPr>
        <w:rFonts w:ascii="Wingdings" w:hAnsi="Wingdings" w:hint="default"/>
        <w:sz w:val="20"/>
      </w:rPr>
    </w:lvl>
    <w:lvl w:ilvl="4" w:tplc="49E09058" w:tentative="1">
      <w:start w:val="1"/>
      <w:numFmt w:val="bullet"/>
      <w:lvlText w:val=""/>
      <w:lvlJc w:val="left"/>
      <w:pPr>
        <w:tabs>
          <w:tab w:val="num" w:pos="3600"/>
        </w:tabs>
        <w:ind w:left="3600" w:hanging="360"/>
      </w:pPr>
      <w:rPr>
        <w:rFonts w:ascii="Wingdings" w:hAnsi="Wingdings" w:hint="default"/>
        <w:sz w:val="20"/>
      </w:rPr>
    </w:lvl>
    <w:lvl w:ilvl="5" w:tplc="F7203D74" w:tentative="1">
      <w:start w:val="1"/>
      <w:numFmt w:val="bullet"/>
      <w:lvlText w:val=""/>
      <w:lvlJc w:val="left"/>
      <w:pPr>
        <w:tabs>
          <w:tab w:val="num" w:pos="4320"/>
        </w:tabs>
        <w:ind w:left="4320" w:hanging="360"/>
      </w:pPr>
      <w:rPr>
        <w:rFonts w:ascii="Wingdings" w:hAnsi="Wingdings" w:hint="default"/>
        <w:sz w:val="20"/>
      </w:rPr>
    </w:lvl>
    <w:lvl w:ilvl="6" w:tplc="1F88EF00" w:tentative="1">
      <w:start w:val="1"/>
      <w:numFmt w:val="bullet"/>
      <w:lvlText w:val=""/>
      <w:lvlJc w:val="left"/>
      <w:pPr>
        <w:tabs>
          <w:tab w:val="num" w:pos="5040"/>
        </w:tabs>
        <w:ind w:left="5040" w:hanging="360"/>
      </w:pPr>
      <w:rPr>
        <w:rFonts w:ascii="Wingdings" w:hAnsi="Wingdings" w:hint="default"/>
        <w:sz w:val="20"/>
      </w:rPr>
    </w:lvl>
    <w:lvl w:ilvl="7" w:tplc="84F2A11E" w:tentative="1">
      <w:start w:val="1"/>
      <w:numFmt w:val="bullet"/>
      <w:lvlText w:val=""/>
      <w:lvlJc w:val="left"/>
      <w:pPr>
        <w:tabs>
          <w:tab w:val="num" w:pos="5760"/>
        </w:tabs>
        <w:ind w:left="5760" w:hanging="360"/>
      </w:pPr>
      <w:rPr>
        <w:rFonts w:ascii="Wingdings" w:hAnsi="Wingdings" w:hint="default"/>
        <w:sz w:val="20"/>
      </w:rPr>
    </w:lvl>
    <w:lvl w:ilvl="8" w:tplc="90CC8AE4" w:tentative="1">
      <w:start w:val="1"/>
      <w:numFmt w:val="bullet"/>
      <w:lvlText w:val=""/>
      <w:lvlJc w:val="left"/>
      <w:pPr>
        <w:tabs>
          <w:tab w:val="num" w:pos="6480"/>
        </w:tabs>
        <w:ind w:left="6480" w:hanging="360"/>
      </w:pPr>
      <w:rPr>
        <w:rFonts w:ascii="Wingdings" w:hAnsi="Wingdings" w:hint="default"/>
        <w:sz w:val="20"/>
      </w:rPr>
    </w:lvl>
  </w:abstractNum>
  <w:abstractNum w:abstractNumId="206">
    <w:nsid w:val="0BC24882"/>
    <w:multiLevelType w:val="hybridMultilevel"/>
    <w:tmpl w:val="C190515A"/>
    <w:lvl w:ilvl="0" w:tplc="04150005">
      <w:start w:val="1"/>
      <w:numFmt w:val="bullet"/>
      <w:lvlText w:val=""/>
      <w:lvlJc w:val="left"/>
      <w:pPr>
        <w:tabs>
          <w:tab w:val="num" w:pos="720"/>
        </w:tabs>
        <w:ind w:left="720" w:hanging="36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7">
    <w:nsid w:val="0BD34775"/>
    <w:multiLevelType w:val="hybridMultilevel"/>
    <w:tmpl w:val="4E1C0742"/>
    <w:lvl w:ilvl="0" w:tplc="3BA23654">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8">
    <w:nsid w:val="0C33239E"/>
    <w:multiLevelType w:val="hybridMultilevel"/>
    <w:tmpl w:val="573871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9">
    <w:nsid w:val="0C5F5C2F"/>
    <w:multiLevelType w:val="hybridMultilevel"/>
    <w:tmpl w:val="236EA940"/>
    <w:lvl w:ilvl="0" w:tplc="04150005">
      <w:start w:val="1"/>
      <w:numFmt w:val="bullet"/>
      <w:lvlText w:val=""/>
      <w:lvlJc w:val="left"/>
      <w:pPr>
        <w:tabs>
          <w:tab w:val="num" w:pos="720"/>
        </w:tabs>
        <w:ind w:left="720" w:hanging="360"/>
      </w:pPr>
      <w:rPr>
        <w:rFonts w:ascii="Wingdings" w:hAnsi="Wingdings" w:hint="default"/>
        <w:sz w:val="20"/>
      </w:rPr>
    </w:lvl>
    <w:lvl w:ilvl="1" w:tplc="D728BA3A" w:tentative="1">
      <w:start w:val="1"/>
      <w:numFmt w:val="bullet"/>
      <w:lvlText w:val="o"/>
      <w:lvlJc w:val="left"/>
      <w:pPr>
        <w:tabs>
          <w:tab w:val="num" w:pos="1440"/>
        </w:tabs>
        <w:ind w:left="1440" w:hanging="360"/>
      </w:pPr>
      <w:rPr>
        <w:rFonts w:ascii="Courier New" w:hAnsi="Courier New" w:hint="default"/>
        <w:sz w:val="20"/>
      </w:rPr>
    </w:lvl>
    <w:lvl w:ilvl="2" w:tplc="DF3ED700" w:tentative="1">
      <w:start w:val="1"/>
      <w:numFmt w:val="bullet"/>
      <w:lvlText w:val=""/>
      <w:lvlJc w:val="left"/>
      <w:pPr>
        <w:tabs>
          <w:tab w:val="num" w:pos="2160"/>
        </w:tabs>
        <w:ind w:left="2160" w:hanging="360"/>
      </w:pPr>
      <w:rPr>
        <w:rFonts w:ascii="Wingdings" w:hAnsi="Wingdings" w:hint="default"/>
        <w:sz w:val="20"/>
      </w:rPr>
    </w:lvl>
    <w:lvl w:ilvl="3" w:tplc="B950A72E" w:tentative="1">
      <w:start w:val="1"/>
      <w:numFmt w:val="bullet"/>
      <w:lvlText w:val=""/>
      <w:lvlJc w:val="left"/>
      <w:pPr>
        <w:tabs>
          <w:tab w:val="num" w:pos="2880"/>
        </w:tabs>
        <w:ind w:left="2880" w:hanging="360"/>
      </w:pPr>
      <w:rPr>
        <w:rFonts w:ascii="Wingdings" w:hAnsi="Wingdings" w:hint="default"/>
        <w:sz w:val="20"/>
      </w:rPr>
    </w:lvl>
    <w:lvl w:ilvl="4" w:tplc="43EE7C6A" w:tentative="1">
      <w:start w:val="1"/>
      <w:numFmt w:val="bullet"/>
      <w:lvlText w:val=""/>
      <w:lvlJc w:val="left"/>
      <w:pPr>
        <w:tabs>
          <w:tab w:val="num" w:pos="3600"/>
        </w:tabs>
        <w:ind w:left="3600" w:hanging="360"/>
      </w:pPr>
      <w:rPr>
        <w:rFonts w:ascii="Wingdings" w:hAnsi="Wingdings" w:hint="default"/>
        <w:sz w:val="20"/>
      </w:rPr>
    </w:lvl>
    <w:lvl w:ilvl="5" w:tplc="6D3AA906" w:tentative="1">
      <w:start w:val="1"/>
      <w:numFmt w:val="bullet"/>
      <w:lvlText w:val=""/>
      <w:lvlJc w:val="left"/>
      <w:pPr>
        <w:tabs>
          <w:tab w:val="num" w:pos="4320"/>
        </w:tabs>
        <w:ind w:left="4320" w:hanging="360"/>
      </w:pPr>
      <w:rPr>
        <w:rFonts w:ascii="Wingdings" w:hAnsi="Wingdings" w:hint="default"/>
        <w:sz w:val="20"/>
      </w:rPr>
    </w:lvl>
    <w:lvl w:ilvl="6" w:tplc="C9927C94" w:tentative="1">
      <w:start w:val="1"/>
      <w:numFmt w:val="bullet"/>
      <w:lvlText w:val=""/>
      <w:lvlJc w:val="left"/>
      <w:pPr>
        <w:tabs>
          <w:tab w:val="num" w:pos="5040"/>
        </w:tabs>
        <w:ind w:left="5040" w:hanging="360"/>
      </w:pPr>
      <w:rPr>
        <w:rFonts w:ascii="Wingdings" w:hAnsi="Wingdings" w:hint="default"/>
        <w:sz w:val="20"/>
      </w:rPr>
    </w:lvl>
    <w:lvl w:ilvl="7" w:tplc="B77E0AF6" w:tentative="1">
      <w:start w:val="1"/>
      <w:numFmt w:val="bullet"/>
      <w:lvlText w:val=""/>
      <w:lvlJc w:val="left"/>
      <w:pPr>
        <w:tabs>
          <w:tab w:val="num" w:pos="5760"/>
        </w:tabs>
        <w:ind w:left="5760" w:hanging="360"/>
      </w:pPr>
      <w:rPr>
        <w:rFonts w:ascii="Wingdings" w:hAnsi="Wingdings" w:hint="default"/>
        <w:sz w:val="20"/>
      </w:rPr>
    </w:lvl>
    <w:lvl w:ilvl="8" w:tplc="F78A2D5A" w:tentative="1">
      <w:start w:val="1"/>
      <w:numFmt w:val="bullet"/>
      <w:lvlText w:val=""/>
      <w:lvlJc w:val="left"/>
      <w:pPr>
        <w:tabs>
          <w:tab w:val="num" w:pos="6480"/>
        </w:tabs>
        <w:ind w:left="6480" w:hanging="360"/>
      </w:pPr>
      <w:rPr>
        <w:rFonts w:ascii="Wingdings" w:hAnsi="Wingdings" w:hint="default"/>
        <w:sz w:val="20"/>
      </w:rPr>
    </w:lvl>
  </w:abstractNum>
  <w:abstractNum w:abstractNumId="210">
    <w:nsid w:val="0C7E729D"/>
    <w:multiLevelType w:val="multilevel"/>
    <w:tmpl w:val="8CE6DD58"/>
    <w:styleLink w:val="WWNum131"/>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211">
    <w:nsid w:val="0C9D1CFE"/>
    <w:multiLevelType w:val="multilevel"/>
    <w:tmpl w:val="36D4B812"/>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2">
    <w:nsid w:val="0D0818E3"/>
    <w:multiLevelType w:val="multilevel"/>
    <w:tmpl w:val="B31E2DCE"/>
    <w:lvl w:ilvl="0">
      <w:start w:val="1"/>
      <w:numFmt w:val="decimal"/>
      <w:lvlText w:val="%1."/>
      <w:lvlJc w:val="left"/>
      <w:pPr>
        <w:tabs>
          <w:tab w:val="num" w:pos="720"/>
        </w:tabs>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13">
    <w:nsid w:val="0D814983"/>
    <w:multiLevelType w:val="hybridMultilevel"/>
    <w:tmpl w:val="BD18CE64"/>
    <w:lvl w:ilvl="0" w:tplc="04150005">
      <w:start w:val="1"/>
      <w:numFmt w:val="bullet"/>
      <w:lvlText w:val=""/>
      <w:lvlJc w:val="left"/>
      <w:pPr>
        <w:tabs>
          <w:tab w:val="num" w:pos="720"/>
        </w:tabs>
        <w:ind w:left="720" w:hanging="360"/>
      </w:pPr>
      <w:rPr>
        <w:rFonts w:ascii="Wingdings" w:hAnsi="Wingdings" w:hint="default"/>
        <w:sz w:val="20"/>
      </w:rPr>
    </w:lvl>
    <w:lvl w:ilvl="1" w:tplc="1FB01F78" w:tentative="1">
      <w:start w:val="1"/>
      <w:numFmt w:val="bullet"/>
      <w:lvlText w:val="o"/>
      <w:lvlJc w:val="left"/>
      <w:pPr>
        <w:tabs>
          <w:tab w:val="num" w:pos="1440"/>
        </w:tabs>
        <w:ind w:left="1440" w:hanging="360"/>
      </w:pPr>
      <w:rPr>
        <w:rFonts w:ascii="Courier New" w:hAnsi="Courier New" w:hint="default"/>
        <w:sz w:val="20"/>
      </w:rPr>
    </w:lvl>
    <w:lvl w:ilvl="2" w:tplc="8A6A973E" w:tentative="1">
      <w:start w:val="1"/>
      <w:numFmt w:val="bullet"/>
      <w:lvlText w:val=""/>
      <w:lvlJc w:val="left"/>
      <w:pPr>
        <w:tabs>
          <w:tab w:val="num" w:pos="2160"/>
        </w:tabs>
        <w:ind w:left="2160" w:hanging="360"/>
      </w:pPr>
      <w:rPr>
        <w:rFonts w:ascii="Wingdings" w:hAnsi="Wingdings" w:hint="default"/>
        <w:sz w:val="20"/>
      </w:rPr>
    </w:lvl>
    <w:lvl w:ilvl="3" w:tplc="D20247EC" w:tentative="1">
      <w:start w:val="1"/>
      <w:numFmt w:val="bullet"/>
      <w:lvlText w:val=""/>
      <w:lvlJc w:val="left"/>
      <w:pPr>
        <w:tabs>
          <w:tab w:val="num" w:pos="2880"/>
        </w:tabs>
        <w:ind w:left="2880" w:hanging="360"/>
      </w:pPr>
      <w:rPr>
        <w:rFonts w:ascii="Wingdings" w:hAnsi="Wingdings" w:hint="default"/>
        <w:sz w:val="20"/>
      </w:rPr>
    </w:lvl>
    <w:lvl w:ilvl="4" w:tplc="9F062CE4" w:tentative="1">
      <w:start w:val="1"/>
      <w:numFmt w:val="bullet"/>
      <w:lvlText w:val=""/>
      <w:lvlJc w:val="left"/>
      <w:pPr>
        <w:tabs>
          <w:tab w:val="num" w:pos="3600"/>
        </w:tabs>
        <w:ind w:left="3600" w:hanging="360"/>
      </w:pPr>
      <w:rPr>
        <w:rFonts w:ascii="Wingdings" w:hAnsi="Wingdings" w:hint="default"/>
        <w:sz w:val="20"/>
      </w:rPr>
    </w:lvl>
    <w:lvl w:ilvl="5" w:tplc="9D52FC18" w:tentative="1">
      <w:start w:val="1"/>
      <w:numFmt w:val="bullet"/>
      <w:lvlText w:val=""/>
      <w:lvlJc w:val="left"/>
      <w:pPr>
        <w:tabs>
          <w:tab w:val="num" w:pos="4320"/>
        </w:tabs>
        <w:ind w:left="4320" w:hanging="360"/>
      </w:pPr>
      <w:rPr>
        <w:rFonts w:ascii="Wingdings" w:hAnsi="Wingdings" w:hint="default"/>
        <w:sz w:val="20"/>
      </w:rPr>
    </w:lvl>
    <w:lvl w:ilvl="6" w:tplc="EA1CB606" w:tentative="1">
      <w:start w:val="1"/>
      <w:numFmt w:val="bullet"/>
      <w:lvlText w:val=""/>
      <w:lvlJc w:val="left"/>
      <w:pPr>
        <w:tabs>
          <w:tab w:val="num" w:pos="5040"/>
        </w:tabs>
        <w:ind w:left="5040" w:hanging="360"/>
      </w:pPr>
      <w:rPr>
        <w:rFonts w:ascii="Wingdings" w:hAnsi="Wingdings" w:hint="default"/>
        <w:sz w:val="20"/>
      </w:rPr>
    </w:lvl>
    <w:lvl w:ilvl="7" w:tplc="BB148196" w:tentative="1">
      <w:start w:val="1"/>
      <w:numFmt w:val="bullet"/>
      <w:lvlText w:val=""/>
      <w:lvlJc w:val="left"/>
      <w:pPr>
        <w:tabs>
          <w:tab w:val="num" w:pos="5760"/>
        </w:tabs>
        <w:ind w:left="5760" w:hanging="360"/>
      </w:pPr>
      <w:rPr>
        <w:rFonts w:ascii="Wingdings" w:hAnsi="Wingdings" w:hint="default"/>
        <w:sz w:val="20"/>
      </w:rPr>
    </w:lvl>
    <w:lvl w:ilvl="8" w:tplc="DAD820A0" w:tentative="1">
      <w:start w:val="1"/>
      <w:numFmt w:val="bullet"/>
      <w:lvlText w:val=""/>
      <w:lvlJc w:val="left"/>
      <w:pPr>
        <w:tabs>
          <w:tab w:val="num" w:pos="6480"/>
        </w:tabs>
        <w:ind w:left="6480" w:hanging="360"/>
      </w:pPr>
      <w:rPr>
        <w:rFonts w:ascii="Wingdings" w:hAnsi="Wingdings" w:hint="default"/>
        <w:sz w:val="20"/>
      </w:rPr>
    </w:lvl>
  </w:abstractNum>
  <w:abstractNum w:abstractNumId="214">
    <w:nsid w:val="0E156D15"/>
    <w:multiLevelType w:val="hybridMultilevel"/>
    <w:tmpl w:val="09402FE8"/>
    <w:lvl w:ilvl="0" w:tplc="04150017">
      <w:start w:val="1"/>
      <w:numFmt w:val="lowerLetter"/>
      <w:lvlText w:val="%1)"/>
      <w:lvlJc w:val="left"/>
      <w:pPr>
        <w:tabs>
          <w:tab w:val="num" w:pos="720"/>
        </w:tabs>
        <w:ind w:left="720" w:hanging="360"/>
      </w:pPr>
    </w:lvl>
    <w:lvl w:ilvl="1" w:tplc="76A2C626" w:tentative="1">
      <w:start w:val="1"/>
      <w:numFmt w:val="lowerLetter"/>
      <w:lvlText w:val="%2."/>
      <w:lvlJc w:val="left"/>
      <w:pPr>
        <w:tabs>
          <w:tab w:val="num" w:pos="1440"/>
        </w:tabs>
        <w:ind w:left="1440" w:hanging="360"/>
      </w:pPr>
    </w:lvl>
    <w:lvl w:ilvl="2" w:tplc="3B8CE244" w:tentative="1">
      <w:start w:val="1"/>
      <w:numFmt w:val="lowerLetter"/>
      <w:lvlText w:val="%3."/>
      <w:lvlJc w:val="left"/>
      <w:pPr>
        <w:tabs>
          <w:tab w:val="num" w:pos="2160"/>
        </w:tabs>
        <w:ind w:left="2160" w:hanging="360"/>
      </w:pPr>
    </w:lvl>
    <w:lvl w:ilvl="3" w:tplc="0AACEA76" w:tentative="1">
      <w:start w:val="1"/>
      <w:numFmt w:val="lowerLetter"/>
      <w:lvlText w:val="%4."/>
      <w:lvlJc w:val="left"/>
      <w:pPr>
        <w:tabs>
          <w:tab w:val="num" w:pos="2880"/>
        </w:tabs>
        <w:ind w:left="2880" w:hanging="360"/>
      </w:pPr>
    </w:lvl>
    <w:lvl w:ilvl="4" w:tplc="7820E4FA" w:tentative="1">
      <w:start w:val="1"/>
      <w:numFmt w:val="lowerLetter"/>
      <w:lvlText w:val="%5."/>
      <w:lvlJc w:val="left"/>
      <w:pPr>
        <w:tabs>
          <w:tab w:val="num" w:pos="3600"/>
        </w:tabs>
        <w:ind w:left="3600" w:hanging="360"/>
      </w:pPr>
    </w:lvl>
    <w:lvl w:ilvl="5" w:tplc="D1AC3706" w:tentative="1">
      <w:start w:val="1"/>
      <w:numFmt w:val="lowerLetter"/>
      <w:lvlText w:val="%6."/>
      <w:lvlJc w:val="left"/>
      <w:pPr>
        <w:tabs>
          <w:tab w:val="num" w:pos="4320"/>
        </w:tabs>
        <w:ind w:left="4320" w:hanging="360"/>
      </w:pPr>
    </w:lvl>
    <w:lvl w:ilvl="6" w:tplc="45FC571A" w:tentative="1">
      <w:start w:val="1"/>
      <w:numFmt w:val="lowerLetter"/>
      <w:lvlText w:val="%7."/>
      <w:lvlJc w:val="left"/>
      <w:pPr>
        <w:tabs>
          <w:tab w:val="num" w:pos="5040"/>
        </w:tabs>
        <w:ind w:left="5040" w:hanging="360"/>
      </w:pPr>
    </w:lvl>
    <w:lvl w:ilvl="7" w:tplc="04A46542" w:tentative="1">
      <w:start w:val="1"/>
      <w:numFmt w:val="lowerLetter"/>
      <w:lvlText w:val="%8."/>
      <w:lvlJc w:val="left"/>
      <w:pPr>
        <w:tabs>
          <w:tab w:val="num" w:pos="5760"/>
        </w:tabs>
        <w:ind w:left="5760" w:hanging="360"/>
      </w:pPr>
    </w:lvl>
    <w:lvl w:ilvl="8" w:tplc="F522D794" w:tentative="1">
      <w:start w:val="1"/>
      <w:numFmt w:val="lowerLetter"/>
      <w:lvlText w:val="%9."/>
      <w:lvlJc w:val="left"/>
      <w:pPr>
        <w:tabs>
          <w:tab w:val="num" w:pos="6480"/>
        </w:tabs>
        <w:ind w:left="6480" w:hanging="360"/>
      </w:pPr>
    </w:lvl>
  </w:abstractNum>
  <w:abstractNum w:abstractNumId="215">
    <w:nsid w:val="0E2F596B"/>
    <w:multiLevelType w:val="hybridMultilevel"/>
    <w:tmpl w:val="4A9492CC"/>
    <w:lvl w:ilvl="0" w:tplc="0415000F">
      <w:start w:val="1"/>
      <w:numFmt w:val="decimal"/>
      <w:lvlText w:val="%1."/>
      <w:lvlJc w:val="left"/>
      <w:pPr>
        <w:tabs>
          <w:tab w:val="num" w:pos="720"/>
        </w:tabs>
        <w:ind w:left="720" w:hanging="360"/>
      </w:pPr>
      <w:rPr>
        <w:rFonts w:hint="default"/>
      </w:rPr>
    </w:lvl>
    <w:lvl w:ilvl="1" w:tplc="6CA43014">
      <w:start w:val="16"/>
      <w:numFmt w:val="bullet"/>
      <w:lvlText w:val="-"/>
      <w:lvlJc w:val="left"/>
      <w:pPr>
        <w:tabs>
          <w:tab w:val="num" w:pos="1440"/>
        </w:tabs>
        <w:ind w:left="1440" w:hanging="360"/>
      </w:pPr>
      <w:rPr>
        <w:rFonts w:ascii="Times New Roman" w:eastAsia="Times New Roman" w:hAnsi="Times New Roman" w:cs="Times New Roman" w:hint="default"/>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6">
    <w:nsid w:val="0E4051EA"/>
    <w:multiLevelType w:val="multilevel"/>
    <w:tmpl w:val="A5D678EA"/>
    <w:lvl w:ilvl="0">
      <w:start w:val="3"/>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7">
    <w:nsid w:val="0E591143"/>
    <w:multiLevelType w:val="multilevel"/>
    <w:tmpl w:val="BDA4C9DA"/>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8">
    <w:nsid w:val="0E7125E9"/>
    <w:multiLevelType w:val="hybridMultilevel"/>
    <w:tmpl w:val="F488AC9C"/>
    <w:lvl w:ilvl="0" w:tplc="3BA23654">
      <w:start w:val="1"/>
      <w:numFmt w:val="bullet"/>
      <w:lvlText w:val="-"/>
      <w:lvlJc w:val="left"/>
      <w:pPr>
        <w:ind w:left="720" w:hanging="360"/>
      </w:pPr>
      <w:rPr>
        <w:rFonts w:ascii="Verdana" w:hAnsi="Verdana"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19">
    <w:nsid w:val="0F8D34A1"/>
    <w:multiLevelType w:val="hybridMultilevel"/>
    <w:tmpl w:val="6770BF58"/>
    <w:lvl w:ilvl="0" w:tplc="419ECF3C">
      <w:start w:val="2"/>
      <w:numFmt w:val="upperRoman"/>
      <w:lvlText w:val="%1."/>
      <w:lvlJc w:val="right"/>
      <w:pPr>
        <w:tabs>
          <w:tab w:val="num" w:pos="720"/>
        </w:tabs>
        <w:ind w:left="720" w:hanging="360"/>
      </w:pPr>
    </w:lvl>
    <w:lvl w:ilvl="1" w:tplc="A8CAC0D6" w:tentative="1">
      <w:start w:val="1"/>
      <w:numFmt w:val="upperRoman"/>
      <w:lvlText w:val="%2."/>
      <w:lvlJc w:val="right"/>
      <w:pPr>
        <w:tabs>
          <w:tab w:val="num" w:pos="1440"/>
        </w:tabs>
        <w:ind w:left="1440" w:hanging="360"/>
      </w:pPr>
    </w:lvl>
    <w:lvl w:ilvl="2" w:tplc="59684A10" w:tentative="1">
      <w:start w:val="1"/>
      <w:numFmt w:val="upperRoman"/>
      <w:lvlText w:val="%3."/>
      <w:lvlJc w:val="right"/>
      <w:pPr>
        <w:tabs>
          <w:tab w:val="num" w:pos="2160"/>
        </w:tabs>
        <w:ind w:left="2160" w:hanging="360"/>
      </w:pPr>
    </w:lvl>
    <w:lvl w:ilvl="3" w:tplc="C48482DA" w:tentative="1">
      <w:start w:val="1"/>
      <w:numFmt w:val="upperRoman"/>
      <w:lvlText w:val="%4."/>
      <w:lvlJc w:val="right"/>
      <w:pPr>
        <w:tabs>
          <w:tab w:val="num" w:pos="2880"/>
        </w:tabs>
        <w:ind w:left="2880" w:hanging="360"/>
      </w:pPr>
    </w:lvl>
    <w:lvl w:ilvl="4" w:tplc="82E85DB2" w:tentative="1">
      <w:start w:val="1"/>
      <w:numFmt w:val="upperRoman"/>
      <w:lvlText w:val="%5."/>
      <w:lvlJc w:val="right"/>
      <w:pPr>
        <w:tabs>
          <w:tab w:val="num" w:pos="3600"/>
        </w:tabs>
        <w:ind w:left="3600" w:hanging="360"/>
      </w:pPr>
    </w:lvl>
    <w:lvl w:ilvl="5" w:tplc="DE4825DA" w:tentative="1">
      <w:start w:val="1"/>
      <w:numFmt w:val="upperRoman"/>
      <w:lvlText w:val="%6."/>
      <w:lvlJc w:val="right"/>
      <w:pPr>
        <w:tabs>
          <w:tab w:val="num" w:pos="4320"/>
        </w:tabs>
        <w:ind w:left="4320" w:hanging="360"/>
      </w:pPr>
    </w:lvl>
    <w:lvl w:ilvl="6" w:tplc="6BC02E16" w:tentative="1">
      <w:start w:val="1"/>
      <w:numFmt w:val="upperRoman"/>
      <w:lvlText w:val="%7."/>
      <w:lvlJc w:val="right"/>
      <w:pPr>
        <w:tabs>
          <w:tab w:val="num" w:pos="5040"/>
        </w:tabs>
        <w:ind w:left="5040" w:hanging="360"/>
      </w:pPr>
    </w:lvl>
    <w:lvl w:ilvl="7" w:tplc="80CA62EC" w:tentative="1">
      <w:start w:val="1"/>
      <w:numFmt w:val="upperRoman"/>
      <w:lvlText w:val="%8."/>
      <w:lvlJc w:val="right"/>
      <w:pPr>
        <w:tabs>
          <w:tab w:val="num" w:pos="5760"/>
        </w:tabs>
        <w:ind w:left="5760" w:hanging="360"/>
      </w:pPr>
    </w:lvl>
    <w:lvl w:ilvl="8" w:tplc="8604E34A" w:tentative="1">
      <w:start w:val="1"/>
      <w:numFmt w:val="upperRoman"/>
      <w:lvlText w:val="%9."/>
      <w:lvlJc w:val="right"/>
      <w:pPr>
        <w:tabs>
          <w:tab w:val="num" w:pos="6480"/>
        </w:tabs>
        <w:ind w:left="6480" w:hanging="360"/>
      </w:pPr>
    </w:lvl>
  </w:abstractNum>
  <w:abstractNum w:abstractNumId="220">
    <w:nsid w:val="0FDD3C5E"/>
    <w:multiLevelType w:val="hybridMultilevel"/>
    <w:tmpl w:val="6F78DCEC"/>
    <w:lvl w:ilvl="0" w:tplc="04150005">
      <w:start w:val="1"/>
      <w:numFmt w:val="bullet"/>
      <w:lvlText w:val=""/>
      <w:lvlJc w:val="left"/>
      <w:pPr>
        <w:tabs>
          <w:tab w:val="num" w:pos="720"/>
        </w:tabs>
        <w:ind w:left="720" w:hanging="360"/>
      </w:pPr>
      <w:rPr>
        <w:rFonts w:ascii="Wingdings" w:hAnsi="Wingdings" w:hint="default"/>
        <w:sz w:val="20"/>
      </w:rPr>
    </w:lvl>
    <w:lvl w:ilvl="1" w:tplc="0D48EE8A" w:tentative="1">
      <w:start w:val="1"/>
      <w:numFmt w:val="bullet"/>
      <w:lvlText w:val="o"/>
      <w:lvlJc w:val="left"/>
      <w:pPr>
        <w:tabs>
          <w:tab w:val="num" w:pos="1440"/>
        </w:tabs>
        <w:ind w:left="1440" w:hanging="360"/>
      </w:pPr>
      <w:rPr>
        <w:rFonts w:ascii="Courier New" w:hAnsi="Courier New" w:hint="default"/>
        <w:sz w:val="20"/>
      </w:rPr>
    </w:lvl>
    <w:lvl w:ilvl="2" w:tplc="E91A28F2" w:tentative="1">
      <w:start w:val="1"/>
      <w:numFmt w:val="bullet"/>
      <w:lvlText w:val=""/>
      <w:lvlJc w:val="left"/>
      <w:pPr>
        <w:tabs>
          <w:tab w:val="num" w:pos="2160"/>
        </w:tabs>
        <w:ind w:left="2160" w:hanging="360"/>
      </w:pPr>
      <w:rPr>
        <w:rFonts w:ascii="Wingdings" w:hAnsi="Wingdings" w:hint="default"/>
        <w:sz w:val="20"/>
      </w:rPr>
    </w:lvl>
    <w:lvl w:ilvl="3" w:tplc="44388030" w:tentative="1">
      <w:start w:val="1"/>
      <w:numFmt w:val="bullet"/>
      <w:lvlText w:val=""/>
      <w:lvlJc w:val="left"/>
      <w:pPr>
        <w:tabs>
          <w:tab w:val="num" w:pos="2880"/>
        </w:tabs>
        <w:ind w:left="2880" w:hanging="360"/>
      </w:pPr>
      <w:rPr>
        <w:rFonts w:ascii="Wingdings" w:hAnsi="Wingdings" w:hint="default"/>
        <w:sz w:val="20"/>
      </w:rPr>
    </w:lvl>
    <w:lvl w:ilvl="4" w:tplc="2D50C628" w:tentative="1">
      <w:start w:val="1"/>
      <w:numFmt w:val="bullet"/>
      <w:lvlText w:val=""/>
      <w:lvlJc w:val="left"/>
      <w:pPr>
        <w:tabs>
          <w:tab w:val="num" w:pos="3600"/>
        </w:tabs>
        <w:ind w:left="3600" w:hanging="360"/>
      </w:pPr>
      <w:rPr>
        <w:rFonts w:ascii="Wingdings" w:hAnsi="Wingdings" w:hint="default"/>
        <w:sz w:val="20"/>
      </w:rPr>
    </w:lvl>
    <w:lvl w:ilvl="5" w:tplc="A496B7C2" w:tentative="1">
      <w:start w:val="1"/>
      <w:numFmt w:val="bullet"/>
      <w:lvlText w:val=""/>
      <w:lvlJc w:val="left"/>
      <w:pPr>
        <w:tabs>
          <w:tab w:val="num" w:pos="4320"/>
        </w:tabs>
        <w:ind w:left="4320" w:hanging="360"/>
      </w:pPr>
      <w:rPr>
        <w:rFonts w:ascii="Wingdings" w:hAnsi="Wingdings" w:hint="default"/>
        <w:sz w:val="20"/>
      </w:rPr>
    </w:lvl>
    <w:lvl w:ilvl="6" w:tplc="022E1C5C" w:tentative="1">
      <w:start w:val="1"/>
      <w:numFmt w:val="bullet"/>
      <w:lvlText w:val=""/>
      <w:lvlJc w:val="left"/>
      <w:pPr>
        <w:tabs>
          <w:tab w:val="num" w:pos="5040"/>
        </w:tabs>
        <w:ind w:left="5040" w:hanging="360"/>
      </w:pPr>
      <w:rPr>
        <w:rFonts w:ascii="Wingdings" w:hAnsi="Wingdings" w:hint="default"/>
        <w:sz w:val="20"/>
      </w:rPr>
    </w:lvl>
    <w:lvl w:ilvl="7" w:tplc="4698A212" w:tentative="1">
      <w:start w:val="1"/>
      <w:numFmt w:val="bullet"/>
      <w:lvlText w:val=""/>
      <w:lvlJc w:val="left"/>
      <w:pPr>
        <w:tabs>
          <w:tab w:val="num" w:pos="5760"/>
        </w:tabs>
        <w:ind w:left="5760" w:hanging="360"/>
      </w:pPr>
      <w:rPr>
        <w:rFonts w:ascii="Wingdings" w:hAnsi="Wingdings" w:hint="default"/>
        <w:sz w:val="20"/>
      </w:rPr>
    </w:lvl>
    <w:lvl w:ilvl="8" w:tplc="2A626FEC" w:tentative="1">
      <w:start w:val="1"/>
      <w:numFmt w:val="bullet"/>
      <w:lvlText w:val=""/>
      <w:lvlJc w:val="left"/>
      <w:pPr>
        <w:tabs>
          <w:tab w:val="num" w:pos="6480"/>
        </w:tabs>
        <w:ind w:left="6480" w:hanging="360"/>
      </w:pPr>
      <w:rPr>
        <w:rFonts w:ascii="Wingdings" w:hAnsi="Wingdings" w:hint="default"/>
        <w:sz w:val="20"/>
      </w:rPr>
    </w:lvl>
  </w:abstractNum>
  <w:abstractNum w:abstractNumId="221">
    <w:nsid w:val="100822E8"/>
    <w:multiLevelType w:val="hybridMultilevel"/>
    <w:tmpl w:val="AD22846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2">
    <w:nsid w:val="107D3F81"/>
    <w:multiLevelType w:val="hybridMultilevel"/>
    <w:tmpl w:val="EE54A294"/>
    <w:lvl w:ilvl="0" w:tplc="D6A656B6">
      <w:numFmt w:val="bullet"/>
      <w:lvlText w:val="-"/>
      <w:lvlJc w:val="left"/>
      <w:pPr>
        <w:ind w:left="1428" w:hanging="360"/>
      </w:pPr>
      <w:rPr>
        <w:rFonts w:ascii="Times New Roman" w:eastAsia="Times New Roman" w:hAnsi="Times New Roman" w:cs="Times New Roman"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23">
    <w:nsid w:val="107E69FB"/>
    <w:multiLevelType w:val="multilevel"/>
    <w:tmpl w:val="29145766"/>
    <w:lvl w:ilvl="0">
      <w:start w:val="2"/>
      <w:numFmt w:val="decimal"/>
      <w:lvlText w:val="%1."/>
      <w:lvlJc w:val="left"/>
      <w:pPr>
        <w:ind w:left="630" w:hanging="63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4">
    <w:nsid w:val="110D40B2"/>
    <w:multiLevelType w:val="hybridMultilevel"/>
    <w:tmpl w:val="5F8279A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5">
    <w:nsid w:val="112D1D76"/>
    <w:multiLevelType w:val="hybridMultilevel"/>
    <w:tmpl w:val="F9C6C620"/>
    <w:lvl w:ilvl="0" w:tplc="00000004">
      <w:numFmt w:val="bullet"/>
      <w:lvlText w:val="–"/>
      <w:lvlJc w:val="left"/>
      <w:pPr>
        <w:ind w:left="1428" w:hanging="360"/>
      </w:pPr>
      <w:rPr>
        <w:rFonts w:ascii="TiepoloItcTEEBoo" w:hAnsi="TiepoloItcTEEBoo" w:cs="TiepoloItcTEEBoo" w:hint="default"/>
        <w:color w:val="auto"/>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26">
    <w:nsid w:val="113B28FD"/>
    <w:multiLevelType w:val="hybridMultilevel"/>
    <w:tmpl w:val="174C3C86"/>
    <w:lvl w:ilvl="0" w:tplc="04150005">
      <w:start w:val="1"/>
      <w:numFmt w:val="bullet"/>
      <w:lvlText w:val=""/>
      <w:lvlJc w:val="left"/>
      <w:pPr>
        <w:tabs>
          <w:tab w:val="num" w:pos="720"/>
        </w:tabs>
        <w:ind w:left="720" w:hanging="360"/>
      </w:pPr>
      <w:rPr>
        <w:rFonts w:ascii="Wingdings" w:hAnsi="Wingdings" w:hint="default"/>
        <w:sz w:val="20"/>
      </w:rPr>
    </w:lvl>
    <w:lvl w:ilvl="1" w:tplc="FFEEF172" w:tentative="1">
      <w:start w:val="1"/>
      <w:numFmt w:val="bullet"/>
      <w:lvlText w:val="o"/>
      <w:lvlJc w:val="left"/>
      <w:pPr>
        <w:tabs>
          <w:tab w:val="num" w:pos="1440"/>
        </w:tabs>
        <w:ind w:left="1440" w:hanging="360"/>
      </w:pPr>
      <w:rPr>
        <w:rFonts w:ascii="Courier New" w:hAnsi="Courier New" w:hint="default"/>
        <w:sz w:val="20"/>
      </w:rPr>
    </w:lvl>
    <w:lvl w:ilvl="2" w:tplc="3E7C734C" w:tentative="1">
      <w:start w:val="1"/>
      <w:numFmt w:val="bullet"/>
      <w:lvlText w:val=""/>
      <w:lvlJc w:val="left"/>
      <w:pPr>
        <w:tabs>
          <w:tab w:val="num" w:pos="2160"/>
        </w:tabs>
        <w:ind w:left="2160" w:hanging="360"/>
      </w:pPr>
      <w:rPr>
        <w:rFonts w:ascii="Wingdings" w:hAnsi="Wingdings" w:hint="default"/>
        <w:sz w:val="20"/>
      </w:rPr>
    </w:lvl>
    <w:lvl w:ilvl="3" w:tplc="A61034E0" w:tentative="1">
      <w:start w:val="1"/>
      <w:numFmt w:val="bullet"/>
      <w:lvlText w:val=""/>
      <w:lvlJc w:val="left"/>
      <w:pPr>
        <w:tabs>
          <w:tab w:val="num" w:pos="2880"/>
        </w:tabs>
        <w:ind w:left="2880" w:hanging="360"/>
      </w:pPr>
      <w:rPr>
        <w:rFonts w:ascii="Wingdings" w:hAnsi="Wingdings" w:hint="default"/>
        <w:sz w:val="20"/>
      </w:rPr>
    </w:lvl>
    <w:lvl w:ilvl="4" w:tplc="03041DAE" w:tentative="1">
      <w:start w:val="1"/>
      <w:numFmt w:val="bullet"/>
      <w:lvlText w:val=""/>
      <w:lvlJc w:val="left"/>
      <w:pPr>
        <w:tabs>
          <w:tab w:val="num" w:pos="3600"/>
        </w:tabs>
        <w:ind w:left="3600" w:hanging="360"/>
      </w:pPr>
      <w:rPr>
        <w:rFonts w:ascii="Wingdings" w:hAnsi="Wingdings" w:hint="default"/>
        <w:sz w:val="20"/>
      </w:rPr>
    </w:lvl>
    <w:lvl w:ilvl="5" w:tplc="E334E050" w:tentative="1">
      <w:start w:val="1"/>
      <w:numFmt w:val="bullet"/>
      <w:lvlText w:val=""/>
      <w:lvlJc w:val="left"/>
      <w:pPr>
        <w:tabs>
          <w:tab w:val="num" w:pos="4320"/>
        </w:tabs>
        <w:ind w:left="4320" w:hanging="360"/>
      </w:pPr>
      <w:rPr>
        <w:rFonts w:ascii="Wingdings" w:hAnsi="Wingdings" w:hint="default"/>
        <w:sz w:val="20"/>
      </w:rPr>
    </w:lvl>
    <w:lvl w:ilvl="6" w:tplc="E654C15E" w:tentative="1">
      <w:start w:val="1"/>
      <w:numFmt w:val="bullet"/>
      <w:lvlText w:val=""/>
      <w:lvlJc w:val="left"/>
      <w:pPr>
        <w:tabs>
          <w:tab w:val="num" w:pos="5040"/>
        </w:tabs>
        <w:ind w:left="5040" w:hanging="360"/>
      </w:pPr>
      <w:rPr>
        <w:rFonts w:ascii="Wingdings" w:hAnsi="Wingdings" w:hint="default"/>
        <w:sz w:val="20"/>
      </w:rPr>
    </w:lvl>
    <w:lvl w:ilvl="7" w:tplc="E292AB62" w:tentative="1">
      <w:start w:val="1"/>
      <w:numFmt w:val="bullet"/>
      <w:lvlText w:val=""/>
      <w:lvlJc w:val="left"/>
      <w:pPr>
        <w:tabs>
          <w:tab w:val="num" w:pos="5760"/>
        </w:tabs>
        <w:ind w:left="5760" w:hanging="360"/>
      </w:pPr>
      <w:rPr>
        <w:rFonts w:ascii="Wingdings" w:hAnsi="Wingdings" w:hint="default"/>
        <w:sz w:val="20"/>
      </w:rPr>
    </w:lvl>
    <w:lvl w:ilvl="8" w:tplc="6EB20EE0" w:tentative="1">
      <w:start w:val="1"/>
      <w:numFmt w:val="bullet"/>
      <w:lvlText w:val=""/>
      <w:lvlJc w:val="left"/>
      <w:pPr>
        <w:tabs>
          <w:tab w:val="num" w:pos="6480"/>
        </w:tabs>
        <w:ind w:left="6480" w:hanging="360"/>
      </w:pPr>
      <w:rPr>
        <w:rFonts w:ascii="Wingdings" w:hAnsi="Wingdings" w:hint="default"/>
        <w:sz w:val="20"/>
      </w:rPr>
    </w:lvl>
  </w:abstractNum>
  <w:abstractNum w:abstractNumId="227">
    <w:nsid w:val="115928A2"/>
    <w:multiLevelType w:val="hybridMultilevel"/>
    <w:tmpl w:val="277633C8"/>
    <w:lvl w:ilvl="0" w:tplc="04150005">
      <w:start w:val="1"/>
      <w:numFmt w:val="bullet"/>
      <w:lvlText w:val=""/>
      <w:lvlJc w:val="left"/>
      <w:pPr>
        <w:tabs>
          <w:tab w:val="num" w:pos="720"/>
        </w:tabs>
        <w:ind w:left="720" w:hanging="360"/>
      </w:pPr>
      <w:rPr>
        <w:rFonts w:ascii="Wingdings" w:hAnsi="Wingdings" w:hint="default"/>
        <w:sz w:val="20"/>
      </w:rPr>
    </w:lvl>
    <w:lvl w:ilvl="1" w:tplc="811C9CAC" w:tentative="1">
      <w:start w:val="1"/>
      <w:numFmt w:val="bullet"/>
      <w:lvlText w:val="o"/>
      <w:lvlJc w:val="left"/>
      <w:pPr>
        <w:tabs>
          <w:tab w:val="num" w:pos="1440"/>
        </w:tabs>
        <w:ind w:left="1440" w:hanging="360"/>
      </w:pPr>
      <w:rPr>
        <w:rFonts w:ascii="Courier New" w:hAnsi="Courier New" w:hint="default"/>
        <w:sz w:val="20"/>
      </w:rPr>
    </w:lvl>
    <w:lvl w:ilvl="2" w:tplc="E8E89EEC" w:tentative="1">
      <w:start w:val="1"/>
      <w:numFmt w:val="bullet"/>
      <w:lvlText w:val=""/>
      <w:lvlJc w:val="left"/>
      <w:pPr>
        <w:tabs>
          <w:tab w:val="num" w:pos="2160"/>
        </w:tabs>
        <w:ind w:left="2160" w:hanging="360"/>
      </w:pPr>
      <w:rPr>
        <w:rFonts w:ascii="Wingdings" w:hAnsi="Wingdings" w:hint="default"/>
        <w:sz w:val="20"/>
      </w:rPr>
    </w:lvl>
    <w:lvl w:ilvl="3" w:tplc="36301FB2" w:tentative="1">
      <w:start w:val="1"/>
      <w:numFmt w:val="bullet"/>
      <w:lvlText w:val=""/>
      <w:lvlJc w:val="left"/>
      <w:pPr>
        <w:tabs>
          <w:tab w:val="num" w:pos="2880"/>
        </w:tabs>
        <w:ind w:left="2880" w:hanging="360"/>
      </w:pPr>
      <w:rPr>
        <w:rFonts w:ascii="Wingdings" w:hAnsi="Wingdings" w:hint="default"/>
        <w:sz w:val="20"/>
      </w:rPr>
    </w:lvl>
    <w:lvl w:ilvl="4" w:tplc="5C488958" w:tentative="1">
      <w:start w:val="1"/>
      <w:numFmt w:val="bullet"/>
      <w:lvlText w:val=""/>
      <w:lvlJc w:val="left"/>
      <w:pPr>
        <w:tabs>
          <w:tab w:val="num" w:pos="3600"/>
        </w:tabs>
        <w:ind w:left="3600" w:hanging="360"/>
      </w:pPr>
      <w:rPr>
        <w:rFonts w:ascii="Wingdings" w:hAnsi="Wingdings" w:hint="default"/>
        <w:sz w:val="20"/>
      </w:rPr>
    </w:lvl>
    <w:lvl w:ilvl="5" w:tplc="61C8AEFE" w:tentative="1">
      <w:start w:val="1"/>
      <w:numFmt w:val="bullet"/>
      <w:lvlText w:val=""/>
      <w:lvlJc w:val="left"/>
      <w:pPr>
        <w:tabs>
          <w:tab w:val="num" w:pos="4320"/>
        </w:tabs>
        <w:ind w:left="4320" w:hanging="360"/>
      </w:pPr>
      <w:rPr>
        <w:rFonts w:ascii="Wingdings" w:hAnsi="Wingdings" w:hint="default"/>
        <w:sz w:val="20"/>
      </w:rPr>
    </w:lvl>
    <w:lvl w:ilvl="6" w:tplc="EC0056AE" w:tentative="1">
      <w:start w:val="1"/>
      <w:numFmt w:val="bullet"/>
      <w:lvlText w:val=""/>
      <w:lvlJc w:val="left"/>
      <w:pPr>
        <w:tabs>
          <w:tab w:val="num" w:pos="5040"/>
        </w:tabs>
        <w:ind w:left="5040" w:hanging="360"/>
      </w:pPr>
      <w:rPr>
        <w:rFonts w:ascii="Wingdings" w:hAnsi="Wingdings" w:hint="default"/>
        <w:sz w:val="20"/>
      </w:rPr>
    </w:lvl>
    <w:lvl w:ilvl="7" w:tplc="B3BE04BC" w:tentative="1">
      <w:start w:val="1"/>
      <w:numFmt w:val="bullet"/>
      <w:lvlText w:val=""/>
      <w:lvlJc w:val="left"/>
      <w:pPr>
        <w:tabs>
          <w:tab w:val="num" w:pos="5760"/>
        </w:tabs>
        <w:ind w:left="5760" w:hanging="360"/>
      </w:pPr>
      <w:rPr>
        <w:rFonts w:ascii="Wingdings" w:hAnsi="Wingdings" w:hint="default"/>
        <w:sz w:val="20"/>
      </w:rPr>
    </w:lvl>
    <w:lvl w:ilvl="8" w:tplc="DEC48E84" w:tentative="1">
      <w:start w:val="1"/>
      <w:numFmt w:val="bullet"/>
      <w:lvlText w:val=""/>
      <w:lvlJc w:val="left"/>
      <w:pPr>
        <w:tabs>
          <w:tab w:val="num" w:pos="6480"/>
        </w:tabs>
        <w:ind w:left="6480" w:hanging="360"/>
      </w:pPr>
      <w:rPr>
        <w:rFonts w:ascii="Wingdings" w:hAnsi="Wingdings" w:hint="default"/>
        <w:sz w:val="20"/>
      </w:rPr>
    </w:lvl>
  </w:abstractNum>
  <w:abstractNum w:abstractNumId="228">
    <w:nsid w:val="115B087C"/>
    <w:multiLevelType w:val="hybridMultilevel"/>
    <w:tmpl w:val="6A94245E"/>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9">
    <w:nsid w:val="11A62E42"/>
    <w:multiLevelType w:val="hybridMultilevel"/>
    <w:tmpl w:val="15CA59AE"/>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0">
    <w:nsid w:val="11CF773D"/>
    <w:multiLevelType w:val="hybridMultilevel"/>
    <w:tmpl w:val="5F74834C"/>
    <w:lvl w:ilvl="0" w:tplc="6DB06BA2">
      <w:start w:val="1"/>
      <w:numFmt w:val="decimal"/>
      <w:lvlText w:val="C1.%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1">
    <w:nsid w:val="12130F89"/>
    <w:multiLevelType w:val="hybridMultilevel"/>
    <w:tmpl w:val="6B10C62E"/>
    <w:lvl w:ilvl="0" w:tplc="7556F510">
      <w:start w:val="1"/>
      <w:numFmt w:val="bullet"/>
      <w:lvlText w:val=""/>
      <w:lvlJc w:val="left"/>
      <w:pPr>
        <w:tabs>
          <w:tab w:val="num" w:pos="720"/>
        </w:tabs>
        <w:ind w:left="720" w:hanging="360"/>
      </w:pPr>
      <w:rPr>
        <w:rFonts w:ascii="Symbol" w:hAnsi="Symbol" w:hint="default"/>
        <w:sz w:val="20"/>
      </w:rPr>
    </w:lvl>
    <w:lvl w:ilvl="1" w:tplc="1B32AABA" w:tentative="1">
      <w:start w:val="1"/>
      <w:numFmt w:val="bullet"/>
      <w:lvlText w:val="o"/>
      <w:lvlJc w:val="left"/>
      <w:pPr>
        <w:tabs>
          <w:tab w:val="num" w:pos="1440"/>
        </w:tabs>
        <w:ind w:left="1440" w:hanging="360"/>
      </w:pPr>
      <w:rPr>
        <w:rFonts w:ascii="Courier New" w:hAnsi="Courier New" w:hint="default"/>
        <w:sz w:val="20"/>
      </w:rPr>
    </w:lvl>
    <w:lvl w:ilvl="2" w:tplc="4030E1CA" w:tentative="1">
      <w:start w:val="1"/>
      <w:numFmt w:val="bullet"/>
      <w:lvlText w:val=""/>
      <w:lvlJc w:val="left"/>
      <w:pPr>
        <w:tabs>
          <w:tab w:val="num" w:pos="2160"/>
        </w:tabs>
        <w:ind w:left="2160" w:hanging="360"/>
      </w:pPr>
      <w:rPr>
        <w:rFonts w:ascii="Wingdings" w:hAnsi="Wingdings" w:hint="default"/>
        <w:sz w:val="20"/>
      </w:rPr>
    </w:lvl>
    <w:lvl w:ilvl="3" w:tplc="89F625DE" w:tentative="1">
      <w:start w:val="1"/>
      <w:numFmt w:val="bullet"/>
      <w:lvlText w:val=""/>
      <w:lvlJc w:val="left"/>
      <w:pPr>
        <w:tabs>
          <w:tab w:val="num" w:pos="2880"/>
        </w:tabs>
        <w:ind w:left="2880" w:hanging="360"/>
      </w:pPr>
      <w:rPr>
        <w:rFonts w:ascii="Wingdings" w:hAnsi="Wingdings" w:hint="default"/>
        <w:sz w:val="20"/>
      </w:rPr>
    </w:lvl>
    <w:lvl w:ilvl="4" w:tplc="05F4C4D4" w:tentative="1">
      <w:start w:val="1"/>
      <w:numFmt w:val="bullet"/>
      <w:lvlText w:val=""/>
      <w:lvlJc w:val="left"/>
      <w:pPr>
        <w:tabs>
          <w:tab w:val="num" w:pos="3600"/>
        </w:tabs>
        <w:ind w:left="3600" w:hanging="360"/>
      </w:pPr>
      <w:rPr>
        <w:rFonts w:ascii="Wingdings" w:hAnsi="Wingdings" w:hint="default"/>
        <w:sz w:val="20"/>
      </w:rPr>
    </w:lvl>
    <w:lvl w:ilvl="5" w:tplc="8DE0747C" w:tentative="1">
      <w:start w:val="1"/>
      <w:numFmt w:val="bullet"/>
      <w:lvlText w:val=""/>
      <w:lvlJc w:val="left"/>
      <w:pPr>
        <w:tabs>
          <w:tab w:val="num" w:pos="4320"/>
        </w:tabs>
        <w:ind w:left="4320" w:hanging="360"/>
      </w:pPr>
      <w:rPr>
        <w:rFonts w:ascii="Wingdings" w:hAnsi="Wingdings" w:hint="default"/>
        <w:sz w:val="20"/>
      </w:rPr>
    </w:lvl>
    <w:lvl w:ilvl="6" w:tplc="31F4DB20" w:tentative="1">
      <w:start w:val="1"/>
      <w:numFmt w:val="bullet"/>
      <w:lvlText w:val=""/>
      <w:lvlJc w:val="left"/>
      <w:pPr>
        <w:tabs>
          <w:tab w:val="num" w:pos="5040"/>
        </w:tabs>
        <w:ind w:left="5040" w:hanging="360"/>
      </w:pPr>
      <w:rPr>
        <w:rFonts w:ascii="Wingdings" w:hAnsi="Wingdings" w:hint="default"/>
        <w:sz w:val="20"/>
      </w:rPr>
    </w:lvl>
    <w:lvl w:ilvl="7" w:tplc="F23A6108" w:tentative="1">
      <w:start w:val="1"/>
      <w:numFmt w:val="bullet"/>
      <w:lvlText w:val=""/>
      <w:lvlJc w:val="left"/>
      <w:pPr>
        <w:tabs>
          <w:tab w:val="num" w:pos="5760"/>
        </w:tabs>
        <w:ind w:left="5760" w:hanging="360"/>
      </w:pPr>
      <w:rPr>
        <w:rFonts w:ascii="Wingdings" w:hAnsi="Wingdings" w:hint="default"/>
        <w:sz w:val="20"/>
      </w:rPr>
    </w:lvl>
    <w:lvl w:ilvl="8" w:tplc="EF4CB866" w:tentative="1">
      <w:start w:val="1"/>
      <w:numFmt w:val="bullet"/>
      <w:lvlText w:val=""/>
      <w:lvlJc w:val="left"/>
      <w:pPr>
        <w:tabs>
          <w:tab w:val="num" w:pos="6480"/>
        </w:tabs>
        <w:ind w:left="6480" w:hanging="360"/>
      </w:pPr>
      <w:rPr>
        <w:rFonts w:ascii="Wingdings" w:hAnsi="Wingdings" w:hint="default"/>
        <w:sz w:val="20"/>
      </w:rPr>
    </w:lvl>
  </w:abstractNum>
  <w:abstractNum w:abstractNumId="232">
    <w:nsid w:val="123E7A6E"/>
    <w:multiLevelType w:val="hybridMultilevel"/>
    <w:tmpl w:val="3B7C5CA0"/>
    <w:lvl w:ilvl="0" w:tplc="5F3846E4">
      <w:numFmt w:val="bullet"/>
      <w:lvlText w:val="-"/>
      <w:lvlJc w:val="left"/>
      <w:pPr>
        <w:tabs>
          <w:tab w:val="num" w:pos="360"/>
        </w:tabs>
        <w:ind w:left="340" w:hanging="34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33">
    <w:nsid w:val="125D3B07"/>
    <w:multiLevelType w:val="hybridMultilevel"/>
    <w:tmpl w:val="7F043310"/>
    <w:lvl w:ilvl="0" w:tplc="3CC0E3B8">
      <w:start w:val="1"/>
      <w:numFmt w:val="bullet"/>
      <w:lvlText w:val=""/>
      <w:lvlJc w:val="left"/>
      <w:pPr>
        <w:tabs>
          <w:tab w:val="num" w:pos="720"/>
        </w:tabs>
        <w:ind w:left="720" w:hanging="360"/>
      </w:pPr>
      <w:rPr>
        <w:rFonts w:ascii="Symbol" w:hAnsi="Symbol" w:hint="default"/>
        <w:sz w:val="20"/>
      </w:rPr>
    </w:lvl>
    <w:lvl w:ilvl="1" w:tplc="95D2039E" w:tentative="1">
      <w:start w:val="1"/>
      <w:numFmt w:val="bullet"/>
      <w:lvlText w:val="o"/>
      <w:lvlJc w:val="left"/>
      <w:pPr>
        <w:tabs>
          <w:tab w:val="num" w:pos="1440"/>
        </w:tabs>
        <w:ind w:left="1440" w:hanging="360"/>
      </w:pPr>
      <w:rPr>
        <w:rFonts w:ascii="Courier New" w:hAnsi="Courier New" w:hint="default"/>
        <w:sz w:val="20"/>
      </w:rPr>
    </w:lvl>
    <w:lvl w:ilvl="2" w:tplc="FE28EDD8" w:tentative="1">
      <w:start w:val="1"/>
      <w:numFmt w:val="bullet"/>
      <w:lvlText w:val=""/>
      <w:lvlJc w:val="left"/>
      <w:pPr>
        <w:tabs>
          <w:tab w:val="num" w:pos="2160"/>
        </w:tabs>
        <w:ind w:left="2160" w:hanging="360"/>
      </w:pPr>
      <w:rPr>
        <w:rFonts w:ascii="Wingdings" w:hAnsi="Wingdings" w:hint="default"/>
        <w:sz w:val="20"/>
      </w:rPr>
    </w:lvl>
    <w:lvl w:ilvl="3" w:tplc="04489A8C" w:tentative="1">
      <w:start w:val="1"/>
      <w:numFmt w:val="bullet"/>
      <w:lvlText w:val=""/>
      <w:lvlJc w:val="left"/>
      <w:pPr>
        <w:tabs>
          <w:tab w:val="num" w:pos="2880"/>
        </w:tabs>
        <w:ind w:left="2880" w:hanging="360"/>
      </w:pPr>
      <w:rPr>
        <w:rFonts w:ascii="Wingdings" w:hAnsi="Wingdings" w:hint="default"/>
        <w:sz w:val="20"/>
      </w:rPr>
    </w:lvl>
    <w:lvl w:ilvl="4" w:tplc="7D76ABDC" w:tentative="1">
      <w:start w:val="1"/>
      <w:numFmt w:val="bullet"/>
      <w:lvlText w:val=""/>
      <w:lvlJc w:val="left"/>
      <w:pPr>
        <w:tabs>
          <w:tab w:val="num" w:pos="3600"/>
        </w:tabs>
        <w:ind w:left="3600" w:hanging="360"/>
      </w:pPr>
      <w:rPr>
        <w:rFonts w:ascii="Wingdings" w:hAnsi="Wingdings" w:hint="default"/>
        <w:sz w:val="20"/>
      </w:rPr>
    </w:lvl>
    <w:lvl w:ilvl="5" w:tplc="9C7CBF26" w:tentative="1">
      <w:start w:val="1"/>
      <w:numFmt w:val="bullet"/>
      <w:lvlText w:val=""/>
      <w:lvlJc w:val="left"/>
      <w:pPr>
        <w:tabs>
          <w:tab w:val="num" w:pos="4320"/>
        </w:tabs>
        <w:ind w:left="4320" w:hanging="360"/>
      </w:pPr>
      <w:rPr>
        <w:rFonts w:ascii="Wingdings" w:hAnsi="Wingdings" w:hint="default"/>
        <w:sz w:val="20"/>
      </w:rPr>
    </w:lvl>
    <w:lvl w:ilvl="6" w:tplc="A2BA2866" w:tentative="1">
      <w:start w:val="1"/>
      <w:numFmt w:val="bullet"/>
      <w:lvlText w:val=""/>
      <w:lvlJc w:val="left"/>
      <w:pPr>
        <w:tabs>
          <w:tab w:val="num" w:pos="5040"/>
        </w:tabs>
        <w:ind w:left="5040" w:hanging="360"/>
      </w:pPr>
      <w:rPr>
        <w:rFonts w:ascii="Wingdings" w:hAnsi="Wingdings" w:hint="default"/>
        <w:sz w:val="20"/>
      </w:rPr>
    </w:lvl>
    <w:lvl w:ilvl="7" w:tplc="27A2F8E6" w:tentative="1">
      <w:start w:val="1"/>
      <w:numFmt w:val="bullet"/>
      <w:lvlText w:val=""/>
      <w:lvlJc w:val="left"/>
      <w:pPr>
        <w:tabs>
          <w:tab w:val="num" w:pos="5760"/>
        </w:tabs>
        <w:ind w:left="5760" w:hanging="360"/>
      </w:pPr>
      <w:rPr>
        <w:rFonts w:ascii="Wingdings" w:hAnsi="Wingdings" w:hint="default"/>
        <w:sz w:val="20"/>
      </w:rPr>
    </w:lvl>
    <w:lvl w:ilvl="8" w:tplc="3ED045A0" w:tentative="1">
      <w:start w:val="1"/>
      <w:numFmt w:val="bullet"/>
      <w:lvlText w:val=""/>
      <w:lvlJc w:val="left"/>
      <w:pPr>
        <w:tabs>
          <w:tab w:val="num" w:pos="6480"/>
        </w:tabs>
        <w:ind w:left="6480" w:hanging="360"/>
      </w:pPr>
      <w:rPr>
        <w:rFonts w:ascii="Wingdings" w:hAnsi="Wingdings" w:hint="default"/>
        <w:sz w:val="20"/>
      </w:rPr>
    </w:lvl>
  </w:abstractNum>
  <w:abstractNum w:abstractNumId="234">
    <w:nsid w:val="12600EE5"/>
    <w:multiLevelType w:val="hybridMultilevel"/>
    <w:tmpl w:val="B852D798"/>
    <w:lvl w:ilvl="0" w:tplc="04150005">
      <w:start w:val="1"/>
      <w:numFmt w:val="bullet"/>
      <w:lvlText w:val=""/>
      <w:lvlJc w:val="left"/>
      <w:pPr>
        <w:tabs>
          <w:tab w:val="num" w:pos="720"/>
        </w:tabs>
        <w:ind w:left="720" w:hanging="360"/>
      </w:pPr>
      <w:rPr>
        <w:rFonts w:ascii="Wingdings" w:hAnsi="Wingdings" w:hint="default"/>
        <w:sz w:val="20"/>
      </w:rPr>
    </w:lvl>
    <w:lvl w:ilvl="1" w:tplc="E1B2E584" w:tentative="1">
      <w:start w:val="1"/>
      <w:numFmt w:val="bullet"/>
      <w:lvlText w:val="o"/>
      <w:lvlJc w:val="left"/>
      <w:pPr>
        <w:tabs>
          <w:tab w:val="num" w:pos="1440"/>
        </w:tabs>
        <w:ind w:left="1440" w:hanging="360"/>
      </w:pPr>
      <w:rPr>
        <w:rFonts w:ascii="Courier New" w:hAnsi="Courier New" w:hint="default"/>
        <w:sz w:val="20"/>
      </w:rPr>
    </w:lvl>
    <w:lvl w:ilvl="2" w:tplc="83C0D79C" w:tentative="1">
      <w:start w:val="1"/>
      <w:numFmt w:val="bullet"/>
      <w:lvlText w:val=""/>
      <w:lvlJc w:val="left"/>
      <w:pPr>
        <w:tabs>
          <w:tab w:val="num" w:pos="2160"/>
        </w:tabs>
        <w:ind w:left="2160" w:hanging="360"/>
      </w:pPr>
      <w:rPr>
        <w:rFonts w:ascii="Wingdings" w:hAnsi="Wingdings" w:hint="default"/>
        <w:sz w:val="20"/>
      </w:rPr>
    </w:lvl>
    <w:lvl w:ilvl="3" w:tplc="28C46648" w:tentative="1">
      <w:start w:val="1"/>
      <w:numFmt w:val="bullet"/>
      <w:lvlText w:val=""/>
      <w:lvlJc w:val="left"/>
      <w:pPr>
        <w:tabs>
          <w:tab w:val="num" w:pos="2880"/>
        </w:tabs>
        <w:ind w:left="2880" w:hanging="360"/>
      </w:pPr>
      <w:rPr>
        <w:rFonts w:ascii="Wingdings" w:hAnsi="Wingdings" w:hint="default"/>
        <w:sz w:val="20"/>
      </w:rPr>
    </w:lvl>
    <w:lvl w:ilvl="4" w:tplc="31B65FB2" w:tentative="1">
      <w:start w:val="1"/>
      <w:numFmt w:val="bullet"/>
      <w:lvlText w:val=""/>
      <w:lvlJc w:val="left"/>
      <w:pPr>
        <w:tabs>
          <w:tab w:val="num" w:pos="3600"/>
        </w:tabs>
        <w:ind w:left="3600" w:hanging="360"/>
      </w:pPr>
      <w:rPr>
        <w:rFonts w:ascii="Wingdings" w:hAnsi="Wingdings" w:hint="default"/>
        <w:sz w:val="20"/>
      </w:rPr>
    </w:lvl>
    <w:lvl w:ilvl="5" w:tplc="BF2A63F4" w:tentative="1">
      <w:start w:val="1"/>
      <w:numFmt w:val="bullet"/>
      <w:lvlText w:val=""/>
      <w:lvlJc w:val="left"/>
      <w:pPr>
        <w:tabs>
          <w:tab w:val="num" w:pos="4320"/>
        </w:tabs>
        <w:ind w:left="4320" w:hanging="360"/>
      </w:pPr>
      <w:rPr>
        <w:rFonts w:ascii="Wingdings" w:hAnsi="Wingdings" w:hint="default"/>
        <w:sz w:val="20"/>
      </w:rPr>
    </w:lvl>
    <w:lvl w:ilvl="6" w:tplc="E82C725C" w:tentative="1">
      <w:start w:val="1"/>
      <w:numFmt w:val="bullet"/>
      <w:lvlText w:val=""/>
      <w:lvlJc w:val="left"/>
      <w:pPr>
        <w:tabs>
          <w:tab w:val="num" w:pos="5040"/>
        </w:tabs>
        <w:ind w:left="5040" w:hanging="360"/>
      </w:pPr>
      <w:rPr>
        <w:rFonts w:ascii="Wingdings" w:hAnsi="Wingdings" w:hint="default"/>
        <w:sz w:val="20"/>
      </w:rPr>
    </w:lvl>
    <w:lvl w:ilvl="7" w:tplc="A57AAB8C" w:tentative="1">
      <w:start w:val="1"/>
      <w:numFmt w:val="bullet"/>
      <w:lvlText w:val=""/>
      <w:lvlJc w:val="left"/>
      <w:pPr>
        <w:tabs>
          <w:tab w:val="num" w:pos="5760"/>
        </w:tabs>
        <w:ind w:left="5760" w:hanging="360"/>
      </w:pPr>
      <w:rPr>
        <w:rFonts w:ascii="Wingdings" w:hAnsi="Wingdings" w:hint="default"/>
        <w:sz w:val="20"/>
      </w:rPr>
    </w:lvl>
    <w:lvl w:ilvl="8" w:tplc="875C7C30" w:tentative="1">
      <w:start w:val="1"/>
      <w:numFmt w:val="bullet"/>
      <w:lvlText w:val=""/>
      <w:lvlJc w:val="left"/>
      <w:pPr>
        <w:tabs>
          <w:tab w:val="num" w:pos="6480"/>
        </w:tabs>
        <w:ind w:left="6480" w:hanging="360"/>
      </w:pPr>
      <w:rPr>
        <w:rFonts w:ascii="Wingdings" w:hAnsi="Wingdings" w:hint="default"/>
        <w:sz w:val="20"/>
      </w:rPr>
    </w:lvl>
  </w:abstractNum>
  <w:abstractNum w:abstractNumId="235">
    <w:nsid w:val="13705734"/>
    <w:multiLevelType w:val="hybridMultilevel"/>
    <w:tmpl w:val="5650B914"/>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6">
    <w:nsid w:val="142B779B"/>
    <w:multiLevelType w:val="hybridMultilevel"/>
    <w:tmpl w:val="A8A4362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7">
    <w:nsid w:val="142B7921"/>
    <w:multiLevelType w:val="hybridMultilevel"/>
    <w:tmpl w:val="98EE87DA"/>
    <w:lvl w:ilvl="0" w:tplc="04150005">
      <w:start w:val="1"/>
      <w:numFmt w:val="bullet"/>
      <w:lvlText w:val=""/>
      <w:lvlJc w:val="left"/>
      <w:pPr>
        <w:ind w:left="360" w:hanging="360"/>
      </w:pPr>
      <w:rPr>
        <w:rFonts w:ascii="Wingdings" w:hAnsi="Wingdings"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38">
    <w:nsid w:val="1437492D"/>
    <w:multiLevelType w:val="hybridMultilevel"/>
    <w:tmpl w:val="1AF0EACE"/>
    <w:lvl w:ilvl="0" w:tplc="04150005">
      <w:start w:val="1"/>
      <w:numFmt w:val="bullet"/>
      <w:lvlText w:val=""/>
      <w:lvlJc w:val="left"/>
      <w:pPr>
        <w:tabs>
          <w:tab w:val="num" w:pos="720"/>
        </w:tabs>
        <w:ind w:left="720" w:hanging="360"/>
      </w:pPr>
      <w:rPr>
        <w:rFonts w:ascii="Wingdings" w:hAnsi="Wingdings" w:hint="default"/>
        <w:sz w:val="20"/>
      </w:rPr>
    </w:lvl>
    <w:lvl w:ilvl="1" w:tplc="CC7647AC" w:tentative="1">
      <w:start w:val="1"/>
      <w:numFmt w:val="bullet"/>
      <w:lvlText w:val="o"/>
      <w:lvlJc w:val="left"/>
      <w:pPr>
        <w:tabs>
          <w:tab w:val="num" w:pos="1440"/>
        </w:tabs>
        <w:ind w:left="1440" w:hanging="360"/>
      </w:pPr>
      <w:rPr>
        <w:rFonts w:ascii="Courier New" w:hAnsi="Courier New" w:hint="default"/>
        <w:sz w:val="20"/>
      </w:rPr>
    </w:lvl>
    <w:lvl w:ilvl="2" w:tplc="082E2B40" w:tentative="1">
      <w:start w:val="1"/>
      <w:numFmt w:val="bullet"/>
      <w:lvlText w:val=""/>
      <w:lvlJc w:val="left"/>
      <w:pPr>
        <w:tabs>
          <w:tab w:val="num" w:pos="2160"/>
        </w:tabs>
        <w:ind w:left="2160" w:hanging="360"/>
      </w:pPr>
      <w:rPr>
        <w:rFonts w:ascii="Wingdings" w:hAnsi="Wingdings" w:hint="default"/>
        <w:sz w:val="20"/>
      </w:rPr>
    </w:lvl>
    <w:lvl w:ilvl="3" w:tplc="B3381F66" w:tentative="1">
      <w:start w:val="1"/>
      <w:numFmt w:val="bullet"/>
      <w:lvlText w:val=""/>
      <w:lvlJc w:val="left"/>
      <w:pPr>
        <w:tabs>
          <w:tab w:val="num" w:pos="2880"/>
        </w:tabs>
        <w:ind w:left="2880" w:hanging="360"/>
      </w:pPr>
      <w:rPr>
        <w:rFonts w:ascii="Wingdings" w:hAnsi="Wingdings" w:hint="default"/>
        <w:sz w:val="20"/>
      </w:rPr>
    </w:lvl>
    <w:lvl w:ilvl="4" w:tplc="FDAC7788" w:tentative="1">
      <w:start w:val="1"/>
      <w:numFmt w:val="bullet"/>
      <w:lvlText w:val=""/>
      <w:lvlJc w:val="left"/>
      <w:pPr>
        <w:tabs>
          <w:tab w:val="num" w:pos="3600"/>
        </w:tabs>
        <w:ind w:left="3600" w:hanging="360"/>
      </w:pPr>
      <w:rPr>
        <w:rFonts w:ascii="Wingdings" w:hAnsi="Wingdings" w:hint="default"/>
        <w:sz w:val="20"/>
      </w:rPr>
    </w:lvl>
    <w:lvl w:ilvl="5" w:tplc="1B305F88" w:tentative="1">
      <w:start w:val="1"/>
      <w:numFmt w:val="bullet"/>
      <w:lvlText w:val=""/>
      <w:lvlJc w:val="left"/>
      <w:pPr>
        <w:tabs>
          <w:tab w:val="num" w:pos="4320"/>
        </w:tabs>
        <w:ind w:left="4320" w:hanging="360"/>
      </w:pPr>
      <w:rPr>
        <w:rFonts w:ascii="Wingdings" w:hAnsi="Wingdings" w:hint="default"/>
        <w:sz w:val="20"/>
      </w:rPr>
    </w:lvl>
    <w:lvl w:ilvl="6" w:tplc="5486FF84" w:tentative="1">
      <w:start w:val="1"/>
      <w:numFmt w:val="bullet"/>
      <w:lvlText w:val=""/>
      <w:lvlJc w:val="left"/>
      <w:pPr>
        <w:tabs>
          <w:tab w:val="num" w:pos="5040"/>
        </w:tabs>
        <w:ind w:left="5040" w:hanging="360"/>
      </w:pPr>
      <w:rPr>
        <w:rFonts w:ascii="Wingdings" w:hAnsi="Wingdings" w:hint="default"/>
        <w:sz w:val="20"/>
      </w:rPr>
    </w:lvl>
    <w:lvl w:ilvl="7" w:tplc="EFB4727A" w:tentative="1">
      <w:start w:val="1"/>
      <w:numFmt w:val="bullet"/>
      <w:lvlText w:val=""/>
      <w:lvlJc w:val="left"/>
      <w:pPr>
        <w:tabs>
          <w:tab w:val="num" w:pos="5760"/>
        </w:tabs>
        <w:ind w:left="5760" w:hanging="360"/>
      </w:pPr>
      <w:rPr>
        <w:rFonts w:ascii="Wingdings" w:hAnsi="Wingdings" w:hint="default"/>
        <w:sz w:val="20"/>
      </w:rPr>
    </w:lvl>
    <w:lvl w:ilvl="8" w:tplc="35124DDA" w:tentative="1">
      <w:start w:val="1"/>
      <w:numFmt w:val="bullet"/>
      <w:lvlText w:val=""/>
      <w:lvlJc w:val="left"/>
      <w:pPr>
        <w:tabs>
          <w:tab w:val="num" w:pos="6480"/>
        </w:tabs>
        <w:ind w:left="6480" w:hanging="360"/>
      </w:pPr>
      <w:rPr>
        <w:rFonts w:ascii="Wingdings" w:hAnsi="Wingdings" w:hint="default"/>
        <w:sz w:val="20"/>
      </w:rPr>
    </w:lvl>
  </w:abstractNum>
  <w:abstractNum w:abstractNumId="239">
    <w:nsid w:val="14715EC3"/>
    <w:multiLevelType w:val="multilevel"/>
    <w:tmpl w:val="5D981BAA"/>
    <w:lvl w:ilvl="0">
      <w:start w:val="2"/>
      <w:numFmt w:val="decimal"/>
      <w:lvlText w:val="%1."/>
      <w:lvlJc w:val="left"/>
      <w:pPr>
        <w:ind w:left="630" w:hanging="630"/>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0">
    <w:nsid w:val="14FD63F6"/>
    <w:multiLevelType w:val="hybridMultilevel"/>
    <w:tmpl w:val="1AF22B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1">
    <w:nsid w:val="15115CC2"/>
    <w:multiLevelType w:val="hybridMultilevel"/>
    <w:tmpl w:val="CB40FEF0"/>
    <w:lvl w:ilvl="0" w:tplc="1A24359A">
      <w:start w:val="1"/>
      <w:numFmt w:val="decimal"/>
      <w:lvlText w:val="%1."/>
      <w:lvlJc w:val="left"/>
      <w:pPr>
        <w:ind w:left="303" w:hanging="360"/>
      </w:pPr>
      <w:rPr>
        <w:rFonts w:hint="default"/>
      </w:rPr>
    </w:lvl>
    <w:lvl w:ilvl="1" w:tplc="04150019" w:tentative="1">
      <w:start w:val="1"/>
      <w:numFmt w:val="lowerLetter"/>
      <w:lvlText w:val="%2."/>
      <w:lvlJc w:val="left"/>
      <w:pPr>
        <w:ind w:left="1023" w:hanging="360"/>
      </w:pPr>
    </w:lvl>
    <w:lvl w:ilvl="2" w:tplc="0415001B" w:tentative="1">
      <w:start w:val="1"/>
      <w:numFmt w:val="lowerRoman"/>
      <w:lvlText w:val="%3."/>
      <w:lvlJc w:val="right"/>
      <w:pPr>
        <w:ind w:left="1743" w:hanging="180"/>
      </w:pPr>
    </w:lvl>
    <w:lvl w:ilvl="3" w:tplc="0415000F" w:tentative="1">
      <w:start w:val="1"/>
      <w:numFmt w:val="decimal"/>
      <w:lvlText w:val="%4."/>
      <w:lvlJc w:val="left"/>
      <w:pPr>
        <w:ind w:left="2463" w:hanging="360"/>
      </w:pPr>
    </w:lvl>
    <w:lvl w:ilvl="4" w:tplc="04150019" w:tentative="1">
      <w:start w:val="1"/>
      <w:numFmt w:val="lowerLetter"/>
      <w:lvlText w:val="%5."/>
      <w:lvlJc w:val="left"/>
      <w:pPr>
        <w:ind w:left="3183" w:hanging="360"/>
      </w:pPr>
    </w:lvl>
    <w:lvl w:ilvl="5" w:tplc="0415001B" w:tentative="1">
      <w:start w:val="1"/>
      <w:numFmt w:val="lowerRoman"/>
      <w:lvlText w:val="%6."/>
      <w:lvlJc w:val="right"/>
      <w:pPr>
        <w:ind w:left="3903" w:hanging="180"/>
      </w:pPr>
    </w:lvl>
    <w:lvl w:ilvl="6" w:tplc="0415000F" w:tentative="1">
      <w:start w:val="1"/>
      <w:numFmt w:val="decimal"/>
      <w:lvlText w:val="%7."/>
      <w:lvlJc w:val="left"/>
      <w:pPr>
        <w:ind w:left="4623" w:hanging="360"/>
      </w:pPr>
    </w:lvl>
    <w:lvl w:ilvl="7" w:tplc="04150019" w:tentative="1">
      <w:start w:val="1"/>
      <w:numFmt w:val="lowerLetter"/>
      <w:lvlText w:val="%8."/>
      <w:lvlJc w:val="left"/>
      <w:pPr>
        <w:ind w:left="5343" w:hanging="360"/>
      </w:pPr>
    </w:lvl>
    <w:lvl w:ilvl="8" w:tplc="0415001B" w:tentative="1">
      <w:start w:val="1"/>
      <w:numFmt w:val="lowerRoman"/>
      <w:lvlText w:val="%9."/>
      <w:lvlJc w:val="right"/>
      <w:pPr>
        <w:ind w:left="6063" w:hanging="180"/>
      </w:pPr>
    </w:lvl>
  </w:abstractNum>
  <w:abstractNum w:abstractNumId="242">
    <w:nsid w:val="154A6659"/>
    <w:multiLevelType w:val="hybridMultilevel"/>
    <w:tmpl w:val="FEA25156"/>
    <w:lvl w:ilvl="0" w:tplc="04150005">
      <w:start w:val="1"/>
      <w:numFmt w:val="bullet"/>
      <w:lvlText w:val=""/>
      <w:lvlJc w:val="left"/>
      <w:pPr>
        <w:tabs>
          <w:tab w:val="num" w:pos="720"/>
        </w:tabs>
        <w:ind w:left="720" w:hanging="360"/>
      </w:pPr>
      <w:rPr>
        <w:rFonts w:ascii="Wingdings" w:hAnsi="Wingdings" w:hint="default"/>
        <w:sz w:val="20"/>
      </w:rPr>
    </w:lvl>
    <w:lvl w:ilvl="1" w:tplc="1B3E6E64">
      <w:start w:val="1"/>
      <w:numFmt w:val="bullet"/>
      <w:lvlText w:val="o"/>
      <w:lvlJc w:val="left"/>
      <w:pPr>
        <w:tabs>
          <w:tab w:val="num" w:pos="1440"/>
        </w:tabs>
        <w:ind w:left="1440" w:hanging="360"/>
      </w:pPr>
      <w:rPr>
        <w:rFonts w:ascii="Courier New" w:hAnsi="Courier New" w:hint="default"/>
        <w:sz w:val="20"/>
      </w:rPr>
    </w:lvl>
    <w:lvl w:ilvl="2" w:tplc="5822855E" w:tentative="1">
      <w:start w:val="1"/>
      <w:numFmt w:val="bullet"/>
      <w:lvlText w:val=""/>
      <w:lvlJc w:val="left"/>
      <w:pPr>
        <w:tabs>
          <w:tab w:val="num" w:pos="2160"/>
        </w:tabs>
        <w:ind w:left="2160" w:hanging="360"/>
      </w:pPr>
      <w:rPr>
        <w:rFonts w:ascii="Wingdings" w:hAnsi="Wingdings" w:hint="default"/>
        <w:sz w:val="20"/>
      </w:rPr>
    </w:lvl>
    <w:lvl w:ilvl="3" w:tplc="F5182B9A" w:tentative="1">
      <w:start w:val="1"/>
      <w:numFmt w:val="bullet"/>
      <w:lvlText w:val=""/>
      <w:lvlJc w:val="left"/>
      <w:pPr>
        <w:tabs>
          <w:tab w:val="num" w:pos="2880"/>
        </w:tabs>
        <w:ind w:left="2880" w:hanging="360"/>
      </w:pPr>
      <w:rPr>
        <w:rFonts w:ascii="Wingdings" w:hAnsi="Wingdings" w:hint="default"/>
        <w:sz w:val="20"/>
      </w:rPr>
    </w:lvl>
    <w:lvl w:ilvl="4" w:tplc="3C0AA856" w:tentative="1">
      <w:start w:val="1"/>
      <w:numFmt w:val="bullet"/>
      <w:lvlText w:val=""/>
      <w:lvlJc w:val="left"/>
      <w:pPr>
        <w:tabs>
          <w:tab w:val="num" w:pos="3600"/>
        </w:tabs>
        <w:ind w:left="3600" w:hanging="360"/>
      </w:pPr>
      <w:rPr>
        <w:rFonts w:ascii="Wingdings" w:hAnsi="Wingdings" w:hint="default"/>
        <w:sz w:val="20"/>
      </w:rPr>
    </w:lvl>
    <w:lvl w:ilvl="5" w:tplc="5A96B3B2" w:tentative="1">
      <w:start w:val="1"/>
      <w:numFmt w:val="bullet"/>
      <w:lvlText w:val=""/>
      <w:lvlJc w:val="left"/>
      <w:pPr>
        <w:tabs>
          <w:tab w:val="num" w:pos="4320"/>
        </w:tabs>
        <w:ind w:left="4320" w:hanging="360"/>
      </w:pPr>
      <w:rPr>
        <w:rFonts w:ascii="Wingdings" w:hAnsi="Wingdings" w:hint="default"/>
        <w:sz w:val="20"/>
      </w:rPr>
    </w:lvl>
    <w:lvl w:ilvl="6" w:tplc="56C0981E" w:tentative="1">
      <w:start w:val="1"/>
      <w:numFmt w:val="bullet"/>
      <w:lvlText w:val=""/>
      <w:lvlJc w:val="left"/>
      <w:pPr>
        <w:tabs>
          <w:tab w:val="num" w:pos="5040"/>
        </w:tabs>
        <w:ind w:left="5040" w:hanging="360"/>
      </w:pPr>
      <w:rPr>
        <w:rFonts w:ascii="Wingdings" w:hAnsi="Wingdings" w:hint="default"/>
        <w:sz w:val="20"/>
      </w:rPr>
    </w:lvl>
    <w:lvl w:ilvl="7" w:tplc="1B9CB89C" w:tentative="1">
      <w:start w:val="1"/>
      <w:numFmt w:val="bullet"/>
      <w:lvlText w:val=""/>
      <w:lvlJc w:val="left"/>
      <w:pPr>
        <w:tabs>
          <w:tab w:val="num" w:pos="5760"/>
        </w:tabs>
        <w:ind w:left="5760" w:hanging="360"/>
      </w:pPr>
      <w:rPr>
        <w:rFonts w:ascii="Wingdings" w:hAnsi="Wingdings" w:hint="default"/>
        <w:sz w:val="20"/>
      </w:rPr>
    </w:lvl>
    <w:lvl w:ilvl="8" w:tplc="B8843DAA" w:tentative="1">
      <w:start w:val="1"/>
      <w:numFmt w:val="bullet"/>
      <w:lvlText w:val=""/>
      <w:lvlJc w:val="left"/>
      <w:pPr>
        <w:tabs>
          <w:tab w:val="num" w:pos="6480"/>
        </w:tabs>
        <w:ind w:left="6480" w:hanging="360"/>
      </w:pPr>
      <w:rPr>
        <w:rFonts w:ascii="Wingdings" w:hAnsi="Wingdings" w:hint="default"/>
        <w:sz w:val="20"/>
      </w:rPr>
    </w:lvl>
  </w:abstractNum>
  <w:abstractNum w:abstractNumId="243">
    <w:nsid w:val="15522640"/>
    <w:multiLevelType w:val="hybridMultilevel"/>
    <w:tmpl w:val="6158FE42"/>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244">
    <w:nsid w:val="158E1575"/>
    <w:multiLevelType w:val="hybridMultilevel"/>
    <w:tmpl w:val="B33A484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5">
    <w:nsid w:val="15B7412F"/>
    <w:multiLevelType w:val="hybridMultilevel"/>
    <w:tmpl w:val="C29A23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6">
    <w:nsid w:val="15E35CD8"/>
    <w:multiLevelType w:val="hybridMultilevel"/>
    <w:tmpl w:val="47EA560E"/>
    <w:lvl w:ilvl="0" w:tplc="ABE4B4EC">
      <w:start w:val="1"/>
      <w:numFmt w:val="bullet"/>
      <w:lvlText w:val=""/>
      <w:lvlJc w:val="left"/>
      <w:pPr>
        <w:tabs>
          <w:tab w:val="num" w:pos="720"/>
        </w:tabs>
        <w:ind w:left="720" w:hanging="360"/>
      </w:pPr>
      <w:rPr>
        <w:rFonts w:ascii="Symbol" w:hAnsi="Symbol" w:hint="default"/>
        <w:sz w:val="20"/>
      </w:rPr>
    </w:lvl>
    <w:lvl w:ilvl="1" w:tplc="753277BE" w:tentative="1">
      <w:start w:val="1"/>
      <w:numFmt w:val="bullet"/>
      <w:lvlText w:val="o"/>
      <w:lvlJc w:val="left"/>
      <w:pPr>
        <w:tabs>
          <w:tab w:val="num" w:pos="1440"/>
        </w:tabs>
        <w:ind w:left="1440" w:hanging="360"/>
      </w:pPr>
      <w:rPr>
        <w:rFonts w:ascii="Courier New" w:hAnsi="Courier New" w:hint="default"/>
        <w:sz w:val="20"/>
      </w:rPr>
    </w:lvl>
    <w:lvl w:ilvl="2" w:tplc="30D25A1A" w:tentative="1">
      <w:start w:val="1"/>
      <w:numFmt w:val="bullet"/>
      <w:lvlText w:val=""/>
      <w:lvlJc w:val="left"/>
      <w:pPr>
        <w:tabs>
          <w:tab w:val="num" w:pos="2160"/>
        </w:tabs>
        <w:ind w:left="2160" w:hanging="360"/>
      </w:pPr>
      <w:rPr>
        <w:rFonts w:ascii="Wingdings" w:hAnsi="Wingdings" w:hint="default"/>
        <w:sz w:val="20"/>
      </w:rPr>
    </w:lvl>
    <w:lvl w:ilvl="3" w:tplc="FC90DE6C" w:tentative="1">
      <w:start w:val="1"/>
      <w:numFmt w:val="bullet"/>
      <w:lvlText w:val=""/>
      <w:lvlJc w:val="left"/>
      <w:pPr>
        <w:tabs>
          <w:tab w:val="num" w:pos="2880"/>
        </w:tabs>
        <w:ind w:left="2880" w:hanging="360"/>
      </w:pPr>
      <w:rPr>
        <w:rFonts w:ascii="Wingdings" w:hAnsi="Wingdings" w:hint="default"/>
        <w:sz w:val="20"/>
      </w:rPr>
    </w:lvl>
    <w:lvl w:ilvl="4" w:tplc="62ACC078" w:tentative="1">
      <w:start w:val="1"/>
      <w:numFmt w:val="bullet"/>
      <w:lvlText w:val=""/>
      <w:lvlJc w:val="left"/>
      <w:pPr>
        <w:tabs>
          <w:tab w:val="num" w:pos="3600"/>
        </w:tabs>
        <w:ind w:left="3600" w:hanging="360"/>
      </w:pPr>
      <w:rPr>
        <w:rFonts w:ascii="Wingdings" w:hAnsi="Wingdings" w:hint="default"/>
        <w:sz w:val="20"/>
      </w:rPr>
    </w:lvl>
    <w:lvl w:ilvl="5" w:tplc="3FE46D94" w:tentative="1">
      <w:start w:val="1"/>
      <w:numFmt w:val="bullet"/>
      <w:lvlText w:val=""/>
      <w:lvlJc w:val="left"/>
      <w:pPr>
        <w:tabs>
          <w:tab w:val="num" w:pos="4320"/>
        </w:tabs>
        <w:ind w:left="4320" w:hanging="360"/>
      </w:pPr>
      <w:rPr>
        <w:rFonts w:ascii="Wingdings" w:hAnsi="Wingdings" w:hint="default"/>
        <w:sz w:val="20"/>
      </w:rPr>
    </w:lvl>
    <w:lvl w:ilvl="6" w:tplc="281E7EE2" w:tentative="1">
      <w:start w:val="1"/>
      <w:numFmt w:val="bullet"/>
      <w:lvlText w:val=""/>
      <w:lvlJc w:val="left"/>
      <w:pPr>
        <w:tabs>
          <w:tab w:val="num" w:pos="5040"/>
        </w:tabs>
        <w:ind w:left="5040" w:hanging="360"/>
      </w:pPr>
      <w:rPr>
        <w:rFonts w:ascii="Wingdings" w:hAnsi="Wingdings" w:hint="default"/>
        <w:sz w:val="20"/>
      </w:rPr>
    </w:lvl>
    <w:lvl w:ilvl="7" w:tplc="32182454" w:tentative="1">
      <w:start w:val="1"/>
      <w:numFmt w:val="bullet"/>
      <w:lvlText w:val=""/>
      <w:lvlJc w:val="left"/>
      <w:pPr>
        <w:tabs>
          <w:tab w:val="num" w:pos="5760"/>
        </w:tabs>
        <w:ind w:left="5760" w:hanging="360"/>
      </w:pPr>
      <w:rPr>
        <w:rFonts w:ascii="Wingdings" w:hAnsi="Wingdings" w:hint="default"/>
        <w:sz w:val="20"/>
      </w:rPr>
    </w:lvl>
    <w:lvl w:ilvl="8" w:tplc="3212494E" w:tentative="1">
      <w:start w:val="1"/>
      <w:numFmt w:val="bullet"/>
      <w:lvlText w:val=""/>
      <w:lvlJc w:val="left"/>
      <w:pPr>
        <w:tabs>
          <w:tab w:val="num" w:pos="6480"/>
        </w:tabs>
        <w:ind w:left="6480" w:hanging="360"/>
      </w:pPr>
      <w:rPr>
        <w:rFonts w:ascii="Wingdings" w:hAnsi="Wingdings" w:hint="default"/>
        <w:sz w:val="20"/>
      </w:rPr>
    </w:lvl>
  </w:abstractNum>
  <w:abstractNum w:abstractNumId="247">
    <w:nsid w:val="16016C58"/>
    <w:multiLevelType w:val="hybridMultilevel"/>
    <w:tmpl w:val="901AB672"/>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8">
    <w:nsid w:val="165F6A73"/>
    <w:multiLevelType w:val="hybridMultilevel"/>
    <w:tmpl w:val="2042DD18"/>
    <w:lvl w:ilvl="0" w:tplc="04150005">
      <w:start w:val="1"/>
      <w:numFmt w:val="bullet"/>
      <w:lvlText w:val=""/>
      <w:lvlJc w:val="left"/>
      <w:pPr>
        <w:tabs>
          <w:tab w:val="num" w:pos="1065"/>
        </w:tabs>
        <w:ind w:left="1065" w:hanging="705"/>
      </w:pPr>
      <w:rPr>
        <w:rFonts w:ascii="Wingdings" w:hAnsi="Wingdings" w:hint="default"/>
        <w:color w:val="auto"/>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49">
    <w:nsid w:val="16B428EE"/>
    <w:multiLevelType w:val="hybridMultilevel"/>
    <w:tmpl w:val="D3A4BD50"/>
    <w:lvl w:ilvl="0" w:tplc="21DE8A86">
      <w:start w:val="1"/>
      <w:numFmt w:val="bullet"/>
      <w:lvlText w:val=""/>
      <w:lvlJc w:val="left"/>
      <w:pPr>
        <w:ind w:left="720" w:hanging="360"/>
      </w:pPr>
      <w:rPr>
        <w:rFonts w:ascii="Wingdings" w:hAnsi="Wingdings" w:hint="default"/>
        <w:sz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0">
    <w:nsid w:val="16FF71D9"/>
    <w:multiLevelType w:val="hybridMultilevel"/>
    <w:tmpl w:val="659C9230"/>
    <w:lvl w:ilvl="0" w:tplc="5336CA88">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51">
    <w:nsid w:val="17141712"/>
    <w:multiLevelType w:val="hybridMultilevel"/>
    <w:tmpl w:val="710A14DE"/>
    <w:lvl w:ilvl="0" w:tplc="D4541C76">
      <w:start w:val="1"/>
      <w:numFmt w:val="decimal"/>
      <w:lvlText w:val="%1."/>
      <w:lvlJc w:val="left"/>
      <w:pPr>
        <w:tabs>
          <w:tab w:val="num" w:pos="720"/>
        </w:tabs>
        <w:ind w:left="720" w:hanging="360"/>
      </w:pPr>
    </w:lvl>
    <w:lvl w:ilvl="1" w:tplc="3DAA0A54" w:tentative="1">
      <w:start w:val="1"/>
      <w:numFmt w:val="decimal"/>
      <w:lvlText w:val="%2."/>
      <w:lvlJc w:val="left"/>
      <w:pPr>
        <w:tabs>
          <w:tab w:val="num" w:pos="1440"/>
        </w:tabs>
        <w:ind w:left="1440" w:hanging="360"/>
      </w:pPr>
    </w:lvl>
    <w:lvl w:ilvl="2" w:tplc="A4C2343A" w:tentative="1">
      <w:start w:val="1"/>
      <w:numFmt w:val="decimal"/>
      <w:lvlText w:val="%3."/>
      <w:lvlJc w:val="left"/>
      <w:pPr>
        <w:tabs>
          <w:tab w:val="num" w:pos="2160"/>
        </w:tabs>
        <w:ind w:left="2160" w:hanging="360"/>
      </w:pPr>
    </w:lvl>
    <w:lvl w:ilvl="3" w:tplc="0DCE0186" w:tentative="1">
      <w:start w:val="1"/>
      <w:numFmt w:val="decimal"/>
      <w:lvlText w:val="%4."/>
      <w:lvlJc w:val="left"/>
      <w:pPr>
        <w:tabs>
          <w:tab w:val="num" w:pos="2880"/>
        </w:tabs>
        <w:ind w:left="2880" w:hanging="360"/>
      </w:pPr>
    </w:lvl>
    <w:lvl w:ilvl="4" w:tplc="D2FEE81C" w:tentative="1">
      <w:start w:val="1"/>
      <w:numFmt w:val="decimal"/>
      <w:lvlText w:val="%5."/>
      <w:lvlJc w:val="left"/>
      <w:pPr>
        <w:tabs>
          <w:tab w:val="num" w:pos="3600"/>
        </w:tabs>
        <w:ind w:left="3600" w:hanging="360"/>
      </w:pPr>
    </w:lvl>
    <w:lvl w:ilvl="5" w:tplc="FF983598" w:tentative="1">
      <w:start w:val="1"/>
      <w:numFmt w:val="decimal"/>
      <w:lvlText w:val="%6."/>
      <w:lvlJc w:val="left"/>
      <w:pPr>
        <w:tabs>
          <w:tab w:val="num" w:pos="4320"/>
        </w:tabs>
        <w:ind w:left="4320" w:hanging="360"/>
      </w:pPr>
    </w:lvl>
    <w:lvl w:ilvl="6" w:tplc="75EA032E" w:tentative="1">
      <w:start w:val="1"/>
      <w:numFmt w:val="decimal"/>
      <w:lvlText w:val="%7."/>
      <w:lvlJc w:val="left"/>
      <w:pPr>
        <w:tabs>
          <w:tab w:val="num" w:pos="5040"/>
        </w:tabs>
        <w:ind w:left="5040" w:hanging="360"/>
      </w:pPr>
    </w:lvl>
    <w:lvl w:ilvl="7" w:tplc="5FF21F7E" w:tentative="1">
      <w:start w:val="1"/>
      <w:numFmt w:val="decimal"/>
      <w:lvlText w:val="%8."/>
      <w:lvlJc w:val="left"/>
      <w:pPr>
        <w:tabs>
          <w:tab w:val="num" w:pos="5760"/>
        </w:tabs>
        <w:ind w:left="5760" w:hanging="360"/>
      </w:pPr>
    </w:lvl>
    <w:lvl w:ilvl="8" w:tplc="AE1A923A" w:tentative="1">
      <w:start w:val="1"/>
      <w:numFmt w:val="decimal"/>
      <w:lvlText w:val="%9."/>
      <w:lvlJc w:val="left"/>
      <w:pPr>
        <w:tabs>
          <w:tab w:val="num" w:pos="6480"/>
        </w:tabs>
        <w:ind w:left="6480" w:hanging="360"/>
      </w:pPr>
    </w:lvl>
  </w:abstractNum>
  <w:abstractNum w:abstractNumId="252">
    <w:nsid w:val="1730322C"/>
    <w:multiLevelType w:val="hybridMultilevel"/>
    <w:tmpl w:val="0134877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3">
    <w:nsid w:val="1735708D"/>
    <w:multiLevelType w:val="hybridMultilevel"/>
    <w:tmpl w:val="55B67950"/>
    <w:lvl w:ilvl="0" w:tplc="D6A656B6">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4">
    <w:nsid w:val="174B4699"/>
    <w:multiLevelType w:val="multilevel"/>
    <w:tmpl w:val="533A535C"/>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5">
    <w:nsid w:val="17555217"/>
    <w:multiLevelType w:val="hybridMultilevel"/>
    <w:tmpl w:val="1D0A8AF4"/>
    <w:lvl w:ilvl="0" w:tplc="21DE8A86">
      <w:start w:val="1"/>
      <w:numFmt w:val="bullet"/>
      <w:lvlText w:val=""/>
      <w:lvlJc w:val="left"/>
      <w:pPr>
        <w:ind w:left="1120" w:hanging="360"/>
      </w:pPr>
      <w:rPr>
        <w:rFonts w:ascii="Wingdings" w:hAnsi="Wingdings" w:hint="default"/>
        <w:sz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6">
    <w:nsid w:val="177D3EBE"/>
    <w:multiLevelType w:val="hybridMultilevel"/>
    <w:tmpl w:val="8D8234A2"/>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7">
    <w:nsid w:val="1795706D"/>
    <w:multiLevelType w:val="hybridMultilevel"/>
    <w:tmpl w:val="B46AF3BE"/>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8">
    <w:nsid w:val="17997BD0"/>
    <w:multiLevelType w:val="hybridMultilevel"/>
    <w:tmpl w:val="6D20C35C"/>
    <w:lvl w:ilvl="0" w:tplc="3BA23654">
      <w:start w:val="1"/>
      <w:numFmt w:val="bullet"/>
      <w:lvlText w:val="-"/>
      <w:lvlJc w:val="left"/>
      <w:pPr>
        <w:ind w:left="720" w:hanging="360"/>
      </w:pPr>
      <w:rPr>
        <w:rFonts w:ascii="Verdana" w:hAnsi="Verdana"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59">
    <w:nsid w:val="18116E37"/>
    <w:multiLevelType w:val="hybridMultilevel"/>
    <w:tmpl w:val="043CEB80"/>
    <w:lvl w:ilvl="0" w:tplc="04150017">
      <w:start w:val="1"/>
      <w:numFmt w:val="lowerLetter"/>
      <w:lvlText w:val="%1)"/>
      <w:lvlJc w:val="left"/>
      <w:pPr>
        <w:tabs>
          <w:tab w:val="num" w:pos="720"/>
        </w:tabs>
        <w:ind w:left="720" w:hanging="360"/>
      </w:pPr>
    </w:lvl>
    <w:lvl w:ilvl="1" w:tplc="76A2C626" w:tentative="1">
      <w:start w:val="1"/>
      <w:numFmt w:val="lowerLetter"/>
      <w:lvlText w:val="%2."/>
      <w:lvlJc w:val="left"/>
      <w:pPr>
        <w:tabs>
          <w:tab w:val="num" w:pos="1440"/>
        </w:tabs>
        <w:ind w:left="1440" w:hanging="360"/>
      </w:pPr>
    </w:lvl>
    <w:lvl w:ilvl="2" w:tplc="3B8CE244" w:tentative="1">
      <w:start w:val="1"/>
      <w:numFmt w:val="lowerLetter"/>
      <w:lvlText w:val="%3."/>
      <w:lvlJc w:val="left"/>
      <w:pPr>
        <w:tabs>
          <w:tab w:val="num" w:pos="2160"/>
        </w:tabs>
        <w:ind w:left="2160" w:hanging="360"/>
      </w:pPr>
    </w:lvl>
    <w:lvl w:ilvl="3" w:tplc="0AACEA76" w:tentative="1">
      <w:start w:val="1"/>
      <w:numFmt w:val="lowerLetter"/>
      <w:lvlText w:val="%4."/>
      <w:lvlJc w:val="left"/>
      <w:pPr>
        <w:tabs>
          <w:tab w:val="num" w:pos="2880"/>
        </w:tabs>
        <w:ind w:left="2880" w:hanging="360"/>
      </w:pPr>
    </w:lvl>
    <w:lvl w:ilvl="4" w:tplc="7820E4FA" w:tentative="1">
      <w:start w:val="1"/>
      <w:numFmt w:val="lowerLetter"/>
      <w:lvlText w:val="%5."/>
      <w:lvlJc w:val="left"/>
      <w:pPr>
        <w:tabs>
          <w:tab w:val="num" w:pos="3600"/>
        </w:tabs>
        <w:ind w:left="3600" w:hanging="360"/>
      </w:pPr>
    </w:lvl>
    <w:lvl w:ilvl="5" w:tplc="D1AC3706" w:tentative="1">
      <w:start w:val="1"/>
      <w:numFmt w:val="lowerLetter"/>
      <w:lvlText w:val="%6."/>
      <w:lvlJc w:val="left"/>
      <w:pPr>
        <w:tabs>
          <w:tab w:val="num" w:pos="4320"/>
        </w:tabs>
        <w:ind w:left="4320" w:hanging="360"/>
      </w:pPr>
    </w:lvl>
    <w:lvl w:ilvl="6" w:tplc="45FC571A" w:tentative="1">
      <w:start w:val="1"/>
      <w:numFmt w:val="lowerLetter"/>
      <w:lvlText w:val="%7."/>
      <w:lvlJc w:val="left"/>
      <w:pPr>
        <w:tabs>
          <w:tab w:val="num" w:pos="5040"/>
        </w:tabs>
        <w:ind w:left="5040" w:hanging="360"/>
      </w:pPr>
    </w:lvl>
    <w:lvl w:ilvl="7" w:tplc="04A46542" w:tentative="1">
      <w:start w:val="1"/>
      <w:numFmt w:val="lowerLetter"/>
      <w:lvlText w:val="%8."/>
      <w:lvlJc w:val="left"/>
      <w:pPr>
        <w:tabs>
          <w:tab w:val="num" w:pos="5760"/>
        </w:tabs>
        <w:ind w:left="5760" w:hanging="360"/>
      </w:pPr>
    </w:lvl>
    <w:lvl w:ilvl="8" w:tplc="F522D794" w:tentative="1">
      <w:start w:val="1"/>
      <w:numFmt w:val="lowerLetter"/>
      <w:lvlText w:val="%9."/>
      <w:lvlJc w:val="left"/>
      <w:pPr>
        <w:tabs>
          <w:tab w:val="num" w:pos="6480"/>
        </w:tabs>
        <w:ind w:left="6480" w:hanging="360"/>
      </w:pPr>
    </w:lvl>
  </w:abstractNum>
  <w:abstractNum w:abstractNumId="260">
    <w:nsid w:val="181A4FFC"/>
    <w:multiLevelType w:val="multilevel"/>
    <w:tmpl w:val="9462E754"/>
    <w:lvl w:ilvl="0">
      <w:start w:val="1"/>
      <w:numFmt w:val="decimal"/>
      <w:lvlText w:val="%1."/>
      <w:lvlJc w:val="left"/>
      <w:pPr>
        <w:tabs>
          <w:tab w:val="num" w:pos="720"/>
        </w:tabs>
        <w:ind w:left="720" w:hanging="360"/>
      </w:pPr>
      <w:rPr>
        <w:rFonts w:hint="default"/>
      </w:rPr>
    </w:lvl>
    <w:lvl w:ilvl="1">
      <w:start w:val="2"/>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61">
    <w:nsid w:val="18692797"/>
    <w:multiLevelType w:val="hybridMultilevel"/>
    <w:tmpl w:val="0D18D6DE"/>
    <w:lvl w:ilvl="0" w:tplc="5E789A7C">
      <w:start w:val="1"/>
      <w:numFmt w:val="decimal"/>
      <w:lvlText w:val="K4.1.%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2">
    <w:nsid w:val="18C8778C"/>
    <w:multiLevelType w:val="hybridMultilevel"/>
    <w:tmpl w:val="1B725E12"/>
    <w:lvl w:ilvl="0" w:tplc="04150005">
      <w:start w:val="1"/>
      <w:numFmt w:val="bullet"/>
      <w:lvlText w:val=""/>
      <w:lvlJc w:val="left"/>
      <w:pPr>
        <w:tabs>
          <w:tab w:val="num" w:pos="720"/>
        </w:tabs>
        <w:ind w:left="720" w:hanging="360"/>
      </w:pPr>
      <w:rPr>
        <w:rFonts w:ascii="Wingdings" w:hAnsi="Wingdings" w:hint="default"/>
        <w:sz w:val="20"/>
      </w:rPr>
    </w:lvl>
    <w:lvl w:ilvl="1" w:tplc="39F6FD60" w:tentative="1">
      <w:start w:val="1"/>
      <w:numFmt w:val="bullet"/>
      <w:lvlText w:val="o"/>
      <w:lvlJc w:val="left"/>
      <w:pPr>
        <w:tabs>
          <w:tab w:val="num" w:pos="1440"/>
        </w:tabs>
        <w:ind w:left="1440" w:hanging="360"/>
      </w:pPr>
      <w:rPr>
        <w:rFonts w:ascii="Courier New" w:hAnsi="Courier New" w:hint="default"/>
        <w:sz w:val="20"/>
      </w:rPr>
    </w:lvl>
    <w:lvl w:ilvl="2" w:tplc="0C44E44C" w:tentative="1">
      <w:start w:val="1"/>
      <w:numFmt w:val="bullet"/>
      <w:lvlText w:val=""/>
      <w:lvlJc w:val="left"/>
      <w:pPr>
        <w:tabs>
          <w:tab w:val="num" w:pos="2160"/>
        </w:tabs>
        <w:ind w:left="2160" w:hanging="360"/>
      </w:pPr>
      <w:rPr>
        <w:rFonts w:ascii="Wingdings" w:hAnsi="Wingdings" w:hint="default"/>
        <w:sz w:val="20"/>
      </w:rPr>
    </w:lvl>
    <w:lvl w:ilvl="3" w:tplc="E20C9B54" w:tentative="1">
      <w:start w:val="1"/>
      <w:numFmt w:val="bullet"/>
      <w:lvlText w:val=""/>
      <w:lvlJc w:val="left"/>
      <w:pPr>
        <w:tabs>
          <w:tab w:val="num" w:pos="2880"/>
        </w:tabs>
        <w:ind w:left="2880" w:hanging="360"/>
      </w:pPr>
      <w:rPr>
        <w:rFonts w:ascii="Wingdings" w:hAnsi="Wingdings" w:hint="default"/>
        <w:sz w:val="20"/>
      </w:rPr>
    </w:lvl>
    <w:lvl w:ilvl="4" w:tplc="957400EE" w:tentative="1">
      <w:start w:val="1"/>
      <w:numFmt w:val="bullet"/>
      <w:lvlText w:val=""/>
      <w:lvlJc w:val="left"/>
      <w:pPr>
        <w:tabs>
          <w:tab w:val="num" w:pos="3600"/>
        </w:tabs>
        <w:ind w:left="3600" w:hanging="360"/>
      </w:pPr>
      <w:rPr>
        <w:rFonts w:ascii="Wingdings" w:hAnsi="Wingdings" w:hint="default"/>
        <w:sz w:val="20"/>
      </w:rPr>
    </w:lvl>
    <w:lvl w:ilvl="5" w:tplc="E87A2C34" w:tentative="1">
      <w:start w:val="1"/>
      <w:numFmt w:val="bullet"/>
      <w:lvlText w:val=""/>
      <w:lvlJc w:val="left"/>
      <w:pPr>
        <w:tabs>
          <w:tab w:val="num" w:pos="4320"/>
        </w:tabs>
        <w:ind w:left="4320" w:hanging="360"/>
      </w:pPr>
      <w:rPr>
        <w:rFonts w:ascii="Wingdings" w:hAnsi="Wingdings" w:hint="default"/>
        <w:sz w:val="20"/>
      </w:rPr>
    </w:lvl>
    <w:lvl w:ilvl="6" w:tplc="2E166AD8" w:tentative="1">
      <w:start w:val="1"/>
      <w:numFmt w:val="bullet"/>
      <w:lvlText w:val=""/>
      <w:lvlJc w:val="left"/>
      <w:pPr>
        <w:tabs>
          <w:tab w:val="num" w:pos="5040"/>
        </w:tabs>
        <w:ind w:left="5040" w:hanging="360"/>
      </w:pPr>
      <w:rPr>
        <w:rFonts w:ascii="Wingdings" w:hAnsi="Wingdings" w:hint="default"/>
        <w:sz w:val="20"/>
      </w:rPr>
    </w:lvl>
    <w:lvl w:ilvl="7" w:tplc="420AD1D2" w:tentative="1">
      <w:start w:val="1"/>
      <w:numFmt w:val="bullet"/>
      <w:lvlText w:val=""/>
      <w:lvlJc w:val="left"/>
      <w:pPr>
        <w:tabs>
          <w:tab w:val="num" w:pos="5760"/>
        </w:tabs>
        <w:ind w:left="5760" w:hanging="360"/>
      </w:pPr>
      <w:rPr>
        <w:rFonts w:ascii="Wingdings" w:hAnsi="Wingdings" w:hint="default"/>
        <w:sz w:val="20"/>
      </w:rPr>
    </w:lvl>
    <w:lvl w:ilvl="8" w:tplc="076AB9DE" w:tentative="1">
      <w:start w:val="1"/>
      <w:numFmt w:val="bullet"/>
      <w:lvlText w:val=""/>
      <w:lvlJc w:val="left"/>
      <w:pPr>
        <w:tabs>
          <w:tab w:val="num" w:pos="6480"/>
        </w:tabs>
        <w:ind w:left="6480" w:hanging="360"/>
      </w:pPr>
      <w:rPr>
        <w:rFonts w:ascii="Wingdings" w:hAnsi="Wingdings" w:hint="default"/>
        <w:sz w:val="20"/>
      </w:rPr>
    </w:lvl>
  </w:abstractNum>
  <w:abstractNum w:abstractNumId="263">
    <w:nsid w:val="18EE1F88"/>
    <w:multiLevelType w:val="hybridMultilevel"/>
    <w:tmpl w:val="B364A212"/>
    <w:lvl w:ilvl="0" w:tplc="3BA23654">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4">
    <w:nsid w:val="19120481"/>
    <w:multiLevelType w:val="hybridMultilevel"/>
    <w:tmpl w:val="767CFEA8"/>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5">
    <w:nsid w:val="191A204E"/>
    <w:multiLevelType w:val="hybridMultilevel"/>
    <w:tmpl w:val="1F988DAC"/>
    <w:lvl w:ilvl="0" w:tplc="04150005">
      <w:start w:val="1"/>
      <w:numFmt w:val="bullet"/>
      <w:lvlText w:val=""/>
      <w:lvlJc w:val="left"/>
      <w:pPr>
        <w:tabs>
          <w:tab w:val="num" w:pos="720"/>
        </w:tabs>
        <w:ind w:left="720" w:hanging="360"/>
      </w:pPr>
      <w:rPr>
        <w:rFonts w:ascii="Wingdings" w:hAnsi="Wingdings" w:hint="default"/>
        <w:sz w:val="20"/>
      </w:rPr>
    </w:lvl>
    <w:lvl w:ilvl="1" w:tplc="12C2F062" w:tentative="1">
      <w:start w:val="1"/>
      <w:numFmt w:val="bullet"/>
      <w:lvlText w:val="o"/>
      <w:lvlJc w:val="left"/>
      <w:pPr>
        <w:tabs>
          <w:tab w:val="num" w:pos="1440"/>
        </w:tabs>
        <w:ind w:left="1440" w:hanging="360"/>
      </w:pPr>
      <w:rPr>
        <w:rFonts w:ascii="Courier New" w:hAnsi="Courier New" w:hint="default"/>
        <w:sz w:val="20"/>
      </w:rPr>
    </w:lvl>
    <w:lvl w:ilvl="2" w:tplc="656E8188" w:tentative="1">
      <w:start w:val="1"/>
      <w:numFmt w:val="bullet"/>
      <w:lvlText w:val=""/>
      <w:lvlJc w:val="left"/>
      <w:pPr>
        <w:tabs>
          <w:tab w:val="num" w:pos="2160"/>
        </w:tabs>
        <w:ind w:left="2160" w:hanging="360"/>
      </w:pPr>
      <w:rPr>
        <w:rFonts w:ascii="Wingdings" w:hAnsi="Wingdings" w:hint="default"/>
        <w:sz w:val="20"/>
      </w:rPr>
    </w:lvl>
    <w:lvl w:ilvl="3" w:tplc="C2C4801E" w:tentative="1">
      <w:start w:val="1"/>
      <w:numFmt w:val="bullet"/>
      <w:lvlText w:val=""/>
      <w:lvlJc w:val="left"/>
      <w:pPr>
        <w:tabs>
          <w:tab w:val="num" w:pos="2880"/>
        </w:tabs>
        <w:ind w:left="2880" w:hanging="360"/>
      </w:pPr>
      <w:rPr>
        <w:rFonts w:ascii="Wingdings" w:hAnsi="Wingdings" w:hint="default"/>
        <w:sz w:val="20"/>
      </w:rPr>
    </w:lvl>
    <w:lvl w:ilvl="4" w:tplc="A0C67A2A" w:tentative="1">
      <w:start w:val="1"/>
      <w:numFmt w:val="bullet"/>
      <w:lvlText w:val=""/>
      <w:lvlJc w:val="left"/>
      <w:pPr>
        <w:tabs>
          <w:tab w:val="num" w:pos="3600"/>
        </w:tabs>
        <w:ind w:left="3600" w:hanging="360"/>
      </w:pPr>
      <w:rPr>
        <w:rFonts w:ascii="Wingdings" w:hAnsi="Wingdings" w:hint="default"/>
        <w:sz w:val="20"/>
      </w:rPr>
    </w:lvl>
    <w:lvl w:ilvl="5" w:tplc="2DE28F74" w:tentative="1">
      <w:start w:val="1"/>
      <w:numFmt w:val="bullet"/>
      <w:lvlText w:val=""/>
      <w:lvlJc w:val="left"/>
      <w:pPr>
        <w:tabs>
          <w:tab w:val="num" w:pos="4320"/>
        </w:tabs>
        <w:ind w:left="4320" w:hanging="360"/>
      </w:pPr>
      <w:rPr>
        <w:rFonts w:ascii="Wingdings" w:hAnsi="Wingdings" w:hint="default"/>
        <w:sz w:val="20"/>
      </w:rPr>
    </w:lvl>
    <w:lvl w:ilvl="6" w:tplc="CD2E0FCA" w:tentative="1">
      <w:start w:val="1"/>
      <w:numFmt w:val="bullet"/>
      <w:lvlText w:val=""/>
      <w:lvlJc w:val="left"/>
      <w:pPr>
        <w:tabs>
          <w:tab w:val="num" w:pos="5040"/>
        </w:tabs>
        <w:ind w:left="5040" w:hanging="360"/>
      </w:pPr>
      <w:rPr>
        <w:rFonts w:ascii="Wingdings" w:hAnsi="Wingdings" w:hint="default"/>
        <w:sz w:val="20"/>
      </w:rPr>
    </w:lvl>
    <w:lvl w:ilvl="7" w:tplc="0562CC08" w:tentative="1">
      <w:start w:val="1"/>
      <w:numFmt w:val="bullet"/>
      <w:lvlText w:val=""/>
      <w:lvlJc w:val="left"/>
      <w:pPr>
        <w:tabs>
          <w:tab w:val="num" w:pos="5760"/>
        </w:tabs>
        <w:ind w:left="5760" w:hanging="360"/>
      </w:pPr>
      <w:rPr>
        <w:rFonts w:ascii="Wingdings" w:hAnsi="Wingdings" w:hint="default"/>
        <w:sz w:val="20"/>
      </w:rPr>
    </w:lvl>
    <w:lvl w:ilvl="8" w:tplc="C76CF57E" w:tentative="1">
      <w:start w:val="1"/>
      <w:numFmt w:val="bullet"/>
      <w:lvlText w:val=""/>
      <w:lvlJc w:val="left"/>
      <w:pPr>
        <w:tabs>
          <w:tab w:val="num" w:pos="6480"/>
        </w:tabs>
        <w:ind w:left="6480" w:hanging="360"/>
      </w:pPr>
      <w:rPr>
        <w:rFonts w:ascii="Wingdings" w:hAnsi="Wingdings" w:hint="default"/>
        <w:sz w:val="20"/>
      </w:rPr>
    </w:lvl>
  </w:abstractNum>
  <w:abstractNum w:abstractNumId="266">
    <w:nsid w:val="192D0E26"/>
    <w:multiLevelType w:val="hybridMultilevel"/>
    <w:tmpl w:val="82C09EC2"/>
    <w:lvl w:ilvl="0" w:tplc="D6A656B6">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7">
    <w:nsid w:val="19476D2D"/>
    <w:multiLevelType w:val="hybridMultilevel"/>
    <w:tmpl w:val="499C567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8">
    <w:nsid w:val="19655DF7"/>
    <w:multiLevelType w:val="hybridMultilevel"/>
    <w:tmpl w:val="A03EFA1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9">
    <w:nsid w:val="19AC1064"/>
    <w:multiLevelType w:val="hybridMultilevel"/>
    <w:tmpl w:val="F6A60284"/>
    <w:lvl w:ilvl="0" w:tplc="3BA23654">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0">
    <w:nsid w:val="19BE556C"/>
    <w:multiLevelType w:val="hybridMultilevel"/>
    <w:tmpl w:val="99D86314"/>
    <w:lvl w:ilvl="0" w:tplc="228CCB22">
      <w:start w:val="1"/>
      <w:numFmt w:val="bullet"/>
      <w:lvlText w:val=""/>
      <w:lvlJc w:val="left"/>
      <w:pPr>
        <w:ind w:left="720" w:hanging="360"/>
      </w:pPr>
      <w:rPr>
        <w:rFonts w:ascii="Wingdings" w:hAnsi="Wingdings" w:cs="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1">
    <w:nsid w:val="19D3706E"/>
    <w:multiLevelType w:val="hybridMultilevel"/>
    <w:tmpl w:val="FC54B97E"/>
    <w:lvl w:ilvl="0" w:tplc="C81203B4">
      <w:start w:val="1"/>
      <w:numFmt w:val="bullet"/>
      <w:lvlText w:val=""/>
      <w:lvlJc w:val="left"/>
      <w:pPr>
        <w:tabs>
          <w:tab w:val="num" w:pos="720"/>
        </w:tabs>
        <w:ind w:left="720" w:hanging="360"/>
      </w:pPr>
      <w:rPr>
        <w:rFonts w:ascii="Symbol" w:hAnsi="Symbol" w:hint="default"/>
        <w:sz w:val="20"/>
      </w:rPr>
    </w:lvl>
    <w:lvl w:ilvl="1" w:tplc="5DD64AA8" w:tentative="1">
      <w:start w:val="1"/>
      <w:numFmt w:val="bullet"/>
      <w:lvlText w:val="o"/>
      <w:lvlJc w:val="left"/>
      <w:pPr>
        <w:tabs>
          <w:tab w:val="num" w:pos="1440"/>
        </w:tabs>
        <w:ind w:left="1440" w:hanging="360"/>
      </w:pPr>
      <w:rPr>
        <w:rFonts w:ascii="Courier New" w:hAnsi="Courier New" w:hint="default"/>
        <w:sz w:val="20"/>
      </w:rPr>
    </w:lvl>
    <w:lvl w:ilvl="2" w:tplc="A7F60A5A" w:tentative="1">
      <w:start w:val="1"/>
      <w:numFmt w:val="bullet"/>
      <w:lvlText w:val=""/>
      <w:lvlJc w:val="left"/>
      <w:pPr>
        <w:tabs>
          <w:tab w:val="num" w:pos="2160"/>
        </w:tabs>
        <w:ind w:left="2160" w:hanging="360"/>
      </w:pPr>
      <w:rPr>
        <w:rFonts w:ascii="Wingdings" w:hAnsi="Wingdings" w:hint="default"/>
        <w:sz w:val="20"/>
      </w:rPr>
    </w:lvl>
    <w:lvl w:ilvl="3" w:tplc="89BC53DA" w:tentative="1">
      <w:start w:val="1"/>
      <w:numFmt w:val="bullet"/>
      <w:lvlText w:val=""/>
      <w:lvlJc w:val="left"/>
      <w:pPr>
        <w:tabs>
          <w:tab w:val="num" w:pos="2880"/>
        </w:tabs>
        <w:ind w:left="2880" w:hanging="360"/>
      </w:pPr>
      <w:rPr>
        <w:rFonts w:ascii="Wingdings" w:hAnsi="Wingdings" w:hint="default"/>
        <w:sz w:val="20"/>
      </w:rPr>
    </w:lvl>
    <w:lvl w:ilvl="4" w:tplc="39AAB864" w:tentative="1">
      <w:start w:val="1"/>
      <w:numFmt w:val="bullet"/>
      <w:lvlText w:val=""/>
      <w:lvlJc w:val="left"/>
      <w:pPr>
        <w:tabs>
          <w:tab w:val="num" w:pos="3600"/>
        </w:tabs>
        <w:ind w:left="3600" w:hanging="360"/>
      </w:pPr>
      <w:rPr>
        <w:rFonts w:ascii="Wingdings" w:hAnsi="Wingdings" w:hint="default"/>
        <w:sz w:val="20"/>
      </w:rPr>
    </w:lvl>
    <w:lvl w:ilvl="5" w:tplc="6DB8C4B2" w:tentative="1">
      <w:start w:val="1"/>
      <w:numFmt w:val="bullet"/>
      <w:lvlText w:val=""/>
      <w:lvlJc w:val="left"/>
      <w:pPr>
        <w:tabs>
          <w:tab w:val="num" w:pos="4320"/>
        </w:tabs>
        <w:ind w:left="4320" w:hanging="360"/>
      </w:pPr>
      <w:rPr>
        <w:rFonts w:ascii="Wingdings" w:hAnsi="Wingdings" w:hint="default"/>
        <w:sz w:val="20"/>
      </w:rPr>
    </w:lvl>
    <w:lvl w:ilvl="6" w:tplc="90E2C6C6" w:tentative="1">
      <w:start w:val="1"/>
      <w:numFmt w:val="bullet"/>
      <w:lvlText w:val=""/>
      <w:lvlJc w:val="left"/>
      <w:pPr>
        <w:tabs>
          <w:tab w:val="num" w:pos="5040"/>
        </w:tabs>
        <w:ind w:left="5040" w:hanging="360"/>
      </w:pPr>
      <w:rPr>
        <w:rFonts w:ascii="Wingdings" w:hAnsi="Wingdings" w:hint="default"/>
        <w:sz w:val="20"/>
      </w:rPr>
    </w:lvl>
    <w:lvl w:ilvl="7" w:tplc="1BCCD2B4" w:tentative="1">
      <w:start w:val="1"/>
      <w:numFmt w:val="bullet"/>
      <w:lvlText w:val=""/>
      <w:lvlJc w:val="left"/>
      <w:pPr>
        <w:tabs>
          <w:tab w:val="num" w:pos="5760"/>
        </w:tabs>
        <w:ind w:left="5760" w:hanging="360"/>
      </w:pPr>
      <w:rPr>
        <w:rFonts w:ascii="Wingdings" w:hAnsi="Wingdings" w:hint="default"/>
        <w:sz w:val="20"/>
      </w:rPr>
    </w:lvl>
    <w:lvl w:ilvl="8" w:tplc="C222170A" w:tentative="1">
      <w:start w:val="1"/>
      <w:numFmt w:val="bullet"/>
      <w:lvlText w:val=""/>
      <w:lvlJc w:val="left"/>
      <w:pPr>
        <w:tabs>
          <w:tab w:val="num" w:pos="6480"/>
        </w:tabs>
        <w:ind w:left="6480" w:hanging="360"/>
      </w:pPr>
      <w:rPr>
        <w:rFonts w:ascii="Wingdings" w:hAnsi="Wingdings" w:hint="default"/>
        <w:sz w:val="20"/>
      </w:rPr>
    </w:lvl>
  </w:abstractNum>
  <w:abstractNum w:abstractNumId="272">
    <w:nsid w:val="19DD5C36"/>
    <w:multiLevelType w:val="hybridMultilevel"/>
    <w:tmpl w:val="BCB02622"/>
    <w:lvl w:ilvl="0" w:tplc="4CE4198C">
      <w:start w:val="1"/>
      <w:numFmt w:val="bullet"/>
      <w:lvlText w:val=""/>
      <w:lvlJc w:val="left"/>
      <w:pPr>
        <w:tabs>
          <w:tab w:val="num" w:pos="720"/>
        </w:tabs>
        <w:ind w:left="720" w:hanging="360"/>
      </w:pPr>
      <w:rPr>
        <w:rFonts w:ascii="Symbol" w:hAnsi="Symbol" w:hint="default"/>
        <w:sz w:val="20"/>
      </w:rPr>
    </w:lvl>
    <w:lvl w:ilvl="1" w:tplc="70026A26" w:tentative="1">
      <w:start w:val="1"/>
      <w:numFmt w:val="bullet"/>
      <w:lvlText w:val="o"/>
      <w:lvlJc w:val="left"/>
      <w:pPr>
        <w:tabs>
          <w:tab w:val="num" w:pos="1440"/>
        </w:tabs>
        <w:ind w:left="1440" w:hanging="360"/>
      </w:pPr>
      <w:rPr>
        <w:rFonts w:ascii="Courier New" w:hAnsi="Courier New" w:hint="default"/>
        <w:sz w:val="20"/>
      </w:rPr>
    </w:lvl>
    <w:lvl w:ilvl="2" w:tplc="94FC0A0C" w:tentative="1">
      <w:start w:val="1"/>
      <w:numFmt w:val="bullet"/>
      <w:lvlText w:val=""/>
      <w:lvlJc w:val="left"/>
      <w:pPr>
        <w:tabs>
          <w:tab w:val="num" w:pos="2160"/>
        </w:tabs>
        <w:ind w:left="2160" w:hanging="360"/>
      </w:pPr>
      <w:rPr>
        <w:rFonts w:ascii="Wingdings" w:hAnsi="Wingdings" w:hint="default"/>
        <w:sz w:val="20"/>
      </w:rPr>
    </w:lvl>
    <w:lvl w:ilvl="3" w:tplc="F1A2695A" w:tentative="1">
      <w:start w:val="1"/>
      <w:numFmt w:val="bullet"/>
      <w:lvlText w:val=""/>
      <w:lvlJc w:val="left"/>
      <w:pPr>
        <w:tabs>
          <w:tab w:val="num" w:pos="2880"/>
        </w:tabs>
        <w:ind w:left="2880" w:hanging="360"/>
      </w:pPr>
      <w:rPr>
        <w:rFonts w:ascii="Wingdings" w:hAnsi="Wingdings" w:hint="default"/>
        <w:sz w:val="20"/>
      </w:rPr>
    </w:lvl>
    <w:lvl w:ilvl="4" w:tplc="2B0A66EA" w:tentative="1">
      <w:start w:val="1"/>
      <w:numFmt w:val="bullet"/>
      <w:lvlText w:val=""/>
      <w:lvlJc w:val="left"/>
      <w:pPr>
        <w:tabs>
          <w:tab w:val="num" w:pos="3600"/>
        </w:tabs>
        <w:ind w:left="3600" w:hanging="360"/>
      </w:pPr>
      <w:rPr>
        <w:rFonts w:ascii="Wingdings" w:hAnsi="Wingdings" w:hint="default"/>
        <w:sz w:val="20"/>
      </w:rPr>
    </w:lvl>
    <w:lvl w:ilvl="5" w:tplc="B2FC0264" w:tentative="1">
      <w:start w:val="1"/>
      <w:numFmt w:val="bullet"/>
      <w:lvlText w:val=""/>
      <w:lvlJc w:val="left"/>
      <w:pPr>
        <w:tabs>
          <w:tab w:val="num" w:pos="4320"/>
        </w:tabs>
        <w:ind w:left="4320" w:hanging="360"/>
      </w:pPr>
      <w:rPr>
        <w:rFonts w:ascii="Wingdings" w:hAnsi="Wingdings" w:hint="default"/>
        <w:sz w:val="20"/>
      </w:rPr>
    </w:lvl>
    <w:lvl w:ilvl="6" w:tplc="F99C5C06" w:tentative="1">
      <w:start w:val="1"/>
      <w:numFmt w:val="bullet"/>
      <w:lvlText w:val=""/>
      <w:lvlJc w:val="left"/>
      <w:pPr>
        <w:tabs>
          <w:tab w:val="num" w:pos="5040"/>
        </w:tabs>
        <w:ind w:left="5040" w:hanging="360"/>
      </w:pPr>
      <w:rPr>
        <w:rFonts w:ascii="Wingdings" w:hAnsi="Wingdings" w:hint="default"/>
        <w:sz w:val="20"/>
      </w:rPr>
    </w:lvl>
    <w:lvl w:ilvl="7" w:tplc="D918F3AE" w:tentative="1">
      <w:start w:val="1"/>
      <w:numFmt w:val="bullet"/>
      <w:lvlText w:val=""/>
      <w:lvlJc w:val="left"/>
      <w:pPr>
        <w:tabs>
          <w:tab w:val="num" w:pos="5760"/>
        </w:tabs>
        <w:ind w:left="5760" w:hanging="360"/>
      </w:pPr>
      <w:rPr>
        <w:rFonts w:ascii="Wingdings" w:hAnsi="Wingdings" w:hint="default"/>
        <w:sz w:val="20"/>
      </w:rPr>
    </w:lvl>
    <w:lvl w:ilvl="8" w:tplc="0CA6B11A" w:tentative="1">
      <w:start w:val="1"/>
      <w:numFmt w:val="bullet"/>
      <w:lvlText w:val=""/>
      <w:lvlJc w:val="left"/>
      <w:pPr>
        <w:tabs>
          <w:tab w:val="num" w:pos="6480"/>
        </w:tabs>
        <w:ind w:left="6480" w:hanging="360"/>
      </w:pPr>
      <w:rPr>
        <w:rFonts w:ascii="Wingdings" w:hAnsi="Wingdings" w:hint="default"/>
        <w:sz w:val="20"/>
      </w:rPr>
    </w:lvl>
  </w:abstractNum>
  <w:abstractNum w:abstractNumId="273">
    <w:nsid w:val="1A241C82"/>
    <w:multiLevelType w:val="hybridMultilevel"/>
    <w:tmpl w:val="1F2636D8"/>
    <w:lvl w:ilvl="0" w:tplc="21DE8A86">
      <w:start w:val="1"/>
      <w:numFmt w:val="bullet"/>
      <w:lvlText w:val=""/>
      <w:lvlJc w:val="left"/>
      <w:pPr>
        <w:ind w:left="1120" w:hanging="360"/>
      </w:pPr>
      <w:rPr>
        <w:rFonts w:ascii="Wingdings" w:hAnsi="Wingdings" w:hint="default"/>
        <w:sz w:val="20"/>
      </w:rPr>
    </w:lvl>
    <w:lvl w:ilvl="1" w:tplc="04150003" w:tentative="1">
      <w:start w:val="1"/>
      <w:numFmt w:val="bullet"/>
      <w:lvlText w:val="o"/>
      <w:lvlJc w:val="left"/>
      <w:pPr>
        <w:ind w:left="1840" w:hanging="360"/>
      </w:pPr>
      <w:rPr>
        <w:rFonts w:ascii="Courier New" w:hAnsi="Courier New" w:cs="Courier New" w:hint="default"/>
      </w:rPr>
    </w:lvl>
    <w:lvl w:ilvl="2" w:tplc="04150005" w:tentative="1">
      <w:start w:val="1"/>
      <w:numFmt w:val="bullet"/>
      <w:lvlText w:val=""/>
      <w:lvlJc w:val="left"/>
      <w:pPr>
        <w:ind w:left="2560" w:hanging="360"/>
      </w:pPr>
      <w:rPr>
        <w:rFonts w:ascii="Wingdings" w:hAnsi="Wingdings" w:hint="default"/>
      </w:rPr>
    </w:lvl>
    <w:lvl w:ilvl="3" w:tplc="04150001" w:tentative="1">
      <w:start w:val="1"/>
      <w:numFmt w:val="bullet"/>
      <w:lvlText w:val=""/>
      <w:lvlJc w:val="left"/>
      <w:pPr>
        <w:ind w:left="3280" w:hanging="360"/>
      </w:pPr>
      <w:rPr>
        <w:rFonts w:ascii="Symbol" w:hAnsi="Symbol" w:hint="default"/>
      </w:rPr>
    </w:lvl>
    <w:lvl w:ilvl="4" w:tplc="04150003" w:tentative="1">
      <w:start w:val="1"/>
      <w:numFmt w:val="bullet"/>
      <w:lvlText w:val="o"/>
      <w:lvlJc w:val="left"/>
      <w:pPr>
        <w:ind w:left="4000" w:hanging="360"/>
      </w:pPr>
      <w:rPr>
        <w:rFonts w:ascii="Courier New" w:hAnsi="Courier New" w:cs="Courier New" w:hint="default"/>
      </w:rPr>
    </w:lvl>
    <w:lvl w:ilvl="5" w:tplc="04150005" w:tentative="1">
      <w:start w:val="1"/>
      <w:numFmt w:val="bullet"/>
      <w:lvlText w:val=""/>
      <w:lvlJc w:val="left"/>
      <w:pPr>
        <w:ind w:left="4720" w:hanging="360"/>
      </w:pPr>
      <w:rPr>
        <w:rFonts w:ascii="Wingdings" w:hAnsi="Wingdings" w:hint="default"/>
      </w:rPr>
    </w:lvl>
    <w:lvl w:ilvl="6" w:tplc="04150001" w:tentative="1">
      <w:start w:val="1"/>
      <w:numFmt w:val="bullet"/>
      <w:lvlText w:val=""/>
      <w:lvlJc w:val="left"/>
      <w:pPr>
        <w:ind w:left="5440" w:hanging="360"/>
      </w:pPr>
      <w:rPr>
        <w:rFonts w:ascii="Symbol" w:hAnsi="Symbol" w:hint="default"/>
      </w:rPr>
    </w:lvl>
    <w:lvl w:ilvl="7" w:tplc="04150003" w:tentative="1">
      <w:start w:val="1"/>
      <w:numFmt w:val="bullet"/>
      <w:lvlText w:val="o"/>
      <w:lvlJc w:val="left"/>
      <w:pPr>
        <w:ind w:left="6160" w:hanging="360"/>
      </w:pPr>
      <w:rPr>
        <w:rFonts w:ascii="Courier New" w:hAnsi="Courier New" w:cs="Courier New" w:hint="default"/>
      </w:rPr>
    </w:lvl>
    <w:lvl w:ilvl="8" w:tplc="04150005" w:tentative="1">
      <w:start w:val="1"/>
      <w:numFmt w:val="bullet"/>
      <w:lvlText w:val=""/>
      <w:lvlJc w:val="left"/>
      <w:pPr>
        <w:ind w:left="6880" w:hanging="360"/>
      </w:pPr>
      <w:rPr>
        <w:rFonts w:ascii="Wingdings" w:hAnsi="Wingdings" w:hint="default"/>
      </w:rPr>
    </w:lvl>
  </w:abstractNum>
  <w:abstractNum w:abstractNumId="274">
    <w:nsid w:val="1A2F3BA2"/>
    <w:multiLevelType w:val="hybridMultilevel"/>
    <w:tmpl w:val="C802742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5">
    <w:nsid w:val="1A3B7C3A"/>
    <w:multiLevelType w:val="hybridMultilevel"/>
    <w:tmpl w:val="13061008"/>
    <w:lvl w:ilvl="0" w:tplc="53C4DCAA">
      <w:start w:val="1"/>
      <w:numFmt w:val="decimal"/>
      <w:lvlText w:val="C2.%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6">
    <w:nsid w:val="1A3D39CA"/>
    <w:multiLevelType w:val="hybridMultilevel"/>
    <w:tmpl w:val="85BAB5EE"/>
    <w:lvl w:ilvl="0" w:tplc="228CCB22">
      <w:start w:val="1"/>
      <w:numFmt w:val="bullet"/>
      <w:lvlText w:val=""/>
      <w:lvlJc w:val="left"/>
      <w:pPr>
        <w:ind w:left="720" w:hanging="360"/>
      </w:pPr>
      <w:rPr>
        <w:rFonts w:ascii="Wingdings" w:hAnsi="Wingdings" w:cs="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7">
    <w:nsid w:val="1A5D1098"/>
    <w:multiLevelType w:val="hybridMultilevel"/>
    <w:tmpl w:val="7A8A98B4"/>
    <w:lvl w:ilvl="0" w:tplc="D6A656B6">
      <w:numFmt w:val="bullet"/>
      <w:lvlText w:val="-"/>
      <w:lvlJc w:val="left"/>
      <w:pPr>
        <w:ind w:left="1440" w:hanging="360"/>
      </w:pPr>
      <w:rPr>
        <w:rFonts w:ascii="Times New Roman" w:eastAsia="Times New Roman" w:hAnsi="Times New Roman"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78">
    <w:nsid w:val="1A915813"/>
    <w:multiLevelType w:val="hybridMultilevel"/>
    <w:tmpl w:val="4DEA901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9">
    <w:nsid w:val="1AAA2668"/>
    <w:multiLevelType w:val="hybridMultilevel"/>
    <w:tmpl w:val="1FAC546E"/>
    <w:lvl w:ilvl="0" w:tplc="D6A656B6">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0">
    <w:nsid w:val="1BCF7C7D"/>
    <w:multiLevelType w:val="multilevel"/>
    <w:tmpl w:val="3BC8EDAC"/>
    <w:lvl w:ilvl="0">
      <w:start w:val="1"/>
      <w:numFmt w:val="bullet"/>
      <w:lvlText w:val=""/>
      <w:lvlJc w:val="left"/>
      <w:pPr>
        <w:tabs>
          <w:tab w:val="num" w:pos="0"/>
        </w:tabs>
        <w:ind w:left="360" w:hanging="360"/>
      </w:pPr>
      <w:rPr>
        <w:rFonts w:ascii="Wingdings" w:hAnsi="Wingdings" w:hint="default"/>
        <w:color w:val="auto"/>
        <w:szCs w:val="20"/>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281">
    <w:nsid w:val="1C1932F6"/>
    <w:multiLevelType w:val="hybridMultilevel"/>
    <w:tmpl w:val="AB8CA890"/>
    <w:lvl w:ilvl="0" w:tplc="228CCB22">
      <w:start w:val="1"/>
      <w:numFmt w:val="bullet"/>
      <w:lvlText w:val=""/>
      <w:lvlJc w:val="left"/>
      <w:pPr>
        <w:ind w:left="720" w:hanging="360"/>
      </w:pPr>
      <w:rPr>
        <w:rFonts w:ascii="Wingdings" w:hAnsi="Wingdings" w:cs="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2">
    <w:nsid w:val="1C47160C"/>
    <w:multiLevelType w:val="hybridMultilevel"/>
    <w:tmpl w:val="21D07394"/>
    <w:name w:val="WW8Num212"/>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3">
    <w:nsid w:val="1C620218"/>
    <w:multiLevelType w:val="hybridMultilevel"/>
    <w:tmpl w:val="DF0A0CA6"/>
    <w:lvl w:ilvl="0" w:tplc="21DE8A86">
      <w:start w:val="1"/>
      <w:numFmt w:val="bullet"/>
      <w:lvlText w:val=""/>
      <w:lvlJc w:val="left"/>
      <w:pPr>
        <w:ind w:left="720" w:hanging="360"/>
      </w:pPr>
      <w:rPr>
        <w:rFonts w:ascii="Wingdings" w:hAnsi="Wingdings" w:hint="default"/>
        <w:sz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4">
    <w:nsid w:val="1C7905B5"/>
    <w:multiLevelType w:val="hybridMultilevel"/>
    <w:tmpl w:val="43265B5A"/>
    <w:lvl w:ilvl="0" w:tplc="228CCB22">
      <w:start w:val="1"/>
      <w:numFmt w:val="bullet"/>
      <w:lvlText w:val=""/>
      <w:lvlJc w:val="left"/>
      <w:pPr>
        <w:ind w:left="720" w:hanging="360"/>
      </w:pPr>
      <w:rPr>
        <w:rFonts w:ascii="Wingdings" w:hAnsi="Wingdings" w:cs="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5">
    <w:nsid w:val="1D0E4D11"/>
    <w:multiLevelType w:val="hybridMultilevel"/>
    <w:tmpl w:val="94224222"/>
    <w:lvl w:ilvl="0" w:tplc="711004F6">
      <w:start w:val="1"/>
      <w:numFmt w:val="bullet"/>
      <w:lvlText w:val=""/>
      <w:lvlJc w:val="left"/>
      <w:pPr>
        <w:tabs>
          <w:tab w:val="num" w:pos="720"/>
        </w:tabs>
        <w:ind w:left="720" w:hanging="360"/>
      </w:pPr>
      <w:rPr>
        <w:rFonts w:ascii="Symbol" w:hAnsi="Symbol" w:hint="default"/>
        <w:sz w:val="20"/>
      </w:rPr>
    </w:lvl>
    <w:lvl w:ilvl="1" w:tplc="BCAC814A" w:tentative="1">
      <w:start w:val="1"/>
      <w:numFmt w:val="bullet"/>
      <w:lvlText w:val="o"/>
      <w:lvlJc w:val="left"/>
      <w:pPr>
        <w:tabs>
          <w:tab w:val="num" w:pos="1440"/>
        </w:tabs>
        <w:ind w:left="1440" w:hanging="360"/>
      </w:pPr>
      <w:rPr>
        <w:rFonts w:ascii="Courier New" w:hAnsi="Courier New" w:hint="default"/>
        <w:sz w:val="20"/>
      </w:rPr>
    </w:lvl>
    <w:lvl w:ilvl="2" w:tplc="71A64EDE" w:tentative="1">
      <w:start w:val="1"/>
      <w:numFmt w:val="bullet"/>
      <w:lvlText w:val=""/>
      <w:lvlJc w:val="left"/>
      <w:pPr>
        <w:tabs>
          <w:tab w:val="num" w:pos="2160"/>
        </w:tabs>
        <w:ind w:left="2160" w:hanging="360"/>
      </w:pPr>
      <w:rPr>
        <w:rFonts w:ascii="Wingdings" w:hAnsi="Wingdings" w:hint="default"/>
        <w:sz w:val="20"/>
      </w:rPr>
    </w:lvl>
    <w:lvl w:ilvl="3" w:tplc="239C808C" w:tentative="1">
      <w:start w:val="1"/>
      <w:numFmt w:val="bullet"/>
      <w:lvlText w:val=""/>
      <w:lvlJc w:val="left"/>
      <w:pPr>
        <w:tabs>
          <w:tab w:val="num" w:pos="2880"/>
        </w:tabs>
        <w:ind w:left="2880" w:hanging="360"/>
      </w:pPr>
      <w:rPr>
        <w:rFonts w:ascii="Wingdings" w:hAnsi="Wingdings" w:hint="default"/>
        <w:sz w:val="20"/>
      </w:rPr>
    </w:lvl>
    <w:lvl w:ilvl="4" w:tplc="15CA4102" w:tentative="1">
      <w:start w:val="1"/>
      <w:numFmt w:val="bullet"/>
      <w:lvlText w:val=""/>
      <w:lvlJc w:val="left"/>
      <w:pPr>
        <w:tabs>
          <w:tab w:val="num" w:pos="3600"/>
        </w:tabs>
        <w:ind w:left="3600" w:hanging="360"/>
      </w:pPr>
      <w:rPr>
        <w:rFonts w:ascii="Wingdings" w:hAnsi="Wingdings" w:hint="default"/>
        <w:sz w:val="20"/>
      </w:rPr>
    </w:lvl>
    <w:lvl w:ilvl="5" w:tplc="4D867814" w:tentative="1">
      <w:start w:val="1"/>
      <w:numFmt w:val="bullet"/>
      <w:lvlText w:val=""/>
      <w:lvlJc w:val="left"/>
      <w:pPr>
        <w:tabs>
          <w:tab w:val="num" w:pos="4320"/>
        </w:tabs>
        <w:ind w:left="4320" w:hanging="360"/>
      </w:pPr>
      <w:rPr>
        <w:rFonts w:ascii="Wingdings" w:hAnsi="Wingdings" w:hint="default"/>
        <w:sz w:val="20"/>
      </w:rPr>
    </w:lvl>
    <w:lvl w:ilvl="6" w:tplc="3426E7C0" w:tentative="1">
      <w:start w:val="1"/>
      <w:numFmt w:val="bullet"/>
      <w:lvlText w:val=""/>
      <w:lvlJc w:val="left"/>
      <w:pPr>
        <w:tabs>
          <w:tab w:val="num" w:pos="5040"/>
        </w:tabs>
        <w:ind w:left="5040" w:hanging="360"/>
      </w:pPr>
      <w:rPr>
        <w:rFonts w:ascii="Wingdings" w:hAnsi="Wingdings" w:hint="default"/>
        <w:sz w:val="20"/>
      </w:rPr>
    </w:lvl>
    <w:lvl w:ilvl="7" w:tplc="7054B228" w:tentative="1">
      <w:start w:val="1"/>
      <w:numFmt w:val="bullet"/>
      <w:lvlText w:val=""/>
      <w:lvlJc w:val="left"/>
      <w:pPr>
        <w:tabs>
          <w:tab w:val="num" w:pos="5760"/>
        </w:tabs>
        <w:ind w:left="5760" w:hanging="360"/>
      </w:pPr>
      <w:rPr>
        <w:rFonts w:ascii="Wingdings" w:hAnsi="Wingdings" w:hint="default"/>
        <w:sz w:val="20"/>
      </w:rPr>
    </w:lvl>
    <w:lvl w:ilvl="8" w:tplc="1D7A1704" w:tentative="1">
      <w:start w:val="1"/>
      <w:numFmt w:val="bullet"/>
      <w:lvlText w:val=""/>
      <w:lvlJc w:val="left"/>
      <w:pPr>
        <w:tabs>
          <w:tab w:val="num" w:pos="6480"/>
        </w:tabs>
        <w:ind w:left="6480" w:hanging="360"/>
      </w:pPr>
      <w:rPr>
        <w:rFonts w:ascii="Wingdings" w:hAnsi="Wingdings" w:hint="default"/>
        <w:sz w:val="20"/>
      </w:rPr>
    </w:lvl>
  </w:abstractNum>
  <w:abstractNum w:abstractNumId="286">
    <w:nsid w:val="1D2A797A"/>
    <w:multiLevelType w:val="multilevel"/>
    <w:tmpl w:val="F9F024BC"/>
    <w:lvl w:ilvl="0">
      <w:start w:val="2"/>
      <w:numFmt w:val="decimal"/>
      <w:lvlText w:val="%1."/>
      <w:lvlJc w:val="left"/>
      <w:pPr>
        <w:ind w:left="630" w:hanging="63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7">
    <w:nsid w:val="1D2F5D90"/>
    <w:multiLevelType w:val="multilevel"/>
    <w:tmpl w:val="36D4B812"/>
    <w:lvl w:ilvl="0">
      <w:start w:val="2"/>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8">
    <w:nsid w:val="1D672231"/>
    <w:multiLevelType w:val="hybridMultilevel"/>
    <w:tmpl w:val="85D6C5D8"/>
    <w:lvl w:ilvl="0" w:tplc="ABF097A2">
      <w:start w:val="1"/>
      <w:numFmt w:val="bullet"/>
      <w:lvlText w:val=""/>
      <w:lvlJc w:val="left"/>
      <w:pPr>
        <w:tabs>
          <w:tab w:val="num" w:pos="1440"/>
        </w:tabs>
        <w:ind w:left="1440" w:hanging="360"/>
      </w:pPr>
      <w:rPr>
        <w:rFonts w:ascii="Wingdings" w:hAnsi="Wingdings" w:cs="Wingdings" w:hint="default"/>
        <w:color w:val="auto"/>
        <w:sz w:val="20"/>
      </w:rPr>
    </w:lvl>
    <w:lvl w:ilvl="1" w:tplc="D6A656B6">
      <w:numFmt w:val="bullet"/>
      <w:lvlText w:val="-"/>
      <w:lvlJc w:val="left"/>
      <w:pPr>
        <w:tabs>
          <w:tab w:val="num" w:pos="1440"/>
        </w:tabs>
        <w:ind w:left="1440" w:hanging="360"/>
      </w:pPr>
      <w:rPr>
        <w:rFonts w:ascii="Times New Roman" w:eastAsia="Times New Roman" w:hAnsi="Times New Roman" w:cs="Times New Roman"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89">
    <w:nsid w:val="1DDE07A5"/>
    <w:multiLevelType w:val="hybridMultilevel"/>
    <w:tmpl w:val="D1FA0CDA"/>
    <w:lvl w:ilvl="0" w:tplc="04150005">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90">
    <w:nsid w:val="1DE51D7D"/>
    <w:multiLevelType w:val="hybridMultilevel"/>
    <w:tmpl w:val="D6900716"/>
    <w:lvl w:ilvl="0" w:tplc="3BA23654">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1">
    <w:nsid w:val="1DF9199A"/>
    <w:multiLevelType w:val="hybridMultilevel"/>
    <w:tmpl w:val="B6D24010"/>
    <w:lvl w:ilvl="0" w:tplc="D6A656B6">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2">
    <w:nsid w:val="1E1F542F"/>
    <w:multiLevelType w:val="hybridMultilevel"/>
    <w:tmpl w:val="B0E4C720"/>
    <w:lvl w:ilvl="0" w:tplc="D6A656B6">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3">
    <w:nsid w:val="1E2077F1"/>
    <w:multiLevelType w:val="hybridMultilevel"/>
    <w:tmpl w:val="79DEB7D0"/>
    <w:lvl w:ilvl="0" w:tplc="3D122D84">
      <w:start w:val="1"/>
      <w:numFmt w:val="bullet"/>
      <w:lvlText w:val=""/>
      <w:lvlJc w:val="left"/>
      <w:pPr>
        <w:tabs>
          <w:tab w:val="num" w:pos="720"/>
        </w:tabs>
        <w:ind w:left="720" w:hanging="360"/>
      </w:pPr>
      <w:rPr>
        <w:rFonts w:ascii="Symbol" w:hAnsi="Symbol" w:hint="default"/>
        <w:sz w:val="20"/>
      </w:rPr>
    </w:lvl>
    <w:lvl w:ilvl="1" w:tplc="7042128A" w:tentative="1">
      <w:start w:val="1"/>
      <w:numFmt w:val="bullet"/>
      <w:lvlText w:val="o"/>
      <w:lvlJc w:val="left"/>
      <w:pPr>
        <w:tabs>
          <w:tab w:val="num" w:pos="1440"/>
        </w:tabs>
        <w:ind w:left="1440" w:hanging="360"/>
      </w:pPr>
      <w:rPr>
        <w:rFonts w:ascii="Courier New" w:hAnsi="Courier New" w:hint="default"/>
        <w:sz w:val="20"/>
      </w:rPr>
    </w:lvl>
    <w:lvl w:ilvl="2" w:tplc="AB5C9BA8" w:tentative="1">
      <w:start w:val="1"/>
      <w:numFmt w:val="bullet"/>
      <w:lvlText w:val=""/>
      <w:lvlJc w:val="left"/>
      <w:pPr>
        <w:tabs>
          <w:tab w:val="num" w:pos="2160"/>
        </w:tabs>
        <w:ind w:left="2160" w:hanging="360"/>
      </w:pPr>
      <w:rPr>
        <w:rFonts w:ascii="Wingdings" w:hAnsi="Wingdings" w:hint="default"/>
        <w:sz w:val="20"/>
      </w:rPr>
    </w:lvl>
    <w:lvl w:ilvl="3" w:tplc="10EA610A" w:tentative="1">
      <w:start w:val="1"/>
      <w:numFmt w:val="bullet"/>
      <w:lvlText w:val=""/>
      <w:lvlJc w:val="left"/>
      <w:pPr>
        <w:tabs>
          <w:tab w:val="num" w:pos="2880"/>
        </w:tabs>
        <w:ind w:left="2880" w:hanging="360"/>
      </w:pPr>
      <w:rPr>
        <w:rFonts w:ascii="Wingdings" w:hAnsi="Wingdings" w:hint="default"/>
        <w:sz w:val="20"/>
      </w:rPr>
    </w:lvl>
    <w:lvl w:ilvl="4" w:tplc="1CE4DF12" w:tentative="1">
      <w:start w:val="1"/>
      <w:numFmt w:val="bullet"/>
      <w:lvlText w:val=""/>
      <w:lvlJc w:val="left"/>
      <w:pPr>
        <w:tabs>
          <w:tab w:val="num" w:pos="3600"/>
        </w:tabs>
        <w:ind w:left="3600" w:hanging="360"/>
      </w:pPr>
      <w:rPr>
        <w:rFonts w:ascii="Wingdings" w:hAnsi="Wingdings" w:hint="default"/>
        <w:sz w:val="20"/>
      </w:rPr>
    </w:lvl>
    <w:lvl w:ilvl="5" w:tplc="588459B2" w:tentative="1">
      <w:start w:val="1"/>
      <w:numFmt w:val="bullet"/>
      <w:lvlText w:val=""/>
      <w:lvlJc w:val="left"/>
      <w:pPr>
        <w:tabs>
          <w:tab w:val="num" w:pos="4320"/>
        </w:tabs>
        <w:ind w:left="4320" w:hanging="360"/>
      </w:pPr>
      <w:rPr>
        <w:rFonts w:ascii="Wingdings" w:hAnsi="Wingdings" w:hint="default"/>
        <w:sz w:val="20"/>
      </w:rPr>
    </w:lvl>
    <w:lvl w:ilvl="6" w:tplc="73447526" w:tentative="1">
      <w:start w:val="1"/>
      <w:numFmt w:val="bullet"/>
      <w:lvlText w:val=""/>
      <w:lvlJc w:val="left"/>
      <w:pPr>
        <w:tabs>
          <w:tab w:val="num" w:pos="5040"/>
        </w:tabs>
        <w:ind w:left="5040" w:hanging="360"/>
      </w:pPr>
      <w:rPr>
        <w:rFonts w:ascii="Wingdings" w:hAnsi="Wingdings" w:hint="default"/>
        <w:sz w:val="20"/>
      </w:rPr>
    </w:lvl>
    <w:lvl w:ilvl="7" w:tplc="D856E330" w:tentative="1">
      <w:start w:val="1"/>
      <w:numFmt w:val="bullet"/>
      <w:lvlText w:val=""/>
      <w:lvlJc w:val="left"/>
      <w:pPr>
        <w:tabs>
          <w:tab w:val="num" w:pos="5760"/>
        </w:tabs>
        <w:ind w:left="5760" w:hanging="360"/>
      </w:pPr>
      <w:rPr>
        <w:rFonts w:ascii="Wingdings" w:hAnsi="Wingdings" w:hint="default"/>
        <w:sz w:val="20"/>
      </w:rPr>
    </w:lvl>
    <w:lvl w:ilvl="8" w:tplc="40648FF6" w:tentative="1">
      <w:start w:val="1"/>
      <w:numFmt w:val="bullet"/>
      <w:lvlText w:val=""/>
      <w:lvlJc w:val="left"/>
      <w:pPr>
        <w:tabs>
          <w:tab w:val="num" w:pos="6480"/>
        </w:tabs>
        <w:ind w:left="6480" w:hanging="360"/>
      </w:pPr>
      <w:rPr>
        <w:rFonts w:ascii="Wingdings" w:hAnsi="Wingdings" w:hint="default"/>
        <w:sz w:val="20"/>
      </w:rPr>
    </w:lvl>
  </w:abstractNum>
  <w:abstractNum w:abstractNumId="294">
    <w:nsid w:val="1E44520C"/>
    <w:multiLevelType w:val="hybridMultilevel"/>
    <w:tmpl w:val="D4B49334"/>
    <w:lvl w:ilvl="0" w:tplc="D6A656B6">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5">
    <w:nsid w:val="1E48686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6">
    <w:nsid w:val="1E525A94"/>
    <w:multiLevelType w:val="hybridMultilevel"/>
    <w:tmpl w:val="5C020D7E"/>
    <w:lvl w:ilvl="0" w:tplc="6DB06BA2">
      <w:start w:val="1"/>
      <w:numFmt w:val="decimal"/>
      <w:lvlText w:val="C1.%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7">
    <w:nsid w:val="1EC351C5"/>
    <w:multiLevelType w:val="hybridMultilevel"/>
    <w:tmpl w:val="6576FA5C"/>
    <w:lvl w:ilvl="0" w:tplc="D6A656B6">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8">
    <w:nsid w:val="1ED6396D"/>
    <w:multiLevelType w:val="hybridMultilevel"/>
    <w:tmpl w:val="A580C7E6"/>
    <w:lvl w:ilvl="0" w:tplc="3BA23654">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9">
    <w:nsid w:val="1EEB659F"/>
    <w:multiLevelType w:val="hybridMultilevel"/>
    <w:tmpl w:val="DDA0C3B2"/>
    <w:lvl w:ilvl="0" w:tplc="05FCEE06">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0">
    <w:nsid w:val="1EF839BF"/>
    <w:multiLevelType w:val="hybridMultilevel"/>
    <w:tmpl w:val="42D68C26"/>
    <w:lvl w:ilvl="0" w:tplc="2A08D148">
      <w:start w:val="21"/>
      <w:numFmt w:val="decimal"/>
      <w:lvlText w:val="%1."/>
      <w:lvlJc w:val="left"/>
      <w:pPr>
        <w:tabs>
          <w:tab w:val="num" w:pos="720"/>
        </w:tabs>
        <w:ind w:left="720" w:hanging="360"/>
      </w:pPr>
    </w:lvl>
    <w:lvl w:ilvl="1" w:tplc="76A87A5A" w:tentative="1">
      <w:start w:val="1"/>
      <w:numFmt w:val="decimal"/>
      <w:lvlText w:val="%2."/>
      <w:lvlJc w:val="left"/>
      <w:pPr>
        <w:tabs>
          <w:tab w:val="num" w:pos="1440"/>
        </w:tabs>
        <w:ind w:left="1440" w:hanging="360"/>
      </w:pPr>
    </w:lvl>
    <w:lvl w:ilvl="2" w:tplc="64627E94" w:tentative="1">
      <w:start w:val="1"/>
      <w:numFmt w:val="decimal"/>
      <w:lvlText w:val="%3."/>
      <w:lvlJc w:val="left"/>
      <w:pPr>
        <w:tabs>
          <w:tab w:val="num" w:pos="2160"/>
        </w:tabs>
        <w:ind w:left="2160" w:hanging="360"/>
      </w:pPr>
    </w:lvl>
    <w:lvl w:ilvl="3" w:tplc="8A94F424" w:tentative="1">
      <w:start w:val="1"/>
      <w:numFmt w:val="decimal"/>
      <w:lvlText w:val="%4."/>
      <w:lvlJc w:val="left"/>
      <w:pPr>
        <w:tabs>
          <w:tab w:val="num" w:pos="2880"/>
        </w:tabs>
        <w:ind w:left="2880" w:hanging="360"/>
      </w:pPr>
    </w:lvl>
    <w:lvl w:ilvl="4" w:tplc="B5041024" w:tentative="1">
      <w:start w:val="1"/>
      <w:numFmt w:val="decimal"/>
      <w:lvlText w:val="%5."/>
      <w:lvlJc w:val="left"/>
      <w:pPr>
        <w:tabs>
          <w:tab w:val="num" w:pos="3600"/>
        </w:tabs>
        <w:ind w:left="3600" w:hanging="360"/>
      </w:pPr>
    </w:lvl>
    <w:lvl w:ilvl="5" w:tplc="A8FC3AA6" w:tentative="1">
      <w:start w:val="1"/>
      <w:numFmt w:val="decimal"/>
      <w:lvlText w:val="%6."/>
      <w:lvlJc w:val="left"/>
      <w:pPr>
        <w:tabs>
          <w:tab w:val="num" w:pos="4320"/>
        </w:tabs>
        <w:ind w:left="4320" w:hanging="360"/>
      </w:pPr>
    </w:lvl>
    <w:lvl w:ilvl="6" w:tplc="43C41D10" w:tentative="1">
      <w:start w:val="1"/>
      <w:numFmt w:val="decimal"/>
      <w:lvlText w:val="%7."/>
      <w:lvlJc w:val="left"/>
      <w:pPr>
        <w:tabs>
          <w:tab w:val="num" w:pos="5040"/>
        </w:tabs>
        <w:ind w:left="5040" w:hanging="360"/>
      </w:pPr>
    </w:lvl>
    <w:lvl w:ilvl="7" w:tplc="34AC0C70" w:tentative="1">
      <w:start w:val="1"/>
      <w:numFmt w:val="decimal"/>
      <w:lvlText w:val="%8."/>
      <w:lvlJc w:val="left"/>
      <w:pPr>
        <w:tabs>
          <w:tab w:val="num" w:pos="5760"/>
        </w:tabs>
        <w:ind w:left="5760" w:hanging="360"/>
      </w:pPr>
    </w:lvl>
    <w:lvl w:ilvl="8" w:tplc="67BC31E2" w:tentative="1">
      <w:start w:val="1"/>
      <w:numFmt w:val="decimal"/>
      <w:lvlText w:val="%9."/>
      <w:lvlJc w:val="left"/>
      <w:pPr>
        <w:tabs>
          <w:tab w:val="num" w:pos="6480"/>
        </w:tabs>
        <w:ind w:left="6480" w:hanging="360"/>
      </w:pPr>
    </w:lvl>
  </w:abstractNum>
  <w:abstractNum w:abstractNumId="301">
    <w:nsid w:val="1F7507A7"/>
    <w:multiLevelType w:val="hybridMultilevel"/>
    <w:tmpl w:val="251AA288"/>
    <w:lvl w:ilvl="0" w:tplc="04150005">
      <w:start w:val="1"/>
      <w:numFmt w:val="bullet"/>
      <w:lvlText w:val=""/>
      <w:lvlJc w:val="left"/>
      <w:pPr>
        <w:tabs>
          <w:tab w:val="num" w:pos="720"/>
        </w:tabs>
        <w:ind w:left="720" w:hanging="360"/>
      </w:pPr>
      <w:rPr>
        <w:rFonts w:ascii="Wingdings" w:hAnsi="Wingdings" w:hint="default"/>
        <w:sz w:val="20"/>
      </w:rPr>
    </w:lvl>
    <w:lvl w:ilvl="1" w:tplc="858A5E78" w:tentative="1">
      <w:start w:val="1"/>
      <w:numFmt w:val="bullet"/>
      <w:lvlText w:val="o"/>
      <w:lvlJc w:val="left"/>
      <w:pPr>
        <w:tabs>
          <w:tab w:val="num" w:pos="1440"/>
        </w:tabs>
        <w:ind w:left="1440" w:hanging="360"/>
      </w:pPr>
      <w:rPr>
        <w:rFonts w:ascii="Courier New" w:hAnsi="Courier New" w:hint="default"/>
        <w:sz w:val="20"/>
      </w:rPr>
    </w:lvl>
    <w:lvl w:ilvl="2" w:tplc="80A0112E" w:tentative="1">
      <w:start w:val="1"/>
      <w:numFmt w:val="bullet"/>
      <w:lvlText w:val=""/>
      <w:lvlJc w:val="left"/>
      <w:pPr>
        <w:tabs>
          <w:tab w:val="num" w:pos="2160"/>
        </w:tabs>
        <w:ind w:left="2160" w:hanging="360"/>
      </w:pPr>
      <w:rPr>
        <w:rFonts w:ascii="Wingdings" w:hAnsi="Wingdings" w:hint="default"/>
        <w:sz w:val="20"/>
      </w:rPr>
    </w:lvl>
    <w:lvl w:ilvl="3" w:tplc="69BE3D6E" w:tentative="1">
      <w:start w:val="1"/>
      <w:numFmt w:val="bullet"/>
      <w:lvlText w:val=""/>
      <w:lvlJc w:val="left"/>
      <w:pPr>
        <w:tabs>
          <w:tab w:val="num" w:pos="2880"/>
        </w:tabs>
        <w:ind w:left="2880" w:hanging="360"/>
      </w:pPr>
      <w:rPr>
        <w:rFonts w:ascii="Wingdings" w:hAnsi="Wingdings" w:hint="default"/>
        <w:sz w:val="20"/>
      </w:rPr>
    </w:lvl>
    <w:lvl w:ilvl="4" w:tplc="0122F39A" w:tentative="1">
      <w:start w:val="1"/>
      <w:numFmt w:val="bullet"/>
      <w:lvlText w:val=""/>
      <w:lvlJc w:val="left"/>
      <w:pPr>
        <w:tabs>
          <w:tab w:val="num" w:pos="3600"/>
        </w:tabs>
        <w:ind w:left="3600" w:hanging="360"/>
      </w:pPr>
      <w:rPr>
        <w:rFonts w:ascii="Wingdings" w:hAnsi="Wingdings" w:hint="default"/>
        <w:sz w:val="20"/>
      </w:rPr>
    </w:lvl>
    <w:lvl w:ilvl="5" w:tplc="EE388946" w:tentative="1">
      <w:start w:val="1"/>
      <w:numFmt w:val="bullet"/>
      <w:lvlText w:val=""/>
      <w:lvlJc w:val="left"/>
      <w:pPr>
        <w:tabs>
          <w:tab w:val="num" w:pos="4320"/>
        </w:tabs>
        <w:ind w:left="4320" w:hanging="360"/>
      </w:pPr>
      <w:rPr>
        <w:rFonts w:ascii="Wingdings" w:hAnsi="Wingdings" w:hint="default"/>
        <w:sz w:val="20"/>
      </w:rPr>
    </w:lvl>
    <w:lvl w:ilvl="6" w:tplc="E94A7E9A" w:tentative="1">
      <w:start w:val="1"/>
      <w:numFmt w:val="bullet"/>
      <w:lvlText w:val=""/>
      <w:lvlJc w:val="left"/>
      <w:pPr>
        <w:tabs>
          <w:tab w:val="num" w:pos="5040"/>
        </w:tabs>
        <w:ind w:left="5040" w:hanging="360"/>
      </w:pPr>
      <w:rPr>
        <w:rFonts w:ascii="Wingdings" w:hAnsi="Wingdings" w:hint="default"/>
        <w:sz w:val="20"/>
      </w:rPr>
    </w:lvl>
    <w:lvl w:ilvl="7" w:tplc="429EFD08" w:tentative="1">
      <w:start w:val="1"/>
      <w:numFmt w:val="bullet"/>
      <w:lvlText w:val=""/>
      <w:lvlJc w:val="left"/>
      <w:pPr>
        <w:tabs>
          <w:tab w:val="num" w:pos="5760"/>
        </w:tabs>
        <w:ind w:left="5760" w:hanging="360"/>
      </w:pPr>
      <w:rPr>
        <w:rFonts w:ascii="Wingdings" w:hAnsi="Wingdings" w:hint="default"/>
        <w:sz w:val="20"/>
      </w:rPr>
    </w:lvl>
    <w:lvl w:ilvl="8" w:tplc="C7D26A32" w:tentative="1">
      <w:start w:val="1"/>
      <w:numFmt w:val="bullet"/>
      <w:lvlText w:val=""/>
      <w:lvlJc w:val="left"/>
      <w:pPr>
        <w:tabs>
          <w:tab w:val="num" w:pos="6480"/>
        </w:tabs>
        <w:ind w:left="6480" w:hanging="360"/>
      </w:pPr>
      <w:rPr>
        <w:rFonts w:ascii="Wingdings" w:hAnsi="Wingdings" w:hint="default"/>
        <w:sz w:val="20"/>
      </w:rPr>
    </w:lvl>
  </w:abstractNum>
  <w:abstractNum w:abstractNumId="302">
    <w:nsid w:val="200934AB"/>
    <w:multiLevelType w:val="hybridMultilevel"/>
    <w:tmpl w:val="7C043462"/>
    <w:lvl w:ilvl="0" w:tplc="153C1F76">
      <w:start w:val="1"/>
      <w:numFmt w:val="decimal"/>
      <w:lvlText w:val="%1."/>
      <w:lvlJc w:val="left"/>
      <w:pPr>
        <w:ind w:left="720" w:hanging="360"/>
      </w:pPr>
      <w:rPr>
        <w:rFonts w:asciiTheme="minorHAnsi" w:eastAsia="Times New Roman" w:hAnsiTheme="minorHAnsi" w:cs="Times New Roman"/>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3">
    <w:nsid w:val="202A33B9"/>
    <w:multiLevelType w:val="hybridMultilevel"/>
    <w:tmpl w:val="0054F556"/>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4">
    <w:nsid w:val="2036759F"/>
    <w:multiLevelType w:val="hybridMultilevel"/>
    <w:tmpl w:val="4432C00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5">
    <w:nsid w:val="203D07D9"/>
    <w:multiLevelType w:val="hybridMultilevel"/>
    <w:tmpl w:val="838E5254"/>
    <w:lvl w:ilvl="0" w:tplc="D6A656B6">
      <w:numFmt w:val="bullet"/>
      <w:lvlText w:val="-"/>
      <w:lvlJc w:val="left"/>
      <w:pPr>
        <w:tabs>
          <w:tab w:val="num" w:pos="720"/>
        </w:tabs>
        <w:ind w:left="720" w:hanging="360"/>
      </w:pPr>
      <w:rPr>
        <w:rFonts w:ascii="Times New Roman" w:eastAsia="Times New Roman" w:hAnsi="Times New Roman" w:cs="Times New Roman" w:hint="default"/>
        <w:sz w:val="20"/>
      </w:rPr>
    </w:lvl>
    <w:lvl w:ilvl="1" w:tplc="0DBE8F62" w:tentative="1">
      <w:start w:val="1"/>
      <w:numFmt w:val="bullet"/>
      <w:lvlText w:val="o"/>
      <w:lvlJc w:val="left"/>
      <w:pPr>
        <w:tabs>
          <w:tab w:val="num" w:pos="1440"/>
        </w:tabs>
        <w:ind w:left="1440" w:hanging="360"/>
      </w:pPr>
      <w:rPr>
        <w:rFonts w:ascii="Courier New" w:hAnsi="Courier New" w:hint="default"/>
        <w:sz w:val="20"/>
      </w:rPr>
    </w:lvl>
    <w:lvl w:ilvl="2" w:tplc="151C130E" w:tentative="1">
      <w:start w:val="1"/>
      <w:numFmt w:val="bullet"/>
      <w:lvlText w:val=""/>
      <w:lvlJc w:val="left"/>
      <w:pPr>
        <w:tabs>
          <w:tab w:val="num" w:pos="2160"/>
        </w:tabs>
        <w:ind w:left="2160" w:hanging="360"/>
      </w:pPr>
      <w:rPr>
        <w:rFonts w:ascii="Wingdings" w:hAnsi="Wingdings" w:hint="default"/>
        <w:sz w:val="20"/>
      </w:rPr>
    </w:lvl>
    <w:lvl w:ilvl="3" w:tplc="65E6C5B6" w:tentative="1">
      <w:start w:val="1"/>
      <w:numFmt w:val="bullet"/>
      <w:lvlText w:val=""/>
      <w:lvlJc w:val="left"/>
      <w:pPr>
        <w:tabs>
          <w:tab w:val="num" w:pos="2880"/>
        </w:tabs>
        <w:ind w:left="2880" w:hanging="360"/>
      </w:pPr>
      <w:rPr>
        <w:rFonts w:ascii="Wingdings" w:hAnsi="Wingdings" w:hint="default"/>
        <w:sz w:val="20"/>
      </w:rPr>
    </w:lvl>
    <w:lvl w:ilvl="4" w:tplc="5B2C1702" w:tentative="1">
      <w:start w:val="1"/>
      <w:numFmt w:val="bullet"/>
      <w:lvlText w:val=""/>
      <w:lvlJc w:val="left"/>
      <w:pPr>
        <w:tabs>
          <w:tab w:val="num" w:pos="3600"/>
        </w:tabs>
        <w:ind w:left="3600" w:hanging="360"/>
      </w:pPr>
      <w:rPr>
        <w:rFonts w:ascii="Wingdings" w:hAnsi="Wingdings" w:hint="default"/>
        <w:sz w:val="20"/>
      </w:rPr>
    </w:lvl>
    <w:lvl w:ilvl="5" w:tplc="00A05A7A" w:tentative="1">
      <w:start w:val="1"/>
      <w:numFmt w:val="bullet"/>
      <w:lvlText w:val=""/>
      <w:lvlJc w:val="left"/>
      <w:pPr>
        <w:tabs>
          <w:tab w:val="num" w:pos="4320"/>
        </w:tabs>
        <w:ind w:left="4320" w:hanging="360"/>
      </w:pPr>
      <w:rPr>
        <w:rFonts w:ascii="Wingdings" w:hAnsi="Wingdings" w:hint="default"/>
        <w:sz w:val="20"/>
      </w:rPr>
    </w:lvl>
    <w:lvl w:ilvl="6" w:tplc="79A06152" w:tentative="1">
      <w:start w:val="1"/>
      <w:numFmt w:val="bullet"/>
      <w:lvlText w:val=""/>
      <w:lvlJc w:val="left"/>
      <w:pPr>
        <w:tabs>
          <w:tab w:val="num" w:pos="5040"/>
        </w:tabs>
        <w:ind w:left="5040" w:hanging="360"/>
      </w:pPr>
      <w:rPr>
        <w:rFonts w:ascii="Wingdings" w:hAnsi="Wingdings" w:hint="default"/>
        <w:sz w:val="20"/>
      </w:rPr>
    </w:lvl>
    <w:lvl w:ilvl="7" w:tplc="25B038DC" w:tentative="1">
      <w:start w:val="1"/>
      <w:numFmt w:val="bullet"/>
      <w:lvlText w:val=""/>
      <w:lvlJc w:val="left"/>
      <w:pPr>
        <w:tabs>
          <w:tab w:val="num" w:pos="5760"/>
        </w:tabs>
        <w:ind w:left="5760" w:hanging="360"/>
      </w:pPr>
      <w:rPr>
        <w:rFonts w:ascii="Wingdings" w:hAnsi="Wingdings" w:hint="default"/>
        <w:sz w:val="20"/>
      </w:rPr>
    </w:lvl>
    <w:lvl w:ilvl="8" w:tplc="A218E6E4" w:tentative="1">
      <w:start w:val="1"/>
      <w:numFmt w:val="bullet"/>
      <w:lvlText w:val=""/>
      <w:lvlJc w:val="left"/>
      <w:pPr>
        <w:tabs>
          <w:tab w:val="num" w:pos="6480"/>
        </w:tabs>
        <w:ind w:left="6480" w:hanging="360"/>
      </w:pPr>
      <w:rPr>
        <w:rFonts w:ascii="Wingdings" w:hAnsi="Wingdings" w:hint="default"/>
        <w:sz w:val="20"/>
      </w:rPr>
    </w:lvl>
  </w:abstractNum>
  <w:abstractNum w:abstractNumId="306">
    <w:nsid w:val="205F220F"/>
    <w:multiLevelType w:val="hybridMultilevel"/>
    <w:tmpl w:val="BFE8DE3E"/>
    <w:lvl w:ilvl="0" w:tplc="72BC2924">
      <w:start w:val="1"/>
      <w:numFmt w:val="decimal"/>
      <w:lvlText w:val="%1."/>
      <w:lvlJc w:val="left"/>
      <w:pPr>
        <w:tabs>
          <w:tab w:val="num" w:pos="720"/>
        </w:tabs>
        <w:ind w:left="720" w:hanging="360"/>
      </w:pPr>
    </w:lvl>
    <w:lvl w:ilvl="1" w:tplc="C3B803EA" w:tentative="1">
      <w:start w:val="1"/>
      <w:numFmt w:val="decimal"/>
      <w:lvlText w:val="%2."/>
      <w:lvlJc w:val="left"/>
      <w:pPr>
        <w:tabs>
          <w:tab w:val="num" w:pos="1440"/>
        </w:tabs>
        <w:ind w:left="1440" w:hanging="360"/>
      </w:pPr>
    </w:lvl>
    <w:lvl w:ilvl="2" w:tplc="720465F8" w:tentative="1">
      <w:start w:val="1"/>
      <w:numFmt w:val="decimal"/>
      <w:lvlText w:val="%3."/>
      <w:lvlJc w:val="left"/>
      <w:pPr>
        <w:tabs>
          <w:tab w:val="num" w:pos="2160"/>
        </w:tabs>
        <w:ind w:left="2160" w:hanging="360"/>
      </w:pPr>
    </w:lvl>
    <w:lvl w:ilvl="3" w:tplc="4344D446" w:tentative="1">
      <w:start w:val="1"/>
      <w:numFmt w:val="decimal"/>
      <w:lvlText w:val="%4."/>
      <w:lvlJc w:val="left"/>
      <w:pPr>
        <w:tabs>
          <w:tab w:val="num" w:pos="2880"/>
        </w:tabs>
        <w:ind w:left="2880" w:hanging="360"/>
      </w:pPr>
    </w:lvl>
    <w:lvl w:ilvl="4" w:tplc="27069550" w:tentative="1">
      <w:start w:val="1"/>
      <w:numFmt w:val="decimal"/>
      <w:lvlText w:val="%5."/>
      <w:lvlJc w:val="left"/>
      <w:pPr>
        <w:tabs>
          <w:tab w:val="num" w:pos="3600"/>
        </w:tabs>
        <w:ind w:left="3600" w:hanging="360"/>
      </w:pPr>
    </w:lvl>
    <w:lvl w:ilvl="5" w:tplc="AE8EFD92" w:tentative="1">
      <w:start w:val="1"/>
      <w:numFmt w:val="decimal"/>
      <w:lvlText w:val="%6."/>
      <w:lvlJc w:val="left"/>
      <w:pPr>
        <w:tabs>
          <w:tab w:val="num" w:pos="4320"/>
        </w:tabs>
        <w:ind w:left="4320" w:hanging="360"/>
      </w:pPr>
    </w:lvl>
    <w:lvl w:ilvl="6" w:tplc="94946DC0" w:tentative="1">
      <w:start w:val="1"/>
      <w:numFmt w:val="decimal"/>
      <w:lvlText w:val="%7."/>
      <w:lvlJc w:val="left"/>
      <w:pPr>
        <w:tabs>
          <w:tab w:val="num" w:pos="5040"/>
        </w:tabs>
        <w:ind w:left="5040" w:hanging="360"/>
      </w:pPr>
    </w:lvl>
    <w:lvl w:ilvl="7" w:tplc="C52E1EB2" w:tentative="1">
      <w:start w:val="1"/>
      <w:numFmt w:val="decimal"/>
      <w:lvlText w:val="%8."/>
      <w:lvlJc w:val="left"/>
      <w:pPr>
        <w:tabs>
          <w:tab w:val="num" w:pos="5760"/>
        </w:tabs>
        <w:ind w:left="5760" w:hanging="360"/>
      </w:pPr>
    </w:lvl>
    <w:lvl w:ilvl="8" w:tplc="FA5AF6CE" w:tentative="1">
      <w:start w:val="1"/>
      <w:numFmt w:val="decimal"/>
      <w:lvlText w:val="%9."/>
      <w:lvlJc w:val="left"/>
      <w:pPr>
        <w:tabs>
          <w:tab w:val="num" w:pos="6480"/>
        </w:tabs>
        <w:ind w:left="6480" w:hanging="360"/>
      </w:pPr>
    </w:lvl>
  </w:abstractNum>
  <w:abstractNum w:abstractNumId="307">
    <w:nsid w:val="209068B9"/>
    <w:multiLevelType w:val="hybridMultilevel"/>
    <w:tmpl w:val="BB52E2A0"/>
    <w:lvl w:ilvl="0" w:tplc="AD8C689E">
      <w:start w:val="1"/>
      <w:numFmt w:val="decimal"/>
      <w:lvlText w:val="%1."/>
      <w:lvlJc w:val="left"/>
      <w:pPr>
        <w:tabs>
          <w:tab w:val="num" w:pos="720"/>
        </w:tabs>
        <w:ind w:left="720" w:hanging="360"/>
      </w:pPr>
    </w:lvl>
    <w:lvl w:ilvl="1" w:tplc="0DB2D4E2" w:tentative="1">
      <w:start w:val="1"/>
      <w:numFmt w:val="decimal"/>
      <w:lvlText w:val="%2."/>
      <w:lvlJc w:val="left"/>
      <w:pPr>
        <w:tabs>
          <w:tab w:val="num" w:pos="1440"/>
        </w:tabs>
        <w:ind w:left="1440" w:hanging="360"/>
      </w:pPr>
    </w:lvl>
    <w:lvl w:ilvl="2" w:tplc="84F88728" w:tentative="1">
      <w:start w:val="1"/>
      <w:numFmt w:val="decimal"/>
      <w:lvlText w:val="%3."/>
      <w:lvlJc w:val="left"/>
      <w:pPr>
        <w:tabs>
          <w:tab w:val="num" w:pos="2160"/>
        </w:tabs>
        <w:ind w:left="2160" w:hanging="360"/>
      </w:pPr>
    </w:lvl>
    <w:lvl w:ilvl="3" w:tplc="8F008216" w:tentative="1">
      <w:start w:val="1"/>
      <w:numFmt w:val="decimal"/>
      <w:lvlText w:val="%4."/>
      <w:lvlJc w:val="left"/>
      <w:pPr>
        <w:tabs>
          <w:tab w:val="num" w:pos="2880"/>
        </w:tabs>
        <w:ind w:left="2880" w:hanging="360"/>
      </w:pPr>
    </w:lvl>
    <w:lvl w:ilvl="4" w:tplc="FD44DAA8" w:tentative="1">
      <w:start w:val="1"/>
      <w:numFmt w:val="decimal"/>
      <w:lvlText w:val="%5."/>
      <w:lvlJc w:val="left"/>
      <w:pPr>
        <w:tabs>
          <w:tab w:val="num" w:pos="3600"/>
        </w:tabs>
        <w:ind w:left="3600" w:hanging="360"/>
      </w:pPr>
    </w:lvl>
    <w:lvl w:ilvl="5" w:tplc="10C0DC88" w:tentative="1">
      <w:start w:val="1"/>
      <w:numFmt w:val="decimal"/>
      <w:lvlText w:val="%6."/>
      <w:lvlJc w:val="left"/>
      <w:pPr>
        <w:tabs>
          <w:tab w:val="num" w:pos="4320"/>
        </w:tabs>
        <w:ind w:left="4320" w:hanging="360"/>
      </w:pPr>
    </w:lvl>
    <w:lvl w:ilvl="6" w:tplc="0EAA113A" w:tentative="1">
      <w:start w:val="1"/>
      <w:numFmt w:val="decimal"/>
      <w:lvlText w:val="%7."/>
      <w:lvlJc w:val="left"/>
      <w:pPr>
        <w:tabs>
          <w:tab w:val="num" w:pos="5040"/>
        </w:tabs>
        <w:ind w:left="5040" w:hanging="360"/>
      </w:pPr>
    </w:lvl>
    <w:lvl w:ilvl="7" w:tplc="434E809E" w:tentative="1">
      <w:start w:val="1"/>
      <w:numFmt w:val="decimal"/>
      <w:lvlText w:val="%8."/>
      <w:lvlJc w:val="left"/>
      <w:pPr>
        <w:tabs>
          <w:tab w:val="num" w:pos="5760"/>
        </w:tabs>
        <w:ind w:left="5760" w:hanging="360"/>
      </w:pPr>
    </w:lvl>
    <w:lvl w:ilvl="8" w:tplc="A0A0A8C2" w:tentative="1">
      <w:start w:val="1"/>
      <w:numFmt w:val="decimal"/>
      <w:lvlText w:val="%9."/>
      <w:lvlJc w:val="left"/>
      <w:pPr>
        <w:tabs>
          <w:tab w:val="num" w:pos="6480"/>
        </w:tabs>
        <w:ind w:left="6480" w:hanging="360"/>
      </w:pPr>
    </w:lvl>
  </w:abstractNum>
  <w:abstractNum w:abstractNumId="308">
    <w:nsid w:val="211D7B43"/>
    <w:multiLevelType w:val="hybridMultilevel"/>
    <w:tmpl w:val="06A64C8A"/>
    <w:lvl w:ilvl="0" w:tplc="04150005">
      <w:start w:val="1"/>
      <w:numFmt w:val="bullet"/>
      <w:lvlText w:val=""/>
      <w:lvlJc w:val="left"/>
      <w:pPr>
        <w:ind w:left="1789" w:hanging="360"/>
      </w:pPr>
      <w:rPr>
        <w:rFonts w:ascii="Wingdings" w:hAnsi="Wingdings" w:hint="default"/>
      </w:rPr>
    </w:lvl>
    <w:lvl w:ilvl="1" w:tplc="04150003" w:tentative="1">
      <w:start w:val="1"/>
      <w:numFmt w:val="bullet"/>
      <w:lvlText w:val="o"/>
      <w:lvlJc w:val="left"/>
      <w:pPr>
        <w:ind w:left="2509" w:hanging="360"/>
      </w:pPr>
      <w:rPr>
        <w:rFonts w:ascii="Courier New" w:hAnsi="Courier New" w:cs="Courier New" w:hint="default"/>
      </w:rPr>
    </w:lvl>
    <w:lvl w:ilvl="2" w:tplc="04150005" w:tentative="1">
      <w:start w:val="1"/>
      <w:numFmt w:val="bullet"/>
      <w:lvlText w:val=""/>
      <w:lvlJc w:val="left"/>
      <w:pPr>
        <w:ind w:left="3229" w:hanging="360"/>
      </w:pPr>
      <w:rPr>
        <w:rFonts w:ascii="Wingdings" w:hAnsi="Wingdings" w:hint="default"/>
      </w:rPr>
    </w:lvl>
    <w:lvl w:ilvl="3" w:tplc="04150001" w:tentative="1">
      <w:start w:val="1"/>
      <w:numFmt w:val="bullet"/>
      <w:lvlText w:val=""/>
      <w:lvlJc w:val="left"/>
      <w:pPr>
        <w:ind w:left="3949" w:hanging="360"/>
      </w:pPr>
      <w:rPr>
        <w:rFonts w:ascii="Symbol" w:hAnsi="Symbol" w:hint="default"/>
      </w:rPr>
    </w:lvl>
    <w:lvl w:ilvl="4" w:tplc="04150003" w:tentative="1">
      <w:start w:val="1"/>
      <w:numFmt w:val="bullet"/>
      <w:lvlText w:val="o"/>
      <w:lvlJc w:val="left"/>
      <w:pPr>
        <w:ind w:left="4669" w:hanging="360"/>
      </w:pPr>
      <w:rPr>
        <w:rFonts w:ascii="Courier New" w:hAnsi="Courier New" w:cs="Courier New" w:hint="default"/>
      </w:rPr>
    </w:lvl>
    <w:lvl w:ilvl="5" w:tplc="04150005" w:tentative="1">
      <w:start w:val="1"/>
      <w:numFmt w:val="bullet"/>
      <w:lvlText w:val=""/>
      <w:lvlJc w:val="left"/>
      <w:pPr>
        <w:ind w:left="5389" w:hanging="360"/>
      </w:pPr>
      <w:rPr>
        <w:rFonts w:ascii="Wingdings" w:hAnsi="Wingdings" w:hint="default"/>
      </w:rPr>
    </w:lvl>
    <w:lvl w:ilvl="6" w:tplc="04150001" w:tentative="1">
      <w:start w:val="1"/>
      <w:numFmt w:val="bullet"/>
      <w:lvlText w:val=""/>
      <w:lvlJc w:val="left"/>
      <w:pPr>
        <w:ind w:left="6109" w:hanging="360"/>
      </w:pPr>
      <w:rPr>
        <w:rFonts w:ascii="Symbol" w:hAnsi="Symbol" w:hint="default"/>
      </w:rPr>
    </w:lvl>
    <w:lvl w:ilvl="7" w:tplc="04150003" w:tentative="1">
      <w:start w:val="1"/>
      <w:numFmt w:val="bullet"/>
      <w:lvlText w:val="o"/>
      <w:lvlJc w:val="left"/>
      <w:pPr>
        <w:ind w:left="6829" w:hanging="360"/>
      </w:pPr>
      <w:rPr>
        <w:rFonts w:ascii="Courier New" w:hAnsi="Courier New" w:cs="Courier New" w:hint="default"/>
      </w:rPr>
    </w:lvl>
    <w:lvl w:ilvl="8" w:tplc="04150005" w:tentative="1">
      <w:start w:val="1"/>
      <w:numFmt w:val="bullet"/>
      <w:lvlText w:val=""/>
      <w:lvlJc w:val="left"/>
      <w:pPr>
        <w:ind w:left="7549" w:hanging="360"/>
      </w:pPr>
      <w:rPr>
        <w:rFonts w:ascii="Wingdings" w:hAnsi="Wingdings" w:hint="default"/>
      </w:rPr>
    </w:lvl>
  </w:abstractNum>
  <w:abstractNum w:abstractNumId="309">
    <w:nsid w:val="217C4C3B"/>
    <w:multiLevelType w:val="hybridMultilevel"/>
    <w:tmpl w:val="79E84C8C"/>
    <w:lvl w:ilvl="0" w:tplc="1F905158">
      <w:start w:val="1"/>
      <w:numFmt w:val="bullet"/>
      <w:lvlText w:val=""/>
      <w:lvlJc w:val="left"/>
      <w:pPr>
        <w:tabs>
          <w:tab w:val="num" w:pos="720"/>
        </w:tabs>
        <w:ind w:left="720" w:hanging="360"/>
      </w:pPr>
      <w:rPr>
        <w:rFonts w:ascii="Symbol" w:hAnsi="Symbol" w:hint="default"/>
        <w:sz w:val="20"/>
      </w:rPr>
    </w:lvl>
    <w:lvl w:ilvl="1" w:tplc="170EF176" w:tentative="1">
      <w:start w:val="1"/>
      <w:numFmt w:val="bullet"/>
      <w:lvlText w:val="o"/>
      <w:lvlJc w:val="left"/>
      <w:pPr>
        <w:tabs>
          <w:tab w:val="num" w:pos="1440"/>
        </w:tabs>
        <w:ind w:left="1440" w:hanging="360"/>
      </w:pPr>
      <w:rPr>
        <w:rFonts w:ascii="Courier New" w:hAnsi="Courier New" w:hint="default"/>
        <w:sz w:val="20"/>
      </w:rPr>
    </w:lvl>
    <w:lvl w:ilvl="2" w:tplc="0398242C" w:tentative="1">
      <w:start w:val="1"/>
      <w:numFmt w:val="bullet"/>
      <w:lvlText w:val=""/>
      <w:lvlJc w:val="left"/>
      <w:pPr>
        <w:tabs>
          <w:tab w:val="num" w:pos="2160"/>
        </w:tabs>
        <w:ind w:left="2160" w:hanging="360"/>
      </w:pPr>
      <w:rPr>
        <w:rFonts w:ascii="Wingdings" w:hAnsi="Wingdings" w:hint="default"/>
        <w:sz w:val="20"/>
      </w:rPr>
    </w:lvl>
    <w:lvl w:ilvl="3" w:tplc="2B42ECA6" w:tentative="1">
      <w:start w:val="1"/>
      <w:numFmt w:val="bullet"/>
      <w:lvlText w:val=""/>
      <w:lvlJc w:val="left"/>
      <w:pPr>
        <w:tabs>
          <w:tab w:val="num" w:pos="2880"/>
        </w:tabs>
        <w:ind w:left="2880" w:hanging="360"/>
      </w:pPr>
      <w:rPr>
        <w:rFonts w:ascii="Wingdings" w:hAnsi="Wingdings" w:hint="default"/>
        <w:sz w:val="20"/>
      </w:rPr>
    </w:lvl>
    <w:lvl w:ilvl="4" w:tplc="31F4AA3E" w:tentative="1">
      <w:start w:val="1"/>
      <w:numFmt w:val="bullet"/>
      <w:lvlText w:val=""/>
      <w:lvlJc w:val="left"/>
      <w:pPr>
        <w:tabs>
          <w:tab w:val="num" w:pos="3600"/>
        </w:tabs>
        <w:ind w:left="3600" w:hanging="360"/>
      </w:pPr>
      <w:rPr>
        <w:rFonts w:ascii="Wingdings" w:hAnsi="Wingdings" w:hint="default"/>
        <w:sz w:val="20"/>
      </w:rPr>
    </w:lvl>
    <w:lvl w:ilvl="5" w:tplc="B0A654C0" w:tentative="1">
      <w:start w:val="1"/>
      <w:numFmt w:val="bullet"/>
      <w:lvlText w:val=""/>
      <w:lvlJc w:val="left"/>
      <w:pPr>
        <w:tabs>
          <w:tab w:val="num" w:pos="4320"/>
        </w:tabs>
        <w:ind w:left="4320" w:hanging="360"/>
      </w:pPr>
      <w:rPr>
        <w:rFonts w:ascii="Wingdings" w:hAnsi="Wingdings" w:hint="default"/>
        <w:sz w:val="20"/>
      </w:rPr>
    </w:lvl>
    <w:lvl w:ilvl="6" w:tplc="CF208528" w:tentative="1">
      <w:start w:val="1"/>
      <w:numFmt w:val="bullet"/>
      <w:lvlText w:val=""/>
      <w:lvlJc w:val="left"/>
      <w:pPr>
        <w:tabs>
          <w:tab w:val="num" w:pos="5040"/>
        </w:tabs>
        <w:ind w:left="5040" w:hanging="360"/>
      </w:pPr>
      <w:rPr>
        <w:rFonts w:ascii="Wingdings" w:hAnsi="Wingdings" w:hint="default"/>
        <w:sz w:val="20"/>
      </w:rPr>
    </w:lvl>
    <w:lvl w:ilvl="7" w:tplc="E5D4A518" w:tentative="1">
      <w:start w:val="1"/>
      <w:numFmt w:val="bullet"/>
      <w:lvlText w:val=""/>
      <w:lvlJc w:val="left"/>
      <w:pPr>
        <w:tabs>
          <w:tab w:val="num" w:pos="5760"/>
        </w:tabs>
        <w:ind w:left="5760" w:hanging="360"/>
      </w:pPr>
      <w:rPr>
        <w:rFonts w:ascii="Wingdings" w:hAnsi="Wingdings" w:hint="default"/>
        <w:sz w:val="20"/>
      </w:rPr>
    </w:lvl>
    <w:lvl w:ilvl="8" w:tplc="397E0D34" w:tentative="1">
      <w:start w:val="1"/>
      <w:numFmt w:val="bullet"/>
      <w:lvlText w:val=""/>
      <w:lvlJc w:val="left"/>
      <w:pPr>
        <w:tabs>
          <w:tab w:val="num" w:pos="6480"/>
        </w:tabs>
        <w:ind w:left="6480" w:hanging="360"/>
      </w:pPr>
      <w:rPr>
        <w:rFonts w:ascii="Wingdings" w:hAnsi="Wingdings" w:hint="default"/>
        <w:sz w:val="20"/>
      </w:rPr>
    </w:lvl>
  </w:abstractNum>
  <w:abstractNum w:abstractNumId="310">
    <w:nsid w:val="21A14C39"/>
    <w:multiLevelType w:val="hybridMultilevel"/>
    <w:tmpl w:val="3BDA7F48"/>
    <w:lvl w:ilvl="0" w:tplc="6ADE5BF6">
      <w:start w:val="1"/>
      <w:numFmt w:val="bullet"/>
      <w:lvlText w:val=""/>
      <w:lvlJc w:val="left"/>
      <w:pPr>
        <w:ind w:left="720" w:hanging="360"/>
      </w:pPr>
      <w:rPr>
        <w:rFonts w:ascii="Wingdings" w:hAnsi="Wingdings" w:hint="default"/>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1">
    <w:nsid w:val="21BA1370"/>
    <w:multiLevelType w:val="hybridMultilevel"/>
    <w:tmpl w:val="1DE8B710"/>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12">
    <w:nsid w:val="21E50CD1"/>
    <w:multiLevelType w:val="hybridMultilevel"/>
    <w:tmpl w:val="B8EA7344"/>
    <w:lvl w:ilvl="0" w:tplc="6BA4D2E2">
      <w:start w:val="1"/>
      <w:numFmt w:val="bullet"/>
      <w:lvlText w:val=""/>
      <w:lvlJc w:val="left"/>
      <w:pPr>
        <w:tabs>
          <w:tab w:val="num" w:pos="720"/>
        </w:tabs>
        <w:ind w:left="720" w:hanging="360"/>
      </w:pPr>
      <w:rPr>
        <w:rFonts w:ascii="Symbol" w:hAnsi="Symbol" w:hint="default"/>
        <w:sz w:val="20"/>
      </w:rPr>
    </w:lvl>
    <w:lvl w:ilvl="1" w:tplc="E72C1586" w:tentative="1">
      <w:start w:val="1"/>
      <w:numFmt w:val="bullet"/>
      <w:lvlText w:val="o"/>
      <w:lvlJc w:val="left"/>
      <w:pPr>
        <w:tabs>
          <w:tab w:val="num" w:pos="1440"/>
        </w:tabs>
        <w:ind w:left="1440" w:hanging="360"/>
      </w:pPr>
      <w:rPr>
        <w:rFonts w:ascii="Courier New" w:hAnsi="Courier New" w:hint="default"/>
        <w:sz w:val="20"/>
      </w:rPr>
    </w:lvl>
    <w:lvl w:ilvl="2" w:tplc="12CA52E4" w:tentative="1">
      <w:start w:val="1"/>
      <w:numFmt w:val="bullet"/>
      <w:lvlText w:val=""/>
      <w:lvlJc w:val="left"/>
      <w:pPr>
        <w:tabs>
          <w:tab w:val="num" w:pos="2160"/>
        </w:tabs>
        <w:ind w:left="2160" w:hanging="360"/>
      </w:pPr>
      <w:rPr>
        <w:rFonts w:ascii="Wingdings" w:hAnsi="Wingdings" w:hint="default"/>
        <w:sz w:val="20"/>
      </w:rPr>
    </w:lvl>
    <w:lvl w:ilvl="3" w:tplc="62B2A8A0" w:tentative="1">
      <w:start w:val="1"/>
      <w:numFmt w:val="bullet"/>
      <w:lvlText w:val=""/>
      <w:lvlJc w:val="left"/>
      <w:pPr>
        <w:tabs>
          <w:tab w:val="num" w:pos="2880"/>
        </w:tabs>
        <w:ind w:left="2880" w:hanging="360"/>
      </w:pPr>
      <w:rPr>
        <w:rFonts w:ascii="Wingdings" w:hAnsi="Wingdings" w:hint="default"/>
        <w:sz w:val="20"/>
      </w:rPr>
    </w:lvl>
    <w:lvl w:ilvl="4" w:tplc="82C2E81A" w:tentative="1">
      <w:start w:val="1"/>
      <w:numFmt w:val="bullet"/>
      <w:lvlText w:val=""/>
      <w:lvlJc w:val="left"/>
      <w:pPr>
        <w:tabs>
          <w:tab w:val="num" w:pos="3600"/>
        </w:tabs>
        <w:ind w:left="3600" w:hanging="360"/>
      </w:pPr>
      <w:rPr>
        <w:rFonts w:ascii="Wingdings" w:hAnsi="Wingdings" w:hint="default"/>
        <w:sz w:val="20"/>
      </w:rPr>
    </w:lvl>
    <w:lvl w:ilvl="5" w:tplc="DD0820EC" w:tentative="1">
      <w:start w:val="1"/>
      <w:numFmt w:val="bullet"/>
      <w:lvlText w:val=""/>
      <w:lvlJc w:val="left"/>
      <w:pPr>
        <w:tabs>
          <w:tab w:val="num" w:pos="4320"/>
        </w:tabs>
        <w:ind w:left="4320" w:hanging="360"/>
      </w:pPr>
      <w:rPr>
        <w:rFonts w:ascii="Wingdings" w:hAnsi="Wingdings" w:hint="default"/>
        <w:sz w:val="20"/>
      </w:rPr>
    </w:lvl>
    <w:lvl w:ilvl="6" w:tplc="782EE262" w:tentative="1">
      <w:start w:val="1"/>
      <w:numFmt w:val="bullet"/>
      <w:lvlText w:val=""/>
      <w:lvlJc w:val="left"/>
      <w:pPr>
        <w:tabs>
          <w:tab w:val="num" w:pos="5040"/>
        </w:tabs>
        <w:ind w:left="5040" w:hanging="360"/>
      </w:pPr>
      <w:rPr>
        <w:rFonts w:ascii="Wingdings" w:hAnsi="Wingdings" w:hint="default"/>
        <w:sz w:val="20"/>
      </w:rPr>
    </w:lvl>
    <w:lvl w:ilvl="7" w:tplc="75827F36" w:tentative="1">
      <w:start w:val="1"/>
      <w:numFmt w:val="bullet"/>
      <w:lvlText w:val=""/>
      <w:lvlJc w:val="left"/>
      <w:pPr>
        <w:tabs>
          <w:tab w:val="num" w:pos="5760"/>
        </w:tabs>
        <w:ind w:left="5760" w:hanging="360"/>
      </w:pPr>
      <w:rPr>
        <w:rFonts w:ascii="Wingdings" w:hAnsi="Wingdings" w:hint="default"/>
        <w:sz w:val="20"/>
      </w:rPr>
    </w:lvl>
    <w:lvl w:ilvl="8" w:tplc="D84C5F6A" w:tentative="1">
      <w:start w:val="1"/>
      <w:numFmt w:val="bullet"/>
      <w:lvlText w:val=""/>
      <w:lvlJc w:val="left"/>
      <w:pPr>
        <w:tabs>
          <w:tab w:val="num" w:pos="6480"/>
        </w:tabs>
        <w:ind w:left="6480" w:hanging="360"/>
      </w:pPr>
      <w:rPr>
        <w:rFonts w:ascii="Wingdings" w:hAnsi="Wingdings" w:hint="default"/>
        <w:sz w:val="20"/>
      </w:rPr>
    </w:lvl>
  </w:abstractNum>
  <w:abstractNum w:abstractNumId="313">
    <w:nsid w:val="21F86D89"/>
    <w:multiLevelType w:val="hybridMultilevel"/>
    <w:tmpl w:val="CB620AC2"/>
    <w:lvl w:ilvl="0" w:tplc="CF14DE46">
      <w:start w:val="1"/>
      <w:numFmt w:val="decimal"/>
      <w:lvlText w:val="K2.3.%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4">
    <w:nsid w:val="222631CC"/>
    <w:multiLevelType w:val="hybridMultilevel"/>
    <w:tmpl w:val="485A07A6"/>
    <w:lvl w:ilvl="0" w:tplc="3BA23654">
      <w:start w:val="1"/>
      <w:numFmt w:val="bullet"/>
      <w:lvlText w:val="-"/>
      <w:lvlJc w:val="left"/>
      <w:pPr>
        <w:ind w:left="720" w:hanging="360"/>
      </w:pPr>
      <w:rPr>
        <w:rFonts w:ascii="Verdana" w:hAnsi="Verdana"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15">
    <w:nsid w:val="228507B4"/>
    <w:multiLevelType w:val="hybridMultilevel"/>
    <w:tmpl w:val="55C4B0F6"/>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6">
    <w:nsid w:val="22875961"/>
    <w:multiLevelType w:val="multilevel"/>
    <w:tmpl w:val="5EFC6322"/>
    <w:lvl w:ilvl="0">
      <w:start w:val="2"/>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7">
    <w:nsid w:val="22BE7B10"/>
    <w:multiLevelType w:val="hybridMultilevel"/>
    <w:tmpl w:val="B5C285B4"/>
    <w:lvl w:ilvl="0" w:tplc="D982F926">
      <w:start w:val="1"/>
      <w:numFmt w:val="bullet"/>
      <w:lvlText w:val=""/>
      <w:lvlJc w:val="left"/>
      <w:pPr>
        <w:tabs>
          <w:tab w:val="num" w:pos="720"/>
        </w:tabs>
        <w:ind w:left="720" w:hanging="360"/>
      </w:pPr>
      <w:rPr>
        <w:rFonts w:ascii="Symbol" w:hAnsi="Symbol" w:hint="default"/>
        <w:sz w:val="20"/>
      </w:rPr>
    </w:lvl>
    <w:lvl w:ilvl="1" w:tplc="B638FD8C" w:tentative="1">
      <w:start w:val="1"/>
      <w:numFmt w:val="bullet"/>
      <w:lvlText w:val="o"/>
      <w:lvlJc w:val="left"/>
      <w:pPr>
        <w:tabs>
          <w:tab w:val="num" w:pos="1440"/>
        </w:tabs>
        <w:ind w:left="1440" w:hanging="360"/>
      </w:pPr>
      <w:rPr>
        <w:rFonts w:ascii="Courier New" w:hAnsi="Courier New" w:hint="default"/>
        <w:sz w:val="20"/>
      </w:rPr>
    </w:lvl>
    <w:lvl w:ilvl="2" w:tplc="7854C938" w:tentative="1">
      <w:start w:val="1"/>
      <w:numFmt w:val="bullet"/>
      <w:lvlText w:val=""/>
      <w:lvlJc w:val="left"/>
      <w:pPr>
        <w:tabs>
          <w:tab w:val="num" w:pos="2160"/>
        </w:tabs>
        <w:ind w:left="2160" w:hanging="360"/>
      </w:pPr>
      <w:rPr>
        <w:rFonts w:ascii="Wingdings" w:hAnsi="Wingdings" w:hint="default"/>
        <w:sz w:val="20"/>
      </w:rPr>
    </w:lvl>
    <w:lvl w:ilvl="3" w:tplc="E6945B0A" w:tentative="1">
      <w:start w:val="1"/>
      <w:numFmt w:val="bullet"/>
      <w:lvlText w:val=""/>
      <w:lvlJc w:val="left"/>
      <w:pPr>
        <w:tabs>
          <w:tab w:val="num" w:pos="2880"/>
        </w:tabs>
        <w:ind w:left="2880" w:hanging="360"/>
      </w:pPr>
      <w:rPr>
        <w:rFonts w:ascii="Wingdings" w:hAnsi="Wingdings" w:hint="default"/>
        <w:sz w:val="20"/>
      </w:rPr>
    </w:lvl>
    <w:lvl w:ilvl="4" w:tplc="F93E823C" w:tentative="1">
      <w:start w:val="1"/>
      <w:numFmt w:val="bullet"/>
      <w:lvlText w:val=""/>
      <w:lvlJc w:val="left"/>
      <w:pPr>
        <w:tabs>
          <w:tab w:val="num" w:pos="3600"/>
        </w:tabs>
        <w:ind w:left="3600" w:hanging="360"/>
      </w:pPr>
      <w:rPr>
        <w:rFonts w:ascii="Wingdings" w:hAnsi="Wingdings" w:hint="default"/>
        <w:sz w:val="20"/>
      </w:rPr>
    </w:lvl>
    <w:lvl w:ilvl="5" w:tplc="D07CE5B8" w:tentative="1">
      <w:start w:val="1"/>
      <w:numFmt w:val="bullet"/>
      <w:lvlText w:val=""/>
      <w:lvlJc w:val="left"/>
      <w:pPr>
        <w:tabs>
          <w:tab w:val="num" w:pos="4320"/>
        </w:tabs>
        <w:ind w:left="4320" w:hanging="360"/>
      </w:pPr>
      <w:rPr>
        <w:rFonts w:ascii="Wingdings" w:hAnsi="Wingdings" w:hint="default"/>
        <w:sz w:val="20"/>
      </w:rPr>
    </w:lvl>
    <w:lvl w:ilvl="6" w:tplc="52FC23FE" w:tentative="1">
      <w:start w:val="1"/>
      <w:numFmt w:val="bullet"/>
      <w:lvlText w:val=""/>
      <w:lvlJc w:val="left"/>
      <w:pPr>
        <w:tabs>
          <w:tab w:val="num" w:pos="5040"/>
        </w:tabs>
        <w:ind w:left="5040" w:hanging="360"/>
      </w:pPr>
      <w:rPr>
        <w:rFonts w:ascii="Wingdings" w:hAnsi="Wingdings" w:hint="default"/>
        <w:sz w:val="20"/>
      </w:rPr>
    </w:lvl>
    <w:lvl w:ilvl="7" w:tplc="4C2CBFB2" w:tentative="1">
      <w:start w:val="1"/>
      <w:numFmt w:val="bullet"/>
      <w:lvlText w:val=""/>
      <w:lvlJc w:val="left"/>
      <w:pPr>
        <w:tabs>
          <w:tab w:val="num" w:pos="5760"/>
        </w:tabs>
        <w:ind w:left="5760" w:hanging="360"/>
      </w:pPr>
      <w:rPr>
        <w:rFonts w:ascii="Wingdings" w:hAnsi="Wingdings" w:hint="default"/>
        <w:sz w:val="20"/>
      </w:rPr>
    </w:lvl>
    <w:lvl w:ilvl="8" w:tplc="9FC4AF1C" w:tentative="1">
      <w:start w:val="1"/>
      <w:numFmt w:val="bullet"/>
      <w:lvlText w:val=""/>
      <w:lvlJc w:val="left"/>
      <w:pPr>
        <w:tabs>
          <w:tab w:val="num" w:pos="6480"/>
        </w:tabs>
        <w:ind w:left="6480" w:hanging="360"/>
      </w:pPr>
      <w:rPr>
        <w:rFonts w:ascii="Wingdings" w:hAnsi="Wingdings" w:hint="default"/>
        <w:sz w:val="20"/>
      </w:rPr>
    </w:lvl>
  </w:abstractNum>
  <w:abstractNum w:abstractNumId="318">
    <w:nsid w:val="22D0485F"/>
    <w:multiLevelType w:val="multilevel"/>
    <w:tmpl w:val="2FCAB9A4"/>
    <w:lvl w:ilvl="0">
      <w:start w:val="1"/>
      <w:numFmt w:val="bullet"/>
      <w:lvlText w:val=""/>
      <w:lvlJc w:val="left"/>
      <w:pPr>
        <w:tabs>
          <w:tab w:val="num" w:pos="360"/>
        </w:tabs>
        <w:ind w:left="360" w:hanging="360"/>
      </w:pPr>
      <w:rPr>
        <w:rFonts w:ascii="Wingdings" w:hAnsi="Wingdings" w:cs="Wingdings" w:hint="default"/>
        <w:color w:val="auto"/>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9">
    <w:nsid w:val="22F84BEF"/>
    <w:multiLevelType w:val="hybridMultilevel"/>
    <w:tmpl w:val="90A0D65E"/>
    <w:lvl w:ilvl="0" w:tplc="21DE8A86">
      <w:start w:val="1"/>
      <w:numFmt w:val="bullet"/>
      <w:lvlText w:val=""/>
      <w:lvlJc w:val="left"/>
      <w:pPr>
        <w:ind w:left="1440" w:hanging="360"/>
      </w:pPr>
      <w:rPr>
        <w:rFonts w:ascii="Wingdings" w:hAnsi="Wingdings" w:hint="default"/>
        <w:sz w:val="20"/>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20">
    <w:nsid w:val="23397C7E"/>
    <w:multiLevelType w:val="hybridMultilevel"/>
    <w:tmpl w:val="9FF61D7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1">
    <w:nsid w:val="233A2B77"/>
    <w:multiLevelType w:val="hybridMultilevel"/>
    <w:tmpl w:val="6CF0A45E"/>
    <w:lvl w:ilvl="0" w:tplc="E618BB34">
      <w:start w:val="1"/>
      <w:numFmt w:val="decimal"/>
      <w:lvlText w:val="K5.2.%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2">
    <w:nsid w:val="235F27CC"/>
    <w:multiLevelType w:val="hybridMultilevel"/>
    <w:tmpl w:val="C30A0992"/>
    <w:lvl w:ilvl="0" w:tplc="6BE6F594">
      <w:start w:val="1"/>
      <w:numFmt w:val="decimal"/>
      <w:lvlText w:val="K3.1.%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3">
    <w:nsid w:val="2364733D"/>
    <w:multiLevelType w:val="hybridMultilevel"/>
    <w:tmpl w:val="612AF52E"/>
    <w:lvl w:ilvl="0" w:tplc="228CCB22">
      <w:start w:val="1"/>
      <w:numFmt w:val="bullet"/>
      <w:lvlText w:val=""/>
      <w:lvlJc w:val="left"/>
      <w:pPr>
        <w:ind w:left="720" w:hanging="360"/>
      </w:pPr>
      <w:rPr>
        <w:rFonts w:ascii="Wingdings" w:hAnsi="Wingdings" w:cs="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4">
    <w:nsid w:val="236B7BBD"/>
    <w:multiLevelType w:val="hybridMultilevel"/>
    <w:tmpl w:val="D4E4B508"/>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5">
    <w:nsid w:val="23D977A5"/>
    <w:multiLevelType w:val="multilevel"/>
    <w:tmpl w:val="DEE8ED2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6">
    <w:nsid w:val="23E072DA"/>
    <w:multiLevelType w:val="hybridMultilevel"/>
    <w:tmpl w:val="DD3AA16C"/>
    <w:lvl w:ilvl="0" w:tplc="9BB0428C">
      <w:start w:val="1"/>
      <w:numFmt w:val="decimal"/>
      <w:lvlText w:val="K5.4.%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7">
    <w:nsid w:val="242008E6"/>
    <w:multiLevelType w:val="hybridMultilevel"/>
    <w:tmpl w:val="05E43C92"/>
    <w:lvl w:ilvl="0" w:tplc="F6327C04">
      <w:start w:val="1"/>
      <w:numFmt w:val="bullet"/>
      <w:lvlText w:val=""/>
      <w:lvlJc w:val="left"/>
      <w:pPr>
        <w:tabs>
          <w:tab w:val="num" w:pos="720"/>
        </w:tabs>
        <w:ind w:left="720" w:hanging="360"/>
      </w:pPr>
      <w:rPr>
        <w:rFonts w:ascii="Symbol" w:hAnsi="Symbol" w:hint="default"/>
        <w:sz w:val="20"/>
      </w:rPr>
    </w:lvl>
    <w:lvl w:ilvl="1" w:tplc="3B28DE48" w:tentative="1">
      <w:start w:val="1"/>
      <w:numFmt w:val="bullet"/>
      <w:lvlText w:val="o"/>
      <w:lvlJc w:val="left"/>
      <w:pPr>
        <w:tabs>
          <w:tab w:val="num" w:pos="1440"/>
        </w:tabs>
        <w:ind w:left="1440" w:hanging="360"/>
      </w:pPr>
      <w:rPr>
        <w:rFonts w:ascii="Courier New" w:hAnsi="Courier New" w:hint="default"/>
        <w:sz w:val="20"/>
      </w:rPr>
    </w:lvl>
    <w:lvl w:ilvl="2" w:tplc="2F7C0C7C" w:tentative="1">
      <w:start w:val="1"/>
      <w:numFmt w:val="bullet"/>
      <w:lvlText w:val=""/>
      <w:lvlJc w:val="left"/>
      <w:pPr>
        <w:tabs>
          <w:tab w:val="num" w:pos="2160"/>
        </w:tabs>
        <w:ind w:left="2160" w:hanging="360"/>
      </w:pPr>
      <w:rPr>
        <w:rFonts w:ascii="Wingdings" w:hAnsi="Wingdings" w:hint="default"/>
        <w:sz w:val="20"/>
      </w:rPr>
    </w:lvl>
    <w:lvl w:ilvl="3" w:tplc="5DD8BDC8" w:tentative="1">
      <w:start w:val="1"/>
      <w:numFmt w:val="bullet"/>
      <w:lvlText w:val=""/>
      <w:lvlJc w:val="left"/>
      <w:pPr>
        <w:tabs>
          <w:tab w:val="num" w:pos="2880"/>
        </w:tabs>
        <w:ind w:left="2880" w:hanging="360"/>
      </w:pPr>
      <w:rPr>
        <w:rFonts w:ascii="Wingdings" w:hAnsi="Wingdings" w:hint="default"/>
        <w:sz w:val="20"/>
      </w:rPr>
    </w:lvl>
    <w:lvl w:ilvl="4" w:tplc="2E781058" w:tentative="1">
      <w:start w:val="1"/>
      <w:numFmt w:val="bullet"/>
      <w:lvlText w:val=""/>
      <w:lvlJc w:val="left"/>
      <w:pPr>
        <w:tabs>
          <w:tab w:val="num" w:pos="3600"/>
        </w:tabs>
        <w:ind w:left="3600" w:hanging="360"/>
      </w:pPr>
      <w:rPr>
        <w:rFonts w:ascii="Wingdings" w:hAnsi="Wingdings" w:hint="default"/>
        <w:sz w:val="20"/>
      </w:rPr>
    </w:lvl>
    <w:lvl w:ilvl="5" w:tplc="82E4D6D8" w:tentative="1">
      <w:start w:val="1"/>
      <w:numFmt w:val="bullet"/>
      <w:lvlText w:val=""/>
      <w:lvlJc w:val="left"/>
      <w:pPr>
        <w:tabs>
          <w:tab w:val="num" w:pos="4320"/>
        </w:tabs>
        <w:ind w:left="4320" w:hanging="360"/>
      </w:pPr>
      <w:rPr>
        <w:rFonts w:ascii="Wingdings" w:hAnsi="Wingdings" w:hint="default"/>
        <w:sz w:val="20"/>
      </w:rPr>
    </w:lvl>
    <w:lvl w:ilvl="6" w:tplc="C01EE754" w:tentative="1">
      <w:start w:val="1"/>
      <w:numFmt w:val="bullet"/>
      <w:lvlText w:val=""/>
      <w:lvlJc w:val="left"/>
      <w:pPr>
        <w:tabs>
          <w:tab w:val="num" w:pos="5040"/>
        </w:tabs>
        <w:ind w:left="5040" w:hanging="360"/>
      </w:pPr>
      <w:rPr>
        <w:rFonts w:ascii="Wingdings" w:hAnsi="Wingdings" w:hint="default"/>
        <w:sz w:val="20"/>
      </w:rPr>
    </w:lvl>
    <w:lvl w:ilvl="7" w:tplc="3EA6DE5C" w:tentative="1">
      <w:start w:val="1"/>
      <w:numFmt w:val="bullet"/>
      <w:lvlText w:val=""/>
      <w:lvlJc w:val="left"/>
      <w:pPr>
        <w:tabs>
          <w:tab w:val="num" w:pos="5760"/>
        </w:tabs>
        <w:ind w:left="5760" w:hanging="360"/>
      </w:pPr>
      <w:rPr>
        <w:rFonts w:ascii="Wingdings" w:hAnsi="Wingdings" w:hint="default"/>
        <w:sz w:val="20"/>
      </w:rPr>
    </w:lvl>
    <w:lvl w:ilvl="8" w:tplc="FDDEEBC2" w:tentative="1">
      <w:start w:val="1"/>
      <w:numFmt w:val="bullet"/>
      <w:lvlText w:val=""/>
      <w:lvlJc w:val="left"/>
      <w:pPr>
        <w:tabs>
          <w:tab w:val="num" w:pos="6480"/>
        </w:tabs>
        <w:ind w:left="6480" w:hanging="360"/>
      </w:pPr>
      <w:rPr>
        <w:rFonts w:ascii="Wingdings" w:hAnsi="Wingdings" w:hint="default"/>
        <w:sz w:val="20"/>
      </w:rPr>
    </w:lvl>
  </w:abstractNum>
  <w:abstractNum w:abstractNumId="328">
    <w:nsid w:val="242A1FCB"/>
    <w:multiLevelType w:val="hybridMultilevel"/>
    <w:tmpl w:val="DD602F98"/>
    <w:lvl w:ilvl="0" w:tplc="3FD654C8">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329">
    <w:nsid w:val="242C59D7"/>
    <w:multiLevelType w:val="hybridMultilevel"/>
    <w:tmpl w:val="50FC4AE2"/>
    <w:lvl w:ilvl="0" w:tplc="04150005">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30">
    <w:nsid w:val="243C420A"/>
    <w:multiLevelType w:val="hybridMultilevel"/>
    <w:tmpl w:val="874286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1">
    <w:nsid w:val="246F7876"/>
    <w:multiLevelType w:val="hybridMultilevel"/>
    <w:tmpl w:val="1BE0CC08"/>
    <w:lvl w:ilvl="0" w:tplc="5336CA88">
      <w:start w:val="1"/>
      <w:numFmt w:val="bullet"/>
      <w:lvlText w:val=""/>
      <w:lvlJc w:val="left"/>
      <w:pPr>
        <w:ind w:left="1068" w:hanging="360"/>
      </w:pPr>
      <w:rPr>
        <w:rFonts w:ascii="Symbol" w:hAnsi="Symbol" w:hint="default"/>
      </w:rPr>
    </w:lvl>
    <w:lvl w:ilvl="1" w:tplc="04150003">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32">
    <w:nsid w:val="24700C75"/>
    <w:multiLevelType w:val="hybridMultilevel"/>
    <w:tmpl w:val="17DCCC4A"/>
    <w:lvl w:ilvl="0" w:tplc="D6A656B6">
      <w:numFmt w:val="bullet"/>
      <w:lvlText w:val="-"/>
      <w:lvlJc w:val="left"/>
      <w:pPr>
        <w:ind w:left="1068" w:hanging="360"/>
      </w:pPr>
      <w:rPr>
        <w:rFonts w:ascii="Times New Roman" w:eastAsia="Times New Roman" w:hAnsi="Times New Roman" w:cs="Times New Roman"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33">
    <w:nsid w:val="24800200"/>
    <w:multiLevelType w:val="hybridMultilevel"/>
    <w:tmpl w:val="4002ECA0"/>
    <w:lvl w:ilvl="0" w:tplc="04150005">
      <w:start w:val="1"/>
      <w:numFmt w:val="bullet"/>
      <w:lvlText w:val=""/>
      <w:lvlJc w:val="left"/>
      <w:pPr>
        <w:tabs>
          <w:tab w:val="num" w:pos="720"/>
        </w:tabs>
        <w:ind w:left="720" w:hanging="360"/>
      </w:pPr>
      <w:rPr>
        <w:rFonts w:ascii="Wingdings" w:hAnsi="Wingdings" w:hint="default"/>
        <w:sz w:val="20"/>
      </w:rPr>
    </w:lvl>
    <w:lvl w:ilvl="1" w:tplc="1ED2AE50" w:tentative="1">
      <w:start w:val="1"/>
      <w:numFmt w:val="bullet"/>
      <w:lvlText w:val="o"/>
      <w:lvlJc w:val="left"/>
      <w:pPr>
        <w:tabs>
          <w:tab w:val="num" w:pos="1440"/>
        </w:tabs>
        <w:ind w:left="1440" w:hanging="360"/>
      </w:pPr>
      <w:rPr>
        <w:rFonts w:ascii="Courier New" w:hAnsi="Courier New" w:hint="default"/>
        <w:sz w:val="20"/>
      </w:rPr>
    </w:lvl>
    <w:lvl w:ilvl="2" w:tplc="CF98A99C" w:tentative="1">
      <w:start w:val="1"/>
      <w:numFmt w:val="bullet"/>
      <w:lvlText w:val=""/>
      <w:lvlJc w:val="left"/>
      <w:pPr>
        <w:tabs>
          <w:tab w:val="num" w:pos="2160"/>
        </w:tabs>
        <w:ind w:left="2160" w:hanging="360"/>
      </w:pPr>
      <w:rPr>
        <w:rFonts w:ascii="Wingdings" w:hAnsi="Wingdings" w:hint="default"/>
        <w:sz w:val="20"/>
      </w:rPr>
    </w:lvl>
    <w:lvl w:ilvl="3" w:tplc="7744D252" w:tentative="1">
      <w:start w:val="1"/>
      <w:numFmt w:val="bullet"/>
      <w:lvlText w:val=""/>
      <w:lvlJc w:val="left"/>
      <w:pPr>
        <w:tabs>
          <w:tab w:val="num" w:pos="2880"/>
        </w:tabs>
        <w:ind w:left="2880" w:hanging="360"/>
      </w:pPr>
      <w:rPr>
        <w:rFonts w:ascii="Wingdings" w:hAnsi="Wingdings" w:hint="default"/>
        <w:sz w:val="20"/>
      </w:rPr>
    </w:lvl>
    <w:lvl w:ilvl="4" w:tplc="4D56538C" w:tentative="1">
      <w:start w:val="1"/>
      <w:numFmt w:val="bullet"/>
      <w:lvlText w:val=""/>
      <w:lvlJc w:val="left"/>
      <w:pPr>
        <w:tabs>
          <w:tab w:val="num" w:pos="3600"/>
        </w:tabs>
        <w:ind w:left="3600" w:hanging="360"/>
      </w:pPr>
      <w:rPr>
        <w:rFonts w:ascii="Wingdings" w:hAnsi="Wingdings" w:hint="default"/>
        <w:sz w:val="20"/>
      </w:rPr>
    </w:lvl>
    <w:lvl w:ilvl="5" w:tplc="A694035E" w:tentative="1">
      <w:start w:val="1"/>
      <w:numFmt w:val="bullet"/>
      <w:lvlText w:val=""/>
      <w:lvlJc w:val="left"/>
      <w:pPr>
        <w:tabs>
          <w:tab w:val="num" w:pos="4320"/>
        </w:tabs>
        <w:ind w:left="4320" w:hanging="360"/>
      </w:pPr>
      <w:rPr>
        <w:rFonts w:ascii="Wingdings" w:hAnsi="Wingdings" w:hint="default"/>
        <w:sz w:val="20"/>
      </w:rPr>
    </w:lvl>
    <w:lvl w:ilvl="6" w:tplc="9066268A" w:tentative="1">
      <w:start w:val="1"/>
      <w:numFmt w:val="bullet"/>
      <w:lvlText w:val=""/>
      <w:lvlJc w:val="left"/>
      <w:pPr>
        <w:tabs>
          <w:tab w:val="num" w:pos="5040"/>
        </w:tabs>
        <w:ind w:left="5040" w:hanging="360"/>
      </w:pPr>
      <w:rPr>
        <w:rFonts w:ascii="Wingdings" w:hAnsi="Wingdings" w:hint="default"/>
        <w:sz w:val="20"/>
      </w:rPr>
    </w:lvl>
    <w:lvl w:ilvl="7" w:tplc="CEA08736" w:tentative="1">
      <w:start w:val="1"/>
      <w:numFmt w:val="bullet"/>
      <w:lvlText w:val=""/>
      <w:lvlJc w:val="left"/>
      <w:pPr>
        <w:tabs>
          <w:tab w:val="num" w:pos="5760"/>
        </w:tabs>
        <w:ind w:left="5760" w:hanging="360"/>
      </w:pPr>
      <w:rPr>
        <w:rFonts w:ascii="Wingdings" w:hAnsi="Wingdings" w:hint="default"/>
        <w:sz w:val="20"/>
      </w:rPr>
    </w:lvl>
    <w:lvl w:ilvl="8" w:tplc="AABED788" w:tentative="1">
      <w:start w:val="1"/>
      <w:numFmt w:val="bullet"/>
      <w:lvlText w:val=""/>
      <w:lvlJc w:val="left"/>
      <w:pPr>
        <w:tabs>
          <w:tab w:val="num" w:pos="6480"/>
        </w:tabs>
        <w:ind w:left="6480" w:hanging="360"/>
      </w:pPr>
      <w:rPr>
        <w:rFonts w:ascii="Wingdings" w:hAnsi="Wingdings" w:hint="default"/>
        <w:sz w:val="20"/>
      </w:rPr>
    </w:lvl>
  </w:abstractNum>
  <w:abstractNum w:abstractNumId="334">
    <w:nsid w:val="24D079AB"/>
    <w:multiLevelType w:val="hybridMultilevel"/>
    <w:tmpl w:val="EDC40FA2"/>
    <w:lvl w:ilvl="0" w:tplc="1C96E8D2">
      <w:start w:val="1"/>
      <w:numFmt w:val="decimal"/>
      <w:lvlText w:val="%1."/>
      <w:lvlJc w:val="left"/>
      <w:pPr>
        <w:tabs>
          <w:tab w:val="num" w:pos="720"/>
        </w:tabs>
        <w:ind w:left="720" w:hanging="360"/>
      </w:pPr>
    </w:lvl>
    <w:lvl w:ilvl="1" w:tplc="547C70C8" w:tentative="1">
      <w:start w:val="1"/>
      <w:numFmt w:val="decimal"/>
      <w:lvlText w:val="%2."/>
      <w:lvlJc w:val="left"/>
      <w:pPr>
        <w:tabs>
          <w:tab w:val="num" w:pos="1440"/>
        </w:tabs>
        <w:ind w:left="1440" w:hanging="360"/>
      </w:pPr>
    </w:lvl>
    <w:lvl w:ilvl="2" w:tplc="3C4473F8" w:tentative="1">
      <w:start w:val="1"/>
      <w:numFmt w:val="decimal"/>
      <w:lvlText w:val="%3."/>
      <w:lvlJc w:val="left"/>
      <w:pPr>
        <w:tabs>
          <w:tab w:val="num" w:pos="2160"/>
        </w:tabs>
        <w:ind w:left="2160" w:hanging="360"/>
      </w:pPr>
    </w:lvl>
    <w:lvl w:ilvl="3" w:tplc="7A5A3BAA" w:tentative="1">
      <w:start w:val="1"/>
      <w:numFmt w:val="decimal"/>
      <w:lvlText w:val="%4."/>
      <w:lvlJc w:val="left"/>
      <w:pPr>
        <w:tabs>
          <w:tab w:val="num" w:pos="2880"/>
        </w:tabs>
        <w:ind w:left="2880" w:hanging="360"/>
      </w:pPr>
    </w:lvl>
    <w:lvl w:ilvl="4" w:tplc="6C4CF8AA" w:tentative="1">
      <w:start w:val="1"/>
      <w:numFmt w:val="decimal"/>
      <w:lvlText w:val="%5."/>
      <w:lvlJc w:val="left"/>
      <w:pPr>
        <w:tabs>
          <w:tab w:val="num" w:pos="3600"/>
        </w:tabs>
        <w:ind w:left="3600" w:hanging="360"/>
      </w:pPr>
    </w:lvl>
    <w:lvl w:ilvl="5" w:tplc="455C4532" w:tentative="1">
      <w:start w:val="1"/>
      <w:numFmt w:val="decimal"/>
      <w:lvlText w:val="%6."/>
      <w:lvlJc w:val="left"/>
      <w:pPr>
        <w:tabs>
          <w:tab w:val="num" w:pos="4320"/>
        </w:tabs>
        <w:ind w:left="4320" w:hanging="360"/>
      </w:pPr>
    </w:lvl>
    <w:lvl w:ilvl="6" w:tplc="F8429636" w:tentative="1">
      <w:start w:val="1"/>
      <w:numFmt w:val="decimal"/>
      <w:lvlText w:val="%7."/>
      <w:lvlJc w:val="left"/>
      <w:pPr>
        <w:tabs>
          <w:tab w:val="num" w:pos="5040"/>
        </w:tabs>
        <w:ind w:left="5040" w:hanging="360"/>
      </w:pPr>
    </w:lvl>
    <w:lvl w:ilvl="7" w:tplc="11D437C4" w:tentative="1">
      <w:start w:val="1"/>
      <w:numFmt w:val="decimal"/>
      <w:lvlText w:val="%8."/>
      <w:lvlJc w:val="left"/>
      <w:pPr>
        <w:tabs>
          <w:tab w:val="num" w:pos="5760"/>
        </w:tabs>
        <w:ind w:left="5760" w:hanging="360"/>
      </w:pPr>
    </w:lvl>
    <w:lvl w:ilvl="8" w:tplc="D78EF5FE" w:tentative="1">
      <w:start w:val="1"/>
      <w:numFmt w:val="decimal"/>
      <w:lvlText w:val="%9."/>
      <w:lvlJc w:val="left"/>
      <w:pPr>
        <w:tabs>
          <w:tab w:val="num" w:pos="6480"/>
        </w:tabs>
        <w:ind w:left="6480" w:hanging="360"/>
      </w:pPr>
    </w:lvl>
  </w:abstractNum>
  <w:abstractNum w:abstractNumId="335">
    <w:nsid w:val="24D65275"/>
    <w:multiLevelType w:val="hybridMultilevel"/>
    <w:tmpl w:val="546AD10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6">
    <w:nsid w:val="255153D6"/>
    <w:multiLevelType w:val="hybridMultilevel"/>
    <w:tmpl w:val="17EC3D30"/>
    <w:lvl w:ilvl="0" w:tplc="6DB06BA2">
      <w:start w:val="1"/>
      <w:numFmt w:val="decimal"/>
      <w:lvlText w:val="C1.%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7">
    <w:nsid w:val="25810898"/>
    <w:multiLevelType w:val="hybridMultilevel"/>
    <w:tmpl w:val="8D544E02"/>
    <w:lvl w:ilvl="0" w:tplc="C0D8B9AC">
      <w:start w:val="1"/>
      <w:numFmt w:val="decimal"/>
      <w:lvlText w:val="K2.1.%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8">
    <w:nsid w:val="25AA1A92"/>
    <w:multiLevelType w:val="hybridMultilevel"/>
    <w:tmpl w:val="2732365A"/>
    <w:lvl w:ilvl="0" w:tplc="82687546">
      <w:start w:val="1"/>
      <w:numFmt w:val="decimal"/>
      <w:lvlText w:val="%1."/>
      <w:lvlJc w:val="left"/>
      <w:pPr>
        <w:tabs>
          <w:tab w:val="num" w:pos="720"/>
        </w:tabs>
        <w:ind w:left="720" w:hanging="360"/>
      </w:pPr>
    </w:lvl>
    <w:lvl w:ilvl="1" w:tplc="70E22EC2" w:tentative="1">
      <w:start w:val="1"/>
      <w:numFmt w:val="decimal"/>
      <w:lvlText w:val="%2."/>
      <w:lvlJc w:val="left"/>
      <w:pPr>
        <w:tabs>
          <w:tab w:val="num" w:pos="1440"/>
        </w:tabs>
        <w:ind w:left="1440" w:hanging="360"/>
      </w:pPr>
    </w:lvl>
    <w:lvl w:ilvl="2" w:tplc="1D6CFD34" w:tentative="1">
      <w:start w:val="1"/>
      <w:numFmt w:val="decimal"/>
      <w:lvlText w:val="%3."/>
      <w:lvlJc w:val="left"/>
      <w:pPr>
        <w:tabs>
          <w:tab w:val="num" w:pos="2160"/>
        </w:tabs>
        <w:ind w:left="2160" w:hanging="360"/>
      </w:pPr>
    </w:lvl>
    <w:lvl w:ilvl="3" w:tplc="4DA2A9E8" w:tentative="1">
      <w:start w:val="1"/>
      <w:numFmt w:val="decimal"/>
      <w:lvlText w:val="%4."/>
      <w:lvlJc w:val="left"/>
      <w:pPr>
        <w:tabs>
          <w:tab w:val="num" w:pos="2880"/>
        </w:tabs>
        <w:ind w:left="2880" w:hanging="360"/>
      </w:pPr>
    </w:lvl>
    <w:lvl w:ilvl="4" w:tplc="B3C65040" w:tentative="1">
      <w:start w:val="1"/>
      <w:numFmt w:val="decimal"/>
      <w:lvlText w:val="%5."/>
      <w:lvlJc w:val="left"/>
      <w:pPr>
        <w:tabs>
          <w:tab w:val="num" w:pos="3600"/>
        </w:tabs>
        <w:ind w:left="3600" w:hanging="360"/>
      </w:pPr>
    </w:lvl>
    <w:lvl w:ilvl="5" w:tplc="3A845666" w:tentative="1">
      <w:start w:val="1"/>
      <w:numFmt w:val="decimal"/>
      <w:lvlText w:val="%6."/>
      <w:lvlJc w:val="left"/>
      <w:pPr>
        <w:tabs>
          <w:tab w:val="num" w:pos="4320"/>
        </w:tabs>
        <w:ind w:left="4320" w:hanging="360"/>
      </w:pPr>
    </w:lvl>
    <w:lvl w:ilvl="6" w:tplc="DCB46B60" w:tentative="1">
      <w:start w:val="1"/>
      <w:numFmt w:val="decimal"/>
      <w:lvlText w:val="%7."/>
      <w:lvlJc w:val="left"/>
      <w:pPr>
        <w:tabs>
          <w:tab w:val="num" w:pos="5040"/>
        </w:tabs>
        <w:ind w:left="5040" w:hanging="360"/>
      </w:pPr>
    </w:lvl>
    <w:lvl w:ilvl="7" w:tplc="BAD89DFE" w:tentative="1">
      <w:start w:val="1"/>
      <w:numFmt w:val="decimal"/>
      <w:lvlText w:val="%8."/>
      <w:lvlJc w:val="left"/>
      <w:pPr>
        <w:tabs>
          <w:tab w:val="num" w:pos="5760"/>
        </w:tabs>
        <w:ind w:left="5760" w:hanging="360"/>
      </w:pPr>
    </w:lvl>
    <w:lvl w:ilvl="8" w:tplc="B96C1050" w:tentative="1">
      <w:start w:val="1"/>
      <w:numFmt w:val="decimal"/>
      <w:lvlText w:val="%9."/>
      <w:lvlJc w:val="left"/>
      <w:pPr>
        <w:tabs>
          <w:tab w:val="num" w:pos="6480"/>
        </w:tabs>
        <w:ind w:left="6480" w:hanging="360"/>
      </w:pPr>
    </w:lvl>
  </w:abstractNum>
  <w:abstractNum w:abstractNumId="339">
    <w:nsid w:val="266A786E"/>
    <w:multiLevelType w:val="hybridMultilevel"/>
    <w:tmpl w:val="E68ADE4A"/>
    <w:lvl w:ilvl="0" w:tplc="70D03B32">
      <w:start w:val="1"/>
      <w:numFmt w:val="decimal"/>
      <w:lvlText w:val="%1."/>
      <w:lvlJc w:val="left"/>
      <w:pPr>
        <w:tabs>
          <w:tab w:val="num" w:pos="720"/>
        </w:tabs>
        <w:ind w:left="720" w:hanging="360"/>
      </w:pPr>
    </w:lvl>
    <w:lvl w:ilvl="1" w:tplc="3A263024" w:tentative="1">
      <w:start w:val="1"/>
      <w:numFmt w:val="decimal"/>
      <w:lvlText w:val="%2."/>
      <w:lvlJc w:val="left"/>
      <w:pPr>
        <w:tabs>
          <w:tab w:val="num" w:pos="1440"/>
        </w:tabs>
        <w:ind w:left="1440" w:hanging="360"/>
      </w:pPr>
    </w:lvl>
    <w:lvl w:ilvl="2" w:tplc="377CED04" w:tentative="1">
      <w:start w:val="1"/>
      <w:numFmt w:val="decimal"/>
      <w:lvlText w:val="%3."/>
      <w:lvlJc w:val="left"/>
      <w:pPr>
        <w:tabs>
          <w:tab w:val="num" w:pos="2160"/>
        </w:tabs>
        <w:ind w:left="2160" w:hanging="360"/>
      </w:pPr>
    </w:lvl>
    <w:lvl w:ilvl="3" w:tplc="34D07170" w:tentative="1">
      <w:start w:val="1"/>
      <w:numFmt w:val="decimal"/>
      <w:lvlText w:val="%4."/>
      <w:lvlJc w:val="left"/>
      <w:pPr>
        <w:tabs>
          <w:tab w:val="num" w:pos="2880"/>
        </w:tabs>
        <w:ind w:left="2880" w:hanging="360"/>
      </w:pPr>
    </w:lvl>
    <w:lvl w:ilvl="4" w:tplc="708C0E90" w:tentative="1">
      <w:start w:val="1"/>
      <w:numFmt w:val="decimal"/>
      <w:lvlText w:val="%5."/>
      <w:lvlJc w:val="left"/>
      <w:pPr>
        <w:tabs>
          <w:tab w:val="num" w:pos="3600"/>
        </w:tabs>
        <w:ind w:left="3600" w:hanging="360"/>
      </w:pPr>
    </w:lvl>
    <w:lvl w:ilvl="5" w:tplc="30FEFC9A" w:tentative="1">
      <w:start w:val="1"/>
      <w:numFmt w:val="decimal"/>
      <w:lvlText w:val="%6."/>
      <w:lvlJc w:val="left"/>
      <w:pPr>
        <w:tabs>
          <w:tab w:val="num" w:pos="4320"/>
        </w:tabs>
        <w:ind w:left="4320" w:hanging="360"/>
      </w:pPr>
    </w:lvl>
    <w:lvl w:ilvl="6" w:tplc="4888EAE4" w:tentative="1">
      <w:start w:val="1"/>
      <w:numFmt w:val="decimal"/>
      <w:lvlText w:val="%7."/>
      <w:lvlJc w:val="left"/>
      <w:pPr>
        <w:tabs>
          <w:tab w:val="num" w:pos="5040"/>
        </w:tabs>
        <w:ind w:left="5040" w:hanging="360"/>
      </w:pPr>
    </w:lvl>
    <w:lvl w:ilvl="7" w:tplc="B1B88074" w:tentative="1">
      <w:start w:val="1"/>
      <w:numFmt w:val="decimal"/>
      <w:lvlText w:val="%8."/>
      <w:lvlJc w:val="left"/>
      <w:pPr>
        <w:tabs>
          <w:tab w:val="num" w:pos="5760"/>
        </w:tabs>
        <w:ind w:left="5760" w:hanging="360"/>
      </w:pPr>
    </w:lvl>
    <w:lvl w:ilvl="8" w:tplc="72BE45D6" w:tentative="1">
      <w:start w:val="1"/>
      <w:numFmt w:val="decimal"/>
      <w:lvlText w:val="%9."/>
      <w:lvlJc w:val="left"/>
      <w:pPr>
        <w:tabs>
          <w:tab w:val="num" w:pos="6480"/>
        </w:tabs>
        <w:ind w:left="6480" w:hanging="360"/>
      </w:pPr>
    </w:lvl>
  </w:abstractNum>
  <w:abstractNum w:abstractNumId="340">
    <w:nsid w:val="266A7CA3"/>
    <w:multiLevelType w:val="hybridMultilevel"/>
    <w:tmpl w:val="BCB63B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1">
    <w:nsid w:val="269F6074"/>
    <w:multiLevelType w:val="hybridMultilevel"/>
    <w:tmpl w:val="1EEC9636"/>
    <w:lvl w:ilvl="0" w:tplc="0678710C">
      <w:start w:val="1"/>
      <w:numFmt w:val="bullet"/>
      <w:lvlText w:val=""/>
      <w:lvlJc w:val="left"/>
      <w:pPr>
        <w:tabs>
          <w:tab w:val="num" w:pos="720"/>
        </w:tabs>
        <w:ind w:left="720" w:hanging="360"/>
      </w:pPr>
      <w:rPr>
        <w:rFonts w:ascii="Symbol" w:hAnsi="Symbol" w:hint="default"/>
        <w:sz w:val="20"/>
      </w:rPr>
    </w:lvl>
    <w:lvl w:ilvl="1" w:tplc="64D23C78" w:tentative="1">
      <w:start w:val="1"/>
      <w:numFmt w:val="bullet"/>
      <w:lvlText w:val="o"/>
      <w:lvlJc w:val="left"/>
      <w:pPr>
        <w:tabs>
          <w:tab w:val="num" w:pos="1440"/>
        </w:tabs>
        <w:ind w:left="1440" w:hanging="360"/>
      </w:pPr>
      <w:rPr>
        <w:rFonts w:ascii="Courier New" w:hAnsi="Courier New" w:hint="default"/>
        <w:sz w:val="20"/>
      </w:rPr>
    </w:lvl>
    <w:lvl w:ilvl="2" w:tplc="146E3D32" w:tentative="1">
      <w:start w:val="1"/>
      <w:numFmt w:val="bullet"/>
      <w:lvlText w:val=""/>
      <w:lvlJc w:val="left"/>
      <w:pPr>
        <w:tabs>
          <w:tab w:val="num" w:pos="2160"/>
        </w:tabs>
        <w:ind w:left="2160" w:hanging="360"/>
      </w:pPr>
      <w:rPr>
        <w:rFonts w:ascii="Wingdings" w:hAnsi="Wingdings" w:hint="default"/>
        <w:sz w:val="20"/>
      </w:rPr>
    </w:lvl>
    <w:lvl w:ilvl="3" w:tplc="F95CE156" w:tentative="1">
      <w:start w:val="1"/>
      <w:numFmt w:val="bullet"/>
      <w:lvlText w:val=""/>
      <w:lvlJc w:val="left"/>
      <w:pPr>
        <w:tabs>
          <w:tab w:val="num" w:pos="2880"/>
        </w:tabs>
        <w:ind w:left="2880" w:hanging="360"/>
      </w:pPr>
      <w:rPr>
        <w:rFonts w:ascii="Wingdings" w:hAnsi="Wingdings" w:hint="default"/>
        <w:sz w:val="20"/>
      </w:rPr>
    </w:lvl>
    <w:lvl w:ilvl="4" w:tplc="35268460" w:tentative="1">
      <w:start w:val="1"/>
      <w:numFmt w:val="bullet"/>
      <w:lvlText w:val=""/>
      <w:lvlJc w:val="left"/>
      <w:pPr>
        <w:tabs>
          <w:tab w:val="num" w:pos="3600"/>
        </w:tabs>
        <w:ind w:left="3600" w:hanging="360"/>
      </w:pPr>
      <w:rPr>
        <w:rFonts w:ascii="Wingdings" w:hAnsi="Wingdings" w:hint="default"/>
        <w:sz w:val="20"/>
      </w:rPr>
    </w:lvl>
    <w:lvl w:ilvl="5" w:tplc="E188DB54" w:tentative="1">
      <w:start w:val="1"/>
      <w:numFmt w:val="bullet"/>
      <w:lvlText w:val=""/>
      <w:lvlJc w:val="left"/>
      <w:pPr>
        <w:tabs>
          <w:tab w:val="num" w:pos="4320"/>
        </w:tabs>
        <w:ind w:left="4320" w:hanging="360"/>
      </w:pPr>
      <w:rPr>
        <w:rFonts w:ascii="Wingdings" w:hAnsi="Wingdings" w:hint="default"/>
        <w:sz w:val="20"/>
      </w:rPr>
    </w:lvl>
    <w:lvl w:ilvl="6" w:tplc="E272F1D0" w:tentative="1">
      <w:start w:val="1"/>
      <w:numFmt w:val="bullet"/>
      <w:lvlText w:val=""/>
      <w:lvlJc w:val="left"/>
      <w:pPr>
        <w:tabs>
          <w:tab w:val="num" w:pos="5040"/>
        </w:tabs>
        <w:ind w:left="5040" w:hanging="360"/>
      </w:pPr>
      <w:rPr>
        <w:rFonts w:ascii="Wingdings" w:hAnsi="Wingdings" w:hint="default"/>
        <w:sz w:val="20"/>
      </w:rPr>
    </w:lvl>
    <w:lvl w:ilvl="7" w:tplc="6032B1D2" w:tentative="1">
      <w:start w:val="1"/>
      <w:numFmt w:val="bullet"/>
      <w:lvlText w:val=""/>
      <w:lvlJc w:val="left"/>
      <w:pPr>
        <w:tabs>
          <w:tab w:val="num" w:pos="5760"/>
        </w:tabs>
        <w:ind w:left="5760" w:hanging="360"/>
      </w:pPr>
      <w:rPr>
        <w:rFonts w:ascii="Wingdings" w:hAnsi="Wingdings" w:hint="default"/>
        <w:sz w:val="20"/>
      </w:rPr>
    </w:lvl>
    <w:lvl w:ilvl="8" w:tplc="4ABC9BAC" w:tentative="1">
      <w:start w:val="1"/>
      <w:numFmt w:val="bullet"/>
      <w:lvlText w:val=""/>
      <w:lvlJc w:val="left"/>
      <w:pPr>
        <w:tabs>
          <w:tab w:val="num" w:pos="6480"/>
        </w:tabs>
        <w:ind w:left="6480" w:hanging="360"/>
      </w:pPr>
      <w:rPr>
        <w:rFonts w:ascii="Wingdings" w:hAnsi="Wingdings" w:hint="default"/>
        <w:sz w:val="20"/>
      </w:rPr>
    </w:lvl>
  </w:abstractNum>
  <w:abstractNum w:abstractNumId="342">
    <w:nsid w:val="26CB61AC"/>
    <w:multiLevelType w:val="hybridMultilevel"/>
    <w:tmpl w:val="4EE0773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3">
    <w:nsid w:val="26DF7CEC"/>
    <w:multiLevelType w:val="multilevel"/>
    <w:tmpl w:val="838E7276"/>
    <w:lvl w:ilvl="0">
      <w:start w:val="4"/>
      <w:numFmt w:val="decimal"/>
      <w:lvlText w:val="%1."/>
      <w:lvlJc w:val="left"/>
      <w:pPr>
        <w:ind w:left="720" w:hanging="360"/>
      </w:pPr>
      <w:rPr>
        <w:rFonts w:hint="default"/>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44">
    <w:nsid w:val="270E7163"/>
    <w:multiLevelType w:val="hybridMultilevel"/>
    <w:tmpl w:val="F11EC586"/>
    <w:lvl w:ilvl="0" w:tplc="D40ECFCA">
      <w:start w:val="1"/>
      <w:numFmt w:val="decimal"/>
      <w:lvlText w:val="%1."/>
      <w:lvlJc w:val="left"/>
      <w:pPr>
        <w:ind w:left="720" w:hanging="360"/>
      </w:pPr>
      <w:rPr>
        <w:rFonts w:eastAsia="Times New Roman" w:cs="Arial"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5">
    <w:nsid w:val="27423E28"/>
    <w:multiLevelType w:val="hybridMultilevel"/>
    <w:tmpl w:val="856C1902"/>
    <w:lvl w:ilvl="0" w:tplc="04150005">
      <w:start w:val="1"/>
      <w:numFmt w:val="bullet"/>
      <w:lvlText w:val=""/>
      <w:lvlJc w:val="left"/>
      <w:pPr>
        <w:tabs>
          <w:tab w:val="num" w:pos="720"/>
        </w:tabs>
        <w:ind w:left="720" w:hanging="360"/>
      </w:pPr>
      <w:rPr>
        <w:rFonts w:ascii="Wingdings" w:hAnsi="Wingdings" w:hint="default"/>
        <w:sz w:val="20"/>
      </w:rPr>
    </w:lvl>
    <w:lvl w:ilvl="1" w:tplc="965E03CA" w:tentative="1">
      <w:start w:val="1"/>
      <w:numFmt w:val="bullet"/>
      <w:lvlText w:val="o"/>
      <w:lvlJc w:val="left"/>
      <w:pPr>
        <w:tabs>
          <w:tab w:val="num" w:pos="1440"/>
        </w:tabs>
        <w:ind w:left="1440" w:hanging="360"/>
      </w:pPr>
      <w:rPr>
        <w:rFonts w:ascii="Courier New" w:hAnsi="Courier New" w:hint="default"/>
        <w:sz w:val="20"/>
      </w:rPr>
    </w:lvl>
    <w:lvl w:ilvl="2" w:tplc="D28CD842" w:tentative="1">
      <w:start w:val="1"/>
      <w:numFmt w:val="bullet"/>
      <w:lvlText w:val=""/>
      <w:lvlJc w:val="left"/>
      <w:pPr>
        <w:tabs>
          <w:tab w:val="num" w:pos="2160"/>
        </w:tabs>
        <w:ind w:left="2160" w:hanging="360"/>
      </w:pPr>
      <w:rPr>
        <w:rFonts w:ascii="Wingdings" w:hAnsi="Wingdings" w:hint="default"/>
        <w:sz w:val="20"/>
      </w:rPr>
    </w:lvl>
    <w:lvl w:ilvl="3" w:tplc="DD102C3E" w:tentative="1">
      <w:start w:val="1"/>
      <w:numFmt w:val="bullet"/>
      <w:lvlText w:val=""/>
      <w:lvlJc w:val="left"/>
      <w:pPr>
        <w:tabs>
          <w:tab w:val="num" w:pos="2880"/>
        </w:tabs>
        <w:ind w:left="2880" w:hanging="360"/>
      </w:pPr>
      <w:rPr>
        <w:rFonts w:ascii="Wingdings" w:hAnsi="Wingdings" w:hint="default"/>
        <w:sz w:val="20"/>
      </w:rPr>
    </w:lvl>
    <w:lvl w:ilvl="4" w:tplc="C216592C" w:tentative="1">
      <w:start w:val="1"/>
      <w:numFmt w:val="bullet"/>
      <w:lvlText w:val=""/>
      <w:lvlJc w:val="left"/>
      <w:pPr>
        <w:tabs>
          <w:tab w:val="num" w:pos="3600"/>
        </w:tabs>
        <w:ind w:left="3600" w:hanging="360"/>
      </w:pPr>
      <w:rPr>
        <w:rFonts w:ascii="Wingdings" w:hAnsi="Wingdings" w:hint="default"/>
        <w:sz w:val="20"/>
      </w:rPr>
    </w:lvl>
    <w:lvl w:ilvl="5" w:tplc="5860B9B2" w:tentative="1">
      <w:start w:val="1"/>
      <w:numFmt w:val="bullet"/>
      <w:lvlText w:val=""/>
      <w:lvlJc w:val="left"/>
      <w:pPr>
        <w:tabs>
          <w:tab w:val="num" w:pos="4320"/>
        </w:tabs>
        <w:ind w:left="4320" w:hanging="360"/>
      </w:pPr>
      <w:rPr>
        <w:rFonts w:ascii="Wingdings" w:hAnsi="Wingdings" w:hint="default"/>
        <w:sz w:val="20"/>
      </w:rPr>
    </w:lvl>
    <w:lvl w:ilvl="6" w:tplc="85AECA76" w:tentative="1">
      <w:start w:val="1"/>
      <w:numFmt w:val="bullet"/>
      <w:lvlText w:val=""/>
      <w:lvlJc w:val="left"/>
      <w:pPr>
        <w:tabs>
          <w:tab w:val="num" w:pos="5040"/>
        </w:tabs>
        <w:ind w:left="5040" w:hanging="360"/>
      </w:pPr>
      <w:rPr>
        <w:rFonts w:ascii="Wingdings" w:hAnsi="Wingdings" w:hint="default"/>
        <w:sz w:val="20"/>
      </w:rPr>
    </w:lvl>
    <w:lvl w:ilvl="7" w:tplc="93CEB1A6" w:tentative="1">
      <w:start w:val="1"/>
      <w:numFmt w:val="bullet"/>
      <w:lvlText w:val=""/>
      <w:lvlJc w:val="left"/>
      <w:pPr>
        <w:tabs>
          <w:tab w:val="num" w:pos="5760"/>
        </w:tabs>
        <w:ind w:left="5760" w:hanging="360"/>
      </w:pPr>
      <w:rPr>
        <w:rFonts w:ascii="Wingdings" w:hAnsi="Wingdings" w:hint="default"/>
        <w:sz w:val="20"/>
      </w:rPr>
    </w:lvl>
    <w:lvl w:ilvl="8" w:tplc="D5C0DF18" w:tentative="1">
      <w:start w:val="1"/>
      <w:numFmt w:val="bullet"/>
      <w:lvlText w:val=""/>
      <w:lvlJc w:val="left"/>
      <w:pPr>
        <w:tabs>
          <w:tab w:val="num" w:pos="6480"/>
        </w:tabs>
        <w:ind w:left="6480" w:hanging="360"/>
      </w:pPr>
      <w:rPr>
        <w:rFonts w:ascii="Wingdings" w:hAnsi="Wingdings" w:hint="default"/>
        <w:sz w:val="20"/>
      </w:rPr>
    </w:lvl>
  </w:abstractNum>
  <w:abstractNum w:abstractNumId="346">
    <w:nsid w:val="2752300C"/>
    <w:multiLevelType w:val="hybridMultilevel"/>
    <w:tmpl w:val="BBB0CD56"/>
    <w:lvl w:ilvl="0" w:tplc="E5407910">
      <w:numFmt w:val="bullet"/>
      <w:lvlText w:val="-"/>
      <w:lvlJc w:val="left"/>
      <w:pPr>
        <w:tabs>
          <w:tab w:val="num" w:pos="420"/>
        </w:tabs>
        <w:ind w:left="420" w:hanging="360"/>
      </w:pPr>
      <w:rPr>
        <w:rFonts w:ascii="Times New Roman" w:eastAsia="Times New Roman" w:hAnsi="Times New Roman" w:cs="Times New Roman" w:hint="default"/>
      </w:rPr>
    </w:lvl>
    <w:lvl w:ilvl="1" w:tplc="04150003" w:tentative="1">
      <w:start w:val="1"/>
      <w:numFmt w:val="bullet"/>
      <w:lvlText w:val="o"/>
      <w:lvlJc w:val="left"/>
      <w:pPr>
        <w:tabs>
          <w:tab w:val="num" w:pos="1140"/>
        </w:tabs>
        <w:ind w:left="1140" w:hanging="360"/>
      </w:pPr>
      <w:rPr>
        <w:rFonts w:ascii="Courier New" w:hAnsi="Courier New" w:hint="default"/>
      </w:rPr>
    </w:lvl>
    <w:lvl w:ilvl="2" w:tplc="04150005" w:tentative="1">
      <w:start w:val="1"/>
      <w:numFmt w:val="bullet"/>
      <w:lvlText w:val=""/>
      <w:lvlJc w:val="left"/>
      <w:pPr>
        <w:tabs>
          <w:tab w:val="num" w:pos="1860"/>
        </w:tabs>
        <w:ind w:left="1860" w:hanging="360"/>
      </w:pPr>
      <w:rPr>
        <w:rFonts w:ascii="Wingdings" w:hAnsi="Wingdings" w:hint="default"/>
      </w:rPr>
    </w:lvl>
    <w:lvl w:ilvl="3" w:tplc="04150001" w:tentative="1">
      <w:start w:val="1"/>
      <w:numFmt w:val="bullet"/>
      <w:lvlText w:val=""/>
      <w:lvlJc w:val="left"/>
      <w:pPr>
        <w:tabs>
          <w:tab w:val="num" w:pos="2580"/>
        </w:tabs>
        <w:ind w:left="2580" w:hanging="360"/>
      </w:pPr>
      <w:rPr>
        <w:rFonts w:ascii="Symbol" w:hAnsi="Symbol" w:hint="default"/>
      </w:rPr>
    </w:lvl>
    <w:lvl w:ilvl="4" w:tplc="04150003" w:tentative="1">
      <w:start w:val="1"/>
      <w:numFmt w:val="bullet"/>
      <w:lvlText w:val="o"/>
      <w:lvlJc w:val="left"/>
      <w:pPr>
        <w:tabs>
          <w:tab w:val="num" w:pos="3300"/>
        </w:tabs>
        <w:ind w:left="3300" w:hanging="360"/>
      </w:pPr>
      <w:rPr>
        <w:rFonts w:ascii="Courier New" w:hAnsi="Courier New" w:hint="default"/>
      </w:rPr>
    </w:lvl>
    <w:lvl w:ilvl="5" w:tplc="04150005" w:tentative="1">
      <w:start w:val="1"/>
      <w:numFmt w:val="bullet"/>
      <w:lvlText w:val=""/>
      <w:lvlJc w:val="left"/>
      <w:pPr>
        <w:tabs>
          <w:tab w:val="num" w:pos="4020"/>
        </w:tabs>
        <w:ind w:left="4020" w:hanging="360"/>
      </w:pPr>
      <w:rPr>
        <w:rFonts w:ascii="Wingdings" w:hAnsi="Wingdings" w:hint="default"/>
      </w:rPr>
    </w:lvl>
    <w:lvl w:ilvl="6" w:tplc="04150001" w:tentative="1">
      <w:start w:val="1"/>
      <w:numFmt w:val="bullet"/>
      <w:lvlText w:val=""/>
      <w:lvlJc w:val="left"/>
      <w:pPr>
        <w:tabs>
          <w:tab w:val="num" w:pos="4740"/>
        </w:tabs>
        <w:ind w:left="4740" w:hanging="360"/>
      </w:pPr>
      <w:rPr>
        <w:rFonts w:ascii="Symbol" w:hAnsi="Symbol" w:hint="default"/>
      </w:rPr>
    </w:lvl>
    <w:lvl w:ilvl="7" w:tplc="04150003" w:tentative="1">
      <w:start w:val="1"/>
      <w:numFmt w:val="bullet"/>
      <w:lvlText w:val="o"/>
      <w:lvlJc w:val="left"/>
      <w:pPr>
        <w:tabs>
          <w:tab w:val="num" w:pos="5460"/>
        </w:tabs>
        <w:ind w:left="5460" w:hanging="360"/>
      </w:pPr>
      <w:rPr>
        <w:rFonts w:ascii="Courier New" w:hAnsi="Courier New" w:hint="default"/>
      </w:rPr>
    </w:lvl>
    <w:lvl w:ilvl="8" w:tplc="04150005" w:tentative="1">
      <w:start w:val="1"/>
      <w:numFmt w:val="bullet"/>
      <w:lvlText w:val=""/>
      <w:lvlJc w:val="left"/>
      <w:pPr>
        <w:tabs>
          <w:tab w:val="num" w:pos="6180"/>
        </w:tabs>
        <w:ind w:left="6180" w:hanging="360"/>
      </w:pPr>
      <w:rPr>
        <w:rFonts w:ascii="Wingdings" w:hAnsi="Wingdings" w:hint="default"/>
      </w:rPr>
    </w:lvl>
  </w:abstractNum>
  <w:abstractNum w:abstractNumId="347">
    <w:nsid w:val="27540DF8"/>
    <w:multiLevelType w:val="hybridMultilevel"/>
    <w:tmpl w:val="0FF69A38"/>
    <w:lvl w:ilvl="0" w:tplc="0415000F">
      <w:start w:val="1"/>
      <w:numFmt w:val="decimal"/>
      <w:lvlText w:val="%1."/>
      <w:lvlJc w:val="left"/>
      <w:pPr>
        <w:ind w:left="862" w:hanging="360"/>
      </w:pPr>
      <w:rPr>
        <w:rFonts w:hint="default"/>
      </w:rPr>
    </w:lvl>
    <w:lvl w:ilvl="1" w:tplc="04150003" w:tentative="1">
      <w:start w:val="1"/>
      <w:numFmt w:val="bullet"/>
      <w:lvlText w:val="o"/>
      <w:lvlJc w:val="left"/>
      <w:pPr>
        <w:ind w:left="1582" w:hanging="360"/>
      </w:pPr>
      <w:rPr>
        <w:rFonts w:ascii="Courier New" w:hAnsi="Courier New" w:cs="Courier New" w:hint="default"/>
      </w:rPr>
    </w:lvl>
    <w:lvl w:ilvl="2" w:tplc="04150005" w:tentative="1">
      <w:start w:val="1"/>
      <w:numFmt w:val="bullet"/>
      <w:lvlText w:val=""/>
      <w:lvlJc w:val="left"/>
      <w:pPr>
        <w:ind w:left="2302" w:hanging="360"/>
      </w:pPr>
      <w:rPr>
        <w:rFonts w:ascii="Wingdings" w:hAnsi="Wingdings" w:hint="default"/>
      </w:rPr>
    </w:lvl>
    <w:lvl w:ilvl="3" w:tplc="04150001" w:tentative="1">
      <w:start w:val="1"/>
      <w:numFmt w:val="bullet"/>
      <w:lvlText w:val=""/>
      <w:lvlJc w:val="left"/>
      <w:pPr>
        <w:ind w:left="3022" w:hanging="360"/>
      </w:pPr>
      <w:rPr>
        <w:rFonts w:ascii="Symbol" w:hAnsi="Symbol" w:hint="default"/>
      </w:rPr>
    </w:lvl>
    <w:lvl w:ilvl="4" w:tplc="04150003" w:tentative="1">
      <w:start w:val="1"/>
      <w:numFmt w:val="bullet"/>
      <w:lvlText w:val="o"/>
      <w:lvlJc w:val="left"/>
      <w:pPr>
        <w:ind w:left="3742" w:hanging="360"/>
      </w:pPr>
      <w:rPr>
        <w:rFonts w:ascii="Courier New" w:hAnsi="Courier New" w:cs="Courier New" w:hint="default"/>
      </w:rPr>
    </w:lvl>
    <w:lvl w:ilvl="5" w:tplc="04150005" w:tentative="1">
      <w:start w:val="1"/>
      <w:numFmt w:val="bullet"/>
      <w:lvlText w:val=""/>
      <w:lvlJc w:val="left"/>
      <w:pPr>
        <w:ind w:left="4462" w:hanging="360"/>
      </w:pPr>
      <w:rPr>
        <w:rFonts w:ascii="Wingdings" w:hAnsi="Wingdings" w:hint="default"/>
      </w:rPr>
    </w:lvl>
    <w:lvl w:ilvl="6" w:tplc="04150001" w:tentative="1">
      <w:start w:val="1"/>
      <w:numFmt w:val="bullet"/>
      <w:lvlText w:val=""/>
      <w:lvlJc w:val="left"/>
      <w:pPr>
        <w:ind w:left="5182" w:hanging="360"/>
      </w:pPr>
      <w:rPr>
        <w:rFonts w:ascii="Symbol" w:hAnsi="Symbol" w:hint="default"/>
      </w:rPr>
    </w:lvl>
    <w:lvl w:ilvl="7" w:tplc="04150003" w:tentative="1">
      <w:start w:val="1"/>
      <w:numFmt w:val="bullet"/>
      <w:lvlText w:val="o"/>
      <w:lvlJc w:val="left"/>
      <w:pPr>
        <w:ind w:left="5902" w:hanging="360"/>
      </w:pPr>
      <w:rPr>
        <w:rFonts w:ascii="Courier New" w:hAnsi="Courier New" w:cs="Courier New" w:hint="default"/>
      </w:rPr>
    </w:lvl>
    <w:lvl w:ilvl="8" w:tplc="04150005" w:tentative="1">
      <w:start w:val="1"/>
      <w:numFmt w:val="bullet"/>
      <w:lvlText w:val=""/>
      <w:lvlJc w:val="left"/>
      <w:pPr>
        <w:ind w:left="6622" w:hanging="360"/>
      </w:pPr>
      <w:rPr>
        <w:rFonts w:ascii="Wingdings" w:hAnsi="Wingdings" w:hint="default"/>
      </w:rPr>
    </w:lvl>
  </w:abstractNum>
  <w:abstractNum w:abstractNumId="348">
    <w:nsid w:val="27D13E6B"/>
    <w:multiLevelType w:val="multilevel"/>
    <w:tmpl w:val="BAC4A61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49">
    <w:nsid w:val="280F798A"/>
    <w:multiLevelType w:val="hybridMultilevel"/>
    <w:tmpl w:val="92EE2796"/>
    <w:lvl w:ilvl="0" w:tplc="D6A656B6">
      <w:numFmt w:val="bullet"/>
      <w:lvlText w:val="-"/>
      <w:lvlJc w:val="left"/>
      <w:pPr>
        <w:ind w:left="1440" w:hanging="360"/>
      </w:pPr>
      <w:rPr>
        <w:rFonts w:ascii="Times New Roman" w:eastAsia="Times New Roman" w:hAnsi="Times New Roman"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50">
    <w:nsid w:val="281B3B47"/>
    <w:multiLevelType w:val="hybridMultilevel"/>
    <w:tmpl w:val="C922D6C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1">
    <w:nsid w:val="28E33B95"/>
    <w:multiLevelType w:val="hybridMultilevel"/>
    <w:tmpl w:val="68FE761E"/>
    <w:lvl w:ilvl="0" w:tplc="04150005">
      <w:start w:val="1"/>
      <w:numFmt w:val="bullet"/>
      <w:lvlText w:val=""/>
      <w:lvlJc w:val="left"/>
      <w:pPr>
        <w:tabs>
          <w:tab w:val="num" w:pos="720"/>
        </w:tabs>
        <w:ind w:left="720" w:hanging="360"/>
      </w:pPr>
      <w:rPr>
        <w:rFonts w:ascii="Wingdings" w:hAnsi="Wingdings" w:hint="default"/>
        <w:sz w:val="20"/>
      </w:rPr>
    </w:lvl>
    <w:lvl w:ilvl="1" w:tplc="9482C8C4" w:tentative="1">
      <w:start w:val="1"/>
      <w:numFmt w:val="bullet"/>
      <w:lvlText w:val="o"/>
      <w:lvlJc w:val="left"/>
      <w:pPr>
        <w:tabs>
          <w:tab w:val="num" w:pos="1440"/>
        </w:tabs>
        <w:ind w:left="1440" w:hanging="360"/>
      </w:pPr>
      <w:rPr>
        <w:rFonts w:ascii="Courier New" w:hAnsi="Courier New" w:hint="default"/>
        <w:sz w:val="20"/>
      </w:rPr>
    </w:lvl>
    <w:lvl w:ilvl="2" w:tplc="7D4C5C56" w:tentative="1">
      <w:start w:val="1"/>
      <w:numFmt w:val="bullet"/>
      <w:lvlText w:val=""/>
      <w:lvlJc w:val="left"/>
      <w:pPr>
        <w:tabs>
          <w:tab w:val="num" w:pos="2160"/>
        </w:tabs>
        <w:ind w:left="2160" w:hanging="360"/>
      </w:pPr>
      <w:rPr>
        <w:rFonts w:ascii="Wingdings" w:hAnsi="Wingdings" w:hint="default"/>
        <w:sz w:val="20"/>
      </w:rPr>
    </w:lvl>
    <w:lvl w:ilvl="3" w:tplc="BC800732" w:tentative="1">
      <w:start w:val="1"/>
      <w:numFmt w:val="bullet"/>
      <w:lvlText w:val=""/>
      <w:lvlJc w:val="left"/>
      <w:pPr>
        <w:tabs>
          <w:tab w:val="num" w:pos="2880"/>
        </w:tabs>
        <w:ind w:left="2880" w:hanging="360"/>
      </w:pPr>
      <w:rPr>
        <w:rFonts w:ascii="Wingdings" w:hAnsi="Wingdings" w:hint="default"/>
        <w:sz w:val="20"/>
      </w:rPr>
    </w:lvl>
    <w:lvl w:ilvl="4" w:tplc="7034E710" w:tentative="1">
      <w:start w:val="1"/>
      <w:numFmt w:val="bullet"/>
      <w:lvlText w:val=""/>
      <w:lvlJc w:val="left"/>
      <w:pPr>
        <w:tabs>
          <w:tab w:val="num" w:pos="3600"/>
        </w:tabs>
        <w:ind w:left="3600" w:hanging="360"/>
      </w:pPr>
      <w:rPr>
        <w:rFonts w:ascii="Wingdings" w:hAnsi="Wingdings" w:hint="default"/>
        <w:sz w:val="20"/>
      </w:rPr>
    </w:lvl>
    <w:lvl w:ilvl="5" w:tplc="D488F20C" w:tentative="1">
      <w:start w:val="1"/>
      <w:numFmt w:val="bullet"/>
      <w:lvlText w:val=""/>
      <w:lvlJc w:val="left"/>
      <w:pPr>
        <w:tabs>
          <w:tab w:val="num" w:pos="4320"/>
        </w:tabs>
        <w:ind w:left="4320" w:hanging="360"/>
      </w:pPr>
      <w:rPr>
        <w:rFonts w:ascii="Wingdings" w:hAnsi="Wingdings" w:hint="default"/>
        <w:sz w:val="20"/>
      </w:rPr>
    </w:lvl>
    <w:lvl w:ilvl="6" w:tplc="7E700FE2" w:tentative="1">
      <w:start w:val="1"/>
      <w:numFmt w:val="bullet"/>
      <w:lvlText w:val=""/>
      <w:lvlJc w:val="left"/>
      <w:pPr>
        <w:tabs>
          <w:tab w:val="num" w:pos="5040"/>
        </w:tabs>
        <w:ind w:left="5040" w:hanging="360"/>
      </w:pPr>
      <w:rPr>
        <w:rFonts w:ascii="Wingdings" w:hAnsi="Wingdings" w:hint="default"/>
        <w:sz w:val="20"/>
      </w:rPr>
    </w:lvl>
    <w:lvl w:ilvl="7" w:tplc="C69E1806" w:tentative="1">
      <w:start w:val="1"/>
      <w:numFmt w:val="bullet"/>
      <w:lvlText w:val=""/>
      <w:lvlJc w:val="left"/>
      <w:pPr>
        <w:tabs>
          <w:tab w:val="num" w:pos="5760"/>
        </w:tabs>
        <w:ind w:left="5760" w:hanging="360"/>
      </w:pPr>
      <w:rPr>
        <w:rFonts w:ascii="Wingdings" w:hAnsi="Wingdings" w:hint="default"/>
        <w:sz w:val="20"/>
      </w:rPr>
    </w:lvl>
    <w:lvl w:ilvl="8" w:tplc="0D9EC3E0" w:tentative="1">
      <w:start w:val="1"/>
      <w:numFmt w:val="bullet"/>
      <w:lvlText w:val=""/>
      <w:lvlJc w:val="left"/>
      <w:pPr>
        <w:tabs>
          <w:tab w:val="num" w:pos="6480"/>
        </w:tabs>
        <w:ind w:left="6480" w:hanging="360"/>
      </w:pPr>
      <w:rPr>
        <w:rFonts w:ascii="Wingdings" w:hAnsi="Wingdings" w:hint="default"/>
        <w:sz w:val="20"/>
      </w:rPr>
    </w:lvl>
  </w:abstractNum>
  <w:abstractNum w:abstractNumId="352">
    <w:nsid w:val="29061641"/>
    <w:multiLevelType w:val="hybridMultilevel"/>
    <w:tmpl w:val="DDA0C71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3">
    <w:nsid w:val="293F1BF7"/>
    <w:multiLevelType w:val="multilevel"/>
    <w:tmpl w:val="382A0A30"/>
    <w:lvl w:ilvl="0">
      <w:start w:val="1"/>
      <w:numFmt w:val="decimal"/>
      <w:lvlText w:val="%1."/>
      <w:lvlJc w:val="left"/>
      <w:pPr>
        <w:ind w:left="360" w:hanging="360"/>
      </w:pPr>
      <w:rPr>
        <w:rFonts w:hint="default"/>
        <w:color w:val="3366FF"/>
      </w:rPr>
    </w:lvl>
    <w:lvl w:ilvl="1">
      <w:start w:val="1"/>
      <w:numFmt w:val="decimal"/>
      <w:lvlText w:val="%1.%2."/>
      <w:lvlJc w:val="left"/>
      <w:pPr>
        <w:ind w:left="792" w:hanging="432"/>
      </w:pPr>
    </w:lvl>
    <w:lvl w:ilvl="2">
      <w:start w:val="1"/>
      <w:numFmt w:val="decimal"/>
      <w:lvlText w:val="%1.%2.%3."/>
      <w:lvlJc w:val="left"/>
      <w:pPr>
        <w:ind w:left="1224" w:hanging="504"/>
      </w:pPr>
      <w:rPr>
        <w:color w:val="3366FF"/>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4">
    <w:nsid w:val="29427857"/>
    <w:multiLevelType w:val="hybridMultilevel"/>
    <w:tmpl w:val="5022BC9A"/>
    <w:lvl w:ilvl="0" w:tplc="04150005">
      <w:start w:val="1"/>
      <w:numFmt w:val="bullet"/>
      <w:lvlText w:val=""/>
      <w:lvlJc w:val="left"/>
      <w:pPr>
        <w:tabs>
          <w:tab w:val="num" w:pos="720"/>
        </w:tabs>
        <w:ind w:left="720" w:hanging="360"/>
      </w:pPr>
      <w:rPr>
        <w:rFonts w:ascii="Wingdings" w:hAnsi="Wingdings" w:hint="default"/>
        <w:sz w:val="20"/>
      </w:rPr>
    </w:lvl>
    <w:lvl w:ilvl="1" w:tplc="8488FC54" w:tentative="1">
      <w:start w:val="1"/>
      <w:numFmt w:val="bullet"/>
      <w:lvlText w:val="o"/>
      <w:lvlJc w:val="left"/>
      <w:pPr>
        <w:tabs>
          <w:tab w:val="num" w:pos="1440"/>
        </w:tabs>
        <w:ind w:left="1440" w:hanging="360"/>
      </w:pPr>
      <w:rPr>
        <w:rFonts w:ascii="Courier New" w:hAnsi="Courier New" w:hint="default"/>
        <w:sz w:val="20"/>
      </w:rPr>
    </w:lvl>
    <w:lvl w:ilvl="2" w:tplc="B1A6D75E" w:tentative="1">
      <w:start w:val="1"/>
      <w:numFmt w:val="bullet"/>
      <w:lvlText w:val=""/>
      <w:lvlJc w:val="left"/>
      <w:pPr>
        <w:tabs>
          <w:tab w:val="num" w:pos="2160"/>
        </w:tabs>
        <w:ind w:left="2160" w:hanging="360"/>
      </w:pPr>
      <w:rPr>
        <w:rFonts w:ascii="Wingdings" w:hAnsi="Wingdings" w:hint="default"/>
        <w:sz w:val="20"/>
      </w:rPr>
    </w:lvl>
    <w:lvl w:ilvl="3" w:tplc="C2524F7A" w:tentative="1">
      <w:start w:val="1"/>
      <w:numFmt w:val="bullet"/>
      <w:lvlText w:val=""/>
      <w:lvlJc w:val="left"/>
      <w:pPr>
        <w:tabs>
          <w:tab w:val="num" w:pos="2880"/>
        </w:tabs>
        <w:ind w:left="2880" w:hanging="360"/>
      </w:pPr>
      <w:rPr>
        <w:rFonts w:ascii="Wingdings" w:hAnsi="Wingdings" w:hint="default"/>
        <w:sz w:val="20"/>
      </w:rPr>
    </w:lvl>
    <w:lvl w:ilvl="4" w:tplc="755E0B0E" w:tentative="1">
      <w:start w:val="1"/>
      <w:numFmt w:val="bullet"/>
      <w:lvlText w:val=""/>
      <w:lvlJc w:val="left"/>
      <w:pPr>
        <w:tabs>
          <w:tab w:val="num" w:pos="3600"/>
        </w:tabs>
        <w:ind w:left="3600" w:hanging="360"/>
      </w:pPr>
      <w:rPr>
        <w:rFonts w:ascii="Wingdings" w:hAnsi="Wingdings" w:hint="default"/>
        <w:sz w:val="20"/>
      </w:rPr>
    </w:lvl>
    <w:lvl w:ilvl="5" w:tplc="90A2417E" w:tentative="1">
      <w:start w:val="1"/>
      <w:numFmt w:val="bullet"/>
      <w:lvlText w:val=""/>
      <w:lvlJc w:val="left"/>
      <w:pPr>
        <w:tabs>
          <w:tab w:val="num" w:pos="4320"/>
        </w:tabs>
        <w:ind w:left="4320" w:hanging="360"/>
      </w:pPr>
      <w:rPr>
        <w:rFonts w:ascii="Wingdings" w:hAnsi="Wingdings" w:hint="default"/>
        <w:sz w:val="20"/>
      </w:rPr>
    </w:lvl>
    <w:lvl w:ilvl="6" w:tplc="F0685062" w:tentative="1">
      <w:start w:val="1"/>
      <w:numFmt w:val="bullet"/>
      <w:lvlText w:val=""/>
      <w:lvlJc w:val="left"/>
      <w:pPr>
        <w:tabs>
          <w:tab w:val="num" w:pos="5040"/>
        </w:tabs>
        <w:ind w:left="5040" w:hanging="360"/>
      </w:pPr>
      <w:rPr>
        <w:rFonts w:ascii="Wingdings" w:hAnsi="Wingdings" w:hint="default"/>
        <w:sz w:val="20"/>
      </w:rPr>
    </w:lvl>
    <w:lvl w:ilvl="7" w:tplc="2F726DC4" w:tentative="1">
      <w:start w:val="1"/>
      <w:numFmt w:val="bullet"/>
      <w:lvlText w:val=""/>
      <w:lvlJc w:val="left"/>
      <w:pPr>
        <w:tabs>
          <w:tab w:val="num" w:pos="5760"/>
        </w:tabs>
        <w:ind w:left="5760" w:hanging="360"/>
      </w:pPr>
      <w:rPr>
        <w:rFonts w:ascii="Wingdings" w:hAnsi="Wingdings" w:hint="default"/>
        <w:sz w:val="20"/>
      </w:rPr>
    </w:lvl>
    <w:lvl w:ilvl="8" w:tplc="8978339E" w:tentative="1">
      <w:start w:val="1"/>
      <w:numFmt w:val="bullet"/>
      <w:lvlText w:val=""/>
      <w:lvlJc w:val="left"/>
      <w:pPr>
        <w:tabs>
          <w:tab w:val="num" w:pos="6480"/>
        </w:tabs>
        <w:ind w:left="6480" w:hanging="360"/>
      </w:pPr>
      <w:rPr>
        <w:rFonts w:ascii="Wingdings" w:hAnsi="Wingdings" w:hint="default"/>
        <w:sz w:val="20"/>
      </w:rPr>
    </w:lvl>
  </w:abstractNum>
  <w:abstractNum w:abstractNumId="355">
    <w:nsid w:val="29460AC2"/>
    <w:multiLevelType w:val="hybridMultilevel"/>
    <w:tmpl w:val="111E050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6">
    <w:nsid w:val="29F96B5B"/>
    <w:multiLevelType w:val="hybridMultilevel"/>
    <w:tmpl w:val="C1FC6B72"/>
    <w:lvl w:ilvl="0" w:tplc="04150005">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57">
    <w:nsid w:val="2A3870C3"/>
    <w:multiLevelType w:val="hybridMultilevel"/>
    <w:tmpl w:val="5254DB04"/>
    <w:lvl w:ilvl="0" w:tplc="3BA23654">
      <w:start w:val="1"/>
      <w:numFmt w:val="bullet"/>
      <w:lvlText w:val="-"/>
      <w:lvlJc w:val="left"/>
      <w:pPr>
        <w:ind w:left="720" w:hanging="360"/>
      </w:pPr>
      <w:rPr>
        <w:rFonts w:ascii="Verdana" w:hAnsi="Verdana"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58">
    <w:nsid w:val="2A5D6B6C"/>
    <w:multiLevelType w:val="hybridMultilevel"/>
    <w:tmpl w:val="DE04F1C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9">
    <w:nsid w:val="2A815435"/>
    <w:multiLevelType w:val="hybridMultilevel"/>
    <w:tmpl w:val="694C257E"/>
    <w:lvl w:ilvl="0" w:tplc="B9FEC35E">
      <w:start w:val="1"/>
      <w:numFmt w:val="bullet"/>
      <w:lvlText w:val=""/>
      <w:lvlJc w:val="left"/>
      <w:pPr>
        <w:tabs>
          <w:tab w:val="num" w:pos="720"/>
        </w:tabs>
        <w:ind w:left="720" w:hanging="360"/>
      </w:pPr>
      <w:rPr>
        <w:rFonts w:ascii="Symbol" w:hAnsi="Symbol" w:hint="default"/>
        <w:sz w:val="20"/>
      </w:rPr>
    </w:lvl>
    <w:lvl w:ilvl="1" w:tplc="8F789844" w:tentative="1">
      <w:start w:val="1"/>
      <w:numFmt w:val="bullet"/>
      <w:lvlText w:val="o"/>
      <w:lvlJc w:val="left"/>
      <w:pPr>
        <w:tabs>
          <w:tab w:val="num" w:pos="1440"/>
        </w:tabs>
        <w:ind w:left="1440" w:hanging="360"/>
      </w:pPr>
      <w:rPr>
        <w:rFonts w:ascii="Courier New" w:hAnsi="Courier New" w:hint="default"/>
        <w:sz w:val="20"/>
      </w:rPr>
    </w:lvl>
    <w:lvl w:ilvl="2" w:tplc="ED80E2C4" w:tentative="1">
      <w:start w:val="1"/>
      <w:numFmt w:val="bullet"/>
      <w:lvlText w:val=""/>
      <w:lvlJc w:val="left"/>
      <w:pPr>
        <w:tabs>
          <w:tab w:val="num" w:pos="2160"/>
        </w:tabs>
        <w:ind w:left="2160" w:hanging="360"/>
      </w:pPr>
      <w:rPr>
        <w:rFonts w:ascii="Wingdings" w:hAnsi="Wingdings" w:hint="default"/>
        <w:sz w:val="20"/>
      </w:rPr>
    </w:lvl>
    <w:lvl w:ilvl="3" w:tplc="2CD430B6" w:tentative="1">
      <w:start w:val="1"/>
      <w:numFmt w:val="bullet"/>
      <w:lvlText w:val=""/>
      <w:lvlJc w:val="left"/>
      <w:pPr>
        <w:tabs>
          <w:tab w:val="num" w:pos="2880"/>
        </w:tabs>
        <w:ind w:left="2880" w:hanging="360"/>
      </w:pPr>
      <w:rPr>
        <w:rFonts w:ascii="Wingdings" w:hAnsi="Wingdings" w:hint="default"/>
        <w:sz w:val="20"/>
      </w:rPr>
    </w:lvl>
    <w:lvl w:ilvl="4" w:tplc="25D00E7C" w:tentative="1">
      <w:start w:val="1"/>
      <w:numFmt w:val="bullet"/>
      <w:lvlText w:val=""/>
      <w:lvlJc w:val="left"/>
      <w:pPr>
        <w:tabs>
          <w:tab w:val="num" w:pos="3600"/>
        </w:tabs>
        <w:ind w:left="3600" w:hanging="360"/>
      </w:pPr>
      <w:rPr>
        <w:rFonts w:ascii="Wingdings" w:hAnsi="Wingdings" w:hint="default"/>
        <w:sz w:val="20"/>
      </w:rPr>
    </w:lvl>
    <w:lvl w:ilvl="5" w:tplc="FC5AA2E2" w:tentative="1">
      <w:start w:val="1"/>
      <w:numFmt w:val="bullet"/>
      <w:lvlText w:val=""/>
      <w:lvlJc w:val="left"/>
      <w:pPr>
        <w:tabs>
          <w:tab w:val="num" w:pos="4320"/>
        </w:tabs>
        <w:ind w:left="4320" w:hanging="360"/>
      </w:pPr>
      <w:rPr>
        <w:rFonts w:ascii="Wingdings" w:hAnsi="Wingdings" w:hint="default"/>
        <w:sz w:val="20"/>
      </w:rPr>
    </w:lvl>
    <w:lvl w:ilvl="6" w:tplc="538453B4" w:tentative="1">
      <w:start w:val="1"/>
      <w:numFmt w:val="bullet"/>
      <w:lvlText w:val=""/>
      <w:lvlJc w:val="left"/>
      <w:pPr>
        <w:tabs>
          <w:tab w:val="num" w:pos="5040"/>
        </w:tabs>
        <w:ind w:left="5040" w:hanging="360"/>
      </w:pPr>
      <w:rPr>
        <w:rFonts w:ascii="Wingdings" w:hAnsi="Wingdings" w:hint="default"/>
        <w:sz w:val="20"/>
      </w:rPr>
    </w:lvl>
    <w:lvl w:ilvl="7" w:tplc="71D0CB1E" w:tentative="1">
      <w:start w:val="1"/>
      <w:numFmt w:val="bullet"/>
      <w:lvlText w:val=""/>
      <w:lvlJc w:val="left"/>
      <w:pPr>
        <w:tabs>
          <w:tab w:val="num" w:pos="5760"/>
        </w:tabs>
        <w:ind w:left="5760" w:hanging="360"/>
      </w:pPr>
      <w:rPr>
        <w:rFonts w:ascii="Wingdings" w:hAnsi="Wingdings" w:hint="default"/>
        <w:sz w:val="20"/>
      </w:rPr>
    </w:lvl>
    <w:lvl w:ilvl="8" w:tplc="BEFA1C38" w:tentative="1">
      <w:start w:val="1"/>
      <w:numFmt w:val="bullet"/>
      <w:lvlText w:val=""/>
      <w:lvlJc w:val="left"/>
      <w:pPr>
        <w:tabs>
          <w:tab w:val="num" w:pos="6480"/>
        </w:tabs>
        <w:ind w:left="6480" w:hanging="360"/>
      </w:pPr>
      <w:rPr>
        <w:rFonts w:ascii="Wingdings" w:hAnsi="Wingdings" w:hint="default"/>
        <w:sz w:val="20"/>
      </w:rPr>
    </w:lvl>
  </w:abstractNum>
  <w:abstractNum w:abstractNumId="360">
    <w:nsid w:val="2AAF3B66"/>
    <w:multiLevelType w:val="hybridMultilevel"/>
    <w:tmpl w:val="EAFC723C"/>
    <w:lvl w:ilvl="0" w:tplc="D6A656B6">
      <w:numFmt w:val="bullet"/>
      <w:lvlText w:val="-"/>
      <w:lvlJc w:val="left"/>
      <w:pPr>
        <w:ind w:left="1068" w:hanging="360"/>
      </w:pPr>
      <w:rPr>
        <w:rFonts w:ascii="Times New Roman" w:eastAsia="Times New Roman" w:hAnsi="Times New Roman" w:cs="Times New Roman"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61">
    <w:nsid w:val="2AAF4989"/>
    <w:multiLevelType w:val="hybridMultilevel"/>
    <w:tmpl w:val="A8CC06B2"/>
    <w:lvl w:ilvl="0" w:tplc="3BA23654">
      <w:start w:val="1"/>
      <w:numFmt w:val="bullet"/>
      <w:lvlText w:val="-"/>
      <w:lvlJc w:val="left"/>
      <w:pPr>
        <w:ind w:left="720" w:hanging="360"/>
      </w:pPr>
      <w:rPr>
        <w:rFonts w:ascii="Verdana" w:hAnsi="Verdana"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62">
    <w:nsid w:val="2B150245"/>
    <w:multiLevelType w:val="hybridMultilevel"/>
    <w:tmpl w:val="5E0ED5B4"/>
    <w:lvl w:ilvl="0" w:tplc="3BA23654">
      <w:start w:val="1"/>
      <w:numFmt w:val="bullet"/>
      <w:lvlText w:val="-"/>
      <w:lvlJc w:val="left"/>
      <w:pPr>
        <w:ind w:left="720" w:hanging="360"/>
      </w:pPr>
      <w:rPr>
        <w:rFonts w:ascii="Verdana" w:hAnsi="Verdana"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63">
    <w:nsid w:val="2B1A3B14"/>
    <w:multiLevelType w:val="hybridMultilevel"/>
    <w:tmpl w:val="75F8112A"/>
    <w:name w:val="WW8Num122"/>
    <w:lvl w:ilvl="0" w:tplc="A544BE2C">
      <w:start w:val="1"/>
      <w:numFmt w:val="decimal"/>
      <w:lvlText w:val="%1."/>
      <w:lvlJc w:val="left"/>
      <w:pPr>
        <w:tabs>
          <w:tab w:val="num" w:pos="720"/>
        </w:tabs>
        <w:ind w:left="720" w:hanging="360"/>
      </w:pPr>
      <w:rPr>
        <w:rFonts w:ascii="TiepoloItcTEEBoo" w:hAnsi="TiepoloItcTEEBoo" w:cs="TiepoloItcTEEBoo" w:hint="default"/>
        <w:color w:val="auto"/>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4">
    <w:nsid w:val="2B300EEF"/>
    <w:multiLevelType w:val="hybridMultilevel"/>
    <w:tmpl w:val="28E4203A"/>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5">
    <w:nsid w:val="2B4F30D6"/>
    <w:multiLevelType w:val="hybridMultilevel"/>
    <w:tmpl w:val="FF84F5FC"/>
    <w:lvl w:ilvl="0" w:tplc="04150005">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66">
    <w:nsid w:val="2B7159E7"/>
    <w:multiLevelType w:val="hybridMultilevel"/>
    <w:tmpl w:val="8110E0BE"/>
    <w:lvl w:ilvl="0" w:tplc="5B5C5EB2">
      <w:start w:val="1"/>
      <w:numFmt w:val="bullet"/>
      <w:lvlText w:val=""/>
      <w:lvlJc w:val="left"/>
      <w:pPr>
        <w:tabs>
          <w:tab w:val="num" w:pos="720"/>
        </w:tabs>
        <w:ind w:left="720" w:hanging="360"/>
      </w:pPr>
      <w:rPr>
        <w:rFonts w:ascii="Symbol" w:hAnsi="Symbol" w:hint="default"/>
        <w:sz w:val="20"/>
      </w:rPr>
    </w:lvl>
    <w:lvl w:ilvl="1" w:tplc="6C4AAC46" w:tentative="1">
      <w:start w:val="1"/>
      <w:numFmt w:val="bullet"/>
      <w:lvlText w:val="o"/>
      <w:lvlJc w:val="left"/>
      <w:pPr>
        <w:tabs>
          <w:tab w:val="num" w:pos="1440"/>
        </w:tabs>
        <w:ind w:left="1440" w:hanging="360"/>
      </w:pPr>
      <w:rPr>
        <w:rFonts w:ascii="Courier New" w:hAnsi="Courier New" w:hint="default"/>
        <w:sz w:val="20"/>
      </w:rPr>
    </w:lvl>
    <w:lvl w:ilvl="2" w:tplc="8EA01EAA" w:tentative="1">
      <w:start w:val="1"/>
      <w:numFmt w:val="bullet"/>
      <w:lvlText w:val=""/>
      <w:lvlJc w:val="left"/>
      <w:pPr>
        <w:tabs>
          <w:tab w:val="num" w:pos="2160"/>
        </w:tabs>
        <w:ind w:left="2160" w:hanging="360"/>
      </w:pPr>
      <w:rPr>
        <w:rFonts w:ascii="Wingdings" w:hAnsi="Wingdings" w:hint="default"/>
        <w:sz w:val="20"/>
      </w:rPr>
    </w:lvl>
    <w:lvl w:ilvl="3" w:tplc="B71AFDF4" w:tentative="1">
      <w:start w:val="1"/>
      <w:numFmt w:val="bullet"/>
      <w:lvlText w:val=""/>
      <w:lvlJc w:val="left"/>
      <w:pPr>
        <w:tabs>
          <w:tab w:val="num" w:pos="2880"/>
        </w:tabs>
        <w:ind w:left="2880" w:hanging="360"/>
      </w:pPr>
      <w:rPr>
        <w:rFonts w:ascii="Wingdings" w:hAnsi="Wingdings" w:hint="default"/>
        <w:sz w:val="20"/>
      </w:rPr>
    </w:lvl>
    <w:lvl w:ilvl="4" w:tplc="26C6BC64" w:tentative="1">
      <w:start w:val="1"/>
      <w:numFmt w:val="bullet"/>
      <w:lvlText w:val=""/>
      <w:lvlJc w:val="left"/>
      <w:pPr>
        <w:tabs>
          <w:tab w:val="num" w:pos="3600"/>
        </w:tabs>
        <w:ind w:left="3600" w:hanging="360"/>
      </w:pPr>
      <w:rPr>
        <w:rFonts w:ascii="Wingdings" w:hAnsi="Wingdings" w:hint="default"/>
        <w:sz w:val="20"/>
      </w:rPr>
    </w:lvl>
    <w:lvl w:ilvl="5" w:tplc="DA28B53E" w:tentative="1">
      <w:start w:val="1"/>
      <w:numFmt w:val="bullet"/>
      <w:lvlText w:val=""/>
      <w:lvlJc w:val="left"/>
      <w:pPr>
        <w:tabs>
          <w:tab w:val="num" w:pos="4320"/>
        </w:tabs>
        <w:ind w:left="4320" w:hanging="360"/>
      </w:pPr>
      <w:rPr>
        <w:rFonts w:ascii="Wingdings" w:hAnsi="Wingdings" w:hint="default"/>
        <w:sz w:val="20"/>
      </w:rPr>
    </w:lvl>
    <w:lvl w:ilvl="6" w:tplc="B92C8630" w:tentative="1">
      <w:start w:val="1"/>
      <w:numFmt w:val="bullet"/>
      <w:lvlText w:val=""/>
      <w:lvlJc w:val="left"/>
      <w:pPr>
        <w:tabs>
          <w:tab w:val="num" w:pos="5040"/>
        </w:tabs>
        <w:ind w:left="5040" w:hanging="360"/>
      </w:pPr>
      <w:rPr>
        <w:rFonts w:ascii="Wingdings" w:hAnsi="Wingdings" w:hint="default"/>
        <w:sz w:val="20"/>
      </w:rPr>
    </w:lvl>
    <w:lvl w:ilvl="7" w:tplc="4DCAD7D4" w:tentative="1">
      <w:start w:val="1"/>
      <w:numFmt w:val="bullet"/>
      <w:lvlText w:val=""/>
      <w:lvlJc w:val="left"/>
      <w:pPr>
        <w:tabs>
          <w:tab w:val="num" w:pos="5760"/>
        </w:tabs>
        <w:ind w:left="5760" w:hanging="360"/>
      </w:pPr>
      <w:rPr>
        <w:rFonts w:ascii="Wingdings" w:hAnsi="Wingdings" w:hint="default"/>
        <w:sz w:val="20"/>
      </w:rPr>
    </w:lvl>
    <w:lvl w:ilvl="8" w:tplc="73121A4C" w:tentative="1">
      <w:start w:val="1"/>
      <w:numFmt w:val="bullet"/>
      <w:lvlText w:val=""/>
      <w:lvlJc w:val="left"/>
      <w:pPr>
        <w:tabs>
          <w:tab w:val="num" w:pos="6480"/>
        </w:tabs>
        <w:ind w:left="6480" w:hanging="360"/>
      </w:pPr>
      <w:rPr>
        <w:rFonts w:ascii="Wingdings" w:hAnsi="Wingdings" w:hint="default"/>
        <w:sz w:val="20"/>
      </w:rPr>
    </w:lvl>
  </w:abstractNum>
  <w:abstractNum w:abstractNumId="367">
    <w:nsid w:val="2BC84399"/>
    <w:multiLevelType w:val="hybridMultilevel"/>
    <w:tmpl w:val="F850B4B4"/>
    <w:lvl w:ilvl="0" w:tplc="D8364032">
      <w:start w:val="1"/>
      <w:numFmt w:val="bullet"/>
      <w:lvlText w:val=""/>
      <w:lvlJc w:val="left"/>
      <w:pPr>
        <w:tabs>
          <w:tab w:val="num" w:pos="720"/>
        </w:tabs>
        <w:ind w:left="720" w:hanging="360"/>
      </w:pPr>
      <w:rPr>
        <w:rFonts w:ascii="Symbol" w:hAnsi="Symbol" w:hint="default"/>
        <w:sz w:val="20"/>
      </w:rPr>
    </w:lvl>
    <w:lvl w:ilvl="1" w:tplc="1AD8287A" w:tentative="1">
      <w:start w:val="1"/>
      <w:numFmt w:val="bullet"/>
      <w:lvlText w:val="o"/>
      <w:lvlJc w:val="left"/>
      <w:pPr>
        <w:tabs>
          <w:tab w:val="num" w:pos="1440"/>
        </w:tabs>
        <w:ind w:left="1440" w:hanging="360"/>
      </w:pPr>
      <w:rPr>
        <w:rFonts w:ascii="Courier New" w:hAnsi="Courier New" w:hint="default"/>
        <w:sz w:val="20"/>
      </w:rPr>
    </w:lvl>
    <w:lvl w:ilvl="2" w:tplc="4A54F2EE" w:tentative="1">
      <w:start w:val="1"/>
      <w:numFmt w:val="bullet"/>
      <w:lvlText w:val=""/>
      <w:lvlJc w:val="left"/>
      <w:pPr>
        <w:tabs>
          <w:tab w:val="num" w:pos="2160"/>
        </w:tabs>
        <w:ind w:left="2160" w:hanging="360"/>
      </w:pPr>
      <w:rPr>
        <w:rFonts w:ascii="Wingdings" w:hAnsi="Wingdings" w:hint="default"/>
        <w:sz w:val="20"/>
      </w:rPr>
    </w:lvl>
    <w:lvl w:ilvl="3" w:tplc="3BB4B88A" w:tentative="1">
      <w:start w:val="1"/>
      <w:numFmt w:val="bullet"/>
      <w:lvlText w:val=""/>
      <w:lvlJc w:val="left"/>
      <w:pPr>
        <w:tabs>
          <w:tab w:val="num" w:pos="2880"/>
        </w:tabs>
        <w:ind w:left="2880" w:hanging="360"/>
      </w:pPr>
      <w:rPr>
        <w:rFonts w:ascii="Wingdings" w:hAnsi="Wingdings" w:hint="default"/>
        <w:sz w:val="20"/>
      </w:rPr>
    </w:lvl>
    <w:lvl w:ilvl="4" w:tplc="3BD0E5B8" w:tentative="1">
      <w:start w:val="1"/>
      <w:numFmt w:val="bullet"/>
      <w:lvlText w:val=""/>
      <w:lvlJc w:val="left"/>
      <w:pPr>
        <w:tabs>
          <w:tab w:val="num" w:pos="3600"/>
        </w:tabs>
        <w:ind w:left="3600" w:hanging="360"/>
      </w:pPr>
      <w:rPr>
        <w:rFonts w:ascii="Wingdings" w:hAnsi="Wingdings" w:hint="default"/>
        <w:sz w:val="20"/>
      </w:rPr>
    </w:lvl>
    <w:lvl w:ilvl="5" w:tplc="5AA84574" w:tentative="1">
      <w:start w:val="1"/>
      <w:numFmt w:val="bullet"/>
      <w:lvlText w:val=""/>
      <w:lvlJc w:val="left"/>
      <w:pPr>
        <w:tabs>
          <w:tab w:val="num" w:pos="4320"/>
        </w:tabs>
        <w:ind w:left="4320" w:hanging="360"/>
      </w:pPr>
      <w:rPr>
        <w:rFonts w:ascii="Wingdings" w:hAnsi="Wingdings" w:hint="default"/>
        <w:sz w:val="20"/>
      </w:rPr>
    </w:lvl>
    <w:lvl w:ilvl="6" w:tplc="E6FAA99E" w:tentative="1">
      <w:start w:val="1"/>
      <w:numFmt w:val="bullet"/>
      <w:lvlText w:val=""/>
      <w:lvlJc w:val="left"/>
      <w:pPr>
        <w:tabs>
          <w:tab w:val="num" w:pos="5040"/>
        </w:tabs>
        <w:ind w:left="5040" w:hanging="360"/>
      </w:pPr>
      <w:rPr>
        <w:rFonts w:ascii="Wingdings" w:hAnsi="Wingdings" w:hint="default"/>
        <w:sz w:val="20"/>
      </w:rPr>
    </w:lvl>
    <w:lvl w:ilvl="7" w:tplc="B668246C" w:tentative="1">
      <w:start w:val="1"/>
      <w:numFmt w:val="bullet"/>
      <w:lvlText w:val=""/>
      <w:lvlJc w:val="left"/>
      <w:pPr>
        <w:tabs>
          <w:tab w:val="num" w:pos="5760"/>
        </w:tabs>
        <w:ind w:left="5760" w:hanging="360"/>
      </w:pPr>
      <w:rPr>
        <w:rFonts w:ascii="Wingdings" w:hAnsi="Wingdings" w:hint="default"/>
        <w:sz w:val="20"/>
      </w:rPr>
    </w:lvl>
    <w:lvl w:ilvl="8" w:tplc="B2666828" w:tentative="1">
      <w:start w:val="1"/>
      <w:numFmt w:val="bullet"/>
      <w:lvlText w:val=""/>
      <w:lvlJc w:val="left"/>
      <w:pPr>
        <w:tabs>
          <w:tab w:val="num" w:pos="6480"/>
        </w:tabs>
        <w:ind w:left="6480" w:hanging="360"/>
      </w:pPr>
      <w:rPr>
        <w:rFonts w:ascii="Wingdings" w:hAnsi="Wingdings" w:hint="default"/>
        <w:sz w:val="20"/>
      </w:rPr>
    </w:lvl>
  </w:abstractNum>
  <w:abstractNum w:abstractNumId="368">
    <w:nsid w:val="2BC852AE"/>
    <w:multiLevelType w:val="hybridMultilevel"/>
    <w:tmpl w:val="4E9061AC"/>
    <w:lvl w:ilvl="0" w:tplc="8D2416E0">
      <w:start w:val="2"/>
      <w:numFmt w:val="lowerLetter"/>
      <w:lvlText w:val="%1."/>
      <w:lvlJc w:val="left"/>
      <w:pPr>
        <w:tabs>
          <w:tab w:val="num" w:pos="720"/>
        </w:tabs>
        <w:ind w:left="720" w:hanging="360"/>
      </w:pPr>
    </w:lvl>
    <w:lvl w:ilvl="1" w:tplc="CC92B9DC" w:tentative="1">
      <w:start w:val="1"/>
      <w:numFmt w:val="lowerLetter"/>
      <w:lvlText w:val="%2."/>
      <w:lvlJc w:val="left"/>
      <w:pPr>
        <w:tabs>
          <w:tab w:val="num" w:pos="1440"/>
        </w:tabs>
        <w:ind w:left="1440" w:hanging="360"/>
      </w:pPr>
    </w:lvl>
    <w:lvl w:ilvl="2" w:tplc="DFF2F8DC" w:tentative="1">
      <w:start w:val="1"/>
      <w:numFmt w:val="lowerLetter"/>
      <w:lvlText w:val="%3."/>
      <w:lvlJc w:val="left"/>
      <w:pPr>
        <w:tabs>
          <w:tab w:val="num" w:pos="2160"/>
        </w:tabs>
        <w:ind w:left="2160" w:hanging="360"/>
      </w:pPr>
    </w:lvl>
    <w:lvl w:ilvl="3" w:tplc="9F26E4E0" w:tentative="1">
      <w:start w:val="1"/>
      <w:numFmt w:val="lowerLetter"/>
      <w:lvlText w:val="%4."/>
      <w:lvlJc w:val="left"/>
      <w:pPr>
        <w:tabs>
          <w:tab w:val="num" w:pos="2880"/>
        </w:tabs>
        <w:ind w:left="2880" w:hanging="360"/>
      </w:pPr>
    </w:lvl>
    <w:lvl w:ilvl="4" w:tplc="1A663416" w:tentative="1">
      <w:start w:val="1"/>
      <w:numFmt w:val="lowerLetter"/>
      <w:lvlText w:val="%5."/>
      <w:lvlJc w:val="left"/>
      <w:pPr>
        <w:tabs>
          <w:tab w:val="num" w:pos="3600"/>
        </w:tabs>
        <w:ind w:left="3600" w:hanging="360"/>
      </w:pPr>
    </w:lvl>
    <w:lvl w:ilvl="5" w:tplc="766C9B10" w:tentative="1">
      <w:start w:val="1"/>
      <w:numFmt w:val="lowerLetter"/>
      <w:lvlText w:val="%6."/>
      <w:lvlJc w:val="left"/>
      <w:pPr>
        <w:tabs>
          <w:tab w:val="num" w:pos="4320"/>
        </w:tabs>
        <w:ind w:left="4320" w:hanging="360"/>
      </w:pPr>
    </w:lvl>
    <w:lvl w:ilvl="6" w:tplc="58EE3396" w:tentative="1">
      <w:start w:val="1"/>
      <w:numFmt w:val="lowerLetter"/>
      <w:lvlText w:val="%7."/>
      <w:lvlJc w:val="left"/>
      <w:pPr>
        <w:tabs>
          <w:tab w:val="num" w:pos="5040"/>
        </w:tabs>
        <w:ind w:left="5040" w:hanging="360"/>
      </w:pPr>
    </w:lvl>
    <w:lvl w:ilvl="7" w:tplc="82522240" w:tentative="1">
      <w:start w:val="1"/>
      <w:numFmt w:val="lowerLetter"/>
      <w:lvlText w:val="%8."/>
      <w:lvlJc w:val="left"/>
      <w:pPr>
        <w:tabs>
          <w:tab w:val="num" w:pos="5760"/>
        </w:tabs>
        <w:ind w:left="5760" w:hanging="360"/>
      </w:pPr>
    </w:lvl>
    <w:lvl w:ilvl="8" w:tplc="6080A318" w:tentative="1">
      <w:start w:val="1"/>
      <w:numFmt w:val="lowerLetter"/>
      <w:lvlText w:val="%9."/>
      <w:lvlJc w:val="left"/>
      <w:pPr>
        <w:tabs>
          <w:tab w:val="num" w:pos="6480"/>
        </w:tabs>
        <w:ind w:left="6480" w:hanging="360"/>
      </w:pPr>
    </w:lvl>
  </w:abstractNum>
  <w:abstractNum w:abstractNumId="369">
    <w:nsid w:val="2BF055D6"/>
    <w:multiLevelType w:val="hybridMultilevel"/>
    <w:tmpl w:val="CE205830"/>
    <w:lvl w:ilvl="0" w:tplc="04150005">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70">
    <w:nsid w:val="2C032E68"/>
    <w:multiLevelType w:val="hybridMultilevel"/>
    <w:tmpl w:val="054A2E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1">
    <w:nsid w:val="2C25364F"/>
    <w:multiLevelType w:val="hybridMultilevel"/>
    <w:tmpl w:val="1ADA9376"/>
    <w:lvl w:ilvl="0" w:tplc="C1BA7014">
      <w:start w:val="1"/>
      <w:numFmt w:val="decimal"/>
      <w:lvlText w:val="K4.5.%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2">
    <w:nsid w:val="2C421C10"/>
    <w:multiLevelType w:val="hybridMultilevel"/>
    <w:tmpl w:val="F90CCADE"/>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3">
    <w:nsid w:val="2C4B7534"/>
    <w:multiLevelType w:val="hybridMultilevel"/>
    <w:tmpl w:val="CF881B64"/>
    <w:lvl w:ilvl="0" w:tplc="04150005">
      <w:start w:val="1"/>
      <w:numFmt w:val="bullet"/>
      <w:lvlText w:val=""/>
      <w:lvlJc w:val="left"/>
      <w:pPr>
        <w:tabs>
          <w:tab w:val="num" w:pos="720"/>
        </w:tabs>
        <w:ind w:left="720" w:hanging="360"/>
      </w:pPr>
      <w:rPr>
        <w:rFonts w:ascii="Wingdings" w:hAnsi="Wingdings" w:hint="default"/>
        <w:sz w:val="20"/>
      </w:rPr>
    </w:lvl>
    <w:lvl w:ilvl="1" w:tplc="CFB86172" w:tentative="1">
      <w:start w:val="1"/>
      <w:numFmt w:val="bullet"/>
      <w:lvlText w:val="o"/>
      <w:lvlJc w:val="left"/>
      <w:pPr>
        <w:tabs>
          <w:tab w:val="num" w:pos="1440"/>
        </w:tabs>
        <w:ind w:left="1440" w:hanging="360"/>
      </w:pPr>
      <w:rPr>
        <w:rFonts w:ascii="Courier New" w:hAnsi="Courier New" w:hint="default"/>
        <w:sz w:val="20"/>
      </w:rPr>
    </w:lvl>
    <w:lvl w:ilvl="2" w:tplc="E5CA2034" w:tentative="1">
      <w:start w:val="1"/>
      <w:numFmt w:val="bullet"/>
      <w:lvlText w:val=""/>
      <w:lvlJc w:val="left"/>
      <w:pPr>
        <w:tabs>
          <w:tab w:val="num" w:pos="2160"/>
        </w:tabs>
        <w:ind w:left="2160" w:hanging="360"/>
      </w:pPr>
      <w:rPr>
        <w:rFonts w:ascii="Wingdings" w:hAnsi="Wingdings" w:hint="default"/>
        <w:sz w:val="20"/>
      </w:rPr>
    </w:lvl>
    <w:lvl w:ilvl="3" w:tplc="CF241B70" w:tentative="1">
      <w:start w:val="1"/>
      <w:numFmt w:val="bullet"/>
      <w:lvlText w:val=""/>
      <w:lvlJc w:val="left"/>
      <w:pPr>
        <w:tabs>
          <w:tab w:val="num" w:pos="2880"/>
        </w:tabs>
        <w:ind w:left="2880" w:hanging="360"/>
      </w:pPr>
      <w:rPr>
        <w:rFonts w:ascii="Wingdings" w:hAnsi="Wingdings" w:hint="default"/>
        <w:sz w:val="20"/>
      </w:rPr>
    </w:lvl>
    <w:lvl w:ilvl="4" w:tplc="EE0CD040" w:tentative="1">
      <w:start w:val="1"/>
      <w:numFmt w:val="bullet"/>
      <w:lvlText w:val=""/>
      <w:lvlJc w:val="left"/>
      <w:pPr>
        <w:tabs>
          <w:tab w:val="num" w:pos="3600"/>
        </w:tabs>
        <w:ind w:left="3600" w:hanging="360"/>
      </w:pPr>
      <w:rPr>
        <w:rFonts w:ascii="Wingdings" w:hAnsi="Wingdings" w:hint="default"/>
        <w:sz w:val="20"/>
      </w:rPr>
    </w:lvl>
    <w:lvl w:ilvl="5" w:tplc="E3DAA164" w:tentative="1">
      <w:start w:val="1"/>
      <w:numFmt w:val="bullet"/>
      <w:lvlText w:val=""/>
      <w:lvlJc w:val="left"/>
      <w:pPr>
        <w:tabs>
          <w:tab w:val="num" w:pos="4320"/>
        </w:tabs>
        <w:ind w:left="4320" w:hanging="360"/>
      </w:pPr>
      <w:rPr>
        <w:rFonts w:ascii="Wingdings" w:hAnsi="Wingdings" w:hint="default"/>
        <w:sz w:val="20"/>
      </w:rPr>
    </w:lvl>
    <w:lvl w:ilvl="6" w:tplc="E7AC38FC" w:tentative="1">
      <w:start w:val="1"/>
      <w:numFmt w:val="bullet"/>
      <w:lvlText w:val=""/>
      <w:lvlJc w:val="left"/>
      <w:pPr>
        <w:tabs>
          <w:tab w:val="num" w:pos="5040"/>
        </w:tabs>
        <w:ind w:left="5040" w:hanging="360"/>
      </w:pPr>
      <w:rPr>
        <w:rFonts w:ascii="Wingdings" w:hAnsi="Wingdings" w:hint="default"/>
        <w:sz w:val="20"/>
      </w:rPr>
    </w:lvl>
    <w:lvl w:ilvl="7" w:tplc="6BD89A3A" w:tentative="1">
      <w:start w:val="1"/>
      <w:numFmt w:val="bullet"/>
      <w:lvlText w:val=""/>
      <w:lvlJc w:val="left"/>
      <w:pPr>
        <w:tabs>
          <w:tab w:val="num" w:pos="5760"/>
        </w:tabs>
        <w:ind w:left="5760" w:hanging="360"/>
      </w:pPr>
      <w:rPr>
        <w:rFonts w:ascii="Wingdings" w:hAnsi="Wingdings" w:hint="default"/>
        <w:sz w:val="20"/>
      </w:rPr>
    </w:lvl>
    <w:lvl w:ilvl="8" w:tplc="246CB840" w:tentative="1">
      <w:start w:val="1"/>
      <w:numFmt w:val="bullet"/>
      <w:lvlText w:val=""/>
      <w:lvlJc w:val="left"/>
      <w:pPr>
        <w:tabs>
          <w:tab w:val="num" w:pos="6480"/>
        </w:tabs>
        <w:ind w:left="6480" w:hanging="360"/>
      </w:pPr>
      <w:rPr>
        <w:rFonts w:ascii="Wingdings" w:hAnsi="Wingdings" w:hint="default"/>
        <w:sz w:val="20"/>
      </w:rPr>
    </w:lvl>
  </w:abstractNum>
  <w:abstractNum w:abstractNumId="374">
    <w:nsid w:val="2C8401DD"/>
    <w:multiLevelType w:val="hybridMultilevel"/>
    <w:tmpl w:val="BE067348"/>
    <w:lvl w:ilvl="0" w:tplc="0F9895FE">
      <w:start w:val="1"/>
      <w:numFmt w:val="bullet"/>
      <w:lvlText w:val=""/>
      <w:lvlJc w:val="left"/>
      <w:pPr>
        <w:ind w:left="1080" w:hanging="360"/>
      </w:pPr>
      <w:rPr>
        <w:rFonts w:ascii="Wingdings" w:hAnsi="Wingdings" w:cs="Wingdings" w:hint="default"/>
        <w:color w:val="auto"/>
        <w:sz w:val="20"/>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75">
    <w:nsid w:val="2CCA0713"/>
    <w:multiLevelType w:val="hybridMultilevel"/>
    <w:tmpl w:val="4E080976"/>
    <w:lvl w:ilvl="0" w:tplc="0D7CBF60">
      <w:start w:val="1"/>
      <w:numFmt w:val="decimal"/>
      <w:lvlText w:val="K5.6.%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6">
    <w:nsid w:val="2D5E3D4B"/>
    <w:multiLevelType w:val="hybridMultilevel"/>
    <w:tmpl w:val="56402576"/>
    <w:lvl w:ilvl="0" w:tplc="6CA43014">
      <w:start w:val="111"/>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77">
    <w:nsid w:val="2DF07FC0"/>
    <w:multiLevelType w:val="hybridMultilevel"/>
    <w:tmpl w:val="99E2FF2C"/>
    <w:lvl w:ilvl="0" w:tplc="3BA23654">
      <w:start w:val="1"/>
      <w:numFmt w:val="bullet"/>
      <w:lvlText w:val="-"/>
      <w:lvlJc w:val="left"/>
      <w:pPr>
        <w:ind w:left="720" w:hanging="360"/>
      </w:pPr>
      <w:rPr>
        <w:rFonts w:ascii="Verdana" w:hAnsi="Verdana"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78">
    <w:nsid w:val="2E411D16"/>
    <w:multiLevelType w:val="hybridMultilevel"/>
    <w:tmpl w:val="2A7088F0"/>
    <w:lvl w:ilvl="0" w:tplc="6CA43014">
      <w:start w:val="16"/>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9">
    <w:nsid w:val="2E5B127E"/>
    <w:multiLevelType w:val="hybridMultilevel"/>
    <w:tmpl w:val="062AD154"/>
    <w:lvl w:ilvl="0" w:tplc="1DB0575A">
      <w:start w:val="1"/>
      <w:numFmt w:val="bullet"/>
      <w:lvlText w:val=""/>
      <w:lvlJc w:val="left"/>
      <w:pPr>
        <w:ind w:left="720" w:hanging="360"/>
      </w:pPr>
      <w:rPr>
        <w:rFonts w:ascii="Wingdings" w:hAnsi="Wingdings" w:hint="default"/>
        <w:sz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0">
    <w:nsid w:val="2E6A637D"/>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1">
    <w:nsid w:val="2EB20F00"/>
    <w:multiLevelType w:val="hybridMultilevel"/>
    <w:tmpl w:val="5EBA854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2">
    <w:nsid w:val="2EBA461C"/>
    <w:multiLevelType w:val="hybridMultilevel"/>
    <w:tmpl w:val="7020DC24"/>
    <w:lvl w:ilvl="0" w:tplc="17F20BAE">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83">
    <w:nsid w:val="2EBE75DB"/>
    <w:multiLevelType w:val="hybridMultilevel"/>
    <w:tmpl w:val="673ABC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4">
    <w:nsid w:val="2EC456E2"/>
    <w:multiLevelType w:val="hybridMultilevel"/>
    <w:tmpl w:val="BFF81272"/>
    <w:lvl w:ilvl="0" w:tplc="921E1AC6">
      <w:start w:val="1"/>
      <w:numFmt w:val="decimal"/>
      <w:lvlText w:val="K5.5.%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5">
    <w:nsid w:val="2EF23CD9"/>
    <w:multiLevelType w:val="hybridMultilevel"/>
    <w:tmpl w:val="0A3A9EB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6">
    <w:nsid w:val="2EF523E3"/>
    <w:multiLevelType w:val="hybridMultilevel"/>
    <w:tmpl w:val="C508620E"/>
    <w:lvl w:ilvl="0" w:tplc="1A42AEDA">
      <w:start w:val="1"/>
      <w:numFmt w:val="bullet"/>
      <w:lvlText w:val=""/>
      <w:lvlJc w:val="left"/>
      <w:pPr>
        <w:tabs>
          <w:tab w:val="num" w:pos="720"/>
        </w:tabs>
        <w:ind w:left="720" w:hanging="360"/>
      </w:pPr>
      <w:rPr>
        <w:rFonts w:ascii="Symbol" w:hAnsi="Symbol" w:hint="default"/>
        <w:sz w:val="20"/>
      </w:rPr>
    </w:lvl>
    <w:lvl w:ilvl="1" w:tplc="759411E2" w:tentative="1">
      <w:start w:val="1"/>
      <w:numFmt w:val="bullet"/>
      <w:lvlText w:val="o"/>
      <w:lvlJc w:val="left"/>
      <w:pPr>
        <w:tabs>
          <w:tab w:val="num" w:pos="1440"/>
        </w:tabs>
        <w:ind w:left="1440" w:hanging="360"/>
      </w:pPr>
      <w:rPr>
        <w:rFonts w:ascii="Courier New" w:hAnsi="Courier New" w:hint="default"/>
        <w:sz w:val="20"/>
      </w:rPr>
    </w:lvl>
    <w:lvl w:ilvl="2" w:tplc="60F0573C" w:tentative="1">
      <w:start w:val="1"/>
      <w:numFmt w:val="bullet"/>
      <w:lvlText w:val=""/>
      <w:lvlJc w:val="left"/>
      <w:pPr>
        <w:tabs>
          <w:tab w:val="num" w:pos="2160"/>
        </w:tabs>
        <w:ind w:left="2160" w:hanging="360"/>
      </w:pPr>
      <w:rPr>
        <w:rFonts w:ascii="Wingdings" w:hAnsi="Wingdings" w:hint="default"/>
        <w:sz w:val="20"/>
      </w:rPr>
    </w:lvl>
    <w:lvl w:ilvl="3" w:tplc="0EAE8FD2" w:tentative="1">
      <w:start w:val="1"/>
      <w:numFmt w:val="bullet"/>
      <w:lvlText w:val=""/>
      <w:lvlJc w:val="left"/>
      <w:pPr>
        <w:tabs>
          <w:tab w:val="num" w:pos="2880"/>
        </w:tabs>
        <w:ind w:left="2880" w:hanging="360"/>
      </w:pPr>
      <w:rPr>
        <w:rFonts w:ascii="Wingdings" w:hAnsi="Wingdings" w:hint="default"/>
        <w:sz w:val="20"/>
      </w:rPr>
    </w:lvl>
    <w:lvl w:ilvl="4" w:tplc="F75E8B7C" w:tentative="1">
      <w:start w:val="1"/>
      <w:numFmt w:val="bullet"/>
      <w:lvlText w:val=""/>
      <w:lvlJc w:val="left"/>
      <w:pPr>
        <w:tabs>
          <w:tab w:val="num" w:pos="3600"/>
        </w:tabs>
        <w:ind w:left="3600" w:hanging="360"/>
      </w:pPr>
      <w:rPr>
        <w:rFonts w:ascii="Wingdings" w:hAnsi="Wingdings" w:hint="default"/>
        <w:sz w:val="20"/>
      </w:rPr>
    </w:lvl>
    <w:lvl w:ilvl="5" w:tplc="B8344782" w:tentative="1">
      <w:start w:val="1"/>
      <w:numFmt w:val="bullet"/>
      <w:lvlText w:val=""/>
      <w:lvlJc w:val="left"/>
      <w:pPr>
        <w:tabs>
          <w:tab w:val="num" w:pos="4320"/>
        </w:tabs>
        <w:ind w:left="4320" w:hanging="360"/>
      </w:pPr>
      <w:rPr>
        <w:rFonts w:ascii="Wingdings" w:hAnsi="Wingdings" w:hint="default"/>
        <w:sz w:val="20"/>
      </w:rPr>
    </w:lvl>
    <w:lvl w:ilvl="6" w:tplc="CB6466C4" w:tentative="1">
      <w:start w:val="1"/>
      <w:numFmt w:val="bullet"/>
      <w:lvlText w:val=""/>
      <w:lvlJc w:val="left"/>
      <w:pPr>
        <w:tabs>
          <w:tab w:val="num" w:pos="5040"/>
        </w:tabs>
        <w:ind w:left="5040" w:hanging="360"/>
      </w:pPr>
      <w:rPr>
        <w:rFonts w:ascii="Wingdings" w:hAnsi="Wingdings" w:hint="default"/>
        <w:sz w:val="20"/>
      </w:rPr>
    </w:lvl>
    <w:lvl w:ilvl="7" w:tplc="D5385300" w:tentative="1">
      <w:start w:val="1"/>
      <w:numFmt w:val="bullet"/>
      <w:lvlText w:val=""/>
      <w:lvlJc w:val="left"/>
      <w:pPr>
        <w:tabs>
          <w:tab w:val="num" w:pos="5760"/>
        </w:tabs>
        <w:ind w:left="5760" w:hanging="360"/>
      </w:pPr>
      <w:rPr>
        <w:rFonts w:ascii="Wingdings" w:hAnsi="Wingdings" w:hint="default"/>
        <w:sz w:val="20"/>
      </w:rPr>
    </w:lvl>
    <w:lvl w:ilvl="8" w:tplc="97565044" w:tentative="1">
      <w:start w:val="1"/>
      <w:numFmt w:val="bullet"/>
      <w:lvlText w:val=""/>
      <w:lvlJc w:val="left"/>
      <w:pPr>
        <w:tabs>
          <w:tab w:val="num" w:pos="6480"/>
        </w:tabs>
        <w:ind w:left="6480" w:hanging="360"/>
      </w:pPr>
      <w:rPr>
        <w:rFonts w:ascii="Wingdings" w:hAnsi="Wingdings" w:hint="default"/>
        <w:sz w:val="20"/>
      </w:rPr>
    </w:lvl>
  </w:abstractNum>
  <w:abstractNum w:abstractNumId="387">
    <w:nsid w:val="2EF6436E"/>
    <w:multiLevelType w:val="hybridMultilevel"/>
    <w:tmpl w:val="1AC099CE"/>
    <w:lvl w:ilvl="0" w:tplc="D6A656B6">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8">
    <w:nsid w:val="2EFD4EBC"/>
    <w:multiLevelType w:val="hybridMultilevel"/>
    <w:tmpl w:val="A5DEBF42"/>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9">
    <w:nsid w:val="2F115DDD"/>
    <w:multiLevelType w:val="hybridMultilevel"/>
    <w:tmpl w:val="7F1E0FD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0">
    <w:nsid w:val="2F2F6790"/>
    <w:multiLevelType w:val="hybridMultilevel"/>
    <w:tmpl w:val="CE66C54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1">
    <w:nsid w:val="2F824A83"/>
    <w:multiLevelType w:val="hybridMultilevel"/>
    <w:tmpl w:val="A750315C"/>
    <w:lvl w:ilvl="0" w:tplc="D6A656B6">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2">
    <w:nsid w:val="2FE77DAF"/>
    <w:multiLevelType w:val="hybridMultilevel"/>
    <w:tmpl w:val="FC3C1D68"/>
    <w:lvl w:ilvl="0" w:tplc="645A4640">
      <w:start w:val="1"/>
      <w:numFmt w:val="decimal"/>
      <w:lvlText w:val="%1."/>
      <w:lvlJc w:val="left"/>
      <w:pPr>
        <w:tabs>
          <w:tab w:val="num" w:pos="720"/>
        </w:tabs>
        <w:ind w:left="720" w:hanging="360"/>
      </w:pPr>
    </w:lvl>
    <w:lvl w:ilvl="1" w:tplc="9888247C" w:tentative="1">
      <w:start w:val="1"/>
      <w:numFmt w:val="decimal"/>
      <w:lvlText w:val="%2."/>
      <w:lvlJc w:val="left"/>
      <w:pPr>
        <w:tabs>
          <w:tab w:val="num" w:pos="1440"/>
        </w:tabs>
        <w:ind w:left="1440" w:hanging="360"/>
      </w:pPr>
    </w:lvl>
    <w:lvl w:ilvl="2" w:tplc="2C401DEA" w:tentative="1">
      <w:start w:val="1"/>
      <w:numFmt w:val="decimal"/>
      <w:lvlText w:val="%3."/>
      <w:lvlJc w:val="left"/>
      <w:pPr>
        <w:tabs>
          <w:tab w:val="num" w:pos="2160"/>
        </w:tabs>
        <w:ind w:left="2160" w:hanging="360"/>
      </w:pPr>
    </w:lvl>
    <w:lvl w:ilvl="3" w:tplc="124C4FDE" w:tentative="1">
      <w:start w:val="1"/>
      <w:numFmt w:val="decimal"/>
      <w:lvlText w:val="%4."/>
      <w:lvlJc w:val="left"/>
      <w:pPr>
        <w:tabs>
          <w:tab w:val="num" w:pos="2880"/>
        </w:tabs>
        <w:ind w:left="2880" w:hanging="360"/>
      </w:pPr>
    </w:lvl>
    <w:lvl w:ilvl="4" w:tplc="664C125C" w:tentative="1">
      <w:start w:val="1"/>
      <w:numFmt w:val="decimal"/>
      <w:lvlText w:val="%5."/>
      <w:lvlJc w:val="left"/>
      <w:pPr>
        <w:tabs>
          <w:tab w:val="num" w:pos="3600"/>
        </w:tabs>
        <w:ind w:left="3600" w:hanging="360"/>
      </w:pPr>
    </w:lvl>
    <w:lvl w:ilvl="5" w:tplc="D3226A0C" w:tentative="1">
      <w:start w:val="1"/>
      <w:numFmt w:val="decimal"/>
      <w:lvlText w:val="%6."/>
      <w:lvlJc w:val="left"/>
      <w:pPr>
        <w:tabs>
          <w:tab w:val="num" w:pos="4320"/>
        </w:tabs>
        <w:ind w:left="4320" w:hanging="360"/>
      </w:pPr>
    </w:lvl>
    <w:lvl w:ilvl="6" w:tplc="CA6E6D08" w:tentative="1">
      <w:start w:val="1"/>
      <w:numFmt w:val="decimal"/>
      <w:lvlText w:val="%7."/>
      <w:lvlJc w:val="left"/>
      <w:pPr>
        <w:tabs>
          <w:tab w:val="num" w:pos="5040"/>
        </w:tabs>
        <w:ind w:left="5040" w:hanging="360"/>
      </w:pPr>
    </w:lvl>
    <w:lvl w:ilvl="7" w:tplc="2FD686BE" w:tentative="1">
      <w:start w:val="1"/>
      <w:numFmt w:val="decimal"/>
      <w:lvlText w:val="%8."/>
      <w:lvlJc w:val="left"/>
      <w:pPr>
        <w:tabs>
          <w:tab w:val="num" w:pos="5760"/>
        </w:tabs>
        <w:ind w:left="5760" w:hanging="360"/>
      </w:pPr>
    </w:lvl>
    <w:lvl w:ilvl="8" w:tplc="91CE3008" w:tentative="1">
      <w:start w:val="1"/>
      <w:numFmt w:val="decimal"/>
      <w:lvlText w:val="%9."/>
      <w:lvlJc w:val="left"/>
      <w:pPr>
        <w:tabs>
          <w:tab w:val="num" w:pos="6480"/>
        </w:tabs>
        <w:ind w:left="6480" w:hanging="360"/>
      </w:pPr>
    </w:lvl>
  </w:abstractNum>
  <w:abstractNum w:abstractNumId="393">
    <w:nsid w:val="3017321E"/>
    <w:multiLevelType w:val="hybridMultilevel"/>
    <w:tmpl w:val="BD0E71E0"/>
    <w:lvl w:ilvl="0" w:tplc="295C3512">
      <w:start w:val="1"/>
      <w:numFmt w:val="decimal"/>
      <w:lvlText w:val="C5.%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4">
    <w:nsid w:val="30240BB0"/>
    <w:multiLevelType w:val="hybridMultilevel"/>
    <w:tmpl w:val="5F665BCA"/>
    <w:lvl w:ilvl="0" w:tplc="EB9A27AC">
      <w:start w:val="1"/>
      <w:numFmt w:val="decimal"/>
      <w:lvlText w:val="%1."/>
      <w:lvlJc w:val="left"/>
      <w:pPr>
        <w:ind w:left="720" w:hanging="360"/>
      </w:pPr>
      <w:rPr>
        <w:rFonts w:ascii="Calibri" w:hAnsi="Calibri" w:cs="Calibri" w:hint="default"/>
      </w:rPr>
    </w:lvl>
    <w:lvl w:ilvl="1" w:tplc="D278DD70">
      <w:start w:val="1"/>
      <w:numFmt w:val="decimal"/>
      <w:lvlText w:val="%2)"/>
      <w:lvlJc w:val="left"/>
      <w:pPr>
        <w:ind w:left="1440" w:hanging="360"/>
      </w:pPr>
      <w:rPr>
        <w:rFonts w:ascii="Calibri" w:hAnsi="Calibri" w:cs="Times New Roman" w:hint="default"/>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395">
    <w:nsid w:val="304A4560"/>
    <w:multiLevelType w:val="hybridMultilevel"/>
    <w:tmpl w:val="795402CA"/>
    <w:lvl w:ilvl="0" w:tplc="3BA23654">
      <w:start w:val="1"/>
      <w:numFmt w:val="bullet"/>
      <w:lvlText w:val="-"/>
      <w:lvlJc w:val="left"/>
      <w:pPr>
        <w:ind w:left="720" w:hanging="360"/>
      </w:pPr>
      <w:rPr>
        <w:rFonts w:ascii="Verdana" w:hAnsi="Verdana"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96">
    <w:nsid w:val="30613811"/>
    <w:multiLevelType w:val="hybridMultilevel"/>
    <w:tmpl w:val="94283482"/>
    <w:lvl w:ilvl="0" w:tplc="355C57C4">
      <w:start w:val="1"/>
      <w:numFmt w:val="decimal"/>
      <w:lvlText w:val="C2.K%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97">
    <w:nsid w:val="309464E4"/>
    <w:multiLevelType w:val="hybridMultilevel"/>
    <w:tmpl w:val="9AA64354"/>
    <w:lvl w:ilvl="0" w:tplc="D6A656B6">
      <w:numFmt w:val="bullet"/>
      <w:lvlText w:val="-"/>
      <w:lvlJc w:val="left"/>
      <w:pPr>
        <w:ind w:left="1068" w:hanging="360"/>
      </w:pPr>
      <w:rPr>
        <w:rFonts w:ascii="Times New Roman" w:eastAsia="Times New Roman" w:hAnsi="Times New Roman" w:cs="Times New Roman"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98">
    <w:nsid w:val="30C067BD"/>
    <w:multiLevelType w:val="hybridMultilevel"/>
    <w:tmpl w:val="200E34B6"/>
    <w:lvl w:ilvl="0" w:tplc="04150005">
      <w:start w:val="1"/>
      <w:numFmt w:val="bullet"/>
      <w:lvlText w:val=""/>
      <w:lvlJc w:val="left"/>
      <w:pPr>
        <w:tabs>
          <w:tab w:val="num" w:pos="720"/>
        </w:tabs>
        <w:ind w:left="720" w:hanging="360"/>
      </w:pPr>
      <w:rPr>
        <w:rFonts w:ascii="Wingdings" w:hAnsi="Wingdings" w:hint="default"/>
        <w:sz w:val="20"/>
      </w:rPr>
    </w:lvl>
    <w:lvl w:ilvl="1" w:tplc="B0682C8E" w:tentative="1">
      <w:start w:val="1"/>
      <w:numFmt w:val="bullet"/>
      <w:lvlText w:val="o"/>
      <w:lvlJc w:val="left"/>
      <w:pPr>
        <w:tabs>
          <w:tab w:val="num" w:pos="1440"/>
        </w:tabs>
        <w:ind w:left="1440" w:hanging="360"/>
      </w:pPr>
      <w:rPr>
        <w:rFonts w:ascii="Courier New" w:hAnsi="Courier New" w:hint="default"/>
        <w:sz w:val="20"/>
      </w:rPr>
    </w:lvl>
    <w:lvl w:ilvl="2" w:tplc="90FA55DE" w:tentative="1">
      <w:start w:val="1"/>
      <w:numFmt w:val="bullet"/>
      <w:lvlText w:val=""/>
      <w:lvlJc w:val="left"/>
      <w:pPr>
        <w:tabs>
          <w:tab w:val="num" w:pos="2160"/>
        </w:tabs>
        <w:ind w:left="2160" w:hanging="360"/>
      </w:pPr>
      <w:rPr>
        <w:rFonts w:ascii="Wingdings" w:hAnsi="Wingdings" w:hint="default"/>
        <w:sz w:val="20"/>
      </w:rPr>
    </w:lvl>
    <w:lvl w:ilvl="3" w:tplc="A2528F1A" w:tentative="1">
      <w:start w:val="1"/>
      <w:numFmt w:val="bullet"/>
      <w:lvlText w:val=""/>
      <w:lvlJc w:val="left"/>
      <w:pPr>
        <w:tabs>
          <w:tab w:val="num" w:pos="2880"/>
        </w:tabs>
        <w:ind w:left="2880" w:hanging="360"/>
      </w:pPr>
      <w:rPr>
        <w:rFonts w:ascii="Wingdings" w:hAnsi="Wingdings" w:hint="default"/>
        <w:sz w:val="20"/>
      </w:rPr>
    </w:lvl>
    <w:lvl w:ilvl="4" w:tplc="48181884" w:tentative="1">
      <w:start w:val="1"/>
      <w:numFmt w:val="bullet"/>
      <w:lvlText w:val=""/>
      <w:lvlJc w:val="left"/>
      <w:pPr>
        <w:tabs>
          <w:tab w:val="num" w:pos="3600"/>
        </w:tabs>
        <w:ind w:left="3600" w:hanging="360"/>
      </w:pPr>
      <w:rPr>
        <w:rFonts w:ascii="Wingdings" w:hAnsi="Wingdings" w:hint="default"/>
        <w:sz w:val="20"/>
      </w:rPr>
    </w:lvl>
    <w:lvl w:ilvl="5" w:tplc="C358C118" w:tentative="1">
      <w:start w:val="1"/>
      <w:numFmt w:val="bullet"/>
      <w:lvlText w:val=""/>
      <w:lvlJc w:val="left"/>
      <w:pPr>
        <w:tabs>
          <w:tab w:val="num" w:pos="4320"/>
        </w:tabs>
        <w:ind w:left="4320" w:hanging="360"/>
      </w:pPr>
      <w:rPr>
        <w:rFonts w:ascii="Wingdings" w:hAnsi="Wingdings" w:hint="default"/>
        <w:sz w:val="20"/>
      </w:rPr>
    </w:lvl>
    <w:lvl w:ilvl="6" w:tplc="5CF6C082" w:tentative="1">
      <w:start w:val="1"/>
      <w:numFmt w:val="bullet"/>
      <w:lvlText w:val=""/>
      <w:lvlJc w:val="left"/>
      <w:pPr>
        <w:tabs>
          <w:tab w:val="num" w:pos="5040"/>
        </w:tabs>
        <w:ind w:left="5040" w:hanging="360"/>
      </w:pPr>
      <w:rPr>
        <w:rFonts w:ascii="Wingdings" w:hAnsi="Wingdings" w:hint="default"/>
        <w:sz w:val="20"/>
      </w:rPr>
    </w:lvl>
    <w:lvl w:ilvl="7" w:tplc="AD96FA74" w:tentative="1">
      <w:start w:val="1"/>
      <w:numFmt w:val="bullet"/>
      <w:lvlText w:val=""/>
      <w:lvlJc w:val="left"/>
      <w:pPr>
        <w:tabs>
          <w:tab w:val="num" w:pos="5760"/>
        </w:tabs>
        <w:ind w:left="5760" w:hanging="360"/>
      </w:pPr>
      <w:rPr>
        <w:rFonts w:ascii="Wingdings" w:hAnsi="Wingdings" w:hint="default"/>
        <w:sz w:val="20"/>
      </w:rPr>
    </w:lvl>
    <w:lvl w:ilvl="8" w:tplc="EE586538" w:tentative="1">
      <w:start w:val="1"/>
      <w:numFmt w:val="bullet"/>
      <w:lvlText w:val=""/>
      <w:lvlJc w:val="left"/>
      <w:pPr>
        <w:tabs>
          <w:tab w:val="num" w:pos="6480"/>
        </w:tabs>
        <w:ind w:left="6480" w:hanging="360"/>
      </w:pPr>
      <w:rPr>
        <w:rFonts w:ascii="Wingdings" w:hAnsi="Wingdings" w:hint="default"/>
        <w:sz w:val="20"/>
      </w:rPr>
    </w:lvl>
  </w:abstractNum>
  <w:abstractNum w:abstractNumId="399">
    <w:nsid w:val="30C2437A"/>
    <w:multiLevelType w:val="hybridMultilevel"/>
    <w:tmpl w:val="0658BC72"/>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0">
    <w:nsid w:val="30C829DC"/>
    <w:multiLevelType w:val="hybridMultilevel"/>
    <w:tmpl w:val="910295DA"/>
    <w:lvl w:ilvl="0" w:tplc="04150005">
      <w:start w:val="1"/>
      <w:numFmt w:val="bullet"/>
      <w:lvlText w:val=""/>
      <w:lvlJc w:val="left"/>
      <w:pPr>
        <w:tabs>
          <w:tab w:val="num" w:pos="720"/>
        </w:tabs>
        <w:ind w:left="720" w:hanging="360"/>
      </w:pPr>
      <w:rPr>
        <w:rFonts w:ascii="Wingdings" w:hAnsi="Wingdings" w:hint="default"/>
        <w:sz w:val="20"/>
      </w:rPr>
    </w:lvl>
    <w:lvl w:ilvl="1" w:tplc="3C4E03AE" w:tentative="1">
      <w:start w:val="1"/>
      <w:numFmt w:val="bullet"/>
      <w:lvlText w:val="o"/>
      <w:lvlJc w:val="left"/>
      <w:pPr>
        <w:tabs>
          <w:tab w:val="num" w:pos="1440"/>
        </w:tabs>
        <w:ind w:left="1440" w:hanging="360"/>
      </w:pPr>
      <w:rPr>
        <w:rFonts w:ascii="Courier New" w:hAnsi="Courier New" w:hint="default"/>
        <w:sz w:val="20"/>
      </w:rPr>
    </w:lvl>
    <w:lvl w:ilvl="2" w:tplc="A6742C08" w:tentative="1">
      <w:start w:val="1"/>
      <w:numFmt w:val="bullet"/>
      <w:lvlText w:val=""/>
      <w:lvlJc w:val="left"/>
      <w:pPr>
        <w:tabs>
          <w:tab w:val="num" w:pos="2160"/>
        </w:tabs>
        <w:ind w:left="2160" w:hanging="360"/>
      </w:pPr>
      <w:rPr>
        <w:rFonts w:ascii="Wingdings" w:hAnsi="Wingdings" w:hint="default"/>
        <w:sz w:val="20"/>
      </w:rPr>
    </w:lvl>
    <w:lvl w:ilvl="3" w:tplc="72F6E2EE" w:tentative="1">
      <w:start w:val="1"/>
      <w:numFmt w:val="bullet"/>
      <w:lvlText w:val=""/>
      <w:lvlJc w:val="left"/>
      <w:pPr>
        <w:tabs>
          <w:tab w:val="num" w:pos="2880"/>
        </w:tabs>
        <w:ind w:left="2880" w:hanging="360"/>
      </w:pPr>
      <w:rPr>
        <w:rFonts w:ascii="Wingdings" w:hAnsi="Wingdings" w:hint="default"/>
        <w:sz w:val="20"/>
      </w:rPr>
    </w:lvl>
    <w:lvl w:ilvl="4" w:tplc="56D49230" w:tentative="1">
      <w:start w:val="1"/>
      <w:numFmt w:val="bullet"/>
      <w:lvlText w:val=""/>
      <w:lvlJc w:val="left"/>
      <w:pPr>
        <w:tabs>
          <w:tab w:val="num" w:pos="3600"/>
        </w:tabs>
        <w:ind w:left="3600" w:hanging="360"/>
      </w:pPr>
      <w:rPr>
        <w:rFonts w:ascii="Wingdings" w:hAnsi="Wingdings" w:hint="default"/>
        <w:sz w:val="20"/>
      </w:rPr>
    </w:lvl>
    <w:lvl w:ilvl="5" w:tplc="B31CADCE" w:tentative="1">
      <w:start w:val="1"/>
      <w:numFmt w:val="bullet"/>
      <w:lvlText w:val=""/>
      <w:lvlJc w:val="left"/>
      <w:pPr>
        <w:tabs>
          <w:tab w:val="num" w:pos="4320"/>
        </w:tabs>
        <w:ind w:left="4320" w:hanging="360"/>
      </w:pPr>
      <w:rPr>
        <w:rFonts w:ascii="Wingdings" w:hAnsi="Wingdings" w:hint="default"/>
        <w:sz w:val="20"/>
      </w:rPr>
    </w:lvl>
    <w:lvl w:ilvl="6" w:tplc="51DA9AE8" w:tentative="1">
      <w:start w:val="1"/>
      <w:numFmt w:val="bullet"/>
      <w:lvlText w:val=""/>
      <w:lvlJc w:val="left"/>
      <w:pPr>
        <w:tabs>
          <w:tab w:val="num" w:pos="5040"/>
        </w:tabs>
        <w:ind w:left="5040" w:hanging="360"/>
      </w:pPr>
      <w:rPr>
        <w:rFonts w:ascii="Wingdings" w:hAnsi="Wingdings" w:hint="default"/>
        <w:sz w:val="20"/>
      </w:rPr>
    </w:lvl>
    <w:lvl w:ilvl="7" w:tplc="4D120DF6" w:tentative="1">
      <w:start w:val="1"/>
      <w:numFmt w:val="bullet"/>
      <w:lvlText w:val=""/>
      <w:lvlJc w:val="left"/>
      <w:pPr>
        <w:tabs>
          <w:tab w:val="num" w:pos="5760"/>
        </w:tabs>
        <w:ind w:left="5760" w:hanging="360"/>
      </w:pPr>
      <w:rPr>
        <w:rFonts w:ascii="Wingdings" w:hAnsi="Wingdings" w:hint="default"/>
        <w:sz w:val="20"/>
      </w:rPr>
    </w:lvl>
    <w:lvl w:ilvl="8" w:tplc="F86834AA" w:tentative="1">
      <w:start w:val="1"/>
      <w:numFmt w:val="bullet"/>
      <w:lvlText w:val=""/>
      <w:lvlJc w:val="left"/>
      <w:pPr>
        <w:tabs>
          <w:tab w:val="num" w:pos="6480"/>
        </w:tabs>
        <w:ind w:left="6480" w:hanging="360"/>
      </w:pPr>
      <w:rPr>
        <w:rFonts w:ascii="Wingdings" w:hAnsi="Wingdings" w:hint="default"/>
        <w:sz w:val="20"/>
      </w:rPr>
    </w:lvl>
  </w:abstractNum>
  <w:abstractNum w:abstractNumId="401">
    <w:nsid w:val="30E56E9B"/>
    <w:multiLevelType w:val="hybridMultilevel"/>
    <w:tmpl w:val="00007694"/>
    <w:name w:val="WW8Num2122"/>
    <w:lvl w:ilvl="0" w:tplc="6CA43014">
      <w:start w:val="16"/>
      <w:numFmt w:val="bullet"/>
      <w:lvlText w:val="-"/>
      <w:lvlJc w:val="left"/>
      <w:pPr>
        <w:ind w:left="720" w:hanging="360"/>
      </w:pPr>
      <w:rPr>
        <w:rFonts w:ascii="Times New Roman" w:eastAsia="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2">
    <w:nsid w:val="31153117"/>
    <w:multiLevelType w:val="hybridMultilevel"/>
    <w:tmpl w:val="D4A2FD90"/>
    <w:lvl w:ilvl="0" w:tplc="D6A656B6">
      <w:numFmt w:val="bullet"/>
      <w:lvlText w:val="-"/>
      <w:lvlJc w:val="left"/>
      <w:pPr>
        <w:tabs>
          <w:tab w:val="num" w:pos="720"/>
        </w:tabs>
        <w:ind w:left="720" w:hanging="360"/>
      </w:pPr>
      <w:rPr>
        <w:rFonts w:ascii="Times New Roman" w:eastAsia="Times New Roman" w:hAnsi="Times New Roman" w:cs="Times New Roman" w:hint="default"/>
        <w:sz w:val="20"/>
      </w:rPr>
    </w:lvl>
    <w:lvl w:ilvl="1" w:tplc="184A2D1C" w:tentative="1">
      <w:start w:val="1"/>
      <w:numFmt w:val="bullet"/>
      <w:lvlText w:val="o"/>
      <w:lvlJc w:val="left"/>
      <w:pPr>
        <w:tabs>
          <w:tab w:val="num" w:pos="1440"/>
        </w:tabs>
        <w:ind w:left="1440" w:hanging="360"/>
      </w:pPr>
      <w:rPr>
        <w:rFonts w:ascii="Courier New" w:hAnsi="Courier New" w:hint="default"/>
        <w:sz w:val="20"/>
      </w:rPr>
    </w:lvl>
    <w:lvl w:ilvl="2" w:tplc="DA4EA56A" w:tentative="1">
      <w:start w:val="1"/>
      <w:numFmt w:val="bullet"/>
      <w:lvlText w:val=""/>
      <w:lvlJc w:val="left"/>
      <w:pPr>
        <w:tabs>
          <w:tab w:val="num" w:pos="2160"/>
        </w:tabs>
        <w:ind w:left="2160" w:hanging="360"/>
      </w:pPr>
      <w:rPr>
        <w:rFonts w:ascii="Wingdings" w:hAnsi="Wingdings" w:hint="default"/>
        <w:sz w:val="20"/>
      </w:rPr>
    </w:lvl>
    <w:lvl w:ilvl="3" w:tplc="7AF45096" w:tentative="1">
      <w:start w:val="1"/>
      <w:numFmt w:val="bullet"/>
      <w:lvlText w:val=""/>
      <w:lvlJc w:val="left"/>
      <w:pPr>
        <w:tabs>
          <w:tab w:val="num" w:pos="2880"/>
        </w:tabs>
        <w:ind w:left="2880" w:hanging="360"/>
      </w:pPr>
      <w:rPr>
        <w:rFonts w:ascii="Wingdings" w:hAnsi="Wingdings" w:hint="default"/>
        <w:sz w:val="20"/>
      </w:rPr>
    </w:lvl>
    <w:lvl w:ilvl="4" w:tplc="DCB6B062" w:tentative="1">
      <w:start w:val="1"/>
      <w:numFmt w:val="bullet"/>
      <w:lvlText w:val=""/>
      <w:lvlJc w:val="left"/>
      <w:pPr>
        <w:tabs>
          <w:tab w:val="num" w:pos="3600"/>
        </w:tabs>
        <w:ind w:left="3600" w:hanging="360"/>
      </w:pPr>
      <w:rPr>
        <w:rFonts w:ascii="Wingdings" w:hAnsi="Wingdings" w:hint="default"/>
        <w:sz w:val="20"/>
      </w:rPr>
    </w:lvl>
    <w:lvl w:ilvl="5" w:tplc="52ECA318" w:tentative="1">
      <w:start w:val="1"/>
      <w:numFmt w:val="bullet"/>
      <w:lvlText w:val=""/>
      <w:lvlJc w:val="left"/>
      <w:pPr>
        <w:tabs>
          <w:tab w:val="num" w:pos="4320"/>
        </w:tabs>
        <w:ind w:left="4320" w:hanging="360"/>
      </w:pPr>
      <w:rPr>
        <w:rFonts w:ascii="Wingdings" w:hAnsi="Wingdings" w:hint="default"/>
        <w:sz w:val="20"/>
      </w:rPr>
    </w:lvl>
    <w:lvl w:ilvl="6" w:tplc="4356B5CE" w:tentative="1">
      <w:start w:val="1"/>
      <w:numFmt w:val="bullet"/>
      <w:lvlText w:val=""/>
      <w:lvlJc w:val="left"/>
      <w:pPr>
        <w:tabs>
          <w:tab w:val="num" w:pos="5040"/>
        </w:tabs>
        <w:ind w:left="5040" w:hanging="360"/>
      </w:pPr>
      <w:rPr>
        <w:rFonts w:ascii="Wingdings" w:hAnsi="Wingdings" w:hint="default"/>
        <w:sz w:val="20"/>
      </w:rPr>
    </w:lvl>
    <w:lvl w:ilvl="7" w:tplc="3AAC536E" w:tentative="1">
      <w:start w:val="1"/>
      <w:numFmt w:val="bullet"/>
      <w:lvlText w:val=""/>
      <w:lvlJc w:val="left"/>
      <w:pPr>
        <w:tabs>
          <w:tab w:val="num" w:pos="5760"/>
        </w:tabs>
        <w:ind w:left="5760" w:hanging="360"/>
      </w:pPr>
      <w:rPr>
        <w:rFonts w:ascii="Wingdings" w:hAnsi="Wingdings" w:hint="default"/>
        <w:sz w:val="20"/>
      </w:rPr>
    </w:lvl>
    <w:lvl w:ilvl="8" w:tplc="059A2F64" w:tentative="1">
      <w:start w:val="1"/>
      <w:numFmt w:val="bullet"/>
      <w:lvlText w:val=""/>
      <w:lvlJc w:val="left"/>
      <w:pPr>
        <w:tabs>
          <w:tab w:val="num" w:pos="6480"/>
        </w:tabs>
        <w:ind w:left="6480" w:hanging="360"/>
      </w:pPr>
      <w:rPr>
        <w:rFonts w:ascii="Wingdings" w:hAnsi="Wingdings" w:hint="default"/>
        <w:sz w:val="20"/>
      </w:rPr>
    </w:lvl>
  </w:abstractNum>
  <w:abstractNum w:abstractNumId="403">
    <w:nsid w:val="312F1DFE"/>
    <w:multiLevelType w:val="hybridMultilevel"/>
    <w:tmpl w:val="9FE80D8E"/>
    <w:lvl w:ilvl="0" w:tplc="D6A656B6">
      <w:numFmt w:val="bullet"/>
      <w:lvlText w:val="-"/>
      <w:lvlJc w:val="left"/>
      <w:pPr>
        <w:tabs>
          <w:tab w:val="num" w:pos="720"/>
        </w:tabs>
        <w:ind w:left="720" w:hanging="360"/>
      </w:pPr>
      <w:rPr>
        <w:rFonts w:ascii="Times New Roman" w:eastAsia="Times New Roman" w:hAnsi="Times New Roman" w:cs="Times New Roman" w:hint="default"/>
        <w:sz w:val="20"/>
      </w:rPr>
    </w:lvl>
    <w:lvl w:ilvl="1" w:tplc="7750B5FA" w:tentative="1">
      <w:start w:val="1"/>
      <w:numFmt w:val="bullet"/>
      <w:lvlText w:val="o"/>
      <w:lvlJc w:val="left"/>
      <w:pPr>
        <w:tabs>
          <w:tab w:val="num" w:pos="1440"/>
        </w:tabs>
        <w:ind w:left="1440" w:hanging="360"/>
      </w:pPr>
      <w:rPr>
        <w:rFonts w:ascii="Courier New" w:hAnsi="Courier New" w:hint="default"/>
        <w:sz w:val="20"/>
      </w:rPr>
    </w:lvl>
    <w:lvl w:ilvl="2" w:tplc="AB3A5D3A" w:tentative="1">
      <w:start w:val="1"/>
      <w:numFmt w:val="bullet"/>
      <w:lvlText w:val=""/>
      <w:lvlJc w:val="left"/>
      <w:pPr>
        <w:tabs>
          <w:tab w:val="num" w:pos="2160"/>
        </w:tabs>
        <w:ind w:left="2160" w:hanging="360"/>
      </w:pPr>
      <w:rPr>
        <w:rFonts w:ascii="Wingdings" w:hAnsi="Wingdings" w:hint="default"/>
        <w:sz w:val="20"/>
      </w:rPr>
    </w:lvl>
    <w:lvl w:ilvl="3" w:tplc="E196F2B8" w:tentative="1">
      <w:start w:val="1"/>
      <w:numFmt w:val="bullet"/>
      <w:lvlText w:val=""/>
      <w:lvlJc w:val="left"/>
      <w:pPr>
        <w:tabs>
          <w:tab w:val="num" w:pos="2880"/>
        </w:tabs>
        <w:ind w:left="2880" w:hanging="360"/>
      </w:pPr>
      <w:rPr>
        <w:rFonts w:ascii="Wingdings" w:hAnsi="Wingdings" w:hint="default"/>
        <w:sz w:val="20"/>
      </w:rPr>
    </w:lvl>
    <w:lvl w:ilvl="4" w:tplc="186C268E" w:tentative="1">
      <w:start w:val="1"/>
      <w:numFmt w:val="bullet"/>
      <w:lvlText w:val=""/>
      <w:lvlJc w:val="left"/>
      <w:pPr>
        <w:tabs>
          <w:tab w:val="num" w:pos="3600"/>
        </w:tabs>
        <w:ind w:left="3600" w:hanging="360"/>
      </w:pPr>
      <w:rPr>
        <w:rFonts w:ascii="Wingdings" w:hAnsi="Wingdings" w:hint="default"/>
        <w:sz w:val="20"/>
      </w:rPr>
    </w:lvl>
    <w:lvl w:ilvl="5" w:tplc="8194B218" w:tentative="1">
      <w:start w:val="1"/>
      <w:numFmt w:val="bullet"/>
      <w:lvlText w:val=""/>
      <w:lvlJc w:val="left"/>
      <w:pPr>
        <w:tabs>
          <w:tab w:val="num" w:pos="4320"/>
        </w:tabs>
        <w:ind w:left="4320" w:hanging="360"/>
      </w:pPr>
      <w:rPr>
        <w:rFonts w:ascii="Wingdings" w:hAnsi="Wingdings" w:hint="default"/>
        <w:sz w:val="20"/>
      </w:rPr>
    </w:lvl>
    <w:lvl w:ilvl="6" w:tplc="EDCEAB10" w:tentative="1">
      <w:start w:val="1"/>
      <w:numFmt w:val="bullet"/>
      <w:lvlText w:val=""/>
      <w:lvlJc w:val="left"/>
      <w:pPr>
        <w:tabs>
          <w:tab w:val="num" w:pos="5040"/>
        </w:tabs>
        <w:ind w:left="5040" w:hanging="360"/>
      </w:pPr>
      <w:rPr>
        <w:rFonts w:ascii="Wingdings" w:hAnsi="Wingdings" w:hint="default"/>
        <w:sz w:val="20"/>
      </w:rPr>
    </w:lvl>
    <w:lvl w:ilvl="7" w:tplc="FD962564" w:tentative="1">
      <w:start w:val="1"/>
      <w:numFmt w:val="bullet"/>
      <w:lvlText w:val=""/>
      <w:lvlJc w:val="left"/>
      <w:pPr>
        <w:tabs>
          <w:tab w:val="num" w:pos="5760"/>
        </w:tabs>
        <w:ind w:left="5760" w:hanging="360"/>
      </w:pPr>
      <w:rPr>
        <w:rFonts w:ascii="Wingdings" w:hAnsi="Wingdings" w:hint="default"/>
        <w:sz w:val="20"/>
      </w:rPr>
    </w:lvl>
    <w:lvl w:ilvl="8" w:tplc="CF766788" w:tentative="1">
      <w:start w:val="1"/>
      <w:numFmt w:val="bullet"/>
      <w:lvlText w:val=""/>
      <w:lvlJc w:val="left"/>
      <w:pPr>
        <w:tabs>
          <w:tab w:val="num" w:pos="6480"/>
        </w:tabs>
        <w:ind w:left="6480" w:hanging="360"/>
      </w:pPr>
      <w:rPr>
        <w:rFonts w:ascii="Wingdings" w:hAnsi="Wingdings" w:hint="default"/>
        <w:sz w:val="20"/>
      </w:rPr>
    </w:lvl>
  </w:abstractNum>
  <w:abstractNum w:abstractNumId="404">
    <w:nsid w:val="313F09C8"/>
    <w:multiLevelType w:val="hybridMultilevel"/>
    <w:tmpl w:val="EA8EE7C8"/>
    <w:lvl w:ilvl="0" w:tplc="228CCB22">
      <w:start w:val="1"/>
      <w:numFmt w:val="bullet"/>
      <w:lvlText w:val=""/>
      <w:lvlJc w:val="left"/>
      <w:pPr>
        <w:ind w:left="720" w:hanging="360"/>
      </w:pPr>
      <w:rPr>
        <w:rFonts w:ascii="Wingdings" w:hAnsi="Wingdings" w:cs="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5">
    <w:nsid w:val="316C2956"/>
    <w:multiLevelType w:val="hybridMultilevel"/>
    <w:tmpl w:val="108047D6"/>
    <w:lvl w:ilvl="0" w:tplc="04150005">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406">
    <w:nsid w:val="31A67810"/>
    <w:multiLevelType w:val="hybridMultilevel"/>
    <w:tmpl w:val="9DA8E72E"/>
    <w:lvl w:ilvl="0" w:tplc="D6A656B6">
      <w:numFmt w:val="bullet"/>
      <w:lvlText w:val="-"/>
      <w:lvlJc w:val="left"/>
      <w:pPr>
        <w:tabs>
          <w:tab w:val="num" w:pos="720"/>
        </w:tabs>
        <w:ind w:left="720" w:hanging="360"/>
      </w:pPr>
      <w:rPr>
        <w:rFonts w:ascii="Times New Roman" w:eastAsia="Times New Roman" w:hAnsi="Times New Roman" w:cs="Times New Roman" w:hint="default"/>
        <w:sz w:val="20"/>
      </w:rPr>
    </w:lvl>
    <w:lvl w:ilvl="1" w:tplc="CB425DD2" w:tentative="1">
      <w:start w:val="1"/>
      <w:numFmt w:val="bullet"/>
      <w:lvlText w:val="o"/>
      <w:lvlJc w:val="left"/>
      <w:pPr>
        <w:tabs>
          <w:tab w:val="num" w:pos="1440"/>
        </w:tabs>
        <w:ind w:left="1440" w:hanging="360"/>
      </w:pPr>
      <w:rPr>
        <w:rFonts w:ascii="Courier New" w:hAnsi="Courier New" w:hint="default"/>
        <w:sz w:val="20"/>
      </w:rPr>
    </w:lvl>
    <w:lvl w:ilvl="2" w:tplc="AF70EF0A" w:tentative="1">
      <w:start w:val="1"/>
      <w:numFmt w:val="bullet"/>
      <w:lvlText w:val=""/>
      <w:lvlJc w:val="left"/>
      <w:pPr>
        <w:tabs>
          <w:tab w:val="num" w:pos="2160"/>
        </w:tabs>
        <w:ind w:left="2160" w:hanging="360"/>
      </w:pPr>
      <w:rPr>
        <w:rFonts w:ascii="Wingdings" w:hAnsi="Wingdings" w:hint="default"/>
        <w:sz w:val="20"/>
      </w:rPr>
    </w:lvl>
    <w:lvl w:ilvl="3" w:tplc="DD187690" w:tentative="1">
      <w:start w:val="1"/>
      <w:numFmt w:val="bullet"/>
      <w:lvlText w:val=""/>
      <w:lvlJc w:val="left"/>
      <w:pPr>
        <w:tabs>
          <w:tab w:val="num" w:pos="2880"/>
        </w:tabs>
        <w:ind w:left="2880" w:hanging="360"/>
      </w:pPr>
      <w:rPr>
        <w:rFonts w:ascii="Wingdings" w:hAnsi="Wingdings" w:hint="default"/>
        <w:sz w:val="20"/>
      </w:rPr>
    </w:lvl>
    <w:lvl w:ilvl="4" w:tplc="E6865146" w:tentative="1">
      <w:start w:val="1"/>
      <w:numFmt w:val="bullet"/>
      <w:lvlText w:val=""/>
      <w:lvlJc w:val="left"/>
      <w:pPr>
        <w:tabs>
          <w:tab w:val="num" w:pos="3600"/>
        </w:tabs>
        <w:ind w:left="3600" w:hanging="360"/>
      </w:pPr>
      <w:rPr>
        <w:rFonts w:ascii="Wingdings" w:hAnsi="Wingdings" w:hint="default"/>
        <w:sz w:val="20"/>
      </w:rPr>
    </w:lvl>
    <w:lvl w:ilvl="5" w:tplc="7F9E58DC" w:tentative="1">
      <w:start w:val="1"/>
      <w:numFmt w:val="bullet"/>
      <w:lvlText w:val=""/>
      <w:lvlJc w:val="left"/>
      <w:pPr>
        <w:tabs>
          <w:tab w:val="num" w:pos="4320"/>
        </w:tabs>
        <w:ind w:left="4320" w:hanging="360"/>
      </w:pPr>
      <w:rPr>
        <w:rFonts w:ascii="Wingdings" w:hAnsi="Wingdings" w:hint="default"/>
        <w:sz w:val="20"/>
      </w:rPr>
    </w:lvl>
    <w:lvl w:ilvl="6" w:tplc="7FDCB2C6" w:tentative="1">
      <w:start w:val="1"/>
      <w:numFmt w:val="bullet"/>
      <w:lvlText w:val=""/>
      <w:lvlJc w:val="left"/>
      <w:pPr>
        <w:tabs>
          <w:tab w:val="num" w:pos="5040"/>
        </w:tabs>
        <w:ind w:left="5040" w:hanging="360"/>
      </w:pPr>
      <w:rPr>
        <w:rFonts w:ascii="Wingdings" w:hAnsi="Wingdings" w:hint="default"/>
        <w:sz w:val="20"/>
      </w:rPr>
    </w:lvl>
    <w:lvl w:ilvl="7" w:tplc="FAC867CA" w:tentative="1">
      <w:start w:val="1"/>
      <w:numFmt w:val="bullet"/>
      <w:lvlText w:val=""/>
      <w:lvlJc w:val="left"/>
      <w:pPr>
        <w:tabs>
          <w:tab w:val="num" w:pos="5760"/>
        </w:tabs>
        <w:ind w:left="5760" w:hanging="360"/>
      </w:pPr>
      <w:rPr>
        <w:rFonts w:ascii="Wingdings" w:hAnsi="Wingdings" w:hint="default"/>
        <w:sz w:val="20"/>
      </w:rPr>
    </w:lvl>
    <w:lvl w:ilvl="8" w:tplc="1366A3AA" w:tentative="1">
      <w:start w:val="1"/>
      <w:numFmt w:val="bullet"/>
      <w:lvlText w:val=""/>
      <w:lvlJc w:val="left"/>
      <w:pPr>
        <w:tabs>
          <w:tab w:val="num" w:pos="6480"/>
        </w:tabs>
        <w:ind w:left="6480" w:hanging="360"/>
      </w:pPr>
      <w:rPr>
        <w:rFonts w:ascii="Wingdings" w:hAnsi="Wingdings" w:hint="default"/>
        <w:sz w:val="20"/>
      </w:rPr>
    </w:lvl>
  </w:abstractNum>
  <w:abstractNum w:abstractNumId="407">
    <w:nsid w:val="31CE57F2"/>
    <w:multiLevelType w:val="hybridMultilevel"/>
    <w:tmpl w:val="7110F2E0"/>
    <w:lvl w:ilvl="0" w:tplc="7E842A20">
      <w:start w:val="1"/>
      <w:numFmt w:val="decimal"/>
      <w:lvlText w:val="K4.4.%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8">
    <w:nsid w:val="31CE6372"/>
    <w:multiLevelType w:val="hybridMultilevel"/>
    <w:tmpl w:val="9B22CF12"/>
    <w:lvl w:ilvl="0" w:tplc="7C8ECDB0">
      <w:start w:val="1"/>
      <w:numFmt w:val="decimal"/>
      <w:lvlText w:val="%1."/>
      <w:lvlJc w:val="left"/>
      <w:pPr>
        <w:tabs>
          <w:tab w:val="num" w:pos="720"/>
        </w:tabs>
        <w:ind w:left="720" w:hanging="360"/>
      </w:pPr>
    </w:lvl>
    <w:lvl w:ilvl="1" w:tplc="5AB2D5CA" w:tentative="1">
      <w:start w:val="1"/>
      <w:numFmt w:val="decimal"/>
      <w:lvlText w:val="%2."/>
      <w:lvlJc w:val="left"/>
      <w:pPr>
        <w:tabs>
          <w:tab w:val="num" w:pos="1440"/>
        </w:tabs>
        <w:ind w:left="1440" w:hanging="360"/>
      </w:pPr>
    </w:lvl>
    <w:lvl w:ilvl="2" w:tplc="3B56C36A" w:tentative="1">
      <w:start w:val="1"/>
      <w:numFmt w:val="decimal"/>
      <w:lvlText w:val="%3."/>
      <w:lvlJc w:val="left"/>
      <w:pPr>
        <w:tabs>
          <w:tab w:val="num" w:pos="2160"/>
        </w:tabs>
        <w:ind w:left="2160" w:hanging="360"/>
      </w:pPr>
    </w:lvl>
    <w:lvl w:ilvl="3" w:tplc="572A453A" w:tentative="1">
      <w:start w:val="1"/>
      <w:numFmt w:val="decimal"/>
      <w:lvlText w:val="%4."/>
      <w:lvlJc w:val="left"/>
      <w:pPr>
        <w:tabs>
          <w:tab w:val="num" w:pos="2880"/>
        </w:tabs>
        <w:ind w:left="2880" w:hanging="360"/>
      </w:pPr>
    </w:lvl>
    <w:lvl w:ilvl="4" w:tplc="31C00CD4" w:tentative="1">
      <w:start w:val="1"/>
      <w:numFmt w:val="decimal"/>
      <w:lvlText w:val="%5."/>
      <w:lvlJc w:val="left"/>
      <w:pPr>
        <w:tabs>
          <w:tab w:val="num" w:pos="3600"/>
        </w:tabs>
        <w:ind w:left="3600" w:hanging="360"/>
      </w:pPr>
    </w:lvl>
    <w:lvl w:ilvl="5" w:tplc="73BEC940" w:tentative="1">
      <w:start w:val="1"/>
      <w:numFmt w:val="decimal"/>
      <w:lvlText w:val="%6."/>
      <w:lvlJc w:val="left"/>
      <w:pPr>
        <w:tabs>
          <w:tab w:val="num" w:pos="4320"/>
        </w:tabs>
        <w:ind w:left="4320" w:hanging="360"/>
      </w:pPr>
    </w:lvl>
    <w:lvl w:ilvl="6" w:tplc="37B20394" w:tentative="1">
      <w:start w:val="1"/>
      <w:numFmt w:val="decimal"/>
      <w:lvlText w:val="%7."/>
      <w:lvlJc w:val="left"/>
      <w:pPr>
        <w:tabs>
          <w:tab w:val="num" w:pos="5040"/>
        </w:tabs>
        <w:ind w:left="5040" w:hanging="360"/>
      </w:pPr>
    </w:lvl>
    <w:lvl w:ilvl="7" w:tplc="A336EF30" w:tentative="1">
      <w:start w:val="1"/>
      <w:numFmt w:val="decimal"/>
      <w:lvlText w:val="%8."/>
      <w:lvlJc w:val="left"/>
      <w:pPr>
        <w:tabs>
          <w:tab w:val="num" w:pos="5760"/>
        </w:tabs>
        <w:ind w:left="5760" w:hanging="360"/>
      </w:pPr>
    </w:lvl>
    <w:lvl w:ilvl="8" w:tplc="9E7EBE50" w:tentative="1">
      <w:start w:val="1"/>
      <w:numFmt w:val="decimal"/>
      <w:lvlText w:val="%9."/>
      <w:lvlJc w:val="left"/>
      <w:pPr>
        <w:tabs>
          <w:tab w:val="num" w:pos="6480"/>
        </w:tabs>
        <w:ind w:left="6480" w:hanging="360"/>
      </w:pPr>
    </w:lvl>
  </w:abstractNum>
  <w:abstractNum w:abstractNumId="409">
    <w:nsid w:val="3201133A"/>
    <w:multiLevelType w:val="hybridMultilevel"/>
    <w:tmpl w:val="8EC489D0"/>
    <w:lvl w:ilvl="0" w:tplc="3BA23654">
      <w:start w:val="1"/>
      <w:numFmt w:val="bullet"/>
      <w:lvlText w:val="-"/>
      <w:lvlJc w:val="left"/>
      <w:pPr>
        <w:ind w:left="720" w:hanging="360"/>
      </w:pPr>
      <w:rPr>
        <w:rFonts w:ascii="Verdana" w:hAnsi="Verdana"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10">
    <w:nsid w:val="322E54F9"/>
    <w:multiLevelType w:val="hybridMultilevel"/>
    <w:tmpl w:val="BD9CAEB2"/>
    <w:lvl w:ilvl="0" w:tplc="5336CA88">
      <w:start w:val="1"/>
      <w:numFmt w:val="bullet"/>
      <w:lvlText w:val=""/>
      <w:lvlJc w:val="left"/>
      <w:pPr>
        <w:ind w:left="106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411">
    <w:nsid w:val="3236066B"/>
    <w:multiLevelType w:val="hybridMultilevel"/>
    <w:tmpl w:val="B9CE8460"/>
    <w:lvl w:ilvl="0" w:tplc="04150005">
      <w:start w:val="1"/>
      <w:numFmt w:val="bullet"/>
      <w:lvlText w:val=""/>
      <w:lvlJc w:val="left"/>
      <w:pPr>
        <w:tabs>
          <w:tab w:val="num" w:pos="720"/>
        </w:tabs>
        <w:ind w:left="720" w:hanging="360"/>
      </w:pPr>
      <w:rPr>
        <w:rFonts w:ascii="Wingdings" w:hAnsi="Wingdings" w:hint="default"/>
        <w:color w:val="auto"/>
        <w:sz w:val="20"/>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12">
    <w:nsid w:val="325647C1"/>
    <w:multiLevelType w:val="hybridMultilevel"/>
    <w:tmpl w:val="D26858A0"/>
    <w:lvl w:ilvl="0" w:tplc="6712A7A6">
      <w:start w:val="1"/>
      <w:numFmt w:val="bullet"/>
      <w:lvlText w:val=""/>
      <w:lvlJc w:val="left"/>
      <w:pPr>
        <w:ind w:left="720" w:hanging="360"/>
      </w:pPr>
      <w:rPr>
        <w:rFonts w:ascii="Wingdings" w:hAnsi="Wingdings" w:hint="default"/>
        <w:sz w:val="20"/>
      </w:rPr>
    </w:lvl>
    <w:lvl w:ilvl="1" w:tplc="6CA43014">
      <w:start w:val="16"/>
      <w:numFmt w:val="bullet"/>
      <w:lvlText w:val="-"/>
      <w:lvlJc w:val="left"/>
      <w:pPr>
        <w:ind w:left="1440" w:hanging="360"/>
      </w:pPr>
      <w:rPr>
        <w:rFonts w:ascii="Times New Roman" w:eastAsia="Times New Roman" w:hAnsi="Times New Roman" w:cs="Times New Roman" w:hint="default"/>
        <w:color w:val="auto"/>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3">
    <w:nsid w:val="328F4270"/>
    <w:multiLevelType w:val="hybridMultilevel"/>
    <w:tmpl w:val="204203E4"/>
    <w:lvl w:ilvl="0" w:tplc="00000004">
      <w:numFmt w:val="bullet"/>
      <w:lvlText w:val="–"/>
      <w:lvlJc w:val="left"/>
      <w:pPr>
        <w:ind w:left="1440" w:hanging="360"/>
      </w:pPr>
      <w:rPr>
        <w:rFonts w:ascii="TiepoloItcTEEBoo" w:hAnsi="TiepoloItcTEEBoo" w:cs="TiepoloItcTEEBoo"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14">
    <w:nsid w:val="329719D7"/>
    <w:multiLevelType w:val="hybridMultilevel"/>
    <w:tmpl w:val="19680FBE"/>
    <w:lvl w:ilvl="0" w:tplc="4A22659C">
      <w:start w:val="1"/>
      <w:numFmt w:val="decimal"/>
      <w:lvlText w:val="%1."/>
      <w:lvlJc w:val="left"/>
      <w:pPr>
        <w:tabs>
          <w:tab w:val="num" w:pos="720"/>
        </w:tabs>
        <w:ind w:left="720" w:hanging="360"/>
      </w:pPr>
    </w:lvl>
    <w:lvl w:ilvl="1" w:tplc="7F02EE90" w:tentative="1">
      <w:start w:val="1"/>
      <w:numFmt w:val="decimal"/>
      <w:lvlText w:val="%2."/>
      <w:lvlJc w:val="left"/>
      <w:pPr>
        <w:tabs>
          <w:tab w:val="num" w:pos="1440"/>
        </w:tabs>
        <w:ind w:left="1440" w:hanging="360"/>
      </w:pPr>
    </w:lvl>
    <w:lvl w:ilvl="2" w:tplc="9218130C" w:tentative="1">
      <w:start w:val="1"/>
      <w:numFmt w:val="decimal"/>
      <w:lvlText w:val="%3."/>
      <w:lvlJc w:val="left"/>
      <w:pPr>
        <w:tabs>
          <w:tab w:val="num" w:pos="2160"/>
        </w:tabs>
        <w:ind w:left="2160" w:hanging="360"/>
      </w:pPr>
    </w:lvl>
    <w:lvl w:ilvl="3" w:tplc="1B2475DA" w:tentative="1">
      <w:start w:val="1"/>
      <w:numFmt w:val="decimal"/>
      <w:lvlText w:val="%4."/>
      <w:lvlJc w:val="left"/>
      <w:pPr>
        <w:tabs>
          <w:tab w:val="num" w:pos="2880"/>
        </w:tabs>
        <w:ind w:left="2880" w:hanging="360"/>
      </w:pPr>
    </w:lvl>
    <w:lvl w:ilvl="4" w:tplc="A51EDD6E" w:tentative="1">
      <w:start w:val="1"/>
      <w:numFmt w:val="decimal"/>
      <w:lvlText w:val="%5."/>
      <w:lvlJc w:val="left"/>
      <w:pPr>
        <w:tabs>
          <w:tab w:val="num" w:pos="3600"/>
        </w:tabs>
        <w:ind w:left="3600" w:hanging="360"/>
      </w:pPr>
    </w:lvl>
    <w:lvl w:ilvl="5" w:tplc="8560154C" w:tentative="1">
      <w:start w:val="1"/>
      <w:numFmt w:val="decimal"/>
      <w:lvlText w:val="%6."/>
      <w:lvlJc w:val="left"/>
      <w:pPr>
        <w:tabs>
          <w:tab w:val="num" w:pos="4320"/>
        </w:tabs>
        <w:ind w:left="4320" w:hanging="360"/>
      </w:pPr>
    </w:lvl>
    <w:lvl w:ilvl="6" w:tplc="4D5662E0" w:tentative="1">
      <w:start w:val="1"/>
      <w:numFmt w:val="decimal"/>
      <w:lvlText w:val="%7."/>
      <w:lvlJc w:val="left"/>
      <w:pPr>
        <w:tabs>
          <w:tab w:val="num" w:pos="5040"/>
        </w:tabs>
        <w:ind w:left="5040" w:hanging="360"/>
      </w:pPr>
    </w:lvl>
    <w:lvl w:ilvl="7" w:tplc="B9F46072" w:tentative="1">
      <w:start w:val="1"/>
      <w:numFmt w:val="decimal"/>
      <w:lvlText w:val="%8."/>
      <w:lvlJc w:val="left"/>
      <w:pPr>
        <w:tabs>
          <w:tab w:val="num" w:pos="5760"/>
        </w:tabs>
        <w:ind w:left="5760" w:hanging="360"/>
      </w:pPr>
    </w:lvl>
    <w:lvl w:ilvl="8" w:tplc="9132C0D6" w:tentative="1">
      <w:start w:val="1"/>
      <w:numFmt w:val="decimal"/>
      <w:lvlText w:val="%9."/>
      <w:lvlJc w:val="left"/>
      <w:pPr>
        <w:tabs>
          <w:tab w:val="num" w:pos="6480"/>
        </w:tabs>
        <w:ind w:left="6480" w:hanging="360"/>
      </w:pPr>
    </w:lvl>
  </w:abstractNum>
  <w:abstractNum w:abstractNumId="415">
    <w:nsid w:val="32983951"/>
    <w:multiLevelType w:val="hybridMultilevel"/>
    <w:tmpl w:val="8AAC8D7C"/>
    <w:lvl w:ilvl="0" w:tplc="75C470B4">
      <w:start w:val="1"/>
      <w:numFmt w:val="bullet"/>
      <w:lvlText w:val=""/>
      <w:lvlJc w:val="left"/>
      <w:pPr>
        <w:tabs>
          <w:tab w:val="num" w:pos="643"/>
        </w:tabs>
        <w:ind w:left="643" w:hanging="360"/>
      </w:pPr>
      <w:rPr>
        <w:rFonts w:ascii="Wingdings" w:hAnsi="Wingdings" w:cs="Wingdings" w:hint="default"/>
        <w:color w:val="auto"/>
        <w:sz w:val="20"/>
      </w:rPr>
    </w:lvl>
    <w:lvl w:ilvl="1" w:tplc="04150003" w:tentative="1">
      <w:start w:val="1"/>
      <w:numFmt w:val="bullet"/>
      <w:lvlText w:val="o"/>
      <w:lvlJc w:val="left"/>
      <w:pPr>
        <w:tabs>
          <w:tab w:val="num" w:pos="643"/>
        </w:tabs>
        <w:ind w:left="643" w:hanging="360"/>
      </w:pPr>
      <w:rPr>
        <w:rFonts w:ascii="Courier New" w:hAnsi="Courier New" w:hint="default"/>
      </w:rPr>
    </w:lvl>
    <w:lvl w:ilvl="2" w:tplc="04150005" w:tentative="1">
      <w:start w:val="1"/>
      <w:numFmt w:val="bullet"/>
      <w:lvlText w:val=""/>
      <w:lvlJc w:val="left"/>
      <w:pPr>
        <w:tabs>
          <w:tab w:val="num" w:pos="1363"/>
        </w:tabs>
        <w:ind w:left="1363" w:hanging="360"/>
      </w:pPr>
      <w:rPr>
        <w:rFonts w:ascii="Wingdings" w:hAnsi="Wingdings" w:hint="default"/>
      </w:rPr>
    </w:lvl>
    <w:lvl w:ilvl="3" w:tplc="04150001" w:tentative="1">
      <w:start w:val="1"/>
      <w:numFmt w:val="bullet"/>
      <w:lvlText w:val=""/>
      <w:lvlJc w:val="left"/>
      <w:pPr>
        <w:tabs>
          <w:tab w:val="num" w:pos="2083"/>
        </w:tabs>
        <w:ind w:left="2083" w:hanging="360"/>
      </w:pPr>
      <w:rPr>
        <w:rFonts w:ascii="Symbol" w:hAnsi="Symbol" w:hint="default"/>
      </w:rPr>
    </w:lvl>
    <w:lvl w:ilvl="4" w:tplc="04150003" w:tentative="1">
      <w:start w:val="1"/>
      <w:numFmt w:val="bullet"/>
      <w:lvlText w:val="o"/>
      <w:lvlJc w:val="left"/>
      <w:pPr>
        <w:tabs>
          <w:tab w:val="num" w:pos="2803"/>
        </w:tabs>
        <w:ind w:left="2803" w:hanging="360"/>
      </w:pPr>
      <w:rPr>
        <w:rFonts w:ascii="Courier New" w:hAnsi="Courier New" w:hint="default"/>
      </w:rPr>
    </w:lvl>
    <w:lvl w:ilvl="5" w:tplc="04150005" w:tentative="1">
      <w:start w:val="1"/>
      <w:numFmt w:val="bullet"/>
      <w:lvlText w:val=""/>
      <w:lvlJc w:val="left"/>
      <w:pPr>
        <w:tabs>
          <w:tab w:val="num" w:pos="3523"/>
        </w:tabs>
        <w:ind w:left="3523" w:hanging="360"/>
      </w:pPr>
      <w:rPr>
        <w:rFonts w:ascii="Wingdings" w:hAnsi="Wingdings" w:hint="default"/>
      </w:rPr>
    </w:lvl>
    <w:lvl w:ilvl="6" w:tplc="04150001" w:tentative="1">
      <w:start w:val="1"/>
      <w:numFmt w:val="bullet"/>
      <w:lvlText w:val=""/>
      <w:lvlJc w:val="left"/>
      <w:pPr>
        <w:tabs>
          <w:tab w:val="num" w:pos="4243"/>
        </w:tabs>
        <w:ind w:left="4243" w:hanging="360"/>
      </w:pPr>
      <w:rPr>
        <w:rFonts w:ascii="Symbol" w:hAnsi="Symbol" w:hint="default"/>
      </w:rPr>
    </w:lvl>
    <w:lvl w:ilvl="7" w:tplc="04150003" w:tentative="1">
      <w:start w:val="1"/>
      <w:numFmt w:val="bullet"/>
      <w:lvlText w:val="o"/>
      <w:lvlJc w:val="left"/>
      <w:pPr>
        <w:tabs>
          <w:tab w:val="num" w:pos="4963"/>
        </w:tabs>
        <w:ind w:left="4963" w:hanging="360"/>
      </w:pPr>
      <w:rPr>
        <w:rFonts w:ascii="Courier New" w:hAnsi="Courier New" w:hint="default"/>
      </w:rPr>
    </w:lvl>
    <w:lvl w:ilvl="8" w:tplc="04150005" w:tentative="1">
      <w:start w:val="1"/>
      <w:numFmt w:val="bullet"/>
      <w:lvlText w:val=""/>
      <w:lvlJc w:val="left"/>
      <w:pPr>
        <w:tabs>
          <w:tab w:val="num" w:pos="5683"/>
        </w:tabs>
        <w:ind w:left="5683" w:hanging="360"/>
      </w:pPr>
      <w:rPr>
        <w:rFonts w:ascii="Wingdings" w:hAnsi="Wingdings" w:hint="default"/>
      </w:rPr>
    </w:lvl>
  </w:abstractNum>
  <w:abstractNum w:abstractNumId="416">
    <w:nsid w:val="32AC2304"/>
    <w:multiLevelType w:val="multilevel"/>
    <w:tmpl w:val="35D0F116"/>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17">
    <w:nsid w:val="331D256E"/>
    <w:multiLevelType w:val="hybridMultilevel"/>
    <w:tmpl w:val="474E09DC"/>
    <w:lvl w:ilvl="0" w:tplc="D6A656B6">
      <w:numFmt w:val="bullet"/>
      <w:lvlText w:val="-"/>
      <w:lvlJc w:val="left"/>
      <w:pPr>
        <w:ind w:left="1068" w:hanging="360"/>
      </w:pPr>
      <w:rPr>
        <w:rFonts w:ascii="Times New Roman" w:eastAsia="Times New Roman" w:hAnsi="Times New Roman" w:cs="Times New Roman"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418">
    <w:nsid w:val="334C1ECF"/>
    <w:multiLevelType w:val="hybridMultilevel"/>
    <w:tmpl w:val="2BD61C8C"/>
    <w:lvl w:ilvl="0" w:tplc="3BA23654">
      <w:start w:val="1"/>
      <w:numFmt w:val="bullet"/>
      <w:lvlText w:val="-"/>
      <w:lvlJc w:val="left"/>
      <w:pPr>
        <w:ind w:left="720" w:hanging="360"/>
      </w:pPr>
      <w:rPr>
        <w:rFonts w:ascii="Verdana" w:hAnsi="Verdana"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19">
    <w:nsid w:val="335F015E"/>
    <w:multiLevelType w:val="hybridMultilevel"/>
    <w:tmpl w:val="185E3AF6"/>
    <w:lvl w:ilvl="0" w:tplc="716CB002">
      <w:start w:val="1"/>
      <w:numFmt w:val="bullet"/>
      <w:lvlText w:val=""/>
      <w:lvlJc w:val="left"/>
      <w:pPr>
        <w:tabs>
          <w:tab w:val="num" w:pos="720"/>
        </w:tabs>
        <w:ind w:left="720" w:hanging="360"/>
      </w:pPr>
      <w:rPr>
        <w:rFonts w:ascii="Wingdings" w:hAnsi="Wingdings" w:cs="Wingdings" w:hint="default"/>
        <w:color w:val="auto"/>
        <w:sz w:val="20"/>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20">
    <w:nsid w:val="33684B49"/>
    <w:multiLevelType w:val="hybridMultilevel"/>
    <w:tmpl w:val="CDD027DC"/>
    <w:lvl w:ilvl="0" w:tplc="04150005">
      <w:start w:val="1"/>
      <w:numFmt w:val="bullet"/>
      <w:lvlText w:val=""/>
      <w:lvlJc w:val="left"/>
      <w:pPr>
        <w:tabs>
          <w:tab w:val="num" w:pos="720"/>
        </w:tabs>
        <w:ind w:left="720" w:hanging="360"/>
      </w:pPr>
      <w:rPr>
        <w:rFonts w:ascii="Wingdings" w:hAnsi="Wingdings" w:hint="default"/>
        <w:color w:val="auto"/>
        <w:sz w:val="22"/>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421">
    <w:nsid w:val="33853ED3"/>
    <w:multiLevelType w:val="hybridMultilevel"/>
    <w:tmpl w:val="AD5C3D8A"/>
    <w:lvl w:ilvl="0" w:tplc="596CDF6C">
      <w:start w:val="1"/>
      <w:numFmt w:val="decimal"/>
      <w:lvlText w:val="C6.%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2">
    <w:nsid w:val="33B275AC"/>
    <w:multiLevelType w:val="hybridMultilevel"/>
    <w:tmpl w:val="62F02F7A"/>
    <w:lvl w:ilvl="0" w:tplc="B22A8B76">
      <w:start w:val="1"/>
      <w:numFmt w:val="bullet"/>
      <w:lvlText w:val=""/>
      <w:lvlJc w:val="left"/>
      <w:pPr>
        <w:ind w:left="720" w:hanging="360"/>
      </w:pPr>
      <w:rPr>
        <w:rFonts w:ascii="Wingdings" w:hAnsi="Wingdings" w:hint="default"/>
        <w:color w:val="auto"/>
        <w:sz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3">
    <w:nsid w:val="33FD2436"/>
    <w:multiLevelType w:val="hybridMultilevel"/>
    <w:tmpl w:val="E9A4C962"/>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4">
    <w:nsid w:val="341E1ADF"/>
    <w:multiLevelType w:val="hybridMultilevel"/>
    <w:tmpl w:val="929A89DC"/>
    <w:lvl w:ilvl="0" w:tplc="4E8A7F26">
      <w:start w:val="1"/>
      <w:numFmt w:val="bullet"/>
      <w:lvlText w:val=""/>
      <w:lvlJc w:val="left"/>
      <w:pPr>
        <w:ind w:left="720" w:hanging="360"/>
      </w:pPr>
      <w:rPr>
        <w:rFonts w:ascii="Wingdings" w:hAnsi="Wingdings" w:hint="default"/>
        <w:sz w:val="18"/>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5">
    <w:nsid w:val="34351A1A"/>
    <w:multiLevelType w:val="hybridMultilevel"/>
    <w:tmpl w:val="37C87E2E"/>
    <w:lvl w:ilvl="0" w:tplc="514C64D8">
      <w:start w:val="1"/>
      <w:numFmt w:val="decimal"/>
      <w:lvlText w:val="%1."/>
      <w:lvlJc w:val="left"/>
      <w:pPr>
        <w:tabs>
          <w:tab w:val="num" w:pos="720"/>
        </w:tabs>
        <w:ind w:left="720" w:hanging="360"/>
      </w:pPr>
    </w:lvl>
    <w:lvl w:ilvl="1" w:tplc="0E24C45C" w:tentative="1">
      <w:start w:val="1"/>
      <w:numFmt w:val="decimal"/>
      <w:lvlText w:val="%2."/>
      <w:lvlJc w:val="left"/>
      <w:pPr>
        <w:tabs>
          <w:tab w:val="num" w:pos="1440"/>
        </w:tabs>
        <w:ind w:left="1440" w:hanging="360"/>
      </w:pPr>
    </w:lvl>
    <w:lvl w:ilvl="2" w:tplc="A63272A0" w:tentative="1">
      <w:start w:val="1"/>
      <w:numFmt w:val="decimal"/>
      <w:lvlText w:val="%3."/>
      <w:lvlJc w:val="left"/>
      <w:pPr>
        <w:tabs>
          <w:tab w:val="num" w:pos="2160"/>
        </w:tabs>
        <w:ind w:left="2160" w:hanging="360"/>
      </w:pPr>
    </w:lvl>
    <w:lvl w:ilvl="3" w:tplc="FE06DD44" w:tentative="1">
      <w:start w:val="1"/>
      <w:numFmt w:val="decimal"/>
      <w:lvlText w:val="%4."/>
      <w:lvlJc w:val="left"/>
      <w:pPr>
        <w:tabs>
          <w:tab w:val="num" w:pos="2880"/>
        </w:tabs>
        <w:ind w:left="2880" w:hanging="360"/>
      </w:pPr>
    </w:lvl>
    <w:lvl w:ilvl="4" w:tplc="04BCF00A" w:tentative="1">
      <w:start w:val="1"/>
      <w:numFmt w:val="decimal"/>
      <w:lvlText w:val="%5."/>
      <w:lvlJc w:val="left"/>
      <w:pPr>
        <w:tabs>
          <w:tab w:val="num" w:pos="3600"/>
        </w:tabs>
        <w:ind w:left="3600" w:hanging="360"/>
      </w:pPr>
    </w:lvl>
    <w:lvl w:ilvl="5" w:tplc="58227264" w:tentative="1">
      <w:start w:val="1"/>
      <w:numFmt w:val="decimal"/>
      <w:lvlText w:val="%6."/>
      <w:lvlJc w:val="left"/>
      <w:pPr>
        <w:tabs>
          <w:tab w:val="num" w:pos="4320"/>
        </w:tabs>
        <w:ind w:left="4320" w:hanging="360"/>
      </w:pPr>
    </w:lvl>
    <w:lvl w:ilvl="6" w:tplc="DCE0333C" w:tentative="1">
      <w:start w:val="1"/>
      <w:numFmt w:val="decimal"/>
      <w:lvlText w:val="%7."/>
      <w:lvlJc w:val="left"/>
      <w:pPr>
        <w:tabs>
          <w:tab w:val="num" w:pos="5040"/>
        </w:tabs>
        <w:ind w:left="5040" w:hanging="360"/>
      </w:pPr>
    </w:lvl>
    <w:lvl w:ilvl="7" w:tplc="1178957C" w:tentative="1">
      <w:start w:val="1"/>
      <w:numFmt w:val="decimal"/>
      <w:lvlText w:val="%8."/>
      <w:lvlJc w:val="left"/>
      <w:pPr>
        <w:tabs>
          <w:tab w:val="num" w:pos="5760"/>
        </w:tabs>
        <w:ind w:left="5760" w:hanging="360"/>
      </w:pPr>
    </w:lvl>
    <w:lvl w:ilvl="8" w:tplc="55B8069A" w:tentative="1">
      <w:start w:val="1"/>
      <w:numFmt w:val="decimal"/>
      <w:lvlText w:val="%9."/>
      <w:lvlJc w:val="left"/>
      <w:pPr>
        <w:tabs>
          <w:tab w:val="num" w:pos="6480"/>
        </w:tabs>
        <w:ind w:left="6480" w:hanging="360"/>
      </w:pPr>
    </w:lvl>
  </w:abstractNum>
  <w:abstractNum w:abstractNumId="426">
    <w:nsid w:val="34611AD4"/>
    <w:multiLevelType w:val="hybridMultilevel"/>
    <w:tmpl w:val="BAD63BE8"/>
    <w:lvl w:ilvl="0" w:tplc="2A9CF4AE">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27">
    <w:nsid w:val="351B00F2"/>
    <w:multiLevelType w:val="hybridMultilevel"/>
    <w:tmpl w:val="FF4CA078"/>
    <w:lvl w:ilvl="0" w:tplc="D6A656B6">
      <w:numFmt w:val="bullet"/>
      <w:lvlText w:val="-"/>
      <w:lvlJc w:val="left"/>
      <w:pPr>
        <w:ind w:left="1068" w:hanging="360"/>
      </w:pPr>
      <w:rPr>
        <w:rFonts w:ascii="Times New Roman" w:eastAsia="Times New Roman" w:hAnsi="Times New Roman" w:cs="Times New Roman"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428">
    <w:nsid w:val="35931832"/>
    <w:multiLevelType w:val="hybridMultilevel"/>
    <w:tmpl w:val="E5FCAD64"/>
    <w:lvl w:ilvl="0" w:tplc="D6A656B6">
      <w:numFmt w:val="bullet"/>
      <w:lvlText w:val="-"/>
      <w:lvlJc w:val="left"/>
      <w:pPr>
        <w:ind w:left="1068" w:hanging="360"/>
      </w:pPr>
      <w:rPr>
        <w:rFonts w:ascii="Times New Roman" w:eastAsia="Times New Roman" w:hAnsi="Times New Roman" w:cs="Times New Roman"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429">
    <w:nsid w:val="35967357"/>
    <w:multiLevelType w:val="hybridMultilevel"/>
    <w:tmpl w:val="34180838"/>
    <w:lvl w:ilvl="0" w:tplc="E29612EA">
      <w:start w:val="1"/>
      <w:numFmt w:val="bullet"/>
      <w:lvlText w:val=""/>
      <w:lvlJc w:val="left"/>
      <w:pPr>
        <w:ind w:left="720" w:hanging="360"/>
      </w:pPr>
      <w:rPr>
        <w:rFonts w:ascii="Wingdings" w:hAnsi="Wingdings" w:cs="Wingdings" w:hint="default"/>
        <w:sz w:val="16"/>
        <w:szCs w:val="16"/>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30">
    <w:nsid w:val="35D604FF"/>
    <w:multiLevelType w:val="hybridMultilevel"/>
    <w:tmpl w:val="B01E0E6A"/>
    <w:lvl w:ilvl="0" w:tplc="55C6F320">
      <w:start w:val="1"/>
      <w:numFmt w:val="bullet"/>
      <w:lvlText w:val=""/>
      <w:lvlJc w:val="left"/>
      <w:pPr>
        <w:tabs>
          <w:tab w:val="num" w:pos="720"/>
        </w:tabs>
        <w:ind w:left="720" w:hanging="360"/>
      </w:pPr>
      <w:rPr>
        <w:rFonts w:ascii="Symbol" w:hAnsi="Symbol" w:hint="default"/>
        <w:sz w:val="20"/>
      </w:rPr>
    </w:lvl>
    <w:lvl w:ilvl="1" w:tplc="BB22A21A" w:tentative="1">
      <w:start w:val="1"/>
      <w:numFmt w:val="bullet"/>
      <w:lvlText w:val="o"/>
      <w:lvlJc w:val="left"/>
      <w:pPr>
        <w:tabs>
          <w:tab w:val="num" w:pos="1440"/>
        </w:tabs>
        <w:ind w:left="1440" w:hanging="360"/>
      </w:pPr>
      <w:rPr>
        <w:rFonts w:ascii="Courier New" w:hAnsi="Courier New" w:hint="default"/>
        <w:sz w:val="20"/>
      </w:rPr>
    </w:lvl>
    <w:lvl w:ilvl="2" w:tplc="422C0C7A" w:tentative="1">
      <w:start w:val="1"/>
      <w:numFmt w:val="bullet"/>
      <w:lvlText w:val=""/>
      <w:lvlJc w:val="left"/>
      <w:pPr>
        <w:tabs>
          <w:tab w:val="num" w:pos="2160"/>
        </w:tabs>
        <w:ind w:left="2160" w:hanging="360"/>
      </w:pPr>
      <w:rPr>
        <w:rFonts w:ascii="Wingdings" w:hAnsi="Wingdings" w:hint="default"/>
        <w:sz w:val="20"/>
      </w:rPr>
    </w:lvl>
    <w:lvl w:ilvl="3" w:tplc="E4F2D544" w:tentative="1">
      <w:start w:val="1"/>
      <w:numFmt w:val="bullet"/>
      <w:lvlText w:val=""/>
      <w:lvlJc w:val="left"/>
      <w:pPr>
        <w:tabs>
          <w:tab w:val="num" w:pos="2880"/>
        </w:tabs>
        <w:ind w:left="2880" w:hanging="360"/>
      </w:pPr>
      <w:rPr>
        <w:rFonts w:ascii="Wingdings" w:hAnsi="Wingdings" w:hint="default"/>
        <w:sz w:val="20"/>
      </w:rPr>
    </w:lvl>
    <w:lvl w:ilvl="4" w:tplc="16CABEF0" w:tentative="1">
      <w:start w:val="1"/>
      <w:numFmt w:val="bullet"/>
      <w:lvlText w:val=""/>
      <w:lvlJc w:val="left"/>
      <w:pPr>
        <w:tabs>
          <w:tab w:val="num" w:pos="3600"/>
        </w:tabs>
        <w:ind w:left="3600" w:hanging="360"/>
      </w:pPr>
      <w:rPr>
        <w:rFonts w:ascii="Wingdings" w:hAnsi="Wingdings" w:hint="default"/>
        <w:sz w:val="20"/>
      </w:rPr>
    </w:lvl>
    <w:lvl w:ilvl="5" w:tplc="923ED79A" w:tentative="1">
      <w:start w:val="1"/>
      <w:numFmt w:val="bullet"/>
      <w:lvlText w:val=""/>
      <w:lvlJc w:val="left"/>
      <w:pPr>
        <w:tabs>
          <w:tab w:val="num" w:pos="4320"/>
        </w:tabs>
        <w:ind w:left="4320" w:hanging="360"/>
      </w:pPr>
      <w:rPr>
        <w:rFonts w:ascii="Wingdings" w:hAnsi="Wingdings" w:hint="default"/>
        <w:sz w:val="20"/>
      </w:rPr>
    </w:lvl>
    <w:lvl w:ilvl="6" w:tplc="A8DEE120" w:tentative="1">
      <w:start w:val="1"/>
      <w:numFmt w:val="bullet"/>
      <w:lvlText w:val=""/>
      <w:lvlJc w:val="left"/>
      <w:pPr>
        <w:tabs>
          <w:tab w:val="num" w:pos="5040"/>
        </w:tabs>
        <w:ind w:left="5040" w:hanging="360"/>
      </w:pPr>
      <w:rPr>
        <w:rFonts w:ascii="Wingdings" w:hAnsi="Wingdings" w:hint="default"/>
        <w:sz w:val="20"/>
      </w:rPr>
    </w:lvl>
    <w:lvl w:ilvl="7" w:tplc="3B5EF782" w:tentative="1">
      <w:start w:val="1"/>
      <w:numFmt w:val="bullet"/>
      <w:lvlText w:val=""/>
      <w:lvlJc w:val="left"/>
      <w:pPr>
        <w:tabs>
          <w:tab w:val="num" w:pos="5760"/>
        </w:tabs>
        <w:ind w:left="5760" w:hanging="360"/>
      </w:pPr>
      <w:rPr>
        <w:rFonts w:ascii="Wingdings" w:hAnsi="Wingdings" w:hint="default"/>
        <w:sz w:val="20"/>
      </w:rPr>
    </w:lvl>
    <w:lvl w:ilvl="8" w:tplc="D42ADF80" w:tentative="1">
      <w:start w:val="1"/>
      <w:numFmt w:val="bullet"/>
      <w:lvlText w:val=""/>
      <w:lvlJc w:val="left"/>
      <w:pPr>
        <w:tabs>
          <w:tab w:val="num" w:pos="6480"/>
        </w:tabs>
        <w:ind w:left="6480" w:hanging="360"/>
      </w:pPr>
      <w:rPr>
        <w:rFonts w:ascii="Wingdings" w:hAnsi="Wingdings" w:hint="default"/>
        <w:sz w:val="20"/>
      </w:rPr>
    </w:lvl>
  </w:abstractNum>
  <w:abstractNum w:abstractNumId="431">
    <w:nsid w:val="35EC5B56"/>
    <w:multiLevelType w:val="hybridMultilevel"/>
    <w:tmpl w:val="729E8B8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2">
    <w:nsid w:val="361E6306"/>
    <w:multiLevelType w:val="hybridMultilevel"/>
    <w:tmpl w:val="A14A2EFE"/>
    <w:lvl w:ilvl="0" w:tplc="04150005">
      <w:start w:val="1"/>
      <w:numFmt w:val="bullet"/>
      <w:lvlText w:val=""/>
      <w:lvlJc w:val="left"/>
      <w:pPr>
        <w:tabs>
          <w:tab w:val="num" w:pos="720"/>
        </w:tabs>
        <w:ind w:left="720" w:hanging="360"/>
      </w:pPr>
      <w:rPr>
        <w:rFonts w:ascii="Wingdings" w:hAnsi="Wingdings" w:hint="default"/>
        <w:sz w:val="20"/>
      </w:rPr>
    </w:lvl>
    <w:lvl w:ilvl="1" w:tplc="E5D01E4A" w:tentative="1">
      <w:start w:val="1"/>
      <w:numFmt w:val="bullet"/>
      <w:lvlText w:val="o"/>
      <w:lvlJc w:val="left"/>
      <w:pPr>
        <w:tabs>
          <w:tab w:val="num" w:pos="1440"/>
        </w:tabs>
        <w:ind w:left="1440" w:hanging="360"/>
      </w:pPr>
      <w:rPr>
        <w:rFonts w:ascii="Courier New" w:hAnsi="Courier New" w:hint="default"/>
        <w:sz w:val="20"/>
      </w:rPr>
    </w:lvl>
    <w:lvl w:ilvl="2" w:tplc="553C3016" w:tentative="1">
      <w:start w:val="1"/>
      <w:numFmt w:val="bullet"/>
      <w:lvlText w:val=""/>
      <w:lvlJc w:val="left"/>
      <w:pPr>
        <w:tabs>
          <w:tab w:val="num" w:pos="2160"/>
        </w:tabs>
        <w:ind w:left="2160" w:hanging="360"/>
      </w:pPr>
      <w:rPr>
        <w:rFonts w:ascii="Wingdings" w:hAnsi="Wingdings" w:hint="default"/>
        <w:sz w:val="20"/>
      </w:rPr>
    </w:lvl>
    <w:lvl w:ilvl="3" w:tplc="0456A93E" w:tentative="1">
      <w:start w:val="1"/>
      <w:numFmt w:val="bullet"/>
      <w:lvlText w:val=""/>
      <w:lvlJc w:val="left"/>
      <w:pPr>
        <w:tabs>
          <w:tab w:val="num" w:pos="2880"/>
        </w:tabs>
        <w:ind w:left="2880" w:hanging="360"/>
      </w:pPr>
      <w:rPr>
        <w:rFonts w:ascii="Wingdings" w:hAnsi="Wingdings" w:hint="default"/>
        <w:sz w:val="20"/>
      </w:rPr>
    </w:lvl>
    <w:lvl w:ilvl="4" w:tplc="5B787EA6" w:tentative="1">
      <w:start w:val="1"/>
      <w:numFmt w:val="bullet"/>
      <w:lvlText w:val=""/>
      <w:lvlJc w:val="left"/>
      <w:pPr>
        <w:tabs>
          <w:tab w:val="num" w:pos="3600"/>
        </w:tabs>
        <w:ind w:left="3600" w:hanging="360"/>
      </w:pPr>
      <w:rPr>
        <w:rFonts w:ascii="Wingdings" w:hAnsi="Wingdings" w:hint="default"/>
        <w:sz w:val="20"/>
      </w:rPr>
    </w:lvl>
    <w:lvl w:ilvl="5" w:tplc="211EE5B8" w:tentative="1">
      <w:start w:val="1"/>
      <w:numFmt w:val="bullet"/>
      <w:lvlText w:val=""/>
      <w:lvlJc w:val="left"/>
      <w:pPr>
        <w:tabs>
          <w:tab w:val="num" w:pos="4320"/>
        </w:tabs>
        <w:ind w:left="4320" w:hanging="360"/>
      </w:pPr>
      <w:rPr>
        <w:rFonts w:ascii="Wingdings" w:hAnsi="Wingdings" w:hint="default"/>
        <w:sz w:val="20"/>
      </w:rPr>
    </w:lvl>
    <w:lvl w:ilvl="6" w:tplc="7C042FC6" w:tentative="1">
      <w:start w:val="1"/>
      <w:numFmt w:val="bullet"/>
      <w:lvlText w:val=""/>
      <w:lvlJc w:val="left"/>
      <w:pPr>
        <w:tabs>
          <w:tab w:val="num" w:pos="5040"/>
        </w:tabs>
        <w:ind w:left="5040" w:hanging="360"/>
      </w:pPr>
      <w:rPr>
        <w:rFonts w:ascii="Wingdings" w:hAnsi="Wingdings" w:hint="default"/>
        <w:sz w:val="20"/>
      </w:rPr>
    </w:lvl>
    <w:lvl w:ilvl="7" w:tplc="2E6688FC" w:tentative="1">
      <w:start w:val="1"/>
      <w:numFmt w:val="bullet"/>
      <w:lvlText w:val=""/>
      <w:lvlJc w:val="left"/>
      <w:pPr>
        <w:tabs>
          <w:tab w:val="num" w:pos="5760"/>
        </w:tabs>
        <w:ind w:left="5760" w:hanging="360"/>
      </w:pPr>
      <w:rPr>
        <w:rFonts w:ascii="Wingdings" w:hAnsi="Wingdings" w:hint="default"/>
        <w:sz w:val="20"/>
      </w:rPr>
    </w:lvl>
    <w:lvl w:ilvl="8" w:tplc="CAA0E46E" w:tentative="1">
      <w:start w:val="1"/>
      <w:numFmt w:val="bullet"/>
      <w:lvlText w:val=""/>
      <w:lvlJc w:val="left"/>
      <w:pPr>
        <w:tabs>
          <w:tab w:val="num" w:pos="6480"/>
        </w:tabs>
        <w:ind w:left="6480" w:hanging="360"/>
      </w:pPr>
      <w:rPr>
        <w:rFonts w:ascii="Wingdings" w:hAnsi="Wingdings" w:hint="default"/>
        <w:sz w:val="20"/>
      </w:rPr>
    </w:lvl>
  </w:abstractNum>
  <w:abstractNum w:abstractNumId="433">
    <w:nsid w:val="362C6F0D"/>
    <w:multiLevelType w:val="hybridMultilevel"/>
    <w:tmpl w:val="10001D1E"/>
    <w:lvl w:ilvl="0" w:tplc="B91025FE">
      <w:start w:val="1"/>
      <w:numFmt w:val="decimal"/>
      <w:lvlText w:val="K5.3.%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4">
    <w:nsid w:val="362D2CD7"/>
    <w:multiLevelType w:val="hybridMultilevel"/>
    <w:tmpl w:val="EB00F880"/>
    <w:lvl w:ilvl="0" w:tplc="3BA23654">
      <w:start w:val="1"/>
      <w:numFmt w:val="bullet"/>
      <w:lvlText w:val="-"/>
      <w:lvlJc w:val="left"/>
      <w:pPr>
        <w:ind w:left="720" w:hanging="360"/>
      </w:pPr>
      <w:rPr>
        <w:rFonts w:ascii="Verdana" w:hAnsi="Verdana"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35">
    <w:nsid w:val="36540402"/>
    <w:multiLevelType w:val="hybridMultilevel"/>
    <w:tmpl w:val="E5CEB5F4"/>
    <w:lvl w:ilvl="0" w:tplc="0A3614BE">
      <w:start w:val="1"/>
      <w:numFmt w:val="bullet"/>
      <w:lvlText w:val=""/>
      <w:lvlJc w:val="left"/>
      <w:pPr>
        <w:tabs>
          <w:tab w:val="num" w:pos="720"/>
        </w:tabs>
        <w:ind w:left="720" w:hanging="360"/>
      </w:pPr>
      <w:rPr>
        <w:rFonts w:ascii="Symbol" w:hAnsi="Symbol" w:hint="default"/>
        <w:sz w:val="20"/>
      </w:rPr>
    </w:lvl>
    <w:lvl w:ilvl="1" w:tplc="259E834E" w:tentative="1">
      <w:start w:val="1"/>
      <w:numFmt w:val="bullet"/>
      <w:lvlText w:val="o"/>
      <w:lvlJc w:val="left"/>
      <w:pPr>
        <w:tabs>
          <w:tab w:val="num" w:pos="1440"/>
        </w:tabs>
        <w:ind w:left="1440" w:hanging="360"/>
      </w:pPr>
      <w:rPr>
        <w:rFonts w:ascii="Courier New" w:hAnsi="Courier New" w:hint="default"/>
        <w:sz w:val="20"/>
      </w:rPr>
    </w:lvl>
    <w:lvl w:ilvl="2" w:tplc="D9A8A950" w:tentative="1">
      <w:start w:val="1"/>
      <w:numFmt w:val="bullet"/>
      <w:lvlText w:val=""/>
      <w:lvlJc w:val="left"/>
      <w:pPr>
        <w:tabs>
          <w:tab w:val="num" w:pos="2160"/>
        </w:tabs>
        <w:ind w:left="2160" w:hanging="360"/>
      </w:pPr>
      <w:rPr>
        <w:rFonts w:ascii="Wingdings" w:hAnsi="Wingdings" w:hint="default"/>
        <w:sz w:val="20"/>
      </w:rPr>
    </w:lvl>
    <w:lvl w:ilvl="3" w:tplc="DE96D5F0" w:tentative="1">
      <w:start w:val="1"/>
      <w:numFmt w:val="bullet"/>
      <w:lvlText w:val=""/>
      <w:lvlJc w:val="left"/>
      <w:pPr>
        <w:tabs>
          <w:tab w:val="num" w:pos="2880"/>
        </w:tabs>
        <w:ind w:left="2880" w:hanging="360"/>
      </w:pPr>
      <w:rPr>
        <w:rFonts w:ascii="Wingdings" w:hAnsi="Wingdings" w:hint="default"/>
        <w:sz w:val="20"/>
      </w:rPr>
    </w:lvl>
    <w:lvl w:ilvl="4" w:tplc="0B0E8482" w:tentative="1">
      <w:start w:val="1"/>
      <w:numFmt w:val="bullet"/>
      <w:lvlText w:val=""/>
      <w:lvlJc w:val="left"/>
      <w:pPr>
        <w:tabs>
          <w:tab w:val="num" w:pos="3600"/>
        </w:tabs>
        <w:ind w:left="3600" w:hanging="360"/>
      </w:pPr>
      <w:rPr>
        <w:rFonts w:ascii="Wingdings" w:hAnsi="Wingdings" w:hint="default"/>
        <w:sz w:val="20"/>
      </w:rPr>
    </w:lvl>
    <w:lvl w:ilvl="5" w:tplc="DE8C4884" w:tentative="1">
      <w:start w:val="1"/>
      <w:numFmt w:val="bullet"/>
      <w:lvlText w:val=""/>
      <w:lvlJc w:val="left"/>
      <w:pPr>
        <w:tabs>
          <w:tab w:val="num" w:pos="4320"/>
        </w:tabs>
        <w:ind w:left="4320" w:hanging="360"/>
      </w:pPr>
      <w:rPr>
        <w:rFonts w:ascii="Wingdings" w:hAnsi="Wingdings" w:hint="default"/>
        <w:sz w:val="20"/>
      </w:rPr>
    </w:lvl>
    <w:lvl w:ilvl="6" w:tplc="4BEC2C8A" w:tentative="1">
      <w:start w:val="1"/>
      <w:numFmt w:val="bullet"/>
      <w:lvlText w:val=""/>
      <w:lvlJc w:val="left"/>
      <w:pPr>
        <w:tabs>
          <w:tab w:val="num" w:pos="5040"/>
        </w:tabs>
        <w:ind w:left="5040" w:hanging="360"/>
      </w:pPr>
      <w:rPr>
        <w:rFonts w:ascii="Wingdings" w:hAnsi="Wingdings" w:hint="default"/>
        <w:sz w:val="20"/>
      </w:rPr>
    </w:lvl>
    <w:lvl w:ilvl="7" w:tplc="28C6B50A" w:tentative="1">
      <w:start w:val="1"/>
      <w:numFmt w:val="bullet"/>
      <w:lvlText w:val=""/>
      <w:lvlJc w:val="left"/>
      <w:pPr>
        <w:tabs>
          <w:tab w:val="num" w:pos="5760"/>
        </w:tabs>
        <w:ind w:left="5760" w:hanging="360"/>
      </w:pPr>
      <w:rPr>
        <w:rFonts w:ascii="Wingdings" w:hAnsi="Wingdings" w:hint="default"/>
        <w:sz w:val="20"/>
      </w:rPr>
    </w:lvl>
    <w:lvl w:ilvl="8" w:tplc="C7F801D6" w:tentative="1">
      <w:start w:val="1"/>
      <w:numFmt w:val="bullet"/>
      <w:lvlText w:val=""/>
      <w:lvlJc w:val="left"/>
      <w:pPr>
        <w:tabs>
          <w:tab w:val="num" w:pos="6480"/>
        </w:tabs>
        <w:ind w:left="6480" w:hanging="360"/>
      </w:pPr>
      <w:rPr>
        <w:rFonts w:ascii="Wingdings" w:hAnsi="Wingdings" w:hint="default"/>
        <w:sz w:val="20"/>
      </w:rPr>
    </w:lvl>
  </w:abstractNum>
  <w:abstractNum w:abstractNumId="436">
    <w:nsid w:val="36B7473B"/>
    <w:multiLevelType w:val="multilevel"/>
    <w:tmpl w:val="229E4F1E"/>
    <w:lvl w:ilvl="0">
      <w:start w:val="1"/>
      <w:numFmt w:val="decimal"/>
      <w:lvlText w:val="%1."/>
      <w:lvlJc w:val="left"/>
      <w:pPr>
        <w:ind w:left="360" w:hanging="360"/>
      </w:pPr>
      <w:rPr>
        <w:rFonts w:hint="default"/>
      </w:rPr>
    </w:lvl>
    <w:lvl w:ilvl="1">
      <w:start w:val="1"/>
      <w:numFmt w:val="decimal"/>
      <w:pStyle w:val="Nagwek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7">
    <w:nsid w:val="36EE0D36"/>
    <w:multiLevelType w:val="hybridMultilevel"/>
    <w:tmpl w:val="1C2E9872"/>
    <w:lvl w:ilvl="0" w:tplc="CAEAE8E6">
      <w:start w:val="1"/>
      <w:numFmt w:val="bullet"/>
      <w:lvlText w:val=""/>
      <w:lvlJc w:val="left"/>
      <w:pPr>
        <w:tabs>
          <w:tab w:val="num" w:pos="720"/>
        </w:tabs>
        <w:ind w:left="720" w:hanging="360"/>
      </w:pPr>
      <w:rPr>
        <w:rFonts w:ascii="Symbol" w:hAnsi="Symbol" w:hint="default"/>
        <w:sz w:val="20"/>
      </w:rPr>
    </w:lvl>
    <w:lvl w:ilvl="1" w:tplc="76A8B110" w:tentative="1">
      <w:start w:val="1"/>
      <w:numFmt w:val="bullet"/>
      <w:lvlText w:val="o"/>
      <w:lvlJc w:val="left"/>
      <w:pPr>
        <w:tabs>
          <w:tab w:val="num" w:pos="1440"/>
        </w:tabs>
        <w:ind w:left="1440" w:hanging="360"/>
      </w:pPr>
      <w:rPr>
        <w:rFonts w:ascii="Courier New" w:hAnsi="Courier New" w:hint="default"/>
        <w:sz w:val="20"/>
      </w:rPr>
    </w:lvl>
    <w:lvl w:ilvl="2" w:tplc="6292DAA8" w:tentative="1">
      <w:start w:val="1"/>
      <w:numFmt w:val="bullet"/>
      <w:lvlText w:val=""/>
      <w:lvlJc w:val="left"/>
      <w:pPr>
        <w:tabs>
          <w:tab w:val="num" w:pos="2160"/>
        </w:tabs>
        <w:ind w:left="2160" w:hanging="360"/>
      </w:pPr>
      <w:rPr>
        <w:rFonts w:ascii="Wingdings" w:hAnsi="Wingdings" w:hint="default"/>
        <w:sz w:val="20"/>
      </w:rPr>
    </w:lvl>
    <w:lvl w:ilvl="3" w:tplc="E9E22D98" w:tentative="1">
      <w:start w:val="1"/>
      <w:numFmt w:val="bullet"/>
      <w:lvlText w:val=""/>
      <w:lvlJc w:val="left"/>
      <w:pPr>
        <w:tabs>
          <w:tab w:val="num" w:pos="2880"/>
        </w:tabs>
        <w:ind w:left="2880" w:hanging="360"/>
      </w:pPr>
      <w:rPr>
        <w:rFonts w:ascii="Wingdings" w:hAnsi="Wingdings" w:hint="default"/>
        <w:sz w:val="20"/>
      </w:rPr>
    </w:lvl>
    <w:lvl w:ilvl="4" w:tplc="91920958" w:tentative="1">
      <w:start w:val="1"/>
      <w:numFmt w:val="bullet"/>
      <w:lvlText w:val=""/>
      <w:lvlJc w:val="left"/>
      <w:pPr>
        <w:tabs>
          <w:tab w:val="num" w:pos="3600"/>
        </w:tabs>
        <w:ind w:left="3600" w:hanging="360"/>
      </w:pPr>
      <w:rPr>
        <w:rFonts w:ascii="Wingdings" w:hAnsi="Wingdings" w:hint="default"/>
        <w:sz w:val="20"/>
      </w:rPr>
    </w:lvl>
    <w:lvl w:ilvl="5" w:tplc="B352E1D8" w:tentative="1">
      <w:start w:val="1"/>
      <w:numFmt w:val="bullet"/>
      <w:lvlText w:val=""/>
      <w:lvlJc w:val="left"/>
      <w:pPr>
        <w:tabs>
          <w:tab w:val="num" w:pos="4320"/>
        </w:tabs>
        <w:ind w:left="4320" w:hanging="360"/>
      </w:pPr>
      <w:rPr>
        <w:rFonts w:ascii="Wingdings" w:hAnsi="Wingdings" w:hint="default"/>
        <w:sz w:val="20"/>
      </w:rPr>
    </w:lvl>
    <w:lvl w:ilvl="6" w:tplc="D15AF252" w:tentative="1">
      <w:start w:val="1"/>
      <w:numFmt w:val="bullet"/>
      <w:lvlText w:val=""/>
      <w:lvlJc w:val="left"/>
      <w:pPr>
        <w:tabs>
          <w:tab w:val="num" w:pos="5040"/>
        </w:tabs>
        <w:ind w:left="5040" w:hanging="360"/>
      </w:pPr>
      <w:rPr>
        <w:rFonts w:ascii="Wingdings" w:hAnsi="Wingdings" w:hint="default"/>
        <w:sz w:val="20"/>
      </w:rPr>
    </w:lvl>
    <w:lvl w:ilvl="7" w:tplc="F9E6A3E6" w:tentative="1">
      <w:start w:val="1"/>
      <w:numFmt w:val="bullet"/>
      <w:lvlText w:val=""/>
      <w:lvlJc w:val="left"/>
      <w:pPr>
        <w:tabs>
          <w:tab w:val="num" w:pos="5760"/>
        </w:tabs>
        <w:ind w:left="5760" w:hanging="360"/>
      </w:pPr>
      <w:rPr>
        <w:rFonts w:ascii="Wingdings" w:hAnsi="Wingdings" w:hint="default"/>
        <w:sz w:val="20"/>
      </w:rPr>
    </w:lvl>
    <w:lvl w:ilvl="8" w:tplc="35EC2CA2" w:tentative="1">
      <w:start w:val="1"/>
      <w:numFmt w:val="bullet"/>
      <w:lvlText w:val=""/>
      <w:lvlJc w:val="left"/>
      <w:pPr>
        <w:tabs>
          <w:tab w:val="num" w:pos="6480"/>
        </w:tabs>
        <w:ind w:left="6480" w:hanging="360"/>
      </w:pPr>
      <w:rPr>
        <w:rFonts w:ascii="Wingdings" w:hAnsi="Wingdings" w:hint="default"/>
        <w:sz w:val="20"/>
      </w:rPr>
    </w:lvl>
  </w:abstractNum>
  <w:abstractNum w:abstractNumId="438">
    <w:nsid w:val="37376D6D"/>
    <w:multiLevelType w:val="hybridMultilevel"/>
    <w:tmpl w:val="86D89A6E"/>
    <w:lvl w:ilvl="0" w:tplc="04150005">
      <w:start w:val="1"/>
      <w:numFmt w:val="bullet"/>
      <w:lvlText w:val=""/>
      <w:lvlJc w:val="left"/>
      <w:pPr>
        <w:tabs>
          <w:tab w:val="num" w:pos="720"/>
        </w:tabs>
        <w:ind w:left="720" w:hanging="360"/>
      </w:pPr>
      <w:rPr>
        <w:rFonts w:ascii="Wingdings" w:hAnsi="Wingdings" w:hint="default"/>
        <w:sz w:val="20"/>
      </w:rPr>
    </w:lvl>
    <w:lvl w:ilvl="1" w:tplc="04FCB012" w:tentative="1">
      <w:start w:val="1"/>
      <w:numFmt w:val="bullet"/>
      <w:lvlText w:val="o"/>
      <w:lvlJc w:val="left"/>
      <w:pPr>
        <w:tabs>
          <w:tab w:val="num" w:pos="1440"/>
        </w:tabs>
        <w:ind w:left="1440" w:hanging="360"/>
      </w:pPr>
      <w:rPr>
        <w:rFonts w:ascii="Courier New" w:hAnsi="Courier New" w:hint="default"/>
        <w:sz w:val="20"/>
      </w:rPr>
    </w:lvl>
    <w:lvl w:ilvl="2" w:tplc="43E65446" w:tentative="1">
      <w:start w:val="1"/>
      <w:numFmt w:val="bullet"/>
      <w:lvlText w:val=""/>
      <w:lvlJc w:val="left"/>
      <w:pPr>
        <w:tabs>
          <w:tab w:val="num" w:pos="2160"/>
        </w:tabs>
        <w:ind w:left="2160" w:hanging="360"/>
      </w:pPr>
      <w:rPr>
        <w:rFonts w:ascii="Wingdings" w:hAnsi="Wingdings" w:hint="default"/>
        <w:sz w:val="20"/>
      </w:rPr>
    </w:lvl>
    <w:lvl w:ilvl="3" w:tplc="6554AAD2" w:tentative="1">
      <w:start w:val="1"/>
      <w:numFmt w:val="bullet"/>
      <w:lvlText w:val=""/>
      <w:lvlJc w:val="left"/>
      <w:pPr>
        <w:tabs>
          <w:tab w:val="num" w:pos="2880"/>
        </w:tabs>
        <w:ind w:left="2880" w:hanging="360"/>
      </w:pPr>
      <w:rPr>
        <w:rFonts w:ascii="Wingdings" w:hAnsi="Wingdings" w:hint="default"/>
        <w:sz w:val="20"/>
      </w:rPr>
    </w:lvl>
    <w:lvl w:ilvl="4" w:tplc="E82A4A96" w:tentative="1">
      <w:start w:val="1"/>
      <w:numFmt w:val="bullet"/>
      <w:lvlText w:val=""/>
      <w:lvlJc w:val="left"/>
      <w:pPr>
        <w:tabs>
          <w:tab w:val="num" w:pos="3600"/>
        </w:tabs>
        <w:ind w:left="3600" w:hanging="360"/>
      </w:pPr>
      <w:rPr>
        <w:rFonts w:ascii="Wingdings" w:hAnsi="Wingdings" w:hint="default"/>
        <w:sz w:val="20"/>
      </w:rPr>
    </w:lvl>
    <w:lvl w:ilvl="5" w:tplc="DD20B412" w:tentative="1">
      <w:start w:val="1"/>
      <w:numFmt w:val="bullet"/>
      <w:lvlText w:val=""/>
      <w:lvlJc w:val="left"/>
      <w:pPr>
        <w:tabs>
          <w:tab w:val="num" w:pos="4320"/>
        </w:tabs>
        <w:ind w:left="4320" w:hanging="360"/>
      </w:pPr>
      <w:rPr>
        <w:rFonts w:ascii="Wingdings" w:hAnsi="Wingdings" w:hint="default"/>
        <w:sz w:val="20"/>
      </w:rPr>
    </w:lvl>
    <w:lvl w:ilvl="6" w:tplc="AC5CB628" w:tentative="1">
      <w:start w:val="1"/>
      <w:numFmt w:val="bullet"/>
      <w:lvlText w:val=""/>
      <w:lvlJc w:val="left"/>
      <w:pPr>
        <w:tabs>
          <w:tab w:val="num" w:pos="5040"/>
        </w:tabs>
        <w:ind w:left="5040" w:hanging="360"/>
      </w:pPr>
      <w:rPr>
        <w:rFonts w:ascii="Wingdings" w:hAnsi="Wingdings" w:hint="default"/>
        <w:sz w:val="20"/>
      </w:rPr>
    </w:lvl>
    <w:lvl w:ilvl="7" w:tplc="979CEBD8" w:tentative="1">
      <w:start w:val="1"/>
      <w:numFmt w:val="bullet"/>
      <w:lvlText w:val=""/>
      <w:lvlJc w:val="left"/>
      <w:pPr>
        <w:tabs>
          <w:tab w:val="num" w:pos="5760"/>
        </w:tabs>
        <w:ind w:left="5760" w:hanging="360"/>
      </w:pPr>
      <w:rPr>
        <w:rFonts w:ascii="Wingdings" w:hAnsi="Wingdings" w:hint="default"/>
        <w:sz w:val="20"/>
      </w:rPr>
    </w:lvl>
    <w:lvl w:ilvl="8" w:tplc="579EA97C" w:tentative="1">
      <w:start w:val="1"/>
      <w:numFmt w:val="bullet"/>
      <w:lvlText w:val=""/>
      <w:lvlJc w:val="left"/>
      <w:pPr>
        <w:tabs>
          <w:tab w:val="num" w:pos="6480"/>
        </w:tabs>
        <w:ind w:left="6480" w:hanging="360"/>
      </w:pPr>
      <w:rPr>
        <w:rFonts w:ascii="Wingdings" w:hAnsi="Wingdings" w:hint="default"/>
        <w:sz w:val="20"/>
      </w:rPr>
    </w:lvl>
  </w:abstractNum>
  <w:abstractNum w:abstractNumId="439">
    <w:nsid w:val="381A0D34"/>
    <w:multiLevelType w:val="hybridMultilevel"/>
    <w:tmpl w:val="9224FC28"/>
    <w:lvl w:ilvl="0" w:tplc="47421176">
      <w:start w:val="1"/>
      <w:numFmt w:val="bullet"/>
      <w:lvlText w:val=""/>
      <w:lvlJc w:val="left"/>
      <w:pPr>
        <w:tabs>
          <w:tab w:val="num" w:pos="1440"/>
        </w:tabs>
        <w:ind w:left="1440" w:hanging="360"/>
      </w:pPr>
      <w:rPr>
        <w:rFonts w:ascii="Wingdings" w:hAnsi="Wingdings" w:cs="Wingdings" w:hint="default"/>
        <w:color w:val="auto"/>
        <w:sz w:val="20"/>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40">
    <w:nsid w:val="38217D0F"/>
    <w:multiLevelType w:val="hybridMultilevel"/>
    <w:tmpl w:val="1A686648"/>
    <w:lvl w:ilvl="0" w:tplc="C2E691A6">
      <w:start w:val="1"/>
      <w:numFmt w:val="decimal"/>
      <w:lvlText w:val="C%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41">
    <w:nsid w:val="382817FC"/>
    <w:multiLevelType w:val="multilevel"/>
    <w:tmpl w:val="503A5682"/>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42">
    <w:nsid w:val="38635EE5"/>
    <w:multiLevelType w:val="hybridMultilevel"/>
    <w:tmpl w:val="82CC5D9C"/>
    <w:lvl w:ilvl="0" w:tplc="A9E6748E">
      <w:start w:val="1"/>
      <w:numFmt w:val="bullet"/>
      <w:lvlText w:val=""/>
      <w:lvlJc w:val="left"/>
      <w:pPr>
        <w:tabs>
          <w:tab w:val="num" w:pos="720"/>
        </w:tabs>
        <w:ind w:left="720" w:hanging="360"/>
      </w:pPr>
      <w:rPr>
        <w:rFonts w:ascii="Symbol" w:hAnsi="Symbol" w:hint="default"/>
        <w:sz w:val="20"/>
      </w:rPr>
    </w:lvl>
    <w:lvl w:ilvl="1" w:tplc="CB425DD2" w:tentative="1">
      <w:start w:val="1"/>
      <w:numFmt w:val="bullet"/>
      <w:lvlText w:val="o"/>
      <w:lvlJc w:val="left"/>
      <w:pPr>
        <w:tabs>
          <w:tab w:val="num" w:pos="1440"/>
        </w:tabs>
        <w:ind w:left="1440" w:hanging="360"/>
      </w:pPr>
      <w:rPr>
        <w:rFonts w:ascii="Courier New" w:hAnsi="Courier New" w:hint="default"/>
        <w:sz w:val="20"/>
      </w:rPr>
    </w:lvl>
    <w:lvl w:ilvl="2" w:tplc="AF70EF0A" w:tentative="1">
      <w:start w:val="1"/>
      <w:numFmt w:val="bullet"/>
      <w:lvlText w:val=""/>
      <w:lvlJc w:val="left"/>
      <w:pPr>
        <w:tabs>
          <w:tab w:val="num" w:pos="2160"/>
        </w:tabs>
        <w:ind w:left="2160" w:hanging="360"/>
      </w:pPr>
      <w:rPr>
        <w:rFonts w:ascii="Wingdings" w:hAnsi="Wingdings" w:hint="default"/>
        <w:sz w:val="20"/>
      </w:rPr>
    </w:lvl>
    <w:lvl w:ilvl="3" w:tplc="DD187690" w:tentative="1">
      <w:start w:val="1"/>
      <w:numFmt w:val="bullet"/>
      <w:lvlText w:val=""/>
      <w:lvlJc w:val="left"/>
      <w:pPr>
        <w:tabs>
          <w:tab w:val="num" w:pos="2880"/>
        </w:tabs>
        <w:ind w:left="2880" w:hanging="360"/>
      </w:pPr>
      <w:rPr>
        <w:rFonts w:ascii="Wingdings" w:hAnsi="Wingdings" w:hint="default"/>
        <w:sz w:val="20"/>
      </w:rPr>
    </w:lvl>
    <w:lvl w:ilvl="4" w:tplc="E6865146" w:tentative="1">
      <w:start w:val="1"/>
      <w:numFmt w:val="bullet"/>
      <w:lvlText w:val=""/>
      <w:lvlJc w:val="left"/>
      <w:pPr>
        <w:tabs>
          <w:tab w:val="num" w:pos="3600"/>
        </w:tabs>
        <w:ind w:left="3600" w:hanging="360"/>
      </w:pPr>
      <w:rPr>
        <w:rFonts w:ascii="Wingdings" w:hAnsi="Wingdings" w:hint="default"/>
        <w:sz w:val="20"/>
      </w:rPr>
    </w:lvl>
    <w:lvl w:ilvl="5" w:tplc="7F9E58DC" w:tentative="1">
      <w:start w:val="1"/>
      <w:numFmt w:val="bullet"/>
      <w:lvlText w:val=""/>
      <w:lvlJc w:val="left"/>
      <w:pPr>
        <w:tabs>
          <w:tab w:val="num" w:pos="4320"/>
        </w:tabs>
        <w:ind w:left="4320" w:hanging="360"/>
      </w:pPr>
      <w:rPr>
        <w:rFonts w:ascii="Wingdings" w:hAnsi="Wingdings" w:hint="default"/>
        <w:sz w:val="20"/>
      </w:rPr>
    </w:lvl>
    <w:lvl w:ilvl="6" w:tplc="7FDCB2C6" w:tentative="1">
      <w:start w:val="1"/>
      <w:numFmt w:val="bullet"/>
      <w:lvlText w:val=""/>
      <w:lvlJc w:val="left"/>
      <w:pPr>
        <w:tabs>
          <w:tab w:val="num" w:pos="5040"/>
        </w:tabs>
        <w:ind w:left="5040" w:hanging="360"/>
      </w:pPr>
      <w:rPr>
        <w:rFonts w:ascii="Wingdings" w:hAnsi="Wingdings" w:hint="default"/>
        <w:sz w:val="20"/>
      </w:rPr>
    </w:lvl>
    <w:lvl w:ilvl="7" w:tplc="FAC867CA" w:tentative="1">
      <w:start w:val="1"/>
      <w:numFmt w:val="bullet"/>
      <w:lvlText w:val=""/>
      <w:lvlJc w:val="left"/>
      <w:pPr>
        <w:tabs>
          <w:tab w:val="num" w:pos="5760"/>
        </w:tabs>
        <w:ind w:left="5760" w:hanging="360"/>
      </w:pPr>
      <w:rPr>
        <w:rFonts w:ascii="Wingdings" w:hAnsi="Wingdings" w:hint="default"/>
        <w:sz w:val="20"/>
      </w:rPr>
    </w:lvl>
    <w:lvl w:ilvl="8" w:tplc="1366A3AA" w:tentative="1">
      <w:start w:val="1"/>
      <w:numFmt w:val="bullet"/>
      <w:lvlText w:val=""/>
      <w:lvlJc w:val="left"/>
      <w:pPr>
        <w:tabs>
          <w:tab w:val="num" w:pos="6480"/>
        </w:tabs>
        <w:ind w:left="6480" w:hanging="360"/>
      </w:pPr>
      <w:rPr>
        <w:rFonts w:ascii="Wingdings" w:hAnsi="Wingdings" w:hint="default"/>
        <w:sz w:val="20"/>
      </w:rPr>
    </w:lvl>
  </w:abstractNum>
  <w:abstractNum w:abstractNumId="443">
    <w:nsid w:val="387D5977"/>
    <w:multiLevelType w:val="hybridMultilevel"/>
    <w:tmpl w:val="872ACFDE"/>
    <w:lvl w:ilvl="0" w:tplc="04150005">
      <w:start w:val="1"/>
      <w:numFmt w:val="bullet"/>
      <w:lvlText w:val=""/>
      <w:lvlJc w:val="left"/>
      <w:pPr>
        <w:tabs>
          <w:tab w:val="num" w:pos="720"/>
        </w:tabs>
        <w:ind w:left="720" w:hanging="360"/>
      </w:pPr>
      <w:rPr>
        <w:rFonts w:ascii="Wingdings" w:hAnsi="Wingdings" w:hint="default"/>
        <w:sz w:val="20"/>
      </w:rPr>
    </w:lvl>
    <w:lvl w:ilvl="1" w:tplc="D9261B96" w:tentative="1">
      <w:start w:val="1"/>
      <w:numFmt w:val="bullet"/>
      <w:lvlText w:val="o"/>
      <w:lvlJc w:val="left"/>
      <w:pPr>
        <w:tabs>
          <w:tab w:val="num" w:pos="1440"/>
        </w:tabs>
        <w:ind w:left="1440" w:hanging="360"/>
      </w:pPr>
      <w:rPr>
        <w:rFonts w:ascii="Courier New" w:hAnsi="Courier New" w:hint="default"/>
        <w:sz w:val="20"/>
      </w:rPr>
    </w:lvl>
    <w:lvl w:ilvl="2" w:tplc="BDCA97B6" w:tentative="1">
      <w:start w:val="1"/>
      <w:numFmt w:val="bullet"/>
      <w:lvlText w:val=""/>
      <w:lvlJc w:val="left"/>
      <w:pPr>
        <w:tabs>
          <w:tab w:val="num" w:pos="2160"/>
        </w:tabs>
        <w:ind w:left="2160" w:hanging="360"/>
      </w:pPr>
      <w:rPr>
        <w:rFonts w:ascii="Wingdings" w:hAnsi="Wingdings" w:hint="default"/>
        <w:sz w:val="20"/>
      </w:rPr>
    </w:lvl>
    <w:lvl w:ilvl="3" w:tplc="9A1CCF80" w:tentative="1">
      <w:start w:val="1"/>
      <w:numFmt w:val="bullet"/>
      <w:lvlText w:val=""/>
      <w:lvlJc w:val="left"/>
      <w:pPr>
        <w:tabs>
          <w:tab w:val="num" w:pos="2880"/>
        </w:tabs>
        <w:ind w:left="2880" w:hanging="360"/>
      </w:pPr>
      <w:rPr>
        <w:rFonts w:ascii="Wingdings" w:hAnsi="Wingdings" w:hint="default"/>
        <w:sz w:val="20"/>
      </w:rPr>
    </w:lvl>
    <w:lvl w:ilvl="4" w:tplc="F7C8711E" w:tentative="1">
      <w:start w:val="1"/>
      <w:numFmt w:val="bullet"/>
      <w:lvlText w:val=""/>
      <w:lvlJc w:val="left"/>
      <w:pPr>
        <w:tabs>
          <w:tab w:val="num" w:pos="3600"/>
        </w:tabs>
        <w:ind w:left="3600" w:hanging="360"/>
      </w:pPr>
      <w:rPr>
        <w:rFonts w:ascii="Wingdings" w:hAnsi="Wingdings" w:hint="default"/>
        <w:sz w:val="20"/>
      </w:rPr>
    </w:lvl>
    <w:lvl w:ilvl="5" w:tplc="026894D2" w:tentative="1">
      <w:start w:val="1"/>
      <w:numFmt w:val="bullet"/>
      <w:lvlText w:val=""/>
      <w:lvlJc w:val="left"/>
      <w:pPr>
        <w:tabs>
          <w:tab w:val="num" w:pos="4320"/>
        </w:tabs>
        <w:ind w:left="4320" w:hanging="360"/>
      </w:pPr>
      <w:rPr>
        <w:rFonts w:ascii="Wingdings" w:hAnsi="Wingdings" w:hint="default"/>
        <w:sz w:val="20"/>
      </w:rPr>
    </w:lvl>
    <w:lvl w:ilvl="6" w:tplc="A5E4C32C" w:tentative="1">
      <w:start w:val="1"/>
      <w:numFmt w:val="bullet"/>
      <w:lvlText w:val=""/>
      <w:lvlJc w:val="left"/>
      <w:pPr>
        <w:tabs>
          <w:tab w:val="num" w:pos="5040"/>
        </w:tabs>
        <w:ind w:left="5040" w:hanging="360"/>
      </w:pPr>
      <w:rPr>
        <w:rFonts w:ascii="Wingdings" w:hAnsi="Wingdings" w:hint="default"/>
        <w:sz w:val="20"/>
      </w:rPr>
    </w:lvl>
    <w:lvl w:ilvl="7" w:tplc="1FC2A2AE" w:tentative="1">
      <w:start w:val="1"/>
      <w:numFmt w:val="bullet"/>
      <w:lvlText w:val=""/>
      <w:lvlJc w:val="left"/>
      <w:pPr>
        <w:tabs>
          <w:tab w:val="num" w:pos="5760"/>
        </w:tabs>
        <w:ind w:left="5760" w:hanging="360"/>
      </w:pPr>
      <w:rPr>
        <w:rFonts w:ascii="Wingdings" w:hAnsi="Wingdings" w:hint="default"/>
        <w:sz w:val="20"/>
      </w:rPr>
    </w:lvl>
    <w:lvl w:ilvl="8" w:tplc="67907380" w:tentative="1">
      <w:start w:val="1"/>
      <w:numFmt w:val="bullet"/>
      <w:lvlText w:val=""/>
      <w:lvlJc w:val="left"/>
      <w:pPr>
        <w:tabs>
          <w:tab w:val="num" w:pos="6480"/>
        </w:tabs>
        <w:ind w:left="6480" w:hanging="360"/>
      </w:pPr>
      <w:rPr>
        <w:rFonts w:ascii="Wingdings" w:hAnsi="Wingdings" w:hint="default"/>
        <w:sz w:val="20"/>
      </w:rPr>
    </w:lvl>
  </w:abstractNum>
  <w:abstractNum w:abstractNumId="444">
    <w:nsid w:val="389D23C0"/>
    <w:multiLevelType w:val="hybridMultilevel"/>
    <w:tmpl w:val="608AEE1C"/>
    <w:lvl w:ilvl="0" w:tplc="31EA32DE">
      <w:start w:val="1"/>
      <w:numFmt w:val="bullet"/>
      <w:lvlText w:val=""/>
      <w:lvlJc w:val="left"/>
      <w:pPr>
        <w:tabs>
          <w:tab w:val="num" w:pos="720"/>
        </w:tabs>
        <w:ind w:left="720" w:hanging="360"/>
      </w:pPr>
      <w:rPr>
        <w:rFonts w:ascii="Wingdings" w:hAnsi="Wingdings" w:hint="default"/>
        <w:color w:val="auto"/>
        <w:sz w:val="22"/>
      </w:rPr>
    </w:lvl>
    <w:lvl w:ilvl="1" w:tplc="EAAC6B9E">
      <w:start w:val="1"/>
      <w:numFmt w:val="bullet"/>
      <w:lvlText w:val="o"/>
      <w:lvlJc w:val="left"/>
      <w:pPr>
        <w:ind w:left="1440" w:hanging="360"/>
      </w:pPr>
      <w:rPr>
        <w:rFonts w:ascii="Courier New" w:hAnsi="Courier New" w:cs="Courier New" w:hint="default"/>
      </w:rPr>
    </w:lvl>
    <w:lvl w:ilvl="2" w:tplc="228CCB22">
      <w:start w:val="1"/>
      <w:numFmt w:val="bullet"/>
      <w:lvlText w:val=""/>
      <w:lvlJc w:val="left"/>
      <w:pPr>
        <w:ind w:left="2160" w:hanging="360"/>
      </w:pPr>
      <w:rPr>
        <w:rFonts w:ascii="Wingdings" w:hAnsi="Wingdings" w:cs="Wingdings" w:hint="default"/>
      </w:rPr>
    </w:lvl>
    <w:lvl w:ilvl="3" w:tplc="6FDCDCF8">
      <w:start w:val="1"/>
      <w:numFmt w:val="bullet"/>
      <w:lvlText w:val=""/>
      <w:lvlJc w:val="left"/>
      <w:pPr>
        <w:ind w:left="2880" w:hanging="360"/>
      </w:pPr>
      <w:rPr>
        <w:rFonts w:ascii="Symbol" w:hAnsi="Symbol" w:cs="Symbol" w:hint="default"/>
      </w:rPr>
    </w:lvl>
    <w:lvl w:ilvl="4" w:tplc="A4FCEDA8">
      <w:start w:val="1"/>
      <w:numFmt w:val="bullet"/>
      <w:lvlText w:val="o"/>
      <w:lvlJc w:val="left"/>
      <w:pPr>
        <w:ind w:left="3600" w:hanging="360"/>
      </w:pPr>
      <w:rPr>
        <w:rFonts w:ascii="Courier New" w:hAnsi="Courier New" w:cs="Courier New" w:hint="default"/>
      </w:rPr>
    </w:lvl>
    <w:lvl w:ilvl="5" w:tplc="F078E720">
      <w:start w:val="1"/>
      <w:numFmt w:val="bullet"/>
      <w:lvlText w:val=""/>
      <w:lvlJc w:val="left"/>
      <w:pPr>
        <w:ind w:left="4320" w:hanging="360"/>
      </w:pPr>
      <w:rPr>
        <w:rFonts w:ascii="Wingdings" w:hAnsi="Wingdings" w:cs="Wingdings" w:hint="default"/>
      </w:rPr>
    </w:lvl>
    <w:lvl w:ilvl="6" w:tplc="34E22F20">
      <w:start w:val="1"/>
      <w:numFmt w:val="bullet"/>
      <w:lvlText w:val=""/>
      <w:lvlJc w:val="left"/>
      <w:pPr>
        <w:ind w:left="5040" w:hanging="360"/>
      </w:pPr>
      <w:rPr>
        <w:rFonts w:ascii="Symbol" w:hAnsi="Symbol" w:cs="Symbol" w:hint="default"/>
      </w:rPr>
    </w:lvl>
    <w:lvl w:ilvl="7" w:tplc="4198DC04">
      <w:start w:val="1"/>
      <w:numFmt w:val="bullet"/>
      <w:lvlText w:val="o"/>
      <w:lvlJc w:val="left"/>
      <w:pPr>
        <w:ind w:left="5760" w:hanging="360"/>
      </w:pPr>
      <w:rPr>
        <w:rFonts w:ascii="Courier New" w:hAnsi="Courier New" w:cs="Courier New" w:hint="default"/>
      </w:rPr>
    </w:lvl>
    <w:lvl w:ilvl="8" w:tplc="24903342">
      <w:start w:val="1"/>
      <w:numFmt w:val="bullet"/>
      <w:lvlText w:val=""/>
      <w:lvlJc w:val="left"/>
      <w:pPr>
        <w:ind w:left="6480" w:hanging="360"/>
      </w:pPr>
      <w:rPr>
        <w:rFonts w:ascii="Wingdings" w:hAnsi="Wingdings" w:cs="Wingdings" w:hint="default"/>
      </w:rPr>
    </w:lvl>
  </w:abstractNum>
  <w:abstractNum w:abstractNumId="445">
    <w:nsid w:val="393440A9"/>
    <w:multiLevelType w:val="hybridMultilevel"/>
    <w:tmpl w:val="8E605F36"/>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6">
    <w:nsid w:val="398A2186"/>
    <w:multiLevelType w:val="hybridMultilevel"/>
    <w:tmpl w:val="888840A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7">
    <w:nsid w:val="39D739F9"/>
    <w:multiLevelType w:val="hybridMultilevel"/>
    <w:tmpl w:val="6B7CF0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8">
    <w:nsid w:val="3A144524"/>
    <w:multiLevelType w:val="multilevel"/>
    <w:tmpl w:val="E4BC8882"/>
    <w:lvl w:ilvl="0">
      <w:start w:val="1"/>
      <w:numFmt w:val="bullet"/>
      <w:lvlText w:val=""/>
      <w:lvlJc w:val="left"/>
      <w:pPr>
        <w:tabs>
          <w:tab w:val="num" w:pos="720"/>
        </w:tabs>
        <w:ind w:left="720" w:hanging="360"/>
      </w:pPr>
      <w:rPr>
        <w:rFonts w:ascii="Wingdings" w:hAnsi="Wingdings" w:cs="Wingdings" w:hint="default"/>
        <w:color w:val="auto"/>
        <w:sz w:val="20"/>
      </w:rPr>
    </w:lvl>
    <w:lvl w:ilvl="1">
      <w:start w:val="1"/>
      <w:numFmt w:val="decimal"/>
      <w:lvlText w:val="%1.%2."/>
      <w:lvlJc w:val="left"/>
      <w:pPr>
        <w:ind w:left="794" w:hanging="681"/>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9">
    <w:nsid w:val="3A1A3C34"/>
    <w:multiLevelType w:val="hybridMultilevel"/>
    <w:tmpl w:val="2D22D3D4"/>
    <w:lvl w:ilvl="0" w:tplc="04150005">
      <w:start w:val="1"/>
      <w:numFmt w:val="bullet"/>
      <w:lvlText w:val=""/>
      <w:lvlJc w:val="left"/>
      <w:pPr>
        <w:tabs>
          <w:tab w:val="num" w:pos="720"/>
        </w:tabs>
        <w:ind w:left="720" w:hanging="360"/>
      </w:pPr>
      <w:rPr>
        <w:rFonts w:ascii="Wingdings" w:hAnsi="Wingdings" w:hint="default"/>
        <w:sz w:val="20"/>
      </w:rPr>
    </w:lvl>
    <w:lvl w:ilvl="1" w:tplc="E2C8B5AC" w:tentative="1">
      <w:start w:val="1"/>
      <w:numFmt w:val="bullet"/>
      <w:lvlText w:val="o"/>
      <w:lvlJc w:val="left"/>
      <w:pPr>
        <w:tabs>
          <w:tab w:val="num" w:pos="1440"/>
        </w:tabs>
        <w:ind w:left="1440" w:hanging="360"/>
      </w:pPr>
      <w:rPr>
        <w:rFonts w:ascii="Courier New" w:hAnsi="Courier New" w:hint="default"/>
        <w:sz w:val="20"/>
      </w:rPr>
    </w:lvl>
    <w:lvl w:ilvl="2" w:tplc="329CF118" w:tentative="1">
      <w:start w:val="1"/>
      <w:numFmt w:val="bullet"/>
      <w:lvlText w:val=""/>
      <w:lvlJc w:val="left"/>
      <w:pPr>
        <w:tabs>
          <w:tab w:val="num" w:pos="2160"/>
        </w:tabs>
        <w:ind w:left="2160" w:hanging="360"/>
      </w:pPr>
      <w:rPr>
        <w:rFonts w:ascii="Wingdings" w:hAnsi="Wingdings" w:hint="default"/>
        <w:sz w:val="20"/>
      </w:rPr>
    </w:lvl>
    <w:lvl w:ilvl="3" w:tplc="AF96A90A" w:tentative="1">
      <w:start w:val="1"/>
      <w:numFmt w:val="bullet"/>
      <w:lvlText w:val=""/>
      <w:lvlJc w:val="left"/>
      <w:pPr>
        <w:tabs>
          <w:tab w:val="num" w:pos="2880"/>
        </w:tabs>
        <w:ind w:left="2880" w:hanging="360"/>
      </w:pPr>
      <w:rPr>
        <w:rFonts w:ascii="Wingdings" w:hAnsi="Wingdings" w:hint="default"/>
        <w:sz w:val="20"/>
      </w:rPr>
    </w:lvl>
    <w:lvl w:ilvl="4" w:tplc="7780EA88" w:tentative="1">
      <w:start w:val="1"/>
      <w:numFmt w:val="bullet"/>
      <w:lvlText w:val=""/>
      <w:lvlJc w:val="left"/>
      <w:pPr>
        <w:tabs>
          <w:tab w:val="num" w:pos="3600"/>
        </w:tabs>
        <w:ind w:left="3600" w:hanging="360"/>
      </w:pPr>
      <w:rPr>
        <w:rFonts w:ascii="Wingdings" w:hAnsi="Wingdings" w:hint="default"/>
        <w:sz w:val="20"/>
      </w:rPr>
    </w:lvl>
    <w:lvl w:ilvl="5" w:tplc="1304BEDE" w:tentative="1">
      <w:start w:val="1"/>
      <w:numFmt w:val="bullet"/>
      <w:lvlText w:val=""/>
      <w:lvlJc w:val="left"/>
      <w:pPr>
        <w:tabs>
          <w:tab w:val="num" w:pos="4320"/>
        </w:tabs>
        <w:ind w:left="4320" w:hanging="360"/>
      </w:pPr>
      <w:rPr>
        <w:rFonts w:ascii="Wingdings" w:hAnsi="Wingdings" w:hint="default"/>
        <w:sz w:val="20"/>
      </w:rPr>
    </w:lvl>
    <w:lvl w:ilvl="6" w:tplc="C574A49E" w:tentative="1">
      <w:start w:val="1"/>
      <w:numFmt w:val="bullet"/>
      <w:lvlText w:val=""/>
      <w:lvlJc w:val="left"/>
      <w:pPr>
        <w:tabs>
          <w:tab w:val="num" w:pos="5040"/>
        </w:tabs>
        <w:ind w:left="5040" w:hanging="360"/>
      </w:pPr>
      <w:rPr>
        <w:rFonts w:ascii="Wingdings" w:hAnsi="Wingdings" w:hint="default"/>
        <w:sz w:val="20"/>
      </w:rPr>
    </w:lvl>
    <w:lvl w:ilvl="7" w:tplc="C8C852C0" w:tentative="1">
      <w:start w:val="1"/>
      <w:numFmt w:val="bullet"/>
      <w:lvlText w:val=""/>
      <w:lvlJc w:val="left"/>
      <w:pPr>
        <w:tabs>
          <w:tab w:val="num" w:pos="5760"/>
        </w:tabs>
        <w:ind w:left="5760" w:hanging="360"/>
      </w:pPr>
      <w:rPr>
        <w:rFonts w:ascii="Wingdings" w:hAnsi="Wingdings" w:hint="default"/>
        <w:sz w:val="20"/>
      </w:rPr>
    </w:lvl>
    <w:lvl w:ilvl="8" w:tplc="0E38C0CC" w:tentative="1">
      <w:start w:val="1"/>
      <w:numFmt w:val="bullet"/>
      <w:lvlText w:val=""/>
      <w:lvlJc w:val="left"/>
      <w:pPr>
        <w:tabs>
          <w:tab w:val="num" w:pos="6480"/>
        </w:tabs>
        <w:ind w:left="6480" w:hanging="360"/>
      </w:pPr>
      <w:rPr>
        <w:rFonts w:ascii="Wingdings" w:hAnsi="Wingdings" w:hint="default"/>
        <w:sz w:val="20"/>
      </w:rPr>
    </w:lvl>
  </w:abstractNum>
  <w:abstractNum w:abstractNumId="450">
    <w:nsid w:val="3A3A712C"/>
    <w:multiLevelType w:val="hybridMultilevel"/>
    <w:tmpl w:val="0A3E286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1">
    <w:nsid w:val="3A7014BB"/>
    <w:multiLevelType w:val="hybridMultilevel"/>
    <w:tmpl w:val="766EC2CC"/>
    <w:lvl w:ilvl="0" w:tplc="04150005">
      <w:start w:val="1"/>
      <w:numFmt w:val="bullet"/>
      <w:lvlText w:val=""/>
      <w:lvlJc w:val="left"/>
      <w:pPr>
        <w:tabs>
          <w:tab w:val="num" w:pos="720"/>
        </w:tabs>
        <w:ind w:left="720" w:hanging="360"/>
      </w:pPr>
      <w:rPr>
        <w:rFonts w:ascii="Wingdings" w:hAnsi="Wingdings" w:hint="default"/>
        <w:sz w:val="20"/>
      </w:rPr>
    </w:lvl>
    <w:lvl w:ilvl="1" w:tplc="F270706C" w:tentative="1">
      <w:start w:val="1"/>
      <w:numFmt w:val="bullet"/>
      <w:lvlText w:val="o"/>
      <w:lvlJc w:val="left"/>
      <w:pPr>
        <w:tabs>
          <w:tab w:val="num" w:pos="1440"/>
        </w:tabs>
        <w:ind w:left="1440" w:hanging="360"/>
      </w:pPr>
      <w:rPr>
        <w:rFonts w:ascii="Courier New" w:hAnsi="Courier New" w:hint="default"/>
        <w:sz w:val="20"/>
      </w:rPr>
    </w:lvl>
    <w:lvl w:ilvl="2" w:tplc="83528114" w:tentative="1">
      <w:start w:val="1"/>
      <w:numFmt w:val="bullet"/>
      <w:lvlText w:val=""/>
      <w:lvlJc w:val="left"/>
      <w:pPr>
        <w:tabs>
          <w:tab w:val="num" w:pos="2160"/>
        </w:tabs>
        <w:ind w:left="2160" w:hanging="360"/>
      </w:pPr>
      <w:rPr>
        <w:rFonts w:ascii="Wingdings" w:hAnsi="Wingdings" w:hint="default"/>
        <w:sz w:val="20"/>
      </w:rPr>
    </w:lvl>
    <w:lvl w:ilvl="3" w:tplc="7EB09B28" w:tentative="1">
      <w:start w:val="1"/>
      <w:numFmt w:val="bullet"/>
      <w:lvlText w:val=""/>
      <w:lvlJc w:val="left"/>
      <w:pPr>
        <w:tabs>
          <w:tab w:val="num" w:pos="2880"/>
        </w:tabs>
        <w:ind w:left="2880" w:hanging="360"/>
      </w:pPr>
      <w:rPr>
        <w:rFonts w:ascii="Wingdings" w:hAnsi="Wingdings" w:hint="default"/>
        <w:sz w:val="20"/>
      </w:rPr>
    </w:lvl>
    <w:lvl w:ilvl="4" w:tplc="BE8A3E5A" w:tentative="1">
      <w:start w:val="1"/>
      <w:numFmt w:val="bullet"/>
      <w:lvlText w:val=""/>
      <w:lvlJc w:val="left"/>
      <w:pPr>
        <w:tabs>
          <w:tab w:val="num" w:pos="3600"/>
        </w:tabs>
        <w:ind w:left="3600" w:hanging="360"/>
      </w:pPr>
      <w:rPr>
        <w:rFonts w:ascii="Wingdings" w:hAnsi="Wingdings" w:hint="default"/>
        <w:sz w:val="20"/>
      </w:rPr>
    </w:lvl>
    <w:lvl w:ilvl="5" w:tplc="82E4E9E6" w:tentative="1">
      <w:start w:val="1"/>
      <w:numFmt w:val="bullet"/>
      <w:lvlText w:val=""/>
      <w:lvlJc w:val="left"/>
      <w:pPr>
        <w:tabs>
          <w:tab w:val="num" w:pos="4320"/>
        </w:tabs>
        <w:ind w:left="4320" w:hanging="360"/>
      </w:pPr>
      <w:rPr>
        <w:rFonts w:ascii="Wingdings" w:hAnsi="Wingdings" w:hint="default"/>
        <w:sz w:val="20"/>
      </w:rPr>
    </w:lvl>
    <w:lvl w:ilvl="6" w:tplc="C57A72B4" w:tentative="1">
      <w:start w:val="1"/>
      <w:numFmt w:val="bullet"/>
      <w:lvlText w:val=""/>
      <w:lvlJc w:val="left"/>
      <w:pPr>
        <w:tabs>
          <w:tab w:val="num" w:pos="5040"/>
        </w:tabs>
        <w:ind w:left="5040" w:hanging="360"/>
      </w:pPr>
      <w:rPr>
        <w:rFonts w:ascii="Wingdings" w:hAnsi="Wingdings" w:hint="default"/>
        <w:sz w:val="20"/>
      </w:rPr>
    </w:lvl>
    <w:lvl w:ilvl="7" w:tplc="F3BE86AA" w:tentative="1">
      <w:start w:val="1"/>
      <w:numFmt w:val="bullet"/>
      <w:lvlText w:val=""/>
      <w:lvlJc w:val="left"/>
      <w:pPr>
        <w:tabs>
          <w:tab w:val="num" w:pos="5760"/>
        </w:tabs>
        <w:ind w:left="5760" w:hanging="360"/>
      </w:pPr>
      <w:rPr>
        <w:rFonts w:ascii="Wingdings" w:hAnsi="Wingdings" w:hint="default"/>
        <w:sz w:val="20"/>
      </w:rPr>
    </w:lvl>
    <w:lvl w:ilvl="8" w:tplc="872ADC7E" w:tentative="1">
      <w:start w:val="1"/>
      <w:numFmt w:val="bullet"/>
      <w:lvlText w:val=""/>
      <w:lvlJc w:val="left"/>
      <w:pPr>
        <w:tabs>
          <w:tab w:val="num" w:pos="6480"/>
        </w:tabs>
        <w:ind w:left="6480" w:hanging="360"/>
      </w:pPr>
      <w:rPr>
        <w:rFonts w:ascii="Wingdings" w:hAnsi="Wingdings" w:hint="default"/>
        <w:sz w:val="20"/>
      </w:rPr>
    </w:lvl>
  </w:abstractNum>
  <w:abstractNum w:abstractNumId="452">
    <w:nsid w:val="3A964F1D"/>
    <w:multiLevelType w:val="hybridMultilevel"/>
    <w:tmpl w:val="AC1C5BAC"/>
    <w:lvl w:ilvl="0" w:tplc="0608BD26">
      <w:start w:val="1"/>
      <w:numFmt w:val="bullet"/>
      <w:lvlText w:val=""/>
      <w:lvlJc w:val="left"/>
      <w:pPr>
        <w:tabs>
          <w:tab w:val="num" w:pos="720"/>
        </w:tabs>
        <w:ind w:left="720" w:hanging="360"/>
      </w:pPr>
      <w:rPr>
        <w:rFonts w:ascii="Symbol" w:hAnsi="Symbol" w:hint="default"/>
        <w:sz w:val="20"/>
      </w:rPr>
    </w:lvl>
    <w:lvl w:ilvl="1" w:tplc="04150005">
      <w:start w:val="1"/>
      <w:numFmt w:val="bullet"/>
      <w:lvlText w:val=""/>
      <w:lvlJc w:val="left"/>
      <w:pPr>
        <w:tabs>
          <w:tab w:val="num" w:pos="1440"/>
        </w:tabs>
        <w:ind w:left="1440" w:hanging="360"/>
      </w:pPr>
      <w:rPr>
        <w:rFonts w:ascii="Wingdings" w:hAnsi="Wingdings" w:hint="default"/>
        <w:sz w:val="20"/>
      </w:rPr>
    </w:lvl>
    <w:lvl w:ilvl="2" w:tplc="BA32BC2E" w:tentative="1">
      <w:start w:val="1"/>
      <w:numFmt w:val="bullet"/>
      <w:lvlText w:val=""/>
      <w:lvlJc w:val="left"/>
      <w:pPr>
        <w:tabs>
          <w:tab w:val="num" w:pos="2160"/>
        </w:tabs>
        <w:ind w:left="2160" w:hanging="360"/>
      </w:pPr>
      <w:rPr>
        <w:rFonts w:ascii="Wingdings" w:hAnsi="Wingdings" w:hint="default"/>
        <w:sz w:val="20"/>
      </w:rPr>
    </w:lvl>
    <w:lvl w:ilvl="3" w:tplc="CBB2F018" w:tentative="1">
      <w:start w:val="1"/>
      <w:numFmt w:val="bullet"/>
      <w:lvlText w:val=""/>
      <w:lvlJc w:val="left"/>
      <w:pPr>
        <w:tabs>
          <w:tab w:val="num" w:pos="2880"/>
        </w:tabs>
        <w:ind w:left="2880" w:hanging="360"/>
      </w:pPr>
      <w:rPr>
        <w:rFonts w:ascii="Wingdings" w:hAnsi="Wingdings" w:hint="default"/>
        <w:sz w:val="20"/>
      </w:rPr>
    </w:lvl>
    <w:lvl w:ilvl="4" w:tplc="64548A1E" w:tentative="1">
      <w:start w:val="1"/>
      <w:numFmt w:val="bullet"/>
      <w:lvlText w:val=""/>
      <w:lvlJc w:val="left"/>
      <w:pPr>
        <w:tabs>
          <w:tab w:val="num" w:pos="3600"/>
        </w:tabs>
        <w:ind w:left="3600" w:hanging="360"/>
      </w:pPr>
      <w:rPr>
        <w:rFonts w:ascii="Wingdings" w:hAnsi="Wingdings" w:hint="default"/>
        <w:sz w:val="20"/>
      </w:rPr>
    </w:lvl>
    <w:lvl w:ilvl="5" w:tplc="4112C99A" w:tentative="1">
      <w:start w:val="1"/>
      <w:numFmt w:val="bullet"/>
      <w:lvlText w:val=""/>
      <w:lvlJc w:val="left"/>
      <w:pPr>
        <w:tabs>
          <w:tab w:val="num" w:pos="4320"/>
        </w:tabs>
        <w:ind w:left="4320" w:hanging="360"/>
      </w:pPr>
      <w:rPr>
        <w:rFonts w:ascii="Wingdings" w:hAnsi="Wingdings" w:hint="default"/>
        <w:sz w:val="20"/>
      </w:rPr>
    </w:lvl>
    <w:lvl w:ilvl="6" w:tplc="B8309130" w:tentative="1">
      <w:start w:val="1"/>
      <w:numFmt w:val="bullet"/>
      <w:lvlText w:val=""/>
      <w:lvlJc w:val="left"/>
      <w:pPr>
        <w:tabs>
          <w:tab w:val="num" w:pos="5040"/>
        </w:tabs>
        <w:ind w:left="5040" w:hanging="360"/>
      </w:pPr>
      <w:rPr>
        <w:rFonts w:ascii="Wingdings" w:hAnsi="Wingdings" w:hint="default"/>
        <w:sz w:val="20"/>
      </w:rPr>
    </w:lvl>
    <w:lvl w:ilvl="7" w:tplc="7110017A" w:tentative="1">
      <w:start w:val="1"/>
      <w:numFmt w:val="bullet"/>
      <w:lvlText w:val=""/>
      <w:lvlJc w:val="left"/>
      <w:pPr>
        <w:tabs>
          <w:tab w:val="num" w:pos="5760"/>
        </w:tabs>
        <w:ind w:left="5760" w:hanging="360"/>
      </w:pPr>
      <w:rPr>
        <w:rFonts w:ascii="Wingdings" w:hAnsi="Wingdings" w:hint="default"/>
        <w:sz w:val="20"/>
      </w:rPr>
    </w:lvl>
    <w:lvl w:ilvl="8" w:tplc="F1222784" w:tentative="1">
      <w:start w:val="1"/>
      <w:numFmt w:val="bullet"/>
      <w:lvlText w:val=""/>
      <w:lvlJc w:val="left"/>
      <w:pPr>
        <w:tabs>
          <w:tab w:val="num" w:pos="6480"/>
        </w:tabs>
        <w:ind w:left="6480" w:hanging="360"/>
      </w:pPr>
      <w:rPr>
        <w:rFonts w:ascii="Wingdings" w:hAnsi="Wingdings" w:hint="default"/>
        <w:sz w:val="20"/>
      </w:rPr>
    </w:lvl>
  </w:abstractNum>
  <w:abstractNum w:abstractNumId="453">
    <w:nsid w:val="3A9F3349"/>
    <w:multiLevelType w:val="hybridMultilevel"/>
    <w:tmpl w:val="56AA33EC"/>
    <w:lvl w:ilvl="0" w:tplc="D6A656B6">
      <w:numFmt w:val="bullet"/>
      <w:lvlText w:val="-"/>
      <w:lvlJc w:val="left"/>
      <w:pPr>
        <w:ind w:left="1068" w:hanging="360"/>
      </w:pPr>
      <w:rPr>
        <w:rFonts w:ascii="Times New Roman" w:eastAsia="Times New Roman" w:hAnsi="Times New Roman" w:cs="Times New Roman"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454">
    <w:nsid w:val="3AC734B8"/>
    <w:multiLevelType w:val="hybridMultilevel"/>
    <w:tmpl w:val="47807E2E"/>
    <w:lvl w:ilvl="0" w:tplc="3C8888FE">
      <w:start w:val="1"/>
      <w:numFmt w:val="bullet"/>
      <w:lvlText w:val=""/>
      <w:lvlJc w:val="left"/>
      <w:pPr>
        <w:tabs>
          <w:tab w:val="num" w:pos="720"/>
        </w:tabs>
        <w:ind w:left="720" w:hanging="360"/>
      </w:pPr>
      <w:rPr>
        <w:rFonts w:ascii="Symbol" w:hAnsi="Symbol" w:hint="default"/>
        <w:sz w:val="20"/>
      </w:rPr>
    </w:lvl>
    <w:lvl w:ilvl="1" w:tplc="0B2AC93A" w:tentative="1">
      <w:start w:val="1"/>
      <w:numFmt w:val="bullet"/>
      <w:lvlText w:val="o"/>
      <w:lvlJc w:val="left"/>
      <w:pPr>
        <w:tabs>
          <w:tab w:val="num" w:pos="1440"/>
        </w:tabs>
        <w:ind w:left="1440" w:hanging="360"/>
      </w:pPr>
      <w:rPr>
        <w:rFonts w:ascii="Courier New" w:hAnsi="Courier New" w:hint="default"/>
        <w:sz w:val="20"/>
      </w:rPr>
    </w:lvl>
    <w:lvl w:ilvl="2" w:tplc="6EC27D3E" w:tentative="1">
      <w:start w:val="1"/>
      <w:numFmt w:val="bullet"/>
      <w:lvlText w:val=""/>
      <w:lvlJc w:val="left"/>
      <w:pPr>
        <w:tabs>
          <w:tab w:val="num" w:pos="2160"/>
        </w:tabs>
        <w:ind w:left="2160" w:hanging="360"/>
      </w:pPr>
      <w:rPr>
        <w:rFonts w:ascii="Wingdings" w:hAnsi="Wingdings" w:hint="default"/>
        <w:sz w:val="20"/>
      </w:rPr>
    </w:lvl>
    <w:lvl w:ilvl="3" w:tplc="4E9E56D8" w:tentative="1">
      <w:start w:val="1"/>
      <w:numFmt w:val="bullet"/>
      <w:lvlText w:val=""/>
      <w:lvlJc w:val="left"/>
      <w:pPr>
        <w:tabs>
          <w:tab w:val="num" w:pos="2880"/>
        </w:tabs>
        <w:ind w:left="2880" w:hanging="360"/>
      </w:pPr>
      <w:rPr>
        <w:rFonts w:ascii="Wingdings" w:hAnsi="Wingdings" w:hint="default"/>
        <w:sz w:val="20"/>
      </w:rPr>
    </w:lvl>
    <w:lvl w:ilvl="4" w:tplc="1690DB32" w:tentative="1">
      <w:start w:val="1"/>
      <w:numFmt w:val="bullet"/>
      <w:lvlText w:val=""/>
      <w:lvlJc w:val="left"/>
      <w:pPr>
        <w:tabs>
          <w:tab w:val="num" w:pos="3600"/>
        </w:tabs>
        <w:ind w:left="3600" w:hanging="360"/>
      </w:pPr>
      <w:rPr>
        <w:rFonts w:ascii="Wingdings" w:hAnsi="Wingdings" w:hint="default"/>
        <w:sz w:val="20"/>
      </w:rPr>
    </w:lvl>
    <w:lvl w:ilvl="5" w:tplc="B4A6EEF8" w:tentative="1">
      <w:start w:val="1"/>
      <w:numFmt w:val="bullet"/>
      <w:lvlText w:val=""/>
      <w:lvlJc w:val="left"/>
      <w:pPr>
        <w:tabs>
          <w:tab w:val="num" w:pos="4320"/>
        </w:tabs>
        <w:ind w:left="4320" w:hanging="360"/>
      </w:pPr>
      <w:rPr>
        <w:rFonts w:ascii="Wingdings" w:hAnsi="Wingdings" w:hint="default"/>
        <w:sz w:val="20"/>
      </w:rPr>
    </w:lvl>
    <w:lvl w:ilvl="6" w:tplc="2294E7A0" w:tentative="1">
      <w:start w:val="1"/>
      <w:numFmt w:val="bullet"/>
      <w:lvlText w:val=""/>
      <w:lvlJc w:val="left"/>
      <w:pPr>
        <w:tabs>
          <w:tab w:val="num" w:pos="5040"/>
        </w:tabs>
        <w:ind w:left="5040" w:hanging="360"/>
      </w:pPr>
      <w:rPr>
        <w:rFonts w:ascii="Wingdings" w:hAnsi="Wingdings" w:hint="default"/>
        <w:sz w:val="20"/>
      </w:rPr>
    </w:lvl>
    <w:lvl w:ilvl="7" w:tplc="A0EC0CDA" w:tentative="1">
      <w:start w:val="1"/>
      <w:numFmt w:val="bullet"/>
      <w:lvlText w:val=""/>
      <w:lvlJc w:val="left"/>
      <w:pPr>
        <w:tabs>
          <w:tab w:val="num" w:pos="5760"/>
        </w:tabs>
        <w:ind w:left="5760" w:hanging="360"/>
      </w:pPr>
      <w:rPr>
        <w:rFonts w:ascii="Wingdings" w:hAnsi="Wingdings" w:hint="default"/>
        <w:sz w:val="20"/>
      </w:rPr>
    </w:lvl>
    <w:lvl w:ilvl="8" w:tplc="52A27838" w:tentative="1">
      <w:start w:val="1"/>
      <w:numFmt w:val="bullet"/>
      <w:lvlText w:val=""/>
      <w:lvlJc w:val="left"/>
      <w:pPr>
        <w:tabs>
          <w:tab w:val="num" w:pos="6480"/>
        </w:tabs>
        <w:ind w:left="6480" w:hanging="360"/>
      </w:pPr>
      <w:rPr>
        <w:rFonts w:ascii="Wingdings" w:hAnsi="Wingdings" w:hint="default"/>
        <w:sz w:val="20"/>
      </w:rPr>
    </w:lvl>
  </w:abstractNum>
  <w:abstractNum w:abstractNumId="455">
    <w:nsid w:val="3ADF4AB3"/>
    <w:multiLevelType w:val="hybridMultilevel"/>
    <w:tmpl w:val="1494C7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6">
    <w:nsid w:val="3B58651E"/>
    <w:multiLevelType w:val="hybridMultilevel"/>
    <w:tmpl w:val="F04C29AC"/>
    <w:lvl w:ilvl="0" w:tplc="04150017">
      <w:start w:val="1"/>
      <w:numFmt w:val="lowerLetter"/>
      <w:lvlText w:val="%1)"/>
      <w:lvlJc w:val="left"/>
      <w:pPr>
        <w:tabs>
          <w:tab w:val="num" w:pos="360"/>
        </w:tabs>
        <w:ind w:left="360" w:hanging="360"/>
      </w:pPr>
    </w:lvl>
    <w:lvl w:ilvl="1" w:tplc="CA54B05A">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57">
    <w:nsid w:val="3B944C39"/>
    <w:multiLevelType w:val="hybridMultilevel"/>
    <w:tmpl w:val="CB60D64E"/>
    <w:lvl w:ilvl="0" w:tplc="3BA23654">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8">
    <w:nsid w:val="3BA60D3D"/>
    <w:multiLevelType w:val="hybridMultilevel"/>
    <w:tmpl w:val="3CE0B09C"/>
    <w:lvl w:ilvl="0" w:tplc="52E809BA">
      <w:start w:val="1"/>
      <w:numFmt w:val="decimal"/>
      <w:lvlText w:val="K6.2.%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9">
    <w:nsid w:val="3C001EB4"/>
    <w:multiLevelType w:val="hybridMultilevel"/>
    <w:tmpl w:val="18D876A8"/>
    <w:lvl w:ilvl="0" w:tplc="0F80DFAC">
      <w:start w:val="1"/>
      <w:numFmt w:val="decimal"/>
      <w:lvlText w:val="K6.3.%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0">
    <w:nsid w:val="3C4C72DE"/>
    <w:multiLevelType w:val="hybridMultilevel"/>
    <w:tmpl w:val="F00C9810"/>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61">
    <w:nsid w:val="3C7A442D"/>
    <w:multiLevelType w:val="hybridMultilevel"/>
    <w:tmpl w:val="730C3124"/>
    <w:lvl w:ilvl="0" w:tplc="D84EB5EA">
      <w:start w:val="1"/>
      <w:numFmt w:val="decimal"/>
      <w:lvlText w:val="C4.%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2">
    <w:nsid w:val="3CB77293"/>
    <w:multiLevelType w:val="hybridMultilevel"/>
    <w:tmpl w:val="FED6E5F0"/>
    <w:lvl w:ilvl="0" w:tplc="04150005">
      <w:start w:val="1"/>
      <w:numFmt w:val="bullet"/>
      <w:lvlText w:val=""/>
      <w:lvlJc w:val="left"/>
      <w:pPr>
        <w:tabs>
          <w:tab w:val="num" w:pos="720"/>
        </w:tabs>
        <w:ind w:left="720" w:hanging="360"/>
      </w:pPr>
      <w:rPr>
        <w:rFonts w:ascii="Wingdings" w:hAnsi="Wingdings" w:hint="default"/>
        <w:sz w:val="20"/>
      </w:rPr>
    </w:lvl>
    <w:lvl w:ilvl="1" w:tplc="E506CAC2" w:tentative="1">
      <w:start w:val="1"/>
      <w:numFmt w:val="bullet"/>
      <w:lvlText w:val="o"/>
      <w:lvlJc w:val="left"/>
      <w:pPr>
        <w:tabs>
          <w:tab w:val="num" w:pos="1440"/>
        </w:tabs>
        <w:ind w:left="1440" w:hanging="360"/>
      </w:pPr>
      <w:rPr>
        <w:rFonts w:ascii="Courier New" w:hAnsi="Courier New" w:hint="default"/>
        <w:sz w:val="20"/>
      </w:rPr>
    </w:lvl>
    <w:lvl w:ilvl="2" w:tplc="1A269E60" w:tentative="1">
      <w:start w:val="1"/>
      <w:numFmt w:val="bullet"/>
      <w:lvlText w:val=""/>
      <w:lvlJc w:val="left"/>
      <w:pPr>
        <w:tabs>
          <w:tab w:val="num" w:pos="2160"/>
        </w:tabs>
        <w:ind w:left="2160" w:hanging="360"/>
      </w:pPr>
      <w:rPr>
        <w:rFonts w:ascii="Wingdings" w:hAnsi="Wingdings" w:hint="default"/>
        <w:sz w:val="20"/>
      </w:rPr>
    </w:lvl>
    <w:lvl w:ilvl="3" w:tplc="2F927884" w:tentative="1">
      <w:start w:val="1"/>
      <w:numFmt w:val="bullet"/>
      <w:lvlText w:val=""/>
      <w:lvlJc w:val="left"/>
      <w:pPr>
        <w:tabs>
          <w:tab w:val="num" w:pos="2880"/>
        </w:tabs>
        <w:ind w:left="2880" w:hanging="360"/>
      </w:pPr>
      <w:rPr>
        <w:rFonts w:ascii="Wingdings" w:hAnsi="Wingdings" w:hint="default"/>
        <w:sz w:val="20"/>
      </w:rPr>
    </w:lvl>
    <w:lvl w:ilvl="4" w:tplc="02224B50" w:tentative="1">
      <w:start w:val="1"/>
      <w:numFmt w:val="bullet"/>
      <w:lvlText w:val=""/>
      <w:lvlJc w:val="left"/>
      <w:pPr>
        <w:tabs>
          <w:tab w:val="num" w:pos="3600"/>
        </w:tabs>
        <w:ind w:left="3600" w:hanging="360"/>
      </w:pPr>
      <w:rPr>
        <w:rFonts w:ascii="Wingdings" w:hAnsi="Wingdings" w:hint="default"/>
        <w:sz w:val="20"/>
      </w:rPr>
    </w:lvl>
    <w:lvl w:ilvl="5" w:tplc="A7109216" w:tentative="1">
      <w:start w:val="1"/>
      <w:numFmt w:val="bullet"/>
      <w:lvlText w:val=""/>
      <w:lvlJc w:val="left"/>
      <w:pPr>
        <w:tabs>
          <w:tab w:val="num" w:pos="4320"/>
        </w:tabs>
        <w:ind w:left="4320" w:hanging="360"/>
      </w:pPr>
      <w:rPr>
        <w:rFonts w:ascii="Wingdings" w:hAnsi="Wingdings" w:hint="default"/>
        <w:sz w:val="20"/>
      </w:rPr>
    </w:lvl>
    <w:lvl w:ilvl="6" w:tplc="D8FE0E6A" w:tentative="1">
      <w:start w:val="1"/>
      <w:numFmt w:val="bullet"/>
      <w:lvlText w:val=""/>
      <w:lvlJc w:val="left"/>
      <w:pPr>
        <w:tabs>
          <w:tab w:val="num" w:pos="5040"/>
        </w:tabs>
        <w:ind w:left="5040" w:hanging="360"/>
      </w:pPr>
      <w:rPr>
        <w:rFonts w:ascii="Wingdings" w:hAnsi="Wingdings" w:hint="default"/>
        <w:sz w:val="20"/>
      </w:rPr>
    </w:lvl>
    <w:lvl w:ilvl="7" w:tplc="78AAB15A" w:tentative="1">
      <w:start w:val="1"/>
      <w:numFmt w:val="bullet"/>
      <w:lvlText w:val=""/>
      <w:lvlJc w:val="left"/>
      <w:pPr>
        <w:tabs>
          <w:tab w:val="num" w:pos="5760"/>
        </w:tabs>
        <w:ind w:left="5760" w:hanging="360"/>
      </w:pPr>
      <w:rPr>
        <w:rFonts w:ascii="Wingdings" w:hAnsi="Wingdings" w:hint="default"/>
        <w:sz w:val="20"/>
      </w:rPr>
    </w:lvl>
    <w:lvl w:ilvl="8" w:tplc="6200030A" w:tentative="1">
      <w:start w:val="1"/>
      <w:numFmt w:val="bullet"/>
      <w:lvlText w:val=""/>
      <w:lvlJc w:val="left"/>
      <w:pPr>
        <w:tabs>
          <w:tab w:val="num" w:pos="6480"/>
        </w:tabs>
        <w:ind w:left="6480" w:hanging="360"/>
      </w:pPr>
      <w:rPr>
        <w:rFonts w:ascii="Wingdings" w:hAnsi="Wingdings" w:hint="default"/>
        <w:sz w:val="20"/>
      </w:rPr>
    </w:lvl>
  </w:abstractNum>
  <w:abstractNum w:abstractNumId="463">
    <w:nsid w:val="3CC3585C"/>
    <w:multiLevelType w:val="hybridMultilevel"/>
    <w:tmpl w:val="FFBEBE0C"/>
    <w:lvl w:ilvl="0" w:tplc="8C10BB50">
      <w:start w:val="1"/>
      <w:numFmt w:val="bullet"/>
      <w:lvlText w:val=""/>
      <w:lvlJc w:val="left"/>
      <w:pPr>
        <w:tabs>
          <w:tab w:val="num" w:pos="720"/>
        </w:tabs>
        <w:ind w:left="720" w:hanging="360"/>
      </w:pPr>
      <w:rPr>
        <w:rFonts w:ascii="Symbol" w:hAnsi="Symbol" w:hint="default"/>
        <w:sz w:val="20"/>
      </w:rPr>
    </w:lvl>
    <w:lvl w:ilvl="1" w:tplc="A5007E04" w:tentative="1">
      <w:start w:val="1"/>
      <w:numFmt w:val="bullet"/>
      <w:lvlText w:val="o"/>
      <w:lvlJc w:val="left"/>
      <w:pPr>
        <w:tabs>
          <w:tab w:val="num" w:pos="1440"/>
        </w:tabs>
        <w:ind w:left="1440" w:hanging="360"/>
      </w:pPr>
      <w:rPr>
        <w:rFonts w:ascii="Courier New" w:hAnsi="Courier New" w:hint="default"/>
        <w:sz w:val="20"/>
      </w:rPr>
    </w:lvl>
    <w:lvl w:ilvl="2" w:tplc="EEDAB994" w:tentative="1">
      <w:start w:val="1"/>
      <w:numFmt w:val="bullet"/>
      <w:lvlText w:val=""/>
      <w:lvlJc w:val="left"/>
      <w:pPr>
        <w:tabs>
          <w:tab w:val="num" w:pos="2160"/>
        </w:tabs>
        <w:ind w:left="2160" w:hanging="360"/>
      </w:pPr>
      <w:rPr>
        <w:rFonts w:ascii="Wingdings" w:hAnsi="Wingdings" w:hint="default"/>
        <w:sz w:val="20"/>
      </w:rPr>
    </w:lvl>
    <w:lvl w:ilvl="3" w:tplc="D45A209A" w:tentative="1">
      <w:start w:val="1"/>
      <w:numFmt w:val="bullet"/>
      <w:lvlText w:val=""/>
      <w:lvlJc w:val="left"/>
      <w:pPr>
        <w:tabs>
          <w:tab w:val="num" w:pos="2880"/>
        </w:tabs>
        <w:ind w:left="2880" w:hanging="360"/>
      </w:pPr>
      <w:rPr>
        <w:rFonts w:ascii="Wingdings" w:hAnsi="Wingdings" w:hint="default"/>
        <w:sz w:val="20"/>
      </w:rPr>
    </w:lvl>
    <w:lvl w:ilvl="4" w:tplc="10BE8F72" w:tentative="1">
      <w:start w:val="1"/>
      <w:numFmt w:val="bullet"/>
      <w:lvlText w:val=""/>
      <w:lvlJc w:val="left"/>
      <w:pPr>
        <w:tabs>
          <w:tab w:val="num" w:pos="3600"/>
        </w:tabs>
        <w:ind w:left="3600" w:hanging="360"/>
      </w:pPr>
      <w:rPr>
        <w:rFonts w:ascii="Wingdings" w:hAnsi="Wingdings" w:hint="default"/>
        <w:sz w:val="20"/>
      </w:rPr>
    </w:lvl>
    <w:lvl w:ilvl="5" w:tplc="9608538C" w:tentative="1">
      <w:start w:val="1"/>
      <w:numFmt w:val="bullet"/>
      <w:lvlText w:val=""/>
      <w:lvlJc w:val="left"/>
      <w:pPr>
        <w:tabs>
          <w:tab w:val="num" w:pos="4320"/>
        </w:tabs>
        <w:ind w:left="4320" w:hanging="360"/>
      </w:pPr>
      <w:rPr>
        <w:rFonts w:ascii="Wingdings" w:hAnsi="Wingdings" w:hint="default"/>
        <w:sz w:val="20"/>
      </w:rPr>
    </w:lvl>
    <w:lvl w:ilvl="6" w:tplc="AA2AC0D6" w:tentative="1">
      <w:start w:val="1"/>
      <w:numFmt w:val="bullet"/>
      <w:lvlText w:val=""/>
      <w:lvlJc w:val="left"/>
      <w:pPr>
        <w:tabs>
          <w:tab w:val="num" w:pos="5040"/>
        </w:tabs>
        <w:ind w:left="5040" w:hanging="360"/>
      </w:pPr>
      <w:rPr>
        <w:rFonts w:ascii="Wingdings" w:hAnsi="Wingdings" w:hint="default"/>
        <w:sz w:val="20"/>
      </w:rPr>
    </w:lvl>
    <w:lvl w:ilvl="7" w:tplc="5D90FAE0" w:tentative="1">
      <w:start w:val="1"/>
      <w:numFmt w:val="bullet"/>
      <w:lvlText w:val=""/>
      <w:lvlJc w:val="left"/>
      <w:pPr>
        <w:tabs>
          <w:tab w:val="num" w:pos="5760"/>
        </w:tabs>
        <w:ind w:left="5760" w:hanging="360"/>
      </w:pPr>
      <w:rPr>
        <w:rFonts w:ascii="Wingdings" w:hAnsi="Wingdings" w:hint="default"/>
        <w:sz w:val="20"/>
      </w:rPr>
    </w:lvl>
    <w:lvl w:ilvl="8" w:tplc="1930C9EE" w:tentative="1">
      <w:start w:val="1"/>
      <w:numFmt w:val="bullet"/>
      <w:lvlText w:val=""/>
      <w:lvlJc w:val="left"/>
      <w:pPr>
        <w:tabs>
          <w:tab w:val="num" w:pos="6480"/>
        </w:tabs>
        <w:ind w:left="6480" w:hanging="360"/>
      </w:pPr>
      <w:rPr>
        <w:rFonts w:ascii="Wingdings" w:hAnsi="Wingdings" w:hint="default"/>
        <w:sz w:val="20"/>
      </w:rPr>
    </w:lvl>
  </w:abstractNum>
  <w:abstractNum w:abstractNumId="464">
    <w:nsid w:val="3D0F2F1C"/>
    <w:multiLevelType w:val="hybridMultilevel"/>
    <w:tmpl w:val="96825E18"/>
    <w:lvl w:ilvl="0" w:tplc="04150005">
      <w:start w:val="1"/>
      <w:numFmt w:val="bullet"/>
      <w:lvlText w:val=""/>
      <w:lvlJc w:val="left"/>
      <w:pPr>
        <w:tabs>
          <w:tab w:val="num" w:pos="720"/>
        </w:tabs>
        <w:ind w:left="720" w:hanging="360"/>
      </w:pPr>
      <w:rPr>
        <w:rFonts w:ascii="Wingdings" w:hAnsi="Wingdings" w:hint="default"/>
        <w:sz w:val="20"/>
      </w:rPr>
    </w:lvl>
    <w:lvl w:ilvl="1" w:tplc="EF8C8C3E" w:tentative="1">
      <w:start w:val="1"/>
      <w:numFmt w:val="bullet"/>
      <w:lvlText w:val="o"/>
      <w:lvlJc w:val="left"/>
      <w:pPr>
        <w:tabs>
          <w:tab w:val="num" w:pos="1440"/>
        </w:tabs>
        <w:ind w:left="1440" w:hanging="360"/>
      </w:pPr>
      <w:rPr>
        <w:rFonts w:ascii="Courier New" w:hAnsi="Courier New" w:hint="default"/>
        <w:sz w:val="20"/>
      </w:rPr>
    </w:lvl>
    <w:lvl w:ilvl="2" w:tplc="8BD4B6A4" w:tentative="1">
      <w:start w:val="1"/>
      <w:numFmt w:val="bullet"/>
      <w:lvlText w:val=""/>
      <w:lvlJc w:val="left"/>
      <w:pPr>
        <w:tabs>
          <w:tab w:val="num" w:pos="2160"/>
        </w:tabs>
        <w:ind w:left="2160" w:hanging="360"/>
      </w:pPr>
      <w:rPr>
        <w:rFonts w:ascii="Wingdings" w:hAnsi="Wingdings" w:hint="default"/>
        <w:sz w:val="20"/>
      </w:rPr>
    </w:lvl>
    <w:lvl w:ilvl="3" w:tplc="241A5D08" w:tentative="1">
      <w:start w:val="1"/>
      <w:numFmt w:val="bullet"/>
      <w:lvlText w:val=""/>
      <w:lvlJc w:val="left"/>
      <w:pPr>
        <w:tabs>
          <w:tab w:val="num" w:pos="2880"/>
        </w:tabs>
        <w:ind w:left="2880" w:hanging="360"/>
      </w:pPr>
      <w:rPr>
        <w:rFonts w:ascii="Wingdings" w:hAnsi="Wingdings" w:hint="default"/>
        <w:sz w:val="20"/>
      </w:rPr>
    </w:lvl>
    <w:lvl w:ilvl="4" w:tplc="57BE685E" w:tentative="1">
      <w:start w:val="1"/>
      <w:numFmt w:val="bullet"/>
      <w:lvlText w:val=""/>
      <w:lvlJc w:val="left"/>
      <w:pPr>
        <w:tabs>
          <w:tab w:val="num" w:pos="3600"/>
        </w:tabs>
        <w:ind w:left="3600" w:hanging="360"/>
      </w:pPr>
      <w:rPr>
        <w:rFonts w:ascii="Wingdings" w:hAnsi="Wingdings" w:hint="default"/>
        <w:sz w:val="20"/>
      </w:rPr>
    </w:lvl>
    <w:lvl w:ilvl="5" w:tplc="5762C5BA" w:tentative="1">
      <w:start w:val="1"/>
      <w:numFmt w:val="bullet"/>
      <w:lvlText w:val=""/>
      <w:lvlJc w:val="left"/>
      <w:pPr>
        <w:tabs>
          <w:tab w:val="num" w:pos="4320"/>
        </w:tabs>
        <w:ind w:left="4320" w:hanging="360"/>
      </w:pPr>
      <w:rPr>
        <w:rFonts w:ascii="Wingdings" w:hAnsi="Wingdings" w:hint="default"/>
        <w:sz w:val="20"/>
      </w:rPr>
    </w:lvl>
    <w:lvl w:ilvl="6" w:tplc="E6841C82" w:tentative="1">
      <w:start w:val="1"/>
      <w:numFmt w:val="bullet"/>
      <w:lvlText w:val=""/>
      <w:lvlJc w:val="left"/>
      <w:pPr>
        <w:tabs>
          <w:tab w:val="num" w:pos="5040"/>
        </w:tabs>
        <w:ind w:left="5040" w:hanging="360"/>
      </w:pPr>
      <w:rPr>
        <w:rFonts w:ascii="Wingdings" w:hAnsi="Wingdings" w:hint="default"/>
        <w:sz w:val="20"/>
      </w:rPr>
    </w:lvl>
    <w:lvl w:ilvl="7" w:tplc="05F4CB38" w:tentative="1">
      <w:start w:val="1"/>
      <w:numFmt w:val="bullet"/>
      <w:lvlText w:val=""/>
      <w:lvlJc w:val="left"/>
      <w:pPr>
        <w:tabs>
          <w:tab w:val="num" w:pos="5760"/>
        </w:tabs>
        <w:ind w:left="5760" w:hanging="360"/>
      </w:pPr>
      <w:rPr>
        <w:rFonts w:ascii="Wingdings" w:hAnsi="Wingdings" w:hint="default"/>
        <w:sz w:val="20"/>
      </w:rPr>
    </w:lvl>
    <w:lvl w:ilvl="8" w:tplc="E1EEF0C0" w:tentative="1">
      <w:start w:val="1"/>
      <w:numFmt w:val="bullet"/>
      <w:lvlText w:val=""/>
      <w:lvlJc w:val="left"/>
      <w:pPr>
        <w:tabs>
          <w:tab w:val="num" w:pos="6480"/>
        </w:tabs>
        <w:ind w:left="6480" w:hanging="360"/>
      </w:pPr>
      <w:rPr>
        <w:rFonts w:ascii="Wingdings" w:hAnsi="Wingdings" w:hint="default"/>
        <w:sz w:val="20"/>
      </w:rPr>
    </w:lvl>
  </w:abstractNum>
  <w:abstractNum w:abstractNumId="465">
    <w:nsid w:val="3D0F3427"/>
    <w:multiLevelType w:val="hybridMultilevel"/>
    <w:tmpl w:val="E3AE04E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6">
    <w:nsid w:val="3D232DBF"/>
    <w:multiLevelType w:val="hybridMultilevel"/>
    <w:tmpl w:val="60A65172"/>
    <w:lvl w:ilvl="0" w:tplc="DB609F48">
      <w:start w:val="1"/>
      <w:numFmt w:val="bullet"/>
      <w:lvlText w:val=""/>
      <w:lvlJc w:val="left"/>
      <w:pPr>
        <w:tabs>
          <w:tab w:val="num" w:pos="720"/>
        </w:tabs>
        <w:ind w:left="720" w:hanging="360"/>
      </w:pPr>
      <w:rPr>
        <w:rFonts w:ascii="Symbol" w:hAnsi="Symbol" w:hint="default"/>
        <w:sz w:val="20"/>
      </w:rPr>
    </w:lvl>
    <w:lvl w:ilvl="1" w:tplc="094AD434" w:tentative="1">
      <w:start w:val="1"/>
      <w:numFmt w:val="bullet"/>
      <w:lvlText w:val="o"/>
      <w:lvlJc w:val="left"/>
      <w:pPr>
        <w:tabs>
          <w:tab w:val="num" w:pos="1440"/>
        </w:tabs>
        <w:ind w:left="1440" w:hanging="360"/>
      </w:pPr>
      <w:rPr>
        <w:rFonts w:ascii="Courier New" w:hAnsi="Courier New" w:hint="default"/>
        <w:sz w:val="20"/>
      </w:rPr>
    </w:lvl>
    <w:lvl w:ilvl="2" w:tplc="68D04CA6" w:tentative="1">
      <w:start w:val="1"/>
      <w:numFmt w:val="bullet"/>
      <w:lvlText w:val=""/>
      <w:lvlJc w:val="left"/>
      <w:pPr>
        <w:tabs>
          <w:tab w:val="num" w:pos="2160"/>
        </w:tabs>
        <w:ind w:left="2160" w:hanging="360"/>
      </w:pPr>
      <w:rPr>
        <w:rFonts w:ascii="Wingdings" w:hAnsi="Wingdings" w:hint="default"/>
        <w:sz w:val="20"/>
      </w:rPr>
    </w:lvl>
    <w:lvl w:ilvl="3" w:tplc="DB584660" w:tentative="1">
      <w:start w:val="1"/>
      <w:numFmt w:val="bullet"/>
      <w:lvlText w:val=""/>
      <w:lvlJc w:val="left"/>
      <w:pPr>
        <w:tabs>
          <w:tab w:val="num" w:pos="2880"/>
        </w:tabs>
        <w:ind w:left="2880" w:hanging="360"/>
      </w:pPr>
      <w:rPr>
        <w:rFonts w:ascii="Wingdings" w:hAnsi="Wingdings" w:hint="default"/>
        <w:sz w:val="20"/>
      </w:rPr>
    </w:lvl>
    <w:lvl w:ilvl="4" w:tplc="58F048B0" w:tentative="1">
      <w:start w:val="1"/>
      <w:numFmt w:val="bullet"/>
      <w:lvlText w:val=""/>
      <w:lvlJc w:val="left"/>
      <w:pPr>
        <w:tabs>
          <w:tab w:val="num" w:pos="3600"/>
        </w:tabs>
        <w:ind w:left="3600" w:hanging="360"/>
      </w:pPr>
      <w:rPr>
        <w:rFonts w:ascii="Wingdings" w:hAnsi="Wingdings" w:hint="default"/>
        <w:sz w:val="20"/>
      </w:rPr>
    </w:lvl>
    <w:lvl w:ilvl="5" w:tplc="DCB22058" w:tentative="1">
      <w:start w:val="1"/>
      <w:numFmt w:val="bullet"/>
      <w:lvlText w:val=""/>
      <w:lvlJc w:val="left"/>
      <w:pPr>
        <w:tabs>
          <w:tab w:val="num" w:pos="4320"/>
        </w:tabs>
        <w:ind w:left="4320" w:hanging="360"/>
      </w:pPr>
      <w:rPr>
        <w:rFonts w:ascii="Wingdings" w:hAnsi="Wingdings" w:hint="default"/>
        <w:sz w:val="20"/>
      </w:rPr>
    </w:lvl>
    <w:lvl w:ilvl="6" w:tplc="3D7652E8" w:tentative="1">
      <w:start w:val="1"/>
      <w:numFmt w:val="bullet"/>
      <w:lvlText w:val=""/>
      <w:lvlJc w:val="left"/>
      <w:pPr>
        <w:tabs>
          <w:tab w:val="num" w:pos="5040"/>
        </w:tabs>
        <w:ind w:left="5040" w:hanging="360"/>
      </w:pPr>
      <w:rPr>
        <w:rFonts w:ascii="Wingdings" w:hAnsi="Wingdings" w:hint="default"/>
        <w:sz w:val="20"/>
      </w:rPr>
    </w:lvl>
    <w:lvl w:ilvl="7" w:tplc="24AE7B26" w:tentative="1">
      <w:start w:val="1"/>
      <w:numFmt w:val="bullet"/>
      <w:lvlText w:val=""/>
      <w:lvlJc w:val="left"/>
      <w:pPr>
        <w:tabs>
          <w:tab w:val="num" w:pos="5760"/>
        </w:tabs>
        <w:ind w:left="5760" w:hanging="360"/>
      </w:pPr>
      <w:rPr>
        <w:rFonts w:ascii="Wingdings" w:hAnsi="Wingdings" w:hint="default"/>
        <w:sz w:val="20"/>
      </w:rPr>
    </w:lvl>
    <w:lvl w:ilvl="8" w:tplc="C2E421AE" w:tentative="1">
      <w:start w:val="1"/>
      <w:numFmt w:val="bullet"/>
      <w:lvlText w:val=""/>
      <w:lvlJc w:val="left"/>
      <w:pPr>
        <w:tabs>
          <w:tab w:val="num" w:pos="6480"/>
        </w:tabs>
        <w:ind w:left="6480" w:hanging="360"/>
      </w:pPr>
      <w:rPr>
        <w:rFonts w:ascii="Wingdings" w:hAnsi="Wingdings" w:hint="default"/>
        <w:sz w:val="20"/>
      </w:rPr>
    </w:lvl>
  </w:abstractNum>
  <w:abstractNum w:abstractNumId="467">
    <w:nsid w:val="3D2F627B"/>
    <w:multiLevelType w:val="hybridMultilevel"/>
    <w:tmpl w:val="B46C0AEE"/>
    <w:lvl w:ilvl="0" w:tplc="3BA23654">
      <w:start w:val="1"/>
      <w:numFmt w:val="bullet"/>
      <w:lvlText w:val="-"/>
      <w:lvlJc w:val="left"/>
      <w:pPr>
        <w:ind w:left="720" w:hanging="360"/>
      </w:pPr>
      <w:rPr>
        <w:rFonts w:ascii="Verdana" w:hAnsi="Verdana"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68">
    <w:nsid w:val="3D727F79"/>
    <w:multiLevelType w:val="hybridMultilevel"/>
    <w:tmpl w:val="12802DBA"/>
    <w:lvl w:ilvl="0" w:tplc="D6A656B6">
      <w:numFmt w:val="bullet"/>
      <w:lvlText w:val="-"/>
      <w:lvlJc w:val="left"/>
      <w:pPr>
        <w:ind w:left="1068" w:hanging="360"/>
      </w:pPr>
      <w:rPr>
        <w:rFonts w:ascii="Times New Roman" w:eastAsia="Times New Roman" w:hAnsi="Times New Roman" w:cs="Times New Roman"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469">
    <w:nsid w:val="3DED5E1E"/>
    <w:multiLevelType w:val="hybridMultilevel"/>
    <w:tmpl w:val="517A13DE"/>
    <w:lvl w:ilvl="0" w:tplc="04150005">
      <w:start w:val="1"/>
      <w:numFmt w:val="bullet"/>
      <w:lvlText w:val=""/>
      <w:lvlJc w:val="left"/>
      <w:pPr>
        <w:tabs>
          <w:tab w:val="num" w:pos="720"/>
        </w:tabs>
        <w:ind w:left="720" w:hanging="360"/>
      </w:pPr>
      <w:rPr>
        <w:rFonts w:ascii="Wingdings" w:hAnsi="Wingdings" w:hint="default"/>
        <w:sz w:val="20"/>
      </w:rPr>
    </w:lvl>
    <w:lvl w:ilvl="1" w:tplc="3878D074" w:tentative="1">
      <w:start w:val="1"/>
      <w:numFmt w:val="bullet"/>
      <w:lvlText w:val="o"/>
      <w:lvlJc w:val="left"/>
      <w:pPr>
        <w:tabs>
          <w:tab w:val="num" w:pos="1440"/>
        </w:tabs>
        <w:ind w:left="1440" w:hanging="360"/>
      </w:pPr>
      <w:rPr>
        <w:rFonts w:ascii="Courier New" w:hAnsi="Courier New" w:hint="default"/>
        <w:sz w:val="20"/>
      </w:rPr>
    </w:lvl>
    <w:lvl w:ilvl="2" w:tplc="AAAC088E" w:tentative="1">
      <w:start w:val="1"/>
      <w:numFmt w:val="bullet"/>
      <w:lvlText w:val=""/>
      <w:lvlJc w:val="left"/>
      <w:pPr>
        <w:tabs>
          <w:tab w:val="num" w:pos="2160"/>
        </w:tabs>
        <w:ind w:left="2160" w:hanging="360"/>
      </w:pPr>
      <w:rPr>
        <w:rFonts w:ascii="Wingdings" w:hAnsi="Wingdings" w:hint="default"/>
        <w:sz w:val="20"/>
      </w:rPr>
    </w:lvl>
    <w:lvl w:ilvl="3" w:tplc="7592DDB4" w:tentative="1">
      <w:start w:val="1"/>
      <w:numFmt w:val="bullet"/>
      <w:lvlText w:val=""/>
      <w:lvlJc w:val="left"/>
      <w:pPr>
        <w:tabs>
          <w:tab w:val="num" w:pos="2880"/>
        </w:tabs>
        <w:ind w:left="2880" w:hanging="360"/>
      </w:pPr>
      <w:rPr>
        <w:rFonts w:ascii="Wingdings" w:hAnsi="Wingdings" w:hint="default"/>
        <w:sz w:val="20"/>
      </w:rPr>
    </w:lvl>
    <w:lvl w:ilvl="4" w:tplc="F3303222" w:tentative="1">
      <w:start w:val="1"/>
      <w:numFmt w:val="bullet"/>
      <w:lvlText w:val=""/>
      <w:lvlJc w:val="left"/>
      <w:pPr>
        <w:tabs>
          <w:tab w:val="num" w:pos="3600"/>
        </w:tabs>
        <w:ind w:left="3600" w:hanging="360"/>
      </w:pPr>
      <w:rPr>
        <w:rFonts w:ascii="Wingdings" w:hAnsi="Wingdings" w:hint="default"/>
        <w:sz w:val="20"/>
      </w:rPr>
    </w:lvl>
    <w:lvl w:ilvl="5" w:tplc="D064465C" w:tentative="1">
      <w:start w:val="1"/>
      <w:numFmt w:val="bullet"/>
      <w:lvlText w:val=""/>
      <w:lvlJc w:val="left"/>
      <w:pPr>
        <w:tabs>
          <w:tab w:val="num" w:pos="4320"/>
        </w:tabs>
        <w:ind w:left="4320" w:hanging="360"/>
      </w:pPr>
      <w:rPr>
        <w:rFonts w:ascii="Wingdings" w:hAnsi="Wingdings" w:hint="default"/>
        <w:sz w:val="20"/>
      </w:rPr>
    </w:lvl>
    <w:lvl w:ilvl="6" w:tplc="C14407D6" w:tentative="1">
      <w:start w:val="1"/>
      <w:numFmt w:val="bullet"/>
      <w:lvlText w:val=""/>
      <w:lvlJc w:val="left"/>
      <w:pPr>
        <w:tabs>
          <w:tab w:val="num" w:pos="5040"/>
        </w:tabs>
        <w:ind w:left="5040" w:hanging="360"/>
      </w:pPr>
      <w:rPr>
        <w:rFonts w:ascii="Wingdings" w:hAnsi="Wingdings" w:hint="default"/>
        <w:sz w:val="20"/>
      </w:rPr>
    </w:lvl>
    <w:lvl w:ilvl="7" w:tplc="08760380" w:tentative="1">
      <w:start w:val="1"/>
      <w:numFmt w:val="bullet"/>
      <w:lvlText w:val=""/>
      <w:lvlJc w:val="left"/>
      <w:pPr>
        <w:tabs>
          <w:tab w:val="num" w:pos="5760"/>
        </w:tabs>
        <w:ind w:left="5760" w:hanging="360"/>
      </w:pPr>
      <w:rPr>
        <w:rFonts w:ascii="Wingdings" w:hAnsi="Wingdings" w:hint="default"/>
        <w:sz w:val="20"/>
      </w:rPr>
    </w:lvl>
    <w:lvl w:ilvl="8" w:tplc="ABF2087C" w:tentative="1">
      <w:start w:val="1"/>
      <w:numFmt w:val="bullet"/>
      <w:lvlText w:val=""/>
      <w:lvlJc w:val="left"/>
      <w:pPr>
        <w:tabs>
          <w:tab w:val="num" w:pos="6480"/>
        </w:tabs>
        <w:ind w:left="6480" w:hanging="360"/>
      </w:pPr>
      <w:rPr>
        <w:rFonts w:ascii="Wingdings" w:hAnsi="Wingdings" w:hint="default"/>
        <w:sz w:val="20"/>
      </w:rPr>
    </w:lvl>
  </w:abstractNum>
  <w:abstractNum w:abstractNumId="470">
    <w:nsid w:val="3E0E533A"/>
    <w:multiLevelType w:val="hybridMultilevel"/>
    <w:tmpl w:val="2B1A06F2"/>
    <w:lvl w:ilvl="0" w:tplc="D5C48256">
      <w:start w:val="1"/>
      <w:numFmt w:val="lowerLetter"/>
      <w:lvlText w:val="%1."/>
      <w:lvlJc w:val="left"/>
      <w:pPr>
        <w:tabs>
          <w:tab w:val="num" w:pos="720"/>
        </w:tabs>
        <w:ind w:left="720" w:hanging="360"/>
      </w:pPr>
    </w:lvl>
    <w:lvl w:ilvl="1" w:tplc="BF72F6B8">
      <w:start w:val="1"/>
      <w:numFmt w:val="lowerLetter"/>
      <w:lvlText w:val="%2."/>
      <w:lvlJc w:val="left"/>
      <w:pPr>
        <w:tabs>
          <w:tab w:val="num" w:pos="1440"/>
        </w:tabs>
        <w:ind w:left="1440" w:hanging="360"/>
      </w:pPr>
    </w:lvl>
    <w:lvl w:ilvl="2" w:tplc="91AE5174" w:tentative="1">
      <w:start w:val="1"/>
      <w:numFmt w:val="lowerLetter"/>
      <w:lvlText w:val="%3."/>
      <w:lvlJc w:val="left"/>
      <w:pPr>
        <w:tabs>
          <w:tab w:val="num" w:pos="2160"/>
        </w:tabs>
        <w:ind w:left="2160" w:hanging="360"/>
      </w:pPr>
    </w:lvl>
    <w:lvl w:ilvl="3" w:tplc="3FEA7D14" w:tentative="1">
      <w:start w:val="1"/>
      <w:numFmt w:val="lowerLetter"/>
      <w:lvlText w:val="%4."/>
      <w:lvlJc w:val="left"/>
      <w:pPr>
        <w:tabs>
          <w:tab w:val="num" w:pos="2880"/>
        </w:tabs>
        <w:ind w:left="2880" w:hanging="360"/>
      </w:pPr>
    </w:lvl>
    <w:lvl w:ilvl="4" w:tplc="0982007C" w:tentative="1">
      <w:start w:val="1"/>
      <w:numFmt w:val="lowerLetter"/>
      <w:lvlText w:val="%5."/>
      <w:lvlJc w:val="left"/>
      <w:pPr>
        <w:tabs>
          <w:tab w:val="num" w:pos="3600"/>
        </w:tabs>
        <w:ind w:left="3600" w:hanging="360"/>
      </w:pPr>
    </w:lvl>
    <w:lvl w:ilvl="5" w:tplc="01962802" w:tentative="1">
      <w:start w:val="1"/>
      <w:numFmt w:val="lowerLetter"/>
      <w:lvlText w:val="%6."/>
      <w:lvlJc w:val="left"/>
      <w:pPr>
        <w:tabs>
          <w:tab w:val="num" w:pos="4320"/>
        </w:tabs>
        <w:ind w:left="4320" w:hanging="360"/>
      </w:pPr>
    </w:lvl>
    <w:lvl w:ilvl="6" w:tplc="3D541796" w:tentative="1">
      <w:start w:val="1"/>
      <w:numFmt w:val="lowerLetter"/>
      <w:lvlText w:val="%7."/>
      <w:lvlJc w:val="left"/>
      <w:pPr>
        <w:tabs>
          <w:tab w:val="num" w:pos="5040"/>
        </w:tabs>
        <w:ind w:left="5040" w:hanging="360"/>
      </w:pPr>
    </w:lvl>
    <w:lvl w:ilvl="7" w:tplc="3D22CD6E" w:tentative="1">
      <w:start w:val="1"/>
      <w:numFmt w:val="lowerLetter"/>
      <w:lvlText w:val="%8."/>
      <w:lvlJc w:val="left"/>
      <w:pPr>
        <w:tabs>
          <w:tab w:val="num" w:pos="5760"/>
        </w:tabs>
        <w:ind w:left="5760" w:hanging="360"/>
      </w:pPr>
    </w:lvl>
    <w:lvl w:ilvl="8" w:tplc="791CBF5C" w:tentative="1">
      <w:start w:val="1"/>
      <w:numFmt w:val="lowerLetter"/>
      <w:lvlText w:val="%9."/>
      <w:lvlJc w:val="left"/>
      <w:pPr>
        <w:tabs>
          <w:tab w:val="num" w:pos="6480"/>
        </w:tabs>
        <w:ind w:left="6480" w:hanging="360"/>
      </w:pPr>
    </w:lvl>
  </w:abstractNum>
  <w:abstractNum w:abstractNumId="471">
    <w:nsid w:val="3E1D2B96"/>
    <w:multiLevelType w:val="hybridMultilevel"/>
    <w:tmpl w:val="CDBC3072"/>
    <w:lvl w:ilvl="0" w:tplc="FAF4F8B0">
      <w:start w:val="1"/>
      <w:numFmt w:val="bullet"/>
      <w:lvlText w:val=""/>
      <w:lvlJc w:val="left"/>
      <w:pPr>
        <w:tabs>
          <w:tab w:val="num" w:pos="720"/>
        </w:tabs>
        <w:ind w:left="720" w:hanging="360"/>
      </w:pPr>
      <w:rPr>
        <w:rFonts w:ascii="Symbol" w:hAnsi="Symbol" w:hint="default"/>
        <w:sz w:val="20"/>
      </w:rPr>
    </w:lvl>
    <w:lvl w:ilvl="1" w:tplc="0DBE8F62" w:tentative="1">
      <w:start w:val="1"/>
      <w:numFmt w:val="bullet"/>
      <w:lvlText w:val="o"/>
      <w:lvlJc w:val="left"/>
      <w:pPr>
        <w:tabs>
          <w:tab w:val="num" w:pos="1440"/>
        </w:tabs>
        <w:ind w:left="1440" w:hanging="360"/>
      </w:pPr>
      <w:rPr>
        <w:rFonts w:ascii="Courier New" w:hAnsi="Courier New" w:hint="default"/>
        <w:sz w:val="20"/>
      </w:rPr>
    </w:lvl>
    <w:lvl w:ilvl="2" w:tplc="151C130E" w:tentative="1">
      <w:start w:val="1"/>
      <w:numFmt w:val="bullet"/>
      <w:lvlText w:val=""/>
      <w:lvlJc w:val="left"/>
      <w:pPr>
        <w:tabs>
          <w:tab w:val="num" w:pos="2160"/>
        </w:tabs>
        <w:ind w:left="2160" w:hanging="360"/>
      </w:pPr>
      <w:rPr>
        <w:rFonts w:ascii="Wingdings" w:hAnsi="Wingdings" w:hint="default"/>
        <w:sz w:val="20"/>
      </w:rPr>
    </w:lvl>
    <w:lvl w:ilvl="3" w:tplc="65E6C5B6" w:tentative="1">
      <w:start w:val="1"/>
      <w:numFmt w:val="bullet"/>
      <w:lvlText w:val=""/>
      <w:lvlJc w:val="left"/>
      <w:pPr>
        <w:tabs>
          <w:tab w:val="num" w:pos="2880"/>
        </w:tabs>
        <w:ind w:left="2880" w:hanging="360"/>
      </w:pPr>
      <w:rPr>
        <w:rFonts w:ascii="Wingdings" w:hAnsi="Wingdings" w:hint="default"/>
        <w:sz w:val="20"/>
      </w:rPr>
    </w:lvl>
    <w:lvl w:ilvl="4" w:tplc="5B2C1702" w:tentative="1">
      <w:start w:val="1"/>
      <w:numFmt w:val="bullet"/>
      <w:lvlText w:val=""/>
      <w:lvlJc w:val="left"/>
      <w:pPr>
        <w:tabs>
          <w:tab w:val="num" w:pos="3600"/>
        </w:tabs>
        <w:ind w:left="3600" w:hanging="360"/>
      </w:pPr>
      <w:rPr>
        <w:rFonts w:ascii="Wingdings" w:hAnsi="Wingdings" w:hint="default"/>
        <w:sz w:val="20"/>
      </w:rPr>
    </w:lvl>
    <w:lvl w:ilvl="5" w:tplc="00A05A7A" w:tentative="1">
      <w:start w:val="1"/>
      <w:numFmt w:val="bullet"/>
      <w:lvlText w:val=""/>
      <w:lvlJc w:val="left"/>
      <w:pPr>
        <w:tabs>
          <w:tab w:val="num" w:pos="4320"/>
        </w:tabs>
        <w:ind w:left="4320" w:hanging="360"/>
      </w:pPr>
      <w:rPr>
        <w:rFonts w:ascii="Wingdings" w:hAnsi="Wingdings" w:hint="default"/>
        <w:sz w:val="20"/>
      </w:rPr>
    </w:lvl>
    <w:lvl w:ilvl="6" w:tplc="79A06152" w:tentative="1">
      <w:start w:val="1"/>
      <w:numFmt w:val="bullet"/>
      <w:lvlText w:val=""/>
      <w:lvlJc w:val="left"/>
      <w:pPr>
        <w:tabs>
          <w:tab w:val="num" w:pos="5040"/>
        </w:tabs>
        <w:ind w:left="5040" w:hanging="360"/>
      </w:pPr>
      <w:rPr>
        <w:rFonts w:ascii="Wingdings" w:hAnsi="Wingdings" w:hint="default"/>
        <w:sz w:val="20"/>
      </w:rPr>
    </w:lvl>
    <w:lvl w:ilvl="7" w:tplc="25B038DC" w:tentative="1">
      <w:start w:val="1"/>
      <w:numFmt w:val="bullet"/>
      <w:lvlText w:val=""/>
      <w:lvlJc w:val="left"/>
      <w:pPr>
        <w:tabs>
          <w:tab w:val="num" w:pos="5760"/>
        </w:tabs>
        <w:ind w:left="5760" w:hanging="360"/>
      </w:pPr>
      <w:rPr>
        <w:rFonts w:ascii="Wingdings" w:hAnsi="Wingdings" w:hint="default"/>
        <w:sz w:val="20"/>
      </w:rPr>
    </w:lvl>
    <w:lvl w:ilvl="8" w:tplc="A218E6E4" w:tentative="1">
      <w:start w:val="1"/>
      <w:numFmt w:val="bullet"/>
      <w:lvlText w:val=""/>
      <w:lvlJc w:val="left"/>
      <w:pPr>
        <w:tabs>
          <w:tab w:val="num" w:pos="6480"/>
        </w:tabs>
        <w:ind w:left="6480" w:hanging="360"/>
      </w:pPr>
      <w:rPr>
        <w:rFonts w:ascii="Wingdings" w:hAnsi="Wingdings" w:hint="default"/>
        <w:sz w:val="20"/>
      </w:rPr>
    </w:lvl>
  </w:abstractNum>
  <w:abstractNum w:abstractNumId="472">
    <w:nsid w:val="3E422741"/>
    <w:multiLevelType w:val="hybridMultilevel"/>
    <w:tmpl w:val="72F6E1F4"/>
    <w:lvl w:ilvl="0" w:tplc="04150005">
      <w:start w:val="1"/>
      <w:numFmt w:val="bullet"/>
      <w:lvlText w:val=""/>
      <w:lvlJc w:val="left"/>
      <w:pPr>
        <w:tabs>
          <w:tab w:val="num" w:pos="720"/>
        </w:tabs>
        <w:ind w:left="720" w:hanging="360"/>
      </w:pPr>
      <w:rPr>
        <w:rFonts w:ascii="Wingdings" w:hAnsi="Wingdings" w:hint="default"/>
        <w:sz w:val="20"/>
      </w:rPr>
    </w:lvl>
    <w:lvl w:ilvl="1" w:tplc="F1C24D7C" w:tentative="1">
      <w:start w:val="1"/>
      <w:numFmt w:val="bullet"/>
      <w:lvlText w:val="o"/>
      <w:lvlJc w:val="left"/>
      <w:pPr>
        <w:tabs>
          <w:tab w:val="num" w:pos="1440"/>
        </w:tabs>
        <w:ind w:left="1440" w:hanging="360"/>
      </w:pPr>
      <w:rPr>
        <w:rFonts w:ascii="Courier New" w:hAnsi="Courier New" w:hint="default"/>
        <w:sz w:val="20"/>
      </w:rPr>
    </w:lvl>
    <w:lvl w:ilvl="2" w:tplc="05C6F138" w:tentative="1">
      <w:start w:val="1"/>
      <w:numFmt w:val="bullet"/>
      <w:lvlText w:val=""/>
      <w:lvlJc w:val="left"/>
      <w:pPr>
        <w:tabs>
          <w:tab w:val="num" w:pos="2160"/>
        </w:tabs>
        <w:ind w:left="2160" w:hanging="360"/>
      </w:pPr>
      <w:rPr>
        <w:rFonts w:ascii="Wingdings" w:hAnsi="Wingdings" w:hint="default"/>
        <w:sz w:val="20"/>
      </w:rPr>
    </w:lvl>
    <w:lvl w:ilvl="3" w:tplc="A26EEFAC" w:tentative="1">
      <w:start w:val="1"/>
      <w:numFmt w:val="bullet"/>
      <w:lvlText w:val=""/>
      <w:lvlJc w:val="left"/>
      <w:pPr>
        <w:tabs>
          <w:tab w:val="num" w:pos="2880"/>
        </w:tabs>
        <w:ind w:left="2880" w:hanging="360"/>
      </w:pPr>
      <w:rPr>
        <w:rFonts w:ascii="Wingdings" w:hAnsi="Wingdings" w:hint="default"/>
        <w:sz w:val="20"/>
      </w:rPr>
    </w:lvl>
    <w:lvl w:ilvl="4" w:tplc="36AA7C2C" w:tentative="1">
      <w:start w:val="1"/>
      <w:numFmt w:val="bullet"/>
      <w:lvlText w:val=""/>
      <w:lvlJc w:val="left"/>
      <w:pPr>
        <w:tabs>
          <w:tab w:val="num" w:pos="3600"/>
        </w:tabs>
        <w:ind w:left="3600" w:hanging="360"/>
      </w:pPr>
      <w:rPr>
        <w:rFonts w:ascii="Wingdings" w:hAnsi="Wingdings" w:hint="default"/>
        <w:sz w:val="20"/>
      </w:rPr>
    </w:lvl>
    <w:lvl w:ilvl="5" w:tplc="335EF240" w:tentative="1">
      <w:start w:val="1"/>
      <w:numFmt w:val="bullet"/>
      <w:lvlText w:val=""/>
      <w:lvlJc w:val="left"/>
      <w:pPr>
        <w:tabs>
          <w:tab w:val="num" w:pos="4320"/>
        </w:tabs>
        <w:ind w:left="4320" w:hanging="360"/>
      </w:pPr>
      <w:rPr>
        <w:rFonts w:ascii="Wingdings" w:hAnsi="Wingdings" w:hint="default"/>
        <w:sz w:val="20"/>
      </w:rPr>
    </w:lvl>
    <w:lvl w:ilvl="6" w:tplc="2024752E" w:tentative="1">
      <w:start w:val="1"/>
      <w:numFmt w:val="bullet"/>
      <w:lvlText w:val=""/>
      <w:lvlJc w:val="left"/>
      <w:pPr>
        <w:tabs>
          <w:tab w:val="num" w:pos="5040"/>
        </w:tabs>
        <w:ind w:left="5040" w:hanging="360"/>
      </w:pPr>
      <w:rPr>
        <w:rFonts w:ascii="Wingdings" w:hAnsi="Wingdings" w:hint="default"/>
        <w:sz w:val="20"/>
      </w:rPr>
    </w:lvl>
    <w:lvl w:ilvl="7" w:tplc="07D2579C" w:tentative="1">
      <w:start w:val="1"/>
      <w:numFmt w:val="bullet"/>
      <w:lvlText w:val=""/>
      <w:lvlJc w:val="left"/>
      <w:pPr>
        <w:tabs>
          <w:tab w:val="num" w:pos="5760"/>
        </w:tabs>
        <w:ind w:left="5760" w:hanging="360"/>
      </w:pPr>
      <w:rPr>
        <w:rFonts w:ascii="Wingdings" w:hAnsi="Wingdings" w:hint="default"/>
        <w:sz w:val="20"/>
      </w:rPr>
    </w:lvl>
    <w:lvl w:ilvl="8" w:tplc="6562E766" w:tentative="1">
      <w:start w:val="1"/>
      <w:numFmt w:val="bullet"/>
      <w:lvlText w:val=""/>
      <w:lvlJc w:val="left"/>
      <w:pPr>
        <w:tabs>
          <w:tab w:val="num" w:pos="6480"/>
        </w:tabs>
        <w:ind w:left="6480" w:hanging="360"/>
      </w:pPr>
      <w:rPr>
        <w:rFonts w:ascii="Wingdings" w:hAnsi="Wingdings" w:hint="default"/>
        <w:sz w:val="20"/>
      </w:rPr>
    </w:lvl>
  </w:abstractNum>
  <w:abstractNum w:abstractNumId="473">
    <w:nsid w:val="3E631A3C"/>
    <w:multiLevelType w:val="hybridMultilevel"/>
    <w:tmpl w:val="D8D8594A"/>
    <w:lvl w:ilvl="0" w:tplc="04150005">
      <w:start w:val="1"/>
      <w:numFmt w:val="bullet"/>
      <w:lvlText w:val=""/>
      <w:lvlJc w:val="left"/>
      <w:pPr>
        <w:tabs>
          <w:tab w:val="num" w:pos="720"/>
        </w:tabs>
        <w:ind w:left="720" w:hanging="360"/>
      </w:pPr>
      <w:rPr>
        <w:rFonts w:ascii="Wingdings" w:hAnsi="Wingdings" w:hint="default"/>
        <w:sz w:val="20"/>
      </w:rPr>
    </w:lvl>
    <w:lvl w:ilvl="1" w:tplc="FCE6C252" w:tentative="1">
      <w:start w:val="1"/>
      <w:numFmt w:val="bullet"/>
      <w:lvlText w:val="o"/>
      <w:lvlJc w:val="left"/>
      <w:pPr>
        <w:tabs>
          <w:tab w:val="num" w:pos="1440"/>
        </w:tabs>
        <w:ind w:left="1440" w:hanging="360"/>
      </w:pPr>
      <w:rPr>
        <w:rFonts w:ascii="Courier New" w:hAnsi="Courier New" w:hint="default"/>
        <w:sz w:val="20"/>
      </w:rPr>
    </w:lvl>
    <w:lvl w:ilvl="2" w:tplc="6ED09C76" w:tentative="1">
      <w:start w:val="1"/>
      <w:numFmt w:val="bullet"/>
      <w:lvlText w:val=""/>
      <w:lvlJc w:val="left"/>
      <w:pPr>
        <w:tabs>
          <w:tab w:val="num" w:pos="2160"/>
        </w:tabs>
        <w:ind w:left="2160" w:hanging="360"/>
      </w:pPr>
      <w:rPr>
        <w:rFonts w:ascii="Wingdings" w:hAnsi="Wingdings" w:hint="default"/>
        <w:sz w:val="20"/>
      </w:rPr>
    </w:lvl>
    <w:lvl w:ilvl="3" w:tplc="E2FED594" w:tentative="1">
      <w:start w:val="1"/>
      <w:numFmt w:val="bullet"/>
      <w:lvlText w:val=""/>
      <w:lvlJc w:val="left"/>
      <w:pPr>
        <w:tabs>
          <w:tab w:val="num" w:pos="2880"/>
        </w:tabs>
        <w:ind w:left="2880" w:hanging="360"/>
      </w:pPr>
      <w:rPr>
        <w:rFonts w:ascii="Wingdings" w:hAnsi="Wingdings" w:hint="default"/>
        <w:sz w:val="20"/>
      </w:rPr>
    </w:lvl>
    <w:lvl w:ilvl="4" w:tplc="4B3A662A" w:tentative="1">
      <w:start w:val="1"/>
      <w:numFmt w:val="bullet"/>
      <w:lvlText w:val=""/>
      <w:lvlJc w:val="left"/>
      <w:pPr>
        <w:tabs>
          <w:tab w:val="num" w:pos="3600"/>
        </w:tabs>
        <w:ind w:left="3600" w:hanging="360"/>
      </w:pPr>
      <w:rPr>
        <w:rFonts w:ascii="Wingdings" w:hAnsi="Wingdings" w:hint="default"/>
        <w:sz w:val="20"/>
      </w:rPr>
    </w:lvl>
    <w:lvl w:ilvl="5" w:tplc="DC8A300C" w:tentative="1">
      <w:start w:val="1"/>
      <w:numFmt w:val="bullet"/>
      <w:lvlText w:val=""/>
      <w:lvlJc w:val="left"/>
      <w:pPr>
        <w:tabs>
          <w:tab w:val="num" w:pos="4320"/>
        </w:tabs>
        <w:ind w:left="4320" w:hanging="360"/>
      </w:pPr>
      <w:rPr>
        <w:rFonts w:ascii="Wingdings" w:hAnsi="Wingdings" w:hint="default"/>
        <w:sz w:val="20"/>
      </w:rPr>
    </w:lvl>
    <w:lvl w:ilvl="6" w:tplc="BD3C2F54" w:tentative="1">
      <w:start w:val="1"/>
      <w:numFmt w:val="bullet"/>
      <w:lvlText w:val=""/>
      <w:lvlJc w:val="left"/>
      <w:pPr>
        <w:tabs>
          <w:tab w:val="num" w:pos="5040"/>
        </w:tabs>
        <w:ind w:left="5040" w:hanging="360"/>
      </w:pPr>
      <w:rPr>
        <w:rFonts w:ascii="Wingdings" w:hAnsi="Wingdings" w:hint="default"/>
        <w:sz w:val="20"/>
      </w:rPr>
    </w:lvl>
    <w:lvl w:ilvl="7" w:tplc="068A4300" w:tentative="1">
      <w:start w:val="1"/>
      <w:numFmt w:val="bullet"/>
      <w:lvlText w:val=""/>
      <w:lvlJc w:val="left"/>
      <w:pPr>
        <w:tabs>
          <w:tab w:val="num" w:pos="5760"/>
        </w:tabs>
        <w:ind w:left="5760" w:hanging="360"/>
      </w:pPr>
      <w:rPr>
        <w:rFonts w:ascii="Wingdings" w:hAnsi="Wingdings" w:hint="default"/>
        <w:sz w:val="20"/>
      </w:rPr>
    </w:lvl>
    <w:lvl w:ilvl="8" w:tplc="BBAC60C2" w:tentative="1">
      <w:start w:val="1"/>
      <w:numFmt w:val="bullet"/>
      <w:lvlText w:val=""/>
      <w:lvlJc w:val="left"/>
      <w:pPr>
        <w:tabs>
          <w:tab w:val="num" w:pos="6480"/>
        </w:tabs>
        <w:ind w:left="6480" w:hanging="360"/>
      </w:pPr>
      <w:rPr>
        <w:rFonts w:ascii="Wingdings" w:hAnsi="Wingdings" w:hint="default"/>
        <w:sz w:val="20"/>
      </w:rPr>
    </w:lvl>
  </w:abstractNum>
  <w:abstractNum w:abstractNumId="474">
    <w:nsid w:val="3E854036"/>
    <w:multiLevelType w:val="hybridMultilevel"/>
    <w:tmpl w:val="4134EFA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5">
    <w:nsid w:val="3EE64142"/>
    <w:multiLevelType w:val="multilevel"/>
    <w:tmpl w:val="382A0A30"/>
    <w:lvl w:ilvl="0">
      <w:start w:val="1"/>
      <w:numFmt w:val="decimal"/>
      <w:lvlText w:val="%1."/>
      <w:lvlJc w:val="left"/>
      <w:pPr>
        <w:ind w:left="360" w:hanging="360"/>
      </w:pPr>
      <w:rPr>
        <w:rFonts w:hint="default"/>
        <w:color w:val="3366FF"/>
      </w:rPr>
    </w:lvl>
    <w:lvl w:ilvl="1">
      <w:start w:val="1"/>
      <w:numFmt w:val="decimal"/>
      <w:lvlText w:val="%1.%2."/>
      <w:lvlJc w:val="left"/>
      <w:pPr>
        <w:ind w:left="792" w:hanging="432"/>
      </w:pPr>
    </w:lvl>
    <w:lvl w:ilvl="2">
      <w:start w:val="1"/>
      <w:numFmt w:val="decimal"/>
      <w:lvlText w:val="%1.%2.%3."/>
      <w:lvlJc w:val="left"/>
      <w:pPr>
        <w:ind w:left="1224" w:hanging="504"/>
      </w:pPr>
      <w:rPr>
        <w:color w:val="3366FF"/>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6">
    <w:nsid w:val="3F8A5685"/>
    <w:multiLevelType w:val="hybridMultilevel"/>
    <w:tmpl w:val="594C3FDA"/>
    <w:lvl w:ilvl="0" w:tplc="04150005">
      <w:start w:val="1"/>
      <w:numFmt w:val="bullet"/>
      <w:lvlText w:val=""/>
      <w:lvlJc w:val="left"/>
      <w:pPr>
        <w:tabs>
          <w:tab w:val="num" w:pos="720"/>
        </w:tabs>
        <w:ind w:left="720" w:hanging="360"/>
      </w:pPr>
      <w:rPr>
        <w:rFonts w:ascii="Wingdings" w:hAnsi="Wingdings" w:hint="default"/>
        <w:sz w:val="20"/>
      </w:rPr>
    </w:lvl>
    <w:lvl w:ilvl="1" w:tplc="59B006CE" w:tentative="1">
      <w:start w:val="1"/>
      <w:numFmt w:val="bullet"/>
      <w:lvlText w:val="o"/>
      <w:lvlJc w:val="left"/>
      <w:pPr>
        <w:tabs>
          <w:tab w:val="num" w:pos="1440"/>
        </w:tabs>
        <w:ind w:left="1440" w:hanging="360"/>
      </w:pPr>
      <w:rPr>
        <w:rFonts w:ascii="Courier New" w:hAnsi="Courier New" w:hint="default"/>
        <w:sz w:val="20"/>
      </w:rPr>
    </w:lvl>
    <w:lvl w:ilvl="2" w:tplc="5A1089C4" w:tentative="1">
      <w:start w:val="1"/>
      <w:numFmt w:val="bullet"/>
      <w:lvlText w:val=""/>
      <w:lvlJc w:val="left"/>
      <w:pPr>
        <w:tabs>
          <w:tab w:val="num" w:pos="2160"/>
        </w:tabs>
        <w:ind w:left="2160" w:hanging="360"/>
      </w:pPr>
      <w:rPr>
        <w:rFonts w:ascii="Wingdings" w:hAnsi="Wingdings" w:hint="default"/>
        <w:sz w:val="20"/>
      </w:rPr>
    </w:lvl>
    <w:lvl w:ilvl="3" w:tplc="BF9668B2" w:tentative="1">
      <w:start w:val="1"/>
      <w:numFmt w:val="bullet"/>
      <w:lvlText w:val=""/>
      <w:lvlJc w:val="left"/>
      <w:pPr>
        <w:tabs>
          <w:tab w:val="num" w:pos="2880"/>
        </w:tabs>
        <w:ind w:left="2880" w:hanging="360"/>
      </w:pPr>
      <w:rPr>
        <w:rFonts w:ascii="Wingdings" w:hAnsi="Wingdings" w:hint="default"/>
        <w:sz w:val="20"/>
      </w:rPr>
    </w:lvl>
    <w:lvl w:ilvl="4" w:tplc="DC4034AE" w:tentative="1">
      <w:start w:val="1"/>
      <w:numFmt w:val="bullet"/>
      <w:lvlText w:val=""/>
      <w:lvlJc w:val="left"/>
      <w:pPr>
        <w:tabs>
          <w:tab w:val="num" w:pos="3600"/>
        </w:tabs>
        <w:ind w:left="3600" w:hanging="360"/>
      </w:pPr>
      <w:rPr>
        <w:rFonts w:ascii="Wingdings" w:hAnsi="Wingdings" w:hint="default"/>
        <w:sz w:val="20"/>
      </w:rPr>
    </w:lvl>
    <w:lvl w:ilvl="5" w:tplc="7124DA14" w:tentative="1">
      <w:start w:val="1"/>
      <w:numFmt w:val="bullet"/>
      <w:lvlText w:val=""/>
      <w:lvlJc w:val="left"/>
      <w:pPr>
        <w:tabs>
          <w:tab w:val="num" w:pos="4320"/>
        </w:tabs>
        <w:ind w:left="4320" w:hanging="360"/>
      </w:pPr>
      <w:rPr>
        <w:rFonts w:ascii="Wingdings" w:hAnsi="Wingdings" w:hint="default"/>
        <w:sz w:val="20"/>
      </w:rPr>
    </w:lvl>
    <w:lvl w:ilvl="6" w:tplc="D2B0246E" w:tentative="1">
      <w:start w:val="1"/>
      <w:numFmt w:val="bullet"/>
      <w:lvlText w:val=""/>
      <w:lvlJc w:val="left"/>
      <w:pPr>
        <w:tabs>
          <w:tab w:val="num" w:pos="5040"/>
        </w:tabs>
        <w:ind w:left="5040" w:hanging="360"/>
      </w:pPr>
      <w:rPr>
        <w:rFonts w:ascii="Wingdings" w:hAnsi="Wingdings" w:hint="default"/>
        <w:sz w:val="20"/>
      </w:rPr>
    </w:lvl>
    <w:lvl w:ilvl="7" w:tplc="058287E6" w:tentative="1">
      <w:start w:val="1"/>
      <w:numFmt w:val="bullet"/>
      <w:lvlText w:val=""/>
      <w:lvlJc w:val="left"/>
      <w:pPr>
        <w:tabs>
          <w:tab w:val="num" w:pos="5760"/>
        </w:tabs>
        <w:ind w:left="5760" w:hanging="360"/>
      </w:pPr>
      <w:rPr>
        <w:rFonts w:ascii="Wingdings" w:hAnsi="Wingdings" w:hint="default"/>
        <w:sz w:val="20"/>
      </w:rPr>
    </w:lvl>
    <w:lvl w:ilvl="8" w:tplc="E332799C" w:tentative="1">
      <w:start w:val="1"/>
      <w:numFmt w:val="bullet"/>
      <w:lvlText w:val=""/>
      <w:lvlJc w:val="left"/>
      <w:pPr>
        <w:tabs>
          <w:tab w:val="num" w:pos="6480"/>
        </w:tabs>
        <w:ind w:left="6480" w:hanging="360"/>
      </w:pPr>
      <w:rPr>
        <w:rFonts w:ascii="Wingdings" w:hAnsi="Wingdings" w:hint="default"/>
        <w:sz w:val="20"/>
      </w:rPr>
    </w:lvl>
  </w:abstractNum>
  <w:abstractNum w:abstractNumId="477">
    <w:nsid w:val="3FA30152"/>
    <w:multiLevelType w:val="hybridMultilevel"/>
    <w:tmpl w:val="A766A41C"/>
    <w:lvl w:ilvl="0" w:tplc="C950820A">
      <w:start w:val="112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78">
    <w:nsid w:val="3FAE250C"/>
    <w:multiLevelType w:val="hybridMultilevel"/>
    <w:tmpl w:val="83A6D65A"/>
    <w:lvl w:ilvl="0" w:tplc="B7C8F298">
      <w:start w:val="1"/>
      <w:numFmt w:val="bullet"/>
      <w:lvlText w:val=""/>
      <w:lvlJc w:val="left"/>
      <w:pPr>
        <w:tabs>
          <w:tab w:val="num" w:pos="720"/>
        </w:tabs>
        <w:ind w:left="720" w:hanging="360"/>
      </w:pPr>
      <w:rPr>
        <w:rFonts w:ascii="Wingdings" w:hAnsi="Wingdings" w:cs="Wingdings" w:hint="default"/>
        <w:color w:val="auto"/>
        <w:sz w:val="20"/>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479">
    <w:nsid w:val="3FFC717C"/>
    <w:multiLevelType w:val="hybridMultilevel"/>
    <w:tmpl w:val="F8C67014"/>
    <w:lvl w:ilvl="0" w:tplc="1F602A26">
      <w:start w:val="1"/>
      <w:numFmt w:val="decimal"/>
      <w:lvlText w:val="%1."/>
      <w:lvlJc w:val="left"/>
      <w:pPr>
        <w:tabs>
          <w:tab w:val="num" w:pos="720"/>
        </w:tabs>
        <w:ind w:left="720" w:hanging="360"/>
      </w:pPr>
    </w:lvl>
    <w:lvl w:ilvl="1" w:tplc="43EC0530" w:tentative="1">
      <w:start w:val="1"/>
      <w:numFmt w:val="decimal"/>
      <w:lvlText w:val="%2."/>
      <w:lvlJc w:val="left"/>
      <w:pPr>
        <w:tabs>
          <w:tab w:val="num" w:pos="1440"/>
        </w:tabs>
        <w:ind w:left="1440" w:hanging="360"/>
      </w:pPr>
    </w:lvl>
    <w:lvl w:ilvl="2" w:tplc="48509C6E" w:tentative="1">
      <w:start w:val="1"/>
      <w:numFmt w:val="decimal"/>
      <w:lvlText w:val="%3."/>
      <w:lvlJc w:val="left"/>
      <w:pPr>
        <w:tabs>
          <w:tab w:val="num" w:pos="2160"/>
        </w:tabs>
        <w:ind w:left="2160" w:hanging="360"/>
      </w:pPr>
    </w:lvl>
    <w:lvl w:ilvl="3" w:tplc="A00A3F7E" w:tentative="1">
      <w:start w:val="1"/>
      <w:numFmt w:val="decimal"/>
      <w:lvlText w:val="%4."/>
      <w:lvlJc w:val="left"/>
      <w:pPr>
        <w:tabs>
          <w:tab w:val="num" w:pos="2880"/>
        </w:tabs>
        <w:ind w:left="2880" w:hanging="360"/>
      </w:pPr>
    </w:lvl>
    <w:lvl w:ilvl="4" w:tplc="4D983F76" w:tentative="1">
      <w:start w:val="1"/>
      <w:numFmt w:val="decimal"/>
      <w:lvlText w:val="%5."/>
      <w:lvlJc w:val="left"/>
      <w:pPr>
        <w:tabs>
          <w:tab w:val="num" w:pos="3600"/>
        </w:tabs>
        <w:ind w:left="3600" w:hanging="360"/>
      </w:pPr>
    </w:lvl>
    <w:lvl w:ilvl="5" w:tplc="01D221E4" w:tentative="1">
      <w:start w:val="1"/>
      <w:numFmt w:val="decimal"/>
      <w:lvlText w:val="%6."/>
      <w:lvlJc w:val="left"/>
      <w:pPr>
        <w:tabs>
          <w:tab w:val="num" w:pos="4320"/>
        </w:tabs>
        <w:ind w:left="4320" w:hanging="360"/>
      </w:pPr>
    </w:lvl>
    <w:lvl w:ilvl="6" w:tplc="833C36D8" w:tentative="1">
      <w:start w:val="1"/>
      <w:numFmt w:val="decimal"/>
      <w:lvlText w:val="%7."/>
      <w:lvlJc w:val="left"/>
      <w:pPr>
        <w:tabs>
          <w:tab w:val="num" w:pos="5040"/>
        </w:tabs>
        <w:ind w:left="5040" w:hanging="360"/>
      </w:pPr>
    </w:lvl>
    <w:lvl w:ilvl="7" w:tplc="6A548F5A" w:tentative="1">
      <w:start w:val="1"/>
      <w:numFmt w:val="decimal"/>
      <w:lvlText w:val="%8."/>
      <w:lvlJc w:val="left"/>
      <w:pPr>
        <w:tabs>
          <w:tab w:val="num" w:pos="5760"/>
        </w:tabs>
        <w:ind w:left="5760" w:hanging="360"/>
      </w:pPr>
    </w:lvl>
    <w:lvl w:ilvl="8" w:tplc="FA681992" w:tentative="1">
      <w:start w:val="1"/>
      <w:numFmt w:val="decimal"/>
      <w:lvlText w:val="%9."/>
      <w:lvlJc w:val="left"/>
      <w:pPr>
        <w:tabs>
          <w:tab w:val="num" w:pos="6480"/>
        </w:tabs>
        <w:ind w:left="6480" w:hanging="360"/>
      </w:pPr>
    </w:lvl>
  </w:abstractNum>
  <w:abstractNum w:abstractNumId="480">
    <w:nsid w:val="40583D55"/>
    <w:multiLevelType w:val="hybridMultilevel"/>
    <w:tmpl w:val="52D07FD2"/>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1">
    <w:nsid w:val="409846DD"/>
    <w:multiLevelType w:val="hybridMultilevel"/>
    <w:tmpl w:val="927AC8B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2">
    <w:nsid w:val="40BC32E6"/>
    <w:multiLevelType w:val="hybridMultilevel"/>
    <w:tmpl w:val="73B44006"/>
    <w:lvl w:ilvl="0" w:tplc="04150005">
      <w:start w:val="1"/>
      <w:numFmt w:val="bullet"/>
      <w:lvlText w:val=""/>
      <w:lvlJc w:val="left"/>
      <w:pPr>
        <w:tabs>
          <w:tab w:val="num" w:pos="720"/>
        </w:tabs>
        <w:ind w:left="720" w:hanging="360"/>
      </w:pPr>
      <w:rPr>
        <w:rFonts w:ascii="Wingdings" w:hAnsi="Wingdings" w:hint="default"/>
        <w:sz w:val="20"/>
      </w:rPr>
    </w:lvl>
    <w:lvl w:ilvl="1" w:tplc="4EB4AB08" w:tentative="1">
      <w:start w:val="1"/>
      <w:numFmt w:val="bullet"/>
      <w:lvlText w:val="o"/>
      <w:lvlJc w:val="left"/>
      <w:pPr>
        <w:tabs>
          <w:tab w:val="num" w:pos="1440"/>
        </w:tabs>
        <w:ind w:left="1440" w:hanging="360"/>
      </w:pPr>
      <w:rPr>
        <w:rFonts w:ascii="Courier New" w:hAnsi="Courier New" w:hint="default"/>
        <w:sz w:val="20"/>
      </w:rPr>
    </w:lvl>
    <w:lvl w:ilvl="2" w:tplc="DA86010C" w:tentative="1">
      <w:start w:val="1"/>
      <w:numFmt w:val="bullet"/>
      <w:lvlText w:val=""/>
      <w:lvlJc w:val="left"/>
      <w:pPr>
        <w:tabs>
          <w:tab w:val="num" w:pos="2160"/>
        </w:tabs>
        <w:ind w:left="2160" w:hanging="360"/>
      </w:pPr>
      <w:rPr>
        <w:rFonts w:ascii="Wingdings" w:hAnsi="Wingdings" w:hint="default"/>
        <w:sz w:val="20"/>
      </w:rPr>
    </w:lvl>
    <w:lvl w:ilvl="3" w:tplc="6CE069F6" w:tentative="1">
      <w:start w:val="1"/>
      <w:numFmt w:val="bullet"/>
      <w:lvlText w:val=""/>
      <w:lvlJc w:val="left"/>
      <w:pPr>
        <w:tabs>
          <w:tab w:val="num" w:pos="2880"/>
        </w:tabs>
        <w:ind w:left="2880" w:hanging="360"/>
      </w:pPr>
      <w:rPr>
        <w:rFonts w:ascii="Wingdings" w:hAnsi="Wingdings" w:hint="default"/>
        <w:sz w:val="20"/>
      </w:rPr>
    </w:lvl>
    <w:lvl w:ilvl="4" w:tplc="73CCF61C" w:tentative="1">
      <w:start w:val="1"/>
      <w:numFmt w:val="bullet"/>
      <w:lvlText w:val=""/>
      <w:lvlJc w:val="left"/>
      <w:pPr>
        <w:tabs>
          <w:tab w:val="num" w:pos="3600"/>
        </w:tabs>
        <w:ind w:left="3600" w:hanging="360"/>
      </w:pPr>
      <w:rPr>
        <w:rFonts w:ascii="Wingdings" w:hAnsi="Wingdings" w:hint="default"/>
        <w:sz w:val="20"/>
      </w:rPr>
    </w:lvl>
    <w:lvl w:ilvl="5" w:tplc="49D0FF2A" w:tentative="1">
      <w:start w:val="1"/>
      <w:numFmt w:val="bullet"/>
      <w:lvlText w:val=""/>
      <w:lvlJc w:val="left"/>
      <w:pPr>
        <w:tabs>
          <w:tab w:val="num" w:pos="4320"/>
        </w:tabs>
        <w:ind w:left="4320" w:hanging="360"/>
      </w:pPr>
      <w:rPr>
        <w:rFonts w:ascii="Wingdings" w:hAnsi="Wingdings" w:hint="default"/>
        <w:sz w:val="20"/>
      </w:rPr>
    </w:lvl>
    <w:lvl w:ilvl="6" w:tplc="B28C367A" w:tentative="1">
      <w:start w:val="1"/>
      <w:numFmt w:val="bullet"/>
      <w:lvlText w:val=""/>
      <w:lvlJc w:val="left"/>
      <w:pPr>
        <w:tabs>
          <w:tab w:val="num" w:pos="5040"/>
        </w:tabs>
        <w:ind w:left="5040" w:hanging="360"/>
      </w:pPr>
      <w:rPr>
        <w:rFonts w:ascii="Wingdings" w:hAnsi="Wingdings" w:hint="default"/>
        <w:sz w:val="20"/>
      </w:rPr>
    </w:lvl>
    <w:lvl w:ilvl="7" w:tplc="47C47984" w:tentative="1">
      <w:start w:val="1"/>
      <w:numFmt w:val="bullet"/>
      <w:lvlText w:val=""/>
      <w:lvlJc w:val="left"/>
      <w:pPr>
        <w:tabs>
          <w:tab w:val="num" w:pos="5760"/>
        </w:tabs>
        <w:ind w:left="5760" w:hanging="360"/>
      </w:pPr>
      <w:rPr>
        <w:rFonts w:ascii="Wingdings" w:hAnsi="Wingdings" w:hint="default"/>
        <w:sz w:val="20"/>
      </w:rPr>
    </w:lvl>
    <w:lvl w:ilvl="8" w:tplc="34286DE4" w:tentative="1">
      <w:start w:val="1"/>
      <w:numFmt w:val="bullet"/>
      <w:lvlText w:val=""/>
      <w:lvlJc w:val="left"/>
      <w:pPr>
        <w:tabs>
          <w:tab w:val="num" w:pos="6480"/>
        </w:tabs>
        <w:ind w:left="6480" w:hanging="360"/>
      </w:pPr>
      <w:rPr>
        <w:rFonts w:ascii="Wingdings" w:hAnsi="Wingdings" w:hint="default"/>
        <w:sz w:val="20"/>
      </w:rPr>
    </w:lvl>
  </w:abstractNum>
  <w:abstractNum w:abstractNumId="483">
    <w:nsid w:val="417B4331"/>
    <w:multiLevelType w:val="hybridMultilevel"/>
    <w:tmpl w:val="992211DA"/>
    <w:lvl w:ilvl="0" w:tplc="6CA43014">
      <w:start w:val="111"/>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84">
    <w:nsid w:val="419813A1"/>
    <w:multiLevelType w:val="hybridMultilevel"/>
    <w:tmpl w:val="F43C5E8A"/>
    <w:lvl w:ilvl="0" w:tplc="04150005">
      <w:start w:val="1"/>
      <w:numFmt w:val="bullet"/>
      <w:lvlText w:val=""/>
      <w:lvlJc w:val="left"/>
      <w:pPr>
        <w:ind w:left="720" w:hanging="360"/>
      </w:pPr>
      <w:rPr>
        <w:rFonts w:ascii="Wingdings" w:hAnsi="Wingdings"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485">
    <w:nsid w:val="41B9128D"/>
    <w:multiLevelType w:val="hybridMultilevel"/>
    <w:tmpl w:val="C4B4A22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6">
    <w:nsid w:val="41ED71FB"/>
    <w:multiLevelType w:val="hybridMultilevel"/>
    <w:tmpl w:val="0B50656C"/>
    <w:lvl w:ilvl="0" w:tplc="04150005">
      <w:start w:val="1"/>
      <w:numFmt w:val="bullet"/>
      <w:lvlText w:val=""/>
      <w:lvlJc w:val="left"/>
      <w:pPr>
        <w:tabs>
          <w:tab w:val="num" w:pos="720"/>
        </w:tabs>
        <w:ind w:left="720" w:hanging="360"/>
      </w:pPr>
      <w:rPr>
        <w:rFonts w:ascii="Wingdings" w:hAnsi="Wingdings" w:hint="default"/>
        <w:sz w:val="20"/>
      </w:rPr>
    </w:lvl>
    <w:lvl w:ilvl="1" w:tplc="BCA0C90A" w:tentative="1">
      <w:start w:val="1"/>
      <w:numFmt w:val="bullet"/>
      <w:lvlText w:val="o"/>
      <w:lvlJc w:val="left"/>
      <w:pPr>
        <w:tabs>
          <w:tab w:val="num" w:pos="1440"/>
        </w:tabs>
        <w:ind w:left="1440" w:hanging="360"/>
      </w:pPr>
      <w:rPr>
        <w:rFonts w:ascii="Courier New" w:hAnsi="Courier New" w:hint="default"/>
        <w:sz w:val="20"/>
      </w:rPr>
    </w:lvl>
    <w:lvl w:ilvl="2" w:tplc="19AE83FA" w:tentative="1">
      <w:start w:val="1"/>
      <w:numFmt w:val="bullet"/>
      <w:lvlText w:val=""/>
      <w:lvlJc w:val="left"/>
      <w:pPr>
        <w:tabs>
          <w:tab w:val="num" w:pos="2160"/>
        </w:tabs>
        <w:ind w:left="2160" w:hanging="360"/>
      </w:pPr>
      <w:rPr>
        <w:rFonts w:ascii="Wingdings" w:hAnsi="Wingdings" w:hint="default"/>
        <w:sz w:val="20"/>
      </w:rPr>
    </w:lvl>
    <w:lvl w:ilvl="3" w:tplc="ACFA73CE" w:tentative="1">
      <w:start w:val="1"/>
      <w:numFmt w:val="bullet"/>
      <w:lvlText w:val=""/>
      <w:lvlJc w:val="left"/>
      <w:pPr>
        <w:tabs>
          <w:tab w:val="num" w:pos="2880"/>
        </w:tabs>
        <w:ind w:left="2880" w:hanging="360"/>
      </w:pPr>
      <w:rPr>
        <w:rFonts w:ascii="Wingdings" w:hAnsi="Wingdings" w:hint="default"/>
        <w:sz w:val="20"/>
      </w:rPr>
    </w:lvl>
    <w:lvl w:ilvl="4" w:tplc="1CB4A77E" w:tentative="1">
      <w:start w:val="1"/>
      <w:numFmt w:val="bullet"/>
      <w:lvlText w:val=""/>
      <w:lvlJc w:val="left"/>
      <w:pPr>
        <w:tabs>
          <w:tab w:val="num" w:pos="3600"/>
        </w:tabs>
        <w:ind w:left="3600" w:hanging="360"/>
      </w:pPr>
      <w:rPr>
        <w:rFonts w:ascii="Wingdings" w:hAnsi="Wingdings" w:hint="default"/>
        <w:sz w:val="20"/>
      </w:rPr>
    </w:lvl>
    <w:lvl w:ilvl="5" w:tplc="380460BA" w:tentative="1">
      <w:start w:val="1"/>
      <w:numFmt w:val="bullet"/>
      <w:lvlText w:val=""/>
      <w:lvlJc w:val="left"/>
      <w:pPr>
        <w:tabs>
          <w:tab w:val="num" w:pos="4320"/>
        </w:tabs>
        <w:ind w:left="4320" w:hanging="360"/>
      </w:pPr>
      <w:rPr>
        <w:rFonts w:ascii="Wingdings" w:hAnsi="Wingdings" w:hint="default"/>
        <w:sz w:val="20"/>
      </w:rPr>
    </w:lvl>
    <w:lvl w:ilvl="6" w:tplc="25D83AEC" w:tentative="1">
      <w:start w:val="1"/>
      <w:numFmt w:val="bullet"/>
      <w:lvlText w:val=""/>
      <w:lvlJc w:val="left"/>
      <w:pPr>
        <w:tabs>
          <w:tab w:val="num" w:pos="5040"/>
        </w:tabs>
        <w:ind w:left="5040" w:hanging="360"/>
      </w:pPr>
      <w:rPr>
        <w:rFonts w:ascii="Wingdings" w:hAnsi="Wingdings" w:hint="default"/>
        <w:sz w:val="20"/>
      </w:rPr>
    </w:lvl>
    <w:lvl w:ilvl="7" w:tplc="D010A5F4" w:tentative="1">
      <w:start w:val="1"/>
      <w:numFmt w:val="bullet"/>
      <w:lvlText w:val=""/>
      <w:lvlJc w:val="left"/>
      <w:pPr>
        <w:tabs>
          <w:tab w:val="num" w:pos="5760"/>
        </w:tabs>
        <w:ind w:left="5760" w:hanging="360"/>
      </w:pPr>
      <w:rPr>
        <w:rFonts w:ascii="Wingdings" w:hAnsi="Wingdings" w:hint="default"/>
        <w:sz w:val="20"/>
      </w:rPr>
    </w:lvl>
    <w:lvl w:ilvl="8" w:tplc="16B43D20" w:tentative="1">
      <w:start w:val="1"/>
      <w:numFmt w:val="bullet"/>
      <w:lvlText w:val=""/>
      <w:lvlJc w:val="left"/>
      <w:pPr>
        <w:tabs>
          <w:tab w:val="num" w:pos="6480"/>
        </w:tabs>
        <w:ind w:left="6480" w:hanging="360"/>
      </w:pPr>
      <w:rPr>
        <w:rFonts w:ascii="Wingdings" w:hAnsi="Wingdings" w:hint="default"/>
        <w:sz w:val="20"/>
      </w:rPr>
    </w:lvl>
  </w:abstractNum>
  <w:abstractNum w:abstractNumId="487">
    <w:nsid w:val="42213317"/>
    <w:multiLevelType w:val="hybridMultilevel"/>
    <w:tmpl w:val="AD704DF2"/>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488">
    <w:nsid w:val="422A198C"/>
    <w:multiLevelType w:val="hybridMultilevel"/>
    <w:tmpl w:val="55EEE206"/>
    <w:lvl w:ilvl="0" w:tplc="13562450">
      <w:start w:val="1"/>
      <w:numFmt w:val="decimal"/>
      <w:lvlText w:val="K3.4.%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89">
    <w:nsid w:val="424934A9"/>
    <w:multiLevelType w:val="hybridMultilevel"/>
    <w:tmpl w:val="CFE62F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0">
    <w:nsid w:val="42DA57A1"/>
    <w:multiLevelType w:val="hybridMultilevel"/>
    <w:tmpl w:val="8ACE872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1">
    <w:nsid w:val="43037AD6"/>
    <w:multiLevelType w:val="hybridMultilevel"/>
    <w:tmpl w:val="E764998A"/>
    <w:lvl w:ilvl="0" w:tplc="6CA43014">
      <w:start w:val="16"/>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92">
    <w:nsid w:val="433B663B"/>
    <w:multiLevelType w:val="hybridMultilevel"/>
    <w:tmpl w:val="330A52FE"/>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3">
    <w:nsid w:val="43653B75"/>
    <w:multiLevelType w:val="hybridMultilevel"/>
    <w:tmpl w:val="DC32E6F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4">
    <w:nsid w:val="438B6BD6"/>
    <w:multiLevelType w:val="hybridMultilevel"/>
    <w:tmpl w:val="B7C0B5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5">
    <w:nsid w:val="43B11F89"/>
    <w:multiLevelType w:val="hybridMultilevel"/>
    <w:tmpl w:val="EB6C15F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6">
    <w:nsid w:val="440C3E9B"/>
    <w:multiLevelType w:val="hybridMultilevel"/>
    <w:tmpl w:val="04AEC590"/>
    <w:lvl w:ilvl="0" w:tplc="D6A656B6">
      <w:numFmt w:val="bullet"/>
      <w:lvlText w:val="-"/>
      <w:lvlJc w:val="left"/>
      <w:pPr>
        <w:ind w:left="1068" w:hanging="360"/>
      </w:pPr>
      <w:rPr>
        <w:rFonts w:ascii="Times New Roman" w:eastAsia="Times New Roman" w:hAnsi="Times New Roman" w:cs="Times New Roman"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497">
    <w:nsid w:val="445D7713"/>
    <w:multiLevelType w:val="hybridMultilevel"/>
    <w:tmpl w:val="CDA0268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8">
    <w:nsid w:val="44D84934"/>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9">
    <w:nsid w:val="44EC4881"/>
    <w:multiLevelType w:val="hybridMultilevel"/>
    <w:tmpl w:val="5E86AC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0">
    <w:nsid w:val="44ED73E4"/>
    <w:multiLevelType w:val="hybridMultilevel"/>
    <w:tmpl w:val="9CC6F756"/>
    <w:lvl w:ilvl="0" w:tplc="D6A656B6">
      <w:numFmt w:val="bullet"/>
      <w:lvlText w:val="-"/>
      <w:lvlJc w:val="left"/>
      <w:pPr>
        <w:tabs>
          <w:tab w:val="num" w:pos="720"/>
        </w:tabs>
        <w:ind w:left="720" w:hanging="360"/>
      </w:pPr>
      <w:rPr>
        <w:rFonts w:ascii="Times New Roman" w:eastAsia="Times New Roman" w:hAnsi="Times New Roman" w:cs="Times New Roman" w:hint="default"/>
        <w:sz w:val="20"/>
      </w:rPr>
    </w:lvl>
    <w:lvl w:ilvl="1" w:tplc="C268A2B2" w:tentative="1">
      <w:start w:val="1"/>
      <w:numFmt w:val="bullet"/>
      <w:lvlText w:val="o"/>
      <w:lvlJc w:val="left"/>
      <w:pPr>
        <w:tabs>
          <w:tab w:val="num" w:pos="1440"/>
        </w:tabs>
        <w:ind w:left="1440" w:hanging="360"/>
      </w:pPr>
      <w:rPr>
        <w:rFonts w:ascii="Courier New" w:hAnsi="Courier New" w:hint="default"/>
        <w:sz w:val="20"/>
      </w:rPr>
    </w:lvl>
    <w:lvl w:ilvl="2" w:tplc="2CE01176" w:tentative="1">
      <w:start w:val="1"/>
      <w:numFmt w:val="bullet"/>
      <w:lvlText w:val=""/>
      <w:lvlJc w:val="left"/>
      <w:pPr>
        <w:tabs>
          <w:tab w:val="num" w:pos="2160"/>
        </w:tabs>
        <w:ind w:left="2160" w:hanging="360"/>
      </w:pPr>
      <w:rPr>
        <w:rFonts w:ascii="Wingdings" w:hAnsi="Wingdings" w:hint="default"/>
        <w:sz w:val="20"/>
      </w:rPr>
    </w:lvl>
    <w:lvl w:ilvl="3" w:tplc="215E8CD8" w:tentative="1">
      <w:start w:val="1"/>
      <w:numFmt w:val="bullet"/>
      <w:lvlText w:val=""/>
      <w:lvlJc w:val="left"/>
      <w:pPr>
        <w:tabs>
          <w:tab w:val="num" w:pos="2880"/>
        </w:tabs>
        <w:ind w:left="2880" w:hanging="360"/>
      </w:pPr>
      <w:rPr>
        <w:rFonts w:ascii="Wingdings" w:hAnsi="Wingdings" w:hint="default"/>
        <w:sz w:val="20"/>
      </w:rPr>
    </w:lvl>
    <w:lvl w:ilvl="4" w:tplc="D2CC7922" w:tentative="1">
      <w:start w:val="1"/>
      <w:numFmt w:val="bullet"/>
      <w:lvlText w:val=""/>
      <w:lvlJc w:val="left"/>
      <w:pPr>
        <w:tabs>
          <w:tab w:val="num" w:pos="3600"/>
        </w:tabs>
        <w:ind w:left="3600" w:hanging="360"/>
      </w:pPr>
      <w:rPr>
        <w:rFonts w:ascii="Wingdings" w:hAnsi="Wingdings" w:hint="default"/>
        <w:sz w:val="20"/>
      </w:rPr>
    </w:lvl>
    <w:lvl w:ilvl="5" w:tplc="A2122064" w:tentative="1">
      <w:start w:val="1"/>
      <w:numFmt w:val="bullet"/>
      <w:lvlText w:val=""/>
      <w:lvlJc w:val="left"/>
      <w:pPr>
        <w:tabs>
          <w:tab w:val="num" w:pos="4320"/>
        </w:tabs>
        <w:ind w:left="4320" w:hanging="360"/>
      </w:pPr>
      <w:rPr>
        <w:rFonts w:ascii="Wingdings" w:hAnsi="Wingdings" w:hint="default"/>
        <w:sz w:val="20"/>
      </w:rPr>
    </w:lvl>
    <w:lvl w:ilvl="6" w:tplc="006ECF88" w:tentative="1">
      <w:start w:val="1"/>
      <w:numFmt w:val="bullet"/>
      <w:lvlText w:val=""/>
      <w:lvlJc w:val="left"/>
      <w:pPr>
        <w:tabs>
          <w:tab w:val="num" w:pos="5040"/>
        </w:tabs>
        <w:ind w:left="5040" w:hanging="360"/>
      </w:pPr>
      <w:rPr>
        <w:rFonts w:ascii="Wingdings" w:hAnsi="Wingdings" w:hint="default"/>
        <w:sz w:val="20"/>
      </w:rPr>
    </w:lvl>
    <w:lvl w:ilvl="7" w:tplc="4A32D290" w:tentative="1">
      <w:start w:val="1"/>
      <w:numFmt w:val="bullet"/>
      <w:lvlText w:val=""/>
      <w:lvlJc w:val="left"/>
      <w:pPr>
        <w:tabs>
          <w:tab w:val="num" w:pos="5760"/>
        </w:tabs>
        <w:ind w:left="5760" w:hanging="360"/>
      </w:pPr>
      <w:rPr>
        <w:rFonts w:ascii="Wingdings" w:hAnsi="Wingdings" w:hint="default"/>
        <w:sz w:val="20"/>
      </w:rPr>
    </w:lvl>
    <w:lvl w:ilvl="8" w:tplc="9C3425EC" w:tentative="1">
      <w:start w:val="1"/>
      <w:numFmt w:val="bullet"/>
      <w:lvlText w:val=""/>
      <w:lvlJc w:val="left"/>
      <w:pPr>
        <w:tabs>
          <w:tab w:val="num" w:pos="6480"/>
        </w:tabs>
        <w:ind w:left="6480" w:hanging="360"/>
      </w:pPr>
      <w:rPr>
        <w:rFonts w:ascii="Wingdings" w:hAnsi="Wingdings" w:hint="default"/>
        <w:sz w:val="20"/>
      </w:rPr>
    </w:lvl>
  </w:abstractNum>
  <w:abstractNum w:abstractNumId="501">
    <w:nsid w:val="4519028F"/>
    <w:multiLevelType w:val="hybridMultilevel"/>
    <w:tmpl w:val="B0C28D80"/>
    <w:lvl w:ilvl="0" w:tplc="FA0C2552">
      <w:start w:val="1"/>
      <w:numFmt w:val="bullet"/>
      <w:lvlText w:val=""/>
      <w:lvlJc w:val="left"/>
      <w:pPr>
        <w:tabs>
          <w:tab w:val="num" w:pos="720"/>
        </w:tabs>
        <w:ind w:left="720" w:hanging="360"/>
      </w:pPr>
      <w:rPr>
        <w:rFonts w:ascii="Symbol" w:hAnsi="Symbol" w:hint="default"/>
        <w:sz w:val="20"/>
      </w:rPr>
    </w:lvl>
    <w:lvl w:ilvl="1" w:tplc="0B1228A6" w:tentative="1">
      <w:start w:val="1"/>
      <w:numFmt w:val="bullet"/>
      <w:lvlText w:val="o"/>
      <w:lvlJc w:val="left"/>
      <w:pPr>
        <w:tabs>
          <w:tab w:val="num" w:pos="1440"/>
        </w:tabs>
        <w:ind w:left="1440" w:hanging="360"/>
      </w:pPr>
      <w:rPr>
        <w:rFonts w:ascii="Courier New" w:hAnsi="Courier New" w:hint="default"/>
        <w:sz w:val="20"/>
      </w:rPr>
    </w:lvl>
    <w:lvl w:ilvl="2" w:tplc="B87E6DFC" w:tentative="1">
      <w:start w:val="1"/>
      <w:numFmt w:val="bullet"/>
      <w:lvlText w:val=""/>
      <w:lvlJc w:val="left"/>
      <w:pPr>
        <w:tabs>
          <w:tab w:val="num" w:pos="2160"/>
        </w:tabs>
        <w:ind w:left="2160" w:hanging="360"/>
      </w:pPr>
      <w:rPr>
        <w:rFonts w:ascii="Wingdings" w:hAnsi="Wingdings" w:hint="default"/>
        <w:sz w:val="20"/>
      </w:rPr>
    </w:lvl>
    <w:lvl w:ilvl="3" w:tplc="002AA850" w:tentative="1">
      <w:start w:val="1"/>
      <w:numFmt w:val="bullet"/>
      <w:lvlText w:val=""/>
      <w:lvlJc w:val="left"/>
      <w:pPr>
        <w:tabs>
          <w:tab w:val="num" w:pos="2880"/>
        </w:tabs>
        <w:ind w:left="2880" w:hanging="360"/>
      </w:pPr>
      <w:rPr>
        <w:rFonts w:ascii="Wingdings" w:hAnsi="Wingdings" w:hint="default"/>
        <w:sz w:val="20"/>
      </w:rPr>
    </w:lvl>
    <w:lvl w:ilvl="4" w:tplc="99D86694" w:tentative="1">
      <w:start w:val="1"/>
      <w:numFmt w:val="bullet"/>
      <w:lvlText w:val=""/>
      <w:lvlJc w:val="left"/>
      <w:pPr>
        <w:tabs>
          <w:tab w:val="num" w:pos="3600"/>
        </w:tabs>
        <w:ind w:left="3600" w:hanging="360"/>
      </w:pPr>
      <w:rPr>
        <w:rFonts w:ascii="Wingdings" w:hAnsi="Wingdings" w:hint="default"/>
        <w:sz w:val="20"/>
      </w:rPr>
    </w:lvl>
    <w:lvl w:ilvl="5" w:tplc="CE6A56D4" w:tentative="1">
      <w:start w:val="1"/>
      <w:numFmt w:val="bullet"/>
      <w:lvlText w:val=""/>
      <w:lvlJc w:val="left"/>
      <w:pPr>
        <w:tabs>
          <w:tab w:val="num" w:pos="4320"/>
        </w:tabs>
        <w:ind w:left="4320" w:hanging="360"/>
      </w:pPr>
      <w:rPr>
        <w:rFonts w:ascii="Wingdings" w:hAnsi="Wingdings" w:hint="default"/>
        <w:sz w:val="20"/>
      </w:rPr>
    </w:lvl>
    <w:lvl w:ilvl="6" w:tplc="561AAABA" w:tentative="1">
      <w:start w:val="1"/>
      <w:numFmt w:val="bullet"/>
      <w:lvlText w:val=""/>
      <w:lvlJc w:val="left"/>
      <w:pPr>
        <w:tabs>
          <w:tab w:val="num" w:pos="5040"/>
        </w:tabs>
        <w:ind w:left="5040" w:hanging="360"/>
      </w:pPr>
      <w:rPr>
        <w:rFonts w:ascii="Wingdings" w:hAnsi="Wingdings" w:hint="default"/>
        <w:sz w:val="20"/>
      </w:rPr>
    </w:lvl>
    <w:lvl w:ilvl="7" w:tplc="3EC6BC80" w:tentative="1">
      <w:start w:val="1"/>
      <w:numFmt w:val="bullet"/>
      <w:lvlText w:val=""/>
      <w:lvlJc w:val="left"/>
      <w:pPr>
        <w:tabs>
          <w:tab w:val="num" w:pos="5760"/>
        </w:tabs>
        <w:ind w:left="5760" w:hanging="360"/>
      </w:pPr>
      <w:rPr>
        <w:rFonts w:ascii="Wingdings" w:hAnsi="Wingdings" w:hint="default"/>
        <w:sz w:val="20"/>
      </w:rPr>
    </w:lvl>
    <w:lvl w:ilvl="8" w:tplc="23DC2CA6" w:tentative="1">
      <w:start w:val="1"/>
      <w:numFmt w:val="bullet"/>
      <w:lvlText w:val=""/>
      <w:lvlJc w:val="left"/>
      <w:pPr>
        <w:tabs>
          <w:tab w:val="num" w:pos="6480"/>
        </w:tabs>
        <w:ind w:left="6480" w:hanging="360"/>
      </w:pPr>
      <w:rPr>
        <w:rFonts w:ascii="Wingdings" w:hAnsi="Wingdings" w:hint="default"/>
        <w:sz w:val="20"/>
      </w:rPr>
    </w:lvl>
  </w:abstractNum>
  <w:abstractNum w:abstractNumId="502">
    <w:nsid w:val="45480CE8"/>
    <w:multiLevelType w:val="hybridMultilevel"/>
    <w:tmpl w:val="D6E82EBA"/>
    <w:lvl w:ilvl="0" w:tplc="6CA43014">
      <w:start w:val="16"/>
      <w:numFmt w:val="bullet"/>
      <w:lvlText w:val="-"/>
      <w:lvlJc w:val="left"/>
      <w:pPr>
        <w:ind w:left="1428" w:hanging="360"/>
      </w:pPr>
      <w:rPr>
        <w:rFonts w:ascii="Times New Roman" w:eastAsia="Times New Roman" w:hAnsi="Times New Roman" w:cs="Times New Roman" w:hint="default"/>
        <w:color w:val="auto"/>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503">
    <w:nsid w:val="4583700F"/>
    <w:multiLevelType w:val="hybridMultilevel"/>
    <w:tmpl w:val="E404F2C4"/>
    <w:lvl w:ilvl="0" w:tplc="78E42640">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04">
    <w:nsid w:val="45B16173"/>
    <w:multiLevelType w:val="hybridMultilevel"/>
    <w:tmpl w:val="B6BAAF1A"/>
    <w:lvl w:ilvl="0" w:tplc="876CABEA">
      <w:start w:val="1"/>
      <w:numFmt w:val="decimal"/>
      <w:lvlText w:val="K1.4.%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05">
    <w:nsid w:val="45CB5244"/>
    <w:multiLevelType w:val="multilevel"/>
    <w:tmpl w:val="934AFD44"/>
    <w:lvl w:ilvl="0">
      <w:start w:val="3"/>
      <w:numFmt w:val="decimal"/>
      <w:lvlText w:val="%1."/>
      <w:lvlJc w:val="left"/>
      <w:pPr>
        <w:ind w:left="630" w:hanging="63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06">
    <w:nsid w:val="45DD6BDB"/>
    <w:multiLevelType w:val="hybridMultilevel"/>
    <w:tmpl w:val="DD36E528"/>
    <w:lvl w:ilvl="0" w:tplc="04150005">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07">
    <w:nsid w:val="4615487D"/>
    <w:multiLevelType w:val="hybridMultilevel"/>
    <w:tmpl w:val="5A4C7A9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8">
    <w:nsid w:val="46783566"/>
    <w:multiLevelType w:val="hybridMultilevel"/>
    <w:tmpl w:val="B0206874"/>
    <w:lvl w:ilvl="0" w:tplc="D6A656B6">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9">
    <w:nsid w:val="46880439"/>
    <w:multiLevelType w:val="hybridMultilevel"/>
    <w:tmpl w:val="6772057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0">
    <w:nsid w:val="46F72342"/>
    <w:multiLevelType w:val="hybridMultilevel"/>
    <w:tmpl w:val="CFA4762A"/>
    <w:lvl w:ilvl="0" w:tplc="2C3095DE">
      <w:start w:val="1"/>
      <w:numFmt w:val="decimal"/>
      <w:lvlText w:val="K2.4.%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11">
    <w:nsid w:val="46F85EC5"/>
    <w:multiLevelType w:val="hybridMultilevel"/>
    <w:tmpl w:val="BAC0D330"/>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12">
    <w:nsid w:val="470F6033"/>
    <w:multiLevelType w:val="hybridMultilevel"/>
    <w:tmpl w:val="C3E6C57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3">
    <w:nsid w:val="47327B9A"/>
    <w:multiLevelType w:val="hybridMultilevel"/>
    <w:tmpl w:val="1EF64476"/>
    <w:lvl w:ilvl="0" w:tplc="D6A656B6">
      <w:numFmt w:val="bullet"/>
      <w:lvlText w:val="-"/>
      <w:lvlJc w:val="left"/>
      <w:pPr>
        <w:tabs>
          <w:tab w:val="num" w:pos="720"/>
        </w:tabs>
        <w:ind w:left="720" w:hanging="360"/>
      </w:pPr>
      <w:rPr>
        <w:rFonts w:ascii="Times New Roman" w:eastAsia="Times New Roman" w:hAnsi="Times New Roman" w:cs="Times New Roman" w:hint="default"/>
        <w:sz w:val="20"/>
      </w:rPr>
    </w:lvl>
    <w:lvl w:ilvl="1" w:tplc="3ABCAFBA" w:tentative="1">
      <w:start w:val="1"/>
      <w:numFmt w:val="bullet"/>
      <w:lvlText w:val="o"/>
      <w:lvlJc w:val="left"/>
      <w:pPr>
        <w:tabs>
          <w:tab w:val="num" w:pos="1440"/>
        </w:tabs>
        <w:ind w:left="1440" w:hanging="360"/>
      </w:pPr>
      <w:rPr>
        <w:rFonts w:ascii="Courier New" w:hAnsi="Courier New" w:hint="default"/>
        <w:sz w:val="20"/>
      </w:rPr>
    </w:lvl>
    <w:lvl w:ilvl="2" w:tplc="E63AFCEC" w:tentative="1">
      <w:start w:val="1"/>
      <w:numFmt w:val="bullet"/>
      <w:lvlText w:val=""/>
      <w:lvlJc w:val="left"/>
      <w:pPr>
        <w:tabs>
          <w:tab w:val="num" w:pos="2160"/>
        </w:tabs>
        <w:ind w:left="2160" w:hanging="360"/>
      </w:pPr>
      <w:rPr>
        <w:rFonts w:ascii="Wingdings" w:hAnsi="Wingdings" w:hint="default"/>
        <w:sz w:val="20"/>
      </w:rPr>
    </w:lvl>
    <w:lvl w:ilvl="3" w:tplc="AB380C88" w:tentative="1">
      <w:start w:val="1"/>
      <w:numFmt w:val="bullet"/>
      <w:lvlText w:val=""/>
      <w:lvlJc w:val="left"/>
      <w:pPr>
        <w:tabs>
          <w:tab w:val="num" w:pos="2880"/>
        </w:tabs>
        <w:ind w:left="2880" w:hanging="360"/>
      </w:pPr>
      <w:rPr>
        <w:rFonts w:ascii="Wingdings" w:hAnsi="Wingdings" w:hint="default"/>
        <w:sz w:val="20"/>
      </w:rPr>
    </w:lvl>
    <w:lvl w:ilvl="4" w:tplc="079424A8" w:tentative="1">
      <w:start w:val="1"/>
      <w:numFmt w:val="bullet"/>
      <w:lvlText w:val=""/>
      <w:lvlJc w:val="left"/>
      <w:pPr>
        <w:tabs>
          <w:tab w:val="num" w:pos="3600"/>
        </w:tabs>
        <w:ind w:left="3600" w:hanging="360"/>
      </w:pPr>
      <w:rPr>
        <w:rFonts w:ascii="Wingdings" w:hAnsi="Wingdings" w:hint="default"/>
        <w:sz w:val="20"/>
      </w:rPr>
    </w:lvl>
    <w:lvl w:ilvl="5" w:tplc="9956DD92" w:tentative="1">
      <w:start w:val="1"/>
      <w:numFmt w:val="bullet"/>
      <w:lvlText w:val=""/>
      <w:lvlJc w:val="left"/>
      <w:pPr>
        <w:tabs>
          <w:tab w:val="num" w:pos="4320"/>
        </w:tabs>
        <w:ind w:left="4320" w:hanging="360"/>
      </w:pPr>
      <w:rPr>
        <w:rFonts w:ascii="Wingdings" w:hAnsi="Wingdings" w:hint="default"/>
        <w:sz w:val="20"/>
      </w:rPr>
    </w:lvl>
    <w:lvl w:ilvl="6" w:tplc="AE3A7A58" w:tentative="1">
      <w:start w:val="1"/>
      <w:numFmt w:val="bullet"/>
      <w:lvlText w:val=""/>
      <w:lvlJc w:val="left"/>
      <w:pPr>
        <w:tabs>
          <w:tab w:val="num" w:pos="5040"/>
        </w:tabs>
        <w:ind w:left="5040" w:hanging="360"/>
      </w:pPr>
      <w:rPr>
        <w:rFonts w:ascii="Wingdings" w:hAnsi="Wingdings" w:hint="default"/>
        <w:sz w:val="20"/>
      </w:rPr>
    </w:lvl>
    <w:lvl w:ilvl="7" w:tplc="F6EA1692" w:tentative="1">
      <w:start w:val="1"/>
      <w:numFmt w:val="bullet"/>
      <w:lvlText w:val=""/>
      <w:lvlJc w:val="left"/>
      <w:pPr>
        <w:tabs>
          <w:tab w:val="num" w:pos="5760"/>
        </w:tabs>
        <w:ind w:left="5760" w:hanging="360"/>
      </w:pPr>
      <w:rPr>
        <w:rFonts w:ascii="Wingdings" w:hAnsi="Wingdings" w:hint="default"/>
        <w:sz w:val="20"/>
      </w:rPr>
    </w:lvl>
    <w:lvl w:ilvl="8" w:tplc="2A8EF954" w:tentative="1">
      <w:start w:val="1"/>
      <w:numFmt w:val="bullet"/>
      <w:lvlText w:val=""/>
      <w:lvlJc w:val="left"/>
      <w:pPr>
        <w:tabs>
          <w:tab w:val="num" w:pos="6480"/>
        </w:tabs>
        <w:ind w:left="6480" w:hanging="360"/>
      </w:pPr>
      <w:rPr>
        <w:rFonts w:ascii="Wingdings" w:hAnsi="Wingdings" w:hint="default"/>
        <w:sz w:val="20"/>
      </w:rPr>
    </w:lvl>
  </w:abstractNum>
  <w:abstractNum w:abstractNumId="514">
    <w:nsid w:val="473617BE"/>
    <w:multiLevelType w:val="hybridMultilevel"/>
    <w:tmpl w:val="1F0EA60E"/>
    <w:lvl w:ilvl="0" w:tplc="04150005">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15">
    <w:nsid w:val="475125C8"/>
    <w:multiLevelType w:val="hybridMultilevel"/>
    <w:tmpl w:val="5F9C66C0"/>
    <w:lvl w:ilvl="0" w:tplc="04150005">
      <w:start w:val="1"/>
      <w:numFmt w:val="bullet"/>
      <w:lvlText w:val=""/>
      <w:lvlJc w:val="left"/>
      <w:pPr>
        <w:tabs>
          <w:tab w:val="num" w:pos="720"/>
        </w:tabs>
        <w:ind w:left="720" w:hanging="360"/>
      </w:pPr>
      <w:rPr>
        <w:rFonts w:ascii="Wingdings" w:hAnsi="Wingdings" w:hint="default"/>
        <w:sz w:val="20"/>
      </w:rPr>
    </w:lvl>
    <w:lvl w:ilvl="1" w:tplc="D414AD74" w:tentative="1">
      <w:start w:val="1"/>
      <w:numFmt w:val="bullet"/>
      <w:lvlText w:val="o"/>
      <w:lvlJc w:val="left"/>
      <w:pPr>
        <w:tabs>
          <w:tab w:val="num" w:pos="1440"/>
        </w:tabs>
        <w:ind w:left="1440" w:hanging="360"/>
      </w:pPr>
      <w:rPr>
        <w:rFonts w:ascii="Courier New" w:hAnsi="Courier New" w:hint="default"/>
        <w:sz w:val="20"/>
      </w:rPr>
    </w:lvl>
    <w:lvl w:ilvl="2" w:tplc="D88AA702" w:tentative="1">
      <w:start w:val="1"/>
      <w:numFmt w:val="bullet"/>
      <w:lvlText w:val=""/>
      <w:lvlJc w:val="left"/>
      <w:pPr>
        <w:tabs>
          <w:tab w:val="num" w:pos="2160"/>
        </w:tabs>
        <w:ind w:left="2160" w:hanging="360"/>
      </w:pPr>
      <w:rPr>
        <w:rFonts w:ascii="Wingdings" w:hAnsi="Wingdings" w:hint="default"/>
        <w:sz w:val="20"/>
      </w:rPr>
    </w:lvl>
    <w:lvl w:ilvl="3" w:tplc="6332F12E" w:tentative="1">
      <w:start w:val="1"/>
      <w:numFmt w:val="bullet"/>
      <w:lvlText w:val=""/>
      <w:lvlJc w:val="left"/>
      <w:pPr>
        <w:tabs>
          <w:tab w:val="num" w:pos="2880"/>
        </w:tabs>
        <w:ind w:left="2880" w:hanging="360"/>
      </w:pPr>
      <w:rPr>
        <w:rFonts w:ascii="Wingdings" w:hAnsi="Wingdings" w:hint="default"/>
        <w:sz w:val="20"/>
      </w:rPr>
    </w:lvl>
    <w:lvl w:ilvl="4" w:tplc="08F044EA" w:tentative="1">
      <w:start w:val="1"/>
      <w:numFmt w:val="bullet"/>
      <w:lvlText w:val=""/>
      <w:lvlJc w:val="left"/>
      <w:pPr>
        <w:tabs>
          <w:tab w:val="num" w:pos="3600"/>
        </w:tabs>
        <w:ind w:left="3600" w:hanging="360"/>
      </w:pPr>
      <w:rPr>
        <w:rFonts w:ascii="Wingdings" w:hAnsi="Wingdings" w:hint="default"/>
        <w:sz w:val="20"/>
      </w:rPr>
    </w:lvl>
    <w:lvl w:ilvl="5" w:tplc="588C567C" w:tentative="1">
      <w:start w:val="1"/>
      <w:numFmt w:val="bullet"/>
      <w:lvlText w:val=""/>
      <w:lvlJc w:val="left"/>
      <w:pPr>
        <w:tabs>
          <w:tab w:val="num" w:pos="4320"/>
        </w:tabs>
        <w:ind w:left="4320" w:hanging="360"/>
      </w:pPr>
      <w:rPr>
        <w:rFonts w:ascii="Wingdings" w:hAnsi="Wingdings" w:hint="default"/>
        <w:sz w:val="20"/>
      </w:rPr>
    </w:lvl>
    <w:lvl w:ilvl="6" w:tplc="5A724346" w:tentative="1">
      <w:start w:val="1"/>
      <w:numFmt w:val="bullet"/>
      <w:lvlText w:val=""/>
      <w:lvlJc w:val="left"/>
      <w:pPr>
        <w:tabs>
          <w:tab w:val="num" w:pos="5040"/>
        </w:tabs>
        <w:ind w:left="5040" w:hanging="360"/>
      </w:pPr>
      <w:rPr>
        <w:rFonts w:ascii="Wingdings" w:hAnsi="Wingdings" w:hint="default"/>
        <w:sz w:val="20"/>
      </w:rPr>
    </w:lvl>
    <w:lvl w:ilvl="7" w:tplc="2DEC1F0C" w:tentative="1">
      <w:start w:val="1"/>
      <w:numFmt w:val="bullet"/>
      <w:lvlText w:val=""/>
      <w:lvlJc w:val="left"/>
      <w:pPr>
        <w:tabs>
          <w:tab w:val="num" w:pos="5760"/>
        </w:tabs>
        <w:ind w:left="5760" w:hanging="360"/>
      </w:pPr>
      <w:rPr>
        <w:rFonts w:ascii="Wingdings" w:hAnsi="Wingdings" w:hint="default"/>
        <w:sz w:val="20"/>
      </w:rPr>
    </w:lvl>
    <w:lvl w:ilvl="8" w:tplc="73748DC0" w:tentative="1">
      <w:start w:val="1"/>
      <w:numFmt w:val="bullet"/>
      <w:lvlText w:val=""/>
      <w:lvlJc w:val="left"/>
      <w:pPr>
        <w:tabs>
          <w:tab w:val="num" w:pos="6480"/>
        </w:tabs>
        <w:ind w:left="6480" w:hanging="360"/>
      </w:pPr>
      <w:rPr>
        <w:rFonts w:ascii="Wingdings" w:hAnsi="Wingdings" w:hint="default"/>
        <w:sz w:val="20"/>
      </w:rPr>
    </w:lvl>
  </w:abstractNum>
  <w:abstractNum w:abstractNumId="516">
    <w:nsid w:val="483F4AAC"/>
    <w:multiLevelType w:val="hybridMultilevel"/>
    <w:tmpl w:val="E81C2446"/>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7">
    <w:nsid w:val="489E23F3"/>
    <w:multiLevelType w:val="hybridMultilevel"/>
    <w:tmpl w:val="C5AABC3A"/>
    <w:lvl w:ilvl="0" w:tplc="21DE8A86">
      <w:start w:val="1"/>
      <w:numFmt w:val="bullet"/>
      <w:lvlText w:val=""/>
      <w:lvlJc w:val="left"/>
      <w:pPr>
        <w:ind w:left="720" w:hanging="360"/>
      </w:pPr>
      <w:rPr>
        <w:rFonts w:ascii="Wingdings" w:hAnsi="Wingdings" w:hint="default"/>
        <w:sz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8">
    <w:nsid w:val="48A64665"/>
    <w:multiLevelType w:val="hybridMultilevel"/>
    <w:tmpl w:val="A0EC0C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9">
    <w:nsid w:val="48F52D70"/>
    <w:multiLevelType w:val="multilevel"/>
    <w:tmpl w:val="053ACEB8"/>
    <w:lvl w:ilvl="0">
      <w:start w:val="1"/>
      <w:numFmt w:val="bullet"/>
      <w:lvlText w:val=""/>
      <w:lvlJc w:val="left"/>
      <w:pPr>
        <w:tabs>
          <w:tab w:val="num" w:pos="360"/>
        </w:tabs>
        <w:ind w:left="360" w:hanging="360"/>
      </w:pPr>
      <w:rPr>
        <w:rFonts w:ascii="Wingdings" w:hAnsi="Wingdings" w:cs="Wingdings" w:hint="default"/>
        <w:color w:val="auto"/>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0">
    <w:nsid w:val="49017389"/>
    <w:multiLevelType w:val="hybridMultilevel"/>
    <w:tmpl w:val="5AA01A2E"/>
    <w:lvl w:ilvl="0" w:tplc="CE949DF8">
      <w:start w:val="1"/>
      <w:numFmt w:val="bullet"/>
      <w:lvlText w:val=""/>
      <w:lvlJc w:val="left"/>
      <w:pPr>
        <w:tabs>
          <w:tab w:val="num" w:pos="720"/>
        </w:tabs>
        <w:ind w:left="720" w:hanging="360"/>
      </w:pPr>
      <w:rPr>
        <w:rFonts w:ascii="Symbol" w:hAnsi="Symbol" w:hint="default"/>
        <w:sz w:val="20"/>
      </w:rPr>
    </w:lvl>
    <w:lvl w:ilvl="1" w:tplc="CD7CC4EE" w:tentative="1">
      <w:start w:val="1"/>
      <w:numFmt w:val="bullet"/>
      <w:lvlText w:val="o"/>
      <w:lvlJc w:val="left"/>
      <w:pPr>
        <w:tabs>
          <w:tab w:val="num" w:pos="1440"/>
        </w:tabs>
        <w:ind w:left="1440" w:hanging="360"/>
      </w:pPr>
      <w:rPr>
        <w:rFonts w:ascii="Courier New" w:hAnsi="Courier New" w:hint="default"/>
        <w:sz w:val="20"/>
      </w:rPr>
    </w:lvl>
    <w:lvl w:ilvl="2" w:tplc="739A7DD4" w:tentative="1">
      <w:start w:val="1"/>
      <w:numFmt w:val="bullet"/>
      <w:lvlText w:val=""/>
      <w:lvlJc w:val="left"/>
      <w:pPr>
        <w:tabs>
          <w:tab w:val="num" w:pos="2160"/>
        </w:tabs>
        <w:ind w:left="2160" w:hanging="360"/>
      </w:pPr>
      <w:rPr>
        <w:rFonts w:ascii="Wingdings" w:hAnsi="Wingdings" w:hint="default"/>
        <w:sz w:val="20"/>
      </w:rPr>
    </w:lvl>
    <w:lvl w:ilvl="3" w:tplc="C86ED49A" w:tentative="1">
      <w:start w:val="1"/>
      <w:numFmt w:val="bullet"/>
      <w:lvlText w:val=""/>
      <w:lvlJc w:val="left"/>
      <w:pPr>
        <w:tabs>
          <w:tab w:val="num" w:pos="2880"/>
        </w:tabs>
        <w:ind w:left="2880" w:hanging="360"/>
      </w:pPr>
      <w:rPr>
        <w:rFonts w:ascii="Wingdings" w:hAnsi="Wingdings" w:hint="default"/>
        <w:sz w:val="20"/>
      </w:rPr>
    </w:lvl>
    <w:lvl w:ilvl="4" w:tplc="D090B5B8" w:tentative="1">
      <w:start w:val="1"/>
      <w:numFmt w:val="bullet"/>
      <w:lvlText w:val=""/>
      <w:lvlJc w:val="left"/>
      <w:pPr>
        <w:tabs>
          <w:tab w:val="num" w:pos="3600"/>
        </w:tabs>
        <w:ind w:left="3600" w:hanging="360"/>
      </w:pPr>
      <w:rPr>
        <w:rFonts w:ascii="Wingdings" w:hAnsi="Wingdings" w:hint="default"/>
        <w:sz w:val="20"/>
      </w:rPr>
    </w:lvl>
    <w:lvl w:ilvl="5" w:tplc="F9A4CFE4" w:tentative="1">
      <w:start w:val="1"/>
      <w:numFmt w:val="bullet"/>
      <w:lvlText w:val=""/>
      <w:lvlJc w:val="left"/>
      <w:pPr>
        <w:tabs>
          <w:tab w:val="num" w:pos="4320"/>
        </w:tabs>
        <w:ind w:left="4320" w:hanging="360"/>
      </w:pPr>
      <w:rPr>
        <w:rFonts w:ascii="Wingdings" w:hAnsi="Wingdings" w:hint="default"/>
        <w:sz w:val="20"/>
      </w:rPr>
    </w:lvl>
    <w:lvl w:ilvl="6" w:tplc="DA36DC52" w:tentative="1">
      <w:start w:val="1"/>
      <w:numFmt w:val="bullet"/>
      <w:lvlText w:val=""/>
      <w:lvlJc w:val="left"/>
      <w:pPr>
        <w:tabs>
          <w:tab w:val="num" w:pos="5040"/>
        </w:tabs>
        <w:ind w:left="5040" w:hanging="360"/>
      </w:pPr>
      <w:rPr>
        <w:rFonts w:ascii="Wingdings" w:hAnsi="Wingdings" w:hint="default"/>
        <w:sz w:val="20"/>
      </w:rPr>
    </w:lvl>
    <w:lvl w:ilvl="7" w:tplc="C9EC176C" w:tentative="1">
      <w:start w:val="1"/>
      <w:numFmt w:val="bullet"/>
      <w:lvlText w:val=""/>
      <w:lvlJc w:val="left"/>
      <w:pPr>
        <w:tabs>
          <w:tab w:val="num" w:pos="5760"/>
        </w:tabs>
        <w:ind w:left="5760" w:hanging="360"/>
      </w:pPr>
      <w:rPr>
        <w:rFonts w:ascii="Wingdings" w:hAnsi="Wingdings" w:hint="default"/>
        <w:sz w:val="20"/>
      </w:rPr>
    </w:lvl>
    <w:lvl w:ilvl="8" w:tplc="CE981F44" w:tentative="1">
      <w:start w:val="1"/>
      <w:numFmt w:val="bullet"/>
      <w:lvlText w:val=""/>
      <w:lvlJc w:val="left"/>
      <w:pPr>
        <w:tabs>
          <w:tab w:val="num" w:pos="6480"/>
        </w:tabs>
        <w:ind w:left="6480" w:hanging="360"/>
      </w:pPr>
      <w:rPr>
        <w:rFonts w:ascii="Wingdings" w:hAnsi="Wingdings" w:hint="default"/>
        <w:sz w:val="20"/>
      </w:rPr>
    </w:lvl>
  </w:abstractNum>
  <w:abstractNum w:abstractNumId="521">
    <w:nsid w:val="493F27ED"/>
    <w:multiLevelType w:val="hybridMultilevel"/>
    <w:tmpl w:val="C87CB290"/>
    <w:lvl w:ilvl="0" w:tplc="04150005">
      <w:start w:val="1"/>
      <w:numFmt w:val="bullet"/>
      <w:lvlText w:val=""/>
      <w:lvlJc w:val="left"/>
      <w:pPr>
        <w:tabs>
          <w:tab w:val="num" w:pos="720"/>
        </w:tabs>
        <w:ind w:left="720" w:hanging="360"/>
      </w:pPr>
      <w:rPr>
        <w:rFonts w:ascii="Wingdings" w:hAnsi="Wingdings" w:hint="default"/>
        <w:color w:val="auto"/>
      </w:rPr>
    </w:lvl>
    <w:lvl w:ilvl="1" w:tplc="836A1742" w:tentative="1">
      <w:start w:val="1"/>
      <w:numFmt w:val="bullet"/>
      <w:lvlText w:val="o"/>
      <w:lvlJc w:val="left"/>
      <w:pPr>
        <w:tabs>
          <w:tab w:val="num" w:pos="1440"/>
        </w:tabs>
        <w:ind w:left="1440" w:hanging="360"/>
      </w:pPr>
      <w:rPr>
        <w:rFonts w:ascii="Courier New" w:hAnsi="Courier New" w:hint="default"/>
      </w:rPr>
    </w:lvl>
    <w:lvl w:ilvl="2" w:tplc="8062CBA0" w:tentative="1">
      <w:start w:val="1"/>
      <w:numFmt w:val="bullet"/>
      <w:lvlText w:val=""/>
      <w:lvlJc w:val="left"/>
      <w:pPr>
        <w:tabs>
          <w:tab w:val="num" w:pos="2160"/>
        </w:tabs>
        <w:ind w:left="2160" w:hanging="360"/>
      </w:pPr>
      <w:rPr>
        <w:rFonts w:ascii="Wingdings" w:hAnsi="Wingdings" w:hint="default"/>
      </w:rPr>
    </w:lvl>
    <w:lvl w:ilvl="3" w:tplc="49BC2050" w:tentative="1">
      <w:start w:val="1"/>
      <w:numFmt w:val="bullet"/>
      <w:lvlText w:val=""/>
      <w:lvlJc w:val="left"/>
      <w:pPr>
        <w:tabs>
          <w:tab w:val="num" w:pos="2880"/>
        </w:tabs>
        <w:ind w:left="2880" w:hanging="360"/>
      </w:pPr>
      <w:rPr>
        <w:rFonts w:ascii="Symbol" w:hAnsi="Symbol" w:hint="default"/>
      </w:rPr>
    </w:lvl>
    <w:lvl w:ilvl="4" w:tplc="10ACFADC" w:tentative="1">
      <w:start w:val="1"/>
      <w:numFmt w:val="bullet"/>
      <w:lvlText w:val="o"/>
      <w:lvlJc w:val="left"/>
      <w:pPr>
        <w:tabs>
          <w:tab w:val="num" w:pos="3600"/>
        </w:tabs>
        <w:ind w:left="3600" w:hanging="360"/>
      </w:pPr>
      <w:rPr>
        <w:rFonts w:ascii="Courier New" w:hAnsi="Courier New" w:hint="default"/>
      </w:rPr>
    </w:lvl>
    <w:lvl w:ilvl="5" w:tplc="815873AA" w:tentative="1">
      <w:start w:val="1"/>
      <w:numFmt w:val="bullet"/>
      <w:lvlText w:val=""/>
      <w:lvlJc w:val="left"/>
      <w:pPr>
        <w:tabs>
          <w:tab w:val="num" w:pos="4320"/>
        </w:tabs>
        <w:ind w:left="4320" w:hanging="360"/>
      </w:pPr>
      <w:rPr>
        <w:rFonts w:ascii="Wingdings" w:hAnsi="Wingdings" w:hint="default"/>
      </w:rPr>
    </w:lvl>
    <w:lvl w:ilvl="6" w:tplc="AFFE3094" w:tentative="1">
      <w:start w:val="1"/>
      <w:numFmt w:val="bullet"/>
      <w:lvlText w:val=""/>
      <w:lvlJc w:val="left"/>
      <w:pPr>
        <w:tabs>
          <w:tab w:val="num" w:pos="5040"/>
        </w:tabs>
        <w:ind w:left="5040" w:hanging="360"/>
      </w:pPr>
      <w:rPr>
        <w:rFonts w:ascii="Symbol" w:hAnsi="Symbol" w:hint="default"/>
      </w:rPr>
    </w:lvl>
    <w:lvl w:ilvl="7" w:tplc="FFC6E9F0" w:tentative="1">
      <w:start w:val="1"/>
      <w:numFmt w:val="bullet"/>
      <w:lvlText w:val="o"/>
      <w:lvlJc w:val="left"/>
      <w:pPr>
        <w:tabs>
          <w:tab w:val="num" w:pos="5760"/>
        </w:tabs>
        <w:ind w:left="5760" w:hanging="360"/>
      </w:pPr>
      <w:rPr>
        <w:rFonts w:ascii="Courier New" w:hAnsi="Courier New" w:hint="default"/>
      </w:rPr>
    </w:lvl>
    <w:lvl w:ilvl="8" w:tplc="2888568E" w:tentative="1">
      <w:start w:val="1"/>
      <w:numFmt w:val="bullet"/>
      <w:lvlText w:val=""/>
      <w:lvlJc w:val="left"/>
      <w:pPr>
        <w:tabs>
          <w:tab w:val="num" w:pos="6480"/>
        </w:tabs>
        <w:ind w:left="6480" w:hanging="360"/>
      </w:pPr>
      <w:rPr>
        <w:rFonts w:ascii="Wingdings" w:hAnsi="Wingdings" w:hint="default"/>
      </w:rPr>
    </w:lvl>
  </w:abstractNum>
  <w:abstractNum w:abstractNumId="522">
    <w:nsid w:val="49661F64"/>
    <w:multiLevelType w:val="hybridMultilevel"/>
    <w:tmpl w:val="CA6E97E2"/>
    <w:lvl w:ilvl="0" w:tplc="D6A656B6">
      <w:numFmt w:val="bullet"/>
      <w:lvlText w:val="-"/>
      <w:lvlJc w:val="left"/>
      <w:pPr>
        <w:ind w:left="1068" w:hanging="360"/>
      </w:pPr>
      <w:rPr>
        <w:rFonts w:ascii="Times New Roman" w:eastAsia="Times New Roman" w:hAnsi="Times New Roman" w:cs="Times New Roman"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523">
    <w:nsid w:val="49B2677E"/>
    <w:multiLevelType w:val="multilevel"/>
    <w:tmpl w:val="21226558"/>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524">
    <w:nsid w:val="4A2B1E15"/>
    <w:multiLevelType w:val="multilevel"/>
    <w:tmpl w:val="A45000D4"/>
    <w:styleLink w:val="WWNum127"/>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25">
    <w:nsid w:val="4A3F05C3"/>
    <w:multiLevelType w:val="hybridMultilevel"/>
    <w:tmpl w:val="F3860CC6"/>
    <w:lvl w:ilvl="0" w:tplc="5A98E302">
      <w:start w:val="1"/>
      <w:numFmt w:val="bullet"/>
      <w:pStyle w:val="wyp2"/>
      <w:lvlText w:val="◙"/>
      <w:lvlJc w:val="left"/>
      <w:pPr>
        <w:ind w:left="720" w:hanging="360"/>
      </w:pPr>
      <w:rPr>
        <w:rFonts w:ascii="Times New Roman" w:hAnsi="Times New Roman"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526">
    <w:nsid w:val="4AA73B7D"/>
    <w:multiLevelType w:val="hybridMultilevel"/>
    <w:tmpl w:val="C6121C98"/>
    <w:lvl w:ilvl="0" w:tplc="04150005">
      <w:start w:val="1"/>
      <w:numFmt w:val="bullet"/>
      <w:lvlText w:val=""/>
      <w:lvlJc w:val="left"/>
      <w:pPr>
        <w:tabs>
          <w:tab w:val="num" w:pos="720"/>
        </w:tabs>
        <w:ind w:left="720" w:hanging="360"/>
      </w:pPr>
      <w:rPr>
        <w:rFonts w:ascii="Wingdings" w:hAnsi="Wingdings" w:hint="default"/>
      </w:rPr>
    </w:lvl>
    <w:lvl w:ilvl="1" w:tplc="04150003">
      <w:start w:val="1"/>
      <w:numFmt w:val="lowerLetter"/>
      <w:lvlText w:val="%2)"/>
      <w:lvlJc w:val="left"/>
      <w:pPr>
        <w:tabs>
          <w:tab w:val="num" w:pos="720"/>
        </w:tabs>
        <w:ind w:left="720" w:hanging="360"/>
      </w:pPr>
      <w:rPr>
        <w:rFonts w:ascii="Times New Roman" w:hAnsi="Times New Roman" w:cs="Times New Roman" w:hint="default"/>
        <w:b w:val="0"/>
        <w:bCs w:val="0"/>
        <w:i w:val="0"/>
        <w:iCs w:val="0"/>
      </w:rPr>
    </w:lvl>
    <w:lvl w:ilvl="2" w:tplc="04150005">
      <w:start w:val="1"/>
      <w:numFmt w:val="lowerRoman"/>
      <w:lvlText w:val="%3."/>
      <w:lvlJc w:val="right"/>
      <w:pPr>
        <w:tabs>
          <w:tab w:val="num" w:pos="1440"/>
        </w:tabs>
        <w:ind w:left="1440" w:hanging="180"/>
      </w:pPr>
      <w:rPr>
        <w:rFonts w:ascii="Times New Roman" w:hAnsi="Times New Roman" w:cs="Times New Roman"/>
      </w:rPr>
    </w:lvl>
    <w:lvl w:ilvl="3" w:tplc="04150001">
      <w:start w:val="1"/>
      <w:numFmt w:val="decimal"/>
      <w:lvlText w:val="%4."/>
      <w:lvlJc w:val="left"/>
      <w:pPr>
        <w:tabs>
          <w:tab w:val="num" w:pos="2160"/>
        </w:tabs>
        <w:ind w:left="2160" w:hanging="360"/>
      </w:pPr>
      <w:rPr>
        <w:rFonts w:ascii="Times New Roman" w:hAnsi="Times New Roman" w:cs="Times New Roman"/>
      </w:rPr>
    </w:lvl>
    <w:lvl w:ilvl="4" w:tplc="04150003">
      <w:start w:val="1"/>
      <w:numFmt w:val="lowerLetter"/>
      <w:lvlText w:val="%5."/>
      <w:lvlJc w:val="left"/>
      <w:pPr>
        <w:tabs>
          <w:tab w:val="num" w:pos="2880"/>
        </w:tabs>
        <w:ind w:left="2880" w:hanging="360"/>
      </w:pPr>
      <w:rPr>
        <w:rFonts w:ascii="Times New Roman" w:hAnsi="Times New Roman" w:cs="Times New Roman"/>
      </w:rPr>
    </w:lvl>
    <w:lvl w:ilvl="5" w:tplc="04150005">
      <w:start w:val="1"/>
      <w:numFmt w:val="lowerRoman"/>
      <w:lvlText w:val="%6."/>
      <w:lvlJc w:val="right"/>
      <w:pPr>
        <w:tabs>
          <w:tab w:val="num" w:pos="3600"/>
        </w:tabs>
        <w:ind w:left="3600" w:hanging="180"/>
      </w:pPr>
      <w:rPr>
        <w:rFonts w:ascii="Times New Roman" w:hAnsi="Times New Roman" w:cs="Times New Roman"/>
      </w:rPr>
    </w:lvl>
    <w:lvl w:ilvl="6" w:tplc="04150001">
      <w:start w:val="1"/>
      <w:numFmt w:val="decimal"/>
      <w:lvlText w:val="%7."/>
      <w:lvlJc w:val="left"/>
      <w:pPr>
        <w:tabs>
          <w:tab w:val="num" w:pos="4320"/>
        </w:tabs>
        <w:ind w:left="4320" w:hanging="360"/>
      </w:pPr>
      <w:rPr>
        <w:rFonts w:ascii="Times New Roman" w:hAnsi="Times New Roman" w:cs="Times New Roman"/>
      </w:rPr>
    </w:lvl>
    <w:lvl w:ilvl="7" w:tplc="04150003">
      <w:start w:val="1"/>
      <w:numFmt w:val="lowerLetter"/>
      <w:lvlText w:val="%8."/>
      <w:lvlJc w:val="left"/>
      <w:pPr>
        <w:tabs>
          <w:tab w:val="num" w:pos="5040"/>
        </w:tabs>
        <w:ind w:left="5040" w:hanging="360"/>
      </w:pPr>
      <w:rPr>
        <w:rFonts w:ascii="Times New Roman" w:hAnsi="Times New Roman" w:cs="Times New Roman"/>
      </w:rPr>
    </w:lvl>
    <w:lvl w:ilvl="8" w:tplc="04150005">
      <w:start w:val="1"/>
      <w:numFmt w:val="lowerRoman"/>
      <w:lvlText w:val="%9."/>
      <w:lvlJc w:val="right"/>
      <w:pPr>
        <w:tabs>
          <w:tab w:val="num" w:pos="5760"/>
        </w:tabs>
        <w:ind w:left="5760" w:hanging="180"/>
      </w:pPr>
      <w:rPr>
        <w:rFonts w:ascii="Times New Roman" w:hAnsi="Times New Roman" w:cs="Times New Roman"/>
      </w:rPr>
    </w:lvl>
  </w:abstractNum>
  <w:abstractNum w:abstractNumId="527">
    <w:nsid w:val="4ABC5F44"/>
    <w:multiLevelType w:val="hybridMultilevel"/>
    <w:tmpl w:val="1B32BC9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8">
    <w:nsid w:val="4AE042F0"/>
    <w:multiLevelType w:val="hybridMultilevel"/>
    <w:tmpl w:val="83BA04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9">
    <w:nsid w:val="4AF1452D"/>
    <w:multiLevelType w:val="hybridMultilevel"/>
    <w:tmpl w:val="D1BCAD1C"/>
    <w:lvl w:ilvl="0" w:tplc="04150005">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30">
    <w:nsid w:val="4B16481B"/>
    <w:multiLevelType w:val="hybridMultilevel"/>
    <w:tmpl w:val="E94CB20E"/>
    <w:lvl w:ilvl="0" w:tplc="04150001">
      <w:start w:val="1"/>
      <w:numFmt w:val="bullet"/>
      <w:lvlText w:val=""/>
      <w:lvlJc w:val="left"/>
      <w:pPr>
        <w:ind w:left="720" w:hanging="360"/>
      </w:pPr>
      <w:rPr>
        <w:rFonts w:ascii="Symbol" w:hAnsi="Symbol" w:hint="default"/>
      </w:rPr>
    </w:lvl>
    <w:lvl w:ilvl="1" w:tplc="04150005">
      <w:start w:val="1"/>
      <w:numFmt w:val="bullet"/>
      <w:lvlText w:val=""/>
      <w:lvlJc w:val="left"/>
      <w:pPr>
        <w:ind w:left="1440" w:hanging="360"/>
      </w:pPr>
      <w:rPr>
        <w:rFonts w:ascii="Wingdings" w:hAnsi="Wingding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1">
    <w:nsid w:val="4B326F80"/>
    <w:multiLevelType w:val="hybridMultilevel"/>
    <w:tmpl w:val="899480A8"/>
    <w:lvl w:ilvl="0" w:tplc="1F6A94F2">
      <w:start w:val="1"/>
      <w:numFmt w:val="decimal"/>
      <w:lvlText w:val="%1."/>
      <w:lvlJc w:val="left"/>
      <w:pPr>
        <w:tabs>
          <w:tab w:val="num" w:pos="720"/>
        </w:tabs>
        <w:ind w:left="720" w:hanging="360"/>
      </w:pPr>
    </w:lvl>
    <w:lvl w:ilvl="1" w:tplc="7146F0DE" w:tentative="1">
      <w:start w:val="1"/>
      <w:numFmt w:val="decimal"/>
      <w:lvlText w:val="%2."/>
      <w:lvlJc w:val="left"/>
      <w:pPr>
        <w:tabs>
          <w:tab w:val="num" w:pos="1440"/>
        </w:tabs>
        <w:ind w:left="1440" w:hanging="360"/>
      </w:pPr>
    </w:lvl>
    <w:lvl w:ilvl="2" w:tplc="029A495C" w:tentative="1">
      <w:start w:val="1"/>
      <w:numFmt w:val="decimal"/>
      <w:lvlText w:val="%3."/>
      <w:lvlJc w:val="left"/>
      <w:pPr>
        <w:tabs>
          <w:tab w:val="num" w:pos="2160"/>
        </w:tabs>
        <w:ind w:left="2160" w:hanging="360"/>
      </w:pPr>
    </w:lvl>
    <w:lvl w:ilvl="3" w:tplc="C6A2E552" w:tentative="1">
      <w:start w:val="1"/>
      <w:numFmt w:val="decimal"/>
      <w:lvlText w:val="%4."/>
      <w:lvlJc w:val="left"/>
      <w:pPr>
        <w:tabs>
          <w:tab w:val="num" w:pos="2880"/>
        </w:tabs>
        <w:ind w:left="2880" w:hanging="360"/>
      </w:pPr>
    </w:lvl>
    <w:lvl w:ilvl="4" w:tplc="300E0FC2" w:tentative="1">
      <w:start w:val="1"/>
      <w:numFmt w:val="decimal"/>
      <w:lvlText w:val="%5."/>
      <w:lvlJc w:val="left"/>
      <w:pPr>
        <w:tabs>
          <w:tab w:val="num" w:pos="3600"/>
        </w:tabs>
        <w:ind w:left="3600" w:hanging="360"/>
      </w:pPr>
    </w:lvl>
    <w:lvl w:ilvl="5" w:tplc="C70CCD32" w:tentative="1">
      <w:start w:val="1"/>
      <w:numFmt w:val="decimal"/>
      <w:lvlText w:val="%6."/>
      <w:lvlJc w:val="left"/>
      <w:pPr>
        <w:tabs>
          <w:tab w:val="num" w:pos="4320"/>
        </w:tabs>
        <w:ind w:left="4320" w:hanging="360"/>
      </w:pPr>
    </w:lvl>
    <w:lvl w:ilvl="6" w:tplc="81E6D26C" w:tentative="1">
      <w:start w:val="1"/>
      <w:numFmt w:val="decimal"/>
      <w:lvlText w:val="%7."/>
      <w:lvlJc w:val="left"/>
      <w:pPr>
        <w:tabs>
          <w:tab w:val="num" w:pos="5040"/>
        </w:tabs>
        <w:ind w:left="5040" w:hanging="360"/>
      </w:pPr>
    </w:lvl>
    <w:lvl w:ilvl="7" w:tplc="08CCDECC" w:tentative="1">
      <w:start w:val="1"/>
      <w:numFmt w:val="decimal"/>
      <w:lvlText w:val="%8."/>
      <w:lvlJc w:val="left"/>
      <w:pPr>
        <w:tabs>
          <w:tab w:val="num" w:pos="5760"/>
        </w:tabs>
        <w:ind w:left="5760" w:hanging="360"/>
      </w:pPr>
    </w:lvl>
    <w:lvl w:ilvl="8" w:tplc="F9A24798" w:tentative="1">
      <w:start w:val="1"/>
      <w:numFmt w:val="decimal"/>
      <w:lvlText w:val="%9."/>
      <w:lvlJc w:val="left"/>
      <w:pPr>
        <w:tabs>
          <w:tab w:val="num" w:pos="6480"/>
        </w:tabs>
        <w:ind w:left="6480" w:hanging="360"/>
      </w:pPr>
    </w:lvl>
  </w:abstractNum>
  <w:abstractNum w:abstractNumId="532">
    <w:nsid w:val="4B344686"/>
    <w:multiLevelType w:val="hybridMultilevel"/>
    <w:tmpl w:val="84645252"/>
    <w:lvl w:ilvl="0" w:tplc="6CA43014">
      <w:start w:val="16"/>
      <w:numFmt w:val="bullet"/>
      <w:lvlText w:val="-"/>
      <w:lvlJc w:val="left"/>
      <w:pPr>
        <w:ind w:left="720" w:hanging="360"/>
      </w:pPr>
      <w:rPr>
        <w:rFonts w:ascii="Times New Roman" w:eastAsia="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3">
    <w:nsid w:val="4B350364"/>
    <w:multiLevelType w:val="hybridMultilevel"/>
    <w:tmpl w:val="6E52AEE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534">
    <w:nsid w:val="4B3B4EA5"/>
    <w:multiLevelType w:val="hybridMultilevel"/>
    <w:tmpl w:val="CC9E56E2"/>
    <w:lvl w:ilvl="0" w:tplc="8E48099E">
      <w:start w:val="1"/>
      <w:numFmt w:val="decimal"/>
      <w:lvlText w:val="%1."/>
      <w:lvlJc w:val="left"/>
      <w:pPr>
        <w:tabs>
          <w:tab w:val="num" w:pos="720"/>
        </w:tabs>
        <w:ind w:left="720" w:hanging="360"/>
      </w:pPr>
    </w:lvl>
    <w:lvl w:ilvl="1" w:tplc="3AD2DF5E" w:tentative="1">
      <w:start w:val="1"/>
      <w:numFmt w:val="decimal"/>
      <w:lvlText w:val="%2."/>
      <w:lvlJc w:val="left"/>
      <w:pPr>
        <w:tabs>
          <w:tab w:val="num" w:pos="1440"/>
        </w:tabs>
        <w:ind w:left="1440" w:hanging="360"/>
      </w:pPr>
    </w:lvl>
    <w:lvl w:ilvl="2" w:tplc="B56EAC0A" w:tentative="1">
      <w:start w:val="1"/>
      <w:numFmt w:val="decimal"/>
      <w:lvlText w:val="%3."/>
      <w:lvlJc w:val="left"/>
      <w:pPr>
        <w:tabs>
          <w:tab w:val="num" w:pos="2160"/>
        </w:tabs>
        <w:ind w:left="2160" w:hanging="360"/>
      </w:pPr>
    </w:lvl>
    <w:lvl w:ilvl="3" w:tplc="B1605D78" w:tentative="1">
      <w:start w:val="1"/>
      <w:numFmt w:val="decimal"/>
      <w:lvlText w:val="%4."/>
      <w:lvlJc w:val="left"/>
      <w:pPr>
        <w:tabs>
          <w:tab w:val="num" w:pos="2880"/>
        </w:tabs>
        <w:ind w:left="2880" w:hanging="360"/>
      </w:pPr>
    </w:lvl>
    <w:lvl w:ilvl="4" w:tplc="3356C5F4" w:tentative="1">
      <w:start w:val="1"/>
      <w:numFmt w:val="decimal"/>
      <w:lvlText w:val="%5."/>
      <w:lvlJc w:val="left"/>
      <w:pPr>
        <w:tabs>
          <w:tab w:val="num" w:pos="3600"/>
        </w:tabs>
        <w:ind w:left="3600" w:hanging="360"/>
      </w:pPr>
    </w:lvl>
    <w:lvl w:ilvl="5" w:tplc="B1EEAB90" w:tentative="1">
      <w:start w:val="1"/>
      <w:numFmt w:val="decimal"/>
      <w:lvlText w:val="%6."/>
      <w:lvlJc w:val="left"/>
      <w:pPr>
        <w:tabs>
          <w:tab w:val="num" w:pos="4320"/>
        </w:tabs>
        <w:ind w:left="4320" w:hanging="360"/>
      </w:pPr>
    </w:lvl>
    <w:lvl w:ilvl="6" w:tplc="5D840BFE" w:tentative="1">
      <w:start w:val="1"/>
      <w:numFmt w:val="decimal"/>
      <w:lvlText w:val="%7."/>
      <w:lvlJc w:val="left"/>
      <w:pPr>
        <w:tabs>
          <w:tab w:val="num" w:pos="5040"/>
        </w:tabs>
        <w:ind w:left="5040" w:hanging="360"/>
      </w:pPr>
    </w:lvl>
    <w:lvl w:ilvl="7" w:tplc="65A4D710" w:tentative="1">
      <w:start w:val="1"/>
      <w:numFmt w:val="decimal"/>
      <w:lvlText w:val="%8."/>
      <w:lvlJc w:val="left"/>
      <w:pPr>
        <w:tabs>
          <w:tab w:val="num" w:pos="5760"/>
        </w:tabs>
        <w:ind w:left="5760" w:hanging="360"/>
      </w:pPr>
    </w:lvl>
    <w:lvl w:ilvl="8" w:tplc="1A907426" w:tentative="1">
      <w:start w:val="1"/>
      <w:numFmt w:val="decimal"/>
      <w:lvlText w:val="%9."/>
      <w:lvlJc w:val="left"/>
      <w:pPr>
        <w:tabs>
          <w:tab w:val="num" w:pos="6480"/>
        </w:tabs>
        <w:ind w:left="6480" w:hanging="360"/>
      </w:pPr>
    </w:lvl>
  </w:abstractNum>
  <w:abstractNum w:abstractNumId="535">
    <w:nsid w:val="4B5C3BE4"/>
    <w:multiLevelType w:val="hybridMultilevel"/>
    <w:tmpl w:val="64B875DE"/>
    <w:lvl w:ilvl="0" w:tplc="04150005">
      <w:start w:val="1"/>
      <w:numFmt w:val="bullet"/>
      <w:lvlText w:val=""/>
      <w:lvlJc w:val="left"/>
      <w:pPr>
        <w:ind w:left="720" w:hanging="360"/>
      </w:pPr>
      <w:rPr>
        <w:rFonts w:ascii="Wingdings" w:hAnsi="Wingdings" w:hint="default"/>
      </w:rPr>
    </w:lvl>
    <w:lvl w:ilvl="1" w:tplc="04150005">
      <w:start w:val="1"/>
      <w:numFmt w:val="bullet"/>
      <w:lvlText w:val=""/>
      <w:lvlJc w:val="left"/>
      <w:pPr>
        <w:ind w:left="1440" w:hanging="360"/>
      </w:pPr>
      <w:rPr>
        <w:rFonts w:ascii="Wingdings" w:hAnsi="Wingding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6">
    <w:nsid w:val="4B802264"/>
    <w:multiLevelType w:val="hybridMultilevel"/>
    <w:tmpl w:val="40960C24"/>
    <w:lvl w:ilvl="0" w:tplc="04150005">
      <w:start w:val="1"/>
      <w:numFmt w:val="bullet"/>
      <w:lvlText w:val=""/>
      <w:lvlJc w:val="left"/>
      <w:pPr>
        <w:tabs>
          <w:tab w:val="num" w:pos="720"/>
        </w:tabs>
        <w:ind w:left="720" w:hanging="360"/>
      </w:pPr>
      <w:rPr>
        <w:rFonts w:ascii="Wingdings" w:hAnsi="Wingdings" w:hint="default"/>
        <w:sz w:val="20"/>
      </w:rPr>
    </w:lvl>
    <w:lvl w:ilvl="1" w:tplc="940E5E6A" w:tentative="1">
      <w:start w:val="1"/>
      <w:numFmt w:val="bullet"/>
      <w:lvlText w:val="o"/>
      <w:lvlJc w:val="left"/>
      <w:pPr>
        <w:tabs>
          <w:tab w:val="num" w:pos="1440"/>
        </w:tabs>
        <w:ind w:left="1440" w:hanging="360"/>
      </w:pPr>
      <w:rPr>
        <w:rFonts w:ascii="Courier New" w:hAnsi="Courier New" w:hint="default"/>
        <w:sz w:val="20"/>
      </w:rPr>
    </w:lvl>
    <w:lvl w:ilvl="2" w:tplc="6B6CA3E8" w:tentative="1">
      <w:start w:val="1"/>
      <w:numFmt w:val="bullet"/>
      <w:lvlText w:val=""/>
      <w:lvlJc w:val="left"/>
      <w:pPr>
        <w:tabs>
          <w:tab w:val="num" w:pos="2160"/>
        </w:tabs>
        <w:ind w:left="2160" w:hanging="360"/>
      </w:pPr>
      <w:rPr>
        <w:rFonts w:ascii="Wingdings" w:hAnsi="Wingdings" w:hint="default"/>
        <w:sz w:val="20"/>
      </w:rPr>
    </w:lvl>
    <w:lvl w:ilvl="3" w:tplc="804E9EF4" w:tentative="1">
      <w:start w:val="1"/>
      <w:numFmt w:val="bullet"/>
      <w:lvlText w:val=""/>
      <w:lvlJc w:val="left"/>
      <w:pPr>
        <w:tabs>
          <w:tab w:val="num" w:pos="2880"/>
        </w:tabs>
        <w:ind w:left="2880" w:hanging="360"/>
      </w:pPr>
      <w:rPr>
        <w:rFonts w:ascii="Wingdings" w:hAnsi="Wingdings" w:hint="default"/>
        <w:sz w:val="20"/>
      </w:rPr>
    </w:lvl>
    <w:lvl w:ilvl="4" w:tplc="76866A36" w:tentative="1">
      <w:start w:val="1"/>
      <w:numFmt w:val="bullet"/>
      <w:lvlText w:val=""/>
      <w:lvlJc w:val="left"/>
      <w:pPr>
        <w:tabs>
          <w:tab w:val="num" w:pos="3600"/>
        </w:tabs>
        <w:ind w:left="3600" w:hanging="360"/>
      </w:pPr>
      <w:rPr>
        <w:rFonts w:ascii="Wingdings" w:hAnsi="Wingdings" w:hint="default"/>
        <w:sz w:val="20"/>
      </w:rPr>
    </w:lvl>
    <w:lvl w:ilvl="5" w:tplc="2D04662E" w:tentative="1">
      <w:start w:val="1"/>
      <w:numFmt w:val="bullet"/>
      <w:lvlText w:val=""/>
      <w:lvlJc w:val="left"/>
      <w:pPr>
        <w:tabs>
          <w:tab w:val="num" w:pos="4320"/>
        </w:tabs>
        <w:ind w:left="4320" w:hanging="360"/>
      </w:pPr>
      <w:rPr>
        <w:rFonts w:ascii="Wingdings" w:hAnsi="Wingdings" w:hint="default"/>
        <w:sz w:val="20"/>
      </w:rPr>
    </w:lvl>
    <w:lvl w:ilvl="6" w:tplc="505C283C" w:tentative="1">
      <w:start w:val="1"/>
      <w:numFmt w:val="bullet"/>
      <w:lvlText w:val=""/>
      <w:lvlJc w:val="left"/>
      <w:pPr>
        <w:tabs>
          <w:tab w:val="num" w:pos="5040"/>
        </w:tabs>
        <w:ind w:left="5040" w:hanging="360"/>
      </w:pPr>
      <w:rPr>
        <w:rFonts w:ascii="Wingdings" w:hAnsi="Wingdings" w:hint="default"/>
        <w:sz w:val="20"/>
      </w:rPr>
    </w:lvl>
    <w:lvl w:ilvl="7" w:tplc="044AF3B4" w:tentative="1">
      <w:start w:val="1"/>
      <w:numFmt w:val="bullet"/>
      <w:lvlText w:val=""/>
      <w:lvlJc w:val="left"/>
      <w:pPr>
        <w:tabs>
          <w:tab w:val="num" w:pos="5760"/>
        </w:tabs>
        <w:ind w:left="5760" w:hanging="360"/>
      </w:pPr>
      <w:rPr>
        <w:rFonts w:ascii="Wingdings" w:hAnsi="Wingdings" w:hint="default"/>
        <w:sz w:val="20"/>
      </w:rPr>
    </w:lvl>
    <w:lvl w:ilvl="8" w:tplc="C5109AE6" w:tentative="1">
      <w:start w:val="1"/>
      <w:numFmt w:val="bullet"/>
      <w:lvlText w:val=""/>
      <w:lvlJc w:val="left"/>
      <w:pPr>
        <w:tabs>
          <w:tab w:val="num" w:pos="6480"/>
        </w:tabs>
        <w:ind w:left="6480" w:hanging="360"/>
      </w:pPr>
      <w:rPr>
        <w:rFonts w:ascii="Wingdings" w:hAnsi="Wingdings" w:hint="default"/>
        <w:sz w:val="20"/>
      </w:rPr>
    </w:lvl>
  </w:abstractNum>
  <w:abstractNum w:abstractNumId="537">
    <w:nsid w:val="4B8043D7"/>
    <w:multiLevelType w:val="hybridMultilevel"/>
    <w:tmpl w:val="4A065B94"/>
    <w:lvl w:ilvl="0" w:tplc="04150017">
      <w:start w:val="1"/>
      <w:numFmt w:val="lowerLetter"/>
      <w:lvlText w:val="%1)"/>
      <w:lvlJc w:val="left"/>
      <w:pPr>
        <w:ind w:left="720" w:hanging="360"/>
      </w:pPr>
    </w:lvl>
    <w:lvl w:ilvl="1" w:tplc="0415000F">
      <w:start w:val="1"/>
      <w:numFmt w:val="decimal"/>
      <w:lvlText w:val="%2."/>
      <w:lvlJc w:val="left"/>
      <w:pPr>
        <w:ind w:left="1440" w:hanging="360"/>
      </w:pPr>
      <w:rPr>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8">
    <w:nsid w:val="4B862084"/>
    <w:multiLevelType w:val="hybridMultilevel"/>
    <w:tmpl w:val="452E5C40"/>
    <w:lvl w:ilvl="0" w:tplc="8612CD90">
      <w:start w:val="1"/>
      <w:numFmt w:val="decimal"/>
      <w:lvlText w:val="%1."/>
      <w:lvlJc w:val="left"/>
      <w:pPr>
        <w:tabs>
          <w:tab w:val="num" w:pos="720"/>
        </w:tabs>
        <w:ind w:left="720" w:hanging="360"/>
      </w:pPr>
    </w:lvl>
    <w:lvl w:ilvl="1" w:tplc="C7FE0EAC" w:tentative="1">
      <w:start w:val="1"/>
      <w:numFmt w:val="decimal"/>
      <w:lvlText w:val="%2."/>
      <w:lvlJc w:val="left"/>
      <w:pPr>
        <w:tabs>
          <w:tab w:val="num" w:pos="1440"/>
        </w:tabs>
        <w:ind w:left="1440" w:hanging="360"/>
      </w:pPr>
    </w:lvl>
    <w:lvl w:ilvl="2" w:tplc="6180E0DE" w:tentative="1">
      <w:start w:val="1"/>
      <w:numFmt w:val="decimal"/>
      <w:lvlText w:val="%3."/>
      <w:lvlJc w:val="left"/>
      <w:pPr>
        <w:tabs>
          <w:tab w:val="num" w:pos="2160"/>
        </w:tabs>
        <w:ind w:left="2160" w:hanging="360"/>
      </w:pPr>
    </w:lvl>
    <w:lvl w:ilvl="3" w:tplc="2A38267A" w:tentative="1">
      <w:start w:val="1"/>
      <w:numFmt w:val="decimal"/>
      <w:lvlText w:val="%4."/>
      <w:lvlJc w:val="left"/>
      <w:pPr>
        <w:tabs>
          <w:tab w:val="num" w:pos="2880"/>
        </w:tabs>
        <w:ind w:left="2880" w:hanging="360"/>
      </w:pPr>
    </w:lvl>
    <w:lvl w:ilvl="4" w:tplc="98FC99E4" w:tentative="1">
      <w:start w:val="1"/>
      <w:numFmt w:val="decimal"/>
      <w:lvlText w:val="%5."/>
      <w:lvlJc w:val="left"/>
      <w:pPr>
        <w:tabs>
          <w:tab w:val="num" w:pos="3600"/>
        </w:tabs>
        <w:ind w:left="3600" w:hanging="360"/>
      </w:pPr>
    </w:lvl>
    <w:lvl w:ilvl="5" w:tplc="4D4A67E6" w:tentative="1">
      <w:start w:val="1"/>
      <w:numFmt w:val="decimal"/>
      <w:lvlText w:val="%6."/>
      <w:lvlJc w:val="left"/>
      <w:pPr>
        <w:tabs>
          <w:tab w:val="num" w:pos="4320"/>
        </w:tabs>
        <w:ind w:left="4320" w:hanging="360"/>
      </w:pPr>
    </w:lvl>
    <w:lvl w:ilvl="6" w:tplc="7084DB5E" w:tentative="1">
      <w:start w:val="1"/>
      <w:numFmt w:val="decimal"/>
      <w:lvlText w:val="%7."/>
      <w:lvlJc w:val="left"/>
      <w:pPr>
        <w:tabs>
          <w:tab w:val="num" w:pos="5040"/>
        </w:tabs>
        <w:ind w:left="5040" w:hanging="360"/>
      </w:pPr>
    </w:lvl>
    <w:lvl w:ilvl="7" w:tplc="356611A2" w:tentative="1">
      <w:start w:val="1"/>
      <w:numFmt w:val="decimal"/>
      <w:lvlText w:val="%8."/>
      <w:lvlJc w:val="left"/>
      <w:pPr>
        <w:tabs>
          <w:tab w:val="num" w:pos="5760"/>
        </w:tabs>
        <w:ind w:left="5760" w:hanging="360"/>
      </w:pPr>
    </w:lvl>
    <w:lvl w:ilvl="8" w:tplc="C840EA6C" w:tentative="1">
      <w:start w:val="1"/>
      <w:numFmt w:val="decimal"/>
      <w:lvlText w:val="%9."/>
      <w:lvlJc w:val="left"/>
      <w:pPr>
        <w:tabs>
          <w:tab w:val="num" w:pos="6480"/>
        </w:tabs>
        <w:ind w:left="6480" w:hanging="360"/>
      </w:pPr>
    </w:lvl>
  </w:abstractNum>
  <w:abstractNum w:abstractNumId="539">
    <w:nsid w:val="4BC212D8"/>
    <w:multiLevelType w:val="multilevel"/>
    <w:tmpl w:val="54861DC8"/>
    <w:lvl w:ilvl="0">
      <w:start w:val="1"/>
      <w:numFmt w:val="decimal"/>
      <w:lvlText w:val="%1."/>
      <w:lvlJc w:val="left"/>
      <w:pPr>
        <w:ind w:left="720" w:hanging="360"/>
      </w:pPr>
    </w:lvl>
    <w:lvl w:ilvl="1">
      <w:start w:val="4"/>
      <w:numFmt w:val="decimal"/>
      <w:isLgl/>
      <w:lvlText w:val="%1.%2."/>
      <w:lvlJc w:val="left"/>
      <w:pPr>
        <w:ind w:left="1080" w:hanging="720"/>
      </w:pPr>
      <w:rPr>
        <w:rFonts w:hint="default"/>
      </w:rPr>
    </w:lvl>
    <w:lvl w:ilvl="2">
      <w:start w:val="1"/>
      <w:numFmt w:val="lowerLetter"/>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40">
    <w:nsid w:val="4BE73186"/>
    <w:multiLevelType w:val="hybridMultilevel"/>
    <w:tmpl w:val="8EB2CE64"/>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1">
    <w:nsid w:val="4BED18F6"/>
    <w:multiLevelType w:val="hybridMultilevel"/>
    <w:tmpl w:val="91CEFF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2">
    <w:nsid w:val="4BF77894"/>
    <w:multiLevelType w:val="hybridMultilevel"/>
    <w:tmpl w:val="44DAB87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3">
    <w:nsid w:val="4C1756F2"/>
    <w:multiLevelType w:val="multilevel"/>
    <w:tmpl w:val="F8D21F22"/>
    <w:lvl w:ilvl="0">
      <w:start w:val="3"/>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44">
    <w:nsid w:val="4C290809"/>
    <w:multiLevelType w:val="hybridMultilevel"/>
    <w:tmpl w:val="C314682A"/>
    <w:lvl w:ilvl="0" w:tplc="98A4393E">
      <w:start w:val="1"/>
      <w:numFmt w:val="bullet"/>
      <w:lvlText w:val=""/>
      <w:lvlJc w:val="left"/>
      <w:pPr>
        <w:ind w:left="720" w:hanging="360"/>
      </w:pPr>
      <w:rPr>
        <w:rFonts w:ascii="Wingdings" w:hAnsi="Wingdings" w:cs="Wingdings" w:hint="default"/>
        <w:color w:val="auto"/>
        <w:sz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5">
    <w:nsid w:val="4C3A003F"/>
    <w:multiLevelType w:val="hybridMultilevel"/>
    <w:tmpl w:val="DF684782"/>
    <w:lvl w:ilvl="0" w:tplc="21DE8A86">
      <w:start w:val="1"/>
      <w:numFmt w:val="bullet"/>
      <w:lvlText w:val=""/>
      <w:lvlJc w:val="left"/>
      <w:pPr>
        <w:ind w:left="720" w:hanging="360"/>
      </w:pPr>
      <w:rPr>
        <w:rFonts w:ascii="Wingdings" w:hAnsi="Wingdings" w:hint="default"/>
        <w:sz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6">
    <w:nsid w:val="4CAA5A37"/>
    <w:multiLevelType w:val="hybridMultilevel"/>
    <w:tmpl w:val="775C90BA"/>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7">
    <w:nsid w:val="4CCB3D22"/>
    <w:multiLevelType w:val="hybridMultilevel"/>
    <w:tmpl w:val="6AE06C5E"/>
    <w:lvl w:ilvl="0" w:tplc="6CA43014">
      <w:start w:val="1"/>
      <w:numFmt w:val="decimal"/>
      <w:lvlText w:val="%1."/>
      <w:lvlJc w:val="left"/>
      <w:pPr>
        <w:ind w:left="720" w:hanging="360"/>
      </w:pPr>
      <w:rPr>
        <w:rFonts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548">
    <w:nsid w:val="4CCF70BC"/>
    <w:multiLevelType w:val="multilevel"/>
    <w:tmpl w:val="76842F3E"/>
    <w:lvl w:ilvl="0">
      <w:start w:val="2"/>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49">
    <w:nsid w:val="4D0622B1"/>
    <w:multiLevelType w:val="hybridMultilevel"/>
    <w:tmpl w:val="0BA89488"/>
    <w:lvl w:ilvl="0" w:tplc="9D74E31A">
      <w:start w:val="1"/>
      <w:numFmt w:val="bullet"/>
      <w:lvlText w:val=""/>
      <w:lvlJc w:val="left"/>
      <w:pPr>
        <w:tabs>
          <w:tab w:val="num" w:pos="720"/>
        </w:tabs>
        <w:ind w:left="720" w:hanging="360"/>
      </w:pPr>
      <w:rPr>
        <w:rFonts w:ascii="Symbol" w:hAnsi="Symbol" w:hint="default"/>
        <w:sz w:val="20"/>
      </w:rPr>
    </w:lvl>
    <w:lvl w:ilvl="1" w:tplc="F2CE599C" w:tentative="1">
      <w:start w:val="1"/>
      <w:numFmt w:val="bullet"/>
      <w:lvlText w:val="o"/>
      <w:lvlJc w:val="left"/>
      <w:pPr>
        <w:tabs>
          <w:tab w:val="num" w:pos="1440"/>
        </w:tabs>
        <w:ind w:left="1440" w:hanging="360"/>
      </w:pPr>
      <w:rPr>
        <w:rFonts w:ascii="Courier New" w:hAnsi="Courier New" w:hint="default"/>
        <w:sz w:val="20"/>
      </w:rPr>
    </w:lvl>
    <w:lvl w:ilvl="2" w:tplc="18AA7754" w:tentative="1">
      <w:start w:val="1"/>
      <w:numFmt w:val="bullet"/>
      <w:lvlText w:val=""/>
      <w:lvlJc w:val="left"/>
      <w:pPr>
        <w:tabs>
          <w:tab w:val="num" w:pos="2160"/>
        </w:tabs>
        <w:ind w:left="2160" w:hanging="360"/>
      </w:pPr>
      <w:rPr>
        <w:rFonts w:ascii="Wingdings" w:hAnsi="Wingdings" w:hint="default"/>
        <w:sz w:val="20"/>
      </w:rPr>
    </w:lvl>
    <w:lvl w:ilvl="3" w:tplc="3CFE3DD4" w:tentative="1">
      <w:start w:val="1"/>
      <w:numFmt w:val="bullet"/>
      <w:lvlText w:val=""/>
      <w:lvlJc w:val="left"/>
      <w:pPr>
        <w:tabs>
          <w:tab w:val="num" w:pos="2880"/>
        </w:tabs>
        <w:ind w:left="2880" w:hanging="360"/>
      </w:pPr>
      <w:rPr>
        <w:rFonts w:ascii="Wingdings" w:hAnsi="Wingdings" w:hint="default"/>
        <w:sz w:val="20"/>
      </w:rPr>
    </w:lvl>
    <w:lvl w:ilvl="4" w:tplc="41AE0028" w:tentative="1">
      <w:start w:val="1"/>
      <w:numFmt w:val="bullet"/>
      <w:lvlText w:val=""/>
      <w:lvlJc w:val="left"/>
      <w:pPr>
        <w:tabs>
          <w:tab w:val="num" w:pos="3600"/>
        </w:tabs>
        <w:ind w:left="3600" w:hanging="360"/>
      </w:pPr>
      <w:rPr>
        <w:rFonts w:ascii="Wingdings" w:hAnsi="Wingdings" w:hint="default"/>
        <w:sz w:val="20"/>
      </w:rPr>
    </w:lvl>
    <w:lvl w:ilvl="5" w:tplc="50A64DEC" w:tentative="1">
      <w:start w:val="1"/>
      <w:numFmt w:val="bullet"/>
      <w:lvlText w:val=""/>
      <w:lvlJc w:val="left"/>
      <w:pPr>
        <w:tabs>
          <w:tab w:val="num" w:pos="4320"/>
        </w:tabs>
        <w:ind w:left="4320" w:hanging="360"/>
      </w:pPr>
      <w:rPr>
        <w:rFonts w:ascii="Wingdings" w:hAnsi="Wingdings" w:hint="default"/>
        <w:sz w:val="20"/>
      </w:rPr>
    </w:lvl>
    <w:lvl w:ilvl="6" w:tplc="B762D3BE" w:tentative="1">
      <w:start w:val="1"/>
      <w:numFmt w:val="bullet"/>
      <w:lvlText w:val=""/>
      <w:lvlJc w:val="left"/>
      <w:pPr>
        <w:tabs>
          <w:tab w:val="num" w:pos="5040"/>
        </w:tabs>
        <w:ind w:left="5040" w:hanging="360"/>
      </w:pPr>
      <w:rPr>
        <w:rFonts w:ascii="Wingdings" w:hAnsi="Wingdings" w:hint="default"/>
        <w:sz w:val="20"/>
      </w:rPr>
    </w:lvl>
    <w:lvl w:ilvl="7" w:tplc="C9881812" w:tentative="1">
      <w:start w:val="1"/>
      <w:numFmt w:val="bullet"/>
      <w:lvlText w:val=""/>
      <w:lvlJc w:val="left"/>
      <w:pPr>
        <w:tabs>
          <w:tab w:val="num" w:pos="5760"/>
        </w:tabs>
        <w:ind w:left="5760" w:hanging="360"/>
      </w:pPr>
      <w:rPr>
        <w:rFonts w:ascii="Wingdings" w:hAnsi="Wingdings" w:hint="default"/>
        <w:sz w:val="20"/>
      </w:rPr>
    </w:lvl>
    <w:lvl w:ilvl="8" w:tplc="C1A8D898" w:tentative="1">
      <w:start w:val="1"/>
      <w:numFmt w:val="bullet"/>
      <w:lvlText w:val=""/>
      <w:lvlJc w:val="left"/>
      <w:pPr>
        <w:tabs>
          <w:tab w:val="num" w:pos="6480"/>
        </w:tabs>
        <w:ind w:left="6480" w:hanging="360"/>
      </w:pPr>
      <w:rPr>
        <w:rFonts w:ascii="Wingdings" w:hAnsi="Wingdings" w:hint="default"/>
        <w:sz w:val="20"/>
      </w:rPr>
    </w:lvl>
  </w:abstractNum>
  <w:abstractNum w:abstractNumId="550">
    <w:nsid w:val="4DA8769C"/>
    <w:multiLevelType w:val="hybridMultilevel"/>
    <w:tmpl w:val="0BB43360"/>
    <w:lvl w:ilvl="0" w:tplc="37AC3778">
      <w:start w:val="1"/>
      <w:numFmt w:val="decimal"/>
      <w:lvlText w:val="%1."/>
      <w:lvlJc w:val="left"/>
      <w:pPr>
        <w:tabs>
          <w:tab w:val="num" w:pos="720"/>
        </w:tabs>
        <w:ind w:left="720" w:hanging="360"/>
      </w:pPr>
    </w:lvl>
    <w:lvl w:ilvl="1" w:tplc="48149970" w:tentative="1">
      <w:start w:val="1"/>
      <w:numFmt w:val="decimal"/>
      <w:lvlText w:val="%2."/>
      <w:lvlJc w:val="left"/>
      <w:pPr>
        <w:tabs>
          <w:tab w:val="num" w:pos="1440"/>
        </w:tabs>
        <w:ind w:left="1440" w:hanging="360"/>
      </w:pPr>
    </w:lvl>
    <w:lvl w:ilvl="2" w:tplc="089E0964" w:tentative="1">
      <w:start w:val="1"/>
      <w:numFmt w:val="decimal"/>
      <w:lvlText w:val="%3."/>
      <w:lvlJc w:val="left"/>
      <w:pPr>
        <w:tabs>
          <w:tab w:val="num" w:pos="2160"/>
        </w:tabs>
        <w:ind w:left="2160" w:hanging="360"/>
      </w:pPr>
    </w:lvl>
    <w:lvl w:ilvl="3" w:tplc="8F5431F2" w:tentative="1">
      <w:start w:val="1"/>
      <w:numFmt w:val="decimal"/>
      <w:lvlText w:val="%4."/>
      <w:lvlJc w:val="left"/>
      <w:pPr>
        <w:tabs>
          <w:tab w:val="num" w:pos="2880"/>
        </w:tabs>
        <w:ind w:left="2880" w:hanging="360"/>
      </w:pPr>
    </w:lvl>
    <w:lvl w:ilvl="4" w:tplc="74C2AF30" w:tentative="1">
      <w:start w:val="1"/>
      <w:numFmt w:val="decimal"/>
      <w:lvlText w:val="%5."/>
      <w:lvlJc w:val="left"/>
      <w:pPr>
        <w:tabs>
          <w:tab w:val="num" w:pos="3600"/>
        </w:tabs>
        <w:ind w:left="3600" w:hanging="360"/>
      </w:pPr>
    </w:lvl>
    <w:lvl w:ilvl="5" w:tplc="706ECB86" w:tentative="1">
      <w:start w:val="1"/>
      <w:numFmt w:val="decimal"/>
      <w:lvlText w:val="%6."/>
      <w:lvlJc w:val="left"/>
      <w:pPr>
        <w:tabs>
          <w:tab w:val="num" w:pos="4320"/>
        </w:tabs>
        <w:ind w:left="4320" w:hanging="360"/>
      </w:pPr>
    </w:lvl>
    <w:lvl w:ilvl="6" w:tplc="4AB0C04C" w:tentative="1">
      <w:start w:val="1"/>
      <w:numFmt w:val="decimal"/>
      <w:lvlText w:val="%7."/>
      <w:lvlJc w:val="left"/>
      <w:pPr>
        <w:tabs>
          <w:tab w:val="num" w:pos="5040"/>
        </w:tabs>
        <w:ind w:left="5040" w:hanging="360"/>
      </w:pPr>
    </w:lvl>
    <w:lvl w:ilvl="7" w:tplc="A9BE53F0" w:tentative="1">
      <w:start w:val="1"/>
      <w:numFmt w:val="decimal"/>
      <w:lvlText w:val="%8."/>
      <w:lvlJc w:val="left"/>
      <w:pPr>
        <w:tabs>
          <w:tab w:val="num" w:pos="5760"/>
        </w:tabs>
        <w:ind w:left="5760" w:hanging="360"/>
      </w:pPr>
    </w:lvl>
    <w:lvl w:ilvl="8" w:tplc="774AF30C" w:tentative="1">
      <w:start w:val="1"/>
      <w:numFmt w:val="decimal"/>
      <w:lvlText w:val="%9."/>
      <w:lvlJc w:val="left"/>
      <w:pPr>
        <w:tabs>
          <w:tab w:val="num" w:pos="6480"/>
        </w:tabs>
        <w:ind w:left="6480" w:hanging="360"/>
      </w:pPr>
    </w:lvl>
  </w:abstractNum>
  <w:abstractNum w:abstractNumId="551">
    <w:nsid w:val="4DB9656D"/>
    <w:multiLevelType w:val="hybridMultilevel"/>
    <w:tmpl w:val="1FD6B740"/>
    <w:name w:val="WW8Num21222222"/>
    <w:lvl w:ilvl="0" w:tplc="B782A39C">
      <w:start w:val="1"/>
      <w:numFmt w:val="decimal"/>
      <w:lvlText w:val="%1)"/>
      <w:lvlJc w:val="left"/>
      <w:pPr>
        <w:ind w:left="720" w:hanging="360"/>
      </w:pPr>
      <w:rPr>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2">
    <w:nsid w:val="4DC71381"/>
    <w:multiLevelType w:val="hybridMultilevel"/>
    <w:tmpl w:val="634CEB9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3">
    <w:nsid w:val="4DD5326B"/>
    <w:multiLevelType w:val="hybridMultilevel"/>
    <w:tmpl w:val="3D1E076C"/>
    <w:lvl w:ilvl="0" w:tplc="04150005">
      <w:start w:val="1"/>
      <w:numFmt w:val="bullet"/>
      <w:lvlText w:val=""/>
      <w:lvlJc w:val="left"/>
      <w:pPr>
        <w:tabs>
          <w:tab w:val="num" w:pos="720"/>
        </w:tabs>
        <w:ind w:left="720" w:hanging="360"/>
      </w:pPr>
      <w:rPr>
        <w:rFonts w:ascii="Wingdings" w:hAnsi="Wingdings" w:hint="default"/>
        <w:sz w:val="20"/>
      </w:rPr>
    </w:lvl>
    <w:lvl w:ilvl="1" w:tplc="E62E22A0" w:tentative="1">
      <w:start w:val="1"/>
      <w:numFmt w:val="bullet"/>
      <w:lvlText w:val="o"/>
      <w:lvlJc w:val="left"/>
      <w:pPr>
        <w:tabs>
          <w:tab w:val="num" w:pos="1440"/>
        </w:tabs>
        <w:ind w:left="1440" w:hanging="360"/>
      </w:pPr>
      <w:rPr>
        <w:rFonts w:ascii="Courier New" w:hAnsi="Courier New" w:hint="default"/>
        <w:sz w:val="20"/>
      </w:rPr>
    </w:lvl>
    <w:lvl w:ilvl="2" w:tplc="A120D556" w:tentative="1">
      <w:start w:val="1"/>
      <w:numFmt w:val="bullet"/>
      <w:lvlText w:val=""/>
      <w:lvlJc w:val="left"/>
      <w:pPr>
        <w:tabs>
          <w:tab w:val="num" w:pos="2160"/>
        </w:tabs>
        <w:ind w:left="2160" w:hanging="360"/>
      </w:pPr>
      <w:rPr>
        <w:rFonts w:ascii="Wingdings" w:hAnsi="Wingdings" w:hint="default"/>
        <w:sz w:val="20"/>
      </w:rPr>
    </w:lvl>
    <w:lvl w:ilvl="3" w:tplc="C8C2575C" w:tentative="1">
      <w:start w:val="1"/>
      <w:numFmt w:val="bullet"/>
      <w:lvlText w:val=""/>
      <w:lvlJc w:val="left"/>
      <w:pPr>
        <w:tabs>
          <w:tab w:val="num" w:pos="2880"/>
        </w:tabs>
        <w:ind w:left="2880" w:hanging="360"/>
      </w:pPr>
      <w:rPr>
        <w:rFonts w:ascii="Wingdings" w:hAnsi="Wingdings" w:hint="default"/>
        <w:sz w:val="20"/>
      </w:rPr>
    </w:lvl>
    <w:lvl w:ilvl="4" w:tplc="BFC8EE38" w:tentative="1">
      <w:start w:val="1"/>
      <w:numFmt w:val="bullet"/>
      <w:lvlText w:val=""/>
      <w:lvlJc w:val="left"/>
      <w:pPr>
        <w:tabs>
          <w:tab w:val="num" w:pos="3600"/>
        </w:tabs>
        <w:ind w:left="3600" w:hanging="360"/>
      </w:pPr>
      <w:rPr>
        <w:rFonts w:ascii="Wingdings" w:hAnsi="Wingdings" w:hint="default"/>
        <w:sz w:val="20"/>
      </w:rPr>
    </w:lvl>
    <w:lvl w:ilvl="5" w:tplc="5E04490A" w:tentative="1">
      <w:start w:val="1"/>
      <w:numFmt w:val="bullet"/>
      <w:lvlText w:val=""/>
      <w:lvlJc w:val="left"/>
      <w:pPr>
        <w:tabs>
          <w:tab w:val="num" w:pos="4320"/>
        </w:tabs>
        <w:ind w:left="4320" w:hanging="360"/>
      </w:pPr>
      <w:rPr>
        <w:rFonts w:ascii="Wingdings" w:hAnsi="Wingdings" w:hint="default"/>
        <w:sz w:val="20"/>
      </w:rPr>
    </w:lvl>
    <w:lvl w:ilvl="6" w:tplc="7A384868" w:tentative="1">
      <w:start w:val="1"/>
      <w:numFmt w:val="bullet"/>
      <w:lvlText w:val=""/>
      <w:lvlJc w:val="left"/>
      <w:pPr>
        <w:tabs>
          <w:tab w:val="num" w:pos="5040"/>
        </w:tabs>
        <w:ind w:left="5040" w:hanging="360"/>
      </w:pPr>
      <w:rPr>
        <w:rFonts w:ascii="Wingdings" w:hAnsi="Wingdings" w:hint="default"/>
        <w:sz w:val="20"/>
      </w:rPr>
    </w:lvl>
    <w:lvl w:ilvl="7" w:tplc="2BFA6B62" w:tentative="1">
      <w:start w:val="1"/>
      <w:numFmt w:val="bullet"/>
      <w:lvlText w:val=""/>
      <w:lvlJc w:val="left"/>
      <w:pPr>
        <w:tabs>
          <w:tab w:val="num" w:pos="5760"/>
        </w:tabs>
        <w:ind w:left="5760" w:hanging="360"/>
      </w:pPr>
      <w:rPr>
        <w:rFonts w:ascii="Wingdings" w:hAnsi="Wingdings" w:hint="default"/>
        <w:sz w:val="20"/>
      </w:rPr>
    </w:lvl>
    <w:lvl w:ilvl="8" w:tplc="F550A256" w:tentative="1">
      <w:start w:val="1"/>
      <w:numFmt w:val="bullet"/>
      <w:lvlText w:val=""/>
      <w:lvlJc w:val="left"/>
      <w:pPr>
        <w:tabs>
          <w:tab w:val="num" w:pos="6480"/>
        </w:tabs>
        <w:ind w:left="6480" w:hanging="360"/>
      </w:pPr>
      <w:rPr>
        <w:rFonts w:ascii="Wingdings" w:hAnsi="Wingdings" w:hint="default"/>
        <w:sz w:val="20"/>
      </w:rPr>
    </w:lvl>
  </w:abstractNum>
  <w:abstractNum w:abstractNumId="554">
    <w:nsid w:val="4DD93BE0"/>
    <w:multiLevelType w:val="hybridMultilevel"/>
    <w:tmpl w:val="5FDE487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5">
    <w:nsid w:val="4DDC32F1"/>
    <w:multiLevelType w:val="hybridMultilevel"/>
    <w:tmpl w:val="94F87CDC"/>
    <w:lvl w:ilvl="0" w:tplc="815E8450">
      <w:start w:val="1"/>
      <w:numFmt w:val="bullet"/>
      <w:lvlText w:val=""/>
      <w:lvlJc w:val="left"/>
      <w:pPr>
        <w:tabs>
          <w:tab w:val="num" w:pos="1440"/>
        </w:tabs>
        <w:ind w:left="1440" w:hanging="360"/>
      </w:pPr>
      <w:rPr>
        <w:rFonts w:ascii="Wingdings" w:hAnsi="Wingdings" w:cs="Wingdings" w:hint="default"/>
        <w:color w:val="auto"/>
        <w:sz w:val="20"/>
      </w:rPr>
    </w:lvl>
    <w:lvl w:ilvl="1" w:tplc="04150017" w:tentative="1">
      <w:start w:val="1"/>
      <w:numFmt w:val="bullet"/>
      <w:lvlText w:val="o"/>
      <w:lvlJc w:val="left"/>
      <w:pPr>
        <w:tabs>
          <w:tab w:val="num" w:pos="1440"/>
        </w:tabs>
        <w:ind w:left="1440" w:hanging="360"/>
      </w:pPr>
      <w:rPr>
        <w:rFonts w:ascii="Courier New" w:hAnsi="Courier New" w:hint="default"/>
      </w:rPr>
    </w:lvl>
    <w:lvl w:ilvl="2" w:tplc="0415001B" w:tentative="1">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556">
    <w:nsid w:val="4DFF0416"/>
    <w:multiLevelType w:val="hybridMultilevel"/>
    <w:tmpl w:val="1F3E1752"/>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7">
    <w:nsid w:val="4E4571D1"/>
    <w:multiLevelType w:val="hybridMultilevel"/>
    <w:tmpl w:val="4B323F6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8">
    <w:nsid w:val="4E5838DB"/>
    <w:multiLevelType w:val="hybridMultilevel"/>
    <w:tmpl w:val="E8A82362"/>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9">
    <w:nsid w:val="4E6B1621"/>
    <w:multiLevelType w:val="hybridMultilevel"/>
    <w:tmpl w:val="C1348BB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0">
    <w:nsid w:val="4E721E4F"/>
    <w:multiLevelType w:val="hybridMultilevel"/>
    <w:tmpl w:val="5A54A582"/>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1">
    <w:nsid w:val="4E7E7E10"/>
    <w:multiLevelType w:val="hybridMultilevel"/>
    <w:tmpl w:val="4FE0A8BA"/>
    <w:lvl w:ilvl="0" w:tplc="5336CA88">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562">
    <w:nsid w:val="4EAF5A0D"/>
    <w:multiLevelType w:val="hybridMultilevel"/>
    <w:tmpl w:val="D21C047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3">
    <w:nsid w:val="4EC936D1"/>
    <w:multiLevelType w:val="hybridMultilevel"/>
    <w:tmpl w:val="640C9FFE"/>
    <w:lvl w:ilvl="0" w:tplc="6CA43014">
      <w:start w:val="16"/>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4">
    <w:nsid w:val="4ECC39CD"/>
    <w:multiLevelType w:val="hybridMultilevel"/>
    <w:tmpl w:val="350A3676"/>
    <w:lvl w:ilvl="0" w:tplc="A12EE3B6">
      <w:start w:val="1"/>
      <w:numFmt w:val="decimal"/>
      <w:lvlText w:val="%1."/>
      <w:lvlJc w:val="left"/>
      <w:pPr>
        <w:tabs>
          <w:tab w:val="num" w:pos="720"/>
        </w:tabs>
        <w:ind w:left="720" w:hanging="360"/>
      </w:pPr>
    </w:lvl>
    <w:lvl w:ilvl="1" w:tplc="481CAF9E" w:tentative="1">
      <w:start w:val="1"/>
      <w:numFmt w:val="decimal"/>
      <w:lvlText w:val="%2."/>
      <w:lvlJc w:val="left"/>
      <w:pPr>
        <w:tabs>
          <w:tab w:val="num" w:pos="1440"/>
        </w:tabs>
        <w:ind w:left="1440" w:hanging="360"/>
      </w:pPr>
    </w:lvl>
    <w:lvl w:ilvl="2" w:tplc="F2961780" w:tentative="1">
      <w:start w:val="1"/>
      <w:numFmt w:val="decimal"/>
      <w:lvlText w:val="%3."/>
      <w:lvlJc w:val="left"/>
      <w:pPr>
        <w:tabs>
          <w:tab w:val="num" w:pos="2160"/>
        </w:tabs>
        <w:ind w:left="2160" w:hanging="360"/>
      </w:pPr>
    </w:lvl>
    <w:lvl w:ilvl="3" w:tplc="080C38BC" w:tentative="1">
      <w:start w:val="1"/>
      <w:numFmt w:val="decimal"/>
      <w:lvlText w:val="%4."/>
      <w:lvlJc w:val="left"/>
      <w:pPr>
        <w:tabs>
          <w:tab w:val="num" w:pos="2880"/>
        </w:tabs>
        <w:ind w:left="2880" w:hanging="360"/>
      </w:pPr>
    </w:lvl>
    <w:lvl w:ilvl="4" w:tplc="DCB8259E" w:tentative="1">
      <w:start w:val="1"/>
      <w:numFmt w:val="decimal"/>
      <w:lvlText w:val="%5."/>
      <w:lvlJc w:val="left"/>
      <w:pPr>
        <w:tabs>
          <w:tab w:val="num" w:pos="3600"/>
        </w:tabs>
        <w:ind w:left="3600" w:hanging="360"/>
      </w:pPr>
    </w:lvl>
    <w:lvl w:ilvl="5" w:tplc="6A0A8090" w:tentative="1">
      <w:start w:val="1"/>
      <w:numFmt w:val="decimal"/>
      <w:lvlText w:val="%6."/>
      <w:lvlJc w:val="left"/>
      <w:pPr>
        <w:tabs>
          <w:tab w:val="num" w:pos="4320"/>
        </w:tabs>
        <w:ind w:left="4320" w:hanging="360"/>
      </w:pPr>
    </w:lvl>
    <w:lvl w:ilvl="6" w:tplc="B63A5858" w:tentative="1">
      <w:start w:val="1"/>
      <w:numFmt w:val="decimal"/>
      <w:lvlText w:val="%7."/>
      <w:lvlJc w:val="left"/>
      <w:pPr>
        <w:tabs>
          <w:tab w:val="num" w:pos="5040"/>
        </w:tabs>
        <w:ind w:left="5040" w:hanging="360"/>
      </w:pPr>
    </w:lvl>
    <w:lvl w:ilvl="7" w:tplc="981A8C06" w:tentative="1">
      <w:start w:val="1"/>
      <w:numFmt w:val="decimal"/>
      <w:lvlText w:val="%8."/>
      <w:lvlJc w:val="left"/>
      <w:pPr>
        <w:tabs>
          <w:tab w:val="num" w:pos="5760"/>
        </w:tabs>
        <w:ind w:left="5760" w:hanging="360"/>
      </w:pPr>
    </w:lvl>
    <w:lvl w:ilvl="8" w:tplc="507037CC" w:tentative="1">
      <w:start w:val="1"/>
      <w:numFmt w:val="decimal"/>
      <w:lvlText w:val="%9."/>
      <w:lvlJc w:val="left"/>
      <w:pPr>
        <w:tabs>
          <w:tab w:val="num" w:pos="6480"/>
        </w:tabs>
        <w:ind w:left="6480" w:hanging="360"/>
      </w:pPr>
    </w:lvl>
  </w:abstractNum>
  <w:abstractNum w:abstractNumId="565">
    <w:nsid w:val="4F763ABF"/>
    <w:multiLevelType w:val="hybridMultilevel"/>
    <w:tmpl w:val="C102DBC0"/>
    <w:lvl w:ilvl="0" w:tplc="228CCB22">
      <w:start w:val="1"/>
      <w:numFmt w:val="bullet"/>
      <w:lvlText w:val=""/>
      <w:lvlJc w:val="left"/>
      <w:pPr>
        <w:ind w:left="720" w:hanging="360"/>
      </w:pPr>
      <w:rPr>
        <w:rFonts w:ascii="Wingdings" w:hAnsi="Wingdings" w:cs="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6">
    <w:nsid w:val="4FA24504"/>
    <w:multiLevelType w:val="multilevel"/>
    <w:tmpl w:val="4B986470"/>
    <w:lvl w:ilvl="0">
      <w:start w:val="2"/>
      <w:numFmt w:val="decimal"/>
      <w:lvlText w:val="%1."/>
      <w:lvlJc w:val="left"/>
      <w:pPr>
        <w:ind w:left="630" w:hanging="630"/>
      </w:pPr>
      <w:rPr>
        <w:rFonts w:hint="default"/>
      </w:rPr>
    </w:lvl>
    <w:lvl w:ilvl="1">
      <w:start w:val="3"/>
      <w:numFmt w:val="decimal"/>
      <w:lvlText w:val="%1.%2."/>
      <w:lvlJc w:val="left"/>
      <w:pPr>
        <w:ind w:left="720" w:hanging="720"/>
      </w:pPr>
      <w:rPr>
        <w:rFonts w:hint="default"/>
      </w:rPr>
    </w:lvl>
    <w:lvl w:ilvl="2">
      <w:start w:val="5"/>
      <w:numFmt w:val="decimal"/>
      <w:lvlText w:val="%1.%2.%3."/>
      <w:lvlJc w:val="left"/>
      <w:pPr>
        <w:ind w:left="720" w:hanging="720"/>
      </w:pPr>
      <w:rPr>
        <w:rFonts w:hint="default"/>
        <w:color w:val="3366FF"/>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67">
    <w:nsid w:val="4FA64A52"/>
    <w:multiLevelType w:val="hybridMultilevel"/>
    <w:tmpl w:val="C344C494"/>
    <w:lvl w:ilvl="0" w:tplc="04150005">
      <w:start w:val="1"/>
      <w:numFmt w:val="bullet"/>
      <w:lvlText w:val=""/>
      <w:lvlJc w:val="left"/>
      <w:pPr>
        <w:ind w:left="765" w:hanging="360"/>
      </w:pPr>
      <w:rPr>
        <w:rFonts w:ascii="Wingdings" w:hAnsi="Wingdings"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568">
    <w:nsid w:val="4FD56087"/>
    <w:multiLevelType w:val="hybridMultilevel"/>
    <w:tmpl w:val="B36E1122"/>
    <w:lvl w:ilvl="0" w:tplc="CA7ECB8A">
      <w:start w:val="1"/>
      <w:numFmt w:val="upperRoman"/>
      <w:lvlText w:val="%1."/>
      <w:lvlJc w:val="right"/>
      <w:pPr>
        <w:tabs>
          <w:tab w:val="num" w:pos="720"/>
        </w:tabs>
        <w:ind w:left="720" w:hanging="360"/>
      </w:pPr>
    </w:lvl>
    <w:lvl w:ilvl="1" w:tplc="0D3048D6" w:tentative="1">
      <w:start w:val="1"/>
      <w:numFmt w:val="upperRoman"/>
      <w:lvlText w:val="%2."/>
      <w:lvlJc w:val="right"/>
      <w:pPr>
        <w:tabs>
          <w:tab w:val="num" w:pos="1440"/>
        </w:tabs>
        <w:ind w:left="1440" w:hanging="360"/>
      </w:pPr>
    </w:lvl>
    <w:lvl w:ilvl="2" w:tplc="BD282F52" w:tentative="1">
      <w:start w:val="1"/>
      <w:numFmt w:val="upperRoman"/>
      <w:lvlText w:val="%3."/>
      <w:lvlJc w:val="right"/>
      <w:pPr>
        <w:tabs>
          <w:tab w:val="num" w:pos="2160"/>
        </w:tabs>
        <w:ind w:left="2160" w:hanging="360"/>
      </w:pPr>
    </w:lvl>
    <w:lvl w:ilvl="3" w:tplc="ABDCCD10" w:tentative="1">
      <w:start w:val="1"/>
      <w:numFmt w:val="upperRoman"/>
      <w:lvlText w:val="%4."/>
      <w:lvlJc w:val="right"/>
      <w:pPr>
        <w:tabs>
          <w:tab w:val="num" w:pos="2880"/>
        </w:tabs>
        <w:ind w:left="2880" w:hanging="360"/>
      </w:pPr>
    </w:lvl>
    <w:lvl w:ilvl="4" w:tplc="7116BB5E" w:tentative="1">
      <w:start w:val="1"/>
      <w:numFmt w:val="upperRoman"/>
      <w:lvlText w:val="%5."/>
      <w:lvlJc w:val="right"/>
      <w:pPr>
        <w:tabs>
          <w:tab w:val="num" w:pos="3600"/>
        </w:tabs>
        <w:ind w:left="3600" w:hanging="360"/>
      </w:pPr>
    </w:lvl>
    <w:lvl w:ilvl="5" w:tplc="7A78D818" w:tentative="1">
      <w:start w:val="1"/>
      <w:numFmt w:val="upperRoman"/>
      <w:lvlText w:val="%6."/>
      <w:lvlJc w:val="right"/>
      <w:pPr>
        <w:tabs>
          <w:tab w:val="num" w:pos="4320"/>
        </w:tabs>
        <w:ind w:left="4320" w:hanging="360"/>
      </w:pPr>
    </w:lvl>
    <w:lvl w:ilvl="6" w:tplc="A3A6BE58" w:tentative="1">
      <w:start w:val="1"/>
      <w:numFmt w:val="upperRoman"/>
      <w:lvlText w:val="%7."/>
      <w:lvlJc w:val="right"/>
      <w:pPr>
        <w:tabs>
          <w:tab w:val="num" w:pos="5040"/>
        </w:tabs>
        <w:ind w:left="5040" w:hanging="360"/>
      </w:pPr>
    </w:lvl>
    <w:lvl w:ilvl="7" w:tplc="A926867C" w:tentative="1">
      <w:start w:val="1"/>
      <w:numFmt w:val="upperRoman"/>
      <w:lvlText w:val="%8."/>
      <w:lvlJc w:val="right"/>
      <w:pPr>
        <w:tabs>
          <w:tab w:val="num" w:pos="5760"/>
        </w:tabs>
        <w:ind w:left="5760" w:hanging="360"/>
      </w:pPr>
    </w:lvl>
    <w:lvl w:ilvl="8" w:tplc="A808CECC" w:tentative="1">
      <w:start w:val="1"/>
      <w:numFmt w:val="upperRoman"/>
      <w:lvlText w:val="%9."/>
      <w:lvlJc w:val="right"/>
      <w:pPr>
        <w:tabs>
          <w:tab w:val="num" w:pos="6480"/>
        </w:tabs>
        <w:ind w:left="6480" w:hanging="360"/>
      </w:pPr>
    </w:lvl>
  </w:abstractNum>
  <w:abstractNum w:abstractNumId="569">
    <w:nsid w:val="4FEA0036"/>
    <w:multiLevelType w:val="hybridMultilevel"/>
    <w:tmpl w:val="AB9036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0">
    <w:nsid w:val="507323DC"/>
    <w:multiLevelType w:val="hybridMultilevel"/>
    <w:tmpl w:val="B85C21C6"/>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71">
    <w:nsid w:val="50D53E5F"/>
    <w:multiLevelType w:val="multilevel"/>
    <w:tmpl w:val="516616DE"/>
    <w:lvl w:ilvl="0">
      <w:start w:val="1"/>
      <w:numFmt w:val="lowerLetter"/>
      <w:lvlText w:val="%1)"/>
      <w:lvlJc w:val="left"/>
      <w:pPr>
        <w:ind w:left="360" w:hanging="360"/>
      </w:pPr>
      <w:rPr>
        <w:rFonts w:hint="default"/>
        <w:b/>
      </w:rPr>
    </w:lvl>
    <w:lvl w:ilvl="1">
      <w:start w:val="37"/>
      <w:numFmt w:val="bullet"/>
      <w:lvlText w:val="-"/>
      <w:lvlJc w:val="left"/>
      <w:pPr>
        <w:ind w:left="360" w:hanging="360"/>
      </w:pPr>
      <w:rPr>
        <w:rFonts w:ascii="Times New Roman" w:eastAsia="Times New Roman" w:hAnsi="Times New Roman" w:cs="Times New Roman"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72">
    <w:nsid w:val="50D95543"/>
    <w:multiLevelType w:val="hybridMultilevel"/>
    <w:tmpl w:val="4B06A15A"/>
    <w:lvl w:ilvl="0" w:tplc="9BB8768A">
      <w:start w:val="1"/>
      <w:numFmt w:val="decimal"/>
      <w:lvlText w:val="%1."/>
      <w:lvlJc w:val="left"/>
      <w:pPr>
        <w:tabs>
          <w:tab w:val="num" w:pos="720"/>
        </w:tabs>
        <w:ind w:left="720" w:hanging="360"/>
      </w:pPr>
    </w:lvl>
    <w:lvl w:ilvl="1" w:tplc="F8BE29BA" w:tentative="1">
      <w:start w:val="1"/>
      <w:numFmt w:val="decimal"/>
      <w:lvlText w:val="%2."/>
      <w:lvlJc w:val="left"/>
      <w:pPr>
        <w:tabs>
          <w:tab w:val="num" w:pos="1440"/>
        </w:tabs>
        <w:ind w:left="1440" w:hanging="360"/>
      </w:pPr>
    </w:lvl>
    <w:lvl w:ilvl="2" w:tplc="476A37FC" w:tentative="1">
      <w:start w:val="1"/>
      <w:numFmt w:val="decimal"/>
      <w:lvlText w:val="%3."/>
      <w:lvlJc w:val="left"/>
      <w:pPr>
        <w:tabs>
          <w:tab w:val="num" w:pos="2160"/>
        </w:tabs>
        <w:ind w:left="2160" w:hanging="360"/>
      </w:pPr>
    </w:lvl>
    <w:lvl w:ilvl="3" w:tplc="2F2AC7EA" w:tentative="1">
      <w:start w:val="1"/>
      <w:numFmt w:val="decimal"/>
      <w:lvlText w:val="%4."/>
      <w:lvlJc w:val="left"/>
      <w:pPr>
        <w:tabs>
          <w:tab w:val="num" w:pos="2880"/>
        </w:tabs>
        <w:ind w:left="2880" w:hanging="360"/>
      </w:pPr>
    </w:lvl>
    <w:lvl w:ilvl="4" w:tplc="DEAE3610" w:tentative="1">
      <w:start w:val="1"/>
      <w:numFmt w:val="decimal"/>
      <w:lvlText w:val="%5."/>
      <w:lvlJc w:val="left"/>
      <w:pPr>
        <w:tabs>
          <w:tab w:val="num" w:pos="3600"/>
        </w:tabs>
        <w:ind w:left="3600" w:hanging="360"/>
      </w:pPr>
    </w:lvl>
    <w:lvl w:ilvl="5" w:tplc="636EDE10" w:tentative="1">
      <w:start w:val="1"/>
      <w:numFmt w:val="decimal"/>
      <w:lvlText w:val="%6."/>
      <w:lvlJc w:val="left"/>
      <w:pPr>
        <w:tabs>
          <w:tab w:val="num" w:pos="4320"/>
        </w:tabs>
        <w:ind w:left="4320" w:hanging="360"/>
      </w:pPr>
    </w:lvl>
    <w:lvl w:ilvl="6" w:tplc="8D347E6A" w:tentative="1">
      <w:start w:val="1"/>
      <w:numFmt w:val="decimal"/>
      <w:lvlText w:val="%7."/>
      <w:lvlJc w:val="left"/>
      <w:pPr>
        <w:tabs>
          <w:tab w:val="num" w:pos="5040"/>
        </w:tabs>
        <w:ind w:left="5040" w:hanging="360"/>
      </w:pPr>
    </w:lvl>
    <w:lvl w:ilvl="7" w:tplc="2432F0F4" w:tentative="1">
      <w:start w:val="1"/>
      <w:numFmt w:val="decimal"/>
      <w:lvlText w:val="%8."/>
      <w:lvlJc w:val="left"/>
      <w:pPr>
        <w:tabs>
          <w:tab w:val="num" w:pos="5760"/>
        </w:tabs>
        <w:ind w:left="5760" w:hanging="360"/>
      </w:pPr>
    </w:lvl>
    <w:lvl w:ilvl="8" w:tplc="73F4F26C" w:tentative="1">
      <w:start w:val="1"/>
      <w:numFmt w:val="decimal"/>
      <w:lvlText w:val="%9."/>
      <w:lvlJc w:val="left"/>
      <w:pPr>
        <w:tabs>
          <w:tab w:val="num" w:pos="6480"/>
        </w:tabs>
        <w:ind w:left="6480" w:hanging="360"/>
      </w:pPr>
    </w:lvl>
  </w:abstractNum>
  <w:abstractNum w:abstractNumId="573">
    <w:nsid w:val="510034D1"/>
    <w:multiLevelType w:val="hybridMultilevel"/>
    <w:tmpl w:val="19B2043E"/>
    <w:lvl w:ilvl="0" w:tplc="AC9A0132">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4">
    <w:nsid w:val="5106287E"/>
    <w:multiLevelType w:val="hybridMultilevel"/>
    <w:tmpl w:val="64A0CEB8"/>
    <w:lvl w:ilvl="0" w:tplc="D6A656B6">
      <w:numFmt w:val="bullet"/>
      <w:lvlText w:val="-"/>
      <w:lvlJc w:val="left"/>
      <w:pPr>
        <w:ind w:left="1068" w:hanging="360"/>
      </w:pPr>
      <w:rPr>
        <w:rFonts w:ascii="Times New Roman" w:eastAsia="Times New Roman" w:hAnsi="Times New Roman" w:cs="Times New Roman"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575">
    <w:nsid w:val="5119691B"/>
    <w:multiLevelType w:val="hybridMultilevel"/>
    <w:tmpl w:val="16B8EF30"/>
    <w:lvl w:ilvl="0" w:tplc="9E78F894">
      <w:start w:val="1"/>
      <w:numFmt w:val="bullet"/>
      <w:lvlText w:val=""/>
      <w:lvlJc w:val="left"/>
      <w:pPr>
        <w:tabs>
          <w:tab w:val="num" w:pos="720"/>
        </w:tabs>
        <w:ind w:left="720" w:hanging="360"/>
      </w:pPr>
      <w:rPr>
        <w:rFonts w:ascii="Symbol" w:hAnsi="Symbol" w:hint="default"/>
        <w:sz w:val="20"/>
      </w:rPr>
    </w:lvl>
    <w:lvl w:ilvl="1" w:tplc="E3A6EA40" w:tentative="1">
      <w:start w:val="1"/>
      <w:numFmt w:val="bullet"/>
      <w:lvlText w:val="o"/>
      <w:lvlJc w:val="left"/>
      <w:pPr>
        <w:tabs>
          <w:tab w:val="num" w:pos="1440"/>
        </w:tabs>
        <w:ind w:left="1440" w:hanging="360"/>
      </w:pPr>
      <w:rPr>
        <w:rFonts w:ascii="Courier New" w:hAnsi="Courier New" w:hint="default"/>
        <w:sz w:val="20"/>
      </w:rPr>
    </w:lvl>
    <w:lvl w:ilvl="2" w:tplc="1E38AF48" w:tentative="1">
      <w:start w:val="1"/>
      <w:numFmt w:val="bullet"/>
      <w:lvlText w:val=""/>
      <w:lvlJc w:val="left"/>
      <w:pPr>
        <w:tabs>
          <w:tab w:val="num" w:pos="2160"/>
        </w:tabs>
        <w:ind w:left="2160" w:hanging="360"/>
      </w:pPr>
      <w:rPr>
        <w:rFonts w:ascii="Wingdings" w:hAnsi="Wingdings" w:hint="default"/>
        <w:sz w:val="20"/>
      </w:rPr>
    </w:lvl>
    <w:lvl w:ilvl="3" w:tplc="10D2C6FC" w:tentative="1">
      <w:start w:val="1"/>
      <w:numFmt w:val="bullet"/>
      <w:lvlText w:val=""/>
      <w:lvlJc w:val="left"/>
      <w:pPr>
        <w:tabs>
          <w:tab w:val="num" w:pos="2880"/>
        </w:tabs>
        <w:ind w:left="2880" w:hanging="360"/>
      </w:pPr>
      <w:rPr>
        <w:rFonts w:ascii="Wingdings" w:hAnsi="Wingdings" w:hint="default"/>
        <w:sz w:val="20"/>
      </w:rPr>
    </w:lvl>
    <w:lvl w:ilvl="4" w:tplc="2D50A6CC" w:tentative="1">
      <w:start w:val="1"/>
      <w:numFmt w:val="bullet"/>
      <w:lvlText w:val=""/>
      <w:lvlJc w:val="left"/>
      <w:pPr>
        <w:tabs>
          <w:tab w:val="num" w:pos="3600"/>
        </w:tabs>
        <w:ind w:left="3600" w:hanging="360"/>
      </w:pPr>
      <w:rPr>
        <w:rFonts w:ascii="Wingdings" w:hAnsi="Wingdings" w:hint="default"/>
        <w:sz w:val="20"/>
      </w:rPr>
    </w:lvl>
    <w:lvl w:ilvl="5" w:tplc="71622418" w:tentative="1">
      <w:start w:val="1"/>
      <w:numFmt w:val="bullet"/>
      <w:lvlText w:val=""/>
      <w:lvlJc w:val="left"/>
      <w:pPr>
        <w:tabs>
          <w:tab w:val="num" w:pos="4320"/>
        </w:tabs>
        <w:ind w:left="4320" w:hanging="360"/>
      </w:pPr>
      <w:rPr>
        <w:rFonts w:ascii="Wingdings" w:hAnsi="Wingdings" w:hint="default"/>
        <w:sz w:val="20"/>
      </w:rPr>
    </w:lvl>
    <w:lvl w:ilvl="6" w:tplc="1D3CD466" w:tentative="1">
      <w:start w:val="1"/>
      <w:numFmt w:val="bullet"/>
      <w:lvlText w:val=""/>
      <w:lvlJc w:val="left"/>
      <w:pPr>
        <w:tabs>
          <w:tab w:val="num" w:pos="5040"/>
        </w:tabs>
        <w:ind w:left="5040" w:hanging="360"/>
      </w:pPr>
      <w:rPr>
        <w:rFonts w:ascii="Wingdings" w:hAnsi="Wingdings" w:hint="default"/>
        <w:sz w:val="20"/>
      </w:rPr>
    </w:lvl>
    <w:lvl w:ilvl="7" w:tplc="DE9C9D8E" w:tentative="1">
      <w:start w:val="1"/>
      <w:numFmt w:val="bullet"/>
      <w:lvlText w:val=""/>
      <w:lvlJc w:val="left"/>
      <w:pPr>
        <w:tabs>
          <w:tab w:val="num" w:pos="5760"/>
        </w:tabs>
        <w:ind w:left="5760" w:hanging="360"/>
      </w:pPr>
      <w:rPr>
        <w:rFonts w:ascii="Wingdings" w:hAnsi="Wingdings" w:hint="default"/>
        <w:sz w:val="20"/>
      </w:rPr>
    </w:lvl>
    <w:lvl w:ilvl="8" w:tplc="D7F69A3C" w:tentative="1">
      <w:start w:val="1"/>
      <w:numFmt w:val="bullet"/>
      <w:lvlText w:val=""/>
      <w:lvlJc w:val="left"/>
      <w:pPr>
        <w:tabs>
          <w:tab w:val="num" w:pos="6480"/>
        </w:tabs>
        <w:ind w:left="6480" w:hanging="360"/>
      </w:pPr>
      <w:rPr>
        <w:rFonts w:ascii="Wingdings" w:hAnsi="Wingdings" w:hint="default"/>
        <w:sz w:val="20"/>
      </w:rPr>
    </w:lvl>
  </w:abstractNum>
  <w:abstractNum w:abstractNumId="576">
    <w:nsid w:val="5124111F"/>
    <w:multiLevelType w:val="hybridMultilevel"/>
    <w:tmpl w:val="609E0AD6"/>
    <w:lvl w:ilvl="0" w:tplc="0330C9AC">
      <w:start w:val="1"/>
      <w:numFmt w:val="bullet"/>
      <w:lvlText w:val=""/>
      <w:lvlJc w:val="left"/>
      <w:pPr>
        <w:tabs>
          <w:tab w:val="num" w:pos="720"/>
        </w:tabs>
        <w:ind w:left="720" w:hanging="360"/>
      </w:pPr>
      <w:rPr>
        <w:rFonts w:ascii="Wingdings" w:hAnsi="Wingdings" w:cs="Wingdings" w:hint="default"/>
        <w:color w:val="auto"/>
        <w:sz w:val="20"/>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577">
    <w:nsid w:val="5158582C"/>
    <w:multiLevelType w:val="multilevel"/>
    <w:tmpl w:val="00000015"/>
    <w:lvl w:ilvl="0">
      <w:start w:val="1"/>
      <w:numFmt w:val="decimal"/>
      <w:lvlText w:val="%1."/>
      <w:lvlJc w:val="left"/>
      <w:pPr>
        <w:tabs>
          <w:tab w:val="num" w:pos="0"/>
        </w:tabs>
        <w:ind w:left="360" w:hanging="360"/>
      </w:pPr>
      <w:rPr>
        <w:rFonts w:ascii="Times New Roman" w:hAnsi="Times New Roman" w:cs="Times New Roman" w:hint="default"/>
        <w:sz w:val="20"/>
      </w:rPr>
    </w:lvl>
    <w:lvl w:ilvl="1">
      <w:start w:val="1"/>
      <w:numFmt w:val="decimal"/>
      <w:lvlText w:val="%1.%2."/>
      <w:lvlJc w:val="left"/>
      <w:pPr>
        <w:tabs>
          <w:tab w:val="num" w:pos="0"/>
        </w:tabs>
        <w:ind w:left="792" w:hanging="432"/>
      </w:pPr>
      <w:rPr>
        <w:rFonts w:ascii="Times New Roman" w:hAnsi="Times New Roman" w:cs="Times New Roman" w:hint="default"/>
        <w:sz w:val="20"/>
        <w:szCs w:val="22"/>
      </w:rPr>
    </w:lvl>
    <w:lvl w:ilvl="2">
      <w:start w:val="1"/>
      <w:numFmt w:val="decimal"/>
      <w:lvlText w:val="%1.%2.%3."/>
      <w:lvlJc w:val="left"/>
      <w:pPr>
        <w:tabs>
          <w:tab w:val="num" w:pos="0"/>
        </w:tabs>
        <w:ind w:left="1224" w:hanging="504"/>
      </w:pPr>
      <w:rPr>
        <w:rFonts w:ascii="Times New Roman" w:hAnsi="Times New Roman" w:cs="Times New Roman" w:hint="default"/>
        <w:sz w:val="20"/>
        <w:szCs w:val="22"/>
      </w:rPr>
    </w:lvl>
    <w:lvl w:ilvl="3">
      <w:start w:val="1"/>
      <w:numFmt w:val="decimal"/>
      <w:lvlText w:val="%1.%2.%3.%4."/>
      <w:lvlJc w:val="left"/>
      <w:pPr>
        <w:tabs>
          <w:tab w:val="num" w:pos="0"/>
        </w:tabs>
        <w:ind w:left="1728" w:hanging="648"/>
      </w:pPr>
      <w:rPr>
        <w:rFonts w:ascii="Times New Roman" w:hAnsi="Times New Roman" w:cs="Times New Roman" w:hint="default"/>
        <w:sz w:val="20"/>
        <w:szCs w:val="22"/>
      </w:rPr>
    </w:lvl>
    <w:lvl w:ilvl="4">
      <w:start w:val="1"/>
      <w:numFmt w:val="decimal"/>
      <w:lvlText w:val="%1.%2.%3.%4.%5."/>
      <w:lvlJc w:val="left"/>
      <w:pPr>
        <w:tabs>
          <w:tab w:val="num" w:pos="0"/>
        </w:tabs>
        <w:ind w:left="2232" w:hanging="792"/>
      </w:pPr>
      <w:rPr>
        <w:rFonts w:ascii="Times New Roman" w:hAnsi="Times New Roman" w:cs="Times New Roman" w:hint="default"/>
        <w:sz w:val="20"/>
        <w:szCs w:val="22"/>
      </w:rPr>
    </w:lvl>
    <w:lvl w:ilvl="5">
      <w:start w:val="1"/>
      <w:numFmt w:val="decimal"/>
      <w:lvlText w:val="%1.%2.%3.%4.%5.%6."/>
      <w:lvlJc w:val="left"/>
      <w:pPr>
        <w:tabs>
          <w:tab w:val="num" w:pos="0"/>
        </w:tabs>
        <w:ind w:left="2736" w:hanging="936"/>
      </w:pPr>
      <w:rPr>
        <w:rFonts w:ascii="Times New Roman" w:hAnsi="Times New Roman" w:cs="Times New Roman" w:hint="default"/>
        <w:sz w:val="20"/>
        <w:szCs w:val="22"/>
      </w:rPr>
    </w:lvl>
    <w:lvl w:ilvl="6">
      <w:start w:val="1"/>
      <w:numFmt w:val="decimal"/>
      <w:lvlText w:val="%1.%2.%3.%4.%5.%6.%7."/>
      <w:lvlJc w:val="left"/>
      <w:pPr>
        <w:tabs>
          <w:tab w:val="num" w:pos="0"/>
        </w:tabs>
        <w:ind w:left="3240" w:hanging="1080"/>
      </w:pPr>
      <w:rPr>
        <w:rFonts w:ascii="Times New Roman" w:hAnsi="Times New Roman" w:cs="Times New Roman" w:hint="default"/>
        <w:sz w:val="20"/>
        <w:szCs w:val="22"/>
      </w:rPr>
    </w:lvl>
    <w:lvl w:ilvl="7">
      <w:start w:val="1"/>
      <w:numFmt w:val="decimal"/>
      <w:lvlText w:val="%1.%2.%3.%4.%5.%6.%7.%8."/>
      <w:lvlJc w:val="left"/>
      <w:pPr>
        <w:tabs>
          <w:tab w:val="num" w:pos="0"/>
        </w:tabs>
        <w:ind w:left="3744" w:hanging="1224"/>
      </w:pPr>
      <w:rPr>
        <w:rFonts w:ascii="Times New Roman" w:hAnsi="Times New Roman" w:cs="Times New Roman" w:hint="default"/>
        <w:sz w:val="20"/>
        <w:szCs w:val="22"/>
      </w:rPr>
    </w:lvl>
    <w:lvl w:ilvl="8">
      <w:start w:val="1"/>
      <w:numFmt w:val="decimal"/>
      <w:lvlText w:val="%1.%2.%3.%4.%5.%6.%7.%8.%9."/>
      <w:lvlJc w:val="left"/>
      <w:pPr>
        <w:tabs>
          <w:tab w:val="num" w:pos="0"/>
        </w:tabs>
        <w:ind w:left="4320" w:hanging="1440"/>
      </w:pPr>
      <w:rPr>
        <w:rFonts w:ascii="Times New Roman" w:hAnsi="Times New Roman" w:cs="Times New Roman" w:hint="default"/>
        <w:sz w:val="20"/>
        <w:szCs w:val="22"/>
      </w:rPr>
    </w:lvl>
  </w:abstractNum>
  <w:abstractNum w:abstractNumId="578">
    <w:nsid w:val="51DE0955"/>
    <w:multiLevelType w:val="hybridMultilevel"/>
    <w:tmpl w:val="625A8422"/>
    <w:lvl w:ilvl="0" w:tplc="786C42B4">
      <w:start w:val="1"/>
      <w:numFmt w:val="decimal"/>
      <w:lvlText w:val="%1."/>
      <w:lvlJc w:val="left"/>
      <w:pPr>
        <w:ind w:left="1428" w:hanging="360"/>
      </w:pPr>
      <w:rPr>
        <w:rFonts w:hint="default"/>
        <w:b w:val="0"/>
        <w:i w:val="0"/>
        <w:sz w:val="20"/>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579">
    <w:nsid w:val="52BD6D5B"/>
    <w:multiLevelType w:val="multilevel"/>
    <w:tmpl w:val="02DCFA70"/>
    <w:lvl w:ilvl="0">
      <w:start w:val="2"/>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80">
    <w:nsid w:val="52DA38E0"/>
    <w:multiLevelType w:val="hybridMultilevel"/>
    <w:tmpl w:val="6840ECC2"/>
    <w:lvl w:ilvl="0" w:tplc="95C66F46">
      <w:start w:val="1"/>
      <w:numFmt w:val="bullet"/>
      <w:lvlText w:val=""/>
      <w:lvlJc w:val="left"/>
      <w:pPr>
        <w:tabs>
          <w:tab w:val="num" w:pos="720"/>
        </w:tabs>
        <w:ind w:left="720" w:hanging="360"/>
      </w:pPr>
      <w:rPr>
        <w:rFonts w:ascii="Symbol" w:hAnsi="Symbol" w:hint="default"/>
        <w:sz w:val="20"/>
      </w:rPr>
    </w:lvl>
    <w:lvl w:ilvl="1" w:tplc="3ABCAFBA" w:tentative="1">
      <w:start w:val="1"/>
      <w:numFmt w:val="bullet"/>
      <w:lvlText w:val="o"/>
      <w:lvlJc w:val="left"/>
      <w:pPr>
        <w:tabs>
          <w:tab w:val="num" w:pos="1440"/>
        </w:tabs>
        <w:ind w:left="1440" w:hanging="360"/>
      </w:pPr>
      <w:rPr>
        <w:rFonts w:ascii="Courier New" w:hAnsi="Courier New" w:hint="default"/>
        <w:sz w:val="20"/>
      </w:rPr>
    </w:lvl>
    <w:lvl w:ilvl="2" w:tplc="E63AFCEC" w:tentative="1">
      <w:start w:val="1"/>
      <w:numFmt w:val="bullet"/>
      <w:lvlText w:val=""/>
      <w:lvlJc w:val="left"/>
      <w:pPr>
        <w:tabs>
          <w:tab w:val="num" w:pos="2160"/>
        </w:tabs>
        <w:ind w:left="2160" w:hanging="360"/>
      </w:pPr>
      <w:rPr>
        <w:rFonts w:ascii="Wingdings" w:hAnsi="Wingdings" w:hint="default"/>
        <w:sz w:val="20"/>
      </w:rPr>
    </w:lvl>
    <w:lvl w:ilvl="3" w:tplc="AB380C88" w:tentative="1">
      <w:start w:val="1"/>
      <w:numFmt w:val="bullet"/>
      <w:lvlText w:val=""/>
      <w:lvlJc w:val="left"/>
      <w:pPr>
        <w:tabs>
          <w:tab w:val="num" w:pos="2880"/>
        </w:tabs>
        <w:ind w:left="2880" w:hanging="360"/>
      </w:pPr>
      <w:rPr>
        <w:rFonts w:ascii="Wingdings" w:hAnsi="Wingdings" w:hint="default"/>
        <w:sz w:val="20"/>
      </w:rPr>
    </w:lvl>
    <w:lvl w:ilvl="4" w:tplc="079424A8" w:tentative="1">
      <w:start w:val="1"/>
      <w:numFmt w:val="bullet"/>
      <w:lvlText w:val=""/>
      <w:lvlJc w:val="left"/>
      <w:pPr>
        <w:tabs>
          <w:tab w:val="num" w:pos="3600"/>
        </w:tabs>
        <w:ind w:left="3600" w:hanging="360"/>
      </w:pPr>
      <w:rPr>
        <w:rFonts w:ascii="Wingdings" w:hAnsi="Wingdings" w:hint="default"/>
        <w:sz w:val="20"/>
      </w:rPr>
    </w:lvl>
    <w:lvl w:ilvl="5" w:tplc="9956DD92" w:tentative="1">
      <w:start w:val="1"/>
      <w:numFmt w:val="bullet"/>
      <w:lvlText w:val=""/>
      <w:lvlJc w:val="left"/>
      <w:pPr>
        <w:tabs>
          <w:tab w:val="num" w:pos="4320"/>
        </w:tabs>
        <w:ind w:left="4320" w:hanging="360"/>
      </w:pPr>
      <w:rPr>
        <w:rFonts w:ascii="Wingdings" w:hAnsi="Wingdings" w:hint="default"/>
        <w:sz w:val="20"/>
      </w:rPr>
    </w:lvl>
    <w:lvl w:ilvl="6" w:tplc="AE3A7A58" w:tentative="1">
      <w:start w:val="1"/>
      <w:numFmt w:val="bullet"/>
      <w:lvlText w:val=""/>
      <w:lvlJc w:val="left"/>
      <w:pPr>
        <w:tabs>
          <w:tab w:val="num" w:pos="5040"/>
        </w:tabs>
        <w:ind w:left="5040" w:hanging="360"/>
      </w:pPr>
      <w:rPr>
        <w:rFonts w:ascii="Wingdings" w:hAnsi="Wingdings" w:hint="default"/>
        <w:sz w:val="20"/>
      </w:rPr>
    </w:lvl>
    <w:lvl w:ilvl="7" w:tplc="F6EA1692" w:tentative="1">
      <w:start w:val="1"/>
      <w:numFmt w:val="bullet"/>
      <w:lvlText w:val=""/>
      <w:lvlJc w:val="left"/>
      <w:pPr>
        <w:tabs>
          <w:tab w:val="num" w:pos="5760"/>
        </w:tabs>
        <w:ind w:left="5760" w:hanging="360"/>
      </w:pPr>
      <w:rPr>
        <w:rFonts w:ascii="Wingdings" w:hAnsi="Wingdings" w:hint="default"/>
        <w:sz w:val="20"/>
      </w:rPr>
    </w:lvl>
    <w:lvl w:ilvl="8" w:tplc="2A8EF954" w:tentative="1">
      <w:start w:val="1"/>
      <w:numFmt w:val="bullet"/>
      <w:lvlText w:val=""/>
      <w:lvlJc w:val="left"/>
      <w:pPr>
        <w:tabs>
          <w:tab w:val="num" w:pos="6480"/>
        </w:tabs>
        <w:ind w:left="6480" w:hanging="360"/>
      </w:pPr>
      <w:rPr>
        <w:rFonts w:ascii="Wingdings" w:hAnsi="Wingdings" w:hint="default"/>
        <w:sz w:val="20"/>
      </w:rPr>
    </w:lvl>
  </w:abstractNum>
  <w:abstractNum w:abstractNumId="581">
    <w:nsid w:val="52FC559D"/>
    <w:multiLevelType w:val="multilevel"/>
    <w:tmpl w:val="3CB2FCB8"/>
    <w:styleLink w:val="WWNum107"/>
    <w:lvl w:ilvl="0">
      <w:start w:val="1"/>
      <w:numFmt w:val="decimal"/>
      <w:lvlText w:val="%1."/>
      <w:lvlJc w:val="left"/>
    </w:lvl>
    <w:lvl w:ilvl="1">
      <w:start w:val="1"/>
      <w:numFmt w:val="decimal"/>
      <w:lvlText w:val="%1.%2"/>
      <w:lvlJc w:val="left"/>
    </w:lvl>
    <w:lvl w:ilvl="2">
      <w:start w:val="1"/>
      <w:numFmt w:val="decimal"/>
      <w:lvlText w:val="%1.%2.%3"/>
      <w:lvlJc w:val="left"/>
      <w:rPr>
        <w:color w:val="3366FF"/>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82">
    <w:nsid w:val="53035F65"/>
    <w:multiLevelType w:val="hybridMultilevel"/>
    <w:tmpl w:val="F308209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3">
    <w:nsid w:val="532A4083"/>
    <w:multiLevelType w:val="hybridMultilevel"/>
    <w:tmpl w:val="D9B22560"/>
    <w:lvl w:ilvl="0" w:tplc="239CA006">
      <w:start w:val="1"/>
      <w:numFmt w:val="bullet"/>
      <w:lvlText w:val=""/>
      <w:lvlJc w:val="left"/>
      <w:pPr>
        <w:tabs>
          <w:tab w:val="num" w:pos="720"/>
        </w:tabs>
        <w:ind w:left="720" w:hanging="360"/>
      </w:pPr>
      <w:rPr>
        <w:rFonts w:ascii="Wingdings" w:hAnsi="Wingdings" w:cs="Wingdings" w:hint="default"/>
        <w:color w:val="auto"/>
        <w:sz w:val="20"/>
        <w:szCs w:val="16"/>
      </w:rPr>
    </w:lvl>
    <w:lvl w:ilvl="1" w:tplc="F740EB3E">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584">
    <w:nsid w:val="536B6485"/>
    <w:multiLevelType w:val="hybridMultilevel"/>
    <w:tmpl w:val="E7F2EB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5">
    <w:nsid w:val="537325C0"/>
    <w:multiLevelType w:val="hybridMultilevel"/>
    <w:tmpl w:val="D94235BC"/>
    <w:lvl w:ilvl="0" w:tplc="3BA23654">
      <w:start w:val="1"/>
      <w:numFmt w:val="bullet"/>
      <w:lvlText w:val="-"/>
      <w:lvlJc w:val="left"/>
      <w:pPr>
        <w:ind w:left="720" w:hanging="360"/>
      </w:pPr>
      <w:rPr>
        <w:rFonts w:ascii="Verdana" w:hAnsi="Verdana"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86">
    <w:nsid w:val="53884A42"/>
    <w:multiLevelType w:val="hybridMultilevel"/>
    <w:tmpl w:val="9C2CD0B6"/>
    <w:lvl w:ilvl="0" w:tplc="04150005">
      <w:start w:val="1"/>
      <w:numFmt w:val="bullet"/>
      <w:lvlText w:val=""/>
      <w:lvlJc w:val="left"/>
      <w:pPr>
        <w:tabs>
          <w:tab w:val="num" w:pos="720"/>
        </w:tabs>
        <w:ind w:left="720" w:hanging="360"/>
      </w:pPr>
      <w:rPr>
        <w:rFonts w:ascii="Wingdings" w:hAnsi="Wingdings" w:hint="default"/>
        <w:sz w:val="20"/>
      </w:rPr>
    </w:lvl>
    <w:lvl w:ilvl="1" w:tplc="091CDBA6" w:tentative="1">
      <w:start w:val="1"/>
      <w:numFmt w:val="bullet"/>
      <w:lvlText w:val="o"/>
      <w:lvlJc w:val="left"/>
      <w:pPr>
        <w:tabs>
          <w:tab w:val="num" w:pos="1440"/>
        </w:tabs>
        <w:ind w:left="1440" w:hanging="360"/>
      </w:pPr>
      <w:rPr>
        <w:rFonts w:ascii="Courier New" w:hAnsi="Courier New" w:hint="default"/>
        <w:sz w:val="20"/>
      </w:rPr>
    </w:lvl>
    <w:lvl w:ilvl="2" w:tplc="F30EE196" w:tentative="1">
      <w:start w:val="1"/>
      <w:numFmt w:val="bullet"/>
      <w:lvlText w:val=""/>
      <w:lvlJc w:val="left"/>
      <w:pPr>
        <w:tabs>
          <w:tab w:val="num" w:pos="2160"/>
        </w:tabs>
        <w:ind w:left="2160" w:hanging="360"/>
      </w:pPr>
      <w:rPr>
        <w:rFonts w:ascii="Wingdings" w:hAnsi="Wingdings" w:hint="default"/>
        <w:sz w:val="20"/>
      </w:rPr>
    </w:lvl>
    <w:lvl w:ilvl="3" w:tplc="BA44704A" w:tentative="1">
      <w:start w:val="1"/>
      <w:numFmt w:val="bullet"/>
      <w:lvlText w:val=""/>
      <w:lvlJc w:val="left"/>
      <w:pPr>
        <w:tabs>
          <w:tab w:val="num" w:pos="2880"/>
        </w:tabs>
        <w:ind w:left="2880" w:hanging="360"/>
      </w:pPr>
      <w:rPr>
        <w:rFonts w:ascii="Wingdings" w:hAnsi="Wingdings" w:hint="default"/>
        <w:sz w:val="20"/>
      </w:rPr>
    </w:lvl>
    <w:lvl w:ilvl="4" w:tplc="37123E74" w:tentative="1">
      <w:start w:val="1"/>
      <w:numFmt w:val="bullet"/>
      <w:lvlText w:val=""/>
      <w:lvlJc w:val="left"/>
      <w:pPr>
        <w:tabs>
          <w:tab w:val="num" w:pos="3600"/>
        </w:tabs>
        <w:ind w:left="3600" w:hanging="360"/>
      </w:pPr>
      <w:rPr>
        <w:rFonts w:ascii="Wingdings" w:hAnsi="Wingdings" w:hint="default"/>
        <w:sz w:val="20"/>
      </w:rPr>
    </w:lvl>
    <w:lvl w:ilvl="5" w:tplc="51A0C29C" w:tentative="1">
      <w:start w:val="1"/>
      <w:numFmt w:val="bullet"/>
      <w:lvlText w:val=""/>
      <w:lvlJc w:val="left"/>
      <w:pPr>
        <w:tabs>
          <w:tab w:val="num" w:pos="4320"/>
        </w:tabs>
        <w:ind w:left="4320" w:hanging="360"/>
      </w:pPr>
      <w:rPr>
        <w:rFonts w:ascii="Wingdings" w:hAnsi="Wingdings" w:hint="default"/>
        <w:sz w:val="20"/>
      </w:rPr>
    </w:lvl>
    <w:lvl w:ilvl="6" w:tplc="85D0F348" w:tentative="1">
      <w:start w:val="1"/>
      <w:numFmt w:val="bullet"/>
      <w:lvlText w:val=""/>
      <w:lvlJc w:val="left"/>
      <w:pPr>
        <w:tabs>
          <w:tab w:val="num" w:pos="5040"/>
        </w:tabs>
        <w:ind w:left="5040" w:hanging="360"/>
      </w:pPr>
      <w:rPr>
        <w:rFonts w:ascii="Wingdings" w:hAnsi="Wingdings" w:hint="default"/>
        <w:sz w:val="20"/>
      </w:rPr>
    </w:lvl>
    <w:lvl w:ilvl="7" w:tplc="B2888DA2" w:tentative="1">
      <w:start w:val="1"/>
      <w:numFmt w:val="bullet"/>
      <w:lvlText w:val=""/>
      <w:lvlJc w:val="left"/>
      <w:pPr>
        <w:tabs>
          <w:tab w:val="num" w:pos="5760"/>
        </w:tabs>
        <w:ind w:left="5760" w:hanging="360"/>
      </w:pPr>
      <w:rPr>
        <w:rFonts w:ascii="Wingdings" w:hAnsi="Wingdings" w:hint="default"/>
        <w:sz w:val="20"/>
      </w:rPr>
    </w:lvl>
    <w:lvl w:ilvl="8" w:tplc="20269188" w:tentative="1">
      <w:start w:val="1"/>
      <w:numFmt w:val="bullet"/>
      <w:lvlText w:val=""/>
      <w:lvlJc w:val="left"/>
      <w:pPr>
        <w:tabs>
          <w:tab w:val="num" w:pos="6480"/>
        </w:tabs>
        <w:ind w:left="6480" w:hanging="360"/>
      </w:pPr>
      <w:rPr>
        <w:rFonts w:ascii="Wingdings" w:hAnsi="Wingdings" w:hint="default"/>
        <w:sz w:val="20"/>
      </w:rPr>
    </w:lvl>
  </w:abstractNum>
  <w:abstractNum w:abstractNumId="587">
    <w:nsid w:val="5392403D"/>
    <w:multiLevelType w:val="hybridMultilevel"/>
    <w:tmpl w:val="389E5B0A"/>
    <w:lvl w:ilvl="0" w:tplc="A722404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8">
    <w:nsid w:val="5396751E"/>
    <w:multiLevelType w:val="hybridMultilevel"/>
    <w:tmpl w:val="75608614"/>
    <w:name w:val="WW8Num21222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9">
    <w:nsid w:val="53AC378F"/>
    <w:multiLevelType w:val="hybridMultilevel"/>
    <w:tmpl w:val="2C0E5E7E"/>
    <w:lvl w:ilvl="0" w:tplc="04150005">
      <w:start w:val="1"/>
      <w:numFmt w:val="bullet"/>
      <w:lvlText w:val=""/>
      <w:lvlJc w:val="left"/>
      <w:pPr>
        <w:tabs>
          <w:tab w:val="num" w:pos="720"/>
        </w:tabs>
        <w:ind w:left="720" w:hanging="360"/>
      </w:pPr>
      <w:rPr>
        <w:rFonts w:ascii="Wingdings" w:hAnsi="Wingdings" w:hint="default"/>
        <w:sz w:val="20"/>
      </w:rPr>
    </w:lvl>
    <w:lvl w:ilvl="1" w:tplc="E90AC502" w:tentative="1">
      <w:start w:val="1"/>
      <w:numFmt w:val="bullet"/>
      <w:lvlText w:val="o"/>
      <w:lvlJc w:val="left"/>
      <w:pPr>
        <w:tabs>
          <w:tab w:val="num" w:pos="1440"/>
        </w:tabs>
        <w:ind w:left="1440" w:hanging="360"/>
      </w:pPr>
      <w:rPr>
        <w:rFonts w:ascii="Courier New" w:hAnsi="Courier New" w:hint="default"/>
        <w:sz w:val="20"/>
      </w:rPr>
    </w:lvl>
    <w:lvl w:ilvl="2" w:tplc="80780E22" w:tentative="1">
      <w:start w:val="1"/>
      <w:numFmt w:val="bullet"/>
      <w:lvlText w:val=""/>
      <w:lvlJc w:val="left"/>
      <w:pPr>
        <w:tabs>
          <w:tab w:val="num" w:pos="2160"/>
        </w:tabs>
        <w:ind w:left="2160" w:hanging="360"/>
      </w:pPr>
      <w:rPr>
        <w:rFonts w:ascii="Wingdings" w:hAnsi="Wingdings" w:hint="default"/>
        <w:sz w:val="20"/>
      </w:rPr>
    </w:lvl>
    <w:lvl w:ilvl="3" w:tplc="6B8C77A6" w:tentative="1">
      <w:start w:val="1"/>
      <w:numFmt w:val="bullet"/>
      <w:lvlText w:val=""/>
      <w:lvlJc w:val="left"/>
      <w:pPr>
        <w:tabs>
          <w:tab w:val="num" w:pos="2880"/>
        </w:tabs>
        <w:ind w:left="2880" w:hanging="360"/>
      </w:pPr>
      <w:rPr>
        <w:rFonts w:ascii="Wingdings" w:hAnsi="Wingdings" w:hint="default"/>
        <w:sz w:val="20"/>
      </w:rPr>
    </w:lvl>
    <w:lvl w:ilvl="4" w:tplc="A3FEC7CC" w:tentative="1">
      <w:start w:val="1"/>
      <w:numFmt w:val="bullet"/>
      <w:lvlText w:val=""/>
      <w:lvlJc w:val="left"/>
      <w:pPr>
        <w:tabs>
          <w:tab w:val="num" w:pos="3600"/>
        </w:tabs>
        <w:ind w:left="3600" w:hanging="360"/>
      </w:pPr>
      <w:rPr>
        <w:rFonts w:ascii="Wingdings" w:hAnsi="Wingdings" w:hint="default"/>
        <w:sz w:val="20"/>
      </w:rPr>
    </w:lvl>
    <w:lvl w:ilvl="5" w:tplc="6EAAFA2C" w:tentative="1">
      <w:start w:val="1"/>
      <w:numFmt w:val="bullet"/>
      <w:lvlText w:val=""/>
      <w:lvlJc w:val="left"/>
      <w:pPr>
        <w:tabs>
          <w:tab w:val="num" w:pos="4320"/>
        </w:tabs>
        <w:ind w:left="4320" w:hanging="360"/>
      </w:pPr>
      <w:rPr>
        <w:rFonts w:ascii="Wingdings" w:hAnsi="Wingdings" w:hint="default"/>
        <w:sz w:val="20"/>
      </w:rPr>
    </w:lvl>
    <w:lvl w:ilvl="6" w:tplc="23A60D9A" w:tentative="1">
      <w:start w:val="1"/>
      <w:numFmt w:val="bullet"/>
      <w:lvlText w:val=""/>
      <w:lvlJc w:val="left"/>
      <w:pPr>
        <w:tabs>
          <w:tab w:val="num" w:pos="5040"/>
        </w:tabs>
        <w:ind w:left="5040" w:hanging="360"/>
      </w:pPr>
      <w:rPr>
        <w:rFonts w:ascii="Wingdings" w:hAnsi="Wingdings" w:hint="default"/>
        <w:sz w:val="20"/>
      </w:rPr>
    </w:lvl>
    <w:lvl w:ilvl="7" w:tplc="35847698" w:tentative="1">
      <w:start w:val="1"/>
      <w:numFmt w:val="bullet"/>
      <w:lvlText w:val=""/>
      <w:lvlJc w:val="left"/>
      <w:pPr>
        <w:tabs>
          <w:tab w:val="num" w:pos="5760"/>
        </w:tabs>
        <w:ind w:left="5760" w:hanging="360"/>
      </w:pPr>
      <w:rPr>
        <w:rFonts w:ascii="Wingdings" w:hAnsi="Wingdings" w:hint="default"/>
        <w:sz w:val="20"/>
      </w:rPr>
    </w:lvl>
    <w:lvl w:ilvl="8" w:tplc="195C43D2" w:tentative="1">
      <w:start w:val="1"/>
      <w:numFmt w:val="bullet"/>
      <w:lvlText w:val=""/>
      <w:lvlJc w:val="left"/>
      <w:pPr>
        <w:tabs>
          <w:tab w:val="num" w:pos="6480"/>
        </w:tabs>
        <w:ind w:left="6480" w:hanging="360"/>
      </w:pPr>
      <w:rPr>
        <w:rFonts w:ascii="Wingdings" w:hAnsi="Wingdings" w:hint="default"/>
        <w:sz w:val="20"/>
      </w:rPr>
    </w:lvl>
  </w:abstractNum>
  <w:abstractNum w:abstractNumId="590">
    <w:nsid w:val="53C85D9F"/>
    <w:multiLevelType w:val="hybridMultilevel"/>
    <w:tmpl w:val="C388D0A2"/>
    <w:lvl w:ilvl="0" w:tplc="3BA23654">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1">
    <w:nsid w:val="54214E48"/>
    <w:multiLevelType w:val="hybridMultilevel"/>
    <w:tmpl w:val="CA50FA7E"/>
    <w:lvl w:ilvl="0" w:tplc="D6A656B6">
      <w:numFmt w:val="bullet"/>
      <w:lvlText w:val="-"/>
      <w:lvlJc w:val="left"/>
      <w:pPr>
        <w:ind w:left="1068" w:hanging="360"/>
      </w:pPr>
      <w:rPr>
        <w:rFonts w:ascii="Times New Roman" w:eastAsia="Times New Roman" w:hAnsi="Times New Roman" w:cs="Times New Roman"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592">
    <w:nsid w:val="542433C4"/>
    <w:multiLevelType w:val="multilevel"/>
    <w:tmpl w:val="4CFA997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93">
    <w:nsid w:val="545F7587"/>
    <w:multiLevelType w:val="hybridMultilevel"/>
    <w:tmpl w:val="0B9CAE5A"/>
    <w:lvl w:ilvl="0" w:tplc="6330BA9E">
      <w:start w:val="1"/>
      <w:numFmt w:val="decimal"/>
      <w:lvlText w:val="K1.1.%1."/>
      <w:lvlJc w:val="left"/>
      <w:pPr>
        <w:ind w:left="1069" w:hanging="360"/>
      </w:pPr>
      <w:rPr>
        <w:rFonts w:hint="default"/>
      </w:rPr>
    </w:lvl>
    <w:lvl w:ilvl="1" w:tplc="FFFFFFFF" w:tentative="1">
      <w:start w:val="1"/>
      <w:numFmt w:val="bullet"/>
      <w:lvlText w:val="o"/>
      <w:lvlJc w:val="left"/>
      <w:pPr>
        <w:ind w:left="1789" w:hanging="360"/>
      </w:pPr>
      <w:rPr>
        <w:rFonts w:ascii="Courier New" w:hAnsi="Courier New" w:cs="Courier New" w:hint="default"/>
      </w:rPr>
    </w:lvl>
    <w:lvl w:ilvl="2" w:tplc="FFFFFFFF" w:tentative="1">
      <w:start w:val="1"/>
      <w:numFmt w:val="bullet"/>
      <w:lvlText w:val=""/>
      <w:lvlJc w:val="left"/>
      <w:pPr>
        <w:ind w:left="2509" w:hanging="360"/>
      </w:pPr>
      <w:rPr>
        <w:rFonts w:ascii="Wingdings" w:hAnsi="Wingdings" w:hint="default"/>
      </w:rPr>
    </w:lvl>
    <w:lvl w:ilvl="3" w:tplc="FFFFFFFF" w:tentative="1">
      <w:start w:val="1"/>
      <w:numFmt w:val="bullet"/>
      <w:lvlText w:val=""/>
      <w:lvlJc w:val="left"/>
      <w:pPr>
        <w:ind w:left="3229" w:hanging="360"/>
      </w:pPr>
      <w:rPr>
        <w:rFonts w:ascii="Symbol" w:hAnsi="Symbol" w:hint="default"/>
      </w:rPr>
    </w:lvl>
    <w:lvl w:ilvl="4" w:tplc="FFFFFFFF" w:tentative="1">
      <w:start w:val="1"/>
      <w:numFmt w:val="bullet"/>
      <w:lvlText w:val="o"/>
      <w:lvlJc w:val="left"/>
      <w:pPr>
        <w:ind w:left="3949" w:hanging="360"/>
      </w:pPr>
      <w:rPr>
        <w:rFonts w:ascii="Courier New" w:hAnsi="Courier New" w:cs="Courier New" w:hint="default"/>
      </w:rPr>
    </w:lvl>
    <w:lvl w:ilvl="5" w:tplc="FFFFFFFF" w:tentative="1">
      <w:start w:val="1"/>
      <w:numFmt w:val="bullet"/>
      <w:lvlText w:val=""/>
      <w:lvlJc w:val="left"/>
      <w:pPr>
        <w:ind w:left="4669" w:hanging="360"/>
      </w:pPr>
      <w:rPr>
        <w:rFonts w:ascii="Wingdings" w:hAnsi="Wingdings" w:hint="default"/>
      </w:rPr>
    </w:lvl>
    <w:lvl w:ilvl="6" w:tplc="FFFFFFFF" w:tentative="1">
      <w:start w:val="1"/>
      <w:numFmt w:val="bullet"/>
      <w:lvlText w:val=""/>
      <w:lvlJc w:val="left"/>
      <w:pPr>
        <w:ind w:left="5389" w:hanging="360"/>
      </w:pPr>
      <w:rPr>
        <w:rFonts w:ascii="Symbol" w:hAnsi="Symbol" w:hint="default"/>
      </w:rPr>
    </w:lvl>
    <w:lvl w:ilvl="7" w:tplc="FFFFFFFF" w:tentative="1">
      <w:start w:val="1"/>
      <w:numFmt w:val="bullet"/>
      <w:lvlText w:val="o"/>
      <w:lvlJc w:val="left"/>
      <w:pPr>
        <w:ind w:left="6109" w:hanging="360"/>
      </w:pPr>
      <w:rPr>
        <w:rFonts w:ascii="Courier New" w:hAnsi="Courier New" w:cs="Courier New" w:hint="default"/>
      </w:rPr>
    </w:lvl>
    <w:lvl w:ilvl="8" w:tplc="FFFFFFFF" w:tentative="1">
      <w:start w:val="1"/>
      <w:numFmt w:val="bullet"/>
      <w:lvlText w:val=""/>
      <w:lvlJc w:val="left"/>
      <w:pPr>
        <w:ind w:left="6829" w:hanging="360"/>
      </w:pPr>
      <w:rPr>
        <w:rFonts w:ascii="Wingdings" w:hAnsi="Wingdings" w:hint="default"/>
      </w:rPr>
    </w:lvl>
  </w:abstractNum>
  <w:abstractNum w:abstractNumId="594">
    <w:nsid w:val="54C678B5"/>
    <w:multiLevelType w:val="hybridMultilevel"/>
    <w:tmpl w:val="36A243A6"/>
    <w:lvl w:ilvl="0" w:tplc="D6A656B6">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5">
    <w:nsid w:val="55196D32"/>
    <w:multiLevelType w:val="hybridMultilevel"/>
    <w:tmpl w:val="D3645DCE"/>
    <w:lvl w:ilvl="0" w:tplc="26C0D9FA">
      <w:start w:val="1"/>
      <w:numFmt w:val="decimal"/>
      <w:lvlText w:val="%1."/>
      <w:lvlJc w:val="left"/>
      <w:pPr>
        <w:tabs>
          <w:tab w:val="num" w:pos="720"/>
        </w:tabs>
        <w:ind w:left="720" w:hanging="360"/>
      </w:pPr>
    </w:lvl>
    <w:lvl w:ilvl="1" w:tplc="D6343306" w:tentative="1">
      <w:start w:val="1"/>
      <w:numFmt w:val="decimal"/>
      <w:lvlText w:val="%2."/>
      <w:lvlJc w:val="left"/>
      <w:pPr>
        <w:tabs>
          <w:tab w:val="num" w:pos="1440"/>
        </w:tabs>
        <w:ind w:left="1440" w:hanging="360"/>
      </w:pPr>
    </w:lvl>
    <w:lvl w:ilvl="2" w:tplc="E3BA0DA0" w:tentative="1">
      <w:start w:val="1"/>
      <w:numFmt w:val="decimal"/>
      <w:lvlText w:val="%3."/>
      <w:lvlJc w:val="left"/>
      <w:pPr>
        <w:tabs>
          <w:tab w:val="num" w:pos="2160"/>
        </w:tabs>
        <w:ind w:left="2160" w:hanging="360"/>
      </w:pPr>
    </w:lvl>
    <w:lvl w:ilvl="3" w:tplc="0DCA655E" w:tentative="1">
      <w:start w:val="1"/>
      <w:numFmt w:val="decimal"/>
      <w:lvlText w:val="%4."/>
      <w:lvlJc w:val="left"/>
      <w:pPr>
        <w:tabs>
          <w:tab w:val="num" w:pos="2880"/>
        </w:tabs>
        <w:ind w:left="2880" w:hanging="360"/>
      </w:pPr>
    </w:lvl>
    <w:lvl w:ilvl="4" w:tplc="3ED8775C" w:tentative="1">
      <w:start w:val="1"/>
      <w:numFmt w:val="decimal"/>
      <w:lvlText w:val="%5."/>
      <w:lvlJc w:val="left"/>
      <w:pPr>
        <w:tabs>
          <w:tab w:val="num" w:pos="3600"/>
        </w:tabs>
        <w:ind w:left="3600" w:hanging="360"/>
      </w:pPr>
    </w:lvl>
    <w:lvl w:ilvl="5" w:tplc="79565592" w:tentative="1">
      <w:start w:val="1"/>
      <w:numFmt w:val="decimal"/>
      <w:lvlText w:val="%6."/>
      <w:lvlJc w:val="left"/>
      <w:pPr>
        <w:tabs>
          <w:tab w:val="num" w:pos="4320"/>
        </w:tabs>
        <w:ind w:left="4320" w:hanging="360"/>
      </w:pPr>
    </w:lvl>
    <w:lvl w:ilvl="6" w:tplc="1F208E7C" w:tentative="1">
      <w:start w:val="1"/>
      <w:numFmt w:val="decimal"/>
      <w:lvlText w:val="%7."/>
      <w:lvlJc w:val="left"/>
      <w:pPr>
        <w:tabs>
          <w:tab w:val="num" w:pos="5040"/>
        </w:tabs>
        <w:ind w:left="5040" w:hanging="360"/>
      </w:pPr>
    </w:lvl>
    <w:lvl w:ilvl="7" w:tplc="D3367ED0" w:tentative="1">
      <w:start w:val="1"/>
      <w:numFmt w:val="decimal"/>
      <w:lvlText w:val="%8."/>
      <w:lvlJc w:val="left"/>
      <w:pPr>
        <w:tabs>
          <w:tab w:val="num" w:pos="5760"/>
        </w:tabs>
        <w:ind w:left="5760" w:hanging="360"/>
      </w:pPr>
    </w:lvl>
    <w:lvl w:ilvl="8" w:tplc="7270AAF4" w:tentative="1">
      <w:start w:val="1"/>
      <w:numFmt w:val="decimal"/>
      <w:lvlText w:val="%9."/>
      <w:lvlJc w:val="left"/>
      <w:pPr>
        <w:tabs>
          <w:tab w:val="num" w:pos="6480"/>
        </w:tabs>
        <w:ind w:left="6480" w:hanging="360"/>
      </w:pPr>
    </w:lvl>
  </w:abstractNum>
  <w:abstractNum w:abstractNumId="596">
    <w:nsid w:val="553B7DFA"/>
    <w:multiLevelType w:val="hybridMultilevel"/>
    <w:tmpl w:val="449C6E30"/>
    <w:lvl w:ilvl="0" w:tplc="04150005">
      <w:start w:val="1"/>
      <w:numFmt w:val="bullet"/>
      <w:lvlText w:val=""/>
      <w:lvlJc w:val="left"/>
      <w:pPr>
        <w:ind w:left="720" w:hanging="360"/>
      </w:pPr>
      <w:rPr>
        <w:rFonts w:ascii="Wingdings" w:hAnsi="Wingdings" w:cs="Wingdings" w:hint="default"/>
        <w:sz w:val="16"/>
        <w:szCs w:val="16"/>
      </w:rPr>
    </w:lvl>
    <w:lvl w:ilvl="1" w:tplc="04150019" w:tentative="1">
      <w:start w:val="1"/>
      <w:numFmt w:val="bullet"/>
      <w:lvlText w:val="o"/>
      <w:lvlJc w:val="left"/>
      <w:pPr>
        <w:tabs>
          <w:tab w:val="num" w:pos="1440"/>
        </w:tabs>
        <w:ind w:left="1440" w:hanging="360"/>
      </w:pPr>
      <w:rPr>
        <w:rFonts w:ascii="Courier New" w:hAnsi="Courier New" w:hint="default"/>
      </w:rPr>
    </w:lvl>
    <w:lvl w:ilvl="2" w:tplc="0415001B" w:tentative="1">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597">
    <w:nsid w:val="55933D6A"/>
    <w:multiLevelType w:val="hybridMultilevel"/>
    <w:tmpl w:val="BB262C78"/>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8">
    <w:nsid w:val="55FE4521"/>
    <w:multiLevelType w:val="hybridMultilevel"/>
    <w:tmpl w:val="9CBC5C3C"/>
    <w:lvl w:ilvl="0" w:tplc="C42A2508">
      <w:start w:val="1"/>
      <w:numFmt w:val="bullet"/>
      <w:lvlText w:val=""/>
      <w:lvlJc w:val="left"/>
      <w:pPr>
        <w:tabs>
          <w:tab w:val="num" w:pos="720"/>
        </w:tabs>
        <w:ind w:left="720" w:hanging="360"/>
      </w:pPr>
      <w:rPr>
        <w:rFonts w:ascii="Symbol" w:hAnsi="Symbol" w:hint="default"/>
        <w:sz w:val="20"/>
      </w:rPr>
    </w:lvl>
    <w:lvl w:ilvl="1" w:tplc="F91C2CC2" w:tentative="1">
      <w:start w:val="1"/>
      <w:numFmt w:val="bullet"/>
      <w:lvlText w:val="o"/>
      <w:lvlJc w:val="left"/>
      <w:pPr>
        <w:tabs>
          <w:tab w:val="num" w:pos="1440"/>
        </w:tabs>
        <w:ind w:left="1440" w:hanging="360"/>
      </w:pPr>
      <w:rPr>
        <w:rFonts w:ascii="Courier New" w:hAnsi="Courier New" w:hint="default"/>
        <w:sz w:val="20"/>
      </w:rPr>
    </w:lvl>
    <w:lvl w:ilvl="2" w:tplc="7F10206E" w:tentative="1">
      <w:start w:val="1"/>
      <w:numFmt w:val="bullet"/>
      <w:lvlText w:val=""/>
      <w:lvlJc w:val="left"/>
      <w:pPr>
        <w:tabs>
          <w:tab w:val="num" w:pos="2160"/>
        </w:tabs>
        <w:ind w:left="2160" w:hanging="360"/>
      </w:pPr>
      <w:rPr>
        <w:rFonts w:ascii="Wingdings" w:hAnsi="Wingdings" w:hint="default"/>
        <w:sz w:val="20"/>
      </w:rPr>
    </w:lvl>
    <w:lvl w:ilvl="3" w:tplc="6E504DE4" w:tentative="1">
      <w:start w:val="1"/>
      <w:numFmt w:val="bullet"/>
      <w:lvlText w:val=""/>
      <w:lvlJc w:val="left"/>
      <w:pPr>
        <w:tabs>
          <w:tab w:val="num" w:pos="2880"/>
        </w:tabs>
        <w:ind w:left="2880" w:hanging="360"/>
      </w:pPr>
      <w:rPr>
        <w:rFonts w:ascii="Wingdings" w:hAnsi="Wingdings" w:hint="default"/>
        <w:sz w:val="20"/>
      </w:rPr>
    </w:lvl>
    <w:lvl w:ilvl="4" w:tplc="AD5C21F2" w:tentative="1">
      <w:start w:val="1"/>
      <w:numFmt w:val="bullet"/>
      <w:lvlText w:val=""/>
      <w:lvlJc w:val="left"/>
      <w:pPr>
        <w:tabs>
          <w:tab w:val="num" w:pos="3600"/>
        </w:tabs>
        <w:ind w:left="3600" w:hanging="360"/>
      </w:pPr>
      <w:rPr>
        <w:rFonts w:ascii="Wingdings" w:hAnsi="Wingdings" w:hint="default"/>
        <w:sz w:val="20"/>
      </w:rPr>
    </w:lvl>
    <w:lvl w:ilvl="5" w:tplc="8E944AB4" w:tentative="1">
      <w:start w:val="1"/>
      <w:numFmt w:val="bullet"/>
      <w:lvlText w:val=""/>
      <w:lvlJc w:val="left"/>
      <w:pPr>
        <w:tabs>
          <w:tab w:val="num" w:pos="4320"/>
        </w:tabs>
        <w:ind w:left="4320" w:hanging="360"/>
      </w:pPr>
      <w:rPr>
        <w:rFonts w:ascii="Wingdings" w:hAnsi="Wingdings" w:hint="default"/>
        <w:sz w:val="20"/>
      </w:rPr>
    </w:lvl>
    <w:lvl w:ilvl="6" w:tplc="6CF8006C" w:tentative="1">
      <w:start w:val="1"/>
      <w:numFmt w:val="bullet"/>
      <w:lvlText w:val=""/>
      <w:lvlJc w:val="left"/>
      <w:pPr>
        <w:tabs>
          <w:tab w:val="num" w:pos="5040"/>
        </w:tabs>
        <w:ind w:left="5040" w:hanging="360"/>
      </w:pPr>
      <w:rPr>
        <w:rFonts w:ascii="Wingdings" w:hAnsi="Wingdings" w:hint="default"/>
        <w:sz w:val="20"/>
      </w:rPr>
    </w:lvl>
    <w:lvl w:ilvl="7" w:tplc="863E9E24" w:tentative="1">
      <w:start w:val="1"/>
      <w:numFmt w:val="bullet"/>
      <w:lvlText w:val=""/>
      <w:lvlJc w:val="left"/>
      <w:pPr>
        <w:tabs>
          <w:tab w:val="num" w:pos="5760"/>
        </w:tabs>
        <w:ind w:left="5760" w:hanging="360"/>
      </w:pPr>
      <w:rPr>
        <w:rFonts w:ascii="Wingdings" w:hAnsi="Wingdings" w:hint="default"/>
        <w:sz w:val="20"/>
      </w:rPr>
    </w:lvl>
    <w:lvl w:ilvl="8" w:tplc="37CCF98A" w:tentative="1">
      <w:start w:val="1"/>
      <w:numFmt w:val="bullet"/>
      <w:lvlText w:val=""/>
      <w:lvlJc w:val="left"/>
      <w:pPr>
        <w:tabs>
          <w:tab w:val="num" w:pos="6480"/>
        </w:tabs>
        <w:ind w:left="6480" w:hanging="360"/>
      </w:pPr>
      <w:rPr>
        <w:rFonts w:ascii="Wingdings" w:hAnsi="Wingdings" w:hint="default"/>
        <w:sz w:val="20"/>
      </w:rPr>
    </w:lvl>
  </w:abstractNum>
  <w:abstractNum w:abstractNumId="599">
    <w:nsid w:val="56117FDB"/>
    <w:multiLevelType w:val="hybridMultilevel"/>
    <w:tmpl w:val="2DA6AFE2"/>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0">
    <w:nsid w:val="56596413"/>
    <w:multiLevelType w:val="hybridMultilevel"/>
    <w:tmpl w:val="116CAC6E"/>
    <w:lvl w:ilvl="0" w:tplc="AA3A1BE2">
      <w:start w:val="1"/>
      <w:numFmt w:val="bullet"/>
      <w:lvlText w:val=""/>
      <w:lvlJc w:val="left"/>
      <w:pPr>
        <w:ind w:left="1077" w:hanging="360"/>
      </w:pPr>
      <w:rPr>
        <w:rFonts w:ascii="Wingdings" w:hAnsi="Wingdings" w:cs="Wingdings" w:hint="default"/>
        <w:color w:val="auto"/>
        <w:sz w:val="20"/>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601">
    <w:nsid w:val="568B5F5A"/>
    <w:multiLevelType w:val="hybridMultilevel"/>
    <w:tmpl w:val="6F56D58A"/>
    <w:lvl w:ilvl="0" w:tplc="99C6E50C">
      <w:start w:val="1"/>
      <w:numFmt w:val="decimal"/>
      <w:lvlText w:val="%1."/>
      <w:lvlJc w:val="left"/>
      <w:pPr>
        <w:tabs>
          <w:tab w:val="num" w:pos="720"/>
        </w:tabs>
        <w:ind w:left="720" w:hanging="360"/>
      </w:pPr>
    </w:lvl>
    <w:lvl w:ilvl="1" w:tplc="81869278" w:tentative="1">
      <w:start w:val="1"/>
      <w:numFmt w:val="decimal"/>
      <w:lvlText w:val="%2."/>
      <w:lvlJc w:val="left"/>
      <w:pPr>
        <w:tabs>
          <w:tab w:val="num" w:pos="1440"/>
        </w:tabs>
        <w:ind w:left="1440" w:hanging="360"/>
      </w:pPr>
    </w:lvl>
    <w:lvl w:ilvl="2" w:tplc="70E0AF0C" w:tentative="1">
      <w:start w:val="1"/>
      <w:numFmt w:val="decimal"/>
      <w:lvlText w:val="%3."/>
      <w:lvlJc w:val="left"/>
      <w:pPr>
        <w:tabs>
          <w:tab w:val="num" w:pos="2160"/>
        </w:tabs>
        <w:ind w:left="2160" w:hanging="360"/>
      </w:pPr>
    </w:lvl>
    <w:lvl w:ilvl="3" w:tplc="1316B844" w:tentative="1">
      <w:start w:val="1"/>
      <w:numFmt w:val="decimal"/>
      <w:lvlText w:val="%4."/>
      <w:lvlJc w:val="left"/>
      <w:pPr>
        <w:tabs>
          <w:tab w:val="num" w:pos="2880"/>
        </w:tabs>
        <w:ind w:left="2880" w:hanging="360"/>
      </w:pPr>
    </w:lvl>
    <w:lvl w:ilvl="4" w:tplc="C1602460" w:tentative="1">
      <w:start w:val="1"/>
      <w:numFmt w:val="decimal"/>
      <w:lvlText w:val="%5."/>
      <w:lvlJc w:val="left"/>
      <w:pPr>
        <w:tabs>
          <w:tab w:val="num" w:pos="3600"/>
        </w:tabs>
        <w:ind w:left="3600" w:hanging="360"/>
      </w:pPr>
    </w:lvl>
    <w:lvl w:ilvl="5" w:tplc="BBE8351C" w:tentative="1">
      <w:start w:val="1"/>
      <w:numFmt w:val="decimal"/>
      <w:lvlText w:val="%6."/>
      <w:lvlJc w:val="left"/>
      <w:pPr>
        <w:tabs>
          <w:tab w:val="num" w:pos="4320"/>
        </w:tabs>
        <w:ind w:left="4320" w:hanging="360"/>
      </w:pPr>
    </w:lvl>
    <w:lvl w:ilvl="6" w:tplc="EEDE61E0" w:tentative="1">
      <w:start w:val="1"/>
      <w:numFmt w:val="decimal"/>
      <w:lvlText w:val="%7."/>
      <w:lvlJc w:val="left"/>
      <w:pPr>
        <w:tabs>
          <w:tab w:val="num" w:pos="5040"/>
        </w:tabs>
        <w:ind w:left="5040" w:hanging="360"/>
      </w:pPr>
    </w:lvl>
    <w:lvl w:ilvl="7" w:tplc="533EDBB6" w:tentative="1">
      <w:start w:val="1"/>
      <w:numFmt w:val="decimal"/>
      <w:lvlText w:val="%8."/>
      <w:lvlJc w:val="left"/>
      <w:pPr>
        <w:tabs>
          <w:tab w:val="num" w:pos="5760"/>
        </w:tabs>
        <w:ind w:left="5760" w:hanging="360"/>
      </w:pPr>
    </w:lvl>
    <w:lvl w:ilvl="8" w:tplc="8E1E8ADC" w:tentative="1">
      <w:start w:val="1"/>
      <w:numFmt w:val="decimal"/>
      <w:lvlText w:val="%9."/>
      <w:lvlJc w:val="left"/>
      <w:pPr>
        <w:tabs>
          <w:tab w:val="num" w:pos="6480"/>
        </w:tabs>
        <w:ind w:left="6480" w:hanging="360"/>
      </w:pPr>
    </w:lvl>
  </w:abstractNum>
  <w:abstractNum w:abstractNumId="602">
    <w:nsid w:val="56D90247"/>
    <w:multiLevelType w:val="hybridMultilevel"/>
    <w:tmpl w:val="1DF0C9B6"/>
    <w:lvl w:ilvl="0" w:tplc="21DE8A86">
      <w:start w:val="1"/>
      <w:numFmt w:val="bullet"/>
      <w:lvlText w:val=""/>
      <w:lvlJc w:val="left"/>
      <w:pPr>
        <w:ind w:left="720" w:hanging="360"/>
      </w:pPr>
      <w:rPr>
        <w:rFonts w:ascii="Wingdings" w:hAnsi="Wingdings" w:hint="default"/>
        <w:sz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3">
    <w:nsid w:val="56F83989"/>
    <w:multiLevelType w:val="hybridMultilevel"/>
    <w:tmpl w:val="EF0EAC76"/>
    <w:lvl w:ilvl="0" w:tplc="3BA23654">
      <w:start w:val="1"/>
      <w:numFmt w:val="bullet"/>
      <w:lvlText w:val="-"/>
      <w:lvlJc w:val="left"/>
      <w:pPr>
        <w:ind w:left="720" w:hanging="360"/>
      </w:pPr>
      <w:rPr>
        <w:rFonts w:ascii="Verdana" w:hAnsi="Verdana"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04">
    <w:nsid w:val="576E6F09"/>
    <w:multiLevelType w:val="hybridMultilevel"/>
    <w:tmpl w:val="1A3AA3E2"/>
    <w:lvl w:ilvl="0" w:tplc="A7366044">
      <w:start w:val="1"/>
      <w:numFmt w:val="bullet"/>
      <w:lvlText w:val=""/>
      <w:lvlJc w:val="left"/>
      <w:pPr>
        <w:tabs>
          <w:tab w:val="num" w:pos="720"/>
        </w:tabs>
        <w:ind w:left="720" w:hanging="360"/>
      </w:pPr>
      <w:rPr>
        <w:rFonts w:ascii="Symbol" w:hAnsi="Symbol" w:hint="default"/>
        <w:sz w:val="20"/>
      </w:rPr>
    </w:lvl>
    <w:lvl w:ilvl="1" w:tplc="AF4206EC" w:tentative="1">
      <w:start w:val="1"/>
      <w:numFmt w:val="bullet"/>
      <w:lvlText w:val="o"/>
      <w:lvlJc w:val="left"/>
      <w:pPr>
        <w:tabs>
          <w:tab w:val="num" w:pos="1440"/>
        </w:tabs>
        <w:ind w:left="1440" w:hanging="360"/>
      </w:pPr>
      <w:rPr>
        <w:rFonts w:ascii="Courier New" w:hAnsi="Courier New" w:hint="default"/>
        <w:sz w:val="20"/>
      </w:rPr>
    </w:lvl>
    <w:lvl w:ilvl="2" w:tplc="079ADC82" w:tentative="1">
      <w:start w:val="1"/>
      <w:numFmt w:val="bullet"/>
      <w:lvlText w:val=""/>
      <w:lvlJc w:val="left"/>
      <w:pPr>
        <w:tabs>
          <w:tab w:val="num" w:pos="2160"/>
        </w:tabs>
        <w:ind w:left="2160" w:hanging="360"/>
      </w:pPr>
      <w:rPr>
        <w:rFonts w:ascii="Wingdings" w:hAnsi="Wingdings" w:hint="default"/>
        <w:sz w:val="20"/>
      </w:rPr>
    </w:lvl>
    <w:lvl w:ilvl="3" w:tplc="E4CE5698" w:tentative="1">
      <w:start w:val="1"/>
      <w:numFmt w:val="bullet"/>
      <w:lvlText w:val=""/>
      <w:lvlJc w:val="left"/>
      <w:pPr>
        <w:tabs>
          <w:tab w:val="num" w:pos="2880"/>
        </w:tabs>
        <w:ind w:left="2880" w:hanging="360"/>
      </w:pPr>
      <w:rPr>
        <w:rFonts w:ascii="Wingdings" w:hAnsi="Wingdings" w:hint="default"/>
        <w:sz w:val="20"/>
      </w:rPr>
    </w:lvl>
    <w:lvl w:ilvl="4" w:tplc="593CA546" w:tentative="1">
      <w:start w:val="1"/>
      <w:numFmt w:val="bullet"/>
      <w:lvlText w:val=""/>
      <w:lvlJc w:val="left"/>
      <w:pPr>
        <w:tabs>
          <w:tab w:val="num" w:pos="3600"/>
        </w:tabs>
        <w:ind w:left="3600" w:hanging="360"/>
      </w:pPr>
      <w:rPr>
        <w:rFonts w:ascii="Wingdings" w:hAnsi="Wingdings" w:hint="default"/>
        <w:sz w:val="20"/>
      </w:rPr>
    </w:lvl>
    <w:lvl w:ilvl="5" w:tplc="FBDCCCE4" w:tentative="1">
      <w:start w:val="1"/>
      <w:numFmt w:val="bullet"/>
      <w:lvlText w:val=""/>
      <w:lvlJc w:val="left"/>
      <w:pPr>
        <w:tabs>
          <w:tab w:val="num" w:pos="4320"/>
        </w:tabs>
        <w:ind w:left="4320" w:hanging="360"/>
      </w:pPr>
      <w:rPr>
        <w:rFonts w:ascii="Wingdings" w:hAnsi="Wingdings" w:hint="default"/>
        <w:sz w:val="20"/>
      </w:rPr>
    </w:lvl>
    <w:lvl w:ilvl="6" w:tplc="FD16E424" w:tentative="1">
      <w:start w:val="1"/>
      <w:numFmt w:val="bullet"/>
      <w:lvlText w:val=""/>
      <w:lvlJc w:val="left"/>
      <w:pPr>
        <w:tabs>
          <w:tab w:val="num" w:pos="5040"/>
        </w:tabs>
        <w:ind w:left="5040" w:hanging="360"/>
      </w:pPr>
      <w:rPr>
        <w:rFonts w:ascii="Wingdings" w:hAnsi="Wingdings" w:hint="default"/>
        <w:sz w:val="20"/>
      </w:rPr>
    </w:lvl>
    <w:lvl w:ilvl="7" w:tplc="C85E4D4A" w:tentative="1">
      <w:start w:val="1"/>
      <w:numFmt w:val="bullet"/>
      <w:lvlText w:val=""/>
      <w:lvlJc w:val="left"/>
      <w:pPr>
        <w:tabs>
          <w:tab w:val="num" w:pos="5760"/>
        </w:tabs>
        <w:ind w:left="5760" w:hanging="360"/>
      </w:pPr>
      <w:rPr>
        <w:rFonts w:ascii="Wingdings" w:hAnsi="Wingdings" w:hint="default"/>
        <w:sz w:val="20"/>
      </w:rPr>
    </w:lvl>
    <w:lvl w:ilvl="8" w:tplc="77AA2A46" w:tentative="1">
      <w:start w:val="1"/>
      <w:numFmt w:val="bullet"/>
      <w:lvlText w:val=""/>
      <w:lvlJc w:val="left"/>
      <w:pPr>
        <w:tabs>
          <w:tab w:val="num" w:pos="6480"/>
        </w:tabs>
        <w:ind w:left="6480" w:hanging="360"/>
      </w:pPr>
      <w:rPr>
        <w:rFonts w:ascii="Wingdings" w:hAnsi="Wingdings" w:hint="default"/>
        <w:sz w:val="20"/>
      </w:rPr>
    </w:lvl>
  </w:abstractNum>
  <w:abstractNum w:abstractNumId="605">
    <w:nsid w:val="57995B56"/>
    <w:multiLevelType w:val="hybridMultilevel"/>
    <w:tmpl w:val="6EBEE0B0"/>
    <w:lvl w:ilvl="0" w:tplc="D6A656B6">
      <w:numFmt w:val="bullet"/>
      <w:lvlText w:val="-"/>
      <w:lvlJc w:val="left"/>
      <w:pPr>
        <w:ind w:left="1068" w:hanging="360"/>
      </w:pPr>
      <w:rPr>
        <w:rFonts w:ascii="Times New Roman" w:eastAsia="Times New Roman" w:hAnsi="Times New Roman" w:cs="Times New Roman"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606">
    <w:nsid w:val="57995E83"/>
    <w:multiLevelType w:val="hybridMultilevel"/>
    <w:tmpl w:val="0928A290"/>
    <w:lvl w:ilvl="0" w:tplc="DD8CC3D8">
      <w:start w:val="1"/>
      <w:numFmt w:val="decimal"/>
      <w:lvlText w:val="%1."/>
      <w:lvlJc w:val="left"/>
      <w:pPr>
        <w:tabs>
          <w:tab w:val="num" w:pos="720"/>
        </w:tabs>
        <w:ind w:left="720" w:hanging="360"/>
      </w:pPr>
    </w:lvl>
    <w:lvl w:ilvl="1" w:tplc="B80E762A" w:tentative="1">
      <w:start w:val="1"/>
      <w:numFmt w:val="decimal"/>
      <w:lvlText w:val="%2."/>
      <w:lvlJc w:val="left"/>
      <w:pPr>
        <w:tabs>
          <w:tab w:val="num" w:pos="1440"/>
        </w:tabs>
        <w:ind w:left="1440" w:hanging="360"/>
      </w:pPr>
    </w:lvl>
    <w:lvl w:ilvl="2" w:tplc="C650613C" w:tentative="1">
      <w:start w:val="1"/>
      <w:numFmt w:val="decimal"/>
      <w:lvlText w:val="%3."/>
      <w:lvlJc w:val="left"/>
      <w:pPr>
        <w:tabs>
          <w:tab w:val="num" w:pos="2160"/>
        </w:tabs>
        <w:ind w:left="2160" w:hanging="360"/>
      </w:pPr>
    </w:lvl>
    <w:lvl w:ilvl="3" w:tplc="AAD646FA" w:tentative="1">
      <w:start w:val="1"/>
      <w:numFmt w:val="decimal"/>
      <w:lvlText w:val="%4."/>
      <w:lvlJc w:val="left"/>
      <w:pPr>
        <w:tabs>
          <w:tab w:val="num" w:pos="2880"/>
        </w:tabs>
        <w:ind w:left="2880" w:hanging="360"/>
      </w:pPr>
    </w:lvl>
    <w:lvl w:ilvl="4" w:tplc="54F225D8" w:tentative="1">
      <w:start w:val="1"/>
      <w:numFmt w:val="decimal"/>
      <w:lvlText w:val="%5."/>
      <w:lvlJc w:val="left"/>
      <w:pPr>
        <w:tabs>
          <w:tab w:val="num" w:pos="3600"/>
        </w:tabs>
        <w:ind w:left="3600" w:hanging="360"/>
      </w:pPr>
    </w:lvl>
    <w:lvl w:ilvl="5" w:tplc="52421512" w:tentative="1">
      <w:start w:val="1"/>
      <w:numFmt w:val="decimal"/>
      <w:lvlText w:val="%6."/>
      <w:lvlJc w:val="left"/>
      <w:pPr>
        <w:tabs>
          <w:tab w:val="num" w:pos="4320"/>
        </w:tabs>
        <w:ind w:left="4320" w:hanging="360"/>
      </w:pPr>
    </w:lvl>
    <w:lvl w:ilvl="6" w:tplc="946ED822" w:tentative="1">
      <w:start w:val="1"/>
      <w:numFmt w:val="decimal"/>
      <w:lvlText w:val="%7."/>
      <w:lvlJc w:val="left"/>
      <w:pPr>
        <w:tabs>
          <w:tab w:val="num" w:pos="5040"/>
        </w:tabs>
        <w:ind w:left="5040" w:hanging="360"/>
      </w:pPr>
    </w:lvl>
    <w:lvl w:ilvl="7" w:tplc="3DE86700" w:tentative="1">
      <w:start w:val="1"/>
      <w:numFmt w:val="decimal"/>
      <w:lvlText w:val="%8."/>
      <w:lvlJc w:val="left"/>
      <w:pPr>
        <w:tabs>
          <w:tab w:val="num" w:pos="5760"/>
        </w:tabs>
        <w:ind w:left="5760" w:hanging="360"/>
      </w:pPr>
    </w:lvl>
    <w:lvl w:ilvl="8" w:tplc="F74CAF90" w:tentative="1">
      <w:start w:val="1"/>
      <w:numFmt w:val="decimal"/>
      <w:lvlText w:val="%9."/>
      <w:lvlJc w:val="left"/>
      <w:pPr>
        <w:tabs>
          <w:tab w:val="num" w:pos="6480"/>
        </w:tabs>
        <w:ind w:left="6480" w:hanging="360"/>
      </w:pPr>
    </w:lvl>
  </w:abstractNum>
  <w:abstractNum w:abstractNumId="607">
    <w:nsid w:val="57B20635"/>
    <w:multiLevelType w:val="hybridMultilevel"/>
    <w:tmpl w:val="AFEECAA0"/>
    <w:lvl w:ilvl="0" w:tplc="E288165A">
      <w:start w:val="1"/>
      <w:numFmt w:val="bullet"/>
      <w:lvlText w:val=""/>
      <w:lvlJc w:val="left"/>
      <w:pPr>
        <w:tabs>
          <w:tab w:val="num" w:pos="720"/>
        </w:tabs>
        <w:ind w:left="720" w:hanging="360"/>
      </w:pPr>
      <w:rPr>
        <w:rFonts w:ascii="Symbol" w:hAnsi="Symbol" w:hint="default"/>
        <w:sz w:val="20"/>
      </w:rPr>
    </w:lvl>
    <w:lvl w:ilvl="1" w:tplc="D458D6B0" w:tentative="1">
      <w:start w:val="1"/>
      <w:numFmt w:val="bullet"/>
      <w:lvlText w:val="o"/>
      <w:lvlJc w:val="left"/>
      <w:pPr>
        <w:tabs>
          <w:tab w:val="num" w:pos="1440"/>
        </w:tabs>
        <w:ind w:left="1440" w:hanging="360"/>
      </w:pPr>
      <w:rPr>
        <w:rFonts w:ascii="Courier New" w:hAnsi="Courier New" w:hint="default"/>
        <w:sz w:val="20"/>
      </w:rPr>
    </w:lvl>
    <w:lvl w:ilvl="2" w:tplc="AB8C9D2A" w:tentative="1">
      <w:start w:val="1"/>
      <w:numFmt w:val="bullet"/>
      <w:lvlText w:val=""/>
      <w:lvlJc w:val="left"/>
      <w:pPr>
        <w:tabs>
          <w:tab w:val="num" w:pos="2160"/>
        </w:tabs>
        <w:ind w:left="2160" w:hanging="360"/>
      </w:pPr>
      <w:rPr>
        <w:rFonts w:ascii="Wingdings" w:hAnsi="Wingdings" w:hint="default"/>
        <w:sz w:val="20"/>
      </w:rPr>
    </w:lvl>
    <w:lvl w:ilvl="3" w:tplc="D74ABC1A" w:tentative="1">
      <w:start w:val="1"/>
      <w:numFmt w:val="bullet"/>
      <w:lvlText w:val=""/>
      <w:lvlJc w:val="left"/>
      <w:pPr>
        <w:tabs>
          <w:tab w:val="num" w:pos="2880"/>
        </w:tabs>
        <w:ind w:left="2880" w:hanging="360"/>
      </w:pPr>
      <w:rPr>
        <w:rFonts w:ascii="Wingdings" w:hAnsi="Wingdings" w:hint="default"/>
        <w:sz w:val="20"/>
      </w:rPr>
    </w:lvl>
    <w:lvl w:ilvl="4" w:tplc="B1EE98D4" w:tentative="1">
      <w:start w:val="1"/>
      <w:numFmt w:val="bullet"/>
      <w:lvlText w:val=""/>
      <w:lvlJc w:val="left"/>
      <w:pPr>
        <w:tabs>
          <w:tab w:val="num" w:pos="3600"/>
        </w:tabs>
        <w:ind w:left="3600" w:hanging="360"/>
      </w:pPr>
      <w:rPr>
        <w:rFonts w:ascii="Wingdings" w:hAnsi="Wingdings" w:hint="default"/>
        <w:sz w:val="20"/>
      </w:rPr>
    </w:lvl>
    <w:lvl w:ilvl="5" w:tplc="6C880F64" w:tentative="1">
      <w:start w:val="1"/>
      <w:numFmt w:val="bullet"/>
      <w:lvlText w:val=""/>
      <w:lvlJc w:val="left"/>
      <w:pPr>
        <w:tabs>
          <w:tab w:val="num" w:pos="4320"/>
        </w:tabs>
        <w:ind w:left="4320" w:hanging="360"/>
      </w:pPr>
      <w:rPr>
        <w:rFonts w:ascii="Wingdings" w:hAnsi="Wingdings" w:hint="default"/>
        <w:sz w:val="20"/>
      </w:rPr>
    </w:lvl>
    <w:lvl w:ilvl="6" w:tplc="C61E02C6" w:tentative="1">
      <w:start w:val="1"/>
      <w:numFmt w:val="bullet"/>
      <w:lvlText w:val=""/>
      <w:lvlJc w:val="left"/>
      <w:pPr>
        <w:tabs>
          <w:tab w:val="num" w:pos="5040"/>
        </w:tabs>
        <w:ind w:left="5040" w:hanging="360"/>
      </w:pPr>
      <w:rPr>
        <w:rFonts w:ascii="Wingdings" w:hAnsi="Wingdings" w:hint="default"/>
        <w:sz w:val="20"/>
      </w:rPr>
    </w:lvl>
    <w:lvl w:ilvl="7" w:tplc="A712F484" w:tentative="1">
      <w:start w:val="1"/>
      <w:numFmt w:val="bullet"/>
      <w:lvlText w:val=""/>
      <w:lvlJc w:val="left"/>
      <w:pPr>
        <w:tabs>
          <w:tab w:val="num" w:pos="5760"/>
        </w:tabs>
        <w:ind w:left="5760" w:hanging="360"/>
      </w:pPr>
      <w:rPr>
        <w:rFonts w:ascii="Wingdings" w:hAnsi="Wingdings" w:hint="default"/>
        <w:sz w:val="20"/>
      </w:rPr>
    </w:lvl>
    <w:lvl w:ilvl="8" w:tplc="1CF899AC" w:tentative="1">
      <w:start w:val="1"/>
      <w:numFmt w:val="bullet"/>
      <w:lvlText w:val=""/>
      <w:lvlJc w:val="left"/>
      <w:pPr>
        <w:tabs>
          <w:tab w:val="num" w:pos="6480"/>
        </w:tabs>
        <w:ind w:left="6480" w:hanging="360"/>
      </w:pPr>
      <w:rPr>
        <w:rFonts w:ascii="Wingdings" w:hAnsi="Wingdings" w:hint="default"/>
        <w:sz w:val="20"/>
      </w:rPr>
    </w:lvl>
  </w:abstractNum>
  <w:abstractNum w:abstractNumId="608">
    <w:nsid w:val="57E3632E"/>
    <w:multiLevelType w:val="hybridMultilevel"/>
    <w:tmpl w:val="69426C94"/>
    <w:lvl w:ilvl="0" w:tplc="3BA23654">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9">
    <w:nsid w:val="58643751"/>
    <w:multiLevelType w:val="hybridMultilevel"/>
    <w:tmpl w:val="9E92E14A"/>
    <w:lvl w:ilvl="0" w:tplc="A16886C4">
      <w:start w:val="1"/>
      <w:numFmt w:val="decimal"/>
      <w:lvlText w:val="K+.1.%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0">
    <w:nsid w:val="587B1CDF"/>
    <w:multiLevelType w:val="hybridMultilevel"/>
    <w:tmpl w:val="90348B0C"/>
    <w:lvl w:ilvl="0" w:tplc="D6A656B6">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1">
    <w:nsid w:val="58921F43"/>
    <w:multiLevelType w:val="hybridMultilevel"/>
    <w:tmpl w:val="FFC4C53E"/>
    <w:lvl w:ilvl="0" w:tplc="5E24EC42">
      <w:start w:val="1"/>
      <w:numFmt w:val="bullet"/>
      <w:lvlText w:val=""/>
      <w:lvlJc w:val="left"/>
      <w:pPr>
        <w:ind w:left="720" w:hanging="360"/>
      </w:pPr>
      <w:rPr>
        <w:rFonts w:ascii="Wingdings" w:hAnsi="Wingdings" w:cs="Wingdings" w:hint="default"/>
        <w:color w:val="auto"/>
        <w:sz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2">
    <w:nsid w:val="589C2355"/>
    <w:multiLevelType w:val="multilevel"/>
    <w:tmpl w:val="FA960B9E"/>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13">
    <w:nsid w:val="58B30BA6"/>
    <w:multiLevelType w:val="hybridMultilevel"/>
    <w:tmpl w:val="662E7C3E"/>
    <w:lvl w:ilvl="0" w:tplc="E9D2D8AA">
      <w:start w:val="1"/>
      <w:numFmt w:val="lowerLetter"/>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4">
    <w:nsid w:val="58FB5400"/>
    <w:multiLevelType w:val="hybridMultilevel"/>
    <w:tmpl w:val="6A363C3E"/>
    <w:lvl w:ilvl="0" w:tplc="61DE0152">
      <w:start w:val="1"/>
      <w:numFmt w:val="decimal"/>
      <w:lvlText w:val="%1."/>
      <w:lvlJc w:val="left"/>
      <w:pPr>
        <w:ind w:left="720" w:hanging="360"/>
      </w:pPr>
      <w:rPr>
        <w:rFonts w:asciiTheme="minorHAnsi" w:hAnsiTheme="minorHAnsi" w:cs="Times New Roman" w:hint="default"/>
        <w:b/>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615">
    <w:nsid w:val="590D1CA9"/>
    <w:multiLevelType w:val="hybridMultilevel"/>
    <w:tmpl w:val="6F660138"/>
    <w:lvl w:ilvl="0" w:tplc="6CA43014">
      <w:start w:val="1"/>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16">
    <w:nsid w:val="59585AE6"/>
    <w:multiLevelType w:val="hybridMultilevel"/>
    <w:tmpl w:val="533A27B4"/>
    <w:lvl w:ilvl="0" w:tplc="3BA23654">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7">
    <w:nsid w:val="59735DCF"/>
    <w:multiLevelType w:val="hybridMultilevel"/>
    <w:tmpl w:val="18E2E2C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8">
    <w:nsid w:val="5975247F"/>
    <w:multiLevelType w:val="hybridMultilevel"/>
    <w:tmpl w:val="A1EA0F74"/>
    <w:lvl w:ilvl="0" w:tplc="2A124AE6">
      <w:start w:val="1"/>
      <w:numFmt w:val="decimal"/>
      <w:lvlText w:val="%1."/>
      <w:lvlJc w:val="left"/>
      <w:pPr>
        <w:tabs>
          <w:tab w:val="num" w:pos="720"/>
        </w:tabs>
        <w:ind w:left="720" w:hanging="360"/>
      </w:pPr>
    </w:lvl>
    <w:lvl w:ilvl="1" w:tplc="C8029ADE" w:tentative="1">
      <w:start w:val="1"/>
      <w:numFmt w:val="decimal"/>
      <w:lvlText w:val="%2."/>
      <w:lvlJc w:val="left"/>
      <w:pPr>
        <w:tabs>
          <w:tab w:val="num" w:pos="1440"/>
        </w:tabs>
        <w:ind w:left="1440" w:hanging="360"/>
      </w:pPr>
    </w:lvl>
    <w:lvl w:ilvl="2" w:tplc="AEF8EC72" w:tentative="1">
      <w:start w:val="1"/>
      <w:numFmt w:val="decimal"/>
      <w:lvlText w:val="%3."/>
      <w:lvlJc w:val="left"/>
      <w:pPr>
        <w:tabs>
          <w:tab w:val="num" w:pos="2160"/>
        </w:tabs>
        <w:ind w:left="2160" w:hanging="360"/>
      </w:pPr>
    </w:lvl>
    <w:lvl w:ilvl="3" w:tplc="6846B112" w:tentative="1">
      <w:start w:val="1"/>
      <w:numFmt w:val="decimal"/>
      <w:lvlText w:val="%4."/>
      <w:lvlJc w:val="left"/>
      <w:pPr>
        <w:tabs>
          <w:tab w:val="num" w:pos="2880"/>
        </w:tabs>
        <w:ind w:left="2880" w:hanging="360"/>
      </w:pPr>
    </w:lvl>
    <w:lvl w:ilvl="4" w:tplc="756C2DD8" w:tentative="1">
      <w:start w:val="1"/>
      <w:numFmt w:val="decimal"/>
      <w:lvlText w:val="%5."/>
      <w:lvlJc w:val="left"/>
      <w:pPr>
        <w:tabs>
          <w:tab w:val="num" w:pos="3600"/>
        </w:tabs>
        <w:ind w:left="3600" w:hanging="360"/>
      </w:pPr>
    </w:lvl>
    <w:lvl w:ilvl="5" w:tplc="1BDE5FB4" w:tentative="1">
      <w:start w:val="1"/>
      <w:numFmt w:val="decimal"/>
      <w:lvlText w:val="%6."/>
      <w:lvlJc w:val="left"/>
      <w:pPr>
        <w:tabs>
          <w:tab w:val="num" w:pos="4320"/>
        </w:tabs>
        <w:ind w:left="4320" w:hanging="360"/>
      </w:pPr>
    </w:lvl>
    <w:lvl w:ilvl="6" w:tplc="120E1F7A" w:tentative="1">
      <w:start w:val="1"/>
      <w:numFmt w:val="decimal"/>
      <w:lvlText w:val="%7."/>
      <w:lvlJc w:val="left"/>
      <w:pPr>
        <w:tabs>
          <w:tab w:val="num" w:pos="5040"/>
        </w:tabs>
        <w:ind w:left="5040" w:hanging="360"/>
      </w:pPr>
    </w:lvl>
    <w:lvl w:ilvl="7" w:tplc="FD66ED28" w:tentative="1">
      <w:start w:val="1"/>
      <w:numFmt w:val="decimal"/>
      <w:lvlText w:val="%8."/>
      <w:lvlJc w:val="left"/>
      <w:pPr>
        <w:tabs>
          <w:tab w:val="num" w:pos="5760"/>
        </w:tabs>
        <w:ind w:left="5760" w:hanging="360"/>
      </w:pPr>
    </w:lvl>
    <w:lvl w:ilvl="8" w:tplc="9CA29B62" w:tentative="1">
      <w:start w:val="1"/>
      <w:numFmt w:val="decimal"/>
      <w:lvlText w:val="%9."/>
      <w:lvlJc w:val="left"/>
      <w:pPr>
        <w:tabs>
          <w:tab w:val="num" w:pos="6480"/>
        </w:tabs>
        <w:ind w:left="6480" w:hanging="360"/>
      </w:pPr>
    </w:lvl>
  </w:abstractNum>
  <w:abstractNum w:abstractNumId="619">
    <w:nsid w:val="598B7D61"/>
    <w:multiLevelType w:val="multilevel"/>
    <w:tmpl w:val="2BDCFC96"/>
    <w:lvl w:ilvl="0">
      <w:start w:val="1"/>
      <w:numFmt w:val="decimal"/>
      <w:lvlText w:val="%1."/>
      <w:lvlJc w:val="left"/>
      <w:pPr>
        <w:ind w:left="360" w:hanging="360"/>
      </w:pPr>
      <w:rPr>
        <w:rFonts w:hint="default"/>
        <w:color w:val="3366FF"/>
      </w:rPr>
    </w:lvl>
    <w:lvl w:ilvl="1">
      <w:start w:val="1"/>
      <w:numFmt w:val="decimal"/>
      <w:lvlText w:val="%1.%2."/>
      <w:lvlJc w:val="left"/>
      <w:pPr>
        <w:ind w:left="792" w:hanging="432"/>
      </w:pPr>
    </w:lvl>
    <w:lvl w:ilvl="2">
      <w:start w:val="1"/>
      <w:numFmt w:val="decimal"/>
      <w:lvlText w:val="%1.%2.%3."/>
      <w:lvlJc w:val="left"/>
      <w:pPr>
        <w:ind w:left="1224" w:hanging="504"/>
      </w:pPr>
      <w:rPr>
        <w:color w:val="3366FF"/>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0">
    <w:nsid w:val="59F97DFB"/>
    <w:multiLevelType w:val="hybridMultilevel"/>
    <w:tmpl w:val="2504682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1">
    <w:nsid w:val="5A2463DD"/>
    <w:multiLevelType w:val="hybridMultilevel"/>
    <w:tmpl w:val="E334EF34"/>
    <w:lvl w:ilvl="0" w:tplc="63F043EE">
      <w:start w:val="1"/>
      <w:numFmt w:val="bullet"/>
      <w:lvlText w:val=""/>
      <w:lvlJc w:val="left"/>
      <w:pPr>
        <w:tabs>
          <w:tab w:val="num" w:pos="720"/>
        </w:tabs>
        <w:ind w:left="720" w:hanging="360"/>
      </w:pPr>
      <w:rPr>
        <w:rFonts w:ascii="Symbol" w:hAnsi="Symbol" w:hint="default"/>
        <w:sz w:val="20"/>
      </w:rPr>
    </w:lvl>
    <w:lvl w:ilvl="1" w:tplc="7F7E71A0" w:tentative="1">
      <w:start w:val="1"/>
      <w:numFmt w:val="bullet"/>
      <w:lvlText w:val="o"/>
      <w:lvlJc w:val="left"/>
      <w:pPr>
        <w:tabs>
          <w:tab w:val="num" w:pos="1440"/>
        </w:tabs>
        <w:ind w:left="1440" w:hanging="360"/>
      </w:pPr>
      <w:rPr>
        <w:rFonts w:ascii="Courier New" w:hAnsi="Courier New" w:hint="default"/>
        <w:sz w:val="20"/>
      </w:rPr>
    </w:lvl>
    <w:lvl w:ilvl="2" w:tplc="78167B06" w:tentative="1">
      <w:start w:val="1"/>
      <w:numFmt w:val="bullet"/>
      <w:lvlText w:val=""/>
      <w:lvlJc w:val="left"/>
      <w:pPr>
        <w:tabs>
          <w:tab w:val="num" w:pos="2160"/>
        </w:tabs>
        <w:ind w:left="2160" w:hanging="360"/>
      </w:pPr>
      <w:rPr>
        <w:rFonts w:ascii="Wingdings" w:hAnsi="Wingdings" w:hint="default"/>
        <w:sz w:val="20"/>
      </w:rPr>
    </w:lvl>
    <w:lvl w:ilvl="3" w:tplc="242ACA40" w:tentative="1">
      <w:start w:val="1"/>
      <w:numFmt w:val="bullet"/>
      <w:lvlText w:val=""/>
      <w:lvlJc w:val="left"/>
      <w:pPr>
        <w:tabs>
          <w:tab w:val="num" w:pos="2880"/>
        </w:tabs>
        <w:ind w:left="2880" w:hanging="360"/>
      </w:pPr>
      <w:rPr>
        <w:rFonts w:ascii="Wingdings" w:hAnsi="Wingdings" w:hint="default"/>
        <w:sz w:val="20"/>
      </w:rPr>
    </w:lvl>
    <w:lvl w:ilvl="4" w:tplc="7456A2D0" w:tentative="1">
      <w:start w:val="1"/>
      <w:numFmt w:val="bullet"/>
      <w:lvlText w:val=""/>
      <w:lvlJc w:val="left"/>
      <w:pPr>
        <w:tabs>
          <w:tab w:val="num" w:pos="3600"/>
        </w:tabs>
        <w:ind w:left="3600" w:hanging="360"/>
      </w:pPr>
      <w:rPr>
        <w:rFonts w:ascii="Wingdings" w:hAnsi="Wingdings" w:hint="default"/>
        <w:sz w:val="20"/>
      </w:rPr>
    </w:lvl>
    <w:lvl w:ilvl="5" w:tplc="6ECC1CFC" w:tentative="1">
      <w:start w:val="1"/>
      <w:numFmt w:val="bullet"/>
      <w:lvlText w:val=""/>
      <w:lvlJc w:val="left"/>
      <w:pPr>
        <w:tabs>
          <w:tab w:val="num" w:pos="4320"/>
        </w:tabs>
        <w:ind w:left="4320" w:hanging="360"/>
      </w:pPr>
      <w:rPr>
        <w:rFonts w:ascii="Wingdings" w:hAnsi="Wingdings" w:hint="default"/>
        <w:sz w:val="20"/>
      </w:rPr>
    </w:lvl>
    <w:lvl w:ilvl="6" w:tplc="4970AACC" w:tentative="1">
      <w:start w:val="1"/>
      <w:numFmt w:val="bullet"/>
      <w:lvlText w:val=""/>
      <w:lvlJc w:val="left"/>
      <w:pPr>
        <w:tabs>
          <w:tab w:val="num" w:pos="5040"/>
        </w:tabs>
        <w:ind w:left="5040" w:hanging="360"/>
      </w:pPr>
      <w:rPr>
        <w:rFonts w:ascii="Wingdings" w:hAnsi="Wingdings" w:hint="default"/>
        <w:sz w:val="20"/>
      </w:rPr>
    </w:lvl>
    <w:lvl w:ilvl="7" w:tplc="EFE8617A" w:tentative="1">
      <w:start w:val="1"/>
      <w:numFmt w:val="bullet"/>
      <w:lvlText w:val=""/>
      <w:lvlJc w:val="left"/>
      <w:pPr>
        <w:tabs>
          <w:tab w:val="num" w:pos="5760"/>
        </w:tabs>
        <w:ind w:left="5760" w:hanging="360"/>
      </w:pPr>
      <w:rPr>
        <w:rFonts w:ascii="Wingdings" w:hAnsi="Wingdings" w:hint="default"/>
        <w:sz w:val="20"/>
      </w:rPr>
    </w:lvl>
    <w:lvl w:ilvl="8" w:tplc="11C07208" w:tentative="1">
      <w:start w:val="1"/>
      <w:numFmt w:val="bullet"/>
      <w:lvlText w:val=""/>
      <w:lvlJc w:val="left"/>
      <w:pPr>
        <w:tabs>
          <w:tab w:val="num" w:pos="6480"/>
        </w:tabs>
        <w:ind w:left="6480" w:hanging="360"/>
      </w:pPr>
      <w:rPr>
        <w:rFonts w:ascii="Wingdings" w:hAnsi="Wingdings" w:hint="default"/>
        <w:sz w:val="20"/>
      </w:rPr>
    </w:lvl>
  </w:abstractNum>
  <w:abstractNum w:abstractNumId="622">
    <w:nsid w:val="5A274580"/>
    <w:multiLevelType w:val="hybridMultilevel"/>
    <w:tmpl w:val="2524261E"/>
    <w:lvl w:ilvl="0" w:tplc="04150005">
      <w:start w:val="1"/>
      <w:numFmt w:val="bullet"/>
      <w:lvlText w:val=""/>
      <w:lvlJc w:val="left"/>
      <w:pPr>
        <w:tabs>
          <w:tab w:val="num" w:pos="720"/>
        </w:tabs>
        <w:ind w:left="720" w:hanging="360"/>
      </w:pPr>
      <w:rPr>
        <w:rFonts w:ascii="Wingdings" w:hAnsi="Wingdings" w:hint="default"/>
        <w:sz w:val="20"/>
      </w:rPr>
    </w:lvl>
    <w:lvl w:ilvl="1" w:tplc="47E8EDB2" w:tentative="1">
      <w:start w:val="1"/>
      <w:numFmt w:val="bullet"/>
      <w:lvlText w:val="o"/>
      <w:lvlJc w:val="left"/>
      <w:pPr>
        <w:tabs>
          <w:tab w:val="num" w:pos="1440"/>
        </w:tabs>
        <w:ind w:left="1440" w:hanging="360"/>
      </w:pPr>
      <w:rPr>
        <w:rFonts w:ascii="Courier New" w:hAnsi="Courier New" w:hint="default"/>
        <w:sz w:val="20"/>
      </w:rPr>
    </w:lvl>
    <w:lvl w:ilvl="2" w:tplc="5ACC9DD2" w:tentative="1">
      <w:start w:val="1"/>
      <w:numFmt w:val="bullet"/>
      <w:lvlText w:val=""/>
      <w:lvlJc w:val="left"/>
      <w:pPr>
        <w:tabs>
          <w:tab w:val="num" w:pos="2160"/>
        </w:tabs>
        <w:ind w:left="2160" w:hanging="360"/>
      </w:pPr>
      <w:rPr>
        <w:rFonts w:ascii="Wingdings" w:hAnsi="Wingdings" w:hint="default"/>
        <w:sz w:val="20"/>
      </w:rPr>
    </w:lvl>
    <w:lvl w:ilvl="3" w:tplc="0854D78E" w:tentative="1">
      <w:start w:val="1"/>
      <w:numFmt w:val="bullet"/>
      <w:lvlText w:val=""/>
      <w:lvlJc w:val="left"/>
      <w:pPr>
        <w:tabs>
          <w:tab w:val="num" w:pos="2880"/>
        </w:tabs>
        <w:ind w:left="2880" w:hanging="360"/>
      </w:pPr>
      <w:rPr>
        <w:rFonts w:ascii="Wingdings" w:hAnsi="Wingdings" w:hint="default"/>
        <w:sz w:val="20"/>
      </w:rPr>
    </w:lvl>
    <w:lvl w:ilvl="4" w:tplc="DCFE795A" w:tentative="1">
      <w:start w:val="1"/>
      <w:numFmt w:val="bullet"/>
      <w:lvlText w:val=""/>
      <w:lvlJc w:val="left"/>
      <w:pPr>
        <w:tabs>
          <w:tab w:val="num" w:pos="3600"/>
        </w:tabs>
        <w:ind w:left="3600" w:hanging="360"/>
      </w:pPr>
      <w:rPr>
        <w:rFonts w:ascii="Wingdings" w:hAnsi="Wingdings" w:hint="default"/>
        <w:sz w:val="20"/>
      </w:rPr>
    </w:lvl>
    <w:lvl w:ilvl="5" w:tplc="E2742EFE" w:tentative="1">
      <w:start w:val="1"/>
      <w:numFmt w:val="bullet"/>
      <w:lvlText w:val=""/>
      <w:lvlJc w:val="left"/>
      <w:pPr>
        <w:tabs>
          <w:tab w:val="num" w:pos="4320"/>
        </w:tabs>
        <w:ind w:left="4320" w:hanging="360"/>
      </w:pPr>
      <w:rPr>
        <w:rFonts w:ascii="Wingdings" w:hAnsi="Wingdings" w:hint="default"/>
        <w:sz w:val="20"/>
      </w:rPr>
    </w:lvl>
    <w:lvl w:ilvl="6" w:tplc="2550FA68" w:tentative="1">
      <w:start w:val="1"/>
      <w:numFmt w:val="bullet"/>
      <w:lvlText w:val=""/>
      <w:lvlJc w:val="left"/>
      <w:pPr>
        <w:tabs>
          <w:tab w:val="num" w:pos="5040"/>
        </w:tabs>
        <w:ind w:left="5040" w:hanging="360"/>
      </w:pPr>
      <w:rPr>
        <w:rFonts w:ascii="Wingdings" w:hAnsi="Wingdings" w:hint="default"/>
        <w:sz w:val="20"/>
      </w:rPr>
    </w:lvl>
    <w:lvl w:ilvl="7" w:tplc="0DAE25A6" w:tentative="1">
      <w:start w:val="1"/>
      <w:numFmt w:val="bullet"/>
      <w:lvlText w:val=""/>
      <w:lvlJc w:val="left"/>
      <w:pPr>
        <w:tabs>
          <w:tab w:val="num" w:pos="5760"/>
        </w:tabs>
        <w:ind w:left="5760" w:hanging="360"/>
      </w:pPr>
      <w:rPr>
        <w:rFonts w:ascii="Wingdings" w:hAnsi="Wingdings" w:hint="default"/>
        <w:sz w:val="20"/>
      </w:rPr>
    </w:lvl>
    <w:lvl w:ilvl="8" w:tplc="B388FA0E" w:tentative="1">
      <w:start w:val="1"/>
      <w:numFmt w:val="bullet"/>
      <w:lvlText w:val=""/>
      <w:lvlJc w:val="left"/>
      <w:pPr>
        <w:tabs>
          <w:tab w:val="num" w:pos="6480"/>
        </w:tabs>
        <w:ind w:left="6480" w:hanging="360"/>
      </w:pPr>
      <w:rPr>
        <w:rFonts w:ascii="Wingdings" w:hAnsi="Wingdings" w:hint="default"/>
        <w:sz w:val="20"/>
      </w:rPr>
    </w:lvl>
  </w:abstractNum>
  <w:abstractNum w:abstractNumId="623">
    <w:nsid w:val="5A647002"/>
    <w:multiLevelType w:val="hybridMultilevel"/>
    <w:tmpl w:val="BC9C597E"/>
    <w:lvl w:ilvl="0" w:tplc="92F2F980">
      <w:start w:val="1"/>
      <w:numFmt w:val="decimal"/>
      <w:lvlText w:val="%1."/>
      <w:lvlJc w:val="left"/>
      <w:pPr>
        <w:ind w:left="720" w:hanging="360"/>
      </w:pPr>
      <w:rPr>
        <w:rFonts w:ascii="Calibri" w:hAnsi="Calibri"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624">
    <w:nsid w:val="5A694068"/>
    <w:multiLevelType w:val="hybridMultilevel"/>
    <w:tmpl w:val="F98E6D22"/>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5">
    <w:nsid w:val="5A9A1D46"/>
    <w:multiLevelType w:val="multilevel"/>
    <w:tmpl w:val="5F1649DC"/>
    <w:lvl w:ilvl="0">
      <w:start w:val="2"/>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26">
    <w:nsid w:val="5AD0372B"/>
    <w:multiLevelType w:val="hybridMultilevel"/>
    <w:tmpl w:val="084A7BC4"/>
    <w:lvl w:ilvl="0" w:tplc="04150005">
      <w:start w:val="1"/>
      <w:numFmt w:val="bullet"/>
      <w:lvlText w:val=""/>
      <w:lvlJc w:val="left"/>
      <w:pPr>
        <w:ind w:left="780" w:hanging="360"/>
      </w:pPr>
      <w:rPr>
        <w:rFonts w:ascii="Wingdings" w:hAnsi="Wingdings" w:hint="default"/>
      </w:rPr>
    </w:lvl>
    <w:lvl w:ilvl="1" w:tplc="04150003">
      <w:start w:val="1"/>
      <w:numFmt w:val="decimal"/>
      <w:lvlText w:val="%2."/>
      <w:lvlJc w:val="left"/>
      <w:pPr>
        <w:tabs>
          <w:tab w:val="num" w:pos="1440"/>
        </w:tabs>
        <w:ind w:left="1440" w:hanging="360"/>
      </w:pPr>
      <w:rPr>
        <w:rFonts w:ascii="Times New Roman" w:hAnsi="Times New Roman" w:cs="Times New Roman"/>
      </w:rPr>
    </w:lvl>
    <w:lvl w:ilvl="2" w:tplc="04150005">
      <w:start w:val="1"/>
      <w:numFmt w:val="decimal"/>
      <w:lvlText w:val="%3."/>
      <w:lvlJc w:val="left"/>
      <w:pPr>
        <w:tabs>
          <w:tab w:val="num" w:pos="2160"/>
        </w:tabs>
        <w:ind w:left="2160" w:hanging="360"/>
      </w:pPr>
      <w:rPr>
        <w:rFonts w:ascii="Times New Roman" w:hAnsi="Times New Roman" w:cs="Times New Roman"/>
      </w:rPr>
    </w:lvl>
    <w:lvl w:ilvl="3" w:tplc="04150001">
      <w:start w:val="1"/>
      <w:numFmt w:val="decimal"/>
      <w:lvlText w:val="%4."/>
      <w:lvlJc w:val="left"/>
      <w:pPr>
        <w:tabs>
          <w:tab w:val="num" w:pos="2880"/>
        </w:tabs>
        <w:ind w:left="2880" w:hanging="360"/>
      </w:pPr>
      <w:rPr>
        <w:rFonts w:ascii="Times New Roman" w:hAnsi="Times New Roman" w:cs="Times New Roman"/>
      </w:rPr>
    </w:lvl>
    <w:lvl w:ilvl="4" w:tplc="04150003">
      <w:start w:val="1"/>
      <w:numFmt w:val="decimal"/>
      <w:lvlText w:val="%5."/>
      <w:lvlJc w:val="left"/>
      <w:pPr>
        <w:tabs>
          <w:tab w:val="num" w:pos="3600"/>
        </w:tabs>
        <w:ind w:left="3600" w:hanging="360"/>
      </w:pPr>
      <w:rPr>
        <w:rFonts w:ascii="Times New Roman" w:hAnsi="Times New Roman" w:cs="Times New Roman"/>
      </w:rPr>
    </w:lvl>
    <w:lvl w:ilvl="5" w:tplc="04150005">
      <w:start w:val="1"/>
      <w:numFmt w:val="decimal"/>
      <w:lvlText w:val="%6."/>
      <w:lvlJc w:val="left"/>
      <w:pPr>
        <w:tabs>
          <w:tab w:val="num" w:pos="4320"/>
        </w:tabs>
        <w:ind w:left="4320" w:hanging="360"/>
      </w:pPr>
      <w:rPr>
        <w:rFonts w:ascii="Times New Roman" w:hAnsi="Times New Roman" w:cs="Times New Roman"/>
      </w:rPr>
    </w:lvl>
    <w:lvl w:ilvl="6" w:tplc="04150001">
      <w:start w:val="1"/>
      <w:numFmt w:val="decimal"/>
      <w:lvlText w:val="%7."/>
      <w:lvlJc w:val="left"/>
      <w:pPr>
        <w:tabs>
          <w:tab w:val="num" w:pos="5040"/>
        </w:tabs>
        <w:ind w:left="5040" w:hanging="360"/>
      </w:pPr>
      <w:rPr>
        <w:rFonts w:ascii="Times New Roman" w:hAnsi="Times New Roman" w:cs="Times New Roman"/>
      </w:rPr>
    </w:lvl>
    <w:lvl w:ilvl="7" w:tplc="04150003">
      <w:start w:val="1"/>
      <w:numFmt w:val="decimal"/>
      <w:lvlText w:val="%8."/>
      <w:lvlJc w:val="left"/>
      <w:pPr>
        <w:tabs>
          <w:tab w:val="num" w:pos="5760"/>
        </w:tabs>
        <w:ind w:left="5760" w:hanging="360"/>
      </w:pPr>
      <w:rPr>
        <w:rFonts w:ascii="Times New Roman" w:hAnsi="Times New Roman" w:cs="Times New Roman"/>
      </w:rPr>
    </w:lvl>
    <w:lvl w:ilvl="8" w:tplc="04150005">
      <w:start w:val="1"/>
      <w:numFmt w:val="decimal"/>
      <w:lvlText w:val="%9."/>
      <w:lvlJc w:val="left"/>
      <w:pPr>
        <w:tabs>
          <w:tab w:val="num" w:pos="6480"/>
        </w:tabs>
        <w:ind w:left="6480" w:hanging="360"/>
      </w:pPr>
      <w:rPr>
        <w:rFonts w:ascii="Times New Roman" w:hAnsi="Times New Roman" w:cs="Times New Roman"/>
      </w:rPr>
    </w:lvl>
  </w:abstractNum>
  <w:abstractNum w:abstractNumId="627">
    <w:nsid w:val="5AEE1774"/>
    <w:multiLevelType w:val="hybridMultilevel"/>
    <w:tmpl w:val="EBE08B08"/>
    <w:lvl w:ilvl="0" w:tplc="365E28C0">
      <w:start w:val="1"/>
      <w:numFmt w:val="bullet"/>
      <w:lvlText w:val=""/>
      <w:lvlJc w:val="left"/>
      <w:pPr>
        <w:tabs>
          <w:tab w:val="num" w:pos="720"/>
        </w:tabs>
        <w:ind w:left="720" w:hanging="360"/>
      </w:pPr>
      <w:rPr>
        <w:rFonts w:ascii="Symbol" w:hAnsi="Symbol" w:hint="default"/>
        <w:sz w:val="20"/>
      </w:rPr>
    </w:lvl>
    <w:lvl w:ilvl="1" w:tplc="95066E4C" w:tentative="1">
      <w:start w:val="1"/>
      <w:numFmt w:val="bullet"/>
      <w:lvlText w:val="o"/>
      <w:lvlJc w:val="left"/>
      <w:pPr>
        <w:tabs>
          <w:tab w:val="num" w:pos="1440"/>
        </w:tabs>
        <w:ind w:left="1440" w:hanging="360"/>
      </w:pPr>
      <w:rPr>
        <w:rFonts w:ascii="Courier New" w:hAnsi="Courier New" w:hint="default"/>
        <w:sz w:val="20"/>
      </w:rPr>
    </w:lvl>
    <w:lvl w:ilvl="2" w:tplc="F1528B44" w:tentative="1">
      <w:start w:val="1"/>
      <w:numFmt w:val="bullet"/>
      <w:lvlText w:val=""/>
      <w:lvlJc w:val="left"/>
      <w:pPr>
        <w:tabs>
          <w:tab w:val="num" w:pos="2160"/>
        </w:tabs>
        <w:ind w:left="2160" w:hanging="360"/>
      </w:pPr>
      <w:rPr>
        <w:rFonts w:ascii="Wingdings" w:hAnsi="Wingdings" w:hint="default"/>
        <w:sz w:val="20"/>
      </w:rPr>
    </w:lvl>
    <w:lvl w:ilvl="3" w:tplc="53D8203C" w:tentative="1">
      <w:start w:val="1"/>
      <w:numFmt w:val="bullet"/>
      <w:lvlText w:val=""/>
      <w:lvlJc w:val="left"/>
      <w:pPr>
        <w:tabs>
          <w:tab w:val="num" w:pos="2880"/>
        </w:tabs>
        <w:ind w:left="2880" w:hanging="360"/>
      </w:pPr>
      <w:rPr>
        <w:rFonts w:ascii="Wingdings" w:hAnsi="Wingdings" w:hint="default"/>
        <w:sz w:val="20"/>
      </w:rPr>
    </w:lvl>
    <w:lvl w:ilvl="4" w:tplc="09EE5180" w:tentative="1">
      <w:start w:val="1"/>
      <w:numFmt w:val="bullet"/>
      <w:lvlText w:val=""/>
      <w:lvlJc w:val="left"/>
      <w:pPr>
        <w:tabs>
          <w:tab w:val="num" w:pos="3600"/>
        </w:tabs>
        <w:ind w:left="3600" w:hanging="360"/>
      </w:pPr>
      <w:rPr>
        <w:rFonts w:ascii="Wingdings" w:hAnsi="Wingdings" w:hint="default"/>
        <w:sz w:val="20"/>
      </w:rPr>
    </w:lvl>
    <w:lvl w:ilvl="5" w:tplc="EF949BCE" w:tentative="1">
      <w:start w:val="1"/>
      <w:numFmt w:val="bullet"/>
      <w:lvlText w:val=""/>
      <w:lvlJc w:val="left"/>
      <w:pPr>
        <w:tabs>
          <w:tab w:val="num" w:pos="4320"/>
        </w:tabs>
        <w:ind w:left="4320" w:hanging="360"/>
      </w:pPr>
      <w:rPr>
        <w:rFonts w:ascii="Wingdings" w:hAnsi="Wingdings" w:hint="default"/>
        <w:sz w:val="20"/>
      </w:rPr>
    </w:lvl>
    <w:lvl w:ilvl="6" w:tplc="BFDA8288" w:tentative="1">
      <w:start w:val="1"/>
      <w:numFmt w:val="bullet"/>
      <w:lvlText w:val=""/>
      <w:lvlJc w:val="left"/>
      <w:pPr>
        <w:tabs>
          <w:tab w:val="num" w:pos="5040"/>
        </w:tabs>
        <w:ind w:left="5040" w:hanging="360"/>
      </w:pPr>
      <w:rPr>
        <w:rFonts w:ascii="Wingdings" w:hAnsi="Wingdings" w:hint="default"/>
        <w:sz w:val="20"/>
      </w:rPr>
    </w:lvl>
    <w:lvl w:ilvl="7" w:tplc="14DC9416" w:tentative="1">
      <w:start w:val="1"/>
      <w:numFmt w:val="bullet"/>
      <w:lvlText w:val=""/>
      <w:lvlJc w:val="left"/>
      <w:pPr>
        <w:tabs>
          <w:tab w:val="num" w:pos="5760"/>
        </w:tabs>
        <w:ind w:left="5760" w:hanging="360"/>
      </w:pPr>
      <w:rPr>
        <w:rFonts w:ascii="Wingdings" w:hAnsi="Wingdings" w:hint="default"/>
        <w:sz w:val="20"/>
      </w:rPr>
    </w:lvl>
    <w:lvl w:ilvl="8" w:tplc="82C431C2" w:tentative="1">
      <w:start w:val="1"/>
      <w:numFmt w:val="bullet"/>
      <w:lvlText w:val=""/>
      <w:lvlJc w:val="left"/>
      <w:pPr>
        <w:tabs>
          <w:tab w:val="num" w:pos="6480"/>
        </w:tabs>
        <w:ind w:left="6480" w:hanging="360"/>
      </w:pPr>
      <w:rPr>
        <w:rFonts w:ascii="Wingdings" w:hAnsi="Wingdings" w:hint="default"/>
        <w:sz w:val="20"/>
      </w:rPr>
    </w:lvl>
  </w:abstractNum>
  <w:abstractNum w:abstractNumId="628">
    <w:nsid w:val="5B063A27"/>
    <w:multiLevelType w:val="hybridMultilevel"/>
    <w:tmpl w:val="34261BE6"/>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9">
    <w:nsid w:val="5B7C644D"/>
    <w:multiLevelType w:val="hybridMultilevel"/>
    <w:tmpl w:val="4FEEE998"/>
    <w:lvl w:ilvl="0" w:tplc="21DE8A86">
      <w:start w:val="1"/>
      <w:numFmt w:val="bullet"/>
      <w:lvlText w:val=""/>
      <w:lvlJc w:val="left"/>
      <w:pPr>
        <w:ind w:left="720" w:hanging="360"/>
      </w:pPr>
      <w:rPr>
        <w:rFonts w:ascii="Wingdings" w:hAnsi="Wingdings" w:hint="default"/>
        <w:sz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30">
    <w:nsid w:val="5BF3300A"/>
    <w:multiLevelType w:val="multilevel"/>
    <w:tmpl w:val="76868FB0"/>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31">
    <w:nsid w:val="5BF34310"/>
    <w:multiLevelType w:val="multilevel"/>
    <w:tmpl w:val="164A5464"/>
    <w:styleLink w:val="WWNum130"/>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632">
    <w:nsid w:val="5C2077C3"/>
    <w:multiLevelType w:val="hybridMultilevel"/>
    <w:tmpl w:val="6958B64A"/>
    <w:lvl w:ilvl="0" w:tplc="3BA23654">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33">
    <w:nsid w:val="5C4D530C"/>
    <w:multiLevelType w:val="hybridMultilevel"/>
    <w:tmpl w:val="540CDAA8"/>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34">
    <w:nsid w:val="5C57457B"/>
    <w:multiLevelType w:val="hybridMultilevel"/>
    <w:tmpl w:val="7F80EE5C"/>
    <w:lvl w:ilvl="0" w:tplc="FF70172E">
      <w:start w:val="1"/>
      <w:numFmt w:val="decimal"/>
      <w:lvlText w:val="K3.3.%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35">
    <w:nsid w:val="5C613065"/>
    <w:multiLevelType w:val="multilevel"/>
    <w:tmpl w:val="49DAAD7A"/>
    <w:lvl w:ilvl="0">
      <w:start w:val="1"/>
      <w:numFmt w:val="decimal"/>
      <w:lvlText w:val="%1."/>
      <w:lvlJc w:val="left"/>
      <w:pPr>
        <w:tabs>
          <w:tab w:val="num" w:pos="360"/>
        </w:tabs>
        <w:ind w:left="360" w:hanging="360"/>
      </w:pPr>
    </w:lvl>
    <w:lvl w:ilvl="1">
      <w:start w:val="1"/>
      <w:numFmt w:val="decimal"/>
      <w:isLgl/>
      <w:lvlText w:val="%1.%2"/>
      <w:lvlJc w:val="left"/>
      <w:pPr>
        <w:ind w:left="717" w:hanging="360"/>
      </w:pPr>
      <w:rPr>
        <w:rFonts w:hint="default"/>
      </w:rPr>
    </w:lvl>
    <w:lvl w:ilvl="2">
      <w:start w:val="1"/>
      <w:numFmt w:val="decimal"/>
      <w:isLgl/>
      <w:lvlText w:val="%1.%2.%3"/>
      <w:lvlJc w:val="left"/>
      <w:pPr>
        <w:ind w:left="1434" w:hanging="720"/>
      </w:pPr>
      <w:rPr>
        <w:rFonts w:hint="default"/>
      </w:rPr>
    </w:lvl>
    <w:lvl w:ilvl="3">
      <w:start w:val="1"/>
      <w:numFmt w:val="decimal"/>
      <w:isLgl/>
      <w:lvlText w:val="%1.%2.%3.%4"/>
      <w:lvlJc w:val="left"/>
      <w:pPr>
        <w:ind w:left="1791" w:hanging="720"/>
      </w:pPr>
      <w:rPr>
        <w:rFonts w:hint="default"/>
      </w:rPr>
    </w:lvl>
    <w:lvl w:ilvl="4">
      <w:start w:val="1"/>
      <w:numFmt w:val="decimal"/>
      <w:isLgl/>
      <w:lvlText w:val="%1.%2.%3.%4.%5"/>
      <w:lvlJc w:val="left"/>
      <w:pPr>
        <w:ind w:left="2508" w:hanging="1080"/>
      </w:pPr>
      <w:rPr>
        <w:rFonts w:hint="default"/>
      </w:rPr>
    </w:lvl>
    <w:lvl w:ilvl="5">
      <w:start w:val="1"/>
      <w:numFmt w:val="decimal"/>
      <w:isLgl/>
      <w:lvlText w:val="%1.%2.%3.%4.%5.%6"/>
      <w:lvlJc w:val="left"/>
      <w:pPr>
        <w:ind w:left="2865" w:hanging="1080"/>
      </w:pPr>
      <w:rPr>
        <w:rFonts w:hint="default"/>
      </w:rPr>
    </w:lvl>
    <w:lvl w:ilvl="6">
      <w:start w:val="1"/>
      <w:numFmt w:val="decimal"/>
      <w:isLgl/>
      <w:lvlText w:val="%1.%2.%3.%4.%5.%6.%7"/>
      <w:lvlJc w:val="left"/>
      <w:pPr>
        <w:ind w:left="3582" w:hanging="1440"/>
      </w:pPr>
      <w:rPr>
        <w:rFonts w:hint="default"/>
      </w:rPr>
    </w:lvl>
    <w:lvl w:ilvl="7">
      <w:start w:val="1"/>
      <w:numFmt w:val="decimal"/>
      <w:isLgl/>
      <w:lvlText w:val="%1.%2.%3.%4.%5.%6.%7.%8"/>
      <w:lvlJc w:val="left"/>
      <w:pPr>
        <w:ind w:left="3939" w:hanging="1440"/>
      </w:pPr>
      <w:rPr>
        <w:rFonts w:hint="default"/>
      </w:rPr>
    </w:lvl>
    <w:lvl w:ilvl="8">
      <w:start w:val="1"/>
      <w:numFmt w:val="decimal"/>
      <w:isLgl/>
      <w:lvlText w:val="%1.%2.%3.%4.%5.%6.%7.%8.%9"/>
      <w:lvlJc w:val="left"/>
      <w:pPr>
        <w:ind w:left="4656" w:hanging="1800"/>
      </w:pPr>
      <w:rPr>
        <w:rFonts w:hint="default"/>
      </w:rPr>
    </w:lvl>
  </w:abstractNum>
  <w:abstractNum w:abstractNumId="636">
    <w:nsid w:val="5C7C44D9"/>
    <w:multiLevelType w:val="hybridMultilevel"/>
    <w:tmpl w:val="DF4AA8A2"/>
    <w:lvl w:ilvl="0" w:tplc="F5B6E37A">
      <w:start w:val="1"/>
      <w:numFmt w:val="bullet"/>
      <w:lvlText w:val=""/>
      <w:lvlJc w:val="left"/>
      <w:pPr>
        <w:tabs>
          <w:tab w:val="num" w:pos="720"/>
        </w:tabs>
        <w:ind w:left="720" w:hanging="360"/>
      </w:pPr>
      <w:rPr>
        <w:rFonts w:ascii="Symbol" w:hAnsi="Symbol" w:hint="default"/>
        <w:sz w:val="20"/>
      </w:rPr>
    </w:lvl>
    <w:lvl w:ilvl="1" w:tplc="43D498D6" w:tentative="1">
      <w:start w:val="1"/>
      <w:numFmt w:val="bullet"/>
      <w:lvlText w:val="o"/>
      <w:lvlJc w:val="left"/>
      <w:pPr>
        <w:tabs>
          <w:tab w:val="num" w:pos="1440"/>
        </w:tabs>
        <w:ind w:left="1440" w:hanging="360"/>
      </w:pPr>
      <w:rPr>
        <w:rFonts w:ascii="Courier New" w:hAnsi="Courier New" w:hint="default"/>
        <w:sz w:val="20"/>
      </w:rPr>
    </w:lvl>
    <w:lvl w:ilvl="2" w:tplc="EDCA022E" w:tentative="1">
      <w:start w:val="1"/>
      <w:numFmt w:val="bullet"/>
      <w:lvlText w:val=""/>
      <w:lvlJc w:val="left"/>
      <w:pPr>
        <w:tabs>
          <w:tab w:val="num" w:pos="2160"/>
        </w:tabs>
        <w:ind w:left="2160" w:hanging="360"/>
      </w:pPr>
      <w:rPr>
        <w:rFonts w:ascii="Wingdings" w:hAnsi="Wingdings" w:hint="default"/>
        <w:sz w:val="20"/>
      </w:rPr>
    </w:lvl>
    <w:lvl w:ilvl="3" w:tplc="151C19E2" w:tentative="1">
      <w:start w:val="1"/>
      <w:numFmt w:val="bullet"/>
      <w:lvlText w:val=""/>
      <w:lvlJc w:val="left"/>
      <w:pPr>
        <w:tabs>
          <w:tab w:val="num" w:pos="2880"/>
        </w:tabs>
        <w:ind w:left="2880" w:hanging="360"/>
      </w:pPr>
      <w:rPr>
        <w:rFonts w:ascii="Wingdings" w:hAnsi="Wingdings" w:hint="default"/>
        <w:sz w:val="20"/>
      </w:rPr>
    </w:lvl>
    <w:lvl w:ilvl="4" w:tplc="5338177C" w:tentative="1">
      <w:start w:val="1"/>
      <w:numFmt w:val="bullet"/>
      <w:lvlText w:val=""/>
      <w:lvlJc w:val="left"/>
      <w:pPr>
        <w:tabs>
          <w:tab w:val="num" w:pos="3600"/>
        </w:tabs>
        <w:ind w:left="3600" w:hanging="360"/>
      </w:pPr>
      <w:rPr>
        <w:rFonts w:ascii="Wingdings" w:hAnsi="Wingdings" w:hint="default"/>
        <w:sz w:val="20"/>
      </w:rPr>
    </w:lvl>
    <w:lvl w:ilvl="5" w:tplc="532E86EC" w:tentative="1">
      <w:start w:val="1"/>
      <w:numFmt w:val="bullet"/>
      <w:lvlText w:val=""/>
      <w:lvlJc w:val="left"/>
      <w:pPr>
        <w:tabs>
          <w:tab w:val="num" w:pos="4320"/>
        </w:tabs>
        <w:ind w:left="4320" w:hanging="360"/>
      </w:pPr>
      <w:rPr>
        <w:rFonts w:ascii="Wingdings" w:hAnsi="Wingdings" w:hint="default"/>
        <w:sz w:val="20"/>
      </w:rPr>
    </w:lvl>
    <w:lvl w:ilvl="6" w:tplc="8D4C0846" w:tentative="1">
      <w:start w:val="1"/>
      <w:numFmt w:val="bullet"/>
      <w:lvlText w:val=""/>
      <w:lvlJc w:val="left"/>
      <w:pPr>
        <w:tabs>
          <w:tab w:val="num" w:pos="5040"/>
        </w:tabs>
        <w:ind w:left="5040" w:hanging="360"/>
      </w:pPr>
      <w:rPr>
        <w:rFonts w:ascii="Wingdings" w:hAnsi="Wingdings" w:hint="default"/>
        <w:sz w:val="20"/>
      </w:rPr>
    </w:lvl>
    <w:lvl w:ilvl="7" w:tplc="DB56121A" w:tentative="1">
      <w:start w:val="1"/>
      <w:numFmt w:val="bullet"/>
      <w:lvlText w:val=""/>
      <w:lvlJc w:val="left"/>
      <w:pPr>
        <w:tabs>
          <w:tab w:val="num" w:pos="5760"/>
        </w:tabs>
        <w:ind w:left="5760" w:hanging="360"/>
      </w:pPr>
      <w:rPr>
        <w:rFonts w:ascii="Wingdings" w:hAnsi="Wingdings" w:hint="default"/>
        <w:sz w:val="20"/>
      </w:rPr>
    </w:lvl>
    <w:lvl w:ilvl="8" w:tplc="E160E362" w:tentative="1">
      <w:start w:val="1"/>
      <w:numFmt w:val="bullet"/>
      <w:lvlText w:val=""/>
      <w:lvlJc w:val="left"/>
      <w:pPr>
        <w:tabs>
          <w:tab w:val="num" w:pos="6480"/>
        </w:tabs>
        <w:ind w:left="6480" w:hanging="360"/>
      </w:pPr>
      <w:rPr>
        <w:rFonts w:ascii="Wingdings" w:hAnsi="Wingdings" w:hint="default"/>
        <w:sz w:val="20"/>
      </w:rPr>
    </w:lvl>
  </w:abstractNum>
  <w:abstractNum w:abstractNumId="637">
    <w:nsid w:val="5C863E96"/>
    <w:multiLevelType w:val="hybridMultilevel"/>
    <w:tmpl w:val="933CF98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8">
    <w:nsid w:val="5C950F04"/>
    <w:multiLevelType w:val="hybridMultilevel"/>
    <w:tmpl w:val="B58EB62A"/>
    <w:lvl w:ilvl="0" w:tplc="AAB686D2">
      <w:numFmt w:val="bullet"/>
      <w:lvlText w:val="-"/>
      <w:lvlJc w:val="left"/>
      <w:pPr>
        <w:tabs>
          <w:tab w:val="num" w:pos="360"/>
        </w:tabs>
        <w:ind w:left="340" w:hanging="34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39">
    <w:nsid w:val="5D3B5AC6"/>
    <w:multiLevelType w:val="hybridMultilevel"/>
    <w:tmpl w:val="6BA041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0">
    <w:nsid w:val="5DEC66C0"/>
    <w:multiLevelType w:val="hybridMultilevel"/>
    <w:tmpl w:val="4DECD936"/>
    <w:lvl w:ilvl="0" w:tplc="04150005">
      <w:start w:val="1"/>
      <w:numFmt w:val="bullet"/>
      <w:lvlText w:val=""/>
      <w:lvlJc w:val="left"/>
      <w:pPr>
        <w:tabs>
          <w:tab w:val="num" w:pos="720"/>
        </w:tabs>
        <w:ind w:left="720" w:hanging="360"/>
      </w:pPr>
      <w:rPr>
        <w:rFonts w:ascii="Wingdings" w:hAnsi="Wingdings" w:hint="default"/>
        <w:sz w:val="20"/>
      </w:rPr>
    </w:lvl>
    <w:lvl w:ilvl="1" w:tplc="DF7C16C2" w:tentative="1">
      <w:start w:val="1"/>
      <w:numFmt w:val="bullet"/>
      <w:lvlText w:val="o"/>
      <w:lvlJc w:val="left"/>
      <w:pPr>
        <w:tabs>
          <w:tab w:val="num" w:pos="1440"/>
        </w:tabs>
        <w:ind w:left="1440" w:hanging="360"/>
      </w:pPr>
      <w:rPr>
        <w:rFonts w:ascii="Courier New" w:hAnsi="Courier New" w:hint="default"/>
        <w:sz w:val="20"/>
      </w:rPr>
    </w:lvl>
    <w:lvl w:ilvl="2" w:tplc="9782C726" w:tentative="1">
      <w:start w:val="1"/>
      <w:numFmt w:val="bullet"/>
      <w:lvlText w:val=""/>
      <w:lvlJc w:val="left"/>
      <w:pPr>
        <w:tabs>
          <w:tab w:val="num" w:pos="2160"/>
        </w:tabs>
        <w:ind w:left="2160" w:hanging="360"/>
      </w:pPr>
      <w:rPr>
        <w:rFonts w:ascii="Wingdings" w:hAnsi="Wingdings" w:hint="default"/>
        <w:sz w:val="20"/>
      </w:rPr>
    </w:lvl>
    <w:lvl w:ilvl="3" w:tplc="8F482470" w:tentative="1">
      <w:start w:val="1"/>
      <w:numFmt w:val="bullet"/>
      <w:lvlText w:val=""/>
      <w:lvlJc w:val="left"/>
      <w:pPr>
        <w:tabs>
          <w:tab w:val="num" w:pos="2880"/>
        </w:tabs>
        <w:ind w:left="2880" w:hanging="360"/>
      </w:pPr>
      <w:rPr>
        <w:rFonts w:ascii="Wingdings" w:hAnsi="Wingdings" w:hint="default"/>
        <w:sz w:val="20"/>
      </w:rPr>
    </w:lvl>
    <w:lvl w:ilvl="4" w:tplc="3FE45D74" w:tentative="1">
      <w:start w:val="1"/>
      <w:numFmt w:val="bullet"/>
      <w:lvlText w:val=""/>
      <w:lvlJc w:val="left"/>
      <w:pPr>
        <w:tabs>
          <w:tab w:val="num" w:pos="3600"/>
        </w:tabs>
        <w:ind w:left="3600" w:hanging="360"/>
      </w:pPr>
      <w:rPr>
        <w:rFonts w:ascii="Wingdings" w:hAnsi="Wingdings" w:hint="default"/>
        <w:sz w:val="20"/>
      </w:rPr>
    </w:lvl>
    <w:lvl w:ilvl="5" w:tplc="A3CE9208" w:tentative="1">
      <w:start w:val="1"/>
      <w:numFmt w:val="bullet"/>
      <w:lvlText w:val=""/>
      <w:lvlJc w:val="left"/>
      <w:pPr>
        <w:tabs>
          <w:tab w:val="num" w:pos="4320"/>
        </w:tabs>
        <w:ind w:left="4320" w:hanging="360"/>
      </w:pPr>
      <w:rPr>
        <w:rFonts w:ascii="Wingdings" w:hAnsi="Wingdings" w:hint="default"/>
        <w:sz w:val="20"/>
      </w:rPr>
    </w:lvl>
    <w:lvl w:ilvl="6" w:tplc="D730D73E" w:tentative="1">
      <w:start w:val="1"/>
      <w:numFmt w:val="bullet"/>
      <w:lvlText w:val=""/>
      <w:lvlJc w:val="left"/>
      <w:pPr>
        <w:tabs>
          <w:tab w:val="num" w:pos="5040"/>
        </w:tabs>
        <w:ind w:left="5040" w:hanging="360"/>
      </w:pPr>
      <w:rPr>
        <w:rFonts w:ascii="Wingdings" w:hAnsi="Wingdings" w:hint="default"/>
        <w:sz w:val="20"/>
      </w:rPr>
    </w:lvl>
    <w:lvl w:ilvl="7" w:tplc="235E2548" w:tentative="1">
      <w:start w:val="1"/>
      <w:numFmt w:val="bullet"/>
      <w:lvlText w:val=""/>
      <w:lvlJc w:val="left"/>
      <w:pPr>
        <w:tabs>
          <w:tab w:val="num" w:pos="5760"/>
        </w:tabs>
        <w:ind w:left="5760" w:hanging="360"/>
      </w:pPr>
      <w:rPr>
        <w:rFonts w:ascii="Wingdings" w:hAnsi="Wingdings" w:hint="default"/>
        <w:sz w:val="20"/>
      </w:rPr>
    </w:lvl>
    <w:lvl w:ilvl="8" w:tplc="A5567DDA" w:tentative="1">
      <w:start w:val="1"/>
      <w:numFmt w:val="bullet"/>
      <w:lvlText w:val=""/>
      <w:lvlJc w:val="left"/>
      <w:pPr>
        <w:tabs>
          <w:tab w:val="num" w:pos="6480"/>
        </w:tabs>
        <w:ind w:left="6480" w:hanging="360"/>
      </w:pPr>
      <w:rPr>
        <w:rFonts w:ascii="Wingdings" w:hAnsi="Wingdings" w:hint="default"/>
        <w:sz w:val="20"/>
      </w:rPr>
    </w:lvl>
  </w:abstractNum>
  <w:abstractNum w:abstractNumId="641">
    <w:nsid w:val="5E12349B"/>
    <w:multiLevelType w:val="hybridMultilevel"/>
    <w:tmpl w:val="3C5CE77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42">
    <w:nsid w:val="5E3444FD"/>
    <w:multiLevelType w:val="hybridMultilevel"/>
    <w:tmpl w:val="42288C98"/>
    <w:lvl w:ilvl="0" w:tplc="8C9EF008">
      <w:start w:val="1"/>
      <w:numFmt w:val="decimal"/>
      <w:lvlText w:val="C5.K%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43">
    <w:nsid w:val="5E467672"/>
    <w:multiLevelType w:val="hybridMultilevel"/>
    <w:tmpl w:val="AA70F54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44">
    <w:nsid w:val="5E4D7551"/>
    <w:multiLevelType w:val="hybridMultilevel"/>
    <w:tmpl w:val="337228AE"/>
    <w:lvl w:ilvl="0" w:tplc="0BB098AA">
      <w:start w:val="1"/>
      <w:numFmt w:val="bullet"/>
      <w:lvlText w:val=""/>
      <w:lvlJc w:val="left"/>
      <w:pPr>
        <w:ind w:left="720" w:hanging="360"/>
      </w:pPr>
      <w:rPr>
        <w:rFonts w:ascii="Wingdings" w:hAnsi="Wingdings" w:hint="default"/>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45">
    <w:nsid w:val="5E5B1363"/>
    <w:multiLevelType w:val="hybridMultilevel"/>
    <w:tmpl w:val="8F8A0F8E"/>
    <w:lvl w:ilvl="0" w:tplc="04150005">
      <w:start w:val="1"/>
      <w:numFmt w:val="bullet"/>
      <w:lvlText w:val=""/>
      <w:lvlJc w:val="left"/>
      <w:pPr>
        <w:tabs>
          <w:tab w:val="num" w:pos="720"/>
        </w:tabs>
        <w:ind w:left="720" w:hanging="360"/>
      </w:pPr>
      <w:rPr>
        <w:rFonts w:ascii="Wingdings" w:hAnsi="Wingdings" w:hint="default"/>
        <w:sz w:val="20"/>
      </w:rPr>
    </w:lvl>
    <w:lvl w:ilvl="1" w:tplc="B28429BC" w:tentative="1">
      <w:start w:val="1"/>
      <w:numFmt w:val="bullet"/>
      <w:lvlText w:val="o"/>
      <w:lvlJc w:val="left"/>
      <w:pPr>
        <w:tabs>
          <w:tab w:val="num" w:pos="1440"/>
        </w:tabs>
        <w:ind w:left="1440" w:hanging="360"/>
      </w:pPr>
      <w:rPr>
        <w:rFonts w:ascii="Courier New" w:hAnsi="Courier New" w:hint="default"/>
        <w:sz w:val="20"/>
      </w:rPr>
    </w:lvl>
    <w:lvl w:ilvl="2" w:tplc="A09AB1C4" w:tentative="1">
      <w:start w:val="1"/>
      <w:numFmt w:val="bullet"/>
      <w:lvlText w:val=""/>
      <w:lvlJc w:val="left"/>
      <w:pPr>
        <w:tabs>
          <w:tab w:val="num" w:pos="2160"/>
        </w:tabs>
        <w:ind w:left="2160" w:hanging="360"/>
      </w:pPr>
      <w:rPr>
        <w:rFonts w:ascii="Wingdings" w:hAnsi="Wingdings" w:hint="default"/>
        <w:sz w:val="20"/>
      </w:rPr>
    </w:lvl>
    <w:lvl w:ilvl="3" w:tplc="225C78F6" w:tentative="1">
      <w:start w:val="1"/>
      <w:numFmt w:val="bullet"/>
      <w:lvlText w:val=""/>
      <w:lvlJc w:val="left"/>
      <w:pPr>
        <w:tabs>
          <w:tab w:val="num" w:pos="2880"/>
        </w:tabs>
        <w:ind w:left="2880" w:hanging="360"/>
      </w:pPr>
      <w:rPr>
        <w:rFonts w:ascii="Wingdings" w:hAnsi="Wingdings" w:hint="default"/>
        <w:sz w:val="20"/>
      </w:rPr>
    </w:lvl>
    <w:lvl w:ilvl="4" w:tplc="1C3EC350" w:tentative="1">
      <w:start w:val="1"/>
      <w:numFmt w:val="bullet"/>
      <w:lvlText w:val=""/>
      <w:lvlJc w:val="left"/>
      <w:pPr>
        <w:tabs>
          <w:tab w:val="num" w:pos="3600"/>
        </w:tabs>
        <w:ind w:left="3600" w:hanging="360"/>
      </w:pPr>
      <w:rPr>
        <w:rFonts w:ascii="Wingdings" w:hAnsi="Wingdings" w:hint="default"/>
        <w:sz w:val="20"/>
      </w:rPr>
    </w:lvl>
    <w:lvl w:ilvl="5" w:tplc="5F523EDE" w:tentative="1">
      <w:start w:val="1"/>
      <w:numFmt w:val="bullet"/>
      <w:lvlText w:val=""/>
      <w:lvlJc w:val="left"/>
      <w:pPr>
        <w:tabs>
          <w:tab w:val="num" w:pos="4320"/>
        </w:tabs>
        <w:ind w:left="4320" w:hanging="360"/>
      </w:pPr>
      <w:rPr>
        <w:rFonts w:ascii="Wingdings" w:hAnsi="Wingdings" w:hint="default"/>
        <w:sz w:val="20"/>
      </w:rPr>
    </w:lvl>
    <w:lvl w:ilvl="6" w:tplc="20909514" w:tentative="1">
      <w:start w:val="1"/>
      <w:numFmt w:val="bullet"/>
      <w:lvlText w:val=""/>
      <w:lvlJc w:val="left"/>
      <w:pPr>
        <w:tabs>
          <w:tab w:val="num" w:pos="5040"/>
        </w:tabs>
        <w:ind w:left="5040" w:hanging="360"/>
      </w:pPr>
      <w:rPr>
        <w:rFonts w:ascii="Wingdings" w:hAnsi="Wingdings" w:hint="default"/>
        <w:sz w:val="20"/>
      </w:rPr>
    </w:lvl>
    <w:lvl w:ilvl="7" w:tplc="883E1EBE" w:tentative="1">
      <w:start w:val="1"/>
      <w:numFmt w:val="bullet"/>
      <w:lvlText w:val=""/>
      <w:lvlJc w:val="left"/>
      <w:pPr>
        <w:tabs>
          <w:tab w:val="num" w:pos="5760"/>
        </w:tabs>
        <w:ind w:left="5760" w:hanging="360"/>
      </w:pPr>
      <w:rPr>
        <w:rFonts w:ascii="Wingdings" w:hAnsi="Wingdings" w:hint="default"/>
        <w:sz w:val="20"/>
      </w:rPr>
    </w:lvl>
    <w:lvl w:ilvl="8" w:tplc="C652C6FE" w:tentative="1">
      <w:start w:val="1"/>
      <w:numFmt w:val="bullet"/>
      <w:lvlText w:val=""/>
      <w:lvlJc w:val="left"/>
      <w:pPr>
        <w:tabs>
          <w:tab w:val="num" w:pos="6480"/>
        </w:tabs>
        <w:ind w:left="6480" w:hanging="360"/>
      </w:pPr>
      <w:rPr>
        <w:rFonts w:ascii="Wingdings" w:hAnsi="Wingdings" w:hint="default"/>
        <w:sz w:val="20"/>
      </w:rPr>
    </w:lvl>
  </w:abstractNum>
  <w:abstractNum w:abstractNumId="646">
    <w:nsid w:val="5E73213F"/>
    <w:multiLevelType w:val="hybridMultilevel"/>
    <w:tmpl w:val="3D74D87E"/>
    <w:lvl w:ilvl="0" w:tplc="8D8A61F8">
      <w:start w:val="1"/>
      <w:numFmt w:val="decimal"/>
      <w:lvlText w:val="C3.%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47">
    <w:nsid w:val="5EAA6D7A"/>
    <w:multiLevelType w:val="hybridMultilevel"/>
    <w:tmpl w:val="7888542C"/>
    <w:lvl w:ilvl="0" w:tplc="6CA43014">
      <w:start w:val="16"/>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48">
    <w:nsid w:val="5EAB096C"/>
    <w:multiLevelType w:val="hybridMultilevel"/>
    <w:tmpl w:val="68B09AA0"/>
    <w:lvl w:ilvl="0" w:tplc="63FEA050">
      <w:start w:val="1"/>
      <w:numFmt w:val="bullet"/>
      <w:lvlText w:val=""/>
      <w:lvlJc w:val="left"/>
      <w:pPr>
        <w:tabs>
          <w:tab w:val="num" w:pos="720"/>
        </w:tabs>
        <w:ind w:left="720" w:hanging="360"/>
      </w:pPr>
      <w:rPr>
        <w:rFonts w:ascii="Symbol" w:hAnsi="Symbol" w:hint="default"/>
        <w:sz w:val="20"/>
      </w:rPr>
    </w:lvl>
    <w:lvl w:ilvl="1" w:tplc="931C2900" w:tentative="1">
      <w:start w:val="1"/>
      <w:numFmt w:val="bullet"/>
      <w:lvlText w:val="o"/>
      <w:lvlJc w:val="left"/>
      <w:pPr>
        <w:tabs>
          <w:tab w:val="num" w:pos="1440"/>
        </w:tabs>
        <w:ind w:left="1440" w:hanging="360"/>
      </w:pPr>
      <w:rPr>
        <w:rFonts w:ascii="Courier New" w:hAnsi="Courier New" w:hint="default"/>
        <w:sz w:val="20"/>
      </w:rPr>
    </w:lvl>
    <w:lvl w:ilvl="2" w:tplc="63CE3F6C" w:tentative="1">
      <w:start w:val="1"/>
      <w:numFmt w:val="bullet"/>
      <w:lvlText w:val=""/>
      <w:lvlJc w:val="left"/>
      <w:pPr>
        <w:tabs>
          <w:tab w:val="num" w:pos="2160"/>
        </w:tabs>
        <w:ind w:left="2160" w:hanging="360"/>
      </w:pPr>
      <w:rPr>
        <w:rFonts w:ascii="Wingdings" w:hAnsi="Wingdings" w:hint="default"/>
        <w:sz w:val="20"/>
      </w:rPr>
    </w:lvl>
    <w:lvl w:ilvl="3" w:tplc="7F5C4DF0" w:tentative="1">
      <w:start w:val="1"/>
      <w:numFmt w:val="bullet"/>
      <w:lvlText w:val=""/>
      <w:lvlJc w:val="left"/>
      <w:pPr>
        <w:tabs>
          <w:tab w:val="num" w:pos="2880"/>
        </w:tabs>
        <w:ind w:left="2880" w:hanging="360"/>
      </w:pPr>
      <w:rPr>
        <w:rFonts w:ascii="Wingdings" w:hAnsi="Wingdings" w:hint="default"/>
        <w:sz w:val="20"/>
      </w:rPr>
    </w:lvl>
    <w:lvl w:ilvl="4" w:tplc="527E0930" w:tentative="1">
      <w:start w:val="1"/>
      <w:numFmt w:val="bullet"/>
      <w:lvlText w:val=""/>
      <w:lvlJc w:val="left"/>
      <w:pPr>
        <w:tabs>
          <w:tab w:val="num" w:pos="3600"/>
        </w:tabs>
        <w:ind w:left="3600" w:hanging="360"/>
      </w:pPr>
      <w:rPr>
        <w:rFonts w:ascii="Wingdings" w:hAnsi="Wingdings" w:hint="default"/>
        <w:sz w:val="20"/>
      </w:rPr>
    </w:lvl>
    <w:lvl w:ilvl="5" w:tplc="F342EC32" w:tentative="1">
      <w:start w:val="1"/>
      <w:numFmt w:val="bullet"/>
      <w:lvlText w:val=""/>
      <w:lvlJc w:val="left"/>
      <w:pPr>
        <w:tabs>
          <w:tab w:val="num" w:pos="4320"/>
        </w:tabs>
        <w:ind w:left="4320" w:hanging="360"/>
      </w:pPr>
      <w:rPr>
        <w:rFonts w:ascii="Wingdings" w:hAnsi="Wingdings" w:hint="default"/>
        <w:sz w:val="20"/>
      </w:rPr>
    </w:lvl>
    <w:lvl w:ilvl="6" w:tplc="DB90B1B2" w:tentative="1">
      <w:start w:val="1"/>
      <w:numFmt w:val="bullet"/>
      <w:lvlText w:val=""/>
      <w:lvlJc w:val="left"/>
      <w:pPr>
        <w:tabs>
          <w:tab w:val="num" w:pos="5040"/>
        </w:tabs>
        <w:ind w:left="5040" w:hanging="360"/>
      </w:pPr>
      <w:rPr>
        <w:rFonts w:ascii="Wingdings" w:hAnsi="Wingdings" w:hint="default"/>
        <w:sz w:val="20"/>
      </w:rPr>
    </w:lvl>
    <w:lvl w:ilvl="7" w:tplc="80E41D9E" w:tentative="1">
      <w:start w:val="1"/>
      <w:numFmt w:val="bullet"/>
      <w:lvlText w:val=""/>
      <w:lvlJc w:val="left"/>
      <w:pPr>
        <w:tabs>
          <w:tab w:val="num" w:pos="5760"/>
        </w:tabs>
        <w:ind w:left="5760" w:hanging="360"/>
      </w:pPr>
      <w:rPr>
        <w:rFonts w:ascii="Wingdings" w:hAnsi="Wingdings" w:hint="default"/>
        <w:sz w:val="20"/>
      </w:rPr>
    </w:lvl>
    <w:lvl w:ilvl="8" w:tplc="A6F82C14" w:tentative="1">
      <w:start w:val="1"/>
      <w:numFmt w:val="bullet"/>
      <w:lvlText w:val=""/>
      <w:lvlJc w:val="left"/>
      <w:pPr>
        <w:tabs>
          <w:tab w:val="num" w:pos="6480"/>
        </w:tabs>
        <w:ind w:left="6480" w:hanging="360"/>
      </w:pPr>
      <w:rPr>
        <w:rFonts w:ascii="Wingdings" w:hAnsi="Wingdings" w:hint="default"/>
        <w:sz w:val="20"/>
      </w:rPr>
    </w:lvl>
  </w:abstractNum>
  <w:abstractNum w:abstractNumId="649">
    <w:nsid w:val="5EF822B3"/>
    <w:multiLevelType w:val="hybridMultilevel"/>
    <w:tmpl w:val="69C8B94C"/>
    <w:lvl w:ilvl="0" w:tplc="29621C2C">
      <w:start w:val="1"/>
      <w:numFmt w:val="bullet"/>
      <w:lvlText w:val=""/>
      <w:lvlJc w:val="left"/>
      <w:pPr>
        <w:tabs>
          <w:tab w:val="num" w:pos="1440"/>
        </w:tabs>
        <w:ind w:left="1440" w:hanging="360"/>
      </w:pPr>
      <w:rPr>
        <w:rFonts w:ascii="Wingdings" w:hAnsi="Wingdings" w:cs="Wingdings" w:hint="default"/>
        <w:color w:val="auto"/>
        <w:sz w:val="20"/>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50">
    <w:nsid w:val="5F0E5504"/>
    <w:multiLevelType w:val="hybridMultilevel"/>
    <w:tmpl w:val="444C8CCC"/>
    <w:lvl w:ilvl="0" w:tplc="D6A656B6">
      <w:numFmt w:val="bullet"/>
      <w:lvlText w:val="-"/>
      <w:lvlJc w:val="left"/>
      <w:pPr>
        <w:ind w:left="1068" w:hanging="360"/>
      </w:pPr>
      <w:rPr>
        <w:rFonts w:ascii="Times New Roman" w:eastAsia="Times New Roman" w:hAnsi="Times New Roman" w:cs="Times New Roman"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651">
    <w:nsid w:val="5F2F5253"/>
    <w:multiLevelType w:val="hybridMultilevel"/>
    <w:tmpl w:val="6F2A28E8"/>
    <w:lvl w:ilvl="0" w:tplc="04150005">
      <w:start w:val="1"/>
      <w:numFmt w:val="bullet"/>
      <w:lvlText w:val=""/>
      <w:lvlJc w:val="left"/>
      <w:pPr>
        <w:tabs>
          <w:tab w:val="num" w:pos="720"/>
        </w:tabs>
        <w:ind w:left="720" w:hanging="360"/>
      </w:pPr>
      <w:rPr>
        <w:rFonts w:ascii="Wingdings" w:hAnsi="Wingdings" w:hint="default"/>
        <w:sz w:val="20"/>
      </w:rPr>
    </w:lvl>
    <w:lvl w:ilvl="1" w:tplc="BC0A42BA" w:tentative="1">
      <w:start w:val="1"/>
      <w:numFmt w:val="bullet"/>
      <w:lvlText w:val="o"/>
      <w:lvlJc w:val="left"/>
      <w:pPr>
        <w:tabs>
          <w:tab w:val="num" w:pos="1440"/>
        </w:tabs>
        <w:ind w:left="1440" w:hanging="360"/>
      </w:pPr>
      <w:rPr>
        <w:rFonts w:ascii="Courier New" w:hAnsi="Courier New" w:hint="default"/>
        <w:sz w:val="20"/>
      </w:rPr>
    </w:lvl>
    <w:lvl w:ilvl="2" w:tplc="337EE226" w:tentative="1">
      <w:start w:val="1"/>
      <w:numFmt w:val="bullet"/>
      <w:lvlText w:val=""/>
      <w:lvlJc w:val="left"/>
      <w:pPr>
        <w:tabs>
          <w:tab w:val="num" w:pos="2160"/>
        </w:tabs>
        <w:ind w:left="2160" w:hanging="360"/>
      </w:pPr>
      <w:rPr>
        <w:rFonts w:ascii="Wingdings" w:hAnsi="Wingdings" w:hint="default"/>
        <w:sz w:val="20"/>
      </w:rPr>
    </w:lvl>
    <w:lvl w:ilvl="3" w:tplc="5AF833D8" w:tentative="1">
      <w:start w:val="1"/>
      <w:numFmt w:val="bullet"/>
      <w:lvlText w:val=""/>
      <w:lvlJc w:val="left"/>
      <w:pPr>
        <w:tabs>
          <w:tab w:val="num" w:pos="2880"/>
        </w:tabs>
        <w:ind w:left="2880" w:hanging="360"/>
      </w:pPr>
      <w:rPr>
        <w:rFonts w:ascii="Wingdings" w:hAnsi="Wingdings" w:hint="default"/>
        <w:sz w:val="20"/>
      </w:rPr>
    </w:lvl>
    <w:lvl w:ilvl="4" w:tplc="690441F2" w:tentative="1">
      <w:start w:val="1"/>
      <w:numFmt w:val="bullet"/>
      <w:lvlText w:val=""/>
      <w:lvlJc w:val="left"/>
      <w:pPr>
        <w:tabs>
          <w:tab w:val="num" w:pos="3600"/>
        </w:tabs>
        <w:ind w:left="3600" w:hanging="360"/>
      </w:pPr>
      <w:rPr>
        <w:rFonts w:ascii="Wingdings" w:hAnsi="Wingdings" w:hint="default"/>
        <w:sz w:val="20"/>
      </w:rPr>
    </w:lvl>
    <w:lvl w:ilvl="5" w:tplc="4D201C2C" w:tentative="1">
      <w:start w:val="1"/>
      <w:numFmt w:val="bullet"/>
      <w:lvlText w:val=""/>
      <w:lvlJc w:val="left"/>
      <w:pPr>
        <w:tabs>
          <w:tab w:val="num" w:pos="4320"/>
        </w:tabs>
        <w:ind w:left="4320" w:hanging="360"/>
      </w:pPr>
      <w:rPr>
        <w:rFonts w:ascii="Wingdings" w:hAnsi="Wingdings" w:hint="default"/>
        <w:sz w:val="20"/>
      </w:rPr>
    </w:lvl>
    <w:lvl w:ilvl="6" w:tplc="462EA8A8" w:tentative="1">
      <w:start w:val="1"/>
      <w:numFmt w:val="bullet"/>
      <w:lvlText w:val=""/>
      <w:lvlJc w:val="left"/>
      <w:pPr>
        <w:tabs>
          <w:tab w:val="num" w:pos="5040"/>
        </w:tabs>
        <w:ind w:left="5040" w:hanging="360"/>
      </w:pPr>
      <w:rPr>
        <w:rFonts w:ascii="Wingdings" w:hAnsi="Wingdings" w:hint="default"/>
        <w:sz w:val="20"/>
      </w:rPr>
    </w:lvl>
    <w:lvl w:ilvl="7" w:tplc="AA9487F4" w:tentative="1">
      <w:start w:val="1"/>
      <w:numFmt w:val="bullet"/>
      <w:lvlText w:val=""/>
      <w:lvlJc w:val="left"/>
      <w:pPr>
        <w:tabs>
          <w:tab w:val="num" w:pos="5760"/>
        </w:tabs>
        <w:ind w:left="5760" w:hanging="360"/>
      </w:pPr>
      <w:rPr>
        <w:rFonts w:ascii="Wingdings" w:hAnsi="Wingdings" w:hint="default"/>
        <w:sz w:val="20"/>
      </w:rPr>
    </w:lvl>
    <w:lvl w:ilvl="8" w:tplc="42C4EB4A" w:tentative="1">
      <w:start w:val="1"/>
      <w:numFmt w:val="bullet"/>
      <w:lvlText w:val=""/>
      <w:lvlJc w:val="left"/>
      <w:pPr>
        <w:tabs>
          <w:tab w:val="num" w:pos="6480"/>
        </w:tabs>
        <w:ind w:left="6480" w:hanging="360"/>
      </w:pPr>
      <w:rPr>
        <w:rFonts w:ascii="Wingdings" w:hAnsi="Wingdings" w:hint="default"/>
        <w:sz w:val="20"/>
      </w:rPr>
    </w:lvl>
  </w:abstractNum>
  <w:abstractNum w:abstractNumId="652">
    <w:nsid w:val="5F47784C"/>
    <w:multiLevelType w:val="multilevel"/>
    <w:tmpl w:val="908E3FF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3">
    <w:nsid w:val="5F4946EF"/>
    <w:multiLevelType w:val="hybridMultilevel"/>
    <w:tmpl w:val="E0024AD6"/>
    <w:lvl w:ilvl="0" w:tplc="641E55D0">
      <w:start w:val="1"/>
      <w:numFmt w:val="bullet"/>
      <w:lvlText w:val=""/>
      <w:lvlJc w:val="left"/>
      <w:pPr>
        <w:tabs>
          <w:tab w:val="num" w:pos="720"/>
        </w:tabs>
        <w:ind w:left="720" w:hanging="360"/>
      </w:pPr>
      <w:rPr>
        <w:rFonts w:ascii="Symbol" w:hAnsi="Symbol" w:hint="default"/>
        <w:sz w:val="20"/>
      </w:rPr>
    </w:lvl>
    <w:lvl w:ilvl="1" w:tplc="7746407E" w:tentative="1">
      <w:start w:val="1"/>
      <w:numFmt w:val="bullet"/>
      <w:lvlText w:val="o"/>
      <w:lvlJc w:val="left"/>
      <w:pPr>
        <w:tabs>
          <w:tab w:val="num" w:pos="1440"/>
        </w:tabs>
        <w:ind w:left="1440" w:hanging="360"/>
      </w:pPr>
      <w:rPr>
        <w:rFonts w:ascii="Courier New" w:hAnsi="Courier New" w:hint="default"/>
        <w:sz w:val="20"/>
      </w:rPr>
    </w:lvl>
    <w:lvl w:ilvl="2" w:tplc="8B026ED0" w:tentative="1">
      <w:start w:val="1"/>
      <w:numFmt w:val="bullet"/>
      <w:lvlText w:val=""/>
      <w:lvlJc w:val="left"/>
      <w:pPr>
        <w:tabs>
          <w:tab w:val="num" w:pos="2160"/>
        </w:tabs>
        <w:ind w:left="2160" w:hanging="360"/>
      </w:pPr>
      <w:rPr>
        <w:rFonts w:ascii="Wingdings" w:hAnsi="Wingdings" w:hint="default"/>
        <w:sz w:val="20"/>
      </w:rPr>
    </w:lvl>
    <w:lvl w:ilvl="3" w:tplc="A60CB73E" w:tentative="1">
      <w:start w:val="1"/>
      <w:numFmt w:val="bullet"/>
      <w:lvlText w:val=""/>
      <w:lvlJc w:val="left"/>
      <w:pPr>
        <w:tabs>
          <w:tab w:val="num" w:pos="2880"/>
        </w:tabs>
        <w:ind w:left="2880" w:hanging="360"/>
      </w:pPr>
      <w:rPr>
        <w:rFonts w:ascii="Wingdings" w:hAnsi="Wingdings" w:hint="default"/>
        <w:sz w:val="20"/>
      </w:rPr>
    </w:lvl>
    <w:lvl w:ilvl="4" w:tplc="79683130" w:tentative="1">
      <w:start w:val="1"/>
      <w:numFmt w:val="bullet"/>
      <w:lvlText w:val=""/>
      <w:lvlJc w:val="left"/>
      <w:pPr>
        <w:tabs>
          <w:tab w:val="num" w:pos="3600"/>
        </w:tabs>
        <w:ind w:left="3600" w:hanging="360"/>
      </w:pPr>
      <w:rPr>
        <w:rFonts w:ascii="Wingdings" w:hAnsi="Wingdings" w:hint="default"/>
        <w:sz w:val="20"/>
      </w:rPr>
    </w:lvl>
    <w:lvl w:ilvl="5" w:tplc="5FA49FF4" w:tentative="1">
      <w:start w:val="1"/>
      <w:numFmt w:val="bullet"/>
      <w:lvlText w:val=""/>
      <w:lvlJc w:val="left"/>
      <w:pPr>
        <w:tabs>
          <w:tab w:val="num" w:pos="4320"/>
        </w:tabs>
        <w:ind w:left="4320" w:hanging="360"/>
      </w:pPr>
      <w:rPr>
        <w:rFonts w:ascii="Wingdings" w:hAnsi="Wingdings" w:hint="default"/>
        <w:sz w:val="20"/>
      </w:rPr>
    </w:lvl>
    <w:lvl w:ilvl="6" w:tplc="E3C0EBFA" w:tentative="1">
      <w:start w:val="1"/>
      <w:numFmt w:val="bullet"/>
      <w:lvlText w:val=""/>
      <w:lvlJc w:val="left"/>
      <w:pPr>
        <w:tabs>
          <w:tab w:val="num" w:pos="5040"/>
        </w:tabs>
        <w:ind w:left="5040" w:hanging="360"/>
      </w:pPr>
      <w:rPr>
        <w:rFonts w:ascii="Wingdings" w:hAnsi="Wingdings" w:hint="default"/>
        <w:sz w:val="20"/>
      </w:rPr>
    </w:lvl>
    <w:lvl w:ilvl="7" w:tplc="67ACA842" w:tentative="1">
      <w:start w:val="1"/>
      <w:numFmt w:val="bullet"/>
      <w:lvlText w:val=""/>
      <w:lvlJc w:val="left"/>
      <w:pPr>
        <w:tabs>
          <w:tab w:val="num" w:pos="5760"/>
        </w:tabs>
        <w:ind w:left="5760" w:hanging="360"/>
      </w:pPr>
      <w:rPr>
        <w:rFonts w:ascii="Wingdings" w:hAnsi="Wingdings" w:hint="default"/>
        <w:sz w:val="20"/>
      </w:rPr>
    </w:lvl>
    <w:lvl w:ilvl="8" w:tplc="741CB0F6" w:tentative="1">
      <w:start w:val="1"/>
      <w:numFmt w:val="bullet"/>
      <w:lvlText w:val=""/>
      <w:lvlJc w:val="left"/>
      <w:pPr>
        <w:tabs>
          <w:tab w:val="num" w:pos="6480"/>
        </w:tabs>
        <w:ind w:left="6480" w:hanging="360"/>
      </w:pPr>
      <w:rPr>
        <w:rFonts w:ascii="Wingdings" w:hAnsi="Wingdings" w:hint="default"/>
        <w:sz w:val="20"/>
      </w:rPr>
    </w:lvl>
  </w:abstractNum>
  <w:abstractNum w:abstractNumId="654">
    <w:nsid w:val="5F8A7094"/>
    <w:multiLevelType w:val="multilevel"/>
    <w:tmpl w:val="055A9082"/>
    <w:name w:val="WW8Num162"/>
    <w:lvl w:ilvl="0">
      <w:start w:val="1"/>
      <w:numFmt w:val="decimal"/>
      <w:lvlText w:val="%1."/>
      <w:lvlJc w:val="left"/>
      <w:pPr>
        <w:tabs>
          <w:tab w:val="num" w:pos="360"/>
        </w:tabs>
        <w:ind w:left="340" w:hanging="340"/>
      </w:pPr>
      <w:rPr>
        <w:rFonts w:ascii="Symbol" w:hAnsi="Symbol" w:cs="Symbol" w:hint="default"/>
        <w:b w:val="0"/>
        <w:bCs w:val="0"/>
        <w:color w:val="auto"/>
        <w:sz w:val="18"/>
        <w:szCs w:val="20"/>
      </w:rPr>
    </w:lvl>
    <w:lvl w:ilvl="1">
      <w:start w:val="1"/>
      <w:numFmt w:val="decimal"/>
      <w:lvlText w:val="%1.%2."/>
      <w:lvlJc w:val="left"/>
      <w:pPr>
        <w:tabs>
          <w:tab w:val="num" w:pos="0"/>
        </w:tabs>
        <w:ind w:left="792" w:hanging="432"/>
      </w:pPr>
      <w:rPr>
        <w:rFonts w:ascii="Symbol" w:hAnsi="Symbol" w:cs="Symbol" w:hint="default"/>
        <w:b w:val="0"/>
        <w:bCs w:val="0"/>
        <w:color w:val="auto"/>
        <w:sz w:val="18"/>
        <w:szCs w:val="20"/>
      </w:rPr>
    </w:lvl>
    <w:lvl w:ilvl="2">
      <w:start w:val="1"/>
      <w:numFmt w:val="decimal"/>
      <w:lvlText w:val="%1.%2.%3."/>
      <w:lvlJc w:val="left"/>
      <w:pPr>
        <w:tabs>
          <w:tab w:val="num" w:pos="-720"/>
        </w:tabs>
        <w:ind w:left="504" w:hanging="504"/>
      </w:pPr>
      <w:rPr>
        <w:rFonts w:asciiTheme="minorHAnsi" w:hAnsiTheme="minorHAnsi" w:cs="Symbol" w:hint="default"/>
        <w:b w:val="0"/>
        <w:bCs w:val="0"/>
        <w:color w:val="auto"/>
        <w:sz w:val="20"/>
        <w:szCs w:val="20"/>
      </w:rPr>
    </w:lvl>
    <w:lvl w:ilvl="3">
      <w:start w:val="1"/>
      <w:numFmt w:val="decimal"/>
      <w:lvlText w:val="%1.%2.%3.%4."/>
      <w:lvlJc w:val="left"/>
      <w:pPr>
        <w:tabs>
          <w:tab w:val="num" w:pos="0"/>
        </w:tabs>
        <w:ind w:left="1728" w:hanging="648"/>
      </w:pPr>
      <w:rPr>
        <w:rFonts w:ascii="Symbol" w:hAnsi="Symbol" w:cs="Symbol" w:hint="default"/>
        <w:b w:val="0"/>
        <w:bCs w:val="0"/>
        <w:color w:val="auto"/>
        <w:sz w:val="18"/>
        <w:szCs w:val="20"/>
      </w:rPr>
    </w:lvl>
    <w:lvl w:ilvl="4">
      <w:start w:val="1"/>
      <w:numFmt w:val="decimal"/>
      <w:lvlText w:val="%1.%2.%3.%4.%5."/>
      <w:lvlJc w:val="left"/>
      <w:pPr>
        <w:tabs>
          <w:tab w:val="num" w:pos="0"/>
        </w:tabs>
        <w:ind w:left="2232" w:hanging="792"/>
      </w:pPr>
      <w:rPr>
        <w:rFonts w:ascii="Symbol" w:hAnsi="Symbol" w:cs="Symbol" w:hint="default"/>
        <w:b w:val="0"/>
        <w:bCs w:val="0"/>
        <w:color w:val="auto"/>
        <w:sz w:val="18"/>
        <w:szCs w:val="20"/>
      </w:rPr>
    </w:lvl>
    <w:lvl w:ilvl="5">
      <w:start w:val="1"/>
      <w:numFmt w:val="decimal"/>
      <w:lvlText w:val="%1.%2.%3.%4.%5.%6."/>
      <w:lvlJc w:val="left"/>
      <w:pPr>
        <w:tabs>
          <w:tab w:val="num" w:pos="0"/>
        </w:tabs>
        <w:ind w:left="2736" w:hanging="936"/>
      </w:pPr>
      <w:rPr>
        <w:rFonts w:ascii="Symbol" w:hAnsi="Symbol" w:cs="Symbol" w:hint="default"/>
        <w:b w:val="0"/>
        <w:bCs w:val="0"/>
        <w:color w:val="auto"/>
        <w:sz w:val="18"/>
        <w:szCs w:val="20"/>
      </w:rPr>
    </w:lvl>
    <w:lvl w:ilvl="6">
      <w:start w:val="1"/>
      <w:numFmt w:val="decimal"/>
      <w:lvlText w:val="%1.%2.%3.%4.%5.%6.%7."/>
      <w:lvlJc w:val="left"/>
      <w:pPr>
        <w:tabs>
          <w:tab w:val="num" w:pos="0"/>
        </w:tabs>
        <w:ind w:left="3240" w:hanging="1080"/>
      </w:pPr>
      <w:rPr>
        <w:rFonts w:ascii="Symbol" w:hAnsi="Symbol" w:cs="Symbol" w:hint="default"/>
        <w:b w:val="0"/>
        <w:bCs w:val="0"/>
        <w:color w:val="auto"/>
        <w:sz w:val="18"/>
        <w:szCs w:val="20"/>
      </w:rPr>
    </w:lvl>
    <w:lvl w:ilvl="7">
      <w:start w:val="1"/>
      <w:numFmt w:val="decimal"/>
      <w:lvlText w:val="%1.%2.%3.%4.%5.%6.%7.%8."/>
      <w:lvlJc w:val="left"/>
      <w:pPr>
        <w:tabs>
          <w:tab w:val="num" w:pos="0"/>
        </w:tabs>
        <w:ind w:left="3744" w:hanging="1224"/>
      </w:pPr>
      <w:rPr>
        <w:rFonts w:ascii="Symbol" w:hAnsi="Symbol" w:cs="Symbol" w:hint="default"/>
        <w:b w:val="0"/>
        <w:bCs w:val="0"/>
        <w:color w:val="auto"/>
        <w:sz w:val="18"/>
        <w:szCs w:val="20"/>
      </w:rPr>
    </w:lvl>
    <w:lvl w:ilvl="8">
      <w:start w:val="1"/>
      <w:numFmt w:val="decimal"/>
      <w:lvlText w:val="%1.%2.%3.%4.%5.%6.%7.%8.%9."/>
      <w:lvlJc w:val="left"/>
      <w:pPr>
        <w:tabs>
          <w:tab w:val="num" w:pos="1440"/>
        </w:tabs>
        <w:ind w:left="340" w:hanging="340"/>
      </w:pPr>
      <w:rPr>
        <w:rFonts w:ascii="Symbol" w:hAnsi="Symbol" w:cs="Symbol" w:hint="default"/>
        <w:b w:val="0"/>
        <w:bCs w:val="0"/>
        <w:color w:val="auto"/>
        <w:sz w:val="18"/>
        <w:szCs w:val="20"/>
      </w:rPr>
    </w:lvl>
  </w:abstractNum>
  <w:abstractNum w:abstractNumId="655">
    <w:nsid w:val="5F8E200E"/>
    <w:multiLevelType w:val="hybridMultilevel"/>
    <w:tmpl w:val="C0C6E9E8"/>
    <w:lvl w:ilvl="0" w:tplc="04150005">
      <w:start w:val="1"/>
      <w:numFmt w:val="bullet"/>
      <w:lvlText w:val=""/>
      <w:lvlJc w:val="left"/>
      <w:pPr>
        <w:tabs>
          <w:tab w:val="num" w:pos="720"/>
        </w:tabs>
        <w:ind w:left="720" w:hanging="360"/>
      </w:pPr>
      <w:rPr>
        <w:rFonts w:ascii="Wingdings" w:hAnsi="Wingdings" w:hint="default"/>
        <w:sz w:val="20"/>
      </w:rPr>
    </w:lvl>
    <w:lvl w:ilvl="1" w:tplc="4AC4AE6C" w:tentative="1">
      <w:start w:val="1"/>
      <w:numFmt w:val="bullet"/>
      <w:lvlText w:val="o"/>
      <w:lvlJc w:val="left"/>
      <w:pPr>
        <w:tabs>
          <w:tab w:val="num" w:pos="1440"/>
        </w:tabs>
        <w:ind w:left="1440" w:hanging="360"/>
      </w:pPr>
      <w:rPr>
        <w:rFonts w:ascii="Courier New" w:hAnsi="Courier New" w:hint="default"/>
        <w:sz w:val="20"/>
      </w:rPr>
    </w:lvl>
    <w:lvl w:ilvl="2" w:tplc="032E455C" w:tentative="1">
      <w:start w:val="1"/>
      <w:numFmt w:val="bullet"/>
      <w:lvlText w:val=""/>
      <w:lvlJc w:val="left"/>
      <w:pPr>
        <w:tabs>
          <w:tab w:val="num" w:pos="2160"/>
        </w:tabs>
        <w:ind w:left="2160" w:hanging="360"/>
      </w:pPr>
      <w:rPr>
        <w:rFonts w:ascii="Wingdings" w:hAnsi="Wingdings" w:hint="default"/>
        <w:sz w:val="20"/>
      </w:rPr>
    </w:lvl>
    <w:lvl w:ilvl="3" w:tplc="6FE87F64" w:tentative="1">
      <w:start w:val="1"/>
      <w:numFmt w:val="bullet"/>
      <w:lvlText w:val=""/>
      <w:lvlJc w:val="left"/>
      <w:pPr>
        <w:tabs>
          <w:tab w:val="num" w:pos="2880"/>
        </w:tabs>
        <w:ind w:left="2880" w:hanging="360"/>
      </w:pPr>
      <w:rPr>
        <w:rFonts w:ascii="Wingdings" w:hAnsi="Wingdings" w:hint="default"/>
        <w:sz w:val="20"/>
      </w:rPr>
    </w:lvl>
    <w:lvl w:ilvl="4" w:tplc="83EA36FA" w:tentative="1">
      <w:start w:val="1"/>
      <w:numFmt w:val="bullet"/>
      <w:lvlText w:val=""/>
      <w:lvlJc w:val="left"/>
      <w:pPr>
        <w:tabs>
          <w:tab w:val="num" w:pos="3600"/>
        </w:tabs>
        <w:ind w:left="3600" w:hanging="360"/>
      </w:pPr>
      <w:rPr>
        <w:rFonts w:ascii="Wingdings" w:hAnsi="Wingdings" w:hint="default"/>
        <w:sz w:val="20"/>
      </w:rPr>
    </w:lvl>
    <w:lvl w:ilvl="5" w:tplc="9CBE9A74" w:tentative="1">
      <w:start w:val="1"/>
      <w:numFmt w:val="bullet"/>
      <w:lvlText w:val=""/>
      <w:lvlJc w:val="left"/>
      <w:pPr>
        <w:tabs>
          <w:tab w:val="num" w:pos="4320"/>
        </w:tabs>
        <w:ind w:left="4320" w:hanging="360"/>
      </w:pPr>
      <w:rPr>
        <w:rFonts w:ascii="Wingdings" w:hAnsi="Wingdings" w:hint="default"/>
        <w:sz w:val="20"/>
      </w:rPr>
    </w:lvl>
    <w:lvl w:ilvl="6" w:tplc="C108F62E" w:tentative="1">
      <w:start w:val="1"/>
      <w:numFmt w:val="bullet"/>
      <w:lvlText w:val=""/>
      <w:lvlJc w:val="left"/>
      <w:pPr>
        <w:tabs>
          <w:tab w:val="num" w:pos="5040"/>
        </w:tabs>
        <w:ind w:left="5040" w:hanging="360"/>
      </w:pPr>
      <w:rPr>
        <w:rFonts w:ascii="Wingdings" w:hAnsi="Wingdings" w:hint="default"/>
        <w:sz w:val="20"/>
      </w:rPr>
    </w:lvl>
    <w:lvl w:ilvl="7" w:tplc="DD407736" w:tentative="1">
      <w:start w:val="1"/>
      <w:numFmt w:val="bullet"/>
      <w:lvlText w:val=""/>
      <w:lvlJc w:val="left"/>
      <w:pPr>
        <w:tabs>
          <w:tab w:val="num" w:pos="5760"/>
        </w:tabs>
        <w:ind w:left="5760" w:hanging="360"/>
      </w:pPr>
      <w:rPr>
        <w:rFonts w:ascii="Wingdings" w:hAnsi="Wingdings" w:hint="default"/>
        <w:sz w:val="20"/>
      </w:rPr>
    </w:lvl>
    <w:lvl w:ilvl="8" w:tplc="F51E3EEA" w:tentative="1">
      <w:start w:val="1"/>
      <w:numFmt w:val="bullet"/>
      <w:lvlText w:val=""/>
      <w:lvlJc w:val="left"/>
      <w:pPr>
        <w:tabs>
          <w:tab w:val="num" w:pos="6480"/>
        </w:tabs>
        <w:ind w:left="6480" w:hanging="360"/>
      </w:pPr>
      <w:rPr>
        <w:rFonts w:ascii="Wingdings" w:hAnsi="Wingdings" w:hint="default"/>
        <w:sz w:val="20"/>
      </w:rPr>
    </w:lvl>
  </w:abstractNum>
  <w:abstractNum w:abstractNumId="656">
    <w:nsid w:val="5F9D4488"/>
    <w:multiLevelType w:val="multilevel"/>
    <w:tmpl w:val="BCE8B240"/>
    <w:styleLink w:val="WWNum129"/>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657">
    <w:nsid w:val="5FB97769"/>
    <w:multiLevelType w:val="hybridMultilevel"/>
    <w:tmpl w:val="7BDC14DA"/>
    <w:lvl w:ilvl="0" w:tplc="D6A656B6">
      <w:numFmt w:val="bullet"/>
      <w:lvlText w:val="-"/>
      <w:lvlJc w:val="left"/>
      <w:pPr>
        <w:ind w:left="1068" w:hanging="360"/>
      </w:pPr>
      <w:rPr>
        <w:rFonts w:ascii="Times New Roman" w:eastAsia="Times New Roman" w:hAnsi="Times New Roman" w:cs="Times New Roman"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658">
    <w:nsid w:val="60056A31"/>
    <w:multiLevelType w:val="multilevel"/>
    <w:tmpl w:val="A538C9A4"/>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sz w:val="28"/>
        <w:szCs w:val="28"/>
      </w:rPr>
    </w:lvl>
    <w:lvl w:ilvl="2">
      <w:start w:val="1"/>
      <w:numFmt w:val="decimal"/>
      <w:lvlText w:val="%1.%2.%3."/>
      <w:lvlJc w:val="left"/>
      <w:pPr>
        <w:ind w:left="720" w:hanging="720"/>
      </w:pPr>
      <w:rPr>
        <w:rFonts w:hint="default"/>
        <w:i w:val="0"/>
        <w:sz w:val="26"/>
        <w:szCs w:val="26"/>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59">
    <w:nsid w:val="60126B4B"/>
    <w:multiLevelType w:val="hybridMultilevel"/>
    <w:tmpl w:val="C126694C"/>
    <w:lvl w:ilvl="0" w:tplc="0415000F">
      <w:start w:val="1"/>
      <w:numFmt w:val="decimal"/>
      <w:lvlText w:val="%1."/>
      <w:lvlJc w:val="left"/>
      <w:pPr>
        <w:tabs>
          <w:tab w:val="num" w:pos="720"/>
        </w:tabs>
        <w:ind w:left="720" w:hanging="360"/>
      </w:pPr>
      <w:rPr>
        <w:rFonts w:hint="default"/>
      </w:rPr>
    </w:lvl>
    <w:lvl w:ilvl="1" w:tplc="6CA43014">
      <w:start w:val="16"/>
      <w:numFmt w:val="bullet"/>
      <w:lvlText w:val="-"/>
      <w:lvlJc w:val="left"/>
      <w:pPr>
        <w:tabs>
          <w:tab w:val="num" w:pos="1440"/>
        </w:tabs>
        <w:ind w:left="1440" w:hanging="360"/>
      </w:pPr>
      <w:rPr>
        <w:rFonts w:ascii="Times New Roman" w:eastAsia="Times New Roman" w:hAnsi="Times New Roman" w:cs="Times New Roman" w:hint="default"/>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60">
    <w:nsid w:val="60197541"/>
    <w:multiLevelType w:val="hybridMultilevel"/>
    <w:tmpl w:val="3722763A"/>
    <w:lvl w:ilvl="0" w:tplc="2BE2095E">
      <w:start w:val="1"/>
      <w:numFmt w:val="decimal"/>
      <w:lvlText w:val="%1."/>
      <w:lvlJc w:val="left"/>
      <w:pPr>
        <w:tabs>
          <w:tab w:val="num" w:pos="720"/>
        </w:tabs>
        <w:ind w:left="720" w:hanging="360"/>
      </w:pPr>
    </w:lvl>
    <w:lvl w:ilvl="1" w:tplc="9BEC126E" w:tentative="1">
      <w:start w:val="1"/>
      <w:numFmt w:val="decimal"/>
      <w:lvlText w:val="%2."/>
      <w:lvlJc w:val="left"/>
      <w:pPr>
        <w:tabs>
          <w:tab w:val="num" w:pos="1440"/>
        </w:tabs>
        <w:ind w:left="1440" w:hanging="360"/>
      </w:pPr>
    </w:lvl>
    <w:lvl w:ilvl="2" w:tplc="72580044" w:tentative="1">
      <w:start w:val="1"/>
      <w:numFmt w:val="decimal"/>
      <w:lvlText w:val="%3."/>
      <w:lvlJc w:val="left"/>
      <w:pPr>
        <w:tabs>
          <w:tab w:val="num" w:pos="2160"/>
        </w:tabs>
        <w:ind w:left="2160" w:hanging="360"/>
      </w:pPr>
    </w:lvl>
    <w:lvl w:ilvl="3" w:tplc="AEC66AC8" w:tentative="1">
      <w:start w:val="1"/>
      <w:numFmt w:val="decimal"/>
      <w:lvlText w:val="%4."/>
      <w:lvlJc w:val="left"/>
      <w:pPr>
        <w:tabs>
          <w:tab w:val="num" w:pos="2880"/>
        </w:tabs>
        <w:ind w:left="2880" w:hanging="360"/>
      </w:pPr>
    </w:lvl>
    <w:lvl w:ilvl="4" w:tplc="113A27DA" w:tentative="1">
      <w:start w:val="1"/>
      <w:numFmt w:val="decimal"/>
      <w:lvlText w:val="%5."/>
      <w:lvlJc w:val="left"/>
      <w:pPr>
        <w:tabs>
          <w:tab w:val="num" w:pos="3600"/>
        </w:tabs>
        <w:ind w:left="3600" w:hanging="360"/>
      </w:pPr>
    </w:lvl>
    <w:lvl w:ilvl="5" w:tplc="4260D542" w:tentative="1">
      <w:start w:val="1"/>
      <w:numFmt w:val="decimal"/>
      <w:lvlText w:val="%6."/>
      <w:lvlJc w:val="left"/>
      <w:pPr>
        <w:tabs>
          <w:tab w:val="num" w:pos="4320"/>
        </w:tabs>
        <w:ind w:left="4320" w:hanging="360"/>
      </w:pPr>
    </w:lvl>
    <w:lvl w:ilvl="6" w:tplc="FA343F12" w:tentative="1">
      <w:start w:val="1"/>
      <w:numFmt w:val="decimal"/>
      <w:lvlText w:val="%7."/>
      <w:lvlJc w:val="left"/>
      <w:pPr>
        <w:tabs>
          <w:tab w:val="num" w:pos="5040"/>
        </w:tabs>
        <w:ind w:left="5040" w:hanging="360"/>
      </w:pPr>
    </w:lvl>
    <w:lvl w:ilvl="7" w:tplc="EB26A5A8" w:tentative="1">
      <w:start w:val="1"/>
      <w:numFmt w:val="decimal"/>
      <w:lvlText w:val="%8."/>
      <w:lvlJc w:val="left"/>
      <w:pPr>
        <w:tabs>
          <w:tab w:val="num" w:pos="5760"/>
        </w:tabs>
        <w:ind w:left="5760" w:hanging="360"/>
      </w:pPr>
    </w:lvl>
    <w:lvl w:ilvl="8" w:tplc="90E8AA3C" w:tentative="1">
      <w:start w:val="1"/>
      <w:numFmt w:val="decimal"/>
      <w:lvlText w:val="%9."/>
      <w:lvlJc w:val="left"/>
      <w:pPr>
        <w:tabs>
          <w:tab w:val="num" w:pos="6480"/>
        </w:tabs>
        <w:ind w:left="6480" w:hanging="360"/>
      </w:pPr>
    </w:lvl>
  </w:abstractNum>
  <w:abstractNum w:abstractNumId="661">
    <w:nsid w:val="605B5D69"/>
    <w:multiLevelType w:val="multilevel"/>
    <w:tmpl w:val="6B60C4F6"/>
    <w:lvl w:ilvl="0">
      <w:start w:val="1"/>
      <w:numFmt w:val="decimal"/>
      <w:lvlText w:val="%1."/>
      <w:lvlJc w:val="left"/>
      <w:pPr>
        <w:ind w:left="720" w:hanging="360"/>
      </w:p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i w:val="0"/>
        <w:color w:val="3366FF"/>
        <w:sz w:val="26"/>
        <w:szCs w:val="26"/>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62">
    <w:nsid w:val="6069572A"/>
    <w:multiLevelType w:val="hybridMultilevel"/>
    <w:tmpl w:val="5BEE40B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63">
    <w:nsid w:val="60747E03"/>
    <w:multiLevelType w:val="multilevel"/>
    <w:tmpl w:val="F8D6C868"/>
    <w:lvl w:ilvl="0">
      <w:start w:val="2"/>
      <w:numFmt w:val="decimal"/>
      <w:lvlText w:val="%1."/>
      <w:lvlJc w:val="left"/>
      <w:pPr>
        <w:ind w:left="450" w:hanging="45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64">
    <w:nsid w:val="607A763B"/>
    <w:multiLevelType w:val="hybridMultilevel"/>
    <w:tmpl w:val="210407E2"/>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65">
    <w:nsid w:val="60833E62"/>
    <w:multiLevelType w:val="hybridMultilevel"/>
    <w:tmpl w:val="DD2A1698"/>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66">
    <w:nsid w:val="60C06797"/>
    <w:multiLevelType w:val="hybridMultilevel"/>
    <w:tmpl w:val="B0CC21E4"/>
    <w:lvl w:ilvl="0" w:tplc="B4384BC6">
      <w:start w:val="1"/>
      <w:numFmt w:val="bullet"/>
      <w:lvlText w:val=""/>
      <w:lvlJc w:val="left"/>
      <w:pPr>
        <w:tabs>
          <w:tab w:val="num" w:pos="720"/>
        </w:tabs>
        <w:ind w:left="720" w:hanging="360"/>
      </w:pPr>
      <w:rPr>
        <w:rFonts w:ascii="Symbol" w:hAnsi="Symbol" w:hint="default"/>
        <w:sz w:val="20"/>
      </w:rPr>
    </w:lvl>
    <w:lvl w:ilvl="1" w:tplc="814E1D3A" w:tentative="1">
      <w:start w:val="1"/>
      <w:numFmt w:val="bullet"/>
      <w:lvlText w:val="o"/>
      <w:lvlJc w:val="left"/>
      <w:pPr>
        <w:tabs>
          <w:tab w:val="num" w:pos="1440"/>
        </w:tabs>
        <w:ind w:left="1440" w:hanging="360"/>
      </w:pPr>
      <w:rPr>
        <w:rFonts w:ascii="Courier New" w:hAnsi="Courier New" w:hint="default"/>
        <w:sz w:val="20"/>
      </w:rPr>
    </w:lvl>
    <w:lvl w:ilvl="2" w:tplc="B56A51BE" w:tentative="1">
      <w:start w:val="1"/>
      <w:numFmt w:val="bullet"/>
      <w:lvlText w:val=""/>
      <w:lvlJc w:val="left"/>
      <w:pPr>
        <w:tabs>
          <w:tab w:val="num" w:pos="2160"/>
        </w:tabs>
        <w:ind w:left="2160" w:hanging="360"/>
      </w:pPr>
      <w:rPr>
        <w:rFonts w:ascii="Wingdings" w:hAnsi="Wingdings" w:hint="default"/>
        <w:sz w:val="20"/>
      </w:rPr>
    </w:lvl>
    <w:lvl w:ilvl="3" w:tplc="623CF69A" w:tentative="1">
      <w:start w:val="1"/>
      <w:numFmt w:val="bullet"/>
      <w:lvlText w:val=""/>
      <w:lvlJc w:val="left"/>
      <w:pPr>
        <w:tabs>
          <w:tab w:val="num" w:pos="2880"/>
        </w:tabs>
        <w:ind w:left="2880" w:hanging="360"/>
      </w:pPr>
      <w:rPr>
        <w:rFonts w:ascii="Wingdings" w:hAnsi="Wingdings" w:hint="default"/>
        <w:sz w:val="20"/>
      </w:rPr>
    </w:lvl>
    <w:lvl w:ilvl="4" w:tplc="37228964" w:tentative="1">
      <w:start w:val="1"/>
      <w:numFmt w:val="bullet"/>
      <w:lvlText w:val=""/>
      <w:lvlJc w:val="left"/>
      <w:pPr>
        <w:tabs>
          <w:tab w:val="num" w:pos="3600"/>
        </w:tabs>
        <w:ind w:left="3600" w:hanging="360"/>
      </w:pPr>
      <w:rPr>
        <w:rFonts w:ascii="Wingdings" w:hAnsi="Wingdings" w:hint="default"/>
        <w:sz w:val="20"/>
      </w:rPr>
    </w:lvl>
    <w:lvl w:ilvl="5" w:tplc="2334E4AC" w:tentative="1">
      <w:start w:val="1"/>
      <w:numFmt w:val="bullet"/>
      <w:lvlText w:val=""/>
      <w:lvlJc w:val="left"/>
      <w:pPr>
        <w:tabs>
          <w:tab w:val="num" w:pos="4320"/>
        </w:tabs>
        <w:ind w:left="4320" w:hanging="360"/>
      </w:pPr>
      <w:rPr>
        <w:rFonts w:ascii="Wingdings" w:hAnsi="Wingdings" w:hint="default"/>
        <w:sz w:val="20"/>
      </w:rPr>
    </w:lvl>
    <w:lvl w:ilvl="6" w:tplc="1BD8731E" w:tentative="1">
      <w:start w:val="1"/>
      <w:numFmt w:val="bullet"/>
      <w:lvlText w:val=""/>
      <w:lvlJc w:val="left"/>
      <w:pPr>
        <w:tabs>
          <w:tab w:val="num" w:pos="5040"/>
        </w:tabs>
        <w:ind w:left="5040" w:hanging="360"/>
      </w:pPr>
      <w:rPr>
        <w:rFonts w:ascii="Wingdings" w:hAnsi="Wingdings" w:hint="default"/>
        <w:sz w:val="20"/>
      </w:rPr>
    </w:lvl>
    <w:lvl w:ilvl="7" w:tplc="ABF67016" w:tentative="1">
      <w:start w:val="1"/>
      <w:numFmt w:val="bullet"/>
      <w:lvlText w:val=""/>
      <w:lvlJc w:val="left"/>
      <w:pPr>
        <w:tabs>
          <w:tab w:val="num" w:pos="5760"/>
        </w:tabs>
        <w:ind w:left="5760" w:hanging="360"/>
      </w:pPr>
      <w:rPr>
        <w:rFonts w:ascii="Wingdings" w:hAnsi="Wingdings" w:hint="default"/>
        <w:sz w:val="20"/>
      </w:rPr>
    </w:lvl>
    <w:lvl w:ilvl="8" w:tplc="7C3C7AF6" w:tentative="1">
      <w:start w:val="1"/>
      <w:numFmt w:val="bullet"/>
      <w:lvlText w:val=""/>
      <w:lvlJc w:val="left"/>
      <w:pPr>
        <w:tabs>
          <w:tab w:val="num" w:pos="6480"/>
        </w:tabs>
        <w:ind w:left="6480" w:hanging="360"/>
      </w:pPr>
      <w:rPr>
        <w:rFonts w:ascii="Wingdings" w:hAnsi="Wingdings" w:hint="default"/>
        <w:sz w:val="20"/>
      </w:rPr>
    </w:lvl>
  </w:abstractNum>
  <w:abstractNum w:abstractNumId="667">
    <w:nsid w:val="60F6769F"/>
    <w:multiLevelType w:val="hybridMultilevel"/>
    <w:tmpl w:val="B7085C76"/>
    <w:lvl w:ilvl="0" w:tplc="04150005">
      <w:start w:val="1"/>
      <w:numFmt w:val="bullet"/>
      <w:lvlText w:val=""/>
      <w:lvlJc w:val="left"/>
      <w:pPr>
        <w:tabs>
          <w:tab w:val="num" w:pos="720"/>
        </w:tabs>
        <w:ind w:left="720" w:hanging="360"/>
      </w:pPr>
      <w:rPr>
        <w:rFonts w:ascii="Wingdings" w:hAnsi="Wingdings" w:hint="default"/>
        <w:sz w:val="20"/>
      </w:rPr>
    </w:lvl>
    <w:lvl w:ilvl="1" w:tplc="34B2DEDE" w:tentative="1">
      <w:start w:val="1"/>
      <w:numFmt w:val="bullet"/>
      <w:lvlText w:val="o"/>
      <w:lvlJc w:val="left"/>
      <w:pPr>
        <w:tabs>
          <w:tab w:val="num" w:pos="1440"/>
        </w:tabs>
        <w:ind w:left="1440" w:hanging="360"/>
      </w:pPr>
      <w:rPr>
        <w:rFonts w:ascii="Courier New" w:hAnsi="Courier New" w:hint="default"/>
        <w:sz w:val="20"/>
      </w:rPr>
    </w:lvl>
    <w:lvl w:ilvl="2" w:tplc="96E695DC" w:tentative="1">
      <w:start w:val="1"/>
      <w:numFmt w:val="bullet"/>
      <w:lvlText w:val=""/>
      <w:lvlJc w:val="left"/>
      <w:pPr>
        <w:tabs>
          <w:tab w:val="num" w:pos="2160"/>
        </w:tabs>
        <w:ind w:left="2160" w:hanging="360"/>
      </w:pPr>
      <w:rPr>
        <w:rFonts w:ascii="Wingdings" w:hAnsi="Wingdings" w:hint="default"/>
        <w:sz w:val="20"/>
      </w:rPr>
    </w:lvl>
    <w:lvl w:ilvl="3" w:tplc="AEAC81AA" w:tentative="1">
      <w:start w:val="1"/>
      <w:numFmt w:val="bullet"/>
      <w:lvlText w:val=""/>
      <w:lvlJc w:val="left"/>
      <w:pPr>
        <w:tabs>
          <w:tab w:val="num" w:pos="2880"/>
        </w:tabs>
        <w:ind w:left="2880" w:hanging="360"/>
      </w:pPr>
      <w:rPr>
        <w:rFonts w:ascii="Wingdings" w:hAnsi="Wingdings" w:hint="default"/>
        <w:sz w:val="20"/>
      </w:rPr>
    </w:lvl>
    <w:lvl w:ilvl="4" w:tplc="CDEEAFD2" w:tentative="1">
      <w:start w:val="1"/>
      <w:numFmt w:val="bullet"/>
      <w:lvlText w:val=""/>
      <w:lvlJc w:val="left"/>
      <w:pPr>
        <w:tabs>
          <w:tab w:val="num" w:pos="3600"/>
        </w:tabs>
        <w:ind w:left="3600" w:hanging="360"/>
      </w:pPr>
      <w:rPr>
        <w:rFonts w:ascii="Wingdings" w:hAnsi="Wingdings" w:hint="default"/>
        <w:sz w:val="20"/>
      </w:rPr>
    </w:lvl>
    <w:lvl w:ilvl="5" w:tplc="8CC04756" w:tentative="1">
      <w:start w:val="1"/>
      <w:numFmt w:val="bullet"/>
      <w:lvlText w:val=""/>
      <w:lvlJc w:val="left"/>
      <w:pPr>
        <w:tabs>
          <w:tab w:val="num" w:pos="4320"/>
        </w:tabs>
        <w:ind w:left="4320" w:hanging="360"/>
      </w:pPr>
      <w:rPr>
        <w:rFonts w:ascii="Wingdings" w:hAnsi="Wingdings" w:hint="default"/>
        <w:sz w:val="20"/>
      </w:rPr>
    </w:lvl>
    <w:lvl w:ilvl="6" w:tplc="334A17C8" w:tentative="1">
      <w:start w:val="1"/>
      <w:numFmt w:val="bullet"/>
      <w:lvlText w:val=""/>
      <w:lvlJc w:val="left"/>
      <w:pPr>
        <w:tabs>
          <w:tab w:val="num" w:pos="5040"/>
        </w:tabs>
        <w:ind w:left="5040" w:hanging="360"/>
      </w:pPr>
      <w:rPr>
        <w:rFonts w:ascii="Wingdings" w:hAnsi="Wingdings" w:hint="default"/>
        <w:sz w:val="20"/>
      </w:rPr>
    </w:lvl>
    <w:lvl w:ilvl="7" w:tplc="B26A2356" w:tentative="1">
      <w:start w:val="1"/>
      <w:numFmt w:val="bullet"/>
      <w:lvlText w:val=""/>
      <w:lvlJc w:val="left"/>
      <w:pPr>
        <w:tabs>
          <w:tab w:val="num" w:pos="5760"/>
        </w:tabs>
        <w:ind w:left="5760" w:hanging="360"/>
      </w:pPr>
      <w:rPr>
        <w:rFonts w:ascii="Wingdings" w:hAnsi="Wingdings" w:hint="default"/>
        <w:sz w:val="20"/>
      </w:rPr>
    </w:lvl>
    <w:lvl w:ilvl="8" w:tplc="088649E0" w:tentative="1">
      <w:start w:val="1"/>
      <w:numFmt w:val="bullet"/>
      <w:lvlText w:val=""/>
      <w:lvlJc w:val="left"/>
      <w:pPr>
        <w:tabs>
          <w:tab w:val="num" w:pos="6480"/>
        </w:tabs>
        <w:ind w:left="6480" w:hanging="360"/>
      </w:pPr>
      <w:rPr>
        <w:rFonts w:ascii="Wingdings" w:hAnsi="Wingdings" w:hint="default"/>
        <w:sz w:val="20"/>
      </w:rPr>
    </w:lvl>
  </w:abstractNum>
  <w:abstractNum w:abstractNumId="668">
    <w:nsid w:val="611B0375"/>
    <w:multiLevelType w:val="multilevel"/>
    <w:tmpl w:val="18B40AFA"/>
    <w:lvl w:ilvl="0">
      <w:start w:val="1"/>
      <w:numFmt w:val="decimal"/>
      <w:lvlText w:val="%1."/>
      <w:lvlJc w:val="left"/>
      <w:pPr>
        <w:ind w:left="720" w:hanging="360"/>
      </w:pPr>
      <w:rPr>
        <w:rFonts w:hint="default"/>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69">
    <w:nsid w:val="617B7722"/>
    <w:multiLevelType w:val="hybridMultilevel"/>
    <w:tmpl w:val="4364C0E6"/>
    <w:lvl w:ilvl="0" w:tplc="DC96138E">
      <w:start w:val="1"/>
      <w:numFmt w:val="decimal"/>
      <w:lvlText w:val="%1."/>
      <w:lvlJc w:val="left"/>
      <w:pPr>
        <w:tabs>
          <w:tab w:val="num" w:pos="720"/>
        </w:tabs>
        <w:ind w:left="720" w:hanging="360"/>
      </w:pPr>
    </w:lvl>
    <w:lvl w:ilvl="1" w:tplc="708416E0" w:tentative="1">
      <w:start w:val="1"/>
      <w:numFmt w:val="decimal"/>
      <w:lvlText w:val="%2."/>
      <w:lvlJc w:val="left"/>
      <w:pPr>
        <w:tabs>
          <w:tab w:val="num" w:pos="1440"/>
        </w:tabs>
        <w:ind w:left="1440" w:hanging="360"/>
      </w:pPr>
    </w:lvl>
    <w:lvl w:ilvl="2" w:tplc="E02A3E0E" w:tentative="1">
      <w:start w:val="1"/>
      <w:numFmt w:val="decimal"/>
      <w:lvlText w:val="%3."/>
      <w:lvlJc w:val="left"/>
      <w:pPr>
        <w:tabs>
          <w:tab w:val="num" w:pos="2160"/>
        </w:tabs>
        <w:ind w:left="2160" w:hanging="360"/>
      </w:pPr>
    </w:lvl>
    <w:lvl w:ilvl="3" w:tplc="FDA8B70A" w:tentative="1">
      <w:start w:val="1"/>
      <w:numFmt w:val="decimal"/>
      <w:lvlText w:val="%4."/>
      <w:lvlJc w:val="left"/>
      <w:pPr>
        <w:tabs>
          <w:tab w:val="num" w:pos="2880"/>
        </w:tabs>
        <w:ind w:left="2880" w:hanging="360"/>
      </w:pPr>
    </w:lvl>
    <w:lvl w:ilvl="4" w:tplc="81729422" w:tentative="1">
      <w:start w:val="1"/>
      <w:numFmt w:val="decimal"/>
      <w:lvlText w:val="%5."/>
      <w:lvlJc w:val="left"/>
      <w:pPr>
        <w:tabs>
          <w:tab w:val="num" w:pos="3600"/>
        </w:tabs>
        <w:ind w:left="3600" w:hanging="360"/>
      </w:pPr>
    </w:lvl>
    <w:lvl w:ilvl="5" w:tplc="5A200384" w:tentative="1">
      <w:start w:val="1"/>
      <w:numFmt w:val="decimal"/>
      <w:lvlText w:val="%6."/>
      <w:lvlJc w:val="left"/>
      <w:pPr>
        <w:tabs>
          <w:tab w:val="num" w:pos="4320"/>
        </w:tabs>
        <w:ind w:left="4320" w:hanging="360"/>
      </w:pPr>
    </w:lvl>
    <w:lvl w:ilvl="6" w:tplc="2B108026" w:tentative="1">
      <w:start w:val="1"/>
      <w:numFmt w:val="decimal"/>
      <w:lvlText w:val="%7."/>
      <w:lvlJc w:val="left"/>
      <w:pPr>
        <w:tabs>
          <w:tab w:val="num" w:pos="5040"/>
        </w:tabs>
        <w:ind w:left="5040" w:hanging="360"/>
      </w:pPr>
    </w:lvl>
    <w:lvl w:ilvl="7" w:tplc="D556F4BC" w:tentative="1">
      <w:start w:val="1"/>
      <w:numFmt w:val="decimal"/>
      <w:lvlText w:val="%8."/>
      <w:lvlJc w:val="left"/>
      <w:pPr>
        <w:tabs>
          <w:tab w:val="num" w:pos="5760"/>
        </w:tabs>
        <w:ind w:left="5760" w:hanging="360"/>
      </w:pPr>
    </w:lvl>
    <w:lvl w:ilvl="8" w:tplc="8A347F72" w:tentative="1">
      <w:start w:val="1"/>
      <w:numFmt w:val="decimal"/>
      <w:lvlText w:val="%9."/>
      <w:lvlJc w:val="left"/>
      <w:pPr>
        <w:tabs>
          <w:tab w:val="num" w:pos="6480"/>
        </w:tabs>
        <w:ind w:left="6480" w:hanging="360"/>
      </w:pPr>
    </w:lvl>
  </w:abstractNum>
  <w:abstractNum w:abstractNumId="670">
    <w:nsid w:val="61CE69B9"/>
    <w:multiLevelType w:val="hybridMultilevel"/>
    <w:tmpl w:val="A3B60962"/>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71">
    <w:nsid w:val="62604911"/>
    <w:multiLevelType w:val="hybridMultilevel"/>
    <w:tmpl w:val="9934D136"/>
    <w:lvl w:ilvl="0" w:tplc="3BA23654">
      <w:start w:val="1"/>
      <w:numFmt w:val="bullet"/>
      <w:lvlText w:val="-"/>
      <w:lvlJc w:val="left"/>
      <w:pPr>
        <w:ind w:left="720" w:hanging="360"/>
      </w:pPr>
      <w:rPr>
        <w:rFonts w:ascii="Verdana" w:hAnsi="Verdana"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72">
    <w:nsid w:val="626D4703"/>
    <w:multiLevelType w:val="hybridMultilevel"/>
    <w:tmpl w:val="270412D6"/>
    <w:lvl w:ilvl="0" w:tplc="0415000F">
      <w:start w:val="117"/>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73">
    <w:nsid w:val="62AD4B02"/>
    <w:multiLevelType w:val="hybridMultilevel"/>
    <w:tmpl w:val="B3E01650"/>
    <w:lvl w:ilvl="0" w:tplc="45342F88">
      <w:start w:val="1"/>
      <w:numFmt w:val="bullet"/>
      <w:lvlText w:val=""/>
      <w:lvlJc w:val="left"/>
      <w:pPr>
        <w:tabs>
          <w:tab w:val="num" w:pos="720"/>
        </w:tabs>
        <w:ind w:left="720" w:hanging="360"/>
      </w:pPr>
      <w:rPr>
        <w:rFonts w:ascii="Symbol" w:hAnsi="Symbol" w:hint="default"/>
        <w:sz w:val="20"/>
      </w:rPr>
    </w:lvl>
    <w:lvl w:ilvl="1" w:tplc="02605E52" w:tentative="1">
      <w:start w:val="1"/>
      <w:numFmt w:val="bullet"/>
      <w:lvlText w:val="o"/>
      <w:lvlJc w:val="left"/>
      <w:pPr>
        <w:tabs>
          <w:tab w:val="num" w:pos="1440"/>
        </w:tabs>
        <w:ind w:left="1440" w:hanging="360"/>
      </w:pPr>
      <w:rPr>
        <w:rFonts w:ascii="Courier New" w:hAnsi="Courier New" w:hint="default"/>
        <w:sz w:val="20"/>
      </w:rPr>
    </w:lvl>
    <w:lvl w:ilvl="2" w:tplc="02F84A0C" w:tentative="1">
      <w:start w:val="1"/>
      <w:numFmt w:val="bullet"/>
      <w:lvlText w:val=""/>
      <w:lvlJc w:val="left"/>
      <w:pPr>
        <w:tabs>
          <w:tab w:val="num" w:pos="2160"/>
        </w:tabs>
        <w:ind w:left="2160" w:hanging="360"/>
      </w:pPr>
      <w:rPr>
        <w:rFonts w:ascii="Wingdings" w:hAnsi="Wingdings" w:hint="default"/>
        <w:sz w:val="20"/>
      </w:rPr>
    </w:lvl>
    <w:lvl w:ilvl="3" w:tplc="2D3238D4" w:tentative="1">
      <w:start w:val="1"/>
      <w:numFmt w:val="bullet"/>
      <w:lvlText w:val=""/>
      <w:lvlJc w:val="left"/>
      <w:pPr>
        <w:tabs>
          <w:tab w:val="num" w:pos="2880"/>
        </w:tabs>
        <w:ind w:left="2880" w:hanging="360"/>
      </w:pPr>
      <w:rPr>
        <w:rFonts w:ascii="Wingdings" w:hAnsi="Wingdings" w:hint="default"/>
        <w:sz w:val="20"/>
      </w:rPr>
    </w:lvl>
    <w:lvl w:ilvl="4" w:tplc="6DE2E5A6" w:tentative="1">
      <w:start w:val="1"/>
      <w:numFmt w:val="bullet"/>
      <w:lvlText w:val=""/>
      <w:lvlJc w:val="left"/>
      <w:pPr>
        <w:tabs>
          <w:tab w:val="num" w:pos="3600"/>
        </w:tabs>
        <w:ind w:left="3600" w:hanging="360"/>
      </w:pPr>
      <w:rPr>
        <w:rFonts w:ascii="Wingdings" w:hAnsi="Wingdings" w:hint="default"/>
        <w:sz w:val="20"/>
      </w:rPr>
    </w:lvl>
    <w:lvl w:ilvl="5" w:tplc="9A7E5AA0" w:tentative="1">
      <w:start w:val="1"/>
      <w:numFmt w:val="bullet"/>
      <w:lvlText w:val=""/>
      <w:lvlJc w:val="left"/>
      <w:pPr>
        <w:tabs>
          <w:tab w:val="num" w:pos="4320"/>
        </w:tabs>
        <w:ind w:left="4320" w:hanging="360"/>
      </w:pPr>
      <w:rPr>
        <w:rFonts w:ascii="Wingdings" w:hAnsi="Wingdings" w:hint="default"/>
        <w:sz w:val="20"/>
      </w:rPr>
    </w:lvl>
    <w:lvl w:ilvl="6" w:tplc="0F360A9E" w:tentative="1">
      <w:start w:val="1"/>
      <w:numFmt w:val="bullet"/>
      <w:lvlText w:val=""/>
      <w:lvlJc w:val="left"/>
      <w:pPr>
        <w:tabs>
          <w:tab w:val="num" w:pos="5040"/>
        </w:tabs>
        <w:ind w:left="5040" w:hanging="360"/>
      </w:pPr>
      <w:rPr>
        <w:rFonts w:ascii="Wingdings" w:hAnsi="Wingdings" w:hint="default"/>
        <w:sz w:val="20"/>
      </w:rPr>
    </w:lvl>
    <w:lvl w:ilvl="7" w:tplc="AF421EE8" w:tentative="1">
      <w:start w:val="1"/>
      <w:numFmt w:val="bullet"/>
      <w:lvlText w:val=""/>
      <w:lvlJc w:val="left"/>
      <w:pPr>
        <w:tabs>
          <w:tab w:val="num" w:pos="5760"/>
        </w:tabs>
        <w:ind w:left="5760" w:hanging="360"/>
      </w:pPr>
      <w:rPr>
        <w:rFonts w:ascii="Wingdings" w:hAnsi="Wingdings" w:hint="default"/>
        <w:sz w:val="20"/>
      </w:rPr>
    </w:lvl>
    <w:lvl w:ilvl="8" w:tplc="F232FB1C" w:tentative="1">
      <w:start w:val="1"/>
      <w:numFmt w:val="bullet"/>
      <w:lvlText w:val=""/>
      <w:lvlJc w:val="left"/>
      <w:pPr>
        <w:tabs>
          <w:tab w:val="num" w:pos="6480"/>
        </w:tabs>
        <w:ind w:left="6480" w:hanging="360"/>
      </w:pPr>
      <w:rPr>
        <w:rFonts w:ascii="Wingdings" w:hAnsi="Wingdings" w:hint="default"/>
        <w:sz w:val="20"/>
      </w:rPr>
    </w:lvl>
  </w:abstractNum>
  <w:abstractNum w:abstractNumId="674">
    <w:nsid w:val="63353E4D"/>
    <w:multiLevelType w:val="hybridMultilevel"/>
    <w:tmpl w:val="96CA604C"/>
    <w:lvl w:ilvl="0" w:tplc="641ACAC4">
      <w:start w:val="1"/>
      <w:numFmt w:val="decimal"/>
      <w:lvlText w:val="C3.K%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75">
    <w:nsid w:val="634F0DB1"/>
    <w:multiLevelType w:val="hybridMultilevel"/>
    <w:tmpl w:val="07989C4C"/>
    <w:lvl w:ilvl="0" w:tplc="D6A656B6">
      <w:numFmt w:val="bullet"/>
      <w:lvlText w:val="-"/>
      <w:lvlJc w:val="left"/>
      <w:pPr>
        <w:ind w:left="1068" w:hanging="360"/>
      </w:pPr>
      <w:rPr>
        <w:rFonts w:ascii="Times New Roman" w:eastAsia="Times New Roman" w:hAnsi="Times New Roman" w:cs="Times New Roman"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676">
    <w:nsid w:val="63A577DF"/>
    <w:multiLevelType w:val="hybridMultilevel"/>
    <w:tmpl w:val="E1AE73DA"/>
    <w:lvl w:ilvl="0" w:tplc="04150005">
      <w:start w:val="1"/>
      <w:numFmt w:val="bullet"/>
      <w:lvlText w:val=""/>
      <w:lvlJc w:val="left"/>
      <w:pPr>
        <w:ind w:left="1040" w:hanging="360"/>
      </w:pPr>
      <w:rPr>
        <w:rFonts w:ascii="Wingdings" w:hAnsi="Wingdings"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677">
    <w:nsid w:val="63B56D80"/>
    <w:multiLevelType w:val="hybridMultilevel"/>
    <w:tmpl w:val="15F24BA2"/>
    <w:lvl w:ilvl="0" w:tplc="3BA23654">
      <w:start w:val="1"/>
      <w:numFmt w:val="bullet"/>
      <w:lvlText w:val="-"/>
      <w:lvlJc w:val="left"/>
      <w:pPr>
        <w:ind w:left="720" w:hanging="360"/>
      </w:pPr>
      <w:rPr>
        <w:rFonts w:ascii="Verdana" w:hAnsi="Verdana"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78">
    <w:nsid w:val="63C556CE"/>
    <w:multiLevelType w:val="hybridMultilevel"/>
    <w:tmpl w:val="D022645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79">
    <w:nsid w:val="63E04431"/>
    <w:multiLevelType w:val="hybridMultilevel"/>
    <w:tmpl w:val="A9BE7F08"/>
    <w:lvl w:ilvl="0" w:tplc="3BA23654">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80">
    <w:nsid w:val="63E525F9"/>
    <w:multiLevelType w:val="hybridMultilevel"/>
    <w:tmpl w:val="8E2A8C66"/>
    <w:lvl w:ilvl="0" w:tplc="8A60EDF8">
      <w:start w:val="1"/>
      <w:numFmt w:val="bullet"/>
      <w:lvlText w:val=""/>
      <w:lvlJc w:val="left"/>
      <w:pPr>
        <w:ind w:left="720" w:hanging="360"/>
      </w:pPr>
      <w:rPr>
        <w:rFonts w:ascii="Wingdings" w:hAnsi="Wingdings" w:hint="default"/>
        <w:sz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81">
    <w:nsid w:val="63FB4E44"/>
    <w:multiLevelType w:val="hybridMultilevel"/>
    <w:tmpl w:val="94CE30EE"/>
    <w:lvl w:ilvl="0" w:tplc="2A9CF4A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82">
    <w:nsid w:val="640F5FE7"/>
    <w:multiLevelType w:val="hybridMultilevel"/>
    <w:tmpl w:val="E2C2BC7E"/>
    <w:lvl w:ilvl="0" w:tplc="04150005">
      <w:start w:val="1"/>
      <w:numFmt w:val="bullet"/>
      <w:lvlText w:val=""/>
      <w:lvlJc w:val="left"/>
      <w:pPr>
        <w:ind w:left="360" w:hanging="360"/>
      </w:pPr>
      <w:rPr>
        <w:rFonts w:ascii="Wingdings" w:hAnsi="Wingding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83">
    <w:nsid w:val="6423708A"/>
    <w:multiLevelType w:val="hybridMultilevel"/>
    <w:tmpl w:val="365277AA"/>
    <w:lvl w:ilvl="0" w:tplc="04150005">
      <w:start w:val="1"/>
      <w:numFmt w:val="bullet"/>
      <w:lvlText w:val=""/>
      <w:lvlJc w:val="left"/>
      <w:pPr>
        <w:ind w:left="720" w:hanging="360"/>
      </w:pPr>
      <w:rPr>
        <w:rFonts w:ascii="Wingdings" w:hAnsi="Wingdings" w:hint="default"/>
        <w:color w:val="auto"/>
        <w:sz w:val="20"/>
        <w:szCs w:val="20"/>
      </w:rPr>
    </w:lvl>
    <w:lvl w:ilvl="1" w:tplc="9516EC18" w:tentative="1">
      <w:start w:val="1"/>
      <w:numFmt w:val="bullet"/>
      <w:lvlText w:val="o"/>
      <w:lvlJc w:val="left"/>
      <w:pPr>
        <w:ind w:left="1440" w:hanging="360"/>
      </w:pPr>
      <w:rPr>
        <w:rFonts w:ascii="Courier New" w:hAnsi="Courier New" w:cs="Courier New" w:hint="default"/>
      </w:rPr>
    </w:lvl>
    <w:lvl w:ilvl="2" w:tplc="F7644B0A" w:tentative="1">
      <w:start w:val="1"/>
      <w:numFmt w:val="bullet"/>
      <w:lvlText w:val=""/>
      <w:lvlJc w:val="left"/>
      <w:pPr>
        <w:ind w:left="2160" w:hanging="360"/>
      </w:pPr>
      <w:rPr>
        <w:rFonts w:ascii="Wingdings" w:hAnsi="Wingdings" w:hint="default"/>
      </w:rPr>
    </w:lvl>
    <w:lvl w:ilvl="3" w:tplc="2C5C4728" w:tentative="1">
      <w:start w:val="1"/>
      <w:numFmt w:val="bullet"/>
      <w:lvlText w:val=""/>
      <w:lvlJc w:val="left"/>
      <w:pPr>
        <w:ind w:left="2880" w:hanging="360"/>
      </w:pPr>
      <w:rPr>
        <w:rFonts w:ascii="Symbol" w:hAnsi="Symbol" w:hint="default"/>
      </w:rPr>
    </w:lvl>
    <w:lvl w:ilvl="4" w:tplc="3EE8A332" w:tentative="1">
      <w:start w:val="1"/>
      <w:numFmt w:val="bullet"/>
      <w:lvlText w:val="o"/>
      <w:lvlJc w:val="left"/>
      <w:pPr>
        <w:ind w:left="3600" w:hanging="360"/>
      </w:pPr>
      <w:rPr>
        <w:rFonts w:ascii="Courier New" w:hAnsi="Courier New" w:cs="Courier New" w:hint="default"/>
      </w:rPr>
    </w:lvl>
    <w:lvl w:ilvl="5" w:tplc="24507A84" w:tentative="1">
      <w:start w:val="1"/>
      <w:numFmt w:val="bullet"/>
      <w:lvlText w:val=""/>
      <w:lvlJc w:val="left"/>
      <w:pPr>
        <w:ind w:left="4320" w:hanging="360"/>
      </w:pPr>
      <w:rPr>
        <w:rFonts w:ascii="Wingdings" w:hAnsi="Wingdings" w:hint="default"/>
      </w:rPr>
    </w:lvl>
    <w:lvl w:ilvl="6" w:tplc="88CEEF8A" w:tentative="1">
      <w:start w:val="1"/>
      <w:numFmt w:val="bullet"/>
      <w:lvlText w:val=""/>
      <w:lvlJc w:val="left"/>
      <w:pPr>
        <w:ind w:left="5040" w:hanging="360"/>
      </w:pPr>
      <w:rPr>
        <w:rFonts w:ascii="Symbol" w:hAnsi="Symbol" w:hint="default"/>
      </w:rPr>
    </w:lvl>
    <w:lvl w:ilvl="7" w:tplc="362E060E" w:tentative="1">
      <w:start w:val="1"/>
      <w:numFmt w:val="bullet"/>
      <w:lvlText w:val="o"/>
      <w:lvlJc w:val="left"/>
      <w:pPr>
        <w:ind w:left="5760" w:hanging="360"/>
      </w:pPr>
      <w:rPr>
        <w:rFonts w:ascii="Courier New" w:hAnsi="Courier New" w:cs="Courier New" w:hint="default"/>
      </w:rPr>
    </w:lvl>
    <w:lvl w:ilvl="8" w:tplc="8AD0C7FC" w:tentative="1">
      <w:start w:val="1"/>
      <w:numFmt w:val="bullet"/>
      <w:lvlText w:val=""/>
      <w:lvlJc w:val="left"/>
      <w:pPr>
        <w:ind w:left="6480" w:hanging="360"/>
      </w:pPr>
      <w:rPr>
        <w:rFonts w:ascii="Wingdings" w:hAnsi="Wingdings" w:hint="default"/>
      </w:rPr>
    </w:lvl>
  </w:abstractNum>
  <w:abstractNum w:abstractNumId="684">
    <w:nsid w:val="649616E6"/>
    <w:multiLevelType w:val="hybridMultilevel"/>
    <w:tmpl w:val="75326A58"/>
    <w:lvl w:ilvl="0" w:tplc="3C0279F8">
      <w:start w:val="1"/>
      <w:numFmt w:val="bullet"/>
      <w:lvlText w:val=""/>
      <w:lvlJc w:val="left"/>
      <w:pPr>
        <w:tabs>
          <w:tab w:val="num" w:pos="720"/>
        </w:tabs>
        <w:ind w:left="720" w:hanging="360"/>
      </w:pPr>
      <w:rPr>
        <w:rFonts w:ascii="Symbol" w:hAnsi="Symbol" w:hint="default"/>
        <w:sz w:val="20"/>
      </w:rPr>
    </w:lvl>
    <w:lvl w:ilvl="1" w:tplc="C268A2B2" w:tentative="1">
      <w:start w:val="1"/>
      <w:numFmt w:val="bullet"/>
      <w:lvlText w:val="o"/>
      <w:lvlJc w:val="left"/>
      <w:pPr>
        <w:tabs>
          <w:tab w:val="num" w:pos="1440"/>
        </w:tabs>
        <w:ind w:left="1440" w:hanging="360"/>
      </w:pPr>
      <w:rPr>
        <w:rFonts w:ascii="Courier New" w:hAnsi="Courier New" w:hint="default"/>
        <w:sz w:val="20"/>
      </w:rPr>
    </w:lvl>
    <w:lvl w:ilvl="2" w:tplc="2CE01176" w:tentative="1">
      <w:start w:val="1"/>
      <w:numFmt w:val="bullet"/>
      <w:lvlText w:val=""/>
      <w:lvlJc w:val="left"/>
      <w:pPr>
        <w:tabs>
          <w:tab w:val="num" w:pos="2160"/>
        </w:tabs>
        <w:ind w:left="2160" w:hanging="360"/>
      </w:pPr>
      <w:rPr>
        <w:rFonts w:ascii="Wingdings" w:hAnsi="Wingdings" w:hint="default"/>
        <w:sz w:val="20"/>
      </w:rPr>
    </w:lvl>
    <w:lvl w:ilvl="3" w:tplc="215E8CD8" w:tentative="1">
      <w:start w:val="1"/>
      <w:numFmt w:val="bullet"/>
      <w:lvlText w:val=""/>
      <w:lvlJc w:val="left"/>
      <w:pPr>
        <w:tabs>
          <w:tab w:val="num" w:pos="2880"/>
        </w:tabs>
        <w:ind w:left="2880" w:hanging="360"/>
      </w:pPr>
      <w:rPr>
        <w:rFonts w:ascii="Wingdings" w:hAnsi="Wingdings" w:hint="default"/>
        <w:sz w:val="20"/>
      </w:rPr>
    </w:lvl>
    <w:lvl w:ilvl="4" w:tplc="D2CC7922" w:tentative="1">
      <w:start w:val="1"/>
      <w:numFmt w:val="bullet"/>
      <w:lvlText w:val=""/>
      <w:lvlJc w:val="left"/>
      <w:pPr>
        <w:tabs>
          <w:tab w:val="num" w:pos="3600"/>
        </w:tabs>
        <w:ind w:left="3600" w:hanging="360"/>
      </w:pPr>
      <w:rPr>
        <w:rFonts w:ascii="Wingdings" w:hAnsi="Wingdings" w:hint="default"/>
        <w:sz w:val="20"/>
      </w:rPr>
    </w:lvl>
    <w:lvl w:ilvl="5" w:tplc="A2122064" w:tentative="1">
      <w:start w:val="1"/>
      <w:numFmt w:val="bullet"/>
      <w:lvlText w:val=""/>
      <w:lvlJc w:val="left"/>
      <w:pPr>
        <w:tabs>
          <w:tab w:val="num" w:pos="4320"/>
        </w:tabs>
        <w:ind w:left="4320" w:hanging="360"/>
      </w:pPr>
      <w:rPr>
        <w:rFonts w:ascii="Wingdings" w:hAnsi="Wingdings" w:hint="default"/>
        <w:sz w:val="20"/>
      </w:rPr>
    </w:lvl>
    <w:lvl w:ilvl="6" w:tplc="006ECF88" w:tentative="1">
      <w:start w:val="1"/>
      <w:numFmt w:val="bullet"/>
      <w:lvlText w:val=""/>
      <w:lvlJc w:val="left"/>
      <w:pPr>
        <w:tabs>
          <w:tab w:val="num" w:pos="5040"/>
        </w:tabs>
        <w:ind w:left="5040" w:hanging="360"/>
      </w:pPr>
      <w:rPr>
        <w:rFonts w:ascii="Wingdings" w:hAnsi="Wingdings" w:hint="default"/>
        <w:sz w:val="20"/>
      </w:rPr>
    </w:lvl>
    <w:lvl w:ilvl="7" w:tplc="4A32D290" w:tentative="1">
      <w:start w:val="1"/>
      <w:numFmt w:val="bullet"/>
      <w:lvlText w:val=""/>
      <w:lvlJc w:val="left"/>
      <w:pPr>
        <w:tabs>
          <w:tab w:val="num" w:pos="5760"/>
        </w:tabs>
        <w:ind w:left="5760" w:hanging="360"/>
      </w:pPr>
      <w:rPr>
        <w:rFonts w:ascii="Wingdings" w:hAnsi="Wingdings" w:hint="default"/>
        <w:sz w:val="20"/>
      </w:rPr>
    </w:lvl>
    <w:lvl w:ilvl="8" w:tplc="9C3425EC" w:tentative="1">
      <w:start w:val="1"/>
      <w:numFmt w:val="bullet"/>
      <w:lvlText w:val=""/>
      <w:lvlJc w:val="left"/>
      <w:pPr>
        <w:tabs>
          <w:tab w:val="num" w:pos="6480"/>
        </w:tabs>
        <w:ind w:left="6480" w:hanging="360"/>
      </w:pPr>
      <w:rPr>
        <w:rFonts w:ascii="Wingdings" w:hAnsi="Wingdings" w:hint="default"/>
        <w:sz w:val="20"/>
      </w:rPr>
    </w:lvl>
  </w:abstractNum>
  <w:abstractNum w:abstractNumId="685">
    <w:nsid w:val="64ED1F6E"/>
    <w:multiLevelType w:val="hybridMultilevel"/>
    <w:tmpl w:val="0300963A"/>
    <w:lvl w:ilvl="0" w:tplc="D8B66344">
      <w:start w:val="1"/>
      <w:numFmt w:val="lowerLetter"/>
      <w:lvlText w:val="%1."/>
      <w:lvlJc w:val="left"/>
      <w:pPr>
        <w:tabs>
          <w:tab w:val="num" w:pos="720"/>
        </w:tabs>
        <w:ind w:left="720" w:hanging="360"/>
      </w:pPr>
    </w:lvl>
    <w:lvl w:ilvl="1" w:tplc="9A648A44">
      <w:start w:val="1"/>
      <w:numFmt w:val="lowerLetter"/>
      <w:lvlText w:val="%2."/>
      <w:lvlJc w:val="left"/>
      <w:pPr>
        <w:tabs>
          <w:tab w:val="num" w:pos="1440"/>
        </w:tabs>
        <w:ind w:left="1440" w:hanging="360"/>
      </w:pPr>
    </w:lvl>
    <w:lvl w:ilvl="2" w:tplc="C0AC1370" w:tentative="1">
      <w:start w:val="1"/>
      <w:numFmt w:val="lowerLetter"/>
      <w:lvlText w:val="%3."/>
      <w:lvlJc w:val="left"/>
      <w:pPr>
        <w:tabs>
          <w:tab w:val="num" w:pos="2160"/>
        </w:tabs>
        <w:ind w:left="2160" w:hanging="360"/>
      </w:pPr>
    </w:lvl>
    <w:lvl w:ilvl="3" w:tplc="FE127F50" w:tentative="1">
      <w:start w:val="1"/>
      <w:numFmt w:val="lowerLetter"/>
      <w:lvlText w:val="%4."/>
      <w:lvlJc w:val="left"/>
      <w:pPr>
        <w:tabs>
          <w:tab w:val="num" w:pos="2880"/>
        </w:tabs>
        <w:ind w:left="2880" w:hanging="360"/>
      </w:pPr>
    </w:lvl>
    <w:lvl w:ilvl="4" w:tplc="C1EABF28" w:tentative="1">
      <w:start w:val="1"/>
      <w:numFmt w:val="lowerLetter"/>
      <w:lvlText w:val="%5."/>
      <w:lvlJc w:val="left"/>
      <w:pPr>
        <w:tabs>
          <w:tab w:val="num" w:pos="3600"/>
        </w:tabs>
        <w:ind w:left="3600" w:hanging="360"/>
      </w:pPr>
    </w:lvl>
    <w:lvl w:ilvl="5" w:tplc="EEE08C2C" w:tentative="1">
      <w:start w:val="1"/>
      <w:numFmt w:val="lowerLetter"/>
      <w:lvlText w:val="%6."/>
      <w:lvlJc w:val="left"/>
      <w:pPr>
        <w:tabs>
          <w:tab w:val="num" w:pos="4320"/>
        </w:tabs>
        <w:ind w:left="4320" w:hanging="360"/>
      </w:pPr>
    </w:lvl>
    <w:lvl w:ilvl="6" w:tplc="EF58842C" w:tentative="1">
      <w:start w:val="1"/>
      <w:numFmt w:val="lowerLetter"/>
      <w:lvlText w:val="%7."/>
      <w:lvlJc w:val="left"/>
      <w:pPr>
        <w:tabs>
          <w:tab w:val="num" w:pos="5040"/>
        </w:tabs>
        <w:ind w:left="5040" w:hanging="360"/>
      </w:pPr>
    </w:lvl>
    <w:lvl w:ilvl="7" w:tplc="0CE04EAA" w:tentative="1">
      <w:start w:val="1"/>
      <w:numFmt w:val="lowerLetter"/>
      <w:lvlText w:val="%8."/>
      <w:lvlJc w:val="left"/>
      <w:pPr>
        <w:tabs>
          <w:tab w:val="num" w:pos="5760"/>
        </w:tabs>
        <w:ind w:left="5760" w:hanging="360"/>
      </w:pPr>
    </w:lvl>
    <w:lvl w:ilvl="8" w:tplc="6102DD62" w:tentative="1">
      <w:start w:val="1"/>
      <w:numFmt w:val="lowerLetter"/>
      <w:lvlText w:val="%9."/>
      <w:lvlJc w:val="left"/>
      <w:pPr>
        <w:tabs>
          <w:tab w:val="num" w:pos="6480"/>
        </w:tabs>
        <w:ind w:left="6480" w:hanging="360"/>
      </w:pPr>
    </w:lvl>
  </w:abstractNum>
  <w:abstractNum w:abstractNumId="686">
    <w:nsid w:val="656355DF"/>
    <w:multiLevelType w:val="hybridMultilevel"/>
    <w:tmpl w:val="BC8AA3F8"/>
    <w:lvl w:ilvl="0" w:tplc="425A098C">
      <w:start w:val="1"/>
      <w:numFmt w:val="decimal"/>
      <w:lvlText w:val="K3.2.%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87">
    <w:nsid w:val="65943C97"/>
    <w:multiLevelType w:val="hybridMultilevel"/>
    <w:tmpl w:val="BB1E12A8"/>
    <w:lvl w:ilvl="0" w:tplc="F8B262B8">
      <w:start w:val="1"/>
      <w:numFmt w:val="bullet"/>
      <w:lvlText w:val=""/>
      <w:lvlJc w:val="left"/>
      <w:pPr>
        <w:tabs>
          <w:tab w:val="num" w:pos="720"/>
        </w:tabs>
        <w:ind w:left="720" w:hanging="360"/>
      </w:pPr>
      <w:rPr>
        <w:rFonts w:ascii="Wingdings" w:hAnsi="Wingdings" w:cs="Wingdings" w:hint="default"/>
        <w:color w:val="auto"/>
        <w:sz w:val="20"/>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688">
    <w:nsid w:val="65C51398"/>
    <w:multiLevelType w:val="hybridMultilevel"/>
    <w:tmpl w:val="B3622B1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89">
    <w:nsid w:val="662846B9"/>
    <w:multiLevelType w:val="hybridMultilevel"/>
    <w:tmpl w:val="CFF4690C"/>
    <w:lvl w:ilvl="0" w:tplc="75F48852">
      <w:start w:val="1"/>
      <w:numFmt w:val="bullet"/>
      <w:lvlText w:val=""/>
      <w:lvlJc w:val="left"/>
      <w:pPr>
        <w:tabs>
          <w:tab w:val="num" w:pos="720"/>
        </w:tabs>
        <w:ind w:left="720" w:hanging="360"/>
      </w:pPr>
      <w:rPr>
        <w:rFonts w:ascii="Symbol" w:hAnsi="Symbol" w:hint="default"/>
        <w:sz w:val="20"/>
      </w:rPr>
    </w:lvl>
    <w:lvl w:ilvl="1" w:tplc="318C415C" w:tentative="1">
      <w:start w:val="1"/>
      <w:numFmt w:val="bullet"/>
      <w:lvlText w:val="o"/>
      <w:lvlJc w:val="left"/>
      <w:pPr>
        <w:tabs>
          <w:tab w:val="num" w:pos="1440"/>
        </w:tabs>
        <w:ind w:left="1440" w:hanging="360"/>
      </w:pPr>
      <w:rPr>
        <w:rFonts w:ascii="Courier New" w:hAnsi="Courier New" w:hint="default"/>
        <w:sz w:val="20"/>
      </w:rPr>
    </w:lvl>
    <w:lvl w:ilvl="2" w:tplc="EC2276A6" w:tentative="1">
      <w:start w:val="1"/>
      <w:numFmt w:val="bullet"/>
      <w:lvlText w:val=""/>
      <w:lvlJc w:val="left"/>
      <w:pPr>
        <w:tabs>
          <w:tab w:val="num" w:pos="2160"/>
        </w:tabs>
        <w:ind w:left="2160" w:hanging="360"/>
      </w:pPr>
      <w:rPr>
        <w:rFonts w:ascii="Wingdings" w:hAnsi="Wingdings" w:hint="default"/>
        <w:sz w:val="20"/>
      </w:rPr>
    </w:lvl>
    <w:lvl w:ilvl="3" w:tplc="272ADF26" w:tentative="1">
      <w:start w:val="1"/>
      <w:numFmt w:val="bullet"/>
      <w:lvlText w:val=""/>
      <w:lvlJc w:val="left"/>
      <w:pPr>
        <w:tabs>
          <w:tab w:val="num" w:pos="2880"/>
        </w:tabs>
        <w:ind w:left="2880" w:hanging="360"/>
      </w:pPr>
      <w:rPr>
        <w:rFonts w:ascii="Wingdings" w:hAnsi="Wingdings" w:hint="default"/>
        <w:sz w:val="20"/>
      </w:rPr>
    </w:lvl>
    <w:lvl w:ilvl="4" w:tplc="6BB0A68A" w:tentative="1">
      <w:start w:val="1"/>
      <w:numFmt w:val="bullet"/>
      <w:lvlText w:val=""/>
      <w:lvlJc w:val="left"/>
      <w:pPr>
        <w:tabs>
          <w:tab w:val="num" w:pos="3600"/>
        </w:tabs>
        <w:ind w:left="3600" w:hanging="360"/>
      </w:pPr>
      <w:rPr>
        <w:rFonts w:ascii="Wingdings" w:hAnsi="Wingdings" w:hint="default"/>
        <w:sz w:val="20"/>
      </w:rPr>
    </w:lvl>
    <w:lvl w:ilvl="5" w:tplc="7A8E35B0" w:tentative="1">
      <w:start w:val="1"/>
      <w:numFmt w:val="bullet"/>
      <w:lvlText w:val=""/>
      <w:lvlJc w:val="left"/>
      <w:pPr>
        <w:tabs>
          <w:tab w:val="num" w:pos="4320"/>
        </w:tabs>
        <w:ind w:left="4320" w:hanging="360"/>
      </w:pPr>
      <w:rPr>
        <w:rFonts w:ascii="Wingdings" w:hAnsi="Wingdings" w:hint="default"/>
        <w:sz w:val="20"/>
      </w:rPr>
    </w:lvl>
    <w:lvl w:ilvl="6" w:tplc="0942A338" w:tentative="1">
      <w:start w:val="1"/>
      <w:numFmt w:val="bullet"/>
      <w:lvlText w:val=""/>
      <w:lvlJc w:val="left"/>
      <w:pPr>
        <w:tabs>
          <w:tab w:val="num" w:pos="5040"/>
        </w:tabs>
        <w:ind w:left="5040" w:hanging="360"/>
      </w:pPr>
      <w:rPr>
        <w:rFonts w:ascii="Wingdings" w:hAnsi="Wingdings" w:hint="default"/>
        <w:sz w:val="20"/>
      </w:rPr>
    </w:lvl>
    <w:lvl w:ilvl="7" w:tplc="1EB43B5E" w:tentative="1">
      <w:start w:val="1"/>
      <w:numFmt w:val="bullet"/>
      <w:lvlText w:val=""/>
      <w:lvlJc w:val="left"/>
      <w:pPr>
        <w:tabs>
          <w:tab w:val="num" w:pos="5760"/>
        </w:tabs>
        <w:ind w:left="5760" w:hanging="360"/>
      </w:pPr>
      <w:rPr>
        <w:rFonts w:ascii="Wingdings" w:hAnsi="Wingdings" w:hint="default"/>
        <w:sz w:val="20"/>
      </w:rPr>
    </w:lvl>
    <w:lvl w:ilvl="8" w:tplc="F62C853A" w:tentative="1">
      <w:start w:val="1"/>
      <w:numFmt w:val="bullet"/>
      <w:lvlText w:val=""/>
      <w:lvlJc w:val="left"/>
      <w:pPr>
        <w:tabs>
          <w:tab w:val="num" w:pos="6480"/>
        </w:tabs>
        <w:ind w:left="6480" w:hanging="360"/>
      </w:pPr>
      <w:rPr>
        <w:rFonts w:ascii="Wingdings" w:hAnsi="Wingdings" w:hint="default"/>
        <w:sz w:val="20"/>
      </w:rPr>
    </w:lvl>
  </w:abstractNum>
  <w:abstractNum w:abstractNumId="690">
    <w:nsid w:val="66E05C96"/>
    <w:multiLevelType w:val="hybridMultilevel"/>
    <w:tmpl w:val="51E63842"/>
    <w:lvl w:ilvl="0" w:tplc="A094C890">
      <w:start w:val="1"/>
      <w:numFmt w:val="bullet"/>
      <w:lvlText w:val=""/>
      <w:lvlJc w:val="left"/>
      <w:pPr>
        <w:tabs>
          <w:tab w:val="num" w:pos="720"/>
        </w:tabs>
        <w:ind w:left="720" w:hanging="360"/>
      </w:pPr>
      <w:rPr>
        <w:rFonts w:ascii="Symbol" w:hAnsi="Symbol" w:hint="default"/>
        <w:sz w:val="20"/>
      </w:rPr>
    </w:lvl>
    <w:lvl w:ilvl="1" w:tplc="CDF4C620" w:tentative="1">
      <w:start w:val="1"/>
      <w:numFmt w:val="bullet"/>
      <w:lvlText w:val="o"/>
      <w:lvlJc w:val="left"/>
      <w:pPr>
        <w:tabs>
          <w:tab w:val="num" w:pos="1440"/>
        </w:tabs>
        <w:ind w:left="1440" w:hanging="360"/>
      </w:pPr>
      <w:rPr>
        <w:rFonts w:ascii="Courier New" w:hAnsi="Courier New" w:hint="default"/>
        <w:sz w:val="20"/>
      </w:rPr>
    </w:lvl>
    <w:lvl w:ilvl="2" w:tplc="44525970" w:tentative="1">
      <w:start w:val="1"/>
      <w:numFmt w:val="bullet"/>
      <w:lvlText w:val=""/>
      <w:lvlJc w:val="left"/>
      <w:pPr>
        <w:tabs>
          <w:tab w:val="num" w:pos="2160"/>
        </w:tabs>
        <w:ind w:left="2160" w:hanging="360"/>
      </w:pPr>
      <w:rPr>
        <w:rFonts w:ascii="Wingdings" w:hAnsi="Wingdings" w:hint="default"/>
        <w:sz w:val="20"/>
      </w:rPr>
    </w:lvl>
    <w:lvl w:ilvl="3" w:tplc="759C6BA8" w:tentative="1">
      <w:start w:val="1"/>
      <w:numFmt w:val="bullet"/>
      <w:lvlText w:val=""/>
      <w:lvlJc w:val="left"/>
      <w:pPr>
        <w:tabs>
          <w:tab w:val="num" w:pos="2880"/>
        </w:tabs>
        <w:ind w:left="2880" w:hanging="360"/>
      </w:pPr>
      <w:rPr>
        <w:rFonts w:ascii="Wingdings" w:hAnsi="Wingdings" w:hint="default"/>
        <w:sz w:val="20"/>
      </w:rPr>
    </w:lvl>
    <w:lvl w:ilvl="4" w:tplc="ACEC7564" w:tentative="1">
      <w:start w:val="1"/>
      <w:numFmt w:val="bullet"/>
      <w:lvlText w:val=""/>
      <w:lvlJc w:val="left"/>
      <w:pPr>
        <w:tabs>
          <w:tab w:val="num" w:pos="3600"/>
        </w:tabs>
        <w:ind w:left="3600" w:hanging="360"/>
      </w:pPr>
      <w:rPr>
        <w:rFonts w:ascii="Wingdings" w:hAnsi="Wingdings" w:hint="default"/>
        <w:sz w:val="20"/>
      </w:rPr>
    </w:lvl>
    <w:lvl w:ilvl="5" w:tplc="FC2CD7C4" w:tentative="1">
      <w:start w:val="1"/>
      <w:numFmt w:val="bullet"/>
      <w:lvlText w:val=""/>
      <w:lvlJc w:val="left"/>
      <w:pPr>
        <w:tabs>
          <w:tab w:val="num" w:pos="4320"/>
        </w:tabs>
        <w:ind w:left="4320" w:hanging="360"/>
      </w:pPr>
      <w:rPr>
        <w:rFonts w:ascii="Wingdings" w:hAnsi="Wingdings" w:hint="default"/>
        <w:sz w:val="20"/>
      </w:rPr>
    </w:lvl>
    <w:lvl w:ilvl="6" w:tplc="0056344E" w:tentative="1">
      <w:start w:val="1"/>
      <w:numFmt w:val="bullet"/>
      <w:lvlText w:val=""/>
      <w:lvlJc w:val="left"/>
      <w:pPr>
        <w:tabs>
          <w:tab w:val="num" w:pos="5040"/>
        </w:tabs>
        <w:ind w:left="5040" w:hanging="360"/>
      </w:pPr>
      <w:rPr>
        <w:rFonts w:ascii="Wingdings" w:hAnsi="Wingdings" w:hint="default"/>
        <w:sz w:val="20"/>
      </w:rPr>
    </w:lvl>
    <w:lvl w:ilvl="7" w:tplc="E9EEF836" w:tentative="1">
      <w:start w:val="1"/>
      <w:numFmt w:val="bullet"/>
      <w:lvlText w:val=""/>
      <w:lvlJc w:val="left"/>
      <w:pPr>
        <w:tabs>
          <w:tab w:val="num" w:pos="5760"/>
        </w:tabs>
        <w:ind w:left="5760" w:hanging="360"/>
      </w:pPr>
      <w:rPr>
        <w:rFonts w:ascii="Wingdings" w:hAnsi="Wingdings" w:hint="default"/>
        <w:sz w:val="20"/>
      </w:rPr>
    </w:lvl>
    <w:lvl w:ilvl="8" w:tplc="C3E6FB1E" w:tentative="1">
      <w:start w:val="1"/>
      <w:numFmt w:val="bullet"/>
      <w:lvlText w:val=""/>
      <w:lvlJc w:val="left"/>
      <w:pPr>
        <w:tabs>
          <w:tab w:val="num" w:pos="6480"/>
        </w:tabs>
        <w:ind w:left="6480" w:hanging="360"/>
      </w:pPr>
      <w:rPr>
        <w:rFonts w:ascii="Wingdings" w:hAnsi="Wingdings" w:hint="default"/>
        <w:sz w:val="20"/>
      </w:rPr>
    </w:lvl>
  </w:abstractNum>
  <w:abstractNum w:abstractNumId="691">
    <w:nsid w:val="67114E67"/>
    <w:multiLevelType w:val="hybridMultilevel"/>
    <w:tmpl w:val="FA1C8EEE"/>
    <w:lvl w:ilvl="0" w:tplc="04150005">
      <w:start w:val="1"/>
      <w:numFmt w:val="bullet"/>
      <w:lvlText w:val=""/>
      <w:lvlJc w:val="left"/>
      <w:pPr>
        <w:tabs>
          <w:tab w:val="num" w:pos="720"/>
        </w:tabs>
        <w:ind w:left="720" w:hanging="360"/>
      </w:pPr>
      <w:rPr>
        <w:rFonts w:ascii="Wingdings" w:hAnsi="Wingdings" w:hint="default"/>
        <w:sz w:val="20"/>
      </w:rPr>
    </w:lvl>
    <w:lvl w:ilvl="1" w:tplc="80606F68" w:tentative="1">
      <w:start w:val="1"/>
      <w:numFmt w:val="bullet"/>
      <w:lvlText w:val="o"/>
      <w:lvlJc w:val="left"/>
      <w:pPr>
        <w:tabs>
          <w:tab w:val="num" w:pos="1440"/>
        </w:tabs>
        <w:ind w:left="1440" w:hanging="360"/>
      </w:pPr>
      <w:rPr>
        <w:rFonts w:ascii="Courier New" w:hAnsi="Courier New" w:hint="default"/>
        <w:sz w:val="20"/>
      </w:rPr>
    </w:lvl>
    <w:lvl w:ilvl="2" w:tplc="687834DE" w:tentative="1">
      <w:start w:val="1"/>
      <w:numFmt w:val="bullet"/>
      <w:lvlText w:val=""/>
      <w:lvlJc w:val="left"/>
      <w:pPr>
        <w:tabs>
          <w:tab w:val="num" w:pos="2160"/>
        </w:tabs>
        <w:ind w:left="2160" w:hanging="360"/>
      </w:pPr>
      <w:rPr>
        <w:rFonts w:ascii="Wingdings" w:hAnsi="Wingdings" w:hint="default"/>
        <w:sz w:val="20"/>
      </w:rPr>
    </w:lvl>
    <w:lvl w:ilvl="3" w:tplc="72743A54" w:tentative="1">
      <w:start w:val="1"/>
      <w:numFmt w:val="bullet"/>
      <w:lvlText w:val=""/>
      <w:lvlJc w:val="left"/>
      <w:pPr>
        <w:tabs>
          <w:tab w:val="num" w:pos="2880"/>
        </w:tabs>
        <w:ind w:left="2880" w:hanging="360"/>
      </w:pPr>
      <w:rPr>
        <w:rFonts w:ascii="Wingdings" w:hAnsi="Wingdings" w:hint="default"/>
        <w:sz w:val="20"/>
      </w:rPr>
    </w:lvl>
    <w:lvl w:ilvl="4" w:tplc="F3047530" w:tentative="1">
      <w:start w:val="1"/>
      <w:numFmt w:val="bullet"/>
      <w:lvlText w:val=""/>
      <w:lvlJc w:val="left"/>
      <w:pPr>
        <w:tabs>
          <w:tab w:val="num" w:pos="3600"/>
        </w:tabs>
        <w:ind w:left="3600" w:hanging="360"/>
      </w:pPr>
      <w:rPr>
        <w:rFonts w:ascii="Wingdings" w:hAnsi="Wingdings" w:hint="default"/>
        <w:sz w:val="20"/>
      </w:rPr>
    </w:lvl>
    <w:lvl w:ilvl="5" w:tplc="119A9A30" w:tentative="1">
      <w:start w:val="1"/>
      <w:numFmt w:val="bullet"/>
      <w:lvlText w:val=""/>
      <w:lvlJc w:val="left"/>
      <w:pPr>
        <w:tabs>
          <w:tab w:val="num" w:pos="4320"/>
        </w:tabs>
        <w:ind w:left="4320" w:hanging="360"/>
      </w:pPr>
      <w:rPr>
        <w:rFonts w:ascii="Wingdings" w:hAnsi="Wingdings" w:hint="default"/>
        <w:sz w:val="20"/>
      </w:rPr>
    </w:lvl>
    <w:lvl w:ilvl="6" w:tplc="B8BC7942" w:tentative="1">
      <w:start w:val="1"/>
      <w:numFmt w:val="bullet"/>
      <w:lvlText w:val=""/>
      <w:lvlJc w:val="left"/>
      <w:pPr>
        <w:tabs>
          <w:tab w:val="num" w:pos="5040"/>
        </w:tabs>
        <w:ind w:left="5040" w:hanging="360"/>
      </w:pPr>
      <w:rPr>
        <w:rFonts w:ascii="Wingdings" w:hAnsi="Wingdings" w:hint="default"/>
        <w:sz w:val="20"/>
      </w:rPr>
    </w:lvl>
    <w:lvl w:ilvl="7" w:tplc="57A277A4" w:tentative="1">
      <w:start w:val="1"/>
      <w:numFmt w:val="bullet"/>
      <w:lvlText w:val=""/>
      <w:lvlJc w:val="left"/>
      <w:pPr>
        <w:tabs>
          <w:tab w:val="num" w:pos="5760"/>
        </w:tabs>
        <w:ind w:left="5760" w:hanging="360"/>
      </w:pPr>
      <w:rPr>
        <w:rFonts w:ascii="Wingdings" w:hAnsi="Wingdings" w:hint="default"/>
        <w:sz w:val="20"/>
      </w:rPr>
    </w:lvl>
    <w:lvl w:ilvl="8" w:tplc="491876F8" w:tentative="1">
      <w:start w:val="1"/>
      <w:numFmt w:val="bullet"/>
      <w:lvlText w:val=""/>
      <w:lvlJc w:val="left"/>
      <w:pPr>
        <w:tabs>
          <w:tab w:val="num" w:pos="6480"/>
        </w:tabs>
        <w:ind w:left="6480" w:hanging="360"/>
      </w:pPr>
      <w:rPr>
        <w:rFonts w:ascii="Wingdings" w:hAnsi="Wingdings" w:hint="default"/>
        <w:sz w:val="20"/>
      </w:rPr>
    </w:lvl>
  </w:abstractNum>
  <w:abstractNum w:abstractNumId="692">
    <w:nsid w:val="67347582"/>
    <w:multiLevelType w:val="hybridMultilevel"/>
    <w:tmpl w:val="AB2E7E40"/>
    <w:lvl w:ilvl="0" w:tplc="04150005">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693">
    <w:nsid w:val="676308C4"/>
    <w:multiLevelType w:val="hybridMultilevel"/>
    <w:tmpl w:val="07A20FAA"/>
    <w:lvl w:ilvl="0" w:tplc="21DE8A86">
      <w:start w:val="1"/>
      <w:numFmt w:val="bullet"/>
      <w:lvlText w:val=""/>
      <w:lvlJc w:val="left"/>
      <w:pPr>
        <w:ind w:left="720" w:hanging="360"/>
      </w:pPr>
      <w:rPr>
        <w:rFonts w:ascii="Wingdings" w:hAnsi="Wingdings" w:hint="default"/>
        <w:sz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94">
    <w:nsid w:val="679B7D65"/>
    <w:multiLevelType w:val="hybridMultilevel"/>
    <w:tmpl w:val="B9A21216"/>
    <w:lvl w:ilvl="0" w:tplc="4EFEFB26">
      <w:start w:val="1"/>
      <w:numFmt w:val="bullet"/>
      <w:lvlText w:val=""/>
      <w:lvlJc w:val="left"/>
      <w:pPr>
        <w:tabs>
          <w:tab w:val="num" w:pos="720"/>
        </w:tabs>
        <w:ind w:left="720" w:hanging="360"/>
      </w:pPr>
      <w:rPr>
        <w:rFonts w:ascii="Symbol" w:hAnsi="Symbol" w:hint="default"/>
        <w:sz w:val="20"/>
      </w:rPr>
    </w:lvl>
    <w:lvl w:ilvl="1" w:tplc="A9444080" w:tentative="1">
      <w:start w:val="1"/>
      <w:numFmt w:val="bullet"/>
      <w:lvlText w:val="o"/>
      <w:lvlJc w:val="left"/>
      <w:pPr>
        <w:tabs>
          <w:tab w:val="num" w:pos="1440"/>
        </w:tabs>
        <w:ind w:left="1440" w:hanging="360"/>
      </w:pPr>
      <w:rPr>
        <w:rFonts w:ascii="Courier New" w:hAnsi="Courier New" w:hint="default"/>
        <w:sz w:val="20"/>
      </w:rPr>
    </w:lvl>
    <w:lvl w:ilvl="2" w:tplc="F668A320" w:tentative="1">
      <w:start w:val="1"/>
      <w:numFmt w:val="bullet"/>
      <w:lvlText w:val=""/>
      <w:lvlJc w:val="left"/>
      <w:pPr>
        <w:tabs>
          <w:tab w:val="num" w:pos="2160"/>
        </w:tabs>
        <w:ind w:left="2160" w:hanging="360"/>
      </w:pPr>
      <w:rPr>
        <w:rFonts w:ascii="Wingdings" w:hAnsi="Wingdings" w:hint="default"/>
        <w:sz w:val="20"/>
      </w:rPr>
    </w:lvl>
    <w:lvl w:ilvl="3" w:tplc="B4800A62" w:tentative="1">
      <w:start w:val="1"/>
      <w:numFmt w:val="bullet"/>
      <w:lvlText w:val=""/>
      <w:lvlJc w:val="left"/>
      <w:pPr>
        <w:tabs>
          <w:tab w:val="num" w:pos="2880"/>
        </w:tabs>
        <w:ind w:left="2880" w:hanging="360"/>
      </w:pPr>
      <w:rPr>
        <w:rFonts w:ascii="Wingdings" w:hAnsi="Wingdings" w:hint="default"/>
        <w:sz w:val="20"/>
      </w:rPr>
    </w:lvl>
    <w:lvl w:ilvl="4" w:tplc="A966254E" w:tentative="1">
      <w:start w:val="1"/>
      <w:numFmt w:val="bullet"/>
      <w:lvlText w:val=""/>
      <w:lvlJc w:val="left"/>
      <w:pPr>
        <w:tabs>
          <w:tab w:val="num" w:pos="3600"/>
        </w:tabs>
        <w:ind w:left="3600" w:hanging="360"/>
      </w:pPr>
      <w:rPr>
        <w:rFonts w:ascii="Wingdings" w:hAnsi="Wingdings" w:hint="default"/>
        <w:sz w:val="20"/>
      </w:rPr>
    </w:lvl>
    <w:lvl w:ilvl="5" w:tplc="9EBC3FFE" w:tentative="1">
      <w:start w:val="1"/>
      <w:numFmt w:val="bullet"/>
      <w:lvlText w:val=""/>
      <w:lvlJc w:val="left"/>
      <w:pPr>
        <w:tabs>
          <w:tab w:val="num" w:pos="4320"/>
        </w:tabs>
        <w:ind w:left="4320" w:hanging="360"/>
      </w:pPr>
      <w:rPr>
        <w:rFonts w:ascii="Wingdings" w:hAnsi="Wingdings" w:hint="default"/>
        <w:sz w:val="20"/>
      </w:rPr>
    </w:lvl>
    <w:lvl w:ilvl="6" w:tplc="8870CB84" w:tentative="1">
      <w:start w:val="1"/>
      <w:numFmt w:val="bullet"/>
      <w:lvlText w:val=""/>
      <w:lvlJc w:val="left"/>
      <w:pPr>
        <w:tabs>
          <w:tab w:val="num" w:pos="5040"/>
        </w:tabs>
        <w:ind w:left="5040" w:hanging="360"/>
      </w:pPr>
      <w:rPr>
        <w:rFonts w:ascii="Wingdings" w:hAnsi="Wingdings" w:hint="default"/>
        <w:sz w:val="20"/>
      </w:rPr>
    </w:lvl>
    <w:lvl w:ilvl="7" w:tplc="04DA97A8" w:tentative="1">
      <w:start w:val="1"/>
      <w:numFmt w:val="bullet"/>
      <w:lvlText w:val=""/>
      <w:lvlJc w:val="left"/>
      <w:pPr>
        <w:tabs>
          <w:tab w:val="num" w:pos="5760"/>
        </w:tabs>
        <w:ind w:left="5760" w:hanging="360"/>
      </w:pPr>
      <w:rPr>
        <w:rFonts w:ascii="Wingdings" w:hAnsi="Wingdings" w:hint="default"/>
        <w:sz w:val="20"/>
      </w:rPr>
    </w:lvl>
    <w:lvl w:ilvl="8" w:tplc="AF224860" w:tentative="1">
      <w:start w:val="1"/>
      <w:numFmt w:val="bullet"/>
      <w:lvlText w:val=""/>
      <w:lvlJc w:val="left"/>
      <w:pPr>
        <w:tabs>
          <w:tab w:val="num" w:pos="6480"/>
        </w:tabs>
        <w:ind w:left="6480" w:hanging="360"/>
      </w:pPr>
      <w:rPr>
        <w:rFonts w:ascii="Wingdings" w:hAnsi="Wingdings" w:hint="default"/>
        <w:sz w:val="20"/>
      </w:rPr>
    </w:lvl>
  </w:abstractNum>
  <w:abstractNum w:abstractNumId="695">
    <w:nsid w:val="67D51F46"/>
    <w:multiLevelType w:val="hybridMultilevel"/>
    <w:tmpl w:val="CFA2FEB8"/>
    <w:lvl w:ilvl="0" w:tplc="D6A656B6">
      <w:numFmt w:val="bullet"/>
      <w:lvlText w:val="-"/>
      <w:lvlJc w:val="left"/>
      <w:pPr>
        <w:ind w:left="1068" w:hanging="360"/>
      </w:pPr>
      <w:rPr>
        <w:rFonts w:ascii="Times New Roman" w:eastAsia="Times New Roman" w:hAnsi="Times New Roman" w:cs="Times New Roman"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696">
    <w:nsid w:val="67EE5026"/>
    <w:multiLevelType w:val="hybridMultilevel"/>
    <w:tmpl w:val="68A6346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7">
    <w:nsid w:val="68BD6CC5"/>
    <w:multiLevelType w:val="hybridMultilevel"/>
    <w:tmpl w:val="0E6ED4E6"/>
    <w:lvl w:ilvl="0" w:tplc="0AB87840">
      <w:start w:val="1"/>
      <w:numFmt w:val="decimal"/>
      <w:lvlText w:val="K6.1.%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8">
    <w:nsid w:val="68C0594D"/>
    <w:multiLevelType w:val="hybridMultilevel"/>
    <w:tmpl w:val="52BC4726"/>
    <w:lvl w:ilvl="0" w:tplc="E2E4C5C0">
      <w:start w:val="1"/>
      <w:numFmt w:val="bullet"/>
      <w:lvlText w:val=""/>
      <w:lvlJc w:val="left"/>
      <w:pPr>
        <w:ind w:left="720" w:hanging="360"/>
      </w:pPr>
      <w:rPr>
        <w:rFonts w:ascii="Wingdings" w:hAnsi="Wingdings" w:cs="Wingdings" w:hint="default"/>
        <w:color w:val="auto"/>
        <w:sz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99">
    <w:nsid w:val="68C05AF1"/>
    <w:multiLevelType w:val="hybridMultilevel"/>
    <w:tmpl w:val="4314DFAE"/>
    <w:lvl w:ilvl="0" w:tplc="152EE7F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0">
    <w:nsid w:val="68C813F3"/>
    <w:multiLevelType w:val="multilevel"/>
    <w:tmpl w:val="9CA637A8"/>
    <w:lvl w:ilvl="0">
      <w:start w:val="1"/>
      <w:numFmt w:val="decimal"/>
      <w:lvlText w:val="%1."/>
      <w:lvlJc w:val="left"/>
      <w:pPr>
        <w:tabs>
          <w:tab w:val="num" w:pos="0"/>
        </w:tabs>
        <w:ind w:left="360" w:hanging="360"/>
      </w:pPr>
      <w:rPr>
        <w:rFonts w:hint="default"/>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701">
    <w:nsid w:val="68D91313"/>
    <w:multiLevelType w:val="hybridMultilevel"/>
    <w:tmpl w:val="D7821B18"/>
    <w:lvl w:ilvl="0" w:tplc="3BA23654">
      <w:start w:val="1"/>
      <w:numFmt w:val="bullet"/>
      <w:lvlText w:val="-"/>
      <w:lvlJc w:val="left"/>
      <w:pPr>
        <w:ind w:left="720" w:hanging="360"/>
      </w:pPr>
      <w:rPr>
        <w:rFonts w:ascii="Verdana" w:hAnsi="Verdana"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02">
    <w:nsid w:val="694244FB"/>
    <w:multiLevelType w:val="multilevel"/>
    <w:tmpl w:val="9A66A5F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03">
    <w:nsid w:val="696E6DF8"/>
    <w:multiLevelType w:val="hybridMultilevel"/>
    <w:tmpl w:val="46523AE2"/>
    <w:lvl w:ilvl="0" w:tplc="68FE2F18">
      <w:start w:val="1"/>
      <w:numFmt w:val="bullet"/>
      <w:lvlText w:val=""/>
      <w:lvlJc w:val="left"/>
      <w:pPr>
        <w:tabs>
          <w:tab w:val="num" w:pos="720"/>
        </w:tabs>
        <w:ind w:left="720" w:hanging="360"/>
      </w:pPr>
      <w:rPr>
        <w:rFonts w:ascii="Symbol" w:hAnsi="Symbol" w:hint="default"/>
        <w:sz w:val="20"/>
      </w:rPr>
    </w:lvl>
    <w:lvl w:ilvl="1" w:tplc="2C12F5D4" w:tentative="1">
      <w:start w:val="1"/>
      <w:numFmt w:val="bullet"/>
      <w:lvlText w:val="o"/>
      <w:lvlJc w:val="left"/>
      <w:pPr>
        <w:tabs>
          <w:tab w:val="num" w:pos="1440"/>
        </w:tabs>
        <w:ind w:left="1440" w:hanging="360"/>
      </w:pPr>
      <w:rPr>
        <w:rFonts w:ascii="Courier New" w:hAnsi="Courier New" w:hint="default"/>
        <w:sz w:val="20"/>
      </w:rPr>
    </w:lvl>
    <w:lvl w:ilvl="2" w:tplc="81BA390E" w:tentative="1">
      <w:start w:val="1"/>
      <w:numFmt w:val="bullet"/>
      <w:lvlText w:val=""/>
      <w:lvlJc w:val="left"/>
      <w:pPr>
        <w:tabs>
          <w:tab w:val="num" w:pos="2160"/>
        </w:tabs>
        <w:ind w:left="2160" w:hanging="360"/>
      </w:pPr>
      <w:rPr>
        <w:rFonts w:ascii="Wingdings" w:hAnsi="Wingdings" w:hint="default"/>
        <w:sz w:val="20"/>
      </w:rPr>
    </w:lvl>
    <w:lvl w:ilvl="3" w:tplc="5EF43F88" w:tentative="1">
      <w:start w:val="1"/>
      <w:numFmt w:val="bullet"/>
      <w:lvlText w:val=""/>
      <w:lvlJc w:val="left"/>
      <w:pPr>
        <w:tabs>
          <w:tab w:val="num" w:pos="2880"/>
        </w:tabs>
        <w:ind w:left="2880" w:hanging="360"/>
      </w:pPr>
      <w:rPr>
        <w:rFonts w:ascii="Wingdings" w:hAnsi="Wingdings" w:hint="default"/>
        <w:sz w:val="20"/>
      </w:rPr>
    </w:lvl>
    <w:lvl w:ilvl="4" w:tplc="B4F25E94" w:tentative="1">
      <w:start w:val="1"/>
      <w:numFmt w:val="bullet"/>
      <w:lvlText w:val=""/>
      <w:lvlJc w:val="left"/>
      <w:pPr>
        <w:tabs>
          <w:tab w:val="num" w:pos="3600"/>
        </w:tabs>
        <w:ind w:left="3600" w:hanging="360"/>
      </w:pPr>
      <w:rPr>
        <w:rFonts w:ascii="Wingdings" w:hAnsi="Wingdings" w:hint="default"/>
        <w:sz w:val="20"/>
      </w:rPr>
    </w:lvl>
    <w:lvl w:ilvl="5" w:tplc="BBCAB808" w:tentative="1">
      <w:start w:val="1"/>
      <w:numFmt w:val="bullet"/>
      <w:lvlText w:val=""/>
      <w:lvlJc w:val="left"/>
      <w:pPr>
        <w:tabs>
          <w:tab w:val="num" w:pos="4320"/>
        </w:tabs>
        <w:ind w:left="4320" w:hanging="360"/>
      </w:pPr>
      <w:rPr>
        <w:rFonts w:ascii="Wingdings" w:hAnsi="Wingdings" w:hint="default"/>
        <w:sz w:val="20"/>
      </w:rPr>
    </w:lvl>
    <w:lvl w:ilvl="6" w:tplc="84C4DE62" w:tentative="1">
      <w:start w:val="1"/>
      <w:numFmt w:val="bullet"/>
      <w:lvlText w:val=""/>
      <w:lvlJc w:val="left"/>
      <w:pPr>
        <w:tabs>
          <w:tab w:val="num" w:pos="5040"/>
        </w:tabs>
        <w:ind w:left="5040" w:hanging="360"/>
      </w:pPr>
      <w:rPr>
        <w:rFonts w:ascii="Wingdings" w:hAnsi="Wingdings" w:hint="default"/>
        <w:sz w:val="20"/>
      </w:rPr>
    </w:lvl>
    <w:lvl w:ilvl="7" w:tplc="D9AEA612" w:tentative="1">
      <w:start w:val="1"/>
      <w:numFmt w:val="bullet"/>
      <w:lvlText w:val=""/>
      <w:lvlJc w:val="left"/>
      <w:pPr>
        <w:tabs>
          <w:tab w:val="num" w:pos="5760"/>
        </w:tabs>
        <w:ind w:left="5760" w:hanging="360"/>
      </w:pPr>
      <w:rPr>
        <w:rFonts w:ascii="Wingdings" w:hAnsi="Wingdings" w:hint="default"/>
        <w:sz w:val="20"/>
      </w:rPr>
    </w:lvl>
    <w:lvl w:ilvl="8" w:tplc="854AD576" w:tentative="1">
      <w:start w:val="1"/>
      <w:numFmt w:val="bullet"/>
      <w:lvlText w:val=""/>
      <w:lvlJc w:val="left"/>
      <w:pPr>
        <w:tabs>
          <w:tab w:val="num" w:pos="6480"/>
        </w:tabs>
        <w:ind w:left="6480" w:hanging="360"/>
      </w:pPr>
      <w:rPr>
        <w:rFonts w:ascii="Wingdings" w:hAnsi="Wingdings" w:hint="default"/>
        <w:sz w:val="20"/>
      </w:rPr>
    </w:lvl>
  </w:abstractNum>
  <w:abstractNum w:abstractNumId="704">
    <w:nsid w:val="69855954"/>
    <w:multiLevelType w:val="hybridMultilevel"/>
    <w:tmpl w:val="5AD4FAD4"/>
    <w:lvl w:ilvl="0" w:tplc="4D341852">
      <w:start w:val="1"/>
      <w:numFmt w:val="decimal"/>
      <w:lvlText w:val="K4.3.%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05">
    <w:nsid w:val="699B23C8"/>
    <w:multiLevelType w:val="hybridMultilevel"/>
    <w:tmpl w:val="E7ECFBF0"/>
    <w:lvl w:ilvl="0" w:tplc="BB9E2752">
      <w:start w:val="1"/>
      <w:numFmt w:val="bullet"/>
      <w:lvlText w:val=""/>
      <w:lvlJc w:val="left"/>
      <w:pPr>
        <w:ind w:left="720" w:hanging="360"/>
      </w:pPr>
      <w:rPr>
        <w:rFonts w:ascii="Wingdings" w:hAnsi="Wingdings" w:hint="default"/>
        <w:sz w:val="20"/>
        <w:szCs w:val="22"/>
      </w:rPr>
    </w:lvl>
    <w:lvl w:ilvl="1" w:tplc="9516EC18" w:tentative="1">
      <w:start w:val="1"/>
      <w:numFmt w:val="bullet"/>
      <w:lvlText w:val="o"/>
      <w:lvlJc w:val="left"/>
      <w:pPr>
        <w:ind w:left="1440" w:hanging="360"/>
      </w:pPr>
      <w:rPr>
        <w:rFonts w:ascii="Courier New" w:hAnsi="Courier New" w:cs="Courier New" w:hint="default"/>
      </w:rPr>
    </w:lvl>
    <w:lvl w:ilvl="2" w:tplc="F7644B0A" w:tentative="1">
      <w:start w:val="1"/>
      <w:numFmt w:val="bullet"/>
      <w:lvlText w:val=""/>
      <w:lvlJc w:val="left"/>
      <w:pPr>
        <w:ind w:left="2160" w:hanging="360"/>
      </w:pPr>
      <w:rPr>
        <w:rFonts w:ascii="Wingdings" w:hAnsi="Wingdings" w:hint="default"/>
      </w:rPr>
    </w:lvl>
    <w:lvl w:ilvl="3" w:tplc="2C5C4728" w:tentative="1">
      <w:start w:val="1"/>
      <w:numFmt w:val="bullet"/>
      <w:lvlText w:val=""/>
      <w:lvlJc w:val="left"/>
      <w:pPr>
        <w:ind w:left="2880" w:hanging="360"/>
      </w:pPr>
      <w:rPr>
        <w:rFonts w:ascii="Symbol" w:hAnsi="Symbol" w:hint="default"/>
      </w:rPr>
    </w:lvl>
    <w:lvl w:ilvl="4" w:tplc="3EE8A332" w:tentative="1">
      <w:start w:val="1"/>
      <w:numFmt w:val="bullet"/>
      <w:lvlText w:val="o"/>
      <w:lvlJc w:val="left"/>
      <w:pPr>
        <w:ind w:left="3600" w:hanging="360"/>
      </w:pPr>
      <w:rPr>
        <w:rFonts w:ascii="Courier New" w:hAnsi="Courier New" w:cs="Courier New" w:hint="default"/>
      </w:rPr>
    </w:lvl>
    <w:lvl w:ilvl="5" w:tplc="24507A84" w:tentative="1">
      <w:start w:val="1"/>
      <w:numFmt w:val="bullet"/>
      <w:lvlText w:val=""/>
      <w:lvlJc w:val="left"/>
      <w:pPr>
        <w:ind w:left="4320" w:hanging="360"/>
      </w:pPr>
      <w:rPr>
        <w:rFonts w:ascii="Wingdings" w:hAnsi="Wingdings" w:hint="default"/>
      </w:rPr>
    </w:lvl>
    <w:lvl w:ilvl="6" w:tplc="88CEEF8A" w:tentative="1">
      <w:start w:val="1"/>
      <w:numFmt w:val="bullet"/>
      <w:lvlText w:val=""/>
      <w:lvlJc w:val="left"/>
      <w:pPr>
        <w:ind w:left="5040" w:hanging="360"/>
      </w:pPr>
      <w:rPr>
        <w:rFonts w:ascii="Symbol" w:hAnsi="Symbol" w:hint="default"/>
      </w:rPr>
    </w:lvl>
    <w:lvl w:ilvl="7" w:tplc="362E060E" w:tentative="1">
      <w:start w:val="1"/>
      <w:numFmt w:val="bullet"/>
      <w:lvlText w:val="o"/>
      <w:lvlJc w:val="left"/>
      <w:pPr>
        <w:ind w:left="5760" w:hanging="360"/>
      </w:pPr>
      <w:rPr>
        <w:rFonts w:ascii="Courier New" w:hAnsi="Courier New" w:cs="Courier New" w:hint="default"/>
      </w:rPr>
    </w:lvl>
    <w:lvl w:ilvl="8" w:tplc="8AD0C7FC" w:tentative="1">
      <w:start w:val="1"/>
      <w:numFmt w:val="bullet"/>
      <w:lvlText w:val=""/>
      <w:lvlJc w:val="left"/>
      <w:pPr>
        <w:ind w:left="6480" w:hanging="360"/>
      </w:pPr>
      <w:rPr>
        <w:rFonts w:ascii="Wingdings" w:hAnsi="Wingdings" w:hint="default"/>
      </w:rPr>
    </w:lvl>
  </w:abstractNum>
  <w:abstractNum w:abstractNumId="706">
    <w:nsid w:val="69DF6326"/>
    <w:multiLevelType w:val="hybridMultilevel"/>
    <w:tmpl w:val="2F84693A"/>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07">
    <w:nsid w:val="6A6C7E96"/>
    <w:multiLevelType w:val="hybridMultilevel"/>
    <w:tmpl w:val="2D8A84B0"/>
    <w:lvl w:ilvl="0" w:tplc="E7381092">
      <w:start w:val="1"/>
      <w:numFmt w:val="bullet"/>
      <w:lvlText w:val=""/>
      <w:lvlJc w:val="left"/>
      <w:pPr>
        <w:tabs>
          <w:tab w:val="num" w:pos="720"/>
        </w:tabs>
        <w:ind w:left="720" w:hanging="360"/>
      </w:pPr>
      <w:rPr>
        <w:rFonts w:ascii="Symbol" w:hAnsi="Symbol" w:hint="default"/>
        <w:sz w:val="20"/>
      </w:rPr>
    </w:lvl>
    <w:lvl w:ilvl="1" w:tplc="06C046CE" w:tentative="1">
      <w:start w:val="1"/>
      <w:numFmt w:val="bullet"/>
      <w:lvlText w:val="o"/>
      <w:lvlJc w:val="left"/>
      <w:pPr>
        <w:tabs>
          <w:tab w:val="num" w:pos="1440"/>
        </w:tabs>
        <w:ind w:left="1440" w:hanging="360"/>
      </w:pPr>
      <w:rPr>
        <w:rFonts w:ascii="Courier New" w:hAnsi="Courier New" w:hint="default"/>
        <w:sz w:val="20"/>
      </w:rPr>
    </w:lvl>
    <w:lvl w:ilvl="2" w:tplc="D6202598" w:tentative="1">
      <w:start w:val="1"/>
      <w:numFmt w:val="bullet"/>
      <w:lvlText w:val=""/>
      <w:lvlJc w:val="left"/>
      <w:pPr>
        <w:tabs>
          <w:tab w:val="num" w:pos="2160"/>
        </w:tabs>
        <w:ind w:left="2160" w:hanging="360"/>
      </w:pPr>
      <w:rPr>
        <w:rFonts w:ascii="Wingdings" w:hAnsi="Wingdings" w:hint="default"/>
        <w:sz w:val="20"/>
      </w:rPr>
    </w:lvl>
    <w:lvl w:ilvl="3" w:tplc="7B9A40DC" w:tentative="1">
      <w:start w:val="1"/>
      <w:numFmt w:val="bullet"/>
      <w:lvlText w:val=""/>
      <w:lvlJc w:val="left"/>
      <w:pPr>
        <w:tabs>
          <w:tab w:val="num" w:pos="2880"/>
        </w:tabs>
        <w:ind w:left="2880" w:hanging="360"/>
      </w:pPr>
      <w:rPr>
        <w:rFonts w:ascii="Wingdings" w:hAnsi="Wingdings" w:hint="default"/>
        <w:sz w:val="20"/>
      </w:rPr>
    </w:lvl>
    <w:lvl w:ilvl="4" w:tplc="ABCC5A38" w:tentative="1">
      <w:start w:val="1"/>
      <w:numFmt w:val="bullet"/>
      <w:lvlText w:val=""/>
      <w:lvlJc w:val="left"/>
      <w:pPr>
        <w:tabs>
          <w:tab w:val="num" w:pos="3600"/>
        </w:tabs>
        <w:ind w:left="3600" w:hanging="360"/>
      </w:pPr>
      <w:rPr>
        <w:rFonts w:ascii="Wingdings" w:hAnsi="Wingdings" w:hint="default"/>
        <w:sz w:val="20"/>
      </w:rPr>
    </w:lvl>
    <w:lvl w:ilvl="5" w:tplc="B286599E" w:tentative="1">
      <w:start w:val="1"/>
      <w:numFmt w:val="bullet"/>
      <w:lvlText w:val=""/>
      <w:lvlJc w:val="left"/>
      <w:pPr>
        <w:tabs>
          <w:tab w:val="num" w:pos="4320"/>
        </w:tabs>
        <w:ind w:left="4320" w:hanging="360"/>
      </w:pPr>
      <w:rPr>
        <w:rFonts w:ascii="Wingdings" w:hAnsi="Wingdings" w:hint="default"/>
        <w:sz w:val="20"/>
      </w:rPr>
    </w:lvl>
    <w:lvl w:ilvl="6" w:tplc="846C8802" w:tentative="1">
      <w:start w:val="1"/>
      <w:numFmt w:val="bullet"/>
      <w:lvlText w:val=""/>
      <w:lvlJc w:val="left"/>
      <w:pPr>
        <w:tabs>
          <w:tab w:val="num" w:pos="5040"/>
        </w:tabs>
        <w:ind w:left="5040" w:hanging="360"/>
      </w:pPr>
      <w:rPr>
        <w:rFonts w:ascii="Wingdings" w:hAnsi="Wingdings" w:hint="default"/>
        <w:sz w:val="20"/>
      </w:rPr>
    </w:lvl>
    <w:lvl w:ilvl="7" w:tplc="1820D652" w:tentative="1">
      <w:start w:val="1"/>
      <w:numFmt w:val="bullet"/>
      <w:lvlText w:val=""/>
      <w:lvlJc w:val="left"/>
      <w:pPr>
        <w:tabs>
          <w:tab w:val="num" w:pos="5760"/>
        </w:tabs>
        <w:ind w:left="5760" w:hanging="360"/>
      </w:pPr>
      <w:rPr>
        <w:rFonts w:ascii="Wingdings" w:hAnsi="Wingdings" w:hint="default"/>
        <w:sz w:val="20"/>
      </w:rPr>
    </w:lvl>
    <w:lvl w:ilvl="8" w:tplc="BC5EF820" w:tentative="1">
      <w:start w:val="1"/>
      <w:numFmt w:val="bullet"/>
      <w:lvlText w:val=""/>
      <w:lvlJc w:val="left"/>
      <w:pPr>
        <w:tabs>
          <w:tab w:val="num" w:pos="6480"/>
        </w:tabs>
        <w:ind w:left="6480" w:hanging="360"/>
      </w:pPr>
      <w:rPr>
        <w:rFonts w:ascii="Wingdings" w:hAnsi="Wingdings" w:hint="default"/>
        <w:sz w:val="20"/>
      </w:rPr>
    </w:lvl>
  </w:abstractNum>
  <w:abstractNum w:abstractNumId="708">
    <w:nsid w:val="6A9A5864"/>
    <w:multiLevelType w:val="hybridMultilevel"/>
    <w:tmpl w:val="699AC69A"/>
    <w:lvl w:ilvl="0" w:tplc="E1D8D8C2">
      <w:start w:val="1"/>
      <w:numFmt w:val="decimal"/>
      <w:lvlText w:val="C5.%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09">
    <w:nsid w:val="6AB167C4"/>
    <w:multiLevelType w:val="hybridMultilevel"/>
    <w:tmpl w:val="3214952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10">
    <w:nsid w:val="6AB746F6"/>
    <w:multiLevelType w:val="hybridMultilevel"/>
    <w:tmpl w:val="FA1004E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11">
    <w:nsid w:val="6AC14D11"/>
    <w:multiLevelType w:val="hybridMultilevel"/>
    <w:tmpl w:val="A9F8FFB2"/>
    <w:lvl w:ilvl="0" w:tplc="DC600472">
      <w:start w:val="1"/>
      <w:numFmt w:val="decimal"/>
      <w:lvlText w:val="%1."/>
      <w:lvlJc w:val="left"/>
      <w:pPr>
        <w:tabs>
          <w:tab w:val="num" w:pos="720"/>
        </w:tabs>
        <w:ind w:left="720" w:hanging="360"/>
      </w:pPr>
    </w:lvl>
    <w:lvl w:ilvl="1" w:tplc="D1A4F918" w:tentative="1">
      <w:start w:val="1"/>
      <w:numFmt w:val="decimal"/>
      <w:lvlText w:val="%2."/>
      <w:lvlJc w:val="left"/>
      <w:pPr>
        <w:tabs>
          <w:tab w:val="num" w:pos="1440"/>
        </w:tabs>
        <w:ind w:left="1440" w:hanging="360"/>
      </w:pPr>
    </w:lvl>
    <w:lvl w:ilvl="2" w:tplc="A84A989A" w:tentative="1">
      <w:start w:val="1"/>
      <w:numFmt w:val="decimal"/>
      <w:lvlText w:val="%3."/>
      <w:lvlJc w:val="left"/>
      <w:pPr>
        <w:tabs>
          <w:tab w:val="num" w:pos="2160"/>
        </w:tabs>
        <w:ind w:left="2160" w:hanging="360"/>
      </w:pPr>
    </w:lvl>
    <w:lvl w:ilvl="3" w:tplc="B5365950" w:tentative="1">
      <w:start w:val="1"/>
      <w:numFmt w:val="decimal"/>
      <w:lvlText w:val="%4."/>
      <w:lvlJc w:val="left"/>
      <w:pPr>
        <w:tabs>
          <w:tab w:val="num" w:pos="2880"/>
        </w:tabs>
        <w:ind w:left="2880" w:hanging="360"/>
      </w:pPr>
    </w:lvl>
    <w:lvl w:ilvl="4" w:tplc="D62296F6" w:tentative="1">
      <w:start w:val="1"/>
      <w:numFmt w:val="decimal"/>
      <w:lvlText w:val="%5."/>
      <w:lvlJc w:val="left"/>
      <w:pPr>
        <w:tabs>
          <w:tab w:val="num" w:pos="3600"/>
        </w:tabs>
        <w:ind w:left="3600" w:hanging="360"/>
      </w:pPr>
    </w:lvl>
    <w:lvl w:ilvl="5" w:tplc="FFD65ACC" w:tentative="1">
      <w:start w:val="1"/>
      <w:numFmt w:val="decimal"/>
      <w:lvlText w:val="%6."/>
      <w:lvlJc w:val="left"/>
      <w:pPr>
        <w:tabs>
          <w:tab w:val="num" w:pos="4320"/>
        </w:tabs>
        <w:ind w:left="4320" w:hanging="360"/>
      </w:pPr>
    </w:lvl>
    <w:lvl w:ilvl="6" w:tplc="C3BED850" w:tentative="1">
      <w:start w:val="1"/>
      <w:numFmt w:val="decimal"/>
      <w:lvlText w:val="%7."/>
      <w:lvlJc w:val="left"/>
      <w:pPr>
        <w:tabs>
          <w:tab w:val="num" w:pos="5040"/>
        </w:tabs>
        <w:ind w:left="5040" w:hanging="360"/>
      </w:pPr>
    </w:lvl>
    <w:lvl w:ilvl="7" w:tplc="06ECD166" w:tentative="1">
      <w:start w:val="1"/>
      <w:numFmt w:val="decimal"/>
      <w:lvlText w:val="%8."/>
      <w:lvlJc w:val="left"/>
      <w:pPr>
        <w:tabs>
          <w:tab w:val="num" w:pos="5760"/>
        </w:tabs>
        <w:ind w:left="5760" w:hanging="360"/>
      </w:pPr>
    </w:lvl>
    <w:lvl w:ilvl="8" w:tplc="EE6AEE7E" w:tentative="1">
      <w:start w:val="1"/>
      <w:numFmt w:val="decimal"/>
      <w:lvlText w:val="%9."/>
      <w:lvlJc w:val="left"/>
      <w:pPr>
        <w:tabs>
          <w:tab w:val="num" w:pos="6480"/>
        </w:tabs>
        <w:ind w:left="6480" w:hanging="360"/>
      </w:pPr>
    </w:lvl>
  </w:abstractNum>
  <w:abstractNum w:abstractNumId="712">
    <w:nsid w:val="6AF3427D"/>
    <w:multiLevelType w:val="hybridMultilevel"/>
    <w:tmpl w:val="2B4ED35A"/>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713">
    <w:nsid w:val="6B3C3D33"/>
    <w:multiLevelType w:val="multilevel"/>
    <w:tmpl w:val="D45426F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4">
    <w:nsid w:val="6B724B86"/>
    <w:multiLevelType w:val="multilevel"/>
    <w:tmpl w:val="B5E22F9A"/>
    <w:lvl w:ilvl="0">
      <w:start w:val="1"/>
      <w:numFmt w:val="bullet"/>
      <w:lvlText w:val=""/>
      <w:lvlJc w:val="left"/>
      <w:pPr>
        <w:ind w:left="360" w:hanging="360"/>
      </w:pPr>
      <w:rPr>
        <w:rFonts w:ascii="Wingdings" w:hAnsi="Wingdings" w:hint="default"/>
        <w:color w:val="auto"/>
      </w:rPr>
    </w:lvl>
    <w:lvl w:ilvl="1">
      <w:start w:val="16"/>
      <w:numFmt w:val="bullet"/>
      <w:lvlText w:val="-"/>
      <w:lvlJc w:val="left"/>
      <w:pPr>
        <w:ind w:left="360" w:hanging="360"/>
      </w:pPr>
      <w:rPr>
        <w:rFonts w:ascii="Times New Roman" w:eastAsia="Times New Roman" w:hAnsi="Times New Roman" w:cs="Times New Roman"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15">
    <w:nsid w:val="6B74008C"/>
    <w:multiLevelType w:val="hybridMultilevel"/>
    <w:tmpl w:val="39B8C7BE"/>
    <w:lvl w:ilvl="0" w:tplc="6610FE84">
      <w:start w:val="1"/>
      <w:numFmt w:val="bullet"/>
      <w:lvlText w:val=""/>
      <w:lvlJc w:val="left"/>
      <w:pPr>
        <w:tabs>
          <w:tab w:val="num" w:pos="720"/>
        </w:tabs>
        <w:ind w:left="720" w:hanging="360"/>
      </w:pPr>
      <w:rPr>
        <w:rFonts w:ascii="Symbol" w:hAnsi="Symbol" w:hint="default"/>
        <w:sz w:val="20"/>
      </w:rPr>
    </w:lvl>
    <w:lvl w:ilvl="1" w:tplc="B1104774" w:tentative="1">
      <w:start w:val="1"/>
      <w:numFmt w:val="bullet"/>
      <w:lvlText w:val="o"/>
      <w:lvlJc w:val="left"/>
      <w:pPr>
        <w:tabs>
          <w:tab w:val="num" w:pos="1440"/>
        </w:tabs>
        <w:ind w:left="1440" w:hanging="360"/>
      </w:pPr>
      <w:rPr>
        <w:rFonts w:ascii="Courier New" w:hAnsi="Courier New" w:hint="default"/>
        <w:sz w:val="20"/>
      </w:rPr>
    </w:lvl>
    <w:lvl w:ilvl="2" w:tplc="96EE92C8" w:tentative="1">
      <w:start w:val="1"/>
      <w:numFmt w:val="bullet"/>
      <w:lvlText w:val=""/>
      <w:lvlJc w:val="left"/>
      <w:pPr>
        <w:tabs>
          <w:tab w:val="num" w:pos="2160"/>
        </w:tabs>
        <w:ind w:left="2160" w:hanging="360"/>
      </w:pPr>
      <w:rPr>
        <w:rFonts w:ascii="Wingdings" w:hAnsi="Wingdings" w:hint="default"/>
        <w:sz w:val="20"/>
      </w:rPr>
    </w:lvl>
    <w:lvl w:ilvl="3" w:tplc="A27A9FEA" w:tentative="1">
      <w:start w:val="1"/>
      <w:numFmt w:val="bullet"/>
      <w:lvlText w:val=""/>
      <w:lvlJc w:val="left"/>
      <w:pPr>
        <w:tabs>
          <w:tab w:val="num" w:pos="2880"/>
        </w:tabs>
        <w:ind w:left="2880" w:hanging="360"/>
      </w:pPr>
      <w:rPr>
        <w:rFonts w:ascii="Wingdings" w:hAnsi="Wingdings" w:hint="default"/>
        <w:sz w:val="20"/>
      </w:rPr>
    </w:lvl>
    <w:lvl w:ilvl="4" w:tplc="40A693FE" w:tentative="1">
      <w:start w:val="1"/>
      <w:numFmt w:val="bullet"/>
      <w:lvlText w:val=""/>
      <w:lvlJc w:val="left"/>
      <w:pPr>
        <w:tabs>
          <w:tab w:val="num" w:pos="3600"/>
        </w:tabs>
        <w:ind w:left="3600" w:hanging="360"/>
      </w:pPr>
      <w:rPr>
        <w:rFonts w:ascii="Wingdings" w:hAnsi="Wingdings" w:hint="default"/>
        <w:sz w:val="20"/>
      </w:rPr>
    </w:lvl>
    <w:lvl w:ilvl="5" w:tplc="E1784870" w:tentative="1">
      <w:start w:val="1"/>
      <w:numFmt w:val="bullet"/>
      <w:lvlText w:val=""/>
      <w:lvlJc w:val="left"/>
      <w:pPr>
        <w:tabs>
          <w:tab w:val="num" w:pos="4320"/>
        </w:tabs>
        <w:ind w:left="4320" w:hanging="360"/>
      </w:pPr>
      <w:rPr>
        <w:rFonts w:ascii="Wingdings" w:hAnsi="Wingdings" w:hint="default"/>
        <w:sz w:val="20"/>
      </w:rPr>
    </w:lvl>
    <w:lvl w:ilvl="6" w:tplc="75FA6D1A" w:tentative="1">
      <w:start w:val="1"/>
      <w:numFmt w:val="bullet"/>
      <w:lvlText w:val=""/>
      <w:lvlJc w:val="left"/>
      <w:pPr>
        <w:tabs>
          <w:tab w:val="num" w:pos="5040"/>
        </w:tabs>
        <w:ind w:left="5040" w:hanging="360"/>
      </w:pPr>
      <w:rPr>
        <w:rFonts w:ascii="Wingdings" w:hAnsi="Wingdings" w:hint="default"/>
        <w:sz w:val="20"/>
      </w:rPr>
    </w:lvl>
    <w:lvl w:ilvl="7" w:tplc="DB223D04" w:tentative="1">
      <w:start w:val="1"/>
      <w:numFmt w:val="bullet"/>
      <w:lvlText w:val=""/>
      <w:lvlJc w:val="left"/>
      <w:pPr>
        <w:tabs>
          <w:tab w:val="num" w:pos="5760"/>
        </w:tabs>
        <w:ind w:left="5760" w:hanging="360"/>
      </w:pPr>
      <w:rPr>
        <w:rFonts w:ascii="Wingdings" w:hAnsi="Wingdings" w:hint="default"/>
        <w:sz w:val="20"/>
      </w:rPr>
    </w:lvl>
    <w:lvl w:ilvl="8" w:tplc="209EBA1C" w:tentative="1">
      <w:start w:val="1"/>
      <w:numFmt w:val="bullet"/>
      <w:lvlText w:val=""/>
      <w:lvlJc w:val="left"/>
      <w:pPr>
        <w:tabs>
          <w:tab w:val="num" w:pos="6480"/>
        </w:tabs>
        <w:ind w:left="6480" w:hanging="360"/>
      </w:pPr>
      <w:rPr>
        <w:rFonts w:ascii="Wingdings" w:hAnsi="Wingdings" w:hint="default"/>
        <w:sz w:val="20"/>
      </w:rPr>
    </w:lvl>
  </w:abstractNum>
  <w:abstractNum w:abstractNumId="716">
    <w:nsid w:val="6B81701C"/>
    <w:multiLevelType w:val="hybridMultilevel"/>
    <w:tmpl w:val="5C3CF882"/>
    <w:lvl w:ilvl="0" w:tplc="3BA23654">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17">
    <w:nsid w:val="6B9A2EC4"/>
    <w:multiLevelType w:val="hybridMultilevel"/>
    <w:tmpl w:val="96A022E8"/>
    <w:lvl w:ilvl="0" w:tplc="BE24FC40">
      <w:start w:val="2"/>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8">
    <w:nsid w:val="6BC41EF8"/>
    <w:multiLevelType w:val="hybridMultilevel"/>
    <w:tmpl w:val="9B34CAAA"/>
    <w:lvl w:ilvl="0" w:tplc="ABF097A2">
      <w:start w:val="1"/>
      <w:numFmt w:val="bullet"/>
      <w:lvlText w:val=""/>
      <w:lvlJc w:val="left"/>
      <w:pPr>
        <w:ind w:left="720" w:hanging="360"/>
      </w:pPr>
      <w:rPr>
        <w:rFonts w:ascii="Wingdings" w:hAnsi="Wingdings" w:cs="Wingdings" w:hint="default"/>
        <w:color w:val="auto"/>
        <w:sz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19">
    <w:nsid w:val="6C0A7E0C"/>
    <w:multiLevelType w:val="hybridMultilevel"/>
    <w:tmpl w:val="ABF206FA"/>
    <w:lvl w:ilvl="0" w:tplc="D6A656B6">
      <w:numFmt w:val="bullet"/>
      <w:lvlText w:val="-"/>
      <w:lvlJc w:val="left"/>
      <w:pPr>
        <w:ind w:left="1068" w:hanging="360"/>
      </w:pPr>
      <w:rPr>
        <w:rFonts w:ascii="Times New Roman" w:eastAsia="Times New Roman" w:hAnsi="Times New Roman" w:cs="Times New Roman"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720">
    <w:nsid w:val="6C6A7FBE"/>
    <w:multiLevelType w:val="hybridMultilevel"/>
    <w:tmpl w:val="5A4C747C"/>
    <w:lvl w:ilvl="0" w:tplc="540EEFD2">
      <w:start w:val="1"/>
      <w:numFmt w:val="decimal"/>
      <w:lvlText w:val="%1."/>
      <w:lvlJc w:val="left"/>
      <w:pPr>
        <w:ind w:left="720" w:hanging="360"/>
      </w:pPr>
      <w:rPr>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1">
    <w:nsid w:val="6C75234A"/>
    <w:multiLevelType w:val="hybridMultilevel"/>
    <w:tmpl w:val="BDA4ADBE"/>
    <w:lvl w:ilvl="0" w:tplc="04150005">
      <w:start w:val="1"/>
      <w:numFmt w:val="bullet"/>
      <w:lvlText w:val=""/>
      <w:lvlJc w:val="left"/>
      <w:pPr>
        <w:tabs>
          <w:tab w:val="num" w:pos="720"/>
        </w:tabs>
        <w:ind w:left="720" w:hanging="360"/>
      </w:pPr>
      <w:rPr>
        <w:rFonts w:ascii="Wingdings" w:hAnsi="Wingdings" w:hint="default"/>
        <w:sz w:val="20"/>
      </w:rPr>
    </w:lvl>
    <w:lvl w:ilvl="1" w:tplc="4C3C15B8" w:tentative="1">
      <w:start w:val="1"/>
      <w:numFmt w:val="bullet"/>
      <w:lvlText w:val="o"/>
      <w:lvlJc w:val="left"/>
      <w:pPr>
        <w:tabs>
          <w:tab w:val="num" w:pos="1440"/>
        </w:tabs>
        <w:ind w:left="1440" w:hanging="360"/>
      </w:pPr>
      <w:rPr>
        <w:rFonts w:ascii="Courier New" w:hAnsi="Courier New" w:hint="default"/>
        <w:sz w:val="20"/>
      </w:rPr>
    </w:lvl>
    <w:lvl w:ilvl="2" w:tplc="7726808C" w:tentative="1">
      <w:start w:val="1"/>
      <w:numFmt w:val="bullet"/>
      <w:lvlText w:val=""/>
      <w:lvlJc w:val="left"/>
      <w:pPr>
        <w:tabs>
          <w:tab w:val="num" w:pos="2160"/>
        </w:tabs>
        <w:ind w:left="2160" w:hanging="360"/>
      </w:pPr>
      <w:rPr>
        <w:rFonts w:ascii="Wingdings" w:hAnsi="Wingdings" w:hint="default"/>
        <w:sz w:val="20"/>
      </w:rPr>
    </w:lvl>
    <w:lvl w:ilvl="3" w:tplc="F030FA28" w:tentative="1">
      <w:start w:val="1"/>
      <w:numFmt w:val="bullet"/>
      <w:lvlText w:val=""/>
      <w:lvlJc w:val="left"/>
      <w:pPr>
        <w:tabs>
          <w:tab w:val="num" w:pos="2880"/>
        </w:tabs>
        <w:ind w:left="2880" w:hanging="360"/>
      </w:pPr>
      <w:rPr>
        <w:rFonts w:ascii="Wingdings" w:hAnsi="Wingdings" w:hint="default"/>
        <w:sz w:val="20"/>
      </w:rPr>
    </w:lvl>
    <w:lvl w:ilvl="4" w:tplc="997C958A" w:tentative="1">
      <w:start w:val="1"/>
      <w:numFmt w:val="bullet"/>
      <w:lvlText w:val=""/>
      <w:lvlJc w:val="left"/>
      <w:pPr>
        <w:tabs>
          <w:tab w:val="num" w:pos="3600"/>
        </w:tabs>
        <w:ind w:left="3600" w:hanging="360"/>
      </w:pPr>
      <w:rPr>
        <w:rFonts w:ascii="Wingdings" w:hAnsi="Wingdings" w:hint="default"/>
        <w:sz w:val="20"/>
      </w:rPr>
    </w:lvl>
    <w:lvl w:ilvl="5" w:tplc="6EF4F8C6" w:tentative="1">
      <w:start w:val="1"/>
      <w:numFmt w:val="bullet"/>
      <w:lvlText w:val=""/>
      <w:lvlJc w:val="left"/>
      <w:pPr>
        <w:tabs>
          <w:tab w:val="num" w:pos="4320"/>
        </w:tabs>
        <w:ind w:left="4320" w:hanging="360"/>
      </w:pPr>
      <w:rPr>
        <w:rFonts w:ascii="Wingdings" w:hAnsi="Wingdings" w:hint="default"/>
        <w:sz w:val="20"/>
      </w:rPr>
    </w:lvl>
    <w:lvl w:ilvl="6" w:tplc="7DE2BE50" w:tentative="1">
      <w:start w:val="1"/>
      <w:numFmt w:val="bullet"/>
      <w:lvlText w:val=""/>
      <w:lvlJc w:val="left"/>
      <w:pPr>
        <w:tabs>
          <w:tab w:val="num" w:pos="5040"/>
        </w:tabs>
        <w:ind w:left="5040" w:hanging="360"/>
      </w:pPr>
      <w:rPr>
        <w:rFonts w:ascii="Wingdings" w:hAnsi="Wingdings" w:hint="default"/>
        <w:sz w:val="20"/>
      </w:rPr>
    </w:lvl>
    <w:lvl w:ilvl="7" w:tplc="7E38B5F0" w:tentative="1">
      <w:start w:val="1"/>
      <w:numFmt w:val="bullet"/>
      <w:lvlText w:val=""/>
      <w:lvlJc w:val="left"/>
      <w:pPr>
        <w:tabs>
          <w:tab w:val="num" w:pos="5760"/>
        </w:tabs>
        <w:ind w:left="5760" w:hanging="360"/>
      </w:pPr>
      <w:rPr>
        <w:rFonts w:ascii="Wingdings" w:hAnsi="Wingdings" w:hint="default"/>
        <w:sz w:val="20"/>
      </w:rPr>
    </w:lvl>
    <w:lvl w:ilvl="8" w:tplc="2736C6A0" w:tentative="1">
      <w:start w:val="1"/>
      <w:numFmt w:val="bullet"/>
      <w:lvlText w:val=""/>
      <w:lvlJc w:val="left"/>
      <w:pPr>
        <w:tabs>
          <w:tab w:val="num" w:pos="6480"/>
        </w:tabs>
        <w:ind w:left="6480" w:hanging="360"/>
      </w:pPr>
      <w:rPr>
        <w:rFonts w:ascii="Wingdings" w:hAnsi="Wingdings" w:hint="default"/>
        <w:sz w:val="20"/>
      </w:rPr>
    </w:lvl>
  </w:abstractNum>
  <w:abstractNum w:abstractNumId="722">
    <w:nsid w:val="6C780FD7"/>
    <w:multiLevelType w:val="hybridMultilevel"/>
    <w:tmpl w:val="CC06BD8C"/>
    <w:lvl w:ilvl="0" w:tplc="567A0222">
      <w:start w:val="1"/>
      <w:numFmt w:val="decimal"/>
      <w:lvlText w:val="%1."/>
      <w:lvlJc w:val="left"/>
      <w:pPr>
        <w:tabs>
          <w:tab w:val="num" w:pos="720"/>
        </w:tabs>
        <w:ind w:left="720" w:hanging="360"/>
      </w:pPr>
    </w:lvl>
    <w:lvl w:ilvl="1" w:tplc="25B4DBD6" w:tentative="1">
      <w:start w:val="1"/>
      <w:numFmt w:val="decimal"/>
      <w:lvlText w:val="%2."/>
      <w:lvlJc w:val="left"/>
      <w:pPr>
        <w:tabs>
          <w:tab w:val="num" w:pos="1440"/>
        </w:tabs>
        <w:ind w:left="1440" w:hanging="360"/>
      </w:pPr>
    </w:lvl>
    <w:lvl w:ilvl="2" w:tplc="2F2C11D4" w:tentative="1">
      <w:start w:val="1"/>
      <w:numFmt w:val="decimal"/>
      <w:lvlText w:val="%3."/>
      <w:lvlJc w:val="left"/>
      <w:pPr>
        <w:tabs>
          <w:tab w:val="num" w:pos="2160"/>
        </w:tabs>
        <w:ind w:left="2160" w:hanging="360"/>
      </w:pPr>
    </w:lvl>
    <w:lvl w:ilvl="3" w:tplc="4CA60370" w:tentative="1">
      <w:start w:val="1"/>
      <w:numFmt w:val="decimal"/>
      <w:lvlText w:val="%4."/>
      <w:lvlJc w:val="left"/>
      <w:pPr>
        <w:tabs>
          <w:tab w:val="num" w:pos="2880"/>
        </w:tabs>
        <w:ind w:left="2880" w:hanging="360"/>
      </w:pPr>
    </w:lvl>
    <w:lvl w:ilvl="4" w:tplc="35509156" w:tentative="1">
      <w:start w:val="1"/>
      <w:numFmt w:val="decimal"/>
      <w:lvlText w:val="%5."/>
      <w:lvlJc w:val="left"/>
      <w:pPr>
        <w:tabs>
          <w:tab w:val="num" w:pos="3600"/>
        </w:tabs>
        <w:ind w:left="3600" w:hanging="360"/>
      </w:pPr>
    </w:lvl>
    <w:lvl w:ilvl="5" w:tplc="FB4EA6CA" w:tentative="1">
      <w:start w:val="1"/>
      <w:numFmt w:val="decimal"/>
      <w:lvlText w:val="%6."/>
      <w:lvlJc w:val="left"/>
      <w:pPr>
        <w:tabs>
          <w:tab w:val="num" w:pos="4320"/>
        </w:tabs>
        <w:ind w:left="4320" w:hanging="360"/>
      </w:pPr>
    </w:lvl>
    <w:lvl w:ilvl="6" w:tplc="2ED02FEA" w:tentative="1">
      <w:start w:val="1"/>
      <w:numFmt w:val="decimal"/>
      <w:lvlText w:val="%7."/>
      <w:lvlJc w:val="left"/>
      <w:pPr>
        <w:tabs>
          <w:tab w:val="num" w:pos="5040"/>
        </w:tabs>
        <w:ind w:left="5040" w:hanging="360"/>
      </w:pPr>
    </w:lvl>
    <w:lvl w:ilvl="7" w:tplc="9FC4B2EE" w:tentative="1">
      <w:start w:val="1"/>
      <w:numFmt w:val="decimal"/>
      <w:lvlText w:val="%8."/>
      <w:lvlJc w:val="left"/>
      <w:pPr>
        <w:tabs>
          <w:tab w:val="num" w:pos="5760"/>
        </w:tabs>
        <w:ind w:left="5760" w:hanging="360"/>
      </w:pPr>
    </w:lvl>
    <w:lvl w:ilvl="8" w:tplc="F21EF45A" w:tentative="1">
      <w:start w:val="1"/>
      <w:numFmt w:val="decimal"/>
      <w:lvlText w:val="%9."/>
      <w:lvlJc w:val="left"/>
      <w:pPr>
        <w:tabs>
          <w:tab w:val="num" w:pos="6480"/>
        </w:tabs>
        <w:ind w:left="6480" w:hanging="360"/>
      </w:pPr>
    </w:lvl>
  </w:abstractNum>
  <w:abstractNum w:abstractNumId="723">
    <w:nsid w:val="6C9D11A2"/>
    <w:multiLevelType w:val="hybridMultilevel"/>
    <w:tmpl w:val="C0561C82"/>
    <w:lvl w:ilvl="0" w:tplc="F00823E2">
      <w:start w:val="1"/>
      <w:numFmt w:val="decimal"/>
      <w:lvlText w:val="%1."/>
      <w:lvlJc w:val="left"/>
      <w:pPr>
        <w:tabs>
          <w:tab w:val="num" w:pos="720"/>
        </w:tabs>
        <w:ind w:left="720" w:hanging="360"/>
      </w:pPr>
      <w:rPr>
        <w:rFonts w:ascii="Calibri" w:hAnsi="Calibri" w:hint="default"/>
      </w:rPr>
    </w:lvl>
    <w:lvl w:ilvl="1" w:tplc="04150003">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724">
    <w:nsid w:val="6CCC2112"/>
    <w:multiLevelType w:val="multilevel"/>
    <w:tmpl w:val="AF889204"/>
    <w:styleLink w:val="WWNum56"/>
    <w:lvl w:ilvl="0">
      <w:numFmt w:val="bullet"/>
      <w:lvlText w:val=""/>
      <w:lvlJc w:val="left"/>
      <w:rPr>
        <w:rFonts w:ascii="Wingdings" w:hAnsi="Wingdings" w:cs="Wingdings"/>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725">
    <w:nsid w:val="6D0E1309"/>
    <w:multiLevelType w:val="hybridMultilevel"/>
    <w:tmpl w:val="886E594E"/>
    <w:lvl w:ilvl="0" w:tplc="7B563150">
      <w:start w:val="1"/>
      <w:numFmt w:val="decimal"/>
      <w:lvlText w:val="K%1."/>
      <w:lvlJc w:val="left"/>
      <w:pPr>
        <w:tabs>
          <w:tab w:val="num" w:pos="360"/>
        </w:tabs>
        <w:ind w:left="360" w:hanging="360"/>
      </w:pPr>
      <w:rPr>
        <w:rFonts w:ascii="Calibri" w:hAnsi="Calibri" w:cs="Times New Roman" w:hint="default"/>
        <w:b w:val="0"/>
        <w:i w:val="0"/>
        <w:sz w:val="20"/>
      </w:rPr>
    </w:lvl>
    <w:lvl w:ilvl="1" w:tplc="23EC5AC2">
      <w:start w:val="1"/>
      <w:numFmt w:val="lowerLetter"/>
      <w:lvlText w:val="%2."/>
      <w:lvlJc w:val="left"/>
      <w:pPr>
        <w:ind w:left="1080" w:hanging="360"/>
      </w:pPr>
      <w:rPr>
        <w:rFonts w:ascii="Times New Roman" w:hAnsi="Times New Roman" w:cs="Times New Roman"/>
      </w:rPr>
    </w:lvl>
    <w:lvl w:ilvl="2" w:tplc="23F61F1E">
      <w:start w:val="1"/>
      <w:numFmt w:val="lowerRoman"/>
      <w:lvlText w:val="%3."/>
      <w:lvlJc w:val="right"/>
      <w:pPr>
        <w:ind w:left="1800" w:hanging="180"/>
      </w:pPr>
      <w:rPr>
        <w:rFonts w:ascii="Times New Roman" w:hAnsi="Times New Roman" w:cs="Times New Roman"/>
      </w:rPr>
    </w:lvl>
    <w:lvl w:ilvl="3" w:tplc="307ECF6C">
      <w:start w:val="1"/>
      <w:numFmt w:val="decimal"/>
      <w:lvlText w:val="%4."/>
      <w:lvlJc w:val="left"/>
      <w:pPr>
        <w:ind w:left="2520" w:hanging="360"/>
      </w:pPr>
      <w:rPr>
        <w:rFonts w:ascii="Times New Roman" w:hAnsi="Times New Roman" w:cs="Times New Roman"/>
      </w:rPr>
    </w:lvl>
    <w:lvl w:ilvl="4" w:tplc="1B3ADCC6">
      <w:start w:val="1"/>
      <w:numFmt w:val="lowerLetter"/>
      <w:lvlText w:val="%5."/>
      <w:lvlJc w:val="left"/>
      <w:pPr>
        <w:ind w:left="3240" w:hanging="360"/>
      </w:pPr>
      <w:rPr>
        <w:rFonts w:ascii="Times New Roman" w:hAnsi="Times New Roman" w:cs="Times New Roman"/>
      </w:rPr>
    </w:lvl>
    <w:lvl w:ilvl="5" w:tplc="447836AE">
      <w:start w:val="1"/>
      <w:numFmt w:val="lowerRoman"/>
      <w:lvlText w:val="%6."/>
      <w:lvlJc w:val="right"/>
      <w:pPr>
        <w:ind w:left="3960" w:hanging="180"/>
      </w:pPr>
      <w:rPr>
        <w:rFonts w:ascii="Times New Roman" w:hAnsi="Times New Roman" w:cs="Times New Roman"/>
      </w:rPr>
    </w:lvl>
    <w:lvl w:ilvl="6" w:tplc="139493B6">
      <w:start w:val="1"/>
      <w:numFmt w:val="decimal"/>
      <w:lvlText w:val="%7."/>
      <w:lvlJc w:val="left"/>
      <w:pPr>
        <w:ind w:left="4680" w:hanging="360"/>
      </w:pPr>
      <w:rPr>
        <w:rFonts w:ascii="Times New Roman" w:hAnsi="Times New Roman" w:cs="Times New Roman"/>
      </w:rPr>
    </w:lvl>
    <w:lvl w:ilvl="7" w:tplc="385A1F50">
      <w:start w:val="1"/>
      <w:numFmt w:val="lowerLetter"/>
      <w:lvlText w:val="%8."/>
      <w:lvlJc w:val="left"/>
      <w:pPr>
        <w:ind w:left="5400" w:hanging="360"/>
      </w:pPr>
      <w:rPr>
        <w:rFonts w:ascii="Times New Roman" w:hAnsi="Times New Roman" w:cs="Times New Roman"/>
      </w:rPr>
    </w:lvl>
    <w:lvl w:ilvl="8" w:tplc="916C61CE">
      <w:start w:val="1"/>
      <w:numFmt w:val="lowerRoman"/>
      <w:lvlText w:val="%9."/>
      <w:lvlJc w:val="right"/>
      <w:pPr>
        <w:ind w:left="6120" w:hanging="180"/>
      </w:pPr>
      <w:rPr>
        <w:rFonts w:ascii="Times New Roman" w:hAnsi="Times New Roman" w:cs="Times New Roman"/>
      </w:rPr>
    </w:lvl>
  </w:abstractNum>
  <w:abstractNum w:abstractNumId="726">
    <w:nsid w:val="6D110663"/>
    <w:multiLevelType w:val="hybridMultilevel"/>
    <w:tmpl w:val="5E123568"/>
    <w:lvl w:ilvl="0" w:tplc="D6A656B6">
      <w:numFmt w:val="bullet"/>
      <w:lvlText w:val="-"/>
      <w:lvlJc w:val="left"/>
      <w:pPr>
        <w:tabs>
          <w:tab w:val="num" w:pos="720"/>
        </w:tabs>
        <w:ind w:left="720" w:hanging="360"/>
      </w:pPr>
      <w:rPr>
        <w:rFonts w:ascii="Times New Roman" w:eastAsia="Times New Roman" w:hAnsi="Times New Roman" w:cs="Times New Roman" w:hint="default"/>
        <w:sz w:val="20"/>
      </w:rPr>
    </w:lvl>
    <w:lvl w:ilvl="1" w:tplc="753277BE" w:tentative="1">
      <w:start w:val="1"/>
      <w:numFmt w:val="bullet"/>
      <w:lvlText w:val="o"/>
      <w:lvlJc w:val="left"/>
      <w:pPr>
        <w:tabs>
          <w:tab w:val="num" w:pos="1440"/>
        </w:tabs>
        <w:ind w:left="1440" w:hanging="360"/>
      </w:pPr>
      <w:rPr>
        <w:rFonts w:ascii="Courier New" w:hAnsi="Courier New" w:hint="default"/>
        <w:sz w:val="20"/>
      </w:rPr>
    </w:lvl>
    <w:lvl w:ilvl="2" w:tplc="30D25A1A" w:tentative="1">
      <w:start w:val="1"/>
      <w:numFmt w:val="bullet"/>
      <w:lvlText w:val=""/>
      <w:lvlJc w:val="left"/>
      <w:pPr>
        <w:tabs>
          <w:tab w:val="num" w:pos="2160"/>
        </w:tabs>
        <w:ind w:left="2160" w:hanging="360"/>
      </w:pPr>
      <w:rPr>
        <w:rFonts w:ascii="Wingdings" w:hAnsi="Wingdings" w:hint="default"/>
        <w:sz w:val="20"/>
      </w:rPr>
    </w:lvl>
    <w:lvl w:ilvl="3" w:tplc="FC90DE6C" w:tentative="1">
      <w:start w:val="1"/>
      <w:numFmt w:val="bullet"/>
      <w:lvlText w:val=""/>
      <w:lvlJc w:val="left"/>
      <w:pPr>
        <w:tabs>
          <w:tab w:val="num" w:pos="2880"/>
        </w:tabs>
        <w:ind w:left="2880" w:hanging="360"/>
      </w:pPr>
      <w:rPr>
        <w:rFonts w:ascii="Wingdings" w:hAnsi="Wingdings" w:hint="default"/>
        <w:sz w:val="20"/>
      </w:rPr>
    </w:lvl>
    <w:lvl w:ilvl="4" w:tplc="62ACC078" w:tentative="1">
      <w:start w:val="1"/>
      <w:numFmt w:val="bullet"/>
      <w:lvlText w:val=""/>
      <w:lvlJc w:val="left"/>
      <w:pPr>
        <w:tabs>
          <w:tab w:val="num" w:pos="3600"/>
        </w:tabs>
        <w:ind w:left="3600" w:hanging="360"/>
      </w:pPr>
      <w:rPr>
        <w:rFonts w:ascii="Wingdings" w:hAnsi="Wingdings" w:hint="default"/>
        <w:sz w:val="20"/>
      </w:rPr>
    </w:lvl>
    <w:lvl w:ilvl="5" w:tplc="3FE46D94" w:tentative="1">
      <w:start w:val="1"/>
      <w:numFmt w:val="bullet"/>
      <w:lvlText w:val=""/>
      <w:lvlJc w:val="left"/>
      <w:pPr>
        <w:tabs>
          <w:tab w:val="num" w:pos="4320"/>
        </w:tabs>
        <w:ind w:left="4320" w:hanging="360"/>
      </w:pPr>
      <w:rPr>
        <w:rFonts w:ascii="Wingdings" w:hAnsi="Wingdings" w:hint="default"/>
        <w:sz w:val="20"/>
      </w:rPr>
    </w:lvl>
    <w:lvl w:ilvl="6" w:tplc="281E7EE2" w:tentative="1">
      <w:start w:val="1"/>
      <w:numFmt w:val="bullet"/>
      <w:lvlText w:val=""/>
      <w:lvlJc w:val="left"/>
      <w:pPr>
        <w:tabs>
          <w:tab w:val="num" w:pos="5040"/>
        </w:tabs>
        <w:ind w:left="5040" w:hanging="360"/>
      </w:pPr>
      <w:rPr>
        <w:rFonts w:ascii="Wingdings" w:hAnsi="Wingdings" w:hint="default"/>
        <w:sz w:val="20"/>
      </w:rPr>
    </w:lvl>
    <w:lvl w:ilvl="7" w:tplc="32182454" w:tentative="1">
      <w:start w:val="1"/>
      <w:numFmt w:val="bullet"/>
      <w:lvlText w:val=""/>
      <w:lvlJc w:val="left"/>
      <w:pPr>
        <w:tabs>
          <w:tab w:val="num" w:pos="5760"/>
        </w:tabs>
        <w:ind w:left="5760" w:hanging="360"/>
      </w:pPr>
      <w:rPr>
        <w:rFonts w:ascii="Wingdings" w:hAnsi="Wingdings" w:hint="default"/>
        <w:sz w:val="20"/>
      </w:rPr>
    </w:lvl>
    <w:lvl w:ilvl="8" w:tplc="3212494E" w:tentative="1">
      <w:start w:val="1"/>
      <w:numFmt w:val="bullet"/>
      <w:lvlText w:val=""/>
      <w:lvlJc w:val="left"/>
      <w:pPr>
        <w:tabs>
          <w:tab w:val="num" w:pos="6480"/>
        </w:tabs>
        <w:ind w:left="6480" w:hanging="360"/>
      </w:pPr>
      <w:rPr>
        <w:rFonts w:ascii="Wingdings" w:hAnsi="Wingdings" w:hint="default"/>
        <w:sz w:val="20"/>
      </w:rPr>
    </w:lvl>
  </w:abstractNum>
  <w:abstractNum w:abstractNumId="727">
    <w:nsid w:val="6D6F0CC7"/>
    <w:multiLevelType w:val="hybridMultilevel"/>
    <w:tmpl w:val="6D109FE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8">
    <w:nsid w:val="6D995A58"/>
    <w:multiLevelType w:val="hybridMultilevel"/>
    <w:tmpl w:val="3C08653A"/>
    <w:lvl w:ilvl="0" w:tplc="E862A7B4">
      <w:start w:val="1"/>
      <w:numFmt w:val="bullet"/>
      <w:lvlText w:val=""/>
      <w:lvlJc w:val="left"/>
      <w:pPr>
        <w:tabs>
          <w:tab w:val="num" w:pos="720"/>
        </w:tabs>
        <w:ind w:left="720" w:hanging="360"/>
      </w:pPr>
      <w:rPr>
        <w:rFonts w:ascii="Symbol" w:hAnsi="Symbol" w:hint="default"/>
        <w:sz w:val="20"/>
      </w:rPr>
    </w:lvl>
    <w:lvl w:ilvl="1" w:tplc="19BEE480" w:tentative="1">
      <w:start w:val="1"/>
      <w:numFmt w:val="bullet"/>
      <w:lvlText w:val="o"/>
      <w:lvlJc w:val="left"/>
      <w:pPr>
        <w:tabs>
          <w:tab w:val="num" w:pos="1440"/>
        </w:tabs>
        <w:ind w:left="1440" w:hanging="360"/>
      </w:pPr>
      <w:rPr>
        <w:rFonts w:ascii="Courier New" w:hAnsi="Courier New" w:hint="default"/>
        <w:sz w:val="20"/>
      </w:rPr>
    </w:lvl>
    <w:lvl w:ilvl="2" w:tplc="BD0ABD64" w:tentative="1">
      <w:start w:val="1"/>
      <w:numFmt w:val="bullet"/>
      <w:lvlText w:val=""/>
      <w:lvlJc w:val="left"/>
      <w:pPr>
        <w:tabs>
          <w:tab w:val="num" w:pos="2160"/>
        </w:tabs>
        <w:ind w:left="2160" w:hanging="360"/>
      </w:pPr>
      <w:rPr>
        <w:rFonts w:ascii="Wingdings" w:hAnsi="Wingdings" w:hint="default"/>
        <w:sz w:val="20"/>
      </w:rPr>
    </w:lvl>
    <w:lvl w:ilvl="3" w:tplc="5ADC4696" w:tentative="1">
      <w:start w:val="1"/>
      <w:numFmt w:val="bullet"/>
      <w:lvlText w:val=""/>
      <w:lvlJc w:val="left"/>
      <w:pPr>
        <w:tabs>
          <w:tab w:val="num" w:pos="2880"/>
        </w:tabs>
        <w:ind w:left="2880" w:hanging="360"/>
      </w:pPr>
      <w:rPr>
        <w:rFonts w:ascii="Wingdings" w:hAnsi="Wingdings" w:hint="default"/>
        <w:sz w:val="20"/>
      </w:rPr>
    </w:lvl>
    <w:lvl w:ilvl="4" w:tplc="6916D2DC" w:tentative="1">
      <w:start w:val="1"/>
      <w:numFmt w:val="bullet"/>
      <w:lvlText w:val=""/>
      <w:lvlJc w:val="left"/>
      <w:pPr>
        <w:tabs>
          <w:tab w:val="num" w:pos="3600"/>
        </w:tabs>
        <w:ind w:left="3600" w:hanging="360"/>
      </w:pPr>
      <w:rPr>
        <w:rFonts w:ascii="Wingdings" w:hAnsi="Wingdings" w:hint="default"/>
        <w:sz w:val="20"/>
      </w:rPr>
    </w:lvl>
    <w:lvl w:ilvl="5" w:tplc="E27EA07E" w:tentative="1">
      <w:start w:val="1"/>
      <w:numFmt w:val="bullet"/>
      <w:lvlText w:val=""/>
      <w:lvlJc w:val="left"/>
      <w:pPr>
        <w:tabs>
          <w:tab w:val="num" w:pos="4320"/>
        </w:tabs>
        <w:ind w:left="4320" w:hanging="360"/>
      </w:pPr>
      <w:rPr>
        <w:rFonts w:ascii="Wingdings" w:hAnsi="Wingdings" w:hint="default"/>
        <w:sz w:val="20"/>
      </w:rPr>
    </w:lvl>
    <w:lvl w:ilvl="6" w:tplc="8EF60C28" w:tentative="1">
      <w:start w:val="1"/>
      <w:numFmt w:val="bullet"/>
      <w:lvlText w:val=""/>
      <w:lvlJc w:val="left"/>
      <w:pPr>
        <w:tabs>
          <w:tab w:val="num" w:pos="5040"/>
        </w:tabs>
        <w:ind w:left="5040" w:hanging="360"/>
      </w:pPr>
      <w:rPr>
        <w:rFonts w:ascii="Wingdings" w:hAnsi="Wingdings" w:hint="default"/>
        <w:sz w:val="20"/>
      </w:rPr>
    </w:lvl>
    <w:lvl w:ilvl="7" w:tplc="A1BC58A0" w:tentative="1">
      <w:start w:val="1"/>
      <w:numFmt w:val="bullet"/>
      <w:lvlText w:val=""/>
      <w:lvlJc w:val="left"/>
      <w:pPr>
        <w:tabs>
          <w:tab w:val="num" w:pos="5760"/>
        </w:tabs>
        <w:ind w:left="5760" w:hanging="360"/>
      </w:pPr>
      <w:rPr>
        <w:rFonts w:ascii="Wingdings" w:hAnsi="Wingdings" w:hint="default"/>
        <w:sz w:val="20"/>
      </w:rPr>
    </w:lvl>
    <w:lvl w:ilvl="8" w:tplc="6FBA9778" w:tentative="1">
      <w:start w:val="1"/>
      <w:numFmt w:val="bullet"/>
      <w:lvlText w:val=""/>
      <w:lvlJc w:val="left"/>
      <w:pPr>
        <w:tabs>
          <w:tab w:val="num" w:pos="6480"/>
        </w:tabs>
        <w:ind w:left="6480" w:hanging="360"/>
      </w:pPr>
      <w:rPr>
        <w:rFonts w:ascii="Wingdings" w:hAnsi="Wingdings" w:hint="default"/>
        <w:sz w:val="20"/>
      </w:rPr>
    </w:lvl>
  </w:abstractNum>
  <w:abstractNum w:abstractNumId="729">
    <w:nsid w:val="6D9D6B52"/>
    <w:multiLevelType w:val="hybridMultilevel"/>
    <w:tmpl w:val="39828678"/>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30">
    <w:nsid w:val="6DF77E25"/>
    <w:multiLevelType w:val="hybridMultilevel"/>
    <w:tmpl w:val="574A2E6C"/>
    <w:lvl w:ilvl="0" w:tplc="5D7CE4C6">
      <w:start w:val="1"/>
      <w:numFmt w:val="decimal"/>
      <w:lvlText w:val="%1."/>
      <w:lvlJc w:val="left"/>
      <w:pPr>
        <w:tabs>
          <w:tab w:val="num" w:pos="720"/>
        </w:tabs>
        <w:ind w:left="720" w:hanging="360"/>
      </w:pPr>
    </w:lvl>
    <w:lvl w:ilvl="1" w:tplc="FCBE87E0" w:tentative="1">
      <w:start w:val="1"/>
      <w:numFmt w:val="decimal"/>
      <w:lvlText w:val="%2."/>
      <w:lvlJc w:val="left"/>
      <w:pPr>
        <w:tabs>
          <w:tab w:val="num" w:pos="1440"/>
        </w:tabs>
        <w:ind w:left="1440" w:hanging="360"/>
      </w:pPr>
    </w:lvl>
    <w:lvl w:ilvl="2" w:tplc="0E24B84E" w:tentative="1">
      <w:start w:val="1"/>
      <w:numFmt w:val="decimal"/>
      <w:lvlText w:val="%3."/>
      <w:lvlJc w:val="left"/>
      <w:pPr>
        <w:tabs>
          <w:tab w:val="num" w:pos="2160"/>
        </w:tabs>
        <w:ind w:left="2160" w:hanging="360"/>
      </w:pPr>
    </w:lvl>
    <w:lvl w:ilvl="3" w:tplc="33861E34" w:tentative="1">
      <w:start w:val="1"/>
      <w:numFmt w:val="decimal"/>
      <w:lvlText w:val="%4."/>
      <w:lvlJc w:val="left"/>
      <w:pPr>
        <w:tabs>
          <w:tab w:val="num" w:pos="2880"/>
        </w:tabs>
        <w:ind w:left="2880" w:hanging="360"/>
      </w:pPr>
    </w:lvl>
    <w:lvl w:ilvl="4" w:tplc="19007F02" w:tentative="1">
      <w:start w:val="1"/>
      <w:numFmt w:val="decimal"/>
      <w:lvlText w:val="%5."/>
      <w:lvlJc w:val="left"/>
      <w:pPr>
        <w:tabs>
          <w:tab w:val="num" w:pos="3600"/>
        </w:tabs>
        <w:ind w:left="3600" w:hanging="360"/>
      </w:pPr>
    </w:lvl>
    <w:lvl w:ilvl="5" w:tplc="0D54A40C" w:tentative="1">
      <w:start w:val="1"/>
      <w:numFmt w:val="decimal"/>
      <w:lvlText w:val="%6."/>
      <w:lvlJc w:val="left"/>
      <w:pPr>
        <w:tabs>
          <w:tab w:val="num" w:pos="4320"/>
        </w:tabs>
        <w:ind w:left="4320" w:hanging="360"/>
      </w:pPr>
    </w:lvl>
    <w:lvl w:ilvl="6" w:tplc="CB922606" w:tentative="1">
      <w:start w:val="1"/>
      <w:numFmt w:val="decimal"/>
      <w:lvlText w:val="%7."/>
      <w:lvlJc w:val="left"/>
      <w:pPr>
        <w:tabs>
          <w:tab w:val="num" w:pos="5040"/>
        </w:tabs>
        <w:ind w:left="5040" w:hanging="360"/>
      </w:pPr>
    </w:lvl>
    <w:lvl w:ilvl="7" w:tplc="36F834B6" w:tentative="1">
      <w:start w:val="1"/>
      <w:numFmt w:val="decimal"/>
      <w:lvlText w:val="%8."/>
      <w:lvlJc w:val="left"/>
      <w:pPr>
        <w:tabs>
          <w:tab w:val="num" w:pos="5760"/>
        </w:tabs>
        <w:ind w:left="5760" w:hanging="360"/>
      </w:pPr>
    </w:lvl>
    <w:lvl w:ilvl="8" w:tplc="74A8D65A" w:tentative="1">
      <w:start w:val="1"/>
      <w:numFmt w:val="decimal"/>
      <w:lvlText w:val="%9."/>
      <w:lvlJc w:val="left"/>
      <w:pPr>
        <w:tabs>
          <w:tab w:val="num" w:pos="6480"/>
        </w:tabs>
        <w:ind w:left="6480" w:hanging="360"/>
      </w:pPr>
    </w:lvl>
  </w:abstractNum>
  <w:abstractNum w:abstractNumId="731">
    <w:nsid w:val="6E433DA6"/>
    <w:multiLevelType w:val="hybridMultilevel"/>
    <w:tmpl w:val="96246B04"/>
    <w:lvl w:ilvl="0" w:tplc="D6A656B6">
      <w:numFmt w:val="bullet"/>
      <w:lvlText w:val="-"/>
      <w:lvlJc w:val="left"/>
      <w:pPr>
        <w:tabs>
          <w:tab w:val="num" w:pos="720"/>
        </w:tabs>
        <w:ind w:left="720" w:hanging="360"/>
      </w:pPr>
      <w:rPr>
        <w:rFonts w:ascii="Times New Roman" w:eastAsia="Times New Roman" w:hAnsi="Times New Roman" w:cs="Times New Roman" w:hint="default"/>
        <w:sz w:val="20"/>
      </w:rPr>
    </w:lvl>
    <w:lvl w:ilvl="1" w:tplc="05B40CE4" w:tentative="1">
      <w:start w:val="1"/>
      <w:numFmt w:val="bullet"/>
      <w:lvlText w:val="o"/>
      <w:lvlJc w:val="left"/>
      <w:pPr>
        <w:tabs>
          <w:tab w:val="num" w:pos="1440"/>
        </w:tabs>
        <w:ind w:left="1440" w:hanging="360"/>
      </w:pPr>
      <w:rPr>
        <w:rFonts w:ascii="Courier New" w:hAnsi="Courier New" w:hint="default"/>
        <w:sz w:val="20"/>
      </w:rPr>
    </w:lvl>
    <w:lvl w:ilvl="2" w:tplc="D36678D6" w:tentative="1">
      <w:start w:val="1"/>
      <w:numFmt w:val="bullet"/>
      <w:lvlText w:val=""/>
      <w:lvlJc w:val="left"/>
      <w:pPr>
        <w:tabs>
          <w:tab w:val="num" w:pos="2160"/>
        </w:tabs>
        <w:ind w:left="2160" w:hanging="360"/>
      </w:pPr>
      <w:rPr>
        <w:rFonts w:ascii="Wingdings" w:hAnsi="Wingdings" w:hint="default"/>
        <w:sz w:val="20"/>
      </w:rPr>
    </w:lvl>
    <w:lvl w:ilvl="3" w:tplc="368CFC90" w:tentative="1">
      <w:start w:val="1"/>
      <w:numFmt w:val="bullet"/>
      <w:lvlText w:val=""/>
      <w:lvlJc w:val="left"/>
      <w:pPr>
        <w:tabs>
          <w:tab w:val="num" w:pos="2880"/>
        </w:tabs>
        <w:ind w:left="2880" w:hanging="360"/>
      </w:pPr>
      <w:rPr>
        <w:rFonts w:ascii="Wingdings" w:hAnsi="Wingdings" w:hint="default"/>
        <w:sz w:val="20"/>
      </w:rPr>
    </w:lvl>
    <w:lvl w:ilvl="4" w:tplc="AC06D5D4" w:tentative="1">
      <w:start w:val="1"/>
      <w:numFmt w:val="bullet"/>
      <w:lvlText w:val=""/>
      <w:lvlJc w:val="left"/>
      <w:pPr>
        <w:tabs>
          <w:tab w:val="num" w:pos="3600"/>
        </w:tabs>
        <w:ind w:left="3600" w:hanging="360"/>
      </w:pPr>
      <w:rPr>
        <w:rFonts w:ascii="Wingdings" w:hAnsi="Wingdings" w:hint="default"/>
        <w:sz w:val="20"/>
      </w:rPr>
    </w:lvl>
    <w:lvl w:ilvl="5" w:tplc="B414D25C" w:tentative="1">
      <w:start w:val="1"/>
      <w:numFmt w:val="bullet"/>
      <w:lvlText w:val=""/>
      <w:lvlJc w:val="left"/>
      <w:pPr>
        <w:tabs>
          <w:tab w:val="num" w:pos="4320"/>
        </w:tabs>
        <w:ind w:left="4320" w:hanging="360"/>
      </w:pPr>
      <w:rPr>
        <w:rFonts w:ascii="Wingdings" w:hAnsi="Wingdings" w:hint="default"/>
        <w:sz w:val="20"/>
      </w:rPr>
    </w:lvl>
    <w:lvl w:ilvl="6" w:tplc="BAAE22C6" w:tentative="1">
      <w:start w:val="1"/>
      <w:numFmt w:val="bullet"/>
      <w:lvlText w:val=""/>
      <w:lvlJc w:val="left"/>
      <w:pPr>
        <w:tabs>
          <w:tab w:val="num" w:pos="5040"/>
        </w:tabs>
        <w:ind w:left="5040" w:hanging="360"/>
      </w:pPr>
      <w:rPr>
        <w:rFonts w:ascii="Wingdings" w:hAnsi="Wingdings" w:hint="default"/>
        <w:sz w:val="20"/>
      </w:rPr>
    </w:lvl>
    <w:lvl w:ilvl="7" w:tplc="5420DD4E" w:tentative="1">
      <w:start w:val="1"/>
      <w:numFmt w:val="bullet"/>
      <w:lvlText w:val=""/>
      <w:lvlJc w:val="left"/>
      <w:pPr>
        <w:tabs>
          <w:tab w:val="num" w:pos="5760"/>
        </w:tabs>
        <w:ind w:left="5760" w:hanging="360"/>
      </w:pPr>
      <w:rPr>
        <w:rFonts w:ascii="Wingdings" w:hAnsi="Wingdings" w:hint="default"/>
        <w:sz w:val="20"/>
      </w:rPr>
    </w:lvl>
    <w:lvl w:ilvl="8" w:tplc="7FD8FC58" w:tentative="1">
      <w:start w:val="1"/>
      <w:numFmt w:val="bullet"/>
      <w:lvlText w:val=""/>
      <w:lvlJc w:val="left"/>
      <w:pPr>
        <w:tabs>
          <w:tab w:val="num" w:pos="6480"/>
        </w:tabs>
        <w:ind w:left="6480" w:hanging="360"/>
      </w:pPr>
      <w:rPr>
        <w:rFonts w:ascii="Wingdings" w:hAnsi="Wingdings" w:hint="default"/>
        <w:sz w:val="20"/>
      </w:rPr>
    </w:lvl>
  </w:abstractNum>
  <w:abstractNum w:abstractNumId="732">
    <w:nsid w:val="6E76075D"/>
    <w:multiLevelType w:val="hybridMultilevel"/>
    <w:tmpl w:val="58BA6988"/>
    <w:lvl w:ilvl="0" w:tplc="04150005">
      <w:start w:val="1"/>
      <w:numFmt w:val="bullet"/>
      <w:lvlText w:val=""/>
      <w:lvlJc w:val="left"/>
      <w:pPr>
        <w:tabs>
          <w:tab w:val="num" w:pos="720"/>
        </w:tabs>
        <w:ind w:left="720" w:hanging="360"/>
      </w:pPr>
      <w:rPr>
        <w:rFonts w:ascii="Wingdings" w:hAnsi="Wingdings" w:hint="default"/>
        <w:sz w:val="20"/>
      </w:rPr>
    </w:lvl>
    <w:lvl w:ilvl="1" w:tplc="72F49984" w:tentative="1">
      <w:start w:val="1"/>
      <w:numFmt w:val="bullet"/>
      <w:lvlText w:val="o"/>
      <w:lvlJc w:val="left"/>
      <w:pPr>
        <w:tabs>
          <w:tab w:val="num" w:pos="1440"/>
        </w:tabs>
        <w:ind w:left="1440" w:hanging="360"/>
      </w:pPr>
      <w:rPr>
        <w:rFonts w:ascii="Courier New" w:hAnsi="Courier New" w:hint="default"/>
        <w:sz w:val="20"/>
      </w:rPr>
    </w:lvl>
    <w:lvl w:ilvl="2" w:tplc="C28C2F02" w:tentative="1">
      <w:start w:val="1"/>
      <w:numFmt w:val="bullet"/>
      <w:lvlText w:val=""/>
      <w:lvlJc w:val="left"/>
      <w:pPr>
        <w:tabs>
          <w:tab w:val="num" w:pos="2160"/>
        </w:tabs>
        <w:ind w:left="2160" w:hanging="360"/>
      </w:pPr>
      <w:rPr>
        <w:rFonts w:ascii="Wingdings" w:hAnsi="Wingdings" w:hint="default"/>
        <w:sz w:val="20"/>
      </w:rPr>
    </w:lvl>
    <w:lvl w:ilvl="3" w:tplc="B7B8A9CA" w:tentative="1">
      <w:start w:val="1"/>
      <w:numFmt w:val="bullet"/>
      <w:lvlText w:val=""/>
      <w:lvlJc w:val="left"/>
      <w:pPr>
        <w:tabs>
          <w:tab w:val="num" w:pos="2880"/>
        </w:tabs>
        <w:ind w:left="2880" w:hanging="360"/>
      </w:pPr>
      <w:rPr>
        <w:rFonts w:ascii="Wingdings" w:hAnsi="Wingdings" w:hint="default"/>
        <w:sz w:val="20"/>
      </w:rPr>
    </w:lvl>
    <w:lvl w:ilvl="4" w:tplc="20167706" w:tentative="1">
      <w:start w:val="1"/>
      <w:numFmt w:val="bullet"/>
      <w:lvlText w:val=""/>
      <w:lvlJc w:val="left"/>
      <w:pPr>
        <w:tabs>
          <w:tab w:val="num" w:pos="3600"/>
        </w:tabs>
        <w:ind w:left="3600" w:hanging="360"/>
      </w:pPr>
      <w:rPr>
        <w:rFonts w:ascii="Wingdings" w:hAnsi="Wingdings" w:hint="default"/>
        <w:sz w:val="20"/>
      </w:rPr>
    </w:lvl>
    <w:lvl w:ilvl="5" w:tplc="A3F2180E" w:tentative="1">
      <w:start w:val="1"/>
      <w:numFmt w:val="bullet"/>
      <w:lvlText w:val=""/>
      <w:lvlJc w:val="left"/>
      <w:pPr>
        <w:tabs>
          <w:tab w:val="num" w:pos="4320"/>
        </w:tabs>
        <w:ind w:left="4320" w:hanging="360"/>
      </w:pPr>
      <w:rPr>
        <w:rFonts w:ascii="Wingdings" w:hAnsi="Wingdings" w:hint="default"/>
        <w:sz w:val="20"/>
      </w:rPr>
    </w:lvl>
    <w:lvl w:ilvl="6" w:tplc="2BD88AB6" w:tentative="1">
      <w:start w:val="1"/>
      <w:numFmt w:val="bullet"/>
      <w:lvlText w:val=""/>
      <w:lvlJc w:val="left"/>
      <w:pPr>
        <w:tabs>
          <w:tab w:val="num" w:pos="5040"/>
        </w:tabs>
        <w:ind w:left="5040" w:hanging="360"/>
      </w:pPr>
      <w:rPr>
        <w:rFonts w:ascii="Wingdings" w:hAnsi="Wingdings" w:hint="default"/>
        <w:sz w:val="20"/>
      </w:rPr>
    </w:lvl>
    <w:lvl w:ilvl="7" w:tplc="0A328A96" w:tentative="1">
      <w:start w:val="1"/>
      <w:numFmt w:val="bullet"/>
      <w:lvlText w:val=""/>
      <w:lvlJc w:val="left"/>
      <w:pPr>
        <w:tabs>
          <w:tab w:val="num" w:pos="5760"/>
        </w:tabs>
        <w:ind w:left="5760" w:hanging="360"/>
      </w:pPr>
      <w:rPr>
        <w:rFonts w:ascii="Wingdings" w:hAnsi="Wingdings" w:hint="default"/>
        <w:sz w:val="20"/>
      </w:rPr>
    </w:lvl>
    <w:lvl w:ilvl="8" w:tplc="38986E74" w:tentative="1">
      <w:start w:val="1"/>
      <w:numFmt w:val="bullet"/>
      <w:lvlText w:val=""/>
      <w:lvlJc w:val="left"/>
      <w:pPr>
        <w:tabs>
          <w:tab w:val="num" w:pos="6480"/>
        </w:tabs>
        <w:ind w:left="6480" w:hanging="360"/>
      </w:pPr>
      <w:rPr>
        <w:rFonts w:ascii="Wingdings" w:hAnsi="Wingdings" w:hint="default"/>
        <w:sz w:val="20"/>
      </w:rPr>
    </w:lvl>
  </w:abstractNum>
  <w:abstractNum w:abstractNumId="733">
    <w:nsid w:val="6EAB75BF"/>
    <w:multiLevelType w:val="multilevel"/>
    <w:tmpl w:val="3D1E1B4A"/>
    <w:lvl w:ilvl="0">
      <w:start w:val="1"/>
      <w:numFmt w:val="decimal"/>
      <w:lvlText w:val="%1."/>
      <w:lvlJc w:val="left"/>
      <w:pPr>
        <w:tabs>
          <w:tab w:val="num" w:pos="795"/>
        </w:tabs>
        <w:ind w:left="795" w:hanging="435"/>
      </w:pPr>
      <w:rPr>
        <w:rFonts w:hint="default"/>
      </w:rPr>
    </w:lvl>
    <w:lvl w:ilvl="1">
      <w:start w:val="7"/>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34">
    <w:nsid w:val="6EB7286C"/>
    <w:multiLevelType w:val="hybridMultilevel"/>
    <w:tmpl w:val="9E4EBE48"/>
    <w:lvl w:ilvl="0" w:tplc="D6A656B6">
      <w:numFmt w:val="bullet"/>
      <w:lvlText w:val="-"/>
      <w:lvlJc w:val="left"/>
      <w:pPr>
        <w:tabs>
          <w:tab w:val="num" w:pos="720"/>
        </w:tabs>
        <w:ind w:left="720" w:hanging="360"/>
      </w:pPr>
      <w:rPr>
        <w:rFonts w:ascii="Times New Roman" w:eastAsia="Times New Roman" w:hAnsi="Times New Roman" w:cs="Times New Roman" w:hint="default"/>
        <w:sz w:val="20"/>
      </w:rPr>
    </w:lvl>
    <w:lvl w:ilvl="1" w:tplc="93BCFFCC" w:tentative="1">
      <w:start w:val="1"/>
      <w:numFmt w:val="bullet"/>
      <w:lvlText w:val="o"/>
      <w:lvlJc w:val="left"/>
      <w:pPr>
        <w:tabs>
          <w:tab w:val="num" w:pos="1440"/>
        </w:tabs>
        <w:ind w:left="1440" w:hanging="360"/>
      </w:pPr>
      <w:rPr>
        <w:rFonts w:ascii="Courier New" w:hAnsi="Courier New" w:hint="default"/>
        <w:sz w:val="20"/>
      </w:rPr>
    </w:lvl>
    <w:lvl w:ilvl="2" w:tplc="FA763650" w:tentative="1">
      <w:start w:val="1"/>
      <w:numFmt w:val="bullet"/>
      <w:lvlText w:val=""/>
      <w:lvlJc w:val="left"/>
      <w:pPr>
        <w:tabs>
          <w:tab w:val="num" w:pos="2160"/>
        </w:tabs>
        <w:ind w:left="2160" w:hanging="360"/>
      </w:pPr>
      <w:rPr>
        <w:rFonts w:ascii="Wingdings" w:hAnsi="Wingdings" w:hint="default"/>
        <w:sz w:val="20"/>
      </w:rPr>
    </w:lvl>
    <w:lvl w:ilvl="3" w:tplc="EFB8F828" w:tentative="1">
      <w:start w:val="1"/>
      <w:numFmt w:val="bullet"/>
      <w:lvlText w:val=""/>
      <w:lvlJc w:val="left"/>
      <w:pPr>
        <w:tabs>
          <w:tab w:val="num" w:pos="2880"/>
        </w:tabs>
        <w:ind w:left="2880" w:hanging="360"/>
      </w:pPr>
      <w:rPr>
        <w:rFonts w:ascii="Wingdings" w:hAnsi="Wingdings" w:hint="default"/>
        <w:sz w:val="20"/>
      </w:rPr>
    </w:lvl>
    <w:lvl w:ilvl="4" w:tplc="CCCE7876" w:tentative="1">
      <w:start w:val="1"/>
      <w:numFmt w:val="bullet"/>
      <w:lvlText w:val=""/>
      <w:lvlJc w:val="left"/>
      <w:pPr>
        <w:tabs>
          <w:tab w:val="num" w:pos="3600"/>
        </w:tabs>
        <w:ind w:left="3600" w:hanging="360"/>
      </w:pPr>
      <w:rPr>
        <w:rFonts w:ascii="Wingdings" w:hAnsi="Wingdings" w:hint="default"/>
        <w:sz w:val="20"/>
      </w:rPr>
    </w:lvl>
    <w:lvl w:ilvl="5" w:tplc="E29C1784" w:tentative="1">
      <w:start w:val="1"/>
      <w:numFmt w:val="bullet"/>
      <w:lvlText w:val=""/>
      <w:lvlJc w:val="left"/>
      <w:pPr>
        <w:tabs>
          <w:tab w:val="num" w:pos="4320"/>
        </w:tabs>
        <w:ind w:left="4320" w:hanging="360"/>
      </w:pPr>
      <w:rPr>
        <w:rFonts w:ascii="Wingdings" w:hAnsi="Wingdings" w:hint="default"/>
        <w:sz w:val="20"/>
      </w:rPr>
    </w:lvl>
    <w:lvl w:ilvl="6" w:tplc="6A8278D6" w:tentative="1">
      <w:start w:val="1"/>
      <w:numFmt w:val="bullet"/>
      <w:lvlText w:val=""/>
      <w:lvlJc w:val="left"/>
      <w:pPr>
        <w:tabs>
          <w:tab w:val="num" w:pos="5040"/>
        </w:tabs>
        <w:ind w:left="5040" w:hanging="360"/>
      </w:pPr>
      <w:rPr>
        <w:rFonts w:ascii="Wingdings" w:hAnsi="Wingdings" w:hint="default"/>
        <w:sz w:val="20"/>
      </w:rPr>
    </w:lvl>
    <w:lvl w:ilvl="7" w:tplc="26DC0C22" w:tentative="1">
      <w:start w:val="1"/>
      <w:numFmt w:val="bullet"/>
      <w:lvlText w:val=""/>
      <w:lvlJc w:val="left"/>
      <w:pPr>
        <w:tabs>
          <w:tab w:val="num" w:pos="5760"/>
        </w:tabs>
        <w:ind w:left="5760" w:hanging="360"/>
      </w:pPr>
      <w:rPr>
        <w:rFonts w:ascii="Wingdings" w:hAnsi="Wingdings" w:hint="default"/>
        <w:sz w:val="20"/>
      </w:rPr>
    </w:lvl>
    <w:lvl w:ilvl="8" w:tplc="CD34C328" w:tentative="1">
      <w:start w:val="1"/>
      <w:numFmt w:val="bullet"/>
      <w:lvlText w:val=""/>
      <w:lvlJc w:val="left"/>
      <w:pPr>
        <w:tabs>
          <w:tab w:val="num" w:pos="6480"/>
        </w:tabs>
        <w:ind w:left="6480" w:hanging="360"/>
      </w:pPr>
      <w:rPr>
        <w:rFonts w:ascii="Wingdings" w:hAnsi="Wingdings" w:hint="default"/>
        <w:sz w:val="20"/>
      </w:rPr>
    </w:lvl>
  </w:abstractNum>
  <w:abstractNum w:abstractNumId="735">
    <w:nsid w:val="6EC2512A"/>
    <w:multiLevelType w:val="hybridMultilevel"/>
    <w:tmpl w:val="E1983F46"/>
    <w:lvl w:ilvl="0" w:tplc="D674CE08">
      <w:start w:val="1"/>
      <w:numFmt w:val="bullet"/>
      <w:lvlText w:val=""/>
      <w:lvlJc w:val="left"/>
      <w:pPr>
        <w:tabs>
          <w:tab w:val="num" w:pos="720"/>
        </w:tabs>
        <w:ind w:left="720" w:hanging="360"/>
      </w:pPr>
      <w:rPr>
        <w:rFonts w:ascii="Symbol" w:hAnsi="Symbol" w:hint="default"/>
        <w:sz w:val="20"/>
      </w:rPr>
    </w:lvl>
    <w:lvl w:ilvl="1" w:tplc="A49C6596" w:tentative="1">
      <w:start w:val="1"/>
      <w:numFmt w:val="bullet"/>
      <w:lvlText w:val="o"/>
      <w:lvlJc w:val="left"/>
      <w:pPr>
        <w:tabs>
          <w:tab w:val="num" w:pos="1440"/>
        </w:tabs>
        <w:ind w:left="1440" w:hanging="360"/>
      </w:pPr>
      <w:rPr>
        <w:rFonts w:ascii="Courier New" w:hAnsi="Courier New" w:hint="default"/>
        <w:sz w:val="20"/>
      </w:rPr>
    </w:lvl>
    <w:lvl w:ilvl="2" w:tplc="98E28200" w:tentative="1">
      <w:start w:val="1"/>
      <w:numFmt w:val="bullet"/>
      <w:lvlText w:val=""/>
      <w:lvlJc w:val="left"/>
      <w:pPr>
        <w:tabs>
          <w:tab w:val="num" w:pos="2160"/>
        </w:tabs>
        <w:ind w:left="2160" w:hanging="360"/>
      </w:pPr>
      <w:rPr>
        <w:rFonts w:ascii="Wingdings" w:hAnsi="Wingdings" w:hint="default"/>
        <w:sz w:val="20"/>
      </w:rPr>
    </w:lvl>
    <w:lvl w:ilvl="3" w:tplc="D2942638" w:tentative="1">
      <w:start w:val="1"/>
      <w:numFmt w:val="bullet"/>
      <w:lvlText w:val=""/>
      <w:lvlJc w:val="left"/>
      <w:pPr>
        <w:tabs>
          <w:tab w:val="num" w:pos="2880"/>
        </w:tabs>
        <w:ind w:left="2880" w:hanging="360"/>
      </w:pPr>
      <w:rPr>
        <w:rFonts w:ascii="Wingdings" w:hAnsi="Wingdings" w:hint="default"/>
        <w:sz w:val="20"/>
      </w:rPr>
    </w:lvl>
    <w:lvl w:ilvl="4" w:tplc="7A6E6D92" w:tentative="1">
      <w:start w:val="1"/>
      <w:numFmt w:val="bullet"/>
      <w:lvlText w:val=""/>
      <w:lvlJc w:val="left"/>
      <w:pPr>
        <w:tabs>
          <w:tab w:val="num" w:pos="3600"/>
        </w:tabs>
        <w:ind w:left="3600" w:hanging="360"/>
      </w:pPr>
      <w:rPr>
        <w:rFonts w:ascii="Wingdings" w:hAnsi="Wingdings" w:hint="default"/>
        <w:sz w:val="20"/>
      </w:rPr>
    </w:lvl>
    <w:lvl w:ilvl="5" w:tplc="0FE40EC8" w:tentative="1">
      <w:start w:val="1"/>
      <w:numFmt w:val="bullet"/>
      <w:lvlText w:val=""/>
      <w:lvlJc w:val="left"/>
      <w:pPr>
        <w:tabs>
          <w:tab w:val="num" w:pos="4320"/>
        </w:tabs>
        <w:ind w:left="4320" w:hanging="360"/>
      </w:pPr>
      <w:rPr>
        <w:rFonts w:ascii="Wingdings" w:hAnsi="Wingdings" w:hint="default"/>
        <w:sz w:val="20"/>
      </w:rPr>
    </w:lvl>
    <w:lvl w:ilvl="6" w:tplc="6A603EF2" w:tentative="1">
      <w:start w:val="1"/>
      <w:numFmt w:val="bullet"/>
      <w:lvlText w:val=""/>
      <w:lvlJc w:val="left"/>
      <w:pPr>
        <w:tabs>
          <w:tab w:val="num" w:pos="5040"/>
        </w:tabs>
        <w:ind w:left="5040" w:hanging="360"/>
      </w:pPr>
      <w:rPr>
        <w:rFonts w:ascii="Wingdings" w:hAnsi="Wingdings" w:hint="default"/>
        <w:sz w:val="20"/>
      </w:rPr>
    </w:lvl>
    <w:lvl w:ilvl="7" w:tplc="440034FA" w:tentative="1">
      <w:start w:val="1"/>
      <w:numFmt w:val="bullet"/>
      <w:lvlText w:val=""/>
      <w:lvlJc w:val="left"/>
      <w:pPr>
        <w:tabs>
          <w:tab w:val="num" w:pos="5760"/>
        </w:tabs>
        <w:ind w:left="5760" w:hanging="360"/>
      </w:pPr>
      <w:rPr>
        <w:rFonts w:ascii="Wingdings" w:hAnsi="Wingdings" w:hint="default"/>
        <w:sz w:val="20"/>
      </w:rPr>
    </w:lvl>
    <w:lvl w:ilvl="8" w:tplc="CF9C344A" w:tentative="1">
      <w:start w:val="1"/>
      <w:numFmt w:val="bullet"/>
      <w:lvlText w:val=""/>
      <w:lvlJc w:val="left"/>
      <w:pPr>
        <w:tabs>
          <w:tab w:val="num" w:pos="6480"/>
        </w:tabs>
        <w:ind w:left="6480" w:hanging="360"/>
      </w:pPr>
      <w:rPr>
        <w:rFonts w:ascii="Wingdings" w:hAnsi="Wingdings" w:hint="default"/>
        <w:sz w:val="20"/>
      </w:rPr>
    </w:lvl>
  </w:abstractNum>
  <w:abstractNum w:abstractNumId="736">
    <w:nsid w:val="6EC83A42"/>
    <w:multiLevelType w:val="hybridMultilevel"/>
    <w:tmpl w:val="7158A78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7">
    <w:nsid w:val="6FC1053B"/>
    <w:multiLevelType w:val="hybridMultilevel"/>
    <w:tmpl w:val="A0DA3F38"/>
    <w:lvl w:ilvl="0" w:tplc="04150005">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38">
    <w:nsid w:val="6FEE56EC"/>
    <w:multiLevelType w:val="hybridMultilevel"/>
    <w:tmpl w:val="C912537C"/>
    <w:lvl w:ilvl="0" w:tplc="3BA23654">
      <w:start w:val="1"/>
      <w:numFmt w:val="bullet"/>
      <w:lvlText w:val="-"/>
      <w:lvlJc w:val="left"/>
      <w:pPr>
        <w:ind w:left="720" w:hanging="360"/>
      </w:pPr>
      <w:rPr>
        <w:rFonts w:ascii="Verdana" w:hAnsi="Verdana"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39">
    <w:nsid w:val="701E049E"/>
    <w:multiLevelType w:val="hybridMultilevel"/>
    <w:tmpl w:val="1004B04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40">
    <w:nsid w:val="70205D58"/>
    <w:multiLevelType w:val="hybridMultilevel"/>
    <w:tmpl w:val="7FF8C886"/>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41">
    <w:nsid w:val="70442245"/>
    <w:multiLevelType w:val="hybridMultilevel"/>
    <w:tmpl w:val="A11E876E"/>
    <w:lvl w:ilvl="0" w:tplc="3BA23654">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42">
    <w:nsid w:val="704B49C1"/>
    <w:multiLevelType w:val="hybridMultilevel"/>
    <w:tmpl w:val="5560B276"/>
    <w:lvl w:ilvl="0" w:tplc="4E0CA828">
      <w:start w:val="1"/>
      <w:numFmt w:val="decimal"/>
      <w:lvlText w:val="C+.%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43">
    <w:nsid w:val="707452A3"/>
    <w:multiLevelType w:val="hybridMultilevel"/>
    <w:tmpl w:val="6A20DF80"/>
    <w:lvl w:ilvl="0" w:tplc="04150005">
      <w:start w:val="1"/>
      <w:numFmt w:val="bullet"/>
      <w:lvlText w:val=""/>
      <w:lvlJc w:val="left"/>
      <w:pPr>
        <w:tabs>
          <w:tab w:val="num" w:pos="720"/>
        </w:tabs>
        <w:ind w:left="720" w:hanging="360"/>
      </w:pPr>
      <w:rPr>
        <w:rFonts w:ascii="Wingdings" w:hAnsi="Wingdings" w:hint="default"/>
        <w:sz w:val="20"/>
      </w:rPr>
    </w:lvl>
    <w:lvl w:ilvl="1" w:tplc="4BD8FF18" w:tentative="1">
      <w:start w:val="1"/>
      <w:numFmt w:val="bullet"/>
      <w:lvlText w:val="o"/>
      <w:lvlJc w:val="left"/>
      <w:pPr>
        <w:tabs>
          <w:tab w:val="num" w:pos="1440"/>
        </w:tabs>
        <w:ind w:left="1440" w:hanging="360"/>
      </w:pPr>
      <w:rPr>
        <w:rFonts w:ascii="Courier New" w:hAnsi="Courier New" w:hint="default"/>
        <w:sz w:val="20"/>
      </w:rPr>
    </w:lvl>
    <w:lvl w:ilvl="2" w:tplc="D72AE452" w:tentative="1">
      <w:start w:val="1"/>
      <w:numFmt w:val="bullet"/>
      <w:lvlText w:val=""/>
      <w:lvlJc w:val="left"/>
      <w:pPr>
        <w:tabs>
          <w:tab w:val="num" w:pos="2160"/>
        </w:tabs>
        <w:ind w:left="2160" w:hanging="360"/>
      </w:pPr>
      <w:rPr>
        <w:rFonts w:ascii="Wingdings" w:hAnsi="Wingdings" w:hint="default"/>
        <w:sz w:val="20"/>
      </w:rPr>
    </w:lvl>
    <w:lvl w:ilvl="3" w:tplc="D12AD9EC" w:tentative="1">
      <w:start w:val="1"/>
      <w:numFmt w:val="bullet"/>
      <w:lvlText w:val=""/>
      <w:lvlJc w:val="left"/>
      <w:pPr>
        <w:tabs>
          <w:tab w:val="num" w:pos="2880"/>
        </w:tabs>
        <w:ind w:left="2880" w:hanging="360"/>
      </w:pPr>
      <w:rPr>
        <w:rFonts w:ascii="Wingdings" w:hAnsi="Wingdings" w:hint="default"/>
        <w:sz w:val="20"/>
      </w:rPr>
    </w:lvl>
    <w:lvl w:ilvl="4" w:tplc="BDE0B912" w:tentative="1">
      <w:start w:val="1"/>
      <w:numFmt w:val="bullet"/>
      <w:lvlText w:val=""/>
      <w:lvlJc w:val="left"/>
      <w:pPr>
        <w:tabs>
          <w:tab w:val="num" w:pos="3600"/>
        </w:tabs>
        <w:ind w:left="3600" w:hanging="360"/>
      </w:pPr>
      <w:rPr>
        <w:rFonts w:ascii="Wingdings" w:hAnsi="Wingdings" w:hint="default"/>
        <w:sz w:val="20"/>
      </w:rPr>
    </w:lvl>
    <w:lvl w:ilvl="5" w:tplc="625CC8F8" w:tentative="1">
      <w:start w:val="1"/>
      <w:numFmt w:val="bullet"/>
      <w:lvlText w:val=""/>
      <w:lvlJc w:val="left"/>
      <w:pPr>
        <w:tabs>
          <w:tab w:val="num" w:pos="4320"/>
        </w:tabs>
        <w:ind w:left="4320" w:hanging="360"/>
      </w:pPr>
      <w:rPr>
        <w:rFonts w:ascii="Wingdings" w:hAnsi="Wingdings" w:hint="default"/>
        <w:sz w:val="20"/>
      </w:rPr>
    </w:lvl>
    <w:lvl w:ilvl="6" w:tplc="46C67546" w:tentative="1">
      <w:start w:val="1"/>
      <w:numFmt w:val="bullet"/>
      <w:lvlText w:val=""/>
      <w:lvlJc w:val="left"/>
      <w:pPr>
        <w:tabs>
          <w:tab w:val="num" w:pos="5040"/>
        </w:tabs>
        <w:ind w:left="5040" w:hanging="360"/>
      </w:pPr>
      <w:rPr>
        <w:rFonts w:ascii="Wingdings" w:hAnsi="Wingdings" w:hint="default"/>
        <w:sz w:val="20"/>
      </w:rPr>
    </w:lvl>
    <w:lvl w:ilvl="7" w:tplc="A20AF5BC" w:tentative="1">
      <w:start w:val="1"/>
      <w:numFmt w:val="bullet"/>
      <w:lvlText w:val=""/>
      <w:lvlJc w:val="left"/>
      <w:pPr>
        <w:tabs>
          <w:tab w:val="num" w:pos="5760"/>
        </w:tabs>
        <w:ind w:left="5760" w:hanging="360"/>
      </w:pPr>
      <w:rPr>
        <w:rFonts w:ascii="Wingdings" w:hAnsi="Wingdings" w:hint="default"/>
        <w:sz w:val="20"/>
      </w:rPr>
    </w:lvl>
    <w:lvl w:ilvl="8" w:tplc="E3466EE8" w:tentative="1">
      <w:start w:val="1"/>
      <w:numFmt w:val="bullet"/>
      <w:lvlText w:val=""/>
      <w:lvlJc w:val="left"/>
      <w:pPr>
        <w:tabs>
          <w:tab w:val="num" w:pos="6480"/>
        </w:tabs>
        <w:ind w:left="6480" w:hanging="360"/>
      </w:pPr>
      <w:rPr>
        <w:rFonts w:ascii="Wingdings" w:hAnsi="Wingdings" w:hint="default"/>
        <w:sz w:val="20"/>
      </w:rPr>
    </w:lvl>
  </w:abstractNum>
  <w:abstractNum w:abstractNumId="744">
    <w:nsid w:val="7097209B"/>
    <w:multiLevelType w:val="hybridMultilevel"/>
    <w:tmpl w:val="3EE41BFA"/>
    <w:lvl w:ilvl="0" w:tplc="CC28BDEC">
      <w:start w:val="1"/>
      <w:numFmt w:val="bullet"/>
      <w:lvlText w:val=""/>
      <w:lvlJc w:val="left"/>
      <w:pPr>
        <w:tabs>
          <w:tab w:val="num" w:pos="720"/>
        </w:tabs>
        <w:ind w:left="720" w:hanging="360"/>
      </w:pPr>
      <w:rPr>
        <w:rFonts w:ascii="Symbol" w:hAnsi="Symbol" w:hint="default"/>
        <w:sz w:val="20"/>
      </w:rPr>
    </w:lvl>
    <w:lvl w:ilvl="1" w:tplc="AAB8DCD4" w:tentative="1">
      <w:start w:val="1"/>
      <w:numFmt w:val="bullet"/>
      <w:lvlText w:val="o"/>
      <w:lvlJc w:val="left"/>
      <w:pPr>
        <w:tabs>
          <w:tab w:val="num" w:pos="1440"/>
        </w:tabs>
        <w:ind w:left="1440" w:hanging="360"/>
      </w:pPr>
      <w:rPr>
        <w:rFonts w:ascii="Courier New" w:hAnsi="Courier New" w:hint="default"/>
        <w:sz w:val="20"/>
      </w:rPr>
    </w:lvl>
    <w:lvl w:ilvl="2" w:tplc="65700EDC" w:tentative="1">
      <w:start w:val="1"/>
      <w:numFmt w:val="bullet"/>
      <w:lvlText w:val=""/>
      <w:lvlJc w:val="left"/>
      <w:pPr>
        <w:tabs>
          <w:tab w:val="num" w:pos="2160"/>
        </w:tabs>
        <w:ind w:left="2160" w:hanging="360"/>
      </w:pPr>
      <w:rPr>
        <w:rFonts w:ascii="Wingdings" w:hAnsi="Wingdings" w:hint="default"/>
        <w:sz w:val="20"/>
      </w:rPr>
    </w:lvl>
    <w:lvl w:ilvl="3" w:tplc="72860F4A" w:tentative="1">
      <w:start w:val="1"/>
      <w:numFmt w:val="bullet"/>
      <w:lvlText w:val=""/>
      <w:lvlJc w:val="left"/>
      <w:pPr>
        <w:tabs>
          <w:tab w:val="num" w:pos="2880"/>
        </w:tabs>
        <w:ind w:left="2880" w:hanging="360"/>
      </w:pPr>
      <w:rPr>
        <w:rFonts w:ascii="Wingdings" w:hAnsi="Wingdings" w:hint="default"/>
        <w:sz w:val="20"/>
      </w:rPr>
    </w:lvl>
    <w:lvl w:ilvl="4" w:tplc="D91EF4C2" w:tentative="1">
      <w:start w:val="1"/>
      <w:numFmt w:val="bullet"/>
      <w:lvlText w:val=""/>
      <w:lvlJc w:val="left"/>
      <w:pPr>
        <w:tabs>
          <w:tab w:val="num" w:pos="3600"/>
        </w:tabs>
        <w:ind w:left="3600" w:hanging="360"/>
      </w:pPr>
      <w:rPr>
        <w:rFonts w:ascii="Wingdings" w:hAnsi="Wingdings" w:hint="default"/>
        <w:sz w:val="20"/>
      </w:rPr>
    </w:lvl>
    <w:lvl w:ilvl="5" w:tplc="5106A63E" w:tentative="1">
      <w:start w:val="1"/>
      <w:numFmt w:val="bullet"/>
      <w:lvlText w:val=""/>
      <w:lvlJc w:val="left"/>
      <w:pPr>
        <w:tabs>
          <w:tab w:val="num" w:pos="4320"/>
        </w:tabs>
        <w:ind w:left="4320" w:hanging="360"/>
      </w:pPr>
      <w:rPr>
        <w:rFonts w:ascii="Wingdings" w:hAnsi="Wingdings" w:hint="default"/>
        <w:sz w:val="20"/>
      </w:rPr>
    </w:lvl>
    <w:lvl w:ilvl="6" w:tplc="223C9E92" w:tentative="1">
      <w:start w:val="1"/>
      <w:numFmt w:val="bullet"/>
      <w:lvlText w:val=""/>
      <w:lvlJc w:val="left"/>
      <w:pPr>
        <w:tabs>
          <w:tab w:val="num" w:pos="5040"/>
        </w:tabs>
        <w:ind w:left="5040" w:hanging="360"/>
      </w:pPr>
      <w:rPr>
        <w:rFonts w:ascii="Wingdings" w:hAnsi="Wingdings" w:hint="default"/>
        <w:sz w:val="20"/>
      </w:rPr>
    </w:lvl>
    <w:lvl w:ilvl="7" w:tplc="CAB04BFE" w:tentative="1">
      <w:start w:val="1"/>
      <w:numFmt w:val="bullet"/>
      <w:lvlText w:val=""/>
      <w:lvlJc w:val="left"/>
      <w:pPr>
        <w:tabs>
          <w:tab w:val="num" w:pos="5760"/>
        </w:tabs>
        <w:ind w:left="5760" w:hanging="360"/>
      </w:pPr>
      <w:rPr>
        <w:rFonts w:ascii="Wingdings" w:hAnsi="Wingdings" w:hint="default"/>
        <w:sz w:val="20"/>
      </w:rPr>
    </w:lvl>
    <w:lvl w:ilvl="8" w:tplc="B4EA0AD4" w:tentative="1">
      <w:start w:val="1"/>
      <w:numFmt w:val="bullet"/>
      <w:lvlText w:val=""/>
      <w:lvlJc w:val="left"/>
      <w:pPr>
        <w:tabs>
          <w:tab w:val="num" w:pos="6480"/>
        </w:tabs>
        <w:ind w:left="6480" w:hanging="360"/>
      </w:pPr>
      <w:rPr>
        <w:rFonts w:ascii="Wingdings" w:hAnsi="Wingdings" w:hint="default"/>
        <w:sz w:val="20"/>
      </w:rPr>
    </w:lvl>
  </w:abstractNum>
  <w:abstractNum w:abstractNumId="745">
    <w:nsid w:val="713C49AD"/>
    <w:multiLevelType w:val="hybridMultilevel"/>
    <w:tmpl w:val="770A2568"/>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46">
    <w:nsid w:val="7144048B"/>
    <w:multiLevelType w:val="hybridMultilevel"/>
    <w:tmpl w:val="F3BE78A2"/>
    <w:lvl w:ilvl="0" w:tplc="D6A656B6">
      <w:numFmt w:val="bullet"/>
      <w:lvlText w:val="-"/>
      <w:lvlJc w:val="left"/>
      <w:pPr>
        <w:ind w:left="1440" w:hanging="360"/>
      </w:pPr>
      <w:rPr>
        <w:rFonts w:ascii="Times New Roman" w:eastAsia="Times New Roman" w:hAnsi="Times New Roman"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47">
    <w:nsid w:val="717B4A99"/>
    <w:multiLevelType w:val="multilevel"/>
    <w:tmpl w:val="1046BCC0"/>
    <w:lvl w:ilvl="0">
      <w:start w:val="3"/>
      <w:numFmt w:val="decimal"/>
      <w:lvlText w:val="%1."/>
      <w:lvlJc w:val="left"/>
      <w:pPr>
        <w:ind w:left="630" w:hanging="63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48">
    <w:nsid w:val="724F04C2"/>
    <w:multiLevelType w:val="hybridMultilevel"/>
    <w:tmpl w:val="5B949E06"/>
    <w:lvl w:ilvl="0" w:tplc="51DA8D30">
      <w:start w:val="1"/>
      <w:numFmt w:val="decimal"/>
      <w:lvlText w:val="C2.%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9">
    <w:nsid w:val="725575C9"/>
    <w:multiLevelType w:val="hybridMultilevel"/>
    <w:tmpl w:val="D49039E8"/>
    <w:lvl w:ilvl="0" w:tplc="EDF2182E">
      <w:start w:val="1"/>
      <w:numFmt w:val="bullet"/>
      <w:lvlText w:val=""/>
      <w:lvlJc w:val="left"/>
      <w:pPr>
        <w:tabs>
          <w:tab w:val="num" w:pos="720"/>
        </w:tabs>
        <w:ind w:left="720" w:hanging="360"/>
      </w:pPr>
      <w:rPr>
        <w:rFonts w:ascii="Symbol" w:hAnsi="Symbol" w:hint="default"/>
        <w:sz w:val="20"/>
      </w:rPr>
    </w:lvl>
    <w:lvl w:ilvl="1" w:tplc="1D5CB63E" w:tentative="1">
      <w:start w:val="1"/>
      <w:numFmt w:val="bullet"/>
      <w:lvlText w:val="o"/>
      <w:lvlJc w:val="left"/>
      <w:pPr>
        <w:tabs>
          <w:tab w:val="num" w:pos="1440"/>
        </w:tabs>
        <w:ind w:left="1440" w:hanging="360"/>
      </w:pPr>
      <w:rPr>
        <w:rFonts w:ascii="Courier New" w:hAnsi="Courier New" w:hint="default"/>
        <w:sz w:val="20"/>
      </w:rPr>
    </w:lvl>
    <w:lvl w:ilvl="2" w:tplc="E2AC5E1E" w:tentative="1">
      <w:start w:val="1"/>
      <w:numFmt w:val="bullet"/>
      <w:lvlText w:val=""/>
      <w:lvlJc w:val="left"/>
      <w:pPr>
        <w:tabs>
          <w:tab w:val="num" w:pos="2160"/>
        </w:tabs>
        <w:ind w:left="2160" w:hanging="360"/>
      </w:pPr>
      <w:rPr>
        <w:rFonts w:ascii="Wingdings" w:hAnsi="Wingdings" w:hint="default"/>
        <w:sz w:val="20"/>
      </w:rPr>
    </w:lvl>
    <w:lvl w:ilvl="3" w:tplc="2E329C6A" w:tentative="1">
      <w:start w:val="1"/>
      <w:numFmt w:val="bullet"/>
      <w:lvlText w:val=""/>
      <w:lvlJc w:val="left"/>
      <w:pPr>
        <w:tabs>
          <w:tab w:val="num" w:pos="2880"/>
        </w:tabs>
        <w:ind w:left="2880" w:hanging="360"/>
      </w:pPr>
      <w:rPr>
        <w:rFonts w:ascii="Wingdings" w:hAnsi="Wingdings" w:hint="default"/>
        <w:sz w:val="20"/>
      </w:rPr>
    </w:lvl>
    <w:lvl w:ilvl="4" w:tplc="2CFC2D56" w:tentative="1">
      <w:start w:val="1"/>
      <w:numFmt w:val="bullet"/>
      <w:lvlText w:val=""/>
      <w:lvlJc w:val="left"/>
      <w:pPr>
        <w:tabs>
          <w:tab w:val="num" w:pos="3600"/>
        </w:tabs>
        <w:ind w:left="3600" w:hanging="360"/>
      </w:pPr>
      <w:rPr>
        <w:rFonts w:ascii="Wingdings" w:hAnsi="Wingdings" w:hint="default"/>
        <w:sz w:val="20"/>
      </w:rPr>
    </w:lvl>
    <w:lvl w:ilvl="5" w:tplc="B0B0BB06" w:tentative="1">
      <w:start w:val="1"/>
      <w:numFmt w:val="bullet"/>
      <w:lvlText w:val=""/>
      <w:lvlJc w:val="left"/>
      <w:pPr>
        <w:tabs>
          <w:tab w:val="num" w:pos="4320"/>
        </w:tabs>
        <w:ind w:left="4320" w:hanging="360"/>
      </w:pPr>
      <w:rPr>
        <w:rFonts w:ascii="Wingdings" w:hAnsi="Wingdings" w:hint="default"/>
        <w:sz w:val="20"/>
      </w:rPr>
    </w:lvl>
    <w:lvl w:ilvl="6" w:tplc="7CAEC75A" w:tentative="1">
      <w:start w:val="1"/>
      <w:numFmt w:val="bullet"/>
      <w:lvlText w:val=""/>
      <w:lvlJc w:val="left"/>
      <w:pPr>
        <w:tabs>
          <w:tab w:val="num" w:pos="5040"/>
        </w:tabs>
        <w:ind w:left="5040" w:hanging="360"/>
      </w:pPr>
      <w:rPr>
        <w:rFonts w:ascii="Wingdings" w:hAnsi="Wingdings" w:hint="default"/>
        <w:sz w:val="20"/>
      </w:rPr>
    </w:lvl>
    <w:lvl w:ilvl="7" w:tplc="6EFC1CC2" w:tentative="1">
      <w:start w:val="1"/>
      <w:numFmt w:val="bullet"/>
      <w:lvlText w:val=""/>
      <w:lvlJc w:val="left"/>
      <w:pPr>
        <w:tabs>
          <w:tab w:val="num" w:pos="5760"/>
        </w:tabs>
        <w:ind w:left="5760" w:hanging="360"/>
      </w:pPr>
      <w:rPr>
        <w:rFonts w:ascii="Wingdings" w:hAnsi="Wingdings" w:hint="default"/>
        <w:sz w:val="20"/>
      </w:rPr>
    </w:lvl>
    <w:lvl w:ilvl="8" w:tplc="9192F8F8" w:tentative="1">
      <w:start w:val="1"/>
      <w:numFmt w:val="bullet"/>
      <w:lvlText w:val=""/>
      <w:lvlJc w:val="left"/>
      <w:pPr>
        <w:tabs>
          <w:tab w:val="num" w:pos="6480"/>
        </w:tabs>
        <w:ind w:left="6480" w:hanging="360"/>
      </w:pPr>
      <w:rPr>
        <w:rFonts w:ascii="Wingdings" w:hAnsi="Wingdings" w:hint="default"/>
        <w:sz w:val="20"/>
      </w:rPr>
    </w:lvl>
  </w:abstractNum>
  <w:abstractNum w:abstractNumId="750">
    <w:nsid w:val="72A14C7C"/>
    <w:multiLevelType w:val="hybridMultilevel"/>
    <w:tmpl w:val="107A69FC"/>
    <w:lvl w:ilvl="0" w:tplc="3BA23654">
      <w:start w:val="1"/>
      <w:numFmt w:val="bullet"/>
      <w:lvlText w:val="-"/>
      <w:lvlJc w:val="left"/>
      <w:pPr>
        <w:ind w:left="720" w:hanging="360"/>
      </w:pPr>
      <w:rPr>
        <w:rFonts w:ascii="Verdana" w:hAnsi="Verdana"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51">
    <w:nsid w:val="72BD2000"/>
    <w:multiLevelType w:val="hybridMultilevel"/>
    <w:tmpl w:val="B58EB62A"/>
    <w:lvl w:ilvl="0" w:tplc="5AC0E0E8">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52">
    <w:nsid w:val="730C674D"/>
    <w:multiLevelType w:val="multilevel"/>
    <w:tmpl w:val="8742602A"/>
    <w:lvl w:ilvl="0">
      <w:start w:val="1"/>
      <w:numFmt w:val="bullet"/>
      <w:lvlText w:val="-"/>
      <w:lvlJc w:val="left"/>
      <w:pPr>
        <w:tabs>
          <w:tab w:val="num" w:pos="360"/>
        </w:tabs>
        <w:ind w:left="720" w:hanging="360"/>
      </w:pPr>
      <w:rPr>
        <w:rFonts w:ascii="Courier New" w:hAnsi="Courier New" w:hint="default"/>
      </w:rPr>
    </w:lvl>
    <w:lvl w:ilvl="1">
      <w:start w:val="1"/>
      <w:numFmt w:val="bullet"/>
      <w:lvlText w:val="o"/>
      <w:lvlJc w:val="left"/>
      <w:pPr>
        <w:tabs>
          <w:tab w:val="num" w:pos="360"/>
        </w:tabs>
        <w:ind w:left="1440" w:hanging="360"/>
      </w:pPr>
      <w:rPr>
        <w:rFonts w:ascii="Courier New" w:hAnsi="Courier New" w:cs="Courier New"/>
      </w:rPr>
    </w:lvl>
    <w:lvl w:ilvl="2">
      <w:start w:val="1"/>
      <w:numFmt w:val="bullet"/>
      <w:lvlText w:val=""/>
      <w:lvlJc w:val="left"/>
      <w:pPr>
        <w:tabs>
          <w:tab w:val="num" w:pos="360"/>
        </w:tabs>
        <w:ind w:left="2160" w:hanging="360"/>
      </w:pPr>
      <w:rPr>
        <w:rFonts w:ascii="Wingdings" w:hAnsi="Wingdings"/>
      </w:rPr>
    </w:lvl>
    <w:lvl w:ilvl="3">
      <w:start w:val="1"/>
      <w:numFmt w:val="bullet"/>
      <w:lvlText w:val=""/>
      <w:lvlJc w:val="left"/>
      <w:pPr>
        <w:tabs>
          <w:tab w:val="num" w:pos="360"/>
        </w:tabs>
        <w:ind w:left="2880" w:hanging="360"/>
      </w:pPr>
      <w:rPr>
        <w:rFonts w:ascii="Symbol" w:hAnsi="Symbol"/>
      </w:rPr>
    </w:lvl>
    <w:lvl w:ilvl="4">
      <w:start w:val="1"/>
      <w:numFmt w:val="bullet"/>
      <w:lvlText w:val="o"/>
      <w:lvlJc w:val="left"/>
      <w:pPr>
        <w:tabs>
          <w:tab w:val="num" w:pos="360"/>
        </w:tabs>
        <w:ind w:left="3600" w:hanging="360"/>
      </w:pPr>
      <w:rPr>
        <w:rFonts w:ascii="Courier New" w:hAnsi="Courier New" w:cs="Courier New"/>
      </w:rPr>
    </w:lvl>
    <w:lvl w:ilvl="5">
      <w:start w:val="1"/>
      <w:numFmt w:val="bullet"/>
      <w:lvlText w:val=""/>
      <w:lvlJc w:val="left"/>
      <w:pPr>
        <w:tabs>
          <w:tab w:val="num" w:pos="360"/>
        </w:tabs>
        <w:ind w:left="4320" w:hanging="360"/>
      </w:pPr>
      <w:rPr>
        <w:rFonts w:ascii="Wingdings" w:hAnsi="Wingdings"/>
      </w:rPr>
    </w:lvl>
    <w:lvl w:ilvl="6">
      <w:start w:val="1"/>
      <w:numFmt w:val="bullet"/>
      <w:lvlText w:val=""/>
      <w:lvlJc w:val="left"/>
      <w:pPr>
        <w:tabs>
          <w:tab w:val="num" w:pos="360"/>
        </w:tabs>
        <w:ind w:left="5040" w:hanging="360"/>
      </w:pPr>
      <w:rPr>
        <w:rFonts w:ascii="Symbol" w:hAnsi="Symbol"/>
      </w:rPr>
    </w:lvl>
    <w:lvl w:ilvl="7">
      <w:start w:val="1"/>
      <w:numFmt w:val="bullet"/>
      <w:lvlText w:val="o"/>
      <w:lvlJc w:val="left"/>
      <w:pPr>
        <w:tabs>
          <w:tab w:val="num" w:pos="360"/>
        </w:tabs>
        <w:ind w:left="5760" w:hanging="360"/>
      </w:pPr>
      <w:rPr>
        <w:rFonts w:ascii="Courier New" w:hAnsi="Courier New" w:cs="Courier New"/>
      </w:rPr>
    </w:lvl>
    <w:lvl w:ilvl="8">
      <w:start w:val="1"/>
      <w:numFmt w:val="bullet"/>
      <w:lvlText w:val=""/>
      <w:lvlJc w:val="left"/>
      <w:pPr>
        <w:tabs>
          <w:tab w:val="num" w:pos="360"/>
        </w:tabs>
        <w:ind w:left="6480" w:hanging="360"/>
      </w:pPr>
      <w:rPr>
        <w:rFonts w:ascii="Wingdings" w:hAnsi="Wingdings"/>
      </w:rPr>
    </w:lvl>
  </w:abstractNum>
  <w:abstractNum w:abstractNumId="753">
    <w:nsid w:val="733A3DD6"/>
    <w:multiLevelType w:val="hybridMultilevel"/>
    <w:tmpl w:val="D99017D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4">
    <w:nsid w:val="73403F60"/>
    <w:multiLevelType w:val="hybridMultilevel"/>
    <w:tmpl w:val="0FB4EDCE"/>
    <w:lvl w:ilvl="0" w:tplc="9F784A04">
      <w:start w:val="1"/>
      <w:numFmt w:val="decimal"/>
      <w:lvlText w:val="C3.%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5">
    <w:nsid w:val="73555DC6"/>
    <w:multiLevelType w:val="hybridMultilevel"/>
    <w:tmpl w:val="DDB4D9D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56">
    <w:nsid w:val="73914151"/>
    <w:multiLevelType w:val="hybridMultilevel"/>
    <w:tmpl w:val="74A6858A"/>
    <w:lvl w:ilvl="0" w:tplc="7E32A658">
      <w:start w:val="1"/>
      <w:numFmt w:val="bullet"/>
      <w:lvlText w:val=""/>
      <w:lvlJc w:val="left"/>
      <w:pPr>
        <w:tabs>
          <w:tab w:val="num" w:pos="1440"/>
        </w:tabs>
        <w:ind w:left="1440" w:hanging="360"/>
      </w:pPr>
      <w:rPr>
        <w:rFonts w:ascii="Wingdings" w:hAnsi="Wingdings" w:cs="Wingdings" w:hint="default"/>
        <w:color w:val="auto"/>
        <w:sz w:val="20"/>
      </w:rPr>
    </w:lvl>
    <w:lvl w:ilvl="1" w:tplc="04150019">
      <w:start w:val="1"/>
      <w:numFmt w:val="lowerLetter"/>
      <w:lvlText w:val="%2."/>
      <w:lvlJc w:val="left"/>
      <w:pPr>
        <w:tabs>
          <w:tab w:val="num" w:pos="1440"/>
        </w:tabs>
        <w:ind w:left="1440" w:hanging="360"/>
      </w:pPr>
      <w:rPr>
        <w:rFonts w:ascii="Times New Roman" w:hAnsi="Times New Roman" w:cs="Times New Roman"/>
      </w:rPr>
    </w:lvl>
    <w:lvl w:ilvl="2" w:tplc="0415001B">
      <w:start w:val="1"/>
      <w:numFmt w:val="lowerRoman"/>
      <w:lvlText w:val="%3."/>
      <w:lvlJc w:val="right"/>
      <w:pPr>
        <w:tabs>
          <w:tab w:val="num" w:pos="2160"/>
        </w:tabs>
        <w:ind w:left="2160" w:hanging="180"/>
      </w:pPr>
      <w:rPr>
        <w:rFonts w:ascii="Times New Roman" w:hAnsi="Times New Roman" w:cs="Times New Roman"/>
      </w:rPr>
    </w:lvl>
    <w:lvl w:ilvl="3" w:tplc="0415000F">
      <w:start w:val="1"/>
      <w:numFmt w:val="decimal"/>
      <w:lvlText w:val="%4."/>
      <w:lvlJc w:val="left"/>
      <w:pPr>
        <w:tabs>
          <w:tab w:val="num" w:pos="2880"/>
        </w:tabs>
        <w:ind w:left="2880" w:hanging="360"/>
      </w:pPr>
      <w:rPr>
        <w:rFonts w:ascii="Times New Roman" w:hAnsi="Times New Roman" w:cs="Times New Roman"/>
      </w:rPr>
    </w:lvl>
    <w:lvl w:ilvl="4" w:tplc="04150019">
      <w:start w:val="1"/>
      <w:numFmt w:val="lowerLetter"/>
      <w:lvlText w:val="%5."/>
      <w:lvlJc w:val="left"/>
      <w:pPr>
        <w:tabs>
          <w:tab w:val="num" w:pos="3600"/>
        </w:tabs>
        <w:ind w:left="3600" w:hanging="360"/>
      </w:pPr>
      <w:rPr>
        <w:rFonts w:ascii="Times New Roman" w:hAnsi="Times New Roman" w:cs="Times New Roman"/>
      </w:rPr>
    </w:lvl>
    <w:lvl w:ilvl="5" w:tplc="0415001B">
      <w:start w:val="1"/>
      <w:numFmt w:val="lowerRoman"/>
      <w:lvlText w:val="%6."/>
      <w:lvlJc w:val="right"/>
      <w:pPr>
        <w:tabs>
          <w:tab w:val="num" w:pos="4320"/>
        </w:tabs>
        <w:ind w:left="4320" w:hanging="18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lowerLetter"/>
      <w:lvlText w:val="%8."/>
      <w:lvlJc w:val="left"/>
      <w:pPr>
        <w:tabs>
          <w:tab w:val="num" w:pos="5760"/>
        </w:tabs>
        <w:ind w:left="5760" w:hanging="360"/>
      </w:pPr>
      <w:rPr>
        <w:rFonts w:ascii="Times New Roman" w:hAnsi="Times New Roman" w:cs="Times New Roman"/>
      </w:rPr>
    </w:lvl>
    <w:lvl w:ilvl="8" w:tplc="0415001B">
      <w:start w:val="1"/>
      <w:numFmt w:val="lowerRoman"/>
      <w:lvlText w:val="%9."/>
      <w:lvlJc w:val="right"/>
      <w:pPr>
        <w:tabs>
          <w:tab w:val="num" w:pos="6480"/>
        </w:tabs>
        <w:ind w:left="6480" w:hanging="180"/>
      </w:pPr>
      <w:rPr>
        <w:rFonts w:ascii="Times New Roman" w:hAnsi="Times New Roman" w:cs="Times New Roman"/>
      </w:rPr>
    </w:lvl>
  </w:abstractNum>
  <w:abstractNum w:abstractNumId="757">
    <w:nsid w:val="73915407"/>
    <w:multiLevelType w:val="multilevel"/>
    <w:tmpl w:val="533ED6D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8">
    <w:nsid w:val="739D1764"/>
    <w:multiLevelType w:val="hybridMultilevel"/>
    <w:tmpl w:val="22FC84B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9">
    <w:nsid w:val="73DC17A1"/>
    <w:multiLevelType w:val="hybridMultilevel"/>
    <w:tmpl w:val="5A5833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0">
    <w:nsid w:val="73E56F79"/>
    <w:multiLevelType w:val="hybridMultilevel"/>
    <w:tmpl w:val="8D6E2D1E"/>
    <w:lvl w:ilvl="0" w:tplc="04150005">
      <w:start w:val="1"/>
      <w:numFmt w:val="bullet"/>
      <w:lvlText w:val=""/>
      <w:lvlJc w:val="left"/>
      <w:pPr>
        <w:tabs>
          <w:tab w:val="num" w:pos="720"/>
        </w:tabs>
        <w:ind w:left="720" w:hanging="360"/>
      </w:pPr>
      <w:rPr>
        <w:rFonts w:ascii="Wingdings" w:hAnsi="Wingdings" w:hint="default"/>
        <w:sz w:val="20"/>
      </w:rPr>
    </w:lvl>
    <w:lvl w:ilvl="1" w:tplc="CD083EE4" w:tentative="1">
      <w:start w:val="1"/>
      <w:numFmt w:val="bullet"/>
      <w:lvlText w:val="o"/>
      <w:lvlJc w:val="left"/>
      <w:pPr>
        <w:tabs>
          <w:tab w:val="num" w:pos="1440"/>
        </w:tabs>
        <w:ind w:left="1440" w:hanging="360"/>
      </w:pPr>
      <w:rPr>
        <w:rFonts w:ascii="Courier New" w:hAnsi="Courier New" w:hint="default"/>
        <w:sz w:val="20"/>
      </w:rPr>
    </w:lvl>
    <w:lvl w:ilvl="2" w:tplc="3012875E" w:tentative="1">
      <w:start w:val="1"/>
      <w:numFmt w:val="bullet"/>
      <w:lvlText w:val=""/>
      <w:lvlJc w:val="left"/>
      <w:pPr>
        <w:tabs>
          <w:tab w:val="num" w:pos="2160"/>
        </w:tabs>
        <w:ind w:left="2160" w:hanging="360"/>
      </w:pPr>
      <w:rPr>
        <w:rFonts w:ascii="Wingdings" w:hAnsi="Wingdings" w:hint="default"/>
        <w:sz w:val="20"/>
      </w:rPr>
    </w:lvl>
    <w:lvl w:ilvl="3" w:tplc="C410552A" w:tentative="1">
      <w:start w:val="1"/>
      <w:numFmt w:val="bullet"/>
      <w:lvlText w:val=""/>
      <w:lvlJc w:val="left"/>
      <w:pPr>
        <w:tabs>
          <w:tab w:val="num" w:pos="2880"/>
        </w:tabs>
        <w:ind w:left="2880" w:hanging="360"/>
      </w:pPr>
      <w:rPr>
        <w:rFonts w:ascii="Wingdings" w:hAnsi="Wingdings" w:hint="default"/>
        <w:sz w:val="20"/>
      </w:rPr>
    </w:lvl>
    <w:lvl w:ilvl="4" w:tplc="C832BBD6" w:tentative="1">
      <w:start w:val="1"/>
      <w:numFmt w:val="bullet"/>
      <w:lvlText w:val=""/>
      <w:lvlJc w:val="left"/>
      <w:pPr>
        <w:tabs>
          <w:tab w:val="num" w:pos="3600"/>
        </w:tabs>
        <w:ind w:left="3600" w:hanging="360"/>
      </w:pPr>
      <w:rPr>
        <w:rFonts w:ascii="Wingdings" w:hAnsi="Wingdings" w:hint="default"/>
        <w:sz w:val="20"/>
      </w:rPr>
    </w:lvl>
    <w:lvl w:ilvl="5" w:tplc="95E4B1CC" w:tentative="1">
      <w:start w:val="1"/>
      <w:numFmt w:val="bullet"/>
      <w:lvlText w:val=""/>
      <w:lvlJc w:val="left"/>
      <w:pPr>
        <w:tabs>
          <w:tab w:val="num" w:pos="4320"/>
        </w:tabs>
        <w:ind w:left="4320" w:hanging="360"/>
      </w:pPr>
      <w:rPr>
        <w:rFonts w:ascii="Wingdings" w:hAnsi="Wingdings" w:hint="default"/>
        <w:sz w:val="20"/>
      </w:rPr>
    </w:lvl>
    <w:lvl w:ilvl="6" w:tplc="5E3EE3BC" w:tentative="1">
      <w:start w:val="1"/>
      <w:numFmt w:val="bullet"/>
      <w:lvlText w:val=""/>
      <w:lvlJc w:val="left"/>
      <w:pPr>
        <w:tabs>
          <w:tab w:val="num" w:pos="5040"/>
        </w:tabs>
        <w:ind w:left="5040" w:hanging="360"/>
      </w:pPr>
      <w:rPr>
        <w:rFonts w:ascii="Wingdings" w:hAnsi="Wingdings" w:hint="default"/>
        <w:sz w:val="20"/>
      </w:rPr>
    </w:lvl>
    <w:lvl w:ilvl="7" w:tplc="39FA84D0" w:tentative="1">
      <w:start w:val="1"/>
      <w:numFmt w:val="bullet"/>
      <w:lvlText w:val=""/>
      <w:lvlJc w:val="left"/>
      <w:pPr>
        <w:tabs>
          <w:tab w:val="num" w:pos="5760"/>
        </w:tabs>
        <w:ind w:left="5760" w:hanging="360"/>
      </w:pPr>
      <w:rPr>
        <w:rFonts w:ascii="Wingdings" w:hAnsi="Wingdings" w:hint="default"/>
        <w:sz w:val="20"/>
      </w:rPr>
    </w:lvl>
    <w:lvl w:ilvl="8" w:tplc="C4CEAE02" w:tentative="1">
      <w:start w:val="1"/>
      <w:numFmt w:val="bullet"/>
      <w:lvlText w:val=""/>
      <w:lvlJc w:val="left"/>
      <w:pPr>
        <w:tabs>
          <w:tab w:val="num" w:pos="6480"/>
        </w:tabs>
        <w:ind w:left="6480" w:hanging="360"/>
      </w:pPr>
      <w:rPr>
        <w:rFonts w:ascii="Wingdings" w:hAnsi="Wingdings" w:hint="default"/>
        <w:sz w:val="20"/>
      </w:rPr>
    </w:lvl>
  </w:abstractNum>
  <w:abstractNum w:abstractNumId="761">
    <w:nsid w:val="73F42EAF"/>
    <w:multiLevelType w:val="hybridMultilevel"/>
    <w:tmpl w:val="71EA893C"/>
    <w:lvl w:ilvl="0" w:tplc="3CF84DD4">
      <w:start w:val="1"/>
      <w:numFmt w:val="bullet"/>
      <w:lvlText w:val=""/>
      <w:lvlJc w:val="left"/>
      <w:pPr>
        <w:tabs>
          <w:tab w:val="num" w:pos="720"/>
        </w:tabs>
        <w:ind w:left="720" w:hanging="360"/>
      </w:pPr>
      <w:rPr>
        <w:rFonts w:ascii="Symbol" w:hAnsi="Symbol" w:hint="default"/>
        <w:sz w:val="20"/>
      </w:rPr>
    </w:lvl>
    <w:lvl w:ilvl="1" w:tplc="1B2CAC62" w:tentative="1">
      <w:start w:val="1"/>
      <w:numFmt w:val="bullet"/>
      <w:lvlText w:val="o"/>
      <w:lvlJc w:val="left"/>
      <w:pPr>
        <w:tabs>
          <w:tab w:val="num" w:pos="1440"/>
        </w:tabs>
        <w:ind w:left="1440" w:hanging="360"/>
      </w:pPr>
      <w:rPr>
        <w:rFonts w:ascii="Courier New" w:hAnsi="Courier New" w:hint="default"/>
        <w:sz w:val="20"/>
      </w:rPr>
    </w:lvl>
    <w:lvl w:ilvl="2" w:tplc="AFCEF344" w:tentative="1">
      <w:start w:val="1"/>
      <w:numFmt w:val="bullet"/>
      <w:lvlText w:val=""/>
      <w:lvlJc w:val="left"/>
      <w:pPr>
        <w:tabs>
          <w:tab w:val="num" w:pos="2160"/>
        </w:tabs>
        <w:ind w:left="2160" w:hanging="360"/>
      </w:pPr>
      <w:rPr>
        <w:rFonts w:ascii="Wingdings" w:hAnsi="Wingdings" w:hint="default"/>
        <w:sz w:val="20"/>
      </w:rPr>
    </w:lvl>
    <w:lvl w:ilvl="3" w:tplc="3F087FB6" w:tentative="1">
      <w:start w:val="1"/>
      <w:numFmt w:val="bullet"/>
      <w:lvlText w:val=""/>
      <w:lvlJc w:val="left"/>
      <w:pPr>
        <w:tabs>
          <w:tab w:val="num" w:pos="2880"/>
        </w:tabs>
        <w:ind w:left="2880" w:hanging="360"/>
      </w:pPr>
      <w:rPr>
        <w:rFonts w:ascii="Wingdings" w:hAnsi="Wingdings" w:hint="default"/>
        <w:sz w:val="20"/>
      </w:rPr>
    </w:lvl>
    <w:lvl w:ilvl="4" w:tplc="0C64B650" w:tentative="1">
      <w:start w:val="1"/>
      <w:numFmt w:val="bullet"/>
      <w:lvlText w:val=""/>
      <w:lvlJc w:val="left"/>
      <w:pPr>
        <w:tabs>
          <w:tab w:val="num" w:pos="3600"/>
        </w:tabs>
        <w:ind w:left="3600" w:hanging="360"/>
      </w:pPr>
      <w:rPr>
        <w:rFonts w:ascii="Wingdings" w:hAnsi="Wingdings" w:hint="default"/>
        <w:sz w:val="20"/>
      </w:rPr>
    </w:lvl>
    <w:lvl w:ilvl="5" w:tplc="B3844D7E" w:tentative="1">
      <w:start w:val="1"/>
      <w:numFmt w:val="bullet"/>
      <w:lvlText w:val=""/>
      <w:lvlJc w:val="left"/>
      <w:pPr>
        <w:tabs>
          <w:tab w:val="num" w:pos="4320"/>
        </w:tabs>
        <w:ind w:left="4320" w:hanging="360"/>
      </w:pPr>
      <w:rPr>
        <w:rFonts w:ascii="Wingdings" w:hAnsi="Wingdings" w:hint="default"/>
        <w:sz w:val="20"/>
      </w:rPr>
    </w:lvl>
    <w:lvl w:ilvl="6" w:tplc="4E7ED174" w:tentative="1">
      <w:start w:val="1"/>
      <w:numFmt w:val="bullet"/>
      <w:lvlText w:val=""/>
      <w:lvlJc w:val="left"/>
      <w:pPr>
        <w:tabs>
          <w:tab w:val="num" w:pos="5040"/>
        </w:tabs>
        <w:ind w:left="5040" w:hanging="360"/>
      </w:pPr>
      <w:rPr>
        <w:rFonts w:ascii="Wingdings" w:hAnsi="Wingdings" w:hint="default"/>
        <w:sz w:val="20"/>
      </w:rPr>
    </w:lvl>
    <w:lvl w:ilvl="7" w:tplc="FDE278EA" w:tentative="1">
      <w:start w:val="1"/>
      <w:numFmt w:val="bullet"/>
      <w:lvlText w:val=""/>
      <w:lvlJc w:val="left"/>
      <w:pPr>
        <w:tabs>
          <w:tab w:val="num" w:pos="5760"/>
        </w:tabs>
        <w:ind w:left="5760" w:hanging="360"/>
      </w:pPr>
      <w:rPr>
        <w:rFonts w:ascii="Wingdings" w:hAnsi="Wingdings" w:hint="default"/>
        <w:sz w:val="20"/>
      </w:rPr>
    </w:lvl>
    <w:lvl w:ilvl="8" w:tplc="2304CF68" w:tentative="1">
      <w:start w:val="1"/>
      <w:numFmt w:val="bullet"/>
      <w:lvlText w:val=""/>
      <w:lvlJc w:val="left"/>
      <w:pPr>
        <w:tabs>
          <w:tab w:val="num" w:pos="6480"/>
        </w:tabs>
        <w:ind w:left="6480" w:hanging="360"/>
      </w:pPr>
      <w:rPr>
        <w:rFonts w:ascii="Wingdings" w:hAnsi="Wingdings" w:hint="default"/>
        <w:sz w:val="20"/>
      </w:rPr>
    </w:lvl>
  </w:abstractNum>
  <w:abstractNum w:abstractNumId="762">
    <w:nsid w:val="743017AD"/>
    <w:multiLevelType w:val="hybridMultilevel"/>
    <w:tmpl w:val="FA9AA18A"/>
    <w:lvl w:ilvl="0" w:tplc="DC8C8704">
      <w:start w:val="1"/>
      <w:numFmt w:val="decimal"/>
      <w:lvlText w:val="%1."/>
      <w:lvlJc w:val="left"/>
      <w:pPr>
        <w:tabs>
          <w:tab w:val="num" w:pos="720"/>
        </w:tabs>
        <w:ind w:left="720" w:hanging="360"/>
      </w:pPr>
    </w:lvl>
    <w:lvl w:ilvl="1" w:tplc="09E4BBF4" w:tentative="1">
      <w:start w:val="1"/>
      <w:numFmt w:val="decimal"/>
      <w:lvlText w:val="%2."/>
      <w:lvlJc w:val="left"/>
      <w:pPr>
        <w:tabs>
          <w:tab w:val="num" w:pos="1440"/>
        </w:tabs>
        <w:ind w:left="1440" w:hanging="360"/>
      </w:pPr>
    </w:lvl>
    <w:lvl w:ilvl="2" w:tplc="1A602924" w:tentative="1">
      <w:start w:val="1"/>
      <w:numFmt w:val="decimal"/>
      <w:lvlText w:val="%3."/>
      <w:lvlJc w:val="left"/>
      <w:pPr>
        <w:tabs>
          <w:tab w:val="num" w:pos="2160"/>
        </w:tabs>
        <w:ind w:left="2160" w:hanging="360"/>
      </w:pPr>
    </w:lvl>
    <w:lvl w:ilvl="3" w:tplc="D786AF0C" w:tentative="1">
      <w:start w:val="1"/>
      <w:numFmt w:val="decimal"/>
      <w:lvlText w:val="%4."/>
      <w:lvlJc w:val="left"/>
      <w:pPr>
        <w:tabs>
          <w:tab w:val="num" w:pos="2880"/>
        </w:tabs>
        <w:ind w:left="2880" w:hanging="360"/>
      </w:pPr>
    </w:lvl>
    <w:lvl w:ilvl="4" w:tplc="D5ACA362" w:tentative="1">
      <w:start w:val="1"/>
      <w:numFmt w:val="decimal"/>
      <w:lvlText w:val="%5."/>
      <w:lvlJc w:val="left"/>
      <w:pPr>
        <w:tabs>
          <w:tab w:val="num" w:pos="3600"/>
        </w:tabs>
        <w:ind w:left="3600" w:hanging="360"/>
      </w:pPr>
    </w:lvl>
    <w:lvl w:ilvl="5" w:tplc="701A30D2" w:tentative="1">
      <w:start w:val="1"/>
      <w:numFmt w:val="decimal"/>
      <w:lvlText w:val="%6."/>
      <w:lvlJc w:val="left"/>
      <w:pPr>
        <w:tabs>
          <w:tab w:val="num" w:pos="4320"/>
        </w:tabs>
        <w:ind w:left="4320" w:hanging="360"/>
      </w:pPr>
    </w:lvl>
    <w:lvl w:ilvl="6" w:tplc="5E6A9C38" w:tentative="1">
      <w:start w:val="1"/>
      <w:numFmt w:val="decimal"/>
      <w:lvlText w:val="%7."/>
      <w:lvlJc w:val="left"/>
      <w:pPr>
        <w:tabs>
          <w:tab w:val="num" w:pos="5040"/>
        </w:tabs>
        <w:ind w:left="5040" w:hanging="360"/>
      </w:pPr>
    </w:lvl>
    <w:lvl w:ilvl="7" w:tplc="A4725262" w:tentative="1">
      <w:start w:val="1"/>
      <w:numFmt w:val="decimal"/>
      <w:lvlText w:val="%8."/>
      <w:lvlJc w:val="left"/>
      <w:pPr>
        <w:tabs>
          <w:tab w:val="num" w:pos="5760"/>
        </w:tabs>
        <w:ind w:left="5760" w:hanging="360"/>
      </w:pPr>
    </w:lvl>
    <w:lvl w:ilvl="8" w:tplc="F126E4A2" w:tentative="1">
      <w:start w:val="1"/>
      <w:numFmt w:val="decimal"/>
      <w:lvlText w:val="%9."/>
      <w:lvlJc w:val="left"/>
      <w:pPr>
        <w:tabs>
          <w:tab w:val="num" w:pos="6480"/>
        </w:tabs>
        <w:ind w:left="6480" w:hanging="360"/>
      </w:pPr>
    </w:lvl>
  </w:abstractNum>
  <w:abstractNum w:abstractNumId="763">
    <w:nsid w:val="753677B7"/>
    <w:multiLevelType w:val="hybridMultilevel"/>
    <w:tmpl w:val="F7424E54"/>
    <w:name w:val="WW8Num212222"/>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64">
    <w:nsid w:val="75504475"/>
    <w:multiLevelType w:val="multilevel"/>
    <w:tmpl w:val="EE34D1D6"/>
    <w:lvl w:ilvl="0">
      <w:start w:val="2"/>
      <w:numFmt w:val="decimal"/>
      <w:lvlText w:val="%1."/>
      <w:lvlJc w:val="left"/>
      <w:pPr>
        <w:ind w:left="303" w:hanging="360"/>
      </w:pPr>
      <w:rPr>
        <w:rFonts w:hint="default"/>
      </w:rPr>
    </w:lvl>
    <w:lvl w:ilvl="1">
      <w:start w:val="1"/>
      <w:numFmt w:val="lowerLetter"/>
      <w:lvlText w:val="%2."/>
      <w:lvlJc w:val="left"/>
      <w:pPr>
        <w:ind w:left="1023" w:hanging="360"/>
      </w:pPr>
      <w:rPr>
        <w:rFonts w:hint="default"/>
      </w:rPr>
    </w:lvl>
    <w:lvl w:ilvl="2">
      <w:start w:val="1"/>
      <w:numFmt w:val="lowerRoman"/>
      <w:lvlText w:val="%3."/>
      <w:lvlJc w:val="right"/>
      <w:pPr>
        <w:ind w:left="1743" w:hanging="180"/>
      </w:pPr>
      <w:rPr>
        <w:rFonts w:hint="default"/>
      </w:rPr>
    </w:lvl>
    <w:lvl w:ilvl="3">
      <w:start w:val="1"/>
      <w:numFmt w:val="decimal"/>
      <w:lvlText w:val="%4."/>
      <w:lvlJc w:val="left"/>
      <w:pPr>
        <w:ind w:left="2463" w:hanging="360"/>
      </w:pPr>
      <w:rPr>
        <w:rFonts w:hint="default"/>
      </w:rPr>
    </w:lvl>
    <w:lvl w:ilvl="4">
      <w:start w:val="1"/>
      <w:numFmt w:val="lowerLetter"/>
      <w:lvlText w:val="%5."/>
      <w:lvlJc w:val="left"/>
      <w:pPr>
        <w:ind w:left="3183" w:hanging="360"/>
      </w:pPr>
      <w:rPr>
        <w:rFonts w:hint="default"/>
      </w:rPr>
    </w:lvl>
    <w:lvl w:ilvl="5">
      <w:start w:val="1"/>
      <w:numFmt w:val="lowerRoman"/>
      <w:lvlText w:val="%6."/>
      <w:lvlJc w:val="right"/>
      <w:pPr>
        <w:ind w:left="3903" w:hanging="180"/>
      </w:pPr>
      <w:rPr>
        <w:rFonts w:hint="default"/>
      </w:rPr>
    </w:lvl>
    <w:lvl w:ilvl="6">
      <w:start w:val="1"/>
      <w:numFmt w:val="decimal"/>
      <w:lvlText w:val="%7."/>
      <w:lvlJc w:val="left"/>
      <w:pPr>
        <w:ind w:left="4623" w:hanging="360"/>
      </w:pPr>
      <w:rPr>
        <w:rFonts w:hint="default"/>
      </w:rPr>
    </w:lvl>
    <w:lvl w:ilvl="7">
      <w:start w:val="1"/>
      <w:numFmt w:val="lowerLetter"/>
      <w:lvlText w:val="%8."/>
      <w:lvlJc w:val="left"/>
      <w:pPr>
        <w:ind w:left="5343" w:hanging="360"/>
      </w:pPr>
      <w:rPr>
        <w:rFonts w:hint="default"/>
      </w:rPr>
    </w:lvl>
    <w:lvl w:ilvl="8">
      <w:start w:val="1"/>
      <w:numFmt w:val="lowerRoman"/>
      <w:lvlText w:val="%9."/>
      <w:lvlJc w:val="right"/>
      <w:pPr>
        <w:ind w:left="6063" w:hanging="180"/>
      </w:pPr>
      <w:rPr>
        <w:rFonts w:hint="default"/>
      </w:rPr>
    </w:lvl>
  </w:abstractNum>
  <w:abstractNum w:abstractNumId="765">
    <w:nsid w:val="75593700"/>
    <w:multiLevelType w:val="hybridMultilevel"/>
    <w:tmpl w:val="912020D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66">
    <w:nsid w:val="756E3D05"/>
    <w:multiLevelType w:val="hybridMultilevel"/>
    <w:tmpl w:val="2FBA461E"/>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67">
    <w:nsid w:val="757975C5"/>
    <w:multiLevelType w:val="multilevel"/>
    <w:tmpl w:val="5F1649DC"/>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68">
    <w:nsid w:val="75BC02A6"/>
    <w:multiLevelType w:val="hybridMultilevel"/>
    <w:tmpl w:val="9F76FADC"/>
    <w:lvl w:ilvl="0" w:tplc="1E0E55A2">
      <w:start w:val="1"/>
      <w:numFmt w:val="decimal"/>
      <w:lvlText w:val="K1.3.%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69">
    <w:nsid w:val="76001D52"/>
    <w:multiLevelType w:val="hybridMultilevel"/>
    <w:tmpl w:val="2216188C"/>
    <w:lvl w:ilvl="0" w:tplc="C1542612">
      <w:start w:val="1"/>
      <w:numFmt w:val="decimal"/>
      <w:lvlText w:val="K5.1.%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70">
    <w:nsid w:val="76155B51"/>
    <w:multiLevelType w:val="hybridMultilevel"/>
    <w:tmpl w:val="E738DD6C"/>
    <w:lvl w:ilvl="0" w:tplc="1EEA4206">
      <w:start w:val="1"/>
      <w:numFmt w:val="decimal"/>
      <w:lvlText w:val="%1."/>
      <w:lvlJc w:val="left"/>
      <w:pPr>
        <w:tabs>
          <w:tab w:val="num" w:pos="720"/>
        </w:tabs>
        <w:ind w:left="720" w:hanging="360"/>
      </w:pPr>
    </w:lvl>
    <w:lvl w:ilvl="1" w:tplc="66D6BA6E" w:tentative="1">
      <w:start w:val="1"/>
      <w:numFmt w:val="decimal"/>
      <w:lvlText w:val="%2."/>
      <w:lvlJc w:val="left"/>
      <w:pPr>
        <w:tabs>
          <w:tab w:val="num" w:pos="1440"/>
        </w:tabs>
        <w:ind w:left="1440" w:hanging="360"/>
      </w:pPr>
    </w:lvl>
    <w:lvl w:ilvl="2" w:tplc="A2FC2344" w:tentative="1">
      <w:start w:val="1"/>
      <w:numFmt w:val="decimal"/>
      <w:lvlText w:val="%3."/>
      <w:lvlJc w:val="left"/>
      <w:pPr>
        <w:tabs>
          <w:tab w:val="num" w:pos="2160"/>
        </w:tabs>
        <w:ind w:left="2160" w:hanging="360"/>
      </w:pPr>
    </w:lvl>
    <w:lvl w:ilvl="3" w:tplc="38F0C91E" w:tentative="1">
      <w:start w:val="1"/>
      <w:numFmt w:val="decimal"/>
      <w:lvlText w:val="%4."/>
      <w:lvlJc w:val="left"/>
      <w:pPr>
        <w:tabs>
          <w:tab w:val="num" w:pos="2880"/>
        </w:tabs>
        <w:ind w:left="2880" w:hanging="360"/>
      </w:pPr>
    </w:lvl>
    <w:lvl w:ilvl="4" w:tplc="F9B071BE" w:tentative="1">
      <w:start w:val="1"/>
      <w:numFmt w:val="decimal"/>
      <w:lvlText w:val="%5."/>
      <w:lvlJc w:val="left"/>
      <w:pPr>
        <w:tabs>
          <w:tab w:val="num" w:pos="3600"/>
        </w:tabs>
        <w:ind w:left="3600" w:hanging="360"/>
      </w:pPr>
    </w:lvl>
    <w:lvl w:ilvl="5" w:tplc="FE603A24" w:tentative="1">
      <w:start w:val="1"/>
      <w:numFmt w:val="decimal"/>
      <w:lvlText w:val="%6."/>
      <w:lvlJc w:val="left"/>
      <w:pPr>
        <w:tabs>
          <w:tab w:val="num" w:pos="4320"/>
        </w:tabs>
        <w:ind w:left="4320" w:hanging="360"/>
      </w:pPr>
    </w:lvl>
    <w:lvl w:ilvl="6" w:tplc="DCE00232" w:tentative="1">
      <w:start w:val="1"/>
      <w:numFmt w:val="decimal"/>
      <w:lvlText w:val="%7."/>
      <w:lvlJc w:val="left"/>
      <w:pPr>
        <w:tabs>
          <w:tab w:val="num" w:pos="5040"/>
        </w:tabs>
        <w:ind w:left="5040" w:hanging="360"/>
      </w:pPr>
    </w:lvl>
    <w:lvl w:ilvl="7" w:tplc="9F68DBEA" w:tentative="1">
      <w:start w:val="1"/>
      <w:numFmt w:val="decimal"/>
      <w:lvlText w:val="%8."/>
      <w:lvlJc w:val="left"/>
      <w:pPr>
        <w:tabs>
          <w:tab w:val="num" w:pos="5760"/>
        </w:tabs>
        <w:ind w:left="5760" w:hanging="360"/>
      </w:pPr>
    </w:lvl>
    <w:lvl w:ilvl="8" w:tplc="18CE173C" w:tentative="1">
      <w:start w:val="1"/>
      <w:numFmt w:val="decimal"/>
      <w:lvlText w:val="%9."/>
      <w:lvlJc w:val="left"/>
      <w:pPr>
        <w:tabs>
          <w:tab w:val="num" w:pos="6480"/>
        </w:tabs>
        <w:ind w:left="6480" w:hanging="360"/>
      </w:pPr>
    </w:lvl>
  </w:abstractNum>
  <w:abstractNum w:abstractNumId="771">
    <w:nsid w:val="764A4631"/>
    <w:multiLevelType w:val="hybridMultilevel"/>
    <w:tmpl w:val="7C064FF4"/>
    <w:lvl w:ilvl="0" w:tplc="04150005">
      <w:start w:val="1"/>
      <w:numFmt w:val="bullet"/>
      <w:lvlText w:val=""/>
      <w:lvlJc w:val="left"/>
      <w:pPr>
        <w:tabs>
          <w:tab w:val="num" w:pos="720"/>
        </w:tabs>
        <w:ind w:left="720" w:hanging="360"/>
      </w:pPr>
      <w:rPr>
        <w:rFonts w:ascii="Wingdings" w:hAnsi="Wingdings" w:hint="default"/>
        <w:color w:val="auto"/>
        <w:sz w:val="20"/>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72">
    <w:nsid w:val="76740E4A"/>
    <w:multiLevelType w:val="hybridMultilevel"/>
    <w:tmpl w:val="9D0E9738"/>
    <w:lvl w:ilvl="0" w:tplc="E5D0E956">
      <w:start w:val="1"/>
      <w:numFmt w:val="bullet"/>
      <w:lvlText w:val=""/>
      <w:lvlJc w:val="left"/>
      <w:pPr>
        <w:tabs>
          <w:tab w:val="num" w:pos="720"/>
        </w:tabs>
        <w:ind w:left="720" w:hanging="360"/>
      </w:pPr>
      <w:rPr>
        <w:rFonts w:ascii="Symbol" w:hAnsi="Symbol" w:hint="default"/>
        <w:sz w:val="20"/>
      </w:rPr>
    </w:lvl>
    <w:lvl w:ilvl="1" w:tplc="184A2D1C" w:tentative="1">
      <w:start w:val="1"/>
      <w:numFmt w:val="bullet"/>
      <w:lvlText w:val="o"/>
      <w:lvlJc w:val="left"/>
      <w:pPr>
        <w:tabs>
          <w:tab w:val="num" w:pos="1440"/>
        </w:tabs>
        <w:ind w:left="1440" w:hanging="360"/>
      </w:pPr>
      <w:rPr>
        <w:rFonts w:ascii="Courier New" w:hAnsi="Courier New" w:hint="default"/>
        <w:sz w:val="20"/>
      </w:rPr>
    </w:lvl>
    <w:lvl w:ilvl="2" w:tplc="DA4EA56A" w:tentative="1">
      <w:start w:val="1"/>
      <w:numFmt w:val="bullet"/>
      <w:lvlText w:val=""/>
      <w:lvlJc w:val="left"/>
      <w:pPr>
        <w:tabs>
          <w:tab w:val="num" w:pos="2160"/>
        </w:tabs>
        <w:ind w:left="2160" w:hanging="360"/>
      </w:pPr>
      <w:rPr>
        <w:rFonts w:ascii="Wingdings" w:hAnsi="Wingdings" w:hint="default"/>
        <w:sz w:val="20"/>
      </w:rPr>
    </w:lvl>
    <w:lvl w:ilvl="3" w:tplc="7AF45096" w:tentative="1">
      <w:start w:val="1"/>
      <w:numFmt w:val="bullet"/>
      <w:lvlText w:val=""/>
      <w:lvlJc w:val="left"/>
      <w:pPr>
        <w:tabs>
          <w:tab w:val="num" w:pos="2880"/>
        </w:tabs>
        <w:ind w:left="2880" w:hanging="360"/>
      </w:pPr>
      <w:rPr>
        <w:rFonts w:ascii="Wingdings" w:hAnsi="Wingdings" w:hint="default"/>
        <w:sz w:val="20"/>
      </w:rPr>
    </w:lvl>
    <w:lvl w:ilvl="4" w:tplc="DCB6B062" w:tentative="1">
      <w:start w:val="1"/>
      <w:numFmt w:val="bullet"/>
      <w:lvlText w:val=""/>
      <w:lvlJc w:val="left"/>
      <w:pPr>
        <w:tabs>
          <w:tab w:val="num" w:pos="3600"/>
        </w:tabs>
        <w:ind w:left="3600" w:hanging="360"/>
      </w:pPr>
      <w:rPr>
        <w:rFonts w:ascii="Wingdings" w:hAnsi="Wingdings" w:hint="default"/>
        <w:sz w:val="20"/>
      </w:rPr>
    </w:lvl>
    <w:lvl w:ilvl="5" w:tplc="52ECA318" w:tentative="1">
      <w:start w:val="1"/>
      <w:numFmt w:val="bullet"/>
      <w:lvlText w:val=""/>
      <w:lvlJc w:val="left"/>
      <w:pPr>
        <w:tabs>
          <w:tab w:val="num" w:pos="4320"/>
        </w:tabs>
        <w:ind w:left="4320" w:hanging="360"/>
      </w:pPr>
      <w:rPr>
        <w:rFonts w:ascii="Wingdings" w:hAnsi="Wingdings" w:hint="default"/>
        <w:sz w:val="20"/>
      </w:rPr>
    </w:lvl>
    <w:lvl w:ilvl="6" w:tplc="4356B5CE" w:tentative="1">
      <w:start w:val="1"/>
      <w:numFmt w:val="bullet"/>
      <w:lvlText w:val=""/>
      <w:lvlJc w:val="left"/>
      <w:pPr>
        <w:tabs>
          <w:tab w:val="num" w:pos="5040"/>
        </w:tabs>
        <w:ind w:left="5040" w:hanging="360"/>
      </w:pPr>
      <w:rPr>
        <w:rFonts w:ascii="Wingdings" w:hAnsi="Wingdings" w:hint="default"/>
        <w:sz w:val="20"/>
      </w:rPr>
    </w:lvl>
    <w:lvl w:ilvl="7" w:tplc="3AAC536E" w:tentative="1">
      <w:start w:val="1"/>
      <w:numFmt w:val="bullet"/>
      <w:lvlText w:val=""/>
      <w:lvlJc w:val="left"/>
      <w:pPr>
        <w:tabs>
          <w:tab w:val="num" w:pos="5760"/>
        </w:tabs>
        <w:ind w:left="5760" w:hanging="360"/>
      </w:pPr>
      <w:rPr>
        <w:rFonts w:ascii="Wingdings" w:hAnsi="Wingdings" w:hint="default"/>
        <w:sz w:val="20"/>
      </w:rPr>
    </w:lvl>
    <w:lvl w:ilvl="8" w:tplc="059A2F64" w:tentative="1">
      <w:start w:val="1"/>
      <w:numFmt w:val="bullet"/>
      <w:lvlText w:val=""/>
      <w:lvlJc w:val="left"/>
      <w:pPr>
        <w:tabs>
          <w:tab w:val="num" w:pos="6480"/>
        </w:tabs>
        <w:ind w:left="6480" w:hanging="360"/>
      </w:pPr>
      <w:rPr>
        <w:rFonts w:ascii="Wingdings" w:hAnsi="Wingdings" w:hint="default"/>
        <w:sz w:val="20"/>
      </w:rPr>
    </w:lvl>
  </w:abstractNum>
  <w:abstractNum w:abstractNumId="773">
    <w:nsid w:val="767A6F94"/>
    <w:multiLevelType w:val="hybridMultilevel"/>
    <w:tmpl w:val="49F802BC"/>
    <w:lvl w:ilvl="0" w:tplc="4B0EB2CE">
      <w:start w:val="1"/>
      <w:numFmt w:val="decimal"/>
      <w:lvlText w:val="C4.K%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74">
    <w:nsid w:val="76A910EA"/>
    <w:multiLevelType w:val="hybridMultilevel"/>
    <w:tmpl w:val="440E48EA"/>
    <w:lvl w:ilvl="0" w:tplc="6CA43014">
      <w:start w:val="16"/>
      <w:numFmt w:val="bullet"/>
      <w:lvlText w:val="-"/>
      <w:lvlJc w:val="left"/>
      <w:pPr>
        <w:ind w:left="1428" w:hanging="360"/>
      </w:pPr>
      <w:rPr>
        <w:rFonts w:ascii="Times New Roman" w:eastAsia="Times New Roman" w:hAnsi="Times New Roman" w:cs="Times New Roman" w:hint="default"/>
        <w:color w:val="auto"/>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775">
    <w:nsid w:val="76CD7803"/>
    <w:multiLevelType w:val="hybridMultilevel"/>
    <w:tmpl w:val="B8F4DEA4"/>
    <w:lvl w:ilvl="0" w:tplc="D5C474EE">
      <w:start w:val="1"/>
      <w:numFmt w:val="decimal"/>
      <w:lvlText w:val="%1."/>
      <w:lvlJc w:val="left"/>
      <w:pPr>
        <w:tabs>
          <w:tab w:val="num" w:pos="720"/>
        </w:tabs>
        <w:ind w:left="720" w:hanging="360"/>
      </w:pPr>
    </w:lvl>
    <w:lvl w:ilvl="1" w:tplc="55C4B7D6" w:tentative="1">
      <w:start w:val="1"/>
      <w:numFmt w:val="decimal"/>
      <w:lvlText w:val="%2."/>
      <w:lvlJc w:val="left"/>
      <w:pPr>
        <w:tabs>
          <w:tab w:val="num" w:pos="1440"/>
        </w:tabs>
        <w:ind w:left="1440" w:hanging="360"/>
      </w:pPr>
    </w:lvl>
    <w:lvl w:ilvl="2" w:tplc="40E89A86" w:tentative="1">
      <w:start w:val="1"/>
      <w:numFmt w:val="decimal"/>
      <w:lvlText w:val="%3."/>
      <w:lvlJc w:val="left"/>
      <w:pPr>
        <w:tabs>
          <w:tab w:val="num" w:pos="2160"/>
        </w:tabs>
        <w:ind w:left="2160" w:hanging="360"/>
      </w:pPr>
    </w:lvl>
    <w:lvl w:ilvl="3" w:tplc="8C8AEDE4" w:tentative="1">
      <w:start w:val="1"/>
      <w:numFmt w:val="decimal"/>
      <w:lvlText w:val="%4."/>
      <w:lvlJc w:val="left"/>
      <w:pPr>
        <w:tabs>
          <w:tab w:val="num" w:pos="2880"/>
        </w:tabs>
        <w:ind w:left="2880" w:hanging="360"/>
      </w:pPr>
    </w:lvl>
    <w:lvl w:ilvl="4" w:tplc="0BA874C6" w:tentative="1">
      <w:start w:val="1"/>
      <w:numFmt w:val="decimal"/>
      <w:lvlText w:val="%5."/>
      <w:lvlJc w:val="left"/>
      <w:pPr>
        <w:tabs>
          <w:tab w:val="num" w:pos="3600"/>
        </w:tabs>
        <w:ind w:left="3600" w:hanging="360"/>
      </w:pPr>
    </w:lvl>
    <w:lvl w:ilvl="5" w:tplc="4F26E718" w:tentative="1">
      <w:start w:val="1"/>
      <w:numFmt w:val="decimal"/>
      <w:lvlText w:val="%6."/>
      <w:lvlJc w:val="left"/>
      <w:pPr>
        <w:tabs>
          <w:tab w:val="num" w:pos="4320"/>
        </w:tabs>
        <w:ind w:left="4320" w:hanging="360"/>
      </w:pPr>
    </w:lvl>
    <w:lvl w:ilvl="6" w:tplc="14A2F3DC" w:tentative="1">
      <w:start w:val="1"/>
      <w:numFmt w:val="decimal"/>
      <w:lvlText w:val="%7."/>
      <w:lvlJc w:val="left"/>
      <w:pPr>
        <w:tabs>
          <w:tab w:val="num" w:pos="5040"/>
        </w:tabs>
        <w:ind w:left="5040" w:hanging="360"/>
      </w:pPr>
    </w:lvl>
    <w:lvl w:ilvl="7" w:tplc="CB38D34A" w:tentative="1">
      <w:start w:val="1"/>
      <w:numFmt w:val="decimal"/>
      <w:lvlText w:val="%8."/>
      <w:lvlJc w:val="left"/>
      <w:pPr>
        <w:tabs>
          <w:tab w:val="num" w:pos="5760"/>
        </w:tabs>
        <w:ind w:left="5760" w:hanging="360"/>
      </w:pPr>
    </w:lvl>
    <w:lvl w:ilvl="8" w:tplc="47B0B5F4" w:tentative="1">
      <w:start w:val="1"/>
      <w:numFmt w:val="decimal"/>
      <w:lvlText w:val="%9."/>
      <w:lvlJc w:val="left"/>
      <w:pPr>
        <w:tabs>
          <w:tab w:val="num" w:pos="6480"/>
        </w:tabs>
        <w:ind w:left="6480" w:hanging="360"/>
      </w:pPr>
    </w:lvl>
  </w:abstractNum>
  <w:abstractNum w:abstractNumId="776">
    <w:nsid w:val="76DB782D"/>
    <w:multiLevelType w:val="hybridMultilevel"/>
    <w:tmpl w:val="48E008E8"/>
    <w:lvl w:ilvl="0" w:tplc="3BA23654">
      <w:start w:val="1"/>
      <w:numFmt w:val="bullet"/>
      <w:lvlText w:val="-"/>
      <w:lvlJc w:val="left"/>
      <w:pPr>
        <w:ind w:left="720" w:hanging="360"/>
      </w:pPr>
      <w:rPr>
        <w:rFonts w:ascii="Verdana" w:hAnsi="Verdana"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77">
    <w:nsid w:val="76ED3C78"/>
    <w:multiLevelType w:val="hybridMultilevel"/>
    <w:tmpl w:val="F0660626"/>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78">
    <w:nsid w:val="770F59B1"/>
    <w:multiLevelType w:val="hybridMultilevel"/>
    <w:tmpl w:val="7D34AE9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9">
    <w:nsid w:val="77293791"/>
    <w:multiLevelType w:val="hybridMultilevel"/>
    <w:tmpl w:val="F4945642"/>
    <w:lvl w:ilvl="0" w:tplc="9252C696">
      <w:start w:val="1"/>
      <w:numFmt w:val="decimal"/>
      <w:lvlText w:val="%1."/>
      <w:lvlJc w:val="left"/>
      <w:pPr>
        <w:tabs>
          <w:tab w:val="num" w:pos="720"/>
        </w:tabs>
        <w:ind w:left="720" w:hanging="360"/>
      </w:pPr>
    </w:lvl>
    <w:lvl w:ilvl="1" w:tplc="E7A667F4" w:tentative="1">
      <w:start w:val="1"/>
      <w:numFmt w:val="decimal"/>
      <w:lvlText w:val="%2."/>
      <w:lvlJc w:val="left"/>
      <w:pPr>
        <w:tabs>
          <w:tab w:val="num" w:pos="1440"/>
        </w:tabs>
        <w:ind w:left="1440" w:hanging="360"/>
      </w:pPr>
    </w:lvl>
    <w:lvl w:ilvl="2" w:tplc="937468BE" w:tentative="1">
      <w:start w:val="1"/>
      <w:numFmt w:val="decimal"/>
      <w:lvlText w:val="%3."/>
      <w:lvlJc w:val="left"/>
      <w:pPr>
        <w:tabs>
          <w:tab w:val="num" w:pos="2160"/>
        </w:tabs>
        <w:ind w:left="2160" w:hanging="360"/>
      </w:pPr>
    </w:lvl>
    <w:lvl w:ilvl="3" w:tplc="AE0E04A4" w:tentative="1">
      <w:start w:val="1"/>
      <w:numFmt w:val="decimal"/>
      <w:lvlText w:val="%4."/>
      <w:lvlJc w:val="left"/>
      <w:pPr>
        <w:tabs>
          <w:tab w:val="num" w:pos="2880"/>
        </w:tabs>
        <w:ind w:left="2880" w:hanging="360"/>
      </w:pPr>
    </w:lvl>
    <w:lvl w:ilvl="4" w:tplc="65C6C898" w:tentative="1">
      <w:start w:val="1"/>
      <w:numFmt w:val="decimal"/>
      <w:lvlText w:val="%5."/>
      <w:lvlJc w:val="left"/>
      <w:pPr>
        <w:tabs>
          <w:tab w:val="num" w:pos="3600"/>
        </w:tabs>
        <w:ind w:left="3600" w:hanging="360"/>
      </w:pPr>
    </w:lvl>
    <w:lvl w:ilvl="5" w:tplc="201046DC" w:tentative="1">
      <w:start w:val="1"/>
      <w:numFmt w:val="decimal"/>
      <w:lvlText w:val="%6."/>
      <w:lvlJc w:val="left"/>
      <w:pPr>
        <w:tabs>
          <w:tab w:val="num" w:pos="4320"/>
        </w:tabs>
        <w:ind w:left="4320" w:hanging="360"/>
      </w:pPr>
    </w:lvl>
    <w:lvl w:ilvl="6" w:tplc="CC4AAE9C" w:tentative="1">
      <w:start w:val="1"/>
      <w:numFmt w:val="decimal"/>
      <w:lvlText w:val="%7."/>
      <w:lvlJc w:val="left"/>
      <w:pPr>
        <w:tabs>
          <w:tab w:val="num" w:pos="5040"/>
        </w:tabs>
        <w:ind w:left="5040" w:hanging="360"/>
      </w:pPr>
    </w:lvl>
    <w:lvl w:ilvl="7" w:tplc="17624976" w:tentative="1">
      <w:start w:val="1"/>
      <w:numFmt w:val="decimal"/>
      <w:lvlText w:val="%8."/>
      <w:lvlJc w:val="left"/>
      <w:pPr>
        <w:tabs>
          <w:tab w:val="num" w:pos="5760"/>
        </w:tabs>
        <w:ind w:left="5760" w:hanging="360"/>
      </w:pPr>
    </w:lvl>
    <w:lvl w:ilvl="8" w:tplc="B9684C74" w:tentative="1">
      <w:start w:val="1"/>
      <w:numFmt w:val="decimal"/>
      <w:lvlText w:val="%9."/>
      <w:lvlJc w:val="left"/>
      <w:pPr>
        <w:tabs>
          <w:tab w:val="num" w:pos="6480"/>
        </w:tabs>
        <w:ind w:left="6480" w:hanging="360"/>
      </w:pPr>
    </w:lvl>
  </w:abstractNum>
  <w:abstractNum w:abstractNumId="780">
    <w:nsid w:val="773C0BB3"/>
    <w:multiLevelType w:val="hybridMultilevel"/>
    <w:tmpl w:val="9CDE85F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81">
    <w:nsid w:val="77567150"/>
    <w:multiLevelType w:val="hybridMultilevel"/>
    <w:tmpl w:val="C06EF22E"/>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82">
    <w:nsid w:val="77AB2CD3"/>
    <w:multiLevelType w:val="hybridMultilevel"/>
    <w:tmpl w:val="9F88D13C"/>
    <w:lvl w:ilvl="0" w:tplc="6234C68E">
      <w:start w:val="1"/>
      <w:numFmt w:val="bullet"/>
      <w:lvlText w:val=""/>
      <w:lvlJc w:val="left"/>
      <w:pPr>
        <w:tabs>
          <w:tab w:val="num" w:pos="720"/>
        </w:tabs>
        <w:ind w:left="720" w:hanging="360"/>
      </w:pPr>
      <w:rPr>
        <w:rFonts w:ascii="Symbol" w:hAnsi="Symbol" w:hint="default"/>
        <w:sz w:val="20"/>
      </w:rPr>
    </w:lvl>
    <w:lvl w:ilvl="1" w:tplc="E1AC013A" w:tentative="1">
      <w:start w:val="1"/>
      <w:numFmt w:val="bullet"/>
      <w:lvlText w:val="o"/>
      <w:lvlJc w:val="left"/>
      <w:pPr>
        <w:tabs>
          <w:tab w:val="num" w:pos="1440"/>
        </w:tabs>
        <w:ind w:left="1440" w:hanging="360"/>
      </w:pPr>
      <w:rPr>
        <w:rFonts w:ascii="Courier New" w:hAnsi="Courier New" w:hint="default"/>
        <w:sz w:val="20"/>
      </w:rPr>
    </w:lvl>
    <w:lvl w:ilvl="2" w:tplc="58E23DAC" w:tentative="1">
      <w:start w:val="1"/>
      <w:numFmt w:val="bullet"/>
      <w:lvlText w:val=""/>
      <w:lvlJc w:val="left"/>
      <w:pPr>
        <w:tabs>
          <w:tab w:val="num" w:pos="2160"/>
        </w:tabs>
        <w:ind w:left="2160" w:hanging="360"/>
      </w:pPr>
      <w:rPr>
        <w:rFonts w:ascii="Wingdings" w:hAnsi="Wingdings" w:hint="default"/>
        <w:sz w:val="20"/>
      </w:rPr>
    </w:lvl>
    <w:lvl w:ilvl="3" w:tplc="69960F30" w:tentative="1">
      <w:start w:val="1"/>
      <w:numFmt w:val="bullet"/>
      <w:lvlText w:val=""/>
      <w:lvlJc w:val="left"/>
      <w:pPr>
        <w:tabs>
          <w:tab w:val="num" w:pos="2880"/>
        </w:tabs>
        <w:ind w:left="2880" w:hanging="360"/>
      </w:pPr>
      <w:rPr>
        <w:rFonts w:ascii="Wingdings" w:hAnsi="Wingdings" w:hint="default"/>
        <w:sz w:val="20"/>
      </w:rPr>
    </w:lvl>
    <w:lvl w:ilvl="4" w:tplc="F2D0BC2E" w:tentative="1">
      <w:start w:val="1"/>
      <w:numFmt w:val="bullet"/>
      <w:lvlText w:val=""/>
      <w:lvlJc w:val="left"/>
      <w:pPr>
        <w:tabs>
          <w:tab w:val="num" w:pos="3600"/>
        </w:tabs>
        <w:ind w:left="3600" w:hanging="360"/>
      </w:pPr>
      <w:rPr>
        <w:rFonts w:ascii="Wingdings" w:hAnsi="Wingdings" w:hint="default"/>
        <w:sz w:val="20"/>
      </w:rPr>
    </w:lvl>
    <w:lvl w:ilvl="5" w:tplc="EB468860" w:tentative="1">
      <w:start w:val="1"/>
      <w:numFmt w:val="bullet"/>
      <w:lvlText w:val=""/>
      <w:lvlJc w:val="left"/>
      <w:pPr>
        <w:tabs>
          <w:tab w:val="num" w:pos="4320"/>
        </w:tabs>
        <w:ind w:left="4320" w:hanging="360"/>
      </w:pPr>
      <w:rPr>
        <w:rFonts w:ascii="Wingdings" w:hAnsi="Wingdings" w:hint="default"/>
        <w:sz w:val="20"/>
      </w:rPr>
    </w:lvl>
    <w:lvl w:ilvl="6" w:tplc="378A3370" w:tentative="1">
      <w:start w:val="1"/>
      <w:numFmt w:val="bullet"/>
      <w:lvlText w:val=""/>
      <w:lvlJc w:val="left"/>
      <w:pPr>
        <w:tabs>
          <w:tab w:val="num" w:pos="5040"/>
        </w:tabs>
        <w:ind w:left="5040" w:hanging="360"/>
      </w:pPr>
      <w:rPr>
        <w:rFonts w:ascii="Wingdings" w:hAnsi="Wingdings" w:hint="default"/>
        <w:sz w:val="20"/>
      </w:rPr>
    </w:lvl>
    <w:lvl w:ilvl="7" w:tplc="C852982C" w:tentative="1">
      <w:start w:val="1"/>
      <w:numFmt w:val="bullet"/>
      <w:lvlText w:val=""/>
      <w:lvlJc w:val="left"/>
      <w:pPr>
        <w:tabs>
          <w:tab w:val="num" w:pos="5760"/>
        </w:tabs>
        <w:ind w:left="5760" w:hanging="360"/>
      </w:pPr>
      <w:rPr>
        <w:rFonts w:ascii="Wingdings" w:hAnsi="Wingdings" w:hint="default"/>
        <w:sz w:val="20"/>
      </w:rPr>
    </w:lvl>
    <w:lvl w:ilvl="8" w:tplc="40743202" w:tentative="1">
      <w:start w:val="1"/>
      <w:numFmt w:val="bullet"/>
      <w:lvlText w:val=""/>
      <w:lvlJc w:val="left"/>
      <w:pPr>
        <w:tabs>
          <w:tab w:val="num" w:pos="6480"/>
        </w:tabs>
        <w:ind w:left="6480" w:hanging="360"/>
      </w:pPr>
      <w:rPr>
        <w:rFonts w:ascii="Wingdings" w:hAnsi="Wingdings" w:hint="default"/>
        <w:sz w:val="20"/>
      </w:rPr>
    </w:lvl>
  </w:abstractNum>
  <w:abstractNum w:abstractNumId="783">
    <w:nsid w:val="78327A1D"/>
    <w:multiLevelType w:val="hybridMultilevel"/>
    <w:tmpl w:val="18C80F48"/>
    <w:lvl w:ilvl="0" w:tplc="3BA23654">
      <w:start w:val="1"/>
      <w:numFmt w:val="bullet"/>
      <w:lvlText w:val="-"/>
      <w:lvlJc w:val="left"/>
      <w:pPr>
        <w:ind w:left="720" w:hanging="360"/>
      </w:pPr>
      <w:rPr>
        <w:rFonts w:ascii="Verdana" w:hAnsi="Verdana"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84">
    <w:nsid w:val="78367E9D"/>
    <w:multiLevelType w:val="hybridMultilevel"/>
    <w:tmpl w:val="440CD14A"/>
    <w:lvl w:ilvl="0" w:tplc="7A241B56">
      <w:start w:val="1"/>
      <w:numFmt w:val="lowerLetter"/>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5">
    <w:nsid w:val="78687AD5"/>
    <w:multiLevelType w:val="hybridMultilevel"/>
    <w:tmpl w:val="46384C8E"/>
    <w:lvl w:ilvl="0" w:tplc="3BA23654">
      <w:start w:val="1"/>
      <w:numFmt w:val="bullet"/>
      <w:lvlText w:val="-"/>
      <w:lvlJc w:val="left"/>
      <w:pPr>
        <w:ind w:left="720" w:hanging="360"/>
      </w:pPr>
      <w:rPr>
        <w:rFonts w:ascii="Verdana" w:hAnsi="Verdana"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86">
    <w:nsid w:val="788F682F"/>
    <w:multiLevelType w:val="hybridMultilevel"/>
    <w:tmpl w:val="DB6A0EBE"/>
    <w:lvl w:ilvl="0" w:tplc="04150005">
      <w:start w:val="1"/>
      <w:numFmt w:val="bullet"/>
      <w:lvlText w:val=""/>
      <w:lvlJc w:val="left"/>
      <w:pPr>
        <w:tabs>
          <w:tab w:val="num" w:pos="720"/>
        </w:tabs>
        <w:ind w:left="720" w:hanging="360"/>
      </w:pPr>
      <w:rPr>
        <w:rFonts w:ascii="Wingdings" w:hAnsi="Wingdings" w:hint="default"/>
        <w:sz w:val="20"/>
      </w:rPr>
    </w:lvl>
    <w:lvl w:ilvl="1" w:tplc="9C84E924" w:tentative="1">
      <w:start w:val="1"/>
      <w:numFmt w:val="bullet"/>
      <w:lvlText w:val="o"/>
      <w:lvlJc w:val="left"/>
      <w:pPr>
        <w:tabs>
          <w:tab w:val="num" w:pos="1440"/>
        </w:tabs>
        <w:ind w:left="1440" w:hanging="360"/>
      </w:pPr>
      <w:rPr>
        <w:rFonts w:ascii="Courier New" w:hAnsi="Courier New" w:hint="default"/>
        <w:sz w:val="20"/>
      </w:rPr>
    </w:lvl>
    <w:lvl w:ilvl="2" w:tplc="BDEEC2DA" w:tentative="1">
      <w:start w:val="1"/>
      <w:numFmt w:val="bullet"/>
      <w:lvlText w:val=""/>
      <w:lvlJc w:val="left"/>
      <w:pPr>
        <w:tabs>
          <w:tab w:val="num" w:pos="2160"/>
        </w:tabs>
        <w:ind w:left="2160" w:hanging="360"/>
      </w:pPr>
      <w:rPr>
        <w:rFonts w:ascii="Wingdings" w:hAnsi="Wingdings" w:hint="default"/>
        <w:sz w:val="20"/>
      </w:rPr>
    </w:lvl>
    <w:lvl w:ilvl="3" w:tplc="B7A482F6" w:tentative="1">
      <w:start w:val="1"/>
      <w:numFmt w:val="bullet"/>
      <w:lvlText w:val=""/>
      <w:lvlJc w:val="left"/>
      <w:pPr>
        <w:tabs>
          <w:tab w:val="num" w:pos="2880"/>
        </w:tabs>
        <w:ind w:left="2880" w:hanging="360"/>
      </w:pPr>
      <w:rPr>
        <w:rFonts w:ascii="Wingdings" w:hAnsi="Wingdings" w:hint="default"/>
        <w:sz w:val="20"/>
      </w:rPr>
    </w:lvl>
    <w:lvl w:ilvl="4" w:tplc="795C2D5A" w:tentative="1">
      <w:start w:val="1"/>
      <w:numFmt w:val="bullet"/>
      <w:lvlText w:val=""/>
      <w:lvlJc w:val="left"/>
      <w:pPr>
        <w:tabs>
          <w:tab w:val="num" w:pos="3600"/>
        </w:tabs>
        <w:ind w:left="3600" w:hanging="360"/>
      </w:pPr>
      <w:rPr>
        <w:rFonts w:ascii="Wingdings" w:hAnsi="Wingdings" w:hint="default"/>
        <w:sz w:val="20"/>
      </w:rPr>
    </w:lvl>
    <w:lvl w:ilvl="5" w:tplc="5DB66262" w:tentative="1">
      <w:start w:val="1"/>
      <w:numFmt w:val="bullet"/>
      <w:lvlText w:val=""/>
      <w:lvlJc w:val="left"/>
      <w:pPr>
        <w:tabs>
          <w:tab w:val="num" w:pos="4320"/>
        </w:tabs>
        <w:ind w:left="4320" w:hanging="360"/>
      </w:pPr>
      <w:rPr>
        <w:rFonts w:ascii="Wingdings" w:hAnsi="Wingdings" w:hint="default"/>
        <w:sz w:val="20"/>
      </w:rPr>
    </w:lvl>
    <w:lvl w:ilvl="6" w:tplc="CE04EF3E" w:tentative="1">
      <w:start w:val="1"/>
      <w:numFmt w:val="bullet"/>
      <w:lvlText w:val=""/>
      <w:lvlJc w:val="left"/>
      <w:pPr>
        <w:tabs>
          <w:tab w:val="num" w:pos="5040"/>
        </w:tabs>
        <w:ind w:left="5040" w:hanging="360"/>
      </w:pPr>
      <w:rPr>
        <w:rFonts w:ascii="Wingdings" w:hAnsi="Wingdings" w:hint="default"/>
        <w:sz w:val="20"/>
      </w:rPr>
    </w:lvl>
    <w:lvl w:ilvl="7" w:tplc="C3181A3C" w:tentative="1">
      <w:start w:val="1"/>
      <w:numFmt w:val="bullet"/>
      <w:lvlText w:val=""/>
      <w:lvlJc w:val="left"/>
      <w:pPr>
        <w:tabs>
          <w:tab w:val="num" w:pos="5760"/>
        </w:tabs>
        <w:ind w:left="5760" w:hanging="360"/>
      </w:pPr>
      <w:rPr>
        <w:rFonts w:ascii="Wingdings" w:hAnsi="Wingdings" w:hint="default"/>
        <w:sz w:val="20"/>
      </w:rPr>
    </w:lvl>
    <w:lvl w:ilvl="8" w:tplc="AEFC7106" w:tentative="1">
      <w:start w:val="1"/>
      <w:numFmt w:val="bullet"/>
      <w:lvlText w:val=""/>
      <w:lvlJc w:val="left"/>
      <w:pPr>
        <w:tabs>
          <w:tab w:val="num" w:pos="6480"/>
        </w:tabs>
        <w:ind w:left="6480" w:hanging="360"/>
      </w:pPr>
      <w:rPr>
        <w:rFonts w:ascii="Wingdings" w:hAnsi="Wingdings" w:hint="default"/>
        <w:sz w:val="20"/>
      </w:rPr>
    </w:lvl>
  </w:abstractNum>
  <w:abstractNum w:abstractNumId="787">
    <w:nsid w:val="78CA38D5"/>
    <w:multiLevelType w:val="multilevel"/>
    <w:tmpl w:val="928C79D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8">
    <w:nsid w:val="78CD2A15"/>
    <w:multiLevelType w:val="hybridMultilevel"/>
    <w:tmpl w:val="5F12B116"/>
    <w:lvl w:ilvl="0" w:tplc="3BA23654">
      <w:start w:val="1"/>
      <w:numFmt w:val="bullet"/>
      <w:lvlText w:val="-"/>
      <w:lvlJc w:val="left"/>
      <w:pPr>
        <w:ind w:left="720" w:hanging="360"/>
      </w:pPr>
      <w:rPr>
        <w:rFonts w:ascii="Verdana" w:hAnsi="Verdana"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89">
    <w:nsid w:val="790B62AF"/>
    <w:multiLevelType w:val="hybridMultilevel"/>
    <w:tmpl w:val="1960CF86"/>
    <w:lvl w:ilvl="0" w:tplc="F8624EB6">
      <w:start w:val="1"/>
      <w:numFmt w:val="bullet"/>
      <w:lvlText w:val=""/>
      <w:lvlJc w:val="left"/>
      <w:pPr>
        <w:tabs>
          <w:tab w:val="num" w:pos="720"/>
        </w:tabs>
        <w:ind w:left="720" w:hanging="360"/>
      </w:pPr>
      <w:rPr>
        <w:rFonts w:ascii="Symbol" w:hAnsi="Symbol" w:hint="default"/>
        <w:sz w:val="20"/>
      </w:rPr>
    </w:lvl>
    <w:lvl w:ilvl="1" w:tplc="F844E17E" w:tentative="1">
      <w:start w:val="1"/>
      <w:numFmt w:val="bullet"/>
      <w:lvlText w:val="o"/>
      <w:lvlJc w:val="left"/>
      <w:pPr>
        <w:tabs>
          <w:tab w:val="num" w:pos="1440"/>
        </w:tabs>
        <w:ind w:left="1440" w:hanging="360"/>
      </w:pPr>
      <w:rPr>
        <w:rFonts w:ascii="Courier New" w:hAnsi="Courier New" w:hint="default"/>
        <w:sz w:val="20"/>
      </w:rPr>
    </w:lvl>
    <w:lvl w:ilvl="2" w:tplc="3844F6C8" w:tentative="1">
      <w:start w:val="1"/>
      <w:numFmt w:val="bullet"/>
      <w:lvlText w:val=""/>
      <w:lvlJc w:val="left"/>
      <w:pPr>
        <w:tabs>
          <w:tab w:val="num" w:pos="2160"/>
        </w:tabs>
        <w:ind w:left="2160" w:hanging="360"/>
      </w:pPr>
      <w:rPr>
        <w:rFonts w:ascii="Wingdings" w:hAnsi="Wingdings" w:hint="default"/>
        <w:sz w:val="20"/>
      </w:rPr>
    </w:lvl>
    <w:lvl w:ilvl="3" w:tplc="EBFE0282" w:tentative="1">
      <w:start w:val="1"/>
      <w:numFmt w:val="bullet"/>
      <w:lvlText w:val=""/>
      <w:lvlJc w:val="left"/>
      <w:pPr>
        <w:tabs>
          <w:tab w:val="num" w:pos="2880"/>
        </w:tabs>
        <w:ind w:left="2880" w:hanging="360"/>
      </w:pPr>
      <w:rPr>
        <w:rFonts w:ascii="Wingdings" w:hAnsi="Wingdings" w:hint="default"/>
        <w:sz w:val="20"/>
      </w:rPr>
    </w:lvl>
    <w:lvl w:ilvl="4" w:tplc="A5AAD760" w:tentative="1">
      <w:start w:val="1"/>
      <w:numFmt w:val="bullet"/>
      <w:lvlText w:val=""/>
      <w:lvlJc w:val="left"/>
      <w:pPr>
        <w:tabs>
          <w:tab w:val="num" w:pos="3600"/>
        </w:tabs>
        <w:ind w:left="3600" w:hanging="360"/>
      </w:pPr>
      <w:rPr>
        <w:rFonts w:ascii="Wingdings" w:hAnsi="Wingdings" w:hint="default"/>
        <w:sz w:val="20"/>
      </w:rPr>
    </w:lvl>
    <w:lvl w:ilvl="5" w:tplc="F7701B32" w:tentative="1">
      <w:start w:val="1"/>
      <w:numFmt w:val="bullet"/>
      <w:lvlText w:val=""/>
      <w:lvlJc w:val="left"/>
      <w:pPr>
        <w:tabs>
          <w:tab w:val="num" w:pos="4320"/>
        </w:tabs>
        <w:ind w:left="4320" w:hanging="360"/>
      </w:pPr>
      <w:rPr>
        <w:rFonts w:ascii="Wingdings" w:hAnsi="Wingdings" w:hint="default"/>
        <w:sz w:val="20"/>
      </w:rPr>
    </w:lvl>
    <w:lvl w:ilvl="6" w:tplc="AF943C6C" w:tentative="1">
      <w:start w:val="1"/>
      <w:numFmt w:val="bullet"/>
      <w:lvlText w:val=""/>
      <w:lvlJc w:val="left"/>
      <w:pPr>
        <w:tabs>
          <w:tab w:val="num" w:pos="5040"/>
        </w:tabs>
        <w:ind w:left="5040" w:hanging="360"/>
      </w:pPr>
      <w:rPr>
        <w:rFonts w:ascii="Wingdings" w:hAnsi="Wingdings" w:hint="default"/>
        <w:sz w:val="20"/>
      </w:rPr>
    </w:lvl>
    <w:lvl w:ilvl="7" w:tplc="673E377C" w:tentative="1">
      <w:start w:val="1"/>
      <w:numFmt w:val="bullet"/>
      <w:lvlText w:val=""/>
      <w:lvlJc w:val="left"/>
      <w:pPr>
        <w:tabs>
          <w:tab w:val="num" w:pos="5760"/>
        </w:tabs>
        <w:ind w:left="5760" w:hanging="360"/>
      </w:pPr>
      <w:rPr>
        <w:rFonts w:ascii="Wingdings" w:hAnsi="Wingdings" w:hint="default"/>
        <w:sz w:val="20"/>
      </w:rPr>
    </w:lvl>
    <w:lvl w:ilvl="8" w:tplc="02A6070E" w:tentative="1">
      <w:start w:val="1"/>
      <w:numFmt w:val="bullet"/>
      <w:lvlText w:val=""/>
      <w:lvlJc w:val="left"/>
      <w:pPr>
        <w:tabs>
          <w:tab w:val="num" w:pos="6480"/>
        </w:tabs>
        <w:ind w:left="6480" w:hanging="360"/>
      </w:pPr>
      <w:rPr>
        <w:rFonts w:ascii="Wingdings" w:hAnsi="Wingdings" w:hint="default"/>
        <w:sz w:val="20"/>
      </w:rPr>
    </w:lvl>
  </w:abstractNum>
  <w:abstractNum w:abstractNumId="790">
    <w:nsid w:val="792E30DB"/>
    <w:multiLevelType w:val="hybridMultilevel"/>
    <w:tmpl w:val="E1E6D30A"/>
    <w:lvl w:ilvl="0" w:tplc="3BA23654">
      <w:start w:val="1"/>
      <w:numFmt w:val="bullet"/>
      <w:lvlText w:val="-"/>
      <w:lvlJc w:val="left"/>
      <w:pPr>
        <w:ind w:left="720" w:hanging="360"/>
      </w:pPr>
      <w:rPr>
        <w:rFonts w:ascii="Verdana" w:hAnsi="Verdana"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91">
    <w:nsid w:val="79383600"/>
    <w:multiLevelType w:val="hybridMultilevel"/>
    <w:tmpl w:val="A3F2F618"/>
    <w:lvl w:ilvl="0" w:tplc="898C3B1A">
      <w:start w:val="1"/>
      <w:numFmt w:val="decimal"/>
      <w:lvlText w:val="%1."/>
      <w:lvlJc w:val="left"/>
      <w:pPr>
        <w:tabs>
          <w:tab w:val="num" w:pos="720"/>
        </w:tabs>
        <w:ind w:left="720" w:hanging="360"/>
      </w:pPr>
    </w:lvl>
    <w:lvl w:ilvl="1" w:tplc="D4E85530" w:tentative="1">
      <w:start w:val="1"/>
      <w:numFmt w:val="decimal"/>
      <w:lvlText w:val="%2."/>
      <w:lvlJc w:val="left"/>
      <w:pPr>
        <w:tabs>
          <w:tab w:val="num" w:pos="1440"/>
        </w:tabs>
        <w:ind w:left="1440" w:hanging="360"/>
      </w:pPr>
    </w:lvl>
    <w:lvl w:ilvl="2" w:tplc="6FCA2A3A" w:tentative="1">
      <w:start w:val="1"/>
      <w:numFmt w:val="decimal"/>
      <w:lvlText w:val="%3."/>
      <w:lvlJc w:val="left"/>
      <w:pPr>
        <w:tabs>
          <w:tab w:val="num" w:pos="2160"/>
        </w:tabs>
        <w:ind w:left="2160" w:hanging="360"/>
      </w:pPr>
    </w:lvl>
    <w:lvl w:ilvl="3" w:tplc="6484850E" w:tentative="1">
      <w:start w:val="1"/>
      <w:numFmt w:val="decimal"/>
      <w:lvlText w:val="%4."/>
      <w:lvlJc w:val="left"/>
      <w:pPr>
        <w:tabs>
          <w:tab w:val="num" w:pos="2880"/>
        </w:tabs>
        <w:ind w:left="2880" w:hanging="360"/>
      </w:pPr>
    </w:lvl>
    <w:lvl w:ilvl="4" w:tplc="FAB6D6B0" w:tentative="1">
      <w:start w:val="1"/>
      <w:numFmt w:val="decimal"/>
      <w:lvlText w:val="%5."/>
      <w:lvlJc w:val="left"/>
      <w:pPr>
        <w:tabs>
          <w:tab w:val="num" w:pos="3600"/>
        </w:tabs>
        <w:ind w:left="3600" w:hanging="360"/>
      </w:pPr>
    </w:lvl>
    <w:lvl w:ilvl="5" w:tplc="CBB8F9D6" w:tentative="1">
      <w:start w:val="1"/>
      <w:numFmt w:val="decimal"/>
      <w:lvlText w:val="%6."/>
      <w:lvlJc w:val="left"/>
      <w:pPr>
        <w:tabs>
          <w:tab w:val="num" w:pos="4320"/>
        </w:tabs>
        <w:ind w:left="4320" w:hanging="360"/>
      </w:pPr>
    </w:lvl>
    <w:lvl w:ilvl="6" w:tplc="1EF2B41C" w:tentative="1">
      <w:start w:val="1"/>
      <w:numFmt w:val="decimal"/>
      <w:lvlText w:val="%7."/>
      <w:lvlJc w:val="left"/>
      <w:pPr>
        <w:tabs>
          <w:tab w:val="num" w:pos="5040"/>
        </w:tabs>
        <w:ind w:left="5040" w:hanging="360"/>
      </w:pPr>
    </w:lvl>
    <w:lvl w:ilvl="7" w:tplc="2DEC2A68" w:tentative="1">
      <w:start w:val="1"/>
      <w:numFmt w:val="decimal"/>
      <w:lvlText w:val="%8."/>
      <w:lvlJc w:val="left"/>
      <w:pPr>
        <w:tabs>
          <w:tab w:val="num" w:pos="5760"/>
        </w:tabs>
        <w:ind w:left="5760" w:hanging="360"/>
      </w:pPr>
    </w:lvl>
    <w:lvl w:ilvl="8" w:tplc="3EC69D42" w:tentative="1">
      <w:start w:val="1"/>
      <w:numFmt w:val="decimal"/>
      <w:lvlText w:val="%9."/>
      <w:lvlJc w:val="left"/>
      <w:pPr>
        <w:tabs>
          <w:tab w:val="num" w:pos="6480"/>
        </w:tabs>
        <w:ind w:left="6480" w:hanging="360"/>
      </w:pPr>
    </w:lvl>
  </w:abstractNum>
  <w:abstractNum w:abstractNumId="792">
    <w:nsid w:val="79B864E7"/>
    <w:multiLevelType w:val="multilevel"/>
    <w:tmpl w:val="75861D62"/>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93">
    <w:nsid w:val="7A572989"/>
    <w:multiLevelType w:val="hybridMultilevel"/>
    <w:tmpl w:val="676054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94">
    <w:nsid w:val="7A7816C9"/>
    <w:multiLevelType w:val="hybridMultilevel"/>
    <w:tmpl w:val="CC1A86E8"/>
    <w:lvl w:ilvl="0" w:tplc="04150005">
      <w:start w:val="1"/>
      <w:numFmt w:val="bullet"/>
      <w:lvlText w:val=""/>
      <w:lvlJc w:val="left"/>
      <w:pPr>
        <w:tabs>
          <w:tab w:val="num" w:pos="720"/>
        </w:tabs>
        <w:ind w:left="720" w:hanging="360"/>
      </w:pPr>
      <w:rPr>
        <w:rFonts w:ascii="Wingdings" w:hAnsi="Wingdings" w:hint="default"/>
        <w:sz w:val="20"/>
      </w:rPr>
    </w:lvl>
    <w:lvl w:ilvl="1" w:tplc="C22EDD3A" w:tentative="1">
      <w:start w:val="1"/>
      <w:numFmt w:val="bullet"/>
      <w:lvlText w:val="o"/>
      <w:lvlJc w:val="left"/>
      <w:pPr>
        <w:tabs>
          <w:tab w:val="num" w:pos="1440"/>
        </w:tabs>
        <w:ind w:left="1440" w:hanging="360"/>
      </w:pPr>
      <w:rPr>
        <w:rFonts w:ascii="Courier New" w:hAnsi="Courier New" w:hint="default"/>
        <w:sz w:val="20"/>
      </w:rPr>
    </w:lvl>
    <w:lvl w:ilvl="2" w:tplc="BAFE3774" w:tentative="1">
      <w:start w:val="1"/>
      <w:numFmt w:val="bullet"/>
      <w:lvlText w:val=""/>
      <w:lvlJc w:val="left"/>
      <w:pPr>
        <w:tabs>
          <w:tab w:val="num" w:pos="2160"/>
        </w:tabs>
        <w:ind w:left="2160" w:hanging="360"/>
      </w:pPr>
      <w:rPr>
        <w:rFonts w:ascii="Wingdings" w:hAnsi="Wingdings" w:hint="default"/>
        <w:sz w:val="20"/>
      </w:rPr>
    </w:lvl>
    <w:lvl w:ilvl="3" w:tplc="D76CDDA0" w:tentative="1">
      <w:start w:val="1"/>
      <w:numFmt w:val="bullet"/>
      <w:lvlText w:val=""/>
      <w:lvlJc w:val="left"/>
      <w:pPr>
        <w:tabs>
          <w:tab w:val="num" w:pos="2880"/>
        </w:tabs>
        <w:ind w:left="2880" w:hanging="360"/>
      </w:pPr>
      <w:rPr>
        <w:rFonts w:ascii="Wingdings" w:hAnsi="Wingdings" w:hint="default"/>
        <w:sz w:val="20"/>
      </w:rPr>
    </w:lvl>
    <w:lvl w:ilvl="4" w:tplc="BC965B8C" w:tentative="1">
      <w:start w:val="1"/>
      <w:numFmt w:val="bullet"/>
      <w:lvlText w:val=""/>
      <w:lvlJc w:val="left"/>
      <w:pPr>
        <w:tabs>
          <w:tab w:val="num" w:pos="3600"/>
        </w:tabs>
        <w:ind w:left="3600" w:hanging="360"/>
      </w:pPr>
      <w:rPr>
        <w:rFonts w:ascii="Wingdings" w:hAnsi="Wingdings" w:hint="default"/>
        <w:sz w:val="20"/>
      </w:rPr>
    </w:lvl>
    <w:lvl w:ilvl="5" w:tplc="7550FA66" w:tentative="1">
      <w:start w:val="1"/>
      <w:numFmt w:val="bullet"/>
      <w:lvlText w:val=""/>
      <w:lvlJc w:val="left"/>
      <w:pPr>
        <w:tabs>
          <w:tab w:val="num" w:pos="4320"/>
        </w:tabs>
        <w:ind w:left="4320" w:hanging="360"/>
      </w:pPr>
      <w:rPr>
        <w:rFonts w:ascii="Wingdings" w:hAnsi="Wingdings" w:hint="default"/>
        <w:sz w:val="20"/>
      </w:rPr>
    </w:lvl>
    <w:lvl w:ilvl="6" w:tplc="A4747C1C" w:tentative="1">
      <w:start w:val="1"/>
      <w:numFmt w:val="bullet"/>
      <w:lvlText w:val=""/>
      <w:lvlJc w:val="left"/>
      <w:pPr>
        <w:tabs>
          <w:tab w:val="num" w:pos="5040"/>
        </w:tabs>
        <w:ind w:left="5040" w:hanging="360"/>
      </w:pPr>
      <w:rPr>
        <w:rFonts w:ascii="Wingdings" w:hAnsi="Wingdings" w:hint="default"/>
        <w:sz w:val="20"/>
      </w:rPr>
    </w:lvl>
    <w:lvl w:ilvl="7" w:tplc="B7C2FCB2" w:tentative="1">
      <w:start w:val="1"/>
      <w:numFmt w:val="bullet"/>
      <w:lvlText w:val=""/>
      <w:lvlJc w:val="left"/>
      <w:pPr>
        <w:tabs>
          <w:tab w:val="num" w:pos="5760"/>
        </w:tabs>
        <w:ind w:left="5760" w:hanging="360"/>
      </w:pPr>
      <w:rPr>
        <w:rFonts w:ascii="Wingdings" w:hAnsi="Wingdings" w:hint="default"/>
        <w:sz w:val="20"/>
      </w:rPr>
    </w:lvl>
    <w:lvl w:ilvl="8" w:tplc="D2E8863A" w:tentative="1">
      <w:start w:val="1"/>
      <w:numFmt w:val="bullet"/>
      <w:lvlText w:val=""/>
      <w:lvlJc w:val="left"/>
      <w:pPr>
        <w:tabs>
          <w:tab w:val="num" w:pos="6480"/>
        </w:tabs>
        <w:ind w:left="6480" w:hanging="360"/>
      </w:pPr>
      <w:rPr>
        <w:rFonts w:ascii="Wingdings" w:hAnsi="Wingdings" w:hint="default"/>
        <w:sz w:val="20"/>
      </w:rPr>
    </w:lvl>
  </w:abstractNum>
  <w:abstractNum w:abstractNumId="795">
    <w:nsid w:val="7AC12317"/>
    <w:multiLevelType w:val="hybridMultilevel"/>
    <w:tmpl w:val="B220131E"/>
    <w:lvl w:ilvl="0" w:tplc="AD2AA958">
      <w:start w:val="1"/>
      <w:numFmt w:val="bullet"/>
      <w:lvlText w:val=""/>
      <w:lvlJc w:val="left"/>
      <w:pPr>
        <w:tabs>
          <w:tab w:val="num" w:pos="720"/>
        </w:tabs>
        <w:ind w:left="720" w:hanging="360"/>
      </w:pPr>
      <w:rPr>
        <w:rFonts w:ascii="Symbol" w:hAnsi="Symbol" w:hint="default"/>
        <w:sz w:val="20"/>
      </w:rPr>
    </w:lvl>
    <w:lvl w:ilvl="1" w:tplc="43D80EBC" w:tentative="1">
      <w:start w:val="1"/>
      <w:numFmt w:val="bullet"/>
      <w:lvlText w:val="o"/>
      <w:lvlJc w:val="left"/>
      <w:pPr>
        <w:tabs>
          <w:tab w:val="num" w:pos="1440"/>
        </w:tabs>
        <w:ind w:left="1440" w:hanging="360"/>
      </w:pPr>
      <w:rPr>
        <w:rFonts w:ascii="Courier New" w:hAnsi="Courier New" w:hint="default"/>
        <w:sz w:val="20"/>
      </w:rPr>
    </w:lvl>
    <w:lvl w:ilvl="2" w:tplc="84B0C410" w:tentative="1">
      <w:start w:val="1"/>
      <w:numFmt w:val="bullet"/>
      <w:lvlText w:val=""/>
      <w:lvlJc w:val="left"/>
      <w:pPr>
        <w:tabs>
          <w:tab w:val="num" w:pos="2160"/>
        </w:tabs>
        <w:ind w:left="2160" w:hanging="360"/>
      </w:pPr>
      <w:rPr>
        <w:rFonts w:ascii="Wingdings" w:hAnsi="Wingdings" w:hint="default"/>
        <w:sz w:val="20"/>
      </w:rPr>
    </w:lvl>
    <w:lvl w:ilvl="3" w:tplc="481E1BA4" w:tentative="1">
      <w:start w:val="1"/>
      <w:numFmt w:val="bullet"/>
      <w:lvlText w:val=""/>
      <w:lvlJc w:val="left"/>
      <w:pPr>
        <w:tabs>
          <w:tab w:val="num" w:pos="2880"/>
        </w:tabs>
        <w:ind w:left="2880" w:hanging="360"/>
      </w:pPr>
      <w:rPr>
        <w:rFonts w:ascii="Wingdings" w:hAnsi="Wingdings" w:hint="default"/>
        <w:sz w:val="20"/>
      </w:rPr>
    </w:lvl>
    <w:lvl w:ilvl="4" w:tplc="E870B332" w:tentative="1">
      <w:start w:val="1"/>
      <w:numFmt w:val="bullet"/>
      <w:lvlText w:val=""/>
      <w:lvlJc w:val="left"/>
      <w:pPr>
        <w:tabs>
          <w:tab w:val="num" w:pos="3600"/>
        </w:tabs>
        <w:ind w:left="3600" w:hanging="360"/>
      </w:pPr>
      <w:rPr>
        <w:rFonts w:ascii="Wingdings" w:hAnsi="Wingdings" w:hint="default"/>
        <w:sz w:val="20"/>
      </w:rPr>
    </w:lvl>
    <w:lvl w:ilvl="5" w:tplc="1A3CEE0A" w:tentative="1">
      <w:start w:val="1"/>
      <w:numFmt w:val="bullet"/>
      <w:lvlText w:val=""/>
      <w:lvlJc w:val="left"/>
      <w:pPr>
        <w:tabs>
          <w:tab w:val="num" w:pos="4320"/>
        </w:tabs>
        <w:ind w:left="4320" w:hanging="360"/>
      </w:pPr>
      <w:rPr>
        <w:rFonts w:ascii="Wingdings" w:hAnsi="Wingdings" w:hint="default"/>
        <w:sz w:val="20"/>
      </w:rPr>
    </w:lvl>
    <w:lvl w:ilvl="6" w:tplc="8EC45EA6" w:tentative="1">
      <w:start w:val="1"/>
      <w:numFmt w:val="bullet"/>
      <w:lvlText w:val=""/>
      <w:lvlJc w:val="left"/>
      <w:pPr>
        <w:tabs>
          <w:tab w:val="num" w:pos="5040"/>
        </w:tabs>
        <w:ind w:left="5040" w:hanging="360"/>
      </w:pPr>
      <w:rPr>
        <w:rFonts w:ascii="Wingdings" w:hAnsi="Wingdings" w:hint="default"/>
        <w:sz w:val="20"/>
      </w:rPr>
    </w:lvl>
    <w:lvl w:ilvl="7" w:tplc="8876B930" w:tentative="1">
      <w:start w:val="1"/>
      <w:numFmt w:val="bullet"/>
      <w:lvlText w:val=""/>
      <w:lvlJc w:val="left"/>
      <w:pPr>
        <w:tabs>
          <w:tab w:val="num" w:pos="5760"/>
        </w:tabs>
        <w:ind w:left="5760" w:hanging="360"/>
      </w:pPr>
      <w:rPr>
        <w:rFonts w:ascii="Wingdings" w:hAnsi="Wingdings" w:hint="default"/>
        <w:sz w:val="20"/>
      </w:rPr>
    </w:lvl>
    <w:lvl w:ilvl="8" w:tplc="E8685A62" w:tentative="1">
      <w:start w:val="1"/>
      <w:numFmt w:val="bullet"/>
      <w:lvlText w:val=""/>
      <w:lvlJc w:val="left"/>
      <w:pPr>
        <w:tabs>
          <w:tab w:val="num" w:pos="6480"/>
        </w:tabs>
        <w:ind w:left="6480" w:hanging="360"/>
      </w:pPr>
      <w:rPr>
        <w:rFonts w:ascii="Wingdings" w:hAnsi="Wingdings" w:hint="default"/>
        <w:sz w:val="20"/>
      </w:rPr>
    </w:lvl>
  </w:abstractNum>
  <w:abstractNum w:abstractNumId="796">
    <w:nsid w:val="7AF316D7"/>
    <w:multiLevelType w:val="hybridMultilevel"/>
    <w:tmpl w:val="E15E5B98"/>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97">
    <w:nsid w:val="7B3D364E"/>
    <w:multiLevelType w:val="hybridMultilevel"/>
    <w:tmpl w:val="19309DDA"/>
    <w:lvl w:ilvl="0" w:tplc="3BA23654">
      <w:start w:val="1"/>
      <w:numFmt w:val="bullet"/>
      <w:lvlText w:val="-"/>
      <w:lvlJc w:val="left"/>
      <w:pPr>
        <w:ind w:left="720" w:hanging="360"/>
      </w:pPr>
      <w:rPr>
        <w:rFonts w:ascii="Verdana" w:hAnsi="Verdana"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98">
    <w:nsid w:val="7B454A1F"/>
    <w:multiLevelType w:val="multilevel"/>
    <w:tmpl w:val="565A3CEE"/>
    <w:lvl w:ilvl="0">
      <w:start w:val="1"/>
      <w:numFmt w:val="bullet"/>
      <w:lvlText w:val=""/>
      <w:lvlJc w:val="left"/>
      <w:pPr>
        <w:tabs>
          <w:tab w:val="num" w:pos="360"/>
        </w:tabs>
        <w:ind w:left="360" w:hanging="360"/>
      </w:pPr>
      <w:rPr>
        <w:rFonts w:ascii="Wingdings" w:hAnsi="Wingdings" w:cs="Wingdings" w:hint="default"/>
        <w:color w:val="auto"/>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99">
    <w:nsid w:val="7B77639E"/>
    <w:multiLevelType w:val="hybridMultilevel"/>
    <w:tmpl w:val="C4D84388"/>
    <w:lvl w:ilvl="0" w:tplc="3C0AD28A">
      <w:start w:val="1"/>
      <w:numFmt w:val="bullet"/>
      <w:lvlText w:val=""/>
      <w:lvlJc w:val="left"/>
      <w:pPr>
        <w:tabs>
          <w:tab w:val="num" w:pos="720"/>
        </w:tabs>
        <w:ind w:left="720" w:hanging="360"/>
      </w:pPr>
      <w:rPr>
        <w:rFonts w:ascii="Symbol" w:hAnsi="Symbol" w:hint="default"/>
        <w:sz w:val="20"/>
      </w:rPr>
    </w:lvl>
    <w:lvl w:ilvl="1" w:tplc="B5D40662" w:tentative="1">
      <w:start w:val="1"/>
      <w:numFmt w:val="bullet"/>
      <w:lvlText w:val="o"/>
      <w:lvlJc w:val="left"/>
      <w:pPr>
        <w:tabs>
          <w:tab w:val="num" w:pos="1440"/>
        </w:tabs>
        <w:ind w:left="1440" w:hanging="360"/>
      </w:pPr>
      <w:rPr>
        <w:rFonts w:ascii="Courier New" w:hAnsi="Courier New" w:hint="default"/>
        <w:sz w:val="20"/>
      </w:rPr>
    </w:lvl>
    <w:lvl w:ilvl="2" w:tplc="18E2E3F8" w:tentative="1">
      <w:start w:val="1"/>
      <w:numFmt w:val="bullet"/>
      <w:lvlText w:val=""/>
      <w:lvlJc w:val="left"/>
      <w:pPr>
        <w:tabs>
          <w:tab w:val="num" w:pos="2160"/>
        </w:tabs>
        <w:ind w:left="2160" w:hanging="360"/>
      </w:pPr>
      <w:rPr>
        <w:rFonts w:ascii="Wingdings" w:hAnsi="Wingdings" w:hint="default"/>
        <w:sz w:val="20"/>
      </w:rPr>
    </w:lvl>
    <w:lvl w:ilvl="3" w:tplc="236653BE" w:tentative="1">
      <w:start w:val="1"/>
      <w:numFmt w:val="bullet"/>
      <w:lvlText w:val=""/>
      <w:lvlJc w:val="left"/>
      <w:pPr>
        <w:tabs>
          <w:tab w:val="num" w:pos="2880"/>
        </w:tabs>
        <w:ind w:left="2880" w:hanging="360"/>
      </w:pPr>
      <w:rPr>
        <w:rFonts w:ascii="Wingdings" w:hAnsi="Wingdings" w:hint="default"/>
        <w:sz w:val="20"/>
      </w:rPr>
    </w:lvl>
    <w:lvl w:ilvl="4" w:tplc="17B860C8" w:tentative="1">
      <w:start w:val="1"/>
      <w:numFmt w:val="bullet"/>
      <w:lvlText w:val=""/>
      <w:lvlJc w:val="left"/>
      <w:pPr>
        <w:tabs>
          <w:tab w:val="num" w:pos="3600"/>
        </w:tabs>
        <w:ind w:left="3600" w:hanging="360"/>
      </w:pPr>
      <w:rPr>
        <w:rFonts w:ascii="Wingdings" w:hAnsi="Wingdings" w:hint="default"/>
        <w:sz w:val="20"/>
      </w:rPr>
    </w:lvl>
    <w:lvl w:ilvl="5" w:tplc="2E6AE78C" w:tentative="1">
      <w:start w:val="1"/>
      <w:numFmt w:val="bullet"/>
      <w:lvlText w:val=""/>
      <w:lvlJc w:val="left"/>
      <w:pPr>
        <w:tabs>
          <w:tab w:val="num" w:pos="4320"/>
        </w:tabs>
        <w:ind w:left="4320" w:hanging="360"/>
      </w:pPr>
      <w:rPr>
        <w:rFonts w:ascii="Wingdings" w:hAnsi="Wingdings" w:hint="default"/>
        <w:sz w:val="20"/>
      </w:rPr>
    </w:lvl>
    <w:lvl w:ilvl="6" w:tplc="9DE6F500" w:tentative="1">
      <w:start w:val="1"/>
      <w:numFmt w:val="bullet"/>
      <w:lvlText w:val=""/>
      <w:lvlJc w:val="left"/>
      <w:pPr>
        <w:tabs>
          <w:tab w:val="num" w:pos="5040"/>
        </w:tabs>
        <w:ind w:left="5040" w:hanging="360"/>
      </w:pPr>
      <w:rPr>
        <w:rFonts w:ascii="Wingdings" w:hAnsi="Wingdings" w:hint="default"/>
        <w:sz w:val="20"/>
      </w:rPr>
    </w:lvl>
    <w:lvl w:ilvl="7" w:tplc="B072AA04" w:tentative="1">
      <w:start w:val="1"/>
      <w:numFmt w:val="bullet"/>
      <w:lvlText w:val=""/>
      <w:lvlJc w:val="left"/>
      <w:pPr>
        <w:tabs>
          <w:tab w:val="num" w:pos="5760"/>
        </w:tabs>
        <w:ind w:left="5760" w:hanging="360"/>
      </w:pPr>
      <w:rPr>
        <w:rFonts w:ascii="Wingdings" w:hAnsi="Wingdings" w:hint="default"/>
        <w:sz w:val="20"/>
      </w:rPr>
    </w:lvl>
    <w:lvl w:ilvl="8" w:tplc="0BCABE66" w:tentative="1">
      <w:start w:val="1"/>
      <w:numFmt w:val="bullet"/>
      <w:lvlText w:val=""/>
      <w:lvlJc w:val="left"/>
      <w:pPr>
        <w:tabs>
          <w:tab w:val="num" w:pos="6480"/>
        </w:tabs>
        <w:ind w:left="6480" w:hanging="360"/>
      </w:pPr>
      <w:rPr>
        <w:rFonts w:ascii="Wingdings" w:hAnsi="Wingdings" w:hint="default"/>
        <w:sz w:val="20"/>
      </w:rPr>
    </w:lvl>
  </w:abstractNum>
  <w:abstractNum w:abstractNumId="800">
    <w:nsid w:val="7BA117A6"/>
    <w:multiLevelType w:val="hybridMultilevel"/>
    <w:tmpl w:val="D0A04758"/>
    <w:name w:val="WW8Num21222"/>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01">
    <w:nsid w:val="7BA66ABB"/>
    <w:multiLevelType w:val="hybridMultilevel"/>
    <w:tmpl w:val="93300646"/>
    <w:lvl w:ilvl="0" w:tplc="04150005">
      <w:start w:val="1"/>
      <w:numFmt w:val="bullet"/>
      <w:lvlText w:val=""/>
      <w:lvlJc w:val="left"/>
      <w:pPr>
        <w:ind w:left="720" w:hanging="360"/>
      </w:pPr>
      <w:rPr>
        <w:rFonts w:ascii="Wingdings" w:hAnsi="Wingdings" w:hint="default"/>
        <w:color w:val="auto"/>
        <w:szCs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02">
    <w:nsid w:val="7BA94415"/>
    <w:multiLevelType w:val="hybridMultilevel"/>
    <w:tmpl w:val="5AB8BFB6"/>
    <w:lvl w:ilvl="0" w:tplc="04150017">
      <w:start w:val="1"/>
      <w:numFmt w:val="lowerLetter"/>
      <w:lvlText w:val="%1)"/>
      <w:lvlJc w:val="left"/>
      <w:pPr>
        <w:ind w:left="720" w:hanging="360"/>
      </w:pPr>
    </w:lvl>
    <w:lvl w:ilvl="1" w:tplc="0415000F">
      <w:start w:val="1"/>
      <w:numFmt w:val="decimal"/>
      <w:lvlText w:val="%2."/>
      <w:lvlJc w:val="left"/>
      <w:pPr>
        <w:ind w:left="1440" w:hanging="360"/>
      </w:pPr>
      <w:rPr>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3">
    <w:nsid w:val="7BB175FA"/>
    <w:multiLevelType w:val="hybridMultilevel"/>
    <w:tmpl w:val="9764653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4">
    <w:nsid w:val="7BE31579"/>
    <w:multiLevelType w:val="hybridMultilevel"/>
    <w:tmpl w:val="E4BA5C28"/>
    <w:lvl w:ilvl="0" w:tplc="D6A656B6">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05">
    <w:nsid w:val="7C4F29B2"/>
    <w:multiLevelType w:val="multilevel"/>
    <w:tmpl w:val="9CA637A8"/>
    <w:lvl w:ilvl="0">
      <w:start w:val="1"/>
      <w:numFmt w:val="decimal"/>
      <w:lvlText w:val="%1."/>
      <w:lvlJc w:val="left"/>
      <w:pPr>
        <w:tabs>
          <w:tab w:val="num" w:pos="0"/>
        </w:tabs>
        <w:ind w:left="360" w:hanging="360"/>
      </w:pPr>
      <w:rPr>
        <w:rFonts w:hint="default"/>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806">
    <w:nsid w:val="7C6D2F99"/>
    <w:multiLevelType w:val="hybridMultilevel"/>
    <w:tmpl w:val="935EE54C"/>
    <w:lvl w:ilvl="0" w:tplc="2DE0360A">
      <w:start w:val="1"/>
      <w:numFmt w:val="bullet"/>
      <w:lvlText w:val=""/>
      <w:lvlJc w:val="left"/>
      <w:pPr>
        <w:tabs>
          <w:tab w:val="num" w:pos="1440"/>
        </w:tabs>
        <w:ind w:left="1440" w:hanging="360"/>
      </w:pPr>
      <w:rPr>
        <w:rFonts w:ascii="Wingdings" w:hAnsi="Wingdings" w:cs="Wingdings" w:hint="default"/>
        <w:color w:val="auto"/>
        <w:sz w:val="20"/>
      </w:rPr>
    </w:lvl>
    <w:lvl w:ilvl="1" w:tplc="94E8166C">
      <w:start w:val="1"/>
      <w:numFmt w:val="bullet"/>
      <w:lvlText w:val="o"/>
      <w:lvlJc w:val="left"/>
      <w:pPr>
        <w:tabs>
          <w:tab w:val="num" w:pos="1440"/>
        </w:tabs>
        <w:ind w:left="1440" w:hanging="360"/>
      </w:pPr>
      <w:rPr>
        <w:rFonts w:ascii="Courier New" w:hAnsi="Courier New" w:hint="default"/>
      </w:rPr>
    </w:lvl>
    <w:lvl w:ilvl="2" w:tplc="AA400E08" w:tentative="1">
      <w:start w:val="1"/>
      <w:numFmt w:val="bullet"/>
      <w:lvlText w:val=""/>
      <w:lvlJc w:val="left"/>
      <w:pPr>
        <w:tabs>
          <w:tab w:val="num" w:pos="2160"/>
        </w:tabs>
        <w:ind w:left="2160" w:hanging="360"/>
      </w:pPr>
      <w:rPr>
        <w:rFonts w:ascii="Wingdings" w:hAnsi="Wingdings" w:hint="default"/>
      </w:rPr>
    </w:lvl>
    <w:lvl w:ilvl="3" w:tplc="C4523396" w:tentative="1">
      <w:start w:val="1"/>
      <w:numFmt w:val="bullet"/>
      <w:lvlText w:val=""/>
      <w:lvlJc w:val="left"/>
      <w:pPr>
        <w:tabs>
          <w:tab w:val="num" w:pos="2880"/>
        </w:tabs>
        <w:ind w:left="2880" w:hanging="360"/>
      </w:pPr>
      <w:rPr>
        <w:rFonts w:ascii="Symbol" w:hAnsi="Symbol" w:hint="default"/>
      </w:rPr>
    </w:lvl>
    <w:lvl w:ilvl="4" w:tplc="5ADE6A30" w:tentative="1">
      <w:start w:val="1"/>
      <w:numFmt w:val="bullet"/>
      <w:lvlText w:val="o"/>
      <w:lvlJc w:val="left"/>
      <w:pPr>
        <w:tabs>
          <w:tab w:val="num" w:pos="3600"/>
        </w:tabs>
        <w:ind w:left="3600" w:hanging="360"/>
      </w:pPr>
      <w:rPr>
        <w:rFonts w:ascii="Courier New" w:hAnsi="Courier New" w:hint="default"/>
      </w:rPr>
    </w:lvl>
    <w:lvl w:ilvl="5" w:tplc="2BA850A2" w:tentative="1">
      <w:start w:val="1"/>
      <w:numFmt w:val="bullet"/>
      <w:lvlText w:val=""/>
      <w:lvlJc w:val="left"/>
      <w:pPr>
        <w:tabs>
          <w:tab w:val="num" w:pos="4320"/>
        </w:tabs>
        <w:ind w:left="4320" w:hanging="360"/>
      </w:pPr>
      <w:rPr>
        <w:rFonts w:ascii="Wingdings" w:hAnsi="Wingdings" w:hint="default"/>
      </w:rPr>
    </w:lvl>
    <w:lvl w:ilvl="6" w:tplc="D98E9C9C" w:tentative="1">
      <w:start w:val="1"/>
      <w:numFmt w:val="bullet"/>
      <w:lvlText w:val=""/>
      <w:lvlJc w:val="left"/>
      <w:pPr>
        <w:tabs>
          <w:tab w:val="num" w:pos="5040"/>
        </w:tabs>
        <w:ind w:left="5040" w:hanging="360"/>
      </w:pPr>
      <w:rPr>
        <w:rFonts w:ascii="Symbol" w:hAnsi="Symbol" w:hint="default"/>
      </w:rPr>
    </w:lvl>
    <w:lvl w:ilvl="7" w:tplc="BAE44C94" w:tentative="1">
      <w:start w:val="1"/>
      <w:numFmt w:val="bullet"/>
      <w:lvlText w:val="o"/>
      <w:lvlJc w:val="left"/>
      <w:pPr>
        <w:tabs>
          <w:tab w:val="num" w:pos="5760"/>
        </w:tabs>
        <w:ind w:left="5760" w:hanging="360"/>
      </w:pPr>
      <w:rPr>
        <w:rFonts w:ascii="Courier New" w:hAnsi="Courier New" w:hint="default"/>
      </w:rPr>
    </w:lvl>
    <w:lvl w:ilvl="8" w:tplc="464E6FD4" w:tentative="1">
      <w:start w:val="1"/>
      <w:numFmt w:val="bullet"/>
      <w:lvlText w:val=""/>
      <w:lvlJc w:val="left"/>
      <w:pPr>
        <w:tabs>
          <w:tab w:val="num" w:pos="6480"/>
        </w:tabs>
        <w:ind w:left="6480" w:hanging="360"/>
      </w:pPr>
      <w:rPr>
        <w:rFonts w:ascii="Wingdings" w:hAnsi="Wingdings" w:hint="default"/>
      </w:rPr>
    </w:lvl>
  </w:abstractNum>
  <w:abstractNum w:abstractNumId="807">
    <w:nsid w:val="7C784B87"/>
    <w:multiLevelType w:val="hybridMultilevel"/>
    <w:tmpl w:val="62FCC8E6"/>
    <w:lvl w:ilvl="0" w:tplc="0415000F">
      <w:start w:val="20"/>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08">
    <w:nsid w:val="7C941FA7"/>
    <w:multiLevelType w:val="hybridMultilevel"/>
    <w:tmpl w:val="12441F56"/>
    <w:lvl w:ilvl="0" w:tplc="04150005">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809">
    <w:nsid w:val="7C952C81"/>
    <w:multiLevelType w:val="hybridMultilevel"/>
    <w:tmpl w:val="05C831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0">
    <w:nsid w:val="7CB172BA"/>
    <w:multiLevelType w:val="hybridMultilevel"/>
    <w:tmpl w:val="0E94C1F8"/>
    <w:lvl w:ilvl="0" w:tplc="04150005">
      <w:start w:val="1"/>
      <w:numFmt w:val="bullet"/>
      <w:lvlText w:val=""/>
      <w:lvlJc w:val="left"/>
      <w:pPr>
        <w:tabs>
          <w:tab w:val="num" w:pos="720"/>
        </w:tabs>
        <w:ind w:left="720" w:hanging="360"/>
      </w:pPr>
      <w:rPr>
        <w:rFonts w:ascii="Wingdings" w:hAnsi="Wingdings" w:hint="default"/>
        <w:sz w:val="20"/>
      </w:rPr>
    </w:lvl>
    <w:lvl w:ilvl="1" w:tplc="C264017C" w:tentative="1">
      <w:start w:val="1"/>
      <w:numFmt w:val="bullet"/>
      <w:lvlText w:val="o"/>
      <w:lvlJc w:val="left"/>
      <w:pPr>
        <w:tabs>
          <w:tab w:val="num" w:pos="1440"/>
        </w:tabs>
        <w:ind w:left="1440" w:hanging="360"/>
      </w:pPr>
      <w:rPr>
        <w:rFonts w:ascii="Courier New" w:hAnsi="Courier New" w:hint="default"/>
        <w:sz w:val="20"/>
      </w:rPr>
    </w:lvl>
    <w:lvl w:ilvl="2" w:tplc="72B647FE" w:tentative="1">
      <w:start w:val="1"/>
      <w:numFmt w:val="bullet"/>
      <w:lvlText w:val=""/>
      <w:lvlJc w:val="left"/>
      <w:pPr>
        <w:tabs>
          <w:tab w:val="num" w:pos="2160"/>
        </w:tabs>
        <w:ind w:left="2160" w:hanging="360"/>
      </w:pPr>
      <w:rPr>
        <w:rFonts w:ascii="Wingdings" w:hAnsi="Wingdings" w:hint="default"/>
        <w:sz w:val="20"/>
      </w:rPr>
    </w:lvl>
    <w:lvl w:ilvl="3" w:tplc="2F38060A" w:tentative="1">
      <w:start w:val="1"/>
      <w:numFmt w:val="bullet"/>
      <w:lvlText w:val=""/>
      <w:lvlJc w:val="left"/>
      <w:pPr>
        <w:tabs>
          <w:tab w:val="num" w:pos="2880"/>
        </w:tabs>
        <w:ind w:left="2880" w:hanging="360"/>
      </w:pPr>
      <w:rPr>
        <w:rFonts w:ascii="Wingdings" w:hAnsi="Wingdings" w:hint="default"/>
        <w:sz w:val="20"/>
      </w:rPr>
    </w:lvl>
    <w:lvl w:ilvl="4" w:tplc="2278B518" w:tentative="1">
      <w:start w:val="1"/>
      <w:numFmt w:val="bullet"/>
      <w:lvlText w:val=""/>
      <w:lvlJc w:val="left"/>
      <w:pPr>
        <w:tabs>
          <w:tab w:val="num" w:pos="3600"/>
        </w:tabs>
        <w:ind w:left="3600" w:hanging="360"/>
      </w:pPr>
      <w:rPr>
        <w:rFonts w:ascii="Wingdings" w:hAnsi="Wingdings" w:hint="default"/>
        <w:sz w:val="20"/>
      </w:rPr>
    </w:lvl>
    <w:lvl w:ilvl="5" w:tplc="EB0A8600" w:tentative="1">
      <w:start w:val="1"/>
      <w:numFmt w:val="bullet"/>
      <w:lvlText w:val=""/>
      <w:lvlJc w:val="left"/>
      <w:pPr>
        <w:tabs>
          <w:tab w:val="num" w:pos="4320"/>
        </w:tabs>
        <w:ind w:left="4320" w:hanging="360"/>
      </w:pPr>
      <w:rPr>
        <w:rFonts w:ascii="Wingdings" w:hAnsi="Wingdings" w:hint="default"/>
        <w:sz w:val="20"/>
      </w:rPr>
    </w:lvl>
    <w:lvl w:ilvl="6" w:tplc="2E68921A" w:tentative="1">
      <w:start w:val="1"/>
      <w:numFmt w:val="bullet"/>
      <w:lvlText w:val=""/>
      <w:lvlJc w:val="left"/>
      <w:pPr>
        <w:tabs>
          <w:tab w:val="num" w:pos="5040"/>
        </w:tabs>
        <w:ind w:left="5040" w:hanging="360"/>
      </w:pPr>
      <w:rPr>
        <w:rFonts w:ascii="Wingdings" w:hAnsi="Wingdings" w:hint="default"/>
        <w:sz w:val="20"/>
      </w:rPr>
    </w:lvl>
    <w:lvl w:ilvl="7" w:tplc="9CF4A37C" w:tentative="1">
      <w:start w:val="1"/>
      <w:numFmt w:val="bullet"/>
      <w:lvlText w:val=""/>
      <w:lvlJc w:val="left"/>
      <w:pPr>
        <w:tabs>
          <w:tab w:val="num" w:pos="5760"/>
        </w:tabs>
        <w:ind w:left="5760" w:hanging="360"/>
      </w:pPr>
      <w:rPr>
        <w:rFonts w:ascii="Wingdings" w:hAnsi="Wingdings" w:hint="default"/>
        <w:sz w:val="20"/>
      </w:rPr>
    </w:lvl>
    <w:lvl w:ilvl="8" w:tplc="6DD893A0" w:tentative="1">
      <w:start w:val="1"/>
      <w:numFmt w:val="bullet"/>
      <w:lvlText w:val=""/>
      <w:lvlJc w:val="left"/>
      <w:pPr>
        <w:tabs>
          <w:tab w:val="num" w:pos="6480"/>
        </w:tabs>
        <w:ind w:left="6480" w:hanging="360"/>
      </w:pPr>
      <w:rPr>
        <w:rFonts w:ascii="Wingdings" w:hAnsi="Wingdings" w:hint="default"/>
        <w:sz w:val="20"/>
      </w:rPr>
    </w:lvl>
  </w:abstractNum>
  <w:abstractNum w:abstractNumId="811">
    <w:nsid w:val="7CFE7A5E"/>
    <w:multiLevelType w:val="hybridMultilevel"/>
    <w:tmpl w:val="5F6415F2"/>
    <w:lvl w:ilvl="0" w:tplc="04150005">
      <w:start w:val="1"/>
      <w:numFmt w:val="bullet"/>
      <w:lvlText w:val=""/>
      <w:lvlJc w:val="left"/>
      <w:pPr>
        <w:ind w:left="1070" w:hanging="360"/>
      </w:pPr>
      <w:rPr>
        <w:rFonts w:ascii="Wingdings" w:hAnsi="Wingdings" w:hint="default"/>
      </w:rPr>
    </w:lvl>
    <w:lvl w:ilvl="1" w:tplc="04150003" w:tentative="1">
      <w:start w:val="1"/>
      <w:numFmt w:val="bullet"/>
      <w:lvlText w:val="o"/>
      <w:lvlJc w:val="left"/>
      <w:pPr>
        <w:ind w:left="1790" w:hanging="360"/>
      </w:pPr>
      <w:rPr>
        <w:rFonts w:ascii="Courier New" w:hAnsi="Courier New" w:cs="Courier New" w:hint="default"/>
      </w:rPr>
    </w:lvl>
    <w:lvl w:ilvl="2" w:tplc="04150005" w:tentative="1">
      <w:start w:val="1"/>
      <w:numFmt w:val="bullet"/>
      <w:lvlText w:val=""/>
      <w:lvlJc w:val="left"/>
      <w:pPr>
        <w:ind w:left="2510" w:hanging="360"/>
      </w:pPr>
      <w:rPr>
        <w:rFonts w:ascii="Wingdings" w:hAnsi="Wingdings" w:hint="default"/>
      </w:rPr>
    </w:lvl>
    <w:lvl w:ilvl="3" w:tplc="04150001" w:tentative="1">
      <w:start w:val="1"/>
      <w:numFmt w:val="bullet"/>
      <w:lvlText w:val=""/>
      <w:lvlJc w:val="left"/>
      <w:pPr>
        <w:ind w:left="3230" w:hanging="360"/>
      </w:pPr>
      <w:rPr>
        <w:rFonts w:ascii="Symbol" w:hAnsi="Symbol" w:hint="default"/>
      </w:rPr>
    </w:lvl>
    <w:lvl w:ilvl="4" w:tplc="04150003" w:tentative="1">
      <w:start w:val="1"/>
      <w:numFmt w:val="bullet"/>
      <w:lvlText w:val="o"/>
      <w:lvlJc w:val="left"/>
      <w:pPr>
        <w:ind w:left="3950" w:hanging="360"/>
      </w:pPr>
      <w:rPr>
        <w:rFonts w:ascii="Courier New" w:hAnsi="Courier New" w:cs="Courier New" w:hint="default"/>
      </w:rPr>
    </w:lvl>
    <w:lvl w:ilvl="5" w:tplc="04150005" w:tentative="1">
      <w:start w:val="1"/>
      <w:numFmt w:val="bullet"/>
      <w:lvlText w:val=""/>
      <w:lvlJc w:val="left"/>
      <w:pPr>
        <w:ind w:left="4670" w:hanging="360"/>
      </w:pPr>
      <w:rPr>
        <w:rFonts w:ascii="Wingdings" w:hAnsi="Wingdings" w:hint="default"/>
      </w:rPr>
    </w:lvl>
    <w:lvl w:ilvl="6" w:tplc="04150001" w:tentative="1">
      <w:start w:val="1"/>
      <w:numFmt w:val="bullet"/>
      <w:lvlText w:val=""/>
      <w:lvlJc w:val="left"/>
      <w:pPr>
        <w:ind w:left="5390" w:hanging="360"/>
      </w:pPr>
      <w:rPr>
        <w:rFonts w:ascii="Symbol" w:hAnsi="Symbol" w:hint="default"/>
      </w:rPr>
    </w:lvl>
    <w:lvl w:ilvl="7" w:tplc="04150003" w:tentative="1">
      <w:start w:val="1"/>
      <w:numFmt w:val="bullet"/>
      <w:lvlText w:val="o"/>
      <w:lvlJc w:val="left"/>
      <w:pPr>
        <w:ind w:left="6110" w:hanging="360"/>
      </w:pPr>
      <w:rPr>
        <w:rFonts w:ascii="Courier New" w:hAnsi="Courier New" w:cs="Courier New" w:hint="default"/>
      </w:rPr>
    </w:lvl>
    <w:lvl w:ilvl="8" w:tplc="04150005" w:tentative="1">
      <w:start w:val="1"/>
      <w:numFmt w:val="bullet"/>
      <w:lvlText w:val=""/>
      <w:lvlJc w:val="left"/>
      <w:pPr>
        <w:ind w:left="6830" w:hanging="360"/>
      </w:pPr>
      <w:rPr>
        <w:rFonts w:ascii="Wingdings" w:hAnsi="Wingdings" w:hint="default"/>
      </w:rPr>
    </w:lvl>
  </w:abstractNum>
  <w:abstractNum w:abstractNumId="812">
    <w:nsid w:val="7D1867E5"/>
    <w:multiLevelType w:val="hybridMultilevel"/>
    <w:tmpl w:val="13A6301E"/>
    <w:lvl w:ilvl="0" w:tplc="04150005">
      <w:start w:val="1"/>
      <w:numFmt w:val="bullet"/>
      <w:lvlText w:val=""/>
      <w:lvlJc w:val="left"/>
      <w:pPr>
        <w:ind w:left="720" w:hanging="360"/>
      </w:pPr>
      <w:rPr>
        <w:rFonts w:ascii="Wingdings" w:hAnsi="Wingdings" w:hint="default"/>
      </w:rPr>
    </w:lvl>
    <w:lvl w:ilvl="1" w:tplc="04150003">
      <w:start w:val="1"/>
      <w:numFmt w:val="decimal"/>
      <w:lvlText w:val="%2."/>
      <w:lvlJc w:val="left"/>
      <w:pPr>
        <w:tabs>
          <w:tab w:val="num" w:pos="1440"/>
        </w:tabs>
        <w:ind w:left="1440" w:hanging="360"/>
      </w:pPr>
      <w:rPr>
        <w:rFonts w:ascii="Times New Roman" w:hAnsi="Times New Roman" w:cs="Times New Roman"/>
      </w:rPr>
    </w:lvl>
    <w:lvl w:ilvl="2" w:tplc="04150005">
      <w:start w:val="1"/>
      <w:numFmt w:val="decimal"/>
      <w:lvlText w:val="%3."/>
      <w:lvlJc w:val="left"/>
      <w:pPr>
        <w:tabs>
          <w:tab w:val="num" w:pos="2160"/>
        </w:tabs>
        <w:ind w:left="2160" w:hanging="360"/>
      </w:pPr>
      <w:rPr>
        <w:rFonts w:ascii="Times New Roman" w:hAnsi="Times New Roman" w:cs="Times New Roman"/>
      </w:rPr>
    </w:lvl>
    <w:lvl w:ilvl="3" w:tplc="04150001">
      <w:start w:val="1"/>
      <w:numFmt w:val="decimal"/>
      <w:lvlText w:val="%4."/>
      <w:lvlJc w:val="left"/>
      <w:pPr>
        <w:tabs>
          <w:tab w:val="num" w:pos="2880"/>
        </w:tabs>
        <w:ind w:left="2880" w:hanging="360"/>
      </w:pPr>
      <w:rPr>
        <w:rFonts w:ascii="Times New Roman" w:hAnsi="Times New Roman" w:cs="Times New Roman"/>
      </w:rPr>
    </w:lvl>
    <w:lvl w:ilvl="4" w:tplc="04150003">
      <w:start w:val="1"/>
      <w:numFmt w:val="decimal"/>
      <w:lvlText w:val="%5."/>
      <w:lvlJc w:val="left"/>
      <w:pPr>
        <w:tabs>
          <w:tab w:val="num" w:pos="3600"/>
        </w:tabs>
        <w:ind w:left="3600" w:hanging="360"/>
      </w:pPr>
      <w:rPr>
        <w:rFonts w:ascii="Times New Roman" w:hAnsi="Times New Roman" w:cs="Times New Roman"/>
      </w:rPr>
    </w:lvl>
    <w:lvl w:ilvl="5" w:tplc="04150005">
      <w:start w:val="1"/>
      <w:numFmt w:val="decimal"/>
      <w:lvlText w:val="%6."/>
      <w:lvlJc w:val="left"/>
      <w:pPr>
        <w:tabs>
          <w:tab w:val="num" w:pos="4320"/>
        </w:tabs>
        <w:ind w:left="4320" w:hanging="360"/>
      </w:pPr>
      <w:rPr>
        <w:rFonts w:ascii="Times New Roman" w:hAnsi="Times New Roman" w:cs="Times New Roman"/>
      </w:rPr>
    </w:lvl>
    <w:lvl w:ilvl="6" w:tplc="04150001">
      <w:start w:val="1"/>
      <w:numFmt w:val="decimal"/>
      <w:lvlText w:val="%7."/>
      <w:lvlJc w:val="left"/>
      <w:pPr>
        <w:tabs>
          <w:tab w:val="num" w:pos="5040"/>
        </w:tabs>
        <w:ind w:left="5040" w:hanging="360"/>
      </w:pPr>
      <w:rPr>
        <w:rFonts w:ascii="Times New Roman" w:hAnsi="Times New Roman" w:cs="Times New Roman"/>
      </w:rPr>
    </w:lvl>
    <w:lvl w:ilvl="7" w:tplc="04150003">
      <w:start w:val="1"/>
      <w:numFmt w:val="decimal"/>
      <w:lvlText w:val="%8."/>
      <w:lvlJc w:val="left"/>
      <w:pPr>
        <w:tabs>
          <w:tab w:val="num" w:pos="5760"/>
        </w:tabs>
        <w:ind w:left="5760" w:hanging="360"/>
      </w:pPr>
      <w:rPr>
        <w:rFonts w:ascii="Times New Roman" w:hAnsi="Times New Roman" w:cs="Times New Roman"/>
      </w:rPr>
    </w:lvl>
    <w:lvl w:ilvl="8" w:tplc="04150005">
      <w:start w:val="1"/>
      <w:numFmt w:val="decimal"/>
      <w:lvlText w:val="%9."/>
      <w:lvlJc w:val="left"/>
      <w:pPr>
        <w:tabs>
          <w:tab w:val="num" w:pos="6480"/>
        </w:tabs>
        <w:ind w:left="6480" w:hanging="360"/>
      </w:pPr>
      <w:rPr>
        <w:rFonts w:ascii="Times New Roman" w:hAnsi="Times New Roman" w:cs="Times New Roman"/>
      </w:rPr>
    </w:lvl>
  </w:abstractNum>
  <w:abstractNum w:abstractNumId="813">
    <w:nsid w:val="7D4875D5"/>
    <w:multiLevelType w:val="hybridMultilevel"/>
    <w:tmpl w:val="FF341416"/>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14">
    <w:nsid w:val="7D7F4BDE"/>
    <w:multiLevelType w:val="hybridMultilevel"/>
    <w:tmpl w:val="0EDEA20C"/>
    <w:lvl w:ilvl="0" w:tplc="3366309E">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B4B4E052">
      <w:start w:val="1"/>
      <w:numFmt w:val="decimal"/>
      <w:lvlText w:val="%4."/>
      <w:lvlJc w:val="left"/>
      <w:pPr>
        <w:ind w:left="2062" w:hanging="360"/>
      </w:pPr>
      <w:rPr>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5">
    <w:nsid w:val="7EFF6399"/>
    <w:multiLevelType w:val="hybridMultilevel"/>
    <w:tmpl w:val="F514899C"/>
    <w:lvl w:ilvl="0" w:tplc="04150005">
      <w:start w:val="1"/>
      <w:numFmt w:val="bullet"/>
      <w:lvlText w:val=""/>
      <w:lvlJc w:val="left"/>
      <w:pPr>
        <w:ind w:left="360" w:hanging="360"/>
      </w:pPr>
      <w:rPr>
        <w:rFonts w:ascii="Wingdings" w:hAnsi="Wingdings" w:cs="Wingdings" w:hint="default"/>
      </w:rPr>
    </w:lvl>
    <w:lvl w:ilvl="1" w:tplc="D6A656B6">
      <w:numFmt w:val="bullet"/>
      <w:lvlText w:val="-"/>
      <w:lvlJc w:val="left"/>
      <w:pPr>
        <w:ind w:left="1080" w:hanging="360"/>
      </w:pPr>
      <w:rPr>
        <w:rFonts w:ascii="Times New Roman" w:eastAsia="Times New Roman" w:hAnsi="Times New Roman" w:cs="Times New Roman"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num w:numId="1">
    <w:abstractNumId w:val="725"/>
  </w:num>
  <w:num w:numId="2">
    <w:abstractNumId w:val="429"/>
  </w:num>
  <w:num w:numId="3">
    <w:abstractNumId w:val="596"/>
  </w:num>
  <w:num w:numId="4">
    <w:abstractNumId w:val="288"/>
  </w:num>
  <w:num w:numId="5">
    <w:abstractNumId w:val="806"/>
  </w:num>
  <w:num w:numId="6">
    <w:abstractNumId w:val="756"/>
  </w:num>
  <w:num w:numId="7">
    <w:abstractNumId w:val="652"/>
  </w:num>
  <w:num w:numId="8">
    <w:abstractNumId w:val="193"/>
  </w:num>
  <w:num w:numId="9">
    <w:abstractNumId w:val="420"/>
  </w:num>
  <w:num w:numId="10">
    <w:abstractNumId w:val="444"/>
  </w:num>
  <w:num w:numId="11">
    <w:abstractNumId w:val="705"/>
  </w:num>
  <w:num w:numId="12">
    <w:abstractNumId w:val="583"/>
  </w:num>
  <w:num w:numId="13">
    <w:abstractNumId w:val="248"/>
  </w:num>
  <w:num w:numId="14">
    <w:abstractNumId w:val="521"/>
  </w:num>
  <w:num w:numId="15">
    <w:abstractNumId w:val="712"/>
  </w:num>
  <w:num w:numId="16">
    <w:abstractNumId w:val="526"/>
  </w:num>
  <w:num w:numId="17">
    <w:abstractNumId w:val="487"/>
  </w:num>
  <w:num w:numId="18">
    <w:abstractNumId w:val="547"/>
  </w:num>
  <w:num w:numId="19">
    <w:abstractNumId w:val="14"/>
  </w:num>
  <w:num w:numId="20">
    <w:abstractNumId w:val="733"/>
  </w:num>
  <w:num w:numId="21">
    <w:abstractNumId w:val="723"/>
  </w:num>
  <w:num w:numId="22">
    <w:abstractNumId w:val="4"/>
  </w:num>
  <w:num w:numId="23">
    <w:abstractNumId w:val="6"/>
  </w:num>
  <w:num w:numId="24">
    <w:abstractNumId w:val="2"/>
  </w:num>
  <w:num w:numId="25">
    <w:abstractNumId w:val="525"/>
  </w:num>
  <w:num w:numId="26">
    <w:abstractNumId w:val="623"/>
  </w:num>
  <w:num w:numId="27">
    <w:abstractNumId w:val="415"/>
  </w:num>
  <w:num w:numId="28">
    <w:abstractNumId w:val="182"/>
  </w:num>
  <w:num w:numId="29">
    <w:abstractNumId w:val="555"/>
  </w:num>
  <w:num w:numId="30">
    <w:abstractNumId w:val="148"/>
  </w:num>
  <w:num w:numId="31">
    <w:abstractNumId w:val="687"/>
  </w:num>
  <w:num w:numId="32">
    <w:abstractNumId w:val="576"/>
  </w:num>
  <w:num w:numId="33">
    <w:abstractNumId w:val="478"/>
  </w:num>
  <w:num w:numId="34">
    <w:abstractNumId w:val="448"/>
  </w:num>
  <w:num w:numId="35">
    <w:abstractNumId w:val="519"/>
  </w:num>
  <w:num w:numId="36">
    <w:abstractNumId w:val="798"/>
  </w:num>
  <w:num w:numId="37">
    <w:abstractNumId w:val="318"/>
  </w:num>
  <w:num w:numId="38">
    <w:abstractNumId w:val="439"/>
  </w:num>
  <w:num w:numId="39">
    <w:abstractNumId w:val="374"/>
  </w:num>
  <w:num w:numId="40">
    <w:abstractNumId w:val="185"/>
  </w:num>
  <w:num w:numId="41">
    <w:abstractNumId w:val="649"/>
  </w:num>
  <w:num w:numId="42">
    <w:abstractNumId w:val="611"/>
  </w:num>
  <w:num w:numId="43">
    <w:abstractNumId w:val="419"/>
  </w:num>
  <w:num w:numId="44">
    <w:abstractNumId w:val="343"/>
  </w:num>
  <w:num w:numId="45">
    <w:abstractNumId w:val="147"/>
  </w:num>
  <w:num w:numId="46">
    <w:abstractNumId w:val="777"/>
  </w:num>
  <w:num w:numId="47">
    <w:abstractNumId w:val="431"/>
  </w:num>
  <w:num w:numId="48">
    <w:abstractNumId w:val="303"/>
  </w:num>
  <w:num w:numId="49">
    <w:abstractNumId w:val="641"/>
  </w:num>
  <w:num w:numId="50">
    <w:abstractNumId w:val="492"/>
  </w:num>
  <w:num w:numId="51">
    <w:abstractNumId w:val="599"/>
  </w:num>
  <w:num w:numId="52">
    <w:abstractNumId w:val="597"/>
  </w:num>
  <w:num w:numId="53">
    <w:abstractNumId w:val="624"/>
  </w:num>
  <w:num w:numId="54">
    <w:abstractNumId w:val="229"/>
  </w:num>
  <w:num w:numId="55">
    <w:abstractNumId w:val="757"/>
  </w:num>
  <w:num w:numId="56">
    <w:abstractNumId w:val="700"/>
  </w:num>
  <w:num w:numId="57">
    <w:abstractNumId w:val="752"/>
  </w:num>
  <w:num w:numId="58">
    <w:abstractNumId w:val="1"/>
  </w:num>
  <w:num w:numId="59">
    <w:abstractNumId w:val="696"/>
  </w:num>
  <w:num w:numId="60">
    <w:abstractNumId w:val="713"/>
  </w:num>
  <w:num w:numId="61">
    <w:abstractNumId w:val="668"/>
  </w:num>
  <w:num w:numId="62">
    <w:abstractNumId w:val="612"/>
  </w:num>
  <w:num w:numId="63">
    <w:abstractNumId w:val="511"/>
  </w:num>
  <w:num w:numId="64">
    <w:abstractNumId w:val="311"/>
  </w:num>
  <w:num w:numId="65">
    <w:abstractNumId w:val="814"/>
  </w:num>
  <w:num w:numId="66">
    <w:abstractNumId w:val="537"/>
  </w:num>
  <w:num w:numId="67">
    <w:abstractNumId w:val="802"/>
  </w:num>
  <w:num w:numId="68">
    <w:abstractNumId w:val="600"/>
  </w:num>
  <w:num w:numId="69">
    <w:abstractNumId w:val="544"/>
  </w:num>
  <w:num w:numId="70">
    <w:abstractNumId w:val="630"/>
  </w:num>
  <w:num w:numId="71">
    <w:abstractNumId w:val="413"/>
  </w:num>
  <w:num w:numId="72">
    <w:abstractNumId w:val="412"/>
  </w:num>
  <w:num w:numId="73">
    <w:abstractNumId w:val="196"/>
  </w:num>
  <w:num w:numId="74">
    <w:abstractNumId w:val="160"/>
  </w:num>
  <w:num w:numId="75">
    <w:abstractNumId w:val="628"/>
  </w:num>
  <w:num w:numId="76">
    <w:abstractNumId w:val="678"/>
  </w:num>
  <w:num w:numId="77">
    <w:abstractNumId w:val="446"/>
  </w:num>
  <w:num w:numId="78">
    <w:abstractNumId w:val="151"/>
  </w:num>
  <w:num w:numId="79">
    <w:abstractNumId w:val="163"/>
  </w:num>
  <w:num w:numId="80">
    <w:abstractNumId w:val="739"/>
  </w:num>
  <w:num w:numId="81">
    <w:abstractNumId w:val="710"/>
  </w:num>
  <w:num w:numId="82">
    <w:abstractNumId w:val="335"/>
  </w:num>
  <w:num w:numId="83">
    <w:abstractNumId w:val="356"/>
  </w:num>
  <w:num w:numId="84">
    <w:abstractNumId w:val="514"/>
  </w:num>
  <w:num w:numId="85">
    <w:abstractNumId w:val="156"/>
  </w:num>
  <w:num w:numId="86">
    <w:abstractNumId w:val="380"/>
  </w:num>
  <w:num w:numId="87">
    <w:abstractNumId w:val="180"/>
  </w:num>
  <w:num w:numId="88">
    <w:abstractNumId w:val="199"/>
  </w:num>
  <w:num w:numId="89">
    <w:abstractNumId w:val="803"/>
  </w:num>
  <w:num w:numId="90">
    <w:abstractNumId w:val="567"/>
  </w:num>
  <w:num w:numId="91">
    <w:abstractNumId w:val="295"/>
  </w:num>
  <w:num w:numId="92">
    <w:abstractNumId w:val="661"/>
  </w:num>
  <w:num w:numId="93">
    <w:abstractNumId w:val="579"/>
  </w:num>
  <w:num w:numId="94">
    <w:abstractNumId w:val="316"/>
  </w:num>
  <w:num w:numId="95">
    <w:abstractNumId w:val="441"/>
  </w:num>
  <w:num w:numId="96">
    <w:abstractNumId w:val="698"/>
  </w:num>
  <w:num w:numId="97">
    <w:abstractNumId w:val="3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720"/>
  </w:num>
  <w:num w:numId="99">
    <w:abstractNumId w:val="569"/>
  </w:num>
  <w:num w:numId="100">
    <w:abstractNumId w:val="186"/>
  </w:num>
  <w:num w:numId="101">
    <w:abstractNumId w:val="447"/>
  </w:num>
  <w:num w:numId="102">
    <w:abstractNumId w:val="527"/>
  </w:num>
  <w:num w:numId="103">
    <w:abstractNumId w:val="637"/>
  </w:num>
  <w:num w:numId="104">
    <w:abstractNumId w:val="455"/>
  </w:num>
  <w:num w:numId="105">
    <w:abstractNumId w:val="340"/>
  </w:num>
  <w:num w:numId="106">
    <w:abstractNumId w:val="146"/>
  </w:num>
  <w:num w:numId="107">
    <w:abstractNumId w:val="759"/>
  </w:num>
  <w:num w:numId="108">
    <w:abstractNumId w:val="805"/>
  </w:num>
  <w:num w:numId="109">
    <w:abstractNumId w:val="389"/>
  </w:num>
  <w:num w:numId="110">
    <w:abstractNumId w:val="208"/>
  </w:num>
  <w:num w:numId="111">
    <w:abstractNumId w:val="562"/>
  </w:num>
  <w:num w:numId="112">
    <w:abstractNumId w:val="424"/>
  </w:num>
  <w:num w:numId="113">
    <w:abstractNumId w:val="7"/>
  </w:num>
  <w:num w:numId="114">
    <w:abstractNumId w:val="8"/>
  </w:num>
  <w:num w:numId="115">
    <w:abstractNumId w:val="9"/>
  </w:num>
  <w:num w:numId="116">
    <w:abstractNumId w:val="11"/>
  </w:num>
  <w:num w:numId="117">
    <w:abstractNumId w:val="13"/>
  </w:num>
  <w:num w:numId="118">
    <w:abstractNumId w:val="15"/>
  </w:num>
  <w:num w:numId="119">
    <w:abstractNumId w:val="16"/>
  </w:num>
  <w:num w:numId="120">
    <w:abstractNumId w:val="17"/>
  </w:num>
  <w:num w:numId="121">
    <w:abstractNumId w:val="18"/>
  </w:num>
  <w:num w:numId="122">
    <w:abstractNumId w:val="19"/>
  </w:num>
  <w:num w:numId="123">
    <w:abstractNumId w:val="20"/>
  </w:num>
  <w:num w:numId="124">
    <w:abstractNumId w:val="21"/>
  </w:num>
  <w:num w:numId="125">
    <w:abstractNumId w:val="23"/>
  </w:num>
  <w:num w:numId="126">
    <w:abstractNumId w:val="24"/>
  </w:num>
  <w:num w:numId="127">
    <w:abstractNumId w:val="25"/>
  </w:num>
  <w:num w:numId="128">
    <w:abstractNumId w:val="26"/>
  </w:num>
  <w:num w:numId="129">
    <w:abstractNumId w:val="27"/>
  </w:num>
  <w:num w:numId="130">
    <w:abstractNumId w:val="28"/>
  </w:num>
  <w:num w:numId="131">
    <w:abstractNumId w:val="29"/>
  </w:num>
  <w:num w:numId="132">
    <w:abstractNumId w:val="30"/>
  </w:num>
  <w:num w:numId="133">
    <w:abstractNumId w:val="32"/>
  </w:num>
  <w:num w:numId="134">
    <w:abstractNumId w:val="34"/>
  </w:num>
  <w:num w:numId="135">
    <w:abstractNumId w:val="36"/>
  </w:num>
  <w:num w:numId="136">
    <w:abstractNumId w:val="37"/>
  </w:num>
  <w:num w:numId="137">
    <w:abstractNumId w:val="38"/>
  </w:num>
  <w:num w:numId="138">
    <w:abstractNumId w:val="40"/>
  </w:num>
  <w:num w:numId="139">
    <w:abstractNumId w:val="654"/>
  </w:num>
  <w:num w:numId="140">
    <w:abstractNumId w:val="217"/>
  </w:num>
  <w:num w:numId="141">
    <w:abstractNumId w:val="197"/>
  </w:num>
  <w:num w:numId="142">
    <w:abstractNumId w:val="237"/>
  </w:num>
  <w:num w:numId="143">
    <w:abstractNumId w:val="714"/>
  </w:num>
  <w:num w:numId="144">
    <w:abstractNumId w:val="592"/>
  </w:num>
  <w:num w:numId="145">
    <w:abstractNumId w:val="342"/>
  </w:num>
  <w:num w:numId="146">
    <w:abstractNumId w:val="241"/>
  </w:num>
  <w:num w:numId="147">
    <w:abstractNumId w:val="764"/>
  </w:num>
  <w:num w:numId="148">
    <w:abstractNumId w:val="191"/>
  </w:num>
  <w:num w:numId="149">
    <w:abstractNumId w:val="280"/>
  </w:num>
  <w:num w:numId="150">
    <w:abstractNumId w:val="801"/>
  </w:num>
  <w:num w:numId="151">
    <w:abstractNumId w:val="717"/>
  </w:num>
  <w:num w:numId="152">
    <w:abstractNumId w:val="577"/>
  </w:num>
  <w:num w:numId="153">
    <w:abstractNumId w:val="581"/>
  </w:num>
  <w:num w:numId="154">
    <w:abstractNumId w:val="524"/>
  </w:num>
  <w:num w:numId="155">
    <w:abstractNumId w:val="150"/>
  </w:num>
  <w:num w:numId="156">
    <w:abstractNumId w:val="656"/>
  </w:num>
  <w:num w:numId="157">
    <w:abstractNumId w:val="631"/>
  </w:num>
  <w:num w:numId="158">
    <w:abstractNumId w:val="210"/>
  </w:num>
  <w:num w:numId="159">
    <w:abstractNumId w:val="724"/>
  </w:num>
  <w:num w:numId="160">
    <w:abstractNumId w:val="724"/>
  </w:num>
  <w:num w:numId="161">
    <w:abstractNumId w:val="502"/>
  </w:num>
  <w:num w:numId="162">
    <w:abstractNumId w:val="614"/>
  </w:num>
  <w:num w:numId="163">
    <w:abstractNumId w:val="533"/>
  </w:num>
  <w:num w:numId="164">
    <w:abstractNumId w:val="812"/>
  </w:num>
  <w:num w:numId="165">
    <w:abstractNumId w:val="626"/>
  </w:num>
  <w:num w:numId="166">
    <w:abstractNumId w:val="484"/>
  </w:num>
  <w:num w:numId="167">
    <w:abstractNumId w:val="243"/>
  </w:num>
  <w:num w:numId="168">
    <w:abstractNumId w:val="491"/>
  </w:num>
  <w:num w:numId="169">
    <w:abstractNumId w:val="324"/>
  </w:num>
  <w:num w:numId="170">
    <w:abstractNumId w:val="497"/>
  </w:num>
  <w:num w:numId="171">
    <w:abstractNumId w:val="661"/>
    <w:lvlOverride w:ilvl="0">
      <w:startOverride w:val="1"/>
    </w:lvlOverride>
  </w:num>
  <w:num w:numId="172">
    <w:abstractNumId w:val="162"/>
  </w:num>
  <w:num w:numId="173">
    <w:abstractNumId w:val="1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4">
    <w:abstractNumId w:val="1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5">
    <w:abstractNumId w:val="1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6">
    <w:abstractNumId w:val="1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7">
    <w:abstractNumId w:val="1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8">
    <w:abstractNumId w:val="787"/>
  </w:num>
  <w:num w:numId="179">
    <w:abstractNumId w:val="619"/>
  </w:num>
  <w:num w:numId="180">
    <w:abstractNumId w:val="475"/>
  </w:num>
  <w:num w:numId="181">
    <w:abstractNumId w:val="663"/>
  </w:num>
  <w:num w:numId="182">
    <w:abstractNumId w:val="174"/>
  </w:num>
  <w:num w:numId="183">
    <w:abstractNumId w:val="747"/>
  </w:num>
  <w:num w:numId="184">
    <w:abstractNumId w:val="505"/>
  </w:num>
  <w:num w:numId="185">
    <w:abstractNumId w:val="254"/>
  </w:num>
  <w:num w:numId="186">
    <w:abstractNumId w:val="625"/>
  </w:num>
  <w:num w:numId="187">
    <w:abstractNumId w:val="566"/>
  </w:num>
  <w:num w:numId="188">
    <w:abstractNumId w:val="460"/>
  </w:num>
  <w:num w:numId="189">
    <w:abstractNumId w:val="260"/>
  </w:num>
  <w:num w:numId="190">
    <w:abstractNumId w:val="411"/>
  </w:num>
  <w:num w:numId="191">
    <w:abstractNumId w:val="498"/>
  </w:num>
  <w:num w:numId="192">
    <w:abstractNumId w:val="793"/>
  </w:num>
  <w:num w:numId="193">
    <w:abstractNumId w:val="399"/>
  </w:num>
  <w:num w:numId="194">
    <w:abstractNumId w:val="178"/>
  </w:num>
  <w:num w:numId="195">
    <w:abstractNumId w:val="771"/>
  </w:num>
  <w:num w:numId="196">
    <w:abstractNumId w:val="172"/>
  </w:num>
  <w:num w:numId="197">
    <w:abstractNumId w:val="456"/>
  </w:num>
  <w:num w:numId="198">
    <w:abstractNumId w:val="154"/>
  </w:num>
  <w:num w:numId="199">
    <w:abstractNumId w:val="613"/>
  </w:num>
  <w:num w:numId="200">
    <w:abstractNumId w:val="573"/>
  </w:num>
  <w:num w:numId="201">
    <w:abstractNumId w:val="532"/>
  </w:num>
  <w:num w:numId="202">
    <w:abstractNumId w:val="225"/>
  </w:num>
  <w:num w:numId="203">
    <w:abstractNumId w:val="774"/>
  </w:num>
  <w:num w:numId="204">
    <w:abstractNumId w:val="563"/>
  </w:num>
  <w:num w:numId="205">
    <w:abstractNumId w:val="378"/>
  </w:num>
  <w:num w:numId="206">
    <w:abstractNumId w:val="558"/>
  </w:num>
  <w:num w:numId="207">
    <w:abstractNumId w:val="379"/>
  </w:num>
  <w:num w:numId="208">
    <w:abstractNumId w:val="582"/>
  </w:num>
  <w:num w:numId="209">
    <w:abstractNumId w:val="344"/>
  </w:num>
  <w:num w:numId="210">
    <w:abstractNumId w:val="647"/>
  </w:num>
  <w:num w:numId="211">
    <w:abstractNumId w:val="346"/>
  </w:num>
  <w:num w:numId="212">
    <w:abstractNumId w:val="287"/>
  </w:num>
  <w:num w:numId="213">
    <w:abstractNumId w:val="767"/>
  </w:num>
  <w:num w:numId="214">
    <w:abstractNumId w:val="353"/>
  </w:num>
  <w:num w:numId="215">
    <w:abstractNumId w:val="503"/>
  </w:num>
  <w:num w:numId="216">
    <w:abstractNumId w:val="737"/>
  </w:num>
  <w:num w:numId="217">
    <w:abstractNumId w:val="682"/>
  </w:num>
  <w:num w:numId="218">
    <w:abstractNumId w:val="307"/>
  </w:num>
  <w:num w:numId="219">
    <w:abstractNumId w:val="515"/>
  </w:num>
  <w:num w:numId="220">
    <w:abstractNumId w:val="215"/>
  </w:num>
  <w:num w:numId="221">
    <w:abstractNumId w:val="659"/>
  </w:num>
  <w:num w:numId="222">
    <w:abstractNumId w:val="706"/>
  </w:num>
  <w:num w:numId="223">
    <w:abstractNumId w:val="670"/>
  </w:num>
  <w:num w:numId="224">
    <w:abstractNumId w:val="548"/>
  </w:num>
  <w:num w:numId="225">
    <w:abstractNumId w:val="658"/>
  </w:num>
  <w:num w:numId="226">
    <w:abstractNumId w:val="211"/>
  </w:num>
  <w:num w:numId="227">
    <w:abstractNumId w:val="239"/>
  </w:num>
  <w:num w:numId="228">
    <w:abstractNumId w:val="141"/>
  </w:num>
  <w:num w:numId="229">
    <w:abstractNumId w:val="784"/>
  </w:num>
  <w:num w:numId="230">
    <w:abstractNumId w:val="587"/>
  </w:num>
  <w:num w:numId="231">
    <w:abstractNumId w:val="5"/>
  </w:num>
  <w:num w:numId="232">
    <w:abstractNumId w:val="615"/>
  </w:num>
  <w:num w:numId="233">
    <w:abstractNumId w:val="568"/>
  </w:num>
  <w:num w:numId="234">
    <w:abstractNumId w:val="219"/>
  </w:num>
  <w:num w:numId="235">
    <w:abstractNumId w:val="192"/>
  </w:num>
  <w:num w:numId="236">
    <w:abstractNumId w:val="367"/>
  </w:num>
  <w:num w:numId="237">
    <w:abstractNumId w:val="338"/>
  </w:num>
  <w:num w:numId="238">
    <w:abstractNumId w:val="212"/>
  </w:num>
  <w:num w:numId="239">
    <w:abstractNumId w:val="564"/>
  </w:num>
  <w:num w:numId="240">
    <w:abstractNumId w:val="144"/>
  </w:num>
  <w:num w:numId="241">
    <w:abstractNumId w:val="606"/>
  </w:num>
  <w:num w:numId="242">
    <w:abstractNumId w:val="660"/>
  </w:num>
  <w:num w:numId="243">
    <w:abstractNumId w:val="300"/>
  </w:num>
  <w:num w:numId="244">
    <w:abstractNumId w:val="251"/>
  </w:num>
  <w:num w:numId="245">
    <w:abstractNumId w:val="392"/>
  </w:num>
  <w:num w:numId="246">
    <w:abstractNumId w:val="770"/>
  </w:num>
  <w:num w:numId="247">
    <w:abstractNumId w:val="572"/>
  </w:num>
  <w:num w:numId="248">
    <w:abstractNumId w:val="749"/>
  </w:num>
  <w:num w:numId="249">
    <w:abstractNumId w:val="673"/>
  </w:num>
  <w:num w:numId="250">
    <w:abstractNumId w:val="198"/>
  </w:num>
  <w:num w:numId="251">
    <w:abstractNumId w:val="272"/>
  </w:num>
  <w:num w:numId="252">
    <w:abstractNumId w:val="621"/>
  </w:num>
  <w:num w:numId="253">
    <w:abstractNumId w:val="799"/>
  </w:num>
  <w:num w:numId="254">
    <w:abstractNumId w:val="761"/>
  </w:num>
  <w:num w:numId="255">
    <w:abstractNumId w:val="359"/>
  </w:num>
  <w:num w:numId="256">
    <w:abstractNumId w:val="166"/>
  </w:num>
  <w:num w:numId="257">
    <w:abstractNumId w:val="271"/>
  </w:num>
  <w:num w:numId="258">
    <w:abstractNumId w:val="312"/>
  </w:num>
  <w:num w:numId="259">
    <w:abstractNumId w:val="666"/>
  </w:num>
  <w:num w:numId="260">
    <w:abstractNumId w:val="607"/>
  </w:num>
  <w:num w:numId="261">
    <w:abstractNumId w:val="703"/>
  </w:num>
  <w:num w:numId="262">
    <w:abstractNumId w:val="690"/>
  </w:num>
  <w:num w:numId="263">
    <w:abstractNumId w:val="334"/>
  </w:num>
  <w:num w:numId="264">
    <w:abstractNumId w:val="730"/>
  </w:num>
  <w:num w:numId="265">
    <w:abstractNumId w:val="775"/>
  </w:num>
  <w:num w:numId="266">
    <w:abstractNumId w:val="711"/>
  </w:num>
  <w:num w:numId="267">
    <w:abstractNumId w:val="791"/>
  </w:num>
  <w:num w:numId="268">
    <w:abstractNumId w:val="538"/>
  </w:num>
  <w:num w:numId="269">
    <w:abstractNumId w:val="669"/>
  </w:num>
  <w:num w:numId="270">
    <w:abstractNumId w:val="618"/>
  </w:num>
  <w:num w:numId="271">
    <w:abstractNumId w:val="534"/>
  </w:num>
  <w:num w:numId="272">
    <w:abstractNumId w:val="414"/>
  </w:num>
  <w:num w:numId="273">
    <w:abstractNumId w:val="425"/>
  </w:num>
  <w:num w:numId="274">
    <w:abstractNumId w:val="595"/>
  </w:num>
  <w:num w:numId="275">
    <w:abstractNumId w:val="789"/>
  </w:num>
  <w:num w:numId="276">
    <w:abstractNumId w:val="782"/>
  </w:num>
  <w:num w:numId="277">
    <w:abstractNumId w:val="744"/>
  </w:num>
  <w:num w:numId="278">
    <w:abstractNumId w:val="694"/>
  </w:num>
  <w:num w:numId="279">
    <w:abstractNumId w:val="779"/>
  </w:num>
  <w:num w:numId="280">
    <w:abstractNumId w:val="408"/>
  </w:num>
  <w:num w:numId="281">
    <w:abstractNumId w:val="550"/>
  </w:num>
  <w:num w:numId="282">
    <w:abstractNumId w:val="722"/>
  </w:num>
  <w:num w:numId="283">
    <w:abstractNumId w:val="601"/>
  </w:num>
  <w:num w:numId="284">
    <w:abstractNumId w:val="479"/>
  </w:num>
  <w:num w:numId="285">
    <w:abstractNumId w:val="339"/>
  </w:num>
  <w:num w:numId="286">
    <w:abstractNumId w:val="531"/>
  </w:num>
  <w:num w:numId="287">
    <w:abstractNumId w:val="190"/>
  </w:num>
  <w:num w:numId="288">
    <w:abstractNumId w:val="306"/>
  </w:num>
  <w:num w:numId="289">
    <w:abstractNumId w:val="762"/>
  </w:num>
  <w:num w:numId="290">
    <w:abstractNumId w:val="598"/>
  </w:num>
  <w:num w:numId="291">
    <w:abstractNumId w:val="627"/>
  </w:num>
  <w:num w:numId="292">
    <w:abstractNumId w:val="380"/>
    <w:lvlOverride w:ilvl="0">
      <w:startOverride w:val="1"/>
    </w:lvlOverride>
  </w:num>
  <w:num w:numId="293">
    <w:abstractNumId w:val="436"/>
  </w:num>
  <w:num w:numId="294">
    <w:abstractNumId w:val="416"/>
  </w:num>
  <w:num w:numId="295">
    <w:abstractNumId w:val="325"/>
  </w:num>
  <w:num w:numId="296">
    <w:abstractNumId w:val="792"/>
  </w:num>
  <w:num w:numId="297">
    <w:abstractNumId w:val="282"/>
  </w:num>
  <w:num w:numId="298">
    <w:abstractNumId w:val="541"/>
  </w:num>
  <w:num w:numId="299">
    <w:abstractNumId w:val="699"/>
  </w:num>
  <w:num w:numId="300">
    <w:abstractNumId w:val="608"/>
  </w:num>
  <w:num w:numId="301">
    <w:abstractNumId w:val="207"/>
  </w:num>
  <w:num w:numId="302">
    <w:abstractNumId w:val="753"/>
  </w:num>
  <w:num w:numId="303">
    <w:abstractNumId w:val="320"/>
  </w:num>
  <w:num w:numId="304">
    <w:abstractNumId w:val="518"/>
  </w:num>
  <w:num w:numId="305">
    <w:abstractNumId w:val="542"/>
  </w:num>
  <w:num w:numId="306">
    <w:abstractNumId w:val="383"/>
  </w:num>
  <w:num w:numId="307">
    <w:abstractNumId w:val="758"/>
  </w:num>
  <w:num w:numId="308">
    <w:abstractNumId w:val="499"/>
  </w:num>
  <w:num w:numId="309">
    <w:abstractNumId w:val="679"/>
  </w:num>
  <w:num w:numId="310">
    <w:abstractNumId w:val="590"/>
  </w:num>
  <w:num w:numId="311">
    <w:abstractNumId w:val="741"/>
  </w:num>
  <w:num w:numId="312">
    <w:abstractNumId w:val="632"/>
  </w:num>
  <w:num w:numId="313">
    <w:abstractNumId w:val="167"/>
  </w:num>
  <w:num w:numId="314">
    <w:abstractNumId w:val="263"/>
  </w:num>
  <w:num w:numId="315">
    <w:abstractNumId w:val="457"/>
  </w:num>
  <w:num w:numId="316">
    <w:abstractNumId w:val="298"/>
  </w:num>
  <w:num w:numId="317">
    <w:abstractNumId w:val="616"/>
  </w:num>
  <w:num w:numId="318">
    <w:abstractNumId w:val="330"/>
  </w:num>
  <w:num w:numId="319">
    <w:abstractNumId w:val="347"/>
  </w:num>
  <w:num w:numId="320">
    <w:abstractNumId w:val="489"/>
  </w:num>
  <w:num w:numId="321">
    <w:abstractNumId w:val="539"/>
  </w:num>
  <w:num w:numId="322">
    <w:abstractNumId w:val="716"/>
  </w:num>
  <w:num w:numId="323">
    <w:abstractNumId w:val="290"/>
  </w:num>
  <w:num w:numId="324">
    <w:abstractNumId w:val="570"/>
  </w:num>
  <w:num w:numId="325">
    <w:abstractNumId w:val="423"/>
  </w:num>
  <w:num w:numId="326">
    <w:abstractNumId w:val="584"/>
  </w:num>
  <w:num w:numId="327">
    <w:abstractNumId w:val="490"/>
  </w:num>
  <w:num w:numId="328">
    <w:abstractNumId w:val="465"/>
  </w:num>
  <w:num w:numId="329">
    <w:abstractNumId w:val="474"/>
  </w:num>
  <w:num w:numId="330">
    <w:abstractNumId w:val="639"/>
  </w:num>
  <w:num w:numId="331">
    <w:abstractNumId w:val="778"/>
  </w:num>
  <w:num w:numId="332">
    <w:abstractNumId w:val="809"/>
  </w:num>
  <w:num w:numId="333">
    <w:abstractNumId w:val="189"/>
  </w:num>
  <w:num w:numId="334">
    <w:abstractNumId w:val="228"/>
  </w:num>
  <w:num w:numId="335">
    <w:abstractNumId w:val="364"/>
  </w:num>
  <w:num w:numId="336">
    <w:abstractNumId w:val="552"/>
  </w:num>
  <w:num w:numId="337">
    <w:abstractNumId w:val="358"/>
  </w:num>
  <w:num w:numId="338">
    <w:abstractNumId w:val="390"/>
  </w:num>
  <w:num w:numId="339">
    <w:abstractNumId w:val="245"/>
  </w:num>
  <w:num w:numId="340">
    <w:abstractNumId w:val="240"/>
  </w:num>
  <w:num w:numId="341">
    <w:abstractNumId w:val="494"/>
  </w:num>
  <w:num w:numId="342">
    <w:abstractNumId w:val="528"/>
  </w:num>
  <w:num w:numId="343">
    <w:abstractNumId w:val="158"/>
  </w:num>
  <w:num w:numId="344">
    <w:abstractNumId w:val="516"/>
  </w:num>
  <w:num w:numId="345">
    <w:abstractNumId w:val="269"/>
  </w:num>
  <w:num w:numId="346">
    <w:abstractNumId w:val="401"/>
  </w:num>
  <w:num w:numId="347">
    <w:abstractNumId w:val="422"/>
  </w:num>
  <w:num w:numId="348">
    <w:abstractNumId w:val="274"/>
  </w:num>
  <w:num w:numId="349">
    <w:abstractNumId w:val="800"/>
  </w:num>
  <w:num w:numId="350">
    <w:abstractNumId w:val="763"/>
  </w:num>
  <w:num w:numId="351">
    <w:abstractNumId w:val="588"/>
  </w:num>
  <w:num w:numId="352">
    <w:abstractNumId w:val="507"/>
  </w:num>
  <w:num w:numId="353">
    <w:abstractNumId w:val="688"/>
  </w:num>
  <w:num w:numId="354">
    <w:abstractNumId w:val="551"/>
  </w:num>
  <w:num w:numId="355">
    <w:abstractNumId w:val="139"/>
  </w:num>
  <w:num w:numId="356">
    <w:abstractNumId w:val="31"/>
  </w:num>
  <w:num w:numId="357">
    <w:abstractNumId w:val="299"/>
  </w:num>
  <w:num w:numId="358">
    <w:abstractNumId w:val="804"/>
  </w:num>
  <w:num w:numId="359">
    <w:abstractNumId w:val="41"/>
  </w:num>
  <w:num w:numId="360">
    <w:abstractNumId w:val="22"/>
  </w:num>
  <w:num w:numId="361">
    <w:abstractNumId w:val="43"/>
  </w:num>
  <w:num w:numId="362">
    <w:abstractNumId w:val="79"/>
  </w:num>
  <w:num w:numId="363">
    <w:abstractNumId w:val="80"/>
  </w:num>
  <w:num w:numId="364">
    <w:abstractNumId w:val="81"/>
  </w:num>
  <w:num w:numId="365">
    <w:abstractNumId w:val="82"/>
  </w:num>
  <w:num w:numId="366">
    <w:abstractNumId w:val="42"/>
  </w:num>
  <w:num w:numId="367">
    <w:abstractNumId w:val="44"/>
  </w:num>
  <w:num w:numId="368">
    <w:abstractNumId w:val="45"/>
  </w:num>
  <w:num w:numId="369">
    <w:abstractNumId w:val="46"/>
  </w:num>
  <w:num w:numId="370">
    <w:abstractNumId w:val="47"/>
  </w:num>
  <w:num w:numId="371">
    <w:abstractNumId w:val="48"/>
  </w:num>
  <w:num w:numId="372">
    <w:abstractNumId w:val="49"/>
  </w:num>
  <w:num w:numId="373">
    <w:abstractNumId w:val="50"/>
  </w:num>
  <w:num w:numId="374">
    <w:abstractNumId w:val="51"/>
  </w:num>
  <w:num w:numId="375">
    <w:abstractNumId w:val="52"/>
  </w:num>
  <w:num w:numId="376">
    <w:abstractNumId w:val="53"/>
  </w:num>
  <w:num w:numId="377">
    <w:abstractNumId w:val="54"/>
  </w:num>
  <w:num w:numId="378">
    <w:abstractNumId w:val="55"/>
  </w:num>
  <w:num w:numId="379">
    <w:abstractNumId w:val="56"/>
  </w:num>
  <w:num w:numId="380">
    <w:abstractNumId w:val="83"/>
  </w:num>
  <w:num w:numId="381">
    <w:abstractNumId w:val="84"/>
  </w:num>
  <w:num w:numId="382">
    <w:abstractNumId w:val="85"/>
  </w:num>
  <w:num w:numId="383">
    <w:abstractNumId w:val="807"/>
  </w:num>
  <w:num w:numId="384">
    <w:abstractNumId w:val="672"/>
  </w:num>
  <w:num w:numId="385">
    <w:abstractNumId w:val="78"/>
  </w:num>
  <w:num w:numId="386">
    <w:abstractNumId w:val="543"/>
  </w:num>
  <w:num w:numId="387">
    <w:abstractNumId w:val="188"/>
  </w:num>
  <w:num w:numId="388">
    <w:abstractNumId w:val="223"/>
  </w:num>
  <w:num w:numId="389">
    <w:abstractNumId w:val="382"/>
  </w:num>
  <w:num w:numId="390">
    <w:abstractNumId w:val="709"/>
  </w:num>
  <w:num w:numId="391">
    <w:abstractNumId w:val="350"/>
  </w:num>
  <w:num w:numId="392">
    <w:abstractNumId w:val="530"/>
  </w:num>
  <w:num w:numId="393">
    <w:abstractNumId w:val="369"/>
  </w:num>
  <w:num w:numId="394">
    <w:abstractNumId w:val="765"/>
  </w:num>
  <w:num w:numId="395">
    <w:abstractNumId w:val="811"/>
  </w:num>
  <w:num w:numId="396">
    <w:abstractNumId w:val="329"/>
  </w:num>
  <w:num w:numId="397">
    <w:abstractNumId w:val="224"/>
  </w:num>
  <w:num w:numId="398">
    <w:abstractNumId w:val="796"/>
  </w:num>
  <w:num w:numId="399">
    <w:abstractNumId w:val="813"/>
  </w:num>
  <w:num w:numId="400">
    <w:abstractNumId w:val="529"/>
  </w:num>
  <w:num w:numId="401">
    <w:abstractNumId w:val="556"/>
  </w:num>
  <w:num w:numId="402">
    <w:abstractNumId w:val="268"/>
  </w:num>
  <w:num w:numId="403">
    <w:abstractNumId w:val="676"/>
  </w:num>
  <w:num w:numId="404">
    <w:abstractNumId w:val="523"/>
  </w:num>
  <w:num w:numId="405">
    <w:abstractNumId w:val="557"/>
  </w:num>
  <w:num w:numId="406">
    <w:abstractNumId w:val="278"/>
  </w:num>
  <w:num w:numId="407">
    <w:abstractNumId w:val="365"/>
  </w:num>
  <w:num w:numId="408">
    <w:abstractNumId w:val="506"/>
  </w:num>
  <w:num w:numId="409">
    <w:abstractNumId w:val="184"/>
  </w:num>
  <w:num w:numId="410">
    <w:abstractNumId w:val="206"/>
  </w:num>
  <w:num w:numId="411">
    <w:abstractNumId w:val="480"/>
  </w:num>
  <w:num w:numId="412">
    <w:abstractNumId w:val="252"/>
  </w:num>
  <w:num w:numId="413">
    <w:abstractNumId w:val="244"/>
  </w:num>
  <w:num w:numId="414">
    <w:abstractNumId w:val="554"/>
  </w:num>
  <w:num w:numId="415">
    <w:abstractNumId w:val="808"/>
  </w:num>
  <w:num w:numId="416">
    <w:abstractNumId w:val="692"/>
  </w:num>
  <w:num w:numId="417">
    <w:abstractNumId w:val="388"/>
  </w:num>
  <w:num w:numId="418">
    <w:abstractNumId w:val="485"/>
  </w:num>
  <w:num w:numId="419">
    <w:abstractNumId w:val="540"/>
  </w:num>
  <w:num w:numId="420">
    <w:abstractNumId w:val="168"/>
  </w:num>
  <w:num w:numId="421">
    <w:abstractNumId w:val="508"/>
  </w:num>
  <w:num w:numId="422">
    <w:abstractNumId w:val="493"/>
  </w:num>
  <w:num w:numId="423">
    <w:abstractNumId w:val="391"/>
  </w:num>
  <w:num w:numId="424">
    <w:abstractNumId w:val="194"/>
  </w:num>
  <w:num w:numId="425">
    <w:abstractNumId w:val="387"/>
  </w:num>
  <w:num w:numId="426">
    <w:abstractNumId w:val="535"/>
  </w:num>
  <w:num w:numId="427">
    <w:abstractNumId w:val="381"/>
  </w:num>
  <w:num w:numId="428">
    <w:abstractNumId w:val="352"/>
  </w:num>
  <w:num w:numId="429">
    <w:abstractNumId w:val="264"/>
  </w:num>
  <w:num w:numId="430">
    <w:abstractNumId w:val="617"/>
  </w:num>
  <w:num w:numId="431">
    <w:abstractNumId w:val="766"/>
  </w:num>
  <w:num w:numId="432">
    <w:abstractNumId w:val="445"/>
  </w:num>
  <w:num w:numId="433">
    <w:abstractNumId w:val="289"/>
  </w:num>
  <w:num w:numId="434">
    <w:abstractNumId w:val="273"/>
  </w:num>
  <w:num w:numId="435">
    <w:abstractNumId w:val="255"/>
  </w:num>
  <w:num w:numId="436">
    <w:abstractNumId w:val="349"/>
  </w:num>
  <w:num w:numId="437">
    <w:abstractNumId w:val="319"/>
  </w:num>
  <w:num w:numId="438">
    <w:abstractNumId w:val="629"/>
  </w:num>
  <w:num w:numId="439">
    <w:abstractNumId w:val="693"/>
  </w:num>
  <w:num w:numId="440">
    <w:abstractNumId w:val="283"/>
  </w:num>
  <w:num w:numId="441">
    <w:abstractNumId w:val="249"/>
  </w:num>
  <w:num w:numId="442">
    <w:abstractNumId w:val="602"/>
  </w:num>
  <w:num w:numId="443">
    <w:abstractNumId w:val="187"/>
  </w:num>
  <w:num w:numId="444">
    <w:abstractNumId w:val="517"/>
  </w:num>
  <w:num w:numId="445">
    <w:abstractNumId w:val="545"/>
  </w:num>
  <w:num w:numId="446">
    <w:abstractNumId w:val="0"/>
  </w:num>
  <w:num w:numId="447">
    <w:abstractNumId w:val="795"/>
  </w:num>
  <w:num w:numId="448">
    <w:abstractNumId w:val="286"/>
  </w:num>
  <w:num w:numId="449">
    <w:abstractNumId w:val="571"/>
  </w:num>
  <w:num w:numId="450">
    <w:abstractNumId w:val="680"/>
  </w:num>
  <w:num w:numId="451">
    <w:abstractNumId w:val="702"/>
  </w:num>
  <w:num w:numId="452">
    <w:abstractNumId w:val="750"/>
  </w:num>
  <w:num w:numId="453">
    <w:abstractNumId w:val="377"/>
  </w:num>
  <w:num w:numId="454">
    <w:abstractNumId w:val="395"/>
  </w:num>
  <w:num w:numId="455">
    <w:abstractNumId w:val="202"/>
  </w:num>
  <w:num w:numId="456">
    <w:abstractNumId w:val="434"/>
  </w:num>
  <w:num w:numId="457">
    <w:abstractNumId w:val="785"/>
  </w:num>
  <w:num w:numId="458">
    <w:abstractNumId w:val="418"/>
  </w:num>
  <w:num w:numId="459">
    <w:abstractNumId w:val="159"/>
  </w:num>
  <w:num w:numId="460">
    <w:abstractNumId w:val="361"/>
  </w:num>
  <w:num w:numId="461">
    <w:abstractNumId w:val="671"/>
  </w:num>
  <w:num w:numId="462">
    <w:abstractNumId w:val="783"/>
  </w:num>
  <w:num w:numId="463">
    <w:abstractNumId w:val="409"/>
  </w:num>
  <w:num w:numId="464">
    <w:abstractNumId w:val="585"/>
  </w:num>
  <w:num w:numId="465">
    <w:abstractNumId w:val="200"/>
  </w:num>
  <w:num w:numId="466">
    <w:abstractNumId w:val="603"/>
  </w:num>
  <w:num w:numId="467">
    <w:abstractNumId w:val="314"/>
  </w:num>
  <w:num w:numId="468">
    <w:abstractNumId w:val="776"/>
  </w:num>
  <w:num w:numId="469">
    <w:abstractNumId w:val="677"/>
  </w:num>
  <w:num w:numId="470">
    <w:abstractNumId w:val="738"/>
  </w:num>
  <w:num w:numId="471">
    <w:abstractNumId w:val="790"/>
  </w:num>
  <w:num w:numId="472">
    <w:abstractNumId w:val="797"/>
  </w:num>
  <w:num w:numId="473">
    <w:abstractNumId w:val="195"/>
  </w:num>
  <w:num w:numId="474">
    <w:abstractNumId w:val="362"/>
  </w:num>
  <w:num w:numId="475">
    <w:abstractNumId w:val="218"/>
  </w:num>
  <w:num w:numId="476">
    <w:abstractNumId w:val="357"/>
  </w:num>
  <w:num w:numId="477">
    <w:abstractNumId w:val="788"/>
  </w:num>
  <w:num w:numId="478">
    <w:abstractNumId w:val="467"/>
  </w:num>
  <w:num w:numId="479">
    <w:abstractNumId w:val="701"/>
  </w:num>
  <w:num w:numId="480">
    <w:abstractNumId w:val="258"/>
  </w:num>
  <w:num w:numId="481">
    <w:abstractNumId w:val="216"/>
  </w:num>
  <w:num w:numId="482">
    <w:abstractNumId w:val="242"/>
  </w:num>
  <w:num w:numId="483">
    <w:abstractNumId w:val="213"/>
  </w:num>
  <w:num w:numId="484">
    <w:abstractNumId w:val="209"/>
  </w:num>
  <w:num w:numId="485">
    <w:abstractNumId w:val="227"/>
  </w:num>
  <w:num w:numId="486">
    <w:abstractNumId w:val="732"/>
  </w:num>
  <w:num w:numId="487">
    <w:abstractNumId w:val="743"/>
  </w:num>
  <w:num w:numId="488">
    <w:abstractNumId w:val="373"/>
  </w:num>
  <w:num w:numId="489">
    <w:abstractNumId w:val="234"/>
  </w:num>
  <w:num w:numId="490">
    <w:abstractNumId w:val="553"/>
  </w:num>
  <w:num w:numId="491">
    <w:abstractNumId w:val="333"/>
  </w:num>
  <w:num w:numId="492">
    <w:abstractNumId w:val="226"/>
  </w:num>
  <w:num w:numId="493">
    <w:abstractNumId w:val="214"/>
  </w:num>
  <w:num w:numId="494">
    <w:abstractNumId w:val="734"/>
  </w:num>
  <w:num w:numId="495">
    <w:abstractNumId w:val="368"/>
  </w:num>
  <w:num w:numId="496">
    <w:abstractNumId w:val="403"/>
  </w:num>
  <w:num w:numId="497">
    <w:abstractNumId w:val="262"/>
  </w:num>
  <w:num w:numId="498">
    <w:abstractNumId w:val="233"/>
  </w:num>
  <w:num w:numId="499">
    <w:abstractNumId w:val="575"/>
  </w:num>
  <w:num w:numId="500">
    <w:abstractNumId w:val="520"/>
  </w:num>
  <w:num w:numId="501">
    <w:abstractNumId w:val="715"/>
  </w:num>
  <w:num w:numId="502">
    <w:abstractNumId w:val="317"/>
  </w:num>
  <w:num w:numId="503">
    <w:abstractNumId w:val="285"/>
  </w:num>
  <w:num w:numId="504">
    <w:abstractNumId w:val="293"/>
  </w:num>
  <w:num w:numId="505">
    <w:abstractNumId w:val="327"/>
  </w:num>
  <w:num w:numId="506">
    <w:abstractNumId w:val="231"/>
  </w:num>
  <w:num w:numId="507">
    <w:abstractNumId w:val="653"/>
  </w:num>
  <w:num w:numId="508">
    <w:abstractNumId w:val="341"/>
  </w:num>
  <w:num w:numId="509">
    <w:abstractNumId w:val="501"/>
  </w:num>
  <w:num w:numId="510">
    <w:abstractNumId w:val="366"/>
  </w:num>
  <w:num w:numId="511">
    <w:abstractNumId w:val="386"/>
  </w:num>
  <w:num w:numId="512">
    <w:abstractNumId w:val="707"/>
  </w:num>
  <w:num w:numId="513">
    <w:abstractNumId w:val="430"/>
  </w:num>
  <w:num w:numId="514">
    <w:abstractNumId w:val="728"/>
  </w:num>
  <w:num w:numId="515">
    <w:abstractNumId w:val="435"/>
  </w:num>
  <w:num w:numId="516">
    <w:abstractNumId w:val="689"/>
  </w:num>
  <w:num w:numId="517">
    <w:abstractNumId w:val="549"/>
  </w:num>
  <w:num w:numId="518">
    <w:abstractNumId w:val="454"/>
  </w:num>
  <w:num w:numId="519">
    <w:abstractNumId w:val="466"/>
  </w:num>
  <w:num w:numId="520">
    <w:abstractNumId w:val="463"/>
  </w:num>
  <w:num w:numId="521">
    <w:abstractNumId w:val="437"/>
  </w:num>
  <w:num w:numId="522">
    <w:abstractNumId w:val="636"/>
  </w:num>
  <w:num w:numId="523">
    <w:abstractNumId w:val="648"/>
  </w:num>
  <w:num w:numId="524">
    <w:abstractNumId w:val="354"/>
  </w:num>
  <w:num w:numId="525">
    <w:abstractNumId w:val="655"/>
  </w:num>
  <w:num w:numId="526">
    <w:abstractNumId w:val="760"/>
  </w:num>
  <w:num w:numId="527">
    <w:abstractNumId w:val="238"/>
  </w:num>
  <w:num w:numId="528">
    <w:abstractNumId w:val="153"/>
  </w:num>
  <w:num w:numId="529">
    <w:abstractNumId w:val="473"/>
  </w:num>
  <w:num w:numId="530">
    <w:abstractNumId w:val="482"/>
  </w:num>
  <w:num w:numId="531">
    <w:abstractNumId w:val="400"/>
  </w:num>
  <w:num w:numId="532">
    <w:abstractNumId w:val="622"/>
  </w:num>
  <w:num w:numId="533">
    <w:abstractNumId w:val="438"/>
  </w:num>
  <w:num w:numId="534">
    <w:abstractNumId w:val="586"/>
  </w:num>
  <w:num w:numId="535">
    <w:abstractNumId w:val="645"/>
  </w:num>
  <w:num w:numId="536">
    <w:abstractNumId w:val="640"/>
  </w:num>
  <w:num w:numId="537">
    <w:abstractNumId w:val="472"/>
  </w:num>
  <w:num w:numId="538">
    <w:abstractNumId w:val="685"/>
  </w:num>
  <w:num w:numId="539">
    <w:abstractNumId w:val="471"/>
  </w:num>
  <w:num w:numId="540">
    <w:abstractNumId w:val="470"/>
  </w:num>
  <w:num w:numId="541">
    <w:abstractNumId w:val="684"/>
  </w:num>
  <w:num w:numId="542">
    <w:abstractNumId w:val="205"/>
  </w:num>
  <w:num w:numId="543">
    <w:abstractNumId w:val="735"/>
  </w:num>
  <w:num w:numId="544">
    <w:abstractNumId w:val="486"/>
  </w:num>
  <w:num w:numId="545">
    <w:abstractNumId w:val="442"/>
  </w:num>
  <w:num w:numId="546">
    <w:abstractNumId w:val="265"/>
  </w:num>
  <w:num w:numId="547">
    <w:abstractNumId w:val="580"/>
  </w:num>
  <w:num w:numId="548">
    <w:abstractNumId w:val="536"/>
  </w:num>
  <w:num w:numId="549">
    <w:abstractNumId w:val="142"/>
  </w:num>
  <w:num w:numId="550">
    <w:abstractNumId w:val="721"/>
  </w:num>
  <w:num w:numId="551">
    <w:abstractNumId w:val="452"/>
  </w:num>
  <w:num w:numId="552">
    <w:abstractNumId w:val="398"/>
  </w:num>
  <w:num w:numId="553">
    <w:abstractNumId w:val="476"/>
  </w:num>
  <w:num w:numId="554">
    <w:abstractNumId w:val="301"/>
  </w:num>
  <w:num w:numId="555">
    <w:abstractNumId w:val="451"/>
  </w:num>
  <w:num w:numId="556">
    <w:abstractNumId w:val="345"/>
  </w:num>
  <w:num w:numId="557">
    <w:abstractNumId w:val="220"/>
  </w:num>
  <w:num w:numId="558">
    <w:abstractNumId w:val="667"/>
  </w:num>
  <w:num w:numId="559">
    <w:abstractNumId w:val="462"/>
  </w:num>
  <w:num w:numId="560">
    <w:abstractNumId w:val="731"/>
  </w:num>
  <w:num w:numId="561">
    <w:abstractNumId w:val="351"/>
  </w:num>
  <w:num w:numId="562">
    <w:abstractNumId w:val="772"/>
  </w:num>
  <w:num w:numId="563">
    <w:abstractNumId w:val="432"/>
  </w:num>
  <w:num w:numId="564">
    <w:abstractNumId w:val="691"/>
  </w:num>
  <w:num w:numId="565">
    <w:abstractNumId w:val="464"/>
  </w:num>
  <w:num w:numId="566">
    <w:abstractNumId w:val="449"/>
  </w:num>
  <w:num w:numId="567">
    <w:abstractNumId w:val="810"/>
  </w:num>
  <w:num w:numId="568">
    <w:abstractNumId w:val="794"/>
  </w:num>
  <w:num w:numId="569">
    <w:abstractNumId w:val="786"/>
  </w:num>
  <w:num w:numId="570">
    <w:abstractNumId w:val="443"/>
  </w:num>
  <w:num w:numId="571">
    <w:abstractNumId w:val="469"/>
  </w:num>
  <w:num w:numId="572">
    <w:abstractNumId w:val="651"/>
  </w:num>
  <w:num w:numId="573">
    <w:abstractNumId w:val="161"/>
  </w:num>
  <w:num w:numId="574">
    <w:abstractNumId w:val="309"/>
  </w:num>
  <w:num w:numId="575">
    <w:abstractNumId w:val="604"/>
  </w:num>
  <w:num w:numId="576">
    <w:abstractNumId w:val="246"/>
  </w:num>
  <w:num w:numId="577">
    <w:abstractNumId w:val="589"/>
  </w:num>
  <w:num w:numId="578">
    <w:abstractNumId w:val="221"/>
  </w:num>
  <w:num w:numId="579">
    <w:abstractNumId w:val="662"/>
  </w:num>
  <w:num w:numId="580">
    <w:abstractNumId w:val="266"/>
  </w:num>
  <w:num w:numId="581">
    <w:abstractNumId w:val="279"/>
  </w:num>
  <w:num w:numId="582">
    <w:abstractNumId w:val="169"/>
  </w:num>
  <w:num w:numId="583">
    <w:abstractNumId w:val="256"/>
  </w:num>
  <w:num w:numId="584">
    <w:abstractNumId w:val="610"/>
  </w:num>
  <w:num w:numId="585">
    <w:abstractNumId w:val="292"/>
  </w:num>
  <w:num w:numId="586">
    <w:abstractNumId w:val="297"/>
  </w:num>
  <w:num w:numId="587">
    <w:abstractNumId w:val="145"/>
  </w:num>
  <w:num w:numId="588">
    <w:abstractNumId w:val="155"/>
  </w:num>
  <w:num w:numId="589">
    <w:abstractNumId w:val="746"/>
  </w:num>
  <w:num w:numId="590">
    <w:abstractNumId w:val="253"/>
  </w:num>
  <w:num w:numId="591">
    <w:abstractNumId w:val="277"/>
  </w:num>
  <w:num w:numId="592">
    <w:abstractNumId w:val="235"/>
  </w:num>
  <w:num w:numId="593">
    <w:abstractNumId w:val="177"/>
  </w:num>
  <w:num w:numId="594">
    <w:abstractNumId w:val="259"/>
  </w:num>
  <w:num w:numId="595">
    <w:abstractNumId w:val="305"/>
  </w:num>
  <w:num w:numId="596">
    <w:abstractNumId w:val="500"/>
  </w:num>
  <w:num w:numId="597">
    <w:abstractNumId w:val="201"/>
  </w:num>
  <w:num w:numId="598">
    <w:abstractNumId w:val="406"/>
  </w:num>
  <w:num w:numId="599">
    <w:abstractNumId w:val="513"/>
  </w:num>
  <w:num w:numId="600">
    <w:abstractNumId w:val="402"/>
  </w:num>
  <w:num w:numId="601">
    <w:abstractNumId w:val="726"/>
  </w:num>
  <w:num w:numId="602">
    <w:abstractNumId w:val="57"/>
  </w:num>
  <w:num w:numId="603">
    <w:abstractNumId w:val="58"/>
  </w:num>
  <w:num w:numId="604">
    <w:abstractNumId w:val="59"/>
  </w:num>
  <w:num w:numId="605">
    <w:abstractNumId w:val="60"/>
  </w:num>
  <w:num w:numId="606">
    <w:abstractNumId w:val="61"/>
  </w:num>
  <w:num w:numId="607">
    <w:abstractNumId w:val="62"/>
  </w:num>
  <w:num w:numId="608">
    <w:abstractNumId w:val="63"/>
  </w:num>
  <w:num w:numId="609">
    <w:abstractNumId w:val="64"/>
  </w:num>
  <w:num w:numId="610">
    <w:abstractNumId w:val="65"/>
  </w:num>
  <w:num w:numId="611">
    <w:abstractNumId w:val="66"/>
  </w:num>
  <w:num w:numId="612">
    <w:abstractNumId w:val="67"/>
  </w:num>
  <w:num w:numId="613">
    <w:abstractNumId w:val="68"/>
  </w:num>
  <w:num w:numId="614">
    <w:abstractNumId w:val="69"/>
  </w:num>
  <w:num w:numId="615">
    <w:abstractNumId w:val="70"/>
  </w:num>
  <w:num w:numId="616">
    <w:abstractNumId w:val="71"/>
  </w:num>
  <w:num w:numId="617">
    <w:abstractNumId w:val="72"/>
  </w:num>
  <w:num w:numId="618">
    <w:abstractNumId w:val="73"/>
  </w:num>
  <w:num w:numId="619">
    <w:abstractNumId w:val="74"/>
  </w:num>
  <w:num w:numId="620">
    <w:abstractNumId w:val="116"/>
  </w:num>
  <w:num w:numId="621">
    <w:abstractNumId w:val="117"/>
  </w:num>
  <w:num w:numId="622">
    <w:abstractNumId w:val="118"/>
  </w:num>
  <w:num w:numId="623">
    <w:abstractNumId w:val="119"/>
  </w:num>
  <w:num w:numId="624">
    <w:abstractNumId w:val="120"/>
  </w:num>
  <w:num w:numId="625">
    <w:abstractNumId w:val="121"/>
  </w:num>
  <w:num w:numId="626">
    <w:abstractNumId w:val="122"/>
  </w:num>
  <w:num w:numId="627">
    <w:abstractNumId w:val="123"/>
  </w:num>
  <w:num w:numId="628">
    <w:abstractNumId w:val="124"/>
  </w:num>
  <w:num w:numId="629">
    <w:abstractNumId w:val="125"/>
  </w:num>
  <w:num w:numId="630">
    <w:abstractNumId w:val="126"/>
  </w:num>
  <w:num w:numId="631">
    <w:abstractNumId w:val="127"/>
  </w:num>
  <w:num w:numId="632">
    <w:abstractNumId w:val="128"/>
  </w:num>
  <w:num w:numId="633">
    <w:abstractNumId w:val="129"/>
  </w:num>
  <w:num w:numId="634">
    <w:abstractNumId w:val="75"/>
  </w:num>
  <w:num w:numId="635">
    <w:abstractNumId w:val="76"/>
  </w:num>
  <w:num w:numId="636">
    <w:abstractNumId w:val="77"/>
  </w:num>
  <w:num w:numId="637">
    <w:abstractNumId w:val="86"/>
  </w:num>
  <w:num w:numId="638">
    <w:abstractNumId w:val="87"/>
  </w:num>
  <w:num w:numId="639">
    <w:abstractNumId w:val="88"/>
  </w:num>
  <w:num w:numId="640">
    <w:abstractNumId w:val="89"/>
  </w:num>
  <w:num w:numId="641">
    <w:abstractNumId w:val="90"/>
  </w:num>
  <w:num w:numId="642">
    <w:abstractNumId w:val="130"/>
  </w:num>
  <w:num w:numId="643">
    <w:abstractNumId w:val="131"/>
  </w:num>
  <w:num w:numId="644">
    <w:abstractNumId w:val="132"/>
  </w:num>
  <w:num w:numId="645">
    <w:abstractNumId w:val="133"/>
  </w:num>
  <w:num w:numId="646">
    <w:abstractNumId w:val="134"/>
  </w:num>
  <w:num w:numId="647">
    <w:abstractNumId w:val="135"/>
  </w:num>
  <w:num w:numId="648">
    <w:abstractNumId w:val="91"/>
  </w:num>
  <w:num w:numId="649">
    <w:abstractNumId w:val="92"/>
  </w:num>
  <w:num w:numId="650">
    <w:abstractNumId w:val="93"/>
  </w:num>
  <w:num w:numId="651">
    <w:abstractNumId w:val="94"/>
  </w:num>
  <w:num w:numId="652">
    <w:abstractNumId w:val="95"/>
  </w:num>
  <w:num w:numId="653">
    <w:abstractNumId w:val="96"/>
  </w:num>
  <w:num w:numId="654">
    <w:abstractNumId w:val="97"/>
  </w:num>
  <w:num w:numId="655">
    <w:abstractNumId w:val="98"/>
  </w:num>
  <w:num w:numId="656">
    <w:abstractNumId w:val="99"/>
  </w:num>
  <w:num w:numId="657">
    <w:abstractNumId w:val="100"/>
  </w:num>
  <w:num w:numId="658">
    <w:abstractNumId w:val="101"/>
  </w:num>
  <w:num w:numId="659">
    <w:abstractNumId w:val="102"/>
  </w:num>
  <w:num w:numId="660">
    <w:abstractNumId w:val="136"/>
  </w:num>
  <w:num w:numId="661">
    <w:abstractNumId w:val="103"/>
  </w:num>
  <w:num w:numId="662">
    <w:abstractNumId w:val="104"/>
  </w:num>
  <w:num w:numId="663">
    <w:abstractNumId w:val="105"/>
  </w:num>
  <w:num w:numId="664">
    <w:abstractNumId w:val="106"/>
  </w:num>
  <w:num w:numId="665">
    <w:abstractNumId w:val="107"/>
  </w:num>
  <w:num w:numId="666">
    <w:abstractNumId w:val="108"/>
  </w:num>
  <w:num w:numId="667">
    <w:abstractNumId w:val="109"/>
  </w:num>
  <w:num w:numId="668">
    <w:abstractNumId w:val="110"/>
  </w:num>
  <w:num w:numId="669">
    <w:abstractNumId w:val="111"/>
  </w:num>
  <w:num w:numId="670">
    <w:abstractNumId w:val="112"/>
  </w:num>
  <w:num w:numId="671">
    <w:abstractNumId w:val="113"/>
  </w:num>
  <w:num w:numId="672">
    <w:abstractNumId w:val="114"/>
  </w:num>
  <w:num w:numId="673">
    <w:abstractNumId w:val="115"/>
  </w:num>
  <w:num w:numId="674">
    <w:abstractNumId w:val="137"/>
  </w:num>
  <w:num w:numId="675">
    <w:abstractNumId w:val="310"/>
  </w:num>
  <w:num w:numId="676">
    <w:abstractNumId w:val="560"/>
  </w:num>
  <w:num w:numId="677">
    <w:abstractNumId w:val="644"/>
  </w:num>
  <w:num w:numId="678">
    <w:abstractNumId w:val="780"/>
  </w:num>
  <w:num w:numId="679">
    <w:abstractNumId w:val="594"/>
  </w:num>
  <w:num w:numId="680">
    <w:abstractNumId w:val="483"/>
  </w:num>
  <w:num w:numId="681">
    <w:abstractNumId w:val="376"/>
  </w:num>
  <w:num w:numId="682">
    <w:abstractNumId w:val="729"/>
  </w:num>
  <w:num w:numId="683">
    <w:abstractNumId w:val="410"/>
  </w:num>
  <w:num w:numId="684">
    <w:abstractNumId w:val="561"/>
  </w:num>
  <w:num w:numId="685">
    <w:abstractNumId w:val="331"/>
  </w:num>
  <w:num w:numId="686">
    <w:abstractNumId w:val="250"/>
  </w:num>
  <w:num w:numId="687">
    <w:abstractNumId w:val="559"/>
  </w:num>
  <w:num w:numId="688">
    <w:abstractNumId w:val="546"/>
  </w:num>
  <w:num w:numId="689">
    <w:abstractNumId w:val="620"/>
  </w:num>
  <w:num w:numId="690">
    <w:abstractNumId w:val="355"/>
  </w:num>
  <w:num w:numId="691">
    <w:abstractNumId w:val="657"/>
  </w:num>
  <w:num w:numId="692">
    <w:abstractNumId w:val="427"/>
  </w:num>
  <w:num w:numId="693">
    <w:abstractNumId w:val="755"/>
  </w:num>
  <w:num w:numId="694">
    <w:abstractNumId w:val="222"/>
  </w:num>
  <w:num w:numId="695">
    <w:abstractNumId w:val="496"/>
  </w:num>
  <w:num w:numId="696">
    <w:abstractNumId w:val="332"/>
  </w:num>
  <w:num w:numId="697">
    <w:abstractNumId w:val="385"/>
  </w:num>
  <w:num w:numId="698">
    <w:abstractNumId w:val="650"/>
  </w:num>
  <w:num w:numId="699">
    <w:abstractNumId w:val="417"/>
  </w:num>
  <w:num w:numId="700">
    <w:abstractNumId w:val="171"/>
  </w:num>
  <w:num w:numId="701">
    <w:abstractNumId w:val="591"/>
  </w:num>
  <w:num w:numId="702">
    <w:abstractNumId w:val="372"/>
  </w:num>
  <w:num w:numId="703">
    <w:abstractNumId w:val="468"/>
  </w:num>
  <w:num w:numId="704">
    <w:abstractNumId w:val="675"/>
  </w:num>
  <w:num w:numId="705">
    <w:abstractNumId w:val="719"/>
  </w:num>
  <w:num w:numId="706">
    <w:abstractNumId w:val="397"/>
  </w:num>
  <w:num w:numId="707">
    <w:abstractNumId w:val="157"/>
  </w:num>
  <w:num w:numId="708">
    <w:abstractNumId w:val="170"/>
  </w:num>
  <w:num w:numId="709">
    <w:abstractNumId w:val="247"/>
  </w:num>
  <w:num w:numId="710">
    <w:abstractNumId w:val="781"/>
  </w:num>
  <w:num w:numId="711">
    <w:abstractNumId w:val="727"/>
  </w:num>
  <w:num w:numId="712">
    <w:abstractNumId w:val="140"/>
  </w:num>
  <w:num w:numId="713">
    <w:abstractNumId w:val="522"/>
  </w:num>
  <w:num w:numId="714">
    <w:abstractNumId w:val="453"/>
  </w:num>
  <w:num w:numId="715">
    <w:abstractNumId w:val="695"/>
  </w:num>
  <w:num w:numId="716">
    <w:abstractNumId w:val="605"/>
  </w:num>
  <w:num w:numId="717">
    <w:abstractNumId w:val="574"/>
  </w:num>
  <w:num w:numId="718">
    <w:abstractNumId w:val="481"/>
  </w:num>
  <w:num w:numId="719">
    <w:abstractNumId w:val="236"/>
  </w:num>
  <w:num w:numId="720">
    <w:abstractNumId w:val="360"/>
  </w:num>
  <w:num w:numId="721">
    <w:abstractNumId w:val="428"/>
  </w:num>
  <w:num w:numId="722">
    <w:abstractNumId w:val="664"/>
  </w:num>
  <w:num w:numId="723">
    <w:abstractNumId w:val="509"/>
  </w:num>
  <w:num w:numId="724">
    <w:abstractNumId w:val="173"/>
  </w:num>
  <w:num w:numId="725">
    <w:abstractNumId w:val="495"/>
  </w:num>
  <w:num w:numId="726">
    <w:abstractNumId w:val="315"/>
  </w:num>
  <w:num w:numId="727">
    <w:abstractNumId w:val="291"/>
  </w:num>
  <w:num w:numId="728">
    <w:abstractNumId w:val="751"/>
  </w:num>
  <w:num w:numId="729">
    <w:abstractNumId w:val="815"/>
  </w:num>
  <w:num w:numId="730">
    <w:abstractNumId w:val="736"/>
  </w:num>
  <w:num w:numId="731">
    <w:abstractNumId w:val="294"/>
  </w:num>
  <w:num w:numId="732">
    <w:abstractNumId w:val="638"/>
  </w:num>
  <w:num w:numId="733">
    <w:abstractNumId w:val="232"/>
  </w:num>
  <w:num w:numId="734">
    <w:abstractNumId w:val="149"/>
  </w:num>
  <w:num w:numId="735">
    <w:abstractNumId w:val="304"/>
  </w:num>
  <w:num w:numId="736">
    <w:abstractNumId w:val="257"/>
  </w:num>
  <w:num w:numId="737">
    <w:abstractNumId w:val="512"/>
  </w:num>
  <w:num w:numId="738">
    <w:abstractNumId w:val="643"/>
  </w:num>
  <w:num w:numId="739">
    <w:abstractNumId w:val="745"/>
  </w:num>
  <w:num w:numId="740">
    <w:abstractNumId w:val="633"/>
  </w:num>
  <w:num w:numId="741">
    <w:abstractNumId w:val="740"/>
  </w:num>
  <w:num w:numId="742">
    <w:abstractNumId w:val="230"/>
  </w:num>
  <w:num w:numId="743">
    <w:abstractNumId w:val="440"/>
  </w:num>
  <w:num w:numId="744">
    <w:abstractNumId w:val="181"/>
  </w:num>
  <w:num w:numId="745">
    <w:abstractNumId w:val="593"/>
  </w:num>
  <w:num w:numId="746">
    <w:abstractNumId w:val="768"/>
  </w:num>
  <w:num w:numId="747">
    <w:abstractNumId w:val="504"/>
  </w:num>
  <w:num w:numId="748">
    <w:abstractNumId w:val="275"/>
  </w:num>
  <w:num w:numId="749">
    <w:abstractNumId w:val="337"/>
  </w:num>
  <w:num w:numId="750">
    <w:abstractNumId w:val="203"/>
  </w:num>
  <w:num w:numId="751">
    <w:abstractNumId w:val="313"/>
  </w:num>
  <w:num w:numId="752">
    <w:abstractNumId w:val="510"/>
  </w:num>
  <w:num w:numId="753">
    <w:abstractNumId w:val="646"/>
  </w:num>
  <w:num w:numId="754">
    <w:abstractNumId w:val="322"/>
  </w:num>
  <w:num w:numId="755">
    <w:abstractNumId w:val="686"/>
  </w:num>
  <w:num w:numId="756">
    <w:abstractNumId w:val="634"/>
  </w:num>
  <w:num w:numId="757">
    <w:abstractNumId w:val="488"/>
  </w:num>
  <w:num w:numId="758">
    <w:abstractNumId w:val="204"/>
  </w:num>
  <w:num w:numId="759">
    <w:abstractNumId w:val="708"/>
  </w:num>
  <w:num w:numId="760">
    <w:abstractNumId w:val="421"/>
  </w:num>
  <w:num w:numId="761">
    <w:abstractNumId w:val="742"/>
  </w:num>
  <w:num w:numId="762">
    <w:abstractNumId w:val="261"/>
  </w:num>
  <w:num w:numId="763">
    <w:abstractNumId w:val="165"/>
  </w:num>
  <w:num w:numId="764">
    <w:abstractNumId w:val="704"/>
  </w:num>
  <w:num w:numId="765">
    <w:abstractNumId w:val="407"/>
  </w:num>
  <w:num w:numId="766">
    <w:abstractNumId w:val="371"/>
  </w:num>
  <w:num w:numId="767">
    <w:abstractNumId w:val="769"/>
  </w:num>
  <w:num w:numId="768">
    <w:abstractNumId w:val="321"/>
  </w:num>
  <w:num w:numId="769">
    <w:abstractNumId w:val="433"/>
  </w:num>
  <w:num w:numId="770">
    <w:abstractNumId w:val="326"/>
  </w:num>
  <w:num w:numId="771">
    <w:abstractNumId w:val="384"/>
  </w:num>
  <w:num w:numId="772">
    <w:abstractNumId w:val="375"/>
  </w:num>
  <w:num w:numId="773">
    <w:abstractNumId w:val="697"/>
  </w:num>
  <w:num w:numId="774">
    <w:abstractNumId w:val="458"/>
  </w:num>
  <w:num w:numId="775">
    <w:abstractNumId w:val="459"/>
  </w:num>
  <w:num w:numId="776">
    <w:abstractNumId w:val="609"/>
  </w:num>
  <w:num w:numId="777">
    <w:abstractNumId w:val="176"/>
  </w:num>
  <w:num w:numId="778">
    <w:abstractNumId w:val="143"/>
  </w:num>
  <w:num w:numId="779">
    <w:abstractNumId w:val="179"/>
  </w:num>
  <w:num w:numId="780">
    <w:abstractNumId w:val="175"/>
  </w:num>
  <w:num w:numId="781">
    <w:abstractNumId w:val="396"/>
  </w:num>
  <w:num w:numId="782">
    <w:abstractNumId w:val="674"/>
  </w:num>
  <w:num w:numId="783">
    <w:abstractNumId w:val="773"/>
  </w:num>
  <w:num w:numId="784">
    <w:abstractNumId w:val="642"/>
  </w:num>
  <w:num w:numId="785">
    <w:abstractNumId w:val="152"/>
  </w:num>
  <w:num w:numId="786">
    <w:abstractNumId w:val="426"/>
  </w:num>
  <w:num w:numId="787">
    <w:abstractNumId w:val="183"/>
  </w:num>
  <w:num w:numId="788">
    <w:abstractNumId w:val="308"/>
  </w:num>
  <w:num w:numId="789">
    <w:abstractNumId w:val="683"/>
  </w:num>
  <w:num w:numId="790">
    <w:abstractNumId w:val="718"/>
  </w:num>
  <w:num w:numId="791">
    <w:abstractNumId w:val="477"/>
  </w:num>
  <w:num w:numId="792">
    <w:abstractNumId w:val="394"/>
  </w:num>
  <w:num w:numId="793">
    <w:abstractNumId w:val="328"/>
  </w:num>
  <w:num w:numId="794">
    <w:abstractNumId w:val="281"/>
  </w:num>
  <w:num w:numId="795">
    <w:abstractNumId w:val="270"/>
  </w:num>
  <w:num w:numId="796">
    <w:abstractNumId w:val="565"/>
  </w:num>
  <w:num w:numId="797">
    <w:abstractNumId w:val="276"/>
  </w:num>
  <w:num w:numId="798">
    <w:abstractNumId w:val="404"/>
  </w:num>
  <w:num w:numId="799">
    <w:abstractNumId w:val="323"/>
  </w:num>
  <w:num w:numId="800">
    <w:abstractNumId w:val="284"/>
  </w:num>
  <w:num w:numId="801">
    <w:abstractNumId w:val="578"/>
  </w:num>
  <w:num w:numId="802">
    <w:abstractNumId w:val="450"/>
  </w:num>
  <w:num w:numId="803">
    <w:abstractNumId w:val="665"/>
  </w:num>
  <w:num w:numId="804">
    <w:abstractNumId w:val="267"/>
  </w:num>
  <w:num w:numId="805">
    <w:abstractNumId w:val="302"/>
  </w:num>
  <w:num w:numId="806">
    <w:abstractNumId w:val="296"/>
  </w:num>
  <w:num w:numId="807">
    <w:abstractNumId w:val="336"/>
  </w:num>
  <w:num w:numId="808">
    <w:abstractNumId w:val="748"/>
  </w:num>
  <w:num w:numId="809">
    <w:abstractNumId w:val="754"/>
  </w:num>
  <w:num w:numId="810">
    <w:abstractNumId w:val="461"/>
  </w:num>
  <w:num w:numId="811">
    <w:abstractNumId w:val="393"/>
  </w:num>
  <w:num w:numId="812">
    <w:abstractNumId w:val="138"/>
  </w:num>
  <w:num w:numId="813">
    <w:abstractNumId w:val="405"/>
  </w:num>
  <w:num w:numId="814">
    <w:abstractNumId w:val="370"/>
  </w:num>
  <w:num w:numId="815">
    <w:abstractNumId w:val="681"/>
  </w:num>
  <w:num w:numId="816">
    <w:abstractNumId w:val="635"/>
  </w:num>
  <w:num w:numId="817">
    <w:abstractNumId w:val="164"/>
  </w:num>
  <w:numIdMacAtCleanup w:val="8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7"/>
  <w:defaultTabStop w:val="680"/>
  <w:hyphenationZone w:val="425"/>
  <w:displayHorizontalDrawingGridEvery w:val="2"/>
  <w:displayVerticalDrawingGridEvery w:val="2"/>
  <w:noPunctuationKerning/>
  <w:characterSpacingControl w:val="doNotCompress"/>
  <w:hdrShapeDefaults>
    <o:shapedefaults v:ext="edit" spidmax="2052">
      <o:colormru v:ext="edit" colors="#44a3c0"/>
      <o:colormenu v:ext="edit" strokecolor="#44a3c0"/>
    </o:shapedefaults>
    <o:shapelayout v:ext="edit">
      <o:idmap v:ext="edit" data="2"/>
    </o:shapelayout>
  </w:hdrShapeDefaults>
  <w:footnotePr>
    <w:footnote w:id="-1"/>
    <w:footnote w:id="0"/>
  </w:footnotePr>
  <w:endnotePr>
    <w:endnote w:id="-1"/>
    <w:endnote w:id="0"/>
  </w:endnotePr>
  <w:compat/>
  <w:rsids>
    <w:rsidRoot w:val="000C70A4"/>
    <w:rsid w:val="00000326"/>
    <w:rsid w:val="000004F4"/>
    <w:rsid w:val="00001373"/>
    <w:rsid w:val="000013C4"/>
    <w:rsid w:val="00001569"/>
    <w:rsid w:val="00001A30"/>
    <w:rsid w:val="00001D7F"/>
    <w:rsid w:val="00001F8D"/>
    <w:rsid w:val="00002B1D"/>
    <w:rsid w:val="00002C77"/>
    <w:rsid w:val="00002E77"/>
    <w:rsid w:val="00003501"/>
    <w:rsid w:val="000039D0"/>
    <w:rsid w:val="00004419"/>
    <w:rsid w:val="00004533"/>
    <w:rsid w:val="000048ED"/>
    <w:rsid w:val="00004A52"/>
    <w:rsid w:val="00005D23"/>
    <w:rsid w:val="0000698F"/>
    <w:rsid w:val="00006F6C"/>
    <w:rsid w:val="000071B7"/>
    <w:rsid w:val="00007396"/>
    <w:rsid w:val="0000760A"/>
    <w:rsid w:val="000077A1"/>
    <w:rsid w:val="000103DE"/>
    <w:rsid w:val="0001058F"/>
    <w:rsid w:val="00010EDC"/>
    <w:rsid w:val="00013880"/>
    <w:rsid w:val="0001431A"/>
    <w:rsid w:val="00014F2E"/>
    <w:rsid w:val="000150A4"/>
    <w:rsid w:val="00015209"/>
    <w:rsid w:val="00015630"/>
    <w:rsid w:val="000158A0"/>
    <w:rsid w:val="00015A84"/>
    <w:rsid w:val="00016CDF"/>
    <w:rsid w:val="00017A93"/>
    <w:rsid w:val="000203FE"/>
    <w:rsid w:val="000211CF"/>
    <w:rsid w:val="00021A01"/>
    <w:rsid w:val="00021AFF"/>
    <w:rsid w:val="0002300B"/>
    <w:rsid w:val="000233B2"/>
    <w:rsid w:val="000239E6"/>
    <w:rsid w:val="00023BC8"/>
    <w:rsid w:val="00024B0F"/>
    <w:rsid w:val="00024FDC"/>
    <w:rsid w:val="000256FE"/>
    <w:rsid w:val="00025A0E"/>
    <w:rsid w:val="000262DC"/>
    <w:rsid w:val="000266B4"/>
    <w:rsid w:val="00026A13"/>
    <w:rsid w:val="00026A43"/>
    <w:rsid w:val="000270B5"/>
    <w:rsid w:val="00027491"/>
    <w:rsid w:val="00027769"/>
    <w:rsid w:val="000279BE"/>
    <w:rsid w:val="00027EE5"/>
    <w:rsid w:val="000305C7"/>
    <w:rsid w:val="00030613"/>
    <w:rsid w:val="00030DD7"/>
    <w:rsid w:val="0003120C"/>
    <w:rsid w:val="000314CA"/>
    <w:rsid w:val="000318A6"/>
    <w:rsid w:val="000327A0"/>
    <w:rsid w:val="000336A2"/>
    <w:rsid w:val="00033E2B"/>
    <w:rsid w:val="00033E30"/>
    <w:rsid w:val="000340B9"/>
    <w:rsid w:val="000341BF"/>
    <w:rsid w:val="000341E6"/>
    <w:rsid w:val="00034909"/>
    <w:rsid w:val="00035710"/>
    <w:rsid w:val="000358E2"/>
    <w:rsid w:val="00035DE0"/>
    <w:rsid w:val="00035E81"/>
    <w:rsid w:val="00035EC8"/>
    <w:rsid w:val="00037385"/>
    <w:rsid w:val="00037798"/>
    <w:rsid w:val="00040756"/>
    <w:rsid w:val="00040903"/>
    <w:rsid w:val="00041656"/>
    <w:rsid w:val="00041FB2"/>
    <w:rsid w:val="0004304A"/>
    <w:rsid w:val="000435C5"/>
    <w:rsid w:val="000435F8"/>
    <w:rsid w:val="000438C7"/>
    <w:rsid w:val="00043B91"/>
    <w:rsid w:val="00043EFA"/>
    <w:rsid w:val="00043F11"/>
    <w:rsid w:val="00044DA7"/>
    <w:rsid w:val="00045B73"/>
    <w:rsid w:val="0004622A"/>
    <w:rsid w:val="00046EBA"/>
    <w:rsid w:val="00046F56"/>
    <w:rsid w:val="00047B51"/>
    <w:rsid w:val="00047E5C"/>
    <w:rsid w:val="00047EF6"/>
    <w:rsid w:val="000505A1"/>
    <w:rsid w:val="00051274"/>
    <w:rsid w:val="00051597"/>
    <w:rsid w:val="000516E0"/>
    <w:rsid w:val="00051729"/>
    <w:rsid w:val="000517B6"/>
    <w:rsid w:val="00051D7F"/>
    <w:rsid w:val="00051D8E"/>
    <w:rsid w:val="00051EBA"/>
    <w:rsid w:val="00051FBC"/>
    <w:rsid w:val="00052574"/>
    <w:rsid w:val="000526A2"/>
    <w:rsid w:val="00052BFF"/>
    <w:rsid w:val="00053011"/>
    <w:rsid w:val="0005338C"/>
    <w:rsid w:val="000533B9"/>
    <w:rsid w:val="00053C43"/>
    <w:rsid w:val="00053F05"/>
    <w:rsid w:val="0005505F"/>
    <w:rsid w:val="00055277"/>
    <w:rsid w:val="00055540"/>
    <w:rsid w:val="00055BB1"/>
    <w:rsid w:val="00055C60"/>
    <w:rsid w:val="000563DA"/>
    <w:rsid w:val="000566C1"/>
    <w:rsid w:val="000568EE"/>
    <w:rsid w:val="000573BA"/>
    <w:rsid w:val="00057CC7"/>
    <w:rsid w:val="00060164"/>
    <w:rsid w:val="00060868"/>
    <w:rsid w:val="00060A11"/>
    <w:rsid w:val="00060D35"/>
    <w:rsid w:val="000610C2"/>
    <w:rsid w:val="00061817"/>
    <w:rsid w:val="000628EF"/>
    <w:rsid w:val="00062DBE"/>
    <w:rsid w:val="00063297"/>
    <w:rsid w:val="000633A6"/>
    <w:rsid w:val="000645E4"/>
    <w:rsid w:val="00065143"/>
    <w:rsid w:val="00065197"/>
    <w:rsid w:val="00065F6D"/>
    <w:rsid w:val="00066390"/>
    <w:rsid w:val="000667E6"/>
    <w:rsid w:val="0006689B"/>
    <w:rsid w:val="00067919"/>
    <w:rsid w:val="00067A36"/>
    <w:rsid w:val="00067C16"/>
    <w:rsid w:val="00070E23"/>
    <w:rsid w:val="00070FEC"/>
    <w:rsid w:val="000714C3"/>
    <w:rsid w:val="00072235"/>
    <w:rsid w:val="0007224A"/>
    <w:rsid w:val="000730E5"/>
    <w:rsid w:val="000733E6"/>
    <w:rsid w:val="00074670"/>
    <w:rsid w:val="00074B47"/>
    <w:rsid w:val="00075152"/>
    <w:rsid w:val="000753DB"/>
    <w:rsid w:val="00075602"/>
    <w:rsid w:val="00075BD7"/>
    <w:rsid w:val="00076AFF"/>
    <w:rsid w:val="00076D85"/>
    <w:rsid w:val="000809E2"/>
    <w:rsid w:val="000816CA"/>
    <w:rsid w:val="000824E5"/>
    <w:rsid w:val="000828CE"/>
    <w:rsid w:val="00082BC7"/>
    <w:rsid w:val="00082CBB"/>
    <w:rsid w:val="000837EA"/>
    <w:rsid w:val="00083893"/>
    <w:rsid w:val="0008410B"/>
    <w:rsid w:val="00084DF4"/>
    <w:rsid w:val="000856BA"/>
    <w:rsid w:val="00085C25"/>
    <w:rsid w:val="00085D2C"/>
    <w:rsid w:val="00085FC3"/>
    <w:rsid w:val="00085FE6"/>
    <w:rsid w:val="00086117"/>
    <w:rsid w:val="0008675B"/>
    <w:rsid w:val="0008687E"/>
    <w:rsid w:val="00086E4F"/>
    <w:rsid w:val="00090028"/>
    <w:rsid w:val="000901B6"/>
    <w:rsid w:val="000913BF"/>
    <w:rsid w:val="00091A45"/>
    <w:rsid w:val="00091BEA"/>
    <w:rsid w:val="00091CD3"/>
    <w:rsid w:val="00091FAF"/>
    <w:rsid w:val="000925F2"/>
    <w:rsid w:val="00092EFF"/>
    <w:rsid w:val="00093222"/>
    <w:rsid w:val="000934DD"/>
    <w:rsid w:val="000937AE"/>
    <w:rsid w:val="00093CB8"/>
    <w:rsid w:val="00095D22"/>
    <w:rsid w:val="00095DBA"/>
    <w:rsid w:val="00095F08"/>
    <w:rsid w:val="00096103"/>
    <w:rsid w:val="00096563"/>
    <w:rsid w:val="00096BF7"/>
    <w:rsid w:val="00096D10"/>
    <w:rsid w:val="0009767F"/>
    <w:rsid w:val="00097F5F"/>
    <w:rsid w:val="000A007C"/>
    <w:rsid w:val="000A01FB"/>
    <w:rsid w:val="000A0333"/>
    <w:rsid w:val="000A0CE8"/>
    <w:rsid w:val="000A1B5A"/>
    <w:rsid w:val="000A1D99"/>
    <w:rsid w:val="000A21A5"/>
    <w:rsid w:val="000A268B"/>
    <w:rsid w:val="000A34A8"/>
    <w:rsid w:val="000A396C"/>
    <w:rsid w:val="000A3DEB"/>
    <w:rsid w:val="000A46EA"/>
    <w:rsid w:val="000A5AC8"/>
    <w:rsid w:val="000A65FA"/>
    <w:rsid w:val="000A710B"/>
    <w:rsid w:val="000A7910"/>
    <w:rsid w:val="000A7D68"/>
    <w:rsid w:val="000B0121"/>
    <w:rsid w:val="000B0542"/>
    <w:rsid w:val="000B066B"/>
    <w:rsid w:val="000B0A95"/>
    <w:rsid w:val="000B0BF0"/>
    <w:rsid w:val="000B0FBE"/>
    <w:rsid w:val="000B1D5B"/>
    <w:rsid w:val="000B2A98"/>
    <w:rsid w:val="000B333D"/>
    <w:rsid w:val="000B377B"/>
    <w:rsid w:val="000B38A5"/>
    <w:rsid w:val="000B3DB6"/>
    <w:rsid w:val="000B41F0"/>
    <w:rsid w:val="000B469A"/>
    <w:rsid w:val="000B4858"/>
    <w:rsid w:val="000B4A99"/>
    <w:rsid w:val="000B4F9C"/>
    <w:rsid w:val="000B50C5"/>
    <w:rsid w:val="000B5C29"/>
    <w:rsid w:val="000B64F1"/>
    <w:rsid w:val="000B6675"/>
    <w:rsid w:val="000B69A3"/>
    <w:rsid w:val="000B715B"/>
    <w:rsid w:val="000B78F6"/>
    <w:rsid w:val="000B7A9D"/>
    <w:rsid w:val="000C02BF"/>
    <w:rsid w:val="000C0E15"/>
    <w:rsid w:val="000C14D7"/>
    <w:rsid w:val="000C16FD"/>
    <w:rsid w:val="000C1CE6"/>
    <w:rsid w:val="000C2037"/>
    <w:rsid w:val="000C2FF5"/>
    <w:rsid w:val="000C3CD6"/>
    <w:rsid w:val="000C44E6"/>
    <w:rsid w:val="000C459D"/>
    <w:rsid w:val="000C47F9"/>
    <w:rsid w:val="000C48D3"/>
    <w:rsid w:val="000C4A1A"/>
    <w:rsid w:val="000C5B38"/>
    <w:rsid w:val="000C5BF3"/>
    <w:rsid w:val="000C70A4"/>
    <w:rsid w:val="000C70CE"/>
    <w:rsid w:val="000C77A6"/>
    <w:rsid w:val="000C7A3F"/>
    <w:rsid w:val="000C7F4C"/>
    <w:rsid w:val="000D0474"/>
    <w:rsid w:val="000D0739"/>
    <w:rsid w:val="000D0D4C"/>
    <w:rsid w:val="000D1022"/>
    <w:rsid w:val="000D10BF"/>
    <w:rsid w:val="000D25E0"/>
    <w:rsid w:val="000D3DAC"/>
    <w:rsid w:val="000D5385"/>
    <w:rsid w:val="000D5B2C"/>
    <w:rsid w:val="000D61EC"/>
    <w:rsid w:val="000D7AEF"/>
    <w:rsid w:val="000E042E"/>
    <w:rsid w:val="000E0907"/>
    <w:rsid w:val="000E0FB2"/>
    <w:rsid w:val="000E1A89"/>
    <w:rsid w:val="000E1B8E"/>
    <w:rsid w:val="000E2A97"/>
    <w:rsid w:val="000E3421"/>
    <w:rsid w:val="000E346B"/>
    <w:rsid w:val="000E36FE"/>
    <w:rsid w:val="000E37F6"/>
    <w:rsid w:val="000E3BE4"/>
    <w:rsid w:val="000E3FEE"/>
    <w:rsid w:val="000E40CE"/>
    <w:rsid w:val="000E462A"/>
    <w:rsid w:val="000E48F0"/>
    <w:rsid w:val="000E58EC"/>
    <w:rsid w:val="000E595A"/>
    <w:rsid w:val="000E59C6"/>
    <w:rsid w:val="000E604A"/>
    <w:rsid w:val="000E6108"/>
    <w:rsid w:val="000E64B9"/>
    <w:rsid w:val="000E6AFA"/>
    <w:rsid w:val="000E6BB0"/>
    <w:rsid w:val="000F1357"/>
    <w:rsid w:val="000F2033"/>
    <w:rsid w:val="000F2A03"/>
    <w:rsid w:val="000F2E9D"/>
    <w:rsid w:val="000F2F11"/>
    <w:rsid w:val="000F355B"/>
    <w:rsid w:val="000F38D3"/>
    <w:rsid w:val="000F4322"/>
    <w:rsid w:val="000F6018"/>
    <w:rsid w:val="000F6F36"/>
    <w:rsid w:val="000F6F49"/>
    <w:rsid w:val="000F709B"/>
    <w:rsid w:val="000F710C"/>
    <w:rsid w:val="00100337"/>
    <w:rsid w:val="001006FA"/>
    <w:rsid w:val="00100FEA"/>
    <w:rsid w:val="001015B7"/>
    <w:rsid w:val="00101649"/>
    <w:rsid w:val="001018E2"/>
    <w:rsid w:val="00105857"/>
    <w:rsid w:val="0010589C"/>
    <w:rsid w:val="00105D75"/>
    <w:rsid w:val="001066B5"/>
    <w:rsid w:val="00106F1E"/>
    <w:rsid w:val="001070FB"/>
    <w:rsid w:val="001079FD"/>
    <w:rsid w:val="00107F32"/>
    <w:rsid w:val="00110C8D"/>
    <w:rsid w:val="00111A4B"/>
    <w:rsid w:val="00111B83"/>
    <w:rsid w:val="00111CC9"/>
    <w:rsid w:val="00111EF4"/>
    <w:rsid w:val="00112898"/>
    <w:rsid w:val="00114FE0"/>
    <w:rsid w:val="00115311"/>
    <w:rsid w:val="001153D1"/>
    <w:rsid w:val="001155A6"/>
    <w:rsid w:val="00115998"/>
    <w:rsid w:val="00115C0F"/>
    <w:rsid w:val="00115DF8"/>
    <w:rsid w:val="00115E30"/>
    <w:rsid w:val="001161D6"/>
    <w:rsid w:val="0011652F"/>
    <w:rsid w:val="0011685B"/>
    <w:rsid w:val="001168D8"/>
    <w:rsid w:val="00116FC7"/>
    <w:rsid w:val="00117B50"/>
    <w:rsid w:val="00117C74"/>
    <w:rsid w:val="001208CA"/>
    <w:rsid w:val="001209DD"/>
    <w:rsid w:val="00120CE3"/>
    <w:rsid w:val="00120E73"/>
    <w:rsid w:val="001211D9"/>
    <w:rsid w:val="001214A0"/>
    <w:rsid w:val="0012172A"/>
    <w:rsid w:val="00121ED4"/>
    <w:rsid w:val="00122E51"/>
    <w:rsid w:val="0012374A"/>
    <w:rsid w:val="00124602"/>
    <w:rsid w:val="00124700"/>
    <w:rsid w:val="00124F4E"/>
    <w:rsid w:val="00125CA0"/>
    <w:rsid w:val="001279DA"/>
    <w:rsid w:val="001302B3"/>
    <w:rsid w:val="001305A2"/>
    <w:rsid w:val="001309C9"/>
    <w:rsid w:val="00131576"/>
    <w:rsid w:val="001318D3"/>
    <w:rsid w:val="0013236B"/>
    <w:rsid w:val="00133E6A"/>
    <w:rsid w:val="00133FE3"/>
    <w:rsid w:val="00134264"/>
    <w:rsid w:val="00134542"/>
    <w:rsid w:val="00134E01"/>
    <w:rsid w:val="0013540F"/>
    <w:rsid w:val="001354B7"/>
    <w:rsid w:val="0013591F"/>
    <w:rsid w:val="00136531"/>
    <w:rsid w:val="00136650"/>
    <w:rsid w:val="00136FE3"/>
    <w:rsid w:val="0013742C"/>
    <w:rsid w:val="00137B4F"/>
    <w:rsid w:val="001408E4"/>
    <w:rsid w:val="001412B7"/>
    <w:rsid w:val="00141BC8"/>
    <w:rsid w:val="00141C15"/>
    <w:rsid w:val="0014216F"/>
    <w:rsid w:val="0014230F"/>
    <w:rsid w:val="00142879"/>
    <w:rsid w:val="001439FE"/>
    <w:rsid w:val="00144A64"/>
    <w:rsid w:val="00144FB3"/>
    <w:rsid w:val="00144FE8"/>
    <w:rsid w:val="00145549"/>
    <w:rsid w:val="001457C3"/>
    <w:rsid w:val="00145C39"/>
    <w:rsid w:val="00146B41"/>
    <w:rsid w:val="00146E69"/>
    <w:rsid w:val="00147264"/>
    <w:rsid w:val="00147D3E"/>
    <w:rsid w:val="00150166"/>
    <w:rsid w:val="00150198"/>
    <w:rsid w:val="00150414"/>
    <w:rsid w:val="00150C60"/>
    <w:rsid w:val="00150E13"/>
    <w:rsid w:val="00150F50"/>
    <w:rsid w:val="0015126F"/>
    <w:rsid w:val="001517BC"/>
    <w:rsid w:val="00151DEA"/>
    <w:rsid w:val="001526A9"/>
    <w:rsid w:val="00153448"/>
    <w:rsid w:val="001536C6"/>
    <w:rsid w:val="001539DF"/>
    <w:rsid w:val="00154CC2"/>
    <w:rsid w:val="0015580B"/>
    <w:rsid w:val="00156429"/>
    <w:rsid w:val="0015669B"/>
    <w:rsid w:val="00156AD3"/>
    <w:rsid w:val="00156E61"/>
    <w:rsid w:val="00160480"/>
    <w:rsid w:val="00161260"/>
    <w:rsid w:val="00161A86"/>
    <w:rsid w:val="00161B21"/>
    <w:rsid w:val="00161F94"/>
    <w:rsid w:val="0016252F"/>
    <w:rsid w:val="0016470F"/>
    <w:rsid w:val="00164F22"/>
    <w:rsid w:val="0016547C"/>
    <w:rsid w:val="0016555E"/>
    <w:rsid w:val="00165721"/>
    <w:rsid w:val="00165F6F"/>
    <w:rsid w:val="00166970"/>
    <w:rsid w:val="00166B22"/>
    <w:rsid w:val="00167A4E"/>
    <w:rsid w:val="00170026"/>
    <w:rsid w:val="00170030"/>
    <w:rsid w:val="00170199"/>
    <w:rsid w:val="00170731"/>
    <w:rsid w:val="00170B97"/>
    <w:rsid w:val="00171321"/>
    <w:rsid w:val="00171362"/>
    <w:rsid w:val="00171598"/>
    <w:rsid w:val="00171EBA"/>
    <w:rsid w:val="0017230A"/>
    <w:rsid w:val="001735A0"/>
    <w:rsid w:val="00173726"/>
    <w:rsid w:val="00173DCF"/>
    <w:rsid w:val="0017482E"/>
    <w:rsid w:val="00175198"/>
    <w:rsid w:val="001764F6"/>
    <w:rsid w:val="0017730E"/>
    <w:rsid w:val="00177548"/>
    <w:rsid w:val="001775B9"/>
    <w:rsid w:val="00177D55"/>
    <w:rsid w:val="00180826"/>
    <w:rsid w:val="00181C43"/>
    <w:rsid w:val="00182809"/>
    <w:rsid w:val="00182EFE"/>
    <w:rsid w:val="00184559"/>
    <w:rsid w:val="0018486E"/>
    <w:rsid w:val="0018504D"/>
    <w:rsid w:val="00185B9E"/>
    <w:rsid w:val="001861B6"/>
    <w:rsid w:val="00186354"/>
    <w:rsid w:val="00186C1B"/>
    <w:rsid w:val="0018715C"/>
    <w:rsid w:val="00187763"/>
    <w:rsid w:val="00190024"/>
    <w:rsid w:val="00190161"/>
    <w:rsid w:val="001901D3"/>
    <w:rsid w:val="00190AE8"/>
    <w:rsid w:val="001912BA"/>
    <w:rsid w:val="0019138D"/>
    <w:rsid w:val="00191848"/>
    <w:rsid w:val="0019194A"/>
    <w:rsid w:val="00191A39"/>
    <w:rsid w:val="00191EFD"/>
    <w:rsid w:val="001921D2"/>
    <w:rsid w:val="0019234A"/>
    <w:rsid w:val="00192E50"/>
    <w:rsid w:val="00192ED2"/>
    <w:rsid w:val="00193ABE"/>
    <w:rsid w:val="00194CB7"/>
    <w:rsid w:val="00195A20"/>
    <w:rsid w:val="00195D30"/>
    <w:rsid w:val="001969BE"/>
    <w:rsid w:val="001973D2"/>
    <w:rsid w:val="00197556"/>
    <w:rsid w:val="00197AD4"/>
    <w:rsid w:val="00197BCE"/>
    <w:rsid w:val="001A0FCF"/>
    <w:rsid w:val="001A1BD7"/>
    <w:rsid w:val="001A2964"/>
    <w:rsid w:val="001A2B0F"/>
    <w:rsid w:val="001A380D"/>
    <w:rsid w:val="001A3EB1"/>
    <w:rsid w:val="001A4253"/>
    <w:rsid w:val="001A4263"/>
    <w:rsid w:val="001A4594"/>
    <w:rsid w:val="001A6087"/>
    <w:rsid w:val="001A6AA2"/>
    <w:rsid w:val="001A6F4A"/>
    <w:rsid w:val="001A7665"/>
    <w:rsid w:val="001A7E5E"/>
    <w:rsid w:val="001B0572"/>
    <w:rsid w:val="001B05F3"/>
    <w:rsid w:val="001B084F"/>
    <w:rsid w:val="001B1338"/>
    <w:rsid w:val="001B16CB"/>
    <w:rsid w:val="001B1C3F"/>
    <w:rsid w:val="001B1F0F"/>
    <w:rsid w:val="001B1FA1"/>
    <w:rsid w:val="001B2393"/>
    <w:rsid w:val="001B2B72"/>
    <w:rsid w:val="001B2F5E"/>
    <w:rsid w:val="001B30F0"/>
    <w:rsid w:val="001B319E"/>
    <w:rsid w:val="001B384D"/>
    <w:rsid w:val="001B3BF6"/>
    <w:rsid w:val="001B3E07"/>
    <w:rsid w:val="001B3E57"/>
    <w:rsid w:val="001B4594"/>
    <w:rsid w:val="001B56B8"/>
    <w:rsid w:val="001B6ADA"/>
    <w:rsid w:val="001B6F30"/>
    <w:rsid w:val="001B7035"/>
    <w:rsid w:val="001B72C5"/>
    <w:rsid w:val="001B76F0"/>
    <w:rsid w:val="001B7A7F"/>
    <w:rsid w:val="001C1BFA"/>
    <w:rsid w:val="001C20B8"/>
    <w:rsid w:val="001C2645"/>
    <w:rsid w:val="001C2FD4"/>
    <w:rsid w:val="001C3D2E"/>
    <w:rsid w:val="001C4A4E"/>
    <w:rsid w:val="001C5155"/>
    <w:rsid w:val="001C628A"/>
    <w:rsid w:val="001C6AC3"/>
    <w:rsid w:val="001C7034"/>
    <w:rsid w:val="001C781B"/>
    <w:rsid w:val="001C787F"/>
    <w:rsid w:val="001C78B6"/>
    <w:rsid w:val="001D0346"/>
    <w:rsid w:val="001D0BEA"/>
    <w:rsid w:val="001D0F36"/>
    <w:rsid w:val="001D123C"/>
    <w:rsid w:val="001D143D"/>
    <w:rsid w:val="001D1C6E"/>
    <w:rsid w:val="001D3760"/>
    <w:rsid w:val="001D3832"/>
    <w:rsid w:val="001D4BD1"/>
    <w:rsid w:val="001D4F82"/>
    <w:rsid w:val="001D5615"/>
    <w:rsid w:val="001D5881"/>
    <w:rsid w:val="001D7762"/>
    <w:rsid w:val="001D7782"/>
    <w:rsid w:val="001E0467"/>
    <w:rsid w:val="001E11BD"/>
    <w:rsid w:val="001E187B"/>
    <w:rsid w:val="001E20D3"/>
    <w:rsid w:val="001E22B3"/>
    <w:rsid w:val="001E23A3"/>
    <w:rsid w:val="001E2E90"/>
    <w:rsid w:val="001E3A35"/>
    <w:rsid w:val="001E44CF"/>
    <w:rsid w:val="001E5289"/>
    <w:rsid w:val="001E7675"/>
    <w:rsid w:val="001F04D8"/>
    <w:rsid w:val="001F0DCE"/>
    <w:rsid w:val="001F1ACA"/>
    <w:rsid w:val="001F1D65"/>
    <w:rsid w:val="001F237B"/>
    <w:rsid w:val="001F32D1"/>
    <w:rsid w:val="001F34AF"/>
    <w:rsid w:val="001F36FE"/>
    <w:rsid w:val="001F389D"/>
    <w:rsid w:val="001F397C"/>
    <w:rsid w:val="001F3BD0"/>
    <w:rsid w:val="001F402C"/>
    <w:rsid w:val="001F416F"/>
    <w:rsid w:val="001F4429"/>
    <w:rsid w:val="001F4559"/>
    <w:rsid w:val="001F466A"/>
    <w:rsid w:val="001F4BF1"/>
    <w:rsid w:val="001F4FC2"/>
    <w:rsid w:val="001F4FD4"/>
    <w:rsid w:val="001F52D9"/>
    <w:rsid w:val="001F5404"/>
    <w:rsid w:val="001F661A"/>
    <w:rsid w:val="001F661E"/>
    <w:rsid w:val="001F68A2"/>
    <w:rsid w:val="001F6E57"/>
    <w:rsid w:val="001F7D95"/>
    <w:rsid w:val="001F7F1D"/>
    <w:rsid w:val="00200066"/>
    <w:rsid w:val="002009F3"/>
    <w:rsid w:val="002011C0"/>
    <w:rsid w:val="00201736"/>
    <w:rsid w:val="00201767"/>
    <w:rsid w:val="002029F7"/>
    <w:rsid w:val="00202E08"/>
    <w:rsid w:val="0020326F"/>
    <w:rsid w:val="00203309"/>
    <w:rsid w:val="002043C7"/>
    <w:rsid w:val="00205A88"/>
    <w:rsid w:val="0020639A"/>
    <w:rsid w:val="002064AE"/>
    <w:rsid w:val="00206531"/>
    <w:rsid w:val="00206FE0"/>
    <w:rsid w:val="0020773F"/>
    <w:rsid w:val="002078EE"/>
    <w:rsid w:val="00207E2B"/>
    <w:rsid w:val="002105F2"/>
    <w:rsid w:val="002110EA"/>
    <w:rsid w:val="00211E7B"/>
    <w:rsid w:val="002124ED"/>
    <w:rsid w:val="00212D7B"/>
    <w:rsid w:val="002130C9"/>
    <w:rsid w:val="002130CD"/>
    <w:rsid w:val="00213470"/>
    <w:rsid w:val="002135A9"/>
    <w:rsid w:val="002136C6"/>
    <w:rsid w:val="002137B6"/>
    <w:rsid w:val="002141E3"/>
    <w:rsid w:val="0021474A"/>
    <w:rsid w:val="00214A05"/>
    <w:rsid w:val="00214D78"/>
    <w:rsid w:val="002152EB"/>
    <w:rsid w:val="00215C20"/>
    <w:rsid w:val="002160DB"/>
    <w:rsid w:val="0021640B"/>
    <w:rsid w:val="002168B3"/>
    <w:rsid w:val="00216BA2"/>
    <w:rsid w:val="00216BA4"/>
    <w:rsid w:val="00217C91"/>
    <w:rsid w:val="00220D1A"/>
    <w:rsid w:val="00221889"/>
    <w:rsid w:val="00221BFE"/>
    <w:rsid w:val="0022221E"/>
    <w:rsid w:val="0022236A"/>
    <w:rsid w:val="002229B6"/>
    <w:rsid w:val="00222D77"/>
    <w:rsid w:val="00223214"/>
    <w:rsid w:val="00223748"/>
    <w:rsid w:val="002239AE"/>
    <w:rsid w:val="002249CD"/>
    <w:rsid w:val="00224C35"/>
    <w:rsid w:val="00224D4A"/>
    <w:rsid w:val="002250F2"/>
    <w:rsid w:val="00225287"/>
    <w:rsid w:val="00225504"/>
    <w:rsid w:val="0022565B"/>
    <w:rsid w:val="0022565F"/>
    <w:rsid w:val="00225FAA"/>
    <w:rsid w:val="00226493"/>
    <w:rsid w:val="002268A7"/>
    <w:rsid w:val="00226C92"/>
    <w:rsid w:val="00226F42"/>
    <w:rsid w:val="00227363"/>
    <w:rsid w:val="002274F8"/>
    <w:rsid w:val="002306F8"/>
    <w:rsid w:val="0023150C"/>
    <w:rsid w:val="002316A6"/>
    <w:rsid w:val="002329D3"/>
    <w:rsid w:val="00232CC7"/>
    <w:rsid w:val="00233341"/>
    <w:rsid w:val="00234ACE"/>
    <w:rsid w:val="00234C93"/>
    <w:rsid w:val="0023644E"/>
    <w:rsid w:val="00236AEA"/>
    <w:rsid w:val="002370A6"/>
    <w:rsid w:val="002372AB"/>
    <w:rsid w:val="002375E2"/>
    <w:rsid w:val="00237EF0"/>
    <w:rsid w:val="00240165"/>
    <w:rsid w:val="00240F1E"/>
    <w:rsid w:val="00241007"/>
    <w:rsid w:val="00241989"/>
    <w:rsid w:val="002421F5"/>
    <w:rsid w:val="0024236C"/>
    <w:rsid w:val="00242B68"/>
    <w:rsid w:val="00242BFF"/>
    <w:rsid w:val="00242C0C"/>
    <w:rsid w:val="002437D8"/>
    <w:rsid w:val="00243C45"/>
    <w:rsid w:val="00244638"/>
    <w:rsid w:val="00244CFC"/>
    <w:rsid w:val="002452EB"/>
    <w:rsid w:val="00245F2E"/>
    <w:rsid w:val="00246002"/>
    <w:rsid w:val="00246311"/>
    <w:rsid w:val="00246492"/>
    <w:rsid w:val="002469D6"/>
    <w:rsid w:val="00246AD0"/>
    <w:rsid w:val="00246FEB"/>
    <w:rsid w:val="00246FFB"/>
    <w:rsid w:val="002500C0"/>
    <w:rsid w:val="00250436"/>
    <w:rsid w:val="00250A1D"/>
    <w:rsid w:val="002529C0"/>
    <w:rsid w:val="0025300B"/>
    <w:rsid w:val="00253AB3"/>
    <w:rsid w:val="00254750"/>
    <w:rsid w:val="00254CB9"/>
    <w:rsid w:val="00254E51"/>
    <w:rsid w:val="00255742"/>
    <w:rsid w:val="00255D67"/>
    <w:rsid w:val="002562B8"/>
    <w:rsid w:val="00256BDE"/>
    <w:rsid w:val="00257051"/>
    <w:rsid w:val="00260574"/>
    <w:rsid w:val="002612E0"/>
    <w:rsid w:val="002618E6"/>
    <w:rsid w:val="00262505"/>
    <w:rsid w:val="00262FB1"/>
    <w:rsid w:val="00263558"/>
    <w:rsid w:val="00263CD8"/>
    <w:rsid w:val="00264490"/>
    <w:rsid w:val="0026530D"/>
    <w:rsid w:val="00266486"/>
    <w:rsid w:val="0026648D"/>
    <w:rsid w:val="00266965"/>
    <w:rsid w:val="00266C1B"/>
    <w:rsid w:val="00267B03"/>
    <w:rsid w:val="00267E6E"/>
    <w:rsid w:val="00270E4C"/>
    <w:rsid w:val="002722E1"/>
    <w:rsid w:val="002723F7"/>
    <w:rsid w:val="002728D5"/>
    <w:rsid w:val="00273B97"/>
    <w:rsid w:val="00273DBE"/>
    <w:rsid w:val="002745E2"/>
    <w:rsid w:val="00274F2E"/>
    <w:rsid w:val="00275904"/>
    <w:rsid w:val="00275C32"/>
    <w:rsid w:val="0027609C"/>
    <w:rsid w:val="002765B0"/>
    <w:rsid w:val="00276FF9"/>
    <w:rsid w:val="00281463"/>
    <w:rsid w:val="00281918"/>
    <w:rsid w:val="00282025"/>
    <w:rsid w:val="00282799"/>
    <w:rsid w:val="00282AC0"/>
    <w:rsid w:val="00283C25"/>
    <w:rsid w:val="00283CB5"/>
    <w:rsid w:val="00284210"/>
    <w:rsid w:val="00284A94"/>
    <w:rsid w:val="00284DC6"/>
    <w:rsid w:val="002856C4"/>
    <w:rsid w:val="0028577F"/>
    <w:rsid w:val="00285B04"/>
    <w:rsid w:val="00285B17"/>
    <w:rsid w:val="00285D1C"/>
    <w:rsid w:val="002862D1"/>
    <w:rsid w:val="0028689C"/>
    <w:rsid w:val="00287449"/>
    <w:rsid w:val="00287763"/>
    <w:rsid w:val="00287CC7"/>
    <w:rsid w:val="0029074C"/>
    <w:rsid w:val="00290AB7"/>
    <w:rsid w:val="00290F7E"/>
    <w:rsid w:val="002924F7"/>
    <w:rsid w:val="00292DB7"/>
    <w:rsid w:val="002935DA"/>
    <w:rsid w:val="00293CB3"/>
    <w:rsid w:val="00293D1B"/>
    <w:rsid w:val="002950F0"/>
    <w:rsid w:val="0029562F"/>
    <w:rsid w:val="00295930"/>
    <w:rsid w:val="00295E33"/>
    <w:rsid w:val="00296147"/>
    <w:rsid w:val="00296405"/>
    <w:rsid w:val="002971A0"/>
    <w:rsid w:val="002A129F"/>
    <w:rsid w:val="002A1639"/>
    <w:rsid w:val="002A1A6D"/>
    <w:rsid w:val="002A20E5"/>
    <w:rsid w:val="002A25C5"/>
    <w:rsid w:val="002A275B"/>
    <w:rsid w:val="002A2917"/>
    <w:rsid w:val="002A3552"/>
    <w:rsid w:val="002A3822"/>
    <w:rsid w:val="002A3DD7"/>
    <w:rsid w:val="002A40FF"/>
    <w:rsid w:val="002A45A6"/>
    <w:rsid w:val="002A4815"/>
    <w:rsid w:val="002A4874"/>
    <w:rsid w:val="002A4F8C"/>
    <w:rsid w:val="002A62FA"/>
    <w:rsid w:val="002A6628"/>
    <w:rsid w:val="002A71A6"/>
    <w:rsid w:val="002A77CA"/>
    <w:rsid w:val="002A7995"/>
    <w:rsid w:val="002A7E07"/>
    <w:rsid w:val="002B077C"/>
    <w:rsid w:val="002B0E77"/>
    <w:rsid w:val="002B132E"/>
    <w:rsid w:val="002B16E4"/>
    <w:rsid w:val="002B18CC"/>
    <w:rsid w:val="002B2B2F"/>
    <w:rsid w:val="002B3156"/>
    <w:rsid w:val="002B329F"/>
    <w:rsid w:val="002B446C"/>
    <w:rsid w:val="002B4F4D"/>
    <w:rsid w:val="002B61CE"/>
    <w:rsid w:val="002B69CF"/>
    <w:rsid w:val="002B6CC5"/>
    <w:rsid w:val="002B6FC4"/>
    <w:rsid w:val="002B721C"/>
    <w:rsid w:val="002B7651"/>
    <w:rsid w:val="002C0512"/>
    <w:rsid w:val="002C1E78"/>
    <w:rsid w:val="002C2206"/>
    <w:rsid w:val="002C339F"/>
    <w:rsid w:val="002C5096"/>
    <w:rsid w:val="002C55F6"/>
    <w:rsid w:val="002C5B93"/>
    <w:rsid w:val="002C5EA6"/>
    <w:rsid w:val="002C6347"/>
    <w:rsid w:val="002C6396"/>
    <w:rsid w:val="002C64EC"/>
    <w:rsid w:val="002C67BF"/>
    <w:rsid w:val="002C6996"/>
    <w:rsid w:val="002C6A6A"/>
    <w:rsid w:val="002C7692"/>
    <w:rsid w:val="002C7BFE"/>
    <w:rsid w:val="002C7DC2"/>
    <w:rsid w:val="002D294D"/>
    <w:rsid w:val="002D2B15"/>
    <w:rsid w:val="002D341B"/>
    <w:rsid w:val="002D3573"/>
    <w:rsid w:val="002D35DA"/>
    <w:rsid w:val="002D3B22"/>
    <w:rsid w:val="002D49D7"/>
    <w:rsid w:val="002D4B8F"/>
    <w:rsid w:val="002D5289"/>
    <w:rsid w:val="002D5820"/>
    <w:rsid w:val="002D63CC"/>
    <w:rsid w:val="002D6BC6"/>
    <w:rsid w:val="002D6D5F"/>
    <w:rsid w:val="002D73DD"/>
    <w:rsid w:val="002D756D"/>
    <w:rsid w:val="002D76CF"/>
    <w:rsid w:val="002E0601"/>
    <w:rsid w:val="002E08C3"/>
    <w:rsid w:val="002E15AC"/>
    <w:rsid w:val="002E1683"/>
    <w:rsid w:val="002E2053"/>
    <w:rsid w:val="002E2130"/>
    <w:rsid w:val="002E2DCF"/>
    <w:rsid w:val="002E334F"/>
    <w:rsid w:val="002E3869"/>
    <w:rsid w:val="002E3B6E"/>
    <w:rsid w:val="002E47B6"/>
    <w:rsid w:val="002E4957"/>
    <w:rsid w:val="002E5996"/>
    <w:rsid w:val="002E59E4"/>
    <w:rsid w:val="002E5B74"/>
    <w:rsid w:val="002E5EDE"/>
    <w:rsid w:val="002E5FAB"/>
    <w:rsid w:val="002E61DE"/>
    <w:rsid w:val="002E73D6"/>
    <w:rsid w:val="002E7561"/>
    <w:rsid w:val="002E790C"/>
    <w:rsid w:val="002F063F"/>
    <w:rsid w:val="002F07DD"/>
    <w:rsid w:val="002F09B3"/>
    <w:rsid w:val="002F0D9E"/>
    <w:rsid w:val="002F2080"/>
    <w:rsid w:val="002F21D0"/>
    <w:rsid w:val="002F3BA5"/>
    <w:rsid w:val="002F3D36"/>
    <w:rsid w:val="002F4065"/>
    <w:rsid w:val="002F40AA"/>
    <w:rsid w:val="002F42B9"/>
    <w:rsid w:val="002F4FA3"/>
    <w:rsid w:val="002F5675"/>
    <w:rsid w:val="002F5852"/>
    <w:rsid w:val="002F5FB5"/>
    <w:rsid w:val="002F6868"/>
    <w:rsid w:val="002F6DA1"/>
    <w:rsid w:val="002F6F1A"/>
    <w:rsid w:val="002F7042"/>
    <w:rsid w:val="002F7956"/>
    <w:rsid w:val="002F7D68"/>
    <w:rsid w:val="002F7DAA"/>
    <w:rsid w:val="003000F2"/>
    <w:rsid w:val="003007E8"/>
    <w:rsid w:val="003008EF"/>
    <w:rsid w:val="00300F45"/>
    <w:rsid w:val="0030134A"/>
    <w:rsid w:val="00302355"/>
    <w:rsid w:val="00302507"/>
    <w:rsid w:val="00302DF7"/>
    <w:rsid w:val="00302E74"/>
    <w:rsid w:val="00302EE9"/>
    <w:rsid w:val="00303301"/>
    <w:rsid w:val="00303C53"/>
    <w:rsid w:val="00304174"/>
    <w:rsid w:val="003041C1"/>
    <w:rsid w:val="00304BA1"/>
    <w:rsid w:val="003053A6"/>
    <w:rsid w:val="003058C8"/>
    <w:rsid w:val="00305C43"/>
    <w:rsid w:val="00305C5F"/>
    <w:rsid w:val="00306654"/>
    <w:rsid w:val="0030685B"/>
    <w:rsid w:val="00306B26"/>
    <w:rsid w:val="003070A3"/>
    <w:rsid w:val="003107E2"/>
    <w:rsid w:val="00310AB1"/>
    <w:rsid w:val="003112CE"/>
    <w:rsid w:val="00311FAA"/>
    <w:rsid w:val="00312012"/>
    <w:rsid w:val="003120BF"/>
    <w:rsid w:val="0031228B"/>
    <w:rsid w:val="00312746"/>
    <w:rsid w:val="00313ADE"/>
    <w:rsid w:val="003140CC"/>
    <w:rsid w:val="003147E0"/>
    <w:rsid w:val="00315134"/>
    <w:rsid w:val="003153E5"/>
    <w:rsid w:val="0031593B"/>
    <w:rsid w:val="00315DDC"/>
    <w:rsid w:val="00316280"/>
    <w:rsid w:val="00316783"/>
    <w:rsid w:val="003178C3"/>
    <w:rsid w:val="00317CAF"/>
    <w:rsid w:val="00320155"/>
    <w:rsid w:val="0032037E"/>
    <w:rsid w:val="003207AE"/>
    <w:rsid w:val="00320C87"/>
    <w:rsid w:val="00320D1E"/>
    <w:rsid w:val="00321677"/>
    <w:rsid w:val="003218D6"/>
    <w:rsid w:val="0032256F"/>
    <w:rsid w:val="00322A5A"/>
    <w:rsid w:val="00322AFB"/>
    <w:rsid w:val="0032336D"/>
    <w:rsid w:val="00324052"/>
    <w:rsid w:val="0032629E"/>
    <w:rsid w:val="00327223"/>
    <w:rsid w:val="003276C7"/>
    <w:rsid w:val="00327DE9"/>
    <w:rsid w:val="003304DB"/>
    <w:rsid w:val="003306A5"/>
    <w:rsid w:val="00330953"/>
    <w:rsid w:val="0033132B"/>
    <w:rsid w:val="00331753"/>
    <w:rsid w:val="003318B9"/>
    <w:rsid w:val="00331978"/>
    <w:rsid w:val="00331AD9"/>
    <w:rsid w:val="00331E69"/>
    <w:rsid w:val="00331F8C"/>
    <w:rsid w:val="003330FC"/>
    <w:rsid w:val="0033337A"/>
    <w:rsid w:val="003335A9"/>
    <w:rsid w:val="00333639"/>
    <w:rsid w:val="003337D7"/>
    <w:rsid w:val="00333ACD"/>
    <w:rsid w:val="00334123"/>
    <w:rsid w:val="0033439D"/>
    <w:rsid w:val="003344E0"/>
    <w:rsid w:val="0033464A"/>
    <w:rsid w:val="00335231"/>
    <w:rsid w:val="003358E1"/>
    <w:rsid w:val="00335994"/>
    <w:rsid w:val="003359E0"/>
    <w:rsid w:val="00335AA5"/>
    <w:rsid w:val="00336284"/>
    <w:rsid w:val="00336D80"/>
    <w:rsid w:val="00337035"/>
    <w:rsid w:val="003371B4"/>
    <w:rsid w:val="0034035D"/>
    <w:rsid w:val="0034039B"/>
    <w:rsid w:val="00340872"/>
    <w:rsid w:val="0034148D"/>
    <w:rsid w:val="00341B7F"/>
    <w:rsid w:val="00341C04"/>
    <w:rsid w:val="00341EBC"/>
    <w:rsid w:val="0034278C"/>
    <w:rsid w:val="0034293F"/>
    <w:rsid w:val="00342D73"/>
    <w:rsid w:val="00343397"/>
    <w:rsid w:val="00343618"/>
    <w:rsid w:val="00344786"/>
    <w:rsid w:val="0034551F"/>
    <w:rsid w:val="00346614"/>
    <w:rsid w:val="003504BD"/>
    <w:rsid w:val="0035143A"/>
    <w:rsid w:val="00351D3D"/>
    <w:rsid w:val="00351E5B"/>
    <w:rsid w:val="00351EB4"/>
    <w:rsid w:val="0035212B"/>
    <w:rsid w:val="00352150"/>
    <w:rsid w:val="0035274A"/>
    <w:rsid w:val="003542A5"/>
    <w:rsid w:val="00354460"/>
    <w:rsid w:val="00354BB8"/>
    <w:rsid w:val="003569AA"/>
    <w:rsid w:val="003571C9"/>
    <w:rsid w:val="003606DB"/>
    <w:rsid w:val="0036090C"/>
    <w:rsid w:val="003615B9"/>
    <w:rsid w:val="00361F36"/>
    <w:rsid w:val="003627C9"/>
    <w:rsid w:val="003628B6"/>
    <w:rsid w:val="00362E61"/>
    <w:rsid w:val="003633D2"/>
    <w:rsid w:val="00363537"/>
    <w:rsid w:val="00363C2D"/>
    <w:rsid w:val="00363EFA"/>
    <w:rsid w:val="003649A7"/>
    <w:rsid w:val="003654E4"/>
    <w:rsid w:val="00365534"/>
    <w:rsid w:val="00365E02"/>
    <w:rsid w:val="00365F35"/>
    <w:rsid w:val="00366934"/>
    <w:rsid w:val="003675D1"/>
    <w:rsid w:val="003675EF"/>
    <w:rsid w:val="00367A98"/>
    <w:rsid w:val="00370000"/>
    <w:rsid w:val="003701B2"/>
    <w:rsid w:val="003704BA"/>
    <w:rsid w:val="00371216"/>
    <w:rsid w:val="00371563"/>
    <w:rsid w:val="0037239F"/>
    <w:rsid w:val="0037287A"/>
    <w:rsid w:val="00372CAA"/>
    <w:rsid w:val="00374E30"/>
    <w:rsid w:val="003753E2"/>
    <w:rsid w:val="00376F42"/>
    <w:rsid w:val="00377B0D"/>
    <w:rsid w:val="00377C6B"/>
    <w:rsid w:val="00380915"/>
    <w:rsid w:val="00380E5C"/>
    <w:rsid w:val="00381200"/>
    <w:rsid w:val="003813DA"/>
    <w:rsid w:val="003816CF"/>
    <w:rsid w:val="0038248D"/>
    <w:rsid w:val="003829D3"/>
    <w:rsid w:val="0038387A"/>
    <w:rsid w:val="0038445C"/>
    <w:rsid w:val="0038453F"/>
    <w:rsid w:val="003852D4"/>
    <w:rsid w:val="0038584B"/>
    <w:rsid w:val="0038597F"/>
    <w:rsid w:val="00385E4B"/>
    <w:rsid w:val="003868E1"/>
    <w:rsid w:val="00386998"/>
    <w:rsid w:val="003874CA"/>
    <w:rsid w:val="003917DE"/>
    <w:rsid w:val="0039215A"/>
    <w:rsid w:val="00393D13"/>
    <w:rsid w:val="003940A2"/>
    <w:rsid w:val="00395534"/>
    <w:rsid w:val="00395906"/>
    <w:rsid w:val="00395BA6"/>
    <w:rsid w:val="00395F30"/>
    <w:rsid w:val="0039603F"/>
    <w:rsid w:val="003962C8"/>
    <w:rsid w:val="003964B5"/>
    <w:rsid w:val="00396964"/>
    <w:rsid w:val="00396FBE"/>
    <w:rsid w:val="00397059"/>
    <w:rsid w:val="00397280"/>
    <w:rsid w:val="003972D8"/>
    <w:rsid w:val="00397529"/>
    <w:rsid w:val="00397E42"/>
    <w:rsid w:val="003A030F"/>
    <w:rsid w:val="003A06A2"/>
    <w:rsid w:val="003A09F3"/>
    <w:rsid w:val="003A11FD"/>
    <w:rsid w:val="003A1A07"/>
    <w:rsid w:val="003A2521"/>
    <w:rsid w:val="003A33FD"/>
    <w:rsid w:val="003A3BF2"/>
    <w:rsid w:val="003A4F6A"/>
    <w:rsid w:val="003A5AAF"/>
    <w:rsid w:val="003A68CF"/>
    <w:rsid w:val="003A6A35"/>
    <w:rsid w:val="003A6C67"/>
    <w:rsid w:val="003A7548"/>
    <w:rsid w:val="003A7816"/>
    <w:rsid w:val="003A7CC3"/>
    <w:rsid w:val="003A7F4A"/>
    <w:rsid w:val="003B0F3D"/>
    <w:rsid w:val="003B0F5C"/>
    <w:rsid w:val="003B1444"/>
    <w:rsid w:val="003B1657"/>
    <w:rsid w:val="003B22DA"/>
    <w:rsid w:val="003B353B"/>
    <w:rsid w:val="003B369E"/>
    <w:rsid w:val="003B3BFB"/>
    <w:rsid w:val="003B485B"/>
    <w:rsid w:val="003B4EF1"/>
    <w:rsid w:val="003B4F39"/>
    <w:rsid w:val="003B67C9"/>
    <w:rsid w:val="003B6F88"/>
    <w:rsid w:val="003C0436"/>
    <w:rsid w:val="003C0635"/>
    <w:rsid w:val="003C0710"/>
    <w:rsid w:val="003C0FC6"/>
    <w:rsid w:val="003C1232"/>
    <w:rsid w:val="003C20BF"/>
    <w:rsid w:val="003C24B4"/>
    <w:rsid w:val="003C24B8"/>
    <w:rsid w:val="003C24DA"/>
    <w:rsid w:val="003C2553"/>
    <w:rsid w:val="003C2C5B"/>
    <w:rsid w:val="003C3439"/>
    <w:rsid w:val="003C3A7C"/>
    <w:rsid w:val="003C4D10"/>
    <w:rsid w:val="003C55EE"/>
    <w:rsid w:val="003C6224"/>
    <w:rsid w:val="003C6ABB"/>
    <w:rsid w:val="003C6CE8"/>
    <w:rsid w:val="003C71B3"/>
    <w:rsid w:val="003C7520"/>
    <w:rsid w:val="003C7E21"/>
    <w:rsid w:val="003D0E71"/>
    <w:rsid w:val="003D14A6"/>
    <w:rsid w:val="003D1A44"/>
    <w:rsid w:val="003D2A5C"/>
    <w:rsid w:val="003D301A"/>
    <w:rsid w:val="003D359B"/>
    <w:rsid w:val="003D35DF"/>
    <w:rsid w:val="003D373A"/>
    <w:rsid w:val="003D3B7A"/>
    <w:rsid w:val="003D4745"/>
    <w:rsid w:val="003D4BCD"/>
    <w:rsid w:val="003D52DD"/>
    <w:rsid w:val="003D540C"/>
    <w:rsid w:val="003D5632"/>
    <w:rsid w:val="003D5D68"/>
    <w:rsid w:val="003D634F"/>
    <w:rsid w:val="003D7895"/>
    <w:rsid w:val="003D7E17"/>
    <w:rsid w:val="003E07DF"/>
    <w:rsid w:val="003E07E6"/>
    <w:rsid w:val="003E09AD"/>
    <w:rsid w:val="003E0E54"/>
    <w:rsid w:val="003E1265"/>
    <w:rsid w:val="003E1DE5"/>
    <w:rsid w:val="003E2451"/>
    <w:rsid w:val="003E26A2"/>
    <w:rsid w:val="003E3242"/>
    <w:rsid w:val="003E3C96"/>
    <w:rsid w:val="003E3E1F"/>
    <w:rsid w:val="003E49F7"/>
    <w:rsid w:val="003E4EF0"/>
    <w:rsid w:val="003E4FC3"/>
    <w:rsid w:val="003E504C"/>
    <w:rsid w:val="003E582E"/>
    <w:rsid w:val="003E5E39"/>
    <w:rsid w:val="003E5F31"/>
    <w:rsid w:val="003E6180"/>
    <w:rsid w:val="003E6249"/>
    <w:rsid w:val="003E6603"/>
    <w:rsid w:val="003E6EA0"/>
    <w:rsid w:val="003E7311"/>
    <w:rsid w:val="003E785D"/>
    <w:rsid w:val="003E7EA6"/>
    <w:rsid w:val="003F0760"/>
    <w:rsid w:val="003F0824"/>
    <w:rsid w:val="003F1246"/>
    <w:rsid w:val="003F12E9"/>
    <w:rsid w:val="003F153D"/>
    <w:rsid w:val="003F2128"/>
    <w:rsid w:val="003F28B3"/>
    <w:rsid w:val="003F3015"/>
    <w:rsid w:val="003F306B"/>
    <w:rsid w:val="003F420D"/>
    <w:rsid w:val="003F4323"/>
    <w:rsid w:val="003F43D9"/>
    <w:rsid w:val="003F5A27"/>
    <w:rsid w:val="003F7049"/>
    <w:rsid w:val="003F7736"/>
    <w:rsid w:val="003F7A14"/>
    <w:rsid w:val="003F7D7A"/>
    <w:rsid w:val="003F7DDA"/>
    <w:rsid w:val="00400AF8"/>
    <w:rsid w:val="00401317"/>
    <w:rsid w:val="00401F41"/>
    <w:rsid w:val="004025F3"/>
    <w:rsid w:val="004038AB"/>
    <w:rsid w:val="00403902"/>
    <w:rsid w:val="004039A2"/>
    <w:rsid w:val="00403D08"/>
    <w:rsid w:val="004044D1"/>
    <w:rsid w:val="00404B22"/>
    <w:rsid w:val="00405169"/>
    <w:rsid w:val="0040524C"/>
    <w:rsid w:val="004056FF"/>
    <w:rsid w:val="00406938"/>
    <w:rsid w:val="004069ED"/>
    <w:rsid w:val="00406ED1"/>
    <w:rsid w:val="00406F9E"/>
    <w:rsid w:val="00407AF8"/>
    <w:rsid w:val="0041028D"/>
    <w:rsid w:val="00410B0E"/>
    <w:rsid w:val="00410B18"/>
    <w:rsid w:val="00410CCB"/>
    <w:rsid w:val="00411C61"/>
    <w:rsid w:val="004123C3"/>
    <w:rsid w:val="0041273E"/>
    <w:rsid w:val="00412D02"/>
    <w:rsid w:val="00412F3A"/>
    <w:rsid w:val="00413227"/>
    <w:rsid w:val="0041351E"/>
    <w:rsid w:val="00413FFE"/>
    <w:rsid w:val="00415441"/>
    <w:rsid w:val="00415C6C"/>
    <w:rsid w:val="00416013"/>
    <w:rsid w:val="00416157"/>
    <w:rsid w:val="00416181"/>
    <w:rsid w:val="004165F5"/>
    <w:rsid w:val="00416636"/>
    <w:rsid w:val="00416692"/>
    <w:rsid w:val="0041678A"/>
    <w:rsid w:val="004167F8"/>
    <w:rsid w:val="0041695A"/>
    <w:rsid w:val="00416AC4"/>
    <w:rsid w:val="00417734"/>
    <w:rsid w:val="0042032F"/>
    <w:rsid w:val="0042076D"/>
    <w:rsid w:val="0042129C"/>
    <w:rsid w:val="00421740"/>
    <w:rsid w:val="00421917"/>
    <w:rsid w:val="00421A69"/>
    <w:rsid w:val="00421A9C"/>
    <w:rsid w:val="004220FD"/>
    <w:rsid w:val="004222BD"/>
    <w:rsid w:val="00422555"/>
    <w:rsid w:val="004227A5"/>
    <w:rsid w:val="0042294A"/>
    <w:rsid w:val="004229BF"/>
    <w:rsid w:val="004229FB"/>
    <w:rsid w:val="004230D4"/>
    <w:rsid w:val="0042392F"/>
    <w:rsid w:val="00423CF3"/>
    <w:rsid w:val="0042461B"/>
    <w:rsid w:val="004256D9"/>
    <w:rsid w:val="0042575F"/>
    <w:rsid w:val="0042651E"/>
    <w:rsid w:val="00426CAC"/>
    <w:rsid w:val="0042749E"/>
    <w:rsid w:val="00430E9E"/>
    <w:rsid w:val="00431596"/>
    <w:rsid w:val="00431678"/>
    <w:rsid w:val="0043168D"/>
    <w:rsid w:val="00431D29"/>
    <w:rsid w:val="004321BE"/>
    <w:rsid w:val="00432301"/>
    <w:rsid w:val="00432688"/>
    <w:rsid w:val="00433397"/>
    <w:rsid w:val="00433D1E"/>
    <w:rsid w:val="0043449B"/>
    <w:rsid w:val="00434792"/>
    <w:rsid w:val="00434840"/>
    <w:rsid w:val="004348EB"/>
    <w:rsid w:val="00435161"/>
    <w:rsid w:val="004355BE"/>
    <w:rsid w:val="0043778D"/>
    <w:rsid w:val="004400F2"/>
    <w:rsid w:val="0044029C"/>
    <w:rsid w:val="00440AFA"/>
    <w:rsid w:val="00440F67"/>
    <w:rsid w:val="0044161B"/>
    <w:rsid w:val="00442FB8"/>
    <w:rsid w:val="00443247"/>
    <w:rsid w:val="00443340"/>
    <w:rsid w:val="00443396"/>
    <w:rsid w:val="00443477"/>
    <w:rsid w:val="00444378"/>
    <w:rsid w:val="0044572A"/>
    <w:rsid w:val="00445A80"/>
    <w:rsid w:val="00446041"/>
    <w:rsid w:val="00447583"/>
    <w:rsid w:val="00447958"/>
    <w:rsid w:val="00450D74"/>
    <w:rsid w:val="0045204D"/>
    <w:rsid w:val="00452E78"/>
    <w:rsid w:val="00453DAE"/>
    <w:rsid w:val="0045431A"/>
    <w:rsid w:val="00454832"/>
    <w:rsid w:val="00454C5B"/>
    <w:rsid w:val="00455D8D"/>
    <w:rsid w:val="004562EA"/>
    <w:rsid w:val="0045660E"/>
    <w:rsid w:val="00456AA9"/>
    <w:rsid w:val="00457289"/>
    <w:rsid w:val="004573F1"/>
    <w:rsid w:val="00457EA5"/>
    <w:rsid w:val="004600C3"/>
    <w:rsid w:val="004607C1"/>
    <w:rsid w:val="004612F2"/>
    <w:rsid w:val="00461BEF"/>
    <w:rsid w:val="00461CA5"/>
    <w:rsid w:val="004624B7"/>
    <w:rsid w:val="00462E2E"/>
    <w:rsid w:val="0046316F"/>
    <w:rsid w:val="00463590"/>
    <w:rsid w:val="00463955"/>
    <w:rsid w:val="00463AF7"/>
    <w:rsid w:val="00463FE2"/>
    <w:rsid w:val="004660C3"/>
    <w:rsid w:val="0046715D"/>
    <w:rsid w:val="00470146"/>
    <w:rsid w:val="0047154F"/>
    <w:rsid w:val="00471895"/>
    <w:rsid w:val="00471D5C"/>
    <w:rsid w:val="00471FC5"/>
    <w:rsid w:val="0047224D"/>
    <w:rsid w:val="0047299D"/>
    <w:rsid w:val="00473E4A"/>
    <w:rsid w:val="00473E55"/>
    <w:rsid w:val="00473E9F"/>
    <w:rsid w:val="00473EE1"/>
    <w:rsid w:val="00474004"/>
    <w:rsid w:val="00474851"/>
    <w:rsid w:val="004751D7"/>
    <w:rsid w:val="004753D0"/>
    <w:rsid w:val="004760B0"/>
    <w:rsid w:val="00476299"/>
    <w:rsid w:val="004762FB"/>
    <w:rsid w:val="004765BF"/>
    <w:rsid w:val="0047674D"/>
    <w:rsid w:val="0047691F"/>
    <w:rsid w:val="00476B76"/>
    <w:rsid w:val="00477213"/>
    <w:rsid w:val="00477268"/>
    <w:rsid w:val="004775CB"/>
    <w:rsid w:val="00477DEB"/>
    <w:rsid w:val="00480773"/>
    <w:rsid w:val="00481524"/>
    <w:rsid w:val="004818E0"/>
    <w:rsid w:val="00482BCA"/>
    <w:rsid w:val="00482D3C"/>
    <w:rsid w:val="00483DCF"/>
    <w:rsid w:val="00484293"/>
    <w:rsid w:val="004846D9"/>
    <w:rsid w:val="0048489D"/>
    <w:rsid w:val="00484B5B"/>
    <w:rsid w:val="00484DB4"/>
    <w:rsid w:val="00485599"/>
    <w:rsid w:val="00485E86"/>
    <w:rsid w:val="00486287"/>
    <w:rsid w:val="004863E2"/>
    <w:rsid w:val="00486784"/>
    <w:rsid w:val="00486D8B"/>
    <w:rsid w:val="0048738C"/>
    <w:rsid w:val="00487458"/>
    <w:rsid w:val="0048748E"/>
    <w:rsid w:val="00487760"/>
    <w:rsid w:val="00487936"/>
    <w:rsid w:val="00487DC4"/>
    <w:rsid w:val="00491069"/>
    <w:rsid w:val="00491EA6"/>
    <w:rsid w:val="00492A1F"/>
    <w:rsid w:val="00492F3F"/>
    <w:rsid w:val="00493020"/>
    <w:rsid w:val="00493747"/>
    <w:rsid w:val="004938EC"/>
    <w:rsid w:val="00493E6C"/>
    <w:rsid w:val="0049481E"/>
    <w:rsid w:val="00494EDA"/>
    <w:rsid w:val="00495E8E"/>
    <w:rsid w:val="00496923"/>
    <w:rsid w:val="00497829"/>
    <w:rsid w:val="004A1252"/>
    <w:rsid w:val="004A2ACC"/>
    <w:rsid w:val="004A2D5F"/>
    <w:rsid w:val="004A4FF7"/>
    <w:rsid w:val="004A5A74"/>
    <w:rsid w:val="004A60C0"/>
    <w:rsid w:val="004A6629"/>
    <w:rsid w:val="004A6C68"/>
    <w:rsid w:val="004A6F8C"/>
    <w:rsid w:val="004A7613"/>
    <w:rsid w:val="004A7B40"/>
    <w:rsid w:val="004B1829"/>
    <w:rsid w:val="004B1F26"/>
    <w:rsid w:val="004B25B4"/>
    <w:rsid w:val="004B2D93"/>
    <w:rsid w:val="004B2EF6"/>
    <w:rsid w:val="004B2FD6"/>
    <w:rsid w:val="004B3233"/>
    <w:rsid w:val="004B45B6"/>
    <w:rsid w:val="004B464F"/>
    <w:rsid w:val="004B4719"/>
    <w:rsid w:val="004B4ABF"/>
    <w:rsid w:val="004B5839"/>
    <w:rsid w:val="004B694B"/>
    <w:rsid w:val="004B6B5D"/>
    <w:rsid w:val="004B7AB4"/>
    <w:rsid w:val="004C0329"/>
    <w:rsid w:val="004C04D9"/>
    <w:rsid w:val="004C0725"/>
    <w:rsid w:val="004C1180"/>
    <w:rsid w:val="004C1498"/>
    <w:rsid w:val="004C17F2"/>
    <w:rsid w:val="004C1CC5"/>
    <w:rsid w:val="004C1CE5"/>
    <w:rsid w:val="004C1F4B"/>
    <w:rsid w:val="004C2042"/>
    <w:rsid w:val="004C2373"/>
    <w:rsid w:val="004C25C8"/>
    <w:rsid w:val="004C29D2"/>
    <w:rsid w:val="004C2D2B"/>
    <w:rsid w:val="004C3055"/>
    <w:rsid w:val="004C34D6"/>
    <w:rsid w:val="004C353C"/>
    <w:rsid w:val="004C37D1"/>
    <w:rsid w:val="004C3990"/>
    <w:rsid w:val="004C3F19"/>
    <w:rsid w:val="004C4620"/>
    <w:rsid w:val="004C4D61"/>
    <w:rsid w:val="004C50E6"/>
    <w:rsid w:val="004C5333"/>
    <w:rsid w:val="004C6741"/>
    <w:rsid w:val="004C703F"/>
    <w:rsid w:val="004C7DFA"/>
    <w:rsid w:val="004D0311"/>
    <w:rsid w:val="004D0D7F"/>
    <w:rsid w:val="004D15B1"/>
    <w:rsid w:val="004D18EE"/>
    <w:rsid w:val="004D1F17"/>
    <w:rsid w:val="004D2233"/>
    <w:rsid w:val="004D31C7"/>
    <w:rsid w:val="004D362C"/>
    <w:rsid w:val="004D381B"/>
    <w:rsid w:val="004D3AA9"/>
    <w:rsid w:val="004D3C7E"/>
    <w:rsid w:val="004D4620"/>
    <w:rsid w:val="004D4BC9"/>
    <w:rsid w:val="004D5080"/>
    <w:rsid w:val="004D5DDC"/>
    <w:rsid w:val="004D5F23"/>
    <w:rsid w:val="004D6BFD"/>
    <w:rsid w:val="004D6C31"/>
    <w:rsid w:val="004D7546"/>
    <w:rsid w:val="004D756F"/>
    <w:rsid w:val="004E080A"/>
    <w:rsid w:val="004E0831"/>
    <w:rsid w:val="004E13D5"/>
    <w:rsid w:val="004E14E5"/>
    <w:rsid w:val="004E161B"/>
    <w:rsid w:val="004E2918"/>
    <w:rsid w:val="004E2AB5"/>
    <w:rsid w:val="004E2FF5"/>
    <w:rsid w:val="004E3D00"/>
    <w:rsid w:val="004E3E32"/>
    <w:rsid w:val="004E418C"/>
    <w:rsid w:val="004E5065"/>
    <w:rsid w:val="004E5511"/>
    <w:rsid w:val="004E5889"/>
    <w:rsid w:val="004E5D63"/>
    <w:rsid w:val="004E5D66"/>
    <w:rsid w:val="004E6296"/>
    <w:rsid w:val="004E6A87"/>
    <w:rsid w:val="004E7045"/>
    <w:rsid w:val="004E72C4"/>
    <w:rsid w:val="004E75B3"/>
    <w:rsid w:val="004E7D56"/>
    <w:rsid w:val="004E7F43"/>
    <w:rsid w:val="004F04F1"/>
    <w:rsid w:val="004F11A3"/>
    <w:rsid w:val="004F16C5"/>
    <w:rsid w:val="004F16E5"/>
    <w:rsid w:val="004F2090"/>
    <w:rsid w:val="004F25C2"/>
    <w:rsid w:val="004F2CC0"/>
    <w:rsid w:val="004F3959"/>
    <w:rsid w:val="004F3FCD"/>
    <w:rsid w:val="004F40CB"/>
    <w:rsid w:val="004F5138"/>
    <w:rsid w:val="004F53E9"/>
    <w:rsid w:val="004F54D2"/>
    <w:rsid w:val="004F54F9"/>
    <w:rsid w:val="004F5A39"/>
    <w:rsid w:val="004F5AD5"/>
    <w:rsid w:val="004F698C"/>
    <w:rsid w:val="004F6D06"/>
    <w:rsid w:val="004F6E0F"/>
    <w:rsid w:val="004F6FFB"/>
    <w:rsid w:val="004F73C0"/>
    <w:rsid w:val="004F74AD"/>
    <w:rsid w:val="004F7AB7"/>
    <w:rsid w:val="005004C9"/>
    <w:rsid w:val="0050065F"/>
    <w:rsid w:val="00500995"/>
    <w:rsid w:val="00500A22"/>
    <w:rsid w:val="00501007"/>
    <w:rsid w:val="005017A2"/>
    <w:rsid w:val="00502CE5"/>
    <w:rsid w:val="0050461F"/>
    <w:rsid w:val="005053C1"/>
    <w:rsid w:val="005061DB"/>
    <w:rsid w:val="00506654"/>
    <w:rsid w:val="00507547"/>
    <w:rsid w:val="00507FB6"/>
    <w:rsid w:val="00510C87"/>
    <w:rsid w:val="00510E6E"/>
    <w:rsid w:val="00512D15"/>
    <w:rsid w:val="005136C2"/>
    <w:rsid w:val="00513F5B"/>
    <w:rsid w:val="00514CC2"/>
    <w:rsid w:val="00514E5B"/>
    <w:rsid w:val="00515061"/>
    <w:rsid w:val="00515CC0"/>
    <w:rsid w:val="005204FC"/>
    <w:rsid w:val="005217E9"/>
    <w:rsid w:val="005224B3"/>
    <w:rsid w:val="0052265E"/>
    <w:rsid w:val="00522CE9"/>
    <w:rsid w:val="00523B5C"/>
    <w:rsid w:val="00523E48"/>
    <w:rsid w:val="00523EFB"/>
    <w:rsid w:val="00524384"/>
    <w:rsid w:val="0052451C"/>
    <w:rsid w:val="0052457F"/>
    <w:rsid w:val="005247C6"/>
    <w:rsid w:val="005252DC"/>
    <w:rsid w:val="00525378"/>
    <w:rsid w:val="005253E0"/>
    <w:rsid w:val="00525651"/>
    <w:rsid w:val="00525928"/>
    <w:rsid w:val="00525B6E"/>
    <w:rsid w:val="005260B6"/>
    <w:rsid w:val="005268CC"/>
    <w:rsid w:val="00527630"/>
    <w:rsid w:val="00527EE6"/>
    <w:rsid w:val="00530341"/>
    <w:rsid w:val="005303BC"/>
    <w:rsid w:val="00530434"/>
    <w:rsid w:val="0053051A"/>
    <w:rsid w:val="00530A1E"/>
    <w:rsid w:val="00530C5A"/>
    <w:rsid w:val="00530CA1"/>
    <w:rsid w:val="00531603"/>
    <w:rsid w:val="00531C9C"/>
    <w:rsid w:val="00531E1F"/>
    <w:rsid w:val="00532522"/>
    <w:rsid w:val="00532FF7"/>
    <w:rsid w:val="0053339E"/>
    <w:rsid w:val="0053341B"/>
    <w:rsid w:val="00534CE5"/>
    <w:rsid w:val="00535056"/>
    <w:rsid w:val="0053516D"/>
    <w:rsid w:val="00535E0F"/>
    <w:rsid w:val="00536352"/>
    <w:rsid w:val="00536F07"/>
    <w:rsid w:val="0053708F"/>
    <w:rsid w:val="00540E02"/>
    <w:rsid w:val="0054132A"/>
    <w:rsid w:val="005414BB"/>
    <w:rsid w:val="0054258B"/>
    <w:rsid w:val="00542662"/>
    <w:rsid w:val="00542D30"/>
    <w:rsid w:val="00544645"/>
    <w:rsid w:val="00545043"/>
    <w:rsid w:val="00546AD5"/>
    <w:rsid w:val="00546FCF"/>
    <w:rsid w:val="00547BA4"/>
    <w:rsid w:val="0055013D"/>
    <w:rsid w:val="0055038D"/>
    <w:rsid w:val="0055039E"/>
    <w:rsid w:val="005504B5"/>
    <w:rsid w:val="0055085C"/>
    <w:rsid w:val="00550A50"/>
    <w:rsid w:val="00550FF1"/>
    <w:rsid w:val="0055133F"/>
    <w:rsid w:val="00551B94"/>
    <w:rsid w:val="00551C01"/>
    <w:rsid w:val="005524A2"/>
    <w:rsid w:val="0055337B"/>
    <w:rsid w:val="0055362B"/>
    <w:rsid w:val="00553645"/>
    <w:rsid w:val="0055392F"/>
    <w:rsid w:val="005546A7"/>
    <w:rsid w:val="005549B1"/>
    <w:rsid w:val="0055512C"/>
    <w:rsid w:val="005573F0"/>
    <w:rsid w:val="00557E89"/>
    <w:rsid w:val="00560186"/>
    <w:rsid w:val="00560840"/>
    <w:rsid w:val="00560F83"/>
    <w:rsid w:val="0056142F"/>
    <w:rsid w:val="00561479"/>
    <w:rsid w:val="0056205D"/>
    <w:rsid w:val="0056280E"/>
    <w:rsid w:val="005629E7"/>
    <w:rsid w:val="00562D67"/>
    <w:rsid w:val="00562FC0"/>
    <w:rsid w:val="005639BC"/>
    <w:rsid w:val="00563EC6"/>
    <w:rsid w:val="005640FD"/>
    <w:rsid w:val="005652D5"/>
    <w:rsid w:val="00565317"/>
    <w:rsid w:val="00565411"/>
    <w:rsid w:val="00565812"/>
    <w:rsid w:val="005668B3"/>
    <w:rsid w:val="00567782"/>
    <w:rsid w:val="00567F5B"/>
    <w:rsid w:val="005706DA"/>
    <w:rsid w:val="00570B6F"/>
    <w:rsid w:val="00570CF6"/>
    <w:rsid w:val="005717E1"/>
    <w:rsid w:val="00571B14"/>
    <w:rsid w:val="00571B44"/>
    <w:rsid w:val="00572C11"/>
    <w:rsid w:val="00574F88"/>
    <w:rsid w:val="00576448"/>
    <w:rsid w:val="00576B62"/>
    <w:rsid w:val="00576EF0"/>
    <w:rsid w:val="00580EAC"/>
    <w:rsid w:val="00581E59"/>
    <w:rsid w:val="00581F12"/>
    <w:rsid w:val="0058267E"/>
    <w:rsid w:val="005834BA"/>
    <w:rsid w:val="00583CFB"/>
    <w:rsid w:val="005840A8"/>
    <w:rsid w:val="00586073"/>
    <w:rsid w:val="00586107"/>
    <w:rsid w:val="005866D9"/>
    <w:rsid w:val="0058729A"/>
    <w:rsid w:val="005876DE"/>
    <w:rsid w:val="00590C61"/>
    <w:rsid w:val="0059148B"/>
    <w:rsid w:val="00591ABB"/>
    <w:rsid w:val="00591D7C"/>
    <w:rsid w:val="005920FB"/>
    <w:rsid w:val="00592130"/>
    <w:rsid w:val="00592287"/>
    <w:rsid w:val="00592643"/>
    <w:rsid w:val="00593732"/>
    <w:rsid w:val="00593D33"/>
    <w:rsid w:val="00594077"/>
    <w:rsid w:val="00594FC8"/>
    <w:rsid w:val="00595E81"/>
    <w:rsid w:val="0059651E"/>
    <w:rsid w:val="005969C4"/>
    <w:rsid w:val="00596D3F"/>
    <w:rsid w:val="0059712B"/>
    <w:rsid w:val="005974D9"/>
    <w:rsid w:val="005978A5"/>
    <w:rsid w:val="005A074C"/>
    <w:rsid w:val="005A084A"/>
    <w:rsid w:val="005A0BEB"/>
    <w:rsid w:val="005A1D41"/>
    <w:rsid w:val="005A1EA7"/>
    <w:rsid w:val="005A213E"/>
    <w:rsid w:val="005A2605"/>
    <w:rsid w:val="005A2C0B"/>
    <w:rsid w:val="005A37B0"/>
    <w:rsid w:val="005A3841"/>
    <w:rsid w:val="005A3BBA"/>
    <w:rsid w:val="005A3F58"/>
    <w:rsid w:val="005A4017"/>
    <w:rsid w:val="005A551C"/>
    <w:rsid w:val="005A699A"/>
    <w:rsid w:val="005A6F65"/>
    <w:rsid w:val="005A71D9"/>
    <w:rsid w:val="005B00CD"/>
    <w:rsid w:val="005B07FA"/>
    <w:rsid w:val="005B0F9B"/>
    <w:rsid w:val="005B0FEC"/>
    <w:rsid w:val="005B1F9D"/>
    <w:rsid w:val="005B250C"/>
    <w:rsid w:val="005B2BEB"/>
    <w:rsid w:val="005B311B"/>
    <w:rsid w:val="005B3130"/>
    <w:rsid w:val="005B33F3"/>
    <w:rsid w:val="005B3448"/>
    <w:rsid w:val="005B3470"/>
    <w:rsid w:val="005B3B98"/>
    <w:rsid w:val="005B41FF"/>
    <w:rsid w:val="005B44C9"/>
    <w:rsid w:val="005B4646"/>
    <w:rsid w:val="005B5A5A"/>
    <w:rsid w:val="005B5E91"/>
    <w:rsid w:val="005B5EF8"/>
    <w:rsid w:val="005B6117"/>
    <w:rsid w:val="005B61F1"/>
    <w:rsid w:val="005B6F70"/>
    <w:rsid w:val="005B73AA"/>
    <w:rsid w:val="005B7762"/>
    <w:rsid w:val="005B7AEA"/>
    <w:rsid w:val="005C0305"/>
    <w:rsid w:val="005C0A93"/>
    <w:rsid w:val="005C116B"/>
    <w:rsid w:val="005C1E82"/>
    <w:rsid w:val="005C28A9"/>
    <w:rsid w:val="005C36E9"/>
    <w:rsid w:val="005C447A"/>
    <w:rsid w:val="005C466D"/>
    <w:rsid w:val="005C4F63"/>
    <w:rsid w:val="005C5D81"/>
    <w:rsid w:val="005C64D9"/>
    <w:rsid w:val="005C704D"/>
    <w:rsid w:val="005D064E"/>
    <w:rsid w:val="005D075B"/>
    <w:rsid w:val="005D0903"/>
    <w:rsid w:val="005D0925"/>
    <w:rsid w:val="005D30A4"/>
    <w:rsid w:val="005D3771"/>
    <w:rsid w:val="005D3F5B"/>
    <w:rsid w:val="005D42F3"/>
    <w:rsid w:val="005D451F"/>
    <w:rsid w:val="005D4F62"/>
    <w:rsid w:val="005D5433"/>
    <w:rsid w:val="005D555B"/>
    <w:rsid w:val="005D6174"/>
    <w:rsid w:val="005D667B"/>
    <w:rsid w:val="005D6911"/>
    <w:rsid w:val="005D6C82"/>
    <w:rsid w:val="005D7296"/>
    <w:rsid w:val="005D759D"/>
    <w:rsid w:val="005D7C1E"/>
    <w:rsid w:val="005E0297"/>
    <w:rsid w:val="005E0362"/>
    <w:rsid w:val="005E0BB5"/>
    <w:rsid w:val="005E16ED"/>
    <w:rsid w:val="005E1CE3"/>
    <w:rsid w:val="005E1F93"/>
    <w:rsid w:val="005E27D3"/>
    <w:rsid w:val="005E2FDF"/>
    <w:rsid w:val="005E35BB"/>
    <w:rsid w:val="005E3E49"/>
    <w:rsid w:val="005E4AB6"/>
    <w:rsid w:val="005E5228"/>
    <w:rsid w:val="005E5D1D"/>
    <w:rsid w:val="005E7B5D"/>
    <w:rsid w:val="005F0A32"/>
    <w:rsid w:val="005F0C52"/>
    <w:rsid w:val="005F1134"/>
    <w:rsid w:val="005F150B"/>
    <w:rsid w:val="005F15D5"/>
    <w:rsid w:val="005F1937"/>
    <w:rsid w:val="005F1A69"/>
    <w:rsid w:val="005F1FFF"/>
    <w:rsid w:val="005F2235"/>
    <w:rsid w:val="005F27F5"/>
    <w:rsid w:val="005F288B"/>
    <w:rsid w:val="005F2B6C"/>
    <w:rsid w:val="005F2F12"/>
    <w:rsid w:val="005F3253"/>
    <w:rsid w:val="005F3712"/>
    <w:rsid w:val="005F3737"/>
    <w:rsid w:val="005F3DF8"/>
    <w:rsid w:val="005F418A"/>
    <w:rsid w:val="005F4231"/>
    <w:rsid w:val="005F433C"/>
    <w:rsid w:val="005F5A58"/>
    <w:rsid w:val="005F6623"/>
    <w:rsid w:val="005F6AFF"/>
    <w:rsid w:val="005F6F7D"/>
    <w:rsid w:val="006001DF"/>
    <w:rsid w:val="00600348"/>
    <w:rsid w:val="00600944"/>
    <w:rsid w:val="0060192A"/>
    <w:rsid w:val="00601949"/>
    <w:rsid w:val="00601F7D"/>
    <w:rsid w:val="00602B6B"/>
    <w:rsid w:val="00603077"/>
    <w:rsid w:val="00603151"/>
    <w:rsid w:val="00603AB0"/>
    <w:rsid w:val="00603C76"/>
    <w:rsid w:val="0060639E"/>
    <w:rsid w:val="006064F2"/>
    <w:rsid w:val="0060685C"/>
    <w:rsid w:val="0060686F"/>
    <w:rsid w:val="00607C49"/>
    <w:rsid w:val="0061015B"/>
    <w:rsid w:val="00610572"/>
    <w:rsid w:val="006107C5"/>
    <w:rsid w:val="00610DDE"/>
    <w:rsid w:val="00611299"/>
    <w:rsid w:val="00611A9A"/>
    <w:rsid w:val="006126D6"/>
    <w:rsid w:val="00612F54"/>
    <w:rsid w:val="006130AB"/>
    <w:rsid w:val="00613633"/>
    <w:rsid w:val="00613B7E"/>
    <w:rsid w:val="00613F7A"/>
    <w:rsid w:val="0061407F"/>
    <w:rsid w:val="006140C6"/>
    <w:rsid w:val="00614335"/>
    <w:rsid w:val="00614637"/>
    <w:rsid w:val="00615FBB"/>
    <w:rsid w:val="0061655C"/>
    <w:rsid w:val="00617519"/>
    <w:rsid w:val="00620A56"/>
    <w:rsid w:val="00621794"/>
    <w:rsid w:val="00621E88"/>
    <w:rsid w:val="006221D5"/>
    <w:rsid w:val="00623647"/>
    <w:rsid w:val="006239E2"/>
    <w:rsid w:val="00623A61"/>
    <w:rsid w:val="00624671"/>
    <w:rsid w:val="006254F7"/>
    <w:rsid w:val="0062573F"/>
    <w:rsid w:val="00626434"/>
    <w:rsid w:val="006265CC"/>
    <w:rsid w:val="00626DAB"/>
    <w:rsid w:val="00626FC8"/>
    <w:rsid w:val="006309E6"/>
    <w:rsid w:val="006310C0"/>
    <w:rsid w:val="006342C0"/>
    <w:rsid w:val="006344EA"/>
    <w:rsid w:val="00634DD0"/>
    <w:rsid w:val="00635365"/>
    <w:rsid w:val="00635F9B"/>
    <w:rsid w:val="00636812"/>
    <w:rsid w:val="006374AE"/>
    <w:rsid w:val="00637E39"/>
    <w:rsid w:val="00641050"/>
    <w:rsid w:val="0064215E"/>
    <w:rsid w:val="006421B5"/>
    <w:rsid w:val="006425EA"/>
    <w:rsid w:val="00642678"/>
    <w:rsid w:val="00642D97"/>
    <w:rsid w:val="00643B75"/>
    <w:rsid w:val="006440A1"/>
    <w:rsid w:val="006444D4"/>
    <w:rsid w:val="00644D04"/>
    <w:rsid w:val="00645AD8"/>
    <w:rsid w:val="00645C17"/>
    <w:rsid w:val="00645EF0"/>
    <w:rsid w:val="00647066"/>
    <w:rsid w:val="00647F57"/>
    <w:rsid w:val="0065027D"/>
    <w:rsid w:val="0065189F"/>
    <w:rsid w:val="00651D00"/>
    <w:rsid w:val="006524CB"/>
    <w:rsid w:val="006531EA"/>
    <w:rsid w:val="00653C83"/>
    <w:rsid w:val="00653FC7"/>
    <w:rsid w:val="006556B2"/>
    <w:rsid w:val="00655FCB"/>
    <w:rsid w:val="00656A1B"/>
    <w:rsid w:val="00656BA2"/>
    <w:rsid w:val="00660DB8"/>
    <w:rsid w:val="00661129"/>
    <w:rsid w:val="00661C26"/>
    <w:rsid w:val="00662649"/>
    <w:rsid w:val="00662DAF"/>
    <w:rsid w:val="006633A3"/>
    <w:rsid w:val="0066342B"/>
    <w:rsid w:val="00663444"/>
    <w:rsid w:val="00663772"/>
    <w:rsid w:val="00664DDB"/>
    <w:rsid w:val="00664FAE"/>
    <w:rsid w:val="00665153"/>
    <w:rsid w:val="00665FFB"/>
    <w:rsid w:val="00667D59"/>
    <w:rsid w:val="006719B2"/>
    <w:rsid w:val="00672032"/>
    <w:rsid w:val="00672A66"/>
    <w:rsid w:val="00674067"/>
    <w:rsid w:val="00674401"/>
    <w:rsid w:val="00674E2A"/>
    <w:rsid w:val="00675CBD"/>
    <w:rsid w:val="00676349"/>
    <w:rsid w:val="00676826"/>
    <w:rsid w:val="00676EE0"/>
    <w:rsid w:val="00677251"/>
    <w:rsid w:val="00677C65"/>
    <w:rsid w:val="006800C3"/>
    <w:rsid w:val="006801AA"/>
    <w:rsid w:val="006801BB"/>
    <w:rsid w:val="00680857"/>
    <w:rsid w:val="006814FA"/>
    <w:rsid w:val="0068177A"/>
    <w:rsid w:val="006818CF"/>
    <w:rsid w:val="00681B94"/>
    <w:rsid w:val="006827B5"/>
    <w:rsid w:val="006827E0"/>
    <w:rsid w:val="00682967"/>
    <w:rsid w:val="00682E02"/>
    <w:rsid w:val="0068342C"/>
    <w:rsid w:val="00683628"/>
    <w:rsid w:val="00684220"/>
    <w:rsid w:val="00684902"/>
    <w:rsid w:val="00684DDA"/>
    <w:rsid w:val="0068587C"/>
    <w:rsid w:val="0068650D"/>
    <w:rsid w:val="00686736"/>
    <w:rsid w:val="006878BA"/>
    <w:rsid w:val="006902C5"/>
    <w:rsid w:val="0069036A"/>
    <w:rsid w:val="00690523"/>
    <w:rsid w:val="00690F52"/>
    <w:rsid w:val="0069136D"/>
    <w:rsid w:val="00691BD2"/>
    <w:rsid w:val="00692307"/>
    <w:rsid w:val="0069290D"/>
    <w:rsid w:val="00693919"/>
    <w:rsid w:val="00693CB5"/>
    <w:rsid w:val="00693E7A"/>
    <w:rsid w:val="006940C4"/>
    <w:rsid w:val="006944B9"/>
    <w:rsid w:val="0069558F"/>
    <w:rsid w:val="00695FB7"/>
    <w:rsid w:val="006962AB"/>
    <w:rsid w:val="00696809"/>
    <w:rsid w:val="00696878"/>
    <w:rsid w:val="00696902"/>
    <w:rsid w:val="00696AFE"/>
    <w:rsid w:val="00697F42"/>
    <w:rsid w:val="006A040C"/>
    <w:rsid w:val="006A06A2"/>
    <w:rsid w:val="006A0718"/>
    <w:rsid w:val="006A0AAD"/>
    <w:rsid w:val="006A1568"/>
    <w:rsid w:val="006A2F29"/>
    <w:rsid w:val="006A32E7"/>
    <w:rsid w:val="006A399E"/>
    <w:rsid w:val="006A4025"/>
    <w:rsid w:val="006A4029"/>
    <w:rsid w:val="006A4868"/>
    <w:rsid w:val="006A4C04"/>
    <w:rsid w:val="006A552F"/>
    <w:rsid w:val="006A57CC"/>
    <w:rsid w:val="006A5948"/>
    <w:rsid w:val="006A5AF6"/>
    <w:rsid w:val="006A5B72"/>
    <w:rsid w:val="006A5DA2"/>
    <w:rsid w:val="006A67BB"/>
    <w:rsid w:val="006A793B"/>
    <w:rsid w:val="006A7D57"/>
    <w:rsid w:val="006A7D69"/>
    <w:rsid w:val="006B0941"/>
    <w:rsid w:val="006B10E2"/>
    <w:rsid w:val="006B17AB"/>
    <w:rsid w:val="006B1971"/>
    <w:rsid w:val="006B21FE"/>
    <w:rsid w:val="006B30BC"/>
    <w:rsid w:val="006B339D"/>
    <w:rsid w:val="006B42DF"/>
    <w:rsid w:val="006B4CAA"/>
    <w:rsid w:val="006B4F40"/>
    <w:rsid w:val="006B6A35"/>
    <w:rsid w:val="006B70F2"/>
    <w:rsid w:val="006B72C6"/>
    <w:rsid w:val="006B7DD2"/>
    <w:rsid w:val="006C09C9"/>
    <w:rsid w:val="006C10D7"/>
    <w:rsid w:val="006C11BF"/>
    <w:rsid w:val="006C1724"/>
    <w:rsid w:val="006C1A35"/>
    <w:rsid w:val="006C1F2D"/>
    <w:rsid w:val="006C2109"/>
    <w:rsid w:val="006C23F2"/>
    <w:rsid w:val="006C34B7"/>
    <w:rsid w:val="006C3ABC"/>
    <w:rsid w:val="006C4043"/>
    <w:rsid w:val="006C4930"/>
    <w:rsid w:val="006C5ACA"/>
    <w:rsid w:val="006C5B0F"/>
    <w:rsid w:val="006C5D6E"/>
    <w:rsid w:val="006C66FA"/>
    <w:rsid w:val="006C7B10"/>
    <w:rsid w:val="006C7BA1"/>
    <w:rsid w:val="006C7CCD"/>
    <w:rsid w:val="006D0DAD"/>
    <w:rsid w:val="006D140E"/>
    <w:rsid w:val="006D14FA"/>
    <w:rsid w:val="006D20CC"/>
    <w:rsid w:val="006D2D29"/>
    <w:rsid w:val="006D2DB7"/>
    <w:rsid w:val="006D4176"/>
    <w:rsid w:val="006D42E1"/>
    <w:rsid w:val="006D4769"/>
    <w:rsid w:val="006D5973"/>
    <w:rsid w:val="006D5E65"/>
    <w:rsid w:val="006D6029"/>
    <w:rsid w:val="006D651D"/>
    <w:rsid w:val="006D6699"/>
    <w:rsid w:val="006D6825"/>
    <w:rsid w:val="006D68AA"/>
    <w:rsid w:val="006D6C4C"/>
    <w:rsid w:val="006D6E76"/>
    <w:rsid w:val="006D764E"/>
    <w:rsid w:val="006D7B39"/>
    <w:rsid w:val="006E05D0"/>
    <w:rsid w:val="006E0935"/>
    <w:rsid w:val="006E0AA0"/>
    <w:rsid w:val="006E0CE1"/>
    <w:rsid w:val="006E0D1B"/>
    <w:rsid w:val="006E0D94"/>
    <w:rsid w:val="006E0E10"/>
    <w:rsid w:val="006E2B53"/>
    <w:rsid w:val="006E315F"/>
    <w:rsid w:val="006E329D"/>
    <w:rsid w:val="006E3705"/>
    <w:rsid w:val="006E40E6"/>
    <w:rsid w:val="006E512A"/>
    <w:rsid w:val="006E558D"/>
    <w:rsid w:val="006E5686"/>
    <w:rsid w:val="006E5CC3"/>
    <w:rsid w:val="006E5ED4"/>
    <w:rsid w:val="006E5F26"/>
    <w:rsid w:val="006E60FA"/>
    <w:rsid w:val="006E717F"/>
    <w:rsid w:val="006E73C5"/>
    <w:rsid w:val="006E7DF6"/>
    <w:rsid w:val="006E7E93"/>
    <w:rsid w:val="006E7FA4"/>
    <w:rsid w:val="006F0B54"/>
    <w:rsid w:val="006F0F97"/>
    <w:rsid w:val="006F172C"/>
    <w:rsid w:val="006F17E4"/>
    <w:rsid w:val="006F206D"/>
    <w:rsid w:val="006F2933"/>
    <w:rsid w:val="006F294A"/>
    <w:rsid w:val="006F3FD6"/>
    <w:rsid w:val="006F44DE"/>
    <w:rsid w:val="006F5081"/>
    <w:rsid w:val="006F533E"/>
    <w:rsid w:val="006F556B"/>
    <w:rsid w:val="006F6B87"/>
    <w:rsid w:val="006F7968"/>
    <w:rsid w:val="006F7A2A"/>
    <w:rsid w:val="007001F7"/>
    <w:rsid w:val="007002FC"/>
    <w:rsid w:val="0070030C"/>
    <w:rsid w:val="00700B98"/>
    <w:rsid w:val="00700F9F"/>
    <w:rsid w:val="007011FF"/>
    <w:rsid w:val="00701B50"/>
    <w:rsid w:val="00701BE6"/>
    <w:rsid w:val="007022D9"/>
    <w:rsid w:val="00702443"/>
    <w:rsid w:val="0070384E"/>
    <w:rsid w:val="00703E43"/>
    <w:rsid w:val="007041EE"/>
    <w:rsid w:val="007049E2"/>
    <w:rsid w:val="00704D7A"/>
    <w:rsid w:val="00705470"/>
    <w:rsid w:val="007059F5"/>
    <w:rsid w:val="00706F06"/>
    <w:rsid w:val="0070717D"/>
    <w:rsid w:val="007075F3"/>
    <w:rsid w:val="00710170"/>
    <w:rsid w:val="0071030F"/>
    <w:rsid w:val="00711CEB"/>
    <w:rsid w:val="00711F19"/>
    <w:rsid w:val="00712536"/>
    <w:rsid w:val="007139BB"/>
    <w:rsid w:val="00713C59"/>
    <w:rsid w:val="00713E37"/>
    <w:rsid w:val="00715269"/>
    <w:rsid w:val="00715955"/>
    <w:rsid w:val="00715F0C"/>
    <w:rsid w:val="00716BD7"/>
    <w:rsid w:val="00717561"/>
    <w:rsid w:val="00720013"/>
    <w:rsid w:val="00720832"/>
    <w:rsid w:val="007214AF"/>
    <w:rsid w:val="007225D2"/>
    <w:rsid w:val="00722FFB"/>
    <w:rsid w:val="00723066"/>
    <w:rsid w:val="0072377D"/>
    <w:rsid w:val="007238DE"/>
    <w:rsid w:val="0072480A"/>
    <w:rsid w:val="00724840"/>
    <w:rsid w:val="00724A81"/>
    <w:rsid w:val="00724F8A"/>
    <w:rsid w:val="00725021"/>
    <w:rsid w:val="00725CAF"/>
    <w:rsid w:val="00725F2E"/>
    <w:rsid w:val="00726291"/>
    <w:rsid w:val="0072636D"/>
    <w:rsid w:val="007269A8"/>
    <w:rsid w:val="00726A9F"/>
    <w:rsid w:val="0072746A"/>
    <w:rsid w:val="00727720"/>
    <w:rsid w:val="00727884"/>
    <w:rsid w:val="00727F6A"/>
    <w:rsid w:val="007315A4"/>
    <w:rsid w:val="00731961"/>
    <w:rsid w:val="00731AE9"/>
    <w:rsid w:val="00731D58"/>
    <w:rsid w:val="007320F9"/>
    <w:rsid w:val="00732736"/>
    <w:rsid w:val="00732A39"/>
    <w:rsid w:val="00732A3A"/>
    <w:rsid w:val="00733569"/>
    <w:rsid w:val="00733FB3"/>
    <w:rsid w:val="007345D7"/>
    <w:rsid w:val="007349BA"/>
    <w:rsid w:val="00734A34"/>
    <w:rsid w:val="00734A96"/>
    <w:rsid w:val="00734D2F"/>
    <w:rsid w:val="00734FE1"/>
    <w:rsid w:val="00735CB9"/>
    <w:rsid w:val="00735D2E"/>
    <w:rsid w:val="00736665"/>
    <w:rsid w:val="00736DBD"/>
    <w:rsid w:val="007402AB"/>
    <w:rsid w:val="007407D0"/>
    <w:rsid w:val="00741016"/>
    <w:rsid w:val="00741256"/>
    <w:rsid w:val="00741682"/>
    <w:rsid w:val="00741A1D"/>
    <w:rsid w:val="00741A2F"/>
    <w:rsid w:val="00741B81"/>
    <w:rsid w:val="0074208A"/>
    <w:rsid w:val="00742377"/>
    <w:rsid w:val="00742D0B"/>
    <w:rsid w:val="007440DB"/>
    <w:rsid w:val="007447C9"/>
    <w:rsid w:val="00746437"/>
    <w:rsid w:val="0074653B"/>
    <w:rsid w:val="007469DE"/>
    <w:rsid w:val="00746D5F"/>
    <w:rsid w:val="007478BC"/>
    <w:rsid w:val="00747D46"/>
    <w:rsid w:val="00750308"/>
    <w:rsid w:val="00751086"/>
    <w:rsid w:val="00751143"/>
    <w:rsid w:val="007516F5"/>
    <w:rsid w:val="00751C10"/>
    <w:rsid w:val="00751C3B"/>
    <w:rsid w:val="00751D84"/>
    <w:rsid w:val="00752692"/>
    <w:rsid w:val="00752698"/>
    <w:rsid w:val="0075490E"/>
    <w:rsid w:val="007552B6"/>
    <w:rsid w:val="007553D1"/>
    <w:rsid w:val="00755B37"/>
    <w:rsid w:val="00756196"/>
    <w:rsid w:val="007569B5"/>
    <w:rsid w:val="00757207"/>
    <w:rsid w:val="00757728"/>
    <w:rsid w:val="00757AC1"/>
    <w:rsid w:val="0076018F"/>
    <w:rsid w:val="00760631"/>
    <w:rsid w:val="00760E33"/>
    <w:rsid w:val="00761FBA"/>
    <w:rsid w:val="007626FF"/>
    <w:rsid w:val="007635EE"/>
    <w:rsid w:val="00763DB0"/>
    <w:rsid w:val="00763F57"/>
    <w:rsid w:val="007641B6"/>
    <w:rsid w:val="007643EE"/>
    <w:rsid w:val="007657F7"/>
    <w:rsid w:val="00765E33"/>
    <w:rsid w:val="0076628F"/>
    <w:rsid w:val="00766C84"/>
    <w:rsid w:val="00766EF0"/>
    <w:rsid w:val="007670CE"/>
    <w:rsid w:val="00767EA8"/>
    <w:rsid w:val="0077030D"/>
    <w:rsid w:val="00770986"/>
    <w:rsid w:val="00770992"/>
    <w:rsid w:val="007709D5"/>
    <w:rsid w:val="00770B3B"/>
    <w:rsid w:val="00770B79"/>
    <w:rsid w:val="0077295E"/>
    <w:rsid w:val="00772C58"/>
    <w:rsid w:val="0077306C"/>
    <w:rsid w:val="00774601"/>
    <w:rsid w:val="007756DA"/>
    <w:rsid w:val="0077740D"/>
    <w:rsid w:val="0077749C"/>
    <w:rsid w:val="007804F3"/>
    <w:rsid w:val="007804FF"/>
    <w:rsid w:val="00781DB1"/>
    <w:rsid w:val="00782206"/>
    <w:rsid w:val="00782985"/>
    <w:rsid w:val="00782A8E"/>
    <w:rsid w:val="00782AE8"/>
    <w:rsid w:val="007832F9"/>
    <w:rsid w:val="0078409A"/>
    <w:rsid w:val="0078420E"/>
    <w:rsid w:val="00784C23"/>
    <w:rsid w:val="00785324"/>
    <w:rsid w:val="0078566E"/>
    <w:rsid w:val="00785B80"/>
    <w:rsid w:val="00785CC5"/>
    <w:rsid w:val="007863E3"/>
    <w:rsid w:val="007873C2"/>
    <w:rsid w:val="00787BB1"/>
    <w:rsid w:val="007914AB"/>
    <w:rsid w:val="007916BA"/>
    <w:rsid w:val="00791852"/>
    <w:rsid w:val="00791A9C"/>
    <w:rsid w:val="00792640"/>
    <w:rsid w:val="007934DC"/>
    <w:rsid w:val="007937C1"/>
    <w:rsid w:val="00793A45"/>
    <w:rsid w:val="007949A4"/>
    <w:rsid w:val="007950B6"/>
    <w:rsid w:val="00795396"/>
    <w:rsid w:val="007956B3"/>
    <w:rsid w:val="00795D7B"/>
    <w:rsid w:val="00796D7D"/>
    <w:rsid w:val="00796ED6"/>
    <w:rsid w:val="007A0F34"/>
    <w:rsid w:val="007A163D"/>
    <w:rsid w:val="007A1D7C"/>
    <w:rsid w:val="007A2B00"/>
    <w:rsid w:val="007A39F6"/>
    <w:rsid w:val="007A3A8C"/>
    <w:rsid w:val="007A4297"/>
    <w:rsid w:val="007A47E7"/>
    <w:rsid w:val="007A52F9"/>
    <w:rsid w:val="007A5701"/>
    <w:rsid w:val="007A5CC4"/>
    <w:rsid w:val="007A71F4"/>
    <w:rsid w:val="007B0337"/>
    <w:rsid w:val="007B034A"/>
    <w:rsid w:val="007B034D"/>
    <w:rsid w:val="007B0D56"/>
    <w:rsid w:val="007B0DB4"/>
    <w:rsid w:val="007B0DD6"/>
    <w:rsid w:val="007B130C"/>
    <w:rsid w:val="007B145C"/>
    <w:rsid w:val="007B2419"/>
    <w:rsid w:val="007B2C31"/>
    <w:rsid w:val="007B2CA7"/>
    <w:rsid w:val="007B3569"/>
    <w:rsid w:val="007B3643"/>
    <w:rsid w:val="007B36E5"/>
    <w:rsid w:val="007B50DA"/>
    <w:rsid w:val="007B5D36"/>
    <w:rsid w:val="007B75A0"/>
    <w:rsid w:val="007B7793"/>
    <w:rsid w:val="007B7A01"/>
    <w:rsid w:val="007B7A45"/>
    <w:rsid w:val="007B7DC5"/>
    <w:rsid w:val="007C02EE"/>
    <w:rsid w:val="007C05BF"/>
    <w:rsid w:val="007C1338"/>
    <w:rsid w:val="007C1678"/>
    <w:rsid w:val="007C2424"/>
    <w:rsid w:val="007C25A8"/>
    <w:rsid w:val="007C2EE4"/>
    <w:rsid w:val="007C3469"/>
    <w:rsid w:val="007C38EA"/>
    <w:rsid w:val="007C3B8F"/>
    <w:rsid w:val="007C3D67"/>
    <w:rsid w:val="007C3F05"/>
    <w:rsid w:val="007C41E9"/>
    <w:rsid w:val="007C4DAA"/>
    <w:rsid w:val="007C52A1"/>
    <w:rsid w:val="007C58AA"/>
    <w:rsid w:val="007C5CE4"/>
    <w:rsid w:val="007C7235"/>
    <w:rsid w:val="007C778B"/>
    <w:rsid w:val="007C7E3B"/>
    <w:rsid w:val="007D003E"/>
    <w:rsid w:val="007D00EB"/>
    <w:rsid w:val="007D08A3"/>
    <w:rsid w:val="007D18C1"/>
    <w:rsid w:val="007D1FE9"/>
    <w:rsid w:val="007D21FA"/>
    <w:rsid w:val="007D27DA"/>
    <w:rsid w:val="007D2D51"/>
    <w:rsid w:val="007D2F6E"/>
    <w:rsid w:val="007D3B09"/>
    <w:rsid w:val="007D3DAD"/>
    <w:rsid w:val="007D4E8E"/>
    <w:rsid w:val="007D51E3"/>
    <w:rsid w:val="007D5893"/>
    <w:rsid w:val="007D5A8C"/>
    <w:rsid w:val="007D5F4F"/>
    <w:rsid w:val="007D6D08"/>
    <w:rsid w:val="007D721D"/>
    <w:rsid w:val="007D7382"/>
    <w:rsid w:val="007D7ED7"/>
    <w:rsid w:val="007D7FB5"/>
    <w:rsid w:val="007E0892"/>
    <w:rsid w:val="007E0A3F"/>
    <w:rsid w:val="007E0B54"/>
    <w:rsid w:val="007E22A4"/>
    <w:rsid w:val="007E2701"/>
    <w:rsid w:val="007E2922"/>
    <w:rsid w:val="007E2EE5"/>
    <w:rsid w:val="007E3578"/>
    <w:rsid w:val="007E4503"/>
    <w:rsid w:val="007E4725"/>
    <w:rsid w:val="007E5020"/>
    <w:rsid w:val="007E68FC"/>
    <w:rsid w:val="007E6F34"/>
    <w:rsid w:val="007E7237"/>
    <w:rsid w:val="007E7545"/>
    <w:rsid w:val="007F077B"/>
    <w:rsid w:val="007F1760"/>
    <w:rsid w:val="007F2582"/>
    <w:rsid w:val="007F29C8"/>
    <w:rsid w:val="007F2BAD"/>
    <w:rsid w:val="007F3228"/>
    <w:rsid w:val="007F3B7D"/>
    <w:rsid w:val="007F41AB"/>
    <w:rsid w:val="007F547C"/>
    <w:rsid w:val="007F5AB4"/>
    <w:rsid w:val="007F6909"/>
    <w:rsid w:val="007F6938"/>
    <w:rsid w:val="007F7C77"/>
    <w:rsid w:val="007F7EED"/>
    <w:rsid w:val="00800E2F"/>
    <w:rsid w:val="00801583"/>
    <w:rsid w:val="00801891"/>
    <w:rsid w:val="00801A68"/>
    <w:rsid w:val="008032AE"/>
    <w:rsid w:val="008043AF"/>
    <w:rsid w:val="0080497C"/>
    <w:rsid w:val="00804BD2"/>
    <w:rsid w:val="008066FE"/>
    <w:rsid w:val="008067BC"/>
    <w:rsid w:val="00806CA6"/>
    <w:rsid w:val="00807790"/>
    <w:rsid w:val="0081003B"/>
    <w:rsid w:val="0081124C"/>
    <w:rsid w:val="00811376"/>
    <w:rsid w:val="00812782"/>
    <w:rsid w:val="00812D21"/>
    <w:rsid w:val="008132E4"/>
    <w:rsid w:val="00813624"/>
    <w:rsid w:val="00813C81"/>
    <w:rsid w:val="00813ED8"/>
    <w:rsid w:val="008144AC"/>
    <w:rsid w:val="008147D7"/>
    <w:rsid w:val="008149C4"/>
    <w:rsid w:val="00816A85"/>
    <w:rsid w:val="008175F4"/>
    <w:rsid w:val="0081797D"/>
    <w:rsid w:val="00817B43"/>
    <w:rsid w:val="00817C0D"/>
    <w:rsid w:val="00817E42"/>
    <w:rsid w:val="00817E4C"/>
    <w:rsid w:val="00820180"/>
    <w:rsid w:val="00820288"/>
    <w:rsid w:val="0082034F"/>
    <w:rsid w:val="00820979"/>
    <w:rsid w:val="00820E2C"/>
    <w:rsid w:val="00821692"/>
    <w:rsid w:val="0082193D"/>
    <w:rsid w:val="00821A19"/>
    <w:rsid w:val="008224A0"/>
    <w:rsid w:val="00822EC4"/>
    <w:rsid w:val="00823075"/>
    <w:rsid w:val="008231FA"/>
    <w:rsid w:val="00824B13"/>
    <w:rsid w:val="00824C89"/>
    <w:rsid w:val="00824D74"/>
    <w:rsid w:val="00825055"/>
    <w:rsid w:val="008262E2"/>
    <w:rsid w:val="008304DB"/>
    <w:rsid w:val="0083061E"/>
    <w:rsid w:val="008306FC"/>
    <w:rsid w:val="008307E0"/>
    <w:rsid w:val="00830DB6"/>
    <w:rsid w:val="008313BA"/>
    <w:rsid w:val="008322F9"/>
    <w:rsid w:val="00832FC4"/>
    <w:rsid w:val="0083358D"/>
    <w:rsid w:val="00833892"/>
    <w:rsid w:val="00833B28"/>
    <w:rsid w:val="00833D71"/>
    <w:rsid w:val="00833EF1"/>
    <w:rsid w:val="00834078"/>
    <w:rsid w:val="008363C6"/>
    <w:rsid w:val="00841F70"/>
    <w:rsid w:val="0084249B"/>
    <w:rsid w:val="00842BD0"/>
    <w:rsid w:val="00842D91"/>
    <w:rsid w:val="008431FF"/>
    <w:rsid w:val="0084442A"/>
    <w:rsid w:val="008447E3"/>
    <w:rsid w:val="00845271"/>
    <w:rsid w:val="008452F9"/>
    <w:rsid w:val="008454C2"/>
    <w:rsid w:val="00846A2A"/>
    <w:rsid w:val="00846DCC"/>
    <w:rsid w:val="0085251C"/>
    <w:rsid w:val="00852828"/>
    <w:rsid w:val="00852A3E"/>
    <w:rsid w:val="00852EC1"/>
    <w:rsid w:val="00853302"/>
    <w:rsid w:val="00853582"/>
    <w:rsid w:val="008535E2"/>
    <w:rsid w:val="00853CE0"/>
    <w:rsid w:val="00853CF5"/>
    <w:rsid w:val="00853E24"/>
    <w:rsid w:val="00854ADE"/>
    <w:rsid w:val="0085520F"/>
    <w:rsid w:val="008561BF"/>
    <w:rsid w:val="008562CA"/>
    <w:rsid w:val="00856FEE"/>
    <w:rsid w:val="00857F09"/>
    <w:rsid w:val="008613D6"/>
    <w:rsid w:val="00861878"/>
    <w:rsid w:val="00861CC5"/>
    <w:rsid w:val="00861DA8"/>
    <w:rsid w:val="00862D24"/>
    <w:rsid w:val="0086406B"/>
    <w:rsid w:val="00865765"/>
    <w:rsid w:val="00865887"/>
    <w:rsid w:val="00865F22"/>
    <w:rsid w:val="00866333"/>
    <w:rsid w:val="00866ED9"/>
    <w:rsid w:val="0086741B"/>
    <w:rsid w:val="00867497"/>
    <w:rsid w:val="008719A1"/>
    <w:rsid w:val="00871E3F"/>
    <w:rsid w:val="008723D2"/>
    <w:rsid w:val="008730A4"/>
    <w:rsid w:val="00873347"/>
    <w:rsid w:val="00873CB8"/>
    <w:rsid w:val="00873F63"/>
    <w:rsid w:val="00874CBF"/>
    <w:rsid w:val="00875EC2"/>
    <w:rsid w:val="008764E4"/>
    <w:rsid w:val="00876FA1"/>
    <w:rsid w:val="00877A74"/>
    <w:rsid w:val="00877A90"/>
    <w:rsid w:val="00877B00"/>
    <w:rsid w:val="0088014E"/>
    <w:rsid w:val="00881583"/>
    <w:rsid w:val="00881C89"/>
    <w:rsid w:val="00882DE5"/>
    <w:rsid w:val="00882E92"/>
    <w:rsid w:val="008836F2"/>
    <w:rsid w:val="00883B99"/>
    <w:rsid w:val="00883F49"/>
    <w:rsid w:val="008841CB"/>
    <w:rsid w:val="008845AB"/>
    <w:rsid w:val="00885119"/>
    <w:rsid w:val="008851C6"/>
    <w:rsid w:val="008856C0"/>
    <w:rsid w:val="008857B1"/>
    <w:rsid w:val="00885B70"/>
    <w:rsid w:val="0088602F"/>
    <w:rsid w:val="00887441"/>
    <w:rsid w:val="008874F3"/>
    <w:rsid w:val="00887660"/>
    <w:rsid w:val="00887FE2"/>
    <w:rsid w:val="008902A4"/>
    <w:rsid w:val="008905B3"/>
    <w:rsid w:val="00891F85"/>
    <w:rsid w:val="008928FA"/>
    <w:rsid w:val="00893CEA"/>
    <w:rsid w:val="008943DB"/>
    <w:rsid w:val="00894745"/>
    <w:rsid w:val="00895C58"/>
    <w:rsid w:val="00895F20"/>
    <w:rsid w:val="00896BD7"/>
    <w:rsid w:val="00896BFA"/>
    <w:rsid w:val="00896E59"/>
    <w:rsid w:val="00897235"/>
    <w:rsid w:val="008A0B3B"/>
    <w:rsid w:val="008A0B55"/>
    <w:rsid w:val="008A2D26"/>
    <w:rsid w:val="008A322C"/>
    <w:rsid w:val="008A3366"/>
    <w:rsid w:val="008A3FB7"/>
    <w:rsid w:val="008A4108"/>
    <w:rsid w:val="008A42B9"/>
    <w:rsid w:val="008A4611"/>
    <w:rsid w:val="008A4E75"/>
    <w:rsid w:val="008A541F"/>
    <w:rsid w:val="008A5CC9"/>
    <w:rsid w:val="008A5F44"/>
    <w:rsid w:val="008A6279"/>
    <w:rsid w:val="008A6513"/>
    <w:rsid w:val="008A67DC"/>
    <w:rsid w:val="008A7886"/>
    <w:rsid w:val="008A7CDC"/>
    <w:rsid w:val="008B034D"/>
    <w:rsid w:val="008B07FB"/>
    <w:rsid w:val="008B1135"/>
    <w:rsid w:val="008B17DC"/>
    <w:rsid w:val="008B3730"/>
    <w:rsid w:val="008B394E"/>
    <w:rsid w:val="008B3995"/>
    <w:rsid w:val="008B3AA8"/>
    <w:rsid w:val="008B570E"/>
    <w:rsid w:val="008B5A48"/>
    <w:rsid w:val="008B5F63"/>
    <w:rsid w:val="008B6374"/>
    <w:rsid w:val="008B6568"/>
    <w:rsid w:val="008B656C"/>
    <w:rsid w:val="008B7306"/>
    <w:rsid w:val="008B76A1"/>
    <w:rsid w:val="008B76A9"/>
    <w:rsid w:val="008C033D"/>
    <w:rsid w:val="008C09E6"/>
    <w:rsid w:val="008C16EB"/>
    <w:rsid w:val="008C1C57"/>
    <w:rsid w:val="008C1D29"/>
    <w:rsid w:val="008C255C"/>
    <w:rsid w:val="008C25C6"/>
    <w:rsid w:val="008C3386"/>
    <w:rsid w:val="008C3AD8"/>
    <w:rsid w:val="008C3CDF"/>
    <w:rsid w:val="008C4188"/>
    <w:rsid w:val="008C491B"/>
    <w:rsid w:val="008C4C96"/>
    <w:rsid w:val="008C504A"/>
    <w:rsid w:val="008C50E9"/>
    <w:rsid w:val="008C5223"/>
    <w:rsid w:val="008C568A"/>
    <w:rsid w:val="008C610E"/>
    <w:rsid w:val="008C6505"/>
    <w:rsid w:val="008C65B8"/>
    <w:rsid w:val="008C6662"/>
    <w:rsid w:val="008C6DE1"/>
    <w:rsid w:val="008C6E1F"/>
    <w:rsid w:val="008C7BB2"/>
    <w:rsid w:val="008D0400"/>
    <w:rsid w:val="008D0E4B"/>
    <w:rsid w:val="008D0F71"/>
    <w:rsid w:val="008D18F0"/>
    <w:rsid w:val="008D2264"/>
    <w:rsid w:val="008D312B"/>
    <w:rsid w:val="008D31D5"/>
    <w:rsid w:val="008D3409"/>
    <w:rsid w:val="008D3432"/>
    <w:rsid w:val="008D3CEE"/>
    <w:rsid w:val="008D4B24"/>
    <w:rsid w:val="008D4C16"/>
    <w:rsid w:val="008D4C69"/>
    <w:rsid w:val="008D4CAC"/>
    <w:rsid w:val="008D4F62"/>
    <w:rsid w:val="008D5551"/>
    <w:rsid w:val="008D60C7"/>
    <w:rsid w:val="008D6109"/>
    <w:rsid w:val="008D6B30"/>
    <w:rsid w:val="008D749C"/>
    <w:rsid w:val="008E05B0"/>
    <w:rsid w:val="008E0E0E"/>
    <w:rsid w:val="008E2146"/>
    <w:rsid w:val="008E2642"/>
    <w:rsid w:val="008E267F"/>
    <w:rsid w:val="008E4144"/>
    <w:rsid w:val="008E41B9"/>
    <w:rsid w:val="008E42BA"/>
    <w:rsid w:val="008E4EBA"/>
    <w:rsid w:val="008E5727"/>
    <w:rsid w:val="008E573D"/>
    <w:rsid w:val="008E5B24"/>
    <w:rsid w:val="008E5B49"/>
    <w:rsid w:val="008E64A6"/>
    <w:rsid w:val="008E6A9F"/>
    <w:rsid w:val="008E6BBB"/>
    <w:rsid w:val="008E717B"/>
    <w:rsid w:val="008F06AB"/>
    <w:rsid w:val="008F0C30"/>
    <w:rsid w:val="008F156F"/>
    <w:rsid w:val="008F1C3D"/>
    <w:rsid w:val="008F207E"/>
    <w:rsid w:val="008F234E"/>
    <w:rsid w:val="008F2621"/>
    <w:rsid w:val="008F3220"/>
    <w:rsid w:val="008F37BC"/>
    <w:rsid w:val="008F4C9A"/>
    <w:rsid w:val="008F4DC5"/>
    <w:rsid w:val="008F51A3"/>
    <w:rsid w:val="008F54F6"/>
    <w:rsid w:val="008F5629"/>
    <w:rsid w:val="008F6511"/>
    <w:rsid w:val="008F7067"/>
    <w:rsid w:val="008F74AC"/>
    <w:rsid w:val="008F7639"/>
    <w:rsid w:val="008F78D0"/>
    <w:rsid w:val="008F7BBD"/>
    <w:rsid w:val="00900130"/>
    <w:rsid w:val="00900189"/>
    <w:rsid w:val="00900269"/>
    <w:rsid w:val="00900EB7"/>
    <w:rsid w:val="00900F9F"/>
    <w:rsid w:val="00901D84"/>
    <w:rsid w:val="00901F4C"/>
    <w:rsid w:val="00901F6E"/>
    <w:rsid w:val="009021B5"/>
    <w:rsid w:val="00902A68"/>
    <w:rsid w:val="00902EBA"/>
    <w:rsid w:val="009030DB"/>
    <w:rsid w:val="009035FA"/>
    <w:rsid w:val="00903D3D"/>
    <w:rsid w:val="00904D66"/>
    <w:rsid w:val="00905067"/>
    <w:rsid w:val="0090577A"/>
    <w:rsid w:val="00905B2C"/>
    <w:rsid w:val="0090704C"/>
    <w:rsid w:val="009073D0"/>
    <w:rsid w:val="00907A87"/>
    <w:rsid w:val="00910419"/>
    <w:rsid w:val="00910629"/>
    <w:rsid w:val="0091207E"/>
    <w:rsid w:val="00912192"/>
    <w:rsid w:val="0091254A"/>
    <w:rsid w:val="00912B4F"/>
    <w:rsid w:val="00912BF5"/>
    <w:rsid w:val="00913363"/>
    <w:rsid w:val="009138B7"/>
    <w:rsid w:val="00913E93"/>
    <w:rsid w:val="0091498B"/>
    <w:rsid w:val="009153D0"/>
    <w:rsid w:val="00915440"/>
    <w:rsid w:val="00915C42"/>
    <w:rsid w:val="00915CFD"/>
    <w:rsid w:val="00915D05"/>
    <w:rsid w:val="00915EAA"/>
    <w:rsid w:val="00915F8A"/>
    <w:rsid w:val="00916081"/>
    <w:rsid w:val="00916FEA"/>
    <w:rsid w:val="009178C8"/>
    <w:rsid w:val="0091792F"/>
    <w:rsid w:val="00917A96"/>
    <w:rsid w:val="00917FE4"/>
    <w:rsid w:val="009207D4"/>
    <w:rsid w:val="00921348"/>
    <w:rsid w:val="00921A54"/>
    <w:rsid w:val="00921FF3"/>
    <w:rsid w:val="009222D4"/>
    <w:rsid w:val="00922E33"/>
    <w:rsid w:val="00922F14"/>
    <w:rsid w:val="009230E8"/>
    <w:rsid w:val="00923560"/>
    <w:rsid w:val="0092397A"/>
    <w:rsid w:val="00923EDE"/>
    <w:rsid w:val="00925CAD"/>
    <w:rsid w:val="00925F82"/>
    <w:rsid w:val="00926019"/>
    <w:rsid w:val="00926395"/>
    <w:rsid w:val="009274FE"/>
    <w:rsid w:val="009300B6"/>
    <w:rsid w:val="00931193"/>
    <w:rsid w:val="009311CC"/>
    <w:rsid w:val="009315F6"/>
    <w:rsid w:val="00931739"/>
    <w:rsid w:val="0093272F"/>
    <w:rsid w:val="00933DDD"/>
    <w:rsid w:val="00933E80"/>
    <w:rsid w:val="00934B7A"/>
    <w:rsid w:val="00934BB9"/>
    <w:rsid w:val="00935EF1"/>
    <w:rsid w:val="009363DC"/>
    <w:rsid w:val="00936C81"/>
    <w:rsid w:val="00937192"/>
    <w:rsid w:val="009375B6"/>
    <w:rsid w:val="009375D9"/>
    <w:rsid w:val="00937D8A"/>
    <w:rsid w:val="009415C6"/>
    <w:rsid w:val="00942343"/>
    <w:rsid w:val="00942BD7"/>
    <w:rsid w:val="0094329B"/>
    <w:rsid w:val="0094354B"/>
    <w:rsid w:val="009439B9"/>
    <w:rsid w:val="00943C31"/>
    <w:rsid w:val="00943F24"/>
    <w:rsid w:val="00944424"/>
    <w:rsid w:val="00944549"/>
    <w:rsid w:val="00944817"/>
    <w:rsid w:val="00944891"/>
    <w:rsid w:val="009449C1"/>
    <w:rsid w:val="0094513A"/>
    <w:rsid w:val="00946950"/>
    <w:rsid w:val="00946AC2"/>
    <w:rsid w:val="00946B39"/>
    <w:rsid w:val="00947699"/>
    <w:rsid w:val="00950939"/>
    <w:rsid w:val="009515BA"/>
    <w:rsid w:val="00951923"/>
    <w:rsid w:val="009522F3"/>
    <w:rsid w:val="00952D25"/>
    <w:rsid w:val="00953558"/>
    <w:rsid w:val="00954526"/>
    <w:rsid w:val="0095460F"/>
    <w:rsid w:val="009551A0"/>
    <w:rsid w:val="00955520"/>
    <w:rsid w:val="009562F3"/>
    <w:rsid w:val="00956673"/>
    <w:rsid w:val="0096017C"/>
    <w:rsid w:val="00960322"/>
    <w:rsid w:val="009609C0"/>
    <w:rsid w:val="00961250"/>
    <w:rsid w:val="00961CD5"/>
    <w:rsid w:val="00961D1B"/>
    <w:rsid w:val="00961F1B"/>
    <w:rsid w:val="009620DC"/>
    <w:rsid w:val="009621A3"/>
    <w:rsid w:val="00963245"/>
    <w:rsid w:val="009634F8"/>
    <w:rsid w:val="0096451F"/>
    <w:rsid w:val="00964EF3"/>
    <w:rsid w:val="0096538D"/>
    <w:rsid w:val="00965B93"/>
    <w:rsid w:val="00965EF5"/>
    <w:rsid w:val="009667A5"/>
    <w:rsid w:val="00966BBD"/>
    <w:rsid w:val="00966DEE"/>
    <w:rsid w:val="0096750E"/>
    <w:rsid w:val="00971121"/>
    <w:rsid w:val="00971257"/>
    <w:rsid w:val="009717A5"/>
    <w:rsid w:val="009721E3"/>
    <w:rsid w:val="00972308"/>
    <w:rsid w:val="00972569"/>
    <w:rsid w:val="009733C3"/>
    <w:rsid w:val="00973A05"/>
    <w:rsid w:val="009743BE"/>
    <w:rsid w:val="009752CF"/>
    <w:rsid w:val="00975C12"/>
    <w:rsid w:val="00976D34"/>
    <w:rsid w:val="00977367"/>
    <w:rsid w:val="00977579"/>
    <w:rsid w:val="00977FB4"/>
    <w:rsid w:val="00980296"/>
    <w:rsid w:val="00981193"/>
    <w:rsid w:val="00981D31"/>
    <w:rsid w:val="00981EF9"/>
    <w:rsid w:val="0098207B"/>
    <w:rsid w:val="009821A7"/>
    <w:rsid w:val="009821EB"/>
    <w:rsid w:val="00982E97"/>
    <w:rsid w:val="00983859"/>
    <w:rsid w:val="0098541B"/>
    <w:rsid w:val="0098605B"/>
    <w:rsid w:val="009867BE"/>
    <w:rsid w:val="00986D5B"/>
    <w:rsid w:val="00987019"/>
    <w:rsid w:val="00987174"/>
    <w:rsid w:val="00987663"/>
    <w:rsid w:val="00987DFB"/>
    <w:rsid w:val="00987E35"/>
    <w:rsid w:val="00990056"/>
    <w:rsid w:val="0099033C"/>
    <w:rsid w:val="009903B9"/>
    <w:rsid w:val="00990748"/>
    <w:rsid w:val="0099121E"/>
    <w:rsid w:val="009914E5"/>
    <w:rsid w:val="00991775"/>
    <w:rsid w:val="00991BC5"/>
    <w:rsid w:val="00991FC0"/>
    <w:rsid w:val="00992A18"/>
    <w:rsid w:val="00992ABC"/>
    <w:rsid w:val="00992C26"/>
    <w:rsid w:val="00992D71"/>
    <w:rsid w:val="009938A3"/>
    <w:rsid w:val="00993AB6"/>
    <w:rsid w:val="00993F95"/>
    <w:rsid w:val="00994B57"/>
    <w:rsid w:val="00994C28"/>
    <w:rsid w:val="00995545"/>
    <w:rsid w:val="009956BE"/>
    <w:rsid w:val="00995739"/>
    <w:rsid w:val="00995A74"/>
    <w:rsid w:val="00995EAB"/>
    <w:rsid w:val="009967D3"/>
    <w:rsid w:val="009968FD"/>
    <w:rsid w:val="00996945"/>
    <w:rsid w:val="009A0205"/>
    <w:rsid w:val="009A0BBD"/>
    <w:rsid w:val="009A0EE6"/>
    <w:rsid w:val="009A101F"/>
    <w:rsid w:val="009A1669"/>
    <w:rsid w:val="009A33DC"/>
    <w:rsid w:val="009A3B1E"/>
    <w:rsid w:val="009A5252"/>
    <w:rsid w:val="009A5A91"/>
    <w:rsid w:val="009A6027"/>
    <w:rsid w:val="009A63D0"/>
    <w:rsid w:val="009A6409"/>
    <w:rsid w:val="009A66B3"/>
    <w:rsid w:val="009A6A65"/>
    <w:rsid w:val="009A6EAC"/>
    <w:rsid w:val="009A778E"/>
    <w:rsid w:val="009B1004"/>
    <w:rsid w:val="009B107E"/>
    <w:rsid w:val="009B10E0"/>
    <w:rsid w:val="009B15B8"/>
    <w:rsid w:val="009B2203"/>
    <w:rsid w:val="009B357B"/>
    <w:rsid w:val="009B3EBC"/>
    <w:rsid w:val="009B4927"/>
    <w:rsid w:val="009B5277"/>
    <w:rsid w:val="009B5A50"/>
    <w:rsid w:val="009B6032"/>
    <w:rsid w:val="009B65B0"/>
    <w:rsid w:val="009B6AF5"/>
    <w:rsid w:val="009B6D46"/>
    <w:rsid w:val="009B7016"/>
    <w:rsid w:val="009B73FA"/>
    <w:rsid w:val="009B7529"/>
    <w:rsid w:val="009B77E6"/>
    <w:rsid w:val="009B79E1"/>
    <w:rsid w:val="009C02B6"/>
    <w:rsid w:val="009C0E83"/>
    <w:rsid w:val="009C1D86"/>
    <w:rsid w:val="009C2178"/>
    <w:rsid w:val="009C2741"/>
    <w:rsid w:val="009C2C98"/>
    <w:rsid w:val="009C2E02"/>
    <w:rsid w:val="009C41B0"/>
    <w:rsid w:val="009C43F2"/>
    <w:rsid w:val="009C54DB"/>
    <w:rsid w:val="009C5EBF"/>
    <w:rsid w:val="009C6C82"/>
    <w:rsid w:val="009C7DC8"/>
    <w:rsid w:val="009C7DCF"/>
    <w:rsid w:val="009D015F"/>
    <w:rsid w:val="009D0455"/>
    <w:rsid w:val="009D15FF"/>
    <w:rsid w:val="009D1823"/>
    <w:rsid w:val="009D1BCC"/>
    <w:rsid w:val="009D22C2"/>
    <w:rsid w:val="009D2498"/>
    <w:rsid w:val="009D2504"/>
    <w:rsid w:val="009D295D"/>
    <w:rsid w:val="009D5F25"/>
    <w:rsid w:val="009D66ED"/>
    <w:rsid w:val="009D6B14"/>
    <w:rsid w:val="009D7890"/>
    <w:rsid w:val="009D78A1"/>
    <w:rsid w:val="009E09F2"/>
    <w:rsid w:val="009E0DE6"/>
    <w:rsid w:val="009E13BE"/>
    <w:rsid w:val="009E1CA5"/>
    <w:rsid w:val="009E23D3"/>
    <w:rsid w:val="009E2740"/>
    <w:rsid w:val="009E2787"/>
    <w:rsid w:val="009E43D5"/>
    <w:rsid w:val="009E4B6D"/>
    <w:rsid w:val="009E4BA4"/>
    <w:rsid w:val="009E5544"/>
    <w:rsid w:val="009E64B3"/>
    <w:rsid w:val="009E6DA0"/>
    <w:rsid w:val="009E737C"/>
    <w:rsid w:val="009F0925"/>
    <w:rsid w:val="009F09B5"/>
    <w:rsid w:val="009F0A51"/>
    <w:rsid w:val="009F0CEC"/>
    <w:rsid w:val="009F0F90"/>
    <w:rsid w:val="009F17B8"/>
    <w:rsid w:val="009F198D"/>
    <w:rsid w:val="009F2CBB"/>
    <w:rsid w:val="009F3019"/>
    <w:rsid w:val="009F392E"/>
    <w:rsid w:val="009F3BD5"/>
    <w:rsid w:val="009F4417"/>
    <w:rsid w:val="009F451B"/>
    <w:rsid w:val="009F4B63"/>
    <w:rsid w:val="009F4DE8"/>
    <w:rsid w:val="009F54F1"/>
    <w:rsid w:val="009F5F39"/>
    <w:rsid w:val="009F6237"/>
    <w:rsid w:val="009F673A"/>
    <w:rsid w:val="009F7224"/>
    <w:rsid w:val="009F79EF"/>
    <w:rsid w:val="009F7A31"/>
    <w:rsid w:val="009F7AF2"/>
    <w:rsid w:val="00A007D7"/>
    <w:rsid w:val="00A031A6"/>
    <w:rsid w:val="00A03EB2"/>
    <w:rsid w:val="00A04C34"/>
    <w:rsid w:val="00A057AB"/>
    <w:rsid w:val="00A05EA0"/>
    <w:rsid w:val="00A06616"/>
    <w:rsid w:val="00A06621"/>
    <w:rsid w:val="00A06751"/>
    <w:rsid w:val="00A06D20"/>
    <w:rsid w:val="00A06EA6"/>
    <w:rsid w:val="00A070D9"/>
    <w:rsid w:val="00A0726E"/>
    <w:rsid w:val="00A077A0"/>
    <w:rsid w:val="00A102B0"/>
    <w:rsid w:val="00A1034B"/>
    <w:rsid w:val="00A107FA"/>
    <w:rsid w:val="00A117E0"/>
    <w:rsid w:val="00A11998"/>
    <w:rsid w:val="00A11C17"/>
    <w:rsid w:val="00A122A0"/>
    <w:rsid w:val="00A13963"/>
    <w:rsid w:val="00A141F8"/>
    <w:rsid w:val="00A142CB"/>
    <w:rsid w:val="00A14513"/>
    <w:rsid w:val="00A149C9"/>
    <w:rsid w:val="00A157AC"/>
    <w:rsid w:val="00A15983"/>
    <w:rsid w:val="00A16338"/>
    <w:rsid w:val="00A16D4A"/>
    <w:rsid w:val="00A17167"/>
    <w:rsid w:val="00A173CC"/>
    <w:rsid w:val="00A177F8"/>
    <w:rsid w:val="00A17914"/>
    <w:rsid w:val="00A20244"/>
    <w:rsid w:val="00A20439"/>
    <w:rsid w:val="00A20E2E"/>
    <w:rsid w:val="00A20ED9"/>
    <w:rsid w:val="00A211A3"/>
    <w:rsid w:val="00A21460"/>
    <w:rsid w:val="00A2174C"/>
    <w:rsid w:val="00A21842"/>
    <w:rsid w:val="00A22547"/>
    <w:rsid w:val="00A2277C"/>
    <w:rsid w:val="00A22C0E"/>
    <w:rsid w:val="00A23D3A"/>
    <w:rsid w:val="00A25F0A"/>
    <w:rsid w:val="00A26B8E"/>
    <w:rsid w:val="00A26CF9"/>
    <w:rsid w:val="00A27060"/>
    <w:rsid w:val="00A27E00"/>
    <w:rsid w:val="00A301DD"/>
    <w:rsid w:val="00A30F46"/>
    <w:rsid w:val="00A31474"/>
    <w:rsid w:val="00A317A9"/>
    <w:rsid w:val="00A31F02"/>
    <w:rsid w:val="00A32047"/>
    <w:rsid w:val="00A321EC"/>
    <w:rsid w:val="00A3285C"/>
    <w:rsid w:val="00A32D2F"/>
    <w:rsid w:val="00A32D30"/>
    <w:rsid w:val="00A32D72"/>
    <w:rsid w:val="00A33148"/>
    <w:rsid w:val="00A334C2"/>
    <w:rsid w:val="00A34B4C"/>
    <w:rsid w:val="00A34C02"/>
    <w:rsid w:val="00A35492"/>
    <w:rsid w:val="00A360F8"/>
    <w:rsid w:val="00A365C5"/>
    <w:rsid w:val="00A369DF"/>
    <w:rsid w:val="00A37954"/>
    <w:rsid w:val="00A37E5F"/>
    <w:rsid w:val="00A37F92"/>
    <w:rsid w:val="00A40018"/>
    <w:rsid w:val="00A402FC"/>
    <w:rsid w:val="00A40326"/>
    <w:rsid w:val="00A40ADD"/>
    <w:rsid w:val="00A40BE4"/>
    <w:rsid w:val="00A40DEC"/>
    <w:rsid w:val="00A417D0"/>
    <w:rsid w:val="00A41882"/>
    <w:rsid w:val="00A4197E"/>
    <w:rsid w:val="00A42ED7"/>
    <w:rsid w:val="00A43958"/>
    <w:rsid w:val="00A43D6F"/>
    <w:rsid w:val="00A43DE4"/>
    <w:rsid w:val="00A44469"/>
    <w:rsid w:val="00A4664B"/>
    <w:rsid w:val="00A4682D"/>
    <w:rsid w:val="00A46DD4"/>
    <w:rsid w:val="00A472B0"/>
    <w:rsid w:val="00A47391"/>
    <w:rsid w:val="00A47480"/>
    <w:rsid w:val="00A477E6"/>
    <w:rsid w:val="00A47982"/>
    <w:rsid w:val="00A502CB"/>
    <w:rsid w:val="00A505B2"/>
    <w:rsid w:val="00A514A3"/>
    <w:rsid w:val="00A518D3"/>
    <w:rsid w:val="00A5209C"/>
    <w:rsid w:val="00A52E8E"/>
    <w:rsid w:val="00A53587"/>
    <w:rsid w:val="00A53C11"/>
    <w:rsid w:val="00A545D4"/>
    <w:rsid w:val="00A5509C"/>
    <w:rsid w:val="00A55728"/>
    <w:rsid w:val="00A577CE"/>
    <w:rsid w:val="00A57E3F"/>
    <w:rsid w:val="00A60114"/>
    <w:rsid w:val="00A60860"/>
    <w:rsid w:val="00A60B89"/>
    <w:rsid w:val="00A6161B"/>
    <w:rsid w:val="00A61895"/>
    <w:rsid w:val="00A62888"/>
    <w:rsid w:val="00A62C26"/>
    <w:rsid w:val="00A62E78"/>
    <w:rsid w:val="00A6310E"/>
    <w:rsid w:val="00A631CB"/>
    <w:rsid w:val="00A63242"/>
    <w:rsid w:val="00A63CCF"/>
    <w:rsid w:val="00A63D94"/>
    <w:rsid w:val="00A63DA1"/>
    <w:rsid w:val="00A64725"/>
    <w:rsid w:val="00A64983"/>
    <w:rsid w:val="00A649A2"/>
    <w:rsid w:val="00A64AAA"/>
    <w:rsid w:val="00A65835"/>
    <w:rsid w:val="00A66255"/>
    <w:rsid w:val="00A66FCD"/>
    <w:rsid w:val="00A6786B"/>
    <w:rsid w:val="00A678ED"/>
    <w:rsid w:val="00A67B67"/>
    <w:rsid w:val="00A7063E"/>
    <w:rsid w:val="00A70904"/>
    <w:rsid w:val="00A717CC"/>
    <w:rsid w:val="00A739AE"/>
    <w:rsid w:val="00A73CCD"/>
    <w:rsid w:val="00A73DB0"/>
    <w:rsid w:val="00A74BBD"/>
    <w:rsid w:val="00A750DC"/>
    <w:rsid w:val="00A7538A"/>
    <w:rsid w:val="00A76229"/>
    <w:rsid w:val="00A76C6A"/>
    <w:rsid w:val="00A7725B"/>
    <w:rsid w:val="00A77467"/>
    <w:rsid w:val="00A77528"/>
    <w:rsid w:val="00A775B5"/>
    <w:rsid w:val="00A7779E"/>
    <w:rsid w:val="00A77E6F"/>
    <w:rsid w:val="00A80267"/>
    <w:rsid w:val="00A80E4B"/>
    <w:rsid w:val="00A81A64"/>
    <w:rsid w:val="00A81E25"/>
    <w:rsid w:val="00A82117"/>
    <w:rsid w:val="00A82138"/>
    <w:rsid w:val="00A8254A"/>
    <w:rsid w:val="00A83204"/>
    <w:rsid w:val="00A839D9"/>
    <w:rsid w:val="00A84366"/>
    <w:rsid w:val="00A8450E"/>
    <w:rsid w:val="00A84D98"/>
    <w:rsid w:val="00A853E7"/>
    <w:rsid w:val="00A85557"/>
    <w:rsid w:val="00A8649F"/>
    <w:rsid w:val="00A86B2D"/>
    <w:rsid w:val="00A86CFC"/>
    <w:rsid w:val="00A87453"/>
    <w:rsid w:val="00A91023"/>
    <w:rsid w:val="00A91228"/>
    <w:rsid w:val="00A91990"/>
    <w:rsid w:val="00A929F8"/>
    <w:rsid w:val="00A92E8A"/>
    <w:rsid w:val="00A92E8F"/>
    <w:rsid w:val="00A932C3"/>
    <w:rsid w:val="00A937D6"/>
    <w:rsid w:val="00A93DDE"/>
    <w:rsid w:val="00A9427E"/>
    <w:rsid w:val="00A943E0"/>
    <w:rsid w:val="00A94DD5"/>
    <w:rsid w:val="00A95728"/>
    <w:rsid w:val="00A96168"/>
    <w:rsid w:val="00A962E5"/>
    <w:rsid w:val="00A96991"/>
    <w:rsid w:val="00A96FDA"/>
    <w:rsid w:val="00A97322"/>
    <w:rsid w:val="00A9746D"/>
    <w:rsid w:val="00A976E8"/>
    <w:rsid w:val="00AA0122"/>
    <w:rsid w:val="00AA038D"/>
    <w:rsid w:val="00AA1304"/>
    <w:rsid w:val="00AA172C"/>
    <w:rsid w:val="00AA1785"/>
    <w:rsid w:val="00AA1B6D"/>
    <w:rsid w:val="00AA1D55"/>
    <w:rsid w:val="00AA1D5C"/>
    <w:rsid w:val="00AA25AA"/>
    <w:rsid w:val="00AA35FE"/>
    <w:rsid w:val="00AA3767"/>
    <w:rsid w:val="00AA3939"/>
    <w:rsid w:val="00AA3E8A"/>
    <w:rsid w:val="00AA401D"/>
    <w:rsid w:val="00AA41E6"/>
    <w:rsid w:val="00AA4C33"/>
    <w:rsid w:val="00AA5A6B"/>
    <w:rsid w:val="00AA5CCC"/>
    <w:rsid w:val="00AA5F79"/>
    <w:rsid w:val="00AA6ADD"/>
    <w:rsid w:val="00AA7F82"/>
    <w:rsid w:val="00AB004E"/>
    <w:rsid w:val="00AB0B3A"/>
    <w:rsid w:val="00AB0BB8"/>
    <w:rsid w:val="00AB12A8"/>
    <w:rsid w:val="00AB1E09"/>
    <w:rsid w:val="00AB2A8C"/>
    <w:rsid w:val="00AB2B47"/>
    <w:rsid w:val="00AB2EAD"/>
    <w:rsid w:val="00AB32BA"/>
    <w:rsid w:val="00AB3F9F"/>
    <w:rsid w:val="00AB5657"/>
    <w:rsid w:val="00AB5C87"/>
    <w:rsid w:val="00AB6004"/>
    <w:rsid w:val="00AB65AC"/>
    <w:rsid w:val="00AB685A"/>
    <w:rsid w:val="00AB6E44"/>
    <w:rsid w:val="00AB6EF4"/>
    <w:rsid w:val="00AB7DA0"/>
    <w:rsid w:val="00AC04B9"/>
    <w:rsid w:val="00AC09BC"/>
    <w:rsid w:val="00AC0A2D"/>
    <w:rsid w:val="00AC0EC6"/>
    <w:rsid w:val="00AC2385"/>
    <w:rsid w:val="00AC3B63"/>
    <w:rsid w:val="00AC3D23"/>
    <w:rsid w:val="00AC4CE1"/>
    <w:rsid w:val="00AC626F"/>
    <w:rsid w:val="00AC6D02"/>
    <w:rsid w:val="00AD0342"/>
    <w:rsid w:val="00AD0C60"/>
    <w:rsid w:val="00AD0CC5"/>
    <w:rsid w:val="00AD18D0"/>
    <w:rsid w:val="00AD247C"/>
    <w:rsid w:val="00AD2577"/>
    <w:rsid w:val="00AD27E2"/>
    <w:rsid w:val="00AD28B3"/>
    <w:rsid w:val="00AD2FA0"/>
    <w:rsid w:val="00AD3737"/>
    <w:rsid w:val="00AD3986"/>
    <w:rsid w:val="00AD4053"/>
    <w:rsid w:val="00AD4E10"/>
    <w:rsid w:val="00AD5867"/>
    <w:rsid w:val="00AD5A69"/>
    <w:rsid w:val="00AD6128"/>
    <w:rsid w:val="00AD657B"/>
    <w:rsid w:val="00AD6898"/>
    <w:rsid w:val="00AD6A01"/>
    <w:rsid w:val="00AD7136"/>
    <w:rsid w:val="00AD7547"/>
    <w:rsid w:val="00AE002C"/>
    <w:rsid w:val="00AE09A7"/>
    <w:rsid w:val="00AE0DE0"/>
    <w:rsid w:val="00AE0E12"/>
    <w:rsid w:val="00AE19F2"/>
    <w:rsid w:val="00AE1A26"/>
    <w:rsid w:val="00AE22E0"/>
    <w:rsid w:val="00AE2704"/>
    <w:rsid w:val="00AE2A1E"/>
    <w:rsid w:val="00AE2BC8"/>
    <w:rsid w:val="00AE344C"/>
    <w:rsid w:val="00AE3BF7"/>
    <w:rsid w:val="00AE3ED2"/>
    <w:rsid w:val="00AE4574"/>
    <w:rsid w:val="00AE46B7"/>
    <w:rsid w:val="00AE4886"/>
    <w:rsid w:val="00AE4EBF"/>
    <w:rsid w:val="00AE4F79"/>
    <w:rsid w:val="00AE504E"/>
    <w:rsid w:val="00AE57AE"/>
    <w:rsid w:val="00AE60D5"/>
    <w:rsid w:val="00AE63D1"/>
    <w:rsid w:val="00AE6EB4"/>
    <w:rsid w:val="00AE6FD1"/>
    <w:rsid w:val="00AE76C5"/>
    <w:rsid w:val="00AE7C58"/>
    <w:rsid w:val="00AF0370"/>
    <w:rsid w:val="00AF0AAB"/>
    <w:rsid w:val="00AF0CB3"/>
    <w:rsid w:val="00AF2198"/>
    <w:rsid w:val="00AF228B"/>
    <w:rsid w:val="00AF2B82"/>
    <w:rsid w:val="00AF3309"/>
    <w:rsid w:val="00AF4F06"/>
    <w:rsid w:val="00AF59A3"/>
    <w:rsid w:val="00AF5F44"/>
    <w:rsid w:val="00AF6A73"/>
    <w:rsid w:val="00AF6AD5"/>
    <w:rsid w:val="00AF6B4B"/>
    <w:rsid w:val="00AF7BA1"/>
    <w:rsid w:val="00B007BE"/>
    <w:rsid w:val="00B00CFA"/>
    <w:rsid w:val="00B01075"/>
    <w:rsid w:val="00B018D7"/>
    <w:rsid w:val="00B01E6E"/>
    <w:rsid w:val="00B025CC"/>
    <w:rsid w:val="00B02D4F"/>
    <w:rsid w:val="00B03F6D"/>
    <w:rsid w:val="00B044D6"/>
    <w:rsid w:val="00B047A6"/>
    <w:rsid w:val="00B047BA"/>
    <w:rsid w:val="00B04840"/>
    <w:rsid w:val="00B04ECD"/>
    <w:rsid w:val="00B04F3C"/>
    <w:rsid w:val="00B06A04"/>
    <w:rsid w:val="00B0729F"/>
    <w:rsid w:val="00B072DD"/>
    <w:rsid w:val="00B07F99"/>
    <w:rsid w:val="00B1011A"/>
    <w:rsid w:val="00B101EF"/>
    <w:rsid w:val="00B1089D"/>
    <w:rsid w:val="00B109B5"/>
    <w:rsid w:val="00B10FD3"/>
    <w:rsid w:val="00B11048"/>
    <w:rsid w:val="00B118DD"/>
    <w:rsid w:val="00B12108"/>
    <w:rsid w:val="00B12366"/>
    <w:rsid w:val="00B1318A"/>
    <w:rsid w:val="00B131D5"/>
    <w:rsid w:val="00B139F3"/>
    <w:rsid w:val="00B1424B"/>
    <w:rsid w:val="00B146AD"/>
    <w:rsid w:val="00B148AF"/>
    <w:rsid w:val="00B148F6"/>
    <w:rsid w:val="00B15058"/>
    <w:rsid w:val="00B15093"/>
    <w:rsid w:val="00B15C44"/>
    <w:rsid w:val="00B1713D"/>
    <w:rsid w:val="00B17251"/>
    <w:rsid w:val="00B17F86"/>
    <w:rsid w:val="00B201FB"/>
    <w:rsid w:val="00B2055B"/>
    <w:rsid w:val="00B20E49"/>
    <w:rsid w:val="00B21593"/>
    <w:rsid w:val="00B21AE2"/>
    <w:rsid w:val="00B21B33"/>
    <w:rsid w:val="00B2255C"/>
    <w:rsid w:val="00B2267D"/>
    <w:rsid w:val="00B22A46"/>
    <w:rsid w:val="00B23F27"/>
    <w:rsid w:val="00B244A4"/>
    <w:rsid w:val="00B246D6"/>
    <w:rsid w:val="00B24AB6"/>
    <w:rsid w:val="00B24C67"/>
    <w:rsid w:val="00B25AD3"/>
    <w:rsid w:val="00B2607D"/>
    <w:rsid w:val="00B274A8"/>
    <w:rsid w:val="00B27983"/>
    <w:rsid w:val="00B27C42"/>
    <w:rsid w:val="00B27F3D"/>
    <w:rsid w:val="00B30F68"/>
    <w:rsid w:val="00B310EE"/>
    <w:rsid w:val="00B31E96"/>
    <w:rsid w:val="00B332E1"/>
    <w:rsid w:val="00B333ED"/>
    <w:rsid w:val="00B337DC"/>
    <w:rsid w:val="00B33C41"/>
    <w:rsid w:val="00B33E7F"/>
    <w:rsid w:val="00B342CD"/>
    <w:rsid w:val="00B34A68"/>
    <w:rsid w:val="00B35AD6"/>
    <w:rsid w:val="00B35D7D"/>
    <w:rsid w:val="00B3614E"/>
    <w:rsid w:val="00B40136"/>
    <w:rsid w:val="00B40395"/>
    <w:rsid w:val="00B406AB"/>
    <w:rsid w:val="00B40780"/>
    <w:rsid w:val="00B4090B"/>
    <w:rsid w:val="00B40A95"/>
    <w:rsid w:val="00B41359"/>
    <w:rsid w:val="00B41927"/>
    <w:rsid w:val="00B41B38"/>
    <w:rsid w:val="00B41B88"/>
    <w:rsid w:val="00B41F01"/>
    <w:rsid w:val="00B42480"/>
    <w:rsid w:val="00B426B5"/>
    <w:rsid w:val="00B42C91"/>
    <w:rsid w:val="00B42DC8"/>
    <w:rsid w:val="00B43867"/>
    <w:rsid w:val="00B44876"/>
    <w:rsid w:val="00B44F40"/>
    <w:rsid w:val="00B455F2"/>
    <w:rsid w:val="00B4563B"/>
    <w:rsid w:val="00B4607F"/>
    <w:rsid w:val="00B46F12"/>
    <w:rsid w:val="00B50705"/>
    <w:rsid w:val="00B51028"/>
    <w:rsid w:val="00B5192F"/>
    <w:rsid w:val="00B51BB9"/>
    <w:rsid w:val="00B521FE"/>
    <w:rsid w:val="00B52201"/>
    <w:rsid w:val="00B529D6"/>
    <w:rsid w:val="00B52A27"/>
    <w:rsid w:val="00B53A94"/>
    <w:rsid w:val="00B53D89"/>
    <w:rsid w:val="00B542CF"/>
    <w:rsid w:val="00B54692"/>
    <w:rsid w:val="00B5597F"/>
    <w:rsid w:val="00B56C14"/>
    <w:rsid w:val="00B57D19"/>
    <w:rsid w:val="00B57DFA"/>
    <w:rsid w:val="00B60EC3"/>
    <w:rsid w:val="00B610F3"/>
    <w:rsid w:val="00B61FFB"/>
    <w:rsid w:val="00B6266E"/>
    <w:rsid w:val="00B627BB"/>
    <w:rsid w:val="00B629BF"/>
    <w:rsid w:val="00B62EBB"/>
    <w:rsid w:val="00B6332A"/>
    <w:rsid w:val="00B637B0"/>
    <w:rsid w:val="00B640B0"/>
    <w:rsid w:val="00B642E8"/>
    <w:rsid w:val="00B64606"/>
    <w:rsid w:val="00B64E42"/>
    <w:rsid w:val="00B66AB0"/>
    <w:rsid w:val="00B676ED"/>
    <w:rsid w:val="00B6779A"/>
    <w:rsid w:val="00B70879"/>
    <w:rsid w:val="00B729A6"/>
    <w:rsid w:val="00B73DCD"/>
    <w:rsid w:val="00B749FE"/>
    <w:rsid w:val="00B74A6D"/>
    <w:rsid w:val="00B75D57"/>
    <w:rsid w:val="00B760A8"/>
    <w:rsid w:val="00B771B6"/>
    <w:rsid w:val="00B77A37"/>
    <w:rsid w:val="00B77DFA"/>
    <w:rsid w:val="00B806E2"/>
    <w:rsid w:val="00B80742"/>
    <w:rsid w:val="00B80F21"/>
    <w:rsid w:val="00B82649"/>
    <w:rsid w:val="00B82B33"/>
    <w:rsid w:val="00B82DDB"/>
    <w:rsid w:val="00B83212"/>
    <w:rsid w:val="00B83CBF"/>
    <w:rsid w:val="00B84207"/>
    <w:rsid w:val="00B84418"/>
    <w:rsid w:val="00B84D4F"/>
    <w:rsid w:val="00B8551B"/>
    <w:rsid w:val="00B8707E"/>
    <w:rsid w:val="00B87912"/>
    <w:rsid w:val="00B87C8F"/>
    <w:rsid w:val="00B9012D"/>
    <w:rsid w:val="00B90795"/>
    <w:rsid w:val="00B907DE"/>
    <w:rsid w:val="00B9083E"/>
    <w:rsid w:val="00B90D50"/>
    <w:rsid w:val="00B90FA8"/>
    <w:rsid w:val="00B9117C"/>
    <w:rsid w:val="00B9181A"/>
    <w:rsid w:val="00B9214F"/>
    <w:rsid w:val="00B926E3"/>
    <w:rsid w:val="00B9275C"/>
    <w:rsid w:val="00B92ED6"/>
    <w:rsid w:val="00B93169"/>
    <w:rsid w:val="00B93453"/>
    <w:rsid w:val="00B939F3"/>
    <w:rsid w:val="00B93B81"/>
    <w:rsid w:val="00B943BD"/>
    <w:rsid w:val="00B957C5"/>
    <w:rsid w:val="00B96844"/>
    <w:rsid w:val="00B9696C"/>
    <w:rsid w:val="00B97650"/>
    <w:rsid w:val="00B97700"/>
    <w:rsid w:val="00BA0015"/>
    <w:rsid w:val="00BA0841"/>
    <w:rsid w:val="00BA1524"/>
    <w:rsid w:val="00BA282C"/>
    <w:rsid w:val="00BA2D1D"/>
    <w:rsid w:val="00BA30E1"/>
    <w:rsid w:val="00BA36D7"/>
    <w:rsid w:val="00BA3E4D"/>
    <w:rsid w:val="00BA4D91"/>
    <w:rsid w:val="00BA527D"/>
    <w:rsid w:val="00BA56F9"/>
    <w:rsid w:val="00BA61A1"/>
    <w:rsid w:val="00BA63BE"/>
    <w:rsid w:val="00BA6486"/>
    <w:rsid w:val="00BA697B"/>
    <w:rsid w:val="00BA70B5"/>
    <w:rsid w:val="00BA7494"/>
    <w:rsid w:val="00BA7F59"/>
    <w:rsid w:val="00BB09B0"/>
    <w:rsid w:val="00BB1232"/>
    <w:rsid w:val="00BB1A89"/>
    <w:rsid w:val="00BB1E11"/>
    <w:rsid w:val="00BB1E5D"/>
    <w:rsid w:val="00BB2AE1"/>
    <w:rsid w:val="00BB2FAD"/>
    <w:rsid w:val="00BB32CD"/>
    <w:rsid w:val="00BB352D"/>
    <w:rsid w:val="00BB3531"/>
    <w:rsid w:val="00BB3981"/>
    <w:rsid w:val="00BB4918"/>
    <w:rsid w:val="00BB507B"/>
    <w:rsid w:val="00BB5968"/>
    <w:rsid w:val="00BB60E4"/>
    <w:rsid w:val="00BB6577"/>
    <w:rsid w:val="00BB6A01"/>
    <w:rsid w:val="00BB7D12"/>
    <w:rsid w:val="00BC011F"/>
    <w:rsid w:val="00BC0A34"/>
    <w:rsid w:val="00BC0EEC"/>
    <w:rsid w:val="00BC1D85"/>
    <w:rsid w:val="00BC2629"/>
    <w:rsid w:val="00BC3434"/>
    <w:rsid w:val="00BC37B1"/>
    <w:rsid w:val="00BC3DE7"/>
    <w:rsid w:val="00BC3F34"/>
    <w:rsid w:val="00BC4AB0"/>
    <w:rsid w:val="00BC528A"/>
    <w:rsid w:val="00BC579B"/>
    <w:rsid w:val="00BC584F"/>
    <w:rsid w:val="00BC591D"/>
    <w:rsid w:val="00BC5B5F"/>
    <w:rsid w:val="00BC6B1F"/>
    <w:rsid w:val="00BC774B"/>
    <w:rsid w:val="00BC78A8"/>
    <w:rsid w:val="00BC7D16"/>
    <w:rsid w:val="00BD018F"/>
    <w:rsid w:val="00BD13DC"/>
    <w:rsid w:val="00BD15FE"/>
    <w:rsid w:val="00BD1632"/>
    <w:rsid w:val="00BD1E5C"/>
    <w:rsid w:val="00BD210F"/>
    <w:rsid w:val="00BD31D2"/>
    <w:rsid w:val="00BD3D22"/>
    <w:rsid w:val="00BD3DFF"/>
    <w:rsid w:val="00BD3E62"/>
    <w:rsid w:val="00BD42AB"/>
    <w:rsid w:val="00BD4316"/>
    <w:rsid w:val="00BD4668"/>
    <w:rsid w:val="00BD4AD4"/>
    <w:rsid w:val="00BD4F95"/>
    <w:rsid w:val="00BD5010"/>
    <w:rsid w:val="00BD50BE"/>
    <w:rsid w:val="00BD513F"/>
    <w:rsid w:val="00BD5C8B"/>
    <w:rsid w:val="00BD6054"/>
    <w:rsid w:val="00BD6F7E"/>
    <w:rsid w:val="00BD75E3"/>
    <w:rsid w:val="00BE0AFA"/>
    <w:rsid w:val="00BE0B66"/>
    <w:rsid w:val="00BE0F8C"/>
    <w:rsid w:val="00BE10FC"/>
    <w:rsid w:val="00BE173E"/>
    <w:rsid w:val="00BE1D5C"/>
    <w:rsid w:val="00BE1F2C"/>
    <w:rsid w:val="00BE256D"/>
    <w:rsid w:val="00BE2D29"/>
    <w:rsid w:val="00BE2E54"/>
    <w:rsid w:val="00BE31B2"/>
    <w:rsid w:val="00BE34DB"/>
    <w:rsid w:val="00BE3675"/>
    <w:rsid w:val="00BE3D17"/>
    <w:rsid w:val="00BE41A6"/>
    <w:rsid w:val="00BE5458"/>
    <w:rsid w:val="00BE5D0F"/>
    <w:rsid w:val="00BE6A9E"/>
    <w:rsid w:val="00BE6D34"/>
    <w:rsid w:val="00BE7B04"/>
    <w:rsid w:val="00BE7BD3"/>
    <w:rsid w:val="00BF0004"/>
    <w:rsid w:val="00BF0B3B"/>
    <w:rsid w:val="00BF1927"/>
    <w:rsid w:val="00BF1DF2"/>
    <w:rsid w:val="00BF2001"/>
    <w:rsid w:val="00BF35AC"/>
    <w:rsid w:val="00BF3799"/>
    <w:rsid w:val="00BF4F87"/>
    <w:rsid w:val="00BF5506"/>
    <w:rsid w:val="00BF5B2C"/>
    <w:rsid w:val="00BF69B6"/>
    <w:rsid w:val="00BF6D09"/>
    <w:rsid w:val="00BF6D56"/>
    <w:rsid w:val="00BF6FEB"/>
    <w:rsid w:val="00BF7320"/>
    <w:rsid w:val="00BF7C6E"/>
    <w:rsid w:val="00C00DB3"/>
    <w:rsid w:val="00C01327"/>
    <w:rsid w:val="00C01431"/>
    <w:rsid w:val="00C01487"/>
    <w:rsid w:val="00C014A6"/>
    <w:rsid w:val="00C01544"/>
    <w:rsid w:val="00C015AA"/>
    <w:rsid w:val="00C0178D"/>
    <w:rsid w:val="00C035DF"/>
    <w:rsid w:val="00C03771"/>
    <w:rsid w:val="00C04558"/>
    <w:rsid w:val="00C04EB1"/>
    <w:rsid w:val="00C05CB4"/>
    <w:rsid w:val="00C063C4"/>
    <w:rsid w:val="00C0671C"/>
    <w:rsid w:val="00C069AA"/>
    <w:rsid w:val="00C06FBF"/>
    <w:rsid w:val="00C075A0"/>
    <w:rsid w:val="00C07959"/>
    <w:rsid w:val="00C100CA"/>
    <w:rsid w:val="00C10DAF"/>
    <w:rsid w:val="00C10FBA"/>
    <w:rsid w:val="00C11245"/>
    <w:rsid w:val="00C11346"/>
    <w:rsid w:val="00C115EC"/>
    <w:rsid w:val="00C1234D"/>
    <w:rsid w:val="00C124BC"/>
    <w:rsid w:val="00C12DD8"/>
    <w:rsid w:val="00C13122"/>
    <w:rsid w:val="00C13742"/>
    <w:rsid w:val="00C13ADC"/>
    <w:rsid w:val="00C14427"/>
    <w:rsid w:val="00C14732"/>
    <w:rsid w:val="00C14CE9"/>
    <w:rsid w:val="00C16B14"/>
    <w:rsid w:val="00C16D5D"/>
    <w:rsid w:val="00C17009"/>
    <w:rsid w:val="00C20026"/>
    <w:rsid w:val="00C2018F"/>
    <w:rsid w:val="00C2037D"/>
    <w:rsid w:val="00C2067E"/>
    <w:rsid w:val="00C20DF4"/>
    <w:rsid w:val="00C226AF"/>
    <w:rsid w:val="00C22790"/>
    <w:rsid w:val="00C23561"/>
    <w:rsid w:val="00C23940"/>
    <w:rsid w:val="00C24493"/>
    <w:rsid w:val="00C24FE6"/>
    <w:rsid w:val="00C256F3"/>
    <w:rsid w:val="00C260B6"/>
    <w:rsid w:val="00C260E1"/>
    <w:rsid w:val="00C2636D"/>
    <w:rsid w:val="00C303BF"/>
    <w:rsid w:val="00C303FC"/>
    <w:rsid w:val="00C30556"/>
    <w:rsid w:val="00C30E86"/>
    <w:rsid w:val="00C319B6"/>
    <w:rsid w:val="00C31A3C"/>
    <w:rsid w:val="00C32472"/>
    <w:rsid w:val="00C326B8"/>
    <w:rsid w:val="00C32947"/>
    <w:rsid w:val="00C32AB3"/>
    <w:rsid w:val="00C33508"/>
    <w:rsid w:val="00C33D40"/>
    <w:rsid w:val="00C33F90"/>
    <w:rsid w:val="00C34A6B"/>
    <w:rsid w:val="00C34C88"/>
    <w:rsid w:val="00C34ECE"/>
    <w:rsid w:val="00C35D0A"/>
    <w:rsid w:val="00C36416"/>
    <w:rsid w:val="00C36C2A"/>
    <w:rsid w:val="00C36E1B"/>
    <w:rsid w:val="00C37297"/>
    <w:rsid w:val="00C37689"/>
    <w:rsid w:val="00C40383"/>
    <w:rsid w:val="00C410F6"/>
    <w:rsid w:val="00C415A4"/>
    <w:rsid w:val="00C422BE"/>
    <w:rsid w:val="00C42744"/>
    <w:rsid w:val="00C43606"/>
    <w:rsid w:val="00C43674"/>
    <w:rsid w:val="00C43BB8"/>
    <w:rsid w:val="00C43DB8"/>
    <w:rsid w:val="00C44283"/>
    <w:rsid w:val="00C444F7"/>
    <w:rsid w:val="00C45CB1"/>
    <w:rsid w:val="00C47038"/>
    <w:rsid w:val="00C47389"/>
    <w:rsid w:val="00C4799A"/>
    <w:rsid w:val="00C479DC"/>
    <w:rsid w:val="00C47A8C"/>
    <w:rsid w:val="00C504B6"/>
    <w:rsid w:val="00C510C2"/>
    <w:rsid w:val="00C512FA"/>
    <w:rsid w:val="00C51675"/>
    <w:rsid w:val="00C516B0"/>
    <w:rsid w:val="00C52816"/>
    <w:rsid w:val="00C52F58"/>
    <w:rsid w:val="00C53170"/>
    <w:rsid w:val="00C5390D"/>
    <w:rsid w:val="00C53A15"/>
    <w:rsid w:val="00C53A82"/>
    <w:rsid w:val="00C53EFB"/>
    <w:rsid w:val="00C54FD4"/>
    <w:rsid w:val="00C55068"/>
    <w:rsid w:val="00C55461"/>
    <w:rsid w:val="00C557E4"/>
    <w:rsid w:val="00C55BAB"/>
    <w:rsid w:val="00C55E35"/>
    <w:rsid w:val="00C56139"/>
    <w:rsid w:val="00C634F4"/>
    <w:rsid w:val="00C63E00"/>
    <w:rsid w:val="00C63ECB"/>
    <w:rsid w:val="00C63F63"/>
    <w:rsid w:val="00C63FB5"/>
    <w:rsid w:val="00C64BFC"/>
    <w:rsid w:val="00C64C03"/>
    <w:rsid w:val="00C65001"/>
    <w:rsid w:val="00C653A2"/>
    <w:rsid w:val="00C65871"/>
    <w:rsid w:val="00C65D31"/>
    <w:rsid w:val="00C65E69"/>
    <w:rsid w:val="00C66485"/>
    <w:rsid w:val="00C675E2"/>
    <w:rsid w:val="00C708CE"/>
    <w:rsid w:val="00C70E74"/>
    <w:rsid w:val="00C71A56"/>
    <w:rsid w:val="00C71A74"/>
    <w:rsid w:val="00C71FE7"/>
    <w:rsid w:val="00C72347"/>
    <w:rsid w:val="00C728F5"/>
    <w:rsid w:val="00C7293D"/>
    <w:rsid w:val="00C72FD2"/>
    <w:rsid w:val="00C7334E"/>
    <w:rsid w:val="00C7362C"/>
    <w:rsid w:val="00C73966"/>
    <w:rsid w:val="00C74109"/>
    <w:rsid w:val="00C74468"/>
    <w:rsid w:val="00C74DB3"/>
    <w:rsid w:val="00C75334"/>
    <w:rsid w:val="00C75781"/>
    <w:rsid w:val="00C77E33"/>
    <w:rsid w:val="00C80963"/>
    <w:rsid w:val="00C80F78"/>
    <w:rsid w:val="00C81664"/>
    <w:rsid w:val="00C8166A"/>
    <w:rsid w:val="00C81900"/>
    <w:rsid w:val="00C819A9"/>
    <w:rsid w:val="00C821E8"/>
    <w:rsid w:val="00C8235A"/>
    <w:rsid w:val="00C8255D"/>
    <w:rsid w:val="00C827CB"/>
    <w:rsid w:val="00C82D46"/>
    <w:rsid w:val="00C82DE3"/>
    <w:rsid w:val="00C832AD"/>
    <w:rsid w:val="00C83C7D"/>
    <w:rsid w:val="00C83DF4"/>
    <w:rsid w:val="00C83FEF"/>
    <w:rsid w:val="00C842E6"/>
    <w:rsid w:val="00C8453C"/>
    <w:rsid w:val="00C847F5"/>
    <w:rsid w:val="00C84939"/>
    <w:rsid w:val="00C84BC5"/>
    <w:rsid w:val="00C84EC9"/>
    <w:rsid w:val="00C85535"/>
    <w:rsid w:val="00C8577F"/>
    <w:rsid w:val="00C85CF1"/>
    <w:rsid w:val="00C86E0E"/>
    <w:rsid w:val="00C87BA6"/>
    <w:rsid w:val="00C90786"/>
    <w:rsid w:val="00C90B44"/>
    <w:rsid w:val="00C90CBD"/>
    <w:rsid w:val="00C90E3B"/>
    <w:rsid w:val="00C91597"/>
    <w:rsid w:val="00C91C87"/>
    <w:rsid w:val="00C924B7"/>
    <w:rsid w:val="00C92731"/>
    <w:rsid w:val="00C92AD3"/>
    <w:rsid w:val="00C93B52"/>
    <w:rsid w:val="00C947B8"/>
    <w:rsid w:val="00C94E79"/>
    <w:rsid w:val="00C94EBD"/>
    <w:rsid w:val="00C951E7"/>
    <w:rsid w:val="00C95F6C"/>
    <w:rsid w:val="00C95F88"/>
    <w:rsid w:val="00C96C5E"/>
    <w:rsid w:val="00C9739F"/>
    <w:rsid w:val="00C97ABF"/>
    <w:rsid w:val="00CA010A"/>
    <w:rsid w:val="00CA0A60"/>
    <w:rsid w:val="00CA0ABB"/>
    <w:rsid w:val="00CA1B04"/>
    <w:rsid w:val="00CA28B7"/>
    <w:rsid w:val="00CA2C42"/>
    <w:rsid w:val="00CA30BF"/>
    <w:rsid w:val="00CA470E"/>
    <w:rsid w:val="00CA5A38"/>
    <w:rsid w:val="00CA6225"/>
    <w:rsid w:val="00CA62C4"/>
    <w:rsid w:val="00CA6461"/>
    <w:rsid w:val="00CA6B7D"/>
    <w:rsid w:val="00CA6EFA"/>
    <w:rsid w:val="00CA77A2"/>
    <w:rsid w:val="00CA781B"/>
    <w:rsid w:val="00CA787B"/>
    <w:rsid w:val="00CA7FB4"/>
    <w:rsid w:val="00CB028C"/>
    <w:rsid w:val="00CB133A"/>
    <w:rsid w:val="00CB16B0"/>
    <w:rsid w:val="00CB1CE0"/>
    <w:rsid w:val="00CB2A9E"/>
    <w:rsid w:val="00CB41BA"/>
    <w:rsid w:val="00CB47B9"/>
    <w:rsid w:val="00CB4C3B"/>
    <w:rsid w:val="00CB5507"/>
    <w:rsid w:val="00CB5AC5"/>
    <w:rsid w:val="00CB75AF"/>
    <w:rsid w:val="00CB76F2"/>
    <w:rsid w:val="00CB782F"/>
    <w:rsid w:val="00CB787C"/>
    <w:rsid w:val="00CB7F61"/>
    <w:rsid w:val="00CC006B"/>
    <w:rsid w:val="00CC0D21"/>
    <w:rsid w:val="00CC0FE9"/>
    <w:rsid w:val="00CC1411"/>
    <w:rsid w:val="00CC15A7"/>
    <w:rsid w:val="00CC170B"/>
    <w:rsid w:val="00CC1A25"/>
    <w:rsid w:val="00CC1DCA"/>
    <w:rsid w:val="00CC2544"/>
    <w:rsid w:val="00CC3470"/>
    <w:rsid w:val="00CC35CD"/>
    <w:rsid w:val="00CC3670"/>
    <w:rsid w:val="00CC39BD"/>
    <w:rsid w:val="00CC39E2"/>
    <w:rsid w:val="00CC3F47"/>
    <w:rsid w:val="00CC4734"/>
    <w:rsid w:val="00CC48AE"/>
    <w:rsid w:val="00CC4E41"/>
    <w:rsid w:val="00CC5DF0"/>
    <w:rsid w:val="00CC5DF2"/>
    <w:rsid w:val="00CC6156"/>
    <w:rsid w:val="00CC64BD"/>
    <w:rsid w:val="00CC698A"/>
    <w:rsid w:val="00CC7948"/>
    <w:rsid w:val="00CD02C9"/>
    <w:rsid w:val="00CD04EB"/>
    <w:rsid w:val="00CD0595"/>
    <w:rsid w:val="00CD094A"/>
    <w:rsid w:val="00CD0BD4"/>
    <w:rsid w:val="00CD1D2F"/>
    <w:rsid w:val="00CD2083"/>
    <w:rsid w:val="00CD2736"/>
    <w:rsid w:val="00CD2753"/>
    <w:rsid w:val="00CD3072"/>
    <w:rsid w:val="00CD38A2"/>
    <w:rsid w:val="00CD38E0"/>
    <w:rsid w:val="00CD400C"/>
    <w:rsid w:val="00CD4030"/>
    <w:rsid w:val="00CD560E"/>
    <w:rsid w:val="00CD5E17"/>
    <w:rsid w:val="00CD66D6"/>
    <w:rsid w:val="00CD6C0B"/>
    <w:rsid w:val="00CD6C97"/>
    <w:rsid w:val="00CD7428"/>
    <w:rsid w:val="00CD7760"/>
    <w:rsid w:val="00CD7CC6"/>
    <w:rsid w:val="00CE0B45"/>
    <w:rsid w:val="00CE1EC8"/>
    <w:rsid w:val="00CE23BC"/>
    <w:rsid w:val="00CE4014"/>
    <w:rsid w:val="00CE577A"/>
    <w:rsid w:val="00CE60F7"/>
    <w:rsid w:val="00CE6512"/>
    <w:rsid w:val="00CE73B5"/>
    <w:rsid w:val="00CE7BA6"/>
    <w:rsid w:val="00CF06A7"/>
    <w:rsid w:val="00CF08B8"/>
    <w:rsid w:val="00CF1195"/>
    <w:rsid w:val="00CF1201"/>
    <w:rsid w:val="00CF1656"/>
    <w:rsid w:val="00CF1705"/>
    <w:rsid w:val="00CF2185"/>
    <w:rsid w:val="00CF2681"/>
    <w:rsid w:val="00CF29D0"/>
    <w:rsid w:val="00CF2A7C"/>
    <w:rsid w:val="00CF319E"/>
    <w:rsid w:val="00CF32C1"/>
    <w:rsid w:val="00CF372A"/>
    <w:rsid w:val="00CF3CEF"/>
    <w:rsid w:val="00CF54D5"/>
    <w:rsid w:val="00CF5925"/>
    <w:rsid w:val="00CF5D31"/>
    <w:rsid w:val="00CF6801"/>
    <w:rsid w:val="00CF6B24"/>
    <w:rsid w:val="00CF6C27"/>
    <w:rsid w:val="00CF6EFC"/>
    <w:rsid w:val="00CF717C"/>
    <w:rsid w:val="00CF7746"/>
    <w:rsid w:val="00D01215"/>
    <w:rsid w:val="00D01F1F"/>
    <w:rsid w:val="00D0254C"/>
    <w:rsid w:val="00D029A5"/>
    <w:rsid w:val="00D02F23"/>
    <w:rsid w:val="00D0309C"/>
    <w:rsid w:val="00D03181"/>
    <w:rsid w:val="00D031CD"/>
    <w:rsid w:val="00D03294"/>
    <w:rsid w:val="00D035A6"/>
    <w:rsid w:val="00D035D0"/>
    <w:rsid w:val="00D036F5"/>
    <w:rsid w:val="00D03760"/>
    <w:rsid w:val="00D04E67"/>
    <w:rsid w:val="00D05D05"/>
    <w:rsid w:val="00D062C5"/>
    <w:rsid w:val="00D07909"/>
    <w:rsid w:val="00D10683"/>
    <w:rsid w:val="00D10833"/>
    <w:rsid w:val="00D10C02"/>
    <w:rsid w:val="00D11E21"/>
    <w:rsid w:val="00D12A24"/>
    <w:rsid w:val="00D12A79"/>
    <w:rsid w:val="00D136C2"/>
    <w:rsid w:val="00D137FA"/>
    <w:rsid w:val="00D13BEC"/>
    <w:rsid w:val="00D13ED9"/>
    <w:rsid w:val="00D1433C"/>
    <w:rsid w:val="00D14402"/>
    <w:rsid w:val="00D14814"/>
    <w:rsid w:val="00D14BFF"/>
    <w:rsid w:val="00D14C5E"/>
    <w:rsid w:val="00D1526D"/>
    <w:rsid w:val="00D16014"/>
    <w:rsid w:val="00D168F9"/>
    <w:rsid w:val="00D1694B"/>
    <w:rsid w:val="00D16CCD"/>
    <w:rsid w:val="00D16D10"/>
    <w:rsid w:val="00D16DB9"/>
    <w:rsid w:val="00D1738D"/>
    <w:rsid w:val="00D17EFF"/>
    <w:rsid w:val="00D2124B"/>
    <w:rsid w:val="00D21397"/>
    <w:rsid w:val="00D21D94"/>
    <w:rsid w:val="00D21F96"/>
    <w:rsid w:val="00D226E1"/>
    <w:rsid w:val="00D22C01"/>
    <w:rsid w:val="00D238FF"/>
    <w:rsid w:val="00D23C26"/>
    <w:rsid w:val="00D248A2"/>
    <w:rsid w:val="00D24D59"/>
    <w:rsid w:val="00D24F0F"/>
    <w:rsid w:val="00D2587B"/>
    <w:rsid w:val="00D2644C"/>
    <w:rsid w:val="00D2657B"/>
    <w:rsid w:val="00D2748E"/>
    <w:rsid w:val="00D3042F"/>
    <w:rsid w:val="00D30D0C"/>
    <w:rsid w:val="00D310A9"/>
    <w:rsid w:val="00D31294"/>
    <w:rsid w:val="00D320E8"/>
    <w:rsid w:val="00D321C0"/>
    <w:rsid w:val="00D32B2B"/>
    <w:rsid w:val="00D32C8C"/>
    <w:rsid w:val="00D33821"/>
    <w:rsid w:val="00D339E4"/>
    <w:rsid w:val="00D34BBB"/>
    <w:rsid w:val="00D35C5B"/>
    <w:rsid w:val="00D361BD"/>
    <w:rsid w:val="00D3725C"/>
    <w:rsid w:val="00D3779D"/>
    <w:rsid w:val="00D40147"/>
    <w:rsid w:val="00D405F5"/>
    <w:rsid w:val="00D41FC0"/>
    <w:rsid w:val="00D4227E"/>
    <w:rsid w:val="00D422E1"/>
    <w:rsid w:val="00D42977"/>
    <w:rsid w:val="00D42F6F"/>
    <w:rsid w:val="00D42FF1"/>
    <w:rsid w:val="00D43553"/>
    <w:rsid w:val="00D43E08"/>
    <w:rsid w:val="00D43EC1"/>
    <w:rsid w:val="00D44CBD"/>
    <w:rsid w:val="00D450D6"/>
    <w:rsid w:val="00D45669"/>
    <w:rsid w:val="00D4597F"/>
    <w:rsid w:val="00D45C16"/>
    <w:rsid w:val="00D45CD5"/>
    <w:rsid w:val="00D4671B"/>
    <w:rsid w:val="00D46C55"/>
    <w:rsid w:val="00D4758E"/>
    <w:rsid w:val="00D5015B"/>
    <w:rsid w:val="00D503E4"/>
    <w:rsid w:val="00D50F80"/>
    <w:rsid w:val="00D51481"/>
    <w:rsid w:val="00D52375"/>
    <w:rsid w:val="00D523B0"/>
    <w:rsid w:val="00D52A6C"/>
    <w:rsid w:val="00D53419"/>
    <w:rsid w:val="00D547EA"/>
    <w:rsid w:val="00D54D3F"/>
    <w:rsid w:val="00D556D5"/>
    <w:rsid w:val="00D55F63"/>
    <w:rsid w:val="00D572C9"/>
    <w:rsid w:val="00D60253"/>
    <w:rsid w:val="00D60942"/>
    <w:rsid w:val="00D60CF0"/>
    <w:rsid w:val="00D61A34"/>
    <w:rsid w:val="00D61A43"/>
    <w:rsid w:val="00D629E5"/>
    <w:rsid w:val="00D62FCB"/>
    <w:rsid w:val="00D6394F"/>
    <w:rsid w:val="00D64DBA"/>
    <w:rsid w:val="00D6523D"/>
    <w:rsid w:val="00D6586F"/>
    <w:rsid w:val="00D6588B"/>
    <w:rsid w:val="00D660E0"/>
    <w:rsid w:val="00D6667A"/>
    <w:rsid w:val="00D66D48"/>
    <w:rsid w:val="00D67046"/>
    <w:rsid w:val="00D67654"/>
    <w:rsid w:val="00D6790C"/>
    <w:rsid w:val="00D706BF"/>
    <w:rsid w:val="00D70B63"/>
    <w:rsid w:val="00D70F29"/>
    <w:rsid w:val="00D71B6C"/>
    <w:rsid w:val="00D71B8E"/>
    <w:rsid w:val="00D7271E"/>
    <w:rsid w:val="00D728BD"/>
    <w:rsid w:val="00D72A73"/>
    <w:rsid w:val="00D72E3D"/>
    <w:rsid w:val="00D732A4"/>
    <w:rsid w:val="00D73EAF"/>
    <w:rsid w:val="00D7479D"/>
    <w:rsid w:val="00D74D8A"/>
    <w:rsid w:val="00D7583E"/>
    <w:rsid w:val="00D75B2A"/>
    <w:rsid w:val="00D762A3"/>
    <w:rsid w:val="00D778A4"/>
    <w:rsid w:val="00D778C0"/>
    <w:rsid w:val="00D817B1"/>
    <w:rsid w:val="00D81F9E"/>
    <w:rsid w:val="00D83084"/>
    <w:rsid w:val="00D83561"/>
    <w:rsid w:val="00D84BC8"/>
    <w:rsid w:val="00D85EF2"/>
    <w:rsid w:val="00D8673E"/>
    <w:rsid w:val="00D872E4"/>
    <w:rsid w:val="00D876A3"/>
    <w:rsid w:val="00D910A8"/>
    <w:rsid w:val="00D911AE"/>
    <w:rsid w:val="00D9188C"/>
    <w:rsid w:val="00D91B9A"/>
    <w:rsid w:val="00D91D79"/>
    <w:rsid w:val="00D9248F"/>
    <w:rsid w:val="00D9289E"/>
    <w:rsid w:val="00D92BA0"/>
    <w:rsid w:val="00D92CAA"/>
    <w:rsid w:val="00D93E67"/>
    <w:rsid w:val="00D940FC"/>
    <w:rsid w:val="00D943D6"/>
    <w:rsid w:val="00D94587"/>
    <w:rsid w:val="00D954EC"/>
    <w:rsid w:val="00D95E58"/>
    <w:rsid w:val="00D9682C"/>
    <w:rsid w:val="00D96D36"/>
    <w:rsid w:val="00DA0402"/>
    <w:rsid w:val="00DA08C6"/>
    <w:rsid w:val="00DA138E"/>
    <w:rsid w:val="00DA1787"/>
    <w:rsid w:val="00DA1B27"/>
    <w:rsid w:val="00DA1DD7"/>
    <w:rsid w:val="00DA1F98"/>
    <w:rsid w:val="00DA2D68"/>
    <w:rsid w:val="00DA2F5E"/>
    <w:rsid w:val="00DA3381"/>
    <w:rsid w:val="00DA367F"/>
    <w:rsid w:val="00DA3A58"/>
    <w:rsid w:val="00DA40F6"/>
    <w:rsid w:val="00DA48B3"/>
    <w:rsid w:val="00DA49EA"/>
    <w:rsid w:val="00DA4DFB"/>
    <w:rsid w:val="00DA4F3E"/>
    <w:rsid w:val="00DA5EB4"/>
    <w:rsid w:val="00DA60FE"/>
    <w:rsid w:val="00DA66CF"/>
    <w:rsid w:val="00DA6F57"/>
    <w:rsid w:val="00DA738C"/>
    <w:rsid w:val="00DB064A"/>
    <w:rsid w:val="00DB0B06"/>
    <w:rsid w:val="00DB0B49"/>
    <w:rsid w:val="00DB0B66"/>
    <w:rsid w:val="00DB0F6B"/>
    <w:rsid w:val="00DB1509"/>
    <w:rsid w:val="00DB2148"/>
    <w:rsid w:val="00DB355F"/>
    <w:rsid w:val="00DB3C45"/>
    <w:rsid w:val="00DB41E6"/>
    <w:rsid w:val="00DB421B"/>
    <w:rsid w:val="00DB4AB5"/>
    <w:rsid w:val="00DB4B92"/>
    <w:rsid w:val="00DB50DD"/>
    <w:rsid w:val="00DB5A6F"/>
    <w:rsid w:val="00DB5CE5"/>
    <w:rsid w:val="00DB5D77"/>
    <w:rsid w:val="00DB5DBC"/>
    <w:rsid w:val="00DB6632"/>
    <w:rsid w:val="00DB72A5"/>
    <w:rsid w:val="00DB74C8"/>
    <w:rsid w:val="00DB777D"/>
    <w:rsid w:val="00DC0737"/>
    <w:rsid w:val="00DC1039"/>
    <w:rsid w:val="00DC107E"/>
    <w:rsid w:val="00DC164D"/>
    <w:rsid w:val="00DC1A39"/>
    <w:rsid w:val="00DC1E7B"/>
    <w:rsid w:val="00DC1F3E"/>
    <w:rsid w:val="00DC22CF"/>
    <w:rsid w:val="00DC2418"/>
    <w:rsid w:val="00DC24A0"/>
    <w:rsid w:val="00DC2935"/>
    <w:rsid w:val="00DC2C11"/>
    <w:rsid w:val="00DC2FDB"/>
    <w:rsid w:val="00DC3E67"/>
    <w:rsid w:val="00DC4369"/>
    <w:rsid w:val="00DC446C"/>
    <w:rsid w:val="00DC54A6"/>
    <w:rsid w:val="00DC5824"/>
    <w:rsid w:val="00DC59C5"/>
    <w:rsid w:val="00DC60F0"/>
    <w:rsid w:val="00DC642C"/>
    <w:rsid w:val="00DC6904"/>
    <w:rsid w:val="00DC7378"/>
    <w:rsid w:val="00DC7696"/>
    <w:rsid w:val="00DD05CB"/>
    <w:rsid w:val="00DD0D6F"/>
    <w:rsid w:val="00DD1373"/>
    <w:rsid w:val="00DD1861"/>
    <w:rsid w:val="00DD20DC"/>
    <w:rsid w:val="00DD2811"/>
    <w:rsid w:val="00DD3483"/>
    <w:rsid w:val="00DD375A"/>
    <w:rsid w:val="00DD3A30"/>
    <w:rsid w:val="00DD3DBF"/>
    <w:rsid w:val="00DD3E65"/>
    <w:rsid w:val="00DD40AE"/>
    <w:rsid w:val="00DD467C"/>
    <w:rsid w:val="00DD4929"/>
    <w:rsid w:val="00DD49C3"/>
    <w:rsid w:val="00DD49EC"/>
    <w:rsid w:val="00DD4A76"/>
    <w:rsid w:val="00DD4BF3"/>
    <w:rsid w:val="00DD5164"/>
    <w:rsid w:val="00DD51F6"/>
    <w:rsid w:val="00DD5332"/>
    <w:rsid w:val="00DD5456"/>
    <w:rsid w:val="00DD61AE"/>
    <w:rsid w:val="00DD6CB6"/>
    <w:rsid w:val="00DD6FE4"/>
    <w:rsid w:val="00DD71BF"/>
    <w:rsid w:val="00DD735E"/>
    <w:rsid w:val="00DD7830"/>
    <w:rsid w:val="00DE0144"/>
    <w:rsid w:val="00DE0213"/>
    <w:rsid w:val="00DE0514"/>
    <w:rsid w:val="00DE0E18"/>
    <w:rsid w:val="00DE0F46"/>
    <w:rsid w:val="00DE1E7E"/>
    <w:rsid w:val="00DE2841"/>
    <w:rsid w:val="00DE319B"/>
    <w:rsid w:val="00DE32F4"/>
    <w:rsid w:val="00DE3C2E"/>
    <w:rsid w:val="00DE3D1F"/>
    <w:rsid w:val="00DE3DCA"/>
    <w:rsid w:val="00DE3E42"/>
    <w:rsid w:val="00DE458F"/>
    <w:rsid w:val="00DE5814"/>
    <w:rsid w:val="00DE5C1D"/>
    <w:rsid w:val="00DE6503"/>
    <w:rsid w:val="00DE7019"/>
    <w:rsid w:val="00DE714B"/>
    <w:rsid w:val="00DE7215"/>
    <w:rsid w:val="00DF03B7"/>
    <w:rsid w:val="00DF0896"/>
    <w:rsid w:val="00DF09CB"/>
    <w:rsid w:val="00DF0B75"/>
    <w:rsid w:val="00DF1F0F"/>
    <w:rsid w:val="00DF2181"/>
    <w:rsid w:val="00DF21A6"/>
    <w:rsid w:val="00DF2B9E"/>
    <w:rsid w:val="00DF2BFC"/>
    <w:rsid w:val="00DF3527"/>
    <w:rsid w:val="00DF35E7"/>
    <w:rsid w:val="00DF4DF2"/>
    <w:rsid w:val="00DF59BF"/>
    <w:rsid w:val="00DF5A51"/>
    <w:rsid w:val="00DF66E5"/>
    <w:rsid w:val="00DF679E"/>
    <w:rsid w:val="00DF7283"/>
    <w:rsid w:val="00DF77FD"/>
    <w:rsid w:val="00DF79D4"/>
    <w:rsid w:val="00E00336"/>
    <w:rsid w:val="00E006EA"/>
    <w:rsid w:val="00E00A3C"/>
    <w:rsid w:val="00E00CFA"/>
    <w:rsid w:val="00E01741"/>
    <w:rsid w:val="00E01887"/>
    <w:rsid w:val="00E01D6D"/>
    <w:rsid w:val="00E021C7"/>
    <w:rsid w:val="00E027EF"/>
    <w:rsid w:val="00E03C68"/>
    <w:rsid w:val="00E0431E"/>
    <w:rsid w:val="00E05865"/>
    <w:rsid w:val="00E05D20"/>
    <w:rsid w:val="00E05EE4"/>
    <w:rsid w:val="00E0606A"/>
    <w:rsid w:val="00E06F5B"/>
    <w:rsid w:val="00E07728"/>
    <w:rsid w:val="00E07F7B"/>
    <w:rsid w:val="00E10451"/>
    <w:rsid w:val="00E10D09"/>
    <w:rsid w:val="00E11425"/>
    <w:rsid w:val="00E115C7"/>
    <w:rsid w:val="00E11810"/>
    <w:rsid w:val="00E12153"/>
    <w:rsid w:val="00E1285D"/>
    <w:rsid w:val="00E12E63"/>
    <w:rsid w:val="00E1324C"/>
    <w:rsid w:val="00E136DF"/>
    <w:rsid w:val="00E144A1"/>
    <w:rsid w:val="00E14D2A"/>
    <w:rsid w:val="00E157CE"/>
    <w:rsid w:val="00E15E16"/>
    <w:rsid w:val="00E15E39"/>
    <w:rsid w:val="00E1628A"/>
    <w:rsid w:val="00E16693"/>
    <w:rsid w:val="00E16E97"/>
    <w:rsid w:val="00E17202"/>
    <w:rsid w:val="00E17329"/>
    <w:rsid w:val="00E179C6"/>
    <w:rsid w:val="00E17A02"/>
    <w:rsid w:val="00E17FEB"/>
    <w:rsid w:val="00E2020B"/>
    <w:rsid w:val="00E20CB5"/>
    <w:rsid w:val="00E215F9"/>
    <w:rsid w:val="00E229FF"/>
    <w:rsid w:val="00E22F92"/>
    <w:rsid w:val="00E2385A"/>
    <w:rsid w:val="00E24595"/>
    <w:rsid w:val="00E25130"/>
    <w:rsid w:val="00E251CE"/>
    <w:rsid w:val="00E25B43"/>
    <w:rsid w:val="00E27404"/>
    <w:rsid w:val="00E306CA"/>
    <w:rsid w:val="00E30A92"/>
    <w:rsid w:val="00E31856"/>
    <w:rsid w:val="00E32405"/>
    <w:rsid w:val="00E33786"/>
    <w:rsid w:val="00E34057"/>
    <w:rsid w:val="00E34243"/>
    <w:rsid w:val="00E35DCC"/>
    <w:rsid w:val="00E36055"/>
    <w:rsid w:val="00E36263"/>
    <w:rsid w:val="00E362A0"/>
    <w:rsid w:val="00E366F6"/>
    <w:rsid w:val="00E36B3C"/>
    <w:rsid w:val="00E36D07"/>
    <w:rsid w:val="00E37276"/>
    <w:rsid w:val="00E3779A"/>
    <w:rsid w:val="00E37CDB"/>
    <w:rsid w:val="00E40517"/>
    <w:rsid w:val="00E41547"/>
    <w:rsid w:val="00E4163B"/>
    <w:rsid w:val="00E41A03"/>
    <w:rsid w:val="00E41CDB"/>
    <w:rsid w:val="00E41EE8"/>
    <w:rsid w:val="00E4247B"/>
    <w:rsid w:val="00E429C8"/>
    <w:rsid w:val="00E42AB9"/>
    <w:rsid w:val="00E438BE"/>
    <w:rsid w:val="00E438CA"/>
    <w:rsid w:val="00E43FE6"/>
    <w:rsid w:val="00E456AB"/>
    <w:rsid w:val="00E46C21"/>
    <w:rsid w:val="00E46D52"/>
    <w:rsid w:val="00E47015"/>
    <w:rsid w:val="00E47186"/>
    <w:rsid w:val="00E4719A"/>
    <w:rsid w:val="00E47506"/>
    <w:rsid w:val="00E47604"/>
    <w:rsid w:val="00E47B82"/>
    <w:rsid w:val="00E47CBE"/>
    <w:rsid w:val="00E50778"/>
    <w:rsid w:val="00E51162"/>
    <w:rsid w:val="00E51A28"/>
    <w:rsid w:val="00E51A8B"/>
    <w:rsid w:val="00E51E3D"/>
    <w:rsid w:val="00E523AC"/>
    <w:rsid w:val="00E52D9B"/>
    <w:rsid w:val="00E53584"/>
    <w:rsid w:val="00E53DD8"/>
    <w:rsid w:val="00E54D4C"/>
    <w:rsid w:val="00E54D6A"/>
    <w:rsid w:val="00E555A6"/>
    <w:rsid w:val="00E560D7"/>
    <w:rsid w:val="00E561F3"/>
    <w:rsid w:val="00E564FD"/>
    <w:rsid w:val="00E6024D"/>
    <w:rsid w:val="00E607C3"/>
    <w:rsid w:val="00E60DB4"/>
    <w:rsid w:val="00E61326"/>
    <w:rsid w:val="00E6160B"/>
    <w:rsid w:val="00E6278A"/>
    <w:rsid w:val="00E62DEE"/>
    <w:rsid w:val="00E62F62"/>
    <w:rsid w:val="00E633C3"/>
    <w:rsid w:val="00E64B29"/>
    <w:rsid w:val="00E65A11"/>
    <w:rsid w:val="00E66047"/>
    <w:rsid w:val="00E6616C"/>
    <w:rsid w:val="00E66187"/>
    <w:rsid w:val="00E661D6"/>
    <w:rsid w:val="00E66964"/>
    <w:rsid w:val="00E70A0D"/>
    <w:rsid w:val="00E716E9"/>
    <w:rsid w:val="00E717B0"/>
    <w:rsid w:val="00E71915"/>
    <w:rsid w:val="00E72153"/>
    <w:rsid w:val="00E72563"/>
    <w:rsid w:val="00E73C60"/>
    <w:rsid w:val="00E744C0"/>
    <w:rsid w:val="00E74B32"/>
    <w:rsid w:val="00E74E51"/>
    <w:rsid w:val="00E759A1"/>
    <w:rsid w:val="00E75E52"/>
    <w:rsid w:val="00E7674A"/>
    <w:rsid w:val="00E76B04"/>
    <w:rsid w:val="00E77429"/>
    <w:rsid w:val="00E775D1"/>
    <w:rsid w:val="00E77622"/>
    <w:rsid w:val="00E77EF4"/>
    <w:rsid w:val="00E80D4D"/>
    <w:rsid w:val="00E80EE7"/>
    <w:rsid w:val="00E8185E"/>
    <w:rsid w:val="00E81C18"/>
    <w:rsid w:val="00E82B1E"/>
    <w:rsid w:val="00E82F8E"/>
    <w:rsid w:val="00E83C66"/>
    <w:rsid w:val="00E841A9"/>
    <w:rsid w:val="00E844A4"/>
    <w:rsid w:val="00E84ACC"/>
    <w:rsid w:val="00E857BD"/>
    <w:rsid w:val="00E8685D"/>
    <w:rsid w:val="00E86EEF"/>
    <w:rsid w:val="00E904B5"/>
    <w:rsid w:val="00E905BE"/>
    <w:rsid w:val="00E90DD4"/>
    <w:rsid w:val="00E90E61"/>
    <w:rsid w:val="00E912D3"/>
    <w:rsid w:val="00E91A3C"/>
    <w:rsid w:val="00E9217E"/>
    <w:rsid w:val="00E92241"/>
    <w:rsid w:val="00E92D3A"/>
    <w:rsid w:val="00E9302A"/>
    <w:rsid w:val="00E932B5"/>
    <w:rsid w:val="00E9364F"/>
    <w:rsid w:val="00E93D81"/>
    <w:rsid w:val="00E947C9"/>
    <w:rsid w:val="00E948A3"/>
    <w:rsid w:val="00E9555F"/>
    <w:rsid w:val="00E9605B"/>
    <w:rsid w:val="00E971A7"/>
    <w:rsid w:val="00E973BE"/>
    <w:rsid w:val="00EA019F"/>
    <w:rsid w:val="00EA0E32"/>
    <w:rsid w:val="00EA2059"/>
    <w:rsid w:val="00EA2126"/>
    <w:rsid w:val="00EA2314"/>
    <w:rsid w:val="00EA23E6"/>
    <w:rsid w:val="00EA2581"/>
    <w:rsid w:val="00EA33EE"/>
    <w:rsid w:val="00EA37D4"/>
    <w:rsid w:val="00EA3BED"/>
    <w:rsid w:val="00EA3BF8"/>
    <w:rsid w:val="00EA43AB"/>
    <w:rsid w:val="00EA5994"/>
    <w:rsid w:val="00EA669B"/>
    <w:rsid w:val="00EA6D89"/>
    <w:rsid w:val="00EB0788"/>
    <w:rsid w:val="00EB0A40"/>
    <w:rsid w:val="00EB0AE9"/>
    <w:rsid w:val="00EB1083"/>
    <w:rsid w:val="00EB178D"/>
    <w:rsid w:val="00EB191D"/>
    <w:rsid w:val="00EB194B"/>
    <w:rsid w:val="00EB1ACF"/>
    <w:rsid w:val="00EB278E"/>
    <w:rsid w:val="00EB303D"/>
    <w:rsid w:val="00EB3581"/>
    <w:rsid w:val="00EB3619"/>
    <w:rsid w:val="00EB37A7"/>
    <w:rsid w:val="00EB4203"/>
    <w:rsid w:val="00EB57D6"/>
    <w:rsid w:val="00EB5C39"/>
    <w:rsid w:val="00EB6D47"/>
    <w:rsid w:val="00EB7F65"/>
    <w:rsid w:val="00EC01D9"/>
    <w:rsid w:val="00EC06F6"/>
    <w:rsid w:val="00EC092F"/>
    <w:rsid w:val="00EC0AA6"/>
    <w:rsid w:val="00EC11FA"/>
    <w:rsid w:val="00EC137D"/>
    <w:rsid w:val="00EC1A5E"/>
    <w:rsid w:val="00EC232E"/>
    <w:rsid w:val="00EC24BC"/>
    <w:rsid w:val="00EC2F11"/>
    <w:rsid w:val="00EC31A0"/>
    <w:rsid w:val="00EC3243"/>
    <w:rsid w:val="00EC3D58"/>
    <w:rsid w:val="00EC4304"/>
    <w:rsid w:val="00EC4786"/>
    <w:rsid w:val="00EC57EC"/>
    <w:rsid w:val="00EC605E"/>
    <w:rsid w:val="00EC6477"/>
    <w:rsid w:val="00EC6F62"/>
    <w:rsid w:val="00EC78E0"/>
    <w:rsid w:val="00ED0241"/>
    <w:rsid w:val="00ED0973"/>
    <w:rsid w:val="00ED0F05"/>
    <w:rsid w:val="00ED1989"/>
    <w:rsid w:val="00ED1D27"/>
    <w:rsid w:val="00ED21F7"/>
    <w:rsid w:val="00ED2410"/>
    <w:rsid w:val="00ED275E"/>
    <w:rsid w:val="00ED2BA3"/>
    <w:rsid w:val="00ED2BD6"/>
    <w:rsid w:val="00ED32F8"/>
    <w:rsid w:val="00ED3360"/>
    <w:rsid w:val="00ED3C5F"/>
    <w:rsid w:val="00ED3D87"/>
    <w:rsid w:val="00ED48C5"/>
    <w:rsid w:val="00ED56CC"/>
    <w:rsid w:val="00ED5AF5"/>
    <w:rsid w:val="00ED5EE8"/>
    <w:rsid w:val="00ED6020"/>
    <w:rsid w:val="00ED65D6"/>
    <w:rsid w:val="00ED7456"/>
    <w:rsid w:val="00ED7532"/>
    <w:rsid w:val="00EE0033"/>
    <w:rsid w:val="00EE00CF"/>
    <w:rsid w:val="00EE013E"/>
    <w:rsid w:val="00EE0258"/>
    <w:rsid w:val="00EE0700"/>
    <w:rsid w:val="00EE0D3C"/>
    <w:rsid w:val="00EE141D"/>
    <w:rsid w:val="00EE1513"/>
    <w:rsid w:val="00EE1B56"/>
    <w:rsid w:val="00EE1EC8"/>
    <w:rsid w:val="00EE2141"/>
    <w:rsid w:val="00EE3D4A"/>
    <w:rsid w:val="00EE477C"/>
    <w:rsid w:val="00EE4A1E"/>
    <w:rsid w:val="00EE4A57"/>
    <w:rsid w:val="00EE4BD4"/>
    <w:rsid w:val="00EE5247"/>
    <w:rsid w:val="00EE5419"/>
    <w:rsid w:val="00EE54FB"/>
    <w:rsid w:val="00EE5E39"/>
    <w:rsid w:val="00EE6A8B"/>
    <w:rsid w:val="00EE726E"/>
    <w:rsid w:val="00EE7A33"/>
    <w:rsid w:val="00EF0605"/>
    <w:rsid w:val="00EF087D"/>
    <w:rsid w:val="00EF0C42"/>
    <w:rsid w:val="00EF1370"/>
    <w:rsid w:val="00EF16D8"/>
    <w:rsid w:val="00EF1B12"/>
    <w:rsid w:val="00EF240C"/>
    <w:rsid w:val="00EF2471"/>
    <w:rsid w:val="00EF2C48"/>
    <w:rsid w:val="00EF3ECC"/>
    <w:rsid w:val="00EF4067"/>
    <w:rsid w:val="00EF408C"/>
    <w:rsid w:val="00EF4543"/>
    <w:rsid w:val="00EF487C"/>
    <w:rsid w:val="00EF4D00"/>
    <w:rsid w:val="00EF514F"/>
    <w:rsid w:val="00EF5348"/>
    <w:rsid w:val="00EF56B6"/>
    <w:rsid w:val="00EF5AF2"/>
    <w:rsid w:val="00EF645D"/>
    <w:rsid w:val="00EF6811"/>
    <w:rsid w:val="00EF6E9D"/>
    <w:rsid w:val="00EF757E"/>
    <w:rsid w:val="00EF7CCB"/>
    <w:rsid w:val="00EF7D96"/>
    <w:rsid w:val="00F002D5"/>
    <w:rsid w:val="00F01197"/>
    <w:rsid w:val="00F012A9"/>
    <w:rsid w:val="00F0175B"/>
    <w:rsid w:val="00F01823"/>
    <w:rsid w:val="00F01E71"/>
    <w:rsid w:val="00F0202A"/>
    <w:rsid w:val="00F02BB7"/>
    <w:rsid w:val="00F03038"/>
    <w:rsid w:val="00F037CA"/>
    <w:rsid w:val="00F03F95"/>
    <w:rsid w:val="00F04689"/>
    <w:rsid w:val="00F04A1E"/>
    <w:rsid w:val="00F04C95"/>
    <w:rsid w:val="00F04D6A"/>
    <w:rsid w:val="00F05B8C"/>
    <w:rsid w:val="00F063D8"/>
    <w:rsid w:val="00F06CA6"/>
    <w:rsid w:val="00F07172"/>
    <w:rsid w:val="00F07D1B"/>
    <w:rsid w:val="00F10EE6"/>
    <w:rsid w:val="00F111F0"/>
    <w:rsid w:val="00F115E6"/>
    <w:rsid w:val="00F11756"/>
    <w:rsid w:val="00F11AB7"/>
    <w:rsid w:val="00F122F4"/>
    <w:rsid w:val="00F124CB"/>
    <w:rsid w:val="00F128C2"/>
    <w:rsid w:val="00F13650"/>
    <w:rsid w:val="00F13A40"/>
    <w:rsid w:val="00F13D13"/>
    <w:rsid w:val="00F143D5"/>
    <w:rsid w:val="00F14517"/>
    <w:rsid w:val="00F15C40"/>
    <w:rsid w:val="00F15F7E"/>
    <w:rsid w:val="00F163D5"/>
    <w:rsid w:val="00F16A70"/>
    <w:rsid w:val="00F16C01"/>
    <w:rsid w:val="00F178A1"/>
    <w:rsid w:val="00F20600"/>
    <w:rsid w:val="00F2066E"/>
    <w:rsid w:val="00F20946"/>
    <w:rsid w:val="00F20DBE"/>
    <w:rsid w:val="00F21AE8"/>
    <w:rsid w:val="00F21D41"/>
    <w:rsid w:val="00F22008"/>
    <w:rsid w:val="00F2207B"/>
    <w:rsid w:val="00F223C0"/>
    <w:rsid w:val="00F2395C"/>
    <w:rsid w:val="00F23BCB"/>
    <w:rsid w:val="00F245C2"/>
    <w:rsid w:val="00F249F8"/>
    <w:rsid w:val="00F24D07"/>
    <w:rsid w:val="00F25856"/>
    <w:rsid w:val="00F25FA6"/>
    <w:rsid w:val="00F26525"/>
    <w:rsid w:val="00F26687"/>
    <w:rsid w:val="00F26B28"/>
    <w:rsid w:val="00F27470"/>
    <w:rsid w:val="00F27AFA"/>
    <w:rsid w:val="00F302F0"/>
    <w:rsid w:val="00F3045B"/>
    <w:rsid w:val="00F30859"/>
    <w:rsid w:val="00F3102E"/>
    <w:rsid w:val="00F32265"/>
    <w:rsid w:val="00F3250F"/>
    <w:rsid w:val="00F32CB0"/>
    <w:rsid w:val="00F32DB9"/>
    <w:rsid w:val="00F32FEC"/>
    <w:rsid w:val="00F33190"/>
    <w:rsid w:val="00F335AA"/>
    <w:rsid w:val="00F33FE4"/>
    <w:rsid w:val="00F33FF8"/>
    <w:rsid w:val="00F351DC"/>
    <w:rsid w:val="00F352B6"/>
    <w:rsid w:val="00F35628"/>
    <w:rsid w:val="00F361C1"/>
    <w:rsid w:val="00F36D1E"/>
    <w:rsid w:val="00F37E30"/>
    <w:rsid w:val="00F37F1D"/>
    <w:rsid w:val="00F408E4"/>
    <w:rsid w:val="00F41408"/>
    <w:rsid w:val="00F415F7"/>
    <w:rsid w:val="00F4198B"/>
    <w:rsid w:val="00F41AF9"/>
    <w:rsid w:val="00F4213E"/>
    <w:rsid w:val="00F42B19"/>
    <w:rsid w:val="00F4306E"/>
    <w:rsid w:val="00F43B30"/>
    <w:rsid w:val="00F43B55"/>
    <w:rsid w:val="00F43E1D"/>
    <w:rsid w:val="00F43E61"/>
    <w:rsid w:val="00F44BA8"/>
    <w:rsid w:val="00F45A31"/>
    <w:rsid w:val="00F461B9"/>
    <w:rsid w:val="00F46ACB"/>
    <w:rsid w:val="00F46C88"/>
    <w:rsid w:val="00F46E09"/>
    <w:rsid w:val="00F46F62"/>
    <w:rsid w:val="00F47AF8"/>
    <w:rsid w:val="00F47DF7"/>
    <w:rsid w:val="00F50D3B"/>
    <w:rsid w:val="00F51756"/>
    <w:rsid w:val="00F53E1F"/>
    <w:rsid w:val="00F546F5"/>
    <w:rsid w:val="00F54729"/>
    <w:rsid w:val="00F55BFE"/>
    <w:rsid w:val="00F5603B"/>
    <w:rsid w:val="00F5677F"/>
    <w:rsid w:val="00F56E18"/>
    <w:rsid w:val="00F5756E"/>
    <w:rsid w:val="00F579D0"/>
    <w:rsid w:val="00F602EA"/>
    <w:rsid w:val="00F60ADB"/>
    <w:rsid w:val="00F61840"/>
    <w:rsid w:val="00F61ABE"/>
    <w:rsid w:val="00F61D5D"/>
    <w:rsid w:val="00F61EF6"/>
    <w:rsid w:val="00F61F41"/>
    <w:rsid w:val="00F6219D"/>
    <w:rsid w:val="00F62B24"/>
    <w:rsid w:val="00F63347"/>
    <w:rsid w:val="00F63376"/>
    <w:rsid w:val="00F63939"/>
    <w:rsid w:val="00F655F2"/>
    <w:rsid w:val="00F6581E"/>
    <w:rsid w:val="00F659D6"/>
    <w:rsid w:val="00F65A79"/>
    <w:rsid w:val="00F65BB9"/>
    <w:rsid w:val="00F65CC5"/>
    <w:rsid w:val="00F66141"/>
    <w:rsid w:val="00F66A4D"/>
    <w:rsid w:val="00F66AAC"/>
    <w:rsid w:val="00F67AAF"/>
    <w:rsid w:val="00F67C7A"/>
    <w:rsid w:val="00F7004D"/>
    <w:rsid w:val="00F705B3"/>
    <w:rsid w:val="00F70665"/>
    <w:rsid w:val="00F70B6A"/>
    <w:rsid w:val="00F71F72"/>
    <w:rsid w:val="00F72BE4"/>
    <w:rsid w:val="00F7393E"/>
    <w:rsid w:val="00F746D6"/>
    <w:rsid w:val="00F75327"/>
    <w:rsid w:val="00F756AE"/>
    <w:rsid w:val="00F75A8E"/>
    <w:rsid w:val="00F76117"/>
    <w:rsid w:val="00F772F7"/>
    <w:rsid w:val="00F774AE"/>
    <w:rsid w:val="00F77685"/>
    <w:rsid w:val="00F77B13"/>
    <w:rsid w:val="00F8072B"/>
    <w:rsid w:val="00F80921"/>
    <w:rsid w:val="00F80B1C"/>
    <w:rsid w:val="00F8161D"/>
    <w:rsid w:val="00F81832"/>
    <w:rsid w:val="00F81EEA"/>
    <w:rsid w:val="00F82497"/>
    <w:rsid w:val="00F82628"/>
    <w:rsid w:val="00F830EB"/>
    <w:rsid w:val="00F847D2"/>
    <w:rsid w:val="00F84FC2"/>
    <w:rsid w:val="00F85E1E"/>
    <w:rsid w:val="00F85F4A"/>
    <w:rsid w:val="00F863B5"/>
    <w:rsid w:val="00F86AC8"/>
    <w:rsid w:val="00F86F35"/>
    <w:rsid w:val="00F87445"/>
    <w:rsid w:val="00F87730"/>
    <w:rsid w:val="00F903DE"/>
    <w:rsid w:val="00F90CC6"/>
    <w:rsid w:val="00F9121A"/>
    <w:rsid w:val="00F91EA3"/>
    <w:rsid w:val="00F923F6"/>
    <w:rsid w:val="00F929CB"/>
    <w:rsid w:val="00F93E5C"/>
    <w:rsid w:val="00F94840"/>
    <w:rsid w:val="00F94962"/>
    <w:rsid w:val="00F951D4"/>
    <w:rsid w:val="00F965B4"/>
    <w:rsid w:val="00F96AFC"/>
    <w:rsid w:val="00F97F18"/>
    <w:rsid w:val="00FA0228"/>
    <w:rsid w:val="00FA0A94"/>
    <w:rsid w:val="00FA0A9C"/>
    <w:rsid w:val="00FA0C17"/>
    <w:rsid w:val="00FA1A84"/>
    <w:rsid w:val="00FA1B14"/>
    <w:rsid w:val="00FA1B4F"/>
    <w:rsid w:val="00FA1D54"/>
    <w:rsid w:val="00FA2550"/>
    <w:rsid w:val="00FA2F1D"/>
    <w:rsid w:val="00FA2FC2"/>
    <w:rsid w:val="00FA30F8"/>
    <w:rsid w:val="00FA36F1"/>
    <w:rsid w:val="00FA4592"/>
    <w:rsid w:val="00FA543C"/>
    <w:rsid w:val="00FA55BC"/>
    <w:rsid w:val="00FA55EA"/>
    <w:rsid w:val="00FA562D"/>
    <w:rsid w:val="00FA564B"/>
    <w:rsid w:val="00FA5972"/>
    <w:rsid w:val="00FA5BE0"/>
    <w:rsid w:val="00FA5C73"/>
    <w:rsid w:val="00FA5F78"/>
    <w:rsid w:val="00FA611C"/>
    <w:rsid w:val="00FA76C9"/>
    <w:rsid w:val="00FA79D0"/>
    <w:rsid w:val="00FA7CEF"/>
    <w:rsid w:val="00FB02E8"/>
    <w:rsid w:val="00FB19FC"/>
    <w:rsid w:val="00FB1B0D"/>
    <w:rsid w:val="00FB2067"/>
    <w:rsid w:val="00FB2C23"/>
    <w:rsid w:val="00FB3DB0"/>
    <w:rsid w:val="00FB410F"/>
    <w:rsid w:val="00FB4CC0"/>
    <w:rsid w:val="00FB5087"/>
    <w:rsid w:val="00FB56F2"/>
    <w:rsid w:val="00FB590F"/>
    <w:rsid w:val="00FB5E7B"/>
    <w:rsid w:val="00FB6478"/>
    <w:rsid w:val="00FB67D3"/>
    <w:rsid w:val="00FB6FF4"/>
    <w:rsid w:val="00FB7258"/>
    <w:rsid w:val="00FB73B4"/>
    <w:rsid w:val="00FB76AA"/>
    <w:rsid w:val="00FC013A"/>
    <w:rsid w:val="00FC0CF6"/>
    <w:rsid w:val="00FC0DA4"/>
    <w:rsid w:val="00FC15FE"/>
    <w:rsid w:val="00FC19C6"/>
    <w:rsid w:val="00FC1A05"/>
    <w:rsid w:val="00FC1C74"/>
    <w:rsid w:val="00FC2DA0"/>
    <w:rsid w:val="00FC39D6"/>
    <w:rsid w:val="00FC466F"/>
    <w:rsid w:val="00FC595B"/>
    <w:rsid w:val="00FC599D"/>
    <w:rsid w:val="00FC5FE2"/>
    <w:rsid w:val="00FC6E28"/>
    <w:rsid w:val="00FC70DB"/>
    <w:rsid w:val="00FC7D6C"/>
    <w:rsid w:val="00FD049B"/>
    <w:rsid w:val="00FD0B44"/>
    <w:rsid w:val="00FD12C1"/>
    <w:rsid w:val="00FD1D45"/>
    <w:rsid w:val="00FD20C0"/>
    <w:rsid w:val="00FD2C11"/>
    <w:rsid w:val="00FD2F40"/>
    <w:rsid w:val="00FD3EE9"/>
    <w:rsid w:val="00FD3F4F"/>
    <w:rsid w:val="00FD40EF"/>
    <w:rsid w:val="00FD43A6"/>
    <w:rsid w:val="00FD48F6"/>
    <w:rsid w:val="00FD5FB3"/>
    <w:rsid w:val="00FD64C4"/>
    <w:rsid w:val="00FD75AD"/>
    <w:rsid w:val="00FD7F37"/>
    <w:rsid w:val="00FE00EE"/>
    <w:rsid w:val="00FE0747"/>
    <w:rsid w:val="00FE0927"/>
    <w:rsid w:val="00FE1427"/>
    <w:rsid w:val="00FE19BE"/>
    <w:rsid w:val="00FE256A"/>
    <w:rsid w:val="00FE2AEA"/>
    <w:rsid w:val="00FE33D8"/>
    <w:rsid w:val="00FE3C05"/>
    <w:rsid w:val="00FE4425"/>
    <w:rsid w:val="00FE453F"/>
    <w:rsid w:val="00FE49D3"/>
    <w:rsid w:val="00FE4FA1"/>
    <w:rsid w:val="00FE5DD6"/>
    <w:rsid w:val="00FE5E61"/>
    <w:rsid w:val="00FE66B3"/>
    <w:rsid w:val="00FE67C4"/>
    <w:rsid w:val="00FE736B"/>
    <w:rsid w:val="00FE7D57"/>
    <w:rsid w:val="00FE7F06"/>
    <w:rsid w:val="00FF1397"/>
    <w:rsid w:val="00FF2063"/>
    <w:rsid w:val="00FF38F2"/>
    <w:rsid w:val="00FF3B6F"/>
    <w:rsid w:val="00FF3CF4"/>
    <w:rsid w:val="00FF413B"/>
    <w:rsid w:val="00FF4DCE"/>
    <w:rsid w:val="00FF5341"/>
    <w:rsid w:val="00FF6744"/>
    <w:rsid w:val="00FF6A49"/>
    <w:rsid w:val="00FF6B04"/>
    <w:rsid w:val="00FF6F9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colormru v:ext="edit" colors="#44a3c0"/>
      <o:colormenu v:ext="edit" strokecolor="#44a3c0"/>
    </o:shapedefaults>
    <o:shapelayout v:ext="edit">
      <o:idmap v:ext="edit" data="1"/>
      <o:rules v:ext="edit">
        <o:r id="V:Rule3" type="connector" idref="#_x0000_s1052"/>
        <o:r id="V:Rule4" type="connector" idref="#_x0000_s105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caption" w:semiHidden="0" w:uiPriority="0"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ny">
    <w:name w:val="Normal"/>
    <w:qFormat/>
    <w:rsid w:val="00CC6156"/>
    <w:rPr>
      <w:rFonts w:asciiTheme="minorHAnsi" w:hAnsiTheme="minorHAnsi"/>
      <w:szCs w:val="24"/>
    </w:rPr>
  </w:style>
  <w:style w:type="paragraph" w:styleId="Nagwek1">
    <w:name w:val="heading 1"/>
    <w:basedOn w:val="Normalny"/>
    <w:next w:val="Normalny"/>
    <w:uiPriority w:val="99"/>
    <w:qFormat/>
    <w:rsid w:val="005B33F3"/>
    <w:pPr>
      <w:keepNext/>
      <w:spacing w:before="240" w:after="60"/>
      <w:outlineLvl w:val="0"/>
    </w:pPr>
    <w:rPr>
      <w:rFonts w:ascii="Calibri" w:hAnsi="Calibri"/>
      <w:b/>
      <w:bCs/>
      <w:color w:val="3366FF"/>
      <w:kern w:val="32"/>
      <w:sz w:val="32"/>
      <w:szCs w:val="32"/>
    </w:rPr>
  </w:style>
  <w:style w:type="paragraph" w:styleId="Nagwek2">
    <w:name w:val="heading 2"/>
    <w:basedOn w:val="Normalny"/>
    <w:next w:val="Normalny"/>
    <w:autoRedefine/>
    <w:uiPriority w:val="99"/>
    <w:qFormat/>
    <w:rsid w:val="006D5973"/>
    <w:pPr>
      <w:keepNext/>
      <w:keepLines/>
      <w:numPr>
        <w:ilvl w:val="1"/>
        <w:numId w:val="293"/>
      </w:numPr>
      <w:spacing w:before="240" w:after="120" w:line="271" w:lineRule="auto"/>
      <w:ind w:left="431" w:hanging="431"/>
      <w:jc w:val="both"/>
      <w:outlineLvl w:val="1"/>
    </w:pPr>
    <w:rPr>
      <w:rFonts w:ascii="Calibri" w:hAnsi="Calibri"/>
      <w:b/>
      <w:bCs/>
      <w:color w:val="3366FF"/>
      <w:sz w:val="28"/>
      <w:szCs w:val="28"/>
    </w:rPr>
  </w:style>
  <w:style w:type="paragraph" w:styleId="Nagwek3">
    <w:name w:val="heading 3"/>
    <w:basedOn w:val="Normalny"/>
    <w:next w:val="Normalny"/>
    <w:link w:val="Nagwek3Znak1"/>
    <w:uiPriority w:val="99"/>
    <w:qFormat/>
    <w:rsid w:val="00DC22CF"/>
    <w:pPr>
      <w:keepNext/>
      <w:spacing w:before="240" w:after="60"/>
      <w:outlineLvl w:val="2"/>
    </w:pPr>
    <w:rPr>
      <w:rFonts w:ascii="Calibri" w:hAnsi="Calibri" w:cs="Calibri"/>
      <w:b/>
      <w:bCs/>
      <w:color w:val="3366FF"/>
      <w:sz w:val="26"/>
      <w:szCs w:val="26"/>
    </w:rPr>
  </w:style>
  <w:style w:type="paragraph" w:styleId="Nagwek4">
    <w:name w:val="heading 4"/>
    <w:basedOn w:val="Normalny"/>
    <w:next w:val="Normalny"/>
    <w:uiPriority w:val="99"/>
    <w:qFormat/>
    <w:rsid w:val="000C1CE6"/>
    <w:pPr>
      <w:keepNext/>
      <w:spacing w:before="240" w:after="60"/>
      <w:outlineLvl w:val="3"/>
    </w:pPr>
    <w:rPr>
      <w:rFonts w:ascii="Calibri" w:hAnsi="Calibri"/>
      <w:b/>
      <w:bCs/>
      <w:i/>
      <w:sz w:val="22"/>
      <w:szCs w:val="28"/>
    </w:rPr>
  </w:style>
  <w:style w:type="paragraph" w:styleId="Nagwek5">
    <w:name w:val="heading 5"/>
    <w:basedOn w:val="Normalny"/>
    <w:next w:val="Normalny"/>
    <w:uiPriority w:val="99"/>
    <w:qFormat/>
    <w:rsid w:val="00DB355F"/>
    <w:pPr>
      <w:spacing w:before="240" w:after="60"/>
      <w:outlineLvl w:val="4"/>
    </w:pPr>
    <w:rPr>
      <w:rFonts w:ascii="Calibri" w:hAnsi="Calibri"/>
      <w:b/>
      <w:bCs/>
      <w:i/>
      <w:iCs/>
      <w:sz w:val="26"/>
      <w:szCs w:val="26"/>
    </w:rPr>
  </w:style>
  <w:style w:type="paragraph" w:styleId="Nagwek6">
    <w:name w:val="heading 6"/>
    <w:basedOn w:val="Normalny"/>
    <w:next w:val="Normalny"/>
    <w:uiPriority w:val="99"/>
    <w:qFormat/>
    <w:rsid w:val="00DB355F"/>
    <w:pPr>
      <w:spacing w:before="240" w:after="60"/>
      <w:outlineLvl w:val="5"/>
    </w:pPr>
    <w:rPr>
      <w:rFonts w:ascii="Calibri" w:hAnsi="Calibri"/>
      <w:b/>
      <w:bCs/>
      <w:sz w:val="22"/>
      <w:szCs w:val="22"/>
    </w:rPr>
  </w:style>
  <w:style w:type="paragraph" w:styleId="Nagwek7">
    <w:name w:val="heading 7"/>
    <w:basedOn w:val="Normalny"/>
    <w:next w:val="Normalny"/>
    <w:link w:val="Nagwek7Znak"/>
    <w:uiPriority w:val="99"/>
    <w:qFormat/>
    <w:rsid w:val="00DB355F"/>
    <w:pPr>
      <w:keepNext/>
      <w:autoSpaceDE w:val="0"/>
      <w:autoSpaceDN w:val="0"/>
      <w:adjustRightInd w:val="0"/>
      <w:jc w:val="center"/>
      <w:outlineLvl w:val="6"/>
    </w:pPr>
    <w:rPr>
      <w:rFonts w:ascii="Calibri" w:hAnsi="Calibri"/>
      <w:color w:val="3366FF"/>
      <w:sz w:val="28"/>
      <w:szCs w:val="48"/>
    </w:rPr>
  </w:style>
  <w:style w:type="paragraph" w:styleId="Nagwek8">
    <w:name w:val="heading 8"/>
    <w:basedOn w:val="Normalny"/>
    <w:next w:val="Normalny"/>
    <w:uiPriority w:val="99"/>
    <w:qFormat/>
    <w:rsid w:val="00DB355F"/>
    <w:pPr>
      <w:spacing w:before="240" w:after="60"/>
      <w:outlineLvl w:val="7"/>
    </w:pPr>
    <w:rPr>
      <w:rFonts w:ascii="Calibri" w:hAnsi="Calibri"/>
      <w:i/>
      <w:iCs/>
    </w:rPr>
  </w:style>
  <w:style w:type="paragraph" w:styleId="Nagwek9">
    <w:name w:val="heading 9"/>
    <w:basedOn w:val="Normalny"/>
    <w:next w:val="Normalny"/>
    <w:uiPriority w:val="99"/>
    <w:qFormat/>
    <w:rsid w:val="00DB355F"/>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uiPriority w:val="99"/>
    <w:rsid w:val="00DB355F"/>
    <w:rPr>
      <w:b/>
      <w:bCs/>
      <w:color w:val="4F81BD"/>
      <w:kern w:val="32"/>
      <w:sz w:val="32"/>
      <w:szCs w:val="32"/>
    </w:rPr>
  </w:style>
  <w:style w:type="character" w:customStyle="1" w:styleId="Nagwek2Znak">
    <w:name w:val="Nagłówek 2 Znak"/>
    <w:uiPriority w:val="99"/>
    <w:rsid w:val="00DB355F"/>
    <w:rPr>
      <w:rFonts w:ascii="Calibri" w:hAnsi="Calibri" w:cs="Calibri"/>
      <w:color w:val="4F81BD"/>
      <w:sz w:val="28"/>
      <w:szCs w:val="28"/>
    </w:rPr>
  </w:style>
  <w:style w:type="paragraph" w:customStyle="1" w:styleId="celp">
    <w:name w:val="cel_p"/>
    <w:basedOn w:val="Normalny"/>
    <w:rsid w:val="00DB355F"/>
    <w:pPr>
      <w:spacing w:after="15"/>
      <w:ind w:left="15" w:right="15"/>
      <w:jc w:val="both"/>
      <w:textAlignment w:val="top"/>
    </w:pPr>
  </w:style>
  <w:style w:type="paragraph" w:styleId="Nagwekspisutreci">
    <w:name w:val="TOC Heading"/>
    <w:basedOn w:val="Nagwek1"/>
    <w:next w:val="Normalny"/>
    <w:uiPriority w:val="39"/>
    <w:qFormat/>
    <w:rsid w:val="00DB355F"/>
    <w:pPr>
      <w:keepLines/>
      <w:spacing w:before="480" w:after="0" w:line="276" w:lineRule="auto"/>
      <w:outlineLvl w:val="9"/>
    </w:pPr>
    <w:rPr>
      <w:color w:val="365F91"/>
      <w:kern w:val="0"/>
      <w:sz w:val="28"/>
      <w:szCs w:val="28"/>
    </w:rPr>
  </w:style>
  <w:style w:type="paragraph" w:styleId="Spistreci1">
    <w:name w:val="toc 1"/>
    <w:basedOn w:val="Normalny"/>
    <w:next w:val="Normalny"/>
    <w:autoRedefine/>
    <w:uiPriority w:val="39"/>
    <w:unhideWhenUsed/>
    <w:qFormat/>
    <w:rsid w:val="005F3253"/>
    <w:pPr>
      <w:shd w:val="clear" w:color="auto" w:fill="FFFFFF" w:themeFill="background1"/>
      <w:tabs>
        <w:tab w:val="left" w:pos="480"/>
        <w:tab w:val="right" w:leader="dot" w:pos="9060"/>
      </w:tabs>
      <w:autoSpaceDE w:val="0"/>
      <w:autoSpaceDN w:val="0"/>
      <w:adjustRightInd w:val="0"/>
      <w:jc w:val="center"/>
    </w:pPr>
    <w:rPr>
      <w:rFonts w:ascii="Calibri" w:hAnsi="Calibri"/>
      <w:b/>
      <w:bCs/>
      <w:noProof/>
      <w:szCs w:val="20"/>
    </w:rPr>
  </w:style>
  <w:style w:type="paragraph" w:styleId="Spistreci2">
    <w:name w:val="toc 2"/>
    <w:basedOn w:val="Normalny"/>
    <w:next w:val="Normalny"/>
    <w:autoRedefine/>
    <w:uiPriority w:val="39"/>
    <w:unhideWhenUsed/>
    <w:qFormat/>
    <w:rsid w:val="00E53584"/>
    <w:pPr>
      <w:tabs>
        <w:tab w:val="right" w:leader="dot" w:pos="9060"/>
      </w:tabs>
      <w:ind w:left="284"/>
      <w:jc w:val="both"/>
    </w:pPr>
    <w:rPr>
      <w:rFonts w:ascii="Calibri" w:hAnsi="Calibri"/>
      <w:noProof/>
      <w:szCs w:val="20"/>
    </w:rPr>
  </w:style>
  <w:style w:type="character" w:styleId="Hipercze">
    <w:name w:val="Hyperlink"/>
    <w:uiPriority w:val="99"/>
    <w:unhideWhenUsed/>
    <w:rsid w:val="00DB355F"/>
    <w:rPr>
      <w:color w:val="0000FF"/>
      <w:u w:val="single"/>
    </w:rPr>
  </w:style>
  <w:style w:type="character" w:customStyle="1" w:styleId="Nagwek4Znak">
    <w:name w:val="Nagłówek 4 Znak"/>
    <w:uiPriority w:val="99"/>
    <w:rsid w:val="00DB355F"/>
    <w:rPr>
      <w:rFonts w:eastAsia="Times New Roman" w:cs="Times New Roman"/>
      <w:b/>
      <w:bCs/>
      <w:i/>
      <w:sz w:val="24"/>
      <w:szCs w:val="28"/>
    </w:rPr>
  </w:style>
  <w:style w:type="character" w:customStyle="1" w:styleId="Nagwek5Znak">
    <w:name w:val="Nagłówek 5 Znak"/>
    <w:uiPriority w:val="99"/>
    <w:rsid w:val="00DB355F"/>
    <w:rPr>
      <w:rFonts w:ascii="Calibri" w:eastAsia="Times New Roman" w:hAnsi="Calibri" w:cs="Times New Roman"/>
      <w:b/>
      <w:bCs/>
      <w:i/>
      <w:iCs/>
      <w:sz w:val="26"/>
      <w:szCs w:val="26"/>
    </w:rPr>
  </w:style>
  <w:style w:type="character" w:customStyle="1" w:styleId="Nagwek6Znak">
    <w:name w:val="Nagłówek 6 Znak"/>
    <w:uiPriority w:val="99"/>
    <w:rsid w:val="00DB355F"/>
    <w:rPr>
      <w:rFonts w:ascii="Calibri" w:eastAsia="Times New Roman" w:hAnsi="Calibri" w:cs="Times New Roman"/>
      <w:b/>
      <w:bCs/>
      <w:sz w:val="22"/>
      <w:szCs w:val="22"/>
    </w:rPr>
  </w:style>
  <w:style w:type="character" w:customStyle="1" w:styleId="Nagwek8Znak">
    <w:name w:val="Nagłówek 8 Znak"/>
    <w:uiPriority w:val="99"/>
    <w:rsid w:val="00DB355F"/>
    <w:rPr>
      <w:rFonts w:ascii="Calibri" w:eastAsia="Times New Roman" w:hAnsi="Calibri" w:cs="Times New Roman"/>
      <w:i/>
      <w:iCs/>
      <w:sz w:val="24"/>
      <w:szCs w:val="24"/>
    </w:rPr>
  </w:style>
  <w:style w:type="character" w:customStyle="1" w:styleId="Nagwek3Znak">
    <w:name w:val="Nagłówek 3 Znak"/>
    <w:uiPriority w:val="99"/>
    <w:rsid w:val="00DB355F"/>
    <w:rPr>
      <w:b/>
      <w:bCs/>
      <w:color w:val="4F81BD"/>
      <w:sz w:val="26"/>
      <w:szCs w:val="26"/>
    </w:rPr>
  </w:style>
  <w:style w:type="paragraph" w:styleId="Tekstprzypisudolnego">
    <w:name w:val="footnote text"/>
    <w:aliases w:val="Podrozdział,Footnote,Podrozdzia3,Odwołanie przypisu1,Odwołanie przypisu2,Przypis dolny,Tekst przypisu1,Tekst przypisu2,Tekst przypisu3,-E Fuﬂnotentext,Fuﬂnotentext Ursprung,Fußnotentext Ursprung,-E Fußnotentext,Fußnote,Footnote te"/>
    <w:basedOn w:val="Normalny"/>
    <w:link w:val="TekstprzypisudolnegoZnak1"/>
    <w:uiPriority w:val="99"/>
    <w:rsid w:val="00DB355F"/>
    <w:rPr>
      <w:szCs w:val="20"/>
    </w:rPr>
  </w:style>
  <w:style w:type="character" w:customStyle="1" w:styleId="TekstprzypisudolnegoZnak">
    <w:name w:val="Tekst przypisu dolnego Znak"/>
    <w:aliases w:val="Podrozdział Znak,Footnote Znak,Podrozdzia3 Znak,Odwołanie przypisu1 Znak,Odwołanie przypisu2 Znak,Przypis dolny Znak,Tekst przypisu1 Znak,Tekst przypisu2 Znak,Tekst przypisu3 Znak,-E Fuﬂnotentext Znak,-E Fußnotentext Znak"/>
    <w:basedOn w:val="Domylnaczcionkaakapitu"/>
    <w:uiPriority w:val="99"/>
    <w:rsid w:val="00DB355F"/>
  </w:style>
  <w:style w:type="paragraph" w:styleId="Legenda">
    <w:name w:val="caption"/>
    <w:aliases w:val="Podpis pod rysunkiem,Nagłówek Tabeli,Nag3ówek Tabeli,Tabela nr,Legenda Znak,Legenda Znak Znak Znak Znak Znak,Legenda Znak Znak Znak,Legenda Znak Znak,Legenda Znak Znak Znak Znak,Legenda Znak Znak Znak Znak Znak Znak,Legenda Znak Znak Z Znak"/>
    <w:basedOn w:val="Normalny"/>
    <w:next w:val="Normalny"/>
    <w:qFormat/>
    <w:rsid w:val="00DB355F"/>
    <w:rPr>
      <w:b/>
      <w:bCs/>
      <w:szCs w:val="20"/>
    </w:rPr>
  </w:style>
  <w:style w:type="paragraph" w:styleId="NormalnyWeb">
    <w:name w:val="Normal (Web)"/>
    <w:basedOn w:val="Normalny"/>
    <w:rsid w:val="00DB355F"/>
    <w:pPr>
      <w:spacing w:before="100" w:beforeAutospacing="1" w:after="100" w:afterAutospacing="1"/>
    </w:pPr>
  </w:style>
  <w:style w:type="paragraph" w:styleId="Tekstpodstawowy2">
    <w:name w:val="Body Text 2"/>
    <w:basedOn w:val="Normalny"/>
    <w:semiHidden/>
    <w:rsid w:val="00DB355F"/>
    <w:pPr>
      <w:autoSpaceDE w:val="0"/>
      <w:autoSpaceDN w:val="0"/>
      <w:adjustRightInd w:val="0"/>
      <w:jc w:val="both"/>
    </w:pPr>
    <w:rPr>
      <w:szCs w:val="22"/>
    </w:rPr>
  </w:style>
  <w:style w:type="character" w:customStyle="1" w:styleId="Tekstpodstawowy2Znak">
    <w:name w:val="Tekst podstawowy 2 Znak"/>
    <w:uiPriority w:val="99"/>
    <w:rsid w:val="00DB355F"/>
    <w:rPr>
      <w:sz w:val="24"/>
      <w:szCs w:val="22"/>
    </w:rPr>
  </w:style>
  <w:style w:type="paragraph" w:styleId="Akapitzlist">
    <w:name w:val="List Paragraph"/>
    <w:aliases w:val="Wypunktowanie,L1,Numerowanie"/>
    <w:basedOn w:val="Normalny"/>
    <w:link w:val="AkapitzlistZnak"/>
    <w:uiPriority w:val="99"/>
    <w:qFormat/>
    <w:rsid w:val="00DB355F"/>
    <w:pPr>
      <w:spacing w:after="200" w:line="276" w:lineRule="auto"/>
      <w:ind w:left="720"/>
    </w:pPr>
    <w:rPr>
      <w:rFonts w:ascii="Calibri" w:eastAsia="Calibri" w:hAnsi="Calibri"/>
      <w:sz w:val="22"/>
      <w:szCs w:val="22"/>
      <w:lang w:eastAsia="en-US"/>
    </w:rPr>
  </w:style>
  <w:style w:type="paragraph" w:customStyle="1" w:styleId="Default">
    <w:name w:val="Default"/>
    <w:rsid w:val="00DB355F"/>
    <w:pPr>
      <w:autoSpaceDE w:val="0"/>
      <w:autoSpaceDN w:val="0"/>
      <w:adjustRightInd w:val="0"/>
    </w:pPr>
    <w:rPr>
      <w:rFonts w:ascii="Calibri" w:hAnsi="Calibri"/>
      <w:color w:val="000000"/>
      <w:sz w:val="24"/>
      <w:szCs w:val="24"/>
    </w:rPr>
  </w:style>
  <w:style w:type="paragraph" w:styleId="Tekstpodstawowy">
    <w:name w:val="Body Text"/>
    <w:basedOn w:val="Normalny"/>
    <w:unhideWhenUsed/>
    <w:rsid w:val="00DB355F"/>
    <w:pPr>
      <w:spacing w:after="120"/>
    </w:pPr>
  </w:style>
  <w:style w:type="character" w:customStyle="1" w:styleId="TekstpodstawowyZnak">
    <w:name w:val="Tekst podstawowy Znak"/>
    <w:uiPriority w:val="99"/>
    <w:rsid w:val="00DB355F"/>
    <w:rPr>
      <w:sz w:val="24"/>
      <w:szCs w:val="24"/>
    </w:rPr>
  </w:style>
  <w:style w:type="paragraph" w:styleId="Tekstpodstawowy3">
    <w:name w:val="Body Text 3"/>
    <w:basedOn w:val="Normalny"/>
    <w:uiPriority w:val="99"/>
    <w:unhideWhenUsed/>
    <w:rsid w:val="00DB355F"/>
    <w:pPr>
      <w:spacing w:after="120"/>
    </w:pPr>
    <w:rPr>
      <w:sz w:val="16"/>
      <w:szCs w:val="16"/>
    </w:rPr>
  </w:style>
  <w:style w:type="character" w:customStyle="1" w:styleId="Tekstpodstawowy3Znak">
    <w:name w:val="Tekst podstawowy 3 Znak"/>
    <w:uiPriority w:val="99"/>
    <w:rsid w:val="00DB355F"/>
    <w:rPr>
      <w:sz w:val="16"/>
      <w:szCs w:val="16"/>
    </w:rPr>
  </w:style>
  <w:style w:type="paragraph" w:styleId="Tytu">
    <w:name w:val="Title"/>
    <w:basedOn w:val="Normalny"/>
    <w:qFormat/>
    <w:rsid w:val="00DB355F"/>
    <w:pPr>
      <w:jc w:val="center"/>
    </w:pPr>
    <w:rPr>
      <w:rFonts w:ascii="Arial" w:hAnsi="Arial" w:cs="Arial"/>
      <w:b/>
      <w:bCs/>
      <w:sz w:val="32"/>
    </w:rPr>
  </w:style>
  <w:style w:type="character" w:customStyle="1" w:styleId="TytuZnak">
    <w:name w:val="Tytuł Znak"/>
    <w:rsid w:val="00DB355F"/>
    <w:rPr>
      <w:rFonts w:ascii="Arial" w:hAnsi="Arial" w:cs="Arial"/>
      <w:b/>
      <w:bCs/>
      <w:sz w:val="32"/>
      <w:szCs w:val="24"/>
    </w:rPr>
  </w:style>
  <w:style w:type="paragraph" w:styleId="Spistreci3">
    <w:name w:val="toc 3"/>
    <w:basedOn w:val="Normalny"/>
    <w:next w:val="Normalny"/>
    <w:autoRedefine/>
    <w:uiPriority w:val="39"/>
    <w:unhideWhenUsed/>
    <w:qFormat/>
    <w:rsid w:val="0098541B"/>
    <w:pPr>
      <w:tabs>
        <w:tab w:val="left" w:pos="1320"/>
        <w:tab w:val="right" w:leader="dot" w:pos="9060"/>
      </w:tabs>
      <w:ind w:left="480"/>
      <w:jc w:val="both"/>
    </w:pPr>
  </w:style>
  <w:style w:type="paragraph" w:styleId="Tekstdymka">
    <w:name w:val="Balloon Text"/>
    <w:basedOn w:val="Normalny"/>
    <w:uiPriority w:val="99"/>
    <w:unhideWhenUsed/>
    <w:rsid w:val="00DB355F"/>
    <w:rPr>
      <w:rFonts w:ascii="Tahoma" w:hAnsi="Tahoma" w:cs="Tahoma"/>
      <w:sz w:val="16"/>
      <w:szCs w:val="16"/>
    </w:rPr>
  </w:style>
  <w:style w:type="character" w:customStyle="1" w:styleId="TekstdymkaZnak">
    <w:name w:val="Tekst dymka Znak"/>
    <w:uiPriority w:val="99"/>
    <w:rsid w:val="00DB355F"/>
    <w:rPr>
      <w:rFonts w:ascii="Tahoma" w:hAnsi="Tahoma" w:cs="Tahoma"/>
      <w:sz w:val="16"/>
      <w:szCs w:val="16"/>
    </w:rPr>
  </w:style>
  <w:style w:type="paragraph" w:styleId="Spistreci4">
    <w:name w:val="toc 4"/>
    <w:basedOn w:val="Normalny"/>
    <w:next w:val="Normalny"/>
    <w:autoRedefine/>
    <w:uiPriority w:val="39"/>
    <w:unhideWhenUsed/>
    <w:rsid w:val="00DB355F"/>
    <w:pPr>
      <w:ind w:left="720"/>
    </w:pPr>
  </w:style>
  <w:style w:type="paragraph" w:styleId="Tekstpodstawowywcity2">
    <w:name w:val="Body Text Indent 2"/>
    <w:basedOn w:val="Normalny"/>
    <w:uiPriority w:val="99"/>
    <w:unhideWhenUsed/>
    <w:rsid w:val="00DB355F"/>
    <w:pPr>
      <w:spacing w:after="120" w:line="480" w:lineRule="auto"/>
      <w:ind w:left="283"/>
    </w:pPr>
  </w:style>
  <w:style w:type="character" w:customStyle="1" w:styleId="Tekstpodstawowywcity2Znak">
    <w:name w:val="Tekst podstawowy wcięty 2 Znak"/>
    <w:uiPriority w:val="99"/>
    <w:rsid w:val="00DB355F"/>
    <w:rPr>
      <w:sz w:val="24"/>
      <w:szCs w:val="24"/>
    </w:rPr>
  </w:style>
  <w:style w:type="character" w:styleId="Odwoanieprzypisudolnego">
    <w:name w:val="footnote reference"/>
    <w:aliases w:val="Odwo³anie przypisu,Footnote Reference Number,Footnote symbol,Footnote reference number,note TESI,SUPERS,EN Footnote Reference,Footnote number,fr,o,Footnotemark,FR,Footnotemark1,Footnotemark2,FR1,Footnotemark3,FR2,Footnotemark4"/>
    <w:uiPriority w:val="99"/>
    <w:rsid w:val="00DB355F"/>
    <w:rPr>
      <w:vertAlign w:val="superscript"/>
    </w:rPr>
  </w:style>
  <w:style w:type="character" w:customStyle="1" w:styleId="Nagwek9Znak">
    <w:name w:val="Nagłówek 9 Znak"/>
    <w:uiPriority w:val="99"/>
    <w:rsid w:val="00DB355F"/>
    <w:rPr>
      <w:rFonts w:ascii="Cambria" w:eastAsia="Times New Roman" w:hAnsi="Cambria" w:cs="Times New Roman"/>
      <w:sz w:val="22"/>
      <w:szCs w:val="22"/>
    </w:rPr>
  </w:style>
  <w:style w:type="paragraph" w:customStyle="1" w:styleId="Akapitzlist1">
    <w:name w:val="Akapit z listą1"/>
    <w:basedOn w:val="Normalny"/>
    <w:rsid w:val="00DB355F"/>
    <w:pPr>
      <w:spacing w:after="200" w:line="276" w:lineRule="auto"/>
      <w:ind w:left="720"/>
    </w:pPr>
    <w:rPr>
      <w:rFonts w:ascii="Calibri" w:hAnsi="Calibri"/>
      <w:sz w:val="22"/>
      <w:szCs w:val="22"/>
      <w:lang w:eastAsia="en-US"/>
    </w:rPr>
  </w:style>
  <w:style w:type="paragraph" w:styleId="Tekstpodstawowywcity">
    <w:name w:val="Body Text Indent"/>
    <w:basedOn w:val="Normalny"/>
    <w:uiPriority w:val="99"/>
    <w:unhideWhenUsed/>
    <w:rsid w:val="00DB355F"/>
    <w:pPr>
      <w:spacing w:after="120"/>
      <w:ind w:left="283"/>
    </w:pPr>
  </w:style>
  <w:style w:type="character" w:customStyle="1" w:styleId="TekstpodstawowywcityZnak">
    <w:name w:val="Tekst podstawowy wcięty Znak"/>
    <w:uiPriority w:val="99"/>
    <w:rsid w:val="00DB355F"/>
    <w:rPr>
      <w:sz w:val="24"/>
      <w:szCs w:val="24"/>
    </w:rPr>
  </w:style>
  <w:style w:type="character" w:styleId="Pogrubienie">
    <w:name w:val="Strong"/>
    <w:qFormat/>
    <w:rsid w:val="00DB355F"/>
    <w:rPr>
      <w:b/>
      <w:bCs/>
    </w:rPr>
  </w:style>
  <w:style w:type="paragraph" w:customStyle="1" w:styleId="Indeks">
    <w:name w:val="Indeks"/>
    <w:basedOn w:val="Normalny"/>
    <w:rsid w:val="00DB355F"/>
    <w:pPr>
      <w:suppressLineNumbers/>
      <w:suppressAutoHyphens/>
    </w:pPr>
    <w:rPr>
      <w:rFonts w:cs="Mangal"/>
      <w:lang w:eastAsia="ar-SA"/>
    </w:rPr>
  </w:style>
  <w:style w:type="paragraph" w:customStyle="1" w:styleId="Pa6">
    <w:name w:val="Pa6"/>
    <w:basedOn w:val="Normalny"/>
    <w:next w:val="Normalny"/>
    <w:rsid w:val="00DB355F"/>
    <w:pPr>
      <w:suppressAutoHyphens/>
      <w:autoSpaceDE w:val="0"/>
      <w:spacing w:line="201" w:lineRule="atLeast"/>
    </w:pPr>
    <w:rPr>
      <w:rFonts w:ascii="Alegreya Sans" w:hAnsi="Alegreya Sans" w:cs="Alegreya Sans"/>
      <w:lang w:eastAsia="ar-SA"/>
    </w:rPr>
  </w:style>
  <w:style w:type="character" w:customStyle="1" w:styleId="italic">
    <w:name w:val="italic"/>
    <w:rsid w:val="00DB355F"/>
  </w:style>
  <w:style w:type="paragraph" w:styleId="Nagwek">
    <w:name w:val="header"/>
    <w:basedOn w:val="Normalny"/>
    <w:uiPriority w:val="99"/>
    <w:unhideWhenUsed/>
    <w:rsid w:val="00DB355F"/>
    <w:pPr>
      <w:tabs>
        <w:tab w:val="center" w:pos="4536"/>
        <w:tab w:val="right" w:pos="9072"/>
      </w:tabs>
    </w:pPr>
  </w:style>
  <w:style w:type="character" w:customStyle="1" w:styleId="NagwekZnak">
    <w:name w:val="Nagłówek Znak"/>
    <w:uiPriority w:val="99"/>
    <w:rsid w:val="00DB355F"/>
    <w:rPr>
      <w:sz w:val="24"/>
      <w:szCs w:val="24"/>
    </w:rPr>
  </w:style>
  <w:style w:type="paragraph" w:styleId="Stopka">
    <w:name w:val="footer"/>
    <w:basedOn w:val="Normalny"/>
    <w:uiPriority w:val="99"/>
    <w:unhideWhenUsed/>
    <w:rsid w:val="00DB355F"/>
    <w:pPr>
      <w:tabs>
        <w:tab w:val="center" w:pos="4536"/>
        <w:tab w:val="right" w:pos="9072"/>
      </w:tabs>
    </w:pPr>
  </w:style>
  <w:style w:type="character" w:customStyle="1" w:styleId="StopkaZnak">
    <w:name w:val="Stopka Znak"/>
    <w:uiPriority w:val="99"/>
    <w:rsid w:val="00DB355F"/>
    <w:rPr>
      <w:sz w:val="24"/>
      <w:szCs w:val="24"/>
    </w:rPr>
  </w:style>
  <w:style w:type="paragraph" w:customStyle="1" w:styleId="tiret">
    <w:name w:val="tiret"/>
    <w:basedOn w:val="Akapitzlist"/>
    <w:rsid w:val="00DB355F"/>
    <w:pPr>
      <w:spacing w:after="0" w:line="240" w:lineRule="auto"/>
      <w:ind w:left="0"/>
    </w:pPr>
    <w:rPr>
      <w:rFonts w:eastAsia="Times New Roman" w:cs="Calibri"/>
      <w:lang w:eastAsia="pl-PL"/>
    </w:rPr>
  </w:style>
  <w:style w:type="paragraph" w:customStyle="1" w:styleId="Akapitzlist10">
    <w:name w:val="Akapit z listą1"/>
    <w:basedOn w:val="Normalny"/>
    <w:rsid w:val="00DB355F"/>
    <w:pPr>
      <w:suppressAutoHyphens/>
      <w:ind w:left="720"/>
    </w:pPr>
    <w:rPr>
      <w:rFonts w:eastAsia="Lucida Sans Unicode" w:cs="font271"/>
      <w:kern w:val="1"/>
      <w:lang w:eastAsia="hi-IN" w:bidi="hi-IN"/>
    </w:rPr>
  </w:style>
  <w:style w:type="paragraph" w:styleId="Tekstkomentarza">
    <w:name w:val="annotation text"/>
    <w:basedOn w:val="Normalny"/>
    <w:link w:val="TekstkomentarzaZnak1"/>
    <w:unhideWhenUsed/>
    <w:qFormat/>
    <w:rsid w:val="00DB355F"/>
    <w:rPr>
      <w:szCs w:val="20"/>
    </w:rPr>
  </w:style>
  <w:style w:type="character" w:customStyle="1" w:styleId="TekstkomentarzaZnak">
    <w:name w:val="Tekst komentarza Znak"/>
    <w:basedOn w:val="Domylnaczcionkaakapitu"/>
    <w:uiPriority w:val="99"/>
    <w:rsid w:val="00DB355F"/>
  </w:style>
  <w:style w:type="character" w:styleId="Odwoaniedokomentarza">
    <w:name w:val="annotation reference"/>
    <w:unhideWhenUsed/>
    <w:qFormat/>
    <w:rsid w:val="00DB355F"/>
    <w:rPr>
      <w:sz w:val="16"/>
      <w:szCs w:val="16"/>
    </w:rPr>
  </w:style>
  <w:style w:type="character" w:customStyle="1" w:styleId="Odwoanieprzypisudolnego1">
    <w:name w:val="Odwołanie przypisu dolnego1"/>
    <w:rsid w:val="00DB355F"/>
    <w:rPr>
      <w:vertAlign w:val="superscript"/>
    </w:rPr>
  </w:style>
  <w:style w:type="character" w:customStyle="1" w:styleId="Znakiprzypiswdolnych">
    <w:name w:val="Znaki przypisów dolnych"/>
    <w:rsid w:val="00DB355F"/>
  </w:style>
  <w:style w:type="character" w:customStyle="1" w:styleId="Nagwek7Znak">
    <w:name w:val="Nagłówek 7 Znak"/>
    <w:basedOn w:val="Domylnaczcionkaakapitu"/>
    <w:link w:val="Nagwek7"/>
    <w:uiPriority w:val="99"/>
    <w:rsid w:val="000C70A4"/>
    <w:rPr>
      <w:rFonts w:ascii="Calibri" w:hAnsi="Calibri"/>
      <w:color w:val="3366FF"/>
      <w:sz w:val="28"/>
      <w:szCs w:val="48"/>
    </w:rPr>
  </w:style>
  <w:style w:type="paragraph" w:styleId="Tematkomentarza">
    <w:name w:val="annotation subject"/>
    <w:basedOn w:val="Tekstkomentarza"/>
    <w:next w:val="Tekstkomentarza"/>
    <w:link w:val="TematkomentarzaZnak"/>
    <w:uiPriority w:val="99"/>
    <w:rsid w:val="000C70A4"/>
    <w:pPr>
      <w:spacing w:after="120"/>
      <w:jc w:val="both"/>
    </w:pPr>
    <w:rPr>
      <w:rFonts w:ascii="Calibri" w:hAnsi="Calibri" w:cs="Calibri"/>
      <w:b/>
      <w:bCs/>
      <w:lang w:eastAsia="en-US"/>
    </w:rPr>
  </w:style>
  <w:style w:type="character" w:customStyle="1" w:styleId="TekstkomentarzaZnak1">
    <w:name w:val="Tekst komentarza Znak1"/>
    <w:basedOn w:val="Domylnaczcionkaakapitu"/>
    <w:link w:val="Tekstkomentarza"/>
    <w:uiPriority w:val="99"/>
    <w:rsid w:val="000C70A4"/>
  </w:style>
  <w:style w:type="character" w:customStyle="1" w:styleId="TematkomentarzaZnak">
    <w:name w:val="Temat komentarza Znak"/>
    <w:basedOn w:val="TekstkomentarzaZnak1"/>
    <w:link w:val="Tematkomentarza"/>
    <w:uiPriority w:val="99"/>
    <w:rsid w:val="000C70A4"/>
    <w:rPr>
      <w:rFonts w:ascii="Calibri" w:eastAsia="Times New Roman" w:hAnsi="Calibri" w:cs="Calibri"/>
      <w:b/>
      <w:bCs/>
      <w:lang w:eastAsia="en-US"/>
    </w:rPr>
  </w:style>
  <w:style w:type="paragraph" w:customStyle="1" w:styleId="ewa">
    <w:name w:val="ewa"/>
    <w:basedOn w:val="Normalny"/>
    <w:uiPriority w:val="99"/>
    <w:rsid w:val="000C70A4"/>
    <w:pPr>
      <w:widowControl w:val="0"/>
      <w:overflowPunct w:val="0"/>
      <w:autoSpaceDE w:val="0"/>
      <w:autoSpaceDN w:val="0"/>
      <w:adjustRightInd w:val="0"/>
      <w:jc w:val="both"/>
      <w:textAlignment w:val="baseline"/>
    </w:pPr>
  </w:style>
  <w:style w:type="paragraph" w:styleId="Tekstprzypisukocowego">
    <w:name w:val="endnote text"/>
    <w:basedOn w:val="Normalny"/>
    <w:link w:val="TekstprzypisukocowegoZnak"/>
    <w:uiPriority w:val="99"/>
    <w:rsid w:val="000C70A4"/>
    <w:pPr>
      <w:jc w:val="both"/>
    </w:pPr>
    <w:rPr>
      <w:rFonts w:ascii="Calibri" w:hAnsi="Calibri" w:cs="Calibri"/>
      <w:szCs w:val="20"/>
      <w:lang w:eastAsia="en-US"/>
    </w:rPr>
  </w:style>
  <w:style w:type="character" w:customStyle="1" w:styleId="TekstprzypisukocowegoZnak">
    <w:name w:val="Tekst przypisu końcowego Znak"/>
    <w:basedOn w:val="Domylnaczcionkaakapitu"/>
    <w:link w:val="Tekstprzypisukocowego"/>
    <w:uiPriority w:val="99"/>
    <w:rsid w:val="000C70A4"/>
    <w:rPr>
      <w:rFonts w:ascii="Calibri" w:eastAsia="Times New Roman" w:hAnsi="Calibri" w:cs="Calibri"/>
      <w:lang w:eastAsia="en-US"/>
    </w:rPr>
  </w:style>
  <w:style w:type="character" w:styleId="Odwoanieprzypisukocowego">
    <w:name w:val="endnote reference"/>
    <w:basedOn w:val="Domylnaczcionkaakapitu"/>
    <w:uiPriority w:val="99"/>
    <w:rsid w:val="000C70A4"/>
    <w:rPr>
      <w:rFonts w:ascii="Times New Roman" w:hAnsi="Times New Roman" w:cs="Times New Roman"/>
      <w:vertAlign w:val="superscript"/>
    </w:rPr>
  </w:style>
  <w:style w:type="paragraph" w:styleId="Spisilustracji">
    <w:name w:val="table of figures"/>
    <w:basedOn w:val="Normalny"/>
    <w:next w:val="Normalny"/>
    <w:uiPriority w:val="99"/>
    <w:rsid w:val="000C70A4"/>
    <w:pPr>
      <w:spacing w:line="288" w:lineRule="auto"/>
      <w:jc w:val="both"/>
    </w:pPr>
    <w:rPr>
      <w:rFonts w:ascii="Calibri" w:hAnsi="Calibri" w:cs="Calibri"/>
      <w:lang w:eastAsia="en-US"/>
    </w:rPr>
  </w:style>
  <w:style w:type="paragraph" w:styleId="Poprawka">
    <w:name w:val="Revision"/>
    <w:hidden/>
    <w:uiPriority w:val="99"/>
    <w:rsid w:val="000C70A4"/>
    <w:rPr>
      <w:rFonts w:ascii="Calibri" w:hAnsi="Calibri" w:cs="Calibri"/>
      <w:sz w:val="22"/>
      <w:szCs w:val="22"/>
      <w:lang w:eastAsia="en-US"/>
    </w:rPr>
  </w:style>
  <w:style w:type="paragraph" w:styleId="Bezodstpw">
    <w:name w:val="No Spacing"/>
    <w:link w:val="BezodstpwZnak"/>
    <w:uiPriority w:val="99"/>
    <w:qFormat/>
    <w:rsid w:val="000C70A4"/>
    <w:rPr>
      <w:rFonts w:ascii="Calibri" w:hAnsi="Calibri" w:cs="Calibri"/>
      <w:sz w:val="22"/>
      <w:szCs w:val="22"/>
    </w:rPr>
  </w:style>
  <w:style w:type="character" w:customStyle="1" w:styleId="NoSpacingChar">
    <w:name w:val="No Spacing Char"/>
    <w:basedOn w:val="Domylnaczcionkaakapitu"/>
    <w:uiPriority w:val="99"/>
    <w:rsid w:val="000C70A4"/>
    <w:rPr>
      <w:rFonts w:ascii="Times New Roman" w:eastAsia="Times New Roman" w:hAnsi="Times New Roman" w:cs="Times New Roman"/>
      <w:sz w:val="22"/>
      <w:szCs w:val="22"/>
      <w:lang w:val="pl-PL" w:eastAsia="pl-PL"/>
    </w:rPr>
  </w:style>
  <w:style w:type="character" w:customStyle="1" w:styleId="UyteHipercze1">
    <w:name w:val="UżyteHiperłącze1"/>
    <w:basedOn w:val="Domylnaczcionkaakapitu"/>
    <w:uiPriority w:val="99"/>
    <w:rsid w:val="000C70A4"/>
    <w:rPr>
      <w:rFonts w:ascii="Times New Roman" w:hAnsi="Times New Roman" w:cs="Times New Roman"/>
      <w:color w:val="800080"/>
      <w:u w:val="single"/>
    </w:rPr>
  </w:style>
  <w:style w:type="character" w:customStyle="1" w:styleId="abstrakt">
    <w:name w:val="abstrakt"/>
    <w:basedOn w:val="Domylnaczcionkaakapitu"/>
    <w:uiPriority w:val="99"/>
    <w:rsid w:val="000C70A4"/>
    <w:rPr>
      <w:rFonts w:ascii="Times New Roman" w:hAnsi="Times New Roman" w:cs="Times New Roman"/>
    </w:rPr>
  </w:style>
  <w:style w:type="character" w:styleId="UyteHipercze">
    <w:name w:val="FollowedHyperlink"/>
    <w:basedOn w:val="Domylnaczcionkaakapitu"/>
    <w:uiPriority w:val="99"/>
    <w:rsid w:val="000C70A4"/>
    <w:rPr>
      <w:rFonts w:ascii="Times New Roman" w:hAnsi="Times New Roman" w:cs="Times New Roman"/>
      <w:color w:val="auto"/>
      <w:u w:val="single"/>
    </w:rPr>
  </w:style>
  <w:style w:type="paragraph" w:styleId="Spistreci5">
    <w:name w:val="toc 5"/>
    <w:basedOn w:val="Normalny"/>
    <w:next w:val="Normalny"/>
    <w:autoRedefine/>
    <w:uiPriority w:val="39"/>
    <w:rsid w:val="000C70A4"/>
    <w:pPr>
      <w:spacing w:after="100" w:line="288" w:lineRule="auto"/>
      <w:ind w:left="880"/>
      <w:jc w:val="both"/>
    </w:pPr>
    <w:rPr>
      <w:rFonts w:ascii="Calibri" w:hAnsi="Calibri" w:cs="Calibri"/>
    </w:rPr>
  </w:style>
  <w:style w:type="paragraph" w:styleId="Spistreci6">
    <w:name w:val="toc 6"/>
    <w:basedOn w:val="Normalny"/>
    <w:next w:val="Normalny"/>
    <w:autoRedefine/>
    <w:uiPriority w:val="39"/>
    <w:rsid w:val="000C70A4"/>
    <w:pPr>
      <w:spacing w:after="100" w:line="288" w:lineRule="auto"/>
      <w:ind w:left="1100"/>
      <w:jc w:val="both"/>
    </w:pPr>
    <w:rPr>
      <w:rFonts w:ascii="Calibri" w:hAnsi="Calibri" w:cs="Calibri"/>
    </w:rPr>
  </w:style>
  <w:style w:type="paragraph" w:styleId="Spistreci7">
    <w:name w:val="toc 7"/>
    <w:basedOn w:val="Normalny"/>
    <w:next w:val="Normalny"/>
    <w:autoRedefine/>
    <w:uiPriority w:val="39"/>
    <w:rsid w:val="000C70A4"/>
    <w:pPr>
      <w:spacing w:after="100" w:line="288" w:lineRule="auto"/>
      <w:ind w:left="1320"/>
      <w:jc w:val="both"/>
    </w:pPr>
    <w:rPr>
      <w:rFonts w:ascii="Calibri" w:hAnsi="Calibri" w:cs="Calibri"/>
    </w:rPr>
  </w:style>
  <w:style w:type="paragraph" w:styleId="Spistreci8">
    <w:name w:val="toc 8"/>
    <w:basedOn w:val="Normalny"/>
    <w:next w:val="Normalny"/>
    <w:autoRedefine/>
    <w:uiPriority w:val="39"/>
    <w:rsid w:val="000C70A4"/>
    <w:pPr>
      <w:spacing w:after="100" w:line="288" w:lineRule="auto"/>
      <w:ind w:left="1540"/>
      <w:jc w:val="both"/>
    </w:pPr>
    <w:rPr>
      <w:rFonts w:ascii="Calibri" w:hAnsi="Calibri" w:cs="Calibri"/>
    </w:rPr>
  </w:style>
  <w:style w:type="paragraph" w:styleId="Spistreci9">
    <w:name w:val="toc 9"/>
    <w:basedOn w:val="Normalny"/>
    <w:next w:val="Normalny"/>
    <w:autoRedefine/>
    <w:uiPriority w:val="39"/>
    <w:rsid w:val="000C70A4"/>
    <w:pPr>
      <w:spacing w:after="100" w:line="288" w:lineRule="auto"/>
      <w:ind w:left="1760"/>
      <w:jc w:val="both"/>
    </w:pPr>
    <w:rPr>
      <w:rFonts w:ascii="Calibri" w:hAnsi="Calibri" w:cs="Calibri"/>
    </w:rPr>
  </w:style>
  <w:style w:type="character" w:styleId="Uwydatnienie">
    <w:name w:val="Emphasis"/>
    <w:basedOn w:val="Domylnaczcionkaakapitu"/>
    <w:qFormat/>
    <w:rsid w:val="000C70A4"/>
    <w:rPr>
      <w:rFonts w:ascii="Times New Roman" w:hAnsi="Times New Roman" w:cs="Times New Roman"/>
      <w:i/>
      <w:iCs/>
    </w:rPr>
  </w:style>
  <w:style w:type="character" w:customStyle="1" w:styleId="rdoZnak">
    <w:name w:val="źródło Znak"/>
    <w:basedOn w:val="Domylnaczcionkaakapitu"/>
    <w:uiPriority w:val="99"/>
    <w:rsid w:val="000C70A4"/>
    <w:rPr>
      <w:rFonts w:ascii="Calibri" w:hAnsi="Calibri" w:cs="Calibri"/>
      <w:sz w:val="18"/>
      <w:szCs w:val="18"/>
      <w:lang w:eastAsia="en-US"/>
    </w:rPr>
  </w:style>
  <w:style w:type="paragraph" w:customStyle="1" w:styleId="wyp2">
    <w:name w:val="wyp2"/>
    <w:basedOn w:val="Normalny"/>
    <w:uiPriority w:val="99"/>
    <w:rsid w:val="000C70A4"/>
    <w:pPr>
      <w:numPr>
        <w:numId w:val="25"/>
      </w:numPr>
      <w:autoSpaceDE w:val="0"/>
      <w:autoSpaceDN w:val="0"/>
      <w:adjustRightInd w:val="0"/>
      <w:spacing w:after="120"/>
      <w:ind w:left="714" w:hanging="357"/>
      <w:jc w:val="both"/>
    </w:pPr>
    <w:rPr>
      <w:rFonts w:ascii="Calibri" w:hAnsi="Calibri" w:cs="Calibri"/>
      <w:color w:val="000000"/>
      <w:sz w:val="22"/>
      <w:szCs w:val="22"/>
      <w:lang w:eastAsia="en-US"/>
    </w:rPr>
  </w:style>
  <w:style w:type="character" w:customStyle="1" w:styleId="wyp2Znak">
    <w:name w:val="wyp2 Znak"/>
    <w:basedOn w:val="Domylnaczcionkaakapitu"/>
    <w:uiPriority w:val="99"/>
    <w:rsid w:val="000C70A4"/>
    <w:rPr>
      <w:rFonts w:ascii="Calibri" w:hAnsi="Calibri" w:cs="Calibri"/>
      <w:color w:val="000000"/>
      <w:sz w:val="22"/>
      <w:szCs w:val="22"/>
      <w:lang w:eastAsia="en-US"/>
    </w:rPr>
  </w:style>
  <w:style w:type="paragraph" w:customStyle="1" w:styleId="rdo">
    <w:name w:val="źródło"/>
    <w:basedOn w:val="Normalny"/>
    <w:uiPriority w:val="99"/>
    <w:rsid w:val="000C70A4"/>
    <w:pPr>
      <w:spacing w:after="120"/>
      <w:jc w:val="both"/>
    </w:pPr>
    <w:rPr>
      <w:rFonts w:ascii="Calibri" w:hAnsi="Calibri" w:cs="Calibri"/>
      <w:sz w:val="18"/>
      <w:szCs w:val="18"/>
      <w:lang w:eastAsia="en-US"/>
    </w:rPr>
  </w:style>
  <w:style w:type="paragraph" w:customStyle="1" w:styleId="StandardowyStandardowy1Arial">
    <w:name w:val="Standardowy.Standardowy1Arial"/>
    <w:basedOn w:val="Normalny"/>
    <w:uiPriority w:val="99"/>
    <w:rsid w:val="000C70A4"/>
    <w:pPr>
      <w:jc w:val="both"/>
    </w:pPr>
    <w:rPr>
      <w:rFonts w:ascii="Arial" w:hAnsi="Arial" w:cs="Arial"/>
      <w:sz w:val="22"/>
      <w:szCs w:val="22"/>
    </w:rPr>
  </w:style>
  <w:style w:type="paragraph" w:customStyle="1" w:styleId="StandardArial11">
    <w:name w:val="Standard Arial 11"/>
    <w:basedOn w:val="Normalny"/>
    <w:uiPriority w:val="99"/>
    <w:rsid w:val="000C70A4"/>
    <w:pPr>
      <w:spacing w:line="360" w:lineRule="auto"/>
      <w:jc w:val="both"/>
    </w:pPr>
    <w:rPr>
      <w:rFonts w:ascii="Arial" w:hAnsi="Arial" w:cs="Arial"/>
      <w:sz w:val="22"/>
      <w:szCs w:val="22"/>
    </w:rPr>
  </w:style>
  <w:style w:type="paragraph" w:customStyle="1" w:styleId="Domylny">
    <w:name w:val="Domyślny"/>
    <w:uiPriority w:val="99"/>
    <w:rsid w:val="000C70A4"/>
    <w:pPr>
      <w:suppressAutoHyphens/>
      <w:spacing w:after="200" w:line="276" w:lineRule="auto"/>
    </w:pPr>
    <w:rPr>
      <w:rFonts w:ascii="Calibri" w:eastAsia="SimSun" w:hAnsi="Calibri" w:cs="Calibri"/>
      <w:sz w:val="22"/>
      <w:szCs w:val="22"/>
    </w:rPr>
  </w:style>
  <w:style w:type="table" w:styleId="Tabela-Siatka">
    <w:name w:val="Table Grid"/>
    <w:basedOn w:val="Standardowy"/>
    <w:uiPriority w:val="59"/>
    <w:rsid w:val="001C2FD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Zwykatabela31">
    <w:name w:val="Zwykła tabela 31"/>
    <w:basedOn w:val="Standardowy"/>
    <w:uiPriority w:val="43"/>
    <w:rsid w:val="001C2FD4"/>
    <w:rPr>
      <w:rFonts w:ascii="Calibri" w:eastAsia="Calibri" w:hAnsi="Calibri"/>
      <w:sz w:val="22"/>
      <w:szCs w:val="22"/>
      <w:lang w:eastAsia="en-US"/>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Zwykatabela51">
    <w:name w:val="Zwykła tabela 51"/>
    <w:basedOn w:val="Standardowy"/>
    <w:uiPriority w:val="45"/>
    <w:rsid w:val="001C2FD4"/>
    <w:rPr>
      <w:rFonts w:ascii="Calibri" w:eastAsia="Calibri" w:hAnsi="Calibri"/>
      <w:sz w:val="22"/>
      <w:szCs w:val="22"/>
      <w:lang w:eastAsia="en-US"/>
    </w:rPr>
    <w:tblPr>
      <w:tblStyleRowBandSize w:val="1"/>
      <w:tblStyleColBandSize w:val="1"/>
      <w:tblInd w:w="0" w:type="dxa"/>
      <w:tblCellMar>
        <w:top w:w="0" w:type="dxa"/>
        <w:left w:w="108" w:type="dxa"/>
        <w:bottom w:w="0" w:type="dxa"/>
        <w:right w:w="108" w:type="dxa"/>
      </w:tblCellMar>
    </w:tblPr>
    <w:tblStylePr w:type="firstRow">
      <w:rPr>
        <w:rFonts w:ascii="Cambria" w:eastAsia="Times New Roman" w:hAnsi="Cambria" w:cs="Times New Roman"/>
        <w:i/>
        <w:iCs/>
        <w:sz w:val="26"/>
      </w:rPr>
      <w:tblPr/>
      <w:tcPr>
        <w:tcBorders>
          <w:bottom w:val="single" w:sz="4" w:space="0" w:color="7F7F7F"/>
        </w:tcBorders>
        <w:shd w:val="clear" w:color="auto" w:fill="FFFFFF"/>
      </w:tcPr>
    </w:tblStylePr>
    <w:tblStylePr w:type="lastRow">
      <w:rPr>
        <w:rFonts w:ascii="Cambria" w:eastAsia="Times New Roman" w:hAnsi="Cambria" w:cs="Times New Roman"/>
        <w:i/>
        <w:iCs/>
        <w:sz w:val="26"/>
      </w:rPr>
      <w:tblPr/>
      <w:tcPr>
        <w:tcBorders>
          <w:top w:val="single" w:sz="4" w:space="0" w:color="7F7F7F"/>
        </w:tcBorders>
        <w:shd w:val="clear" w:color="auto" w:fill="FFFFFF"/>
      </w:tcPr>
    </w:tblStylePr>
    <w:tblStylePr w:type="firstCol">
      <w:pPr>
        <w:jc w:val="right"/>
      </w:pPr>
      <w:rPr>
        <w:rFonts w:ascii="Cambria" w:eastAsia="Times New Roman" w:hAnsi="Cambria" w:cs="Times New Roman"/>
        <w:i/>
        <w:iCs/>
        <w:sz w:val="26"/>
      </w:rPr>
      <w:tblPr/>
      <w:tcPr>
        <w:tcBorders>
          <w:right w:val="single" w:sz="4" w:space="0" w:color="7F7F7F"/>
        </w:tcBorders>
        <w:shd w:val="clear" w:color="auto" w:fill="FFFFFF"/>
      </w:tcPr>
    </w:tblStylePr>
    <w:tblStylePr w:type="lastCol">
      <w:rPr>
        <w:rFonts w:ascii="Cambria" w:eastAsia="Times New Roman" w:hAnsi="Cambria"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siatki5ciemnaakcent51">
    <w:name w:val="Tabela siatki 5 — ciemna — akcent 51"/>
    <w:basedOn w:val="Tabelalisty1jasnaakcent51"/>
    <w:uiPriority w:val="50"/>
    <w:rsid w:val="001C2FD4"/>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DAEEF3"/>
    </w:tcPr>
    <w:tblStylePr w:type="firstRow">
      <w:rPr>
        <w:b/>
        <w:bCs/>
        <w:color w:val="FFFFFF"/>
      </w:rPr>
      <w:tblPr/>
      <w:tcPr>
        <w:tcBorders>
          <w:top w:val="single" w:sz="4" w:space="0" w:color="FFFFFF"/>
          <w:left w:val="single" w:sz="4" w:space="0" w:color="FFFFFF"/>
          <w:bottom w:val="single" w:sz="4" w:space="0" w:color="92CDDC"/>
          <w:right w:val="single" w:sz="4" w:space="0" w:color="FFFFFF"/>
          <w:insideH w:val="nil"/>
          <w:insideV w:val="nil"/>
        </w:tcBorders>
        <w:shd w:val="clear" w:color="auto" w:fill="4BACC6"/>
      </w:tcPr>
    </w:tblStylePr>
    <w:tblStylePr w:type="lastRow">
      <w:rPr>
        <w:b/>
        <w:bCs/>
        <w:color w:val="FFFFFF"/>
      </w:rPr>
      <w:tblPr/>
      <w:tcPr>
        <w:tcBorders>
          <w:top w:val="single" w:sz="4" w:space="0" w:color="92CDDC"/>
          <w:left w:val="single" w:sz="4" w:space="0" w:color="FFFFFF"/>
          <w:bottom w:val="single" w:sz="4" w:space="0" w:color="FFFFFF"/>
          <w:right w:val="single" w:sz="4" w:space="0" w:color="FFFFFF"/>
          <w:insideH w:val="nil"/>
          <w:insideV w:val="nil"/>
        </w:tcBorders>
        <w:shd w:val="clear" w:color="auto" w:fill="4BACC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BACC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BACC6"/>
      </w:tcPr>
    </w:tblStylePr>
    <w:tblStylePr w:type="band1Vert">
      <w:tblPr/>
      <w:tcPr>
        <w:shd w:val="clear" w:color="auto" w:fill="B6DDE8"/>
      </w:tcPr>
    </w:tblStylePr>
    <w:tblStylePr w:type="band1Horz">
      <w:tblPr/>
      <w:tcPr>
        <w:shd w:val="clear" w:color="auto" w:fill="B6DDE8"/>
      </w:tcPr>
    </w:tblStylePr>
  </w:style>
  <w:style w:type="table" w:customStyle="1" w:styleId="Tabelasiatki6kolorowaakcent51">
    <w:name w:val="Tabela siatki 6 — kolorowa — akcent 51"/>
    <w:basedOn w:val="Standardowy"/>
    <w:uiPriority w:val="51"/>
    <w:rsid w:val="001C2FD4"/>
    <w:rPr>
      <w:rFonts w:ascii="Calibri" w:eastAsia="Calibri" w:hAnsi="Calibri"/>
      <w:color w:val="31849B"/>
      <w:sz w:val="22"/>
      <w:szCs w:val="22"/>
      <w:lang w:eastAsia="en-US"/>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Tabelasiatki2akcent51">
    <w:name w:val="Tabela siatki 2 — akcent 51"/>
    <w:basedOn w:val="Standardowy"/>
    <w:uiPriority w:val="47"/>
    <w:rsid w:val="001C2FD4"/>
    <w:rPr>
      <w:rFonts w:ascii="Calibri" w:eastAsia="Calibri" w:hAnsi="Calibri"/>
      <w:sz w:val="22"/>
      <w:szCs w:val="22"/>
      <w:lang w:eastAsia="en-US"/>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Tabelalisty1jasnaakcent51">
    <w:name w:val="Tabela listy 1 — jasna — akcent 51"/>
    <w:basedOn w:val="Standardowy"/>
    <w:uiPriority w:val="46"/>
    <w:rsid w:val="001C2FD4"/>
    <w:rPr>
      <w:rFonts w:ascii="Calibri" w:eastAsia="Calibri" w:hAnsi="Calibri"/>
      <w:sz w:val="22"/>
      <w:szCs w:val="22"/>
      <w:lang w:eastAsia="en-US"/>
    </w:r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92CDDC"/>
        </w:tcBorders>
      </w:tcPr>
    </w:tblStylePr>
    <w:tblStylePr w:type="lastRow">
      <w:rPr>
        <w:b/>
        <w:bCs/>
      </w:rPr>
      <w:tblPr/>
      <w:tcPr>
        <w:tcBorders>
          <w:top w:val="sing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Tabelasiatki4akcent51">
    <w:name w:val="Tabela siatki 4 — akcent 51"/>
    <w:basedOn w:val="Standardowy"/>
    <w:uiPriority w:val="49"/>
    <w:rsid w:val="001C2FD4"/>
    <w:rPr>
      <w:rFonts w:ascii="Calibri" w:eastAsia="Calibri" w:hAnsi="Calibri"/>
      <w:sz w:val="22"/>
      <w:szCs w:val="22"/>
      <w:lang w:eastAsia="en-US"/>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character" w:customStyle="1" w:styleId="BezodstpwZnak">
    <w:name w:val="Bez odstępów Znak"/>
    <w:basedOn w:val="Domylnaczcionkaakapitu"/>
    <w:link w:val="Bezodstpw"/>
    <w:uiPriority w:val="99"/>
    <w:rsid w:val="001C2FD4"/>
    <w:rPr>
      <w:rFonts w:ascii="Calibri" w:hAnsi="Calibri" w:cs="Calibri"/>
      <w:sz w:val="22"/>
      <w:szCs w:val="22"/>
      <w:lang w:val="pl-PL" w:eastAsia="pl-PL" w:bidi="ar-SA"/>
    </w:rPr>
  </w:style>
  <w:style w:type="numbering" w:customStyle="1" w:styleId="Bezlisty1">
    <w:name w:val="Bez listy1"/>
    <w:next w:val="Bezlisty"/>
    <w:uiPriority w:val="99"/>
    <w:semiHidden/>
    <w:unhideWhenUsed/>
    <w:rsid w:val="001C2FD4"/>
  </w:style>
  <w:style w:type="character" w:customStyle="1" w:styleId="AkapitzlistZnak">
    <w:name w:val="Akapit z listą Znak"/>
    <w:aliases w:val="Wypunktowanie Znak,L1 Znak,Numerowanie Znak"/>
    <w:link w:val="Akapitzlist"/>
    <w:uiPriority w:val="34"/>
    <w:qFormat/>
    <w:rsid w:val="003A6A35"/>
    <w:rPr>
      <w:rFonts w:ascii="Calibri" w:eastAsia="Calibri" w:hAnsi="Calibri"/>
      <w:sz w:val="22"/>
      <w:szCs w:val="22"/>
      <w:lang w:eastAsia="en-US"/>
    </w:rPr>
  </w:style>
  <w:style w:type="paragraph" w:customStyle="1" w:styleId="Akapitzlist2">
    <w:name w:val="Akapit z listą2"/>
    <w:basedOn w:val="Normalny"/>
    <w:rsid w:val="00363C2D"/>
    <w:pPr>
      <w:suppressAutoHyphens/>
      <w:ind w:left="720"/>
    </w:pPr>
    <w:rPr>
      <w:rFonts w:ascii="Arial" w:eastAsia="Arial" w:hAnsi="Arial" w:cs="Arial"/>
      <w:color w:val="000000"/>
      <w:kern w:val="1"/>
      <w:lang w:eastAsia="hi-IN" w:bidi="hi-IN"/>
    </w:rPr>
  </w:style>
  <w:style w:type="paragraph" w:customStyle="1" w:styleId="Application3">
    <w:name w:val="Application3"/>
    <w:basedOn w:val="Normalny"/>
    <w:rsid w:val="00C827CB"/>
    <w:pPr>
      <w:widowControl w:val="0"/>
      <w:tabs>
        <w:tab w:val="right" w:pos="8789"/>
      </w:tabs>
      <w:suppressAutoHyphens/>
      <w:autoSpaceDE w:val="0"/>
      <w:ind w:left="567" w:hanging="567"/>
    </w:pPr>
    <w:rPr>
      <w:rFonts w:ascii="Arial" w:hAnsi="Arial" w:cs="Arial"/>
      <w:spacing w:val="-2"/>
      <w:sz w:val="22"/>
      <w:szCs w:val="22"/>
      <w:lang w:val="en-GB" w:eastAsia="ar-SA"/>
    </w:rPr>
  </w:style>
  <w:style w:type="paragraph" w:customStyle="1" w:styleId="Akapitzlist3">
    <w:name w:val="Akapit z listą3"/>
    <w:basedOn w:val="Normalny"/>
    <w:rsid w:val="00397059"/>
    <w:pPr>
      <w:suppressAutoHyphens/>
      <w:spacing w:before="120" w:after="120" w:line="312" w:lineRule="auto"/>
      <w:jc w:val="both"/>
    </w:pPr>
    <w:rPr>
      <w:rFonts w:ascii="Calibri" w:hAnsi="Calibri" w:cs="Calibri"/>
      <w:b/>
      <w:bCs/>
      <w:color w:val="17365D"/>
      <w:sz w:val="22"/>
      <w:szCs w:val="22"/>
      <w:lang w:eastAsia="ar-SA"/>
    </w:rPr>
  </w:style>
  <w:style w:type="paragraph" w:customStyle="1" w:styleId="Akapitzlist4">
    <w:name w:val="Akapit z listą4"/>
    <w:basedOn w:val="Normalny"/>
    <w:rsid w:val="00281463"/>
    <w:pPr>
      <w:suppressAutoHyphens/>
      <w:spacing w:before="120" w:after="120" w:line="312" w:lineRule="auto"/>
      <w:jc w:val="both"/>
    </w:pPr>
    <w:rPr>
      <w:rFonts w:ascii="Calibri" w:hAnsi="Calibri" w:cs="Calibri"/>
      <w:b/>
      <w:bCs/>
      <w:color w:val="17365D"/>
      <w:sz w:val="22"/>
      <w:szCs w:val="22"/>
      <w:lang w:eastAsia="ar-SA"/>
    </w:rPr>
  </w:style>
  <w:style w:type="paragraph" w:customStyle="1" w:styleId="ListParagraph1">
    <w:name w:val="List Paragraph1"/>
    <w:basedOn w:val="Normalny"/>
    <w:rsid w:val="00281463"/>
    <w:pPr>
      <w:suppressAutoHyphens/>
      <w:spacing w:before="120" w:after="120" w:line="312" w:lineRule="auto"/>
      <w:jc w:val="both"/>
    </w:pPr>
    <w:rPr>
      <w:rFonts w:ascii="Calibri" w:hAnsi="Calibri"/>
      <w:b/>
      <w:bCs/>
      <w:color w:val="17365D"/>
      <w:sz w:val="22"/>
      <w:szCs w:val="22"/>
      <w:lang w:eastAsia="ar-SA"/>
    </w:rPr>
  </w:style>
  <w:style w:type="paragraph" w:styleId="Tekstpodstawowywcity3">
    <w:name w:val="Body Text Indent 3"/>
    <w:basedOn w:val="Normalny"/>
    <w:link w:val="Tekstpodstawowywcity3Znak"/>
    <w:uiPriority w:val="99"/>
    <w:semiHidden/>
    <w:unhideWhenUsed/>
    <w:rsid w:val="00D45669"/>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D45669"/>
    <w:rPr>
      <w:sz w:val="16"/>
      <w:szCs w:val="16"/>
    </w:rPr>
  </w:style>
  <w:style w:type="character" w:customStyle="1" w:styleId="apple-converted-space">
    <w:name w:val="apple-converted-space"/>
    <w:uiPriority w:val="99"/>
    <w:rsid w:val="00A32047"/>
    <w:rPr>
      <w:rFonts w:ascii="Times New Roman" w:hAnsi="Times New Roman" w:cs="Times New Roman"/>
    </w:rPr>
  </w:style>
  <w:style w:type="paragraph" w:customStyle="1" w:styleId="Akapitzlist5">
    <w:name w:val="Akapit z listą5"/>
    <w:basedOn w:val="Normalny"/>
    <w:uiPriority w:val="99"/>
    <w:rsid w:val="00A32047"/>
    <w:pPr>
      <w:suppressAutoHyphens/>
      <w:spacing w:after="200" w:line="276" w:lineRule="auto"/>
      <w:ind w:left="720"/>
    </w:pPr>
    <w:rPr>
      <w:rFonts w:ascii="Calibri" w:hAnsi="Calibri" w:cs="Calibri"/>
      <w:sz w:val="22"/>
      <w:szCs w:val="22"/>
      <w:lang w:eastAsia="ar-SA"/>
    </w:rPr>
  </w:style>
  <w:style w:type="paragraph" w:customStyle="1" w:styleId="Standard">
    <w:name w:val="Standard"/>
    <w:qFormat/>
    <w:rsid w:val="00FD1D45"/>
    <w:pPr>
      <w:suppressAutoHyphens/>
      <w:autoSpaceDN w:val="0"/>
      <w:spacing w:after="200" w:line="276" w:lineRule="auto"/>
      <w:textAlignment w:val="baseline"/>
    </w:pPr>
    <w:rPr>
      <w:rFonts w:ascii="Calibri" w:eastAsia="SimSun" w:hAnsi="Calibri" w:cs="Calibri"/>
      <w:color w:val="00000A"/>
      <w:kern w:val="3"/>
      <w:sz w:val="22"/>
      <w:szCs w:val="22"/>
    </w:rPr>
  </w:style>
  <w:style w:type="numbering" w:customStyle="1" w:styleId="WWNum107">
    <w:name w:val="WWNum107"/>
    <w:basedOn w:val="Bezlisty"/>
    <w:rsid w:val="00FD1D45"/>
    <w:pPr>
      <w:numPr>
        <w:numId w:val="153"/>
      </w:numPr>
    </w:pPr>
  </w:style>
  <w:style w:type="numbering" w:customStyle="1" w:styleId="WWNum127">
    <w:name w:val="WWNum127"/>
    <w:basedOn w:val="Bezlisty"/>
    <w:rsid w:val="00FD1D45"/>
    <w:pPr>
      <w:numPr>
        <w:numId w:val="154"/>
      </w:numPr>
    </w:pPr>
  </w:style>
  <w:style w:type="numbering" w:customStyle="1" w:styleId="WWNum128">
    <w:name w:val="WWNum128"/>
    <w:basedOn w:val="Bezlisty"/>
    <w:rsid w:val="00FD1D45"/>
    <w:pPr>
      <w:numPr>
        <w:numId w:val="155"/>
      </w:numPr>
    </w:pPr>
  </w:style>
  <w:style w:type="numbering" w:customStyle="1" w:styleId="WWNum129">
    <w:name w:val="WWNum129"/>
    <w:basedOn w:val="Bezlisty"/>
    <w:rsid w:val="00FD1D45"/>
    <w:pPr>
      <w:numPr>
        <w:numId w:val="156"/>
      </w:numPr>
    </w:pPr>
  </w:style>
  <w:style w:type="numbering" w:customStyle="1" w:styleId="WWNum130">
    <w:name w:val="WWNum130"/>
    <w:basedOn w:val="Bezlisty"/>
    <w:rsid w:val="00FD1D45"/>
    <w:pPr>
      <w:numPr>
        <w:numId w:val="157"/>
      </w:numPr>
    </w:pPr>
  </w:style>
  <w:style w:type="numbering" w:customStyle="1" w:styleId="WWNum131">
    <w:name w:val="WWNum131"/>
    <w:basedOn w:val="Bezlisty"/>
    <w:rsid w:val="00FD1D45"/>
    <w:pPr>
      <w:numPr>
        <w:numId w:val="158"/>
      </w:numPr>
    </w:pPr>
  </w:style>
  <w:style w:type="paragraph" w:customStyle="1" w:styleId="TableContents">
    <w:name w:val="Table Contents"/>
    <w:basedOn w:val="Standard"/>
    <w:rsid w:val="00D92BA0"/>
    <w:pPr>
      <w:suppressLineNumbers/>
    </w:pPr>
  </w:style>
  <w:style w:type="numbering" w:customStyle="1" w:styleId="WWNum56">
    <w:name w:val="WWNum56"/>
    <w:basedOn w:val="Bezlisty"/>
    <w:rsid w:val="00D92BA0"/>
    <w:pPr>
      <w:numPr>
        <w:numId w:val="159"/>
      </w:numPr>
    </w:pPr>
  </w:style>
  <w:style w:type="paragraph" w:customStyle="1" w:styleId="TableHeading">
    <w:name w:val="Table Heading"/>
    <w:basedOn w:val="TableContents"/>
    <w:rsid w:val="00866333"/>
    <w:pPr>
      <w:jc w:val="center"/>
    </w:pPr>
    <w:rPr>
      <w:b/>
      <w:bCs/>
    </w:rPr>
  </w:style>
  <w:style w:type="character" w:customStyle="1" w:styleId="TekstprzypisudolnegoZnak1">
    <w:name w:val="Tekst przypisu dolnego Znak1"/>
    <w:aliases w:val="Podrozdział Znak1,Footnote Znak1,Podrozdzia3 Znak1,Odwołanie przypisu1 Znak1,Odwołanie przypisu2 Znak1,Przypis dolny Znak1,Tekst przypisu1 Znak1,Tekst przypisu2 Znak1,Tekst przypisu3 Znak1,-E Fuﬂnotentext Znak1,Fußnote Znak"/>
    <w:basedOn w:val="Domylnaczcionkaakapitu"/>
    <w:link w:val="Tekstprzypisudolnego"/>
    <w:uiPriority w:val="99"/>
    <w:rsid w:val="005260B6"/>
  </w:style>
  <w:style w:type="paragraph" w:customStyle="1" w:styleId="TreA">
    <w:name w:val="Treść A"/>
    <w:uiPriority w:val="99"/>
    <w:rsid w:val="005260B6"/>
    <w:rPr>
      <w:rFonts w:ascii="Helvetica" w:hAnsi="Helvetica" w:cs="Helvetica"/>
      <w:noProof/>
      <w:color w:val="000000"/>
      <w:sz w:val="22"/>
      <w:szCs w:val="22"/>
      <w:u w:color="000000"/>
    </w:rPr>
  </w:style>
  <w:style w:type="character" w:customStyle="1" w:styleId="Nagwek3Znak1">
    <w:name w:val="Nagłówek 3 Znak1"/>
    <w:basedOn w:val="Domylnaczcionkaakapitu"/>
    <w:link w:val="Nagwek3"/>
    <w:uiPriority w:val="99"/>
    <w:rsid w:val="005B41FF"/>
    <w:rPr>
      <w:rFonts w:ascii="Calibri" w:hAnsi="Calibri" w:cs="Calibri"/>
      <w:b/>
      <w:bCs/>
      <w:color w:val="3366FF"/>
      <w:sz w:val="26"/>
      <w:szCs w:val="26"/>
    </w:rPr>
  </w:style>
  <w:style w:type="paragraph" w:customStyle="1" w:styleId="font8">
    <w:name w:val="font_8"/>
    <w:basedOn w:val="Normalny"/>
    <w:rsid w:val="00ED6020"/>
    <w:pPr>
      <w:suppressAutoHyphens/>
      <w:spacing w:before="280" w:after="280"/>
    </w:pPr>
    <w:rPr>
      <w:lang w:eastAsia="zh-CN"/>
    </w:rPr>
  </w:style>
  <w:style w:type="character" w:customStyle="1" w:styleId="Odwoanieprzypisudolnego2">
    <w:name w:val="Odwołanie przypisu dolnego2"/>
    <w:basedOn w:val="Domylnaczcionkaakapitu"/>
    <w:rsid w:val="007956B3"/>
    <w:rPr>
      <w:vertAlign w:val="superscript"/>
    </w:rPr>
  </w:style>
  <w:style w:type="paragraph" w:customStyle="1" w:styleId="Tekstprzypisudolnego1">
    <w:name w:val="Tekst przypisu dolnego1"/>
    <w:basedOn w:val="Normalny"/>
    <w:rsid w:val="007956B3"/>
    <w:pPr>
      <w:suppressAutoHyphens/>
      <w:spacing w:line="100" w:lineRule="atLeast"/>
    </w:pPr>
    <w:rPr>
      <w:rFonts w:ascii="Times New Roman" w:eastAsia="Lucida Sans Unicode" w:hAnsi="Times New Roman" w:cs="Mangal"/>
      <w:kern w:val="1"/>
      <w:szCs w:val="20"/>
      <w:lang w:eastAsia="hi-IN" w:bidi="hi-IN"/>
    </w:rPr>
  </w:style>
  <w:style w:type="character" w:styleId="Numerwiersza">
    <w:name w:val="line number"/>
    <w:basedOn w:val="Domylnaczcionkaakapitu"/>
    <w:uiPriority w:val="99"/>
    <w:semiHidden/>
    <w:unhideWhenUsed/>
    <w:rsid w:val="00693919"/>
  </w:style>
  <w:style w:type="paragraph" w:customStyle="1" w:styleId="Legenda1">
    <w:name w:val="Legenda1"/>
    <w:basedOn w:val="Normalny"/>
    <w:rsid w:val="001D4F82"/>
    <w:pPr>
      <w:suppressAutoHyphens/>
      <w:spacing w:line="100" w:lineRule="atLeast"/>
    </w:pPr>
    <w:rPr>
      <w:rFonts w:ascii="Times New Roman" w:hAnsi="Times New Roman"/>
      <w:b/>
      <w:bCs/>
      <w:kern w:val="1"/>
      <w:szCs w:val="20"/>
      <w:lang w:eastAsia="hi-IN" w:bidi="hi-IN"/>
    </w:rPr>
  </w:style>
  <w:style w:type="paragraph" w:customStyle="1" w:styleId="Tekstpodstawowy21">
    <w:name w:val="Tekst podstawowy 21"/>
    <w:basedOn w:val="Normalny"/>
    <w:rsid w:val="001D4F82"/>
    <w:pPr>
      <w:suppressAutoHyphens/>
      <w:spacing w:line="100" w:lineRule="atLeast"/>
      <w:jc w:val="both"/>
    </w:pPr>
    <w:rPr>
      <w:rFonts w:ascii="Times New Roman" w:hAnsi="Times New Roman"/>
      <w:kern w:val="1"/>
      <w:szCs w:val="22"/>
      <w:lang w:eastAsia="hi-IN" w:bidi="hi-IN"/>
    </w:rPr>
  </w:style>
  <w:style w:type="paragraph" w:customStyle="1" w:styleId="Akapitzlist6">
    <w:name w:val="Akapit z listą6"/>
    <w:basedOn w:val="Normalny"/>
    <w:rsid w:val="001D4F82"/>
    <w:pPr>
      <w:suppressAutoHyphens/>
      <w:spacing w:after="200" w:line="276" w:lineRule="auto"/>
      <w:ind w:left="720"/>
    </w:pPr>
    <w:rPr>
      <w:rFonts w:ascii="Calibri" w:eastAsia="Calibri" w:hAnsi="Calibri"/>
      <w:kern w:val="1"/>
      <w:sz w:val="22"/>
      <w:szCs w:val="22"/>
      <w:lang w:eastAsia="hi-IN" w:bidi="hi-IN"/>
    </w:rPr>
  </w:style>
  <w:style w:type="paragraph" w:customStyle="1" w:styleId="Textbody">
    <w:name w:val="Text body"/>
    <w:basedOn w:val="Standard"/>
    <w:rsid w:val="008535E2"/>
    <w:pPr>
      <w:widowControl w:val="0"/>
      <w:spacing w:after="283" w:line="240" w:lineRule="auto"/>
    </w:pPr>
    <w:rPr>
      <w:rFonts w:ascii="Times New Roman" w:eastAsia="Segoe UI" w:hAnsi="Times New Roman" w:cs="Tahoma"/>
      <w:color w:val="000000"/>
      <w:sz w:val="24"/>
      <w:szCs w:val="24"/>
      <w:lang w:val="en-US" w:eastAsia="en-US" w:bidi="en-US"/>
    </w:rPr>
  </w:style>
  <w:style w:type="paragraph" w:customStyle="1" w:styleId="Tekstpodstawowy22">
    <w:name w:val="Tekst podstawowy 22"/>
    <w:basedOn w:val="Normalny"/>
    <w:rsid w:val="00727F6A"/>
    <w:pPr>
      <w:suppressAutoHyphens/>
      <w:spacing w:line="100" w:lineRule="atLeast"/>
      <w:jc w:val="both"/>
    </w:pPr>
    <w:rPr>
      <w:rFonts w:ascii="Times New Roman" w:hAnsi="Times New Roman"/>
      <w:kern w:val="1"/>
      <w:szCs w:val="22"/>
      <w:lang w:eastAsia="hi-IN" w:bidi="hi-IN"/>
    </w:rPr>
  </w:style>
  <w:style w:type="character" w:customStyle="1" w:styleId="im">
    <w:name w:val="im"/>
    <w:basedOn w:val="Domylnaczcionkaakapitu"/>
    <w:rsid w:val="00727F6A"/>
  </w:style>
  <w:style w:type="character" w:styleId="HTML-staaszeroko">
    <w:name w:val="HTML Typewriter"/>
    <w:basedOn w:val="Domylnaczcionkaakapitu"/>
    <w:uiPriority w:val="99"/>
    <w:semiHidden/>
    <w:unhideWhenUsed/>
    <w:rsid w:val="00CC3470"/>
    <w:rPr>
      <w:rFonts w:ascii="Courier New" w:eastAsia="Times New Roman" w:hAnsi="Courier New" w:cs="Courier New"/>
      <w:sz w:val="20"/>
      <w:szCs w:val="20"/>
    </w:rPr>
  </w:style>
  <w:style w:type="paragraph" w:customStyle="1" w:styleId="Akapitzlist7">
    <w:name w:val="Akapit z listą7"/>
    <w:basedOn w:val="Normalny"/>
    <w:rsid w:val="00B50705"/>
    <w:pPr>
      <w:suppressAutoHyphens/>
      <w:spacing w:after="200" w:line="276" w:lineRule="auto"/>
      <w:ind w:left="720"/>
      <w:contextualSpacing/>
    </w:pPr>
    <w:rPr>
      <w:rFonts w:ascii="Calibri" w:eastAsia="Calibri" w:hAnsi="Calibri" w:cs="font95"/>
      <w:color w:val="00000A"/>
      <w:kern w:val="1"/>
      <w:sz w:val="22"/>
      <w:szCs w:val="22"/>
      <w:lang w:eastAsia="en-US"/>
    </w:rPr>
  </w:style>
  <w:style w:type="paragraph" w:customStyle="1" w:styleId="Akapitzlist8">
    <w:name w:val="Akapit z listą8"/>
    <w:basedOn w:val="Normalny"/>
    <w:rsid w:val="000D10BF"/>
    <w:pPr>
      <w:suppressAutoHyphens/>
      <w:spacing w:after="200" w:line="276" w:lineRule="auto"/>
      <w:ind w:left="720"/>
    </w:pPr>
    <w:rPr>
      <w:rFonts w:ascii="Calibri" w:eastAsia="Calibri" w:hAnsi="Calibri"/>
      <w:noProof/>
      <w:color w:val="00000A"/>
      <w:kern w:val="1"/>
      <w:sz w:val="22"/>
      <w:szCs w:val="22"/>
      <w:lang w:eastAsia="hi-IN"/>
    </w:rPr>
  </w:style>
  <w:style w:type="paragraph" w:customStyle="1" w:styleId="NormalnyWeb1">
    <w:name w:val="Normalny (Web)1"/>
    <w:basedOn w:val="Normalny"/>
    <w:rsid w:val="00075152"/>
    <w:pPr>
      <w:suppressAutoHyphens/>
      <w:spacing w:before="28" w:after="28" w:line="276" w:lineRule="auto"/>
    </w:pPr>
    <w:rPr>
      <w:rFonts w:ascii="Calibri" w:eastAsia="SimSun" w:hAnsi="Calibri"/>
      <w:noProof/>
      <w:color w:val="00000A"/>
      <w:kern w:val="1"/>
      <w:sz w:val="22"/>
      <w:szCs w:val="22"/>
      <w:lang w:eastAsia="hi-IN"/>
    </w:rPr>
  </w:style>
  <w:style w:type="paragraph" w:styleId="Listapunktowana">
    <w:name w:val="List Bullet"/>
    <w:basedOn w:val="Normalny"/>
    <w:uiPriority w:val="99"/>
    <w:unhideWhenUsed/>
    <w:rsid w:val="00B17251"/>
    <w:pPr>
      <w:numPr>
        <w:numId w:val="446"/>
      </w:numPr>
      <w:contextualSpacing/>
    </w:pPr>
  </w:style>
  <w:style w:type="paragraph" w:customStyle="1" w:styleId="xl65">
    <w:name w:val="xl65"/>
    <w:basedOn w:val="Normalny"/>
    <w:rsid w:val="00215C20"/>
    <w:pPr>
      <w:spacing w:before="100" w:beforeAutospacing="1" w:after="100" w:afterAutospacing="1"/>
      <w:jc w:val="right"/>
    </w:pPr>
    <w:rPr>
      <w:rFonts w:ascii="Times New Roman" w:hAnsi="Times New Roman"/>
      <w:sz w:val="24"/>
    </w:rPr>
  </w:style>
  <w:style w:type="paragraph" w:customStyle="1" w:styleId="xl66">
    <w:name w:val="xl66"/>
    <w:basedOn w:val="Normalny"/>
    <w:rsid w:val="00215C2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24"/>
    </w:rPr>
  </w:style>
  <w:style w:type="paragraph" w:customStyle="1" w:styleId="xl67">
    <w:name w:val="xl67"/>
    <w:basedOn w:val="Normalny"/>
    <w:rsid w:val="00215C2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24"/>
    </w:rPr>
  </w:style>
  <w:style w:type="paragraph" w:customStyle="1" w:styleId="xl68">
    <w:name w:val="xl68"/>
    <w:basedOn w:val="Normalny"/>
    <w:rsid w:val="00215C20"/>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24"/>
    </w:rPr>
  </w:style>
  <w:style w:type="paragraph" w:customStyle="1" w:styleId="xl69">
    <w:name w:val="xl69"/>
    <w:basedOn w:val="Normalny"/>
    <w:rsid w:val="00215C20"/>
    <w:pPr>
      <w:pBdr>
        <w:top w:val="single" w:sz="8" w:space="0" w:color="auto"/>
        <w:left w:val="single" w:sz="4" w:space="0" w:color="auto"/>
        <w:bottom w:val="single" w:sz="4" w:space="0" w:color="auto"/>
        <w:right w:val="single" w:sz="8" w:space="0" w:color="auto"/>
      </w:pBdr>
      <w:spacing w:before="100" w:beforeAutospacing="1" w:after="100" w:afterAutospacing="1"/>
    </w:pPr>
    <w:rPr>
      <w:rFonts w:ascii="Times New Roman" w:hAnsi="Times New Roman"/>
      <w:sz w:val="24"/>
    </w:rPr>
  </w:style>
  <w:style w:type="paragraph" w:customStyle="1" w:styleId="xl70">
    <w:name w:val="xl70"/>
    <w:basedOn w:val="Normalny"/>
    <w:rsid w:val="00215C20"/>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hAnsi="Times New Roman"/>
      <w:sz w:val="24"/>
    </w:rPr>
  </w:style>
  <w:style w:type="paragraph" w:customStyle="1" w:styleId="xl71">
    <w:name w:val="xl71"/>
    <w:basedOn w:val="Normalny"/>
    <w:rsid w:val="00215C20"/>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CE" w:hAnsi="Arial CE"/>
      <w:b/>
      <w:bCs/>
      <w:sz w:val="24"/>
    </w:rPr>
  </w:style>
  <w:style w:type="paragraph" w:customStyle="1" w:styleId="xl72">
    <w:name w:val="xl72"/>
    <w:basedOn w:val="Normalny"/>
    <w:rsid w:val="00215C20"/>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CE" w:hAnsi="Arial CE"/>
      <w:b/>
      <w:bCs/>
      <w:sz w:val="24"/>
    </w:rPr>
  </w:style>
  <w:style w:type="paragraph" w:customStyle="1" w:styleId="xl73">
    <w:name w:val="xl73"/>
    <w:basedOn w:val="Normalny"/>
    <w:rsid w:val="00215C20"/>
    <w:pPr>
      <w:shd w:val="clear" w:color="000000" w:fill="FCF305"/>
      <w:spacing w:before="100" w:beforeAutospacing="1" w:after="100" w:afterAutospacing="1"/>
    </w:pPr>
    <w:rPr>
      <w:rFonts w:ascii="Times New Roman" w:hAnsi="Times New Roman"/>
      <w:sz w:val="24"/>
    </w:rPr>
  </w:style>
  <w:style w:type="paragraph" w:customStyle="1" w:styleId="xl74">
    <w:name w:val="xl74"/>
    <w:basedOn w:val="Normalny"/>
    <w:rsid w:val="00215C20"/>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CE" w:hAnsi="Arial CE"/>
      <w:b/>
      <w:bCs/>
      <w:sz w:val="24"/>
    </w:rPr>
  </w:style>
  <w:style w:type="paragraph" w:customStyle="1" w:styleId="xl75">
    <w:name w:val="xl75"/>
    <w:basedOn w:val="Normalny"/>
    <w:rsid w:val="00215C20"/>
    <w:pPr>
      <w:pBdr>
        <w:top w:val="single" w:sz="8" w:space="0" w:color="auto"/>
        <w:left w:val="single" w:sz="8" w:space="0" w:color="auto"/>
        <w:bottom w:val="single" w:sz="4" w:space="0" w:color="auto"/>
        <w:right w:val="single" w:sz="4" w:space="0" w:color="auto"/>
      </w:pBdr>
      <w:spacing w:before="100" w:beforeAutospacing="1" w:after="100" w:afterAutospacing="1"/>
      <w:jc w:val="right"/>
    </w:pPr>
    <w:rPr>
      <w:rFonts w:ascii="Times New Roman" w:hAnsi="Times New Roman"/>
      <w:sz w:val="24"/>
    </w:rPr>
  </w:style>
  <w:style w:type="paragraph" w:customStyle="1" w:styleId="xl76">
    <w:name w:val="xl76"/>
    <w:basedOn w:val="Normalny"/>
    <w:rsid w:val="00215C20"/>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Times New Roman" w:hAnsi="Times New Roman"/>
      <w:sz w:val="24"/>
    </w:rPr>
  </w:style>
  <w:style w:type="paragraph" w:customStyle="1" w:styleId="xl77">
    <w:name w:val="xl77"/>
    <w:basedOn w:val="Normalny"/>
    <w:rsid w:val="00215C20"/>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CE" w:hAnsi="Arial CE"/>
      <w:b/>
      <w:bCs/>
      <w:sz w:val="24"/>
    </w:rPr>
  </w:style>
  <w:style w:type="paragraph" w:customStyle="1" w:styleId="xl78">
    <w:name w:val="xl78"/>
    <w:basedOn w:val="Normalny"/>
    <w:rsid w:val="00215C20"/>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CE" w:hAnsi="Arial CE"/>
      <w:sz w:val="24"/>
    </w:rPr>
  </w:style>
  <w:style w:type="paragraph" w:customStyle="1" w:styleId="xl79">
    <w:name w:val="xl79"/>
    <w:basedOn w:val="Normalny"/>
    <w:rsid w:val="00215C2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E" w:hAnsi="Arial CE"/>
      <w:sz w:val="24"/>
    </w:rPr>
  </w:style>
  <w:style w:type="paragraph" w:customStyle="1" w:styleId="xl80">
    <w:name w:val="xl80"/>
    <w:basedOn w:val="Normalny"/>
    <w:rsid w:val="00215C20"/>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CE" w:hAnsi="Arial CE"/>
      <w:b/>
      <w:bCs/>
      <w:sz w:val="24"/>
    </w:rPr>
  </w:style>
  <w:style w:type="paragraph" w:customStyle="1" w:styleId="western">
    <w:name w:val="western"/>
    <w:basedOn w:val="Normalny"/>
    <w:rsid w:val="00D42FF1"/>
    <w:pPr>
      <w:spacing w:before="100" w:beforeAutospacing="1" w:after="100" w:afterAutospacing="1"/>
    </w:pPr>
    <w:rPr>
      <w:rFonts w:ascii="Times New Roman" w:hAnsi="Times New Roman"/>
      <w:color w:val="000000"/>
      <w:sz w:val="24"/>
    </w:rPr>
  </w:style>
  <w:style w:type="paragraph" w:customStyle="1" w:styleId="NormalnyWeb2">
    <w:name w:val="Normalny (Web)2"/>
    <w:basedOn w:val="Normalny"/>
    <w:rsid w:val="00A23D3A"/>
    <w:pPr>
      <w:suppressAutoHyphens/>
      <w:spacing w:before="28" w:after="28" w:line="276" w:lineRule="auto"/>
    </w:pPr>
    <w:rPr>
      <w:rFonts w:ascii="Calibri" w:eastAsia="SimSun" w:hAnsi="Calibri"/>
      <w:noProof/>
      <w:color w:val="00000A"/>
      <w:kern w:val="1"/>
      <w:sz w:val="22"/>
      <w:szCs w:val="22"/>
      <w:lang w:eastAsia="hi-IN"/>
    </w:rPr>
  </w:style>
  <w:style w:type="table" w:customStyle="1" w:styleId="Tabelasiatki31">
    <w:name w:val="Tabela siatki 31"/>
    <w:basedOn w:val="Standardowy"/>
    <w:uiPriority w:val="48"/>
    <w:rsid w:val="00F21AE8"/>
    <w:rPr>
      <w:rFonts w:asciiTheme="minorHAnsi" w:eastAsiaTheme="minorHAnsi" w:hAnsiTheme="minorHAnsi" w:cstheme="minorBidi"/>
      <w:sz w:val="22"/>
      <w:szCs w:val="22"/>
      <w:lang w:eastAsia="en-US"/>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paragraph" w:styleId="Cytatintensywny">
    <w:name w:val="Intense Quote"/>
    <w:basedOn w:val="Normalny"/>
    <w:next w:val="Normalny"/>
    <w:link w:val="CytatintensywnyZnak"/>
    <w:uiPriority w:val="30"/>
    <w:qFormat/>
    <w:rsid w:val="00AC09BC"/>
    <w:pPr>
      <w:spacing w:before="240" w:after="240"/>
      <w:ind w:left="1080" w:right="1080"/>
      <w:jc w:val="center"/>
    </w:pPr>
    <w:rPr>
      <w:rFonts w:eastAsiaTheme="minorEastAsia" w:cstheme="minorBidi"/>
      <w:color w:val="4F81BD" w:themeColor="accent1"/>
      <w:sz w:val="24"/>
      <w:lang w:eastAsia="en-US"/>
    </w:rPr>
  </w:style>
  <w:style w:type="character" w:customStyle="1" w:styleId="CytatintensywnyZnak">
    <w:name w:val="Cytat intensywny Znak"/>
    <w:basedOn w:val="Domylnaczcionkaakapitu"/>
    <w:link w:val="Cytatintensywny"/>
    <w:uiPriority w:val="30"/>
    <w:rsid w:val="00AC09BC"/>
    <w:rPr>
      <w:rFonts w:asciiTheme="minorHAnsi" w:eastAsiaTheme="minorEastAsia" w:hAnsiTheme="minorHAnsi" w:cstheme="minorBidi"/>
      <w:color w:val="4F81BD" w:themeColor="accent1"/>
      <w:sz w:val="24"/>
      <w:szCs w:val="24"/>
      <w:lang w:eastAsia="en-US"/>
    </w:rPr>
  </w:style>
  <w:style w:type="paragraph" w:styleId="Cytat">
    <w:name w:val="Quote"/>
    <w:basedOn w:val="Normalny"/>
    <w:next w:val="Normalny"/>
    <w:link w:val="CytatZnak"/>
    <w:uiPriority w:val="29"/>
    <w:qFormat/>
    <w:rsid w:val="00C2018F"/>
    <w:pPr>
      <w:spacing w:before="100" w:after="200" w:line="276" w:lineRule="auto"/>
    </w:pPr>
    <w:rPr>
      <w:rFonts w:eastAsiaTheme="minorEastAsia" w:cstheme="minorBidi"/>
      <w:i/>
      <w:iCs/>
      <w:sz w:val="24"/>
      <w:lang w:eastAsia="en-US"/>
    </w:rPr>
  </w:style>
  <w:style w:type="character" w:customStyle="1" w:styleId="CytatZnak">
    <w:name w:val="Cytat Znak"/>
    <w:basedOn w:val="Domylnaczcionkaakapitu"/>
    <w:link w:val="Cytat"/>
    <w:uiPriority w:val="29"/>
    <w:rsid w:val="00C2018F"/>
    <w:rPr>
      <w:rFonts w:asciiTheme="minorHAnsi" w:eastAsiaTheme="minorEastAsia" w:hAnsiTheme="minorHAnsi" w:cstheme="minorBidi"/>
      <w:i/>
      <w:iCs/>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73774747">
      <w:bodyDiv w:val="1"/>
      <w:marLeft w:val="0"/>
      <w:marRight w:val="0"/>
      <w:marTop w:val="0"/>
      <w:marBottom w:val="0"/>
      <w:divBdr>
        <w:top w:val="none" w:sz="0" w:space="0" w:color="auto"/>
        <w:left w:val="none" w:sz="0" w:space="0" w:color="auto"/>
        <w:bottom w:val="none" w:sz="0" w:space="0" w:color="auto"/>
        <w:right w:val="none" w:sz="0" w:space="0" w:color="auto"/>
      </w:divBdr>
    </w:div>
    <w:div w:id="442963799">
      <w:bodyDiv w:val="1"/>
      <w:marLeft w:val="0"/>
      <w:marRight w:val="0"/>
      <w:marTop w:val="0"/>
      <w:marBottom w:val="0"/>
      <w:divBdr>
        <w:top w:val="none" w:sz="0" w:space="0" w:color="auto"/>
        <w:left w:val="none" w:sz="0" w:space="0" w:color="auto"/>
        <w:bottom w:val="none" w:sz="0" w:space="0" w:color="auto"/>
        <w:right w:val="none" w:sz="0" w:space="0" w:color="auto"/>
      </w:divBdr>
    </w:div>
    <w:div w:id="1313801127">
      <w:bodyDiv w:val="1"/>
      <w:marLeft w:val="0"/>
      <w:marRight w:val="0"/>
      <w:marTop w:val="0"/>
      <w:marBottom w:val="0"/>
      <w:divBdr>
        <w:top w:val="none" w:sz="0" w:space="0" w:color="auto"/>
        <w:left w:val="none" w:sz="0" w:space="0" w:color="auto"/>
        <w:bottom w:val="none" w:sz="0" w:space="0" w:color="auto"/>
        <w:right w:val="none" w:sz="0" w:space="0" w:color="auto"/>
      </w:divBdr>
    </w:div>
    <w:div w:id="1578974999">
      <w:bodyDiv w:val="1"/>
      <w:marLeft w:val="0"/>
      <w:marRight w:val="0"/>
      <w:marTop w:val="0"/>
      <w:marBottom w:val="0"/>
      <w:divBdr>
        <w:top w:val="none" w:sz="0" w:space="0" w:color="auto"/>
        <w:left w:val="none" w:sz="0" w:space="0" w:color="auto"/>
        <w:bottom w:val="none" w:sz="0" w:space="0" w:color="auto"/>
        <w:right w:val="none" w:sz="0" w:space="0" w:color="auto"/>
      </w:divBdr>
    </w:div>
    <w:div w:id="1808432221">
      <w:bodyDiv w:val="1"/>
      <w:marLeft w:val="0"/>
      <w:marRight w:val="0"/>
      <w:marTop w:val="0"/>
      <w:marBottom w:val="0"/>
      <w:divBdr>
        <w:top w:val="none" w:sz="0" w:space="0" w:color="auto"/>
        <w:left w:val="none" w:sz="0" w:space="0" w:color="auto"/>
        <w:bottom w:val="none" w:sz="0" w:space="0" w:color="auto"/>
        <w:right w:val="none" w:sz="0" w:space="0" w:color="auto"/>
      </w:divBdr>
    </w:div>
    <w:div w:id="2059547093">
      <w:bodyDiv w:val="1"/>
      <w:marLeft w:val="0"/>
      <w:marRight w:val="0"/>
      <w:marTop w:val="0"/>
      <w:marBottom w:val="0"/>
      <w:divBdr>
        <w:top w:val="none" w:sz="0" w:space="0" w:color="auto"/>
        <w:left w:val="none" w:sz="0" w:space="0" w:color="auto"/>
        <w:bottom w:val="none" w:sz="0" w:space="0" w:color="auto"/>
        <w:right w:val="none" w:sz="0" w:space="0" w:color="auto"/>
      </w:divBdr>
    </w:div>
    <w:div w:id="2113622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117" Type="http://schemas.openxmlformats.org/officeDocument/2006/relationships/diagramLayout" Target="diagrams/layout2.xml"/><Relationship Id="rId21" Type="http://schemas.openxmlformats.org/officeDocument/2006/relationships/image" Target="media/image11.png"/><Relationship Id="rId42" Type="http://schemas.openxmlformats.org/officeDocument/2006/relationships/image" Target="media/image32.png"/><Relationship Id="rId47" Type="http://schemas.openxmlformats.org/officeDocument/2006/relationships/image" Target="media/image37.png"/><Relationship Id="rId63" Type="http://schemas.openxmlformats.org/officeDocument/2006/relationships/image" Target="media/image52.png"/><Relationship Id="rId68" Type="http://schemas.openxmlformats.org/officeDocument/2006/relationships/image" Target="media/image57.png"/><Relationship Id="rId84" Type="http://schemas.openxmlformats.org/officeDocument/2006/relationships/image" Target="media/image73.png"/><Relationship Id="rId89" Type="http://schemas.openxmlformats.org/officeDocument/2006/relationships/footer" Target="footer2.xml"/><Relationship Id="rId112" Type="http://schemas.openxmlformats.org/officeDocument/2006/relationships/diagramLayout" Target="diagrams/layout1.xml"/><Relationship Id="rId133" Type="http://schemas.microsoft.com/office/2007/relationships/diagramDrawing" Target="diagrams/drawing4.xml"/><Relationship Id="rId138" Type="http://schemas.microsoft.com/office/2007/relationships/diagramDrawing" Target="diagrams/drawing5.xml"/><Relationship Id="rId154" Type="http://schemas.openxmlformats.org/officeDocument/2006/relationships/diagramData" Target="diagrams/data9.xml"/><Relationship Id="rId159" Type="http://schemas.openxmlformats.org/officeDocument/2006/relationships/diagramData" Target="diagrams/data10.xml"/><Relationship Id="rId16" Type="http://schemas.openxmlformats.org/officeDocument/2006/relationships/image" Target="media/image6.png"/><Relationship Id="rId107" Type="http://schemas.openxmlformats.org/officeDocument/2006/relationships/hyperlink" Target="http://bip.um.bytom.pl/bip/" TargetMode="External"/><Relationship Id="rId11" Type="http://schemas.openxmlformats.org/officeDocument/2006/relationships/header" Target="header1.xml"/><Relationship Id="rId32" Type="http://schemas.openxmlformats.org/officeDocument/2006/relationships/image" Target="media/image22.png"/><Relationship Id="rId37" Type="http://schemas.openxmlformats.org/officeDocument/2006/relationships/image" Target="media/image27.png"/><Relationship Id="rId53" Type="http://schemas.openxmlformats.org/officeDocument/2006/relationships/chart" Target="charts/chart1.xml"/><Relationship Id="rId58" Type="http://schemas.openxmlformats.org/officeDocument/2006/relationships/image" Target="media/image47.png"/><Relationship Id="rId74" Type="http://schemas.openxmlformats.org/officeDocument/2006/relationships/image" Target="media/image63.png"/><Relationship Id="rId79" Type="http://schemas.openxmlformats.org/officeDocument/2006/relationships/image" Target="media/image68.png"/><Relationship Id="rId102" Type="http://schemas.openxmlformats.org/officeDocument/2006/relationships/hyperlink" Target="http://www.konsultacje.bytom.pl" TargetMode="External"/><Relationship Id="rId123" Type="http://schemas.openxmlformats.org/officeDocument/2006/relationships/hyperlink" Target="http://www.bytomodnowa.pl/" TargetMode="External"/><Relationship Id="rId128" Type="http://schemas.microsoft.com/office/2007/relationships/diagramDrawing" Target="diagrams/drawing3.xml"/><Relationship Id="rId144" Type="http://schemas.openxmlformats.org/officeDocument/2006/relationships/diagramData" Target="diagrams/data7.xml"/><Relationship Id="rId149" Type="http://schemas.openxmlformats.org/officeDocument/2006/relationships/diagramData" Target="diagrams/data8.xml"/><Relationship Id="rId5" Type="http://schemas.openxmlformats.org/officeDocument/2006/relationships/webSettings" Target="webSettings.xml"/><Relationship Id="rId90" Type="http://schemas.openxmlformats.org/officeDocument/2006/relationships/image" Target="media/image78.jpeg"/><Relationship Id="rId95" Type="http://schemas.openxmlformats.org/officeDocument/2006/relationships/hyperlink" Target="http://www.konsultacje.bytom.pl" TargetMode="External"/><Relationship Id="rId160" Type="http://schemas.openxmlformats.org/officeDocument/2006/relationships/diagramLayout" Target="diagrams/layout10.xml"/><Relationship Id="rId165" Type="http://schemas.openxmlformats.org/officeDocument/2006/relationships/fontTable" Target="fontTable.xml"/><Relationship Id="rId22" Type="http://schemas.openxmlformats.org/officeDocument/2006/relationships/image" Target="media/image12.png"/><Relationship Id="rId27" Type="http://schemas.openxmlformats.org/officeDocument/2006/relationships/image" Target="media/image17.png"/><Relationship Id="rId43" Type="http://schemas.openxmlformats.org/officeDocument/2006/relationships/image" Target="media/image33.png"/><Relationship Id="rId48" Type="http://schemas.openxmlformats.org/officeDocument/2006/relationships/image" Target="media/image38.png"/><Relationship Id="rId64" Type="http://schemas.openxmlformats.org/officeDocument/2006/relationships/image" Target="media/image53.png"/><Relationship Id="rId69" Type="http://schemas.openxmlformats.org/officeDocument/2006/relationships/image" Target="media/image58.png"/><Relationship Id="rId113" Type="http://schemas.openxmlformats.org/officeDocument/2006/relationships/diagramQuickStyle" Target="diagrams/quickStyle1.xml"/><Relationship Id="rId118" Type="http://schemas.openxmlformats.org/officeDocument/2006/relationships/diagramQuickStyle" Target="diagrams/quickStyle2.xml"/><Relationship Id="rId134" Type="http://schemas.openxmlformats.org/officeDocument/2006/relationships/diagramData" Target="diagrams/data5.xml"/><Relationship Id="rId139" Type="http://schemas.openxmlformats.org/officeDocument/2006/relationships/diagramData" Target="diagrams/data6.xml"/><Relationship Id="rId80" Type="http://schemas.openxmlformats.org/officeDocument/2006/relationships/image" Target="media/image69.png"/><Relationship Id="rId85" Type="http://schemas.openxmlformats.org/officeDocument/2006/relationships/image" Target="media/image74.png"/><Relationship Id="rId150" Type="http://schemas.openxmlformats.org/officeDocument/2006/relationships/diagramLayout" Target="diagrams/layout8.xml"/><Relationship Id="rId155" Type="http://schemas.openxmlformats.org/officeDocument/2006/relationships/diagramLayout" Target="diagrams/layout9.xml"/><Relationship Id="rId12" Type="http://schemas.openxmlformats.org/officeDocument/2006/relationships/footer" Target="footer1.xml"/><Relationship Id="rId17" Type="http://schemas.openxmlformats.org/officeDocument/2006/relationships/image" Target="media/image7.png"/><Relationship Id="rId33" Type="http://schemas.openxmlformats.org/officeDocument/2006/relationships/image" Target="media/image23.png"/><Relationship Id="rId38" Type="http://schemas.openxmlformats.org/officeDocument/2006/relationships/image" Target="media/image28.png"/><Relationship Id="rId59" Type="http://schemas.openxmlformats.org/officeDocument/2006/relationships/image" Target="media/image48.png"/><Relationship Id="rId103" Type="http://schemas.openxmlformats.org/officeDocument/2006/relationships/hyperlink" Target="http://bytomodnowa.pl/dokumenty-do-pobrania" TargetMode="External"/><Relationship Id="rId108" Type="http://schemas.openxmlformats.org/officeDocument/2006/relationships/hyperlink" Target="http://www.konsultacje.bytom.pl/" TargetMode="External"/><Relationship Id="rId124" Type="http://schemas.openxmlformats.org/officeDocument/2006/relationships/diagramData" Target="diagrams/data3.xml"/><Relationship Id="rId129" Type="http://schemas.openxmlformats.org/officeDocument/2006/relationships/diagramData" Target="diagrams/data4.xml"/><Relationship Id="rId54" Type="http://schemas.openxmlformats.org/officeDocument/2006/relationships/image" Target="media/image43.png"/><Relationship Id="rId70" Type="http://schemas.openxmlformats.org/officeDocument/2006/relationships/image" Target="media/image59.png"/><Relationship Id="rId75" Type="http://schemas.openxmlformats.org/officeDocument/2006/relationships/image" Target="media/image64.png"/><Relationship Id="rId91" Type="http://schemas.openxmlformats.org/officeDocument/2006/relationships/image" Target="media/image79.jpeg"/><Relationship Id="rId96" Type="http://schemas.openxmlformats.org/officeDocument/2006/relationships/hyperlink" Target="mailto:zp@um.bytom.pl" TargetMode="External"/><Relationship Id="rId140" Type="http://schemas.openxmlformats.org/officeDocument/2006/relationships/diagramLayout" Target="diagrams/layout6.xml"/><Relationship Id="rId145" Type="http://schemas.openxmlformats.org/officeDocument/2006/relationships/diagramLayout" Target="diagrams/layout7.xml"/><Relationship Id="rId161" Type="http://schemas.openxmlformats.org/officeDocument/2006/relationships/diagramQuickStyle" Target="diagrams/quickStyle10.xml"/><Relationship Id="rId16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6.png"/><Relationship Id="rId106" Type="http://schemas.openxmlformats.org/officeDocument/2006/relationships/hyperlink" Target="http://www.bytomodnowa.pl" TargetMode="External"/><Relationship Id="rId114" Type="http://schemas.openxmlformats.org/officeDocument/2006/relationships/diagramColors" Target="diagrams/colors1.xml"/><Relationship Id="rId119" Type="http://schemas.openxmlformats.org/officeDocument/2006/relationships/diagramColors" Target="diagrams/colors2.xml"/><Relationship Id="rId127" Type="http://schemas.openxmlformats.org/officeDocument/2006/relationships/diagramColors" Target="diagrams/colors3.xml"/><Relationship Id="rId10" Type="http://schemas.openxmlformats.org/officeDocument/2006/relationships/oleObject" Target="embeddings/oleObject1.bin"/><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49.png"/><Relationship Id="rId65" Type="http://schemas.openxmlformats.org/officeDocument/2006/relationships/image" Target="media/image54.png"/><Relationship Id="rId73" Type="http://schemas.openxmlformats.org/officeDocument/2006/relationships/image" Target="media/image62.png"/><Relationship Id="rId78" Type="http://schemas.openxmlformats.org/officeDocument/2006/relationships/image" Target="media/image67.png"/><Relationship Id="rId81" Type="http://schemas.openxmlformats.org/officeDocument/2006/relationships/image" Target="media/image70.png"/><Relationship Id="rId86" Type="http://schemas.openxmlformats.org/officeDocument/2006/relationships/image" Target="media/image75.png"/><Relationship Id="rId94" Type="http://schemas.openxmlformats.org/officeDocument/2006/relationships/hyperlink" Target="http://www.bytomodnowa.pl" TargetMode="External"/><Relationship Id="rId99" Type="http://schemas.openxmlformats.org/officeDocument/2006/relationships/hyperlink" Target="http://bytomodnowa.pl/index.php?mact=News,cntnt01,detail,0&amp;cntnt01articleid=101&amp;cntnt01returnid=17" TargetMode="External"/><Relationship Id="rId101" Type="http://schemas.openxmlformats.org/officeDocument/2006/relationships/hyperlink" Target="http://bip.um.bytom.pl/bip/" TargetMode="External"/><Relationship Id="rId122" Type="http://schemas.openxmlformats.org/officeDocument/2006/relationships/hyperlink" Target="http://www.bytomodnowa.pl/" TargetMode="External"/><Relationship Id="rId130" Type="http://schemas.openxmlformats.org/officeDocument/2006/relationships/diagramLayout" Target="diagrams/layout4.xml"/><Relationship Id="rId135" Type="http://schemas.openxmlformats.org/officeDocument/2006/relationships/diagramLayout" Target="diagrams/layout5.xml"/><Relationship Id="rId143" Type="http://schemas.microsoft.com/office/2007/relationships/diagramDrawing" Target="diagrams/drawing6.xml"/><Relationship Id="rId148" Type="http://schemas.microsoft.com/office/2007/relationships/diagramDrawing" Target="diagrams/drawing7.xml"/><Relationship Id="rId151" Type="http://schemas.openxmlformats.org/officeDocument/2006/relationships/diagramQuickStyle" Target="diagrams/quickStyle8.xml"/><Relationship Id="rId156" Type="http://schemas.openxmlformats.org/officeDocument/2006/relationships/diagramQuickStyle" Target="diagrams/quickStyle9.xml"/><Relationship Id="rId164"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wmf"/><Relationship Id="rId13" Type="http://schemas.openxmlformats.org/officeDocument/2006/relationships/header" Target="header2.xml"/><Relationship Id="rId18" Type="http://schemas.openxmlformats.org/officeDocument/2006/relationships/image" Target="media/image8.png"/><Relationship Id="rId39" Type="http://schemas.openxmlformats.org/officeDocument/2006/relationships/image" Target="media/image29.png"/><Relationship Id="rId109" Type="http://schemas.openxmlformats.org/officeDocument/2006/relationships/hyperlink" Target="http://www.bytomodnowa.pl" TargetMode="External"/><Relationship Id="rId34" Type="http://schemas.openxmlformats.org/officeDocument/2006/relationships/image" Target="media/image24.png"/><Relationship Id="rId50" Type="http://schemas.openxmlformats.org/officeDocument/2006/relationships/image" Target="media/image40.png"/><Relationship Id="rId55" Type="http://schemas.openxmlformats.org/officeDocument/2006/relationships/image" Target="media/image44.png"/><Relationship Id="rId76" Type="http://schemas.openxmlformats.org/officeDocument/2006/relationships/image" Target="media/image65.png"/><Relationship Id="rId97" Type="http://schemas.openxmlformats.org/officeDocument/2006/relationships/hyperlink" Target="http://www.konsultacje.bytom.pl" TargetMode="External"/><Relationship Id="rId104" Type="http://schemas.openxmlformats.org/officeDocument/2006/relationships/hyperlink" Target="http://www.bytom.pl" TargetMode="External"/><Relationship Id="rId120" Type="http://schemas.microsoft.com/office/2007/relationships/diagramDrawing" Target="diagrams/drawing2.xml"/><Relationship Id="rId125" Type="http://schemas.openxmlformats.org/officeDocument/2006/relationships/diagramLayout" Target="diagrams/layout3.xml"/><Relationship Id="rId141" Type="http://schemas.openxmlformats.org/officeDocument/2006/relationships/diagramQuickStyle" Target="diagrams/quickStyle6.xml"/><Relationship Id="rId146" Type="http://schemas.openxmlformats.org/officeDocument/2006/relationships/diagramQuickStyle" Target="diagrams/quickStyle7.xml"/><Relationship Id="rId7" Type="http://schemas.openxmlformats.org/officeDocument/2006/relationships/endnotes" Target="endnotes.xml"/><Relationship Id="rId71" Type="http://schemas.openxmlformats.org/officeDocument/2006/relationships/image" Target="media/image60.png"/><Relationship Id="rId92" Type="http://schemas.openxmlformats.org/officeDocument/2006/relationships/image" Target="media/image80.wmf"/><Relationship Id="rId162" Type="http://schemas.openxmlformats.org/officeDocument/2006/relationships/diagramColors" Target="diagrams/colors10.xml"/><Relationship Id="rId2" Type="http://schemas.openxmlformats.org/officeDocument/2006/relationships/numbering" Target="numbering.xml"/><Relationship Id="rId29" Type="http://schemas.openxmlformats.org/officeDocument/2006/relationships/image" Target="media/image19.png"/><Relationship Id="rId24" Type="http://schemas.openxmlformats.org/officeDocument/2006/relationships/image" Target="media/image14.jpeg"/><Relationship Id="rId40" Type="http://schemas.openxmlformats.org/officeDocument/2006/relationships/image" Target="media/image30.png"/><Relationship Id="rId45" Type="http://schemas.openxmlformats.org/officeDocument/2006/relationships/image" Target="media/image35.png"/><Relationship Id="rId66" Type="http://schemas.openxmlformats.org/officeDocument/2006/relationships/image" Target="media/image55.png"/><Relationship Id="rId87" Type="http://schemas.openxmlformats.org/officeDocument/2006/relationships/image" Target="media/image76.png"/><Relationship Id="rId110" Type="http://schemas.openxmlformats.org/officeDocument/2006/relationships/image" Target="media/image81.jpeg"/><Relationship Id="rId115" Type="http://schemas.microsoft.com/office/2007/relationships/diagramDrawing" Target="diagrams/drawing1.xml"/><Relationship Id="rId131" Type="http://schemas.openxmlformats.org/officeDocument/2006/relationships/diagramQuickStyle" Target="diagrams/quickStyle4.xml"/><Relationship Id="rId136" Type="http://schemas.openxmlformats.org/officeDocument/2006/relationships/diagramQuickStyle" Target="diagrams/quickStyle5.xml"/><Relationship Id="rId157" Type="http://schemas.openxmlformats.org/officeDocument/2006/relationships/diagramColors" Target="diagrams/colors9.xml"/><Relationship Id="rId61" Type="http://schemas.openxmlformats.org/officeDocument/2006/relationships/image" Target="media/image50.png"/><Relationship Id="rId82" Type="http://schemas.openxmlformats.org/officeDocument/2006/relationships/image" Target="media/image71.png"/><Relationship Id="rId152" Type="http://schemas.openxmlformats.org/officeDocument/2006/relationships/diagramColors" Target="diagrams/colors8.xml"/><Relationship Id="rId173" Type="http://schemas.microsoft.com/office/2007/relationships/stylesWithEffects" Target="stylesWithEffects.xml"/><Relationship Id="rId19" Type="http://schemas.openxmlformats.org/officeDocument/2006/relationships/image" Target="media/image9.png"/><Relationship Id="rId14" Type="http://schemas.openxmlformats.org/officeDocument/2006/relationships/image" Target="media/image4.png"/><Relationship Id="rId30" Type="http://schemas.openxmlformats.org/officeDocument/2006/relationships/image" Target="media/image20.png"/><Relationship Id="rId35" Type="http://schemas.openxmlformats.org/officeDocument/2006/relationships/image" Target="media/image25.png"/><Relationship Id="rId56" Type="http://schemas.openxmlformats.org/officeDocument/2006/relationships/image" Target="media/image45.png"/><Relationship Id="rId77" Type="http://schemas.openxmlformats.org/officeDocument/2006/relationships/image" Target="media/image66.png"/><Relationship Id="rId100" Type="http://schemas.openxmlformats.org/officeDocument/2006/relationships/hyperlink" Target="http://www.bytomodnowa.pl" TargetMode="External"/><Relationship Id="rId105" Type="http://schemas.openxmlformats.org/officeDocument/2006/relationships/hyperlink" Target="http://www.bytomodnowa.pl" TargetMode="External"/><Relationship Id="rId126" Type="http://schemas.openxmlformats.org/officeDocument/2006/relationships/diagramQuickStyle" Target="diagrams/quickStyle3.xml"/><Relationship Id="rId147" Type="http://schemas.openxmlformats.org/officeDocument/2006/relationships/diagramColors" Target="diagrams/colors7.xml"/><Relationship Id="rId8" Type="http://schemas.openxmlformats.org/officeDocument/2006/relationships/image" Target="media/image1.png"/><Relationship Id="rId51" Type="http://schemas.openxmlformats.org/officeDocument/2006/relationships/image" Target="media/image41.png"/><Relationship Id="rId72" Type="http://schemas.openxmlformats.org/officeDocument/2006/relationships/image" Target="media/image61.png"/><Relationship Id="rId93" Type="http://schemas.openxmlformats.org/officeDocument/2006/relationships/oleObject" Target="embeddings/oleObject2.bin"/><Relationship Id="rId98" Type="http://schemas.openxmlformats.org/officeDocument/2006/relationships/hyperlink" Target="http://www.konsultacje.bytom.pl/files/protocol_file/104.pdf" TargetMode="External"/><Relationship Id="rId121" Type="http://schemas.openxmlformats.org/officeDocument/2006/relationships/image" Target="media/image82.png"/><Relationship Id="rId142" Type="http://schemas.openxmlformats.org/officeDocument/2006/relationships/diagramColors" Target="diagrams/colors6.xml"/><Relationship Id="rId163" Type="http://schemas.microsoft.com/office/2007/relationships/diagramDrawing" Target="diagrams/drawing10.xml"/><Relationship Id="rId3" Type="http://schemas.openxmlformats.org/officeDocument/2006/relationships/styles" Target="styles.xml"/><Relationship Id="rId25" Type="http://schemas.openxmlformats.org/officeDocument/2006/relationships/image" Target="media/image15.jpeg"/><Relationship Id="rId46" Type="http://schemas.openxmlformats.org/officeDocument/2006/relationships/image" Target="media/image36.png"/><Relationship Id="rId67" Type="http://schemas.openxmlformats.org/officeDocument/2006/relationships/image" Target="media/image56.png"/><Relationship Id="rId116" Type="http://schemas.openxmlformats.org/officeDocument/2006/relationships/diagramData" Target="diagrams/data2.xml"/><Relationship Id="rId137" Type="http://schemas.openxmlformats.org/officeDocument/2006/relationships/diagramColors" Target="diagrams/colors5.xml"/><Relationship Id="rId158" Type="http://schemas.microsoft.com/office/2007/relationships/diagramDrawing" Target="diagrams/drawing9.xml"/><Relationship Id="rId20" Type="http://schemas.openxmlformats.org/officeDocument/2006/relationships/image" Target="media/image10.png"/><Relationship Id="rId41" Type="http://schemas.openxmlformats.org/officeDocument/2006/relationships/image" Target="media/image31.png"/><Relationship Id="rId62" Type="http://schemas.openxmlformats.org/officeDocument/2006/relationships/image" Target="media/image51.png"/><Relationship Id="rId83" Type="http://schemas.openxmlformats.org/officeDocument/2006/relationships/image" Target="media/image72.png"/><Relationship Id="rId88" Type="http://schemas.openxmlformats.org/officeDocument/2006/relationships/image" Target="media/image77.png"/><Relationship Id="rId111" Type="http://schemas.openxmlformats.org/officeDocument/2006/relationships/diagramData" Target="diagrams/data1.xml"/><Relationship Id="rId132" Type="http://schemas.openxmlformats.org/officeDocument/2006/relationships/diagramColors" Target="diagrams/colors4.xml"/><Relationship Id="rId153" Type="http://schemas.microsoft.com/office/2007/relationships/diagramDrawing" Target="diagrams/drawing8.xml"/><Relationship Id="rId174" Type="http://schemas.microsoft.com/office/2011/relationships/commentsExtended" Target="commentsExtended.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charts/_rels/chart1.xml.rels><?xml version="1.0" encoding="UTF-8" standalone="yes"?>
<Relationships xmlns="http://schemas.openxmlformats.org/package/2006/relationships"><Relationship Id="rId1" Type="http://schemas.openxmlformats.org/officeDocument/2006/relationships/package" Target="../embeddings/Arkusz_programu_Microsoft_Office_Excel1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pl-PL"/>
  <c:chart>
    <c:view3D>
      <c:rotX val="30"/>
      <c:perspective val="0"/>
    </c:view3D>
    <c:plotArea>
      <c:layout>
        <c:manualLayout>
          <c:layoutTarget val="inner"/>
          <c:xMode val="edge"/>
          <c:yMode val="edge"/>
          <c:x val="0.23835125448028674"/>
          <c:y val="2.8938906752411602E-2"/>
          <c:w val="0.54352622874193091"/>
          <c:h val="0.60647335996946949"/>
        </c:manualLayout>
      </c:layout>
      <c:pie3DChart>
        <c:varyColors val="1"/>
        <c:ser>
          <c:idx val="0"/>
          <c:order val="0"/>
          <c:spPr>
            <a:solidFill>
              <a:srgbClr val="9999FF"/>
            </a:solidFill>
            <a:ln w="12700">
              <a:solidFill>
                <a:srgbClr val="000000"/>
              </a:solidFill>
              <a:prstDash val="solid"/>
            </a:ln>
          </c:spPr>
          <c:explosion val="25"/>
          <c:dPt>
            <c:idx val="0"/>
            <c:spPr>
              <a:solidFill>
                <a:srgbClr val="339966"/>
              </a:solidFill>
              <a:ln w="12700">
                <a:solidFill>
                  <a:srgbClr val="000000"/>
                </a:solidFill>
                <a:prstDash val="solid"/>
              </a:ln>
            </c:spPr>
          </c:dPt>
          <c:dPt>
            <c:idx val="1"/>
            <c:spPr>
              <a:solidFill>
                <a:srgbClr val="800080"/>
              </a:solidFill>
              <a:ln w="12700">
                <a:solidFill>
                  <a:srgbClr val="000000"/>
                </a:solidFill>
                <a:prstDash val="solid"/>
              </a:ln>
            </c:spPr>
          </c:dPt>
          <c:dPt>
            <c:idx val="2"/>
            <c:spPr>
              <a:solidFill>
                <a:srgbClr val="FF6600"/>
              </a:solidFill>
              <a:ln w="12700">
                <a:solidFill>
                  <a:srgbClr val="000000"/>
                </a:solidFill>
                <a:prstDash val="solid"/>
              </a:ln>
            </c:spPr>
          </c:dPt>
          <c:dPt>
            <c:idx val="3"/>
            <c:spPr>
              <a:solidFill>
                <a:srgbClr val="FF99CC"/>
              </a:solidFill>
              <a:ln w="12700">
                <a:solidFill>
                  <a:srgbClr val="000000"/>
                </a:solidFill>
                <a:prstDash val="solid"/>
              </a:ln>
            </c:spPr>
          </c:dPt>
          <c:dPt>
            <c:idx val="4"/>
            <c:spPr>
              <a:solidFill>
                <a:srgbClr val="0000FF"/>
              </a:solidFill>
              <a:ln w="12700">
                <a:solidFill>
                  <a:srgbClr val="000000"/>
                </a:solidFill>
                <a:prstDash val="solid"/>
              </a:ln>
            </c:spPr>
          </c:dPt>
          <c:dPt>
            <c:idx val="5"/>
            <c:spPr>
              <a:solidFill>
                <a:srgbClr val="99CC00"/>
              </a:solidFill>
              <a:ln w="12700">
                <a:solidFill>
                  <a:srgbClr val="000000"/>
                </a:solidFill>
                <a:prstDash val="solid"/>
              </a:ln>
            </c:spPr>
          </c:dPt>
          <c:dPt>
            <c:idx val="6"/>
            <c:spPr>
              <a:solidFill>
                <a:srgbClr val="99CCFF"/>
              </a:solidFill>
              <a:ln w="12700">
                <a:solidFill>
                  <a:srgbClr val="000000"/>
                </a:solidFill>
                <a:prstDash val="solid"/>
              </a:ln>
            </c:spPr>
          </c:dPt>
          <c:dPt>
            <c:idx val="7"/>
            <c:spPr>
              <a:solidFill>
                <a:srgbClr val="FFFFCC"/>
              </a:solidFill>
              <a:ln w="12700">
                <a:solidFill>
                  <a:srgbClr val="000000"/>
                </a:solidFill>
                <a:prstDash val="solid"/>
              </a:ln>
            </c:spPr>
          </c:dPt>
          <c:dPt>
            <c:idx val="8"/>
            <c:spPr>
              <a:solidFill>
                <a:srgbClr val="FFCC00"/>
              </a:solidFill>
              <a:ln w="12700">
                <a:solidFill>
                  <a:srgbClr val="000000"/>
                </a:solidFill>
                <a:prstDash val="solid"/>
              </a:ln>
            </c:spPr>
          </c:dPt>
          <c:dLbls>
            <c:dLbl>
              <c:idx val="1"/>
              <c:layout>
                <c:manualLayout>
                  <c:x val="5.2351418401467113E-3"/>
                  <c:y val="-2.5567575566407402E-2"/>
                </c:manualLayout>
              </c:layout>
              <c:showVal val="1"/>
            </c:dLbl>
            <c:dLbl>
              <c:idx val="6"/>
              <c:layout>
                <c:manualLayout>
                  <c:x val="-1.1212562470787021E-2"/>
                  <c:y val="-2.8485712282998222E-2"/>
                </c:manualLayout>
              </c:layout>
              <c:showVal val="1"/>
            </c:dLbl>
            <c:spPr>
              <a:noFill/>
              <a:ln w="25399">
                <a:noFill/>
              </a:ln>
            </c:spPr>
            <c:txPr>
              <a:bodyPr/>
              <a:lstStyle/>
              <a:p>
                <a:pPr>
                  <a:defRPr sz="800" b="0" i="0" u="none" strike="noStrike" baseline="0">
                    <a:solidFill>
                      <a:srgbClr val="000000"/>
                    </a:solidFill>
                    <a:latin typeface="Arial CE"/>
                    <a:ea typeface="Arial CE"/>
                    <a:cs typeface="Arial CE"/>
                  </a:defRPr>
                </a:pPr>
                <a:endParaRPr lang="pl-PL"/>
              </a:p>
            </c:txPr>
            <c:showVal val="1"/>
            <c:showLeaderLines val="1"/>
          </c:dLbls>
          <c:cat>
            <c:strRef>
              <c:f>Arkusz1!$H$148:$H$156</c:f>
              <c:strCache>
                <c:ptCount val="9"/>
                <c:pt idx="0">
                  <c:v>Unowoczesnienie technologii produkcji</c:v>
                </c:pt>
                <c:pt idx="1">
                  <c:v>Zmiana systemu zarzadzania przedsiębiorstwem</c:v>
                </c:pt>
                <c:pt idx="2">
                  <c:v>Wejścia na nowe rynki</c:v>
                </c:pt>
                <c:pt idx="3">
                  <c:v>Podnoszenie kwalifikacji kadry zarządzającej</c:v>
                </c:pt>
                <c:pt idx="4">
                  <c:v>Podnoszenie kwalifikacji pracowników</c:v>
                </c:pt>
                <c:pt idx="5">
                  <c:v>Przygotowanie projektów rozwoju przedsiebiorstwa i wniosków o dofinansowanie ze środków pomocowych</c:v>
                </c:pt>
                <c:pt idx="6">
                  <c:v>Kreowanie nowych produktów</c:v>
                </c:pt>
                <c:pt idx="7">
                  <c:v>Inne</c:v>
                </c:pt>
                <c:pt idx="8">
                  <c:v>Brak odpowiedzi</c:v>
                </c:pt>
              </c:strCache>
            </c:strRef>
          </c:cat>
          <c:val>
            <c:numRef>
              <c:f>Arkusz1!$J$148:$J$156</c:f>
              <c:numCache>
                <c:formatCode>0%</c:formatCode>
                <c:ptCount val="9"/>
                <c:pt idx="0">
                  <c:v>0.15189873417722397</c:v>
                </c:pt>
                <c:pt idx="1">
                  <c:v>3.7974683544304492E-2</c:v>
                </c:pt>
                <c:pt idx="2">
                  <c:v>0.22784810126582905</c:v>
                </c:pt>
                <c:pt idx="3">
                  <c:v>2.5316455696202528E-2</c:v>
                </c:pt>
                <c:pt idx="4">
                  <c:v>7.5949367088607597E-2</c:v>
                </c:pt>
                <c:pt idx="5">
                  <c:v>0.24050632911392444</c:v>
                </c:pt>
                <c:pt idx="6">
                  <c:v>1.2658227848101266E-2</c:v>
                </c:pt>
                <c:pt idx="7">
                  <c:v>6.3291139240506514E-2</c:v>
                </c:pt>
                <c:pt idx="8">
                  <c:v>0.16455696202531642</c:v>
                </c:pt>
              </c:numCache>
            </c:numRef>
          </c:val>
        </c:ser>
      </c:pie3DChart>
      <c:spPr>
        <a:noFill/>
        <a:ln w="25399">
          <a:noFill/>
        </a:ln>
      </c:spPr>
    </c:plotArea>
    <c:legend>
      <c:legendPos val="b"/>
      <c:layout>
        <c:manualLayout>
          <c:xMode val="edge"/>
          <c:yMode val="edge"/>
          <c:x val="0"/>
          <c:y val="0.62651993426637764"/>
          <c:w val="0.99005752705569339"/>
          <c:h val="0.37348006573363818"/>
        </c:manualLayout>
      </c:layout>
      <c:spPr>
        <a:noFill/>
        <a:ln w="25399">
          <a:noFill/>
        </a:ln>
      </c:spPr>
      <c:txPr>
        <a:bodyPr/>
        <a:lstStyle/>
        <a:p>
          <a:pPr>
            <a:defRPr sz="735" b="0" i="0" u="none" strike="noStrike" baseline="0">
              <a:solidFill>
                <a:srgbClr val="000000"/>
              </a:solidFill>
              <a:latin typeface="Arial CE"/>
              <a:ea typeface="Arial CE"/>
              <a:cs typeface="Arial CE"/>
            </a:defRPr>
          </a:pPr>
          <a:endParaRPr lang="pl-PL"/>
        </a:p>
      </c:txPr>
    </c:legend>
    <c:plotVisOnly val="1"/>
    <c:dispBlanksAs val="zero"/>
  </c:chart>
  <c:spPr>
    <a:noFill/>
    <a:ln>
      <a:noFill/>
    </a:ln>
  </c:spPr>
  <c:txPr>
    <a:bodyPr/>
    <a:lstStyle/>
    <a:p>
      <a:pPr>
        <a:defRPr sz="1075" b="0" i="0" u="none" strike="noStrike" baseline="0">
          <a:solidFill>
            <a:srgbClr val="000000"/>
          </a:solidFill>
          <a:latin typeface="Arial CE"/>
          <a:ea typeface="Arial CE"/>
          <a:cs typeface="Arial CE"/>
        </a:defRPr>
      </a:pPr>
      <a:endParaRPr lang="pl-PL"/>
    </a:p>
  </c:txPr>
  <c:externalData r:id="rId1"/>
</c:chartSpace>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3">
  <dgm:title val=""/>
  <dgm:desc val=""/>
  <dgm:catLst>
    <dgm:cat type="accent1" pri="11300"/>
  </dgm:catLst>
  <dgm:styleLbl name="node0">
    <dgm:fillClrLst meth="repeat">
      <a:schemeClr val="accent1">
        <a:shade val="80000"/>
      </a:schemeClr>
    </dgm:fillClrLst>
    <dgm:linClrLst meth="repeat">
      <a:schemeClr val="lt1"/>
    </dgm:linClrLst>
    <dgm:effectClrLst/>
    <dgm:txLinClrLst/>
    <dgm:txFillClrLst/>
    <dgm:txEffectClrLst/>
  </dgm:styleLbl>
  <dgm:styleLbl name="alignNode1">
    <dgm:fillClrLst>
      <a:schemeClr val="accent1">
        <a:shade val="80000"/>
      </a:schemeClr>
      <a:schemeClr val="accent1">
        <a:tint val="70000"/>
      </a:schemeClr>
    </dgm:fillClrLst>
    <dgm:linClrLst>
      <a:schemeClr val="accent1">
        <a:shade val="80000"/>
      </a:schemeClr>
      <a:schemeClr val="accent1">
        <a:tint val="70000"/>
      </a:schemeClr>
    </dgm:linClrLst>
    <dgm:effectClrLst/>
    <dgm:txLinClrLst/>
    <dgm:txFillClrLst/>
    <dgm:txEffectClrLst/>
  </dgm:styleLbl>
  <dgm:styleLbl name="node1">
    <dgm:fillClrLst>
      <a:schemeClr val="accent1">
        <a:shade val="80000"/>
      </a:schemeClr>
      <a:schemeClr val="accent1">
        <a:tint val="70000"/>
      </a:schemeClr>
    </dgm:fillClrLst>
    <dgm:linClrLst meth="repeat">
      <a:schemeClr val="lt1"/>
    </dgm:linClrLst>
    <dgm:effectClrLst/>
    <dgm:txLinClrLst/>
    <dgm:txFillClrLst/>
    <dgm:txEffectClrLst/>
  </dgm:styleLbl>
  <dgm:styleLbl name="lnNode1">
    <dgm:fillClrLst>
      <a:schemeClr val="accent1">
        <a:shade val="80000"/>
      </a:schemeClr>
      <a:schemeClr val="accent1">
        <a:tint val="7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tint val="70000"/>
        <a:alpha val="50000"/>
      </a:schemeClr>
    </dgm:fillClrLst>
    <dgm:linClrLst meth="repeat">
      <a:schemeClr val="lt1"/>
    </dgm:linClrLst>
    <dgm:effectClrLst/>
    <dgm:txLinClrLst/>
    <dgm:txFillClrLst/>
    <dgm:txEffectClrLst/>
  </dgm:styleLbl>
  <dgm:styleLbl name="node2">
    <dgm:fillClrLst>
      <a:schemeClr val="accent1">
        <a:tint val="99000"/>
      </a:schemeClr>
    </dgm:fillClrLst>
    <dgm:linClrLst meth="repeat">
      <a:schemeClr val="lt1"/>
    </dgm:linClrLst>
    <dgm:effectClrLst/>
    <dgm:txLinClrLst/>
    <dgm:txFillClrLst/>
    <dgm:txEffectClrLst/>
  </dgm:styleLbl>
  <dgm:styleLbl name="node3">
    <dgm:fillClrLst>
      <a:schemeClr val="accent1">
        <a:tint val="80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dgm:txEffectClrLst/>
  </dgm:styleLbl>
  <dgm:styleLbl name="f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b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sibTrans1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9000"/>
      </a:schemeClr>
    </dgm:fillClrLst>
    <dgm:linClrLst meth="repeat">
      <a:schemeClr val="lt1"/>
    </dgm:linClrLst>
    <dgm:effectClrLst/>
    <dgm:txLinClrLst/>
    <dgm:txFillClrLst/>
    <dgm:txEffectClrLst/>
  </dgm:styleLbl>
  <dgm:styleLbl name="asst3">
    <dgm:fillClrLst>
      <a:schemeClr val="accent1">
        <a:tint val="80000"/>
      </a:schemeClr>
    </dgm:fillClrLst>
    <dgm:linClrLst meth="repeat">
      <a:schemeClr val="lt1"/>
    </dgm:linClrLst>
    <dgm:effectClrLst/>
    <dgm:txLinClrLst/>
    <dgm:txFillClrLst/>
    <dgm:txEffectClrLst/>
  </dgm:styleLbl>
  <dgm:styleLbl name="asst4">
    <dgm:fillClrLst>
      <a:schemeClr val="accent1">
        <a:tint val="7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lt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9000"/>
      </a:schemeClr>
    </dgm:fillClrLst>
    <dgm:linClrLst meth="repeat">
      <a:schemeClr val="accent1">
        <a:tint val="99000"/>
      </a:schemeClr>
    </dgm:linClrLst>
    <dgm:effectClrLst/>
    <dgm:txLinClrLst/>
    <dgm:txFillClrLst meth="repeat">
      <a:schemeClr val="tx1"/>
    </dgm:txFillClrLst>
    <dgm:txEffectClrLst/>
  </dgm:styleLbl>
  <dgm:styleLbl name="parChTrans1D3">
    <dgm:fillClrLst meth="repeat">
      <a:schemeClr val="accent1">
        <a:tint val="80000"/>
      </a:schemeClr>
    </dgm:fillClrLst>
    <dgm:linClrLst meth="repeat">
      <a:schemeClr val="accent1">
        <a:tint val="80000"/>
      </a:schemeClr>
    </dgm:linClrLst>
    <dgm:effectClrLst/>
    <dgm:txLinClrLst/>
    <dgm:txFillClrLst meth="repeat">
      <a:schemeClr val="tx1"/>
    </dgm:txFillClrLst>
    <dgm:txEffectClrLst/>
  </dgm:styleLbl>
  <dgm:styleLbl name="parChTrans1D4">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0.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8E367E3-89FA-482D-8055-655FCDAC3559}" type="doc">
      <dgm:prSet loTypeId="urn:microsoft.com/office/officeart/2005/8/layout/orgChart1" loCatId="hierarchy" qsTypeId="urn:microsoft.com/office/officeart/2005/8/quickstyle/simple1" qsCatId="simple" csTypeId="urn:microsoft.com/office/officeart/2005/8/colors/colorful5" csCatId="colorful" phldr="1"/>
      <dgm:spPr>
        <a:scene3d>
          <a:camera prst="orthographicFront">
            <a:rot lat="0" lon="0" rev="0"/>
          </a:camera>
          <a:lightRig rig="threePt" dir="t"/>
        </a:scene3d>
      </dgm:spPr>
      <dgm:t>
        <a:bodyPr/>
        <a:lstStyle/>
        <a:p>
          <a:endParaRPr lang="pl-PL"/>
        </a:p>
      </dgm:t>
    </dgm:pt>
    <dgm:pt modelId="{835994E3-4CE0-411F-87C7-9FD6438022DF}">
      <dgm:prSet phldrT="[Tekst]" custT="1"/>
      <dgm:spPr>
        <a:solidFill>
          <a:srgbClr val="FFC000"/>
        </a:solidFill>
      </dgm:spPr>
      <dgm:t>
        <a:bodyPr/>
        <a:lstStyle/>
        <a:p>
          <a:pPr algn="ctr"/>
          <a:r>
            <a:rPr lang="pl-PL" sz="1000" b="1">
              <a:solidFill>
                <a:sysClr val="windowText" lastClr="000000"/>
              </a:solidFill>
            </a:rPr>
            <a:t>Gminny Program Rewitalizacji. Bytom 2020+</a:t>
          </a:r>
        </a:p>
      </dgm:t>
    </dgm:pt>
    <dgm:pt modelId="{06BC2F16-61D4-4E17-838E-366A5243E1CA}" type="parTrans" cxnId="{B41339EE-21A5-4385-AF07-527246C6B01A}">
      <dgm:prSet/>
      <dgm:spPr/>
      <dgm:t>
        <a:bodyPr/>
        <a:lstStyle/>
        <a:p>
          <a:pPr algn="ctr"/>
          <a:endParaRPr lang="pl-PL"/>
        </a:p>
      </dgm:t>
    </dgm:pt>
    <dgm:pt modelId="{871B1257-8DEF-4845-9871-8469B0A901F0}" type="sibTrans" cxnId="{B41339EE-21A5-4385-AF07-527246C6B01A}">
      <dgm:prSet/>
      <dgm:spPr/>
      <dgm:t>
        <a:bodyPr/>
        <a:lstStyle/>
        <a:p>
          <a:pPr algn="ctr"/>
          <a:endParaRPr lang="pl-PL"/>
        </a:p>
      </dgm:t>
    </dgm:pt>
    <dgm:pt modelId="{634C2734-4F96-43A0-B756-9BB50B4DBF13}" type="asst">
      <dgm:prSet phldrT="[Tekst]"/>
      <dgm:spPr>
        <a:solidFill>
          <a:srgbClr val="70AD47"/>
        </a:solidFill>
      </dgm:spPr>
      <dgm:t>
        <a:bodyPr/>
        <a:lstStyle/>
        <a:p>
          <a:pPr algn="ctr"/>
          <a:r>
            <a:rPr lang="pl-PL" b="1">
              <a:solidFill>
                <a:sysClr val="windowText" lastClr="000000"/>
              </a:solidFill>
            </a:rPr>
            <a:t>Projekt pilotażowy - modelowe rozwiązania</a:t>
          </a:r>
        </a:p>
      </dgm:t>
    </dgm:pt>
    <dgm:pt modelId="{344D90D6-461B-42FC-984C-CB0BE89CACE3}" type="parTrans" cxnId="{B1F24AD1-0EF0-4CC0-98E0-4AD48937D581}">
      <dgm:prSet/>
      <dgm:spPr>
        <a:ln w="12700">
          <a:solidFill>
            <a:srgbClr val="70AD47"/>
          </a:solidFill>
        </a:ln>
      </dgm:spPr>
      <dgm:t>
        <a:bodyPr/>
        <a:lstStyle/>
        <a:p>
          <a:pPr algn="ctr"/>
          <a:endParaRPr lang="pl-PL" b="1">
            <a:solidFill>
              <a:sysClr val="windowText" lastClr="000000"/>
            </a:solidFill>
          </a:endParaRPr>
        </a:p>
      </dgm:t>
    </dgm:pt>
    <dgm:pt modelId="{D168C95A-9F33-4686-833C-447DF0BCBCCD}" type="sibTrans" cxnId="{B1F24AD1-0EF0-4CC0-98E0-4AD48937D581}">
      <dgm:prSet/>
      <dgm:spPr/>
      <dgm:t>
        <a:bodyPr/>
        <a:lstStyle/>
        <a:p>
          <a:pPr algn="ctr"/>
          <a:endParaRPr lang="pl-PL"/>
        </a:p>
      </dgm:t>
    </dgm:pt>
    <dgm:pt modelId="{05BBB817-DC8A-4FF6-9A5F-F76066716213}">
      <dgm:prSet phldrT="[Tekst]"/>
      <dgm:spPr>
        <a:solidFill>
          <a:srgbClr val="70AD47"/>
        </a:solidFill>
      </dgm:spPr>
      <dgm:t>
        <a:bodyPr/>
        <a:lstStyle/>
        <a:p>
          <a:pPr algn="ctr"/>
          <a:r>
            <a:rPr lang="pl-PL" b="1">
              <a:solidFill>
                <a:sysClr val="windowText" lastClr="000000"/>
              </a:solidFill>
            </a:rPr>
            <a:t>WIĄZKA 1</a:t>
          </a:r>
        </a:p>
      </dgm:t>
    </dgm:pt>
    <dgm:pt modelId="{67DE0BAD-D433-4433-BF4A-1A1B80FE0F2E}" type="parTrans" cxnId="{48810AC0-9AB0-4089-B5BF-178E2AB1DFA7}">
      <dgm:prSet/>
      <dgm:spPr>
        <a:ln w="12700">
          <a:solidFill>
            <a:srgbClr val="70AD47"/>
          </a:solidFill>
        </a:ln>
      </dgm:spPr>
      <dgm:t>
        <a:bodyPr/>
        <a:lstStyle/>
        <a:p>
          <a:pPr algn="ctr"/>
          <a:endParaRPr lang="pl-PL" b="1">
            <a:solidFill>
              <a:sysClr val="windowText" lastClr="000000"/>
            </a:solidFill>
          </a:endParaRPr>
        </a:p>
      </dgm:t>
    </dgm:pt>
    <dgm:pt modelId="{D3F5BDCF-35CD-4D2F-9C18-E0CB6992C664}" type="sibTrans" cxnId="{48810AC0-9AB0-4089-B5BF-178E2AB1DFA7}">
      <dgm:prSet/>
      <dgm:spPr/>
      <dgm:t>
        <a:bodyPr/>
        <a:lstStyle/>
        <a:p>
          <a:pPr algn="ctr"/>
          <a:endParaRPr lang="pl-PL"/>
        </a:p>
      </dgm:t>
    </dgm:pt>
    <dgm:pt modelId="{5E086D0C-697A-4417-A62E-8A1739A9F31E}">
      <dgm:prSet phldrT="[Tekst]"/>
      <dgm:spPr>
        <a:solidFill>
          <a:srgbClr val="70AD47"/>
        </a:solidFill>
      </dgm:spPr>
      <dgm:t>
        <a:bodyPr/>
        <a:lstStyle/>
        <a:p>
          <a:pPr algn="ctr"/>
          <a:r>
            <a:rPr lang="pl-PL" b="1">
              <a:solidFill>
                <a:sysClr val="windowText" lastClr="000000"/>
              </a:solidFill>
            </a:rPr>
            <a:t>WIĄZKA 2</a:t>
          </a:r>
        </a:p>
      </dgm:t>
    </dgm:pt>
    <dgm:pt modelId="{92660940-C906-40F9-9E0C-2D538BFADABB}" type="parTrans" cxnId="{25BD2639-1B88-43E2-9BD1-6CF99A085811}">
      <dgm:prSet/>
      <dgm:spPr>
        <a:ln w="12700">
          <a:solidFill>
            <a:srgbClr val="70AD47"/>
          </a:solidFill>
        </a:ln>
      </dgm:spPr>
      <dgm:t>
        <a:bodyPr/>
        <a:lstStyle/>
        <a:p>
          <a:pPr algn="ctr"/>
          <a:endParaRPr lang="pl-PL" b="1">
            <a:solidFill>
              <a:sysClr val="windowText" lastClr="000000"/>
            </a:solidFill>
          </a:endParaRPr>
        </a:p>
      </dgm:t>
    </dgm:pt>
    <dgm:pt modelId="{1BCD2DBF-30AF-493E-B543-E534BDE5AF7D}" type="sibTrans" cxnId="{25BD2639-1B88-43E2-9BD1-6CF99A085811}">
      <dgm:prSet/>
      <dgm:spPr/>
      <dgm:t>
        <a:bodyPr/>
        <a:lstStyle/>
        <a:p>
          <a:pPr algn="ctr"/>
          <a:endParaRPr lang="pl-PL"/>
        </a:p>
      </dgm:t>
    </dgm:pt>
    <dgm:pt modelId="{CCC1836C-8817-4866-B7C8-E892CA24D0BC}">
      <dgm:prSet phldrT="[Tekst]"/>
      <dgm:spPr>
        <a:solidFill>
          <a:srgbClr val="70AD47"/>
        </a:solidFill>
      </dgm:spPr>
      <dgm:t>
        <a:bodyPr/>
        <a:lstStyle/>
        <a:p>
          <a:pPr algn="ctr"/>
          <a:r>
            <a:rPr lang="pl-PL" b="1">
              <a:solidFill>
                <a:sysClr val="windowText" lastClr="000000"/>
              </a:solidFill>
            </a:rPr>
            <a:t>WIĄZKA 3</a:t>
          </a:r>
        </a:p>
      </dgm:t>
    </dgm:pt>
    <dgm:pt modelId="{C8FD6668-4C91-4A8A-81E4-8D6BC2DB1B2C}" type="parTrans" cxnId="{A3AC99B4-A499-4C9F-9FDB-04DD76BA4B40}">
      <dgm:prSet/>
      <dgm:spPr>
        <a:ln w="12700">
          <a:solidFill>
            <a:srgbClr val="70AD47"/>
          </a:solidFill>
        </a:ln>
      </dgm:spPr>
      <dgm:t>
        <a:bodyPr/>
        <a:lstStyle/>
        <a:p>
          <a:pPr algn="ctr"/>
          <a:endParaRPr lang="pl-PL" b="1">
            <a:solidFill>
              <a:sysClr val="windowText" lastClr="000000"/>
            </a:solidFill>
          </a:endParaRPr>
        </a:p>
      </dgm:t>
    </dgm:pt>
    <dgm:pt modelId="{2D8B9F63-09A0-4131-873A-0BD665ABED60}" type="sibTrans" cxnId="{A3AC99B4-A499-4C9F-9FDB-04DD76BA4B40}">
      <dgm:prSet/>
      <dgm:spPr/>
      <dgm:t>
        <a:bodyPr/>
        <a:lstStyle/>
        <a:p>
          <a:pPr algn="ctr"/>
          <a:endParaRPr lang="pl-PL"/>
        </a:p>
      </dgm:t>
    </dgm:pt>
    <dgm:pt modelId="{8A379561-5E43-4E10-B090-C848618F1A49}">
      <dgm:prSet/>
      <dgm:spPr>
        <a:solidFill>
          <a:srgbClr val="70AD47"/>
        </a:solidFill>
      </dgm:spPr>
      <dgm:t>
        <a:bodyPr/>
        <a:lstStyle/>
        <a:p>
          <a:pPr algn="ctr"/>
          <a:r>
            <a:rPr lang="pl-PL" b="1">
              <a:solidFill>
                <a:sysClr val="windowText" lastClr="000000"/>
              </a:solidFill>
            </a:rPr>
            <a:t>WIĄZKA HORYZONTALNA</a:t>
          </a:r>
        </a:p>
      </dgm:t>
    </dgm:pt>
    <dgm:pt modelId="{55D9243E-A31A-4448-8721-4B2A4CD43666}" type="parTrans" cxnId="{EC8830DB-B594-464F-8A40-741A98682E5D}">
      <dgm:prSet/>
      <dgm:spPr>
        <a:ln w="12700">
          <a:solidFill>
            <a:srgbClr val="70AD47"/>
          </a:solidFill>
        </a:ln>
      </dgm:spPr>
      <dgm:t>
        <a:bodyPr/>
        <a:lstStyle/>
        <a:p>
          <a:pPr algn="ctr"/>
          <a:endParaRPr lang="pl-PL" b="1">
            <a:solidFill>
              <a:sysClr val="windowText" lastClr="000000"/>
            </a:solidFill>
          </a:endParaRPr>
        </a:p>
      </dgm:t>
    </dgm:pt>
    <dgm:pt modelId="{3D4E04A4-0970-4CCF-A50B-E42964C5C23A}" type="sibTrans" cxnId="{EC8830DB-B594-464F-8A40-741A98682E5D}">
      <dgm:prSet/>
      <dgm:spPr/>
      <dgm:t>
        <a:bodyPr/>
        <a:lstStyle/>
        <a:p>
          <a:pPr algn="ctr"/>
          <a:endParaRPr lang="pl-PL"/>
        </a:p>
      </dgm:t>
    </dgm:pt>
    <dgm:pt modelId="{89473249-13C0-44FB-8AEB-62CF3DF8A1F8}">
      <dgm:prSet/>
      <dgm:spPr>
        <a:solidFill>
          <a:srgbClr val="5B9BD5"/>
        </a:solidFill>
      </dgm:spPr>
      <dgm:t>
        <a:bodyPr/>
        <a:lstStyle/>
        <a:p>
          <a:pPr algn="ctr"/>
          <a:r>
            <a:rPr lang="pl-PL" b="1">
              <a:solidFill>
                <a:sysClr val="windowText" lastClr="000000"/>
              </a:solidFill>
            </a:rPr>
            <a:t>Program działań inwestycyjnych</a:t>
          </a:r>
        </a:p>
      </dgm:t>
    </dgm:pt>
    <dgm:pt modelId="{A9E32A50-8889-4481-8118-0691A3723316}" type="parTrans" cxnId="{A0E30DFF-4006-457F-B4BD-900341ED0F92}">
      <dgm:prSet/>
      <dgm:spPr>
        <a:ln w="12700">
          <a:solidFill>
            <a:srgbClr val="5B9BD5"/>
          </a:solidFill>
        </a:ln>
      </dgm:spPr>
      <dgm:t>
        <a:bodyPr/>
        <a:lstStyle/>
        <a:p>
          <a:pPr algn="ctr"/>
          <a:endParaRPr lang="pl-PL" b="1">
            <a:solidFill>
              <a:sysClr val="windowText" lastClr="000000"/>
            </a:solidFill>
          </a:endParaRPr>
        </a:p>
      </dgm:t>
    </dgm:pt>
    <dgm:pt modelId="{59C389EF-2FFF-4D6D-9507-852D59991CB9}" type="sibTrans" cxnId="{A0E30DFF-4006-457F-B4BD-900341ED0F92}">
      <dgm:prSet/>
      <dgm:spPr/>
      <dgm:t>
        <a:bodyPr/>
        <a:lstStyle/>
        <a:p>
          <a:pPr algn="ctr"/>
          <a:endParaRPr lang="pl-PL"/>
        </a:p>
      </dgm:t>
    </dgm:pt>
    <dgm:pt modelId="{75BAB74D-EF9D-47D1-9F63-365CE87D408F}">
      <dgm:prSet/>
      <dgm:spPr>
        <a:solidFill>
          <a:srgbClr val="5B9BD5"/>
        </a:solidFill>
      </dgm:spPr>
      <dgm:t>
        <a:bodyPr/>
        <a:lstStyle/>
        <a:p>
          <a:pPr algn="ctr"/>
          <a:r>
            <a:rPr lang="pl-PL" b="1">
              <a:solidFill>
                <a:sysClr val="windowText" lastClr="000000"/>
              </a:solidFill>
            </a:rPr>
            <a:t>Program działań społeczno-gospodarczych</a:t>
          </a:r>
          <a:endParaRPr lang="pl-PL" b="1">
            <a:solidFill>
              <a:sysClr val="windowText" lastClr="000000"/>
            </a:solidFill>
            <a:latin typeface="Arial Narrow" panose="020B0606020202030204" pitchFamily="34" charset="0"/>
            <a:cs typeface="Arial" panose="020B0604020202020204" pitchFamily="34" charset="0"/>
          </a:endParaRPr>
        </a:p>
      </dgm:t>
    </dgm:pt>
    <dgm:pt modelId="{8829255C-5B55-484B-BA63-1892B6ECA6E5}" type="parTrans" cxnId="{6BFCB7C7-F854-47AC-99BC-A7300459EB5E}">
      <dgm:prSet/>
      <dgm:spPr>
        <a:ln w="12700">
          <a:solidFill>
            <a:srgbClr val="5B9BD5"/>
          </a:solidFill>
        </a:ln>
      </dgm:spPr>
      <dgm:t>
        <a:bodyPr/>
        <a:lstStyle/>
        <a:p>
          <a:pPr algn="ctr"/>
          <a:endParaRPr lang="pl-PL" b="1">
            <a:solidFill>
              <a:sysClr val="windowText" lastClr="000000"/>
            </a:solidFill>
          </a:endParaRPr>
        </a:p>
      </dgm:t>
    </dgm:pt>
    <dgm:pt modelId="{406D155E-A5A7-49A0-9B52-157768E3365A}" type="sibTrans" cxnId="{6BFCB7C7-F854-47AC-99BC-A7300459EB5E}">
      <dgm:prSet/>
      <dgm:spPr/>
      <dgm:t>
        <a:bodyPr/>
        <a:lstStyle/>
        <a:p>
          <a:pPr algn="ctr"/>
          <a:endParaRPr lang="pl-PL"/>
        </a:p>
      </dgm:t>
    </dgm:pt>
    <dgm:pt modelId="{E209B8A4-C38B-4066-A826-CAC0CF362E64}">
      <dgm:prSet/>
      <dgm:spPr>
        <a:solidFill>
          <a:srgbClr val="ED7D31"/>
        </a:solidFill>
      </dgm:spPr>
      <dgm:t>
        <a:bodyPr/>
        <a:lstStyle/>
        <a:p>
          <a:pPr algn="ctr"/>
          <a:r>
            <a:rPr lang="pl-PL" b="1">
              <a:solidFill>
                <a:sysClr val="windowText" lastClr="000000"/>
              </a:solidFill>
            </a:rPr>
            <a:t>projekty miejskie</a:t>
          </a:r>
        </a:p>
      </dgm:t>
    </dgm:pt>
    <dgm:pt modelId="{21D9AD13-7652-4C60-862D-D258F04D575D}" type="parTrans" cxnId="{CAB70483-8341-4434-BA4B-BCF4279FC336}">
      <dgm:prSet/>
      <dgm:spPr>
        <a:ln w="12700">
          <a:solidFill>
            <a:srgbClr val="ED7D31"/>
          </a:solidFill>
        </a:ln>
      </dgm:spPr>
      <dgm:t>
        <a:bodyPr/>
        <a:lstStyle/>
        <a:p>
          <a:pPr algn="ctr"/>
          <a:endParaRPr lang="pl-PL" b="1">
            <a:solidFill>
              <a:sysClr val="windowText" lastClr="000000"/>
            </a:solidFill>
          </a:endParaRPr>
        </a:p>
      </dgm:t>
    </dgm:pt>
    <dgm:pt modelId="{675B9388-DEF0-4322-AFBF-02AE2CB49B85}" type="sibTrans" cxnId="{CAB70483-8341-4434-BA4B-BCF4279FC336}">
      <dgm:prSet/>
      <dgm:spPr/>
      <dgm:t>
        <a:bodyPr/>
        <a:lstStyle/>
        <a:p>
          <a:pPr algn="ctr"/>
          <a:endParaRPr lang="pl-PL"/>
        </a:p>
      </dgm:t>
    </dgm:pt>
    <dgm:pt modelId="{2937BD70-CE31-449F-9B66-5B50C452483E}">
      <dgm:prSet/>
      <dgm:spPr>
        <a:solidFill>
          <a:srgbClr val="ED7D31"/>
        </a:solidFill>
      </dgm:spPr>
      <dgm:t>
        <a:bodyPr/>
        <a:lstStyle/>
        <a:p>
          <a:pPr algn="ctr"/>
          <a:r>
            <a:rPr lang="pl-PL" b="1">
              <a:solidFill>
                <a:sysClr val="windowText" lastClr="000000"/>
              </a:solidFill>
            </a:rPr>
            <a:t>projekty partnerów zewnętrznych</a:t>
          </a:r>
        </a:p>
      </dgm:t>
    </dgm:pt>
    <dgm:pt modelId="{8FAAA7E9-1000-4699-9832-A5BAB7A1C6CE}" type="parTrans" cxnId="{4FB713DF-22C0-4859-BAEE-B326FD9D1C5F}">
      <dgm:prSet/>
      <dgm:spPr>
        <a:solidFill>
          <a:srgbClr val="ED7D31"/>
        </a:solidFill>
        <a:ln w="12700">
          <a:solidFill>
            <a:srgbClr val="ED7D31"/>
          </a:solidFill>
        </a:ln>
      </dgm:spPr>
      <dgm:t>
        <a:bodyPr/>
        <a:lstStyle/>
        <a:p>
          <a:pPr algn="ctr"/>
          <a:endParaRPr lang="pl-PL" b="1">
            <a:solidFill>
              <a:sysClr val="windowText" lastClr="000000"/>
            </a:solidFill>
          </a:endParaRPr>
        </a:p>
      </dgm:t>
    </dgm:pt>
    <dgm:pt modelId="{0BE39521-DE94-47DF-BAD5-1FE2CFAA08BB}" type="sibTrans" cxnId="{4FB713DF-22C0-4859-BAEE-B326FD9D1C5F}">
      <dgm:prSet/>
      <dgm:spPr/>
      <dgm:t>
        <a:bodyPr/>
        <a:lstStyle/>
        <a:p>
          <a:pPr algn="ctr"/>
          <a:endParaRPr lang="pl-PL"/>
        </a:p>
      </dgm:t>
    </dgm:pt>
    <dgm:pt modelId="{C04C68FE-7E76-4269-8EC3-12D55BCE9918}">
      <dgm:prSet/>
      <dgm:spPr>
        <a:solidFill>
          <a:srgbClr val="ED7D31"/>
        </a:solidFill>
      </dgm:spPr>
      <dgm:t>
        <a:bodyPr/>
        <a:lstStyle/>
        <a:p>
          <a:pPr algn="ctr"/>
          <a:r>
            <a:rPr lang="pl-PL" b="1">
              <a:solidFill>
                <a:sysClr val="windowText" lastClr="000000"/>
              </a:solidFill>
            </a:rPr>
            <a:t>projekty miejskie</a:t>
          </a:r>
        </a:p>
      </dgm:t>
    </dgm:pt>
    <dgm:pt modelId="{5F96A239-92AB-4857-B6EE-90ACF322BC7E}" type="parTrans" cxnId="{7CBE999A-BFAD-41A7-AC26-1BE494C7102D}">
      <dgm:prSet/>
      <dgm:spPr>
        <a:ln w="12700">
          <a:solidFill>
            <a:srgbClr val="ED7D31"/>
          </a:solidFill>
        </a:ln>
      </dgm:spPr>
      <dgm:t>
        <a:bodyPr/>
        <a:lstStyle/>
        <a:p>
          <a:pPr algn="ctr"/>
          <a:endParaRPr lang="pl-PL" b="1">
            <a:solidFill>
              <a:sysClr val="windowText" lastClr="000000"/>
            </a:solidFill>
          </a:endParaRPr>
        </a:p>
      </dgm:t>
    </dgm:pt>
    <dgm:pt modelId="{A4A01729-84A3-47C5-B6E1-2B3DDC031DE7}" type="sibTrans" cxnId="{7CBE999A-BFAD-41A7-AC26-1BE494C7102D}">
      <dgm:prSet/>
      <dgm:spPr/>
      <dgm:t>
        <a:bodyPr/>
        <a:lstStyle/>
        <a:p>
          <a:pPr algn="ctr"/>
          <a:endParaRPr lang="pl-PL"/>
        </a:p>
      </dgm:t>
    </dgm:pt>
    <dgm:pt modelId="{9F70715C-4723-4E2F-B46A-F70DCB237A71}">
      <dgm:prSet/>
      <dgm:spPr>
        <a:solidFill>
          <a:srgbClr val="ED7D31"/>
        </a:solidFill>
      </dgm:spPr>
      <dgm:t>
        <a:bodyPr/>
        <a:lstStyle/>
        <a:p>
          <a:pPr algn="ctr"/>
          <a:r>
            <a:rPr lang="pl-PL" b="1">
              <a:solidFill>
                <a:sysClr val="windowText" lastClr="000000"/>
              </a:solidFill>
            </a:rPr>
            <a:t>projekty partnerów zewnętrznych</a:t>
          </a:r>
        </a:p>
      </dgm:t>
    </dgm:pt>
    <dgm:pt modelId="{498F646A-6C33-438C-9033-45E980D0513B}" type="parTrans" cxnId="{6BB0A566-A2A6-43F0-AEFD-0018C721E76C}">
      <dgm:prSet/>
      <dgm:spPr>
        <a:solidFill>
          <a:srgbClr val="ED7D31"/>
        </a:solidFill>
        <a:ln w="12700">
          <a:solidFill>
            <a:srgbClr val="ED7D31"/>
          </a:solidFill>
        </a:ln>
      </dgm:spPr>
      <dgm:t>
        <a:bodyPr/>
        <a:lstStyle/>
        <a:p>
          <a:pPr algn="ctr"/>
          <a:endParaRPr lang="pl-PL" b="1">
            <a:solidFill>
              <a:sysClr val="windowText" lastClr="000000"/>
            </a:solidFill>
          </a:endParaRPr>
        </a:p>
      </dgm:t>
    </dgm:pt>
    <dgm:pt modelId="{29F3C718-B258-494A-99BC-C1D9A3FE4372}" type="sibTrans" cxnId="{6BB0A566-A2A6-43F0-AEFD-0018C721E76C}">
      <dgm:prSet/>
      <dgm:spPr/>
      <dgm:t>
        <a:bodyPr/>
        <a:lstStyle/>
        <a:p>
          <a:pPr algn="ctr"/>
          <a:endParaRPr lang="pl-PL"/>
        </a:p>
      </dgm:t>
    </dgm:pt>
    <dgm:pt modelId="{1FD8B184-D9D5-41D0-8536-10E99651FF0A}">
      <dgm:prSet/>
      <dgm:spPr>
        <a:solidFill>
          <a:srgbClr val="5B9BD5"/>
        </a:solidFill>
      </dgm:spPr>
      <dgm:t>
        <a:bodyPr/>
        <a:lstStyle/>
        <a:p>
          <a:pPr algn="ctr"/>
          <a:r>
            <a:rPr lang="pl-PL" b="1">
              <a:solidFill>
                <a:sysClr val="windowText" lastClr="000000"/>
              </a:solidFill>
            </a:rPr>
            <a:t>Program działań inwestycyjnych</a:t>
          </a:r>
        </a:p>
      </dgm:t>
    </dgm:pt>
    <dgm:pt modelId="{5E3AF283-3E28-4BE3-9277-423D0C485ADB}" type="parTrans" cxnId="{6B8B12CD-AA04-4C41-9BAF-628325DA31DB}">
      <dgm:prSet/>
      <dgm:spPr>
        <a:ln w="12700">
          <a:solidFill>
            <a:srgbClr val="5B9BD5"/>
          </a:solidFill>
        </a:ln>
      </dgm:spPr>
      <dgm:t>
        <a:bodyPr/>
        <a:lstStyle/>
        <a:p>
          <a:pPr algn="ctr"/>
          <a:endParaRPr lang="pl-PL" b="1">
            <a:solidFill>
              <a:sysClr val="windowText" lastClr="000000"/>
            </a:solidFill>
          </a:endParaRPr>
        </a:p>
      </dgm:t>
    </dgm:pt>
    <dgm:pt modelId="{1C1B868C-98CE-4545-866D-FB09CB218491}" type="sibTrans" cxnId="{6B8B12CD-AA04-4C41-9BAF-628325DA31DB}">
      <dgm:prSet/>
      <dgm:spPr/>
      <dgm:t>
        <a:bodyPr/>
        <a:lstStyle/>
        <a:p>
          <a:pPr algn="ctr"/>
          <a:endParaRPr lang="pl-PL"/>
        </a:p>
      </dgm:t>
    </dgm:pt>
    <dgm:pt modelId="{7BDE6A86-657A-46A5-BF34-AB1B68061E87}">
      <dgm:prSet/>
      <dgm:spPr>
        <a:solidFill>
          <a:srgbClr val="ED7D31"/>
        </a:solidFill>
      </dgm:spPr>
      <dgm:t>
        <a:bodyPr/>
        <a:lstStyle/>
        <a:p>
          <a:pPr algn="ctr"/>
          <a:r>
            <a:rPr lang="pl-PL" b="1">
              <a:solidFill>
                <a:sysClr val="windowText" lastClr="000000"/>
              </a:solidFill>
            </a:rPr>
            <a:t>projekty miejskie</a:t>
          </a:r>
        </a:p>
      </dgm:t>
    </dgm:pt>
    <dgm:pt modelId="{ACC87A99-0ACC-4DAB-8BE7-E23A815510DD}" type="parTrans" cxnId="{BB1BF93C-80E5-4185-8C48-56ACE42221E5}">
      <dgm:prSet/>
      <dgm:spPr>
        <a:ln w="12700">
          <a:solidFill>
            <a:srgbClr val="ED7D31"/>
          </a:solidFill>
        </a:ln>
      </dgm:spPr>
      <dgm:t>
        <a:bodyPr/>
        <a:lstStyle/>
        <a:p>
          <a:pPr algn="ctr"/>
          <a:endParaRPr lang="pl-PL" b="1">
            <a:solidFill>
              <a:sysClr val="windowText" lastClr="000000"/>
            </a:solidFill>
          </a:endParaRPr>
        </a:p>
      </dgm:t>
    </dgm:pt>
    <dgm:pt modelId="{C93E6D9F-E648-48FE-AB26-25FB8CA26636}" type="sibTrans" cxnId="{BB1BF93C-80E5-4185-8C48-56ACE42221E5}">
      <dgm:prSet/>
      <dgm:spPr/>
      <dgm:t>
        <a:bodyPr/>
        <a:lstStyle/>
        <a:p>
          <a:pPr algn="ctr"/>
          <a:endParaRPr lang="pl-PL"/>
        </a:p>
      </dgm:t>
    </dgm:pt>
    <dgm:pt modelId="{7A50D59D-868C-4A02-B5E4-A265339ABCFE}">
      <dgm:prSet/>
      <dgm:spPr>
        <a:solidFill>
          <a:srgbClr val="5B9BD5"/>
        </a:solidFill>
      </dgm:spPr>
      <dgm:t>
        <a:bodyPr/>
        <a:lstStyle/>
        <a:p>
          <a:pPr algn="ctr"/>
          <a:r>
            <a:rPr lang="pl-PL" b="1">
              <a:solidFill>
                <a:sysClr val="windowText" lastClr="000000"/>
              </a:solidFill>
            </a:rPr>
            <a:t>Program działań społeczno-gospodarczych</a:t>
          </a:r>
        </a:p>
      </dgm:t>
    </dgm:pt>
    <dgm:pt modelId="{449DBEA2-D13C-42D1-B580-B9AB7C83B095}" type="parTrans" cxnId="{0B055A75-51F3-4677-9B51-2FEF10198C38}">
      <dgm:prSet/>
      <dgm:spPr>
        <a:ln w="12700">
          <a:solidFill>
            <a:srgbClr val="5B9BD5"/>
          </a:solidFill>
        </a:ln>
      </dgm:spPr>
      <dgm:t>
        <a:bodyPr/>
        <a:lstStyle/>
        <a:p>
          <a:pPr algn="ctr"/>
          <a:endParaRPr lang="pl-PL" b="1">
            <a:solidFill>
              <a:sysClr val="windowText" lastClr="000000"/>
            </a:solidFill>
          </a:endParaRPr>
        </a:p>
      </dgm:t>
    </dgm:pt>
    <dgm:pt modelId="{D675A663-E00D-4C14-8A50-E41F2022C56C}" type="sibTrans" cxnId="{0B055A75-51F3-4677-9B51-2FEF10198C38}">
      <dgm:prSet/>
      <dgm:spPr/>
      <dgm:t>
        <a:bodyPr/>
        <a:lstStyle/>
        <a:p>
          <a:pPr algn="ctr"/>
          <a:endParaRPr lang="pl-PL"/>
        </a:p>
      </dgm:t>
    </dgm:pt>
    <dgm:pt modelId="{22D8FC99-F544-43D0-874E-7EF0805F8767}">
      <dgm:prSet/>
      <dgm:spPr>
        <a:solidFill>
          <a:srgbClr val="ED7D31"/>
        </a:solidFill>
      </dgm:spPr>
      <dgm:t>
        <a:bodyPr/>
        <a:lstStyle/>
        <a:p>
          <a:pPr algn="ctr"/>
          <a:r>
            <a:rPr lang="pl-PL" b="1">
              <a:solidFill>
                <a:sysClr val="windowText" lastClr="000000"/>
              </a:solidFill>
            </a:rPr>
            <a:t>projekty partnerów zewnętrznych</a:t>
          </a:r>
        </a:p>
      </dgm:t>
    </dgm:pt>
    <dgm:pt modelId="{1B6816FA-3DED-49D3-AEB3-79EC8BD9E7DC}" type="parTrans" cxnId="{47F0C81A-8724-4333-8B4E-F4B761D5C6AE}">
      <dgm:prSet/>
      <dgm:spPr>
        <a:solidFill>
          <a:srgbClr val="ED7D31"/>
        </a:solidFill>
        <a:ln w="12700">
          <a:solidFill>
            <a:srgbClr val="ED7D31"/>
          </a:solidFill>
        </a:ln>
      </dgm:spPr>
      <dgm:t>
        <a:bodyPr/>
        <a:lstStyle/>
        <a:p>
          <a:pPr algn="ctr"/>
          <a:endParaRPr lang="pl-PL" b="1">
            <a:solidFill>
              <a:sysClr val="windowText" lastClr="000000"/>
            </a:solidFill>
          </a:endParaRPr>
        </a:p>
      </dgm:t>
    </dgm:pt>
    <dgm:pt modelId="{6AE1EE0F-E1B3-4A61-B54F-7F8F95F19EF9}" type="sibTrans" cxnId="{47F0C81A-8724-4333-8B4E-F4B761D5C6AE}">
      <dgm:prSet/>
      <dgm:spPr/>
      <dgm:t>
        <a:bodyPr/>
        <a:lstStyle/>
        <a:p>
          <a:pPr algn="ctr"/>
          <a:endParaRPr lang="pl-PL"/>
        </a:p>
      </dgm:t>
    </dgm:pt>
    <dgm:pt modelId="{CC619C31-5D9F-46AD-A66A-3D44C0849C25}">
      <dgm:prSet/>
      <dgm:spPr>
        <a:solidFill>
          <a:srgbClr val="ED7D31"/>
        </a:solidFill>
      </dgm:spPr>
      <dgm:t>
        <a:bodyPr/>
        <a:lstStyle/>
        <a:p>
          <a:pPr algn="ctr"/>
          <a:r>
            <a:rPr lang="pl-PL" b="1">
              <a:solidFill>
                <a:sysClr val="windowText" lastClr="000000"/>
              </a:solidFill>
            </a:rPr>
            <a:t>projekty miejskie</a:t>
          </a:r>
        </a:p>
      </dgm:t>
    </dgm:pt>
    <dgm:pt modelId="{71541E4C-FFCD-4CD6-8DD7-B60F2D4AC23A}" type="parTrans" cxnId="{30F5A1FB-30AC-4419-B611-344BD1B32C57}">
      <dgm:prSet/>
      <dgm:spPr>
        <a:ln w="12700">
          <a:solidFill>
            <a:srgbClr val="ED7D31"/>
          </a:solidFill>
        </a:ln>
      </dgm:spPr>
      <dgm:t>
        <a:bodyPr/>
        <a:lstStyle/>
        <a:p>
          <a:pPr algn="ctr"/>
          <a:endParaRPr lang="pl-PL" b="1">
            <a:solidFill>
              <a:sysClr val="windowText" lastClr="000000"/>
            </a:solidFill>
          </a:endParaRPr>
        </a:p>
      </dgm:t>
    </dgm:pt>
    <dgm:pt modelId="{B14ED444-EA8F-46BC-956F-3C0FEAD24913}" type="sibTrans" cxnId="{30F5A1FB-30AC-4419-B611-344BD1B32C57}">
      <dgm:prSet/>
      <dgm:spPr/>
      <dgm:t>
        <a:bodyPr/>
        <a:lstStyle/>
        <a:p>
          <a:pPr algn="ctr"/>
          <a:endParaRPr lang="pl-PL"/>
        </a:p>
      </dgm:t>
    </dgm:pt>
    <dgm:pt modelId="{0900319F-8449-4CE6-853B-C05727E137B7}">
      <dgm:prSet/>
      <dgm:spPr>
        <a:solidFill>
          <a:srgbClr val="ED7D31"/>
        </a:solidFill>
      </dgm:spPr>
      <dgm:t>
        <a:bodyPr/>
        <a:lstStyle/>
        <a:p>
          <a:pPr algn="ctr"/>
          <a:r>
            <a:rPr lang="pl-PL" b="1">
              <a:solidFill>
                <a:sysClr val="windowText" lastClr="000000"/>
              </a:solidFill>
            </a:rPr>
            <a:t>projekty partnerów zewnętrznych</a:t>
          </a:r>
        </a:p>
      </dgm:t>
    </dgm:pt>
    <dgm:pt modelId="{34833E98-0FEE-4CC0-8ACC-4A21572466B1}" type="parTrans" cxnId="{8C1C1ECA-0C35-4C3F-A401-2447CAEEC11B}">
      <dgm:prSet/>
      <dgm:spPr>
        <a:solidFill>
          <a:srgbClr val="ED7D31"/>
        </a:solidFill>
        <a:ln w="12700">
          <a:solidFill>
            <a:srgbClr val="ED7D31"/>
          </a:solidFill>
        </a:ln>
      </dgm:spPr>
      <dgm:t>
        <a:bodyPr/>
        <a:lstStyle/>
        <a:p>
          <a:pPr algn="ctr"/>
          <a:endParaRPr lang="pl-PL" b="1">
            <a:solidFill>
              <a:sysClr val="windowText" lastClr="000000"/>
            </a:solidFill>
          </a:endParaRPr>
        </a:p>
      </dgm:t>
    </dgm:pt>
    <dgm:pt modelId="{D5ADC390-9255-43B1-9213-BC8558C32378}" type="sibTrans" cxnId="{8C1C1ECA-0C35-4C3F-A401-2447CAEEC11B}">
      <dgm:prSet/>
      <dgm:spPr/>
      <dgm:t>
        <a:bodyPr/>
        <a:lstStyle/>
        <a:p>
          <a:pPr algn="ctr"/>
          <a:endParaRPr lang="pl-PL"/>
        </a:p>
      </dgm:t>
    </dgm:pt>
    <dgm:pt modelId="{125610B1-0907-429B-BA66-39594DBD0B73}">
      <dgm:prSet/>
      <dgm:spPr>
        <a:solidFill>
          <a:srgbClr val="ED7D31"/>
        </a:solidFill>
      </dgm:spPr>
      <dgm:t>
        <a:bodyPr/>
        <a:lstStyle/>
        <a:p>
          <a:pPr algn="ctr"/>
          <a:r>
            <a:rPr lang="pl-PL" b="1">
              <a:solidFill>
                <a:sysClr val="windowText" lastClr="000000"/>
              </a:solidFill>
            </a:rPr>
            <a:t>projekty miejskie</a:t>
          </a:r>
        </a:p>
      </dgm:t>
    </dgm:pt>
    <dgm:pt modelId="{E0584460-A833-48DC-B559-C326D1F005F3}" type="parTrans" cxnId="{F1C63CD0-878B-4D59-81FF-08777353AB50}">
      <dgm:prSet/>
      <dgm:spPr>
        <a:ln w="12700">
          <a:solidFill>
            <a:srgbClr val="ED7D31"/>
          </a:solidFill>
        </a:ln>
      </dgm:spPr>
      <dgm:t>
        <a:bodyPr/>
        <a:lstStyle/>
        <a:p>
          <a:pPr algn="ctr"/>
          <a:endParaRPr lang="pl-PL" b="1">
            <a:solidFill>
              <a:sysClr val="windowText" lastClr="000000"/>
            </a:solidFill>
          </a:endParaRPr>
        </a:p>
      </dgm:t>
    </dgm:pt>
    <dgm:pt modelId="{3E9F9E4B-F278-452E-8226-4D2E37C381A4}" type="sibTrans" cxnId="{F1C63CD0-878B-4D59-81FF-08777353AB50}">
      <dgm:prSet/>
      <dgm:spPr/>
      <dgm:t>
        <a:bodyPr/>
        <a:lstStyle/>
        <a:p>
          <a:pPr algn="ctr"/>
          <a:endParaRPr lang="pl-PL"/>
        </a:p>
      </dgm:t>
    </dgm:pt>
    <dgm:pt modelId="{C59DB163-FE4A-4CFC-AA72-4A02CAF9777F}">
      <dgm:prSet/>
      <dgm:spPr>
        <a:solidFill>
          <a:srgbClr val="5B9BD5"/>
        </a:solidFill>
      </dgm:spPr>
      <dgm:t>
        <a:bodyPr/>
        <a:lstStyle/>
        <a:p>
          <a:pPr algn="ctr"/>
          <a:r>
            <a:rPr lang="pl-PL" b="1">
              <a:solidFill>
                <a:sysClr val="windowText" lastClr="000000"/>
              </a:solidFill>
            </a:rPr>
            <a:t>Program działań społeczno-gospodarczych</a:t>
          </a:r>
        </a:p>
      </dgm:t>
    </dgm:pt>
    <dgm:pt modelId="{D4843A85-BBBA-4F31-ADB1-1F003F2A2A78}" type="parTrans" cxnId="{C2011C82-E5F9-4A08-AEE7-96D20AC4BD12}">
      <dgm:prSet/>
      <dgm:spPr>
        <a:ln w="12700">
          <a:solidFill>
            <a:srgbClr val="5B9BD5"/>
          </a:solidFill>
        </a:ln>
      </dgm:spPr>
      <dgm:t>
        <a:bodyPr/>
        <a:lstStyle/>
        <a:p>
          <a:pPr algn="ctr"/>
          <a:endParaRPr lang="pl-PL" b="1">
            <a:solidFill>
              <a:sysClr val="windowText" lastClr="000000"/>
            </a:solidFill>
          </a:endParaRPr>
        </a:p>
      </dgm:t>
    </dgm:pt>
    <dgm:pt modelId="{94DD8269-F47C-4E66-9129-87013A393387}" type="sibTrans" cxnId="{C2011C82-E5F9-4A08-AEE7-96D20AC4BD12}">
      <dgm:prSet/>
      <dgm:spPr/>
      <dgm:t>
        <a:bodyPr/>
        <a:lstStyle/>
        <a:p>
          <a:pPr algn="ctr"/>
          <a:endParaRPr lang="pl-PL"/>
        </a:p>
      </dgm:t>
    </dgm:pt>
    <dgm:pt modelId="{EE75FCA5-FB72-4A23-BFAF-CE023CA818A8}">
      <dgm:prSet/>
      <dgm:spPr>
        <a:solidFill>
          <a:srgbClr val="5B9BD5"/>
        </a:solidFill>
      </dgm:spPr>
      <dgm:t>
        <a:bodyPr/>
        <a:lstStyle/>
        <a:p>
          <a:pPr algn="ctr"/>
          <a:r>
            <a:rPr lang="pl-PL" b="1">
              <a:solidFill>
                <a:sysClr val="windowText" lastClr="000000"/>
              </a:solidFill>
            </a:rPr>
            <a:t>Program działań inwestycyjnych</a:t>
          </a:r>
        </a:p>
      </dgm:t>
    </dgm:pt>
    <dgm:pt modelId="{CAE719B6-28F3-4E88-A2A3-47016C81AEBC}" type="parTrans" cxnId="{D5D7DABC-F73B-4A07-8449-AE66FC36B382}">
      <dgm:prSet/>
      <dgm:spPr>
        <a:ln w="12700">
          <a:solidFill>
            <a:srgbClr val="5B9BD5"/>
          </a:solidFill>
        </a:ln>
      </dgm:spPr>
      <dgm:t>
        <a:bodyPr/>
        <a:lstStyle/>
        <a:p>
          <a:pPr algn="ctr"/>
          <a:endParaRPr lang="pl-PL" b="1">
            <a:solidFill>
              <a:sysClr val="windowText" lastClr="000000"/>
            </a:solidFill>
          </a:endParaRPr>
        </a:p>
      </dgm:t>
    </dgm:pt>
    <dgm:pt modelId="{9EEC427E-AA96-4579-8954-3167EFE18AAB}" type="sibTrans" cxnId="{D5D7DABC-F73B-4A07-8449-AE66FC36B382}">
      <dgm:prSet/>
      <dgm:spPr/>
      <dgm:t>
        <a:bodyPr/>
        <a:lstStyle/>
        <a:p>
          <a:pPr algn="ctr"/>
          <a:endParaRPr lang="pl-PL"/>
        </a:p>
      </dgm:t>
    </dgm:pt>
    <dgm:pt modelId="{C013D5B4-3DF4-44F0-A56C-B0A3077447DB}">
      <dgm:prSet/>
      <dgm:spPr>
        <a:solidFill>
          <a:srgbClr val="ED7D31"/>
        </a:solidFill>
      </dgm:spPr>
      <dgm:t>
        <a:bodyPr/>
        <a:lstStyle/>
        <a:p>
          <a:pPr algn="ctr"/>
          <a:r>
            <a:rPr lang="pl-PL" b="1">
              <a:solidFill>
                <a:sysClr val="windowText" lastClr="000000"/>
              </a:solidFill>
            </a:rPr>
            <a:t>projekty partnerów zewnętrznych</a:t>
          </a:r>
        </a:p>
      </dgm:t>
    </dgm:pt>
    <dgm:pt modelId="{424D360D-01F0-4381-82CE-88900A0E547F}" type="parTrans" cxnId="{947E5B7C-9D22-4801-ABC7-5BC51281BB49}">
      <dgm:prSet/>
      <dgm:spPr>
        <a:solidFill>
          <a:srgbClr val="ED7D31"/>
        </a:solidFill>
        <a:ln w="12700">
          <a:solidFill>
            <a:srgbClr val="ED7D31"/>
          </a:solidFill>
        </a:ln>
      </dgm:spPr>
      <dgm:t>
        <a:bodyPr/>
        <a:lstStyle/>
        <a:p>
          <a:pPr algn="ctr"/>
          <a:endParaRPr lang="pl-PL" b="1">
            <a:solidFill>
              <a:sysClr val="windowText" lastClr="000000"/>
            </a:solidFill>
          </a:endParaRPr>
        </a:p>
      </dgm:t>
    </dgm:pt>
    <dgm:pt modelId="{80082DE9-6733-4A40-B269-B0D972B20B91}" type="sibTrans" cxnId="{947E5B7C-9D22-4801-ABC7-5BC51281BB49}">
      <dgm:prSet/>
      <dgm:spPr/>
      <dgm:t>
        <a:bodyPr/>
        <a:lstStyle/>
        <a:p>
          <a:pPr algn="ctr"/>
          <a:endParaRPr lang="pl-PL"/>
        </a:p>
      </dgm:t>
    </dgm:pt>
    <dgm:pt modelId="{FF319EB8-8A27-4DD6-A191-022A987C7838}">
      <dgm:prSet/>
      <dgm:spPr>
        <a:solidFill>
          <a:srgbClr val="ED7D31"/>
        </a:solidFill>
      </dgm:spPr>
      <dgm:t>
        <a:bodyPr/>
        <a:lstStyle/>
        <a:p>
          <a:pPr algn="ctr"/>
          <a:r>
            <a:rPr lang="pl-PL" b="1">
              <a:solidFill>
                <a:sysClr val="windowText" lastClr="000000"/>
              </a:solidFill>
            </a:rPr>
            <a:t>projekty miejskie</a:t>
          </a:r>
        </a:p>
      </dgm:t>
    </dgm:pt>
    <dgm:pt modelId="{B1BC7AD3-2D75-40FC-85D8-F395706BDECD}" type="parTrans" cxnId="{8032CBF6-EB49-4D0A-BFAD-686518B7E505}">
      <dgm:prSet/>
      <dgm:spPr>
        <a:ln w="12700">
          <a:solidFill>
            <a:srgbClr val="ED7D31"/>
          </a:solidFill>
        </a:ln>
      </dgm:spPr>
      <dgm:t>
        <a:bodyPr/>
        <a:lstStyle/>
        <a:p>
          <a:pPr algn="ctr"/>
          <a:endParaRPr lang="pl-PL" b="1">
            <a:solidFill>
              <a:sysClr val="windowText" lastClr="000000"/>
            </a:solidFill>
          </a:endParaRPr>
        </a:p>
      </dgm:t>
    </dgm:pt>
    <dgm:pt modelId="{EE8723B5-57B9-4600-A1EE-F4CD816921C2}" type="sibTrans" cxnId="{8032CBF6-EB49-4D0A-BFAD-686518B7E505}">
      <dgm:prSet/>
      <dgm:spPr/>
      <dgm:t>
        <a:bodyPr/>
        <a:lstStyle/>
        <a:p>
          <a:pPr algn="ctr"/>
          <a:endParaRPr lang="pl-PL"/>
        </a:p>
      </dgm:t>
    </dgm:pt>
    <dgm:pt modelId="{E5784AA8-5C5B-40FC-9845-76E7DC1C1333}">
      <dgm:prSet/>
      <dgm:spPr>
        <a:solidFill>
          <a:srgbClr val="ED7D31"/>
        </a:solidFill>
      </dgm:spPr>
      <dgm:t>
        <a:bodyPr/>
        <a:lstStyle/>
        <a:p>
          <a:pPr algn="ctr"/>
          <a:r>
            <a:rPr lang="pl-PL" b="1">
              <a:solidFill>
                <a:sysClr val="windowText" lastClr="000000"/>
              </a:solidFill>
            </a:rPr>
            <a:t>projekty partnerów zewnętrznych</a:t>
          </a:r>
        </a:p>
      </dgm:t>
    </dgm:pt>
    <dgm:pt modelId="{37B07460-7A3F-4172-9CA6-042567A8FC4C}" type="parTrans" cxnId="{59949DE4-29C6-4598-9014-21C745A588B4}">
      <dgm:prSet/>
      <dgm:spPr>
        <a:solidFill>
          <a:srgbClr val="ED7D31"/>
        </a:solidFill>
        <a:ln w="12700">
          <a:solidFill>
            <a:srgbClr val="ED7D31"/>
          </a:solidFill>
        </a:ln>
      </dgm:spPr>
      <dgm:t>
        <a:bodyPr/>
        <a:lstStyle/>
        <a:p>
          <a:pPr algn="ctr"/>
          <a:endParaRPr lang="pl-PL" b="1">
            <a:solidFill>
              <a:sysClr val="windowText" lastClr="000000"/>
            </a:solidFill>
          </a:endParaRPr>
        </a:p>
      </dgm:t>
    </dgm:pt>
    <dgm:pt modelId="{177338A1-FF78-4C3A-8EC0-A6E3C70B235B}" type="sibTrans" cxnId="{59949DE4-29C6-4598-9014-21C745A588B4}">
      <dgm:prSet/>
      <dgm:spPr/>
      <dgm:t>
        <a:bodyPr/>
        <a:lstStyle/>
        <a:p>
          <a:pPr algn="ctr"/>
          <a:endParaRPr lang="pl-PL"/>
        </a:p>
      </dgm:t>
    </dgm:pt>
    <dgm:pt modelId="{194E1325-BFEE-4775-B9DB-F24A7E4FC8CC}">
      <dgm:prSet/>
      <dgm:spPr>
        <a:solidFill>
          <a:srgbClr val="5B9BD5"/>
        </a:solidFill>
      </dgm:spPr>
      <dgm:t>
        <a:bodyPr/>
        <a:lstStyle/>
        <a:p>
          <a:pPr algn="ctr"/>
          <a:r>
            <a:rPr lang="pl-PL" b="1">
              <a:solidFill>
                <a:sysClr val="windowText" lastClr="000000"/>
              </a:solidFill>
            </a:rPr>
            <a:t>Program działań inwestycyjnych</a:t>
          </a:r>
        </a:p>
      </dgm:t>
    </dgm:pt>
    <dgm:pt modelId="{E6B32060-7F9A-4B97-9176-C384750EEEAD}" type="parTrans" cxnId="{D41AB29E-10D9-4DF9-8AC4-DF16D5C5238C}">
      <dgm:prSet/>
      <dgm:spPr>
        <a:ln w="12700">
          <a:solidFill>
            <a:srgbClr val="5B9BD5"/>
          </a:solidFill>
        </a:ln>
      </dgm:spPr>
      <dgm:t>
        <a:bodyPr/>
        <a:lstStyle/>
        <a:p>
          <a:pPr algn="ctr"/>
          <a:endParaRPr lang="pl-PL" b="1">
            <a:solidFill>
              <a:sysClr val="windowText" lastClr="000000"/>
            </a:solidFill>
          </a:endParaRPr>
        </a:p>
      </dgm:t>
    </dgm:pt>
    <dgm:pt modelId="{1EB924BC-51C5-45F5-B075-6AB330D838E1}" type="sibTrans" cxnId="{D41AB29E-10D9-4DF9-8AC4-DF16D5C5238C}">
      <dgm:prSet/>
      <dgm:spPr/>
      <dgm:t>
        <a:bodyPr/>
        <a:lstStyle/>
        <a:p>
          <a:pPr algn="ctr"/>
          <a:endParaRPr lang="pl-PL"/>
        </a:p>
      </dgm:t>
    </dgm:pt>
    <dgm:pt modelId="{B11A6FF5-0665-4977-A980-8ADBEDC7D476}">
      <dgm:prSet/>
      <dgm:spPr>
        <a:solidFill>
          <a:srgbClr val="ED7D31"/>
        </a:solidFill>
      </dgm:spPr>
      <dgm:t>
        <a:bodyPr/>
        <a:lstStyle/>
        <a:p>
          <a:pPr algn="ctr"/>
          <a:r>
            <a:rPr lang="pl-PL" b="1">
              <a:solidFill>
                <a:sysClr val="windowText" lastClr="000000"/>
              </a:solidFill>
            </a:rPr>
            <a:t>projekty miejskie</a:t>
          </a:r>
        </a:p>
      </dgm:t>
    </dgm:pt>
    <dgm:pt modelId="{04FA52EF-D6AD-4901-A0CA-7E68B4C6A5DC}" type="parTrans" cxnId="{49D82D0A-59D1-4941-9815-D9C82BF092F2}">
      <dgm:prSet/>
      <dgm:spPr>
        <a:ln w="12700">
          <a:solidFill>
            <a:srgbClr val="ED7D31"/>
          </a:solidFill>
        </a:ln>
      </dgm:spPr>
      <dgm:t>
        <a:bodyPr/>
        <a:lstStyle/>
        <a:p>
          <a:pPr algn="ctr"/>
          <a:endParaRPr lang="pl-PL" b="1">
            <a:solidFill>
              <a:sysClr val="windowText" lastClr="000000"/>
            </a:solidFill>
          </a:endParaRPr>
        </a:p>
      </dgm:t>
    </dgm:pt>
    <dgm:pt modelId="{956D6763-A6A0-4568-92DD-D290852230A6}" type="sibTrans" cxnId="{49D82D0A-59D1-4941-9815-D9C82BF092F2}">
      <dgm:prSet/>
      <dgm:spPr/>
      <dgm:t>
        <a:bodyPr/>
        <a:lstStyle/>
        <a:p>
          <a:pPr algn="ctr"/>
          <a:endParaRPr lang="pl-PL"/>
        </a:p>
      </dgm:t>
    </dgm:pt>
    <dgm:pt modelId="{1AE7F235-DC72-4FAC-AB4D-0E4F35A31964}">
      <dgm:prSet/>
      <dgm:spPr>
        <a:solidFill>
          <a:srgbClr val="ED7D31"/>
        </a:solidFill>
      </dgm:spPr>
      <dgm:t>
        <a:bodyPr/>
        <a:lstStyle/>
        <a:p>
          <a:pPr algn="ctr"/>
          <a:r>
            <a:rPr lang="pl-PL" b="1">
              <a:solidFill>
                <a:sysClr val="windowText" lastClr="000000"/>
              </a:solidFill>
            </a:rPr>
            <a:t>projekty partnerów zewnętrznych</a:t>
          </a:r>
        </a:p>
      </dgm:t>
    </dgm:pt>
    <dgm:pt modelId="{09466B68-752A-4063-AD79-C9E3B7DE0128}" type="parTrans" cxnId="{133DD3C4-0DB7-4EB4-A3BE-6FA93392BE18}">
      <dgm:prSet/>
      <dgm:spPr>
        <a:solidFill>
          <a:srgbClr val="ED7D31"/>
        </a:solidFill>
        <a:ln w="12700">
          <a:solidFill>
            <a:srgbClr val="ED7D31"/>
          </a:solidFill>
        </a:ln>
      </dgm:spPr>
      <dgm:t>
        <a:bodyPr/>
        <a:lstStyle/>
        <a:p>
          <a:pPr algn="ctr"/>
          <a:endParaRPr lang="pl-PL" b="1">
            <a:solidFill>
              <a:sysClr val="windowText" lastClr="000000"/>
            </a:solidFill>
          </a:endParaRPr>
        </a:p>
      </dgm:t>
    </dgm:pt>
    <dgm:pt modelId="{825E13DD-4DAF-4512-A396-671CEE7B8A2D}" type="sibTrans" cxnId="{133DD3C4-0DB7-4EB4-A3BE-6FA93392BE18}">
      <dgm:prSet/>
      <dgm:spPr/>
      <dgm:t>
        <a:bodyPr/>
        <a:lstStyle/>
        <a:p>
          <a:pPr algn="ctr"/>
          <a:endParaRPr lang="pl-PL"/>
        </a:p>
      </dgm:t>
    </dgm:pt>
    <dgm:pt modelId="{D84418A5-54B3-41C1-9EC6-94DE9ED7DEBA}">
      <dgm:prSet/>
      <dgm:spPr>
        <a:solidFill>
          <a:srgbClr val="5B9BD5"/>
        </a:solidFill>
      </dgm:spPr>
      <dgm:t>
        <a:bodyPr/>
        <a:lstStyle/>
        <a:p>
          <a:r>
            <a:rPr lang="pl-PL" b="1">
              <a:solidFill>
                <a:sysClr val="windowText" lastClr="000000"/>
              </a:solidFill>
            </a:rPr>
            <a:t>Program działań społeczno-gospodarczych</a:t>
          </a:r>
        </a:p>
      </dgm:t>
    </dgm:pt>
    <dgm:pt modelId="{FF21DD6F-0249-4796-A705-C02936FD6861}" type="parTrans" cxnId="{396B768F-CEF4-418D-B57D-9D43A06A6BE1}">
      <dgm:prSet/>
      <dgm:spPr>
        <a:ln w="12700">
          <a:solidFill>
            <a:srgbClr val="5B9BD5"/>
          </a:solidFill>
        </a:ln>
      </dgm:spPr>
      <dgm:t>
        <a:bodyPr/>
        <a:lstStyle/>
        <a:p>
          <a:endParaRPr lang="pl-PL" b="1">
            <a:solidFill>
              <a:sysClr val="windowText" lastClr="000000"/>
            </a:solidFill>
          </a:endParaRPr>
        </a:p>
      </dgm:t>
    </dgm:pt>
    <dgm:pt modelId="{283BC6BC-A69C-421C-8E93-12B659699185}" type="sibTrans" cxnId="{396B768F-CEF4-418D-B57D-9D43A06A6BE1}">
      <dgm:prSet/>
      <dgm:spPr/>
      <dgm:t>
        <a:bodyPr/>
        <a:lstStyle/>
        <a:p>
          <a:endParaRPr lang="pl-PL"/>
        </a:p>
      </dgm:t>
    </dgm:pt>
    <dgm:pt modelId="{B118D4E4-16F1-4DBB-BA96-99DA23954CBC}">
      <dgm:prSet/>
      <dgm:spPr>
        <a:solidFill>
          <a:srgbClr val="ED7D31"/>
        </a:solidFill>
      </dgm:spPr>
      <dgm:t>
        <a:bodyPr/>
        <a:lstStyle/>
        <a:p>
          <a:r>
            <a:rPr lang="pl-PL" b="1">
              <a:solidFill>
                <a:sysClr val="windowText" lastClr="000000"/>
              </a:solidFill>
            </a:rPr>
            <a:t>projekty miejskie</a:t>
          </a:r>
        </a:p>
      </dgm:t>
    </dgm:pt>
    <dgm:pt modelId="{2022AA77-E0A6-4E82-8171-5BA903506C43}" type="parTrans" cxnId="{01594EFF-8912-442F-9092-9C475BCF3876}">
      <dgm:prSet/>
      <dgm:spPr>
        <a:ln w="12700">
          <a:solidFill>
            <a:srgbClr val="ED7D31"/>
          </a:solidFill>
        </a:ln>
      </dgm:spPr>
      <dgm:t>
        <a:bodyPr/>
        <a:lstStyle/>
        <a:p>
          <a:endParaRPr lang="pl-PL" b="1">
            <a:solidFill>
              <a:sysClr val="windowText" lastClr="000000"/>
            </a:solidFill>
          </a:endParaRPr>
        </a:p>
      </dgm:t>
    </dgm:pt>
    <dgm:pt modelId="{28F04D20-8DFD-442C-BDCA-61FD4F274EF1}" type="sibTrans" cxnId="{01594EFF-8912-442F-9092-9C475BCF3876}">
      <dgm:prSet/>
      <dgm:spPr/>
      <dgm:t>
        <a:bodyPr/>
        <a:lstStyle/>
        <a:p>
          <a:endParaRPr lang="pl-PL"/>
        </a:p>
      </dgm:t>
    </dgm:pt>
    <dgm:pt modelId="{6B9552B0-DF09-49EA-91CF-C5ADDB652742}">
      <dgm:prSet/>
      <dgm:spPr>
        <a:solidFill>
          <a:srgbClr val="ED7D31"/>
        </a:solidFill>
      </dgm:spPr>
      <dgm:t>
        <a:bodyPr/>
        <a:lstStyle/>
        <a:p>
          <a:r>
            <a:rPr lang="pl-PL" b="1">
              <a:solidFill>
                <a:sysClr val="windowText" lastClr="000000"/>
              </a:solidFill>
            </a:rPr>
            <a:t>projekty partnerów zewnętrznych</a:t>
          </a:r>
        </a:p>
      </dgm:t>
    </dgm:pt>
    <dgm:pt modelId="{251255C7-5F41-4B45-9390-883FDCFA416E}" type="parTrans" cxnId="{8F8D5D55-4426-4F31-983D-ED5B2959E9DA}">
      <dgm:prSet/>
      <dgm:spPr>
        <a:solidFill>
          <a:srgbClr val="ED7D31"/>
        </a:solidFill>
        <a:ln w="12700">
          <a:solidFill>
            <a:srgbClr val="ED7D31"/>
          </a:solidFill>
        </a:ln>
      </dgm:spPr>
      <dgm:t>
        <a:bodyPr/>
        <a:lstStyle/>
        <a:p>
          <a:endParaRPr lang="pl-PL" b="1">
            <a:solidFill>
              <a:sysClr val="windowText" lastClr="000000"/>
            </a:solidFill>
          </a:endParaRPr>
        </a:p>
      </dgm:t>
    </dgm:pt>
    <dgm:pt modelId="{E5FAA949-5C4F-4B55-83AE-B9BAD30ECFDC}" type="sibTrans" cxnId="{8F8D5D55-4426-4F31-983D-ED5B2959E9DA}">
      <dgm:prSet/>
      <dgm:spPr/>
      <dgm:t>
        <a:bodyPr/>
        <a:lstStyle/>
        <a:p>
          <a:endParaRPr lang="pl-PL"/>
        </a:p>
      </dgm:t>
    </dgm:pt>
    <dgm:pt modelId="{313A6A2C-B8D0-47A1-9ED1-79BAF18A470B}" type="pres">
      <dgm:prSet presAssocID="{A8E367E3-89FA-482D-8055-655FCDAC3559}" presName="hierChild1" presStyleCnt="0">
        <dgm:presLayoutVars>
          <dgm:orgChart val="1"/>
          <dgm:chPref val="1"/>
          <dgm:dir/>
          <dgm:animOne val="branch"/>
          <dgm:animLvl val="lvl"/>
          <dgm:resizeHandles/>
        </dgm:presLayoutVars>
      </dgm:prSet>
      <dgm:spPr/>
      <dgm:t>
        <a:bodyPr/>
        <a:lstStyle/>
        <a:p>
          <a:endParaRPr lang="pl-PL"/>
        </a:p>
      </dgm:t>
    </dgm:pt>
    <dgm:pt modelId="{DCFFC9E1-64C3-439A-A10E-DE583B32EE09}" type="pres">
      <dgm:prSet presAssocID="{835994E3-4CE0-411F-87C7-9FD6438022DF}" presName="hierRoot1" presStyleCnt="0">
        <dgm:presLayoutVars>
          <dgm:hierBranch val="init"/>
        </dgm:presLayoutVars>
      </dgm:prSet>
      <dgm:spPr/>
      <dgm:t>
        <a:bodyPr/>
        <a:lstStyle/>
        <a:p>
          <a:endParaRPr lang="pl-PL"/>
        </a:p>
      </dgm:t>
    </dgm:pt>
    <dgm:pt modelId="{CD26D69B-B590-448E-8013-D03355F2F14F}" type="pres">
      <dgm:prSet presAssocID="{835994E3-4CE0-411F-87C7-9FD6438022DF}" presName="rootComposite1" presStyleCnt="0"/>
      <dgm:spPr/>
      <dgm:t>
        <a:bodyPr/>
        <a:lstStyle/>
        <a:p>
          <a:endParaRPr lang="pl-PL"/>
        </a:p>
      </dgm:t>
    </dgm:pt>
    <dgm:pt modelId="{D9078797-6CC3-49D8-AD81-E32DEF5F82C5}" type="pres">
      <dgm:prSet presAssocID="{835994E3-4CE0-411F-87C7-9FD6438022DF}" presName="rootText1" presStyleLbl="node0" presStyleIdx="0" presStyleCnt="1" custAng="0" custScaleX="169365">
        <dgm:presLayoutVars>
          <dgm:chPref val="3"/>
        </dgm:presLayoutVars>
      </dgm:prSet>
      <dgm:spPr/>
      <dgm:t>
        <a:bodyPr/>
        <a:lstStyle/>
        <a:p>
          <a:endParaRPr lang="pl-PL"/>
        </a:p>
      </dgm:t>
    </dgm:pt>
    <dgm:pt modelId="{1666A39B-35C2-49F4-BEB1-143715C6443A}" type="pres">
      <dgm:prSet presAssocID="{835994E3-4CE0-411F-87C7-9FD6438022DF}" presName="rootConnector1" presStyleLbl="node1" presStyleIdx="0" presStyleCnt="0"/>
      <dgm:spPr/>
      <dgm:t>
        <a:bodyPr/>
        <a:lstStyle/>
        <a:p>
          <a:endParaRPr lang="pl-PL"/>
        </a:p>
      </dgm:t>
    </dgm:pt>
    <dgm:pt modelId="{AFBD2979-DB7A-4A67-B7B5-EE0A28C46EF9}" type="pres">
      <dgm:prSet presAssocID="{835994E3-4CE0-411F-87C7-9FD6438022DF}" presName="hierChild2" presStyleCnt="0"/>
      <dgm:spPr/>
      <dgm:t>
        <a:bodyPr/>
        <a:lstStyle/>
        <a:p>
          <a:endParaRPr lang="pl-PL"/>
        </a:p>
      </dgm:t>
    </dgm:pt>
    <dgm:pt modelId="{D531929E-42F5-430F-BA72-CE7A4E365C72}" type="pres">
      <dgm:prSet presAssocID="{67DE0BAD-D433-4433-BF4A-1A1B80FE0F2E}" presName="Name37" presStyleLbl="parChTrans1D2" presStyleIdx="0" presStyleCnt="5"/>
      <dgm:spPr/>
      <dgm:t>
        <a:bodyPr/>
        <a:lstStyle/>
        <a:p>
          <a:endParaRPr lang="pl-PL"/>
        </a:p>
      </dgm:t>
    </dgm:pt>
    <dgm:pt modelId="{B82C3E3E-8667-4859-B91F-5E081E085BE9}" type="pres">
      <dgm:prSet presAssocID="{05BBB817-DC8A-4FF6-9A5F-F76066716213}" presName="hierRoot2" presStyleCnt="0">
        <dgm:presLayoutVars>
          <dgm:hierBranch val="init"/>
        </dgm:presLayoutVars>
      </dgm:prSet>
      <dgm:spPr/>
      <dgm:t>
        <a:bodyPr/>
        <a:lstStyle/>
        <a:p>
          <a:endParaRPr lang="pl-PL"/>
        </a:p>
      </dgm:t>
    </dgm:pt>
    <dgm:pt modelId="{5567F130-BEFB-42D4-961F-19BA98C9BA36}" type="pres">
      <dgm:prSet presAssocID="{05BBB817-DC8A-4FF6-9A5F-F76066716213}" presName="rootComposite" presStyleCnt="0"/>
      <dgm:spPr/>
      <dgm:t>
        <a:bodyPr/>
        <a:lstStyle/>
        <a:p>
          <a:endParaRPr lang="pl-PL"/>
        </a:p>
      </dgm:t>
    </dgm:pt>
    <dgm:pt modelId="{B029C857-AA05-440E-AC31-6ADEC6FBCA3D}" type="pres">
      <dgm:prSet presAssocID="{05BBB817-DC8A-4FF6-9A5F-F76066716213}" presName="rootText" presStyleLbl="node2" presStyleIdx="0" presStyleCnt="4">
        <dgm:presLayoutVars>
          <dgm:chPref val="3"/>
        </dgm:presLayoutVars>
      </dgm:prSet>
      <dgm:spPr/>
      <dgm:t>
        <a:bodyPr/>
        <a:lstStyle/>
        <a:p>
          <a:endParaRPr lang="pl-PL"/>
        </a:p>
      </dgm:t>
    </dgm:pt>
    <dgm:pt modelId="{4D94E72D-F937-4855-8950-B40013DF7A51}" type="pres">
      <dgm:prSet presAssocID="{05BBB817-DC8A-4FF6-9A5F-F76066716213}" presName="rootConnector" presStyleLbl="node2" presStyleIdx="0" presStyleCnt="4"/>
      <dgm:spPr/>
      <dgm:t>
        <a:bodyPr/>
        <a:lstStyle/>
        <a:p>
          <a:endParaRPr lang="pl-PL"/>
        </a:p>
      </dgm:t>
    </dgm:pt>
    <dgm:pt modelId="{3FFCD769-44BF-4066-B5E5-2886A680BC44}" type="pres">
      <dgm:prSet presAssocID="{05BBB817-DC8A-4FF6-9A5F-F76066716213}" presName="hierChild4" presStyleCnt="0"/>
      <dgm:spPr/>
      <dgm:t>
        <a:bodyPr/>
        <a:lstStyle/>
        <a:p>
          <a:endParaRPr lang="pl-PL"/>
        </a:p>
      </dgm:t>
    </dgm:pt>
    <dgm:pt modelId="{65E5A0F3-CB90-40A0-8DD5-52D7B723006A}" type="pres">
      <dgm:prSet presAssocID="{A9E32A50-8889-4481-8118-0691A3723316}" presName="Name37" presStyleLbl="parChTrans1D3" presStyleIdx="0" presStyleCnt="8"/>
      <dgm:spPr/>
      <dgm:t>
        <a:bodyPr/>
        <a:lstStyle/>
        <a:p>
          <a:endParaRPr lang="pl-PL"/>
        </a:p>
      </dgm:t>
    </dgm:pt>
    <dgm:pt modelId="{9AAFBFBE-1054-4FA6-BC7C-A1C3F82ABC6E}" type="pres">
      <dgm:prSet presAssocID="{89473249-13C0-44FB-8AEB-62CF3DF8A1F8}" presName="hierRoot2" presStyleCnt="0">
        <dgm:presLayoutVars>
          <dgm:hierBranch val="init"/>
        </dgm:presLayoutVars>
      </dgm:prSet>
      <dgm:spPr/>
      <dgm:t>
        <a:bodyPr/>
        <a:lstStyle/>
        <a:p>
          <a:endParaRPr lang="pl-PL"/>
        </a:p>
      </dgm:t>
    </dgm:pt>
    <dgm:pt modelId="{BDF5F524-4106-4188-9296-346473AA5951}" type="pres">
      <dgm:prSet presAssocID="{89473249-13C0-44FB-8AEB-62CF3DF8A1F8}" presName="rootComposite" presStyleCnt="0"/>
      <dgm:spPr/>
      <dgm:t>
        <a:bodyPr/>
        <a:lstStyle/>
        <a:p>
          <a:endParaRPr lang="pl-PL"/>
        </a:p>
      </dgm:t>
    </dgm:pt>
    <dgm:pt modelId="{4910A01F-7AD1-4E21-87DF-92760EE4AD81}" type="pres">
      <dgm:prSet presAssocID="{89473249-13C0-44FB-8AEB-62CF3DF8A1F8}" presName="rootText" presStyleLbl="node3" presStyleIdx="0" presStyleCnt="8" custLinFactNeighborY="1110">
        <dgm:presLayoutVars>
          <dgm:chPref val="3"/>
        </dgm:presLayoutVars>
      </dgm:prSet>
      <dgm:spPr/>
      <dgm:t>
        <a:bodyPr/>
        <a:lstStyle/>
        <a:p>
          <a:endParaRPr lang="pl-PL"/>
        </a:p>
      </dgm:t>
    </dgm:pt>
    <dgm:pt modelId="{110B5576-C53F-48D9-AE6F-DD36929927FF}" type="pres">
      <dgm:prSet presAssocID="{89473249-13C0-44FB-8AEB-62CF3DF8A1F8}" presName="rootConnector" presStyleLbl="node3" presStyleIdx="0" presStyleCnt="8"/>
      <dgm:spPr/>
      <dgm:t>
        <a:bodyPr/>
        <a:lstStyle/>
        <a:p>
          <a:endParaRPr lang="pl-PL"/>
        </a:p>
      </dgm:t>
    </dgm:pt>
    <dgm:pt modelId="{E00C7E13-9B37-49DA-A160-1A302DCF0E69}" type="pres">
      <dgm:prSet presAssocID="{89473249-13C0-44FB-8AEB-62CF3DF8A1F8}" presName="hierChild4" presStyleCnt="0"/>
      <dgm:spPr/>
      <dgm:t>
        <a:bodyPr/>
        <a:lstStyle/>
        <a:p>
          <a:endParaRPr lang="pl-PL"/>
        </a:p>
      </dgm:t>
    </dgm:pt>
    <dgm:pt modelId="{9DBD5B21-7DF5-4F4A-B318-0DDA980CC3EB}" type="pres">
      <dgm:prSet presAssocID="{21D9AD13-7652-4C60-862D-D258F04D575D}" presName="Name37" presStyleLbl="parChTrans1D4" presStyleIdx="0" presStyleCnt="16"/>
      <dgm:spPr/>
      <dgm:t>
        <a:bodyPr/>
        <a:lstStyle/>
        <a:p>
          <a:endParaRPr lang="pl-PL"/>
        </a:p>
      </dgm:t>
    </dgm:pt>
    <dgm:pt modelId="{0DE67237-B5EC-44FB-8C88-44375EF185CC}" type="pres">
      <dgm:prSet presAssocID="{E209B8A4-C38B-4066-A826-CAC0CF362E64}" presName="hierRoot2" presStyleCnt="0">
        <dgm:presLayoutVars>
          <dgm:hierBranch val="init"/>
        </dgm:presLayoutVars>
      </dgm:prSet>
      <dgm:spPr/>
      <dgm:t>
        <a:bodyPr/>
        <a:lstStyle/>
        <a:p>
          <a:endParaRPr lang="pl-PL"/>
        </a:p>
      </dgm:t>
    </dgm:pt>
    <dgm:pt modelId="{714C4A02-78AB-45FF-9702-E69AC5C6DB38}" type="pres">
      <dgm:prSet presAssocID="{E209B8A4-C38B-4066-A826-CAC0CF362E64}" presName="rootComposite" presStyleCnt="0"/>
      <dgm:spPr/>
      <dgm:t>
        <a:bodyPr/>
        <a:lstStyle/>
        <a:p>
          <a:endParaRPr lang="pl-PL"/>
        </a:p>
      </dgm:t>
    </dgm:pt>
    <dgm:pt modelId="{00B70C33-B204-4AF2-97C7-F6E47BB54311}" type="pres">
      <dgm:prSet presAssocID="{E209B8A4-C38B-4066-A826-CAC0CF362E64}" presName="rootText" presStyleLbl="node4" presStyleIdx="0" presStyleCnt="16" custLinFactNeighborY="213">
        <dgm:presLayoutVars>
          <dgm:chPref val="3"/>
        </dgm:presLayoutVars>
      </dgm:prSet>
      <dgm:spPr/>
      <dgm:t>
        <a:bodyPr/>
        <a:lstStyle/>
        <a:p>
          <a:endParaRPr lang="pl-PL"/>
        </a:p>
      </dgm:t>
    </dgm:pt>
    <dgm:pt modelId="{5DD8C548-F2A8-4ABA-9D3E-6CF3A2288C91}" type="pres">
      <dgm:prSet presAssocID="{E209B8A4-C38B-4066-A826-CAC0CF362E64}" presName="rootConnector" presStyleLbl="node4" presStyleIdx="0" presStyleCnt="16"/>
      <dgm:spPr/>
      <dgm:t>
        <a:bodyPr/>
        <a:lstStyle/>
        <a:p>
          <a:endParaRPr lang="pl-PL"/>
        </a:p>
      </dgm:t>
    </dgm:pt>
    <dgm:pt modelId="{8653F166-AC68-459C-89F6-318EAE0324C0}" type="pres">
      <dgm:prSet presAssocID="{E209B8A4-C38B-4066-A826-CAC0CF362E64}" presName="hierChild4" presStyleCnt="0"/>
      <dgm:spPr/>
      <dgm:t>
        <a:bodyPr/>
        <a:lstStyle/>
        <a:p>
          <a:endParaRPr lang="pl-PL"/>
        </a:p>
      </dgm:t>
    </dgm:pt>
    <dgm:pt modelId="{AEBB9266-F3AD-4B9B-B547-8CA01632839E}" type="pres">
      <dgm:prSet presAssocID="{E209B8A4-C38B-4066-A826-CAC0CF362E64}" presName="hierChild5" presStyleCnt="0"/>
      <dgm:spPr/>
      <dgm:t>
        <a:bodyPr/>
        <a:lstStyle/>
        <a:p>
          <a:endParaRPr lang="pl-PL"/>
        </a:p>
      </dgm:t>
    </dgm:pt>
    <dgm:pt modelId="{D0C8E380-7D35-4794-8912-526D8101F4E8}" type="pres">
      <dgm:prSet presAssocID="{8FAAA7E9-1000-4699-9832-A5BAB7A1C6CE}" presName="Name37" presStyleLbl="parChTrans1D4" presStyleIdx="1" presStyleCnt="16"/>
      <dgm:spPr/>
      <dgm:t>
        <a:bodyPr/>
        <a:lstStyle/>
        <a:p>
          <a:endParaRPr lang="pl-PL"/>
        </a:p>
      </dgm:t>
    </dgm:pt>
    <dgm:pt modelId="{81FA9480-D436-4D99-AB32-556CD1792CFA}" type="pres">
      <dgm:prSet presAssocID="{2937BD70-CE31-449F-9B66-5B50C452483E}" presName="hierRoot2" presStyleCnt="0">
        <dgm:presLayoutVars>
          <dgm:hierBranch val="init"/>
        </dgm:presLayoutVars>
      </dgm:prSet>
      <dgm:spPr/>
      <dgm:t>
        <a:bodyPr/>
        <a:lstStyle/>
        <a:p>
          <a:endParaRPr lang="pl-PL"/>
        </a:p>
      </dgm:t>
    </dgm:pt>
    <dgm:pt modelId="{B39A5AFD-A70F-46E2-BA77-02019D397508}" type="pres">
      <dgm:prSet presAssocID="{2937BD70-CE31-449F-9B66-5B50C452483E}" presName="rootComposite" presStyleCnt="0"/>
      <dgm:spPr/>
      <dgm:t>
        <a:bodyPr/>
        <a:lstStyle/>
        <a:p>
          <a:endParaRPr lang="pl-PL"/>
        </a:p>
      </dgm:t>
    </dgm:pt>
    <dgm:pt modelId="{A5F0B974-3782-47D3-B19C-D9064C01EE3E}" type="pres">
      <dgm:prSet presAssocID="{2937BD70-CE31-449F-9B66-5B50C452483E}" presName="rootText" presStyleLbl="node4" presStyleIdx="1" presStyleCnt="16" custLinFactNeighborY="213">
        <dgm:presLayoutVars>
          <dgm:chPref val="3"/>
        </dgm:presLayoutVars>
      </dgm:prSet>
      <dgm:spPr/>
      <dgm:t>
        <a:bodyPr/>
        <a:lstStyle/>
        <a:p>
          <a:endParaRPr lang="pl-PL"/>
        </a:p>
      </dgm:t>
    </dgm:pt>
    <dgm:pt modelId="{92C2176C-5368-4205-A34B-12CFF00DAF55}" type="pres">
      <dgm:prSet presAssocID="{2937BD70-CE31-449F-9B66-5B50C452483E}" presName="rootConnector" presStyleLbl="node4" presStyleIdx="1" presStyleCnt="16"/>
      <dgm:spPr/>
      <dgm:t>
        <a:bodyPr/>
        <a:lstStyle/>
        <a:p>
          <a:endParaRPr lang="pl-PL"/>
        </a:p>
      </dgm:t>
    </dgm:pt>
    <dgm:pt modelId="{0BEDF3D2-1E44-48CE-9A8E-A992BB219AF5}" type="pres">
      <dgm:prSet presAssocID="{2937BD70-CE31-449F-9B66-5B50C452483E}" presName="hierChild4" presStyleCnt="0"/>
      <dgm:spPr/>
      <dgm:t>
        <a:bodyPr/>
        <a:lstStyle/>
        <a:p>
          <a:endParaRPr lang="pl-PL"/>
        </a:p>
      </dgm:t>
    </dgm:pt>
    <dgm:pt modelId="{3F40AE50-6334-41A9-A9A0-C004413E27FD}" type="pres">
      <dgm:prSet presAssocID="{2937BD70-CE31-449F-9B66-5B50C452483E}" presName="hierChild5" presStyleCnt="0"/>
      <dgm:spPr/>
      <dgm:t>
        <a:bodyPr/>
        <a:lstStyle/>
        <a:p>
          <a:endParaRPr lang="pl-PL"/>
        </a:p>
      </dgm:t>
    </dgm:pt>
    <dgm:pt modelId="{B4334793-0100-4874-9D4F-79214FB44B3B}" type="pres">
      <dgm:prSet presAssocID="{89473249-13C0-44FB-8AEB-62CF3DF8A1F8}" presName="hierChild5" presStyleCnt="0"/>
      <dgm:spPr/>
      <dgm:t>
        <a:bodyPr/>
        <a:lstStyle/>
        <a:p>
          <a:endParaRPr lang="pl-PL"/>
        </a:p>
      </dgm:t>
    </dgm:pt>
    <dgm:pt modelId="{E99C197F-8BC7-4D67-8112-A2CDE2BDCA21}" type="pres">
      <dgm:prSet presAssocID="{8829255C-5B55-484B-BA63-1892B6ECA6E5}" presName="Name37" presStyleLbl="parChTrans1D3" presStyleIdx="1" presStyleCnt="8"/>
      <dgm:spPr/>
      <dgm:t>
        <a:bodyPr/>
        <a:lstStyle/>
        <a:p>
          <a:endParaRPr lang="pl-PL"/>
        </a:p>
      </dgm:t>
    </dgm:pt>
    <dgm:pt modelId="{F23E186E-CC6B-4AC1-B8BE-EA4BE99D27EE}" type="pres">
      <dgm:prSet presAssocID="{75BAB74D-EF9D-47D1-9F63-365CE87D408F}" presName="hierRoot2" presStyleCnt="0">
        <dgm:presLayoutVars>
          <dgm:hierBranch val="init"/>
        </dgm:presLayoutVars>
      </dgm:prSet>
      <dgm:spPr/>
      <dgm:t>
        <a:bodyPr/>
        <a:lstStyle/>
        <a:p>
          <a:endParaRPr lang="pl-PL"/>
        </a:p>
      </dgm:t>
    </dgm:pt>
    <dgm:pt modelId="{5CA1C94C-3AD5-4370-97CD-CF1167F45DDF}" type="pres">
      <dgm:prSet presAssocID="{75BAB74D-EF9D-47D1-9F63-365CE87D408F}" presName="rootComposite" presStyleCnt="0"/>
      <dgm:spPr/>
      <dgm:t>
        <a:bodyPr/>
        <a:lstStyle/>
        <a:p>
          <a:endParaRPr lang="pl-PL"/>
        </a:p>
      </dgm:t>
    </dgm:pt>
    <dgm:pt modelId="{B9B97415-09C8-4C50-9A53-12510FC0AF0D}" type="pres">
      <dgm:prSet presAssocID="{75BAB74D-EF9D-47D1-9F63-365CE87D408F}" presName="rootText" presStyleLbl="node3" presStyleIdx="1" presStyleCnt="8">
        <dgm:presLayoutVars>
          <dgm:chPref val="3"/>
        </dgm:presLayoutVars>
      </dgm:prSet>
      <dgm:spPr/>
      <dgm:t>
        <a:bodyPr/>
        <a:lstStyle/>
        <a:p>
          <a:endParaRPr lang="pl-PL"/>
        </a:p>
      </dgm:t>
    </dgm:pt>
    <dgm:pt modelId="{07894B31-A3BF-440D-97B7-C5278D01C454}" type="pres">
      <dgm:prSet presAssocID="{75BAB74D-EF9D-47D1-9F63-365CE87D408F}" presName="rootConnector" presStyleLbl="node3" presStyleIdx="1" presStyleCnt="8"/>
      <dgm:spPr/>
      <dgm:t>
        <a:bodyPr/>
        <a:lstStyle/>
        <a:p>
          <a:endParaRPr lang="pl-PL"/>
        </a:p>
      </dgm:t>
    </dgm:pt>
    <dgm:pt modelId="{6DC480D0-2BED-4B44-B905-D78401B63AD5}" type="pres">
      <dgm:prSet presAssocID="{75BAB74D-EF9D-47D1-9F63-365CE87D408F}" presName="hierChild4" presStyleCnt="0"/>
      <dgm:spPr/>
      <dgm:t>
        <a:bodyPr/>
        <a:lstStyle/>
        <a:p>
          <a:endParaRPr lang="pl-PL"/>
        </a:p>
      </dgm:t>
    </dgm:pt>
    <dgm:pt modelId="{D80CD902-081A-4AE4-AE2F-7ED33C5AC208}" type="pres">
      <dgm:prSet presAssocID="{5F96A239-92AB-4857-B6EE-90ACF322BC7E}" presName="Name37" presStyleLbl="parChTrans1D4" presStyleIdx="2" presStyleCnt="16"/>
      <dgm:spPr/>
      <dgm:t>
        <a:bodyPr/>
        <a:lstStyle/>
        <a:p>
          <a:endParaRPr lang="pl-PL"/>
        </a:p>
      </dgm:t>
    </dgm:pt>
    <dgm:pt modelId="{7DDA66C1-D237-4B19-A7F8-1F0F49CBA542}" type="pres">
      <dgm:prSet presAssocID="{C04C68FE-7E76-4269-8EC3-12D55BCE9918}" presName="hierRoot2" presStyleCnt="0">
        <dgm:presLayoutVars>
          <dgm:hierBranch val="init"/>
        </dgm:presLayoutVars>
      </dgm:prSet>
      <dgm:spPr/>
      <dgm:t>
        <a:bodyPr/>
        <a:lstStyle/>
        <a:p>
          <a:endParaRPr lang="pl-PL"/>
        </a:p>
      </dgm:t>
    </dgm:pt>
    <dgm:pt modelId="{98B1E617-1AE2-41F6-8919-61D0CC1A45EA}" type="pres">
      <dgm:prSet presAssocID="{C04C68FE-7E76-4269-8EC3-12D55BCE9918}" presName="rootComposite" presStyleCnt="0"/>
      <dgm:spPr/>
      <dgm:t>
        <a:bodyPr/>
        <a:lstStyle/>
        <a:p>
          <a:endParaRPr lang="pl-PL"/>
        </a:p>
      </dgm:t>
    </dgm:pt>
    <dgm:pt modelId="{7F6EFC2B-5142-4D1B-A1E9-0809F85C8CF8}" type="pres">
      <dgm:prSet presAssocID="{C04C68FE-7E76-4269-8EC3-12D55BCE9918}" presName="rootText" presStyleLbl="node4" presStyleIdx="2" presStyleCnt="16" custLinFactNeighborY="213">
        <dgm:presLayoutVars>
          <dgm:chPref val="3"/>
        </dgm:presLayoutVars>
      </dgm:prSet>
      <dgm:spPr/>
      <dgm:t>
        <a:bodyPr/>
        <a:lstStyle/>
        <a:p>
          <a:endParaRPr lang="pl-PL"/>
        </a:p>
      </dgm:t>
    </dgm:pt>
    <dgm:pt modelId="{58D104FD-8EFF-4824-B114-78435E660232}" type="pres">
      <dgm:prSet presAssocID="{C04C68FE-7E76-4269-8EC3-12D55BCE9918}" presName="rootConnector" presStyleLbl="node4" presStyleIdx="2" presStyleCnt="16"/>
      <dgm:spPr/>
      <dgm:t>
        <a:bodyPr/>
        <a:lstStyle/>
        <a:p>
          <a:endParaRPr lang="pl-PL"/>
        </a:p>
      </dgm:t>
    </dgm:pt>
    <dgm:pt modelId="{8A00D92D-5CFD-42E2-910D-7B620EEF1877}" type="pres">
      <dgm:prSet presAssocID="{C04C68FE-7E76-4269-8EC3-12D55BCE9918}" presName="hierChild4" presStyleCnt="0"/>
      <dgm:spPr/>
      <dgm:t>
        <a:bodyPr/>
        <a:lstStyle/>
        <a:p>
          <a:endParaRPr lang="pl-PL"/>
        </a:p>
      </dgm:t>
    </dgm:pt>
    <dgm:pt modelId="{90C362BA-642F-41A3-8839-2834A767B95F}" type="pres">
      <dgm:prSet presAssocID="{C04C68FE-7E76-4269-8EC3-12D55BCE9918}" presName="hierChild5" presStyleCnt="0"/>
      <dgm:spPr/>
      <dgm:t>
        <a:bodyPr/>
        <a:lstStyle/>
        <a:p>
          <a:endParaRPr lang="pl-PL"/>
        </a:p>
      </dgm:t>
    </dgm:pt>
    <dgm:pt modelId="{94FE843F-7FB3-4ECE-9CF4-58024DD6DFBE}" type="pres">
      <dgm:prSet presAssocID="{498F646A-6C33-438C-9033-45E980D0513B}" presName="Name37" presStyleLbl="parChTrans1D4" presStyleIdx="3" presStyleCnt="16"/>
      <dgm:spPr/>
      <dgm:t>
        <a:bodyPr/>
        <a:lstStyle/>
        <a:p>
          <a:endParaRPr lang="pl-PL"/>
        </a:p>
      </dgm:t>
    </dgm:pt>
    <dgm:pt modelId="{0D02230F-21AA-40A5-A554-D241D0615068}" type="pres">
      <dgm:prSet presAssocID="{9F70715C-4723-4E2F-B46A-F70DCB237A71}" presName="hierRoot2" presStyleCnt="0">
        <dgm:presLayoutVars>
          <dgm:hierBranch val="init"/>
        </dgm:presLayoutVars>
      </dgm:prSet>
      <dgm:spPr/>
      <dgm:t>
        <a:bodyPr/>
        <a:lstStyle/>
        <a:p>
          <a:endParaRPr lang="pl-PL"/>
        </a:p>
      </dgm:t>
    </dgm:pt>
    <dgm:pt modelId="{E8492AA3-0F8B-4A5E-8AC3-80369B4DC2F8}" type="pres">
      <dgm:prSet presAssocID="{9F70715C-4723-4E2F-B46A-F70DCB237A71}" presName="rootComposite" presStyleCnt="0"/>
      <dgm:spPr/>
      <dgm:t>
        <a:bodyPr/>
        <a:lstStyle/>
        <a:p>
          <a:endParaRPr lang="pl-PL"/>
        </a:p>
      </dgm:t>
    </dgm:pt>
    <dgm:pt modelId="{7F831AD7-7331-49FC-9EDE-79134C1916FE}" type="pres">
      <dgm:prSet presAssocID="{9F70715C-4723-4E2F-B46A-F70DCB237A71}" presName="rootText" presStyleLbl="node4" presStyleIdx="3" presStyleCnt="16" custLinFactNeighborY="213">
        <dgm:presLayoutVars>
          <dgm:chPref val="3"/>
        </dgm:presLayoutVars>
      </dgm:prSet>
      <dgm:spPr/>
      <dgm:t>
        <a:bodyPr/>
        <a:lstStyle/>
        <a:p>
          <a:endParaRPr lang="pl-PL"/>
        </a:p>
      </dgm:t>
    </dgm:pt>
    <dgm:pt modelId="{C19E2C67-2E59-4083-B6A9-CDBBFEA3DB7B}" type="pres">
      <dgm:prSet presAssocID="{9F70715C-4723-4E2F-B46A-F70DCB237A71}" presName="rootConnector" presStyleLbl="node4" presStyleIdx="3" presStyleCnt="16"/>
      <dgm:spPr/>
      <dgm:t>
        <a:bodyPr/>
        <a:lstStyle/>
        <a:p>
          <a:endParaRPr lang="pl-PL"/>
        </a:p>
      </dgm:t>
    </dgm:pt>
    <dgm:pt modelId="{9EC16DE9-DD62-40C9-81E2-6F01D06966F3}" type="pres">
      <dgm:prSet presAssocID="{9F70715C-4723-4E2F-B46A-F70DCB237A71}" presName="hierChild4" presStyleCnt="0"/>
      <dgm:spPr/>
      <dgm:t>
        <a:bodyPr/>
        <a:lstStyle/>
        <a:p>
          <a:endParaRPr lang="pl-PL"/>
        </a:p>
      </dgm:t>
    </dgm:pt>
    <dgm:pt modelId="{658C4A34-306B-4656-AECB-5C97E7DDB0F4}" type="pres">
      <dgm:prSet presAssocID="{9F70715C-4723-4E2F-B46A-F70DCB237A71}" presName="hierChild5" presStyleCnt="0"/>
      <dgm:spPr/>
      <dgm:t>
        <a:bodyPr/>
        <a:lstStyle/>
        <a:p>
          <a:endParaRPr lang="pl-PL"/>
        </a:p>
      </dgm:t>
    </dgm:pt>
    <dgm:pt modelId="{3E2CB4EA-3BEB-442F-B51F-4C6918A94D10}" type="pres">
      <dgm:prSet presAssocID="{75BAB74D-EF9D-47D1-9F63-365CE87D408F}" presName="hierChild5" presStyleCnt="0"/>
      <dgm:spPr/>
      <dgm:t>
        <a:bodyPr/>
        <a:lstStyle/>
        <a:p>
          <a:endParaRPr lang="pl-PL"/>
        </a:p>
      </dgm:t>
    </dgm:pt>
    <dgm:pt modelId="{BD615CB6-0261-4D93-86E0-63D35F22932B}" type="pres">
      <dgm:prSet presAssocID="{05BBB817-DC8A-4FF6-9A5F-F76066716213}" presName="hierChild5" presStyleCnt="0"/>
      <dgm:spPr/>
      <dgm:t>
        <a:bodyPr/>
        <a:lstStyle/>
        <a:p>
          <a:endParaRPr lang="pl-PL"/>
        </a:p>
      </dgm:t>
    </dgm:pt>
    <dgm:pt modelId="{3BB4975B-1285-44A2-AD19-5119C8F2C7A5}" type="pres">
      <dgm:prSet presAssocID="{92660940-C906-40F9-9E0C-2D538BFADABB}" presName="Name37" presStyleLbl="parChTrans1D2" presStyleIdx="1" presStyleCnt="5"/>
      <dgm:spPr/>
      <dgm:t>
        <a:bodyPr/>
        <a:lstStyle/>
        <a:p>
          <a:endParaRPr lang="pl-PL"/>
        </a:p>
      </dgm:t>
    </dgm:pt>
    <dgm:pt modelId="{50BBA4C3-9926-4E06-A991-4CBB4D9C4C68}" type="pres">
      <dgm:prSet presAssocID="{5E086D0C-697A-4417-A62E-8A1739A9F31E}" presName="hierRoot2" presStyleCnt="0">
        <dgm:presLayoutVars>
          <dgm:hierBranch val="init"/>
        </dgm:presLayoutVars>
      </dgm:prSet>
      <dgm:spPr/>
      <dgm:t>
        <a:bodyPr/>
        <a:lstStyle/>
        <a:p>
          <a:endParaRPr lang="pl-PL"/>
        </a:p>
      </dgm:t>
    </dgm:pt>
    <dgm:pt modelId="{B861F1F4-E072-4395-B4F2-82648A41975F}" type="pres">
      <dgm:prSet presAssocID="{5E086D0C-697A-4417-A62E-8A1739A9F31E}" presName="rootComposite" presStyleCnt="0"/>
      <dgm:spPr/>
      <dgm:t>
        <a:bodyPr/>
        <a:lstStyle/>
        <a:p>
          <a:endParaRPr lang="pl-PL"/>
        </a:p>
      </dgm:t>
    </dgm:pt>
    <dgm:pt modelId="{90D4B256-36B3-4421-9BD5-56213863E1B2}" type="pres">
      <dgm:prSet presAssocID="{5E086D0C-697A-4417-A62E-8A1739A9F31E}" presName="rootText" presStyleLbl="node2" presStyleIdx="1" presStyleCnt="4">
        <dgm:presLayoutVars>
          <dgm:chPref val="3"/>
        </dgm:presLayoutVars>
      </dgm:prSet>
      <dgm:spPr/>
      <dgm:t>
        <a:bodyPr/>
        <a:lstStyle/>
        <a:p>
          <a:endParaRPr lang="pl-PL"/>
        </a:p>
      </dgm:t>
    </dgm:pt>
    <dgm:pt modelId="{26DCBB91-8696-4822-861D-97BF53BF7680}" type="pres">
      <dgm:prSet presAssocID="{5E086D0C-697A-4417-A62E-8A1739A9F31E}" presName="rootConnector" presStyleLbl="node2" presStyleIdx="1" presStyleCnt="4"/>
      <dgm:spPr/>
      <dgm:t>
        <a:bodyPr/>
        <a:lstStyle/>
        <a:p>
          <a:endParaRPr lang="pl-PL"/>
        </a:p>
      </dgm:t>
    </dgm:pt>
    <dgm:pt modelId="{6247468A-D600-4856-97F8-5C74EC395044}" type="pres">
      <dgm:prSet presAssocID="{5E086D0C-697A-4417-A62E-8A1739A9F31E}" presName="hierChild4" presStyleCnt="0"/>
      <dgm:spPr/>
      <dgm:t>
        <a:bodyPr/>
        <a:lstStyle/>
        <a:p>
          <a:endParaRPr lang="pl-PL"/>
        </a:p>
      </dgm:t>
    </dgm:pt>
    <dgm:pt modelId="{30FCD7B9-1B7C-4D92-81C7-941A5EE0A7CE}" type="pres">
      <dgm:prSet presAssocID="{5E3AF283-3E28-4BE3-9277-423D0C485ADB}" presName="Name37" presStyleLbl="parChTrans1D3" presStyleIdx="2" presStyleCnt="8"/>
      <dgm:spPr/>
      <dgm:t>
        <a:bodyPr/>
        <a:lstStyle/>
        <a:p>
          <a:endParaRPr lang="pl-PL"/>
        </a:p>
      </dgm:t>
    </dgm:pt>
    <dgm:pt modelId="{33FC7315-3059-4542-9D01-42C2ACBF38D0}" type="pres">
      <dgm:prSet presAssocID="{1FD8B184-D9D5-41D0-8536-10E99651FF0A}" presName="hierRoot2" presStyleCnt="0">
        <dgm:presLayoutVars>
          <dgm:hierBranch val="init"/>
        </dgm:presLayoutVars>
      </dgm:prSet>
      <dgm:spPr/>
      <dgm:t>
        <a:bodyPr/>
        <a:lstStyle/>
        <a:p>
          <a:endParaRPr lang="pl-PL"/>
        </a:p>
      </dgm:t>
    </dgm:pt>
    <dgm:pt modelId="{53549155-1A93-43D8-A9FF-BDF5C35CCF80}" type="pres">
      <dgm:prSet presAssocID="{1FD8B184-D9D5-41D0-8536-10E99651FF0A}" presName="rootComposite" presStyleCnt="0"/>
      <dgm:spPr/>
      <dgm:t>
        <a:bodyPr/>
        <a:lstStyle/>
        <a:p>
          <a:endParaRPr lang="pl-PL"/>
        </a:p>
      </dgm:t>
    </dgm:pt>
    <dgm:pt modelId="{8CB8B564-C434-435A-9284-C51267B97848}" type="pres">
      <dgm:prSet presAssocID="{1FD8B184-D9D5-41D0-8536-10E99651FF0A}" presName="rootText" presStyleLbl="node3" presStyleIdx="2" presStyleCnt="8">
        <dgm:presLayoutVars>
          <dgm:chPref val="3"/>
        </dgm:presLayoutVars>
      </dgm:prSet>
      <dgm:spPr/>
      <dgm:t>
        <a:bodyPr/>
        <a:lstStyle/>
        <a:p>
          <a:endParaRPr lang="pl-PL"/>
        </a:p>
      </dgm:t>
    </dgm:pt>
    <dgm:pt modelId="{64E99C3F-C707-4823-B783-45AC64B19150}" type="pres">
      <dgm:prSet presAssocID="{1FD8B184-D9D5-41D0-8536-10E99651FF0A}" presName="rootConnector" presStyleLbl="node3" presStyleIdx="2" presStyleCnt="8"/>
      <dgm:spPr/>
      <dgm:t>
        <a:bodyPr/>
        <a:lstStyle/>
        <a:p>
          <a:endParaRPr lang="pl-PL"/>
        </a:p>
      </dgm:t>
    </dgm:pt>
    <dgm:pt modelId="{03EDCFA6-9757-4ADC-B18C-4A9CF1F99C4D}" type="pres">
      <dgm:prSet presAssocID="{1FD8B184-D9D5-41D0-8536-10E99651FF0A}" presName="hierChild4" presStyleCnt="0"/>
      <dgm:spPr/>
      <dgm:t>
        <a:bodyPr/>
        <a:lstStyle/>
        <a:p>
          <a:endParaRPr lang="pl-PL"/>
        </a:p>
      </dgm:t>
    </dgm:pt>
    <dgm:pt modelId="{4FB7AC45-AFCF-483E-8B27-A9769804D6BB}" type="pres">
      <dgm:prSet presAssocID="{ACC87A99-0ACC-4DAB-8BE7-E23A815510DD}" presName="Name37" presStyleLbl="parChTrans1D4" presStyleIdx="4" presStyleCnt="16"/>
      <dgm:spPr/>
      <dgm:t>
        <a:bodyPr/>
        <a:lstStyle/>
        <a:p>
          <a:endParaRPr lang="pl-PL"/>
        </a:p>
      </dgm:t>
    </dgm:pt>
    <dgm:pt modelId="{4838272D-CD9F-46CE-9BA5-234B4D0D3AF0}" type="pres">
      <dgm:prSet presAssocID="{7BDE6A86-657A-46A5-BF34-AB1B68061E87}" presName="hierRoot2" presStyleCnt="0">
        <dgm:presLayoutVars>
          <dgm:hierBranch val="init"/>
        </dgm:presLayoutVars>
      </dgm:prSet>
      <dgm:spPr/>
      <dgm:t>
        <a:bodyPr/>
        <a:lstStyle/>
        <a:p>
          <a:endParaRPr lang="pl-PL"/>
        </a:p>
      </dgm:t>
    </dgm:pt>
    <dgm:pt modelId="{74CED8E4-E05A-4AB5-B54D-51120FCB204B}" type="pres">
      <dgm:prSet presAssocID="{7BDE6A86-657A-46A5-BF34-AB1B68061E87}" presName="rootComposite" presStyleCnt="0"/>
      <dgm:spPr/>
      <dgm:t>
        <a:bodyPr/>
        <a:lstStyle/>
        <a:p>
          <a:endParaRPr lang="pl-PL"/>
        </a:p>
      </dgm:t>
    </dgm:pt>
    <dgm:pt modelId="{E6CF110F-E22E-445A-B27C-052EDD5B8121}" type="pres">
      <dgm:prSet presAssocID="{7BDE6A86-657A-46A5-BF34-AB1B68061E87}" presName="rootText" presStyleLbl="node4" presStyleIdx="4" presStyleCnt="16">
        <dgm:presLayoutVars>
          <dgm:chPref val="3"/>
        </dgm:presLayoutVars>
      </dgm:prSet>
      <dgm:spPr/>
      <dgm:t>
        <a:bodyPr/>
        <a:lstStyle/>
        <a:p>
          <a:endParaRPr lang="pl-PL"/>
        </a:p>
      </dgm:t>
    </dgm:pt>
    <dgm:pt modelId="{23902EB6-0CA4-4CC1-B858-61AAF413AB2B}" type="pres">
      <dgm:prSet presAssocID="{7BDE6A86-657A-46A5-BF34-AB1B68061E87}" presName="rootConnector" presStyleLbl="node4" presStyleIdx="4" presStyleCnt="16"/>
      <dgm:spPr/>
      <dgm:t>
        <a:bodyPr/>
        <a:lstStyle/>
        <a:p>
          <a:endParaRPr lang="pl-PL"/>
        </a:p>
      </dgm:t>
    </dgm:pt>
    <dgm:pt modelId="{6FFE6520-503B-4C76-A919-B825F403ABF9}" type="pres">
      <dgm:prSet presAssocID="{7BDE6A86-657A-46A5-BF34-AB1B68061E87}" presName="hierChild4" presStyleCnt="0"/>
      <dgm:spPr/>
      <dgm:t>
        <a:bodyPr/>
        <a:lstStyle/>
        <a:p>
          <a:endParaRPr lang="pl-PL"/>
        </a:p>
      </dgm:t>
    </dgm:pt>
    <dgm:pt modelId="{2BCD78A8-FB90-4B81-91B5-58C5B39A598B}" type="pres">
      <dgm:prSet presAssocID="{7BDE6A86-657A-46A5-BF34-AB1B68061E87}" presName="hierChild5" presStyleCnt="0"/>
      <dgm:spPr/>
      <dgm:t>
        <a:bodyPr/>
        <a:lstStyle/>
        <a:p>
          <a:endParaRPr lang="pl-PL"/>
        </a:p>
      </dgm:t>
    </dgm:pt>
    <dgm:pt modelId="{A5F44C5F-B66C-43E2-B6D3-7DDCEA76C203}" type="pres">
      <dgm:prSet presAssocID="{1B6816FA-3DED-49D3-AEB3-79EC8BD9E7DC}" presName="Name37" presStyleLbl="parChTrans1D4" presStyleIdx="5" presStyleCnt="16"/>
      <dgm:spPr/>
      <dgm:t>
        <a:bodyPr/>
        <a:lstStyle/>
        <a:p>
          <a:endParaRPr lang="pl-PL"/>
        </a:p>
      </dgm:t>
    </dgm:pt>
    <dgm:pt modelId="{F7E8AFC0-5F75-4F96-96E1-970BE16BC481}" type="pres">
      <dgm:prSet presAssocID="{22D8FC99-F544-43D0-874E-7EF0805F8767}" presName="hierRoot2" presStyleCnt="0">
        <dgm:presLayoutVars>
          <dgm:hierBranch val="init"/>
        </dgm:presLayoutVars>
      </dgm:prSet>
      <dgm:spPr/>
      <dgm:t>
        <a:bodyPr/>
        <a:lstStyle/>
        <a:p>
          <a:endParaRPr lang="pl-PL"/>
        </a:p>
      </dgm:t>
    </dgm:pt>
    <dgm:pt modelId="{783D9EFB-5556-4EF9-874E-362701F8AA62}" type="pres">
      <dgm:prSet presAssocID="{22D8FC99-F544-43D0-874E-7EF0805F8767}" presName="rootComposite" presStyleCnt="0"/>
      <dgm:spPr/>
      <dgm:t>
        <a:bodyPr/>
        <a:lstStyle/>
        <a:p>
          <a:endParaRPr lang="pl-PL"/>
        </a:p>
      </dgm:t>
    </dgm:pt>
    <dgm:pt modelId="{29A80216-1CD5-4CA9-88A1-17FE6F6C66FA}" type="pres">
      <dgm:prSet presAssocID="{22D8FC99-F544-43D0-874E-7EF0805F8767}" presName="rootText" presStyleLbl="node4" presStyleIdx="5" presStyleCnt="16">
        <dgm:presLayoutVars>
          <dgm:chPref val="3"/>
        </dgm:presLayoutVars>
      </dgm:prSet>
      <dgm:spPr/>
      <dgm:t>
        <a:bodyPr/>
        <a:lstStyle/>
        <a:p>
          <a:endParaRPr lang="pl-PL"/>
        </a:p>
      </dgm:t>
    </dgm:pt>
    <dgm:pt modelId="{D3728810-B7DE-423E-A68F-617E7EE8228A}" type="pres">
      <dgm:prSet presAssocID="{22D8FC99-F544-43D0-874E-7EF0805F8767}" presName="rootConnector" presStyleLbl="node4" presStyleIdx="5" presStyleCnt="16"/>
      <dgm:spPr/>
      <dgm:t>
        <a:bodyPr/>
        <a:lstStyle/>
        <a:p>
          <a:endParaRPr lang="pl-PL"/>
        </a:p>
      </dgm:t>
    </dgm:pt>
    <dgm:pt modelId="{0A926574-7356-42AE-95C8-41A97AC158AA}" type="pres">
      <dgm:prSet presAssocID="{22D8FC99-F544-43D0-874E-7EF0805F8767}" presName="hierChild4" presStyleCnt="0"/>
      <dgm:spPr/>
      <dgm:t>
        <a:bodyPr/>
        <a:lstStyle/>
        <a:p>
          <a:endParaRPr lang="pl-PL"/>
        </a:p>
      </dgm:t>
    </dgm:pt>
    <dgm:pt modelId="{19443CEC-3136-4A07-A60C-35F1612901F0}" type="pres">
      <dgm:prSet presAssocID="{22D8FC99-F544-43D0-874E-7EF0805F8767}" presName="hierChild5" presStyleCnt="0"/>
      <dgm:spPr/>
      <dgm:t>
        <a:bodyPr/>
        <a:lstStyle/>
        <a:p>
          <a:endParaRPr lang="pl-PL"/>
        </a:p>
      </dgm:t>
    </dgm:pt>
    <dgm:pt modelId="{971C4978-554D-466F-B8AE-8525ED8D641F}" type="pres">
      <dgm:prSet presAssocID="{1FD8B184-D9D5-41D0-8536-10E99651FF0A}" presName="hierChild5" presStyleCnt="0"/>
      <dgm:spPr/>
      <dgm:t>
        <a:bodyPr/>
        <a:lstStyle/>
        <a:p>
          <a:endParaRPr lang="pl-PL"/>
        </a:p>
      </dgm:t>
    </dgm:pt>
    <dgm:pt modelId="{B9104E5D-9501-40F1-B982-354911CA7D1B}" type="pres">
      <dgm:prSet presAssocID="{449DBEA2-D13C-42D1-B580-B9AB7C83B095}" presName="Name37" presStyleLbl="parChTrans1D3" presStyleIdx="3" presStyleCnt="8"/>
      <dgm:spPr/>
      <dgm:t>
        <a:bodyPr/>
        <a:lstStyle/>
        <a:p>
          <a:endParaRPr lang="pl-PL"/>
        </a:p>
      </dgm:t>
    </dgm:pt>
    <dgm:pt modelId="{DDCF2F34-2D5F-48E4-B3B7-01123C07D5EC}" type="pres">
      <dgm:prSet presAssocID="{7A50D59D-868C-4A02-B5E4-A265339ABCFE}" presName="hierRoot2" presStyleCnt="0">
        <dgm:presLayoutVars>
          <dgm:hierBranch val="init"/>
        </dgm:presLayoutVars>
      </dgm:prSet>
      <dgm:spPr/>
      <dgm:t>
        <a:bodyPr/>
        <a:lstStyle/>
        <a:p>
          <a:endParaRPr lang="pl-PL"/>
        </a:p>
      </dgm:t>
    </dgm:pt>
    <dgm:pt modelId="{E6395C76-3D1F-4F37-8D24-0733CFCFCC31}" type="pres">
      <dgm:prSet presAssocID="{7A50D59D-868C-4A02-B5E4-A265339ABCFE}" presName="rootComposite" presStyleCnt="0"/>
      <dgm:spPr/>
      <dgm:t>
        <a:bodyPr/>
        <a:lstStyle/>
        <a:p>
          <a:endParaRPr lang="pl-PL"/>
        </a:p>
      </dgm:t>
    </dgm:pt>
    <dgm:pt modelId="{33B3EC3B-64FF-4487-A04E-1B5377E2C9EE}" type="pres">
      <dgm:prSet presAssocID="{7A50D59D-868C-4A02-B5E4-A265339ABCFE}" presName="rootText" presStyleLbl="node3" presStyleIdx="3" presStyleCnt="8">
        <dgm:presLayoutVars>
          <dgm:chPref val="3"/>
        </dgm:presLayoutVars>
      </dgm:prSet>
      <dgm:spPr/>
      <dgm:t>
        <a:bodyPr/>
        <a:lstStyle/>
        <a:p>
          <a:endParaRPr lang="pl-PL"/>
        </a:p>
      </dgm:t>
    </dgm:pt>
    <dgm:pt modelId="{ABCAC28C-848D-4BE7-A5F7-2E3EC9118C81}" type="pres">
      <dgm:prSet presAssocID="{7A50D59D-868C-4A02-B5E4-A265339ABCFE}" presName="rootConnector" presStyleLbl="node3" presStyleIdx="3" presStyleCnt="8"/>
      <dgm:spPr/>
      <dgm:t>
        <a:bodyPr/>
        <a:lstStyle/>
        <a:p>
          <a:endParaRPr lang="pl-PL"/>
        </a:p>
      </dgm:t>
    </dgm:pt>
    <dgm:pt modelId="{6AF31436-9F4F-4DAF-A76C-CAC731A6B0E7}" type="pres">
      <dgm:prSet presAssocID="{7A50D59D-868C-4A02-B5E4-A265339ABCFE}" presName="hierChild4" presStyleCnt="0"/>
      <dgm:spPr/>
      <dgm:t>
        <a:bodyPr/>
        <a:lstStyle/>
        <a:p>
          <a:endParaRPr lang="pl-PL"/>
        </a:p>
      </dgm:t>
    </dgm:pt>
    <dgm:pt modelId="{0123C807-FF14-44E9-A0B2-5BF78EDAEB9B}" type="pres">
      <dgm:prSet presAssocID="{71541E4C-FFCD-4CD6-8DD7-B60F2D4AC23A}" presName="Name37" presStyleLbl="parChTrans1D4" presStyleIdx="6" presStyleCnt="16"/>
      <dgm:spPr/>
      <dgm:t>
        <a:bodyPr/>
        <a:lstStyle/>
        <a:p>
          <a:endParaRPr lang="pl-PL"/>
        </a:p>
      </dgm:t>
    </dgm:pt>
    <dgm:pt modelId="{96BB8A1B-BD6C-44C7-AABA-5F279A4F8348}" type="pres">
      <dgm:prSet presAssocID="{CC619C31-5D9F-46AD-A66A-3D44C0849C25}" presName="hierRoot2" presStyleCnt="0">
        <dgm:presLayoutVars>
          <dgm:hierBranch val="init"/>
        </dgm:presLayoutVars>
      </dgm:prSet>
      <dgm:spPr/>
      <dgm:t>
        <a:bodyPr/>
        <a:lstStyle/>
        <a:p>
          <a:endParaRPr lang="pl-PL"/>
        </a:p>
      </dgm:t>
    </dgm:pt>
    <dgm:pt modelId="{44D6B1C8-E0A3-4914-9320-ED74D440E2BD}" type="pres">
      <dgm:prSet presAssocID="{CC619C31-5D9F-46AD-A66A-3D44C0849C25}" presName="rootComposite" presStyleCnt="0"/>
      <dgm:spPr/>
      <dgm:t>
        <a:bodyPr/>
        <a:lstStyle/>
        <a:p>
          <a:endParaRPr lang="pl-PL"/>
        </a:p>
      </dgm:t>
    </dgm:pt>
    <dgm:pt modelId="{7DAFE977-5890-419D-804B-C3F84CEF4B9D}" type="pres">
      <dgm:prSet presAssocID="{CC619C31-5D9F-46AD-A66A-3D44C0849C25}" presName="rootText" presStyleLbl="node4" presStyleIdx="6" presStyleCnt="16">
        <dgm:presLayoutVars>
          <dgm:chPref val="3"/>
        </dgm:presLayoutVars>
      </dgm:prSet>
      <dgm:spPr/>
      <dgm:t>
        <a:bodyPr/>
        <a:lstStyle/>
        <a:p>
          <a:endParaRPr lang="pl-PL"/>
        </a:p>
      </dgm:t>
    </dgm:pt>
    <dgm:pt modelId="{1456250A-8C9E-43EF-9294-B55906867678}" type="pres">
      <dgm:prSet presAssocID="{CC619C31-5D9F-46AD-A66A-3D44C0849C25}" presName="rootConnector" presStyleLbl="node4" presStyleIdx="6" presStyleCnt="16"/>
      <dgm:spPr/>
      <dgm:t>
        <a:bodyPr/>
        <a:lstStyle/>
        <a:p>
          <a:endParaRPr lang="pl-PL"/>
        </a:p>
      </dgm:t>
    </dgm:pt>
    <dgm:pt modelId="{19613610-EDFC-4CBA-8393-1F0CB1A5D977}" type="pres">
      <dgm:prSet presAssocID="{CC619C31-5D9F-46AD-A66A-3D44C0849C25}" presName="hierChild4" presStyleCnt="0"/>
      <dgm:spPr/>
      <dgm:t>
        <a:bodyPr/>
        <a:lstStyle/>
        <a:p>
          <a:endParaRPr lang="pl-PL"/>
        </a:p>
      </dgm:t>
    </dgm:pt>
    <dgm:pt modelId="{CEE1C601-DFD9-4AC1-8A40-6258F6265A40}" type="pres">
      <dgm:prSet presAssocID="{CC619C31-5D9F-46AD-A66A-3D44C0849C25}" presName="hierChild5" presStyleCnt="0"/>
      <dgm:spPr/>
      <dgm:t>
        <a:bodyPr/>
        <a:lstStyle/>
        <a:p>
          <a:endParaRPr lang="pl-PL"/>
        </a:p>
      </dgm:t>
    </dgm:pt>
    <dgm:pt modelId="{886D6760-A987-46CB-AFDD-7E87BD0D94BC}" type="pres">
      <dgm:prSet presAssocID="{34833E98-0FEE-4CC0-8ACC-4A21572466B1}" presName="Name37" presStyleLbl="parChTrans1D4" presStyleIdx="7" presStyleCnt="16"/>
      <dgm:spPr/>
      <dgm:t>
        <a:bodyPr/>
        <a:lstStyle/>
        <a:p>
          <a:endParaRPr lang="pl-PL"/>
        </a:p>
      </dgm:t>
    </dgm:pt>
    <dgm:pt modelId="{188DB413-9682-45BF-A672-D8B4058D33FB}" type="pres">
      <dgm:prSet presAssocID="{0900319F-8449-4CE6-853B-C05727E137B7}" presName="hierRoot2" presStyleCnt="0">
        <dgm:presLayoutVars>
          <dgm:hierBranch val="init"/>
        </dgm:presLayoutVars>
      </dgm:prSet>
      <dgm:spPr/>
      <dgm:t>
        <a:bodyPr/>
        <a:lstStyle/>
        <a:p>
          <a:endParaRPr lang="pl-PL"/>
        </a:p>
      </dgm:t>
    </dgm:pt>
    <dgm:pt modelId="{A204CBD7-9CAA-474B-A307-64FBF24877B1}" type="pres">
      <dgm:prSet presAssocID="{0900319F-8449-4CE6-853B-C05727E137B7}" presName="rootComposite" presStyleCnt="0"/>
      <dgm:spPr/>
      <dgm:t>
        <a:bodyPr/>
        <a:lstStyle/>
        <a:p>
          <a:endParaRPr lang="pl-PL"/>
        </a:p>
      </dgm:t>
    </dgm:pt>
    <dgm:pt modelId="{1F4B8473-958D-4CEF-88CC-20B2C94A8AC4}" type="pres">
      <dgm:prSet presAssocID="{0900319F-8449-4CE6-853B-C05727E137B7}" presName="rootText" presStyleLbl="node4" presStyleIdx="7" presStyleCnt="16">
        <dgm:presLayoutVars>
          <dgm:chPref val="3"/>
        </dgm:presLayoutVars>
      </dgm:prSet>
      <dgm:spPr/>
      <dgm:t>
        <a:bodyPr/>
        <a:lstStyle/>
        <a:p>
          <a:endParaRPr lang="pl-PL"/>
        </a:p>
      </dgm:t>
    </dgm:pt>
    <dgm:pt modelId="{4997D83D-1283-496C-ADC9-C548CF4D7452}" type="pres">
      <dgm:prSet presAssocID="{0900319F-8449-4CE6-853B-C05727E137B7}" presName="rootConnector" presStyleLbl="node4" presStyleIdx="7" presStyleCnt="16"/>
      <dgm:spPr/>
      <dgm:t>
        <a:bodyPr/>
        <a:lstStyle/>
        <a:p>
          <a:endParaRPr lang="pl-PL"/>
        </a:p>
      </dgm:t>
    </dgm:pt>
    <dgm:pt modelId="{DE3E0051-B8A0-46BB-93BE-4EABCED8365E}" type="pres">
      <dgm:prSet presAssocID="{0900319F-8449-4CE6-853B-C05727E137B7}" presName="hierChild4" presStyleCnt="0"/>
      <dgm:spPr/>
      <dgm:t>
        <a:bodyPr/>
        <a:lstStyle/>
        <a:p>
          <a:endParaRPr lang="pl-PL"/>
        </a:p>
      </dgm:t>
    </dgm:pt>
    <dgm:pt modelId="{FB0DCA1A-FDDB-4EEB-AE3A-3824383630AE}" type="pres">
      <dgm:prSet presAssocID="{0900319F-8449-4CE6-853B-C05727E137B7}" presName="hierChild5" presStyleCnt="0"/>
      <dgm:spPr/>
      <dgm:t>
        <a:bodyPr/>
        <a:lstStyle/>
        <a:p>
          <a:endParaRPr lang="pl-PL"/>
        </a:p>
      </dgm:t>
    </dgm:pt>
    <dgm:pt modelId="{4124BAAD-4545-48F2-A072-78350B4F2D46}" type="pres">
      <dgm:prSet presAssocID="{7A50D59D-868C-4A02-B5E4-A265339ABCFE}" presName="hierChild5" presStyleCnt="0"/>
      <dgm:spPr/>
      <dgm:t>
        <a:bodyPr/>
        <a:lstStyle/>
        <a:p>
          <a:endParaRPr lang="pl-PL"/>
        </a:p>
      </dgm:t>
    </dgm:pt>
    <dgm:pt modelId="{0E7BF0D4-0358-49DF-ADC3-A8F598EEDEF0}" type="pres">
      <dgm:prSet presAssocID="{5E086D0C-697A-4417-A62E-8A1739A9F31E}" presName="hierChild5" presStyleCnt="0"/>
      <dgm:spPr/>
      <dgm:t>
        <a:bodyPr/>
        <a:lstStyle/>
        <a:p>
          <a:endParaRPr lang="pl-PL"/>
        </a:p>
      </dgm:t>
    </dgm:pt>
    <dgm:pt modelId="{24E232DC-F5DE-465F-8B45-E390ED11BBC8}" type="pres">
      <dgm:prSet presAssocID="{C8FD6668-4C91-4A8A-81E4-8D6BC2DB1B2C}" presName="Name37" presStyleLbl="parChTrans1D2" presStyleIdx="2" presStyleCnt="5"/>
      <dgm:spPr/>
      <dgm:t>
        <a:bodyPr/>
        <a:lstStyle/>
        <a:p>
          <a:endParaRPr lang="pl-PL"/>
        </a:p>
      </dgm:t>
    </dgm:pt>
    <dgm:pt modelId="{B5EBABEF-4859-48EF-B2BC-7F3A47571CD2}" type="pres">
      <dgm:prSet presAssocID="{CCC1836C-8817-4866-B7C8-E892CA24D0BC}" presName="hierRoot2" presStyleCnt="0">
        <dgm:presLayoutVars>
          <dgm:hierBranch val="init"/>
        </dgm:presLayoutVars>
      </dgm:prSet>
      <dgm:spPr/>
      <dgm:t>
        <a:bodyPr/>
        <a:lstStyle/>
        <a:p>
          <a:endParaRPr lang="pl-PL"/>
        </a:p>
      </dgm:t>
    </dgm:pt>
    <dgm:pt modelId="{6EEBCA27-C7F4-4510-980D-8C32FAF4EE91}" type="pres">
      <dgm:prSet presAssocID="{CCC1836C-8817-4866-B7C8-E892CA24D0BC}" presName="rootComposite" presStyleCnt="0"/>
      <dgm:spPr/>
      <dgm:t>
        <a:bodyPr/>
        <a:lstStyle/>
        <a:p>
          <a:endParaRPr lang="pl-PL"/>
        </a:p>
      </dgm:t>
    </dgm:pt>
    <dgm:pt modelId="{BE69C88E-D8C1-45E7-BD5A-F49FACB66EF4}" type="pres">
      <dgm:prSet presAssocID="{CCC1836C-8817-4866-B7C8-E892CA24D0BC}" presName="rootText" presStyleLbl="node2" presStyleIdx="2" presStyleCnt="4">
        <dgm:presLayoutVars>
          <dgm:chPref val="3"/>
        </dgm:presLayoutVars>
      </dgm:prSet>
      <dgm:spPr/>
      <dgm:t>
        <a:bodyPr/>
        <a:lstStyle/>
        <a:p>
          <a:endParaRPr lang="pl-PL"/>
        </a:p>
      </dgm:t>
    </dgm:pt>
    <dgm:pt modelId="{C1467D32-D333-49E2-A6BB-AE14050EB255}" type="pres">
      <dgm:prSet presAssocID="{CCC1836C-8817-4866-B7C8-E892CA24D0BC}" presName="rootConnector" presStyleLbl="node2" presStyleIdx="2" presStyleCnt="4"/>
      <dgm:spPr/>
      <dgm:t>
        <a:bodyPr/>
        <a:lstStyle/>
        <a:p>
          <a:endParaRPr lang="pl-PL"/>
        </a:p>
      </dgm:t>
    </dgm:pt>
    <dgm:pt modelId="{81DB6D67-5CB1-4059-B6B2-9E641E484D44}" type="pres">
      <dgm:prSet presAssocID="{CCC1836C-8817-4866-B7C8-E892CA24D0BC}" presName="hierChild4" presStyleCnt="0"/>
      <dgm:spPr/>
      <dgm:t>
        <a:bodyPr/>
        <a:lstStyle/>
        <a:p>
          <a:endParaRPr lang="pl-PL"/>
        </a:p>
      </dgm:t>
    </dgm:pt>
    <dgm:pt modelId="{5EC2879D-7219-4E6C-9A54-E292B9D59604}" type="pres">
      <dgm:prSet presAssocID="{CAE719B6-28F3-4E88-A2A3-47016C81AEBC}" presName="Name37" presStyleLbl="parChTrans1D3" presStyleIdx="4" presStyleCnt="8"/>
      <dgm:spPr/>
      <dgm:t>
        <a:bodyPr/>
        <a:lstStyle/>
        <a:p>
          <a:endParaRPr lang="pl-PL"/>
        </a:p>
      </dgm:t>
    </dgm:pt>
    <dgm:pt modelId="{65D044DB-9301-479F-8740-18A184C67CD1}" type="pres">
      <dgm:prSet presAssocID="{EE75FCA5-FB72-4A23-BFAF-CE023CA818A8}" presName="hierRoot2" presStyleCnt="0">
        <dgm:presLayoutVars>
          <dgm:hierBranch val="init"/>
        </dgm:presLayoutVars>
      </dgm:prSet>
      <dgm:spPr/>
      <dgm:t>
        <a:bodyPr/>
        <a:lstStyle/>
        <a:p>
          <a:endParaRPr lang="pl-PL"/>
        </a:p>
      </dgm:t>
    </dgm:pt>
    <dgm:pt modelId="{4273997F-EF4D-495E-82F3-512B8341FFEF}" type="pres">
      <dgm:prSet presAssocID="{EE75FCA5-FB72-4A23-BFAF-CE023CA818A8}" presName="rootComposite" presStyleCnt="0"/>
      <dgm:spPr/>
      <dgm:t>
        <a:bodyPr/>
        <a:lstStyle/>
        <a:p>
          <a:endParaRPr lang="pl-PL"/>
        </a:p>
      </dgm:t>
    </dgm:pt>
    <dgm:pt modelId="{491D37F6-ABE0-4782-8FBB-F0E97EC4B15D}" type="pres">
      <dgm:prSet presAssocID="{EE75FCA5-FB72-4A23-BFAF-CE023CA818A8}" presName="rootText" presStyleLbl="node3" presStyleIdx="4" presStyleCnt="8" custLinFactNeighborY="213">
        <dgm:presLayoutVars>
          <dgm:chPref val="3"/>
        </dgm:presLayoutVars>
      </dgm:prSet>
      <dgm:spPr/>
      <dgm:t>
        <a:bodyPr/>
        <a:lstStyle/>
        <a:p>
          <a:endParaRPr lang="pl-PL"/>
        </a:p>
      </dgm:t>
    </dgm:pt>
    <dgm:pt modelId="{F91B498A-EB48-410A-9638-1A23646A116A}" type="pres">
      <dgm:prSet presAssocID="{EE75FCA5-FB72-4A23-BFAF-CE023CA818A8}" presName="rootConnector" presStyleLbl="node3" presStyleIdx="4" presStyleCnt="8"/>
      <dgm:spPr/>
      <dgm:t>
        <a:bodyPr/>
        <a:lstStyle/>
        <a:p>
          <a:endParaRPr lang="pl-PL"/>
        </a:p>
      </dgm:t>
    </dgm:pt>
    <dgm:pt modelId="{A7762BE9-1713-4913-991F-CD00AF233E19}" type="pres">
      <dgm:prSet presAssocID="{EE75FCA5-FB72-4A23-BFAF-CE023CA818A8}" presName="hierChild4" presStyleCnt="0"/>
      <dgm:spPr/>
      <dgm:t>
        <a:bodyPr/>
        <a:lstStyle/>
        <a:p>
          <a:endParaRPr lang="pl-PL"/>
        </a:p>
      </dgm:t>
    </dgm:pt>
    <dgm:pt modelId="{60D1BABD-029B-4A08-B8D7-3188248F8287}" type="pres">
      <dgm:prSet presAssocID="{E0584460-A833-48DC-B559-C326D1F005F3}" presName="Name37" presStyleLbl="parChTrans1D4" presStyleIdx="8" presStyleCnt="16"/>
      <dgm:spPr/>
      <dgm:t>
        <a:bodyPr/>
        <a:lstStyle/>
        <a:p>
          <a:endParaRPr lang="pl-PL"/>
        </a:p>
      </dgm:t>
    </dgm:pt>
    <dgm:pt modelId="{F805F5CB-4876-4A1E-B506-7EDE33B8135F}" type="pres">
      <dgm:prSet presAssocID="{125610B1-0907-429B-BA66-39594DBD0B73}" presName="hierRoot2" presStyleCnt="0">
        <dgm:presLayoutVars>
          <dgm:hierBranch val="init"/>
        </dgm:presLayoutVars>
      </dgm:prSet>
      <dgm:spPr/>
      <dgm:t>
        <a:bodyPr/>
        <a:lstStyle/>
        <a:p>
          <a:endParaRPr lang="pl-PL"/>
        </a:p>
      </dgm:t>
    </dgm:pt>
    <dgm:pt modelId="{8743B370-883C-4114-A624-8264249C2A8D}" type="pres">
      <dgm:prSet presAssocID="{125610B1-0907-429B-BA66-39594DBD0B73}" presName="rootComposite" presStyleCnt="0"/>
      <dgm:spPr/>
      <dgm:t>
        <a:bodyPr/>
        <a:lstStyle/>
        <a:p>
          <a:endParaRPr lang="pl-PL"/>
        </a:p>
      </dgm:t>
    </dgm:pt>
    <dgm:pt modelId="{B3125B2F-4B2A-442B-B1F5-82CE194E3758}" type="pres">
      <dgm:prSet presAssocID="{125610B1-0907-429B-BA66-39594DBD0B73}" presName="rootText" presStyleLbl="node4" presStyleIdx="8" presStyleCnt="16">
        <dgm:presLayoutVars>
          <dgm:chPref val="3"/>
        </dgm:presLayoutVars>
      </dgm:prSet>
      <dgm:spPr/>
      <dgm:t>
        <a:bodyPr/>
        <a:lstStyle/>
        <a:p>
          <a:endParaRPr lang="pl-PL"/>
        </a:p>
      </dgm:t>
    </dgm:pt>
    <dgm:pt modelId="{9E901B9A-4167-4404-825E-D97FDAE97679}" type="pres">
      <dgm:prSet presAssocID="{125610B1-0907-429B-BA66-39594DBD0B73}" presName="rootConnector" presStyleLbl="node4" presStyleIdx="8" presStyleCnt="16"/>
      <dgm:spPr/>
      <dgm:t>
        <a:bodyPr/>
        <a:lstStyle/>
        <a:p>
          <a:endParaRPr lang="pl-PL"/>
        </a:p>
      </dgm:t>
    </dgm:pt>
    <dgm:pt modelId="{A8509ADA-B77B-40D6-B662-CD6DC9810F44}" type="pres">
      <dgm:prSet presAssocID="{125610B1-0907-429B-BA66-39594DBD0B73}" presName="hierChild4" presStyleCnt="0"/>
      <dgm:spPr/>
      <dgm:t>
        <a:bodyPr/>
        <a:lstStyle/>
        <a:p>
          <a:endParaRPr lang="pl-PL"/>
        </a:p>
      </dgm:t>
    </dgm:pt>
    <dgm:pt modelId="{E7D7DF25-9552-407F-AFEA-3F079B492139}" type="pres">
      <dgm:prSet presAssocID="{125610B1-0907-429B-BA66-39594DBD0B73}" presName="hierChild5" presStyleCnt="0"/>
      <dgm:spPr/>
      <dgm:t>
        <a:bodyPr/>
        <a:lstStyle/>
        <a:p>
          <a:endParaRPr lang="pl-PL"/>
        </a:p>
      </dgm:t>
    </dgm:pt>
    <dgm:pt modelId="{21904282-442D-4CC4-84B1-04CDDFD5BB59}" type="pres">
      <dgm:prSet presAssocID="{424D360D-01F0-4381-82CE-88900A0E547F}" presName="Name37" presStyleLbl="parChTrans1D4" presStyleIdx="9" presStyleCnt="16"/>
      <dgm:spPr/>
      <dgm:t>
        <a:bodyPr/>
        <a:lstStyle/>
        <a:p>
          <a:endParaRPr lang="pl-PL"/>
        </a:p>
      </dgm:t>
    </dgm:pt>
    <dgm:pt modelId="{5FF790D2-B07C-4D78-9298-CB3874FFD0EC}" type="pres">
      <dgm:prSet presAssocID="{C013D5B4-3DF4-44F0-A56C-B0A3077447DB}" presName="hierRoot2" presStyleCnt="0">
        <dgm:presLayoutVars>
          <dgm:hierBranch val="init"/>
        </dgm:presLayoutVars>
      </dgm:prSet>
      <dgm:spPr/>
      <dgm:t>
        <a:bodyPr/>
        <a:lstStyle/>
        <a:p>
          <a:endParaRPr lang="pl-PL"/>
        </a:p>
      </dgm:t>
    </dgm:pt>
    <dgm:pt modelId="{CAF9D745-661E-4CEB-8EAE-B19900A6D609}" type="pres">
      <dgm:prSet presAssocID="{C013D5B4-3DF4-44F0-A56C-B0A3077447DB}" presName="rootComposite" presStyleCnt="0"/>
      <dgm:spPr/>
      <dgm:t>
        <a:bodyPr/>
        <a:lstStyle/>
        <a:p>
          <a:endParaRPr lang="pl-PL"/>
        </a:p>
      </dgm:t>
    </dgm:pt>
    <dgm:pt modelId="{20406B38-1B2D-4AEB-AF7C-57CB07006F2A}" type="pres">
      <dgm:prSet presAssocID="{C013D5B4-3DF4-44F0-A56C-B0A3077447DB}" presName="rootText" presStyleLbl="node4" presStyleIdx="9" presStyleCnt="16">
        <dgm:presLayoutVars>
          <dgm:chPref val="3"/>
        </dgm:presLayoutVars>
      </dgm:prSet>
      <dgm:spPr/>
      <dgm:t>
        <a:bodyPr/>
        <a:lstStyle/>
        <a:p>
          <a:endParaRPr lang="pl-PL"/>
        </a:p>
      </dgm:t>
    </dgm:pt>
    <dgm:pt modelId="{12D63360-9150-42F3-AB1C-91AD147D7449}" type="pres">
      <dgm:prSet presAssocID="{C013D5B4-3DF4-44F0-A56C-B0A3077447DB}" presName="rootConnector" presStyleLbl="node4" presStyleIdx="9" presStyleCnt="16"/>
      <dgm:spPr/>
      <dgm:t>
        <a:bodyPr/>
        <a:lstStyle/>
        <a:p>
          <a:endParaRPr lang="pl-PL"/>
        </a:p>
      </dgm:t>
    </dgm:pt>
    <dgm:pt modelId="{7735FC12-DF6C-41B6-B819-C2E143B2B912}" type="pres">
      <dgm:prSet presAssocID="{C013D5B4-3DF4-44F0-A56C-B0A3077447DB}" presName="hierChild4" presStyleCnt="0"/>
      <dgm:spPr/>
      <dgm:t>
        <a:bodyPr/>
        <a:lstStyle/>
        <a:p>
          <a:endParaRPr lang="pl-PL"/>
        </a:p>
      </dgm:t>
    </dgm:pt>
    <dgm:pt modelId="{F7B79AE1-404B-4624-A330-373F06D10B76}" type="pres">
      <dgm:prSet presAssocID="{C013D5B4-3DF4-44F0-A56C-B0A3077447DB}" presName="hierChild5" presStyleCnt="0"/>
      <dgm:spPr/>
      <dgm:t>
        <a:bodyPr/>
        <a:lstStyle/>
        <a:p>
          <a:endParaRPr lang="pl-PL"/>
        </a:p>
      </dgm:t>
    </dgm:pt>
    <dgm:pt modelId="{3516808A-708E-480F-AA12-031A6695D3C8}" type="pres">
      <dgm:prSet presAssocID="{EE75FCA5-FB72-4A23-BFAF-CE023CA818A8}" presName="hierChild5" presStyleCnt="0"/>
      <dgm:spPr/>
      <dgm:t>
        <a:bodyPr/>
        <a:lstStyle/>
        <a:p>
          <a:endParaRPr lang="pl-PL"/>
        </a:p>
      </dgm:t>
    </dgm:pt>
    <dgm:pt modelId="{419CA121-31AA-4A90-9C8B-9130251FBF0E}" type="pres">
      <dgm:prSet presAssocID="{D4843A85-BBBA-4F31-ADB1-1F003F2A2A78}" presName="Name37" presStyleLbl="parChTrans1D3" presStyleIdx="5" presStyleCnt="8"/>
      <dgm:spPr/>
      <dgm:t>
        <a:bodyPr/>
        <a:lstStyle/>
        <a:p>
          <a:endParaRPr lang="pl-PL"/>
        </a:p>
      </dgm:t>
    </dgm:pt>
    <dgm:pt modelId="{036D03C3-06E6-4AEB-914F-AC21AB6D7A22}" type="pres">
      <dgm:prSet presAssocID="{C59DB163-FE4A-4CFC-AA72-4A02CAF9777F}" presName="hierRoot2" presStyleCnt="0">
        <dgm:presLayoutVars>
          <dgm:hierBranch val="init"/>
        </dgm:presLayoutVars>
      </dgm:prSet>
      <dgm:spPr/>
      <dgm:t>
        <a:bodyPr/>
        <a:lstStyle/>
        <a:p>
          <a:endParaRPr lang="pl-PL"/>
        </a:p>
      </dgm:t>
    </dgm:pt>
    <dgm:pt modelId="{BE42951C-2C60-4573-9A5E-A6616B8546A1}" type="pres">
      <dgm:prSet presAssocID="{C59DB163-FE4A-4CFC-AA72-4A02CAF9777F}" presName="rootComposite" presStyleCnt="0"/>
      <dgm:spPr/>
      <dgm:t>
        <a:bodyPr/>
        <a:lstStyle/>
        <a:p>
          <a:endParaRPr lang="pl-PL"/>
        </a:p>
      </dgm:t>
    </dgm:pt>
    <dgm:pt modelId="{41348676-C8BB-40FA-BC1F-274678458D67}" type="pres">
      <dgm:prSet presAssocID="{C59DB163-FE4A-4CFC-AA72-4A02CAF9777F}" presName="rootText" presStyleLbl="node3" presStyleIdx="5" presStyleCnt="8">
        <dgm:presLayoutVars>
          <dgm:chPref val="3"/>
        </dgm:presLayoutVars>
      </dgm:prSet>
      <dgm:spPr/>
      <dgm:t>
        <a:bodyPr/>
        <a:lstStyle/>
        <a:p>
          <a:endParaRPr lang="pl-PL"/>
        </a:p>
      </dgm:t>
    </dgm:pt>
    <dgm:pt modelId="{C86A6B97-78A6-4D16-A775-DC6D9221E614}" type="pres">
      <dgm:prSet presAssocID="{C59DB163-FE4A-4CFC-AA72-4A02CAF9777F}" presName="rootConnector" presStyleLbl="node3" presStyleIdx="5" presStyleCnt="8"/>
      <dgm:spPr/>
      <dgm:t>
        <a:bodyPr/>
        <a:lstStyle/>
        <a:p>
          <a:endParaRPr lang="pl-PL"/>
        </a:p>
      </dgm:t>
    </dgm:pt>
    <dgm:pt modelId="{4298C5BB-98FD-4546-8C09-720AE91D0054}" type="pres">
      <dgm:prSet presAssocID="{C59DB163-FE4A-4CFC-AA72-4A02CAF9777F}" presName="hierChild4" presStyleCnt="0"/>
      <dgm:spPr/>
      <dgm:t>
        <a:bodyPr/>
        <a:lstStyle/>
        <a:p>
          <a:endParaRPr lang="pl-PL"/>
        </a:p>
      </dgm:t>
    </dgm:pt>
    <dgm:pt modelId="{35E6A949-EC7B-4EE2-B35B-C0E9A7669000}" type="pres">
      <dgm:prSet presAssocID="{B1BC7AD3-2D75-40FC-85D8-F395706BDECD}" presName="Name37" presStyleLbl="parChTrans1D4" presStyleIdx="10" presStyleCnt="16"/>
      <dgm:spPr/>
      <dgm:t>
        <a:bodyPr/>
        <a:lstStyle/>
        <a:p>
          <a:endParaRPr lang="pl-PL"/>
        </a:p>
      </dgm:t>
    </dgm:pt>
    <dgm:pt modelId="{66241A14-4CA1-4576-ADA8-5AFF85B4F6F7}" type="pres">
      <dgm:prSet presAssocID="{FF319EB8-8A27-4DD6-A191-022A987C7838}" presName="hierRoot2" presStyleCnt="0">
        <dgm:presLayoutVars>
          <dgm:hierBranch val="init"/>
        </dgm:presLayoutVars>
      </dgm:prSet>
      <dgm:spPr/>
      <dgm:t>
        <a:bodyPr/>
        <a:lstStyle/>
        <a:p>
          <a:endParaRPr lang="pl-PL"/>
        </a:p>
      </dgm:t>
    </dgm:pt>
    <dgm:pt modelId="{3507E444-1116-4A46-8022-5CA36400D311}" type="pres">
      <dgm:prSet presAssocID="{FF319EB8-8A27-4DD6-A191-022A987C7838}" presName="rootComposite" presStyleCnt="0"/>
      <dgm:spPr/>
      <dgm:t>
        <a:bodyPr/>
        <a:lstStyle/>
        <a:p>
          <a:endParaRPr lang="pl-PL"/>
        </a:p>
      </dgm:t>
    </dgm:pt>
    <dgm:pt modelId="{6D87D7C3-48EF-4855-ACA9-ADC2F2DC3CF5}" type="pres">
      <dgm:prSet presAssocID="{FF319EB8-8A27-4DD6-A191-022A987C7838}" presName="rootText" presStyleLbl="node4" presStyleIdx="10" presStyleCnt="16">
        <dgm:presLayoutVars>
          <dgm:chPref val="3"/>
        </dgm:presLayoutVars>
      </dgm:prSet>
      <dgm:spPr/>
      <dgm:t>
        <a:bodyPr/>
        <a:lstStyle/>
        <a:p>
          <a:endParaRPr lang="pl-PL"/>
        </a:p>
      </dgm:t>
    </dgm:pt>
    <dgm:pt modelId="{423896E0-2E93-44D8-9700-1C89987566EB}" type="pres">
      <dgm:prSet presAssocID="{FF319EB8-8A27-4DD6-A191-022A987C7838}" presName="rootConnector" presStyleLbl="node4" presStyleIdx="10" presStyleCnt="16"/>
      <dgm:spPr/>
      <dgm:t>
        <a:bodyPr/>
        <a:lstStyle/>
        <a:p>
          <a:endParaRPr lang="pl-PL"/>
        </a:p>
      </dgm:t>
    </dgm:pt>
    <dgm:pt modelId="{C1A5CBD0-2BD0-405F-8B39-D2C23401110D}" type="pres">
      <dgm:prSet presAssocID="{FF319EB8-8A27-4DD6-A191-022A987C7838}" presName="hierChild4" presStyleCnt="0"/>
      <dgm:spPr/>
      <dgm:t>
        <a:bodyPr/>
        <a:lstStyle/>
        <a:p>
          <a:endParaRPr lang="pl-PL"/>
        </a:p>
      </dgm:t>
    </dgm:pt>
    <dgm:pt modelId="{C9F3D3E5-216A-4292-AF3B-C46EF1F343FF}" type="pres">
      <dgm:prSet presAssocID="{FF319EB8-8A27-4DD6-A191-022A987C7838}" presName="hierChild5" presStyleCnt="0"/>
      <dgm:spPr/>
      <dgm:t>
        <a:bodyPr/>
        <a:lstStyle/>
        <a:p>
          <a:endParaRPr lang="pl-PL"/>
        </a:p>
      </dgm:t>
    </dgm:pt>
    <dgm:pt modelId="{F39A914A-FBC0-439B-9FD0-55D8AAFB11E3}" type="pres">
      <dgm:prSet presAssocID="{37B07460-7A3F-4172-9CA6-042567A8FC4C}" presName="Name37" presStyleLbl="parChTrans1D4" presStyleIdx="11" presStyleCnt="16"/>
      <dgm:spPr/>
      <dgm:t>
        <a:bodyPr/>
        <a:lstStyle/>
        <a:p>
          <a:endParaRPr lang="pl-PL"/>
        </a:p>
      </dgm:t>
    </dgm:pt>
    <dgm:pt modelId="{F54683A8-280C-480D-8FC5-4624A4EA7DE8}" type="pres">
      <dgm:prSet presAssocID="{E5784AA8-5C5B-40FC-9845-76E7DC1C1333}" presName="hierRoot2" presStyleCnt="0">
        <dgm:presLayoutVars>
          <dgm:hierBranch val="init"/>
        </dgm:presLayoutVars>
      </dgm:prSet>
      <dgm:spPr/>
      <dgm:t>
        <a:bodyPr/>
        <a:lstStyle/>
        <a:p>
          <a:endParaRPr lang="pl-PL"/>
        </a:p>
      </dgm:t>
    </dgm:pt>
    <dgm:pt modelId="{A131B6BE-8A82-484D-98A8-1E8568A0953C}" type="pres">
      <dgm:prSet presAssocID="{E5784AA8-5C5B-40FC-9845-76E7DC1C1333}" presName="rootComposite" presStyleCnt="0"/>
      <dgm:spPr/>
      <dgm:t>
        <a:bodyPr/>
        <a:lstStyle/>
        <a:p>
          <a:endParaRPr lang="pl-PL"/>
        </a:p>
      </dgm:t>
    </dgm:pt>
    <dgm:pt modelId="{9897E93F-F7E5-4477-9643-8BF14F85A58D}" type="pres">
      <dgm:prSet presAssocID="{E5784AA8-5C5B-40FC-9845-76E7DC1C1333}" presName="rootText" presStyleLbl="node4" presStyleIdx="11" presStyleCnt="16">
        <dgm:presLayoutVars>
          <dgm:chPref val="3"/>
        </dgm:presLayoutVars>
      </dgm:prSet>
      <dgm:spPr/>
      <dgm:t>
        <a:bodyPr/>
        <a:lstStyle/>
        <a:p>
          <a:endParaRPr lang="pl-PL"/>
        </a:p>
      </dgm:t>
    </dgm:pt>
    <dgm:pt modelId="{D4BE75ED-ED8A-4D17-835A-87D5C2A0899A}" type="pres">
      <dgm:prSet presAssocID="{E5784AA8-5C5B-40FC-9845-76E7DC1C1333}" presName="rootConnector" presStyleLbl="node4" presStyleIdx="11" presStyleCnt="16"/>
      <dgm:spPr/>
      <dgm:t>
        <a:bodyPr/>
        <a:lstStyle/>
        <a:p>
          <a:endParaRPr lang="pl-PL"/>
        </a:p>
      </dgm:t>
    </dgm:pt>
    <dgm:pt modelId="{172CE542-F579-4992-AEB2-39A4910E2D93}" type="pres">
      <dgm:prSet presAssocID="{E5784AA8-5C5B-40FC-9845-76E7DC1C1333}" presName="hierChild4" presStyleCnt="0"/>
      <dgm:spPr/>
      <dgm:t>
        <a:bodyPr/>
        <a:lstStyle/>
        <a:p>
          <a:endParaRPr lang="pl-PL"/>
        </a:p>
      </dgm:t>
    </dgm:pt>
    <dgm:pt modelId="{7B2B9876-9297-4C6C-B79C-9D8586367090}" type="pres">
      <dgm:prSet presAssocID="{E5784AA8-5C5B-40FC-9845-76E7DC1C1333}" presName="hierChild5" presStyleCnt="0"/>
      <dgm:spPr/>
      <dgm:t>
        <a:bodyPr/>
        <a:lstStyle/>
        <a:p>
          <a:endParaRPr lang="pl-PL"/>
        </a:p>
      </dgm:t>
    </dgm:pt>
    <dgm:pt modelId="{8FE133CC-3E44-48BB-AE86-F93AF129F4A7}" type="pres">
      <dgm:prSet presAssocID="{C59DB163-FE4A-4CFC-AA72-4A02CAF9777F}" presName="hierChild5" presStyleCnt="0"/>
      <dgm:spPr/>
      <dgm:t>
        <a:bodyPr/>
        <a:lstStyle/>
        <a:p>
          <a:endParaRPr lang="pl-PL"/>
        </a:p>
      </dgm:t>
    </dgm:pt>
    <dgm:pt modelId="{F8573CBE-8A49-4339-8EBD-0D6919A294E8}" type="pres">
      <dgm:prSet presAssocID="{CCC1836C-8817-4866-B7C8-E892CA24D0BC}" presName="hierChild5" presStyleCnt="0"/>
      <dgm:spPr/>
      <dgm:t>
        <a:bodyPr/>
        <a:lstStyle/>
        <a:p>
          <a:endParaRPr lang="pl-PL"/>
        </a:p>
      </dgm:t>
    </dgm:pt>
    <dgm:pt modelId="{EF3F92E9-054B-4EF1-B064-228CD1402572}" type="pres">
      <dgm:prSet presAssocID="{55D9243E-A31A-4448-8721-4B2A4CD43666}" presName="Name37" presStyleLbl="parChTrans1D2" presStyleIdx="3" presStyleCnt="5"/>
      <dgm:spPr/>
      <dgm:t>
        <a:bodyPr/>
        <a:lstStyle/>
        <a:p>
          <a:endParaRPr lang="pl-PL"/>
        </a:p>
      </dgm:t>
    </dgm:pt>
    <dgm:pt modelId="{6A2009B3-035A-4BC2-A116-0B98F9120DA7}" type="pres">
      <dgm:prSet presAssocID="{8A379561-5E43-4E10-B090-C848618F1A49}" presName="hierRoot2" presStyleCnt="0">
        <dgm:presLayoutVars>
          <dgm:hierBranch val="init"/>
        </dgm:presLayoutVars>
      </dgm:prSet>
      <dgm:spPr/>
      <dgm:t>
        <a:bodyPr/>
        <a:lstStyle/>
        <a:p>
          <a:endParaRPr lang="pl-PL"/>
        </a:p>
      </dgm:t>
    </dgm:pt>
    <dgm:pt modelId="{A018899A-C45E-4426-8832-EE2AA3E29A53}" type="pres">
      <dgm:prSet presAssocID="{8A379561-5E43-4E10-B090-C848618F1A49}" presName="rootComposite" presStyleCnt="0"/>
      <dgm:spPr/>
      <dgm:t>
        <a:bodyPr/>
        <a:lstStyle/>
        <a:p>
          <a:endParaRPr lang="pl-PL"/>
        </a:p>
      </dgm:t>
    </dgm:pt>
    <dgm:pt modelId="{52AE9428-7D37-48F8-9553-4126CF44EDDC}" type="pres">
      <dgm:prSet presAssocID="{8A379561-5E43-4E10-B090-C848618F1A49}" presName="rootText" presStyleLbl="node2" presStyleIdx="3" presStyleCnt="4">
        <dgm:presLayoutVars>
          <dgm:chPref val="3"/>
        </dgm:presLayoutVars>
      </dgm:prSet>
      <dgm:spPr/>
      <dgm:t>
        <a:bodyPr/>
        <a:lstStyle/>
        <a:p>
          <a:endParaRPr lang="pl-PL"/>
        </a:p>
      </dgm:t>
    </dgm:pt>
    <dgm:pt modelId="{CAD44E68-0D9A-4D06-B761-2D46548793C2}" type="pres">
      <dgm:prSet presAssocID="{8A379561-5E43-4E10-B090-C848618F1A49}" presName="rootConnector" presStyleLbl="node2" presStyleIdx="3" presStyleCnt="4"/>
      <dgm:spPr/>
      <dgm:t>
        <a:bodyPr/>
        <a:lstStyle/>
        <a:p>
          <a:endParaRPr lang="pl-PL"/>
        </a:p>
      </dgm:t>
    </dgm:pt>
    <dgm:pt modelId="{877F2131-74C8-4841-B77F-F4D162C3FF41}" type="pres">
      <dgm:prSet presAssocID="{8A379561-5E43-4E10-B090-C848618F1A49}" presName="hierChild4" presStyleCnt="0"/>
      <dgm:spPr/>
      <dgm:t>
        <a:bodyPr/>
        <a:lstStyle/>
        <a:p>
          <a:endParaRPr lang="pl-PL"/>
        </a:p>
      </dgm:t>
    </dgm:pt>
    <dgm:pt modelId="{92BF7BDC-6A0D-4C49-8613-4D40E3D9D1E9}" type="pres">
      <dgm:prSet presAssocID="{E6B32060-7F9A-4B97-9176-C384750EEEAD}" presName="Name37" presStyleLbl="parChTrans1D3" presStyleIdx="6" presStyleCnt="8"/>
      <dgm:spPr/>
      <dgm:t>
        <a:bodyPr/>
        <a:lstStyle/>
        <a:p>
          <a:endParaRPr lang="pl-PL"/>
        </a:p>
      </dgm:t>
    </dgm:pt>
    <dgm:pt modelId="{BEFBD2CE-B39E-4BF9-82AB-91FF1F48C655}" type="pres">
      <dgm:prSet presAssocID="{194E1325-BFEE-4775-B9DB-F24A7E4FC8CC}" presName="hierRoot2" presStyleCnt="0">
        <dgm:presLayoutVars>
          <dgm:hierBranch val="init"/>
        </dgm:presLayoutVars>
      </dgm:prSet>
      <dgm:spPr/>
      <dgm:t>
        <a:bodyPr/>
        <a:lstStyle/>
        <a:p>
          <a:endParaRPr lang="pl-PL"/>
        </a:p>
      </dgm:t>
    </dgm:pt>
    <dgm:pt modelId="{6A21900B-E44E-47CA-BB84-DD289B9B1FCA}" type="pres">
      <dgm:prSet presAssocID="{194E1325-BFEE-4775-B9DB-F24A7E4FC8CC}" presName="rootComposite" presStyleCnt="0"/>
      <dgm:spPr/>
      <dgm:t>
        <a:bodyPr/>
        <a:lstStyle/>
        <a:p>
          <a:endParaRPr lang="pl-PL"/>
        </a:p>
      </dgm:t>
    </dgm:pt>
    <dgm:pt modelId="{FA8D494F-D402-46B7-B993-596B91F2323C}" type="pres">
      <dgm:prSet presAssocID="{194E1325-BFEE-4775-B9DB-F24A7E4FC8CC}" presName="rootText" presStyleLbl="node3" presStyleIdx="6" presStyleCnt="8">
        <dgm:presLayoutVars>
          <dgm:chPref val="3"/>
        </dgm:presLayoutVars>
      </dgm:prSet>
      <dgm:spPr/>
      <dgm:t>
        <a:bodyPr/>
        <a:lstStyle/>
        <a:p>
          <a:endParaRPr lang="pl-PL"/>
        </a:p>
      </dgm:t>
    </dgm:pt>
    <dgm:pt modelId="{CFF6C180-F667-47F3-85AF-9158CFB01031}" type="pres">
      <dgm:prSet presAssocID="{194E1325-BFEE-4775-B9DB-F24A7E4FC8CC}" presName="rootConnector" presStyleLbl="node3" presStyleIdx="6" presStyleCnt="8"/>
      <dgm:spPr/>
      <dgm:t>
        <a:bodyPr/>
        <a:lstStyle/>
        <a:p>
          <a:endParaRPr lang="pl-PL"/>
        </a:p>
      </dgm:t>
    </dgm:pt>
    <dgm:pt modelId="{79FF6EE8-69AA-4E25-9275-43A58D7C3168}" type="pres">
      <dgm:prSet presAssocID="{194E1325-BFEE-4775-B9DB-F24A7E4FC8CC}" presName="hierChild4" presStyleCnt="0"/>
      <dgm:spPr/>
      <dgm:t>
        <a:bodyPr/>
        <a:lstStyle/>
        <a:p>
          <a:endParaRPr lang="pl-PL"/>
        </a:p>
      </dgm:t>
    </dgm:pt>
    <dgm:pt modelId="{B0EFE0DB-1044-4316-AA74-68AB13374529}" type="pres">
      <dgm:prSet presAssocID="{04FA52EF-D6AD-4901-A0CA-7E68B4C6A5DC}" presName="Name37" presStyleLbl="parChTrans1D4" presStyleIdx="12" presStyleCnt="16"/>
      <dgm:spPr/>
      <dgm:t>
        <a:bodyPr/>
        <a:lstStyle/>
        <a:p>
          <a:endParaRPr lang="pl-PL"/>
        </a:p>
      </dgm:t>
    </dgm:pt>
    <dgm:pt modelId="{1F49CBDB-1201-42C5-94D0-3ECBA4771082}" type="pres">
      <dgm:prSet presAssocID="{B11A6FF5-0665-4977-A980-8ADBEDC7D476}" presName="hierRoot2" presStyleCnt="0">
        <dgm:presLayoutVars>
          <dgm:hierBranch val="init"/>
        </dgm:presLayoutVars>
      </dgm:prSet>
      <dgm:spPr/>
      <dgm:t>
        <a:bodyPr/>
        <a:lstStyle/>
        <a:p>
          <a:endParaRPr lang="pl-PL"/>
        </a:p>
      </dgm:t>
    </dgm:pt>
    <dgm:pt modelId="{DD0F1E34-C3FA-4E4E-8EAD-73E04B1D1F21}" type="pres">
      <dgm:prSet presAssocID="{B11A6FF5-0665-4977-A980-8ADBEDC7D476}" presName="rootComposite" presStyleCnt="0"/>
      <dgm:spPr/>
      <dgm:t>
        <a:bodyPr/>
        <a:lstStyle/>
        <a:p>
          <a:endParaRPr lang="pl-PL"/>
        </a:p>
      </dgm:t>
    </dgm:pt>
    <dgm:pt modelId="{F3492B2A-CAE5-4FBB-A5D8-E10A7290D98A}" type="pres">
      <dgm:prSet presAssocID="{B11A6FF5-0665-4977-A980-8ADBEDC7D476}" presName="rootText" presStyleLbl="node4" presStyleIdx="12" presStyleCnt="16">
        <dgm:presLayoutVars>
          <dgm:chPref val="3"/>
        </dgm:presLayoutVars>
      </dgm:prSet>
      <dgm:spPr/>
      <dgm:t>
        <a:bodyPr/>
        <a:lstStyle/>
        <a:p>
          <a:endParaRPr lang="pl-PL"/>
        </a:p>
      </dgm:t>
    </dgm:pt>
    <dgm:pt modelId="{EEBEAB8C-3551-4F56-A7B3-2AE253EF2C15}" type="pres">
      <dgm:prSet presAssocID="{B11A6FF5-0665-4977-A980-8ADBEDC7D476}" presName="rootConnector" presStyleLbl="node4" presStyleIdx="12" presStyleCnt="16"/>
      <dgm:spPr/>
      <dgm:t>
        <a:bodyPr/>
        <a:lstStyle/>
        <a:p>
          <a:endParaRPr lang="pl-PL"/>
        </a:p>
      </dgm:t>
    </dgm:pt>
    <dgm:pt modelId="{82153C43-2DD1-4483-B39F-EA4696FC99FB}" type="pres">
      <dgm:prSet presAssocID="{B11A6FF5-0665-4977-A980-8ADBEDC7D476}" presName="hierChild4" presStyleCnt="0"/>
      <dgm:spPr/>
      <dgm:t>
        <a:bodyPr/>
        <a:lstStyle/>
        <a:p>
          <a:endParaRPr lang="pl-PL"/>
        </a:p>
      </dgm:t>
    </dgm:pt>
    <dgm:pt modelId="{CBDB13F2-ED96-4E70-A8F1-B6C0E4D89FA5}" type="pres">
      <dgm:prSet presAssocID="{B11A6FF5-0665-4977-A980-8ADBEDC7D476}" presName="hierChild5" presStyleCnt="0"/>
      <dgm:spPr/>
      <dgm:t>
        <a:bodyPr/>
        <a:lstStyle/>
        <a:p>
          <a:endParaRPr lang="pl-PL"/>
        </a:p>
      </dgm:t>
    </dgm:pt>
    <dgm:pt modelId="{D132DD49-EAFF-46B9-BCAD-27DE2489F709}" type="pres">
      <dgm:prSet presAssocID="{09466B68-752A-4063-AD79-C9E3B7DE0128}" presName="Name37" presStyleLbl="parChTrans1D4" presStyleIdx="13" presStyleCnt="16"/>
      <dgm:spPr/>
      <dgm:t>
        <a:bodyPr/>
        <a:lstStyle/>
        <a:p>
          <a:endParaRPr lang="pl-PL"/>
        </a:p>
      </dgm:t>
    </dgm:pt>
    <dgm:pt modelId="{F3C857C5-23F5-42F9-89F7-14E89003EB59}" type="pres">
      <dgm:prSet presAssocID="{1AE7F235-DC72-4FAC-AB4D-0E4F35A31964}" presName="hierRoot2" presStyleCnt="0">
        <dgm:presLayoutVars>
          <dgm:hierBranch val="init"/>
        </dgm:presLayoutVars>
      </dgm:prSet>
      <dgm:spPr/>
      <dgm:t>
        <a:bodyPr/>
        <a:lstStyle/>
        <a:p>
          <a:endParaRPr lang="pl-PL"/>
        </a:p>
      </dgm:t>
    </dgm:pt>
    <dgm:pt modelId="{2DEF33D6-6EC7-4665-93C8-3B8DB038E030}" type="pres">
      <dgm:prSet presAssocID="{1AE7F235-DC72-4FAC-AB4D-0E4F35A31964}" presName="rootComposite" presStyleCnt="0"/>
      <dgm:spPr/>
      <dgm:t>
        <a:bodyPr/>
        <a:lstStyle/>
        <a:p>
          <a:endParaRPr lang="pl-PL"/>
        </a:p>
      </dgm:t>
    </dgm:pt>
    <dgm:pt modelId="{2BF44B82-1446-49FC-A184-B14AC88FBB80}" type="pres">
      <dgm:prSet presAssocID="{1AE7F235-DC72-4FAC-AB4D-0E4F35A31964}" presName="rootText" presStyleLbl="node4" presStyleIdx="13" presStyleCnt="16">
        <dgm:presLayoutVars>
          <dgm:chPref val="3"/>
        </dgm:presLayoutVars>
      </dgm:prSet>
      <dgm:spPr/>
      <dgm:t>
        <a:bodyPr/>
        <a:lstStyle/>
        <a:p>
          <a:endParaRPr lang="pl-PL"/>
        </a:p>
      </dgm:t>
    </dgm:pt>
    <dgm:pt modelId="{F3E37241-4AE0-45F1-A3D9-703E56D85473}" type="pres">
      <dgm:prSet presAssocID="{1AE7F235-DC72-4FAC-AB4D-0E4F35A31964}" presName="rootConnector" presStyleLbl="node4" presStyleIdx="13" presStyleCnt="16"/>
      <dgm:spPr/>
      <dgm:t>
        <a:bodyPr/>
        <a:lstStyle/>
        <a:p>
          <a:endParaRPr lang="pl-PL"/>
        </a:p>
      </dgm:t>
    </dgm:pt>
    <dgm:pt modelId="{D2650AAF-C8D1-4F7F-9F81-348AD09529D8}" type="pres">
      <dgm:prSet presAssocID="{1AE7F235-DC72-4FAC-AB4D-0E4F35A31964}" presName="hierChild4" presStyleCnt="0"/>
      <dgm:spPr/>
      <dgm:t>
        <a:bodyPr/>
        <a:lstStyle/>
        <a:p>
          <a:endParaRPr lang="pl-PL"/>
        </a:p>
      </dgm:t>
    </dgm:pt>
    <dgm:pt modelId="{C0A92671-5FA3-4E78-9F63-FACDFA8E933D}" type="pres">
      <dgm:prSet presAssocID="{1AE7F235-DC72-4FAC-AB4D-0E4F35A31964}" presName="hierChild5" presStyleCnt="0"/>
      <dgm:spPr/>
      <dgm:t>
        <a:bodyPr/>
        <a:lstStyle/>
        <a:p>
          <a:endParaRPr lang="pl-PL"/>
        </a:p>
      </dgm:t>
    </dgm:pt>
    <dgm:pt modelId="{F55BD136-B8C4-48DF-BB2D-83C36D1239CC}" type="pres">
      <dgm:prSet presAssocID="{194E1325-BFEE-4775-B9DB-F24A7E4FC8CC}" presName="hierChild5" presStyleCnt="0"/>
      <dgm:spPr/>
      <dgm:t>
        <a:bodyPr/>
        <a:lstStyle/>
        <a:p>
          <a:endParaRPr lang="pl-PL"/>
        </a:p>
      </dgm:t>
    </dgm:pt>
    <dgm:pt modelId="{5041E2E5-9D54-4C04-BD99-2E4F3B659A7D}" type="pres">
      <dgm:prSet presAssocID="{FF21DD6F-0249-4796-A705-C02936FD6861}" presName="Name37" presStyleLbl="parChTrans1D3" presStyleIdx="7" presStyleCnt="8"/>
      <dgm:spPr/>
      <dgm:t>
        <a:bodyPr/>
        <a:lstStyle/>
        <a:p>
          <a:endParaRPr lang="pl-PL"/>
        </a:p>
      </dgm:t>
    </dgm:pt>
    <dgm:pt modelId="{ABB86338-438A-4823-8CCF-3B636AEE2CBB}" type="pres">
      <dgm:prSet presAssocID="{D84418A5-54B3-41C1-9EC6-94DE9ED7DEBA}" presName="hierRoot2" presStyleCnt="0">
        <dgm:presLayoutVars>
          <dgm:hierBranch val="init"/>
        </dgm:presLayoutVars>
      </dgm:prSet>
      <dgm:spPr/>
    </dgm:pt>
    <dgm:pt modelId="{5CB206AD-18E9-4C89-AF65-1FBE5957C0AB}" type="pres">
      <dgm:prSet presAssocID="{D84418A5-54B3-41C1-9EC6-94DE9ED7DEBA}" presName="rootComposite" presStyleCnt="0"/>
      <dgm:spPr/>
    </dgm:pt>
    <dgm:pt modelId="{E30A7789-67FF-4B0B-AF41-06C013FE10DC}" type="pres">
      <dgm:prSet presAssocID="{D84418A5-54B3-41C1-9EC6-94DE9ED7DEBA}" presName="rootText" presStyleLbl="node3" presStyleIdx="7" presStyleCnt="8">
        <dgm:presLayoutVars>
          <dgm:chPref val="3"/>
        </dgm:presLayoutVars>
      </dgm:prSet>
      <dgm:spPr/>
      <dgm:t>
        <a:bodyPr/>
        <a:lstStyle/>
        <a:p>
          <a:endParaRPr lang="pl-PL"/>
        </a:p>
      </dgm:t>
    </dgm:pt>
    <dgm:pt modelId="{E24C2652-397B-4DB5-88FD-B013AB6D49D6}" type="pres">
      <dgm:prSet presAssocID="{D84418A5-54B3-41C1-9EC6-94DE9ED7DEBA}" presName="rootConnector" presStyleLbl="node3" presStyleIdx="7" presStyleCnt="8"/>
      <dgm:spPr/>
      <dgm:t>
        <a:bodyPr/>
        <a:lstStyle/>
        <a:p>
          <a:endParaRPr lang="pl-PL"/>
        </a:p>
      </dgm:t>
    </dgm:pt>
    <dgm:pt modelId="{99E84B87-C71A-45A7-9337-8E1D3793FB22}" type="pres">
      <dgm:prSet presAssocID="{D84418A5-54B3-41C1-9EC6-94DE9ED7DEBA}" presName="hierChild4" presStyleCnt="0"/>
      <dgm:spPr/>
    </dgm:pt>
    <dgm:pt modelId="{04F740D9-A24F-43DA-9F0F-B5881D0F5218}" type="pres">
      <dgm:prSet presAssocID="{2022AA77-E0A6-4E82-8171-5BA903506C43}" presName="Name37" presStyleLbl="parChTrans1D4" presStyleIdx="14" presStyleCnt="16"/>
      <dgm:spPr/>
      <dgm:t>
        <a:bodyPr/>
        <a:lstStyle/>
        <a:p>
          <a:endParaRPr lang="pl-PL"/>
        </a:p>
      </dgm:t>
    </dgm:pt>
    <dgm:pt modelId="{447261C8-8649-4185-8C62-58C3BFCFB01A}" type="pres">
      <dgm:prSet presAssocID="{B118D4E4-16F1-4DBB-BA96-99DA23954CBC}" presName="hierRoot2" presStyleCnt="0">
        <dgm:presLayoutVars>
          <dgm:hierBranch val="init"/>
        </dgm:presLayoutVars>
      </dgm:prSet>
      <dgm:spPr/>
    </dgm:pt>
    <dgm:pt modelId="{9A11A0A8-E60E-41F5-AC0F-0AAE2B98E085}" type="pres">
      <dgm:prSet presAssocID="{B118D4E4-16F1-4DBB-BA96-99DA23954CBC}" presName="rootComposite" presStyleCnt="0"/>
      <dgm:spPr/>
    </dgm:pt>
    <dgm:pt modelId="{587017EA-A002-4A46-AFF7-F9E9B2D04F2D}" type="pres">
      <dgm:prSet presAssocID="{B118D4E4-16F1-4DBB-BA96-99DA23954CBC}" presName="rootText" presStyleLbl="node4" presStyleIdx="14" presStyleCnt="16">
        <dgm:presLayoutVars>
          <dgm:chPref val="3"/>
        </dgm:presLayoutVars>
      </dgm:prSet>
      <dgm:spPr/>
      <dgm:t>
        <a:bodyPr/>
        <a:lstStyle/>
        <a:p>
          <a:endParaRPr lang="pl-PL"/>
        </a:p>
      </dgm:t>
    </dgm:pt>
    <dgm:pt modelId="{F9A7BD59-CE7D-424B-91D5-33249F37C3D6}" type="pres">
      <dgm:prSet presAssocID="{B118D4E4-16F1-4DBB-BA96-99DA23954CBC}" presName="rootConnector" presStyleLbl="node4" presStyleIdx="14" presStyleCnt="16"/>
      <dgm:spPr/>
      <dgm:t>
        <a:bodyPr/>
        <a:lstStyle/>
        <a:p>
          <a:endParaRPr lang="pl-PL"/>
        </a:p>
      </dgm:t>
    </dgm:pt>
    <dgm:pt modelId="{956EAEBA-3333-4E8C-AC9C-787C0F019B92}" type="pres">
      <dgm:prSet presAssocID="{B118D4E4-16F1-4DBB-BA96-99DA23954CBC}" presName="hierChild4" presStyleCnt="0"/>
      <dgm:spPr/>
    </dgm:pt>
    <dgm:pt modelId="{30223B83-ECC7-40AA-A023-883393C16894}" type="pres">
      <dgm:prSet presAssocID="{B118D4E4-16F1-4DBB-BA96-99DA23954CBC}" presName="hierChild5" presStyleCnt="0"/>
      <dgm:spPr/>
    </dgm:pt>
    <dgm:pt modelId="{BDE4499A-B144-4E4E-8613-02FDEAE500EA}" type="pres">
      <dgm:prSet presAssocID="{251255C7-5F41-4B45-9390-883FDCFA416E}" presName="Name37" presStyleLbl="parChTrans1D4" presStyleIdx="15" presStyleCnt="16"/>
      <dgm:spPr/>
      <dgm:t>
        <a:bodyPr/>
        <a:lstStyle/>
        <a:p>
          <a:endParaRPr lang="pl-PL"/>
        </a:p>
      </dgm:t>
    </dgm:pt>
    <dgm:pt modelId="{0D4D9899-BA95-4F4B-9634-A522D80AC613}" type="pres">
      <dgm:prSet presAssocID="{6B9552B0-DF09-49EA-91CF-C5ADDB652742}" presName="hierRoot2" presStyleCnt="0">
        <dgm:presLayoutVars>
          <dgm:hierBranch val="init"/>
        </dgm:presLayoutVars>
      </dgm:prSet>
      <dgm:spPr/>
    </dgm:pt>
    <dgm:pt modelId="{316BEE45-4CE4-44B2-A15F-DE3257AEDC94}" type="pres">
      <dgm:prSet presAssocID="{6B9552B0-DF09-49EA-91CF-C5ADDB652742}" presName="rootComposite" presStyleCnt="0"/>
      <dgm:spPr/>
    </dgm:pt>
    <dgm:pt modelId="{A63CE026-B052-4191-B313-7BABA28A9383}" type="pres">
      <dgm:prSet presAssocID="{6B9552B0-DF09-49EA-91CF-C5ADDB652742}" presName="rootText" presStyleLbl="node4" presStyleIdx="15" presStyleCnt="16">
        <dgm:presLayoutVars>
          <dgm:chPref val="3"/>
        </dgm:presLayoutVars>
      </dgm:prSet>
      <dgm:spPr/>
      <dgm:t>
        <a:bodyPr/>
        <a:lstStyle/>
        <a:p>
          <a:endParaRPr lang="pl-PL"/>
        </a:p>
      </dgm:t>
    </dgm:pt>
    <dgm:pt modelId="{5BD753E9-C035-4251-B393-9D9BA50F1DC0}" type="pres">
      <dgm:prSet presAssocID="{6B9552B0-DF09-49EA-91CF-C5ADDB652742}" presName="rootConnector" presStyleLbl="node4" presStyleIdx="15" presStyleCnt="16"/>
      <dgm:spPr/>
      <dgm:t>
        <a:bodyPr/>
        <a:lstStyle/>
        <a:p>
          <a:endParaRPr lang="pl-PL"/>
        </a:p>
      </dgm:t>
    </dgm:pt>
    <dgm:pt modelId="{24223EAC-5CC0-48AD-8D73-3D448D55F7A1}" type="pres">
      <dgm:prSet presAssocID="{6B9552B0-DF09-49EA-91CF-C5ADDB652742}" presName="hierChild4" presStyleCnt="0"/>
      <dgm:spPr/>
    </dgm:pt>
    <dgm:pt modelId="{30DEAE58-33CF-42E8-BCA1-55C758978CFE}" type="pres">
      <dgm:prSet presAssocID="{6B9552B0-DF09-49EA-91CF-C5ADDB652742}" presName="hierChild5" presStyleCnt="0"/>
      <dgm:spPr/>
    </dgm:pt>
    <dgm:pt modelId="{0DA52B9D-FE23-4585-8075-3C8414CC4AC2}" type="pres">
      <dgm:prSet presAssocID="{D84418A5-54B3-41C1-9EC6-94DE9ED7DEBA}" presName="hierChild5" presStyleCnt="0"/>
      <dgm:spPr/>
    </dgm:pt>
    <dgm:pt modelId="{4B4E8E4F-32F1-4375-B03F-7D15672930B5}" type="pres">
      <dgm:prSet presAssocID="{8A379561-5E43-4E10-B090-C848618F1A49}" presName="hierChild5" presStyleCnt="0"/>
      <dgm:spPr/>
      <dgm:t>
        <a:bodyPr/>
        <a:lstStyle/>
        <a:p>
          <a:endParaRPr lang="pl-PL"/>
        </a:p>
      </dgm:t>
    </dgm:pt>
    <dgm:pt modelId="{70C3BB26-A728-400D-BF14-4FD49758D615}" type="pres">
      <dgm:prSet presAssocID="{835994E3-4CE0-411F-87C7-9FD6438022DF}" presName="hierChild3" presStyleCnt="0"/>
      <dgm:spPr/>
      <dgm:t>
        <a:bodyPr/>
        <a:lstStyle/>
        <a:p>
          <a:endParaRPr lang="pl-PL"/>
        </a:p>
      </dgm:t>
    </dgm:pt>
    <dgm:pt modelId="{A8F5EE4C-FC29-4C94-A70F-BA4771ADAA57}" type="pres">
      <dgm:prSet presAssocID="{344D90D6-461B-42FC-984C-CB0BE89CACE3}" presName="Name111" presStyleLbl="parChTrans1D2" presStyleIdx="4" presStyleCnt="5"/>
      <dgm:spPr/>
      <dgm:t>
        <a:bodyPr/>
        <a:lstStyle/>
        <a:p>
          <a:endParaRPr lang="pl-PL"/>
        </a:p>
      </dgm:t>
    </dgm:pt>
    <dgm:pt modelId="{E1B4FE4C-14FC-4E40-B4AE-1F4443B47CCB}" type="pres">
      <dgm:prSet presAssocID="{634C2734-4F96-43A0-B756-9BB50B4DBF13}" presName="hierRoot3" presStyleCnt="0">
        <dgm:presLayoutVars>
          <dgm:hierBranch val="init"/>
        </dgm:presLayoutVars>
      </dgm:prSet>
      <dgm:spPr/>
      <dgm:t>
        <a:bodyPr/>
        <a:lstStyle/>
        <a:p>
          <a:endParaRPr lang="pl-PL"/>
        </a:p>
      </dgm:t>
    </dgm:pt>
    <dgm:pt modelId="{42B14A00-FB0C-428C-8582-8ED7F9A70F0B}" type="pres">
      <dgm:prSet presAssocID="{634C2734-4F96-43A0-B756-9BB50B4DBF13}" presName="rootComposite3" presStyleCnt="0"/>
      <dgm:spPr/>
      <dgm:t>
        <a:bodyPr/>
        <a:lstStyle/>
        <a:p>
          <a:endParaRPr lang="pl-PL"/>
        </a:p>
      </dgm:t>
    </dgm:pt>
    <dgm:pt modelId="{AFD2979D-B14B-4526-A5F1-A7F6160E2177}" type="pres">
      <dgm:prSet presAssocID="{634C2734-4F96-43A0-B756-9BB50B4DBF13}" presName="rootText3" presStyleLbl="asst1" presStyleIdx="0" presStyleCnt="1">
        <dgm:presLayoutVars>
          <dgm:chPref val="3"/>
        </dgm:presLayoutVars>
      </dgm:prSet>
      <dgm:spPr/>
      <dgm:t>
        <a:bodyPr/>
        <a:lstStyle/>
        <a:p>
          <a:endParaRPr lang="pl-PL"/>
        </a:p>
      </dgm:t>
    </dgm:pt>
    <dgm:pt modelId="{011E4F9D-4DD6-4952-9871-55C53C0CB36F}" type="pres">
      <dgm:prSet presAssocID="{634C2734-4F96-43A0-B756-9BB50B4DBF13}" presName="rootConnector3" presStyleLbl="asst1" presStyleIdx="0" presStyleCnt="1"/>
      <dgm:spPr/>
      <dgm:t>
        <a:bodyPr/>
        <a:lstStyle/>
        <a:p>
          <a:endParaRPr lang="pl-PL"/>
        </a:p>
      </dgm:t>
    </dgm:pt>
    <dgm:pt modelId="{D15FD5D8-AAC9-4CDC-9A78-53E1BF6FEA8C}" type="pres">
      <dgm:prSet presAssocID="{634C2734-4F96-43A0-B756-9BB50B4DBF13}" presName="hierChild6" presStyleCnt="0"/>
      <dgm:spPr/>
      <dgm:t>
        <a:bodyPr/>
        <a:lstStyle/>
        <a:p>
          <a:endParaRPr lang="pl-PL"/>
        </a:p>
      </dgm:t>
    </dgm:pt>
    <dgm:pt modelId="{E219CE52-6BF8-49AC-AA87-2B669C70E7D7}" type="pres">
      <dgm:prSet presAssocID="{634C2734-4F96-43A0-B756-9BB50B4DBF13}" presName="hierChild7" presStyleCnt="0"/>
      <dgm:spPr/>
      <dgm:t>
        <a:bodyPr/>
        <a:lstStyle/>
        <a:p>
          <a:endParaRPr lang="pl-PL"/>
        </a:p>
      </dgm:t>
    </dgm:pt>
  </dgm:ptLst>
  <dgm:cxnLst>
    <dgm:cxn modelId="{5F084715-B1C9-4529-8ECE-21F8BF675CC1}" type="presOf" srcId="{FF21DD6F-0249-4796-A705-C02936FD6861}" destId="{5041E2E5-9D54-4C04-BD99-2E4F3B659A7D}" srcOrd="0" destOrd="0" presId="urn:microsoft.com/office/officeart/2005/8/layout/orgChart1"/>
    <dgm:cxn modelId="{D5D7DABC-F73B-4A07-8449-AE66FC36B382}" srcId="{CCC1836C-8817-4866-B7C8-E892CA24D0BC}" destId="{EE75FCA5-FB72-4A23-BFAF-CE023CA818A8}" srcOrd="0" destOrd="0" parTransId="{CAE719B6-28F3-4E88-A2A3-47016C81AEBC}" sibTransId="{9EEC427E-AA96-4579-8954-3167EFE18AAB}"/>
    <dgm:cxn modelId="{CAB70483-8341-4434-BA4B-BCF4279FC336}" srcId="{89473249-13C0-44FB-8AEB-62CF3DF8A1F8}" destId="{E209B8A4-C38B-4066-A826-CAC0CF362E64}" srcOrd="0" destOrd="0" parTransId="{21D9AD13-7652-4C60-862D-D258F04D575D}" sibTransId="{675B9388-DEF0-4322-AFBF-02AE2CB49B85}"/>
    <dgm:cxn modelId="{29C6C083-F5E2-42A7-A4D7-B59382E2CDC8}" type="presOf" srcId="{1FD8B184-D9D5-41D0-8536-10E99651FF0A}" destId="{8CB8B564-C434-435A-9284-C51267B97848}" srcOrd="0" destOrd="0" presId="urn:microsoft.com/office/officeart/2005/8/layout/orgChart1"/>
    <dgm:cxn modelId="{30F5A1FB-30AC-4419-B611-344BD1B32C57}" srcId="{7A50D59D-868C-4A02-B5E4-A265339ABCFE}" destId="{CC619C31-5D9F-46AD-A66A-3D44C0849C25}" srcOrd="0" destOrd="0" parTransId="{71541E4C-FFCD-4CD6-8DD7-B60F2D4AC23A}" sibTransId="{B14ED444-EA8F-46BC-956F-3C0FEAD24913}"/>
    <dgm:cxn modelId="{22F747AC-4495-4421-AD79-3362AC4FDCFA}" type="presOf" srcId="{C8FD6668-4C91-4A8A-81E4-8D6BC2DB1B2C}" destId="{24E232DC-F5DE-465F-8B45-E390ED11BBC8}" srcOrd="0" destOrd="0" presId="urn:microsoft.com/office/officeart/2005/8/layout/orgChart1"/>
    <dgm:cxn modelId="{838B95C8-F7AF-4678-8D98-23A7D750D79A}" type="presOf" srcId="{7A50D59D-868C-4A02-B5E4-A265339ABCFE}" destId="{ABCAC28C-848D-4BE7-A5F7-2E3EC9118C81}" srcOrd="1" destOrd="0" presId="urn:microsoft.com/office/officeart/2005/8/layout/orgChart1"/>
    <dgm:cxn modelId="{9DB6F4DF-BF2F-4F4E-8E3B-89F59AF177B3}" type="presOf" srcId="{B11A6FF5-0665-4977-A980-8ADBEDC7D476}" destId="{F3492B2A-CAE5-4FBB-A5D8-E10A7290D98A}" srcOrd="0" destOrd="0" presId="urn:microsoft.com/office/officeart/2005/8/layout/orgChart1"/>
    <dgm:cxn modelId="{56BE600B-AFE6-44A6-8A68-98ED09FD1A23}" type="presOf" srcId="{1AE7F235-DC72-4FAC-AB4D-0E4F35A31964}" destId="{2BF44B82-1446-49FC-A184-B14AC88FBB80}" srcOrd="0" destOrd="0" presId="urn:microsoft.com/office/officeart/2005/8/layout/orgChart1"/>
    <dgm:cxn modelId="{947E5B7C-9D22-4801-ABC7-5BC51281BB49}" srcId="{EE75FCA5-FB72-4A23-BFAF-CE023CA818A8}" destId="{C013D5B4-3DF4-44F0-A56C-B0A3077447DB}" srcOrd="1" destOrd="0" parTransId="{424D360D-01F0-4381-82CE-88900A0E547F}" sibTransId="{80082DE9-6733-4A40-B269-B0D972B20B91}"/>
    <dgm:cxn modelId="{EAD612B0-41DC-4BD0-9752-B23E0AB34D93}" type="presOf" srcId="{8A379561-5E43-4E10-B090-C848618F1A49}" destId="{CAD44E68-0D9A-4D06-B761-2D46548793C2}" srcOrd="1" destOrd="0" presId="urn:microsoft.com/office/officeart/2005/8/layout/orgChart1"/>
    <dgm:cxn modelId="{02A8B9F8-920A-4AB4-A492-E8276AF49B50}" type="presOf" srcId="{194E1325-BFEE-4775-B9DB-F24A7E4FC8CC}" destId="{CFF6C180-F667-47F3-85AF-9158CFB01031}" srcOrd="1" destOrd="0" presId="urn:microsoft.com/office/officeart/2005/8/layout/orgChart1"/>
    <dgm:cxn modelId="{237EE69F-1BB4-4057-9F2E-8534D46362EE}" type="presOf" srcId="{09466B68-752A-4063-AD79-C9E3B7DE0128}" destId="{D132DD49-EAFF-46B9-BCAD-27DE2489F709}" srcOrd="0" destOrd="0" presId="urn:microsoft.com/office/officeart/2005/8/layout/orgChart1"/>
    <dgm:cxn modelId="{5A78E74D-702A-4B0A-AD65-A094469D1527}" type="presOf" srcId="{B118D4E4-16F1-4DBB-BA96-99DA23954CBC}" destId="{587017EA-A002-4A46-AFF7-F9E9B2D04F2D}" srcOrd="0" destOrd="0" presId="urn:microsoft.com/office/officeart/2005/8/layout/orgChart1"/>
    <dgm:cxn modelId="{26B4515E-CCB9-444B-9E20-CE3E5FF48C68}" type="presOf" srcId="{0900319F-8449-4CE6-853B-C05727E137B7}" destId="{4997D83D-1283-496C-ADC9-C548CF4D7452}" srcOrd="1" destOrd="0" presId="urn:microsoft.com/office/officeart/2005/8/layout/orgChart1"/>
    <dgm:cxn modelId="{17D3F46D-204B-4100-866C-1B3B4BDFC5B0}" type="presOf" srcId="{B118D4E4-16F1-4DBB-BA96-99DA23954CBC}" destId="{F9A7BD59-CE7D-424B-91D5-33249F37C3D6}" srcOrd="1" destOrd="0" presId="urn:microsoft.com/office/officeart/2005/8/layout/orgChart1"/>
    <dgm:cxn modelId="{F23F3486-5DBD-46C5-BC89-1B6BFBD50841}" type="presOf" srcId="{CC619C31-5D9F-46AD-A66A-3D44C0849C25}" destId="{1456250A-8C9E-43EF-9294-B55906867678}" srcOrd="1" destOrd="0" presId="urn:microsoft.com/office/officeart/2005/8/layout/orgChart1"/>
    <dgm:cxn modelId="{5EE08CC3-C75B-4560-8417-AB3C0E4D38E8}" type="presOf" srcId="{8FAAA7E9-1000-4699-9832-A5BAB7A1C6CE}" destId="{D0C8E380-7D35-4794-8912-526D8101F4E8}" srcOrd="0" destOrd="0" presId="urn:microsoft.com/office/officeart/2005/8/layout/orgChart1"/>
    <dgm:cxn modelId="{70F6AB62-1741-4934-BD01-F01330A4C455}" type="presOf" srcId="{67DE0BAD-D433-4433-BF4A-1A1B80FE0F2E}" destId="{D531929E-42F5-430F-BA72-CE7A4E365C72}" srcOrd="0" destOrd="0" presId="urn:microsoft.com/office/officeart/2005/8/layout/orgChart1"/>
    <dgm:cxn modelId="{094B7CCF-7530-42B3-BC79-F3AA10D3CF76}" type="presOf" srcId="{75BAB74D-EF9D-47D1-9F63-365CE87D408F}" destId="{B9B97415-09C8-4C50-9A53-12510FC0AF0D}" srcOrd="0" destOrd="0" presId="urn:microsoft.com/office/officeart/2005/8/layout/orgChart1"/>
    <dgm:cxn modelId="{B41339EE-21A5-4385-AF07-527246C6B01A}" srcId="{A8E367E3-89FA-482D-8055-655FCDAC3559}" destId="{835994E3-4CE0-411F-87C7-9FD6438022DF}" srcOrd="0" destOrd="0" parTransId="{06BC2F16-61D4-4E17-838E-366A5243E1CA}" sibTransId="{871B1257-8DEF-4845-9871-8469B0A901F0}"/>
    <dgm:cxn modelId="{81BDCB69-3025-4731-BF1D-0E51567EEE1E}" type="presOf" srcId="{5F96A239-92AB-4857-B6EE-90ACF322BC7E}" destId="{D80CD902-081A-4AE4-AE2F-7ED33C5AC208}" srcOrd="0" destOrd="0" presId="urn:microsoft.com/office/officeart/2005/8/layout/orgChart1"/>
    <dgm:cxn modelId="{47F0C81A-8724-4333-8B4E-F4B761D5C6AE}" srcId="{1FD8B184-D9D5-41D0-8536-10E99651FF0A}" destId="{22D8FC99-F544-43D0-874E-7EF0805F8767}" srcOrd="1" destOrd="0" parTransId="{1B6816FA-3DED-49D3-AEB3-79EC8BD9E7DC}" sibTransId="{6AE1EE0F-E1B3-4A61-B54F-7F8F95F19EF9}"/>
    <dgm:cxn modelId="{49D82D0A-59D1-4941-9815-D9C82BF092F2}" srcId="{194E1325-BFEE-4775-B9DB-F24A7E4FC8CC}" destId="{B11A6FF5-0665-4977-A980-8ADBEDC7D476}" srcOrd="0" destOrd="0" parTransId="{04FA52EF-D6AD-4901-A0CA-7E68B4C6A5DC}" sibTransId="{956D6763-A6A0-4568-92DD-D290852230A6}"/>
    <dgm:cxn modelId="{034D6FF7-DDB8-40A8-AC18-EAFEC02CEB75}" type="presOf" srcId="{CAE719B6-28F3-4E88-A2A3-47016C81AEBC}" destId="{5EC2879D-7219-4E6C-9A54-E292B9D59604}" srcOrd="0" destOrd="0" presId="urn:microsoft.com/office/officeart/2005/8/layout/orgChart1"/>
    <dgm:cxn modelId="{2280D5CD-21CE-4099-9B36-1A08B6079993}" type="presOf" srcId="{634C2734-4F96-43A0-B756-9BB50B4DBF13}" destId="{AFD2979D-B14B-4526-A5F1-A7F6160E2177}" srcOrd="0" destOrd="0" presId="urn:microsoft.com/office/officeart/2005/8/layout/orgChart1"/>
    <dgm:cxn modelId="{61209363-688C-484D-9EC1-17A5E7650831}" type="presOf" srcId="{5E3AF283-3E28-4BE3-9277-423D0C485ADB}" destId="{30FCD7B9-1B7C-4D92-81C7-941A5EE0A7CE}" srcOrd="0" destOrd="0" presId="urn:microsoft.com/office/officeart/2005/8/layout/orgChart1"/>
    <dgm:cxn modelId="{A3AC99B4-A499-4C9F-9FDB-04DD76BA4B40}" srcId="{835994E3-4CE0-411F-87C7-9FD6438022DF}" destId="{CCC1836C-8817-4866-B7C8-E892CA24D0BC}" srcOrd="3" destOrd="0" parTransId="{C8FD6668-4C91-4A8A-81E4-8D6BC2DB1B2C}" sibTransId="{2D8B9F63-09A0-4131-873A-0BD665ABED60}"/>
    <dgm:cxn modelId="{6BFCB7C7-F854-47AC-99BC-A7300459EB5E}" srcId="{05BBB817-DC8A-4FF6-9A5F-F76066716213}" destId="{75BAB74D-EF9D-47D1-9F63-365CE87D408F}" srcOrd="1" destOrd="0" parTransId="{8829255C-5B55-484B-BA63-1892B6ECA6E5}" sibTransId="{406D155E-A5A7-49A0-9B52-157768E3365A}"/>
    <dgm:cxn modelId="{0B055A75-51F3-4677-9B51-2FEF10198C38}" srcId="{5E086D0C-697A-4417-A62E-8A1739A9F31E}" destId="{7A50D59D-868C-4A02-B5E4-A265339ABCFE}" srcOrd="1" destOrd="0" parTransId="{449DBEA2-D13C-42D1-B580-B9AB7C83B095}" sibTransId="{D675A663-E00D-4C14-8A50-E41F2022C56C}"/>
    <dgm:cxn modelId="{814C32DC-229B-4671-917A-77FF3B227FC9}" type="presOf" srcId="{835994E3-4CE0-411F-87C7-9FD6438022DF}" destId="{D9078797-6CC3-49D8-AD81-E32DEF5F82C5}" srcOrd="0" destOrd="0" presId="urn:microsoft.com/office/officeart/2005/8/layout/orgChart1"/>
    <dgm:cxn modelId="{FCB21E25-1E66-443E-A26E-7A3E3CF3D243}" type="presOf" srcId="{125610B1-0907-429B-BA66-39594DBD0B73}" destId="{B3125B2F-4B2A-442B-B1F5-82CE194E3758}" srcOrd="0" destOrd="0" presId="urn:microsoft.com/office/officeart/2005/8/layout/orgChart1"/>
    <dgm:cxn modelId="{48810AC0-9AB0-4089-B5BF-178E2AB1DFA7}" srcId="{835994E3-4CE0-411F-87C7-9FD6438022DF}" destId="{05BBB817-DC8A-4FF6-9A5F-F76066716213}" srcOrd="1" destOrd="0" parTransId="{67DE0BAD-D433-4433-BF4A-1A1B80FE0F2E}" sibTransId="{D3F5BDCF-35CD-4D2F-9C18-E0CB6992C664}"/>
    <dgm:cxn modelId="{9A95EF62-EEA0-43F7-978A-60B76C435992}" type="presOf" srcId="{D4843A85-BBBA-4F31-ADB1-1F003F2A2A78}" destId="{419CA121-31AA-4A90-9C8B-9130251FBF0E}" srcOrd="0" destOrd="0" presId="urn:microsoft.com/office/officeart/2005/8/layout/orgChart1"/>
    <dgm:cxn modelId="{3CA5D75A-758F-4EAC-973B-FF4A0DE8C416}" type="presOf" srcId="{D84418A5-54B3-41C1-9EC6-94DE9ED7DEBA}" destId="{E30A7789-67FF-4B0B-AF41-06C013FE10DC}" srcOrd="0" destOrd="0" presId="urn:microsoft.com/office/officeart/2005/8/layout/orgChart1"/>
    <dgm:cxn modelId="{37B0D35D-36B1-4EE4-92F2-F8FFFFA2E9BD}" type="presOf" srcId="{A8E367E3-89FA-482D-8055-655FCDAC3559}" destId="{313A6A2C-B8D0-47A1-9ED1-79BAF18A470B}" srcOrd="0" destOrd="0" presId="urn:microsoft.com/office/officeart/2005/8/layout/orgChart1"/>
    <dgm:cxn modelId="{A1C74CB7-F8CB-4A5E-BA5D-D449AEDE8BD8}" type="presOf" srcId="{05BBB817-DC8A-4FF6-9A5F-F76066716213}" destId="{4D94E72D-F937-4855-8950-B40013DF7A51}" srcOrd="1" destOrd="0" presId="urn:microsoft.com/office/officeart/2005/8/layout/orgChart1"/>
    <dgm:cxn modelId="{8F8D5D55-4426-4F31-983D-ED5B2959E9DA}" srcId="{D84418A5-54B3-41C1-9EC6-94DE9ED7DEBA}" destId="{6B9552B0-DF09-49EA-91CF-C5ADDB652742}" srcOrd="1" destOrd="0" parTransId="{251255C7-5F41-4B45-9390-883FDCFA416E}" sibTransId="{E5FAA949-5C4F-4B55-83AE-B9BAD30ECFDC}"/>
    <dgm:cxn modelId="{F7F31DC7-9E3A-426F-95A3-C2588343F6FD}" type="presOf" srcId="{E5784AA8-5C5B-40FC-9845-76E7DC1C1333}" destId="{9897E93F-F7E5-4477-9643-8BF14F85A58D}" srcOrd="0" destOrd="0" presId="urn:microsoft.com/office/officeart/2005/8/layout/orgChart1"/>
    <dgm:cxn modelId="{E3A9AC2D-EEC6-4ADA-83E2-1DBB32E8B4AF}" type="presOf" srcId="{835994E3-4CE0-411F-87C7-9FD6438022DF}" destId="{1666A39B-35C2-49F4-BEB1-143715C6443A}" srcOrd="1" destOrd="0" presId="urn:microsoft.com/office/officeart/2005/8/layout/orgChart1"/>
    <dgm:cxn modelId="{8032CBF6-EB49-4D0A-BFAD-686518B7E505}" srcId="{C59DB163-FE4A-4CFC-AA72-4A02CAF9777F}" destId="{FF319EB8-8A27-4DD6-A191-022A987C7838}" srcOrd="0" destOrd="0" parTransId="{B1BC7AD3-2D75-40FC-85D8-F395706BDECD}" sibTransId="{EE8723B5-57B9-4600-A1EE-F4CD816921C2}"/>
    <dgm:cxn modelId="{35EAF572-923D-43B0-8700-72E8B2434704}" type="presOf" srcId="{A9E32A50-8889-4481-8118-0691A3723316}" destId="{65E5A0F3-CB90-40A0-8DD5-52D7B723006A}" srcOrd="0" destOrd="0" presId="urn:microsoft.com/office/officeart/2005/8/layout/orgChart1"/>
    <dgm:cxn modelId="{BB1BF93C-80E5-4185-8C48-56ACE42221E5}" srcId="{1FD8B184-D9D5-41D0-8536-10E99651FF0A}" destId="{7BDE6A86-657A-46A5-BF34-AB1B68061E87}" srcOrd="0" destOrd="0" parTransId="{ACC87A99-0ACC-4DAB-8BE7-E23A815510DD}" sibTransId="{C93E6D9F-E648-48FE-AB26-25FB8CA26636}"/>
    <dgm:cxn modelId="{B9377824-A05E-4FA9-B1FD-F548C3EE283A}" type="presOf" srcId="{1B6816FA-3DED-49D3-AEB3-79EC8BD9E7DC}" destId="{A5F44C5F-B66C-43E2-B6D3-7DDCEA76C203}" srcOrd="0" destOrd="0" presId="urn:microsoft.com/office/officeart/2005/8/layout/orgChart1"/>
    <dgm:cxn modelId="{59949DE4-29C6-4598-9014-21C745A588B4}" srcId="{C59DB163-FE4A-4CFC-AA72-4A02CAF9777F}" destId="{E5784AA8-5C5B-40FC-9845-76E7DC1C1333}" srcOrd="1" destOrd="0" parTransId="{37B07460-7A3F-4172-9CA6-042567A8FC4C}" sibTransId="{177338A1-FF78-4C3A-8EC0-A6E3C70B235B}"/>
    <dgm:cxn modelId="{6516121D-299C-455C-AE0D-ABF2634515E9}" type="presOf" srcId="{5E086D0C-697A-4417-A62E-8A1739A9F31E}" destId="{26DCBB91-8696-4822-861D-97BF53BF7680}" srcOrd="1" destOrd="0" presId="urn:microsoft.com/office/officeart/2005/8/layout/orgChart1"/>
    <dgm:cxn modelId="{EC8830DB-B594-464F-8A40-741A98682E5D}" srcId="{835994E3-4CE0-411F-87C7-9FD6438022DF}" destId="{8A379561-5E43-4E10-B090-C848618F1A49}" srcOrd="4" destOrd="0" parTransId="{55D9243E-A31A-4448-8721-4B2A4CD43666}" sibTransId="{3D4E04A4-0970-4CCF-A50B-E42964C5C23A}"/>
    <dgm:cxn modelId="{339AB471-5B19-469B-AC83-DDC439F1F61B}" type="presOf" srcId="{E5784AA8-5C5B-40FC-9845-76E7DC1C1333}" destId="{D4BE75ED-ED8A-4D17-835A-87D5C2A0899A}" srcOrd="1" destOrd="0" presId="urn:microsoft.com/office/officeart/2005/8/layout/orgChart1"/>
    <dgm:cxn modelId="{B1F24AD1-0EF0-4CC0-98E0-4AD48937D581}" srcId="{835994E3-4CE0-411F-87C7-9FD6438022DF}" destId="{634C2734-4F96-43A0-B756-9BB50B4DBF13}" srcOrd="0" destOrd="0" parTransId="{344D90D6-461B-42FC-984C-CB0BE89CACE3}" sibTransId="{D168C95A-9F33-4686-833C-447DF0BCBCCD}"/>
    <dgm:cxn modelId="{8C7488A1-A4A7-4B6F-B003-BB823278E1D2}" type="presOf" srcId="{B1BC7AD3-2D75-40FC-85D8-F395706BDECD}" destId="{35E6A949-EC7B-4EE2-B35B-C0E9A7669000}" srcOrd="0" destOrd="0" presId="urn:microsoft.com/office/officeart/2005/8/layout/orgChart1"/>
    <dgm:cxn modelId="{5FE9C81F-4CA8-42E7-8FF4-D45D2A396958}" type="presOf" srcId="{FF319EB8-8A27-4DD6-A191-022A987C7838}" destId="{6D87D7C3-48EF-4855-ACA9-ADC2F2DC3CF5}" srcOrd="0" destOrd="0" presId="urn:microsoft.com/office/officeart/2005/8/layout/orgChart1"/>
    <dgm:cxn modelId="{481BA370-FEDF-4711-9D3E-325F71BBB059}" type="presOf" srcId="{125610B1-0907-429B-BA66-39594DBD0B73}" destId="{9E901B9A-4167-4404-825E-D97FDAE97679}" srcOrd="1" destOrd="0" presId="urn:microsoft.com/office/officeart/2005/8/layout/orgChart1"/>
    <dgm:cxn modelId="{25BD2639-1B88-43E2-9BD1-6CF99A085811}" srcId="{835994E3-4CE0-411F-87C7-9FD6438022DF}" destId="{5E086D0C-697A-4417-A62E-8A1739A9F31E}" srcOrd="2" destOrd="0" parTransId="{92660940-C906-40F9-9E0C-2D538BFADABB}" sibTransId="{1BCD2DBF-30AF-493E-B543-E534BDE5AF7D}"/>
    <dgm:cxn modelId="{207DBF1D-3015-480E-9DA9-FCE19A453FDE}" type="presOf" srcId="{C013D5B4-3DF4-44F0-A56C-B0A3077447DB}" destId="{20406B38-1B2D-4AEB-AF7C-57CB07006F2A}" srcOrd="0" destOrd="0" presId="urn:microsoft.com/office/officeart/2005/8/layout/orgChart1"/>
    <dgm:cxn modelId="{BA373129-6740-4D8E-8F2B-4E4D4EDDE129}" type="presOf" srcId="{E209B8A4-C38B-4066-A826-CAC0CF362E64}" destId="{5DD8C548-F2A8-4ABA-9D3E-6CF3A2288C91}" srcOrd="1" destOrd="0" presId="urn:microsoft.com/office/officeart/2005/8/layout/orgChart1"/>
    <dgm:cxn modelId="{F0811EC7-8317-4431-A493-94FA5AF87CC1}" type="presOf" srcId="{1FD8B184-D9D5-41D0-8536-10E99651FF0A}" destId="{64E99C3F-C707-4823-B783-45AC64B19150}" srcOrd="1" destOrd="0" presId="urn:microsoft.com/office/officeart/2005/8/layout/orgChart1"/>
    <dgm:cxn modelId="{DAFCE01F-0C40-4DE7-8CD7-FC6729A31EE3}" type="presOf" srcId="{22D8FC99-F544-43D0-874E-7EF0805F8767}" destId="{29A80216-1CD5-4CA9-88A1-17FE6F6C66FA}" srcOrd="0" destOrd="0" presId="urn:microsoft.com/office/officeart/2005/8/layout/orgChart1"/>
    <dgm:cxn modelId="{396B768F-CEF4-418D-B57D-9D43A06A6BE1}" srcId="{8A379561-5E43-4E10-B090-C848618F1A49}" destId="{D84418A5-54B3-41C1-9EC6-94DE9ED7DEBA}" srcOrd="1" destOrd="0" parTransId="{FF21DD6F-0249-4796-A705-C02936FD6861}" sibTransId="{283BC6BC-A69C-421C-8E93-12B659699185}"/>
    <dgm:cxn modelId="{46AAED3D-8F44-4BCA-996F-6F1EC2E6CA0F}" type="presOf" srcId="{CCC1836C-8817-4866-B7C8-E892CA24D0BC}" destId="{BE69C88E-D8C1-45E7-BD5A-F49FACB66EF4}" srcOrd="0" destOrd="0" presId="urn:microsoft.com/office/officeart/2005/8/layout/orgChart1"/>
    <dgm:cxn modelId="{00EB9E83-1933-4211-A47D-84F88294A837}" type="presOf" srcId="{34833E98-0FEE-4CC0-8ACC-4A21572466B1}" destId="{886D6760-A987-46CB-AFDD-7E87BD0D94BC}" srcOrd="0" destOrd="0" presId="urn:microsoft.com/office/officeart/2005/8/layout/orgChart1"/>
    <dgm:cxn modelId="{CE04C149-1820-4362-8173-847C9CC3F12A}" type="presOf" srcId="{05BBB817-DC8A-4FF6-9A5F-F76066716213}" destId="{B029C857-AA05-440E-AC31-6ADEC6FBCA3D}" srcOrd="0" destOrd="0" presId="urn:microsoft.com/office/officeart/2005/8/layout/orgChart1"/>
    <dgm:cxn modelId="{001EB11A-4147-4122-BF98-6A8BE8BBCCD2}" type="presOf" srcId="{8829255C-5B55-484B-BA63-1892B6ECA6E5}" destId="{E99C197F-8BC7-4D67-8112-A2CDE2BDCA21}" srcOrd="0" destOrd="0" presId="urn:microsoft.com/office/officeart/2005/8/layout/orgChart1"/>
    <dgm:cxn modelId="{6627A5BC-17CC-42C9-BF0A-941DA5C321D9}" type="presOf" srcId="{7A50D59D-868C-4A02-B5E4-A265339ABCFE}" destId="{33B3EC3B-64FF-4487-A04E-1B5377E2C9EE}" srcOrd="0" destOrd="0" presId="urn:microsoft.com/office/officeart/2005/8/layout/orgChart1"/>
    <dgm:cxn modelId="{06668B18-71FF-4858-80B7-A20AC941C641}" type="presOf" srcId="{22D8FC99-F544-43D0-874E-7EF0805F8767}" destId="{D3728810-B7DE-423E-A68F-617E7EE8228A}" srcOrd="1" destOrd="0" presId="urn:microsoft.com/office/officeart/2005/8/layout/orgChart1"/>
    <dgm:cxn modelId="{C1A0D00D-235E-48F1-BE1C-09530F51707A}" type="presOf" srcId="{FF319EB8-8A27-4DD6-A191-022A987C7838}" destId="{423896E0-2E93-44D8-9700-1C89987566EB}" srcOrd="1" destOrd="0" presId="urn:microsoft.com/office/officeart/2005/8/layout/orgChart1"/>
    <dgm:cxn modelId="{A81B3DDD-01E5-48D2-B8AD-3726B5C5A70F}" type="presOf" srcId="{7BDE6A86-657A-46A5-BF34-AB1B68061E87}" destId="{23902EB6-0CA4-4CC1-B858-61AAF413AB2B}" srcOrd="1" destOrd="0" presId="urn:microsoft.com/office/officeart/2005/8/layout/orgChart1"/>
    <dgm:cxn modelId="{5E87322E-5005-4EB8-8F1E-6A68AC49BCE7}" type="presOf" srcId="{92660940-C906-40F9-9E0C-2D538BFADABB}" destId="{3BB4975B-1285-44A2-AD19-5119C8F2C7A5}" srcOrd="0" destOrd="0" presId="urn:microsoft.com/office/officeart/2005/8/layout/orgChart1"/>
    <dgm:cxn modelId="{962F7BD0-EE9F-4BF1-AC69-1110620A8CD5}" type="presOf" srcId="{2022AA77-E0A6-4E82-8171-5BA903506C43}" destId="{04F740D9-A24F-43DA-9F0F-B5881D0F5218}" srcOrd="0" destOrd="0" presId="urn:microsoft.com/office/officeart/2005/8/layout/orgChart1"/>
    <dgm:cxn modelId="{C221ABEE-25FF-44EE-8B25-A1C971FB87A7}" type="presOf" srcId="{E209B8A4-C38B-4066-A826-CAC0CF362E64}" destId="{00B70C33-B204-4AF2-97C7-F6E47BB54311}" srcOrd="0" destOrd="0" presId="urn:microsoft.com/office/officeart/2005/8/layout/orgChart1"/>
    <dgm:cxn modelId="{CA5804CA-3820-4C8C-9727-77AF34DA9CA6}" type="presOf" srcId="{7BDE6A86-657A-46A5-BF34-AB1B68061E87}" destId="{E6CF110F-E22E-445A-B27C-052EDD5B8121}" srcOrd="0" destOrd="0" presId="urn:microsoft.com/office/officeart/2005/8/layout/orgChart1"/>
    <dgm:cxn modelId="{40B7D07C-D8AC-49AA-B422-EF9FB1F475CF}" type="presOf" srcId="{EE75FCA5-FB72-4A23-BFAF-CE023CA818A8}" destId="{F91B498A-EB48-410A-9638-1A23646A116A}" srcOrd="1" destOrd="0" presId="urn:microsoft.com/office/officeart/2005/8/layout/orgChart1"/>
    <dgm:cxn modelId="{FCD8BA32-1CD9-41FE-8251-B01616D17D64}" type="presOf" srcId="{D84418A5-54B3-41C1-9EC6-94DE9ED7DEBA}" destId="{E24C2652-397B-4DB5-88FD-B013AB6D49D6}" srcOrd="1" destOrd="0" presId="urn:microsoft.com/office/officeart/2005/8/layout/orgChart1"/>
    <dgm:cxn modelId="{4C09F1CA-F88A-43B0-8BED-63125277C5D9}" type="presOf" srcId="{CCC1836C-8817-4866-B7C8-E892CA24D0BC}" destId="{C1467D32-D333-49E2-A6BB-AE14050EB255}" srcOrd="1" destOrd="0" presId="urn:microsoft.com/office/officeart/2005/8/layout/orgChart1"/>
    <dgm:cxn modelId="{6BB0A566-A2A6-43F0-AEFD-0018C721E76C}" srcId="{75BAB74D-EF9D-47D1-9F63-365CE87D408F}" destId="{9F70715C-4723-4E2F-B46A-F70DCB237A71}" srcOrd="1" destOrd="0" parTransId="{498F646A-6C33-438C-9033-45E980D0513B}" sibTransId="{29F3C718-B258-494A-99BC-C1D9A3FE4372}"/>
    <dgm:cxn modelId="{9583E4B8-FE8D-4E8C-B547-8A934610DC5C}" type="presOf" srcId="{37B07460-7A3F-4172-9CA6-042567A8FC4C}" destId="{F39A914A-FBC0-439B-9FD0-55D8AAFB11E3}" srcOrd="0" destOrd="0" presId="urn:microsoft.com/office/officeart/2005/8/layout/orgChart1"/>
    <dgm:cxn modelId="{9CD32F7D-F809-481A-8929-0B9F52D5AABE}" type="presOf" srcId="{21D9AD13-7652-4C60-862D-D258F04D575D}" destId="{9DBD5B21-7DF5-4F4A-B318-0DDA980CC3EB}" srcOrd="0" destOrd="0" presId="urn:microsoft.com/office/officeart/2005/8/layout/orgChart1"/>
    <dgm:cxn modelId="{7CBE999A-BFAD-41A7-AC26-1BE494C7102D}" srcId="{75BAB74D-EF9D-47D1-9F63-365CE87D408F}" destId="{C04C68FE-7E76-4269-8EC3-12D55BCE9918}" srcOrd="0" destOrd="0" parTransId="{5F96A239-92AB-4857-B6EE-90ACF322BC7E}" sibTransId="{A4A01729-84A3-47C5-B6E1-2B3DDC031DE7}"/>
    <dgm:cxn modelId="{0638A255-990A-40E8-ADB8-23C9B98AA208}" type="presOf" srcId="{5E086D0C-697A-4417-A62E-8A1739A9F31E}" destId="{90D4B256-36B3-4421-9BD5-56213863E1B2}" srcOrd="0" destOrd="0" presId="urn:microsoft.com/office/officeart/2005/8/layout/orgChart1"/>
    <dgm:cxn modelId="{900B8916-2A72-4705-8432-2CB9925D1061}" type="presOf" srcId="{C013D5B4-3DF4-44F0-A56C-B0A3077447DB}" destId="{12D63360-9150-42F3-AB1C-91AD147D7449}" srcOrd="1" destOrd="0" presId="urn:microsoft.com/office/officeart/2005/8/layout/orgChart1"/>
    <dgm:cxn modelId="{D5B774FA-EFDD-4287-AA0C-C902061CCD45}" type="presOf" srcId="{C59DB163-FE4A-4CFC-AA72-4A02CAF9777F}" destId="{C86A6B97-78A6-4D16-A775-DC6D9221E614}" srcOrd="1" destOrd="0" presId="urn:microsoft.com/office/officeart/2005/8/layout/orgChart1"/>
    <dgm:cxn modelId="{259AA565-EFB9-4D1E-90E7-BB10EDEAD179}" type="presOf" srcId="{2937BD70-CE31-449F-9B66-5B50C452483E}" destId="{92C2176C-5368-4205-A34B-12CFF00DAF55}" srcOrd="1" destOrd="0" presId="urn:microsoft.com/office/officeart/2005/8/layout/orgChart1"/>
    <dgm:cxn modelId="{C2011C82-E5F9-4A08-AEE7-96D20AC4BD12}" srcId="{CCC1836C-8817-4866-B7C8-E892CA24D0BC}" destId="{C59DB163-FE4A-4CFC-AA72-4A02CAF9777F}" srcOrd="1" destOrd="0" parTransId="{D4843A85-BBBA-4F31-ADB1-1F003F2A2A78}" sibTransId="{94DD8269-F47C-4E66-9129-87013A393387}"/>
    <dgm:cxn modelId="{856DCDFC-0575-4B1C-A2AF-3BD15CD6BC6E}" type="presOf" srcId="{449DBEA2-D13C-42D1-B580-B9AB7C83B095}" destId="{B9104E5D-9501-40F1-B982-354911CA7D1B}" srcOrd="0" destOrd="0" presId="urn:microsoft.com/office/officeart/2005/8/layout/orgChart1"/>
    <dgm:cxn modelId="{03DC394A-B384-4C91-9F38-C2624A6FC5DF}" type="presOf" srcId="{0900319F-8449-4CE6-853B-C05727E137B7}" destId="{1F4B8473-958D-4CEF-88CC-20B2C94A8AC4}" srcOrd="0" destOrd="0" presId="urn:microsoft.com/office/officeart/2005/8/layout/orgChart1"/>
    <dgm:cxn modelId="{F1C63CD0-878B-4D59-81FF-08777353AB50}" srcId="{EE75FCA5-FB72-4A23-BFAF-CE023CA818A8}" destId="{125610B1-0907-429B-BA66-39594DBD0B73}" srcOrd="0" destOrd="0" parTransId="{E0584460-A833-48DC-B559-C326D1F005F3}" sibTransId="{3E9F9E4B-F278-452E-8226-4D2E37C381A4}"/>
    <dgm:cxn modelId="{E3633737-E2D9-4ADF-8332-3A584E202E77}" type="presOf" srcId="{2937BD70-CE31-449F-9B66-5B50C452483E}" destId="{A5F0B974-3782-47D3-B19C-D9064C01EE3E}" srcOrd="0" destOrd="0" presId="urn:microsoft.com/office/officeart/2005/8/layout/orgChart1"/>
    <dgm:cxn modelId="{48FED536-6B19-43A6-99B8-48C88B8F6124}" type="presOf" srcId="{498F646A-6C33-438C-9033-45E980D0513B}" destId="{94FE843F-7FB3-4ECE-9CF4-58024DD6DFBE}" srcOrd="0" destOrd="0" presId="urn:microsoft.com/office/officeart/2005/8/layout/orgChart1"/>
    <dgm:cxn modelId="{EC433301-3CEC-4240-A5B3-33A8FE123AA3}" type="presOf" srcId="{6B9552B0-DF09-49EA-91CF-C5ADDB652742}" destId="{5BD753E9-C035-4251-B393-9D9BA50F1DC0}" srcOrd="1" destOrd="0" presId="urn:microsoft.com/office/officeart/2005/8/layout/orgChart1"/>
    <dgm:cxn modelId="{01594EFF-8912-442F-9092-9C475BCF3876}" srcId="{D84418A5-54B3-41C1-9EC6-94DE9ED7DEBA}" destId="{B118D4E4-16F1-4DBB-BA96-99DA23954CBC}" srcOrd="0" destOrd="0" parTransId="{2022AA77-E0A6-4E82-8171-5BA903506C43}" sibTransId="{28F04D20-8DFD-442C-BDCA-61FD4F274EF1}"/>
    <dgm:cxn modelId="{54BB225B-7248-4C0E-AEB4-9D6BE10E5ACF}" type="presOf" srcId="{C04C68FE-7E76-4269-8EC3-12D55BCE9918}" destId="{7F6EFC2B-5142-4D1B-A1E9-0809F85C8CF8}" srcOrd="0" destOrd="0" presId="urn:microsoft.com/office/officeart/2005/8/layout/orgChart1"/>
    <dgm:cxn modelId="{EC25FB31-113B-4D90-9E53-151DB54B95C2}" type="presOf" srcId="{9F70715C-4723-4E2F-B46A-F70DCB237A71}" destId="{C19E2C67-2E59-4083-B6A9-CDBBFEA3DB7B}" srcOrd="1" destOrd="0" presId="urn:microsoft.com/office/officeart/2005/8/layout/orgChart1"/>
    <dgm:cxn modelId="{9FB97D65-AD93-4F02-8EA4-388E9497FCBE}" type="presOf" srcId="{194E1325-BFEE-4775-B9DB-F24A7E4FC8CC}" destId="{FA8D494F-D402-46B7-B993-596B91F2323C}" srcOrd="0" destOrd="0" presId="urn:microsoft.com/office/officeart/2005/8/layout/orgChart1"/>
    <dgm:cxn modelId="{419EDFFC-DB35-44A9-9637-E2A36CD2CEDD}" type="presOf" srcId="{04FA52EF-D6AD-4901-A0CA-7E68B4C6A5DC}" destId="{B0EFE0DB-1044-4316-AA74-68AB13374529}" srcOrd="0" destOrd="0" presId="urn:microsoft.com/office/officeart/2005/8/layout/orgChart1"/>
    <dgm:cxn modelId="{4FB713DF-22C0-4859-BAEE-B326FD9D1C5F}" srcId="{89473249-13C0-44FB-8AEB-62CF3DF8A1F8}" destId="{2937BD70-CE31-449F-9B66-5B50C452483E}" srcOrd="1" destOrd="0" parTransId="{8FAAA7E9-1000-4699-9832-A5BAB7A1C6CE}" sibTransId="{0BE39521-DE94-47DF-BAD5-1FE2CFAA08BB}"/>
    <dgm:cxn modelId="{3A9A7C02-5C88-4EB2-BEEE-442809A744EE}" type="presOf" srcId="{C59DB163-FE4A-4CFC-AA72-4A02CAF9777F}" destId="{41348676-C8BB-40FA-BC1F-274678458D67}" srcOrd="0" destOrd="0" presId="urn:microsoft.com/office/officeart/2005/8/layout/orgChart1"/>
    <dgm:cxn modelId="{CB1B93E6-DA32-4896-AFB4-CC54313F6C4B}" type="presOf" srcId="{C04C68FE-7E76-4269-8EC3-12D55BCE9918}" destId="{58D104FD-8EFF-4824-B114-78435E660232}" srcOrd="1" destOrd="0" presId="urn:microsoft.com/office/officeart/2005/8/layout/orgChart1"/>
    <dgm:cxn modelId="{8C1C1ECA-0C35-4C3F-A401-2447CAEEC11B}" srcId="{7A50D59D-868C-4A02-B5E4-A265339ABCFE}" destId="{0900319F-8449-4CE6-853B-C05727E137B7}" srcOrd="1" destOrd="0" parTransId="{34833E98-0FEE-4CC0-8ACC-4A21572466B1}" sibTransId="{D5ADC390-9255-43B1-9213-BC8558C32378}"/>
    <dgm:cxn modelId="{DB981C28-EEC5-4D37-B3C9-68918D7586FC}" type="presOf" srcId="{89473249-13C0-44FB-8AEB-62CF3DF8A1F8}" destId="{110B5576-C53F-48D9-AE6F-DD36929927FF}" srcOrd="1" destOrd="0" presId="urn:microsoft.com/office/officeart/2005/8/layout/orgChart1"/>
    <dgm:cxn modelId="{058D886A-466D-495B-B975-8E26E97B3239}" type="presOf" srcId="{55D9243E-A31A-4448-8721-4B2A4CD43666}" destId="{EF3F92E9-054B-4EF1-B064-228CD1402572}" srcOrd="0" destOrd="0" presId="urn:microsoft.com/office/officeart/2005/8/layout/orgChart1"/>
    <dgm:cxn modelId="{9B1992B7-5F93-4FB3-B3A7-66AB82381FCC}" type="presOf" srcId="{1AE7F235-DC72-4FAC-AB4D-0E4F35A31964}" destId="{F3E37241-4AE0-45F1-A3D9-703E56D85473}" srcOrd="1" destOrd="0" presId="urn:microsoft.com/office/officeart/2005/8/layout/orgChart1"/>
    <dgm:cxn modelId="{F979194B-C4D2-4405-B13F-A12D3FBC614D}" type="presOf" srcId="{B11A6FF5-0665-4977-A980-8ADBEDC7D476}" destId="{EEBEAB8C-3551-4F56-A7B3-2AE253EF2C15}" srcOrd="1" destOrd="0" presId="urn:microsoft.com/office/officeart/2005/8/layout/orgChart1"/>
    <dgm:cxn modelId="{A0E30DFF-4006-457F-B4BD-900341ED0F92}" srcId="{05BBB817-DC8A-4FF6-9A5F-F76066716213}" destId="{89473249-13C0-44FB-8AEB-62CF3DF8A1F8}" srcOrd="0" destOrd="0" parTransId="{A9E32A50-8889-4481-8118-0691A3723316}" sibTransId="{59C389EF-2FFF-4D6D-9507-852D59991CB9}"/>
    <dgm:cxn modelId="{62211A68-2E18-44D8-968E-1BC9D0339E14}" type="presOf" srcId="{424D360D-01F0-4381-82CE-88900A0E547F}" destId="{21904282-442D-4CC4-84B1-04CDDFD5BB59}" srcOrd="0" destOrd="0" presId="urn:microsoft.com/office/officeart/2005/8/layout/orgChart1"/>
    <dgm:cxn modelId="{D37668B4-8BFA-4A26-ACCC-D0293120A767}" type="presOf" srcId="{6B9552B0-DF09-49EA-91CF-C5ADDB652742}" destId="{A63CE026-B052-4191-B313-7BABA28A9383}" srcOrd="0" destOrd="0" presId="urn:microsoft.com/office/officeart/2005/8/layout/orgChart1"/>
    <dgm:cxn modelId="{F6DBF162-8E55-4966-9642-1BB8508BEF27}" type="presOf" srcId="{9F70715C-4723-4E2F-B46A-F70DCB237A71}" destId="{7F831AD7-7331-49FC-9EDE-79134C1916FE}" srcOrd="0" destOrd="0" presId="urn:microsoft.com/office/officeart/2005/8/layout/orgChart1"/>
    <dgm:cxn modelId="{4F8B0F95-4023-4998-B86E-3D2DD84DA388}" type="presOf" srcId="{89473249-13C0-44FB-8AEB-62CF3DF8A1F8}" destId="{4910A01F-7AD1-4E21-87DF-92760EE4AD81}" srcOrd="0" destOrd="0" presId="urn:microsoft.com/office/officeart/2005/8/layout/orgChart1"/>
    <dgm:cxn modelId="{87DA2EB2-F9F7-4203-AC32-A7B94BBE7F69}" type="presOf" srcId="{8A379561-5E43-4E10-B090-C848618F1A49}" destId="{52AE9428-7D37-48F8-9553-4126CF44EDDC}" srcOrd="0" destOrd="0" presId="urn:microsoft.com/office/officeart/2005/8/layout/orgChart1"/>
    <dgm:cxn modelId="{D3D92BA0-F742-4CBF-8991-4261B0BE5B8D}" type="presOf" srcId="{E0584460-A833-48DC-B559-C326D1F005F3}" destId="{60D1BABD-029B-4A08-B8D7-3188248F8287}" srcOrd="0" destOrd="0" presId="urn:microsoft.com/office/officeart/2005/8/layout/orgChart1"/>
    <dgm:cxn modelId="{846C4C85-54FA-49F5-8F3F-405427A6E0CA}" type="presOf" srcId="{71541E4C-FFCD-4CD6-8DD7-B60F2D4AC23A}" destId="{0123C807-FF14-44E9-A0B2-5BF78EDAEB9B}" srcOrd="0" destOrd="0" presId="urn:microsoft.com/office/officeart/2005/8/layout/orgChart1"/>
    <dgm:cxn modelId="{D41AB29E-10D9-4DF9-8AC4-DF16D5C5238C}" srcId="{8A379561-5E43-4E10-B090-C848618F1A49}" destId="{194E1325-BFEE-4775-B9DB-F24A7E4FC8CC}" srcOrd="0" destOrd="0" parTransId="{E6B32060-7F9A-4B97-9176-C384750EEEAD}" sibTransId="{1EB924BC-51C5-45F5-B075-6AB330D838E1}"/>
    <dgm:cxn modelId="{133DD3C4-0DB7-4EB4-A3BE-6FA93392BE18}" srcId="{194E1325-BFEE-4775-B9DB-F24A7E4FC8CC}" destId="{1AE7F235-DC72-4FAC-AB4D-0E4F35A31964}" srcOrd="1" destOrd="0" parTransId="{09466B68-752A-4063-AD79-C9E3B7DE0128}" sibTransId="{825E13DD-4DAF-4512-A396-671CEE7B8A2D}"/>
    <dgm:cxn modelId="{835EF9C9-5FEF-4AE7-A576-B28208CADBE0}" type="presOf" srcId="{E6B32060-7F9A-4B97-9176-C384750EEEAD}" destId="{92BF7BDC-6A0D-4C49-8613-4D40E3D9D1E9}" srcOrd="0" destOrd="0" presId="urn:microsoft.com/office/officeart/2005/8/layout/orgChart1"/>
    <dgm:cxn modelId="{35422873-50DB-4C11-BEA3-1AAD37C29D23}" type="presOf" srcId="{75BAB74D-EF9D-47D1-9F63-365CE87D408F}" destId="{07894B31-A3BF-440D-97B7-C5278D01C454}" srcOrd="1" destOrd="0" presId="urn:microsoft.com/office/officeart/2005/8/layout/orgChart1"/>
    <dgm:cxn modelId="{ACE13E58-A64E-44BF-970C-47258462C447}" type="presOf" srcId="{ACC87A99-0ACC-4DAB-8BE7-E23A815510DD}" destId="{4FB7AC45-AFCF-483E-8B27-A9769804D6BB}" srcOrd="0" destOrd="0" presId="urn:microsoft.com/office/officeart/2005/8/layout/orgChart1"/>
    <dgm:cxn modelId="{0D425526-3897-45F5-8803-5A52B9F9471E}" type="presOf" srcId="{EE75FCA5-FB72-4A23-BFAF-CE023CA818A8}" destId="{491D37F6-ABE0-4782-8FBB-F0E97EC4B15D}" srcOrd="0" destOrd="0" presId="urn:microsoft.com/office/officeart/2005/8/layout/orgChart1"/>
    <dgm:cxn modelId="{120C7260-A38E-4EC5-B92B-83A96CA64806}" type="presOf" srcId="{634C2734-4F96-43A0-B756-9BB50B4DBF13}" destId="{011E4F9D-4DD6-4952-9871-55C53C0CB36F}" srcOrd="1" destOrd="0" presId="urn:microsoft.com/office/officeart/2005/8/layout/orgChart1"/>
    <dgm:cxn modelId="{3F645F92-E5FE-4354-AA6A-F521108763D1}" type="presOf" srcId="{CC619C31-5D9F-46AD-A66A-3D44C0849C25}" destId="{7DAFE977-5890-419D-804B-C3F84CEF4B9D}" srcOrd="0" destOrd="0" presId="urn:microsoft.com/office/officeart/2005/8/layout/orgChart1"/>
    <dgm:cxn modelId="{F6E294FF-ECB4-41A5-ABFE-6586063E7AE9}" type="presOf" srcId="{251255C7-5F41-4B45-9390-883FDCFA416E}" destId="{BDE4499A-B144-4E4E-8613-02FDEAE500EA}" srcOrd="0" destOrd="0" presId="urn:microsoft.com/office/officeart/2005/8/layout/orgChart1"/>
    <dgm:cxn modelId="{6B8B12CD-AA04-4C41-9BAF-628325DA31DB}" srcId="{5E086D0C-697A-4417-A62E-8A1739A9F31E}" destId="{1FD8B184-D9D5-41D0-8536-10E99651FF0A}" srcOrd="0" destOrd="0" parTransId="{5E3AF283-3E28-4BE3-9277-423D0C485ADB}" sibTransId="{1C1B868C-98CE-4545-866D-FB09CB218491}"/>
    <dgm:cxn modelId="{DAB9DAA2-2D58-4F60-8B7A-5C425F50E52A}" type="presOf" srcId="{344D90D6-461B-42FC-984C-CB0BE89CACE3}" destId="{A8F5EE4C-FC29-4C94-A70F-BA4771ADAA57}" srcOrd="0" destOrd="0" presId="urn:microsoft.com/office/officeart/2005/8/layout/orgChart1"/>
    <dgm:cxn modelId="{EAC46AA0-1C1C-4FE6-81CE-6BD51FA9BB9C}" type="presParOf" srcId="{313A6A2C-B8D0-47A1-9ED1-79BAF18A470B}" destId="{DCFFC9E1-64C3-439A-A10E-DE583B32EE09}" srcOrd="0" destOrd="0" presId="urn:microsoft.com/office/officeart/2005/8/layout/orgChart1"/>
    <dgm:cxn modelId="{B9F1F895-0802-4FF5-A3B9-C48C40A881BE}" type="presParOf" srcId="{DCFFC9E1-64C3-439A-A10E-DE583B32EE09}" destId="{CD26D69B-B590-448E-8013-D03355F2F14F}" srcOrd="0" destOrd="0" presId="urn:microsoft.com/office/officeart/2005/8/layout/orgChart1"/>
    <dgm:cxn modelId="{756D40B6-57D8-466B-A11F-23550A731275}" type="presParOf" srcId="{CD26D69B-B590-448E-8013-D03355F2F14F}" destId="{D9078797-6CC3-49D8-AD81-E32DEF5F82C5}" srcOrd="0" destOrd="0" presId="urn:microsoft.com/office/officeart/2005/8/layout/orgChart1"/>
    <dgm:cxn modelId="{AFDFB37E-F309-48B3-A5BA-577FABC75779}" type="presParOf" srcId="{CD26D69B-B590-448E-8013-D03355F2F14F}" destId="{1666A39B-35C2-49F4-BEB1-143715C6443A}" srcOrd="1" destOrd="0" presId="urn:microsoft.com/office/officeart/2005/8/layout/orgChart1"/>
    <dgm:cxn modelId="{5D0B09EF-0175-46E5-9719-9B8BD1D2BF9A}" type="presParOf" srcId="{DCFFC9E1-64C3-439A-A10E-DE583B32EE09}" destId="{AFBD2979-DB7A-4A67-B7B5-EE0A28C46EF9}" srcOrd="1" destOrd="0" presId="urn:microsoft.com/office/officeart/2005/8/layout/orgChart1"/>
    <dgm:cxn modelId="{65943606-884D-4846-AD04-63D1DD32FE03}" type="presParOf" srcId="{AFBD2979-DB7A-4A67-B7B5-EE0A28C46EF9}" destId="{D531929E-42F5-430F-BA72-CE7A4E365C72}" srcOrd="0" destOrd="0" presId="urn:microsoft.com/office/officeart/2005/8/layout/orgChart1"/>
    <dgm:cxn modelId="{BA2F666D-D0B2-4885-9184-6D12EC96714C}" type="presParOf" srcId="{AFBD2979-DB7A-4A67-B7B5-EE0A28C46EF9}" destId="{B82C3E3E-8667-4859-B91F-5E081E085BE9}" srcOrd="1" destOrd="0" presId="urn:microsoft.com/office/officeart/2005/8/layout/orgChart1"/>
    <dgm:cxn modelId="{40C5F991-967E-4F3B-A61C-03296C1CB6A3}" type="presParOf" srcId="{B82C3E3E-8667-4859-B91F-5E081E085BE9}" destId="{5567F130-BEFB-42D4-961F-19BA98C9BA36}" srcOrd="0" destOrd="0" presId="urn:microsoft.com/office/officeart/2005/8/layout/orgChart1"/>
    <dgm:cxn modelId="{2C92E01A-ED6C-4FD3-9AAB-8F7EC8116BE0}" type="presParOf" srcId="{5567F130-BEFB-42D4-961F-19BA98C9BA36}" destId="{B029C857-AA05-440E-AC31-6ADEC6FBCA3D}" srcOrd="0" destOrd="0" presId="urn:microsoft.com/office/officeart/2005/8/layout/orgChart1"/>
    <dgm:cxn modelId="{C3AD936B-78F7-4F8F-9A3E-15E41D7A0FD7}" type="presParOf" srcId="{5567F130-BEFB-42D4-961F-19BA98C9BA36}" destId="{4D94E72D-F937-4855-8950-B40013DF7A51}" srcOrd="1" destOrd="0" presId="urn:microsoft.com/office/officeart/2005/8/layout/orgChart1"/>
    <dgm:cxn modelId="{9444285C-F9B2-495E-A2FC-6438B5313C42}" type="presParOf" srcId="{B82C3E3E-8667-4859-B91F-5E081E085BE9}" destId="{3FFCD769-44BF-4066-B5E5-2886A680BC44}" srcOrd="1" destOrd="0" presId="urn:microsoft.com/office/officeart/2005/8/layout/orgChart1"/>
    <dgm:cxn modelId="{901B67DA-ECC5-4F59-B810-282FBE908D4B}" type="presParOf" srcId="{3FFCD769-44BF-4066-B5E5-2886A680BC44}" destId="{65E5A0F3-CB90-40A0-8DD5-52D7B723006A}" srcOrd="0" destOrd="0" presId="urn:microsoft.com/office/officeart/2005/8/layout/orgChart1"/>
    <dgm:cxn modelId="{489EB3BA-A1B2-4E74-BB11-D36F03CDC82E}" type="presParOf" srcId="{3FFCD769-44BF-4066-B5E5-2886A680BC44}" destId="{9AAFBFBE-1054-4FA6-BC7C-A1C3F82ABC6E}" srcOrd="1" destOrd="0" presId="urn:microsoft.com/office/officeart/2005/8/layout/orgChart1"/>
    <dgm:cxn modelId="{3C9E987E-785E-4D35-AA4D-5D3E9CEBF09D}" type="presParOf" srcId="{9AAFBFBE-1054-4FA6-BC7C-A1C3F82ABC6E}" destId="{BDF5F524-4106-4188-9296-346473AA5951}" srcOrd="0" destOrd="0" presId="urn:microsoft.com/office/officeart/2005/8/layout/orgChart1"/>
    <dgm:cxn modelId="{98BA918D-3AD7-4884-A8B8-64EFAA8863F6}" type="presParOf" srcId="{BDF5F524-4106-4188-9296-346473AA5951}" destId="{4910A01F-7AD1-4E21-87DF-92760EE4AD81}" srcOrd="0" destOrd="0" presId="urn:microsoft.com/office/officeart/2005/8/layout/orgChart1"/>
    <dgm:cxn modelId="{5AA76CF0-8E59-4ECC-B748-F49661A4BAE9}" type="presParOf" srcId="{BDF5F524-4106-4188-9296-346473AA5951}" destId="{110B5576-C53F-48D9-AE6F-DD36929927FF}" srcOrd="1" destOrd="0" presId="urn:microsoft.com/office/officeart/2005/8/layout/orgChart1"/>
    <dgm:cxn modelId="{66234D13-A053-4ACA-A16E-9FD91E23F4F0}" type="presParOf" srcId="{9AAFBFBE-1054-4FA6-BC7C-A1C3F82ABC6E}" destId="{E00C7E13-9B37-49DA-A160-1A302DCF0E69}" srcOrd="1" destOrd="0" presId="urn:microsoft.com/office/officeart/2005/8/layout/orgChart1"/>
    <dgm:cxn modelId="{4CA354C3-7233-43C3-889B-AE79AA6886D3}" type="presParOf" srcId="{E00C7E13-9B37-49DA-A160-1A302DCF0E69}" destId="{9DBD5B21-7DF5-4F4A-B318-0DDA980CC3EB}" srcOrd="0" destOrd="0" presId="urn:microsoft.com/office/officeart/2005/8/layout/orgChart1"/>
    <dgm:cxn modelId="{A522D910-AAF2-487C-9E2F-2209F7F1EFBD}" type="presParOf" srcId="{E00C7E13-9B37-49DA-A160-1A302DCF0E69}" destId="{0DE67237-B5EC-44FB-8C88-44375EF185CC}" srcOrd="1" destOrd="0" presId="urn:microsoft.com/office/officeart/2005/8/layout/orgChart1"/>
    <dgm:cxn modelId="{B2FD505B-BE6E-4508-8D55-EBE87B394F89}" type="presParOf" srcId="{0DE67237-B5EC-44FB-8C88-44375EF185CC}" destId="{714C4A02-78AB-45FF-9702-E69AC5C6DB38}" srcOrd="0" destOrd="0" presId="urn:microsoft.com/office/officeart/2005/8/layout/orgChart1"/>
    <dgm:cxn modelId="{B94BD47D-F93B-4819-91BE-C23B4FF9CD19}" type="presParOf" srcId="{714C4A02-78AB-45FF-9702-E69AC5C6DB38}" destId="{00B70C33-B204-4AF2-97C7-F6E47BB54311}" srcOrd="0" destOrd="0" presId="urn:microsoft.com/office/officeart/2005/8/layout/orgChart1"/>
    <dgm:cxn modelId="{602EBE55-416A-48C7-B986-EB3BB8C7300F}" type="presParOf" srcId="{714C4A02-78AB-45FF-9702-E69AC5C6DB38}" destId="{5DD8C548-F2A8-4ABA-9D3E-6CF3A2288C91}" srcOrd="1" destOrd="0" presId="urn:microsoft.com/office/officeart/2005/8/layout/orgChart1"/>
    <dgm:cxn modelId="{3ED38BBB-73A1-4809-9D95-26E88D36F3F0}" type="presParOf" srcId="{0DE67237-B5EC-44FB-8C88-44375EF185CC}" destId="{8653F166-AC68-459C-89F6-318EAE0324C0}" srcOrd="1" destOrd="0" presId="urn:microsoft.com/office/officeart/2005/8/layout/orgChart1"/>
    <dgm:cxn modelId="{5122C6EB-6839-4C14-838D-5E24F688D372}" type="presParOf" srcId="{0DE67237-B5EC-44FB-8C88-44375EF185CC}" destId="{AEBB9266-F3AD-4B9B-B547-8CA01632839E}" srcOrd="2" destOrd="0" presId="urn:microsoft.com/office/officeart/2005/8/layout/orgChart1"/>
    <dgm:cxn modelId="{7B0B3B2A-438D-48FD-AFBA-780C1B70215E}" type="presParOf" srcId="{E00C7E13-9B37-49DA-A160-1A302DCF0E69}" destId="{D0C8E380-7D35-4794-8912-526D8101F4E8}" srcOrd="2" destOrd="0" presId="urn:microsoft.com/office/officeart/2005/8/layout/orgChart1"/>
    <dgm:cxn modelId="{18E15487-900F-4B86-9B52-06C2B3537058}" type="presParOf" srcId="{E00C7E13-9B37-49DA-A160-1A302DCF0E69}" destId="{81FA9480-D436-4D99-AB32-556CD1792CFA}" srcOrd="3" destOrd="0" presId="urn:microsoft.com/office/officeart/2005/8/layout/orgChart1"/>
    <dgm:cxn modelId="{8C58E073-3F7D-479D-8940-73BC5BB527A0}" type="presParOf" srcId="{81FA9480-D436-4D99-AB32-556CD1792CFA}" destId="{B39A5AFD-A70F-46E2-BA77-02019D397508}" srcOrd="0" destOrd="0" presId="urn:microsoft.com/office/officeart/2005/8/layout/orgChart1"/>
    <dgm:cxn modelId="{CD74D716-FBF8-4187-8069-789570CFEFA0}" type="presParOf" srcId="{B39A5AFD-A70F-46E2-BA77-02019D397508}" destId="{A5F0B974-3782-47D3-B19C-D9064C01EE3E}" srcOrd="0" destOrd="0" presId="urn:microsoft.com/office/officeart/2005/8/layout/orgChart1"/>
    <dgm:cxn modelId="{42F43104-4E58-47CA-8528-ECA8B4615F89}" type="presParOf" srcId="{B39A5AFD-A70F-46E2-BA77-02019D397508}" destId="{92C2176C-5368-4205-A34B-12CFF00DAF55}" srcOrd="1" destOrd="0" presId="urn:microsoft.com/office/officeart/2005/8/layout/orgChart1"/>
    <dgm:cxn modelId="{2EE7EF2F-1868-4113-BBCB-D8E7AE6A4BFB}" type="presParOf" srcId="{81FA9480-D436-4D99-AB32-556CD1792CFA}" destId="{0BEDF3D2-1E44-48CE-9A8E-A992BB219AF5}" srcOrd="1" destOrd="0" presId="urn:microsoft.com/office/officeart/2005/8/layout/orgChart1"/>
    <dgm:cxn modelId="{3DEC67D5-6ACE-4B89-BF36-A50F6EAE4313}" type="presParOf" srcId="{81FA9480-D436-4D99-AB32-556CD1792CFA}" destId="{3F40AE50-6334-41A9-A9A0-C004413E27FD}" srcOrd="2" destOrd="0" presId="urn:microsoft.com/office/officeart/2005/8/layout/orgChart1"/>
    <dgm:cxn modelId="{66BB8E6D-ACC9-4E0A-B0C0-2F4189CF1ED3}" type="presParOf" srcId="{9AAFBFBE-1054-4FA6-BC7C-A1C3F82ABC6E}" destId="{B4334793-0100-4874-9D4F-79214FB44B3B}" srcOrd="2" destOrd="0" presId="urn:microsoft.com/office/officeart/2005/8/layout/orgChart1"/>
    <dgm:cxn modelId="{626777B8-5054-432A-8A9E-E4D0AE94810C}" type="presParOf" srcId="{3FFCD769-44BF-4066-B5E5-2886A680BC44}" destId="{E99C197F-8BC7-4D67-8112-A2CDE2BDCA21}" srcOrd="2" destOrd="0" presId="urn:microsoft.com/office/officeart/2005/8/layout/orgChart1"/>
    <dgm:cxn modelId="{B0AAF0DB-C451-45C0-87C1-0896023FCBA2}" type="presParOf" srcId="{3FFCD769-44BF-4066-B5E5-2886A680BC44}" destId="{F23E186E-CC6B-4AC1-B8BE-EA4BE99D27EE}" srcOrd="3" destOrd="0" presId="urn:microsoft.com/office/officeart/2005/8/layout/orgChart1"/>
    <dgm:cxn modelId="{F45C0AC4-6F5C-4163-99B3-78F7BCF880A5}" type="presParOf" srcId="{F23E186E-CC6B-4AC1-B8BE-EA4BE99D27EE}" destId="{5CA1C94C-3AD5-4370-97CD-CF1167F45DDF}" srcOrd="0" destOrd="0" presId="urn:microsoft.com/office/officeart/2005/8/layout/orgChart1"/>
    <dgm:cxn modelId="{323DD449-0AEA-46C3-84DE-C0C09C419DB8}" type="presParOf" srcId="{5CA1C94C-3AD5-4370-97CD-CF1167F45DDF}" destId="{B9B97415-09C8-4C50-9A53-12510FC0AF0D}" srcOrd="0" destOrd="0" presId="urn:microsoft.com/office/officeart/2005/8/layout/orgChart1"/>
    <dgm:cxn modelId="{A246D28E-FA94-4FEA-8DF8-7821BB0C00C7}" type="presParOf" srcId="{5CA1C94C-3AD5-4370-97CD-CF1167F45DDF}" destId="{07894B31-A3BF-440D-97B7-C5278D01C454}" srcOrd="1" destOrd="0" presId="urn:microsoft.com/office/officeart/2005/8/layout/orgChart1"/>
    <dgm:cxn modelId="{2CF12777-BD65-4BDE-8657-3A7C11C02883}" type="presParOf" srcId="{F23E186E-CC6B-4AC1-B8BE-EA4BE99D27EE}" destId="{6DC480D0-2BED-4B44-B905-D78401B63AD5}" srcOrd="1" destOrd="0" presId="urn:microsoft.com/office/officeart/2005/8/layout/orgChart1"/>
    <dgm:cxn modelId="{3ECDC498-4CCC-4FA6-A23B-F75D568913AC}" type="presParOf" srcId="{6DC480D0-2BED-4B44-B905-D78401B63AD5}" destId="{D80CD902-081A-4AE4-AE2F-7ED33C5AC208}" srcOrd="0" destOrd="0" presId="urn:microsoft.com/office/officeart/2005/8/layout/orgChart1"/>
    <dgm:cxn modelId="{0F08CDFA-41D9-43D9-A52C-9332E3C3373B}" type="presParOf" srcId="{6DC480D0-2BED-4B44-B905-D78401B63AD5}" destId="{7DDA66C1-D237-4B19-A7F8-1F0F49CBA542}" srcOrd="1" destOrd="0" presId="urn:microsoft.com/office/officeart/2005/8/layout/orgChart1"/>
    <dgm:cxn modelId="{C9CE02E6-E2D1-4E12-9A98-2B7597F8C46E}" type="presParOf" srcId="{7DDA66C1-D237-4B19-A7F8-1F0F49CBA542}" destId="{98B1E617-1AE2-41F6-8919-61D0CC1A45EA}" srcOrd="0" destOrd="0" presId="urn:microsoft.com/office/officeart/2005/8/layout/orgChart1"/>
    <dgm:cxn modelId="{CA24B8EE-1E06-475A-9F2D-6462AEF3D953}" type="presParOf" srcId="{98B1E617-1AE2-41F6-8919-61D0CC1A45EA}" destId="{7F6EFC2B-5142-4D1B-A1E9-0809F85C8CF8}" srcOrd="0" destOrd="0" presId="urn:microsoft.com/office/officeart/2005/8/layout/orgChart1"/>
    <dgm:cxn modelId="{F5F08795-65B2-41D8-84E2-24067E477133}" type="presParOf" srcId="{98B1E617-1AE2-41F6-8919-61D0CC1A45EA}" destId="{58D104FD-8EFF-4824-B114-78435E660232}" srcOrd="1" destOrd="0" presId="urn:microsoft.com/office/officeart/2005/8/layout/orgChart1"/>
    <dgm:cxn modelId="{E5375ABF-0107-4242-BA74-9B6107D4C6B7}" type="presParOf" srcId="{7DDA66C1-D237-4B19-A7F8-1F0F49CBA542}" destId="{8A00D92D-5CFD-42E2-910D-7B620EEF1877}" srcOrd="1" destOrd="0" presId="urn:microsoft.com/office/officeart/2005/8/layout/orgChart1"/>
    <dgm:cxn modelId="{426A0046-2820-48FD-828A-61CBED442C2B}" type="presParOf" srcId="{7DDA66C1-D237-4B19-A7F8-1F0F49CBA542}" destId="{90C362BA-642F-41A3-8839-2834A767B95F}" srcOrd="2" destOrd="0" presId="urn:microsoft.com/office/officeart/2005/8/layout/orgChart1"/>
    <dgm:cxn modelId="{DD5FBE0C-2FD8-420E-9847-6653AA7EFB16}" type="presParOf" srcId="{6DC480D0-2BED-4B44-B905-D78401B63AD5}" destId="{94FE843F-7FB3-4ECE-9CF4-58024DD6DFBE}" srcOrd="2" destOrd="0" presId="urn:microsoft.com/office/officeart/2005/8/layout/orgChart1"/>
    <dgm:cxn modelId="{9B86C900-A955-4871-A433-634706846048}" type="presParOf" srcId="{6DC480D0-2BED-4B44-B905-D78401B63AD5}" destId="{0D02230F-21AA-40A5-A554-D241D0615068}" srcOrd="3" destOrd="0" presId="urn:microsoft.com/office/officeart/2005/8/layout/orgChart1"/>
    <dgm:cxn modelId="{49C81B99-DCE4-4F39-85BA-B598EB023362}" type="presParOf" srcId="{0D02230F-21AA-40A5-A554-D241D0615068}" destId="{E8492AA3-0F8B-4A5E-8AC3-80369B4DC2F8}" srcOrd="0" destOrd="0" presId="urn:microsoft.com/office/officeart/2005/8/layout/orgChart1"/>
    <dgm:cxn modelId="{D5030002-59B4-4995-A572-D283F82BAAA5}" type="presParOf" srcId="{E8492AA3-0F8B-4A5E-8AC3-80369B4DC2F8}" destId="{7F831AD7-7331-49FC-9EDE-79134C1916FE}" srcOrd="0" destOrd="0" presId="urn:microsoft.com/office/officeart/2005/8/layout/orgChart1"/>
    <dgm:cxn modelId="{C2EE6A49-3062-429E-966B-455A1327FA29}" type="presParOf" srcId="{E8492AA3-0F8B-4A5E-8AC3-80369B4DC2F8}" destId="{C19E2C67-2E59-4083-B6A9-CDBBFEA3DB7B}" srcOrd="1" destOrd="0" presId="urn:microsoft.com/office/officeart/2005/8/layout/orgChart1"/>
    <dgm:cxn modelId="{541BF6BB-EFC8-440D-B524-F751E91F544D}" type="presParOf" srcId="{0D02230F-21AA-40A5-A554-D241D0615068}" destId="{9EC16DE9-DD62-40C9-81E2-6F01D06966F3}" srcOrd="1" destOrd="0" presId="urn:microsoft.com/office/officeart/2005/8/layout/orgChart1"/>
    <dgm:cxn modelId="{C39AF823-F02F-4FD8-8455-0C3DF60A2EFC}" type="presParOf" srcId="{0D02230F-21AA-40A5-A554-D241D0615068}" destId="{658C4A34-306B-4656-AECB-5C97E7DDB0F4}" srcOrd="2" destOrd="0" presId="urn:microsoft.com/office/officeart/2005/8/layout/orgChart1"/>
    <dgm:cxn modelId="{E2E67EF3-14DD-4D75-8FD9-90C12BB2D6F4}" type="presParOf" srcId="{F23E186E-CC6B-4AC1-B8BE-EA4BE99D27EE}" destId="{3E2CB4EA-3BEB-442F-B51F-4C6918A94D10}" srcOrd="2" destOrd="0" presId="urn:microsoft.com/office/officeart/2005/8/layout/orgChart1"/>
    <dgm:cxn modelId="{7A0B80FA-53BD-4227-8F44-90B1E324291B}" type="presParOf" srcId="{B82C3E3E-8667-4859-B91F-5E081E085BE9}" destId="{BD615CB6-0261-4D93-86E0-63D35F22932B}" srcOrd="2" destOrd="0" presId="urn:microsoft.com/office/officeart/2005/8/layout/orgChart1"/>
    <dgm:cxn modelId="{15F59B7D-BDEF-4850-8AF6-BC9C11434E77}" type="presParOf" srcId="{AFBD2979-DB7A-4A67-B7B5-EE0A28C46EF9}" destId="{3BB4975B-1285-44A2-AD19-5119C8F2C7A5}" srcOrd="2" destOrd="0" presId="urn:microsoft.com/office/officeart/2005/8/layout/orgChart1"/>
    <dgm:cxn modelId="{3A818ADC-E48A-499A-8467-33EBF67D868C}" type="presParOf" srcId="{AFBD2979-DB7A-4A67-B7B5-EE0A28C46EF9}" destId="{50BBA4C3-9926-4E06-A991-4CBB4D9C4C68}" srcOrd="3" destOrd="0" presId="urn:microsoft.com/office/officeart/2005/8/layout/orgChart1"/>
    <dgm:cxn modelId="{8D39D0DD-B5B4-4B46-8260-0AF8683D8703}" type="presParOf" srcId="{50BBA4C3-9926-4E06-A991-4CBB4D9C4C68}" destId="{B861F1F4-E072-4395-B4F2-82648A41975F}" srcOrd="0" destOrd="0" presId="urn:microsoft.com/office/officeart/2005/8/layout/orgChart1"/>
    <dgm:cxn modelId="{C3A6D5E0-9C3D-461B-B3C3-476D2A751390}" type="presParOf" srcId="{B861F1F4-E072-4395-B4F2-82648A41975F}" destId="{90D4B256-36B3-4421-9BD5-56213863E1B2}" srcOrd="0" destOrd="0" presId="urn:microsoft.com/office/officeart/2005/8/layout/orgChart1"/>
    <dgm:cxn modelId="{31B365D5-375D-4806-9ED2-723E8C4988EA}" type="presParOf" srcId="{B861F1F4-E072-4395-B4F2-82648A41975F}" destId="{26DCBB91-8696-4822-861D-97BF53BF7680}" srcOrd="1" destOrd="0" presId="urn:microsoft.com/office/officeart/2005/8/layout/orgChart1"/>
    <dgm:cxn modelId="{5F23F61E-5B2E-4297-B9A6-E3B5A6B2F9F6}" type="presParOf" srcId="{50BBA4C3-9926-4E06-A991-4CBB4D9C4C68}" destId="{6247468A-D600-4856-97F8-5C74EC395044}" srcOrd="1" destOrd="0" presId="urn:microsoft.com/office/officeart/2005/8/layout/orgChart1"/>
    <dgm:cxn modelId="{4691A69F-F117-46E3-B372-41826C50CBBE}" type="presParOf" srcId="{6247468A-D600-4856-97F8-5C74EC395044}" destId="{30FCD7B9-1B7C-4D92-81C7-941A5EE0A7CE}" srcOrd="0" destOrd="0" presId="urn:microsoft.com/office/officeart/2005/8/layout/orgChart1"/>
    <dgm:cxn modelId="{55F7B0ED-366E-49AE-B6F3-A4B0152BB405}" type="presParOf" srcId="{6247468A-D600-4856-97F8-5C74EC395044}" destId="{33FC7315-3059-4542-9D01-42C2ACBF38D0}" srcOrd="1" destOrd="0" presId="urn:microsoft.com/office/officeart/2005/8/layout/orgChart1"/>
    <dgm:cxn modelId="{12C3BC60-CFFA-4221-AE02-EC2EEA648956}" type="presParOf" srcId="{33FC7315-3059-4542-9D01-42C2ACBF38D0}" destId="{53549155-1A93-43D8-A9FF-BDF5C35CCF80}" srcOrd="0" destOrd="0" presId="urn:microsoft.com/office/officeart/2005/8/layout/orgChart1"/>
    <dgm:cxn modelId="{121EFCC4-8C3D-4D6D-8819-4AF5D64BB4BD}" type="presParOf" srcId="{53549155-1A93-43D8-A9FF-BDF5C35CCF80}" destId="{8CB8B564-C434-435A-9284-C51267B97848}" srcOrd="0" destOrd="0" presId="urn:microsoft.com/office/officeart/2005/8/layout/orgChart1"/>
    <dgm:cxn modelId="{B35736CD-EE24-4AC6-83B3-AF299EE7FFED}" type="presParOf" srcId="{53549155-1A93-43D8-A9FF-BDF5C35CCF80}" destId="{64E99C3F-C707-4823-B783-45AC64B19150}" srcOrd="1" destOrd="0" presId="urn:microsoft.com/office/officeart/2005/8/layout/orgChart1"/>
    <dgm:cxn modelId="{721B30E6-5322-4CBB-AAB5-E8C413F9630A}" type="presParOf" srcId="{33FC7315-3059-4542-9D01-42C2ACBF38D0}" destId="{03EDCFA6-9757-4ADC-B18C-4A9CF1F99C4D}" srcOrd="1" destOrd="0" presId="urn:microsoft.com/office/officeart/2005/8/layout/orgChart1"/>
    <dgm:cxn modelId="{B8A3B5EE-88C9-42A4-BFD1-8AB96885AC21}" type="presParOf" srcId="{03EDCFA6-9757-4ADC-B18C-4A9CF1F99C4D}" destId="{4FB7AC45-AFCF-483E-8B27-A9769804D6BB}" srcOrd="0" destOrd="0" presId="urn:microsoft.com/office/officeart/2005/8/layout/orgChart1"/>
    <dgm:cxn modelId="{CF180EB3-E25F-4F71-90F9-146B6099D472}" type="presParOf" srcId="{03EDCFA6-9757-4ADC-B18C-4A9CF1F99C4D}" destId="{4838272D-CD9F-46CE-9BA5-234B4D0D3AF0}" srcOrd="1" destOrd="0" presId="urn:microsoft.com/office/officeart/2005/8/layout/orgChart1"/>
    <dgm:cxn modelId="{38609610-95BC-436D-A61F-AB437B2D63EC}" type="presParOf" srcId="{4838272D-CD9F-46CE-9BA5-234B4D0D3AF0}" destId="{74CED8E4-E05A-4AB5-B54D-51120FCB204B}" srcOrd="0" destOrd="0" presId="urn:microsoft.com/office/officeart/2005/8/layout/orgChart1"/>
    <dgm:cxn modelId="{DFEFDB0F-FABF-4564-84E1-8DDDCDE4F4E6}" type="presParOf" srcId="{74CED8E4-E05A-4AB5-B54D-51120FCB204B}" destId="{E6CF110F-E22E-445A-B27C-052EDD5B8121}" srcOrd="0" destOrd="0" presId="urn:microsoft.com/office/officeart/2005/8/layout/orgChart1"/>
    <dgm:cxn modelId="{780C0E08-9E0C-41C8-AAF3-7F50D0E9C838}" type="presParOf" srcId="{74CED8E4-E05A-4AB5-B54D-51120FCB204B}" destId="{23902EB6-0CA4-4CC1-B858-61AAF413AB2B}" srcOrd="1" destOrd="0" presId="urn:microsoft.com/office/officeart/2005/8/layout/orgChart1"/>
    <dgm:cxn modelId="{46C82A84-5871-41B5-A447-2369828185F0}" type="presParOf" srcId="{4838272D-CD9F-46CE-9BA5-234B4D0D3AF0}" destId="{6FFE6520-503B-4C76-A919-B825F403ABF9}" srcOrd="1" destOrd="0" presId="urn:microsoft.com/office/officeart/2005/8/layout/orgChart1"/>
    <dgm:cxn modelId="{8D3CCBAB-A91C-43D6-B285-EC29DB2F2100}" type="presParOf" srcId="{4838272D-CD9F-46CE-9BA5-234B4D0D3AF0}" destId="{2BCD78A8-FB90-4B81-91B5-58C5B39A598B}" srcOrd="2" destOrd="0" presId="urn:microsoft.com/office/officeart/2005/8/layout/orgChart1"/>
    <dgm:cxn modelId="{DF5A73B9-7DAB-465D-8421-75CD276A594F}" type="presParOf" srcId="{03EDCFA6-9757-4ADC-B18C-4A9CF1F99C4D}" destId="{A5F44C5F-B66C-43E2-B6D3-7DDCEA76C203}" srcOrd="2" destOrd="0" presId="urn:microsoft.com/office/officeart/2005/8/layout/orgChart1"/>
    <dgm:cxn modelId="{9C1B3CBF-A751-4F13-8BE6-99B9929B66AD}" type="presParOf" srcId="{03EDCFA6-9757-4ADC-B18C-4A9CF1F99C4D}" destId="{F7E8AFC0-5F75-4F96-96E1-970BE16BC481}" srcOrd="3" destOrd="0" presId="urn:microsoft.com/office/officeart/2005/8/layout/orgChart1"/>
    <dgm:cxn modelId="{E378BB3E-201C-4E95-8125-8A5D089D1DBA}" type="presParOf" srcId="{F7E8AFC0-5F75-4F96-96E1-970BE16BC481}" destId="{783D9EFB-5556-4EF9-874E-362701F8AA62}" srcOrd="0" destOrd="0" presId="urn:microsoft.com/office/officeart/2005/8/layout/orgChart1"/>
    <dgm:cxn modelId="{94071D82-A43B-440A-B0C9-BD7C06C7FF89}" type="presParOf" srcId="{783D9EFB-5556-4EF9-874E-362701F8AA62}" destId="{29A80216-1CD5-4CA9-88A1-17FE6F6C66FA}" srcOrd="0" destOrd="0" presId="urn:microsoft.com/office/officeart/2005/8/layout/orgChart1"/>
    <dgm:cxn modelId="{40EC0846-DDE2-4202-992C-08C1C4F66985}" type="presParOf" srcId="{783D9EFB-5556-4EF9-874E-362701F8AA62}" destId="{D3728810-B7DE-423E-A68F-617E7EE8228A}" srcOrd="1" destOrd="0" presId="urn:microsoft.com/office/officeart/2005/8/layout/orgChart1"/>
    <dgm:cxn modelId="{A51CBB84-10CA-40BC-923A-8F30ECEE114A}" type="presParOf" srcId="{F7E8AFC0-5F75-4F96-96E1-970BE16BC481}" destId="{0A926574-7356-42AE-95C8-41A97AC158AA}" srcOrd="1" destOrd="0" presId="urn:microsoft.com/office/officeart/2005/8/layout/orgChart1"/>
    <dgm:cxn modelId="{B1F71EAC-9730-4269-808F-FFA8A6BBD3D6}" type="presParOf" srcId="{F7E8AFC0-5F75-4F96-96E1-970BE16BC481}" destId="{19443CEC-3136-4A07-A60C-35F1612901F0}" srcOrd="2" destOrd="0" presId="urn:microsoft.com/office/officeart/2005/8/layout/orgChart1"/>
    <dgm:cxn modelId="{E81C518C-0FB2-4839-92A3-56CAC724017F}" type="presParOf" srcId="{33FC7315-3059-4542-9D01-42C2ACBF38D0}" destId="{971C4978-554D-466F-B8AE-8525ED8D641F}" srcOrd="2" destOrd="0" presId="urn:microsoft.com/office/officeart/2005/8/layout/orgChart1"/>
    <dgm:cxn modelId="{F362146C-1B21-4F51-9673-18C6B663623A}" type="presParOf" srcId="{6247468A-D600-4856-97F8-5C74EC395044}" destId="{B9104E5D-9501-40F1-B982-354911CA7D1B}" srcOrd="2" destOrd="0" presId="urn:microsoft.com/office/officeart/2005/8/layout/orgChart1"/>
    <dgm:cxn modelId="{C269D34F-675F-44E5-956C-B29C57DC3B58}" type="presParOf" srcId="{6247468A-D600-4856-97F8-5C74EC395044}" destId="{DDCF2F34-2D5F-48E4-B3B7-01123C07D5EC}" srcOrd="3" destOrd="0" presId="urn:microsoft.com/office/officeart/2005/8/layout/orgChart1"/>
    <dgm:cxn modelId="{687D14F2-56FC-4781-9184-9A72DEC33038}" type="presParOf" srcId="{DDCF2F34-2D5F-48E4-B3B7-01123C07D5EC}" destId="{E6395C76-3D1F-4F37-8D24-0733CFCFCC31}" srcOrd="0" destOrd="0" presId="urn:microsoft.com/office/officeart/2005/8/layout/orgChart1"/>
    <dgm:cxn modelId="{73A744BD-2076-4B32-8678-D4ECE61AB96F}" type="presParOf" srcId="{E6395C76-3D1F-4F37-8D24-0733CFCFCC31}" destId="{33B3EC3B-64FF-4487-A04E-1B5377E2C9EE}" srcOrd="0" destOrd="0" presId="urn:microsoft.com/office/officeart/2005/8/layout/orgChart1"/>
    <dgm:cxn modelId="{D30BB73A-961E-4F17-AF26-65367F756DC0}" type="presParOf" srcId="{E6395C76-3D1F-4F37-8D24-0733CFCFCC31}" destId="{ABCAC28C-848D-4BE7-A5F7-2E3EC9118C81}" srcOrd="1" destOrd="0" presId="urn:microsoft.com/office/officeart/2005/8/layout/orgChart1"/>
    <dgm:cxn modelId="{0841CCCD-A075-4FED-8B0A-0F7DD61F9904}" type="presParOf" srcId="{DDCF2F34-2D5F-48E4-B3B7-01123C07D5EC}" destId="{6AF31436-9F4F-4DAF-A76C-CAC731A6B0E7}" srcOrd="1" destOrd="0" presId="urn:microsoft.com/office/officeart/2005/8/layout/orgChart1"/>
    <dgm:cxn modelId="{8A7B165F-6DBE-4ED7-AA59-D93299D3E2F2}" type="presParOf" srcId="{6AF31436-9F4F-4DAF-A76C-CAC731A6B0E7}" destId="{0123C807-FF14-44E9-A0B2-5BF78EDAEB9B}" srcOrd="0" destOrd="0" presId="urn:microsoft.com/office/officeart/2005/8/layout/orgChart1"/>
    <dgm:cxn modelId="{83D428E4-D102-4AEF-BE57-F2ED6896BBE4}" type="presParOf" srcId="{6AF31436-9F4F-4DAF-A76C-CAC731A6B0E7}" destId="{96BB8A1B-BD6C-44C7-AABA-5F279A4F8348}" srcOrd="1" destOrd="0" presId="urn:microsoft.com/office/officeart/2005/8/layout/orgChart1"/>
    <dgm:cxn modelId="{65A0532D-5C78-4B03-A533-09E12DB24AB2}" type="presParOf" srcId="{96BB8A1B-BD6C-44C7-AABA-5F279A4F8348}" destId="{44D6B1C8-E0A3-4914-9320-ED74D440E2BD}" srcOrd="0" destOrd="0" presId="urn:microsoft.com/office/officeart/2005/8/layout/orgChart1"/>
    <dgm:cxn modelId="{3CF7EECE-0B0D-4D83-9830-68644CE9818E}" type="presParOf" srcId="{44D6B1C8-E0A3-4914-9320-ED74D440E2BD}" destId="{7DAFE977-5890-419D-804B-C3F84CEF4B9D}" srcOrd="0" destOrd="0" presId="urn:microsoft.com/office/officeart/2005/8/layout/orgChart1"/>
    <dgm:cxn modelId="{A66F58A6-CA44-4885-82AE-78E91EBC8563}" type="presParOf" srcId="{44D6B1C8-E0A3-4914-9320-ED74D440E2BD}" destId="{1456250A-8C9E-43EF-9294-B55906867678}" srcOrd="1" destOrd="0" presId="urn:microsoft.com/office/officeart/2005/8/layout/orgChart1"/>
    <dgm:cxn modelId="{BDE9D5B2-FCF5-4C16-B82E-58B88D110722}" type="presParOf" srcId="{96BB8A1B-BD6C-44C7-AABA-5F279A4F8348}" destId="{19613610-EDFC-4CBA-8393-1F0CB1A5D977}" srcOrd="1" destOrd="0" presId="urn:microsoft.com/office/officeart/2005/8/layout/orgChart1"/>
    <dgm:cxn modelId="{ECBAF39B-1C8B-4670-A7C2-EE045084E742}" type="presParOf" srcId="{96BB8A1B-BD6C-44C7-AABA-5F279A4F8348}" destId="{CEE1C601-DFD9-4AC1-8A40-6258F6265A40}" srcOrd="2" destOrd="0" presId="urn:microsoft.com/office/officeart/2005/8/layout/orgChart1"/>
    <dgm:cxn modelId="{76747F0C-891D-4A77-B42C-FA0F8930398C}" type="presParOf" srcId="{6AF31436-9F4F-4DAF-A76C-CAC731A6B0E7}" destId="{886D6760-A987-46CB-AFDD-7E87BD0D94BC}" srcOrd="2" destOrd="0" presId="urn:microsoft.com/office/officeart/2005/8/layout/orgChart1"/>
    <dgm:cxn modelId="{C1733181-5EC9-4F51-B9A1-141FA778B34D}" type="presParOf" srcId="{6AF31436-9F4F-4DAF-A76C-CAC731A6B0E7}" destId="{188DB413-9682-45BF-A672-D8B4058D33FB}" srcOrd="3" destOrd="0" presId="urn:microsoft.com/office/officeart/2005/8/layout/orgChart1"/>
    <dgm:cxn modelId="{5D53B8D5-37AD-4568-80DB-FF898F2A7FA9}" type="presParOf" srcId="{188DB413-9682-45BF-A672-D8B4058D33FB}" destId="{A204CBD7-9CAA-474B-A307-64FBF24877B1}" srcOrd="0" destOrd="0" presId="urn:microsoft.com/office/officeart/2005/8/layout/orgChart1"/>
    <dgm:cxn modelId="{7785B066-3C41-4807-B499-34E4572E1D8A}" type="presParOf" srcId="{A204CBD7-9CAA-474B-A307-64FBF24877B1}" destId="{1F4B8473-958D-4CEF-88CC-20B2C94A8AC4}" srcOrd="0" destOrd="0" presId="urn:microsoft.com/office/officeart/2005/8/layout/orgChart1"/>
    <dgm:cxn modelId="{1A74874D-2415-4F4F-8C66-AC1F21749663}" type="presParOf" srcId="{A204CBD7-9CAA-474B-A307-64FBF24877B1}" destId="{4997D83D-1283-496C-ADC9-C548CF4D7452}" srcOrd="1" destOrd="0" presId="urn:microsoft.com/office/officeart/2005/8/layout/orgChart1"/>
    <dgm:cxn modelId="{F1B97B8A-FB92-4A3F-A5F6-109A2F22E0A3}" type="presParOf" srcId="{188DB413-9682-45BF-A672-D8B4058D33FB}" destId="{DE3E0051-B8A0-46BB-93BE-4EABCED8365E}" srcOrd="1" destOrd="0" presId="urn:microsoft.com/office/officeart/2005/8/layout/orgChart1"/>
    <dgm:cxn modelId="{00D8435E-09A6-4720-B4FC-23DECD0F121E}" type="presParOf" srcId="{188DB413-9682-45BF-A672-D8B4058D33FB}" destId="{FB0DCA1A-FDDB-4EEB-AE3A-3824383630AE}" srcOrd="2" destOrd="0" presId="urn:microsoft.com/office/officeart/2005/8/layout/orgChart1"/>
    <dgm:cxn modelId="{17F5F683-BB80-4F39-A203-1F053EBFF341}" type="presParOf" srcId="{DDCF2F34-2D5F-48E4-B3B7-01123C07D5EC}" destId="{4124BAAD-4545-48F2-A072-78350B4F2D46}" srcOrd="2" destOrd="0" presId="urn:microsoft.com/office/officeart/2005/8/layout/orgChart1"/>
    <dgm:cxn modelId="{6A74A8D1-0419-4B2C-B6F7-E1F3B80558F5}" type="presParOf" srcId="{50BBA4C3-9926-4E06-A991-4CBB4D9C4C68}" destId="{0E7BF0D4-0358-49DF-ADC3-A8F598EEDEF0}" srcOrd="2" destOrd="0" presId="urn:microsoft.com/office/officeart/2005/8/layout/orgChart1"/>
    <dgm:cxn modelId="{A75FC27D-B0D9-4565-964B-0ED143889363}" type="presParOf" srcId="{AFBD2979-DB7A-4A67-B7B5-EE0A28C46EF9}" destId="{24E232DC-F5DE-465F-8B45-E390ED11BBC8}" srcOrd="4" destOrd="0" presId="urn:microsoft.com/office/officeart/2005/8/layout/orgChart1"/>
    <dgm:cxn modelId="{93711E9D-E896-4EC4-ADC7-CE5CA0C3E9BB}" type="presParOf" srcId="{AFBD2979-DB7A-4A67-B7B5-EE0A28C46EF9}" destId="{B5EBABEF-4859-48EF-B2BC-7F3A47571CD2}" srcOrd="5" destOrd="0" presId="urn:microsoft.com/office/officeart/2005/8/layout/orgChart1"/>
    <dgm:cxn modelId="{0DDF4187-F28B-40A6-8CEC-1F845119C400}" type="presParOf" srcId="{B5EBABEF-4859-48EF-B2BC-7F3A47571CD2}" destId="{6EEBCA27-C7F4-4510-980D-8C32FAF4EE91}" srcOrd="0" destOrd="0" presId="urn:microsoft.com/office/officeart/2005/8/layout/orgChart1"/>
    <dgm:cxn modelId="{C53CA11C-5472-4D4D-A6B8-1DEF235846A6}" type="presParOf" srcId="{6EEBCA27-C7F4-4510-980D-8C32FAF4EE91}" destId="{BE69C88E-D8C1-45E7-BD5A-F49FACB66EF4}" srcOrd="0" destOrd="0" presId="urn:microsoft.com/office/officeart/2005/8/layout/orgChart1"/>
    <dgm:cxn modelId="{19325612-C902-426D-B264-784B05E6BBC1}" type="presParOf" srcId="{6EEBCA27-C7F4-4510-980D-8C32FAF4EE91}" destId="{C1467D32-D333-49E2-A6BB-AE14050EB255}" srcOrd="1" destOrd="0" presId="urn:microsoft.com/office/officeart/2005/8/layout/orgChart1"/>
    <dgm:cxn modelId="{F07530E9-23C6-4424-B848-F2F78A015465}" type="presParOf" srcId="{B5EBABEF-4859-48EF-B2BC-7F3A47571CD2}" destId="{81DB6D67-5CB1-4059-B6B2-9E641E484D44}" srcOrd="1" destOrd="0" presId="urn:microsoft.com/office/officeart/2005/8/layout/orgChart1"/>
    <dgm:cxn modelId="{247ED048-776E-434C-8510-ADDEB6FF5E10}" type="presParOf" srcId="{81DB6D67-5CB1-4059-B6B2-9E641E484D44}" destId="{5EC2879D-7219-4E6C-9A54-E292B9D59604}" srcOrd="0" destOrd="0" presId="urn:microsoft.com/office/officeart/2005/8/layout/orgChart1"/>
    <dgm:cxn modelId="{CA88416D-8BA8-4504-B8CF-C299FFB136F9}" type="presParOf" srcId="{81DB6D67-5CB1-4059-B6B2-9E641E484D44}" destId="{65D044DB-9301-479F-8740-18A184C67CD1}" srcOrd="1" destOrd="0" presId="urn:microsoft.com/office/officeart/2005/8/layout/orgChart1"/>
    <dgm:cxn modelId="{325E119E-8E06-4E56-8104-65502A266B97}" type="presParOf" srcId="{65D044DB-9301-479F-8740-18A184C67CD1}" destId="{4273997F-EF4D-495E-82F3-512B8341FFEF}" srcOrd="0" destOrd="0" presId="urn:microsoft.com/office/officeart/2005/8/layout/orgChart1"/>
    <dgm:cxn modelId="{88007C52-1389-45EE-93F7-DAAE3AA74541}" type="presParOf" srcId="{4273997F-EF4D-495E-82F3-512B8341FFEF}" destId="{491D37F6-ABE0-4782-8FBB-F0E97EC4B15D}" srcOrd="0" destOrd="0" presId="urn:microsoft.com/office/officeart/2005/8/layout/orgChart1"/>
    <dgm:cxn modelId="{A008E583-A507-4A1F-B57F-BB6768FB36E5}" type="presParOf" srcId="{4273997F-EF4D-495E-82F3-512B8341FFEF}" destId="{F91B498A-EB48-410A-9638-1A23646A116A}" srcOrd="1" destOrd="0" presId="urn:microsoft.com/office/officeart/2005/8/layout/orgChart1"/>
    <dgm:cxn modelId="{6D528944-6AA2-44E0-8779-6ED853003569}" type="presParOf" srcId="{65D044DB-9301-479F-8740-18A184C67CD1}" destId="{A7762BE9-1713-4913-991F-CD00AF233E19}" srcOrd="1" destOrd="0" presId="urn:microsoft.com/office/officeart/2005/8/layout/orgChart1"/>
    <dgm:cxn modelId="{B3BF3CC5-6122-4A5F-B583-B3396A639C51}" type="presParOf" srcId="{A7762BE9-1713-4913-991F-CD00AF233E19}" destId="{60D1BABD-029B-4A08-B8D7-3188248F8287}" srcOrd="0" destOrd="0" presId="urn:microsoft.com/office/officeart/2005/8/layout/orgChart1"/>
    <dgm:cxn modelId="{C6810428-298D-4F05-B238-63DC8A29B1C5}" type="presParOf" srcId="{A7762BE9-1713-4913-991F-CD00AF233E19}" destId="{F805F5CB-4876-4A1E-B506-7EDE33B8135F}" srcOrd="1" destOrd="0" presId="urn:microsoft.com/office/officeart/2005/8/layout/orgChart1"/>
    <dgm:cxn modelId="{782F73E7-71CB-435B-BC80-713855540ECC}" type="presParOf" srcId="{F805F5CB-4876-4A1E-B506-7EDE33B8135F}" destId="{8743B370-883C-4114-A624-8264249C2A8D}" srcOrd="0" destOrd="0" presId="urn:microsoft.com/office/officeart/2005/8/layout/orgChart1"/>
    <dgm:cxn modelId="{C846B219-D976-4249-A374-166D9087F6EB}" type="presParOf" srcId="{8743B370-883C-4114-A624-8264249C2A8D}" destId="{B3125B2F-4B2A-442B-B1F5-82CE194E3758}" srcOrd="0" destOrd="0" presId="urn:microsoft.com/office/officeart/2005/8/layout/orgChart1"/>
    <dgm:cxn modelId="{496434D6-201B-4624-99A7-9EBBAF864957}" type="presParOf" srcId="{8743B370-883C-4114-A624-8264249C2A8D}" destId="{9E901B9A-4167-4404-825E-D97FDAE97679}" srcOrd="1" destOrd="0" presId="urn:microsoft.com/office/officeart/2005/8/layout/orgChart1"/>
    <dgm:cxn modelId="{D9CDEAC4-EFF7-4724-A213-73E04E69CFCA}" type="presParOf" srcId="{F805F5CB-4876-4A1E-B506-7EDE33B8135F}" destId="{A8509ADA-B77B-40D6-B662-CD6DC9810F44}" srcOrd="1" destOrd="0" presId="urn:microsoft.com/office/officeart/2005/8/layout/orgChart1"/>
    <dgm:cxn modelId="{5EF1C159-D10C-4B3D-A7AB-B6A5F5B59A63}" type="presParOf" srcId="{F805F5CB-4876-4A1E-B506-7EDE33B8135F}" destId="{E7D7DF25-9552-407F-AFEA-3F079B492139}" srcOrd="2" destOrd="0" presId="urn:microsoft.com/office/officeart/2005/8/layout/orgChart1"/>
    <dgm:cxn modelId="{303C9482-EE24-4007-817C-7ED868E3B909}" type="presParOf" srcId="{A7762BE9-1713-4913-991F-CD00AF233E19}" destId="{21904282-442D-4CC4-84B1-04CDDFD5BB59}" srcOrd="2" destOrd="0" presId="urn:microsoft.com/office/officeart/2005/8/layout/orgChart1"/>
    <dgm:cxn modelId="{4BBF2D17-A8ED-447C-A3C2-1A9B734E3EFE}" type="presParOf" srcId="{A7762BE9-1713-4913-991F-CD00AF233E19}" destId="{5FF790D2-B07C-4D78-9298-CB3874FFD0EC}" srcOrd="3" destOrd="0" presId="urn:microsoft.com/office/officeart/2005/8/layout/orgChart1"/>
    <dgm:cxn modelId="{2880961E-718F-4713-BC19-480AF9E77BDB}" type="presParOf" srcId="{5FF790D2-B07C-4D78-9298-CB3874FFD0EC}" destId="{CAF9D745-661E-4CEB-8EAE-B19900A6D609}" srcOrd="0" destOrd="0" presId="urn:microsoft.com/office/officeart/2005/8/layout/orgChart1"/>
    <dgm:cxn modelId="{6AAD3D32-1521-4CC1-A1FB-640D04F21F76}" type="presParOf" srcId="{CAF9D745-661E-4CEB-8EAE-B19900A6D609}" destId="{20406B38-1B2D-4AEB-AF7C-57CB07006F2A}" srcOrd="0" destOrd="0" presId="urn:microsoft.com/office/officeart/2005/8/layout/orgChart1"/>
    <dgm:cxn modelId="{33B4CC06-ADFC-48A9-9C4B-6B06942E4B51}" type="presParOf" srcId="{CAF9D745-661E-4CEB-8EAE-B19900A6D609}" destId="{12D63360-9150-42F3-AB1C-91AD147D7449}" srcOrd="1" destOrd="0" presId="urn:microsoft.com/office/officeart/2005/8/layout/orgChart1"/>
    <dgm:cxn modelId="{EB18DE2C-050C-404D-A9A1-39B602BC4ED5}" type="presParOf" srcId="{5FF790D2-B07C-4D78-9298-CB3874FFD0EC}" destId="{7735FC12-DF6C-41B6-B819-C2E143B2B912}" srcOrd="1" destOrd="0" presId="urn:microsoft.com/office/officeart/2005/8/layout/orgChart1"/>
    <dgm:cxn modelId="{B3AFA549-C594-4EBF-9137-821C1CE34FB6}" type="presParOf" srcId="{5FF790D2-B07C-4D78-9298-CB3874FFD0EC}" destId="{F7B79AE1-404B-4624-A330-373F06D10B76}" srcOrd="2" destOrd="0" presId="urn:microsoft.com/office/officeart/2005/8/layout/orgChart1"/>
    <dgm:cxn modelId="{8E3120EB-D351-4D64-90E5-C76FCFDAFA36}" type="presParOf" srcId="{65D044DB-9301-479F-8740-18A184C67CD1}" destId="{3516808A-708E-480F-AA12-031A6695D3C8}" srcOrd="2" destOrd="0" presId="urn:microsoft.com/office/officeart/2005/8/layout/orgChart1"/>
    <dgm:cxn modelId="{7148AFF8-4094-4DC4-B836-79D7B3685F4D}" type="presParOf" srcId="{81DB6D67-5CB1-4059-B6B2-9E641E484D44}" destId="{419CA121-31AA-4A90-9C8B-9130251FBF0E}" srcOrd="2" destOrd="0" presId="urn:microsoft.com/office/officeart/2005/8/layout/orgChart1"/>
    <dgm:cxn modelId="{BE99CC3B-3945-43E2-A3E6-B9966AB1D04F}" type="presParOf" srcId="{81DB6D67-5CB1-4059-B6B2-9E641E484D44}" destId="{036D03C3-06E6-4AEB-914F-AC21AB6D7A22}" srcOrd="3" destOrd="0" presId="urn:microsoft.com/office/officeart/2005/8/layout/orgChart1"/>
    <dgm:cxn modelId="{8E3CAB83-6DA3-4949-8657-3D83B43C8696}" type="presParOf" srcId="{036D03C3-06E6-4AEB-914F-AC21AB6D7A22}" destId="{BE42951C-2C60-4573-9A5E-A6616B8546A1}" srcOrd="0" destOrd="0" presId="urn:microsoft.com/office/officeart/2005/8/layout/orgChart1"/>
    <dgm:cxn modelId="{E274A2E1-01ED-4A77-9B36-59BFD3DEAF63}" type="presParOf" srcId="{BE42951C-2C60-4573-9A5E-A6616B8546A1}" destId="{41348676-C8BB-40FA-BC1F-274678458D67}" srcOrd="0" destOrd="0" presId="urn:microsoft.com/office/officeart/2005/8/layout/orgChart1"/>
    <dgm:cxn modelId="{4AC74941-B158-4481-8D0F-D289F766EF4D}" type="presParOf" srcId="{BE42951C-2C60-4573-9A5E-A6616B8546A1}" destId="{C86A6B97-78A6-4D16-A775-DC6D9221E614}" srcOrd="1" destOrd="0" presId="urn:microsoft.com/office/officeart/2005/8/layout/orgChart1"/>
    <dgm:cxn modelId="{0F3FF423-E118-4F2F-9644-844B0AA8331E}" type="presParOf" srcId="{036D03C3-06E6-4AEB-914F-AC21AB6D7A22}" destId="{4298C5BB-98FD-4546-8C09-720AE91D0054}" srcOrd="1" destOrd="0" presId="urn:microsoft.com/office/officeart/2005/8/layout/orgChart1"/>
    <dgm:cxn modelId="{AC0BCFE3-1415-4AE9-BCC6-803F2A94753B}" type="presParOf" srcId="{4298C5BB-98FD-4546-8C09-720AE91D0054}" destId="{35E6A949-EC7B-4EE2-B35B-C0E9A7669000}" srcOrd="0" destOrd="0" presId="urn:microsoft.com/office/officeart/2005/8/layout/orgChart1"/>
    <dgm:cxn modelId="{539B1A72-0527-4E23-AE0D-5669B90EC5AA}" type="presParOf" srcId="{4298C5BB-98FD-4546-8C09-720AE91D0054}" destId="{66241A14-4CA1-4576-ADA8-5AFF85B4F6F7}" srcOrd="1" destOrd="0" presId="urn:microsoft.com/office/officeart/2005/8/layout/orgChart1"/>
    <dgm:cxn modelId="{1D597859-233A-4534-81C1-A68944628301}" type="presParOf" srcId="{66241A14-4CA1-4576-ADA8-5AFF85B4F6F7}" destId="{3507E444-1116-4A46-8022-5CA36400D311}" srcOrd="0" destOrd="0" presId="urn:microsoft.com/office/officeart/2005/8/layout/orgChart1"/>
    <dgm:cxn modelId="{94DDE78A-6471-4068-A72E-6E104B785C2D}" type="presParOf" srcId="{3507E444-1116-4A46-8022-5CA36400D311}" destId="{6D87D7C3-48EF-4855-ACA9-ADC2F2DC3CF5}" srcOrd="0" destOrd="0" presId="urn:microsoft.com/office/officeart/2005/8/layout/orgChart1"/>
    <dgm:cxn modelId="{419169E8-175E-4E00-81A8-0D2B51211F7B}" type="presParOf" srcId="{3507E444-1116-4A46-8022-5CA36400D311}" destId="{423896E0-2E93-44D8-9700-1C89987566EB}" srcOrd="1" destOrd="0" presId="urn:microsoft.com/office/officeart/2005/8/layout/orgChart1"/>
    <dgm:cxn modelId="{123FB56C-FF8A-4292-893F-C044225D2B6A}" type="presParOf" srcId="{66241A14-4CA1-4576-ADA8-5AFF85B4F6F7}" destId="{C1A5CBD0-2BD0-405F-8B39-D2C23401110D}" srcOrd="1" destOrd="0" presId="urn:microsoft.com/office/officeart/2005/8/layout/orgChart1"/>
    <dgm:cxn modelId="{95B9C87C-6E10-4925-AE1D-905D5E0204E5}" type="presParOf" srcId="{66241A14-4CA1-4576-ADA8-5AFF85B4F6F7}" destId="{C9F3D3E5-216A-4292-AF3B-C46EF1F343FF}" srcOrd="2" destOrd="0" presId="urn:microsoft.com/office/officeart/2005/8/layout/orgChart1"/>
    <dgm:cxn modelId="{E303EAAF-ED5C-4F35-9EC6-8E0444326CEA}" type="presParOf" srcId="{4298C5BB-98FD-4546-8C09-720AE91D0054}" destId="{F39A914A-FBC0-439B-9FD0-55D8AAFB11E3}" srcOrd="2" destOrd="0" presId="urn:microsoft.com/office/officeart/2005/8/layout/orgChart1"/>
    <dgm:cxn modelId="{C610D3DA-1C34-4A2C-9EAE-66B94D6891CF}" type="presParOf" srcId="{4298C5BB-98FD-4546-8C09-720AE91D0054}" destId="{F54683A8-280C-480D-8FC5-4624A4EA7DE8}" srcOrd="3" destOrd="0" presId="urn:microsoft.com/office/officeart/2005/8/layout/orgChart1"/>
    <dgm:cxn modelId="{7501FC86-4FAD-48D7-B6A2-54BD069B9E68}" type="presParOf" srcId="{F54683A8-280C-480D-8FC5-4624A4EA7DE8}" destId="{A131B6BE-8A82-484D-98A8-1E8568A0953C}" srcOrd="0" destOrd="0" presId="urn:microsoft.com/office/officeart/2005/8/layout/orgChart1"/>
    <dgm:cxn modelId="{99713D9F-9628-417F-AE61-399DEE5512E0}" type="presParOf" srcId="{A131B6BE-8A82-484D-98A8-1E8568A0953C}" destId="{9897E93F-F7E5-4477-9643-8BF14F85A58D}" srcOrd="0" destOrd="0" presId="urn:microsoft.com/office/officeart/2005/8/layout/orgChart1"/>
    <dgm:cxn modelId="{8A79B936-9AC9-48C9-9F23-27AAA768CCD6}" type="presParOf" srcId="{A131B6BE-8A82-484D-98A8-1E8568A0953C}" destId="{D4BE75ED-ED8A-4D17-835A-87D5C2A0899A}" srcOrd="1" destOrd="0" presId="urn:microsoft.com/office/officeart/2005/8/layout/orgChart1"/>
    <dgm:cxn modelId="{712CDB46-F721-4D4A-8CD5-ABABBC09155D}" type="presParOf" srcId="{F54683A8-280C-480D-8FC5-4624A4EA7DE8}" destId="{172CE542-F579-4992-AEB2-39A4910E2D93}" srcOrd="1" destOrd="0" presId="urn:microsoft.com/office/officeart/2005/8/layout/orgChart1"/>
    <dgm:cxn modelId="{843640C9-BC6C-4410-897E-E4CE84C1625A}" type="presParOf" srcId="{F54683A8-280C-480D-8FC5-4624A4EA7DE8}" destId="{7B2B9876-9297-4C6C-B79C-9D8586367090}" srcOrd="2" destOrd="0" presId="urn:microsoft.com/office/officeart/2005/8/layout/orgChart1"/>
    <dgm:cxn modelId="{17BF155C-08C0-46F3-B927-2B781F12A280}" type="presParOf" srcId="{036D03C3-06E6-4AEB-914F-AC21AB6D7A22}" destId="{8FE133CC-3E44-48BB-AE86-F93AF129F4A7}" srcOrd="2" destOrd="0" presId="urn:microsoft.com/office/officeart/2005/8/layout/orgChart1"/>
    <dgm:cxn modelId="{93511A04-B192-48AB-9101-CF062522F017}" type="presParOf" srcId="{B5EBABEF-4859-48EF-B2BC-7F3A47571CD2}" destId="{F8573CBE-8A49-4339-8EBD-0D6919A294E8}" srcOrd="2" destOrd="0" presId="urn:microsoft.com/office/officeart/2005/8/layout/orgChart1"/>
    <dgm:cxn modelId="{2C43E89E-F1ED-4E50-B82C-903790DF2BEB}" type="presParOf" srcId="{AFBD2979-DB7A-4A67-B7B5-EE0A28C46EF9}" destId="{EF3F92E9-054B-4EF1-B064-228CD1402572}" srcOrd="6" destOrd="0" presId="urn:microsoft.com/office/officeart/2005/8/layout/orgChart1"/>
    <dgm:cxn modelId="{EDF925C3-6B1F-4FAE-95F7-FEF302C9A347}" type="presParOf" srcId="{AFBD2979-DB7A-4A67-B7B5-EE0A28C46EF9}" destId="{6A2009B3-035A-4BC2-A116-0B98F9120DA7}" srcOrd="7" destOrd="0" presId="urn:microsoft.com/office/officeart/2005/8/layout/orgChart1"/>
    <dgm:cxn modelId="{5433F8EA-D863-4CA6-83C0-D3A03E417D58}" type="presParOf" srcId="{6A2009B3-035A-4BC2-A116-0B98F9120DA7}" destId="{A018899A-C45E-4426-8832-EE2AA3E29A53}" srcOrd="0" destOrd="0" presId="urn:microsoft.com/office/officeart/2005/8/layout/orgChart1"/>
    <dgm:cxn modelId="{BE4B7E08-3599-475B-8B22-10F33F44A33B}" type="presParOf" srcId="{A018899A-C45E-4426-8832-EE2AA3E29A53}" destId="{52AE9428-7D37-48F8-9553-4126CF44EDDC}" srcOrd="0" destOrd="0" presId="urn:microsoft.com/office/officeart/2005/8/layout/orgChart1"/>
    <dgm:cxn modelId="{6CB98DFA-E372-4BD5-A54A-0754CD42D7F4}" type="presParOf" srcId="{A018899A-C45E-4426-8832-EE2AA3E29A53}" destId="{CAD44E68-0D9A-4D06-B761-2D46548793C2}" srcOrd="1" destOrd="0" presId="urn:microsoft.com/office/officeart/2005/8/layout/orgChart1"/>
    <dgm:cxn modelId="{5A800800-2601-4C9B-9DDD-C03AA96821E2}" type="presParOf" srcId="{6A2009B3-035A-4BC2-A116-0B98F9120DA7}" destId="{877F2131-74C8-4841-B77F-F4D162C3FF41}" srcOrd="1" destOrd="0" presId="urn:microsoft.com/office/officeart/2005/8/layout/orgChart1"/>
    <dgm:cxn modelId="{56D841C3-6521-41CA-9E10-4D0169C1DBA1}" type="presParOf" srcId="{877F2131-74C8-4841-B77F-F4D162C3FF41}" destId="{92BF7BDC-6A0D-4C49-8613-4D40E3D9D1E9}" srcOrd="0" destOrd="0" presId="urn:microsoft.com/office/officeart/2005/8/layout/orgChart1"/>
    <dgm:cxn modelId="{CDCFB03E-0F28-4CB2-BE1F-204E4C0DAEC5}" type="presParOf" srcId="{877F2131-74C8-4841-B77F-F4D162C3FF41}" destId="{BEFBD2CE-B39E-4BF9-82AB-91FF1F48C655}" srcOrd="1" destOrd="0" presId="urn:microsoft.com/office/officeart/2005/8/layout/orgChart1"/>
    <dgm:cxn modelId="{0B040607-AA17-4CC8-AD3C-9388FE90BB2E}" type="presParOf" srcId="{BEFBD2CE-B39E-4BF9-82AB-91FF1F48C655}" destId="{6A21900B-E44E-47CA-BB84-DD289B9B1FCA}" srcOrd="0" destOrd="0" presId="urn:microsoft.com/office/officeart/2005/8/layout/orgChart1"/>
    <dgm:cxn modelId="{702AB98D-3C6C-43C1-8E4B-11DE3A493934}" type="presParOf" srcId="{6A21900B-E44E-47CA-BB84-DD289B9B1FCA}" destId="{FA8D494F-D402-46B7-B993-596B91F2323C}" srcOrd="0" destOrd="0" presId="urn:microsoft.com/office/officeart/2005/8/layout/orgChart1"/>
    <dgm:cxn modelId="{7221F27C-9606-42D4-B66E-B538FF5E8A88}" type="presParOf" srcId="{6A21900B-E44E-47CA-BB84-DD289B9B1FCA}" destId="{CFF6C180-F667-47F3-85AF-9158CFB01031}" srcOrd="1" destOrd="0" presId="urn:microsoft.com/office/officeart/2005/8/layout/orgChart1"/>
    <dgm:cxn modelId="{27E923E3-F7D0-4FC7-803F-04BD139EF87A}" type="presParOf" srcId="{BEFBD2CE-B39E-4BF9-82AB-91FF1F48C655}" destId="{79FF6EE8-69AA-4E25-9275-43A58D7C3168}" srcOrd="1" destOrd="0" presId="urn:microsoft.com/office/officeart/2005/8/layout/orgChart1"/>
    <dgm:cxn modelId="{5712E46A-750E-4462-82BA-BD8FC5516678}" type="presParOf" srcId="{79FF6EE8-69AA-4E25-9275-43A58D7C3168}" destId="{B0EFE0DB-1044-4316-AA74-68AB13374529}" srcOrd="0" destOrd="0" presId="urn:microsoft.com/office/officeart/2005/8/layout/orgChart1"/>
    <dgm:cxn modelId="{DB6BD715-AF02-4E58-A3AB-000482428529}" type="presParOf" srcId="{79FF6EE8-69AA-4E25-9275-43A58D7C3168}" destId="{1F49CBDB-1201-42C5-94D0-3ECBA4771082}" srcOrd="1" destOrd="0" presId="urn:microsoft.com/office/officeart/2005/8/layout/orgChart1"/>
    <dgm:cxn modelId="{449FC00E-3AD9-4982-B0A7-A4F51E0A4F61}" type="presParOf" srcId="{1F49CBDB-1201-42C5-94D0-3ECBA4771082}" destId="{DD0F1E34-C3FA-4E4E-8EAD-73E04B1D1F21}" srcOrd="0" destOrd="0" presId="urn:microsoft.com/office/officeart/2005/8/layout/orgChart1"/>
    <dgm:cxn modelId="{F0104091-C789-4F7F-8360-20F7490710D3}" type="presParOf" srcId="{DD0F1E34-C3FA-4E4E-8EAD-73E04B1D1F21}" destId="{F3492B2A-CAE5-4FBB-A5D8-E10A7290D98A}" srcOrd="0" destOrd="0" presId="urn:microsoft.com/office/officeart/2005/8/layout/orgChart1"/>
    <dgm:cxn modelId="{7B09C402-B799-4194-97CD-C745267F0954}" type="presParOf" srcId="{DD0F1E34-C3FA-4E4E-8EAD-73E04B1D1F21}" destId="{EEBEAB8C-3551-4F56-A7B3-2AE253EF2C15}" srcOrd="1" destOrd="0" presId="urn:microsoft.com/office/officeart/2005/8/layout/orgChart1"/>
    <dgm:cxn modelId="{AB024723-4380-40E4-9DC3-9BA2E23CC448}" type="presParOf" srcId="{1F49CBDB-1201-42C5-94D0-3ECBA4771082}" destId="{82153C43-2DD1-4483-B39F-EA4696FC99FB}" srcOrd="1" destOrd="0" presId="urn:microsoft.com/office/officeart/2005/8/layout/orgChart1"/>
    <dgm:cxn modelId="{6C391AC0-45C4-4D3D-BDD6-04270C0A2447}" type="presParOf" srcId="{1F49CBDB-1201-42C5-94D0-3ECBA4771082}" destId="{CBDB13F2-ED96-4E70-A8F1-B6C0E4D89FA5}" srcOrd="2" destOrd="0" presId="urn:microsoft.com/office/officeart/2005/8/layout/orgChart1"/>
    <dgm:cxn modelId="{1855558D-B473-4967-B6C5-DE985C4212D7}" type="presParOf" srcId="{79FF6EE8-69AA-4E25-9275-43A58D7C3168}" destId="{D132DD49-EAFF-46B9-BCAD-27DE2489F709}" srcOrd="2" destOrd="0" presId="urn:microsoft.com/office/officeart/2005/8/layout/orgChart1"/>
    <dgm:cxn modelId="{DD1D9577-AD71-4D7C-9E61-9F3A9FC52293}" type="presParOf" srcId="{79FF6EE8-69AA-4E25-9275-43A58D7C3168}" destId="{F3C857C5-23F5-42F9-89F7-14E89003EB59}" srcOrd="3" destOrd="0" presId="urn:microsoft.com/office/officeart/2005/8/layout/orgChart1"/>
    <dgm:cxn modelId="{0DA4D9E8-B827-410F-BE08-2E2F32DF472A}" type="presParOf" srcId="{F3C857C5-23F5-42F9-89F7-14E89003EB59}" destId="{2DEF33D6-6EC7-4665-93C8-3B8DB038E030}" srcOrd="0" destOrd="0" presId="urn:microsoft.com/office/officeart/2005/8/layout/orgChart1"/>
    <dgm:cxn modelId="{EFAE902F-D31D-4E80-BC2E-3EE6B1D90661}" type="presParOf" srcId="{2DEF33D6-6EC7-4665-93C8-3B8DB038E030}" destId="{2BF44B82-1446-49FC-A184-B14AC88FBB80}" srcOrd="0" destOrd="0" presId="urn:microsoft.com/office/officeart/2005/8/layout/orgChart1"/>
    <dgm:cxn modelId="{7BFE335D-D195-43F0-A8A6-F86F46050EF7}" type="presParOf" srcId="{2DEF33D6-6EC7-4665-93C8-3B8DB038E030}" destId="{F3E37241-4AE0-45F1-A3D9-703E56D85473}" srcOrd="1" destOrd="0" presId="urn:microsoft.com/office/officeart/2005/8/layout/orgChart1"/>
    <dgm:cxn modelId="{4231FDB8-E0A8-47A8-A5A9-DA29999B71D4}" type="presParOf" srcId="{F3C857C5-23F5-42F9-89F7-14E89003EB59}" destId="{D2650AAF-C8D1-4F7F-9F81-348AD09529D8}" srcOrd="1" destOrd="0" presId="urn:microsoft.com/office/officeart/2005/8/layout/orgChart1"/>
    <dgm:cxn modelId="{DB057DCD-C439-4B7F-94C1-2F4249C2FD0F}" type="presParOf" srcId="{F3C857C5-23F5-42F9-89F7-14E89003EB59}" destId="{C0A92671-5FA3-4E78-9F63-FACDFA8E933D}" srcOrd="2" destOrd="0" presId="urn:microsoft.com/office/officeart/2005/8/layout/orgChart1"/>
    <dgm:cxn modelId="{862C7AAE-A363-44D5-8C1D-BC9DB97DED12}" type="presParOf" srcId="{BEFBD2CE-B39E-4BF9-82AB-91FF1F48C655}" destId="{F55BD136-B8C4-48DF-BB2D-83C36D1239CC}" srcOrd="2" destOrd="0" presId="urn:microsoft.com/office/officeart/2005/8/layout/orgChart1"/>
    <dgm:cxn modelId="{B441B0AE-8645-42AC-8671-0327F4B1DB98}" type="presParOf" srcId="{877F2131-74C8-4841-B77F-F4D162C3FF41}" destId="{5041E2E5-9D54-4C04-BD99-2E4F3B659A7D}" srcOrd="2" destOrd="0" presId="urn:microsoft.com/office/officeart/2005/8/layout/orgChart1"/>
    <dgm:cxn modelId="{2E753FDC-2B7C-43BF-92CF-28BD28015CDA}" type="presParOf" srcId="{877F2131-74C8-4841-B77F-F4D162C3FF41}" destId="{ABB86338-438A-4823-8CCF-3B636AEE2CBB}" srcOrd="3" destOrd="0" presId="urn:microsoft.com/office/officeart/2005/8/layout/orgChart1"/>
    <dgm:cxn modelId="{27062F16-03ED-430C-9C0C-D57E3753AFDA}" type="presParOf" srcId="{ABB86338-438A-4823-8CCF-3B636AEE2CBB}" destId="{5CB206AD-18E9-4C89-AF65-1FBE5957C0AB}" srcOrd="0" destOrd="0" presId="urn:microsoft.com/office/officeart/2005/8/layout/orgChart1"/>
    <dgm:cxn modelId="{3E16EA4A-CEBC-4EC9-8F20-902B09A82EB4}" type="presParOf" srcId="{5CB206AD-18E9-4C89-AF65-1FBE5957C0AB}" destId="{E30A7789-67FF-4B0B-AF41-06C013FE10DC}" srcOrd="0" destOrd="0" presId="urn:microsoft.com/office/officeart/2005/8/layout/orgChart1"/>
    <dgm:cxn modelId="{AC8931CA-486A-47F3-97DB-AD28E73CF9B2}" type="presParOf" srcId="{5CB206AD-18E9-4C89-AF65-1FBE5957C0AB}" destId="{E24C2652-397B-4DB5-88FD-B013AB6D49D6}" srcOrd="1" destOrd="0" presId="urn:microsoft.com/office/officeart/2005/8/layout/orgChart1"/>
    <dgm:cxn modelId="{28E7F665-0F08-4443-89CD-BC65190221D6}" type="presParOf" srcId="{ABB86338-438A-4823-8CCF-3B636AEE2CBB}" destId="{99E84B87-C71A-45A7-9337-8E1D3793FB22}" srcOrd="1" destOrd="0" presId="urn:microsoft.com/office/officeart/2005/8/layout/orgChart1"/>
    <dgm:cxn modelId="{41063EEF-79A2-4335-AA76-CA57729158F3}" type="presParOf" srcId="{99E84B87-C71A-45A7-9337-8E1D3793FB22}" destId="{04F740D9-A24F-43DA-9F0F-B5881D0F5218}" srcOrd="0" destOrd="0" presId="urn:microsoft.com/office/officeart/2005/8/layout/orgChart1"/>
    <dgm:cxn modelId="{ED866B87-6CC2-4F31-BA6A-0671E9299127}" type="presParOf" srcId="{99E84B87-C71A-45A7-9337-8E1D3793FB22}" destId="{447261C8-8649-4185-8C62-58C3BFCFB01A}" srcOrd="1" destOrd="0" presId="urn:microsoft.com/office/officeart/2005/8/layout/orgChart1"/>
    <dgm:cxn modelId="{4E087A53-C4AF-4450-BB3E-944286C3D93A}" type="presParOf" srcId="{447261C8-8649-4185-8C62-58C3BFCFB01A}" destId="{9A11A0A8-E60E-41F5-AC0F-0AAE2B98E085}" srcOrd="0" destOrd="0" presId="urn:microsoft.com/office/officeart/2005/8/layout/orgChart1"/>
    <dgm:cxn modelId="{CBE9F816-FBD9-4729-ACB8-83C65549A3B9}" type="presParOf" srcId="{9A11A0A8-E60E-41F5-AC0F-0AAE2B98E085}" destId="{587017EA-A002-4A46-AFF7-F9E9B2D04F2D}" srcOrd="0" destOrd="0" presId="urn:microsoft.com/office/officeart/2005/8/layout/orgChart1"/>
    <dgm:cxn modelId="{947B155B-353E-425C-93BF-78AE093C8F37}" type="presParOf" srcId="{9A11A0A8-E60E-41F5-AC0F-0AAE2B98E085}" destId="{F9A7BD59-CE7D-424B-91D5-33249F37C3D6}" srcOrd="1" destOrd="0" presId="urn:microsoft.com/office/officeart/2005/8/layout/orgChart1"/>
    <dgm:cxn modelId="{3CD21335-1C59-491A-8435-F22184A217B1}" type="presParOf" srcId="{447261C8-8649-4185-8C62-58C3BFCFB01A}" destId="{956EAEBA-3333-4E8C-AC9C-787C0F019B92}" srcOrd="1" destOrd="0" presId="urn:microsoft.com/office/officeart/2005/8/layout/orgChart1"/>
    <dgm:cxn modelId="{56555319-3DC9-402F-B01E-C1EB9E25801C}" type="presParOf" srcId="{447261C8-8649-4185-8C62-58C3BFCFB01A}" destId="{30223B83-ECC7-40AA-A023-883393C16894}" srcOrd="2" destOrd="0" presId="urn:microsoft.com/office/officeart/2005/8/layout/orgChart1"/>
    <dgm:cxn modelId="{B5AF53CA-1C18-4423-B306-11280CB6C786}" type="presParOf" srcId="{99E84B87-C71A-45A7-9337-8E1D3793FB22}" destId="{BDE4499A-B144-4E4E-8613-02FDEAE500EA}" srcOrd="2" destOrd="0" presId="urn:microsoft.com/office/officeart/2005/8/layout/orgChart1"/>
    <dgm:cxn modelId="{D99E7654-0B54-4484-A003-A8B05F2DCF69}" type="presParOf" srcId="{99E84B87-C71A-45A7-9337-8E1D3793FB22}" destId="{0D4D9899-BA95-4F4B-9634-A522D80AC613}" srcOrd="3" destOrd="0" presId="urn:microsoft.com/office/officeart/2005/8/layout/orgChart1"/>
    <dgm:cxn modelId="{76695EE9-A15D-4D27-A332-DCD3F97225F2}" type="presParOf" srcId="{0D4D9899-BA95-4F4B-9634-A522D80AC613}" destId="{316BEE45-4CE4-44B2-A15F-DE3257AEDC94}" srcOrd="0" destOrd="0" presId="urn:microsoft.com/office/officeart/2005/8/layout/orgChart1"/>
    <dgm:cxn modelId="{1A628AEC-767E-4465-B709-E91B9285418D}" type="presParOf" srcId="{316BEE45-4CE4-44B2-A15F-DE3257AEDC94}" destId="{A63CE026-B052-4191-B313-7BABA28A9383}" srcOrd="0" destOrd="0" presId="urn:microsoft.com/office/officeart/2005/8/layout/orgChart1"/>
    <dgm:cxn modelId="{51C423C4-F091-4380-BC2A-C9D812D88CBC}" type="presParOf" srcId="{316BEE45-4CE4-44B2-A15F-DE3257AEDC94}" destId="{5BD753E9-C035-4251-B393-9D9BA50F1DC0}" srcOrd="1" destOrd="0" presId="urn:microsoft.com/office/officeart/2005/8/layout/orgChart1"/>
    <dgm:cxn modelId="{59A96A5C-553B-4756-9F3D-13F12A737C12}" type="presParOf" srcId="{0D4D9899-BA95-4F4B-9634-A522D80AC613}" destId="{24223EAC-5CC0-48AD-8D73-3D448D55F7A1}" srcOrd="1" destOrd="0" presId="urn:microsoft.com/office/officeart/2005/8/layout/orgChart1"/>
    <dgm:cxn modelId="{6AF84BAE-1715-41F9-9987-3170B22354C2}" type="presParOf" srcId="{0D4D9899-BA95-4F4B-9634-A522D80AC613}" destId="{30DEAE58-33CF-42E8-BCA1-55C758978CFE}" srcOrd="2" destOrd="0" presId="urn:microsoft.com/office/officeart/2005/8/layout/orgChart1"/>
    <dgm:cxn modelId="{F8A80BEF-4FD7-48CA-AF22-2ABF42991DCA}" type="presParOf" srcId="{ABB86338-438A-4823-8CCF-3B636AEE2CBB}" destId="{0DA52B9D-FE23-4585-8075-3C8414CC4AC2}" srcOrd="2" destOrd="0" presId="urn:microsoft.com/office/officeart/2005/8/layout/orgChart1"/>
    <dgm:cxn modelId="{E0B2A899-AA86-4705-91F9-80E4F51961AB}" type="presParOf" srcId="{6A2009B3-035A-4BC2-A116-0B98F9120DA7}" destId="{4B4E8E4F-32F1-4375-B03F-7D15672930B5}" srcOrd="2" destOrd="0" presId="urn:microsoft.com/office/officeart/2005/8/layout/orgChart1"/>
    <dgm:cxn modelId="{B7BB004C-D64E-4E2D-B9AC-BD0344334C75}" type="presParOf" srcId="{DCFFC9E1-64C3-439A-A10E-DE583B32EE09}" destId="{70C3BB26-A728-400D-BF14-4FD49758D615}" srcOrd="2" destOrd="0" presId="urn:microsoft.com/office/officeart/2005/8/layout/orgChart1"/>
    <dgm:cxn modelId="{AB9E53D0-3D42-4423-84AC-6B30FA6D43C3}" type="presParOf" srcId="{70C3BB26-A728-400D-BF14-4FD49758D615}" destId="{A8F5EE4C-FC29-4C94-A70F-BA4771ADAA57}" srcOrd="0" destOrd="0" presId="urn:microsoft.com/office/officeart/2005/8/layout/orgChart1"/>
    <dgm:cxn modelId="{E13D1CA9-D78F-427F-93FC-AF24323B63AC}" type="presParOf" srcId="{70C3BB26-A728-400D-BF14-4FD49758D615}" destId="{E1B4FE4C-14FC-4E40-B4AE-1F4443B47CCB}" srcOrd="1" destOrd="0" presId="urn:microsoft.com/office/officeart/2005/8/layout/orgChart1"/>
    <dgm:cxn modelId="{93A98864-054F-4C77-AC73-4D082CAAAA47}" type="presParOf" srcId="{E1B4FE4C-14FC-4E40-B4AE-1F4443B47CCB}" destId="{42B14A00-FB0C-428C-8582-8ED7F9A70F0B}" srcOrd="0" destOrd="0" presId="urn:microsoft.com/office/officeart/2005/8/layout/orgChart1"/>
    <dgm:cxn modelId="{C5B0E78A-B7EC-43AB-9FAE-CF0B60F34365}" type="presParOf" srcId="{42B14A00-FB0C-428C-8582-8ED7F9A70F0B}" destId="{AFD2979D-B14B-4526-A5F1-A7F6160E2177}" srcOrd="0" destOrd="0" presId="urn:microsoft.com/office/officeart/2005/8/layout/orgChart1"/>
    <dgm:cxn modelId="{567B4029-8B11-4E25-A09C-3CDDEB11AAFF}" type="presParOf" srcId="{42B14A00-FB0C-428C-8582-8ED7F9A70F0B}" destId="{011E4F9D-4DD6-4952-9871-55C53C0CB36F}" srcOrd="1" destOrd="0" presId="urn:microsoft.com/office/officeart/2005/8/layout/orgChart1"/>
    <dgm:cxn modelId="{E8BE901A-498A-4C9B-B649-161245111D7B}" type="presParOf" srcId="{E1B4FE4C-14FC-4E40-B4AE-1F4443B47CCB}" destId="{D15FD5D8-AAC9-4CDC-9A78-53E1BF6FEA8C}" srcOrd="1" destOrd="0" presId="urn:microsoft.com/office/officeart/2005/8/layout/orgChart1"/>
    <dgm:cxn modelId="{72F6DEFA-5D45-41B2-8DE3-EF672CD258EF}" type="presParOf" srcId="{E1B4FE4C-14FC-4E40-B4AE-1F4443B47CCB}" destId="{E219CE52-6BF8-49AC-AA87-2B669C70E7D7}" srcOrd="2" destOrd="0" presId="urn:microsoft.com/office/officeart/2005/8/layout/orgChart1"/>
  </dgm:cxnLst>
  <dgm:bg/>
  <dgm:whole/>
  <dgm:extLst>
    <a:ext uri="http://schemas.microsoft.com/office/drawing/2008/diagram">
      <dsp:dataModelExt xmlns:dsp="http://schemas.microsoft.com/office/drawing/2008/diagram" xmlns="" relId="rId1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CEACDA0-1081-4F13-A843-5386B50D1A71}" type="doc">
      <dgm:prSet loTypeId="urn:microsoft.com/office/officeart/2008/layout/NameandTitleOrganizationalChart" loCatId="hierarchy" qsTypeId="urn:microsoft.com/office/officeart/2005/8/quickstyle/simple1" qsCatId="simple" csTypeId="urn:microsoft.com/office/officeart/2005/8/colors/colorful5" csCatId="colorful" phldr="1"/>
      <dgm:spPr/>
      <dgm:t>
        <a:bodyPr/>
        <a:lstStyle/>
        <a:p>
          <a:endParaRPr lang="pl-PL"/>
        </a:p>
      </dgm:t>
    </dgm:pt>
    <dgm:pt modelId="{4EE803BD-657B-40EE-B859-AB0539E86CA2}">
      <dgm:prSet phldrT="[Tekst]" custT="1"/>
      <dgm:spPr>
        <a:solidFill>
          <a:srgbClr val="FFC000"/>
        </a:solidFill>
      </dgm:spPr>
      <dgm:t>
        <a:bodyPr/>
        <a:lstStyle/>
        <a:p>
          <a:r>
            <a:rPr lang="pl-PL" sz="900" b="1">
              <a:solidFill>
                <a:sysClr val="windowText" lastClr="000000"/>
              </a:solidFill>
            </a:rPr>
            <a:t>Prezydent Miasta Bytomia</a:t>
          </a:r>
        </a:p>
      </dgm:t>
    </dgm:pt>
    <dgm:pt modelId="{E7E597F9-1D45-40B0-B011-C3F90A837D91}" type="parTrans" cxnId="{BEB7C0F6-2271-436C-8B24-0B3582A24E76}">
      <dgm:prSet/>
      <dgm:spPr/>
      <dgm:t>
        <a:bodyPr/>
        <a:lstStyle/>
        <a:p>
          <a:endParaRPr lang="pl-PL" sz="700">
            <a:solidFill>
              <a:sysClr val="windowText" lastClr="000000"/>
            </a:solidFill>
          </a:endParaRPr>
        </a:p>
      </dgm:t>
    </dgm:pt>
    <dgm:pt modelId="{571542E8-BFDF-465E-87CA-252340D3B959}" type="sibTrans" cxnId="{BEB7C0F6-2271-436C-8B24-0B3582A24E76}">
      <dgm:prSet custT="1"/>
      <dgm:spPr>
        <a:ln w="12700">
          <a:solidFill>
            <a:srgbClr val="FFC000"/>
          </a:solidFill>
        </a:ln>
      </dgm:spPr>
      <dgm:t>
        <a:bodyPr/>
        <a:lstStyle/>
        <a:p>
          <a:r>
            <a:rPr lang="pl-PL" sz="800">
              <a:solidFill>
                <a:sysClr val="windowText" lastClr="000000"/>
              </a:solidFill>
            </a:rPr>
            <a:t>Właściciel rewitalizacji</a:t>
          </a:r>
        </a:p>
      </dgm:t>
    </dgm:pt>
    <dgm:pt modelId="{716BFCD5-DF0F-4175-87F4-3255CF8AD0E0}" type="asst">
      <dgm:prSet phldrT="[Tekst]" custT="1"/>
      <dgm:spPr>
        <a:solidFill>
          <a:srgbClr val="70AD47"/>
        </a:solidFill>
        <a:ln>
          <a:solidFill>
            <a:srgbClr val="70AD47"/>
          </a:solidFill>
        </a:ln>
      </dgm:spPr>
      <dgm:t>
        <a:bodyPr/>
        <a:lstStyle/>
        <a:p>
          <a:r>
            <a:rPr lang="pl-PL" sz="900" b="1">
              <a:solidFill>
                <a:sysClr val="windowText" lastClr="000000"/>
              </a:solidFill>
            </a:rPr>
            <a:t>Komitet Rewitalizacji</a:t>
          </a:r>
        </a:p>
      </dgm:t>
    </dgm:pt>
    <dgm:pt modelId="{043F7963-3760-4937-9F9F-ACFB440231DB}" type="parTrans" cxnId="{28690322-4FF3-4C96-8756-D7722B961D44}">
      <dgm:prSet/>
      <dgm:spPr>
        <a:ln w="12700">
          <a:solidFill>
            <a:srgbClr val="43BDA7"/>
          </a:solidFill>
        </a:ln>
      </dgm:spPr>
      <dgm:t>
        <a:bodyPr/>
        <a:lstStyle/>
        <a:p>
          <a:endParaRPr lang="pl-PL" sz="700">
            <a:solidFill>
              <a:sysClr val="windowText" lastClr="000000"/>
            </a:solidFill>
          </a:endParaRPr>
        </a:p>
      </dgm:t>
    </dgm:pt>
    <dgm:pt modelId="{DD2C2C9A-171B-44EB-8C67-3279735DB466}" type="sibTrans" cxnId="{28690322-4FF3-4C96-8756-D7722B961D44}">
      <dgm:prSet custT="1"/>
      <dgm:spPr>
        <a:ln w="12700">
          <a:solidFill>
            <a:srgbClr val="70AD47"/>
          </a:solidFill>
        </a:ln>
      </dgm:spPr>
      <dgm:t>
        <a:bodyPr/>
        <a:lstStyle/>
        <a:p>
          <a:r>
            <a:rPr lang="pl-PL" sz="800">
              <a:solidFill>
                <a:sysClr val="windowText" lastClr="000000"/>
              </a:solidFill>
            </a:rPr>
            <a:t>Forum współpracy i dialogu</a:t>
          </a:r>
        </a:p>
      </dgm:t>
    </dgm:pt>
    <dgm:pt modelId="{873115AA-966A-43FE-AFA2-4693EE7D7621}">
      <dgm:prSet phldrT="[Tekst]" custT="1"/>
      <dgm:spPr>
        <a:solidFill>
          <a:srgbClr val="4472C4"/>
        </a:solidFill>
      </dgm:spPr>
      <dgm:t>
        <a:bodyPr/>
        <a:lstStyle/>
        <a:p>
          <a:r>
            <a:rPr lang="pl-PL" sz="900" b="1">
              <a:solidFill>
                <a:sysClr val="windowText" lastClr="000000"/>
              </a:solidFill>
            </a:rPr>
            <a:t>I Zastępca Prezydenta Bytomia</a:t>
          </a:r>
        </a:p>
      </dgm:t>
    </dgm:pt>
    <dgm:pt modelId="{EF9AD7F8-AB75-4219-812C-2D516DDA7DD5}" type="parTrans" cxnId="{5A284170-80A7-4B1A-BF5B-CD968B95538C}">
      <dgm:prSet/>
      <dgm:spPr>
        <a:ln w="12700">
          <a:solidFill>
            <a:srgbClr val="43BDA7"/>
          </a:solidFill>
        </a:ln>
      </dgm:spPr>
      <dgm:t>
        <a:bodyPr/>
        <a:lstStyle/>
        <a:p>
          <a:endParaRPr lang="pl-PL" sz="700">
            <a:solidFill>
              <a:sysClr val="windowText" lastClr="000000"/>
            </a:solidFill>
          </a:endParaRPr>
        </a:p>
      </dgm:t>
    </dgm:pt>
    <dgm:pt modelId="{58B9B170-110C-4A68-BB46-F71AEF5274E9}" type="sibTrans" cxnId="{5A284170-80A7-4B1A-BF5B-CD968B95538C}">
      <dgm:prSet custT="1"/>
      <dgm:spPr>
        <a:ln w="12700">
          <a:solidFill>
            <a:srgbClr val="4472C4"/>
          </a:solidFill>
        </a:ln>
      </dgm:spPr>
      <dgm:t>
        <a:bodyPr/>
        <a:lstStyle/>
        <a:p>
          <a:r>
            <a:rPr lang="pl-PL" sz="800">
              <a:solidFill>
                <a:sysClr val="windowText" lastClr="000000"/>
              </a:solidFill>
            </a:rPr>
            <a:t>Koordynator programowy rewitalizacji</a:t>
          </a:r>
        </a:p>
      </dgm:t>
    </dgm:pt>
    <dgm:pt modelId="{0189E55E-EDA6-4F47-BE18-923CBF6E8DA4}">
      <dgm:prSet custT="1"/>
      <dgm:spPr>
        <a:solidFill>
          <a:srgbClr val="43BDA7"/>
        </a:solidFill>
      </dgm:spPr>
      <dgm:t>
        <a:bodyPr/>
        <a:lstStyle/>
        <a:p>
          <a:r>
            <a:rPr lang="pl-PL" sz="900" b="1">
              <a:solidFill>
                <a:sysClr val="windowText" lastClr="000000"/>
              </a:solidFill>
            </a:rPr>
            <a:t>Koordynator ds. wdrażania GPR</a:t>
          </a:r>
        </a:p>
      </dgm:t>
    </dgm:pt>
    <dgm:pt modelId="{63287CA6-19F8-416A-AD9D-3FED6650E086}" type="parTrans" cxnId="{B8DC3EE9-4625-4EE5-9A12-54CAE4C4260F}">
      <dgm:prSet/>
      <dgm:spPr>
        <a:ln w="12700">
          <a:solidFill>
            <a:srgbClr val="44A3C0"/>
          </a:solidFill>
        </a:ln>
      </dgm:spPr>
      <dgm:t>
        <a:bodyPr/>
        <a:lstStyle/>
        <a:p>
          <a:endParaRPr lang="pl-PL" sz="700">
            <a:solidFill>
              <a:sysClr val="windowText" lastClr="000000"/>
            </a:solidFill>
          </a:endParaRPr>
        </a:p>
      </dgm:t>
    </dgm:pt>
    <dgm:pt modelId="{F5CC43D8-DE2A-4949-A912-F05EB270ED6F}" type="sibTrans" cxnId="{B8DC3EE9-4625-4EE5-9A12-54CAE4C4260F}">
      <dgm:prSet custT="1"/>
      <dgm:spPr>
        <a:ln w="12700">
          <a:solidFill>
            <a:srgbClr val="43BDA7"/>
          </a:solidFill>
        </a:ln>
      </dgm:spPr>
      <dgm:t>
        <a:bodyPr/>
        <a:lstStyle/>
        <a:p>
          <a:r>
            <a:rPr lang="pl-PL" sz="800">
              <a:solidFill>
                <a:sysClr val="windowText" lastClr="000000"/>
              </a:solidFill>
            </a:rPr>
            <a:t>Koordynator operacyjny rewitalizacji odpowiedzialny za wdrożenie GPR</a:t>
          </a:r>
        </a:p>
      </dgm:t>
    </dgm:pt>
    <dgm:pt modelId="{27FBDC74-7228-490D-A002-23701754BF9D}">
      <dgm:prSet custT="1"/>
      <dgm:spPr>
        <a:solidFill>
          <a:srgbClr val="46B246"/>
        </a:solidFill>
      </dgm:spPr>
      <dgm:t>
        <a:bodyPr/>
        <a:lstStyle/>
        <a:p>
          <a:r>
            <a:rPr lang="pl-PL" sz="900" b="1">
              <a:solidFill>
                <a:sysClr val="windowText" lastClr="000000"/>
              </a:solidFill>
            </a:rPr>
            <a:t>Koordynator Projektu Pilotażowego</a:t>
          </a:r>
        </a:p>
      </dgm:t>
    </dgm:pt>
    <dgm:pt modelId="{ECCC00F0-D475-4EF7-A0F3-F8C697411F0A}" type="parTrans" cxnId="{9300E5C1-4B1C-4644-AC8C-41B011A99C8C}">
      <dgm:prSet/>
      <dgm:spPr>
        <a:ln w="12700">
          <a:solidFill>
            <a:srgbClr val="43BDA7"/>
          </a:solidFill>
        </a:ln>
      </dgm:spPr>
      <dgm:t>
        <a:bodyPr/>
        <a:lstStyle/>
        <a:p>
          <a:endParaRPr lang="pl-PL" sz="700">
            <a:solidFill>
              <a:sysClr val="windowText" lastClr="000000"/>
            </a:solidFill>
          </a:endParaRPr>
        </a:p>
      </dgm:t>
    </dgm:pt>
    <dgm:pt modelId="{907BFC3D-4FA5-4916-9444-E2BCBBF4F484}" type="sibTrans" cxnId="{9300E5C1-4B1C-4644-AC8C-41B011A99C8C}">
      <dgm:prSet custT="1"/>
      <dgm:spPr>
        <a:ln w="12700">
          <a:solidFill>
            <a:srgbClr val="46B246"/>
          </a:solidFill>
        </a:ln>
      </dgm:spPr>
      <dgm:t>
        <a:bodyPr/>
        <a:lstStyle/>
        <a:p>
          <a:r>
            <a:rPr lang="pl-PL" sz="800">
              <a:solidFill>
                <a:sysClr val="windowText" lastClr="000000"/>
              </a:solidFill>
            </a:rPr>
            <a:t>Odpowiedzialny za modelowe rozwiązania</a:t>
          </a:r>
        </a:p>
      </dgm:t>
    </dgm:pt>
    <dgm:pt modelId="{C0261714-A7B6-409E-A374-F5D2D2A2361C}">
      <dgm:prSet custT="1"/>
      <dgm:spPr>
        <a:solidFill>
          <a:srgbClr val="44B874"/>
        </a:solidFill>
      </dgm:spPr>
      <dgm:t>
        <a:bodyPr/>
        <a:lstStyle/>
        <a:p>
          <a:r>
            <a:rPr lang="pl-PL" sz="900" b="1">
              <a:solidFill>
                <a:sysClr val="windowText" lastClr="000000"/>
              </a:solidFill>
            </a:rPr>
            <a:t>Zespół ds. wdrażania projektów </a:t>
          </a:r>
          <a:br>
            <a:rPr lang="pl-PL" sz="900" b="1">
              <a:solidFill>
                <a:sysClr val="windowText" lastClr="000000"/>
              </a:solidFill>
            </a:rPr>
          </a:br>
          <a:r>
            <a:rPr lang="pl-PL" sz="900" b="1">
              <a:solidFill>
                <a:sysClr val="windowText" lastClr="000000"/>
              </a:solidFill>
            </a:rPr>
            <a:t>w ramach GPR</a:t>
          </a:r>
        </a:p>
      </dgm:t>
    </dgm:pt>
    <dgm:pt modelId="{91E0E49F-D6D2-424E-AFB6-81123C38500B}" type="parTrans" cxnId="{BC76FF8A-100D-4015-9364-44DF7BB305A5}">
      <dgm:prSet/>
      <dgm:spPr>
        <a:ln w="12700">
          <a:solidFill>
            <a:srgbClr val="44A3C0"/>
          </a:solidFill>
        </a:ln>
      </dgm:spPr>
      <dgm:t>
        <a:bodyPr/>
        <a:lstStyle/>
        <a:p>
          <a:endParaRPr lang="pl-PL" sz="700">
            <a:solidFill>
              <a:sysClr val="windowText" lastClr="000000"/>
            </a:solidFill>
          </a:endParaRPr>
        </a:p>
      </dgm:t>
    </dgm:pt>
    <dgm:pt modelId="{97F0EA43-29C1-48FD-9CEF-1B4FD8B2E658}" type="sibTrans" cxnId="{BC76FF8A-100D-4015-9364-44DF7BB305A5}">
      <dgm:prSet custT="1"/>
      <dgm:spPr>
        <a:ln w="12700">
          <a:solidFill>
            <a:srgbClr val="44B874"/>
          </a:solidFill>
        </a:ln>
      </dgm:spPr>
      <dgm:t>
        <a:bodyPr/>
        <a:lstStyle/>
        <a:p>
          <a:r>
            <a:rPr lang="pl-PL" sz="800">
              <a:solidFill>
                <a:sysClr val="windowText" lastClr="000000"/>
              </a:solidFill>
            </a:rPr>
            <a:t>Odpowiedzialny za realizację projektów</a:t>
          </a:r>
        </a:p>
      </dgm:t>
    </dgm:pt>
    <dgm:pt modelId="{5FE3FAD7-9C65-43BE-A784-BD7035DFCF6A}">
      <dgm:prSet custT="1"/>
      <dgm:spPr>
        <a:solidFill>
          <a:srgbClr val="00CC99"/>
        </a:solidFill>
      </dgm:spPr>
      <dgm:t>
        <a:bodyPr/>
        <a:lstStyle/>
        <a:p>
          <a:r>
            <a:rPr lang="pl-PL" sz="900" b="1">
              <a:solidFill>
                <a:sysClr val="windowText" lastClr="000000"/>
              </a:solidFill>
            </a:rPr>
            <a:t>Zespół ds. wdrożenia pilotażu rewitalizacji</a:t>
          </a:r>
        </a:p>
      </dgm:t>
    </dgm:pt>
    <dgm:pt modelId="{4DA13302-9F64-4F49-B69E-D77D96F4CFE3}" type="parTrans" cxnId="{F877D58C-31BF-4BC3-B21D-188C4BBF3D19}">
      <dgm:prSet/>
      <dgm:spPr>
        <a:solidFill>
          <a:schemeClr val="bg1"/>
        </a:solidFill>
        <a:ln w="12700">
          <a:solidFill>
            <a:srgbClr val="43BDA7"/>
          </a:solidFill>
        </a:ln>
      </dgm:spPr>
      <dgm:t>
        <a:bodyPr/>
        <a:lstStyle/>
        <a:p>
          <a:endParaRPr lang="pl-PL" sz="700">
            <a:ln>
              <a:solidFill>
                <a:schemeClr val="bg1"/>
              </a:solidFill>
            </a:ln>
            <a:solidFill>
              <a:schemeClr val="bg1"/>
            </a:solidFill>
          </a:endParaRPr>
        </a:p>
      </dgm:t>
    </dgm:pt>
    <dgm:pt modelId="{B74F5AB9-A8D3-4B95-B0E4-7281A1A815B2}" type="sibTrans" cxnId="{F877D58C-31BF-4BC3-B21D-188C4BBF3D19}">
      <dgm:prSet custT="1"/>
      <dgm:spPr>
        <a:ln w="12700">
          <a:solidFill>
            <a:srgbClr val="00CC99"/>
          </a:solidFill>
        </a:ln>
      </dgm:spPr>
      <dgm:t>
        <a:bodyPr/>
        <a:lstStyle/>
        <a:p>
          <a:r>
            <a:rPr lang="pl-PL" sz="800">
              <a:solidFill>
                <a:sysClr val="windowText" lastClr="000000"/>
              </a:solidFill>
            </a:rPr>
            <a:t>Odpowiedzialny za monitorowanie </a:t>
          </a:r>
          <a:br>
            <a:rPr lang="pl-PL" sz="800">
              <a:solidFill>
                <a:sysClr val="windowText" lastClr="000000"/>
              </a:solidFill>
            </a:rPr>
          </a:br>
          <a:r>
            <a:rPr lang="pl-PL" sz="800">
              <a:solidFill>
                <a:sysClr val="windowText" lastClr="000000"/>
              </a:solidFill>
            </a:rPr>
            <a:t>i wdrożenie rozwiązań modelowych</a:t>
          </a:r>
        </a:p>
      </dgm:t>
    </dgm:pt>
    <dgm:pt modelId="{D41447AC-6FD1-4BF2-8724-B3FB6DB8DD48}" type="pres">
      <dgm:prSet presAssocID="{ECEACDA0-1081-4F13-A843-5386B50D1A71}" presName="hierChild1" presStyleCnt="0">
        <dgm:presLayoutVars>
          <dgm:orgChart val="1"/>
          <dgm:chPref val="1"/>
          <dgm:dir/>
          <dgm:animOne val="branch"/>
          <dgm:animLvl val="lvl"/>
          <dgm:resizeHandles/>
        </dgm:presLayoutVars>
      </dgm:prSet>
      <dgm:spPr/>
      <dgm:t>
        <a:bodyPr/>
        <a:lstStyle/>
        <a:p>
          <a:endParaRPr lang="pl-PL"/>
        </a:p>
      </dgm:t>
    </dgm:pt>
    <dgm:pt modelId="{1BA1A8B7-0992-4EE3-A0DB-B5411FACB4FC}" type="pres">
      <dgm:prSet presAssocID="{4EE803BD-657B-40EE-B859-AB0539E86CA2}" presName="hierRoot1" presStyleCnt="0">
        <dgm:presLayoutVars>
          <dgm:hierBranch val="init"/>
        </dgm:presLayoutVars>
      </dgm:prSet>
      <dgm:spPr/>
    </dgm:pt>
    <dgm:pt modelId="{E35CD19B-6D75-42EB-9398-5996CDBF9D87}" type="pres">
      <dgm:prSet presAssocID="{4EE803BD-657B-40EE-B859-AB0539E86CA2}" presName="rootComposite1" presStyleCnt="0"/>
      <dgm:spPr/>
    </dgm:pt>
    <dgm:pt modelId="{EA7661B2-A603-4B4B-9C57-F3F8990845E4}" type="pres">
      <dgm:prSet presAssocID="{4EE803BD-657B-40EE-B859-AB0539E86CA2}" presName="rootText1" presStyleLbl="node0" presStyleIdx="0" presStyleCnt="1" custScaleX="180809" custScaleY="141593">
        <dgm:presLayoutVars>
          <dgm:chMax/>
          <dgm:chPref val="3"/>
        </dgm:presLayoutVars>
      </dgm:prSet>
      <dgm:spPr/>
      <dgm:t>
        <a:bodyPr/>
        <a:lstStyle/>
        <a:p>
          <a:endParaRPr lang="pl-PL"/>
        </a:p>
      </dgm:t>
    </dgm:pt>
    <dgm:pt modelId="{29C573A5-D0F1-4886-B8AA-E59233F0AB35}" type="pres">
      <dgm:prSet presAssocID="{4EE803BD-657B-40EE-B859-AB0539E86CA2}" presName="titleText1" presStyleLbl="fgAcc0" presStyleIdx="0" presStyleCnt="1" custScaleX="166450" custScaleY="150501" custLinFactNeighborX="-667" custLinFactNeighborY="54480">
        <dgm:presLayoutVars>
          <dgm:chMax val="0"/>
          <dgm:chPref val="0"/>
        </dgm:presLayoutVars>
      </dgm:prSet>
      <dgm:spPr/>
      <dgm:t>
        <a:bodyPr/>
        <a:lstStyle/>
        <a:p>
          <a:endParaRPr lang="pl-PL"/>
        </a:p>
      </dgm:t>
    </dgm:pt>
    <dgm:pt modelId="{93ECB568-CCCF-4176-992C-B6B799989D9E}" type="pres">
      <dgm:prSet presAssocID="{4EE803BD-657B-40EE-B859-AB0539E86CA2}" presName="rootConnector1" presStyleLbl="node1" presStyleIdx="0" presStyleCnt="5"/>
      <dgm:spPr/>
      <dgm:t>
        <a:bodyPr/>
        <a:lstStyle/>
        <a:p>
          <a:endParaRPr lang="pl-PL"/>
        </a:p>
      </dgm:t>
    </dgm:pt>
    <dgm:pt modelId="{973A7AFD-4F94-43FC-96B4-70A99C5B6CEC}" type="pres">
      <dgm:prSet presAssocID="{4EE803BD-657B-40EE-B859-AB0539E86CA2}" presName="hierChild2" presStyleCnt="0"/>
      <dgm:spPr/>
    </dgm:pt>
    <dgm:pt modelId="{5409CA6D-1D6E-400E-9B3A-B820C969F0EA}" type="pres">
      <dgm:prSet presAssocID="{EF9AD7F8-AB75-4219-812C-2D516DDA7DD5}" presName="Name37" presStyleLbl="parChTrans1D2" presStyleIdx="0" presStyleCnt="2"/>
      <dgm:spPr/>
      <dgm:t>
        <a:bodyPr/>
        <a:lstStyle/>
        <a:p>
          <a:endParaRPr lang="pl-PL"/>
        </a:p>
      </dgm:t>
    </dgm:pt>
    <dgm:pt modelId="{C6028E05-73D3-454E-BABB-15C016D957E4}" type="pres">
      <dgm:prSet presAssocID="{873115AA-966A-43FE-AFA2-4693EE7D7621}" presName="hierRoot2" presStyleCnt="0">
        <dgm:presLayoutVars>
          <dgm:hierBranch val="init"/>
        </dgm:presLayoutVars>
      </dgm:prSet>
      <dgm:spPr/>
    </dgm:pt>
    <dgm:pt modelId="{94360D9F-C545-4A32-83AB-4718187B76CD}" type="pres">
      <dgm:prSet presAssocID="{873115AA-966A-43FE-AFA2-4693EE7D7621}" presName="rootComposite" presStyleCnt="0"/>
      <dgm:spPr/>
    </dgm:pt>
    <dgm:pt modelId="{9C07F240-FE19-4AD5-920A-A72D851E04F9}" type="pres">
      <dgm:prSet presAssocID="{873115AA-966A-43FE-AFA2-4693EE7D7621}" presName="rootText" presStyleLbl="node1" presStyleIdx="0" presStyleCnt="5" custScaleX="169770" custScaleY="134118" custLinFactNeighborX="-403" custLinFactNeighborY="-18922">
        <dgm:presLayoutVars>
          <dgm:chMax/>
          <dgm:chPref val="3"/>
        </dgm:presLayoutVars>
      </dgm:prSet>
      <dgm:spPr/>
      <dgm:t>
        <a:bodyPr/>
        <a:lstStyle/>
        <a:p>
          <a:endParaRPr lang="pl-PL"/>
        </a:p>
      </dgm:t>
    </dgm:pt>
    <dgm:pt modelId="{350D7070-0E01-45C0-ADFC-C58DACE5DFF7}" type="pres">
      <dgm:prSet presAssocID="{873115AA-966A-43FE-AFA2-4693EE7D7621}" presName="titleText2" presStyleLbl="fgAcc1" presStyleIdx="0" presStyleCnt="5" custScaleX="153783" custScaleY="165691" custLinFactNeighborX="-1311" custLinFactNeighborY="-16951">
        <dgm:presLayoutVars>
          <dgm:chMax val="0"/>
          <dgm:chPref val="0"/>
        </dgm:presLayoutVars>
      </dgm:prSet>
      <dgm:spPr/>
      <dgm:t>
        <a:bodyPr/>
        <a:lstStyle/>
        <a:p>
          <a:endParaRPr lang="pl-PL"/>
        </a:p>
      </dgm:t>
    </dgm:pt>
    <dgm:pt modelId="{E8A6E29A-34BA-434F-AAAD-D67BCD06AF0F}" type="pres">
      <dgm:prSet presAssocID="{873115AA-966A-43FE-AFA2-4693EE7D7621}" presName="rootConnector" presStyleLbl="node2" presStyleIdx="0" presStyleCnt="0"/>
      <dgm:spPr/>
      <dgm:t>
        <a:bodyPr/>
        <a:lstStyle/>
        <a:p>
          <a:endParaRPr lang="pl-PL"/>
        </a:p>
      </dgm:t>
    </dgm:pt>
    <dgm:pt modelId="{A519CBDE-425C-4330-9714-389F269E6B9A}" type="pres">
      <dgm:prSet presAssocID="{873115AA-966A-43FE-AFA2-4693EE7D7621}" presName="hierChild4" presStyleCnt="0"/>
      <dgm:spPr/>
    </dgm:pt>
    <dgm:pt modelId="{63AFBA54-71DF-4E6E-9F26-05665F23FE47}" type="pres">
      <dgm:prSet presAssocID="{63287CA6-19F8-416A-AD9D-3FED6650E086}" presName="Name37" presStyleLbl="parChTrans1D3" presStyleIdx="0" presStyleCnt="2"/>
      <dgm:spPr/>
      <dgm:t>
        <a:bodyPr/>
        <a:lstStyle/>
        <a:p>
          <a:endParaRPr lang="pl-PL"/>
        </a:p>
      </dgm:t>
    </dgm:pt>
    <dgm:pt modelId="{ADF6DD69-E282-4FC2-9E9B-26F252E41D6D}" type="pres">
      <dgm:prSet presAssocID="{0189E55E-EDA6-4F47-BE18-923CBF6E8DA4}" presName="hierRoot2" presStyleCnt="0">
        <dgm:presLayoutVars>
          <dgm:hierBranch val="init"/>
        </dgm:presLayoutVars>
      </dgm:prSet>
      <dgm:spPr/>
    </dgm:pt>
    <dgm:pt modelId="{B9C88880-DA84-4645-8558-67CE6B87E387}" type="pres">
      <dgm:prSet presAssocID="{0189E55E-EDA6-4F47-BE18-923CBF6E8DA4}" presName="rootComposite" presStyleCnt="0"/>
      <dgm:spPr/>
    </dgm:pt>
    <dgm:pt modelId="{6AADFCDC-840E-434F-B199-5D2DD8437FF5}" type="pres">
      <dgm:prSet presAssocID="{0189E55E-EDA6-4F47-BE18-923CBF6E8DA4}" presName="rootText" presStyleLbl="node1" presStyleIdx="1" presStyleCnt="5" custScaleX="169770" custScaleY="134118" custLinFactNeighborY="-18037">
        <dgm:presLayoutVars>
          <dgm:chMax/>
          <dgm:chPref val="3"/>
        </dgm:presLayoutVars>
      </dgm:prSet>
      <dgm:spPr/>
      <dgm:t>
        <a:bodyPr/>
        <a:lstStyle/>
        <a:p>
          <a:endParaRPr lang="pl-PL"/>
        </a:p>
      </dgm:t>
    </dgm:pt>
    <dgm:pt modelId="{562D2AA5-E30F-4A32-AC14-AF73CFE57A72}" type="pres">
      <dgm:prSet presAssocID="{0189E55E-EDA6-4F47-BE18-923CBF6E8DA4}" presName="titleText2" presStyleLbl="fgAcc1" presStyleIdx="1" presStyleCnt="5" custScaleX="153991" custScaleY="195717" custLinFactNeighborX="-846" custLinFactNeighborY="33572">
        <dgm:presLayoutVars>
          <dgm:chMax val="0"/>
          <dgm:chPref val="0"/>
        </dgm:presLayoutVars>
      </dgm:prSet>
      <dgm:spPr/>
      <dgm:t>
        <a:bodyPr/>
        <a:lstStyle/>
        <a:p>
          <a:endParaRPr lang="pl-PL"/>
        </a:p>
      </dgm:t>
    </dgm:pt>
    <dgm:pt modelId="{8FB0336F-363B-4461-95A4-6AA5168C19BA}" type="pres">
      <dgm:prSet presAssocID="{0189E55E-EDA6-4F47-BE18-923CBF6E8DA4}" presName="rootConnector" presStyleLbl="node3" presStyleIdx="0" presStyleCnt="0"/>
      <dgm:spPr/>
      <dgm:t>
        <a:bodyPr/>
        <a:lstStyle/>
        <a:p>
          <a:endParaRPr lang="pl-PL"/>
        </a:p>
      </dgm:t>
    </dgm:pt>
    <dgm:pt modelId="{DCD5750E-02A2-4664-9B38-495CD6F562EE}" type="pres">
      <dgm:prSet presAssocID="{0189E55E-EDA6-4F47-BE18-923CBF6E8DA4}" presName="hierChild4" presStyleCnt="0"/>
      <dgm:spPr/>
    </dgm:pt>
    <dgm:pt modelId="{BE93464B-6A9C-4EFB-B3D9-FABD69C92699}" type="pres">
      <dgm:prSet presAssocID="{91E0E49F-D6D2-424E-AFB6-81123C38500B}" presName="Name37" presStyleLbl="parChTrans1D4" presStyleIdx="0" presStyleCnt="2"/>
      <dgm:spPr/>
      <dgm:t>
        <a:bodyPr/>
        <a:lstStyle/>
        <a:p>
          <a:endParaRPr lang="pl-PL"/>
        </a:p>
      </dgm:t>
    </dgm:pt>
    <dgm:pt modelId="{45FB2C60-E80C-4AEC-9EF1-B951F8E151F9}" type="pres">
      <dgm:prSet presAssocID="{C0261714-A7B6-409E-A374-F5D2D2A2361C}" presName="hierRoot2" presStyleCnt="0">
        <dgm:presLayoutVars>
          <dgm:hierBranch val="init"/>
        </dgm:presLayoutVars>
      </dgm:prSet>
      <dgm:spPr/>
    </dgm:pt>
    <dgm:pt modelId="{83D0CA81-D168-457C-BE97-1E62ECB6F124}" type="pres">
      <dgm:prSet presAssocID="{C0261714-A7B6-409E-A374-F5D2D2A2361C}" presName="rootComposite" presStyleCnt="0"/>
      <dgm:spPr/>
    </dgm:pt>
    <dgm:pt modelId="{3BF15FD4-723C-4F3C-BD80-8A3964950EF4}" type="pres">
      <dgm:prSet presAssocID="{C0261714-A7B6-409E-A374-F5D2D2A2361C}" presName="rootText" presStyleLbl="node1" presStyleIdx="2" presStyleCnt="5" custScaleX="169770" custScaleY="134118" custLinFactNeighborY="-7756">
        <dgm:presLayoutVars>
          <dgm:chMax/>
          <dgm:chPref val="3"/>
        </dgm:presLayoutVars>
      </dgm:prSet>
      <dgm:spPr/>
      <dgm:t>
        <a:bodyPr/>
        <a:lstStyle/>
        <a:p>
          <a:endParaRPr lang="pl-PL"/>
        </a:p>
      </dgm:t>
    </dgm:pt>
    <dgm:pt modelId="{E108ADA0-A925-4E6F-88E3-4B73F2075369}" type="pres">
      <dgm:prSet presAssocID="{C0261714-A7B6-409E-A374-F5D2D2A2361C}" presName="titleText2" presStyleLbl="fgAcc1" presStyleIdx="2" presStyleCnt="5" custScaleX="154402" custScaleY="184492" custLinFactNeighborX="-893" custLinFactNeighborY="-15438">
        <dgm:presLayoutVars>
          <dgm:chMax val="0"/>
          <dgm:chPref val="0"/>
        </dgm:presLayoutVars>
      </dgm:prSet>
      <dgm:spPr/>
      <dgm:t>
        <a:bodyPr/>
        <a:lstStyle/>
        <a:p>
          <a:endParaRPr lang="pl-PL"/>
        </a:p>
      </dgm:t>
    </dgm:pt>
    <dgm:pt modelId="{8CC852E3-6BC1-40AB-A452-41935F3220FD}" type="pres">
      <dgm:prSet presAssocID="{C0261714-A7B6-409E-A374-F5D2D2A2361C}" presName="rootConnector" presStyleLbl="node4" presStyleIdx="0" presStyleCnt="0"/>
      <dgm:spPr/>
      <dgm:t>
        <a:bodyPr/>
        <a:lstStyle/>
        <a:p>
          <a:endParaRPr lang="pl-PL"/>
        </a:p>
      </dgm:t>
    </dgm:pt>
    <dgm:pt modelId="{6025A547-AB95-42C3-8DD2-1217CF4F2BC0}" type="pres">
      <dgm:prSet presAssocID="{C0261714-A7B6-409E-A374-F5D2D2A2361C}" presName="hierChild4" presStyleCnt="0"/>
      <dgm:spPr/>
    </dgm:pt>
    <dgm:pt modelId="{83708490-9656-477F-BFE9-BC85E948E436}" type="pres">
      <dgm:prSet presAssocID="{C0261714-A7B6-409E-A374-F5D2D2A2361C}" presName="hierChild5" presStyleCnt="0"/>
      <dgm:spPr/>
    </dgm:pt>
    <dgm:pt modelId="{5C83A0B8-2A51-4D82-9A95-91D6572807A5}" type="pres">
      <dgm:prSet presAssocID="{0189E55E-EDA6-4F47-BE18-923CBF6E8DA4}" presName="hierChild5" presStyleCnt="0"/>
      <dgm:spPr/>
    </dgm:pt>
    <dgm:pt modelId="{E1C76DA4-B6A3-4D91-AA3D-F5A101604128}" type="pres">
      <dgm:prSet presAssocID="{ECCC00F0-D475-4EF7-A0F3-F8C697411F0A}" presName="Name37" presStyleLbl="parChTrans1D3" presStyleIdx="1" presStyleCnt="2"/>
      <dgm:spPr/>
      <dgm:t>
        <a:bodyPr/>
        <a:lstStyle/>
        <a:p>
          <a:endParaRPr lang="pl-PL"/>
        </a:p>
      </dgm:t>
    </dgm:pt>
    <dgm:pt modelId="{8646563A-CBC8-4A84-80C1-180CF982476C}" type="pres">
      <dgm:prSet presAssocID="{27FBDC74-7228-490D-A002-23701754BF9D}" presName="hierRoot2" presStyleCnt="0">
        <dgm:presLayoutVars>
          <dgm:hierBranch val="init"/>
        </dgm:presLayoutVars>
      </dgm:prSet>
      <dgm:spPr/>
    </dgm:pt>
    <dgm:pt modelId="{EE614FE0-6BE0-43A3-8F96-B83B38CCFABD}" type="pres">
      <dgm:prSet presAssocID="{27FBDC74-7228-490D-A002-23701754BF9D}" presName="rootComposite" presStyleCnt="0"/>
      <dgm:spPr/>
    </dgm:pt>
    <dgm:pt modelId="{0DEF4414-EDD8-4220-8CBF-FA8127744E0A}" type="pres">
      <dgm:prSet presAssocID="{27FBDC74-7228-490D-A002-23701754BF9D}" presName="rootText" presStyleLbl="node1" presStyleIdx="3" presStyleCnt="5" custScaleX="169770" custScaleY="134118" custLinFactNeighborY="-18037">
        <dgm:presLayoutVars>
          <dgm:chMax/>
          <dgm:chPref val="3"/>
        </dgm:presLayoutVars>
      </dgm:prSet>
      <dgm:spPr/>
      <dgm:t>
        <a:bodyPr/>
        <a:lstStyle/>
        <a:p>
          <a:endParaRPr lang="pl-PL"/>
        </a:p>
      </dgm:t>
    </dgm:pt>
    <dgm:pt modelId="{7D9A468A-CE72-48B4-BFB8-F4D67B59B273}" type="pres">
      <dgm:prSet presAssocID="{27FBDC74-7228-490D-A002-23701754BF9D}" presName="titleText2" presStyleLbl="fgAcc1" presStyleIdx="3" presStyleCnt="5" custScaleX="152412" custScaleY="190546" custLinFactNeighborX="42" custLinFactNeighborY="25079">
        <dgm:presLayoutVars>
          <dgm:chMax val="0"/>
          <dgm:chPref val="0"/>
        </dgm:presLayoutVars>
      </dgm:prSet>
      <dgm:spPr/>
      <dgm:t>
        <a:bodyPr/>
        <a:lstStyle/>
        <a:p>
          <a:endParaRPr lang="pl-PL"/>
        </a:p>
      </dgm:t>
    </dgm:pt>
    <dgm:pt modelId="{DAD6D2AB-EEA4-478F-9112-F9EA28223B4C}" type="pres">
      <dgm:prSet presAssocID="{27FBDC74-7228-490D-A002-23701754BF9D}" presName="rootConnector" presStyleLbl="node3" presStyleIdx="0" presStyleCnt="0"/>
      <dgm:spPr/>
      <dgm:t>
        <a:bodyPr/>
        <a:lstStyle/>
        <a:p>
          <a:endParaRPr lang="pl-PL"/>
        </a:p>
      </dgm:t>
    </dgm:pt>
    <dgm:pt modelId="{14965C7B-788D-4C14-A229-BC1DFFAF517E}" type="pres">
      <dgm:prSet presAssocID="{27FBDC74-7228-490D-A002-23701754BF9D}" presName="hierChild4" presStyleCnt="0"/>
      <dgm:spPr/>
    </dgm:pt>
    <dgm:pt modelId="{66427A17-5997-475F-836D-22E73EE7EA6E}" type="pres">
      <dgm:prSet presAssocID="{4DA13302-9F64-4F49-B69E-D77D96F4CFE3}" presName="Name37" presStyleLbl="parChTrans1D4" presStyleIdx="1" presStyleCnt="2"/>
      <dgm:spPr/>
      <dgm:t>
        <a:bodyPr/>
        <a:lstStyle/>
        <a:p>
          <a:endParaRPr lang="pl-PL"/>
        </a:p>
      </dgm:t>
    </dgm:pt>
    <dgm:pt modelId="{6998FCA7-BB55-4FDC-A703-EE32E5E388D5}" type="pres">
      <dgm:prSet presAssocID="{5FE3FAD7-9C65-43BE-A784-BD7035DFCF6A}" presName="hierRoot2" presStyleCnt="0">
        <dgm:presLayoutVars>
          <dgm:hierBranch val="init"/>
        </dgm:presLayoutVars>
      </dgm:prSet>
      <dgm:spPr/>
    </dgm:pt>
    <dgm:pt modelId="{89E118F0-69D1-4BD6-8776-AD6173CD2941}" type="pres">
      <dgm:prSet presAssocID="{5FE3FAD7-9C65-43BE-A784-BD7035DFCF6A}" presName="rootComposite" presStyleCnt="0"/>
      <dgm:spPr/>
    </dgm:pt>
    <dgm:pt modelId="{5F966679-B347-406B-A6D8-B4F9EAE3492F}" type="pres">
      <dgm:prSet presAssocID="{5FE3FAD7-9C65-43BE-A784-BD7035DFCF6A}" presName="rootText" presStyleLbl="node1" presStyleIdx="4" presStyleCnt="5" custScaleX="163098" custScaleY="130968" custLinFactNeighborX="2" custLinFactNeighborY="-5466">
        <dgm:presLayoutVars>
          <dgm:chMax/>
          <dgm:chPref val="3"/>
        </dgm:presLayoutVars>
      </dgm:prSet>
      <dgm:spPr/>
      <dgm:t>
        <a:bodyPr/>
        <a:lstStyle/>
        <a:p>
          <a:endParaRPr lang="pl-PL"/>
        </a:p>
      </dgm:t>
    </dgm:pt>
    <dgm:pt modelId="{34E7BF4F-39AE-41EE-A270-CF54A557934B}" type="pres">
      <dgm:prSet presAssocID="{5FE3FAD7-9C65-43BE-A784-BD7035DFCF6A}" presName="titleText2" presStyleLbl="fgAcc1" presStyleIdx="4" presStyleCnt="5" custScaleX="147974" custScaleY="187036" custLinFactNeighborX="-1291" custLinFactNeighborY="-11002">
        <dgm:presLayoutVars>
          <dgm:chMax val="0"/>
          <dgm:chPref val="0"/>
        </dgm:presLayoutVars>
      </dgm:prSet>
      <dgm:spPr/>
      <dgm:t>
        <a:bodyPr/>
        <a:lstStyle/>
        <a:p>
          <a:endParaRPr lang="pl-PL"/>
        </a:p>
      </dgm:t>
    </dgm:pt>
    <dgm:pt modelId="{6BEF4024-CD2A-4B35-A4AA-EA42B97AC562}" type="pres">
      <dgm:prSet presAssocID="{5FE3FAD7-9C65-43BE-A784-BD7035DFCF6A}" presName="rootConnector" presStyleLbl="node4" presStyleIdx="0" presStyleCnt="0"/>
      <dgm:spPr/>
      <dgm:t>
        <a:bodyPr/>
        <a:lstStyle/>
        <a:p>
          <a:endParaRPr lang="pl-PL"/>
        </a:p>
      </dgm:t>
    </dgm:pt>
    <dgm:pt modelId="{F4D0EF9C-DF9C-46B3-80D2-34F4FE8A5727}" type="pres">
      <dgm:prSet presAssocID="{5FE3FAD7-9C65-43BE-A784-BD7035DFCF6A}" presName="hierChild4" presStyleCnt="0"/>
      <dgm:spPr/>
    </dgm:pt>
    <dgm:pt modelId="{DC78B1D4-4568-487B-AFC2-A2A917E636E5}" type="pres">
      <dgm:prSet presAssocID="{5FE3FAD7-9C65-43BE-A784-BD7035DFCF6A}" presName="hierChild5" presStyleCnt="0"/>
      <dgm:spPr/>
    </dgm:pt>
    <dgm:pt modelId="{C693AACD-926F-4145-9F6C-7D5FB8627CE5}" type="pres">
      <dgm:prSet presAssocID="{27FBDC74-7228-490D-A002-23701754BF9D}" presName="hierChild5" presStyleCnt="0"/>
      <dgm:spPr/>
    </dgm:pt>
    <dgm:pt modelId="{17F2F267-A9EC-4780-9407-9733B7B8D128}" type="pres">
      <dgm:prSet presAssocID="{873115AA-966A-43FE-AFA2-4693EE7D7621}" presName="hierChild5" presStyleCnt="0"/>
      <dgm:spPr/>
    </dgm:pt>
    <dgm:pt modelId="{F322C0EB-83FC-4519-8E90-88224A663D8E}" type="pres">
      <dgm:prSet presAssocID="{4EE803BD-657B-40EE-B859-AB0539E86CA2}" presName="hierChild3" presStyleCnt="0"/>
      <dgm:spPr/>
    </dgm:pt>
    <dgm:pt modelId="{6A5BC359-ECBC-4499-BE8E-96BA32A334ED}" type="pres">
      <dgm:prSet presAssocID="{043F7963-3760-4937-9F9F-ACFB440231DB}" presName="Name96" presStyleLbl="parChTrans1D2" presStyleIdx="1" presStyleCnt="2"/>
      <dgm:spPr/>
      <dgm:t>
        <a:bodyPr/>
        <a:lstStyle/>
        <a:p>
          <a:endParaRPr lang="pl-PL"/>
        </a:p>
      </dgm:t>
    </dgm:pt>
    <dgm:pt modelId="{27A4DD39-2625-4C10-BC4A-098BC682F6CE}" type="pres">
      <dgm:prSet presAssocID="{716BFCD5-DF0F-4175-87F4-3255CF8AD0E0}" presName="hierRoot3" presStyleCnt="0">
        <dgm:presLayoutVars>
          <dgm:hierBranch val="init"/>
        </dgm:presLayoutVars>
      </dgm:prSet>
      <dgm:spPr/>
    </dgm:pt>
    <dgm:pt modelId="{03CAFDEC-0C07-46E9-AE00-F65DCAE4AC8F}" type="pres">
      <dgm:prSet presAssocID="{716BFCD5-DF0F-4175-87F4-3255CF8AD0E0}" presName="rootComposite3" presStyleCnt="0"/>
      <dgm:spPr/>
    </dgm:pt>
    <dgm:pt modelId="{5FE9D399-C42A-47E7-B2A6-B081B2DA51F3}" type="pres">
      <dgm:prSet presAssocID="{716BFCD5-DF0F-4175-87F4-3255CF8AD0E0}" presName="rootText3" presStyleLbl="asst1" presStyleIdx="0" presStyleCnt="1" custScaleX="145510" custScaleY="113154" custLinFactNeighborY="-6764">
        <dgm:presLayoutVars>
          <dgm:chPref val="3"/>
        </dgm:presLayoutVars>
      </dgm:prSet>
      <dgm:spPr/>
      <dgm:t>
        <a:bodyPr/>
        <a:lstStyle/>
        <a:p>
          <a:endParaRPr lang="pl-PL"/>
        </a:p>
      </dgm:t>
    </dgm:pt>
    <dgm:pt modelId="{80DE0A36-9F1A-4D45-994E-0DF1DE7C4436}" type="pres">
      <dgm:prSet presAssocID="{716BFCD5-DF0F-4175-87F4-3255CF8AD0E0}" presName="titleText3" presStyleLbl="fgAcc2" presStyleIdx="0" presStyleCnt="1" custScaleX="132253" custScaleY="153171" custLinFactNeighborX="-668" custLinFactNeighborY="24390">
        <dgm:presLayoutVars>
          <dgm:chMax val="0"/>
          <dgm:chPref val="0"/>
        </dgm:presLayoutVars>
      </dgm:prSet>
      <dgm:spPr/>
      <dgm:t>
        <a:bodyPr/>
        <a:lstStyle/>
        <a:p>
          <a:endParaRPr lang="pl-PL"/>
        </a:p>
      </dgm:t>
    </dgm:pt>
    <dgm:pt modelId="{136B620D-9159-4AB6-8AAE-438D6D89129A}" type="pres">
      <dgm:prSet presAssocID="{716BFCD5-DF0F-4175-87F4-3255CF8AD0E0}" presName="rootConnector3" presStyleLbl="asst1" presStyleIdx="0" presStyleCnt="1"/>
      <dgm:spPr/>
      <dgm:t>
        <a:bodyPr/>
        <a:lstStyle/>
        <a:p>
          <a:endParaRPr lang="pl-PL"/>
        </a:p>
      </dgm:t>
    </dgm:pt>
    <dgm:pt modelId="{87D4B457-2E4A-4823-9074-F3BC29ADD91A}" type="pres">
      <dgm:prSet presAssocID="{716BFCD5-DF0F-4175-87F4-3255CF8AD0E0}" presName="hierChild6" presStyleCnt="0"/>
      <dgm:spPr/>
    </dgm:pt>
    <dgm:pt modelId="{21FB88A4-A68D-467F-B97F-04EB7F23E6DB}" type="pres">
      <dgm:prSet presAssocID="{716BFCD5-DF0F-4175-87F4-3255CF8AD0E0}" presName="hierChild7" presStyleCnt="0"/>
      <dgm:spPr/>
    </dgm:pt>
  </dgm:ptLst>
  <dgm:cxnLst>
    <dgm:cxn modelId="{DDC2C419-F2DA-4EC3-BEF4-A9D43FB9556A}" type="presOf" srcId="{ECCC00F0-D475-4EF7-A0F3-F8C697411F0A}" destId="{E1C76DA4-B6A3-4D91-AA3D-F5A101604128}" srcOrd="0" destOrd="0" presId="urn:microsoft.com/office/officeart/2008/layout/NameandTitleOrganizationalChart"/>
    <dgm:cxn modelId="{28690322-4FF3-4C96-8756-D7722B961D44}" srcId="{4EE803BD-657B-40EE-B859-AB0539E86CA2}" destId="{716BFCD5-DF0F-4175-87F4-3255CF8AD0E0}" srcOrd="0" destOrd="0" parTransId="{043F7963-3760-4937-9F9F-ACFB440231DB}" sibTransId="{DD2C2C9A-171B-44EB-8C67-3279735DB466}"/>
    <dgm:cxn modelId="{95E441ED-E821-4399-ADBF-3133F03FA36A}" type="presOf" srcId="{4EE803BD-657B-40EE-B859-AB0539E86CA2}" destId="{EA7661B2-A603-4B4B-9C57-F3F8990845E4}" srcOrd="0" destOrd="0" presId="urn:microsoft.com/office/officeart/2008/layout/NameandTitleOrganizationalChart"/>
    <dgm:cxn modelId="{119959E4-C153-4DF2-A921-281101DF61D1}" type="presOf" srcId="{58B9B170-110C-4A68-BB46-F71AEF5274E9}" destId="{350D7070-0E01-45C0-ADFC-C58DACE5DFF7}" srcOrd="0" destOrd="0" presId="urn:microsoft.com/office/officeart/2008/layout/NameandTitleOrganizationalChart"/>
    <dgm:cxn modelId="{9300E5C1-4B1C-4644-AC8C-41B011A99C8C}" srcId="{873115AA-966A-43FE-AFA2-4693EE7D7621}" destId="{27FBDC74-7228-490D-A002-23701754BF9D}" srcOrd="1" destOrd="0" parTransId="{ECCC00F0-D475-4EF7-A0F3-F8C697411F0A}" sibTransId="{907BFC3D-4FA5-4916-9444-E2BCBBF4F484}"/>
    <dgm:cxn modelId="{B8DC3EE9-4625-4EE5-9A12-54CAE4C4260F}" srcId="{873115AA-966A-43FE-AFA2-4693EE7D7621}" destId="{0189E55E-EDA6-4F47-BE18-923CBF6E8DA4}" srcOrd="0" destOrd="0" parTransId="{63287CA6-19F8-416A-AD9D-3FED6650E086}" sibTransId="{F5CC43D8-DE2A-4949-A912-F05EB270ED6F}"/>
    <dgm:cxn modelId="{1CCD90C7-CE89-4BB2-AB59-FA1FDA7CE873}" type="presOf" srcId="{0189E55E-EDA6-4F47-BE18-923CBF6E8DA4}" destId="{8FB0336F-363B-4461-95A4-6AA5168C19BA}" srcOrd="1" destOrd="0" presId="urn:microsoft.com/office/officeart/2008/layout/NameandTitleOrganizationalChart"/>
    <dgm:cxn modelId="{D41F8FB6-FB2B-4FA4-A515-867ABFAF3234}" type="presOf" srcId="{5FE3FAD7-9C65-43BE-A784-BD7035DFCF6A}" destId="{5F966679-B347-406B-A6D8-B4F9EAE3492F}" srcOrd="0" destOrd="0" presId="urn:microsoft.com/office/officeart/2008/layout/NameandTitleOrganizationalChart"/>
    <dgm:cxn modelId="{D808358B-C6C4-4E1A-B781-BBEDE364E52B}" type="presOf" srcId="{4DA13302-9F64-4F49-B69E-D77D96F4CFE3}" destId="{66427A17-5997-475F-836D-22E73EE7EA6E}" srcOrd="0" destOrd="0" presId="urn:microsoft.com/office/officeart/2008/layout/NameandTitleOrganizationalChart"/>
    <dgm:cxn modelId="{F279432F-1F7C-442C-A092-8C769C5134AB}" type="presOf" srcId="{716BFCD5-DF0F-4175-87F4-3255CF8AD0E0}" destId="{5FE9D399-C42A-47E7-B2A6-B081B2DA51F3}" srcOrd="0" destOrd="0" presId="urn:microsoft.com/office/officeart/2008/layout/NameandTitleOrganizationalChart"/>
    <dgm:cxn modelId="{E2C45E97-F3CF-49D5-91D7-425A648F506D}" type="presOf" srcId="{F5CC43D8-DE2A-4949-A912-F05EB270ED6F}" destId="{562D2AA5-E30F-4A32-AC14-AF73CFE57A72}" srcOrd="0" destOrd="0" presId="urn:microsoft.com/office/officeart/2008/layout/NameandTitleOrganizationalChart"/>
    <dgm:cxn modelId="{80EB0775-01C9-4DAF-B1C5-C0E8B5617F4C}" type="presOf" srcId="{C0261714-A7B6-409E-A374-F5D2D2A2361C}" destId="{8CC852E3-6BC1-40AB-A452-41935F3220FD}" srcOrd="1" destOrd="0" presId="urn:microsoft.com/office/officeart/2008/layout/NameandTitleOrganizationalChart"/>
    <dgm:cxn modelId="{83683C81-35B6-4825-9F95-F6C23EBE3CBE}" type="presOf" srcId="{97F0EA43-29C1-48FD-9CEF-1B4FD8B2E658}" destId="{E108ADA0-A925-4E6F-88E3-4B73F2075369}" srcOrd="0" destOrd="0" presId="urn:microsoft.com/office/officeart/2008/layout/NameandTitleOrganizationalChart"/>
    <dgm:cxn modelId="{CAC3BE92-638B-4C4B-A6FB-989C891CD2A9}" type="presOf" srcId="{27FBDC74-7228-490D-A002-23701754BF9D}" destId="{DAD6D2AB-EEA4-478F-9112-F9EA28223B4C}" srcOrd="1" destOrd="0" presId="urn:microsoft.com/office/officeart/2008/layout/NameandTitleOrganizationalChart"/>
    <dgm:cxn modelId="{9225EAE5-BC0E-44DE-B279-D0D1ED463A71}" type="presOf" srcId="{5FE3FAD7-9C65-43BE-A784-BD7035DFCF6A}" destId="{6BEF4024-CD2A-4B35-A4AA-EA42B97AC562}" srcOrd="1" destOrd="0" presId="urn:microsoft.com/office/officeart/2008/layout/NameandTitleOrganizationalChart"/>
    <dgm:cxn modelId="{F947876E-8628-4C39-952D-9856584D7D83}" type="presOf" srcId="{C0261714-A7B6-409E-A374-F5D2D2A2361C}" destId="{3BF15FD4-723C-4F3C-BD80-8A3964950EF4}" srcOrd="0" destOrd="0" presId="urn:microsoft.com/office/officeart/2008/layout/NameandTitleOrganizationalChart"/>
    <dgm:cxn modelId="{CA445E44-1968-4E65-BD27-7D6E055CF488}" type="presOf" srcId="{571542E8-BFDF-465E-87CA-252340D3B959}" destId="{29C573A5-D0F1-4886-B8AA-E59233F0AB35}" srcOrd="0" destOrd="0" presId="urn:microsoft.com/office/officeart/2008/layout/NameandTitleOrganizationalChart"/>
    <dgm:cxn modelId="{80E59908-C6B2-4413-B6D9-C96259A3AE63}" type="presOf" srcId="{ECEACDA0-1081-4F13-A843-5386B50D1A71}" destId="{D41447AC-6FD1-4BF2-8724-B3FB6DB8DD48}" srcOrd="0" destOrd="0" presId="urn:microsoft.com/office/officeart/2008/layout/NameandTitleOrganizationalChart"/>
    <dgm:cxn modelId="{C067519A-AB76-4AA1-B549-C02522AC0684}" type="presOf" srcId="{91E0E49F-D6D2-424E-AFB6-81123C38500B}" destId="{BE93464B-6A9C-4EFB-B3D9-FABD69C92699}" srcOrd="0" destOrd="0" presId="urn:microsoft.com/office/officeart/2008/layout/NameandTitleOrganizationalChart"/>
    <dgm:cxn modelId="{CA03385C-65D9-45B7-B67F-701944B8602D}" type="presOf" srcId="{873115AA-966A-43FE-AFA2-4693EE7D7621}" destId="{9C07F240-FE19-4AD5-920A-A72D851E04F9}" srcOrd="0" destOrd="0" presId="urn:microsoft.com/office/officeart/2008/layout/NameandTitleOrganizationalChart"/>
    <dgm:cxn modelId="{E750E351-141E-4E14-B0C7-304FD94113C0}" type="presOf" srcId="{4EE803BD-657B-40EE-B859-AB0539E86CA2}" destId="{93ECB568-CCCF-4176-992C-B6B799989D9E}" srcOrd="1" destOrd="0" presId="urn:microsoft.com/office/officeart/2008/layout/NameandTitleOrganizationalChart"/>
    <dgm:cxn modelId="{FF78DF42-AC5A-4B56-A347-DD8917C3AD81}" type="presOf" srcId="{DD2C2C9A-171B-44EB-8C67-3279735DB466}" destId="{80DE0A36-9F1A-4D45-994E-0DF1DE7C4436}" srcOrd="0" destOrd="0" presId="urn:microsoft.com/office/officeart/2008/layout/NameandTitleOrganizationalChart"/>
    <dgm:cxn modelId="{BC76FF8A-100D-4015-9364-44DF7BB305A5}" srcId="{0189E55E-EDA6-4F47-BE18-923CBF6E8DA4}" destId="{C0261714-A7B6-409E-A374-F5D2D2A2361C}" srcOrd="0" destOrd="0" parTransId="{91E0E49F-D6D2-424E-AFB6-81123C38500B}" sibTransId="{97F0EA43-29C1-48FD-9CEF-1B4FD8B2E658}"/>
    <dgm:cxn modelId="{73734011-E474-4ADD-84FA-12597919F934}" type="presOf" srcId="{EF9AD7F8-AB75-4219-812C-2D516DDA7DD5}" destId="{5409CA6D-1D6E-400E-9B3A-B820C969F0EA}" srcOrd="0" destOrd="0" presId="urn:microsoft.com/office/officeart/2008/layout/NameandTitleOrganizationalChart"/>
    <dgm:cxn modelId="{DB50E0FE-8A72-4DD6-8253-7D05474BBFDA}" type="presOf" srcId="{873115AA-966A-43FE-AFA2-4693EE7D7621}" destId="{E8A6E29A-34BA-434F-AAAD-D67BCD06AF0F}" srcOrd="1" destOrd="0" presId="urn:microsoft.com/office/officeart/2008/layout/NameandTitleOrganizationalChart"/>
    <dgm:cxn modelId="{B0B2AA38-F87D-425E-B78B-5A222492A979}" type="presOf" srcId="{716BFCD5-DF0F-4175-87F4-3255CF8AD0E0}" destId="{136B620D-9159-4AB6-8AAE-438D6D89129A}" srcOrd="1" destOrd="0" presId="urn:microsoft.com/office/officeart/2008/layout/NameandTitleOrganizationalChart"/>
    <dgm:cxn modelId="{C5022265-02F4-429F-92D8-A3910D36A83D}" type="presOf" srcId="{B74F5AB9-A8D3-4B95-B0E4-7281A1A815B2}" destId="{34E7BF4F-39AE-41EE-A270-CF54A557934B}" srcOrd="0" destOrd="0" presId="urn:microsoft.com/office/officeart/2008/layout/NameandTitleOrganizationalChart"/>
    <dgm:cxn modelId="{29B5F5F5-23AB-4D57-AA43-3B88EEFC5F54}" type="presOf" srcId="{27FBDC74-7228-490D-A002-23701754BF9D}" destId="{0DEF4414-EDD8-4220-8CBF-FA8127744E0A}" srcOrd="0" destOrd="0" presId="urn:microsoft.com/office/officeart/2008/layout/NameandTitleOrganizationalChart"/>
    <dgm:cxn modelId="{B5EE1FC1-B395-4B24-BEA9-79777F819D76}" type="presOf" srcId="{043F7963-3760-4937-9F9F-ACFB440231DB}" destId="{6A5BC359-ECBC-4499-BE8E-96BA32A334ED}" srcOrd="0" destOrd="0" presId="urn:microsoft.com/office/officeart/2008/layout/NameandTitleOrganizationalChart"/>
    <dgm:cxn modelId="{5A284170-80A7-4B1A-BF5B-CD968B95538C}" srcId="{4EE803BD-657B-40EE-B859-AB0539E86CA2}" destId="{873115AA-966A-43FE-AFA2-4693EE7D7621}" srcOrd="1" destOrd="0" parTransId="{EF9AD7F8-AB75-4219-812C-2D516DDA7DD5}" sibTransId="{58B9B170-110C-4A68-BB46-F71AEF5274E9}"/>
    <dgm:cxn modelId="{BEB7C0F6-2271-436C-8B24-0B3582A24E76}" srcId="{ECEACDA0-1081-4F13-A843-5386B50D1A71}" destId="{4EE803BD-657B-40EE-B859-AB0539E86CA2}" srcOrd="0" destOrd="0" parTransId="{E7E597F9-1D45-40B0-B011-C3F90A837D91}" sibTransId="{571542E8-BFDF-465E-87CA-252340D3B959}"/>
    <dgm:cxn modelId="{9B68688D-3BE1-4F6E-BB28-127A30C6E142}" type="presOf" srcId="{907BFC3D-4FA5-4916-9444-E2BCBBF4F484}" destId="{7D9A468A-CE72-48B4-BFB8-F4D67B59B273}" srcOrd="0" destOrd="0" presId="urn:microsoft.com/office/officeart/2008/layout/NameandTitleOrganizationalChart"/>
    <dgm:cxn modelId="{57F543ED-CCF1-4878-B131-BB4D1AB4C04E}" type="presOf" srcId="{0189E55E-EDA6-4F47-BE18-923CBF6E8DA4}" destId="{6AADFCDC-840E-434F-B199-5D2DD8437FF5}" srcOrd="0" destOrd="0" presId="urn:microsoft.com/office/officeart/2008/layout/NameandTitleOrganizationalChart"/>
    <dgm:cxn modelId="{F877D58C-31BF-4BC3-B21D-188C4BBF3D19}" srcId="{27FBDC74-7228-490D-A002-23701754BF9D}" destId="{5FE3FAD7-9C65-43BE-A784-BD7035DFCF6A}" srcOrd="0" destOrd="0" parTransId="{4DA13302-9F64-4F49-B69E-D77D96F4CFE3}" sibTransId="{B74F5AB9-A8D3-4B95-B0E4-7281A1A815B2}"/>
    <dgm:cxn modelId="{1F0A0C09-C50F-4C8F-BF21-CEFC5F717A8E}" type="presOf" srcId="{63287CA6-19F8-416A-AD9D-3FED6650E086}" destId="{63AFBA54-71DF-4E6E-9F26-05665F23FE47}" srcOrd="0" destOrd="0" presId="urn:microsoft.com/office/officeart/2008/layout/NameandTitleOrganizationalChart"/>
    <dgm:cxn modelId="{B6FDD7A8-9832-4637-8164-04FD88ADBCCE}" type="presParOf" srcId="{D41447AC-6FD1-4BF2-8724-B3FB6DB8DD48}" destId="{1BA1A8B7-0992-4EE3-A0DB-B5411FACB4FC}" srcOrd="0" destOrd="0" presId="urn:microsoft.com/office/officeart/2008/layout/NameandTitleOrganizationalChart"/>
    <dgm:cxn modelId="{3D8FA55F-A731-48BC-87F8-4C3F53875A84}" type="presParOf" srcId="{1BA1A8B7-0992-4EE3-A0DB-B5411FACB4FC}" destId="{E35CD19B-6D75-42EB-9398-5996CDBF9D87}" srcOrd="0" destOrd="0" presId="urn:microsoft.com/office/officeart/2008/layout/NameandTitleOrganizationalChart"/>
    <dgm:cxn modelId="{4DDA7257-CAA7-4EE3-81BE-3E784E6E22C3}" type="presParOf" srcId="{E35CD19B-6D75-42EB-9398-5996CDBF9D87}" destId="{EA7661B2-A603-4B4B-9C57-F3F8990845E4}" srcOrd="0" destOrd="0" presId="urn:microsoft.com/office/officeart/2008/layout/NameandTitleOrganizationalChart"/>
    <dgm:cxn modelId="{1750915B-90E6-41D1-8CD9-05A740FFDBD3}" type="presParOf" srcId="{E35CD19B-6D75-42EB-9398-5996CDBF9D87}" destId="{29C573A5-D0F1-4886-B8AA-E59233F0AB35}" srcOrd="1" destOrd="0" presId="urn:microsoft.com/office/officeart/2008/layout/NameandTitleOrganizationalChart"/>
    <dgm:cxn modelId="{041C761C-FD90-47E7-8102-0658D950B6A3}" type="presParOf" srcId="{E35CD19B-6D75-42EB-9398-5996CDBF9D87}" destId="{93ECB568-CCCF-4176-992C-B6B799989D9E}" srcOrd="2" destOrd="0" presId="urn:microsoft.com/office/officeart/2008/layout/NameandTitleOrganizationalChart"/>
    <dgm:cxn modelId="{6B381152-77B8-4ED5-989D-9615991A7B9C}" type="presParOf" srcId="{1BA1A8B7-0992-4EE3-A0DB-B5411FACB4FC}" destId="{973A7AFD-4F94-43FC-96B4-70A99C5B6CEC}" srcOrd="1" destOrd="0" presId="urn:microsoft.com/office/officeart/2008/layout/NameandTitleOrganizationalChart"/>
    <dgm:cxn modelId="{6B4D6C3C-CD51-4F77-A09B-AD5AE4C4C59C}" type="presParOf" srcId="{973A7AFD-4F94-43FC-96B4-70A99C5B6CEC}" destId="{5409CA6D-1D6E-400E-9B3A-B820C969F0EA}" srcOrd="0" destOrd="0" presId="urn:microsoft.com/office/officeart/2008/layout/NameandTitleOrganizationalChart"/>
    <dgm:cxn modelId="{C08C9835-7D5C-470B-B45C-1E4CEF1EDE94}" type="presParOf" srcId="{973A7AFD-4F94-43FC-96B4-70A99C5B6CEC}" destId="{C6028E05-73D3-454E-BABB-15C016D957E4}" srcOrd="1" destOrd="0" presId="urn:microsoft.com/office/officeart/2008/layout/NameandTitleOrganizationalChart"/>
    <dgm:cxn modelId="{13EEAEF9-8A53-4A8E-A098-C9E7622893F1}" type="presParOf" srcId="{C6028E05-73D3-454E-BABB-15C016D957E4}" destId="{94360D9F-C545-4A32-83AB-4718187B76CD}" srcOrd="0" destOrd="0" presId="urn:microsoft.com/office/officeart/2008/layout/NameandTitleOrganizationalChart"/>
    <dgm:cxn modelId="{81843B22-CA3F-44F7-B667-0092E5EA56EB}" type="presParOf" srcId="{94360D9F-C545-4A32-83AB-4718187B76CD}" destId="{9C07F240-FE19-4AD5-920A-A72D851E04F9}" srcOrd="0" destOrd="0" presId="urn:microsoft.com/office/officeart/2008/layout/NameandTitleOrganizationalChart"/>
    <dgm:cxn modelId="{9E0A01CE-3EDA-4A9C-A285-359997C021BC}" type="presParOf" srcId="{94360D9F-C545-4A32-83AB-4718187B76CD}" destId="{350D7070-0E01-45C0-ADFC-C58DACE5DFF7}" srcOrd="1" destOrd="0" presId="urn:microsoft.com/office/officeart/2008/layout/NameandTitleOrganizationalChart"/>
    <dgm:cxn modelId="{96A20621-CE4A-41BE-AB01-1894E8A24A6E}" type="presParOf" srcId="{94360D9F-C545-4A32-83AB-4718187B76CD}" destId="{E8A6E29A-34BA-434F-AAAD-D67BCD06AF0F}" srcOrd="2" destOrd="0" presId="urn:microsoft.com/office/officeart/2008/layout/NameandTitleOrganizationalChart"/>
    <dgm:cxn modelId="{677DA4D2-BADD-4654-8DC9-4410CE56EAAD}" type="presParOf" srcId="{C6028E05-73D3-454E-BABB-15C016D957E4}" destId="{A519CBDE-425C-4330-9714-389F269E6B9A}" srcOrd="1" destOrd="0" presId="urn:microsoft.com/office/officeart/2008/layout/NameandTitleOrganizationalChart"/>
    <dgm:cxn modelId="{12108CE3-3DEA-42BB-9B5E-B01D61FB760C}" type="presParOf" srcId="{A519CBDE-425C-4330-9714-389F269E6B9A}" destId="{63AFBA54-71DF-4E6E-9F26-05665F23FE47}" srcOrd="0" destOrd="0" presId="urn:microsoft.com/office/officeart/2008/layout/NameandTitleOrganizationalChart"/>
    <dgm:cxn modelId="{A64AFC87-F611-49E4-80DE-9D58E267E55E}" type="presParOf" srcId="{A519CBDE-425C-4330-9714-389F269E6B9A}" destId="{ADF6DD69-E282-4FC2-9E9B-26F252E41D6D}" srcOrd="1" destOrd="0" presId="urn:microsoft.com/office/officeart/2008/layout/NameandTitleOrganizationalChart"/>
    <dgm:cxn modelId="{0616EF45-0B20-4684-B1E1-BCF08AC6D3CF}" type="presParOf" srcId="{ADF6DD69-E282-4FC2-9E9B-26F252E41D6D}" destId="{B9C88880-DA84-4645-8558-67CE6B87E387}" srcOrd="0" destOrd="0" presId="urn:microsoft.com/office/officeart/2008/layout/NameandTitleOrganizationalChart"/>
    <dgm:cxn modelId="{2327AEB4-D339-45B2-9CC5-A351F06A7C6D}" type="presParOf" srcId="{B9C88880-DA84-4645-8558-67CE6B87E387}" destId="{6AADFCDC-840E-434F-B199-5D2DD8437FF5}" srcOrd="0" destOrd="0" presId="urn:microsoft.com/office/officeart/2008/layout/NameandTitleOrganizationalChart"/>
    <dgm:cxn modelId="{63F6396E-A92C-4D7C-A774-BC4E7708E698}" type="presParOf" srcId="{B9C88880-DA84-4645-8558-67CE6B87E387}" destId="{562D2AA5-E30F-4A32-AC14-AF73CFE57A72}" srcOrd="1" destOrd="0" presId="urn:microsoft.com/office/officeart/2008/layout/NameandTitleOrganizationalChart"/>
    <dgm:cxn modelId="{91762E79-7160-45CF-A8D1-A01EFAC1231E}" type="presParOf" srcId="{B9C88880-DA84-4645-8558-67CE6B87E387}" destId="{8FB0336F-363B-4461-95A4-6AA5168C19BA}" srcOrd="2" destOrd="0" presId="urn:microsoft.com/office/officeart/2008/layout/NameandTitleOrganizationalChart"/>
    <dgm:cxn modelId="{F6A90FDE-ECFA-46BA-B039-9037AB734813}" type="presParOf" srcId="{ADF6DD69-E282-4FC2-9E9B-26F252E41D6D}" destId="{DCD5750E-02A2-4664-9B38-495CD6F562EE}" srcOrd="1" destOrd="0" presId="urn:microsoft.com/office/officeart/2008/layout/NameandTitleOrganizationalChart"/>
    <dgm:cxn modelId="{80E918D3-FDBC-4A46-B5C1-6F3D7FF060EC}" type="presParOf" srcId="{DCD5750E-02A2-4664-9B38-495CD6F562EE}" destId="{BE93464B-6A9C-4EFB-B3D9-FABD69C92699}" srcOrd="0" destOrd="0" presId="urn:microsoft.com/office/officeart/2008/layout/NameandTitleOrganizationalChart"/>
    <dgm:cxn modelId="{4B5FD015-F1D4-4BFB-8139-86ECD61F02DE}" type="presParOf" srcId="{DCD5750E-02A2-4664-9B38-495CD6F562EE}" destId="{45FB2C60-E80C-4AEC-9EF1-B951F8E151F9}" srcOrd="1" destOrd="0" presId="urn:microsoft.com/office/officeart/2008/layout/NameandTitleOrganizationalChart"/>
    <dgm:cxn modelId="{B105BAC5-D3EC-444D-A399-C2DFD2BD869D}" type="presParOf" srcId="{45FB2C60-E80C-4AEC-9EF1-B951F8E151F9}" destId="{83D0CA81-D168-457C-BE97-1E62ECB6F124}" srcOrd="0" destOrd="0" presId="urn:microsoft.com/office/officeart/2008/layout/NameandTitleOrganizationalChart"/>
    <dgm:cxn modelId="{4BD05352-87E4-4B07-A4DE-0F79A4F433B6}" type="presParOf" srcId="{83D0CA81-D168-457C-BE97-1E62ECB6F124}" destId="{3BF15FD4-723C-4F3C-BD80-8A3964950EF4}" srcOrd="0" destOrd="0" presId="urn:microsoft.com/office/officeart/2008/layout/NameandTitleOrganizationalChart"/>
    <dgm:cxn modelId="{EF819FEE-5F51-4E69-BE0A-D268773B9495}" type="presParOf" srcId="{83D0CA81-D168-457C-BE97-1E62ECB6F124}" destId="{E108ADA0-A925-4E6F-88E3-4B73F2075369}" srcOrd="1" destOrd="0" presId="urn:microsoft.com/office/officeart/2008/layout/NameandTitleOrganizationalChart"/>
    <dgm:cxn modelId="{5A7D685A-3A83-4FC5-B142-EE70D69F55CD}" type="presParOf" srcId="{83D0CA81-D168-457C-BE97-1E62ECB6F124}" destId="{8CC852E3-6BC1-40AB-A452-41935F3220FD}" srcOrd="2" destOrd="0" presId="urn:microsoft.com/office/officeart/2008/layout/NameandTitleOrganizationalChart"/>
    <dgm:cxn modelId="{A2C8070E-EE33-4015-AA4A-4A4D7227E492}" type="presParOf" srcId="{45FB2C60-E80C-4AEC-9EF1-B951F8E151F9}" destId="{6025A547-AB95-42C3-8DD2-1217CF4F2BC0}" srcOrd="1" destOrd="0" presId="urn:microsoft.com/office/officeart/2008/layout/NameandTitleOrganizationalChart"/>
    <dgm:cxn modelId="{97C832A2-F88C-49C6-B4E9-BCE3A8BCAB81}" type="presParOf" srcId="{45FB2C60-E80C-4AEC-9EF1-B951F8E151F9}" destId="{83708490-9656-477F-BFE9-BC85E948E436}" srcOrd="2" destOrd="0" presId="urn:microsoft.com/office/officeart/2008/layout/NameandTitleOrganizationalChart"/>
    <dgm:cxn modelId="{F428C1AA-A0E8-4C26-AE66-97EAA9D38408}" type="presParOf" srcId="{ADF6DD69-E282-4FC2-9E9B-26F252E41D6D}" destId="{5C83A0B8-2A51-4D82-9A95-91D6572807A5}" srcOrd="2" destOrd="0" presId="urn:microsoft.com/office/officeart/2008/layout/NameandTitleOrganizationalChart"/>
    <dgm:cxn modelId="{792F187F-38F3-43B0-84C5-61EB5313A807}" type="presParOf" srcId="{A519CBDE-425C-4330-9714-389F269E6B9A}" destId="{E1C76DA4-B6A3-4D91-AA3D-F5A101604128}" srcOrd="2" destOrd="0" presId="urn:microsoft.com/office/officeart/2008/layout/NameandTitleOrganizationalChart"/>
    <dgm:cxn modelId="{97C09C81-DB1E-4EA8-90BE-FFCD585020CA}" type="presParOf" srcId="{A519CBDE-425C-4330-9714-389F269E6B9A}" destId="{8646563A-CBC8-4A84-80C1-180CF982476C}" srcOrd="3" destOrd="0" presId="urn:microsoft.com/office/officeart/2008/layout/NameandTitleOrganizationalChart"/>
    <dgm:cxn modelId="{14C414D3-D682-44E9-AEB5-1B25F88F836E}" type="presParOf" srcId="{8646563A-CBC8-4A84-80C1-180CF982476C}" destId="{EE614FE0-6BE0-43A3-8F96-B83B38CCFABD}" srcOrd="0" destOrd="0" presId="urn:microsoft.com/office/officeart/2008/layout/NameandTitleOrganizationalChart"/>
    <dgm:cxn modelId="{DA5C1219-848C-4F95-A62C-DC49C3D14E91}" type="presParOf" srcId="{EE614FE0-6BE0-43A3-8F96-B83B38CCFABD}" destId="{0DEF4414-EDD8-4220-8CBF-FA8127744E0A}" srcOrd="0" destOrd="0" presId="urn:microsoft.com/office/officeart/2008/layout/NameandTitleOrganizationalChart"/>
    <dgm:cxn modelId="{7052E8C0-B6F8-4519-83B1-0BAB3D495C84}" type="presParOf" srcId="{EE614FE0-6BE0-43A3-8F96-B83B38CCFABD}" destId="{7D9A468A-CE72-48B4-BFB8-F4D67B59B273}" srcOrd="1" destOrd="0" presId="urn:microsoft.com/office/officeart/2008/layout/NameandTitleOrganizationalChart"/>
    <dgm:cxn modelId="{9033BAE3-3257-4DC6-ACFB-DA341843F0F9}" type="presParOf" srcId="{EE614FE0-6BE0-43A3-8F96-B83B38CCFABD}" destId="{DAD6D2AB-EEA4-478F-9112-F9EA28223B4C}" srcOrd="2" destOrd="0" presId="urn:microsoft.com/office/officeart/2008/layout/NameandTitleOrganizationalChart"/>
    <dgm:cxn modelId="{6B542BDF-4F60-47E3-8087-E6B5AE419E99}" type="presParOf" srcId="{8646563A-CBC8-4A84-80C1-180CF982476C}" destId="{14965C7B-788D-4C14-A229-BC1DFFAF517E}" srcOrd="1" destOrd="0" presId="urn:microsoft.com/office/officeart/2008/layout/NameandTitleOrganizationalChart"/>
    <dgm:cxn modelId="{0FEA06BF-9BB1-445D-B218-43F33BB1E2E0}" type="presParOf" srcId="{14965C7B-788D-4C14-A229-BC1DFFAF517E}" destId="{66427A17-5997-475F-836D-22E73EE7EA6E}" srcOrd="0" destOrd="0" presId="urn:microsoft.com/office/officeart/2008/layout/NameandTitleOrganizationalChart"/>
    <dgm:cxn modelId="{5F684DC4-24CE-43E0-B638-D30027104268}" type="presParOf" srcId="{14965C7B-788D-4C14-A229-BC1DFFAF517E}" destId="{6998FCA7-BB55-4FDC-A703-EE32E5E388D5}" srcOrd="1" destOrd="0" presId="urn:microsoft.com/office/officeart/2008/layout/NameandTitleOrganizationalChart"/>
    <dgm:cxn modelId="{08906732-8AF5-4D3A-B872-F886F221E8AC}" type="presParOf" srcId="{6998FCA7-BB55-4FDC-A703-EE32E5E388D5}" destId="{89E118F0-69D1-4BD6-8776-AD6173CD2941}" srcOrd="0" destOrd="0" presId="urn:microsoft.com/office/officeart/2008/layout/NameandTitleOrganizationalChart"/>
    <dgm:cxn modelId="{A98236E8-D587-4EB5-98BD-229B97331EBF}" type="presParOf" srcId="{89E118F0-69D1-4BD6-8776-AD6173CD2941}" destId="{5F966679-B347-406B-A6D8-B4F9EAE3492F}" srcOrd="0" destOrd="0" presId="urn:microsoft.com/office/officeart/2008/layout/NameandTitleOrganizationalChart"/>
    <dgm:cxn modelId="{4948D657-6643-4785-A3E7-C35B1E4CADA3}" type="presParOf" srcId="{89E118F0-69D1-4BD6-8776-AD6173CD2941}" destId="{34E7BF4F-39AE-41EE-A270-CF54A557934B}" srcOrd="1" destOrd="0" presId="urn:microsoft.com/office/officeart/2008/layout/NameandTitleOrganizationalChart"/>
    <dgm:cxn modelId="{3C9D32D0-6487-436A-A22C-5CCB6EB898AA}" type="presParOf" srcId="{89E118F0-69D1-4BD6-8776-AD6173CD2941}" destId="{6BEF4024-CD2A-4B35-A4AA-EA42B97AC562}" srcOrd="2" destOrd="0" presId="urn:microsoft.com/office/officeart/2008/layout/NameandTitleOrganizationalChart"/>
    <dgm:cxn modelId="{ABE23E0F-3762-424C-950E-000BC4AC1539}" type="presParOf" srcId="{6998FCA7-BB55-4FDC-A703-EE32E5E388D5}" destId="{F4D0EF9C-DF9C-46B3-80D2-34F4FE8A5727}" srcOrd="1" destOrd="0" presId="urn:microsoft.com/office/officeart/2008/layout/NameandTitleOrganizationalChart"/>
    <dgm:cxn modelId="{336B22C8-5E2B-4D67-8015-DE3FE923164B}" type="presParOf" srcId="{6998FCA7-BB55-4FDC-A703-EE32E5E388D5}" destId="{DC78B1D4-4568-487B-AFC2-A2A917E636E5}" srcOrd="2" destOrd="0" presId="urn:microsoft.com/office/officeart/2008/layout/NameandTitleOrganizationalChart"/>
    <dgm:cxn modelId="{B8E122E3-F0BF-411B-877D-B2317E106765}" type="presParOf" srcId="{8646563A-CBC8-4A84-80C1-180CF982476C}" destId="{C693AACD-926F-4145-9F6C-7D5FB8627CE5}" srcOrd="2" destOrd="0" presId="urn:microsoft.com/office/officeart/2008/layout/NameandTitleOrganizationalChart"/>
    <dgm:cxn modelId="{C85EE049-7E81-45DD-9582-2B99661A60A6}" type="presParOf" srcId="{C6028E05-73D3-454E-BABB-15C016D957E4}" destId="{17F2F267-A9EC-4780-9407-9733B7B8D128}" srcOrd="2" destOrd="0" presId="urn:microsoft.com/office/officeart/2008/layout/NameandTitleOrganizationalChart"/>
    <dgm:cxn modelId="{DAD38EBB-979E-4967-8866-4643513671E9}" type="presParOf" srcId="{1BA1A8B7-0992-4EE3-A0DB-B5411FACB4FC}" destId="{F322C0EB-83FC-4519-8E90-88224A663D8E}" srcOrd="2" destOrd="0" presId="urn:microsoft.com/office/officeart/2008/layout/NameandTitleOrganizationalChart"/>
    <dgm:cxn modelId="{03370B2A-96A3-40AB-8F0F-201532E631FD}" type="presParOf" srcId="{F322C0EB-83FC-4519-8E90-88224A663D8E}" destId="{6A5BC359-ECBC-4499-BE8E-96BA32A334ED}" srcOrd="0" destOrd="0" presId="urn:microsoft.com/office/officeart/2008/layout/NameandTitleOrganizationalChart"/>
    <dgm:cxn modelId="{59AB300E-78B4-495F-B9E3-A66A913B73FE}" type="presParOf" srcId="{F322C0EB-83FC-4519-8E90-88224A663D8E}" destId="{27A4DD39-2625-4C10-BC4A-098BC682F6CE}" srcOrd="1" destOrd="0" presId="urn:microsoft.com/office/officeart/2008/layout/NameandTitleOrganizationalChart"/>
    <dgm:cxn modelId="{448F72FA-7478-48CB-93B6-F95B8D83F15C}" type="presParOf" srcId="{27A4DD39-2625-4C10-BC4A-098BC682F6CE}" destId="{03CAFDEC-0C07-46E9-AE00-F65DCAE4AC8F}" srcOrd="0" destOrd="0" presId="urn:microsoft.com/office/officeart/2008/layout/NameandTitleOrganizationalChart"/>
    <dgm:cxn modelId="{DDF9C2D3-5474-4C96-97B3-C7BBD905086D}" type="presParOf" srcId="{03CAFDEC-0C07-46E9-AE00-F65DCAE4AC8F}" destId="{5FE9D399-C42A-47E7-B2A6-B081B2DA51F3}" srcOrd="0" destOrd="0" presId="urn:microsoft.com/office/officeart/2008/layout/NameandTitleOrganizationalChart"/>
    <dgm:cxn modelId="{AA4DB516-4C8B-40EC-9FA0-74F5D1A448BF}" type="presParOf" srcId="{03CAFDEC-0C07-46E9-AE00-F65DCAE4AC8F}" destId="{80DE0A36-9F1A-4D45-994E-0DF1DE7C4436}" srcOrd="1" destOrd="0" presId="urn:microsoft.com/office/officeart/2008/layout/NameandTitleOrganizationalChart"/>
    <dgm:cxn modelId="{A88B5F46-1B3E-4319-B3D5-B5EABFF489DF}" type="presParOf" srcId="{03CAFDEC-0C07-46E9-AE00-F65DCAE4AC8F}" destId="{136B620D-9159-4AB6-8AAE-438D6D89129A}" srcOrd="2" destOrd="0" presId="urn:microsoft.com/office/officeart/2008/layout/NameandTitleOrganizationalChart"/>
    <dgm:cxn modelId="{F0E9B86C-ADA4-4DC1-87B7-1D547FC009A5}" type="presParOf" srcId="{27A4DD39-2625-4C10-BC4A-098BC682F6CE}" destId="{87D4B457-2E4A-4823-9074-F3BC29ADD91A}" srcOrd="1" destOrd="0" presId="urn:microsoft.com/office/officeart/2008/layout/NameandTitleOrganizationalChart"/>
    <dgm:cxn modelId="{A9F96530-BAFB-48CF-BD7A-F79507269684}" type="presParOf" srcId="{27A4DD39-2625-4C10-BC4A-098BC682F6CE}" destId="{21FB88A4-A68D-467F-B97F-04EB7F23E6DB}" srcOrd="2" destOrd="0" presId="urn:microsoft.com/office/officeart/2008/layout/NameandTitleOrganizationalChart"/>
  </dgm:cxnLst>
  <dgm:bg/>
  <dgm:whole/>
  <dgm:extLst>
    <a:ext uri="http://schemas.microsoft.com/office/drawing/2008/diagram">
      <dsp:dataModelExt xmlns:dsp="http://schemas.microsoft.com/office/drawing/2008/diagram" xmlns="" relId="rId12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ED648194-BE02-4093-B99A-30048DF6F0F7}" type="doc">
      <dgm:prSet loTypeId="urn:microsoft.com/office/officeart/2005/8/layout/process1" loCatId="process" qsTypeId="urn:microsoft.com/office/officeart/2005/8/quickstyle/simple1" qsCatId="simple" csTypeId="urn:microsoft.com/office/officeart/2005/8/colors/accent1_3" csCatId="accent1" phldr="1"/>
      <dgm:spPr/>
    </dgm:pt>
    <dgm:pt modelId="{C4031657-3309-455E-B621-FF2E20CDF958}">
      <dgm:prSet phldrT="[Tekst]" custT="1"/>
      <dgm:spPr/>
      <dgm:t>
        <a:bodyPr/>
        <a:lstStyle/>
        <a:p>
          <a:r>
            <a:rPr lang="pl-PL" sz="1100" b="1"/>
            <a:t>PROCEDURA MONITORINGU</a:t>
          </a:r>
        </a:p>
      </dgm:t>
    </dgm:pt>
    <dgm:pt modelId="{50804898-8550-4166-820F-66578FE7E2D4}" type="parTrans" cxnId="{501053A7-352F-4394-8E3A-2A08BAC0C1ED}">
      <dgm:prSet/>
      <dgm:spPr/>
      <dgm:t>
        <a:bodyPr/>
        <a:lstStyle/>
        <a:p>
          <a:endParaRPr lang="pl-PL"/>
        </a:p>
      </dgm:t>
    </dgm:pt>
    <dgm:pt modelId="{2CE24314-6586-4B91-89F8-EC128463DE10}" type="sibTrans" cxnId="{501053A7-352F-4394-8E3A-2A08BAC0C1ED}">
      <dgm:prSet/>
      <dgm:spPr/>
      <dgm:t>
        <a:bodyPr/>
        <a:lstStyle/>
        <a:p>
          <a:endParaRPr lang="pl-PL"/>
        </a:p>
      </dgm:t>
    </dgm:pt>
    <dgm:pt modelId="{440FB340-D2F8-4707-A730-A603A77A79A6}">
      <dgm:prSet phldrT="[Tekst]" custT="1"/>
      <dgm:spPr/>
      <dgm:t>
        <a:bodyPr/>
        <a:lstStyle/>
        <a:p>
          <a:r>
            <a:rPr lang="pl-PL" sz="1100" b="1"/>
            <a:t>ILOŚCIOWA </a:t>
          </a:r>
          <a:br>
            <a:rPr lang="pl-PL" sz="1100" b="1"/>
          </a:br>
          <a:r>
            <a:rPr lang="pl-PL" sz="1100" b="1"/>
            <a:t>I JAKOŚCIOWA INTERPRETACJA WYNIKÓW</a:t>
          </a:r>
        </a:p>
      </dgm:t>
    </dgm:pt>
    <dgm:pt modelId="{1ABFDD2B-95B8-42B7-8434-DFAD78F61367}" type="parTrans" cxnId="{C58E1F9A-C649-43EC-B649-CD12A77ADB17}">
      <dgm:prSet/>
      <dgm:spPr/>
      <dgm:t>
        <a:bodyPr/>
        <a:lstStyle/>
        <a:p>
          <a:endParaRPr lang="pl-PL"/>
        </a:p>
      </dgm:t>
    </dgm:pt>
    <dgm:pt modelId="{92D4061E-4899-458B-B4EB-584E1E945B31}" type="sibTrans" cxnId="{C58E1F9A-C649-43EC-B649-CD12A77ADB17}">
      <dgm:prSet/>
      <dgm:spPr/>
      <dgm:t>
        <a:bodyPr/>
        <a:lstStyle/>
        <a:p>
          <a:endParaRPr lang="pl-PL"/>
        </a:p>
      </dgm:t>
    </dgm:pt>
    <dgm:pt modelId="{12E939B9-09F0-49F4-856F-8CE246436DE3}">
      <dgm:prSet phldrT="[Tekst]" custT="1"/>
      <dgm:spPr/>
      <dgm:t>
        <a:bodyPr/>
        <a:lstStyle/>
        <a:p>
          <a:r>
            <a:rPr lang="pl-PL" sz="1100" b="1"/>
            <a:t>POSTULOWANE ZMIANY DO PROGRAMU </a:t>
          </a:r>
          <a:br>
            <a:rPr lang="pl-PL" sz="1100" b="1"/>
          </a:br>
          <a:r>
            <a:rPr lang="pl-PL" sz="1100" b="1"/>
            <a:t>I SYSTEMU WDRAŻANIA</a:t>
          </a:r>
        </a:p>
      </dgm:t>
    </dgm:pt>
    <dgm:pt modelId="{BF8F229B-8FD7-42D9-A6C5-32B99AA93922}" type="parTrans" cxnId="{742A7E11-B8C6-4A67-BDA5-64D62483616A}">
      <dgm:prSet/>
      <dgm:spPr/>
      <dgm:t>
        <a:bodyPr/>
        <a:lstStyle/>
        <a:p>
          <a:endParaRPr lang="pl-PL"/>
        </a:p>
      </dgm:t>
    </dgm:pt>
    <dgm:pt modelId="{B96BF616-D7E6-4C1B-B913-26FBE9D0C3D5}" type="sibTrans" cxnId="{742A7E11-B8C6-4A67-BDA5-64D62483616A}">
      <dgm:prSet/>
      <dgm:spPr/>
      <dgm:t>
        <a:bodyPr/>
        <a:lstStyle/>
        <a:p>
          <a:endParaRPr lang="pl-PL"/>
        </a:p>
      </dgm:t>
    </dgm:pt>
    <dgm:pt modelId="{924051A1-0075-44B9-86A5-88172C0005F7}" type="pres">
      <dgm:prSet presAssocID="{ED648194-BE02-4093-B99A-30048DF6F0F7}" presName="Name0" presStyleCnt="0">
        <dgm:presLayoutVars>
          <dgm:dir/>
          <dgm:resizeHandles val="exact"/>
        </dgm:presLayoutVars>
      </dgm:prSet>
      <dgm:spPr/>
    </dgm:pt>
    <dgm:pt modelId="{DA8175F1-6C17-41BA-904C-70151CA9D4B2}" type="pres">
      <dgm:prSet presAssocID="{C4031657-3309-455E-B621-FF2E20CDF958}" presName="node" presStyleLbl="node1" presStyleIdx="0" presStyleCnt="3">
        <dgm:presLayoutVars>
          <dgm:bulletEnabled val="1"/>
        </dgm:presLayoutVars>
      </dgm:prSet>
      <dgm:spPr/>
      <dgm:t>
        <a:bodyPr/>
        <a:lstStyle/>
        <a:p>
          <a:endParaRPr lang="pl-PL"/>
        </a:p>
      </dgm:t>
    </dgm:pt>
    <dgm:pt modelId="{AB75C08F-3959-4F0D-B6D5-087C31FEE90F}" type="pres">
      <dgm:prSet presAssocID="{2CE24314-6586-4B91-89F8-EC128463DE10}" presName="sibTrans" presStyleLbl="sibTrans2D1" presStyleIdx="0" presStyleCnt="2"/>
      <dgm:spPr/>
      <dgm:t>
        <a:bodyPr/>
        <a:lstStyle/>
        <a:p>
          <a:endParaRPr lang="pl-PL"/>
        </a:p>
      </dgm:t>
    </dgm:pt>
    <dgm:pt modelId="{7B670546-63B0-403E-BC4C-E835F002DD0B}" type="pres">
      <dgm:prSet presAssocID="{2CE24314-6586-4B91-89F8-EC128463DE10}" presName="connectorText" presStyleLbl="sibTrans2D1" presStyleIdx="0" presStyleCnt="2"/>
      <dgm:spPr/>
      <dgm:t>
        <a:bodyPr/>
        <a:lstStyle/>
        <a:p>
          <a:endParaRPr lang="pl-PL"/>
        </a:p>
      </dgm:t>
    </dgm:pt>
    <dgm:pt modelId="{519B3561-0536-4FD2-A165-86E6486694FE}" type="pres">
      <dgm:prSet presAssocID="{440FB340-D2F8-4707-A730-A603A77A79A6}" presName="node" presStyleLbl="node1" presStyleIdx="1" presStyleCnt="3">
        <dgm:presLayoutVars>
          <dgm:bulletEnabled val="1"/>
        </dgm:presLayoutVars>
      </dgm:prSet>
      <dgm:spPr/>
      <dgm:t>
        <a:bodyPr/>
        <a:lstStyle/>
        <a:p>
          <a:endParaRPr lang="pl-PL"/>
        </a:p>
      </dgm:t>
    </dgm:pt>
    <dgm:pt modelId="{78544EB1-D0BA-49A5-AD0C-5CE908436D9A}" type="pres">
      <dgm:prSet presAssocID="{92D4061E-4899-458B-B4EB-584E1E945B31}" presName="sibTrans" presStyleLbl="sibTrans2D1" presStyleIdx="1" presStyleCnt="2"/>
      <dgm:spPr/>
      <dgm:t>
        <a:bodyPr/>
        <a:lstStyle/>
        <a:p>
          <a:endParaRPr lang="pl-PL"/>
        </a:p>
      </dgm:t>
    </dgm:pt>
    <dgm:pt modelId="{FAFBBD37-D26A-4532-A96A-3FE7CE20548C}" type="pres">
      <dgm:prSet presAssocID="{92D4061E-4899-458B-B4EB-584E1E945B31}" presName="connectorText" presStyleLbl="sibTrans2D1" presStyleIdx="1" presStyleCnt="2"/>
      <dgm:spPr/>
      <dgm:t>
        <a:bodyPr/>
        <a:lstStyle/>
        <a:p>
          <a:endParaRPr lang="pl-PL"/>
        </a:p>
      </dgm:t>
    </dgm:pt>
    <dgm:pt modelId="{26849735-06FC-40EB-B094-83FB4EB21B1B}" type="pres">
      <dgm:prSet presAssocID="{12E939B9-09F0-49F4-856F-8CE246436DE3}" presName="node" presStyleLbl="node1" presStyleIdx="2" presStyleCnt="3">
        <dgm:presLayoutVars>
          <dgm:bulletEnabled val="1"/>
        </dgm:presLayoutVars>
      </dgm:prSet>
      <dgm:spPr/>
      <dgm:t>
        <a:bodyPr/>
        <a:lstStyle/>
        <a:p>
          <a:endParaRPr lang="pl-PL"/>
        </a:p>
      </dgm:t>
    </dgm:pt>
  </dgm:ptLst>
  <dgm:cxnLst>
    <dgm:cxn modelId="{CAAB881F-80E5-479A-95A0-B184680E0117}" type="presOf" srcId="{92D4061E-4899-458B-B4EB-584E1E945B31}" destId="{FAFBBD37-D26A-4532-A96A-3FE7CE20548C}" srcOrd="1" destOrd="0" presId="urn:microsoft.com/office/officeart/2005/8/layout/process1"/>
    <dgm:cxn modelId="{7DADEE3F-E4E5-4C92-A3C1-C990D9C91C4A}" type="presOf" srcId="{C4031657-3309-455E-B621-FF2E20CDF958}" destId="{DA8175F1-6C17-41BA-904C-70151CA9D4B2}" srcOrd="0" destOrd="0" presId="urn:microsoft.com/office/officeart/2005/8/layout/process1"/>
    <dgm:cxn modelId="{8251F34B-604F-4CC9-A2B2-EC05E515AA91}" type="presOf" srcId="{440FB340-D2F8-4707-A730-A603A77A79A6}" destId="{519B3561-0536-4FD2-A165-86E6486694FE}" srcOrd="0" destOrd="0" presId="urn:microsoft.com/office/officeart/2005/8/layout/process1"/>
    <dgm:cxn modelId="{501053A7-352F-4394-8E3A-2A08BAC0C1ED}" srcId="{ED648194-BE02-4093-B99A-30048DF6F0F7}" destId="{C4031657-3309-455E-B621-FF2E20CDF958}" srcOrd="0" destOrd="0" parTransId="{50804898-8550-4166-820F-66578FE7E2D4}" sibTransId="{2CE24314-6586-4B91-89F8-EC128463DE10}"/>
    <dgm:cxn modelId="{7AAC009D-4359-4B93-AF38-D649FD70210A}" type="presOf" srcId="{2CE24314-6586-4B91-89F8-EC128463DE10}" destId="{7B670546-63B0-403E-BC4C-E835F002DD0B}" srcOrd="1" destOrd="0" presId="urn:microsoft.com/office/officeart/2005/8/layout/process1"/>
    <dgm:cxn modelId="{C58E1F9A-C649-43EC-B649-CD12A77ADB17}" srcId="{ED648194-BE02-4093-B99A-30048DF6F0F7}" destId="{440FB340-D2F8-4707-A730-A603A77A79A6}" srcOrd="1" destOrd="0" parTransId="{1ABFDD2B-95B8-42B7-8434-DFAD78F61367}" sibTransId="{92D4061E-4899-458B-B4EB-584E1E945B31}"/>
    <dgm:cxn modelId="{BBCAA7EB-BDDB-4B04-A4D2-C2AA31C1607F}" type="presOf" srcId="{92D4061E-4899-458B-B4EB-584E1E945B31}" destId="{78544EB1-D0BA-49A5-AD0C-5CE908436D9A}" srcOrd="0" destOrd="0" presId="urn:microsoft.com/office/officeart/2005/8/layout/process1"/>
    <dgm:cxn modelId="{742A7E11-B8C6-4A67-BDA5-64D62483616A}" srcId="{ED648194-BE02-4093-B99A-30048DF6F0F7}" destId="{12E939B9-09F0-49F4-856F-8CE246436DE3}" srcOrd="2" destOrd="0" parTransId="{BF8F229B-8FD7-42D9-A6C5-32B99AA93922}" sibTransId="{B96BF616-D7E6-4C1B-B913-26FBE9D0C3D5}"/>
    <dgm:cxn modelId="{D30BB155-D3B7-403B-B3A1-4F07D0BF27F8}" type="presOf" srcId="{ED648194-BE02-4093-B99A-30048DF6F0F7}" destId="{924051A1-0075-44B9-86A5-88172C0005F7}" srcOrd="0" destOrd="0" presId="urn:microsoft.com/office/officeart/2005/8/layout/process1"/>
    <dgm:cxn modelId="{FFDB6DC6-BF45-4036-8EC3-9BC4EDDCC653}" type="presOf" srcId="{12E939B9-09F0-49F4-856F-8CE246436DE3}" destId="{26849735-06FC-40EB-B094-83FB4EB21B1B}" srcOrd="0" destOrd="0" presId="urn:microsoft.com/office/officeart/2005/8/layout/process1"/>
    <dgm:cxn modelId="{47D2CB15-DD0E-4BC4-8E4E-A180D3A0CD30}" type="presOf" srcId="{2CE24314-6586-4B91-89F8-EC128463DE10}" destId="{AB75C08F-3959-4F0D-B6D5-087C31FEE90F}" srcOrd="0" destOrd="0" presId="urn:microsoft.com/office/officeart/2005/8/layout/process1"/>
    <dgm:cxn modelId="{0AA36520-5742-43D6-B340-69D2B193B203}" type="presParOf" srcId="{924051A1-0075-44B9-86A5-88172C0005F7}" destId="{DA8175F1-6C17-41BA-904C-70151CA9D4B2}" srcOrd="0" destOrd="0" presId="urn:microsoft.com/office/officeart/2005/8/layout/process1"/>
    <dgm:cxn modelId="{97F89341-FB18-4FCD-8271-6305B54192A7}" type="presParOf" srcId="{924051A1-0075-44B9-86A5-88172C0005F7}" destId="{AB75C08F-3959-4F0D-B6D5-087C31FEE90F}" srcOrd="1" destOrd="0" presId="urn:microsoft.com/office/officeart/2005/8/layout/process1"/>
    <dgm:cxn modelId="{6979AD41-5C27-4B67-B07C-26B42AD7956A}" type="presParOf" srcId="{AB75C08F-3959-4F0D-B6D5-087C31FEE90F}" destId="{7B670546-63B0-403E-BC4C-E835F002DD0B}" srcOrd="0" destOrd="0" presId="urn:microsoft.com/office/officeart/2005/8/layout/process1"/>
    <dgm:cxn modelId="{7DC10614-54B5-4CD1-BA5B-ABB44D647077}" type="presParOf" srcId="{924051A1-0075-44B9-86A5-88172C0005F7}" destId="{519B3561-0536-4FD2-A165-86E6486694FE}" srcOrd="2" destOrd="0" presId="urn:microsoft.com/office/officeart/2005/8/layout/process1"/>
    <dgm:cxn modelId="{D239438B-85AA-456F-8F52-74BFE4A262CD}" type="presParOf" srcId="{924051A1-0075-44B9-86A5-88172C0005F7}" destId="{78544EB1-D0BA-49A5-AD0C-5CE908436D9A}" srcOrd="3" destOrd="0" presId="urn:microsoft.com/office/officeart/2005/8/layout/process1"/>
    <dgm:cxn modelId="{23DCD336-2CD3-40A6-9469-1EEA7F047354}" type="presParOf" srcId="{78544EB1-D0BA-49A5-AD0C-5CE908436D9A}" destId="{FAFBBD37-D26A-4532-A96A-3FE7CE20548C}" srcOrd="0" destOrd="0" presId="urn:microsoft.com/office/officeart/2005/8/layout/process1"/>
    <dgm:cxn modelId="{DED1E7BF-89F0-4546-BDEB-D91A92F8C795}" type="presParOf" srcId="{924051A1-0075-44B9-86A5-88172C0005F7}" destId="{26849735-06FC-40EB-B094-83FB4EB21B1B}" srcOrd="4" destOrd="0" presId="urn:microsoft.com/office/officeart/2005/8/layout/process1"/>
  </dgm:cxnLst>
  <dgm:bg/>
  <dgm:whole/>
  <dgm:extLst>
    <a:ext uri="http://schemas.microsoft.com/office/drawing/2008/diagram">
      <dsp:dataModelExt xmlns:dsp="http://schemas.microsoft.com/office/drawing/2008/diagram" xmlns="" relId="rId128"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7087BF07-6262-4434-8BC9-175B21A40F8E}" type="doc">
      <dgm:prSet loTypeId="urn:microsoft.com/office/officeart/2005/8/layout/process4" loCatId="list" qsTypeId="urn:microsoft.com/office/officeart/2005/8/quickstyle/simple1" qsCatId="simple" csTypeId="urn:microsoft.com/office/officeart/2005/8/colors/accent1_2" csCatId="accent1" phldr="1"/>
      <dgm:spPr/>
      <dgm:t>
        <a:bodyPr/>
        <a:lstStyle/>
        <a:p>
          <a:endParaRPr lang="pl-PL"/>
        </a:p>
      </dgm:t>
    </dgm:pt>
    <dgm:pt modelId="{D1DC35FA-0CFE-4F8C-907E-3322B080EC9F}">
      <dgm:prSet phldrT="[Tekst]" custT="1"/>
      <dgm:spPr>
        <a:solidFill>
          <a:srgbClr val="99CCFF"/>
        </a:solidFill>
        <a:ln>
          <a:solidFill>
            <a:srgbClr val="0070C0"/>
          </a:solidFill>
        </a:ln>
      </dgm:spPr>
      <dgm:t>
        <a:bodyPr/>
        <a:lstStyle/>
        <a:p>
          <a:r>
            <a:rPr lang="pl-PL" sz="1600" b="1">
              <a:solidFill>
                <a:sysClr val="windowText" lastClr="000000"/>
              </a:solidFill>
            </a:rPr>
            <a:t>REALIZACJA ZADAŃ W RAMACH PROJEKTÓW</a:t>
          </a:r>
        </a:p>
      </dgm:t>
    </dgm:pt>
    <dgm:pt modelId="{B78CE895-B440-4FB5-9855-9A68FDFDC504}" type="parTrans" cxnId="{905E938A-4833-4360-961F-87595AE7D51F}">
      <dgm:prSet/>
      <dgm:spPr/>
      <dgm:t>
        <a:bodyPr/>
        <a:lstStyle/>
        <a:p>
          <a:endParaRPr lang="pl-PL"/>
        </a:p>
      </dgm:t>
    </dgm:pt>
    <dgm:pt modelId="{E3CCC0BC-407F-4B48-889E-E04B6F51C7DE}" type="sibTrans" cxnId="{905E938A-4833-4360-961F-87595AE7D51F}">
      <dgm:prSet/>
      <dgm:spPr/>
      <dgm:t>
        <a:bodyPr/>
        <a:lstStyle/>
        <a:p>
          <a:endParaRPr lang="pl-PL"/>
        </a:p>
      </dgm:t>
    </dgm:pt>
    <dgm:pt modelId="{56528ED4-4540-4EFD-B49B-EBAA61788BAD}">
      <dgm:prSet phldrT="[Tekst]" custT="1"/>
      <dgm:spPr>
        <a:ln w="38100">
          <a:solidFill>
            <a:schemeClr val="bg1">
              <a:lumMod val="65000"/>
              <a:alpha val="90000"/>
            </a:schemeClr>
          </a:solidFill>
        </a:ln>
      </dgm:spPr>
      <dgm:t>
        <a:bodyPr/>
        <a:lstStyle/>
        <a:p>
          <a:r>
            <a:rPr lang="pl-PL" sz="900" b="1"/>
            <a:t>Monitoring realizacji założeń do projektów:</a:t>
          </a:r>
        </a:p>
        <a:p>
          <a:r>
            <a:rPr lang="pl-PL" sz="900"/>
            <a:t>- monitoring realizacji zadań składających się na projekt i dotrzymywania harmonogramu czasowego i rzeczowo-finansowego wewnątrz projektu</a:t>
          </a:r>
        </a:p>
      </dgm:t>
    </dgm:pt>
    <dgm:pt modelId="{84820FE6-27DE-497C-BC2B-64D853F6BE21}" type="parTrans" cxnId="{8B91A06E-06A6-41D8-8B28-8CDB36991D78}">
      <dgm:prSet/>
      <dgm:spPr/>
      <dgm:t>
        <a:bodyPr/>
        <a:lstStyle/>
        <a:p>
          <a:endParaRPr lang="pl-PL"/>
        </a:p>
      </dgm:t>
    </dgm:pt>
    <dgm:pt modelId="{9A29992A-9C76-4C02-AFFD-495770791A6B}" type="sibTrans" cxnId="{8B91A06E-06A6-41D8-8B28-8CDB36991D78}">
      <dgm:prSet/>
      <dgm:spPr/>
      <dgm:t>
        <a:bodyPr/>
        <a:lstStyle/>
        <a:p>
          <a:endParaRPr lang="pl-PL"/>
        </a:p>
      </dgm:t>
    </dgm:pt>
    <dgm:pt modelId="{200429A1-86B7-475D-A482-AF550E531035}">
      <dgm:prSet phldrT="[Tekst]" custT="1"/>
      <dgm:spPr>
        <a:ln w="38100">
          <a:solidFill>
            <a:schemeClr val="bg1">
              <a:lumMod val="65000"/>
              <a:alpha val="90000"/>
            </a:schemeClr>
          </a:solidFill>
        </a:ln>
      </dgm:spPr>
      <dgm:t>
        <a:bodyPr/>
        <a:lstStyle/>
        <a:p>
          <a:r>
            <a:rPr lang="pl-PL" sz="900" b="1"/>
            <a:t>Ewaluacja:</a:t>
          </a:r>
        </a:p>
        <a:p>
          <a:r>
            <a:rPr lang="pl-PL" sz="900"/>
            <a:t>- określanie alokacji środków między projektami </a:t>
          </a:r>
          <a:br>
            <a:rPr lang="pl-PL" sz="900"/>
          </a:br>
          <a:r>
            <a:rPr lang="pl-PL" sz="900"/>
            <a:t>w nawiązaniu do analizy postępów wdrożeniowych,</a:t>
          </a:r>
        </a:p>
        <a:p>
          <a:r>
            <a:rPr lang="pl-PL" sz="900"/>
            <a:t>- badanie zaangażowania partnerów w realizację projektu i zadań w ramach projektu,</a:t>
          </a:r>
        </a:p>
      </dgm:t>
    </dgm:pt>
    <dgm:pt modelId="{199D8AF7-9DD6-4FE5-926A-28DDA76A7676}" type="parTrans" cxnId="{C62F506A-C9E4-4F86-8E11-F6706F2B5BD5}">
      <dgm:prSet/>
      <dgm:spPr/>
      <dgm:t>
        <a:bodyPr/>
        <a:lstStyle/>
        <a:p>
          <a:endParaRPr lang="pl-PL"/>
        </a:p>
      </dgm:t>
    </dgm:pt>
    <dgm:pt modelId="{CB51E471-F042-49A9-B2C4-4D70DE256F95}" type="sibTrans" cxnId="{C62F506A-C9E4-4F86-8E11-F6706F2B5BD5}">
      <dgm:prSet/>
      <dgm:spPr/>
      <dgm:t>
        <a:bodyPr/>
        <a:lstStyle/>
        <a:p>
          <a:endParaRPr lang="pl-PL"/>
        </a:p>
      </dgm:t>
    </dgm:pt>
    <dgm:pt modelId="{B0562CAF-295A-402C-AC7A-398CA923392A}">
      <dgm:prSet phldrT="[Tekst]" custT="1"/>
      <dgm:spPr>
        <a:solidFill>
          <a:srgbClr val="99CCFF"/>
        </a:solidFill>
        <a:ln>
          <a:solidFill>
            <a:srgbClr val="0070C0"/>
          </a:solidFill>
        </a:ln>
      </dgm:spPr>
      <dgm:t>
        <a:bodyPr/>
        <a:lstStyle/>
        <a:p>
          <a:r>
            <a:rPr lang="pl-PL" sz="1600" b="1">
              <a:solidFill>
                <a:sysClr val="windowText" lastClr="000000"/>
              </a:solidFill>
            </a:rPr>
            <a:t>REALIZACJA PROJEKTÓW</a:t>
          </a:r>
        </a:p>
      </dgm:t>
    </dgm:pt>
    <dgm:pt modelId="{153C6401-A7E4-4B25-9B5B-5F78A68BDA49}" type="parTrans" cxnId="{142B2F13-4321-4BC0-A613-9DF3BD271DA6}">
      <dgm:prSet/>
      <dgm:spPr/>
      <dgm:t>
        <a:bodyPr/>
        <a:lstStyle/>
        <a:p>
          <a:endParaRPr lang="pl-PL"/>
        </a:p>
      </dgm:t>
    </dgm:pt>
    <dgm:pt modelId="{0FCAB918-FB6E-474E-BD10-EFB321412021}" type="sibTrans" cxnId="{142B2F13-4321-4BC0-A613-9DF3BD271DA6}">
      <dgm:prSet/>
      <dgm:spPr/>
      <dgm:t>
        <a:bodyPr/>
        <a:lstStyle/>
        <a:p>
          <a:endParaRPr lang="pl-PL"/>
        </a:p>
      </dgm:t>
    </dgm:pt>
    <dgm:pt modelId="{F44EA756-8BEF-458C-BD79-35C326446BEA}">
      <dgm:prSet phldrT="[Tekst]" custT="1"/>
      <dgm:spPr>
        <a:ln w="38100">
          <a:solidFill>
            <a:schemeClr val="bg1">
              <a:lumMod val="65000"/>
              <a:alpha val="90000"/>
            </a:schemeClr>
          </a:solidFill>
        </a:ln>
      </dgm:spPr>
      <dgm:t>
        <a:bodyPr/>
        <a:lstStyle/>
        <a:p>
          <a:r>
            <a:rPr lang="pl-PL" sz="900" b="1"/>
            <a:t>Monitoring realizacji projektów:</a:t>
          </a:r>
        </a:p>
        <a:p>
          <a:r>
            <a:rPr lang="pl-PL" sz="900"/>
            <a:t>- monitoring poziomu uzyskania zakładanych produktów i rezultatów,</a:t>
          </a:r>
        </a:p>
        <a:p>
          <a:r>
            <a:rPr lang="pl-PL" sz="900"/>
            <a:t>- monitoring wskaźników zawartych w RPO </a:t>
          </a:r>
          <a:br>
            <a:rPr lang="pl-PL" sz="900"/>
          </a:br>
          <a:r>
            <a:rPr lang="pl-PL" sz="900"/>
            <a:t>Woj. Śląskiego,</a:t>
          </a:r>
        </a:p>
      </dgm:t>
    </dgm:pt>
    <dgm:pt modelId="{67D011CE-E140-4BEA-AD31-0300B467BE71}" type="parTrans" cxnId="{F19D1C13-276F-408B-B0C9-AA69E846FEA9}">
      <dgm:prSet/>
      <dgm:spPr/>
      <dgm:t>
        <a:bodyPr/>
        <a:lstStyle/>
        <a:p>
          <a:endParaRPr lang="pl-PL"/>
        </a:p>
      </dgm:t>
    </dgm:pt>
    <dgm:pt modelId="{EEBCE309-A519-47A6-9197-4654342533A3}" type="sibTrans" cxnId="{F19D1C13-276F-408B-B0C9-AA69E846FEA9}">
      <dgm:prSet/>
      <dgm:spPr/>
      <dgm:t>
        <a:bodyPr/>
        <a:lstStyle/>
        <a:p>
          <a:endParaRPr lang="pl-PL"/>
        </a:p>
      </dgm:t>
    </dgm:pt>
    <dgm:pt modelId="{A563FE9D-2837-4F91-A50D-A4355BB2AF7A}">
      <dgm:prSet phldrT="[Tekst]" custT="1"/>
      <dgm:spPr>
        <a:ln w="38100">
          <a:solidFill>
            <a:schemeClr val="bg1">
              <a:lumMod val="65000"/>
              <a:alpha val="90000"/>
            </a:schemeClr>
          </a:solidFill>
        </a:ln>
      </dgm:spPr>
      <dgm:t>
        <a:bodyPr/>
        <a:lstStyle/>
        <a:p>
          <a:r>
            <a:rPr lang="pl-PL" sz="900" b="1"/>
            <a:t>Ewaluacja:</a:t>
          </a:r>
        </a:p>
        <a:p>
          <a:r>
            <a:rPr lang="pl-PL" sz="900"/>
            <a:t>- badanie efektywności, korzystności i skuteczności realizacji projektu,</a:t>
          </a:r>
        </a:p>
        <a:p>
          <a:r>
            <a:rPr lang="pl-PL" sz="900"/>
            <a:t>- badanie zainteresowania benefcjentów efektami projektu,</a:t>
          </a:r>
        </a:p>
        <a:p>
          <a:r>
            <a:rPr lang="pl-PL" sz="900"/>
            <a:t>- badanie poziomu partnerstwa w realizacji projektów,</a:t>
          </a:r>
        </a:p>
      </dgm:t>
    </dgm:pt>
    <dgm:pt modelId="{2867639E-1C44-490C-AF87-B2E9DD315FFA}" type="parTrans" cxnId="{3BE145E8-4EAF-48BE-8444-B25B647ED19E}">
      <dgm:prSet/>
      <dgm:spPr/>
      <dgm:t>
        <a:bodyPr/>
        <a:lstStyle/>
        <a:p>
          <a:endParaRPr lang="pl-PL"/>
        </a:p>
      </dgm:t>
    </dgm:pt>
    <dgm:pt modelId="{D8AA24A2-8353-4FAA-862A-18FA180B909E}" type="sibTrans" cxnId="{3BE145E8-4EAF-48BE-8444-B25B647ED19E}">
      <dgm:prSet/>
      <dgm:spPr/>
      <dgm:t>
        <a:bodyPr/>
        <a:lstStyle/>
        <a:p>
          <a:endParaRPr lang="pl-PL"/>
        </a:p>
      </dgm:t>
    </dgm:pt>
    <dgm:pt modelId="{20052235-D07A-482A-A8FD-05ACC6D5A4C3}">
      <dgm:prSet phldrT="[Tekst]" custT="1"/>
      <dgm:spPr>
        <a:solidFill>
          <a:srgbClr val="99CCFF"/>
        </a:solidFill>
        <a:ln>
          <a:solidFill>
            <a:srgbClr val="0070C0"/>
          </a:solidFill>
        </a:ln>
      </dgm:spPr>
      <dgm:t>
        <a:bodyPr/>
        <a:lstStyle/>
        <a:p>
          <a:r>
            <a:rPr lang="pl-PL" sz="1600" b="1">
              <a:solidFill>
                <a:sysClr val="windowText" lastClr="000000"/>
              </a:solidFill>
            </a:rPr>
            <a:t>REALIZACJA CELÓW REWITALIZACJI</a:t>
          </a:r>
        </a:p>
      </dgm:t>
    </dgm:pt>
    <dgm:pt modelId="{54F03DFF-6FA4-4B9A-82B9-B34E56FD71BF}" type="parTrans" cxnId="{153CA50C-4F7B-41DB-A414-47EABAE0C8F9}">
      <dgm:prSet/>
      <dgm:spPr/>
      <dgm:t>
        <a:bodyPr/>
        <a:lstStyle/>
        <a:p>
          <a:endParaRPr lang="pl-PL"/>
        </a:p>
      </dgm:t>
    </dgm:pt>
    <dgm:pt modelId="{7FAF5F5B-BA6E-4B4F-8072-6E65ECF75286}" type="sibTrans" cxnId="{153CA50C-4F7B-41DB-A414-47EABAE0C8F9}">
      <dgm:prSet/>
      <dgm:spPr/>
      <dgm:t>
        <a:bodyPr/>
        <a:lstStyle/>
        <a:p>
          <a:endParaRPr lang="pl-PL"/>
        </a:p>
      </dgm:t>
    </dgm:pt>
    <dgm:pt modelId="{046ED663-EAE0-48AF-8FC8-7149A6492E28}">
      <dgm:prSet phldrT="[Tekst]" custT="1"/>
      <dgm:spPr>
        <a:ln w="38100">
          <a:solidFill>
            <a:schemeClr val="bg1">
              <a:lumMod val="65000"/>
              <a:alpha val="90000"/>
            </a:schemeClr>
          </a:solidFill>
        </a:ln>
      </dgm:spPr>
      <dgm:t>
        <a:bodyPr/>
        <a:lstStyle/>
        <a:p>
          <a:r>
            <a:rPr lang="pl-PL" sz="900" b="1"/>
            <a:t>Monitoring: osiągania celów programu rewitalizacji:</a:t>
          </a:r>
        </a:p>
        <a:p>
          <a:r>
            <a:rPr lang="pl-PL" sz="900"/>
            <a:t>- monitoring wskaźników ustalonych do celów programu,</a:t>
          </a:r>
        </a:p>
      </dgm:t>
    </dgm:pt>
    <dgm:pt modelId="{A8086EB2-93E6-4C92-8A4E-ADAA5AD56677}" type="parTrans" cxnId="{03E06D97-7322-4389-A611-190142CCB995}">
      <dgm:prSet/>
      <dgm:spPr/>
      <dgm:t>
        <a:bodyPr/>
        <a:lstStyle/>
        <a:p>
          <a:endParaRPr lang="pl-PL"/>
        </a:p>
      </dgm:t>
    </dgm:pt>
    <dgm:pt modelId="{76CA25D8-594C-45A7-B7EA-DF52CA5BADD3}" type="sibTrans" cxnId="{03E06D97-7322-4389-A611-190142CCB995}">
      <dgm:prSet/>
      <dgm:spPr/>
      <dgm:t>
        <a:bodyPr/>
        <a:lstStyle/>
        <a:p>
          <a:endParaRPr lang="pl-PL"/>
        </a:p>
      </dgm:t>
    </dgm:pt>
    <dgm:pt modelId="{02CEE565-D4BF-4896-B36B-DD5F81952366}">
      <dgm:prSet phldrT="[Tekst]" custT="1"/>
      <dgm:spPr>
        <a:ln w="38100">
          <a:solidFill>
            <a:schemeClr val="bg1">
              <a:lumMod val="65000"/>
              <a:alpha val="90000"/>
            </a:schemeClr>
          </a:solidFill>
        </a:ln>
      </dgm:spPr>
      <dgm:t>
        <a:bodyPr/>
        <a:lstStyle/>
        <a:p>
          <a:r>
            <a:rPr lang="pl-PL" sz="900" b="1"/>
            <a:t>Ewaluacja:</a:t>
          </a:r>
        </a:p>
        <a:p>
          <a:r>
            <a:rPr lang="pl-PL" sz="900"/>
            <a:t>- stawianie hipotez dotyczących wpływu podejmowanych działań rewitalizacyjnych na realne zmiany sytuacji obszarów (w tym prace eksperckie),</a:t>
          </a:r>
        </a:p>
        <a:p>
          <a:r>
            <a:rPr lang="pl-PL" sz="900"/>
            <a:t>- proponowanie zmian w GPR i procesie jego wdrażania,</a:t>
          </a:r>
        </a:p>
      </dgm:t>
    </dgm:pt>
    <dgm:pt modelId="{94AEA449-7856-41EB-9A71-B257EB3EE428}" type="parTrans" cxnId="{9D421393-B3F5-4234-A64B-FCCD400AF660}">
      <dgm:prSet/>
      <dgm:spPr/>
      <dgm:t>
        <a:bodyPr/>
        <a:lstStyle/>
        <a:p>
          <a:endParaRPr lang="pl-PL"/>
        </a:p>
      </dgm:t>
    </dgm:pt>
    <dgm:pt modelId="{C14196E0-7D00-4861-86BB-91B9DE507D24}" type="sibTrans" cxnId="{9D421393-B3F5-4234-A64B-FCCD400AF660}">
      <dgm:prSet/>
      <dgm:spPr/>
      <dgm:t>
        <a:bodyPr/>
        <a:lstStyle/>
        <a:p>
          <a:endParaRPr lang="pl-PL"/>
        </a:p>
      </dgm:t>
    </dgm:pt>
    <dgm:pt modelId="{26C539AE-239F-49F4-AE7F-BEE6277955AB}" type="pres">
      <dgm:prSet presAssocID="{7087BF07-6262-4434-8BC9-175B21A40F8E}" presName="Name0" presStyleCnt="0">
        <dgm:presLayoutVars>
          <dgm:dir/>
          <dgm:animLvl val="lvl"/>
          <dgm:resizeHandles val="exact"/>
        </dgm:presLayoutVars>
      </dgm:prSet>
      <dgm:spPr/>
      <dgm:t>
        <a:bodyPr/>
        <a:lstStyle/>
        <a:p>
          <a:endParaRPr lang="pl-PL"/>
        </a:p>
      </dgm:t>
    </dgm:pt>
    <dgm:pt modelId="{5ADE5A15-FAAC-4CB4-8A84-E4DE6119CF19}" type="pres">
      <dgm:prSet presAssocID="{20052235-D07A-482A-A8FD-05ACC6D5A4C3}" presName="boxAndChildren" presStyleCnt="0"/>
      <dgm:spPr/>
    </dgm:pt>
    <dgm:pt modelId="{91D528BC-18B3-4828-83BA-36DB6B63345C}" type="pres">
      <dgm:prSet presAssocID="{20052235-D07A-482A-A8FD-05ACC6D5A4C3}" presName="parentTextBox" presStyleLbl="node1" presStyleIdx="0" presStyleCnt="3"/>
      <dgm:spPr/>
      <dgm:t>
        <a:bodyPr/>
        <a:lstStyle/>
        <a:p>
          <a:endParaRPr lang="pl-PL"/>
        </a:p>
      </dgm:t>
    </dgm:pt>
    <dgm:pt modelId="{8E1DCC0B-971B-47F3-BC5B-2799C3F0FF1B}" type="pres">
      <dgm:prSet presAssocID="{20052235-D07A-482A-A8FD-05ACC6D5A4C3}" presName="entireBox" presStyleLbl="node1" presStyleIdx="0" presStyleCnt="3"/>
      <dgm:spPr/>
      <dgm:t>
        <a:bodyPr/>
        <a:lstStyle/>
        <a:p>
          <a:endParaRPr lang="pl-PL"/>
        </a:p>
      </dgm:t>
    </dgm:pt>
    <dgm:pt modelId="{9D803EFA-D754-43E9-BF91-27F67A719D5B}" type="pres">
      <dgm:prSet presAssocID="{20052235-D07A-482A-A8FD-05ACC6D5A4C3}" presName="descendantBox" presStyleCnt="0"/>
      <dgm:spPr/>
    </dgm:pt>
    <dgm:pt modelId="{FFCC2E34-6677-48D5-86A0-F05349E15962}" type="pres">
      <dgm:prSet presAssocID="{046ED663-EAE0-48AF-8FC8-7149A6492E28}" presName="childTextBox" presStyleLbl="fgAccFollowNode1" presStyleIdx="0" presStyleCnt="6" custScaleY="137349" custLinFactNeighborY="-9148">
        <dgm:presLayoutVars>
          <dgm:bulletEnabled val="1"/>
        </dgm:presLayoutVars>
      </dgm:prSet>
      <dgm:spPr/>
      <dgm:t>
        <a:bodyPr/>
        <a:lstStyle/>
        <a:p>
          <a:endParaRPr lang="pl-PL"/>
        </a:p>
      </dgm:t>
    </dgm:pt>
    <dgm:pt modelId="{1AAAC00B-185F-4911-8746-5BA3AD0F9766}" type="pres">
      <dgm:prSet presAssocID="{02CEE565-D4BF-4896-B36B-DD5F81952366}" presName="childTextBox" presStyleLbl="fgAccFollowNode1" presStyleIdx="1" presStyleCnt="6" custScaleY="137349" custLinFactNeighborY="-9148">
        <dgm:presLayoutVars>
          <dgm:bulletEnabled val="1"/>
        </dgm:presLayoutVars>
      </dgm:prSet>
      <dgm:spPr/>
      <dgm:t>
        <a:bodyPr/>
        <a:lstStyle/>
        <a:p>
          <a:endParaRPr lang="pl-PL"/>
        </a:p>
      </dgm:t>
    </dgm:pt>
    <dgm:pt modelId="{7F36A91B-6D47-4191-A9ED-FFDADA95EB43}" type="pres">
      <dgm:prSet presAssocID="{0FCAB918-FB6E-474E-BD10-EFB321412021}" presName="sp" presStyleCnt="0"/>
      <dgm:spPr/>
    </dgm:pt>
    <dgm:pt modelId="{838F9004-8C3C-416A-B250-228A2EF3E917}" type="pres">
      <dgm:prSet presAssocID="{B0562CAF-295A-402C-AC7A-398CA923392A}" presName="arrowAndChildren" presStyleCnt="0"/>
      <dgm:spPr/>
    </dgm:pt>
    <dgm:pt modelId="{BA37108F-9EC3-48C0-9CDA-088F4D7CBD4B}" type="pres">
      <dgm:prSet presAssocID="{B0562CAF-295A-402C-AC7A-398CA923392A}" presName="parentTextArrow" presStyleLbl="node1" presStyleIdx="0" presStyleCnt="3"/>
      <dgm:spPr/>
      <dgm:t>
        <a:bodyPr/>
        <a:lstStyle/>
        <a:p>
          <a:endParaRPr lang="pl-PL"/>
        </a:p>
      </dgm:t>
    </dgm:pt>
    <dgm:pt modelId="{41D4655E-84F8-488F-9203-C6AE93616603}" type="pres">
      <dgm:prSet presAssocID="{B0562CAF-295A-402C-AC7A-398CA923392A}" presName="arrow" presStyleLbl="node1" presStyleIdx="1" presStyleCnt="3"/>
      <dgm:spPr/>
      <dgm:t>
        <a:bodyPr/>
        <a:lstStyle/>
        <a:p>
          <a:endParaRPr lang="pl-PL"/>
        </a:p>
      </dgm:t>
    </dgm:pt>
    <dgm:pt modelId="{EE7B456C-A51C-4228-B9C0-53FC4713DCFC}" type="pres">
      <dgm:prSet presAssocID="{B0562CAF-295A-402C-AC7A-398CA923392A}" presName="descendantArrow" presStyleCnt="0"/>
      <dgm:spPr/>
    </dgm:pt>
    <dgm:pt modelId="{EA98F11B-6A5C-4EEC-8C7B-D40DFF16D0CF}" type="pres">
      <dgm:prSet presAssocID="{F44EA756-8BEF-458C-BD79-35C326446BEA}" presName="childTextArrow" presStyleLbl="fgAccFollowNode1" presStyleIdx="2" presStyleCnt="6" custScaleY="137349" custLinFactNeighborY="-14645">
        <dgm:presLayoutVars>
          <dgm:bulletEnabled val="1"/>
        </dgm:presLayoutVars>
      </dgm:prSet>
      <dgm:spPr/>
      <dgm:t>
        <a:bodyPr/>
        <a:lstStyle/>
        <a:p>
          <a:endParaRPr lang="pl-PL"/>
        </a:p>
      </dgm:t>
    </dgm:pt>
    <dgm:pt modelId="{04033FD7-9A6D-4513-B16B-EA7BDF758399}" type="pres">
      <dgm:prSet presAssocID="{A563FE9D-2837-4F91-A50D-A4355BB2AF7A}" presName="childTextArrow" presStyleLbl="fgAccFollowNode1" presStyleIdx="3" presStyleCnt="6" custScaleY="137349" custLinFactNeighborY="-14645">
        <dgm:presLayoutVars>
          <dgm:bulletEnabled val="1"/>
        </dgm:presLayoutVars>
      </dgm:prSet>
      <dgm:spPr/>
      <dgm:t>
        <a:bodyPr/>
        <a:lstStyle/>
        <a:p>
          <a:endParaRPr lang="pl-PL"/>
        </a:p>
      </dgm:t>
    </dgm:pt>
    <dgm:pt modelId="{D7D6FC96-B5DD-44F7-B2D2-B28F905EDA95}" type="pres">
      <dgm:prSet presAssocID="{E3CCC0BC-407F-4B48-889E-E04B6F51C7DE}" presName="sp" presStyleCnt="0"/>
      <dgm:spPr/>
    </dgm:pt>
    <dgm:pt modelId="{D1D87BE6-5716-4877-A6B9-358B122AB4BF}" type="pres">
      <dgm:prSet presAssocID="{D1DC35FA-0CFE-4F8C-907E-3322B080EC9F}" presName="arrowAndChildren" presStyleCnt="0"/>
      <dgm:spPr/>
    </dgm:pt>
    <dgm:pt modelId="{D0B5932F-C33D-49A2-BC47-F9B5238C1E26}" type="pres">
      <dgm:prSet presAssocID="{D1DC35FA-0CFE-4F8C-907E-3322B080EC9F}" presName="parentTextArrow" presStyleLbl="node1" presStyleIdx="1" presStyleCnt="3"/>
      <dgm:spPr/>
      <dgm:t>
        <a:bodyPr/>
        <a:lstStyle/>
        <a:p>
          <a:endParaRPr lang="pl-PL"/>
        </a:p>
      </dgm:t>
    </dgm:pt>
    <dgm:pt modelId="{46D2636D-B240-4CC6-8BD6-8AF70E6215EF}" type="pres">
      <dgm:prSet presAssocID="{D1DC35FA-0CFE-4F8C-907E-3322B080EC9F}" presName="arrow" presStyleLbl="node1" presStyleIdx="2" presStyleCnt="3"/>
      <dgm:spPr/>
      <dgm:t>
        <a:bodyPr/>
        <a:lstStyle/>
        <a:p>
          <a:endParaRPr lang="pl-PL"/>
        </a:p>
      </dgm:t>
    </dgm:pt>
    <dgm:pt modelId="{68968AD8-D8D5-466A-B6E6-B8E404B4E957}" type="pres">
      <dgm:prSet presAssocID="{D1DC35FA-0CFE-4F8C-907E-3322B080EC9F}" presName="descendantArrow" presStyleCnt="0"/>
      <dgm:spPr/>
    </dgm:pt>
    <dgm:pt modelId="{52398441-7F01-4C57-8F4B-C7D4184D47C0}" type="pres">
      <dgm:prSet presAssocID="{56528ED4-4540-4EFD-B49B-EBAA61788BAD}" presName="childTextArrow" presStyleLbl="fgAccFollowNode1" presStyleIdx="4" presStyleCnt="6" custScaleY="137349" custLinFactNeighborY="-14645">
        <dgm:presLayoutVars>
          <dgm:bulletEnabled val="1"/>
        </dgm:presLayoutVars>
      </dgm:prSet>
      <dgm:spPr/>
      <dgm:t>
        <a:bodyPr/>
        <a:lstStyle/>
        <a:p>
          <a:endParaRPr lang="pl-PL"/>
        </a:p>
      </dgm:t>
    </dgm:pt>
    <dgm:pt modelId="{DC4CAC05-7116-4BFC-A61C-9B624F87476E}" type="pres">
      <dgm:prSet presAssocID="{200429A1-86B7-475D-A482-AF550E531035}" presName="childTextArrow" presStyleLbl="fgAccFollowNode1" presStyleIdx="5" presStyleCnt="6" custScaleY="137349" custLinFactNeighborY="-14645">
        <dgm:presLayoutVars>
          <dgm:bulletEnabled val="1"/>
        </dgm:presLayoutVars>
      </dgm:prSet>
      <dgm:spPr/>
      <dgm:t>
        <a:bodyPr/>
        <a:lstStyle/>
        <a:p>
          <a:endParaRPr lang="pl-PL"/>
        </a:p>
      </dgm:t>
    </dgm:pt>
  </dgm:ptLst>
  <dgm:cxnLst>
    <dgm:cxn modelId="{C9242AE2-3C48-466D-BC6E-D3CE1C7E2560}" type="presOf" srcId="{200429A1-86B7-475D-A482-AF550E531035}" destId="{DC4CAC05-7116-4BFC-A61C-9B624F87476E}" srcOrd="0" destOrd="0" presId="urn:microsoft.com/office/officeart/2005/8/layout/process4"/>
    <dgm:cxn modelId="{C62F506A-C9E4-4F86-8E11-F6706F2B5BD5}" srcId="{D1DC35FA-0CFE-4F8C-907E-3322B080EC9F}" destId="{200429A1-86B7-475D-A482-AF550E531035}" srcOrd="1" destOrd="0" parTransId="{199D8AF7-9DD6-4FE5-926A-28DDA76A7676}" sibTransId="{CB51E471-F042-49A9-B2C4-4D70DE256F95}"/>
    <dgm:cxn modelId="{153CA50C-4F7B-41DB-A414-47EABAE0C8F9}" srcId="{7087BF07-6262-4434-8BC9-175B21A40F8E}" destId="{20052235-D07A-482A-A8FD-05ACC6D5A4C3}" srcOrd="2" destOrd="0" parTransId="{54F03DFF-6FA4-4B9A-82B9-B34E56FD71BF}" sibTransId="{7FAF5F5B-BA6E-4B4F-8072-6E65ECF75286}"/>
    <dgm:cxn modelId="{48E18C05-70F2-4A19-A308-51EE7DA48A5F}" type="presOf" srcId="{F44EA756-8BEF-458C-BD79-35C326446BEA}" destId="{EA98F11B-6A5C-4EEC-8C7B-D40DFF16D0CF}" srcOrd="0" destOrd="0" presId="urn:microsoft.com/office/officeart/2005/8/layout/process4"/>
    <dgm:cxn modelId="{F19D1C13-276F-408B-B0C9-AA69E846FEA9}" srcId="{B0562CAF-295A-402C-AC7A-398CA923392A}" destId="{F44EA756-8BEF-458C-BD79-35C326446BEA}" srcOrd="0" destOrd="0" parTransId="{67D011CE-E140-4BEA-AD31-0300B467BE71}" sibTransId="{EEBCE309-A519-47A6-9197-4654342533A3}"/>
    <dgm:cxn modelId="{3BE145E8-4EAF-48BE-8444-B25B647ED19E}" srcId="{B0562CAF-295A-402C-AC7A-398CA923392A}" destId="{A563FE9D-2837-4F91-A50D-A4355BB2AF7A}" srcOrd="1" destOrd="0" parTransId="{2867639E-1C44-490C-AF87-B2E9DD315FFA}" sibTransId="{D8AA24A2-8353-4FAA-862A-18FA180B909E}"/>
    <dgm:cxn modelId="{06B8224E-B59E-4258-AFA2-3698D0F747D6}" type="presOf" srcId="{20052235-D07A-482A-A8FD-05ACC6D5A4C3}" destId="{8E1DCC0B-971B-47F3-BC5B-2799C3F0FF1B}" srcOrd="1" destOrd="0" presId="urn:microsoft.com/office/officeart/2005/8/layout/process4"/>
    <dgm:cxn modelId="{5A87C339-65AE-4416-B268-FE5558E37323}" type="presOf" srcId="{20052235-D07A-482A-A8FD-05ACC6D5A4C3}" destId="{91D528BC-18B3-4828-83BA-36DB6B63345C}" srcOrd="0" destOrd="0" presId="urn:microsoft.com/office/officeart/2005/8/layout/process4"/>
    <dgm:cxn modelId="{F0D92E0B-0917-4020-8B79-06109CE733F4}" type="presOf" srcId="{02CEE565-D4BF-4896-B36B-DD5F81952366}" destId="{1AAAC00B-185F-4911-8746-5BA3AD0F9766}" srcOrd="0" destOrd="0" presId="urn:microsoft.com/office/officeart/2005/8/layout/process4"/>
    <dgm:cxn modelId="{296EDA79-54BE-4A1E-A97B-81F3908F9183}" type="presOf" srcId="{B0562CAF-295A-402C-AC7A-398CA923392A}" destId="{BA37108F-9EC3-48C0-9CDA-088F4D7CBD4B}" srcOrd="0" destOrd="0" presId="urn:microsoft.com/office/officeart/2005/8/layout/process4"/>
    <dgm:cxn modelId="{1CFC1170-0D3B-4330-98F1-EEE3388C44F0}" type="presOf" srcId="{B0562CAF-295A-402C-AC7A-398CA923392A}" destId="{41D4655E-84F8-488F-9203-C6AE93616603}" srcOrd="1" destOrd="0" presId="urn:microsoft.com/office/officeart/2005/8/layout/process4"/>
    <dgm:cxn modelId="{9D421393-B3F5-4234-A64B-FCCD400AF660}" srcId="{20052235-D07A-482A-A8FD-05ACC6D5A4C3}" destId="{02CEE565-D4BF-4896-B36B-DD5F81952366}" srcOrd="1" destOrd="0" parTransId="{94AEA449-7856-41EB-9A71-B257EB3EE428}" sibTransId="{C14196E0-7D00-4861-86BB-91B9DE507D24}"/>
    <dgm:cxn modelId="{0F439807-0B6F-4BEC-BAB3-88B65CB7A0CB}" type="presOf" srcId="{A563FE9D-2837-4F91-A50D-A4355BB2AF7A}" destId="{04033FD7-9A6D-4513-B16B-EA7BDF758399}" srcOrd="0" destOrd="0" presId="urn:microsoft.com/office/officeart/2005/8/layout/process4"/>
    <dgm:cxn modelId="{238C17C5-CB1A-4178-AEB5-4A35C94A8BC9}" type="presOf" srcId="{D1DC35FA-0CFE-4F8C-907E-3322B080EC9F}" destId="{46D2636D-B240-4CC6-8BD6-8AF70E6215EF}" srcOrd="1" destOrd="0" presId="urn:microsoft.com/office/officeart/2005/8/layout/process4"/>
    <dgm:cxn modelId="{17DCF584-A67C-4484-8839-1E876C5F510F}" type="presOf" srcId="{7087BF07-6262-4434-8BC9-175B21A40F8E}" destId="{26C539AE-239F-49F4-AE7F-BEE6277955AB}" srcOrd="0" destOrd="0" presId="urn:microsoft.com/office/officeart/2005/8/layout/process4"/>
    <dgm:cxn modelId="{142B2F13-4321-4BC0-A613-9DF3BD271DA6}" srcId="{7087BF07-6262-4434-8BC9-175B21A40F8E}" destId="{B0562CAF-295A-402C-AC7A-398CA923392A}" srcOrd="1" destOrd="0" parTransId="{153C6401-A7E4-4B25-9B5B-5F78A68BDA49}" sibTransId="{0FCAB918-FB6E-474E-BD10-EFB321412021}"/>
    <dgm:cxn modelId="{8B91A06E-06A6-41D8-8B28-8CDB36991D78}" srcId="{D1DC35FA-0CFE-4F8C-907E-3322B080EC9F}" destId="{56528ED4-4540-4EFD-B49B-EBAA61788BAD}" srcOrd="0" destOrd="0" parTransId="{84820FE6-27DE-497C-BC2B-64D853F6BE21}" sibTransId="{9A29992A-9C76-4C02-AFFD-495770791A6B}"/>
    <dgm:cxn modelId="{905E938A-4833-4360-961F-87595AE7D51F}" srcId="{7087BF07-6262-4434-8BC9-175B21A40F8E}" destId="{D1DC35FA-0CFE-4F8C-907E-3322B080EC9F}" srcOrd="0" destOrd="0" parTransId="{B78CE895-B440-4FB5-9855-9A68FDFDC504}" sibTransId="{E3CCC0BC-407F-4B48-889E-E04B6F51C7DE}"/>
    <dgm:cxn modelId="{03E06D97-7322-4389-A611-190142CCB995}" srcId="{20052235-D07A-482A-A8FD-05ACC6D5A4C3}" destId="{046ED663-EAE0-48AF-8FC8-7149A6492E28}" srcOrd="0" destOrd="0" parTransId="{A8086EB2-93E6-4C92-8A4E-ADAA5AD56677}" sibTransId="{76CA25D8-594C-45A7-B7EA-DF52CA5BADD3}"/>
    <dgm:cxn modelId="{ED848951-96B5-41B2-941F-BF51C9AD5E29}" type="presOf" srcId="{D1DC35FA-0CFE-4F8C-907E-3322B080EC9F}" destId="{D0B5932F-C33D-49A2-BC47-F9B5238C1E26}" srcOrd="0" destOrd="0" presId="urn:microsoft.com/office/officeart/2005/8/layout/process4"/>
    <dgm:cxn modelId="{30DD1F3E-2614-4500-9289-8E26F0A324D2}" type="presOf" srcId="{56528ED4-4540-4EFD-B49B-EBAA61788BAD}" destId="{52398441-7F01-4C57-8F4B-C7D4184D47C0}" srcOrd="0" destOrd="0" presId="urn:microsoft.com/office/officeart/2005/8/layout/process4"/>
    <dgm:cxn modelId="{8DED4A75-14F6-4AA7-81E8-6EB5363082EF}" type="presOf" srcId="{046ED663-EAE0-48AF-8FC8-7149A6492E28}" destId="{FFCC2E34-6677-48D5-86A0-F05349E15962}" srcOrd="0" destOrd="0" presId="urn:microsoft.com/office/officeart/2005/8/layout/process4"/>
    <dgm:cxn modelId="{9EF01904-B2AB-46FD-929E-FEAB5538F418}" type="presParOf" srcId="{26C539AE-239F-49F4-AE7F-BEE6277955AB}" destId="{5ADE5A15-FAAC-4CB4-8A84-E4DE6119CF19}" srcOrd="0" destOrd="0" presId="urn:microsoft.com/office/officeart/2005/8/layout/process4"/>
    <dgm:cxn modelId="{F58AB75A-3974-4040-8534-DF85D9086100}" type="presParOf" srcId="{5ADE5A15-FAAC-4CB4-8A84-E4DE6119CF19}" destId="{91D528BC-18B3-4828-83BA-36DB6B63345C}" srcOrd="0" destOrd="0" presId="urn:microsoft.com/office/officeart/2005/8/layout/process4"/>
    <dgm:cxn modelId="{4F57FC06-F81F-4193-90BB-3428808B035E}" type="presParOf" srcId="{5ADE5A15-FAAC-4CB4-8A84-E4DE6119CF19}" destId="{8E1DCC0B-971B-47F3-BC5B-2799C3F0FF1B}" srcOrd="1" destOrd="0" presId="urn:microsoft.com/office/officeart/2005/8/layout/process4"/>
    <dgm:cxn modelId="{0414F1D4-822E-4F58-9F14-EF4590A314D5}" type="presParOf" srcId="{5ADE5A15-FAAC-4CB4-8A84-E4DE6119CF19}" destId="{9D803EFA-D754-43E9-BF91-27F67A719D5B}" srcOrd="2" destOrd="0" presId="urn:microsoft.com/office/officeart/2005/8/layout/process4"/>
    <dgm:cxn modelId="{7AD5E55A-1282-4064-A9FA-051F4083A847}" type="presParOf" srcId="{9D803EFA-D754-43E9-BF91-27F67A719D5B}" destId="{FFCC2E34-6677-48D5-86A0-F05349E15962}" srcOrd="0" destOrd="0" presId="urn:microsoft.com/office/officeart/2005/8/layout/process4"/>
    <dgm:cxn modelId="{6C578332-03F4-47DC-B2FE-4CCBD102FEF5}" type="presParOf" srcId="{9D803EFA-D754-43E9-BF91-27F67A719D5B}" destId="{1AAAC00B-185F-4911-8746-5BA3AD0F9766}" srcOrd="1" destOrd="0" presId="urn:microsoft.com/office/officeart/2005/8/layout/process4"/>
    <dgm:cxn modelId="{8A46D089-9BC7-46FD-A211-D54C0E3B4B32}" type="presParOf" srcId="{26C539AE-239F-49F4-AE7F-BEE6277955AB}" destId="{7F36A91B-6D47-4191-A9ED-FFDADA95EB43}" srcOrd="1" destOrd="0" presId="urn:microsoft.com/office/officeart/2005/8/layout/process4"/>
    <dgm:cxn modelId="{E038DDA7-6C96-40C1-8D6D-C62ECA68EF4A}" type="presParOf" srcId="{26C539AE-239F-49F4-AE7F-BEE6277955AB}" destId="{838F9004-8C3C-416A-B250-228A2EF3E917}" srcOrd="2" destOrd="0" presId="urn:microsoft.com/office/officeart/2005/8/layout/process4"/>
    <dgm:cxn modelId="{476DF233-6D80-418B-B3C4-30E0C9F5D263}" type="presParOf" srcId="{838F9004-8C3C-416A-B250-228A2EF3E917}" destId="{BA37108F-9EC3-48C0-9CDA-088F4D7CBD4B}" srcOrd="0" destOrd="0" presId="urn:microsoft.com/office/officeart/2005/8/layout/process4"/>
    <dgm:cxn modelId="{6B892F9A-1955-4270-B7DE-FB978D1F741E}" type="presParOf" srcId="{838F9004-8C3C-416A-B250-228A2EF3E917}" destId="{41D4655E-84F8-488F-9203-C6AE93616603}" srcOrd="1" destOrd="0" presId="urn:microsoft.com/office/officeart/2005/8/layout/process4"/>
    <dgm:cxn modelId="{C772CC6F-D97D-42CB-AEC0-4D73F4155219}" type="presParOf" srcId="{838F9004-8C3C-416A-B250-228A2EF3E917}" destId="{EE7B456C-A51C-4228-B9C0-53FC4713DCFC}" srcOrd="2" destOrd="0" presId="urn:microsoft.com/office/officeart/2005/8/layout/process4"/>
    <dgm:cxn modelId="{5133AF24-AE05-442D-AA0D-E2B4DD67C5B2}" type="presParOf" srcId="{EE7B456C-A51C-4228-B9C0-53FC4713DCFC}" destId="{EA98F11B-6A5C-4EEC-8C7B-D40DFF16D0CF}" srcOrd="0" destOrd="0" presId="urn:microsoft.com/office/officeart/2005/8/layout/process4"/>
    <dgm:cxn modelId="{08BA0CB4-2EF4-40D8-A6B7-311F6A264412}" type="presParOf" srcId="{EE7B456C-A51C-4228-B9C0-53FC4713DCFC}" destId="{04033FD7-9A6D-4513-B16B-EA7BDF758399}" srcOrd="1" destOrd="0" presId="urn:microsoft.com/office/officeart/2005/8/layout/process4"/>
    <dgm:cxn modelId="{BDF10809-A75E-49AE-9EBE-DDB8D15D0D85}" type="presParOf" srcId="{26C539AE-239F-49F4-AE7F-BEE6277955AB}" destId="{D7D6FC96-B5DD-44F7-B2D2-B28F905EDA95}" srcOrd="3" destOrd="0" presId="urn:microsoft.com/office/officeart/2005/8/layout/process4"/>
    <dgm:cxn modelId="{E5122E0B-DD96-479F-B333-9C5DB12FE0E5}" type="presParOf" srcId="{26C539AE-239F-49F4-AE7F-BEE6277955AB}" destId="{D1D87BE6-5716-4877-A6B9-358B122AB4BF}" srcOrd="4" destOrd="0" presId="urn:microsoft.com/office/officeart/2005/8/layout/process4"/>
    <dgm:cxn modelId="{17A8484F-19F6-40E1-9A17-069B97431304}" type="presParOf" srcId="{D1D87BE6-5716-4877-A6B9-358B122AB4BF}" destId="{D0B5932F-C33D-49A2-BC47-F9B5238C1E26}" srcOrd="0" destOrd="0" presId="urn:microsoft.com/office/officeart/2005/8/layout/process4"/>
    <dgm:cxn modelId="{3F63C9C6-D3BC-468D-8DC0-B2BDC8719726}" type="presParOf" srcId="{D1D87BE6-5716-4877-A6B9-358B122AB4BF}" destId="{46D2636D-B240-4CC6-8BD6-8AF70E6215EF}" srcOrd="1" destOrd="0" presId="urn:microsoft.com/office/officeart/2005/8/layout/process4"/>
    <dgm:cxn modelId="{7D5C01F5-6143-4FDD-AF70-055D5859671E}" type="presParOf" srcId="{D1D87BE6-5716-4877-A6B9-358B122AB4BF}" destId="{68968AD8-D8D5-466A-B6E6-B8E404B4E957}" srcOrd="2" destOrd="0" presId="urn:microsoft.com/office/officeart/2005/8/layout/process4"/>
    <dgm:cxn modelId="{EBF4AFDD-D3EF-4973-9747-5F36A9FB0645}" type="presParOf" srcId="{68968AD8-D8D5-466A-B6E6-B8E404B4E957}" destId="{52398441-7F01-4C57-8F4B-C7D4184D47C0}" srcOrd="0" destOrd="0" presId="urn:microsoft.com/office/officeart/2005/8/layout/process4"/>
    <dgm:cxn modelId="{2056486E-FB35-4B99-A5D3-E1ED80CB72BB}" type="presParOf" srcId="{68968AD8-D8D5-466A-B6E6-B8E404B4E957}" destId="{DC4CAC05-7116-4BFC-A61C-9B624F87476E}" srcOrd="1" destOrd="0" presId="urn:microsoft.com/office/officeart/2005/8/layout/process4"/>
  </dgm:cxnLst>
  <dgm:bg/>
  <dgm:whole/>
  <dgm:extLst>
    <a:ext uri="http://schemas.microsoft.com/office/drawing/2008/diagram">
      <dsp:dataModelExt xmlns:dsp="http://schemas.microsoft.com/office/drawing/2008/diagram" xmlns="" relId="rId133"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CF81868A-67E0-46E9-B55D-EE12D98003C6}" type="doc">
      <dgm:prSet loTypeId="urn:microsoft.com/office/officeart/2005/8/layout/process3" loCatId="process" qsTypeId="urn:microsoft.com/office/officeart/2005/8/quickstyle/simple1" qsCatId="simple" csTypeId="urn:microsoft.com/office/officeart/2005/8/colors/accent1_2" csCatId="accent1" phldr="1"/>
      <dgm:spPr/>
      <dgm:t>
        <a:bodyPr/>
        <a:lstStyle/>
        <a:p>
          <a:endParaRPr lang="pl-PL"/>
        </a:p>
      </dgm:t>
    </dgm:pt>
    <dgm:pt modelId="{59D69ACF-7FCF-43A4-81BC-EB5BB24FC519}">
      <dgm:prSet phldrT="[Tekst]"/>
      <dgm:spPr>
        <a:solidFill>
          <a:srgbClr val="99CCFF"/>
        </a:solidFill>
        <a:ln>
          <a:solidFill>
            <a:srgbClr val="0070C0"/>
          </a:solidFill>
        </a:ln>
      </dgm:spPr>
      <dgm:t>
        <a:bodyPr/>
        <a:lstStyle/>
        <a:p>
          <a:r>
            <a:rPr lang="pl-PL" b="1">
              <a:solidFill>
                <a:sysClr val="windowText" lastClr="000000"/>
              </a:solidFill>
            </a:rPr>
            <a:t>PODMIOTY LOKALNE</a:t>
          </a:r>
        </a:p>
      </dgm:t>
    </dgm:pt>
    <dgm:pt modelId="{8A9E1CDF-7F4B-4F81-87D6-228F9D08B15A}" type="parTrans" cxnId="{D898F74E-86A1-4DB3-8547-241A9A1BB61C}">
      <dgm:prSet/>
      <dgm:spPr/>
      <dgm:t>
        <a:bodyPr/>
        <a:lstStyle/>
        <a:p>
          <a:endParaRPr lang="pl-PL"/>
        </a:p>
      </dgm:t>
    </dgm:pt>
    <dgm:pt modelId="{EE48D853-EE84-4E7B-B24F-8D6EABCEF985}" type="sibTrans" cxnId="{D898F74E-86A1-4DB3-8547-241A9A1BB61C}">
      <dgm:prSet/>
      <dgm:spPr/>
      <dgm:t>
        <a:bodyPr/>
        <a:lstStyle/>
        <a:p>
          <a:endParaRPr lang="pl-PL"/>
        </a:p>
      </dgm:t>
    </dgm:pt>
    <dgm:pt modelId="{6F63D3AA-295E-4037-BE8A-DB6590D967F9}">
      <dgm:prSet phldrT="[Tekst]"/>
      <dgm:spPr/>
      <dgm:t>
        <a:bodyPr/>
        <a:lstStyle/>
        <a:p>
          <a:r>
            <a:rPr lang="pl-PL"/>
            <a:t>dostarczanie informacji źródłowej o sytuacji w podobszarach rewitalizacji - </a:t>
          </a:r>
          <a:br>
            <a:rPr lang="pl-PL"/>
          </a:br>
          <a:r>
            <a:rPr lang="pl-PL"/>
            <a:t>z uwzględnieniem wszystkich wymiarów rewitalizacji,</a:t>
          </a:r>
        </a:p>
      </dgm:t>
    </dgm:pt>
    <dgm:pt modelId="{89DAEDBC-BF03-4E6B-9FA4-05B852FA1F32}" type="parTrans" cxnId="{5527D685-68D0-4E95-9E3C-0B24B1176DBB}">
      <dgm:prSet/>
      <dgm:spPr/>
      <dgm:t>
        <a:bodyPr/>
        <a:lstStyle/>
        <a:p>
          <a:endParaRPr lang="pl-PL"/>
        </a:p>
      </dgm:t>
    </dgm:pt>
    <dgm:pt modelId="{752CC278-6DE3-4009-8E08-6A966B4D10F9}" type="sibTrans" cxnId="{5527D685-68D0-4E95-9E3C-0B24B1176DBB}">
      <dgm:prSet/>
      <dgm:spPr/>
      <dgm:t>
        <a:bodyPr/>
        <a:lstStyle/>
        <a:p>
          <a:endParaRPr lang="pl-PL"/>
        </a:p>
      </dgm:t>
    </dgm:pt>
    <dgm:pt modelId="{101E7402-57FC-4EB7-9239-DD9D90DD847D}">
      <dgm:prSet phldrT="[Tekst]"/>
      <dgm:spPr>
        <a:solidFill>
          <a:srgbClr val="99CCFF"/>
        </a:solidFill>
        <a:ln>
          <a:solidFill>
            <a:srgbClr val="0070C0"/>
          </a:solidFill>
        </a:ln>
      </dgm:spPr>
      <dgm:t>
        <a:bodyPr/>
        <a:lstStyle/>
        <a:p>
          <a:r>
            <a:rPr lang="pl-PL" b="1">
              <a:solidFill>
                <a:sysClr val="windowText" lastClr="000000"/>
              </a:solidFill>
            </a:rPr>
            <a:t>ZESPÓŁ DS. WDRAŻANIA GPR</a:t>
          </a:r>
        </a:p>
      </dgm:t>
    </dgm:pt>
    <dgm:pt modelId="{8034ECFA-BAD7-45F1-8049-D2563287F814}" type="parTrans" cxnId="{E2BD0699-F361-482E-9DE2-AFB92DE1A11A}">
      <dgm:prSet/>
      <dgm:spPr/>
      <dgm:t>
        <a:bodyPr/>
        <a:lstStyle/>
        <a:p>
          <a:endParaRPr lang="pl-PL"/>
        </a:p>
      </dgm:t>
    </dgm:pt>
    <dgm:pt modelId="{26C72A59-1E80-4888-829B-74C8077E3250}" type="sibTrans" cxnId="{E2BD0699-F361-482E-9DE2-AFB92DE1A11A}">
      <dgm:prSet/>
      <dgm:spPr/>
      <dgm:t>
        <a:bodyPr/>
        <a:lstStyle/>
        <a:p>
          <a:endParaRPr lang="pl-PL"/>
        </a:p>
      </dgm:t>
    </dgm:pt>
    <dgm:pt modelId="{CB16D879-3D99-4534-ABC2-654434015528}">
      <dgm:prSet phldrT="[Tekst]"/>
      <dgm:spPr/>
      <dgm:t>
        <a:bodyPr/>
        <a:lstStyle/>
        <a:p>
          <a:r>
            <a:rPr lang="pl-PL"/>
            <a:t>gromadzenie informacji,</a:t>
          </a:r>
        </a:p>
      </dgm:t>
    </dgm:pt>
    <dgm:pt modelId="{552444C8-6E5E-46ED-A3E4-87D12E1FE66D}" type="parTrans" cxnId="{24CFA136-2916-4481-9394-32CD7453862F}">
      <dgm:prSet/>
      <dgm:spPr/>
      <dgm:t>
        <a:bodyPr/>
        <a:lstStyle/>
        <a:p>
          <a:endParaRPr lang="pl-PL"/>
        </a:p>
      </dgm:t>
    </dgm:pt>
    <dgm:pt modelId="{86B0790D-C6C2-4773-86A7-4667BCD1A1B0}" type="sibTrans" cxnId="{24CFA136-2916-4481-9394-32CD7453862F}">
      <dgm:prSet/>
      <dgm:spPr/>
      <dgm:t>
        <a:bodyPr/>
        <a:lstStyle/>
        <a:p>
          <a:endParaRPr lang="pl-PL"/>
        </a:p>
      </dgm:t>
    </dgm:pt>
    <dgm:pt modelId="{FD3E59A0-E2F5-488E-B08B-BB93549B7FB6}">
      <dgm:prSet phldrT="[Tekst]"/>
      <dgm:spPr>
        <a:solidFill>
          <a:srgbClr val="99CCFF"/>
        </a:solidFill>
        <a:ln>
          <a:solidFill>
            <a:srgbClr val="0070C0"/>
          </a:solidFill>
        </a:ln>
      </dgm:spPr>
      <dgm:t>
        <a:bodyPr/>
        <a:lstStyle/>
        <a:p>
          <a:r>
            <a:rPr lang="pl-PL" b="1">
              <a:solidFill>
                <a:sysClr val="windowText" lastClr="000000"/>
              </a:solidFill>
            </a:rPr>
            <a:t>KOMITET REWITALIZACJI</a:t>
          </a:r>
        </a:p>
      </dgm:t>
    </dgm:pt>
    <dgm:pt modelId="{F1354DAA-55E7-4046-BA26-734D8937143D}" type="parTrans" cxnId="{96E754F1-3480-4EFB-AA46-960919E0CD20}">
      <dgm:prSet/>
      <dgm:spPr/>
      <dgm:t>
        <a:bodyPr/>
        <a:lstStyle/>
        <a:p>
          <a:endParaRPr lang="pl-PL"/>
        </a:p>
      </dgm:t>
    </dgm:pt>
    <dgm:pt modelId="{4D769789-08A3-44D9-9214-3E3471A2943C}" type="sibTrans" cxnId="{96E754F1-3480-4EFB-AA46-960919E0CD20}">
      <dgm:prSet/>
      <dgm:spPr/>
      <dgm:t>
        <a:bodyPr/>
        <a:lstStyle/>
        <a:p>
          <a:endParaRPr lang="pl-PL"/>
        </a:p>
      </dgm:t>
    </dgm:pt>
    <dgm:pt modelId="{38247BD1-9CFB-449E-BD15-9F3868B52F3A}">
      <dgm:prSet phldrT="[Tekst]"/>
      <dgm:spPr/>
      <dgm:t>
        <a:bodyPr/>
        <a:lstStyle/>
        <a:p>
          <a:r>
            <a:rPr lang="pl-PL"/>
            <a:t>podejmowanie decyzji o sposobie dalszego wdrażania GPR,</a:t>
          </a:r>
        </a:p>
      </dgm:t>
    </dgm:pt>
    <dgm:pt modelId="{6342228E-6C4E-4399-B981-10F0F30A2899}" type="parTrans" cxnId="{2CC8BADD-FA80-4E6C-A146-46FF5982748B}">
      <dgm:prSet/>
      <dgm:spPr/>
      <dgm:t>
        <a:bodyPr/>
        <a:lstStyle/>
        <a:p>
          <a:endParaRPr lang="pl-PL"/>
        </a:p>
      </dgm:t>
    </dgm:pt>
    <dgm:pt modelId="{34478A8C-E9DE-4750-92A8-81208D370B93}" type="sibTrans" cxnId="{2CC8BADD-FA80-4E6C-A146-46FF5982748B}">
      <dgm:prSet/>
      <dgm:spPr/>
      <dgm:t>
        <a:bodyPr/>
        <a:lstStyle/>
        <a:p>
          <a:endParaRPr lang="pl-PL"/>
        </a:p>
      </dgm:t>
    </dgm:pt>
    <dgm:pt modelId="{C7972253-7ACB-42BE-8BAB-111E54295C06}">
      <dgm:prSet phldrT="[Tekst]"/>
      <dgm:spPr/>
      <dgm:t>
        <a:bodyPr/>
        <a:lstStyle/>
        <a:p>
          <a:r>
            <a:rPr lang="pl-PL"/>
            <a:t>interpretowanie informacji,</a:t>
          </a:r>
        </a:p>
      </dgm:t>
    </dgm:pt>
    <dgm:pt modelId="{58D011FB-5AF4-4999-9101-2B0274DF199F}" type="parTrans" cxnId="{8F8707E7-8F0D-44DC-B680-67292E459179}">
      <dgm:prSet/>
      <dgm:spPr/>
      <dgm:t>
        <a:bodyPr/>
        <a:lstStyle/>
        <a:p>
          <a:endParaRPr lang="pl-PL"/>
        </a:p>
      </dgm:t>
    </dgm:pt>
    <dgm:pt modelId="{76893692-F854-436D-ADB1-AE22A785C27C}" type="sibTrans" cxnId="{8F8707E7-8F0D-44DC-B680-67292E459179}">
      <dgm:prSet/>
      <dgm:spPr/>
      <dgm:t>
        <a:bodyPr/>
        <a:lstStyle/>
        <a:p>
          <a:endParaRPr lang="pl-PL"/>
        </a:p>
      </dgm:t>
    </dgm:pt>
    <dgm:pt modelId="{C4AFC5DB-506D-4CEC-831E-2984D3A8862A}">
      <dgm:prSet phldrT="[Tekst]"/>
      <dgm:spPr/>
      <dgm:t>
        <a:bodyPr/>
        <a:lstStyle/>
        <a:p>
          <a:r>
            <a:rPr lang="pl-PL"/>
            <a:t>prowadzenie konsultacji na temat wyników monitoringu oraz jego potencjalnych modyfikacji,</a:t>
          </a:r>
        </a:p>
      </dgm:t>
    </dgm:pt>
    <dgm:pt modelId="{46878F95-2398-4A00-AC1F-3B2C685EB44E}" type="parTrans" cxnId="{F744F913-1940-4F44-8998-FB950A59F4B7}">
      <dgm:prSet/>
      <dgm:spPr/>
      <dgm:t>
        <a:bodyPr/>
        <a:lstStyle/>
        <a:p>
          <a:endParaRPr lang="pl-PL"/>
        </a:p>
      </dgm:t>
    </dgm:pt>
    <dgm:pt modelId="{6481451A-DE47-45EA-8B2F-28C4437F266D}" type="sibTrans" cxnId="{F744F913-1940-4F44-8998-FB950A59F4B7}">
      <dgm:prSet/>
      <dgm:spPr/>
      <dgm:t>
        <a:bodyPr/>
        <a:lstStyle/>
        <a:p>
          <a:endParaRPr lang="pl-PL"/>
        </a:p>
      </dgm:t>
    </dgm:pt>
    <dgm:pt modelId="{62DF77B2-DD65-4763-A941-053416BDAD6B}">
      <dgm:prSet phldrT="[Tekst]"/>
      <dgm:spPr/>
      <dgm:t>
        <a:bodyPr/>
        <a:lstStyle/>
        <a:p>
          <a:r>
            <a:rPr lang="pl-PL"/>
            <a:t>formułowanie wniosków do programu i systemu wdrażania,</a:t>
          </a:r>
        </a:p>
      </dgm:t>
    </dgm:pt>
    <dgm:pt modelId="{29C362EF-0540-475E-8AED-58F645330901}" type="parTrans" cxnId="{0371F7C3-2936-40B2-8265-0EC2DAF6535C}">
      <dgm:prSet/>
      <dgm:spPr/>
      <dgm:t>
        <a:bodyPr/>
        <a:lstStyle/>
        <a:p>
          <a:endParaRPr lang="pl-PL"/>
        </a:p>
      </dgm:t>
    </dgm:pt>
    <dgm:pt modelId="{98C96C42-74F0-4706-B2BE-723C568650B2}" type="sibTrans" cxnId="{0371F7C3-2936-40B2-8265-0EC2DAF6535C}">
      <dgm:prSet/>
      <dgm:spPr/>
      <dgm:t>
        <a:bodyPr/>
        <a:lstStyle/>
        <a:p>
          <a:endParaRPr lang="pl-PL"/>
        </a:p>
      </dgm:t>
    </dgm:pt>
    <dgm:pt modelId="{C7483EC6-E07F-41E4-A350-AAEE07F56D1E}">
      <dgm:prSet phldrT="[Tekst]"/>
      <dgm:spPr/>
      <dgm:t>
        <a:bodyPr/>
        <a:lstStyle/>
        <a:p>
          <a:r>
            <a:rPr lang="pl-PL"/>
            <a:t>przekazywanie wniosków </a:t>
          </a:r>
          <a:br>
            <a:rPr lang="pl-PL"/>
          </a:br>
          <a:r>
            <a:rPr lang="pl-PL"/>
            <a:t>z monitoringu podmiotom lokalnym oraz Komitetowi Rewitalizacji.</a:t>
          </a:r>
        </a:p>
      </dgm:t>
    </dgm:pt>
    <dgm:pt modelId="{1230EBDC-73AD-43E3-86FA-3B18DD873208}" type="parTrans" cxnId="{0B9D29FC-659F-405D-9BB2-8C0D64A6B4C9}">
      <dgm:prSet/>
      <dgm:spPr/>
      <dgm:t>
        <a:bodyPr/>
        <a:lstStyle/>
        <a:p>
          <a:endParaRPr lang="pl-PL"/>
        </a:p>
      </dgm:t>
    </dgm:pt>
    <dgm:pt modelId="{D02F5DD0-542F-4905-A819-327D6966CD3E}" type="sibTrans" cxnId="{0B9D29FC-659F-405D-9BB2-8C0D64A6B4C9}">
      <dgm:prSet/>
      <dgm:spPr/>
      <dgm:t>
        <a:bodyPr/>
        <a:lstStyle/>
        <a:p>
          <a:endParaRPr lang="pl-PL"/>
        </a:p>
      </dgm:t>
    </dgm:pt>
    <dgm:pt modelId="{D43E3D86-87E6-492F-8D4B-FE45E8D9A59D}">
      <dgm:prSet phldrT="[Tekst]"/>
      <dgm:spPr/>
      <dgm:t>
        <a:bodyPr/>
        <a:lstStyle/>
        <a:p>
          <a:r>
            <a:rPr lang="pl-PL"/>
            <a:t>podejmowanie decyzji </a:t>
          </a:r>
          <a:br>
            <a:rPr lang="pl-PL"/>
          </a:br>
          <a:r>
            <a:rPr lang="pl-PL"/>
            <a:t>o ewentualnych modyfikacjach programu, projektach wdrożeniowych, systemie wdrażania, systemie monitoringu.</a:t>
          </a:r>
        </a:p>
      </dgm:t>
    </dgm:pt>
    <dgm:pt modelId="{B680230E-102F-4070-A170-E1E4D2D7FD36}" type="parTrans" cxnId="{CA6CE87C-B568-494D-883C-6AA3EEDFA72D}">
      <dgm:prSet/>
      <dgm:spPr/>
      <dgm:t>
        <a:bodyPr/>
        <a:lstStyle/>
        <a:p>
          <a:endParaRPr lang="pl-PL"/>
        </a:p>
      </dgm:t>
    </dgm:pt>
    <dgm:pt modelId="{21627E5B-052B-4B6E-9F99-192024D45366}" type="sibTrans" cxnId="{CA6CE87C-B568-494D-883C-6AA3EEDFA72D}">
      <dgm:prSet/>
      <dgm:spPr/>
      <dgm:t>
        <a:bodyPr/>
        <a:lstStyle/>
        <a:p>
          <a:endParaRPr lang="pl-PL"/>
        </a:p>
      </dgm:t>
    </dgm:pt>
    <dgm:pt modelId="{327F6974-45BB-4EF8-936F-75B38E7AFB3E}">
      <dgm:prSet phldrT="[Tekst]"/>
      <dgm:spPr/>
      <dgm:t>
        <a:bodyPr/>
        <a:lstStyle/>
        <a:p>
          <a:r>
            <a:rPr lang="pl-PL"/>
            <a:t>dostarczanie informacji niezbędnej do oceny stopnia realizacji </a:t>
          </a:r>
          <a:br>
            <a:rPr lang="pl-PL"/>
          </a:br>
          <a:r>
            <a:rPr lang="pl-PL"/>
            <a:t>i efektów projektów rewitalizacji.</a:t>
          </a:r>
        </a:p>
      </dgm:t>
    </dgm:pt>
    <dgm:pt modelId="{EA650945-948C-49D3-B9B8-670C16B07682}" type="parTrans" cxnId="{F22F4D6A-8E16-4D5E-A960-C9FABD6414C3}">
      <dgm:prSet/>
      <dgm:spPr/>
      <dgm:t>
        <a:bodyPr/>
        <a:lstStyle/>
        <a:p>
          <a:endParaRPr lang="pl-PL"/>
        </a:p>
      </dgm:t>
    </dgm:pt>
    <dgm:pt modelId="{D9AC6D8F-CE5D-4661-9780-5EB9240965B8}" type="sibTrans" cxnId="{F22F4D6A-8E16-4D5E-A960-C9FABD6414C3}">
      <dgm:prSet/>
      <dgm:spPr/>
      <dgm:t>
        <a:bodyPr/>
        <a:lstStyle/>
        <a:p>
          <a:endParaRPr lang="pl-PL"/>
        </a:p>
      </dgm:t>
    </dgm:pt>
    <dgm:pt modelId="{472F301C-CE0D-4AE3-9A40-00DA29A63765}" type="pres">
      <dgm:prSet presAssocID="{CF81868A-67E0-46E9-B55D-EE12D98003C6}" presName="linearFlow" presStyleCnt="0">
        <dgm:presLayoutVars>
          <dgm:dir/>
          <dgm:animLvl val="lvl"/>
          <dgm:resizeHandles val="exact"/>
        </dgm:presLayoutVars>
      </dgm:prSet>
      <dgm:spPr/>
      <dgm:t>
        <a:bodyPr/>
        <a:lstStyle/>
        <a:p>
          <a:endParaRPr lang="pl-PL"/>
        </a:p>
      </dgm:t>
    </dgm:pt>
    <dgm:pt modelId="{FAAC9874-D820-468D-B580-F9AD83467903}" type="pres">
      <dgm:prSet presAssocID="{59D69ACF-7FCF-43A4-81BC-EB5BB24FC519}" presName="composite" presStyleCnt="0"/>
      <dgm:spPr/>
    </dgm:pt>
    <dgm:pt modelId="{85655027-A55C-46CF-82E1-9BBF4BE3B010}" type="pres">
      <dgm:prSet presAssocID="{59D69ACF-7FCF-43A4-81BC-EB5BB24FC519}" presName="parTx" presStyleLbl="node1" presStyleIdx="0" presStyleCnt="3">
        <dgm:presLayoutVars>
          <dgm:chMax val="0"/>
          <dgm:chPref val="0"/>
          <dgm:bulletEnabled val="1"/>
        </dgm:presLayoutVars>
      </dgm:prSet>
      <dgm:spPr/>
      <dgm:t>
        <a:bodyPr/>
        <a:lstStyle/>
        <a:p>
          <a:endParaRPr lang="pl-PL"/>
        </a:p>
      </dgm:t>
    </dgm:pt>
    <dgm:pt modelId="{1E7AA8E6-C3CA-4582-ACC0-E73F17AC03F4}" type="pres">
      <dgm:prSet presAssocID="{59D69ACF-7FCF-43A4-81BC-EB5BB24FC519}" presName="parSh" presStyleLbl="node1" presStyleIdx="0" presStyleCnt="3"/>
      <dgm:spPr/>
      <dgm:t>
        <a:bodyPr/>
        <a:lstStyle/>
        <a:p>
          <a:endParaRPr lang="pl-PL"/>
        </a:p>
      </dgm:t>
    </dgm:pt>
    <dgm:pt modelId="{DAB9B33A-ECB7-4AD7-AEA8-F174B84A1AEB}" type="pres">
      <dgm:prSet presAssocID="{59D69ACF-7FCF-43A4-81BC-EB5BB24FC519}" presName="desTx" presStyleLbl="fgAcc1" presStyleIdx="0" presStyleCnt="3" custScaleX="112990" custScaleY="90395" custLinFactNeighborX="141" custLinFactNeighborY="-5030">
        <dgm:presLayoutVars>
          <dgm:bulletEnabled val="1"/>
        </dgm:presLayoutVars>
      </dgm:prSet>
      <dgm:spPr/>
      <dgm:t>
        <a:bodyPr/>
        <a:lstStyle/>
        <a:p>
          <a:endParaRPr lang="pl-PL"/>
        </a:p>
      </dgm:t>
    </dgm:pt>
    <dgm:pt modelId="{5C7970DB-6DD1-41B8-877F-69BDA0E17CB1}" type="pres">
      <dgm:prSet presAssocID="{EE48D853-EE84-4E7B-B24F-8D6EABCEF985}" presName="sibTrans" presStyleLbl="sibTrans2D1" presStyleIdx="0" presStyleCnt="2"/>
      <dgm:spPr/>
      <dgm:t>
        <a:bodyPr/>
        <a:lstStyle/>
        <a:p>
          <a:endParaRPr lang="pl-PL"/>
        </a:p>
      </dgm:t>
    </dgm:pt>
    <dgm:pt modelId="{2B0368C2-A363-4EC9-8812-EE93AC58D215}" type="pres">
      <dgm:prSet presAssocID="{EE48D853-EE84-4E7B-B24F-8D6EABCEF985}" presName="connTx" presStyleLbl="sibTrans2D1" presStyleIdx="0" presStyleCnt="2"/>
      <dgm:spPr/>
      <dgm:t>
        <a:bodyPr/>
        <a:lstStyle/>
        <a:p>
          <a:endParaRPr lang="pl-PL"/>
        </a:p>
      </dgm:t>
    </dgm:pt>
    <dgm:pt modelId="{E968E4C0-BF02-417A-86B5-9559E54622DB}" type="pres">
      <dgm:prSet presAssocID="{101E7402-57FC-4EB7-9239-DD9D90DD847D}" presName="composite" presStyleCnt="0"/>
      <dgm:spPr/>
    </dgm:pt>
    <dgm:pt modelId="{DD30CDF7-8ADC-487B-9349-6314755AA51D}" type="pres">
      <dgm:prSet presAssocID="{101E7402-57FC-4EB7-9239-DD9D90DD847D}" presName="parTx" presStyleLbl="node1" presStyleIdx="0" presStyleCnt="3">
        <dgm:presLayoutVars>
          <dgm:chMax val="0"/>
          <dgm:chPref val="0"/>
          <dgm:bulletEnabled val="1"/>
        </dgm:presLayoutVars>
      </dgm:prSet>
      <dgm:spPr/>
      <dgm:t>
        <a:bodyPr/>
        <a:lstStyle/>
        <a:p>
          <a:endParaRPr lang="pl-PL"/>
        </a:p>
      </dgm:t>
    </dgm:pt>
    <dgm:pt modelId="{C491560C-3756-46D3-8700-9177CAF6913D}" type="pres">
      <dgm:prSet presAssocID="{101E7402-57FC-4EB7-9239-DD9D90DD847D}" presName="parSh" presStyleLbl="node1" presStyleIdx="1" presStyleCnt="3"/>
      <dgm:spPr/>
      <dgm:t>
        <a:bodyPr/>
        <a:lstStyle/>
        <a:p>
          <a:endParaRPr lang="pl-PL"/>
        </a:p>
      </dgm:t>
    </dgm:pt>
    <dgm:pt modelId="{93120023-54AC-4B87-B990-451A7BDAA8CD}" type="pres">
      <dgm:prSet presAssocID="{101E7402-57FC-4EB7-9239-DD9D90DD847D}" presName="desTx" presStyleLbl="fgAcc1" presStyleIdx="1" presStyleCnt="3" custScaleX="115300" custScaleY="90395" custLinFactNeighborX="141" custLinFactNeighborY="-5030">
        <dgm:presLayoutVars>
          <dgm:bulletEnabled val="1"/>
        </dgm:presLayoutVars>
      </dgm:prSet>
      <dgm:spPr/>
      <dgm:t>
        <a:bodyPr/>
        <a:lstStyle/>
        <a:p>
          <a:endParaRPr lang="pl-PL"/>
        </a:p>
      </dgm:t>
    </dgm:pt>
    <dgm:pt modelId="{A725E3DB-9702-42C3-80AD-881CF9E1C310}" type="pres">
      <dgm:prSet presAssocID="{26C72A59-1E80-4888-829B-74C8077E3250}" presName="sibTrans" presStyleLbl="sibTrans2D1" presStyleIdx="1" presStyleCnt="2"/>
      <dgm:spPr/>
      <dgm:t>
        <a:bodyPr/>
        <a:lstStyle/>
        <a:p>
          <a:endParaRPr lang="pl-PL"/>
        </a:p>
      </dgm:t>
    </dgm:pt>
    <dgm:pt modelId="{0B841B75-F042-4390-B33A-5EF192B6D6A3}" type="pres">
      <dgm:prSet presAssocID="{26C72A59-1E80-4888-829B-74C8077E3250}" presName="connTx" presStyleLbl="sibTrans2D1" presStyleIdx="1" presStyleCnt="2"/>
      <dgm:spPr/>
      <dgm:t>
        <a:bodyPr/>
        <a:lstStyle/>
        <a:p>
          <a:endParaRPr lang="pl-PL"/>
        </a:p>
      </dgm:t>
    </dgm:pt>
    <dgm:pt modelId="{91387BFE-FCFE-4EFA-9A18-7ADA5F2F7224}" type="pres">
      <dgm:prSet presAssocID="{FD3E59A0-E2F5-488E-B08B-BB93549B7FB6}" presName="composite" presStyleCnt="0"/>
      <dgm:spPr/>
    </dgm:pt>
    <dgm:pt modelId="{361DA778-63DF-4DA4-8768-967A9A649459}" type="pres">
      <dgm:prSet presAssocID="{FD3E59A0-E2F5-488E-B08B-BB93549B7FB6}" presName="parTx" presStyleLbl="node1" presStyleIdx="1" presStyleCnt="3">
        <dgm:presLayoutVars>
          <dgm:chMax val="0"/>
          <dgm:chPref val="0"/>
          <dgm:bulletEnabled val="1"/>
        </dgm:presLayoutVars>
      </dgm:prSet>
      <dgm:spPr/>
      <dgm:t>
        <a:bodyPr/>
        <a:lstStyle/>
        <a:p>
          <a:endParaRPr lang="pl-PL"/>
        </a:p>
      </dgm:t>
    </dgm:pt>
    <dgm:pt modelId="{122705D6-92E0-43E7-8D99-93DFCBFE1CBC}" type="pres">
      <dgm:prSet presAssocID="{FD3E59A0-E2F5-488E-B08B-BB93549B7FB6}" presName="parSh" presStyleLbl="node1" presStyleIdx="2" presStyleCnt="3"/>
      <dgm:spPr/>
      <dgm:t>
        <a:bodyPr/>
        <a:lstStyle/>
        <a:p>
          <a:endParaRPr lang="pl-PL"/>
        </a:p>
      </dgm:t>
    </dgm:pt>
    <dgm:pt modelId="{C67F7839-1050-402F-BEDD-2D125545C0EB}" type="pres">
      <dgm:prSet presAssocID="{FD3E59A0-E2F5-488E-B08B-BB93549B7FB6}" presName="desTx" presStyleLbl="fgAcc1" presStyleIdx="2" presStyleCnt="3" custScaleX="108328" custScaleY="90395" custLinFactNeighborX="140" custLinFactNeighborY="-5030">
        <dgm:presLayoutVars>
          <dgm:bulletEnabled val="1"/>
        </dgm:presLayoutVars>
      </dgm:prSet>
      <dgm:spPr/>
      <dgm:t>
        <a:bodyPr/>
        <a:lstStyle/>
        <a:p>
          <a:endParaRPr lang="pl-PL"/>
        </a:p>
      </dgm:t>
    </dgm:pt>
  </dgm:ptLst>
  <dgm:cxnLst>
    <dgm:cxn modelId="{166F2022-B685-402F-ACE7-60FB31E60821}" type="presOf" srcId="{C4AFC5DB-506D-4CEC-831E-2984D3A8862A}" destId="{93120023-54AC-4B87-B990-451A7BDAA8CD}" srcOrd="0" destOrd="2" presId="urn:microsoft.com/office/officeart/2005/8/layout/process3"/>
    <dgm:cxn modelId="{89D0DC77-1B76-4FFA-97F6-C8563F9D1AC4}" type="presOf" srcId="{26C72A59-1E80-4888-829B-74C8077E3250}" destId="{A725E3DB-9702-42C3-80AD-881CF9E1C310}" srcOrd="0" destOrd="0" presId="urn:microsoft.com/office/officeart/2005/8/layout/process3"/>
    <dgm:cxn modelId="{E2BD0699-F361-482E-9DE2-AFB92DE1A11A}" srcId="{CF81868A-67E0-46E9-B55D-EE12D98003C6}" destId="{101E7402-57FC-4EB7-9239-DD9D90DD847D}" srcOrd="1" destOrd="0" parTransId="{8034ECFA-BAD7-45F1-8049-D2563287F814}" sibTransId="{26C72A59-1E80-4888-829B-74C8077E3250}"/>
    <dgm:cxn modelId="{0B9D29FC-659F-405D-9BB2-8C0D64A6B4C9}" srcId="{101E7402-57FC-4EB7-9239-DD9D90DD847D}" destId="{C7483EC6-E07F-41E4-A350-AAEE07F56D1E}" srcOrd="4" destOrd="0" parTransId="{1230EBDC-73AD-43E3-86FA-3B18DD873208}" sibTransId="{D02F5DD0-542F-4905-A819-327D6966CD3E}"/>
    <dgm:cxn modelId="{F22F4D6A-8E16-4D5E-A960-C9FABD6414C3}" srcId="{59D69ACF-7FCF-43A4-81BC-EB5BB24FC519}" destId="{327F6974-45BB-4EF8-936F-75B38E7AFB3E}" srcOrd="1" destOrd="0" parTransId="{EA650945-948C-49D3-B9B8-670C16B07682}" sibTransId="{D9AC6D8F-CE5D-4661-9780-5EB9240965B8}"/>
    <dgm:cxn modelId="{34FE4F5A-6561-4C66-BFB0-D6F5B34B9478}" type="presOf" srcId="{CB16D879-3D99-4534-ABC2-654434015528}" destId="{93120023-54AC-4B87-B990-451A7BDAA8CD}" srcOrd="0" destOrd="0" presId="urn:microsoft.com/office/officeart/2005/8/layout/process3"/>
    <dgm:cxn modelId="{CF80BAD1-FC84-4BAA-B954-BFEB1D6309B1}" type="presOf" srcId="{101E7402-57FC-4EB7-9239-DD9D90DD847D}" destId="{DD30CDF7-8ADC-487B-9349-6314755AA51D}" srcOrd="0" destOrd="0" presId="urn:microsoft.com/office/officeart/2005/8/layout/process3"/>
    <dgm:cxn modelId="{24CFA136-2916-4481-9394-32CD7453862F}" srcId="{101E7402-57FC-4EB7-9239-DD9D90DD847D}" destId="{CB16D879-3D99-4534-ABC2-654434015528}" srcOrd="0" destOrd="0" parTransId="{552444C8-6E5E-46ED-A3E4-87D12E1FE66D}" sibTransId="{86B0790D-C6C2-4773-86A7-4667BCD1A1B0}"/>
    <dgm:cxn modelId="{F744F913-1940-4F44-8998-FB950A59F4B7}" srcId="{101E7402-57FC-4EB7-9239-DD9D90DD847D}" destId="{C4AFC5DB-506D-4CEC-831E-2984D3A8862A}" srcOrd="2" destOrd="0" parTransId="{46878F95-2398-4A00-AC1F-3B2C685EB44E}" sibTransId="{6481451A-DE47-45EA-8B2F-28C4437F266D}"/>
    <dgm:cxn modelId="{E0948DFA-A524-48B9-A015-7311C256EE91}" type="presOf" srcId="{EE48D853-EE84-4E7B-B24F-8D6EABCEF985}" destId="{5C7970DB-6DD1-41B8-877F-69BDA0E17CB1}" srcOrd="0" destOrd="0" presId="urn:microsoft.com/office/officeart/2005/8/layout/process3"/>
    <dgm:cxn modelId="{D1343832-C6A8-4E53-A144-267E2796AE22}" type="presOf" srcId="{FD3E59A0-E2F5-488E-B08B-BB93549B7FB6}" destId="{361DA778-63DF-4DA4-8768-967A9A649459}" srcOrd="0" destOrd="0" presId="urn:microsoft.com/office/officeart/2005/8/layout/process3"/>
    <dgm:cxn modelId="{8F8707E7-8F0D-44DC-B680-67292E459179}" srcId="{101E7402-57FC-4EB7-9239-DD9D90DD847D}" destId="{C7972253-7ACB-42BE-8BAB-111E54295C06}" srcOrd="1" destOrd="0" parTransId="{58D011FB-5AF4-4999-9101-2B0274DF199F}" sibTransId="{76893692-F854-436D-ADB1-AE22A785C27C}"/>
    <dgm:cxn modelId="{B31D6465-CA44-4C77-9E27-FD1EC6922C09}" type="presOf" srcId="{38247BD1-9CFB-449E-BD15-9F3868B52F3A}" destId="{C67F7839-1050-402F-BEDD-2D125545C0EB}" srcOrd="0" destOrd="0" presId="urn:microsoft.com/office/officeart/2005/8/layout/process3"/>
    <dgm:cxn modelId="{C6B9B516-0AD6-4DFE-856C-A1067E371BF0}" type="presOf" srcId="{EE48D853-EE84-4E7B-B24F-8D6EABCEF985}" destId="{2B0368C2-A363-4EC9-8812-EE93AC58D215}" srcOrd="1" destOrd="0" presId="urn:microsoft.com/office/officeart/2005/8/layout/process3"/>
    <dgm:cxn modelId="{C8CD3F9A-8655-4788-B6E9-545691A7A88D}" type="presOf" srcId="{26C72A59-1E80-4888-829B-74C8077E3250}" destId="{0B841B75-F042-4390-B33A-5EF192B6D6A3}" srcOrd="1" destOrd="0" presId="urn:microsoft.com/office/officeart/2005/8/layout/process3"/>
    <dgm:cxn modelId="{4946D165-C86F-4520-BD1D-D09E3DC86132}" type="presOf" srcId="{59D69ACF-7FCF-43A4-81BC-EB5BB24FC519}" destId="{85655027-A55C-46CF-82E1-9BBF4BE3B010}" srcOrd="0" destOrd="0" presId="urn:microsoft.com/office/officeart/2005/8/layout/process3"/>
    <dgm:cxn modelId="{89DE973C-8EC7-4176-ADE3-FD6923A99FE3}" type="presOf" srcId="{6F63D3AA-295E-4037-BE8A-DB6590D967F9}" destId="{DAB9B33A-ECB7-4AD7-AEA8-F174B84A1AEB}" srcOrd="0" destOrd="0" presId="urn:microsoft.com/office/officeart/2005/8/layout/process3"/>
    <dgm:cxn modelId="{5527D685-68D0-4E95-9E3C-0B24B1176DBB}" srcId="{59D69ACF-7FCF-43A4-81BC-EB5BB24FC519}" destId="{6F63D3AA-295E-4037-BE8A-DB6590D967F9}" srcOrd="0" destOrd="0" parTransId="{89DAEDBC-BF03-4E6B-9FA4-05B852FA1F32}" sibTransId="{752CC278-6DE3-4009-8E08-6A966B4D10F9}"/>
    <dgm:cxn modelId="{96E754F1-3480-4EFB-AA46-960919E0CD20}" srcId="{CF81868A-67E0-46E9-B55D-EE12D98003C6}" destId="{FD3E59A0-E2F5-488E-B08B-BB93549B7FB6}" srcOrd="2" destOrd="0" parTransId="{F1354DAA-55E7-4046-BA26-734D8937143D}" sibTransId="{4D769789-08A3-44D9-9214-3E3471A2943C}"/>
    <dgm:cxn modelId="{F81FD45A-B334-445F-8269-C76AC19E8738}" type="presOf" srcId="{59D69ACF-7FCF-43A4-81BC-EB5BB24FC519}" destId="{1E7AA8E6-C3CA-4582-ACC0-E73F17AC03F4}" srcOrd="1" destOrd="0" presId="urn:microsoft.com/office/officeart/2005/8/layout/process3"/>
    <dgm:cxn modelId="{287BBA3B-A067-44BA-AA44-1FD363C6D757}" type="presOf" srcId="{101E7402-57FC-4EB7-9239-DD9D90DD847D}" destId="{C491560C-3756-46D3-8700-9177CAF6913D}" srcOrd="1" destOrd="0" presId="urn:microsoft.com/office/officeart/2005/8/layout/process3"/>
    <dgm:cxn modelId="{D898F74E-86A1-4DB3-8547-241A9A1BB61C}" srcId="{CF81868A-67E0-46E9-B55D-EE12D98003C6}" destId="{59D69ACF-7FCF-43A4-81BC-EB5BB24FC519}" srcOrd="0" destOrd="0" parTransId="{8A9E1CDF-7F4B-4F81-87D6-228F9D08B15A}" sibTransId="{EE48D853-EE84-4E7B-B24F-8D6EABCEF985}"/>
    <dgm:cxn modelId="{E31EC8A9-437E-451E-9307-0A55AB13397E}" type="presOf" srcId="{CF81868A-67E0-46E9-B55D-EE12D98003C6}" destId="{472F301C-CE0D-4AE3-9A40-00DA29A63765}" srcOrd="0" destOrd="0" presId="urn:microsoft.com/office/officeart/2005/8/layout/process3"/>
    <dgm:cxn modelId="{4AFF34CA-3E41-4F83-AF44-ACAFCB6F0ED9}" type="presOf" srcId="{62DF77B2-DD65-4763-A941-053416BDAD6B}" destId="{93120023-54AC-4B87-B990-451A7BDAA8CD}" srcOrd="0" destOrd="3" presId="urn:microsoft.com/office/officeart/2005/8/layout/process3"/>
    <dgm:cxn modelId="{3C80B664-A7AF-4E93-94D5-D9CF19D0F92A}" type="presOf" srcId="{C7483EC6-E07F-41E4-A350-AAEE07F56D1E}" destId="{93120023-54AC-4B87-B990-451A7BDAA8CD}" srcOrd="0" destOrd="4" presId="urn:microsoft.com/office/officeart/2005/8/layout/process3"/>
    <dgm:cxn modelId="{CA6CE87C-B568-494D-883C-6AA3EEDFA72D}" srcId="{FD3E59A0-E2F5-488E-B08B-BB93549B7FB6}" destId="{D43E3D86-87E6-492F-8D4B-FE45E8D9A59D}" srcOrd="1" destOrd="0" parTransId="{B680230E-102F-4070-A170-E1E4D2D7FD36}" sibTransId="{21627E5B-052B-4B6E-9F99-192024D45366}"/>
    <dgm:cxn modelId="{16D448B6-F200-44A0-A107-EFB83221E325}" type="presOf" srcId="{327F6974-45BB-4EF8-936F-75B38E7AFB3E}" destId="{DAB9B33A-ECB7-4AD7-AEA8-F174B84A1AEB}" srcOrd="0" destOrd="1" presId="urn:microsoft.com/office/officeart/2005/8/layout/process3"/>
    <dgm:cxn modelId="{2CC8BADD-FA80-4E6C-A146-46FF5982748B}" srcId="{FD3E59A0-E2F5-488E-B08B-BB93549B7FB6}" destId="{38247BD1-9CFB-449E-BD15-9F3868B52F3A}" srcOrd="0" destOrd="0" parTransId="{6342228E-6C4E-4399-B981-10F0F30A2899}" sibTransId="{34478A8C-E9DE-4750-92A8-81208D370B93}"/>
    <dgm:cxn modelId="{AC8E114F-9A65-4E99-B6DF-32E23C211785}" type="presOf" srcId="{D43E3D86-87E6-492F-8D4B-FE45E8D9A59D}" destId="{C67F7839-1050-402F-BEDD-2D125545C0EB}" srcOrd="0" destOrd="1" presId="urn:microsoft.com/office/officeart/2005/8/layout/process3"/>
    <dgm:cxn modelId="{035E0792-BE51-44D2-B1F6-E8F7DC68E5A2}" type="presOf" srcId="{C7972253-7ACB-42BE-8BAB-111E54295C06}" destId="{93120023-54AC-4B87-B990-451A7BDAA8CD}" srcOrd="0" destOrd="1" presId="urn:microsoft.com/office/officeart/2005/8/layout/process3"/>
    <dgm:cxn modelId="{0371F7C3-2936-40B2-8265-0EC2DAF6535C}" srcId="{101E7402-57FC-4EB7-9239-DD9D90DD847D}" destId="{62DF77B2-DD65-4763-A941-053416BDAD6B}" srcOrd="3" destOrd="0" parTransId="{29C362EF-0540-475E-8AED-58F645330901}" sibTransId="{98C96C42-74F0-4706-B2BE-723C568650B2}"/>
    <dgm:cxn modelId="{38BF604A-012E-4011-B532-6D5AB0E4A7CA}" type="presOf" srcId="{FD3E59A0-E2F5-488E-B08B-BB93549B7FB6}" destId="{122705D6-92E0-43E7-8D99-93DFCBFE1CBC}" srcOrd="1" destOrd="0" presId="urn:microsoft.com/office/officeart/2005/8/layout/process3"/>
    <dgm:cxn modelId="{C4132A29-C281-48AC-BDC7-3589893086E6}" type="presParOf" srcId="{472F301C-CE0D-4AE3-9A40-00DA29A63765}" destId="{FAAC9874-D820-468D-B580-F9AD83467903}" srcOrd="0" destOrd="0" presId="urn:microsoft.com/office/officeart/2005/8/layout/process3"/>
    <dgm:cxn modelId="{B7378CF0-23A0-40ED-99CB-868AB95DB334}" type="presParOf" srcId="{FAAC9874-D820-468D-B580-F9AD83467903}" destId="{85655027-A55C-46CF-82E1-9BBF4BE3B010}" srcOrd="0" destOrd="0" presId="urn:microsoft.com/office/officeart/2005/8/layout/process3"/>
    <dgm:cxn modelId="{D49F03FD-EA7E-48F7-AA17-4D9B4BAAB5C2}" type="presParOf" srcId="{FAAC9874-D820-468D-B580-F9AD83467903}" destId="{1E7AA8E6-C3CA-4582-ACC0-E73F17AC03F4}" srcOrd="1" destOrd="0" presId="urn:microsoft.com/office/officeart/2005/8/layout/process3"/>
    <dgm:cxn modelId="{5F23F49C-D617-4374-8723-FA4DC3B6061A}" type="presParOf" srcId="{FAAC9874-D820-468D-B580-F9AD83467903}" destId="{DAB9B33A-ECB7-4AD7-AEA8-F174B84A1AEB}" srcOrd="2" destOrd="0" presId="urn:microsoft.com/office/officeart/2005/8/layout/process3"/>
    <dgm:cxn modelId="{8DCCD1A2-4245-484F-8E05-69359168A7A3}" type="presParOf" srcId="{472F301C-CE0D-4AE3-9A40-00DA29A63765}" destId="{5C7970DB-6DD1-41B8-877F-69BDA0E17CB1}" srcOrd="1" destOrd="0" presId="urn:microsoft.com/office/officeart/2005/8/layout/process3"/>
    <dgm:cxn modelId="{639D0539-1F8C-47C4-8E91-5051F81873E9}" type="presParOf" srcId="{5C7970DB-6DD1-41B8-877F-69BDA0E17CB1}" destId="{2B0368C2-A363-4EC9-8812-EE93AC58D215}" srcOrd="0" destOrd="0" presId="urn:microsoft.com/office/officeart/2005/8/layout/process3"/>
    <dgm:cxn modelId="{1502CE5C-5F7F-4356-ABB3-81A1B8E83191}" type="presParOf" srcId="{472F301C-CE0D-4AE3-9A40-00DA29A63765}" destId="{E968E4C0-BF02-417A-86B5-9559E54622DB}" srcOrd="2" destOrd="0" presId="urn:microsoft.com/office/officeart/2005/8/layout/process3"/>
    <dgm:cxn modelId="{C3C2B533-97AC-4586-BA2F-80F13B72616E}" type="presParOf" srcId="{E968E4C0-BF02-417A-86B5-9559E54622DB}" destId="{DD30CDF7-8ADC-487B-9349-6314755AA51D}" srcOrd="0" destOrd="0" presId="urn:microsoft.com/office/officeart/2005/8/layout/process3"/>
    <dgm:cxn modelId="{B1A2C178-4FDC-4E07-B945-6D1784824D2D}" type="presParOf" srcId="{E968E4C0-BF02-417A-86B5-9559E54622DB}" destId="{C491560C-3756-46D3-8700-9177CAF6913D}" srcOrd="1" destOrd="0" presId="urn:microsoft.com/office/officeart/2005/8/layout/process3"/>
    <dgm:cxn modelId="{A76EE727-9590-4C35-AD65-62D1AA01B451}" type="presParOf" srcId="{E968E4C0-BF02-417A-86B5-9559E54622DB}" destId="{93120023-54AC-4B87-B990-451A7BDAA8CD}" srcOrd="2" destOrd="0" presId="urn:microsoft.com/office/officeart/2005/8/layout/process3"/>
    <dgm:cxn modelId="{E3458179-B319-4E7A-BB43-015617633562}" type="presParOf" srcId="{472F301C-CE0D-4AE3-9A40-00DA29A63765}" destId="{A725E3DB-9702-42C3-80AD-881CF9E1C310}" srcOrd="3" destOrd="0" presId="urn:microsoft.com/office/officeart/2005/8/layout/process3"/>
    <dgm:cxn modelId="{0048C6D5-1A5C-4738-B028-408B058121D9}" type="presParOf" srcId="{A725E3DB-9702-42C3-80AD-881CF9E1C310}" destId="{0B841B75-F042-4390-B33A-5EF192B6D6A3}" srcOrd="0" destOrd="0" presId="urn:microsoft.com/office/officeart/2005/8/layout/process3"/>
    <dgm:cxn modelId="{D82BEB04-F451-4BFB-B9E4-4197E169019F}" type="presParOf" srcId="{472F301C-CE0D-4AE3-9A40-00DA29A63765}" destId="{91387BFE-FCFE-4EFA-9A18-7ADA5F2F7224}" srcOrd="4" destOrd="0" presId="urn:microsoft.com/office/officeart/2005/8/layout/process3"/>
    <dgm:cxn modelId="{A024207E-2B4C-42CD-A9B6-79DDE19DD41E}" type="presParOf" srcId="{91387BFE-FCFE-4EFA-9A18-7ADA5F2F7224}" destId="{361DA778-63DF-4DA4-8768-967A9A649459}" srcOrd="0" destOrd="0" presId="urn:microsoft.com/office/officeart/2005/8/layout/process3"/>
    <dgm:cxn modelId="{49C1FCF7-08C3-4B56-B4D7-612180937A55}" type="presParOf" srcId="{91387BFE-FCFE-4EFA-9A18-7ADA5F2F7224}" destId="{122705D6-92E0-43E7-8D99-93DFCBFE1CBC}" srcOrd="1" destOrd="0" presId="urn:microsoft.com/office/officeart/2005/8/layout/process3"/>
    <dgm:cxn modelId="{109674C4-4562-4F68-BE81-509973A3E89D}" type="presParOf" srcId="{91387BFE-FCFE-4EFA-9A18-7ADA5F2F7224}" destId="{C67F7839-1050-402F-BEDD-2D125545C0EB}" srcOrd="2" destOrd="0" presId="urn:microsoft.com/office/officeart/2005/8/layout/process3"/>
  </dgm:cxnLst>
  <dgm:bg/>
  <dgm:whole/>
  <dgm:extLst>
    <a:ext uri="http://schemas.microsoft.com/office/drawing/2008/diagram">
      <dsp:dataModelExt xmlns:dsp="http://schemas.microsoft.com/office/drawing/2008/diagram" xmlns="" relId="rId138"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EFDAC78F-1AEF-4B46-9AA0-1CD4B9EC8B7D}" type="doc">
      <dgm:prSet loTypeId="urn:microsoft.com/office/officeart/2005/8/layout/process4" loCatId="list" qsTypeId="urn:microsoft.com/office/officeart/2005/8/quickstyle/simple1" qsCatId="simple" csTypeId="urn:microsoft.com/office/officeart/2005/8/colors/accent0_1" csCatId="mainScheme" phldr="1"/>
      <dgm:spPr/>
      <dgm:t>
        <a:bodyPr/>
        <a:lstStyle/>
        <a:p>
          <a:endParaRPr lang="pl-PL"/>
        </a:p>
      </dgm:t>
    </dgm:pt>
    <dgm:pt modelId="{604BADD4-E1EB-4A79-B5AF-EFC8C398273A}">
      <dgm:prSet phldrT="[Tekst]" custT="1"/>
      <dgm:spPr>
        <a:solidFill>
          <a:srgbClr val="99CCFF"/>
        </a:solidFill>
        <a:ln>
          <a:solidFill>
            <a:srgbClr val="0070C0"/>
          </a:solidFill>
        </a:ln>
      </dgm:spPr>
      <dgm:t>
        <a:bodyPr/>
        <a:lstStyle/>
        <a:p>
          <a:r>
            <a:rPr lang="pl-PL" sz="1200" b="1"/>
            <a:t>RYZYKO NIEPEŁNEGO DOSTĘPU DO INFORMACJI ORAZ NIE W PEŁNI POPRAWNYCH WYNIKÓW ANALIZ WYKONANYCH NA ETAPIE FORMUŁOWANIA DOKUMENTU</a:t>
          </a:r>
        </a:p>
      </dgm:t>
    </dgm:pt>
    <dgm:pt modelId="{F5836C3E-026B-4F3D-A1B8-93CB020BEE2B}" type="parTrans" cxnId="{E881DD4F-8799-4EBE-B6CE-1D3C3AEF48BE}">
      <dgm:prSet/>
      <dgm:spPr/>
      <dgm:t>
        <a:bodyPr/>
        <a:lstStyle/>
        <a:p>
          <a:endParaRPr lang="pl-PL"/>
        </a:p>
      </dgm:t>
    </dgm:pt>
    <dgm:pt modelId="{4B92FD3A-2280-43D8-B814-13CCB2170549}" type="sibTrans" cxnId="{E881DD4F-8799-4EBE-B6CE-1D3C3AEF48BE}">
      <dgm:prSet/>
      <dgm:spPr/>
      <dgm:t>
        <a:bodyPr/>
        <a:lstStyle/>
        <a:p>
          <a:endParaRPr lang="pl-PL"/>
        </a:p>
      </dgm:t>
    </dgm:pt>
    <dgm:pt modelId="{FCBB4E6E-E821-4EA0-A792-7809B13883FE}">
      <dgm:prSet phldrT="[Tekst]" custT="1"/>
      <dgm:spPr>
        <a:solidFill>
          <a:schemeClr val="bg2">
            <a:lumMod val="90000"/>
            <a:alpha val="90000"/>
          </a:schemeClr>
        </a:solidFill>
        <a:ln>
          <a:solidFill>
            <a:schemeClr val="bg1">
              <a:lumMod val="65000"/>
              <a:alpha val="90000"/>
            </a:schemeClr>
          </a:solidFill>
        </a:ln>
      </dgm:spPr>
      <dgm:t>
        <a:bodyPr/>
        <a:lstStyle/>
        <a:p>
          <a:r>
            <a:rPr lang="pl-PL" sz="900"/>
            <a:t>niepełne odwzorowanie zjawisk kryzysowych ze względu na deficyt danych w źródłach statystyki publicznej</a:t>
          </a:r>
        </a:p>
      </dgm:t>
    </dgm:pt>
    <dgm:pt modelId="{3DAEBFE8-2F36-456C-B4FC-60DBF55A1166}" type="parTrans" cxnId="{0D9B3B23-C202-4C5A-BB49-8E4A187860BB}">
      <dgm:prSet/>
      <dgm:spPr/>
      <dgm:t>
        <a:bodyPr/>
        <a:lstStyle/>
        <a:p>
          <a:endParaRPr lang="pl-PL"/>
        </a:p>
      </dgm:t>
    </dgm:pt>
    <dgm:pt modelId="{F7B8FCA6-83B7-4E29-AAA7-1024BB85D0F4}" type="sibTrans" cxnId="{0D9B3B23-C202-4C5A-BB49-8E4A187860BB}">
      <dgm:prSet/>
      <dgm:spPr/>
      <dgm:t>
        <a:bodyPr/>
        <a:lstStyle/>
        <a:p>
          <a:endParaRPr lang="pl-PL"/>
        </a:p>
      </dgm:t>
    </dgm:pt>
    <dgm:pt modelId="{44BD80E5-2F6A-4968-BBF7-54F54D1A98C1}">
      <dgm:prSet phldrT="[Tekst]"/>
      <dgm:spPr>
        <a:solidFill>
          <a:schemeClr val="bg2">
            <a:lumMod val="90000"/>
            <a:alpha val="90000"/>
          </a:schemeClr>
        </a:solidFill>
        <a:ln>
          <a:solidFill>
            <a:schemeClr val="bg1">
              <a:lumMod val="65000"/>
              <a:alpha val="90000"/>
            </a:schemeClr>
          </a:solidFill>
        </a:ln>
      </dgm:spPr>
      <dgm:t>
        <a:bodyPr/>
        <a:lstStyle/>
        <a:p>
          <a:r>
            <a:rPr lang="pl-PL" sz="900"/>
            <a:t>ograniczony udział członków społeczności lokalnych, </a:t>
          </a:r>
          <a:br>
            <a:rPr lang="pl-PL" sz="900"/>
          </a:br>
          <a:r>
            <a:rPr lang="pl-PL" sz="900"/>
            <a:t>w szczególności grup skrajnie defaworyzowanych w procecie konsultacji</a:t>
          </a:r>
        </a:p>
      </dgm:t>
    </dgm:pt>
    <dgm:pt modelId="{B6C1F311-2B0E-47A6-B03F-4EA254516E93}" type="parTrans" cxnId="{7622576D-A3DE-462E-BE0D-6F5F74D10119}">
      <dgm:prSet/>
      <dgm:spPr/>
      <dgm:t>
        <a:bodyPr/>
        <a:lstStyle/>
        <a:p>
          <a:endParaRPr lang="pl-PL"/>
        </a:p>
      </dgm:t>
    </dgm:pt>
    <dgm:pt modelId="{503E9764-9FDE-41A6-A898-355F7FDCC606}" type="sibTrans" cxnId="{7622576D-A3DE-462E-BE0D-6F5F74D10119}">
      <dgm:prSet/>
      <dgm:spPr/>
      <dgm:t>
        <a:bodyPr/>
        <a:lstStyle/>
        <a:p>
          <a:endParaRPr lang="pl-PL"/>
        </a:p>
      </dgm:t>
    </dgm:pt>
    <dgm:pt modelId="{E01EC831-ED84-418D-AFF5-FC19A067D9CE}">
      <dgm:prSet phldrT="[Tekst]" custT="1"/>
      <dgm:spPr>
        <a:solidFill>
          <a:srgbClr val="99CCFF"/>
        </a:solidFill>
        <a:ln>
          <a:solidFill>
            <a:srgbClr val="0070C0"/>
          </a:solidFill>
        </a:ln>
      </dgm:spPr>
      <dgm:t>
        <a:bodyPr/>
        <a:lstStyle/>
        <a:p>
          <a:r>
            <a:rPr lang="pl-PL" sz="1200" b="1"/>
            <a:t>RYZYKO BŁĘDNEGO PROGNOZOWANIA ZJAWISK</a:t>
          </a:r>
        </a:p>
      </dgm:t>
    </dgm:pt>
    <dgm:pt modelId="{2B903A6C-8D6A-4B04-A0F4-58202EBD11F3}" type="parTrans" cxnId="{E8DFB8B2-77E7-400D-ABA8-6EDDFB3E0405}">
      <dgm:prSet/>
      <dgm:spPr/>
      <dgm:t>
        <a:bodyPr/>
        <a:lstStyle/>
        <a:p>
          <a:endParaRPr lang="pl-PL"/>
        </a:p>
      </dgm:t>
    </dgm:pt>
    <dgm:pt modelId="{0D974624-C1E4-43D5-94C9-C3AC30CDBDB7}" type="sibTrans" cxnId="{E8DFB8B2-77E7-400D-ABA8-6EDDFB3E0405}">
      <dgm:prSet/>
      <dgm:spPr/>
      <dgm:t>
        <a:bodyPr/>
        <a:lstStyle/>
        <a:p>
          <a:endParaRPr lang="pl-PL"/>
        </a:p>
      </dgm:t>
    </dgm:pt>
    <dgm:pt modelId="{ACAEB410-F7E0-434B-A751-CE6839F75EE0}">
      <dgm:prSet phldrT="[Tekst]" custT="1"/>
      <dgm:spPr>
        <a:solidFill>
          <a:schemeClr val="bg2">
            <a:lumMod val="90000"/>
            <a:alpha val="90000"/>
          </a:schemeClr>
        </a:solidFill>
        <a:ln>
          <a:solidFill>
            <a:schemeClr val="bg1">
              <a:lumMod val="65000"/>
              <a:alpha val="90000"/>
            </a:schemeClr>
          </a:solidFill>
        </a:ln>
      </dgm:spPr>
      <dgm:t>
        <a:bodyPr/>
        <a:lstStyle/>
        <a:p>
          <a:r>
            <a:rPr lang="pl-PL" sz="900"/>
            <a:t>ograniczone prawdopodobieństwo realizacji prognoz dotyczących ewolucji procesów lokalnych, </a:t>
          </a:r>
          <a:br>
            <a:rPr lang="pl-PL" sz="900"/>
          </a:br>
          <a:r>
            <a:rPr lang="pl-PL" sz="900"/>
            <a:t>w szczególności związanych ze zjawiskami kryzysowymi</a:t>
          </a:r>
        </a:p>
      </dgm:t>
    </dgm:pt>
    <dgm:pt modelId="{FDC222C0-A153-42D8-89FE-D8199F9D2028}" type="parTrans" cxnId="{88DC2C32-2545-4D28-B8E5-D760B7CFE669}">
      <dgm:prSet/>
      <dgm:spPr/>
      <dgm:t>
        <a:bodyPr/>
        <a:lstStyle/>
        <a:p>
          <a:endParaRPr lang="pl-PL"/>
        </a:p>
      </dgm:t>
    </dgm:pt>
    <dgm:pt modelId="{A5B75FA8-FB2E-4E2A-8116-46F6D768588B}" type="sibTrans" cxnId="{88DC2C32-2545-4D28-B8E5-D760B7CFE669}">
      <dgm:prSet/>
      <dgm:spPr/>
      <dgm:t>
        <a:bodyPr/>
        <a:lstStyle/>
        <a:p>
          <a:endParaRPr lang="pl-PL"/>
        </a:p>
      </dgm:t>
    </dgm:pt>
    <dgm:pt modelId="{3F220579-7D4F-41C0-A62F-8F50040634CA}">
      <dgm:prSet phldrT="[Tekst]" custT="1"/>
      <dgm:spPr>
        <a:solidFill>
          <a:schemeClr val="bg2">
            <a:lumMod val="90000"/>
            <a:alpha val="90000"/>
          </a:schemeClr>
        </a:solidFill>
        <a:ln>
          <a:solidFill>
            <a:schemeClr val="bg1">
              <a:lumMod val="65000"/>
              <a:alpha val="90000"/>
            </a:schemeClr>
          </a:solidFill>
        </a:ln>
      </dgm:spPr>
      <dgm:t>
        <a:bodyPr/>
        <a:lstStyle/>
        <a:p>
          <a:r>
            <a:rPr lang="pl-PL" sz="900"/>
            <a:t>ograniczone prawdopodbieństwo prognozowania rezultatów podejmowanych przedsięwzięć wdrożeniowych</a:t>
          </a:r>
        </a:p>
      </dgm:t>
    </dgm:pt>
    <dgm:pt modelId="{CC1C33C5-D0CD-4B4A-8A37-78C11E39D1BD}" type="parTrans" cxnId="{3851368F-4304-460C-B013-68B5C7CE607A}">
      <dgm:prSet/>
      <dgm:spPr/>
      <dgm:t>
        <a:bodyPr/>
        <a:lstStyle/>
        <a:p>
          <a:endParaRPr lang="pl-PL"/>
        </a:p>
      </dgm:t>
    </dgm:pt>
    <dgm:pt modelId="{D16EB2BB-7196-453F-9205-34C4B9E44A84}" type="sibTrans" cxnId="{3851368F-4304-460C-B013-68B5C7CE607A}">
      <dgm:prSet/>
      <dgm:spPr/>
      <dgm:t>
        <a:bodyPr/>
        <a:lstStyle/>
        <a:p>
          <a:endParaRPr lang="pl-PL"/>
        </a:p>
      </dgm:t>
    </dgm:pt>
    <dgm:pt modelId="{2B0D30A0-1F15-4B9F-BCA2-7F04C54A1248}">
      <dgm:prSet phldrT="[Tekst]" custT="1"/>
      <dgm:spPr>
        <a:solidFill>
          <a:srgbClr val="99CCFF"/>
        </a:solidFill>
        <a:ln>
          <a:solidFill>
            <a:srgbClr val="0070C0"/>
          </a:solidFill>
        </a:ln>
      </dgm:spPr>
      <dgm:t>
        <a:bodyPr/>
        <a:lstStyle/>
        <a:p>
          <a:r>
            <a:rPr lang="pl-PL" sz="1200" b="1"/>
            <a:t>RYZYKO NIEWŁAŚCIWIE REALIZOWANEGO MONITORINGU PROGRAMU</a:t>
          </a:r>
        </a:p>
      </dgm:t>
    </dgm:pt>
    <dgm:pt modelId="{66D602ED-1F98-4D80-A56D-F583145BBC9F}" type="parTrans" cxnId="{18686F28-56A8-4609-BB8B-E0B52503308C}">
      <dgm:prSet/>
      <dgm:spPr/>
      <dgm:t>
        <a:bodyPr/>
        <a:lstStyle/>
        <a:p>
          <a:endParaRPr lang="pl-PL"/>
        </a:p>
      </dgm:t>
    </dgm:pt>
    <dgm:pt modelId="{E9791CB3-0A0A-48CA-AAF5-2783B0D52704}" type="sibTrans" cxnId="{18686F28-56A8-4609-BB8B-E0B52503308C}">
      <dgm:prSet/>
      <dgm:spPr/>
      <dgm:t>
        <a:bodyPr/>
        <a:lstStyle/>
        <a:p>
          <a:endParaRPr lang="pl-PL"/>
        </a:p>
      </dgm:t>
    </dgm:pt>
    <dgm:pt modelId="{D4C8B21E-CD12-4589-B9AE-5DBBF1AFBED8}">
      <dgm:prSet phldrT="[Tekst]" custT="1"/>
      <dgm:spPr>
        <a:solidFill>
          <a:schemeClr val="bg2">
            <a:lumMod val="90000"/>
            <a:alpha val="90000"/>
          </a:schemeClr>
        </a:solidFill>
        <a:ln>
          <a:solidFill>
            <a:schemeClr val="bg1">
              <a:lumMod val="65000"/>
              <a:alpha val="90000"/>
            </a:schemeClr>
          </a:solidFill>
        </a:ln>
      </dgm:spPr>
      <dgm:t>
        <a:bodyPr/>
        <a:lstStyle/>
        <a:p>
          <a:r>
            <a:rPr lang="pl-PL" sz="900"/>
            <a:t>rozbieżność ocen między efektami realizacji projektów a osiąganiem celów rewitalizacji (sukces projektu nierównoznaczny z sukcesem strategicznym)</a:t>
          </a:r>
        </a:p>
      </dgm:t>
    </dgm:pt>
    <dgm:pt modelId="{C4E74DE5-F196-4D9A-ADC1-C088CC76D878}" type="parTrans" cxnId="{922E4843-A2E7-40EB-A222-53B36B9BC294}">
      <dgm:prSet/>
      <dgm:spPr/>
      <dgm:t>
        <a:bodyPr/>
        <a:lstStyle/>
        <a:p>
          <a:endParaRPr lang="pl-PL"/>
        </a:p>
      </dgm:t>
    </dgm:pt>
    <dgm:pt modelId="{E1A2B5FA-88D5-4036-AD58-9DC41C8F1708}" type="sibTrans" cxnId="{922E4843-A2E7-40EB-A222-53B36B9BC294}">
      <dgm:prSet/>
      <dgm:spPr/>
      <dgm:t>
        <a:bodyPr/>
        <a:lstStyle/>
        <a:p>
          <a:endParaRPr lang="pl-PL"/>
        </a:p>
      </dgm:t>
    </dgm:pt>
    <dgm:pt modelId="{90461FAE-9CEE-4A8E-A73F-DA9CE6DC214F}">
      <dgm:prSet phldrT="[Tekst]" custT="1"/>
      <dgm:spPr>
        <a:solidFill>
          <a:schemeClr val="bg2">
            <a:lumMod val="90000"/>
            <a:alpha val="90000"/>
          </a:schemeClr>
        </a:solidFill>
        <a:ln>
          <a:solidFill>
            <a:schemeClr val="bg1">
              <a:lumMod val="65000"/>
              <a:alpha val="90000"/>
            </a:schemeClr>
          </a:solidFill>
        </a:ln>
      </dgm:spPr>
      <dgm:t>
        <a:bodyPr/>
        <a:lstStyle/>
        <a:p>
          <a:r>
            <a:rPr lang="pl-PL" sz="900"/>
            <a:t>niewłaściwa interpretacja przyczyn odchyleń między założeniami rewitalizacji a uzyskanymi rezultatami</a:t>
          </a:r>
        </a:p>
      </dgm:t>
    </dgm:pt>
    <dgm:pt modelId="{374BDA71-08D0-4EEE-AE1D-2B54837A3BF1}" type="parTrans" cxnId="{21BE4FEE-F077-434A-9F47-7BA20F6F7C4B}">
      <dgm:prSet/>
      <dgm:spPr/>
      <dgm:t>
        <a:bodyPr/>
        <a:lstStyle/>
        <a:p>
          <a:endParaRPr lang="pl-PL"/>
        </a:p>
      </dgm:t>
    </dgm:pt>
    <dgm:pt modelId="{D289EF0B-4B98-43F1-B394-4D3EA11F4D80}" type="sibTrans" cxnId="{21BE4FEE-F077-434A-9F47-7BA20F6F7C4B}">
      <dgm:prSet/>
      <dgm:spPr/>
      <dgm:t>
        <a:bodyPr/>
        <a:lstStyle/>
        <a:p>
          <a:endParaRPr lang="pl-PL"/>
        </a:p>
      </dgm:t>
    </dgm:pt>
    <dgm:pt modelId="{054005D9-E9FF-4397-892C-26D7CC3B2F10}">
      <dgm:prSet phldrT="[Tekst]" custT="1"/>
      <dgm:spPr>
        <a:solidFill>
          <a:schemeClr val="bg2">
            <a:lumMod val="90000"/>
            <a:alpha val="90000"/>
          </a:schemeClr>
        </a:solidFill>
        <a:ln>
          <a:solidFill>
            <a:schemeClr val="bg1">
              <a:lumMod val="65000"/>
              <a:alpha val="90000"/>
            </a:schemeClr>
          </a:solidFill>
        </a:ln>
      </dgm:spPr>
      <dgm:t>
        <a:bodyPr/>
        <a:lstStyle/>
        <a:p>
          <a:r>
            <a:rPr lang="pl-PL" sz="900"/>
            <a:t>częściowo błędne interpretacje uzyskanych wyników</a:t>
          </a:r>
        </a:p>
      </dgm:t>
    </dgm:pt>
    <dgm:pt modelId="{B7CC6915-B56F-4C57-884E-E332B343B289}" type="parTrans" cxnId="{17029E64-5CBF-4374-957B-22FD5B928BA8}">
      <dgm:prSet/>
      <dgm:spPr/>
      <dgm:t>
        <a:bodyPr/>
        <a:lstStyle/>
        <a:p>
          <a:endParaRPr lang="pl-PL"/>
        </a:p>
      </dgm:t>
    </dgm:pt>
    <dgm:pt modelId="{2C1F8DF1-E20C-460D-9C60-A8DA72134E47}" type="sibTrans" cxnId="{17029E64-5CBF-4374-957B-22FD5B928BA8}">
      <dgm:prSet/>
      <dgm:spPr/>
      <dgm:t>
        <a:bodyPr/>
        <a:lstStyle/>
        <a:p>
          <a:endParaRPr lang="pl-PL"/>
        </a:p>
      </dgm:t>
    </dgm:pt>
    <dgm:pt modelId="{48F9E880-BD33-4F64-834A-34B3DE8B69A0}">
      <dgm:prSet phldrT="[Tekst]" custT="1"/>
      <dgm:spPr>
        <a:solidFill>
          <a:schemeClr val="bg2">
            <a:lumMod val="90000"/>
            <a:alpha val="90000"/>
          </a:schemeClr>
        </a:solidFill>
        <a:ln>
          <a:solidFill>
            <a:schemeClr val="bg1">
              <a:lumMod val="65000"/>
              <a:alpha val="90000"/>
            </a:schemeClr>
          </a:solidFill>
        </a:ln>
      </dgm:spPr>
      <dgm:t>
        <a:bodyPr/>
        <a:lstStyle/>
        <a:p>
          <a:r>
            <a:rPr lang="pl-PL" sz="900"/>
            <a:t>występowanie zmian skokowych "łamiących" dotychczas obserwowane trendy</a:t>
          </a:r>
        </a:p>
      </dgm:t>
    </dgm:pt>
    <dgm:pt modelId="{ED07BD55-64E9-4641-81E4-50429A1D6657}" type="parTrans" cxnId="{DF74F432-B14F-42A6-BA75-2CED285BA7E6}">
      <dgm:prSet/>
      <dgm:spPr/>
      <dgm:t>
        <a:bodyPr/>
        <a:lstStyle/>
        <a:p>
          <a:endParaRPr lang="pl-PL"/>
        </a:p>
      </dgm:t>
    </dgm:pt>
    <dgm:pt modelId="{9C5BDA8E-B683-449C-8472-2091C2AE2360}" type="sibTrans" cxnId="{DF74F432-B14F-42A6-BA75-2CED285BA7E6}">
      <dgm:prSet/>
      <dgm:spPr/>
      <dgm:t>
        <a:bodyPr/>
        <a:lstStyle/>
        <a:p>
          <a:endParaRPr lang="pl-PL"/>
        </a:p>
      </dgm:t>
    </dgm:pt>
    <dgm:pt modelId="{96414FFC-811E-4486-AFCC-FBFB0B13FA18}">
      <dgm:prSet phldrT="[Tekst]" custT="1"/>
      <dgm:spPr>
        <a:solidFill>
          <a:schemeClr val="bg2">
            <a:lumMod val="90000"/>
            <a:alpha val="90000"/>
          </a:schemeClr>
        </a:solidFill>
        <a:ln>
          <a:solidFill>
            <a:schemeClr val="bg1">
              <a:lumMod val="65000"/>
              <a:alpha val="90000"/>
            </a:schemeClr>
          </a:solidFill>
        </a:ln>
      </dgm:spPr>
      <dgm:t>
        <a:bodyPr/>
        <a:lstStyle/>
        <a:p>
          <a:r>
            <a:rPr lang="pl-PL" sz="900"/>
            <a:t>koncentracja na cząstkowych wynikach monitoringu przy utracie postrzegania kompleksowej sytuacji  miasta i obszaru zdegradowanego</a:t>
          </a:r>
        </a:p>
      </dgm:t>
    </dgm:pt>
    <dgm:pt modelId="{C6DC3474-25E4-468A-932B-68779BB5B426}" type="parTrans" cxnId="{C994852D-5681-4ABD-86ED-7F953BC984B7}">
      <dgm:prSet/>
      <dgm:spPr/>
      <dgm:t>
        <a:bodyPr/>
        <a:lstStyle/>
        <a:p>
          <a:endParaRPr lang="pl-PL"/>
        </a:p>
      </dgm:t>
    </dgm:pt>
    <dgm:pt modelId="{BA6832F5-7C59-49ED-A514-2E63303A6CB8}" type="sibTrans" cxnId="{C994852D-5681-4ABD-86ED-7F953BC984B7}">
      <dgm:prSet/>
      <dgm:spPr/>
      <dgm:t>
        <a:bodyPr/>
        <a:lstStyle/>
        <a:p>
          <a:endParaRPr lang="pl-PL"/>
        </a:p>
      </dgm:t>
    </dgm:pt>
    <dgm:pt modelId="{8C9BD224-A961-429C-85BC-BA9B028F2767}" type="pres">
      <dgm:prSet presAssocID="{EFDAC78F-1AEF-4B46-9AA0-1CD4B9EC8B7D}" presName="Name0" presStyleCnt="0">
        <dgm:presLayoutVars>
          <dgm:dir/>
          <dgm:animLvl val="lvl"/>
          <dgm:resizeHandles val="exact"/>
        </dgm:presLayoutVars>
      </dgm:prSet>
      <dgm:spPr/>
      <dgm:t>
        <a:bodyPr/>
        <a:lstStyle/>
        <a:p>
          <a:endParaRPr lang="pl-PL"/>
        </a:p>
      </dgm:t>
    </dgm:pt>
    <dgm:pt modelId="{F0CF6A56-4398-4DE7-BACC-86CAEAA090B6}" type="pres">
      <dgm:prSet presAssocID="{2B0D30A0-1F15-4B9F-BCA2-7F04C54A1248}" presName="boxAndChildren" presStyleCnt="0"/>
      <dgm:spPr/>
    </dgm:pt>
    <dgm:pt modelId="{C841D1C1-DA04-42F9-947F-C3937857F1D3}" type="pres">
      <dgm:prSet presAssocID="{2B0D30A0-1F15-4B9F-BCA2-7F04C54A1248}" presName="parentTextBox" presStyleLbl="node1" presStyleIdx="0" presStyleCnt="3"/>
      <dgm:spPr/>
      <dgm:t>
        <a:bodyPr/>
        <a:lstStyle/>
        <a:p>
          <a:endParaRPr lang="pl-PL"/>
        </a:p>
      </dgm:t>
    </dgm:pt>
    <dgm:pt modelId="{F2F1C2F6-23B4-4AD2-B87B-56478FF6167B}" type="pres">
      <dgm:prSet presAssocID="{2B0D30A0-1F15-4B9F-BCA2-7F04C54A1248}" presName="entireBox" presStyleLbl="node1" presStyleIdx="0" presStyleCnt="3" custScaleY="125491"/>
      <dgm:spPr/>
      <dgm:t>
        <a:bodyPr/>
        <a:lstStyle/>
        <a:p>
          <a:endParaRPr lang="pl-PL"/>
        </a:p>
      </dgm:t>
    </dgm:pt>
    <dgm:pt modelId="{7B35B4D1-048A-4BE4-BF72-B78EC37E1326}" type="pres">
      <dgm:prSet presAssocID="{2B0D30A0-1F15-4B9F-BCA2-7F04C54A1248}" presName="descendantBox" presStyleCnt="0"/>
      <dgm:spPr/>
    </dgm:pt>
    <dgm:pt modelId="{BDC01A83-EDAF-4E03-9FFF-6860659F53FE}" type="pres">
      <dgm:prSet presAssocID="{96414FFC-811E-4486-AFCC-FBFB0B13FA18}" presName="childTextBox" presStyleLbl="fgAccFollowNode1" presStyleIdx="0" presStyleCnt="9" custScaleY="127010" custLinFactNeighborX="-147" custLinFactNeighborY="18929">
        <dgm:presLayoutVars>
          <dgm:bulletEnabled val="1"/>
        </dgm:presLayoutVars>
      </dgm:prSet>
      <dgm:spPr/>
      <dgm:t>
        <a:bodyPr/>
        <a:lstStyle/>
        <a:p>
          <a:endParaRPr lang="pl-PL"/>
        </a:p>
      </dgm:t>
    </dgm:pt>
    <dgm:pt modelId="{1089DFC7-F718-4012-B2CE-B834ACF86A41}" type="pres">
      <dgm:prSet presAssocID="{D4C8B21E-CD12-4589-B9AE-5DBBF1AFBED8}" presName="childTextBox" presStyleLbl="fgAccFollowNode1" presStyleIdx="1" presStyleCnt="9" custScaleY="127010" custLinFactNeighborX="-147" custLinFactNeighborY="18929">
        <dgm:presLayoutVars>
          <dgm:bulletEnabled val="1"/>
        </dgm:presLayoutVars>
      </dgm:prSet>
      <dgm:spPr/>
      <dgm:t>
        <a:bodyPr/>
        <a:lstStyle/>
        <a:p>
          <a:endParaRPr lang="pl-PL"/>
        </a:p>
      </dgm:t>
    </dgm:pt>
    <dgm:pt modelId="{490E271E-614A-4F85-B7B2-CE0F1959298C}" type="pres">
      <dgm:prSet presAssocID="{90461FAE-9CEE-4A8E-A73F-DA9CE6DC214F}" presName="childTextBox" presStyleLbl="fgAccFollowNode1" presStyleIdx="2" presStyleCnt="9" custScaleY="127010" custLinFactNeighborX="147" custLinFactNeighborY="18929">
        <dgm:presLayoutVars>
          <dgm:bulletEnabled val="1"/>
        </dgm:presLayoutVars>
      </dgm:prSet>
      <dgm:spPr/>
      <dgm:t>
        <a:bodyPr/>
        <a:lstStyle/>
        <a:p>
          <a:endParaRPr lang="pl-PL"/>
        </a:p>
      </dgm:t>
    </dgm:pt>
    <dgm:pt modelId="{74B70F7A-E75D-4F74-8187-14E292776C1B}" type="pres">
      <dgm:prSet presAssocID="{0D974624-C1E4-43D5-94C9-C3AC30CDBDB7}" presName="sp" presStyleCnt="0"/>
      <dgm:spPr/>
    </dgm:pt>
    <dgm:pt modelId="{2A1CA7A0-5003-4558-A09D-BFC7429AC7A0}" type="pres">
      <dgm:prSet presAssocID="{E01EC831-ED84-418D-AFF5-FC19A067D9CE}" presName="arrowAndChildren" presStyleCnt="0"/>
      <dgm:spPr/>
    </dgm:pt>
    <dgm:pt modelId="{2C1D415D-A502-4BD5-A8D8-FB067781DB34}" type="pres">
      <dgm:prSet presAssocID="{E01EC831-ED84-418D-AFF5-FC19A067D9CE}" presName="parentTextArrow" presStyleLbl="node1" presStyleIdx="0" presStyleCnt="3"/>
      <dgm:spPr/>
      <dgm:t>
        <a:bodyPr/>
        <a:lstStyle/>
        <a:p>
          <a:endParaRPr lang="pl-PL"/>
        </a:p>
      </dgm:t>
    </dgm:pt>
    <dgm:pt modelId="{107B65EA-4BE5-4867-8F52-12CB197F3CC1}" type="pres">
      <dgm:prSet presAssocID="{E01EC831-ED84-418D-AFF5-FC19A067D9CE}" presName="arrow" presStyleLbl="node1" presStyleIdx="1" presStyleCnt="3" custScaleY="126853" custLinFactNeighborX="27604"/>
      <dgm:spPr/>
      <dgm:t>
        <a:bodyPr/>
        <a:lstStyle/>
        <a:p>
          <a:endParaRPr lang="pl-PL"/>
        </a:p>
      </dgm:t>
    </dgm:pt>
    <dgm:pt modelId="{C0F70F82-E50F-40B5-BED4-8F92EFA389C4}" type="pres">
      <dgm:prSet presAssocID="{E01EC831-ED84-418D-AFF5-FC19A067D9CE}" presName="descendantArrow" presStyleCnt="0"/>
      <dgm:spPr/>
    </dgm:pt>
    <dgm:pt modelId="{F42E2361-5EB7-43CB-B47C-2A0C01B1FE04}" type="pres">
      <dgm:prSet presAssocID="{ACAEB410-F7E0-434B-A751-CE6839F75EE0}" presName="childTextArrow" presStyleLbl="fgAccFollowNode1" presStyleIdx="3" presStyleCnt="9" custScaleY="127010">
        <dgm:presLayoutVars>
          <dgm:bulletEnabled val="1"/>
        </dgm:presLayoutVars>
      </dgm:prSet>
      <dgm:spPr/>
      <dgm:t>
        <a:bodyPr/>
        <a:lstStyle/>
        <a:p>
          <a:endParaRPr lang="pl-PL"/>
        </a:p>
      </dgm:t>
    </dgm:pt>
    <dgm:pt modelId="{BBE8F99F-1723-4CA9-90BD-B8E736411290}" type="pres">
      <dgm:prSet presAssocID="{3F220579-7D4F-41C0-A62F-8F50040634CA}" presName="childTextArrow" presStyleLbl="fgAccFollowNode1" presStyleIdx="4" presStyleCnt="9" custScaleY="127010">
        <dgm:presLayoutVars>
          <dgm:bulletEnabled val="1"/>
        </dgm:presLayoutVars>
      </dgm:prSet>
      <dgm:spPr/>
      <dgm:t>
        <a:bodyPr/>
        <a:lstStyle/>
        <a:p>
          <a:endParaRPr lang="pl-PL"/>
        </a:p>
      </dgm:t>
    </dgm:pt>
    <dgm:pt modelId="{A37D4B02-65AB-444F-B384-8905AF353B39}" type="pres">
      <dgm:prSet presAssocID="{48F9E880-BD33-4F64-834A-34B3DE8B69A0}" presName="childTextArrow" presStyleLbl="fgAccFollowNode1" presStyleIdx="5" presStyleCnt="9" custScaleY="127010" custLinFactNeighborX="294" custLinFactNeighborY="0">
        <dgm:presLayoutVars>
          <dgm:bulletEnabled val="1"/>
        </dgm:presLayoutVars>
      </dgm:prSet>
      <dgm:spPr/>
      <dgm:t>
        <a:bodyPr/>
        <a:lstStyle/>
        <a:p>
          <a:endParaRPr lang="pl-PL"/>
        </a:p>
      </dgm:t>
    </dgm:pt>
    <dgm:pt modelId="{E4855543-8DB1-4384-B3AA-A924470752C4}" type="pres">
      <dgm:prSet presAssocID="{4B92FD3A-2280-43D8-B814-13CCB2170549}" presName="sp" presStyleCnt="0"/>
      <dgm:spPr/>
    </dgm:pt>
    <dgm:pt modelId="{FD6A8C51-ADF1-4B8F-B656-B226A35F41E3}" type="pres">
      <dgm:prSet presAssocID="{604BADD4-E1EB-4A79-B5AF-EFC8C398273A}" presName="arrowAndChildren" presStyleCnt="0"/>
      <dgm:spPr/>
    </dgm:pt>
    <dgm:pt modelId="{84D73F75-A361-4B4B-A8FD-57D0BF694498}" type="pres">
      <dgm:prSet presAssocID="{604BADD4-E1EB-4A79-B5AF-EFC8C398273A}" presName="parentTextArrow" presStyleLbl="node1" presStyleIdx="1" presStyleCnt="3"/>
      <dgm:spPr/>
      <dgm:t>
        <a:bodyPr/>
        <a:lstStyle/>
        <a:p>
          <a:endParaRPr lang="pl-PL"/>
        </a:p>
      </dgm:t>
    </dgm:pt>
    <dgm:pt modelId="{0DC19A21-8412-44F2-A57E-13EF51EE7B09}" type="pres">
      <dgm:prSet presAssocID="{604BADD4-E1EB-4A79-B5AF-EFC8C398273A}" presName="arrow" presStyleLbl="node1" presStyleIdx="2" presStyleCnt="3" custScaleY="122474"/>
      <dgm:spPr/>
      <dgm:t>
        <a:bodyPr/>
        <a:lstStyle/>
        <a:p>
          <a:endParaRPr lang="pl-PL"/>
        </a:p>
      </dgm:t>
    </dgm:pt>
    <dgm:pt modelId="{B04FF91C-B8DF-4AEF-BEE9-7F9A09ACB856}" type="pres">
      <dgm:prSet presAssocID="{604BADD4-E1EB-4A79-B5AF-EFC8C398273A}" presName="descendantArrow" presStyleCnt="0"/>
      <dgm:spPr/>
    </dgm:pt>
    <dgm:pt modelId="{67465163-9B36-4FB1-BA33-85E1783B5026}" type="pres">
      <dgm:prSet presAssocID="{FCBB4E6E-E821-4EA0-A792-7809B13883FE}" presName="childTextArrow" presStyleLbl="fgAccFollowNode1" presStyleIdx="6" presStyleCnt="9" custScaleY="127010">
        <dgm:presLayoutVars>
          <dgm:bulletEnabled val="1"/>
        </dgm:presLayoutVars>
      </dgm:prSet>
      <dgm:spPr/>
      <dgm:t>
        <a:bodyPr/>
        <a:lstStyle/>
        <a:p>
          <a:endParaRPr lang="pl-PL"/>
        </a:p>
      </dgm:t>
    </dgm:pt>
    <dgm:pt modelId="{5CD8CF57-007D-4A02-8E18-F03EF7DA0337}" type="pres">
      <dgm:prSet presAssocID="{44BD80E5-2F6A-4968-BBF7-54F54D1A98C1}" presName="childTextArrow" presStyleLbl="fgAccFollowNode1" presStyleIdx="7" presStyleCnt="9" custScaleY="127010">
        <dgm:presLayoutVars>
          <dgm:bulletEnabled val="1"/>
        </dgm:presLayoutVars>
      </dgm:prSet>
      <dgm:spPr/>
      <dgm:t>
        <a:bodyPr/>
        <a:lstStyle/>
        <a:p>
          <a:endParaRPr lang="pl-PL"/>
        </a:p>
      </dgm:t>
    </dgm:pt>
    <dgm:pt modelId="{5BFF9526-BB47-465F-B01E-0F10205C0CC0}" type="pres">
      <dgm:prSet presAssocID="{054005D9-E9FF-4397-892C-26D7CC3B2F10}" presName="childTextArrow" presStyleLbl="fgAccFollowNode1" presStyleIdx="8" presStyleCnt="9" custScaleX="100441" custScaleY="127010" custLinFactNeighborX="147">
        <dgm:presLayoutVars>
          <dgm:bulletEnabled val="1"/>
        </dgm:presLayoutVars>
      </dgm:prSet>
      <dgm:spPr/>
      <dgm:t>
        <a:bodyPr/>
        <a:lstStyle/>
        <a:p>
          <a:endParaRPr lang="pl-PL"/>
        </a:p>
      </dgm:t>
    </dgm:pt>
  </dgm:ptLst>
  <dgm:cxnLst>
    <dgm:cxn modelId="{922E4843-A2E7-40EB-A222-53B36B9BC294}" srcId="{2B0D30A0-1F15-4B9F-BCA2-7F04C54A1248}" destId="{D4C8B21E-CD12-4589-B9AE-5DBBF1AFBED8}" srcOrd="1" destOrd="0" parTransId="{C4E74DE5-F196-4D9A-ADC1-C088CC76D878}" sibTransId="{E1A2B5FA-88D5-4036-AD58-9DC41C8F1708}"/>
    <dgm:cxn modelId="{1F1AD035-A767-44B8-8C50-A64F70BAB6C4}" type="presOf" srcId="{E01EC831-ED84-418D-AFF5-FC19A067D9CE}" destId="{107B65EA-4BE5-4867-8F52-12CB197F3CC1}" srcOrd="1" destOrd="0" presId="urn:microsoft.com/office/officeart/2005/8/layout/process4"/>
    <dgm:cxn modelId="{FD908911-9025-492C-9992-85DEC2FDFD92}" type="presOf" srcId="{48F9E880-BD33-4F64-834A-34B3DE8B69A0}" destId="{A37D4B02-65AB-444F-B384-8905AF353B39}" srcOrd="0" destOrd="0" presId="urn:microsoft.com/office/officeart/2005/8/layout/process4"/>
    <dgm:cxn modelId="{3851368F-4304-460C-B013-68B5C7CE607A}" srcId="{E01EC831-ED84-418D-AFF5-FC19A067D9CE}" destId="{3F220579-7D4F-41C0-A62F-8F50040634CA}" srcOrd="1" destOrd="0" parTransId="{CC1C33C5-D0CD-4B4A-8A37-78C11E39D1BD}" sibTransId="{D16EB2BB-7196-453F-9205-34C4B9E44A84}"/>
    <dgm:cxn modelId="{0D9B3B23-C202-4C5A-BB49-8E4A187860BB}" srcId="{604BADD4-E1EB-4A79-B5AF-EFC8C398273A}" destId="{FCBB4E6E-E821-4EA0-A792-7809B13883FE}" srcOrd="0" destOrd="0" parTransId="{3DAEBFE8-2F36-456C-B4FC-60DBF55A1166}" sibTransId="{F7B8FCA6-83B7-4E29-AAA7-1024BB85D0F4}"/>
    <dgm:cxn modelId="{410ABF03-1B2F-4868-AD8F-92346DDB57CB}" type="presOf" srcId="{ACAEB410-F7E0-434B-A751-CE6839F75EE0}" destId="{F42E2361-5EB7-43CB-B47C-2A0C01B1FE04}" srcOrd="0" destOrd="0" presId="urn:microsoft.com/office/officeart/2005/8/layout/process4"/>
    <dgm:cxn modelId="{4DCD39C9-CE8F-412F-9CED-71C12488A197}" type="presOf" srcId="{604BADD4-E1EB-4A79-B5AF-EFC8C398273A}" destId="{0DC19A21-8412-44F2-A57E-13EF51EE7B09}" srcOrd="1" destOrd="0" presId="urn:microsoft.com/office/officeart/2005/8/layout/process4"/>
    <dgm:cxn modelId="{0931BC01-CDEB-4EB5-B64C-5E114574B328}" type="presOf" srcId="{D4C8B21E-CD12-4589-B9AE-5DBBF1AFBED8}" destId="{1089DFC7-F718-4012-B2CE-B834ACF86A41}" srcOrd="0" destOrd="0" presId="urn:microsoft.com/office/officeart/2005/8/layout/process4"/>
    <dgm:cxn modelId="{5D54475C-6865-4835-B404-16866AB14992}" type="presOf" srcId="{44BD80E5-2F6A-4968-BBF7-54F54D1A98C1}" destId="{5CD8CF57-007D-4A02-8E18-F03EF7DA0337}" srcOrd="0" destOrd="0" presId="urn:microsoft.com/office/officeart/2005/8/layout/process4"/>
    <dgm:cxn modelId="{DF74F432-B14F-42A6-BA75-2CED285BA7E6}" srcId="{E01EC831-ED84-418D-AFF5-FC19A067D9CE}" destId="{48F9E880-BD33-4F64-834A-34B3DE8B69A0}" srcOrd="2" destOrd="0" parTransId="{ED07BD55-64E9-4641-81E4-50429A1D6657}" sibTransId="{9C5BDA8E-B683-449C-8472-2091C2AE2360}"/>
    <dgm:cxn modelId="{BF2BF6F2-48D6-4624-847D-AC19F979430D}" type="presOf" srcId="{2B0D30A0-1F15-4B9F-BCA2-7F04C54A1248}" destId="{F2F1C2F6-23B4-4AD2-B87B-56478FF6167B}" srcOrd="1" destOrd="0" presId="urn:microsoft.com/office/officeart/2005/8/layout/process4"/>
    <dgm:cxn modelId="{802C955D-10C5-4DF7-85BA-254F54A35B8D}" type="presOf" srcId="{EFDAC78F-1AEF-4B46-9AA0-1CD4B9EC8B7D}" destId="{8C9BD224-A961-429C-85BC-BA9B028F2767}" srcOrd="0" destOrd="0" presId="urn:microsoft.com/office/officeart/2005/8/layout/process4"/>
    <dgm:cxn modelId="{584CD64E-E9D9-43FF-BA1A-DAB8A48310F6}" type="presOf" srcId="{96414FFC-811E-4486-AFCC-FBFB0B13FA18}" destId="{BDC01A83-EDAF-4E03-9FFF-6860659F53FE}" srcOrd="0" destOrd="0" presId="urn:microsoft.com/office/officeart/2005/8/layout/process4"/>
    <dgm:cxn modelId="{D9B1E0A1-B8EF-4B57-A01D-7DF9A5CF5A37}" type="presOf" srcId="{E01EC831-ED84-418D-AFF5-FC19A067D9CE}" destId="{2C1D415D-A502-4BD5-A8D8-FB067781DB34}" srcOrd="0" destOrd="0" presId="urn:microsoft.com/office/officeart/2005/8/layout/process4"/>
    <dgm:cxn modelId="{E881DD4F-8799-4EBE-B6CE-1D3C3AEF48BE}" srcId="{EFDAC78F-1AEF-4B46-9AA0-1CD4B9EC8B7D}" destId="{604BADD4-E1EB-4A79-B5AF-EFC8C398273A}" srcOrd="0" destOrd="0" parTransId="{F5836C3E-026B-4F3D-A1B8-93CB020BEE2B}" sibTransId="{4B92FD3A-2280-43D8-B814-13CCB2170549}"/>
    <dgm:cxn modelId="{17029E64-5CBF-4374-957B-22FD5B928BA8}" srcId="{604BADD4-E1EB-4A79-B5AF-EFC8C398273A}" destId="{054005D9-E9FF-4397-892C-26D7CC3B2F10}" srcOrd="2" destOrd="0" parTransId="{B7CC6915-B56F-4C57-884E-E332B343B289}" sibTransId="{2C1F8DF1-E20C-460D-9C60-A8DA72134E47}"/>
    <dgm:cxn modelId="{CA3A13AF-CBC0-4BE4-AB94-D5AAB3B4BDBD}" type="presOf" srcId="{90461FAE-9CEE-4A8E-A73F-DA9CE6DC214F}" destId="{490E271E-614A-4F85-B7B2-CE0F1959298C}" srcOrd="0" destOrd="0" presId="urn:microsoft.com/office/officeart/2005/8/layout/process4"/>
    <dgm:cxn modelId="{C994852D-5681-4ABD-86ED-7F953BC984B7}" srcId="{2B0D30A0-1F15-4B9F-BCA2-7F04C54A1248}" destId="{96414FFC-811E-4486-AFCC-FBFB0B13FA18}" srcOrd="0" destOrd="0" parTransId="{C6DC3474-25E4-468A-932B-68779BB5B426}" sibTransId="{BA6832F5-7C59-49ED-A514-2E63303A6CB8}"/>
    <dgm:cxn modelId="{21BE4FEE-F077-434A-9F47-7BA20F6F7C4B}" srcId="{2B0D30A0-1F15-4B9F-BCA2-7F04C54A1248}" destId="{90461FAE-9CEE-4A8E-A73F-DA9CE6DC214F}" srcOrd="2" destOrd="0" parTransId="{374BDA71-08D0-4EEE-AE1D-2B54837A3BF1}" sibTransId="{D289EF0B-4B98-43F1-B394-4D3EA11F4D80}"/>
    <dgm:cxn modelId="{43195435-1496-4E47-B014-444D71C34BFA}" type="presOf" srcId="{2B0D30A0-1F15-4B9F-BCA2-7F04C54A1248}" destId="{C841D1C1-DA04-42F9-947F-C3937857F1D3}" srcOrd="0" destOrd="0" presId="urn:microsoft.com/office/officeart/2005/8/layout/process4"/>
    <dgm:cxn modelId="{18686F28-56A8-4609-BB8B-E0B52503308C}" srcId="{EFDAC78F-1AEF-4B46-9AA0-1CD4B9EC8B7D}" destId="{2B0D30A0-1F15-4B9F-BCA2-7F04C54A1248}" srcOrd="2" destOrd="0" parTransId="{66D602ED-1F98-4D80-A56D-F583145BBC9F}" sibTransId="{E9791CB3-0A0A-48CA-AAF5-2783B0D52704}"/>
    <dgm:cxn modelId="{6855CC9D-33CA-49FA-B0CE-BCF59AE95BFD}" type="presOf" srcId="{604BADD4-E1EB-4A79-B5AF-EFC8C398273A}" destId="{84D73F75-A361-4B4B-A8FD-57D0BF694498}" srcOrd="0" destOrd="0" presId="urn:microsoft.com/office/officeart/2005/8/layout/process4"/>
    <dgm:cxn modelId="{A142F17D-33A5-436D-9898-D81682E1BDF1}" type="presOf" srcId="{3F220579-7D4F-41C0-A62F-8F50040634CA}" destId="{BBE8F99F-1723-4CA9-90BD-B8E736411290}" srcOrd="0" destOrd="0" presId="urn:microsoft.com/office/officeart/2005/8/layout/process4"/>
    <dgm:cxn modelId="{7622576D-A3DE-462E-BE0D-6F5F74D10119}" srcId="{604BADD4-E1EB-4A79-B5AF-EFC8C398273A}" destId="{44BD80E5-2F6A-4968-BBF7-54F54D1A98C1}" srcOrd="1" destOrd="0" parTransId="{B6C1F311-2B0E-47A6-B03F-4EA254516E93}" sibTransId="{503E9764-9FDE-41A6-A898-355F7FDCC606}"/>
    <dgm:cxn modelId="{1AF08E0C-FF1B-467E-8BEE-15633157DA9E}" type="presOf" srcId="{FCBB4E6E-E821-4EA0-A792-7809B13883FE}" destId="{67465163-9B36-4FB1-BA33-85E1783B5026}" srcOrd="0" destOrd="0" presId="urn:microsoft.com/office/officeart/2005/8/layout/process4"/>
    <dgm:cxn modelId="{E8DFB8B2-77E7-400D-ABA8-6EDDFB3E0405}" srcId="{EFDAC78F-1AEF-4B46-9AA0-1CD4B9EC8B7D}" destId="{E01EC831-ED84-418D-AFF5-FC19A067D9CE}" srcOrd="1" destOrd="0" parTransId="{2B903A6C-8D6A-4B04-A0F4-58202EBD11F3}" sibTransId="{0D974624-C1E4-43D5-94C9-C3AC30CDBDB7}"/>
    <dgm:cxn modelId="{E2852611-DD87-477F-B92B-2667C21FDF69}" type="presOf" srcId="{054005D9-E9FF-4397-892C-26D7CC3B2F10}" destId="{5BFF9526-BB47-465F-B01E-0F10205C0CC0}" srcOrd="0" destOrd="0" presId="urn:microsoft.com/office/officeart/2005/8/layout/process4"/>
    <dgm:cxn modelId="{88DC2C32-2545-4D28-B8E5-D760B7CFE669}" srcId="{E01EC831-ED84-418D-AFF5-FC19A067D9CE}" destId="{ACAEB410-F7E0-434B-A751-CE6839F75EE0}" srcOrd="0" destOrd="0" parTransId="{FDC222C0-A153-42D8-89FE-D8199F9D2028}" sibTransId="{A5B75FA8-FB2E-4E2A-8116-46F6D768588B}"/>
    <dgm:cxn modelId="{4E92B731-72FA-467D-99F4-04659366DE36}" type="presParOf" srcId="{8C9BD224-A961-429C-85BC-BA9B028F2767}" destId="{F0CF6A56-4398-4DE7-BACC-86CAEAA090B6}" srcOrd="0" destOrd="0" presId="urn:microsoft.com/office/officeart/2005/8/layout/process4"/>
    <dgm:cxn modelId="{BCEDED32-9C5E-4DC8-B7F1-FBD1A8084C56}" type="presParOf" srcId="{F0CF6A56-4398-4DE7-BACC-86CAEAA090B6}" destId="{C841D1C1-DA04-42F9-947F-C3937857F1D3}" srcOrd="0" destOrd="0" presId="urn:microsoft.com/office/officeart/2005/8/layout/process4"/>
    <dgm:cxn modelId="{CC10AEBE-A140-4793-AAF9-817B0A56E779}" type="presParOf" srcId="{F0CF6A56-4398-4DE7-BACC-86CAEAA090B6}" destId="{F2F1C2F6-23B4-4AD2-B87B-56478FF6167B}" srcOrd="1" destOrd="0" presId="urn:microsoft.com/office/officeart/2005/8/layout/process4"/>
    <dgm:cxn modelId="{CB7EBE0D-C79D-4699-867E-00D9BD340B3B}" type="presParOf" srcId="{F0CF6A56-4398-4DE7-BACC-86CAEAA090B6}" destId="{7B35B4D1-048A-4BE4-BF72-B78EC37E1326}" srcOrd="2" destOrd="0" presId="urn:microsoft.com/office/officeart/2005/8/layout/process4"/>
    <dgm:cxn modelId="{31B7A858-5898-43AB-A03B-62B0EE34A033}" type="presParOf" srcId="{7B35B4D1-048A-4BE4-BF72-B78EC37E1326}" destId="{BDC01A83-EDAF-4E03-9FFF-6860659F53FE}" srcOrd="0" destOrd="0" presId="urn:microsoft.com/office/officeart/2005/8/layout/process4"/>
    <dgm:cxn modelId="{622C1E61-8C29-46E4-B9E9-838BB9292586}" type="presParOf" srcId="{7B35B4D1-048A-4BE4-BF72-B78EC37E1326}" destId="{1089DFC7-F718-4012-B2CE-B834ACF86A41}" srcOrd="1" destOrd="0" presId="urn:microsoft.com/office/officeart/2005/8/layout/process4"/>
    <dgm:cxn modelId="{CF8542F6-29E7-4927-A414-FD786C130D13}" type="presParOf" srcId="{7B35B4D1-048A-4BE4-BF72-B78EC37E1326}" destId="{490E271E-614A-4F85-B7B2-CE0F1959298C}" srcOrd="2" destOrd="0" presId="urn:microsoft.com/office/officeart/2005/8/layout/process4"/>
    <dgm:cxn modelId="{2EE4AA7B-66F9-41C3-8EA9-A8E2E2B8147B}" type="presParOf" srcId="{8C9BD224-A961-429C-85BC-BA9B028F2767}" destId="{74B70F7A-E75D-4F74-8187-14E292776C1B}" srcOrd="1" destOrd="0" presId="urn:microsoft.com/office/officeart/2005/8/layout/process4"/>
    <dgm:cxn modelId="{3810FAF2-E82E-4C19-A17F-8B8D6123E3B6}" type="presParOf" srcId="{8C9BD224-A961-429C-85BC-BA9B028F2767}" destId="{2A1CA7A0-5003-4558-A09D-BFC7429AC7A0}" srcOrd="2" destOrd="0" presId="urn:microsoft.com/office/officeart/2005/8/layout/process4"/>
    <dgm:cxn modelId="{3D3A733D-70A3-4D6D-8028-01E381EFB4A7}" type="presParOf" srcId="{2A1CA7A0-5003-4558-A09D-BFC7429AC7A0}" destId="{2C1D415D-A502-4BD5-A8D8-FB067781DB34}" srcOrd="0" destOrd="0" presId="urn:microsoft.com/office/officeart/2005/8/layout/process4"/>
    <dgm:cxn modelId="{F0B42C9D-37F9-4546-8651-3F1B0B1425ED}" type="presParOf" srcId="{2A1CA7A0-5003-4558-A09D-BFC7429AC7A0}" destId="{107B65EA-4BE5-4867-8F52-12CB197F3CC1}" srcOrd="1" destOrd="0" presId="urn:microsoft.com/office/officeart/2005/8/layout/process4"/>
    <dgm:cxn modelId="{11E7F724-25A4-4FBE-BC28-43EF1A3A86B0}" type="presParOf" srcId="{2A1CA7A0-5003-4558-A09D-BFC7429AC7A0}" destId="{C0F70F82-E50F-40B5-BED4-8F92EFA389C4}" srcOrd="2" destOrd="0" presId="urn:microsoft.com/office/officeart/2005/8/layout/process4"/>
    <dgm:cxn modelId="{93226036-1897-45BD-A338-C281652A2F28}" type="presParOf" srcId="{C0F70F82-E50F-40B5-BED4-8F92EFA389C4}" destId="{F42E2361-5EB7-43CB-B47C-2A0C01B1FE04}" srcOrd="0" destOrd="0" presId="urn:microsoft.com/office/officeart/2005/8/layout/process4"/>
    <dgm:cxn modelId="{CDEE97EB-E9E7-4FB2-B8CF-4698A99E3873}" type="presParOf" srcId="{C0F70F82-E50F-40B5-BED4-8F92EFA389C4}" destId="{BBE8F99F-1723-4CA9-90BD-B8E736411290}" srcOrd="1" destOrd="0" presId="urn:microsoft.com/office/officeart/2005/8/layout/process4"/>
    <dgm:cxn modelId="{00C85772-E9AD-4321-A857-36EB74E6753B}" type="presParOf" srcId="{C0F70F82-E50F-40B5-BED4-8F92EFA389C4}" destId="{A37D4B02-65AB-444F-B384-8905AF353B39}" srcOrd="2" destOrd="0" presId="urn:microsoft.com/office/officeart/2005/8/layout/process4"/>
    <dgm:cxn modelId="{FF5A0992-C6F9-487C-889A-684C39AE2CFA}" type="presParOf" srcId="{8C9BD224-A961-429C-85BC-BA9B028F2767}" destId="{E4855543-8DB1-4384-B3AA-A924470752C4}" srcOrd="3" destOrd="0" presId="urn:microsoft.com/office/officeart/2005/8/layout/process4"/>
    <dgm:cxn modelId="{E745B1DA-74CE-4581-A15A-4A3B2C70E86B}" type="presParOf" srcId="{8C9BD224-A961-429C-85BC-BA9B028F2767}" destId="{FD6A8C51-ADF1-4B8F-B656-B226A35F41E3}" srcOrd="4" destOrd="0" presId="urn:microsoft.com/office/officeart/2005/8/layout/process4"/>
    <dgm:cxn modelId="{983A3C08-8894-4532-BAC5-1007F0A3C6ED}" type="presParOf" srcId="{FD6A8C51-ADF1-4B8F-B656-B226A35F41E3}" destId="{84D73F75-A361-4B4B-A8FD-57D0BF694498}" srcOrd="0" destOrd="0" presId="urn:microsoft.com/office/officeart/2005/8/layout/process4"/>
    <dgm:cxn modelId="{9BC89811-4953-48D8-81BF-ABCE7E5A032B}" type="presParOf" srcId="{FD6A8C51-ADF1-4B8F-B656-B226A35F41E3}" destId="{0DC19A21-8412-44F2-A57E-13EF51EE7B09}" srcOrd="1" destOrd="0" presId="urn:microsoft.com/office/officeart/2005/8/layout/process4"/>
    <dgm:cxn modelId="{7FEB6C50-7371-4067-A2D8-ACA55E61E1FB}" type="presParOf" srcId="{FD6A8C51-ADF1-4B8F-B656-B226A35F41E3}" destId="{B04FF91C-B8DF-4AEF-BEE9-7F9A09ACB856}" srcOrd="2" destOrd="0" presId="urn:microsoft.com/office/officeart/2005/8/layout/process4"/>
    <dgm:cxn modelId="{7A7D60AD-35DD-436B-8607-0AC83822EA86}" type="presParOf" srcId="{B04FF91C-B8DF-4AEF-BEE9-7F9A09ACB856}" destId="{67465163-9B36-4FB1-BA33-85E1783B5026}" srcOrd="0" destOrd="0" presId="urn:microsoft.com/office/officeart/2005/8/layout/process4"/>
    <dgm:cxn modelId="{39C34A1B-D5C1-4545-8802-71D4A234D4D6}" type="presParOf" srcId="{B04FF91C-B8DF-4AEF-BEE9-7F9A09ACB856}" destId="{5CD8CF57-007D-4A02-8E18-F03EF7DA0337}" srcOrd="1" destOrd="0" presId="urn:microsoft.com/office/officeart/2005/8/layout/process4"/>
    <dgm:cxn modelId="{9752EE8D-898B-490C-944E-93467745A645}" type="presParOf" srcId="{B04FF91C-B8DF-4AEF-BEE9-7F9A09ACB856}" destId="{5BFF9526-BB47-465F-B01E-0F10205C0CC0}" srcOrd="2" destOrd="0" presId="urn:microsoft.com/office/officeart/2005/8/layout/process4"/>
  </dgm:cxnLst>
  <dgm:bg/>
  <dgm:whole/>
  <dgm:extLst>
    <a:ext uri="http://schemas.microsoft.com/office/drawing/2008/diagram">
      <dsp:dataModelExt xmlns:dsp="http://schemas.microsoft.com/office/drawing/2008/diagram" xmlns="" relId="rId143"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1F9B017D-C50F-4A34-865A-4FD8EF8C4476}" type="doc">
      <dgm:prSet loTypeId="urn:diagrams.loki3.com/BracketList+Icon" loCatId="list" qsTypeId="urn:microsoft.com/office/officeart/2005/8/quickstyle/simple1" qsCatId="simple" csTypeId="urn:microsoft.com/office/officeart/2005/8/colors/accent0_1" csCatId="mainScheme" phldr="1"/>
      <dgm:spPr/>
      <dgm:t>
        <a:bodyPr/>
        <a:lstStyle/>
        <a:p>
          <a:endParaRPr lang="pl-PL"/>
        </a:p>
      </dgm:t>
    </dgm:pt>
    <dgm:pt modelId="{318C3FDE-4B7C-4B07-9C56-81FCF9618082}">
      <dgm:prSet phldrT="[Tekst]"/>
      <dgm:spPr/>
      <dgm:t>
        <a:bodyPr/>
        <a:lstStyle/>
        <a:p>
          <a:r>
            <a:rPr lang="pl-PL" b="1"/>
            <a:t>ryzyko związane </a:t>
          </a:r>
          <a:br>
            <a:rPr lang="pl-PL" b="1"/>
          </a:br>
          <a:r>
            <a:rPr lang="pl-PL" b="1"/>
            <a:t>z przygotowaniem niezbędnej dokumentacji </a:t>
          </a:r>
          <a:br>
            <a:rPr lang="pl-PL" b="1"/>
          </a:br>
          <a:r>
            <a:rPr lang="pl-PL" b="1"/>
            <a:t>i stosowaniem procedur</a:t>
          </a:r>
        </a:p>
      </dgm:t>
    </dgm:pt>
    <dgm:pt modelId="{8529D633-29FF-4104-8804-8057D476B66A}" type="parTrans" cxnId="{CE5CBB0B-3478-4668-8E45-62C8D63AA760}">
      <dgm:prSet/>
      <dgm:spPr/>
      <dgm:t>
        <a:bodyPr/>
        <a:lstStyle/>
        <a:p>
          <a:endParaRPr lang="pl-PL"/>
        </a:p>
      </dgm:t>
    </dgm:pt>
    <dgm:pt modelId="{3166FE7E-2C3E-47DC-A0EA-B88239E201F1}" type="sibTrans" cxnId="{CE5CBB0B-3478-4668-8E45-62C8D63AA760}">
      <dgm:prSet/>
      <dgm:spPr/>
      <dgm:t>
        <a:bodyPr/>
        <a:lstStyle/>
        <a:p>
          <a:endParaRPr lang="pl-PL"/>
        </a:p>
      </dgm:t>
    </dgm:pt>
    <dgm:pt modelId="{63B57835-A2E1-4480-B8B5-0C0D687FC18E}">
      <dgm:prSet phldrT="[Tekst]"/>
      <dgm:spPr/>
      <dgm:t>
        <a:bodyPr/>
        <a:lstStyle/>
        <a:p>
          <a:r>
            <a:rPr lang="pl-PL"/>
            <a:t>błędy dotyczące przygotowania karty projektu wraz z kolejnymi elementami ją tworzącymi, w szczególności w części odnoszącej się do oszacowania koniecznych nakładów,</a:t>
          </a:r>
        </a:p>
      </dgm:t>
    </dgm:pt>
    <dgm:pt modelId="{6C8DC12C-BC73-42B2-8256-46F422F9D85D}" type="parTrans" cxnId="{0492B07F-E57D-410F-9A7F-0DECA3C0BB05}">
      <dgm:prSet/>
      <dgm:spPr/>
      <dgm:t>
        <a:bodyPr/>
        <a:lstStyle/>
        <a:p>
          <a:endParaRPr lang="pl-PL"/>
        </a:p>
      </dgm:t>
    </dgm:pt>
    <dgm:pt modelId="{8B0EAED4-DAF1-48A9-916E-4BBDBD47D8CA}" type="sibTrans" cxnId="{0492B07F-E57D-410F-9A7F-0DECA3C0BB05}">
      <dgm:prSet/>
      <dgm:spPr/>
      <dgm:t>
        <a:bodyPr/>
        <a:lstStyle/>
        <a:p>
          <a:endParaRPr lang="pl-PL"/>
        </a:p>
      </dgm:t>
    </dgm:pt>
    <dgm:pt modelId="{A12D64A8-3BA6-49FD-B6A0-3E9B5C15C4B2}">
      <dgm:prSet phldrT="[Tekst]"/>
      <dgm:spPr/>
      <dgm:t>
        <a:bodyPr/>
        <a:lstStyle/>
        <a:p>
          <a:r>
            <a:rPr lang="pl-PL" b="1"/>
            <a:t>ryzyko związane </a:t>
          </a:r>
          <a:br>
            <a:rPr lang="pl-PL" b="1"/>
          </a:br>
          <a:r>
            <a:rPr lang="pl-PL" b="1"/>
            <a:t>z relacjami </a:t>
          </a:r>
          <a:br>
            <a:rPr lang="pl-PL" b="1"/>
          </a:br>
          <a:r>
            <a:rPr lang="pl-PL" b="1"/>
            <a:t>z podmiotami partnerskimi </a:t>
          </a:r>
        </a:p>
      </dgm:t>
    </dgm:pt>
    <dgm:pt modelId="{CE217D4E-F9A2-4634-B696-622F923801F5}" type="parTrans" cxnId="{2ECE1AFF-4E12-455F-8330-5A7B61E1D82D}">
      <dgm:prSet/>
      <dgm:spPr/>
      <dgm:t>
        <a:bodyPr/>
        <a:lstStyle/>
        <a:p>
          <a:endParaRPr lang="pl-PL"/>
        </a:p>
      </dgm:t>
    </dgm:pt>
    <dgm:pt modelId="{C1CD7D00-DA19-4BC6-B5EE-6C1E6E9B881C}" type="sibTrans" cxnId="{2ECE1AFF-4E12-455F-8330-5A7B61E1D82D}">
      <dgm:prSet/>
      <dgm:spPr/>
      <dgm:t>
        <a:bodyPr/>
        <a:lstStyle/>
        <a:p>
          <a:endParaRPr lang="pl-PL"/>
        </a:p>
      </dgm:t>
    </dgm:pt>
    <dgm:pt modelId="{72A2C059-D510-43D4-B1F2-4FB6E67F610E}">
      <dgm:prSet phldrT="[Tekst]"/>
      <dgm:spPr/>
      <dgm:t>
        <a:bodyPr/>
        <a:lstStyle/>
        <a:p>
          <a:r>
            <a:rPr lang="pl-PL"/>
            <a:t>niesolidność partnerów, którzy biorą udział w realizacji projektu - opóźnienia w ścieżce krytycznej projektu lub niewłaściwe wykonanie części zadań projektowych wpływające na jakość uzyskiwanych rezultatów w całym projekcie,</a:t>
          </a:r>
        </a:p>
      </dgm:t>
    </dgm:pt>
    <dgm:pt modelId="{51051921-2411-45A0-9596-1379DAEE782F}" type="parTrans" cxnId="{6555D152-33E6-4357-9172-5F225704F215}">
      <dgm:prSet/>
      <dgm:spPr/>
      <dgm:t>
        <a:bodyPr/>
        <a:lstStyle/>
        <a:p>
          <a:endParaRPr lang="pl-PL"/>
        </a:p>
      </dgm:t>
    </dgm:pt>
    <dgm:pt modelId="{F14C313E-D278-4074-88FF-3B38A2BBC2E9}" type="sibTrans" cxnId="{6555D152-33E6-4357-9172-5F225704F215}">
      <dgm:prSet/>
      <dgm:spPr/>
      <dgm:t>
        <a:bodyPr/>
        <a:lstStyle/>
        <a:p>
          <a:endParaRPr lang="pl-PL"/>
        </a:p>
      </dgm:t>
    </dgm:pt>
    <dgm:pt modelId="{81D79128-8223-4C01-9C65-D533AAC17ADE}">
      <dgm:prSet phldrT="[Tekst]"/>
      <dgm:spPr/>
      <dgm:t>
        <a:bodyPr/>
        <a:lstStyle/>
        <a:p>
          <a:r>
            <a:rPr lang="pl-PL"/>
            <a:t>trudności w przygotowaniu dokumentacji technicznej, studiów wykonalności itp.,</a:t>
          </a:r>
        </a:p>
      </dgm:t>
    </dgm:pt>
    <dgm:pt modelId="{6C08CBDA-0951-49EB-BE47-395BE8B10C42}" type="parTrans" cxnId="{6ED42826-2DCE-474C-AE60-2F14DD2FD689}">
      <dgm:prSet/>
      <dgm:spPr/>
      <dgm:t>
        <a:bodyPr/>
        <a:lstStyle/>
        <a:p>
          <a:endParaRPr lang="pl-PL"/>
        </a:p>
      </dgm:t>
    </dgm:pt>
    <dgm:pt modelId="{3FFCDA7E-9932-49B2-BE6B-685659FA4865}" type="sibTrans" cxnId="{6ED42826-2DCE-474C-AE60-2F14DD2FD689}">
      <dgm:prSet/>
      <dgm:spPr/>
      <dgm:t>
        <a:bodyPr/>
        <a:lstStyle/>
        <a:p>
          <a:endParaRPr lang="pl-PL"/>
        </a:p>
      </dgm:t>
    </dgm:pt>
    <dgm:pt modelId="{B866F7E5-A689-4584-90D8-9EE44CEFDB6B}">
      <dgm:prSet phldrT="[Tekst]"/>
      <dgm:spPr/>
      <dgm:t>
        <a:bodyPr/>
        <a:lstStyle/>
        <a:p>
          <a:r>
            <a:rPr lang="pl-PL"/>
            <a:t>trudności w uzyskaniu niezbędnych pozwoleń/uzgodnień warunkujących realizację projektu - np. pozwolenia na budowę, </a:t>
          </a:r>
          <a:br>
            <a:rPr lang="pl-PL"/>
          </a:br>
          <a:r>
            <a:rPr lang="pl-PL"/>
            <a:t>o ustaleniu lokalizacji celu publicznego, uzgodnienia z takimi organami jak konserwator zabytków czy RDOŚ, </a:t>
          </a:r>
        </a:p>
      </dgm:t>
    </dgm:pt>
    <dgm:pt modelId="{C647ACC9-AD35-44A6-AC6B-FBEFAB17E7DD}" type="parTrans" cxnId="{5F077484-B901-4814-83EC-690D047D981F}">
      <dgm:prSet/>
      <dgm:spPr/>
      <dgm:t>
        <a:bodyPr/>
        <a:lstStyle/>
        <a:p>
          <a:endParaRPr lang="pl-PL"/>
        </a:p>
      </dgm:t>
    </dgm:pt>
    <dgm:pt modelId="{DF527921-3792-4D32-B44F-F07978A30BBB}" type="sibTrans" cxnId="{5F077484-B901-4814-83EC-690D047D981F}">
      <dgm:prSet/>
      <dgm:spPr/>
      <dgm:t>
        <a:bodyPr/>
        <a:lstStyle/>
        <a:p>
          <a:endParaRPr lang="pl-PL"/>
        </a:p>
      </dgm:t>
    </dgm:pt>
    <dgm:pt modelId="{E0044D71-10E2-4520-A491-C86783D4D7F5}">
      <dgm:prSet phldrT="[Tekst]"/>
      <dgm:spPr/>
      <dgm:t>
        <a:bodyPr/>
        <a:lstStyle/>
        <a:p>
          <a:r>
            <a:rPr lang="pl-PL"/>
            <a:t>realizacja procedury zamówień publicznych - opóźnienia związane </a:t>
          </a:r>
          <a:br>
            <a:rPr lang="pl-PL"/>
          </a:br>
          <a:r>
            <a:rPr lang="pl-PL"/>
            <a:t>z poszukiwaniem wykonawcy, niewłaściwe kryteria zastosowane przy wyborze wykonawcy,</a:t>
          </a:r>
        </a:p>
      </dgm:t>
    </dgm:pt>
    <dgm:pt modelId="{3F7643FA-0EEE-4BB3-A557-1C79A8AEFAF8}" type="parTrans" cxnId="{756DA123-4118-443E-9B24-C420E65E2D5E}">
      <dgm:prSet/>
      <dgm:spPr/>
      <dgm:t>
        <a:bodyPr/>
        <a:lstStyle/>
        <a:p>
          <a:endParaRPr lang="pl-PL"/>
        </a:p>
      </dgm:t>
    </dgm:pt>
    <dgm:pt modelId="{EDC2905E-9CD4-417C-B4A0-16E7BB09A3FB}" type="sibTrans" cxnId="{756DA123-4118-443E-9B24-C420E65E2D5E}">
      <dgm:prSet/>
      <dgm:spPr/>
      <dgm:t>
        <a:bodyPr/>
        <a:lstStyle/>
        <a:p>
          <a:endParaRPr lang="pl-PL"/>
        </a:p>
      </dgm:t>
    </dgm:pt>
    <dgm:pt modelId="{02AE33F4-8DAE-4A43-9D3B-6D6043018B28}">
      <dgm:prSet phldrT="[Tekst]"/>
      <dgm:spPr/>
      <dgm:t>
        <a:bodyPr/>
        <a:lstStyle/>
        <a:p>
          <a:r>
            <a:rPr lang="pl-PL"/>
            <a:t>trudności w zawiązaniu i utrzymaniu układu współpracy,</a:t>
          </a:r>
        </a:p>
      </dgm:t>
    </dgm:pt>
    <dgm:pt modelId="{4DA54AAE-2195-404A-A0DE-A4729BE8FEBA}" type="parTrans" cxnId="{F74B14DB-6D83-42F2-8672-FA110E5D8A7B}">
      <dgm:prSet/>
      <dgm:spPr/>
      <dgm:t>
        <a:bodyPr/>
        <a:lstStyle/>
        <a:p>
          <a:endParaRPr lang="pl-PL"/>
        </a:p>
      </dgm:t>
    </dgm:pt>
    <dgm:pt modelId="{EB458DA4-85C5-42B0-A351-EB446A40918E}" type="sibTrans" cxnId="{F74B14DB-6D83-42F2-8672-FA110E5D8A7B}">
      <dgm:prSet/>
      <dgm:spPr/>
      <dgm:t>
        <a:bodyPr/>
        <a:lstStyle/>
        <a:p>
          <a:endParaRPr lang="pl-PL"/>
        </a:p>
      </dgm:t>
    </dgm:pt>
    <dgm:pt modelId="{C3A4119A-FB02-4795-AFD4-46ACF294853F}">
      <dgm:prSet phldrT="[Tekst]"/>
      <dgm:spPr/>
      <dgm:t>
        <a:bodyPr/>
        <a:lstStyle/>
        <a:p>
          <a:r>
            <a:rPr lang="pl-PL"/>
            <a:t>odmienne wizje partnerów związane z kształtem projektu lub jego oczekiwanymi rezultatami,</a:t>
          </a:r>
        </a:p>
      </dgm:t>
    </dgm:pt>
    <dgm:pt modelId="{B9857914-71FF-4AEE-8C22-F21AC4EF2213}" type="parTrans" cxnId="{D7D18B43-5375-420E-9ACC-8BEC94461E6E}">
      <dgm:prSet/>
      <dgm:spPr/>
      <dgm:t>
        <a:bodyPr/>
        <a:lstStyle/>
        <a:p>
          <a:endParaRPr lang="pl-PL"/>
        </a:p>
      </dgm:t>
    </dgm:pt>
    <dgm:pt modelId="{8896660C-04A2-49A6-9C66-809952E4A074}" type="sibTrans" cxnId="{D7D18B43-5375-420E-9ACC-8BEC94461E6E}">
      <dgm:prSet/>
      <dgm:spPr/>
      <dgm:t>
        <a:bodyPr/>
        <a:lstStyle/>
        <a:p>
          <a:endParaRPr lang="pl-PL"/>
        </a:p>
      </dgm:t>
    </dgm:pt>
    <dgm:pt modelId="{25304AE9-60C3-4C17-B231-391E910DC90A}">
      <dgm:prSet phldrT="[Tekst]"/>
      <dgm:spPr/>
      <dgm:t>
        <a:bodyPr/>
        <a:lstStyle/>
        <a:p>
          <a:r>
            <a:rPr lang="pl-PL"/>
            <a:t>spory między partnerami dotyczące finansowania udziału </a:t>
          </a:r>
          <a:br>
            <a:rPr lang="pl-PL"/>
          </a:br>
          <a:r>
            <a:rPr lang="pl-PL"/>
            <a:t>w projekcie,</a:t>
          </a:r>
        </a:p>
      </dgm:t>
    </dgm:pt>
    <dgm:pt modelId="{DFA7CE9B-D188-4E0E-9B39-37737D0A820E}" type="parTrans" cxnId="{F5F1FB1D-BEDF-41F3-B2A0-B8C415B37292}">
      <dgm:prSet/>
      <dgm:spPr/>
      <dgm:t>
        <a:bodyPr/>
        <a:lstStyle/>
        <a:p>
          <a:endParaRPr lang="pl-PL"/>
        </a:p>
      </dgm:t>
    </dgm:pt>
    <dgm:pt modelId="{2E7F8E92-A5B5-47BE-A950-DAF2940BAE17}" type="sibTrans" cxnId="{F5F1FB1D-BEDF-41F3-B2A0-B8C415B37292}">
      <dgm:prSet/>
      <dgm:spPr/>
      <dgm:t>
        <a:bodyPr/>
        <a:lstStyle/>
        <a:p>
          <a:endParaRPr lang="pl-PL"/>
        </a:p>
      </dgm:t>
    </dgm:pt>
    <dgm:pt modelId="{CAD649C2-CFA9-4ECE-ACAA-9A355B8E103D}">
      <dgm:prSet phldrT="[Tekst]"/>
      <dgm:spPr/>
      <dgm:t>
        <a:bodyPr/>
        <a:lstStyle/>
        <a:p>
          <a:r>
            <a:rPr lang="pl-PL" b="1"/>
            <a:t>ryzyko związane </a:t>
          </a:r>
          <a:br>
            <a:rPr lang="pl-PL" b="1"/>
          </a:br>
          <a:r>
            <a:rPr lang="pl-PL" b="1"/>
            <a:t>z beneficjentami projektu</a:t>
          </a:r>
        </a:p>
      </dgm:t>
    </dgm:pt>
    <dgm:pt modelId="{D629FA17-1ED4-42EE-9BE2-37DF7385B689}" type="parTrans" cxnId="{F4F72307-794A-4F18-8F89-15A8C4EEA289}">
      <dgm:prSet/>
      <dgm:spPr/>
      <dgm:t>
        <a:bodyPr/>
        <a:lstStyle/>
        <a:p>
          <a:endParaRPr lang="pl-PL"/>
        </a:p>
      </dgm:t>
    </dgm:pt>
    <dgm:pt modelId="{DD537193-9D36-492F-A257-BE3C9798F01A}" type="sibTrans" cxnId="{F4F72307-794A-4F18-8F89-15A8C4EEA289}">
      <dgm:prSet/>
      <dgm:spPr/>
      <dgm:t>
        <a:bodyPr/>
        <a:lstStyle/>
        <a:p>
          <a:endParaRPr lang="pl-PL"/>
        </a:p>
      </dgm:t>
    </dgm:pt>
    <dgm:pt modelId="{EE3E6C4C-5B53-4A92-A771-1644E40C39FB}">
      <dgm:prSet phldrT="[Tekst]"/>
      <dgm:spPr/>
      <dgm:t>
        <a:bodyPr/>
        <a:lstStyle/>
        <a:p>
          <a:r>
            <a:rPr lang="pl-PL"/>
            <a:t>nikłe zainteresowanie rezultatami projektu,</a:t>
          </a:r>
        </a:p>
      </dgm:t>
    </dgm:pt>
    <dgm:pt modelId="{38D96F78-3F37-4F12-A45E-139A9792DEA4}" type="parTrans" cxnId="{CE2E077B-1354-44FA-9349-7496EE72BCFB}">
      <dgm:prSet/>
      <dgm:spPr/>
      <dgm:t>
        <a:bodyPr/>
        <a:lstStyle/>
        <a:p>
          <a:endParaRPr lang="pl-PL"/>
        </a:p>
      </dgm:t>
    </dgm:pt>
    <dgm:pt modelId="{6E2DC2BB-417D-4244-8B30-CBDA8D7B6DBC}" type="sibTrans" cxnId="{CE2E077B-1354-44FA-9349-7496EE72BCFB}">
      <dgm:prSet/>
      <dgm:spPr/>
      <dgm:t>
        <a:bodyPr/>
        <a:lstStyle/>
        <a:p>
          <a:endParaRPr lang="pl-PL"/>
        </a:p>
      </dgm:t>
    </dgm:pt>
    <dgm:pt modelId="{AFC5D685-C8D4-433D-9CFB-6CC98DDD6D50}">
      <dgm:prSet phldrT="[Tekst]"/>
      <dgm:spPr/>
      <dgm:t>
        <a:bodyPr/>
        <a:lstStyle/>
        <a:p>
          <a:r>
            <a:rPr lang="pl-PL"/>
            <a:t>brak zdolności do partycypacji w kosztach funkcjonowania projektu,</a:t>
          </a:r>
        </a:p>
      </dgm:t>
    </dgm:pt>
    <dgm:pt modelId="{0BDC253F-B399-4E1E-8D18-6FABCC19B9B2}" type="parTrans" cxnId="{629AC562-112C-4E97-A8E8-A5F6009F8FCB}">
      <dgm:prSet/>
      <dgm:spPr/>
      <dgm:t>
        <a:bodyPr/>
        <a:lstStyle/>
        <a:p>
          <a:endParaRPr lang="pl-PL"/>
        </a:p>
      </dgm:t>
    </dgm:pt>
    <dgm:pt modelId="{684B08B5-C7D0-466E-B8BC-385E9C306CC9}" type="sibTrans" cxnId="{629AC562-112C-4E97-A8E8-A5F6009F8FCB}">
      <dgm:prSet/>
      <dgm:spPr/>
      <dgm:t>
        <a:bodyPr/>
        <a:lstStyle/>
        <a:p>
          <a:endParaRPr lang="pl-PL"/>
        </a:p>
      </dgm:t>
    </dgm:pt>
    <dgm:pt modelId="{7BACB2BE-0022-4064-B864-7B8E094041D1}">
      <dgm:prSet phldrT="[Tekst]"/>
      <dgm:spPr/>
      <dgm:t>
        <a:bodyPr/>
        <a:lstStyle/>
        <a:p>
          <a:r>
            <a:rPr lang="pl-PL"/>
            <a:t>brak zdolności do partycypacji w kosztach realizacji projektu,</a:t>
          </a:r>
        </a:p>
      </dgm:t>
    </dgm:pt>
    <dgm:pt modelId="{5FB70D61-7AE9-459C-8F2C-7C97E0FB658F}" type="parTrans" cxnId="{311217D7-4C69-4FF6-A08D-60BFDA5855BC}">
      <dgm:prSet/>
      <dgm:spPr/>
      <dgm:t>
        <a:bodyPr/>
        <a:lstStyle/>
        <a:p>
          <a:endParaRPr lang="pl-PL"/>
        </a:p>
      </dgm:t>
    </dgm:pt>
    <dgm:pt modelId="{A441A3BD-A73D-4F64-95F8-0983D2FB06F9}" type="sibTrans" cxnId="{311217D7-4C69-4FF6-A08D-60BFDA5855BC}">
      <dgm:prSet/>
      <dgm:spPr/>
      <dgm:t>
        <a:bodyPr/>
        <a:lstStyle/>
        <a:p>
          <a:endParaRPr lang="pl-PL"/>
        </a:p>
      </dgm:t>
    </dgm:pt>
    <dgm:pt modelId="{03DA5B78-0E92-4E3E-BE3F-A2D57B90046C}">
      <dgm:prSet phldrT="[Tekst]"/>
      <dgm:spPr/>
      <dgm:t>
        <a:bodyPr/>
        <a:lstStyle/>
        <a:p>
          <a:r>
            <a:rPr lang="pl-PL"/>
            <a:t>trudności wynikające z ewentualnego wycofania się z realizacji projektu (opór beneficjentów) w sytuacji, gdy zmieniają się uwarunkowania realizacji projektu lub całego GPR,</a:t>
          </a:r>
        </a:p>
      </dgm:t>
    </dgm:pt>
    <dgm:pt modelId="{05039A26-3095-4306-9260-330B0A5397A1}" type="parTrans" cxnId="{38F8C885-EC8B-48D8-9CA1-0BF5E6AD295A}">
      <dgm:prSet/>
      <dgm:spPr/>
      <dgm:t>
        <a:bodyPr/>
        <a:lstStyle/>
        <a:p>
          <a:endParaRPr lang="pl-PL"/>
        </a:p>
      </dgm:t>
    </dgm:pt>
    <dgm:pt modelId="{F3815A86-191A-47F5-B623-253F6AE9B170}" type="sibTrans" cxnId="{38F8C885-EC8B-48D8-9CA1-0BF5E6AD295A}">
      <dgm:prSet/>
      <dgm:spPr/>
      <dgm:t>
        <a:bodyPr/>
        <a:lstStyle/>
        <a:p>
          <a:endParaRPr lang="pl-PL"/>
        </a:p>
      </dgm:t>
    </dgm:pt>
    <dgm:pt modelId="{B2132CFA-EBE0-4722-A0D6-2BA0D2EDA30C}">
      <dgm:prSet phldrT="[Tekst]"/>
      <dgm:spPr/>
      <dgm:t>
        <a:bodyPr/>
        <a:lstStyle/>
        <a:p>
          <a:r>
            <a:rPr lang="pl-PL"/>
            <a:t>subiektywne oceny przygotowanych wniosków aplikacyjnych </a:t>
          </a:r>
          <a:br>
            <a:rPr lang="pl-PL"/>
          </a:br>
          <a:r>
            <a:rPr lang="pl-PL"/>
            <a:t>o dofinansowanie projektów - niepewność uzyskania środków na realizację ze źródeł zewnętrznych,</a:t>
          </a:r>
        </a:p>
      </dgm:t>
    </dgm:pt>
    <dgm:pt modelId="{5B1A0D9F-B20E-4862-9C61-0079962C946B}" type="parTrans" cxnId="{821C0C06-5B89-4854-BEA7-0613FB7721F6}">
      <dgm:prSet/>
      <dgm:spPr/>
      <dgm:t>
        <a:bodyPr/>
        <a:lstStyle/>
        <a:p>
          <a:endParaRPr lang="pl-PL"/>
        </a:p>
      </dgm:t>
    </dgm:pt>
    <dgm:pt modelId="{24C29666-D4E5-4A8D-9C80-4E359025C85F}" type="sibTrans" cxnId="{821C0C06-5B89-4854-BEA7-0613FB7721F6}">
      <dgm:prSet/>
      <dgm:spPr/>
      <dgm:t>
        <a:bodyPr/>
        <a:lstStyle/>
        <a:p>
          <a:endParaRPr lang="pl-PL"/>
        </a:p>
      </dgm:t>
    </dgm:pt>
    <dgm:pt modelId="{9408D533-02F8-4178-8DA7-53B688233223}">
      <dgm:prSet phldrT="[Tekst]"/>
      <dgm:spPr/>
      <dgm:t>
        <a:bodyPr/>
        <a:lstStyle/>
        <a:p>
          <a:r>
            <a:rPr lang="pl-PL" b="1"/>
            <a:t>ryzyko kompetencyjne</a:t>
          </a:r>
        </a:p>
      </dgm:t>
    </dgm:pt>
    <dgm:pt modelId="{BA681D27-5085-47D3-80D5-AA8B8F2FB2D7}" type="parTrans" cxnId="{7C89FE90-7F20-4ABF-930D-634B71D284BE}">
      <dgm:prSet/>
      <dgm:spPr/>
      <dgm:t>
        <a:bodyPr/>
        <a:lstStyle/>
        <a:p>
          <a:endParaRPr lang="pl-PL"/>
        </a:p>
      </dgm:t>
    </dgm:pt>
    <dgm:pt modelId="{C68B1A60-ABA7-459B-A37C-5C0C33160CEF}" type="sibTrans" cxnId="{7C89FE90-7F20-4ABF-930D-634B71D284BE}">
      <dgm:prSet/>
      <dgm:spPr/>
      <dgm:t>
        <a:bodyPr/>
        <a:lstStyle/>
        <a:p>
          <a:endParaRPr lang="pl-PL"/>
        </a:p>
      </dgm:t>
    </dgm:pt>
    <dgm:pt modelId="{B97A09C0-D914-460A-AD96-3911DC778833}">
      <dgm:prSet phldrT="[Tekst]"/>
      <dgm:spPr/>
      <dgm:t>
        <a:bodyPr/>
        <a:lstStyle/>
        <a:p>
          <a:r>
            <a:rPr lang="pl-PL"/>
            <a:t>brak doświadczenia w realizacji projektów niestandardowych (dominujących w procesie rewitalizacji),</a:t>
          </a:r>
        </a:p>
      </dgm:t>
    </dgm:pt>
    <dgm:pt modelId="{F2C69C59-2363-4F1F-9B00-437FD02ADA16}" type="parTrans" cxnId="{29BF6A33-B4A9-4AA7-A982-427D2409EF9B}">
      <dgm:prSet/>
      <dgm:spPr/>
      <dgm:t>
        <a:bodyPr/>
        <a:lstStyle/>
        <a:p>
          <a:endParaRPr lang="pl-PL"/>
        </a:p>
      </dgm:t>
    </dgm:pt>
    <dgm:pt modelId="{94DEE450-5E8A-4E9B-870C-CA21E126E0CE}" type="sibTrans" cxnId="{29BF6A33-B4A9-4AA7-A982-427D2409EF9B}">
      <dgm:prSet/>
      <dgm:spPr/>
      <dgm:t>
        <a:bodyPr/>
        <a:lstStyle/>
        <a:p>
          <a:endParaRPr lang="pl-PL"/>
        </a:p>
      </dgm:t>
    </dgm:pt>
    <dgm:pt modelId="{83D395A4-4F9D-48BC-BB02-F5DD48825C22}">
      <dgm:prSet phldrT="[Tekst]"/>
      <dgm:spPr/>
      <dgm:t>
        <a:bodyPr/>
        <a:lstStyle/>
        <a:p>
          <a:r>
            <a:rPr lang="pl-PL"/>
            <a:t>projekty rewitalizacyjne realizowane z grupami defaworyzowanymi jako partnerami - brak doświadczenia partnerów i ich kompetencji </a:t>
          </a:r>
          <a:br>
            <a:rPr lang="pl-PL"/>
          </a:br>
          <a:r>
            <a:rPr lang="pl-PL"/>
            <a:t>w działaniach typu projektowego,</a:t>
          </a:r>
        </a:p>
      </dgm:t>
    </dgm:pt>
    <dgm:pt modelId="{B2CD5BA3-B98B-493F-833B-2CE864196642}" type="parTrans" cxnId="{5BCA415A-FB42-4063-B9F2-7A95EBC073B7}">
      <dgm:prSet/>
      <dgm:spPr/>
      <dgm:t>
        <a:bodyPr/>
        <a:lstStyle/>
        <a:p>
          <a:endParaRPr lang="pl-PL"/>
        </a:p>
      </dgm:t>
    </dgm:pt>
    <dgm:pt modelId="{71D94DAB-E779-4BE1-9277-FF9E9F989ABC}" type="sibTrans" cxnId="{5BCA415A-FB42-4063-B9F2-7A95EBC073B7}">
      <dgm:prSet/>
      <dgm:spPr/>
      <dgm:t>
        <a:bodyPr/>
        <a:lstStyle/>
        <a:p>
          <a:endParaRPr lang="pl-PL"/>
        </a:p>
      </dgm:t>
    </dgm:pt>
    <dgm:pt modelId="{AC2223A8-B187-4071-BB06-EE4CA87F456C}">
      <dgm:prSet phldrT="[Tekst]"/>
      <dgm:spPr/>
      <dgm:t>
        <a:bodyPr/>
        <a:lstStyle/>
        <a:p>
          <a:r>
            <a:rPr lang="pl-PL" b="1"/>
            <a:t>ryzyko zasobowe</a:t>
          </a:r>
        </a:p>
      </dgm:t>
    </dgm:pt>
    <dgm:pt modelId="{80BAE47E-9387-41ED-B1C7-F992F588683D}" type="parTrans" cxnId="{FA394622-A034-4C9D-9E9C-1B2DA5C1A98D}">
      <dgm:prSet/>
      <dgm:spPr/>
      <dgm:t>
        <a:bodyPr/>
        <a:lstStyle/>
        <a:p>
          <a:endParaRPr lang="pl-PL"/>
        </a:p>
      </dgm:t>
    </dgm:pt>
    <dgm:pt modelId="{7D1EC83E-C6E2-4366-9A01-40B890761941}" type="sibTrans" cxnId="{FA394622-A034-4C9D-9E9C-1B2DA5C1A98D}">
      <dgm:prSet/>
      <dgm:spPr/>
      <dgm:t>
        <a:bodyPr/>
        <a:lstStyle/>
        <a:p>
          <a:endParaRPr lang="pl-PL"/>
        </a:p>
      </dgm:t>
    </dgm:pt>
    <dgm:pt modelId="{3C6EC792-F845-4828-AAAE-612158929574}">
      <dgm:prSet phldrT="[Tekst]"/>
      <dgm:spPr/>
      <dgm:t>
        <a:bodyPr/>
        <a:lstStyle/>
        <a:p>
          <a:r>
            <a:rPr lang="pl-PL"/>
            <a:t>niedostatek środków na funkcjonowanie projektu i jego podtrzymywanie w dłuższym horyzoncie czasu,</a:t>
          </a:r>
        </a:p>
      </dgm:t>
    </dgm:pt>
    <dgm:pt modelId="{C2D3D7AA-7974-4B2F-891D-145B3F0B4499}" type="parTrans" cxnId="{923C0665-C8F8-4786-96F1-EAA2A07F1619}">
      <dgm:prSet/>
      <dgm:spPr/>
      <dgm:t>
        <a:bodyPr/>
        <a:lstStyle/>
        <a:p>
          <a:endParaRPr lang="pl-PL"/>
        </a:p>
      </dgm:t>
    </dgm:pt>
    <dgm:pt modelId="{9A4B2950-3B68-4506-A3A6-3F54D38ADA3E}" type="sibTrans" cxnId="{923C0665-C8F8-4786-96F1-EAA2A07F1619}">
      <dgm:prSet/>
      <dgm:spPr/>
      <dgm:t>
        <a:bodyPr/>
        <a:lstStyle/>
        <a:p>
          <a:endParaRPr lang="pl-PL"/>
        </a:p>
      </dgm:t>
    </dgm:pt>
    <dgm:pt modelId="{D988C83C-D020-412C-9DE0-B4D45916EEE1}">
      <dgm:prSet phldrT="[Tekst]"/>
      <dgm:spPr/>
      <dgm:t>
        <a:bodyPr/>
        <a:lstStyle/>
        <a:p>
          <a:r>
            <a:rPr lang="pl-PL"/>
            <a:t>brak środków finansowych lub innych potencjałów niezbędnych do realizacji projektu, w tym brak środków partnerów deklarujących swój udział w projekcie,</a:t>
          </a:r>
        </a:p>
      </dgm:t>
    </dgm:pt>
    <dgm:pt modelId="{D44E92CF-A0D6-4516-AA1E-C996AF44F12B}" type="parTrans" cxnId="{44EE2680-4BC1-47B5-83B6-0D9DC6765CA1}">
      <dgm:prSet/>
      <dgm:spPr/>
      <dgm:t>
        <a:bodyPr/>
        <a:lstStyle/>
        <a:p>
          <a:endParaRPr lang="pl-PL"/>
        </a:p>
      </dgm:t>
    </dgm:pt>
    <dgm:pt modelId="{CB9992E3-ACA3-40B7-AFF5-8DD93A322CF5}" type="sibTrans" cxnId="{44EE2680-4BC1-47B5-83B6-0D9DC6765CA1}">
      <dgm:prSet/>
      <dgm:spPr/>
      <dgm:t>
        <a:bodyPr/>
        <a:lstStyle/>
        <a:p>
          <a:endParaRPr lang="pl-PL"/>
        </a:p>
      </dgm:t>
    </dgm:pt>
    <dgm:pt modelId="{4089FE79-0C0B-426C-95BC-23F2B54EAFC4}">
      <dgm:prSet phldrT="[Tekst]"/>
      <dgm:spPr/>
      <dgm:t>
        <a:bodyPr/>
        <a:lstStyle/>
        <a:p>
          <a:r>
            <a:rPr lang="pl-PL"/>
            <a:t>konkurencja o niezbędne potencjały między różnymi projektami </a:t>
          </a:r>
          <a:br>
            <a:rPr lang="pl-PL"/>
          </a:br>
          <a:r>
            <a:rPr lang="pl-PL"/>
            <a:t>w ramach całego programu,</a:t>
          </a:r>
        </a:p>
      </dgm:t>
    </dgm:pt>
    <dgm:pt modelId="{1D304E22-82FC-4C49-80A8-5FA049B868B2}" type="parTrans" cxnId="{33980CEA-DEAF-4D9B-BA89-DEB47394470E}">
      <dgm:prSet/>
      <dgm:spPr/>
      <dgm:t>
        <a:bodyPr/>
        <a:lstStyle/>
        <a:p>
          <a:endParaRPr lang="pl-PL"/>
        </a:p>
      </dgm:t>
    </dgm:pt>
    <dgm:pt modelId="{766E9D7F-7876-4BF4-AFE5-FEB45CC5F37C}" type="sibTrans" cxnId="{33980CEA-DEAF-4D9B-BA89-DEB47394470E}">
      <dgm:prSet/>
      <dgm:spPr/>
      <dgm:t>
        <a:bodyPr/>
        <a:lstStyle/>
        <a:p>
          <a:endParaRPr lang="pl-PL"/>
        </a:p>
      </dgm:t>
    </dgm:pt>
    <dgm:pt modelId="{0CEC7451-16F0-4B8F-B177-53A4AD2AB912}">
      <dgm:prSet phldrT="[Tekst]"/>
      <dgm:spPr/>
      <dgm:t>
        <a:bodyPr/>
        <a:lstStyle/>
        <a:p>
          <a:r>
            <a:rPr lang="pl-PL"/>
            <a:t>przewlekłość procedur związanych z procesem aplikacji o środki zewnętrzne.</a:t>
          </a:r>
        </a:p>
      </dgm:t>
    </dgm:pt>
    <dgm:pt modelId="{A29902BF-789E-42B3-8159-608B16F4D2EF}" type="parTrans" cxnId="{E4828F18-7C5E-46DB-9067-7B37D18E2E4E}">
      <dgm:prSet/>
      <dgm:spPr/>
      <dgm:t>
        <a:bodyPr/>
        <a:lstStyle/>
        <a:p>
          <a:endParaRPr lang="pl-PL"/>
        </a:p>
      </dgm:t>
    </dgm:pt>
    <dgm:pt modelId="{A4A6C2D8-1B96-4141-BAB7-3FA3FFAD49C4}" type="sibTrans" cxnId="{E4828F18-7C5E-46DB-9067-7B37D18E2E4E}">
      <dgm:prSet/>
      <dgm:spPr/>
      <dgm:t>
        <a:bodyPr/>
        <a:lstStyle/>
        <a:p>
          <a:endParaRPr lang="pl-PL"/>
        </a:p>
      </dgm:t>
    </dgm:pt>
    <dgm:pt modelId="{A6C5D63A-93EA-4854-A5D3-CAD154889AD3}" type="pres">
      <dgm:prSet presAssocID="{1F9B017D-C50F-4A34-865A-4FD8EF8C4476}" presName="Name0" presStyleCnt="0">
        <dgm:presLayoutVars>
          <dgm:dir/>
          <dgm:animLvl val="lvl"/>
          <dgm:resizeHandles val="exact"/>
        </dgm:presLayoutVars>
      </dgm:prSet>
      <dgm:spPr/>
      <dgm:t>
        <a:bodyPr/>
        <a:lstStyle/>
        <a:p>
          <a:endParaRPr lang="pl-PL"/>
        </a:p>
      </dgm:t>
    </dgm:pt>
    <dgm:pt modelId="{A5B6894D-BE7A-4DEF-ACE4-A2FFBB1D17C6}" type="pres">
      <dgm:prSet presAssocID="{318C3FDE-4B7C-4B07-9C56-81FCF9618082}" presName="linNode" presStyleCnt="0"/>
      <dgm:spPr/>
    </dgm:pt>
    <dgm:pt modelId="{37200DA7-8B61-4935-9505-C343CEA05A6B}" type="pres">
      <dgm:prSet presAssocID="{318C3FDE-4B7C-4B07-9C56-81FCF9618082}" presName="parTx" presStyleLbl="revTx" presStyleIdx="0" presStyleCnt="5">
        <dgm:presLayoutVars>
          <dgm:chMax val="1"/>
          <dgm:bulletEnabled val="1"/>
        </dgm:presLayoutVars>
      </dgm:prSet>
      <dgm:spPr/>
      <dgm:t>
        <a:bodyPr/>
        <a:lstStyle/>
        <a:p>
          <a:endParaRPr lang="pl-PL"/>
        </a:p>
      </dgm:t>
    </dgm:pt>
    <dgm:pt modelId="{8FBEED56-C869-400F-8C48-DF7961A55206}" type="pres">
      <dgm:prSet presAssocID="{318C3FDE-4B7C-4B07-9C56-81FCF9618082}" presName="bracket" presStyleLbl="parChTrans1D1" presStyleIdx="0" presStyleCnt="5"/>
      <dgm:spPr/>
    </dgm:pt>
    <dgm:pt modelId="{2387EAF5-E400-4101-AA10-C1BA007C482F}" type="pres">
      <dgm:prSet presAssocID="{318C3FDE-4B7C-4B07-9C56-81FCF9618082}" presName="spH" presStyleCnt="0"/>
      <dgm:spPr/>
    </dgm:pt>
    <dgm:pt modelId="{F30202A7-29DF-4E95-8FB0-7D23A16EAF7A}" type="pres">
      <dgm:prSet presAssocID="{318C3FDE-4B7C-4B07-9C56-81FCF9618082}" presName="desTx" presStyleLbl="node1" presStyleIdx="0" presStyleCnt="5">
        <dgm:presLayoutVars>
          <dgm:bulletEnabled val="1"/>
        </dgm:presLayoutVars>
      </dgm:prSet>
      <dgm:spPr/>
      <dgm:t>
        <a:bodyPr/>
        <a:lstStyle/>
        <a:p>
          <a:endParaRPr lang="pl-PL"/>
        </a:p>
      </dgm:t>
    </dgm:pt>
    <dgm:pt modelId="{1B6C004C-1752-4428-8AD1-998B62821CA1}" type="pres">
      <dgm:prSet presAssocID="{3166FE7E-2C3E-47DC-A0EA-B88239E201F1}" presName="spV" presStyleCnt="0"/>
      <dgm:spPr/>
    </dgm:pt>
    <dgm:pt modelId="{7C592792-830F-4524-A79C-8C1A1354756E}" type="pres">
      <dgm:prSet presAssocID="{A12D64A8-3BA6-49FD-B6A0-3E9B5C15C4B2}" presName="linNode" presStyleCnt="0"/>
      <dgm:spPr/>
    </dgm:pt>
    <dgm:pt modelId="{2B213712-6565-47EA-A714-607872DB0351}" type="pres">
      <dgm:prSet presAssocID="{A12D64A8-3BA6-49FD-B6A0-3E9B5C15C4B2}" presName="parTx" presStyleLbl="revTx" presStyleIdx="1" presStyleCnt="5" custScaleY="117401">
        <dgm:presLayoutVars>
          <dgm:chMax val="1"/>
          <dgm:bulletEnabled val="1"/>
        </dgm:presLayoutVars>
      </dgm:prSet>
      <dgm:spPr/>
      <dgm:t>
        <a:bodyPr/>
        <a:lstStyle/>
        <a:p>
          <a:endParaRPr lang="pl-PL"/>
        </a:p>
      </dgm:t>
    </dgm:pt>
    <dgm:pt modelId="{1E87ACA5-837D-40BB-8DCF-5431B4E7BE07}" type="pres">
      <dgm:prSet presAssocID="{A12D64A8-3BA6-49FD-B6A0-3E9B5C15C4B2}" presName="bracket" presStyleLbl="parChTrans1D1" presStyleIdx="1" presStyleCnt="5"/>
      <dgm:spPr/>
    </dgm:pt>
    <dgm:pt modelId="{38212004-03AF-452D-BAAE-86EF13844358}" type="pres">
      <dgm:prSet presAssocID="{A12D64A8-3BA6-49FD-B6A0-3E9B5C15C4B2}" presName="spH" presStyleCnt="0"/>
      <dgm:spPr/>
    </dgm:pt>
    <dgm:pt modelId="{353F8F89-6516-4479-8B71-4E5E0AC39938}" type="pres">
      <dgm:prSet presAssocID="{A12D64A8-3BA6-49FD-B6A0-3E9B5C15C4B2}" presName="desTx" presStyleLbl="node1" presStyleIdx="1" presStyleCnt="5">
        <dgm:presLayoutVars>
          <dgm:bulletEnabled val="1"/>
        </dgm:presLayoutVars>
      </dgm:prSet>
      <dgm:spPr/>
      <dgm:t>
        <a:bodyPr/>
        <a:lstStyle/>
        <a:p>
          <a:endParaRPr lang="pl-PL"/>
        </a:p>
      </dgm:t>
    </dgm:pt>
    <dgm:pt modelId="{583AD70F-4B4F-466D-BA6A-28A6C06CDC16}" type="pres">
      <dgm:prSet presAssocID="{C1CD7D00-DA19-4BC6-B5EE-6C1E6E9B881C}" presName="spV" presStyleCnt="0"/>
      <dgm:spPr/>
    </dgm:pt>
    <dgm:pt modelId="{C9A5B741-95E3-45BA-82C9-639FB938049B}" type="pres">
      <dgm:prSet presAssocID="{CAD649C2-CFA9-4ECE-ACAA-9A355B8E103D}" presName="linNode" presStyleCnt="0"/>
      <dgm:spPr/>
    </dgm:pt>
    <dgm:pt modelId="{E8751DBF-784D-4FD5-8DD4-BB3C7C160734}" type="pres">
      <dgm:prSet presAssocID="{CAD649C2-CFA9-4ECE-ACAA-9A355B8E103D}" presName="parTx" presStyleLbl="revTx" presStyleIdx="2" presStyleCnt="5">
        <dgm:presLayoutVars>
          <dgm:chMax val="1"/>
          <dgm:bulletEnabled val="1"/>
        </dgm:presLayoutVars>
      </dgm:prSet>
      <dgm:spPr/>
      <dgm:t>
        <a:bodyPr/>
        <a:lstStyle/>
        <a:p>
          <a:endParaRPr lang="pl-PL"/>
        </a:p>
      </dgm:t>
    </dgm:pt>
    <dgm:pt modelId="{5623D189-D8C7-4373-88BC-FEDBEA1E79DD}" type="pres">
      <dgm:prSet presAssocID="{CAD649C2-CFA9-4ECE-ACAA-9A355B8E103D}" presName="bracket" presStyleLbl="parChTrans1D1" presStyleIdx="2" presStyleCnt="5"/>
      <dgm:spPr/>
    </dgm:pt>
    <dgm:pt modelId="{150A47B7-3DE6-4870-8E7F-CC4170714D80}" type="pres">
      <dgm:prSet presAssocID="{CAD649C2-CFA9-4ECE-ACAA-9A355B8E103D}" presName="spH" presStyleCnt="0"/>
      <dgm:spPr/>
    </dgm:pt>
    <dgm:pt modelId="{78F69E05-1FB0-4380-9936-423DD3B64460}" type="pres">
      <dgm:prSet presAssocID="{CAD649C2-CFA9-4ECE-ACAA-9A355B8E103D}" presName="desTx" presStyleLbl="node1" presStyleIdx="2" presStyleCnt="5">
        <dgm:presLayoutVars>
          <dgm:bulletEnabled val="1"/>
        </dgm:presLayoutVars>
      </dgm:prSet>
      <dgm:spPr/>
      <dgm:t>
        <a:bodyPr/>
        <a:lstStyle/>
        <a:p>
          <a:endParaRPr lang="pl-PL"/>
        </a:p>
      </dgm:t>
    </dgm:pt>
    <dgm:pt modelId="{B7248714-28D1-468D-90E2-69D6F500F79E}" type="pres">
      <dgm:prSet presAssocID="{DD537193-9D36-492F-A257-BE3C9798F01A}" presName="spV" presStyleCnt="0"/>
      <dgm:spPr/>
    </dgm:pt>
    <dgm:pt modelId="{A3DD433F-D2B9-400D-99F9-676B57D9CF09}" type="pres">
      <dgm:prSet presAssocID="{9408D533-02F8-4178-8DA7-53B688233223}" presName="linNode" presStyleCnt="0"/>
      <dgm:spPr/>
    </dgm:pt>
    <dgm:pt modelId="{DA302034-9B4B-4B7C-AE3D-3A71748BCCCC}" type="pres">
      <dgm:prSet presAssocID="{9408D533-02F8-4178-8DA7-53B688233223}" presName="parTx" presStyleLbl="revTx" presStyleIdx="3" presStyleCnt="5">
        <dgm:presLayoutVars>
          <dgm:chMax val="1"/>
          <dgm:bulletEnabled val="1"/>
        </dgm:presLayoutVars>
      </dgm:prSet>
      <dgm:spPr/>
      <dgm:t>
        <a:bodyPr/>
        <a:lstStyle/>
        <a:p>
          <a:endParaRPr lang="pl-PL"/>
        </a:p>
      </dgm:t>
    </dgm:pt>
    <dgm:pt modelId="{F3FA86A5-23D8-4ED3-9952-F4BD82BAF476}" type="pres">
      <dgm:prSet presAssocID="{9408D533-02F8-4178-8DA7-53B688233223}" presName="bracket" presStyleLbl="parChTrans1D1" presStyleIdx="3" presStyleCnt="5"/>
      <dgm:spPr/>
    </dgm:pt>
    <dgm:pt modelId="{891DA43A-CE81-4B4B-98D9-9EBF9E855015}" type="pres">
      <dgm:prSet presAssocID="{9408D533-02F8-4178-8DA7-53B688233223}" presName="spH" presStyleCnt="0"/>
      <dgm:spPr/>
    </dgm:pt>
    <dgm:pt modelId="{5E7C9CB2-EE81-43CA-8454-9A2D7DB2AF96}" type="pres">
      <dgm:prSet presAssocID="{9408D533-02F8-4178-8DA7-53B688233223}" presName="desTx" presStyleLbl="node1" presStyleIdx="3" presStyleCnt="5">
        <dgm:presLayoutVars>
          <dgm:bulletEnabled val="1"/>
        </dgm:presLayoutVars>
      </dgm:prSet>
      <dgm:spPr/>
      <dgm:t>
        <a:bodyPr/>
        <a:lstStyle/>
        <a:p>
          <a:endParaRPr lang="pl-PL"/>
        </a:p>
      </dgm:t>
    </dgm:pt>
    <dgm:pt modelId="{D67EFAAB-6AE4-4C11-AFD4-85B39080CC45}" type="pres">
      <dgm:prSet presAssocID="{C68B1A60-ABA7-459B-A37C-5C0C33160CEF}" presName="spV" presStyleCnt="0"/>
      <dgm:spPr/>
    </dgm:pt>
    <dgm:pt modelId="{0E5BD586-51EA-484B-B68D-B018B2B851AC}" type="pres">
      <dgm:prSet presAssocID="{AC2223A8-B187-4071-BB06-EE4CA87F456C}" presName="linNode" presStyleCnt="0"/>
      <dgm:spPr/>
    </dgm:pt>
    <dgm:pt modelId="{4FB6AC2E-BA13-4669-A721-D0F4FB182073}" type="pres">
      <dgm:prSet presAssocID="{AC2223A8-B187-4071-BB06-EE4CA87F456C}" presName="parTx" presStyleLbl="revTx" presStyleIdx="4" presStyleCnt="5">
        <dgm:presLayoutVars>
          <dgm:chMax val="1"/>
          <dgm:bulletEnabled val="1"/>
        </dgm:presLayoutVars>
      </dgm:prSet>
      <dgm:spPr/>
      <dgm:t>
        <a:bodyPr/>
        <a:lstStyle/>
        <a:p>
          <a:endParaRPr lang="pl-PL"/>
        </a:p>
      </dgm:t>
    </dgm:pt>
    <dgm:pt modelId="{E79D7A03-CB8B-46A6-BD6D-4193194547AF}" type="pres">
      <dgm:prSet presAssocID="{AC2223A8-B187-4071-BB06-EE4CA87F456C}" presName="bracket" presStyleLbl="parChTrans1D1" presStyleIdx="4" presStyleCnt="5"/>
      <dgm:spPr/>
    </dgm:pt>
    <dgm:pt modelId="{2B27EBCD-C49C-4BCE-8710-4BEE8FF650DC}" type="pres">
      <dgm:prSet presAssocID="{AC2223A8-B187-4071-BB06-EE4CA87F456C}" presName="spH" presStyleCnt="0"/>
      <dgm:spPr/>
    </dgm:pt>
    <dgm:pt modelId="{2F5BA4DF-8196-43E9-A70E-1C7E1A722E22}" type="pres">
      <dgm:prSet presAssocID="{AC2223A8-B187-4071-BB06-EE4CA87F456C}" presName="desTx" presStyleLbl="node1" presStyleIdx="4" presStyleCnt="5">
        <dgm:presLayoutVars>
          <dgm:bulletEnabled val="1"/>
        </dgm:presLayoutVars>
      </dgm:prSet>
      <dgm:spPr/>
      <dgm:t>
        <a:bodyPr/>
        <a:lstStyle/>
        <a:p>
          <a:endParaRPr lang="pl-PL"/>
        </a:p>
      </dgm:t>
    </dgm:pt>
  </dgm:ptLst>
  <dgm:cxnLst>
    <dgm:cxn modelId="{CE5CBB0B-3478-4668-8E45-62C8D63AA760}" srcId="{1F9B017D-C50F-4A34-865A-4FD8EF8C4476}" destId="{318C3FDE-4B7C-4B07-9C56-81FCF9618082}" srcOrd="0" destOrd="0" parTransId="{8529D633-29FF-4104-8804-8057D476B66A}" sibTransId="{3166FE7E-2C3E-47DC-A0EA-B88239E201F1}"/>
    <dgm:cxn modelId="{923C0665-C8F8-4786-96F1-EAA2A07F1619}" srcId="{AC2223A8-B187-4071-BB06-EE4CA87F456C}" destId="{3C6EC792-F845-4828-AAAE-612158929574}" srcOrd="2" destOrd="0" parTransId="{C2D3D7AA-7974-4B2F-891D-145B3F0B4499}" sibTransId="{9A4B2950-3B68-4506-A3A6-3F54D38ADA3E}"/>
    <dgm:cxn modelId="{4AC97CDF-C441-4239-BC39-7BED3FC757F7}" type="presOf" srcId="{7BACB2BE-0022-4064-B864-7B8E094041D1}" destId="{353F8F89-6516-4479-8B71-4E5E0AC39938}" srcOrd="0" destOrd="4" presId="urn:diagrams.loki3.com/BracketList+Icon"/>
    <dgm:cxn modelId="{1DEA2DF2-99D8-47B7-AE9F-81A47D9B55A7}" type="presOf" srcId="{25304AE9-60C3-4C17-B231-391E910DC90A}" destId="{353F8F89-6516-4479-8B71-4E5E0AC39938}" srcOrd="0" destOrd="3" presId="urn:diagrams.loki3.com/BracketList+Icon"/>
    <dgm:cxn modelId="{85B467BB-62F3-4236-9895-F67B8A93BD67}" type="presOf" srcId="{AFC5D685-C8D4-433D-9CFB-6CC98DDD6D50}" destId="{78F69E05-1FB0-4380-9936-423DD3B64460}" srcOrd="0" destOrd="1" presId="urn:diagrams.loki3.com/BracketList+Icon"/>
    <dgm:cxn modelId="{38F8C885-EC8B-48D8-9CA1-0BF5E6AD295A}" srcId="{CAD649C2-CFA9-4ECE-ACAA-9A355B8E103D}" destId="{03DA5B78-0E92-4E3E-BE3F-A2D57B90046C}" srcOrd="2" destOrd="0" parTransId="{05039A26-3095-4306-9260-330B0A5397A1}" sibTransId="{F3815A86-191A-47F5-B623-253F6AE9B170}"/>
    <dgm:cxn modelId="{CB3BA945-C063-422A-B3B2-BB2A34D7B48B}" type="presOf" srcId="{318C3FDE-4B7C-4B07-9C56-81FCF9618082}" destId="{37200DA7-8B61-4935-9505-C343CEA05A6B}" srcOrd="0" destOrd="0" presId="urn:diagrams.loki3.com/BracketList+Icon"/>
    <dgm:cxn modelId="{BA9EFD66-D31C-4B7D-9332-27715179983F}" type="presOf" srcId="{E0044D71-10E2-4520-A491-C86783D4D7F5}" destId="{F30202A7-29DF-4E95-8FB0-7D23A16EAF7A}" srcOrd="0" destOrd="3" presId="urn:diagrams.loki3.com/BracketList+Icon"/>
    <dgm:cxn modelId="{D97A73C5-B65F-4352-B64D-6B947934C6D6}" type="presOf" srcId="{72A2C059-D510-43D4-B1F2-4FB6E67F610E}" destId="{353F8F89-6516-4479-8B71-4E5E0AC39938}" srcOrd="0" destOrd="0" presId="urn:diagrams.loki3.com/BracketList+Icon"/>
    <dgm:cxn modelId="{D7D18B43-5375-420E-9ACC-8BEC94461E6E}" srcId="{A12D64A8-3BA6-49FD-B6A0-3E9B5C15C4B2}" destId="{C3A4119A-FB02-4795-AFD4-46ACF294853F}" srcOrd="2" destOrd="0" parTransId="{B9857914-71FF-4AEE-8C22-F21AC4EF2213}" sibTransId="{8896660C-04A2-49A6-9C66-809952E4A074}"/>
    <dgm:cxn modelId="{72A0C232-CA28-4D48-A916-56A5DF829E64}" type="presOf" srcId="{83D395A4-4F9D-48BC-BB02-F5DD48825C22}" destId="{5E7C9CB2-EE81-43CA-8454-9A2D7DB2AF96}" srcOrd="0" destOrd="1" presId="urn:diagrams.loki3.com/BracketList+Icon"/>
    <dgm:cxn modelId="{44EE2680-4BC1-47B5-83B6-0D9DC6765CA1}" srcId="{AC2223A8-B187-4071-BB06-EE4CA87F456C}" destId="{D988C83C-D020-412C-9DE0-B4D45916EEE1}" srcOrd="0" destOrd="0" parTransId="{D44E92CF-A0D6-4516-AA1E-C996AF44F12B}" sibTransId="{CB9992E3-ACA3-40B7-AFF5-8DD93A322CF5}"/>
    <dgm:cxn modelId="{51048EB1-4351-440F-933E-40AF72C46040}" type="presOf" srcId="{D988C83C-D020-412C-9DE0-B4D45916EEE1}" destId="{2F5BA4DF-8196-43E9-A70E-1C7E1A722E22}" srcOrd="0" destOrd="0" presId="urn:diagrams.loki3.com/BracketList+Icon"/>
    <dgm:cxn modelId="{E4828F18-7C5E-46DB-9067-7B37D18E2E4E}" srcId="{AC2223A8-B187-4071-BB06-EE4CA87F456C}" destId="{0CEC7451-16F0-4B8F-B177-53A4AD2AB912}" srcOrd="3" destOrd="0" parTransId="{A29902BF-789E-42B3-8159-608B16F4D2EF}" sibTransId="{A4A6C2D8-1B96-4141-BAB7-3FA3FFAD49C4}"/>
    <dgm:cxn modelId="{6ED42826-2DCE-474C-AE60-2F14DD2FD689}" srcId="{318C3FDE-4B7C-4B07-9C56-81FCF9618082}" destId="{81D79128-8223-4C01-9C65-D533AAC17ADE}" srcOrd="1" destOrd="0" parTransId="{6C08CBDA-0951-49EB-BE47-395BE8B10C42}" sibTransId="{3FFCDA7E-9932-49B2-BE6B-685659FA4865}"/>
    <dgm:cxn modelId="{0492B07F-E57D-410F-9A7F-0DECA3C0BB05}" srcId="{318C3FDE-4B7C-4B07-9C56-81FCF9618082}" destId="{63B57835-A2E1-4480-B8B5-0C0D687FC18E}" srcOrd="0" destOrd="0" parTransId="{6C8DC12C-BC73-42B2-8256-46F422F9D85D}" sibTransId="{8B0EAED4-DAF1-48A9-916E-4BBDBD47D8CA}"/>
    <dgm:cxn modelId="{33980CEA-DEAF-4D9B-BA89-DEB47394470E}" srcId="{AC2223A8-B187-4071-BB06-EE4CA87F456C}" destId="{4089FE79-0C0B-426C-95BC-23F2B54EAFC4}" srcOrd="1" destOrd="0" parTransId="{1D304E22-82FC-4C49-80A8-5FA049B868B2}" sibTransId="{766E9D7F-7876-4BF4-AFE5-FEB45CC5F37C}"/>
    <dgm:cxn modelId="{92DF2D70-BE71-436C-8334-2E962B99CBFA}" type="presOf" srcId="{B2132CFA-EBE0-4722-A0D6-2BA0D2EDA30C}" destId="{F30202A7-29DF-4E95-8FB0-7D23A16EAF7A}" srcOrd="0" destOrd="4" presId="urn:diagrams.loki3.com/BracketList+Icon"/>
    <dgm:cxn modelId="{BF88C3E3-260A-42A2-AC90-E422D4B934B8}" type="presOf" srcId="{02AE33F4-8DAE-4A43-9D3B-6D6043018B28}" destId="{353F8F89-6516-4479-8B71-4E5E0AC39938}" srcOrd="0" destOrd="1" presId="urn:diagrams.loki3.com/BracketList+Icon"/>
    <dgm:cxn modelId="{A042B66F-7136-48CF-AD87-C5BA6CD3BAAF}" type="presOf" srcId="{C3A4119A-FB02-4795-AFD4-46ACF294853F}" destId="{353F8F89-6516-4479-8B71-4E5E0AC39938}" srcOrd="0" destOrd="2" presId="urn:diagrams.loki3.com/BracketList+Icon"/>
    <dgm:cxn modelId="{FA394622-A034-4C9D-9E9C-1B2DA5C1A98D}" srcId="{1F9B017D-C50F-4A34-865A-4FD8EF8C4476}" destId="{AC2223A8-B187-4071-BB06-EE4CA87F456C}" srcOrd="4" destOrd="0" parTransId="{80BAE47E-9387-41ED-B1C7-F992F588683D}" sibTransId="{7D1EC83E-C6E2-4366-9A01-40B890761941}"/>
    <dgm:cxn modelId="{DEB217E7-A51F-424A-BAE1-CF55F192D278}" type="presOf" srcId="{3C6EC792-F845-4828-AAAE-612158929574}" destId="{2F5BA4DF-8196-43E9-A70E-1C7E1A722E22}" srcOrd="0" destOrd="2" presId="urn:diagrams.loki3.com/BracketList+Icon"/>
    <dgm:cxn modelId="{7B5609AA-D5C8-4CEE-A983-7FAF46190296}" type="presOf" srcId="{A12D64A8-3BA6-49FD-B6A0-3E9B5C15C4B2}" destId="{2B213712-6565-47EA-A714-607872DB0351}" srcOrd="0" destOrd="0" presId="urn:diagrams.loki3.com/BracketList+Icon"/>
    <dgm:cxn modelId="{E7EE16CD-42D4-4675-A184-AB8CB228799C}" type="presOf" srcId="{63B57835-A2E1-4480-B8B5-0C0D687FC18E}" destId="{F30202A7-29DF-4E95-8FB0-7D23A16EAF7A}" srcOrd="0" destOrd="0" presId="urn:diagrams.loki3.com/BracketList+Icon"/>
    <dgm:cxn modelId="{3A2CE937-005A-41B1-87A3-67315507DBFB}" type="presOf" srcId="{EE3E6C4C-5B53-4A92-A771-1644E40C39FB}" destId="{78F69E05-1FB0-4380-9936-423DD3B64460}" srcOrd="0" destOrd="0" presId="urn:diagrams.loki3.com/BracketList+Icon"/>
    <dgm:cxn modelId="{756DA123-4118-443E-9B24-C420E65E2D5E}" srcId="{318C3FDE-4B7C-4B07-9C56-81FCF9618082}" destId="{E0044D71-10E2-4520-A491-C86783D4D7F5}" srcOrd="3" destOrd="0" parTransId="{3F7643FA-0EEE-4BB3-A557-1C79A8AEFAF8}" sibTransId="{EDC2905E-9CD4-417C-B4A0-16E7BB09A3FB}"/>
    <dgm:cxn modelId="{7D94D648-5E00-4F8A-9E5D-5F3408F9D22A}" type="presOf" srcId="{9408D533-02F8-4178-8DA7-53B688233223}" destId="{DA302034-9B4B-4B7C-AE3D-3A71748BCCCC}" srcOrd="0" destOrd="0" presId="urn:diagrams.loki3.com/BracketList+Icon"/>
    <dgm:cxn modelId="{F74B14DB-6D83-42F2-8672-FA110E5D8A7B}" srcId="{A12D64A8-3BA6-49FD-B6A0-3E9B5C15C4B2}" destId="{02AE33F4-8DAE-4A43-9D3B-6D6043018B28}" srcOrd="1" destOrd="0" parTransId="{4DA54AAE-2195-404A-A0DE-A4729BE8FEBA}" sibTransId="{EB458DA4-85C5-42B0-A351-EB446A40918E}"/>
    <dgm:cxn modelId="{D4193107-966A-451C-B032-A63045E62D74}" type="presOf" srcId="{B97A09C0-D914-460A-AD96-3911DC778833}" destId="{5E7C9CB2-EE81-43CA-8454-9A2D7DB2AF96}" srcOrd="0" destOrd="0" presId="urn:diagrams.loki3.com/BracketList+Icon"/>
    <dgm:cxn modelId="{151915EE-3424-4571-BF6F-490F9739664F}" type="presOf" srcId="{4089FE79-0C0B-426C-95BC-23F2B54EAFC4}" destId="{2F5BA4DF-8196-43E9-A70E-1C7E1A722E22}" srcOrd="0" destOrd="1" presId="urn:diagrams.loki3.com/BracketList+Icon"/>
    <dgm:cxn modelId="{F5F1FB1D-BEDF-41F3-B2A0-B8C415B37292}" srcId="{A12D64A8-3BA6-49FD-B6A0-3E9B5C15C4B2}" destId="{25304AE9-60C3-4C17-B231-391E910DC90A}" srcOrd="3" destOrd="0" parTransId="{DFA7CE9B-D188-4E0E-9B39-37737D0A820E}" sibTransId="{2E7F8E92-A5B5-47BE-A950-DAF2940BAE17}"/>
    <dgm:cxn modelId="{67E3FE74-19B1-460C-B025-EE37FB3BE35C}" type="presOf" srcId="{AC2223A8-B187-4071-BB06-EE4CA87F456C}" destId="{4FB6AC2E-BA13-4669-A721-D0F4FB182073}" srcOrd="0" destOrd="0" presId="urn:diagrams.loki3.com/BracketList+Icon"/>
    <dgm:cxn modelId="{2CCE396B-F206-439B-83D6-77BDCE1BFDA4}" type="presOf" srcId="{CAD649C2-CFA9-4ECE-ACAA-9A355B8E103D}" destId="{E8751DBF-784D-4FD5-8DD4-BB3C7C160734}" srcOrd="0" destOrd="0" presId="urn:diagrams.loki3.com/BracketList+Icon"/>
    <dgm:cxn modelId="{1A7C2C4F-6E29-4808-B809-34120E1F7E10}" type="presOf" srcId="{81D79128-8223-4C01-9C65-D533AAC17ADE}" destId="{F30202A7-29DF-4E95-8FB0-7D23A16EAF7A}" srcOrd="0" destOrd="1" presId="urn:diagrams.loki3.com/BracketList+Icon"/>
    <dgm:cxn modelId="{6A1ECB28-AF6B-4F51-9A22-5BD3A1C9B938}" type="presOf" srcId="{B866F7E5-A689-4584-90D8-9EE44CEFDB6B}" destId="{F30202A7-29DF-4E95-8FB0-7D23A16EAF7A}" srcOrd="0" destOrd="2" presId="urn:diagrams.loki3.com/BracketList+Icon"/>
    <dgm:cxn modelId="{2ECE1AFF-4E12-455F-8330-5A7B61E1D82D}" srcId="{1F9B017D-C50F-4A34-865A-4FD8EF8C4476}" destId="{A12D64A8-3BA6-49FD-B6A0-3E9B5C15C4B2}" srcOrd="1" destOrd="0" parTransId="{CE217D4E-F9A2-4634-B696-622F923801F5}" sibTransId="{C1CD7D00-DA19-4BC6-B5EE-6C1E6E9B881C}"/>
    <dgm:cxn modelId="{29BF6A33-B4A9-4AA7-A982-427D2409EF9B}" srcId="{9408D533-02F8-4178-8DA7-53B688233223}" destId="{B97A09C0-D914-460A-AD96-3911DC778833}" srcOrd="0" destOrd="0" parTransId="{F2C69C59-2363-4F1F-9B00-437FD02ADA16}" sibTransId="{94DEE450-5E8A-4E9B-870C-CA21E126E0CE}"/>
    <dgm:cxn modelId="{5BCA415A-FB42-4063-B9F2-7A95EBC073B7}" srcId="{9408D533-02F8-4178-8DA7-53B688233223}" destId="{83D395A4-4F9D-48BC-BB02-F5DD48825C22}" srcOrd="1" destOrd="0" parTransId="{B2CD5BA3-B98B-493F-833B-2CE864196642}" sibTransId="{71D94DAB-E779-4BE1-9277-FF9E9F989ABC}"/>
    <dgm:cxn modelId="{5F077484-B901-4814-83EC-690D047D981F}" srcId="{318C3FDE-4B7C-4B07-9C56-81FCF9618082}" destId="{B866F7E5-A689-4584-90D8-9EE44CEFDB6B}" srcOrd="2" destOrd="0" parTransId="{C647ACC9-AD35-44A6-AC6B-FBEFAB17E7DD}" sibTransId="{DF527921-3792-4D32-B44F-F07978A30BBB}"/>
    <dgm:cxn modelId="{6555D152-33E6-4357-9172-5F225704F215}" srcId="{A12D64A8-3BA6-49FD-B6A0-3E9B5C15C4B2}" destId="{72A2C059-D510-43D4-B1F2-4FB6E67F610E}" srcOrd="0" destOrd="0" parTransId="{51051921-2411-45A0-9596-1379DAEE782F}" sibTransId="{F14C313E-D278-4074-88FF-3B38A2BBC2E9}"/>
    <dgm:cxn modelId="{311217D7-4C69-4FF6-A08D-60BFDA5855BC}" srcId="{A12D64A8-3BA6-49FD-B6A0-3E9B5C15C4B2}" destId="{7BACB2BE-0022-4064-B864-7B8E094041D1}" srcOrd="4" destOrd="0" parTransId="{5FB70D61-7AE9-459C-8F2C-7C97E0FB658F}" sibTransId="{A441A3BD-A73D-4F64-95F8-0983D2FB06F9}"/>
    <dgm:cxn modelId="{62B7675E-4563-4CE8-BBF8-8A12129172FD}" type="presOf" srcId="{1F9B017D-C50F-4A34-865A-4FD8EF8C4476}" destId="{A6C5D63A-93EA-4854-A5D3-CAD154889AD3}" srcOrd="0" destOrd="0" presId="urn:diagrams.loki3.com/BracketList+Icon"/>
    <dgm:cxn modelId="{04BE7F3F-32AE-4A7B-A3B7-C7C4EF1EA9E0}" type="presOf" srcId="{03DA5B78-0E92-4E3E-BE3F-A2D57B90046C}" destId="{78F69E05-1FB0-4380-9936-423DD3B64460}" srcOrd="0" destOrd="2" presId="urn:diagrams.loki3.com/BracketList+Icon"/>
    <dgm:cxn modelId="{821C0C06-5B89-4854-BEA7-0613FB7721F6}" srcId="{318C3FDE-4B7C-4B07-9C56-81FCF9618082}" destId="{B2132CFA-EBE0-4722-A0D6-2BA0D2EDA30C}" srcOrd="4" destOrd="0" parTransId="{5B1A0D9F-B20E-4862-9C61-0079962C946B}" sibTransId="{24C29666-D4E5-4A8D-9C80-4E359025C85F}"/>
    <dgm:cxn modelId="{E93E48CC-35A9-4B6F-9CD3-50CB7E9B6101}" type="presOf" srcId="{0CEC7451-16F0-4B8F-B177-53A4AD2AB912}" destId="{2F5BA4DF-8196-43E9-A70E-1C7E1A722E22}" srcOrd="0" destOrd="3" presId="urn:diagrams.loki3.com/BracketList+Icon"/>
    <dgm:cxn modelId="{CE2E077B-1354-44FA-9349-7496EE72BCFB}" srcId="{CAD649C2-CFA9-4ECE-ACAA-9A355B8E103D}" destId="{EE3E6C4C-5B53-4A92-A771-1644E40C39FB}" srcOrd="0" destOrd="0" parTransId="{38D96F78-3F37-4F12-A45E-139A9792DEA4}" sibTransId="{6E2DC2BB-417D-4244-8B30-CBDA8D7B6DBC}"/>
    <dgm:cxn modelId="{F4F72307-794A-4F18-8F89-15A8C4EEA289}" srcId="{1F9B017D-C50F-4A34-865A-4FD8EF8C4476}" destId="{CAD649C2-CFA9-4ECE-ACAA-9A355B8E103D}" srcOrd="2" destOrd="0" parTransId="{D629FA17-1ED4-42EE-9BE2-37DF7385B689}" sibTransId="{DD537193-9D36-492F-A257-BE3C9798F01A}"/>
    <dgm:cxn modelId="{629AC562-112C-4E97-A8E8-A5F6009F8FCB}" srcId="{CAD649C2-CFA9-4ECE-ACAA-9A355B8E103D}" destId="{AFC5D685-C8D4-433D-9CFB-6CC98DDD6D50}" srcOrd="1" destOrd="0" parTransId="{0BDC253F-B399-4E1E-8D18-6FABCC19B9B2}" sibTransId="{684B08B5-C7D0-466E-B8BC-385E9C306CC9}"/>
    <dgm:cxn modelId="{7C89FE90-7F20-4ABF-930D-634B71D284BE}" srcId="{1F9B017D-C50F-4A34-865A-4FD8EF8C4476}" destId="{9408D533-02F8-4178-8DA7-53B688233223}" srcOrd="3" destOrd="0" parTransId="{BA681D27-5085-47D3-80D5-AA8B8F2FB2D7}" sibTransId="{C68B1A60-ABA7-459B-A37C-5C0C33160CEF}"/>
    <dgm:cxn modelId="{4D943E7E-8DEF-4EEE-BFD1-1691F3EE6D3C}" type="presParOf" srcId="{A6C5D63A-93EA-4854-A5D3-CAD154889AD3}" destId="{A5B6894D-BE7A-4DEF-ACE4-A2FFBB1D17C6}" srcOrd="0" destOrd="0" presId="urn:diagrams.loki3.com/BracketList+Icon"/>
    <dgm:cxn modelId="{C61A2A02-7B35-4183-BDF0-8C92F8A3558A}" type="presParOf" srcId="{A5B6894D-BE7A-4DEF-ACE4-A2FFBB1D17C6}" destId="{37200DA7-8B61-4935-9505-C343CEA05A6B}" srcOrd="0" destOrd="0" presId="urn:diagrams.loki3.com/BracketList+Icon"/>
    <dgm:cxn modelId="{50C5DCEE-D552-4E73-8595-C7F4021B2D39}" type="presParOf" srcId="{A5B6894D-BE7A-4DEF-ACE4-A2FFBB1D17C6}" destId="{8FBEED56-C869-400F-8C48-DF7961A55206}" srcOrd="1" destOrd="0" presId="urn:diagrams.loki3.com/BracketList+Icon"/>
    <dgm:cxn modelId="{BDDAC4B5-EBA0-42BF-84DB-199F18C56982}" type="presParOf" srcId="{A5B6894D-BE7A-4DEF-ACE4-A2FFBB1D17C6}" destId="{2387EAF5-E400-4101-AA10-C1BA007C482F}" srcOrd="2" destOrd="0" presId="urn:diagrams.loki3.com/BracketList+Icon"/>
    <dgm:cxn modelId="{7E2B11A9-0CD6-4A7B-A37E-458EC135089E}" type="presParOf" srcId="{A5B6894D-BE7A-4DEF-ACE4-A2FFBB1D17C6}" destId="{F30202A7-29DF-4E95-8FB0-7D23A16EAF7A}" srcOrd="3" destOrd="0" presId="urn:diagrams.loki3.com/BracketList+Icon"/>
    <dgm:cxn modelId="{61CF04CE-4674-4D5F-A404-D3F1981F669B}" type="presParOf" srcId="{A6C5D63A-93EA-4854-A5D3-CAD154889AD3}" destId="{1B6C004C-1752-4428-8AD1-998B62821CA1}" srcOrd="1" destOrd="0" presId="urn:diagrams.loki3.com/BracketList+Icon"/>
    <dgm:cxn modelId="{C9E315C9-DED3-4B48-A796-B79FB0AF41E2}" type="presParOf" srcId="{A6C5D63A-93EA-4854-A5D3-CAD154889AD3}" destId="{7C592792-830F-4524-A79C-8C1A1354756E}" srcOrd="2" destOrd="0" presId="urn:diagrams.loki3.com/BracketList+Icon"/>
    <dgm:cxn modelId="{06E15450-D6AB-4688-8772-AF33EAA8C5FD}" type="presParOf" srcId="{7C592792-830F-4524-A79C-8C1A1354756E}" destId="{2B213712-6565-47EA-A714-607872DB0351}" srcOrd="0" destOrd="0" presId="urn:diagrams.loki3.com/BracketList+Icon"/>
    <dgm:cxn modelId="{AADA39DB-77BE-4588-B8DB-2A1C80F66D03}" type="presParOf" srcId="{7C592792-830F-4524-A79C-8C1A1354756E}" destId="{1E87ACA5-837D-40BB-8DCF-5431B4E7BE07}" srcOrd="1" destOrd="0" presId="urn:diagrams.loki3.com/BracketList+Icon"/>
    <dgm:cxn modelId="{1CAAEE39-86A2-4CEB-A7D9-B49894032102}" type="presParOf" srcId="{7C592792-830F-4524-A79C-8C1A1354756E}" destId="{38212004-03AF-452D-BAAE-86EF13844358}" srcOrd="2" destOrd="0" presId="urn:diagrams.loki3.com/BracketList+Icon"/>
    <dgm:cxn modelId="{F67C7DDF-D1C0-4F35-BDD1-0A0ACF5101CE}" type="presParOf" srcId="{7C592792-830F-4524-A79C-8C1A1354756E}" destId="{353F8F89-6516-4479-8B71-4E5E0AC39938}" srcOrd="3" destOrd="0" presId="urn:diagrams.loki3.com/BracketList+Icon"/>
    <dgm:cxn modelId="{8CBC2F2D-9588-4852-95F5-F5960DC9976F}" type="presParOf" srcId="{A6C5D63A-93EA-4854-A5D3-CAD154889AD3}" destId="{583AD70F-4B4F-466D-BA6A-28A6C06CDC16}" srcOrd="3" destOrd="0" presId="urn:diagrams.loki3.com/BracketList+Icon"/>
    <dgm:cxn modelId="{CAA895F6-67CD-408A-81A7-14EC97650674}" type="presParOf" srcId="{A6C5D63A-93EA-4854-A5D3-CAD154889AD3}" destId="{C9A5B741-95E3-45BA-82C9-639FB938049B}" srcOrd="4" destOrd="0" presId="urn:diagrams.loki3.com/BracketList+Icon"/>
    <dgm:cxn modelId="{33272255-5446-4A6C-8B2A-4F113D0B24E3}" type="presParOf" srcId="{C9A5B741-95E3-45BA-82C9-639FB938049B}" destId="{E8751DBF-784D-4FD5-8DD4-BB3C7C160734}" srcOrd="0" destOrd="0" presId="urn:diagrams.loki3.com/BracketList+Icon"/>
    <dgm:cxn modelId="{9728ED26-D1A1-4D81-BD2D-7A38371A513D}" type="presParOf" srcId="{C9A5B741-95E3-45BA-82C9-639FB938049B}" destId="{5623D189-D8C7-4373-88BC-FEDBEA1E79DD}" srcOrd="1" destOrd="0" presId="urn:diagrams.loki3.com/BracketList+Icon"/>
    <dgm:cxn modelId="{5494F9C0-2662-48DF-95C2-899E4197956E}" type="presParOf" srcId="{C9A5B741-95E3-45BA-82C9-639FB938049B}" destId="{150A47B7-3DE6-4870-8E7F-CC4170714D80}" srcOrd="2" destOrd="0" presId="urn:diagrams.loki3.com/BracketList+Icon"/>
    <dgm:cxn modelId="{761552BA-01AD-4876-A504-6B6557EF8D7D}" type="presParOf" srcId="{C9A5B741-95E3-45BA-82C9-639FB938049B}" destId="{78F69E05-1FB0-4380-9936-423DD3B64460}" srcOrd="3" destOrd="0" presId="urn:diagrams.loki3.com/BracketList+Icon"/>
    <dgm:cxn modelId="{69CA88AE-E9FB-4428-8009-F405229B55D1}" type="presParOf" srcId="{A6C5D63A-93EA-4854-A5D3-CAD154889AD3}" destId="{B7248714-28D1-468D-90E2-69D6F500F79E}" srcOrd="5" destOrd="0" presId="urn:diagrams.loki3.com/BracketList+Icon"/>
    <dgm:cxn modelId="{D65B34EB-F096-4A1C-8C9E-275198271CAC}" type="presParOf" srcId="{A6C5D63A-93EA-4854-A5D3-CAD154889AD3}" destId="{A3DD433F-D2B9-400D-99F9-676B57D9CF09}" srcOrd="6" destOrd="0" presId="urn:diagrams.loki3.com/BracketList+Icon"/>
    <dgm:cxn modelId="{C103F1C8-6EBF-4D2A-8184-EB4E2F960243}" type="presParOf" srcId="{A3DD433F-D2B9-400D-99F9-676B57D9CF09}" destId="{DA302034-9B4B-4B7C-AE3D-3A71748BCCCC}" srcOrd="0" destOrd="0" presId="urn:diagrams.loki3.com/BracketList+Icon"/>
    <dgm:cxn modelId="{E750B818-5322-48F8-B442-527C59E5A840}" type="presParOf" srcId="{A3DD433F-D2B9-400D-99F9-676B57D9CF09}" destId="{F3FA86A5-23D8-4ED3-9952-F4BD82BAF476}" srcOrd="1" destOrd="0" presId="urn:diagrams.loki3.com/BracketList+Icon"/>
    <dgm:cxn modelId="{311ABFCC-BE2C-4086-8819-8B37C939F05C}" type="presParOf" srcId="{A3DD433F-D2B9-400D-99F9-676B57D9CF09}" destId="{891DA43A-CE81-4B4B-98D9-9EBF9E855015}" srcOrd="2" destOrd="0" presId="urn:diagrams.loki3.com/BracketList+Icon"/>
    <dgm:cxn modelId="{088943CB-6D40-4CC4-B76E-333AF0809C6E}" type="presParOf" srcId="{A3DD433F-D2B9-400D-99F9-676B57D9CF09}" destId="{5E7C9CB2-EE81-43CA-8454-9A2D7DB2AF96}" srcOrd="3" destOrd="0" presId="urn:diagrams.loki3.com/BracketList+Icon"/>
    <dgm:cxn modelId="{0198E05D-FE37-4196-A39D-F17D8735DDD4}" type="presParOf" srcId="{A6C5D63A-93EA-4854-A5D3-CAD154889AD3}" destId="{D67EFAAB-6AE4-4C11-AFD4-85B39080CC45}" srcOrd="7" destOrd="0" presId="urn:diagrams.loki3.com/BracketList+Icon"/>
    <dgm:cxn modelId="{1A867646-AEA4-4DA7-B28F-8CBC853D0B57}" type="presParOf" srcId="{A6C5D63A-93EA-4854-A5D3-CAD154889AD3}" destId="{0E5BD586-51EA-484B-B68D-B018B2B851AC}" srcOrd="8" destOrd="0" presId="urn:diagrams.loki3.com/BracketList+Icon"/>
    <dgm:cxn modelId="{41D166A5-89D6-4B20-B888-C72029519A93}" type="presParOf" srcId="{0E5BD586-51EA-484B-B68D-B018B2B851AC}" destId="{4FB6AC2E-BA13-4669-A721-D0F4FB182073}" srcOrd="0" destOrd="0" presId="urn:diagrams.loki3.com/BracketList+Icon"/>
    <dgm:cxn modelId="{4E3AFE5C-1DF9-4A42-9853-44DABDCB8F7C}" type="presParOf" srcId="{0E5BD586-51EA-484B-B68D-B018B2B851AC}" destId="{E79D7A03-CB8B-46A6-BD6D-4193194547AF}" srcOrd="1" destOrd="0" presId="urn:diagrams.loki3.com/BracketList+Icon"/>
    <dgm:cxn modelId="{19C63BA6-E554-4118-97B5-DC2861FD6B57}" type="presParOf" srcId="{0E5BD586-51EA-484B-B68D-B018B2B851AC}" destId="{2B27EBCD-C49C-4BCE-8710-4BEE8FF650DC}" srcOrd="2" destOrd="0" presId="urn:diagrams.loki3.com/BracketList+Icon"/>
    <dgm:cxn modelId="{E96F0CED-9598-481D-B7D8-F951A10812CB}" type="presParOf" srcId="{0E5BD586-51EA-484B-B68D-B018B2B851AC}" destId="{2F5BA4DF-8196-43E9-A70E-1C7E1A722E22}" srcOrd="3" destOrd="0" presId="urn:diagrams.loki3.com/BracketList+Icon"/>
  </dgm:cxnLst>
  <dgm:bg/>
  <dgm:whole/>
  <dgm:extLst>
    <a:ext uri="http://schemas.microsoft.com/office/drawing/2008/diagram">
      <dsp:dataModelExt xmlns:dsp="http://schemas.microsoft.com/office/drawing/2008/diagram" xmlns="" relId="rId148"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3A69B0C1-C248-49FE-BD43-9D7FF04BAA2E}" type="doc">
      <dgm:prSet loTypeId="urn:diagrams.loki3.com/BracketList+Icon" loCatId="list" qsTypeId="urn:microsoft.com/office/officeart/2005/8/quickstyle/simple1" qsCatId="simple" csTypeId="urn:microsoft.com/office/officeart/2005/8/colors/accent0_1" csCatId="mainScheme" phldr="1"/>
      <dgm:spPr/>
      <dgm:t>
        <a:bodyPr/>
        <a:lstStyle/>
        <a:p>
          <a:endParaRPr lang="pl-PL"/>
        </a:p>
      </dgm:t>
    </dgm:pt>
    <dgm:pt modelId="{C31FCD39-A612-439E-AF18-523D84000782}">
      <dgm:prSet phldrT="[Tekst]"/>
      <dgm:spPr/>
      <dgm:t>
        <a:bodyPr/>
        <a:lstStyle/>
        <a:p>
          <a:r>
            <a:rPr lang="pl-PL" b="1"/>
            <a:t>ryzyko planistyczne</a:t>
          </a:r>
        </a:p>
      </dgm:t>
    </dgm:pt>
    <dgm:pt modelId="{1DE7C423-52D2-4E08-B99B-3CE50494A941}" type="parTrans" cxnId="{20CEE45E-4C29-45C5-9093-23592B1181B0}">
      <dgm:prSet/>
      <dgm:spPr/>
      <dgm:t>
        <a:bodyPr/>
        <a:lstStyle/>
        <a:p>
          <a:endParaRPr lang="pl-PL"/>
        </a:p>
      </dgm:t>
    </dgm:pt>
    <dgm:pt modelId="{FB7A4F2A-3C69-45A1-9309-CE147A0A1383}" type="sibTrans" cxnId="{20CEE45E-4C29-45C5-9093-23592B1181B0}">
      <dgm:prSet/>
      <dgm:spPr/>
      <dgm:t>
        <a:bodyPr/>
        <a:lstStyle/>
        <a:p>
          <a:endParaRPr lang="pl-PL"/>
        </a:p>
      </dgm:t>
    </dgm:pt>
    <dgm:pt modelId="{EFFA145B-2416-4A71-B1DB-DDF9B156C386}">
      <dgm:prSet phldrT="[Tekst]"/>
      <dgm:spPr/>
      <dgm:t>
        <a:bodyPr/>
        <a:lstStyle/>
        <a:p>
          <a:r>
            <a:rPr lang="pl-PL"/>
            <a:t>postępujące w czasie, stopniowe pojawianie się niespójności </a:t>
          </a:r>
          <a:br>
            <a:rPr lang="pl-PL"/>
          </a:br>
          <a:r>
            <a:rPr lang="pl-PL"/>
            <a:t>w systemie planowania - utrata powiązań między GPR a kolejno powstającymi lub aktualizowanymi dokumentami lokalnymi,</a:t>
          </a:r>
        </a:p>
      </dgm:t>
    </dgm:pt>
    <dgm:pt modelId="{8E6C1318-6877-484E-B244-9519A9FE3657}" type="parTrans" cxnId="{A40C5B41-0E8D-441A-A355-B38943F5493A}">
      <dgm:prSet/>
      <dgm:spPr/>
      <dgm:t>
        <a:bodyPr/>
        <a:lstStyle/>
        <a:p>
          <a:endParaRPr lang="pl-PL"/>
        </a:p>
      </dgm:t>
    </dgm:pt>
    <dgm:pt modelId="{6BE75683-8590-44B3-B1DC-58CDC14EAA84}" type="sibTrans" cxnId="{A40C5B41-0E8D-441A-A355-B38943F5493A}">
      <dgm:prSet/>
      <dgm:spPr/>
      <dgm:t>
        <a:bodyPr/>
        <a:lstStyle/>
        <a:p>
          <a:endParaRPr lang="pl-PL"/>
        </a:p>
      </dgm:t>
    </dgm:pt>
    <dgm:pt modelId="{44D2C303-417E-4F0C-B31F-F7D50C9BC2C5}">
      <dgm:prSet phldrT="[Tekst]"/>
      <dgm:spPr/>
      <dgm:t>
        <a:bodyPr/>
        <a:lstStyle/>
        <a:p>
          <a:r>
            <a:rPr lang="pl-PL" b="1"/>
            <a:t>ryzyko budżetowe</a:t>
          </a:r>
        </a:p>
      </dgm:t>
    </dgm:pt>
    <dgm:pt modelId="{AFFB1E14-7845-464B-B60B-F06FA62A660D}" type="parTrans" cxnId="{76321476-6BD5-44A4-BD58-6E7AF068B395}">
      <dgm:prSet/>
      <dgm:spPr/>
      <dgm:t>
        <a:bodyPr/>
        <a:lstStyle/>
        <a:p>
          <a:endParaRPr lang="pl-PL"/>
        </a:p>
      </dgm:t>
    </dgm:pt>
    <dgm:pt modelId="{D1BB50B5-0B3D-48A6-B8A7-09FF7E2561BB}" type="sibTrans" cxnId="{76321476-6BD5-44A4-BD58-6E7AF068B395}">
      <dgm:prSet/>
      <dgm:spPr/>
      <dgm:t>
        <a:bodyPr/>
        <a:lstStyle/>
        <a:p>
          <a:endParaRPr lang="pl-PL"/>
        </a:p>
      </dgm:t>
    </dgm:pt>
    <dgm:pt modelId="{3E745EAE-6C39-41C6-82A2-83530ADF5765}">
      <dgm:prSet phldrT="[Tekst]"/>
      <dgm:spPr/>
      <dgm:t>
        <a:bodyPr/>
        <a:lstStyle/>
        <a:p>
          <a:r>
            <a:rPr lang="pl-PL"/>
            <a:t>konkurencja o środki z budżetu lokalnego między działaniami długofalowymi i prorozwojowymi a działaniami pilnymi, doraźnymi, nastawionymi na bieżącą interwencję,</a:t>
          </a:r>
        </a:p>
      </dgm:t>
    </dgm:pt>
    <dgm:pt modelId="{530497DC-551B-49AB-930A-A26B522FA0B9}" type="parTrans" cxnId="{22739078-9DEC-4E42-BFF8-5DABD6241FE5}">
      <dgm:prSet/>
      <dgm:spPr/>
      <dgm:t>
        <a:bodyPr/>
        <a:lstStyle/>
        <a:p>
          <a:endParaRPr lang="pl-PL"/>
        </a:p>
      </dgm:t>
    </dgm:pt>
    <dgm:pt modelId="{B16D5AAA-6035-40C1-B099-785FB7129D12}" type="sibTrans" cxnId="{22739078-9DEC-4E42-BFF8-5DABD6241FE5}">
      <dgm:prSet/>
      <dgm:spPr/>
      <dgm:t>
        <a:bodyPr/>
        <a:lstStyle/>
        <a:p>
          <a:endParaRPr lang="pl-PL"/>
        </a:p>
      </dgm:t>
    </dgm:pt>
    <dgm:pt modelId="{B3EC81C5-C502-48DF-B807-5AF9E630D229}">
      <dgm:prSet phldrT="[Tekst]"/>
      <dgm:spPr/>
      <dgm:t>
        <a:bodyPr/>
        <a:lstStyle/>
        <a:p>
          <a:r>
            <a:rPr lang="pl-PL" b="1"/>
            <a:t>ryzyko zmiany fundamentalnej</a:t>
          </a:r>
        </a:p>
      </dgm:t>
    </dgm:pt>
    <dgm:pt modelId="{52E063F2-098A-4597-ABC7-624195C6EE18}" type="parTrans" cxnId="{027378C0-2762-4D4E-9B09-394664CF3C1E}">
      <dgm:prSet/>
      <dgm:spPr/>
      <dgm:t>
        <a:bodyPr/>
        <a:lstStyle/>
        <a:p>
          <a:endParaRPr lang="pl-PL"/>
        </a:p>
      </dgm:t>
    </dgm:pt>
    <dgm:pt modelId="{CE90EAD5-0A01-45DE-B7C4-7833650169C1}" type="sibTrans" cxnId="{027378C0-2762-4D4E-9B09-394664CF3C1E}">
      <dgm:prSet/>
      <dgm:spPr/>
      <dgm:t>
        <a:bodyPr/>
        <a:lstStyle/>
        <a:p>
          <a:endParaRPr lang="pl-PL"/>
        </a:p>
      </dgm:t>
    </dgm:pt>
    <dgm:pt modelId="{32476FB2-EA7E-455F-8A97-BAA0D289EDDF}">
      <dgm:prSet phldrT="[Tekst]"/>
      <dgm:spPr/>
      <dgm:t>
        <a:bodyPr/>
        <a:lstStyle/>
        <a:p>
          <a:r>
            <a:rPr lang="pl-PL"/>
            <a:t>zarządzanie programem, który w dużej części lub w całości uległ dezaktualizacji ze względu na wystąpienie fundamentalnych zmian </a:t>
          </a:r>
          <a:br>
            <a:rPr lang="pl-PL"/>
          </a:br>
          <a:r>
            <a:rPr lang="pl-PL"/>
            <a:t>w mieście lub w jego otoczeniu,</a:t>
          </a:r>
        </a:p>
      </dgm:t>
    </dgm:pt>
    <dgm:pt modelId="{543E907A-3B91-4D34-A1AC-5D9A3F009B2D}" type="parTrans" cxnId="{90E1F0AF-3FEC-4B81-9853-04E766C794D5}">
      <dgm:prSet/>
      <dgm:spPr/>
      <dgm:t>
        <a:bodyPr/>
        <a:lstStyle/>
        <a:p>
          <a:endParaRPr lang="pl-PL"/>
        </a:p>
      </dgm:t>
    </dgm:pt>
    <dgm:pt modelId="{1E004A50-788D-4BE7-AC2A-A5C2AE70FCAE}" type="sibTrans" cxnId="{90E1F0AF-3FEC-4B81-9853-04E766C794D5}">
      <dgm:prSet/>
      <dgm:spPr/>
      <dgm:t>
        <a:bodyPr/>
        <a:lstStyle/>
        <a:p>
          <a:endParaRPr lang="pl-PL"/>
        </a:p>
      </dgm:t>
    </dgm:pt>
    <dgm:pt modelId="{113ED72C-E4A4-46CC-8C15-FF25C0312B6F}">
      <dgm:prSet phldrT="[Tekst]"/>
      <dgm:spPr/>
      <dgm:t>
        <a:bodyPr/>
        <a:lstStyle/>
        <a:p>
          <a:r>
            <a:rPr lang="pl-PL" b="1"/>
            <a:t>ryzyko polityczne</a:t>
          </a:r>
        </a:p>
      </dgm:t>
    </dgm:pt>
    <dgm:pt modelId="{D89A8A23-C0F1-44BB-B00B-B239435EBF50}" type="parTrans" cxnId="{17E5FB14-6A7A-4D05-9919-9ADEB8B40956}">
      <dgm:prSet/>
      <dgm:spPr/>
      <dgm:t>
        <a:bodyPr/>
        <a:lstStyle/>
        <a:p>
          <a:endParaRPr lang="pl-PL"/>
        </a:p>
      </dgm:t>
    </dgm:pt>
    <dgm:pt modelId="{A068C926-A653-4AFB-9A44-F1215F173C9E}" type="sibTrans" cxnId="{17E5FB14-6A7A-4D05-9919-9ADEB8B40956}">
      <dgm:prSet/>
      <dgm:spPr/>
      <dgm:t>
        <a:bodyPr/>
        <a:lstStyle/>
        <a:p>
          <a:endParaRPr lang="pl-PL"/>
        </a:p>
      </dgm:t>
    </dgm:pt>
    <dgm:pt modelId="{69C1140B-A6F2-470C-9F4F-E12EBBEF012A}">
      <dgm:prSet phldrT="[Tekst]"/>
      <dgm:spPr/>
      <dgm:t>
        <a:bodyPr/>
        <a:lstStyle/>
        <a:p>
          <a:r>
            <a:rPr lang="pl-PL"/>
            <a:t>brak ciągłości realizacji programu ze względu na zmiany władzy lokalnej - np. nieuzasadnione negowanie całości programu, jego rezultatów, sposobów finansowania, selekcji obszarów przyjętych do rewitalizacji itp.,</a:t>
          </a:r>
        </a:p>
      </dgm:t>
    </dgm:pt>
    <dgm:pt modelId="{A2049D85-AC57-4BA0-89F2-8B8060861000}" type="parTrans" cxnId="{E90B54D7-2858-4BFC-AFCC-53D94B94F112}">
      <dgm:prSet/>
      <dgm:spPr/>
      <dgm:t>
        <a:bodyPr/>
        <a:lstStyle/>
        <a:p>
          <a:endParaRPr lang="pl-PL"/>
        </a:p>
      </dgm:t>
    </dgm:pt>
    <dgm:pt modelId="{EC31030A-BC04-4867-B477-13E5DB7BDDB6}" type="sibTrans" cxnId="{E90B54D7-2858-4BFC-AFCC-53D94B94F112}">
      <dgm:prSet/>
      <dgm:spPr/>
      <dgm:t>
        <a:bodyPr/>
        <a:lstStyle/>
        <a:p>
          <a:endParaRPr lang="pl-PL"/>
        </a:p>
      </dgm:t>
    </dgm:pt>
    <dgm:pt modelId="{13E1EC02-20F4-4AFF-B30C-9CFF1470BF51}">
      <dgm:prSet phldrT="[Tekst]"/>
      <dgm:spPr/>
      <dgm:t>
        <a:bodyPr/>
        <a:lstStyle/>
        <a:p>
          <a:r>
            <a:rPr lang="pl-PL"/>
            <a:t>zmiany polityki na szczeblu regionalnym bądź krajowym wpływające na mozliwości finansowania realizacji programu</a:t>
          </a:r>
        </a:p>
      </dgm:t>
    </dgm:pt>
    <dgm:pt modelId="{73FB59E0-9D18-47E6-941A-DF06E87ECA0E}" type="parTrans" cxnId="{3E770B2F-D62B-42DD-9F9C-601DC19E4356}">
      <dgm:prSet/>
      <dgm:spPr/>
      <dgm:t>
        <a:bodyPr/>
        <a:lstStyle/>
        <a:p>
          <a:endParaRPr lang="pl-PL"/>
        </a:p>
      </dgm:t>
    </dgm:pt>
    <dgm:pt modelId="{8DFF3A5B-F782-46BF-ACF4-E9F5A943CF30}" type="sibTrans" cxnId="{3E770B2F-D62B-42DD-9F9C-601DC19E4356}">
      <dgm:prSet/>
      <dgm:spPr/>
      <dgm:t>
        <a:bodyPr/>
        <a:lstStyle/>
        <a:p>
          <a:endParaRPr lang="pl-PL"/>
        </a:p>
      </dgm:t>
    </dgm:pt>
    <dgm:pt modelId="{9514F16F-9909-41A2-BCD5-350CD82D41FC}">
      <dgm:prSet phldrT="[Tekst]"/>
      <dgm:spPr/>
      <dgm:t>
        <a:bodyPr/>
        <a:lstStyle/>
        <a:p>
          <a:r>
            <a:rPr lang="pl-PL" b="1"/>
            <a:t>ryzyko strukturalne</a:t>
          </a:r>
        </a:p>
      </dgm:t>
    </dgm:pt>
    <dgm:pt modelId="{E3F88107-825E-4FAD-A27E-DAE1EFB90834}" type="parTrans" cxnId="{257C66D1-E1AA-4F08-B2AB-E53782080015}">
      <dgm:prSet/>
      <dgm:spPr/>
      <dgm:t>
        <a:bodyPr/>
        <a:lstStyle/>
        <a:p>
          <a:endParaRPr lang="pl-PL"/>
        </a:p>
      </dgm:t>
    </dgm:pt>
    <dgm:pt modelId="{C26B8F8F-D37C-4541-9218-A7C5E14FABAC}" type="sibTrans" cxnId="{257C66D1-E1AA-4F08-B2AB-E53782080015}">
      <dgm:prSet/>
      <dgm:spPr/>
      <dgm:t>
        <a:bodyPr/>
        <a:lstStyle/>
        <a:p>
          <a:endParaRPr lang="pl-PL"/>
        </a:p>
      </dgm:t>
    </dgm:pt>
    <dgm:pt modelId="{22A2BDD7-7CBB-47C8-946F-0556F3BC9854}">
      <dgm:prSet phldrT="[Tekst]"/>
      <dgm:spPr/>
      <dgm:t>
        <a:bodyPr/>
        <a:lstStyle/>
        <a:p>
          <a:r>
            <a:rPr lang="pl-PL"/>
            <a:t>ograniczenie podmiotów wdrażających program do wąskiej grupy, </a:t>
          </a:r>
          <a:br>
            <a:rPr lang="pl-PL"/>
          </a:br>
          <a:r>
            <a:rPr lang="pl-PL"/>
            <a:t>w tym np. obarczenie obowiązkami zarządczymi wybranego wydziału UM - brak utożsamiania i zaangażowania w rewitalizację ważnych instytucji lub wydziałów UM,</a:t>
          </a:r>
        </a:p>
      </dgm:t>
    </dgm:pt>
    <dgm:pt modelId="{71EAAF52-6C86-4CFB-BED1-171717FEA529}" type="parTrans" cxnId="{80800182-992B-4C9C-ADB7-0531D642475F}">
      <dgm:prSet/>
      <dgm:spPr/>
      <dgm:t>
        <a:bodyPr/>
        <a:lstStyle/>
        <a:p>
          <a:endParaRPr lang="pl-PL"/>
        </a:p>
      </dgm:t>
    </dgm:pt>
    <dgm:pt modelId="{69F850BD-2294-4529-A333-B932D05018C8}" type="sibTrans" cxnId="{80800182-992B-4C9C-ADB7-0531D642475F}">
      <dgm:prSet/>
      <dgm:spPr/>
      <dgm:t>
        <a:bodyPr/>
        <a:lstStyle/>
        <a:p>
          <a:endParaRPr lang="pl-PL"/>
        </a:p>
      </dgm:t>
    </dgm:pt>
    <dgm:pt modelId="{E3275BB1-F773-4FF8-B4BF-344894C9B99B}">
      <dgm:prSet phldrT="[Tekst]"/>
      <dgm:spPr/>
      <dgm:t>
        <a:bodyPr/>
        <a:lstStyle/>
        <a:p>
          <a:r>
            <a:rPr lang="pl-PL"/>
            <a:t>możliwości budżetu lokalnego w zakresie finansowania </a:t>
          </a:r>
          <a:br>
            <a:rPr lang="pl-PL"/>
          </a:br>
          <a:r>
            <a:rPr lang="pl-PL"/>
            <a:t>i współfinansowania projektów rewitalizacyjnych,</a:t>
          </a:r>
        </a:p>
      </dgm:t>
    </dgm:pt>
    <dgm:pt modelId="{C7E8A16F-3288-4BA3-A844-96FDAE2A29F8}" type="parTrans" cxnId="{EA47C6EC-D454-4F4D-91B0-FA944469549B}">
      <dgm:prSet/>
      <dgm:spPr/>
      <dgm:t>
        <a:bodyPr/>
        <a:lstStyle/>
        <a:p>
          <a:endParaRPr lang="pl-PL"/>
        </a:p>
      </dgm:t>
    </dgm:pt>
    <dgm:pt modelId="{F426054A-1A85-4C6E-AF6D-596EBDE434A1}" type="sibTrans" cxnId="{EA47C6EC-D454-4F4D-91B0-FA944469549B}">
      <dgm:prSet/>
      <dgm:spPr/>
      <dgm:t>
        <a:bodyPr/>
        <a:lstStyle/>
        <a:p>
          <a:endParaRPr lang="pl-PL"/>
        </a:p>
      </dgm:t>
    </dgm:pt>
    <dgm:pt modelId="{08D156FC-75C3-4208-8164-104E5F6E4316}">
      <dgm:prSet phldrT="[Tekst]"/>
      <dgm:spPr/>
      <dgm:t>
        <a:bodyPr/>
        <a:lstStyle/>
        <a:p>
          <a:r>
            <a:rPr lang="pl-PL"/>
            <a:t>ograniczenia kompetencyjne podmiotów organizujacych proces wdrażania programu.</a:t>
          </a:r>
        </a:p>
      </dgm:t>
    </dgm:pt>
    <dgm:pt modelId="{97145975-04D9-46EA-86F0-2137BF8BA6A4}" type="parTrans" cxnId="{8FE1D9DB-F250-4540-BCB3-96FB00B7C943}">
      <dgm:prSet/>
      <dgm:spPr/>
      <dgm:t>
        <a:bodyPr/>
        <a:lstStyle/>
        <a:p>
          <a:endParaRPr lang="pl-PL"/>
        </a:p>
      </dgm:t>
    </dgm:pt>
    <dgm:pt modelId="{221CDB06-3010-4A66-80C4-E18A46C2A3F1}" type="sibTrans" cxnId="{8FE1D9DB-F250-4540-BCB3-96FB00B7C943}">
      <dgm:prSet/>
      <dgm:spPr/>
      <dgm:t>
        <a:bodyPr/>
        <a:lstStyle/>
        <a:p>
          <a:endParaRPr lang="pl-PL"/>
        </a:p>
      </dgm:t>
    </dgm:pt>
    <dgm:pt modelId="{DCFC715E-A85C-465A-BEFF-3BE2606E81C8}" type="pres">
      <dgm:prSet presAssocID="{3A69B0C1-C248-49FE-BD43-9D7FF04BAA2E}" presName="Name0" presStyleCnt="0">
        <dgm:presLayoutVars>
          <dgm:dir/>
          <dgm:animLvl val="lvl"/>
          <dgm:resizeHandles val="exact"/>
        </dgm:presLayoutVars>
      </dgm:prSet>
      <dgm:spPr/>
      <dgm:t>
        <a:bodyPr/>
        <a:lstStyle/>
        <a:p>
          <a:endParaRPr lang="pl-PL"/>
        </a:p>
      </dgm:t>
    </dgm:pt>
    <dgm:pt modelId="{19167672-AE39-44B3-96AD-5098116A9477}" type="pres">
      <dgm:prSet presAssocID="{113ED72C-E4A4-46CC-8C15-FF25C0312B6F}" presName="linNode" presStyleCnt="0"/>
      <dgm:spPr/>
    </dgm:pt>
    <dgm:pt modelId="{AF54E894-482D-4F78-B7D9-A2346A80F7C1}" type="pres">
      <dgm:prSet presAssocID="{113ED72C-E4A4-46CC-8C15-FF25C0312B6F}" presName="parTx" presStyleLbl="revTx" presStyleIdx="0" presStyleCnt="5">
        <dgm:presLayoutVars>
          <dgm:chMax val="1"/>
          <dgm:bulletEnabled val="1"/>
        </dgm:presLayoutVars>
      </dgm:prSet>
      <dgm:spPr/>
      <dgm:t>
        <a:bodyPr/>
        <a:lstStyle/>
        <a:p>
          <a:endParaRPr lang="pl-PL"/>
        </a:p>
      </dgm:t>
    </dgm:pt>
    <dgm:pt modelId="{E100EE7E-D75E-461E-A7CB-1A3E53240475}" type="pres">
      <dgm:prSet presAssocID="{113ED72C-E4A4-46CC-8C15-FF25C0312B6F}" presName="bracket" presStyleLbl="parChTrans1D1" presStyleIdx="0" presStyleCnt="5"/>
      <dgm:spPr/>
    </dgm:pt>
    <dgm:pt modelId="{6645FA75-A026-4C70-99BA-138AA6FE4732}" type="pres">
      <dgm:prSet presAssocID="{113ED72C-E4A4-46CC-8C15-FF25C0312B6F}" presName="spH" presStyleCnt="0"/>
      <dgm:spPr/>
    </dgm:pt>
    <dgm:pt modelId="{EAF65A76-543E-40BA-8424-F3908BB0874D}" type="pres">
      <dgm:prSet presAssocID="{113ED72C-E4A4-46CC-8C15-FF25C0312B6F}" presName="desTx" presStyleLbl="node1" presStyleIdx="0" presStyleCnt="5">
        <dgm:presLayoutVars>
          <dgm:bulletEnabled val="1"/>
        </dgm:presLayoutVars>
      </dgm:prSet>
      <dgm:spPr/>
      <dgm:t>
        <a:bodyPr/>
        <a:lstStyle/>
        <a:p>
          <a:endParaRPr lang="pl-PL"/>
        </a:p>
      </dgm:t>
    </dgm:pt>
    <dgm:pt modelId="{B47753A0-EB28-470E-AE49-43C1CBB27272}" type="pres">
      <dgm:prSet presAssocID="{A068C926-A653-4AFB-9A44-F1215F173C9E}" presName="spV" presStyleCnt="0"/>
      <dgm:spPr/>
    </dgm:pt>
    <dgm:pt modelId="{BFD77193-317B-49F0-AC14-6B30E6506857}" type="pres">
      <dgm:prSet presAssocID="{C31FCD39-A612-439E-AF18-523D84000782}" presName="linNode" presStyleCnt="0"/>
      <dgm:spPr/>
    </dgm:pt>
    <dgm:pt modelId="{F75B1982-3550-4D86-8210-6B4598BFF7E8}" type="pres">
      <dgm:prSet presAssocID="{C31FCD39-A612-439E-AF18-523D84000782}" presName="parTx" presStyleLbl="revTx" presStyleIdx="1" presStyleCnt="5">
        <dgm:presLayoutVars>
          <dgm:chMax val="1"/>
          <dgm:bulletEnabled val="1"/>
        </dgm:presLayoutVars>
      </dgm:prSet>
      <dgm:spPr/>
      <dgm:t>
        <a:bodyPr/>
        <a:lstStyle/>
        <a:p>
          <a:endParaRPr lang="pl-PL"/>
        </a:p>
      </dgm:t>
    </dgm:pt>
    <dgm:pt modelId="{433C4175-7D52-4D61-AE8C-094C4670011F}" type="pres">
      <dgm:prSet presAssocID="{C31FCD39-A612-439E-AF18-523D84000782}" presName="bracket" presStyleLbl="parChTrans1D1" presStyleIdx="1" presStyleCnt="5"/>
      <dgm:spPr/>
    </dgm:pt>
    <dgm:pt modelId="{CEACCF97-830A-4970-BC59-8CA9E579FDE5}" type="pres">
      <dgm:prSet presAssocID="{C31FCD39-A612-439E-AF18-523D84000782}" presName="spH" presStyleCnt="0"/>
      <dgm:spPr/>
    </dgm:pt>
    <dgm:pt modelId="{A2D27041-871F-4F4C-ABE7-9E782B1150A1}" type="pres">
      <dgm:prSet presAssocID="{C31FCD39-A612-439E-AF18-523D84000782}" presName="desTx" presStyleLbl="node1" presStyleIdx="1" presStyleCnt="5">
        <dgm:presLayoutVars>
          <dgm:bulletEnabled val="1"/>
        </dgm:presLayoutVars>
      </dgm:prSet>
      <dgm:spPr/>
      <dgm:t>
        <a:bodyPr/>
        <a:lstStyle/>
        <a:p>
          <a:endParaRPr lang="pl-PL"/>
        </a:p>
      </dgm:t>
    </dgm:pt>
    <dgm:pt modelId="{A81AA000-0EEF-4E4C-9D08-7570A6FF670C}" type="pres">
      <dgm:prSet presAssocID="{FB7A4F2A-3C69-45A1-9309-CE147A0A1383}" presName="spV" presStyleCnt="0"/>
      <dgm:spPr/>
    </dgm:pt>
    <dgm:pt modelId="{519E2CFA-0ACF-445A-875B-5C568A461D9A}" type="pres">
      <dgm:prSet presAssocID="{44D2C303-417E-4F0C-B31F-F7D50C9BC2C5}" presName="linNode" presStyleCnt="0"/>
      <dgm:spPr/>
    </dgm:pt>
    <dgm:pt modelId="{2E89B7CD-9929-4BF4-939C-3F1C61A2259D}" type="pres">
      <dgm:prSet presAssocID="{44D2C303-417E-4F0C-B31F-F7D50C9BC2C5}" presName="parTx" presStyleLbl="revTx" presStyleIdx="2" presStyleCnt="5">
        <dgm:presLayoutVars>
          <dgm:chMax val="1"/>
          <dgm:bulletEnabled val="1"/>
        </dgm:presLayoutVars>
      </dgm:prSet>
      <dgm:spPr/>
      <dgm:t>
        <a:bodyPr/>
        <a:lstStyle/>
        <a:p>
          <a:endParaRPr lang="pl-PL"/>
        </a:p>
      </dgm:t>
    </dgm:pt>
    <dgm:pt modelId="{BFDE68ED-AA36-4093-828E-DA83D01F1682}" type="pres">
      <dgm:prSet presAssocID="{44D2C303-417E-4F0C-B31F-F7D50C9BC2C5}" presName="bracket" presStyleLbl="parChTrans1D1" presStyleIdx="2" presStyleCnt="5"/>
      <dgm:spPr/>
    </dgm:pt>
    <dgm:pt modelId="{9C0FBEB1-BC6D-4A1F-9136-F62B49D21CD7}" type="pres">
      <dgm:prSet presAssocID="{44D2C303-417E-4F0C-B31F-F7D50C9BC2C5}" presName="spH" presStyleCnt="0"/>
      <dgm:spPr/>
    </dgm:pt>
    <dgm:pt modelId="{AAB36509-94F8-412B-A0EA-F495D4D32505}" type="pres">
      <dgm:prSet presAssocID="{44D2C303-417E-4F0C-B31F-F7D50C9BC2C5}" presName="desTx" presStyleLbl="node1" presStyleIdx="2" presStyleCnt="5">
        <dgm:presLayoutVars>
          <dgm:bulletEnabled val="1"/>
        </dgm:presLayoutVars>
      </dgm:prSet>
      <dgm:spPr/>
      <dgm:t>
        <a:bodyPr/>
        <a:lstStyle/>
        <a:p>
          <a:endParaRPr lang="pl-PL"/>
        </a:p>
      </dgm:t>
    </dgm:pt>
    <dgm:pt modelId="{517F1D51-DD1B-4CAF-83D2-9FAB0067FDD5}" type="pres">
      <dgm:prSet presAssocID="{D1BB50B5-0B3D-48A6-B8A7-09FF7E2561BB}" presName="spV" presStyleCnt="0"/>
      <dgm:spPr/>
    </dgm:pt>
    <dgm:pt modelId="{54DBC696-D9CA-4B8B-A353-2344B83198BB}" type="pres">
      <dgm:prSet presAssocID="{B3EC81C5-C502-48DF-B807-5AF9E630D229}" presName="linNode" presStyleCnt="0"/>
      <dgm:spPr/>
    </dgm:pt>
    <dgm:pt modelId="{91E9CDB9-2FF2-498F-ABF4-5598FBF3DAAB}" type="pres">
      <dgm:prSet presAssocID="{B3EC81C5-C502-48DF-B807-5AF9E630D229}" presName="parTx" presStyleLbl="revTx" presStyleIdx="3" presStyleCnt="5">
        <dgm:presLayoutVars>
          <dgm:chMax val="1"/>
          <dgm:bulletEnabled val="1"/>
        </dgm:presLayoutVars>
      </dgm:prSet>
      <dgm:spPr/>
      <dgm:t>
        <a:bodyPr/>
        <a:lstStyle/>
        <a:p>
          <a:endParaRPr lang="pl-PL"/>
        </a:p>
      </dgm:t>
    </dgm:pt>
    <dgm:pt modelId="{E1E72533-0096-4103-9189-B07B5506F8BB}" type="pres">
      <dgm:prSet presAssocID="{B3EC81C5-C502-48DF-B807-5AF9E630D229}" presName="bracket" presStyleLbl="parChTrans1D1" presStyleIdx="3" presStyleCnt="5"/>
      <dgm:spPr/>
    </dgm:pt>
    <dgm:pt modelId="{017FF428-8725-4A56-9C0A-9678DDA8EE40}" type="pres">
      <dgm:prSet presAssocID="{B3EC81C5-C502-48DF-B807-5AF9E630D229}" presName="spH" presStyleCnt="0"/>
      <dgm:spPr/>
    </dgm:pt>
    <dgm:pt modelId="{75C13744-84D5-4DC1-9F7D-5D9E182F2BB7}" type="pres">
      <dgm:prSet presAssocID="{B3EC81C5-C502-48DF-B807-5AF9E630D229}" presName="desTx" presStyleLbl="node1" presStyleIdx="3" presStyleCnt="5">
        <dgm:presLayoutVars>
          <dgm:bulletEnabled val="1"/>
        </dgm:presLayoutVars>
      </dgm:prSet>
      <dgm:spPr/>
      <dgm:t>
        <a:bodyPr/>
        <a:lstStyle/>
        <a:p>
          <a:endParaRPr lang="pl-PL"/>
        </a:p>
      </dgm:t>
    </dgm:pt>
    <dgm:pt modelId="{09F993A3-2D30-419F-B92C-C83ECCCBD0D0}" type="pres">
      <dgm:prSet presAssocID="{CE90EAD5-0A01-45DE-B7C4-7833650169C1}" presName="spV" presStyleCnt="0"/>
      <dgm:spPr/>
    </dgm:pt>
    <dgm:pt modelId="{10926909-9870-4C28-870E-ACDE69D8F74A}" type="pres">
      <dgm:prSet presAssocID="{9514F16F-9909-41A2-BCD5-350CD82D41FC}" presName="linNode" presStyleCnt="0"/>
      <dgm:spPr/>
    </dgm:pt>
    <dgm:pt modelId="{E896A8C5-A538-4BB7-B3C8-0A9182C06355}" type="pres">
      <dgm:prSet presAssocID="{9514F16F-9909-41A2-BCD5-350CD82D41FC}" presName="parTx" presStyleLbl="revTx" presStyleIdx="4" presStyleCnt="5">
        <dgm:presLayoutVars>
          <dgm:chMax val="1"/>
          <dgm:bulletEnabled val="1"/>
        </dgm:presLayoutVars>
      </dgm:prSet>
      <dgm:spPr/>
      <dgm:t>
        <a:bodyPr/>
        <a:lstStyle/>
        <a:p>
          <a:endParaRPr lang="pl-PL"/>
        </a:p>
      </dgm:t>
    </dgm:pt>
    <dgm:pt modelId="{73293A61-076C-4D33-9CFA-B3C901BE1A4C}" type="pres">
      <dgm:prSet presAssocID="{9514F16F-9909-41A2-BCD5-350CD82D41FC}" presName="bracket" presStyleLbl="parChTrans1D1" presStyleIdx="4" presStyleCnt="5"/>
      <dgm:spPr/>
    </dgm:pt>
    <dgm:pt modelId="{431BE076-1D73-4D80-A455-C6CDC6FE6EC1}" type="pres">
      <dgm:prSet presAssocID="{9514F16F-9909-41A2-BCD5-350CD82D41FC}" presName="spH" presStyleCnt="0"/>
      <dgm:spPr/>
    </dgm:pt>
    <dgm:pt modelId="{5BBE3249-F229-44E9-81A1-D11C2C24C868}" type="pres">
      <dgm:prSet presAssocID="{9514F16F-9909-41A2-BCD5-350CD82D41FC}" presName="desTx" presStyleLbl="node1" presStyleIdx="4" presStyleCnt="5">
        <dgm:presLayoutVars>
          <dgm:bulletEnabled val="1"/>
        </dgm:presLayoutVars>
      </dgm:prSet>
      <dgm:spPr/>
      <dgm:t>
        <a:bodyPr/>
        <a:lstStyle/>
        <a:p>
          <a:endParaRPr lang="pl-PL"/>
        </a:p>
      </dgm:t>
    </dgm:pt>
  </dgm:ptLst>
  <dgm:cxnLst>
    <dgm:cxn modelId="{420AA194-527F-4472-BDBC-E3F962CE02E4}" type="presOf" srcId="{44D2C303-417E-4F0C-B31F-F7D50C9BC2C5}" destId="{2E89B7CD-9929-4BF4-939C-3F1C61A2259D}" srcOrd="0" destOrd="0" presId="urn:diagrams.loki3.com/BracketList+Icon"/>
    <dgm:cxn modelId="{DBF2214A-9C5A-4CC3-9690-82D1377192DE}" type="presOf" srcId="{13E1EC02-20F4-4AFF-B30C-9CFF1470BF51}" destId="{EAF65A76-543E-40BA-8424-F3908BB0874D}" srcOrd="0" destOrd="1" presId="urn:diagrams.loki3.com/BracketList+Icon"/>
    <dgm:cxn modelId="{3E770B2F-D62B-42DD-9F9C-601DC19E4356}" srcId="{113ED72C-E4A4-46CC-8C15-FF25C0312B6F}" destId="{13E1EC02-20F4-4AFF-B30C-9CFF1470BF51}" srcOrd="1" destOrd="0" parTransId="{73FB59E0-9D18-47E6-941A-DF06E87ECA0E}" sibTransId="{8DFF3A5B-F782-46BF-ACF4-E9F5A943CF30}"/>
    <dgm:cxn modelId="{F68EE26D-B99B-4591-BC13-BD346265C8E6}" type="presOf" srcId="{E3275BB1-F773-4FF8-B4BF-344894C9B99B}" destId="{AAB36509-94F8-412B-A0EA-F495D4D32505}" srcOrd="0" destOrd="0" presId="urn:diagrams.loki3.com/BracketList+Icon"/>
    <dgm:cxn modelId="{90E1F0AF-3FEC-4B81-9853-04E766C794D5}" srcId="{B3EC81C5-C502-48DF-B807-5AF9E630D229}" destId="{32476FB2-EA7E-455F-8A97-BAA0D289EDDF}" srcOrd="0" destOrd="0" parTransId="{543E907A-3B91-4D34-A1AC-5D9A3F009B2D}" sibTransId="{1E004A50-788D-4BE7-AC2A-A5C2AE70FCAE}"/>
    <dgm:cxn modelId="{673E16C4-1961-4E59-A363-AB90CABDC3B1}" type="presOf" srcId="{22A2BDD7-7CBB-47C8-946F-0556F3BC9854}" destId="{5BBE3249-F229-44E9-81A1-D11C2C24C868}" srcOrd="0" destOrd="0" presId="urn:diagrams.loki3.com/BracketList+Icon"/>
    <dgm:cxn modelId="{7B926071-ED85-49C2-86E7-D64D754EBD6A}" type="presOf" srcId="{EFFA145B-2416-4A71-B1DB-DDF9B156C386}" destId="{A2D27041-871F-4F4C-ABE7-9E782B1150A1}" srcOrd="0" destOrd="0" presId="urn:diagrams.loki3.com/BracketList+Icon"/>
    <dgm:cxn modelId="{80800182-992B-4C9C-ADB7-0531D642475F}" srcId="{9514F16F-9909-41A2-BCD5-350CD82D41FC}" destId="{22A2BDD7-7CBB-47C8-946F-0556F3BC9854}" srcOrd="0" destOrd="0" parTransId="{71EAAF52-6C86-4CFB-BED1-171717FEA529}" sibTransId="{69F850BD-2294-4529-A333-B932D05018C8}"/>
    <dgm:cxn modelId="{EA47C6EC-D454-4F4D-91B0-FA944469549B}" srcId="{44D2C303-417E-4F0C-B31F-F7D50C9BC2C5}" destId="{E3275BB1-F773-4FF8-B4BF-344894C9B99B}" srcOrd="0" destOrd="0" parTransId="{C7E8A16F-3288-4BA3-A844-96FDAE2A29F8}" sibTransId="{F426054A-1A85-4C6E-AF6D-596EBDE434A1}"/>
    <dgm:cxn modelId="{79ADAD7C-3666-4A51-B426-6C50568FED55}" type="presOf" srcId="{32476FB2-EA7E-455F-8A97-BAA0D289EDDF}" destId="{75C13744-84D5-4DC1-9F7D-5D9E182F2BB7}" srcOrd="0" destOrd="0" presId="urn:diagrams.loki3.com/BracketList+Icon"/>
    <dgm:cxn modelId="{20CEE45E-4C29-45C5-9093-23592B1181B0}" srcId="{3A69B0C1-C248-49FE-BD43-9D7FF04BAA2E}" destId="{C31FCD39-A612-439E-AF18-523D84000782}" srcOrd="1" destOrd="0" parTransId="{1DE7C423-52D2-4E08-B99B-3CE50494A941}" sibTransId="{FB7A4F2A-3C69-45A1-9309-CE147A0A1383}"/>
    <dgm:cxn modelId="{8FE1D9DB-F250-4540-BCB3-96FB00B7C943}" srcId="{9514F16F-9909-41A2-BCD5-350CD82D41FC}" destId="{08D156FC-75C3-4208-8164-104E5F6E4316}" srcOrd="1" destOrd="0" parTransId="{97145975-04D9-46EA-86F0-2137BF8BA6A4}" sibTransId="{221CDB06-3010-4A66-80C4-E18A46C2A3F1}"/>
    <dgm:cxn modelId="{D16FA9DC-BD85-4EE8-B73E-ACC3B3C26E61}" type="presOf" srcId="{9514F16F-9909-41A2-BCD5-350CD82D41FC}" destId="{E896A8C5-A538-4BB7-B3C8-0A9182C06355}" srcOrd="0" destOrd="0" presId="urn:diagrams.loki3.com/BracketList+Icon"/>
    <dgm:cxn modelId="{8EC9E327-B39E-4F0C-ADC7-379D7322F133}" type="presOf" srcId="{69C1140B-A6F2-470C-9F4F-E12EBBEF012A}" destId="{EAF65A76-543E-40BA-8424-F3908BB0874D}" srcOrd="0" destOrd="0" presId="urn:diagrams.loki3.com/BracketList+Icon"/>
    <dgm:cxn modelId="{A40C5B41-0E8D-441A-A355-B38943F5493A}" srcId="{C31FCD39-A612-439E-AF18-523D84000782}" destId="{EFFA145B-2416-4A71-B1DB-DDF9B156C386}" srcOrd="0" destOrd="0" parTransId="{8E6C1318-6877-484E-B244-9519A9FE3657}" sibTransId="{6BE75683-8590-44B3-B1DC-58CDC14EAA84}"/>
    <dgm:cxn modelId="{F5879892-22B0-4A36-8A85-6694A71F8D5E}" type="presOf" srcId="{08D156FC-75C3-4208-8164-104E5F6E4316}" destId="{5BBE3249-F229-44E9-81A1-D11C2C24C868}" srcOrd="0" destOrd="1" presId="urn:diagrams.loki3.com/BracketList+Icon"/>
    <dgm:cxn modelId="{17E5FB14-6A7A-4D05-9919-9ADEB8B40956}" srcId="{3A69B0C1-C248-49FE-BD43-9D7FF04BAA2E}" destId="{113ED72C-E4A4-46CC-8C15-FF25C0312B6F}" srcOrd="0" destOrd="0" parTransId="{D89A8A23-C0F1-44BB-B00B-B239435EBF50}" sibTransId="{A068C926-A653-4AFB-9A44-F1215F173C9E}"/>
    <dgm:cxn modelId="{38D9486C-0547-48D6-A6E3-88761C5FC748}" type="presOf" srcId="{3E745EAE-6C39-41C6-82A2-83530ADF5765}" destId="{AAB36509-94F8-412B-A0EA-F495D4D32505}" srcOrd="0" destOrd="1" presId="urn:diagrams.loki3.com/BracketList+Icon"/>
    <dgm:cxn modelId="{22739078-9DEC-4E42-BFF8-5DABD6241FE5}" srcId="{44D2C303-417E-4F0C-B31F-F7D50C9BC2C5}" destId="{3E745EAE-6C39-41C6-82A2-83530ADF5765}" srcOrd="1" destOrd="0" parTransId="{530497DC-551B-49AB-930A-A26B522FA0B9}" sibTransId="{B16D5AAA-6035-40C1-B099-785FB7129D12}"/>
    <dgm:cxn modelId="{79899B9A-7C4D-4866-BA0E-A75BEA2272EC}" type="presOf" srcId="{C31FCD39-A612-439E-AF18-523D84000782}" destId="{F75B1982-3550-4D86-8210-6B4598BFF7E8}" srcOrd="0" destOrd="0" presId="urn:diagrams.loki3.com/BracketList+Icon"/>
    <dgm:cxn modelId="{257C66D1-E1AA-4F08-B2AB-E53782080015}" srcId="{3A69B0C1-C248-49FE-BD43-9D7FF04BAA2E}" destId="{9514F16F-9909-41A2-BCD5-350CD82D41FC}" srcOrd="4" destOrd="0" parTransId="{E3F88107-825E-4FAD-A27E-DAE1EFB90834}" sibTransId="{C26B8F8F-D37C-4541-9218-A7C5E14FABAC}"/>
    <dgm:cxn modelId="{82003264-DEEF-4D88-BAAE-089C1BA9A747}" type="presOf" srcId="{B3EC81C5-C502-48DF-B807-5AF9E630D229}" destId="{91E9CDB9-2FF2-498F-ABF4-5598FBF3DAAB}" srcOrd="0" destOrd="0" presId="urn:diagrams.loki3.com/BracketList+Icon"/>
    <dgm:cxn modelId="{76321476-6BD5-44A4-BD58-6E7AF068B395}" srcId="{3A69B0C1-C248-49FE-BD43-9D7FF04BAA2E}" destId="{44D2C303-417E-4F0C-B31F-F7D50C9BC2C5}" srcOrd="2" destOrd="0" parTransId="{AFFB1E14-7845-464B-B60B-F06FA62A660D}" sibTransId="{D1BB50B5-0B3D-48A6-B8A7-09FF7E2561BB}"/>
    <dgm:cxn modelId="{027378C0-2762-4D4E-9B09-394664CF3C1E}" srcId="{3A69B0C1-C248-49FE-BD43-9D7FF04BAA2E}" destId="{B3EC81C5-C502-48DF-B807-5AF9E630D229}" srcOrd="3" destOrd="0" parTransId="{52E063F2-098A-4597-ABC7-624195C6EE18}" sibTransId="{CE90EAD5-0A01-45DE-B7C4-7833650169C1}"/>
    <dgm:cxn modelId="{BDF9EC98-E03A-460F-93EA-FF7AC242B881}" type="presOf" srcId="{113ED72C-E4A4-46CC-8C15-FF25C0312B6F}" destId="{AF54E894-482D-4F78-B7D9-A2346A80F7C1}" srcOrd="0" destOrd="0" presId="urn:diagrams.loki3.com/BracketList+Icon"/>
    <dgm:cxn modelId="{E90B54D7-2858-4BFC-AFCC-53D94B94F112}" srcId="{113ED72C-E4A4-46CC-8C15-FF25C0312B6F}" destId="{69C1140B-A6F2-470C-9F4F-E12EBBEF012A}" srcOrd="0" destOrd="0" parTransId="{A2049D85-AC57-4BA0-89F2-8B8060861000}" sibTransId="{EC31030A-BC04-4867-B477-13E5DB7BDDB6}"/>
    <dgm:cxn modelId="{96207AD9-060F-4706-AC9B-92F6F69FB65C}" type="presOf" srcId="{3A69B0C1-C248-49FE-BD43-9D7FF04BAA2E}" destId="{DCFC715E-A85C-465A-BEFF-3BE2606E81C8}" srcOrd="0" destOrd="0" presId="urn:diagrams.loki3.com/BracketList+Icon"/>
    <dgm:cxn modelId="{B997B44A-D8E0-4C6B-90AE-7464C6F6B2D6}" type="presParOf" srcId="{DCFC715E-A85C-465A-BEFF-3BE2606E81C8}" destId="{19167672-AE39-44B3-96AD-5098116A9477}" srcOrd="0" destOrd="0" presId="urn:diagrams.loki3.com/BracketList+Icon"/>
    <dgm:cxn modelId="{AA88693B-4B1B-43FB-97B3-5883C6756602}" type="presParOf" srcId="{19167672-AE39-44B3-96AD-5098116A9477}" destId="{AF54E894-482D-4F78-B7D9-A2346A80F7C1}" srcOrd="0" destOrd="0" presId="urn:diagrams.loki3.com/BracketList+Icon"/>
    <dgm:cxn modelId="{6A09913E-909E-40CA-8BE9-5A2264D62BAB}" type="presParOf" srcId="{19167672-AE39-44B3-96AD-5098116A9477}" destId="{E100EE7E-D75E-461E-A7CB-1A3E53240475}" srcOrd="1" destOrd="0" presId="urn:diagrams.loki3.com/BracketList+Icon"/>
    <dgm:cxn modelId="{989332AF-F4BE-481D-A67E-D2A6249D937E}" type="presParOf" srcId="{19167672-AE39-44B3-96AD-5098116A9477}" destId="{6645FA75-A026-4C70-99BA-138AA6FE4732}" srcOrd="2" destOrd="0" presId="urn:diagrams.loki3.com/BracketList+Icon"/>
    <dgm:cxn modelId="{86B575F4-BE91-4F90-8D6F-BB30A70420C1}" type="presParOf" srcId="{19167672-AE39-44B3-96AD-5098116A9477}" destId="{EAF65A76-543E-40BA-8424-F3908BB0874D}" srcOrd="3" destOrd="0" presId="urn:diagrams.loki3.com/BracketList+Icon"/>
    <dgm:cxn modelId="{393EAB05-A1BD-435B-A2BE-61581CD65990}" type="presParOf" srcId="{DCFC715E-A85C-465A-BEFF-3BE2606E81C8}" destId="{B47753A0-EB28-470E-AE49-43C1CBB27272}" srcOrd="1" destOrd="0" presId="urn:diagrams.loki3.com/BracketList+Icon"/>
    <dgm:cxn modelId="{6B281530-1184-4E51-A1CB-1896B144DBAF}" type="presParOf" srcId="{DCFC715E-A85C-465A-BEFF-3BE2606E81C8}" destId="{BFD77193-317B-49F0-AC14-6B30E6506857}" srcOrd="2" destOrd="0" presId="urn:diagrams.loki3.com/BracketList+Icon"/>
    <dgm:cxn modelId="{547C22D1-9C25-4E7F-9E9D-E4B1D1664AB6}" type="presParOf" srcId="{BFD77193-317B-49F0-AC14-6B30E6506857}" destId="{F75B1982-3550-4D86-8210-6B4598BFF7E8}" srcOrd="0" destOrd="0" presId="urn:diagrams.loki3.com/BracketList+Icon"/>
    <dgm:cxn modelId="{E5C6D074-26CB-4498-854C-22C3404C52CE}" type="presParOf" srcId="{BFD77193-317B-49F0-AC14-6B30E6506857}" destId="{433C4175-7D52-4D61-AE8C-094C4670011F}" srcOrd="1" destOrd="0" presId="urn:diagrams.loki3.com/BracketList+Icon"/>
    <dgm:cxn modelId="{BECFAADF-166B-4CEF-920F-1B3B031F93DD}" type="presParOf" srcId="{BFD77193-317B-49F0-AC14-6B30E6506857}" destId="{CEACCF97-830A-4970-BC59-8CA9E579FDE5}" srcOrd="2" destOrd="0" presId="urn:diagrams.loki3.com/BracketList+Icon"/>
    <dgm:cxn modelId="{130193D8-6B12-4714-A3A9-456AB80056DA}" type="presParOf" srcId="{BFD77193-317B-49F0-AC14-6B30E6506857}" destId="{A2D27041-871F-4F4C-ABE7-9E782B1150A1}" srcOrd="3" destOrd="0" presId="urn:diagrams.loki3.com/BracketList+Icon"/>
    <dgm:cxn modelId="{F8BC733E-328B-4585-B9EB-4EC91F6B6447}" type="presParOf" srcId="{DCFC715E-A85C-465A-BEFF-3BE2606E81C8}" destId="{A81AA000-0EEF-4E4C-9D08-7570A6FF670C}" srcOrd="3" destOrd="0" presId="urn:diagrams.loki3.com/BracketList+Icon"/>
    <dgm:cxn modelId="{FAF1C1E8-5F1A-4ECE-9B57-6C2C3ADE1974}" type="presParOf" srcId="{DCFC715E-A85C-465A-BEFF-3BE2606E81C8}" destId="{519E2CFA-0ACF-445A-875B-5C568A461D9A}" srcOrd="4" destOrd="0" presId="urn:diagrams.loki3.com/BracketList+Icon"/>
    <dgm:cxn modelId="{2FDF3360-CB87-4161-815E-2F81ABEE8200}" type="presParOf" srcId="{519E2CFA-0ACF-445A-875B-5C568A461D9A}" destId="{2E89B7CD-9929-4BF4-939C-3F1C61A2259D}" srcOrd="0" destOrd="0" presId="urn:diagrams.loki3.com/BracketList+Icon"/>
    <dgm:cxn modelId="{D14C9444-C8AF-43BC-A225-5796F0CDBDA4}" type="presParOf" srcId="{519E2CFA-0ACF-445A-875B-5C568A461D9A}" destId="{BFDE68ED-AA36-4093-828E-DA83D01F1682}" srcOrd="1" destOrd="0" presId="urn:diagrams.loki3.com/BracketList+Icon"/>
    <dgm:cxn modelId="{73C0CFDB-D098-4FC8-9620-094C63A5601D}" type="presParOf" srcId="{519E2CFA-0ACF-445A-875B-5C568A461D9A}" destId="{9C0FBEB1-BC6D-4A1F-9136-F62B49D21CD7}" srcOrd="2" destOrd="0" presId="urn:diagrams.loki3.com/BracketList+Icon"/>
    <dgm:cxn modelId="{88330F11-4987-4D6B-A106-8C44F8F75828}" type="presParOf" srcId="{519E2CFA-0ACF-445A-875B-5C568A461D9A}" destId="{AAB36509-94F8-412B-A0EA-F495D4D32505}" srcOrd="3" destOrd="0" presId="urn:diagrams.loki3.com/BracketList+Icon"/>
    <dgm:cxn modelId="{ED6547F6-F7D2-4BFA-A3E0-83DBBCD03189}" type="presParOf" srcId="{DCFC715E-A85C-465A-BEFF-3BE2606E81C8}" destId="{517F1D51-DD1B-4CAF-83D2-9FAB0067FDD5}" srcOrd="5" destOrd="0" presId="urn:diagrams.loki3.com/BracketList+Icon"/>
    <dgm:cxn modelId="{5B8031D9-0EF7-4394-BEA5-6337140DA4B2}" type="presParOf" srcId="{DCFC715E-A85C-465A-BEFF-3BE2606E81C8}" destId="{54DBC696-D9CA-4B8B-A353-2344B83198BB}" srcOrd="6" destOrd="0" presId="urn:diagrams.loki3.com/BracketList+Icon"/>
    <dgm:cxn modelId="{8835AF8F-DFF5-4DB6-9586-DC5EB0DC9AA3}" type="presParOf" srcId="{54DBC696-D9CA-4B8B-A353-2344B83198BB}" destId="{91E9CDB9-2FF2-498F-ABF4-5598FBF3DAAB}" srcOrd="0" destOrd="0" presId="urn:diagrams.loki3.com/BracketList+Icon"/>
    <dgm:cxn modelId="{87BECA23-A08D-45E3-92B7-A9C694E43C15}" type="presParOf" srcId="{54DBC696-D9CA-4B8B-A353-2344B83198BB}" destId="{E1E72533-0096-4103-9189-B07B5506F8BB}" srcOrd="1" destOrd="0" presId="urn:diagrams.loki3.com/BracketList+Icon"/>
    <dgm:cxn modelId="{2136E3AA-85CD-41E4-BE16-F6BFC09BAE1B}" type="presParOf" srcId="{54DBC696-D9CA-4B8B-A353-2344B83198BB}" destId="{017FF428-8725-4A56-9C0A-9678DDA8EE40}" srcOrd="2" destOrd="0" presId="urn:diagrams.loki3.com/BracketList+Icon"/>
    <dgm:cxn modelId="{64DF9A4D-A6AB-4661-AC9C-2CC1EDEC422F}" type="presParOf" srcId="{54DBC696-D9CA-4B8B-A353-2344B83198BB}" destId="{75C13744-84D5-4DC1-9F7D-5D9E182F2BB7}" srcOrd="3" destOrd="0" presId="urn:diagrams.loki3.com/BracketList+Icon"/>
    <dgm:cxn modelId="{E1E0EC4D-9C3B-41EE-87BE-5B41072F1A0C}" type="presParOf" srcId="{DCFC715E-A85C-465A-BEFF-3BE2606E81C8}" destId="{09F993A3-2D30-419F-B92C-C83ECCCBD0D0}" srcOrd="7" destOrd="0" presId="urn:diagrams.loki3.com/BracketList+Icon"/>
    <dgm:cxn modelId="{479682F8-55B7-4D0A-8BAA-58C6CDC0FA31}" type="presParOf" srcId="{DCFC715E-A85C-465A-BEFF-3BE2606E81C8}" destId="{10926909-9870-4C28-870E-ACDE69D8F74A}" srcOrd="8" destOrd="0" presId="urn:diagrams.loki3.com/BracketList+Icon"/>
    <dgm:cxn modelId="{C79A27F5-BFF6-4D06-BA3E-042BC0BBE62C}" type="presParOf" srcId="{10926909-9870-4C28-870E-ACDE69D8F74A}" destId="{E896A8C5-A538-4BB7-B3C8-0A9182C06355}" srcOrd="0" destOrd="0" presId="urn:diagrams.loki3.com/BracketList+Icon"/>
    <dgm:cxn modelId="{A734E5C8-3715-4575-84DB-2ADF9D390825}" type="presParOf" srcId="{10926909-9870-4C28-870E-ACDE69D8F74A}" destId="{73293A61-076C-4D33-9CFA-B3C901BE1A4C}" srcOrd="1" destOrd="0" presId="urn:diagrams.loki3.com/BracketList+Icon"/>
    <dgm:cxn modelId="{364CE234-CCC3-4E3E-B2FC-8767345F30DB}" type="presParOf" srcId="{10926909-9870-4C28-870E-ACDE69D8F74A}" destId="{431BE076-1D73-4D80-A455-C6CDC6FE6EC1}" srcOrd="2" destOrd="0" presId="urn:diagrams.loki3.com/BracketList+Icon"/>
    <dgm:cxn modelId="{30FA3B59-AFFE-4CDD-9D47-87AAF84DA4FE}" type="presParOf" srcId="{10926909-9870-4C28-870E-ACDE69D8F74A}" destId="{5BBE3249-F229-44E9-81A1-D11C2C24C868}" srcOrd="3" destOrd="0" presId="urn:diagrams.loki3.com/BracketList+Icon"/>
  </dgm:cxnLst>
  <dgm:bg/>
  <dgm:whole/>
  <dgm:extLst>
    <a:ext uri="http://schemas.microsoft.com/office/drawing/2008/diagram">
      <dsp:dataModelExt xmlns:dsp="http://schemas.microsoft.com/office/drawing/2008/diagram" xmlns="" relId="rId153"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172421D9-5A27-4781-B1F5-3882658C37DC}" type="doc">
      <dgm:prSet loTypeId="urn:microsoft.com/office/officeart/2005/8/layout/hList1" loCatId="list" qsTypeId="urn:microsoft.com/office/officeart/2005/8/quickstyle/simple1" qsCatId="simple" csTypeId="urn:microsoft.com/office/officeart/2005/8/colors/accent0_1" csCatId="mainScheme" phldr="1"/>
      <dgm:spPr/>
      <dgm:t>
        <a:bodyPr/>
        <a:lstStyle/>
        <a:p>
          <a:endParaRPr lang="pl-PL"/>
        </a:p>
      </dgm:t>
    </dgm:pt>
    <dgm:pt modelId="{2D43A835-85AF-478E-9389-5741BC2737E9}">
      <dgm:prSet phldrT="[Tekst]" custT="1"/>
      <dgm:spPr>
        <a:solidFill>
          <a:srgbClr val="99CCFF"/>
        </a:solidFill>
      </dgm:spPr>
      <dgm:t>
        <a:bodyPr/>
        <a:lstStyle/>
        <a:p>
          <a:r>
            <a:rPr lang="pl-PL" sz="900" b="1"/>
            <a:t>Ryzyko wewnętrzne związane </a:t>
          </a:r>
          <a:br>
            <a:rPr lang="pl-PL" sz="900" b="1"/>
          </a:br>
          <a:r>
            <a:rPr lang="pl-PL" sz="900" b="1"/>
            <a:t>z popełnionymi błędami</a:t>
          </a:r>
        </a:p>
      </dgm:t>
    </dgm:pt>
    <dgm:pt modelId="{3B34C6EA-4E81-410D-A23C-F765E21E6CE7}" type="parTrans" cxnId="{726540B3-D078-495C-AD85-BF73711A5CF9}">
      <dgm:prSet/>
      <dgm:spPr/>
      <dgm:t>
        <a:bodyPr/>
        <a:lstStyle/>
        <a:p>
          <a:endParaRPr lang="pl-PL"/>
        </a:p>
      </dgm:t>
    </dgm:pt>
    <dgm:pt modelId="{9A54F0E6-667A-4869-B018-7709AA4F2B21}" type="sibTrans" cxnId="{726540B3-D078-495C-AD85-BF73711A5CF9}">
      <dgm:prSet/>
      <dgm:spPr/>
      <dgm:t>
        <a:bodyPr/>
        <a:lstStyle/>
        <a:p>
          <a:endParaRPr lang="pl-PL"/>
        </a:p>
      </dgm:t>
    </dgm:pt>
    <dgm:pt modelId="{708C9A95-9D60-4FFD-BE6A-C90621D26452}">
      <dgm:prSet phldrT="[Tekst]" custT="1"/>
      <dgm:spPr/>
      <dgm:t>
        <a:bodyPr/>
        <a:lstStyle/>
        <a:p>
          <a:r>
            <a:rPr lang="pl-PL" sz="900"/>
            <a:t>błędy analizowania </a:t>
          </a:r>
          <a:br>
            <a:rPr lang="pl-PL" sz="900"/>
          </a:br>
          <a:r>
            <a:rPr lang="pl-PL" sz="900"/>
            <a:t>i prognozowania,</a:t>
          </a:r>
        </a:p>
      </dgm:t>
    </dgm:pt>
    <dgm:pt modelId="{D37075BA-0F4C-40F8-8372-30D067BF56A7}" type="parTrans" cxnId="{99D5D915-1D3A-4435-9F45-8E9DD6C42D0A}">
      <dgm:prSet/>
      <dgm:spPr/>
      <dgm:t>
        <a:bodyPr/>
        <a:lstStyle/>
        <a:p>
          <a:endParaRPr lang="pl-PL"/>
        </a:p>
      </dgm:t>
    </dgm:pt>
    <dgm:pt modelId="{617F305B-CCC2-496B-96D3-C0BC7E6DED76}" type="sibTrans" cxnId="{99D5D915-1D3A-4435-9F45-8E9DD6C42D0A}">
      <dgm:prSet/>
      <dgm:spPr/>
      <dgm:t>
        <a:bodyPr/>
        <a:lstStyle/>
        <a:p>
          <a:endParaRPr lang="pl-PL"/>
        </a:p>
      </dgm:t>
    </dgm:pt>
    <dgm:pt modelId="{B77D4F10-BDE5-493B-BAAD-E77B64140A4C}">
      <dgm:prSet phldrT="[Tekst]" custT="1"/>
      <dgm:spPr>
        <a:solidFill>
          <a:srgbClr val="99CCFF"/>
        </a:solidFill>
      </dgm:spPr>
      <dgm:t>
        <a:bodyPr/>
        <a:lstStyle/>
        <a:p>
          <a:r>
            <a:rPr lang="pl-PL" sz="900" b="1"/>
            <a:t>Ryzyko wewnętrzne związane </a:t>
          </a:r>
          <a:br>
            <a:rPr lang="pl-PL" sz="900" b="1"/>
          </a:br>
          <a:r>
            <a:rPr lang="pl-PL" sz="900" b="1"/>
            <a:t>z dynamiką procesów w mieście</a:t>
          </a:r>
        </a:p>
      </dgm:t>
    </dgm:pt>
    <dgm:pt modelId="{47B43BEC-E171-4D8F-9E8A-A9A3703314F6}" type="parTrans" cxnId="{8C7B6531-93C5-44A1-811C-4DEAB107856A}">
      <dgm:prSet/>
      <dgm:spPr/>
      <dgm:t>
        <a:bodyPr/>
        <a:lstStyle/>
        <a:p>
          <a:endParaRPr lang="pl-PL"/>
        </a:p>
      </dgm:t>
    </dgm:pt>
    <dgm:pt modelId="{F14F5125-3A95-42F9-AD0D-AFBB846BC104}" type="sibTrans" cxnId="{8C7B6531-93C5-44A1-811C-4DEAB107856A}">
      <dgm:prSet/>
      <dgm:spPr/>
      <dgm:t>
        <a:bodyPr/>
        <a:lstStyle/>
        <a:p>
          <a:endParaRPr lang="pl-PL"/>
        </a:p>
      </dgm:t>
    </dgm:pt>
    <dgm:pt modelId="{8AD3BA57-60C4-4537-8F90-B15C60CE5695}">
      <dgm:prSet phldrT="[Tekst]" custT="1"/>
      <dgm:spPr/>
      <dgm:t>
        <a:bodyPr/>
        <a:lstStyle/>
        <a:p>
          <a:r>
            <a:rPr lang="pl-PL" sz="900"/>
            <a:t>wystąpienie w mieście zjawisk trudnych do przewidzenia lub zinterpretowania w chwili formułowania GPR.</a:t>
          </a:r>
        </a:p>
      </dgm:t>
    </dgm:pt>
    <dgm:pt modelId="{6DBE930E-4EEE-4D56-960E-D8FA792500A6}" type="parTrans" cxnId="{2B6F9A47-CEB7-4400-BE14-2FE416A01F4A}">
      <dgm:prSet/>
      <dgm:spPr/>
      <dgm:t>
        <a:bodyPr/>
        <a:lstStyle/>
        <a:p>
          <a:endParaRPr lang="pl-PL"/>
        </a:p>
      </dgm:t>
    </dgm:pt>
    <dgm:pt modelId="{8A541B0A-6401-498C-9FFD-3D5A49715DCE}" type="sibTrans" cxnId="{2B6F9A47-CEB7-4400-BE14-2FE416A01F4A}">
      <dgm:prSet/>
      <dgm:spPr/>
      <dgm:t>
        <a:bodyPr/>
        <a:lstStyle/>
        <a:p>
          <a:endParaRPr lang="pl-PL"/>
        </a:p>
      </dgm:t>
    </dgm:pt>
    <dgm:pt modelId="{4353D17B-A7AD-4B7C-B9DE-2FC891742BE9}">
      <dgm:prSet phldrT="[Tekst]" custT="1"/>
      <dgm:spPr>
        <a:solidFill>
          <a:srgbClr val="99CCFF"/>
        </a:solidFill>
      </dgm:spPr>
      <dgm:t>
        <a:bodyPr/>
        <a:lstStyle/>
        <a:p>
          <a:r>
            <a:rPr lang="pl-PL" sz="900" b="1"/>
            <a:t>Ryzyko zewnętrzne związane </a:t>
          </a:r>
          <a:br>
            <a:rPr lang="pl-PL" sz="900" b="1"/>
          </a:br>
          <a:r>
            <a:rPr lang="pl-PL" sz="900" b="1"/>
            <a:t>z dynamiką procesów </a:t>
          </a:r>
          <a:br>
            <a:rPr lang="pl-PL" sz="900" b="1"/>
          </a:br>
          <a:r>
            <a:rPr lang="pl-PL" sz="900" b="1"/>
            <a:t>w otoczeniu</a:t>
          </a:r>
        </a:p>
      </dgm:t>
    </dgm:pt>
    <dgm:pt modelId="{859C8148-C081-4542-B914-74CF83E3553F}" type="parTrans" cxnId="{7D01D032-9423-4588-8BA0-82762CE8329B}">
      <dgm:prSet/>
      <dgm:spPr/>
      <dgm:t>
        <a:bodyPr/>
        <a:lstStyle/>
        <a:p>
          <a:endParaRPr lang="pl-PL"/>
        </a:p>
      </dgm:t>
    </dgm:pt>
    <dgm:pt modelId="{9C5400D2-6207-4601-B945-E1522A268201}" type="sibTrans" cxnId="{7D01D032-9423-4588-8BA0-82762CE8329B}">
      <dgm:prSet/>
      <dgm:spPr/>
      <dgm:t>
        <a:bodyPr/>
        <a:lstStyle/>
        <a:p>
          <a:endParaRPr lang="pl-PL"/>
        </a:p>
      </dgm:t>
    </dgm:pt>
    <dgm:pt modelId="{B6C2A106-957C-475B-8B42-1F1B5C3EB176}">
      <dgm:prSet phldrT="[Tekst]" custT="1"/>
      <dgm:spPr/>
      <dgm:t>
        <a:bodyPr/>
        <a:lstStyle/>
        <a:p>
          <a:r>
            <a:rPr lang="pl-PL" sz="900"/>
            <a:t>wystąpienie w otoczeniu zjawisk trudnych do przewidzenia lub zinterpretowania w chwili formułowania GPR.</a:t>
          </a:r>
        </a:p>
      </dgm:t>
    </dgm:pt>
    <dgm:pt modelId="{3745EFAA-9059-4446-B7D5-2388F2627F22}" type="parTrans" cxnId="{E42BAF43-7D89-4994-AF4F-4D90CD4416A3}">
      <dgm:prSet/>
      <dgm:spPr/>
      <dgm:t>
        <a:bodyPr/>
        <a:lstStyle/>
        <a:p>
          <a:endParaRPr lang="pl-PL"/>
        </a:p>
      </dgm:t>
    </dgm:pt>
    <dgm:pt modelId="{300CA47F-D0E9-4768-8DDC-309C95D492D0}" type="sibTrans" cxnId="{E42BAF43-7D89-4994-AF4F-4D90CD4416A3}">
      <dgm:prSet/>
      <dgm:spPr/>
      <dgm:t>
        <a:bodyPr/>
        <a:lstStyle/>
        <a:p>
          <a:endParaRPr lang="pl-PL"/>
        </a:p>
      </dgm:t>
    </dgm:pt>
    <dgm:pt modelId="{D051789B-5E54-4DC6-8307-7B00800CEA73}">
      <dgm:prSet phldrT="[Tekst]" custT="1"/>
      <dgm:spPr/>
      <dgm:t>
        <a:bodyPr/>
        <a:lstStyle/>
        <a:p>
          <a:r>
            <a:rPr lang="pl-PL" sz="900"/>
            <a:t>konflikty między partnerami procesu rewitalizacji,</a:t>
          </a:r>
        </a:p>
      </dgm:t>
    </dgm:pt>
    <dgm:pt modelId="{47D947D2-8BA8-48AB-8950-87E11AD9AA56}" type="parTrans" cxnId="{148DD50E-0CB4-4C41-BEBE-99A16124730D}">
      <dgm:prSet/>
      <dgm:spPr/>
      <dgm:t>
        <a:bodyPr/>
        <a:lstStyle/>
        <a:p>
          <a:endParaRPr lang="pl-PL"/>
        </a:p>
      </dgm:t>
    </dgm:pt>
    <dgm:pt modelId="{8595936D-4814-4DBC-813A-17FC8AEA2F63}" type="sibTrans" cxnId="{148DD50E-0CB4-4C41-BEBE-99A16124730D}">
      <dgm:prSet/>
      <dgm:spPr/>
      <dgm:t>
        <a:bodyPr/>
        <a:lstStyle/>
        <a:p>
          <a:endParaRPr lang="pl-PL"/>
        </a:p>
      </dgm:t>
    </dgm:pt>
    <dgm:pt modelId="{8EB2702C-021E-412C-B678-E39C811B7938}">
      <dgm:prSet phldrT="[Tekst]" custT="1"/>
      <dgm:spPr/>
      <dgm:t>
        <a:bodyPr/>
        <a:lstStyle/>
        <a:p>
          <a:r>
            <a:rPr lang="pl-PL" sz="900"/>
            <a:t>niedostateczne kompetencje podmiotów formułujących </a:t>
          </a:r>
          <a:br>
            <a:rPr lang="pl-PL" sz="900"/>
          </a:br>
          <a:r>
            <a:rPr lang="pl-PL" sz="900"/>
            <a:t>i wdrażających GPR, niedostateczny poziom kreatywności wypracowanych rozwiązań,</a:t>
          </a:r>
        </a:p>
      </dgm:t>
    </dgm:pt>
    <dgm:pt modelId="{9C64FEF8-C491-4A0B-86FF-B531CFA9468A}" type="parTrans" cxnId="{CF4707EA-09EB-4CD0-9D82-7A648D274509}">
      <dgm:prSet/>
      <dgm:spPr/>
      <dgm:t>
        <a:bodyPr/>
        <a:lstStyle/>
        <a:p>
          <a:endParaRPr lang="pl-PL"/>
        </a:p>
      </dgm:t>
    </dgm:pt>
    <dgm:pt modelId="{357E9EF1-3A36-4814-86A5-A60EA5AC3A30}" type="sibTrans" cxnId="{CF4707EA-09EB-4CD0-9D82-7A648D274509}">
      <dgm:prSet/>
      <dgm:spPr/>
      <dgm:t>
        <a:bodyPr/>
        <a:lstStyle/>
        <a:p>
          <a:endParaRPr lang="pl-PL"/>
        </a:p>
      </dgm:t>
    </dgm:pt>
    <dgm:pt modelId="{29F72BEC-790C-480A-961C-29372669806D}">
      <dgm:prSet phldrT="[Tekst]" custT="1"/>
      <dgm:spPr/>
      <dgm:t>
        <a:bodyPr/>
        <a:lstStyle/>
        <a:p>
          <a:r>
            <a:rPr lang="pl-PL" sz="900"/>
            <a:t>brak konsekwencji we wdrażaniu GPR,</a:t>
          </a:r>
        </a:p>
      </dgm:t>
    </dgm:pt>
    <dgm:pt modelId="{033A84C9-887C-47B3-AAC2-B2112652912B}" type="parTrans" cxnId="{F2C03B31-FF38-4E39-B144-9E393F358E2F}">
      <dgm:prSet/>
      <dgm:spPr/>
      <dgm:t>
        <a:bodyPr/>
        <a:lstStyle/>
        <a:p>
          <a:endParaRPr lang="pl-PL"/>
        </a:p>
      </dgm:t>
    </dgm:pt>
    <dgm:pt modelId="{80490ACA-BB76-46FE-B074-98A677FB692E}" type="sibTrans" cxnId="{F2C03B31-FF38-4E39-B144-9E393F358E2F}">
      <dgm:prSet/>
      <dgm:spPr/>
      <dgm:t>
        <a:bodyPr/>
        <a:lstStyle/>
        <a:p>
          <a:endParaRPr lang="pl-PL"/>
        </a:p>
      </dgm:t>
    </dgm:pt>
    <dgm:pt modelId="{50855993-AEB3-4EB2-9B6D-4B3495930379}">
      <dgm:prSet phldrT="[Tekst]" custT="1"/>
      <dgm:spPr/>
      <dgm:t>
        <a:bodyPr/>
        <a:lstStyle/>
        <a:p>
          <a:r>
            <a:rPr lang="pl-PL" sz="900"/>
            <a:t>zaniedbania w realizacji monitoringu.</a:t>
          </a:r>
        </a:p>
      </dgm:t>
    </dgm:pt>
    <dgm:pt modelId="{2D92EB4F-98AB-42E3-A4DF-7DBCC9DC4E60}" type="parTrans" cxnId="{289FE137-A23C-471F-AE54-504F7E670212}">
      <dgm:prSet/>
      <dgm:spPr/>
      <dgm:t>
        <a:bodyPr/>
        <a:lstStyle/>
        <a:p>
          <a:endParaRPr lang="pl-PL"/>
        </a:p>
      </dgm:t>
    </dgm:pt>
    <dgm:pt modelId="{5CC6DC02-CC3D-4D1A-8CDB-AB113BDA7834}" type="sibTrans" cxnId="{289FE137-A23C-471F-AE54-504F7E670212}">
      <dgm:prSet/>
      <dgm:spPr/>
      <dgm:t>
        <a:bodyPr/>
        <a:lstStyle/>
        <a:p>
          <a:endParaRPr lang="pl-PL"/>
        </a:p>
      </dgm:t>
    </dgm:pt>
    <dgm:pt modelId="{6063C8AE-E1E7-4096-89EF-0B149719B2F9}" type="pres">
      <dgm:prSet presAssocID="{172421D9-5A27-4781-B1F5-3882658C37DC}" presName="Name0" presStyleCnt="0">
        <dgm:presLayoutVars>
          <dgm:dir/>
          <dgm:animLvl val="lvl"/>
          <dgm:resizeHandles val="exact"/>
        </dgm:presLayoutVars>
      </dgm:prSet>
      <dgm:spPr/>
      <dgm:t>
        <a:bodyPr/>
        <a:lstStyle/>
        <a:p>
          <a:endParaRPr lang="pl-PL"/>
        </a:p>
      </dgm:t>
    </dgm:pt>
    <dgm:pt modelId="{E786BCE9-B928-4DFB-85E1-7BC56DA146AE}" type="pres">
      <dgm:prSet presAssocID="{2D43A835-85AF-478E-9389-5741BC2737E9}" presName="composite" presStyleCnt="0"/>
      <dgm:spPr/>
      <dgm:t>
        <a:bodyPr/>
        <a:lstStyle/>
        <a:p>
          <a:endParaRPr lang="pl-PL"/>
        </a:p>
      </dgm:t>
    </dgm:pt>
    <dgm:pt modelId="{7772F25D-0488-4ED4-ADA9-396A28D63F08}" type="pres">
      <dgm:prSet presAssocID="{2D43A835-85AF-478E-9389-5741BC2737E9}" presName="parTx" presStyleLbl="alignNode1" presStyleIdx="0" presStyleCnt="3">
        <dgm:presLayoutVars>
          <dgm:chMax val="0"/>
          <dgm:chPref val="0"/>
          <dgm:bulletEnabled val="1"/>
        </dgm:presLayoutVars>
      </dgm:prSet>
      <dgm:spPr/>
      <dgm:t>
        <a:bodyPr/>
        <a:lstStyle/>
        <a:p>
          <a:endParaRPr lang="pl-PL"/>
        </a:p>
      </dgm:t>
    </dgm:pt>
    <dgm:pt modelId="{42BF3083-1DED-4E9A-B2B0-609CCB964BCB}" type="pres">
      <dgm:prSet presAssocID="{2D43A835-85AF-478E-9389-5741BC2737E9}" presName="desTx" presStyleLbl="alignAccFollowNode1" presStyleIdx="0" presStyleCnt="3">
        <dgm:presLayoutVars>
          <dgm:bulletEnabled val="1"/>
        </dgm:presLayoutVars>
      </dgm:prSet>
      <dgm:spPr/>
      <dgm:t>
        <a:bodyPr/>
        <a:lstStyle/>
        <a:p>
          <a:endParaRPr lang="pl-PL"/>
        </a:p>
      </dgm:t>
    </dgm:pt>
    <dgm:pt modelId="{4F7C0D5E-ACB0-4D77-868E-BFE7BB0AAE17}" type="pres">
      <dgm:prSet presAssocID="{9A54F0E6-667A-4869-B018-7709AA4F2B21}" presName="space" presStyleCnt="0"/>
      <dgm:spPr/>
      <dgm:t>
        <a:bodyPr/>
        <a:lstStyle/>
        <a:p>
          <a:endParaRPr lang="pl-PL"/>
        </a:p>
      </dgm:t>
    </dgm:pt>
    <dgm:pt modelId="{27AD0F1F-CFE6-4E0C-AA48-BC3B64DB948B}" type="pres">
      <dgm:prSet presAssocID="{B77D4F10-BDE5-493B-BAAD-E77B64140A4C}" presName="composite" presStyleCnt="0"/>
      <dgm:spPr/>
      <dgm:t>
        <a:bodyPr/>
        <a:lstStyle/>
        <a:p>
          <a:endParaRPr lang="pl-PL"/>
        </a:p>
      </dgm:t>
    </dgm:pt>
    <dgm:pt modelId="{8EFD5C02-A3C4-4528-A995-B538F36A10F6}" type="pres">
      <dgm:prSet presAssocID="{B77D4F10-BDE5-493B-BAAD-E77B64140A4C}" presName="parTx" presStyleLbl="alignNode1" presStyleIdx="1" presStyleCnt="3">
        <dgm:presLayoutVars>
          <dgm:chMax val="0"/>
          <dgm:chPref val="0"/>
          <dgm:bulletEnabled val="1"/>
        </dgm:presLayoutVars>
      </dgm:prSet>
      <dgm:spPr/>
      <dgm:t>
        <a:bodyPr/>
        <a:lstStyle/>
        <a:p>
          <a:endParaRPr lang="pl-PL"/>
        </a:p>
      </dgm:t>
    </dgm:pt>
    <dgm:pt modelId="{928B1A0D-BCE5-4CA7-9D7F-C2944BE6995C}" type="pres">
      <dgm:prSet presAssocID="{B77D4F10-BDE5-493B-BAAD-E77B64140A4C}" presName="desTx" presStyleLbl="alignAccFollowNode1" presStyleIdx="1" presStyleCnt="3">
        <dgm:presLayoutVars>
          <dgm:bulletEnabled val="1"/>
        </dgm:presLayoutVars>
      </dgm:prSet>
      <dgm:spPr/>
      <dgm:t>
        <a:bodyPr/>
        <a:lstStyle/>
        <a:p>
          <a:endParaRPr lang="pl-PL"/>
        </a:p>
      </dgm:t>
    </dgm:pt>
    <dgm:pt modelId="{9E7BB8F4-11FB-45EC-8533-AD2F9E725BAD}" type="pres">
      <dgm:prSet presAssocID="{F14F5125-3A95-42F9-AD0D-AFBB846BC104}" presName="space" presStyleCnt="0"/>
      <dgm:spPr/>
      <dgm:t>
        <a:bodyPr/>
        <a:lstStyle/>
        <a:p>
          <a:endParaRPr lang="pl-PL"/>
        </a:p>
      </dgm:t>
    </dgm:pt>
    <dgm:pt modelId="{CDF99AD5-D430-42B7-A7D2-8AB93A7AB527}" type="pres">
      <dgm:prSet presAssocID="{4353D17B-A7AD-4B7C-B9DE-2FC891742BE9}" presName="composite" presStyleCnt="0"/>
      <dgm:spPr/>
      <dgm:t>
        <a:bodyPr/>
        <a:lstStyle/>
        <a:p>
          <a:endParaRPr lang="pl-PL"/>
        </a:p>
      </dgm:t>
    </dgm:pt>
    <dgm:pt modelId="{35F23546-288E-4D61-A7B1-2654FA650D8F}" type="pres">
      <dgm:prSet presAssocID="{4353D17B-A7AD-4B7C-B9DE-2FC891742BE9}" presName="parTx" presStyleLbl="alignNode1" presStyleIdx="2" presStyleCnt="3">
        <dgm:presLayoutVars>
          <dgm:chMax val="0"/>
          <dgm:chPref val="0"/>
          <dgm:bulletEnabled val="1"/>
        </dgm:presLayoutVars>
      </dgm:prSet>
      <dgm:spPr/>
      <dgm:t>
        <a:bodyPr/>
        <a:lstStyle/>
        <a:p>
          <a:endParaRPr lang="pl-PL"/>
        </a:p>
      </dgm:t>
    </dgm:pt>
    <dgm:pt modelId="{630799FD-2E73-4146-BBB3-BBC0B2308339}" type="pres">
      <dgm:prSet presAssocID="{4353D17B-A7AD-4B7C-B9DE-2FC891742BE9}" presName="desTx" presStyleLbl="alignAccFollowNode1" presStyleIdx="2" presStyleCnt="3">
        <dgm:presLayoutVars>
          <dgm:bulletEnabled val="1"/>
        </dgm:presLayoutVars>
      </dgm:prSet>
      <dgm:spPr/>
      <dgm:t>
        <a:bodyPr/>
        <a:lstStyle/>
        <a:p>
          <a:endParaRPr lang="pl-PL"/>
        </a:p>
      </dgm:t>
    </dgm:pt>
  </dgm:ptLst>
  <dgm:cxnLst>
    <dgm:cxn modelId="{148DD50E-0CB4-4C41-BEBE-99A16124730D}" srcId="{2D43A835-85AF-478E-9389-5741BC2737E9}" destId="{D051789B-5E54-4DC6-8307-7B00800CEA73}" srcOrd="2" destOrd="0" parTransId="{47D947D2-8BA8-48AB-8950-87E11AD9AA56}" sibTransId="{8595936D-4814-4DBC-813A-17FC8AEA2F63}"/>
    <dgm:cxn modelId="{AA1C2895-CDB2-4D82-B677-966FBBA28139}" type="presOf" srcId="{8AD3BA57-60C4-4537-8F90-B15C60CE5695}" destId="{928B1A0D-BCE5-4CA7-9D7F-C2944BE6995C}" srcOrd="0" destOrd="0" presId="urn:microsoft.com/office/officeart/2005/8/layout/hList1"/>
    <dgm:cxn modelId="{3E4AFA10-F70A-45F1-B5F5-E5DEFD8D5A92}" type="presOf" srcId="{D051789B-5E54-4DC6-8307-7B00800CEA73}" destId="{42BF3083-1DED-4E9A-B2B0-609CCB964BCB}" srcOrd="0" destOrd="2" presId="urn:microsoft.com/office/officeart/2005/8/layout/hList1"/>
    <dgm:cxn modelId="{D1A18779-AFA5-443C-9388-2D96AE378A85}" type="presOf" srcId="{172421D9-5A27-4781-B1F5-3882658C37DC}" destId="{6063C8AE-E1E7-4096-89EF-0B149719B2F9}" srcOrd="0" destOrd="0" presId="urn:microsoft.com/office/officeart/2005/8/layout/hList1"/>
    <dgm:cxn modelId="{E42BAF43-7D89-4994-AF4F-4D90CD4416A3}" srcId="{4353D17B-A7AD-4B7C-B9DE-2FC891742BE9}" destId="{B6C2A106-957C-475B-8B42-1F1B5C3EB176}" srcOrd="0" destOrd="0" parTransId="{3745EFAA-9059-4446-B7D5-2388F2627F22}" sibTransId="{300CA47F-D0E9-4768-8DDC-309C95D492D0}"/>
    <dgm:cxn modelId="{7D01D032-9423-4588-8BA0-82762CE8329B}" srcId="{172421D9-5A27-4781-B1F5-3882658C37DC}" destId="{4353D17B-A7AD-4B7C-B9DE-2FC891742BE9}" srcOrd="2" destOrd="0" parTransId="{859C8148-C081-4542-B914-74CF83E3553F}" sibTransId="{9C5400D2-6207-4601-B945-E1522A268201}"/>
    <dgm:cxn modelId="{C70431CA-0EEC-4715-8B94-BDE9D3E67FF6}" type="presOf" srcId="{29F72BEC-790C-480A-961C-29372669806D}" destId="{42BF3083-1DED-4E9A-B2B0-609CCB964BCB}" srcOrd="0" destOrd="3" presId="urn:microsoft.com/office/officeart/2005/8/layout/hList1"/>
    <dgm:cxn modelId="{F2C03B31-FF38-4E39-B144-9E393F358E2F}" srcId="{2D43A835-85AF-478E-9389-5741BC2737E9}" destId="{29F72BEC-790C-480A-961C-29372669806D}" srcOrd="3" destOrd="0" parTransId="{033A84C9-887C-47B3-AAC2-B2112652912B}" sibTransId="{80490ACA-BB76-46FE-B074-98A677FB692E}"/>
    <dgm:cxn modelId="{E582D697-931E-4C7C-B621-F1E876337110}" type="presOf" srcId="{B6C2A106-957C-475B-8B42-1F1B5C3EB176}" destId="{630799FD-2E73-4146-BBB3-BBC0B2308339}" srcOrd="0" destOrd="0" presId="urn:microsoft.com/office/officeart/2005/8/layout/hList1"/>
    <dgm:cxn modelId="{CF4707EA-09EB-4CD0-9D82-7A648D274509}" srcId="{2D43A835-85AF-478E-9389-5741BC2737E9}" destId="{8EB2702C-021E-412C-B678-E39C811B7938}" srcOrd="1" destOrd="0" parTransId="{9C64FEF8-C491-4A0B-86FF-B531CFA9468A}" sibTransId="{357E9EF1-3A36-4814-86A5-A60EA5AC3A30}"/>
    <dgm:cxn modelId="{6A9A3BD1-EE57-4127-9A30-0B36031230D7}" type="presOf" srcId="{2D43A835-85AF-478E-9389-5741BC2737E9}" destId="{7772F25D-0488-4ED4-ADA9-396A28D63F08}" srcOrd="0" destOrd="0" presId="urn:microsoft.com/office/officeart/2005/8/layout/hList1"/>
    <dgm:cxn modelId="{8C7B6531-93C5-44A1-811C-4DEAB107856A}" srcId="{172421D9-5A27-4781-B1F5-3882658C37DC}" destId="{B77D4F10-BDE5-493B-BAAD-E77B64140A4C}" srcOrd="1" destOrd="0" parTransId="{47B43BEC-E171-4D8F-9E8A-A9A3703314F6}" sibTransId="{F14F5125-3A95-42F9-AD0D-AFBB846BC104}"/>
    <dgm:cxn modelId="{21061292-3F5F-4E26-A1E2-9CAC424A7529}" type="presOf" srcId="{8EB2702C-021E-412C-B678-E39C811B7938}" destId="{42BF3083-1DED-4E9A-B2B0-609CCB964BCB}" srcOrd="0" destOrd="1" presId="urn:microsoft.com/office/officeart/2005/8/layout/hList1"/>
    <dgm:cxn modelId="{289FE137-A23C-471F-AE54-504F7E670212}" srcId="{2D43A835-85AF-478E-9389-5741BC2737E9}" destId="{50855993-AEB3-4EB2-9B6D-4B3495930379}" srcOrd="4" destOrd="0" parTransId="{2D92EB4F-98AB-42E3-A4DF-7DBCC9DC4E60}" sibTransId="{5CC6DC02-CC3D-4D1A-8CDB-AB113BDA7834}"/>
    <dgm:cxn modelId="{99D5D915-1D3A-4435-9F45-8E9DD6C42D0A}" srcId="{2D43A835-85AF-478E-9389-5741BC2737E9}" destId="{708C9A95-9D60-4FFD-BE6A-C90621D26452}" srcOrd="0" destOrd="0" parTransId="{D37075BA-0F4C-40F8-8372-30D067BF56A7}" sibTransId="{617F305B-CCC2-496B-96D3-C0BC7E6DED76}"/>
    <dgm:cxn modelId="{EEB690EF-02C2-48EE-AD7C-6D6D8BFC22F1}" type="presOf" srcId="{50855993-AEB3-4EB2-9B6D-4B3495930379}" destId="{42BF3083-1DED-4E9A-B2B0-609CCB964BCB}" srcOrd="0" destOrd="4" presId="urn:microsoft.com/office/officeart/2005/8/layout/hList1"/>
    <dgm:cxn modelId="{2B6F9A47-CEB7-4400-BE14-2FE416A01F4A}" srcId="{B77D4F10-BDE5-493B-BAAD-E77B64140A4C}" destId="{8AD3BA57-60C4-4537-8F90-B15C60CE5695}" srcOrd="0" destOrd="0" parTransId="{6DBE930E-4EEE-4D56-960E-D8FA792500A6}" sibTransId="{8A541B0A-6401-498C-9FFD-3D5A49715DCE}"/>
    <dgm:cxn modelId="{726540B3-D078-495C-AD85-BF73711A5CF9}" srcId="{172421D9-5A27-4781-B1F5-3882658C37DC}" destId="{2D43A835-85AF-478E-9389-5741BC2737E9}" srcOrd="0" destOrd="0" parTransId="{3B34C6EA-4E81-410D-A23C-F765E21E6CE7}" sibTransId="{9A54F0E6-667A-4869-B018-7709AA4F2B21}"/>
    <dgm:cxn modelId="{DC3F5F35-E130-4898-946F-9291CE819E87}" type="presOf" srcId="{708C9A95-9D60-4FFD-BE6A-C90621D26452}" destId="{42BF3083-1DED-4E9A-B2B0-609CCB964BCB}" srcOrd="0" destOrd="0" presId="urn:microsoft.com/office/officeart/2005/8/layout/hList1"/>
    <dgm:cxn modelId="{2EFCDBF5-6378-46F0-90C0-F46F48E35B44}" type="presOf" srcId="{4353D17B-A7AD-4B7C-B9DE-2FC891742BE9}" destId="{35F23546-288E-4D61-A7B1-2654FA650D8F}" srcOrd="0" destOrd="0" presId="urn:microsoft.com/office/officeart/2005/8/layout/hList1"/>
    <dgm:cxn modelId="{46BFC0F5-BAB7-4567-A537-963F635CA41F}" type="presOf" srcId="{B77D4F10-BDE5-493B-BAAD-E77B64140A4C}" destId="{8EFD5C02-A3C4-4528-A995-B538F36A10F6}" srcOrd="0" destOrd="0" presId="urn:microsoft.com/office/officeart/2005/8/layout/hList1"/>
    <dgm:cxn modelId="{65156DDF-7C2C-4F9E-8BCF-A4C5EEFF6BDC}" type="presParOf" srcId="{6063C8AE-E1E7-4096-89EF-0B149719B2F9}" destId="{E786BCE9-B928-4DFB-85E1-7BC56DA146AE}" srcOrd="0" destOrd="0" presId="urn:microsoft.com/office/officeart/2005/8/layout/hList1"/>
    <dgm:cxn modelId="{66305D18-3CD4-4EDB-A075-EBCAA0919E7B}" type="presParOf" srcId="{E786BCE9-B928-4DFB-85E1-7BC56DA146AE}" destId="{7772F25D-0488-4ED4-ADA9-396A28D63F08}" srcOrd="0" destOrd="0" presId="urn:microsoft.com/office/officeart/2005/8/layout/hList1"/>
    <dgm:cxn modelId="{6E66C42B-DD55-43B4-8EAF-0E363E1FD05F}" type="presParOf" srcId="{E786BCE9-B928-4DFB-85E1-7BC56DA146AE}" destId="{42BF3083-1DED-4E9A-B2B0-609CCB964BCB}" srcOrd="1" destOrd="0" presId="urn:microsoft.com/office/officeart/2005/8/layout/hList1"/>
    <dgm:cxn modelId="{92CB2B0E-D5C1-4662-A193-FA5A7A9505FA}" type="presParOf" srcId="{6063C8AE-E1E7-4096-89EF-0B149719B2F9}" destId="{4F7C0D5E-ACB0-4D77-868E-BFE7BB0AAE17}" srcOrd="1" destOrd="0" presId="urn:microsoft.com/office/officeart/2005/8/layout/hList1"/>
    <dgm:cxn modelId="{5897D23E-3323-4273-AF3B-4DBDBD7D23DF}" type="presParOf" srcId="{6063C8AE-E1E7-4096-89EF-0B149719B2F9}" destId="{27AD0F1F-CFE6-4E0C-AA48-BC3B64DB948B}" srcOrd="2" destOrd="0" presId="urn:microsoft.com/office/officeart/2005/8/layout/hList1"/>
    <dgm:cxn modelId="{BFD9664B-069F-44ED-A514-1148C0A75DC7}" type="presParOf" srcId="{27AD0F1F-CFE6-4E0C-AA48-BC3B64DB948B}" destId="{8EFD5C02-A3C4-4528-A995-B538F36A10F6}" srcOrd="0" destOrd="0" presId="urn:microsoft.com/office/officeart/2005/8/layout/hList1"/>
    <dgm:cxn modelId="{C8FEBAE7-46BC-4D7B-9420-AEE1425221C2}" type="presParOf" srcId="{27AD0F1F-CFE6-4E0C-AA48-BC3B64DB948B}" destId="{928B1A0D-BCE5-4CA7-9D7F-C2944BE6995C}" srcOrd="1" destOrd="0" presId="urn:microsoft.com/office/officeart/2005/8/layout/hList1"/>
    <dgm:cxn modelId="{685EA3A3-8D0B-4EA3-9D36-115918A16415}" type="presParOf" srcId="{6063C8AE-E1E7-4096-89EF-0B149719B2F9}" destId="{9E7BB8F4-11FB-45EC-8533-AD2F9E725BAD}" srcOrd="3" destOrd="0" presId="urn:microsoft.com/office/officeart/2005/8/layout/hList1"/>
    <dgm:cxn modelId="{3A5D08F8-C7BA-4503-8EE5-7DADF3520B81}" type="presParOf" srcId="{6063C8AE-E1E7-4096-89EF-0B149719B2F9}" destId="{CDF99AD5-D430-42B7-A7D2-8AB93A7AB527}" srcOrd="4" destOrd="0" presId="urn:microsoft.com/office/officeart/2005/8/layout/hList1"/>
    <dgm:cxn modelId="{26844FBC-C6DB-478D-B3B4-BF4EDD12DE15}" type="presParOf" srcId="{CDF99AD5-D430-42B7-A7D2-8AB93A7AB527}" destId="{35F23546-288E-4D61-A7B1-2654FA650D8F}" srcOrd="0" destOrd="0" presId="urn:microsoft.com/office/officeart/2005/8/layout/hList1"/>
    <dgm:cxn modelId="{DA6700C7-19F8-44FA-83A1-C5CF3F20E56C}" type="presParOf" srcId="{CDF99AD5-D430-42B7-A7D2-8AB93A7AB527}" destId="{630799FD-2E73-4146-BBB3-BBC0B2308339}" srcOrd="1" destOrd="0" presId="urn:microsoft.com/office/officeart/2005/8/layout/hList1"/>
  </dgm:cxnLst>
  <dgm:bg/>
  <dgm:whole/>
  <dgm:extLst>
    <a:ext uri="http://schemas.microsoft.com/office/drawing/2008/diagram">
      <dsp:dataModelExt xmlns:dsp="http://schemas.microsoft.com/office/drawing/2008/diagram" xmlns="" relId="rId158" minVer="http://schemas.openxmlformats.org/drawingml/2006/diagram"/>
    </a:ext>
  </dgm:extLst>
</dgm:dataModel>
</file>

<file path=word/diagrams/data10.xml><?xml version="1.0" encoding="utf-8"?>
<dgm:dataModel xmlns:dgm="http://schemas.openxmlformats.org/drawingml/2006/diagram" xmlns:a="http://schemas.openxmlformats.org/drawingml/2006/main">
  <dgm:ptLst>
    <dgm:pt modelId="{2A3F93C0-EAE0-48BF-BACA-FC1C2F189056}" type="doc">
      <dgm:prSet loTypeId="urn:microsoft.com/office/officeart/2005/8/layout/hList1" loCatId="list" qsTypeId="urn:microsoft.com/office/officeart/2005/8/quickstyle/simple1" qsCatId="simple" csTypeId="urn:microsoft.com/office/officeart/2005/8/colors/accent0_1" csCatId="mainScheme" phldr="1"/>
      <dgm:spPr/>
      <dgm:t>
        <a:bodyPr/>
        <a:lstStyle/>
        <a:p>
          <a:endParaRPr lang="pl-PL"/>
        </a:p>
      </dgm:t>
    </dgm:pt>
    <dgm:pt modelId="{A3DB525F-D7C9-402C-8A19-6B9A7A467FC7}">
      <dgm:prSet phldrT="[Tekst]" custT="1"/>
      <dgm:spPr>
        <a:solidFill>
          <a:srgbClr val="99CCFF"/>
        </a:solidFill>
      </dgm:spPr>
      <dgm:t>
        <a:bodyPr/>
        <a:lstStyle/>
        <a:p>
          <a:r>
            <a:rPr lang="pl-PL" sz="900" b="1"/>
            <a:t>Tematyka przekazywanych informacji</a:t>
          </a:r>
        </a:p>
      </dgm:t>
    </dgm:pt>
    <dgm:pt modelId="{0474AEC3-A88D-40ED-B01E-B175FC43C7BD}" type="parTrans" cxnId="{B6975F1B-FD04-4681-A8BF-A647219FA394}">
      <dgm:prSet/>
      <dgm:spPr/>
      <dgm:t>
        <a:bodyPr/>
        <a:lstStyle/>
        <a:p>
          <a:endParaRPr lang="pl-PL"/>
        </a:p>
      </dgm:t>
    </dgm:pt>
    <dgm:pt modelId="{8CF3B242-BB47-4FD4-A231-E0DBA16B5808}" type="sibTrans" cxnId="{B6975F1B-FD04-4681-A8BF-A647219FA394}">
      <dgm:prSet/>
      <dgm:spPr/>
      <dgm:t>
        <a:bodyPr/>
        <a:lstStyle/>
        <a:p>
          <a:endParaRPr lang="pl-PL"/>
        </a:p>
      </dgm:t>
    </dgm:pt>
    <dgm:pt modelId="{585258C1-30D4-45CB-B440-E5BB6275F428}">
      <dgm:prSet phldrT="[Tekst]" custT="1"/>
      <dgm:spPr/>
      <dgm:t>
        <a:bodyPr/>
        <a:lstStyle/>
        <a:p>
          <a:r>
            <a:rPr lang="pl-PL" sz="900"/>
            <a:t>istota rewitalizacji i znaczenie Gminnego Programu Rewitalizacji,</a:t>
          </a:r>
        </a:p>
      </dgm:t>
    </dgm:pt>
    <dgm:pt modelId="{9D640E49-EC45-4A71-BE09-756DE38CB6CD}" type="parTrans" cxnId="{B25911F5-6E41-46C4-9575-F17F708D7AA3}">
      <dgm:prSet/>
      <dgm:spPr/>
      <dgm:t>
        <a:bodyPr/>
        <a:lstStyle/>
        <a:p>
          <a:endParaRPr lang="pl-PL"/>
        </a:p>
      </dgm:t>
    </dgm:pt>
    <dgm:pt modelId="{4DF54891-9EA3-4FF5-98FF-CFFC8480D3AD}" type="sibTrans" cxnId="{B25911F5-6E41-46C4-9575-F17F708D7AA3}">
      <dgm:prSet/>
      <dgm:spPr/>
      <dgm:t>
        <a:bodyPr/>
        <a:lstStyle/>
        <a:p>
          <a:endParaRPr lang="pl-PL"/>
        </a:p>
      </dgm:t>
    </dgm:pt>
    <dgm:pt modelId="{A5F082EC-7640-4658-9411-9448B4139BAF}">
      <dgm:prSet phldrT="[Tekst]" custT="1"/>
      <dgm:spPr/>
      <dgm:t>
        <a:bodyPr/>
        <a:lstStyle/>
        <a:p>
          <a:r>
            <a:rPr lang="pl-PL" sz="900"/>
            <a:t>pozycja społeczności lokalnych w procesie rewitalizacji,</a:t>
          </a:r>
        </a:p>
      </dgm:t>
    </dgm:pt>
    <dgm:pt modelId="{79D6227A-CCB5-4347-81CE-3D62A149DA69}" type="parTrans" cxnId="{BD60831B-3E3D-4EAF-9BB0-8A4714E25F29}">
      <dgm:prSet/>
      <dgm:spPr/>
      <dgm:t>
        <a:bodyPr/>
        <a:lstStyle/>
        <a:p>
          <a:endParaRPr lang="pl-PL"/>
        </a:p>
      </dgm:t>
    </dgm:pt>
    <dgm:pt modelId="{3A3C14B4-0AF4-4A92-ACB7-2D0374B57304}" type="sibTrans" cxnId="{BD60831B-3E3D-4EAF-9BB0-8A4714E25F29}">
      <dgm:prSet/>
      <dgm:spPr/>
      <dgm:t>
        <a:bodyPr/>
        <a:lstStyle/>
        <a:p>
          <a:endParaRPr lang="pl-PL"/>
        </a:p>
      </dgm:t>
    </dgm:pt>
    <dgm:pt modelId="{7E7DC1DA-D16F-43A1-92B2-8C474E0B6942}">
      <dgm:prSet phldrT="[Tekst]" custT="1"/>
      <dgm:spPr>
        <a:solidFill>
          <a:srgbClr val="99CCFF"/>
        </a:solidFill>
      </dgm:spPr>
      <dgm:t>
        <a:bodyPr/>
        <a:lstStyle/>
        <a:p>
          <a:r>
            <a:rPr lang="pl-PL" sz="900" b="1"/>
            <a:t>Tematyka pozyskiwanych informacji</a:t>
          </a:r>
        </a:p>
      </dgm:t>
    </dgm:pt>
    <dgm:pt modelId="{2FA29ED5-9CF4-493B-819B-A9AC32C3D8CA}" type="parTrans" cxnId="{E737A720-BF6D-4BEB-B344-01B8333D9722}">
      <dgm:prSet/>
      <dgm:spPr/>
      <dgm:t>
        <a:bodyPr/>
        <a:lstStyle/>
        <a:p>
          <a:endParaRPr lang="pl-PL"/>
        </a:p>
      </dgm:t>
    </dgm:pt>
    <dgm:pt modelId="{364BD438-2D71-4882-81D1-EE3DC8A79326}" type="sibTrans" cxnId="{E737A720-BF6D-4BEB-B344-01B8333D9722}">
      <dgm:prSet/>
      <dgm:spPr/>
      <dgm:t>
        <a:bodyPr/>
        <a:lstStyle/>
        <a:p>
          <a:endParaRPr lang="pl-PL"/>
        </a:p>
      </dgm:t>
    </dgm:pt>
    <dgm:pt modelId="{0C49527B-4EE6-41EA-A08E-48032476DF07}">
      <dgm:prSet phldrT="[Tekst]" custT="1"/>
      <dgm:spPr/>
      <dgm:t>
        <a:bodyPr/>
        <a:lstStyle/>
        <a:p>
          <a:r>
            <a:rPr lang="pl-PL" sz="900"/>
            <a:t>rodzaj i skala problemów występujących na danym obszarze,</a:t>
          </a:r>
        </a:p>
      </dgm:t>
    </dgm:pt>
    <dgm:pt modelId="{72F882B9-1B05-4A4B-9369-02DE6CF2F260}" type="parTrans" cxnId="{4D161E99-1BDA-4A1A-9AFE-44D87D606702}">
      <dgm:prSet/>
      <dgm:spPr/>
      <dgm:t>
        <a:bodyPr/>
        <a:lstStyle/>
        <a:p>
          <a:endParaRPr lang="pl-PL"/>
        </a:p>
      </dgm:t>
    </dgm:pt>
    <dgm:pt modelId="{F1F09F57-DCDC-4DB5-AA59-8921A3B23767}" type="sibTrans" cxnId="{4D161E99-1BDA-4A1A-9AFE-44D87D606702}">
      <dgm:prSet/>
      <dgm:spPr/>
      <dgm:t>
        <a:bodyPr/>
        <a:lstStyle/>
        <a:p>
          <a:endParaRPr lang="pl-PL"/>
        </a:p>
      </dgm:t>
    </dgm:pt>
    <dgm:pt modelId="{AF70AA5A-7FB2-4569-A363-88130163D464}">
      <dgm:prSet phldrT="[Tekst]" custT="1"/>
      <dgm:spPr/>
      <dgm:t>
        <a:bodyPr/>
        <a:lstStyle/>
        <a:p>
          <a:r>
            <a:rPr lang="pl-PL" sz="900"/>
            <a:t>relacje między grupami społecznymi wpływające na harmonię społeczną,</a:t>
          </a:r>
        </a:p>
      </dgm:t>
    </dgm:pt>
    <dgm:pt modelId="{0FD5BCBD-18B1-43AB-9B02-E1FA1650E8A2}" type="parTrans" cxnId="{E24EFBBB-E56F-43C2-B26C-3BAA5E6D3168}">
      <dgm:prSet/>
      <dgm:spPr/>
      <dgm:t>
        <a:bodyPr/>
        <a:lstStyle/>
        <a:p>
          <a:endParaRPr lang="pl-PL"/>
        </a:p>
      </dgm:t>
    </dgm:pt>
    <dgm:pt modelId="{C99DA717-4D02-4C8A-905E-CD6B8FE32AFA}" type="sibTrans" cxnId="{E24EFBBB-E56F-43C2-B26C-3BAA5E6D3168}">
      <dgm:prSet/>
      <dgm:spPr/>
      <dgm:t>
        <a:bodyPr/>
        <a:lstStyle/>
        <a:p>
          <a:endParaRPr lang="pl-PL"/>
        </a:p>
      </dgm:t>
    </dgm:pt>
    <dgm:pt modelId="{D7729B19-8A40-41F3-967A-B33C582E54A9}">
      <dgm:prSet phldrT="[Tekst]" custT="1"/>
      <dgm:spPr>
        <a:solidFill>
          <a:srgbClr val="99CCFF"/>
        </a:solidFill>
      </dgm:spPr>
      <dgm:t>
        <a:bodyPr/>
        <a:lstStyle/>
        <a:p>
          <a:r>
            <a:rPr lang="pl-PL" sz="900" b="1"/>
            <a:t>Budowanie konsensusu</a:t>
          </a:r>
        </a:p>
      </dgm:t>
    </dgm:pt>
    <dgm:pt modelId="{E77D5ADE-6E8B-48DF-8B5E-1BC227E72643}" type="parTrans" cxnId="{6692E1CB-BD0F-4FC3-950C-B1EDA02D700D}">
      <dgm:prSet/>
      <dgm:spPr/>
      <dgm:t>
        <a:bodyPr/>
        <a:lstStyle/>
        <a:p>
          <a:endParaRPr lang="pl-PL"/>
        </a:p>
      </dgm:t>
    </dgm:pt>
    <dgm:pt modelId="{EA2EB871-C611-4A47-A6AD-8C56D5B68915}" type="sibTrans" cxnId="{6692E1CB-BD0F-4FC3-950C-B1EDA02D700D}">
      <dgm:prSet/>
      <dgm:spPr/>
      <dgm:t>
        <a:bodyPr/>
        <a:lstStyle/>
        <a:p>
          <a:endParaRPr lang="pl-PL"/>
        </a:p>
      </dgm:t>
    </dgm:pt>
    <dgm:pt modelId="{6575A869-FD4F-441D-93E2-3E6748558C48}">
      <dgm:prSet phldrT="[Tekst]" custT="1"/>
      <dgm:spPr/>
      <dgm:t>
        <a:bodyPr/>
        <a:lstStyle/>
        <a:p>
          <a:r>
            <a:rPr lang="pl-PL" sz="900"/>
            <a:t>uzgodnienie głównych problemów decydujących </a:t>
          </a:r>
          <a:br>
            <a:rPr lang="pl-PL" sz="900"/>
          </a:br>
          <a:r>
            <a:rPr lang="pl-PL" sz="900"/>
            <a:t>o sytuacji obszaru rewitalizacji,</a:t>
          </a:r>
        </a:p>
      </dgm:t>
    </dgm:pt>
    <dgm:pt modelId="{0298AD47-0B93-41F9-8A3F-C7ECFB0CAD05}" type="parTrans" cxnId="{FD58845C-BBF5-4695-B31B-0D21057F009C}">
      <dgm:prSet/>
      <dgm:spPr/>
      <dgm:t>
        <a:bodyPr/>
        <a:lstStyle/>
        <a:p>
          <a:endParaRPr lang="pl-PL"/>
        </a:p>
      </dgm:t>
    </dgm:pt>
    <dgm:pt modelId="{67157B26-6220-4D44-8F41-B32AEC19050D}" type="sibTrans" cxnId="{FD58845C-BBF5-4695-B31B-0D21057F009C}">
      <dgm:prSet/>
      <dgm:spPr/>
      <dgm:t>
        <a:bodyPr/>
        <a:lstStyle/>
        <a:p>
          <a:endParaRPr lang="pl-PL"/>
        </a:p>
      </dgm:t>
    </dgm:pt>
    <dgm:pt modelId="{849A3C92-39E5-4F50-A950-0F363ACD3B19}">
      <dgm:prSet phldrT="[Tekst]" custT="1"/>
      <dgm:spPr/>
      <dgm:t>
        <a:bodyPr/>
        <a:lstStyle/>
        <a:p>
          <a:r>
            <a:rPr lang="pl-PL" sz="900"/>
            <a:t>szanse i ograniczenia procesu rewitalizacji  konkretnego obszaru,</a:t>
          </a:r>
        </a:p>
      </dgm:t>
    </dgm:pt>
    <dgm:pt modelId="{C87419BC-77CC-4D04-8BA2-33EDCD8BC143}" type="parTrans" cxnId="{8CD37CE9-766C-43DC-AAAB-280E3450BE1C}">
      <dgm:prSet/>
      <dgm:spPr/>
      <dgm:t>
        <a:bodyPr/>
        <a:lstStyle/>
        <a:p>
          <a:endParaRPr lang="pl-PL"/>
        </a:p>
      </dgm:t>
    </dgm:pt>
    <dgm:pt modelId="{15A1A35B-8738-4A2E-978A-8660538B942C}" type="sibTrans" cxnId="{8CD37CE9-766C-43DC-AAAB-280E3450BE1C}">
      <dgm:prSet/>
      <dgm:spPr/>
      <dgm:t>
        <a:bodyPr/>
        <a:lstStyle/>
        <a:p>
          <a:endParaRPr lang="pl-PL"/>
        </a:p>
      </dgm:t>
    </dgm:pt>
    <dgm:pt modelId="{36CA7A02-BBC7-4B88-AAC6-98754AD356A0}">
      <dgm:prSet phldrT="[Tekst]"/>
      <dgm:spPr/>
      <dgm:t>
        <a:bodyPr/>
        <a:lstStyle/>
        <a:p>
          <a:r>
            <a:rPr lang="pl-PL" sz="900"/>
            <a:t>sytuacja danego obszaru </a:t>
          </a:r>
          <a:br>
            <a:rPr lang="pl-PL" sz="900"/>
          </a:br>
          <a:r>
            <a:rPr lang="pl-PL" sz="900"/>
            <a:t>w świetle konkretnych danych </a:t>
          </a:r>
          <a:br>
            <a:rPr lang="pl-PL" sz="900"/>
          </a:br>
          <a:r>
            <a:rPr lang="pl-PL" sz="900"/>
            <a:t>w wymiarach istotnych dla procesu rewitalizacji</a:t>
          </a:r>
        </a:p>
      </dgm:t>
    </dgm:pt>
    <dgm:pt modelId="{9E558930-5CDE-4799-9725-E2EC14316A87}" type="parTrans" cxnId="{77919163-2C2B-45D0-8518-9D37631EC412}">
      <dgm:prSet/>
      <dgm:spPr/>
      <dgm:t>
        <a:bodyPr/>
        <a:lstStyle/>
        <a:p>
          <a:endParaRPr lang="pl-PL"/>
        </a:p>
      </dgm:t>
    </dgm:pt>
    <dgm:pt modelId="{417D1C97-5E69-463F-AD08-02EFAB4A06D5}" type="sibTrans" cxnId="{77919163-2C2B-45D0-8518-9D37631EC412}">
      <dgm:prSet/>
      <dgm:spPr/>
      <dgm:t>
        <a:bodyPr/>
        <a:lstStyle/>
        <a:p>
          <a:endParaRPr lang="pl-PL"/>
        </a:p>
      </dgm:t>
    </dgm:pt>
    <dgm:pt modelId="{3DB45022-F3CF-45BC-83A5-45C59B57D762}">
      <dgm:prSet phldrT="[Tekst]" custT="1"/>
      <dgm:spPr/>
      <dgm:t>
        <a:bodyPr/>
        <a:lstStyle/>
        <a:p>
          <a:r>
            <a:rPr lang="pl-PL" sz="900"/>
            <a:t>założenia systemu partnerskiego wdrażania Programu.</a:t>
          </a:r>
        </a:p>
      </dgm:t>
    </dgm:pt>
    <dgm:pt modelId="{BCE89320-8462-40B0-BA53-8534F3D99FBF}" type="parTrans" cxnId="{D54B2191-9B36-4C19-B6AC-5879E12E57B4}">
      <dgm:prSet/>
      <dgm:spPr/>
      <dgm:t>
        <a:bodyPr/>
        <a:lstStyle/>
        <a:p>
          <a:endParaRPr lang="pl-PL"/>
        </a:p>
      </dgm:t>
    </dgm:pt>
    <dgm:pt modelId="{A0B07606-0657-4F20-A000-632292739AC4}" type="sibTrans" cxnId="{D54B2191-9B36-4C19-B6AC-5879E12E57B4}">
      <dgm:prSet/>
      <dgm:spPr/>
      <dgm:t>
        <a:bodyPr/>
        <a:lstStyle/>
        <a:p>
          <a:endParaRPr lang="pl-PL"/>
        </a:p>
      </dgm:t>
    </dgm:pt>
    <dgm:pt modelId="{13B96E86-102C-4CA0-9B68-54075A1E4FC1}">
      <dgm:prSet custT="1"/>
      <dgm:spPr/>
      <dgm:t>
        <a:bodyPr/>
        <a:lstStyle/>
        <a:p>
          <a:r>
            <a:rPr lang="pl-PL" sz="900"/>
            <a:t>uzgodnienie głównych ścieżek wspólnego działania,</a:t>
          </a:r>
        </a:p>
      </dgm:t>
    </dgm:pt>
    <dgm:pt modelId="{239A2A6C-EBCA-4822-8FAC-48938087BF46}" type="parTrans" cxnId="{0C33A625-1E64-403F-945D-5EE0498F1A11}">
      <dgm:prSet/>
      <dgm:spPr/>
      <dgm:t>
        <a:bodyPr/>
        <a:lstStyle/>
        <a:p>
          <a:endParaRPr lang="pl-PL"/>
        </a:p>
      </dgm:t>
    </dgm:pt>
    <dgm:pt modelId="{310BEF22-15B0-4287-9245-0E63D062571F}" type="sibTrans" cxnId="{0C33A625-1E64-403F-945D-5EE0498F1A11}">
      <dgm:prSet/>
      <dgm:spPr/>
      <dgm:t>
        <a:bodyPr/>
        <a:lstStyle/>
        <a:p>
          <a:endParaRPr lang="pl-PL"/>
        </a:p>
      </dgm:t>
    </dgm:pt>
    <dgm:pt modelId="{1A5A5DB4-1EE4-4A0B-895C-608EE938F04E}">
      <dgm:prSet phldrT="[Tekst]" custT="1"/>
      <dgm:spPr/>
      <dgm:t>
        <a:bodyPr/>
        <a:lstStyle/>
        <a:p>
          <a:r>
            <a:rPr lang="pl-PL" sz="900"/>
            <a:t>aktywności podejmowane przez mieszkańców danego obszaru,</a:t>
          </a:r>
        </a:p>
      </dgm:t>
    </dgm:pt>
    <dgm:pt modelId="{D8E434E9-0261-4A41-A544-7623B9F4D6BC}" type="parTrans" cxnId="{4A4DD344-90C7-4DBE-BDCD-7AA7DDA26F38}">
      <dgm:prSet/>
      <dgm:spPr/>
      <dgm:t>
        <a:bodyPr/>
        <a:lstStyle/>
        <a:p>
          <a:endParaRPr lang="pl-PL"/>
        </a:p>
      </dgm:t>
    </dgm:pt>
    <dgm:pt modelId="{4BDEF42E-947E-4B59-A543-A5F35062B34A}" type="sibTrans" cxnId="{4A4DD344-90C7-4DBE-BDCD-7AA7DDA26F38}">
      <dgm:prSet/>
      <dgm:spPr/>
      <dgm:t>
        <a:bodyPr/>
        <a:lstStyle/>
        <a:p>
          <a:endParaRPr lang="pl-PL"/>
        </a:p>
      </dgm:t>
    </dgm:pt>
    <dgm:pt modelId="{B2370CFB-8BA0-4524-B674-54AED8AFA4C7}">
      <dgm:prSet phldrT="[Tekst]" custT="1"/>
      <dgm:spPr/>
      <dgm:t>
        <a:bodyPr/>
        <a:lstStyle/>
        <a:p>
          <a:r>
            <a:rPr lang="pl-PL" sz="900"/>
            <a:t>grupy o ograniczonych możliwościach samodzielnego rozwoju oraz bariery ich rozwoju,</a:t>
          </a:r>
        </a:p>
      </dgm:t>
    </dgm:pt>
    <dgm:pt modelId="{97D2678D-1530-4090-8703-250257274BB4}" type="parTrans" cxnId="{6832BA08-3A26-4551-B452-879DB9AC7791}">
      <dgm:prSet/>
      <dgm:spPr/>
      <dgm:t>
        <a:bodyPr/>
        <a:lstStyle/>
        <a:p>
          <a:endParaRPr lang="pl-PL"/>
        </a:p>
      </dgm:t>
    </dgm:pt>
    <dgm:pt modelId="{103B4A07-C937-42A4-B8B1-6F19717B5978}" type="sibTrans" cxnId="{6832BA08-3A26-4551-B452-879DB9AC7791}">
      <dgm:prSet/>
      <dgm:spPr/>
      <dgm:t>
        <a:bodyPr/>
        <a:lstStyle/>
        <a:p>
          <a:endParaRPr lang="pl-PL"/>
        </a:p>
      </dgm:t>
    </dgm:pt>
    <dgm:pt modelId="{07AE46C5-555C-4F84-97C3-1ED42AB5CA8B}">
      <dgm:prSet phldrT="[Tekst]" custT="1"/>
      <dgm:spPr/>
      <dgm:t>
        <a:bodyPr/>
        <a:lstStyle/>
        <a:p>
          <a:r>
            <a:rPr lang="pl-PL" sz="900"/>
            <a:t>wartości, które mogą motywować mieszkańców danego obszaru do zaangażowania w proces rewitalizacji.</a:t>
          </a:r>
        </a:p>
      </dgm:t>
    </dgm:pt>
    <dgm:pt modelId="{CAC4674E-624C-4293-9241-222378B7CEE1}" type="parTrans" cxnId="{77FEC094-1260-464B-AC3C-64416425A354}">
      <dgm:prSet/>
      <dgm:spPr/>
      <dgm:t>
        <a:bodyPr/>
        <a:lstStyle/>
        <a:p>
          <a:endParaRPr lang="pl-PL"/>
        </a:p>
      </dgm:t>
    </dgm:pt>
    <dgm:pt modelId="{3628BD33-D215-42A7-885A-FA9118FFFDF6}" type="sibTrans" cxnId="{77FEC094-1260-464B-AC3C-64416425A354}">
      <dgm:prSet/>
      <dgm:spPr/>
      <dgm:t>
        <a:bodyPr/>
        <a:lstStyle/>
        <a:p>
          <a:endParaRPr lang="pl-PL"/>
        </a:p>
      </dgm:t>
    </dgm:pt>
    <dgm:pt modelId="{0648BAC8-4EB3-47F6-BD91-BF6A064D80B8}">
      <dgm:prSet custT="1"/>
      <dgm:spPr/>
      <dgm:t>
        <a:bodyPr/>
        <a:lstStyle/>
        <a:p>
          <a:r>
            <a:rPr lang="pl-PL" sz="900"/>
            <a:t>tworzenie powiązań między członkami społeczności lokalnej i partnerstw na rzecz wdrażania przedsięwzięć rewitalizacyjnych.</a:t>
          </a:r>
        </a:p>
      </dgm:t>
    </dgm:pt>
    <dgm:pt modelId="{33F93C59-0EEE-417B-ABC4-988578A0DA59}" type="parTrans" cxnId="{FB95AC66-4B04-42F8-A086-6D0CC5E596A0}">
      <dgm:prSet/>
      <dgm:spPr/>
      <dgm:t>
        <a:bodyPr/>
        <a:lstStyle/>
        <a:p>
          <a:endParaRPr lang="pl-PL"/>
        </a:p>
      </dgm:t>
    </dgm:pt>
    <dgm:pt modelId="{078A5E18-40D5-440C-95CB-56089769003D}" type="sibTrans" cxnId="{FB95AC66-4B04-42F8-A086-6D0CC5E596A0}">
      <dgm:prSet/>
      <dgm:spPr/>
      <dgm:t>
        <a:bodyPr/>
        <a:lstStyle/>
        <a:p>
          <a:endParaRPr lang="pl-PL"/>
        </a:p>
      </dgm:t>
    </dgm:pt>
    <dgm:pt modelId="{BA85CA37-3517-41ED-84CB-999B48355083}">
      <dgm:prSet custT="1"/>
      <dgm:spPr/>
      <dgm:t>
        <a:bodyPr/>
        <a:lstStyle/>
        <a:p>
          <a:r>
            <a:rPr lang="pl-PL" sz="900"/>
            <a:t>uzgodnienie narzędzi wdrażania Programu, instrumentów komunikacji oraz partnerskich projektów rewitalizacyjnych,</a:t>
          </a:r>
        </a:p>
      </dgm:t>
    </dgm:pt>
    <dgm:pt modelId="{854D4292-36F2-4DF6-97CD-4C950CEAF4F4}" type="parTrans" cxnId="{24249681-046B-48D7-B542-72528F132D38}">
      <dgm:prSet/>
      <dgm:spPr/>
      <dgm:t>
        <a:bodyPr/>
        <a:lstStyle/>
        <a:p>
          <a:endParaRPr lang="pl-PL"/>
        </a:p>
      </dgm:t>
    </dgm:pt>
    <dgm:pt modelId="{E5139DF0-2E1E-4C9B-9234-0A8F341DCB9F}" type="sibTrans" cxnId="{24249681-046B-48D7-B542-72528F132D38}">
      <dgm:prSet/>
      <dgm:spPr/>
      <dgm:t>
        <a:bodyPr/>
        <a:lstStyle/>
        <a:p>
          <a:endParaRPr lang="pl-PL"/>
        </a:p>
      </dgm:t>
    </dgm:pt>
    <dgm:pt modelId="{AC04012F-35B2-4005-BFA4-A3B86B6FB69A}" type="pres">
      <dgm:prSet presAssocID="{2A3F93C0-EAE0-48BF-BACA-FC1C2F189056}" presName="Name0" presStyleCnt="0">
        <dgm:presLayoutVars>
          <dgm:dir/>
          <dgm:animLvl val="lvl"/>
          <dgm:resizeHandles val="exact"/>
        </dgm:presLayoutVars>
      </dgm:prSet>
      <dgm:spPr/>
      <dgm:t>
        <a:bodyPr/>
        <a:lstStyle/>
        <a:p>
          <a:endParaRPr lang="pl-PL"/>
        </a:p>
      </dgm:t>
    </dgm:pt>
    <dgm:pt modelId="{E57CE3F0-5083-4E9C-964F-F42C679BDCE5}" type="pres">
      <dgm:prSet presAssocID="{A3DB525F-D7C9-402C-8A19-6B9A7A467FC7}" presName="composite" presStyleCnt="0"/>
      <dgm:spPr/>
    </dgm:pt>
    <dgm:pt modelId="{573CBC17-8A80-41D5-B9F0-0F62C9502B35}" type="pres">
      <dgm:prSet presAssocID="{A3DB525F-D7C9-402C-8A19-6B9A7A467FC7}" presName="parTx" presStyleLbl="alignNode1" presStyleIdx="0" presStyleCnt="3">
        <dgm:presLayoutVars>
          <dgm:chMax val="0"/>
          <dgm:chPref val="0"/>
          <dgm:bulletEnabled val="1"/>
        </dgm:presLayoutVars>
      </dgm:prSet>
      <dgm:spPr/>
      <dgm:t>
        <a:bodyPr/>
        <a:lstStyle/>
        <a:p>
          <a:endParaRPr lang="pl-PL"/>
        </a:p>
      </dgm:t>
    </dgm:pt>
    <dgm:pt modelId="{275BEBF0-55D0-4639-85C5-67E2B87BD4B1}" type="pres">
      <dgm:prSet presAssocID="{A3DB525F-D7C9-402C-8A19-6B9A7A467FC7}" presName="desTx" presStyleLbl="alignAccFollowNode1" presStyleIdx="0" presStyleCnt="3">
        <dgm:presLayoutVars>
          <dgm:bulletEnabled val="1"/>
        </dgm:presLayoutVars>
      </dgm:prSet>
      <dgm:spPr/>
      <dgm:t>
        <a:bodyPr/>
        <a:lstStyle/>
        <a:p>
          <a:endParaRPr lang="pl-PL"/>
        </a:p>
      </dgm:t>
    </dgm:pt>
    <dgm:pt modelId="{76CAF830-B2C2-4106-9142-38D8FD54DFEC}" type="pres">
      <dgm:prSet presAssocID="{8CF3B242-BB47-4FD4-A231-E0DBA16B5808}" presName="space" presStyleCnt="0"/>
      <dgm:spPr/>
    </dgm:pt>
    <dgm:pt modelId="{A1485919-99D5-4196-AD17-0B73D9424D3E}" type="pres">
      <dgm:prSet presAssocID="{7E7DC1DA-D16F-43A1-92B2-8C474E0B6942}" presName="composite" presStyleCnt="0"/>
      <dgm:spPr/>
    </dgm:pt>
    <dgm:pt modelId="{E3970E48-7219-4B47-9979-4F9C4CE4BF9E}" type="pres">
      <dgm:prSet presAssocID="{7E7DC1DA-D16F-43A1-92B2-8C474E0B6942}" presName="parTx" presStyleLbl="alignNode1" presStyleIdx="1" presStyleCnt="3">
        <dgm:presLayoutVars>
          <dgm:chMax val="0"/>
          <dgm:chPref val="0"/>
          <dgm:bulletEnabled val="1"/>
        </dgm:presLayoutVars>
      </dgm:prSet>
      <dgm:spPr/>
      <dgm:t>
        <a:bodyPr/>
        <a:lstStyle/>
        <a:p>
          <a:endParaRPr lang="pl-PL"/>
        </a:p>
      </dgm:t>
    </dgm:pt>
    <dgm:pt modelId="{6642AD66-D1EE-4843-B4B1-71C46C3F87DD}" type="pres">
      <dgm:prSet presAssocID="{7E7DC1DA-D16F-43A1-92B2-8C474E0B6942}" presName="desTx" presStyleLbl="alignAccFollowNode1" presStyleIdx="1" presStyleCnt="3">
        <dgm:presLayoutVars>
          <dgm:bulletEnabled val="1"/>
        </dgm:presLayoutVars>
      </dgm:prSet>
      <dgm:spPr/>
      <dgm:t>
        <a:bodyPr/>
        <a:lstStyle/>
        <a:p>
          <a:endParaRPr lang="pl-PL"/>
        </a:p>
      </dgm:t>
    </dgm:pt>
    <dgm:pt modelId="{33AB51EB-5C0F-4EFD-B696-A3F60C2EDCDE}" type="pres">
      <dgm:prSet presAssocID="{364BD438-2D71-4882-81D1-EE3DC8A79326}" presName="space" presStyleCnt="0"/>
      <dgm:spPr/>
    </dgm:pt>
    <dgm:pt modelId="{18160FC4-BD4C-45E7-8F67-017EACE66B7B}" type="pres">
      <dgm:prSet presAssocID="{D7729B19-8A40-41F3-967A-B33C582E54A9}" presName="composite" presStyleCnt="0"/>
      <dgm:spPr/>
    </dgm:pt>
    <dgm:pt modelId="{6758E2CC-D080-4E69-BA55-8770A1BE8B4B}" type="pres">
      <dgm:prSet presAssocID="{D7729B19-8A40-41F3-967A-B33C582E54A9}" presName="parTx" presStyleLbl="alignNode1" presStyleIdx="2" presStyleCnt="3">
        <dgm:presLayoutVars>
          <dgm:chMax val="0"/>
          <dgm:chPref val="0"/>
          <dgm:bulletEnabled val="1"/>
        </dgm:presLayoutVars>
      </dgm:prSet>
      <dgm:spPr/>
      <dgm:t>
        <a:bodyPr/>
        <a:lstStyle/>
        <a:p>
          <a:endParaRPr lang="pl-PL"/>
        </a:p>
      </dgm:t>
    </dgm:pt>
    <dgm:pt modelId="{A00A5ADE-AA71-4090-BF5B-A0FABB2B46D7}" type="pres">
      <dgm:prSet presAssocID="{D7729B19-8A40-41F3-967A-B33C582E54A9}" presName="desTx" presStyleLbl="alignAccFollowNode1" presStyleIdx="2" presStyleCnt="3">
        <dgm:presLayoutVars>
          <dgm:bulletEnabled val="1"/>
        </dgm:presLayoutVars>
      </dgm:prSet>
      <dgm:spPr/>
      <dgm:t>
        <a:bodyPr/>
        <a:lstStyle/>
        <a:p>
          <a:endParaRPr lang="pl-PL"/>
        </a:p>
      </dgm:t>
    </dgm:pt>
  </dgm:ptLst>
  <dgm:cxnLst>
    <dgm:cxn modelId="{92334CE4-36F9-41D5-A18B-61D17544A1A2}" type="presOf" srcId="{0C49527B-4EE6-41EA-A08E-48032476DF07}" destId="{6642AD66-D1EE-4843-B4B1-71C46C3F87DD}" srcOrd="0" destOrd="0" presId="urn:microsoft.com/office/officeart/2005/8/layout/hList1"/>
    <dgm:cxn modelId="{FD58845C-BBF5-4695-B31B-0D21057F009C}" srcId="{D7729B19-8A40-41F3-967A-B33C582E54A9}" destId="{6575A869-FD4F-441D-93E2-3E6748558C48}" srcOrd="0" destOrd="0" parTransId="{0298AD47-0B93-41F9-8A3F-C7ECFB0CAD05}" sibTransId="{67157B26-6220-4D44-8F41-B32AEC19050D}"/>
    <dgm:cxn modelId="{6692E1CB-BD0F-4FC3-950C-B1EDA02D700D}" srcId="{2A3F93C0-EAE0-48BF-BACA-FC1C2F189056}" destId="{D7729B19-8A40-41F3-967A-B33C582E54A9}" srcOrd="2" destOrd="0" parTransId="{E77D5ADE-6E8B-48DF-8B5E-1BC227E72643}" sibTransId="{EA2EB871-C611-4A47-A6AD-8C56D5B68915}"/>
    <dgm:cxn modelId="{E737A720-BF6D-4BEB-B344-01B8333D9722}" srcId="{2A3F93C0-EAE0-48BF-BACA-FC1C2F189056}" destId="{7E7DC1DA-D16F-43A1-92B2-8C474E0B6942}" srcOrd="1" destOrd="0" parTransId="{2FA29ED5-9CF4-493B-819B-A9AC32C3D8CA}" sibTransId="{364BD438-2D71-4882-81D1-EE3DC8A79326}"/>
    <dgm:cxn modelId="{FB95AC66-4B04-42F8-A086-6D0CC5E596A0}" srcId="{D7729B19-8A40-41F3-967A-B33C582E54A9}" destId="{0648BAC8-4EB3-47F6-BD91-BF6A064D80B8}" srcOrd="3" destOrd="0" parTransId="{33F93C59-0EEE-417B-ABC4-988578A0DA59}" sibTransId="{078A5E18-40D5-440C-95CB-56089769003D}"/>
    <dgm:cxn modelId="{E24EFBBB-E56F-43C2-B26C-3BAA5E6D3168}" srcId="{7E7DC1DA-D16F-43A1-92B2-8C474E0B6942}" destId="{AF70AA5A-7FB2-4569-A363-88130163D464}" srcOrd="2" destOrd="0" parTransId="{0FD5BCBD-18B1-43AB-9B02-E1FA1650E8A2}" sibTransId="{C99DA717-4D02-4C8A-905E-CD6B8FE32AFA}"/>
    <dgm:cxn modelId="{77FEC094-1260-464B-AC3C-64416425A354}" srcId="{7E7DC1DA-D16F-43A1-92B2-8C474E0B6942}" destId="{07AE46C5-555C-4F84-97C3-1ED42AB5CA8B}" srcOrd="4" destOrd="0" parTransId="{CAC4674E-624C-4293-9241-222378B7CEE1}" sibTransId="{3628BD33-D215-42A7-885A-FA9118FFFDF6}"/>
    <dgm:cxn modelId="{C965AFE9-2113-443A-8468-A2CB4380304C}" type="presOf" srcId="{36CA7A02-BBC7-4B88-AAC6-98754AD356A0}" destId="{275BEBF0-55D0-4639-85C5-67E2B87BD4B1}" srcOrd="0" destOrd="2" presId="urn:microsoft.com/office/officeart/2005/8/layout/hList1"/>
    <dgm:cxn modelId="{E8B02998-E01D-48F6-8DD0-D872A720D9D5}" type="presOf" srcId="{13B96E86-102C-4CA0-9B68-54075A1E4FC1}" destId="{A00A5ADE-AA71-4090-BF5B-A0FABB2B46D7}" srcOrd="0" destOrd="1" presId="urn:microsoft.com/office/officeart/2005/8/layout/hList1"/>
    <dgm:cxn modelId="{34FA31AF-E559-40F4-AABD-5C91DE16E426}" type="presOf" srcId="{B2370CFB-8BA0-4524-B674-54AED8AFA4C7}" destId="{6642AD66-D1EE-4843-B4B1-71C46C3F87DD}" srcOrd="0" destOrd="1" presId="urn:microsoft.com/office/officeart/2005/8/layout/hList1"/>
    <dgm:cxn modelId="{B6975F1B-FD04-4681-A8BF-A647219FA394}" srcId="{2A3F93C0-EAE0-48BF-BACA-FC1C2F189056}" destId="{A3DB525F-D7C9-402C-8A19-6B9A7A467FC7}" srcOrd="0" destOrd="0" parTransId="{0474AEC3-A88D-40ED-B01E-B175FC43C7BD}" sibTransId="{8CF3B242-BB47-4FD4-A231-E0DBA16B5808}"/>
    <dgm:cxn modelId="{93ACCF70-1F3C-4B7A-8E40-5434730D599E}" type="presOf" srcId="{D7729B19-8A40-41F3-967A-B33C582E54A9}" destId="{6758E2CC-D080-4E69-BA55-8770A1BE8B4B}" srcOrd="0" destOrd="0" presId="urn:microsoft.com/office/officeart/2005/8/layout/hList1"/>
    <dgm:cxn modelId="{43D9B78F-EFF3-4862-9156-ED94BBB2FF6E}" type="presOf" srcId="{07AE46C5-555C-4F84-97C3-1ED42AB5CA8B}" destId="{6642AD66-D1EE-4843-B4B1-71C46C3F87DD}" srcOrd="0" destOrd="4" presId="urn:microsoft.com/office/officeart/2005/8/layout/hList1"/>
    <dgm:cxn modelId="{24249681-046B-48D7-B542-72528F132D38}" srcId="{D7729B19-8A40-41F3-967A-B33C582E54A9}" destId="{BA85CA37-3517-41ED-84CB-999B48355083}" srcOrd="2" destOrd="0" parTransId="{854D4292-36F2-4DF6-97CD-4C950CEAF4F4}" sibTransId="{E5139DF0-2E1E-4C9B-9234-0A8F341DCB9F}"/>
    <dgm:cxn modelId="{D54B2191-9B36-4C19-B6AC-5879E12E57B4}" srcId="{A3DB525F-D7C9-402C-8A19-6B9A7A467FC7}" destId="{3DB45022-F3CF-45BC-83A5-45C59B57D762}" srcOrd="4" destOrd="0" parTransId="{BCE89320-8462-40B0-BA53-8534F3D99FBF}" sibTransId="{A0B07606-0657-4F20-A000-632292739AC4}"/>
    <dgm:cxn modelId="{77919163-2C2B-45D0-8518-9D37631EC412}" srcId="{A3DB525F-D7C9-402C-8A19-6B9A7A467FC7}" destId="{36CA7A02-BBC7-4B88-AAC6-98754AD356A0}" srcOrd="2" destOrd="0" parTransId="{9E558930-5CDE-4799-9725-E2EC14316A87}" sibTransId="{417D1C97-5E69-463F-AD08-02EFAB4A06D5}"/>
    <dgm:cxn modelId="{8CD37CE9-766C-43DC-AAAB-280E3450BE1C}" srcId="{A3DB525F-D7C9-402C-8A19-6B9A7A467FC7}" destId="{849A3C92-39E5-4F50-A950-0F363ACD3B19}" srcOrd="3" destOrd="0" parTransId="{C87419BC-77CC-4D04-8BA2-33EDCD8BC143}" sibTransId="{15A1A35B-8738-4A2E-978A-8660538B942C}"/>
    <dgm:cxn modelId="{D2C1172B-C410-4E0E-8FDD-D544AC15C594}" type="presOf" srcId="{1A5A5DB4-1EE4-4A0B-895C-608EE938F04E}" destId="{6642AD66-D1EE-4843-B4B1-71C46C3F87DD}" srcOrd="0" destOrd="3" presId="urn:microsoft.com/office/officeart/2005/8/layout/hList1"/>
    <dgm:cxn modelId="{302E4A0A-DE2A-4D5C-A16A-D79DBBEA4E95}" type="presOf" srcId="{BA85CA37-3517-41ED-84CB-999B48355083}" destId="{A00A5ADE-AA71-4090-BF5B-A0FABB2B46D7}" srcOrd="0" destOrd="2" presId="urn:microsoft.com/office/officeart/2005/8/layout/hList1"/>
    <dgm:cxn modelId="{4D161E99-1BDA-4A1A-9AFE-44D87D606702}" srcId="{7E7DC1DA-D16F-43A1-92B2-8C474E0B6942}" destId="{0C49527B-4EE6-41EA-A08E-48032476DF07}" srcOrd="0" destOrd="0" parTransId="{72F882B9-1B05-4A4B-9369-02DE6CF2F260}" sibTransId="{F1F09F57-DCDC-4DB5-AA59-8921A3B23767}"/>
    <dgm:cxn modelId="{546525CE-4F91-4804-AC11-3F741F7A8F03}" type="presOf" srcId="{2A3F93C0-EAE0-48BF-BACA-FC1C2F189056}" destId="{AC04012F-35B2-4005-BFA4-A3B86B6FB69A}" srcOrd="0" destOrd="0" presId="urn:microsoft.com/office/officeart/2005/8/layout/hList1"/>
    <dgm:cxn modelId="{4A4DD344-90C7-4DBE-BDCD-7AA7DDA26F38}" srcId="{7E7DC1DA-D16F-43A1-92B2-8C474E0B6942}" destId="{1A5A5DB4-1EE4-4A0B-895C-608EE938F04E}" srcOrd="3" destOrd="0" parTransId="{D8E434E9-0261-4A41-A544-7623B9F4D6BC}" sibTransId="{4BDEF42E-947E-4B59-A543-A5F35062B34A}"/>
    <dgm:cxn modelId="{6598EF49-8A63-46EA-89AC-0C0369BF1DAF}" type="presOf" srcId="{7E7DC1DA-D16F-43A1-92B2-8C474E0B6942}" destId="{E3970E48-7219-4B47-9979-4F9C4CE4BF9E}" srcOrd="0" destOrd="0" presId="urn:microsoft.com/office/officeart/2005/8/layout/hList1"/>
    <dgm:cxn modelId="{0DFFEDA6-46AA-4864-A7FE-6B590F7D4BEC}" type="presOf" srcId="{0648BAC8-4EB3-47F6-BD91-BF6A064D80B8}" destId="{A00A5ADE-AA71-4090-BF5B-A0FABB2B46D7}" srcOrd="0" destOrd="3" presId="urn:microsoft.com/office/officeart/2005/8/layout/hList1"/>
    <dgm:cxn modelId="{1A7B73C8-0E44-4684-A624-99003BC050F3}" type="presOf" srcId="{AF70AA5A-7FB2-4569-A363-88130163D464}" destId="{6642AD66-D1EE-4843-B4B1-71C46C3F87DD}" srcOrd="0" destOrd="2" presId="urn:microsoft.com/office/officeart/2005/8/layout/hList1"/>
    <dgm:cxn modelId="{E42C7557-3036-4220-AAB9-BD05C8A20F94}" type="presOf" srcId="{A3DB525F-D7C9-402C-8A19-6B9A7A467FC7}" destId="{573CBC17-8A80-41D5-B9F0-0F62C9502B35}" srcOrd="0" destOrd="0" presId="urn:microsoft.com/office/officeart/2005/8/layout/hList1"/>
    <dgm:cxn modelId="{0C33A625-1E64-403F-945D-5EE0498F1A11}" srcId="{D7729B19-8A40-41F3-967A-B33C582E54A9}" destId="{13B96E86-102C-4CA0-9B68-54075A1E4FC1}" srcOrd="1" destOrd="0" parTransId="{239A2A6C-EBCA-4822-8FAC-48938087BF46}" sibTransId="{310BEF22-15B0-4287-9245-0E63D062571F}"/>
    <dgm:cxn modelId="{BD60831B-3E3D-4EAF-9BB0-8A4714E25F29}" srcId="{A3DB525F-D7C9-402C-8A19-6B9A7A467FC7}" destId="{A5F082EC-7640-4658-9411-9448B4139BAF}" srcOrd="1" destOrd="0" parTransId="{79D6227A-CCB5-4347-81CE-3D62A149DA69}" sibTransId="{3A3C14B4-0AF4-4A92-ACB7-2D0374B57304}"/>
    <dgm:cxn modelId="{0F9A5D14-E6C4-4D44-9FE0-2FE2CEDA8A70}" type="presOf" srcId="{3DB45022-F3CF-45BC-83A5-45C59B57D762}" destId="{275BEBF0-55D0-4639-85C5-67E2B87BD4B1}" srcOrd="0" destOrd="4" presId="urn:microsoft.com/office/officeart/2005/8/layout/hList1"/>
    <dgm:cxn modelId="{6832BA08-3A26-4551-B452-879DB9AC7791}" srcId="{7E7DC1DA-D16F-43A1-92B2-8C474E0B6942}" destId="{B2370CFB-8BA0-4524-B674-54AED8AFA4C7}" srcOrd="1" destOrd="0" parTransId="{97D2678D-1530-4090-8703-250257274BB4}" sibTransId="{103B4A07-C937-42A4-B8B1-6F19717B5978}"/>
    <dgm:cxn modelId="{E0D0F82C-451F-4A21-918F-325DC3B62159}" type="presOf" srcId="{849A3C92-39E5-4F50-A950-0F363ACD3B19}" destId="{275BEBF0-55D0-4639-85C5-67E2B87BD4B1}" srcOrd="0" destOrd="3" presId="urn:microsoft.com/office/officeart/2005/8/layout/hList1"/>
    <dgm:cxn modelId="{0A224EB1-7215-410D-B2A4-F0F2823FC3F3}" type="presOf" srcId="{6575A869-FD4F-441D-93E2-3E6748558C48}" destId="{A00A5ADE-AA71-4090-BF5B-A0FABB2B46D7}" srcOrd="0" destOrd="0" presId="urn:microsoft.com/office/officeart/2005/8/layout/hList1"/>
    <dgm:cxn modelId="{B25911F5-6E41-46C4-9575-F17F708D7AA3}" srcId="{A3DB525F-D7C9-402C-8A19-6B9A7A467FC7}" destId="{585258C1-30D4-45CB-B440-E5BB6275F428}" srcOrd="0" destOrd="0" parTransId="{9D640E49-EC45-4A71-BE09-756DE38CB6CD}" sibTransId="{4DF54891-9EA3-4FF5-98FF-CFFC8480D3AD}"/>
    <dgm:cxn modelId="{31D188A6-80C8-44DB-B6D4-D6DE2CEA61C6}" type="presOf" srcId="{A5F082EC-7640-4658-9411-9448B4139BAF}" destId="{275BEBF0-55D0-4639-85C5-67E2B87BD4B1}" srcOrd="0" destOrd="1" presId="urn:microsoft.com/office/officeart/2005/8/layout/hList1"/>
    <dgm:cxn modelId="{1FBADFAF-33F6-40FE-BFF6-A1AE5B5D4A33}" type="presOf" srcId="{585258C1-30D4-45CB-B440-E5BB6275F428}" destId="{275BEBF0-55D0-4639-85C5-67E2B87BD4B1}" srcOrd="0" destOrd="0" presId="urn:microsoft.com/office/officeart/2005/8/layout/hList1"/>
    <dgm:cxn modelId="{DC661F94-4793-4074-94B5-F75B85A98F22}" type="presParOf" srcId="{AC04012F-35B2-4005-BFA4-A3B86B6FB69A}" destId="{E57CE3F0-5083-4E9C-964F-F42C679BDCE5}" srcOrd="0" destOrd="0" presId="urn:microsoft.com/office/officeart/2005/8/layout/hList1"/>
    <dgm:cxn modelId="{19460C61-7DB6-44FF-9983-0F5BC7B8CDF0}" type="presParOf" srcId="{E57CE3F0-5083-4E9C-964F-F42C679BDCE5}" destId="{573CBC17-8A80-41D5-B9F0-0F62C9502B35}" srcOrd="0" destOrd="0" presId="urn:microsoft.com/office/officeart/2005/8/layout/hList1"/>
    <dgm:cxn modelId="{5AA9CE58-13F8-43E4-9872-CE45E181BB02}" type="presParOf" srcId="{E57CE3F0-5083-4E9C-964F-F42C679BDCE5}" destId="{275BEBF0-55D0-4639-85C5-67E2B87BD4B1}" srcOrd="1" destOrd="0" presId="urn:microsoft.com/office/officeart/2005/8/layout/hList1"/>
    <dgm:cxn modelId="{F75E591C-B484-4EE2-ADC2-174A315A0CAD}" type="presParOf" srcId="{AC04012F-35B2-4005-BFA4-A3B86B6FB69A}" destId="{76CAF830-B2C2-4106-9142-38D8FD54DFEC}" srcOrd="1" destOrd="0" presId="urn:microsoft.com/office/officeart/2005/8/layout/hList1"/>
    <dgm:cxn modelId="{7E2972A1-6E25-4A63-896C-4E2BAB18054F}" type="presParOf" srcId="{AC04012F-35B2-4005-BFA4-A3B86B6FB69A}" destId="{A1485919-99D5-4196-AD17-0B73D9424D3E}" srcOrd="2" destOrd="0" presId="urn:microsoft.com/office/officeart/2005/8/layout/hList1"/>
    <dgm:cxn modelId="{7B063B75-7E98-4FCC-8237-58DCD230C073}" type="presParOf" srcId="{A1485919-99D5-4196-AD17-0B73D9424D3E}" destId="{E3970E48-7219-4B47-9979-4F9C4CE4BF9E}" srcOrd="0" destOrd="0" presId="urn:microsoft.com/office/officeart/2005/8/layout/hList1"/>
    <dgm:cxn modelId="{88D2CF80-D7F2-4F1B-9F2B-D5E7F11174B6}" type="presParOf" srcId="{A1485919-99D5-4196-AD17-0B73D9424D3E}" destId="{6642AD66-D1EE-4843-B4B1-71C46C3F87DD}" srcOrd="1" destOrd="0" presId="urn:microsoft.com/office/officeart/2005/8/layout/hList1"/>
    <dgm:cxn modelId="{798EF574-8F2F-4797-A52D-FDA2E5A5FFAB}" type="presParOf" srcId="{AC04012F-35B2-4005-BFA4-A3B86B6FB69A}" destId="{33AB51EB-5C0F-4EFD-B696-A3F60C2EDCDE}" srcOrd="3" destOrd="0" presId="urn:microsoft.com/office/officeart/2005/8/layout/hList1"/>
    <dgm:cxn modelId="{AEEE1E1B-787B-4381-95E0-30B07C524259}" type="presParOf" srcId="{AC04012F-35B2-4005-BFA4-A3B86B6FB69A}" destId="{18160FC4-BD4C-45E7-8F67-017EACE66B7B}" srcOrd="4" destOrd="0" presId="urn:microsoft.com/office/officeart/2005/8/layout/hList1"/>
    <dgm:cxn modelId="{A89F0B94-34CF-4077-A833-2A72768076AF}" type="presParOf" srcId="{18160FC4-BD4C-45E7-8F67-017EACE66B7B}" destId="{6758E2CC-D080-4E69-BA55-8770A1BE8B4B}" srcOrd="0" destOrd="0" presId="urn:microsoft.com/office/officeart/2005/8/layout/hList1"/>
    <dgm:cxn modelId="{405CF31B-CDF6-4839-9D72-A0F9D4A463DA}" type="presParOf" srcId="{18160FC4-BD4C-45E7-8F67-017EACE66B7B}" destId="{A00A5ADE-AA71-4090-BF5B-A0FABB2B46D7}" srcOrd="1" destOrd="0" presId="urn:microsoft.com/office/officeart/2005/8/layout/hList1"/>
  </dgm:cxnLst>
  <dgm:bg/>
  <dgm:whole/>
  <dgm:extLst>
    <a:ext uri="http://schemas.microsoft.com/office/drawing/2008/diagram">
      <dsp:dataModelExt xmlns:dsp="http://schemas.microsoft.com/office/drawing/2008/diagram" xmlns="" relId="rId163"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A8F5EE4C-FC29-4C94-A70F-BA4771ADAA57}">
      <dsp:nvSpPr>
        <dsp:cNvPr id="0" name=""/>
        <dsp:cNvSpPr/>
      </dsp:nvSpPr>
      <dsp:spPr>
        <a:xfrm>
          <a:off x="4130056" y="840448"/>
          <a:ext cx="93627" cy="410177"/>
        </a:xfrm>
        <a:custGeom>
          <a:avLst/>
          <a:gdLst/>
          <a:ahLst/>
          <a:cxnLst/>
          <a:rect l="0" t="0" r="0" b="0"/>
          <a:pathLst>
            <a:path>
              <a:moveTo>
                <a:pt x="93627" y="0"/>
              </a:moveTo>
              <a:lnTo>
                <a:pt x="93627" y="410177"/>
              </a:lnTo>
              <a:lnTo>
                <a:pt x="0" y="410177"/>
              </a:lnTo>
            </a:path>
          </a:pathLst>
        </a:custGeom>
        <a:noFill/>
        <a:ln w="12700" cap="flat" cmpd="sng" algn="ctr">
          <a:solidFill>
            <a:srgbClr val="70AD47"/>
          </a:solidFill>
          <a:prstDash val="solid"/>
        </a:ln>
        <a:effectLst/>
        <a:scene3d>
          <a:camera prst="orthographicFront">
            <a:rot lat="0" lon="0" rev="0"/>
          </a:camera>
          <a:lightRig rig="threePt" dir="t"/>
        </a:scene3d>
      </dsp:spPr>
      <dsp:style>
        <a:lnRef idx="2">
          <a:scrgbClr r="0" g="0" b="0"/>
        </a:lnRef>
        <a:fillRef idx="0">
          <a:scrgbClr r="0" g="0" b="0"/>
        </a:fillRef>
        <a:effectRef idx="0">
          <a:scrgbClr r="0" g="0" b="0"/>
        </a:effectRef>
        <a:fontRef idx="minor"/>
      </dsp:style>
    </dsp:sp>
    <dsp:sp modelId="{BDE4499A-B144-4E4E-8613-02FDEAE500EA}">
      <dsp:nvSpPr>
        <dsp:cNvPr id="0" name=""/>
        <dsp:cNvSpPr/>
      </dsp:nvSpPr>
      <dsp:spPr>
        <a:xfrm>
          <a:off x="7643312" y="2739747"/>
          <a:ext cx="133753" cy="1043276"/>
        </a:xfrm>
        <a:custGeom>
          <a:avLst/>
          <a:gdLst/>
          <a:ahLst/>
          <a:cxnLst/>
          <a:rect l="0" t="0" r="0" b="0"/>
          <a:pathLst>
            <a:path>
              <a:moveTo>
                <a:pt x="0" y="0"/>
              </a:moveTo>
              <a:lnTo>
                <a:pt x="0" y="1043276"/>
              </a:lnTo>
              <a:lnTo>
                <a:pt x="133753" y="1043276"/>
              </a:lnTo>
            </a:path>
          </a:pathLst>
        </a:custGeom>
        <a:noFill/>
        <a:ln w="12700" cap="flat" cmpd="sng" algn="ctr">
          <a:solidFill>
            <a:srgbClr val="ED7D31"/>
          </a:solidFill>
          <a:prstDash val="solid"/>
        </a:ln>
        <a:effectLst/>
        <a:scene3d>
          <a:camera prst="orthographicFront">
            <a:rot lat="0" lon="0" rev="0"/>
          </a:camera>
          <a:lightRig rig="threePt" dir="t"/>
        </a:scene3d>
      </dsp:spPr>
      <dsp:style>
        <a:lnRef idx="2">
          <a:scrgbClr r="0" g="0" b="0"/>
        </a:lnRef>
        <a:fillRef idx="0">
          <a:scrgbClr r="0" g="0" b="0"/>
        </a:fillRef>
        <a:effectRef idx="0">
          <a:scrgbClr r="0" g="0" b="0"/>
        </a:effectRef>
        <a:fontRef idx="minor"/>
      </dsp:style>
    </dsp:sp>
    <dsp:sp modelId="{04F740D9-A24F-43DA-9F0F-B5881D0F5218}">
      <dsp:nvSpPr>
        <dsp:cNvPr id="0" name=""/>
        <dsp:cNvSpPr/>
      </dsp:nvSpPr>
      <dsp:spPr>
        <a:xfrm>
          <a:off x="7643312" y="2739747"/>
          <a:ext cx="133753" cy="410177"/>
        </a:xfrm>
        <a:custGeom>
          <a:avLst/>
          <a:gdLst/>
          <a:ahLst/>
          <a:cxnLst/>
          <a:rect l="0" t="0" r="0" b="0"/>
          <a:pathLst>
            <a:path>
              <a:moveTo>
                <a:pt x="0" y="0"/>
              </a:moveTo>
              <a:lnTo>
                <a:pt x="0" y="410177"/>
              </a:lnTo>
              <a:lnTo>
                <a:pt x="133753" y="410177"/>
              </a:lnTo>
            </a:path>
          </a:pathLst>
        </a:custGeom>
        <a:noFill/>
        <a:ln w="12700" cap="flat" cmpd="sng" algn="ctr">
          <a:solidFill>
            <a:srgbClr val="ED7D31"/>
          </a:solidFill>
          <a:prstDash val="solid"/>
        </a:ln>
        <a:effectLst/>
        <a:scene3d>
          <a:camera prst="orthographicFront">
            <a:rot lat="0" lon="0" rev="0"/>
          </a:camera>
          <a:lightRig rig="threePt" dir="t"/>
        </a:scene3d>
      </dsp:spPr>
      <dsp:style>
        <a:lnRef idx="2">
          <a:scrgbClr r="0" g="0" b="0"/>
        </a:lnRef>
        <a:fillRef idx="0">
          <a:scrgbClr r="0" g="0" b="0"/>
        </a:fillRef>
        <a:effectRef idx="0">
          <a:scrgbClr r="0" g="0" b="0"/>
        </a:effectRef>
        <a:fontRef idx="minor"/>
      </dsp:style>
    </dsp:sp>
    <dsp:sp modelId="{5041E2E5-9D54-4C04-BD99-2E4F3B659A7D}">
      <dsp:nvSpPr>
        <dsp:cNvPr id="0" name=""/>
        <dsp:cNvSpPr/>
      </dsp:nvSpPr>
      <dsp:spPr>
        <a:xfrm>
          <a:off x="7460516" y="2106647"/>
          <a:ext cx="539472" cy="187254"/>
        </a:xfrm>
        <a:custGeom>
          <a:avLst/>
          <a:gdLst/>
          <a:ahLst/>
          <a:cxnLst/>
          <a:rect l="0" t="0" r="0" b="0"/>
          <a:pathLst>
            <a:path>
              <a:moveTo>
                <a:pt x="0" y="0"/>
              </a:moveTo>
              <a:lnTo>
                <a:pt x="0" y="93627"/>
              </a:lnTo>
              <a:lnTo>
                <a:pt x="539472" y="93627"/>
              </a:lnTo>
              <a:lnTo>
                <a:pt x="539472" y="187254"/>
              </a:lnTo>
            </a:path>
          </a:pathLst>
        </a:custGeom>
        <a:noFill/>
        <a:ln w="12700" cap="flat" cmpd="sng" algn="ctr">
          <a:solidFill>
            <a:srgbClr val="5B9BD5"/>
          </a:solidFill>
          <a:prstDash val="solid"/>
        </a:ln>
        <a:effectLst/>
        <a:scene3d>
          <a:camera prst="orthographicFront">
            <a:rot lat="0" lon="0" rev="0"/>
          </a:camera>
          <a:lightRig rig="threePt" dir="t"/>
        </a:scene3d>
      </dsp:spPr>
      <dsp:style>
        <a:lnRef idx="2">
          <a:scrgbClr r="0" g="0" b="0"/>
        </a:lnRef>
        <a:fillRef idx="0">
          <a:scrgbClr r="0" g="0" b="0"/>
        </a:fillRef>
        <a:effectRef idx="0">
          <a:scrgbClr r="0" g="0" b="0"/>
        </a:effectRef>
        <a:fontRef idx="minor"/>
      </dsp:style>
    </dsp:sp>
    <dsp:sp modelId="{D132DD49-EAFF-46B9-BCAD-27DE2489F709}">
      <dsp:nvSpPr>
        <dsp:cNvPr id="0" name=""/>
        <dsp:cNvSpPr/>
      </dsp:nvSpPr>
      <dsp:spPr>
        <a:xfrm>
          <a:off x="6564368" y="2739747"/>
          <a:ext cx="133753" cy="1043276"/>
        </a:xfrm>
        <a:custGeom>
          <a:avLst/>
          <a:gdLst/>
          <a:ahLst/>
          <a:cxnLst/>
          <a:rect l="0" t="0" r="0" b="0"/>
          <a:pathLst>
            <a:path>
              <a:moveTo>
                <a:pt x="0" y="0"/>
              </a:moveTo>
              <a:lnTo>
                <a:pt x="0" y="1043276"/>
              </a:lnTo>
              <a:lnTo>
                <a:pt x="133753" y="1043276"/>
              </a:lnTo>
            </a:path>
          </a:pathLst>
        </a:custGeom>
        <a:noFill/>
        <a:ln w="12700" cap="flat" cmpd="sng" algn="ctr">
          <a:solidFill>
            <a:srgbClr val="ED7D31"/>
          </a:solidFill>
          <a:prstDash val="solid"/>
        </a:ln>
        <a:effectLst/>
        <a:scene3d>
          <a:camera prst="orthographicFront">
            <a:rot lat="0" lon="0" rev="0"/>
          </a:camera>
          <a:lightRig rig="threePt" dir="t"/>
        </a:scene3d>
      </dsp:spPr>
      <dsp:style>
        <a:lnRef idx="2">
          <a:scrgbClr r="0" g="0" b="0"/>
        </a:lnRef>
        <a:fillRef idx="0">
          <a:scrgbClr r="0" g="0" b="0"/>
        </a:fillRef>
        <a:effectRef idx="0">
          <a:scrgbClr r="0" g="0" b="0"/>
        </a:effectRef>
        <a:fontRef idx="minor"/>
      </dsp:style>
    </dsp:sp>
    <dsp:sp modelId="{B0EFE0DB-1044-4316-AA74-68AB13374529}">
      <dsp:nvSpPr>
        <dsp:cNvPr id="0" name=""/>
        <dsp:cNvSpPr/>
      </dsp:nvSpPr>
      <dsp:spPr>
        <a:xfrm>
          <a:off x="6564368" y="2739747"/>
          <a:ext cx="133753" cy="410177"/>
        </a:xfrm>
        <a:custGeom>
          <a:avLst/>
          <a:gdLst/>
          <a:ahLst/>
          <a:cxnLst/>
          <a:rect l="0" t="0" r="0" b="0"/>
          <a:pathLst>
            <a:path>
              <a:moveTo>
                <a:pt x="0" y="0"/>
              </a:moveTo>
              <a:lnTo>
                <a:pt x="0" y="410177"/>
              </a:lnTo>
              <a:lnTo>
                <a:pt x="133753" y="410177"/>
              </a:lnTo>
            </a:path>
          </a:pathLst>
        </a:custGeom>
        <a:noFill/>
        <a:ln w="12700" cap="flat" cmpd="sng" algn="ctr">
          <a:solidFill>
            <a:srgbClr val="ED7D31"/>
          </a:solidFill>
          <a:prstDash val="solid"/>
        </a:ln>
        <a:effectLst/>
        <a:scene3d>
          <a:camera prst="orthographicFront">
            <a:rot lat="0" lon="0" rev="0"/>
          </a:camera>
          <a:lightRig rig="threePt" dir="t"/>
        </a:scene3d>
      </dsp:spPr>
      <dsp:style>
        <a:lnRef idx="2">
          <a:scrgbClr r="0" g="0" b="0"/>
        </a:lnRef>
        <a:fillRef idx="0">
          <a:scrgbClr r="0" g="0" b="0"/>
        </a:fillRef>
        <a:effectRef idx="0">
          <a:scrgbClr r="0" g="0" b="0"/>
        </a:effectRef>
        <a:fontRef idx="minor"/>
      </dsp:style>
    </dsp:sp>
    <dsp:sp modelId="{92BF7BDC-6A0D-4C49-8613-4D40E3D9D1E9}">
      <dsp:nvSpPr>
        <dsp:cNvPr id="0" name=""/>
        <dsp:cNvSpPr/>
      </dsp:nvSpPr>
      <dsp:spPr>
        <a:xfrm>
          <a:off x="6921044" y="2106647"/>
          <a:ext cx="539472" cy="187254"/>
        </a:xfrm>
        <a:custGeom>
          <a:avLst/>
          <a:gdLst/>
          <a:ahLst/>
          <a:cxnLst/>
          <a:rect l="0" t="0" r="0" b="0"/>
          <a:pathLst>
            <a:path>
              <a:moveTo>
                <a:pt x="539472" y="0"/>
              </a:moveTo>
              <a:lnTo>
                <a:pt x="539472" y="93627"/>
              </a:lnTo>
              <a:lnTo>
                <a:pt x="0" y="93627"/>
              </a:lnTo>
              <a:lnTo>
                <a:pt x="0" y="187254"/>
              </a:lnTo>
            </a:path>
          </a:pathLst>
        </a:custGeom>
        <a:noFill/>
        <a:ln w="12700" cap="flat" cmpd="sng" algn="ctr">
          <a:solidFill>
            <a:srgbClr val="5B9BD5"/>
          </a:solidFill>
          <a:prstDash val="solid"/>
        </a:ln>
        <a:effectLst/>
        <a:scene3d>
          <a:camera prst="orthographicFront">
            <a:rot lat="0" lon="0" rev="0"/>
          </a:camera>
          <a:lightRig rig="threePt" dir="t"/>
        </a:scene3d>
      </dsp:spPr>
      <dsp:style>
        <a:lnRef idx="2">
          <a:scrgbClr r="0" g="0" b="0"/>
        </a:lnRef>
        <a:fillRef idx="0">
          <a:scrgbClr r="0" g="0" b="0"/>
        </a:fillRef>
        <a:effectRef idx="0">
          <a:scrgbClr r="0" g="0" b="0"/>
        </a:effectRef>
        <a:fontRef idx="minor"/>
      </dsp:style>
    </dsp:sp>
    <dsp:sp modelId="{EF3F92E9-054B-4EF1-B064-228CD1402572}">
      <dsp:nvSpPr>
        <dsp:cNvPr id="0" name=""/>
        <dsp:cNvSpPr/>
      </dsp:nvSpPr>
      <dsp:spPr>
        <a:xfrm>
          <a:off x="4223683" y="840448"/>
          <a:ext cx="3236832" cy="820354"/>
        </a:xfrm>
        <a:custGeom>
          <a:avLst/>
          <a:gdLst/>
          <a:ahLst/>
          <a:cxnLst/>
          <a:rect l="0" t="0" r="0" b="0"/>
          <a:pathLst>
            <a:path>
              <a:moveTo>
                <a:pt x="0" y="0"/>
              </a:moveTo>
              <a:lnTo>
                <a:pt x="0" y="726726"/>
              </a:lnTo>
              <a:lnTo>
                <a:pt x="3236832" y="726726"/>
              </a:lnTo>
              <a:lnTo>
                <a:pt x="3236832" y="820354"/>
              </a:lnTo>
            </a:path>
          </a:pathLst>
        </a:custGeom>
        <a:noFill/>
        <a:ln w="12700" cap="flat" cmpd="sng" algn="ctr">
          <a:solidFill>
            <a:srgbClr val="70AD47"/>
          </a:solidFill>
          <a:prstDash val="solid"/>
        </a:ln>
        <a:effectLst/>
        <a:scene3d>
          <a:camera prst="orthographicFront">
            <a:rot lat="0" lon="0" rev="0"/>
          </a:camera>
          <a:lightRig rig="threePt" dir="t"/>
        </a:scene3d>
      </dsp:spPr>
      <dsp:style>
        <a:lnRef idx="2">
          <a:scrgbClr r="0" g="0" b="0"/>
        </a:lnRef>
        <a:fillRef idx="0">
          <a:scrgbClr r="0" g="0" b="0"/>
        </a:fillRef>
        <a:effectRef idx="0">
          <a:scrgbClr r="0" g="0" b="0"/>
        </a:effectRef>
        <a:fontRef idx="minor"/>
      </dsp:style>
    </dsp:sp>
    <dsp:sp modelId="{F39A914A-FBC0-439B-9FD0-55D8AAFB11E3}">
      <dsp:nvSpPr>
        <dsp:cNvPr id="0" name=""/>
        <dsp:cNvSpPr/>
      </dsp:nvSpPr>
      <dsp:spPr>
        <a:xfrm>
          <a:off x="5485424" y="2739747"/>
          <a:ext cx="133753" cy="1043276"/>
        </a:xfrm>
        <a:custGeom>
          <a:avLst/>
          <a:gdLst/>
          <a:ahLst/>
          <a:cxnLst/>
          <a:rect l="0" t="0" r="0" b="0"/>
          <a:pathLst>
            <a:path>
              <a:moveTo>
                <a:pt x="0" y="0"/>
              </a:moveTo>
              <a:lnTo>
                <a:pt x="0" y="1043276"/>
              </a:lnTo>
              <a:lnTo>
                <a:pt x="133753" y="1043276"/>
              </a:lnTo>
            </a:path>
          </a:pathLst>
        </a:custGeom>
        <a:noFill/>
        <a:ln w="12700" cap="flat" cmpd="sng" algn="ctr">
          <a:solidFill>
            <a:srgbClr val="ED7D31"/>
          </a:solidFill>
          <a:prstDash val="solid"/>
        </a:ln>
        <a:effectLst/>
        <a:scene3d>
          <a:camera prst="orthographicFront">
            <a:rot lat="0" lon="0" rev="0"/>
          </a:camera>
          <a:lightRig rig="threePt" dir="t"/>
        </a:scene3d>
      </dsp:spPr>
      <dsp:style>
        <a:lnRef idx="2">
          <a:scrgbClr r="0" g="0" b="0"/>
        </a:lnRef>
        <a:fillRef idx="0">
          <a:scrgbClr r="0" g="0" b="0"/>
        </a:fillRef>
        <a:effectRef idx="0">
          <a:scrgbClr r="0" g="0" b="0"/>
        </a:effectRef>
        <a:fontRef idx="minor"/>
      </dsp:style>
    </dsp:sp>
    <dsp:sp modelId="{35E6A949-EC7B-4EE2-B35B-C0E9A7669000}">
      <dsp:nvSpPr>
        <dsp:cNvPr id="0" name=""/>
        <dsp:cNvSpPr/>
      </dsp:nvSpPr>
      <dsp:spPr>
        <a:xfrm>
          <a:off x="5485424" y="2739747"/>
          <a:ext cx="133753" cy="410177"/>
        </a:xfrm>
        <a:custGeom>
          <a:avLst/>
          <a:gdLst/>
          <a:ahLst/>
          <a:cxnLst/>
          <a:rect l="0" t="0" r="0" b="0"/>
          <a:pathLst>
            <a:path>
              <a:moveTo>
                <a:pt x="0" y="0"/>
              </a:moveTo>
              <a:lnTo>
                <a:pt x="0" y="410177"/>
              </a:lnTo>
              <a:lnTo>
                <a:pt x="133753" y="410177"/>
              </a:lnTo>
            </a:path>
          </a:pathLst>
        </a:custGeom>
        <a:noFill/>
        <a:ln w="12700" cap="flat" cmpd="sng" algn="ctr">
          <a:solidFill>
            <a:srgbClr val="ED7D31"/>
          </a:solidFill>
          <a:prstDash val="solid"/>
        </a:ln>
        <a:effectLst/>
        <a:scene3d>
          <a:camera prst="orthographicFront">
            <a:rot lat="0" lon="0" rev="0"/>
          </a:camera>
          <a:lightRig rig="threePt" dir="t"/>
        </a:scene3d>
      </dsp:spPr>
      <dsp:style>
        <a:lnRef idx="2">
          <a:scrgbClr r="0" g="0" b="0"/>
        </a:lnRef>
        <a:fillRef idx="0">
          <a:scrgbClr r="0" g="0" b="0"/>
        </a:fillRef>
        <a:effectRef idx="0">
          <a:scrgbClr r="0" g="0" b="0"/>
        </a:effectRef>
        <a:fontRef idx="minor"/>
      </dsp:style>
    </dsp:sp>
    <dsp:sp modelId="{419CA121-31AA-4A90-9C8B-9130251FBF0E}">
      <dsp:nvSpPr>
        <dsp:cNvPr id="0" name=""/>
        <dsp:cNvSpPr/>
      </dsp:nvSpPr>
      <dsp:spPr>
        <a:xfrm>
          <a:off x="5302627" y="2106647"/>
          <a:ext cx="539472" cy="187254"/>
        </a:xfrm>
        <a:custGeom>
          <a:avLst/>
          <a:gdLst/>
          <a:ahLst/>
          <a:cxnLst/>
          <a:rect l="0" t="0" r="0" b="0"/>
          <a:pathLst>
            <a:path>
              <a:moveTo>
                <a:pt x="0" y="0"/>
              </a:moveTo>
              <a:lnTo>
                <a:pt x="0" y="93627"/>
              </a:lnTo>
              <a:lnTo>
                <a:pt x="539472" y="93627"/>
              </a:lnTo>
              <a:lnTo>
                <a:pt x="539472" y="187254"/>
              </a:lnTo>
            </a:path>
          </a:pathLst>
        </a:custGeom>
        <a:noFill/>
        <a:ln w="12700" cap="flat" cmpd="sng" algn="ctr">
          <a:solidFill>
            <a:srgbClr val="5B9BD5"/>
          </a:solidFill>
          <a:prstDash val="solid"/>
        </a:ln>
        <a:effectLst/>
        <a:scene3d>
          <a:camera prst="orthographicFront">
            <a:rot lat="0" lon="0" rev="0"/>
          </a:camera>
          <a:lightRig rig="threePt" dir="t"/>
        </a:scene3d>
      </dsp:spPr>
      <dsp:style>
        <a:lnRef idx="2">
          <a:scrgbClr r="0" g="0" b="0"/>
        </a:lnRef>
        <a:fillRef idx="0">
          <a:scrgbClr r="0" g="0" b="0"/>
        </a:fillRef>
        <a:effectRef idx="0">
          <a:scrgbClr r="0" g="0" b="0"/>
        </a:effectRef>
        <a:fontRef idx="minor"/>
      </dsp:style>
    </dsp:sp>
    <dsp:sp modelId="{21904282-442D-4CC4-84B1-04CDDFD5BB59}">
      <dsp:nvSpPr>
        <dsp:cNvPr id="0" name=""/>
        <dsp:cNvSpPr/>
      </dsp:nvSpPr>
      <dsp:spPr>
        <a:xfrm>
          <a:off x="4406480" y="2740696"/>
          <a:ext cx="133753" cy="1042326"/>
        </a:xfrm>
        <a:custGeom>
          <a:avLst/>
          <a:gdLst/>
          <a:ahLst/>
          <a:cxnLst/>
          <a:rect l="0" t="0" r="0" b="0"/>
          <a:pathLst>
            <a:path>
              <a:moveTo>
                <a:pt x="0" y="0"/>
              </a:moveTo>
              <a:lnTo>
                <a:pt x="0" y="1042326"/>
              </a:lnTo>
              <a:lnTo>
                <a:pt x="133753" y="1042326"/>
              </a:lnTo>
            </a:path>
          </a:pathLst>
        </a:custGeom>
        <a:noFill/>
        <a:ln w="12700" cap="flat" cmpd="sng" algn="ctr">
          <a:solidFill>
            <a:srgbClr val="ED7D31"/>
          </a:solidFill>
          <a:prstDash val="solid"/>
        </a:ln>
        <a:effectLst/>
        <a:scene3d>
          <a:camera prst="orthographicFront">
            <a:rot lat="0" lon="0" rev="0"/>
          </a:camera>
          <a:lightRig rig="threePt" dir="t"/>
        </a:scene3d>
      </dsp:spPr>
      <dsp:style>
        <a:lnRef idx="2">
          <a:scrgbClr r="0" g="0" b="0"/>
        </a:lnRef>
        <a:fillRef idx="0">
          <a:scrgbClr r="0" g="0" b="0"/>
        </a:fillRef>
        <a:effectRef idx="0">
          <a:scrgbClr r="0" g="0" b="0"/>
        </a:effectRef>
        <a:fontRef idx="minor"/>
      </dsp:style>
    </dsp:sp>
    <dsp:sp modelId="{60D1BABD-029B-4A08-B8D7-3188248F8287}">
      <dsp:nvSpPr>
        <dsp:cNvPr id="0" name=""/>
        <dsp:cNvSpPr/>
      </dsp:nvSpPr>
      <dsp:spPr>
        <a:xfrm>
          <a:off x="4406480" y="2740696"/>
          <a:ext cx="133753" cy="409227"/>
        </a:xfrm>
        <a:custGeom>
          <a:avLst/>
          <a:gdLst/>
          <a:ahLst/>
          <a:cxnLst/>
          <a:rect l="0" t="0" r="0" b="0"/>
          <a:pathLst>
            <a:path>
              <a:moveTo>
                <a:pt x="0" y="0"/>
              </a:moveTo>
              <a:lnTo>
                <a:pt x="0" y="409227"/>
              </a:lnTo>
              <a:lnTo>
                <a:pt x="133753" y="409227"/>
              </a:lnTo>
            </a:path>
          </a:pathLst>
        </a:custGeom>
        <a:noFill/>
        <a:ln w="12700" cap="flat" cmpd="sng" algn="ctr">
          <a:solidFill>
            <a:srgbClr val="ED7D31"/>
          </a:solidFill>
          <a:prstDash val="solid"/>
        </a:ln>
        <a:effectLst/>
        <a:scene3d>
          <a:camera prst="orthographicFront">
            <a:rot lat="0" lon="0" rev="0"/>
          </a:camera>
          <a:lightRig rig="threePt" dir="t"/>
        </a:scene3d>
      </dsp:spPr>
      <dsp:style>
        <a:lnRef idx="2">
          <a:scrgbClr r="0" g="0" b="0"/>
        </a:lnRef>
        <a:fillRef idx="0">
          <a:scrgbClr r="0" g="0" b="0"/>
        </a:fillRef>
        <a:effectRef idx="0">
          <a:scrgbClr r="0" g="0" b="0"/>
        </a:effectRef>
        <a:fontRef idx="minor"/>
      </dsp:style>
    </dsp:sp>
    <dsp:sp modelId="{5EC2879D-7219-4E6C-9A54-E292B9D59604}">
      <dsp:nvSpPr>
        <dsp:cNvPr id="0" name=""/>
        <dsp:cNvSpPr/>
      </dsp:nvSpPr>
      <dsp:spPr>
        <a:xfrm>
          <a:off x="4763155" y="2106647"/>
          <a:ext cx="539472" cy="188204"/>
        </a:xfrm>
        <a:custGeom>
          <a:avLst/>
          <a:gdLst/>
          <a:ahLst/>
          <a:cxnLst/>
          <a:rect l="0" t="0" r="0" b="0"/>
          <a:pathLst>
            <a:path>
              <a:moveTo>
                <a:pt x="539472" y="0"/>
              </a:moveTo>
              <a:lnTo>
                <a:pt x="539472" y="94577"/>
              </a:lnTo>
              <a:lnTo>
                <a:pt x="0" y="94577"/>
              </a:lnTo>
              <a:lnTo>
                <a:pt x="0" y="188204"/>
              </a:lnTo>
            </a:path>
          </a:pathLst>
        </a:custGeom>
        <a:noFill/>
        <a:ln w="12700" cap="flat" cmpd="sng" algn="ctr">
          <a:solidFill>
            <a:srgbClr val="5B9BD5"/>
          </a:solidFill>
          <a:prstDash val="solid"/>
        </a:ln>
        <a:effectLst/>
        <a:scene3d>
          <a:camera prst="orthographicFront">
            <a:rot lat="0" lon="0" rev="0"/>
          </a:camera>
          <a:lightRig rig="threePt" dir="t"/>
        </a:scene3d>
      </dsp:spPr>
      <dsp:style>
        <a:lnRef idx="2">
          <a:scrgbClr r="0" g="0" b="0"/>
        </a:lnRef>
        <a:fillRef idx="0">
          <a:scrgbClr r="0" g="0" b="0"/>
        </a:fillRef>
        <a:effectRef idx="0">
          <a:scrgbClr r="0" g="0" b="0"/>
        </a:effectRef>
        <a:fontRef idx="minor"/>
      </dsp:style>
    </dsp:sp>
    <dsp:sp modelId="{24E232DC-F5DE-465F-8B45-E390ED11BBC8}">
      <dsp:nvSpPr>
        <dsp:cNvPr id="0" name=""/>
        <dsp:cNvSpPr/>
      </dsp:nvSpPr>
      <dsp:spPr>
        <a:xfrm>
          <a:off x="4223683" y="840448"/>
          <a:ext cx="1078944" cy="820354"/>
        </a:xfrm>
        <a:custGeom>
          <a:avLst/>
          <a:gdLst/>
          <a:ahLst/>
          <a:cxnLst/>
          <a:rect l="0" t="0" r="0" b="0"/>
          <a:pathLst>
            <a:path>
              <a:moveTo>
                <a:pt x="0" y="0"/>
              </a:moveTo>
              <a:lnTo>
                <a:pt x="0" y="726726"/>
              </a:lnTo>
              <a:lnTo>
                <a:pt x="1078944" y="726726"/>
              </a:lnTo>
              <a:lnTo>
                <a:pt x="1078944" y="820354"/>
              </a:lnTo>
            </a:path>
          </a:pathLst>
        </a:custGeom>
        <a:noFill/>
        <a:ln w="12700" cap="flat" cmpd="sng" algn="ctr">
          <a:solidFill>
            <a:srgbClr val="70AD47"/>
          </a:solidFill>
          <a:prstDash val="solid"/>
        </a:ln>
        <a:effectLst/>
        <a:scene3d>
          <a:camera prst="orthographicFront">
            <a:rot lat="0" lon="0" rev="0"/>
          </a:camera>
          <a:lightRig rig="threePt" dir="t"/>
        </a:scene3d>
      </dsp:spPr>
      <dsp:style>
        <a:lnRef idx="2">
          <a:scrgbClr r="0" g="0" b="0"/>
        </a:lnRef>
        <a:fillRef idx="0">
          <a:scrgbClr r="0" g="0" b="0"/>
        </a:fillRef>
        <a:effectRef idx="0">
          <a:scrgbClr r="0" g="0" b="0"/>
        </a:effectRef>
        <a:fontRef idx="minor"/>
      </dsp:style>
    </dsp:sp>
    <dsp:sp modelId="{886D6760-A987-46CB-AFDD-7E87BD0D94BC}">
      <dsp:nvSpPr>
        <dsp:cNvPr id="0" name=""/>
        <dsp:cNvSpPr/>
      </dsp:nvSpPr>
      <dsp:spPr>
        <a:xfrm>
          <a:off x="3327536" y="2739747"/>
          <a:ext cx="133753" cy="1043276"/>
        </a:xfrm>
        <a:custGeom>
          <a:avLst/>
          <a:gdLst/>
          <a:ahLst/>
          <a:cxnLst/>
          <a:rect l="0" t="0" r="0" b="0"/>
          <a:pathLst>
            <a:path>
              <a:moveTo>
                <a:pt x="0" y="0"/>
              </a:moveTo>
              <a:lnTo>
                <a:pt x="0" y="1043276"/>
              </a:lnTo>
              <a:lnTo>
                <a:pt x="133753" y="1043276"/>
              </a:lnTo>
            </a:path>
          </a:pathLst>
        </a:custGeom>
        <a:noFill/>
        <a:ln w="12700" cap="flat" cmpd="sng" algn="ctr">
          <a:solidFill>
            <a:srgbClr val="ED7D31"/>
          </a:solidFill>
          <a:prstDash val="solid"/>
        </a:ln>
        <a:effectLst/>
        <a:scene3d>
          <a:camera prst="orthographicFront">
            <a:rot lat="0" lon="0" rev="0"/>
          </a:camera>
          <a:lightRig rig="threePt" dir="t"/>
        </a:scene3d>
      </dsp:spPr>
      <dsp:style>
        <a:lnRef idx="2">
          <a:scrgbClr r="0" g="0" b="0"/>
        </a:lnRef>
        <a:fillRef idx="0">
          <a:scrgbClr r="0" g="0" b="0"/>
        </a:fillRef>
        <a:effectRef idx="0">
          <a:scrgbClr r="0" g="0" b="0"/>
        </a:effectRef>
        <a:fontRef idx="minor"/>
      </dsp:style>
    </dsp:sp>
    <dsp:sp modelId="{0123C807-FF14-44E9-A0B2-5BF78EDAEB9B}">
      <dsp:nvSpPr>
        <dsp:cNvPr id="0" name=""/>
        <dsp:cNvSpPr/>
      </dsp:nvSpPr>
      <dsp:spPr>
        <a:xfrm>
          <a:off x="3327536" y="2739747"/>
          <a:ext cx="133753" cy="410177"/>
        </a:xfrm>
        <a:custGeom>
          <a:avLst/>
          <a:gdLst/>
          <a:ahLst/>
          <a:cxnLst/>
          <a:rect l="0" t="0" r="0" b="0"/>
          <a:pathLst>
            <a:path>
              <a:moveTo>
                <a:pt x="0" y="0"/>
              </a:moveTo>
              <a:lnTo>
                <a:pt x="0" y="410177"/>
              </a:lnTo>
              <a:lnTo>
                <a:pt x="133753" y="410177"/>
              </a:lnTo>
            </a:path>
          </a:pathLst>
        </a:custGeom>
        <a:noFill/>
        <a:ln w="12700" cap="flat" cmpd="sng" algn="ctr">
          <a:solidFill>
            <a:srgbClr val="ED7D31"/>
          </a:solidFill>
          <a:prstDash val="solid"/>
        </a:ln>
        <a:effectLst/>
        <a:scene3d>
          <a:camera prst="orthographicFront">
            <a:rot lat="0" lon="0" rev="0"/>
          </a:camera>
          <a:lightRig rig="threePt" dir="t"/>
        </a:scene3d>
      </dsp:spPr>
      <dsp:style>
        <a:lnRef idx="2">
          <a:scrgbClr r="0" g="0" b="0"/>
        </a:lnRef>
        <a:fillRef idx="0">
          <a:scrgbClr r="0" g="0" b="0"/>
        </a:fillRef>
        <a:effectRef idx="0">
          <a:scrgbClr r="0" g="0" b="0"/>
        </a:effectRef>
        <a:fontRef idx="minor"/>
      </dsp:style>
    </dsp:sp>
    <dsp:sp modelId="{B9104E5D-9501-40F1-B982-354911CA7D1B}">
      <dsp:nvSpPr>
        <dsp:cNvPr id="0" name=""/>
        <dsp:cNvSpPr/>
      </dsp:nvSpPr>
      <dsp:spPr>
        <a:xfrm>
          <a:off x="3144739" y="2106647"/>
          <a:ext cx="539472" cy="187254"/>
        </a:xfrm>
        <a:custGeom>
          <a:avLst/>
          <a:gdLst/>
          <a:ahLst/>
          <a:cxnLst/>
          <a:rect l="0" t="0" r="0" b="0"/>
          <a:pathLst>
            <a:path>
              <a:moveTo>
                <a:pt x="0" y="0"/>
              </a:moveTo>
              <a:lnTo>
                <a:pt x="0" y="93627"/>
              </a:lnTo>
              <a:lnTo>
                <a:pt x="539472" y="93627"/>
              </a:lnTo>
              <a:lnTo>
                <a:pt x="539472" y="187254"/>
              </a:lnTo>
            </a:path>
          </a:pathLst>
        </a:custGeom>
        <a:noFill/>
        <a:ln w="12700" cap="flat" cmpd="sng" algn="ctr">
          <a:solidFill>
            <a:srgbClr val="5B9BD5"/>
          </a:solidFill>
          <a:prstDash val="solid"/>
        </a:ln>
        <a:effectLst/>
        <a:scene3d>
          <a:camera prst="orthographicFront">
            <a:rot lat="0" lon="0" rev="0"/>
          </a:camera>
          <a:lightRig rig="threePt" dir="t"/>
        </a:scene3d>
      </dsp:spPr>
      <dsp:style>
        <a:lnRef idx="2">
          <a:scrgbClr r="0" g="0" b="0"/>
        </a:lnRef>
        <a:fillRef idx="0">
          <a:scrgbClr r="0" g="0" b="0"/>
        </a:fillRef>
        <a:effectRef idx="0">
          <a:scrgbClr r="0" g="0" b="0"/>
        </a:effectRef>
        <a:fontRef idx="minor"/>
      </dsp:style>
    </dsp:sp>
    <dsp:sp modelId="{A5F44C5F-B66C-43E2-B6D3-7DDCEA76C203}">
      <dsp:nvSpPr>
        <dsp:cNvPr id="0" name=""/>
        <dsp:cNvSpPr/>
      </dsp:nvSpPr>
      <dsp:spPr>
        <a:xfrm>
          <a:off x="2248591" y="2739747"/>
          <a:ext cx="133753" cy="1043276"/>
        </a:xfrm>
        <a:custGeom>
          <a:avLst/>
          <a:gdLst/>
          <a:ahLst/>
          <a:cxnLst/>
          <a:rect l="0" t="0" r="0" b="0"/>
          <a:pathLst>
            <a:path>
              <a:moveTo>
                <a:pt x="0" y="0"/>
              </a:moveTo>
              <a:lnTo>
                <a:pt x="0" y="1043276"/>
              </a:lnTo>
              <a:lnTo>
                <a:pt x="133753" y="1043276"/>
              </a:lnTo>
            </a:path>
          </a:pathLst>
        </a:custGeom>
        <a:noFill/>
        <a:ln w="12700" cap="flat" cmpd="sng" algn="ctr">
          <a:solidFill>
            <a:srgbClr val="ED7D31"/>
          </a:solidFill>
          <a:prstDash val="solid"/>
        </a:ln>
        <a:effectLst/>
        <a:scene3d>
          <a:camera prst="orthographicFront">
            <a:rot lat="0" lon="0" rev="0"/>
          </a:camera>
          <a:lightRig rig="threePt" dir="t"/>
        </a:scene3d>
      </dsp:spPr>
      <dsp:style>
        <a:lnRef idx="2">
          <a:scrgbClr r="0" g="0" b="0"/>
        </a:lnRef>
        <a:fillRef idx="0">
          <a:scrgbClr r="0" g="0" b="0"/>
        </a:fillRef>
        <a:effectRef idx="0">
          <a:scrgbClr r="0" g="0" b="0"/>
        </a:effectRef>
        <a:fontRef idx="minor"/>
      </dsp:style>
    </dsp:sp>
    <dsp:sp modelId="{4FB7AC45-AFCF-483E-8B27-A9769804D6BB}">
      <dsp:nvSpPr>
        <dsp:cNvPr id="0" name=""/>
        <dsp:cNvSpPr/>
      </dsp:nvSpPr>
      <dsp:spPr>
        <a:xfrm>
          <a:off x="2248591" y="2739747"/>
          <a:ext cx="133753" cy="410177"/>
        </a:xfrm>
        <a:custGeom>
          <a:avLst/>
          <a:gdLst/>
          <a:ahLst/>
          <a:cxnLst/>
          <a:rect l="0" t="0" r="0" b="0"/>
          <a:pathLst>
            <a:path>
              <a:moveTo>
                <a:pt x="0" y="0"/>
              </a:moveTo>
              <a:lnTo>
                <a:pt x="0" y="410177"/>
              </a:lnTo>
              <a:lnTo>
                <a:pt x="133753" y="410177"/>
              </a:lnTo>
            </a:path>
          </a:pathLst>
        </a:custGeom>
        <a:noFill/>
        <a:ln w="12700" cap="flat" cmpd="sng" algn="ctr">
          <a:solidFill>
            <a:srgbClr val="ED7D31"/>
          </a:solidFill>
          <a:prstDash val="solid"/>
        </a:ln>
        <a:effectLst/>
        <a:scene3d>
          <a:camera prst="orthographicFront">
            <a:rot lat="0" lon="0" rev="0"/>
          </a:camera>
          <a:lightRig rig="threePt" dir="t"/>
        </a:scene3d>
      </dsp:spPr>
      <dsp:style>
        <a:lnRef idx="2">
          <a:scrgbClr r="0" g="0" b="0"/>
        </a:lnRef>
        <a:fillRef idx="0">
          <a:scrgbClr r="0" g="0" b="0"/>
        </a:fillRef>
        <a:effectRef idx="0">
          <a:scrgbClr r="0" g="0" b="0"/>
        </a:effectRef>
        <a:fontRef idx="minor"/>
      </dsp:style>
    </dsp:sp>
    <dsp:sp modelId="{30FCD7B9-1B7C-4D92-81C7-941A5EE0A7CE}">
      <dsp:nvSpPr>
        <dsp:cNvPr id="0" name=""/>
        <dsp:cNvSpPr/>
      </dsp:nvSpPr>
      <dsp:spPr>
        <a:xfrm>
          <a:off x="2605267" y="2106647"/>
          <a:ext cx="539472" cy="187254"/>
        </a:xfrm>
        <a:custGeom>
          <a:avLst/>
          <a:gdLst/>
          <a:ahLst/>
          <a:cxnLst/>
          <a:rect l="0" t="0" r="0" b="0"/>
          <a:pathLst>
            <a:path>
              <a:moveTo>
                <a:pt x="539472" y="0"/>
              </a:moveTo>
              <a:lnTo>
                <a:pt x="539472" y="93627"/>
              </a:lnTo>
              <a:lnTo>
                <a:pt x="0" y="93627"/>
              </a:lnTo>
              <a:lnTo>
                <a:pt x="0" y="187254"/>
              </a:lnTo>
            </a:path>
          </a:pathLst>
        </a:custGeom>
        <a:noFill/>
        <a:ln w="12700" cap="flat" cmpd="sng" algn="ctr">
          <a:solidFill>
            <a:srgbClr val="5B9BD5"/>
          </a:solidFill>
          <a:prstDash val="solid"/>
        </a:ln>
        <a:effectLst/>
        <a:scene3d>
          <a:camera prst="orthographicFront">
            <a:rot lat="0" lon="0" rev="0"/>
          </a:camera>
          <a:lightRig rig="threePt" dir="t"/>
        </a:scene3d>
      </dsp:spPr>
      <dsp:style>
        <a:lnRef idx="2">
          <a:scrgbClr r="0" g="0" b="0"/>
        </a:lnRef>
        <a:fillRef idx="0">
          <a:scrgbClr r="0" g="0" b="0"/>
        </a:fillRef>
        <a:effectRef idx="0">
          <a:scrgbClr r="0" g="0" b="0"/>
        </a:effectRef>
        <a:fontRef idx="minor"/>
      </dsp:style>
    </dsp:sp>
    <dsp:sp modelId="{3BB4975B-1285-44A2-AD19-5119C8F2C7A5}">
      <dsp:nvSpPr>
        <dsp:cNvPr id="0" name=""/>
        <dsp:cNvSpPr/>
      </dsp:nvSpPr>
      <dsp:spPr>
        <a:xfrm>
          <a:off x="3144739" y="840448"/>
          <a:ext cx="1078944" cy="820354"/>
        </a:xfrm>
        <a:custGeom>
          <a:avLst/>
          <a:gdLst/>
          <a:ahLst/>
          <a:cxnLst/>
          <a:rect l="0" t="0" r="0" b="0"/>
          <a:pathLst>
            <a:path>
              <a:moveTo>
                <a:pt x="1078944" y="0"/>
              </a:moveTo>
              <a:lnTo>
                <a:pt x="1078944" y="726726"/>
              </a:lnTo>
              <a:lnTo>
                <a:pt x="0" y="726726"/>
              </a:lnTo>
              <a:lnTo>
                <a:pt x="0" y="820354"/>
              </a:lnTo>
            </a:path>
          </a:pathLst>
        </a:custGeom>
        <a:noFill/>
        <a:ln w="12700" cap="flat" cmpd="sng" algn="ctr">
          <a:solidFill>
            <a:srgbClr val="70AD47"/>
          </a:solidFill>
          <a:prstDash val="solid"/>
        </a:ln>
        <a:effectLst/>
        <a:scene3d>
          <a:camera prst="orthographicFront">
            <a:rot lat="0" lon="0" rev="0"/>
          </a:camera>
          <a:lightRig rig="threePt" dir="t"/>
        </a:scene3d>
      </dsp:spPr>
      <dsp:style>
        <a:lnRef idx="2">
          <a:scrgbClr r="0" g="0" b="0"/>
        </a:lnRef>
        <a:fillRef idx="0">
          <a:scrgbClr r="0" g="0" b="0"/>
        </a:fillRef>
        <a:effectRef idx="0">
          <a:scrgbClr r="0" g="0" b="0"/>
        </a:effectRef>
        <a:fontRef idx="minor"/>
      </dsp:style>
    </dsp:sp>
    <dsp:sp modelId="{94FE843F-7FB3-4ECE-9CF4-58024DD6DFBE}">
      <dsp:nvSpPr>
        <dsp:cNvPr id="0" name=""/>
        <dsp:cNvSpPr/>
      </dsp:nvSpPr>
      <dsp:spPr>
        <a:xfrm>
          <a:off x="1169647" y="2739747"/>
          <a:ext cx="133753" cy="1044226"/>
        </a:xfrm>
        <a:custGeom>
          <a:avLst/>
          <a:gdLst/>
          <a:ahLst/>
          <a:cxnLst/>
          <a:rect l="0" t="0" r="0" b="0"/>
          <a:pathLst>
            <a:path>
              <a:moveTo>
                <a:pt x="0" y="0"/>
              </a:moveTo>
              <a:lnTo>
                <a:pt x="0" y="1044226"/>
              </a:lnTo>
              <a:lnTo>
                <a:pt x="133753" y="1044226"/>
              </a:lnTo>
            </a:path>
          </a:pathLst>
        </a:custGeom>
        <a:noFill/>
        <a:ln w="12700" cap="flat" cmpd="sng" algn="ctr">
          <a:solidFill>
            <a:srgbClr val="ED7D31"/>
          </a:solidFill>
          <a:prstDash val="solid"/>
        </a:ln>
        <a:effectLst/>
        <a:scene3d>
          <a:camera prst="orthographicFront">
            <a:rot lat="0" lon="0" rev="0"/>
          </a:camera>
          <a:lightRig rig="threePt" dir="t"/>
        </a:scene3d>
      </dsp:spPr>
      <dsp:style>
        <a:lnRef idx="2">
          <a:scrgbClr r="0" g="0" b="0"/>
        </a:lnRef>
        <a:fillRef idx="0">
          <a:scrgbClr r="0" g="0" b="0"/>
        </a:fillRef>
        <a:effectRef idx="0">
          <a:scrgbClr r="0" g="0" b="0"/>
        </a:effectRef>
        <a:fontRef idx="minor"/>
      </dsp:style>
    </dsp:sp>
    <dsp:sp modelId="{D80CD902-081A-4AE4-AE2F-7ED33C5AC208}">
      <dsp:nvSpPr>
        <dsp:cNvPr id="0" name=""/>
        <dsp:cNvSpPr/>
      </dsp:nvSpPr>
      <dsp:spPr>
        <a:xfrm>
          <a:off x="1169647" y="2739747"/>
          <a:ext cx="133753" cy="411126"/>
        </a:xfrm>
        <a:custGeom>
          <a:avLst/>
          <a:gdLst/>
          <a:ahLst/>
          <a:cxnLst/>
          <a:rect l="0" t="0" r="0" b="0"/>
          <a:pathLst>
            <a:path>
              <a:moveTo>
                <a:pt x="0" y="0"/>
              </a:moveTo>
              <a:lnTo>
                <a:pt x="0" y="411126"/>
              </a:lnTo>
              <a:lnTo>
                <a:pt x="133753" y="411126"/>
              </a:lnTo>
            </a:path>
          </a:pathLst>
        </a:custGeom>
        <a:noFill/>
        <a:ln w="12700" cap="flat" cmpd="sng" algn="ctr">
          <a:solidFill>
            <a:srgbClr val="ED7D31"/>
          </a:solidFill>
          <a:prstDash val="solid"/>
        </a:ln>
        <a:effectLst/>
        <a:scene3d>
          <a:camera prst="orthographicFront">
            <a:rot lat="0" lon="0" rev="0"/>
          </a:camera>
          <a:lightRig rig="threePt" dir="t"/>
        </a:scene3d>
      </dsp:spPr>
      <dsp:style>
        <a:lnRef idx="2">
          <a:scrgbClr r="0" g="0" b="0"/>
        </a:lnRef>
        <a:fillRef idx="0">
          <a:scrgbClr r="0" g="0" b="0"/>
        </a:fillRef>
        <a:effectRef idx="0">
          <a:scrgbClr r="0" g="0" b="0"/>
        </a:effectRef>
        <a:fontRef idx="minor"/>
      </dsp:style>
    </dsp:sp>
    <dsp:sp modelId="{E99C197F-8BC7-4D67-8112-A2CDE2BDCA21}">
      <dsp:nvSpPr>
        <dsp:cNvPr id="0" name=""/>
        <dsp:cNvSpPr/>
      </dsp:nvSpPr>
      <dsp:spPr>
        <a:xfrm>
          <a:off x="986851" y="2106647"/>
          <a:ext cx="539472" cy="187254"/>
        </a:xfrm>
        <a:custGeom>
          <a:avLst/>
          <a:gdLst/>
          <a:ahLst/>
          <a:cxnLst/>
          <a:rect l="0" t="0" r="0" b="0"/>
          <a:pathLst>
            <a:path>
              <a:moveTo>
                <a:pt x="0" y="0"/>
              </a:moveTo>
              <a:lnTo>
                <a:pt x="0" y="93627"/>
              </a:lnTo>
              <a:lnTo>
                <a:pt x="539472" y="93627"/>
              </a:lnTo>
              <a:lnTo>
                <a:pt x="539472" y="187254"/>
              </a:lnTo>
            </a:path>
          </a:pathLst>
        </a:custGeom>
        <a:noFill/>
        <a:ln w="12700" cap="flat" cmpd="sng" algn="ctr">
          <a:solidFill>
            <a:srgbClr val="5B9BD5"/>
          </a:solidFill>
          <a:prstDash val="solid"/>
        </a:ln>
        <a:effectLst/>
        <a:scene3d>
          <a:camera prst="orthographicFront">
            <a:rot lat="0" lon="0" rev="0"/>
          </a:camera>
          <a:lightRig rig="threePt" dir="t"/>
        </a:scene3d>
      </dsp:spPr>
      <dsp:style>
        <a:lnRef idx="2">
          <a:scrgbClr r="0" g="0" b="0"/>
        </a:lnRef>
        <a:fillRef idx="0">
          <a:scrgbClr r="0" g="0" b="0"/>
        </a:fillRef>
        <a:effectRef idx="0">
          <a:scrgbClr r="0" g="0" b="0"/>
        </a:effectRef>
        <a:fontRef idx="minor"/>
      </dsp:style>
    </dsp:sp>
    <dsp:sp modelId="{D0C8E380-7D35-4794-8912-526D8101F4E8}">
      <dsp:nvSpPr>
        <dsp:cNvPr id="0" name=""/>
        <dsp:cNvSpPr/>
      </dsp:nvSpPr>
      <dsp:spPr>
        <a:xfrm>
          <a:off x="90703" y="2744695"/>
          <a:ext cx="133753" cy="1039277"/>
        </a:xfrm>
        <a:custGeom>
          <a:avLst/>
          <a:gdLst/>
          <a:ahLst/>
          <a:cxnLst/>
          <a:rect l="0" t="0" r="0" b="0"/>
          <a:pathLst>
            <a:path>
              <a:moveTo>
                <a:pt x="0" y="0"/>
              </a:moveTo>
              <a:lnTo>
                <a:pt x="0" y="1039277"/>
              </a:lnTo>
              <a:lnTo>
                <a:pt x="133753" y="1039277"/>
              </a:lnTo>
            </a:path>
          </a:pathLst>
        </a:custGeom>
        <a:noFill/>
        <a:ln w="12700" cap="flat" cmpd="sng" algn="ctr">
          <a:solidFill>
            <a:srgbClr val="ED7D31"/>
          </a:solidFill>
          <a:prstDash val="solid"/>
        </a:ln>
        <a:effectLst/>
        <a:scene3d>
          <a:camera prst="orthographicFront">
            <a:rot lat="0" lon="0" rev="0"/>
          </a:camera>
          <a:lightRig rig="threePt" dir="t"/>
        </a:scene3d>
      </dsp:spPr>
      <dsp:style>
        <a:lnRef idx="2">
          <a:scrgbClr r="0" g="0" b="0"/>
        </a:lnRef>
        <a:fillRef idx="0">
          <a:scrgbClr r="0" g="0" b="0"/>
        </a:fillRef>
        <a:effectRef idx="0">
          <a:scrgbClr r="0" g="0" b="0"/>
        </a:effectRef>
        <a:fontRef idx="minor"/>
      </dsp:style>
    </dsp:sp>
    <dsp:sp modelId="{9DBD5B21-7DF5-4F4A-B318-0DDA980CC3EB}">
      <dsp:nvSpPr>
        <dsp:cNvPr id="0" name=""/>
        <dsp:cNvSpPr/>
      </dsp:nvSpPr>
      <dsp:spPr>
        <a:xfrm>
          <a:off x="90703" y="2744695"/>
          <a:ext cx="133753" cy="406177"/>
        </a:xfrm>
        <a:custGeom>
          <a:avLst/>
          <a:gdLst/>
          <a:ahLst/>
          <a:cxnLst/>
          <a:rect l="0" t="0" r="0" b="0"/>
          <a:pathLst>
            <a:path>
              <a:moveTo>
                <a:pt x="0" y="0"/>
              </a:moveTo>
              <a:lnTo>
                <a:pt x="0" y="406177"/>
              </a:lnTo>
              <a:lnTo>
                <a:pt x="133753" y="406177"/>
              </a:lnTo>
            </a:path>
          </a:pathLst>
        </a:custGeom>
        <a:noFill/>
        <a:ln w="12700" cap="flat" cmpd="sng" algn="ctr">
          <a:solidFill>
            <a:srgbClr val="ED7D31"/>
          </a:solidFill>
          <a:prstDash val="solid"/>
        </a:ln>
        <a:effectLst/>
        <a:scene3d>
          <a:camera prst="orthographicFront">
            <a:rot lat="0" lon="0" rev="0"/>
          </a:camera>
          <a:lightRig rig="threePt" dir="t"/>
        </a:scene3d>
      </dsp:spPr>
      <dsp:style>
        <a:lnRef idx="2">
          <a:scrgbClr r="0" g="0" b="0"/>
        </a:lnRef>
        <a:fillRef idx="0">
          <a:scrgbClr r="0" g="0" b="0"/>
        </a:fillRef>
        <a:effectRef idx="0">
          <a:scrgbClr r="0" g="0" b="0"/>
        </a:effectRef>
        <a:fontRef idx="minor"/>
      </dsp:style>
    </dsp:sp>
    <dsp:sp modelId="{65E5A0F3-CB90-40A0-8DD5-52D7B723006A}">
      <dsp:nvSpPr>
        <dsp:cNvPr id="0" name=""/>
        <dsp:cNvSpPr/>
      </dsp:nvSpPr>
      <dsp:spPr>
        <a:xfrm>
          <a:off x="447379" y="2106647"/>
          <a:ext cx="539472" cy="192203"/>
        </a:xfrm>
        <a:custGeom>
          <a:avLst/>
          <a:gdLst/>
          <a:ahLst/>
          <a:cxnLst/>
          <a:rect l="0" t="0" r="0" b="0"/>
          <a:pathLst>
            <a:path>
              <a:moveTo>
                <a:pt x="539472" y="0"/>
              </a:moveTo>
              <a:lnTo>
                <a:pt x="539472" y="98576"/>
              </a:lnTo>
              <a:lnTo>
                <a:pt x="0" y="98576"/>
              </a:lnTo>
              <a:lnTo>
                <a:pt x="0" y="192203"/>
              </a:lnTo>
            </a:path>
          </a:pathLst>
        </a:custGeom>
        <a:noFill/>
        <a:ln w="12700" cap="flat" cmpd="sng" algn="ctr">
          <a:solidFill>
            <a:srgbClr val="5B9BD5"/>
          </a:solidFill>
          <a:prstDash val="solid"/>
        </a:ln>
        <a:effectLst/>
        <a:scene3d>
          <a:camera prst="orthographicFront">
            <a:rot lat="0" lon="0" rev="0"/>
          </a:camera>
          <a:lightRig rig="threePt" dir="t"/>
        </a:scene3d>
      </dsp:spPr>
      <dsp:style>
        <a:lnRef idx="2">
          <a:scrgbClr r="0" g="0" b="0"/>
        </a:lnRef>
        <a:fillRef idx="0">
          <a:scrgbClr r="0" g="0" b="0"/>
        </a:fillRef>
        <a:effectRef idx="0">
          <a:scrgbClr r="0" g="0" b="0"/>
        </a:effectRef>
        <a:fontRef idx="minor"/>
      </dsp:style>
    </dsp:sp>
    <dsp:sp modelId="{D531929E-42F5-430F-BA72-CE7A4E365C72}">
      <dsp:nvSpPr>
        <dsp:cNvPr id="0" name=""/>
        <dsp:cNvSpPr/>
      </dsp:nvSpPr>
      <dsp:spPr>
        <a:xfrm>
          <a:off x="986851" y="840448"/>
          <a:ext cx="3236832" cy="820354"/>
        </a:xfrm>
        <a:custGeom>
          <a:avLst/>
          <a:gdLst/>
          <a:ahLst/>
          <a:cxnLst/>
          <a:rect l="0" t="0" r="0" b="0"/>
          <a:pathLst>
            <a:path>
              <a:moveTo>
                <a:pt x="3236832" y="0"/>
              </a:moveTo>
              <a:lnTo>
                <a:pt x="3236832" y="726726"/>
              </a:lnTo>
              <a:lnTo>
                <a:pt x="0" y="726726"/>
              </a:lnTo>
              <a:lnTo>
                <a:pt x="0" y="820354"/>
              </a:lnTo>
            </a:path>
          </a:pathLst>
        </a:custGeom>
        <a:noFill/>
        <a:ln w="12700" cap="flat" cmpd="sng" algn="ctr">
          <a:solidFill>
            <a:srgbClr val="70AD47"/>
          </a:solidFill>
          <a:prstDash val="solid"/>
        </a:ln>
        <a:effectLst/>
        <a:scene3d>
          <a:camera prst="orthographicFront">
            <a:rot lat="0" lon="0" rev="0"/>
          </a:camera>
          <a:lightRig rig="threePt" dir="t"/>
        </a:scene3d>
      </dsp:spPr>
      <dsp:style>
        <a:lnRef idx="2">
          <a:scrgbClr r="0" g="0" b="0"/>
        </a:lnRef>
        <a:fillRef idx="0">
          <a:scrgbClr r="0" g="0" b="0"/>
        </a:fillRef>
        <a:effectRef idx="0">
          <a:scrgbClr r="0" g="0" b="0"/>
        </a:effectRef>
        <a:fontRef idx="minor"/>
      </dsp:style>
    </dsp:sp>
    <dsp:sp modelId="{D9078797-6CC3-49D8-AD81-E32DEF5F82C5}">
      <dsp:nvSpPr>
        <dsp:cNvPr id="0" name=""/>
        <dsp:cNvSpPr/>
      </dsp:nvSpPr>
      <dsp:spPr>
        <a:xfrm>
          <a:off x="3468578" y="394604"/>
          <a:ext cx="1510209" cy="445844"/>
        </a:xfrm>
        <a:prstGeom prst="rect">
          <a:avLst/>
        </a:prstGeom>
        <a:solidFill>
          <a:srgbClr val="FFC000"/>
        </a:solidFill>
        <a:ln w="25400" cap="flat" cmpd="sng" algn="ctr">
          <a:solidFill>
            <a:schemeClr val="lt1">
              <a:hueOff val="0"/>
              <a:satOff val="0"/>
              <a:lumOff val="0"/>
              <a:alphaOff val="0"/>
            </a:schemeClr>
          </a:solidFill>
          <a:prstDash val="solid"/>
        </a:ln>
        <a:effectLst/>
        <a:scene3d>
          <a:camera prst="orthographicFront">
            <a:rot lat="0" lon="0" rev="0"/>
          </a:camera>
          <a:lightRig rig="threePt" dir="t"/>
        </a:scene3d>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pl-PL" sz="1000" b="1" kern="1200">
              <a:solidFill>
                <a:sysClr val="windowText" lastClr="000000"/>
              </a:solidFill>
            </a:rPr>
            <a:t>Gminny Program Rewitalizacji. Bytom 2020+</a:t>
          </a:r>
        </a:p>
      </dsp:txBody>
      <dsp:txXfrm>
        <a:off x="3468578" y="394604"/>
        <a:ext cx="1510209" cy="445844"/>
      </dsp:txXfrm>
    </dsp:sp>
    <dsp:sp modelId="{B029C857-AA05-440E-AC31-6ADEC6FBCA3D}">
      <dsp:nvSpPr>
        <dsp:cNvPr id="0" name=""/>
        <dsp:cNvSpPr/>
      </dsp:nvSpPr>
      <dsp:spPr>
        <a:xfrm>
          <a:off x="541006" y="1660802"/>
          <a:ext cx="891689" cy="445844"/>
        </a:xfrm>
        <a:prstGeom prst="rect">
          <a:avLst/>
        </a:prstGeom>
        <a:solidFill>
          <a:srgbClr val="70AD47"/>
        </a:solidFill>
        <a:ln w="25400" cap="flat" cmpd="sng" algn="ctr">
          <a:solidFill>
            <a:schemeClr val="lt1">
              <a:hueOff val="0"/>
              <a:satOff val="0"/>
              <a:lumOff val="0"/>
              <a:alphaOff val="0"/>
            </a:schemeClr>
          </a:solidFill>
          <a:prstDash val="solid"/>
        </a:ln>
        <a:effectLst/>
        <a:scene3d>
          <a:camera prst="orthographicFront">
            <a:rot lat="0" lon="0" rev="0"/>
          </a:camera>
          <a:lightRig rig="threePt" dir="t"/>
        </a:scene3d>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pl-PL" sz="800" b="1" kern="1200">
              <a:solidFill>
                <a:sysClr val="windowText" lastClr="000000"/>
              </a:solidFill>
            </a:rPr>
            <a:t>WIĄZKA 1</a:t>
          </a:r>
        </a:p>
      </dsp:txBody>
      <dsp:txXfrm>
        <a:off x="541006" y="1660802"/>
        <a:ext cx="891689" cy="445844"/>
      </dsp:txXfrm>
    </dsp:sp>
    <dsp:sp modelId="{4910A01F-7AD1-4E21-87DF-92760EE4AD81}">
      <dsp:nvSpPr>
        <dsp:cNvPr id="0" name=""/>
        <dsp:cNvSpPr/>
      </dsp:nvSpPr>
      <dsp:spPr>
        <a:xfrm>
          <a:off x="1534" y="2298851"/>
          <a:ext cx="891689" cy="445844"/>
        </a:xfrm>
        <a:prstGeom prst="rect">
          <a:avLst/>
        </a:prstGeom>
        <a:solidFill>
          <a:srgbClr val="5B9BD5"/>
        </a:solidFill>
        <a:ln w="25400" cap="flat" cmpd="sng" algn="ctr">
          <a:solidFill>
            <a:schemeClr val="lt1">
              <a:hueOff val="0"/>
              <a:satOff val="0"/>
              <a:lumOff val="0"/>
              <a:alphaOff val="0"/>
            </a:schemeClr>
          </a:solidFill>
          <a:prstDash val="solid"/>
        </a:ln>
        <a:effectLst/>
        <a:scene3d>
          <a:camera prst="orthographicFront">
            <a:rot lat="0" lon="0" rev="0"/>
          </a:camera>
          <a:lightRig rig="threePt" dir="t"/>
        </a:scene3d>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pl-PL" sz="800" b="1" kern="1200">
              <a:solidFill>
                <a:sysClr val="windowText" lastClr="000000"/>
              </a:solidFill>
            </a:rPr>
            <a:t>Program działań inwestycyjnych</a:t>
          </a:r>
        </a:p>
      </dsp:txBody>
      <dsp:txXfrm>
        <a:off x="1534" y="2298851"/>
        <a:ext cx="891689" cy="445844"/>
      </dsp:txXfrm>
    </dsp:sp>
    <dsp:sp modelId="{00B70C33-B204-4AF2-97C7-F6E47BB54311}">
      <dsp:nvSpPr>
        <dsp:cNvPr id="0" name=""/>
        <dsp:cNvSpPr/>
      </dsp:nvSpPr>
      <dsp:spPr>
        <a:xfrm>
          <a:off x="224457" y="2927951"/>
          <a:ext cx="891689" cy="445844"/>
        </a:xfrm>
        <a:prstGeom prst="rect">
          <a:avLst/>
        </a:prstGeom>
        <a:solidFill>
          <a:srgbClr val="ED7D31"/>
        </a:solidFill>
        <a:ln w="25400" cap="flat" cmpd="sng" algn="ctr">
          <a:solidFill>
            <a:schemeClr val="lt1">
              <a:hueOff val="0"/>
              <a:satOff val="0"/>
              <a:lumOff val="0"/>
              <a:alphaOff val="0"/>
            </a:schemeClr>
          </a:solidFill>
          <a:prstDash val="solid"/>
        </a:ln>
        <a:effectLst/>
        <a:scene3d>
          <a:camera prst="orthographicFront">
            <a:rot lat="0" lon="0" rev="0"/>
          </a:camera>
          <a:lightRig rig="threePt" dir="t"/>
        </a:scene3d>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pl-PL" sz="800" b="1" kern="1200">
              <a:solidFill>
                <a:sysClr val="windowText" lastClr="000000"/>
              </a:solidFill>
            </a:rPr>
            <a:t>projekty miejskie</a:t>
          </a:r>
        </a:p>
      </dsp:txBody>
      <dsp:txXfrm>
        <a:off x="224457" y="2927951"/>
        <a:ext cx="891689" cy="445844"/>
      </dsp:txXfrm>
    </dsp:sp>
    <dsp:sp modelId="{A5F0B974-3782-47D3-B19C-D9064C01EE3E}">
      <dsp:nvSpPr>
        <dsp:cNvPr id="0" name=""/>
        <dsp:cNvSpPr/>
      </dsp:nvSpPr>
      <dsp:spPr>
        <a:xfrm>
          <a:off x="224457" y="3561050"/>
          <a:ext cx="891689" cy="445844"/>
        </a:xfrm>
        <a:prstGeom prst="rect">
          <a:avLst/>
        </a:prstGeom>
        <a:solidFill>
          <a:srgbClr val="ED7D31"/>
        </a:solidFill>
        <a:ln w="25400" cap="flat" cmpd="sng" algn="ctr">
          <a:solidFill>
            <a:schemeClr val="lt1">
              <a:hueOff val="0"/>
              <a:satOff val="0"/>
              <a:lumOff val="0"/>
              <a:alphaOff val="0"/>
            </a:schemeClr>
          </a:solidFill>
          <a:prstDash val="solid"/>
        </a:ln>
        <a:effectLst/>
        <a:scene3d>
          <a:camera prst="orthographicFront">
            <a:rot lat="0" lon="0" rev="0"/>
          </a:camera>
          <a:lightRig rig="threePt" dir="t"/>
        </a:scene3d>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pl-PL" sz="800" b="1" kern="1200">
              <a:solidFill>
                <a:sysClr val="windowText" lastClr="000000"/>
              </a:solidFill>
            </a:rPr>
            <a:t>projekty partnerów zewnętrznych</a:t>
          </a:r>
        </a:p>
      </dsp:txBody>
      <dsp:txXfrm>
        <a:off x="224457" y="3561050"/>
        <a:ext cx="891689" cy="445844"/>
      </dsp:txXfrm>
    </dsp:sp>
    <dsp:sp modelId="{B9B97415-09C8-4C50-9A53-12510FC0AF0D}">
      <dsp:nvSpPr>
        <dsp:cNvPr id="0" name=""/>
        <dsp:cNvSpPr/>
      </dsp:nvSpPr>
      <dsp:spPr>
        <a:xfrm>
          <a:off x="1080478" y="2293902"/>
          <a:ext cx="891689" cy="445844"/>
        </a:xfrm>
        <a:prstGeom prst="rect">
          <a:avLst/>
        </a:prstGeom>
        <a:solidFill>
          <a:srgbClr val="5B9BD5"/>
        </a:solidFill>
        <a:ln w="25400" cap="flat" cmpd="sng" algn="ctr">
          <a:solidFill>
            <a:schemeClr val="lt1">
              <a:hueOff val="0"/>
              <a:satOff val="0"/>
              <a:lumOff val="0"/>
              <a:alphaOff val="0"/>
            </a:schemeClr>
          </a:solidFill>
          <a:prstDash val="solid"/>
        </a:ln>
        <a:effectLst/>
        <a:scene3d>
          <a:camera prst="orthographicFront">
            <a:rot lat="0" lon="0" rev="0"/>
          </a:camera>
          <a:lightRig rig="threePt" dir="t"/>
        </a:scene3d>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pl-PL" sz="800" b="1" kern="1200">
              <a:solidFill>
                <a:sysClr val="windowText" lastClr="000000"/>
              </a:solidFill>
            </a:rPr>
            <a:t>Program działań społeczno-gospodarczych</a:t>
          </a:r>
          <a:endParaRPr lang="pl-PL" sz="800" b="1" kern="1200">
            <a:solidFill>
              <a:sysClr val="windowText" lastClr="000000"/>
            </a:solidFill>
            <a:latin typeface="Arial Narrow" panose="020B0606020202030204" pitchFamily="34" charset="0"/>
            <a:cs typeface="Arial" panose="020B0604020202020204" pitchFamily="34" charset="0"/>
          </a:endParaRPr>
        </a:p>
      </dsp:txBody>
      <dsp:txXfrm>
        <a:off x="1080478" y="2293902"/>
        <a:ext cx="891689" cy="445844"/>
      </dsp:txXfrm>
    </dsp:sp>
    <dsp:sp modelId="{7F6EFC2B-5142-4D1B-A1E9-0809F85C8CF8}">
      <dsp:nvSpPr>
        <dsp:cNvPr id="0" name=""/>
        <dsp:cNvSpPr/>
      </dsp:nvSpPr>
      <dsp:spPr>
        <a:xfrm>
          <a:off x="1303401" y="2927951"/>
          <a:ext cx="891689" cy="445844"/>
        </a:xfrm>
        <a:prstGeom prst="rect">
          <a:avLst/>
        </a:prstGeom>
        <a:solidFill>
          <a:srgbClr val="ED7D31"/>
        </a:solidFill>
        <a:ln w="25400" cap="flat" cmpd="sng" algn="ctr">
          <a:solidFill>
            <a:schemeClr val="lt1">
              <a:hueOff val="0"/>
              <a:satOff val="0"/>
              <a:lumOff val="0"/>
              <a:alphaOff val="0"/>
            </a:schemeClr>
          </a:solidFill>
          <a:prstDash val="solid"/>
        </a:ln>
        <a:effectLst/>
        <a:scene3d>
          <a:camera prst="orthographicFront">
            <a:rot lat="0" lon="0" rev="0"/>
          </a:camera>
          <a:lightRig rig="threePt" dir="t"/>
        </a:scene3d>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pl-PL" sz="800" b="1" kern="1200">
              <a:solidFill>
                <a:sysClr val="windowText" lastClr="000000"/>
              </a:solidFill>
            </a:rPr>
            <a:t>projekty miejskie</a:t>
          </a:r>
        </a:p>
      </dsp:txBody>
      <dsp:txXfrm>
        <a:off x="1303401" y="2927951"/>
        <a:ext cx="891689" cy="445844"/>
      </dsp:txXfrm>
    </dsp:sp>
    <dsp:sp modelId="{7F831AD7-7331-49FC-9EDE-79134C1916FE}">
      <dsp:nvSpPr>
        <dsp:cNvPr id="0" name=""/>
        <dsp:cNvSpPr/>
      </dsp:nvSpPr>
      <dsp:spPr>
        <a:xfrm>
          <a:off x="1303401" y="3561050"/>
          <a:ext cx="891689" cy="445844"/>
        </a:xfrm>
        <a:prstGeom prst="rect">
          <a:avLst/>
        </a:prstGeom>
        <a:solidFill>
          <a:srgbClr val="ED7D31"/>
        </a:solidFill>
        <a:ln w="25400" cap="flat" cmpd="sng" algn="ctr">
          <a:solidFill>
            <a:schemeClr val="lt1">
              <a:hueOff val="0"/>
              <a:satOff val="0"/>
              <a:lumOff val="0"/>
              <a:alphaOff val="0"/>
            </a:schemeClr>
          </a:solidFill>
          <a:prstDash val="solid"/>
        </a:ln>
        <a:effectLst/>
        <a:scene3d>
          <a:camera prst="orthographicFront">
            <a:rot lat="0" lon="0" rev="0"/>
          </a:camera>
          <a:lightRig rig="threePt" dir="t"/>
        </a:scene3d>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pl-PL" sz="800" b="1" kern="1200">
              <a:solidFill>
                <a:sysClr val="windowText" lastClr="000000"/>
              </a:solidFill>
            </a:rPr>
            <a:t>projekty partnerów zewnętrznych</a:t>
          </a:r>
        </a:p>
      </dsp:txBody>
      <dsp:txXfrm>
        <a:off x="1303401" y="3561050"/>
        <a:ext cx="891689" cy="445844"/>
      </dsp:txXfrm>
    </dsp:sp>
    <dsp:sp modelId="{90D4B256-36B3-4421-9BD5-56213863E1B2}">
      <dsp:nvSpPr>
        <dsp:cNvPr id="0" name=""/>
        <dsp:cNvSpPr/>
      </dsp:nvSpPr>
      <dsp:spPr>
        <a:xfrm>
          <a:off x="2698895" y="1660802"/>
          <a:ext cx="891689" cy="445844"/>
        </a:xfrm>
        <a:prstGeom prst="rect">
          <a:avLst/>
        </a:prstGeom>
        <a:solidFill>
          <a:srgbClr val="70AD47"/>
        </a:solidFill>
        <a:ln w="25400" cap="flat" cmpd="sng" algn="ctr">
          <a:solidFill>
            <a:schemeClr val="lt1">
              <a:hueOff val="0"/>
              <a:satOff val="0"/>
              <a:lumOff val="0"/>
              <a:alphaOff val="0"/>
            </a:schemeClr>
          </a:solidFill>
          <a:prstDash val="solid"/>
        </a:ln>
        <a:effectLst/>
        <a:scene3d>
          <a:camera prst="orthographicFront">
            <a:rot lat="0" lon="0" rev="0"/>
          </a:camera>
          <a:lightRig rig="threePt" dir="t"/>
        </a:scene3d>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pl-PL" sz="800" b="1" kern="1200">
              <a:solidFill>
                <a:sysClr val="windowText" lastClr="000000"/>
              </a:solidFill>
            </a:rPr>
            <a:t>WIĄZKA 2</a:t>
          </a:r>
        </a:p>
      </dsp:txBody>
      <dsp:txXfrm>
        <a:off x="2698895" y="1660802"/>
        <a:ext cx="891689" cy="445844"/>
      </dsp:txXfrm>
    </dsp:sp>
    <dsp:sp modelId="{8CB8B564-C434-435A-9284-C51267B97848}">
      <dsp:nvSpPr>
        <dsp:cNvPr id="0" name=""/>
        <dsp:cNvSpPr/>
      </dsp:nvSpPr>
      <dsp:spPr>
        <a:xfrm>
          <a:off x="2159422" y="2293902"/>
          <a:ext cx="891689" cy="445844"/>
        </a:xfrm>
        <a:prstGeom prst="rect">
          <a:avLst/>
        </a:prstGeom>
        <a:solidFill>
          <a:srgbClr val="5B9BD5"/>
        </a:solidFill>
        <a:ln w="25400" cap="flat" cmpd="sng" algn="ctr">
          <a:solidFill>
            <a:schemeClr val="lt1">
              <a:hueOff val="0"/>
              <a:satOff val="0"/>
              <a:lumOff val="0"/>
              <a:alphaOff val="0"/>
            </a:schemeClr>
          </a:solidFill>
          <a:prstDash val="solid"/>
        </a:ln>
        <a:effectLst/>
        <a:scene3d>
          <a:camera prst="orthographicFront">
            <a:rot lat="0" lon="0" rev="0"/>
          </a:camera>
          <a:lightRig rig="threePt" dir="t"/>
        </a:scene3d>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pl-PL" sz="800" b="1" kern="1200">
              <a:solidFill>
                <a:sysClr val="windowText" lastClr="000000"/>
              </a:solidFill>
            </a:rPr>
            <a:t>Program działań inwestycyjnych</a:t>
          </a:r>
        </a:p>
      </dsp:txBody>
      <dsp:txXfrm>
        <a:off x="2159422" y="2293902"/>
        <a:ext cx="891689" cy="445844"/>
      </dsp:txXfrm>
    </dsp:sp>
    <dsp:sp modelId="{E6CF110F-E22E-445A-B27C-052EDD5B8121}">
      <dsp:nvSpPr>
        <dsp:cNvPr id="0" name=""/>
        <dsp:cNvSpPr/>
      </dsp:nvSpPr>
      <dsp:spPr>
        <a:xfrm>
          <a:off x="2382345" y="2927001"/>
          <a:ext cx="891689" cy="445844"/>
        </a:xfrm>
        <a:prstGeom prst="rect">
          <a:avLst/>
        </a:prstGeom>
        <a:solidFill>
          <a:srgbClr val="ED7D31"/>
        </a:solidFill>
        <a:ln w="25400" cap="flat" cmpd="sng" algn="ctr">
          <a:solidFill>
            <a:schemeClr val="lt1">
              <a:hueOff val="0"/>
              <a:satOff val="0"/>
              <a:lumOff val="0"/>
              <a:alphaOff val="0"/>
            </a:schemeClr>
          </a:solidFill>
          <a:prstDash val="solid"/>
        </a:ln>
        <a:effectLst/>
        <a:scene3d>
          <a:camera prst="orthographicFront">
            <a:rot lat="0" lon="0" rev="0"/>
          </a:camera>
          <a:lightRig rig="threePt" dir="t"/>
        </a:scene3d>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pl-PL" sz="800" b="1" kern="1200">
              <a:solidFill>
                <a:sysClr val="windowText" lastClr="000000"/>
              </a:solidFill>
            </a:rPr>
            <a:t>projekty miejskie</a:t>
          </a:r>
        </a:p>
      </dsp:txBody>
      <dsp:txXfrm>
        <a:off x="2382345" y="2927001"/>
        <a:ext cx="891689" cy="445844"/>
      </dsp:txXfrm>
    </dsp:sp>
    <dsp:sp modelId="{29A80216-1CD5-4CA9-88A1-17FE6F6C66FA}">
      <dsp:nvSpPr>
        <dsp:cNvPr id="0" name=""/>
        <dsp:cNvSpPr/>
      </dsp:nvSpPr>
      <dsp:spPr>
        <a:xfrm>
          <a:off x="2382345" y="3560101"/>
          <a:ext cx="891689" cy="445844"/>
        </a:xfrm>
        <a:prstGeom prst="rect">
          <a:avLst/>
        </a:prstGeom>
        <a:solidFill>
          <a:srgbClr val="ED7D31"/>
        </a:solidFill>
        <a:ln w="25400" cap="flat" cmpd="sng" algn="ctr">
          <a:solidFill>
            <a:schemeClr val="lt1">
              <a:hueOff val="0"/>
              <a:satOff val="0"/>
              <a:lumOff val="0"/>
              <a:alphaOff val="0"/>
            </a:schemeClr>
          </a:solidFill>
          <a:prstDash val="solid"/>
        </a:ln>
        <a:effectLst/>
        <a:scene3d>
          <a:camera prst="orthographicFront">
            <a:rot lat="0" lon="0" rev="0"/>
          </a:camera>
          <a:lightRig rig="threePt" dir="t"/>
        </a:scene3d>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pl-PL" sz="800" b="1" kern="1200">
              <a:solidFill>
                <a:sysClr val="windowText" lastClr="000000"/>
              </a:solidFill>
            </a:rPr>
            <a:t>projekty partnerów zewnętrznych</a:t>
          </a:r>
        </a:p>
      </dsp:txBody>
      <dsp:txXfrm>
        <a:off x="2382345" y="3560101"/>
        <a:ext cx="891689" cy="445844"/>
      </dsp:txXfrm>
    </dsp:sp>
    <dsp:sp modelId="{33B3EC3B-64FF-4487-A04E-1B5377E2C9EE}">
      <dsp:nvSpPr>
        <dsp:cNvPr id="0" name=""/>
        <dsp:cNvSpPr/>
      </dsp:nvSpPr>
      <dsp:spPr>
        <a:xfrm>
          <a:off x="3238367" y="2293902"/>
          <a:ext cx="891689" cy="445844"/>
        </a:xfrm>
        <a:prstGeom prst="rect">
          <a:avLst/>
        </a:prstGeom>
        <a:solidFill>
          <a:srgbClr val="5B9BD5"/>
        </a:solidFill>
        <a:ln w="25400" cap="flat" cmpd="sng" algn="ctr">
          <a:solidFill>
            <a:schemeClr val="lt1">
              <a:hueOff val="0"/>
              <a:satOff val="0"/>
              <a:lumOff val="0"/>
              <a:alphaOff val="0"/>
            </a:schemeClr>
          </a:solidFill>
          <a:prstDash val="solid"/>
        </a:ln>
        <a:effectLst/>
        <a:scene3d>
          <a:camera prst="orthographicFront">
            <a:rot lat="0" lon="0" rev="0"/>
          </a:camera>
          <a:lightRig rig="threePt" dir="t"/>
        </a:scene3d>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pl-PL" sz="800" b="1" kern="1200">
              <a:solidFill>
                <a:sysClr val="windowText" lastClr="000000"/>
              </a:solidFill>
            </a:rPr>
            <a:t>Program działań społeczno-gospodarczych</a:t>
          </a:r>
        </a:p>
      </dsp:txBody>
      <dsp:txXfrm>
        <a:off x="3238367" y="2293902"/>
        <a:ext cx="891689" cy="445844"/>
      </dsp:txXfrm>
    </dsp:sp>
    <dsp:sp modelId="{7DAFE977-5890-419D-804B-C3F84CEF4B9D}">
      <dsp:nvSpPr>
        <dsp:cNvPr id="0" name=""/>
        <dsp:cNvSpPr/>
      </dsp:nvSpPr>
      <dsp:spPr>
        <a:xfrm>
          <a:off x="3461289" y="2927001"/>
          <a:ext cx="891689" cy="445844"/>
        </a:xfrm>
        <a:prstGeom prst="rect">
          <a:avLst/>
        </a:prstGeom>
        <a:solidFill>
          <a:srgbClr val="ED7D31"/>
        </a:solidFill>
        <a:ln w="25400" cap="flat" cmpd="sng" algn="ctr">
          <a:solidFill>
            <a:schemeClr val="lt1">
              <a:hueOff val="0"/>
              <a:satOff val="0"/>
              <a:lumOff val="0"/>
              <a:alphaOff val="0"/>
            </a:schemeClr>
          </a:solidFill>
          <a:prstDash val="solid"/>
        </a:ln>
        <a:effectLst/>
        <a:scene3d>
          <a:camera prst="orthographicFront">
            <a:rot lat="0" lon="0" rev="0"/>
          </a:camera>
          <a:lightRig rig="threePt" dir="t"/>
        </a:scene3d>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pl-PL" sz="800" b="1" kern="1200">
              <a:solidFill>
                <a:sysClr val="windowText" lastClr="000000"/>
              </a:solidFill>
            </a:rPr>
            <a:t>projekty miejskie</a:t>
          </a:r>
        </a:p>
      </dsp:txBody>
      <dsp:txXfrm>
        <a:off x="3461289" y="2927001"/>
        <a:ext cx="891689" cy="445844"/>
      </dsp:txXfrm>
    </dsp:sp>
    <dsp:sp modelId="{1F4B8473-958D-4CEF-88CC-20B2C94A8AC4}">
      <dsp:nvSpPr>
        <dsp:cNvPr id="0" name=""/>
        <dsp:cNvSpPr/>
      </dsp:nvSpPr>
      <dsp:spPr>
        <a:xfrm>
          <a:off x="3461289" y="3560101"/>
          <a:ext cx="891689" cy="445844"/>
        </a:xfrm>
        <a:prstGeom prst="rect">
          <a:avLst/>
        </a:prstGeom>
        <a:solidFill>
          <a:srgbClr val="ED7D31"/>
        </a:solidFill>
        <a:ln w="25400" cap="flat" cmpd="sng" algn="ctr">
          <a:solidFill>
            <a:schemeClr val="lt1">
              <a:hueOff val="0"/>
              <a:satOff val="0"/>
              <a:lumOff val="0"/>
              <a:alphaOff val="0"/>
            </a:schemeClr>
          </a:solidFill>
          <a:prstDash val="solid"/>
        </a:ln>
        <a:effectLst/>
        <a:scene3d>
          <a:camera prst="orthographicFront">
            <a:rot lat="0" lon="0" rev="0"/>
          </a:camera>
          <a:lightRig rig="threePt" dir="t"/>
        </a:scene3d>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pl-PL" sz="800" b="1" kern="1200">
              <a:solidFill>
                <a:sysClr val="windowText" lastClr="000000"/>
              </a:solidFill>
            </a:rPr>
            <a:t>projekty partnerów zewnętrznych</a:t>
          </a:r>
        </a:p>
      </dsp:txBody>
      <dsp:txXfrm>
        <a:off x="3461289" y="3560101"/>
        <a:ext cx="891689" cy="445844"/>
      </dsp:txXfrm>
    </dsp:sp>
    <dsp:sp modelId="{BE69C88E-D8C1-45E7-BD5A-F49FACB66EF4}">
      <dsp:nvSpPr>
        <dsp:cNvPr id="0" name=""/>
        <dsp:cNvSpPr/>
      </dsp:nvSpPr>
      <dsp:spPr>
        <a:xfrm>
          <a:off x="4856783" y="1660802"/>
          <a:ext cx="891689" cy="445844"/>
        </a:xfrm>
        <a:prstGeom prst="rect">
          <a:avLst/>
        </a:prstGeom>
        <a:solidFill>
          <a:srgbClr val="70AD47"/>
        </a:solidFill>
        <a:ln w="25400" cap="flat" cmpd="sng" algn="ctr">
          <a:solidFill>
            <a:schemeClr val="lt1">
              <a:hueOff val="0"/>
              <a:satOff val="0"/>
              <a:lumOff val="0"/>
              <a:alphaOff val="0"/>
            </a:schemeClr>
          </a:solidFill>
          <a:prstDash val="solid"/>
        </a:ln>
        <a:effectLst/>
        <a:scene3d>
          <a:camera prst="orthographicFront">
            <a:rot lat="0" lon="0" rev="0"/>
          </a:camera>
          <a:lightRig rig="threePt" dir="t"/>
        </a:scene3d>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pl-PL" sz="800" b="1" kern="1200">
              <a:solidFill>
                <a:sysClr val="windowText" lastClr="000000"/>
              </a:solidFill>
            </a:rPr>
            <a:t>WIĄZKA 3</a:t>
          </a:r>
        </a:p>
      </dsp:txBody>
      <dsp:txXfrm>
        <a:off x="4856783" y="1660802"/>
        <a:ext cx="891689" cy="445844"/>
      </dsp:txXfrm>
    </dsp:sp>
    <dsp:sp modelId="{491D37F6-ABE0-4782-8FBB-F0E97EC4B15D}">
      <dsp:nvSpPr>
        <dsp:cNvPr id="0" name=""/>
        <dsp:cNvSpPr/>
      </dsp:nvSpPr>
      <dsp:spPr>
        <a:xfrm>
          <a:off x="4317311" y="2294852"/>
          <a:ext cx="891689" cy="445844"/>
        </a:xfrm>
        <a:prstGeom prst="rect">
          <a:avLst/>
        </a:prstGeom>
        <a:solidFill>
          <a:srgbClr val="5B9BD5"/>
        </a:solidFill>
        <a:ln w="25400" cap="flat" cmpd="sng" algn="ctr">
          <a:solidFill>
            <a:schemeClr val="lt1">
              <a:hueOff val="0"/>
              <a:satOff val="0"/>
              <a:lumOff val="0"/>
              <a:alphaOff val="0"/>
            </a:schemeClr>
          </a:solidFill>
          <a:prstDash val="solid"/>
        </a:ln>
        <a:effectLst/>
        <a:scene3d>
          <a:camera prst="orthographicFront">
            <a:rot lat="0" lon="0" rev="0"/>
          </a:camera>
          <a:lightRig rig="threePt" dir="t"/>
        </a:scene3d>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pl-PL" sz="800" b="1" kern="1200">
              <a:solidFill>
                <a:sysClr val="windowText" lastClr="000000"/>
              </a:solidFill>
            </a:rPr>
            <a:t>Program działań inwestycyjnych</a:t>
          </a:r>
        </a:p>
      </dsp:txBody>
      <dsp:txXfrm>
        <a:off x="4317311" y="2294852"/>
        <a:ext cx="891689" cy="445844"/>
      </dsp:txXfrm>
    </dsp:sp>
    <dsp:sp modelId="{B3125B2F-4B2A-442B-B1F5-82CE194E3758}">
      <dsp:nvSpPr>
        <dsp:cNvPr id="0" name=""/>
        <dsp:cNvSpPr/>
      </dsp:nvSpPr>
      <dsp:spPr>
        <a:xfrm>
          <a:off x="4540233" y="2927001"/>
          <a:ext cx="891689" cy="445844"/>
        </a:xfrm>
        <a:prstGeom prst="rect">
          <a:avLst/>
        </a:prstGeom>
        <a:solidFill>
          <a:srgbClr val="ED7D31"/>
        </a:solidFill>
        <a:ln w="25400" cap="flat" cmpd="sng" algn="ctr">
          <a:solidFill>
            <a:schemeClr val="lt1">
              <a:hueOff val="0"/>
              <a:satOff val="0"/>
              <a:lumOff val="0"/>
              <a:alphaOff val="0"/>
            </a:schemeClr>
          </a:solidFill>
          <a:prstDash val="solid"/>
        </a:ln>
        <a:effectLst/>
        <a:scene3d>
          <a:camera prst="orthographicFront">
            <a:rot lat="0" lon="0" rev="0"/>
          </a:camera>
          <a:lightRig rig="threePt" dir="t"/>
        </a:scene3d>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pl-PL" sz="800" b="1" kern="1200">
              <a:solidFill>
                <a:sysClr val="windowText" lastClr="000000"/>
              </a:solidFill>
            </a:rPr>
            <a:t>projekty miejskie</a:t>
          </a:r>
        </a:p>
      </dsp:txBody>
      <dsp:txXfrm>
        <a:off x="4540233" y="2927001"/>
        <a:ext cx="891689" cy="445844"/>
      </dsp:txXfrm>
    </dsp:sp>
    <dsp:sp modelId="{20406B38-1B2D-4AEB-AF7C-57CB07006F2A}">
      <dsp:nvSpPr>
        <dsp:cNvPr id="0" name=""/>
        <dsp:cNvSpPr/>
      </dsp:nvSpPr>
      <dsp:spPr>
        <a:xfrm>
          <a:off x="4540233" y="3560101"/>
          <a:ext cx="891689" cy="445844"/>
        </a:xfrm>
        <a:prstGeom prst="rect">
          <a:avLst/>
        </a:prstGeom>
        <a:solidFill>
          <a:srgbClr val="ED7D31"/>
        </a:solidFill>
        <a:ln w="25400" cap="flat" cmpd="sng" algn="ctr">
          <a:solidFill>
            <a:schemeClr val="lt1">
              <a:hueOff val="0"/>
              <a:satOff val="0"/>
              <a:lumOff val="0"/>
              <a:alphaOff val="0"/>
            </a:schemeClr>
          </a:solidFill>
          <a:prstDash val="solid"/>
        </a:ln>
        <a:effectLst/>
        <a:scene3d>
          <a:camera prst="orthographicFront">
            <a:rot lat="0" lon="0" rev="0"/>
          </a:camera>
          <a:lightRig rig="threePt" dir="t"/>
        </a:scene3d>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pl-PL" sz="800" b="1" kern="1200">
              <a:solidFill>
                <a:sysClr val="windowText" lastClr="000000"/>
              </a:solidFill>
            </a:rPr>
            <a:t>projekty partnerów zewnętrznych</a:t>
          </a:r>
        </a:p>
      </dsp:txBody>
      <dsp:txXfrm>
        <a:off x="4540233" y="3560101"/>
        <a:ext cx="891689" cy="445844"/>
      </dsp:txXfrm>
    </dsp:sp>
    <dsp:sp modelId="{41348676-C8BB-40FA-BC1F-274678458D67}">
      <dsp:nvSpPr>
        <dsp:cNvPr id="0" name=""/>
        <dsp:cNvSpPr/>
      </dsp:nvSpPr>
      <dsp:spPr>
        <a:xfrm>
          <a:off x="5396255" y="2293902"/>
          <a:ext cx="891689" cy="445844"/>
        </a:xfrm>
        <a:prstGeom prst="rect">
          <a:avLst/>
        </a:prstGeom>
        <a:solidFill>
          <a:srgbClr val="5B9BD5"/>
        </a:solidFill>
        <a:ln w="25400" cap="flat" cmpd="sng" algn="ctr">
          <a:solidFill>
            <a:schemeClr val="lt1">
              <a:hueOff val="0"/>
              <a:satOff val="0"/>
              <a:lumOff val="0"/>
              <a:alphaOff val="0"/>
            </a:schemeClr>
          </a:solidFill>
          <a:prstDash val="solid"/>
        </a:ln>
        <a:effectLst/>
        <a:scene3d>
          <a:camera prst="orthographicFront">
            <a:rot lat="0" lon="0" rev="0"/>
          </a:camera>
          <a:lightRig rig="threePt" dir="t"/>
        </a:scene3d>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pl-PL" sz="800" b="1" kern="1200">
              <a:solidFill>
                <a:sysClr val="windowText" lastClr="000000"/>
              </a:solidFill>
            </a:rPr>
            <a:t>Program działań społeczno-gospodarczych</a:t>
          </a:r>
        </a:p>
      </dsp:txBody>
      <dsp:txXfrm>
        <a:off x="5396255" y="2293902"/>
        <a:ext cx="891689" cy="445844"/>
      </dsp:txXfrm>
    </dsp:sp>
    <dsp:sp modelId="{6D87D7C3-48EF-4855-ACA9-ADC2F2DC3CF5}">
      <dsp:nvSpPr>
        <dsp:cNvPr id="0" name=""/>
        <dsp:cNvSpPr/>
      </dsp:nvSpPr>
      <dsp:spPr>
        <a:xfrm>
          <a:off x="5619177" y="2927001"/>
          <a:ext cx="891689" cy="445844"/>
        </a:xfrm>
        <a:prstGeom prst="rect">
          <a:avLst/>
        </a:prstGeom>
        <a:solidFill>
          <a:srgbClr val="ED7D31"/>
        </a:solidFill>
        <a:ln w="25400" cap="flat" cmpd="sng" algn="ctr">
          <a:solidFill>
            <a:schemeClr val="lt1">
              <a:hueOff val="0"/>
              <a:satOff val="0"/>
              <a:lumOff val="0"/>
              <a:alphaOff val="0"/>
            </a:schemeClr>
          </a:solidFill>
          <a:prstDash val="solid"/>
        </a:ln>
        <a:effectLst/>
        <a:scene3d>
          <a:camera prst="orthographicFront">
            <a:rot lat="0" lon="0" rev="0"/>
          </a:camera>
          <a:lightRig rig="threePt" dir="t"/>
        </a:scene3d>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pl-PL" sz="800" b="1" kern="1200">
              <a:solidFill>
                <a:sysClr val="windowText" lastClr="000000"/>
              </a:solidFill>
            </a:rPr>
            <a:t>projekty miejskie</a:t>
          </a:r>
        </a:p>
      </dsp:txBody>
      <dsp:txXfrm>
        <a:off x="5619177" y="2927001"/>
        <a:ext cx="891689" cy="445844"/>
      </dsp:txXfrm>
    </dsp:sp>
    <dsp:sp modelId="{9897E93F-F7E5-4477-9643-8BF14F85A58D}">
      <dsp:nvSpPr>
        <dsp:cNvPr id="0" name=""/>
        <dsp:cNvSpPr/>
      </dsp:nvSpPr>
      <dsp:spPr>
        <a:xfrm>
          <a:off x="5619177" y="3560101"/>
          <a:ext cx="891689" cy="445844"/>
        </a:xfrm>
        <a:prstGeom prst="rect">
          <a:avLst/>
        </a:prstGeom>
        <a:solidFill>
          <a:srgbClr val="ED7D31"/>
        </a:solidFill>
        <a:ln w="25400" cap="flat" cmpd="sng" algn="ctr">
          <a:solidFill>
            <a:schemeClr val="lt1">
              <a:hueOff val="0"/>
              <a:satOff val="0"/>
              <a:lumOff val="0"/>
              <a:alphaOff val="0"/>
            </a:schemeClr>
          </a:solidFill>
          <a:prstDash val="solid"/>
        </a:ln>
        <a:effectLst/>
        <a:scene3d>
          <a:camera prst="orthographicFront">
            <a:rot lat="0" lon="0" rev="0"/>
          </a:camera>
          <a:lightRig rig="threePt" dir="t"/>
        </a:scene3d>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pl-PL" sz="800" b="1" kern="1200">
              <a:solidFill>
                <a:sysClr val="windowText" lastClr="000000"/>
              </a:solidFill>
            </a:rPr>
            <a:t>projekty partnerów zewnętrznych</a:t>
          </a:r>
        </a:p>
      </dsp:txBody>
      <dsp:txXfrm>
        <a:off x="5619177" y="3560101"/>
        <a:ext cx="891689" cy="445844"/>
      </dsp:txXfrm>
    </dsp:sp>
    <dsp:sp modelId="{52AE9428-7D37-48F8-9553-4126CF44EDDC}">
      <dsp:nvSpPr>
        <dsp:cNvPr id="0" name=""/>
        <dsp:cNvSpPr/>
      </dsp:nvSpPr>
      <dsp:spPr>
        <a:xfrm>
          <a:off x="7014671" y="1660802"/>
          <a:ext cx="891689" cy="445844"/>
        </a:xfrm>
        <a:prstGeom prst="rect">
          <a:avLst/>
        </a:prstGeom>
        <a:solidFill>
          <a:srgbClr val="70AD47"/>
        </a:solidFill>
        <a:ln w="25400" cap="flat" cmpd="sng" algn="ctr">
          <a:solidFill>
            <a:schemeClr val="lt1">
              <a:hueOff val="0"/>
              <a:satOff val="0"/>
              <a:lumOff val="0"/>
              <a:alphaOff val="0"/>
            </a:schemeClr>
          </a:solidFill>
          <a:prstDash val="solid"/>
        </a:ln>
        <a:effectLst/>
        <a:scene3d>
          <a:camera prst="orthographicFront">
            <a:rot lat="0" lon="0" rev="0"/>
          </a:camera>
          <a:lightRig rig="threePt" dir="t"/>
        </a:scene3d>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pl-PL" sz="800" b="1" kern="1200">
              <a:solidFill>
                <a:sysClr val="windowText" lastClr="000000"/>
              </a:solidFill>
            </a:rPr>
            <a:t>WIĄZKA HORYZONTALNA</a:t>
          </a:r>
        </a:p>
      </dsp:txBody>
      <dsp:txXfrm>
        <a:off x="7014671" y="1660802"/>
        <a:ext cx="891689" cy="445844"/>
      </dsp:txXfrm>
    </dsp:sp>
    <dsp:sp modelId="{FA8D494F-D402-46B7-B993-596B91F2323C}">
      <dsp:nvSpPr>
        <dsp:cNvPr id="0" name=""/>
        <dsp:cNvSpPr/>
      </dsp:nvSpPr>
      <dsp:spPr>
        <a:xfrm>
          <a:off x="6475199" y="2293902"/>
          <a:ext cx="891689" cy="445844"/>
        </a:xfrm>
        <a:prstGeom prst="rect">
          <a:avLst/>
        </a:prstGeom>
        <a:solidFill>
          <a:srgbClr val="5B9BD5"/>
        </a:solidFill>
        <a:ln w="25400" cap="flat" cmpd="sng" algn="ctr">
          <a:solidFill>
            <a:schemeClr val="lt1">
              <a:hueOff val="0"/>
              <a:satOff val="0"/>
              <a:lumOff val="0"/>
              <a:alphaOff val="0"/>
            </a:schemeClr>
          </a:solidFill>
          <a:prstDash val="solid"/>
        </a:ln>
        <a:effectLst/>
        <a:scene3d>
          <a:camera prst="orthographicFront">
            <a:rot lat="0" lon="0" rev="0"/>
          </a:camera>
          <a:lightRig rig="threePt" dir="t"/>
        </a:scene3d>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pl-PL" sz="800" b="1" kern="1200">
              <a:solidFill>
                <a:sysClr val="windowText" lastClr="000000"/>
              </a:solidFill>
            </a:rPr>
            <a:t>Program działań inwestycyjnych</a:t>
          </a:r>
        </a:p>
      </dsp:txBody>
      <dsp:txXfrm>
        <a:off x="6475199" y="2293902"/>
        <a:ext cx="891689" cy="445844"/>
      </dsp:txXfrm>
    </dsp:sp>
    <dsp:sp modelId="{F3492B2A-CAE5-4FBB-A5D8-E10A7290D98A}">
      <dsp:nvSpPr>
        <dsp:cNvPr id="0" name=""/>
        <dsp:cNvSpPr/>
      </dsp:nvSpPr>
      <dsp:spPr>
        <a:xfrm>
          <a:off x="6698121" y="2927001"/>
          <a:ext cx="891689" cy="445844"/>
        </a:xfrm>
        <a:prstGeom prst="rect">
          <a:avLst/>
        </a:prstGeom>
        <a:solidFill>
          <a:srgbClr val="ED7D31"/>
        </a:solidFill>
        <a:ln w="25400" cap="flat" cmpd="sng" algn="ctr">
          <a:solidFill>
            <a:schemeClr val="lt1">
              <a:hueOff val="0"/>
              <a:satOff val="0"/>
              <a:lumOff val="0"/>
              <a:alphaOff val="0"/>
            </a:schemeClr>
          </a:solidFill>
          <a:prstDash val="solid"/>
        </a:ln>
        <a:effectLst/>
        <a:scene3d>
          <a:camera prst="orthographicFront">
            <a:rot lat="0" lon="0" rev="0"/>
          </a:camera>
          <a:lightRig rig="threePt" dir="t"/>
        </a:scene3d>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pl-PL" sz="800" b="1" kern="1200">
              <a:solidFill>
                <a:sysClr val="windowText" lastClr="000000"/>
              </a:solidFill>
            </a:rPr>
            <a:t>projekty miejskie</a:t>
          </a:r>
        </a:p>
      </dsp:txBody>
      <dsp:txXfrm>
        <a:off x="6698121" y="2927001"/>
        <a:ext cx="891689" cy="445844"/>
      </dsp:txXfrm>
    </dsp:sp>
    <dsp:sp modelId="{2BF44B82-1446-49FC-A184-B14AC88FBB80}">
      <dsp:nvSpPr>
        <dsp:cNvPr id="0" name=""/>
        <dsp:cNvSpPr/>
      </dsp:nvSpPr>
      <dsp:spPr>
        <a:xfrm>
          <a:off x="6698121" y="3560101"/>
          <a:ext cx="891689" cy="445844"/>
        </a:xfrm>
        <a:prstGeom prst="rect">
          <a:avLst/>
        </a:prstGeom>
        <a:solidFill>
          <a:srgbClr val="ED7D31"/>
        </a:solidFill>
        <a:ln w="25400" cap="flat" cmpd="sng" algn="ctr">
          <a:solidFill>
            <a:schemeClr val="lt1">
              <a:hueOff val="0"/>
              <a:satOff val="0"/>
              <a:lumOff val="0"/>
              <a:alphaOff val="0"/>
            </a:schemeClr>
          </a:solidFill>
          <a:prstDash val="solid"/>
        </a:ln>
        <a:effectLst/>
        <a:scene3d>
          <a:camera prst="orthographicFront">
            <a:rot lat="0" lon="0" rev="0"/>
          </a:camera>
          <a:lightRig rig="threePt" dir="t"/>
        </a:scene3d>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pl-PL" sz="800" b="1" kern="1200">
              <a:solidFill>
                <a:sysClr val="windowText" lastClr="000000"/>
              </a:solidFill>
            </a:rPr>
            <a:t>projekty partnerów zewnętrznych</a:t>
          </a:r>
        </a:p>
      </dsp:txBody>
      <dsp:txXfrm>
        <a:off x="6698121" y="3560101"/>
        <a:ext cx="891689" cy="445844"/>
      </dsp:txXfrm>
    </dsp:sp>
    <dsp:sp modelId="{E30A7789-67FF-4B0B-AF41-06C013FE10DC}">
      <dsp:nvSpPr>
        <dsp:cNvPr id="0" name=""/>
        <dsp:cNvSpPr/>
      </dsp:nvSpPr>
      <dsp:spPr>
        <a:xfrm>
          <a:off x="7554143" y="2293902"/>
          <a:ext cx="891689" cy="445844"/>
        </a:xfrm>
        <a:prstGeom prst="rect">
          <a:avLst/>
        </a:prstGeom>
        <a:solidFill>
          <a:srgbClr val="5B9BD5"/>
        </a:solidFill>
        <a:ln w="25400" cap="flat" cmpd="sng" algn="ctr">
          <a:solidFill>
            <a:schemeClr val="lt1">
              <a:hueOff val="0"/>
              <a:satOff val="0"/>
              <a:lumOff val="0"/>
              <a:alphaOff val="0"/>
            </a:schemeClr>
          </a:solidFill>
          <a:prstDash val="solid"/>
        </a:ln>
        <a:effectLst/>
        <a:scene3d>
          <a:camera prst="orthographicFront">
            <a:rot lat="0" lon="0" rev="0"/>
          </a:camera>
          <a:lightRig rig="threePt" dir="t"/>
        </a:scene3d>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pl-PL" sz="800" b="1" kern="1200">
              <a:solidFill>
                <a:sysClr val="windowText" lastClr="000000"/>
              </a:solidFill>
            </a:rPr>
            <a:t>Program działań społeczno-gospodarczych</a:t>
          </a:r>
        </a:p>
      </dsp:txBody>
      <dsp:txXfrm>
        <a:off x="7554143" y="2293902"/>
        <a:ext cx="891689" cy="445844"/>
      </dsp:txXfrm>
    </dsp:sp>
    <dsp:sp modelId="{587017EA-A002-4A46-AFF7-F9E9B2D04F2D}">
      <dsp:nvSpPr>
        <dsp:cNvPr id="0" name=""/>
        <dsp:cNvSpPr/>
      </dsp:nvSpPr>
      <dsp:spPr>
        <a:xfrm>
          <a:off x="7777065" y="2927001"/>
          <a:ext cx="891689" cy="445844"/>
        </a:xfrm>
        <a:prstGeom prst="rect">
          <a:avLst/>
        </a:prstGeom>
        <a:solidFill>
          <a:srgbClr val="ED7D31"/>
        </a:solidFill>
        <a:ln w="25400" cap="flat" cmpd="sng" algn="ctr">
          <a:solidFill>
            <a:schemeClr val="lt1">
              <a:hueOff val="0"/>
              <a:satOff val="0"/>
              <a:lumOff val="0"/>
              <a:alphaOff val="0"/>
            </a:schemeClr>
          </a:solidFill>
          <a:prstDash val="solid"/>
        </a:ln>
        <a:effectLst/>
        <a:scene3d>
          <a:camera prst="orthographicFront">
            <a:rot lat="0" lon="0" rev="0"/>
          </a:camera>
          <a:lightRig rig="threePt" dir="t"/>
        </a:scene3d>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pl-PL" sz="800" b="1" kern="1200">
              <a:solidFill>
                <a:sysClr val="windowText" lastClr="000000"/>
              </a:solidFill>
            </a:rPr>
            <a:t>projekty miejskie</a:t>
          </a:r>
        </a:p>
      </dsp:txBody>
      <dsp:txXfrm>
        <a:off x="7777065" y="2927001"/>
        <a:ext cx="891689" cy="445844"/>
      </dsp:txXfrm>
    </dsp:sp>
    <dsp:sp modelId="{A63CE026-B052-4191-B313-7BABA28A9383}">
      <dsp:nvSpPr>
        <dsp:cNvPr id="0" name=""/>
        <dsp:cNvSpPr/>
      </dsp:nvSpPr>
      <dsp:spPr>
        <a:xfrm>
          <a:off x="7777065" y="3560101"/>
          <a:ext cx="891689" cy="445844"/>
        </a:xfrm>
        <a:prstGeom prst="rect">
          <a:avLst/>
        </a:prstGeom>
        <a:solidFill>
          <a:srgbClr val="ED7D31"/>
        </a:solidFill>
        <a:ln w="25400" cap="flat" cmpd="sng" algn="ctr">
          <a:solidFill>
            <a:schemeClr val="lt1">
              <a:hueOff val="0"/>
              <a:satOff val="0"/>
              <a:lumOff val="0"/>
              <a:alphaOff val="0"/>
            </a:schemeClr>
          </a:solidFill>
          <a:prstDash val="solid"/>
        </a:ln>
        <a:effectLst/>
        <a:scene3d>
          <a:camera prst="orthographicFront">
            <a:rot lat="0" lon="0" rev="0"/>
          </a:camera>
          <a:lightRig rig="threePt" dir="t"/>
        </a:scene3d>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pl-PL" sz="800" b="1" kern="1200">
              <a:solidFill>
                <a:sysClr val="windowText" lastClr="000000"/>
              </a:solidFill>
            </a:rPr>
            <a:t>projekty partnerów zewnętrznych</a:t>
          </a:r>
        </a:p>
      </dsp:txBody>
      <dsp:txXfrm>
        <a:off x="7777065" y="3560101"/>
        <a:ext cx="891689" cy="445844"/>
      </dsp:txXfrm>
    </dsp:sp>
    <dsp:sp modelId="{AFD2979D-B14B-4526-A5F1-A7F6160E2177}">
      <dsp:nvSpPr>
        <dsp:cNvPr id="0" name=""/>
        <dsp:cNvSpPr/>
      </dsp:nvSpPr>
      <dsp:spPr>
        <a:xfrm>
          <a:off x="3238367" y="1027703"/>
          <a:ext cx="891689" cy="445844"/>
        </a:xfrm>
        <a:prstGeom prst="rect">
          <a:avLst/>
        </a:prstGeom>
        <a:solidFill>
          <a:srgbClr val="70AD47"/>
        </a:solidFill>
        <a:ln w="25400" cap="flat" cmpd="sng" algn="ctr">
          <a:solidFill>
            <a:schemeClr val="lt1">
              <a:shade val="80000"/>
              <a:hueOff val="0"/>
              <a:satOff val="0"/>
              <a:lumOff val="0"/>
              <a:alphaOff val="0"/>
            </a:schemeClr>
          </a:solidFill>
          <a:prstDash val="solid"/>
        </a:ln>
        <a:effectLst/>
        <a:scene3d>
          <a:camera prst="orthographicFront">
            <a:rot lat="0" lon="0" rev="0"/>
          </a:camera>
          <a:lightRig rig="threePt" dir="t"/>
        </a:scene3d>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pl-PL" sz="800" b="1" kern="1200">
              <a:solidFill>
                <a:sysClr val="windowText" lastClr="000000"/>
              </a:solidFill>
            </a:rPr>
            <a:t>Projekt pilotażowy - modelowe rozwiązania</a:t>
          </a:r>
        </a:p>
      </dsp:txBody>
      <dsp:txXfrm>
        <a:off x="3238367" y="1027703"/>
        <a:ext cx="891689" cy="445844"/>
      </dsp:txXfrm>
    </dsp:sp>
  </dsp:spTree>
</dsp:drawing>
</file>

<file path=word/diagrams/drawing2.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6A5BC359-ECBC-4499-BE8E-96BA32A334ED}">
      <dsp:nvSpPr>
        <dsp:cNvPr id="0" name=""/>
        <dsp:cNvSpPr/>
      </dsp:nvSpPr>
      <dsp:spPr>
        <a:xfrm>
          <a:off x="2611830" y="874966"/>
          <a:ext cx="164707" cy="594488"/>
        </a:xfrm>
        <a:custGeom>
          <a:avLst/>
          <a:gdLst/>
          <a:ahLst/>
          <a:cxnLst/>
          <a:rect l="0" t="0" r="0" b="0"/>
          <a:pathLst>
            <a:path>
              <a:moveTo>
                <a:pt x="164707" y="0"/>
              </a:moveTo>
              <a:lnTo>
                <a:pt x="164707" y="594488"/>
              </a:lnTo>
              <a:lnTo>
                <a:pt x="0" y="594488"/>
              </a:lnTo>
            </a:path>
          </a:pathLst>
        </a:custGeom>
        <a:noFill/>
        <a:ln w="12700" cap="flat" cmpd="sng" algn="ctr">
          <a:solidFill>
            <a:srgbClr val="43BDA7"/>
          </a:solidFill>
          <a:prstDash val="solid"/>
        </a:ln>
        <a:effectLst/>
      </dsp:spPr>
      <dsp:style>
        <a:lnRef idx="2">
          <a:scrgbClr r="0" g="0" b="0"/>
        </a:lnRef>
        <a:fillRef idx="0">
          <a:scrgbClr r="0" g="0" b="0"/>
        </a:fillRef>
        <a:effectRef idx="0">
          <a:scrgbClr r="0" g="0" b="0"/>
        </a:effectRef>
        <a:fontRef idx="minor"/>
      </dsp:style>
    </dsp:sp>
    <dsp:sp modelId="{66427A17-5997-475F-836D-22E73EE7EA6E}">
      <dsp:nvSpPr>
        <dsp:cNvPr id="0" name=""/>
        <dsp:cNvSpPr/>
      </dsp:nvSpPr>
      <dsp:spPr>
        <a:xfrm>
          <a:off x="3884597" y="4089882"/>
          <a:ext cx="91440" cy="421348"/>
        </a:xfrm>
        <a:custGeom>
          <a:avLst/>
          <a:gdLst/>
          <a:ahLst/>
          <a:cxnLst/>
          <a:rect l="0" t="0" r="0" b="0"/>
          <a:pathLst>
            <a:path>
              <a:moveTo>
                <a:pt x="45930" y="0"/>
              </a:moveTo>
              <a:lnTo>
                <a:pt x="45930" y="277573"/>
              </a:lnTo>
              <a:lnTo>
                <a:pt x="45720" y="277573"/>
              </a:lnTo>
              <a:lnTo>
                <a:pt x="45720" y="421348"/>
              </a:lnTo>
            </a:path>
          </a:pathLst>
        </a:custGeom>
        <a:noFill/>
        <a:ln w="12700" cap="flat" cmpd="sng" algn="ctr">
          <a:solidFill>
            <a:srgbClr val="43BDA7"/>
          </a:solidFill>
          <a:prstDash val="solid"/>
        </a:ln>
        <a:effectLst/>
      </dsp:spPr>
      <dsp:style>
        <a:lnRef idx="2">
          <a:scrgbClr r="0" g="0" b="0"/>
        </a:lnRef>
        <a:fillRef idx="0">
          <a:scrgbClr r="0" g="0" b="0"/>
        </a:fillRef>
        <a:effectRef idx="0">
          <a:scrgbClr r="0" g="0" b="0"/>
        </a:effectRef>
        <a:fontRef idx="minor"/>
      </dsp:style>
    </dsp:sp>
    <dsp:sp modelId="{E1C76DA4-B6A3-4D91-AA3D-F5A101604128}">
      <dsp:nvSpPr>
        <dsp:cNvPr id="0" name=""/>
        <dsp:cNvSpPr/>
      </dsp:nvSpPr>
      <dsp:spPr>
        <a:xfrm>
          <a:off x="2771741" y="2939657"/>
          <a:ext cx="1158785" cy="323816"/>
        </a:xfrm>
        <a:custGeom>
          <a:avLst/>
          <a:gdLst/>
          <a:ahLst/>
          <a:cxnLst/>
          <a:rect l="0" t="0" r="0" b="0"/>
          <a:pathLst>
            <a:path>
              <a:moveTo>
                <a:pt x="0" y="0"/>
              </a:moveTo>
              <a:lnTo>
                <a:pt x="0" y="180041"/>
              </a:lnTo>
              <a:lnTo>
                <a:pt x="1158785" y="180041"/>
              </a:lnTo>
              <a:lnTo>
                <a:pt x="1158785" y="323816"/>
              </a:lnTo>
            </a:path>
          </a:pathLst>
        </a:custGeom>
        <a:noFill/>
        <a:ln w="12700" cap="flat" cmpd="sng" algn="ctr">
          <a:solidFill>
            <a:srgbClr val="43BDA7"/>
          </a:solidFill>
          <a:prstDash val="solid"/>
        </a:ln>
        <a:effectLst/>
      </dsp:spPr>
      <dsp:style>
        <a:lnRef idx="2">
          <a:scrgbClr r="0" g="0" b="0"/>
        </a:lnRef>
        <a:fillRef idx="0">
          <a:scrgbClr r="0" g="0" b="0"/>
        </a:fillRef>
        <a:effectRef idx="0">
          <a:scrgbClr r="0" g="0" b="0"/>
        </a:effectRef>
        <a:fontRef idx="minor"/>
      </dsp:style>
    </dsp:sp>
    <dsp:sp modelId="{BE93464B-6A9C-4EFB-B3D9-FABD69C92699}">
      <dsp:nvSpPr>
        <dsp:cNvPr id="0" name=""/>
        <dsp:cNvSpPr/>
      </dsp:nvSpPr>
      <dsp:spPr>
        <a:xfrm>
          <a:off x="1576827" y="4089882"/>
          <a:ext cx="91440" cy="412548"/>
        </a:xfrm>
        <a:custGeom>
          <a:avLst/>
          <a:gdLst/>
          <a:ahLst/>
          <a:cxnLst/>
          <a:rect l="0" t="0" r="0" b="0"/>
          <a:pathLst>
            <a:path>
              <a:moveTo>
                <a:pt x="45720" y="0"/>
              </a:moveTo>
              <a:lnTo>
                <a:pt x="45720" y="412548"/>
              </a:lnTo>
            </a:path>
          </a:pathLst>
        </a:custGeom>
        <a:noFill/>
        <a:ln w="12700" cap="flat" cmpd="sng" algn="ctr">
          <a:solidFill>
            <a:srgbClr val="44A3C0"/>
          </a:solidFill>
          <a:prstDash val="solid"/>
        </a:ln>
        <a:effectLst/>
      </dsp:spPr>
      <dsp:style>
        <a:lnRef idx="2">
          <a:scrgbClr r="0" g="0" b="0"/>
        </a:lnRef>
        <a:fillRef idx="0">
          <a:scrgbClr r="0" g="0" b="0"/>
        </a:fillRef>
        <a:effectRef idx="0">
          <a:scrgbClr r="0" g="0" b="0"/>
        </a:effectRef>
        <a:fontRef idx="minor"/>
      </dsp:style>
    </dsp:sp>
    <dsp:sp modelId="{63AFBA54-71DF-4E6E-9F26-05665F23FE47}">
      <dsp:nvSpPr>
        <dsp:cNvPr id="0" name=""/>
        <dsp:cNvSpPr/>
      </dsp:nvSpPr>
      <dsp:spPr>
        <a:xfrm>
          <a:off x="1622547" y="2939657"/>
          <a:ext cx="1149193" cy="323816"/>
        </a:xfrm>
        <a:custGeom>
          <a:avLst/>
          <a:gdLst/>
          <a:ahLst/>
          <a:cxnLst/>
          <a:rect l="0" t="0" r="0" b="0"/>
          <a:pathLst>
            <a:path>
              <a:moveTo>
                <a:pt x="1149193" y="0"/>
              </a:moveTo>
              <a:lnTo>
                <a:pt x="1149193" y="180041"/>
              </a:lnTo>
              <a:lnTo>
                <a:pt x="0" y="180041"/>
              </a:lnTo>
              <a:lnTo>
                <a:pt x="0" y="323816"/>
              </a:lnTo>
            </a:path>
          </a:pathLst>
        </a:custGeom>
        <a:noFill/>
        <a:ln w="12700" cap="flat" cmpd="sng" algn="ctr">
          <a:solidFill>
            <a:srgbClr val="44A3C0"/>
          </a:solidFill>
          <a:prstDash val="solid"/>
        </a:ln>
        <a:effectLst/>
      </dsp:spPr>
      <dsp:style>
        <a:lnRef idx="2">
          <a:scrgbClr r="0" g="0" b="0"/>
        </a:lnRef>
        <a:fillRef idx="0">
          <a:scrgbClr r="0" g="0" b="0"/>
        </a:fillRef>
        <a:effectRef idx="0">
          <a:scrgbClr r="0" g="0" b="0"/>
        </a:effectRef>
        <a:fontRef idx="minor"/>
      </dsp:style>
    </dsp:sp>
    <dsp:sp modelId="{5409CA6D-1D6E-400E-9B3A-B820C969F0EA}">
      <dsp:nvSpPr>
        <dsp:cNvPr id="0" name=""/>
        <dsp:cNvSpPr/>
      </dsp:nvSpPr>
      <dsp:spPr>
        <a:xfrm>
          <a:off x="2726021" y="874966"/>
          <a:ext cx="91440" cy="1238282"/>
        </a:xfrm>
        <a:custGeom>
          <a:avLst/>
          <a:gdLst/>
          <a:ahLst/>
          <a:cxnLst/>
          <a:rect l="0" t="0" r="0" b="0"/>
          <a:pathLst>
            <a:path>
              <a:moveTo>
                <a:pt x="50516" y="0"/>
              </a:moveTo>
              <a:lnTo>
                <a:pt x="50516" y="1094507"/>
              </a:lnTo>
              <a:lnTo>
                <a:pt x="45720" y="1094507"/>
              </a:lnTo>
              <a:lnTo>
                <a:pt x="45720" y="1238282"/>
              </a:lnTo>
            </a:path>
          </a:pathLst>
        </a:custGeom>
        <a:noFill/>
        <a:ln w="12700" cap="flat" cmpd="sng" algn="ctr">
          <a:solidFill>
            <a:srgbClr val="43BDA7"/>
          </a:solidFill>
          <a:prstDash val="solid"/>
        </a:ln>
        <a:effectLst/>
      </dsp:spPr>
      <dsp:style>
        <a:lnRef idx="2">
          <a:scrgbClr r="0" g="0" b="0"/>
        </a:lnRef>
        <a:fillRef idx="0">
          <a:scrgbClr r="0" g="0" b="0"/>
        </a:fillRef>
        <a:effectRef idx="0">
          <a:scrgbClr r="0" g="0" b="0"/>
        </a:effectRef>
        <a:fontRef idx="minor"/>
      </dsp:style>
    </dsp:sp>
    <dsp:sp modelId="{EA7661B2-A603-4B4B-9C57-F3F8990845E4}">
      <dsp:nvSpPr>
        <dsp:cNvPr id="0" name=""/>
        <dsp:cNvSpPr/>
      </dsp:nvSpPr>
      <dsp:spPr>
        <a:xfrm>
          <a:off x="1700635" y="2499"/>
          <a:ext cx="2151803" cy="872467"/>
        </a:xfrm>
        <a:prstGeom prst="rect">
          <a:avLst/>
        </a:prstGeom>
        <a:solidFill>
          <a:srgbClr val="FFC00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86950" numCol="1" spcCol="1270" anchor="ctr" anchorCtr="0">
          <a:noAutofit/>
        </a:bodyPr>
        <a:lstStyle/>
        <a:p>
          <a:pPr lvl="0" algn="ctr" defTabSz="400050">
            <a:lnSpc>
              <a:spcPct val="90000"/>
            </a:lnSpc>
            <a:spcBef>
              <a:spcPct val="0"/>
            </a:spcBef>
            <a:spcAft>
              <a:spcPct val="35000"/>
            </a:spcAft>
          </a:pPr>
          <a:r>
            <a:rPr lang="pl-PL" sz="900" b="1" kern="1200">
              <a:solidFill>
                <a:sysClr val="windowText" lastClr="000000"/>
              </a:solidFill>
            </a:rPr>
            <a:t>Prezydent Miasta Bytomia</a:t>
          </a:r>
        </a:p>
      </dsp:txBody>
      <dsp:txXfrm>
        <a:off x="1700635" y="2499"/>
        <a:ext cx="2151803" cy="872467"/>
      </dsp:txXfrm>
    </dsp:sp>
    <dsp:sp modelId="{29C573A5-D0F1-4886-B8AA-E59233F0AB35}">
      <dsp:nvSpPr>
        <dsp:cNvPr id="0" name=""/>
        <dsp:cNvSpPr/>
      </dsp:nvSpPr>
      <dsp:spPr>
        <a:xfrm>
          <a:off x="2056495" y="669929"/>
          <a:ext cx="1782825" cy="309118"/>
        </a:xfrm>
        <a:prstGeom prst="rect">
          <a:avLst/>
        </a:prstGeom>
        <a:solidFill>
          <a:schemeClr val="lt1">
            <a:alpha val="90000"/>
            <a:hueOff val="0"/>
            <a:satOff val="0"/>
            <a:lumOff val="0"/>
            <a:alphaOff val="0"/>
          </a:schemeClr>
        </a:solidFill>
        <a:ln w="12700" cap="flat" cmpd="sng" algn="ctr">
          <a:solidFill>
            <a:srgbClr val="FFC000"/>
          </a:solidFill>
          <a:prstDash val="solid"/>
        </a:ln>
        <a:effectLst/>
      </dsp:spPr>
      <dsp:style>
        <a:lnRef idx="2">
          <a:scrgbClr r="0" g="0" b="0"/>
        </a:lnRef>
        <a:fillRef idx="1">
          <a:scrgbClr r="0" g="0" b="0"/>
        </a:fillRef>
        <a:effectRef idx="0">
          <a:scrgbClr r="0" g="0" b="0"/>
        </a:effectRef>
        <a:fontRef idx="minor"/>
      </dsp:style>
      <dsp:txBody>
        <a:bodyPr spcFirstLastPara="0" vert="horz" wrap="square" lIns="20320" tIns="5080" rIns="20320" bIns="5080" numCol="1" spcCol="1270" anchor="ctr" anchorCtr="0">
          <a:noAutofit/>
        </a:bodyPr>
        <a:lstStyle/>
        <a:p>
          <a:pPr lvl="0" algn="r" defTabSz="355600">
            <a:lnSpc>
              <a:spcPct val="90000"/>
            </a:lnSpc>
            <a:spcBef>
              <a:spcPct val="0"/>
            </a:spcBef>
            <a:spcAft>
              <a:spcPct val="35000"/>
            </a:spcAft>
          </a:pPr>
          <a:r>
            <a:rPr lang="pl-PL" sz="800" kern="1200">
              <a:solidFill>
                <a:sysClr val="windowText" lastClr="000000"/>
              </a:solidFill>
            </a:rPr>
            <a:t>Właściciel rewitalizacji</a:t>
          </a:r>
        </a:p>
      </dsp:txBody>
      <dsp:txXfrm>
        <a:off x="2056495" y="669929"/>
        <a:ext cx="1782825" cy="309118"/>
      </dsp:txXfrm>
    </dsp:sp>
    <dsp:sp modelId="{9C07F240-FE19-4AD5-920A-A72D851E04F9}">
      <dsp:nvSpPr>
        <dsp:cNvPr id="0" name=""/>
        <dsp:cNvSpPr/>
      </dsp:nvSpPr>
      <dsp:spPr>
        <a:xfrm>
          <a:off x="1761526" y="2113249"/>
          <a:ext cx="2020428" cy="826408"/>
        </a:xfrm>
        <a:prstGeom prst="rect">
          <a:avLst/>
        </a:prstGeom>
        <a:solidFill>
          <a:srgbClr val="4472C4"/>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86950" numCol="1" spcCol="1270" anchor="ctr" anchorCtr="0">
          <a:noAutofit/>
        </a:bodyPr>
        <a:lstStyle/>
        <a:p>
          <a:pPr lvl="0" algn="ctr" defTabSz="400050">
            <a:lnSpc>
              <a:spcPct val="90000"/>
            </a:lnSpc>
            <a:spcBef>
              <a:spcPct val="0"/>
            </a:spcBef>
            <a:spcAft>
              <a:spcPct val="35000"/>
            </a:spcAft>
          </a:pPr>
          <a:r>
            <a:rPr lang="pl-PL" sz="900" b="1" kern="1200">
              <a:solidFill>
                <a:sysClr val="windowText" lastClr="000000"/>
              </a:solidFill>
            </a:rPr>
            <a:t>I Zastępca Prezydenta Bytomia</a:t>
          </a:r>
        </a:p>
      </dsp:txBody>
      <dsp:txXfrm>
        <a:off x="1761526" y="2113249"/>
        <a:ext cx="2020428" cy="826408"/>
      </dsp:txXfrm>
    </dsp:sp>
    <dsp:sp modelId="{350D7070-0E01-45C0-ADFC-C58DACE5DFF7}">
      <dsp:nvSpPr>
        <dsp:cNvPr id="0" name=""/>
        <dsp:cNvSpPr/>
      </dsp:nvSpPr>
      <dsp:spPr>
        <a:xfrm>
          <a:off x="2117434" y="2711929"/>
          <a:ext cx="1647151" cy="340318"/>
        </a:xfrm>
        <a:prstGeom prst="rect">
          <a:avLst/>
        </a:prstGeom>
        <a:solidFill>
          <a:schemeClr val="lt1">
            <a:alpha val="90000"/>
            <a:hueOff val="0"/>
            <a:satOff val="0"/>
            <a:lumOff val="0"/>
            <a:alphaOff val="0"/>
          </a:schemeClr>
        </a:solidFill>
        <a:ln w="12700" cap="flat" cmpd="sng" algn="ctr">
          <a:solidFill>
            <a:srgbClr val="4472C4"/>
          </a:solidFill>
          <a:prstDash val="solid"/>
        </a:ln>
        <a:effectLst/>
      </dsp:spPr>
      <dsp:style>
        <a:lnRef idx="2">
          <a:scrgbClr r="0" g="0" b="0"/>
        </a:lnRef>
        <a:fillRef idx="1">
          <a:scrgbClr r="0" g="0" b="0"/>
        </a:fillRef>
        <a:effectRef idx="0">
          <a:scrgbClr r="0" g="0" b="0"/>
        </a:effectRef>
        <a:fontRef idx="minor"/>
      </dsp:style>
      <dsp:txBody>
        <a:bodyPr spcFirstLastPara="0" vert="horz" wrap="square" lIns="20320" tIns="5080" rIns="20320" bIns="5080" numCol="1" spcCol="1270" anchor="ctr" anchorCtr="0">
          <a:noAutofit/>
        </a:bodyPr>
        <a:lstStyle/>
        <a:p>
          <a:pPr lvl="0" algn="r" defTabSz="355600">
            <a:lnSpc>
              <a:spcPct val="90000"/>
            </a:lnSpc>
            <a:spcBef>
              <a:spcPct val="0"/>
            </a:spcBef>
            <a:spcAft>
              <a:spcPct val="35000"/>
            </a:spcAft>
          </a:pPr>
          <a:r>
            <a:rPr lang="pl-PL" sz="800" kern="1200">
              <a:solidFill>
                <a:sysClr val="windowText" lastClr="000000"/>
              </a:solidFill>
            </a:rPr>
            <a:t>Koordynator programowy rewitalizacji</a:t>
          </a:r>
        </a:p>
      </dsp:txBody>
      <dsp:txXfrm>
        <a:off x="2117434" y="2711929"/>
        <a:ext cx="1647151" cy="340318"/>
      </dsp:txXfrm>
    </dsp:sp>
    <dsp:sp modelId="{6AADFCDC-840E-434F-B199-5D2DD8437FF5}">
      <dsp:nvSpPr>
        <dsp:cNvPr id="0" name=""/>
        <dsp:cNvSpPr/>
      </dsp:nvSpPr>
      <dsp:spPr>
        <a:xfrm>
          <a:off x="612333" y="3263474"/>
          <a:ext cx="2020428" cy="826408"/>
        </a:xfrm>
        <a:prstGeom prst="rect">
          <a:avLst/>
        </a:prstGeom>
        <a:solidFill>
          <a:srgbClr val="43BDA7"/>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86950" numCol="1" spcCol="1270" anchor="ctr" anchorCtr="0">
          <a:noAutofit/>
        </a:bodyPr>
        <a:lstStyle/>
        <a:p>
          <a:pPr lvl="0" algn="ctr" defTabSz="400050">
            <a:lnSpc>
              <a:spcPct val="90000"/>
            </a:lnSpc>
            <a:spcBef>
              <a:spcPct val="0"/>
            </a:spcBef>
            <a:spcAft>
              <a:spcPct val="35000"/>
            </a:spcAft>
          </a:pPr>
          <a:r>
            <a:rPr lang="pl-PL" sz="900" b="1" kern="1200">
              <a:solidFill>
                <a:sysClr val="windowText" lastClr="000000"/>
              </a:solidFill>
            </a:rPr>
            <a:t>Koordynator ds. wdrażania GPR</a:t>
          </a:r>
        </a:p>
      </dsp:txBody>
      <dsp:txXfrm>
        <a:off x="612333" y="3263474"/>
        <a:ext cx="2020428" cy="826408"/>
      </dsp:txXfrm>
    </dsp:sp>
    <dsp:sp modelId="{562D2AA5-E30F-4A32-AC14-AF73CFE57A72}">
      <dsp:nvSpPr>
        <dsp:cNvPr id="0" name=""/>
        <dsp:cNvSpPr/>
      </dsp:nvSpPr>
      <dsp:spPr>
        <a:xfrm>
          <a:off x="967311" y="3929636"/>
          <a:ext cx="1649378" cy="401989"/>
        </a:xfrm>
        <a:prstGeom prst="rect">
          <a:avLst/>
        </a:prstGeom>
        <a:solidFill>
          <a:schemeClr val="lt1">
            <a:alpha val="90000"/>
            <a:hueOff val="0"/>
            <a:satOff val="0"/>
            <a:lumOff val="0"/>
            <a:alphaOff val="0"/>
          </a:schemeClr>
        </a:solidFill>
        <a:ln w="12700" cap="flat" cmpd="sng" algn="ctr">
          <a:solidFill>
            <a:srgbClr val="43BDA7"/>
          </a:solidFill>
          <a:prstDash val="solid"/>
        </a:ln>
        <a:effectLst/>
      </dsp:spPr>
      <dsp:style>
        <a:lnRef idx="2">
          <a:scrgbClr r="0" g="0" b="0"/>
        </a:lnRef>
        <a:fillRef idx="1">
          <a:scrgbClr r="0" g="0" b="0"/>
        </a:fillRef>
        <a:effectRef idx="0">
          <a:scrgbClr r="0" g="0" b="0"/>
        </a:effectRef>
        <a:fontRef idx="minor"/>
      </dsp:style>
      <dsp:txBody>
        <a:bodyPr spcFirstLastPara="0" vert="horz" wrap="square" lIns="20320" tIns="5080" rIns="20320" bIns="5080" numCol="1" spcCol="1270" anchor="ctr" anchorCtr="0">
          <a:noAutofit/>
        </a:bodyPr>
        <a:lstStyle/>
        <a:p>
          <a:pPr lvl="0" algn="r" defTabSz="355600">
            <a:lnSpc>
              <a:spcPct val="90000"/>
            </a:lnSpc>
            <a:spcBef>
              <a:spcPct val="0"/>
            </a:spcBef>
            <a:spcAft>
              <a:spcPct val="35000"/>
            </a:spcAft>
          </a:pPr>
          <a:r>
            <a:rPr lang="pl-PL" sz="800" kern="1200">
              <a:solidFill>
                <a:sysClr val="windowText" lastClr="000000"/>
              </a:solidFill>
            </a:rPr>
            <a:t>Koordynator operacyjny rewitalizacji odpowiedzialny za wdrożenie GPR</a:t>
          </a:r>
        </a:p>
      </dsp:txBody>
      <dsp:txXfrm>
        <a:off x="967311" y="3929636"/>
        <a:ext cx="1649378" cy="401989"/>
      </dsp:txXfrm>
    </dsp:sp>
    <dsp:sp modelId="{3BF15FD4-723C-4F3C-BD80-8A3964950EF4}">
      <dsp:nvSpPr>
        <dsp:cNvPr id="0" name=""/>
        <dsp:cNvSpPr/>
      </dsp:nvSpPr>
      <dsp:spPr>
        <a:xfrm>
          <a:off x="612333" y="4502430"/>
          <a:ext cx="2020428" cy="826408"/>
        </a:xfrm>
        <a:prstGeom prst="rect">
          <a:avLst/>
        </a:prstGeom>
        <a:solidFill>
          <a:srgbClr val="44B874"/>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86950" numCol="1" spcCol="1270" anchor="ctr" anchorCtr="0">
          <a:noAutofit/>
        </a:bodyPr>
        <a:lstStyle/>
        <a:p>
          <a:pPr lvl="0" algn="ctr" defTabSz="400050">
            <a:lnSpc>
              <a:spcPct val="90000"/>
            </a:lnSpc>
            <a:spcBef>
              <a:spcPct val="0"/>
            </a:spcBef>
            <a:spcAft>
              <a:spcPct val="35000"/>
            </a:spcAft>
          </a:pPr>
          <a:r>
            <a:rPr lang="pl-PL" sz="900" b="1" kern="1200">
              <a:solidFill>
                <a:sysClr val="windowText" lastClr="000000"/>
              </a:solidFill>
            </a:rPr>
            <a:t>Zespół ds. wdrażania projektów </a:t>
          </a:r>
          <a:br>
            <a:rPr lang="pl-PL" sz="900" b="1" kern="1200">
              <a:solidFill>
                <a:sysClr val="windowText" lastClr="000000"/>
              </a:solidFill>
            </a:rPr>
          </a:br>
          <a:r>
            <a:rPr lang="pl-PL" sz="900" b="1" kern="1200">
              <a:solidFill>
                <a:sysClr val="windowText" lastClr="000000"/>
              </a:solidFill>
            </a:rPr>
            <a:t>w ramach GPR</a:t>
          </a:r>
        </a:p>
      </dsp:txBody>
      <dsp:txXfrm>
        <a:off x="612333" y="4502430"/>
        <a:ext cx="2020428" cy="826408"/>
      </dsp:txXfrm>
    </dsp:sp>
    <dsp:sp modelId="{E108ADA0-A925-4E6F-88E3-4B73F2075369}">
      <dsp:nvSpPr>
        <dsp:cNvPr id="0" name=""/>
        <dsp:cNvSpPr/>
      </dsp:nvSpPr>
      <dsp:spPr>
        <a:xfrm>
          <a:off x="964607" y="5016107"/>
          <a:ext cx="1653781" cy="378934"/>
        </a:xfrm>
        <a:prstGeom prst="rect">
          <a:avLst/>
        </a:prstGeom>
        <a:solidFill>
          <a:schemeClr val="lt1">
            <a:alpha val="90000"/>
            <a:hueOff val="0"/>
            <a:satOff val="0"/>
            <a:lumOff val="0"/>
            <a:alphaOff val="0"/>
          </a:schemeClr>
        </a:solidFill>
        <a:ln w="12700" cap="flat" cmpd="sng" algn="ctr">
          <a:solidFill>
            <a:srgbClr val="44B874"/>
          </a:solidFill>
          <a:prstDash val="solid"/>
        </a:ln>
        <a:effectLst/>
      </dsp:spPr>
      <dsp:style>
        <a:lnRef idx="2">
          <a:scrgbClr r="0" g="0" b="0"/>
        </a:lnRef>
        <a:fillRef idx="1">
          <a:scrgbClr r="0" g="0" b="0"/>
        </a:fillRef>
        <a:effectRef idx="0">
          <a:scrgbClr r="0" g="0" b="0"/>
        </a:effectRef>
        <a:fontRef idx="minor"/>
      </dsp:style>
      <dsp:txBody>
        <a:bodyPr spcFirstLastPara="0" vert="horz" wrap="square" lIns="20320" tIns="5080" rIns="20320" bIns="5080" numCol="1" spcCol="1270" anchor="ctr" anchorCtr="0">
          <a:noAutofit/>
        </a:bodyPr>
        <a:lstStyle/>
        <a:p>
          <a:pPr lvl="0" algn="r" defTabSz="355600">
            <a:lnSpc>
              <a:spcPct val="90000"/>
            </a:lnSpc>
            <a:spcBef>
              <a:spcPct val="0"/>
            </a:spcBef>
            <a:spcAft>
              <a:spcPct val="35000"/>
            </a:spcAft>
          </a:pPr>
          <a:r>
            <a:rPr lang="pl-PL" sz="800" kern="1200">
              <a:solidFill>
                <a:sysClr val="windowText" lastClr="000000"/>
              </a:solidFill>
            </a:rPr>
            <a:t>Odpowiedzialny za realizację projektów</a:t>
          </a:r>
        </a:p>
      </dsp:txBody>
      <dsp:txXfrm>
        <a:off x="964607" y="5016107"/>
        <a:ext cx="1653781" cy="378934"/>
      </dsp:txXfrm>
    </dsp:sp>
    <dsp:sp modelId="{0DEF4414-EDD8-4220-8CBF-FA8127744E0A}">
      <dsp:nvSpPr>
        <dsp:cNvPr id="0" name=""/>
        <dsp:cNvSpPr/>
      </dsp:nvSpPr>
      <dsp:spPr>
        <a:xfrm>
          <a:off x="2920312" y="3263474"/>
          <a:ext cx="2020428" cy="826408"/>
        </a:xfrm>
        <a:prstGeom prst="rect">
          <a:avLst/>
        </a:prstGeom>
        <a:solidFill>
          <a:srgbClr val="46B246"/>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86950" numCol="1" spcCol="1270" anchor="ctr" anchorCtr="0">
          <a:noAutofit/>
        </a:bodyPr>
        <a:lstStyle/>
        <a:p>
          <a:pPr lvl="0" algn="ctr" defTabSz="400050">
            <a:lnSpc>
              <a:spcPct val="90000"/>
            </a:lnSpc>
            <a:spcBef>
              <a:spcPct val="0"/>
            </a:spcBef>
            <a:spcAft>
              <a:spcPct val="35000"/>
            </a:spcAft>
          </a:pPr>
          <a:r>
            <a:rPr lang="pl-PL" sz="900" b="1" kern="1200">
              <a:solidFill>
                <a:sysClr val="windowText" lastClr="000000"/>
              </a:solidFill>
            </a:rPr>
            <a:t>Koordynator Projektu Pilotażowego</a:t>
          </a:r>
        </a:p>
      </dsp:txBody>
      <dsp:txXfrm>
        <a:off x="2920312" y="3263474"/>
        <a:ext cx="2020428" cy="826408"/>
      </dsp:txXfrm>
    </dsp:sp>
    <dsp:sp modelId="{7D9A468A-CE72-48B4-BFB8-F4D67B59B273}">
      <dsp:nvSpPr>
        <dsp:cNvPr id="0" name=""/>
        <dsp:cNvSpPr/>
      </dsp:nvSpPr>
      <dsp:spPr>
        <a:xfrm>
          <a:off x="3293258" y="3917502"/>
          <a:ext cx="1632466" cy="391368"/>
        </a:xfrm>
        <a:prstGeom prst="rect">
          <a:avLst/>
        </a:prstGeom>
        <a:solidFill>
          <a:schemeClr val="lt1">
            <a:alpha val="90000"/>
            <a:hueOff val="0"/>
            <a:satOff val="0"/>
            <a:lumOff val="0"/>
            <a:alphaOff val="0"/>
          </a:schemeClr>
        </a:solidFill>
        <a:ln w="12700" cap="flat" cmpd="sng" algn="ctr">
          <a:solidFill>
            <a:srgbClr val="46B246"/>
          </a:solidFill>
          <a:prstDash val="solid"/>
        </a:ln>
        <a:effectLst/>
      </dsp:spPr>
      <dsp:style>
        <a:lnRef idx="2">
          <a:scrgbClr r="0" g="0" b="0"/>
        </a:lnRef>
        <a:fillRef idx="1">
          <a:scrgbClr r="0" g="0" b="0"/>
        </a:fillRef>
        <a:effectRef idx="0">
          <a:scrgbClr r="0" g="0" b="0"/>
        </a:effectRef>
        <a:fontRef idx="minor"/>
      </dsp:style>
      <dsp:txBody>
        <a:bodyPr spcFirstLastPara="0" vert="horz" wrap="square" lIns="20320" tIns="5080" rIns="20320" bIns="5080" numCol="1" spcCol="1270" anchor="ctr" anchorCtr="0">
          <a:noAutofit/>
        </a:bodyPr>
        <a:lstStyle/>
        <a:p>
          <a:pPr lvl="0" algn="r" defTabSz="355600">
            <a:lnSpc>
              <a:spcPct val="90000"/>
            </a:lnSpc>
            <a:spcBef>
              <a:spcPct val="0"/>
            </a:spcBef>
            <a:spcAft>
              <a:spcPct val="35000"/>
            </a:spcAft>
          </a:pPr>
          <a:r>
            <a:rPr lang="pl-PL" sz="800" kern="1200">
              <a:solidFill>
                <a:sysClr val="windowText" lastClr="000000"/>
              </a:solidFill>
            </a:rPr>
            <a:t>Odpowiedzialny za modelowe rozwiązania</a:t>
          </a:r>
        </a:p>
      </dsp:txBody>
      <dsp:txXfrm>
        <a:off x="3293258" y="3917502"/>
        <a:ext cx="1632466" cy="391368"/>
      </dsp:txXfrm>
    </dsp:sp>
    <dsp:sp modelId="{5F966679-B347-406B-A6D8-B4F9EAE3492F}">
      <dsp:nvSpPr>
        <dsp:cNvPr id="0" name=""/>
        <dsp:cNvSpPr/>
      </dsp:nvSpPr>
      <dsp:spPr>
        <a:xfrm>
          <a:off x="2959804" y="4511230"/>
          <a:ext cx="1941025" cy="806998"/>
        </a:xfrm>
        <a:prstGeom prst="rect">
          <a:avLst/>
        </a:prstGeom>
        <a:solidFill>
          <a:srgbClr val="00CC99"/>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86950" numCol="1" spcCol="1270" anchor="ctr" anchorCtr="0">
          <a:noAutofit/>
        </a:bodyPr>
        <a:lstStyle/>
        <a:p>
          <a:pPr lvl="0" algn="ctr" defTabSz="400050">
            <a:lnSpc>
              <a:spcPct val="90000"/>
            </a:lnSpc>
            <a:spcBef>
              <a:spcPct val="0"/>
            </a:spcBef>
            <a:spcAft>
              <a:spcPct val="35000"/>
            </a:spcAft>
          </a:pPr>
          <a:r>
            <a:rPr lang="pl-PL" sz="900" b="1" kern="1200">
              <a:solidFill>
                <a:sysClr val="windowText" lastClr="000000"/>
              </a:solidFill>
            </a:rPr>
            <a:t>Zespół ds. wdrożenia pilotażu rewitalizacji</a:t>
          </a:r>
        </a:p>
      </dsp:txBody>
      <dsp:txXfrm>
        <a:off x="2959804" y="4511230"/>
        <a:ext cx="1941025" cy="806998"/>
      </dsp:txXfrm>
    </dsp:sp>
    <dsp:sp modelId="{34E7BF4F-39AE-41EE-A270-CF54A557934B}">
      <dsp:nvSpPr>
        <dsp:cNvPr id="0" name=""/>
        <dsp:cNvSpPr/>
      </dsp:nvSpPr>
      <dsp:spPr>
        <a:xfrm>
          <a:off x="3302514" y="5007591"/>
          <a:ext cx="1584931" cy="384159"/>
        </a:xfrm>
        <a:prstGeom prst="rect">
          <a:avLst/>
        </a:prstGeom>
        <a:solidFill>
          <a:schemeClr val="lt1">
            <a:alpha val="90000"/>
            <a:hueOff val="0"/>
            <a:satOff val="0"/>
            <a:lumOff val="0"/>
            <a:alphaOff val="0"/>
          </a:schemeClr>
        </a:solidFill>
        <a:ln w="12700" cap="flat" cmpd="sng" algn="ctr">
          <a:solidFill>
            <a:srgbClr val="00CC99"/>
          </a:solidFill>
          <a:prstDash val="solid"/>
        </a:ln>
        <a:effectLst/>
      </dsp:spPr>
      <dsp:style>
        <a:lnRef idx="2">
          <a:scrgbClr r="0" g="0" b="0"/>
        </a:lnRef>
        <a:fillRef idx="1">
          <a:scrgbClr r="0" g="0" b="0"/>
        </a:fillRef>
        <a:effectRef idx="0">
          <a:scrgbClr r="0" g="0" b="0"/>
        </a:effectRef>
        <a:fontRef idx="minor"/>
      </dsp:style>
      <dsp:txBody>
        <a:bodyPr spcFirstLastPara="0" vert="horz" wrap="square" lIns="20320" tIns="5080" rIns="20320" bIns="5080" numCol="1" spcCol="1270" anchor="ctr" anchorCtr="0">
          <a:noAutofit/>
        </a:bodyPr>
        <a:lstStyle/>
        <a:p>
          <a:pPr lvl="0" algn="r" defTabSz="355600">
            <a:lnSpc>
              <a:spcPct val="90000"/>
            </a:lnSpc>
            <a:spcBef>
              <a:spcPct val="0"/>
            </a:spcBef>
            <a:spcAft>
              <a:spcPct val="35000"/>
            </a:spcAft>
          </a:pPr>
          <a:r>
            <a:rPr lang="pl-PL" sz="800" kern="1200">
              <a:solidFill>
                <a:sysClr val="windowText" lastClr="000000"/>
              </a:solidFill>
            </a:rPr>
            <a:t>Odpowiedzialny za monitorowanie </a:t>
          </a:r>
          <a:br>
            <a:rPr lang="pl-PL" sz="800" kern="1200">
              <a:solidFill>
                <a:sysClr val="windowText" lastClr="000000"/>
              </a:solidFill>
            </a:rPr>
          </a:br>
          <a:r>
            <a:rPr lang="pl-PL" sz="800" kern="1200">
              <a:solidFill>
                <a:sysClr val="windowText" lastClr="000000"/>
              </a:solidFill>
            </a:rPr>
            <a:t>i wdrożenie rozwiązań modelowych</a:t>
          </a:r>
        </a:p>
      </dsp:txBody>
      <dsp:txXfrm>
        <a:off x="3302514" y="5007591"/>
        <a:ext cx="1584931" cy="384159"/>
      </dsp:txXfrm>
    </dsp:sp>
    <dsp:sp modelId="{5FE9D399-C42A-47E7-B2A6-B081B2DA51F3}">
      <dsp:nvSpPr>
        <dsp:cNvPr id="0" name=""/>
        <dsp:cNvSpPr/>
      </dsp:nvSpPr>
      <dsp:spPr>
        <a:xfrm>
          <a:off x="880119" y="1120839"/>
          <a:ext cx="1731711" cy="697232"/>
        </a:xfrm>
        <a:prstGeom prst="rect">
          <a:avLst/>
        </a:prstGeom>
        <a:solidFill>
          <a:srgbClr val="70AD47"/>
        </a:solidFill>
        <a:ln w="25400" cap="flat" cmpd="sng" algn="ctr">
          <a:solidFill>
            <a:srgbClr val="70AD47"/>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86950" numCol="1" spcCol="1270" anchor="ctr" anchorCtr="0">
          <a:noAutofit/>
        </a:bodyPr>
        <a:lstStyle/>
        <a:p>
          <a:pPr lvl="0" algn="ctr" defTabSz="400050">
            <a:lnSpc>
              <a:spcPct val="90000"/>
            </a:lnSpc>
            <a:spcBef>
              <a:spcPct val="0"/>
            </a:spcBef>
            <a:spcAft>
              <a:spcPct val="35000"/>
            </a:spcAft>
          </a:pPr>
          <a:r>
            <a:rPr lang="pl-PL" sz="900" b="1" kern="1200">
              <a:solidFill>
                <a:sysClr val="windowText" lastClr="000000"/>
              </a:solidFill>
            </a:rPr>
            <a:t>Komitet Rewitalizacji</a:t>
          </a:r>
        </a:p>
      </dsp:txBody>
      <dsp:txXfrm>
        <a:off x="880119" y="1120839"/>
        <a:ext cx="1731711" cy="697232"/>
      </dsp:txXfrm>
    </dsp:sp>
    <dsp:sp modelId="{80DE0A36-9F1A-4D45-994E-0DF1DE7C4436}">
      <dsp:nvSpPr>
        <dsp:cNvPr id="0" name=""/>
        <dsp:cNvSpPr/>
      </dsp:nvSpPr>
      <dsp:spPr>
        <a:xfrm>
          <a:off x="1209061" y="1677785"/>
          <a:ext cx="1416545" cy="314602"/>
        </a:xfrm>
        <a:prstGeom prst="rect">
          <a:avLst/>
        </a:prstGeom>
        <a:solidFill>
          <a:schemeClr val="lt1">
            <a:alpha val="90000"/>
            <a:hueOff val="0"/>
            <a:satOff val="0"/>
            <a:lumOff val="0"/>
            <a:alphaOff val="0"/>
          </a:schemeClr>
        </a:solidFill>
        <a:ln w="12700" cap="flat" cmpd="sng" algn="ctr">
          <a:solidFill>
            <a:srgbClr val="70AD47"/>
          </a:solidFill>
          <a:prstDash val="solid"/>
        </a:ln>
        <a:effectLst/>
      </dsp:spPr>
      <dsp:style>
        <a:lnRef idx="2">
          <a:scrgbClr r="0" g="0" b="0"/>
        </a:lnRef>
        <a:fillRef idx="1">
          <a:scrgbClr r="0" g="0" b="0"/>
        </a:fillRef>
        <a:effectRef idx="0">
          <a:scrgbClr r="0" g="0" b="0"/>
        </a:effectRef>
        <a:fontRef idx="minor"/>
      </dsp:style>
      <dsp:txBody>
        <a:bodyPr spcFirstLastPara="0" vert="horz" wrap="square" lIns="20320" tIns="5080" rIns="20320" bIns="5080" numCol="1" spcCol="1270" anchor="ctr" anchorCtr="0">
          <a:noAutofit/>
        </a:bodyPr>
        <a:lstStyle/>
        <a:p>
          <a:pPr lvl="0" algn="r" defTabSz="355600">
            <a:lnSpc>
              <a:spcPct val="90000"/>
            </a:lnSpc>
            <a:spcBef>
              <a:spcPct val="0"/>
            </a:spcBef>
            <a:spcAft>
              <a:spcPct val="35000"/>
            </a:spcAft>
          </a:pPr>
          <a:r>
            <a:rPr lang="pl-PL" sz="800" kern="1200">
              <a:solidFill>
                <a:sysClr val="windowText" lastClr="000000"/>
              </a:solidFill>
            </a:rPr>
            <a:t>Forum współpracy i dialogu</a:t>
          </a:r>
        </a:p>
      </dsp:txBody>
      <dsp:txXfrm>
        <a:off x="1209061" y="1677785"/>
        <a:ext cx="1416545" cy="314602"/>
      </dsp:txXfrm>
    </dsp:sp>
  </dsp:spTree>
</dsp:drawing>
</file>

<file path=word/diagrams/drawing3.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DA8175F1-6C17-41BA-904C-70151CA9D4B2}">
      <dsp:nvSpPr>
        <dsp:cNvPr id="0" name=""/>
        <dsp:cNvSpPr/>
      </dsp:nvSpPr>
      <dsp:spPr>
        <a:xfrm>
          <a:off x="4823" y="104464"/>
          <a:ext cx="1441585" cy="905495"/>
        </a:xfrm>
        <a:prstGeom prst="roundRect">
          <a:avLst>
            <a:gd name="adj" fmla="val 10000"/>
          </a:avLst>
        </a:prstGeom>
        <a:solidFill>
          <a:schemeClr val="accent1">
            <a:shade val="8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pl-PL" sz="1100" b="1" kern="1200"/>
            <a:t>PROCEDURA MONITORINGU</a:t>
          </a:r>
        </a:p>
      </dsp:txBody>
      <dsp:txXfrm>
        <a:off x="4823" y="104464"/>
        <a:ext cx="1441585" cy="905495"/>
      </dsp:txXfrm>
    </dsp:sp>
    <dsp:sp modelId="{AB75C08F-3959-4F0D-B6D5-087C31FEE90F}">
      <dsp:nvSpPr>
        <dsp:cNvPr id="0" name=""/>
        <dsp:cNvSpPr/>
      </dsp:nvSpPr>
      <dsp:spPr>
        <a:xfrm>
          <a:off x="1590566" y="378455"/>
          <a:ext cx="305616" cy="357513"/>
        </a:xfrm>
        <a:prstGeom prst="rightArrow">
          <a:avLst>
            <a:gd name="adj1" fmla="val 60000"/>
            <a:gd name="adj2" fmla="val 50000"/>
          </a:avLst>
        </a:prstGeom>
        <a:solidFill>
          <a:schemeClr val="accent1">
            <a:shade val="9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666750">
            <a:lnSpc>
              <a:spcPct val="90000"/>
            </a:lnSpc>
            <a:spcBef>
              <a:spcPct val="0"/>
            </a:spcBef>
            <a:spcAft>
              <a:spcPct val="35000"/>
            </a:spcAft>
          </a:pPr>
          <a:endParaRPr lang="pl-PL" sz="1500" kern="1200"/>
        </a:p>
      </dsp:txBody>
      <dsp:txXfrm>
        <a:off x="1590566" y="378455"/>
        <a:ext cx="305616" cy="357513"/>
      </dsp:txXfrm>
    </dsp:sp>
    <dsp:sp modelId="{519B3561-0536-4FD2-A165-86E6486694FE}">
      <dsp:nvSpPr>
        <dsp:cNvPr id="0" name=""/>
        <dsp:cNvSpPr/>
      </dsp:nvSpPr>
      <dsp:spPr>
        <a:xfrm>
          <a:off x="2023042" y="104464"/>
          <a:ext cx="1441585" cy="905495"/>
        </a:xfrm>
        <a:prstGeom prst="roundRect">
          <a:avLst>
            <a:gd name="adj" fmla="val 10000"/>
          </a:avLst>
        </a:prstGeom>
        <a:solidFill>
          <a:schemeClr val="accent1">
            <a:shade val="80000"/>
            <a:hueOff val="153123"/>
            <a:satOff val="-2196"/>
            <a:lumOff val="1280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pl-PL" sz="1100" b="1" kern="1200"/>
            <a:t>ILOŚCIOWA </a:t>
          </a:r>
          <a:br>
            <a:rPr lang="pl-PL" sz="1100" b="1" kern="1200"/>
          </a:br>
          <a:r>
            <a:rPr lang="pl-PL" sz="1100" b="1" kern="1200"/>
            <a:t>I JAKOŚCIOWA INTERPRETACJA WYNIKÓW</a:t>
          </a:r>
        </a:p>
      </dsp:txBody>
      <dsp:txXfrm>
        <a:off x="2023042" y="104464"/>
        <a:ext cx="1441585" cy="905495"/>
      </dsp:txXfrm>
    </dsp:sp>
    <dsp:sp modelId="{78544EB1-D0BA-49A5-AD0C-5CE908436D9A}">
      <dsp:nvSpPr>
        <dsp:cNvPr id="0" name=""/>
        <dsp:cNvSpPr/>
      </dsp:nvSpPr>
      <dsp:spPr>
        <a:xfrm>
          <a:off x="3608786" y="378455"/>
          <a:ext cx="305616" cy="357513"/>
        </a:xfrm>
        <a:prstGeom prst="rightArrow">
          <a:avLst>
            <a:gd name="adj1" fmla="val 60000"/>
            <a:gd name="adj2" fmla="val 50000"/>
          </a:avLst>
        </a:prstGeom>
        <a:solidFill>
          <a:schemeClr val="accent1">
            <a:shade val="90000"/>
            <a:hueOff val="306300"/>
            <a:satOff val="-4255"/>
            <a:lumOff val="22954"/>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666750">
            <a:lnSpc>
              <a:spcPct val="90000"/>
            </a:lnSpc>
            <a:spcBef>
              <a:spcPct val="0"/>
            </a:spcBef>
            <a:spcAft>
              <a:spcPct val="35000"/>
            </a:spcAft>
          </a:pPr>
          <a:endParaRPr lang="pl-PL" sz="1500" kern="1200"/>
        </a:p>
      </dsp:txBody>
      <dsp:txXfrm>
        <a:off x="3608786" y="378455"/>
        <a:ext cx="305616" cy="357513"/>
      </dsp:txXfrm>
    </dsp:sp>
    <dsp:sp modelId="{26849735-06FC-40EB-B094-83FB4EB21B1B}">
      <dsp:nvSpPr>
        <dsp:cNvPr id="0" name=""/>
        <dsp:cNvSpPr/>
      </dsp:nvSpPr>
      <dsp:spPr>
        <a:xfrm>
          <a:off x="4041261" y="104464"/>
          <a:ext cx="1441585" cy="905495"/>
        </a:xfrm>
        <a:prstGeom prst="roundRect">
          <a:avLst>
            <a:gd name="adj" fmla="val 10000"/>
          </a:avLst>
        </a:prstGeom>
        <a:solidFill>
          <a:schemeClr val="accent1">
            <a:shade val="80000"/>
            <a:hueOff val="306246"/>
            <a:satOff val="-4392"/>
            <a:lumOff val="2561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pl-PL" sz="1100" b="1" kern="1200"/>
            <a:t>POSTULOWANE ZMIANY DO PROGRAMU </a:t>
          </a:r>
          <a:br>
            <a:rPr lang="pl-PL" sz="1100" b="1" kern="1200"/>
          </a:br>
          <a:r>
            <a:rPr lang="pl-PL" sz="1100" b="1" kern="1200"/>
            <a:t>I SYSTEMU WDRAŻANIA</a:t>
          </a:r>
        </a:p>
      </dsp:txBody>
      <dsp:txXfrm>
        <a:off x="4041261" y="104464"/>
        <a:ext cx="1441585" cy="905495"/>
      </dsp:txXfrm>
    </dsp:sp>
  </dsp:spTree>
</dsp:drawing>
</file>

<file path=word/diagrams/drawing4.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8E1DCC0B-971B-47F3-BC5B-2799C3F0FF1B}">
      <dsp:nvSpPr>
        <dsp:cNvPr id="0" name=""/>
        <dsp:cNvSpPr/>
      </dsp:nvSpPr>
      <dsp:spPr>
        <a:xfrm>
          <a:off x="0" y="4593188"/>
          <a:ext cx="5486400" cy="1507805"/>
        </a:xfrm>
        <a:prstGeom prst="rect">
          <a:avLst/>
        </a:prstGeom>
        <a:solidFill>
          <a:srgbClr val="99CCFF"/>
        </a:solidFill>
        <a:ln w="25400" cap="flat" cmpd="sng" algn="ctr">
          <a:solidFill>
            <a:srgbClr val="0070C0"/>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lvl="0" algn="ctr" defTabSz="711200">
            <a:lnSpc>
              <a:spcPct val="90000"/>
            </a:lnSpc>
            <a:spcBef>
              <a:spcPct val="0"/>
            </a:spcBef>
            <a:spcAft>
              <a:spcPct val="35000"/>
            </a:spcAft>
          </a:pPr>
          <a:r>
            <a:rPr lang="pl-PL" sz="1600" b="1" kern="1200">
              <a:solidFill>
                <a:sysClr val="windowText" lastClr="000000"/>
              </a:solidFill>
            </a:rPr>
            <a:t>REALIZACJA CELÓW REWITALIZACJI</a:t>
          </a:r>
        </a:p>
      </dsp:txBody>
      <dsp:txXfrm>
        <a:off x="0" y="4593188"/>
        <a:ext cx="5486400" cy="814215"/>
      </dsp:txXfrm>
    </dsp:sp>
    <dsp:sp modelId="{FFCC2E34-6677-48D5-86A0-F05349E15962}">
      <dsp:nvSpPr>
        <dsp:cNvPr id="0" name=""/>
        <dsp:cNvSpPr/>
      </dsp:nvSpPr>
      <dsp:spPr>
        <a:xfrm>
          <a:off x="0" y="5184273"/>
          <a:ext cx="2743199" cy="952639"/>
        </a:xfrm>
        <a:prstGeom prst="rect">
          <a:avLst/>
        </a:prstGeom>
        <a:solidFill>
          <a:schemeClr val="accent1">
            <a:alpha val="90000"/>
            <a:tint val="40000"/>
            <a:hueOff val="0"/>
            <a:satOff val="0"/>
            <a:lumOff val="0"/>
            <a:alphaOff val="0"/>
          </a:schemeClr>
        </a:solidFill>
        <a:ln w="38100" cap="flat" cmpd="sng" algn="ctr">
          <a:solidFill>
            <a:schemeClr val="bg1">
              <a:lumMod val="65000"/>
              <a:alpha val="9000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4008" tIns="11430" rIns="64008" bIns="11430" numCol="1" spcCol="1270" anchor="ctr" anchorCtr="0">
          <a:noAutofit/>
        </a:bodyPr>
        <a:lstStyle/>
        <a:p>
          <a:pPr lvl="0" algn="ctr" defTabSz="400050">
            <a:lnSpc>
              <a:spcPct val="90000"/>
            </a:lnSpc>
            <a:spcBef>
              <a:spcPct val="0"/>
            </a:spcBef>
            <a:spcAft>
              <a:spcPct val="35000"/>
            </a:spcAft>
          </a:pPr>
          <a:r>
            <a:rPr lang="pl-PL" sz="900" b="1" kern="1200"/>
            <a:t>Monitoring: osiągania celów programu rewitalizacji:</a:t>
          </a:r>
        </a:p>
        <a:p>
          <a:pPr lvl="0" algn="ctr" defTabSz="400050">
            <a:lnSpc>
              <a:spcPct val="90000"/>
            </a:lnSpc>
            <a:spcBef>
              <a:spcPct val="0"/>
            </a:spcBef>
            <a:spcAft>
              <a:spcPct val="35000"/>
            </a:spcAft>
          </a:pPr>
          <a:r>
            <a:rPr lang="pl-PL" sz="900" kern="1200"/>
            <a:t>- monitoring wskaźników ustalonych do celów programu,</a:t>
          </a:r>
        </a:p>
      </dsp:txBody>
      <dsp:txXfrm>
        <a:off x="0" y="5184273"/>
        <a:ext cx="2743199" cy="952639"/>
      </dsp:txXfrm>
    </dsp:sp>
    <dsp:sp modelId="{1AAAC00B-185F-4911-8746-5BA3AD0F9766}">
      <dsp:nvSpPr>
        <dsp:cNvPr id="0" name=""/>
        <dsp:cNvSpPr/>
      </dsp:nvSpPr>
      <dsp:spPr>
        <a:xfrm>
          <a:off x="2743200" y="5184273"/>
          <a:ext cx="2743199" cy="952639"/>
        </a:xfrm>
        <a:prstGeom prst="rect">
          <a:avLst/>
        </a:prstGeom>
        <a:solidFill>
          <a:schemeClr val="accent1">
            <a:alpha val="90000"/>
            <a:tint val="40000"/>
            <a:hueOff val="0"/>
            <a:satOff val="0"/>
            <a:lumOff val="0"/>
            <a:alphaOff val="0"/>
          </a:schemeClr>
        </a:solidFill>
        <a:ln w="38100" cap="flat" cmpd="sng" algn="ctr">
          <a:solidFill>
            <a:schemeClr val="bg1">
              <a:lumMod val="65000"/>
              <a:alpha val="9000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4008" tIns="11430" rIns="64008" bIns="11430" numCol="1" spcCol="1270" anchor="ctr" anchorCtr="0">
          <a:noAutofit/>
        </a:bodyPr>
        <a:lstStyle/>
        <a:p>
          <a:pPr lvl="0" algn="ctr" defTabSz="400050">
            <a:lnSpc>
              <a:spcPct val="90000"/>
            </a:lnSpc>
            <a:spcBef>
              <a:spcPct val="0"/>
            </a:spcBef>
            <a:spcAft>
              <a:spcPct val="35000"/>
            </a:spcAft>
          </a:pPr>
          <a:r>
            <a:rPr lang="pl-PL" sz="900" b="1" kern="1200"/>
            <a:t>Ewaluacja:</a:t>
          </a:r>
        </a:p>
        <a:p>
          <a:pPr lvl="0" algn="ctr" defTabSz="400050">
            <a:lnSpc>
              <a:spcPct val="90000"/>
            </a:lnSpc>
            <a:spcBef>
              <a:spcPct val="0"/>
            </a:spcBef>
            <a:spcAft>
              <a:spcPct val="35000"/>
            </a:spcAft>
          </a:pPr>
          <a:r>
            <a:rPr lang="pl-PL" sz="900" kern="1200"/>
            <a:t>- stawianie hipotez dotyczących wpływu podejmowanych działań rewitalizacyjnych na realne zmiany sytuacji obszarów (w tym prace eksperckie),</a:t>
          </a:r>
        </a:p>
        <a:p>
          <a:pPr lvl="0" algn="ctr" defTabSz="400050">
            <a:lnSpc>
              <a:spcPct val="90000"/>
            </a:lnSpc>
            <a:spcBef>
              <a:spcPct val="0"/>
            </a:spcBef>
            <a:spcAft>
              <a:spcPct val="35000"/>
            </a:spcAft>
          </a:pPr>
          <a:r>
            <a:rPr lang="pl-PL" sz="900" kern="1200"/>
            <a:t>- proponowanie zmian w GPR i procesie jego wdrażania,</a:t>
          </a:r>
        </a:p>
      </dsp:txBody>
      <dsp:txXfrm>
        <a:off x="2743200" y="5184273"/>
        <a:ext cx="2743199" cy="952639"/>
      </dsp:txXfrm>
    </dsp:sp>
    <dsp:sp modelId="{41D4655E-84F8-488F-9203-C6AE93616603}">
      <dsp:nvSpPr>
        <dsp:cNvPr id="0" name=""/>
        <dsp:cNvSpPr/>
      </dsp:nvSpPr>
      <dsp:spPr>
        <a:xfrm rot="10800000">
          <a:off x="0" y="2296800"/>
          <a:ext cx="5486400" cy="2319005"/>
        </a:xfrm>
        <a:prstGeom prst="upArrowCallout">
          <a:avLst/>
        </a:prstGeom>
        <a:solidFill>
          <a:srgbClr val="99CCFF"/>
        </a:solidFill>
        <a:ln w="25400" cap="flat" cmpd="sng" algn="ctr">
          <a:solidFill>
            <a:srgbClr val="0070C0"/>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lvl="0" algn="ctr" defTabSz="711200">
            <a:lnSpc>
              <a:spcPct val="90000"/>
            </a:lnSpc>
            <a:spcBef>
              <a:spcPct val="0"/>
            </a:spcBef>
            <a:spcAft>
              <a:spcPct val="35000"/>
            </a:spcAft>
          </a:pPr>
          <a:r>
            <a:rPr lang="pl-PL" sz="1600" b="1" kern="1200">
              <a:solidFill>
                <a:sysClr val="windowText" lastClr="000000"/>
              </a:solidFill>
            </a:rPr>
            <a:t>REALIZACJA PROJEKTÓW</a:t>
          </a:r>
        </a:p>
      </dsp:txBody>
      <dsp:txXfrm>
        <a:off x="0" y="2296800"/>
        <a:ext cx="5486400" cy="813970"/>
      </dsp:txXfrm>
    </dsp:sp>
    <dsp:sp modelId="{EA98F11B-6A5C-4EEC-8C7B-D40DFF16D0CF}">
      <dsp:nvSpPr>
        <dsp:cNvPr id="0" name=""/>
        <dsp:cNvSpPr/>
      </dsp:nvSpPr>
      <dsp:spPr>
        <a:xfrm>
          <a:off x="0" y="2879739"/>
          <a:ext cx="2743199" cy="952353"/>
        </a:xfrm>
        <a:prstGeom prst="rect">
          <a:avLst/>
        </a:prstGeom>
        <a:solidFill>
          <a:schemeClr val="accent1">
            <a:alpha val="90000"/>
            <a:tint val="40000"/>
            <a:hueOff val="0"/>
            <a:satOff val="0"/>
            <a:lumOff val="0"/>
            <a:alphaOff val="0"/>
          </a:schemeClr>
        </a:solidFill>
        <a:ln w="38100" cap="flat" cmpd="sng" algn="ctr">
          <a:solidFill>
            <a:schemeClr val="bg1">
              <a:lumMod val="65000"/>
              <a:alpha val="9000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4008" tIns="11430" rIns="64008" bIns="11430" numCol="1" spcCol="1270" anchor="ctr" anchorCtr="0">
          <a:noAutofit/>
        </a:bodyPr>
        <a:lstStyle/>
        <a:p>
          <a:pPr lvl="0" algn="ctr" defTabSz="400050">
            <a:lnSpc>
              <a:spcPct val="90000"/>
            </a:lnSpc>
            <a:spcBef>
              <a:spcPct val="0"/>
            </a:spcBef>
            <a:spcAft>
              <a:spcPct val="35000"/>
            </a:spcAft>
          </a:pPr>
          <a:r>
            <a:rPr lang="pl-PL" sz="900" b="1" kern="1200"/>
            <a:t>Monitoring realizacji projektów:</a:t>
          </a:r>
        </a:p>
        <a:p>
          <a:pPr lvl="0" algn="ctr" defTabSz="400050">
            <a:lnSpc>
              <a:spcPct val="90000"/>
            </a:lnSpc>
            <a:spcBef>
              <a:spcPct val="0"/>
            </a:spcBef>
            <a:spcAft>
              <a:spcPct val="35000"/>
            </a:spcAft>
          </a:pPr>
          <a:r>
            <a:rPr lang="pl-PL" sz="900" kern="1200"/>
            <a:t>- monitoring poziomu uzyskania zakładanych produktów i rezultatów,</a:t>
          </a:r>
        </a:p>
        <a:p>
          <a:pPr lvl="0" algn="ctr" defTabSz="400050">
            <a:lnSpc>
              <a:spcPct val="90000"/>
            </a:lnSpc>
            <a:spcBef>
              <a:spcPct val="0"/>
            </a:spcBef>
            <a:spcAft>
              <a:spcPct val="35000"/>
            </a:spcAft>
          </a:pPr>
          <a:r>
            <a:rPr lang="pl-PL" sz="900" kern="1200"/>
            <a:t>- monitoring wskaźników zawartych w RPO </a:t>
          </a:r>
          <a:br>
            <a:rPr lang="pl-PL" sz="900" kern="1200"/>
          </a:br>
          <a:r>
            <a:rPr lang="pl-PL" sz="900" kern="1200"/>
            <a:t>Woj. Śląskiego,</a:t>
          </a:r>
        </a:p>
      </dsp:txBody>
      <dsp:txXfrm>
        <a:off x="0" y="2879739"/>
        <a:ext cx="2743199" cy="952353"/>
      </dsp:txXfrm>
    </dsp:sp>
    <dsp:sp modelId="{04033FD7-9A6D-4513-B16B-EA7BDF758399}">
      <dsp:nvSpPr>
        <dsp:cNvPr id="0" name=""/>
        <dsp:cNvSpPr/>
      </dsp:nvSpPr>
      <dsp:spPr>
        <a:xfrm>
          <a:off x="2743200" y="2879739"/>
          <a:ext cx="2743199" cy="952353"/>
        </a:xfrm>
        <a:prstGeom prst="rect">
          <a:avLst/>
        </a:prstGeom>
        <a:solidFill>
          <a:schemeClr val="accent1">
            <a:alpha val="90000"/>
            <a:tint val="40000"/>
            <a:hueOff val="0"/>
            <a:satOff val="0"/>
            <a:lumOff val="0"/>
            <a:alphaOff val="0"/>
          </a:schemeClr>
        </a:solidFill>
        <a:ln w="38100" cap="flat" cmpd="sng" algn="ctr">
          <a:solidFill>
            <a:schemeClr val="bg1">
              <a:lumMod val="65000"/>
              <a:alpha val="9000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4008" tIns="11430" rIns="64008" bIns="11430" numCol="1" spcCol="1270" anchor="ctr" anchorCtr="0">
          <a:noAutofit/>
        </a:bodyPr>
        <a:lstStyle/>
        <a:p>
          <a:pPr lvl="0" algn="ctr" defTabSz="400050">
            <a:lnSpc>
              <a:spcPct val="90000"/>
            </a:lnSpc>
            <a:spcBef>
              <a:spcPct val="0"/>
            </a:spcBef>
            <a:spcAft>
              <a:spcPct val="35000"/>
            </a:spcAft>
          </a:pPr>
          <a:r>
            <a:rPr lang="pl-PL" sz="900" b="1" kern="1200"/>
            <a:t>Ewaluacja:</a:t>
          </a:r>
        </a:p>
        <a:p>
          <a:pPr lvl="0" algn="ctr" defTabSz="400050">
            <a:lnSpc>
              <a:spcPct val="90000"/>
            </a:lnSpc>
            <a:spcBef>
              <a:spcPct val="0"/>
            </a:spcBef>
            <a:spcAft>
              <a:spcPct val="35000"/>
            </a:spcAft>
          </a:pPr>
          <a:r>
            <a:rPr lang="pl-PL" sz="900" kern="1200"/>
            <a:t>- badanie efektywności, korzystności i skuteczności realizacji projektu,</a:t>
          </a:r>
        </a:p>
        <a:p>
          <a:pPr lvl="0" algn="ctr" defTabSz="400050">
            <a:lnSpc>
              <a:spcPct val="90000"/>
            </a:lnSpc>
            <a:spcBef>
              <a:spcPct val="0"/>
            </a:spcBef>
            <a:spcAft>
              <a:spcPct val="35000"/>
            </a:spcAft>
          </a:pPr>
          <a:r>
            <a:rPr lang="pl-PL" sz="900" kern="1200"/>
            <a:t>- badanie zainteresowania benefcjentów efektami projektu,</a:t>
          </a:r>
        </a:p>
        <a:p>
          <a:pPr lvl="0" algn="ctr" defTabSz="400050">
            <a:lnSpc>
              <a:spcPct val="90000"/>
            </a:lnSpc>
            <a:spcBef>
              <a:spcPct val="0"/>
            </a:spcBef>
            <a:spcAft>
              <a:spcPct val="35000"/>
            </a:spcAft>
          </a:pPr>
          <a:r>
            <a:rPr lang="pl-PL" sz="900" kern="1200"/>
            <a:t>- badanie poziomu partnerstwa w realizacji projektów,</a:t>
          </a:r>
        </a:p>
      </dsp:txBody>
      <dsp:txXfrm>
        <a:off x="2743200" y="2879739"/>
        <a:ext cx="2743199" cy="952353"/>
      </dsp:txXfrm>
    </dsp:sp>
    <dsp:sp modelId="{46D2636D-B240-4CC6-8BD6-8AF70E6215EF}">
      <dsp:nvSpPr>
        <dsp:cNvPr id="0" name=""/>
        <dsp:cNvSpPr/>
      </dsp:nvSpPr>
      <dsp:spPr>
        <a:xfrm rot="10800000">
          <a:off x="0" y="412"/>
          <a:ext cx="5486400" cy="2319005"/>
        </a:xfrm>
        <a:prstGeom prst="upArrowCallout">
          <a:avLst/>
        </a:prstGeom>
        <a:solidFill>
          <a:srgbClr val="99CCFF"/>
        </a:solidFill>
        <a:ln w="25400" cap="flat" cmpd="sng" algn="ctr">
          <a:solidFill>
            <a:srgbClr val="0070C0"/>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lvl="0" algn="ctr" defTabSz="711200">
            <a:lnSpc>
              <a:spcPct val="90000"/>
            </a:lnSpc>
            <a:spcBef>
              <a:spcPct val="0"/>
            </a:spcBef>
            <a:spcAft>
              <a:spcPct val="35000"/>
            </a:spcAft>
          </a:pPr>
          <a:r>
            <a:rPr lang="pl-PL" sz="1600" b="1" kern="1200">
              <a:solidFill>
                <a:sysClr val="windowText" lastClr="000000"/>
              </a:solidFill>
            </a:rPr>
            <a:t>REALIZACJA ZADAŃ W RAMACH PROJEKTÓW</a:t>
          </a:r>
        </a:p>
      </dsp:txBody>
      <dsp:txXfrm>
        <a:off x="0" y="412"/>
        <a:ext cx="5486400" cy="813970"/>
      </dsp:txXfrm>
    </dsp:sp>
    <dsp:sp modelId="{52398441-7F01-4C57-8F4B-C7D4184D47C0}">
      <dsp:nvSpPr>
        <dsp:cNvPr id="0" name=""/>
        <dsp:cNvSpPr/>
      </dsp:nvSpPr>
      <dsp:spPr>
        <a:xfrm>
          <a:off x="0" y="583351"/>
          <a:ext cx="2743199" cy="952353"/>
        </a:xfrm>
        <a:prstGeom prst="rect">
          <a:avLst/>
        </a:prstGeom>
        <a:solidFill>
          <a:schemeClr val="accent1">
            <a:alpha val="90000"/>
            <a:tint val="40000"/>
            <a:hueOff val="0"/>
            <a:satOff val="0"/>
            <a:lumOff val="0"/>
            <a:alphaOff val="0"/>
          </a:schemeClr>
        </a:solidFill>
        <a:ln w="38100" cap="flat" cmpd="sng" algn="ctr">
          <a:solidFill>
            <a:schemeClr val="bg1">
              <a:lumMod val="65000"/>
              <a:alpha val="9000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4008" tIns="11430" rIns="64008" bIns="11430" numCol="1" spcCol="1270" anchor="ctr" anchorCtr="0">
          <a:noAutofit/>
        </a:bodyPr>
        <a:lstStyle/>
        <a:p>
          <a:pPr lvl="0" algn="ctr" defTabSz="400050">
            <a:lnSpc>
              <a:spcPct val="90000"/>
            </a:lnSpc>
            <a:spcBef>
              <a:spcPct val="0"/>
            </a:spcBef>
            <a:spcAft>
              <a:spcPct val="35000"/>
            </a:spcAft>
          </a:pPr>
          <a:r>
            <a:rPr lang="pl-PL" sz="900" b="1" kern="1200"/>
            <a:t>Monitoring realizacji założeń do projektów:</a:t>
          </a:r>
        </a:p>
        <a:p>
          <a:pPr lvl="0" algn="ctr" defTabSz="400050">
            <a:lnSpc>
              <a:spcPct val="90000"/>
            </a:lnSpc>
            <a:spcBef>
              <a:spcPct val="0"/>
            </a:spcBef>
            <a:spcAft>
              <a:spcPct val="35000"/>
            </a:spcAft>
          </a:pPr>
          <a:r>
            <a:rPr lang="pl-PL" sz="900" kern="1200"/>
            <a:t>- monitoring realizacji zadań składających się na projekt i dotrzymywania harmonogramu czasowego i rzeczowo-finansowego wewnątrz projektu</a:t>
          </a:r>
        </a:p>
      </dsp:txBody>
      <dsp:txXfrm>
        <a:off x="0" y="583351"/>
        <a:ext cx="2743199" cy="952353"/>
      </dsp:txXfrm>
    </dsp:sp>
    <dsp:sp modelId="{DC4CAC05-7116-4BFC-A61C-9B624F87476E}">
      <dsp:nvSpPr>
        <dsp:cNvPr id="0" name=""/>
        <dsp:cNvSpPr/>
      </dsp:nvSpPr>
      <dsp:spPr>
        <a:xfrm>
          <a:off x="2743200" y="583351"/>
          <a:ext cx="2743199" cy="952353"/>
        </a:xfrm>
        <a:prstGeom prst="rect">
          <a:avLst/>
        </a:prstGeom>
        <a:solidFill>
          <a:schemeClr val="accent1">
            <a:alpha val="90000"/>
            <a:tint val="40000"/>
            <a:hueOff val="0"/>
            <a:satOff val="0"/>
            <a:lumOff val="0"/>
            <a:alphaOff val="0"/>
          </a:schemeClr>
        </a:solidFill>
        <a:ln w="38100" cap="flat" cmpd="sng" algn="ctr">
          <a:solidFill>
            <a:schemeClr val="bg1">
              <a:lumMod val="65000"/>
              <a:alpha val="9000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4008" tIns="11430" rIns="64008" bIns="11430" numCol="1" spcCol="1270" anchor="ctr" anchorCtr="0">
          <a:noAutofit/>
        </a:bodyPr>
        <a:lstStyle/>
        <a:p>
          <a:pPr lvl="0" algn="ctr" defTabSz="400050">
            <a:lnSpc>
              <a:spcPct val="90000"/>
            </a:lnSpc>
            <a:spcBef>
              <a:spcPct val="0"/>
            </a:spcBef>
            <a:spcAft>
              <a:spcPct val="35000"/>
            </a:spcAft>
          </a:pPr>
          <a:r>
            <a:rPr lang="pl-PL" sz="900" b="1" kern="1200"/>
            <a:t>Ewaluacja:</a:t>
          </a:r>
        </a:p>
        <a:p>
          <a:pPr lvl="0" algn="ctr" defTabSz="400050">
            <a:lnSpc>
              <a:spcPct val="90000"/>
            </a:lnSpc>
            <a:spcBef>
              <a:spcPct val="0"/>
            </a:spcBef>
            <a:spcAft>
              <a:spcPct val="35000"/>
            </a:spcAft>
          </a:pPr>
          <a:r>
            <a:rPr lang="pl-PL" sz="900" kern="1200"/>
            <a:t>- określanie alokacji środków między projektami </a:t>
          </a:r>
          <a:br>
            <a:rPr lang="pl-PL" sz="900" kern="1200"/>
          </a:br>
          <a:r>
            <a:rPr lang="pl-PL" sz="900" kern="1200"/>
            <a:t>w nawiązaniu do analizy postępów wdrożeniowych,</a:t>
          </a:r>
        </a:p>
        <a:p>
          <a:pPr lvl="0" algn="ctr" defTabSz="400050">
            <a:lnSpc>
              <a:spcPct val="90000"/>
            </a:lnSpc>
            <a:spcBef>
              <a:spcPct val="0"/>
            </a:spcBef>
            <a:spcAft>
              <a:spcPct val="35000"/>
            </a:spcAft>
          </a:pPr>
          <a:r>
            <a:rPr lang="pl-PL" sz="900" kern="1200"/>
            <a:t>- badanie zaangażowania partnerów w realizację projektu i zadań w ramach projektu,</a:t>
          </a:r>
        </a:p>
      </dsp:txBody>
      <dsp:txXfrm>
        <a:off x="2743200" y="583351"/>
        <a:ext cx="2743199" cy="952353"/>
      </dsp:txXfrm>
    </dsp:sp>
  </dsp:spTree>
</dsp:drawing>
</file>

<file path=word/diagrams/drawing5.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1E7AA8E6-C3CA-4582-ACC0-E73F17AC03F4}">
      <dsp:nvSpPr>
        <dsp:cNvPr id="0" name=""/>
        <dsp:cNvSpPr/>
      </dsp:nvSpPr>
      <dsp:spPr>
        <a:xfrm>
          <a:off x="1675" y="7722"/>
          <a:ext cx="1193585" cy="582955"/>
        </a:xfrm>
        <a:prstGeom prst="roundRect">
          <a:avLst>
            <a:gd name="adj" fmla="val 10000"/>
          </a:avLst>
        </a:prstGeom>
        <a:solidFill>
          <a:srgbClr val="99CCFF"/>
        </a:solidFill>
        <a:ln w="25400" cap="flat" cmpd="sng" algn="ctr">
          <a:solidFill>
            <a:srgbClr val="0070C0"/>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38100" numCol="1" spcCol="1270" anchor="t" anchorCtr="0">
          <a:noAutofit/>
        </a:bodyPr>
        <a:lstStyle/>
        <a:p>
          <a:pPr lvl="0" algn="l" defTabSz="444500">
            <a:lnSpc>
              <a:spcPct val="90000"/>
            </a:lnSpc>
            <a:spcBef>
              <a:spcPct val="0"/>
            </a:spcBef>
            <a:spcAft>
              <a:spcPct val="35000"/>
            </a:spcAft>
          </a:pPr>
          <a:r>
            <a:rPr lang="pl-PL" sz="1000" b="1" kern="1200">
              <a:solidFill>
                <a:sysClr val="windowText" lastClr="000000"/>
              </a:solidFill>
            </a:rPr>
            <a:t>PODMIOTY LOKALNE</a:t>
          </a:r>
        </a:p>
      </dsp:txBody>
      <dsp:txXfrm>
        <a:off x="1675" y="7722"/>
        <a:ext cx="1193585" cy="388636"/>
      </dsp:txXfrm>
    </dsp:sp>
    <dsp:sp modelId="{DAB9B33A-ECB7-4AD7-AEA8-F174B84A1AEB}">
      <dsp:nvSpPr>
        <dsp:cNvPr id="0" name=""/>
        <dsp:cNvSpPr/>
      </dsp:nvSpPr>
      <dsp:spPr>
        <a:xfrm>
          <a:off x="170304" y="388174"/>
          <a:ext cx="1348631" cy="3252186"/>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1120" tIns="71120" rIns="71120" bIns="71120" numCol="1" spcCol="1270" anchor="t" anchorCtr="0">
          <a:noAutofit/>
        </a:bodyPr>
        <a:lstStyle/>
        <a:p>
          <a:pPr marL="57150" lvl="1" indent="-57150" algn="l" defTabSz="444500">
            <a:lnSpc>
              <a:spcPct val="90000"/>
            </a:lnSpc>
            <a:spcBef>
              <a:spcPct val="0"/>
            </a:spcBef>
            <a:spcAft>
              <a:spcPct val="15000"/>
            </a:spcAft>
            <a:buChar char="••"/>
          </a:pPr>
          <a:r>
            <a:rPr lang="pl-PL" sz="1000" kern="1200"/>
            <a:t>dostarczanie informacji źródłowej o sytuacji w podobszarach rewitalizacji - </a:t>
          </a:r>
          <a:br>
            <a:rPr lang="pl-PL" sz="1000" kern="1200"/>
          </a:br>
          <a:r>
            <a:rPr lang="pl-PL" sz="1000" kern="1200"/>
            <a:t>z uwzględnieniem wszystkich wymiarów rewitalizacji,</a:t>
          </a:r>
        </a:p>
        <a:p>
          <a:pPr marL="57150" lvl="1" indent="-57150" algn="l" defTabSz="444500">
            <a:lnSpc>
              <a:spcPct val="90000"/>
            </a:lnSpc>
            <a:spcBef>
              <a:spcPct val="0"/>
            </a:spcBef>
            <a:spcAft>
              <a:spcPct val="15000"/>
            </a:spcAft>
            <a:buChar char="••"/>
          </a:pPr>
          <a:r>
            <a:rPr lang="pl-PL" sz="1000" kern="1200"/>
            <a:t>dostarczanie informacji niezbędnej do oceny stopnia realizacji </a:t>
          </a:r>
          <a:br>
            <a:rPr lang="pl-PL" sz="1000" kern="1200"/>
          </a:br>
          <a:r>
            <a:rPr lang="pl-PL" sz="1000" kern="1200"/>
            <a:t>i efektów projektów rewitalizacji.</a:t>
          </a:r>
        </a:p>
      </dsp:txBody>
      <dsp:txXfrm>
        <a:off x="170304" y="388174"/>
        <a:ext cx="1348631" cy="3252186"/>
      </dsp:txXfrm>
    </dsp:sp>
    <dsp:sp modelId="{5C7970DB-6DD1-41B8-877F-69BDA0E17CB1}">
      <dsp:nvSpPr>
        <dsp:cNvPr id="0" name=""/>
        <dsp:cNvSpPr/>
      </dsp:nvSpPr>
      <dsp:spPr>
        <a:xfrm>
          <a:off x="1395584" y="53456"/>
          <a:ext cx="424686" cy="29716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pl-PL" sz="800" kern="1200"/>
        </a:p>
      </dsp:txBody>
      <dsp:txXfrm>
        <a:off x="1395584" y="53456"/>
        <a:ext cx="424686" cy="297168"/>
      </dsp:txXfrm>
    </dsp:sp>
    <dsp:sp modelId="{C491560C-3756-46D3-8700-9177CAF6913D}">
      <dsp:nvSpPr>
        <dsp:cNvPr id="0" name=""/>
        <dsp:cNvSpPr/>
      </dsp:nvSpPr>
      <dsp:spPr>
        <a:xfrm>
          <a:off x="1996556" y="7722"/>
          <a:ext cx="1193585" cy="582955"/>
        </a:xfrm>
        <a:prstGeom prst="roundRect">
          <a:avLst>
            <a:gd name="adj" fmla="val 10000"/>
          </a:avLst>
        </a:prstGeom>
        <a:solidFill>
          <a:srgbClr val="99CCFF"/>
        </a:solidFill>
        <a:ln w="25400" cap="flat" cmpd="sng" algn="ctr">
          <a:solidFill>
            <a:srgbClr val="0070C0"/>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38100" numCol="1" spcCol="1270" anchor="t" anchorCtr="0">
          <a:noAutofit/>
        </a:bodyPr>
        <a:lstStyle/>
        <a:p>
          <a:pPr lvl="0" algn="l" defTabSz="444500">
            <a:lnSpc>
              <a:spcPct val="90000"/>
            </a:lnSpc>
            <a:spcBef>
              <a:spcPct val="0"/>
            </a:spcBef>
            <a:spcAft>
              <a:spcPct val="35000"/>
            </a:spcAft>
          </a:pPr>
          <a:r>
            <a:rPr lang="pl-PL" sz="1000" b="1" kern="1200">
              <a:solidFill>
                <a:sysClr val="windowText" lastClr="000000"/>
              </a:solidFill>
            </a:rPr>
            <a:t>ZESPÓŁ DS. WDRAŻANIA GPR</a:t>
          </a:r>
        </a:p>
      </dsp:txBody>
      <dsp:txXfrm>
        <a:off x="1996556" y="7722"/>
        <a:ext cx="1193585" cy="388636"/>
      </dsp:txXfrm>
    </dsp:sp>
    <dsp:sp modelId="{93120023-54AC-4B87-B990-451A7BDAA8CD}">
      <dsp:nvSpPr>
        <dsp:cNvPr id="0" name=""/>
        <dsp:cNvSpPr/>
      </dsp:nvSpPr>
      <dsp:spPr>
        <a:xfrm>
          <a:off x="2151399" y="388174"/>
          <a:ext cx="1376203" cy="3252186"/>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1120" tIns="71120" rIns="71120" bIns="71120" numCol="1" spcCol="1270" anchor="t" anchorCtr="0">
          <a:noAutofit/>
        </a:bodyPr>
        <a:lstStyle/>
        <a:p>
          <a:pPr marL="57150" lvl="1" indent="-57150" algn="l" defTabSz="444500">
            <a:lnSpc>
              <a:spcPct val="90000"/>
            </a:lnSpc>
            <a:spcBef>
              <a:spcPct val="0"/>
            </a:spcBef>
            <a:spcAft>
              <a:spcPct val="15000"/>
            </a:spcAft>
            <a:buChar char="••"/>
          </a:pPr>
          <a:r>
            <a:rPr lang="pl-PL" sz="1000" kern="1200"/>
            <a:t>gromadzenie informacji,</a:t>
          </a:r>
        </a:p>
        <a:p>
          <a:pPr marL="57150" lvl="1" indent="-57150" algn="l" defTabSz="444500">
            <a:lnSpc>
              <a:spcPct val="90000"/>
            </a:lnSpc>
            <a:spcBef>
              <a:spcPct val="0"/>
            </a:spcBef>
            <a:spcAft>
              <a:spcPct val="15000"/>
            </a:spcAft>
            <a:buChar char="••"/>
          </a:pPr>
          <a:r>
            <a:rPr lang="pl-PL" sz="1000" kern="1200"/>
            <a:t>interpretowanie informacji,</a:t>
          </a:r>
        </a:p>
        <a:p>
          <a:pPr marL="57150" lvl="1" indent="-57150" algn="l" defTabSz="444500">
            <a:lnSpc>
              <a:spcPct val="90000"/>
            </a:lnSpc>
            <a:spcBef>
              <a:spcPct val="0"/>
            </a:spcBef>
            <a:spcAft>
              <a:spcPct val="15000"/>
            </a:spcAft>
            <a:buChar char="••"/>
          </a:pPr>
          <a:r>
            <a:rPr lang="pl-PL" sz="1000" kern="1200"/>
            <a:t>prowadzenie konsultacji na temat wyników monitoringu oraz jego potencjalnych modyfikacji,</a:t>
          </a:r>
        </a:p>
        <a:p>
          <a:pPr marL="57150" lvl="1" indent="-57150" algn="l" defTabSz="444500">
            <a:lnSpc>
              <a:spcPct val="90000"/>
            </a:lnSpc>
            <a:spcBef>
              <a:spcPct val="0"/>
            </a:spcBef>
            <a:spcAft>
              <a:spcPct val="15000"/>
            </a:spcAft>
            <a:buChar char="••"/>
          </a:pPr>
          <a:r>
            <a:rPr lang="pl-PL" sz="1000" kern="1200"/>
            <a:t>formułowanie wniosków do programu i systemu wdrażania,</a:t>
          </a:r>
        </a:p>
        <a:p>
          <a:pPr marL="57150" lvl="1" indent="-57150" algn="l" defTabSz="444500">
            <a:lnSpc>
              <a:spcPct val="90000"/>
            </a:lnSpc>
            <a:spcBef>
              <a:spcPct val="0"/>
            </a:spcBef>
            <a:spcAft>
              <a:spcPct val="15000"/>
            </a:spcAft>
            <a:buChar char="••"/>
          </a:pPr>
          <a:r>
            <a:rPr lang="pl-PL" sz="1000" kern="1200"/>
            <a:t>przekazywanie wniosków </a:t>
          </a:r>
          <a:br>
            <a:rPr lang="pl-PL" sz="1000" kern="1200"/>
          </a:br>
          <a:r>
            <a:rPr lang="pl-PL" sz="1000" kern="1200"/>
            <a:t>z monitoringu podmiotom lokalnym oraz Komitetowi Rewitalizacji.</a:t>
          </a:r>
        </a:p>
      </dsp:txBody>
      <dsp:txXfrm>
        <a:off x="2151399" y="388174"/>
        <a:ext cx="1376203" cy="3252186"/>
      </dsp:txXfrm>
    </dsp:sp>
    <dsp:sp modelId="{A725E3DB-9702-42C3-80AD-881CF9E1C310}">
      <dsp:nvSpPr>
        <dsp:cNvPr id="0" name=""/>
        <dsp:cNvSpPr/>
      </dsp:nvSpPr>
      <dsp:spPr>
        <a:xfrm>
          <a:off x="3393912" y="53456"/>
          <a:ext cx="431993" cy="29716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pl-PL" sz="800" kern="1200"/>
        </a:p>
      </dsp:txBody>
      <dsp:txXfrm>
        <a:off x="3393912" y="53456"/>
        <a:ext cx="431993" cy="297168"/>
      </dsp:txXfrm>
    </dsp:sp>
    <dsp:sp modelId="{122705D6-92E0-43E7-8D99-93DFCBFE1CBC}">
      <dsp:nvSpPr>
        <dsp:cNvPr id="0" name=""/>
        <dsp:cNvSpPr/>
      </dsp:nvSpPr>
      <dsp:spPr>
        <a:xfrm>
          <a:off x="4005223" y="7722"/>
          <a:ext cx="1193585" cy="582955"/>
        </a:xfrm>
        <a:prstGeom prst="roundRect">
          <a:avLst>
            <a:gd name="adj" fmla="val 10000"/>
          </a:avLst>
        </a:prstGeom>
        <a:solidFill>
          <a:srgbClr val="99CCFF"/>
        </a:solidFill>
        <a:ln w="25400" cap="flat" cmpd="sng" algn="ctr">
          <a:solidFill>
            <a:srgbClr val="0070C0"/>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38100" numCol="1" spcCol="1270" anchor="t" anchorCtr="0">
          <a:noAutofit/>
        </a:bodyPr>
        <a:lstStyle/>
        <a:p>
          <a:pPr lvl="0" algn="l" defTabSz="444500">
            <a:lnSpc>
              <a:spcPct val="90000"/>
            </a:lnSpc>
            <a:spcBef>
              <a:spcPct val="0"/>
            </a:spcBef>
            <a:spcAft>
              <a:spcPct val="35000"/>
            </a:spcAft>
          </a:pPr>
          <a:r>
            <a:rPr lang="pl-PL" sz="1000" b="1" kern="1200">
              <a:solidFill>
                <a:sysClr val="windowText" lastClr="000000"/>
              </a:solidFill>
            </a:rPr>
            <a:t>KOMITET REWITALIZACJI</a:t>
          </a:r>
        </a:p>
      </dsp:txBody>
      <dsp:txXfrm>
        <a:off x="4005223" y="7722"/>
        <a:ext cx="1193585" cy="388636"/>
      </dsp:txXfrm>
    </dsp:sp>
    <dsp:sp modelId="{C67F7839-1050-402F-BEDD-2D125545C0EB}">
      <dsp:nvSpPr>
        <dsp:cNvPr id="0" name=""/>
        <dsp:cNvSpPr/>
      </dsp:nvSpPr>
      <dsp:spPr>
        <a:xfrm>
          <a:off x="4201663" y="388174"/>
          <a:ext cx="1292986" cy="3252186"/>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1120" tIns="71120" rIns="71120" bIns="71120" numCol="1" spcCol="1270" anchor="t" anchorCtr="0">
          <a:noAutofit/>
        </a:bodyPr>
        <a:lstStyle/>
        <a:p>
          <a:pPr marL="57150" lvl="1" indent="-57150" algn="l" defTabSz="444500">
            <a:lnSpc>
              <a:spcPct val="90000"/>
            </a:lnSpc>
            <a:spcBef>
              <a:spcPct val="0"/>
            </a:spcBef>
            <a:spcAft>
              <a:spcPct val="15000"/>
            </a:spcAft>
            <a:buChar char="••"/>
          </a:pPr>
          <a:r>
            <a:rPr lang="pl-PL" sz="1000" kern="1200"/>
            <a:t>podejmowanie decyzji o sposobie dalszego wdrażania GPR,</a:t>
          </a:r>
        </a:p>
        <a:p>
          <a:pPr marL="57150" lvl="1" indent="-57150" algn="l" defTabSz="444500">
            <a:lnSpc>
              <a:spcPct val="90000"/>
            </a:lnSpc>
            <a:spcBef>
              <a:spcPct val="0"/>
            </a:spcBef>
            <a:spcAft>
              <a:spcPct val="15000"/>
            </a:spcAft>
            <a:buChar char="••"/>
          </a:pPr>
          <a:r>
            <a:rPr lang="pl-PL" sz="1000" kern="1200"/>
            <a:t>podejmowanie decyzji </a:t>
          </a:r>
          <a:br>
            <a:rPr lang="pl-PL" sz="1000" kern="1200"/>
          </a:br>
          <a:r>
            <a:rPr lang="pl-PL" sz="1000" kern="1200"/>
            <a:t>o ewentualnych modyfikacjach programu, projektach wdrożeniowych, systemie wdrażania, systemie monitoringu.</a:t>
          </a:r>
        </a:p>
      </dsp:txBody>
      <dsp:txXfrm>
        <a:off x="4201663" y="388174"/>
        <a:ext cx="1292986" cy="3252186"/>
      </dsp:txXfrm>
    </dsp:sp>
  </dsp:spTree>
</dsp:drawing>
</file>

<file path=word/diagrams/drawing6.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F2F1C2F6-23B4-4AD2-B87B-56478FF6167B}">
      <dsp:nvSpPr>
        <dsp:cNvPr id="0" name=""/>
        <dsp:cNvSpPr/>
      </dsp:nvSpPr>
      <dsp:spPr>
        <a:xfrm>
          <a:off x="0" y="4647415"/>
          <a:ext cx="5482589" cy="1532183"/>
        </a:xfrm>
        <a:prstGeom prst="rect">
          <a:avLst/>
        </a:prstGeom>
        <a:solidFill>
          <a:srgbClr val="99CCFF"/>
        </a:solidFill>
        <a:ln w="25400" cap="flat" cmpd="sng" algn="ctr">
          <a:solidFill>
            <a:srgbClr val="0070C0"/>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lvl="0" algn="ctr" defTabSz="533400">
            <a:lnSpc>
              <a:spcPct val="90000"/>
            </a:lnSpc>
            <a:spcBef>
              <a:spcPct val="0"/>
            </a:spcBef>
            <a:spcAft>
              <a:spcPct val="35000"/>
            </a:spcAft>
          </a:pPr>
          <a:r>
            <a:rPr lang="pl-PL" sz="1200" b="1" kern="1200"/>
            <a:t>RYZYKO NIEWŁAŚCIWIE REALIZOWANEGO MONITORINGU PROGRAMU</a:t>
          </a:r>
        </a:p>
      </dsp:txBody>
      <dsp:txXfrm>
        <a:off x="0" y="4647415"/>
        <a:ext cx="5482589" cy="827379"/>
      </dsp:txXfrm>
    </dsp:sp>
    <dsp:sp modelId="{BDC01A83-EDAF-4E03-9FFF-6860659F53FE}">
      <dsp:nvSpPr>
        <dsp:cNvPr id="0" name=""/>
        <dsp:cNvSpPr/>
      </dsp:nvSpPr>
      <dsp:spPr>
        <a:xfrm>
          <a:off x="0" y="5468389"/>
          <a:ext cx="1825745" cy="713335"/>
        </a:xfrm>
        <a:prstGeom prst="rect">
          <a:avLst/>
        </a:prstGeom>
        <a:solidFill>
          <a:schemeClr val="bg2">
            <a:lumMod val="90000"/>
            <a:alpha val="90000"/>
          </a:schemeClr>
        </a:solidFill>
        <a:ln w="25400" cap="flat" cmpd="sng" algn="ctr">
          <a:solidFill>
            <a:schemeClr val="bg1">
              <a:lumMod val="65000"/>
              <a:alpha val="9000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4008" tIns="11430" rIns="64008" bIns="11430" numCol="1" spcCol="1270" anchor="ctr" anchorCtr="0">
          <a:noAutofit/>
        </a:bodyPr>
        <a:lstStyle/>
        <a:p>
          <a:pPr lvl="0" algn="ctr" defTabSz="400050">
            <a:lnSpc>
              <a:spcPct val="90000"/>
            </a:lnSpc>
            <a:spcBef>
              <a:spcPct val="0"/>
            </a:spcBef>
            <a:spcAft>
              <a:spcPct val="35000"/>
            </a:spcAft>
          </a:pPr>
          <a:r>
            <a:rPr lang="pl-PL" sz="900" kern="1200"/>
            <a:t>koncentracja na cząstkowych wynikach monitoringu przy utracie postrzegania kompleksowej sytuacji  miasta i obszaru zdegradowanego</a:t>
          </a:r>
        </a:p>
      </dsp:txBody>
      <dsp:txXfrm>
        <a:off x="0" y="5468389"/>
        <a:ext cx="1825745" cy="713335"/>
      </dsp:txXfrm>
    </dsp:sp>
    <dsp:sp modelId="{1089DFC7-F718-4012-B2CE-B834ACF86A41}">
      <dsp:nvSpPr>
        <dsp:cNvPr id="0" name=""/>
        <dsp:cNvSpPr/>
      </dsp:nvSpPr>
      <dsp:spPr>
        <a:xfrm>
          <a:off x="1825738" y="5468389"/>
          <a:ext cx="1825745" cy="713335"/>
        </a:xfrm>
        <a:prstGeom prst="rect">
          <a:avLst/>
        </a:prstGeom>
        <a:solidFill>
          <a:schemeClr val="bg2">
            <a:lumMod val="90000"/>
            <a:alpha val="90000"/>
          </a:schemeClr>
        </a:solidFill>
        <a:ln w="25400" cap="flat" cmpd="sng" algn="ctr">
          <a:solidFill>
            <a:schemeClr val="bg1">
              <a:lumMod val="65000"/>
              <a:alpha val="9000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4008" tIns="11430" rIns="64008" bIns="11430" numCol="1" spcCol="1270" anchor="ctr" anchorCtr="0">
          <a:noAutofit/>
        </a:bodyPr>
        <a:lstStyle/>
        <a:p>
          <a:pPr lvl="0" algn="ctr" defTabSz="400050">
            <a:lnSpc>
              <a:spcPct val="90000"/>
            </a:lnSpc>
            <a:spcBef>
              <a:spcPct val="0"/>
            </a:spcBef>
            <a:spcAft>
              <a:spcPct val="35000"/>
            </a:spcAft>
          </a:pPr>
          <a:r>
            <a:rPr lang="pl-PL" sz="900" kern="1200"/>
            <a:t>rozbieżność ocen między efektami realizacji projektów a osiąganiem celów rewitalizacji (sukces projektu nierównoznaczny z sukcesem strategicznym)</a:t>
          </a:r>
        </a:p>
      </dsp:txBody>
      <dsp:txXfrm>
        <a:off x="1825738" y="5468389"/>
        <a:ext cx="1825745" cy="713335"/>
      </dsp:txXfrm>
    </dsp:sp>
    <dsp:sp modelId="{490E271E-614A-4F85-B7B2-CE0F1959298C}">
      <dsp:nvSpPr>
        <dsp:cNvPr id="0" name=""/>
        <dsp:cNvSpPr/>
      </dsp:nvSpPr>
      <dsp:spPr>
        <a:xfrm>
          <a:off x="3656844" y="5468389"/>
          <a:ext cx="1825745" cy="713335"/>
        </a:xfrm>
        <a:prstGeom prst="rect">
          <a:avLst/>
        </a:prstGeom>
        <a:solidFill>
          <a:schemeClr val="bg2">
            <a:lumMod val="90000"/>
            <a:alpha val="90000"/>
          </a:schemeClr>
        </a:solidFill>
        <a:ln w="25400" cap="flat" cmpd="sng" algn="ctr">
          <a:solidFill>
            <a:schemeClr val="bg1">
              <a:lumMod val="65000"/>
              <a:alpha val="9000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4008" tIns="11430" rIns="64008" bIns="11430" numCol="1" spcCol="1270" anchor="ctr" anchorCtr="0">
          <a:noAutofit/>
        </a:bodyPr>
        <a:lstStyle/>
        <a:p>
          <a:pPr lvl="0" algn="ctr" defTabSz="400050">
            <a:lnSpc>
              <a:spcPct val="90000"/>
            </a:lnSpc>
            <a:spcBef>
              <a:spcPct val="0"/>
            </a:spcBef>
            <a:spcAft>
              <a:spcPct val="35000"/>
            </a:spcAft>
          </a:pPr>
          <a:r>
            <a:rPr lang="pl-PL" sz="900" kern="1200"/>
            <a:t>niewłaściwa interpretacja przyczyn odchyleń między założeniami rewitalizacji a uzyskanymi rezultatami</a:t>
          </a:r>
        </a:p>
      </dsp:txBody>
      <dsp:txXfrm>
        <a:off x="3656844" y="5468389"/>
        <a:ext cx="1825745" cy="713335"/>
      </dsp:txXfrm>
    </dsp:sp>
    <dsp:sp modelId="{107B65EA-4BE5-4867-8F52-12CB197F3CC1}">
      <dsp:nvSpPr>
        <dsp:cNvPr id="0" name=""/>
        <dsp:cNvSpPr/>
      </dsp:nvSpPr>
      <dsp:spPr>
        <a:xfrm rot="10800000">
          <a:off x="0" y="2283655"/>
          <a:ext cx="5482589" cy="2382074"/>
        </a:xfrm>
        <a:prstGeom prst="upArrowCallout">
          <a:avLst/>
        </a:prstGeom>
        <a:solidFill>
          <a:srgbClr val="99CCFF"/>
        </a:solidFill>
        <a:ln w="25400" cap="flat" cmpd="sng" algn="ctr">
          <a:solidFill>
            <a:srgbClr val="0070C0"/>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lvl="0" algn="ctr" defTabSz="533400">
            <a:lnSpc>
              <a:spcPct val="90000"/>
            </a:lnSpc>
            <a:spcBef>
              <a:spcPct val="0"/>
            </a:spcBef>
            <a:spcAft>
              <a:spcPct val="35000"/>
            </a:spcAft>
          </a:pPr>
          <a:r>
            <a:rPr lang="pl-PL" sz="1200" b="1" kern="1200"/>
            <a:t>RYZYKO BŁĘDNEGO PROGNOZOWANIA ZJAWISK</a:t>
          </a:r>
        </a:p>
      </dsp:txBody>
      <dsp:txXfrm>
        <a:off x="0" y="2283655"/>
        <a:ext cx="5482589" cy="836108"/>
      </dsp:txXfrm>
    </dsp:sp>
    <dsp:sp modelId="{F42E2361-5EB7-43CB-B47C-2A0C01B1FE04}">
      <dsp:nvSpPr>
        <dsp:cNvPr id="0" name=""/>
        <dsp:cNvSpPr/>
      </dsp:nvSpPr>
      <dsp:spPr>
        <a:xfrm>
          <a:off x="2677" y="3119070"/>
          <a:ext cx="1825745" cy="713121"/>
        </a:xfrm>
        <a:prstGeom prst="rect">
          <a:avLst/>
        </a:prstGeom>
        <a:solidFill>
          <a:schemeClr val="bg2">
            <a:lumMod val="90000"/>
            <a:alpha val="90000"/>
          </a:schemeClr>
        </a:solidFill>
        <a:ln w="25400" cap="flat" cmpd="sng" algn="ctr">
          <a:solidFill>
            <a:schemeClr val="bg1">
              <a:lumMod val="65000"/>
              <a:alpha val="9000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4008" tIns="11430" rIns="64008" bIns="11430" numCol="1" spcCol="1270" anchor="ctr" anchorCtr="0">
          <a:noAutofit/>
        </a:bodyPr>
        <a:lstStyle/>
        <a:p>
          <a:pPr lvl="0" algn="ctr" defTabSz="400050">
            <a:lnSpc>
              <a:spcPct val="90000"/>
            </a:lnSpc>
            <a:spcBef>
              <a:spcPct val="0"/>
            </a:spcBef>
            <a:spcAft>
              <a:spcPct val="35000"/>
            </a:spcAft>
          </a:pPr>
          <a:r>
            <a:rPr lang="pl-PL" sz="900" kern="1200"/>
            <a:t>ograniczone prawdopodobieństwo realizacji prognoz dotyczących ewolucji procesów lokalnych, </a:t>
          </a:r>
          <a:br>
            <a:rPr lang="pl-PL" sz="900" kern="1200"/>
          </a:br>
          <a:r>
            <a:rPr lang="pl-PL" sz="900" kern="1200"/>
            <a:t>w szczególności związanych ze zjawiskami kryzysowymi</a:t>
          </a:r>
        </a:p>
      </dsp:txBody>
      <dsp:txXfrm>
        <a:off x="2677" y="3119070"/>
        <a:ext cx="1825745" cy="713121"/>
      </dsp:txXfrm>
    </dsp:sp>
    <dsp:sp modelId="{BBE8F99F-1723-4CA9-90BD-B8E736411290}">
      <dsp:nvSpPr>
        <dsp:cNvPr id="0" name=""/>
        <dsp:cNvSpPr/>
      </dsp:nvSpPr>
      <dsp:spPr>
        <a:xfrm>
          <a:off x="1828422" y="3119070"/>
          <a:ext cx="1825745" cy="713121"/>
        </a:xfrm>
        <a:prstGeom prst="rect">
          <a:avLst/>
        </a:prstGeom>
        <a:solidFill>
          <a:schemeClr val="bg2">
            <a:lumMod val="90000"/>
            <a:alpha val="90000"/>
          </a:schemeClr>
        </a:solidFill>
        <a:ln w="25400" cap="flat" cmpd="sng" algn="ctr">
          <a:solidFill>
            <a:schemeClr val="bg1">
              <a:lumMod val="65000"/>
              <a:alpha val="9000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4008" tIns="11430" rIns="64008" bIns="11430" numCol="1" spcCol="1270" anchor="ctr" anchorCtr="0">
          <a:noAutofit/>
        </a:bodyPr>
        <a:lstStyle/>
        <a:p>
          <a:pPr lvl="0" algn="ctr" defTabSz="400050">
            <a:lnSpc>
              <a:spcPct val="90000"/>
            </a:lnSpc>
            <a:spcBef>
              <a:spcPct val="0"/>
            </a:spcBef>
            <a:spcAft>
              <a:spcPct val="35000"/>
            </a:spcAft>
          </a:pPr>
          <a:r>
            <a:rPr lang="pl-PL" sz="900" kern="1200"/>
            <a:t>ograniczone prawdopodbieństwo prognozowania rezultatów podejmowanych przedsięwzięć wdrożeniowych</a:t>
          </a:r>
        </a:p>
      </dsp:txBody>
      <dsp:txXfrm>
        <a:off x="1828422" y="3119070"/>
        <a:ext cx="1825745" cy="713121"/>
      </dsp:txXfrm>
    </dsp:sp>
    <dsp:sp modelId="{A37D4B02-65AB-444F-B384-8905AF353B39}">
      <dsp:nvSpPr>
        <dsp:cNvPr id="0" name=""/>
        <dsp:cNvSpPr/>
      </dsp:nvSpPr>
      <dsp:spPr>
        <a:xfrm>
          <a:off x="3656844" y="3119070"/>
          <a:ext cx="1825745" cy="713121"/>
        </a:xfrm>
        <a:prstGeom prst="rect">
          <a:avLst/>
        </a:prstGeom>
        <a:solidFill>
          <a:schemeClr val="bg2">
            <a:lumMod val="90000"/>
            <a:alpha val="90000"/>
          </a:schemeClr>
        </a:solidFill>
        <a:ln w="25400" cap="flat" cmpd="sng" algn="ctr">
          <a:solidFill>
            <a:schemeClr val="bg1">
              <a:lumMod val="65000"/>
              <a:alpha val="9000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4008" tIns="11430" rIns="64008" bIns="11430" numCol="1" spcCol="1270" anchor="ctr" anchorCtr="0">
          <a:noAutofit/>
        </a:bodyPr>
        <a:lstStyle/>
        <a:p>
          <a:pPr lvl="0" algn="ctr" defTabSz="400050">
            <a:lnSpc>
              <a:spcPct val="90000"/>
            </a:lnSpc>
            <a:spcBef>
              <a:spcPct val="0"/>
            </a:spcBef>
            <a:spcAft>
              <a:spcPct val="35000"/>
            </a:spcAft>
          </a:pPr>
          <a:r>
            <a:rPr lang="pl-PL" sz="900" kern="1200"/>
            <a:t>występowanie zmian skokowych "łamiących" dotychczas obserwowane trendy</a:t>
          </a:r>
        </a:p>
      </dsp:txBody>
      <dsp:txXfrm>
        <a:off x="3656844" y="3119070"/>
        <a:ext cx="1825745" cy="713121"/>
      </dsp:txXfrm>
    </dsp:sp>
    <dsp:sp modelId="{0DC19A21-8412-44F2-A57E-13EF51EE7B09}">
      <dsp:nvSpPr>
        <dsp:cNvPr id="0" name=""/>
        <dsp:cNvSpPr/>
      </dsp:nvSpPr>
      <dsp:spPr>
        <a:xfrm rot="10800000">
          <a:off x="0" y="2125"/>
          <a:ext cx="5482589" cy="2299844"/>
        </a:xfrm>
        <a:prstGeom prst="upArrowCallout">
          <a:avLst/>
        </a:prstGeom>
        <a:solidFill>
          <a:srgbClr val="99CCFF"/>
        </a:solidFill>
        <a:ln w="25400" cap="flat" cmpd="sng" algn="ctr">
          <a:solidFill>
            <a:srgbClr val="0070C0"/>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lvl="0" algn="ctr" defTabSz="533400">
            <a:lnSpc>
              <a:spcPct val="90000"/>
            </a:lnSpc>
            <a:spcBef>
              <a:spcPct val="0"/>
            </a:spcBef>
            <a:spcAft>
              <a:spcPct val="35000"/>
            </a:spcAft>
          </a:pPr>
          <a:r>
            <a:rPr lang="pl-PL" sz="1200" b="1" kern="1200"/>
            <a:t>RYZYKO NIEPEŁNEGO DOSTĘPU DO INFORMACJI ORAZ NIE W PEŁNI POPRAWNYCH WYNIKÓW ANALIZ WYKONANYCH NA ETAPIE FORMUŁOWANIA DOKUMENTU</a:t>
          </a:r>
        </a:p>
      </dsp:txBody>
      <dsp:txXfrm>
        <a:off x="0" y="2125"/>
        <a:ext cx="5482589" cy="807245"/>
      </dsp:txXfrm>
    </dsp:sp>
    <dsp:sp modelId="{67465163-9B36-4FB1-BA33-85E1783B5026}">
      <dsp:nvSpPr>
        <dsp:cNvPr id="0" name=""/>
        <dsp:cNvSpPr/>
      </dsp:nvSpPr>
      <dsp:spPr>
        <a:xfrm>
          <a:off x="2672" y="796425"/>
          <a:ext cx="1823068" cy="713121"/>
        </a:xfrm>
        <a:prstGeom prst="rect">
          <a:avLst/>
        </a:prstGeom>
        <a:solidFill>
          <a:schemeClr val="bg2">
            <a:lumMod val="90000"/>
            <a:alpha val="90000"/>
          </a:schemeClr>
        </a:solidFill>
        <a:ln w="25400" cap="flat" cmpd="sng" algn="ctr">
          <a:solidFill>
            <a:schemeClr val="bg1">
              <a:lumMod val="65000"/>
              <a:alpha val="9000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4008" tIns="11430" rIns="64008" bIns="11430" numCol="1" spcCol="1270" anchor="ctr" anchorCtr="0">
          <a:noAutofit/>
        </a:bodyPr>
        <a:lstStyle/>
        <a:p>
          <a:pPr lvl="0" algn="ctr" defTabSz="400050">
            <a:lnSpc>
              <a:spcPct val="90000"/>
            </a:lnSpc>
            <a:spcBef>
              <a:spcPct val="0"/>
            </a:spcBef>
            <a:spcAft>
              <a:spcPct val="35000"/>
            </a:spcAft>
          </a:pPr>
          <a:r>
            <a:rPr lang="pl-PL" sz="900" kern="1200"/>
            <a:t>niepełne odwzorowanie zjawisk kryzysowych ze względu na deficyt danych w źródłach statystyki publicznej</a:t>
          </a:r>
        </a:p>
      </dsp:txBody>
      <dsp:txXfrm>
        <a:off x="2672" y="796425"/>
        <a:ext cx="1823068" cy="713121"/>
      </dsp:txXfrm>
    </dsp:sp>
    <dsp:sp modelId="{5CD8CF57-007D-4A02-8E18-F03EF7DA0337}">
      <dsp:nvSpPr>
        <dsp:cNvPr id="0" name=""/>
        <dsp:cNvSpPr/>
      </dsp:nvSpPr>
      <dsp:spPr>
        <a:xfrm>
          <a:off x="1825741" y="796425"/>
          <a:ext cx="1823068" cy="713121"/>
        </a:xfrm>
        <a:prstGeom prst="rect">
          <a:avLst/>
        </a:prstGeom>
        <a:solidFill>
          <a:schemeClr val="bg2">
            <a:lumMod val="90000"/>
            <a:alpha val="90000"/>
          </a:schemeClr>
        </a:solidFill>
        <a:ln w="25400" cap="flat" cmpd="sng" algn="ctr">
          <a:solidFill>
            <a:schemeClr val="bg1">
              <a:lumMod val="65000"/>
              <a:alpha val="9000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4008" tIns="11430" rIns="64008" bIns="11430" numCol="1" spcCol="1270" anchor="ctr" anchorCtr="0">
          <a:noAutofit/>
        </a:bodyPr>
        <a:lstStyle/>
        <a:p>
          <a:pPr lvl="0" algn="ctr" defTabSz="400050">
            <a:lnSpc>
              <a:spcPct val="90000"/>
            </a:lnSpc>
            <a:spcBef>
              <a:spcPct val="0"/>
            </a:spcBef>
            <a:spcAft>
              <a:spcPct val="35000"/>
            </a:spcAft>
          </a:pPr>
          <a:r>
            <a:rPr lang="pl-PL" sz="900" kern="1200"/>
            <a:t>ograniczony udział członków społeczności lokalnych, </a:t>
          </a:r>
          <a:br>
            <a:rPr lang="pl-PL" sz="900" kern="1200"/>
          </a:br>
          <a:r>
            <a:rPr lang="pl-PL" sz="900" kern="1200"/>
            <a:t>w szczególności grup skrajnie defaworyzowanych w procecie konsultacji</a:t>
          </a:r>
        </a:p>
      </dsp:txBody>
      <dsp:txXfrm>
        <a:off x="1825741" y="796425"/>
        <a:ext cx="1823068" cy="713121"/>
      </dsp:txXfrm>
    </dsp:sp>
    <dsp:sp modelId="{5BFF9526-BB47-465F-B01E-0F10205C0CC0}">
      <dsp:nvSpPr>
        <dsp:cNvPr id="0" name=""/>
        <dsp:cNvSpPr/>
      </dsp:nvSpPr>
      <dsp:spPr>
        <a:xfrm>
          <a:off x="3651482" y="796425"/>
          <a:ext cx="1831107" cy="713121"/>
        </a:xfrm>
        <a:prstGeom prst="rect">
          <a:avLst/>
        </a:prstGeom>
        <a:solidFill>
          <a:schemeClr val="bg2">
            <a:lumMod val="90000"/>
            <a:alpha val="90000"/>
          </a:schemeClr>
        </a:solidFill>
        <a:ln w="25400" cap="flat" cmpd="sng" algn="ctr">
          <a:solidFill>
            <a:schemeClr val="bg1">
              <a:lumMod val="65000"/>
              <a:alpha val="9000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4008" tIns="11430" rIns="64008" bIns="11430" numCol="1" spcCol="1270" anchor="ctr" anchorCtr="0">
          <a:noAutofit/>
        </a:bodyPr>
        <a:lstStyle/>
        <a:p>
          <a:pPr lvl="0" algn="ctr" defTabSz="400050">
            <a:lnSpc>
              <a:spcPct val="90000"/>
            </a:lnSpc>
            <a:spcBef>
              <a:spcPct val="0"/>
            </a:spcBef>
            <a:spcAft>
              <a:spcPct val="35000"/>
            </a:spcAft>
          </a:pPr>
          <a:r>
            <a:rPr lang="pl-PL" sz="900" kern="1200"/>
            <a:t>częściowo błędne interpretacje uzyskanych wyników</a:t>
          </a:r>
        </a:p>
      </dsp:txBody>
      <dsp:txXfrm>
        <a:off x="3651482" y="796425"/>
        <a:ext cx="1831107" cy="713121"/>
      </dsp:txXfrm>
    </dsp:sp>
  </dsp:spTree>
</dsp:drawing>
</file>

<file path=word/diagrams/drawing7.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37200DA7-8B61-4935-9505-C343CEA05A6B}">
      <dsp:nvSpPr>
        <dsp:cNvPr id="0" name=""/>
        <dsp:cNvSpPr/>
      </dsp:nvSpPr>
      <dsp:spPr>
        <a:xfrm>
          <a:off x="2679" y="774482"/>
          <a:ext cx="1370577" cy="8910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25400" rIns="71120" bIns="25400" numCol="1" spcCol="1270" anchor="ctr" anchorCtr="0">
          <a:noAutofit/>
        </a:bodyPr>
        <a:lstStyle/>
        <a:p>
          <a:pPr lvl="0" algn="r" defTabSz="444500">
            <a:lnSpc>
              <a:spcPct val="90000"/>
            </a:lnSpc>
            <a:spcBef>
              <a:spcPct val="0"/>
            </a:spcBef>
            <a:spcAft>
              <a:spcPct val="35000"/>
            </a:spcAft>
          </a:pPr>
          <a:r>
            <a:rPr lang="pl-PL" sz="1000" b="1" kern="1200"/>
            <a:t>ryzyko związane </a:t>
          </a:r>
          <a:br>
            <a:rPr lang="pl-PL" sz="1000" b="1" kern="1200"/>
          </a:br>
          <a:r>
            <a:rPr lang="pl-PL" sz="1000" b="1" kern="1200"/>
            <a:t>z przygotowaniem niezbędnej dokumentacji </a:t>
          </a:r>
          <a:br>
            <a:rPr lang="pl-PL" sz="1000" b="1" kern="1200"/>
          </a:br>
          <a:r>
            <a:rPr lang="pl-PL" sz="1000" b="1" kern="1200"/>
            <a:t>i stosowaniem procedur</a:t>
          </a:r>
        </a:p>
      </dsp:txBody>
      <dsp:txXfrm>
        <a:off x="2679" y="774482"/>
        <a:ext cx="1370577" cy="891000"/>
      </dsp:txXfrm>
    </dsp:sp>
    <dsp:sp modelId="{8FBEED56-C869-400F-8C48-DF7961A55206}">
      <dsp:nvSpPr>
        <dsp:cNvPr id="0" name=""/>
        <dsp:cNvSpPr/>
      </dsp:nvSpPr>
      <dsp:spPr>
        <a:xfrm>
          <a:off x="1373257" y="78389"/>
          <a:ext cx="274115" cy="2283187"/>
        </a:xfrm>
        <a:prstGeom prst="leftBrace">
          <a:avLst>
            <a:gd name="adj1" fmla="val 35000"/>
            <a:gd name="adj2" fmla="val 50000"/>
          </a:avLst>
        </a:pr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30202A7-29DF-4E95-8FB0-7D23A16EAF7A}">
      <dsp:nvSpPr>
        <dsp:cNvPr id="0" name=""/>
        <dsp:cNvSpPr/>
      </dsp:nvSpPr>
      <dsp:spPr>
        <a:xfrm>
          <a:off x="1757019" y="78389"/>
          <a:ext cx="3727971" cy="228318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57150" lvl="1" indent="-57150" algn="l" defTabSz="444500">
            <a:lnSpc>
              <a:spcPct val="90000"/>
            </a:lnSpc>
            <a:spcBef>
              <a:spcPct val="0"/>
            </a:spcBef>
            <a:spcAft>
              <a:spcPct val="15000"/>
            </a:spcAft>
            <a:buChar char="••"/>
          </a:pPr>
          <a:r>
            <a:rPr lang="pl-PL" sz="1000" kern="1200"/>
            <a:t>błędy dotyczące przygotowania karty projektu wraz z kolejnymi elementami ją tworzącymi, w szczególności w części odnoszącej się do oszacowania koniecznych nakładów,</a:t>
          </a:r>
        </a:p>
        <a:p>
          <a:pPr marL="57150" lvl="1" indent="-57150" algn="l" defTabSz="444500">
            <a:lnSpc>
              <a:spcPct val="90000"/>
            </a:lnSpc>
            <a:spcBef>
              <a:spcPct val="0"/>
            </a:spcBef>
            <a:spcAft>
              <a:spcPct val="15000"/>
            </a:spcAft>
            <a:buChar char="••"/>
          </a:pPr>
          <a:r>
            <a:rPr lang="pl-PL" sz="1000" kern="1200"/>
            <a:t>trudności w przygotowaniu dokumentacji technicznej, studiów wykonalności itp.,</a:t>
          </a:r>
        </a:p>
        <a:p>
          <a:pPr marL="57150" lvl="1" indent="-57150" algn="l" defTabSz="444500">
            <a:lnSpc>
              <a:spcPct val="90000"/>
            </a:lnSpc>
            <a:spcBef>
              <a:spcPct val="0"/>
            </a:spcBef>
            <a:spcAft>
              <a:spcPct val="15000"/>
            </a:spcAft>
            <a:buChar char="••"/>
          </a:pPr>
          <a:r>
            <a:rPr lang="pl-PL" sz="1000" kern="1200"/>
            <a:t>trudności w uzyskaniu niezbędnych pozwoleń/uzgodnień warunkujących realizację projektu - np. pozwolenia na budowę, </a:t>
          </a:r>
          <a:br>
            <a:rPr lang="pl-PL" sz="1000" kern="1200"/>
          </a:br>
          <a:r>
            <a:rPr lang="pl-PL" sz="1000" kern="1200"/>
            <a:t>o ustaleniu lokalizacji celu publicznego, uzgodnienia z takimi organami jak konserwator zabytków czy RDOŚ, </a:t>
          </a:r>
        </a:p>
        <a:p>
          <a:pPr marL="57150" lvl="1" indent="-57150" algn="l" defTabSz="444500">
            <a:lnSpc>
              <a:spcPct val="90000"/>
            </a:lnSpc>
            <a:spcBef>
              <a:spcPct val="0"/>
            </a:spcBef>
            <a:spcAft>
              <a:spcPct val="15000"/>
            </a:spcAft>
            <a:buChar char="••"/>
          </a:pPr>
          <a:r>
            <a:rPr lang="pl-PL" sz="1000" kern="1200"/>
            <a:t>realizacja procedury zamówień publicznych - opóźnienia związane </a:t>
          </a:r>
          <a:br>
            <a:rPr lang="pl-PL" sz="1000" kern="1200"/>
          </a:br>
          <a:r>
            <a:rPr lang="pl-PL" sz="1000" kern="1200"/>
            <a:t>z poszukiwaniem wykonawcy, niewłaściwe kryteria zastosowane przy wyborze wykonawcy,</a:t>
          </a:r>
        </a:p>
        <a:p>
          <a:pPr marL="57150" lvl="1" indent="-57150" algn="l" defTabSz="444500">
            <a:lnSpc>
              <a:spcPct val="90000"/>
            </a:lnSpc>
            <a:spcBef>
              <a:spcPct val="0"/>
            </a:spcBef>
            <a:spcAft>
              <a:spcPct val="15000"/>
            </a:spcAft>
            <a:buChar char="••"/>
          </a:pPr>
          <a:r>
            <a:rPr lang="pl-PL" sz="1000" kern="1200"/>
            <a:t>subiektywne oceny przygotowanych wniosków aplikacyjnych </a:t>
          </a:r>
          <a:br>
            <a:rPr lang="pl-PL" sz="1000" kern="1200"/>
          </a:br>
          <a:r>
            <a:rPr lang="pl-PL" sz="1000" kern="1200"/>
            <a:t>o dofinansowanie projektów - niepewność uzyskania środków na realizację ze źródeł zewnętrznych,</a:t>
          </a:r>
        </a:p>
      </dsp:txBody>
      <dsp:txXfrm>
        <a:off x="1757019" y="78389"/>
        <a:ext cx="3727971" cy="2283187"/>
      </dsp:txXfrm>
    </dsp:sp>
    <dsp:sp modelId="{2B213712-6565-47EA-A714-607872DB0351}">
      <dsp:nvSpPr>
        <dsp:cNvPr id="0" name=""/>
        <dsp:cNvSpPr/>
      </dsp:nvSpPr>
      <dsp:spPr>
        <a:xfrm>
          <a:off x="2679" y="2827140"/>
          <a:ext cx="1370577" cy="72641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25400" rIns="71120" bIns="25400" numCol="1" spcCol="1270" anchor="ctr" anchorCtr="0">
          <a:noAutofit/>
        </a:bodyPr>
        <a:lstStyle/>
        <a:p>
          <a:pPr lvl="0" algn="r" defTabSz="444500">
            <a:lnSpc>
              <a:spcPct val="90000"/>
            </a:lnSpc>
            <a:spcBef>
              <a:spcPct val="0"/>
            </a:spcBef>
            <a:spcAft>
              <a:spcPct val="35000"/>
            </a:spcAft>
          </a:pPr>
          <a:r>
            <a:rPr lang="pl-PL" sz="1000" b="1" kern="1200"/>
            <a:t>ryzyko związane </a:t>
          </a:r>
          <a:br>
            <a:rPr lang="pl-PL" sz="1000" b="1" kern="1200"/>
          </a:br>
          <a:r>
            <a:rPr lang="pl-PL" sz="1000" b="1" kern="1200"/>
            <a:t>z relacjami </a:t>
          </a:r>
          <a:br>
            <a:rPr lang="pl-PL" sz="1000" b="1" kern="1200"/>
          </a:br>
          <a:r>
            <a:rPr lang="pl-PL" sz="1000" b="1" kern="1200"/>
            <a:t>z podmiotami partnerskimi </a:t>
          </a:r>
        </a:p>
      </dsp:txBody>
      <dsp:txXfrm>
        <a:off x="2679" y="2827140"/>
        <a:ext cx="1370577" cy="726418"/>
      </dsp:txXfrm>
    </dsp:sp>
    <dsp:sp modelId="{1E87ACA5-837D-40BB-8DCF-5431B4E7BE07}">
      <dsp:nvSpPr>
        <dsp:cNvPr id="0" name=""/>
        <dsp:cNvSpPr/>
      </dsp:nvSpPr>
      <dsp:spPr>
        <a:xfrm>
          <a:off x="1373257" y="2397576"/>
          <a:ext cx="274115" cy="1585546"/>
        </a:xfrm>
        <a:prstGeom prst="leftBrace">
          <a:avLst>
            <a:gd name="adj1" fmla="val 35000"/>
            <a:gd name="adj2" fmla="val 50000"/>
          </a:avLst>
        </a:pr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53F8F89-6516-4479-8B71-4E5E0AC39938}">
      <dsp:nvSpPr>
        <dsp:cNvPr id="0" name=""/>
        <dsp:cNvSpPr/>
      </dsp:nvSpPr>
      <dsp:spPr>
        <a:xfrm>
          <a:off x="1757019" y="2397576"/>
          <a:ext cx="3727971" cy="1585546"/>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57150" lvl="1" indent="-57150" algn="l" defTabSz="444500">
            <a:lnSpc>
              <a:spcPct val="90000"/>
            </a:lnSpc>
            <a:spcBef>
              <a:spcPct val="0"/>
            </a:spcBef>
            <a:spcAft>
              <a:spcPct val="15000"/>
            </a:spcAft>
            <a:buChar char="••"/>
          </a:pPr>
          <a:r>
            <a:rPr lang="pl-PL" sz="1000" kern="1200"/>
            <a:t>niesolidność partnerów, którzy biorą udział w realizacji projektu - opóźnienia w ścieżce krytycznej projektu lub niewłaściwe wykonanie części zadań projektowych wpływające na jakość uzyskiwanych rezultatów w całym projekcie,</a:t>
          </a:r>
        </a:p>
        <a:p>
          <a:pPr marL="57150" lvl="1" indent="-57150" algn="l" defTabSz="444500">
            <a:lnSpc>
              <a:spcPct val="90000"/>
            </a:lnSpc>
            <a:spcBef>
              <a:spcPct val="0"/>
            </a:spcBef>
            <a:spcAft>
              <a:spcPct val="15000"/>
            </a:spcAft>
            <a:buChar char="••"/>
          </a:pPr>
          <a:r>
            <a:rPr lang="pl-PL" sz="1000" kern="1200"/>
            <a:t>trudności w zawiązaniu i utrzymaniu układu współpracy,</a:t>
          </a:r>
        </a:p>
        <a:p>
          <a:pPr marL="57150" lvl="1" indent="-57150" algn="l" defTabSz="444500">
            <a:lnSpc>
              <a:spcPct val="90000"/>
            </a:lnSpc>
            <a:spcBef>
              <a:spcPct val="0"/>
            </a:spcBef>
            <a:spcAft>
              <a:spcPct val="15000"/>
            </a:spcAft>
            <a:buChar char="••"/>
          </a:pPr>
          <a:r>
            <a:rPr lang="pl-PL" sz="1000" kern="1200"/>
            <a:t>odmienne wizje partnerów związane z kształtem projektu lub jego oczekiwanymi rezultatami,</a:t>
          </a:r>
        </a:p>
        <a:p>
          <a:pPr marL="57150" lvl="1" indent="-57150" algn="l" defTabSz="444500">
            <a:lnSpc>
              <a:spcPct val="90000"/>
            </a:lnSpc>
            <a:spcBef>
              <a:spcPct val="0"/>
            </a:spcBef>
            <a:spcAft>
              <a:spcPct val="15000"/>
            </a:spcAft>
            <a:buChar char="••"/>
          </a:pPr>
          <a:r>
            <a:rPr lang="pl-PL" sz="1000" kern="1200"/>
            <a:t>spory między partnerami dotyczące finansowania udziału </a:t>
          </a:r>
          <a:br>
            <a:rPr lang="pl-PL" sz="1000" kern="1200"/>
          </a:br>
          <a:r>
            <a:rPr lang="pl-PL" sz="1000" kern="1200"/>
            <a:t>w projekcie,</a:t>
          </a:r>
        </a:p>
        <a:p>
          <a:pPr marL="57150" lvl="1" indent="-57150" algn="l" defTabSz="444500">
            <a:lnSpc>
              <a:spcPct val="90000"/>
            </a:lnSpc>
            <a:spcBef>
              <a:spcPct val="0"/>
            </a:spcBef>
            <a:spcAft>
              <a:spcPct val="15000"/>
            </a:spcAft>
            <a:buChar char="••"/>
          </a:pPr>
          <a:r>
            <a:rPr lang="pl-PL" sz="1000" kern="1200"/>
            <a:t>brak zdolności do partycypacji w kosztach realizacji projektu,</a:t>
          </a:r>
        </a:p>
      </dsp:txBody>
      <dsp:txXfrm>
        <a:off x="1757019" y="2397576"/>
        <a:ext cx="3727971" cy="1585546"/>
      </dsp:txXfrm>
    </dsp:sp>
    <dsp:sp modelId="{E8751DBF-784D-4FD5-8DD4-BB3C7C160734}">
      <dsp:nvSpPr>
        <dsp:cNvPr id="0" name=""/>
        <dsp:cNvSpPr/>
      </dsp:nvSpPr>
      <dsp:spPr>
        <a:xfrm>
          <a:off x="2679" y="4195467"/>
          <a:ext cx="1370577" cy="47025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25400" rIns="71120" bIns="25400" numCol="1" spcCol="1270" anchor="ctr" anchorCtr="0">
          <a:noAutofit/>
        </a:bodyPr>
        <a:lstStyle/>
        <a:p>
          <a:pPr lvl="0" algn="r" defTabSz="444500">
            <a:lnSpc>
              <a:spcPct val="90000"/>
            </a:lnSpc>
            <a:spcBef>
              <a:spcPct val="0"/>
            </a:spcBef>
            <a:spcAft>
              <a:spcPct val="35000"/>
            </a:spcAft>
          </a:pPr>
          <a:r>
            <a:rPr lang="pl-PL" sz="1000" b="1" kern="1200"/>
            <a:t>ryzyko związane </a:t>
          </a:r>
          <a:br>
            <a:rPr lang="pl-PL" sz="1000" b="1" kern="1200"/>
          </a:br>
          <a:r>
            <a:rPr lang="pl-PL" sz="1000" b="1" kern="1200"/>
            <a:t>z beneficjentami projektu</a:t>
          </a:r>
        </a:p>
      </dsp:txBody>
      <dsp:txXfrm>
        <a:off x="2679" y="4195467"/>
        <a:ext cx="1370577" cy="470250"/>
      </dsp:txXfrm>
    </dsp:sp>
    <dsp:sp modelId="{5623D189-D8C7-4373-88BC-FEDBEA1E79DD}">
      <dsp:nvSpPr>
        <dsp:cNvPr id="0" name=""/>
        <dsp:cNvSpPr/>
      </dsp:nvSpPr>
      <dsp:spPr>
        <a:xfrm>
          <a:off x="1373257" y="4019123"/>
          <a:ext cx="274115" cy="822937"/>
        </a:xfrm>
        <a:prstGeom prst="leftBrace">
          <a:avLst>
            <a:gd name="adj1" fmla="val 35000"/>
            <a:gd name="adj2" fmla="val 50000"/>
          </a:avLst>
        </a:pr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8F69E05-1FB0-4380-9936-423DD3B64460}">
      <dsp:nvSpPr>
        <dsp:cNvPr id="0" name=""/>
        <dsp:cNvSpPr/>
      </dsp:nvSpPr>
      <dsp:spPr>
        <a:xfrm>
          <a:off x="1757019" y="4019123"/>
          <a:ext cx="3727971" cy="82293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57150" lvl="1" indent="-57150" algn="l" defTabSz="444500">
            <a:lnSpc>
              <a:spcPct val="90000"/>
            </a:lnSpc>
            <a:spcBef>
              <a:spcPct val="0"/>
            </a:spcBef>
            <a:spcAft>
              <a:spcPct val="15000"/>
            </a:spcAft>
            <a:buChar char="••"/>
          </a:pPr>
          <a:r>
            <a:rPr lang="pl-PL" sz="1000" kern="1200"/>
            <a:t>nikłe zainteresowanie rezultatami projektu,</a:t>
          </a:r>
        </a:p>
        <a:p>
          <a:pPr marL="57150" lvl="1" indent="-57150" algn="l" defTabSz="444500">
            <a:lnSpc>
              <a:spcPct val="90000"/>
            </a:lnSpc>
            <a:spcBef>
              <a:spcPct val="0"/>
            </a:spcBef>
            <a:spcAft>
              <a:spcPct val="15000"/>
            </a:spcAft>
            <a:buChar char="••"/>
          </a:pPr>
          <a:r>
            <a:rPr lang="pl-PL" sz="1000" kern="1200"/>
            <a:t>brak zdolności do partycypacji w kosztach funkcjonowania projektu,</a:t>
          </a:r>
        </a:p>
        <a:p>
          <a:pPr marL="57150" lvl="1" indent="-57150" algn="l" defTabSz="444500">
            <a:lnSpc>
              <a:spcPct val="90000"/>
            </a:lnSpc>
            <a:spcBef>
              <a:spcPct val="0"/>
            </a:spcBef>
            <a:spcAft>
              <a:spcPct val="15000"/>
            </a:spcAft>
            <a:buChar char="••"/>
          </a:pPr>
          <a:r>
            <a:rPr lang="pl-PL" sz="1000" kern="1200"/>
            <a:t>trudności wynikające z ewentualnego wycofania się z realizacji projektu (opór beneficjentów) w sytuacji, gdy zmieniają się uwarunkowania realizacji projektu lub całego GPR,</a:t>
          </a:r>
        </a:p>
      </dsp:txBody>
      <dsp:txXfrm>
        <a:off x="1757019" y="4019123"/>
        <a:ext cx="3727971" cy="822937"/>
      </dsp:txXfrm>
    </dsp:sp>
    <dsp:sp modelId="{DA302034-9B4B-4B7C-AE3D-3A71748BCCCC}">
      <dsp:nvSpPr>
        <dsp:cNvPr id="0" name=""/>
        <dsp:cNvSpPr/>
      </dsp:nvSpPr>
      <dsp:spPr>
        <a:xfrm>
          <a:off x="2679" y="5187435"/>
          <a:ext cx="1370577" cy="1980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25400" rIns="71120" bIns="25400" numCol="1" spcCol="1270" anchor="ctr" anchorCtr="0">
          <a:noAutofit/>
        </a:bodyPr>
        <a:lstStyle/>
        <a:p>
          <a:pPr lvl="0" algn="r" defTabSz="444500">
            <a:lnSpc>
              <a:spcPct val="90000"/>
            </a:lnSpc>
            <a:spcBef>
              <a:spcPct val="0"/>
            </a:spcBef>
            <a:spcAft>
              <a:spcPct val="35000"/>
            </a:spcAft>
          </a:pPr>
          <a:r>
            <a:rPr lang="pl-PL" sz="1000" b="1" kern="1200"/>
            <a:t>ryzyko kompetencyjne</a:t>
          </a:r>
        </a:p>
      </dsp:txBody>
      <dsp:txXfrm>
        <a:off x="2679" y="5187435"/>
        <a:ext cx="1370577" cy="198000"/>
      </dsp:txXfrm>
    </dsp:sp>
    <dsp:sp modelId="{F3FA86A5-23D8-4ED3-9952-F4BD82BAF476}">
      <dsp:nvSpPr>
        <dsp:cNvPr id="0" name=""/>
        <dsp:cNvSpPr/>
      </dsp:nvSpPr>
      <dsp:spPr>
        <a:xfrm>
          <a:off x="1373257" y="4878060"/>
          <a:ext cx="274115" cy="816750"/>
        </a:xfrm>
        <a:prstGeom prst="leftBrace">
          <a:avLst>
            <a:gd name="adj1" fmla="val 35000"/>
            <a:gd name="adj2" fmla="val 50000"/>
          </a:avLst>
        </a:pr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E7C9CB2-EE81-43CA-8454-9A2D7DB2AF96}">
      <dsp:nvSpPr>
        <dsp:cNvPr id="0" name=""/>
        <dsp:cNvSpPr/>
      </dsp:nvSpPr>
      <dsp:spPr>
        <a:xfrm>
          <a:off x="1757019" y="4878060"/>
          <a:ext cx="3727971" cy="816750"/>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57150" lvl="1" indent="-57150" algn="l" defTabSz="444500">
            <a:lnSpc>
              <a:spcPct val="90000"/>
            </a:lnSpc>
            <a:spcBef>
              <a:spcPct val="0"/>
            </a:spcBef>
            <a:spcAft>
              <a:spcPct val="15000"/>
            </a:spcAft>
            <a:buChar char="••"/>
          </a:pPr>
          <a:r>
            <a:rPr lang="pl-PL" sz="1000" kern="1200"/>
            <a:t>brak doświadczenia w realizacji projektów niestandardowych (dominujących w procesie rewitalizacji),</a:t>
          </a:r>
        </a:p>
        <a:p>
          <a:pPr marL="57150" lvl="1" indent="-57150" algn="l" defTabSz="444500">
            <a:lnSpc>
              <a:spcPct val="90000"/>
            </a:lnSpc>
            <a:spcBef>
              <a:spcPct val="0"/>
            </a:spcBef>
            <a:spcAft>
              <a:spcPct val="15000"/>
            </a:spcAft>
            <a:buChar char="••"/>
          </a:pPr>
          <a:r>
            <a:rPr lang="pl-PL" sz="1000" kern="1200"/>
            <a:t>projekty rewitalizacyjne realizowane z grupami defaworyzowanymi jako partnerami - brak doświadczenia partnerów i ich kompetencji </a:t>
          </a:r>
          <a:br>
            <a:rPr lang="pl-PL" sz="1000" kern="1200"/>
          </a:br>
          <a:r>
            <a:rPr lang="pl-PL" sz="1000" kern="1200"/>
            <a:t>w działaniach typu projektowego,</a:t>
          </a:r>
        </a:p>
      </dsp:txBody>
      <dsp:txXfrm>
        <a:off x="1757019" y="4878060"/>
        <a:ext cx="3727971" cy="816750"/>
      </dsp:txXfrm>
    </dsp:sp>
    <dsp:sp modelId="{4FB6AC2E-BA13-4669-A721-D0F4FB182073}">
      <dsp:nvSpPr>
        <dsp:cNvPr id="0" name=""/>
        <dsp:cNvSpPr/>
      </dsp:nvSpPr>
      <dsp:spPr>
        <a:xfrm>
          <a:off x="2679" y="6337185"/>
          <a:ext cx="1370577" cy="1980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25400" rIns="71120" bIns="25400" numCol="1" spcCol="1270" anchor="ctr" anchorCtr="0">
          <a:noAutofit/>
        </a:bodyPr>
        <a:lstStyle/>
        <a:p>
          <a:pPr lvl="0" algn="r" defTabSz="444500">
            <a:lnSpc>
              <a:spcPct val="90000"/>
            </a:lnSpc>
            <a:spcBef>
              <a:spcPct val="0"/>
            </a:spcBef>
            <a:spcAft>
              <a:spcPct val="35000"/>
            </a:spcAft>
          </a:pPr>
          <a:r>
            <a:rPr lang="pl-PL" sz="1000" b="1" kern="1200"/>
            <a:t>ryzyko zasobowe</a:t>
          </a:r>
        </a:p>
      </dsp:txBody>
      <dsp:txXfrm>
        <a:off x="2679" y="6337185"/>
        <a:ext cx="1370577" cy="198000"/>
      </dsp:txXfrm>
    </dsp:sp>
    <dsp:sp modelId="{E79D7A03-CB8B-46A6-BD6D-4193194547AF}">
      <dsp:nvSpPr>
        <dsp:cNvPr id="0" name=""/>
        <dsp:cNvSpPr/>
      </dsp:nvSpPr>
      <dsp:spPr>
        <a:xfrm>
          <a:off x="1373257" y="5730810"/>
          <a:ext cx="274115" cy="1410750"/>
        </a:xfrm>
        <a:prstGeom prst="leftBrace">
          <a:avLst>
            <a:gd name="adj1" fmla="val 35000"/>
            <a:gd name="adj2" fmla="val 50000"/>
          </a:avLst>
        </a:pr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F5BA4DF-8196-43E9-A70E-1C7E1A722E22}">
      <dsp:nvSpPr>
        <dsp:cNvPr id="0" name=""/>
        <dsp:cNvSpPr/>
      </dsp:nvSpPr>
      <dsp:spPr>
        <a:xfrm>
          <a:off x="1757019" y="5730810"/>
          <a:ext cx="3727971" cy="1410750"/>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57150" lvl="1" indent="-57150" algn="l" defTabSz="444500">
            <a:lnSpc>
              <a:spcPct val="90000"/>
            </a:lnSpc>
            <a:spcBef>
              <a:spcPct val="0"/>
            </a:spcBef>
            <a:spcAft>
              <a:spcPct val="15000"/>
            </a:spcAft>
            <a:buChar char="••"/>
          </a:pPr>
          <a:r>
            <a:rPr lang="pl-PL" sz="1000" kern="1200"/>
            <a:t>brak środków finansowych lub innych potencjałów niezbędnych do realizacji projektu, w tym brak środków partnerów deklarujących swój udział w projekcie,</a:t>
          </a:r>
        </a:p>
        <a:p>
          <a:pPr marL="57150" lvl="1" indent="-57150" algn="l" defTabSz="444500">
            <a:lnSpc>
              <a:spcPct val="90000"/>
            </a:lnSpc>
            <a:spcBef>
              <a:spcPct val="0"/>
            </a:spcBef>
            <a:spcAft>
              <a:spcPct val="15000"/>
            </a:spcAft>
            <a:buChar char="••"/>
          </a:pPr>
          <a:r>
            <a:rPr lang="pl-PL" sz="1000" kern="1200"/>
            <a:t>konkurencja o niezbędne potencjały między różnymi projektami </a:t>
          </a:r>
          <a:br>
            <a:rPr lang="pl-PL" sz="1000" kern="1200"/>
          </a:br>
          <a:r>
            <a:rPr lang="pl-PL" sz="1000" kern="1200"/>
            <a:t>w ramach całego programu,</a:t>
          </a:r>
        </a:p>
        <a:p>
          <a:pPr marL="57150" lvl="1" indent="-57150" algn="l" defTabSz="444500">
            <a:lnSpc>
              <a:spcPct val="90000"/>
            </a:lnSpc>
            <a:spcBef>
              <a:spcPct val="0"/>
            </a:spcBef>
            <a:spcAft>
              <a:spcPct val="15000"/>
            </a:spcAft>
            <a:buChar char="••"/>
          </a:pPr>
          <a:r>
            <a:rPr lang="pl-PL" sz="1000" kern="1200"/>
            <a:t>niedostatek środków na funkcjonowanie projektu i jego podtrzymywanie w dłuższym horyzoncie czasu,</a:t>
          </a:r>
        </a:p>
        <a:p>
          <a:pPr marL="57150" lvl="1" indent="-57150" algn="l" defTabSz="444500">
            <a:lnSpc>
              <a:spcPct val="90000"/>
            </a:lnSpc>
            <a:spcBef>
              <a:spcPct val="0"/>
            </a:spcBef>
            <a:spcAft>
              <a:spcPct val="15000"/>
            </a:spcAft>
            <a:buChar char="••"/>
          </a:pPr>
          <a:r>
            <a:rPr lang="pl-PL" sz="1000" kern="1200"/>
            <a:t>przewlekłość procedur związanych z procesem aplikacji o środki zewnętrzne.</a:t>
          </a:r>
        </a:p>
      </dsp:txBody>
      <dsp:txXfrm>
        <a:off x="1757019" y="5730810"/>
        <a:ext cx="3727971" cy="1410750"/>
      </dsp:txXfrm>
    </dsp:sp>
  </dsp:spTree>
</dsp:drawing>
</file>

<file path=word/diagrams/drawing8.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AF54E894-482D-4F78-B7D9-A2346A80F7C1}">
      <dsp:nvSpPr>
        <dsp:cNvPr id="0" name=""/>
        <dsp:cNvSpPr/>
      </dsp:nvSpPr>
      <dsp:spPr>
        <a:xfrm>
          <a:off x="2679" y="466818"/>
          <a:ext cx="1370577" cy="1980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25400" rIns="71120" bIns="25400" numCol="1" spcCol="1270" anchor="ctr" anchorCtr="0">
          <a:noAutofit/>
        </a:bodyPr>
        <a:lstStyle/>
        <a:p>
          <a:pPr lvl="0" algn="r" defTabSz="444500">
            <a:lnSpc>
              <a:spcPct val="90000"/>
            </a:lnSpc>
            <a:spcBef>
              <a:spcPct val="0"/>
            </a:spcBef>
            <a:spcAft>
              <a:spcPct val="35000"/>
            </a:spcAft>
          </a:pPr>
          <a:r>
            <a:rPr lang="pl-PL" sz="1000" b="1" kern="1200"/>
            <a:t>ryzyko polityczne</a:t>
          </a:r>
        </a:p>
      </dsp:txBody>
      <dsp:txXfrm>
        <a:off x="2679" y="466818"/>
        <a:ext cx="1370577" cy="198000"/>
      </dsp:txXfrm>
    </dsp:sp>
    <dsp:sp modelId="{E100EE7E-D75E-461E-A7CB-1A3E53240475}">
      <dsp:nvSpPr>
        <dsp:cNvPr id="0" name=""/>
        <dsp:cNvSpPr/>
      </dsp:nvSpPr>
      <dsp:spPr>
        <a:xfrm>
          <a:off x="1373257" y="95568"/>
          <a:ext cx="274115" cy="940500"/>
        </a:xfrm>
        <a:prstGeom prst="leftBrace">
          <a:avLst>
            <a:gd name="adj1" fmla="val 35000"/>
            <a:gd name="adj2" fmla="val 50000"/>
          </a:avLst>
        </a:pr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AF65A76-543E-40BA-8424-F3908BB0874D}">
      <dsp:nvSpPr>
        <dsp:cNvPr id="0" name=""/>
        <dsp:cNvSpPr/>
      </dsp:nvSpPr>
      <dsp:spPr>
        <a:xfrm>
          <a:off x="1757019" y="95568"/>
          <a:ext cx="3727971" cy="940500"/>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57150" lvl="1" indent="-57150" algn="l" defTabSz="444500">
            <a:lnSpc>
              <a:spcPct val="90000"/>
            </a:lnSpc>
            <a:spcBef>
              <a:spcPct val="0"/>
            </a:spcBef>
            <a:spcAft>
              <a:spcPct val="15000"/>
            </a:spcAft>
            <a:buChar char="••"/>
          </a:pPr>
          <a:r>
            <a:rPr lang="pl-PL" sz="1000" kern="1200"/>
            <a:t>brak ciągłości realizacji programu ze względu na zmiany władzy lokalnej - np. nieuzasadnione negowanie całości programu, jego rezultatów, sposobów finansowania, selekcji obszarów przyjętych do rewitalizacji itp.,</a:t>
          </a:r>
        </a:p>
        <a:p>
          <a:pPr marL="57150" lvl="1" indent="-57150" algn="l" defTabSz="444500">
            <a:lnSpc>
              <a:spcPct val="90000"/>
            </a:lnSpc>
            <a:spcBef>
              <a:spcPct val="0"/>
            </a:spcBef>
            <a:spcAft>
              <a:spcPct val="15000"/>
            </a:spcAft>
            <a:buChar char="••"/>
          </a:pPr>
          <a:r>
            <a:rPr lang="pl-PL" sz="1000" kern="1200"/>
            <a:t>zmiany polityki na szczeblu regionalnym bądź krajowym wpływające na mozliwości finansowania realizacji programu</a:t>
          </a:r>
        </a:p>
      </dsp:txBody>
      <dsp:txXfrm>
        <a:off x="1757019" y="95568"/>
        <a:ext cx="3727971" cy="940500"/>
      </dsp:txXfrm>
    </dsp:sp>
    <dsp:sp modelId="{F75B1982-3550-4D86-8210-6B4598BFF7E8}">
      <dsp:nvSpPr>
        <dsp:cNvPr id="0" name=""/>
        <dsp:cNvSpPr/>
      </dsp:nvSpPr>
      <dsp:spPr>
        <a:xfrm>
          <a:off x="2679" y="1220568"/>
          <a:ext cx="1370577" cy="1980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25400" rIns="71120" bIns="25400" numCol="1" spcCol="1270" anchor="ctr" anchorCtr="0">
          <a:noAutofit/>
        </a:bodyPr>
        <a:lstStyle/>
        <a:p>
          <a:pPr lvl="0" algn="r" defTabSz="444500">
            <a:lnSpc>
              <a:spcPct val="90000"/>
            </a:lnSpc>
            <a:spcBef>
              <a:spcPct val="0"/>
            </a:spcBef>
            <a:spcAft>
              <a:spcPct val="35000"/>
            </a:spcAft>
          </a:pPr>
          <a:r>
            <a:rPr lang="pl-PL" sz="1000" b="1" kern="1200"/>
            <a:t>ryzyko planistyczne</a:t>
          </a:r>
        </a:p>
      </dsp:txBody>
      <dsp:txXfrm>
        <a:off x="2679" y="1220568"/>
        <a:ext cx="1370577" cy="198000"/>
      </dsp:txXfrm>
    </dsp:sp>
    <dsp:sp modelId="{433C4175-7D52-4D61-AE8C-094C4670011F}">
      <dsp:nvSpPr>
        <dsp:cNvPr id="0" name=""/>
        <dsp:cNvSpPr/>
      </dsp:nvSpPr>
      <dsp:spPr>
        <a:xfrm>
          <a:off x="1373257" y="1072068"/>
          <a:ext cx="274115" cy="495000"/>
        </a:xfrm>
        <a:prstGeom prst="leftBrace">
          <a:avLst>
            <a:gd name="adj1" fmla="val 35000"/>
            <a:gd name="adj2" fmla="val 50000"/>
          </a:avLst>
        </a:pr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2D27041-871F-4F4C-ABE7-9E782B1150A1}">
      <dsp:nvSpPr>
        <dsp:cNvPr id="0" name=""/>
        <dsp:cNvSpPr/>
      </dsp:nvSpPr>
      <dsp:spPr>
        <a:xfrm>
          <a:off x="1757019" y="1072068"/>
          <a:ext cx="3727971" cy="495000"/>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57150" lvl="1" indent="-57150" algn="l" defTabSz="444500">
            <a:lnSpc>
              <a:spcPct val="90000"/>
            </a:lnSpc>
            <a:spcBef>
              <a:spcPct val="0"/>
            </a:spcBef>
            <a:spcAft>
              <a:spcPct val="15000"/>
            </a:spcAft>
            <a:buChar char="••"/>
          </a:pPr>
          <a:r>
            <a:rPr lang="pl-PL" sz="1000" kern="1200"/>
            <a:t>postępujące w czasie, stopniowe pojawianie się niespójności </a:t>
          </a:r>
          <a:br>
            <a:rPr lang="pl-PL" sz="1000" kern="1200"/>
          </a:br>
          <a:r>
            <a:rPr lang="pl-PL" sz="1000" kern="1200"/>
            <a:t>w systemie planowania - utrata powiązań między GPR a kolejno powstającymi lub aktualizowanymi dokumentami lokalnymi,</a:t>
          </a:r>
        </a:p>
      </dsp:txBody>
      <dsp:txXfrm>
        <a:off x="1757019" y="1072068"/>
        <a:ext cx="3727971" cy="495000"/>
      </dsp:txXfrm>
    </dsp:sp>
    <dsp:sp modelId="{2E89B7CD-9929-4BF4-939C-3F1C61A2259D}">
      <dsp:nvSpPr>
        <dsp:cNvPr id="0" name=""/>
        <dsp:cNvSpPr/>
      </dsp:nvSpPr>
      <dsp:spPr>
        <a:xfrm>
          <a:off x="2679" y="1912443"/>
          <a:ext cx="1370577" cy="1980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25400" rIns="71120" bIns="25400" numCol="1" spcCol="1270" anchor="ctr" anchorCtr="0">
          <a:noAutofit/>
        </a:bodyPr>
        <a:lstStyle/>
        <a:p>
          <a:pPr lvl="0" algn="r" defTabSz="444500">
            <a:lnSpc>
              <a:spcPct val="90000"/>
            </a:lnSpc>
            <a:spcBef>
              <a:spcPct val="0"/>
            </a:spcBef>
            <a:spcAft>
              <a:spcPct val="35000"/>
            </a:spcAft>
          </a:pPr>
          <a:r>
            <a:rPr lang="pl-PL" sz="1000" b="1" kern="1200"/>
            <a:t>ryzyko budżetowe</a:t>
          </a:r>
        </a:p>
      </dsp:txBody>
      <dsp:txXfrm>
        <a:off x="2679" y="1912443"/>
        <a:ext cx="1370577" cy="198000"/>
      </dsp:txXfrm>
    </dsp:sp>
    <dsp:sp modelId="{BFDE68ED-AA36-4093-828E-DA83D01F1682}">
      <dsp:nvSpPr>
        <dsp:cNvPr id="0" name=""/>
        <dsp:cNvSpPr/>
      </dsp:nvSpPr>
      <dsp:spPr>
        <a:xfrm>
          <a:off x="1373257" y="1603068"/>
          <a:ext cx="274115" cy="816750"/>
        </a:xfrm>
        <a:prstGeom prst="leftBrace">
          <a:avLst>
            <a:gd name="adj1" fmla="val 35000"/>
            <a:gd name="adj2" fmla="val 50000"/>
          </a:avLst>
        </a:pr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AB36509-94F8-412B-A0EA-F495D4D32505}">
      <dsp:nvSpPr>
        <dsp:cNvPr id="0" name=""/>
        <dsp:cNvSpPr/>
      </dsp:nvSpPr>
      <dsp:spPr>
        <a:xfrm>
          <a:off x="1757019" y="1603068"/>
          <a:ext cx="3727971" cy="816750"/>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57150" lvl="1" indent="-57150" algn="l" defTabSz="444500">
            <a:lnSpc>
              <a:spcPct val="90000"/>
            </a:lnSpc>
            <a:spcBef>
              <a:spcPct val="0"/>
            </a:spcBef>
            <a:spcAft>
              <a:spcPct val="15000"/>
            </a:spcAft>
            <a:buChar char="••"/>
          </a:pPr>
          <a:r>
            <a:rPr lang="pl-PL" sz="1000" kern="1200"/>
            <a:t>możliwości budżetu lokalnego w zakresie finansowania </a:t>
          </a:r>
          <a:br>
            <a:rPr lang="pl-PL" sz="1000" kern="1200"/>
          </a:br>
          <a:r>
            <a:rPr lang="pl-PL" sz="1000" kern="1200"/>
            <a:t>i współfinansowania projektów rewitalizacyjnych,</a:t>
          </a:r>
        </a:p>
        <a:p>
          <a:pPr marL="57150" lvl="1" indent="-57150" algn="l" defTabSz="444500">
            <a:lnSpc>
              <a:spcPct val="90000"/>
            </a:lnSpc>
            <a:spcBef>
              <a:spcPct val="0"/>
            </a:spcBef>
            <a:spcAft>
              <a:spcPct val="15000"/>
            </a:spcAft>
            <a:buChar char="••"/>
          </a:pPr>
          <a:r>
            <a:rPr lang="pl-PL" sz="1000" kern="1200"/>
            <a:t>konkurencja o środki z budżetu lokalnego między działaniami długofalowymi i prorozwojowymi a działaniami pilnymi, doraźnymi, nastawionymi na bieżącą interwencję,</a:t>
          </a:r>
        </a:p>
      </dsp:txBody>
      <dsp:txXfrm>
        <a:off x="1757019" y="1603068"/>
        <a:ext cx="3727971" cy="816750"/>
      </dsp:txXfrm>
    </dsp:sp>
    <dsp:sp modelId="{91E9CDB9-2FF2-498F-ABF4-5598FBF3DAAB}">
      <dsp:nvSpPr>
        <dsp:cNvPr id="0" name=""/>
        <dsp:cNvSpPr/>
      </dsp:nvSpPr>
      <dsp:spPr>
        <a:xfrm>
          <a:off x="2679" y="2539349"/>
          <a:ext cx="1370577" cy="33412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25400" rIns="71120" bIns="25400" numCol="1" spcCol="1270" anchor="ctr" anchorCtr="0">
          <a:noAutofit/>
        </a:bodyPr>
        <a:lstStyle/>
        <a:p>
          <a:pPr lvl="0" algn="r" defTabSz="444500">
            <a:lnSpc>
              <a:spcPct val="90000"/>
            </a:lnSpc>
            <a:spcBef>
              <a:spcPct val="0"/>
            </a:spcBef>
            <a:spcAft>
              <a:spcPct val="35000"/>
            </a:spcAft>
          </a:pPr>
          <a:r>
            <a:rPr lang="pl-PL" sz="1000" b="1" kern="1200"/>
            <a:t>ryzyko zmiany fundamentalnej</a:t>
          </a:r>
        </a:p>
      </dsp:txBody>
      <dsp:txXfrm>
        <a:off x="2679" y="2539349"/>
        <a:ext cx="1370577" cy="334125"/>
      </dsp:txXfrm>
    </dsp:sp>
    <dsp:sp modelId="{E1E72533-0096-4103-9189-B07B5506F8BB}">
      <dsp:nvSpPr>
        <dsp:cNvPr id="0" name=""/>
        <dsp:cNvSpPr/>
      </dsp:nvSpPr>
      <dsp:spPr>
        <a:xfrm>
          <a:off x="1373257" y="2455818"/>
          <a:ext cx="274115" cy="501187"/>
        </a:xfrm>
        <a:prstGeom prst="leftBrace">
          <a:avLst>
            <a:gd name="adj1" fmla="val 35000"/>
            <a:gd name="adj2" fmla="val 50000"/>
          </a:avLst>
        </a:pr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5C13744-84D5-4DC1-9F7D-5D9E182F2BB7}">
      <dsp:nvSpPr>
        <dsp:cNvPr id="0" name=""/>
        <dsp:cNvSpPr/>
      </dsp:nvSpPr>
      <dsp:spPr>
        <a:xfrm>
          <a:off x="1757019" y="2455818"/>
          <a:ext cx="3727971" cy="50118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57150" lvl="1" indent="-57150" algn="l" defTabSz="444500">
            <a:lnSpc>
              <a:spcPct val="90000"/>
            </a:lnSpc>
            <a:spcBef>
              <a:spcPct val="0"/>
            </a:spcBef>
            <a:spcAft>
              <a:spcPct val="15000"/>
            </a:spcAft>
            <a:buChar char="••"/>
          </a:pPr>
          <a:r>
            <a:rPr lang="pl-PL" sz="1000" kern="1200"/>
            <a:t>zarządzanie programem, który w dużej części lub w całości uległ dezaktualizacji ze względu na wystąpienie fundamentalnych zmian </a:t>
          </a:r>
          <a:br>
            <a:rPr lang="pl-PL" sz="1000" kern="1200"/>
          </a:br>
          <a:r>
            <a:rPr lang="pl-PL" sz="1000" kern="1200"/>
            <a:t>w mieście lub w jego otoczeniu,</a:t>
          </a:r>
        </a:p>
      </dsp:txBody>
      <dsp:txXfrm>
        <a:off x="1757019" y="2455818"/>
        <a:ext cx="3727971" cy="501187"/>
      </dsp:txXfrm>
    </dsp:sp>
    <dsp:sp modelId="{E896A8C5-A538-4BB7-B3C8-0A9182C06355}">
      <dsp:nvSpPr>
        <dsp:cNvPr id="0" name=""/>
        <dsp:cNvSpPr/>
      </dsp:nvSpPr>
      <dsp:spPr>
        <a:xfrm>
          <a:off x="2679" y="3364256"/>
          <a:ext cx="1370577" cy="1980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25400" rIns="71120" bIns="25400" numCol="1" spcCol="1270" anchor="ctr" anchorCtr="0">
          <a:noAutofit/>
        </a:bodyPr>
        <a:lstStyle/>
        <a:p>
          <a:pPr lvl="0" algn="r" defTabSz="444500">
            <a:lnSpc>
              <a:spcPct val="90000"/>
            </a:lnSpc>
            <a:spcBef>
              <a:spcPct val="0"/>
            </a:spcBef>
            <a:spcAft>
              <a:spcPct val="35000"/>
            </a:spcAft>
          </a:pPr>
          <a:r>
            <a:rPr lang="pl-PL" sz="1000" b="1" kern="1200"/>
            <a:t>ryzyko strukturalne</a:t>
          </a:r>
        </a:p>
      </dsp:txBody>
      <dsp:txXfrm>
        <a:off x="2679" y="3364256"/>
        <a:ext cx="1370577" cy="198000"/>
      </dsp:txXfrm>
    </dsp:sp>
    <dsp:sp modelId="{73293A61-076C-4D33-9CFA-B3C901BE1A4C}">
      <dsp:nvSpPr>
        <dsp:cNvPr id="0" name=""/>
        <dsp:cNvSpPr/>
      </dsp:nvSpPr>
      <dsp:spPr>
        <a:xfrm>
          <a:off x="1373257" y="2993006"/>
          <a:ext cx="274115" cy="940500"/>
        </a:xfrm>
        <a:prstGeom prst="leftBrace">
          <a:avLst>
            <a:gd name="adj1" fmla="val 35000"/>
            <a:gd name="adj2" fmla="val 50000"/>
          </a:avLst>
        </a:pr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BBE3249-F229-44E9-81A1-D11C2C24C868}">
      <dsp:nvSpPr>
        <dsp:cNvPr id="0" name=""/>
        <dsp:cNvSpPr/>
      </dsp:nvSpPr>
      <dsp:spPr>
        <a:xfrm>
          <a:off x="1757019" y="2993006"/>
          <a:ext cx="3727971" cy="940500"/>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57150" lvl="1" indent="-57150" algn="l" defTabSz="444500">
            <a:lnSpc>
              <a:spcPct val="90000"/>
            </a:lnSpc>
            <a:spcBef>
              <a:spcPct val="0"/>
            </a:spcBef>
            <a:spcAft>
              <a:spcPct val="15000"/>
            </a:spcAft>
            <a:buChar char="••"/>
          </a:pPr>
          <a:r>
            <a:rPr lang="pl-PL" sz="1000" kern="1200"/>
            <a:t>ograniczenie podmiotów wdrażających program do wąskiej grupy, </a:t>
          </a:r>
          <a:br>
            <a:rPr lang="pl-PL" sz="1000" kern="1200"/>
          </a:br>
          <a:r>
            <a:rPr lang="pl-PL" sz="1000" kern="1200"/>
            <a:t>w tym np. obarczenie obowiązkami zarządczymi wybranego wydziału UM - brak utożsamiania i zaangażowania w rewitalizację ważnych instytucji lub wydziałów UM,</a:t>
          </a:r>
        </a:p>
        <a:p>
          <a:pPr marL="57150" lvl="1" indent="-57150" algn="l" defTabSz="444500">
            <a:lnSpc>
              <a:spcPct val="90000"/>
            </a:lnSpc>
            <a:spcBef>
              <a:spcPct val="0"/>
            </a:spcBef>
            <a:spcAft>
              <a:spcPct val="15000"/>
            </a:spcAft>
            <a:buChar char="••"/>
          </a:pPr>
          <a:r>
            <a:rPr lang="pl-PL" sz="1000" kern="1200"/>
            <a:t>ograniczenia kompetencyjne podmiotów organizujacych proces wdrażania programu.</a:t>
          </a:r>
        </a:p>
      </dsp:txBody>
      <dsp:txXfrm>
        <a:off x="1757019" y="2993006"/>
        <a:ext cx="3727971" cy="940500"/>
      </dsp:txXfrm>
    </dsp:sp>
  </dsp:spTree>
</dsp:drawing>
</file>

<file path=word/diagrams/drawing9.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7772F25D-0488-4ED4-ADA9-396A28D63F08}">
      <dsp:nvSpPr>
        <dsp:cNvPr id="0" name=""/>
        <dsp:cNvSpPr/>
      </dsp:nvSpPr>
      <dsp:spPr>
        <a:xfrm>
          <a:off x="1718" y="599"/>
          <a:ext cx="1675834" cy="460800"/>
        </a:xfrm>
        <a:prstGeom prst="rect">
          <a:avLst/>
        </a:prstGeom>
        <a:solidFill>
          <a:srgbClr val="99CCFF"/>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lvl="0" algn="ctr" defTabSz="400050">
            <a:lnSpc>
              <a:spcPct val="90000"/>
            </a:lnSpc>
            <a:spcBef>
              <a:spcPct val="0"/>
            </a:spcBef>
            <a:spcAft>
              <a:spcPct val="35000"/>
            </a:spcAft>
          </a:pPr>
          <a:r>
            <a:rPr lang="pl-PL" sz="900" b="1" kern="1200"/>
            <a:t>Ryzyko wewnętrzne związane </a:t>
          </a:r>
          <a:br>
            <a:rPr lang="pl-PL" sz="900" b="1" kern="1200"/>
          </a:br>
          <a:r>
            <a:rPr lang="pl-PL" sz="900" b="1" kern="1200"/>
            <a:t>z popełnionymi błędami</a:t>
          </a:r>
        </a:p>
      </dsp:txBody>
      <dsp:txXfrm>
        <a:off x="1718" y="599"/>
        <a:ext cx="1675834" cy="460800"/>
      </dsp:txXfrm>
    </dsp:sp>
    <dsp:sp modelId="{42BF3083-1DED-4E9A-B2B0-609CCB964BCB}">
      <dsp:nvSpPr>
        <dsp:cNvPr id="0" name=""/>
        <dsp:cNvSpPr/>
      </dsp:nvSpPr>
      <dsp:spPr>
        <a:xfrm>
          <a:off x="1718" y="461399"/>
          <a:ext cx="1675834" cy="1976400"/>
        </a:xfrm>
        <a:prstGeom prst="rect">
          <a:avLst/>
        </a:prstGeom>
        <a:solidFill>
          <a:schemeClr val="lt1">
            <a:alpha val="90000"/>
            <a:tint val="40000"/>
            <a:hueOff val="0"/>
            <a:satOff val="0"/>
            <a:lumOff val="0"/>
            <a:alphaOff val="0"/>
          </a:schemeClr>
        </a:solidFill>
        <a:ln w="25400" cap="flat" cmpd="sng" algn="ctr">
          <a:solidFill>
            <a:schemeClr val="dk1">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90000"/>
            </a:lnSpc>
            <a:spcBef>
              <a:spcPct val="0"/>
            </a:spcBef>
            <a:spcAft>
              <a:spcPct val="15000"/>
            </a:spcAft>
            <a:buChar char="••"/>
          </a:pPr>
          <a:r>
            <a:rPr lang="pl-PL" sz="900" kern="1200"/>
            <a:t>błędy analizowania </a:t>
          </a:r>
          <a:br>
            <a:rPr lang="pl-PL" sz="900" kern="1200"/>
          </a:br>
          <a:r>
            <a:rPr lang="pl-PL" sz="900" kern="1200"/>
            <a:t>i prognozowania,</a:t>
          </a:r>
        </a:p>
        <a:p>
          <a:pPr marL="57150" lvl="1" indent="-57150" algn="l" defTabSz="400050">
            <a:lnSpc>
              <a:spcPct val="90000"/>
            </a:lnSpc>
            <a:spcBef>
              <a:spcPct val="0"/>
            </a:spcBef>
            <a:spcAft>
              <a:spcPct val="15000"/>
            </a:spcAft>
            <a:buChar char="••"/>
          </a:pPr>
          <a:r>
            <a:rPr lang="pl-PL" sz="900" kern="1200"/>
            <a:t>niedostateczne kompetencje podmiotów formułujących </a:t>
          </a:r>
          <a:br>
            <a:rPr lang="pl-PL" sz="900" kern="1200"/>
          </a:br>
          <a:r>
            <a:rPr lang="pl-PL" sz="900" kern="1200"/>
            <a:t>i wdrażających GPR, niedostateczny poziom kreatywności wypracowanych rozwiązań,</a:t>
          </a:r>
        </a:p>
        <a:p>
          <a:pPr marL="57150" lvl="1" indent="-57150" algn="l" defTabSz="400050">
            <a:lnSpc>
              <a:spcPct val="90000"/>
            </a:lnSpc>
            <a:spcBef>
              <a:spcPct val="0"/>
            </a:spcBef>
            <a:spcAft>
              <a:spcPct val="15000"/>
            </a:spcAft>
            <a:buChar char="••"/>
          </a:pPr>
          <a:r>
            <a:rPr lang="pl-PL" sz="900" kern="1200"/>
            <a:t>konflikty między partnerami procesu rewitalizacji,</a:t>
          </a:r>
        </a:p>
        <a:p>
          <a:pPr marL="57150" lvl="1" indent="-57150" algn="l" defTabSz="400050">
            <a:lnSpc>
              <a:spcPct val="90000"/>
            </a:lnSpc>
            <a:spcBef>
              <a:spcPct val="0"/>
            </a:spcBef>
            <a:spcAft>
              <a:spcPct val="15000"/>
            </a:spcAft>
            <a:buChar char="••"/>
          </a:pPr>
          <a:r>
            <a:rPr lang="pl-PL" sz="900" kern="1200"/>
            <a:t>brak konsekwencji we wdrażaniu GPR,</a:t>
          </a:r>
        </a:p>
        <a:p>
          <a:pPr marL="57150" lvl="1" indent="-57150" algn="l" defTabSz="400050">
            <a:lnSpc>
              <a:spcPct val="90000"/>
            </a:lnSpc>
            <a:spcBef>
              <a:spcPct val="0"/>
            </a:spcBef>
            <a:spcAft>
              <a:spcPct val="15000"/>
            </a:spcAft>
            <a:buChar char="••"/>
          </a:pPr>
          <a:r>
            <a:rPr lang="pl-PL" sz="900" kern="1200"/>
            <a:t>zaniedbania w realizacji monitoringu.</a:t>
          </a:r>
        </a:p>
      </dsp:txBody>
      <dsp:txXfrm>
        <a:off x="1718" y="461399"/>
        <a:ext cx="1675834" cy="1976400"/>
      </dsp:txXfrm>
    </dsp:sp>
    <dsp:sp modelId="{8EFD5C02-A3C4-4528-A995-B538F36A10F6}">
      <dsp:nvSpPr>
        <dsp:cNvPr id="0" name=""/>
        <dsp:cNvSpPr/>
      </dsp:nvSpPr>
      <dsp:spPr>
        <a:xfrm>
          <a:off x="1912169" y="599"/>
          <a:ext cx="1675834" cy="460800"/>
        </a:xfrm>
        <a:prstGeom prst="rect">
          <a:avLst/>
        </a:prstGeom>
        <a:solidFill>
          <a:srgbClr val="99CCFF"/>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lvl="0" algn="ctr" defTabSz="400050">
            <a:lnSpc>
              <a:spcPct val="90000"/>
            </a:lnSpc>
            <a:spcBef>
              <a:spcPct val="0"/>
            </a:spcBef>
            <a:spcAft>
              <a:spcPct val="35000"/>
            </a:spcAft>
          </a:pPr>
          <a:r>
            <a:rPr lang="pl-PL" sz="900" b="1" kern="1200"/>
            <a:t>Ryzyko wewnętrzne związane </a:t>
          </a:r>
          <a:br>
            <a:rPr lang="pl-PL" sz="900" b="1" kern="1200"/>
          </a:br>
          <a:r>
            <a:rPr lang="pl-PL" sz="900" b="1" kern="1200"/>
            <a:t>z dynamiką procesów w mieście</a:t>
          </a:r>
        </a:p>
      </dsp:txBody>
      <dsp:txXfrm>
        <a:off x="1912169" y="599"/>
        <a:ext cx="1675834" cy="460800"/>
      </dsp:txXfrm>
    </dsp:sp>
    <dsp:sp modelId="{928B1A0D-BCE5-4CA7-9D7F-C2944BE6995C}">
      <dsp:nvSpPr>
        <dsp:cNvPr id="0" name=""/>
        <dsp:cNvSpPr/>
      </dsp:nvSpPr>
      <dsp:spPr>
        <a:xfrm>
          <a:off x="1912169" y="461399"/>
          <a:ext cx="1675834" cy="1976400"/>
        </a:xfrm>
        <a:prstGeom prst="rect">
          <a:avLst/>
        </a:prstGeom>
        <a:solidFill>
          <a:schemeClr val="lt1">
            <a:alpha val="90000"/>
            <a:tint val="40000"/>
            <a:hueOff val="0"/>
            <a:satOff val="0"/>
            <a:lumOff val="0"/>
            <a:alphaOff val="0"/>
          </a:schemeClr>
        </a:solidFill>
        <a:ln w="25400" cap="flat" cmpd="sng" algn="ctr">
          <a:solidFill>
            <a:schemeClr val="dk1">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90000"/>
            </a:lnSpc>
            <a:spcBef>
              <a:spcPct val="0"/>
            </a:spcBef>
            <a:spcAft>
              <a:spcPct val="15000"/>
            </a:spcAft>
            <a:buChar char="••"/>
          </a:pPr>
          <a:r>
            <a:rPr lang="pl-PL" sz="900" kern="1200"/>
            <a:t>wystąpienie w mieście zjawisk trudnych do przewidzenia lub zinterpretowania w chwili formułowania GPR.</a:t>
          </a:r>
        </a:p>
      </dsp:txBody>
      <dsp:txXfrm>
        <a:off x="1912169" y="461399"/>
        <a:ext cx="1675834" cy="1976400"/>
      </dsp:txXfrm>
    </dsp:sp>
    <dsp:sp modelId="{35F23546-288E-4D61-A7B1-2654FA650D8F}">
      <dsp:nvSpPr>
        <dsp:cNvPr id="0" name=""/>
        <dsp:cNvSpPr/>
      </dsp:nvSpPr>
      <dsp:spPr>
        <a:xfrm>
          <a:off x="3822620" y="599"/>
          <a:ext cx="1675834" cy="460800"/>
        </a:xfrm>
        <a:prstGeom prst="rect">
          <a:avLst/>
        </a:prstGeom>
        <a:solidFill>
          <a:srgbClr val="99CCFF"/>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lvl="0" algn="ctr" defTabSz="400050">
            <a:lnSpc>
              <a:spcPct val="90000"/>
            </a:lnSpc>
            <a:spcBef>
              <a:spcPct val="0"/>
            </a:spcBef>
            <a:spcAft>
              <a:spcPct val="35000"/>
            </a:spcAft>
          </a:pPr>
          <a:r>
            <a:rPr lang="pl-PL" sz="900" b="1" kern="1200"/>
            <a:t>Ryzyko zewnętrzne związane </a:t>
          </a:r>
          <a:br>
            <a:rPr lang="pl-PL" sz="900" b="1" kern="1200"/>
          </a:br>
          <a:r>
            <a:rPr lang="pl-PL" sz="900" b="1" kern="1200"/>
            <a:t>z dynamiką procesów </a:t>
          </a:r>
          <a:br>
            <a:rPr lang="pl-PL" sz="900" b="1" kern="1200"/>
          </a:br>
          <a:r>
            <a:rPr lang="pl-PL" sz="900" b="1" kern="1200"/>
            <a:t>w otoczeniu</a:t>
          </a:r>
        </a:p>
      </dsp:txBody>
      <dsp:txXfrm>
        <a:off x="3822620" y="599"/>
        <a:ext cx="1675834" cy="460800"/>
      </dsp:txXfrm>
    </dsp:sp>
    <dsp:sp modelId="{630799FD-2E73-4146-BBB3-BBC0B2308339}">
      <dsp:nvSpPr>
        <dsp:cNvPr id="0" name=""/>
        <dsp:cNvSpPr/>
      </dsp:nvSpPr>
      <dsp:spPr>
        <a:xfrm>
          <a:off x="3822620" y="461399"/>
          <a:ext cx="1675834" cy="1976400"/>
        </a:xfrm>
        <a:prstGeom prst="rect">
          <a:avLst/>
        </a:prstGeom>
        <a:solidFill>
          <a:schemeClr val="lt1">
            <a:alpha val="90000"/>
            <a:tint val="40000"/>
            <a:hueOff val="0"/>
            <a:satOff val="0"/>
            <a:lumOff val="0"/>
            <a:alphaOff val="0"/>
          </a:schemeClr>
        </a:solidFill>
        <a:ln w="25400" cap="flat" cmpd="sng" algn="ctr">
          <a:solidFill>
            <a:schemeClr val="dk1">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90000"/>
            </a:lnSpc>
            <a:spcBef>
              <a:spcPct val="0"/>
            </a:spcBef>
            <a:spcAft>
              <a:spcPct val="15000"/>
            </a:spcAft>
            <a:buChar char="••"/>
          </a:pPr>
          <a:r>
            <a:rPr lang="pl-PL" sz="900" kern="1200"/>
            <a:t>wystąpienie w otoczeniu zjawisk trudnych do przewidzenia lub zinterpretowania w chwili formułowania GPR.</a:t>
          </a:r>
        </a:p>
      </dsp:txBody>
      <dsp:txXfrm>
        <a:off x="3822620" y="461399"/>
        <a:ext cx="1675834" cy="1976400"/>
      </dsp:txXfrm>
    </dsp:sp>
  </dsp:spTree>
</dsp:drawing>
</file>

<file path=word/diagrams/drawing10.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573CBC17-8A80-41D5-B9F0-0F62C9502B35}">
      <dsp:nvSpPr>
        <dsp:cNvPr id="0" name=""/>
        <dsp:cNvSpPr/>
      </dsp:nvSpPr>
      <dsp:spPr>
        <a:xfrm>
          <a:off x="1713" y="10718"/>
          <a:ext cx="1670283" cy="668113"/>
        </a:xfrm>
        <a:prstGeom prst="rect">
          <a:avLst/>
        </a:prstGeom>
        <a:solidFill>
          <a:srgbClr val="99CCFF"/>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lvl="0" algn="ctr" defTabSz="400050">
            <a:lnSpc>
              <a:spcPct val="90000"/>
            </a:lnSpc>
            <a:spcBef>
              <a:spcPct val="0"/>
            </a:spcBef>
            <a:spcAft>
              <a:spcPct val="35000"/>
            </a:spcAft>
          </a:pPr>
          <a:r>
            <a:rPr lang="pl-PL" sz="900" b="1" kern="1200"/>
            <a:t>Tematyka przekazywanych informacji</a:t>
          </a:r>
        </a:p>
      </dsp:txBody>
      <dsp:txXfrm>
        <a:off x="1713" y="10718"/>
        <a:ext cx="1670283" cy="668113"/>
      </dsp:txXfrm>
    </dsp:sp>
    <dsp:sp modelId="{275BEBF0-55D0-4639-85C5-67E2B87BD4B1}">
      <dsp:nvSpPr>
        <dsp:cNvPr id="0" name=""/>
        <dsp:cNvSpPr/>
      </dsp:nvSpPr>
      <dsp:spPr>
        <a:xfrm>
          <a:off x="1713" y="678831"/>
          <a:ext cx="1670283" cy="2415599"/>
        </a:xfrm>
        <a:prstGeom prst="rect">
          <a:avLst/>
        </a:prstGeom>
        <a:solidFill>
          <a:schemeClr val="lt1">
            <a:alpha val="90000"/>
            <a:tint val="40000"/>
            <a:hueOff val="0"/>
            <a:satOff val="0"/>
            <a:lumOff val="0"/>
            <a:alphaOff val="0"/>
          </a:schemeClr>
        </a:solidFill>
        <a:ln w="25400" cap="flat" cmpd="sng" algn="ctr">
          <a:solidFill>
            <a:schemeClr val="dk1">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90000"/>
            </a:lnSpc>
            <a:spcBef>
              <a:spcPct val="0"/>
            </a:spcBef>
            <a:spcAft>
              <a:spcPct val="15000"/>
            </a:spcAft>
            <a:buChar char="••"/>
          </a:pPr>
          <a:r>
            <a:rPr lang="pl-PL" sz="900" kern="1200"/>
            <a:t>istota rewitalizacji i znaczenie Gminnego Programu Rewitalizacji,</a:t>
          </a:r>
        </a:p>
        <a:p>
          <a:pPr marL="57150" lvl="1" indent="-57150" algn="l" defTabSz="400050">
            <a:lnSpc>
              <a:spcPct val="90000"/>
            </a:lnSpc>
            <a:spcBef>
              <a:spcPct val="0"/>
            </a:spcBef>
            <a:spcAft>
              <a:spcPct val="15000"/>
            </a:spcAft>
            <a:buChar char="••"/>
          </a:pPr>
          <a:r>
            <a:rPr lang="pl-PL" sz="900" kern="1200"/>
            <a:t>pozycja społeczności lokalnych w procesie rewitalizacji,</a:t>
          </a:r>
        </a:p>
        <a:p>
          <a:pPr marL="57150" lvl="1" indent="-57150" algn="l" defTabSz="400050">
            <a:lnSpc>
              <a:spcPct val="90000"/>
            </a:lnSpc>
            <a:spcBef>
              <a:spcPct val="0"/>
            </a:spcBef>
            <a:spcAft>
              <a:spcPct val="15000"/>
            </a:spcAft>
            <a:buChar char="••"/>
          </a:pPr>
          <a:r>
            <a:rPr lang="pl-PL" sz="900" kern="1200"/>
            <a:t>sytuacja danego obszaru </a:t>
          </a:r>
          <a:br>
            <a:rPr lang="pl-PL" sz="900" kern="1200"/>
          </a:br>
          <a:r>
            <a:rPr lang="pl-PL" sz="900" kern="1200"/>
            <a:t>w świetle konkretnych danych </a:t>
          </a:r>
          <a:br>
            <a:rPr lang="pl-PL" sz="900" kern="1200"/>
          </a:br>
          <a:r>
            <a:rPr lang="pl-PL" sz="900" kern="1200"/>
            <a:t>w wymiarach istotnych dla procesu rewitalizacji</a:t>
          </a:r>
        </a:p>
        <a:p>
          <a:pPr marL="57150" lvl="1" indent="-57150" algn="l" defTabSz="400050">
            <a:lnSpc>
              <a:spcPct val="90000"/>
            </a:lnSpc>
            <a:spcBef>
              <a:spcPct val="0"/>
            </a:spcBef>
            <a:spcAft>
              <a:spcPct val="15000"/>
            </a:spcAft>
            <a:buChar char="••"/>
          </a:pPr>
          <a:r>
            <a:rPr lang="pl-PL" sz="900" kern="1200"/>
            <a:t>szanse i ograniczenia procesu rewitalizacji  konkretnego obszaru,</a:t>
          </a:r>
        </a:p>
        <a:p>
          <a:pPr marL="57150" lvl="1" indent="-57150" algn="l" defTabSz="400050">
            <a:lnSpc>
              <a:spcPct val="90000"/>
            </a:lnSpc>
            <a:spcBef>
              <a:spcPct val="0"/>
            </a:spcBef>
            <a:spcAft>
              <a:spcPct val="15000"/>
            </a:spcAft>
            <a:buChar char="••"/>
          </a:pPr>
          <a:r>
            <a:rPr lang="pl-PL" sz="900" kern="1200"/>
            <a:t>założenia systemu partnerskiego wdrażania Programu.</a:t>
          </a:r>
        </a:p>
      </dsp:txBody>
      <dsp:txXfrm>
        <a:off x="1713" y="678831"/>
        <a:ext cx="1670283" cy="2415599"/>
      </dsp:txXfrm>
    </dsp:sp>
    <dsp:sp modelId="{E3970E48-7219-4B47-9979-4F9C4CE4BF9E}">
      <dsp:nvSpPr>
        <dsp:cNvPr id="0" name=""/>
        <dsp:cNvSpPr/>
      </dsp:nvSpPr>
      <dsp:spPr>
        <a:xfrm>
          <a:off x="1905835" y="10718"/>
          <a:ext cx="1670283" cy="668113"/>
        </a:xfrm>
        <a:prstGeom prst="rect">
          <a:avLst/>
        </a:prstGeom>
        <a:solidFill>
          <a:srgbClr val="99CCFF"/>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lvl="0" algn="ctr" defTabSz="400050">
            <a:lnSpc>
              <a:spcPct val="90000"/>
            </a:lnSpc>
            <a:spcBef>
              <a:spcPct val="0"/>
            </a:spcBef>
            <a:spcAft>
              <a:spcPct val="35000"/>
            </a:spcAft>
          </a:pPr>
          <a:r>
            <a:rPr lang="pl-PL" sz="900" b="1" kern="1200"/>
            <a:t>Tematyka pozyskiwanych informacji</a:t>
          </a:r>
        </a:p>
      </dsp:txBody>
      <dsp:txXfrm>
        <a:off x="1905835" y="10718"/>
        <a:ext cx="1670283" cy="668113"/>
      </dsp:txXfrm>
    </dsp:sp>
    <dsp:sp modelId="{6642AD66-D1EE-4843-B4B1-71C46C3F87DD}">
      <dsp:nvSpPr>
        <dsp:cNvPr id="0" name=""/>
        <dsp:cNvSpPr/>
      </dsp:nvSpPr>
      <dsp:spPr>
        <a:xfrm>
          <a:off x="1905835" y="678831"/>
          <a:ext cx="1670283" cy="2415599"/>
        </a:xfrm>
        <a:prstGeom prst="rect">
          <a:avLst/>
        </a:prstGeom>
        <a:solidFill>
          <a:schemeClr val="lt1">
            <a:alpha val="90000"/>
            <a:tint val="40000"/>
            <a:hueOff val="0"/>
            <a:satOff val="0"/>
            <a:lumOff val="0"/>
            <a:alphaOff val="0"/>
          </a:schemeClr>
        </a:solidFill>
        <a:ln w="25400" cap="flat" cmpd="sng" algn="ctr">
          <a:solidFill>
            <a:schemeClr val="dk1">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90000"/>
            </a:lnSpc>
            <a:spcBef>
              <a:spcPct val="0"/>
            </a:spcBef>
            <a:spcAft>
              <a:spcPct val="15000"/>
            </a:spcAft>
            <a:buChar char="••"/>
          </a:pPr>
          <a:r>
            <a:rPr lang="pl-PL" sz="900" kern="1200"/>
            <a:t>rodzaj i skala problemów występujących na danym obszarze,</a:t>
          </a:r>
        </a:p>
        <a:p>
          <a:pPr marL="57150" lvl="1" indent="-57150" algn="l" defTabSz="400050">
            <a:lnSpc>
              <a:spcPct val="90000"/>
            </a:lnSpc>
            <a:spcBef>
              <a:spcPct val="0"/>
            </a:spcBef>
            <a:spcAft>
              <a:spcPct val="15000"/>
            </a:spcAft>
            <a:buChar char="••"/>
          </a:pPr>
          <a:r>
            <a:rPr lang="pl-PL" sz="900" kern="1200"/>
            <a:t>grupy o ograniczonych możliwościach samodzielnego rozwoju oraz bariery ich rozwoju,</a:t>
          </a:r>
        </a:p>
        <a:p>
          <a:pPr marL="57150" lvl="1" indent="-57150" algn="l" defTabSz="400050">
            <a:lnSpc>
              <a:spcPct val="90000"/>
            </a:lnSpc>
            <a:spcBef>
              <a:spcPct val="0"/>
            </a:spcBef>
            <a:spcAft>
              <a:spcPct val="15000"/>
            </a:spcAft>
            <a:buChar char="••"/>
          </a:pPr>
          <a:r>
            <a:rPr lang="pl-PL" sz="900" kern="1200"/>
            <a:t>relacje między grupami społecznymi wpływające na harmonię społeczną,</a:t>
          </a:r>
        </a:p>
        <a:p>
          <a:pPr marL="57150" lvl="1" indent="-57150" algn="l" defTabSz="400050">
            <a:lnSpc>
              <a:spcPct val="90000"/>
            </a:lnSpc>
            <a:spcBef>
              <a:spcPct val="0"/>
            </a:spcBef>
            <a:spcAft>
              <a:spcPct val="15000"/>
            </a:spcAft>
            <a:buChar char="••"/>
          </a:pPr>
          <a:r>
            <a:rPr lang="pl-PL" sz="900" kern="1200"/>
            <a:t>aktywności podejmowane przez mieszkańców danego obszaru,</a:t>
          </a:r>
        </a:p>
        <a:p>
          <a:pPr marL="57150" lvl="1" indent="-57150" algn="l" defTabSz="400050">
            <a:lnSpc>
              <a:spcPct val="90000"/>
            </a:lnSpc>
            <a:spcBef>
              <a:spcPct val="0"/>
            </a:spcBef>
            <a:spcAft>
              <a:spcPct val="15000"/>
            </a:spcAft>
            <a:buChar char="••"/>
          </a:pPr>
          <a:r>
            <a:rPr lang="pl-PL" sz="900" kern="1200"/>
            <a:t>wartości, które mogą motywować mieszkańców danego obszaru do zaangażowania w proces rewitalizacji.</a:t>
          </a:r>
        </a:p>
      </dsp:txBody>
      <dsp:txXfrm>
        <a:off x="1905835" y="678831"/>
        <a:ext cx="1670283" cy="2415599"/>
      </dsp:txXfrm>
    </dsp:sp>
    <dsp:sp modelId="{6758E2CC-D080-4E69-BA55-8770A1BE8B4B}">
      <dsp:nvSpPr>
        <dsp:cNvPr id="0" name=""/>
        <dsp:cNvSpPr/>
      </dsp:nvSpPr>
      <dsp:spPr>
        <a:xfrm>
          <a:off x="3809958" y="10718"/>
          <a:ext cx="1670283" cy="668113"/>
        </a:xfrm>
        <a:prstGeom prst="rect">
          <a:avLst/>
        </a:prstGeom>
        <a:solidFill>
          <a:srgbClr val="99CCFF"/>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lvl="0" algn="ctr" defTabSz="400050">
            <a:lnSpc>
              <a:spcPct val="90000"/>
            </a:lnSpc>
            <a:spcBef>
              <a:spcPct val="0"/>
            </a:spcBef>
            <a:spcAft>
              <a:spcPct val="35000"/>
            </a:spcAft>
          </a:pPr>
          <a:r>
            <a:rPr lang="pl-PL" sz="900" b="1" kern="1200"/>
            <a:t>Budowanie konsensusu</a:t>
          </a:r>
        </a:p>
      </dsp:txBody>
      <dsp:txXfrm>
        <a:off x="3809958" y="10718"/>
        <a:ext cx="1670283" cy="668113"/>
      </dsp:txXfrm>
    </dsp:sp>
    <dsp:sp modelId="{A00A5ADE-AA71-4090-BF5B-A0FABB2B46D7}">
      <dsp:nvSpPr>
        <dsp:cNvPr id="0" name=""/>
        <dsp:cNvSpPr/>
      </dsp:nvSpPr>
      <dsp:spPr>
        <a:xfrm>
          <a:off x="3809958" y="678831"/>
          <a:ext cx="1670283" cy="2415599"/>
        </a:xfrm>
        <a:prstGeom prst="rect">
          <a:avLst/>
        </a:prstGeom>
        <a:solidFill>
          <a:schemeClr val="lt1">
            <a:alpha val="90000"/>
            <a:tint val="40000"/>
            <a:hueOff val="0"/>
            <a:satOff val="0"/>
            <a:lumOff val="0"/>
            <a:alphaOff val="0"/>
          </a:schemeClr>
        </a:solidFill>
        <a:ln w="25400" cap="flat" cmpd="sng" algn="ctr">
          <a:solidFill>
            <a:schemeClr val="dk1">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90000"/>
            </a:lnSpc>
            <a:spcBef>
              <a:spcPct val="0"/>
            </a:spcBef>
            <a:spcAft>
              <a:spcPct val="15000"/>
            </a:spcAft>
            <a:buChar char="••"/>
          </a:pPr>
          <a:r>
            <a:rPr lang="pl-PL" sz="900" kern="1200"/>
            <a:t>uzgodnienie głównych problemów decydujących </a:t>
          </a:r>
          <a:br>
            <a:rPr lang="pl-PL" sz="900" kern="1200"/>
          </a:br>
          <a:r>
            <a:rPr lang="pl-PL" sz="900" kern="1200"/>
            <a:t>o sytuacji obszaru rewitalizacji,</a:t>
          </a:r>
        </a:p>
        <a:p>
          <a:pPr marL="57150" lvl="1" indent="-57150" algn="l" defTabSz="400050">
            <a:lnSpc>
              <a:spcPct val="90000"/>
            </a:lnSpc>
            <a:spcBef>
              <a:spcPct val="0"/>
            </a:spcBef>
            <a:spcAft>
              <a:spcPct val="15000"/>
            </a:spcAft>
            <a:buChar char="••"/>
          </a:pPr>
          <a:r>
            <a:rPr lang="pl-PL" sz="900" kern="1200"/>
            <a:t>uzgodnienie głównych ścieżek wspólnego działania,</a:t>
          </a:r>
        </a:p>
        <a:p>
          <a:pPr marL="57150" lvl="1" indent="-57150" algn="l" defTabSz="400050">
            <a:lnSpc>
              <a:spcPct val="90000"/>
            </a:lnSpc>
            <a:spcBef>
              <a:spcPct val="0"/>
            </a:spcBef>
            <a:spcAft>
              <a:spcPct val="15000"/>
            </a:spcAft>
            <a:buChar char="••"/>
          </a:pPr>
          <a:r>
            <a:rPr lang="pl-PL" sz="900" kern="1200"/>
            <a:t>uzgodnienie narzędzi wdrażania Programu, instrumentów komunikacji oraz partnerskich projektów rewitalizacyjnych,</a:t>
          </a:r>
        </a:p>
        <a:p>
          <a:pPr marL="57150" lvl="1" indent="-57150" algn="l" defTabSz="400050">
            <a:lnSpc>
              <a:spcPct val="90000"/>
            </a:lnSpc>
            <a:spcBef>
              <a:spcPct val="0"/>
            </a:spcBef>
            <a:spcAft>
              <a:spcPct val="15000"/>
            </a:spcAft>
            <a:buChar char="••"/>
          </a:pPr>
          <a:r>
            <a:rPr lang="pl-PL" sz="900" kern="1200"/>
            <a:t>tworzenie powiązań między członkami społeczności lokalnej i partnerstw na rzecz wdrażania przedsięwzięć rewitalizacyjnych.</a:t>
          </a:r>
        </a:p>
      </dsp:txBody>
      <dsp:txXfrm>
        <a:off x="3809958" y="678831"/>
        <a:ext cx="1670283" cy="2415599"/>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8/layout/NameandTitleOrganizationalChart">
  <dgm:title val=""/>
  <dgm:desc val=""/>
  <dgm:catLst>
    <dgm:cat type="hierarchy" pri="125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Max/>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1" styleLbl="fgAcc0">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alg type="conn">
                            <dgm:param type="connRout" val="bend"/>
                            <dgm:param type="dim" val="1D"/>
                            <dgm:param type="endSty" val="noArr"/>
                            <dgm:param type="begPts" val="bCtr"/>
                            <dgm:param type="endPts" val="tCtr"/>
                            <dgm:param type="bendPt" val="end"/>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41" func="var" arg="hierBranch" op="equ" val="hang">
                    <dgm:layoutNode name="Name42">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3">
                    <dgm:layoutNode name="Name44">
                      <dgm:choose name="Name45">
                        <dgm:if name="Name46" axis="self" func="depth" op="lte" val="2">
                          <dgm:choose name="Name47">
                            <dgm:if name="Name48" axis="par ch" ptType="node asst" func="cnt" op="gte" val="1">
                              <dgm:alg type="conn">
                                <dgm:param type="connRout" val="bend"/>
                                <dgm:param type="dim" val="1D"/>
                                <dgm:param type="endSty" val="noArr"/>
                                <dgm:param type="begPts" val="bCtr"/>
                                <dgm:param type="endPts" val="midL midR"/>
                              </dgm:alg>
                            </dgm:if>
                            <dgm:else name="Name49">
                              <dgm:alg type="conn">
                                <dgm:param type="connRout" val="bend"/>
                                <dgm:param type="dim" val="1D"/>
                                <dgm:param type="endSty" val="noArr"/>
                                <dgm:param type="begPts" val="bCtr"/>
                                <dgm:param type="endPts" val="midL midR"/>
                                <dgm:param type="srcNode" val="rootConnector1"/>
                              </dgm:alg>
                            </dgm:else>
                          </dgm:choose>
                        </dgm:if>
                        <dgm:else name="Name50">
                          <dgm:choose name="Name51">
                            <dgm:if name="Name52" axis="par ch" ptType="node asst" func="cnt" op="gte" val="1">
                              <dgm:alg type="conn">
                                <dgm:param type="connRout" val="bend"/>
                                <dgm:param type="dim" val="1D"/>
                                <dgm:param type="endSty" val="noArr"/>
                                <dgm:param type="begPts" val="bCtr"/>
                                <dgm:param type="endPts" val="midL midR"/>
                              </dgm:alg>
                            </dgm:if>
                            <dgm:else name="Name53">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54">
                  <dgm:if name="Name55" func="var" arg="hierBranch" op="equ" val="l">
                    <dgm:choose name="Name56">
                      <dgm:if name="Name57"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58">
                        <dgm:alg type="hierRoot">
                          <dgm:param type="hierAlign" val="tR"/>
                        </dgm:alg>
                        <dgm:shape xmlns:r="http://schemas.openxmlformats.org/officeDocument/2006/relationships" r:blip="">
                          <dgm:adjLst/>
                        </dgm:shape>
                        <dgm:presOf/>
                        <dgm:constrLst>
                          <dgm:constr type="alignOff" val="0.25"/>
                        </dgm:constrLst>
                      </dgm:else>
                    </dgm:choose>
                  </dgm:if>
                  <dgm:if name="Name59" func="var" arg="hierBranch" op="equ" val="r">
                    <dgm:choose name="Name60">
                      <dgm:if name="Name61"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2">
                        <dgm:alg type="hierRoot">
                          <dgm:param type="hierAlign" val="tL"/>
                        </dgm:alg>
                        <dgm:shape xmlns:r="http://schemas.openxmlformats.org/officeDocument/2006/relationships" r:blip="">
                          <dgm:adjLst/>
                        </dgm:shape>
                        <dgm:presOf/>
                        <dgm:constrLst>
                          <dgm:constr type="alignOff" val="0.25"/>
                        </dgm:constrLst>
                      </dgm:else>
                    </dgm:choose>
                  </dgm:if>
                  <dgm:if name="Name63"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4" func="var" arg="hierBranch" op="equ" val="init">
                    <dgm:alg type="hierRoot"/>
                    <dgm:shape xmlns:r="http://schemas.openxmlformats.org/officeDocument/2006/relationships" r:blip="">
                      <dgm:adjLst/>
                    </dgm:shape>
                    <dgm:presOf/>
                    <dgm:constrLst>
                      <dgm:constr type="alignOff"/>
                      <dgm:constr type="bendDist" for="des" ptType="parTrans" refType="sp" fact="0.5"/>
                    </dgm:constrLst>
                  </dgm:if>
                  <dgm:else name="Name65">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66">
                    <dgm:if name="Name67" func="var" arg="hierBranch" op="equ" val="init">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68" func="var" arg="hierBranch" op="equ" val="l">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69" func="var" arg="hierBranch" op="equ" val="r">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70">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varLst>
                      <dgm:chMax/>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2" styleLbl="fgAcc1">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71">
                    <dgm:if name="Name72" func="var" arg="hierBranch" op="equ" val="l">
                      <dgm:alg type="hierChild">
                        <dgm:param type="chAlign" val="r"/>
                        <dgm:param type="linDir" val="fromT"/>
                      </dgm:alg>
                    </dgm:if>
                    <dgm:if name="Name73" func="var" arg="hierBranch" op="equ" val="r">
                      <dgm:alg type="hierChild">
                        <dgm:param type="chAlign" val="l"/>
                        <dgm:param type="linDir" val="fromT"/>
                      </dgm:alg>
                    </dgm:if>
                    <dgm:if name="Name74" func="var" arg="hierBranch" op="equ" val="hang">
                      <dgm:choose name="Name75">
                        <dgm:if name="Name76" func="var" arg="dir" op="equ" val="norm">
                          <dgm:alg type="hierChild">
                            <dgm:param type="chAlign" val="l"/>
                            <dgm:param type="linDir" val="fromL"/>
                            <dgm:param type="secChAlign" val="t"/>
                            <dgm:param type="secLinDir" val="fromT"/>
                          </dgm:alg>
                        </dgm:if>
                        <dgm:else name="Name77">
                          <dgm:alg type="hierChild">
                            <dgm:param type="chAlign" val="l"/>
                            <dgm:param type="linDir" val="fromR"/>
                            <dgm:param type="secChAlign" val="t"/>
                            <dgm:param type="secLinDir" val="fromT"/>
                          </dgm:alg>
                        </dgm:else>
                      </dgm:choose>
                    </dgm:if>
                    <dgm:if name="Name78" func="var" arg="hierBranch" op="equ" val="std">
                      <dgm:choose name="Name79">
                        <dgm:if name="Name80" func="var" arg="dir" op="equ" val="norm">
                          <dgm:alg type="hierChild"/>
                        </dgm:if>
                        <dgm:else name="Name81">
                          <dgm:alg type="hierChild">
                            <dgm:param type="linDir" val="fromR"/>
                          </dgm:alg>
                        </dgm:else>
                      </dgm:choose>
                    </dgm:if>
                    <dgm:if name="Name82" func="var" arg="hierBranch" op="equ" val="init">
                      <dgm:choose name="Name83">
                        <dgm:if name="Name84" func="var" arg="dir" op="equ" val="norm">
                          <dgm:alg type="hierChild"/>
                        </dgm:if>
                        <dgm:else name="Name85">
                          <dgm:alg type="hierChild">
                            <dgm:param type="linDir" val="fromR"/>
                          </dgm:alg>
                        </dgm:else>
                      </dgm:choose>
                    </dgm:if>
                    <dgm:else name="Name86"/>
                  </dgm:choose>
                  <dgm:shape xmlns:r="http://schemas.openxmlformats.org/officeDocument/2006/relationships" r:blip="">
                    <dgm:adjLst/>
                  </dgm:shape>
                  <dgm:presOf/>
                  <dgm:constrLst/>
                  <dgm:ruleLst/>
                  <dgm:forEach name="Name87" ref="rep2a"/>
                </dgm:layoutNode>
                <dgm:layoutNode name="hierChild5">
                  <dgm:choose name="Name88">
                    <dgm:if name="Name89" func="var" arg="dir" op="equ" val="norm">
                      <dgm:alg type="hierChild">
                        <dgm:param type="chAlign" val="l"/>
                        <dgm:param type="linDir" val="fromL"/>
                        <dgm:param type="secChAlign" val="t"/>
                        <dgm:param type="secLinDir" val="fromT"/>
                      </dgm:alg>
                    </dgm:if>
                    <dgm:else name="Name90">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91" ref="rep2b"/>
                </dgm:layoutNode>
              </dgm:layoutNode>
            </dgm:forEach>
          </dgm:layoutNode>
          <dgm:layoutNode name="hierChild3">
            <dgm:choose name="Name92">
              <dgm:if name="Name93" func="var" arg="dir" op="equ" val="norm">
                <dgm:alg type="hierChild">
                  <dgm:param type="chAlign" val="l"/>
                  <dgm:param type="linDir" val="fromL"/>
                  <dgm:param type="secChAlign" val="t"/>
                  <dgm:param type="secLinDir" val="fromT"/>
                </dgm:alg>
              </dgm:if>
              <dgm:else name="Name94">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95" axis="precedSib" ptType="parTrans" st="-1" cnt="1">
                <dgm:layoutNode name="Name96">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97">
                  <dgm:if name="Name98" func="var" arg="hierBranch" op="equ" val="l">
                    <dgm:alg type="hierRoot">
                      <dgm:param type="hierAlign" val="tR"/>
                    </dgm:alg>
                    <dgm:shape xmlns:r="http://schemas.openxmlformats.org/officeDocument/2006/relationships" r:blip="">
                      <dgm:adjLst/>
                    </dgm:shape>
                    <dgm:presOf/>
                    <dgm:constrLst>
                      <dgm:constr type="alignOff" val="0.65"/>
                    </dgm:constrLst>
                  </dgm:if>
                  <dgm:if name="Name99" func="var" arg="hierBranch" op="equ" val="r">
                    <dgm:alg type="hierRoot">
                      <dgm:param type="hierAlign" val="tL"/>
                    </dgm:alg>
                    <dgm:shape xmlns:r="http://schemas.openxmlformats.org/officeDocument/2006/relationships" r:blip="">
                      <dgm:adjLst/>
                    </dgm:shape>
                    <dgm:presOf/>
                    <dgm:constrLst>
                      <dgm:constr type="alignOff" val="0.65"/>
                    </dgm:constrLst>
                  </dgm:if>
                  <dgm:if name="Name100" func="var" arg="hierBranch" op="equ" val="hang">
                    <dgm:alg type="hierRoot"/>
                    <dgm:shape xmlns:r="http://schemas.openxmlformats.org/officeDocument/2006/relationships" r:blip="">
                      <dgm:adjLst/>
                    </dgm:shape>
                    <dgm:presOf/>
                    <dgm:constrLst>
                      <dgm:constr type="alignOff" val="0.65"/>
                    </dgm:constrLst>
                  </dgm:if>
                  <dgm:if name="Name101"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02" func="var" arg="hierBranch" op="equ" val="init">
                    <dgm:alg type="hierRoot"/>
                    <dgm:shape xmlns:r="http://schemas.openxmlformats.org/officeDocument/2006/relationships" r:blip="">
                      <dgm:adjLst/>
                    </dgm:shape>
                    <dgm:presOf/>
                    <dgm:constrLst>
                      <dgm:constr type="alignOff"/>
                      <dgm:constr type="bendDist" for="des" ptType="parTrans" refType="sp" fact="0.5"/>
                    </dgm:constrLst>
                  </dgm:if>
                  <dgm:else name="Name103"/>
                </dgm:choose>
                <dgm:ruleLst/>
                <dgm:layoutNode name="rootComposite3">
                  <dgm:alg type="composite"/>
                  <dgm:shape xmlns:r="http://schemas.openxmlformats.org/officeDocument/2006/relationships" r:blip="">
                    <dgm:adjLst/>
                  </dgm:shape>
                  <dgm:presOf axis="self" ptType="node" cnt="1"/>
                  <dgm:choose name="Name104">
                    <dgm:if name="Name105" func="var" arg="hierBranch" op="equ" val="init">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06" func="var" arg="hierBranch" op="equ" val="l">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07" func="var" arg="hierBranch" op="equ" val="r">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08">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styleLbl="asst1">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3" styleLbl="fgAcc2">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09">
                    <dgm:if name="Name110" func="var" arg="hierBranch" op="equ" val="l">
                      <dgm:alg type="hierChild">
                        <dgm:param type="chAlign" val="r"/>
                        <dgm:param type="linDir" val="fromT"/>
                      </dgm:alg>
                    </dgm:if>
                    <dgm:if name="Name111" func="var" arg="hierBranch" op="equ" val="r">
                      <dgm:alg type="hierChild">
                        <dgm:param type="chAlign" val="l"/>
                        <dgm:param type="linDir" val="fromT"/>
                      </dgm:alg>
                    </dgm:if>
                    <dgm:if name="Name112" func="var" arg="hierBranch" op="equ" val="hang">
                      <dgm:choose name="Name113">
                        <dgm:if name="Name114" func="var" arg="dir" op="equ" val="norm">
                          <dgm:alg type="hierChild">
                            <dgm:param type="chAlign" val="l"/>
                            <dgm:param type="linDir" val="fromL"/>
                            <dgm:param type="secChAlign" val="t"/>
                            <dgm:param type="secLinDir" val="fromT"/>
                          </dgm:alg>
                        </dgm:if>
                        <dgm:else name="Name115">
                          <dgm:alg type="hierChild">
                            <dgm:param type="chAlign" val="l"/>
                            <dgm:param type="linDir" val="fromR"/>
                            <dgm:param type="secChAlign" val="t"/>
                            <dgm:param type="secLinDir" val="fromT"/>
                          </dgm:alg>
                        </dgm:else>
                      </dgm:choose>
                    </dgm:if>
                    <dgm:if name="Name116" func="var" arg="hierBranch" op="equ" val="std">
                      <dgm:choose name="Name117">
                        <dgm:if name="Name118" func="var" arg="dir" op="equ" val="norm">
                          <dgm:alg type="hierChild"/>
                        </dgm:if>
                        <dgm:else name="Name119">
                          <dgm:alg type="hierChild">
                            <dgm:param type="linDir" val="fromR"/>
                          </dgm:alg>
                        </dgm:else>
                      </dgm:choose>
                    </dgm:if>
                    <dgm:if name="Name120" func="var" arg="hierBranch" op="equ" val="init">
                      <dgm:alg type="hierChild"/>
                    </dgm:if>
                    <dgm:else name="Name121"/>
                  </dgm:choose>
                  <dgm:shape xmlns:r="http://schemas.openxmlformats.org/officeDocument/2006/relationships" r:blip="">
                    <dgm:adjLst/>
                  </dgm:shape>
                  <dgm:presOf/>
                  <dgm:constrLst/>
                  <dgm:ruleLst/>
                  <dgm:forEach name="Name122" ref="rep2a"/>
                </dgm:layoutNode>
                <dgm:layoutNode name="hierChild7">
                  <dgm:choose name="Name123">
                    <dgm:if name="Name124" func="var" arg="dir" op="equ" val="norm">
                      <dgm:alg type="hierChild">
                        <dgm:param type="chAlign" val="l"/>
                        <dgm:param type="linDir" val="fromL"/>
                        <dgm:param type="secChAlign" val="t"/>
                        <dgm:param type="secLinDir" val="fromT"/>
                      </dgm:alg>
                    </dgm:if>
                    <dgm:else name="Name12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26" ref="rep2b"/>
                </dgm:layoutNode>
              </dgm:layoutNode>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layout7.xml><?xml version="1.0" encoding="utf-8"?>
<dgm:layoutDef xmlns:dgm="http://schemas.openxmlformats.org/drawingml/2006/diagram" xmlns:a="http://schemas.openxmlformats.org/drawingml/2006/main" uniqueId="urn:diagrams.loki3.com/BracketList+Icon">
  <dgm:title val="Pionowa lista bloków"/>
  <dgm:desc val="Służy do przedstawiania pogrupowanych bloków informacji.  Nadaje się dobrze do dużych ilości tekstu poziomu 2."/>
  <dgm:catLst>
    <dgm:cat type="list" pri="4110"/>
    <dgm:cat type="officeonline" pri="3000"/>
  </dgm:catLst>
  <dgm:sampData>
    <dgm:dataModel>
      <dgm:ptLst>
        <dgm:pt modelId="0" type="doc"/>
        <dgm:pt modelId="1">
          <dgm:prSet phldr="1"/>
        </dgm:pt>
        <dgm:pt modelId="11">
          <dgm:prSet phldr="1"/>
        </dgm:pt>
        <dgm:pt modelId="2">
          <dgm:prSet phldr="1"/>
        </dgm:pt>
        <dgm:pt modelId="21">
          <dgm:prSet phldr="1"/>
        </dgm:pt>
      </dgm:ptLst>
      <dgm:cxnLst>
        <dgm:cxn modelId="3" srcId="0" destId="1" srcOrd="0" destOrd="0"/>
        <dgm:cxn modelId="4" srcId="1" destId="11" srcOrd="0" destOrd="0"/>
        <dgm:cxn modelId="5" srcId="0" destId="2" srcOrd="0" destOrd="0"/>
        <dgm:cxn modelId="6" srcId="2" destId="21" srcOrd="0" destOrd="0"/>
      </dgm:cxnLst>
      <dgm:bg/>
      <dgm:whole/>
    </dgm:dataModel>
  </dgm:sampData>
  <dgm:styleData useDef="1">
    <dgm:dataModel>
      <dgm:ptLst/>
      <dgm:bg/>
      <dgm:whole/>
    </dgm:dataModel>
  </dgm:styleData>
  <dgm:clrData useDef="1">
    <dgm:dataModel>
      <dgm:pt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V" refType="primFontSz" refFor="des" refForName="parTx" fact="0.1"/>
      <dgm:constr type="primFontSz" for="des" forName="parTx" val="65"/>
      <dgm:constr type="primFontSz" for="des" forName="desTx" refType="primFontSz" refFor="des" refForName="parTx"/>
      <dgm:constr type="h" for="des" forName="parTx" refType="primFontSz" refFor="des" refForName="parTx" fact="0.55"/>
      <dgm:constr type="h" for="des" forName="bracket" refType="primFontSz" refFor="des" refForName="parTx" fact="0.55"/>
      <dgm:constr type="h" for="des" forName="desTx" refType="primFontSz" refFor="des" refForName="parTx" fact="0.55"/>
    </dgm:constrLst>
    <dgm:ruleLst>
      <dgm:rule type="primFontSz" for="des" forName="parTx" val="5" fact="NaN" max="NaN"/>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Tx" refType="w" fact="0.25"/>
          <dgm:constr type="w" for="ch" forName="bracket" refType="w" fact="0.05"/>
          <dgm:constr type="w" for="ch" forName="spH" refType="w" fact="0.02"/>
          <dgm:constr type="w" for="ch" forName="desTx" refType="w" fact="0.68"/>
          <dgm:constr type="h" for="ch" forName="bracket" refType="h" refFor="ch" refForName="desTx" op="gte"/>
          <dgm:constr type="h" for="ch" forName="bracket" refType="h" refFor="ch" refForName="parTx" op="gte"/>
          <dgm:constr type="h" for="ch" forName="desTx" refType="h" refFor="ch" refForName="parTx" op="gte"/>
        </dgm:constrLst>
        <dgm:ruleLst/>
        <dgm:layoutNode name="parTx" styleLbl="revTx">
          <dgm:varLst>
            <dgm:chMax val="1"/>
            <dgm:bulletEnabled val="1"/>
          </dgm:varLst>
          <dgm:choose name="Name8">
            <dgm:if name="Name9" func="var" arg="dir" op="equ" val="norm">
              <dgm:alg type="tx">
                <dgm:param type="parTxLTRAlign" val="r"/>
              </dgm:alg>
            </dgm:if>
            <dgm:else name="Name10">
              <dgm:alg type="tx">
                <dgm:param type="parTxLTRAlign" val="l"/>
              </dgm:alg>
            </dgm:else>
          </dgm:choose>
          <dgm:shape xmlns:r="http://schemas.openxmlformats.org/officeDocument/2006/relationships" type="rect" r:blip="">
            <dgm:adjLst/>
          </dgm:shape>
          <dgm:presOf axis="self" ptType="node"/>
          <dgm:constrLst>
            <dgm:constr type="tMarg" refType="primFontSz" fact="0.2"/>
            <dgm:constr type="bMarg" refType="primFontSz" fact="0.2"/>
          </dgm:constrLst>
          <dgm:ruleLst>
            <dgm:rule type="h" val="INF" fact="NaN" max="NaN"/>
          </dgm:ruleLst>
        </dgm:layoutNode>
        <dgm:layoutNode name="bracket" styleLbl="parChTrans1D1">
          <dgm:alg type="sp"/>
          <dgm:choose name="Name11">
            <dgm:if name="Name12" func="var" arg="dir" op="equ" val="norm">
              <dgm:shape xmlns:r="http://schemas.openxmlformats.org/officeDocument/2006/relationships" type="leftBrace" r:blip="">
                <dgm:adjLst>
                  <dgm:adj idx="1" val="0.35"/>
                </dgm:adjLst>
              </dgm:shape>
            </dgm:if>
            <dgm:else name="Name13">
              <dgm:shape xmlns:r="http://schemas.openxmlformats.org/officeDocument/2006/relationships" rot="180" type="leftBrace" r:blip="">
                <dgm:adjLst>
                  <dgm:adj idx="1" val="0.35"/>
                </dgm:adjLst>
              </dgm:shape>
            </dgm:else>
          </dgm:choose>
          <dgm:presOf/>
        </dgm:layoutNode>
        <dgm:layoutNode name="spH">
          <dgm:alg type="sp"/>
        </dgm:layoutNode>
        <dgm:choose name="Name14">
          <dgm:if name="Name15" axis="ch" ptType="node" func="cnt" op="gte" val="1">
            <dgm:layoutNode name="desTx" styleLbl="node1">
              <dgm:varLst>
                <dgm:bulletEnabled val="1"/>
              </dgm:varLst>
              <dgm:alg type="tx">
                <dgm:param type="stBulletLvl" val="1"/>
                <dgm:param type="txAnchorVertCh" val="mid"/>
              </dgm:alg>
              <dgm:shape xmlns:r="http://schemas.openxmlformats.org/officeDocument/2006/relationships" type="rect" r:blip="">
                <dgm:adjLst/>
              </dgm:shape>
              <dgm:presOf axis="des" ptType="node"/>
              <dgm:constrLst>
                <dgm:constr type="secFontSz" refType="primFontSz"/>
                <dgm:constr type="tMarg" refType="primFontSz" fact="0.3"/>
                <dgm:constr type="bMarg" refType="primFontSz" fact="0.3"/>
                <dgm:constr type="lMarg" refType="primFontSz" fact="0.3"/>
                <dgm:constr type="rMarg" refType="primFontSz" fact="0.3"/>
              </dgm:constrLst>
              <dgm:ruleLst>
                <dgm:rule type="h" val="INF" fact="NaN" max="NaN"/>
              </dgm:ruleLst>
            </dgm:layoutNode>
          </dgm:if>
          <dgm:else name="Name16"/>
        </dgm:choose>
      </dgm:layoutNode>
      <dgm:forEach name="Name17" axis="followSib" ptType="sibTrans" cnt="1">
        <dgm:layoutNode name="spV">
          <dgm:alg type="sp"/>
        </dgm:layoutNode>
      </dgm:forEach>
    </dgm:forEach>
  </dgm:layoutNode>
</dgm:layoutDef>
</file>

<file path=word/diagrams/layout8.xml><?xml version="1.0" encoding="utf-8"?>
<dgm:layoutDef xmlns:dgm="http://schemas.openxmlformats.org/drawingml/2006/diagram" xmlns:a="http://schemas.openxmlformats.org/drawingml/2006/main" uniqueId="urn:diagrams.loki3.com/BracketList+Icon">
  <dgm:title val="Pionowa lista bloków"/>
  <dgm:desc val="Służy do przedstawiania pogrupowanych bloków informacji.  Nadaje się dobrze do dużych ilości tekstu poziomu 2."/>
  <dgm:catLst>
    <dgm:cat type="list" pri="4110"/>
    <dgm:cat type="officeonline" pri="3000"/>
  </dgm:catLst>
  <dgm:sampData>
    <dgm:dataModel>
      <dgm:ptLst>
        <dgm:pt modelId="0" type="doc"/>
        <dgm:pt modelId="1">
          <dgm:prSet phldr="1"/>
        </dgm:pt>
        <dgm:pt modelId="11">
          <dgm:prSet phldr="1"/>
        </dgm:pt>
        <dgm:pt modelId="2">
          <dgm:prSet phldr="1"/>
        </dgm:pt>
        <dgm:pt modelId="21">
          <dgm:prSet phldr="1"/>
        </dgm:pt>
      </dgm:ptLst>
      <dgm:cxnLst>
        <dgm:cxn modelId="3" srcId="0" destId="1" srcOrd="0" destOrd="0"/>
        <dgm:cxn modelId="4" srcId="1" destId="11" srcOrd="0" destOrd="0"/>
        <dgm:cxn modelId="5" srcId="0" destId="2" srcOrd="0" destOrd="0"/>
        <dgm:cxn modelId="6" srcId="2" destId="21" srcOrd="0" destOrd="0"/>
      </dgm:cxnLst>
      <dgm:bg/>
      <dgm:whole/>
    </dgm:dataModel>
  </dgm:sampData>
  <dgm:styleData useDef="1">
    <dgm:dataModel>
      <dgm:ptLst/>
      <dgm:bg/>
      <dgm:whole/>
    </dgm:dataModel>
  </dgm:styleData>
  <dgm:clrData useDef="1">
    <dgm:dataModel>
      <dgm:pt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V" refType="primFontSz" refFor="des" refForName="parTx" fact="0.1"/>
      <dgm:constr type="primFontSz" for="des" forName="parTx" val="65"/>
      <dgm:constr type="primFontSz" for="des" forName="desTx" refType="primFontSz" refFor="des" refForName="parTx"/>
      <dgm:constr type="h" for="des" forName="parTx" refType="primFontSz" refFor="des" refForName="parTx" fact="0.55"/>
      <dgm:constr type="h" for="des" forName="bracket" refType="primFontSz" refFor="des" refForName="parTx" fact="0.55"/>
      <dgm:constr type="h" for="des" forName="desTx" refType="primFontSz" refFor="des" refForName="parTx" fact="0.55"/>
    </dgm:constrLst>
    <dgm:ruleLst>
      <dgm:rule type="primFontSz" for="des" forName="parTx" val="5" fact="NaN" max="NaN"/>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Tx" refType="w" fact="0.25"/>
          <dgm:constr type="w" for="ch" forName="bracket" refType="w" fact="0.05"/>
          <dgm:constr type="w" for="ch" forName="spH" refType="w" fact="0.02"/>
          <dgm:constr type="w" for="ch" forName="desTx" refType="w" fact="0.68"/>
          <dgm:constr type="h" for="ch" forName="bracket" refType="h" refFor="ch" refForName="desTx" op="gte"/>
          <dgm:constr type="h" for="ch" forName="bracket" refType="h" refFor="ch" refForName="parTx" op="gte"/>
          <dgm:constr type="h" for="ch" forName="desTx" refType="h" refFor="ch" refForName="parTx" op="gte"/>
        </dgm:constrLst>
        <dgm:ruleLst/>
        <dgm:layoutNode name="parTx" styleLbl="revTx">
          <dgm:varLst>
            <dgm:chMax val="1"/>
            <dgm:bulletEnabled val="1"/>
          </dgm:varLst>
          <dgm:choose name="Name8">
            <dgm:if name="Name9" func="var" arg="dir" op="equ" val="norm">
              <dgm:alg type="tx">
                <dgm:param type="parTxLTRAlign" val="r"/>
              </dgm:alg>
            </dgm:if>
            <dgm:else name="Name10">
              <dgm:alg type="tx">
                <dgm:param type="parTxLTRAlign" val="l"/>
              </dgm:alg>
            </dgm:else>
          </dgm:choose>
          <dgm:shape xmlns:r="http://schemas.openxmlformats.org/officeDocument/2006/relationships" type="rect" r:blip="">
            <dgm:adjLst/>
          </dgm:shape>
          <dgm:presOf axis="self" ptType="node"/>
          <dgm:constrLst>
            <dgm:constr type="tMarg" refType="primFontSz" fact="0.2"/>
            <dgm:constr type="bMarg" refType="primFontSz" fact="0.2"/>
          </dgm:constrLst>
          <dgm:ruleLst>
            <dgm:rule type="h" val="INF" fact="NaN" max="NaN"/>
          </dgm:ruleLst>
        </dgm:layoutNode>
        <dgm:layoutNode name="bracket" styleLbl="parChTrans1D1">
          <dgm:alg type="sp"/>
          <dgm:choose name="Name11">
            <dgm:if name="Name12" func="var" arg="dir" op="equ" val="norm">
              <dgm:shape xmlns:r="http://schemas.openxmlformats.org/officeDocument/2006/relationships" type="leftBrace" r:blip="">
                <dgm:adjLst>
                  <dgm:adj idx="1" val="0.35"/>
                </dgm:adjLst>
              </dgm:shape>
            </dgm:if>
            <dgm:else name="Name13">
              <dgm:shape xmlns:r="http://schemas.openxmlformats.org/officeDocument/2006/relationships" rot="180" type="leftBrace" r:blip="">
                <dgm:adjLst>
                  <dgm:adj idx="1" val="0.35"/>
                </dgm:adjLst>
              </dgm:shape>
            </dgm:else>
          </dgm:choose>
          <dgm:presOf/>
        </dgm:layoutNode>
        <dgm:layoutNode name="spH">
          <dgm:alg type="sp"/>
        </dgm:layoutNode>
        <dgm:choose name="Name14">
          <dgm:if name="Name15" axis="ch" ptType="node" func="cnt" op="gte" val="1">
            <dgm:layoutNode name="desTx" styleLbl="node1">
              <dgm:varLst>
                <dgm:bulletEnabled val="1"/>
              </dgm:varLst>
              <dgm:alg type="tx">
                <dgm:param type="stBulletLvl" val="1"/>
                <dgm:param type="txAnchorVertCh" val="mid"/>
              </dgm:alg>
              <dgm:shape xmlns:r="http://schemas.openxmlformats.org/officeDocument/2006/relationships" type="rect" r:blip="">
                <dgm:adjLst/>
              </dgm:shape>
              <dgm:presOf axis="des" ptType="node"/>
              <dgm:constrLst>
                <dgm:constr type="secFontSz" refType="primFontSz"/>
                <dgm:constr type="tMarg" refType="primFontSz" fact="0.3"/>
                <dgm:constr type="bMarg" refType="primFontSz" fact="0.3"/>
                <dgm:constr type="lMarg" refType="primFontSz" fact="0.3"/>
                <dgm:constr type="rMarg" refType="primFontSz" fact="0.3"/>
              </dgm:constrLst>
              <dgm:ruleLst>
                <dgm:rule type="h" val="INF" fact="NaN" max="NaN"/>
              </dgm:ruleLst>
            </dgm:layoutNode>
          </dgm:if>
          <dgm:else name="Name16"/>
        </dgm:choose>
      </dgm:layoutNode>
      <dgm:forEach name="Name17" axis="followSib" ptType="sibTrans" cnt="1">
        <dgm:layoutNode name="spV">
          <dgm:alg type="sp"/>
        </dgm:layoutNode>
      </dgm:forEach>
    </dgm:forEach>
  </dgm:layoutNode>
</dgm:layoutDef>
</file>

<file path=word/diagrams/layout9.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10.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0.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40D8DEB-721D-4187-A573-F66B2A0217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145</Pages>
  <Words>96426</Words>
  <Characters>578560</Characters>
  <Application>Microsoft Office Word</Application>
  <DocSecurity>0</DocSecurity>
  <Lines>4821</Lines>
  <Paragraphs>1347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673639</CharactersWithSpaces>
  <SharedDoc>false</SharedDoc>
  <HLinks>
    <vt:vector size="378" baseType="variant">
      <vt:variant>
        <vt:i4>6619250</vt:i4>
      </vt:variant>
      <vt:variant>
        <vt:i4>588</vt:i4>
      </vt:variant>
      <vt:variant>
        <vt:i4>0</vt:i4>
      </vt:variant>
      <vt:variant>
        <vt:i4>5</vt:i4>
      </vt:variant>
      <vt:variant>
        <vt:lpwstr>http://www.bytomodnowa.pl/</vt:lpwstr>
      </vt:variant>
      <vt:variant>
        <vt:lpwstr/>
      </vt:variant>
      <vt:variant>
        <vt:i4>6619250</vt:i4>
      </vt:variant>
      <vt:variant>
        <vt:i4>585</vt:i4>
      </vt:variant>
      <vt:variant>
        <vt:i4>0</vt:i4>
      </vt:variant>
      <vt:variant>
        <vt:i4>5</vt:i4>
      </vt:variant>
      <vt:variant>
        <vt:lpwstr>http://www.bytomodnowa.pl/</vt:lpwstr>
      </vt:variant>
      <vt:variant>
        <vt:lpwstr/>
      </vt:variant>
      <vt:variant>
        <vt:i4>1572916</vt:i4>
      </vt:variant>
      <vt:variant>
        <vt:i4>365</vt:i4>
      </vt:variant>
      <vt:variant>
        <vt:i4>0</vt:i4>
      </vt:variant>
      <vt:variant>
        <vt:i4>5</vt:i4>
      </vt:variant>
      <vt:variant>
        <vt:lpwstr/>
      </vt:variant>
      <vt:variant>
        <vt:lpwstr>_Toc463273485</vt:lpwstr>
      </vt:variant>
      <vt:variant>
        <vt:i4>1572916</vt:i4>
      </vt:variant>
      <vt:variant>
        <vt:i4>359</vt:i4>
      </vt:variant>
      <vt:variant>
        <vt:i4>0</vt:i4>
      </vt:variant>
      <vt:variant>
        <vt:i4>5</vt:i4>
      </vt:variant>
      <vt:variant>
        <vt:lpwstr/>
      </vt:variant>
      <vt:variant>
        <vt:lpwstr>_Toc463273484</vt:lpwstr>
      </vt:variant>
      <vt:variant>
        <vt:i4>1572916</vt:i4>
      </vt:variant>
      <vt:variant>
        <vt:i4>353</vt:i4>
      </vt:variant>
      <vt:variant>
        <vt:i4>0</vt:i4>
      </vt:variant>
      <vt:variant>
        <vt:i4>5</vt:i4>
      </vt:variant>
      <vt:variant>
        <vt:lpwstr/>
      </vt:variant>
      <vt:variant>
        <vt:lpwstr>_Toc463273483</vt:lpwstr>
      </vt:variant>
      <vt:variant>
        <vt:i4>1572916</vt:i4>
      </vt:variant>
      <vt:variant>
        <vt:i4>347</vt:i4>
      </vt:variant>
      <vt:variant>
        <vt:i4>0</vt:i4>
      </vt:variant>
      <vt:variant>
        <vt:i4>5</vt:i4>
      </vt:variant>
      <vt:variant>
        <vt:lpwstr/>
      </vt:variant>
      <vt:variant>
        <vt:lpwstr>_Toc463273482</vt:lpwstr>
      </vt:variant>
      <vt:variant>
        <vt:i4>1572916</vt:i4>
      </vt:variant>
      <vt:variant>
        <vt:i4>341</vt:i4>
      </vt:variant>
      <vt:variant>
        <vt:i4>0</vt:i4>
      </vt:variant>
      <vt:variant>
        <vt:i4>5</vt:i4>
      </vt:variant>
      <vt:variant>
        <vt:lpwstr/>
      </vt:variant>
      <vt:variant>
        <vt:lpwstr>_Toc463273481</vt:lpwstr>
      </vt:variant>
      <vt:variant>
        <vt:i4>1572916</vt:i4>
      </vt:variant>
      <vt:variant>
        <vt:i4>335</vt:i4>
      </vt:variant>
      <vt:variant>
        <vt:i4>0</vt:i4>
      </vt:variant>
      <vt:variant>
        <vt:i4>5</vt:i4>
      </vt:variant>
      <vt:variant>
        <vt:lpwstr/>
      </vt:variant>
      <vt:variant>
        <vt:lpwstr>_Toc463273480</vt:lpwstr>
      </vt:variant>
      <vt:variant>
        <vt:i4>1507380</vt:i4>
      </vt:variant>
      <vt:variant>
        <vt:i4>329</vt:i4>
      </vt:variant>
      <vt:variant>
        <vt:i4>0</vt:i4>
      </vt:variant>
      <vt:variant>
        <vt:i4>5</vt:i4>
      </vt:variant>
      <vt:variant>
        <vt:lpwstr/>
      </vt:variant>
      <vt:variant>
        <vt:lpwstr>_Toc463273479</vt:lpwstr>
      </vt:variant>
      <vt:variant>
        <vt:i4>1507380</vt:i4>
      </vt:variant>
      <vt:variant>
        <vt:i4>323</vt:i4>
      </vt:variant>
      <vt:variant>
        <vt:i4>0</vt:i4>
      </vt:variant>
      <vt:variant>
        <vt:i4>5</vt:i4>
      </vt:variant>
      <vt:variant>
        <vt:lpwstr/>
      </vt:variant>
      <vt:variant>
        <vt:lpwstr>_Toc463273478</vt:lpwstr>
      </vt:variant>
      <vt:variant>
        <vt:i4>1507380</vt:i4>
      </vt:variant>
      <vt:variant>
        <vt:i4>317</vt:i4>
      </vt:variant>
      <vt:variant>
        <vt:i4>0</vt:i4>
      </vt:variant>
      <vt:variant>
        <vt:i4>5</vt:i4>
      </vt:variant>
      <vt:variant>
        <vt:lpwstr/>
      </vt:variant>
      <vt:variant>
        <vt:lpwstr>_Toc463273477</vt:lpwstr>
      </vt:variant>
      <vt:variant>
        <vt:i4>1507380</vt:i4>
      </vt:variant>
      <vt:variant>
        <vt:i4>311</vt:i4>
      </vt:variant>
      <vt:variant>
        <vt:i4>0</vt:i4>
      </vt:variant>
      <vt:variant>
        <vt:i4>5</vt:i4>
      </vt:variant>
      <vt:variant>
        <vt:lpwstr/>
      </vt:variant>
      <vt:variant>
        <vt:lpwstr>_Toc463273476</vt:lpwstr>
      </vt:variant>
      <vt:variant>
        <vt:i4>1507380</vt:i4>
      </vt:variant>
      <vt:variant>
        <vt:i4>305</vt:i4>
      </vt:variant>
      <vt:variant>
        <vt:i4>0</vt:i4>
      </vt:variant>
      <vt:variant>
        <vt:i4>5</vt:i4>
      </vt:variant>
      <vt:variant>
        <vt:lpwstr/>
      </vt:variant>
      <vt:variant>
        <vt:lpwstr>_Toc463273475</vt:lpwstr>
      </vt:variant>
      <vt:variant>
        <vt:i4>1507380</vt:i4>
      </vt:variant>
      <vt:variant>
        <vt:i4>299</vt:i4>
      </vt:variant>
      <vt:variant>
        <vt:i4>0</vt:i4>
      </vt:variant>
      <vt:variant>
        <vt:i4>5</vt:i4>
      </vt:variant>
      <vt:variant>
        <vt:lpwstr/>
      </vt:variant>
      <vt:variant>
        <vt:lpwstr>_Toc463273474</vt:lpwstr>
      </vt:variant>
      <vt:variant>
        <vt:i4>1507380</vt:i4>
      </vt:variant>
      <vt:variant>
        <vt:i4>293</vt:i4>
      </vt:variant>
      <vt:variant>
        <vt:i4>0</vt:i4>
      </vt:variant>
      <vt:variant>
        <vt:i4>5</vt:i4>
      </vt:variant>
      <vt:variant>
        <vt:lpwstr/>
      </vt:variant>
      <vt:variant>
        <vt:lpwstr>_Toc463273473</vt:lpwstr>
      </vt:variant>
      <vt:variant>
        <vt:i4>1507380</vt:i4>
      </vt:variant>
      <vt:variant>
        <vt:i4>287</vt:i4>
      </vt:variant>
      <vt:variant>
        <vt:i4>0</vt:i4>
      </vt:variant>
      <vt:variant>
        <vt:i4>5</vt:i4>
      </vt:variant>
      <vt:variant>
        <vt:lpwstr/>
      </vt:variant>
      <vt:variant>
        <vt:lpwstr>_Toc463273472</vt:lpwstr>
      </vt:variant>
      <vt:variant>
        <vt:i4>1507380</vt:i4>
      </vt:variant>
      <vt:variant>
        <vt:i4>281</vt:i4>
      </vt:variant>
      <vt:variant>
        <vt:i4>0</vt:i4>
      </vt:variant>
      <vt:variant>
        <vt:i4>5</vt:i4>
      </vt:variant>
      <vt:variant>
        <vt:lpwstr/>
      </vt:variant>
      <vt:variant>
        <vt:lpwstr>_Toc463273471</vt:lpwstr>
      </vt:variant>
      <vt:variant>
        <vt:i4>1507380</vt:i4>
      </vt:variant>
      <vt:variant>
        <vt:i4>275</vt:i4>
      </vt:variant>
      <vt:variant>
        <vt:i4>0</vt:i4>
      </vt:variant>
      <vt:variant>
        <vt:i4>5</vt:i4>
      </vt:variant>
      <vt:variant>
        <vt:lpwstr/>
      </vt:variant>
      <vt:variant>
        <vt:lpwstr>_Toc463273470</vt:lpwstr>
      </vt:variant>
      <vt:variant>
        <vt:i4>1441844</vt:i4>
      </vt:variant>
      <vt:variant>
        <vt:i4>269</vt:i4>
      </vt:variant>
      <vt:variant>
        <vt:i4>0</vt:i4>
      </vt:variant>
      <vt:variant>
        <vt:i4>5</vt:i4>
      </vt:variant>
      <vt:variant>
        <vt:lpwstr/>
      </vt:variant>
      <vt:variant>
        <vt:lpwstr>_Toc463273469</vt:lpwstr>
      </vt:variant>
      <vt:variant>
        <vt:i4>1441844</vt:i4>
      </vt:variant>
      <vt:variant>
        <vt:i4>263</vt:i4>
      </vt:variant>
      <vt:variant>
        <vt:i4>0</vt:i4>
      </vt:variant>
      <vt:variant>
        <vt:i4>5</vt:i4>
      </vt:variant>
      <vt:variant>
        <vt:lpwstr/>
      </vt:variant>
      <vt:variant>
        <vt:lpwstr>_Toc463273468</vt:lpwstr>
      </vt:variant>
      <vt:variant>
        <vt:i4>1441844</vt:i4>
      </vt:variant>
      <vt:variant>
        <vt:i4>257</vt:i4>
      </vt:variant>
      <vt:variant>
        <vt:i4>0</vt:i4>
      </vt:variant>
      <vt:variant>
        <vt:i4>5</vt:i4>
      </vt:variant>
      <vt:variant>
        <vt:lpwstr/>
      </vt:variant>
      <vt:variant>
        <vt:lpwstr>_Toc463273467</vt:lpwstr>
      </vt:variant>
      <vt:variant>
        <vt:i4>1441844</vt:i4>
      </vt:variant>
      <vt:variant>
        <vt:i4>251</vt:i4>
      </vt:variant>
      <vt:variant>
        <vt:i4>0</vt:i4>
      </vt:variant>
      <vt:variant>
        <vt:i4>5</vt:i4>
      </vt:variant>
      <vt:variant>
        <vt:lpwstr/>
      </vt:variant>
      <vt:variant>
        <vt:lpwstr>_Toc463273466</vt:lpwstr>
      </vt:variant>
      <vt:variant>
        <vt:i4>1441844</vt:i4>
      </vt:variant>
      <vt:variant>
        <vt:i4>245</vt:i4>
      </vt:variant>
      <vt:variant>
        <vt:i4>0</vt:i4>
      </vt:variant>
      <vt:variant>
        <vt:i4>5</vt:i4>
      </vt:variant>
      <vt:variant>
        <vt:lpwstr/>
      </vt:variant>
      <vt:variant>
        <vt:lpwstr>_Toc463273465</vt:lpwstr>
      </vt:variant>
      <vt:variant>
        <vt:i4>1441844</vt:i4>
      </vt:variant>
      <vt:variant>
        <vt:i4>239</vt:i4>
      </vt:variant>
      <vt:variant>
        <vt:i4>0</vt:i4>
      </vt:variant>
      <vt:variant>
        <vt:i4>5</vt:i4>
      </vt:variant>
      <vt:variant>
        <vt:lpwstr/>
      </vt:variant>
      <vt:variant>
        <vt:lpwstr>_Toc463273464</vt:lpwstr>
      </vt:variant>
      <vt:variant>
        <vt:i4>1441844</vt:i4>
      </vt:variant>
      <vt:variant>
        <vt:i4>233</vt:i4>
      </vt:variant>
      <vt:variant>
        <vt:i4>0</vt:i4>
      </vt:variant>
      <vt:variant>
        <vt:i4>5</vt:i4>
      </vt:variant>
      <vt:variant>
        <vt:lpwstr/>
      </vt:variant>
      <vt:variant>
        <vt:lpwstr>_Toc463273463</vt:lpwstr>
      </vt:variant>
      <vt:variant>
        <vt:i4>1441844</vt:i4>
      </vt:variant>
      <vt:variant>
        <vt:i4>227</vt:i4>
      </vt:variant>
      <vt:variant>
        <vt:i4>0</vt:i4>
      </vt:variant>
      <vt:variant>
        <vt:i4>5</vt:i4>
      </vt:variant>
      <vt:variant>
        <vt:lpwstr/>
      </vt:variant>
      <vt:variant>
        <vt:lpwstr>_Toc463273462</vt:lpwstr>
      </vt:variant>
      <vt:variant>
        <vt:i4>1441844</vt:i4>
      </vt:variant>
      <vt:variant>
        <vt:i4>221</vt:i4>
      </vt:variant>
      <vt:variant>
        <vt:i4>0</vt:i4>
      </vt:variant>
      <vt:variant>
        <vt:i4>5</vt:i4>
      </vt:variant>
      <vt:variant>
        <vt:lpwstr/>
      </vt:variant>
      <vt:variant>
        <vt:lpwstr>_Toc463273461</vt:lpwstr>
      </vt:variant>
      <vt:variant>
        <vt:i4>1441844</vt:i4>
      </vt:variant>
      <vt:variant>
        <vt:i4>215</vt:i4>
      </vt:variant>
      <vt:variant>
        <vt:i4>0</vt:i4>
      </vt:variant>
      <vt:variant>
        <vt:i4>5</vt:i4>
      </vt:variant>
      <vt:variant>
        <vt:lpwstr/>
      </vt:variant>
      <vt:variant>
        <vt:lpwstr>_Toc463273460</vt:lpwstr>
      </vt:variant>
      <vt:variant>
        <vt:i4>1376308</vt:i4>
      </vt:variant>
      <vt:variant>
        <vt:i4>209</vt:i4>
      </vt:variant>
      <vt:variant>
        <vt:i4>0</vt:i4>
      </vt:variant>
      <vt:variant>
        <vt:i4>5</vt:i4>
      </vt:variant>
      <vt:variant>
        <vt:lpwstr/>
      </vt:variant>
      <vt:variant>
        <vt:lpwstr>_Toc463273459</vt:lpwstr>
      </vt:variant>
      <vt:variant>
        <vt:i4>1376308</vt:i4>
      </vt:variant>
      <vt:variant>
        <vt:i4>203</vt:i4>
      </vt:variant>
      <vt:variant>
        <vt:i4>0</vt:i4>
      </vt:variant>
      <vt:variant>
        <vt:i4>5</vt:i4>
      </vt:variant>
      <vt:variant>
        <vt:lpwstr/>
      </vt:variant>
      <vt:variant>
        <vt:lpwstr>_Toc463273458</vt:lpwstr>
      </vt:variant>
      <vt:variant>
        <vt:i4>1376308</vt:i4>
      </vt:variant>
      <vt:variant>
        <vt:i4>197</vt:i4>
      </vt:variant>
      <vt:variant>
        <vt:i4>0</vt:i4>
      </vt:variant>
      <vt:variant>
        <vt:i4>5</vt:i4>
      </vt:variant>
      <vt:variant>
        <vt:lpwstr/>
      </vt:variant>
      <vt:variant>
        <vt:lpwstr>_Toc463273457</vt:lpwstr>
      </vt:variant>
      <vt:variant>
        <vt:i4>1376308</vt:i4>
      </vt:variant>
      <vt:variant>
        <vt:i4>191</vt:i4>
      </vt:variant>
      <vt:variant>
        <vt:i4>0</vt:i4>
      </vt:variant>
      <vt:variant>
        <vt:i4>5</vt:i4>
      </vt:variant>
      <vt:variant>
        <vt:lpwstr/>
      </vt:variant>
      <vt:variant>
        <vt:lpwstr>_Toc463273456</vt:lpwstr>
      </vt:variant>
      <vt:variant>
        <vt:i4>1376308</vt:i4>
      </vt:variant>
      <vt:variant>
        <vt:i4>185</vt:i4>
      </vt:variant>
      <vt:variant>
        <vt:i4>0</vt:i4>
      </vt:variant>
      <vt:variant>
        <vt:i4>5</vt:i4>
      </vt:variant>
      <vt:variant>
        <vt:lpwstr/>
      </vt:variant>
      <vt:variant>
        <vt:lpwstr>_Toc463273455</vt:lpwstr>
      </vt:variant>
      <vt:variant>
        <vt:i4>1376308</vt:i4>
      </vt:variant>
      <vt:variant>
        <vt:i4>179</vt:i4>
      </vt:variant>
      <vt:variant>
        <vt:i4>0</vt:i4>
      </vt:variant>
      <vt:variant>
        <vt:i4>5</vt:i4>
      </vt:variant>
      <vt:variant>
        <vt:lpwstr/>
      </vt:variant>
      <vt:variant>
        <vt:lpwstr>_Toc463273454</vt:lpwstr>
      </vt:variant>
      <vt:variant>
        <vt:i4>1376308</vt:i4>
      </vt:variant>
      <vt:variant>
        <vt:i4>173</vt:i4>
      </vt:variant>
      <vt:variant>
        <vt:i4>0</vt:i4>
      </vt:variant>
      <vt:variant>
        <vt:i4>5</vt:i4>
      </vt:variant>
      <vt:variant>
        <vt:lpwstr/>
      </vt:variant>
      <vt:variant>
        <vt:lpwstr>_Toc463273453</vt:lpwstr>
      </vt:variant>
      <vt:variant>
        <vt:i4>1376308</vt:i4>
      </vt:variant>
      <vt:variant>
        <vt:i4>167</vt:i4>
      </vt:variant>
      <vt:variant>
        <vt:i4>0</vt:i4>
      </vt:variant>
      <vt:variant>
        <vt:i4>5</vt:i4>
      </vt:variant>
      <vt:variant>
        <vt:lpwstr/>
      </vt:variant>
      <vt:variant>
        <vt:lpwstr>_Toc463273452</vt:lpwstr>
      </vt:variant>
      <vt:variant>
        <vt:i4>1376308</vt:i4>
      </vt:variant>
      <vt:variant>
        <vt:i4>161</vt:i4>
      </vt:variant>
      <vt:variant>
        <vt:i4>0</vt:i4>
      </vt:variant>
      <vt:variant>
        <vt:i4>5</vt:i4>
      </vt:variant>
      <vt:variant>
        <vt:lpwstr/>
      </vt:variant>
      <vt:variant>
        <vt:lpwstr>_Toc463273451</vt:lpwstr>
      </vt:variant>
      <vt:variant>
        <vt:i4>1376308</vt:i4>
      </vt:variant>
      <vt:variant>
        <vt:i4>155</vt:i4>
      </vt:variant>
      <vt:variant>
        <vt:i4>0</vt:i4>
      </vt:variant>
      <vt:variant>
        <vt:i4>5</vt:i4>
      </vt:variant>
      <vt:variant>
        <vt:lpwstr/>
      </vt:variant>
      <vt:variant>
        <vt:lpwstr>_Toc463273450</vt:lpwstr>
      </vt:variant>
      <vt:variant>
        <vt:i4>1310772</vt:i4>
      </vt:variant>
      <vt:variant>
        <vt:i4>149</vt:i4>
      </vt:variant>
      <vt:variant>
        <vt:i4>0</vt:i4>
      </vt:variant>
      <vt:variant>
        <vt:i4>5</vt:i4>
      </vt:variant>
      <vt:variant>
        <vt:lpwstr/>
      </vt:variant>
      <vt:variant>
        <vt:lpwstr>_Toc463273449</vt:lpwstr>
      </vt:variant>
      <vt:variant>
        <vt:i4>1310772</vt:i4>
      </vt:variant>
      <vt:variant>
        <vt:i4>143</vt:i4>
      </vt:variant>
      <vt:variant>
        <vt:i4>0</vt:i4>
      </vt:variant>
      <vt:variant>
        <vt:i4>5</vt:i4>
      </vt:variant>
      <vt:variant>
        <vt:lpwstr/>
      </vt:variant>
      <vt:variant>
        <vt:lpwstr>_Toc463273448</vt:lpwstr>
      </vt:variant>
      <vt:variant>
        <vt:i4>1310772</vt:i4>
      </vt:variant>
      <vt:variant>
        <vt:i4>137</vt:i4>
      </vt:variant>
      <vt:variant>
        <vt:i4>0</vt:i4>
      </vt:variant>
      <vt:variant>
        <vt:i4>5</vt:i4>
      </vt:variant>
      <vt:variant>
        <vt:lpwstr/>
      </vt:variant>
      <vt:variant>
        <vt:lpwstr>_Toc463273447</vt:lpwstr>
      </vt:variant>
      <vt:variant>
        <vt:i4>1310772</vt:i4>
      </vt:variant>
      <vt:variant>
        <vt:i4>131</vt:i4>
      </vt:variant>
      <vt:variant>
        <vt:i4>0</vt:i4>
      </vt:variant>
      <vt:variant>
        <vt:i4>5</vt:i4>
      </vt:variant>
      <vt:variant>
        <vt:lpwstr/>
      </vt:variant>
      <vt:variant>
        <vt:lpwstr>_Toc463273446</vt:lpwstr>
      </vt:variant>
      <vt:variant>
        <vt:i4>1310772</vt:i4>
      </vt:variant>
      <vt:variant>
        <vt:i4>125</vt:i4>
      </vt:variant>
      <vt:variant>
        <vt:i4>0</vt:i4>
      </vt:variant>
      <vt:variant>
        <vt:i4>5</vt:i4>
      </vt:variant>
      <vt:variant>
        <vt:lpwstr/>
      </vt:variant>
      <vt:variant>
        <vt:lpwstr>_Toc463273445</vt:lpwstr>
      </vt:variant>
      <vt:variant>
        <vt:i4>1310772</vt:i4>
      </vt:variant>
      <vt:variant>
        <vt:i4>119</vt:i4>
      </vt:variant>
      <vt:variant>
        <vt:i4>0</vt:i4>
      </vt:variant>
      <vt:variant>
        <vt:i4>5</vt:i4>
      </vt:variant>
      <vt:variant>
        <vt:lpwstr/>
      </vt:variant>
      <vt:variant>
        <vt:lpwstr>_Toc463273444</vt:lpwstr>
      </vt:variant>
      <vt:variant>
        <vt:i4>1310772</vt:i4>
      </vt:variant>
      <vt:variant>
        <vt:i4>113</vt:i4>
      </vt:variant>
      <vt:variant>
        <vt:i4>0</vt:i4>
      </vt:variant>
      <vt:variant>
        <vt:i4>5</vt:i4>
      </vt:variant>
      <vt:variant>
        <vt:lpwstr/>
      </vt:variant>
      <vt:variant>
        <vt:lpwstr>_Toc463273443</vt:lpwstr>
      </vt:variant>
      <vt:variant>
        <vt:i4>1310772</vt:i4>
      </vt:variant>
      <vt:variant>
        <vt:i4>107</vt:i4>
      </vt:variant>
      <vt:variant>
        <vt:i4>0</vt:i4>
      </vt:variant>
      <vt:variant>
        <vt:i4>5</vt:i4>
      </vt:variant>
      <vt:variant>
        <vt:lpwstr/>
      </vt:variant>
      <vt:variant>
        <vt:lpwstr>_Toc463273442</vt:lpwstr>
      </vt:variant>
      <vt:variant>
        <vt:i4>1310772</vt:i4>
      </vt:variant>
      <vt:variant>
        <vt:i4>101</vt:i4>
      </vt:variant>
      <vt:variant>
        <vt:i4>0</vt:i4>
      </vt:variant>
      <vt:variant>
        <vt:i4>5</vt:i4>
      </vt:variant>
      <vt:variant>
        <vt:lpwstr/>
      </vt:variant>
      <vt:variant>
        <vt:lpwstr>_Toc463273441</vt:lpwstr>
      </vt:variant>
      <vt:variant>
        <vt:i4>1310772</vt:i4>
      </vt:variant>
      <vt:variant>
        <vt:i4>95</vt:i4>
      </vt:variant>
      <vt:variant>
        <vt:i4>0</vt:i4>
      </vt:variant>
      <vt:variant>
        <vt:i4>5</vt:i4>
      </vt:variant>
      <vt:variant>
        <vt:lpwstr/>
      </vt:variant>
      <vt:variant>
        <vt:lpwstr>_Toc463273440</vt:lpwstr>
      </vt:variant>
      <vt:variant>
        <vt:i4>1245236</vt:i4>
      </vt:variant>
      <vt:variant>
        <vt:i4>89</vt:i4>
      </vt:variant>
      <vt:variant>
        <vt:i4>0</vt:i4>
      </vt:variant>
      <vt:variant>
        <vt:i4>5</vt:i4>
      </vt:variant>
      <vt:variant>
        <vt:lpwstr/>
      </vt:variant>
      <vt:variant>
        <vt:lpwstr>_Toc463273439</vt:lpwstr>
      </vt:variant>
      <vt:variant>
        <vt:i4>1245236</vt:i4>
      </vt:variant>
      <vt:variant>
        <vt:i4>83</vt:i4>
      </vt:variant>
      <vt:variant>
        <vt:i4>0</vt:i4>
      </vt:variant>
      <vt:variant>
        <vt:i4>5</vt:i4>
      </vt:variant>
      <vt:variant>
        <vt:lpwstr/>
      </vt:variant>
      <vt:variant>
        <vt:lpwstr>_Toc463273438</vt:lpwstr>
      </vt:variant>
      <vt:variant>
        <vt:i4>1245236</vt:i4>
      </vt:variant>
      <vt:variant>
        <vt:i4>77</vt:i4>
      </vt:variant>
      <vt:variant>
        <vt:i4>0</vt:i4>
      </vt:variant>
      <vt:variant>
        <vt:i4>5</vt:i4>
      </vt:variant>
      <vt:variant>
        <vt:lpwstr/>
      </vt:variant>
      <vt:variant>
        <vt:lpwstr>_Toc463273437</vt:lpwstr>
      </vt:variant>
      <vt:variant>
        <vt:i4>1245236</vt:i4>
      </vt:variant>
      <vt:variant>
        <vt:i4>71</vt:i4>
      </vt:variant>
      <vt:variant>
        <vt:i4>0</vt:i4>
      </vt:variant>
      <vt:variant>
        <vt:i4>5</vt:i4>
      </vt:variant>
      <vt:variant>
        <vt:lpwstr/>
      </vt:variant>
      <vt:variant>
        <vt:lpwstr>_Toc463273433</vt:lpwstr>
      </vt:variant>
      <vt:variant>
        <vt:i4>1179700</vt:i4>
      </vt:variant>
      <vt:variant>
        <vt:i4>65</vt:i4>
      </vt:variant>
      <vt:variant>
        <vt:i4>0</vt:i4>
      </vt:variant>
      <vt:variant>
        <vt:i4>5</vt:i4>
      </vt:variant>
      <vt:variant>
        <vt:lpwstr/>
      </vt:variant>
      <vt:variant>
        <vt:lpwstr>_Toc463273423</vt:lpwstr>
      </vt:variant>
      <vt:variant>
        <vt:i4>1179700</vt:i4>
      </vt:variant>
      <vt:variant>
        <vt:i4>59</vt:i4>
      </vt:variant>
      <vt:variant>
        <vt:i4>0</vt:i4>
      </vt:variant>
      <vt:variant>
        <vt:i4>5</vt:i4>
      </vt:variant>
      <vt:variant>
        <vt:lpwstr/>
      </vt:variant>
      <vt:variant>
        <vt:lpwstr>_Toc463273421</vt:lpwstr>
      </vt:variant>
      <vt:variant>
        <vt:i4>1179700</vt:i4>
      </vt:variant>
      <vt:variant>
        <vt:i4>53</vt:i4>
      </vt:variant>
      <vt:variant>
        <vt:i4>0</vt:i4>
      </vt:variant>
      <vt:variant>
        <vt:i4>5</vt:i4>
      </vt:variant>
      <vt:variant>
        <vt:lpwstr/>
      </vt:variant>
      <vt:variant>
        <vt:lpwstr>_Toc463273420</vt:lpwstr>
      </vt:variant>
      <vt:variant>
        <vt:i4>1114164</vt:i4>
      </vt:variant>
      <vt:variant>
        <vt:i4>47</vt:i4>
      </vt:variant>
      <vt:variant>
        <vt:i4>0</vt:i4>
      </vt:variant>
      <vt:variant>
        <vt:i4>5</vt:i4>
      </vt:variant>
      <vt:variant>
        <vt:lpwstr/>
      </vt:variant>
      <vt:variant>
        <vt:lpwstr>_Toc463273419</vt:lpwstr>
      </vt:variant>
      <vt:variant>
        <vt:i4>1114164</vt:i4>
      </vt:variant>
      <vt:variant>
        <vt:i4>41</vt:i4>
      </vt:variant>
      <vt:variant>
        <vt:i4>0</vt:i4>
      </vt:variant>
      <vt:variant>
        <vt:i4>5</vt:i4>
      </vt:variant>
      <vt:variant>
        <vt:lpwstr/>
      </vt:variant>
      <vt:variant>
        <vt:lpwstr>_Toc463273418</vt:lpwstr>
      </vt:variant>
      <vt:variant>
        <vt:i4>1114164</vt:i4>
      </vt:variant>
      <vt:variant>
        <vt:i4>35</vt:i4>
      </vt:variant>
      <vt:variant>
        <vt:i4>0</vt:i4>
      </vt:variant>
      <vt:variant>
        <vt:i4>5</vt:i4>
      </vt:variant>
      <vt:variant>
        <vt:lpwstr/>
      </vt:variant>
      <vt:variant>
        <vt:lpwstr>_Toc463273417</vt:lpwstr>
      </vt:variant>
      <vt:variant>
        <vt:i4>1114164</vt:i4>
      </vt:variant>
      <vt:variant>
        <vt:i4>29</vt:i4>
      </vt:variant>
      <vt:variant>
        <vt:i4>0</vt:i4>
      </vt:variant>
      <vt:variant>
        <vt:i4>5</vt:i4>
      </vt:variant>
      <vt:variant>
        <vt:lpwstr/>
      </vt:variant>
      <vt:variant>
        <vt:lpwstr>_Toc463273416</vt:lpwstr>
      </vt:variant>
      <vt:variant>
        <vt:i4>1048628</vt:i4>
      </vt:variant>
      <vt:variant>
        <vt:i4>23</vt:i4>
      </vt:variant>
      <vt:variant>
        <vt:i4>0</vt:i4>
      </vt:variant>
      <vt:variant>
        <vt:i4>5</vt:i4>
      </vt:variant>
      <vt:variant>
        <vt:lpwstr/>
      </vt:variant>
      <vt:variant>
        <vt:lpwstr>_Toc463273409</vt:lpwstr>
      </vt:variant>
      <vt:variant>
        <vt:i4>1048628</vt:i4>
      </vt:variant>
      <vt:variant>
        <vt:i4>17</vt:i4>
      </vt:variant>
      <vt:variant>
        <vt:i4>0</vt:i4>
      </vt:variant>
      <vt:variant>
        <vt:i4>5</vt:i4>
      </vt:variant>
      <vt:variant>
        <vt:lpwstr/>
      </vt:variant>
      <vt:variant>
        <vt:lpwstr>_Toc463273408</vt:lpwstr>
      </vt:variant>
      <vt:variant>
        <vt:i4>1048628</vt:i4>
      </vt:variant>
      <vt:variant>
        <vt:i4>11</vt:i4>
      </vt:variant>
      <vt:variant>
        <vt:i4>0</vt:i4>
      </vt:variant>
      <vt:variant>
        <vt:i4>5</vt:i4>
      </vt:variant>
      <vt:variant>
        <vt:lpwstr/>
      </vt:variant>
      <vt:variant>
        <vt:lpwstr>_Toc463273407</vt:lpwstr>
      </vt:variant>
      <vt:variant>
        <vt:i4>1048628</vt:i4>
      </vt:variant>
      <vt:variant>
        <vt:i4>5</vt:i4>
      </vt:variant>
      <vt:variant>
        <vt:i4>0</vt:i4>
      </vt:variant>
      <vt:variant>
        <vt:i4>5</vt:i4>
      </vt:variant>
      <vt:variant>
        <vt:lpwstr/>
      </vt:variant>
      <vt:variant>
        <vt:lpwstr>_Toc463273406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apotkanska</dc:creator>
  <cp:lastModifiedBy>asteuer</cp:lastModifiedBy>
  <cp:revision>2</cp:revision>
  <cp:lastPrinted>2025-07-07T08:06:00Z</cp:lastPrinted>
  <dcterms:created xsi:type="dcterms:W3CDTF">2025-07-11T12:15:00Z</dcterms:created>
  <dcterms:modified xsi:type="dcterms:W3CDTF">2025-07-11T12:15:00Z</dcterms:modified>
</cp:coreProperties>
</file>