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C54E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C54E6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5C54E6">
      <w:pPr>
        <w:keepNext/>
        <w:spacing w:after="480" w:line="276" w:lineRule="auto"/>
        <w:jc w:val="center"/>
      </w:pPr>
      <w:r>
        <w:rPr>
          <w:b/>
        </w:rPr>
        <w:t>zmieniająca uchwałę nr XXXVIII/487/17 Rady Miejskiej w Bytomiu w sprawie przyjęcia „Gminnego Programu Rewitalizacji. Bytom 2020+”</w:t>
      </w:r>
    </w:p>
    <w:p w:rsidR="00A77B3E" w:rsidRDefault="005C54E6">
      <w:pPr>
        <w:keepLines/>
        <w:spacing w:before="120" w:after="120" w:line="276" w:lineRule="auto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dnia 8 marca 1990 r. o samorządzie gminnym (Dz. U. z 2024 r. poz. 1465, z </w:t>
      </w:r>
      <w:proofErr w:type="spellStart"/>
      <w:r>
        <w:t>późn</w:t>
      </w:r>
      <w:proofErr w:type="spellEnd"/>
      <w:r>
        <w:t>. zm.)  oraz art. 14 ust.1, art. 22 i art. 23 ustawy z dnia 9 października 2015 r. o rewitalizacji (Dz. U. z 2024 r. poz. 278) uchwala się, co następuje:</w:t>
      </w:r>
    </w:p>
    <w:p w:rsidR="00A77B3E" w:rsidRDefault="005C54E6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XXXVIII/487/17 Rady Miejskiej w Bytomiu z dnia 27 lutego 2017 r.</w:t>
      </w:r>
      <w:r>
        <w:br/>
        <w:t>w sprawie przyjęcia „Gminnego Programu Rewitalizacji. Bytom 2020+” z </w:t>
      </w:r>
      <w:proofErr w:type="spellStart"/>
      <w:r>
        <w:t>późn</w:t>
      </w:r>
      <w:proofErr w:type="spellEnd"/>
      <w:r>
        <w:t>. zm., załącznik do uchwały - „Gminny Program Rewitalizacji. Bytom 2020+” otrzymuje brzmienie zgodne z załącznikiem do niniejszej uchwały.</w:t>
      </w:r>
    </w:p>
    <w:p w:rsidR="00A77B3E" w:rsidRDefault="005C54E6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5C54E6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BD34CD">
      <w:pPr>
        <w:keepLines/>
        <w:spacing w:before="280" w:after="280" w:line="276" w:lineRule="auto"/>
        <w:ind w:left="4535"/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</w:t>
      </w:r>
      <w:r w:rsidR="005C54E6">
        <w:t xml:space="preserve"> do uchwały Nr ....................</w:t>
      </w:r>
      <w:r w:rsidR="005C54E6">
        <w:br/>
        <w:t>Rady Miejskiej w Bytomiu</w:t>
      </w:r>
      <w:r w:rsidR="005C54E6">
        <w:br/>
        <w:t>z dnia .................... 2025 r.</w:t>
      </w:r>
      <w:r w:rsidR="005C54E6">
        <w:br/>
      </w:r>
      <w:hyperlink r:id="rId9" w:history="1">
        <w:r w:rsidR="005C54E6">
          <w:rPr>
            <w:rStyle w:val="Hipercze"/>
            <w:color w:val="auto"/>
            <w:u w:val="none"/>
          </w:rPr>
          <w:t>Zalacznik1.pdf</w:t>
        </w:r>
      </w:hyperlink>
    </w:p>
    <w:p w:rsidR="008E0A6D" w:rsidRDefault="008E0A6D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8E0A6D" w:rsidRDefault="005C54E6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:rsidR="008E0A6D" w:rsidRDefault="005C54E6">
      <w:pPr>
        <w:spacing w:before="120" w:after="12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„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Gminny Program Rewitalizacji. Bytom 2020+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”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został przyjęty uchwałą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nr XXXVIII/487/17 Rady Miejskiej w Bytomiu z dnia 27 lutego 2017 r. Uchwała została zmieniona: uchwałą nr XVII/223/19 Rady Miejskiej w Bytomiu z dnia 23 września 2019 r., uchwałą nr XXVI/392/20 Rady Miejskiej w Bytomiu z dnia 23 marca 2020 r., uchwa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ł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ą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nr XLV/618/21 Rady Miejskiej w Bytomiu z dnia 26 lipca 2021 r. oraz uchwałą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nr LXXXIV/1059/23 Rady Miejskiej w Bytomiu z dnia 25 września 2023 r.</w:t>
      </w:r>
    </w:p>
    <w:p w:rsidR="008E0A6D" w:rsidRDefault="005C54E6">
      <w:pPr>
        <w:spacing w:before="120" w:after="12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dniu 15 marca 202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4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r. Rada Miejska w Bytomiu podjęta uchwałę nr XCI/1143/24 w sprawie przystąpienia do aktualizacji „Gminnego Programu Rewitalizacji. Bytom 2020+”. Przesłankami do zmiany programu były: konieczność identyfikacji nowych przedsięwzięć rewitalizacyjnych, w odpowiedzi na zmieniające się problemy i nowe wyzwania oraz konieczność dostosowania zapisów programu do wymogów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dokumentu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pn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. „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Zasady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opiniowania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gminnych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programów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rewitalizacji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oraz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prowadzenia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Wykazu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Gminnych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Programów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Rewitalizacji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Województwa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Śląskiego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w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ramach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FE SL 2021-2027”. </w:t>
      </w:r>
    </w:p>
    <w:p w:rsidR="008E0A6D" w:rsidRDefault="005C54E6">
      <w:pPr>
        <w:spacing w:before="120" w:after="12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Nabór  propozycji przedsięwzięć rewitalizacyjnych odbył się w terminie od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24 kwietnia do 27 maja 2024 r. Wśród zaproponowanych przedsięwzięć znalazły się m.in.  projekty dotyczące przywrócenia lub nadania nowych funkcji zdegradowanym budynkom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i obiektom, zagospodarowania przestrzeni publicznych, rewitalizacji i zagospodarowania terenów poprzemysłowych, remontów i modernizacji części wspólnych wielorodzinnych budynków mieszkalnych, poprawy efektywności energetycznej budynków użyteczności publicznej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i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wielorodzinnych budynków mieszkalnych oraz ochrony dziedzictwa kulturowego poprzez poprawę stanu obiektów zabytkowych.</w:t>
      </w:r>
    </w:p>
    <w:p w:rsidR="008E0A6D" w:rsidRDefault="005C54E6">
      <w:pPr>
        <w:spacing w:before="120" w:after="1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Proces zmiany „Gminnego Programu Rewitalizacji. Bytom 2020+” uwzględniał: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aktualizację zapisów Rozdziału 1.1. Bytom jako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rewitalizowany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ośrodek miejski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kontekście zapisów lokalnych, regionalnych i krajowych dokumentów strategicznych i programowych;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uzupełnienie zapisów Rozdziału 3.2. Włączenie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interesariuszy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rewitalizacji – partycypacja w procesie tworzenia i wdrażania „Gminnego Programu Rewitalizacji. Bytom 2020+”;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ujednolicenie zapisów w Rozdziale 3.2.2. Udział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interesariuszy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w procesie wdrażania GPR dotyczących Komitetu Rewitalizacji zgodnie z treścią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u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chwały Rady Miejskiej w Bytomiu nr XLV/618/21;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uzupełnienie zapisów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Rozdziału 3.3.1. Wiązki projektów oraz lista planowanych podstawowych przedsięwzięć rewitalizacyjnych;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uzupełnienie zapisów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Rozdziału 3.3.2. Charakterystyka pozostałych przedsięwzięć rewitalizacyjnych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poprzez dodanie projektów;</w:t>
      </w:r>
    </w:p>
    <w:p w:rsidR="008E0A6D" w:rsidRDefault="005C54E6">
      <w:pPr>
        <w:numPr>
          <w:ilvl w:val="0"/>
          <w:numId w:val="1"/>
        </w:numPr>
        <w:spacing w:before="120" w:after="1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przeniesienie do Rozdziału 3.3.2. Charakterystyka pozostałych przedsięwzięć rewitalizacyjnych przedsięwzięć z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ałącznika nr 4 – „Lista przedsięwzięć uzupełniających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"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;</w:t>
      </w:r>
    </w:p>
    <w:p w:rsidR="008E0A6D" w:rsidRDefault="005C54E6">
      <w:pPr>
        <w:numPr>
          <w:ilvl w:val="0"/>
          <w:numId w:val="1"/>
        </w:numPr>
        <w:spacing w:before="120" w:after="120"/>
        <w:contextualSpacing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aktualizację zapisów tabeli finansowej w Rozdziale 4.3. Ramowy harmonogram wdrażania GPR wraz z szacunkowymi ramami finansowymi;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ujednolicenie zapisów w Rozdziale 4.5. System monitorowania zgodnie z treścią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u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chwały Rady Miejskiej w Bytomiu nr XLV/618/21;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lastRenderedPageBreak/>
        <w:t xml:space="preserve">dodanie lokalizacji projektów z listy przedsięwzięć podstawowych począwszy od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nr 128 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ałączniku nr 1 -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„Podstawowe kierunki zmian funkcjonalno-przestrzennych obszaru rewitalizacji” (MAPA);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dodanie projektów w z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ałączniku nr 2</w:t>
      </w:r>
      <w:r>
        <w:rPr>
          <w:rFonts w:ascii="CIDFont+F2" w:eastAsia="Times New Roman" w:hAnsi="CIDFont+F2" w:cs="Times New Roman"/>
          <w:color w:val="000000"/>
          <w:sz w:val="22"/>
          <w:szCs w:val="20"/>
          <w:shd w:val="clear" w:color="auto" w:fill="FFFFFF"/>
        </w:rPr>
        <w:t xml:space="preserve"> -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„Lista przedsięwzięć podstawowych do Gminnego Programu Rewitalizacji. Bytom 2020+” począwszy od nr 128;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uzupełnienie zapisów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ałącznika nr 3 – „Matryca logiczna” poprzez dodanie projektów z listy przedsięwzięć podstawowych począwszy od nr 128 oraz dodanie legendy;</w:t>
      </w:r>
    </w:p>
    <w:p w:rsidR="008E0A6D" w:rsidRDefault="005C54E6">
      <w:pPr>
        <w:numPr>
          <w:ilvl w:val="0"/>
          <w:numId w:val="1"/>
        </w:numPr>
        <w:spacing w:before="120" w:after="120"/>
        <w:ind w:left="714" w:hanging="35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usunięcie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z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ałącznika nr 4 -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„Lista przedsięwzięć uzupełniających”.  </w:t>
      </w:r>
    </w:p>
    <w:p w:rsidR="008E0A6D" w:rsidRDefault="005C54E6">
      <w:pPr>
        <w:spacing w:before="120" w:after="12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W marcu 2025 r. projekt aktualizacji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„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Gminnego Program Rewitalizacji. Bytom 2020+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”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uzyskał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pozytywną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ocenę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merytoryczną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Zespołu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ds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rewitalizacji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Urzędu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Marszałkowskiego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Województwa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Śląskiego</w:t>
      </w:r>
      <w:proofErr w:type="spellEnd"/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 xml:space="preserve">.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Konsultacje społeczne projektu dokumentu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prowadzone na podstawie art. 6 ustawy o rewitalizacji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odbyły się w terminie od 12 marca do 18 kwietnia 2025 roku. Uwagi opisane zostały szczegółowo w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Sprawozdaniu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 xml:space="preserve">z konsultacji społecznych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projekt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u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aktualizacji 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„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Gminnego Program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u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Rewitalizacji. Bytom 2020+</w:t>
      </w:r>
      <w:r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  <w:t>”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.</w:t>
      </w:r>
    </w:p>
    <w:p w:rsidR="008E0A6D" w:rsidRDefault="005C54E6">
      <w:pPr>
        <w:spacing w:before="120" w:after="12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W marcu 2025 r.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zgodnie z art. 17 ust. 4 ustawy o rewitalizacji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,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projekt dokumentu przekazano właściwym instytucjom do zaopiniowania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. W lipcu 2025 r., po uzgodnieniu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br/>
        <w:t>z właściwymi organami tj. Regionalnym Dyrektorem Ochrony Środowiska w Katowicach oraz Państwowym Wojewódzkim Inspektorem Sanitarnym w Katowicach, odstąpiono od przeprowadzenia strategicznej oceny oddziaływania na środowisko projektu dokumentu.</w:t>
      </w:r>
    </w:p>
    <w:p w:rsidR="008E0A6D" w:rsidRDefault="008E0A6D">
      <w:pPr>
        <w:spacing w:before="120" w:after="120"/>
        <w:ind w:firstLine="720"/>
        <w:rPr>
          <w:rFonts w:eastAsia="Times New Roman" w:cs="Times New Roman"/>
          <w:color w:val="000000"/>
          <w:szCs w:val="20"/>
          <w:shd w:val="clear" w:color="auto" w:fill="FFFFFF"/>
          <w:lang w:val="en-US" w:eastAsia="en-US" w:bidi="en-US"/>
        </w:rPr>
      </w:pPr>
    </w:p>
    <w:p w:rsidR="008E0A6D" w:rsidRDefault="008E0A6D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sectPr w:rsidR="008E0A6D" w:rsidSect="008E0A6D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A6D" w:rsidRDefault="008E0A6D" w:rsidP="008E0A6D">
      <w:r>
        <w:separator/>
      </w:r>
    </w:p>
  </w:endnote>
  <w:endnote w:type="continuationSeparator" w:id="0">
    <w:p w:rsidR="008E0A6D" w:rsidRDefault="008E0A6D" w:rsidP="008E0A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IDFont+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A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A6D" w:rsidRDefault="005C54E6">
          <w:pPr>
            <w:rPr>
              <w:sz w:val="18"/>
            </w:rPr>
          </w:pPr>
          <w:r>
            <w:rPr>
              <w:sz w:val="18"/>
            </w:rPr>
            <w:t>Id: 0CA22189-46CE-4FF4-86B0-367315FB3A50.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A6D" w:rsidRDefault="005C54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E30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E3092">
            <w:rPr>
              <w:sz w:val="18"/>
            </w:rPr>
            <w:fldChar w:fldCharType="separate"/>
          </w:r>
          <w:r w:rsidR="00AB5C20">
            <w:rPr>
              <w:noProof/>
              <w:sz w:val="18"/>
            </w:rPr>
            <w:t>1</w:t>
          </w:r>
          <w:r w:rsidR="006E3092">
            <w:rPr>
              <w:sz w:val="18"/>
            </w:rPr>
            <w:fldChar w:fldCharType="end"/>
          </w:r>
        </w:p>
      </w:tc>
    </w:tr>
  </w:tbl>
  <w:p w:rsidR="008E0A6D" w:rsidRDefault="008E0A6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8E0A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A6D" w:rsidRDefault="005C54E6">
          <w:pPr>
            <w:rPr>
              <w:sz w:val="18"/>
            </w:rPr>
          </w:pPr>
          <w:r>
            <w:rPr>
              <w:sz w:val="18"/>
            </w:rPr>
            <w:t>Id: 0CA22189-46CE-4FF4-86B0-367315FB3A50.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A6D" w:rsidRDefault="005C54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E30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E3092">
            <w:rPr>
              <w:sz w:val="18"/>
            </w:rPr>
            <w:fldChar w:fldCharType="separate"/>
          </w:r>
          <w:r w:rsidR="00AB5C20">
            <w:rPr>
              <w:noProof/>
              <w:sz w:val="18"/>
            </w:rPr>
            <w:t>2</w:t>
          </w:r>
          <w:r w:rsidR="006E3092">
            <w:rPr>
              <w:sz w:val="18"/>
            </w:rPr>
            <w:fldChar w:fldCharType="end"/>
          </w:r>
        </w:p>
      </w:tc>
    </w:tr>
  </w:tbl>
  <w:p w:rsidR="008E0A6D" w:rsidRDefault="008E0A6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8E0A6D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A6D" w:rsidRDefault="005C54E6">
          <w:pPr>
            <w:rPr>
              <w:sz w:val="18"/>
            </w:rPr>
          </w:pPr>
          <w:r>
            <w:rPr>
              <w:sz w:val="18"/>
            </w:rPr>
            <w:t>Id: 0CA22189-46CE-4FF4-86B0-367315FB3A50.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E0A6D" w:rsidRDefault="005C54E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E3092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E3092">
            <w:rPr>
              <w:sz w:val="18"/>
            </w:rPr>
            <w:fldChar w:fldCharType="separate"/>
          </w:r>
          <w:r w:rsidR="00AB5C20">
            <w:rPr>
              <w:noProof/>
              <w:sz w:val="18"/>
            </w:rPr>
            <w:t>3</w:t>
          </w:r>
          <w:r w:rsidR="006E3092">
            <w:rPr>
              <w:sz w:val="18"/>
            </w:rPr>
            <w:fldChar w:fldCharType="end"/>
          </w:r>
        </w:p>
      </w:tc>
    </w:tr>
  </w:tbl>
  <w:p w:rsidR="008E0A6D" w:rsidRDefault="008E0A6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A6D" w:rsidRDefault="008E0A6D" w:rsidP="008E0A6D">
      <w:r>
        <w:separator/>
      </w:r>
    </w:p>
  </w:footnote>
  <w:footnote w:type="continuationSeparator" w:id="0">
    <w:p w:rsidR="008E0A6D" w:rsidRDefault="008E0A6D" w:rsidP="008E0A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97EBC"/>
    <w:multiLevelType w:val="hybridMultilevel"/>
    <w:tmpl w:val="00000000"/>
    <w:lvl w:ilvl="0" w:tplc="74881A58">
      <w:start w:val="1"/>
      <w:numFmt w:val="decimal"/>
      <w:lvlText w:val="%1)"/>
      <w:lvlJc w:val="left"/>
      <w:pPr>
        <w:ind w:left="720" w:hanging="360"/>
      </w:pPr>
    </w:lvl>
    <w:lvl w:ilvl="1" w:tplc="2962FE98">
      <w:start w:val="1"/>
      <w:numFmt w:val="lowerLetter"/>
      <w:lvlText w:val="%2."/>
      <w:lvlJc w:val="left"/>
      <w:pPr>
        <w:ind w:left="1440" w:hanging="360"/>
      </w:pPr>
    </w:lvl>
    <w:lvl w:ilvl="2" w:tplc="C2C21D80">
      <w:start w:val="1"/>
      <w:numFmt w:val="lowerRoman"/>
      <w:lvlText w:val="%3."/>
      <w:lvlJc w:val="right"/>
      <w:pPr>
        <w:ind w:left="2160" w:hanging="180"/>
      </w:pPr>
    </w:lvl>
    <w:lvl w:ilvl="3" w:tplc="015C5F32">
      <w:start w:val="1"/>
      <w:numFmt w:val="decimal"/>
      <w:lvlText w:val="%4."/>
      <w:lvlJc w:val="left"/>
      <w:pPr>
        <w:ind w:left="2880" w:hanging="360"/>
      </w:pPr>
    </w:lvl>
    <w:lvl w:ilvl="4" w:tplc="8E608458">
      <w:start w:val="1"/>
      <w:numFmt w:val="lowerLetter"/>
      <w:lvlText w:val="%5."/>
      <w:lvlJc w:val="left"/>
      <w:pPr>
        <w:ind w:left="3600" w:hanging="360"/>
      </w:pPr>
    </w:lvl>
    <w:lvl w:ilvl="5" w:tplc="BB148782">
      <w:start w:val="1"/>
      <w:numFmt w:val="lowerRoman"/>
      <w:lvlText w:val="%6."/>
      <w:lvlJc w:val="right"/>
      <w:pPr>
        <w:ind w:left="4320" w:hanging="180"/>
      </w:pPr>
    </w:lvl>
    <w:lvl w:ilvl="6" w:tplc="21E22060">
      <w:start w:val="1"/>
      <w:numFmt w:val="decimal"/>
      <w:lvlText w:val="%7."/>
      <w:lvlJc w:val="left"/>
      <w:pPr>
        <w:ind w:left="5040" w:hanging="360"/>
      </w:pPr>
    </w:lvl>
    <w:lvl w:ilvl="7" w:tplc="5A3ABE24">
      <w:start w:val="1"/>
      <w:numFmt w:val="lowerLetter"/>
      <w:lvlText w:val="%8."/>
      <w:lvlJc w:val="left"/>
      <w:pPr>
        <w:ind w:left="5760" w:hanging="360"/>
      </w:pPr>
    </w:lvl>
    <w:lvl w:ilvl="8" w:tplc="F34429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C54E6"/>
    <w:rsid w:val="006E3092"/>
    <w:rsid w:val="008E0A6D"/>
    <w:rsid w:val="00A77B3E"/>
    <w:rsid w:val="00AB5C20"/>
    <w:rsid w:val="00BD34CD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0A6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rsid w:val="008E0A6D"/>
    <w:pPr>
      <w:spacing w:before="120" w:after="120" w:line="276" w:lineRule="auto"/>
      <w:ind w:left="720"/>
      <w:contextualSpacing/>
    </w:pPr>
    <w:rPr>
      <w:rFonts w:eastAsia="Times New Roman" w:cs="Times New Roman"/>
      <w:b/>
      <w:szCs w:val="20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file:///C:\Users\asteuer\Downloads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717</Words>
  <Characters>4794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XXXVIII/487/17 Rady Miejskiej w^Bytomiu w^sprawie przyjęcia „Gminnego Programu Rewitalizacji. Bytom 2020+”</dc:subject>
  <dc:creator>mmazurkiewicz</dc:creator>
  <cp:lastModifiedBy>asteuer</cp:lastModifiedBy>
  <cp:revision>4</cp:revision>
  <dcterms:created xsi:type="dcterms:W3CDTF">2025-07-11T06:01:00Z</dcterms:created>
  <dcterms:modified xsi:type="dcterms:W3CDTF">2025-07-11T12:15:00Z</dcterms:modified>
  <cp:category>Akt prawny</cp:category>
</cp:coreProperties>
</file>