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97F5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97F54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397F54">
      <w:pPr>
        <w:keepNext/>
        <w:spacing w:after="480" w:line="276" w:lineRule="auto"/>
        <w:jc w:val="center"/>
      </w:pPr>
      <w:r>
        <w:rPr>
          <w:b/>
        </w:rPr>
        <w:t xml:space="preserve">uchylająca uchwałę nr LVIII/761/17 Rady Miejskiej w Bytomiu w sprawie wysokości i zasad ustalania oraz rozliczania dotacji celowej na dziecko dla podmiotów </w:t>
      </w:r>
      <w:r>
        <w:rPr>
          <w:b/>
        </w:rPr>
        <w:t>prowadzących żłobki lub kluby dziecięce na terenie Bytomia</w:t>
      </w:r>
    </w:p>
    <w:p w:rsidR="00A77B3E" w:rsidRDefault="00397F5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 1, art. 41 ust. 1 i art. 42 ustawy z dnia 8 marca 1990 r. o samorządzie gminnym (Dz. U. z 2024 r. poz. 1465, z </w:t>
      </w:r>
      <w:proofErr w:type="spellStart"/>
      <w:r>
        <w:t>późn</w:t>
      </w:r>
      <w:proofErr w:type="spellEnd"/>
      <w:r>
        <w:t>. zm.) oraz art. 4 ust. 1, art. 8 </w:t>
      </w:r>
      <w:r>
        <w:t>i art. 13 </w:t>
      </w:r>
      <w:proofErr w:type="spellStart"/>
      <w:r>
        <w:t>pkt</w:t>
      </w:r>
      <w:proofErr w:type="spellEnd"/>
      <w:r>
        <w:t xml:space="preserve"> 2 ustawy z dnia 20 lipca 2000 r. o ogłaszaniu aktów normatywnych i niektórych innych aktów prawnych (Dz. U. z 2019 r. poz.1461) w związku z art. 60 ust. 2 ustawy z dnia 4 lutego 2011 r. o opiece nad dziećmi w wieku do lat 3 (Dz. U. z 2024 r. </w:t>
      </w:r>
      <w:r>
        <w:t>poz. 338,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397F5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Uchyla się uchwałę nr LVIII/761/17 Rady Miejskiej w Bytomiu z dnia 18 grudnia 2017 r. w sprawie wysokości i zasad ustalania oraz rozliczania dotacji celowej na dziecko dla podmiotów prowadzących żłobki</w:t>
      </w:r>
      <w:r>
        <w:t xml:space="preserve"> lub kluby dziecięce na terenie Bytomia (Dz. Urz. Woj. Śl. z 2017 r. poz. 7276 oraz z 2024 r. poz. 5727).</w:t>
      </w:r>
    </w:p>
    <w:p w:rsidR="00A77B3E" w:rsidRDefault="00397F5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97F54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podlega ogłoszeniu w Dzienniku Urzędowym Województwa Śląskiego.</w:t>
      </w:r>
    </w:p>
    <w:p w:rsidR="00A77B3E" w:rsidRDefault="00397F5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1 stycznia 2026 r.</w:t>
      </w:r>
    </w:p>
    <w:p w:rsidR="00D83CBE" w:rsidRDefault="00D83CBE">
      <w:pPr>
        <w:rPr>
          <w:rFonts w:eastAsia="Times New Roman" w:cs="Times New Roman"/>
          <w:szCs w:val="20"/>
        </w:rPr>
      </w:pPr>
    </w:p>
    <w:p w:rsidR="00D83CBE" w:rsidRDefault="00397F5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83CBE" w:rsidRDefault="00397F5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Ustawa o wspieraniu rodziców w aktywności zawodowej </w:t>
      </w:r>
      <w:r>
        <w:rPr>
          <w:rFonts w:eastAsia="Times New Roman" w:cs="Times New Roman"/>
          <w:szCs w:val="20"/>
        </w:rPr>
        <w:t>oraz w wychowaniu dziecka - „Aktywny rodzic” wprowadziła do systemu prawnego trzy świadczenia wspierające rodziców w aktywności zawodowej oraz w wychowaniu dziecka: świadczenie „aktywni rodzice w pracy”, świadczenie „aktywnie w żłobku” oraz świadczenie „ak</w:t>
      </w:r>
      <w:r>
        <w:rPr>
          <w:rFonts w:eastAsia="Times New Roman" w:cs="Times New Roman"/>
          <w:szCs w:val="20"/>
        </w:rPr>
        <w:t>tywnie w domu”.</w:t>
      </w:r>
    </w:p>
    <w:p w:rsidR="00D83CBE" w:rsidRDefault="00397F5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Świadczenie „Aktywnie w żłobku”  jest kierowane do rodziców dzieci uczęszczających do instytucji opieki nad dziećmi do lat 3, tj. żłobka, klubu dziecięcego albo dziennego opiekuna i przysługuje w wysokości do 1500 zł miesięcznie na dziecko </w:t>
      </w:r>
      <w:r>
        <w:rPr>
          <w:rFonts w:eastAsia="Times New Roman" w:cs="Times New Roman"/>
          <w:szCs w:val="20"/>
        </w:rPr>
        <w:t>lub do 1900 zł miesięcznie na dziecko z niepełnosprawnością, jednak nie więcej niż wysokość opłaty, jaką rodzic ponosi za pobyt dziecka w instytucji opieki. Wzrost nakładów finansowych z budżetu państwa na politykę rodzinną w zakresie wsparcia rodzin mając</w:t>
      </w:r>
      <w:r>
        <w:rPr>
          <w:rFonts w:eastAsia="Times New Roman" w:cs="Times New Roman"/>
          <w:szCs w:val="20"/>
        </w:rPr>
        <w:t xml:space="preserve">ych dzieci do lat 3 umożliwi przetransferowanie środków pochodzących z budżetu gminy na inne cele polityki społecznej. </w:t>
      </w:r>
    </w:p>
    <w:p w:rsidR="00D83CBE" w:rsidRDefault="00397F5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 Bytomiu z dnia 24 marca 2014 r. w sprawie określenia szczegółowego sposobu konsulto</w:t>
      </w:r>
      <w:r>
        <w:rPr>
          <w:rFonts w:eastAsia="Times New Roman" w:cs="Times New Roman"/>
          <w:szCs w:val="20"/>
        </w:rPr>
        <w:t>wania z radą działalności pożytku publicznego lub organizacjami pozarządowymi i podmiotami wymienionymi w art. 3 ust. 3 ustawy o działalności pożytku publicznego i o wolontariacie projektów aktów prawa miejscowego w dziedzinach dotyczących działalności sta</w:t>
      </w:r>
      <w:r>
        <w:rPr>
          <w:rFonts w:eastAsia="Times New Roman" w:cs="Times New Roman"/>
          <w:szCs w:val="20"/>
        </w:rPr>
        <w:t xml:space="preserve">tutowej tych organizacji z 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 przedmiotowy projekt uchwały poddano konsultacjom.</w:t>
      </w:r>
    </w:p>
    <w:sectPr w:rsidR="00D83CBE" w:rsidSect="00D83CB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CBE" w:rsidRDefault="00D83CBE" w:rsidP="00D83CBE">
      <w:r>
        <w:separator/>
      </w:r>
    </w:p>
  </w:endnote>
  <w:endnote w:type="continuationSeparator" w:id="0">
    <w:p w:rsidR="00D83CBE" w:rsidRDefault="00D83CBE" w:rsidP="00D83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3C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3CBE" w:rsidRDefault="00397F54">
          <w:pPr>
            <w:rPr>
              <w:sz w:val="18"/>
            </w:rPr>
          </w:pPr>
          <w:r>
            <w:rPr>
              <w:sz w:val="18"/>
            </w:rPr>
            <w:t>Id: 1F70DFEA-964A-45E3-B3F6-33B8203A9661.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3CBE" w:rsidRDefault="00397F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C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83CBE">
            <w:rPr>
              <w:sz w:val="18"/>
            </w:rPr>
            <w:fldChar w:fldCharType="end"/>
          </w:r>
        </w:p>
      </w:tc>
    </w:tr>
  </w:tbl>
  <w:p w:rsidR="00D83CBE" w:rsidRDefault="00D83CB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3C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3CBE" w:rsidRDefault="00397F54">
          <w:pPr>
            <w:rPr>
              <w:sz w:val="18"/>
            </w:rPr>
          </w:pPr>
          <w:r>
            <w:rPr>
              <w:sz w:val="18"/>
            </w:rPr>
            <w:t>Id: 1F70DFEA-964A-45E3-B3F6-33B8203A9661.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3CBE" w:rsidRDefault="00397F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3C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83CBE">
            <w:rPr>
              <w:sz w:val="18"/>
            </w:rPr>
            <w:fldChar w:fldCharType="end"/>
          </w:r>
        </w:p>
      </w:tc>
    </w:tr>
  </w:tbl>
  <w:p w:rsidR="00D83CBE" w:rsidRDefault="00D83CB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CBE" w:rsidRDefault="00D83CBE" w:rsidP="00D83CBE">
      <w:r>
        <w:separator/>
      </w:r>
    </w:p>
  </w:footnote>
  <w:footnote w:type="continuationSeparator" w:id="0">
    <w:p w:rsidR="00D83CBE" w:rsidRDefault="00D83CBE" w:rsidP="00D83C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97F54"/>
    <w:rsid w:val="00A77B3E"/>
    <w:rsid w:val="00CA2A55"/>
    <w:rsid w:val="00D8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3CB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uchylająca uchwałę nr LVIII/761/17 Rady Miejskiej w^Bytomiu w^sprawie wysokości i^zasad ustalania oraz rozliczania dotacji celowej na dziecko dla podmiotów prowadzących żłobki lub kluby dziecięce na terenie Bytomia</dc:subject>
  <dc:creator>bwasicka</dc:creator>
  <cp:lastModifiedBy>asteuer</cp:lastModifiedBy>
  <cp:revision>2</cp:revision>
  <dcterms:created xsi:type="dcterms:W3CDTF">2025-07-11T05:57:00Z</dcterms:created>
  <dcterms:modified xsi:type="dcterms:W3CDTF">2025-07-11T05:57:00Z</dcterms:modified>
  <cp:category>Akt prawny</cp:category>
</cp:coreProperties>
</file>