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XVIII/158/25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czerwca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 Nr 1 w Bytomiu, za 2022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450,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500.000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2025 r. poz. 450), podmiot tworzący samodzielny publiczny zakład opieki zdrowotnej może pokryć stratę netto za rok obrotowy tego zakładu w kwocie, jaka nie może być pokryta przez zakład we własnym zakresie w sposób określony w art. 57 ust. 2 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 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 ul. Żeromskiego 7, za 2022 r., poddanym badaniu przez niezależnego biegłego rewidenta, udokumentowanym sprawozdaniem i opinią z dnia 19 kwietnia 2023 r. oraz zatwierdzonym przez Prezydenta Bytomia w dniu 19 czerwca 2023 r., Szpital poniósł stratę netto w wysokości - 18.145.558,11 zł, która po dodaniu kosztów amortyzacji w wysokości 2.764.783,73 zł, zamyka się kwotą -15.380.774,38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500.000 zł, na pokrycie części straty netto za 2022 rok. Nadmienia się, że uchwałą Nr LXXXVII/1091/23 Rady Miejskiej w Bytomiu z dnia 18 grudnia 2023 r., uchwałą Nr XCI/1138/24 Rady Miejskiej w Bytomiu z dnia 15 marca 2024 r., uchwałą Nr III/26/24 Rady Miejskiej w Bytomiu z dnia 17 czerwca 2024 r., uchwałą Nr XII/97/24 Rady Miejskiej w Bytomiu z dnia 16 grudnia 2024 r. oraz uchwałą Nr XV/123/25 Rady Miejskiej w Bytomiu z dnia 24 marca 2025 r. przeznaczono już na pokrycie części straty netto za 2022 rok kwotę 4.000.000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F5C53DF1-4ED4-49D9-AFB4-6DE2D71CDEDE.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F5C53DF1-4ED4-49D9-AFB4-6DE2D71CDEDE.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XVIII/158/25 z dnia 23 czerwca 2025 r.</dc:title>
  <dc:subject>w sprawie pokrycia przez Miasto Bytom części straty netto Szpitala Specjalistycznego Nr^1^w^Bytomiu, za 2022^r.</dc:subject>
  <dc:creator>asteuer</dc:creator>
  <cp:lastModifiedBy>asteuer</cp:lastModifiedBy>
  <cp:revision>1</cp:revision>
  <dcterms:created xsi:type="dcterms:W3CDTF">2025-06-25T13:32:17Z</dcterms:created>
  <dcterms:modified xsi:type="dcterms:W3CDTF">2025-06-25T13:32:17Z</dcterms:modified>
  <cp:category>Akt prawny</cp:category>
</cp:coreProperties>
</file>